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056" w:rsidRPr="00B124DC" w:rsidRDefault="004D5056" w:rsidP="0017616B">
      <w:pPr>
        <w:jc w:val="center"/>
        <w:rPr>
          <w:lang w:val="en-GB"/>
        </w:rPr>
      </w:pPr>
    </w:p>
    <w:p w:rsidR="004D5056" w:rsidRPr="00B124DC" w:rsidRDefault="004D5056" w:rsidP="0017616B">
      <w:pPr>
        <w:jc w:val="center"/>
        <w:rPr>
          <w:lang w:val="en-GB"/>
        </w:rPr>
      </w:pPr>
    </w:p>
    <w:p w:rsidR="004D5056" w:rsidRPr="00B124DC" w:rsidRDefault="004D5056" w:rsidP="0017616B">
      <w:pPr>
        <w:jc w:val="center"/>
        <w:rPr>
          <w:lang w:val="en-GB"/>
        </w:rPr>
      </w:pPr>
    </w:p>
    <w:p w:rsidR="004D5056" w:rsidRPr="00B124DC" w:rsidRDefault="004D5056" w:rsidP="0017616B">
      <w:pPr>
        <w:jc w:val="center"/>
        <w:rPr>
          <w:lang w:val="en-GB"/>
        </w:rPr>
      </w:pPr>
    </w:p>
    <w:p w:rsidR="004D5056" w:rsidRPr="00B124DC" w:rsidRDefault="004D5056" w:rsidP="0017616B">
      <w:pPr>
        <w:jc w:val="center"/>
        <w:rPr>
          <w:lang w:val="en-GB"/>
        </w:rPr>
      </w:pPr>
    </w:p>
    <w:p w:rsidR="004D5056" w:rsidRPr="00B124DC" w:rsidRDefault="004D5056" w:rsidP="0017616B">
      <w:pPr>
        <w:jc w:val="center"/>
        <w:rPr>
          <w:lang w:val="en-GB"/>
        </w:rPr>
      </w:pPr>
    </w:p>
    <w:p w:rsidR="004D5056" w:rsidRPr="00B124DC" w:rsidRDefault="004D5056" w:rsidP="0017616B">
      <w:pPr>
        <w:jc w:val="center"/>
        <w:rPr>
          <w:lang w:val="en-GB"/>
        </w:rPr>
      </w:pPr>
    </w:p>
    <w:p w:rsidR="004D5056" w:rsidRPr="00B124DC" w:rsidRDefault="004D5056" w:rsidP="0017616B">
      <w:pPr>
        <w:jc w:val="center"/>
        <w:rPr>
          <w:lang w:val="en-GB"/>
        </w:rPr>
      </w:pPr>
    </w:p>
    <w:p w:rsidR="0017616B" w:rsidRPr="00B124DC" w:rsidRDefault="0017616B" w:rsidP="0017616B">
      <w:pPr>
        <w:jc w:val="center"/>
        <w:rPr>
          <w:lang w:val="en-GB"/>
        </w:rPr>
      </w:pPr>
    </w:p>
    <w:p w:rsidR="0017616B" w:rsidRPr="00B124DC" w:rsidRDefault="0017616B" w:rsidP="0017616B">
      <w:pPr>
        <w:jc w:val="center"/>
        <w:rPr>
          <w:b/>
          <w:bCs/>
          <w:lang w:val="en-GB"/>
        </w:rPr>
      </w:pPr>
      <w:r w:rsidRPr="00B124DC">
        <w:rPr>
          <w:b/>
          <w:bCs/>
          <w:lang w:val="en-GB"/>
        </w:rPr>
        <w:t>CASE OF LEYLA ŞAH</w:t>
      </w:r>
      <w:r w:rsidR="00B61060" w:rsidRPr="00B124DC">
        <w:rPr>
          <w:b/>
          <w:bCs/>
          <w:lang w:val="en-GB"/>
        </w:rPr>
        <w:t>İ</w:t>
      </w:r>
      <w:r w:rsidRPr="00B124DC">
        <w:rPr>
          <w:b/>
          <w:bCs/>
          <w:lang w:val="en-GB"/>
        </w:rPr>
        <w:t xml:space="preserve">N v. </w:t>
      </w:r>
      <w:smartTag w:uri="urn:schemas-microsoft-com:office:smarttags" w:element="place">
        <w:smartTag w:uri="urn:schemas-microsoft-com:office:smarttags" w:element="country-region">
          <w:r w:rsidRPr="00B124DC">
            <w:rPr>
              <w:b/>
              <w:bCs/>
              <w:lang w:val="en-GB"/>
            </w:rPr>
            <w:t>TURKEY</w:t>
          </w:r>
        </w:smartTag>
      </w:smartTag>
    </w:p>
    <w:p w:rsidR="0017616B" w:rsidRPr="00B124DC" w:rsidRDefault="0017616B" w:rsidP="0017616B">
      <w:pPr>
        <w:jc w:val="center"/>
        <w:rPr>
          <w:lang w:val="en-GB"/>
        </w:rPr>
      </w:pPr>
    </w:p>
    <w:p w:rsidR="004D5056" w:rsidRPr="00B124DC" w:rsidRDefault="0017616B" w:rsidP="004D5056">
      <w:pPr>
        <w:jc w:val="center"/>
        <w:rPr>
          <w:i/>
          <w:iCs/>
          <w:lang w:val="en-GB"/>
        </w:rPr>
      </w:pPr>
      <w:r w:rsidRPr="00B124DC">
        <w:rPr>
          <w:i/>
          <w:iCs/>
          <w:lang w:val="en-GB"/>
        </w:rPr>
        <w:t>(Application no. 44774/98)</w:t>
      </w:r>
    </w:p>
    <w:p w:rsidR="004D5056" w:rsidRPr="00B124DC" w:rsidRDefault="004D5056" w:rsidP="004D5056">
      <w:pPr>
        <w:jc w:val="center"/>
        <w:rPr>
          <w:i/>
          <w:iCs/>
          <w:lang w:val="en-GB"/>
        </w:rPr>
      </w:pPr>
    </w:p>
    <w:p w:rsidR="004D5056" w:rsidRPr="00B124DC" w:rsidRDefault="004D5056" w:rsidP="004D5056">
      <w:pPr>
        <w:jc w:val="center"/>
        <w:rPr>
          <w:i/>
          <w:iCs/>
          <w:lang w:val="en-GB"/>
        </w:rPr>
      </w:pPr>
    </w:p>
    <w:p w:rsidR="004D5056" w:rsidRPr="00B124DC" w:rsidRDefault="004D5056" w:rsidP="004D5056">
      <w:pPr>
        <w:jc w:val="center"/>
        <w:rPr>
          <w:i/>
          <w:iCs/>
          <w:lang w:val="en-GB"/>
        </w:rPr>
      </w:pPr>
    </w:p>
    <w:p w:rsidR="004D5056" w:rsidRPr="00B124DC" w:rsidRDefault="004D5056" w:rsidP="004D5056">
      <w:pPr>
        <w:jc w:val="center"/>
        <w:rPr>
          <w:i/>
          <w:iCs/>
          <w:lang w:val="en-GB"/>
        </w:rPr>
      </w:pPr>
    </w:p>
    <w:p w:rsidR="004D5056" w:rsidRPr="00B124DC" w:rsidRDefault="004D5056" w:rsidP="004D5056">
      <w:pPr>
        <w:jc w:val="center"/>
        <w:rPr>
          <w:i/>
          <w:iCs/>
          <w:lang w:val="en-GB"/>
        </w:rPr>
      </w:pPr>
    </w:p>
    <w:p w:rsidR="004D5056" w:rsidRPr="00B124DC" w:rsidRDefault="004D5056" w:rsidP="004D5056">
      <w:pPr>
        <w:jc w:val="center"/>
        <w:rPr>
          <w:i/>
          <w:iCs/>
          <w:lang w:val="en-GB"/>
        </w:rPr>
      </w:pPr>
    </w:p>
    <w:p w:rsidR="004D5056" w:rsidRPr="00B124DC" w:rsidRDefault="004D5056" w:rsidP="004D5056">
      <w:pPr>
        <w:jc w:val="center"/>
        <w:rPr>
          <w:i/>
          <w:iCs/>
          <w:lang w:val="en-GB"/>
        </w:rPr>
      </w:pPr>
    </w:p>
    <w:p w:rsidR="004D5056" w:rsidRPr="00B124DC" w:rsidRDefault="004D5056" w:rsidP="004D5056">
      <w:pPr>
        <w:jc w:val="center"/>
        <w:rPr>
          <w:i/>
          <w:iCs/>
          <w:lang w:val="en-GB"/>
        </w:rPr>
      </w:pPr>
    </w:p>
    <w:p w:rsidR="004D5056" w:rsidRPr="00B124DC" w:rsidRDefault="004D5056" w:rsidP="004D5056">
      <w:pPr>
        <w:jc w:val="center"/>
        <w:rPr>
          <w:i/>
          <w:iCs/>
          <w:lang w:val="en-GB"/>
        </w:rPr>
      </w:pPr>
    </w:p>
    <w:p w:rsidR="004D5056" w:rsidRPr="00B124DC" w:rsidRDefault="004D5056" w:rsidP="004D5056">
      <w:pPr>
        <w:jc w:val="center"/>
        <w:rPr>
          <w:i/>
          <w:iCs/>
          <w:lang w:val="en-GB"/>
        </w:rPr>
      </w:pPr>
    </w:p>
    <w:p w:rsidR="004D5056" w:rsidRPr="00B124DC" w:rsidRDefault="004D5056" w:rsidP="004D5056">
      <w:pPr>
        <w:jc w:val="center"/>
        <w:rPr>
          <w:iCs/>
          <w:lang w:val="en-GB"/>
        </w:rPr>
      </w:pPr>
      <w:r w:rsidRPr="00B124DC">
        <w:rPr>
          <w:iCs/>
          <w:lang w:val="en-GB"/>
        </w:rPr>
        <w:t>JUDGMENT</w:t>
      </w:r>
    </w:p>
    <w:p w:rsidR="004D5056" w:rsidRPr="00B124DC" w:rsidRDefault="004D5056" w:rsidP="004D5056">
      <w:pPr>
        <w:jc w:val="center"/>
        <w:rPr>
          <w:iCs/>
          <w:lang w:val="en-GB"/>
        </w:rPr>
      </w:pPr>
    </w:p>
    <w:p w:rsidR="004D5056" w:rsidRPr="00B124DC" w:rsidRDefault="004D5056" w:rsidP="004D5056">
      <w:pPr>
        <w:jc w:val="center"/>
        <w:rPr>
          <w:iCs/>
          <w:lang w:val="en-GB"/>
        </w:rPr>
      </w:pPr>
    </w:p>
    <w:p w:rsidR="004D5056" w:rsidRPr="00B124DC" w:rsidRDefault="004D5056" w:rsidP="004D5056">
      <w:pPr>
        <w:jc w:val="center"/>
        <w:rPr>
          <w:iCs/>
          <w:lang w:val="en-GB"/>
        </w:rPr>
      </w:pPr>
    </w:p>
    <w:p w:rsidR="004D5056" w:rsidRPr="00B124DC" w:rsidRDefault="004D5056" w:rsidP="004D5056">
      <w:pPr>
        <w:jc w:val="center"/>
        <w:rPr>
          <w:iCs/>
          <w:lang w:val="en-GB"/>
        </w:rPr>
      </w:pPr>
      <w:smartTag w:uri="urn:schemas-microsoft-com:office:smarttags" w:element="place">
        <w:smartTag w:uri="urn:schemas-microsoft-com:office:smarttags" w:element="City">
          <w:r w:rsidRPr="00B124DC">
            <w:rPr>
              <w:iCs/>
              <w:lang w:val="en-GB"/>
            </w:rPr>
            <w:t>STRASBOURG</w:t>
          </w:r>
        </w:smartTag>
      </w:smartTag>
    </w:p>
    <w:p w:rsidR="004D5056" w:rsidRPr="00B124DC" w:rsidRDefault="004D5056" w:rsidP="004D5056">
      <w:pPr>
        <w:jc w:val="center"/>
        <w:rPr>
          <w:iCs/>
          <w:lang w:val="en-GB"/>
        </w:rPr>
      </w:pPr>
    </w:p>
    <w:p w:rsidR="004D5056" w:rsidRPr="00B124DC" w:rsidRDefault="003D0347" w:rsidP="004D5056">
      <w:pPr>
        <w:jc w:val="center"/>
        <w:rPr>
          <w:iCs/>
          <w:lang w:val="en-GB"/>
        </w:rPr>
      </w:pPr>
      <w:smartTag w:uri="urn:schemas-microsoft-com:office:smarttags" w:element="date">
        <w:smartTagPr>
          <w:attr w:name="Month" w:val="11"/>
          <w:attr w:name="Day" w:val="10"/>
          <w:attr w:name="Year" w:val="2005"/>
        </w:smartTagPr>
        <w:r w:rsidRPr="00B124DC">
          <w:rPr>
            <w:iCs/>
            <w:lang w:val="en-GB"/>
          </w:rPr>
          <w:t>10 November 2005</w:t>
        </w:r>
      </w:smartTag>
    </w:p>
    <w:p w:rsidR="004D5056" w:rsidRPr="00B124DC" w:rsidRDefault="004D5056" w:rsidP="004D5056">
      <w:pPr>
        <w:jc w:val="center"/>
        <w:rPr>
          <w:iCs/>
          <w:lang w:val="en-GB"/>
        </w:rPr>
      </w:pPr>
    </w:p>
    <w:p w:rsidR="004D5056" w:rsidRPr="00B124DC" w:rsidRDefault="004D5056" w:rsidP="004D5056">
      <w:pPr>
        <w:jc w:val="center"/>
        <w:rPr>
          <w:iCs/>
          <w:lang w:val="en-GB"/>
        </w:rPr>
      </w:pPr>
    </w:p>
    <w:p w:rsidR="004D5056" w:rsidRPr="00B124DC" w:rsidRDefault="004D5056" w:rsidP="0017616B">
      <w:pPr>
        <w:pStyle w:val="JuCase"/>
        <w:keepNext/>
        <w:rPr>
          <w:lang w:val="en-GB"/>
        </w:rPr>
        <w:sectPr w:rsidR="004D5056" w:rsidRPr="00B124DC" w:rsidSect="004D5056">
          <w:headerReference w:type="default" r:id="rId10"/>
          <w:footnotePr>
            <w:numRestart w:val="eachPage"/>
          </w:footnotePr>
          <w:pgSz w:w="11906" w:h="16838" w:code="9"/>
          <w:pgMar w:top="2274" w:right="2274" w:bottom="2274" w:left="2274" w:header="1701" w:footer="720" w:gutter="0"/>
          <w:pgNumType w:start="1"/>
          <w:cols w:space="720"/>
          <w:noEndnote/>
          <w:docGrid w:linePitch="326"/>
        </w:sectPr>
      </w:pPr>
    </w:p>
    <w:p w:rsidR="0017616B" w:rsidRPr="00B124DC" w:rsidRDefault="003D0347" w:rsidP="0017616B">
      <w:pPr>
        <w:pStyle w:val="JuCase"/>
        <w:keepNext/>
        <w:rPr>
          <w:lang w:val="en-GB"/>
        </w:rPr>
      </w:pPr>
      <w:r w:rsidRPr="00B124DC">
        <w:rPr>
          <w:lang w:val="en-GB"/>
        </w:rPr>
        <w:t xml:space="preserve">In </w:t>
      </w:r>
      <w:r w:rsidR="0017616B" w:rsidRPr="00B124DC">
        <w:rPr>
          <w:lang w:val="en-GB"/>
        </w:rPr>
        <w:t xml:space="preserve">the case of Leyla Şahin v. </w:t>
      </w:r>
      <w:smartTag w:uri="urn:schemas-microsoft-com:office:smarttags" w:element="place">
        <w:smartTag w:uri="urn:schemas-microsoft-com:office:smarttags" w:element="country-region">
          <w:r w:rsidR="0017616B" w:rsidRPr="00B124DC">
            <w:rPr>
              <w:lang w:val="en-GB"/>
            </w:rPr>
            <w:t>Turkey</w:t>
          </w:r>
        </w:smartTag>
      </w:smartTag>
      <w:r w:rsidR="0017616B" w:rsidRPr="00B124DC">
        <w:rPr>
          <w:lang w:val="en-GB"/>
        </w:rPr>
        <w:t>,</w:t>
      </w:r>
    </w:p>
    <w:p w:rsidR="0017616B" w:rsidRPr="00B124DC" w:rsidRDefault="0017616B" w:rsidP="0017616B">
      <w:pPr>
        <w:pStyle w:val="JuParaCharCharCharCharCharCharChar"/>
        <w:rPr>
          <w:lang w:val="en-GB"/>
        </w:rPr>
      </w:pPr>
      <w:r w:rsidRPr="00B124DC">
        <w:rPr>
          <w:lang w:val="en-GB"/>
        </w:rPr>
        <w:t xml:space="preserve">The European Court of Human Rights, sitting as a </w:t>
      </w:r>
      <w:r w:rsidR="005E7E60" w:rsidRPr="00B124DC">
        <w:rPr>
          <w:lang w:val="en-GB"/>
        </w:rPr>
        <w:t xml:space="preserve">Grand </w:t>
      </w:r>
      <w:r w:rsidRPr="00B124DC">
        <w:rPr>
          <w:lang w:val="en-GB"/>
        </w:rPr>
        <w:t>Chamber composed of:</w:t>
      </w:r>
    </w:p>
    <w:p w:rsidR="0017616B" w:rsidRPr="00B124DC" w:rsidRDefault="005E7E60" w:rsidP="0017616B">
      <w:pPr>
        <w:pStyle w:val="JuJudges"/>
        <w:rPr>
          <w:lang w:val="en-GB"/>
        </w:rPr>
      </w:pPr>
      <w:r w:rsidRPr="00B124DC">
        <w:rPr>
          <w:lang w:val="en-GB"/>
        </w:rPr>
        <w:tab/>
        <w:t>Mr</w:t>
      </w:r>
      <w:r w:rsidRPr="00B124DC">
        <w:rPr>
          <w:lang w:val="en-GB"/>
        </w:rPr>
        <w:tab/>
      </w:r>
      <w:r w:rsidRPr="00B124DC">
        <w:rPr>
          <w:rStyle w:val="JuNames"/>
          <w:lang w:val="en-GB"/>
        </w:rPr>
        <w:t>L.</w:t>
      </w:r>
      <w:r w:rsidRPr="00B124DC">
        <w:rPr>
          <w:lang w:val="en-GB"/>
        </w:rPr>
        <w:t xml:space="preserve"> </w:t>
      </w:r>
      <w:r w:rsidRPr="00B124DC">
        <w:rPr>
          <w:rStyle w:val="JuNames"/>
          <w:lang w:val="en-GB"/>
        </w:rPr>
        <w:t>Wildhaber</w:t>
      </w:r>
      <w:r w:rsidRPr="00B124DC">
        <w:rPr>
          <w:lang w:val="en-GB"/>
        </w:rPr>
        <w:t xml:space="preserve">, </w:t>
      </w:r>
      <w:r w:rsidR="006C62FA" w:rsidRPr="00B124DC">
        <w:rPr>
          <w:i/>
          <w:lang w:val="en-GB"/>
        </w:rPr>
        <w:t>President</w:t>
      </w:r>
      <w:r w:rsidR="006C62FA" w:rsidRPr="00B124DC">
        <w:rPr>
          <w:lang w:val="en-GB"/>
        </w:rPr>
        <w:t>,</w:t>
      </w:r>
      <w:r w:rsidRPr="00B124DC">
        <w:rPr>
          <w:lang w:val="en-GB"/>
        </w:rPr>
        <w:br/>
      </w:r>
      <w:r w:rsidRPr="00B124DC">
        <w:rPr>
          <w:lang w:val="en-GB"/>
        </w:rPr>
        <w:tab/>
        <w:t>Mr</w:t>
      </w:r>
      <w:r w:rsidRPr="00B124DC">
        <w:rPr>
          <w:lang w:val="en-GB"/>
        </w:rPr>
        <w:tab/>
      </w:r>
      <w:r w:rsidRPr="00B124DC">
        <w:rPr>
          <w:rStyle w:val="JuNames"/>
          <w:lang w:val="en-GB"/>
        </w:rPr>
        <w:t>C.L.</w:t>
      </w:r>
      <w:r w:rsidRPr="00B124DC">
        <w:rPr>
          <w:lang w:val="en-GB"/>
        </w:rPr>
        <w:t xml:space="preserve"> </w:t>
      </w:r>
      <w:r w:rsidRPr="00B124DC">
        <w:rPr>
          <w:rStyle w:val="JuNames"/>
          <w:lang w:val="en-GB"/>
        </w:rPr>
        <w:t>Rozakis</w:t>
      </w:r>
      <w:r w:rsidRPr="00B124DC">
        <w:rPr>
          <w:lang w:val="en-GB"/>
        </w:rPr>
        <w:t>,</w:t>
      </w:r>
      <w:r w:rsidRPr="00B124DC">
        <w:rPr>
          <w:lang w:val="en-GB"/>
        </w:rPr>
        <w:br/>
      </w:r>
      <w:r w:rsidRPr="00B124DC">
        <w:rPr>
          <w:lang w:val="en-GB"/>
        </w:rPr>
        <w:tab/>
        <w:t>Mr</w:t>
      </w:r>
      <w:r w:rsidRPr="00B124DC">
        <w:rPr>
          <w:lang w:val="en-GB"/>
        </w:rPr>
        <w:tab/>
      </w:r>
      <w:r w:rsidRPr="00B124DC">
        <w:rPr>
          <w:rStyle w:val="JuNames"/>
          <w:lang w:val="en-GB"/>
        </w:rPr>
        <w:t>J.-P.</w:t>
      </w:r>
      <w:r w:rsidRPr="00B124DC">
        <w:rPr>
          <w:lang w:val="en-GB"/>
        </w:rPr>
        <w:t xml:space="preserve"> </w:t>
      </w:r>
      <w:r w:rsidRPr="00B124DC">
        <w:rPr>
          <w:rStyle w:val="JuNames"/>
          <w:lang w:val="en-GB"/>
        </w:rPr>
        <w:t>Costa</w:t>
      </w:r>
      <w:r w:rsidRPr="00B124DC">
        <w:rPr>
          <w:lang w:val="en-GB"/>
        </w:rPr>
        <w:t>,</w:t>
      </w:r>
      <w:r w:rsidRPr="00B124DC">
        <w:rPr>
          <w:lang w:val="en-GB"/>
        </w:rPr>
        <w:br/>
      </w:r>
      <w:r w:rsidRPr="00B124DC">
        <w:rPr>
          <w:lang w:val="en-GB"/>
        </w:rPr>
        <w:tab/>
        <w:t>Mr</w:t>
      </w:r>
      <w:r w:rsidRPr="00B124DC">
        <w:rPr>
          <w:lang w:val="en-GB"/>
        </w:rPr>
        <w:tab/>
      </w:r>
      <w:r w:rsidRPr="00B124DC">
        <w:rPr>
          <w:rStyle w:val="JuNames"/>
          <w:lang w:val="en-GB"/>
        </w:rPr>
        <w:t>B.</w:t>
      </w:r>
      <w:r w:rsidRPr="00B124DC">
        <w:rPr>
          <w:lang w:val="en-GB"/>
        </w:rPr>
        <w:t xml:space="preserve"> </w:t>
      </w:r>
      <w:r w:rsidRPr="00B124DC">
        <w:rPr>
          <w:rStyle w:val="JuNames"/>
          <w:lang w:val="en-GB"/>
        </w:rPr>
        <w:t>Zupančič</w:t>
      </w:r>
      <w:r w:rsidRPr="00B124DC">
        <w:rPr>
          <w:lang w:val="en-GB"/>
        </w:rPr>
        <w:t>,</w:t>
      </w:r>
      <w:r w:rsidRPr="00B124DC">
        <w:rPr>
          <w:lang w:val="en-GB"/>
        </w:rPr>
        <w:br/>
      </w:r>
      <w:r w:rsidRPr="00B124DC">
        <w:rPr>
          <w:lang w:val="en-GB"/>
        </w:rPr>
        <w:tab/>
        <w:t>Mr</w:t>
      </w:r>
      <w:r w:rsidRPr="00B124DC">
        <w:rPr>
          <w:lang w:val="en-GB"/>
        </w:rPr>
        <w:tab/>
      </w:r>
      <w:r w:rsidRPr="00B124DC">
        <w:rPr>
          <w:rStyle w:val="JuNames"/>
          <w:lang w:val="en-GB"/>
        </w:rPr>
        <w:t>R.</w:t>
      </w:r>
      <w:r w:rsidRPr="00B124DC">
        <w:rPr>
          <w:lang w:val="en-GB"/>
        </w:rPr>
        <w:t xml:space="preserve"> </w:t>
      </w:r>
      <w:r w:rsidRPr="00B124DC">
        <w:rPr>
          <w:rStyle w:val="JuNames"/>
          <w:lang w:val="en-GB"/>
        </w:rPr>
        <w:t>Türmen,</w:t>
      </w:r>
      <w:r w:rsidRPr="00B124DC">
        <w:rPr>
          <w:lang w:val="en-GB"/>
        </w:rPr>
        <w:br/>
      </w:r>
      <w:r w:rsidRPr="00B124DC">
        <w:rPr>
          <w:lang w:val="en-GB"/>
        </w:rPr>
        <w:tab/>
      </w:r>
      <w:r w:rsidR="00A60622" w:rsidRPr="00B124DC">
        <w:rPr>
          <w:lang w:val="en-GB"/>
        </w:rPr>
        <w:t>Mrs</w:t>
      </w:r>
      <w:r w:rsidR="00A60622" w:rsidRPr="00B124DC">
        <w:rPr>
          <w:lang w:val="en-GB"/>
        </w:rPr>
        <w:tab/>
        <w:t xml:space="preserve">F. </w:t>
      </w:r>
      <w:r w:rsidR="00A60622" w:rsidRPr="00B124DC">
        <w:rPr>
          <w:rStyle w:val="JuNames"/>
          <w:lang w:val="en-GB"/>
        </w:rPr>
        <w:t>Tulkens,</w:t>
      </w:r>
      <w:r w:rsidR="00A60622" w:rsidRPr="00B124DC">
        <w:rPr>
          <w:rStyle w:val="JuNames"/>
          <w:lang w:val="en-GB"/>
        </w:rPr>
        <w:br/>
      </w:r>
      <w:r w:rsidR="00A60622" w:rsidRPr="00B124DC">
        <w:rPr>
          <w:lang w:val="en-GB"/>
        </w:rPr>
        <w:tab/>
      </w:r>
      <w:r w:rsidRPr="00B124DC">
        <w:rPr>
          <w:lang w:val="en-GB"/>
        </w:rPr>
        <w:t>Mr</w:t>
      </w:r>
      <w:r w:rsidRPr="00B124DC">
        <w:rPr>
          <w:lang w:val="en-GB"/>
        </w:rPr>
        <w:tab/>
      </w:r>
      <w:r w:rsidRPr="00B124DC">
        <w:rPr>
          <w:rStyle w:val="JuNames"/>
          <w:lang w:val="en-GB"/>
        </w:rPr>
        <w:t>C.</w:t>
      </w:r>
      <w:r w:rsidRPr="00B124DC">
        <w:rPr>
          <w:lang w:val="en-GB"/>
        </w:rPr>
        <w:t xml:space="preserve"> </w:t>
      </w:r>
      <w:r w:rsidRPr="00B124DC">
        <w:rPr>
          <w:rStyle w:val="JuNames"/>
          <w:lang w:val="en-GB"/>
        </w:rPr>
        <w:t>Bîrsan,</w:t>
      </w:r>
      <w:r w:rsidRPr="00B124DC">
        <w:rPr>
          <w:lang w:val="en-GB"/>
        </w:rPr>
        <w:br/>
      </w:r>
      <w:r w:rsidRPr="00B124DC">
        <w:rPr>
          <w:lang w:val="en-GB"/>
        </w:rPr>
        <w:tab/>
        <w:t>Mr</w:t>
      </w:r>
      <w:r w:rsidRPr="00B124DC">
        <w:rPr>
          <w:lang w:val="en-GB"/>
        </w:rPr>
        <w:tab/>
      </w:r>
      <w:r w:rsidRPr="00B124DC">
        <w:rPr>
          <w:rStyle w:val="JuNames"/>
          <w:lang w:val="en-GB"/>
        </w:rPr>
        <w:t>K.</w:t>
      </w:r>
      <w:r w:rsidRPr="00B124DC">
        <w:rPr>
          <w:lang w:val="en-GB"/>
        </w:rPr>
        <w:t xml:space="preserve"> </w:t>
      </w:r>
      <w:r w:rsidRPr="00B124DC">
        <w:rPr>
          <w:rStyle w:val="JuNames"/>
          <w:lang w:val="en-GB"/>
        </w:rPr>
        <w:t>Jungwiert,</w:t>
      </w:r>
      <w:r w:rsidRPr="00B124DC">
        <w:rPr>
          <w:rStyle w:val="JuNames"/>
          <w:lang w:val="en-GB"/>
        </w:rPr>
        <w:br/>
      </w:r>
      <w:r w:rsidRPr="00B124DC">
        <w:rPr>
          <w:lang w:val="en-GB"/>
        </w:rPr>
        <w:tab/>
        <w:t>Mr</w:t>
      </w:r>
      <w:r w:rsidRPr="00B124DC">
        <w:rPr>
          <w:lang w:val="en-GB"/>
        </w:rPr>
        <w:tab/>
      </w:r>
      <w:r w:rsidRPr="00B124DC">
        <w:rPr>
          <w:rStyle w:val="JuNames"/>
          <w:lang w:val="en-GB"/>
        </w:rPr>
        <w:t>V.</w:t>
      </w:r>
      <w:r w:rsidRPr="00B124DC">
        <w:rPr>
          <w:lang w:val="en-GB"/>
        </w:rPr>
        <w:t xml:space="preserve"> </w:t>
      </w:r>
      <w:r w:rsidRPr="00B124DC">
        <w:rPr>
          <w:rStyle w:val="JuNames"/>
          <w:lang w:val="en-GB"/>
        </w:rPr>
        <w:t>Butkevych,</w:t>
      </w:r>
      <w:r w:rsidRPr="00B124DC">
        <w:rPr>
          <w:lang w:val="en-GB"/>
        </w:rPr>
        <w:br/>
      </w:r>
      <w:r w:rsidRPr="00B124DC">
        <w:rPr>
          <w:lang w:val="en-GB"/>
        </w:rPr>
        <w:tab/>
        <w:t>Mrs</w:t>
      </w:r>
      <w:r w:rsidRPr="00B124DC">
        <w:rPr>
          <w:lang w:val="en-GB"/>
        </w:rPr>
        <w:tab/>
      </w:r>
      <w:r w:rsidRPr="00B124DC">
        <w:rPr>
          <w:rStyle w:val="JuNames"/>
          <w:lang w:val="en-GB"/>
        </w:rPr>
        <w:t>N.</w:t>
      </w:r>
      <w:r w:rsidRPr="00B124DC">
        <w:rPr>
          <w:lang w:val="en-GB"/>
        </w:rPr>
        <w:t xml:space="preserve"> </w:t>
      </w:r>
      <w:r w:rsidRPr="00B124DC">
        <w:rPr>
          <w:rStyle w:val="JuNames"/>
          <w:lang w:val="en-GB"/>
        </w:rPr>
        <w:t>Vajić,</w:t>
      </w:r>
      <w:r w:rsidRPr="00B124DC">
        <w:rPr>
          <w:lang w:val="en-GB"/>
        </w:rPr>
        <w:br/>
      </w:r>
      <w:r w:rsidRPr="00B124DC">
        <w:rPr>
          <w:lang w:val="en-GB"/>
        </w:rPr>
        <w:tab/>
        <w:t>Mr</w:t>
      </w:r>
      <w:r w:rsidRPr="00B124DC">
        <w:rPr>
          <w:lang w:val="en-GB"/>
        </w:rPr>
        <w:tab/>
      </w:r>
      <w:r w:rsidRPr="00B124DC">
        <w:rPr>
          <w:rStyle w:val="JuNames"/>
          <w:lang w:val="en-GB"/>
        </w:rPr>
        <w:t>M.</w:t>
      </w:r>
      <w:r w:rsidRPr="00B124DC">
        <w:rPr>
          <w:lang w:val="en-GB"/>
        </w:rPr>
        <w:t xml:space="preserve"> </w:t>
      </w:r>
      <w:r w:rsidRPr="00B124DC">
        <w:rPr>
          <w:rStyle w:val="JuNames"/>
          <w:lang w:val="en-GB"/>
        </w:rPr>
        <w:t>Ugrekhelidze,</w:t>
      </w:r>
      <w:r w:rsidRPr="00B124DC">
        <w:rPr>
          <w:rStyle w:val="JuNames"/>
          <w:lang w:val="en-GB"/>
        </w:rPr>
        <w:br/>
      </w:r>
      <w:r w:rsidRPr="00B124DC">
        <w:rPr>
          <w:lang w:val="en-GB"/>
        </w:rPr>
        <w:tab/>
        <w:t>Mrs</w:t>
      </w:r>
      <w:r w:rsidRPr="00B124DC">
        <w:rPr>
          <w:lang w:val="en-GB"/>
        </w:rPr>
        <w:tab/>
      </w:r>
      <w:r w:rsidRPr="00B124DC">
        <w:rPr>
          <w:rStyle w:val="JuNames"/>
          <w:lang w:val="en-GB"/>
        </w:rPr>
        <w:t>A.</w:t>
      </w:r>
      <w:r w:rsidRPr="00B124DC">
        <w:rPr>
          <w:lang w:val="en-GB"/>
        </w:rPr>
        <w:t xml:space="preserve"> </w:t>
      </w:r>
      <w:r w:rsidRPr="00B124DC">
        <w:rPr>
          <w:rStyle w:val="JuNames"/>
          <w:lang w:val="en-GB"/>
        </w:rPr>
        <w:t>Mularoni,</w:t>
      </w:r>
      <w:r w:rsidRPr="00B124DC">
        <w:rPr>
          <w:rStyle w:val="JuNames"/>
          <w:lang w:val="en-GB"/>
        </w:rPr>
        <w:br/>
      </w:r>
      <w:r w:rsidRPr="00B124DC">
        <w:rPr>
          <w:lang w:val="en-GB"/>
        </w:rPr>
        <w:tab/>
        <w:t>Mr</w:t>
      </w:r>
      <w:r w:rsidRPr="00B124DC">
        <w:rPr>
          <w:lang w:val="en-GB"/>
        </w:rPr>
        <w:tab/>
      </w:r>
      <w:r w:rsidRPr="00B124DC">
        <w:rPr>
          <w:rStyle w:val="JuNames"/>
          <w:lang w:val="en-GB"/>
        </w:rPr>
        <w:t>J.</w:t>
      </w:r>
      <w:r w:rsidRPr="00B124DC">
        <w:rPr>
          <w:lang w:val="en-GB"/>
        </w:rPr>
        <w:t xml:space="preserve"> </w:t>
      </w:r>
      <w:r w:rsidRPr="00B124DC">
        <w:rPr>
          <w:rStyle w:val="JuNames"/>
          <w:lang w:val="en-GB"/>
        </w:rPr>
        <w:t>Borrego Borrego,</w:t>
      </w:r>
      <w:r w:rsidRPr="00B124DC">
        <w:rPr>
          <w:rStyle w:val="JuNames"/>
          <w:lang w:val="en-GB"/>
        </w:rPr>
        <w:br/>
      </w:r>
      <w:r w:rsidRPr="00B124DC">
        <w:rPr>
          <w:lang w:val="en-GB"/>
        </w:rPr>
        <w:tab/>
        <w:t>Mrs</w:t>
      </w:r>
      <w:r w:rsidRPr="00B124DC">
        <w:rPr>
          <w:lang w:val="en-GB"/>
        </w:rPr>
        <w:tab/>
      </w:r>
      <w:r w:rsidRPr="00B124DC">
        <w:rPr>
          <w:rStyle w:val="JuNames"/>
          <w:lang w:val="en-GB"/>
        </w:rPr>
        <w:t>E.</w:t>
      </w:r>
      <w:r w:rsidRPr="00B124DC">
        <w:rPr>
          <w:lang w:val="en-GB"/>
        </w:rPr>
        <w:t xml:space="preserve"> </w:t>
      </w:r>
      <w:r w:rsidRPr="00B124DC">
        <w:rPr>
          <w:rStyle w:val="JuNames"/>
          <w:lang w:val="en-GB"/>
        </w:rPr>
        <w:t>Fura-Sandström,</w:t>
      </w:r>
      <w:r w:rsidRPr="00B124DC">
        <w:rPr>
          <w:rStyle w:val="JuNames"/>
          <w:lang w:val="en-GB"/>
        </w:rPr>
        <w:br/>
      </w:r>
      <w:r w:rsidRPr="00B124DC">
        <w:rPr>
          <w:lang w:val="en-GB"/>
        </w:rPr>
        <w:tab/>
        <w:t>Mrs</w:t>
      </w:r>
      <w:r w:rsidRPr="00B124DC">
        <w:rPr>
          <w:lang w:val="en-GB"/>
        </w:rPr>
        <w:tab/>
      </w:r>
      <w:r w:rsidRPr="00B124DC">
        <w:rPr>
          <w:rStyle w:val="JuNames"/>
          <w:lang w:val="en-GB"/>
        </w:rPr>
        <w:t>A.</w:t>
      </w:r>
      <w:r w:rsidRPr="00B124DC">
        <w:rPr>
          <w:lang w:val="en-GB"/>
        </w:rPr>
        <w:t xml:space="preserve"> </w:t>
      </w:r>
      <w:r w:rsidRPr="00B124DC">
        <w:rPr>
          <w:rStyle w:val="JuNames"/>
          <w:lang w:val="en-GB"/>
        </w:rPr>
        <w:t>Gyulumyan,</w:t>
      </w:r>
      <w:r w:rsidRPr="00B124DC">
        <w:rPr>
          <w:rStyle w:val="JuNames"/>
          <w:lang w:val="en-GB"/>
        </w:rPr>
        <w:br/>
      </w:r>
      <w:r w:rsidRPr="00B124DC">
        <w:rPr>
          <w:lang w:val="en-GB"/>
        </w:rPr>
        <w:tab/>
        <w:t>Mr</w:t>
      </w:r>
      <w:r w:rsidRPr="00B124DC">
        <w:rPr>
          <w:lang w:val="en-GB"/>
        </w:rPr>
        <w:tab/>
      </w:r>
      <w:r w:rsidRPr="00B124DC">
        <w:rPr>
          <w:rStyle w:val="JuNames"/>
          <w:lang w:val="en-GB"/>
        </w:rPr>
        <w:t>E.</w:t>
      </w:r>
      <w:r w:rsidRPr="00B124DC">
        <w:rPr>
          <w:lang w:val="en-GB"/>
        </w:rPr>
        <w:t xml:space="preserve"> </w:t>
      </w:r>
      <w:r w:rsidRPr="00B124DC">
        <w:rPr>
          <w:rStyle w:val="JuNames"/>
          <w:lang w:val="en-GB"/>
        </w:rPr>
        <w:t>Myjer,</w:t>
      </w:r>
      <w:r w:rsidRPr="00B124DC">
        <w:rPr>
          <w:rStyle w:val="JuNames"/>
          <w:lang w:val="en-GB"/>
        </w:rPr>
        <w:br/>
      </w:r>
      <w:r w:rsidRPr="00B124DC">
        <w:rPr>
          <w:lang w:val="en-GB"/>
        </w:rPr>
        <w:tab/>
        <w:t>Mr</w:t>
      </w:r>
      <w:r w:rsidRPr="00B124DC">
        <w:rPr>
          <w:lang w:val="en-GB"/>
        </w:rPr>
        <w:tab/>
      </w:r>
      <w:r w:rsidR="00A60622" w:rsidRPr="00B124DC">
        <w:rPr>
          <w:rStyle w:val="JuNames"/>
          <w:lang w:val="en-GB"/>
        </w:rPr>
        <w:t>S.E.</w:t>
      </w:r>
      <w:r w:rsidRPr="00B124DC">
        <w:rPr>
          <w:rStyle w:val="JuNames"/>
          <w:lang w:val="en-GB"/>
        </w:rPr>
        <w:t xml:space="preserve"> </w:t>
      </w:r>
      <w:r w:rsidR="00A60622" w:rsidRPr="00B124DC">
        <w:rPr>
          <w:rStyle w:val="JuNames"/>
          <w:lang w:val="en-GB"/>
        </w:rPr>
        <w:t>Jebens</w:t>
      </w:r>
      <w:r w:rsidRPr="00B124DC">
        <w:rPr>
          <w:rStyle w:val="JuNames"/>
          <w:lang w:val="en-GB"/>
        </w:rPr>
        <w:t>,</w:t>
      </w:r>
      <w:r w:rsidRPr="00B124DC">
        <w:rPr>
          <w:lang w:val="en-GB"/>
        </w:rPr>
        <w:t xml:space="preserve"> </w:t>
      </w:r>
      <w:r w:rsidRPr="00B124DC">
        <w:rPr>
          <w:i/>
          <w:iCs/>
          <w:lang w:val="en-GB"/>
        </w:rPr>
        <w:t>judges</w:t>
      </w:r>
      <w:r w:rsidRPr="00B124DC">
        <w:rPr>
          <w:lang w:val="en-GB"/>
        </w:rPr>
        <w:t>,</w:t>
      </w:r>
      <w:r w:rsidRPr="00B124DC">
        <w:rPr>
          <w:lang w:val="en-GB"/>
        </w:rPr>
        <w:br/>
      </w:r>
      <w:r w:rsidR="0017616B" w:rsidRPr="00B124DC">
        <w:rPr>
          <w:lang w:val="en-GB"/>
        </w:rPr>
        <w:t xml:space="preserve">and </w:t>
      </w:r>
      <w:r w:rsidR="00DA2DA1" w:rsidRPr="00B124DC">
        <w:rPr>
          <w:lang w:val="en-GB"/>
        </w:rPr>
        <w:t xml:space="preserve">Mr T.L. </w:t>
      </w:r>
      <w:r w:rsidR="00DA2DA1" w:rsidRPr="00B124DC">
        <w:rPr>
          <w:rStyle w:val="JuNames"/>
          <w:lang w:val="en-GB"/>
        </w:rPr>
        <w:t>Early</w:t>
      </w:r>
      <w:r w:rsidR="0017616B" w:rsidRPr="00B124DC">
        <w:rPr>
          <w:lang w:val="en-GB"/>
        </w:rPr>
        <w:t xml:space="preserve">, </w:t>
      </w:r>
      <w:r w:rsidR="00DA2DA1" w:rsidRPr="00B124DC">
        <w:rPr>
          <w:i/>
          <w:iCs/>
          <w:lang w:val="en-GB"/>
        </w:rPr>
        <w:t>Deputy</w:t>
      </w:r>
      <w:r w:rsidR="00932AF2">
        <w:rPr>
          <w:i/>
          <w:iCs/>
          <w:lang w:val="en-GB"/>
        </w:rPr>
        <w:t xml:space="preserve"> </w:t>
      </w:r>
      <w:r w:rsidR="00DA2DA1" w:rsidRPr="00B124DC">
        <w:rPr>
          <w:i/>
          <w:iCs/>
          <w:lang w:val="en-GB"/>
        </w:rPr>
        <w:t>Grand Chamber Registrar</w:t>
      </w:r>
      <w:r w:rsidR="0017616B" w:rsidRPr="00B124DC">
        <w:rPr>
          <w:lang w:val="en-GB"/>
        </w:rPr>
        <w:t>,</w:t>
      </w:r>
    </w:p>
    <w:p w:rsidR="0017616B" w:rsidRPr="00B124DC" w:rsidRDefault="0017616B" w:rsidP="0017616B">
      <w:pPr>
        <w:pStyle w:val="JuParaCharCharCharCharCharCharChar"/>
        <w:rPr>
          <w:lang w:val="en-GB"/>
        </w:rPr>
      </w:pPr>
      <w:r w:rsidRPr="00B124DC">
        <w:rPr>
          <w:lang w:val="en-GB"/>
        </w:rPr>
        <w:t xml:space="preserve">Having deliberated in private on </w:t>
      </w:r>
      <w:r w:rsidR="005E7E60" w:rsidRPr="00B124DC">
        <w:rPr>
          <w:lang w:val="en-GB"/>
        </w:rPr>
        <w:t>18</w:t>
      </w:r>
      <w:r w:rsidRPr="00B124DC">
        <w:rPr>
          <w:lang w:val="en-GB"/>
        </w:rPr>
        <w:t xml:space="preserve"> </w:t>
      </w:r>
      <w:r w:rsidR="005E7E60" w:rsidRPr="00B124DC">
        <w:rPr>
          <w:lang w:val="en-GB"/>
        </w:rPr>
        <w:t>May</w:t>
      </w:r>
      <w:r w:rsidRPr="00B124DC">
        <w:rPr>
          <w:lang w:val="en-GB"/>
        </w:rPr>
        <w:t xml:space="preserve"> and </w:t>
      </w:r>
      <w:smartTag w:uri="urn:schemas-microsoft-com:office:smarttags" w:element="date">
        <w:smartTagPr>
          <w:attr w:name="Month" w:val="10"/>
          <w:attr w:name="Day" w:val="5"/>
          <w:attr w:name="Year" w:val="2005"/>
        </w:smartTagPr>
        <w:r w:rsidR="00463CFE" w:rsidRPr="00B124DC">
          <w:rPr>
            <w:lang w:val="en-GB"/>
          </w:rPr>
          <w:t>5</w:t>
        </w:r>
        <w:r w:rsidR="005E7E60" w:rsidRPr="00B124DC">
          <w:rPr>
            <w:lang w:val="en-GB"/>
          </w:rPr>
          <w:t xml:space="preserve"> </w:t>
        </w:r>
        <w:r w:rsidR="00463CFE" w:rsidRPr="00B124DC">
          <w:rPr>
            <w:lang w:val="en-GB"/>
          </w:rPr>
          <w:t xml:space="preserve">October </w:t>
        </w:r>
        <w:r w:rsidR="005E7E60" w:rsidRPr="00B124DC">
          <w:rPr>
            <w:lang w:val="en-GB"/>
          </w:rPr>
          <w:t>2005</w:t>
        </w:r>
      </w:smartTag>
      <w:r w:rsidRPr="00B124DC">
        <w:rPr>
          <w:lang w:val="en-GB"/>
        </w:rPr>
        <w:t>,</w:t>
      </w:r>
    </w:p>
    <w:p w:rsidR="0017616B" w:rsidRPr="00B124DC" w:rsidRDefault="0017616B" w:rsidP="0017616B">
      <w:pPr>
        <w:pStyle w:val="JuParaCharCharCharCharCharCharChar"/>
        <w:rPr>
          <w:lang w:val="en-GB"/>
        </w:rPr>
      </w:pPr>
      <w:r w:rsidRPr="00B124DC">
        <w:rPr>
          <w:lang w:val="en-GB"/>
        </w:rPr>
        <w:t>Delivers the following judgment, which was adopted on the last</w:t>
      </w:r>
      <w:r w:rsidRPr="00B124DC">
        <w:rPr>
          <w:lang w:val="en-GB"/>
        </w:rPr>
        <w:noBreakHyphen/>
        <w:t>mentioned date:</w:t>
      </w:r>
    </w:p>
    <w:p w:rsidR="0017616B" w:rsidRPr="00B124DC" w:rsidRDefault="0017616B" w:rsidP="0017616B">
      <w:pPr>
        <w:pStyle w:val="JuHHead"/>
        <w:keepNext/>
        <w:rPr>
          <w:lang w:val="en-GB"/>
        </w:rPr>
      </w:pPr>
      <w:r w:rsidRPr="00B124DC">
        <w:rPr>
          <w:lang w:val="en-GB"/>
        </w:rPr>
        <w:t>PROCEDURE</w:t>
      </w:r>
    </w:p>
    <w:p w:rsidR="0017616B" w:rsidRPr="00B124DC" w:rsidRDefault="0017616B" w:rsidP="0017616B">
      <w:pPr>
        <w:pStyle w:val="JuParaCharCharChar0"/>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w:t>
      </w:r>
      <w:r w:rsidRPr="00B124DC">
        <w:rPr>
          <w:lang w:val="en-GB"/>
        </w:rPr>
        <w:fldChar w:fldCharType="end"/>
      </w:r>
      <w:r w:rsidRPr="00B124DC">
        <w:rPr>
          <w:lang w:val="en-GB"/>
        </w:rPr>
        <w:t xml:space="preserve">.  The case originated in an application (no. 44774/98) against the </w:t>
      </w:r>
      <w:smartTag w:uri="urn:schemas-microsoft-com:office:smarttags" w:element="place">
        <w:smartTag w:uri="urn:schemas-microsoft-com:office:smarttags" w:element="PlaceType">
          <w:r w:rsidRPr="00B124DC">
            <w:rPr>
              <w:lang w:val="en-GB"/>
            </w:rPr>
            <w:t>Republic</w:t>
          </w:r>
        </w:smartTag>
        <w:r w:rsidRPr="00B124DC">
          <w:rPr>
            <w:lang w:val="en-GB"/>
          </w:rPr>
          <w:t xml:space="preserve"> of </w:t>
        </w:r>
        <w:smartTag w:uri="urn:schemas-microsoft-com:office:smarttags" w:element="PlaceName">
          <w:r w:rsidRPr="00B124DC">
            <w:rPr>
              <w:lang w:val="en-GB"/>
            </w:rPr>
            <w:t>Turkey</w:t>
          </w:r>
        </w:smartTag>
      </w:smartTag>
      <w:r w:rsidRPr="00B124DC">
        <w:rPr>
          <w:lang w:val="en-GB"/>
        </w:rPr>
        <w:t xml:space="preserve"> lodged with the European Commission of Human Rights (“the Commission”) under former Article 25 of the Convention for the Protection of Human Rights and Fundamental Freedoms (“the Convention”) by a Turkish national, Ms Leyla Şahin (“the applicant”), on </w:t>
      </w:r>
      <w:smartTag w:uri="urn:schemas-microsoft-com:office:smarttags" w:element="date">
        <w:smartTagPr>
          <w:attr w:name="Month" w:val="7"/>
          <w:attr w:name="Day" w:val="21"/>
          <w:attr w:name="Year" w:val="1998"/>
        </w:smartTagPr>
        <w:r w:rsidRPr="00B124DC">
          <w:rPr>
            <w:lang w:val="en-GB"/>
          </w:rPr>
          <w:t>21</w:t>
        </w:r>
        <w:r w:rsidR="00B61060" w:rsidRPr="00B124DC">
          <w:rPr>
            <w:lang w:val="en-GB"/>
          </w:rPr>
          <w:t> </w:t>
        </w:r>
        <w:r w:rsidRPr="00B124DC">
          <w:rPr>
            <w:lang w:val="en-GB"/>
          </w:rPr>
          <w:t>July 1998</w:t>
        </w:r>
      </w:smartTag>
      <w:r w:rsidRPr="00B124DC">
        <w:rPr>
          <w:lang w:val="en-GB"/>
        </w:rPr>
        <w:t>.</w:t>
      </w:r>
    </w:p>
    <w:p w:rsidR="005E7E60" w:rsidRPr="00B124DC" w:rsidRDefault="0017616B" w:rsidP="0017616B">
      <w:pPr>
        <w:pStyle w:val="JuParaCharCharChar0"/>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2</w:t>
      </w:r>
      <w:r w:rsidRPr="00B124DC">
        <w:rPr>
          <w:lang w:val="en-GB"/>
        </w:rPr>
        <w:fldChar w:fldCharType="end"/>
      </w:r>
      <w:r w:rsidRPr="00B124DC">
        <w:rPr>
          <w:lang w:val="en-GB"/>
        </w:rPr>
        <w:t>.  </w:t>
      </w:r>
      <w:r w:rsidR="00BC4178" w:rsidRPr="00B124DC">
        <w:rPr>
          <w:lang w:val="en-GB"/>
        </w:rPr>
        <w:t xml:space="preserve">The applicant was represented by </w:t>
      </w:r>
      <w:r w:rsidR="005E7E60" w:rsidRPr="00B124DC">
        <w:rPr>
          <w:lang w:val="en-GB"/>
        </w:rPr>
        <w:t>M</w:t>
      </w:r>
      <w:r w:rsidR="00BC4178" w:rsidRPr="00B124DC">
        <w:rPr>
          <w:lang w:val="en-GB"/>
        </w:rPr>
        <w:t>r</w:t>
      </w:r>
      <w:r w:rsidR="005E7E60" w:rsidRPr="00B124DC">
        <w:rPr>
          <w:lang w:val="en-GB"/>
        </w:rPr>
        <w:t xml:space="preserve"> X. Magnée, </w:t>
      </w:r>
      <w:r w:rsidR="00BC4178" w:rsidRPr="00B124DC">
        <w:rPr>
          <w:lang w:val="en-GB"/>
        </w:rPr>
        <w:t>of the</w:t>
      </w:r>
      <w:r w:rsidR="005E7E60" w:rsidRPr="00B124DC">
        <w:rPr>
          <w:lang w:val="en-GB"/>
        </w:rPr>
        <w:t xml:space="preserve"> Bru</w:t>
      </w:r>
      <w:r w:rsidR="00BC4178" w:rsidRPr="00B124DC">
        <w:rPr>
          <w:lang w:val="en-GB"/>
        </w:rPr>
        <w:t>ssels Bar</w:t>
      </w:r>
      <w:r w:rsidR="00F54AC2" w:rsidRPr="00B124DC">
        <w:rPr>
          <w:lang w:val="en-GB"/>
        </w:rPr>
        <w:t>,</w:t>
      </w:r>
      <w:r w:rsidR="00BC4178" w:rsidRPr="00B124DC">
        <w:rPr>
          <w:lang w:val="en-GB"/>
        </w:rPr>
        <w:t xml:space="preserve"> and Mr</w:t>
      </w:r>
      <w:r w:rsidR="005E7E60" w:rsidRPr="00B124DC">
        <w:rPr>
          <w:lang w:val="en-GB"/>
        </w:rPr>
        <w:t xml:space="preserve"> K.</w:t>
      </w:r>
      <w:r w:rsidR="00BC4178" w:rsidRPr="00B124DC">
        <w:rPr>
          <w:lang w:val="en-GB"/>
        </w:rPr>
        <w:t xml:space="preserve"> </w:t>
      </w:r>
      <w:r w:rsidR="005E7E60" w:rsidRPr="00B124DC">
        <w:rPr>
          <w:lang w:val="en-GB"/>
        </w:rPr>
        <w:t xml:space="preserve">Berzeg, </w:t>
      </w:r>
      <w:r w:rsidR="00BC4178" w:rsidRPr="00B124DC">
        <w:rPr>
          <w:lang w:val="en-GB"/>
        </w:rPr>
        <w:t>of the</w:t>
      </w:r>
      <w:r w:rsidR="005E7E60" w:rsidRPr="00B124DC">
        <w:rPr>
          <w:lang w:val="en-GB"/>
        </w:rPr>
        <w:t xml:space="preserve"> Ankara</w:t>
      </w:r>
      <w:r w:rsidR="00BC4178" w:rsidRPr="00B124DC">
        <w:rPr>
          <w:lang w:val="en-GB"/>
        </w:rPr>
        <w:t xml:space="preserve"> Bar</w:t>
      </w:r>
      <w:r w:rsidR="005E7E60" w:rsidRPr="00B124DC">
        <w:rPr>
          <w:lang w:val="en-GB"/>
        </w:rPr>
        <w:t xml:space="preserve">. </w:t>
      </w:r>
      <w:r w:rsidR="00BC4178" w:rsidRPr="00B124DC">
        <w:rPr>
          <w:lang w:val="en-GB"/>
        </w:rPr>
        <w:t>The Turkish Government</w:t>
      </w:r>
      <w:r w:rsidR="005E7E60" w:rsidRPr="00B124DC">
        <w:rPr>
          <w:lang w:val="en-GB"/>
        </w:rPr>
        <w:t xml:space="preserve"> (</w:t>
      </w:r>
      <w:r w:rsidR="00BC4178" w:rsidRPr="00B124DC">
        <w:rPr>
          <w:lang w:val="en-GB"/>
        </w:rPr>
        <w:t>“the Government”</w:t>
      </w:r>
      <w:r w:rsidR="005E7E60" w:rsidRPr="00B124DC">
        <w:rPr>
          <w:lang w:val="en-GB"/>
        </w:rPr>
        <w:t xml:space="preserve">) </w:t>
      </w:r>
      <w:r w:rsidR="00BC4178" w:rsidRPr="00B124DC">
        <w:rPr>
          <w:lang w:val="en-GB"/>
        </w:rPr>
        <w:t>were represented by</w:t>
      </w:r>
      <w:r w:rsidR="005E7E60" w:rsidRPr="00B124DC">
        <w:rPr>
          <w:lang w:val="en-GB"/>
        </w:rPr>
        <w:t xml:space="preserve"> M</w:t>
      </w:r>
      <w:r w:rsidR="00BC4178" w:rsidRPr="00B124DC">
        <w:rPr>
          <w:lang w:val="en-GB"/>
        </w:rPr>
        <w:t>r</w:t>
      </w:r>
      <w:r w:rsidR="005E7E60" w:rsidRPr="00B124DC">
        <w:rPr>
          <w:lang w:val="en-GB"/>
        </w:rPr>
        <w:t xml:space="preserve"> M. Özmen, co</w:t>
      </w:r>
      <w:r w:rsidR="00BC4178" w:rsidRPr="00B124DC">
        <w:rPr>
          <w:lang w:val="en-GB"/>
        </w:rPr>
        <w:t>-A</w:t>
      </w:r>
      <w:r w:rsidR="005E7E60" w:rsidRPr="00B124DC">
        <w:rPr>
          <w:lang w:val="en-GB"/>
        </w:rPr>
        <w:t>gent</w:t>
      </w:r>
      <w:r w:rsidR="002D4C56" w:rsidRPr="00B124DC">
        <w:rPr>
          <w:lang w:val="en-GB"/>
        </w:rPr>
        <w:t>.</w:t>
      </w:r>
    </w:p>
    <w:p w:rsidR="0017616B" w:rsidRPr="00B124DC" w:rsidRDefault="005E7E60" w:rsidP="0017616B">
      <w:pPr>
        <w:pStyle w:val="JuParaCharCharChar0"/>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3</w:t>
      </w:r>
      <w:r w:rsidRPr="00B124DC">
        <w:rPr>
          <w:lang w:val="en-GB"/>
        </w:rPr>
        <w:fldChar w:fldCharType="end"/>
      </w:r>
      <w:r w:rsidRPr="00B124DC">
        <w:rPr>
          <w:lang w:val="en-GB"/>
        </w:rPr>
        <w:t>.  </w:t>
      </w:r>
      <w:r w:rsidR="0017616B" w:rsidRPr="00B124DC">
        <w:rPr>
          <w:lang w:val="en-GB"/>
        </w:rPr>
        <w:t xml:space="preserve">The applicant alleged that </w:t>
      </w:r>
      <w:r w:rsidR="00260D15" w:rsidRPr="00B124DC">
        <w:rPr>
          <w:lang w:val="en-GB"/>
        </w:rPr>
        <w:t xml:space="preserve">her rights and freedoms under Articles 8, 9, 10 and 14 of the Convention and Article 2 of Protocol No. 1 had been violated by </w:t>
      </w:r>
      <w:r w:rsidRPr="00B124DC">
        <w:rPr>
          <w:lang w:val="en-GB"/>
        </w:rPr>
        <w:t>regulations</w:t>
      </w:r>
      <w:r w:rsidR="0017616B" w:rsidRPr="00B124DC">
        <w:rPr>
          <w:lang w:val="en-GB"/>
        </w:rPr>
        <w:t xml:space="preserve"> on wearing the Islamic headscarf in </w:t>
      </w:r>
      <w:r w:rsidR="001D350D" w:rsidRPr="00B124DC">
        <w:rPr>
          <w:lang w:val="en-GB"/>
        </w:rPr>
        <w:t>institutions of higher education</w:t>
      </w:r>
      <w:r w:rsidR="0017616B" w:rsidRPr="00B124DC">
        <w:rPr>
          <w:lang w:val="en-GB"/>
        </w:rPr>
        <w:t>.</w:t>
      </w:r>
    </w:p>
    <w:p w:rsidR="0017616B" w:rsidRPr="00B124DC" w:rsidRDefault="0017616B" w:rsidP="0017616B">
      <w:pPr>
        <w:pStyle w:val="JuParaCharCharChar0"/>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4</w:t>
      </w:r>
      <w:r w:rsidRPr="00B124DC">
        <w:rPr>
          <w:lang w:val="en-GB"/>
        </w:rPr>
        <w:fldChar w:fldCharType="end"/>
      </w:r>
      <w:r w:rsidRPr="00B124DC">
        <w:rPr>
          <w:lang w:val="en-GB"/>
        </w:rPr>
        <w:t xml:space="preserve">.  The application was transmitted to the Court on </w:t>
      </w:r>
      <w:smartTag w:uri="urn:schemas-microsoft-com:office:smarttags" w:element="date">
        <w:smartTagPr>
          <w:attr w:name="Month" w:val="11"/>
          <w:attr w:name="Day" w:val="1"/>
          <w:attr w:name="Year" w:val="1998"/>
        </w:smartTagPr>
        <w:r w:rsidRPr="00B124DC">
          <w:rPr>
            <w:lang w:val="en-GB"/>
          </w:rPr>
          <w:t>1 November 1998</w:t>
        </w:r>
      </w:smartTag>
      <w:r w:rsidRPr="00B124DC">
        <w:rPr>
          <w:lang w:val="en-GB"/>
        </w:rPr>
        <w:t>, when Protocol No. 11 to the Convention came into force (Article 5 § 2 of Protocol No. 11).</w:t>
      </w:r>
    </w:p>
    <w:p w:rsidR="0098730A" w:rsidRPr="00B124DC" w:rsidRDefault="0017616B" w:rsidP="0017616B">
      <w:pPr>
        <w:pStyle w:val="JuParaCharCharChar0"/>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5</w:t>
      </w:r>
      <w:r w:rsidRPr="00B124DC">
        <w:rPr>
          <w:lang w:val="en-GB"/>
        </w:rPr>
        <w:fldChar w:fldCharType="end"/>
      </w:r>
      <w:r w:rsidRPr="00B124DC">
        <w:rPr>
          <w:lang w:val="en-GB"/>
        </w:rPr>
        <w:t>.  The application was allocated to the F</w:t>
      </w:r>
      <w:r w:rsidR="005E7E60" w:rsidRPr="00B124DC">
        <w:rPr>
          <w:lang w:val="en-GB"/>
        </w:rPr>
        <w:t>ourth</w:t>
      </w:r>
      <w:r w:rsidRPr="00B124DC">
        <w:rPr>
          <w:lang w:val="en-GB"/>
        </w:rPr>
        <w:t xml:space="preserve"> Section of the Court (Rule 52 § 1 of the Rules of Court).</w:t>
      </w:r>
    </w:p>
    <w:p w:rsidR="0017616B" w:rsidRPr="00B124DC" w:rsidRDefault="005E7E60" w:rsidP="0017616B">
      <w:pPr>
        <w:pStyle w:val="JuParaCharCharChar0"/>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6</w:t>
      </w:r>
      <w:r w:rsidRPr="00B124DC">
        <w:rPr>
          <w:lang w:val="en-GB"/>
        </w:rPr>
        <w:fldChar w:fldCharType="end"/>
      </w:r>
      <w:r w:rsidRPr="00B124DC">
        <w:rPr>
          <w:lang w:val="en-GB"/>
        </w:rPr>
        <w:t>.  </w:t>
      </w:r>
      <w:r w:rsidR="0017616B" w:rsidRPr="00B124DC">
        <w:rPr>
          <w:lang w:val="en-GB"/>
        </w:rPr>
        <w:t xml:space="preserve">By a decision of </w:t>
      </w:r>
      <w:smartTag w:uri="urn:schemas-microsoft-com:office:smarttags" w:element="date">
        <w:smartTagPr>
          <w:attr w:name="Month" w:val="7"/>
          <w:attr w:name="Day" w:val="2"/>
          <w:attr w:name="Year" w:val="2002"/>
        </w:smartTagPr>
        <w:r w:rsidR="0017616B" w:rsidRPr="00B124DC">
          <w:rPr>
            <w:lang w:val="en-GB"/>
          </w:rPr>
          <w:t>2 July 2002</w:t>
        </w:r>
      </w:smartTag>
      <w:r w:rsidR="0033597D">
        <w:rPr>
          <w:lang w:val="en-GB"/>
        </w:rPr>
        <w:t>,</w:t>
      </w:r>
      <w:r w:rsidR="0017616B" w:rsidRPr="00B124DC">
        <w:rPr>
          <w:lang w:val="en-GB"/>
        </w:rPr>
        <w:t xml:space="preserve"> the application </w:t>
      </w:r>
      <w:r w:rsidRPr="00B124DC">
        <w:rPr>
          <w:lang w:val="en-GB"/>
        </w:rPr>
        <w:t xml:space="preserve">was declared </w:t>
      </w:r>
      <w:r w:rsidR="0017616B" w:rsidRPr="00B124DC">
        <w:rPr>
          <w:lang w:val="en-GB"/>
        </w:rPr>
        <w:t>admissible</w:t>
      </w:r>
      <w:r w:rsidRPr="00B124DC">
        <w:rPr>
          <w:lang w:val="en-GB"/>
        </w:rPr>
        <w:t xml:space="preserve"> by a Chamber from that Section </w:t>
      </w:r>
      <w:r w:rsidR="00BB4832" w:rsidRPr="00B124DC">
        <w:rPr>
          <w:lang w:val="en-GB"/>
        </w:rPr>
        <w:t xml:space="preserve">composed of </w:t>
      </w:r>
      <w:r w:rsidR="0033597D">
        <w:rPr>
          <w:lang w:val="en-GB"/>
        </w:rPr>
        <w:t xml:space="preserve">Sir </w:t>
      </w:r>
      <w:r w:rsidRPr="00B124DC">
        <w:rPr>
          <w:lang w:val="en-GB"/>
        </w:rPr>
        <w:t xml:space="preserve">Nicolas Bratza, </w:t>
      </w:r>
      <w:r w:rsidR="0033597D">
        <w:rPr>
          <w:lang w:val="en-GB"/>
        </w:rPr>
        <w:t xml:space="preserve">President, </w:t>
      </w:r>
      <w:r w:rsidRPr="00B124DC">
        <w:rPr>
          <w:lang w:val="en-GB"/>
        </w:rPr>
        <w:t>M</w:t>
      </w:r>
      <w:r w:rsidR="00BB4832" w:rsidRPr="00B124DC">
        <w:rPr>
          <w:lang w:val="en-GB"/>
        </w:rPr>
        <w:t>r</w:t>
      </w:r>
      <w:r w:rsidRPr="00B124DC">
        <w:rPr>
          <w:lang w:val="en-GB"/>
        </w:rPr>
        <w:t xml:space="preserve"> M. Pellonpää, M</w:t>
      </w:r>
      <w:r w:rsidR="00BB4832" w:rsidRPr="00B124DC">
        <w:rPr>
          <w:lang w:val="en-GB"/>
        </w:rPr>
        <w:t>rs</w:t>
      </w:r>
      <w:r w:rsidRPr="00B124DC">
        <w:rPr>
          <w:rFonts w:ascii="Times New (W1)" w:hAnsi="Times New (W1)"/>
          <w:lang w:val="en-GB"/>
        </w:rPr>
        <w:t xml:space="preserve"> </w:t>
      </w:r>
      <w:r w:rsidRPr="00B124DC">
        <w:rPr>
          <w:lang w:val="en-GB"/>
        </w:rPr>
        <w:t>E. Palm, M</w:t>
      </w:r>
      <w:r w:rsidR="00BB4832" w:rsidRPr="00B124DC">
        <w:rPr>
          <w:lang w:val="en-GB"/>
        </w:rPr>
        <w:t xml:space="preserve">r </w:t>
      </w:r>
      <w:r w:rsidRPr="00B124DC">
        <w:rPr>
          <w:lang w:val="en-GB"/>
        </w:rPr>
        <w:t>R.</w:t>
      </w:r>
      <w:r w:rsidR="00BB4832" w:rsidRPr="00B124DC">
        <w:rPr>
          <w:lang w:val="en-GB"/>
        </w:rPr>
        <w:t xml:space="preserve"> </w:t>
      </w:r>
      <w:r w:rsidRPr="00B124DC">
        <w:rPr>
          <w:lang w:val="en-GB"/>
        </w:rPr>
        <w:t xml:space="preserve">Türmen, </w:t>
      </w:r>
      <w:r w:rsidR="00BB4832" w:rsidRPr="00B124DC">
        <w:rPr>
          <w:lang w:val="en-GB"/>
        </w:rPr>
        <w:t>Mr</w:t>
      </w:r>
      <w:r w:rsidR="0033597D">
        <w:rPr>
          <w:lang w:val="en-GB"/>
        </w:rPr>
        <w:t xml:space="preserve"> </w:t>
      </w:r>
      <w:r w:rsidRPr="00B124DC">
        <w:rPr>
          <w:lang w:val="en-GB"/>
        </w:rPr>
        <w:t>M.</w:t>
      </w:r>
      <w:r w:rsidR="0033597D">
        <w:rPr>
          <w:lang w:val="en-GB"/>
        </w:rPr>
        <w:t xml:space="preserve"> </w:t>
      </w:r>
      <w:r w:rsidRPr="00B124DC">
        <w:rPr>
          <w:lang w:val="en-GB"/>
        </w:rPr>
        <w:t>Fischbach,</w:t>
      </w:r>
      <w:r w:rsidR="00BB4832" w:rsidRPr="00B124DC">
        <w:rPr>
          <w:lang w:val="en-GB"/>
        </w:rPr>
        <w:t xml:space="preserve"> Mr</w:t>
      </w:r>
      <w:r w:rsidR="0033597D">
        <w:rPr>
          <w:lang w:val="en-GB"/>
        </w:rPr>
        <w:t> </w:t>
      </w:r>
      <w:r w:rsidRPr="00B124DC">
        <w:rPr>
          <w:lang w:val="en-GB"/>
        </w:rPr>
        <w:t>J.</w:t>
      </w:r>
      <w:r w:rsidR="0033597D">
        <w:rPr>
          <w:lang w:val="en-GB"/>
        </w:rPr>
        <w:t> </w:t>
      </w:r>
      <w:r w:rsidRPr="00B124DC">
        <w:rPr>
          <w:lang w:val="en-GB"/>
        </w:rPr>
        <w:t>Casadevall</w:t>
      </w:r>
      <w:r w:rsidR="0033597D">
        <w:rPr>
          <w:lang w:val="en-GB"/>
        </w:rPr>
        <w:t>,</w:t>
      </w:r>
      <w:r w:rsidRPr="00B124DC">
        <w:rPr>
          <w:lang w:val="en-GB"/>
        </w:rPr>
        <w:t xml:space="preserve"> </w:t>
      </w:r>
      <w:r w:rsidR="00BB4832" w:rsidRPr="00B124DC">
        <w:rPr>
          <w:lang w:val="en-GB"/>
        </w:rPr>
        <w:t xml:space="preserve">Mr </w:t>
      </w:r>
      <w:r w:rsidRPr="00B124DC">
        <w:rPr>
          <w:lang w:val="en-GB"/>
        </w:rPr>
        <w:t xml:space="preserve">S. </w:t>
      </w:r>
      <w:r w:rsidRPr="00B124DC">
        <w:rPr>
          <w:rStyle w:val="JuNames"/>
          <w:smallCaps w:val="0"/>
          <w:lang w:val="en-GB"/>
        </w:rPr>
        <w:t>Pavlovschi</w:t>
      </w:r>
      <w:r w:rsidRPr="00B124DC">
        <w:rPr>
          <w:lang w:val="en-GB"/>
        </w:rPr>
        <w:t xml:space="preserve">, </w:t>
      </w:r>
      <w:r w:rsidR="0033597D">
        <w:rPr>
          <w:lang w:val="en-GB"/>
        </w:rPr>
        <w:t xml:space="preserve">judges, </w:t>
      </w:r>
      <w:r w:rsidR="00BB4832" w:rsidRPr="00B124DC">
        <w:rPr>
          <w:lang w:val="en-GB"/>
        </w:rPr>
        <w:t>and</w:t>
      </w:r>
      <w:r w:rsidRPr="00B124DC">
        <w:rPr>
          <w:lang w:val="en-GB"/>
        </w:rPr>
        <w:t xml:space="preserve"> </w:t>
      </w:r>
      <w:r w:rsidR="00BB4832" w:rsidRPr="00B124DC">
        <w:rPr>
          <w:lang w:val="en-GB"/>
        </w:rPr>
        <w:t>Mr</w:t>
      </w:r>
      <w:r w:rsidR="0033597D">
        <w:rPr>
          <w:lang w:val="en-GB"/>
        </w:rPr>
        <w:t xml:space="preserve"> </w:t>
      </w:r>
      <w:r w:rsidRPr="00B124DC">
        <w:rPr>
          <w:lang w:val="en-GB"/>
        </w:rPr>
        <w:t>M.</w:t>
      </w:r>
      <w:r w:rsidR="0033597D">
        <w:rPr>
          <w:lang w:val="en-GB"/>
        </w:rPr>
        <w:t xml:space="preserve"> </w:t>
      </w:r>
      <w:r w:rsidRPr="00B124DC">
        <w:rPr>
          <w:lang w:val="en-GB"/>
        </w:rPr>
        <w:t>O</w:t>
      </w:r>
      <w:r w:rsidR="0006350D">
        <w:rPr>
          <w:lang w:val="en-GB"/>
        </w:rPr>
        <w:t>’</w:t>
      </w:r>
      <w:r w:rsidRPr="00B124DC">
        <w:rPr>
          <w:lang w:val="en-GB"/>
        </w:rPr>
        <w:t xml:space="preserve">Boyle, </w:t>
      </w:r>
      <w:r w:rsidR="00BB4832" w:rsidRPr="00B124DC">
        <w:rPr>
          <w:lang w:val="en-GB"/>
        </w:rPr>
        <w:t>Section Registrar</w:t>
      </w:r>
      <w:r w:rsidR="0017616B" w:rsidRPr="00B124DC">
        <w:rPr>
          <w:lang w:val="en-GB"/>
        </w:rPr>
        <w:t>.</w:t>
      </w:r>
    </w:p>
    <w:p w:rsidR="0017616B" w:rsidRPr="00B124DC" w:rsidRDefault="0017616B" w:rsidP="0017616B">
      <w:pPr>
        <w:pStyle w:val="JuParaCharCharChar0"/>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7</w:t>
      </w:r>
      <w:r w:rsidRPr="00B124DC">
        <w:rPr>
          <w:lang w:val="en-GB"/>
        </w:rPr>
        <w:fldChar w:fldCharType="end"/>
      </w:r>
      <w:r w:rsidRPr="00B124DC">
        <w:rPr>
          <w:lang w:val="en-GB"/>
        </w:rPr>
        <w:t xml:space="preserve">.  A hearing </w:t>
      </w:r>
      <w:r w:rsidR="009F1000" w:rsidRPr="00B124DC">
        <w:rPr>
          <w:lang w:val="en-GB"/>
        </w:rPr>
        <w:t xml:space="preserve">on the merits (Rule 54 § 3) </w:t>
      </w:r>
      <w:r w:rsidRPr="00B124DC">
        <w:rPr>
          <w:lang w:val="en-GB"/>
        </w:rPr>
        <w:t xml:space="preserve">took place in public in the </w:t>
      </w:r>
      <w:smartTag w:uri="urn:schemas-microsoft-com:office:smarttags" w:element="PlaceName">
        <w:r w:rsidRPr="00B124DC">
          <w:rPr>
            <w:lang w:val="en-GB"/>
          </w:rPr>
          <w:t>Human</w:t>
        </w:r>
      </w:smartTag>
      <w:r w:rsidRPr="00B124DC">
        <w:rPr>
          <w:lang w:val="en-GB"/>
        </w:rPr>
        <w:t xml:space="preserve"> </w:t>
      </w:r>
      <w:smartTag w:uri="urn:schemas-microsoft-com:office:smarttags" w:element="PlaceName">
        <w:r w:rsidRPr="00B124DC">
          <w:rPr>
            <w:lang w:val="en-GB"/>
          </w:rPr>
          <w:t>Rights</w:t>
        </w:r>
      </w:smartTag>
      <w:r w:rsidRPr="00B124DC">
        <w:rPr>
          <w:lang w:val="en-GB"/>
        </w:rPr>
        <w:t xml:space="preserve"> </w:t>
      </w:r>
      <w:smartTag w:uri="urn:schemas-microsoft-com:office:smarttags" w:element="PlaceType">
        <w:r w:rsidRPr="00B124DC">
          <w:rPr>
            <w:lang w:val="en-GB"/>
          </w:rPr>
          <w:t>Building</w:t>
        </w:r>
      </w:smartTag>
      <w:r w:rsidRPr="00B124DC">
        <w:rPr>
          <w:lang w:val="en-GB"/>
        </w:rPr>
        <w:t xml:space="preserve">, </w:t>
      </w:r>
      <w:smartTag w:uri="urn:schemas-microsoft-com:office:smarttags" w:element="place">
        <w:smartTag w:uri="urn:schemas-microsoft-com:office:smarttags" w:element="City">
          <w:r w:rsidR="00046098" w:rsidRPr="00B124DC">
            <w:rPr>
              <w:lang w:val="en-GB"/>
            </w:rPr>
            <w:t>Strasbourg</w:t>
          </w:r>
        </w:smartTag>
      </w:smartTag>
      <w:r w:rsidR="00046098" w:rsidRPr="00B124DC">
        <w:rPr>
          <w:lang w:val="en-GB"/>
        </w:rPr>
        <w:t xml:space="preserve">, on </w:t>
      </w:r>
      <w:smartTag w:uri="urn:schemas-microsoft-com:office:smarttags" w:element="date">
        <w:smartTagPr>
          <w:attr w:name="Month" w:val="11"/>
          <w:attr w:name="Day" w:val="19"/>
          <w:attr w:name="Year" w:val="2002"/>
        </w:smartTagPr>
        <w:r w:rsidR="00046098" w:rsidRPr="00B124DC">
          <w:rPr>
            <w:lang w:val="en-GB"/>
          </w:rPr>
          <w:t>19 November 2002</w:t>
        </w:r>
      </w:smartTag>
      <w:r w:rsidRPr="00B124DC">
        <w:rPr>
          <w:lang w:val="en-GB"/>
        </w:rPr>
        <w:t>.</w:t>
      </w:r>
    </w:p>
    <w:p w:rsidR="00BB4832" w:rsidRPr="00B124DC" w:rsidRDefault="005E7E60" w:rsidP="0017616B">
      <w:pPr>
        <w:pStyle w:val="JuParaCharCharChar0"/>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8</w:t>
      </w:r>
      <w:r w:rsidRPr="00B124DC">
        <w:rPr>
          <w:lang w:val="en-GB"/>
        </w:rPr>
        <w:fldChar w:fldCharType="end"/>
      </w:r>
      <w:r w:rsidRPr="00B124DC">
        <w:rPr>
          <w:lang w:val="en-GB"/>
        </w:rPr>
        <w:t>.  </w:t>
      </w:r>
      <w:r w:rsidR="00BB4832" w:rsidRPr="00B124DC">
        <w:rPr>
          <w:lang w:val="en-GB"/>
        </w:rPr>
        <w:t xml:space="preserve">In its judgment of </w:t>
      </w:r>
      <w:r w:rsidR="009F1000" w:rsidRPr="00B124DC">
        <w:rPr>
          <w:lang w:val="en-GB"/>
        </w:rPr>
        <w:t xml:space="preserve">29 </w:t>
      </w:r>
      <w:r w:rsidR="00BB4832" w:rsidRPr="00B124DC">
        <w:rPr>
          <w:lang w:val="en-GB"/>
        </w:rPr>
        <w:t>June</w:t>
      </w:r>
      <w:r w:rsidR="009F1000" w:rsidRPr="00B124DC">
        <w:rPr>
          <w:lang w:val="en-GB"/>
        </w:rPr>
        <w:t xml:space="preserve"> 2004 (</w:t>
      </w:r>
      <w:r w:rsidR="00BB4832" w:rsidRPr="00B124DC">
        <w:rPr>
          <w:lang w:val="en-GB"/>
        </w:rPr>
        <w:t xml:space="preserve">“the </w:t>
      </w:r>
      <w:r w:rsidR="006C3B9B" w:rsidRPr="00B124DC">
        <w:rPr>
          <w:lang w:val="en-GB"/>
        </w:rPr>
        <w:t>Chamber judgment</w:t>
      </w:r>
      <w:r w:rsidR="00BB4832" w:rsidRPr="00B124DC">
        <w:rPr>
          <w:lang w:val="en-GB"/>
        </w:rPr>
        <w:t>”</w:t>
      </w:r>
      <w:r w:rsidR="009F1000" w:rsidRPr="00B124DC">
        <w:rPr>
          <w:lang w:val="en-GB"/>
        </w:rPr>
        <w:t xml:space="preserve">), </w:t>
      </w:r>
      <w:r w:rsidR="00BB4832" w:rsidRPr="00B124DC">
        <w:rPr>
          <w:lang w:val="en-GB"/>
        </w:rPr>
        <w:t xml:space="preserve">the Chamber held unanimously that there had been no violation of Article 9 of the </w:t>
      </w:r>
      <w:r w:rsidR="00260D15" w:rsidRPr="00B124DC">
        <w:rPr>
          <w:lang w:val="en-GB"/>
        </w:rPr>
        <w:t xml:space="preserve">Convention </w:t>
      </w:r>
      <w:r w:rsidR="00BB4832" w:rsidRPr="00B124DC">
        <w:rPr>
          <w:lang w:val="en-GB"/>
        </w:rPr>
        <w:t xml:space="preserve">on account of the ban </w:t>
      </w:r>
      <w:r w:rsidR="00260D15" w:rsidRPr="00B124DC">
        <w:rPr>
          <w:lang w:val="en-GB"/>
        </w:rPr>
        <w:t>on wearing the headscarf</w:t>
      </w:r>
      <w:r w:rsidR="00BB4832" w:rsidRPr="00B124DC">
        <w:rPr>
          <w:lang w:val="en-GB"/>
        </w:rPr>
        <w:t xml:space="preserve"> </w:t>
      </w:r>
      <w:r w:rsidR="006C0A96" w:rsidRPr="00B124DC">
        <w:rPr>
          <w:lang w:val="en-GB"/>
        </w:rPr>
        <w:t>a</w:t>
      </w:r>
      <w:r w:rsidR="00BB4832" w:rsidRPr="00B124DC">
        <w:rPr>
          <w:lang w:val="en-GB"/>
        </w:rPr>
        <w:t>nd</w:t>
      </w:r>
      <w:r w:rsidR="006C0A96" w:rsidRPr="00B124DC">
        <w:rPr>
          <w:lang w:val="en-GB"/>
        </w:rPr>
        <w:t xml:space="preserve"> that</w:t>
      </w:r>
      <w:r w:rsidR="00BB4832" w:rsidRPr="00B124DC">
        <w:rPr>
          <w:lang w:val="en-GB"/>
        </w:rPr>
        <w:t xml:space="preserve"> no separate question arose </w:t>
      </w:r>
      <w:r w:rsidR="00260D15" w:rsidRPr="00B124DC">
        <w:rPr>
          <w:lang w:val="en-GB"/>
        </w:rPr>
        <w:t>under</w:t>
      </w:r>
      <w:r w:rsidR="00BB4832" w:rsidRPr="00B124DC">
        <w:rPr>
          <w:lang w:val="en-GB"/>
        </w:rPr>
        <w:t xml:space="preserve"> Articles 8 and 10, Article 14 taken </w:t>
      </w:r>
      <w:r w:rsidR="0033597D">
        <w:rPr>
          <w:lang w:val="en-GB"/>
        </w:rPr>
        <w:t>in conjunction</w:t>
      </w:r>
      <w:r w:rsidR="00BB4832" w:rsidRPr="00B124DC">
        <w:rPr>
          <w:lang w:val="en-GB"/>
        </w:rPr>
        <w:t xml:space="preserve"> with Article 9 of the Convention, and Article 2 of Protocol No.</w:t>
      </w:r>
      <w:r w:rsidR="0033597D">
        <w:rPr>
          <w:lang w:val="en-GB"/>
        </w:rPr>
        <w:t> </w:t>
      </w:r>
      <w:r w:rsidR="00BB4832" w:rsidRPr="00B124DC">
        <w:rPr>
          <w:lang w:val="en-GB"/>
        </w:rPr>
        <w:t>1.</w:t>
      </w:r>
    </w:p>
    <w:p w:rsidR="009F1000" w:rsidRPr="00B124DC" w:rsidRDefault="009F1000" w:rsidP="009F1000">
      <w:pPr>
        <w:pStyle w:val="JuParaChar"/>
      </w:pPr>
      <w:r w:rsidRPr="00B124DC">
        <w:fldChar w:fldCharType="begin"/>
      </w:r>
      <w:r w:rsidRPr="00B124DC">
        <w:instrText xml:space="preserve"> SEQ level0 \*arabic </w:instrText>
      </w:r>
      <w:r w:rsidRPr="00B124DC">
        <w:fldChar w:fldCharType="separate"/>
      </w:r>
      <w:r w:rsidR="00EA52D1">
        <w:rPr>
          <w:noProof/>
        </w:rPr>
        <w:t>9</w:t>
      </w:r>
      <w:r w:rsidRPr="00B124DC">
        <w:fldChar w:fldCharType="end"/>
      </w:r>
      <w:r w:rsidRPr="00B124DC">
        <w:t>.  </w:t>
      </w:r>
      <w:r w:rsidR="006C0A96" w:rsidRPr="00B124DC">
        <w:t>On</w:t>
      </w:r>
      <w:r w:rsidRPr="00B124DC">
        <w:t xml:space="preserve"> </w:t>
      </w:r>
      <w:smartTag w:uri="urn:schemas-microsoft-com:office:smarttags" w:element="date">
        <w:smartTagPr>
          <w:attr w:name="Month" w:val="9"/>
          <w:attr w:name="Day" w:val="27"/>
          <w:attr w:name="Year" w:val="2004"/>
        </w:smartTagPr>
        <w:r w:rsidRPr="00B124DC">
          <w:t xml:space="preserve">27 </w:t>
        </w:r>
        <w:r w:rsidR="006C0A96" w:rsidRPr="00B124DC">
          <w:t>September</w:t>
        </w:r>
        <w:r w:rsidRPr="00B124DC">
          <w:t xml:space="preserve"> 2004</w:t>
        </w:r>
      </w:smartTag>
      <w:r w:rsidRPr="00B124DC">
        <w:t xml:space="preserve"> </w:t>
      </w:r>
      <w:r w:rsidR="006C0A96" w:rsidRPr="00B124DC">
        <w:t>the applicant requested that the case be referred to the Grand Chamber (Article 43 of the Convention)</w:t>
      </w:r>
      <w:r w:rsidRPr="00B124DC">
        <w:t>.</w:t>
      </w:r>
    </w:p>
    <w:p w:rsidR="009F1000" w:rsidRPr="00B124DC" w:rsidRDefault="009F1000" w:rsidP="009F1000">
      <w:pPr>
        <w:pStyle w:val="JuParaCharChar0"/>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10</w:t>
      </w:r>
      <w:r w:rsidRPr="00B124DC">
        <w:rPr>
          <w:lang w:val="en-GB"/>
        </w:rPr>
        <w:fldChar w:fldCharType="end"/>
      </w:r>
      <w:r w:rsidRPr="00B124DC">
        <w:rPr>
          <w:lang w:val="en-GB"/>
        </w:rPr>
        <w:t>.  </w:t>
      </w:r>
      <w:r w:rsidR="0061303E" w:rsidRPr="00B124DC">
        <w:rPr>
          <w:lang w:val="en-GB"/>
        </w:rPr>
        <w:t>On</w:t>
      </w:r>
      <w:r w:rsidRPr="00B124DC">
        <w:rPr>
          <w:lang w:val="en-GB"/>
        </w:rPr>
        <w:t xml:space="preserve"> </w:t>
      </w:r>
      <w:smartTag w:uri="urn:schemas-microsoft-com:office:smarttags" w:element="date">
        <w:smartTagPr>
          <w:attr w:name="Month" w:val="11"/>
          <w:attr w:name="Day" w:val="10"/>
          <w:attr w:name="Year" w:val="2004"/>
        </w:smartTagPr>
        <w:r w:rsidRPr="00B124DC">
          <w:rPr>
            <w:lang w:val="en-GB"/>
          </w:rPr>
          <w:t xml:space="preserve">10 </w:t>
        </w:r>
        <w:r w:rsidR="0061303E" w:rsidRPr="00B124DC">
          <w:rPr>
            <w:lang w:val="en-GB"/>
          </w:rPr>
          <w:t>November</w:t>
        </w:r>
        <w:r w:rsidRPr="00B124DC">
          <w:rPr>
            <w:lang w:val="en-GB"/>
          </w:rPr>
          <w:t xml:space="preserve"> 2004</w:t>
        </w:r>
      </w:smartTag>
      <w:r w:rsidRPr="00B124DC">
        <w:rPr>
          <w:lang w:val="en-GB"/>
        </w:rPr>
        <w:t xml:space="preserve"> </w:t>
      </w:r>
      <w:r w:rsidR="0061303E" w:rsidRPr="00B124DC">
        <w:rPr>
          <w:lang w:val="en-GB"/>
        </w:rPr>
        <w:t>a panel of the Grand Chamber decided to accept her request (Rule 73).</w:t>
      </w:r>
    </w:p>
    <w:p w:rsidR="009F1000" w:rsidRPr="00B124DC" w:rsidRDefault="009F1000" w:rsidP="009F1000">
      <w:pPr>
        <w:pStyle w:val="JuParaChar"/>
      </w:pPr>
      <w:r w:rsidRPr="00B124DC">
        <w:fldChar w:fldCharType="begin"/>
      </w:r>
      <w:r w:rsidRPr="00B124DC">
        <w:instrText xml:space="preserve"> SEQ level0 \*arabic </w:instrText>
      </w:r>
      <w:r w:rsidRPr="00B124DC">
        <w:fldChar w:fldCharType="separate"/>
      </w:r>
      <w:r w:rsidR="00EA52D1">
        <w:rPr>
          <w:noProof/>
        </w:rPr>
        <w:t>11</w:t>
      </w:r>
      <w:r w:rsidRPr="00B124DC">
        <w:fldChar w:fldCharType="end"/>
      </w:r>
      <w:r w:rsidRPr="00B124DC">
        <w:t>.  </w:t>
      </w:r>
      <w:r w:rsidR="003F631D" w:rsidRPr="00B124DC">
        <w:t>The composition of the Grand Chamber was determined according to the provisions of Article 27 §§ 2 and 3 of the Convention and Rule 24.</w:t>
      </w:r>
    </w:p>
    <w:p w:rsidR="009F1000" w:rsidRPr="00B124DC" w:rsidRDefault="009F1000" w:rsidP="009F1000">
      <w:pPr>
        <w:pStyle w:val="JuParaChar"/>
      </w:pPr>
      <w:r w:rsidRPr="00B124DC">
        <w:fldChar w:fldCharType="begin"/>
      </w:r>
      <w:r w:rsidRPr="00B124DC">
        <w:instrText xml:space="preserve"> SEQ level0 \*arabic </w:instrText>
      </w:r>
      <w:r w:rsidRPr="00B124DC">
        <w:fldChar w:fldCharType="separate"/>
      </w:r>
      <w:r w:rsidR="00EA52D1">
        <w:rPr>
          <w:noProof/>
        </w:rPr>
        <w:t>12</w:t>
      </w:r>
      <w:r w:rsidRPr="00B124DC">
        <w:fldChar w:fldCharType="end"/>
      </w:r>
      <w:r w:rsidRPr="00B124DC">
        <w:t>.  The applicant and the Government each filed observ</w:t>
      </w:r>
      <w:r w:rsidR="00034906" w:rsidRPr="00B124DC">
        <w:t>ations on the merits</w:t>
      </w:r>
      <w:r w:rsidRPr="00B124DC">
        <w:t>.</w:t>
      </w:r>
    </w:p>
    <w:p w:rsidR="009F1000" w:rsidRPr="00B124DC" w:rsidRDefault="00223081" w:rsidP="0017616B">
      <w:pPr>
        <w:pStyle w:val="JuParaCharCharCharCharCharCharChar"/>
        <w:keepNext/>
        <w:keepLines/>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13</w:t>
      </w:r>
      <w:r w:rsidRPr="00B124DC">
        <w:rPr>
          <w:lang w:val="en-GB"/>
        </w:rPr>
        <w:fldChar w:fldCharType="end"/>
      </w:r>
      <w:r w:rsidRPr="00B124DC">
        <w:rPr>
          <w:lang w:val="en-GB"/>
        </w:rPr>
        <w:t>.  </w:t>
      </w:r>
      <w:r w:rsidR="009F1000" w:rsidRPr="00B124DC">
        <w:rPr>
          <w:lang w:val="en-GB"/>
        </w:rPr>
        <w:t xml:space="preserve">A hearing took place in public in the </w:t>
      </w:r>
      <w:smartTag w:uri="urn:schemas-microsoft-com:office:smarttags" w:element="PlaceName">
        <w:r w:rsidR="009F1000" w:rsidRPr="00B124DC">
          <w:rPr>
            <w:lang w:val="en-GB"/>
          </w:rPr>
          <w:t>Human</w:t>
        </w:r>
      </w:smartTag>
      <w:r w:rsidR="009F1000" w:rsidRPr="00B124DC">
        <w:rPr>
          <w:lang w:val="en-GB"/>
        </w:rPr>
        <w:t xml:space="preserve"> </w:t>
      </w:r>
      <w:smartTag w:uri="urn:schemas-microsoft-com:office:smarttags" w:element="PlaceName">
        <w:r w:rsidR="009F1000" w:rsidRPr="00B124DC">
          <w:rPr>
            <w:lang w:val="en-GB"/>
          </w:rPr>
          <w:t>Rights</w:t>
        </w:r>
      </w:smartTag>
      <w:r w:rsidR="009F1000" w:rsidRPr="00B124DC">
        <w:rPr>
          <w:lang w:val="en-GB"/>
        </w:rPr>
        <w:t xml:space="preserve"> </w:t>
      </w:r>
      <w:smartTag w:uri="urn:schemas-microsoft-com:office:smarttags" w:element="PlaceType">
        <w:r w:rsidR="009F1000" w:rsidRPr="00B124DC">
          <w:rPr>
            <w:lang w:val="en-GB"/>
          </w:rPr>
          <w:t>Building</w:t>
        </w:r>
      </w:smartTag>
      <w:r w:rsidR="009F1000" w:rsidRPr="00B124DC">
        <w:rPr>
          <w:lang w:val="en-GB"/>
        </w:rPr>
        <w:t xml:space="preserve">, </w:t>
      </w:r>
      <w:smartTag w:uri="urn:schemas-microsoft-com:office:smarttags" w:element="place">
        <w:smartTag w:uri="urn:schemas-microsoft-com:office:smarttags" w:element="City">
          <w:r w:rsidR="009F1000" w:rsidRPr="00B124DC">
            <w:rPr>
              <w:lang w:val="en-GB"/>
            </w:rPr>
            <w:t>Strasbourg</w:t>
          </w:r>
        </w:smartTag>
      </w:smartTag>
      <w:r w:rsidR="009F1000" w:rsidRPr="00B124DC">
        <w:rPr>
          <w:lang w:val="en-GB"/>
        </w:rPr>
        <w:t xml:space="preserve">, on </w:t>
      </w:r>
      <w:smartTag w:uri="urn:schemas-microsoft-com:office:smarttags" w:element="date">
        <w:smartTagPr>
          <w:attr w:name="Month" w:val="5"/>
          <w:attr w:name="Day" w:val="18"/>
          <w:attr w:name="Year" w:val="2005"/>
        </w:smartTagPr>
        <w:r w:rsidR="009F1000" w:rsidRPr="00B124DC">
          <w:rPr>
            <w:lang w:val="en-GB"/>
          </w:rPr>
          <w:t>18 May 2005</w:t>
        </w:r>
      </w:smartTag>
      <w:r w:rsidR="009F1000" w:rsidRPr="00B124DC">
        <w:rPr>
          <w:lang w:val="en-GB"/>
        </w:rPr>
        <w:t xml:space="preserve"> (Rule 59 § 3).</w:t>
      </w:r>
    </w:p>
    <w:p w:rsidR="009F1000" w:rsidRPr="00B124DC" w:rsidRDefault="009F1000" w:rsidP="0017616B">
      <w:pPr>
        <w:pStyle w:val="JuParaCharCharCharCharCharCharChar"/>
        <w:keepNext/>
        <w:keepLines/>
        <w:rPr>
          <w:lang w:val="en-GB"/>
        </w:rPr>
      </w:pPr>
    </w:p>
    <w:p w:rsidR="0017616B" w:rsidRPr="00B124DC" w:rsidRDefault="0017616B" w:rsidP="0017616B">
      <w:pPr>
        <w:pStyle w:val="JuParaCharCharCharCharCharCharChar"/>
        <w:keepNext/>
        <w:keepLines/>
        <w:rPr>
          <w:lang w:val="en-GB"/>
        </w:rPr>
      </w:pPr>
      <w:r w:rsidRPr="00B124DC">
        <w:rPr>
          <w:lang w:val="en-GB"/>
        </w:rPr>
        <w:t>There appeared before the Court:</w:t>
      </w:r>
    </w:p>
    <w:p w:rsidR="0017616B" w:rsidRPr="00B124DC" w:rsidRDefault="0033597D" w:rsidP="0017616B">
      <w:pPr>
        <w:pStyle w:val="JuCourt"/>
        <w:keepLines/>
        <w:rPr>
          <w:lang w:val="en-GB"/>
        </w:rPr>
      </w:pPr>
      <w:r>
        <w:rPr>
          <w:lang w:val="en-GB"/>
        </w:rPr>
        <w:t>(a)</w:t>
      </w:r>
      <w:r w:rsidR="0017616B" w:rsidRPr="00B124DC">
        <w:rPr>
          <w:lang w:val="en-GB"/>
        </w:rPr>
        <w:t>  </w:t>
      </w:r>
      <w:r w:rsidR="0017616B" w:rsidRPr="00B124DC">
        <w:rPr>
          <w:i/>
          <w:iCs/>
          <w:lang w:val="en-GB"/>
        </w:rPr>
        <w:t>for the Government</w:t>
      </w:r>
      <w:r w:rsidR="0017616B" w:rsidRPr="00B124DC">
        <w:rPr>
          <w:lang w:val="en-GB"/>
        </w:rPr>
        <w:br/>
        <w:t>Mr</w:t>
      </w:r>
      <w:r w:rsidR="0017616B" w:rsidRPr="00B124DC">
        <w:rPr>
          <w:lang w:val="en-GB"/>
        </w:rPr>
        <w:tab/>
      </w:r>
      <w:r w:rsidR="00AA2B81" w:rsidRPr="00B124DC">
        <w:rPr>
          <w:lang w:val="en-GB"/>
        </w:rPr>
        <w:t xml:space="preserve">M. </w:t>
      </w:r>
      <w:r w:rsidR="00AA2B81" w:rsidRPr="00B124DC">
        <w:rPr>
          <w:rStyle w:val="JuNames"/>
          <w:lang w:val="en-GB"/>
        </w:rPr>
        <w:t>Özmen</w:t>
      </w:r>
      <w:r w:rsidR="0017616B" w:rsidRPr="00B124DC">
        <w:rPr>
          <w:lang w:val="en-GB"/>
        </w:rPr>
        <w:t>,</w:t>
      </w:r>
      <w:r w:rsidR="0017616B" w:rsidRPr="00B124DC">
        <w:rPr>
          <w:lang w:val="en-GB"/>
        </w:rPr>
        <w:tab/>
      </w:r>
      <w:r w:rsidRPr="0033597D">
        <w:rPr>
          <w:i/>
          <w:lang w:val="en-GB"/>
        </w:rPr>
        <w:t>C</w:t>
      </w:r>
      <w:r w:rsidR="00AA2B81" w:rsidRPr="00B124DC">
        <w:rPr>
          <w:i/>
          <w:lang w:val="en-GB"/>
        </w:rPr>
        <w:t>o-</w:t>
      </w:r>
      <w:r w:rsidR="0017616B" w:rsidRPr="00B124DC">
        <w:rPr>
          <w:i/>
          <w:iCs/>
          <w:lang w:val="en-GB"/>
        </w:rPr>
        <w:t>Agent</w:t>
      </w:r>
      <w:r w:rsidR="0017616B" w:rsidRPr="00B124DC">
        <w:rPr>
          <w:lang w:val="en-GB"/>
        </w:rPr>
        <w:t>,</w:t>
      </w:r>
      <w:r w:rsidR="0017616B" w:rsidRPr="00B124DC">
        <w:rPr>
          <w:lang w:val="en-GB"/>
        </w:rPr>
        <w:br/>
        <w:t>Mr</w:t>
      </w:r>
      <w:r w:rsidR="0017616B" w:rsidRPr="00B124DC">
        <w:rPr>
          <w:lang w:val="en-GB"/>
        </w:rPr>
        <w:tab/>
      </w:r>
      <w:r w:rsidR="00AA2B81" w:rsidRPr="00B124DC">
        <w:rPr>
          <w:lang w:val="en-GB"/>
        </w:rPr>
        <w:t xml:space="preserve">E. </w:t>
      </w:r>
      <w:r w:rsidR="00AA2B81" w:rsidRPr="00B124DC">
        <w:rPr>
          <w:rStyle w:val="JuNames"/>
          <w:lang w:val="en-GB"/>
        </w:rPr>
        <w:t>İşcan</w:t>
      </w:r>
      <w:r w:rsidR="0017616B" w:rsidRPr="00B124DC">
        <w:rPr>
          <w:lang w:val="en-GB"/>
        </w:rPr>
        <w:t>,</w:t>
      </w:r>
      <w:r w:rsidR="00AA2B81" w:rsidRPr="00B124DC">
        <w:rPr>
          <w:lang w:val="en-GB"/>
        </w:rPr>
        <w:tab/>
      </w:r>
      <w:r w:rsidR="0017616B" w:rsidRPr="00B124DC">
        <w:rPr>
          <w:i/>
          <w:iCs/>
          <w:lang w:val="en-GB"/>
        </w:rPr>
        <w:t>Counsel</w:t>
      </w:r>
      <w:r w:rsidR="0017616B" w:rsidRPr="00B124DC">
        <w:rPr>
          <w:lang w:val="en-GB"/>
        </w:rPr>
        <w:t>,</w:t>
      </w:r>
      <w:r w:rsidR="0017616B" w:rsidRPr="00B124DC">
        <w:rPr>
          <w:lang w:val="en-GB"/>
        </w:rPr>
        <w:br/>
        <w:t>Ms</w:t>
      </w:r>
      <w:r w:rsidR="0017616B" w:rsidRPr="00B124DC">
        <w:rPr>
          <w:lang w:val="en-GB"/>
        </w:rPr>
        <w:tab/>
      </w:r>
      <w:r w:rsidR="00AA2B81" w:rsidRPr="00B124DC">
        <w:rPr>
          <w:rStyle w:val="JuNames"/>
          <w:lang w:val="en-GB"/>
        </w:rPr>
        <w:t>A. Emüler</w:t>
      </w:r>
      <w:r w:rsidR="0017616B" w:rsidRPr="00B124DC">
        <w:rPr>
          <w:lang w:val="en-GB"/>
        </w:rPr>
        <w:t>,</w:t>
      </w:r>
      <w:r w:rsidR="0017616B" w:rsidRPr="00B124DC">
        <w:rPr>
          <w:lang w:val="en-GB"/>
        </w:rPr>
        <w:br/>
        <w:t>Ms</w:t>
      </w:r>
      <w:r w:rsidR="0017616B" w:rsidRPr="00B124DC">
        <w:rPr>
          <w:lang w:val="en-GB"/>
        </w:rPr>
        <w:tab/>
      </w:r>
      <w:r w:rsidR="00AA2B81" w:rsidRPr="00B124DC">
        <w:rPr>
          <w:rStyle w:val="JuNames"/>
          <w:lang w:val="en-GB"/>
        </w:rPr>
        <w:t>G</w:t>
      </w:r>
      <w:r w:rsidR="00AA2B81" w:rsidRPr="00B124DC">
        <w:rPr>
          <w:smallCaps/>
          <w:lang w:val="en-GB"/>
        </w:rPr>
        <w:t>. Akyüz</w:t>
      </w:r>
      <w:r w:rsidR="0017616B" w:rsidRPr="00B124DC">
        <w:rPr>
          <w:rStyle w:val="JuNames"/>
          <w:lang w:val="en-GB"/>
        </w:rPr>
        <w:t>,</w:t>
      </w:r>
      <w:r w:rsidR="0017616B" w:rsidRPr="00B124DC">
        <w:rPr>
          <w:lang w:val="en-GB"/>
        </w:rPr>
        <w:br/>
        <w:t>Ms</w:t>
      </w:r>
      <w:r w:rsidR="0017616B" w:rsidRPr="00B124DC">
        <w:rPr>
          <w:lang w:val="en-GB"/>
        </w:rPr>
        <w:tab/>
      </w:r>
      <w:r w:rsidR="00AA2B81" w:rsidRPr="00B124DC">
        <w:rPr>
          <w:lang w:val="en-GB"/>
        </w:rPr>
        <w:t xml:space="preserve">D. </w:t>
      </w:r>
      <w:r w:rsidR="00AA2B81" w:rsidRPr="00B124DC">
        <w:rPr>
          <w:rStyle w:val="JuNames"/>
          <w:lang w:val="en-GB"/>
        </w:rPr>
        <w:t>Kilislioğlu</w:t>
      </w:r>
      <w:r w:rsidR="0017616B" w:rsidRPr="00B124DC">
        <w:rPr>
          <w:lang w:val="en-GB"/>
        </w:rPr>
        <w:t>,</w:t>
      </w:r>
      <w:r w:rsidR="0017616B" w:rsidRPr="00B124DC">
        <w:rPr>
          <w:lang w:val="en-GB"/>
        </w:rPr>
        <w:tab/>
      </w:r>
      <w:r w:rsidR="0017616B" w:rsidRPr="00B124DC">
        <w:rPr>
          <w:i/>
          <w:iCs/>
          <w:lang w:val="en-GB"/>
        </w:rPr>
        <w:t>Advisers</w:t>
      </w:r>
      <w:r w:rsidR="0017616B" w:rsidRPr="00B124DC">
        <w:rPr>
          <w:lang w:val="en-GB"/>
        </w:rPr>
        <w:t>;</w:t>
      </w:r>
    </w:p>
    <w:p w:rsidR="00223081" w:rsidRPr="0033597D" w:rsidRDefault="0033597D" w:rsidP="00223081">
      <w:pPr>
        <w:pStyle w:val="JuCourt"/>
        <w:keepLines/>
        <w:rPr>
          <w:lang w:val="en-GB"/>
        </w:rPr>
      </w:pPr>
      <w:r>
        <w:rPr>
          <w:lang w:val="en-GB"/>
        </w:rPr>
        <w:t>(b)</w:t>
      </w:r>
      <w:r w:rsidR="0017616B" w:rsidRPr="00B124DC">
        <w:rPr>
          <w:lang w:val="en-GB"/>
        </w:rPr>
        <w:t>  </w:t>
      </w:r>
      <w:r w:rsidR="0017616B" w:rsidRPr="00B124DC">
        <w:rPr>
          <w:i/>
          <w:iCs/>
          <w:lang w:val="en-GB"/>
        </w:rPr>
        <w:t>for the applicant</w:t>
      </w:r>
      <w:r w:rsidR="0017616B" w:rsidRPr="00B124DC">
        <w:rPr>
          <w:lang w:val="en-GB"/>
        </w:rPr>
        <w:br/>
        <w:t>Mr</w:t>
      </w:r>
      <w:r w:rsidR="0017616B" w:rsidRPr="00B124DC">
        <w:rPr>
          <w:lang w:val="en-GB"/>
        </w:rPr>
        <w:tab/>
      </w:r>
      <w:r w:rsidR="00223081" w:rsidRPr="00B124DC">
        <w:rPr>
          <w:lang w:val="en-GB"/>
        </w:rPr>
        <w:t xml:space="preserve">X. </w:t>
      </w:r>
      <w:r w:rsidR="00223081" w:rsidRPr="00B124DC">
        <w:rPr>
          <w:rStyle w:val="JuNames"/>
          <w:lang w:val="en-GB"/>
        </w:rPr>
        <w:t>Magnée</w:t>
      </w:r>
      <w:r w:rsidR="0017616B" w:rsidRPr="00B124DC">
        <w:rPr>
          <w:lang w:val="en-GB"/>
        </w:rPr>
        <w:t>,</w:t>
      </w:r>
      <w:r w:rsidR="0017616B" w:rsidRPr="00B124DC">
        <w:rPr>
          <w:lang w:val="en-GB"/>
        </w:rPr>
        <w:tab/>
      </w:r>
      <w:r w:rsidR="0017616B" w:rsidRPr="00B124DC">
        <w:rPr>
          <w:lang w:val="en-GB"/>
        </w:rPr>
        <w:br/>
        <w:t>Mr</w:t>
      </w:r>
      <w:r w:rsidR="0017616B" w:rsidRPr="00B124DC">
        <w:rPr>
          <w:lang w:val="en-GB"/>
        </w:rPr>
        <w:tab/>
      </w:r>
      <w:r w:rsidR="00223081" w:rsidRPr="00B124DC">
        <w:rPr>
          <w:lang w:val="en-GB"/>
        </w:rPr>
        <w:t xml:space="preserve">K. </w:t>
      </w:r>
      <w:r w:rsidR="002C2674" w:rsidRPr="00B124DC">
        <w:rPr>
          <w:rStyle w:val="JuNames"/>
          <w:lang w:val="en-GB"/>
        </w:rPr>
        <w:t>B</w:t>
      </w:r>
      <w:r w:rsidR="00223081" w:rsidRPr="00B124DC">
        <w:rPr>
          <w:rStyle w:val="JuNames"/>
          <w:lang w:val="en-GB"/>
        </w:rPr>
        <w:t>erzeg</w:t>
      </w:r>
      <w:r w:rsidR="0017616B" w:rsidRPr="00B124DC">
        <w:rPr>
          <w:lang w:val="en-GB"/>
        </w:rPr>
        <w:t>,</w:t>
      </w:r>
      <w:r w:rsidR="00223081" w:rsidRPr="00B124DC">
        <w:rPr>
          <w:lang w:val="en-GB"/>
        </w:rPr>
        <w:tab/>
      </w:r>
      <w:r w:rsidR="00223081" w:rsidRPr="00B124DC">
        <w:rPr>
          <w:i/>
          <w:iCs/>
          <w:lang w:val="en-GB"/>
        </w:rPr>
        <w:t>Counsel</w:t>
      </w:r>
      <w:r>
        <w:rPr>
          <w:iCs/>
          <w:lang w:val="en-GB"/>
        </w:rPr>
        <w:t>.</w:t>
      </w:r>
    </w:p>
    <w:p w:rsidR="0017616B" w:rsidRPr="00B124DC" w:rsidRDefault="0017616B" w:rsidP="00223081">
      <w:pPr>
        <w:pStyle w:val="JuCourt"/>
        <w:keepLines/>
        <w:rPr>
          <w:lang w:val="en-GB"/>
        </w:rPr>
      </w:pPr>
    </w:p>
    <w:p w:rsidR="0017616B" w:rsidRPr="00B124DC" w:rsidRDefault="0017616B" w:rsidP="0017616B">
      <w:pPr>
        <w:pStyle w:val="JuParaCharCharCharCharCharCharChar"/>
        <w:rPr>
          <w:lang w:val="en-GB"/>
        </w:rPr>
      </w:pPr>
      <w:r w:rsidRPr="00B124DC">
        <w:rPr>
          <w:lang w:val="en-GB"/>
        </w:rPr>
        <w:t xml:space="preserve">The Court heard addresses by Mr </w:t>
      </w:r>
      <w:r w:rsidR="00932AF2">
        <w:rPr>
          <w:lang w:val="en-GB"/>
        </w:rPr>
        <w:t>Berzeg</w:t>
      </w:r>
      <w:r w:rsidRPr="00B124DC">
        <w:rPr>
          <w:lang w:val="en-GB"/>
        </w:rPr>
        <w:t xml:space="preserve">, Mr </w:t>
      </w:r>
      <w:r w:rsidR="00223081" w:rsidRPr="00B124DC">
        <w:rPr>
          <w:lang w:val="en-GB"/>
        </w:rPr>
        <w:t xml:space="preserve">Özmen </w:t>
      </w:r>
      <w:r w:rsidRPr="00B124DC">
        <w:rPr>
          <w:lang w:val="en-GB"/>
        </w:rPr>
        <w:t xml:space="preserve">and Mr </w:t>
      </w:r>
      <w:r w:rsidR="00223081" w:rsidRPr="00B124DC">
        <w:rPr>
          <w:lang w:val="en-GB"/>
        </w:rPr>
        <w:t>Magnée</w:t>
      </w:r>
      <w:r w:rsidRPr="00B124DC">
        <w:rPr>
          <w:lang w:val="en-GB"/>
        </w:rPr>
        <w:t>.</w:t>
      </w:r>
    </w:p>
    <w:p w:rsidR="0017616B" w:rsidRPr="00B124DC" w:rsidRDefault="0017616B" w:rsidP="0017616B">
      <w:pPr>
        <w:pStyle w:val="JuHHead"/>
        <w:keepNext/>
        <w:rPr>
          <w:lang w:val="en-GB"/>
        </w:rPr>
      </w:pPr>
      <w:r w:rsidRPr="00B124DC">
        <w:rPr>
          <w:lang w:val="en-GB"/>
        </w:rPr>
        <w:t>THE FACTS</w:t>
      </w:r>
    </w:p>
    <w:p w:rsidR="0017616B" w:rsidRPr="00B124DC" w:rsidRDefault="0017616B" w:rsidP="0017616B">
      <w:pPr>
        <w:pStyle w:val="JuHIRoman"/>
        <w:keepNext/>
        <w:rPr>
          <w:lang w:val="en-GB"/>
        </w:rPr>
      </w:pPr>
      <w:r w:rsidRPr="00B124DC">
        <w:rPr>
          <w:lang w:val="en-GB"/>
        </w:rPr>
        <w:t>I.  THE CIRCUMSTANCES OF THE CASE</w:t>
      </w:r>
    </w:p>
    <w:p w:rsidR="0017616B" w:rsidRPr="00B124DC" w:rsidRDefault="0017616B" w:rsidP="0017616B">
      <w:pPr>
        <w:pStyle w:val="JuParaCharCharChar0"/>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14</w:t>
      </w:r>
      <w:r w:rsidRPr="00B124DC">
        <w:rPr>
          <w:lang w:val="en-GB"/>
        </w:rPr>
        <w:fldChar w:fldCharType="end"/>
      </w:r>
      <w:r w:rsidRPr="00B124DC">
        <w:rPr>
          <w:lang w:val="en-GB"/>
        </w:rPr>
        <w:t xml:space="preserve">.  The applicant was born in 1973 and has lived in </w:t>
      </w:r>
      <w:smartTag w:uri="urn:schemas-microsoft-com:office:smarttags" w:element="City">
        <w:r w:rsidRPr="00B124DC">
          <w:rPr>
            <w:lang w:val="en-GB"/>
          </w:rPr>
          <w:t>Vienna</w:t>
        </w:r>
      </w:smartTag>
      <w:r w:rsidRPr="00B124DC">
        <w:rPr>
          <w:lang w:val="en-GB"/>
        </w:rPr>
        <w:t xml:space="preserve"> since 1999, when she left </w:t>
      </w:r>
      <w:smartTag w:uri="urn:schemas-microsoft-com:office:smarttags" w:element="City">
        <w:r w:rsidRPr="00B124DC">
          <w:rPr>
            <w:lang w:val="en-GB"/>
          </w:rPr>
          <w:t>Istanbul</w:t>
        </w:r>
      </w:smartTag>
      <w:r w:rsidRPr="00B124DC">
        <w:rPr>
          <w:lang w:val="en-GB"/>
        </w:rPr>
        <w:t xml:space="preserve"> to pursue her medical studies at the Faculty of Medicine at </w:t>
      </w:r>
      <w:smartTag w:uri="urn:schemas-microsoft-com:office:smarttags" w:element="place">
        <w:smartTag w:uri="urn:schemas-microsoft-com:office:smarttags" w:element="PlaceName">
          <w:r w:rsidRPr="00B124DC">
            <w:rPr>
              <w:lang w:val="en-GB"/>
            </w:rPr>
            <w:t>Vienna</w:t>
          </w:r>
        </w:smartTag>
        <w:r w:rsidRPr="00B124DC">
          <w:rPr>
            <w:lang w:val="en-GB"/>
          </w:rPr>
          <w:t xml:space="preserve"> </w:t>
        </w:r>
        <w:smartTag w:uri="urn:schemas-microsoft-com:office:smarttags" w:element="PlaceType">
          <w:r w:rsidRPr="00B124DC">
            <w:rPr>
              <w:lang w:val="en-GB"/>
            </w:rPr>
            <w:t>University</w:t>
          </w:r>
        </w:smartTag>
      </w:smartTag>
      <w:r w:rsidRPr="00B124DC">
        <w:rPr>
          <w:lang w:val="en-GB"/>
        </w:rPr>
        <w:t>. She comes from a traditional family of practising Muslims and considers it her religious duty to wear the Islamic headscarf.</w:t>
      </w:r>
    </w:p>
    <w:p w:rsidR="0017616B" w:rsidRPr="00B124DC" w:rsidRDefault="0017616B" w:rsidP="0017616B">
      <w:pPr>
        <w:pStyle w:val="JuHA"/>
        <w:keepNext/>
        <w:rPr>
          <w:lang w:val="en-GB"/>
        </w:rPr>
      </w:pPr>
      <w:r w:rsidRPr="00B124DC">
        <w:rPr>
          <w:lang w:val="en-GB"/>
        </w:rPr>
        <w:t>A.  </w:t>
      </w:r>
      <w:r w:rsidR="0033597D">
        <w:rPr>
          <w:lang w:val="en-GB"/>
        </w:rPr>
        <w:t>The c</w:t>
      </w:r>
      <w:r w:rsidRPr="00B124DC">
        <w:rPr>
          <w:lang w:val="en-GB"/>
        </w:rPr>
        <w:t xml:space="preserve">ircular of </w:t>
      </w:r>
      <w:smartTag w:uri="urn:schemas-microsoft-com:office:smarttags" w:element="date">
        <w:smartTagPr>
          <w:attr w:name="Month" w:val="2"/>
          <w:attr w:name="Day" w:val="23"/>
          <w:attr w:name="Year" w:val="1998"/>
        </w:smartTagPr>
        <w:r w:rsidRPr="00B124DC">
          <w:rPr>
            <w:lang w:val="en-GB"/>
          </w:rPr>
          <w:t>23 February 1998</w:t>
        </w:r>
      </w:smartTag>
    </w:p>
    <w:p w:rsidR="0017616B" w:rsidRPr="00B124DC" w:rsidRDefault="0017616B"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15</w:t>
      </w:r>
      <w:r w:rsidRPr="00B124DC">
        <w:rPr>
          <w:lang w:val="en-GB"/>
        </w:rPr>
        <w:fldChar w:fldCharType="end"/>
      </w:r>
      <w:r w:rsidRPr="00B124DC">
        <w:rPr>
          <w:lang w:val="en-GB"/>
        </w:rPr>
        <w:t xml:space="preserve">.  On </w:t>
      </w:r>
      <w:smartTag w:uri="urn:schemas-microsoft-com:office:smarttags" w:element="date">
        <w:smartTagPr>
          <w:attr w:name="Month" w:val="8"/>
          <w:attr w:name="Day" w:val="26"/>
          <w:attr w:name="Year" w:val="1997"/>
        </w:smartTagPr>
        <w:r w:rsidRPr="00B124DC">
          <w:rPr>
            <w:lang w:val="en-GB"/>
          </w:rPr>
          <w:t>26 August 1997</w:t>
        </w:r>
      </w:smartTag>
      <w:r w:rsidRPr="00B124DC">
        <w:rPr>
          <w:lang w:val="en-GB"/>
        </w:rPr>
        <w:t xml:space="preserve"> the applicant, then in her f</w:t>
      </w:r>
      <w:r w:rsidR="00CF74C7" w:rsidRPr="00B124DC">
        <w:rPr>
          <w:lang w:val="en-GB"/>
        </w:rPr>
        <w:t>ifth</w:t>
      </w:r>
      <w:r w:rsidRPr="00B124DC">
        <w:rPr>
          <w:lang w:val="en-GB"/>
        </w:rPr>
        <w:t xml:space="preserve"> year at the Faculty of Medicine at </w:t>
      </w:r>
      <w:smartTag w:uri="urn:schemas-microsoft-com:office:smarttags" w:element="PlaceName">
        <w:r w:rsidR="00297D0F" w:rsidRPr="00B124DC">
          <w:rPr>
            <w:lang w:val="en-GB"/>
          </w:rPr>
          <w:t>Bursa</w:t>
        </w:r>
      </w:smartTag>
      <w:r w:rsidR="00297D0F" w:rsidRPr="00B124DC">
        <w:rPr>
          <w:lang w:val="en-GB"/>
        </w:rPr>
        <w:t xml:space="preserve"> </w:t>
      </w:r>
      <w:smartTag w:uri="urn:schemas-microsoft-com:office:smarttags" w:element="PlaceType">
        <w:r w:rsidRPr="00B124DC">
          <w:rPr>
            <w:lang w:val="en-GB"/>
          </w:rPr>
          <w:t>University</w:t>
        </w:r>
      </w:smartTag>
      <w:r w:rsidRPr="00B124DC">
        <w:rPr>
          <w:lang w:val="en-GB"/>
        </w:rPr>
        <w:t xml:space="preserve">, enrolled at the Cerrahpaşa Faculty of Medicine at </w:t>
      </w:r>
      <w:smartTag w:uri="urn:schemas-microsoft-com:office:smarttags" w:element="place">
        <w:smartTag w:uri="urn:schemas-microsoft-com:office:smarttags" w:element="PlaceName">
          <w:r w:rsidR="00297D0F" w:rsidRPr="00B124DC">
            <w:rPr>
              <w:lang w:val="en-GB"/>
            </w:rPr>
            <w:t>Istanbul</w:t>
          </w:r>
        </w:smartTag>
        <w:r w:rsidR="00297D0F" w:rsidRPr="00B124DC">
          <w:rPr>
            <w:lang w:val="en-GB"/>
          </w:rPr>
          <w:t xml:space="preserve"> </w:t>
        </w:r>
        <w:smartTag w:uri="urn:schemas-microsoft-com:office:smarttags" w:element="PlaceType">
          <w:r w:rsidRPr="00B124DC">
            <w:rPr>
              <w:lang w:val="en-GB"/>
            </w:rPr>
            <w:t>University</w:t>
          </w:r>
        </w:smartTag>
      </w:smartTag>
      <w:r w:rsidRPr="00B124DC">
        <w:rPr>
          <w:lang w:val="en-GB"/>
        </w:rPr>
        <w:t xml:space="preserve">. She says she wore the Islamic headscarf during the four years she spent studying medicine at the </w:t>
      </w:r>
      <w:smartTag w:uri="urn:schemas-microsoft-com:office:smarttags" w:element="place">
        <w:smartTag w:uri="urn:schemas-microsoft-com:office:smarttags" w:element="PlaceType">
          <w:r w:rsidRPr="00B124DC">
            <w:rPr>
              <w:lang w:val="en-GB"/>
            </w:rPr>
            <w:t>University</w:t>
          </w:r>
        </w:smartTag>
        <w:r w:rsidRPr="00B124DC">
          <w:rPr>
            <w:lang w:val="en-GB"/>
          </w:rPr>
          <w:t xml:space="preserve"> of </w:t>
        </w:r>
        <w:smartTag w:uri="urn:schemas-microsoft-com:office:smarttags" w:element="PlaceName">
          <w:r w:rsidRPr="00B124DC">
            <w:rPr>
              <w:lang w:val="en-GB"/>
            </w:rPr>
            <w:t>Bursa</w:t>
          </w:r>
        </w:smartTag>
      </w:smartTag>
      <w:r w:rsidRPr="00B124DC">
        <w:rPr>
          <w:lang w:val="en-GB"/>
        </w:rPr>
        <w:t xml:space="preserve"> and continued to do so until February 1998.</w:t>
      </w:r>
    </w:p>
    <w:p w:rsidR="0017616B" w:rsidRPr="00B124DC" w:rsidRDefault="0017616B"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16</w:t>
      </w:r>
      <w:r w:rsidRPr="00B124DC">
        <w:rPr>
          <w:lang w:val="en-GB"/>
        </w:rPr>
        <w:fldChar w:fldCharType="end"/>
      </w:r>
      <w:r w:rsidRPr="00B124DC">
        <w:rPr>
          <w:lang w:val="en-GB"/>
        </w:rPr>
        <w:t xml:space="preserve">.  On </w:t>
      </w:r>
      <w:smartTag w:uri="urn:schemas-microsoft-com:office:smarttags" w:element="date">
        <w:smartTagPr>
          <w:attr w:name="Month" w:val="2"/>
          <w:attr w:name="Day" w:val="23"/>
          <w:attr w:name="Year" w:val="1998"/>
        </w:smartTagPr>
        <w:r w:rsidRPr="00B124DC">
          <w:rPr>
            <w:lang w:val="en-GB"/>
          </w:rPr>
          <w:t>23 February 1998</w:t>
        </w:r>
      </w:smartTag>
      <w:r w:rsidRPr="00B124DC">
        <w:rPr>
          <w:lang w:val="en-GB"/>
        </w:rPr>
        <w:t xml:space="preserve"> the Vice</w:t>
      </w:r>
      <w:r w:rsidR="0033597D">
        <w:rPr>
          <w:lang w:val="en-GB"/>
        </w:rPr>
        <w:t>-</w:t>
      </w:r>
      <w:r w:rsidR="009B10FA" w:rsidRPr="00B124DC">
        <w:rPr>
          <w:lang w:val="en-GB"/>
        </w:rPr>
        <w:t>C</w:t>
      </w:r>
      <w:r w:rsidRPr="00B124DC">
        <w:rPr>
          <w:lang w:val="en-GB"/>
        </w:rPr>
        <w:t>hancellor of Istanbul University issued a circular</w:t>
      </w:r>
      <w:r w:rsidR="006D7A22" w:rsidRPr="00B124DC">
        <w:rPr>
          <w:lang w:val="en-GB"/>
        </w:rPr>
        <w:t xml:space="preserve">, the relevant part of which </w:t>
      </w:r>
      <w:r w:rsidRPr="00B124DC">
        <w:rPr>
          <w:lang w:val="en-GB"/>
        </w:rPr>
        <w:t>provides:</w:t>
      </w:r>
    </w:p>
    <w:p w:rsidR="0017616B" w:rsidRPr="00B124DC" w:rsidRDefault="0017616B" w:rsidP="0017616B">
      <w:pPr>
        <w:pStyle w:val="JuQuot"/>
        <w:rPr>
          <w:lang w:val="en-GB"/>
        </w:rPr>
      </w:pPr>
      <w:r w:rsidRPr="00B124DC">
        <w:rPr>
          <w:lang w:val="en-GB"/>
        </w:rPr>
        <w:t>“By virtue of the Constitution, the law and regulations, and in accordance with the case-law of the Supreme Administrative Court and the European Commission o</w:t>
      </w:r>
      <w:r w:rsidR="00FE63E0" w:rsidRPr="00B124DC">
        <w:rPr>
          <w:lang w:val="en-GB"/>
        </w:rPr>
        <w:t>f</w:t>
      </w:r>
      <w:r w:rsidRPr="00B124DC">
        <w:rPr>
          <w:lang w:val="en-GB"/>
        </w:rPr>
        <w:t xml:space="preserve"> Human Rights and the resolutions adopted by the university administrative boards, students whose </w:t>
      </w:r>
      <w:r w:rsidR="0006350D">
        <w:rPr>
          <w:lang w:val="en-GB"/>
        </w:rPr>
        <w:t>‘</w:t>
      </w:r>
      <w:r w:rsidRPr="00B124DC">
        <w:rPr>
          <w:lang w:val="en-GB"/>
        </w:rPr>
        <w:t>heads are covered</w:t>
      </w:r>
      <w:r w:rsidR="0006350D">
        <w:rPr>
          <w:lang w:val="en-GB"/>
        </w:rPr>
        <w:t>’</w:t>
      </w:r>
      <w:r w:rsidRPr="00B124DC">
        <w:rPr>
          <w:lang w:val="en-GB"/>
        </w:rPr>
        <w:t xml:space="preserve"> (</w:t>
      </w:r>
      <w:r w:rsidR="00AF2C34" w:rsidRPr="00B124DC">
        <w:rPr>
          <w:lang w:val="en-GB"/>
        </w:rPr>
        <w:t xml:space="preserve">who </w:t>
      </w:r>
      <w:r w:rsidRPr="00B124DC">
        <w:rPr>
          <w:lang w:val="en-GB"/>
        </w:rPr>
        <w:t xml:space="preserve">wear the Islamic headscarf) and students (including overseas students) with beards must not be admitted to lectures, courses or tutorials. Consequently, the name and number of any student with a beard or wearing the Islamic headscarf must not be added to the lists of registered students. However, students </w:t>
      </w:r>
      <w:r w:rsidR="0089255B" w:rsidRPr="00B124DC">
        <w:rPr>
          <w:lang w:val="en-GB"/>
        </w:rPr>
        <w:t>who insist on attending tutorials and entering lecture theatres although their</w:t>
      </w:r>
      <w:r w:rsidRPr="00B124DC">
        <w:rPr>
          <w:lang w:val="en-GB"/>
        </w:rPr>
        <w:t xml:space="preserve"> names and numbers are not on the lists must be advised of the position and, should they refuse to leave, their names and numbers must be </w:t>
      </w:r>
      <w:r w:rsidR="00381ABC" w:rsidRPr="00B124DC">
        <w:rPr>
          <w:lang w:val="en-GB"/>
        </w:rPr>
        <w:t>taken</w:t>
      </w:r>
      <w:r w:rsidRPr="00B124DC">
        <w:rPr>
          <w:lang w:val="en-GB"/>
        </w:rPr>
        <w:t xml:space="preserve"> and they must be informed that they are not entitled to attend lectures. If they refuse to leave the lecture theatre, the teacher shall record </w:t>
      </w:r>
      <w:r w:rsidR="00381ABC" w:rsidRPr="00B124DC">
        <w:rPr>
          <w:lang w:val="en-GB"/>
        </w:rPr>
        <w:t>the incident</w:t>
      </w:r>
      <w:r w:rsidRPr="00B124DC">
        <w:rPr>
          <w:lang w:val="en-GB"/>
        </w:rPr>
        <w:t xml:space="preserve"> in a report explaining why it </w:t>
      </w:r>
      <w:r w:rsidR="00381ABC" w:rsidRPr="00B124DC">
        <w:rPr>
          <w:lang w:val="en-GB"/>
        </w:rPr>
        <w:t>was</w:t>
      </w:r>
      <w:r w:rsidRPr="00B124DC">
        <w:rPr>
          <w:lang w:val="en-GB"/>
        </w:rPr>
        <w:t xml:space="preserve"> not possible to give the lecture and shall bring the </w:t>
      </w:r>
      <w:r w:rsidR="006C3B9B" w:rsidRPr="00B124DC">
        <w:rPr>
          <w:lang w:val="en-GB"/>
        </w:rPr>
        <w:t>incident</w:t>
      </w:r>
      <w:r w:rsidRPr="00B124DC">
        <w:rPr>
          <w:lang w:val="en-GB"/>
        </w:rPr>
        <w:t xml:space="preserve"> to the attention of the university authorities as a matter of urgency so that disciplinary measures can be taken.”</w:t>
      </w:r>
    </w:p>
    <w:p w:rsidR="0017616B" w:rsidRPr="00B124DC" w:rsidRDefault="0017616B"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17</w:t>
      </w:r>
      <w:r w:rsidRPr="00B124DC">
        <w:rPr>
          <w:lang w:val="en-GB"/>
        </w:rPr>
        <w:fldChar w:fldCharType="end"/>
      </w:r>
      <w:r w:rsidRPr="00B124DC">
        <w:rPr>
          <w:lang w:val="en-GB"/>
        </w:rPr>
        <w:t xml:space="preserve">.  On </w:t>
      </w:r>
      <w:smartTag w:uri="urn:schemas-microsoft-com:office:smarttags" w:element="date">
        <w:smartTagPr>
          <w:attr w:name="Month" w:val="3"/>
          <w:attr w:name="Day" w:val="12"/>
          <w:attr w:name="Year" w:val="1998"/>
        </w:smartTagPr>
        <w:r w:rsidRPr="00B124DC">
          <w:rPr>
            <w:lang w:val="en-GB"/>
          </w:rPr>
          <w:t>12 March 1998</w:t>
        </w:r>
      </w:smartTag>
      <w:r w:rsidRPr="00B124DC">
        <w:rPr>
          <w:lang w:val="en-GB"/>
        </w:rPr>
        <w:t>, in accordance with the aforementioned circular, the applicant was denied access by invigilators to a written examination on oncology because she was weari</w:t>
      </w:r>
      <w:r w:rsidR="00AA2321" w:rsidRPr="00B124DC">
        <w:rPr>
          <w:lang w:val="en-GB"/>
        </w:rPr>
        <w:t>ng the Islamic headscarf. On 20</w:t>
      </w:r>
      <w:r w:rsidR="005E2247">
        <w:rPr>
          <w:lang w:val="en-GB"/>
        </w:rPr>
        <w:t xml:space="preserve"> </w:t>
      </w:r>
      <w:r w:rsidRPr="00B124DC">
        <w:rPr>
          <w:lang w:val="en-GB"/>
        </w:rPr>
        <w:t>March 1998 the secretaria</w:t>
      </w:r>
      <w:r w:rsidR="00DB3291" w:rsidRPr="00B124DC">
        <w:rPr>
          <w:lang w:val="en-GB"/>
        </w:rPr>
        <w:t>t</w:t>
      </w:r>
      <w:r w:rsidRPr="00B124DC">
        <w:rPr>
          <w:lang w:val="en-GB"/>
        </w:rPr>
        <w:t xml:space="preserve"> of the chair of orthopaedic traumatology refused to allow her to enrol because she</w:t>
      </w:r>
      <w:r w:rsidR="00AA2321" w:rsidRPr="00B124DC">
        <w:rPr>
          <w:lang w:val="en-GB"/>
        </w:rPr>
        <w:t xml:space="preserve"> was wearing a headscarf. On 16</w:t>
      </w:r>
      <w:r w:rsidR="005E2247">
        <w:rPr>
          <w:lang w:val="en-GB"/>
        </w:rPr>
        <w:t xml:space="preserve"> </w:t>
      </w:r>
      <w:r w:rsidRPr="00B124DC">
        <w:rPr>
          <w:lang w:val="en-GB"/>
        </w:rPr>
        <w:t xml:space="preserve">April 1998 she was refused admission to a neurology </w:t>
      </w:r>
      <w:r w:rsidR="00313273" w:rsidRPr="00B124DC">
        <w:rPr>
          <w:lang w:val="en-GB"/>
        </w:rPr>
        <w:t>lecture and on 10</w:t>
      </w:r>
      <w:r w:rsidR="005E2247">
        <w:rPr>
          <w:lang w:val="en-GB"/>
        </w:rPr>
        <w:t xml:space="preserve"> </w:t>
      </w:r>
      <w:r w:rsidRPr="00B124DC">
        <w:rPr>
          <w:lang w:val="en-GB"/>
        </w:rPr>
        <w:t>June 1998 to a written examination on public health, again for the same reason.</w:t>
      </w:r>
    </w:p>
    <w:p w:rsidR="0017616B" w:rsidRPr="00B124DC" w:rsidRDefault="0017616B" w:rsidP="00817457">
      <w:pPr>
        <w:pStyle w:val="JuHA"/>
        <w:keepNext/>
        <w:ind w:left="629" w:hanging="397"/>
        <w:rPr>
          <w:lang w:val="en-GB"/>
        </w:rPr>
      </w:pPr>
      <w:r w:rsidRPr="00B124DC">
        <w:rPr>
          <w:lang w:val="en-GB"/>
        </w:rPr>
        <w:t>B.  The application for an order setting aside the circular of 23 February 1998</w:t>
      </w:r>
    </w:p>
    <w:p w:rsidR="0017616B" w:rsidRPr="00B124DC" w:rsidRDefault="0017616B"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18</w:t>
      </w:r>
      <w:r w:rsidRPr="00B124DC">
        <w:rPr>
          <w:lang w:val="en-GB"/>
        </w:rPr>
        <w:fldChar w:fldCharType="end"/>
      </w:r>
      <w:r w:rsidRPr="00B124DC">
        <w:rPr>
          <w:lang w:val="en-GB"/>
        </w:rPr>
        <w:t xml:space="preserve">.  On </w:t>
      </w:r>
      <w:smartTag w:uri="urn:schemas-microsoft-com:office:smarttags" w:element="date">
        <w:smartTagPr>
          <w:attr w:name="Month" w:val="7"/>
          <w:attr w:name="Day" w:val="29"/>
          <w:attr w:name="Year" w:val="1998"/>
        </w:smartTagPr>
        <w:r w:rsidRPr="00B124DC">
          <w:rPr>
            <w:lang w:val="en-GB"/>
          </w:rPr>
          <w:t>29 July 1998</w:t>
        </w:r>
      </w:smartTag>
      <w:r w:rsidRPr="00B124DC">
        <w:rPr>
          <w:lang w:val="en-GB"/>
        </w:rPr>
        <w:t xml:space="preserve"> the applicant lodged an application for an order setting aside the circular of </w:t>
      </w:r>
      <w:smartTag w:uri="urn:schemas-microsoft-com:office:smarttags" w:element="date">
        <w:smartTagPr>
          <w:attr w:name="Month" w:val="2"/>
          <w:attr w:name="Day" w:val="23"/>
          <w:attr w:name="Year" w:val="1998"/>
        </w:smartTagPr>
        <w:r w:rsidRPr="00B124DC">
          <w:rPr>
            <w:lang w:val="en-GB"/>
          </w:rPr>
          <w:t>23 February 1998</w:t>
        </w:r>
      </w:smartTag>
      <w:r w:rsidRPr="00B124DC">
        <w:rPr>
          <w:lang w:val="en-GB"/>
        </w:rPr>
        <w:t xml:space="preserve">. In her written pleadings, she submitted that the circular and its implementation </w:t>
      </w:r>
      <w:r w:rsidR="004306F9" w:rsidRPr="00B124DC">
        <w:rPr>
          <w:lang w:val="en-GB"/>
        </w:rPr>
        <w:t xml:space="preserve">had </w:t>
      </w:r>
      <w:r w:rsidRPr="00B124DC">
        <w:rPr>
          <w:lang w:val="en-GB"/>
        </w:rPr>
        <w:t xml:space="preserve">infringed her rights guaranteed by Articles 8, 9 and 14 of the Convention and Article 2 of Protocol No. 1, in that there was no statutory basis for the circular and the </w:t>
      </w:r>
      <w:r w:rsidR="00DB3291" w:rsidRPr="00B124DC">
        <w:rPr>
          <w:lang w:val="en-GB"/>
        </w:rPr>
        <w:t>Vice-Chancellor</w:t>
      </w:r>
      <w:r w:rsidR="0006350D">
        <w:rPr>
          <w:lang w:val="en-GB"/>
        </w:rPr>
        <w:t>’</w:t>
      </w:r>
      <w:r w:rsidR="00DB3291" w:rsidRPr="00B124DC">
        <w:rPr>
          <w:lang w:val="en-GB"/>
        </w:rPr>
        <w:t>s Office</w:t>
      </w:r>
      <w:r w:rsidRPr="00B124DC">
        <w:rPr>
          <w:lang w:val="en-GB"/>
        </w:rPr>
        <w:t xml:space="preserve"> had no regulatory power in th</w:t>
      </w:r>
      <w:r w:rsidR="004306F9" w:rsidRPr="00B124DC">
        <w:rPr>
          <w:lang w:val="en-GB"/>
        </w:rPr>
        <w:t>at</w:t>
      </w:r>
      <w:r w:rsidRPr="00B124DC">
        <w:rPr>
          <w:lang w:val="en-GB"/>
        </w:rPr>
        <w:t xml:space="preserve"> sphere.</w:t>
      </w:r>
    </w:p>
    <w:p w:rsidR="0017616B" w:rsidRPr="00B124DC" w:rsidRDefault="0017616B"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19</w:t>
      </w:r>
      <w:r w:rsidRPr="00B124DC">
        <w:rPr>
          <w:lang w:val="en-GB"/>
        </w:rPr>
        <w:fldChar w:fldCharType="end"/>
      </w:r>
      <w:r w:rsidRPr="00B124DC">
        <w:rPr>
          <w:lang w:val="en-GB"/>
        </w:rPr>
        <w:t xml:space="preserve">.  In a judgment of 19 March 1999, the </w:t>
      </w:r>
      <w:smartTag w:uri="urn:schemas-microsoft-com:office:smarttags" w:element="Street">
        <w:smartTag w:uri="urn:schemas-microsoft-com:office:smarttags" w:element="address">
          <w:r w:rsidRPr="00B124DC">
            <w:rPr>
              <w:lang w:val="en-GB"/>
            </w:rPr>
            <w:t>Istanbul Administrative Court</w:t>
          </w:r>
        </w:smartTag>
      </w:smartTag>
      <w:r w:rsidRPr="00B124DC">
        <w:rPr>
          <w:lang w:val="en-GB"/>
        </w:rPr>
        <w:t xml:space="preserve"> dismissed the application, holding that by virtue</w:t>
      </w:r>
      <w:r w:rsidR="00395698">
        <w:rPr>
          <w:lang w:val="en-GB"/>
        </w:rPr>
        <w:t xml:space="preserve"> of section 13(b) of the Higher </w:t>
      </w:r>
      <w:r w:rsidRPr="00B124DC">
        <w:rPr>
          <w:lang w:val="en-GB"/>
        </w:rPr>
        <w:t>Education Act (Law no. 2547 – see paragraph 5</w:t>
      </w:r>
      <w:r w:rsidR="005A2CE2" w:rsidRPr="00B124DC">
        <w:rPr>
          <w:lang w:val="en-GB"/>
        </w:rPr>
        <w:t>2</w:t>
      </w:r>
      <w:r w:rsidRPr="00B124DC">
        <w:rPr>
          <w:lang w:val="en-GB"/>
        </w:rPr>
        <w:t xml:space="preserve"> below) a university vice</w:t>
      </w:r>
      <w:r w:rsidR="0033597D">
        <w:rPr>
          <w:lang w:val="en-GB"/>
        </w:rPr>
        <w:t>-</w:t>
      </w:r>
      <w:r w:rsidRPr="00B124DC">
        <w:rPr>
          <w:lang w:val="en-GB"/>
        </w:rPr>
        <w:t>chancellor, as the executive organ of the university, had power to regulate students</w:t>
      </w:r>
      <w:r w:rsidR="0006350D">
        <w:rPr>
          <w:lang w:val="en-GB"/>
        </w:rPr>
        <w:t>’</w:t>
      </w:r>
      <w:r w:rsidRPr="00B124DC">
        <w:rPr>
          <w:lang w:val="en-GB"/>
        </w:rPr>
        <w:t xml:space="preserve"> dress </w:t>
      </w:r>
      <w:r w:rsidR="003C32C3" w:rsidRPr="00B124DC">
        <w:rPr>
          <w:lang w:val="en-GB"/>
        </w:rPr>
        <w:t>for the purposes of</w:t>
      </w:r>
      <w:r w:rsidRPr="00B124DC">
        <w:rPr>
          <w:lang w:val="en-GB"/>
        </w:rPr>
        <w:t xml:space="preserve"> maintain</w:t>
      </w:r>
      <w:r w:rsidR="003C32C3" w:rsidRPr="00B124DC">
        <w:rPr>
          <w:lang w:val="en-GB"/>
        </w:rPr>
        <w:t>ing</w:t>
      </w:r>
      <w:r w:rsidRPr="00B124DC">
        <w:rPr>
          <w:lang w:val="en-GB"/>
        </w:rPr>
        <w:t xml:space="preserve"> order. That regulatory power had to be exercised in accordance with the relevant legislation and the judgments of the </w:t>
      </w:r>
      <w:smartTag w:uri="urn:schemas-microsoft-com:office:smarttags" w:element="Street">
        <w:smartTag w:uri="urn:schemas-microsoft-com:office:smarttags" w:element="address">
          <w:r w:rsidRPr="00B124DC">
            <w:rPr>
              <w:lang w:val="en-GB"/>
            </w:rPr>
            <w:t>Constitutional Court</w:t>
          </w:r>
        </w:smartTag>
      </w:smartTag>
      <w:r w:rsidRPr="00B124DC">
        <w:rPr>
          <w:lang w:val="en-GB"/>
        </w:rPr>
        <w:t xml:space="preserve"> and the </w:t>
      </w:r>
      <w:smartTag w:uri="urn:schemas-microsoft-com:office:smarttags" w:element="Street">
        <w:smartTag w:uri="urn:schemas-microsoft-com:office:smarttags" w:element="address">
          <w:r w:rsidRPr="00B124DC">
            <w:rPr>
              <w:lang w:val="en-GB"/>
            </w:rPr>
            <w:t>Supreme Administrative Court</w:t>
          </w:r>
        </w:smartTag>
      </w:smartTag>
      <w:r w:rsidRPr="00B124DC">
        <w:rPr>
          <w:lang w:val="en-GB"/>
        </w:rPr>
        <w:t xml:space="preserve">. Referring to the settled case-law of those courts, the </w:t>
      </w:r>
      <w:smartTag w:uri="urn:schemas-microsoft-com:office:smarttags" w:element="Street">
        <w:smartTag w:uri="urn:schemas-microsoft-com:office:smarttags" w:element="address">
          <w:r w:rsidRPr="00B124DC">
            <w:rPr>
              <w:lang w:val="en-GB"/>
            </w:rPr>
            <w:t>Administrative Court</w:t>
          </w:r>
        </w:smartTag>
      </w:smartTag>
      <w:r w:rsidRPr="00B124DC">
        <w:rPr>
          <w:lang w:val="en-GB"/>
        </w:rPr>
        <w:t xml:space="preserve"> held that neither the regulation</w:t>
      </w:r>
      <w:r w:rsidR="009B10FA" w:rsidRPr="00B124DC">
        <w:rPr>
          <w:lang w:val="en-GB"/>
        </w:rPr>
        <w:t>s</w:t>
      </w:r>
      <w:r w:rsidRPr="00B124DC">
        <w:rPr>
          <w:lang w:val="en-GB"/>
        </w:rPr>
        <w:t xml:space="preserve"> in issue, nor the measures</w:t>
      </w:r>
      <w:r w:rsidR="009B10FA" w:rsidRPr="00B124DC">
        <w:rPr>
          <w:lang w:val="en-GB"/>
        </w:rPr>
        <w:t xml:space="preserve"> taken against the applicant</w:t>
      </w:r>
      <w:r w:rsidRPr="00B124DC">
        <w:rPr>
          <w:lang w:val="en-GB"/>
        </w:rPr>
        <w:t>, could be considered illegal.</w:t>
      </w:r>
    </w:p>
    <w:p w:rsidR="0017616B" w:rsidRPr="00B124DC" w:rsidRDefault="0017616B"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20</w:t>
      </w:r>
      <w:r w:rsidRPr="00B124DC">
        <w:rPr>
          <w:lang w:val="en-GB"/>
        </w:rPr>
        <w:fldChar w:fldCharType="end"/>
      </w:r>
      <w:r w:rsidRPr="00B124DC">
        <w:rPr>
          <w:lang w:val="en-GB"/>
        </w:rPr>
        <w:t xml:space="preserve">.  On </w:t>
      </w:r>
      <w:smartTag w:uri="urn:schemas-microsoft-com:office:smarttags" w:element="date">
        <w:smartTagPr>
          <w:attr w:name="Month" w:val="4"/>
          <w:attr w:name="Day" w:val="19"/>
          <w:attr w:name="Year" w:val="2001"/>
        </w:smartTagPr>
        <w:r w:rsidRPr="00B124DC">
          <w:rPr>
            <w:lang w:val="en-GB"/>
          </w:rPr>
          <w:t>19 April 2001</w:t>
        </w:r>
      </w:smartTag>
      <w:r w:rsidRPr="00B124DC">
        <w:rPr>
          <w:lang w:val="en-GB"/>
        </w:rPr>
        <w:t xml:space="preserve"> the </w:t>
      </w:r>
      <w:smartTag w:uri="urn:schemas-microsoft-com:office:smarttags" w:element="Street">
        <w:smartTag w:uri="urn:schemas-microsoft-com:office:smarttags" w:element="address">
          <w:r w:rsidRPr="00B124DC">
            <w:rPr>
              <w:lang w:val="en-GB"/>
            </w:rPr>
            <w:t>Supreme Administrative Court</w:t>
          </w:r>
        </w:smartTag>
      </w:smartTag>
      <w:r w:rsidRPr="00B124DC">
        <w:rPr>
          <w:lang w:val="en-GB"/>
        </w:rPr>
        <w:t xml:space="preserve"> dismissed an appeal </w:t>
      </w:r>
      <w:r w:rsidR="00492820" w:rsidRPr="00B124DC">
        <w:rPr>
          <w:lang w:val="en-GB"/>
        </w:rPr>
        <w:t xml:space="preserve">on points of law </w:t>
      </w:r>
      <w:r w:rsidRPr="00B124DC">
        <w:rPr>
          <w:lang w:val="en-GB"/>
        </w:rPr>
        <w:t>by the applicant.</w:t>
      </w:r>
    </w:p>
    <w:p w:rsidR="0017616B" w:rsidRPr="00B124DC" w:rsidRDefault="0017616B" w:rsidP="0017616B">
      <w:pPr>
        <w:pStyle w:val="JuHA"/>
        <w:keepNext/>
        <w:rPr>
          <w:lang w:val="en-GB"/>
        </w:rPr>
      </w:pPr>
      <w:r w:rsidRPr="00B124DC">
        <w:rPr>
          <w:lang w:val="en-GB"/>
        </w:rPr>
        <w:t>C.  The disciplinary measures taken against the applicant</w:t>
      </w:r>
    </w:p>
    <w:p w:rsidR="0017616B" w:rsidRPr="00B124DC" w:rsidRDefault="0017616B"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21</w:t>
      </w:r>
      <w:r w:rsidRPr="00B124DC">
        <w:rPr>
          <w:lang w:val="en-GB"/>
        </w:rPr>
        <w:fldChar w:fldCharType="end"/>
      </w:r>
      <w:r w:rsidRPr="00B124DC">
        <w:rPr>
          <w:lang w:val="en-GB"/>
        </w:rPr>
        <w:t xml:space="preserve">.  In May 1998 disciplinary proceedings were brought against the applicant under </w:t>
      </w:r>
      <w:r w:rsidR="000C48A0">
        <w:rPr>
          <w:lang w:val="en-GB"/>
        </w:rPr>
        <w:t>paragraph</w:t>
      </w:r>
      <w:r w:rsidRPr="00B124DC">
        <w:rPr>
          <w:lang w:val="en-GB"/>
        </w:rPr>
        <w:t xml:space="preserve"> 6</w:t>
      </w:r>
      <w:r w:rsidR="0033597D">
        <w:rPr>
          <w:lang w:val="en-GB"/>
        </w:rPr>
        <w:t xml:space="preserve"> </w:t>
      </w:r>
      <w:r w:rsidRPr="00B124DC">
        <w:rPr>
          <w:lang w:val="en-GB"/>
        </w:rPr>
        <w:t xml:space="preserve">(a) of the Students Disciplinary Procedure Rules (see paragraph </w:t>
      </w:r>
      <w:r w:rsidR="005A2CE2" w:rsidRPr="00B124DC">
        <w:rPr>
          <w:color w:val="333300"/>
          <w:lang w:val="en-GB"/>
        </w:rPr>
        <w:t>50</w:t>
      </w:r>
      <w:r w:rsidRPr="00B124DC">
        <w:rPr>
          <w:lang w:val="en-GB"/>
        </w:rPr>
        <w:t xml:space="preserve"> below) as a result of her failure to comply with the rules on dress.</w:t>
      </w:r>
    </w:p>
    <w:p w:rsidR="0017616B" w:rsidRPr="00B124DC" w:rsidRDefault="0017616B" w:rsidP="0017616B">
      <w:pPr>
        <w:pStyle w:val="JuParaCharCharCharCharCharCharChar"/>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22</w:t>
      </w:r>
      <w:r w:rsidRPr="00B124DC">
        <w:rPr>
          <w:lang w:val="en-GB"/>
        </w:rPr>
        <w:fldChar w:fldCharType="end"/>
      </w:r>
      <w:r w:rsidRPr="00B124DC">
        <w:rPr>
          <w:lang w:val="en-GB"/>
        </w:rPr>
        <w:t xml:space="preserve">.  On </w:t>
      </w:r>
      <w:smartTag w:uri="urn:schemas-microsoft-com:office:smarttags" w:element="date">
        <w:smartTagPr>
          <w:attr w:name="Month" w:val="5"/>
          <w:attr w:name="Day" w:val="26"/>
          <w:attr w:name="Year" w:val="1998"/>
        </w:smartTagPr>
        <w:r w:rsidRPr="00B124DC">
          <w:rPr>
            <w:lang w:val="en-GB"/>
          </w:rPr>
          <w:t>26 May 1998</w:t>
        </w:r>
      </w:smartTag>
      <w:r w:rsidRPr="00B124DC">
        <w:rPr>
          <w:lang w:val="en-GB"/>
        </w:rPr>
        <w:t>, in view of the fact that the applicant had shown by her actions that she intended to continue wearing the headscarf to lectures and/or tutorials, the dean of the faculty declared that her attitude and failure to comply with the rules on dress were not befitting of a student. He therefore decided to issue her with a warning.</w:t>
      </w:r>
    </w:p>
    <w:p w:rsidR="0017616B" w:rsidRPr="00B124DC" w:rsidRDefault="0017616B" w:rsidP="0017616B">
      <w:pPr>
        <w:pStyle w:val="JuParaCharCharCharCharCharCharChar"/>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23</w:t>
      </w:r>
      <w:r w:rsidRPr="00B124DC">
        <w:rPr>
          <w:lang w:val="en-GB"/>
        </w:rPr>
        <w:fldChar w:fldCharType="end"/>
      </w:r>
      <w:r w:rsidRPr="00B124DC">
        <w:rPr>
          <w:lang w:val="en-GB"/>
        </w:rPr>
        <w:t xml:space="preserve">.  On </w:t>
      </w:r>
      <w:smartTag w:uri="urn:schemas-microsoft-com:office:smarttags" w:element="date">
        <w:smartTagPr>
          <w:attr w:name="Month" w:val="2"/>
          <w:attr w:name="Day" w:val="15"/>
          <w:attr w:name="Year" w:val="1999"/>
        </w:smartTagPr>
        <w:r w:rsidRPr="00B124DC">
          <w:rPr>
            <w:lang w:val="en-GB"/>
          </w:rPr>
          <w:t>15 February 1999</w:t>
        </w:r>
      </w:smartTag>
      <w:r w:rsidRPr="00B124DC">
        <w:rPr>
          <w:lang w:val="en-GB"/>
        </w:rPr>
        <w:t xml:space="preserve"> an unauthorised assembly gathered outside the deanery of the Cerrahpaşa Faculty of Medicine to prot</w:t>
      </w:r>
      <w:r w:rsidR="00AA2321" w:rsidRPr="00B124DC">
        <w:rPr>
          <w:lang w:val="en-GB"/>
        </w:rPr>
        <w:t>est against the rules on dress.</w:t>
      </w:r>
    </w:p>
    <w:p w:rsidR="0017616B" w:rsidRPr="00B124DC" w:rsidRDefault="0017616B" w:rsidP="0017616B">
      <w:pPr>
        <w:pStyle w:val="JuParaCharCharCharCharCharCharChar"/>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24</w:t>
      </w:r>
      <w:r w:rsidRPr="00B124DC">
        <w:rPr>
          <w:lang w:val="en-GB"/>
        </w:rPr>
        <w:fldChar w:fldCharType="end"/>
      </w:r>
      <w:r w:rsidRPr="00B124DC">
        <w:rPr>
          <w:lang w:val="en-GB"/>
        </w:rPr>
        <w:t xml:space="preserve">.  On </w:t>
      </w:r>
      <w:smartTag w:uri="urn:schemas-microsoft-com:office:smarttags" w:element="date">
        <w:smartTagPr>
          <w:attr w:name="Month" w:val="2"/>
          <w:attr w:name="Day" w:val="26"/>
          <w:attr w:name="Year" w:val="1999"/>
        </w:smartTagPr>
        <w:r w:rsidRPr="00B124DC">
          <w:rPr>
            <w:lang w:val="en-GB"/>
          </w:rPr>
          <w:t>26 February 1999</w:t>
        </w:r>
      </w:smartTag>
      <w:r w:rsidRPr="00B124DC">
        <w:rPr>
          <w:lang w:val="en-GB"/>
        </w:rPr>
        <w:t xml:space="preserve"> the dean of the faculty began disciplinary proceedings against various students, including the applicant, for </w:t>
      </w:r>
      <w:r w:rsidR="00B64002" w:rsidRPr="00B124DC">
        <w:rPr>
          <w:lang w:val="en-GB"/>
        </w:rPr>
        <w:t>joining</w:t>
      </w:r>
      <w:r w:rsidRPr="00B124DC">
        <w:rPr>
          <w:lang w:val="en-GB"/>
        </w:rPr>
        <w:t xml:space="preserve"> the assembly. On </w:t>
      </w:r>
      <w:smartTag w:uri="urn:schemas-microsoft-com:office:smarttags" w:element="date">
        <w:smartTagPr>
          <w:attr w:name="Month" w:val="4"/>
          <w:attr w:name="Day" w:val="13"/>
          <w:attr w:name="Year" w:val="1999"/>
        </w:smartTagPr>
        <w:r w:rsidRPr="00B124DC">
          <w:rPr>
            <w:lang w:val="en-GB"/>
          </w:rPr>
          <w:t>13 April 1999</w:t>
        </w:r>
      </w:smartTag>
      <w:r w:rsidRPr="00B124DC">
        <w:rPr>
          <w:lang w:val="en-GB"/>
        </w:rPr>
        <w:t xml:space="preserve">, after hearing </w:t>
      </w:r>
      <w:r w:rsidR="00F55CA4" w:rsidRPr="00B124DC">
        <w:rPr>
          <w:lang w:val="en-GB"/>
        </w:rPr>
        <w:t xml:space="preserve">her </w:t>
      </w:r>
      <w:r w:rsidRPr="00B124DC">
        <w:rPr>
          <w:lang w:val="en-GB"/>
        </w:rPr>
        <w:t>representations</w:t>
      </w:r>
      <w:r w:rsidR="00F55CA4" w:rsidRPr="00B124DC">
        <w:rPr>
          <w:lang w:val="en-GB"/>
        </w:rPr>
        <w:t>,</w:t>
      </w:r>
      <w:r w:rsidRPr="00B124DC">
        <w:rPr>
          <w:lang w:val="en-GB"/>
        </w:rPr>
        <w:t xml:space="preserve"> he suspended her from the university for a semester pursuant to Article 9</w:t>
      </w:r>
      <w:r w:rsidR="0033597D">
        <w:rPr>
          <w:lang w:val="en-GB"/>
        </w:rPr>
        <w:t xml:space="preserve"> </w:t>
      </w:r>
      <w:r w:rsidRPr="00B124DC">
        <w:rPr>
          <w:lang w:val="en-GB"/>
        </w:rPr>
        <w:t xml:space="preserve">(j) of the Students Disciplinary Procedure Rules (see paragraph </w:t>
      </w:r>
      <w:r w:rsidR="005A2CE2" w:rsidRPr="00B124DC">
        <w:rPr>
          <w:lang w:val="en-GB"/>
        </w:rPr>
        <w:t>50</w:t>
      </w:r>
      <w:r w:rsidRPr="00B124DC">
        <w:rPr>
          <w:lang w:val="en-GB"/>
        </w:rPr>
        <w:t xml:space="preserve"> below).</w:t>
      </w:r>
    </w:p>
    <w:p w:rsidR="0017616B" w:rsidRPr="00B124DC" w:rsidRDefault="00234918" w:rsidP="0017616B">
      <w:pPr>
        <w:pStyle w:val="JuParaCharCharCharCharCharCharChar"/>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25</w:t>
      </w:r>
      <w:r w:rsidRPr="00B124DC">
        <w:rPr>
          <w:lang w:val="en-GB"/>
        </w:rPr>
        <w:fldChar w:fldCharType="end"/>
      </w:r>
      <w:r w:rsidRPr="00B124DC">
        <w:rPr>
          <w:lang w:val="en-GB"/>
        </w:rPr>
        <w:t>.  </w:t>
      </w:r>
      <w:r w:rsidR="0017616B" w:rsidRPr="00B124DC">
        <w:rPr>
          <w:lang w:val="en-GB"/>
        </w:rPr>
        <w:t xml:space="preserve">On </w:t>
      </w:r>
      <w:smartTag w:uri="urn:schemas-microsoft-com:office:smarttags" w:element="date">
        <w:smartTagPr>
          <w:attr w:name="Month" w:val="6"/>
          <w:attr w:name="Day" w:val="10"/>
          <w:attr w:name="Year" w:val="1999"/>
        </w:smartTagPr>
        <w:r w:rsidR="0017616B" w:rsidRPr="00B124DC">
          <w:rPr>
            <w:lang w:val="en-GB"/>
          </w:rPr>
          <w:t>10 June 1999</w:t>
        </w:r>
      </w:smartTag>
      <w:r w:rsidR="0017616B" w:rsidRPr="00B124DC">
        <w:rPr>
          <w:lang w:val="en-GB"/>
        </w:rPr>
        <w:t xml:space="preserve"> the applicant lodged an application with the </w:t>
      </w:r>
      <w:smartTag w:uri="urn:schemas-microsoft-com:office:smarttags" w:element="Street">
        <w:smartTag w:uri="urn:schemas-microsoft-com:office:smarttags" w:element="address">
          <w:r w:rsidR="0017616B" w:rsidRPr="00B124DC">
            <w:rPr>
              <w:lang w:val="en-GB"/>
            </w:rPr>
            <w:t>Istanbul Administrative Court</w:t>
          </w:r>
        </w:smartTag>
      </w:smartTag>
      <w:r w:rsidR="0017616B" w:rsidRPr="00B124DC">
        <w:rPr>
          <w:lang w:val="en-GB"/>
        </w:rPr>
        <w:t xml:space="preserve"> for an order quashing the decision to suspend her.</w:t>
      </w:r>
      <w:r w:rsidRPr="00B124DC">
        <w:rPr>
          <w:lang w:val="en-GB"/>
        </w:rPr>
        <w:t xml:space="preserve"> </w:t>
      </w:r>
      <w:r w:rsidR="003562E8" w:rsidRPr="00B124DC">
        <w:rPr>
          <w:lang w:val="en-GB"/>
        </w:rPr>
        <w:t>The</w:t>
      </w:r>
      <w:r w:rsidR="0017616B" w:rsidRPr="00B124DC">
        <w:rPr>
          <w:lang w:val="en-GB"/>
        </w:rPr>
        <w:t xml:space="preserve"> application</w:t>
      </w:r>
      <w:r w:rsidR="003562E8" w:rsidRPr="00B124DC">
        <w:rPr>
          <w:lang w:val="en-GB"/>
        </w:rPr>
        <w:t xml:space="preserve"> </w:t>
      </w:r>
      <w:r w:rsidR="0017616B" w:rsidRPr="00B124DC">
        <w:rPr>
          <w:lang w:val="en-GB"/>
        </w:rPr>
        <w:t xml:space="preserve">was dismissed </w:t>
      </w:r>
      <w:r w:rsidR="003562E8" w:rsidRPr="00B124DC">
        <w:rPr>
          <w:lang w:val="en-GB"/>
        </w:rPr>
        <w:t xml:space="preserve">on 30 November 1999 </w:t>
      </w:r>
      <w:r w:rsidR="0017616B" w:rsidRPr="00B124DC">
        <w:rPr>
          <w:lang w:val="en-GB"/>
        </w:rPr>
        <w:t xml:space="preserve">by the </w:t>
      </w:r>
      <w:smartTag w:uri="urn:schemas-microsoft-com:office:smarttags" w:element="Street">
        <w:smartTag w:uri="urn:schemas-microsoft-com:office:smarttags" w:element="address">
          <w:r w:rsidR="0017616B" w:rsidRPr="00B124DC">
            <w:rPr>
              <w:lang w:val="en-GB"/>
            </w:rPr>
            <w:t>Istanbul Administrative Court</w:t>
          </w:r>
        </w:smartTag>
      </w:smartTag>
      <w:r w:rsidR="0017616B" w:rsidRPr="00B124DC">
        <w:rPr>
          <w:lang w:val="en-GB"/>
        </w:rPr>
        <w:t xml:space="preserve"> </w:t>
      </w:r>
      <w:r w:rsidR="003562E8" w:rsidRPr="00B124DC">
        <w:rPr>
          <w:lang w:val="en-GB"/>
        </w:rPr>
        <w:t>on the ground</w:t>
      </w:r>
      <w:r w:rsidR="0017616B" w:rsidRPr="00B124DC">
        <w:rPr>
          <w:lang w:val="en-GB"/>
        </w:rPr>
        <w:t xml:space="preserve"> that</w:t>
      </w:r>
      <w:r w:rsidR="00395698">
        <w:rPr>
          <w:lang w:val="en-GB"/>
        </w:rPr>
        <w:t>,</w:t>
      </w:r>
      <w:r w:rsidR="0017616B" w:rsidRPr="00B124DC">
        <w:rPr>
          <w:lang w:val="en-GB"/>
        </w:rPr>
        <w:t xml:space="preserve"> in the light of the material in the case file and the settled case-law on the subject, the impugned measure could not be regarded as illegal.</w:t>
      </w:r>
    </w:p>
    <w:p w:rsidR="0017616B" w:rsidRPr="00B124DC" w:rsidRDefault="0017616B" w:rsidP="0017616B">
      <w:pPr>
        <w:pStyle w:val="JuParaCharCharCharCharCharCharChar"/>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26</w:t>
      </w:r>
      <w:r w:rsidRPr="00B124DC">
        <w:rPr>
          <w:lang w:val="en-GB"/>
        </w:rPr>
        <w:fldChar w:fldCharType="end"/>
      </w:r>
      <w:r w:rsidRPr="00B124DC">
        <w:rPr>
          <w:lang w:val="en-GB"/>
        </w:rPr>
        <w:t>.  Following the entry into force of Law no. 4584 o</w:t>
      </w:r>
      <w:r w:rsidR="00C17D8C" w:rsidRPr="00B124DC">
        <w:rPr>
          <w:lang w:val="en-GB"/>
        </w:rPr>
        <w:t>n</w:t>
      </w:r>
      <w:r w:rsidRPr="00B124DC">
        <w:rPr>
          <w:lang w:val="en-GB"/>
        </w:rPr>
        <w:t xml:space="preserve"> 28 June 2000 (which </w:t>
      </w:r>
      <w:r w:rsidR="00141420" w:rsidRPr="00B124DC">
        <w:rPr>
          <w:lang w:val="en-GB"/>
        </w:rPr>
        <w:t xml:space="preserve">provided for </w:t>
      </w:r>
      <w:r w:rsidRPr="00B124DC">
        <w:rPr>
          <w:lang w:val="en-GB"/>
        </w:rPr>
        <w:t>students</w:t>
      </w:r>
      <w:r w:rsidR="00141420" w:rsidRPr="00B124DC">
        <w:rPr>
          <w:lang w:val="en-GB"/>
        </w:rPr>
        <w:t xml:space="preserve"> to be given</w:t>
      </w:r>
      <w:r w:rsidRPr="00B124DC">
        <w:rPr>
          <w:lang w:val="en-GB"/>
        </w:rPr>
        <w:t xml:space="preserve"> an amnesty </w:t>
      </w:r>
      <w:r w:rsidR="00141420" w:rsidRPr="00B124DC">
        <w:rPr>
          <w:lang w:val="en-GB"/>
        </w:rPr>
        <w:t xml:space="preserve">in respect of penalties imposed </w:t>
      </w:r>
      <w:r w:rsidRPr="00B124DC">
        <w:rPr>
          <w:lang w:val="en-GB"/>
        </w:rPr>
        <w:t xml:space="preserve">for disciplinary offences and </w:t>
      </w:r>
      <w:r w:rsidR="00141420" w:rsidRPr="00B124DC">
        <w:rPr>
          <w:lang w:val="en-GB"/>
        </w:rPr>
        <w:t xml:space="preserve">for any resulting disability to be </w:t>
      </w:r>
      <w:r w:rsidRPr="00B124DC">
        <w:rPr>
          <w:lang w:val="en-GB"/>
        </w:rPr>
        <w:t>annulled</w:t>
      </w:r>
      <w:r w:rsidR="00141420" w:rsidRPr="00B124DC">
        <w:rPr>
          <w:lang w:val="en-GB"/>
        </w:rPr>
        <w:t>)</w:t>
      </w:r>
      <w:r w:rsidR="00395698">
        <w:rPr>
          <w:lang w:val="en-GB"/>
        </w:rPr>
        <w:t>,</w:t>
      </w:r>
      <w:r w:rsidR="00141420" w:rsidRPr="00B124DC">
        <w:rPr>
          <w:lang w:val="en-GB"/>
        </w:rPr>
        <w:t xml:space="preserve"> </w:t>
      </w:r>
      <w:r w:rsidRPr="00B124DC">
        <w:rPr>
          <w:lang w:val="en-GB"/>
        </w:rPr>
        <w:t xml:space="preserve">the applicant was granted an amnesty </w:t>
      </w:r>
      <w:r w:rsidR="00141420" w:rsidRPr="00B124DC">
        <w:rPr>
          <w:lang w:val="en-GB"/>
        </w:rPr>
        <w:t>releasing her from all the</w:t>
      </w:r>
      <w:r w:rsidRPr="00B124DC">
        <w:rPr>
          <w:lang w:val="en-GB"/>
        </w:rPr>
        <w:t xml:space="preserve"> penalties </w:t>
      </w:r>
      <w:r w:rsidR="00BB631C" w:rsidRPr="00B124DC">
        <w:rPr>
          <w:lang w:val="en-GB"/>
        </w:rPr>
        <w:t xml:space="preserve">that had been imposed on her </w:t>
      </w:r>
      <w:r w:rsidR="00141420" w:rsidRPr="00B124DC">
        <w:rPr>
          <w:lang w:val="en-GB"/>
        </w:rPr>
        <w:t xml:space="preserve">and </w:t>
      </w:r>
      <w:r w:rsidR="00BB631C" w:rsidRPr="00B124DC">
        <w:rPr>
          <w:lang w:val="en-GB"/>
        </w:rPr>
        <w:t xml:space="preserve">the </w:t>
      </w:r>
      <w:r w:rsidR="00141420" w:rsidRPr="00B124DC">
        <w:rPr>
          <w:lang w:val="en-GB"/>
        </w:rPr>
        <w:t>resultant disabilities</w:t>
      </w:r>
      <w:r w:rsidRPr="00B124DC">
        <w:rPr>
          <w:lang w:val="en-GB"/>
        </w:rPr>
        <w:t>.</w:t>
      </w:r>
    </w:p>
    <w:p w:rsidR="0017616B" w:rsidRPr="00B124DC" w:rsidRDefault="00C17D8C" w:rsidP="0017616B">
      <w:pPr>
        <w:pStyle w:val="JuParaCharCharCharCharCharCharChar"/>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27</w:t>
      </w:r>
      <w:r w:rsidRPr="00B124DC">
        <w:rPr>
          <w:lang w:val="en-GB"/>
        </w:rPr>
        <w:fldChar w:fldCharType="end"/>
      </w:r>
      <w:r w:rsidRPr="00B124DC">
        <w:rPr>
          <w:lang w:val="en-GB"/>
        </w:rPr>
        <w:t>.  </w:t>
      </w:r>
      <w:r w:rsidR="0017616B" w:rsidRPr="00B124DC">
        <w:rPr>
          <w:lang w:val="en-GB"/>
        </w:rPr>
        <w:t xml:space="preserve">On </w:t>
      </w:r>
      <w:smartTag w:uri="urn:schemas-microsoft-com:office:smarttags" w:element="date">
        <w:smartTagPr>
          <w:attr w:name="Month" w:val="9"/>
          <w:attr w:name="Day" w:val="28"/>
          <w:attr w:name="Year" w:val="2000"/>
        </w:smartTagPr>
        <w:r w:rsidR="0017616B" w:rsidRPr="00B124DC">
          <w:rPr>
            <w:lang w:val="en-GB"/>
          </w:rPr>
          <w:t>28 September 2000</w:t>
        </w:r>
      </w:smartTag>
      <w:r w:rsidR="0017616B" w:rsidRPr="00B124DC">
        <w:rPr>
          <w:lang w:val="en-GB"/>
        </w:rPr>
        <w:t xml:space="preserve"> the </w:t>
      </w:r>
      <w:smartTag w:uri="urn:schemas-microsoft-com:office:smarttags" w:element="Street">
        <w:smartTag w:uri="urn:schemas-microsoft-com:office:smarttags" w:element="address">
          <w:r w:rsidR="0017616B" w:rsidRPr="00B124DC">
            <w:rPr>
              <w:lang w:val="en-GB"/>
            </w:rPr>
            <w:t>Supreme Administrative Court</w:t>
          </w:r>
        </w:smartTag>
      </w:smartTag>
      <w:r w:rsidR="0017616B" w:rsidRPr="00B124DC">
        <w:rPr>
          <w:lang w:val="en-GB"/>
        </w:rPr>
        <w:t xml:space="preserve"> held that </w:t>
      </w:r>
      <w:r w:rsidRPr="00B124DC">
        <w:rPr>
          <w:lang w:val="en-GB"/>
        </w:rPr>
        <w:t xml:space="preserve">Law no. 4584 </w:t>
      </w:r>
      <w:r w:rsidR="0017616B" w:rsidRPr="00B124DC">
        <w:rPr>
          <w:lang w:val="en-GB"/>
        </w:rPr>
        <w:t>made it unnecessary to examine the merits of the applicant</w:t>
      </w:r>
      <w:r w:rsidR="0006350D">
        <w:rPr>
          <w:lang w:val="en-GB"/>
        </w:rPr>
        <w:t>’</w:t>
      </w:r>
      <w:r w:rsidR="0017616B" w:rsidRPr="00B124DC">
        <w:rPr>
          <w:lang w:val="en-GB"/>
        </w:rPr>
        <w:t>s appeal on points of law against the judgment of 30</w:t>
      </w:r>
      <w:r w:rsidR="005E2247">
        <w:rPr>
          <w:lang w:val="en-GB"/>
        </w:rPr>
        <w:t xml:space="preserve"> </w:t>
      </w:r>
      <w:r w:rsidR="0017616B" w:rsidRPr="00B124DC">
        <w:rPr>
          <w:lang w:val="en-GB"/>
        </w:rPr>
        <w:t>November 1999.</w:t>
      </w:r>
    </w:p>
    <w:p w:rsidR="0017616B" w:rsidRPr="00B124DC" w:rsidRDefault="0017616B" w:rsidP="0017616B">
      <w:pPr>
        <w:pStyle w:val="JuParaCharCharCharCharCharCharChar"/>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28</w:t>
      </w:r>
      <w:r w:rsidRPr="00B124DC">
        <w:rPr>
          <w:lang w:val="en-GB"/>
        </w:rPr>
        <w:fldChar w:fldCharType="end"/>
      </w:r>
      <w:r w:rsidRPr="00B124DC">
        <w:rPr>
          <w:lang w:val="en-GB"/>
        </w:rPr>
        <w:t xml:space="preserve">.  In the meantime, on </w:t>
      </w:r>
      <w:smartTag w:uri="urn:schemas-microsoft-com:office:smarttags" w:element="date">
        <w:smartTagPr>
          <w:attr w:name="Month" w:val="9"/>
          <w:attr w:name="Day" w:val="16"/>
          <w:attr w:name="Year" w:val="1999"/>
        </w:smartTagPr>
        <w:r w:rsidRPr="00B124DC">
          <w:rPr>
            <w:lang w:val="en-GB"/>
          </w:rPr>
          <w:t>16 September 1999</w:t>
        </w:r>
      </w:smartTag>
      <w:r w:rsidR="00234918" w:rsidRPr="00B124DC">
        <w:rPr>
          <w:lang w:val="en-GB"/>
        </w:rPr>
        <w:t>,</w:t>
      </w:r>
      <w:r w:rsidRPr="00B124DC">
        <w:rPr>
          <w:lang w:val="en-GB"/>
        </w:rPr>
        <w:t xml:space="preserve"> the applicant </w:t>
      </w:r>
      <w:r w:rsidR="00234918" w:rsidRPr="00B124DC">
        <w:rPr>
          <w:lang w:val="en-GB"/>
        </w:rPr>
        <w:t xml:space="preserve">abandoned her studies in </w:t>
      </w:r>
      <w:smartTag w:uri="urn:schemas-microsoft-com:office:smarttags" w:element="country-region">
        <w:r w:rsidR="00234918" w:rsidRPr="00B124DC">
          <w:rPr>
            <w:lang w:val="en-GB"/>
          </w:rPr>
          <w:t>Turkey</w:t>
        </w:r>
      </w:smartTag>
      <w:r w:rsidR="00234918" w:rsidRPr="00B124DC">
        <w:rPr>
          <w:lang w:val="en-GB"/>
        </w:rPr>
        <w:t xml:space="preserve"> and</w:t>
      </w:r>
      <w:r w:rsidRPr="00B124DC">
        <w:rPr>
          <w:lang w:val="en-GB"/>
        </w:rPr>
        <w:t xml:space="preserve"> enrolled at </w:t>
      </w:r>
      <w:smartTag w:uri="urn:schemas-microsoft-com:office:smarttags" w:element="place">
        <w:smartTag w:uri="urn:schemas-microsoft-com:office:smarttags" w:element="PlaceName">
          <w:r w:rsidRPr="00B124DC">
            <w:rPr>
              <w:lang w:val="en-GB"/>
            </w:rPr>
            <w:t>Vienna</w:t>
          </w:r>
        </w:smartTag>
        <w:r w:rsidRPr="00B124DC">
          <w:rPr>
            <w:lang w:val="en-GB"/>
          </w:rPr>
          <w:t xml:space="preserve"> </w:t>
        </w:r>
        <w:smartTag w:uri="urn:schemas-microsoft-com:office:smarttags" w:element="PlaceType">
          <w:r w:rsidRPr="00B124DC">
            <w:rPr>
              <w:lang w:val="en-GB"/>
            </w:rPr>
            <w:t>University</w:t>
          </w:r>
        </w:smartTag>
      </w:smartTag>
      <w:r w:rsidRPr="00B124DC">
        <w:rPr>
          <w:lang w:val="en-GB"/>
        </w:rPr>
        <w:t>, where she pursued her university education.</w:t>
      </w:r>
    </w:p>
    <w:p w:rsidR="0017616B" w:rsidRPr="00B124DC" w:rsidRDefault="0017616B" w:rsidP="0017616B">
      <w:pPr>
        <w:pStyle w:val="JuHIRoman"/>
        <w:keepNext/>
        <w:rPr>
          <w:lang w:val="en-GB"/>
        </w:rPr>
      </w:pPr>
      <w:r w:rsidRPr="00B124DC">
        <w:rPr>
          <w:lang w:val="en-GB"/>
        </w:rPr>
        <w:t>II.</w:t>
      </w:r>
      <w:r w:rsidR="00FB225D" w:rsidRPr="00B124DC">
        <w:rPr>
          <w:lang w:val="en-GB"/>
        </w:rPr>
        <w:t> </w:t>
      </w:r>
      <w:r w:rsidR="00EB010D" w:rsidRPr="00B124DC">
        <w:rPr>
          <w:lang w:val="en-GB"/>
        </w:rPr>
        <w:t> RELEVANT</w:t>
      </w:r>
      <w:r w:rsidRPr="00B124DC">
        <w:rPr>
          <w:lang w:val="en-GB"/>
        </w:rPr>
        <w:t xml:space="preserve"> LAW AND PRACTICE</w:t>
      </w:r>
    </w:p>
    <w:p w:rsidR="0017616B" w:rsidRPr="00B124DC" w:rsidRDefault="0017616B" w:rsidP="00AA2321">
      <w:pPr>
        <w:pStyle w:val="JuHA"/>
        <w:keepNext/>
        <w:rPr>
          <w:lang w:val="en-GB"/>
        </w:rPr>
      </w:pPr>
      <w:r w:rsidRPr="00B124DC">
        <w:rPr>
          <w:lang w:val="en-GB"/>
        </w:rPr>
        <w:t>A.  The Constitution</w:t>
      </w:r>
    </w:p>
    <w:p w:rsidR="0017616B" w:rsidRPr="00B124DC" w:rsidRDefault="0017616B" w:rsidP="0017616B">
      <w:pPr>
        <w:pStyle w:val="JuParaCharCharCharCharCharCharChar"/>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29</w:t>
      </w:r>
      <w:r w:rsidRPr="00B124DC">
        <w:rPr>
          <w:lang w:val="en-GB"/>
        </w:rPr>
        <w:fldChar w:fldCharType="end"/>
      </w:r>
      <w:r w:rsidRPr="00B124DC">
        <w:rPr>
          <w:lang w:val="en-GB"/>
        </w:rPr>
        <w:t>.  The relevant provisions of the Constitution provide:</w:t>
      </w:r>
    </w:p>
    <w:p w:rsidR="0017616B" w:rsidRPr="00B124DC" w:rsidRDefault="0017616B" w:rsidP="0017616B">
      <w:pPr>
        <w:pStyle w:val="JuHArticle"/>
        <w:keepNext/>
        <w:rPr>
          <w:lang w:val="en-GB"/>
        </w:rPr>
      </w:pPr>
      <w:r w:rsidRPr="00B124DC">
        <w:rPr>
          <w:lang w:val="en-GB"/>
        </w:rPr>
        <w:t>Article 2</w:t>
      </w:r>
    </w:p>
    <w:p w:rsidR="0017616B" w:rsidRPr="00B124DC" w:rsidRDefault="0017616B" w:rsidP="0017616B">
      <w:pPr>
        <w:pStyle w:val="JuQuot"/>
        <w:rPr>
          <w:lang w:val="en-GB"/>
        </w:rPr>
      </w:pPr>
      <w:r w:rsidRPr="00B124DC">
        <w:rPr>
          <w:lang w:val="en-GB"/>
        </w:rPr>
        <w:t xml:space="preserve">“The </w:t>
      </w:r>
      <w:smartTag w:uri="urn:schemas-microsoft-com:office:smarttags" w:element="place">
        <w:smartTag w:uri="urn:schemas-microsoft-com:office:smarttags" w:element="PlaceType">
          <w:r w:rsidRPr="00B124DC">
            <w:rPr>
              <w:lang w:val="en-GB"/>
            </w:rPr>
            <w:t>Republic</w:t>
          </w:r>
        </w:smartTag>
        <w:r w:rsidRPr="00B124DC">
          <w:rPr>
            <w:lang w:val="en-GB"/>
          </w:rPr>
          <w:t xml:space="preserve"> of </w:t>
        </w:r>
        <w:smartTag w:uri="urn:schemas-microsoft-com:office:smarttags" w:element="PlaceName">
          <w:r w:rsidRPr="00B124DC">
            <w:rPr>
              <w:lang w:val="en-GB"/>
            </w:rPr>
            <w:t>Turkey</w:t>
          </w:r>
        </w:smartTag>
      </w:smartTag>
      <w:r w:rsidRPr="00B124DC">
        <w:rPr>
          <w:lang w:val="en-GB"/>
        </w:rPr>
        <w:t xml:space="preserve"> is a democratic, secular </w:t>
      </w:r>
      <w:r w:rsidR="0033597D">
        <w:rPr>
          <w:lang w:val="en-GB"/>
        </w:rPr>
        <w:t>[</w:t>
      </w:r>
      <w:r w:rsidRPr="00B124DC">
        <w:rPr>
          <w:i/>
          <w:lang w:val="en-GB"/>
        </w:rPr>
        <w:t>laik</w:t>
      </w:r>
      <w:r w:rsidR="0033597D">
        <w:rPr>
          <w:lang w:val="en-GB"/>
        </w:rPr>
        <w:t>]</w:t>
      </w:r>
      <w:r w:rsidRPr="00B124DC">
        <w:rPr>
          <w:lang w:val="en-GB"/>
        </w:rPr>
        <w:t xml:space="preserve"> and social State based on the rule of law </w:t>
      </w:r>
      <w:r w:rsidR="00960A98" w:rsidRPr="00B124DC">
        <w:rPr>
          <w:lang w:val="en-GB"/>
        </w:rPr>
        <w:t xml:space="preserve">that is </w:t>
      </w:r>
      <w:r w:rsidRPr="00B124DC">
        <w:rPr>
          <w:lang w:val="en-GB"/>
        </w:rPr>
        <w:t>respectful of human rights in a spirit of social peace, national solidarity and justice, adher</w:t>
      </w:r>
      <w:r w:rsidR="00960A98" w:rsidRPr="00B124DC">
        <w:rPr>
          <w:lang w:val="en-GB"/>
        </w:rPr>
        <w:t>es</w:t>
      </w:r>
      <w:r w:rsidRPr="00B124DC">
        <w:rPr>
          <w:lang w:val="en-GB"/>
        </w:rPr>
        <w:t xml:space="preserve"> to the nationalism of Atatürk and </w:t>
      </w:r>
      <w:r w:rsidR="00960A98" w:rsidRPr="00B124DC">
        <w:rPr>
          <w:lang w:val="en-GB"/>
        </w:rPr>
        <w:t>is underpinned by</w:t>
      </w:r>
      <w:r w:rsidRPr="00B124DC">
        <w:rPr>
          <w:lang w:val="en-GB"/>
        </w:rPr>
        <w:t xml:space="preserve"> the fundamental principles set out in the Preamble.”</w:t>
      </w:r>
    </w:p>
    <w:p w:rsidR="0017616B" w:rsidRPr="00B124DC" w:rsidRDefault="0017616B" w:rsidP="0017616B">
      <w:pPr>
        <w:pStyle w:val="JuHArticle"/>
        <w:keepNext/>
        <w:rPr>
          <w:lang w:val="en-GB"/>
        </w:rPr>
      </w:pPr>
      <w:r w:rsidRPr="00B124DC">
        <w:rPr>
          <w:lang w:val="en-GB"/>
        </w:rPr>
        <w:t>Article 4</w:t>
      </w:r>
    </w:p>
    <w:p w:rsidR="0017616B" w:rsidRPr="00B124DC" w:rsidRDefault="0017616B" w:rsidP="0017616B">
      <w:pPr>
        <w:pStyle w:val="JuQuot"/>
        <w:rPr>
          <w:lang w:val="en-GB"/>
        </w:rPr>
      </w:pPr>
      <w:r w:rsidRPr="00B124DC">
        <w:rPr>
          <w:lang w:val="en-GB"/>
        </w:rPr>
        <w:t>“No amendment may be made or proposed to the provisions of Article 1 of the Constitution laying down that the State shall be a Republic, the provisions of Article</w:t>
      </w:r>
      <w:r w:rsidR="0043110F">
        <w:rPr>
          <w:lang w:val="en-GB"/>
        </w:rPr>
        <w:t xml:space="preserve"> </w:t>
      </w:r>
      <w:r w:rsidRPr="00B124DC">
        <w:rPr>
          <w:lang w:val="en-GB"/>
        </w:rPr>
        <w:t>2 concerning the characteristics of the Republic or the provisions of Article 3.”</w:t>
      </w:r>
    </w:p>
    <w:p w:rsidR="0017616B" w:rsidRPr="00B124DC" w:rsidRDefault="00234918" w:rsidP="0017616B">
      <w:pPr>
        <w:pStyle w:val="JuHArticle"/>
        <w:keepNext/>
        <w:rPr>
          <w:lang w:val="en-GB"/>
        </w:rPr>
      </w:pPr>
      <w:r w:rsidRPr="00B124DC">
        <w:rPr>
          <w:lang w:val="en-GB"/>
        </w:rPr>
        <w:t>Article 10</w:t>
      </w:r>
    </w:p>
    <w:p w:rsidR="00234918" w:rsidRPr="00B124DC" w:rsidRDefault="0017616B" w:rsidP="0017616B">
      <w:pPr>
        <w:pStyle w:val="JuQuot"/>
        <w:rPr>
          <w:lang w:val="en-GB"/>
        </w:rPr>
      </w:pPr>
      <w:r w:rsidRPr="00B124DC">
        <w:rPr>
          <w:lang w:val="en-GB"/>
        </w:rPr>
        <w:t>“All individuals shall be equal before the law without any distinction based on language, race, colour, sex, political opinion, philosophical belief, religion, membership of a religious sect or other similar grounds.</w:t>
      </w:r>
    </w:p>
    <w:p w:rsidR="0098730A" w:rsidRPr="00B124DC" w:rsidRDefault="0023755F" w:rsidP="007126AC">
      <w:pPr>
        <w:pStyle w:val="JuQuot"/>
        <w:rPr>
          <w:lang w:val="en-GB"/>
        </w:rPr>
      </w:pPr>
      <w:r w:rsidRPr="00B124DC">
        <w:rPr>
          <w:lang w:val="en-GB"/>
        </w:rPr>
        <w:t xml:space="preserve">Men and women </w:t>
      </w:r>
      <w:r w:rsidR="000B6A10" w:rsidRPr="00B124DC">
        <w:rPr>
          <w:lang w:val="en-GB"/>
        </w:rPr>
        <w:t xml:space="preserve">shall </w:t>
      </w:r>
      <w:r w:rsidR="00AC18D3" w:rsidRPr="00B124DC">
        <w:rPr>
          <w:lang w:val="en-GB"/>
        </w:rPr>
        <w:t>have</w:t>
      </w:r>
      <w:r w:rsidRPr="00B124DC">
        <w:rPr>
          <w:lang w:val="en-GB"/>
        </w:rPr>
        <w:t xml:space="preserve"> equal rights</w:t>
      </w:r>
      <w:r w:rsidR="007126AC" w:rsidRPr="00B124DC">
        <w:rPr>
          <w:lang w:val="en-GB"/>
        </w:rPr>
        <w:t xml:space="preserve">. </w:t>
      </w:r>
      <w:r w:rsidRPr="00B124DC">
        <w:rPr>
          <w:lang w:val="en-GB"/>
        </w:rPr>
        <w:t xml:space="preserve">The State </w:t>
      </w:r>
      <w:r w:rsidR="00AC18D3" w:rsidRPr="00B124DC">
        <w:rPr>
          <w:lang w:val="en-GB"/>
        </w:rPr>
        <w:t xml:space="preserve">shall </w:t>
      </w:r>
      <w:r w:rsidR="005C5A71" w:rsidRPr="00B124DC">
        <w:rPr>
          <w:lang w:val="en-GB"/>
        </w:rPr>
        <w:t>take action to achiev</w:t>
      </w:r>
      <w:r w:rsidR="000B6A10" w:rsidRPr="00B124DC">
        <w:rPr>
          <w:lang w:val="en-GB"/>
        </w:rPr>
        <w:t xml:space="preserve">e </w:t>
      </w:r>
      <w:r w:rsidRPr="00B124DC">
        <w:rPr>
          <w:lang w:val="en-GB"/>
        </w:rPr>
        <w:t>such equality in practice</w:t>
      </w:r>
      <w:r w:rsidR="007126AC" w:rsidRPr="00B124DC">
        <w:rPr>
          <w:lang w:val="en-GB"/>
        </w:rPr>
        <w:t>.</w:t>
      </w:r>
    </w:p>
    <w:p w:rsidR="0098730A" w:rsidRPr="00B124DC" w:rsidRDefault="0023755F" w:rsidP="007126AC">
      <w:pPr>
        <w:pStyle w:val="JuQuot"/>
        <w:rPr>
          <w:lang w:val="en-GB"/>
        </w:rPr>
      </w:pPr>
      <w:r w:rsidRPr="00B124DC">
        <w:rPr>
          <w:lang w:val="en-GB"/>
        </w:rPr>
        <w:t>No privilege</w:t>
      </w:r>
      <w:r w:rsidR="00C616FD" w:rsidRPr="00B124DC">
        <w:rPr>
          <w:lang w:val="en-GB"/>
        </w:rPr>
        <w:t>s</w:t>
      </w:r>
      <w:r w:rsidRPr="00B124DC">
        <w:rPr>
          <w:lang w:val="en-GB"/>
        </w:rPr>
        <w:t xml:space="preserve"> shall be granted to any individual, family, group or class.</w:t>
      </w:r>
    </w:p>
    <w:p w:rsidR="0017616B" w:rsidRPr="00B124DC" w:rsidRDefault="006B114D" w:rsidP="007126AC">
      <w:pPr>
        <w:pStyle w:val="JuQuot"/>
        <w:rPr>
          <w:lang w:val="en-GB"/>
        </w:rPr>
      </w:pPr>
      <w:r w:rsidRPr="00B124DC">
        <w:rPr>
          <w:lang w:val="en-GB"/>
        </w:rPr>
        <w:t>State bodies</w:t>
      </w:r>
      <w:r w:rsidR="00DB57BE" w:rsidRPr="00B124DC">
        <w:rPr>
          <w:lang w:val="en-GB"/>
        </w:rPr>
        <w:t xml:space="preserve"> and administrative authorities shall </w:t>
      </w:r>
      <w:r w:rsidRPr="00B124DC">
        <w:rPr>
          <w:lang w:val="en-GB"/>
        </w:rPr>
        <w:t>act in compliance</w:t>
      </w:r>
      <w:r w:rsidR="00DB57BE" w:rsidRPr="00B124DC">
        <w:rPr>
          <w:lang w:val="en-GB"/>
        </w:rPr>
        <w:t xml:space="preserve"> with the principle of equality before the law</w:t>
      </w:r>
      <w:r w:rsidRPr="00B124DC">
        <w:rPr>
          <w:lang w:val="en-GB"/>
        </w:rPr>
        <w:t xml:space="preserve"> in all circumstances</w:t>
      </w:r>
      <w:r w:rsidR="007126AC" w:rsidRPr="00B124DC">
        <w:rPr>
          <w:lang w:val="en-GB"/>
        </w:rPr>
        <w:t>.</w:t>
      </w:r>
      <w:r w:rsidR="0017616B" w:rsidRPr="00B124DC">
        <w:rPr>
          <w:lang w:val="en-GB"/>
        </w:rPr>
        <w:t>”</w:t>
      </w:r>
    </w:p>
    <w:p w:rsidR="007126AC" w:rsidRPr="00B124DC" w:rsidRDefault="007126AC" w:rsidP="00932AF2">
      <w:pPr>
        <w:pStyle w:val="JuHArticle"/>
        <w:keepNext/>
        <w:rPr>
          <w:lang w:val="en-GB"/>
        </w:rPr>
      </w:pPr>
      <w:r w:rsidRPr="00B124DC">
        <w:rPr>
          <w:lang w:val="en-GB"/>
        </w:rPr>
        <w:t>Article 13</w:t>
      </w:r>
    </w:p>
    <w:p w:rsidR="00755A49" w:rsidRPr="00B124DC" w:rsidRDefault="006B114D" w:rsidP="006B114D">
      <w:pPr>
        <w:pStyle w:val="JuQuot"/>
        <w:rPr>
          <w:lang w:val="en-GB"/>
        </w:rPr>
      </w:pPr>
      <w:r w:rsidRPr="00B124DC">
        <w:rPr>
          <w:lang w:val="en-GB"/>
        </w:rPr>
        <w:t>“</w:t>
      </w:r>
      <w:r w:rsidR="00755A49" w:rsidRPr="00B124DC">
        <w:rPr>
          <w:lang w:val="en-GB"/>
        </w:rPr>
        <w:t xml:space="preserve">Fundamental rights and freedoms may be restricted only by law and </w:t>
      </w:r>
      <w:r w:rsidR="00F11640" w:rsidRPr="00B124DC">
        <w:rPr>
          <w:lang w:val="en-GB"/>
        </w:rPr>
        <w:t>on</w:t>
      </w:r>
      <w:r w:rsidR="00755A49" w:rsidRPr="00B124DC">
        <w:rPr>
          <w:lang w:val="en-GB"/>
        </w:rPr>
        <w:t xml:space="preserve"> the </w:t>
      </w:r>
      <w:r w:rsidR="00F11640" w:rsidRPr="00B124DC">
        <w:rPr>
          <w:lang w:val="en-GB"/>
        </w:rPr>
        <w:t>grounds</w:t>
      </w:r>
      <w:r w:rsidR="00755A49" w:rsidRPr="00B124DC">
        <w:rPr>
          <w:lang w:val="en-GB"/>
        </w:rPr>
        <w:t xml:space="preserve"> </w:t>
      </w:r>
      <w:r w:rsidR="00F11640" w:rsidRPr="00B124DC">
        <w:rPr>
          <w:lang w:val="en-GB"/>
        </w:rPr>
        <w:t>set</w:t>
      </w:r>
      <w:r w:rsidR="00755A49" w:rsidRPr="00B124DC">
        <w:rPr>
          <w:lang w:val="en-GB"/>
        </w:rPr>
        <w:t xml:space="preserve"> </w:t>
      </w:r>
      <w:r w:rsidR="00F11640" w:rsidRPr="00B124DC">
        <w:rPr>
          <w:lang w:val="en-GB"/>
        </w:rPr>
        <w:t xml:space="preserve">out </w:t>
      </w:r>
      <w:r w:rsidR="00755A49" w:rsidRPr="00B124DC">
        <w:rPr>
          <w:lang w:val="en-GB"/>
        </w:rPr>
        <w:t xml:space="preserve">in </w:t>
      </w:r>
      <w:r w:rsidR="00F11640" w:rsidRPr="00B124DC">
        <w:rPr>
          <w:lang w:val="en-GB"/>
        </w:rPr>
        <w:t>special</w:t>
      </w:r>
      <w:r w:rsidR="00755A49" w:rsidRPr="00B124DC">
        <w:rPr>
          <w:lang w:val="en-GB"/>
        </w:rPr>
        <w:t xml:space="preserve"> </w:t>
      </w:r>
      <w:r w:rsidRPr="00B124DC">
        <w:rPr>
          <w:lang w:val="en-GB"/>
        </w:rPr>
        <w:t>provisions</w:t>
      </w:r>
      <w:r w:rsidR="00755A49" w:rsidRPr="00B124DC">
        <w:rPr>
          <w:lang w:val="en-GB"/>
        </w:rPr>
        <w:t xml:space="preserve"> of the Constitution</w:t>
      </w:r>
      <w:r w:rsidR="00F11640" w:rsidRPr="00B124DC">
        <w:rPr>
          <w:lang w:val="en-GB"/>
        </w:rPr>
        <w:t>, provided always</w:t>
      </w:r>
      <w:r w:rsidRPr="00B124DC">
        <w:rPr>
          <w:lang w:val="en-GB"/>
        </w:rPr>
        <w:t xml:space="preserve"> that </w:t>
      </w:r>
      <w:r w:rsidR="00755A49" w:rsidRPr="00B124DC">
        <w:rPr>
          <w:lang w:val="en-GB"/>
        </w:rPr>
        <w:t>the essence</w:t>
      </w:r>
      <w:r w:rsidRPr="00B124DC">
        <w:rPr>
          <w:lang w:val="en-GB"/>
        </w:rPr>
        <w:t xml:space="preserve"> of such rights and freedoms </w:t>
      </w:r>
      <w:r w:rsidR="00F11640" w:rsidRPr="00B124DC">
        <w:rPr>
          <w:lang w:val="en-GB"/>
        </w:rPr>
        <w:t xml:space="preserve">must </w:t>
      </w:r>
      <w:r w:rsidRPr="00B124DC">
        <w:rPr>
          <w:lang w:val="en-GB"/>
        </w:rPr>
        <w:t>remain intact</w:t>
      </w:r>
      <w:r w:rsidR="00755A49" w:rsidRPr="00B124DC">
        <w:rPr>
          <w:lang w:val="en-GB"/>
        </w:rPr>
        <w:t xml:space="preserve">. </w:t>
      </w:r>
      <w:r w:rsidRPr="00B124DC">
        <w:rPr>
          <w:lang w:val="en-GB"/>
        </w:rPr>
        <w:t xml:space="preserve">Any such </w:t>
      </w:r>
      <w:r w:rsidR="00755A49" w:rsidRPr="00B124DC">
        <w:rPr>
          <w:lang w:val="en-GB"/>
        </w:rPr>
        <w:t xml:space="preserve">restriction shall not conflict with the letter </w:t>
      </w:r>
      <w:r w:rsidRPr="00B124DC">
        <w:rPr>
          <w:lang w:val="en-GB"/>
        </w:rPr>
        <w:t>or</w:t>
      </w:r>
      <w:r w:rsidR="00755A49" w:rsidRPr="00B124DC">
        <w:rPr>
          <w:lang w:val="en-GB"/>
        </w:rPr>
        <w:t xml:space="preserve"> spirit of the Constitution</w:t>
      </w:r>
      <w:r w:rsidRPr="00B124DC">
        <w:rPr>
          <w:lang w:val="en-GB"/>
        </w:rPr>
        <w:t xml:space="preserve"> or</w:t>
      </w:r>
      <w:r w:rsidR="00755A49" w:rsidRPr="00B124DC">
        <w:rPr>
          <w:lang w:val="en-GB"/>
        </w:rPr>
        <w:t xml:space="preserve"> the requirements of </w:t>
      </w:r>
      <w:r w:rsidRPr="00B124DC">
        <w:rPr>
          <w:lang w:val="en-GB"/>
        </w:rPr>
        <w:t>a</w:t>
      </w:r>
      <w:r w:rsidR="00755A49" w:rsidRPr="00B124DC">
        <w:rPr>
          <w:lang w:val="en-GB"/>
        </w:rPr>
        <w:t xml:space="preserve"> democratic</w:t>
      </w:r>
      <w:r w:rsidRPr="00B124DC">
        <w:rPr>
          <w:lang w:val="en-GB"/>
        </w:rPr>
        <w:t xml:space="preserve">, secular social </w:t>
      </w:r>
      <w:r w:rsidR="00755A49" w:rsidRPr="00B124DC">
        <w:rPr>
          <w:lang w:val="en-GB"/>
        </w:rPr>
        <w:t xml:space="preserve">order and </w:t>
      </w:r>
      <w:r w:rsidRPr="00B124DC">
        <w:rPr>
          <w:lang w:val="en-GB"/>
        </w:rPr>
        <w:t xml:space="preserve">shall comply with </w:t>
      </w:r>
      <w:r w:rsidR="00755A49" w:rsidRPr="00B124DC">
        <w:rPr>
          <w:lang w:val="en-GB"/>
        </w:rPr>
        <w:t>the principle of proportionality.</w:t>
      </w:r>
      <w:r w:rsidRPr="00B124DC">
        <w:rPr>
          <w:lang w:val="en-GB"/>
        </w:rPr>
        <w:t>”</w:t>
      </w:r>
    </w:p>
    <w:p w:rsidR="0017616B" w:rsidRPr="00B124DC" w:rsidRDefault="0017616B" w:rsidP="0017616B">
      <w:pPr>
        <w:pStyle w:val="JuHArticle"/>
        <w:keepNext/>
        <w:rPr>
          <w:lang w:val="en-GB"/>
        </w:rPr>
      </w:pPr>
      <w:r w:rsidRPr="00B124DC">
        <w:rPr>
          <w:lang w:val="en-GB"/>
        </w:rPr>
        <w:t>Article 14</w:t>
      </w:r>
    </w:p>
    <w:p w:rsidR="00CB6F76" w:rsidRPr="00B124DC" w:rsidRDefault="0017616B" w:rsidP="0017616B">
      <w:pPr>
        <w:pStyle w:val="JuQuot"/>
        <w:rPr>
          <w:lang w:val="en-GB"/>
        </w:rPr>
      </w:pPr>
      <w:r w:rsidRPr="00B124DC">
        <w:rPr>
          <w:lang w:val="en-GB"/>
        </w:rPr>
        <w:t>“</w:t>
      </w:r>
      <w:r w:rsidR="00F11640" w:rsidRPr="00B124DC">
        <w:rPr>
          <w:lang w:val="en-GB"/>
        </w:rPr>
        <w:t xml:space="preserve">The </w:t>
      </w:r>
      <w:r w:rsidRPr="00B124DC">
        <w:rPr>
          <w:lang w:val="en-GB"/>
        </w:rPr>
        <w:t xml:space="preserve">rights and freedoms </w:t>
      </w:r>
      <w:r w:rsidR="00ED2B4A" w:rsidRPr="00B124DC">
        <w:rPr>
          <w:lang w:val="en-GB"/>
        </w:rPr>
        <w:t>set out</w:t>
      </w:r>
      <w:r w:rsidRPr="00B124DC">
        <w:rPr>
          <w:lang w:val="en-GB"/>
        </w:rPr>
        <w:t xml:space="preserve"> in the Constitution </w:t>
      </w:r>
      <w:r w:rsidR="00F11640" w:rsidRPr="00B124DC">
        <w:rPr>
          <w:lang w:val="en-GB"/>
        </w:rPr>
        <w:t>may</w:t>
      </w:r>
      <w:r w:rsidRPr="00B124DC">
        <w:rPr>
          <w:lang w:val="en-GB"/>
        </w:rPr>
        <w:t xml:space="preserve"> </w:t>
      </w:r>
      <w:r w:rsidR="00F11640" w:rsidRPr="00B124DC">
        <w:rPr>
          <w:lang w:val="en-GB"/>
        </w:rPr>
        <w:t xml:space="preserve">not </w:t>
      </w:r>
      <w:r w:rsidR="0033597D" w:rsidRPr="00B124DC">
        <w:rPr>
          <w:lang w:val="en-GB"/>
        </w:rPr>
        <w:t xml:space="preserve">be </w:t>
      </w:r>
      <w:r w:rsidRPr="00B124DC">
        <w:rPr>
          <w:lang w:val="en-GB"/>
        </w:rPr>
        <w:t>exercised with a view to undermining the ter</w:t>
      </w:r>
      <w:r w:rsidR="00CB6F76" w:rsidRPr="00B124DC">
        <w:rPr>
          <w:lang w:val="en-GB"/>
        </w:rPr>
        <w:t>ritorial integrity of the State</w:t>
      </w:r>
      <w:r w:rsidR="00ED2B4A" w:rsidRPr="00B124DC">
        <w:rPr>
          <w:lang w:val="en-GB"/>
        </w:rPr>
        <w:t>, the unity of t</w:t>
      </w:r>
      <w:r w:rsidR="002A20AA">
        <w:rPr>
          <w:lang w:val="en-GB"/>
        </w:rPr>
        <w:t>he n</w:t>
      </w:r>
      <w:r w:rsidR="00ED2B4A" w:rsidRPr="00B124DC">
        <w:rPr>
          <w:lang w:val="en-GB"/>
        </w:rPr>
        <w:t xml:space="preserve">ation </w:t>
      </w:r>
      <w:r w:rsidR="00CB6F76" w:rsidRPr="00B124DC">
        <w:rPr>
          <w:lang w:val="en-GB"/>
        </w:rPr>
        <w:t>or</w:t>
      </w:r>
      <w:r w:rsidRPr="00B124DC">
        <w:rPr>
          <w:lang w:val="en-GB"/>
        </w:rPr>
        <w:t xml:space="preserve"> </w:t>
      </w:r>
      <w:r w:rsidR="00CB6F76" w:rsidRPr="00B124DC">
        <w:rPr>
          <w:lang w:val="en-GB"/>
        </w:rPr>
        <w:t>the democratic and secular Republic founded on human rights</w:t>
      </w:r>
      <w:r w:rsidRPr="00B124DC">
        <w:rPr>
          <w:lang w:val="en-GB"/>
        </w:rPr>
        <w:t>.</w:t>
      </w:r>
    </w:p>
    <w:p w:rsidR="0098730A" w:rsidRPr="00B124DC" w:rsidRDefault="0070746B" w:rsidP="00ED2B4A">
      <w:pPr>
        <w:pStyle w:val="JuQuot"/>
        <w:rPr>
          <w:lang w:val="en-GB"/>
        </w:rPr>
      </w:pPr>
      <w:r w:rsidRPr="00B124DC">
        <w:rPr>
          <w:lang w:val="en-GB"/>
        </w:rPr>
        <w:t xml:space="preserve">No provision of this Constitution shall be interpreted in a manner that </w:t>
      </w:r>
      <w:r w:rsidR="00ED2B4A" w:rsidRPr="00B124DC">
        <w:rPr>
          <w:lang w:val="en-GB"/>
        </w:rPr>
        <w:t>would grant</w:t>
      </w:r>
      <w:r w:rsidRPr="00B124DC">
        <w:rPr>
          <w:lang w:val="en-GB"/>
        </w:rPr>
        <w:t xml:space="preserve"> the State or individuals</w:t>
      </w:r>
      <w:r w:rsidR="00ED2B4A" w:rsidRPr="00B124DC">
        <w:rPr>
          <w:lang w:val="en-GB"/>
        </w:rPr>
        <w:t xml:space="preserve"> the right </w:t>
      </w:r>
      <w:r w:rsidRPr="00B124DC">
        <w:rPr>
          <w:lang w:val="en-GB"/>
        </w:rPr>
        <w:t xml:space="preserve">to </w:t>
      </w:r>
      <w:r w:rsidR="00ED2B4A" w:rsidRPr="00B124DC">
        <w:rPr>
          <w:lang w:val="en-GB"/>
        </w:rPr>
        <w:t xml:space="preserve">engage in activities intended to </w:t>
      </w:r>
      <w:r w:rsidRPr="00B124DC">
        <w:rPr>
          <w:lang w:val="en-GB"/>
        </w:rPr>
        <w:t xml:space="preserve">destroy the fundamental rights and freedoms embodied in the Constitution or to </w:t>
      </w:r>
      <w:r w:rsidR="005B5FDC" w:rsidRPr="00B124DC">
        <w:rPr>
          <w:lang w:val="en-GB"/>
        </w:rPr>
        <w:t>restrict</w:t>
      </w:r>
      <w:r w:rsidRPr="00B124DC">
        <w:rPr>
          <w:lang w:val="en-GB"/>
        </w:rPr>
        <w:t xml:space="preserve"> them </w:t>
      </w:r>
      <w:r w:rsidR="005B5FDC" w:rsidRPr="00B124DC">
        <w:rPr>
          <w:lang w:val="en-GB"/>
        </w:rPr>
        <w:t>beyond what is permitted by</w:t>
      </w:r>
      <w:r w:rsidRPr="00B124DC">
        <w:rPr>
          <w:lang w:val="en-GB"/>
        </w:rPr>
        <w:t xml:space="preserve"> the Constitution.</w:t>
      </w:r>
    </w:p>
    <w:p w:rsidR="0098730A" w:rsidRPr="00B124DC" w:rsidRDefault="00493653" w:rsidP="00BE0F36">
      <w:pPr>
        <w:pStyle w:val="JuQuot"/>
        <w:rPr>
          <w:lang w:val="en-GB"/>
        </w:rPr>
      </w:pPr>
      <w:r w:rsidRPr="00B124DC">
        <w:rPr>
          <w:lang w:val="en-GB"/>
        </w:rPr>
        <w:t xml:space="preserve">The </w:t>
      </w:r>
      <w:r w:rsidR="00BE0F36" w:rsidRPr="00B124DC">
        <w:rPr>
          <w:lang w:val="en-GB"/>
        </w:rPr>
        <w:t xml:space="preserve">penalties to </w:t>
      </w:r>
      <w:r w:rsidR="00F11640" w:rsidRPr="00B124DC">
        <w:rPr>
          <w:lang w:val="en-GB"/>
        </w:rPr>
        <w:t xml:space="preserve">which </w:t>
      </w:r>
      <w:r w:rsidR="00BE0F36" w:rsidRPr="00B124DC">
        <w:rPr>
          <w:lang w:val="en-GB"/>
        </w:rPr>
        <w:t xml:space="preserve">persons </w:t>
      </w:r>
      <w:r w:rsidR="00F11640" w:rsidRPr="00B124DC">
        <w:rPr>
          <w:lang w:val="en-GB"/>
        </w:rPr>
        <w:t xml:space="preserve">who </w:t>
      </w:r>
      <w:r w:rsidR="00BE0F36" w:rsidRPr="00B124DC">
        <w:rPr>
          <w:lang w:val="en-GB"/>
        </w:rPr>
        <w:t>engag</w:t>
      </w:r>
      <w:r w:rsidR="00F11640" w:rsidRPr="00B124DC">
        <w:rPr>
          <w:lang w:val="en-GB"/>
        </w:rPr>
        <w:t>e</w:t>
      </w:r>
      <w:r w:rsidR="00BE0F36" w:rsidRPr="00B124DC">
        <w:rPr>
          <w:lang w:val="en-GB"/>
        </w:rPr>
        <w:t xml:space="preserve"> in activities </w:t>
      </w:r>
      <w:r w:rsidR="003E42D8" w:rsidRPr="00B124DC">
        <w:rPr>
          <w:lang w:val="en-GB"/>
        </w:rPr>
        <w:t xml:space="preserve">that </w:t>
      </w:r>
      <w:r w:rsidR="00BE0F36" w:rsidRPr="00B124DC">
        <w:rPr>
          <w:lang w:val="en-GB"/>
        </w:rPr>
        <w:t>contraven</w:t>
      </w:r>
      <w:r w:rsidR="003E42D8" w:rsidRPr="00B124DC">
        <w:rPr>
          <w:lang w:val="en-GB"/>
        </w:rPr>
        <w:t>e</w:t>
      </w:r>
      <w:r w:rsidR="00BE0F36" w:rsidRPr="00B124DC">
        <w:rPr>
          <w:lang w:val="en-GB"/>
        </w:rPr>
        <w:t xml:space="preserve"> these </w:t>
      </w:r>
      <w:r w:rsidR="0070746B" w:rsidRPr="00B124DC">
        <w:rPr>
          <w:lang w:val="en-GB"/>
        </w:rPr>
        <w:t>provisions</w:t>
      </w:r>
      <w:r w:rsidRPr="00B124DC">
        <w:rPr>
          <w:lang w:val="en-GB"/>
        </w:rPr>
        <w:t xml:space="preserve"> </w:t>
      </w:r>
      <w:r w:rsidR="00F11640" w:rsidRPr="00B124DC">
        <w:rPr>
          <w:lang w:val="en-GB"/>
        </w:rPr>
        <w:t xml:space="preserve">are liable </w:t>
      </w:r>
      <w:r w:rsidRPr="00B124DC">
        <w:rPr>
          <w:lang w:val="en-GB"/>
        </w:rPr>
        <w:t>shall be determined by law</w:t>
      </w:r>
      <w:r w:rsidR="00BE0F36" w:rsidRPr="00B124DC">
        <w:rPr>
          <w:lang w:val="en-GB"/>
        </w:rPr>
        <w:t>.”</w:t>
      </w:r>
    </w:p>
    <w:p w:rsidR="0017616B" w:rsidRPr="00B124DC" w:rsidRDefault="00CB6F76" w:rsidP="0017616B">
      <w:pPr>
        <w:pStyle w:val="JuHArticle"/>
        <w:keepNext/>
        <w:rPr>
          <w:lang w:val="en-GB"/>
        </w:rPr>
      </w:pPr>
      <w:r w:rsidRPr="00B124DC">
        <w:rPr>
          <w:lang w:val="en-GB"/>
        </w:rPr>
        <w:t>Article 24</w:t>
      </w:r>
    </w:p>
    <w:p w:rsidR="00CB6F76" w:rsidRPr="00B124DC" w:rsidRDefault="00047456" w:rsidP="0017616B">
      <w:pPr>
        <w:pStyle w:val="JuQuot"/>
        <w:rPr>
          <w:lang w:val="en-GB"/>
        </w:rPr>
      </w:pPr>
      <w:r w:rsidRPr="00B124DC">
        <w:rPr>
          <w:lang w:val="en-GB"/>
        </w:rPr>
        <w:t>“</w:t>
      </w:r>
      <w:r w:rsidR="0017616B" w:rsidRPr="00B124DC">
        <w:rPr>
          <w:lang w:val="en-GB"/>
        </w:rPr>
        <w:t xml:space="preserve">Everyone </w:t>
      </w:r>
      <w:r w:rsidR="0011554E" w:rsidRPr="00B124DC">
        <w:rPr>
          <w:lang w:val="en-GB"/>
        </w:rPr>
        <w:t>shall have</w:t>
      </w:r>
      <w:r w:rsidR="0017616B" w:rsidRPr="00B124DC">
        <w:rPr>
          <w:lang w:val="en-GB"/>
        </w:rPr>
        <w:t xml:space="preserve"> the right to freedom of conscience, belief and religious conviction.</w:t>
      </w:r>
    </w:p>
    <w:p w:rsidR="00CB6F76" w:rsidRPr="00B124DC" w:rsidRDefault="0017616B" w:rsidP="0017616B">
      <w:pPr>
        <w:pStyle w:val="JuQuot"/>
        <w:rPr>
          <w:lang w:val="en-GB"/>
        </w:rPr>
      </w:pPr>
      <w:r w:rsidRPr="00B124DC">
        <w:rPr>
          <w:lang w:val="en-GB"/>
        </w:rPr>
        <w:t>Prayers, worship and religious services shall be conducted freely, provided that they do not violate the provisions of Article 14.</w:t>
      </w:r>
    </w:p>
    <w:p w:rsidR="0017616B" w:rsidRPr="00B124DC" w:rsidRDefault="0017616B" w:rsidP="0017616B">
      <w:pPr>
        <w:pStyle w:val="JuQuot"/>
        <w:rPr>
          <w:color w:val="000000"/>
          <w:lang w:val="en-GB"/>
        </w:rPr>
      </w:pPr>
      <w:r w:rsidRPr="00B124DC">
        <w:rPr>
          <w:lang w:val="en-GB"/>
        </w:rPr>
        <w:t xml:space="preserve">No one shall be compelled to participate in prayers, worship or religious services or to reveal his </w:t>
      </w:r>
      <w:r w:rsidR="0011554E" w:rsidRPr="00B124DC">
        <w:rPr>
          <w:lang w:val="en-GB"/>
        </w:rPr>
        <w:t xml:space="preserve">or her </w:t>
      </w:r>
      <w:r w:rsidRPr="00B124DC">
        <w:rPr>
          <w:lang w:val="en-GB"/>
        </w:rPr>
        <w:t>religious beliefs and convictions; no</w:t>
      </w:r>
      <w:r w:rsidR="0011554E" w:rsidRPr="00B124DC">
        <w:rPr>
          <w:lang w:val="en-GB"/>
        </w:rPr>
        <w:t xml:space="preserve"> one</w:t>
      </w:r>
      <w:r w:rsidRPr="00B124DC">
        <w:rPr>
          <w:lang w:val="en-GB"/>
        </w:rPr>
        <w:t xml:space="preserve"> shall be censured or prosecuted </w:t>
      </w:r>
      <w:r w:rsidR="000905F5" w:rsidRPr="00B124DC">
        <w:rPr>
          <w:lang w:val="en-GB"/>
        </w:rPr>
        <w:t>for</w:t>
      </w:r>
      <w:r w:rsidRPr="00B124DC">
        <w:rPr>
          <w:lang w:val="en-GB"/>
        </w:rPr>
        <w:t xml:space="preserve"> his religious beliefs or convictions.</w:t>
      </w:r>
    </w:p>
    <w:p w:rsidR="001C2CBA" w:rsidRPr="00B124DC" w:rsidRDefault="001C2CBA" w:rsidP="00493653">
      <w:pPr>
        <w:pStyle w:val="JuQuot"/>
        <w:rPr>
          <w:lang w:val="en-GB"/>
        </w:rPr>
      </w:pPr>
      <w:r w:rsidRPr="00B124DC">
        <w:rPr>
          <w:lang w:val="en-GB"/>
        </w:rPr>
        <w:t xml:space="preserve">Education and instruction in religion and ethics shall be </w:t>
      </w:r>
      <w:r w:rsidR="00493653" w:rsidRPr="00B124DC">
        <w:rPr>
          <w:lang w:val="en-GB"/>
        </w:rPr>
        <w:t>provided</w:t>
      </w:r>
      <w:r w:rsidRPr="00B124DC">
        <w:rPr>
          <w:lang w:val="en-GB"/>
        </w:rPr>
        <w:t xml:space="preserve"> under </w:t>
      </w:r>
      <w:r w:rsidR="003203A1" w:rsidRPr="00B124DC">
        <w:rPr>
          <w:lang w:val="en-GB"/>
        </w:rPr>
        <w:t xml:space="preserve">the </w:t>
      </w:r>
      <w:r w:rsidRPr="00B124DC">
        <w:rPr>
          <w:lang w:val="en-GB"/>
        </w:rPr>
        <w:t>supervision and control</w:t>
      </w:r>
      <w:r w:rsidR="003203A1" w:rsidRPr="00B124DC">
        <w:rPr>
          <w:lang w:val="en-GB"/>
        </w:rPr>
        <w:t xml:space="preserve"> of the State</w:t>
      </w:r>
      <w:r w:rsidRPr="00B124DC">
        <w:rPr>
          <w:lang w:val="en-GB"/>
        </w:rPr>
        <w:t xml:space="preserve">. Instruction in religious culture and </w:t>
      </w:r>
      <w:r w:rsidR="00493653" w:rsidRPr="00B124DC">
        <w:rPr>
          <w:lang w:val="en-GB"/>
        </w:rPr>
        <w:t xml:space="preserve">in </w:t>
      </w:r>
      <w:r w:rsidRPr="00B124DC">
        <w:rPr>
          <w:lang w:val="en-GB"/>
        </w:rPr>
        <w:t>moral</w:t>
      </w:r>
      <w:r w:rsidR="00493653" w:rsidRPr="00B124DC">
        <w:rPr>
          <w:lang w:val="en-GB"/>
        </w:rPr>
        <w:t>s</w:t>
      </w:r>
      <w:r w:rsidRPr="00B124DC">
        <w:rPr>
          <w:lang w:val="en-GB"/>
        </w:rPr>
        <w:t xml:space="preserve"> shall be </w:t>
      </w:r>
      <w:r w:rsidR="001C229D" w:rsidRPr="00B124DC">
        <w:rPr>
          <w:lang w:val="en-GB"/>
        </w:rPr>
        <w:t xml:space="preserve">a </w:t>
      </w:r>
      <w:r w:rsidRPr="00B124DC">
        <w:rPr>
          <w:lang w:val="en-GB"/>
        </w:rPr>
        <w:t xml:space="preserve">compulsory </w:t>
      </w:r>
      <w:r w:rsidR="001C229D" w:rsidRPr="00B124DC">
        <w:rPr>
          <w:lang w:val="en-GB"/>
        </w:rPr>
        <w:t>part of</w:t>
      </w:r>
      <w:r w:rsidRPr="00B124DC">
        <w:rPr>
          <w:lang w:val="en-GB"/>
        </w:rPr>
        <w:t xml:space="preserve"> the curricula of primary and secondary schools. Other religious education and instruction shall </w:t>
      </w:r>
      <w:r w:rsidR="00493653" w:rsidRPr="00B124DC">
        <w:rPr>
          <w:lang w:val="en-GB"/>
        </w:rPr>
        <w:t xml:space="preserve">be a matter for individual choice, with the decision in the case </w:t>
      </w:r>
      <w:r w:rsidRPr="00B124DC">
        <w:rPr>
          <w:lang w:val="en-GB"/>
        </w:rPr>
        <w:t>of minors</w:t>
      </w:r>
      <w:r w:rsidR="00493653" w:rsidRPr="00B124DC">
        <w:rPr>
          <w:lang w:val="en-GB"/>
        </w:rPr>
        <w:t xml:space="preserve"> being taken by</w:t>
      </w:r>
      <w:r w:rsidRPr="00B124DC">
        <w:rPr>
          <w:lang w:val="en-GB"/>
        </w:rPr>
        <w:t xml:space="preserve"> their legal </w:t>
      </w:r>
      <w:r w:rsidR="00493653" w:rsidRPr="00B124DC">
        <w:rPr>
          <w:lang w:val="en-GB"/>
        </w:rPr>
        <w:t>guardians</w:t>
      </w:r>
      <w:r w:rsidRPr="00B124DC">
        <w:rPr>
          <w:lang w:val="en-GB"/>
        </w:rPr>
        <w:t>.</w:t>
      </w:r>
    </w:p>
    <w:p w:rsidR="0017616B" w:rsidRPr="00B124DC" w:rsidRDefault="0017616B" w:rsidP="0017616B">
      <w:pPr>
        <w:pStyle w:val="JuQuot"/>
        <w:rPr>
          <w:lang w:val="en-GB"/>
        </w:rPr>
      </w:pPr>
      <w:r w:rsidRPr="00B124DC">
        <w:rPr>
          <w:lang w:val="en-GB"/>
        </w:rPr>
        <w:t xml:space="preserve">No one </w:t>
      </w:r>
      <w:r w:rsidR="0080753A" w:rsidRPr="00B124DC">
        <w:rPr>
          <w:lang w:val="en-GB"/>
        </w:rPr>
        <w:t>shall</w:t>
      </w:r>
      <w:r w:rsidRPr="00B124DC">
        <w:rPr>
          <w:lang w:val="en-GB"/>
        </w:rPr>
        <w:t xml:space="preserve"> exploit or abuse religion, religious feelings or things held sacred by religion in any manner whatsoever with a view to causing the social, economic, political or legal order of the State to be based on religious precepts, even if only in part, or for the purpose of securing political or personal interest or influence thereby.”</w:t>
      </w:r>
    </w:p>
    <w:p w:rsidR="0098730A" w:rsidRPr="00B124DC" w:rsidRDefault="00CB6F76" w:rsidP="00932AF2">
      <w:pPr>
        <w:pStyle w:val="JuHArticle"/>
        <w:keepNext/>
        <w:rPr>
          <w:lang w:val="en-GB"/>
        </w:rPr>
      </w:pPr>
      <w:r w:rsidRPr="00B124DC">
        <w:rPr>
          <w:lang w:val="en-GB"/>
        </w:rPr>
        <w:t>Article 42</w:t>
      </w:r>
    </w:p>
    <w:p w:rsidR="003E1A10" w:rsidRPr="00B124DC" w:rsidRDefault="00CB6F76" w:rsidP="00493653">
      <w:pPr>
        <w:pStyle w:val="JuQuot"/>
        <w:rPr>
          <w:lang w:val="en-GB"/>
        </w:rPr>
      </w:pPr>
      <w:r w:rsidRPr="00B124DC">
        <w:rPr>
          <w:lang w:val="en-GB"/>
        </w:rPr>
        <w:t>“</w:t>
      </w:r>
      <w:r w:rsidR="003E1A10" w:rsidRPr="00B124DC">
        <w:rPr>
          <w:lang w:val="en-GB"/>
        </w:rPr>
        <w:t xml:space="preserve">No one </w:t>
      </w:r>
      <w:r w:rsidR="00BC3002" w:rsidRPr="00B124DC">
        <w:rPr>
          <w:lang w:val="en-GB"/>
        </w:rPr>
        <w:t>may</w:t>
      </w:r>
      <w:r w:rsidR="003E1A10" w:rsidRPr="00B124DC">
        <w:rPr>
          <w:lang w:val="en-GB"/>
        </w:rPr>
        <w:t xml:space="preserve"> be deprived of the right </w:t>
      </w:r>
      <w:r w:rsidR="00493653" w:rsidRPr="00B124DC">
        <w:rPr>
          <w:lang w:val="en-GB"/>
        </w:rPr>
        <w:t xml:space="preserve">to </w:t>
      </w:r>
      <w:r w:rsidR="00B269E1" w:rsidRPr="00B124DC">
        <w:rPr>
          <w:lang w:val="en-GB"/>
        </w:rPr>
        <w:t xml:space="preserve">instruction </w:t>
      </w:r>
      <w:r w:rsidR="00493653" w:rsidRPr="00B124DC">
        <w:rPr>
          <w:lang w:val="en-GB"/>
        </w:rPr>
        <w:t xml:space="preserve">and </w:t>
      </w:r>
      <w:r w:rsidR="00B269E1" w:rsidRPr="00B124DC">
        <w:rPr>
          <w:lang w:val="en-GB"/>
        </w:rPr>
        <w:t>education</w:t>
      </w:r>
      <w:r w:rsidR="003E1A10" w:rsidRPr="00B124DC">
        <w:rPr>
          <w:lang w:val="en-GB"/>
        </w:rPr>
        <w:t>.</w:t>
      </w:r>
    </w:p>
    <w:p w:rsidR="003E1A10" w:rsidRPr="00B124DC" w:rsidRDefault="003E1A10" w:rsidP="00BC3002">
      <w:pPr>
        <w:pStyle w:val="JuQuot"/>
        <w:rPr>
          <w:lang w:val="en-GB"/>
        </w:rPr>
      </w:pPr>
      <w:r w:rsidRPr="00B124DC">
        <w:rPr>
          <w:lang w:val="en-GB"/>
        </w:rPr>
        <w:t>The scope of the right to education shall be defined and regulated by law.</w:t>
      </w:r>
    </w:p>
    <w:p w:rsidR="003E1A10" w:rsidRPr="00B124DC" w:rsidRDefault="00B269E1" w:rsidP="00BC3002">
      <w:pPr>
        <w:pStyle w:val="JuQuot"/>
        <w:rPr>
          <w:lang w:val="en-GB"/>
        </w:rPr>
      </w:pPr>
      <w:r w:rsidRPr="00B124DC">
        <w:rPr>
          <w:lang w:val="en-GB"/>
        </w:rPr>
        <w:t xml:space="preserve">Instruction </w:t>
      </w:r>
      <w:r w:rsidR="00CB7F11" w:rsidRPr="00B124DC">
        <w:rPr>
          <w:lang w:val="en-GB"/>
        </w:rPr>
        <w:t xml:space="preserve">and </w:t>
      </w:r>
      <w:r w:rsidRPr="00B124DC">
        <w:rPr>
          <w:lang w:val="en-GB"/>
        </w:rPr>
        <w:t>teaching</w:t>
      </w:r>
      <w:r w:rsidR="003E1A10" w:rsidRPr="00B124DC">
        <w:rPr>
          <w:lang w:val="en-GB"/>
        </w:rPr>
        <w:t xml:space="preserve"> shall be </w:t>
      </w:r>
      <w:r w:rsidR="00CB7F11" w:rsidRPr="00B124DC">
        <w:rPr>
          <w:lang w:val="en-GB"/>
        </w:rPr>
        <w:t>provided</w:t>
      </w:r>
      <w:r w:rsidR="003E1A10" w:rsidRPr="00B124DC">
        <w:rPr>
          <w:lang w:val="en-GB"/>
        </w:rPr>
        <w:t xml:space="preserve"> </w:t>
      </w:r>
      <w:r w:rsidR="00CB7F11" w:rsidRPr="00B124DC">
        <w:rPr>
          <w:lang w:val="en-GB"/>
        </w:rPr>
        <w:t xml:space="preserve">under </w:t>
      </w:r>
      <w:r w:rsidR="00C43DBC" w:rsidRPr="00B124DC">
        <w:rPr>
          <w:lang w:val="en-GB"/>
        </w:rPr>
        <w:t xml:space="preserve">the </w:t>
      </w:r>
      <w:r w:rsidR="00CB7F11" w:rsidRPr="00B124DC">
        <w:rPr>
          <w:lang w:val="en-GB"/>
        </w:rPr>
        <w:t xml:space="preserve">supervision and control </w:t>
      </w:r>
      <w:r w:rsidR="00C43DBC" w:rsidRPr="00B124DC">
        <w:rPr>
          <w:lang w:val="en-GB"/>
        </w:rPr>
        <w:t xml:space="preserve">of the State </w:t>
      </w:r>
      <w:r w:rsidR="00CB7F11" w:rsidRPr="00B124DC">
        <w:rPr>
          <w:lang w:val="en-GB"/>
        </w:rPr>
        <w:t>in accordance with</w:t>
      </w:r>
      <w:r w:rsidR="003E1A10" w:rsidRPr="00B124DC">
        <w:rPr>
          <w:lang w:val="en-GB"/>
        </w:rPr>
        <w:t xml:space="preserve"> the principles and reforms of Atatürk</w:t>
      </w:r>
      <w:r w:rsidR="00CB7F11" w:rsidRPr="00B124DC">
        <w:rPr>
          <w:lang w:val="en-GB"/>
        </w:rPr>
        <w:t xml:space="preserve"> and </w:t>
      </w:r>
      <w:r w:rsidR="003E1A10" w:rsidRPr="00B124DC">
        <w:rPr>
          <w:lang w:val="en-GB"/>
        </w:rPr>
        <w:t>contemporary scien</w:t>
      </w:r>
      <w:r w:rsidR="00CB7F11" w:rsidRPr="00B124DC">
        <w:rPr>
          <w:lang w:val="en-GB"/>
        </w:rPr>
        <w:t>tific</w:t>
      </w:r>
      <w:r w:rsidR="003E1A10" w:rsidRPr="00B124DC">
        <w:rPr>
          <w:lang w:val="en-GB"/>
        </w:rPr>
        <w:t xml:space="preserve"> and educational methods. </w:t>
      </w:r>
      <w:r w:rsidR="00B82120" w:rsidRPr="00B124DC">
        <w:rPr>
          <w:lang w:val="en-GB"/>
        </w:rPr>
        <w:t>No</w:t>
      </w:r>
      <w:r w:rsidR="00CB7F11" w:rsidRPr="00B124DC">
        <w:rPr>
          <w:lang w:val="en-GB"/>
        </w:rPr>
        <w:t xml:space="preserve"> educational or teaching </w:t>
      </w:r>
      <w:r w:rsidR="009779B9" w:rsidRPr="00B124DC">
        <w:rPr>
          <w:lang w:val="en-GB"/>
        </w:rPr>
        <w:t>institution</w:t>
      </w:r>
      <w:r w:rsidR="00CB7F11" w:rsidRPr="00B124DC">
        <w:rPr>
          <w:lang w:val="en-GB"/>
        </w:rPr>
        <w:t xml:space="preserve"> </w:t>
      </w:r>
      <w:r w:rsidR="00B82120" w:rsidRPr="00B124DC">
        <w:rPr>
          <w:lang w:val="en-GB"/>
        </w:rPr>
        <w:t xml:space="preserve">may be set up </w:t>
      </w:r>
      <w:r w:rsidR="009779B9" w:rsidRPr="00B124DC">
        <w:rPr>
          <w:lang w:val="en-GB"/>
        </w:rPr>
        <w:t xml:space="preserve">that </w:t>
      </w:r>
      <w:r w:rsidR="00CB7F11" w:rsidRPr="00B124DC">
        <w:rPr>
          <w:lang w:val="en-GB"/>
        </w:rPr>
        <w:t>do</w:t>
      </w:r>
      <w:r w:rsidR="009779B9" w:rsidRPr="00B124DC">
        <w:rPr>
          <w:lang w:val="en-GB"/>
        </w:rPr>
        <w:t>es</w:t>
      </w:r>
      <w:r w:rsidR="00CB7F11" w:rsidRPr="00B124DC">
        <w:rPr>
          <w:lang w:val="en-GB"/>
        </w:rPr>
        <w:t xml:space="preserve"> not </w:t>
      </w:r>
      <w:r w:rsidR="009779B9" w:rsidRPr="00B124DC">
        <w:rPr>
          <w:lang w:val="en-GB"/>
        </w:rPr>
        <w:t xml:space="preserve">follow these </w:t>
      </w:r>
      <w:r w:rsidR="004E64EF" w:rsidRPr="00B124DC">
        <w:rPr>
          <w:lang w:val="en-GB"/>
        </w:rPr>
        <w:t>rules</w:t>
      </w:r>
      <w:r w:rsidR="003E1A10" w:rsidRPr="00B124DC">
        <w:rPr>
          <w:lang w:val="en-GB"/>
        </w:rPr>
        <w:t>.</w:t>
      </w:r>
    </w:p>
    <w:p w:rsidR="003E1A10" w:rsidRPr="00B124DC" w:rsidRDefault="00CB6E00" w:rsidP="00B82120">
      <w:pPr>
        <w:pStyle w:val="JuQuot"/>
        <w:rPr>
          <w:lang w:val="en-GB"/>
        </w:rPr>
      </w:pPr>
      <w:r w:rsidRPr="00B124DC">
        <w:rPr>
          <w:lang w:val="en-GB"/>
        </w:rPr>
        <w:t xml:space="preserve">Citizens are not absolved from the duty to remain loyal to the Constitution by freedom </w:t>
      </w:r>
      <w:r w:rsidR="003E1A10" w:rsidRPr="00B124DC">
        <w:rPr>
          <w:lang w:val="en-GB"/>
        </w:rPr>
        <w:t xml:space="preserve">of </w:t>
      </w:r>
      <w:r w:rsidR="004E64EF" w:rsidRPr="00B124DC">
        <w:rPr>
          <w:lang w:val="en-GB"/>
        </w:rPr>
        <w:t>instruction</w:t>
      </w:r>
      <w:r w:rsidR="00B82120" w:rsidRPr="00B124DC">
        <w:rPr>
          <w:lang w:val="en-GB"/>
        </w:rPr>
        <w:t xml:space="preserve"> </w:t>
      </w:r>
      <w:r w:rsidR="003E1A10" w:rsidRPr="00B124DC">
        <w:rPr>
          <w:lang w:val="en-GB"/>
        </w:rPr>
        <w:t xml:space="preserve">and </w:t>
      </w:r>
      <w:r w:rsidR="004E64EF" w:rsidRPr="00B124DC">
        <w:rPr>
          <w:lang w:val="en-GB"/>
        </w:rPr>
        <w:t>teaching</w:t>
      </w:r>
      <w:r w:rsidR="003E1A10" w:rsidRPr="00B124DC">
        <w:rPr>
          <w:lang w:val="en-GB"/>
        </w:rPr>
        <w:t>.</w:t>
      </w:r>
    </w:p>
    <w:p w:rsidR="003E1A10" w:rsidRPr="00B124DC" w:rsidRDefault="003E1A10" w:rsidP="002277FB">
      <w:pPr>
        <w:pStyle w:val="JuQuot"/>
        <w:rPr>
          <w:lang w:val="en-GB"/>
        </w:rPr>
      </w:pPr>
      <w:r w:rsidRPr="00B124DC">
        <w:rPr>
          <w:lang w:val="en-GB"/>
        </w:rPr>
        <w:t xml:space="preserve">Primary education </w:t>
      </w:r>
      <w:r w:rsidR="002277FB" w:rsidRPr="00B124DC">
        <w:rPr>
          <w:lang w:val="en-GB"/>
        </w:rPr>
        <w:t>shall be</w:t>
      </w:r>
      <w:r w:rsidRPr="00B124DC">
        <w:rPr>
          <w:lang w:val="en-GB"/>
        </w:rPr>
        <w:t xml:space="preserve"> compulsory for all citizens of both sexes and </w:t>
      </w:r>
      <w:r w:rsidR="002277FB" w:rsidRPr="00B124DC">
        <w:rPr>
          <w:lang w:val="en-GB"/>
        </w:rPr>
        <w:t xml:space="preserve">provided </w:t>
      </w:r>
      <w:r w:rsidRPr="00B124DC">
        <w:rPr>
          <w:lang w:val="en-GB"/>
        </w:rPr>
        <w:t>free of charge in State schools.</w:t>
      </w:r>
    </w:p>
    <w:p w:rsidR="003E1A10" w:rsidRPr="00B124DC" w:rsidRDefault="003E1A10" w:rsidP="002277FB">
      <w:pPr>
        <w:pStyle w:val="JuQuot"/>
        <w:rPr>
          <w:lang w:val="en-GB"/>
        </w:rPr>
      </w:pPr>
      <w:r w:rsidRPr="00B124DC">
        <w:rPr>
          <w:lang w:val="en-GB"/>
        </w:rPr>
        <w:t xml:space="preserve">The </w:t>
      </w:r>
      <w:r w:rsidR="00D268A6" w:rsidRPr="00B124DC">
        <w:rPr>
          <w:lang w:val="en-GB"/>
        </w:rPr>
        <w:t>rules</w:t>
      </w:r>
      <w:r w:rsidRPr="00B124DC">
        <w:rPr>
          <w:lang w:val="en-GB"/>
        </w:rPr>
        <w:t xml:space="preserve"> governing the functioning of private primary and secondary schools shall be regulated by law in keeping with the standards set for State schools.</w:t>
      </w:r>
    </w:p>
    <w:p w:rsidR="003E1A10" w:rsidRPr="00B124DC" w:rsidRDefault="003E1A10" w:rsidP="00D268A6">
      <w:pPr>
        <w:pStyle w:val="JuQuot"/>
        <w:rPr>
          <w:lang w:val="en-GB"/>
        </w:rPr>
      </w:pPr>
      <w:r w:rsidRPr="00B124DC">
        <w:rPr>
          <w:lang w:val="en-GB"/>
        </w:rPr>
        <w:t xml:space="preserve">The State shall provide </w:t>
      </w:r>
      <w:r w:rsidR="002271C9" w:rsidRPr="00B124DC">
        <w:rPr>
          <w:lang w:val="en-GB"/>
        </w:rPr>
        <w:t>able</w:t>
      </w:r>
      <w:r w:rsidR="00D268A6" w:rsidRPr="00B124DC">
        <w:rPr>
          <w:lang w:val="en-GB"/>
        </w:rPr>
        <w:t xml:space="preserve"> pupils of limited financial means with the necessary aid in the form of </w:t>
      </w:r>
      <w:r w:rsidRPr="00B124DC">
        <w:rPr>
          <w:lang w:val="en-GB"/>
        </w:rPr>
        <w:t xml:space="preserve">scholarships </w:t>
      </w:r>
      <w:r w:rsidR="00D268A6" w:rsidRPr="00B124DC">
        <w:rPr>
          <w:lang w:val="en-GB"/>
        </w:rPr>
        <w:t>or</w:t>
      </w:r>
      <w:r w:rsidRPr="00B124DC">
        <w:rPr>
          <w:lang w:val="en-GB"/>
        </w:rPr>
        <w:t xml:space="preserve"> other assistance</w:t>
      </w:r>
      <w:r w:rsidR="004E64EF" w:rsidRPr="00B124DC">
        <w:rPr>
          <w:lang w:val="en-GB"/>
        </w:rPr>
        <w:t xml:space="preserve"> to enable them to pursue their studies</w:t>
      </w:r>
      <w:r w:rsidR="00D268A6" w:rsidRPr="00B124DC">
        <w:rPr>
          <w:lang w:val="en-GB"/>
        </w:rPr>
        <w:t>.</w:t>
      </w:r>
      <w:r w:rsidRPr="00B124DC">
        <w:rPr>
          <w:lang w:val="en-GB"/>
        </w:rPr>
        <w:t xml:space="preserve"> </w:t>
      </w:r>
      <w:r w:rsidR="00D268A6" w:rsidRPr="00B124DC">
        <w:rPr>
          <w:lang w:val="en-GB"/>
        </w:rPr>
        <w:t>It</w:t>
      </w:r>
      <w:r w:rsidRPr="00B124DC">
        <w:rPr>
          <w:lang w:val="en-GB"/>
        </w:rPr>
        <w:t xml:space="preserve"> shall take </w:t>
      </w:r>
      <w:r w:rsidR="004E64EF" w:rsidRPr="00B124DC">
        <w:rPr>
          <w:lang w:val="en-GB"/>
        </w:rPr>
        <w:t>suitable</w:t>
      </w:r>
      <w:r w:rsidRPr="00B124DC">
        <w:rPr>
          <w:lang w:val="en-GB"/>
        </w:rPr>
        <w:t xml:space="preserve"> measures to rehabilitate those in need of special training so as to render </w:t>
      </w:r>
      <w:r w:rsidR="004E64EF" w:rsidRPr="00B124DC">
        <w:rPr>
          <w:lang w:val="en-GB"/>
        </w:rPr>
        <w:t>them</w:t>
      </w:r>
      <w:r w:rsidRPr="00B124DC">
        <w:rPr>
          <w:lang w:val="en-GB"/>
        </w:rPr>
        <w:t xml:space="preserve"> useful to society.</w:t>
      </w:r>
    </w:p>
    <w:p w:rsidR="00CB6F76" w:rsidRPr="00B124DC" w:rsidRDefault="00F725FE" w:rsidP="00CB6F76">
      <w:pPr>
        <w:pStyle w:val="JuQuot"/>
        <w:rPr>
          <w:lang w:val="en-GB"/>
        </w:rPr>
      </w:pPr>
      <w:r w:rsidRPr="00B124DC">
        <w:rPr>
          <w:lang w:val="en-GB"/>
        </w:rPr>
        <w:t>Education, teaching</w:t>
      </w:r>
      <w:r w:rsidR="003E1A10" w:rsidRPr="00B124DC">
        <w:rPr>
          <w:lang w:val="en-GB"/>
        </w:rPr>
        <w:t xml:space="preserve">, research, and study are the only activities that </w:t>
      </w:r>
      <w:r w:rsidRPr="00B124DC">
        <w:rPr>
          <w:lang w:val="en-GB"/>
        </w:rPr>
        <w:t>may</w:t>
      </w:r>
      <w:r w:rsidR="003E1A10" w:rsidRPr="00B124DC">
        <w:rPr>
          <w:lang w:val="en-GB"/>
        </w:rPr>
        <w:t xml:space="preserve"> be pursued </w:t>
      </w:r>
      <w:r w:rsidR="009A5D33" w:rsidRPr="00B124DC">
        <w:rPr>
          <w:lang w:val="en-GB"/>
        </w:rPr>
        <w:t>in</w:t>
      </w:r>
      <w:r w:rsidR="003E1A10" w:rsidRPr="00B124DC">
        <w:rPr>
          <w:lang w:val="en-GB"/>
        </w:rPr>
        <w:t xml:space="preserve"> </w:t>
      </w:r>
      <w:r w:rsidRPr="00B124DC">
        <w:rPr>
          <w:lang w:val="en-GB"/>
        </w:rPr>
        <w:t xml:space="preserve">educational and teaching </w:t>
      </w:r>
      <w:r w:rsidR="003E1A10" w:rsidRPr="00B124DC">
        <w:rPr>
          <w:lang w:val="en-GB"/>
        </w:rPr>
        <w:t>institutions. These activities shall not be</w:t>
      </w:r>
      <w:r w:rsidRPr="00B124DC">
        <w:rPr>
          <w:lang w:val="en-GB"/>
        </w:rPr>
        <w:t xml:space="preserve"> </w:t>
      </w:r>
      <w:r w:rsidR="00653255" w:rsidRPr="00B124DC">
        <w:rPr>
          <w:lang w:val="en-GB"/>
        </w:rPr>
        <w:t>impeded</w:t>
      </w:r>
      <w:r w:rsidRPr="00B124DC">
        <w:rPr>
          <w:lang w:val="en-GB"/>
        </w:rPr>
        <w:t xml:space="preserve"> in any way</w:t>
      </w:r>
      <w:r w:rsidR="00CB6F76" w:rsidRPr="00B124DC">
        <w:rPr>
          <w:lang w:val="en-GB"/>
        </w:rPr>
        <w:t>...”</w:t>
      </w:r>
    </w:p>
    <w:p w:rsidR="00CB6F76" w:rsidRPr="00B124DC" w:rsidRDefault="00CB6F76" w:rsidP="00932AF2">
      <w:pPr>
        <w:pStyle w:val="JuHArticle"/>
        <w:keepNext/>
        <w:rPr>
          <w:lang w:val="en-GB"/>
        </w:rPr>
      </w:pPr>
      <w:r w:rsidRPr="00B124DC">
        <w:rPr>
          <w:lang w:val="en-GB"/>
        </w:rPr>
        <w:t>Article 153</w:t>
      </w:r>
    </w:p>
    <w:p w:rsidR="003E1A10" w:rsidRPr="00B124DC" w:rsidRDefault="00CB6F76" w:rsidP="002F04F8">
      <w:pPr>
        <w:pStyle w:val="JuQuot"/>
        <w:rPr>
          <w:lang w:val="en-GB"/>
        </w:rPr>
      </w:pPr>
      <w:r w:rsidRPr="00B124DC">
        <w:rPr>
          <w:lang w:val="en-GB"/>
        </w:rPr>
        <w:t>“</w:t>
      </w:r>
      <w:r w:rsidR="003E1A10" w:rsidRPr="00B124DC">
        <w:rPr>
          <w:lang w:val="en-GB"/>
        </w:rPr>
        <w:t xml:space="preserve">The decisions of the </w:t>
      </w:r>
      <w:smartTag w:uri="urn:schemas-microsoft-com:office:smarttags" w:element="Street">
        <w:smartTag w:uri="urn:schemas-microsoft-com:office:smarttags" w:element="address">
          <w:r w:rsidR="003E1A10" w:rsidRPr="00B124DC">
            <w:rPr>
              <w:lang w:val="en-GB"/>
            </w:rPr>
            <w:t>Constitutional Court</w:t>
          </w:r>
        </w:smartTag>
      </w:smartTag>
      <w:r w:rsidR="003E1A10" w:rsidRPr="00B124DC">
        <w:rPr>
          <w:lang w:val="en-GB"/>
        </w:rPr>
        <w:t xml:space="preserve"> </w:t>
      </w:r>
      <w:r w:rsidR="002F04F8" w:rsidRPr="00B124DC">
        <w:rPr>
          <w:lang w:val="en-GB"/>
        </w:rPr>
        <w:t>shall be</w:t>
      </w:r>
      <w:r w:rsidR="003E1A10" w:rsidRPr="00B124DC">
        <w:rPr>
          <w:lang w:val="en-GB"/>
        </w:rPr>
        <w:t xml:space="preserve"> final. </w:t>
      </w:r>
      <w:r w:rsidR="002F04F8" w:rsidRPr="00B124DC">
        <w:rPr>
          <w:lang w:val="en-GB"/>
        </w:rPr>
        <w:t>A decision to invalidate a provision</w:t>
      </w:r>
      <w:r w:rsidR="003E1A10" w:rsidRPr="00B124DC">
        <w:rPr>
          <w:lang w:val="en-GB"/>
        </w:rPr>
        <w:t xml:space="preserve"> </w:t>
      </w:r>
      <w:r w:rsidR="0078103F" w:rsidRPr="00B124DC">
        <w:rPr>
          <w:lang w:val="en-GB"/>
        </w:rPr>
        <w:t xml:space="preserve">shall </w:t>
      </w:r>
      <w:r w:rsidR="003E1A10" w:rsidRPr="00B124DC">
        <w:rPr>
          <w:lang w:val="en-GB"/>
        </w:rPr>
        <w:t>not be made public without a written statement of reasons.</w:t>
      </w:r>
    </w:p>
    <w:p w:rsidR="003E1A10" w:rsidRPr="00B124DC" w:rsidRDefault="002F04F8" w:rsidP="002F04F8">
      <w:pPr>
        <w:pStyle w:val="JuQuot"/>
        <w:rPr>
          <w:lang w:val="en-GB"/>
        </w:rPr>
      </w:pPr>
      <w:r w:rsidRPr="00B124DC">
        <w:rPr>
          <w:lang w:val="en-GB"/>
        </w:rPr>
        <w:t xml:space="preserve">When </w:t>
      </w:r>
      <w:r w:rsidR="00E001B7" w:rsidRPr="00B124DC">
        <w:rPr>
          <w:lang w:val="en-GB"/>
        </w:rPr>
        <w:t>striking down</w:t>
      </w:r>
      <w:r w:rsidR="003E1A10" w:rsidRPr="00B124DC">
        <w:rPr>
          <w:lang w:val="en-GB"/>
        </w:rPr>
        <w:t xml:space="preserve"> </w:t>
      </w:r>
      <w:r w:rsidRPr="00B124DC">
        <w:rPr>
          <w:lang w:val="en-GB"/>
        </w:rPr>
        <w:t>a law or legislative</w:t>
      </w:r>
      <w:r w:rsidR="0033597D">
        <w:rPr>
          <w:lang w:val="en-GB"/>
        </w:rPr>
        <w:t xml:space="preserve"> </w:t>
      </w:r>
      <w:r w:rsidRPr="00B124DC">
        <w:rPr>
          <w:lang w:val="en-GB"/>
        </w:rPr>
        <w:t>decree or a provision thereof</w:t>
      </w:r>
      <w:r w:rsidR="003E1A10" w:rsidRPr="00B124DC">
        <w:rPr>
          <w:lang w:val="en-GB"/>
        </w:rPr>
        <w:t xml:space="preserve">, the </w:t>
      </w:r>
      <w:smartTag w:uri="urn:schemas-microsoft-com:office:smarttags" w:element="Street">
        <w:smartTag w:uri="urn:schemas-microsoft-com:office:smarttags" w:element="address">
          <w:r w:rsidR="003E1A10" w:rsidRPr="00B124DC">
            <w:rPr>
              <w:lang w:val="en-GB"/>
            </w:rPr>
            <w:t>Constitutional Court</w:t>
          </w:r>
        </w:smartTag>
      </w:smartTag>
      <w:r w:rsidR="003E1A10" w:rsidRPr="00B124DC">
        <w:rPr>
          <w:lang w:val="en-GB"/>
        </w:rPr>
        <w:t xml:space="preserve"> </w:t>
      </w:r>
      <w:r w:rsidR="0078696D" w:rsidRPr="00B124DC">
        <w:rPr>
          <w:lang w:val="en-GB"/>
        </w:rPr>
        <w:t>may</w:t>
      </w:r>
      <w:r w:rsidR="003E1A10" w:rsidRPr="00B124DC">
        <w:rPr>
          <w:lang w:val="en-GB"/>
        </w:rPr>
        <w:t xml:space="preserve"> not </w:t>
      </w:r>
      <w:r w:rsidR="00E001B7" w:rsidRPr="00B124DC">
        <w:rPr>
          <w:lang w:val="en-GB"/>
        </w:rPr>
        <w:t>act</w:t>
      </w:r>
      <w:r w:rsidRPr="00B124DC">
        <w:rPr>
          <w:lang w:val="en-GB"/>
        </w:rPr>
        <w:t xml:space="preserve"> </w:t>
      </w:r>
      <w:r w:rsidR="0078103F" w:rsidRPr="00B124DC">
        <w:rPr>
          <w:lang w:val="en-GB"/>
        </w:rPr>
        <w:t>as a quasi-</w:t>
      </w:r>
      <w:r w:rsidRPr="00B124DC">
        <w:rPr>
          <w:lang w:val="en-GB"/>
        </w:rPr>
        <w:t>legislature</w:t>
      </w:r>
      <w:r w:rsidR="00E001B7" w:rsidRPr="00B124DC">
        <w:rPr>
          <w:lang w:val="en-GB"/>
        </w:rPr>
        <w:t xml:space="preserve"> by</w:t>
      </w:r>
      <w:r w:rsidRPr="00B124DC">
        <w:rPr>
          <w:lang w:val="en-GB"/>
        </w:rPr>
        <w:t xml:space="preserve"> </w:t>
      </w:r>
      <w:r w:rsidR="0078103F" w:rsidRPr="00B124DC">
        <w:rPr>
          <w:lang w:val="en-GB"/>
        </w:rPr>
        <w:t>drafting</w:t>
      </w:r>
      <w:r w:rsidRPr="00B124DC">
        <w:rPr>
          <w:lang w:val="en-GB"/>
        </w:rPr>
        <w:t xml:space="preserve"> provision</w:t>
      </w:r>
      <w:r w:rsidR="0078103F" w:rsidRPr="00B124DC">
        <w:rPr>
          <w:lang w:val="en-GB"/>
        </w:rPr>
        <w:t>s</w:t>
      </w:r>
      <w:r w:rsidR="0078696D" w:rsidRPr="00B124DC">
        <w:rPr>
          <w:lang w:val="en-GB"/>
        </w:rPr>
        <w:t xml:space="preserve"> that would be </w:t>
      </w:r>
      <w:r w:rsidR="00484956" w:rsidRPr="00B124DC">
        <w:rPr>
          <w:lang w:val="en-GB"/>
        </w:rPr>
        <w:t>enforceable</w:t>
      </w:r>
      <w:r w:rsidR="003E1A10" w:rsidRPr="00B124DC">
        <w:rPr>
          <w:lang w:val="en-GB"/>
        </w:rPr>
        <w:t>.</w:t>
      </w:r>
    </w:p>
    <w:p w:rsidR="00CB6F76" w:rsidRPr="00B124DC" w:rsidRDefault="00CB6F76" w:rsidP="00CB6F76">
      <w:pPr>
        <w:pStyle w:val="JuQuot"/>
        <w:rPr>
          <w:lang w:val="en-GB"/>
        </w:rPr>
      </w:pPr>
      <w:r w:rsidRPr="00B124DC">
        <w:rPr>
          <w:lang w:val="en-GB"/>
        </w:rPr>
        <w:t>...</w:t>
      </w:r>
    </w:p>
    <w:p w:rsidR="003E1A10" w:rsidRPr="00B124DC" w:rsidRDefault="002F04F8" w:rsidP="002F04F8">
      <w:pPr>
        <w:pStyle w:val="JuQuot"/>
        <w:rPr>
          <w:lang w:val="en-GB"/>
        </w:rPr>
      </w:pPr>
      <w:r w:rsidRPr="00B124DC">
        <w:rPr>
          <w:lang w:val="en-GB"/>
        </w:rPr>
        <w:t>Judgments</w:t>
      </w:r>
      <w:r w:rsidR="003E1A10" w:rsidRPr="00B124DC">
        <w:rPr>
          <w:lang w:val="en-GB"/>
        </w:rPr>
        <w:t xml:space="preserve"> of the </w:t>
      </w:r>
      <w:smartTag w:uri="urn:schemas-microsoft-com:office:smarttags" w:element="Street">
        <w:smartTag w:uri="urn:schemas-microsoft-com:office:smarttags" w:element="address">
          <w:r w:rsidR="003E1A10" w:rsidRPr="00B124DC">
            <w:rPr>
              <w:lang w:val="en-GB"/>
            </w:rPr>
            <w:t>Constitutional Court</w:t>
          </w:r>
        </w:smartTag>
      </w:smartTag>
      <w:r w:rsidR="003E1A10" w:rsidRPr="00B124DC">
        <w:rPr>
          <w:lang w:val="en-GB"/>
        </w:rPr>
        <w:t xml:space="preserve"> shall be published immediately in the Official Gazette and shall be binding on the legislative, executive, and judicial organs, the administrative authorities, and </w:t>
      </w:r>
      <w:r w:rsidR="00984518" w:rsidRPr="00B124DC">
        <w:rPr>
          <w:lang w:val="en-GB"/>
        </w:rPr>
        <w:t>natural</w:t>
      </w:r>
      <w:r w:rsidRPr="00B124DC">
        <w:rPr>
          <w:lang w:val="en-GB"/>
        </w:rPr>
        <w:t xml:space="preserve"> and juristic </w:t>
      </w:r>
      <w:r w:rsidR="003E1A10" w:rsidRPr="00B124DC">
        <w:rPr>
          <w:lang w:val="en-GB"/>
        </w:rPr>
        <w:t>persons.</w:t>
      </w:r>
      <w:r w:rsidRPr="00B124DC">
        <w:rPr>
          <w:lang w:val="en-GB"/>
        </w:rPr>
        <w:t>”</w:t>
      </w:r>
    </w:p>
    <w:p w:rsidR="0017616B" w:rsidRPr="00B124DC" w:rsidRDefault="0017616B" w:rsidP="0017616B">
      <w:pPr>
        <w:pStyle w:val="JuHA"/>
        <w:keepNext/>
        <w:rPr>
          <w:lang w:val="en-GB"/>
        </w:rPr>
      </w:pPr>
      <w:r w:rsidRPr="00B124DC">
        <w:rPr>
          <w:lang w:val="en-GB"/>
        </w:rPr>
        <w:t>B.  History and background</w:t>
      </w:r>
    </w:p>
    <w:p w:rsidR="0017616B" w:rsidRPr="00B124DC" w:rsidRDefault="0017616B" w:rsidP="0017616B">
      <w:pPr>
        <w:pStyle w:val="JuH1"/>
        <w:keepNext/>
        <w:rPr>
          <w:lang w:val="en-GB"/>
        </w:rPr>
      </w:pPr>
      <w:r w:rsidRPr="00B124DC">
        <w:rPr>
          <w:lang w:val="en-GB"/>
        </w:rPr>
        <w:t>1.  Religious dress and the principle of secularism</w:t>
      </w:r>
    </w:p>
    <w:p w:rsidR="0098730A" w:rsidRPr="00B124DC" w:rsidRDefault="0017616B" w:rsidP="0017616B">
      <w:pPr>
        <w:pStyle w:val="JuParaCharCharCharCharCharCharChar"/>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30</w:t>
      </w:r>
      <w:r w:rsidRPr="00B124DC">
        <w:rPr>
          <w:lang w:val="en-GB"/>
        </w:rPr>
        <w:fldChar w:fldCharType="end"/>
      </w:r>
      <w:r w:rsidRPr="00B124DC">
        <w:rPr>
          <w:lang w:val="en-GB"/>
        </w:rPr>
        <w:t xml:space="preserve">.  The </w:t>
      </w:r>
      <w:smartTag w:uri="urn:schemas-microsoft-com:office:smarttags" w:element="place">
        <w:smartTag w:uri="urn:schemas-microsoft-com:office:smarttags" w:element="PlaceName">
          <w:r w:rsidRPr="00B124DC">
            <w:rPr>
              <w:lang w:val="en-GB"/>
            </w:rPr>
            <w:t>Turkish</w:t>
          </w:r>
        </w:smartTag>
        <w:r w:rsidRPr="00B124DC">
          <w:rPr>
            <w:lang w:val="en-GB"/>
          </w:rPr>
          <w:t xml:space="preserve"> </w:t>
        </w:r>
        <w:smartTag w:uri="urn:schemas-microsoft-com:office:smarttags" w:element="PlaceType">
          <w:r w:rsidRPr="00B124DC">
            <w:rPr>
              <w:lang w:val="en-GB"/>
            </w:rPr>
            <w:t>Republic</w:t>
          </w:r>
        </w:smartTag>
      </w:smartTag>
      <w:r w:rsidRPr="00B124DC">
        <w:rPr>
          <w:lang w:val="en-GB"/>
        </w:rPr>
        <w:t xml:space="preserve"> was founded on the principle that the State should be secular (</w:t>
      </w:r>
      <w:r w:rsidRPr="00B124DC">
        <w:rPr>
          <w:i/>
          <w:lang w:val="en-GB"/>
        </w:rPr>
        <w:t>laik</w:t>
      </w:r>
      <w:r w:rsidRPr="00B124DC">
        <w:rPr>
          <w:lang w:val="en-GB"/>
        </w:rPr>
        <w:t xml:space="preserve">). </w:t>
      </w:r>
      <w:r w:rsidR="00C363EB">
        <w:rPr>
          <w:lang w:val="en-GB"/>
        </w:rPr>
        <w:t>Before and a</w:t>
      </w:r>
      <w:r w:rsidRPr="00B124DC">
        <w:rPr>
          <w:lang w:val="en-GB"/>
        </w:rPr>
        <w:t>fter the proclamation of the Republic on 29</w:t>
      </w:r>
      <w:r w:rsidR="005E2247">
        <w:rPr>
          <w:lang w:val="en-GB"/>
        </w:rPr>
        <w:t xml:space="preserve"> </w:t>
      </w:r>
      <w:r w:rsidRPr="00B124DC">
        <w:rPr>
          <w:lang w:val="en-GB"/>
        </w:rPr>
        <w:t>October 1923, the public and religious spheres were separated through a series of revolutionary reforms: the abolition of the caliphate on 3</w:t>
      </w:r>
      <w:r w:rsidR="00932AF2">
        <w:rPr>
          <w:lang w:val="en-GB"/>
        </w:rPr>
        <w:t> </w:t>
      </w:r>
      <w:r w:rsidRPr="00B124DC">
        <w:rPr>
          <w:lang w:val="en-GB"/>
        </w:rPr>
        <w:t>March 1923; the repeal of the constitutional provision declaring Islam the religion of the State on 10 April 1928; and, lastly, on 5 February 1937</w:t>
      </w:r>
      <w:r w:rsidR="000C48A0">
        <w:rPr>
          <w:lang w:val="en-GB"/>
        </w:rPr>
        <w:t>,</w:t>
      </w:r>
      <w:r w:rsidRPr="00B124DC">
        <w:rPr>
          <w:lang w:val="en-GB"/>
        </w:rPr>
        <w:t xml:space="preserve"> a constitutional amendment according constitutional status to the principle of secularism (see Article 2 of the Constitution of 1924 and Article 2 of the Constitutions of 1961 and 1982, as set out in paragraph 2</w:t>
      </w:r>
      <w:r w:rsidR="00CB6F76" w:rsidRPr="00B124DC">
        <w:rPr>
          <w:lang w:val="en-GB"/>
        </w:rPr>
        <w:t>9</w:t>
      </w:r>
      <w:r w:rsidRPr="00B124DC">
        <w:rPr>
          <w:lang w:val="en-GB"/>
        </w:rPr>
        <w:t xml:space="preserve"> above).</w:t>
      </w:r>
    </w:p>
    <w:p w:rsidR="0098730A" w:rsidRPr="00B124DC" w:rsidRDefault="0017616B" w:rsidP="005965B9">
      <w:pPr>
        <w:pStyle w:val="JuParaChar"/>
        <w:rPr>
          <w:bCs/>
          <w:szCs w:val="24"/>
        </w:rPr>
      </w:pPr>
      <w:r w:rsidRPr="00B124DC">
        <w:fldChar w:fldCharType="begin"/>
      </w:r>
      <w:r w:rsidRPr="00B124DC">
        <w:instrText xml:space="preserve"> SEQ level0 \*arabic </w:instrText>
      </w:r>
      <w:r w:rsidRPr="00B124DC">
        <w:fldChar w:fldCharType="separate"/>
      </w:r>
      <w:r w:rsidR="00EA52D1">
        <w:rPr>
          <w:noProof/>
        </w:rPr>
        <w:t>31</w:t>
      </w:r>
      <w:r w:rsidRPr="00B124DC">
        <w:fldChar w:fldCharType="end"/>
      </w:r>
      <w:r w:rsidRPr="00B124DC">
        <w:t>.  </w:t>
      </w:r>
      <w:r w:rsidR="002E30AC" w:rsidRPr="00B124DC">
        <w:t xml:space="preserve">The principle of secularism was inspired by developments in Ottoman society in the period between the </w:t>
      </w:r>
      <w:r w:rsidR="001D3705" w:rsidRPr="00B124DC">
        <w:t>nineteenth</w:t>
      </w:r>
      <w:r w:rsidR="002E30AC" w:rsidRPr="00B124DC">
        <w:t xml:space="preserve"> century and the proclamation of the Republic. </w:t>
      </w:r>
      <w:r w:rsidR="007A1BF5" w:rsidRPr="00B124DC">
        <w:t xml:space="preserve">The idea of creating </w:t>
      </w:r>
      <w:r w:rsidR="001A2925" w:rsidRPr="00B124DC">
        <w:t>a</w:t>
      </w:r>
      <w:r w:rsidR="007A1BF5" w:rsidRPr="00B124DC">
        <w:t xml:space="preserve"> modern public society in which equality was guaranteed to all citizens without distinction on grounds of religion, denomination or sex had already been mooted in the Ottoman debates of the </w:t>
      </w:r>
      <w:r w:rsidR="001D3705" w:rsidRPr="00B124DC">
        <w:t xml:space="preserve">nineteenth </w:t>
      </w:r>
      <w:r w:rsidR="007A1BF5" w:rsidRPr="00B124DC">
        <w:t xml:space="preserve">century. </w:t>
      </w:r>
      <w:r w:rsidR="001A2925" w:rsidRPr="00B124DC">
        <w:t>Significant advances in women</w:t>
      </w:r>
      <w:r w:rsidR="0006350D">
        <w:t>’</w:t>
      </w:r>
      <w:r w:rsidR="001A2925" w:rsidRPr="00B124DC">
        <w:t xml:space="preserve">s </w:t>
      </w:r>
      <w:r w:rsidR="007A1BF5" w:rsidRPr="00B124DC">
        <w:t xml:space="preserve">rights </w:t>
      </w:r>
      <w:r w:rsidR="001A2925" w:rsidRPr="00B124DC">
        <w:t xml:space="preserve">were </w:t>
      </w:r>
      <w:r w:rsidR="007A1BF5" w:rsidRPr="00B124DC">
        <w:t>made during this period (equality of treatment in education, the introduction of a ban on polygamy i</w:t>
      </w:r>
      <w:r w:rsidR="005965B9" w:rsidRPr="00B124DC">
        <w:rPr>
          <w:bCs/>
          <w:szCs w:val="24"/>
        </w:rPr>
        <w:t xml:space="preserve">n 1914, </w:t>
      </w:r>
      <w:r w:rsidR="007A1BF5" w:rsidRPr="00B124DC">
        <w:rPr>
          <w:bCs/>
          <w:szCs w:val="24"/>
        </w:rPr>
        <w:t xml:space="preserve">the transfer of jurisdiction in </w:t>
      </w:r>
      <w:r w:rsidR="00C00C19" w:rsidRPr="00B124DC">
        <w:rPr>
          <w:bCs/>
          <w:szCs w:val="24"/>
        </w:rPr>
        <w:t>matrimonial</w:t>
      </w:r>
      <w:r w:rsidR="007A1BF5" w:rsidRPr="00B124DC">
        <w:rPr>
          <w:bCs/>
          <w:szCs w:val="24"/>
        </w:rPr>
        <w:t xml:space="preserve"> cases to the secular courts that </w:t>
      </w:r>
      <w:r w:rsidR="001A2925" w:rsidRPr="00B124DC">
        <w:rPr>
          <w:bCs/>
          <w:szCs w:val="24"/>
        </w:rPr>
        <w:t>had been</w:t>
      </w:r>
      <w:r w:rsidR="007A1BF5" w:rsidRPr="00B124DC">
        <w:rPr>
          <w:bCs/>
          <w:szCs w:val="24"/>
        </w:rPr>
        <w:t xml:space="preserve"> established in the </w:t>
      </w:r>
      <w:r w:rsidR="001D3705" w:rsidRPr="00B124DC">
        <w:t xml:space="preserve">nineteenth </w:t>
      </w:r>
      <w:r w:rsidR="007A1BF5" w:rsidRPr="00B124DC">
        <w:rPr>
          <w:bCs/>
          <w:szCs w:val="24"/>
        </w:rPr>
        <w:t>century</w:t>
      </w:r>
      <w:r w:rsidR="005965B9" w:rsidRPr="00B124DC">
        <w:rPr>
          <w:bCs/>
          <w:szCs w:val="24"/>
        </w:rPr>
        <w:t>).</w:t>
      </w:r>
    </w:p>
    <w:p w:rsidR="0017616B" w:rsidRPr="00B124DC" w:rsidRDefault="005965B9" w:rsidP="0017616B">
      <w:pPr>
        <w:pStyle w:val="JuParaCharCharCharCharCharCharChar"/>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32</w:t>
      </w:r>
      <w:r w:rsidRPr="00B124DC">
        <w:rPr>
          <w:lang w:val="en-GB"/>
        </w:rPr>
        <w:fldChar w:fldCharType="end"/>
      </w:r>
      <w:r w:rsidRPr="00B124DC">
        <w:rPr>
          <w:lang w:val="en-GB"/>
        </w:rPr>
        <w:t>.  </w:t>
      </w:r>
      <w:r w:rsidR="007F5BEE" w:rsidRPr="00B124DC">
        <w:rPr>
          <w:lang w:val="en-GB"/>
        </w:rPr>
        <w:t xml:space="preserve">The defining feature of the </w:t>
      </w:r>
      <w:r w:rsidR="00B5177F" w:rsidRPr="00B124DC">
        <w:rPr>
          <w:lang w:val="en-GB"/>
        </w:rPr>
        <w:t xml:space="preserve">Republican ideal </w:t>
      </w:r>
      <w:r w:rsidR="00091022" w:rsidRPr="00B124DC">
        <w:rPr>
          <w:lang w:val="en-GB"/>
        </w:rPr>
        <w:t>was</w:t>
      </w:r>
      <w:r w:rsidR="00B5177F" w:rsidRPr="00B124DC">
        <w:rPr>
          <w:lang w:val="en-GB"/>
        </w:rPr>
        <w:t xml:space="preserve"> </w:t>
      </w:r>
      <w:r w:rsidR="007F5BEE" w:rsidRPr="00B124DC">
        <w:rPr>
          <w:lang w:val="en-GB"/>
        </w:rPr>
        <w:t xml:space="preserve">the presence of </w:t>
      </w:r>
      <w:r w:rsidR="0086780F" w:rsidRPr="00B124DC">
        <w:rPr>
          <w:lang w:val="en-GB"/>
        </w:rPr>
        <w:t>women</w:t>
      </w:r>
      <w:r w:rsidR="007F5BEE" w:rsidRPr="00B124DC">
        <w:rPr>
          <w:lang w:val="en-GB"/>
        </w:rPr>
        <w:t xml:space="preserve"> </w:t>
      </w:r>
      <w:r w:rsidR="0086780F" w:rsidRPr="00B124DC">
        <w:rPr>
          <w:lang w:val="en-GB"/>
        </w:rPr>
        <w:t xml:space="preserve">in public </w:t>
      </w:r>
      <w:r w:rsidR="007F5BEE" w:rsidRPr="00B124DC">
        <w:rPr>
          <w:lang w:val="en-GB"/>
        </w:rPr>
        <w:t>life and their</w:t>
      </w:r>
      <w:r w:rsidR="0086780F" w:rsidRPr="00B124DC">
        <w:rPr>
          <w:lang w:val="en-GB"/>
        </w:rPr>
        <w:t xml:space="preserve"> </w:t>
      </w:r>
      <w:r w:rsidR="00B5177F" w:rsidRPr="00B124DC">
        <w:rPr>
          <w:lang w:val="en-GB"/>
        </w:rPr>
        <w:t xml:space="preserve">active </w:t>
      </w:r>
      <w:r w:rsidR="00091022" w:rsidRPr="00B124DC">
        <w:rPr>
          <w:lang w:val="en-GB"/>
        </w:rPr>
        <w:t>participa</w:t>
      </w:r>
      <w:r w:rsidR="007F5BEE" w:rsidRPr="00B124DC">
        <w:rPr>
          <w:lang w:val="en-GB"/>
        </w:rPr>
        <w:t>tion</w:t>
      </w:r>
      <w:r w:rsidR="0086780F" w:rsidRPr="00B124DC">
        <w:rPr>
          <w:lang w:val="en-GB"/>
        </w:rPr>
        <w:t xml:space="preserve"> </w:t>
      </w:r>
      <w:r w:rsidR="00B5177F" w:rsidRPr="00B124DC">
        <w:rPr>
          <w:lang w:val="en-GB"/>
        </w:rPr>
        <w:t>in society</w:t>
      </w:r>
      <w:r w:rsidRPr="00B124DC">
        <w:rPr>
          <w:lang w:val="en-GB"/>
        </w:rPr>
        <w:t xml:space="preserve">. </w:t>
      </w:r>
      <w:r w:rsidR="00EA7B65" w:rsidRPr="00B124DC">
        <w:rPr>
          <w:lang w:val="en-GB"/>
        </w:rPr>
        <w:t xml:space="preserve">Consequently, the </w:t>
      </w:r>
      <w:r w:rsidR="0086780F" w:rsidRPr="00B124DC">
        <w:rPr>
          <w:lang w:val="en-GB"/>
        </w:rPr>
        <w:t>idea</w:t>
      </w:r>
      <w:r w:rsidR="00701D38" w:rsidRPr="00B124DC">
        <w:rPr>
          <w:lang w:val="en-GB"/>
        </w:rPr>
        <w:t>s</w:t>
      </w:r>
      <w:r w:rsidR="00EA7B65" w:rsidRPr="00B124DC">
        <w:rPr>
          <w:lang w:val="en-GB"/>
        </w:rPr>
        <w:t xml:space="preserve"> that women should be </w:t>
      </w:r>
      <w:r w:rsidR="00091022" w:rsidRPr="00B124DC">
        <w:rPr>
          <w:lang w:val="en-GB"/>
        </w:rPr>
        <w:t>freed</w:t>
      </w:r>
      <w:r w:rsidR="00EA7B65" w:rsidRPr="00B124DC">
        <w:rPr>
          <w:lang w:val="en-GB"/>
        </w:rPr>
        <w:t xml:space="preserve"> from religio</w:t>
      </w:r>
      <w:r w:rsidR="0086780F" w:rsidRPr="00B124DC">
        <w:rPr>
          <w:lang w:val="en-GB"/>
        </w:rPr>
        <w:t>us constraints</w:t>
      </w:r>
      <w:r w:rsidR="00EA7B65" w:rsidRPr="00B124DC">
        <w:rPr>
          <w:lang w:val="en-GB"/>
        </w:rPr>
        <w:t xml:space="preserve"> and </w:t>
      </w:r>
      <w:r w:rsidR="00701D38" w:rsidRPr="00B124DC">
        <w:rPr>
          <w:lang w:val="en-GB"/>
        </w:rPr>
        <w:t xml:space="preserve">that </w:t>
      </w:r>
      <w:r w:rsidR="00EA7B65" w:rsidRPr="00B124DC">
        <w:rPr>
          <w:lang w:val="en-GB"/>
        </w:rPr>
        <w:t xml:space="preserve">society </w:t>
      </w:r>
      <w:r w:rsidR="00701D38" w:rsidRPr="00B124DC">
        <w:rPr>
          <w:lang w:val="en-GB"/>
        </w:rPr>
        <w:t xml:space="preserve">should be </w:t>
      </w:r>
      <w:r w:rsidR="00EA7B65" w:rsidRPr="00B124DC">
        <w:rPr>
          <w:lang w:val="en-GB"/>
        </w:rPr>
        <w:t xml:space="preserve">modernised </w:t>
      </w:r>
      <w:r w:rsidR="00AE5F3D" w:rsidRPr="00B124DC">
        <w:rPr>
          <w:lang w:val="en-GB"/>
        </w:rPr>
        <w:t xml:space="preserve">had a common </w:t>
      </w:r>
      <w:r w:rsidR="0086780F" w:rsidRPr="00B124DC">
        <w:rPr>
          <w:lang w:val="en-GB"/>
        </w:rPr>
        <w:t>origin</w:t>
      </w:r>
      <w:r w:rsidRPr="00B124DC">
        <w:rPr>
          <w:lang w:val="en-GB"/>
        </w:rPr>
        <w:t xml:space="preserve">. </w:t>
      </w:r>
      <w:r w:rsidR="0017616B" w:rsidRPr="00B124DC">
        <w:rPr>
          <w:lang w:val="en-GB"/>
        </w:rPr>
        <w:t>Th</w:t>
      </w:r>
      <w:r w:rsidR="00FE5A84" w:rsidRPr="00B124DC">
        <w:rPr>
          <w:lang w:val="en-GB"/>
        </w:rPr>
        <w:t xml:space="preserve">us, </w:t>
      </w:r>
      <w:r w:rsidR="0017616B" w:rsidRPr="00B124DC">
        <w:rPr>
          <w:lang w:val="en-GB"/>
        </w:rPr>
        <w:t>on 17</w:t>
      </w:r>
      <w:r w:rsidR="005E2247">
        <w:rPr>
          <w:lang w:val="en-GB"/>
        </w:rPr>
        <w:t xml:space="preserve"> </w:t>
      </w:r>
      <w:r w:rsidR="0017616B" w:rsidRPr="00B124DC">
        <w:rPr>
          <w:lang w:val="en-GB"/>
        </w:rPr>
        <w:t xml:space="preserve">February 1926 </w:t>
      </w:r>
      <w:r w:rsidR="00FE5A84" w:rsidRPr="00B124DC">
        <w:rPr>
          <w:lang w:val="en-GB"/>
        </w:rPr>
        <w:t xml:space="preserve">the Civil Code </w:t>
      </w:r>
      <w:r w:rsidR="0017616B" w:rsidRPr="00B124DC">
        <w:rPr>
          <w:lang w:val="en-GB"/>
        </w:rPr>
        <w:t>w</w:t>
      </w:r>
      <w:r w:rsidR="00FE5A84" w:rsidRPr="00B124DC">
        <w:rPr>
          <w:lang w:val="en-GB"/>
        </w:rPr>
        <w:t>as</w:t>
      </w:r>
      <w:r w:rsidR="0017616B" w:rsidRPr="00B124DC">
        <w:rPr>
          <w:lang w:val="en-GB"/>
        </w:rPr>
        <w:t xml:space="preserve"> adopt</w:t>
      </w:r>
      <w:r w:rsidR="00FE5A84" w:rsidRPr="00B124DC">
        <w:rPr>
          <w:lang w:val="en-GB"/>
        </w:rPr>
        <w:t>ed</w:t>
      </w:r>
      <w:r w:rsidR="0017616B" w:rsidRPr="00B124DC">
        <w:rPr>
          <w:lang w:val="en-GB"/>
        </w:rPr>
        <w:t xml:space="preserve">, which provided for equality of the sexes in the enjoyment of civic rights, in particular </w:t>
      </w:r>
      <w:r w:rsidR="0086780F" w:rsidRPr="00B124DC">
        <w:rPr>
          <w:lang w:val="en-GB"/>
        </w:rPr>
        <w:t>with</w:t>
      </w:r>
      <w:r w:rsidR="0017616B" w:rsidRPr="00B124DC">
        <w:rPr>
          <w:lang w:val="en-GB"/>
        </w:rPr>
        <w:t xml:space="preserve"> regard </w:t>
      </w:r>
      <w:r w:rsidR="0086780F" w:rsidRPr="00B124DC">
        <w:rPr>
          <w:lang w:val="en-GB"/>
        </w:rPr>
        <w:t xml:space="preserve">to </w:t>
      </w:r>
      <w:r w:rsidR="0017616B" w:rsidRPr="00B124DC">
        <w:rPr>
          <w:lang w:val="en-GB"/>
        </w:rPr>
        <w:t>divorce and succession. Subsequently, through a constitutional amendment of 5</w:t>
      </w:r>
      <w:r w:rsidR="00FE5A84" w:rsidRPr="00B124DC">
        <w:rPr>
          <w:lang w:val="en-GB"/>
        </w:rPr>
        <w:t> </w:t>
      </w:r>
      <w:r w:rsidR="0017616B" w:rsidRPr="00B124DC">
        <w:rPr>
          <w:lang w:val="en-GB"/>
        </w:rPr>
        <w:t>December 1934 (Article</w:t>
      </w:r>
      <w:r w:rsidR="0086780F" w:rsidRPr="00B124DC">
        <w:rPr>
          <w:lang w:val="en-GB"/>
        </w:rPr>
        <w:t xml:space="preserve"> </w:t>
      </w:r>
      <w:r w:rsidR="0017616B" w:rsidRPr="00B124DC">
        <w:rPr>
          <w:lang w:val="en-GB"/>
        </w:rPr>
        <w:t xml:space="preserve">10 of the 1924 Constitution), women obtained equal political rights </w:t>
      </w:r>
      <w:r w:rsidR="000C2394">
        <w:rPr>
          <w:lang w:val="en-GB"/>
        </w:rPr>
        <w:t>to</w:t>
      </w:r>
      <w:r w:rsidR="0017616B" w:rsidRPr="00B124DC">
        <w:rPr>
          <w:lang w:val="en-GB"/>
        </w:rPr>
        <w:t xml:space="preserve"> men.</w:t>
      </w:r>
    </w:p>
    <w:p w:rsidR="0017616B" w:rsidRPr="00B124DC" w:rsidRDefault="005965B9" w:rsidP="0017616B">
      <w:pPr>
        <w:pStyle w:val="JuParaCharCharCharCharCharCharChar"/>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33</w:t>
      </w:r>
      <w:r w:rsidRPr="00B124DC">
        <w:rPr>
          <w:lang w:val="en-GB"/>
        </w:rPr>
        <w:fldChar w:fldCharType="end"/>
      </w:r>
      <w:r w:rsidRPr="00B124DC">
        <w:rPr>
          <w:lang w:val="en-GB"/>
        </w:rPr>
        <w:t>.  </w:t>
      </w:r>
      <w:r w:rsidR="0017616B" w:rsidRPr="00B124DC">
        <w:rPr>
          <w:lang w:val="en-GB"/>
        </w:rPr>
        <w:t xml:space="preserve">The first </w:t>
      </w:r>
      <w:r w:rsidR="00E92356" w:rsidRPr="00B124DC">
        <w:rPr>
          <w:lang w:val="en-GB"/>
        </w:rPr>
        <w:t xml:space="preserve">legislation </w:t>
      </w:r>
      <w:r w:rsidR="007031B9" w:rsidRPr="00B124DC">
        <w:rPr>
          <w:lang w:val="en-GB"/>
        </w:rPr>
        <w:t>to regulate</w:t>
      </w:r>
      <w:r w:rsidRPr="00B124DC">
        <w:rPr>
          <w:lang w:val="en-GB"/>
        </w:rPr>
        <w:t xml:space="preserve"> dress</w:t>
      </w:r>
      <w:r w:rsidR="0017616B" w:rsidRPr="00B124DC">
        <w:rPr>
          <w:lang w:val="en-GB"/>
        </w:rPr>
        <w:t xml:space="preserve"> was the Headgear Act of </w:t>
      </w:r>
      <w:smartTag w:uri="urn:schemas-microsoft-com:office:smarttags" w:element="date">
        <w:smartTagPr>
          <w:attr w:name="Month" w:val="11"/>
          <w:attr w:name="Day" w:val="28"/>
          <w:attr w:name="Year" w:val="1925"/>
        </w:smartTagPr>
        <w:r w:rsidR="0017616B" w:rsidRPr="00B124DC">
          <w:rPr>
            <w:lang w:val="en-GB"/>
          </w:rPr>
          <w:t>28</w:t>
        </w:r>
        <w:r w:rsidR="00954099" w:rsidRPr="00B124DC">
          <w:rPr>
            <w:lang w:val="en-GB"/>
          </w:rPr>
          <w:t> </w:t>
        </w:r>
        <w:r w:rsidR="0017616B" w:rsidRPr="00B124DC">
          <w:rPr>
            <w:lang w:val="en-GB"/>
          </w:rPr>
          <w:t>November 1925</w:t>
        </w:r>
      </w:smartTag>
      <w:r w:rsidR="0017616B" w:rsidRPr="00B124DC">
        <w:rPr>
          <w:lang w:val="en-GB"/>
        </w:rPr>
        <w:t xml:space="preserve"> (Law no. 671), which treated dress as a </w:t>
      </w:r>
      <w:r w:rsidR="00B3223E" w:rsidRPr="00B124DC">
        <w:rPr>
          <w:lang w:val="en-GB"/>
        </w:rPr>
        <w:t xml:space="preserve">modernity </w:t>
      </w:r>
      <w:r w:rsidR="0017616B" w:rsidRPr="00B124DC">
        <w:rPr>
          <w:lang w:val="en-GB"/>
        </w:rPr>
        <w:t>issue. Similarly, a ban was imposed on wearing religious attire other than in places of worship or at religious ceremonies, irrespective of the religion or belief concerned, by t</w:t>
      </w:r>
      <w:r w:rsidR="0090579A" w:rsidRPr="00B124DC">
        <w:rPr>
          <w:lang w:val="en-GB"/>
        </w:rPr>
        <w:t>he Dress (Regulations) Act of 3</w:t>
      </w:r>
      <w:r w:rsidR="00932AF2">
        <w:rPr>
          <w:lang w:val="en-GB"/>
        </w:rPr>
        <w:t xml:space="preserve"> </w:t>
      </w:r>
      <w:r w:rsidR="0017616B" w:rsidRPr="00B124DC">
        <w:rPr>
          <w:lang w:val="en-GB"/>
        </w:rPr>
        <w:t>December 1934 (Law no.</w:t>
      </w:r>
      <w:r w:rsidR="00954099" w:rsidRPr="00B124DC">
        <w:rPr>
          <w:lang w:val="en-GB"/>
        </w:rPr>
        <w:t> </w:t>
      </w:r>
      <w:r w:rsidR="0017616B" w:rsidRPr="00B124DC">
        <w:rPr>
          <w:lang w:val="en-GB"/>
        </w:rPr>
        <w:t>2596).</w:t>
      </w:r>
    </w:p>
    <w:p w:rsidR="0017616B" w:rsidRPr="00B124DC" w:rsidRDefault="0017616B" w:rsidP="0017616B">
      <w:pPr>
        <w:pStyle w:val="JuParaCharCharCharCharCharCharChar"/>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34</w:t>
      </w:r>
      <w:r w:rsidRPr="00B124DC">
        <w:rPr>
          <w:lang w:val="en-GB"/>
        </w:rPr>
        <w:fldChar w:fldCharType="end"/>
      </w:r>
      <w:r w:rsidRPr="00B124DC">
        <w:rPr>
          <w:lang w:val="en-GB"/>
        </w:rPr>
        <w:t>.  Under the Education Services (Merger) Act of 3 March 1924</w:t>
      </w:r>
      <w:r w:rsidR="0090579A" w:rsidRPr="00B124DC">
        <w:rPr>
          <w:lang w:val="en-GB"/>
        </w:rPr>
        <w:t xml:space="preserve"> (Law</w:t>
      </w:r>
      <w:r w:rsidR="005E2247">
        <w:rPr>
          <w:lang w:val="en-GB"/>
        </w:rPr>
        <w:t xml:space="preserve"> </w:t>
      </w:r>
      <w:r w:rsidRPr="00B124DC">
        <w:rPr>
          <w:lang w:val="en-GB"/>
        </w:rPr>
        <w:t>no.</w:t>
      </w:r>
      <w:r w:rsidR="005E2247">
        <w:rPr>
          <w:lang w:val="en-GB"/>
        </w:rPr>
        <w:t xml:space="preserve"> </w:t>
      </w:r>
      <w:r w:rsidRPr="00B124DC">
        <w:rPr>
          <w:lang w:val="en-GB"/>
        </w:rPr>
        <w:t xml:space="preserve">430), religious schools were closed and all schools came under the control of the Ministry </w:t>
      </w:r>
      <w:r w:rsidR="0033597D">
        <w:rPr>
          <w:lang w:val="en-GB"/>
        </w:rPr>
        <w:t>of</w:t>
      </w:r>
      <w:r w:rsidRPr="00B124DC">
        <w:rPr>
          <w:lang w:val="en-GB"/>
        </w:rPr>
        <w:t xml:space="preserve"> Education. Th</w:t>
      </w:r>
      <w:r w:rsidR="00691691" w:rsidRPr="00B124DC">
        <w:rPr>
          <w:lang w:val="en-GB"/>
        </w:rPr>
        <w:t>e Act</w:t>
      </w:r>
      <w:r w:rsidRPr="00B124DC">
        <w:rPr>
          <w:lang w:val="en-GB"/>
        </w:rPr>
        <w:t xml:space="preserve"> is one of the laws </w:t>
      </w:r>
      <w:r w:rsidR="00691691" w:rsidRPr="00B124DC">
        <w:rPr>
          <w:lang w:val="en-GB"/>
        </w:rPr>
        <w:t>with</w:t>
      </w:r>
      <w:r w:rsidRPr="00B124DC">
        <w:rPr>
          <w:lang w:val="en-GB"/>
        </w:rPr>
        <w:t xml:space="preserve"> constitutional status that are protected by Article 174 of the Turkish Constitution.</w:t>
      </w:r>
    </w:p>
    <w:p w:rsidR="0017616B" w:rsidRPr="00B124DC" w:rsidRDefault="008C444F" w:rsidP="00AA2321">
      <w:pPr>
        <w:pStyle w:val="JuParaChar"/>
      </w:pPr>
      <w:r w:rsidRPr="00B124DC">
        <w:fldChar w:fldCharType="begin"/>
      </w:r>
      <w:r w:rsidRPr="00B124DC">
        <w:instrText xml:space="preserve"> SEQ level0 \*arabic </w:instrText>
      </w:r>
      <w:r w:rsidRPr="00B124DC">
        <w:fldChar w:fldCharType="separate"/>
      </w:r>
      <w:r w:rsidR="00EA52D1">
        <w:rPr>
          <w:noProof/>
        </w:rPr>
        <w:t>35</w:t>
      </w:r>
      <w:r w:rsidRPr="00B124DC">
        <w:fldChar w:fldCharType="end"/>
      </w:r>
      <w:r w:rsidRPr="00B124DC">
        <w:t>.  </w:t>
      </w:r>
      <w:r w:rsidR="002E757D" w:rsidRPr="00B124DC">
        <w:t xml:space="preserve">In </w:t>
      </w:r>
      <w:smartTag w:uri="urn:schemas-microsoft-com:office:smarttags" w:element="place">
        <w:smartTag w:uri="urn:schemas-microsoft-com:office:smarttags" w:element="country-region">
          <w:r w:rsidR="002E757D" w:rsidRPr="00B124DC">
            <w:t>Turkey</w:t>
          </w:r>
        </w:smartTag>
      </w:smartTag>
      <w:r w:rsidR="0033597D">
        <w:t>,</w:t>
      </w:r>
      <w:r w:rsidR="002E757D" w:rsidRPr="00B124DC">
        <w:t xml:space="preserve"> wearing </w:t>
      </w:r>
      <w:r w:rsidR="0017616B" w:rsidRPr="00B124DC">
        <w:t xml:space="preserve">the Islamic headscarf to school and university is a recent phenomenon which </w:t>
      </w:r>
      <w:r w:rsidR="002E757D" w:rsidRPr="00B124DC">
        <w:t>only really began to emerge</w:t>
      </w:r>
      <w:r w:rsidR="0017616B" w:rsidRPr="00B124DC">
        <w:t xml:space="preserve"> in the 1980s. There has been extensive discussion on the issue and it continues to be the subject of lively debate in Turkish society. Those in favour of the headscarf see wearing it as a duty and/or </w:t>
      </w:r>
      <w:r w:rsidR="00100161" w:rsidRPr="00B124DC">
        <w:t xml:space="preserve">a </w:t>
      </w:r>
      <w:r w:rsidR="0017616B" w:rsidRPr="00B124DC">
        <w:t>form of expression linked to religious identity</w:t>
      </w:r>
      <w:r w:rsidR="005965B9" w:rsidRPr="00B124DC">
        <w:t xml:space="preserve">. </w:t>
      </w:r>
      <w:r w:rsidR="00FB2974" w:rsidRPr="00B124DC">
        <w:t>However, the supporters of secularism, who draw a distinction between th</w:t>
      </w:r>
      <w:r w:rsidR="005965B9" w:rsidRPr="00B124DC">
        <w:rPr>
          <w:color w:val="222222"/>
          <w:szCs w:val="24"/>
        </w:rPr>
        <w:t xml:space="preserve">e </w:t>
      </w:r>
      <w:r w:rsidR="005965B9" w:rsidRPr="00B124DC">
        <w:rPr>
          <w:i/>
          <w:color w:val="222222"/>
          <w:szCs w:val="24"/>
        </w:rPr>
        <w:t>başörtüsü</w:t>
      </w:r>
      <w:r w:rsidR="005965B9" w:rsidRPr="00B124DC">
        <w:rPr>
          <w:color w:val="222222"/>
          <w:szCs w:val="24"/>
        </w:rPr>
        <w:t xml:space="preserve"> (</w:t>
      </w:r>
      <w:r w:rsidR="00640091" w:rsidRPr="00B124DC">
        <w:rPr>
          <w:color w:val="222222"/>
          <w:szCs w:val="24"/>
        </w:rPr>
        <w:t>traditional Anatolian headscarf</w:t>
      </w:r>
      <w:r w:rsidR="005965B9" w:rsidRPr="00B124DC">
        <w:rPr>
          <w:color w:val="222222"/>
          <w:szCs w:val="24"/>
        </w:rPr>
        <w:t xml:space="preserve">, </w:t>
      </w:r>
      <w:r w:rsidR="00640091" w:rsidRPr="00B124DC">
        <w:rPr>
          <w:color w:val="222222"/>
          <w:szCs w:val="24"/>
        </w:rPr>
        <w:t>worn loosely</w:t>
      </w:r>
      <w:r w:rsidR="005965B9" w:rsidRPr="00B124DC">
        <w:rPr>
          <w:color w:val="222222"/>
          <w:szCs w:val="24"/>
        </w:rPr>
        <w:t xml:space="preserve">) </w:t>
      </w:r>
      <w:r w:rsidR="00FB2974" w:rsidRPr="00B124DC">
        <w:rPr>
          <w:color w:val="222222"/>
          <w:szCs w:val="24"/>
        </w:rPr>
        <w:t>and the</w:t>
      </w:r>
      <w:r w:rsidR="005965B9" w:rsidRPr="00B124DC">
        <w:rPr>
          <w:color w:val="222222"/>
          <w:szCs w:val="24"/>
        </w:rPr>
        <w:t xml:space="preserve"> </w:t>
      </w:r>
      <w:r w:rsidR="0023755F" w:rsidRPr="00B124DC">
        <w:rPr>
          <w:i/>
          <w:color w:val="222222"/>
          <w:szCs w:val="24"/>
        </w:rPr>
        <w:t>türban</w:t>
      </w:r>
      <w:r w:rsidR="0023755F" w:rsidRPr="00B124DC">
        <w:rPr>
          <w:color w:val="222222"/>
          <w:szCs w:val="24"/>
        </w:rPr>
        <w:t xml:space="preserve"> </w:t>
      </w:r>
      <w:r w:rsidR="005965B9" w:rsidRPr="00B124DC">
        <w:rPr>
          <w:color w:val="222222"/>
          <w:szCs w:val="24"/>
        </w:rPr>
        <w:t>(</w:t>
      </w:r>
      <w:r w:rsidR="00640091" w:rsidRPr="00B124DC">
        <w:rPr>
          <w:color w:val="222222"/>
          <w:szCs w:val="24"/>
        </w:rPr>
        <w:t>tight, knotted headscarf hiding the hair and the throat</w:t>
      </w:r>
      <w:r w:rsidR="005965B9" w:rsidRPr="00B124DC">
        <w:rPr>
          <w:color w:val="222222"/>
          <w:szCs w:val="24"/>
        </w:rPr>
        <w:t>)</w:t>
      </w:r>
      <w:r w:rsidR="00640091" w:rsidRPr="00B124DC">
        <w:rPr>
          <w:color w:val="222222"/>
          <w:szCs w:val="24"/>
        </w:rPr>
        <w:t>,</w:t>
      </w:r>
      <w:r w:rsidR="005965B9" w:rsidRPr="00B124DC">
        <w:rPr>
          <w:color w:val="222222"/>
          <w:szCs w:val="24"/>
        </w:rPr>
        <w:t xml:space="preserve"> </w:t>
      </w:r>
      <w:r w:rsidR="002232B5" w:rsidRPr="00B124DC">
        <w:rPr>
          <w:color w:val="222222"/>
          <w:szCs w:val="24"/>
        </w:rPr>
        <w:t>see</w:t>
      </w:r>
      <w:r w:rsidR="00FB2974" w:rsidRPr="00B124DC">
        <w:rPr>
          <w:color w:val="222222"/>
          <w:szCs w:val="24"/>
        </w:rPr>
        <w:t xml:space="preserve"> the Islamic headscarf </w:t>
      </w:r>
      <w:r w:rsidR="002232B5" w:rsidRPr="00B124DC">
        <w:rPr>
          <w:color w:val="222222"/>
          <w:szCs w:val="24"/>
        </w:rPr>
        <w:t>as</w:t>
      </w:r>
      <w:r w:rsidR="00FB2974" w:rsidRPr="00B124DC">
        <w:rPr>
          <w:color w:val="222222"/>
          <w:szCs w:val="24"/>
        </w:rPr>
        <w:t xml:space="preserve"> a symbol</w:t>
      </w:r>
      <w:r w:rsidR="005965B9" w:rsidRPr="00B124DC">
        <w:rPr>
          <w:color w:val="222222"/>
          <w:szCs w:val="24"/>
        </w:rPr>
        <w:t xml:space="preserve"> </w:t>
      </w:r>
      <w:r w:rsidR="005965B9" w:rsidRPr="00B124DC">
        <w:t xml:space="preserve">of a political Islam. </w:t>
      </w:r>
      <w:r w:rsidR="00E92356" w:rsidRPr="00B124DC">
        <w:t xml:space="preserve">As a result of the </w:t>
      </w:r>
      <w:r w:rsidR="0017616B" w:rsidRPr="00B124DC">
        <w:t xml:space="preserve">accession to power on </w:t>
      </w:r>
      <w:smartTag w:uri="urn:schemas-microsoft-com:office:smarttags" w:element="date">
        <w:smartTagPr>
          <w:attr w:name="Month" w:val="6"/>
          <w:attr w:name="Day" w:val="28"/>
          <w:attr w:name="Year" w:val="1996"/>
        </w:smartTagPr>
        <w:r w:rsidR="0017616B" w:rsidRPr="00B124DC">
          <w:t>28 June 1996</w:t>
        </w:r>
      </w:smartTag>
      <w:r w:rsidR="0017616B" w:rsidRPr="00B124DC">
        <w:t xml:space="preserve"> of a coalition government comprising the Islamist </w:t>
      </w:r>
      <w:r w:rsidR="0017616B" w:rsidRPr="0033597D">
        <w:rPr>
          <w:iCs/>
        </w:rPr>
        <w:t>Refah Partisi</w:t>
      </w:r>
      <w:r w:rsidR="0017616B" w:rsidRPr="00B124DC">
        <w:t xml:space="preserve">, and the centre-right </w:t>
      </w:r>
      <w:r w:rsidR="0017616B" w:rsidRPr="0033597D">
        <w:rPr>
          <w:iCs/>
        </w:rPr>
        <w:t>Doğru Yol Partisi</w:t>
      </w:r>
      <w:r w:rsidR="0017616B" w:rsidRPr="00B124DC">
        <w:t xml:space="preserve">, the debate </w:t>
      </w:r>
      <w:r w:rsidR="00E92356" w:rsidRPr="00B124DC">
        <w:t xml:space="preserve">has taken on </w:t>
      </w:r>
      <w:r w:rsidR="0017616B" w:rsidRPr="00B124DC">
        <w:t xml:space="preserve">strong political overtones. The ambivalence displayed by the leaders of the </w:t>
      </w:r>
      <w:r w:rsidR="0017616B" w:rsidRPr="0033597D">
        <w:rPr>
          <w:iCs/>
        </w:rPr>
        <w:t>Refah Partisi</w:t>
      </w:r>
      <w:r w:rsidR="0017616B" w:rsidRPr="00B124DC">
        <w:t xml:space="preserve">, including the then Prime Minister, over their attachment to democratic values, and their advocacy of a plurality of legal systems functioning according to different religious rules for each religious community was perceived in Turkish society as a genuine threat to republican values and civil peace (see </w:t>
      </w:r>
      <w:r w:rsidR="00AA2321" w:rsidRPr="00B124DC">
        <w:rPr>
          <w:i/>
        </w:rPr>
        <w:t>Refah Partisi (the Welfare Party) and Others v. Turkey</w:t>
      </w:r>
      <w:r w:rsidR="00AA2321" w:rsidRPr="00B124DC">
        <w:t xml:space="preserve"> [GC], nos. 41340/98, 41342/</w:t>
      </w:r>
      <w:r w:rsidR="009037BC" w:rsidRPr="00B124DC">
        <w:t>98, 41343/98 and</w:t>
      </w:r>
      <w:r w:rsidR="00515E0B" w:rsidRPr="00B124DC">
        <w:t xml:space="preserve"> </w:t>
      </w:r>
      <w:r w:rsidR="009037BC" w:rsidRPr="00B124DC">
        <w:t xml:space="preserve">41344/98, ECHR </w:t>
      </w:r>
      <w:r w:rsidR="00AA2321" w:rsidRPr="00B124DC">
        <w:t>2003-II).</w:t>
      </w:r>
    </w:p>
    <w:p w:rsidR="0017616B" w:rsidRPr="00B124DC" w:rsidRDefault="0017616B" w:rsidP="0017616B">
      <w:pPr>
        <w:pStyle w:val="JuH1"/>
        <w:keepNext/>
        <w:rPr>
          <w:lang w:val="en-GB"/>
        </w:rPr>
      </w:pPr>
      <w:r w:rsidRPr="00B124DC">
        <w:rPr>
          <w:lang w:val="en-GB"/>
        </w:rPr>
        <w:t xml:space="preserve">2.  The rules on dress in </w:t>
      </w:r>
      <w:r w:rsidR="002A7917" w:rsidRPr="00B124DC">
        <w:rPr>
          <w:lang w:val="en-GB"/>
        </w:rPr>
        <w:t xml:space="preserve">institutions of </w:t>
      </w:r>
      <w:r w:rsidRPr="00B124DC">
        <w:rPr>
          <w:lang w:val="en-GB"/>
        </w:rPr>
        <w:t>higher</w:t>
      </w:r>
      <w:r w:rsidR="002A7917" w:rsidRPr="00B124DC">
        <w:rPr>
          <w:lang w:val="en-GB"/>
        </w:rPr>
        <w:t xml:space="preserve"> </w:t>
      </w:r>
      <w:r w:rsidRPr="00B124DC">
        <w:rPr>
          <w:lang w:val="en-GB"/>
        </w:rPr>
        <w:t xml:space="preserve">education and the case-law of the </w:t>
      </w:r>
      <w:smartTag w:uri="urn:schemas-microsoft-com:office:smarttags" w:element="Street">
        <w:smartTag w:uri="urn:schemas-microsoft-com:office:smarttags" w:element="address">
          <w:r w:rsidRPr="00B124DC">
            <w:rPr>
              <w:lang w:val="en-GB"/>
            </w:rPr>
            <w:t>Constitutional Court</w:t>
          </w:r>
        </w:smartTag>
      </w:smartTag>
    </w:p>
    <w:p w:rsidR="0017616B" w:rsidRPr="00B124DC" w:rsidRDefault="0017616B" w:rsidP="0017616B">
      <w:pPr>
        <w:pStyle w:val="JuParaCharCharCharCharCharCharChar"/>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36</w:t>
      </w:r>
      <w:r w:rsidRPr="00B124DC">
        <w:rPr>
          <w:lang w:val="en-GB"/>
        </w:rPr>
        <w:fldChar w:fldCharType="end"/>
      </w:r>
      <w:r w:rsidRPr="00B124DC">
        <w:rPr>
          <w:lang w:val="en-GB"/>
        </w:rPr>
        <w:t xml:space="preserve">.  The first piece of legislation on dress in </w:t>
      </w:r>
      <w:r w:rsidR="001D350D" w:rsidRPr="00B124DC">
        <w:rPr>
          <w:lang w:val="en-GB"/>
        </w:rPr>
        <w:t>institutions of higher education</w:t>
      </w:r>
      <w:r w:rsidRPr="00B124DC">
        <w:rPr>
          <w:lang w:val="en-GB"/>
        </w:rPr>
        <w:t xml:space="preserve"> was a set of regulations issued by the Cabinet on </w:t>
      </w:r>
      <w:smartTag w:uri="urn:schemas-microsoft-com:office:smarttags" w:element="date">
        <w:smartTagPr>
          <w:attr w:name="Month" w:val="7"/>
          <w:attr w:name="Day" w:val="22"/>
          <w:attr w:name="Year" w:val="1981"/>
        </w:smartTagPr>
        <w:r w:rsidRPr="00B124DC">
          <w:rPr>
            <w:lang w:val="en-GB"/>
          </w:rPr>
          <w:t>22 July 1981</w:t>
        </w:r>
      </w:smartTag>
      <w:r w:rsidRPr="00B124DC">
        <w:rPr>
          <w:lang w:val="en-GB"/>
        </w:rPr>
        <w:t xml:space="preserve"> requir</w:t>
      </w:r>
      <w:r w:rsidR="00B01885" w:rsidRPr="00B124DC">
        <w:rPr>
          <w:lang w:val="en-GB"/>
        </w:rPr>
        <w:t>ing</w:t>
      </w:r>
      <w:r w:rsidRPr="00B124DC">
        <w:rPr>
          <w:lang w:val="en-GB"/>
        </w:rPr>
        <w:t xml:space="preserve"> staff working for public organisations and institutions and personnel and </w:t>
      </w:r>
      <w:r w:rsidR="008C444F" w:rsidRPr="00B124DC">
        <w:rPr>
          <w:lang w:val="en-GB"/>
        </w:rPr>
        <w:t xml:space="preserve">female </w:t>
      </w:r>
      <w:r w:rsidRPr="00B124DC">
        <w:rPr>
          <w:lang w:val="en-GB"/>
        </w:rPr>
        <w:t>students at State institutions to wear ordinary, sober, modern dress. The regulations also provided that female members of staff and students should not wear veils in educational institutions.</w:t>
      </w:r>
    </w:p>
    <w:p w:rsidR="0017616B" w:rsidRPr="00B124DC" w:rsidRDefault="0017616B"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37</w:t>
      </w:r>
      <w:r w:rsidRPr="00B124DC">
        <w:rPr>
          <w:lang w:val="en-GB"/>
        </w:rPr>
        <w:fldChar w:fldCharType="end"/>
      </w:r>
      <w:r w:rsidRPr="00B124DC">
        <w:rPr>
          <w:lang w:val="en-GB"/>
        </w:rPr>
        <w:t xml:space="preserve">.  On </w:t>
      </w:r>
      <w:smartTag w:uri="urn:schemas-microsoft-com:office:smarttags" w:element="date">
        <w:smartTagPr>
          <w:attr w:name="Month" w:val="12"/>
          <w:attr w:name="Day" w:val="20"/>
          <w:attr w:name="Year" w:val="1982"/>
        </w:smartTagPr>
        <w:r w:rsidRPr="00B124DC">
          <w:rPr>
            <w:lang w:val="en-GB"/>
          </w:rPr>
          <w:t>20 December 1982</w:t>
        </w:r>
      </w:smartTag>
      <w:r w:rsidRPr="00B124DC">
        <w:rPr>
          <w:lang w:val="en-GB"/>
        </w:rPr>
        <w:t xml:space="preserve"> the Higher</w:t>
      </w:r>
      <w:r w:rsidR="0033597D">
        <w:rPr>
          <w:lang w:val="en-GB"/>
        </w:rPr>
        <w:t xml:space="preserve"> </w:t>
      </w:r>
      <w:r w:rsidRPr="00B124DC">
        <w:rPr>
          <w:lang w:val="en-GB"/>
        </w:rPr>
        <w:t xml:space="preserve">Education Authority issued a circular on the wearing of headscarves in </w:t>
      </w:r>
      <w:r w:rsidR="002A7917" w:rsidRPr="00B124DC">
        <w:rPr>
          <w:lang w:val="en-GB"/>
        </w:rPr>
        <w:t xml:space="preserve">institutions of </w:t>
      </w:r>
      <w:r w:rsidRPr="00B124DC">
        <w:rPr>
          <w:lang w:val="en-GB"/>
        </w:rPr>
        <w:t>higher</w:t>
      </w:r>
      <w:r w:rsidR="002A7917" w:rsidRPr="00B124DC">
        <w:rPr>
          <w:lang w:val="en-GB"/>
        </w:rPr>
        <w:t xml:space="preserve"> </w:t>
      </w:r>
      <w:r w:rsidRPr="00B124DC">
        <w:rPr>
          <w:lang w:val="en-GB"/>
        </w:rPr>
        <w:t xml:space="preserve">education. The Islamic headscarf was banned in lecture theatres. In a judgment of </w:t>
      </w:r>
      <w:smartTag w:uri="urn:schemas-microsoft-com:office:smarttags" w:element="date">
        <w:smartTagPr>
          <w:attr w:name="Month" w:val="12"/>
          <w:attr w:name="Day" w:val="13"/>
          <w:attr w:name="Year" w:val="1984"/>
        </w:smartTagPr>
        <w:r w:rsidRPr="00B124DC">
          <w:rPr>
            <w:lang w:val="en-GB"/>
          </w:rPr>
          <w:t>13 December 1984</w:t>
        </w:r>
      </w:smartTag>
      <w:r w:rsidRPr="00B124DC">
        <w:rPr>
          <w:lang w:val="en-GB"/>
        </w:rPr>
        <w:t xml:space="preserve">, the </w:t>
      </w:r>
      <w:smartTag w:uri="urn:schemas-microsoft-com:office:smarttags" w:element="Street">
        <w:smartTag w:uri="urn:schemas-microsoft-com:office:smarttags" w:element="address">
          <w:r w:rsidRPr="00B124DC">
            <w:rPr>
              <w:lang w:val="en-GB"/>
            </w:rPr>
            <w:t>Supreme Administrative Court</w:t>
          </w:r>
        </w:smartTag>
      </w:smartTag>
      <w:r w:rsidRPr="00B124DC">
        <w:rPr>
          <w:lang w:val="en-GB"/>
        </w:rPr>
        <w:t xml:space="preserve"> held that the regulations were lawful, noting:</w:t>
      </w:r>
    </w:p>
    <w:p w:rsidR="0017616B" w:rsidRPr="00B124DC" w:rsidRDefault="0017616B" w:rsidP="0017616B">
      <w:pPr>
        <w:pStyle w:val="JuQuot"/>
        <w:rPr>
          <w:lang w:val="en-GB"/>
        </w:rPr>
      </w:pPr>
      <w:r w:rsidRPr="00B124DC">
        <w:rPr>
          <w:lang w:val="en-GB"/>
        </w:rPr>
        <w:t>“Beyond being a mere innocent practice, wearing the headscarf is in the process of becoming the symbol of a vision that is contrary to the freedoms of women and the fundamental principles of the Republic.”</w:t>
      </w:r>
    </w:p>
    <w:p w:rsidR="0017616B" w:rsidRPr="00B124DC" w:rsidRDefault="0017616B"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38</w:t>
      </w:r>
      <w:r w:rsidRPr="00B124DC">
        <w:rPr>
          <w:lang w:val="en-GB"/>
        </w:rPr>
        <w:fldChar w:fldCharType="end"/>
      </w:r>
      <w:r w:rsidRPr="00B124DC">
        <w:rPr>
          <w:lang w:val="en-GB"/>
        </w:rPr>
        <w:t>.  On 10 December 1988 transitional section 16 of the Higher</w:t>
      </w:r>
      <w:r w:rsidR="0033597D">
        <w:rPr>
          <w:lang w:val="en-GB"/>
        </w:rPr>
        <w:t xml:space="preserve"> </w:t>
      </w:r>
      <w:r w:rsidRPr="00B124DC">
        <w:rPr>
          <w:lang w:val="en-GB"/>
        </w:rPr>
        <w:t xml:space="preserve">Education Act (Law no. 2547) </w:t>
      </w:r>
      <w:r w:rsidR="0033597D">
        <w:rPr>
          <w:lang w:val="en-GB"/>
        </w:rPr>
        <w:t>came</w:t>
      </w:r>
      <w:r w:rsidRPr="00B124DC">
        <w:rPr>
          <w:lang w:val="en-GB"/>
        </w:rPr>
        <w:t xml:space="preserve"> into force. It provided:</w:t>
      </w:r>
    </w:p>
    <w:p w:rsidR="0017616B" w:rsidRPr="00B124DC" w:rsidRDefault="0017616B" w:rsidP="0017616B">
      <w:pPr>
        <w:pStyle w:val="JuQuot"/>
        <w:rPr>
          <w:lang w:val="en-GB"/>
        </w:rPr>
      </w:pPr>
      <w:r w:rsidRPr="00B124DC">
        <w:rPr>
          <w:lang w:val="en-GB"/>
        </w:rPr>
        <w:t xml:space="preserve">“Modern dress or appearance shall be compulsory in the rooms and corridors of </w:t>
      </w:r>
      <w:r w:rsidR="001D350D" w:rsidRPr="00B124DC">
        <w:rPr>
          <w:lang w:val="en-GB"/>
        </w:rPr>
        <w:t xml:space="preserve">institutions of </w:t>
      </w:r>
      <w:r w:rsidRPr="00B124DC">
        <w:rPr>
          <w:lang w:val="en-GB"/>
        </w:rPr>
        <w:t>higher</w:t>
      </w:r>
      <w:r w:rsidR="001D350D" w:rsidRPr="00B124DC">
        <w:rPr>
          <w:lang w:val="en-GB"/>
        </w:rPr>
        <w:t xml:space="preserve"> </w:t>
      </w:r>
      <w:r w:rsidRPr="00B124DC">
        <w:rPr>
          <w:lang w:val="en-GB"/>
        </w:rPr>
        <w:t>education, preparatory schools, laboratories, clinics and multidisciplinary clinics. A veil or headscarf covering the neck and hair may be worn out of religious conviction.”</w:t>
      </w:r>
    </w:p>
    <w:p w:rsidR="0017616B" w:rsidRPr="00B124DC" w:rsidRDefault="0017616B"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39</w:t>
      </w:r>
      <w:r w:rsidRPr="00B124DC">
        <w:rPr>
          <w:lang w:val="en-GB"/>
        </w:rPr>
        <w:fldChar w:fldCharType="end"/>
      </w:r>
      <w:r w:rsidRPr="00B124DC">
        <w:rPr>
          <w:lang w:val="en-GB"/>
        </w:rPr>
        <w:t>.  In a judgment of 7 March 1989 published in the Official Gazette of 5 July 1989, the Constitutional Court held that the aforementioned provision was contrary to Articles 2 (secularism), 1</w:t>
      </w:r>
      <w:r w:rsidR="00AA2321" w:rsidRPr="00B124DC">
        <w:rPr>
          <w:lang w:val="en-GB"/>
        </w:rPr>
        <w:t>0 (equality before the law) and</w:t>
      </w:r>
      <w:r w:rsidR="0043110F">
        <w:rPr>
          <w:lang w:val="en-GB"/>
        </w:rPr>
        <w:t xml:space="preserve"> </w:t>
      </w:r>
      <w:r w:rsidRPr="00B124DC">
        <w:rPr>
          <w:lang w:val="en-GB"/>
        </w:rPr>
        <w:t xml:space="preserve">24 (freedom of religion) of the Constitution. It also found that it could not be reconciled with the principle of sexual equality implicit, </w:t>
      </w:r>
      <w:r w:rsidRPr="00B124DC">
        <w:rPr>
          <w:i/>
          <w:lang w:val="en-GB"/>
        </w:rPr>
        <w:t>inter alia</w:t>
      </w:r>
      <w:r w:rsidRPr="00B124DC">
        <w:rPr>
          <w:lang w:val="en-GB"/>
        </w:rPr>
        <w:t xml:space="preserve">, in republican and revolutionary values (see </w:t>
      </w:r>
      <w:r w:rsidR="000C2394" w:rsidRPr="00B124DC">
        <w:rPr>
          <w:lang w:val="en-GB"/>
        </w:rPr>
        <w:t>Preamble and Article</w:t>
      </w:r>
      <w:r w:rsidR="000C2394">
        <w:rPr>
          <w:lang w:val="en-GB"/>
        </w:rPr>
        <w:t xml:space="preserve"> </w:t>
      </w:r>
      <w:r w:rsidR="000C2394" w:rsidRPr="00B124DC">
        <w:rPr>
          <w:lang w:val="en-GB"/>
        </w:rPr>
        <w:t>174</w:t>
      </w:r>
      <w:r w:rsidR="000C2394">
        <w:rPr>
          <w:lang w:val="en-GB"/>
        </w:rPr>
        <w:t xml:space="preserve"> of the Constitution</w:t>
      </w:r>
      <w:r w:rsidRPr="00B124DC">
        <w:rPr>
          <w:lang w:val="en-GB"/>
        </w:rPr>
        <w:t>).</w:t>
      </w:r>
    </w:p>
    <w:p w:rsidR="0017616B" w:rsidRPr="00B124DC" w:rsidRDefault="0017616B" w:rsidP="00932AF2">
      <w:pPr>
        <w:pStyle w:val="JuPara"/>
        <w:rPr>
          <w:lang w:val="en-GB"/>
        </w:rPr>
      </w:pPr>
      <w:r w:rsidRPr="00B124DC">
        <w:rPr>
          <w:lang w:val="en-GB"/>
        </w:rPr>
        <w:t xml:space="preserve">In their judgment, the </w:t>
      </w:r>
      <w:smartTag w:uri="urn:schemas-microsoft-com:office:smarttags" w:element="Street">
        <w:smartTag w:uri="urn:schemas-microsoft-com:office:smarttags" w:element="address">
          <w:r w:rsidRPr="00B124DC">
            <w:rPr>
              <w:lang w:val="en-GB"/>
            </w:rPr>
            <w:t>Constitutional Court</w:t>
          </w:r>
        </w:smartTag>
      </w:smartTag>
      <w:r w:rsidRPr="00B124DC">
        <w:rPr>
          <w:lang w:val="en-GB"/>
        </w:rPr>
        <w:t xml:space="preserve"> judges explained, firstly, that secularism had acquired constitutional status by reason of the historical experience of the country and the particularities of Islam compared to other religions; secularism was an essential condition for democracy and acted as a guarantor of freedom of religion and of equality before the law. It also prevented the State from showing a preference for a </w:t>
      </w:r>
      <w:r w:rsidR="00C015FC" w:rsidRPr="00B124DC">
        <w:rPr>
          <w:lang w:val="en-GB"/>
        </w:rPr>
        <w:t xml:space="preserve">particular </w:t>
      </w:r>
      <w:r w:rsidRPr="00B124DC">
        <w:rPr>
          <w:lang w:val="en-GB"/>
        </w:rPr>
        <w:t xml:space="preserve">religion or belief; consequently, a secular </w:t>
      </w:r>
      <w:r w:rsidR="00666F2D" w:rsidRPr="00B124DC">
        <w:rPr>
          <w:lang w:val="en-GB"/>
        </w:rPr>
        <w:t xml:space="preserve">State </w:t>
      </w:r>
      <w:r w:rsidRPr="00B124DC">
        <w:rPr>
          <w:lang w:val="en-GB"/>
        </w:rPr>
        <w:t>could not invoke religious conviction when performing its legislative function.</w:t>
      </w:r>
      <w:r w:rsidR="008C444F" w:rsidRPr="00B124DC">
        <w:rPr>
          <w:lang w:val="en-GB"/>
        </w:rPr>
        <w:t xml:space="preserve"> They stated, </w:t>
      </w:r>
      <w:r w:rsidR="008C444F" w:rsidRPr="00B124DC">
        <w:rPr>
          <w:i/>
          <w:lang w:val="en-GB"/>
        </w:rPr>
        <w:t>inter alia</w:t>
      </w:r>
      <w:r w:rsidR="008C444F" w:rsidRPr="00B124DC">
        <w:rPr>
          <w:lang w:val="en-GB"/>
        </w:rPr>
        <w:t>:</w:t>
      </w:r>
    </w:p>
    <w:p w:rsidR="008C444F" w:rsidRPr="00B124DC" w:rsidRDefault="008C444F" w:rsidP="008C444F">
      <w:pPr>
        <w:pStyle w:val="JuQuot"/>
        <w:rPr>
          <w:lang w:val="en-GB"/>
        </w:rPr>
      </w:pPr>
      <w:r w:rsidRPr="00B124DC">
        <w:rPr>
          <w:lang w:val="en-GB"/>
        </w:rPr>
        <w:t>“</w:t>
      </w:r>
      <w:r w:rsidR="00A97700" w:rsidRPr="00B124DC">
        <w:rPr>
          <w:lang w:val="en-GB"/>
        </w:rPr>
        <w:t xml:space="preserve">Secularism is the civil organiser of political, social and cultural life, based on national sovereignty, democracy, freedom and </w:t>
      </w:r>
      <w:r w:rsidRPr="00B124DC">
        <w:rPr>
          <w:lang w:val="en-GB"/>
        </w:rPr>
        <w:t xml:space="preserve">science. </w:t>
      </w:r>
      <w:r w:rsidR="00E03460" w:rsidRPr="00B124DC">
        <w:rPr>
          <w:lang w:val="en-GB"/>
        </w:rPr>
        <w:t xml:space="preserve">Secularism is the principle </w:t>
      </w:r>
      <w:r w:rsidR="00B01885" w:rsidRPr="00B124DC">
        <w:rPr>
          <w:lang w:val="en-GB"/>
        </w:rPr>
        <w:t>which</w:t>
      </w:r>
      <w:r w:rsidR="00E03460" w:rsidRPr="00B124DC">
        <w:rPr>
          <w:lang w:val="en-GB"/>
        </w:rPr>
        <w:t xml:space="preserve"> offers the individual the possibility to affirm his or her own personality th</w:t>
      </w:r>
      <w:r w:rsidR="000F779A" w:rsidRPr="00B124DC">
        <w:rPr>
          <w:lang w:val="en-GB"/>
        </w:rPr>
        <w:t>rough</w:t>
      </w:r>
      <w:r w:rsidR="00E03460" w:rsidRPr="00B124DC">
        <w:rPr>
          <w:lang w:val="en-GB"/>
        </w:rPr>
        <w:t xml:space="preserve"> freedom of thought and </w:t>
      </w:r>
      <w:r w:rsidR="00B01885" w:rsidRPr="00B124DC">
        <w:rPr>
          <w:lang w:val="en-GB"/>
        </w:rPr>
        <w:t>which</w:t>
      </w:r>
      <w:r w:rsidR="00E03460" w:rsidRPr="00B124DC">
        <w:rPr>
          <w:lang w:val="en-GB"/>
        </w:rPr>
        <w:t xml:space="preserve">, by </w:t>
      </w:r>
      <w:r w:rsidR="000F779A" w:rsidRPr="00B124DC">
        <w:rPr>
          <w:lang w:val="en-GB"/>
        </w:rPr>
        <w:t>the</w:t>
      </w:r>
      <w:r w:rsidR="00E03460" w:rsidRPr="00B124DC">
        <w:rPr>
          <w:lang w:val="en-GB"/>
        </w:rPr>
        <w:t xml:space="preserve"> distinction </w:t>
      </w:r>
      <w:r w:rsidR="000F779A" w:rsidRPr="00B124DC">
        <w:rPr>
          <w:lang w:val="en-GB"/>
        </w:rPr>
        <w:t xml:space="preserve">it makes </w:t>
      </w:r>
      <w:r w:rsidR="00E03460" w:rsidRPr="00B124DC">
        <w:rPr>
          <w:lang w:val="en-GB"/>
        </w:rPr>
        <w:t>between politics and religious beliefs</w:t>
      </w:r>
      <w:r w:rsidRPr="00B124DC">
        <w:rPr>
          <w:lang w:val="en-GB"/>
        </w:rPr>
        <w:t xml:space="preserve">, </w:t>
      </w:r>
      <w:r w:rsidR="00E03460" w:rsidRPr="00B124DC">
        <w:rPr>
          <w:lang w:val="en-GB"/>
        </w:rPr>
        <w:t>renders freedom of conscience and religion effective. In societ</w:t>
      </w:r>
      <w:r w:rsidR="00B01885" w:rsidRPr="00B124DC">
        <w:rPr>
          <w:lang w:val="en-GB"/>
        </w:rPr>
        <w:t>ies</w:t>
      </w:r>
      <w:r w:rsidR="00E03460" w:rsidRPr="00B124DC">
        <w:rPr>
          <w:lang w:val="en-GB"/>
        </w:rPr>
        <w:t xml:space="preserve"> based on religion, which function with religious thought and </w:t>
      </w:r>
      <w:r w:rsidR="0013531D" w:rsidRPr="00B124DC">
        <w:rPr>
          <w:lang w:val="en-GB"/>
        </w:rPr>
        <w:t xml:space="preserve">religious </w:t>
      </w:r>
      <w:r w:rsidR="00E03460" w:rsidRPr="00B124DC">
        <w:rPr>
          <w:lang w:val="en-GB"/>
        </w:rPr>
        <w:t xml:space="preserve">rules, political organisation is religious in character. In a secular regime, religion is </w:t>
      </w:r>
      <w:r w:rsidR="0013531D" w:rsidRPr="00B124DC">
        <w:rPr>
          <w:lang w:val="en-GB"/>
        </w:rPr>
        <w:t>shielded</w:t>
      </w:r>
      <w:r w:rsidR="00E03460" w:rsidRPr="00B124DC">
        <w:rPr>
          <w:lang w:val="en-GB"/>
        </w:rPr>
        <w:t xml:space="preserve"> from a political role. It is not a tool of the authorities and </w:t>
      </w:r>
      <w:r w:rsidR="0027764D" w:rsidRPr="00B124DC">
        <w:rPr>
          <w:lang w:val="en-GB"/>
        </w:rPr>
        <w:t>remains</w:t>
      </w:r>
      <w:r w:rsidR="00E03460" w:rsidRPr="00B124DC">
        <w:rPr>
          <w:lang w:val="en-GB"/>
        </w:rPr>
        <w:t xml:space="preserve"> in its respectable place, to be determined by the conscience of each and every</w:t>
      </w:r>
      <w:r w:rsidR="006B07A7" w:rsidRPr="00B124DC">
        <w:rPr>
          <w:lang w:val="en-GB"/>
        </w:rPr>
        <w:t>one</w:t>
      </w:r>
      <w:r w:rsidR="0033597D">
        <w:rPr>
          <w:lang w:val="en-GB"/>
        </w:rPr>
        <w:t xml:space="preserve"> </w:t>
      </w:r>
      <w:r w:rsidRPr="00B124DC">
        <w:rPr>
          <w:lang w:val="en-GB"/>
        </w:rPr>
        <w:t>...”</w:t>
      </w:r>
    </w:p>
    <w:p w:rsidR="0017616B" w:rsidRPr="00B124DC" w:rsidRDefault="0017616B" w:rsidP="00932AF2">
      <w:pPr>
        <w:pStyle w:val="JuPara"/>
        <w:rPr>
          <w:lang w:val="en-GB"/>
        </w:rPr>
      </w:pPr>
      <w:r w:rsidRPr="00B124DC">
        <w:rPr>
          <w:lang w:val="en-GB"/>
        </w:rPr>
        <w:t xml:space="preserve">Stressing its inviolable nature, the </w:t>
      </w:r>
      <w:smartTag w:uri="urn:schemas-microsoft-com:office:smarttags" w:element="Street">
        <w:smartTag w:uri="urn:schemas-microsoft-com:office:smarttags" w:element="address">
          <w:r w:rsidRPr="00B124DC">
            <w:rPr>
              <w:lang w:val="en-GB"/>
            </w:rPr>
            <w:t>Constitutional Court</w:t>
          </w:r>
        </w:smartTag>
      </w:smartTag>
      <w:r w:rsidRPr="00B124DC">
        <w:rPr>
          <w:lang w:val="en-GB"/>
        </w:rPr>
        <w:t xml:space="preserve"> observed that freedom of religion, conscience and worship, which could not be </w:t>
      </w:r>
      <w:r w:rsidR="007D0344" w:rsidRPr="00B124DC">
        <w:rPr>
          <w:lang w:val="en-GB"/>
        </w:rPr>
        <w:t>equated with</w:t>
      </w:r>
      <w:r w:rsidRPr="00B124DC">
        <w:rPr>
          <w:lang w:val="en-GB"/>
        </w:rPr>
        <w:t xml:space="preserve"> a right to wear any particular religious attire, guaranteed first and foremost the liberty to decide whether or not to follow a religion. It explained that, once outside the private sphere of individual conscience, freedom to manifest one</w:t>
      </w:r>
      <w:r w:rsidR="0006350D">
        <w:rPr>
          <w:lang w:val="en-GB"/>
        </w:rPr>
        <w:t>’</w:t>
      </w:r>
      <w:r w:rsidRPr="00B124DC">
        <w:rPr>
          <w:lang w:val="en-GB"/>
        </w:rPr>
        <w:t>s religion could be restricted on public-order grounds to defend the principle of secularism.</w:t>
      </w:r>
    </w:p>
    <w:p w:rsidR="0017616B" w:rsidRPr="00B124DC" w:rsidRDefault="00343F1E" w:rsidP="00932AF2">
      <w:pPr>
        <w:pStyle w:val="JuPara"/>
        <w:rPr>
          <w:lang w:val="en-GB"/>
        </w:rPr>
      </w:pPr>
      <w:r w:rsidRPr="00B124DC">
        <w:rPr>
          <w:lang w:val="en-GB"/>
        </w:rPr>
        <w:t xml:space="preserve">Everyone </w:t>
      </w:r>
      <w:r w:rsidR="0017616B" w:rsidRPr="00B124DC">
        <w:rPr>
          <w:lang w:val="en-GB"/>
        </w:rPr>
        <w:t xml:space="preserve">was free to </w:t>
      </w:r>
      <w:r w:rsidR="00DC3AE0" w:rsidRPr="00B124DC">
        <w:rPr>
          <w:lang w:val="en-GB"/>
        </w:rPr>
        <w:t xml:space="preserve">choose how to </w:t>
      </w:r>
      <w:r w:rsidR="0017616B" w:rsidRPr="00B124DC">
        <w:rPr>
          <w:lang w:val="en-GB"/>
        </w:rPr>
        <w:t xml:space="preserve">dress, as the social and religious values and traditions of society also had to be respected. However, when a particular dress code was imposed on individuals by reference to a religion, the religion concerned was perceived and presented as a set of values that were incompatible with those of contemporary society. In addition, in </w:t>
      </w:r>
      <w:smartTag w:uri="urn:schemas-microsoft-com:office:smarttags" w:element="country-region">
        <w:smartTag w:uri="urn:schemas-microsoft-com:office:smarttags" w:element="place">
          <w:r w:rsidR="0017616B" w:rsidRPr="00B124DC">
            <w:rPr>
              <w:lang w:val="en-GB"/>
            </w:rPr>
            <w:t>Turkey</w:t>
          </w:r>
        </w:smartTag>
      </w:smartTag>
      <w:r w:rsidR="0017616B" w:rsidRPr="00B124DC">
        <w:rPr>
          <w:lang w:val="en-GB"/>
        </w:rPr>
        <w:t xml:space="preserve">, where the majority of the population were Muslims, presenting the wearing of the Islamic headscarf as a mandatory religious duty would result in discrimination between practising Muslims, non-practising Muslims and non-believers on grounds of dress with anyone who refused to wear the headscarf undoubtedly being regarded as opposed to religion or as </w:t>
      </w:r>
      <w:r w:rsidR="000C2394">
        <w:rPr>
          <w:lang w:val="en-GB"/>
        </w:rPr>
        <w:t>non-religious</w:t>
      </w:r>
      <w:r w:rsidR="0017616B" w:rsidRPr="00B124DC">
        <w:rPr>
          <w:lang w:val="en-GB"/>
        </w:rPr>
        <w:t>.</w:t>
      </w:r>
    </w:p>
    <w:p w:rsidR="0017616B" w:rsidRPr="00B124DC" w:rsidRDefault="0017616B" w:rsidP="00932AF2">
      <w:pPr>
        <w:pStyle w:val="JuPara"/>
        <w:rPr>
          <w:lang w:val="en-GB"/>
        </w:rPr>
      </w:pPr>
      <w:r w:rsidRPr="00B124DC">
        <w:rPr>
          <w:lang w:val="en-GB"/>
        </w:rPr>
        <w:t xml:space="preserve">The </w:t>
      </w:r>
      <w:smartTag w:uri="urn:schemas-microsoft-com:office:smarttags" w:element="Street">
        <w:smartTag w:uri="urn:schemas-microsoft-com:office:smarttags" w:element="address">
          <w:r w:rsidRPr="00B124DC">
            <w:rPr>
              <w:lang w:val="en-GB"/>
            </w:rPr>
            <w:t>Constitutional Court</w:t>
          </w:r>
        </w:smartTag>
      </w:smartTag>
      <w:r w:rsidRPr="00B124DC">
        <w:rPr>
          <w:lang w:val="en-GB"/>
        </w:rPr>
        <w:t xml:space="preserve"> also said that students had to be </w:t>
      </w:r>
      <w:r w:rsidR="00F40AAE" w:rsidRPr="00B124DC">
        <w:rPr>
          <w:lang w:val="en-GB"/>
        </w:rPr>
        <w:t>permitted</w:t>
      </w:r>
      <w:r w:rsidRPr="00B124DC">
        <w:rPr>
          <w:lang w:val="en-GB"/>
        </w:rPr>
        <w:t xml:space="preserve"> to work and pursue their education together in a calm, tolerant and mutually supportive atmosphere without being deflected from that goal by signs of religious affiliation. It found that, irrespective of whether the Islamic headscarf was a precept of Islam, granting legal recognition to a religious symbol of that type in </w:t>
      </w:r>
      <w:r w:rsidR="001D350D" w:rsidRPr="00B124DC">
        <w:rPr>
          <w:lang w:val="en-GB"/>
        </w:rPr>
        <w:t>institutions of higher education</w:t>
      </w:r>
      <w:r w:rsidRPr="00B124DC">
        <w:rPr>
          <w:lang w:val="en-GB"/>
        </w:rPr>
        <w:t xml:space="preserve"> was not compatible with the principle that State education must be neutral, as it would be liable to generate conflicts between students with differing religious convictions or beliefs.</w:t>
      </w:r>
    </w:p>
    <w:p w:rsidR="0017616B" w:rsidRPr="00B124DC" w:rsidRDefault="0017616B"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40</w:t>
      </w:r>
      <w:r w:rsidRPr="00B124DC">
        <w:rPr>
          <w:lang w:val="en-GB"/>
        </w:rPr>
        <w:fldChar w:fldCharType="end"/>
      </w:r>
      <w:r w:rsidRPr="00B124DC">
        <w:rPr>
          <w:lang w:val="en-GB"/>
        </w:rPr>
        <w:t xml:space="preserve">.  On </w:t>
      </w:r>
      <w:smartTag w:uri="urn:schemas-microsoft-com:office:smarttags" w:element="date">
        <w:smartTagPr>
          <w:attr w:name="Month" w:val="10"/>
          <w:attr w:name="Day" w:val="25"/>
          <w:attr w:name="Year" w:val="1990"/>
        </w:smartTagPr>
        <w:r w:rsidRPr="00B124DC">
          <w:rPr>
            <w:lang w:val="en-GB"/>
          </w:rPr>
          <w:t>25 October 1990</w:t>
        </w:r>
      </w:smartTag>
      <w:r w:rsidRPr="00B124DC">
        <w:rPr>
          <w:lang w:val="en-GB"/>
        </w:rPr>
        <w:t xml:space="preserve"> transitional section 17 of Law no. 2547 </w:t>
      </w:r>
      <w:r w:rsidR="0033597D">
        <w:rPr>
          <w:lang w:val="en-GB"/>
        </w:rPr>
        <w:t>came</w:t>
      </w:r>
      <w:r w:rsidRPr="00B124DC">
        <w:rPr>
          <w:lang w:val="en-GB"/>
        </w:rPr>
        <w:t xml:space="preserve"> into force. It provides:</w:t>
      </w:r>
    </w:p>
    <w:p w:rsidR="0017616B" w:rsidRPr="00B124DC" w:rsidRDefault="0017616B" w:rsidP="0017616B">
      <w:pPr>
        <w:pStyle w:val="JuQuot"/>
        <w:rPr>
          <w:lang w:val="en-GB"/>
        </w:rPr>
      </w:pPr>
      <w:r w:rsidRPr="00B124DC">
        <w:rPr>
          <w:lang w:val="en-GB"/>
        </w:rPr>
        <w:t xml:space="preserve">“Choice of dress shall be free in </w:t>
      </w:r>
      <w:r w:rsidR="001D350D" w:rsidRPr="00B124DC">
        <w:rPr>
          <w:lang w:val="en-GB"/>
        </w:rPr>
        <w:t>institutions of higher education</w:t>
      </w:r>
      <w:r w:rsidRPr="00B124DC">
        <w:rPr>
          <w:lang w:val="en-GB"/>
        </w:rPr>
        <w:t>, provided that it does not contravene the laws in force.”</w:t>
      </w:r>
    </w:p>
    <w:p w:rsidR="0017616B" w:rsidRPr="00B124DC" w:rsidRDefault="0017616B"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41</w:t>
      </w:r>
      <w:r w:rsidRPr="00B124DC">
        <w:rPr>
          <w:lang w:val="en-GB"/>
        </w:rPr>
        <w:fldChar w:fldCharType="end"/>
      </w:r>
      <w:r w:rsidRPr="00B124DC">
        <w:rPr>
          <w:lang w:val="en-GB"/>
        </w:rPr>
        <w:t xml:space="preserve">.  In a judgment of 9 April 1991, which was published in the Official Gazette of 31 July 1991, the Constitutional Court noted that, in the light of the principles it had established in its judgment of 7 March 1989, the aforementioned provision did not allow headscarves to be worn in </w:t>
      </w:r>
      <w:r w:rsidR="001D350D" w:rsidRPr="00B124DC">
        <w:rPr>
          <w:lang w:val="en-GB"/>
        </w:rPr>
        <w:t>institutions of higher education</w:t>
      </w:r>
      <w:r w:rsidRPr="00B124DC">
        <w:rPr>
          <w:lang w:val="en-GB"/>
        </w:rPr>
        <w:t xml:space="preserve"> on religious grounds and so was consistent with the Constitution. It stated, </w:t>
      </w:r>
      <w:r w:rsidRPr="00B124DC">
        <w:rPr>
          <w:i/>
          <w:lang w:val="en-GB"/>
        </w:rPr>
        <w:t>inter alia</w:t>
      </w:r>
      <w:r w:rsidRPr="00B124DC">
        <w:rPr>
          <w:lang w:val="en-GB"/>
        </w:rPr>
        <w:t>:</w:t>
      </w:r>
    </w:p>
    <w:p w:rsidR="0017616B" w:rsidRPr="00B124DC" w:rsidRDefault="0017616B" w:rsidP="0017616B">
      <w:pPr>
        <w:pStyle w:val="JuQuot"/>
        <w:rPr>
          <w:lang w:val="en-GB"/>
        </w:rPr>
      </w:pPr>
      <w:r w:rsidRPr="00B124DC">
        <w:rPr>
          <w:lang w:val="en-GB"/>
        </w:rPr>
        <w:t>“</w:t>
      </w:r>
      <w:r w:rsidR="00F91C66" w:rsidRPr="00B124DC">
        <w:rPr>
          <w:lang w:val="en-GB"/>
        </w:rPr>
        <w:t xml:space="preserve">... </w:t>
      </w:r>
      <w:r w:rsidR="00C619A4" w:rsidRPr="00B124DC">
        <w:rPr>
          <w:lang w:val="en-GB"/>
        </w:rPr>
        <w:t xml:space="preserve">the </w:t>
      </w:r>
      <w:r w:rsidR="00F91C66" w:rsidRPr="00B124DC">
        <w:rPr>
          <w:lang w:val="en-GB"/>
        </w:rPr>
        <w:t xml:space="preserve">expression </w:t>
      </w:r>
      <w:r w:rsidR="0006350D">
        <w:rPr>
          <w:lang w:val="en-GB"/>
        </w:rPr>
        <w:t>‘</w:t>
      </w:r>
      <w:r w:rsidR="00F91C66" w:rsidRPr="00B124DC">
        <w:rPr>
          <w:lang w:val="en-GB"/>
        </w:rPr>
        <w:t>l</w:t>
      </w:r>
      <w:r w:rsidR="00C619A4" w:rsidRPr="00B124DC">
        <w:rPr>
          <w:lang w:val="en-GB"/>
        </w:rPr>
        <w:t>aws in force</w:t>
      </w:r>
      <w:r w:rsidR="0006350D">
        <w:rPr>
          <w:lang w:val="en-GB"/>
        </w:rPr>
        <w:t>’</w:t>
      </w:r>
      <w:r w:rsidR="00F91C66" w:rsidRPr="00B124DC">
        <w:rPr>
          <w:lang w:val="en-GB"/>
        </w:rPr>
        <w:t xml:space="preserve"> </w:t>
      </w:r>
      <w:r w:rsidR="00C619A4" w:rsidRPr="00B124DC">
        <w:rPr>
          <w:lang w:val="en-GB"/>
        </w:rPr>
        <w:t>refers first and foremost to the</w:t>
      </w:r>
      <w:r w:rsidR="00F91C66" w:rsidRPr="00B124DC">
        <w:rPr>
          <w:lang w:val="en-GB"/>
        </w:rPr>
        <w:t xml:space="preserve"> Constitution</w:t>
      </w:r>
      <w:r w:rsidR="0033597D">
        <w:rPr>
          <w:lang w:val="en-GB"/>
        </w:rPr>
        <w:t xml:space="preserve"> </w:t>
      </w:r>
      <w:r w:rsidR="00F91C66" w:rsidRPr="00B124DC">
        <w:rPr>
          <w:lang w:val="en-GB"/>
        </w:rPr>
        <w:t xml:space="preserve">... </w:t>
      </w:r>
      <w:r w:rsidRPr="00B124DC">
        <w:rPr>
          <w:lang w:val="en-GB"/>
        </w:rPr>
        <w:t xml:space="preserve">In </w:t>
      </w:r>
      <w:r w:rsidR="001D350D" w:rsidRPr="00B124DC">
        <w:rPr>
          <w:lang w:val="en-GB"/>
        </w:rPr>
        <w:t>institutions of higher education</w:t>
      </w:r>
      <w:r w:rsidRPr="00B124DC">
        <w:rPr>
          <w:lang w:val="en-GB"/>
        </w:rPr>
        <w:t xml:space="preserve">, it is contrary to the principles of secularism and equality for the neck and hair to be covered with a veil or headscarf on grounds of religious </w:t>
      </w:r>
      <w:r w:rsidR="00584D8F" w:rsidRPr="00B124DC">
        <w:rPr>
          <w:lang w:val="en-GB"/>
        </w:rPr>
        <w:t>conviction</w:t>
      </w:r>
      <w:r w:rsidRPr="00B124DC">
        <w:rPr>
          <w:lang w:val="en-GB"/>
        </w:rPr>
        <w:t xml:space="preserve">. In these circumstances, the freedom of dress which the impugned provision permits in </w:t>
      </w:r>
      <w:r w:rsidR="001D350D" w:rsidRPr="00B124DC">
        <w:rPr>
          <w:lang w:val="en-GB"/>
        </w:rPr>
        <w:t>institutions of higher education</w:t>
      </w:r>
      <w:r w:rsidRPr="00B124DC">
        <w:rPr>
          <w:lang w:val="en-GB"/>
        </w:rPr>
        <w:t xml:space="preserve"> </w:t>
      </w:r>
      <w:r w:rsidR="0006350D">
        <w:rPr>
          <w:lang w:val="en-GB"/>
        </w:rPr>
        <w:t>‘</w:t>
      </w:r>
      <w:r w:rsidRPr="00B124DC">
        <w:rPr>
          <w:lang w:val="en-GB"/>
        </w:rPr>
        <w:t>does not concern dress of a religious nature or the act of covering one</w:t>
      </w:r>
      <w:r w:rsidR="0006350D">
        <w:rPr>
          <w:lang w:val="en-GB"/>
        </w:rPr>
        <w:t>’</w:t>
      </w:r>
      <w:r w:rsidRPr="00B124DC">
        <w:rPr>
          <w:lang w:val="en-GB"/>
        </w:rPr>
        <w:t>s neck and hair with a veil and headscarf</w:t>
      </w:r>
      <w:r w:rsidR="0006350D">
        <w:rPr>
          <w:lang w:val="en-GB"/>
        </w:rPr>
        <w:t>’</w:t>
      </w:r>
      <w:r w:rsidR="0033597D">
        <w:rPr>
          <w:lang w:val="en-GB"/>
        </w:rPr>
        <w:t xml:space="preserve"> </w:t>
      </w:r>
      <w:r w:rsidR="00B61060" w:rsidRPr="00B124DC">
        <w:rPr>
          <w:lang w:val="en-GB"/>
        </w:rPr>
        <w:t>...</w:t>
      </w:r>
      <w:r w:rsidRPr="00B124DC">
        <w:rPr>
          <w:lang w:val="en-GB"/>
        </w:rPr>
        <w:t xml:space="preserve"> The freedom afforded by this provision [transitional section 17] is conditional on its not being contrary to </w:t>
      </w:r>
      <w:r w:rsidR="000C2394">
        <w:rPr>
          <w:lang w:val="en-GB"/>
        </w:rPr>
        <w:t>‘</w:t>
      </w:r>
      <w:r w:rsidRPr="00B124DC">
        <w:rPr>
          <w:lang w:val="en-GB"/>
        </w:rPr>
        <w:t>the laws in force</w:t>
      </w:r>
      <w:r w:rsidR="0006350D">
        <w:rPr>
          <w:lang w:val="en-GB"/>
        </w:rPr>
        <w:t>’</w:t>
      </w:r>
      <w:r w:rsidRPr="00B124DC">
        <w:rPr>
          <w:lang w:val="en-GB"/>
        </w:rPr>
        <w:t xml:space="preserve">. The judgment [of </w:t>
      </w:r>
      <w:smartTag w:uri="urn:schemas-microsoft-com:office:smarttags" w:element="date">
        <w:smartTagPr>
          <w:attr w:name="Month" w:val="3"/>
          <w:attr w:name="Day" w:val="7"/>
          <w:attr w:name="Year" w:val="1989"/>
        </w:smartTagPr>
        <w:r w:rsidRPr="00B124DC">
          <w:rPr>
            <w:lang w:val="en-GB"/>
          </w:rPr>
          <w:t>7 March 1989</w:t>
        </w:r>
      </w:smartTag>
      <w:r w:rsidRPr="00B124DC">
        <w:rPr>
          <w:lang w:val="en-GB"/>
        </w:rPr>
        <w:t xml:space="preserve">] of the </w:t>
      </w:r>
      <w:smartTag w:uri="urn:schemas-microsoft-com:office:smarttags" w:element="Street">
        <w:smartTag w:uri="urn:schemas-microsoft-com:office:smarttags" w:element="address">
          <w:r w:rsidRPr="00B124DC">
            <w:rPr>
              <w:lang w:val="en-GB"/>
            </w:rPr>
            <w:t>Constitutional Court</w:t>
          </w:r>
        </w:smartTag>
      </w:smartTag>
      <w:r w:rsidRPr="00B124DC">
        <w:rPr>
          <w:lang w:val="en-GB"/>
        </w:rPr>
        <w:t xml:space="preserve"> establishes that covering one</w:t>
      </w:r>
      <w:r w:rsidR="0006350D">
        <w:rPr>
          <w:lang w:val="en-GB"/>
        </w:rPr>
        <w:t>’</w:t>
      </w:r>
      <w:r w:rsidRPr="00B124DC">
        <w:rPr>
          <w:lang w:val="en-GB"/>
        </w:rPr>
        <w:t xml:space="preserve">s neck and hair with the headscarf is first and foremost contrary to the Constitution. Consequently, the condition set out in the aforementioned section requiring [choice of] dress not to contravene the laws in force removes from the scope of freedom of dress the act of </w:t>
      </w:r>
      <w:r w:rsidR="0006350D">
        <w:rPr>
          <w:lang w:val="en-GB"/>
        </w:rPr>
        <w:t>‘</w:t>
      </w:r>
      <w:r w:rsidRPr="00B124DC">
        <w:rPr>
          <w:lang w:val="en-GB"/>
        </w:rPr>
        <w:t>covering one</w:t>
      </w:r>
      <w:r w:rsidR="0006350D">
        <w:rPr>
          <w:lang w:val="en-GB"/>
        </w:rPr>
        <w:t>’</w:t>
      </w:r>
      <w:r w:rsidRPr="00B124DC">
        <w:rPr>
          <w:lang w:val="en-GB"/>
        </w:rPr>
        <w:t>s neck and hair with the headscarf</w:t>
      </w:r>
      <w:r w:rsidR="0006350D">
        <w:rPr>
          <w:lang w:val="en-GB"/>
        </w:rPr>
        <w:t>’</w:t>
      </w:r>
      <w:r w:rsidR="0033597D">
        <w:rPr>
          <w:lang w:val="en-GB"/>
        </w:rPr>
        <w:t xml:space="preserve"> </w:t>
      </w:r>
      <w:r w:rsidR="00B61060" w:rsidRPr="00B124DC">
        <w:rPr>
          <w:lang w:val="en-GB"/>
        </w:rPr>
        <w:t>...</w:t>
      </w:r>
      <w:r w:rsidRPr="00B124DC">
        <w:rPr>
          <w:lang w:val="en-GB"/>
        </w:rPr>
        <w:t>”</w:t>
      </w:r>
    </w:p>
    <w:p w:rsidR="0017616B" w:rsidRPr="00B124DC" w:rsidRDefault="0017616B" w:rsidP="0017616B">
      <w:pPr>
        <w:pStyle w:val="JuH1"/>
        <w:keepNext/>
        <w:rPr>
          <w:lang w:val="en-GB"/>
        </w:rPr>
      </w:pPr>
      <w:r w:rsidRPr="00B124DC">
        <w:rPr>
          <w:lang w:val="en-GB"/>
        </w:rPr>
        <w:t xml:space="preserve">3.  Application of the regulations at </w:t>
      </w:r>
      <w:smartTag w:uri="urn:schemas-microsoft-com:office:smarttags" w:element="place">
        <w:smartTag w:uri="urn:schemas-microsoft-com:office:smarttags" w:element="PlaceName">
          <w:r w:rsidRPr="00B124DC">
            <w:rPr>
              <w:lang w:val="en-GB"/>
            </w:rPr>
            <w:t>Istanbul</w:t>
          </w:r>
        </w:smartTag>
        <w:r w:rsidRPr="00B124DC">
          <w:rPr>
            <w:lang w:val="en-GB"/>
          </w:rPr>
          <w:t xml:space="preserve"> </w:t>
        </w:r>
        <w:smartTag w:uri="urn:schemas-microsoft-com:office:smarttags" w:element="PlaceType">
          <w:r w:rsidRPr="00B124DC">
            <w:rPr>
              <w:lang w:val="en-GB"/>
            </w:rPr>
            <w:t>University</w:t>
          </w:r>
        </w:smartTag>
      </w:smartTag>
    </w:p>
    <w:p w:rsidR="0017616B" w:rsidRPr="00B124DC" w:rsidRDefault="0017616B"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42</w:t>
      </w:r>
      <w:r w:rsidRPr="00B124DC">
        <w:rPr>
          <w:lang w:val="en-GB"/>
        </w:rPr>
        <w:fldChar w:fldCharType="end"/>
      </w:r>
      <w:r w:rsidRPr="00B124DC">
        <w:rPr>
          <w:lang w:val="en-GB"/>
        </w:rPr>
        <w:t>.  </w:t>
      </w:r>
      <w:smartTag w:uri="urn:schemas-microsoft-com:office:smarttags" w:element="PlaceName">
        <w:r w:rsidRPr="00B124DC">
          <w:rPr>
            <w:lang w:val="en-GB"/>
          </w:rPr>
          <w:t>Istanbul</w:t>
        </w:r>
      </w:smartTag>
      <w:r w:rsidRPr="00B124DC">
        <w:rPr>
          <w:lang w:val="en-GB"/>
        </w:rPr>
        <w:t xml:space="preserve"> </w:t>
      </w:r>
      <w:smartTag w:uri="urn:schemas-microsoft-com:office:smarttags" w:element="PlaceType">
        <w:r w:rsidRPr="00B124DC">
          <w:rPr>
            <w:lang w:val="en-GB"/>
          </w:rPr>
          <w:t>University</w:t>
        </w:r>
      </w:smartTag>
      <w:r w:rsidRPr="00B124DC">
        <w:rPr>
          <w:lang w:val="en-GB"/>
        </w:rPr>
        <w:t xml:space="preserve"> was founded in the fifteenth century and is one of the main centres of State higher education in </w:t>
      </w:r>
      <w:smartTag w:uri="urn:schemas-microsoft-com:office:smarttags" w:element="place">
        <w:smartTag w:uri="urn:schemas-microsoft-com:office:smarttags" w:element="country-region">
          <w:r w:rsidRPr="00B124DC">
            <w:rPr>
              <w:lang w:val="en-GB"/>
            </w:rPr>
            <w:t>Turkey</w:t>
          </w:r>
        </w:smartTag>
      </w:smartTag>
      <w:r w:rsidRPr="00B124DC">
        <w:rPr>
          <w:lang w:val="en-GB"/>
        </w:rPr>
        <w:t xml:space="preserve">. It </w:t>
      </w:r>
      <w:r w:rsidR="00EA51C2" w:rsidRPr="00B124DC">
        <w:rPr>
          <w:lang w:val="en-GB"/>
        </w:rPr>
        <w:t>has</w:t>
      </w:r>
      <w:r w:rsidRPr="00B124DC">
        <w:rPr>
          <w:lang w:val="en-GB"/>
        </w:rPr>
        <w:t xml:space="preserve"> seventeen faculties (including two faculties of medicine – Cerrahpaşa and Çapa) and twelve schools of higher education. It is a</w:t>
      </w:r>
      <w:r w:rsidR="00932AF2">
        <w:rPr>
          <w:lang w:val="en-GB"/>
        </w:rPr>
        <w:t>ttended by approximately 50,000</w:t>
      </w:r>
      <w:r w:rsidR="005E2247">
        <w:rPr>
          <w:lang w:val="en-GB"/>
        </w:rPr>
        <w:t xml:space="preserve"> </w:t>
      </w:r>
      <w:r w:rsidRPr="00B124DC">
        <w:rPr>
          <w:lang w:val="en-GB"/>
        </w:rPr>
        <w:t>students.</w:t>
      </w:r>
    </w:p>
    <w:p w:rsidR="0017616B" w:rsidRPr="00B124DC" w:rsidRDefault="0017616B"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43</w:t>
      </w:r>
      <w:r w:rsidRPr="00B124DC">
        <w:rPr>
          <w:lang w:val="en-GB"/>
        </w:rPr>
        <w:fldChar w:fldCharType="end"/>
      </w:r>
      <w:r w:rsidRPr="00B124DC">
        <w:rPr>
          <w:lang w:val="en-GB"/>
        </w:rPr>
        <w:t xml:space="preserve">.  In 1994, following a petitioning campaign launched by female students enrolled on the midwifery course at the University School </w:t>
      </w:r>
      <w:r w:rsidR="000666C2" w:rsidRPr="00B124DC">
        <w:rPr>
          <w:lang w:val="en-GB"/>
        </w:rPr>
        <w:t>of Medicine</w:t>
      </w:r>
      <w:r w:rsidRPr="00B124DC">
        <w:rPr>
          <w:lang w:val="en-GB"/>
        </w:rPr>
        <w:t>, the Vice</w:t>
      </w:r>
      <w:r w:rsidR="0033597D">
        <w:rPr>
          <w:lang w:val="en-GB"/>
        </w:rPr>
        <w:t>-</w:t>
      </w:r>
      <w:r w:rsidRPr="00B124DC">
        <w:rPr>
          <w:lang w:val="en-GB"/>
        </w:rPr>
        <w:t>Chancellor circulated a memorandum in which he explained the background to the Islamic</w:t>
      </w:r>
      <w:r w:rsidR="0033597D">
        <w:rPr>
          <w:lang w:val="en-GB"/>
        </w:rPr>
        <w:t xml:space="preserve"> </w:t>
      </w:r>
      <w:r w:rsidRPr="00B124DC">
        <w:rPr>
          <w:lang w:val="en-GB"/>
        </w:rPr>
        <w:t>headscarf issue and the legal basis for the relevant regulations</w:t>
      </w:r>
      <w:r w:rsidR="00D90E51" w:rsidRPr="00B124DC">
        <w:rPr>
          <w:lang w:val="en-GB"/>
        </w:rPr>
        <w:t>, noting</w:t>
      </w:r>
      <w:r w:rsidRPr="00B124DC">
        <w:rPr>
          <w:lang w:val="en-GB"/>
        </w:rPr>
        <w:t xml:space="preserve"> in particular:</w:t>
      </w:r>
    </w:p>
    <w:p w:rsidR="0017616B" w:rsidRPr="00B124DC" w:rsidRDefault="0017616B" w:rsidP="0017616B">
      <w:pPr>
        <w:pStyle w:val="JuQuot"/>
        <w:rPr>
          <w:lang w:val="en-GB"/>
        </w:rPr>
      </w:pPr>
      <w:r w:rsidRPr="00B124DC">
        <w:rPr>
          <w:lang w:val="en-GB"/>
        </w:rPr>
        <w:t>“The ban prohibiting students enrolled on the midwifery course from wearing the headscarf during tutorials is not intended to infringe their freedom of conscience and religion, but to comply with the laws and regulations in force. When doing their work, midwives and nurses wear a uniform. That uniform is described in and identified by regulations issued by the Ministry of Health</w:t>
      </w:r>
      <w:r w:rsidR="0033597D">
        <w:rPr>
          <w:lang w:val="en-GB"/>
        </w:rPr>
        <w:t xml:space="preserve"> </w:t>
      </w:r>
      <w:r w:rsidR="00B61060" w:rsidRPr="00B124DC">
        <w:rPr>
          <w:lang w:val="en-GB"/>
        </w:rPr>
        <w:t>...</w:t>
      </w:r>
      <w:r w:rsidRPr="00B124DC">
        <w:rPr>
          <w:lang w:val="en-GB"/>
        </w:rPr>
        <w:t xml:space="preserve"> Students who wish to join the profession are aware of this. Imagine a student of midwifery trying to put a baby in or remove it from an incubator, or assisting a doctor in an operating theatre or maternity unit while wearing a long-sleeved coat.”</w:t>
      </w:r>
    </w:p>
    <w:p w:rsidR="0017616B" w:rsidRPr="00B124DC" w:rsidRDefault="0017616B"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44</w:t>
      </w:r>
      <w:r w:rsidRPr="00B124DC">
        <w:rPr>
          <w:lang w:val="en-GB"/>
        </w:rPr>
        <w:fldChar w:fldCharType="end"/>
      </w:r>
      <w:r w:rsidRPr="00B124DC">
        <w:rPr>
          <w:lang w:val="en-GB"/>
        </w:rPr>
        <w:t>.  The Vice</w:t>
      </w:r>
      <w:r w:rsidR="0033597D">
        <w:rPr>
          <w:lang w:val="en-GB"/>
        </w:rPr>
        <w:t>-</w:t>
      </w:r>
      <w:r w:rsidRPr="00B124DC">
        <w:rPr>
          <w:lang w:val="en-GB"/>
        </w:rPr>
        <w:t xml:space="preserve">Chancellor was concerned that the campaign for permission to wear the Islamic headscarf on all university premises had reached the point where there was a risk of its undermining order and causing unrest at the </w:t>
      </w:r>
      <w:r w:rsidR="0033597D">
        <w:rPr>
          <w:lang w:val="en-GB"/>
        </w:rPr>
        <w:t>u</w:t>
      </w:r>
      <w:r w:rsidRPr="00B124DC">
        <w:rPr>
          <w:lang w:val="en-GB"/>
        </w:rPr>
        <w:t xml:space="preserve">niversity, the </w:t>
      </w:r>
      <w:r w:rsidR="0033597D">
        <w:rPr>
          <w:lang w:val="en-GB"/>
        </w:rPr>
        <w:t>f</w:t>
      </w:r>
      <w:r w:rsidRPr="00B124DC">
        <w:rPr>
          <w:lang w:val="en-GB"/>
        </w:rPr>
        <w:t>aculty</w:t>
      </w:r>
      <w:r w:rsidR="005D3EED" w:rsidRPr="00B124DC">
        <w:rPr>
          <w:lang w:val="en-GB"/>
        </w:rPr>
        <w:t>,</w:t>
      </w:r>
      <w:r w:rsidRPr="00B124DC">
        <w:rPr>
          <w:lang w:val="en-GB"/>
        </w:rPr>
        <w:t xml:space="preserve"> the </w:t>
      </w:r>
      <w:smartTag w:uri="urn:schemas-microsoft-com:office:smarttags" w:element="PlaceName">
        <w:r w:rsidRPr="00B124DC">
          <w:rPr>
            <w:lang w:val="en-GB"/>
          </w:rPr>
          <w:t>Cerrahpaşa</w:t>
        </w:r>
      </w:smartTag>
      <w:r w:rsidRPr="00B124DC">
        <w:rPr>
          <w:lang w:val="en-GB"/>
        </w:rPr>
        <w:t xml:space="preserve"> </w:t>
      </w:r>
      <w:smartTag w:uri="urn:schemas-microsoft-com:office:smarttags" w:element="PlaceType">
        <w:r w:rsidRPr="00B124DC">
          <w:rPr>
            <w:lang w:val="en-GB"/>
          </w:rPr>
          <w:t>Hospital</w:t>
        </w:r>
      </w:smartTag>
      <w:r w:rsidRPr="00B124DC">
        <w:rPr>
          <w:lang w:val="en-GB"/>
        </w:rPr>
        <w:t xml:space="preserve"> </w:t>
      </w:r>
      <w:r w:rsidR="005D3EED" w:rsidRPr="00B124DC">
        <w:rPr>
          <w:lang w:val="en-GB"/>
        </w:rPr>
        <w:t>and the</w:t>
      </w:r>
      <w:r w:rsidRPr="00B124DC">
        <w:rPr>
          <w:lang w:val="en-GB"/>
        </w:rPr>
        <w:t xml:space="preserve"> </w:t>
      </w:r>
      <w:smartTag w:uri="urn:schemas-microsoft-com:office:smarttags" w:element="place">
        <w:smartTag w:uri="urn:schemas-microsoft-com:office:smarttags" w:element="PlaceType">
          <w:r w:rsidRPr="00B124DC">
            <w:rPr>
              <w:lang w:val="en-GB"/>
            </w:rPr>
            <w:t>School</w:t>
          </w:r>
        </w:smartTag>
        <w:r w:rsidRPr="00B124DC">
          <w:rPr>
            <w:lang w:val="en-GB"/>
          </w:rPr>
          <w:t xml:space="preserve"> </w:t>
        </w:r>
        <w:r w:rsidR="005D3EED" w:rsidRPr="00B124DC">
          <w:rPr>
            <w:lang w:val="en-GB"/>
          </w:rPr>
          <w:t xml:space="preserve">of </w:t>
        </w:r>
        <w:smartTag w:uri="urn:schemas-microsoft-com:office:smarttags" w:element="PlaceName">
          <w:r w:rsidR="005D3EED" w:rsidRPr="00B124DC">
            <w:rPr>
              <w:lang w:val="en-GB"/>
            </w:rPr>
            <w:t>Medicine</w:t>
          </w:r>
        </w:smartTag>
      </w:smartTag>
      <w:r w:rsidRPr="00B124DC">
        <w:rPr>
          <w:lang w:val="en-GB"/>
        </w:rPr>
        <w:t>. He called on the students to comply with the rules on dress, reminding them, in particular, of the rights of the patients.</w:t>
      </w:r>
    </w:p>
    <w:p w:rsidR="0017616B" w:rsidRPr="00B124DC" w:rsidRDefault="0017616B"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45</w:t>
      </w:r>
      <w:r w:rsidRPr="00B124DC">
        <w:rPr>
          <w:lang w:val="en-GB"/>
        </w:rPr>
        <w:fldChar w:fldCharType="end"/>
      </w:r>
      <w:r w:rsidRPr="00B124DC">
        <w:rPr>
          <w:lang w:val="en-GB"/>
        </w:rPr>
        <w:t xml:space="preserve">.  A resolution regarding the rules on dress for students and university staff was adopted on </w:t>
      </w:r>
      <w:smartTag w:uri="urn:schemas-microsoft-com:office:smarttags" w:element="date">
        <w:smartTagPr>
          <w:attr w:name="Month" w:val="6"/>
          <w:attr w:name="Day" w:val="1"/>
          <w:attr w:name="Year" w:val="1994"/>
        </w:smartTagPr>
        <w:r w:rsidRPr="00B124DC">
          <w:rPr>
            <w:lang w:val="en-GB"/>
          </w:rPr>
          <w:t>1 June 1994</w:t>
        </w:r>
      </w:smartTag>
      <w:r w:rsidRPr="00B124DC">
        <w:rPr>
          <w:lang w:val="en-GB"/>
        </w:rPr>
        <w:t xml:space="preserve"> by the </w:t>
      </w:r>
      <w:r w:rsidR="0033597D">
        <w:rPr>
          <w:lang w:val="en-GB"/>
        </w:rPr>
        <w:t>u</w:t>
      </w:r>
      <w:r w:rsidRPr="00B124DC">
        <w:rPr>
          <w:lang w:val="en-GB"/>
        </w:rPr>
        <w:t>n</w:t>
      </w:r>
      <w:r w:rsidR="00790435" w:rsidRPr="00B124DC">
        <w:rPr>
          <w:lang w:val="en-GB"/>
        </w:rPr>
        <w:t>iversity executive and provides</w:t>
      </w:r>
      <w:r w:rsidRPr="00B124DC">
        <w:rPr>
          <w:lang w:val="en-GB"/>
        </w:rPr>
        <w:t>:</w:t>
      </w:r>
    </w:p>
    <w:p w:rsidR="0017616B" w:rsidRPr="00B124DC" w:rsidRDefault="0017616B" w:rsidP="0017616B">
      <w:pPr>
        <w:pStyle w:val="JuQuot"/>
        <w:rPr>
          <w:lang w:val="en-GB"/>
        </w:rPr>
      </w:pPr>
      <w:r w:rsidRPr="00B124DC">
        <w:rPr>
          <w:lang w:val="en-GB"/>
        </w:rPr>
        <w:t xml:space="preserve">“The rules governing dress in universities are set out in the laws and regulations. The </w:t>
      </w:r>
      <w:smartTag w:uri="urn:schemas-microsoft-com:office:smarttags" w:element="Street">
        <w:smartTag w:uri="urn:schemas-microsoft-com:office:smarttags" w:element="address">
          <w:r w:rsidRPr="00B124DC">
            <w:rPr>
              <w:lang w:val="en-GB"/>
            </w:rPr>
            <w:t>Constitutional Court</w:t>
          </w:r>
        </w:smartTag>
      </w:smartTag>
      <w:r w:rsidRPr="00B124DC">
        <w:rPr>
          <w:lang w:val="en-GB"/>
        </w:rPr>
        <w:t xml:space="preserve"> has delivered a judgment which prevents religious attire being worn in universities.</w:t>
      </w:r>
    </w:p>
    <w:p w:rsidR="0017616B" w:rsidRPr="00B124DC" w:rsidRDefault="0017616B" w:rsidP="0017616B">
      <w:pPr>
        <w:pStyle w:val="JuQuot"/>
        <w:rPr>
          <w:lang w:val="en-GB"/>
        </w:rPr>
      </w:pPr>
      <w:r w:rsidRPr="00B124DC">
        <w:rPr>
          <w:lang w:val="en-GB"/>
        </w:rPr>
        <w:t>This judgment applies to all students of our University and the academic staff, both administrative and otherwise, at all levels. In particular, nurses, midwives, doctors and vets are required to comply with the regulations on dress, as dictated by scientific considerations and the legislation, during health and applied science tutorials (on nursing, laboratory work, surgery and microbiology). Anyone not complying with the rules on dress will be refused access to tutorials.”</w:t>
      </w:r>
    </w:p>
    <w:p w:rsidR="0098730A" w:rsidRPr="00B124DC" w:rsidRDefault="0017616B"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46</w:t>
      </w:r>
      <w:r w:rsidRPr="00B124DC">
        <w:rPr>
          <w:lang w:val="en-GB"/>
        </w:rPr>
        <w:fldChar w:fldCharType="end"/>
      </w:r>
      <w:r w:rsidRPr="00B124DC">
        <w:rPr>
          <w:lang w:val="en-GB"/>
        </w:rPr>
        <w:t xml:space="preserve">.  On </w:t>
      </w:r>
      <w:smartTag w:uri="urn:schemas-microsoft-com:office:smarttags" w:element="date">
        <w:smartTagPr>
          <w:attr w:name="Month" w:val="2"/>
          <w:attr w:name="Day" w:val="23"/>
          <w:attr w:name="Year" w:val="1998"/>
        </w:smartTagPr>
        <w:r w:rsidRPr="00B124DC">
          <w:rPr>
            <w:lang w:val="en-GB"/>
          </w:rPr>
          <w:t>23 February 1998</w:t>
        </w:r>
      </w:smartTag>
      <w:r w:rsidRPr="00B124DC">
        <w:rPr>
          <w:lang w:val="en-GB"/>
        </w:rPr>
        <w:t xml:space="preserve"> a circular </w:t>
      </w:r>
      <w:r w:rsidR="00904D98" w:rsidRPr="00B124DC">
        <w:rPr>
          <w:lang w:val="en-GB"/>
        </w:rPr>
        <w:t>signed by the Vice</w:t>
      </w:r>
      <w:r w:rsidR="0033597D">
        <w:rPr>
          <w:lang w:val="en-GB"/>
        </w:rPr>
        <w:t>-</w:t>
      </w:r>
      <w:r w:rsidR="00904D98" w:rsidRPr="00B124DC">
        <w:rPr>
          <w:lang w:val="en-GB"/>
        </w:rPr>
        <w:t xml:space="preserve">Chancellor of </w:t>
      </w:r>
      <w:r w:rsidR="00AE5F3D" w:rsidRPr="00B124DC">
        <w:rPr>
          <w:lang w:val="en-GB"/>
        </w:rPr>
        <w:t xml:space="preserve">Istanbul </w:t>
      </w:r>
      <w:r w:rsidR="00904D98" w:rsidRPr="00B124DC">
        <w:rPr>
          <w:lang w:val="en-GB"/>
        </w:rPr>
        <w:t xml:space="preserve">University </w:t>
      </w:r>
      <w:r w:rsidRPr="00B124DC">
        <w:rPr>
          <w:lang w:val="en-GB"/>
        </w:rPr>
        <w:t>was distributed containing instructions on the admission of students with beards or wearing the Islamic headscarf (for the text of this circular, see paragraph</w:t>
      </w:r>
      <w:r w:rsidRPr="00B124DC">
        <w:rPr>
          <w:color w:val="333300"/>
          <w:lang w:val="en-GB"/>
        </w:rPr>
        <w:t xml:space="preserve"> 1</w:t>
      </w:r>
      <w:r w:rsidR="00904D98" w:rsidRPr="00B124DC">
        <w:rPr>
          <w:color w:val="333300"/>
          <w:lang w:val="en-GB"/>
        </w:rPr>
        <w:t>6</w:t>
      </w:r>
      <w:r w:rsidRPr="00B124DC">
        <w:rPr>
          <w:color w:val="333300"/>
          <w:lang w:val="en-GB"/>
        </w:rPr>
        <w:t xml:space="preserve"> </w:t>
      </w:r>
      <w:r w:rsidRPr="00B124DC">
        <w:rPr>
          <w:lang w:val="en-GB"/>
        </w:rPr>
        <w:t>above).</w:t>
      </w:r>
    </w:p>
    <w:p w:rsidR="0017616B" w:rsidRPr="00B124DC" w:rsidRDefault="000D0DA8"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47</w:t>
      </w:r>
      <w:r w:rsidRPr="00B124DC">
        <w:rPr>
          <w:lang w:val="en-GB"/>
        </w:rPr>
        <w:fldChar w:fldCharType="end"/>
      </w:r>
      <w:r w:rsidRPr="00B124DC">
        <w:rPr>
          <w:lang w:val="en-GB"/>
        </w:rPr>
        <w:t>.  </w:t>
      </w:r>
      <w:smartTag w:uri="urn:schemas-microsoft-com:office:smarttags" w:element="place">
        <w:smartTag w:uri="urn:schemas-microsoft-com:office:smarttags" w:element="PlaceName">
          <w:r w:rsidR="0033597D">
            <w:rPr>
              <w:lang w:val="en-GB"/>
            </w:rPr>
            <w:t>Istanbul</w:t>
          </w:r>
        </w:smartTag>
        <w:r w:rsidRPr="00B124DC">
          <w:rPr>
            <w:lang w:val="en-GB"/>
          </w:rPr>
          <w:t xml:space="preserve"> </w:t>
        </w:r>
        <w:smartTag w:uri="urn:schemas-microsoft-com:office:smarttags" w:element="PlaceType">
          <w:r w:rsidRPr="00B124DC">
            <w:rPr>
              <w:lang w:val="en-GB"/>
            </w:rPr>
            <w:t>University</w:t>
          </w:r>
        </w:smartTag>
      </w:smartTag>
      <w:r w:rsidRPr="00B124DC">
        <w:rPr>
          <w:lang w:val="en-GB"/>
        </w:rPr>
        <w:t xml:space="preserve"> adopted a </w:t>
      </w:r>
      <w:r w:rsidR="0017616B" w:rsidRPr="00B124DC">
        <w:rPr>
          <w:lang w:val="en-GB"/>
        </w:rPr>
        <w:t>resolution (no.</w:t>
      </w:r>
      <w:r w:rsidRPr="00B124DC">
        <w:rPr>
          <w:lang w:val="en-GB"/>
        </w:rPr>
        <w:t xml:space="preserve"> </w:t>
      </w:r>
      <w:r w:rsidR="0017616B" w:rsidRPr="00B124DC">
        <w:rPr>
          <w:lang w:val="en-GB"/>
        </w:rPr>
        <w:t>11</w:t>
      </w:r>
      <w:r w:rsidRPr="00B124DC">
        <w:rPr>
          <w:lang w:val="en-GB"/>
        </w:rPr>
        <w:t xml:space="preserve"> of 9 July 1998 </w:t>
      </w:r>
      <w:r w:rsidR="0017616B" w:rsidRPr="00B124DC">
        <w:rPr>
          <w:lang w:val="en-GB"/>
        </w:rPr>
        <w:t>)</w:t>
      </w:r>
      <w:r w:rsidR="000C2394">
        <w:rPr>
          <w:lang w:val="en-GB"/>
        </w:rPr>
        <w:t>,</w:t>
      </w:r>
      <w:r w:rsidR="0017616B" w:rsidRPr="00B124DC">
        <w:rPr>
          <w:lang w:val="en-GB"/>
        </w:rPr>
        <w:t xml:space="preserve"> worded as follows:</w:t>
      </w:r>
    </w:p>
    <w:p w:rsidR="0017616B" w:rsidRPr="00B124DC" w:rsidRDefault="00EB010D" w:rsidP="0017616B">
      <w:pPr>
        <w:pStyle w:val="JuQuot"/>
        <w:rPr>
          <w:lang w:val="en-GB"/>
        </w:rPr>
      </w:pPr>
      <w:r w:rsidRPr="00B124DC">
        <w:rPr>
          <w:lang w:val="en-GB"/>
        </w:rPr>
        <w:t>“1.</w:t>
      </w:r>
      <w:r w:rsidR="00FB225D" w:rsidRPr="00B124DC">
        <w:rPr>
          <w:lang w:val="en-GB"/>
        </w:rPr>
        <w:t>  </w:t>
      </w:r>
      <w:r w:rsidR="0017616B" w:rsidRPr="00B124DC">
        <w:rPr>
          <w:lang w:val="en-GB"/>
        </w:rPr>
        <w:t xml:space="preserve">Students at </w:t>
      </w:r>
      <w:smartTag w:uri="urn:schemas-microsoft-com:office:smarttags" w:element="place">
        <w:smartTag w:uri="urn:schemas-microsoft-com:office:smarttags" w:element="PlaceName">
          <w:r w:rsidR="00AE5F3D" w:rsidRPr="00B124DC">
            <w:rPr>
              <w:lang w:val="en-GB"/>
            </w:rPr>
            <w:t>Istanbul</w:t>
          </w:r>
        </w:smartTag>
        <w:r w:rsidR="00AE5F3D" w:rsidRPr="00B124DC">
          <w:rPr>
            <w:lang w:val="en-GB"/>
          </w:rPr>
          <w:t xml:space="preserve"> </w:t>
        </w:r>
        <w:smartTag w:uri="urn:schemas-microsoft-com:office:smarttags" w:element="PlaceType">
          <w:r w:rsidR="0017616B" w:rsidRPr="00B124DC">
            <w:rPr>
              <w:lang w:val="en-GB"/>
            </w:rPr>
            <w:t>University</w:t>
          </w:r>
        </w:smartTag>
      </w:smartTag>
      <w:r w:rsidR="0017616B" w:rsidRPr="00B124DC">
        <w:rPr>
          <w:lang w:val="en-GB"/>
        </w:rPr>
        <w:t xml:space="preserve"> shall comply with the legal principles and rules on dress set out in the decisions of the </w:t>
      </w:r>
      <w:smartTag w:uri="urn:schemas-microsoft-com:office:smarttags" w:element="Street">
        <w:smartTag w:uri="urn:schemas-microsoft-com:office:smarttags" w:element="address">
          <w:r w:rsidR="0017616B" w:rsidRPr="00B124DC">
            <w:rPr>
              <w:lang w:val="en-GB"/>
            </w:rPr>
            <w:t>Constitutional Court</w:t>
          </w:r>
        </w:smartTag>
      </w:smartTag>
      <w:r w:rsidR="0017616B" w:rsidRPr="00B124DC">
        <w:rPr>
          <w:lang w:val="en-GB"/>
        </w:rPr>
        <w:t xml:space="preserve"> and </w:t>
      </w:r>
      <w:r w:rsidR="00863FE3" w:rsidRPr="00B124DC">
        <w:rPr>
          <w:lang w:val="en-GB"/>
        </w:rPr>
        <w:t>higher</w:t>
      </w:r>
      <w:r w:rsidR="0017616B" w:rsidRPr="00B124DC">
        <w:rPr>
          <w:lang w:val="en-GB"/>
        </w:rPr>
        <w:t xml:space="preserve"> judicial bodies.</w:t>
      </w:r>
    </w:p>
    <w:p w:rsidR="0017616B" w:rsidRPr="00B124DC" w:rsidRDefault="0017616B" w:rsidP="0017616B">
      <w:pPr>
        <w:pStyle w:val="JuQuot"/>
        <w:rPr>
          <w:lang w:val="en-GB"/>
        </w:rPr>
      </w:pPr>
      <w:r w:rsidRPr="00B124DC">
        <w:rPr>
          <w:lang w:val="en-GB"/>
        </w:rPr>
        <w:t xml:space="preserve">2.  Students shall not wear clothes that symbolise or manifest any religion, faith, race, or political or ideological persuasion in any institution or department of </w:t>
      </w:r>
      <w:r w:rsidR="00AE5F3D" w:rsidRPr="00B124DC">
        <w:rPr>
          <w:lang w:val="en-GB"/>
        </w:rPr>
        <w:t>the university</w:t>
      </w:r>
      <w:r w:rsidRPr="00B124DC">
        <w:rPr>
          <w:lang w:val="en-GB"/>
        </w:rPr>
        <w:t>, or on any of its premises.</w:t>
      </w:r>
    </w:p>
    <w:p w:rsidR="0017616B" w:rsidRPr="00B124DC" w:rsidRDefault="0017616B" w:rsidP="0017616B">
      <w:pPr>
        <w:pStyle w:val="JuQuot"/>
        <w:rPr>
          <w:lang w:val="en-GB"/>
        </w:rPr>
      </w:pPr>
      <w:r w:rsidRPr="00B124DC">
        <w:rPr>
          <w:lang w:val="en-GB"/>
        </w:rPr>
        <w:t>3.  </w:t>
      </w:r>
      <w:r w:rsidR="00AE5F3D" w:rsidRPr="00B124DC">
        <w:rPr>
          <w:lang w:val="en-GB"/>
        </w:rPr>
        <w:t xml:space="preserve">Students shall comply with the rules requiring specific clothes to be worn for occupational reasons in </w:t>
      </w:r>
      <w:r w:rsidRPr="00B124DC">
        <w:rPr>
          <w:lang w:val="en-GB"/>
        </w:rPr>
        <w:t>the institutions and departments at which they are enrolled.</w:t>
      </w:r>
    </w:p>
    <w:p w:rsidR="0017616B" w:rsidRPr="00B124DC" w:rsidRDefault="0017616B" w:rsidP="0017616B">
      <w:pPr>
        <w:pStyle w:val="JuQuot"/>
        <w:rPr>
          <w:lang w:val="en-GB"/>
        </w:rPr>
      </w:pPr>
      <w:r w:rsidRPr="00B124DC">
        <w:rPr>
          <w:lang w:val="en-GB"/>
        </w:rPr>
        <w:t xml:space="preserve">4.  Photographs supplied by students to their institution or department [must be taken] from the </w:t>
      </w:r>
      <w:r w:rsidR="0006350D">
        <w:rPr>
          <w:lang w:val="en-GB"/>
        </w:rPr>
        <w:t>‘</w:t>
      </w:r>
      <w:r w:rsidRPr="00B124DC">
        <w:rPr>
          <w:lang w:val="en-GB"/>
        </w:rPr>
        <w:t>front</w:t>
      </w:r>
      <w:r w:rsidR="0006350D">
        <w:rPr>
          <w:lang w:val="en-GB"/>
        </w:rPr>
        <w:t>’</w:t>
      </w:r>
      <w:r w:rsidRPr="00B124DC">
        <w:rPr>
          <w:lang w:val="en-GB"/>
        </w:rPr>
        <w:t xml:space="preserve"> </w:t>
      </w:r>
      <w:r w:rsidR="0006350D">
        <w:rPr>
          <w:lang w:val="en-GB"/>
        </w:rPr>
        <w:t>‘</w:t>
      </w:r>
      <w:r w:rsidRPr="00B124DC">
        <w:rPr>
          <w:lang w:val="en-GB"/>
        </w:rPr>
        <w:t>with head and neck uncovered</w:t>
      </w:r>
      <w:r w:rsidR="0006350D">
        <w:rPr>
          <w:lang w:val="en-GB"/>
        </w:rPr>
        <w:t>’</w:t>
      </w:r>
      <w:r w:rsidRPr="00B124DC">
        <w:rPr>
          <w:lang w:val="en-GB"/>
        </w:rPr>
        <w:t>. They must be no more than six months old and make the student readily identifiable.</w:t>
      </w:r>
    </w:p>
    <w:p w:rsidR="0017616B" w:rsidRPr="00B124DC" w:rsidRDefault="0017616B" w:rsidP="0017616B">
      <w:pPr>
        <w:pStyle w:val="JuQuot"/>
        <w:rPr>
          <w:lang w:val="en-GB"/>
        </w:rPr>
      </w:pPr>
      <w:r w:rsidRPr="00B124DC">
        <w:rPr>
          <w:lang w:val="en-GB"/>
        </w:rPr>
        <w:t xml:space="preserve">5.  Anyone displaying an attitude that is contrary to the aforementioned points or who, through his words, writings or </w:t>
      </w:r>
      <w:r w:rsidR="004B1D39" w:rsidRPr="00B124DC">
        <w:rPr>
          <w:lang w:val="en-GB"/>
        </w:rPr>
        <w:t>deeds</w:t>
      </w:r>
      <w:r w:rsidRPr="00B124DC">
        <w:rPr>
          <w:lang w:val="en-GB"/>
        </w:rPr>
        <w:t xml:space="preserve">, encourages such an attitude shall be liable to action under the provisions of the </w:t>
      </w:r>
      <w:r w:rsidR="00AE5F3D" w:rsidRPr="00B124DC">
        <w:rPr>
          <w:lang w:val="en-GB"/>
        </w:rPr>
        <w:t>Students Disciplinary Proce</w:t>
      </w:r>
      <w:r w:rsidR="0033597D">
        <w:rPr>
          <w:lang w:val="en-GB"/>
        </w:rPr>
        <w:t>dure</w:t>
      </w:r>
      <w:r w:rsidR="00AE5F3D" w:rsidRPr="00B124DC">
        <w:rPr>
          <w:lang w:val="en-GB"/>
        </w:rPr>
        <w:t xml:space="preserve"> Rules</w:t>
      </w:r>
      <w:r w:rsidRPr="00B124DC">
        <w:rPr>
          <w:lang w:val="en-GB"/>
        </w:rPr>
        <w:t>.”</w:t>
      </w:r>
    </w:p>
    <w:p w:rsidR="0017616B" w:rsidRPr="00B124DC" w:rsidRDefault="0017616B" w:rsidP="0017616B">
      <w:pPr>
        <w:pStyle w:val="JuH1"/>
        <w:keepNext/>
        <w:rPr>
          <w:lang w:val="en-GB"/>
        </w:rPr>
      </w:pPr>
      <w:r w:rsidRPr="00B124DC">
        <w:rPr>
          <w:lang w:val="en-GB"/>
        </w:rPr>
        <w:t>4.  Students Disciplinary Procedure Rules</w:t>
      </w:r>
    </w:p>
    <w:p w:rsidR="0017616B" w:rsidRPr="00B124DC" w:rsidRDefault="0017616B"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48</w:t>
      </w:r>
      <w:r w:rsidRPr="00B124DC">
        <w:rPr>
          <w:lang w:val="en-GB"/>
        </w:rPr>
        <w:fldChar w:fldCharType="end"/>
      </w:r>
      <w:r w:rsidRPr="00B124DC">
        <w:rPr>
          <w:lang w:val="en-GB"/>
        </w:rPr>
        <w:t>.  The Students Disciplinary Procedure Rules, which were published in the Official Gazette of 13 January 1985, prescribe five forms of disciplinary penalty: a warning, a reprimand, temporary suspension of between a week and a month, temporary suspension of one or two semesters</w:t>
      </w:r>
      <w:r w:rsidR="000C2394">
        <w:rPr>
          <w:lang w:val="en-GB"/>
        </w:rPr>
        <w:t>,</w:t>
      </w:r>
      <w:r w:rsidRPr="00B124DC">
        <w:rPr>
          <w:lang w:val="en-GB"/>
        </w:rPr>
        <w:t xml:space="preserve"> and expulsion.</w:t>
      </w:r>
    </w:p>
    <w:p w:rsidR="0098730A" w:rsidRPr="00B124DC" w:rsidRDefault="0017616B"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49</w:t>
      </w:r>
      <w:r w:rsidRPr="00B124DC">
        <w:rPr>
          <w:lang w:val="en-GB"/>
        </w:rPr>
        <w:fldChar w:fldCharType="end"/>
      </w:r>
      <w:r w:rsidRPr="00B124DC">
        <w:rPr>
          <w:lang w:val="en-GB"/>
        </w:rPr>
        <w:t>.  Merely wearing the Islamic headscarf on university premises does not constitute a disciplinary offence.</w:t>
      </w:r>
    </w:p>
    <w:p w:rsidR="0098730A" w:rsidRPr="00B124DC" w:rsidRDefault="0017616B"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50</w:t>
      </w:r>
      <w:r w:rsidRPr="00B124DC">
        <w:rPr>
          <w:lang w:val="en-GB"/>
        </w:rPr>
        <w:fldChar w:fldCharType="end"/>
      </w:r>
      <w:r w:rsidRPr="00B124DC">
        <w:rPr>
          <w:lang w:val="en-GB"/>
        </w:rPr>
        <w:t xml:space="preserve">.  By virtue of </w:t>
      </w:r>
      <w:r w:rsidR="00E77EDD" w:rsidRPr="00B124DC">
        <w:rPr>
          <w:lang w:val="en-GB"/>
        </w:rPr>
        <w:t xml:space="preserve">paragraph </w:t>
      </w:r>
      <w:r w:rsidRPr="00B124DC">
        <w:rPr>
          <w:lang w:val="en-GB"/>
        </w:rPr>
        <w:t>6</w:t>
      </w:r>
      <w:r w:rsidR="0033597D">
        <w:rPr>
          <w:lang w:val="en-GB"/>
        </w:rPr>
        <w:t xml:space="preserve"> </w:t>
      </w:r>
      <w:r w:rsidRPr="00B124DC">
        <w:rPr>
          <w:lang w:val="en-GB"/>
        </w:rPr>
        <w:t xml:space="preserve">(a) of the Rules, a student whose “behaviour and attitude are not befitting of students” will be liable to a warning. A reprimand will be issued, </w:t>
      </w:r>
      <w:r w:rsidRPr="00B124DC">
        <w:rPr>
          <w:i/>
          <w:lang w:val="en-GB"/>
        </w:rPr>
        <w:t>inter alia</w:t>
      </w:r>
      <w:r w:rsidRPr="00B124DC">
        <w:rPr>
          <w:lang w:val="en-GB"/>
        </w:rPr>
        <w:t>, to students whose conduct is such as to lose them the respect and trust which students are required to command</w:t>
      </w:r>
      <w:r w:rsidR="000C2394">
        <w:rPr>
          <w:lang w:val="en-GB"/>
        </w:rPr>
        <w:t>,</w:t>
      </w:r>
      <w:r w:rsidRPr="00B124DC">
        <w:rPr>
          <w:lang w:val="en-GB"/>
        </w:rPr>
        <w:t xml:space="preserve"> or who disrupt lectures, seminars, tutorials in lab</w:t>
      </w:r>
      <w:r w:rsidR="00AA2321" w:rsidRPr="00B124DC">
        <w:rPr>
          <w:lang w:val="en-GB"/>
        </w:rPr>
        <w:t>oratories or workshops (</w:t>
      </w:r>
      <w:r w:rsidR="00932AF2">
        <w:rPr>
          <w:lang w:val="en-GB"/>
        </w:rPr>
        <w:t>paragraph</w:t>
      </w:r>
      <w:r w:rsidR="0033597D">
        <w:rPr>
          <w:lang w:val="en-GB"/>
        </w:rPr>
        <w:t xml:space="preserve"> </w:t>
      </w:r>
      <w:r w:rsidRPr="00B124DC">
        <w:rPr>
          <w:lang w:val="en-GB"/>
        </w:rPr>
        <w:t>7</w:t>
      </w:r>
      <w:r w:rsidR="0033597D">
        <w:rPr>
          <w:lang w:val="en-GB"/>
        </w:rPr>
        <w:t xml:space="preserve"> </w:t>
      </w:r>
      <w:r w:rsidRPr="00B124DC">
        <w:rPr>
          <w:lang w:val="en-GB"/>
        </w:rPr>
        <w:t xml:space="preserve">(a) and (e)). Students who directly or indirectly restrict the freedom of others to learn and teach or whose conduct is liable to disturb the calm, tranquillity and industriousness required in </w:t>
      </w:r>
      <w:r w:rsidR="001D350D" w:rsidRPr="00B124DC">
        <w:rPr>
          <w:lang w:val="en-GB"/>
        </w:rPr>
        <w:t>institutions of higher education</w:t>
      </w:r>
      <w:r w:rsidRPr="00B124DC">
        <w:rPr>
          <w:lang w:val="en-GB"/>
        </w:rPr>
        <w:t xml:space="preserve"> or who engage in political activities in such institutions are liable to temporary suspension of betw</w:t>
      </w:r>
      <w:r w:rsidR="00AA2321" w:rsidRPr="00B124DC">
        <w:rPr>
          <w:lang w:val="en-GB"/>
        </w:rPr>
        <w:t>een a week and a month (</w:t>
      </w:r>
      <w:r w:rsidR="00E77EDD" w:rsidRPr="00B124DC">
        <w:rPr>
          <w:lang w:val="en-GB"/>
        </w:rPr>
        <w:t>paragraph</w:t>
      </w:r>
      <w:r w:rsidR="00932AF2">
        <w:rPr>
          <w:lang w:val="en-GB"/>
        </w:rPr>
        <w:t> </w:t>
      </w:r>
      <w:r w:rsidR="00AA2321" w:rsidRPr="00B124DC">
        <w:rPr>
          <w:lang w:val="en-GB"/>
        </w:rPr>
        <w:t>8</w:t>
      </w:r>
      <w:r w:rsidR="0033597D">
        <w:rPr>
          <w:lang w:val="en-GB"/>
        </w:rPr>
        <w:t> </w:t>
      </w:r>
      <w:r w:rsidR="00AA2321" w:rsidRPr="00B124DC">
        <w:rPr>
          <w:lang w:val="en-GB"/>
        </w:rPr>
        <w:t>(a) and</w:t>
      </w:r>
      <w:r w:rsidR="0033597D">
        <w:rPr>
          <w:lang w:val="en-GB"/>
        </w:rPr>
        <w:t xml:space="preserve"> </w:t>
      </w:r>
      <w:r w:rsidRPr="00B124DC">
        <w:rPr>
          <w:lang w:val="en-GB"/>
        </w:rPr>
        <w:t xml:space="preserve">(c)). </w:t>
      </w:r>
      <w:r w:rsidR="00E77EDD" w:rsidRPr="00B124DC">
        <w:rPr>
          <w:lang w:val="en-GB"/>
        </w:rPr>
        <w:t>Paragraph</w:t>
      </w:r>
      <w:r w:rsidRPr="00B124DC">
        <w:rPr>
          <w:lang w:val="en-GB"/>
        </w:rPr>
        <w:t xml:space="preserve"> 9</w:t>
      </w:r>
      <w:r w:rsidR="0033597D">
        <w:rPr>
          <w:lang w:val="en-GB"/>
        </w:rPr>
        <w:t xml:space="preserve"> </w:t>
      </w:r>
      <w:r w:rsidRPr="00B124DC">
        <w:rPr>
          <w:lang w:val="en-GB"/>
        </w:rPr>
        <w:t>(j) lays down that students who organise or take part in unauthorised meetings on university premises are liable to one or two semesters</w:t>
      </w:r>
      <w:r w:rsidR="0006350D">
        <w:rPr>
          <w:lang w:val="en-GB"/>
        </w:rPr>
        <w:t>’</w:t>
      </w:r>
      <w:r w:rsidRPr="00B124DC">
        <w:rPr>
          <w:lang w:val="en-GB"/>
        </w:rPr>
        <w:t xml:space="preserve"> suspension.</w:t>
      </w:r>
    </w:p>
    <w:p w:rsidR="0017616B" w:rsidRPr="00B124DC" w:rsidRDefault="00AA2321"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51</w:t>
      </w:r>
      <w:r w:rsidRPr="00B124DC">
        <w:rPr>
          <w:lang w:val="en-GB"/>
        </w:rPr>
        <w:fldChar w:fldCharType="end"/>
      </w:r>
      <w:r w:rsidRPr="00B124DC">
        <w:rPr>
          <w:lang w:val="en-GB"/>
        </w:rPr>
        <w:t>.  </w:t>
      </w:r>
      <w:r w:rsidR="0017616B" w:rsidRPr="00B124DC">
        <w:rPr>
          <w:lang w:val="en-GB"/>
        </w:rPr>
        <w:t xml:space="preserve">The procedure for investigating disciplinary complaints is governed by </w:t>
      </w:r>
      <w:r w:rsidR="00E77EDD" w:rsidRPr="00B124DC">
        <w:rPr>
          <w:lang w:val="en-GB"/>
        </w:rPr>
        <w:t>paragraphs</w:t>
      </w:r>
      <w:r w:rsidR="0017616B" w:rsidRPr="00B124DC">
        <w:rPr>
          <w:lang w:val="en-GB"/>
        </w:rPr>
        <w:t xml:space="preserve"> 13 to 34 of the Rules. </w:t>
      </w:r>
      <w:r w:rsidR="00E77EDD" w:rsidRPr="00B124DC">
        <w:rPr>
          <w:lang w:val="en-GB"/>
        </w:rPr>
        <w:t>Paragraphs</w:t>
      </w:r>
      <w:r w:rsidR="0017616B" w:rsidRPr="00B124DC">
        <w:rPr>
          <w:lang w:val="en-GB"/>
        </w:rPr>
        <w:t xml:space="preserve"> 16 and 33 provide that the rights of defence of students must be respected and the disciplinary board must take into account the reasons </w:t>
      </w:r>
      <w:r w:rsidR="00C923F0" w:rsidRPr="00B124DC">
        <w:rPr>
          <w:lang w:val="en-GB"/>
        </w:rPr>
        <w:t>that caused</w:t>
      </w:r>
      <w:r w:rsidR="0017616B" w:rsidRPr="00B124DC">
        <w:rPr>
          <w:lang w:val="en-GB"/>
        </w:rPr>
        <w:t xml:space="preserve"> the student </w:t>
      </w:r>
      <w:r w:rsidR="00C923F0" w:rsidRPr="00B124DC">
        <w:rPr>
          <w:lang w:val="en-GB"/>
        </w:rPr>
        <w:t xml:space="preserve">to </w:t>
      </w:r>
      <w:r w:rsidR="0017616B" w:rsidRPr="00B124DC">
        <w:rPr>
          <w:lang w:val="en-GB"/>
        </w:rPr>
        <w:t>transgress the rules. All disciplinary measures are subject to judicial review in the administrative courts.</w:t>
      </w:r>
    </w:p>
    <w:p w:rsidR="0017616B" w:rsidRPr="00B124DC" w:rsidRDefault="00AA2321" w:rsidP="00AA2321">
      <w:pPr>
        <w:pStyle w:val="JuH1"/>
        <w:keepNext/>
        <w:rPr>
          <w:lang w:val="en-GB"/>
        </w:rPr>
      </w:pPr>
      <w:r w:rsidRPr="00B124DC">
        <w:rPr>
          <w:lang w:val="en-GB"/>
        </w:rPr>
        <w:t>5.  </w:t>
      </w:r>
      <w:r w:rsidR="0017616B" w:rsidRPr="00B124DC">
        <w:rPr>
          <w:lang w:val="en-GB"/>
        </w:rPr>
        <w:t xml:space="preserve">The regulatory power of the university </w:t>
      </w:r>
      <w:r w:rsidR="002B7964" w:rsidRPr="00B124DC">
        <w:rPr>
          <w:lang w:val="en-GB"/>
        </w:rPr>
        <w:t>authorities</w:t>
      </w:r>
    </w:p>
    <w:p w:rsidR="0017616B" w:rsidRPr="00B124DC" w:rsidRDefault="0017616B"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52</w:t>
      </w:r>
      <w:r w:rsidRPr="00B124DC">
        <w:rPr>
          <w:lang w:val="en-GB"/>
        </w:rPr>
        <w:fldChar w:fldCharType="end"/>
      </w:r>
      <w:r w:rsidRPr="00B124DC">
        <w:rPr>
          <w:lang w:val="en-GB"/>
        </w:rPr>
        <w:t>.  Since universities are public-</w:t>
      </w:r>
      <w:r w:rsidR="00313273" w:rsidRPr="00B124DC">
        <w:rPr>
          <w:lang w:val="en-GB"/>
        </w:rPr>
        <w:t>law bodies by virtue of Article</w:t>
      </w:r>
      <w:r w:rsidR="0043110F">
        <w:rPr>
          <w:lang w:val="en-GB"/>
        </w:rPr>
        <w:t xml:space="preserve"> </w:t>
      </w:r>
      <w:r w:rsidRPr="00B124DC">
        <w:rPr>
          <w:lang w:val="en-GB"/>
        </w:rPr>
        <w:t>130 of the Constitution, they enjoy a degree of autonomy, subject to State control, that is reflected in the fact that they are run by management organs, such as the vice</w:t>
      </w:r>
      <w:r w:rsidR="0033597D">
        <w:rPr>
          <w:lang w:val="en-GB"/>
        </w:rPr>
        <w:t>-</w:t>
      </w:r>
      <w:r w:rsidRPr="00B124DC">
        <w:rPr>
          <w:lang w:val="en-GB"/>
        </w:rPr>
        <w:t xml:space="preserve">chancellor, </w:t>
      </w:r>
      <w:r w:rsidR="003E4107" w:rsidRPr="00B124DC">
        <w:rPr>
          <w:lang w:val="en-GB"/>
        </w:rPr>
        <w:t>with</w:t>
      </w:r>
      <w:r w:rsidRPr="00B124DC">
        <w:rPr>
          <w:lang w:val="en-GB"/>
        </w:rPr>
        <w:t xml:space="preserve"> </w:t>
      </w:r>
      <w:r w:rsidR="003E4107" w:rsidRPr="00B124DC">
        <w:rPr>
          <w:lang w:val="en-GB"/>
        </w:rPr>
        <w:t xml:space="preserve">delegated </w:t>
      </w:r>
      <w:r w:rsidRPr="00B124DC">
        <w:rPr>
          <w:lang w:val="en-GB"/>
        </w:rPr>
        <w:t>statutory powers.</w:t>
      </w:r>
    </w:p>
    <w:p w:rsidR="0017616B" w:rsidRPr="00B124DC" w:rsidRDefault="0017616B" w:rsidP="00932AF2">
      <w:pPr>
        <w:pStyle w:val="JuPara"/>
        <w:rPr>
          <w:lang w:val="en-GB"/>
        </w:rPr>
      </w:pPr>
      <w:r w:rsidRPr="00B124DC">
        <w:rPr>
          <w:lang w:val="en-GB"/>
        </w:rPr>
        <w:t>The relevant parts of section 13 o</w:t>
      </w:r>
      <w:r w:rsidR="0090579A" w:rsidRPr="00B124DC">
        <w:rPr>
          <w:lang w:val="en-GB"/>
        </w:rPr>
        <w:t xml:space="preserve">f Law </w:t>
      </w:r>
      <w:r w:rsidRPr="00B124DC">
        <w:rPr>
          <w:lang w:val="en-GB"/>
        </w:rPr>
        <w:t>no.</w:t>
      </w:r>
      <w:r w:rsidR="00325F02" w:rsidRPr="00B124DC">
        <w:rPr>
          <w:lang w:val="en-GB"/>
        </w:rPr>
        <w:t xml:space="preserve"> </w:t>
      </w:r>
      <w:r w:rsidRPr="00B124DC">
        <w:rPr>
          <w:lang w:val="en-GB"/>
        </w:rPr>
        <w:t>2547 provide:</w:t>
      </w:r>
    </w:p>
    <w:p w:rsidR="0033597D" w:rsidRDefault="0017616B" w:rsidP="0017616B">
      <w:pPr>
        <w:pStyle w:val="JuQuot"/>
        <w:rPr>
          <w:lang w:val="en-GB"/>
        </w:rPr>
      </w:pPr>
      <w:r w:rsidRPr="00B124DC">
        <w:rPr>
          <w:lang w:val="en-GB"/>
        </w:rPr>
        <w:t>“</w:t>
      </w:r>
      <w:r w:rsidR="00B61060" w:rsidRPr="00B124DC">
        <w:rPr>
          <w:lang w:val="en-GB"/>
        </w:rPr>
        <w:t>...</w:t>
      </w:r>
    </w:p>
    <w:p w:rsidR="0098730A" w:rsidRPr="00B124DC" w:rsidRDefault="0017616B" w:rsidP="0017616B">
      <w:pPr>
        <w:pStyle w:val="JuQuot"/>
        <w:rPr>
          <w:lang w:val="en-GB"/>
        </w:rPr>
      </w:pPr>
      <w:r w:rsidRPr="00B124DC">
        <w:rPr>
          <w:lang w:val="en-GB"/>
        </w:rPr>
        <w:t>(b)  Vice</w:t>
      </w:r>
      <w:r w:rsidR="0033597D">
        <w:rPr>
          <w:lang w:val="en-GB"/>
        </w:rPr>
        <w:t>-</w:t>
      </w:r>
      <w:r w:rsidRPr="00B124DC">
        <w:rPr>
          <w:lang w:val="en-GB"/>
        </w:rPr>
        <w:t xml:space="preserve">chancellors </w:t>
      </w:r>
      <w:r w:rsidR="001663F7" w:rsidRPr="00B124DC">
        <w:rPr>
          <w:lang w:val="en-GB"/>
        </w:rPr>
        <w:t xml:space="preserve">shall </w:t>
      </w:r>
      <w:r w:rsidRPr="00B124DC">
        <w:rPr>
          <w:lang w:val="en-GB"/>
        </w:rPr>
        <w:t>have the following powers, competence and responsibilities:</w:t>
      </w:r>
    </w:p>
    <w:p w:rsidR="0033597D" w:rsidRDefault="0017616B" w:rsidP="0017616B">
      <w:pPr>
        <w:pStyle w:val="JuQuot"/>
        <w:rPr>
          <w:lang w:val="en-GB"/>
        </w:rPr>
      </w:pPr>
      <w:r w:rsidRPr="00B124DC">
        <w:rPr>
          <w:lang w:val="en-GB"/>
        </w:rPr>
        <w:t>1.  To chair meetings of university boards, implement their resolutions, examine proposals by the university boards and take such decisions as shall be necessary, and ensure that institutions forming part of the university function in a coordinated manner;</w:t>
      </w:r>
    </w:p>
    <w:p w:rsidR="0017616B" w:rsidRPr="00B124DC" w:rsidRDefault="00B61060" w:rsidP="0017616B">
      <w:pPr>
        <w:pStyle w:val="JuQuot"/>
        <w:rPr>
          <w:lang w:val="en-GB"/>
        </w:rPr>
      </w:pPr>
      <w:r w:rsidRPr="00B124DC">
        <w:rPr>
          <w:lang w:val="en-GB"/>
        </w:rPr>
        <w:t>...</w:t>
      </w:r>
    </w:p>
    <w:p w:rsidR="0017616B" w:rsidRPr="00B124DC" w:rsidRDefault="0017616B" w:rsidP="0017616B">
      <w:pPr>
        <w:pStyle w:val="JuQuot"/>
        <w:rPr>
          <w:lang w:val="en-GB"/>
        </w:rPr>
      </w:pPr>
      <w:r w:rsidRPr="00B124DC">
        <w:rPr>
          <w:lang w:val="en-GB"/>
        </w:rPr>
        <w:t>5.  To supervise and monitor the university departments and university staff at all levels.</w:t>
      </w:r>
    </w:p>
    <w:p w:rsidR="0017616B" w:rsidRPr="00B124DC" w:rsidRDefault="0017616B" w:rsidP="0017616B">
      <w:pPr>
        <w:pStyle w:val="JuQuot"/>
        <w:rPr>
          <w:lang w:val="en-GB"/>
        </w:rPr>
      </w:pPr>
      <w:r w:rsidRPr="00B124DC">
        <w:rPr>
          <w:lang w:val="en-GB"/>
        </w:rPr>
        <w:t>It is the vice</w:t>
      </w:r>
      <w:r w:rsidR="0033597D">
        <w:rPr>
          <w:lang w:val="en-GB"/>
        </w:rPr>
        <w:t>-</w:t>
      </w:r>
      <w:r w:rsidRPr="00B124DC">
        <w:rPr>
          <w:lang w:val="en-GB"/>
        </w:rPr>
        <w:t xml:space="preserve">chancellor who </w:t>
      </w:r>
      <w:r w:rsidR="001663F7" w:rsidRPr="00B124DC">
        <w:rPr>
          <w:lang w:val="en-GB"/>
        </w:rPr>
        <w:t>shall have</w:t>
      </w:r>
      <w:r w:rsidRPr="00B124DC">
        <w:rPr>
          <w:lang w:val="en-GB"/>
        </w:rPr>
        <w:t xml:space="preserve"> primary responsib</w:t>
      </w:r>
      <w:r w:rsidR="001663F7" w:rsidRPr="00B124DC">
        <w:rPr>
          <w:lang w:val="en-GB"/>
        </w:rPr>
        <w:t>ility</w:t>
      </w:r>
      <w:r w:rsidRPr="00B124DC">
        <w:rPr>
          <w:lang w:val="en-GB"/>
        </w:rPr>
        <w:t xml:space="preserve"> for taking </w:t>
      </w:r>
      <w:r w:rsidR="00954099" w:rsidRPr="00B124DC">
        <w:rPr>
          <w:lang w:val="en-GB"/>
        </w:rPr>
        <w:t>safety</w:t>
      </w:r>
      <w:r w:rsidRPr="00B124DC">
        <w:rPr>
          <w:lang w:val="en-GB"/>
        </w:rPr>
        <w:t xml:space="preserve"> measures and for supervising and monitoring </w:t>
      </w:r>
      <w:r w:rsidR="00954099" w:rsidRPr="00B124DC">
        <w:rPr>
          <w:lang w:val="en-GB"/>
        </w:rPr>
        <w:t>the administrative and scientific aspects of the functioning of the university</w:t>
      </w:r>
      <w:r w:rsidR="0033597D">
        <w:rPr>
          <w:lang w:val="en-GB"/>
        </w:rPr>
        <w:t xml:space="preserve"> </w:t>
      </w:r>
      <w:r w:rsidR="00B61060" w:rsidRPr="00B124DC">
        <w:rPr>
          <w:lang w:val="en-GB"/>
        </w:rPr>
        <w:t>...</w:t>
      </w:r>
      <w:r w:rsidR="00AA2321" w:rsidRPr="00B124DC">
        <w:rPr>
          <w:lang w:val="en-GB"/>
        </w:rPr>
        <w:t>”</w:t>
      </w:r>
    </w:p>
    <w:p w:rsidR="0098730A" w:rsidRPr="00B124DC" w:rsidRDefault="0017616B"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53</w:t>
      </w:r>
      <w:r w:rsidRPr="00B124DC">
        <w:rPr>
          <w:lang w:val="en-GB"/>
        </w:rPr>
        <w:fldChar w:fldCharType="end"/>
      </w:r>
      <w:r w:rsidRPr="00B124DC">
        <w:rPr>
          <w:lang w:val="en-GB"/>
        </w:rPr>
        <w:t>.  </w:t>
      </w:r>
      <w:r w:rsidR="00AF3634" w:rsidRPr="00B124DC">
        <w:rPr>
          <w:lang w:val="en-GB"/>
        </w:rPr>
        <w:t xml:space="preserve">The </w:t>
      </w:r>
      <w:r w:rsidRPr="00B124DC">
        <w:rPr>
          <w:lang w:val="en-GB"/>
        </w:rPr>
        <w:t>monitoring and supervisory power conferred on the vice</w:t>
      </w:r>
      <w:r w:rsidR="0033597D">
        <w:rPr>
          <w:lang w:val="en-GB"/>
        </w:rPr>
        <w:t>-</w:t>
      </w:r>
      <w:r w:rsidRPr="00B124DC">
        <w:rPr>
          <w:lang w:val="en-GB"/>
        </w:rPr>
        <w:t xml:space="preserve">chancellor by </w:t>
      </w:r>
      <w:r w:rsidR="00AF3634" w:rsidRPr="00B124DC">
        <w:rPr>
          <w:lang w:val="en-GB"/>
        </w:rPr>
        <w:t>section 13</w:t>
      </w:r>
      <w:r w:rsidRPr="00B124DC">
        <w:rPr>
          <w:lang w:val="en-GB"/>
        </w:rPr>
        <w:t xml:space="preserve"> </w:t>
      </w:r>
      <w:r w:rsidR="00AF3634" w:rsidRPr="00B124DC">
        <w:rPr>
          <w:lang w:val="en-GB"/>
        </w:rPr>
        <w:t>of Law no. 2</w:t>
      </w:r>
      <w:r w:rsidR="005A2CE2" w:rsidRPr="00B124DC">
        <w:rPr>
          <w:lang w:val="en-GB"/>
        </w:rPr>
        <w:t>5</w:t>
      </w:r>
      <w:r w:rsidR="00AF3634" w:rsidRPr="00B124DC">
        <w:rPr>
          <w:lang w:val="en-GB"/>
        </w:rPr>
        <w:t xml:space="preserve">47 </w:t>
      </w:r>
      <w:r w:rsidRPr="00B124DC">
        <w:rPr>
          <w:lang w:val="en-GB"/>
        </w:rPr>
        <w:t>is subject to the requirement of lawfulness and to scrutiny by the administrative courts.</w:t>
      </w:r>
    </w:p>
    <w:p w:rsidR="0098730A" w:rsidRPr="00B124DC" w:rsidRDefault="0017616B" w:rsidP="0017616B">
      <w:pPr>
        <w:pStyle w:val="JuHA"/>
        <w:keepNext/>
        <w:rPr>
          <w:lang w:val="en-GB"/>
        </w:rPr>
      </w:pPr>
      <w:r w:rsidRPr="00B124DC">
        <w:rPr>
          <w:lang w:val="en-GB"/>
        </w:rPr>
        <w:t>C.  The binding force of the reasoning in judgments of the Constitutional Court</w:t>
      </w:r>
    </w:p>
    <w:p w:rsidR="0017616B" w:rsidRPr="00B124DC" w:rsidRDefault="0017616B"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54</w:t>
      </w:r>
      <w:r w:rsidRPr="00B124DC">
        <w:rPr>
          <w:lang w:val="en-GB"/>
        </w:rPr>
        <w:fldChar w:fldCharType="end"/>
      </w:r>
      <w:r w:rsidRPr="00B124DC">
        <w:rPr>
          <w:lang w:val="en-GB"/>
        </w:rPr>
        <w:t xml:space="preserve">.  In its judgment of </w:t>
      </w:r>
      <w:smartTag w:uri="urn:schemas-microsoft-com:office:smarttags" w:element="date">
        <w:smartTagPr>
          <w:attr w:name="Month" w:val="5"/>
          <w:attr w:name="Day" w:val="27"/>
          <w:attr w:name="Year" w:val="1999"/>
        </w:smartTagPr>
        <w:r w:rsidRPr="00B124DC">
          <w:rPr>
            <w:lang w:val="en-GB"/>
          </w:rPr>
          <w:t>27 May 1999</w:t>
        </w:r>
      </w:smartTag>
      <w:r w:rsidRPr="00B124DC">
        <w:rPr>
          <w:lang w:val="en-GB"/>
        </w:rPr>
        <w:t xml:space="preserve"> (E. 1998/58, K. 1999/19), which was published in the Official Gazette of </w:t>
      </w:r>
      <w:smartTag w:uri="urn:schemas-microsoft-com:office:smarttags" w:element="date">
        <w:smartTagPr>
          <w:attr w:name="Month" w:val="3"/>
          <w:attr w:name="Day" w:val="4"/>
          <w:attr w:name="Year" w:val="2000"/>
        </w:smartTagPr>
        <w:r w:rsidRPr="00B124DC">
          <w:rPr>
            <w:lang w:val="en-GB"/>
          </w:rPr>
          <w:t>4 March 2000</w:t>
        </w:r>
      </w:smartTag>
      <w:r w:rsidRPr="00B124DC">
        <w:rPr>
          <w:lang w:val="en-GB"/>
        </w:rPr>
        <w:t xml:space="preserve">, the </w:t>
      </w:r>
      <w:smartTag w:uri="urn:schemas-microsoft-com:office:smarttags" w:element="Street">
        <w:smartTag w:uri="urn:schemas-microsoft-com:office:smarttags" w:element="address">
          <w:r w:rsidRPr="00B124DC">
            <w:rPr>
              <w:lang w:val="en-GB"/>
            </w:rPr>
            <w:t>Constitutional Court</w:t>
          </w:r>
        </w:smartTag>
      </w:smartTag>
      <w:r w:rsidRPr="00B124DC">
        <w:rPr>
          <w:lang w:val="en-GB"/>
        </w:rPr>
        <w:t xml:space="preserve"> stated, </w:t>
      </w:r>
      <w:r w:rsidRPr="00B124DC">
        <w:rPr>
          <w:i/>
          <w:lang w:val="en-GB"/>
        </w:rPr>
        <w:t>inter alia</w:t>
      </w:r>
      <w:r w:rsidRPr="00B124DC">
        <w:rPr>
          <w:lang w:val="en-GB"/>
        </w:rPr>
        <w:t>:</w:t>
      </w:r>
    </w:p>
    <w:p w:rsidR="0017616B" w:rsidRPr="00B124DC" w:rsidRDefault="0017616B" w:rsidP="0017616B">
      <w:pPr>
        <w:pStyle w:val="JuQuot"/>
        <w:rPr>
          <w:lang w:val="en-GB"/>
        </w:rPr>
      </w:pPr>
      <w:r w:rsidRPr="00B124DC">
        <w:rPr>
          <w:lang w:val="en-GB"/>
        </w:rPr>
        <w:t>“The legislature and executive are bound by both the operative provisions of judgments and the reasoning taken as a whole. Judgments and the reasons stated in them lay down the standards by which legislative activity will be measured and establish guidelines for such activity.”</w:t>
      </w:r>
    </w:p>
    <w:p w:rsidR="0017616B" w:rsidRPr="00B124DC" w:rsidRDefault="0017616B" w:rsidP="0017616B">
      <w:pPr>
        <w:pStyle w:val="JuHA"/>
        <w:keepNext/>
        <w:rPr>
          <w:lang w:val="en-GB"/>
        </w:rPr>
      </w:pPr>
      <w:r w:rsidRPr="00B124DC">
        <w:rPr>
          <w:lang w:val="en-GB"/>
        </w:rPr>
        <w:t>D.  Comparative law</w:t>
      </w:r>
    </w:p>
    <w:p w:rsidR="00982939" w:rsidRPr="00B124DC" w:rsidRDefault="0017616B" w:rsidP="00982939">
      <w:pPr>
        <w:pStyle w:val="JuPara"/>
        <w:rPr>
          <w:rStyle w:val="juparaCharCharCha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55</w:t>
      </w:r>
      <w:r w:rsidRPr="00B124DC">
        <w:rPr>
          <w:lang w:val="en-GB"/>
        </w:rPr>
        <w:fldChar w:fldCharType="end"/>
      </w:r>
      <w:r w:rsidRPr="00B124DC">
        <w:rPr>
          <w:lang w:val="en-GB"/>
        </w:rPr>
        <w:t>.  </w:t>
      </w:r>
      <w:r w:rsidR="004E1743" w:rsidRPr="00B124DC">
        <w:rPr>
          <w:lang w:val="en-GB"/>
        </w:rPr>
        <w:t xml:space="preserve">For more than twenty years the place of the Islamic headscarf in State education has been the subject of debate across </w:t>
      </w:r>
      <w:smartTag w:uri="urn:schemas-microsoft-com:office:smarttags" w:element="place">
        <w:r w:rsidR="004E1743" w:rsidRPr="00B124DC">
          <w:rPr>
            <w:lang w:val="en-GB"/>
          </w:rPr>
          <w:t>Europe</w:t>
        </w:r>
      </w:smartTag>
      <w:r w:rsidR="004E1743" w:rsidRPr="00B124DC">
        <w:rPr>
          <w:lang w:val="en-GB"/>
        </w:rPr>
        <w:t xml:space="preserve">. </w:t>
      </w:r>
      <w:r w:rsidR="001A7D80" w:rsidRPr="00B124DC">
        <w:rPr>
          <w:lang w:val="en-GB"/>
        </w:rPr>
        <w:t>In</w:t>
      </w:r>
      <w:r w:rsidR="004E1743" w:rsidRPr="00B124DC">
        <w:rPr>
          <w:lang w:val="en-GB"/>
        </w:rPr>
        <w:t xml:space="preserve"> most European countries, the debate has focused </w:t>
      </w:r>
      <w:r w:rsidR="00E14FB8" w:rsidRPr="00B124DC">
        <w:rPr>
          <w:lang w:val="en-GB"/>
        </w:rPr>
        <w:t>mainly</w:t>
      </w:r>
      <w:r w:rsidR="004E1743" w:rsidRPr="00B124DC">
        <w:rPr>
          <w:lang w:val="en-GB"/>
        </w:rPr>
        <w:t xml:space="preserve"> on primary and secondary schools. However, in </w:t>
      </w:r>
      <w:smartTag w:uri="urn:schemas-microsoft-com:office:smarttags" w:element="country-region">
        <w:r w:rsidR="004E1743" w:rsidRPr="00B124DC">
          <w:rPr>
            <w:lang w:val="en-GB"/>
          </w:rPr>
          <w:t>Turkey</w:t>
        </w:r>
      </w:smartTag>
      <w:r w:rsidR="004E1743" w:rsidRPr="00B124DC">
        <w:rPr>
          <w:lang w:val="en-GB"/>
        </w:rPr>
        <w:t xml:space="preserve">, </w:t>
      </w:r>
      <w:smartTag w:uri="urn:schemas-microsoft-com:office:smarttags" w:element="country-region">
        <w:r w:rsidR="004E1743" w:rsidRPr="00B124DC">
          <w:rPr>
            <w:lang w:val="en-GB"/>
          </w:rPr>
          <w:t>Azerbaijan</w:t>
        </w:r>
      </w:smartTag>
      <w:r w:rsidR="004E1743" w:rsidRPr="00B124DC">
        <w:rPr>
          <w:lang w:val="en-GB"/>
        </w:rPr>
        <w:t xml:space="preserve"> and </w:t>
      </w:r>
      <w:smartTag w:uri="urn:schemas-microsoft-com:office:smarttags" w:element="place">
        <w:smartTag w:uri="urn:schemas-microsoft-com:office:smarttags" w:element="country-region">
          <w:r w:rsidR="004E1743" w:rsidRPr="00B124DC">
            <w:rPr>
              <w:lang w:val="en-GB"/>
            </w:rPr>
            <w:t>Albania</w:t>
          </w:r>
        </w:smartTag>
      </w:smartTag>
      <w:r w:rsidR="004E1743" w:rsidRPr="00B124DC">
        <w:rPr>
          <w:lang w:val="en-GB"/>
        </w:rPr>
        <w:t xml:space="preserve"> it has concerned not just the question of individual liberty, but also the political</w:t>
      </w:r>
      <w:r w:rsidR="00982939" w:rsidRPr="00B124DC">
        <w:rPr>
          <w:rStyle w:val="juparaCharCharChar"/>
          <w:lang w:val="en-GB"/>
        </w:rPr>
        <w:t xml:space="preserve"> </w:t>
      </w:r>
      <w:r w:rsidR="004E1743" w:rsidRPr="00B124DC">
        <w:rPr>
          <w:rStyle w:val="juparaCharCharChar"/>
          <w:lang w:val="en-GB"/>
        </w:rPr>
        <w:t>meaning of the Islamic headscarf</w:t>
      </w:r>
      <w:r w:rsidR="00DB5897" w:rsidRPr="00B124DC">
        <w:rPr>
          <w:rStyle w:val="juparaCharCharChar"/>
          <w:lang w:val="en-GB"/>
        </w:rPr>
        <w:t>.</w:t>
      </w:r>
      <w:r w:rsidR="004E1743" w:rsidRPr="00B124DC">
        <w:rPr>
          <w:rStyle w:val="juparaCharCharChar"/>
          <w:lang w:val="en-GB"/>
        </w:rPr>
        <w:t xml:space="preserve"> </w:t>
      </w:r>
      <w:r w:rsidR="00DB5897" w:rsidRPr="00B124DC">
        <w:rPr>
          <w:rStyle w:val="juparaCharCharChar"/>
          <w:lang w:val="en-GB"/>
        </w:rPr>
        <w:t xml:space="preserve">These </w:t>
      </w:r>
      <w:r w:rsidR="00104B2F" w:rsidRPr="00B124DC">
        <w:rPr>
          <w:rStyle w:val="juparaCharCharChar"/>
          <w:lang w:val="en-GB"/>
        </w:rPr>
        <w:t>are the only member States to</w:t>
      </w:r>
      <w:r w:rsidR="004E1743" w:rsidRPr="00B124DC">
        <w:rPr>
          <w:rStyle w:val="juparaCharCharChar"/>
          <w:lang w:val="en-GB"/>
        </w:rPr>
        <w:t xml:space="preserve"> hav</w:t>
      </w:r>
      <w:r w:rsidR="00104B2F" w:rsidRPr="00B124DC">
        <w:rPr>
          <w:rStyle w:val="juparaCharCharChar"/>
          <w:lang w:val="en-GB"/>
        </w:rPr>
        <w:t>e</w:t>
      </w:r>
      <w:r w:rsidR="004E1743" w:rsidRPr="00B124DC">
        <w:rPr>
          <w:rStyle w:val="juparaCharCharChar"/>
          <w:lang w:val="en-GB"/>
        </w:rPr>
        <w:t xml:space="preserve"> </w:t>
      </w:r>
      <w:r w:rsidR="00DB5897" w:rsidRPr="00B124DC">
        <w:rPr>
          <w:rStyle w:val="juparaCharCharChar"/>
          <w:lang w:val="en-GB"/>
        </w:rPr>
        <w:t xml:space="preserve">introduced </w:t>
      </w:r>
      <w:r w:rsidR="004E1743" w:rsidRPr="00B124DC">
        <w:rPr>
          <w:rStyle w:val="juparaCharCharChar"/>
          <w:lang w:val="en-GB"/>
        </w:rPr>
        <w:t xml:space="preserve">regulations on wearing </w:t>
      </w:r>
      <w:r w:rsidR="00104B2F" w:rsidRPr="00B124DC">
        <w:rPr>
          <w:rStyle w:val="juparaCharCharChar"/>
          <w:lang w:val="en-GB"/>
        </w:rPr>
        <w:t xml:space="preserve">the Islamic headscarf </w:t>
      </w:r>
      <w:r w:rsidR="004E1743" w:rsidRPr="00B124DC">
        <w:rPr>
          <w:rStyle w:val="juparaCharCharChar"/>
          <w:lang w:val="en-GB"/>
        </w:rPr>
        <w:t>in universities</w:t>
      </w:r>
      <w:r w:rsidR="00982939" w:rsidRPr="00B124DC">
        <w:rPr>
          <w:rStyle w:val="juparaCharCharChar"/>
          <w:lang w:val="en-GB"/>
        </w:rPr>
        <w:t>.</w:t>
      </w:r>
    </w:p>
    <w:p w:rsidR="0017616B" w:rsidRPr="0018245E" w:rsidRDefault="0017616B" w:rsidP="00932AF2">
      <w:pPr>
        <w:pStyle w:val="JuPara"/>
        <w:rPr>
          <w:lang w:val="en-GB"/>
        </w:rPr>
      </w:pPr>
      <w:r w:rsidRPr="00B124DC">
        <w:fldChar w:fldCharType="begin"/>
      </w:r>
      <w:r w:rsidRPr="0018245E">
        <w:rPr>
          <w:lang w:val="en-GB"/>
        </w:rPr>
        <w:instrText xml:space="preserve"> SEQ level0 \*arabic </w:instrText>
      </w:r>
      <w:r w:rsidRPr="00B124DC">
        <w:fldChar w:fldCharType="separate"/>
      </w:r>
      <w:r w:rsidR="00EA52D1">
        <w:rPr>
          <w:noProof/>
          <w:lang w:val="en-GB"/>
        </w:rPr>
        <w:t>56</w:t>
      </w:r>
      <w:r w:rsidRPr="00B124DC">
        <w:fldChar w:fldCharType="end"/>
      </w:r>
      <w:r w:rsidRPr="0018245E">
        <w:rPr>
          <w:lang w:val="en-GB"/>
        </w:rPr>
        <w:t xml:space="preserve">.  In </w:t>
      </w:r>
      <w:smartTag w:uri="urn:schemas-microsoft-com:office:smarttags" w:element="place">
        <w:smartTag w:uri="urn:schemas-microsoft-com:office:smarttags" w:element="country-region">
          <w:r w:rsidRPr="00932AF2">
            <w:rPr>
              <w:lang w:val="en-GB"/>
            </w:rPr>
            <w:t>France</w:t>
          </w:r>
        </w:smartTag>
      </w:smartTag>
      <w:r w:rsidRPr="0018245E">
        <w:rPr>
          <w:lang w:val="en-GB"/>
        </w:rPr>
        <w:t xml:space="preserve">, where secularism is regarded as one of the cornerstones of republican values, </w:t>
      </w:r>
      <w:r w:rsidR="009C549F" w:rsidRPr="0018245E">
        <w:rPr>
          <w:lang w:val="en-GB"/>
        </w:rPr>
        <w:t xml:space="preserve">legislation was passed </w:t>
      </w:r>
      <w:r w:rsidRPr="0018245E">
        <w:rPr>
          <w:lang w:val="en-GB"/>
        </w:rPr>
        <w:t xml:space="preserve">on </w:t>
      </w:r>
      <w:smartTag w:uri="urn:schemas-microsoft-com:office:smarttags" w:element="date">
        <w:smartTagPr>
          <w:attr w:name="Month" w:val="3"/>
          <w:attr w:name="Day" w:val="15"/>
          <w:attr w:name="Year" w:val="2004"/>
        </w:smartTagPr>
        <w:r w:rsidRPr="0018245E">
          <w:rPr>
            <w:lang w:val="en-GB"/>
          </w:rPr>
          <w:t>1</w:t>
        </w:r>
        <w:r w:rsidR="009C549F" w:rsidRPr="0018245E">
          <w:rPr>
            <w:lang w:val="en-GB"/>
          </w:rPr>
          <w:t>5</w:t>
        </w:r>
        <w:r w:rsidRPr="0018245E">
          <w:rPr>
            <w:lang w:val="en-GB"/>
          </w:rPr>
          <w:t xml:space="preserve"> </w:t>
        </w:r>
        <w:r w:rsidR="009C549F" w:rsidRPr="0018245E">
          <w:rPr>
            <w:lang w:val="en-GB"/>
          </w:rPr>
          <w:t>March</w:t>
        </w:r>
        <w:r w:rsidRPr="0018245E">
          <w:rPr>
            <w:lang w:val="en-GB"/>
          </w:rPr>
          <w:t xml:space="preserve"> 2004</w:t>
        </w:r>
      </w:smartTag>
      <w:r w:rsidRPr="0018245E">
        <w:rPr>
          <w:lang w:val="en-GB"/>
        </w:rPr>
        <w:t xml:space="preserve"> regulating, </w:t>
      </w:r>
      <w:r w:rsidR="001B77D3" w:rsidRPr="0018245E">
        <w:rPr>
          <w:lang w:val="en-GB"/>
        </w:rPr>
        <w:t>in accordance with</w:t>
      </w:r>
      <w:r w:rsidRPr="0018245E">
        <w:rPr>
          <w:lang w:val="en-GB"/>
        </w:rPr>
        <w:t xml:space="preserve"> the principle of secularism, the wearing of signs or dress manifesting a religious affiliation in State primary and secondary schools. </w:t>
      </w:r>
      <w:r w:rsidR="00B5070A" w:rsidRPr="0018245E">
        <w:rPr>
          <w:lang w:val="en-GB"/>
        </w:rPr>
        <w:t>The legislation</w:t>
      </w:r>
      <w:r w:rsidR="002279BB" w:rsidRPr="0018245E">
        <w:rPr>
          <w:lang w:val="en-GB"/>
        </w:rPr>
        <w:t xml:space="preserve"> insert</w:t>
      </w:r>
      <w:r w:rsidR="00A004C5" w:rsidRPr="0018245E">
        <w:rPr>
          <w:lang w:val="en-GB"/>
        </w:rPr>
        <w:t>ed</w:t>
      </w:r>
      <w:r w:rsidR="002279BB" w:rsidRPr="0018245E">
        <w:rPr>
          <w:lang w:val="en-GB"/>
        </w:rPr>
        <w:t xml:space="preserve"> a new Article</w:t>
      </w:r>
      <w:r w:rsidRPr="0018245E">
        <w:rPr>
          <w:lang w:val="en-GB"/>
        </w:rPr>
        <w:t xml:space="preserve"> </w:t>
      </w:r>
      <w:r w:rsidR="002279BB" w:rsidRPr="0018245E">
        <w:rPr>
          <w:lang w:val="en-GB"/>
        </w:rPr>
        <w:t xml:space="preserve">L. </w:t>
      </w:r>
      <w:r w:rsidRPr="0018245E">
        <w:rPr>
          <w:lang w:val="en-GB"/>
        </w:rPr>
        <w:t>1</w:t>
      </w:r>
      <w:r w:rsidR="002279BB" w:rsidRPr="0018245E">
        <w:rPr>
          <w:lang w:val="en-GB"/>
        </w:rPr>
        <w:t>41-5-1</w:t>
      </w:r>
      <w:r w:rsidRPr="0018245E">
        <w:rPr>
          <w:lang w:val="en-GB"/>
        </w:rPr>
        <w:t xml:space="preserve"> </w:t>
      </w:r>
      <w:r w:rsidR="002279BB" w:rsidRPr="0018245E">
        <w:rPr>
          <w:lang w:val="en-GB"/>
        </w:rPr>
        <w:t>in the Education Code which</w:t>
      </w:r>
      <w:r w:rsidRPr="0018245E">
        <w:rPr>
          <w:lang w:val="en-GB"/>
        </w:rPr>
        <w:t xml:space="preserve"> provides</w:t>
      </w:r>
      <w:r w:rsidR="00C73EB5" w:rsidRPr="0018245E">
        <w:rPr>
          <w:lang w:val="en-GB"/>
        </w:rPr>
        <w:t xml:space="preserve">: </w:t>
      </w:r>
      <w:r w:rsidRPr="0018245E">
        <w:rPr>
          <w:lang w:val="en-GB"/>
        </w:rPr>
        <w:t>“In State primary and secondary schools, the wearing of signs or dress by which pupils overtly manifest a religious affiliation is prohibited.</w:t>
      </w:r>
      <w:r w:rsidR="00C73EB5" w:rsidRPr="0018245E">
        <w:rPr>
          <w:lang w:val="en-GB"/>
        </w:rPr>
        <w:t xml:space="preserve"> </w:t>
      </w:r>
      <w:r w:rsidRPr="0018245E">
        <w:rPr>
          <w:lang w:val="en-GB"/>
        </w:rPr>
        <w:t>The school rules shall state that the institution of disciplinary proceedings shall be preceded by dialogue with the pupil</w:t>
      </w:r>
      <w:r w:rsidR="0033597D">
        <w:rPr>
          <w:lang w:val="en-GB"/>
        </w:rPr>
        <w:t>.</w:t>
      </w:r>
      <w:r w:rsidR="00C73EB5" w:rsidRPr="0018245E">
        <w:rPr>
          <w:lang w:val="en-GB"/>
        </w:rPr>
        <w:t>”</w:t>
      </w:r>
    </w:p>
    <w:p w:rsidR="00C6284D" w:rsidRPr="00B124DC" w:rsidRDefault="00B30BC2" w:rsidP="00932AF2">
      <w:pPr>
        <w:pStyle w:val="JuPara"/>
        <w:rPr>
          <w:lang w:val="en-GB"/>
        </w:rPr>
      </w:pPr>
      <w:r w:rsidRPr="00B124DC">
        <w:rPr>
          <w:lang w:val="en-GB"/>
        </w:rPr>
        <w:t xml:space="preserve">The Act applies to all State schools and educational institutions, including post-baccalaureate courses (preparatory classes for entrance to the </w:t>
      </w:r>
      <w:r w:rsidRPr="00B124DC">
        <w:rPr>
          <w:i/>
          <w:lang w:val="en-GB"/>
        </w:rPr>
        <w:t>grandes écoles</w:t>
      </w:r>
      <w:r w:rsidRPr="00B124DC">
        <w:rPr>
          <w:lang w:val="en-GB"/>
        </w:rPr>
        <w:t xml:space="preserve"> and vocational training courses)</w:t>
      </w:r>
      <w:r w:rsidR="00715A1C" w:rsidRPr="00B124DC">
        <w:rPr>
          <w:lang w:val="en-GB"/>
        </w:rPr>
        <w:t>.</w:t>
      </w:r>
      <w:r w:rsidRPr="00B124DC">
        <w:rPr>
          <w:lang w:val="en-GB"/>
        </w:rPr>
        <w:t xml:space="preserve"> It does not apply to State </w:t>
      </w:r>
      <w:r w:rsidR="000812FA" w:rsidRPr="00B124DC">
        <w:rPr>
          <w:lang w:val="en-GB"/>
        </w:rPr>
        <w:t>universities</w:t>
      </w:r>
      <w:r w:rsidR="00C6284D" w:rsidRPr="00B124DC">
        <w:rPr>
          <w:lang w:val="en-GB"/>
        </w:rPr>
        <w:t>.</w:t>
      </w:r>
      <w:r w:rsidR="00C6284D" w:rsidRPr="00B124DC">
        <w:rPr>
          <w:rStyle w:val="JuParaCharCharCharChar"/>
          <w:lang w:val="en-GB"/>
        </w:rPr>
        <w:t xml:space="preserve"> </w:t>
      </w:r>
      <w:r w:rsidR="002063FD" w:rsidRPr="00B124DC">
        <w:rPr>
          <w:rStyle w:val="JuParaCharCharCharChar"/>
          <w:lang w:val="en-GB"/>
        </w:rPr>
        <w:t xml:space="preserve">In addition, as </w:t>
      </w:r>
      <w:r w:rsidR="000C2394">
        <w:rPr>
          <w:rStyle w:val="JuParaCharCharCharChar"/>
          <w:lang w:val="en-GB"/>
        </w:rPr>
        <w:t>a</w:t>
      </w:r>
      <w:r w:rsidR="002063FD" w:rsidRPr="00B124DC">
        <w:rPr>
          <w:rStyle w:val="JuParaCharCharCharChar"/>
          <w:lang w:val="en-GB"/>
        </w:rPr>
        <w:t xml:space="preserve"> circular of </w:t>
      </w:r>
      <w:r w:rsidR="002063FD" w:rsidRPr="00B124DC">
        <w:rPr>
          <w:lang w:val="en-GB"/>
        </w:rPr>
        <w:t xml:space="preserve">18 May 2004 makes clear, it only concerns </w:t>
      </w:r>
      <w:r w:rsidR="00937F0B" w:rsidRPr="00B124DC">
        <w:rPr>
          <w:lang w:val="en-GB"/>
        </w:rPr>
        <w:t>“</w:t>
      </w:r>
      <w:r w:rsidR="002063FD" w:rsidRPr="00B124DC">
        <w:rPr>
          <w:lang w:val="en-GB"/>
        </w:rPr>
        <w:t>... signs</w:t>
      </w:r>
      <w:r w:rsidR="0013286E" w:rsidRPr="00B124DC">
        <w:rPr>
          <w:lang w:val="en-GB"/>
        </w:rPr>
        <w:t>,</w:t>
      </w:r>
      <w:r w:rsidR="002063FD" w:rsidRPr="00B124DC">
        <w:rPr>
          <w:lang w:val="en-GB"/>
        </w:rPr>
        <w:t xml:space="preserve"> such as the Islamic headscarf, however named, the kippa or a </w:t>
      </w:r>
      <w:r w:rsidR="00C65969" w:rsidRPr="00B124DC">
        <w:rPr>
          <w:lang w:val="en-GB"/>
        </w:rPr>
        <w:t xml:space="preserve">cross that is </w:t>
      </w:r>
      <w:r w:rsidR="0013286E" w:rsidRPr="00B124DC">
        <w:rPr>
          <w:lang w:val="en-GB"/>
        </w:rPr>
        <w:t xml:space="preserve">manifestly </w:t>
      </w:r>
      <w:r w:rsidR="00C65969" w:rsidRPr="00B124DC">
        <w:rPr>
          <w:lang w:val="en-GB"/>
        </w:rPr>
        <w:t>oversized</w:t>
      </w:r>
      <w:r w:rsidR="0013286E" w:rsidRPr="00B124DC">
        <w:rPr>
          <w:lang w:val="en-GB"/>
        </w:rPr>
        <w:t>,</w:t>
      </w:r>
      <w:r w:rsidR="00B50F0A" w:rsidRPr="00B124DC">
        <w:rPr>
          <w:lang w:val="en-GB"/>
        </w:rPr>
        <w:t xml:space="preserve"> </w:t>
      </w:r>
      <w:r w:rsidR="0013286E" w:rsidRPr="00B124DC">
        <w:rPr>
          <w:lang w:val="en-GB"/>
        </w:rPr>
        <w:t>which</w:t>
      </w:r>
      <w:r w:rsidR="002063FD" w:rsidRPr="00B124DC">
        <w:rPr>
          <w:lang w:val="en-GB"/>
        </w:rPr>
        <w:t xml:space="preserve"> make the wearer</w:t>
      </w:r>
      <w:r w:rsidR="0006350D">
        <w:rPr>
          <w:lang w:val="en-GB"/>
        </w:rPr>
        <w:t>’</w:t>
      </w:r>
      <w:r w:rsidR="002063FD" w:rsidRPr="00B124DC">
        <w:rPr>
          <w:lang w:val="en-GB"/>
        </w:rPr>
        <w:t>s religious affiliation immediately identifiable”.</w:t>
      </w:r>
    </w:p>
    <w:p w:rsidR="0098730A" w:rsidRPr="00B124DC" w:rsidRDefault="0017616B" w:rsidP="00485F93">
      <w:pPr>
        <w:pStyle w:val="JuPara"/>
        <w:rPr>
          <w:lang w:val="en-GB"/>
        </w:rPr>
      </w:pPr>
      <w:r w:rsidRPr="00B124DC">
        <w:rPr>
          <w:rStyle w:val="JuParaCharCharCharChar"/>
          <w:lang w:val="en-GB"/>
        </w:rPr>
        <w:fldChar w:fldCharType="begin"/>
      </w:r>
      <w:r w:rsidRPr="00B124DC">
        <w:rPr>
          <w:rStyle w:val="JuParaCharCharCharChar"/>
          <w:lang w:val="en-GB"/>
        </w:rPr>
        <w:instrText xml:space="preserve"> SEQ level0 \*arabic </w:instrText>
      </w:r>
      <w:r w:rsidRPr="00B124DC">
        <w:rPr>
          <w:rStyle w:val="JuParaCharCharCharChar"/>
          <w:lang w:val="en-GB"/>
        </w:rPr>
        <w:fldChar w:fldCharType="separate"/>
      </w:r>
      <w:r w:rsidR="00EA52D1">
        <w:rPr>
          <w:rStyle w:val="JuParaCharCharCharChar"/>
          <w:noProof/>
          <w:lang w:val="en-GB"/>
        </w:rPr>
        <w:t>57</w:t>
      </w:r>
      <w:r w:rsidRPr="00B124DC">
        <w:rPr>
          <w:rStyle w:val="JuParaCharCharCharChar"/>
          <w:lang w:val="en-GB"/>
        </w:rPr>
        <w:fldChar w:fldCharType="end"/>
      </w:r>
      <w:r w:rsidRPr="00B124DC">
        <w:rPr>
          <w:rStyle w:val="JuParaCharCharCharChar"/>
          <w:lang w:val="en-GB"/>
        </w:rPr>
        <w:t>.  </w:t>
      </w:r>
      <w:r w:rsidR="000948CA" w:rsidRPr="00B124DC">
        <w:rPr>
          <w:lang w:val="en-GB"/>
        </w:rPr>
        <w:t>I</w:t>
      </w:r>
      <w:r w:rsidR="00485F93" w:rsidRPr="00B124DC">
        <w:rPr>
          <w:lang w:val="en-GB"/>
        </w:rPr>
        <w:t xml:space="preserve">n </w:t>
      </w:r>
      <w:smartTag w:uri="urn:schemas-microsoft-com:office:smarttags" w:element="place">
        <w:smartTag w:uri="urn:schemas-microsoft-com:office:smarttags" w:element="country-region">
          <w:r w:rsidR="00485F93" w:rsidRPr="00B124DC">
            <w:rPr>
              <w:lang w:val="en-GB"/>
            </w:rPr>
            <w:t>Belgiu</w:t>
          </w:r>
          <w:r w:rsidR="000948CA" w:rsidRPr="00B124DC">
            <w:rPr>
              <w:lang w:val="en-GB"/>
            </w:rPr>
            <w:t>m</w:t>
          </w:r>
        </w:smartTag>
      </w:smartTag>
      <w:r w:rsidR="000948CA" w:rsidRPr="00B124DC">
        <w:rPr>
          <w:lang w:val="en-GB"/>
        </w:rPr>
        <w:t xml:space="preserve"> there is no general ban on wearing religious signs at school</w:t>
      </w:r>
      <w:r w:rsidR="00485F93" w:rsidRPr="00B124DC">
        <w:rPr>
          <w:lang w:val="en-GB"/>
        </w:rPr>
        <w:t xml:space="preserve">. </w:t>
      </w:r>
      <w:r w:rsidR="000948CA" w:rsidRPr="00B124DC">
        <w:rPr>
          <w:lang w:val="en-GB"/>
        </w:rPr>
        <w:t xml:space="preserve">In the French Community a decree of </w:t>
      </w:r>
      <w:smartTag w:uri="urn:schemas-microsoft-com:office:smarttags" w:element="date">
        <w:smartTagPr>
          <w:attr w:name="Month" w:val="3"/>
          <w:attr w:name="Day" w:val="13"/>
          <w:attr w:name="Year" w:val="1994"/>
        </w:smartTagPr>
        <w:r w:rsidR="000948CA" w:rsidRPr="00B124DC">
          <w:rPr>
            <w:lang w:val="en-GB"/>
          </w:rPr>
          <w:t>13 March 1994</w:t>
        </w:r>
      </w:smartTag>
      <w:r w:rsidR="000948CA" w:rsidRPr="00B124DC">
        <w:rPr>
          <w:lang w:val="en-GB"/>
        </w:rPr>
        <w:t xml:space="preserve"> stipulates that education shall be neutral within the Community. Pupils are in principle allowed to wear religious signs. However, they may do so only if human rights, the reputation of others, national security, public order, and public health and morals are protected and internal rules complied with. Further, teachers must not permit religious or philosophical proselytism under their authority or the organisation of political militancy by or on behalf of pupils. The decree stipulates that restrictions may be imposed </w:t>
      </w:r>
      <w:r w:rsidR="00C72E48" w:rsidRPr="00B124DC">
        <w:rPr>
          <w:lang w:val="en-GB"/>
        </w:rPr>
        <w:t>by</w:t>
      </w:r>
      <w:r w:rsidR="000948CA" w:rsidRPr="00B124DC">
        <w:rPr>
          <w:lang w:val="en-GB"/>
        </w:rPr>
        <w:t xml:space="preserve"> school rules. </w:t>
      </w:r>
      <w:r w:rsidR="0075530C" w:rsidRPr="00B124DC">
        <w:rPr>
          <w:lang w:val="en-GB"/>
        </w:rPr>
        <w:t xml:space="preserve">On </w:t>
      </w:r>
      <w:smartTag w:uri="urn:schemas-microsoft-com:office:smarttags" w:element="date">
        <w:smartTagPr>
          <w:attr w:name="Month" w:val="5"/>
          <w:attr w:name="Day" w:val="19"/>
          <w:attr w:name="Year" w:val="2004"/>
        </w:smartTagPr>
        <w:r w:rsidR="00485F93" w:rsidRPr="00B124DC">
          <w:rPr>
            <w:lang w:val="en-GB"/>
          </w:rPr>
          <w:t>19</w:t>
        </w:r>
        <w:r w:rsidR="00932AF2">
          <w:rPr>
            <w:lang w:val="en-GB"/>
          </w:rPr>
          <w:t> </w:t>
        </w:r>
        <w:r w:rsidR="0003140A" w:rsidRPr="00B124DC">
          <w:rPr>
            <w:lang w:val="en-GB"/>
          </w:rPr>
          <w:t>May</w:t>
        </w:r>
        <w:r w:rsidR="00485F93" w:rsidRPr="00B124DC">
          <w:rPr>
            <w:lang w:val="en-GB"/>
          </w:rPr>
          <w:t xml:space="preserve"> 2004</w:t>
        </w:r>
      </w:smartTag>
      <w:r w:rsidR="00485F93" w:rsidRPr="00B124DC">
        <w:rPr>
          <w:lang w:val="en-GB"/>
        </w:rPr>
        <w:t xml:space="preserve"> </w:t>
      </w:r>
      <w:r w:rsidR="0003140A" w:rsidRPr="00B124DC">
        <w:rPr>
          <w:lang w:val="en-GB"/>
        </w:rPr>
        <w:t>the French Community issued a decree intended to institute equality of treatment</w:t>
      </w:r>
      <w:r w:rsidR="00485F93" w:rsidRPr="00B124DC">
        <w:rPr>
          <w:lang w:val="en-GB"/>
        </w:rPr>
        <w:t xml:space="preserve">. </w:t>
      </w:r>
      <w:r w:rsidR="0003140A" w:rsidRPr="00B124DC">
        <w:rPr>
          <w:lang w:val="en-GB"/>
        </w:rPr>
        <w:t>In the Flemish Community</w:t>
      </w:r>
      <w:r w:rsidR="00485F93" w:rsidRPr="00B124DC">
        <w:rPr>
          <w:lang w:val="en-GB"/>
        </w:rPr>
        <w:t xml:space="preserve">, </w:t>
      </w:r>
      <w:r w:rsidR="0003140A" w:rsidRPr="00B124DC">
        <w:rPr>
          <w:lang w:val="en-GB"/>
        </w:rPr>
        <w:t>there is no uniform policy among schools on whether to allow religious or philosophical signs to be worn. Some do, others do not. When pupils are permitted to wear such signs, restrictions may be imposed on grounds of hygiene or safety</w:t>
      </w:r>
      <w:r w:rsidR="00485F93" w:rsidRPr="00B124DC">
        <w:rPr>
          <w:lang w:val="en-GB"/>
        </w:rPr>
        <w:t>.</w:t>
      </w:r>
    </w:p>
    <w:p w:rsidR="00D60850" w:rsidRPr="00B124DC" w:rsidRDefault="0017616B"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58</w:t>
      </w:r>
      <w:r w:rsidRPr="00B124DC">
        <w:rPr>
          <w:lang w:val="en-GB"/>
        </w:rPr>
        <w:fldChar w:fldCharType="end"/>
      </w:r>
      <w:r w:rsidRPr="00B124DC">
        <w:rPr>
          <w:lang w:val="en-GB"/>
        </w:rPr>
        <w:t>.  In other countries</w:t>
      </w:r>
      <w:r w:rsidR="005E6A19" w:rsidRPr="00B124DC">
        <w:rPr>
          <w:lang w:val="en-GB"/>
        </w:rPr>
        <w:t xml:space="preserve"> (</w:t>
      </w:r>
      <w:smartTag w:uri="urn:schemas-microsoft-com:office:smarttags" w:element="country-region">
        <w:r w:rsidR="005E6A19" w:rsidRPr="00B124DC">
          <w:rPr>
            <w:lang w:val="en-GB"/>
          </w:rPr>
          <w:t>Austria</w:t>
        </w:r>
      </w:smartTag>
      <w:r w:rsidR="005E6A19" w:rsidRPr="00B124DC">
        <w:rPr>
          <w:lang w:val="en-GB"/>
        </w:rPr>
        <w:t xml:space="preserve">, </w:t>
      </w:r>
      <w:smartTag w:uri="urn:schemas-microsoft-com:office:smarttags" w:element="country-region">
        <w:r w:rsidR="005E6A19" w:rsidRPr="00B124DC">
          <w:rPr>
            <w:lang w:val="en-GB"/>
          </w:rPr>
          <w:t>Germany</w:t>
        </w:r>
      </w:smartTag>
      <w:r w:rsidR="005E6A19" w:rsidRPr="00B124DC">
        <w:rPr>
          <w:lang w:val="en-GB"/>
        </w:rPr>
        <w:t xml:space="preserve">, the </w:t>
      </w:r>
      <w:smartTag w:uri="urn:schemas-microsoft-com:office:smarttags" w:element="country-region">
        <w:r w:rsidR="005E6A19" w:rsidRPr="00B124DC">
          <w:rPr>
            <w:lang w:val="en-GB"/>
          </w:rPr>
          <w:t>Netherlands</w:t>
        </w:r>
      </w:smartTag>
      <w:r w:rsidR="005E6A19" w:rsidRPr="00B124DC">
        <w:rPr>
          <w:lang w:val="en-GB"/>
        </w:rPr>
        <w:t xml:space="preserve">, </w:t>
      </w:r>
      <w:smartTag w:uri="urn:schemas-microsoft-com:office:smarttags" w:element="country-region">
        <w:r w:rsidR="005E6A19" w:rsidRPr="00B124DC">
          <w:rPr>
            <w:lang w:val="en-GB"/>
          </w:rPr>
          <w:t>Spain</w:t>
        </w:r>
      </w:smartTag>
      <w:r w:rsidR="005E6A19" w:rsidRPr="00B124DC">
        <w:rPr>
          <w:lang w:val="en-GB"/>
        </w:rPr>
        <w:t xml:space="preserve">, </w:t>
      </w:r>
      <w:smartTag w:uri="urn:schemas-microsoft-com:office:smarttags" w:element="country-region">
        <w:r w:rsidR="005E6A19" w:rsidRPr="00B124DC">
          <w:rPr>
            <w:lang w:val="en-GB"/>
          </w:rPr>
          <w:t>Sweden</w:t>
        </w:r>
      </w:smartTag>
      <w:r w:rsidR="005E6A19" w:rsidRPr="00B124DC">
        <w:rPr>
          <w:lang w:val="en-GB"/>
        </w:rPr>
        <w:t xml:space="preserve">, </w:t>
      </w:r>
      <w:smartTag w:uri="urn:schemas-microsoft-com:office:smarttags" w:element="country-region">
        <w:r w:rsidR="005E6A19" w:rsidRPr="00B124DC">
          <w:rPr>
            <w:lang w:val="en-GB"/>
          </w:rPr>
          <w:t>Switzerland</w:t>
        </w:r>
      </w:smartTag>
      <w:r w:rsidR="005E6A19" w:rsidRPr="00B124DC">
        <w:rPr>
          <w:lang w:val="en-GB"/>
        </w:rPr>
        <w:t xml:space="preserve"> and the </w:t>
      </w:r>
      <w:smartTag w:uri="urn:schemas-microsoft-com:office:smarttags" w:element="place">
        <w:smartTag w:uri="urn:schemas-microsoft-com:office:smarttags" w:element="country-region">
          <w:r w:rsidR="005E6A19" w:rsidRPr="00B124DC">
            <w:rPr>
              <w:lang w:val="en-GB"/>
            </w:rPr>
            <w:t>United Kingdom</w:t>
          </w:r>
        </w:smartTag>
      </w:smartTag>
      <w:r w:rsidR="005E6A19" w:rsidRPr="00B124DC">
        <w:rPr>
          <w:lang w:val="en-GB"/>
        </w:rPr>
        <w:t>)</w:t>
      </w:r>
      <w:r w:rsidRPr="00B124DC">
        <w:rPr>
          <w:lang w:val="en-GB"/>
        </w:rPr>
        <w:t xml:space="preserve">, in some cases </w:t>
      </w:r>
      <w:r w:rsidR="005E6A19" w:rsidRPr="00B124DC">
        <w:rPr>
          <w:lang w:val="en-GB"/>
        </w:rPr>
        <w:t>following</w:t>
      </w:r>
      <w:r w:rsidRPr="00B124DC">
        <w:rPr>
          <w:lang w:val="en-GB"/>
        </w:rPr>
        <w:t xml:space="preserve"> a protracted legal debate, the State education authorities permit Muslim pupils and students to wear the Islamic headscarf.</w:t>
      </w:r>
    </w:p>
    <w:p w:rsidR="0098730A" w:rsidRPr="00B124DC" w:rsidRDefault="00D60850" w:rsidP="00F3240A">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59</w:t>
      </w:r>
      <w:r w:rsidRPr="00B124DC">
        <w:rPr>
          <w:lang w:val="en-GB"/>
        </w:rPr>
        <w:fldChar w:fldCharType="end"/>
      </w:r>
      <w:r w:rsidRPr="00B124DC">
        <w:rPr>
          <w:lang w:val="en-GB"/>
        </w:rPr>
        <w:t>.  </w:t>
      </w:r>
      <w:r w:rsidR="0017616B" w:rsidRPr="00B124DC">
        <w:rPr>
          <w:lang w:val="en-GB"/>
        </w:rPr>
        <w:t>In Germany, where the debate focused on whether teachers should be allowed to wear the Islamic headscarf, the Constitutional Court stated on 24</w:t>
      </w:r>
      <w:r w:rsidR="00AA2321" w:rsidRPr="00B124DC">
        <w:rPr>
          <w:lang w:val="en-GB"/>
        </w:rPr>
        <w:t> </w:t>
      </w:r>
      <w:r w:rsidR="0017616B" w:rsidRPr="00B124DC">
        <w:rPr>
          <w:lang w:val="en-GB"/>
        </w:rPr>
        <w:t xml:space="preserve">September 2003 in a case between a teacher and the </w:t>
      </w:r>
      <w:r w:rsidR="0017616B" w:rsidRPr="00B124DC">
        <w:rPr>
          <w:i/>
          <w:lang w:val="en-GB"/>
        </w:rPr>
        <w:t>Land</w:t>
      </w:r>
      <w:r w:rsidR="0017616B" w:rsidRPr="00B124DC">
        <w:rPr>
          <w:lang w:val="en-GB"/>
        </w:rPr>
        <w:t xml:space="preserve"> of Baden-Württemberg that the lack of any express statutory prohibition meant that teachers were entitled to wear the headscarf. </w:t>
      </w:r>
      <w:r w:rsidR="003643B4" w:rsidRPr="00B124DC">
        <w:rPr>
          <w:lang w:val="en-GB"/>
        </w:rPr>
        <w:t xml:space="preserve">Consequently, </w:t>
      </w:r>
      <w:r w:rsidR="00115620" w:rsidRPr="00B124DC">
        <w:rPr>
          <w:lang w:val="en-GB"/>
        </w:rPr>
        <w:t xml:space="preserve">it imposed a duty on the </w:t>
      </w:r>
      <w:r w:rsidR="00F3240A" w:rsidRPr="00B124DC">
        <w:rPr>
          <w:i/>
          <w:lang w:val="en-GB"/>
        </w:rPr>
        <w:t>L</w:t>
      </w:r>
      <w:r w:rsidR="00115620" w:rsidRPr="00B124DC">
        <w:rPr>
          <w:i/>
          <w:lang w:val="en-GB"/>
        </w:rPr>
        <w:t>ä</w:t>
      </w:r>
      <w:r w:rsidR="00F3240A" w:rsidRPr="00B124DC">
        <w:rPr>
          <w:i/>
          <w:lang w:val="en-GB"/>
        </w:rPr>
        <w:t>nd</w:t>
      </w:r>
      <w:r w:rsidR="00115620" w:rsidRPr="00B124DC">
        <w:rPr>
          <w:i/>
          <w:lang w:val="en-GB"/>
        </w:rPr>
        <w:t>e</w:t>
      </w:r>
      <w:r w:rsidR="00F3240A" w:rsidRPr="00B124DC">
        <w:rPr>
          <w:i/>
          <w:lang w:val="en-GB"/>
        </w:rPr>
        <w:t xml:space="preserve">r </w:t>
      </w:r>
      <w:r w:rsidR="00115620" w:rsidRPr="00B124DC">
        <w:rPr>
          <w:lang w:val="en-GB"/>
        </w:rPr>
        <w:t>to lay down rules on dress if they wish</w:t>
      </w:r>
      <w:r w:rsidR="00D74F13" w:rsidRPr="00B124DC">
        <w:rPr>
          <w:lang w:val="en-GB"/>
        </w:rPr>
        <w:t>ed</w:t>
      </w:r>
      <w:r w:rsidR="00115620" w:rsidRPr="00B124DC">
        <w:rPr>
          <w:lang w:val="en-GB"/>
        </w:rPr>
        <w:t xml:space="preserve"> to prohibit the wearing of the Islamic headscarf in State schools</w:t>
      </w:r>
      <w:r w:rsidR="00F3240A" w:rsidRPr="00B124DC">
        <w:rPr>
          <w:lang w:val="en-GB"/>
        </w:rPr>
        <w:t>.</w:t>
      </w:r>
    </w:p>
    <w:p w:rsidR="0098730A" w:rsidRPr="00B124DC" w:rsidRDefault="00F3240A" w:rsidP="00F3240A">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60</w:t>
      </w:r>
      <w:r w:rsidRPr="00B124DC">
        <w:rPr>
          <w:lang w:val="en-GB"/>
        </w:rPr>
        <w:fldChar w:fldCharType="end"/>
      </w:r>
      <w:r w:rsidRPr="00B124DC">
        <w:rPr>
          <w:lang w:val="en-GB"/>
        </w:rPr>
        <w:t>.  </w:t>
      </w:r>
      <w:r w:rsidR="00E30895" w:rsidRPr="00B124DC">
        <w:rPr>
          <w:lang w:val="en-GB"/>
        </w:rPr>
        <w:t xml:space="preserve">In </w:t>
      </w:r>
      <w:smartTag w:uri="urn:schemas-microsoft-com:office:smarttags" w:element="place">
        <w:smartTag w:uri="urn:schemas-microsoft-com:office:smarttags" w:element="country-region">
          <w:r w:rsidR="00E30895" w:rsidRPr="00B124DC">
            <w:rPr>
              <w:lang w:val="en-GB"/>
            </w:rPr>
            <w:t>Austria</w:t>
          </w:r>
        </w:smartTag>
      </w:smartTag>
      <w:r w:rsidR="00E30895" w:rsidRPr="00B124DC">
        <w:rPr>
          <w:lang w:val="en-GB"/>
        </w:rPr>
        <w:t xml:space="preserve"> there is no special legislation </w:t>
      </w:r>
      <w:r w:rsidR="004440A2" w:rsidRPr="00B124DC">
        <w:rPr>
          <w:lang w:val="en-GB"/>
        </w:rPr>
        <w:t>governing the</w:t>
      </w:r>
      <w:r w:rsidR="00E30895" w:rsidRPr="00B124DC">
        <w:rPr>
          <w:lang w:val="en-GB"/>
        </w:rPr>
        <w:t xml:space="preserve"> wearing </w:t>
      </w:r>
      <w:r w:rsidR="004440A2" w:rsidRPr="00B124DC">
        <w:rPr>
          <w:lang w:val="en-GB"/>
        </w:rPr>
        <w:t xml:space="preserve">of </w:t>
      </w:r>
      <w:r w:rsidR="00E30895" w:rsidRPr="00B124DC">
        <w:rPr>
          <w:lang w:val="en-GB"/>
        </w:rPr>
        <w:t>the headscarf, turban or kippa.</w:t>
      </w:r>
      <w:r w:rsidRPr="00B124DC">
        <w:rPr>
          <w:lang w:val="en-GB"/>
        </w:rPr>
        <w:t xml:space="preserve"> I</w:t>
      </w:r>
      <w:r w:rsidR="00735784" w:rsidRPr="00B124DC">
        <w:rPr>
          <w:lang w:val="en-GB"/>
        </w:rPr>
        <w:t xml:space="preserve">n </w:t>
      </w:r>
      <w:r w:rsidRPr="00B124DC">
        <w:rPr>
          <w:lang w:val="en-GB"/>
        </w:rPr>
        <w:t>g</w:t>
      </w:r>
      <w:r w:rsidR="00735784" w:rsidRPr="00B124DC">
        <w:rPr>
          <w:lang w:val="en-GB"/>
        </w:rPr>
        <w:t>e</w:t>
      </w:r>
      <w:r w:rsidRPr="00B124DC">
        <w:rPr>
          <w:lang w:val="en-GB"/>
        </w:rPr>
        <w:t>n</w:t>
      </w:r>
      <w:r w:rsidR="00735784" w:rsidRPr="00B124DC">
        <w:rPr>
          <w:lang w:val="en-GB"/>
        </w:rPr>
        <w:t>e</w:t>
      </w:r>
      <w:r w:rsidRPr="00B124DC">
        <w:rPr>
          <w:lang w:val="en-GB"/>
        </w:rPr>
        <w:t>ral</w:t>
      </w:r>
      <w:r w:rsidR="00735784" w:rsidRPr="00B124DC">
        <w:rPr>
          <w:lang w:val="en-GB"/>
        </w:rPr>
        <w:t>,</w:t>
      </w:r>
      <w:r w:rsidRPr="00B124DC">
        <w:rPr>
          <w:lang w:val="en-GB"/>
        </w:rPr>
        <w:t xml:space="preserve"> </w:t>
      </w:r>
      <w:r w:rsidR="00735784" w:rsidRPr="00B124DC">
        <w:rPr>
          <w:lang w:val="en-GB"/>
        </w:rPr>
        <w:t>it is considered that a ban on wearing the headscarf will only be justified if it poses a health or safety hazard for pupils</w:t>
      </w:r>
      <w:r w:rsidRPr="00B124DC">
        <w:rPr>
          <w:lang w:val="en-GB"/>
        </w:rPr>
        <w:t>.</w:t>
      </w:r>
    </w:p>
    <w:p w:rsidR="0098730A" w:rsidRPr="00B124DC" w:rsidRDefault="00F3240A" w:rsidP="00F3240A">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61</w:t>
      </w:r>
      <w:r w:rsidRPr="00B124DC">
        <w:rPr>
          <w:lang w:val="en-GB"/>
        </w:rPr>
        <w:fldChar w:fldCharType="end"/>
      </w:r>
      <w:r w:rsidRPr="00B124DC">
        <w:rPr>
          <w:lang w:val="en-GB"/>
        </w:rPr>
        <w:t>.  </w:t>
      </w:r>
      <w:r w:rsidR="00963A17" w:rsidRPr="00B124DC">
        <w:rPr>
          <w:lang w:val="en-GB"/>
        </w:rPr>
        <w:t xml:space="preserve">In the </w:t>
      </w:r>
      <w:smartTag w:uri="urn:schemas-microsoft-com:office:smarttags" w:element="place">
        <w:smartTag w:uri="urn:schemas-microsoft-com:office:smarttags" w:element="country-region">
          <w:r w:rsidR="00963A17" w:rsidRPr="00B124DC">
            <w:rPr>
              <w:lang w:val="en-GB"/>
            </w:rPr>
            <w:t>United Kingdom</w:t>
          </w:r>
        </w:smartTag>
      </w:smartTag>
      <w:r w:rsidR="00963A17" w:rsidRPr="00B124DC">
        <w:rPr>
          <w:lang w:val="en-GB"/>
        </w:rPr>
        <w:t xml:space="preserve"> a tolerant attitude is shown to pupils who wear religious signs. Difficulties with respect to the Islamic headscarf are rare. </w:t>
      </w:r>
      <w:r w:rsidR="0033567B" w:rsidRPr="00B124DC">
        <w:rPr>
          <w:lang w:val="en-GB"/>
        </w:rPr>
        <w:t xml:space="preserve">The issue has also been debated in the context of the elimination of racial discrimination </w:t>
      </w:r>
      <w:r w:rsidR="00A612B4" w:rsidRPr="00B124DC">
        <w:rPr>
          <w:lang w:val="en-GB"/>
        </w:rPr>
        <w:t>in</w:t>
      </w:r>
      <w:r w:rsidR="0033567B" w:rsidRPr="00B124DC">
        <w:rPr>
          <w:lang w:val="en-GB"/>
        </w:rPr>
        <w:t xml:space="preserve"> school</w:t>
      </w:r>
      <w:r w:rsidR="00A612B4" w:rsidRPr="00B124DC">
        <w:rPr>
          <w:lang w:val="en-GB"/>
        </w:rPr>
        <w:t>s</w:t>
      </w:r>
      <w:r w:rsidR="0033567B" w:rsidRPr="00B124DC">
        <w:rPr>
          <w:lang w:val="en-GB"/>
        </w:rPr>
        <w:t xml:space="preserve"> in order to preserve the</w:t>
      </w:r>
      <w:r w:rsidR="00A612B4" w:rsidRPr="00B124DC">
        <w:rPr>
          <w:lang w:val="en-GB"/>
        </w:rPr>
        <w:t>ir</w:t>
      </w:r>
      <w:r w:rsidR="0033567B" w:rsidRPr="00B124DC">
        <w:rPr>
          <w:lang w:val="en-GB"/>
        </w:rPr>
        <w:t xml:space="preserve"> multicultural character </w:t>
      </w:r>
      <w:r w:rsidRPr="00B124DC">
        <w:rPr>
          <w:lang w:val="en-GB"/>
        </w:rPr>
        <w:t>(</w:t>
      </w:r>
      <w:r w:rsidR="0033567B" w:rsidRPr="00B124DC">
        <w:rPr>
          <w:lang w:val="en-GB"/>
        </w:rPr>
        <w:t xml:space="preserve">see, in particular, </w:t>
      </w:r>
      <w:r w:rsidRPr="00B124DC">
        <w:rPr>
          <w:i/>
          <w:lang w:val="en-GB"/>
        </w:rPr>
        <w:t>Mandla v. Dowell</w:t>
      </w:r>
      <w:r w:rsidRPr="00932AF2">
        <w:rPr>
          <w:lang w:val="en-GB"/>
        </w:rPr>
        <w:t xml:space="preserve">, </w:t>
      </w:r>
      <w:r w:rsidRPr="00B124DC">
        <w:rPr>
          <w:lang w:val="en-GB"/>
        </w:rPr>
        <w:t>The Law Reports</w:t>
      </w:r>
      <w:r w:rsidRPr="00B124DC">
        <w:rPr>
          <w:i/>
          <w:lang w:val="en-GB"/>
        </w:rPr>
        <w:t xml:space="preserve"> </w:t>
      </w:r>
      <w:r w:rsidRPr="00B124DC">
        <w:rPr>
          <w:lang w:val="en-GB"/>
        </w:rPr>
        <w:t xml:space="preserve">1983, </w:t>
      </w:r>
      <w:r w:rsidR="0033597D">
        <w:rPr>
          <w:lang w:val="en-GB"/>
        </w:rPr>
        <w:t>pp. </w:t>
      </w:r>
      <w:r w:rsidRPr="00B124DC">
        <w:rPr>
          <w:lang w:val="en-GB"/>
        </w:rPr>
        <w:t xml:space="preserve">548-70). </w:t>
      </w:r>
      <w:r w:rsidR="00257126" w:rsidRPr="00B124DC">
        <w:rPr>
          <w:lang w:val="en-GB"/>
        </w:rPr>
        <w:t xml:space="preserve">The Commission for Racial Equality, whose opinions have recommendation status only, also considered the issue of the Islamic headscarf in </w:t>
      </w:r>
      <w:r w:rsidRPr="00B124DC">
        <w:rPr>
          <w:lang w:val="en-GB"/>
        </w:rPr>
        <w:t xml:space="preserve">1988 </w:t>
      </w:r>
      <w:r w:rsidR="0033567B" w:rsidRPr="00B124DC">
        <w:rPr>
          <w:lang w:val="en-GB"/>
        </w:rPr>
        <w:t xml:space="preserve">in the </w:t>
      </w:r>
      <w:smartTag w:uri="urn:schemas-microsoft-com:office:smarttags" w:element="place">
        <w:smartTag w:uri="urn:schemas-microsoft-com:office:smarttags" w:element="PlaceName">
          <w:r w:rsidR="0033567B" w:rsidRPr="00B124DC">
            <w:rPr>
              <w:i/>
              <w:lang w:val="en-GB"/>
            </w:rPr>
            <w:t>Altrincham</w:t>
          </w:r>
        </w:smartTag>
        <w:r w:rsidR="0033567B" w:rsidRPr="00B124DC">
          <w:rPr>
            <w:i/>
            <w:lang w:val="en-GB"/>
          </w:rPr>
          <w:t xml:space="preserve"> </w:t>
        </w:r>
        <w:smartTag w:uri="urn:schemas-microsoft-com:office:smarttags" w:element="PlaceType">
          <w:r w:rsidR="0033567B" w:rsidRPr="00B124DC">
            <w:rPr>
              <w:i/>
              <w:lang w:val="en-GB"/>
            </w:rPr>
            <w:t>Grammar School</w:t>
          </w:r>
        </w:smartTag>
      </w:smartTag>
      <w:r w:rsidR="0033567B" w:rsidRPr="00B124DC">
        <w:rPr>
          <w:lang w:val="en-GB"/>
        </w:rPr>
        <w:t xml:space="preserve"> case, which ended in a compromise between </w:t>
      </w:r>
      <w:r w:rsidR="00801C94" w:rsidRPr="00B124DC">
        <w:rPr>
          <w:lang w:val="en-GB"/>
        </w:rPr>
        <w:t>a private</w:t>
      </w:r>
      <w:r w:rsidR="0033567B" w:rsidRPr="00B124DC">
        <w:rPr>
          <w:lang w:val="en-GB"/>
        </w:rPr>
        <w:t xml:space="preserve"> school and </w:t>
      </w:r>
      <w:r w:rsidR="0075530C" w:rsidRPr="00B124DC">
        <w:rPr>
          <w:lang w:val="en-GB"/>
        </w:rPr>
        <w:t>members of the</w:t>
      </w:r>
      <w:r w:rsidR="0033567B" w:rsidRPr="00B124DC">
        <w:rPr>
          <w:lang w:val="en-GB"/>
        </w:rPr>
        <w:t xml:space="preserve"> family of two sisters who wished to be allowed to wear the Islamic headscarf at </w:t>
      </w:r>
      <w:r w:rsidR="00801C94" w:rsidRPr="00B124DC">
        <w:rPr>
          <w:lang w:val="en-GB"/>
        </w:rPr>
        <w:t>the</w:t>
      </w:r>
      <w:r w:rsidR="0033567B" w:rsidRPr="00B124DC">
        <w:rPr>
          <w:lang w:val="en-GB"/>
        </w:rPr>
        <w:t xml:space="preserve"> school. The school agreed to allow them to wear the headscarf provided it was navy blue (the colour of the school uniform), kept fastened at the neck and not decorated.</w:t>
      </w:r>
    </w:p>
    <w:p w:rsidR="00E93ABA" w:rsidRPr="00B124DC" w:rsidRDefault="0033567B" w:rsidP="00F3240A">
      <w:pPr>
        <w:pStyle w:val="JuPara"/>
        <w:rPr>
          <w:lang w:val="en-GB"/>
        </w:rPr>
      </w:pPr>
      <w:r w:rsidRPr="00B124DC">
        <w:rPr>
          <w:lang w:val="en-GB"/>
        </w:rPr>
        <w:t xml:space="preserve">In </w:t>
      </w:r>
      <w:r w:rsidR="00F3240A" w:rsidRPr="00B124DC">
        <w:rPr>
          <w:i/>
          <w:lang w:val="en-GB"/>
        </w:rPr>
        <w:t>R</w:t>
      </w:r>
      <w:r w:rsidR="0033597D">
        <w:rPr>
          <w:i/>
          <w:lang w:val="en-GB"/>
        </w:rPr>
        <w:t>.</w:t>
      </w:r>
      <w:r w:rsidR="00F3240A" w:rsidRPr="00B124DC">
        <w:rPr>
          <w:i/>
          <w:lang w:val="en-GB"/>
        </w:rPr>
        <w:t xml:space="preserve"> (On the application of Begum) v. Headteacher and Governors of </w:t>
      </w:r>
      <w:smartTag w:uri="urn:schemas-microsoft-com:office:smarttags" w:element="place">
        <w:smartTag w:uri="urn:schemas-microsoft-com:office:smarttags" w:element="PlaceName">
          <w:r w:rsidR="00F3240A" w:rsidRPr="00B124DC">
            <w:rPr>
              <w:i/>
              <w:lang w:val="en-GB"/>
            </w:rPr>
            <w:t>Denbigh</w:t>
          </w:r>
        </w:smartTag>
        <w:r w:rsidR="00F3240A" w:rsidRPr="00B124DC">
          <w:rPr>
            <w:i/>
            <w:lang w:val="en-GB"/>
          </w:rPr>
          <w:t xml:space="preserve"> </w:t>
        </w:r>
        <w:smartTag w:uri="urn:schemas-microsoft-com:office:smarttags" w:element="PlaceType">
          <w:r w:rsidR="00F3240A" w:rsidRPr="00B124DC">
            <w:rPr>
              <w:i/>
              <w:lang w:val="en-GB"/>
            </w:rPr>
            <w:t>High School</w:t>
          </w:r>
        </w:smartTag>
      </w:smartTag>
      <w:r w:rsidR="00F3240A" w:rsidRPr="00B124DC">
        <w:rPr>
          <w:lang w:val="en-GB"/>
        </w:rPr>
        <w:t xml:space="preserve"> </w:t>
      </w:r>
      <w:r w:rsidR="0033597D">
        <w:rPr>
          <w:lang w:val="en-GB"/>
        </w:rPr>
        <w:t>(</w:t>
      </w:r>
      <w:r w:rsidR="00F3240A" w:rsidRPr="00B124DC">
        <w:rPr>
          <w:lang w:val="en-GB"/>
        </w:rPr>
        <w:t>[2004]</w:t>
      </w:r>
      <w:r w:rsidR="0033597D">
        <w:rPr>
          <w:lang w:val="en-GB"/>
        </w:rPr>
        <w:t xml:space="preserve"> </w:t>
      </w:r>
      <w:r w:rsidR="00E70ECC">
        <w:rPr>
          <w:lang w:val="en-GB"/>
        </w:rPr>
        <w:t>EWHC</w:t>
      </w:r>
      <w:r w:rsidR="0033597D">
        <w:rPr>
          <w:lang w:val="en-GB"/>
        </w:rPr>
        <w:t xml:space="preserve"> 1389</w:t>
      </w:r>
      <w:r w:rsidR="00E70ECC">
        <w:rPr>
          <w:lang w:val="en-GB"/>
        </w:rPr>
        <w:t xml:space="preserve"> (Admin)</w:t>
      </w:r>
      <w:r w:rsidR="0033597D">
        <w:rPr>
          <w:lang w:val="en-GB"/>
        </w:rPr>
        <w:t>)</w:t>
      </w:r>
      <w:r w:rsidR="00F3240A" w:rsidRPr="00B124DC">
        <w:rPr>
          <w:lang w:val="en-GB"/>
        </w:rPr>
        <w:t xml:space="preserve">, </w:t>
      </w:r>
      <w:r w:rsidRPr="00B124DC">
        <w:rPr>
          <w:lang w:val="en-GB"/>
        </w:rPr>
        <w:t>the</w:t>
      </w:r>
      <w:r w:rsidR="00F3240A" w:rsidRPr="00B124DC">
        <w:rPr>
          <w:lang w:val="en-GB"/>
        </w:rPr>
        <w:t xml:space="preserve"> High Court </w:t>
      </w:r>
      <w:r w:rsidRPr="00B124DC">
        <w:rPr>
          <w:lang w:val="en-GB"/>
        </w:rPr>
        <w:t>had to decide a dispute between</w:t>
      </w:r>
      <w:r w:rsidR="006401E6" w:rsidRPr="00B124DC">
        <w:rPr>
          <w:lang w:val="en-GB"/>
        </w:rPr>
        <w:t xml:space="preserve"> </w:t>
      </w:r>
      <w:r w:rsidR="00A92DFB" w:rsidRPr="00B124DC">
        <w:rPr>
          <w:lang w:val="en-GB"/>
        </w:rPr>
        <w:t xml:space="preserve">the school and </w:t>
      </w:r>
      <w:r w:rsidR="006401E6" w:rsidRPr="00B124DC">
        <w:rPr>
          <w:lang w:val="en-GB"/>
        </w:rPr>
        <w:t xml:space="preserve">a Muslim pupil wishing to wear the </w:t>
      </w:r>
      <w:r w:rsidR="006401E6" w:rsidRPr="0033597D">
        <w:rPr>
          <w:i/>
          <w:lang w:val="en-GB"/>
        </w:rPr>
        <w:t>jilbab</w:t>
      </w:r>
      <w:r w:rsidRPr="00B124DC">
        <w:rPr>
          <w:lang w:val="en-GB"/>
        </w:rPr>
        <w:t xml:space="preserve"> </w:t>
      </w:r>
      <w:r w:rsidR="006401E6" w:rsidRPr="00B124DC">
        <w:rPr>
          <w:lang w:val="en-GB"/>
        </w:rPr>
        <w:t>(a full-length gown)</w:t>
      </w:r>
      <w:r w:rsidR="00F3240A" w:rsidRPr="00B124DC">
        <w:rPr>
          <w:lang w:val="en-GB"/>
        </w:rPr>
        <w:t xml:space="preserve">. </w:t>
      </w:r>
      <w:r w:rsidR="001F2673" w:rsidRPr="00B124DC">
        <w:rPr>
          <w:lang w:val="en-GB"/>
        </w:rPr>
        <w:t>The school required pupils to wear a uniform</w:t>
      </w:r>
      <w:r w:rsidR="00B1042A" w:rsidRPr="00B124DC">
        <w:rPr>
          <w:lang w:val="en-GB"/>
        </w:rPr>
        <w:t>, one of the possible options being</w:t>
      </w:r>
      <w:r w:rsidR="001F2673" w:rsidRPr="00B124DC">
        <w:rPr>
          <w:lang w:val="en-GB"/>
        </w:rPr>
        <w:t xml:space="preserve"> the headscarf and </w:t>
      </w:r>
      <w:r w:rsidR="0033597D">
        <w:rPr>
          <w:lang w:val="en-GB"/>
        </w:rPr>
        <w:t>the</w:t>
      </w:r>
      <w:r w:rsidR="00E34F83" w:rsidRPr="00B124DC">
        <w:rPr>
          <w:lang w:val="en-GB"/>
        </w:rPr>
        <w:t xml:space="preserve"> </w:t>
      </w:r>
      <w:r w:rsidR="00E34F83" w:rsidRPr="0033597D">
        <w:rPr>
          <w:i/>
          <w:lang w:val="en-GB"/>
        </w:rPr>
        <w:t>shalwar kameez</w:t>
      </w:r>
      <w:r w:rsidR="00E34F83" w:rsidRPr="00B124DC">
        <w:rPr>
          <w:lang w:val="en-GB"/>
        </w:rPr>
        <w:t xml:space="preserve">e </w:t>
      </w:r>
      <w:r w:rsidR="001F2673" w:rsidRPr="00B124DC">
        <w:rPr>
          <w:lang w:val="en-GB"/>
        </w:rPr>
        <w:t>(long traditional garments from the Indian subcontinent</w:t>
      </w:r>
      <w:r w:rsidR="00DE3BB0" w:rsidRPr="00B124DC">
        <w:rPr>
          <w:lang w:val="en-GB"/>
        </w:rPr>
        <w:t>)</w:t>
      </w:r>
      <w:r w:rsidR="00F3240A" w:rsidRPr="00B124DC">
        <w:rPr>
          <w:lang w:val="en-GB"/>
        </w:rPr>
        <w:t xml:space="preserve">. </w:t>
      </w:r>
      <w:r w:rsidR="001F2673" w:rsidRPr="00B124DC">
        <w:rPr>
          <w:lang w:val="en-GB"/>
        </w:rPr>
        <w:t>In June 2004</w:t>
      </w:r>
      <w:r w:rsidR="00F3240A" w:rsidRPr="00B124DC">
        <w:rPr>
          <w:lang w:val="en-GB"/>
        </w:rPr>
        <w:t xml:space="preserve"> </w:t>
      </w:r>
      <w:r w:rsidR="00DE3BB0" w:rsidRPr="00B124DC">
        <w:rPr>
          <w:lang w:val="en-GB"/>
        </w:rPr>
        <w:t xml:space="preserve">the High Court </w:t>
      </w:r>
      <w:r w:rsidR="001F2673" w:rsidRPr="00B124DC">
        <w:rPr>
          <w:lang w:val="en-GB"/>
        </w:rPr>
        <w:t>dismissed the pupil</w:t>
      </w:r>
      <w:r w:rsidR="0006350D">
        <w:rPr>
          <w:lang w:val="en-GB"/>
        </w:rPr>
        <w:t>’</w:t>
      </w:r>
      <w:r w:rsidR="001F2673" w:rsidRPr="00B124DC">
        <w:rPr>
          <w:lang w:val="en-GB"/>
        </w:rPr>
        <w:t>s application, holding that there had been no violation of her freedom of religion</w:t>
      </w:r>
      <w:r w:rsidR="00F3240A" w:rsidRPr="00B124DC">
        <w:rPr>
          <w:lang w:val="en-GB"/>
        </w:rPr>
        <w:t xml:space="preserve">. </w:t>
      </w:r>
      <w:r w:rsidR="001F2673" w:rsidRPr="00B124DC">
        <w:rPr>
          <w:lang w:val="en-GB"/>
        </w:rPr>
        <w:t>However, that judgment was reversed in March 2005 by the Court of Appeal, which accepted that there had been interference with the pupil</w:t>
      </w:r>
      <w:r w:rsidR="0006350D">
        <w:rPr>
          <w:lang w:val="en-GB"/>
        </w:rPr>
        <w:t>’</w:t>
      </w:r>
      <w:r w:rsidR="001F2673" w:rsidRPr="00B124DC">
        <w:rPr>
          <w:lang w:val="en-GB"/>
        </w:rPr>
        <w:t xml:space="preserve">s freedom of religion, as a minority of Muslims in the </w:t>
      </w:r>
      <w:smartTag w:uri="urn:schemas-microsoft-com:office:smarttags" w:element="place">
        <w:smartTag w:uri="urn:schemas-microsoft-com:office:smarttags" w:element="country-region">
          <w:r w:rsidR="001F2673" w:rsidRPr="00B124DC">
            <w:rPr>
              <w:lang w:val="en-GB"/>
            </w:rPr>
            <w:t>United Kingdom</w:t>
          </w:r>
        </w:smartTag>
      </w:smartTag>
      <w:r w:rsidR="001F2673" w:rsidRPr="00B124DC">
        <w:rPr>
          <w:lang w:val="en-GB"/>
        </w:rPr>
        <w:t xml:space="preserve"> considered that a religious duty to wear the </w:t>
      </w:r>
      <w:r w:rsidR="001F2673" w:rsidRPr="0033597D">
        <w:rPr>
          <w:i/>
          <w:lang w:val="en-GB"/>
        </w:rPr>
        <w:t>jilbab</w:t>
      </w:r>
      <w:r w:rsidR="001F2673" w:rsidRPr="00B124DC">
        <w:rPr>
          <w:lang w:val="en-GB"/>
        </w:rPr>
        <w:t xml:space="preserve"> from the age of puberty existed </w:t>
      </w:r>
      <w:r w:rsidR="00D017F3" w:rsidRPr="00B124DC">
        <w:rPr>
          <w:lang w:val="en-GB"/>
        </w:rPr>
        <w:t>and the pupil was genuinely of that opinion</w:t>
      </w:r>
      <w:r w:rsidR="00F3240A" w:rsidRPr="00B124DC">
        <w:rPr>
          <w:lang w:val="en-GB"/>
        </w:rPr>
        <w:t xml:space="preserve">. </w:t>
      </w:r>
      <w:r w:rsidR="00E93ABA" w:rsidRPr="00B124DC">
        <w:rPr>
          <w:lang w:val="en-GB"/>
        </w:rPr>
        <w:t>No justification for the interference had been provided by the school authorities, as the decision-making process was not compatible with freedom of religion.</w:t>
      </w:r>
    </w:p>
    <w:p w:rsidR="0098730A" w:rsidRPr="00B124DC" w:rsidRDefault="00F3240A" w:rsidP="00F3240A">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62</w:t>
      </w:r>
      <w:r w:rsidRPr="00B124DC">
        <w:rPr>
          <w:lang w:val="en-GB"/>
        </w:rPr>
        <w:fldChar w:fldCharType="end"/>
      </w:r>
      <w:r w:rsidRPr="00B124DC">
        <w:rPr>
          <w:lang w:val="en-GB"/>
        </w:rPr>
        <w:t>.  </w:t>
      </w:r>
      <w:r w:rsidR="00564754" w:rsidRPr="00B124DC">
        <w:rPr>
          <w:lang w:val="en-GB"/>
        </w:rPr>
        <w:t xml:space="preserve">In </w:t>
      </w:r>
      <w:smartTag w:uri="urn:schemas-microsoft-com:office:smarttags" w:element="place">
        <w:smartTag w:uri="urn:schemas-microsoft-com:office:smarttags" w:element="country-region">
          <w:r w:rsidR="00564754" w:rsidRPr="00B124DC">
            <w:rPr>
              <w:lang w:val="en-GB"/>
            </w:rPr>
            <w:t>Spain</w:t>
          </w:r>
        </w:smartTag>
      </w:smartTag>
      <w:r w:rsidR="00564754" w:rsidRPr="00B124DC">
        <w:rPr>
          <w:lang w:val="en-GB"/>
        </w:rPr>
        <w:t xml:space="preserve"> there is no express statutory prohibition on pupils</w:t>
      </w:r>
      <w:r w:rsidR="0006350D">
        <w:rPr>
          <w:lang w:val="en-GB"/>
        </w:rPr>
        <w:t>’</w:t>
      </w:r>
      <w:r w:rsidR="00564754" w:rsidRPr="00B124DC">
        <w:rPr>
          <w:lang w:val="en-GB"/>
        </w:rPr>
        <w:t xml:space="preserve"> wearing religious head</w:t>
      </w:r>
      <w:r w:rsidR="00E6354C" w:rsidRPr="00B124DC">
        <w:rPr>
          <w:lang w:val="en-GB"/>
        </w:rPr>
        <w:t xml:space="preserve"> coverings</w:t>
      </w:r>
      <w:r w:rsidR="00564754" w:rsidRPr="00B124DC">
        <w:rPr>
          <w:lang w:val="en-GB"/>
        </w:rPr>
        <w:t xml:space="preserve"> in State schools. By virtue of two royal </w:t>
      </w:r>
      <w:r w:rsidR="0033597D">
        <w:rPr>
          <w:lang w:val="en-GB"/>
        </w:rPr>
        <w:t>d</w:t>
      </w:r>
      <w:r w:rsidR="00564754" w:rsidRPr="00B124DC">
        <w:rPr>
          <w:lang w:val="en-GB"/>
        </w:rPr>
        <w:t xml:space="preserve">ecrees of </w:t>
      </w:r>
      <w:smartTag w:uri="urn:schemas-microsoft-com:office:smarttags" w:element="date">
        <w:smartTagPr>
          <w:attr w:name="Month" w:val="1"/>
          <w:attr w:name="Day" w:val="26"/>
          <w:attr w:name="Year" w:val="1996"/>
        </w:smartTagPr>
        <w:r w:rsidR="00564754" w:rsidRPr="00B124DC">
          <w:rPr>
            <w:lang w:val="en-GB"/>
          </w:rPr>
          <w:t>26</w:t>
        </w:r>
        <w:r w:rsidR="00230E24" w:rsidRPr="00B124DC">
          <w:rPr>
            <w:lang w:val="en-GB"/>
          </w:rPr>
          <w:t> </w:t>
        </w:r>
        <w:r w:rsidR="00564754" w:rsidRPr="00B124DC">
          <w:rPr>
            <w:lang w:val="en-GB"/>
          </w:rPr>
          <w:t>January 1996</w:t>
        </w:r>
      </w:smartTag>
      <w:r w:rsidR="00B86E7A" w:rsidRPr="00B124DC">
        <w:rPr>
          <w:lang w:val="en-GB"/>
        </w:rPr>
        <w:t>,</w:t>
      </w:r>
      <w:r w:rsidR="00564754" w:rsidRPr="00B124DC">
        <w:rPr>
          <w:lang w:val="en-GB"/>
        </w:rPr>
        <w:t xml:space="preserve"> which are applicable in primary and secondary schools unless the competent authority – the autonomous community – ha</w:t>
      </w:r>
      <w:r w:rsidR="00230E24" w:rsidRPr="00B124DC">
        <w:rPr>
          <w:lang w:val="en-GB"/>
        </w:rPr>
        <w:t>s</w:t>
      </w:r>
      <w:r w:rsidR="00564754" w:rsidRPr="00B124DC">
        <w:rPr>
          <w:lang w:val="en-GB"/>
        </w:rPr>
        <w:t xml:space="preserve"> </w:t>
      </w:r>
      <w:r w:rsidR="00B86E7A" w:rsidRPr="00B124DC">
        <w:rPr>
          <w:lang w:val="en-GB"/>
        </w:rPr>
        <w:t>introduced</w:t>
      </w:r>
      <w:r w:rsidR="00564754" w:rsidRPr="00B124DC">
        <w:rPr>
          <w:lang w:val="en-GB"/>
        </w:rPr>
        <w:t xml:space="preserve"> specific measures</w:t>
      </w:r>
      <w:r w:rsidR="00B86E7A" w:rsidRPr="00B124DC">
        <w:rPr>
          <w:lang w:val="en-GB"/>
        </w:rPr>
        <w:t>,</w:t>
      </w:r>
      <w:r w:rsidR="00564754" w:rsidRPr="00B124DC">
        <w:rPr>
          <w:lang w:val="en-GB"/>
        </w:rPr>
        <w:t xml:space="preserve"> the school governors have power to issue school rules which may include provisions </w:t>
      </w:r>
      <w:r w:rsidR="00230E24" w:rsidRPr="00B124DC">
        <w:rPr>
          <w:lang w:val="en-GB"/>
        </w:rPr>
        <w:t>on</w:t>
      </w:r>
      <w:r w:rsidR="00564754" w:rsidRPr="00B124DC">
        <w:rPr>
          <w:lang w:val="en-GB"/>
        </w:rPr>
        <w:t xml:space="preserve"> dress. Generally speaking, State schools allow the headscarf to be worn.</w:t>
      </w:r>
    </w:p>
    <w:p w:rsidR="00F3240A" w:rsidRPr="00B124DC" w:rsidRDefault="00F3240A" w:rsidP="00F3240A">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63</w:t>
      </w:r>
      <w:r w:rsidRPr="00B124DC">
        <w:rPr>
          <w:lang w:val="en-GB"/>
        </w:rPr>
        <w:fldChar w:fldCharType="end"/>
      </w:r>
      <w:r w:rsidRPr="00B124DC">
        <w:rPr>
          <w:lang w:val="en-GB"/>
        </w:rPr>
        <w:t>.  </w:t>
      </w:r>
      <w:r w:rsidR="00BB5365" w:rsidRPr="00B124DC">
        <w:rPr>
          <w:lang w:val="en-GB"/>
        </w:rPr>
        <w:t>I</w:t>
      </w:r>
      <w:r w:rsidRPr="00B124DC">
        <w:rPr>
          <w:lang w:val="en-GB"/>
        </w:rPr>
        <w:t xml:space="preserve">n </w:t>
      </w:r>
      <w:smartTag w:uri="urn:schemas-microsoft-com:office:smarttags" w:element="country-region">
        <w:r w:rsidR="006C62FA" w:rsidRPr="00B124DC">
          <w:rPr>
            <w:lang w:val="en-GB"/>
          </w:rPr>
          <w:t>Finland</w:t>
        </w:r>
      </w:smartTag>
      <w:r w:rsidR="00BB5365" w:rsidRPr="00B124DC">
        <w:rPr>
          <w:lang w:val="en-GB"/>
        </w:rPr>
        <w:t xml:space="preserve"> and </w:t>
      </w:r>
      <w:smartTag w:uri="urn:schemas-microsoft-com:office:smarttags" w:element="place">
        <w:smartTag w:uri="urn:schemas-microsoft-com:office:smarttags" w:element="country-region">
          <w:r w:rsidR="00BB5365" w:rsidRPr="00B124DC">
            <w:rPr>
              <w:lang w:val="en-GB"/>
            </w:rPr>
            <w:t>Sweden</w:t>
          </w:r>
        </w:smartTag>
      </w:smartTag>
      <w:r w:rsidR="00BB5365" w:rsidRPr="00B124DC">
        <w:rPr>
          <w:lang w:val="en-GB"/>
        </w:rPr>
        <w:t xml:space="preserve"> the veil can be worn at</w:t>
      </w:r>
      <w:r w:rsidR="00B64049" w:rsidRPr="00B124DC">
        <w:rPr>
          <w:lang w:val="en-GB"/>
        </w:rPr>
        <w:t xml:space="preserve"> school</w:t>
      </w:r>
      <w:r w:rsidRPr="00B124DC">
        <w:rPr>
          <w:lang w:val="en-GB"/>
        </w:rPr>
        <w:t xml:space="preserve">. </w:t>
      </w:r>
      <w:r w:rsidR="00BB5365" w:rsidRPr="00B124DC">
        <w:rPr>
          <w:lang w:val="en-GB"/>
        </w:rPr>
        <w:t xml:space="preserve">However, </w:t>
      </w:r>
      <w:r w:rsidR="00B64049" w:rsidRPr="00B124DC">
        <w:rPr>
          <w:lang w:val="en-GB"/>
        </w:rPr>
        <w:t>a</w:t>
      </w:r>
      <w:r w:rsidR="00BB5365" w:rsidRPr="00B124DC">
        <w:rPr>
          <w:lang w:val="en-GB"/>
        </w:rPr>
        <w:t xml:space="preserve"> distinction is made between the </w:t>
      </w:r>
      <w:r w:rsidR="00BB5365" w:rsidRPr="0033597D">
        <w:rPr>
          <w:i/>
          <w:lang w:val="en-GB"/>
        </w:rPr>
        <w:t>burka</w:t>
      </w:r>
      <w:r w:rsidR="00BB5365" w:rsidRPr="00B124DC">
        <w:rPr>
          <w:lang w:val="en-GB"/>
        </w:rPr>
        <w:t xml:space="preserve"> </w:t>
      </w:r>
      <w:r w:rsidRPr="00B124DC">
        <w:rPr>
          <w:lang w:val="en-GB"/>
        </w:rPr>
        <w:t>(</w:t>
      </w:r>
      <w:r w:rsidR="00BB5365" w:rsidRPr="00B124DC">
        <w:rPr>
          <w:lang w:val="en-GB"/>
        </w:rPr>
        <w:t>the term used to describe the f</w:t>
      </w:r>
      <w:r w:rsidR="00AC64F4" w:rsidRPr="00B124DC">
        <w:rPr>
          <w:lang w:val="en-GB"/>
        </w:rPr>
        <w:t>u</w:t>
      </w:r>
      <w:r w:rsidR="00BB5365" w:rsidRPr="00B124DC">
        <w:rPr>
          <w:lang w:val="en-GB"/>
        </w:rPr>
        <w:t>ll veil covering the whole of the body and the face</w:t>
      </w:r>
      <w:r w:rsidRPr="00B124DC">
        <w:rPr>
          <w:lang w:val="en-GB"/>
        </w:rPr>
        <w:t xml:space="preserve">) </w:t>
      </w:r>
      <w:r w:rsidR="00BB5365" w:rsidRPr="00B124DC">
        <w:rPr>
          <w:lang w:val="en-GB"/>
        </w:rPr>
        <w:t>and the</w:t>
      </w:r>
      <w:r w:rsidRPr="00B124DC">
        <w:rPr>
          <w:lang w:val="en-GB"/>
        </w:rPr>
        <w:t xml:space="preserve"> </w:t>
      </w:r>
      <w:r w:rsidR="00BB5365" w:rsidRPr="0033597D">
        <w:rPr>
          <w:i/>
          <w:lang w:val="en-GB"/>
        </w:rPr>
        <w:t>niqab</w:t>
      </w:r>
      <w:r w:rsidR="00BB5365" w:rsidRPr="00B124DC">
        <w:rPr>
          <w:lang w:val="en-GB"/>
        </w:rPr>
        <w:t xml:space="preserve"> </w:t>
      </w:r>
      <w:r w:rsidRPr="00B124DC">
        <w:rPr>
          <w:lang w:val="en-GB"/>
        </w:rPr>
        <w:t>(</w:t>
      </w:r>
      <w:r w:rsidR="00BB5365" w:rsidRPr="00B124DC">
        <w:rPr>
          <w:lang w:val="en-GB"/>
        </w:rPr>
        <w:t>a veil covering all the upper body with the exception of the eyes</w:t>
      </w:r>
      <w:r w:rsidRPr="00B124DC">
        <w:rPr>
          <w:lang w:val="en-GB"/>
        </w:rPr>
        <w:t xml:space="preserve">). </w:t>
      </w:r>
      <w:r w:rsidR="00BB5365" w:rsidRPr="00B124DC">
        <w:rPr>
          <w:lang w:val="en-GB"/>
        </w:rPr>
        <w:t xml:space="preserve">In </w:t>
      </w:r>
      <w:smartTag w:uri="urn:schemas-microsoft-com:office:smarttags" w:element="place">
        <w:smartTag w:uri="urn:schemas-microsoft-com:office:smarttags" w:element="country-region">
          <w:r w:rsidR="00BB5365" w:rsidRPr="00B124DC">
            <w:rPr>
              <w:lang w:val="en-GB"/>
            </w:rPr>
            <w:t>Sweden</w:t>
          </w:r>
        </w:smartTag>
      </w:smartTag>
      <w:r w:rsidR="007D027C" w:rsidRPr="00B124DC">
        <w:rPr>
          <w:lang w:val="en-GB"/>
        </w:rPr>
        <w:t xml:space="preserve"> mandatory directives were issued in 2003 by the National Education Agency</w:t>
      </w:r>
      <w:r w:rsidRPr="00B124DC">
        <w:rPr>
          <w:lang w:val="en-GB"/>
        </w:rPr>
        <w:t xml:space="preserve">. </w:t>
      </w:r>
      <w:r w:rsidR="007D027C" w:rsidRPr="00B124DC">
        <w:rPr>
          <w:lang w:val="en-GB"/>
        </w:rPr>
        <w:t>The</w:t>
      </w:r>
      <w:r w:rsidR="00AC64F4" w:rsidRPr="00B124DC">
        <w:rPr>
          <w:lang w:val="en-GB"/>
        </w:rPr>
        <w:t>se</w:t>
      </w:r>
      <w:r w:rsidR="007D027C" w:rsidRPr="00B124DC">
        <w:rPr>
          <w:lang w:val="en-GB"/>
        </w:rPr>
        <w:t xml:space="preserve"> allow schools to prohibit the </w:t>
      </w:r>
      <w:r w:rsidR="007D027C" w:rsidRPr="0033597D">
        <w:rPr>
          <w:i/>
          <w:lang w:val="en-GB"/>
        </w:rPr>
        <w:t>burka</w:t>
      </w:r>
      <w:r w:rsidR="007D027C" w:rsidRPr="00B124DC">
        <w:rPr>
          <w:lang w:val="en-GB"/>
        </w:rPr>
        <w:t xml:space="preserve"> and </w:t>
      </w:r>
      <w:r w:rsidRPr="0033597D">
        <w:rPr>
          <w:i/>
          <w:lang w:val="en-GB"/>
        </w:rPr>
        <w:t>niqab</w:t>
      </w:r>
      <w:r w:rsidRPr="00B124DC">
        <w:rPr>
          <w:lang w:val="en-GB"/>
        </w:rPr>
        <w:t xml:space="preserve">, </w:t>
      </w:r>
      <w:r w:rsidR="007D027C" w:rsidRPr="00B124DC">
        <w:rPr>
          <w:lang w:val="en-GB"/>
        </w:rPr>
        <w:t>provided they d</w:t>
      </w:r>
      <w:r w:rsidR="00E6354C" w:rsidRPr="00B124DC">
        <w:rPr>
          <w:lang w:val="en-GB"/>
        </w:rPr>
        <w:t>o</w:t>
      </w:r>
      <w:r w:rsidR="007D027C" w:rsidRPr="00B124DC">
        <w:rPr>
          <w:lang w:val="en-GB"/>
        </w:rPr>
        <w:t xml:space="preserve"> so in a spirit of dialogue on the common values of equality of the sexes and respect for the democratic principle </w:t>
      </w:r>
      <w:r w:rsidR="0041253D" w:rsidRPr="00B124DC">
        <w:rPr>
          <w:lang w:val="en-GB"/>
        </w:rPr>
        <w:t xml:space="preserve">on </w:t>
      </w:r>
      <w:r w:rsidR="007D027C" w:rsidRPr="00B124DC">
        <w:rPr>
          <w:lang w:val="en-GB"/>
        </w:rPr>
        <w:t xml:space="preserve">which the education system </w:t>
      </w:r>
      <w:r w:rsidR="00E6354C" w:rsidRPr="00B124DC">
        <w:rPr>
          <w:lang w:val="en-GB"/>
        </w:rPr>
        <w:t>i</w:t>
      </w:r>
      <w:r w:rsidR="007D027C" w:rsidRPr="00B124DC">
        <w:rPr>
          <w:lang w:val="en-GB"/>
        </w:rPr>
        <w:t>s based</w:t>
      </w:r>
      <w:r w:rsidRPr="00B124DC">
        <w:rPr>
          <w:lang w:val="en-GB"/>
        </w:rPr>
        <w:t>.</w:t>
      </w:r>
    </w:p>
    <w:p w:rsidR="0098730A" w:rsidRPr="00B124DC" w:rsidRDefault="00F3240A" w:rsidP="00F3240A">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64</w:t>
      </w:r>
      <w:r w:rsidRPr="00B124DC">
        <w:rPr>
          <w:lang w:val="en-GB"/>
        </w:rPr>
        <w:fldChar w:fldCharType="end"/>
      </w:r>
      <w:r w:rsidRPr="00B124DC">
        <w:rPr>
          <w:lang w:val="en-GB"/>
        </w:rPr>
        <w:t>.  </w:t>
      </w:r>
      <w:r w:rsidR="00107994" w:rsidRPr="00B124DC">
        <w:rPr>
          <w:lang w:val="en-GB"/>
        </w:rPr>
        <w:t xml:space="preserve">In the </w:t>
      </w:r>
      <w:smartTag w:uri="urn:schemas-microsoft-com:office:smarttags" w:element="place">
        <w:smartTag w:uri="urn:schemas-microsoft-com:office:smarttags" w:element="country-region">
          <w:r w:rsidR="00107994" w:rsidRPr="00B124DC">
            <w:rPr>
              <w:lang w:val="en-GB"/>
            </w:rPr>
            <w:t>Netherlands</w:t>
          </w:r>
        </w:smartTag>
      </w:smartTag>
      <w:r w:rsidR="00107994" w:rsidRPr="00B124DC">
        <w:rPr>
          <w:lang w:val="en-GB"/>
        </w:rPr>
        <w:t xml:space="preserve">, where the question of the Islamic headscarf is considered from the </w:t>
      </w:r>
      <w:r w:rsidR="00AC64F4" w:rsidRPr="00B124DC">
        <w:rPr>
          <w:lang w:val="en-GB"/>
        </w:rPr>
        <w:t>standpoint</w:t>
      </w:r>
      <w:r w:rsidR="00107994" w:rsidRPr="00B124DC">
        <w:rPr>
          <w:lang w:val="en-GB"/>
        </w:rPr>
        <w:t xml:space="preserve"> of discrimination rather than of freedom of religion, it is generally tolerated. In 2003 a non-binding directive was issued. Schools may require pupils to wear a uniform provided </w:t>
      </w:r>
      <w:r w:rsidR="00AC64F4" w:rsidRPr="00B124DC">
        <w:rPr>
          <w:lang w:val="en-GB"/>
        </w:rPr>
        <w:t xml:space="preserve">that </w:t>
      </w:r>
      <w:r w:rsidR="00107994" w:rsidRPr="00B124DC">
        <w:rPr>
          <w:lang w:val="en-GB"/>
        </w:rPr>
        <w:t>the rules are not discriminatory</w:t>
      </w:r>
      <w:r w:rsidR="00AC64F4" w:rsidRPr="00B124DC">
        <w:rPr>
          <w:lang w:val="en-GB"/>
        </w:rPr>
        <w:t xml:space="preserve"> and</w:t>
      </w:r>
      <w:r w:rsidR="00107994" w:rsidRPr="00B124DC">
        <w:rPr>
          <w:lang w:val="en-GB"/>
        </w:rPr>
        <w:t xml:space="preserve"> are included in the school </w:t>
      </w:r>
      <w:r w:rsidR="001455F5" w:rsidRPr="00B124DC">
        <w:rPr>
          <w:lang w:val="en-GB"/>
        </w:rPr>
        <w:t>prospectus</w:t>
      </w:r>
      <w:r w:rsidR="00107994" w:rsidRPr="00B124DC">
        <w:rPr>
          <w:lang w:val="en-GB"/>
        </w:rPr>
        <w:t xml:space="preserve"> and that the punishment for </w:t>
      </w:r>
      <w:r w:rsidR="00AC64F4" w:rsidRPr="00B124DC">
        <w:rPr>
          <w:lang w:val="en-GB"/>
        </w:rPr>
        <w:t>transgressions</w:t>
      </w:r>
      <w:r w:rsidR="00107994" w:rsidRPr="00B124DC">
        <w:rPr>
          <w:lang w:val="en-GB"/>
        </w:rPr>
        <w:t xml:space="preserve"> is not disproportionate</w:t>
      </w:r>
      <w:r w:rsidRPr="00B124DC">
        <w:rPr>
          <w:lang w:val="en-GB"/>
        </w:rPr>
        <w:t xml:space="preserve">. </w:t>
      </w:r>
      <w:r w:rsidR="00DB7076" w:rsidRPr="00B124DC">
        <w:rPr>
          <w:lang w:val="en-GB"/>
        </w:rPr>
        <w:t xml:space="preserve">A ban on the </w:t>
      </w:r>
      <w:r w:rsidR="00DB7076" w:rsidRPr="0033597D">
        <w:rPr>
          <w:i/>
          <w:lang w:val="en-GB"/>
        </w:rPr>
        <w:t>burka</w:t>
      </w:r>
      <w:r w:rsidR="00DB7076" w:rsidRPr="00B124DC">
        <w:rPr>
          <w:lang w:val="en-GB"/>
        </w:rPr>
        <w:t xml:space="preserve"> is regarded as justified by the need to be able to identify and communicate with pupils</w:t>
      </w:r>
      <w:r w:rsidRPr="00B124DC">
        <w:rPr>
          <w:lang w:val="en-GB"/>
        </w:rPr>
        <w:t>.</w:t>
      </w:r>
      <w:r w:rsidR="00107994" w:rsidRPr="00B124DC">
        <w:rPr>
          <w:lang w:val="en-GB"/>
        </w:rPr>
        <w:t xml:space="preserve"> In addition</w:t>
      </w:r>
      <w:r w:rsidRPr="00B124DC">
        <w:rPr>
          <w:lang w:val="en-GB"/>
        </w:rPr>
        <w:t xml:space="preserve">, </w:t>
      </w:r>
      <w:r w:rsidR="00107994" w:rsidRPr="00B124DC">
        <w:rPr>
          <w:lang w:val="en-GB"/>
        </w:rPr>
        <w:t xml:space="preserve">the Equal Treatment Commission ruled in 1997 that a ban on wearing the veil during </w:t>
      </w:r>
      <w:r w:rsidR="0033597D">
        <w:rPr>
          <w:lang w:val="en-GB"/>
        </w:rPr>
        <w:t>physical education classes</w:t>
      </w:r>
      <w:r w:rsidR="00107994" w:rsidRPr="00B124DC">
        <w:rPr>
          <w:lang w:val="en-GB"/>
        </w:rPr>
        <w:t xml:space="preserve"> for safety reasons </w:t>
      </w:r>
      <w:r w:rsidR="00AC64F4" w:rsidRPr="00B124DC">
        <w:rPr>
          <w:lang w:val="en-GB"/>
        </w:rPr>
        <w:t>was</w:t>
      </w:r>
      <w:r w:rsidR="00107994" w:rsidRPr="00B124DC">
        <w:rPr>
          <w:lang w:val="en-GB"/>
        </w:rPr>
        <w:t xml:space="preserve"> not discriminat</w:t>
      </w:r>
      <w:r w:rsidR="00AC64F4" w:rsidRPr="00B124DC">
        <w:rPr>
          <w:lang w:val="en-GB"/>
        </w:rPr>
        <w:t>ory</w:t>
      </w:r>
      <w:r w:rsidRPr="00B124DC">
        <w:rPr>
          <w:lang w:val="en-GB"/>
        </w:rPr>
        <w:t>.</w:t>
      </w:r>
    </w:p>
    <w:p w:rsidR="0017616B" w:rsidRPr="00B124DC" w:rsidRDefault="001A113B" w:rsidP="00F3240A">
      <w:pPr>
        <w:pStyle w:val="JuParaCharCharChar0"/>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65</w:t>
      </w:r>
      <w:r w:rsidRPr="00B124DC">
        <w:rPr>
          <w:lang w:val="en-GB"/>
        </w:rPr>
        <w:fldChar w:fldCharType="end"/>
      </w:r>
      <w:r w:rsidRPr="00B124DC">
        <w:rPr>
          <w:lang w:val="en-GB"/>
        </w:rPr>
        <w:t>.  </w:t>
      </w:r>
      <w:r w:rsidR="00B86E7A" w:rsidRPr="00B124DC">
        <w:rPr>
          <w:lang w:val="en-GB"/>
        </w:rPr>
        <w:t xml:space="preserve">In </w:t>
      </w:r>
      <w:r w:rsidR="0017616B" w:rsidRPr="00B124DC">
        <w:rPr>
          <w:lang w:val="en-GB"/>
        </w:rPr>
        <w:t>a number of other countries</w:t>
      </w:r>
      <w:r w:rsidR="00255F32" w:rsidRPr="00B124DC">
        <w:rPr>
          <w:lang w:val="en-GB"/>
        </w:rPr>
        <w:t xml:space="preserve"> (</w:t>
      </w:r>
      <w:smartTag w:uri="urn:schemas-microsoft-com:office:smarttags" w:element="country-region">
        <w:r w:rsidR="00765D6E">
          <w:rPr>
            <w:lang w:val="en-GB"/>
          </w:rPr>
          <w:t>Russia</w:t>
        </w:r>
      </w:smartTag>
      <w:r w:rsidR="00765D6E">
        <w:rPr>
          <w:lang w:val="en-GB"/>
        </w:rPr>
        <w:t xml:space="preserve">, </w:t>
      </w:r>
      <w:smartTag w:uri="urn:schemas-microsoft-com:office:smarttags" w:element="country-region">
        <w:r w:rsidR="00765D6E">
          <w:rPr>
            <w:lang w:val="en-GB"/>
          </w:rPr>
          <w:t>Romania</w:t>
        </w:r>
      </w:smartTag>
      <w:r w:rsidR="00765D6E">
        <w:rPr>
          <w:lang w:val="en-GB"/>
        </w:rPr>
        <w:t xml:space="preserve">, </w:t>
      </w:r>
      <w:smartTag w:uri="urn:schemas-microsoft-com:office:smarttags" w:element="country-region">
        <w:r w:rsidR="00765D6E" w:rsidRPr="00B124DC">
          <w:rPr>
            <w:lang w:val="en-GB"/>
          </w:rPr>
          <w:t>Hungary</w:t>
        </w:r>
      </w:smartTag>
      <w:r w:rsidR="00765D6E">
        <w:rPr>
          <w:lang w:val="en-GB"/>
        </w:rPr>
        <w:t>,</w:t>
      </w:r>
      <w:r w:rsidR="00765D6E" w:rsidRPr="00B124DC">
        <w:rPr>
          <w:lang w:val="en-GB"/>
        </w:rPr>
        <w:t xml:space="preserve"> </w:t>
      </w:r>
      <w:smartTag w:uri="urn:schemas-microsoft-com:office:smarttags" w:element="country-region">
        <w:r w:rsidR="00765D6E" w:rsidRPr="00B124DC">
          <w:rPr>
            <w:lang w:val="en-GB"/>
          </w:rPr>
          <w:t>Greece</w:t>
        </w:r>
      </w:smartTag>
      <w:r w:rsidR="00765D6E" w:rsidRPr="00B124DC">
        <w:rPr>
          <w:lang w:val="en-GB"/>
        </w:rPr>
        <w:t>,</w:t>
      </w:r>
      <w:r w:rsidR="00765D6E">
        <w:rPr>
          <w:lang w:val="en-GB"/>
        </w:rPr>
        <w:t xml:space="preserve"> </w:t>
      </w:r>
      <w:r w:rsidR="00255F32" w:rsidRPr="00B124DC">
        <w:rPr>
          <w:lang w:val="en-GB"/>
        </w:rPr>
        <w:t xml:space="preserve">the </w:t>
      </w:r>
      <w:smartTag w:uri="urn:schemas-microsoft-com:office:smarttags" w:element="country-region">
        <w:r w:rsidR="00255F32" w:rsidRPr="00B124DC">
          <w:rPr>
            <w:lang w:val="en-GB"/>
          </w:rPr>
          <w:t>Czech Republic</w:t>
        </w:r>
      </w:smartTag>
      <w:r w:rsidR="00255F32" w:rsidRPr="00B124DC">
        <w:rPr>
          <w:lang w:val="en-GB"/>
        </w:rPr>
        <w:t xml:space="preserve">, </w:t>
      </w:r>
      <w:smartTag w:uri="urn:schemas-microsoft-com:office:smarttags" w:element="country-region">
        <w:r w:rsidR="00765D6E" w:rsidRPr="00B124DC">
          <w:rPr>
            <w:lang w:val="en-GB"/>
          </w:rPr>
          <w:t>Slovakia</w:t>
        </w:r>
      </w:smartTag>
      <w:r w:rsidR="00771C86">
        <w:rPr>
          <w:lang w:val="en-GB"/>
        </w:rPr>
        <w:t xml:space="preserve"> and</w:t>
      </w:r>
      <w:r w:rsidR="00765D6E">
        <w:rPr>
          <w:lang w:val="en-GB"/>
        </w:rPr>
        <w:t xml:space="preserve"> </w:t>
      </w:r>
      <w:smartTag w:uri="urn:schemas-microsoft-com:office:smarttags" w:element="country-region">
        <w:smartTag w:uri="urn:schemas-microsoft-com:office:smarttags" w:element="place">
          <w:r w:rsidR="00255F32" w:rsidRPr="00B124DC">
            <w:rPr>
              <w:lang w:val="en-GB"/>
            </w:rPr>
            <w:t>Poland</w:t>
          </w:r>
        </w:smartTag>
      </w:smartTag>
      <w:r w:rsidR="00255F32" w:rsidRPr="00B124DC">
        <w:rPr>
          <w:lang w:val="en-GB"/>
        </w:rPr>
        <w:t>)</w:t>
      </w:r>
      <w:r w:rsidR="0017616B" w:rsidRPr="00B124DC">
        <w:rPr>
          <w:lang w:val="en-GB"/>
        </w:rPr>
        <w:t xml:space="preserve">, the issue of the Islamic headscarf </w:t>
      </w:r>
      <w:r w:rsidR="00B86E7A" w:rsidRPr="00B124DC">
        <w:rPr>
          <w:lang w:val="en-GB"/>
        </w:rPr>
        <w:t xml:space="preserve">does not </w:t>
      </w:r>
      <w:r w:rsidR="0017616B" w:rsidRPr="00B124DC">
        <w:rPr>
          <w:lang w:val="en-GB"/>
        </w:rPr>
        <w:t xml:space="preserve">yet </w:t>
      </w:r>
      <w:r w:rsidR="00B86E7A" w:rsidRPr="00B124DC">
        <w:rPr>
          <w:lang w:val="en-GB"/>
        </w:rPr>
        <w:t xml:space="preserve">appear </w:t>
      </w:r>
      <w:r w:rsidR="0017616B" w:rsidRPr="00B124DC">
        <w:rPr>
          <w:lang w:val="en-GB"/>
        </w:rPr>
        <w:t xml:space="preserve">to </w:t>
      </w:r>
      <w:r w:rsidR="00B86E7A" w:rsidRPr="00B124DC">
        <w:rPr>
          <w:lang w:val="en-GB"/>
        </w:rPr>
        <w:t xml:space="preserve">have </w:t>
      </w:r>
      <w:r w:rsidR="0017616B" w:rsidRPr="00B124DC">
        <w:rPr>
          <w:lang w:val="en-GB"/>
        </w:rPr>
        <w:t>give</w:t>
      </w:r>
      <w:r w:rsidR="00B86E7A" w:rsidRPr="00B124DC">
        <w:rPr>
          <w:lang w:val="en-GB"/>
        </w:rPr>
        <w:t>n</w:t>
      </w:r>
      <w:r w:rsidR="0017616B" w:rsidRPr="00B124DC">
        <w:rPr>
          <w:lang w:val="en-GB"/>
        </w:rPr>
        <w:t xml:space="preserve"> rise to any detailed legal debate.</w:t>
      </w:r>
    </w:p>
    <w:p w:rsidR="001A113B" w:rsidRPr="00B124DC" w:rsidRDefault="00BB0E66" w:rsidP="001A113B">
      <w:pPr>
        <w:pStyle w:val="JuHA"/>
        <w:rPr>
          <w:lang w:val="en-GB"/>
        </w:rPr>
      </w:pPr>
      <w:r w:rsidRPr="00B124DC">
        <w:rPr>
          <w:lang w:val="en-GB"/>
        </w:rPr>
        <w:br w:type="page"/>
      </w:r>
      <w:r w:rsidR="001A113B" w:rsidRPr="00B124DC">
        <w:rPr>
          <w:lang w:val="en-GB"/>
        </w:rPr>
        <w:t>E.  </w:t>
      </w:r>
      <w:r w:rsidR="00E97431" w:rsidRPr="00B124DC">
        <w:rPr>
          <w:lang w:val="en-GB"/>
        </w:rPr>
        <w:t xml:space="preserve">The relevant Council of </w:t>
      </w:r>
      <w:smartTag w:uri="urn:schemas-microsoft-com:office:smarttags" w:element="place">
        <w:r w:rsidR="00E97431" w:rsidRPr="00B124DC">
          <w:rPr>
            <w:lang w:val="en-GB"/>
          </w:rPr>
          <w:t>Europe</w:t>
        </w:r>
      </w:smartTag>
      <w:r w:rsidR="00E97431" w:rsidRPr="00B124DC">
        <w:rPr>
          <w:lang w:val="en-GB"/>
        </w:rPr>
        <w:t xml:space="preserve"> text</w:t>
      </w:r>
      <w:r w:rsidR="001A113B" w:rsidRPr="00B124DC">
        <w:rPr>
          <w:lang w:val="en-GB"/>
        </w:rPr>
        <w:t xml:space="preserve">s </w:t>
      </w:r>
      <w:r w:rsidR="00E97431" w:rsidRPr="00B124DC">
        <w:rPr>
          <w:lang w:val="en-GB"/>
        </w:rPr>
        <w:t>on higher education</w:t>
      </w:r>
    </w:p>
    <w:p w:rsidR="0098730A" w:rsidRPr="00B124DC" w:rsidRDefault="001A113B" w:rsidP="001A113B">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66</w:t>
      </w:r>
      <w:r w:rsidRPr="00B124DC">
        <w:rPr>
          <w:lang w:val="en-GB"/>
        </w:rPr>
        <w:fldChar w:fldCharType="end"/>
      </w:r>
      <w:r w:rsidRPr="00B124DC">
        <w:rPr>
          <w:lang w:val="en-GB"/>
        </w:rPr>
        <w:t>.  </w:t>
      </w:r>
      <w:r w:rsidR="00E97431" w:rsidRPr="00B124DC">
        <w:rPr>
          <w:lang w:val="en-GB"/>
        </w:rPr>
        <w:t>Among the various texts adopted by the Council of Europe on higher education</w:t>
      </w:r>
      <w:r w:rsidR="00771C86">
        <w:rPr>
          <w:lang w:val="en-GB"/>
        </w:rPr>
        <w:t>,</w:t>
      </w:r>
      <w:r w:rsidR="00E97431" w:rsidRPr="00B124DC">
        <w:rPr>
          <w:lang w:val="en-GB"/>
        </w:rPr>
        <w:t xml:space="preserve"> should be cited,</w:t>
      </w:r>
      <w:r w:rsidR="00771C86">
        <w:rPr>
          <w:lang w:val="en-GB"/>
        </w:rPr>
        <w:t xml:space="preserve"> first of all</w:t>
      </w:r>
      <w:r w:rsidR="00E97431" w:rsidRPr="00B124DC">
        <w:rPr>
          <w:lang w:val="en-GB"/>
        </w:rPr>
        <w:t xml:space="preserve">, </w:t>
      </w:r>
      <w:r w:rsidR="008318B0" w:rsidRPr="00B124DC">
        <w:rPr>
          <w:lang w:val="en-GB"/>
        </w:rPr>
        <w:t xml:space="preserve">Parliamentary </w:t>
      </w:r>
      <w:r w:rsidR="00E97431" w:rsidRPr="00B124DC">
        <w:rPr>
          <w:lang w:val="en-GB"/>
        </w:rPr>
        <w:t xml:space="preserve">Assembly </w:t>
      </w:r>
      <w:r w:rsidRPr="00B124DC">
        <w:rPr>
          <w:lang w:val="en-GB"/>
        </w:rPr>
        <w:t>Recomm</w:t>
      </w:r>
      <w:r w:rsidR="00E97431" w:rsidRPr="00B124DC">
        <w:rPr>
          <w:lang w:val="en-GB"/>
        </w:rPr>
        <w:t>e</w:t>
      </w:r>
      <w:r w:rsidRPr="00B124DC">
        <w:rPr>
          <w:lang w:val="en-GB"/>
        </w:rPr>
        <w:t>ndation 1353</w:t>
      </w:r>
      <w:r w:rsidR="00E97431" w:rsidRPr="00B124DC">
        <w:rPr>
          <w:lang w:val="en-GB"/>
        </w:rPr>
        <w:t xml:space="preserve"> </w:t>
      </w:r>
      <w:r w:rsidRPr="00B124DC">
        <w:rPr>
          <w:lang w:val="en-GB"/>
        </w:rPr>
        <w:t xml:space="preserve">(1998) </w:t>
      </w:r>
      <w:r w:rsidR="00E97431" w:rsidRPr="00B124DC">
        <w:rPr>
          <w:lang w:val="en-GB"/>
        </w:rPr>
        <w:t xml:space="preserve">on the </w:t>
      </w:r>
      <w:r w:rsidR="00CF7507">
        <w:rPr>
          <w:lang w:val="en-GB"/>
        </w:rPr>
        <w:t>a</w:t>
      </w:r>
      <w:r w:rsidR="00DD4CB6" w:rsidRPr="00B124DC">
        <w:rPr>
          <w:lang w:val="en-GB"/>
        </w:rPr>
        <w:t xml:space="preserve">ccess </w:t>
      </w:r>
      <w:r w:rsidR="00E97431" w:rsidRPr="00B124DC">
        <w:rPr>
          <w:lang w:val="en-GB"/>
        </w:rPr>
        <w:t xml:space="preserve">of </w:t>
      </w:r>
      <w:r w:rsidR="00CF7507">
        <w:rPr>
          <w:lang w:val="en-GB"/>
        </w:rPr>
        <w:t>m</w:t>
      </w:r>
      <w:r w:rsidR="00DD4CB6" w:rsidRPr="00B124DC">
        <w:rPr>
          <w:lang w:val="en-GB"/>
        </w:rPr>
        <w:t xml:space="preserve">inorities </w:t>
      </w:r>
      <w:r w:rsidR="00E97431" w:rsidRPr="00B124DC">
        <w:rPr>
          <w:lang w:val="en-GB"/>
        </w:rPr>
        <w:t xml:space="preserve">to </w:t>
      </w:r>
      <w:r w:rsidR="00CF7507">
        <w:rPr>
          <w:lang w:val="en-GB"/>
        </w:rPr>
        <w:t>h</w:t>
      </w:r>
      <w:r w:rsidR="00DD4CB6" w:rsidRPr="00B124DC">
        <w:rPr>
          <w:lang w:val="en-GB"/>
        </w:rPr>
        <w:t xml:space="preserve">igher </w:t>
      </w:r>
      <w:r w:rsidR="00CF7507">
        <w:rPr>
          <w:lang w:val="en-GB"/>
        </w:rPr>
        <w:t>e</w:t>
      </w:r>
      <w:r w:rsidR="00DD4CB6" w:rsidRPr="00B124DC">
        <w:rPr>
          <w:lang w:val="en-GB"/>
        </w:rPr>
        <w:t>ducation</w:t>
      </w:r>
      <w:r w:rsidRPr="00B124DC">
        <w:rPr>
          <w:bCs/>
          <w:lang w:val="en-GB"/>
        </w:rPr>
        <w:t>,</w:t>
      </w:r>
      <w:r w:rsidRPr="00B124DC">
        <w:rPr>
          <w:lang w:val="en-GB"/>
        </w:rPr>
        <w:t xml:space="preserve"> </w:t>
      </w:r>
      <w:r w:rsidR="00E97431" w:rsidRPr="00B124DC">
        <w:rPr>
          <w:lang w:val="en-GB"/>
        </w:rPr>
        <w:t xml:space="preserve">which was </w:t>
      </w:r>
      <w:r w:rsidRPr="00B124DC">
        <w:rPr>
          <w:lang w:val="en-GB"/>
        </w:rPr>
        <w:t>adopt</w:t>
      </w:r>
      <w:r w:rsidR="00E97431" w:rsidRPr="00B124DC">
        <w:rPr>
          <w:lang w:val="en-GB"/>
        </w:rPr>
        <w:t>ed on</w:t>
      </w:r>
      <w:r w:rsidRPr="00B124DC">
        <w:rPr>
          <w:lang w:val="en-GB"/>
        </w:rPr>
        <w:t xml:space="preserve"> 27 </w:t>
      </w:r>
      <w:r w:rsidR="00AD1DA5" w:rsidRPr="00B124DC">
        <w:rPr>
          <w:lang w:val="en-GB"/>
        </w:rPr>
        <w:t>January</w:t>
      </w:r>
      <w:r w:rsidRPr="00B124DC">
        <w:rPr>
          <w:lang w:val="en-GB"/>
        </w:rPr>
        <w:t xml:space="preserve"> 1998, </w:t>
      </w:r>
      <w:r w:rsidR="00E97431" w:rsidRPr="00B124DC">
        <w:rPr>
          <w:lang w:val="en-GB"/>
        </w:rPr>
        <w:t>and</w:t>
      </w:r>
      <w:r w:rsidRPr="00B124DC">
        <w:rPr>
          <w:lang w:val="en-GB"/>
        </w:rPr>
        <w:t xml:space="preserve"> </w:t>
      </w:r>
      <w:r w:rsidR="00E97431" w:rsidRPr="00B124DC">
        <w:rPr>
          <w:lang w:val="en-GB"/>
        </w:rPr>
        <w:t>Committee of Ministers</w:t>
      </w:r>
      <w:r w:rsidRPr="00B124DC">
        <w:rPr>
          <w:lang w:val="en-GB"/>
        </w:rPr>
        <w:t xml:space="preserve"> Recomm</w:t>
      </w:r>
      <w:r w:rsidR="00E97431" w:rsidRPr="00B124DC">
        <w:rPr>
          <w:lang w:val="en-GB"/>
        </w:rPr>
        <w:t>e</w:t>
      </w:r>
      <w:r w:rsidRPr="00B124DC">
        <w:rPr>
          <w:lang w:val="en-GB"/>
        </w:rPr>
        <w:t xml:space="preserve">ndation </w:t>
      </w:r>
      <w:r w:rsidR="00142B1C">
        <w:rPr>
          <w:lang w:val="en-GB"/>
        </w:rPr>
        <w:t>N</w:t>
      </w:r>
      <w:r w:rsidR="00E97431" w:rsidRPr="00B124DC">
        <w:rPr>
          <w:lang w:val="en-GB"/>
        </w:rPr>
        <w:t>o.</w:t>
      </w:r>
      <w:r w:rsidRPr="00B124DC">
        <w:rPr>
          <w:lang w:val="en-GB"/>
        </w:rPr>
        <w:t xml:space="preserve"> R (98) 3 </w:t>
      </w:r>
      <w:r w:rsidR="00E97431" w:rsidRPr="00B124DC">
        <w:rPr>
          <w:lang w:val="en-GB"/>
        </w:rPr>
        <w:t xml:space="preserve">on </w:t>
      </w:r>
      <w:r w:rsidR="00CF7507">
        <w:rPr>
          <w:lang w:val="en-GB"/>
        </w:rPr>
        <w:t>a</w:t>
      </w:r>
      <w:r w:rsidR="00E97431" w:rsidRPr="00B124DC">
        <w:rPr>
          <w:lang w:val="en-GB"/>
        </w:rPr>
        <w:t xml:space="preserve">ccess to </w:t>
      </w:r>
      <w:r w:rsidR="00CF7507">
        <w:rPr>
          <w:lang w:val="en-GB"/>
        </w:rPr>
        <w:t>h</w:t>
      </w:r>
      <w:r w:rsidR="00E97431" w:rsidRPr="00B124DC">
        <w:rPr>
          <w:lang w:val="en-GB"/>
        </w:rPr>
        <w:t xml:space="preserve">igher </w:t>
      </w:r>
      <w:r w:rsidR="00CF7507">
        <w:rPr>
          <w:lang w:val="en-GB"/>
        </w:rPr>
        <w:t>e</w:t>
      </w:r>
      <w:r w:rsidR="00E97431" w:rsidRPr="00B124DC">
        <w:rPr>
          <w:lang w:val="en-GB"/>
        </w:rPr>
        <w:t>ducation</w:t>
      </w:r>
      <w:r w:rsidRPr="00B124DC">
        <w:rPr>
          <w:lang w:val="en-GB"/>
        </w:rPr>
        <w:t xml:space="preserve">, </w:t>
      </w:r>
      <w:r w:rsidR="001455F5" w:rsidRPr="00B124DC">
        <w:rPr>
          <w:lang w:val="en-GB"/>
        </w:rPr>
        <w:t xml:space="preserve">which was </w:t>
      </w:r>
      <w:r w:rsidRPr="00B124DC">
        <w:rPr>
          <w:lang w:val="en-GB"/>
        </w:rPr>
        <w:t>adopt</w:t>
      </w:r>
      <w:r w:rsidR="00E97431" w:rsidRPr="00B124DC">
        <w:rPr>
          <w:lang w:val="en-GB"/>
        </w:rPr>
        <w:t>ed on</w:t>
      </w:r>
      <w:r w:rsidRPr="00B124DC">
        <w:rPr>
          <w:lang w:val="en-GB"/>
        </w:rPr>
        <w:t xml:space="preserve"> </w:t>
      </w:r>
      <w:smartTag w:uri="urn:schemas-microsoft-com:office:smarttags" w:element="date">
        <w:smartTagPr>
          <w:attr w:name="Month" w:val="3"/>
          <w:attr w:name="Day" w:val="17"/>
          <w:attr w:name="Year" w:val="1998"/>
        </w:smartTagPr>
        <w:r w:rsidRPr="00B124DC">
          <w:rPr>
            <w:lang w:val="en-GB"/>
          </w:rPr>
          <w:t xml:space="preserve">17 </w:t>
        </w:r>
        <w:r w:rsidR="00AD1DA5" w:rsidRPr="00B124DC">
          <w:rPr>
            <w:lang w:val="en-GB"/>
          </w:rPr>
          <w:t>March</w:t>
        </w:r>
        <w:r w:rsidRPr="00B124DC">
          <w:rPr>
            <w:lang w:val="en-GB"/>
          </w:rPr>
          <w:t xml:space="preserve"> 1998</w:t>
        </w:r>
      </w:smartTag>
      <w:r w:rsidRPr="00B124DC">
        <w:rPr>
          <w:lang w:val="en-GB"/>
        </w:rPr>
        <w:t>.</w:t>
      </w:r>
    </w:p>
    <w:p w:rsidR="0098730A" w:rsidRPr="00B124DC" w:rsidRDefault="008A389A" w:rsidP="001A113B">
      <w:pPr>
        <w:pStyle w:val="JuPara"/>
        <w:rPr>
          <w:lang w:val="en-GB"/>
        </w:rPr>
      </w:pPr>
      <w:r w:rsidRPr="00B124DC">
        <w:rPr>
          <w:lang w:val="en-GB"/>
        </w:rPr>
        <w:t xml:space="preserve">Another </w:t>
      </w:r>
      <w:r w:rsidR="007B1B5B" w:rsidRPr="00B124DC">
        <w:rPr>
          <w:lang w:val="en-GB"/>
        </w:rPr>
        <w:t xml:space="preserve">relevant </w:t>
      </w:r>
      <w:r w:rsidRPr="00B124DC">
        <w:rPr>
          <w:lang w:val="en-GB"/>
        </w:rPr>
        <w:t xml:space="preserve">instrument in this sphere is the joint </w:t>
      </w:r>
      <w:r w:rsidRPr="00B124DC">
        <w:rPr>
          <w:bCs/>
          <w:lang w:val="en-GB"/>
        </w:rPr>
        <w:t>Council of Europe/</w:t>
      </w:r>
      <w:r w:rsidR="001A113B" w:rsidRPr="00B124DC">
        <w:rPr>
          <w:bCs/>
          <w:lang w:val="en-GB"/>
        </w:rPr>
        <w:t>UNESCO</w:t>
      </w:r>
      <w:r w:rsidR="001A113B" w:rsidRPr="00B124DC">
        <w:rPr>
          <w:lang w:val="en-GB"/>
        </w:rPr>
        <w:t xml:space="preserve"> </w:t>
      </w:r>
      <w:r w:rsidRPr="00B124DC">
        <w:rPr>
          <w:lang w:val="en-GB"/>
        </w:rPr>
        <w:t>Convention on the Recognition of Qualifications concerning Higher Education in the European Region</w:t>
      </w:r>
      <w:r w:rsidR="001A113B" w:rsidRPr="00B124DC">
        <w:rPr>
          <w:lang w:val="en-GB"/>
        </w:rPr>
        <w:t xml:space="preserve">, </w:t>
      </w:r>
      <w:r w:rsidRPr="00B124DC">
        <w:rPr>
          <w:lang w:val="en-GB"/>
        </w:rPr>
        <w:t xml:space="preserve">which was </w:t>
      </w:r>
      <w:r w:rsidR="001A113B" w:rsidRPr="00B124DC">
        <w:rPr>
          <w:lang w:val="en-GB"/>
        </w:rPr>
        <w:t>sign</w:t>
      </w:r>
      <w:r w:rsidRPr="00B124DC">
        <w:rPr>
          <w:lang w:val="en-GB"/>
        </w:rPr>
        <w:t xml:space="preserve">ed in </w:t>
      </w:r>
      <w:smartTag w:uri="urn:schemas-microsoft-com:office:smarttags" w:element="place">
        <w:smartTag w:uri="urn:schemas-microsoft-com:office:smarttags" w:element="City">
          <w:r w:rsidR="001A113B" w:rsidRPr="00B124DC">
            <w:rPr>
              <w:lang w:val="en-GB"/>
            </w:rPr>
            <w:t>Lisbon</w:t>
          </w:r>
        </w:smartTag>
      </w:smartTag>
      <w:r w:rsidRPr="00B124DC">
        <w:rPr>
          <w:lang w:val="en-GB"/>
        </w:rPr>
        <w:t xml:space="preserve"> on</w:t>
      </w:r>
      <w:r w:rsidR="001A113B" w:rsidRPr="00B124DC">
        <w:rPr>
          <w:lang w:val="en-GB"/>
        </w:rPr>
        <w:t xml:space="preserve"> </w:t>
      </w:r>
      <w:smartTag w:uri="urn:schemas-microsoft-com:office:smarttags" w:element="date">
        <w:smartTagPr>
          <w:attr w:name="Month" w:val="4"/>
          <w:attr w:name="Day" w:val="11"/>
          <w:attr w:name="Year" w:val="1997"/>
        </w:smartTagPr>
        <w:r w:rsidR="001A113B" w:rsidRPr="00B124DC">
          <w:rPr>
            <w:lang w:val="en-GB"/>
          </w:rPr>
          <w:t xml:space="preserve">11 </w:t>
        </w:r>
        <w:r w:rsidR="00AD1DA5" w:rsidRPr="00B124DC">
          <w:rPr>
            <w:lang w:val="en-GB"/>
          </w:rPr>
          <w:t>April</w:t>
        </w:r>
        <w:r w:rsidR="001A113B" w:rsidRPr="00B124DC">
          <w:rPr>
            <w:lang w:val="en-GB"/>
          </w:rPr>
          <w:t xml:space="preserve"> 1997</w:t>
        </w:r>
      </w:smartTag>
      <w:r w:rsidR="001A113B" w:rsidRPr="00B124DC">
        <w:rPr>
          <w:lang w:val="en-GB"/>
        </w:rPr>
        <w:t xml:space="preserve"> </w:t>
      </w:r>
      <w:r w:rsidRPr="00B124DC">
        <w:rPr>
          <w:lang w:val="en-GB"/>
        </w:rPr>
        <w:t xml:space="preserve">and </w:t>
      </w:r>
      <w:r w:rsidR="00CF7507">
        <w:rPr>
          <w:lang w:val="en-GB"/>
        </w:rPr>
        <w:t>came</w:t>
      </w:r>
      <w:r w:rsidRPr="00B124DC">
        <w:rPr>
          <w:lang w:val="en-GB"/>
        </w:rPr>
        <w:t xml:space="preserve"> into force on</w:t>
      </w:r>
      <w:r w:rsidR="001A113B" w:rsidRPr="00B124DC">
        <w:rPr>
          <w:lang w:val="en-GB"/>
        </w:rPr>
        <w:t xml:space="preserve"> </w:t>
      </w:r>
      <w:smartTag w:uri="urn:schemas-microsoft-com:office:smarttags" w:element="date">
        <w:smartTagPr>
          <w:attr w:name="Month" w:val="2"/>
          <w:attr w:name="Day" w:val="1"/>
          <w:attr w:name="Year" w:val="1999"/>
        </w:smartTagPr>
        <w:r w:rsidR="001A113B" w:rsidRPr="00B124DC">
          <w:rPr>
            <w:lang w:val="en-GB"/>
          </w:rPr>
          <w:t xml:space="preserve">1 </w:t>
        </w:r>
        <w:r w:rsidR="00AD1DA5" w:rsidRPr="00B124DC">
          <w:rPr>
            <w:lang w:val="en-GB"/>
          </w:rPr>
          <w:t>February</w:t>
        </w:r>
        <w:r w:rsidR="001A113B" w:rsidRPr="00B124DC">
          <w:rPr>
            <w:lang w:val="en-GB"/>
          </w:rPr>
          <w:t xml:space="preserve"> 1999</w:t>
        </w:r>
      </w:smartTag>
      <w:r w:rsidR="001A113B" w:rsidRPr="00B124DC">
        <w:rPr>
          <w:lang w:val="en-GB"/>
        </w:rPr>
        <w:t>.</w:t>
      </w:r>
    </w:p>
    <w:p w:rsidR="0098730A" w:rsidRPr="00B124DC" w:rsidRDefault="001A113B" w:rsidP="001A113B">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67</w:t>
      </w:r>
      <w:r w:rsidRPr="00B124DC">
        <w:rPr>
          <w:lang w:val="en-GB"/>
        </w:rPr>
        <w:fldChar w:fldCharType="end"/>
      </w:r>
      <w:r w:rsidRPr="00B124DC">
        <w:rPr>
          <w:lang w:val="en-GB"/>
        </w:rPr>
        <w:t>.  </w:t>
      </w:r>
      <w:r w:rsidR="008A389A" w:rsidRPr="00B124DC">
        <w:rPr>
          <w:lang w:val="en-GB"/>
        </w:rPr>
        <w:t>The preamble to the</w:t>
      </w:r>
      <w:r w:rsidRPr="00B124DC">
        <w:rPr>
          <w:lang w:val="en-GB"/>
        </w:rPr>
        <w:t xml:space="preserve"> </w:t>
      </w:r>
      <w:r w:rsidR="008A389A" w:rsidRPr="00B124DC">
        <w:rPr>
          <w:lang w:val="en-GB"/>
        </w:rPr>
        <w:t>Convention on the Recognition of Qualifications concerning Higher Education in the European Region states</w:t>
      </w:r>
      <w:r w:rsidRPr="00B124DC">
        <w:rPr>
          <w:lang w:val="en-GB"/>
        </w:rPr>
        <w:t>:</w:t>
      </w:r>
    </w:p>
    <w:p w:rsidR="001A113B" w:rsidRPr="00B124DC" w:rsidRDefault="001A113B" w:rsidP="001A113B">
      <w:pPr>
        <w:pStyle w:val="JuQuot"/>
        <w:rPr>
          <w:lang w:val="en-GB"/>
        </w:rPr>
      </w:pPr>
      <w:r w:rsidRPr="00B124DC">
        <w:rPr>
          <w:lang w:val="en-GB"/>
        </w:rPr>
        <w:t>“</w:t>
      </w:r>
      <w:r w:rsidR="00E97431" w:rsidRPr="00B124DC">
        <w:rPr>
          <w:lang w:val="en-GB"/>
        </w:rPr>
        <w:t xml:space="preserve">Conscious of the fact that the right to education is a human right, and that higher education, which is instrumental in the pursuit and advancement of knowledge, constitutes an exceptionally rich cultural and scientific asset for both individuals and society </w:t>
      </w:r>
      <w:r w:rsidRPr="00B124DC">
        <w:rPr>
          <w:lang w:val="en-GB"/>
        </w:rPr>
        <w:t>...”</w:t>
      </w:r>
    </w:p>
    <w:p w:rsidR="0098730A" w:rsidRPr="00B124DC" w:rsidRDefault="001A113B" w:rsidP="001A113B">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68</w:t>
      </w:r>
      <w:r w:rsidRPr="00B124DC">
        <w:rPr>
          <w:lang w:val="en-GB"/>
        </w:rPr>
        <w:fldChar w:fldCharType="end"/>
      </w:r>
      <w:r w:rsidRPr="00B124DC">
        <w:rPr>
          <w:lang w:val="en-GB"/>
        </w:rPr>
        <w:t>.  </w:t>
      </w:r>
      <w:r w:rsidR="006C5E3F" w:rsidRPr="00B124DC">
        <w:rPr>
          <w:lang w:val="en-GB"/>
        </w:rPr>
        <w:t xml:space="preserve">On </w:t>
      </w:r>
      <w:smartTag w:uri="urn:schemas-microsoft-com:office:smarttags" w:element="date">
        <w:smartTagPr>
          <w:attr w:name="Month" w:val="3"/>
          <w:attr w:name="Day" w:val="17"/>
          <w:attr w:name="Year" w:val="1998"/>
        </w:smartTagPr>
        <w:r w:rsidR="006C5E3F" w:rsidRPr="00B124DC">
          <w:rPr>
            <w:lang w:val="en-GB"/>
          </w:rPr>
          <w:t>17 March 1998</w:t>
        </w:r>
      </w:smartTag>
      <w:r w:rsidR="006C5E3F" w:rsidRPr="00B124DC">
        <w:rPr>
          <w:lang w:val="en-GB"/>
        </w:rPr>
        <w:t xml:space="preserve"> the Committee of Ministers of the Council of Europe adopted </w:t>
      </w:r>
      <w:r w:rsidR="006C62FA" w:rsidRPr="00B124DC">
        <w:rPr>
          <w:lang w:val="en-GB"/>
        </w:rPr>
        <w:t>Recommendation</w:t>
      </w:r>
      <w:r w:rsidRPr="00B124DC">
        <w:rPr>
          <w:lang w:val="en-GB"/>
        </w:rPr>
        <w:t xml:space="preserve"> </w:t>
      </w:r>
      <w:r w:rsidR="00142B1C">
        <w:rPr>
          <w:lang w:val="en-GB"/>
        </w:rPr>
        <w:t>N</w:t>
      </w:r>
      <w:r w:rsidR="006C5E3F" w:rsidRPr="00B124DC">
        <w:rPr>
          <w:lang w:val="en-GB"/>
        </w:rPr>
        <w:t>o.</w:t>
      </w:r>
      <w:r w:rsidRPr="00B124DC">
        <w:rPr>
          <w:lang w:val="en-GB"/>
        </w:rPr>
        <w:t xml:space="preserve"> </w:t>
      </w:r>
      <w:r w:rsidR="006C5E3F" w:rsidRPr="00B124DC">
        <w:rPr>
          <w:lang w:val="en-GB"/>
        </w:rPr>
        <w:t xml:space="preserve">R </w:t>
      </w:r>
      <w:r w:rsidR="005526BC" w:rsidRPr="00B124DC">
        <w:rPr>
          <w:lang w:val="en-GB"/>
        </w:rPr>
        <w:t>(9</w:t>
      </w:r>
      <w:r w:rsidRPr="00B124DC">
        <w:rPr>
          <w:lang w:val="en-GB"/>
        </w:rPr>
        <w:t xml:space="preserve">8) 3 </w:t>
      </w:r>
      <w:r w:rsidR="00EC5420" w:rsidRPr="00B124DC">
        <w:rPr>
          <w:lang w:val="en-GB"/>
        </w:rPr>
        <w:t xml:space="preserve">on </w:t>
      </w:r>
      <w:r w:rsidR="00CF7507">
        <w:rPr>
          <w:lang w:val="en-GB"/>
        </w:rPr>
        <w:t>a</w:t>
      </w:r>
      <w:r w:rsidR="00EC5420" w:rsidRPr="00B124DC">
        <w:rPr>
          <w:lang w:val="en-GB"/>
        </w:rPr>
        <w:t xml:space="preserve">ccess to </w:t>
      </w:r>
      <w:r w:rsidR="00CF7507">
        <w:rPr>
          <w:lang w:val="en-GB"/>
        </w:rPr>
        <w:t>h</w:t>
      </w:r>
      <w:r w:rsidR="00EC5420" w:rsidRPr="00B124DC">
        <w:rPr>
          <w:lang w:val="en-GB"/>
        </w:rPr>
        <w:t xml:space="preserve">igher </w:t>
      </w:r>
      <w:r w:rsidR="00CF7507">
        <w:rPr>
          <w:lang w:val="en-GB"/>
        </w:rPr>
        <w:t>e</w:t>
      </w:r>
      <w:r w:rsidR="00EC5420" w:rsidRPr="00B124DC">
        <w:rPr>
          <w:lang w:val="en-GB"/>
        </w:rPr>
        <w:t>ducation</w:t>
      </w:r>
      <w:r w:rsidRPr="00B124DC">
        <w:rPr>
          <w:lang w:val="en-GB"/>
        </w:rPr>
        <w:t xml:space="preserve">. </w:t>
      </w:r>
      <w:r w:rsidR="00EC5420" w:rsidRPr="00B124DC">
        <w:rPr>
          <w:lang w:val="en-GB"/>
        </w:rPr>
        <w:t xml:space="preserve">In the </w:t>
      </w:r>
      <w:r w:rsidR="00532546" w:rsidRPr="00B124DC">
        <w:rPr>
          <w:lang w:val="en-GB"/>
        </w:rPr>
        <w:t xml:space="preserve">preamble to the recommendation </w:t>
      </w:r>
      <w:r w:rsidR="00EC5420" w:rsidRPr="00B124DC">
        <w:rPr>
          <w:lang w:val="en-GB"/>
        </w:rPr>
        <w:t xml:space="preserve">it is </w:t>
      </w:r>
      <w:r w:rsidR="00532546" w:rsidRPr="00B124DC">
        <w:rPr>
          <w:lang w:val="en-GB"/>
        </w:rPr>
        <w:t>state</w:t>
      </w:r>
      <w:r w:rsidR="00EC5420" w:rsidRPr="00B124DC">
        <w:rPr>
          <w:lang w:val="en-GB"/>
        </w:rPr>
        <w:t>d</w:t>
      </w:r>
      <w:r w:rsidRPr="00B124DC">
        <w:rPr>
          <w:lang w:val="en-GB"/>
        </w:rPr>
        <w:t>:</w:t>
      </w:r>
    </w:p>
    <w:p w:rsidR="001A113B" w:rsidRPr="00B124DC" w:rsidRDefault="001A113B" w:rsidP="00EC5420">
      <w:pPr>
        <w:pStyle w:val="JuQuot"/>
        <w:rPr>
          <w:lang w:val="en-GB"/>
        </w:rPr>
      </w:pPr>
      <w:r w:rsidRPr="00B124DC">
        <w:rPr>
          <w:lang w:val="en-GB"/>
        </w:rPr>
        <w:t>“</w:t>
      </w:r>
      <w:r w:rsidR="00EC5420" w:rsidRPr="00B124DC">
        <w:rPr>
          <w:lang w:val="en-GB"/>
        </w:rPr>
        <w:t xml:space="preserve">... </w:t>
      </w:r>
      <w:r w:rsidR="00EC5420" w:rsidRPr="00B124DC">
        <w:rPr>
          <w:szCs w:val="24"/>
          <w:lang w:val="en-GB"/>
        </w:rPr>
        <w:t xml:space="preserve">higher education has a key role to play in the promotion of human rights and fundamental freedoms and the strengthening of pluralistic democracy and tolerance </w:t>
      </w:r>
      <w:r w:rsidRPr="00B124DC">
        <w:rPr>
          <w:szCs w:val="24"/>
          <w:lang w:val="en-GB"/>
        </w:rPr>
        <w:t>[</w:t>
      </w:r>
      <w:r w:rsidR="00EC5420" w:rsidRPr="00B124DC">
        <w:rPr>
          <w:szCs w:val="24"/>
          <w:lang w:val="en-GB"/>
        </w:rPr>
        <w:t>and</w:t>
      </w:r>
      <w:r w:rsidRPr="00B124DC">
        <w:rPr>
          <w:szCs w:val="24"/>
          <w:lang w:val="en-GB"/>
        </w:rPr>
        <w:t xml:space="preserve">] ... </w:t>
      </w:r>
      <w:r w:rsidR="00EC5420" w:rsidRPr="00B124DC">
        <w:rPr>
          <w:szCs w:val="24"/>
          <w:lang w:val="en-GB"/>
        </w:rPr>
        <w:t>widening opportunities for members of all groups in society to participate in higher education can contribute to securing democracy and building confidence in situations of social tension</w:t>
      </w:r>
      <w:r w:rsidR="00CF7507">
        <w:rPr>
          <w:szCs w:val="24"/>
          <w:lang w:val="en-GB"/>
        </w:rPr>
        <w:t xml:space="preserve"> </w:t>
      </w:r>
      <w:r w:rsidRPr="00B124DC">
        <w:rPr>
          <w:szCs w:val="24"/>
          <w:lang w:val="en-GB"/>
        </w:rPr>
        <w:t>...”</w:t>
      </w:r>
    </w:p>
    <w:p w:rsidR="001A113B" w:rsidRPr="00B124DC" w:rsidRDefault="001A113B" w:rsidP="001A113B">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69</w:t>
      </w:r>
      <w:r w:rsidRPr="00B124DC">
        <w:rPr>
          <w:lang w:val="en-GB"/>
        </w:rPr>
        <w:fldChar w:fldCharType="end"/>
      </w:r>
      <w:r w:rsidRPr="00B124DC">
        <w:rPr>
          <w:lang w:val="en-GB"/>
        </w:rPr>
        <w:t>.  </w:t>
      </w:r>
      <w:r w:rsidR="006C5E3F" w:rsidRPr="00B124DC">
        <w:rPr>
          <w:lang w:val="en-GB"/>
        </w:rPr>
        <w:t>Likewise</w:t>
      </w:r>
      <w:r w:rsidRPr="00B124DC">
        <w:rPr>
          <w:lang w:val="en-GB"/>
        </w:rPr>
        <w:t xml:space="preserve">, </w:t>
      </w:r>
      <w:r w:rsidR="00AD1DA5" w:rsidRPr="00B124DC">
        <w:rPr>
          <w:lang w:val="en-GB"/>
        </w:rPr>
        <w:t xml:space="preserve">Article </w:t>
      </w:r>
      <w:r w:rsidRPr="00B124DC">
        <w:rPr>
          <w:lang w:val="en-GB"/>
        </w:rPr>
        <w:t xml:space="preserve">2 </w:t>
      </w:r>
      <w:r w:rsidR="00AD1DA5" w:rsidRPr="00B124DC">
        <w:rPr>
          <w:lang w:val="en-GB"/>
        </w:rPr>
        <w:t>of</w:t>
      </w:r>
      <w:r w:rsidRPr="00B124DC">
        <w:rPr>
          <w:lang w:val="en-GB"/>
        </w:rPr>
        <w:t xml:space="preserve"> Recomm</w:t>
      </w:r>
      <w:r w:rsidR="006C5E3F" w:rsidRPr="00B124DC">
        <w:rPr>
          <w:lang w:val="en-GB"/>
        </w:rPr>
        <w:t>e</w:t>
      </w:r>
      <w:r w:rsidRPr="00B124DC">
        <w:rPr>
          <w:lang w:val="en-GB"/>
        </w:rPr>
        <w:t xml:space="preserve">ndation 1353 (1998) </w:t>
      </w:r>
      <w:r w:rsidR="006C5E3F" w:rsidRPr="00B124DC">
        <w:rPr>
          <w:lang w:val="en-GB"/>
        </w:rPr>
        <w:t xml:space="preserve">on the </w:t>
      </w:r>
      <w:r w:rsidR="00CF7507">
        <w:rPr>
          <w:lang w:val="en-GB"/>
        </w:rPr>
        <w:t>a</w:t>
      </w:r>
      <w:r w:rsidR="00DD4CB6" w:rsidRPr="00B124DC">
        <w:rPr>
          <w:lang w:val="en-GB"/>
        </w:rPr>
        <w:t xml:space="preserve">ccess of </w:t>
      </w:r>
      <w:r w:rsidR="00CF7507">
        <w:rPr>
          <w:lang w:val="en-GB"/>
        </w:rPr>
        <w:t>m</w:t>
      </w:r>
      <w:r w:rsidR="00DD4CB6" w:rsidRPr="00B124DC">
        <w:rPr>
          <w:lang w:val="en-GB"/>
        </w:rPr>
        <w:t xml:space="preserve">inorities to </w:t>
      </w:r>
      <w:r w:rsidR="00CF7507">
        <w:rPr>
          <w:lang w:val="en-GB"/>
        </w:rPr>
        <w:t>h</w:t>
      </w:r>
      <w:r w:rsidR="00DD4CB6" w:rsidRPr="00B124DC">
        <w:rPr>
          <w:lang w:val="en-GB"/>
        </w:rPr>
        <w:t xml:space="preserve">igher </w:t>
      </w:r>
      <w:r w:rsidR="00CF7507">
        <w:rPr>
          <w:lang w:val="en-GB"/>
        </w:rPr>
        <w:t>e</w:t>
      </w:r>
      <w:r w:rsidR="00DD4CB6" w:rsidRPr="00B124DC">
        <w:rPr>
          <w:lang w:val="en-GB"/>
        </w:rPr>
        <w:t>ducation</w:t>
      </w:r>
      <w:r w:rsidRPr="00B124DC">
        <w:rPr>
          <w:bCs/>
          <w:lang w:val="en-GB"/>
        </w:rPr>
        <w:t>,</w:t>
      </w:r>
      <w:r w:rsidRPr="00B124DC">
        <w:rPr>
          <w:lang w:val="en-GB"/>
        </w:rPr>
        <w:t xml:space="preserve"> </w:t>
      </w:r>
      <w:r w:rsidR="006C5E3F" w:rsidRPr="00B124DC">
        <w:rPr>
          <w:lang w:val="en-GB"/>
        </w:rPr>
        <w:t>which was adopted by the Parliamentary Assembly of the Council of Europe on</w:t>
      </w:r>
      <w:r w:rsidRPr="00B124DC">
        <w:rPr>
          <w:lang w:val="en-GB"/>
        </w:rPr>
        <w:t xml:space="preserve"> </w:t>
      </w:r>
      <w:smartTag w:uri="urn:schemas-microsoft-com:office:smarttags" w:element="date">
        <w:smartTagPr>
          <w:attr w:name="Month" w:val="1"/>
          <w:attr w:name="Day" w:val="27"/>
          <w:attr w:name="Year" w:val="1998"/>
        </w:smartTagPr>
        <w:r w:rsidRPr="00B124DC">
          <w:rPr>
            <w:lang w:val="en-GB"/>
          </w:rPr>
          <w:t xml:space="preserve">27 </w:t>
        </w:r>
        <w:r w:rsidR="00AD1DA5" w:rsidRPr="00B124DC">
          <w:rPr>
            <w:lang w:val="en-GB"/>
          </w:rPr>
          <w:t>January</w:t>
        </w:r>
        <w:r w:rsidRPr="00B124DC">
          <w:rPr>
            <w:lang w:val="en-GB"/>
          </w:rPr>
          <w:t xml:space="preserve"> 1998</w:t>
        </w:r>
      </w:smartTag>
      <w:r w:rsidR="006C5E3F" w:rsidRPr="00B124DC">
        <w:rPr>
          <w:lang w:val="en-GB"/>
        </w:rPr>
        <w:t>,</w:t>
      </w:r>
      <w:r w:rsidRPr="00B124DC">
        <w:rPr>
          <w:lang w:val="en-GB"/>
        </w:rPr>
        <w:t xml:space="preserve"> </w:t>
      </w:r>
      <w:r w:rsidR="00AD1DA5" w:rsidRPr="00B124DC">
        <w:rPr>
          <w:lang w:val="en-GB"/>
        </w:rPr>
        <w:t>provides</w:t>
      </w:r>
      <w:r w:rsidRPr="00B124DC">
        <w:rPr>
          <w:lang w:val="en-GB"/>
        </w:rPr>
        <w:t>:</w:t>
      </w:r>
    </w:p>
    <w:p w:rsidR="001A113B" w:rsidRPr="00B124DC" w:rsidRDefault="001A113B" w:rsidP="001A113B">
      <w:pPr>
        <w:pStyle w:val="JuQuot"/>
        <w:rPr>
          <w:lang w:val="en-GB"/>
        </w:rPr>
      </w:pPr>
      <w:r w:rsidRPr="00B124DC">
        <w:rPr>
          <w:lang w:val="en-GB"/>
        </w:rPr>
        <w:t>“</w:t>
      </w:r>
      <w:r w:rsidR="006C5E3F" w:rsidRPr="00B124DC">
        <w:rPr>
          <w:lang w:val="en-GB"/>
        </w:rPr>
        <w:t xml:space="preserve">Education is a fundamental human right and therefore access to all levels, including higher education, should be equally available to all permanent residents of the </w:t>
      </w:r>
      <w:r w:rsidR="00CF7507">
        <w:rPr>
          <w:lang w:val="en-GB"/>
        </w:rPr>
        <w:t>S</w:t>
      </w:r>
      <w:r w:rsidR="006C5E3F" w:rsidRPr="00B124DC">
        <w:rPr>
          <w:lang w:val="en-GB"/>
        </w:rPr>
        <w:t>tates signatories to the European Cultural Convention</w:t>
      </w:r>
      <w:r w:rsidRPr="00B124DC">
        <w:rPr>
          <w:lang w:val="en-GB"/>
        </w:rPr>
        <w:t>.”</w:t>
      </w:r>
    </w:p>
    <w:p w:rsidR="0017616B" w:rsidRPr="00B124DC" w:rsidRDefault="0017616B" w:rsidP="0017616B">
      <w:pPr>
        <w:pStyle w:val="JuHHead"/>
        <w:keepNext/>
        <w:rPr>
          <w:lang w:val="en-GB"/>
        </w:rPr>
      </w:pPr>
      <w:r w:rsidRPr="00B124DC">
        <w:rPr>
          <w:lang w:val="en-GB"/>
        </w:rPr>
        <w:t>THE LAW</w:t>
      </w:r>
    </w:p>
    <w:p w:rsidR="0017616B" w:rsidRPr="00B124DC" w:rsidRDefault="00AA2321" w:rsidP="0017616B">
      <w:pPr>
        <w:pStyle w:val="JuHIRoman"/>
        <w:keepNext/>
        <w:rPr>
          <w:lang w:val="en-GB"/>
        </w:rPr>
      </w:pPr>
      <w:r w:rsidRPr="00B124DC">
        <w:rPr>
          <w:lang w:val="en-GB"/>
        </w:rPr>
        <w:t>I.  </w:t>
      </w:r>
      <w:r w:rsidR="0017616B" w:rsidRPr="00B124DC">
        <w:rPr>
          <w:lang w:val="en-GB"/>
        </w:rPr>
        <w:t>ALLEGED VIOLATION OF ARTICLE 9 OF THE CONVENTION</w:t>
      </w:r>
    </w:p>
    <w:p w:rsidR="002415A4" w:rsidRDefault="00994EC9"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70</w:t>
      </w:r>
      <w:r w:rsidRPr="00B124DC">
        <w:rPr>
          <w:lang w:val="en-GB"/>
        </w:rPr>
        <w:fldChar w:fldCharType="end"/>
      </w:r>
      <w:r w:rsidRPr="00B124DC">
        <w:rPr>
          <w:lang w:val="en-GB"/>
        </w:rPr>
        <w:t>.  </w:t>
      </w:r>
      <w:r w:rsidR="0017616B" w:rsidRPr="00B124DC">
        <w:rPr>
          <w:lang w:val="en-GB"/>
        </w:rPr>
        <w:t xml:space="preserve">The applicant submitted that the ban on wearing the Islamic headscarf in </w:t>
      </w:r>
      <w:r w:rsidR="001D350D" w:rsidRPr="00B124DC">
        <w:rPr>
          <w:lang w:val="en-GB"/>
        </w:rPr>
        <w:t>institutions of higher education</w:t>
      </w:r>
      <w:r w:rsidR="0017616B" w:rsidRPr="00B124DC">
        <w:rPr>
          <w:lang w:val="en-GB"/>
        </w:rPr>
        <w:t xml:space="preserve"> constituted an unjustified interference with her right to freedom of religion, in particular, her right to manifest her religion.</w:t>
      </w:r>
    </w:p>
    <w:p w:rsidR="0098730A" w:rsidRPr="00B124DC" w:rsidRDefault="0017616B" w:rsidP="00932AF2">
      <w:pPr>
        <w:pStyle w:val="JuPara"/>
        <w:rPr>
          <w:lang w:val="en-GB"/>
        </w:rPr>
      </w:pPr>
      <w:r w:rsidRPr="00B124DC">
        <w:rPr>
          <w:lang w:val="en-GB"/>
        </w:rPr>
        <w:t>She relied on Article 9 of the Convention, which provides:</w:t>
      </w:r>
    </w:p>
    <w:p w:rsidR="0017616B" w:rsidRPr="00B124DC" w:rsidRDefault="00EB010D" w:rsidP="0017616B">
      <w:pPr>
        <w:pStyle w:val="JuQuot"/>
        <w:rPr>
          <w:lang w:val="en-GB"/>
        </w:rPr>
      </w:pPr>
      <w:r w:rsidRPr="00B124DC">
        <w:rPr>
          <w:lang w:val="en-GB"/>
        </w:rPr>
        <w:t>“1. </w:t>
      </w:r>
      <w:r w:rsidR="00932AF2">
        <w:rPr>
          <w:lang w:val="en-GB"/>
        </w:rPr>
        <w:t> </w:t>
      </w:r>
      <w:r w:rsidR="0017616B" w:rsidRPr="00B124DC">
        <w:rPr>
          <w:lang w:val="en-GB"/>
        </w:rPr>
        <w:t>Everyone has the right to freedom of thought, conscience and religion; this right includes freedom to change his religion or belief and freedom, either alone or in community with others and in public or private, to manifest his religion or belief, in worship, teaching, practice and observance.</w:t>
      </w:r>
    </w:p>
    <w:p w:rsidR="0017616B" w:rsidRPr="00B124DC" w:rsidRDefault="00EB010D" w:rsidP="0017616B">
      <w:pPr>
        <w:pStyle w:val="JuQuot"/>
        <w:rPr>
          <w:lang w:val="en-GB"/>
        </w:rPr>
      </w:pPr>
      <w:r w:rsidRPr="00B124DC">
        <w:rPr>
          <w:lang w:val="en-GB"/>
        </w:rPr>
        <w:t>2. </w:t>
      </w:r>
      <w:r w:rsidR="00932AF2">
        <w:rPr>
          <w:lang w:val="en-GB"/>
        </w:rPr>
        <w:t> </w:t>
      </w:r>
      <w:r w:rsidR="0017616B" w:rsidRPr="00B124DC">
        <w:rPr>
          <w:lang w:val="en-GB"/>
        </w:rPr>
        <w:t>Freedom to manifest one</w:t>
      </w:r>
      <w:r w:rsidR="0006350D">
        <w:rPr>
          <w:lang w:val="en-GB"/>
        </w:rPr>
        <w:t>’</w:t>
      </w:r>
      <w:r w:rsidR="0017616B" w:rsidRPr="00B124DC">
        <w:rPr>
          <w:lang w:val="en-GB"/>
        </w:rPr>
        <w:t>s religion or beliefs shall be subject only to such limitations as are prescribed by law and are necessary in a democratic society in the interests of public safety, for the protection of public order, health or morals, or for the protection of the rights and freedoms of others.”</w:t>
      </w:r>
    </w:p>
    <w:p w:rsidR="0098730A" w:rsidRPr="00B124DC" w:rsidRDefault="00994EC9" w:rsidP="00932AF2">
      <w:pPr>
        <w:pStyle w:val="JuHA"/>
        <w:keepNext/>
        <w:rPr>
          <w:lang w:val="en-GB"/>
        </w:rPr>
      </w:pPr>
      <w:r w:rsidRPr="00B124DC">
        <w:rPr>
          <w:lang w:val="en-GB"/>
        </w:rPr>
        <w:t>A.  </w:t>
      </w:r>
      <w:r w:rsidR="00290032" w:rsidRPr="00B124DC">
        <w:rPr>
          <w:lang w:val="en-GB"/>
        </w:rPr>
        <w:t xml:space="preserve">The </w:t>
      </w:r>
      <w:r w:rsidR="006C3B9B" w:rsidRPr="00B124DC">
        <w:rPr>
          <w:lang w:val="en-GB"/>
        </w:rPr>
        <w:t>Chamber judgment</w:t>
      </w:r>
    </w:p>
    <w:p w:rsidR="00994EC9" w:rsidRPr="00B124DC" w:rsidRDefault="00994EC9" w:rsidP="004A0BA0">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71</w:t>
      </w:r>
      <w:r w:rsidRPr="00B124DC">
        <w:rPr>
          <w:lang w:val="en-GB"/>
        </w:rPr>
        <w:fldChar w:fldCharType="end"/>
      </w:r>
      <w:r w:rsidRPr="00B124DC">
        <w:rPr>
          <w:lang w:val="en-GB"/>
        </w:rPr>
        <w:t>.  </w:t>
      </w:r>
      <w:r w:rsidR="00290032" w:rsidRPr="00B124DC">
        <w:rPr>
          <w:lang w:val="en-GB"/>
        </w:rPr>
        <w:t xml:space="preserve">The Chamber found that the </w:t>
      </w:r>
      <w:smartTag w:uri="urn:schemas-microsoft-com:office:smarttags" w:element="place">
        <w:smartTag w:uri="urn:schemas-microsoft-com:office:smarttags" w:element="PlaceName">
          <w:r w:rsidR="00AE5F3D" w:rsidRPr="00B124DC">
            <w:rPr>
              <w:lang w:val="en-GB"/>
            </w:rPr>
            <w:t>Istanbul</w:t>
          </w:r>
        </w:smartTag>
        <w:r w:rsidR="00AE5F3D" w:rsidRPr="00B124DC">
          <w:rPr>
            <w:lang w:val="en-GB"/>
          </w:rPr>
          <w:t xml:space="preserve"> </w:t>
        </w:r>
        <w:smartTag w:uri="urn:schemas-microsoft-com:office:smarttags" w:element="PlaceType">
          <w:r w:rsidR="00290032" w:rsidRPr="00B124DC">
            <w:rPr>
              <w:lang w:val="en-GB"/>
            </w:rPr>
            <w:t>University</w:t>
          </w:r>
        </w:smartTag>
      </w:smartTag>
      <w:r w:rsidR="00290032" w:rsidRPr="00B124DC">
        <w:rPr>
          <w:lang w:val="en-GB"/>
        </w:rPr>
        <w:t xml:space="preserve"> </w:t>
      </w:r>
      <w:r w:rsidR="00736F94" w:rsidRPr="00B124DC">
        <w:rPr>
          <w:lang w:val="en-GB"/>
        </w:rPr>
        <w:t xml:space="preserve">regulations </w:t>
      </w:r>
      <w:r w:rsidR="00290032" w:rsidRPr="00B124DC">
        <w:rPr>
          <w:lang w:val="en-GB"/>
        </w:rPr>
        <w:t>restricti</w:t>
      </w:r>
      <w:r w:rsidR="00736F94" w:rsidRPr="00B124DC">
        <w:rPr>
          <w:lang w:val="en-GB"/>
        </w:rPr>
        <w:t>ng</w:t>
      </w:r>
      <w:r w:rsidR="00290032" w:rsidRPr="00B124DC">
        <w:rPr>
          <w:lang w:val="en-GB"/>
        </w:rPr>
        <w:t xml:space="preserve"> the right to wear the Islamic headscarf and the measures taken thereunder </w:t>
      </w:r>
      <w:r w:rsidR="00736F94" w:rsidRPr="00B124DC">
        <w:rPr>
          <w:lang w:val="en-GB"/>
        </w:rPr>
        <w:t xml:space="preserve">had </w:t>
      </w:r>
      <w:r w:rsidR="00290032" w:rsidRPr="00B124DC">
        <w:rPr>
          <w:lang w:val="en-GB"/>
        </w:rPr>
        <w:t>interfere</w:t>
      </w:r>
      <w:r w:rsidR="00736F94" w:rsidRPr="00B124DC">
        <w:rPr>
          <w:lang w:val="en-GB"/>
        </w:rPr>
        <w:t>d</w:t>
      </w:r>
      <w:r w:rsidR="00290032" w:rsidRPr="00B124DC">
        <w:rPr>
          <w:lang w:val="en-GB"/>
        </w:rPr>
        <w:t xml:space="preserve"> with the applicant</w:t>
      </w:r>
      <w:r w:rsidR="0006350D">
        <w:rPr>
          <w:lang w:val="en-GB"/>
        </w:rPr>
        <w:t>’</w:t>
      </w:r>
      <w:r w:rsidR="00290032" w:rsidRPr="00B124DC">
        <w:rPr>
          <w:lang w:val="en-GB"/>
        </w:rPr>
        <w:t>s right to manifest her religion</w:t>
      </w:r>
      <w:r w:rsidRPr="00B124DC">
        <w:rPr>
          <w:lang w:val="en-GB"/>
        </w:rPr>
        <w:t xml:space="preserve">. </w:t>
      </w:r>
      <w:r w:rsidR="00290032" w:rsidRPr="00B124DC">
        <w:rPr>
          <w:lang w:val="en-GB"/>
        </w:rPr>
        <w:t>It went on to find that the interference was prescribed by law</w:t>
      </w:r>
      <w:r w:rsidR="00F558C9" w:rsidRPr="00B124DC">
        <w:rPr>
          <w:lang w:val="en-GB"/>
        </w:rPr>
        <w:t xml:space="preserve"> and</w:t>
      </w:r>
      <w:r w:rsidR="00290032" w:rsidRPr="00B124DC">
        <w:rPr>
          <w:lang w:val="en-GB"/>
        </w:rPr>
        <w:t xml:space="preserve"> pursu</w:t>
      </w:r>
      <w:r w:rsidR="006B145B" w:rsidRPr="00B124DC">
        <w:rPr>
          <w:lang w:val="en-GB"/>
        </w:rPr>
        <w:t>ed</w:t>
      </w:r>
      <w:r w:rsidR="00290032" w:rsidRPr="00B124DC">
        <w:rPr>
          <w:lang w:val="en-GB"/>
        </w:rPr>
        <w:t xml:space="preserve"> one of the legitimate aims set out in the second paragraph of Article 9 of the Convention</w:t>
      </w:r>
      <w:r w:rsidR="00F558C9" w:rsidRPr="00B124DC">
        <w:rPr>
          <w:lang w:val="en-GB"/>
        </w:rPr>
        <w:t>.</w:t>
      </w:r>
      <w:r w:rsidR="006B145B" w:rsidRPr="00B124DC">
        <w:rPr>
          <w:lang w:val="en-GB"/>
        </w:rPr>
        <w:t xml:space="preserve"> </w:t>
      </w:r>
      <w:r w:rsidR="00186205" w:rsidRPr="00B124DC">
        <w:rPr>
          <w:lang w:val="en-GB"/>
        </w:rPr>
        <w:t xml:space="preserve">It was justified </w:t>
      </w:r>
      <w:r w:rsidR="006B145B" w:rsidRPr="00B124DC">
        <w:rPr>
          <w:lang w:val="en-GB"/>
        </w:rPr>
        <w:t>in principle and proportionate to the aims pursued and could therefore be regarded as having been “necessary</w:t>
      </w:r>
      <w:r w:rsidR="00290032" w:rsidRPr="00B124DC">
        <w:rPr>
          <w:lang w:val="en-GB"/>
        </w:rPr>
        <w:t xml:space="preserve"> </w:t>
      </w:r>
      <w:r w:rsidR="006B145B" w:rsidRPr="00B124DC">
        <w:rPr>
          <w:lang w:val="en-GB"/>
        </w:rPr>
        <w:t xml:space="preserve">in a democratic society” </w:t>
      </w:r>
      <w:r w:rsidRPr="00B124DC">
        <w:rPr>
          <w:lang w:val="en-GB"/>
        </w:rPr>
        <w:t>(</w:t>
      </w:r>
      <w:r w:rsidR="00290032" w:rsidRPr="00B124DC">
        <w:rPr>
          <w:lang w:val="en-GB"/>
        </w:rPr>
        <w:t xml:space="preserve">see </w:t>
      </w:r>
      <w:r w:rsidRPr="00B124DC">
        <w:rPr>
          <w:lang w:val="en-GB"/>
        </w:rPr>
        <w:t>paragraphs 66</w:t>
      </w:r>
      <w:r w:rsidR="00CF7507">
        <w:rPr>
          <w:lang w:val="en-GB"/>
        </w:rPr>
        <w:t>-</w:t>
      </w:r>
      <w:r w:rsidRPr="00B124DC">
        <w:rPr>
          <w:lang w:val="en-GB"/>
        </w:rPr>
        <w:t xml:space="preserve">116 of the </w:t>
      </w:r>
      <w:r w:rsidR="006C3B9B" w:rsidRPr="00B124DC">
        <w:rPr>
          <w:lang w:val="en-GB"/>
        </w:rPr>
        <w:t>Chamber judgment</w:t>
      </w:r>
      <w:r w:rsidRPr="00B124DC">
        <w:rPr>
          <w:lang w:val="en-GB"/>
        </w:rPr>
        <w:t>).</w:t>
      </w:r>
    </w:p>
    <w:p w:rsidR="00254213" w:rsidRPr="00B124DC" w:rsidRDefault="004A0BA0" w:rsidP="00932AF2">
      <w:pPr>
        <w:pStyle w:val="JuHA"/>
        <w:keepNext/>
        <w:rPr>
          <w:lang w:val="en-GB"/>
        </w:rPr>
      </w:pPr>
      <w:r w:rsidRPr="00B124DC">
        <w:rPr>
          <w:lang w:val="en-GB"/>
        </w:rPr>
        <w:t>B.  </w:t>
      </w:r>
      <w:r w:rsidR="00254213" w:rsidRPr="00B124DC">
        <w:rPr>
          <w:lang w:val="en-GB"/>
        </w:rPr>
        <w:t>The parties</w:t>
      </w:r>
      <w:r w:rsidR="0006350D">
        <w:rPr>
          <w:lang w:val="en-GB"/>
        </w:rPr>
        <w:t>’</w:t>
      </w:r>
      <w:r w:rsidR="00254213" w:rsidRPr="00B124DC">
        <w:rPr>
          <w:lang w:val="en-GB"/>
        </w:rPr>
        <w:t xml:space="preserve"> submissions </w:t>
      </w:r>
      <w:r w:rsidR="000C48A0">
        <w:rPr>
          <w:lang w:val="en-GB"/>
        </w:rPr>
        <w:t>to</w:t>
      </w:r>
      <w:r w:rsidR="00254213" w:rsidRPr="00B124DC">
        <w:rPr>
          <w:lang w:val="en-GB"/>
        </w:rPr>
        <w:t xml:space="preserve"> the Grand Chamber</w:t>
      </w:r>
    </w:p>
    <w:p w:rsidR="00800ADE" w:rsidRPr="00B124DC" w:rsidRDefault="004A0BA0" w:rsidP="004A0BA0">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72</w:t>
      </w:r>
      <w:r w:rsidRPr="00B124DC">
        <w:rPr>
          <w:lang w:val="en-GB"/>
        </w:rPr>
        <w:fldChar w:fldCharType="end"/>
      </w:r>
      <w:r w:rsidRPr="00B124DC">
        <w:rPr>
          <w:lang w:val="en-GB"/>
        </w:rPr>
        <w:t>.  </w:t>
      </w:r>
      <w:r w:rsidR="00800ADE" w:rsidRPr="00B124DC">
        <w:rPr>
          <w:lang w:val="en-GB"/>
        </w:rPr>
        <w:t xml:space="preserve">In her request for a referral to the Grand Chamber dated </w:t>
      </w:r>
      <w:smartTag w:uri="urn:schemas-microsoft-com:office:smarttags" w:element="date">
        <w:smartTagPr>
          <w:attr w:name="Month" w:val="9"/>
          <w:attr w:name="Day" w:val="27"/>
          <w:attr w:name="Year" w:val="2004"/>
        </w:smartTagPr>
        <w:r w:rsidRPr="00B124DC">
          <w:rPr>
            <w:lang w:val="en-GB"/>
          </w:rPr>
          <w:t>27 </w:t>
        </w:r>
        <w:r w:rsidR="00800ADE" w:rsidRPr="00B124DC">
          <w:rPr>
            <w:lang w:val="en-GB"/>
          </w:rPr>
          <w:t>September</w:t>
        </w:r>
        <w:r w:rsidRPr="00B124DC">
          <w:rPr>
            <w:lang w:val="en-GB"/>
          </w:rPr>
          <w:t xml:space="preserve"> 2004</w:t>
        </w:r>
      </w:smartTag>
      <w:r w:rsidRPr="00B124DC">
        <w:rPr>
          <w:lang w:val="en-GB"/>
        </w:rPr>
        <w:t xml:space="preserve"> </w:t>
      </w:r>
      <w:r w:rsidR="00800ADE" w:rsidRPr="00B124DC">
        <w:rPr>
          <w:lang w:val="en-GB"/>
        </w:rPr>
        <w:t xml:space="preserve">and in her oral submissions at the hearing, the applicant contested the </w:t>
      </w:r>
      <w:r w:rsidR="00186205" w:rsidRPr="00B124DC">
        <w:rPr>
          <w:lang w:val="en-GB"/>
        </w:rPr>
        <w:t>grounds on which the Chamber had concluded</w:t>
      </w:r>
      <w:r w:rsidR="00800ADE" w:rsidRPr="00B124DC">
        <w:rPr>
          <w:lang w:val="en-GB"/>
        </w:rPr>
        <w:t xml:space="preserve"> that there had been no violation of Article 9 of the Convention.</w:t>
      </w:r>
    </w:p>
    <w:p w:rsidR="004A0BA0" w:rsidRPr="00B124DC" w:rsidRDefault="004A0BA0" w:rsidP="004A0BA0">
      <w:pPr>
        <w:pStyle w:val="JuPara"/>
        <w:rPr>
          <w:bCs/>
          <w:iCs/>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73</w:t>
      </w:r>
      <w:r w:rsidRPr="00B124DC">
        <w:rPr>
          <w:lang w:val="en-GB"/>
        </w:rPr>
        <w:fldChar w:fldCharType="end"/>
      </w:r>
      <w:r w:rsidRPr="00B124DC">
        <w:rPr>
          <w:lang w:val="en-GB"/>
        </w:rPr>
        <w:t>.  </w:t>
      </w:r>
      <w:r w:rsidR="00800ADE" w:rsidRPr="00B124DC">
        <w:rPr>
          <w:lang w:val="en-GB"/>
        </w:rPr>
        <w:t>However, in the observations she submi</w:t>
      </w:r>
      <w:r w:rsidR="00932AF2">
        <w:rPr>
          <w:lang w:val="en-GB"/>
        </w:rPr>
        <w:t>tted to the Grand Chamber on 27</w:t>
      </w:r>
      <w:r w:rsidR="005E2247">
        <w:rPr>
          <w:lang w:val="en-GB"/>
        </w:rPr>
        <w:t xml:space="preserve"> </w:t>
      </w:r>
      <w:r w:rsidR="00800ADE" w:rsidRPr="00B124DC">
        <w:rPr>
          <w:lang w:val="en-GB"/>
        </w:rPr>
        <w:t xml:space="preserve">January </w:t>
      </w:r>
      <w:r w:rsidRPr="00B124DC">
        <w:rPr>
          <w:lang w:val="en-GB"/>
        </w:rPr>
        <w:t>2005</w:t>
      </w:r>
      <w:r w:rsidR="00800ADE" w:rsidRPr="00B124DC">
        <w:rPr>
          <w:lang w:val="en-GB"/>
        </w:rPr>
        <w:t xml:space="preserve"> </w:t>
      </w:r>
      <w:r w:rsidR="00815175" w:rsidRPr="00B124DC">
        <w:rPr>
          <w:lang w:val="en-GB"/>
        </w:rPr>
        <w:t>s</w:t>
      </w:r>
      <w:r w:rsidR="00800ADE" w:rsidRPr="00B124DC">
        <w:rPr>
          <w:lang w:val="en-GB"/>
        </w:rPr>
        <w:t>he</w:t>
      </w:r>
      <w:r w:rsidR="00815175" w:rsidRPr="00B124DC">
        <w:rPr>
          <w:lang w:val="en-GB"/>
        </w:rPr>
        <w:t xml:space="preserve"> said that she was not</w:t>
      </w:r>
      <w:r w:rsidR="00800ADE" w:rsidRPr="00B124DC">
        <w:rPr>
          <w:lang w:val="en-GB"/>
        </w:rPr>
        <w:t xml:space="preserve"> </w:t>
      </w:r>
      <w:r w:rsidR="00815175" w:rsidRPr="00B124DC">
        <w:rPr>
          <w:lang w:val="en-GB"/>
        </w:rPr>
        <w:t>seeking</w:t>
      </w:r>
      <w:r w:rsidR="00800ADE" w:rsidRPr="00B124DC">
        <w:rPr>
          <w:lang w:val="en-GB"/>
        </w:rPr>
        <w:t xml:space="preserve"> legal recognition of </w:t>
      </w:r>
      <w:r w:rsidR="00815175" w:rsidRPr="00B124DC">
        <w:rPr>
          <w:lang w:val="en-GB"/>
        </w:rPr>
        <w:t>a</w:t>
      </w:r>
      <w:r w:rsidR="00800ADE" w:rsidRPr="00B124DC">
        <w:rPr>
          <w:lang w:val="en-GB"/>
        </w:rPr>
        <w:t xml:space="preserve"> right for all women to wear the Islamic headscarf </w:t>
      </w:r>
      <w:r w:rsidR="00357E18" w:rsidRPr="00B124DC">
        <w:rPr>
          <w:lang w:val="en-GB"/>
        </w:rPr>
        <w:t>in all places</w:t>
      </w:r>
      <w:r w:rsidR="00800ADE" w:rsidRPr="00B124DC">
        <w:rPr>
          <w:lang w:val="en-GB"/>
        </w:rPr>
        <w:t>,</w:t>
      </w:r>
      <w:r w:rsidR="00A35342" w:rsidRPr="00B124DC">
        <w:rPr>
          <w:lang w:val="en-GB"/>
        </w:rPr>
        <w:t xml:space="preserve"> </w:t>
      </w:r>
      <w:r w:rsidR="00771C86">
        <w:rPr>
          <w:lang w:val="en-GB"/>
        </w:rPr>
        <w:t>and stated in particular</w:t>
      </w:r>
      <w:r w:rsidR="00800ADE" w:rsidRPr="00B124DC">
        <w:rPr>
          <w:lang w:val="en-GB"/>
        </w:rPr>
        <w:t>: “</w:t>
      </w:r>
      <w:r w:rsidR="00A35342" w:rsidRPr="00B124DC">
        <w:rPr>
          <w:lang w:val="en-GB"/>
        </w:rPr>
        <w:t xml:space="preserve">Implicit in the section judgment is the </w:t>
      </w:r>
      <w:r w:rsidR="00815175" w:rsidRPr="00B124DC">
        <w:rPr>
          <w:lang w:val="en-GB"/>
        </w:rPr>
        <w:t>notion</w:t>
      </w:r>
      <w:r w:rsidR="00A35342" w:rsidRPr="00B124DC">
        <w:rPr>
          <w:lang w:val="en-GB"/>
        </w:rPr>
        <w:t xml:space="preserve"> that the right to wear the headscarf </w:t>
      </w:r>
      <w:r w:rsidR="00815175" w:rsidRPr="00B124DC">
        <w:rPr>
          <w:lang w:val="en-GB"/>
        </w:rPr>
        <w:t>will</w:t>
      </w:r>
      <w:r w:rsidR="00A35342" w:rsidRPr="00B124DC">
        <w:rPr>
          <w:lang w:val="en-GB"/>
        </w:rPr>
        <w:t xml:space="preserve"> not always </w:t>
      </w:r>
      <w:r w:rsidR="00815175" w:rsidRPr="00B124DC">
        <w:rPr>
          <w:lang w:val="en-GB"/>
        </w:rPr>
        <w:t xml:space="preserve">be </w:t>
      </w:r>
      <w:r w:rsidR="00A35342" w:rsidRPr="00B124DC">
        <w:rPr>
          <w:lang w:val="en-GB"/>
        </w:rPr>
        <w:t>protected by freedom of religion</w:t>
      </w:r>
      <w:r w:rsidRPr="00B124DC">
        <w:rPr>
          <w:lang w:val="en-GB"/>
        </w:rPr>
        <w:t>. [</w:t>
      </w:r>
      <w:r w:rsidR="00A35342" w:rsidRPr="00B124DC">
        <w:rPr>
          <w:lang w:val="en-GB"/>
        </w:rPr>
        <w:t>I</w:t>
      </w:r>
      <w:r w:rsidRPr="00B124DC">
        <w:rPr>
          <w:lang w:val="en-GB"/>
        </w:rPr>
        <w:t xml:space="preserve">] </w:t>
      </w:r>
      <w:r w:rsidR="00A35342" w:rsidRPr="00B124DC">
        <w:rPr>
          <w:lang w:val="en-GB"/>
        </w:rPr>
        <w:t>do not contest that approach</w:t>
      </w:r>
      <w:r w:rsidR="00CF7507">
        <w:rPr>
          <w:lang w:val="en-GB"/>
        </w:rPr>
        <w:t>.</w:t>
      </w:r>
      <w:r w:rsidR="00800ADE" w:rsidRPr="00B124DC">
        <w:rPr>
          <w:lang w:val="en-GB"/>
        </w:rPr>
        <w:t>”</w:t>
      </w:r>
    </w:p>
    <w:p w:rsidR="00A35342" w:rsidRPr="00B124DC" w:rsidRDefault="004A0BA0" w:rsidP="004A0BA0">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74</w:t>
      </w:r>
      <w:r w:rsidRPr="00B124DC">
        <w:rPr>
          <w:lang w:val="en-GB"/>
        </w:rPr>
        <w:fldChar w:fldCharType="end"/>
      </w:r>
      <w:r w:rsidRPr="00B124DC">
        <w:rPr>
          <w:lang w:val="en-GB"/>
        </w:rPr>
        <w:t>.  </w:t>
      </w:r>
      <w:r w:rsidR="00A35342" w:rsidRPr="00B124DC">
        <w:rPr>
          <w:lang w:val="en-GB"/>
        </w:rPr>
        <w:t xml:space="preserve">The Government asked the Grand Chamber to </w:t>
      </w:r>
      <w:r w:rsidR="00A83CA1" w:rsidRPr="00B124DC">
        <w:rPr>
          <w:lang w:val="en-GB"/>
        </w:rPr>
        <w:t>endorse</w:t>
      </w:r>
      <w:r w:rsidR="00A35342" w:rsidRPr="00B124DC">
        <w:rPr>
          <w:lang w:val="en-GB"/>
        </w:rPr>
        <w:t xml:space="preserve"> the Chamber</w:t>
      </w:r>
      <w:r w:rsidR="0006350D">
        <w:rPr>
          <w:lang w:val="en-GB"/>
        </w:rPr>
        <w:t>’</w:t>
      </w:r>
      <w:r w:rsidR="00A35342" w:rsidRPr="00B124DC">
        <w:rPr>
          <w:lang w:val="en-GB"/>
        </w:rPr>
        <w:t>s finding that there had been no violation of Article 9.</w:t>
      </w:r>
    </w:p>
    <w:p w:rsidR="004A0BA0" w:rsidRPr="00B124DC" w:rsidRDefault="004A0BA0" w:rsidP="00932AF2">
      <w:pPr>
        <w:pStyle w:val="JuHA"/>
        <w:keepNext/>
        <w:rPr>
          <w:lang w:val="en-GB"/>
        </w:rPr>
      </w:pPr>
      <w:r w:rsidRPr="00B124DC">
        <w:rPr>
          <w:lang w:val="en-GB"/>
        </w:rPr>
        <w:t>C.  </w:t>
      </w:r>
      <w:r w:rsidR="00A35342" w:rsidRPr="00B124DC">
        <w:rPr>
          <w:lang w:val="en-GB"/>
        </w:rPr>
        <w:t>The Court</w:t>
      </w:r>
      <w:r w:rsidR="0006350D">
        <w:rPr>
          <w:lang w:val="en-GB"/>
        </w:rPr>
        <w:t>’</w:t>
      </w:r>
      <w:r w:rsidR="00A35342" w:rsidRPr="00B124DC">
        <w:rPr>
          <w:lang w:val="en-GB"/>
        </w:rPr>
        <w:t>s assessment</w:t>
      </w:r>
    </w:p>
    <w:p w:rsidR="0017616B" w:rsidRPr="00B124DC" w:rsidRDefault="004618A2" w:rsidP="004A0BA0">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75</w:t>
      </w:r>
      <w:r w:rsidRPr="00B124DC">
        <w:rPr>
          <w:lang w:val="en-GB"/>
        </w:rPr>
        <w:fldChar w:fldCharType="end"/>
      </w:r>
      <w:r w:rsidRPr="00B124DC">
        <w:rPr>
          <w:lang w:val="en-GB"/>
        </w:rPr>
        <w:t>.  </w:t>
      </w:r>
      <w:r w:rsidR="0017616B" w:rsidRPr="00B124DC">
        <w:rPr>
          <w:lang w:val="en-GB"/>
        </w:rPr>
        <w:t>The Court must consider whether the applicant</w:t>
      </w:r>
      <w:r w:rsidR="0006350D">
        <w:rPr>
          <w:lang w:val="en-GB"/>
        </w:rPr>
        <w:t>’</w:t>
      </w:r>
      <w:r w:rsidR="0017616B" w:rsidRPr="00B124DC">
        <w:rPr>
          <w:lang w:val="en-GB"/>
        </w:rPr>
        <w:t xml:space="preserve">s right under Article 9 was interfered with and, if so, whether </w:t>
      </w:r>
      <w:r w:rsidR="00A053C9" w:rsidRPr="00B124DC">
        <w:rPr>
          <w:lang w:val="en-GB"/>
        </w:rPr>
        <w:t>the</w:t>
      </w:r>
      <w:r w:rsidR="0017616B" w:rsidRPr="00B124DC">
        <w:rPr>
          <w:lang w:val="en-GB"/>
        </w:rPr>
        <w:t xml:space="preserve"> interference was “prescribed by law”, pursued a legitimate aim and was “necessary in a democratic society” within the meaning of Article 9 § 2 of the Convention.</w:t>
      </w:r>
    </w:p>
    <w:p w:rsidR="0017616B" w:rsidRPr="00B124DC" w:rsidRDefault="004618A2" w:rsidP="00932AF2">
      <w:pPr>
        <w:pStyle w:val="JuH1"/>
        <w:keepNext/>
        <w:rPr>
          <w:lang w:val="en-GB"/>
        </w:rPr>
      </w:pPr>
      <w:r w:rsidRPr="00B124DC">
        <w:rPr>
          <w:lang w:val="en-GB"/>
        </w:rPr>
        <w:t>1</w:t>
      </w:r>
      <w:r w:rsidR="0017616B" w:rsidRPr="00B124DC">
        <w:rPr>
          <w:lang w:val="en-GB"/>
        </w:rPr>
        <w:t xml:space="preserve">.  Whether there was </w:t>
      </w:r>
      <w:r w:rsidR="00EB010D" w:rsidRPr="00B124DC">
        <w:rPr>
          <w:lang w:val="en-GB"/>
        </w:rPr>
        <w:t>interference</w:t>
      </w:r>
    </w:p>
    <w:p w:rsidR="0017616B" w:rsidRPr="00B124DC" w:rsidRDefault="0017616B" w:rsidP="0017616B">
      <w:pPr>
        <w:pStyle w:val="JuParaCharCharCharCharCharCharChar"/>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76</w:t>
      </w:r>
      <w:r w:rsidRPr="00B124DC">
        <w:rPr>
          <w:lang w:val="en-GB"/>
        </w:rPr>
        <w:fldChar w:fldCharType="end"/>
      </w:r>
      <w:r w:rsidRPr="00B124DC">
        <w:rPr>
          <w:lang w:val="en-GB"/>
        </w:rPr>
        <w:t xml:space="preserve">.  The applicant said that her </w:t>
      </w:r>
      <w:r w:rsidR="00E163AC" w:rsidRPr="00B124DC">
        <w:rPr>
          <w:lang w:val="en-GB"/>
        </w:rPr>
        <w:t>choice</w:t>
      </w:r>
      <w:r w:rsidRPr="00B124DC">
        <w:rPr>
          <w:lang w:val="en-GB"/>
        </w:rPr>
        <w:t xml:space="preserve"> of dress had to be treated as </w:t>
      </w:r>
      <w:r w:rsidR="00E163AC" w:rsidRPr="00B124DC">
        <w:rPr>
          <w:lang w:val="en-GB"/>
        </w:rPr>
        <w:t xml:space="preserve">obedience to </w:t>
      </w:r>
      <w:r w:rsidRPr="00B124DC">
        <w:rPr>
          <w:lang w:val="en-GB"/>
        </w:rPr>
        <w:t xml:space="preserve">a religious rule which she regarded as “recognised practice”. She maintained that the restriction </w:t>
      </w:r>
      <w:r w:rsidR="00783D8A" w:rsidRPr="00B124DC">
        <w:rPr>
          <w:lang w:val="en-GB"/>
        </w:rPr>
        <w:t>in issue</w:t>
      </w:r>
      <w:r w:rsidR="004618A2" w:rsidRPr="00B124DC">
        <w:rPr>
          <w:lang w:val="en-GB"/>
        </w:rPr>
        <w:t>, namely the rules on wearing the Islamic headscarf on</w:t>
      </w:r>
      <w:r w:rsidRPr="00B124DC">
        <w:rPr>
          <w:lang w:val="en-GB"/>
        </w:rPr>
        <w:t xml:space="preserve"> </w:t>
      </w:r>
      <w:r w:rsidR="00783D8A" w:rsidRPr="00B124DC">
        <w:rPr>
          <w:lang w:val="en-GB"/>
        </w:rPr>
        <w:t>university premises</w:t>
      </w:r>
      <w:r w:rsidR="00E163AC" w:rsidRPr="00B124DC">
        <w:rPr>
          <w:lang w:val="en-GB"/>
        </w:rPr>
        <w:t>,</w:t>
      </w:r>
      <w:r w:rsidRPr="00B124DC">
        <w:rPr>
          <w:lang w:val="en-GB"/>
        </w:rPr>
        <w:t xml:space="preserve"> was a clear interference with her right to freedom to manifest her religion.</w:t>
      </w:r>
    </w:p>
    <w:p w:rsidR="0096591C" w:rsidRPr="00B124DC" w:rsidRDefault="0017616B" w:rsidP="00AB3880">
      <w:pPr>
        <w:pStyle w:val="JuParaCharCharCharCharCharCharChar"/>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77</w:t>
      </w:r>
      <w:r w:rsidRPr="00B124DC">
        <w:rPr>
          <w:lang w:val="en-GB"/>
        </w:rPr>
        <w:fldChar w:fldCharType="end"/>
      </w:r>
      <w:r w:rsidRPr="00B124DC">
        <w:rPr>
          <w:lang w:val="en-GB"/>
        </w:rPr>
        <w:t xml:space="preserve">.  The Government </w:t>
      </w:r>
      <w:r w:rsidR="00783D8A" w:rsidRPr="00B124DC">
        <w:rPr>
          <w:lang w:val="en-GB"/>
        </w:rPr>
        <w:t>did</w:t>
      </w:r>
      <w:r w:rsidR="0096591C" w:rsidRPr="00B124DC">
        <w:rPr>
          <w:lang w:val="en-GB"/>
        </w:rPr>
        <w:t xml:space="preserve"> no</w:t>
      </w:r>
      <w:r w:rsidR="00783D8A" w:rsidRPr="00B124DC">
        <w:rPr>
          <w:lang w:val="en-GB"/>
        </w:rPr>
        <w:t>t</w:t>
      </w:r>
      <w:r w:rsidR="0096591C" w:rsidRPr="00B124DC">
        <w:rPr>
          <w:lang w:val="en-GB"/>
        </w:rPr>
        <w:t xml:space="preserve"> </w:t>
      </w:r>
      <w:r w:rsidR="00783D8A" w:rsidRPr="00B124DC">
        <w:rPr>
          <w:lang w:val="en-GB"/>
        </w:rPr>
        <w:t>make any submissions</w:t>
      </w:r>
      <w:r w:rsidR="0096591C" w:rsidRPr="00B124DC">
        <w:rPr>
          <w:lang w:val="en-GB"/>
        </w:rPr>
        <w:t xml:space="preserve"> </w:t>
      </w:r>
      <w:r w:rsidR="00783D8A" w:rsidRPr="00B124DC">
        <w:rPr>
          <w:lang w:val="en-GB"/>
        </w:rPr>
        <w:t xml:space="preserve">to the Grand Chamber </w:t>
      </w:r>
      <w:r w:rsidR="0096591C" w:rsidRPr="00B124DC">
        <w:rPr>
          <w:lang w:val="en-GB"/>
        </w:rPr>
        <w:t xml:space="preserve">on this </w:t>
      </w:r>
      <w:r w:rsidR="00783D8A" w:rsidRPr="00B124DC">
        <w:rPr>
          <w:lang w:val="en-GB"/>
        </w:rPr>
        <w:t>question</w:t>
      </w:r>
      <w:r w:rsidR="0096591C" w:rsidRPr="00B124DC">
        <w:rPr>
          <w:lang w:val="en-GB"/>
        </w:rPr>
        <w:t>.</w:t>
      </w:r>
    </w:p>
    <w:p w:rsidR="0098730A" w:rsidRPr="00B124DC" w:rsidRDefault="00AB3880" w:rsidP="00AB3880">
      <w:pPr>
        <w:pStyle w:val="JuParaCharCharCharCharCharCharChar"/>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78</w:t>
      </w:r>
      <w:r w:rsidRPr="00B124DC">
        <w:rPr>
          <w:lang w:val="en-GB"/>
        </w:rPr>
        <w:fldChar w:fldCharType="end"/>
      </w:r>
      <w:r w:rsidRPr="00B124DC">
        <w:rPr>
          <w:lang w:val="en-GB"/>
        </w:rPr>
        <w:t>.  </w:t>
      </w:r>
      <w:r w:rsidR="003E1739" w:rsidRPr="00B124DC">
        <w:rPr>
          <w:lang w:val="en-GB"/>
        </w:rPr>
        <w:t>As to whether there was interference</w:t>
      </w:r>
      <w:r w:rsidRPr="00B124DC">
        <w:rPr>
          <w:lang w:val="en-GB"/>
        </w:rPr>
        <w:t xml:space="preserve">, </w:t>
      </w:r>
      <w:r w:rsidR="003E1739" w:rsidRPr="00B124DC">
        <w:rPr>
          <w:lang w:val="en-GB"/>
        </w:rPr>
        <w:t xml:space="preserve">the Grand Chamber endorses the following findings of the Chamber </w:t>
      </w:r>
      <w:r w:rsidRPr="00B124DC">
        <w:rPr>
          <w:lang w:val="en-GB"/>
        </w:rPr>
        <w:t xml:space="preserve">(see paragraph 71 of the </w:t>
      </w:r>
      <w:r w:rsidR="006C3B9B" w:rsidRPr="00B124DC">
        <w:rPr>
          <w:lang w:val="en-GB"/>
        </w:rPr>
        <w:t>Chamber judgment</w:t>
      </w:r>
      <w:r w:rsidRPr="00B124DC">
        <w:rPr>
          <w:lang w:val="en-GB"/>
        </w:rPr>
        <w:t>):</w:t>
      </w:r>
    </w:p>
    <w:p w:rsidR="00EA26EC" w:rsidRPr="00B124DC" w:rsidRDefault="00EA26EC" w:rsidP="00AB3880">
      <w:pPr>
        <w:pStyle w:val="JuQuot"/>
        <w:rPr>
          <w:lang w:val="en-GB"/>
        </w:rPr>
      </w:pPr>
      <w:r w:rsidRPr="00B124DC">
        <w:rPr>
          <w:lang w:val="en-GB"/>
        </w:rPr>
        <w:t xml:space="preserve">“The applicant said that, by wearing the headscarf, she was obeying a </w:t>
      </w:r>
      <w:r w:rsidR="005A2CE2" w:rsidRPr="00B124DC">
        <w:rPr>
          <w:lang w:val="en-GB"/>
        </w:rPr>
        <w:t xml:space="preserve">religious </w:t>
      </w:r>
      <w:r w:rsidRPr="00B124DC">
        <w:rPr>
          <w:lang w:val="en-GB"/>
        </w:rPr>
        <w:t xml:space="preserve">precept and thereby manifesting her desire to comply strictly with the duties imposed by </w:t>
      </w:r>
      <w:r w:rsidR="005A2CE2" w:rsidRPr="00B124DC">
        <w:rPr>
          <w:lang w:val="en-GB"/>
        </w:rPr>
        <w:t>the Islamic</w:t>
      </w:r>
      <w:r w:rsidRPr="00B124DC">
        <w:rPr>
          <w:lang w:val="en-GB"/>
        </w:rPr>
        <w:t xml:space="preserve"> faith. Accordingly, her decision to wear the headscarf may be regarded as motivated or inspired by a religion or belief and, without deciding whether such decisions are in every case taken to fulfil a religious duty, the Court proceeds on the assumption that the regulations in issue, which placed restrictions of place and manner on the right to wear the Islamic headscarf in universities, constituted an interference with the applicant</w:t>
      </w:r>
      <w:r w:rsidR="0006350D">
        <w:rPr>
          <w:lang w:val="en-GB"/>
        </w:rPr>
        <w:t>’</w:t>
      </w:r>
      <w:r w:rsidRPr="00B124DC">
        <w:rPr>
          <w:lang w:val="en-GB"/>
        </w:rPr>
        <w:t>s right to manifest her religion.”</w:t>
      </w:r>
    </w:p>
    <w:p w:rsidR="003316F6" w:rsidRPr="00B124DC" w:rsidRDefault="003316F6" w:rsidP="00932AF2">
      <w:pPr>
        <w:pStyle w:val="JuH1"/>
        <w:keepNext/>
        <w:rPr>
          <w:lang w:val="en-GB"/>
        </w:rPr>
      </w:pPr>
      <w:r w:rsidRPr="00B124DC">
        <w:rPr>
          <w:lang w:val="en-GB"/>
        </w:rPr>
        <w:t>2.  “Prescribed by law”</w:t>
      </w:r>
    </w:p>
    <w:p w:rsidR="003316F6" w:rsidRPr="00B124DC" w:rsidRDefault="003316F6" w:rsidP="00932AF2">
      <w:pPr>
        <w:pStyle w:val="JuHa0"/>
        <w:keepNext/>
        <w:rPr>
          <w:lang w:val="en-GB"/>
        </w:rPr>
      </w:pPr>
      <w:r w:rsidRPr="00B124DC">
        <w:rPr>
          <w:lang w:val="en-GB"/>
        </w:rPr>
        <w:t>(a)  </w:t>
      </w:r>
      <w:r w:rsidR="00E47204" w:rsidRPr="00B124DC">
        <w:rPr>
          <w:lang w:val="en-GB"/>
        </w:rPr>
        <w:t>The parties</w:t>
      </w:r>
      <w:r w:rsidR="0006350D">
        <w:rPr>
          <w:lang w:val="en-GB"/>
        </w:rPr>
        <w:t>’</w:t>
      </w:r>
      <w:r w:rsidR="00E47204" w:rsidRPr="00B124DC">
        <w:rPr>
          <w:lang w:val="en-GB"/>
        </w:rPr>
        <w:t xml:space="preserve"> submissions </w:t>
      </w:r>
      <w:r w:rsidR="00382ECE" w:rsidRPr="00B124DC">
        <w:rPr>
          <w:lang w:val="en-GB"/>
        </w:rPr>
        <w:t>to</w:t>
      </w:r>
      <w:r w:rsidR="00E47204" w:rsidRPr="00B124DC">
        <w:rPr>
          <w:lang w:val="en-GB"/>
        </w:rPr>
        <w:t xml:space="preserve"> the Grand Chamber</w:t>
      </w:r>
    </w:p>
    <w:p w:rsidR="0098730A" w:rsidRPr="00B124DC" w:rsidRDefault="003316F6"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79</w:t>
      </w:r>
      <w:r w:rsidRPr="00B124DC">
        <w:rPr>
          <w:lang w:val="en-GB"/>
        </w:rPr>
        <w:fldChar w:fldCharType="end"/>
      </w:r>
      <w:r w:rsidRPr="00B124DC">
        <w:rPr>
          <w:lang w:val="en-GB"/>
        </w:rPr>
        <w:t>.  </w:t>
      </w:r>
      <w:r w:rsidR="00BF0C27" w:rsidRPr="00B124DC">
        <w:rPr>
          <w:lang w:val="en-GB"/>
        </w:rPr>
        <w:t xml:space="preserve">The applicant </w:t>
      </w:r>
      <w:r w:rsidR="00D81137" w:rsidRPr="00B124DC">
        <w:rPr>
          <w:lang w:val="en-GB"/>
        </w:rPr>
        <w:t xml:space="preserve">said that there had been no </w:t>
      </w:r>
      <w:r w:rsidR="00BF0C27" w:rsidRPr="00B124DC">
        <w:rPr>
          <w:lang w:val="en-GB"/>
        </w:rPr>
        <w:t xml:space="preserve">“written law” </w:t>
      </w:r>
      <w:r w:rsidR="00D81137" w:rsidRPr="00B124DC">
        <w:rPr>
          <w:lang w:val="en-GB"/>
        </w:rPr>
        <w:t xml:space="preserve">to </w:t>
      </w:r>
      <w:r w:rsidR="00BF0C27" w:rsidRPr="00B124DC">
        <w:rPr>
          <w:lang w:val="en-GB"/>
        </w:rPr>
        <w:t xml:space="preserve">prohibit students from wearing the Islamic headscarf at university, either when she enrolled in </w:t>
      </w:r>
      <w:r w:rsidRPr="00B124DC">
        <w:rPr>
          <w:lang w:val="en-GB"/>
        </w:rPr>
        <w:t xml:space="preserve">1993 </w:t>
      </w:r>
      <w:r w:rsidR="00BF0C27" w:rsidRPr="00B124DC">
        <w:rPr>
          <w:lang w:val="en-GB"/>
        </w:rPr>
        <w:t>or in the period</w:t>
      </w:r>
      <w:r w:rsidR="001E50BE" w:rsidRPr="00B124DC">
        <w:rPr>
          <w:lang w:val="en-GB"/>
        </w:rPr>
        <w:t xml:space="preserve"> thereafter</w:t>
      </w:r>
      <w:r w:rsidR="00BF0C27" w:rsidRPr="00B124DC">
        <w:rPr>
          <w:lang w:val="en-GB"/>
        </w:rPr>
        <w:t xml:space="preserve">. She explained that </w:t>
      </w:r>
      <w:r w:rsidR="001E50BE" w:rsidRPr="00B124DC">
        <w:rPr>
          <w:lang w:val="en-GB"/>
        </w:rPr>
        <w:t xml:space="preserve">under the Students Disciplinary Procedure Rules it was not a disciplinary offence merely to </w:t>
      </w:r>
      <w:r w:rsidR="00EC1AEE" w:rsidRPr="00B124DC">
        <w:rPr>
          <w:lang w:val="en-GB"/>
        </w:rPr>
        <w:t xml:space="preserve">wear the Islamic headscarf </w:t>
      </w:r>
      <w:r w:rsidRPr="00B124DC">
        <w:rPr>
          <w:lang w:val="en-GB"/>
        </w:rPr>
        <w:t>(</w:t>
      </w:r>
      <w:r w:rsidR="00BF0C27" w:rsidRPr="00B124DC">
        <w:rPr>
          <w:lang w:val="en-GB"/>
        </w:rPr>
        <w:t xml:space="preserve">see </w:t>
      </w:r>
      <w:r w:rsidRPr="00B124DC">
        <w:rPr>
          <w:lang w:val="en-GB"/>
        </w:rPr>
        <w:t>paragraphs</w:t>
      </w:r>
      <w:r w:rsidR="00BF0C27" w:rsidRPr="00B124DC">
        <w:rPr>
          <w:lang w:val="en-GB"/>
        </w:rPr>
        <w:t xml:space="preserve"> </w:t>
      </w:r>
      <w:r w:rsidRPr="00B124DC">
        <w:rPr>
          <w:lang w:val="en-GB"/>
        </w:rPr>
        <w:t xml:space="preserve">49 </w:t>
      </w:r>
      <w:r w:rsidR="00BF0C27" w:rsidRPr="00B124DC">
        <w:rPr>
          <w:lang w:val="en-GB"/>
        </w:rPr>
        <w:t>and</w:t>
      </w:r>
      <w:r w:rsidRPr="00B124DC">
        <w:rPr>
          <w:lang w:val="en-GB"/>
        </w:rPr>
        <w:t xml:space="preserve"> 50</w:t>
      </w:r>
      <w:r w:rsidR="00BF0C27" w:rsidRPr="00B124DC">
        <w:rPr>
          <w:lang w:val="en-GB"/>
        </w:rPr>
        <w:t xml:space="preserve"> above</w:t>
      </w:r>
      <w:r w:rsidRPr="00B124DC">
        <w:rPr>
          <w:lang w:val="en-GB"/>
        </w:rPr>
        <w:t xml:space="preserve">). </w:t>
      </w:r>
      <w:r w:rsidR="00627B3E" w:rsidRPr="00B124DC">
        <w:rPr>
          <w:lang w:val="en-GB"/>
        </w:rPr>
        <w:t>The first</w:t>
      </w:r>
      <w:r w:rsidR="00F544DC" w:rsidRPr="00B124DC">
        <w:rPr>
          <w:lang w:val="en-GB"/>
        </w:rPr>
        <w:t xml:space="preserve"> </w:t>
      </w:r>
      <w:r w:rsidR="001E50BE" w:rsidRPr="00B124DC">
        <w:rPr>
          <w:lang w:val="en-GB"/>
        </w:rPr>
        <w:t>regulation to restrict her right to wear the headscarf had been</w:t>
      </w:r>
      <w:r w:rsidR="00627B3E" w:rsidRPr="00B124DC">
        <w:rPr>
          <w:lang w:val="en-GB"/>
        </w:rPr>
        <w:t xml:space="preserve"> the circular </w:t>
      </w:r>
      <w:r w:rsidR="001E50BE" w:rsidRPr="00B124DC">
        <w:rPr>
          <w:lang w:val="en-GB"/>
        </w:rPr>
        <w:t>issued by</w:t>
      </w:r>
      <w:r w:rsidR="00EC1AEE" w:rsidRPr="00B124DC">
        <w:rPr>
          <w:lang w:val="en-GB"/>
        </w:rPr>
        <w:t xml:space="preserve"> </w:t>
      </w:r>
      <w:r w:rsidR="00627B3E" w:rsidRPr="00B124DC">
        <w:rPr>
          <w:lang w:val="en-GB"/>
        </w:rPr>
        <w:t xml:space="preserve">the </w:t>
      </w:r>
      <w:r w:rsidR="00EC1AEE" w:rsidRPr="00B124DC">
        <w:rPr>
          <w:lang w:val="en-GB"/>
        </w:rPr>
        <w:t>Vice</w:t>
      </w:r>
      <w:r w:rsidR="00CF7507">
        <w:rPr>
          <w:lang w:val="en-GB"/>
        </w:rPr>
        <w:t>-</w:t>
      </w:r>
      <w:r w:rsidR="00EC1AEE" w:rsidRPr="00B124DC">
        <w:rPr>
          <w:lang w:val="en-GB"/>
        </w:rPr>
        <w:t xml:space="preserve">Chancellor </w:t>
      </w:r>
      <w:r w:rsidR="00627B3E" w:rsidRPr="00B124DC">
        <w:rPr>
          <w:lang w:val="en-GB"/>
        </w:rPr>
        <w:t xml:space="preserve">on </w:t>
      </w:r>
      <w:smartTag w:uri="urn:schemas-microsoft-com:office:smarttags" w:element="date">
        <w:smartTagPr>
          <w:attr w:name="Month" w:val="2"/>
          <w:attr w:name="Day" w:val="23"/>
          <w:attr w:name="Year" w:val="1998"/>
        </w:smartTagPr>
        <w:r w:rsidR="00627B3E" w:rsidRPr="00B124DC">
          <w:rPr>
            <w:lang w:val="en-GB"/>
          </w:rPr>
          <w:t>23 February 1998</w:t>
        </w:r>
      </w:smartTag>
      <w:r w:rsidR="00627B3E" w:rsidRPr="00B124DC">
        <w:rPr>
          <w:lang w:val="en-GB"/>
        </w:rPr>
        <w:t>, some fo</w:t>
      </w:r>
      <w:r w:rsidR="00EC1AEE" w:rsidRPr="00B124DC">
        <w:rPr>
          <w:lang w:val="en-GB"/>
        </w:rPr>
        <w:t>u</w:t>
      </w:r>
      <w:r w:rsidR="00627B3E" w:rsidRPr="00B124DC">
        <w:rPr>
          <w:lang w:val="en-GB"/>
        </w:rPr>
        <w:t xml:space="preserve">r </w:t>
      </w:r>
      <w:r w:rsidR="00EC1AEE" w:rsidRPr="00B124DC">
        <w:rPr>
          <w:lang w:val="en-GB"/>
        </w:rPr>
        <w:t>and a</w:t>
      </w:r>
      <w:r w:rsidR="00627B3E" w:rsidRPr="00B124DC">
        <w:rPr>
          <w:lang w:val="en-GB"/>
        </w:rPr>
        <w:t xml:space="preserve"> half years later</w:t>
      </w:r>
      <w:r w:rsidRPr="00B124DC">
        <w:rPr>
          <w:lang w:val="en-GB"/>
        </w:rPr>
        <w:t>.</w:t>
      </w:r>
    </w:p>
    <w:p w:rsidR="003316F6" w:rsidRPr="00B124DC" w:rsidRDefault="003316F6"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80</w:t>
      </w:r>
      <w:r w:rsidRPr="00B124DC">
        <w:rPr>
          <w:lang w:val="en-GB"/>
        </w:rPr>
        <w:fldChar w:fldCharType="end"/>
      </w:r>
      <w:r w:rsidRPr="00B124DC">
        <w:rPr>
          <w:lang w:val="en-GB"/>
        </w:rPr>
        <w:t>.  </w:t>
      </w:r>
      <w:r w:rsidR="00F544DC" w:rsidRPr="00B124DC">
        <w:rPr>
          <w:lang w:val="en-GB"/>
        </w:rPr>
        <w:t>In the applicant</w:t>
      </w:r>
      <w:r w:rsidR="0006350D">
        <w:rPr>
          <w:lang w:val="en-GB"/>
        </w:rPr>
        <w:t>’</w:t>
      </w:r>
      <w:r w:rsidR="00F544DC" w:rsidRPr="00B124DC">
        <w:rPr>
          <w:lang w:val="en-GB"/>
        </w:rPr>
        <w:t xml:space="preserve">s submission, it could not validly be argued that the legal </w:t>
      </w:r>
      <w:r w:rsidR="00D22E6D" w:rsidRPr="00B124DC">
        <w:rPr>
          <w:lang w:val="en-GB"/>
        </w:rPr>
        <w:t>basis for</w:t>
      </w:r>
      <w:r w:rsidR="00F544DC" w:rsidRPr="00B124DC">
        <w:rPr>
          <w:lang w:val="en-GB"/>
        </w:rPr>
        <w:t xml:space="preserve"> that regulation was the case-law of the Turkish courts, as the</w:t>
      </w:r>
      <w:r w:rsidR="00D22E6D" w:rsidRPr="00B124DC">
        <w:rPr>
          <w:lang w:val="en-GB"/>
        </w:rPr>
        <w:t xml:space="preserve"> courts</w:t>
      </w:r>
      <w:r w:rsidR="00F544DC" w:rsidRPr="00B124DC">
        <w:rPr>
          <w:lang w:val="en-GB"/>
        </w:rPr>
        <w:t xml:space="preserve"> only had jurisdiction to apply the law, not to establish new legal rules. </w:t>
      </w:r>
      <w:r w:rsidR="00D22E6D" w:rsidRPr="00B124DC">
        <w:rPr>
          <w:lang w:val="en-GB"/>
        </w:rPr>
        <w:t>Although</w:t>
      </w:r>
      <w:r w:rsidR="005C5D34" w:rsidRPr="00B124DC">
        <w:rPr>
          <w:lang w:val="en-GB"/>
        </w:rPr>
        <w:t xml:space="preserve"> in its judgments of</w:t>
      </w:r>
      <w:r w:rsidRPr="00B124DC">
        <w:rPr>
          <w:lang w:val="en-GB"/>
        </w:rPr>
        <w:t xml:space="preserve"> </w:t>
      </w:r>
      <w:smartTag w:uri="urn:schemas-microsoft-com:office:smarttags" w:element="date">
        <w:smartTagPr>
          <w:attr w:name="Month" w:val="3"/>
          <w:attr w:name="Day" w:val="7"/>
          <w:attr w:name="Year" w:val="1989"/>
        </w:smartTagPr>
        <w:r w:rsidRPr="00B124DC">
          <w:rPr>
            <w:lang w:val="en-GB"/>
          </w:rPr>
          <w:t>7</w:t>
        </w:r>
        <w:r w:rsidR="005C5D34" w:rsidRPr="00B124DC">
          <w:rPr>
            <w:lang w:val="en-GB"/>
          </w:rPr>
          <w:t xml:space="preserve"> </w:t>
        </w:r>
        <w:r w:rsidR="00800ADE" w:rsidRPr="00B124DC">
          <w:rPr>
            <w:lang w:val="en-GB"/>
          </w:rPr>
          <w:t>March</w:t>
        </w:r>
        <w:r w:rsidRPr="00B124DC">
          <w:rPr>
            <w:lang w:val="en-GB"/>
          </w:rPr>
          <w:t xml:space="preserve"> 1989</w:t>
        </w:r>
      </w:smartTag>
      <w:r w:rsidRPr="00B124DC">
        <w:rPr>
          <w:lang w:val="en-GB"/>
        </w:rPr>
        <w:t xml:space="preserve"> </w:t>
      </w:r>
      <w:r w:rsidR="005C5D34" w:rsidRPr="00B124DC">
        <w:rPr>
          <w:lang w:val="en-GB"/>
        </w:rPr>
        <w:t>and</w:t>
      </w:r>
      <w:r w:rsidRPr="00B124DC">
        <w:rPr>
          <w:lang w:val="en-GB"/>
        </w:rPr>
        <w:t xml:space="preserve"> </w:t>
      </w:r>
      <w:smartTag w:uri="urn:schemas-microsoft-com:office:smarttags" w:element="date">
        <w:smartTagPr>
          <w:attr w:name="Month" w:val="4"/>
          <w:attr w:name="Day" w:val="9"/>
          <w:attr w:name="Year" w:val="1991"/>
        </w:smartTagPr>
        <w:r w:rsidRPr="00B124DC">
          <w:rPr>
            <w:lang w:val="en-GB"/>
          </w:rPr>
          <w:t xml:space="preserve">9 </w:t>
        </w:r>
        <w:r w:rsidR="00800ADE" w:rsidRPr="00B124DC">
          <w:rPr>
            <w:lang w:val="en-GB"/>
          </w:rPr>
          <w:t>April</w:t>
        </w:r>
        <w:r w:rsidRPr="00B124DC">
          <w:rPr>
            <w:lang w:val="en-GB"/>
          </w:rPr>
          <w:t xml:space="preserve"> 1991</w:t>
        </w:r>
      </w:smartTag>
      <w:r w:rsidRPr="00B124DC">
        <w:rPr>
          <w:lang w:val="en-GB"/>
        </w:rPr>
        <w:t xml:space="preserve"> (</w:t>
      </w:r>
      <w:r w:rsidR="005C5D34" w:rsidRPr="00B124DC">
        <w:rPr>
          <w:lang w:val="en-GB"/>
        </w:rPr>
        <w:t xml:space="preserve">see </w:t>
      </w:r>
      <w:r w:rsidR="00932AF2">
        <w:rPr>
          <w:lang w:val="en-GB"/>
        </w:rPr>
        <w:t>paragraphs </w:t>
      </w:r>
      <w:r w:rsidRPr="00B124DC">
        <w:rPr>
          <w:lang w:val="en-GB"/>
        </w:rPr>
        <w:t xml:space="preserve">39 </w:t>
      </w:r>
      <w:r w:rsidR="005C5D34" w:rsidRPr="00B124DC">
        <w:rPr>
          <w:lang w:val="en-GB"/>
        </w:rPr>
        <w:t>and</w:t>
      </w:r>
      <w:r w:rsidRPr="00B124DC">
        <w:rPr>
          <w:lang w:val="en-GB"/>
        </w:rPr>
        <w:t xml:space="preserve"> 41</w:t>
      </w:r>
      <w:r w:rsidR="005C5D34" w:rsidRPr="00B124DC">
        <w:rPr>
          <w:lang w:val="en-GB"/>
        </w:rPr>
        <w:t xml:space="preserve"> above</w:t>
      </w:r>
      <w:r w:rsidRPr="00B124DC">
        <w:rPr>
          <w:lang w:val="en-GB"/>
        </w:rPr>
        <w:t>)</w:t>
      </w:r>
      <w:r w:rsidR="005C5D34" w:rsidRPr="00B124DC">
        <w:rPr>
          <w:lang w:val="en-GB"/>
        </w:rPr>
        <w:t xml:space="preserve"> the </w:t>
      </w:r>
      <w:smartTag w:uri="urn:schemas-microsoft-com:office:smarttags" w:element="Street">
        <w:smartTag w:uri="urn:schemas-microsoft-com:office:smarttags" w:element="address">
          <w:r w:rsidR="005C5D34" w:rsidRPr="00B124DC">
            <w:rPr>
              <w:lang w:val="en-GB"/>
            </w:rPr>
            <w:t>Constitutional Court</w:t>
          </w:r>
        </w:smartTag>
      </w:smartTag>
      <w:r w:rsidR="005C5D34" w:rsidRPr="00B124DC">
        <w:rPr>
          <w:lang w:val="en-GB"/>
        </w:rPr>
        <w:t xml:space="preserve"> had not acted </w:t>
      </w:r>
      <w:r w:rsidR="005C5D34" w:rsidRPr="00B124DC">
        <w:rPr>
          <w:i/>
          <w:lang w:val="en-GB"/>
        </w:rPr>
        <w:t>ultra vires</w:t>
      </w:r>
      <w:r w:rsidR="005C5D34" w:rsidRPr="00B124DC">
        <w:rPr>
          <w:lang w:val="en-GB"/>
        </w:rPr>
        <w:t xml:space="preserve"> in pro</w:t>
      </w:r>
      <w:r w:rsidR="00D22E6D" w:rsidRPr="00B124DC">
        <w:rPr>
          <w:lang w:val="en-GB"/>
        </w:rPr>
        <w:t>scribing the headscarf in</w:t>
      </w:r>
      <w:r w:rsidR="005C5D34" w:rsidRPr="00B124DC">
        <w:rPr>
          <w:lang w:val="en-GB"/>
        </w:rPr>
        <w:t xml:space="preserve"> individ</w:t>
      </w:r>
      <w:r w:rsidR="00D22E6D" w:rsidRPr="00B124DC">
        <w:rPr>
          <w:lang w:val="en-GB"/>
        </w:rPr>
        <w:t>ual cases</w:t>
      </w:r>
      <w:r w:rsidR="00D90535" w:rsidRPr="00B124DC">
        <w:rPr>
          <w:lang w:val="en-GB"/>
        </w:rPr>
        <w:t xml:space="preserve">, the legislature </w:t>
      </w:r>
      <w:r w:rsidR="0013618A" w:rsidRPr="00B124DC">
        <w:rPr>
          <w:lang w:val="en-GB"/>
        </w:rPr>
        <w:t>had</w:t>
      </w:r>
      <w:r w:rsidR="00D90535" w:rsidRPr="00B124DC">
        <w:rPr>
          <w:lang w:val="en-GB"/>
        </w:rPr>
        <w:t xml:space="preserve"> not construe</w:t>
      </w:r>
      <w:r w:rsidR="0013618A" w:rsidRPr="00B124DC">
        <w:rPr>
          <w:lang w:val="en-GB"/>
        </w:rPr>
        <w:t>d</w:t>
      </w:r>
      <w:r w:rsidR="00D90535" w:rsidRPr="00B124DC">
        <w:rPr>
          <w:lang w:val="en-GB"/>
        </w:rPr>
        <w:t xml:space="preserve"> the first of </w:t>
      </w:r>
      <w:r w:rsidR="00D22E6D" w:rsidRPr="00B124DC">
        <w:rPr>
          <w:lang w:val="en-GB"/>
        </w:rPr>
        <w:t>that court</w:t>
      </w:r>
      <w:r w:rsidR="0006350D">
        <w:rPr>
          <w:lang w:val="en-GB"/>
        </w:rPr>
        <w:t>’</w:t>
      </w:r>
      <w:r w:rsidR="00D22E6D" w:rsidRPr="00B124DC">
        <w:rPr>
          <w:lang w:val="en-GB"/>
        </w:rPr>
        <w:t>s</w:t>
      </w:r>
      <w:r w:rsidR="00D90535" w:rsidRPr="00B124DC">
        <w:rPr>
          <w:lang w:val="en-GB"/>
        </w:rPr>
        <w:t xml:space="preserve"> judgments as </w:t>
      </w:r>
      <w:r w:rsidR="00366B2B" w:rsidRPr="00B124DC">
        <w:rPr>
          <w:lang w:val="en-GB"/>
        </w:rPr>
        <w:t>requiring</w:t>
      </w:r>
      <w:r w:rsidR="00D90535" w:rsidRPr="00B124DC">
        <w:rPr>
          <w:lang w:val="en-GB"/>
        </w:rPr>
        <w:t xml:space="preserve"> it </w:t>
      </w:r>
      <w:r w:rsidR="00366B2B" w:rsidRPr="00B124DC">
        <w:rPr>
          <w:lang w:val="en-GB"/>
        </w:rPr>
        <w:t>to</w:t>
      </w:r>
      <w:r w:rsidR="00D90535" w:rsidRPr="00B124DC">
        <w:rPr>
          <w:lang w:val="en-GB"/>
        </w:rPr>
        <w:t xml:space="preserve"> </w:t>
      </w:r>
      <w:r w:rsidR="0013618A" w:rsidRPr="00B124DC">
        <w:rPr>
          <w:lang w:val="en-GB"/>
        </w:rPr>
        <w:t>introduce legislation prohibiting</w:t>
      </w:r>
      <w:r w:rsidR="00D90535" w:rsidRPr="00B124DC">
        <w:rPr>
          <w:lang w:val="en-GB"/>
        </w:rPr>
        <w:t xml:space="preserve"> the Islamic headscarf</w:t>
      </w:r>
      <w:r w:rsidRPr="00B124DC">
        <w:rPr>
          <w:lang w:val="en-GB"/>
        </w:rPr>
        <w:t xml:space="preserve">. </w:t>
      </w:r>
      <w:r w:rsidR="00D22E6D" w:rsidRPr="00B124DC">
        <w:rPr>
          <w:lang w:val="en-GB"/>
        </w:rPr>
        <w:t xml:space="preserve">There </w:t>
      </w:r>
      <w:r w:rsidR="00D90535" w:rsidRPr="00B124DC">
        <w:rPr>
          <w:lang w:val="en-GB"/>
        </w:rPr>
        <w:t xml:space="preserve">was no statutory provision in force </w:t>
      </w:r>
      <w:r w:rsidR="00C85FD0" w:rsidRPr="00B124DC">
        <w:rPr>
          <w:lang w:val="en-GB"/>
        </w:rPr>
        <w:t xml:space="preserve">to </w:t>
      </w:r>
      <w:r w:rsidR="00D90535" w:rsidRPr="00B124DC">
        <w:rPr>
          <w:lang w:val="en-GB"/>
        </w:rPr>
        <w:t xml:space="preserve">prohibit students from wearing the headscarf on the premises of </w:t>
      </w:r>
      <w:r w:rsidR="001D350D" w:rsidRPr="00B124DC">
        <w:rPr>
          <w:lang w:val="en-GB"/>
        </w:rPr>
        <w:t>institutions of higher education</w:t>
      </w:r>
      <w:r w:rsidR="00C85FD0" w:rsidRPr="00B124DC">
        <w:rPr>
          <w:lang w:val="en-GB"/>
        </w:rPr>
        <w:t>, while</w:t>
      </w:r>
      <w:r w:rsidRPr="00B124DC">
        <w:rPr>
          <w:lang w:val="en-GB"/>
        </w:rPr>
        <w:t xml:space="preserve"> </w:t>
      </w:r>
      <w:r w:rsidR="00882C74" w:rsidRPr="00B124DC">
        <w:rPr>
          <w:lang w:val="en-GB"/>
        </w:rPr>
        <w:t xml:space="preserve">the reasons given by the </w:t>
      </w:r>
      <w:smartTag w:uri="urn:schemas-microsoft-com:office:smarttags" w:element="Street">
        <w:smartTag w:uri="urn:schemas-microsoft-com:office:smarttags" w:element="address">
          <w:r w:rsidR="00882C74" w:rsidRPr="00B124DC">
            <w:rPr>
              <w:lang w:val="en-GB"/>
            </w:rPr>
            <w:t>Constitutional Court</w:t>
          </w:r>
        </w:smartTag>
      </w:smartTag>
      <w:r w:rsidR="00882C74" w:rsidRPr="00B124DC">
        <w:rPr>
          <w:lang w:val="en-GB"/>
        </w:rPr>
        <w:t xml:space="preserve"> for its decision </w:t>
      </w:r>
      <w:r w:rsidR="00C85FD0" w:rsidRPr="00B124DC">
        <w:rPr>
          <w:lang w:val="en-GB"/>
        </w:rPr>
        <w:t>did not have the force of law</w:t>
      </w:r>
      <w:r w:rsidRPr="00B124DC">
        <w:rPr>
          <w:lang w:val="en-GB"/>
        </w:rPr>
        <w:t>.</w:t>
      </w:r>
    </w:p>
    <w:p w:rsidR="000A4D17" w:rsidRPr="00B124DC" w:rsidRDefault="003316F6"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81</w:t>
      </w:r>
      <w:r w:rsidRPr="00B124DC">
        <w:rPr>
          <w:lang w:val="en-GB"/>
        </w:rPr>
        <w:fldChar w:fldCharType="end"/>
      </w:r>
      <w:r w:rsidRPr="00B124DC">
        <w:rPr>
          <w:lang w:val="en-GB"/>
        </w:rPr>
        <w:t>.  </w:t>
      </w:r>
      <w:r w:rsidR="00F271C7" w:rsidRPr="00B124DC">
        <w:rPr>
          <w:lang w:val="en-GB"/>
        </w:rPr>
        <w:t xml:space="preserve">The applicant said that while university authorities, including </w:t>
      </w:r>
      <w:r w:rsidR="008420BE" w:rsidRPr="00B124DC">
        <w:rPr>
          <w:lang w:val="en-GB"/>
        </w:rPr>
        <w:t>vice</w:t>
      </w:r>
      <w:r w:rsidR="00CF7507">
        <w:rPr>
          <w:lang w:val="en-GB"/>
        </w:rPr>
        <w:t>-</w:t>
      </w:r>
      <w:r w:rsidR="008420BE" w:rsidRPr="00B124DC">
        <w:rPr>
          <w:lang w:val="en-GB"/>
        </w:rPr>
        <w:t>chancellors</w:t>
      </w:r>
      <w:r w:rsidR="0006350D">
        <w:rPr>
          <w:lang w:val="en-GB"/>
        </w:rPr>
        <w:t>’</w:t>
      </w:r>
      <w:r w:rsidR="008420BE" w:rsidRPr="00B124DC">
        <w:rPr>
          <w:lang w:val="en-GB"/>
        </w:rPr>
        <w:t xml:space="preserve"> offices and deaneries</w:t>
      </w:r>
      <w:r w:rsidRPr="00B124DC">
        <w:rPr>
          <w:lang w:val="en-GB"/>
        </w:rPr>
        <w:t xml:space="preserve">, </w:t>
      </w:r>
      <w:r w:rsidR="005C235D" w:rsidRPr="00B124DC">
        <w:rPr>
          <w:lang w:val="en-GB"/>
        </w:rPr>
        <w:t>were</w:t>
      </w:r>
      <w:r w:rsidR="00F271C7" w:rsidRPr="00B124DC">
        <w:rPr>
          <w:lang w:val="en-GB"/>
        </w:rPr>
        <w:t xml:space="preserve"> unquestionably </w:t>
      </w:r>
      <w:r w:rsidR="005C235D" w:rsidRPr="00B124DC">
        <w:rPr>
          <w:lang w:val="en-GB"/>
        </w:rPr>
        <w:t xml:space="preserve">at liberty to </w:t>
      </w:r>
      <w:r w:rsidR="00F271C7" w:rsidRPr="00B124DC">
        <w:rPr>
          <w:lang w:val="en-GB"/>
        </w:rPr>
        <w:t xml:space="preserve">use the powers vested in them by law, the scope of </w:t>
      </w:r>
      <w:r w:rsidR="00C430A1" w:rsidRPr="00B124DC">
        <w:rPr>
          <w:lang w:val="en-GB"/>
        </w:rPr>
        <w:t xml:space="preserve">those powers </w:t>
      </w:r>
      <w:r w:rsidR="00F271C7" w:rsidRPr="00B124DC">
        <w:rPr>
          <w:lang w:val="en-GB"/>
        </w:rPr>
        <w:t xml:space="preserve">and </w:t>
      </w:r>
      <w:r w:rsidR="00C430A1" w:rsidRPr="00B124DC">
        <w:rPr>
          <w:lang w:val="en-GB"/>
        </w:rPr>
        <w:t xml:space="preserve">the </w:t>
      </w:r>
      <w:r w:rsidR="00F271C7" w:rsidRPr="00B124DC">
        <w:rPr>
          <w:lang w:val="en-GB"/>
        </w:rPr>
        <w:t xml:space="preserve">limits </w:t>
      </w:r>
      <w:r w:rsidR="00C430A1" w:rsidRPr="00B124DC">
        <w:rPr>
          <w:lang w:val="en-GB"/>
        </w:rPr>
        <w:t xml:space="preserve">on them </w:t>
      </w:r>
      <w:r w:rsidR="005C235D" w:rsidRPr="00B124DC">
        <w:rPr>
          <w:lang w:val="en-GB"/>
        </w:rPr>
        <w:t xml:space="preserve">were also defined by law, as were </w:t>
      </w:r>
      <w:r w:rsidR="00F271C7" w:rsidRPr="00B124DC">
        <w:rPr>
          <w:lang w:val="en-GB"/>
        </w:rPr>
        <w:t xml:space="preserve">the procedures by which they were </w:t>
      </w:r>
      <w:r w:rsidR="005C235D" w:rsidRPr="00B124DC">
        <w:rPr>
          <w:lang w:val="en-GB"/>
        </w:rPr>
        <w:t xml:space="preserve">to be </w:t>
      </w:r>
      <w:r w:rsidR="00F271C7" w:rsidRPr="00B124DC">
        <w:rPr>
          <w:lang w:val="en-GB"/>
        </w:rPr>
        <w:t xml:space="preserve">exercised and the </w:t>
      </w:r>
      <w:r w:rsidR="00C430A1" w:rsidRPr="00B124DC">
        <w:rPr>
          <w:lang w:val="en-GB"/>
        </w:rPr>
        <w:t>safeguards against</w:t>
      </w:r>
      <w:r w:rsidR="00F271C7" w:rsidRPr="00B124DC">
        <w:rPr>
          <w:lang w:val="en-GB"/>
        </w:rPr>
        <w:t xml:space="preserve"> abuse of authority.</w:t>
      </w:r>
      <w:r w:rsidRPr="00B124DC">
        <w:rPr>
          <w:lang w:val="en-GB"/>
        </w:rPr>
        <w:t xml:space="preserve"> </w:t>
      </w:r>
      <w:r w:rsidR="00EE2721" w:rsidRPr="00B124DC">
        <w:rPr>
          <w:lang w:val="en-GB"/>
        </w:rPr>
        <w:t xml:space="preserve">In the instant case, </w:t>
      </w:r>
      <w:r w:rsidR="00557E3C" w:rsidRPr="00B124DC">
        <w:rPr>
          <w:lang w:val="en-GB"/>
        </w:rPr>
        <w:t xml:space="preserve">the </w:t>
      </w:r>
      <w:r w:rsidR="00C430A1" w:rsidRPr="00B124DC">
        <w:rPr>
          <w:lang w:val="en-GB"/>
        </w:rPr>
        <w:t>Vice</w:t>
      </w:r>
      <w:r w:rsidR="00CF7507">
        <w:rPr>
          <w:lang w:val="en-GB"/>
        </w:rPr>
        <w:t>-</w:t>
      </w:r>
      <w:r w:rsidR="00C430A1" w:rsidRPr="00B124DC">
        <w:rPr>
          <w:lang w:val="en-GB"/>
        </w:rPr>
        <w:t xml:space="preserve">Chancellor </w:t>
      </w:r>
      <w:r w:rsidR="00150768" w:rsidRPr="00B124DC">
        <w:rPr>
          <w:lang w:val="en-GB"/>
        </w:rPr>
        <w:t>had</w:t>
      </w:r>
      <w:r w:rsidR="00557E3C" w:rsidRPr="00B124DC">
        <w:rPr>
          <w:lang w:val="en-GB"/>
        </w:rPr>
        <w:t xml:space="preserve"> not </w:t>
      </w:r>
      <w:r w:rsidR="00A83CA1" w:rsidRPr="00B124DC">
        <w:rPr>
          <w:lang w:val="en-GB"/>
        </w:rPr>
        <w:t>possess</w:t>
      </w:r>
      <w:r w:rsidR="00150768" w:rsidRPr="00B124DC">
        <w:rPr>
          <w:lang w:val="en-GB"/>
        </w:rPr>
        <w:t>ed</w:t>
      </w:r>
      <w:r w:rsidR="00557E3C" w:rsidRPr="00B124DC">
        <w:rPr>
          <w:lang w:val="en-GB"/>
        </w:rPr>
        <w:t xml:space="preserve"> the </w:t>
      </w:r>
      <w:r w:rsidR="00A83CA1" w:rsidRPr="00B124DC">
        <w:rPr>
          <w:lang w:val="en-GB"/>
        </w:rPr>
        <w:t>authority</w:t>
      </w:r>
      <w:r w:rsidR="00557E3C" w:rsidRPr="00B124DC">
        <w:rPr>
          <w:lang w:val="en-GB"/>
        </w:rPr>
        <w:t xml:space="preserve"> or power, </w:t>
      </w:r>
      <w:r w:rsidR="00EE2721" w:rsidRPr="00B124DC">
        <w:rPr>
          <w:lang w:val="en-GB"/>
        </w:rPr>
        <w:t xml:space="preserve">either </w:t>
      </w:r>
      <w:r w:rsidR="00557E3C" w:rsidRPr="00B124DC">
        <w:rPr>
          <w:lang w:val="en-GB"/>
        </w:rPr>
        <w:t xml:space="preserve">under </w:t>
      </w:r>
      <w:r w:rsidR="00EE2721" w:rsidRPr="00B124DC">
        <w:rPr>
          <w:lang w:val="en-GB"/>
        </w:rPr>
        <w:t xml:space="preserve">the laws </w:t>
      </w:r>
      <w:r w:rsidR="00C430A1" w:rsidRPr="00B124DC">
        <w:rPr>
          <w:lang w:val="en-GB"/>
        </w:rPr>
        <w:t xml:space="preserve">in force </w:t>
      </w:r>
      <w:r w:rsidR="00EE2721" w:rsidRPr="00B124DC">
        <w:rPr>
          <w:lang w:val="en-GB"/>
        </w:rPr>
        <w:t>or the Students Disciplinary Procedure Rules</w:t>
      </w:r>
      <w:r w:rsidR="00557E3C" w:rsidRPr="00B124DC">
        <w:rPr>
          <w:lang w:val="en-GB"/>
        </w:rPr>
        <w:t>,</w:t>
      </w:r>
      <w:r w:rsidR="00EE2721" w:rsidRPr="00B124DC">
        <w:rPr>
          <w:lang w:val="en-GB"/>
        </w:rPr>
        <w:t xml:space="preserve"> to refuse students “wearing the headscarf” access to university premises or examination rooms</w:t>
      </w:r>
      <w:r w:rsidRPr="00B124DC">
        <w:rPr>
          <w:lang w:val="en-GB"/>
        </w:rPr>
        <w:t xml:space="preserve">. </w:t>
      </w:r>
      <w:r w:rsidR="000C4237" w:rsidRPr="00B124DC">
        <w:rPr>
          <w:lang w:val="en-GB"/>
        </w:rPr>
        <w:t>In addition,</w:t>
      </w:r>
      <w:r w:rsidR="00C430A1" w:rsidRPr="00B124DC">
        <w:rPr>
          <w:lang w:val="en-GB"/>
        </w:rPr>
        <w:t xml:space="preserve"> </w:t>
      </w:r>
      <w:r w:rsidR="000C4237" w:rsidRPr="00B124DC">
        <w:rPr>
          <w:lang w:val="en-GB"/>
        </w:rPr>
        <w:t xml:space="preserve">the legislature had at no stage </w:t>
      </w:r>
      <w:r w:rsidR="005716A2" w:rsidRPr="00B124DC">
        <w:rPr>
          <w:lang w:val="en-GB"/>
        </w:rPr>
        <w:t>sought</w:t>
      </w:r>
      <w:r w:rsidR="000C4237" w:rsidRPr="00B124DC">
        <w:rPr>
          <w:lang w:val="en-GB"/>
        </w:rPr>
        <w:t xml:space="preserve"> to issue a general ban on wearing religious signs in schools and universities and </w:t>
      </w:r>
      <w:r w:rsidR="005716A2" w:rsidRPr="00B124DC">
        <w:rPr>
          <w:lang w:val="en-GB"/>
        </w:rPr>
        <w:t xml:space="preserve">there had never been </w:t>
      </w:r>
      <w:r w:rsidR="00C430A1" w:rsidRPr="00B124DC">
        <w:rPr>
          <w:lang w:val="en-GB"/>
        </w:rPr>
        <w:t>support</w:t>
      </w:r>
      <w:r w:rsidR="005716A2" w:rsidRPr="00B124DC">
        <w:rPr>
          <w:lang w:val="en-GB"/>
        </w:rPr>
        <w:t xml:space="preserve"> </w:t>
      </w:r>
      <w:r w:rsidR="00C430A1" w:rsidRPr="00B124DC">
        <w:rPr>
          <w:lang w:val="en-GB"/>
        </w:rPr>
        <w:t>for</w:t>
      </w:r>
      <w:r w:rsidR="005716A2" w:rsidRPr="00B124DC">
        <w:rPr>
          <w:lang w:val="en-GB"/>
        </w:rPr>
        <w:t xml:space="preserve"> </w:t>
      </w:r>
      <w:r w:rsidR="00C430A1" w:rsidRPr="00B124DC">
        <w:rPr>
          <w:lang w:val="en-GB"/>
        </w:rPr>
        <w:t xml:space="preserve">such a ban in </w:t>
      </w:r>
      <w:r w:rsidR="000C4237" w:rsidRPr="00B124DC">
        <w:rPr>
          <w:lang w:val="en-GB"/>
        </w:rPr>
        <w:t xml:space="preserve">Parliament, despite the </w:t>
      </w:r>
      <w:r w:rsidR="005716A2" w:rsidRPr="00B124DC">
        <w:rPr>
          <w:lang w:val="en-GB"/>
        </w:rPr>
        <w:t>fierce debate to which</w:t>
      </w:r>
      <w:r w:rsidR="000C4237" w:rsidRPr="00B124DC">
        <w:rPr>
          <w:lang w:val="en-GB"/>
        </w:rPr>
        <w:t xml:space="preserve"> the Islamic headscarf </w:t>
      </w:r>
      <w:r w:rsidR="00C430A1" w:rsidRPr="00B124DC">
        <w:rPr>
          <w:lang w:val="en-GB"/>
        </w:rPr>
        <w:t>had given</w:t>
      </w:r>
      <w:r w:rsidR="005716A2" w:rsidRPr="00B124DC">
        <w:rPr>
          <w:lang w:val="en-GB"/>
        </w:rPr>
        <w:t xml:space="preserve"> rise</w:t>
      </w:r>
      <w:r w:rsidR="000C4237" w:rsidRPr="00B124DC">
        <w:rPr>
          <w:lang w:val="en-GB"/>
        </w:rPr>
        <w:t xml:space="preserve">. </w:t>
      </w:r>
      <w:r w:rsidR="000A4D17" w:rsidRPr="00B124DC">
        <w:rPr>
          <w:lang w:val="en-GB"/>
        </w:rPr>
        <w:t xml:space="preserve">Moreover, </w:t>
      </w:r>
      <w:r w:rsidR="00C430A1" w:rsidRPr="00B124DC">
        <w:rPr>
          <w:lang w:val="en-GB"/>
        </w:rPr>
        <w:t>the fact that the</w:t>
      </w:r>
      <w:r w:rsidR="000A4D17" w:rsidRPr="00B124DC">
        <w:rPr>
          <w:lang w:val="en-GB"/>
        </w:rPr>
        <w:t xml:space="preserve"> administrative authorities had not </w:t>
      </w:r>
      <w:r w:rsidR="009233D0" w:rsidRPr="00B124DC">
        <w:rPr>
          <w:lang w:val="en-GB"/>
        </w:rPr>
        <w:t>introduced</w:t>
      </w:r>
      <w:r w:rsidR="000A4D17" w:rsidRPr="00B124DC">
        <w:rPr>
          <w:lang w:val="en-GB"/>
        </w:rPr>
        <w:t xml:space="preserve"> any general regulations providing for </w:t>
      </w:r>
      <w:r w:rsidR="00A83CA1" w:rsidRPr="00B124DC">
        <w:rPr>
          <w:lang w:val="en-GB"/>
        </w:rPr>
        <w:t xml:space="preserve">the imposition of </w:t>
      </w:r>
      <w:r w:rsidR="000A4D17" w:rsidRPr="00B124DC">
        <w:rPr>
          <w:lang w:val="en-GB"/>
        </w:rPr>
        <w:t xml:space="preserve">disciplinary penalties on students wearing the headscarf in </w:t>
      </w:r>
      <w:r w:rsidR="001D350D" w:rsidRPr="00B124DC">
        <w:rPr>
          <w:lang w:val="en-GB"/>
        </w:rPr>
        <w:t>institutions of higher education</w:t>
      </w:r>
      <w:r w:rsidR="00C430A1" w:rsidRPr="00B124DC">
        <w:rPr>
          <w:lang w:val="en-GB"/>
        </w:rPr>
        <w:t xml:space="preserve"> meant that </w:t>
      </w:r>
      <w:r w:rsidR="000A4D17" w:rsidRPr="00B124DC">
        <w:rPr>
          <w:lang w:val="en-GB"/>
        </w:rPr>
        <w:t>no such ban</w:t>
      </w:r>
      <w:r w:rsidR="00C430A1" w:rsidRPr="00B124DC">
        <w:rPr>
          <w:lang w:val="en-GB"/>
        </w:rPr>
        <w:t xml:space="preserve"> existed</w:t>
      </w:r>
      <w:r w:rsidR="000A4D17" w:rsidRPr="00B124DC">
        <w:rPr>
          <w:lang w:val="en-GB"/>
        </w:rPr>
        <w:t>.</w:t>
      </w:r>
    </w:p>
    <w:p w:rsidR="00C64D57" w:rsidRPr="00B124DC" w:rsidRDefault="003316F6"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82</w:t>
      </w:r>
      <w:r w:rsidRPr="00B124DC">
        <w:rPr>
          <w:lang w:val="en-GB"/>
        </w:rPr>
        <w:fldChar w:fldCharType="end"/>
      </w:r>
      <w:r w:rsidRPr="00B124DC">
        <w:rPr>
          <w:lang w:val="en-GB"/>
        </w:rPr>
        <w:t>.  </w:t>
      </w:r>
      <w:r w:rsidR="00C64D57" w:rsidRPr="00B124DC">
        <w:rPr>
          <w:lang w:val="en-GB"/>
        </w:rPr>
        <w:t xml:space="preserve">The applicant </w:t>
      </w:r>
      <w:r w:rsidR="00C64D57" w:rsidRPr="00932AF2">
        <w:rPr>
          <w:lang w:val="en-GB"/>
        </w:rPr>
        <w:t>c</w:t>
      </w:r>
      <w:r w:rsidR="00C64D57" w:rsidRPr="00B124DC">
        <w:rPr>
          <w:lang w:val="en-GB"/>
        </w:rPr>
        <w:t>onsidered that the interference with her right had not been foreseeable and was not based on a “law” within the meaning of the Convention.</w:t>
      </w:r>
    </w:p>
    <w:p w:rsidR="0098730A" w:rsidRPr="00B124DC" w:rsidRDefault="003316F6"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83</w:t>
      </w:r>
      <w:r w:rsidRPr="00B124DC">
        <w:rPr>
          <w:lang w:val="en-GB"/>
        </w:rPr>
        <w:fldChar w:fldCharType="end"/>
      </w:r>
      <w:r w:rsidRPr="00B124DC">
        <w:rPr>
          <w:lang w:val="en-GB"/>
        </w:rPr>
        <w:t>.  </w:t>
      </w:r>
      <w:r w:rsidR="004A6B3C" w:rsidRPr="00B124DC">
        <w:rPr>
          <w:lang w:val="en-GB"/>
        </w:rPr>
        <w:t xml:space="preserve">The Government confined </w:t>
      </w:r>
      <w:r w:rsidR="00150768" w:rsidRPr="00B124DC">
        <w:rPr>
          <w:lang w:val="en-GB"/>
        </w:rPr>
        <w:t>themselves</w:t>
      </w:r>
      <w:r w:rsidR="004A6B3C" w:rsidRPr="00B124DC">
        <w:rPr>
          <w:lang w:val="en-GB"/>
        </w:rPr>
        <w:t xml:space="preserve"> to asking the Grand Chamber to endorse the </w:t>
      </w:r>
      <w:r w:rsidR="00230583" w:rsidRPr="00B124DC">
        <w:rPr>
          <w:lang w:val="en-GB"/>
        </w:rPr>
        <w:t>Chamber</w:t>
      </w:r>
      <w:r w:rsidR="0006350D">
        <w:rPr>
          <w:lang w:val="en-GB"/>
        </w:rPr>
        <w:t>’</w:t>
      </w:r>
      <w:r w:rsidR="00230583" w:rsidRPr="00B124DC">
        <w:rPr>
          <w:lang w:val="en-GB"/>
        </w:rPr>
        <w:t xml:space="preserve">s </w:t>
      </w:r>
      <w:r w:rsidR="004A6B3C" w:rsidRPr="00B124DC">
        <w:rPr>
          <w:lang w:val="en-GB"/>
        </w:rPr>
        <w:t>finding on this point</w:t>
      </w:r>
      <w:r w:rsidRPr="00B124DC">
        <w:rPr>
          <w:lang w:val="en-GB"/>
        </w:rPr>
        <w:t>.</w:t>
      </w:r>
    </w:p>
    <w:p w:rsidR="003316F6" w:rsidRPr="00B124DC" w:rsidRDefault="00882C74" w:rsidP="00932AF2">
      <w:pPr>
        <w:pStyle w:val="JuHa0"/>
        <w:keepNext/>
        <w:rPr>
          <w:lang w:val="en-GB"/>
        </w:rPr>
      </w:pPr>
      <w:r w:rsidRPr="00B124DC">
        <w:rPr>
          <w:lang w:val="en-GB"/>
        </w:rPr>
        <w:t>(</w:t>
      </w:r>
      <w:r w:rsidR="003316F6" w:rsidRPr="00B124DC">
        <w:rPr>
          <w:lang w:val="en-GB"/>
        </w:rPr>
        <w:t>b)  </w:t>
      </w:r>
      <w:r w:rsidR="004A6B3C" w:rsidRPr="00B124DC">
        <w:rPr>
          <w:lang w:val="en-GB"/>
        </w:rPr>
        <w:t>The Court</w:t>
      </w:r>
      <w:r w:rsidR="0006350D">
        <w:rPr>
          <w:lang w:val="en-GB"/>
        </w:rPr>
        <w:t>’</w:t>
      </w:r>
      <w:r w:rsidR="004A6B3C" w:rsidRPr="00B124DC">
        <w:rPr>
          <w:lang w:val="en-GB"/>
        </w:rPr>
        <w:t>s assessment</w:t>
      </w:r>
    </w:p>
    <w:p w:rsidR="00243F4C" w:rsidRPr="00B124DC" w:rsidRDefault="00882C74"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84</w:t>
      </w:r>
      <w:r w:rsidRPr="00B124DC">
        <w:rPr>
          <w:lang w:val="en-GB"/>
        </w:rPr>
        <w:fldChar w:fldCharType="end"/>
      </w:r>
      <w:r w:rsidRPr="00B124DC">
        <w:rPr>
          <w:lang w:val="en-GB"/>
        </w:rPr>
        <w:t>.  </w:t>
      </w:r>
      <w:r w:rsidR="0069691E" w:rsidRPr="00B124DC">
        <w:rPr>
          <w:lang w:val="en-GB"/>
        </w:rPr>
        <w:t xml:space="preserve">The Court reiterates its settled case-law that the expression “prescribed by law” requires firstly that the impugned measure should have a basis in domestic law. It also refers to the quality of the law in question, requiring that it be accessible to the persons concerned and formulated with sufficient precision to enable them – if need be, with appropriate advice – to foresee, to a degree that is reasonable in the circumstances, the consequences which a given action may entail and to regulate their conduct </w:t>
      </w:r>
      <w:r w:rsidR="00243F4C" w:rsidRPr="00B124DC">
        <w:rPr>
          <w:lang w:val="en-GB"/>
        </w:rPr>
        <w:t>(</w:t>
      </w:r>
      <w:r w:rsidR="00CF7507">
        <w:rPr>
          <w:lang w:val="en-GB"/>
        </w:rPr>
        <w:t xml:space="preserve">see </w:t>
      </w:r>
      <w:r w:rsidR="00243F4C" w:rsidRPr="00B124DC">
        <w:rPr>
          <w:i/>
          <w:lang w:val="en-GB" w:eastAsia="en-US"/>
        </w:rPr>
        <w:t xml:space="preserve">Gorzelik </w:t>
      </w:r>
      <w:r w:rsidR="00104528" w:rsidRPr="00B124DC">
        <w:rPr>
          <w:i/>
          <w:lang w:val="en-GB" w:eastAsia="en-US"/>
        </w:rPr>
        <w:t>and</w:t>
      </w:r>
      <w:r w:rsidR="00243F4C" w:rsidRPr="00B124DC">
        <w:rPr>
          <w:i/>
          <w:lang w:val="en-GB" w:eastAsia="en-US"/>
        </w:rPr>
        <w:t xml:space="preserve"> </w:t>
      </w:r>
      <w:r w:rsidR="00104528" w:rsidRPr="00B124DC">
        <w:rPr>
          <w:i/>
          <w:lang w:val="en-GB" w:eastAsia="en-US"/>
        </w:rPr>
        <w:t>Others</w:t>
      </w:r>
      <w:r w:rsidR="00243F4C" w:rsidRPr="00B124DC">
        <w:rPr>
          <w:i/>
          <w:lang w:val="en-GB" w:eastAsia="en-US"/>
        </w:rPr>
        <w:t xml:space="preserve"> </w:t>
      </w:r>
      <w:r w:rsidR="00104528" w:rsidRPr="00B124DC">
        <w:rPr>
          <w:i/>
          <w:lang w:val="en-GB" w:eastAsia="en-US"/>
        </w:rPr>
        <w:t>v</w:t>
      </w:r>
      <w:r w:rsidR="00243F4C" w:rsidRPr="00B124DC">
        <w:rPr>
          <w:i/>
          <w:lang w:val="en-GB" w:eastAsia="en-US"/>
        </w:rPr>
        <w:t>. Pol</w:t>
      </w:r>
      <w:r w:rsidR="00104528" w:rsidRPr="00B124DC">
        <w:rPr>
          <w:i/>
          <w:lang w:val="en-GB" w:eastAsia="en-US"/>
        </w:rPr>
        <w:t>and</w:t>
      </w:r>
      <w:r w:rsidR="00243F4C" w:rsidRPr="00B124DC">
        <w:rPr>
          <w:i/>
          <w:lang w:val="en-GB" w:eastAsia="en-US"/>
        </w:rPr>
        <w:t xml:space="preserve"> </w:t>
      </w:r>
      <w:r w:rsidR="00243F4C" w:rsidRPr="00B124DC">
        <w:rPr>
          <w:lang w:val="en-GB" w:eastAsia="en-US"/>
        </w:rPr>
        <w:t>[GC], n</w:t>
      </w:r>
      <w:r w:rsidR="00104528" w:rsidRPr="00B124DC">
        <w:rPr>
          <w:lang w:val="en-GB" w:eastAsia="en-US"/>
        </w:rPr>
        <w:t>o.</w:t>
      </w:r>
      <w:r w:rsidR="0069691E" w:rsidRPr="00B124DC">
        <w:rPr>
          <w:lang w:val="en-GB" w:eastAsia="en-US"/>
        </w:rPr>
        <w:t xml:space="preserve"> </w:t>
      </w:r>
      <w:r w:rsidR="00243F4C" w:rsidRPr="00B124DC">
        <w:rPr>
          <w:lang w:val="en-GB" w:eastAsia="en-US"/>
        </w:rPr>
        <w:t xml:space="preserve">44158/98, § 64, </w:t>
      </w:r>
      <w:r w:rsidR="00104528" w:rsidRPr="00B124DC">
        <w:rPr>
          <w:lang w:val="en-GB" w:eastAsia="en-US"/>
        </w:rPr>
        <w:t>E</w:t>
      </w:r>
      <w:r w:rsidR="00243F4C" w:rsidRPr="00B124DC">
        <w:rPr>
          <w:lang w:val="en-GB" w:eastAsia="en-US"/>
        </w:rPr>
        <w:t>C</w:t>
      </w:r>
      <w:r w:rsidR="00104528" w:rsidRPr="00B124DC">
        <w:rPr>
          <w:lang w:val="en-GB" w:eastAsia="en-US"/>
        </w:rPr>
        <w:t>HR</w:t>
      </w:r>
      <w:r w:rsidR="00CF7507">
        <w:rPr>
          <w:lang w:val="en-GB" w:eastAsia="en-US"/>
        </w:rPr>
        <w:t xml:space="preserve"> 2004</w:t>
      </w:r>
      <w:r w:rsidR="00CF7507">
        <w:rPr>
          <w:lang w:val="en-GB" w:eastAsia="en-US"/>
        </w:rPr>
        <w:noBreakHyphen/>
        <w:t>I</w:t>
      </w:r>
      <w:r w:rsidR="00243F4C" w:rsidRPr="00B124DC">
        <w:rPr>
          <w:lang w:val="en-GB" w:eastAsia="en-US"/>
        </w:rPr>
        <w:t>).</w:t>
      </w:r>
    </w:p>
    <w:p w:rsidR="00882C74" w:rsidRPr="00B124DC" w:rsidRDefault="00243F4C"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85</w:t>
      </w:r>
      <w:r w:rsidRPr="00B124DC">
        <w:rPr>
          <w:lang w:val="en-GB"/>
        </w:rPr>
        <w:fldChar w:fldCharType="end"/>
      </w:r>
      <w:r w:rsidRPr="00B124DC">
        <w:rPr>
          <w:lang w:val="en-GB"/>
        </w:rPr>
        <w:t>.  </w:t>
      </w:r>
      <w:r w:rsidR="00FD219E" w:rsidRPr="00B124DC">
        <w:rPr>
          <w:lang w:val="en-GB"/>
        </w:rPr>
        <w:t>The Court observes that the applicant</w:t>
      </w:r>
      <w:r w:rsidR="0006350D">
        <w:rPr>
          <w:lang w:val="en-GB"/>
        </w:rPr>
        <w:t>’</w:t>
      </w:r>
      <w:r w:rsidR="00FD219E" w:rsidRPr="00B124DC">
        <w:rPr>
          <w:lang w:val="en-GB"/>
        </w:rPr>
        <w:t xml:space="preserve">s arguments relating to the alleged unforeseeability of Turkish law do not concern the circular of </w:t>
      </w:r>
      <w:r w:rsidRPr="00B124DC">
        <w:rPr>
          <w:lang w:val="en-GB"/>
        </w:rPr>
        <w:t>23 </w:t>
      </w:r>
      <w:r w:rsidR="00800ADE" w:rsidRPr="00B124DC">
        <w:rPr>
          <w:lang w:val="en-GB"/>
        </w:rPr>
        <w:t>February</w:t>
      </w:r>
      <w:r w:rsidRPr="00B124DC">
        <w:rPr>
          <w:lang w:val="en-GB"/>
        </w:rPr>
        <w:t xml:space="preserve"> 1998</w:t>
      </w:r>
      <w:r w:rsidR="008E521A" w:rsidRPr="00B124DC">
        <w:rPr>
          <w:lang w:val="en-GB"/>
        </w:rPr>
        <w:t xml:space="preserve"> </w:t>
      </w:r>
      <w:r w:rsidR="00230583" w:rsidRPr="00B124DC">
        <w:rPr>
          <w:lang w:val="en-GB"/>
        </w:rPr>
        <w:t xml:space="preserve">on which the </w:t>
      </w:r>
      <w:r w:rsidR="003D314A" w:rsidRPr="00B124DC">
        <w:rPr>
          <w:lang w:val="en-GB"/>
        </w:rPr>
        <w:t>ban</w:t>
      </w:r>
      <w:r w:rsidR="00230583" w:rsidRPr="00B124DC">
        <w:rPr>
          <w:lang w:val="en-GB"/>
        </w:rPr>
        <w:t xml:space="preserve"> on</w:t>
      </w:r>
      <w:r w:rsidR="003D314A" w:rsidRPr="00B124DC">
        <w:rPr>
          <w:lang w:val="en-GB"/>
        </w:rPr>
        <w:t xml:space="preserve"> students wearing the veil </w:t>
      </w:r>
      <w:r w:rsidR="00771C86">
        <w:rPr>
          <w:lang w:val="en-GB"/>
        </w:rPr>
        <w:t>during</w:t>
      </w:r>
      <w:r w:rsidR="003D314A" w:rsidRPr="00B124DC">
        <w:rPr>
          <w:lang w:val="en-GB"/>
        </w:rPr>
        <w:t xml:space="preserve"> </w:t>
      </w:r>
      <w:r w:rsidR="00A94096" w:rsidRPr="00B124DC">
        <w:rPr>
          <w:lang w:val="en-GB"/>
        </w:rPr>
        <w:t>lectures, courses and tutorials</w:t>
      </w:r>
      <w:r w:rsidR="00230583" w:rsidRPr="00B124DC">
        <w:rPr>
          <w:lang w:val="en-GB"/>
        </w:rPr>
        <w:t xml:space="preserve"> was based</w:t>
      </w:r>
      <w:r w:rsidRPr="00B124DC">
        <w:rPr>
          <w:lang w:val="en-GB"/>
        </w:rPr>
        <w:t xml:space="preserve">. </w:t>
      </w:r>
      <w:r w:rsidR="00D80C79" w:rsidRPr="00B124DC">
        <w:rPr>
          <w:lang w:val="en-GB"/>
        </w:rPr>
        <w:t>Th</w:t>
      </w:r>
      <w:r w:rsidR="00377D07" w:rsidRPr="00B124DC">
        <w:rPr>
          <w:lang w:val="en-GB"/>
        </w:rPr>
        <w:t>at</w:t>
      </w:r>
      <w:r w:rsidR="00D80C79" w:rsidRPr="00B124DC">
        <w:rPr>
          <w:lang w:val="en-GB"/>
        </w:rPr>
        <w:t xml:space="preserve"> circular was issued by</w:t>
      </w:r>
      <w:r w:rsidRPr="00B124DC">
        <w:rPr>
          <w:lang w:val="en-GB"/>
        </w:rPr>
        <w:t xml:space="preserve"> </w:t>
      </w:r>
      <w:r w:rsidR="00A94096" w:rsidRPr="00B124DC">
        <w:rPr>
          <w:lang w:val="en-GB"/>
        </w:rPr>
        <w:t>the Vice</w:t>
      </w:r>
      <w:r w:rsidR="00CF7507">
        <w:rPr>
          <w:lang w:val="en-GB"/>
        </w:rPr>
        <w:t>-</w:t>
      </w:r>
      <w:r w:rsidR="00A94096" w:rsidRPr="00B124DC">
        <w:rPr>
          <w:lang w:val="en-GB"/>
        </w:rPr>
        <w:t xml:space="preserve">Chancellor of </w:t>
      </w:r>
      <w:r w:rsidR="00AE5F3D" w:rsidRPr="00B124DC">
        <w:rPr>
          <w:lang w:val="en-GB"/>
        </w:rPr>
        <w:t xml:space="preserve">Istanbul </w:t>
      </w:r>
      <w:r w:rsidR="00A94096" w:rsidRPr="00B124DC">
        <w:rPr>
          <w:lang w:val="en-GB"/>
        </w:rPr>
        <w:t>University</w:t>
      </w:r>
      <w:r w:rsidR="00504292" w:rsidRPr="00B124DC">
        <w:rPr>
          <w:lang w:val="en-GB"/>
        </w:rPr>
        <w:t xml:space="preserve">, who, as the person in charge </w:t>
      </w:r>
      <w:r w:rsidR="001455F5" w:rsidRPr="00B124DC">
        <w:rPr>
          <w:lang w:val="en-GB"/>
        </w:rPr>
        <w:t>in whom</w:t>
      </w:r>
      <w:r w:rsidR="00504292" w:rsidRPr="00B124DC">
        <w:rPr>
          <w:lang w:val="en-GB"/>
        </w:rPr>
        <w:t xml:space="preserve"> the </w:t>
      </w:r>
      <w:r w:rsidR="0066692C" w:rsidRPr="00B124DC">
        <w:rPr>
          <w:lang w:val="en-GB"/>
        </w:rPr>
        <w:t>main</w:t>
      </w:r>
      <w:r w:rsidR="00504292" w:rsidRPr="00B124DC">
        <w:rPr>
          <w:lang w:val="en-GB"/>
        </w:rPr>
        <w:t xml:space="preserve"> decision-making powers</w:t>
      </w:r>
      <w:r w:rsidR="001455F5" w:rsidRPr="00B124DC">
        <w:rPr>
          <w:lang w:val="en-GB"/>
        </w:rPr>
        <w:t xml:space="preserve"> were vested</w:t>
      </w:r>
      <w:r w:rsidR="00377D07" w:rsidRPr="00B124DC">
        <w:rPr>
          <w:lang w:val="en-GB"/>
        </w:rPr>
        <w:t xml:space="preserve">, </w:t>
      </w:r>
      <w:r w:rsidR="00504292" w:rsidRPr="00B124DC">
        <w:rPr>
          <w:lang w:val="en-GB"/>
        </w:rPr>
        <w:t>was responsible for</w:t>
      </w:r>
      <w:r w:rsidR="00377D07" w:rsidRPr="00B124DC">
        <w:rPr>
          <w:lang w:val="en-GB"/>
        </w:rPr>
        <w:t xml:space="preserve"> oversee</w:t>
      </w:r>
      <w:r w:rsidR="00504292" w:rsidRPr="00B124DC">
        <w:rPr>
          <w:lang w:val="en-GB"/>
        </w:rPr>
        <w:t>ing</w:t>
      </w:r>
      <w:r w:rsidR="00377D07" w:rsidRPr="00B124DC">
        <w:rPr>
          <w:lang w:val="en-GB"/>
        </w:rPr>
        <w:t xml:space="preserve"> and monitor</w:t>
      </w:r>
      <w:r w:rsidR="00504292" w:rsidRPr="00B124DC">
        <w:rPr>
          <w:lang w:val="en-GB"/>
        </w:rPr>
        <w:t>ing</w:t>
      </w:r>
      <w:r w:rsidR="00377D07" w:rsidRPr="00B124DC">
        <w:rPr>
          <w:lang w:val="en-GB"/>
        </w:rPr>
        <w:t xml:space="preserve"> </w:t>
      </w:r>
      <w:r w:rsidR="00A83CA1" w:rsidRPr="00B124DC">
        <w:rPr>
          <w:lang w:val="en-GB"/>
        </w:rPr>
        <w:t xml:space="preserve">the administrative and scientific aspects of </w:t>
      </w:r>
      <w:r w:rsidR="00377D07" w:rsidRPr="00B124DC">
        <w:rPr>
          <w:lang w:val="en-GB"/>
        </w:rPr>
        <w:t xml:space="preserve">the functioning of the </w:t>
      </w:r>
      <w:r w:rsidR="00CF7507">
        <w:rPr>
          <w:lang w:val="en-GB"/>
        </w:rPr>
        <w:t>u</w:t>
      </w:r>
      <w:r w:rsidR="00504292" w:rsidRPr="00B124DC">
        <w:rPr>
          <w:lang w:val="en-GB"/>
        </w:rPr>
        <w:t>niversity</w:t>
      </w:r>
      <w:r w:rsidR="00377D07" w:rsidRPr="00B124DC">
        <w:rPr>
          <w:lang w:val="en-GB"/>
        </w:rPr>
        <w:t xml:space="preserve">. He issued the circular </w:t>
      </w:r>
      <w:r w:rsidR="00504292" w:rsidRPr="00B124DC">
        <w:rPr>
          <w:lang w:val="en-GB"/>
        </w:rPr>
        <w:t xml:space="preserve">within </w:t>
      </w:r>
      <w:r w:rsidR="00377D07" w:rsidRPr="00B124DC">
        <w:rPr>
          <w:lang w:val="en-GB"/>
        </w:rPr>
        <w:t xml:space="preserve">the statutory framework </w:t>
      </w:r>
      <w:r w:rsidR="00504292" w:rsidRPr="00B124DC">
        <w:rPr>
          <w:lang w:val="en-GB"/>
        </w:rPr>
        <w:t>set out</w:t>
      </w:r>
      <w:r w:rsidR="00377D07" w:rsidRPr="00B124DC">
        <w:rPr>
          <w:lang w:val="en-GB"/>
        </w:rPr>
        <w:t xml:space="preserve"> in section 13 of Law no. </w:t>
      </w:r>
      <w:r w:rsidRPr="00B124DC">
        <w:rPr>
          <w:lang w:val="en-GB"/>
        </w:rPr>
        <w:t>2</w:t>
      </w:r>
      <w:r w:rsidR="005A2CE2" w:rsidRPr="00B124DC">
        <w:rPr>
          <w:lang w:val="en-GB"/>
        </w:rPr>
        <w:t>5</w:t>
      </w:r>
      <w:r w:rsidRPr="00B124DC">
        <w:rPr>
          <w:lang w:val="en-GB"/>
        </w:rPr>
        <w:t>47 (</w:t>
      </w:r>
      <w:r w:rsidR="00377D07" w:rsidRPr="00B124DC">
        <w:rPr>
          <w:lang w:val="en-GB"/>
        </w:rPr>
        <w:t xml:space="preserve">see </w:t>
      </w:r>
      <w:r w:rsidRPr="00B124DC">
        <w:rPr>
          <w:lang w:val="en-GB"/>
        </w:rPr>
        <w:t>paragraph 52</w:t>
      </w:r>
      <w:r w:rsidR="00377D07" w:rsidRPr="00B124DC">
        <w:rPr>
          <w:lang w:val="en-GB"/>
        </w:rPr>
        <w:t xml:space="preserve"> above</w:t>
      </w:r>
      <w:r w:rsidRPr="00B124DC">
        <w:rPr>
          <w:lang w:val="en-GB"/>
        </w:rPr>
        <w:t xml:space="preserve">) </w:t>
      </w:r>
      <w:r w:rsidR="00377D07" w:rsidRPr="00B124DC">
        <w:rPr>
          <w:lang w:val="en-GB"/>
        </w:rPr>
        <w:t>and in accordance with the regulat</w:t>
      </w:r>
      <w:r w:rsidR="00504292" w:rsidRPr="00B124DC">
        <w:rPr>
          <w:lang w:val="en-GB"/>
        </w:rPr>
        <w:t>ory provisions</w:t>
      </w:r>
      <w:r w:rsidR="00377D07" w:rsidRPr="00B124DC">
        <w:rPr>
          <w:lang w:val="en-GB"/>
        </w:rPr>
        <w:t xml:space="preserve"> that had been adopted earlier</w:t>
      </w:r>
      <w:r w:rsidRPr="00B124DC">
        <w:rPr>
          <w:lang w:val="en-GB"/>
        </w:rPr>
        <w:t>.</w:t>
      </w:r>
    </w:p>
    <w:p w:rsidR="00D67FC1" w:rsidRPr="00B124DC" w:rsidRDefault="0017616B"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86</w:t>
      </w:r>
      <w:r w:rsidRPr="00B124DC">
        <w:rPr>
          <w:lang w:val="en-GB"/>
        </w:rPr>
        <w:fldChar w:fldCharType="end"/>
      </w:r>
      <w:r w:rsidRPr="00B124DC">
        <w:rPr>
          <w:lang w:val="en-GB"/>
        </w:rPr>
        <w:t>.  </w:t>
      </w:r>
      <w:r w:rsidR="00D67FC1" w:rsidRPr="00B124DC">
        <w:rPr>
          <w:lang w:val="en-GB"/>
        </w:rPr>
        <w:t xml:space="preserve">According to the applicant, however, the circular was not compatible with transitional section </w:t>
      </w:r>
      <w:r w:rsidR="00A94096" w:rsidRPr="00B124DC">
        <w:rPr>
          <w:lang w:val="en-GB"/>
        </w:rPr>
        <w:t xml:space="preserve">17 </w:t>
      </w:r>
      <w:r w:rsidR="00D67FC1" w:rsidRPr="00B124DC">
        <w:rPr>
          <w:lang w:val="en-GB"/>
        </w:rPr>
        <w:t xml:space="preserve">of Law no. 2547, as that section did not proscribe the Islamic headscarf and </w:t>
      </w:r>
      <w:r w:rsidR="00150768" w:rsidRPr="00B124DC">
        <w:rPr>
          <w:lang w:val="en-GB"/>
        </w:rPr>
        <w:t xml:space="preserve">there were </w:t>
      </w:r>
      <w:r w:rsidR="00D67FC1" w:rsidRPr="00B124DC">
        <w:rPr>
          <w:lang w:val="en-GB"/>
        </w:rPr>
        <w:t xml:space="preserve">no legislative </w:t>
      </w:r>
      <w:r w:rsidR="00E916CA" w:rsidRPr="00B124DC">
        <w:rPr>
          <w:lang w:val="en-GB"/>
        </w:rPr>
        <w:t>norm</w:t>
      </w:r>
      <w:r w:rsidR="00150768" w:rsidRPr="00B124DC">
        <w:rPr>
          <w:lang w:val="en-GB"/>
        </w:rPr>
        <w:t>s</w:t>
      </w:r>
      <w:r w:rsidR="00D67FC1" w:rsidRPr="00B124DC">
        <w:rPr>
          <w:lang w:val="en-GB"/>
        </w:rPr>
        <w:t xml:space="preserve"> </w:t>
      </w:r>
      <w:r w:rsidR="00150768" w:rsidRPr="00B124DC">
        <w:rPr>
          <w:lang w:val="en-GB"/>
        </w:rPr>
        <w:t xml:space="preserve">in </w:t>
      </w:r>
      <w:r w:rsidR="00661E48" w:rsidRPr="00B124DC">
        <w:rPr>
          <w:lang w:val="en-GB"/>
        </w:rPr>
        <w:t>existe</w:t>
      </w:r>
      <w:r w:rsidR="00150768" w:rsidRPr="00B124DC">
        <w:rPr>
          <w:lang w:val="en-GB"/>
        </w:rPr>
        <w:t>nce</w:t>
      </w:r>
      <w:r w:rsidR="008126BF" w:rsidRPr="00B124DC">
        <w:rPr>
          <w:lang w:val="en-GB"/>
        </w:rPr>
        <w:t xml:space="preserve"> </w:t>
      </w:r>
      <w:r w:rsidR="00D67FC1" w:rsidRPr="00B124DC">
        <w:rPr>
          <w:lang w:val="en-GB"/>
        </w:rPr>
        <w:t xml:space="preserve">capable of constituting </w:t>
      </w:r>
      <w:r w:rsidR="00E916CA" w:rsidRPr="00B124DC">
        <w:rPr>
          <w:lang w:val="en-GB"/>
        </w:rPr>
        <w:t>a</w:t>
      </w:r>
      <w:r w:rsidR="00D67FC1" w:rsidRPr="00B124DC">
        <w:rPr>
          <w:lang w:val="en-GB"/>
        </w:rPr>
        <w:t xml:space="preserve"> </w:t>
      </w:r>
      <w:r w:rsidR="00E916CA" w:rsidRPr="00B124DC">
        <w:rPr>
          <w:lang w:val="en-GB"/>
        </w:rPr>
        <w:t>legal</w:t>
      </w:r>
      <w:r w:rsidR="00D67FC1" w:rsidRPr="00B124DC">
        <w:rPr>
          <w:lang w:val="en-GB"/>
        </w:rPr>
        <w:t xml:space="preserve"> basis </w:t>
      </w:r>
      <w:r w:rsidR="00661E48" w:rsidRPr="00B124DC">
        <w:rPr>
          <w:lang w:val="en-GB"/>
        </w:rPr>
        <w:t>for</w:t>
      </w:r>
      <w:r w:rsidR="00D67FC1" w:rsidRPr="00B124DC">
        <w:rPr>
          <w:lang w:val="en-GB"/>
        </w:rPr>
        <w:t xml:space="preserve"> a regulatory provision.</w:t>
      </w:r>
    </w:p>
    <w:p w:rsidR="0017616B" w:rsidRPr="00B124DC" w:rsidRDefault="00796213"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87</w:t>
      </w:r>
      <w:r w:rsidRPr="00B124DC">
        <w:rPr>
          <w:lang w:val="en-GB"/>
        </w:rPr>
        <w:fldChar w:fldCharType="end"/>
      </w:r>
      <w:r w:rsidRPr="00B124DC">
        <w:rPr>
          <w:lang w:val="en-GB"/>
        </w:rPr>
        <w:t>.  </w:t>
      </w:r>
      <w:r w:rsidR="0017616B" w:rsidRPr="00B124DC">
        <w:rPr>
          <w:lang w:val="en-GB"/>
        </w:rPr>
        <w:t>The Court must therefore consid</w:t>
      </w:r>
      <w:r w:rsidR="0086111A" w:rsidRPr="00B124DC">
        <w:rPr>
          <w:lang w:val="en-GB"/>
        </w:rPr>
        <w:t>er whether transitional section</w:t>
      </w:r>
      <w:r w:rsidR="0043110F">
        <w:rPr>
          <w:lang w:val="en-GB"/>
        </w:rPr>
        <w:t xml:space="preserve"> </w:t>
      </w:r>
      <w:r w:rsidR="0017616B" w:rsidRPr="00B124DC">
        <w:rPr>
          <w:lang w:val="en-GB"/>
        </w:rPr>
        <w:t xml:space="preserve">17 of Law no. 2547 </w:t>
      </w:r>
      <w:r w:rsidR="00BE4E74" w:rsidRPr="00B124DC">
        <w:rPr>
          <w:lang w:val="en-GB"/>
        </w:rPr>
        <w:t xml:space="preserve">was capable of </w:t>
      </w:r>
      <w:r w:rsidR="0017616B" w:rsidRPr="00B124DC">
        <w:rPr>
          <w:lang w:val="en-GB"/>
        </w:rPr>
        <w:t>constitut</w:t>
      </w:r>
      <w:r w:rsidR="00BE4E74" w:rsidRPr="00B124DC">
        <w:rPr>
          <w:lang w:val="en-GB"/>
        </w:rPr>
        <w:t xml:space="preserve">ing </w:t>
      </w:r>
      <w:r w:rsidR="000D324E" w:rsidRPr="00B124DC">
        <w:rPr>
          <w:lang w:val="en-GB"/>
        </w:rPr>
        <w:t>a</w:t>
      </w:r>
      <w:r w:rsidR="0017616B" w:rsidRPr="00B124DC">
        <w:rPr>
          <w:lang w:val="en-GB"/>
        </w:rPr>
        <w:t xml:space="preserve"> </w:t>
      </w:r>
      <w:r w:rsidR="000D324E" w:rsidRPr="00B124DC">
        <w:rPr>
          <w:lang w:val="en-GB"/>
        </w:rPr>
        <w:t>legal</w:t>
      </w:r>
      <w:r w:rsidR="0017616B" w:rsidRPr="00B124DC">
        <w:rPr>
          <w:lang w:val="en-GB"/>
        </w:rPr>
        <w:t xml:space="preserve"> basis for the circular. It reiterates </w:t>
      </w:r>
      <w:r w:rsidR="008126BF" w:rsidRPr="00B124DC">
        <w:rPr>
          <w:lang w:val="en-GB"/>
        </w:rPr>
        <w:t xml:space="preserve">in that connection </w:t>
      </w:r>
      <w:r w:rsidR="0017616B" w:rsidRPr="00B124DC">
        <w:rPr>
          <w:lang w:val="en-GB"/>
        </w:rPr>
        <w:t>that it is primarily for the national authorities, notably the courts, to interpret and apply domestic law (</w:t>
      </w:r>
      <w:r w:rsidR="004615BC" w:rsidRPr="00B124DC">
        <w:rPr>
          <w:lang w:val="en-GB"/>
        </w:rPr>
        <w:t xml:space="preserve">see </w:t>
      </w:r>
      <w:r w:rsidR="00771C86">
        <w:rPr>
          <w:i/>
          <w:iCs/>
          <w:lang w:val="en-GB"/>
        </w:rPr>
        <w:t xml:space="preserve">Kruslin v. </w:t>
      </w:r>
      <w:r w:rsidR="0017616B" w:rsidRPr="00B124DC">
        <w:rPr>
          <w:i/>
          <w:iCs/>
          <w:lang w:val="en-GB"/>
        </w:rPr>
        <w:t>France</w:t>
      </w:r>
      <w:r w:rsidR="0017616B" w:rsidRPr="00B124DC">
        <w:rPr>
          <w:iCs/>
          <w:lang w:val="en-GB"/>
        </w:rPr>
        <w:t>,</w:t>
      </w:r>
      <w:r w:rsidR="0017616B" w:rsidRPr="00B124DC">
        <w:rPr>
          <w:lang w:val="en-GB"/>
        </w:rPr>
        <w:t xml:space="preserve"> judgment of 24</w:t>
      </w:r>
      <w:r w:rsidR="00932AF2">
        <w:rPr>
          <w:lang w:val="en-GB"/>
        </w:rPr>
        <w:t xml:space="preserve"> </w:t>
      </w:r>
      <w:r w:rsidR="0017616B" w:rsidRPr="00B124DC">
        <w:rPr>
          <w:lang w:val="en-GB"/>
        </w:rPr>
        <w:t xml:space="preserve">April 1990, Series A no. 176-A, </w:t>
      </w:r>
      <w:r w:rsidR="00CF7507">
        <w:rPr>
          <w:lang w:val="en-GB"/>
        </w:rPr>
        <w:t>p</w:t>
      </w:r>
      <w:r w:rsidR="0017616B" w:rsidRPr="00B124DC">
        <w:rPr>
          <w:lang w:val="en-GB"/>
        </w:rPr>
        <w:t>p.</w:t>
      </w:r>
      <w:r w:rsidR="00932AF2">
        <w:rPr>
          <w:lang w:val="en-GB"/>
        </w:rPr>
        <w:t xml:space="preserve"> </w:t>
      </w:r>
      <w:r w:rsidR="0017616B" w:rsidRPr="00B124DC">
        <w:rPr>
          <w:lang w:val="en-GB"/>
        </w:rPr>
        <w:t>21</w:t>
      </w:r>
      <w:r w:rsidR="00CF7507">
        <w:rPr>
          <w:lang w:val="en-GB"/>
        </w:rPr>
        <w:t>-22</w:t>
      </w:r>
      <w:r w:rsidR="0017616B" w:rsidRPr="00B124DC">
        <w:rPr>
          <w:lang w:val="en-GB"/>
        </w:rPr>
        <w:t>, § 29)</w:t>
      </w:r>
      <w:r w:rsidR="008126BF" w:rsidRPr="00B124DC">
        <w:rPr>
          <w:lang w:val="en-GB"/>
        </w:rPr>
        <w:t xml:space="preserve"> and</w:t>
      </w:r>
      <w:r w:rsidR="0017616B" w:rsidRPr="00B124DC">
        <w:rPr>
          <w:lang w:val="en-GB"/>
        </w:rPr>
        <w:t xml:space="preserve"> notes that</w:t>
      </w:r>
      <w:r w:rsidR="00771C86">
        <w:rPr>
          <w:lang w:val="en-GB"/>
        </w:rPr>
        <w:t>,</w:t>
      </w:r>
      <w:r w:rsidR="0017616B" w:rsidRPr="00B124DC">
        <w:rPr>
          <w:lang w:val="en-GB"/>
        </w:rPr>
        <w:t xml:space="preserve"> in rejecting the argument that the circular was illegal, the administrative courts relied on the settled case-law of the Supreme Administrative Court and the Cons</w:t>
      </w:r>
      <w:r w:rsidR="00932AF2">
        <w:rPr>
          <w:lang w:val="en-GB"/>
        </w:rPr>
        <w:t>titutional Court (see paragraph</w:t>
      </w:r>
      <w:r w:rsidR="00CF7507">
        <w:rPr>
          <w:lang w:val="en-GB"/>
        </w:rPr>
        <w:t xml:space="preserve"> </w:t>
      </w:r>
      <w:r w:rsidR="0017616B" w:rsidRPr="00B124DC">
        <w:rPr>
          <w:lang w:val="en-GB"/>
        </w:rPr>
        <w:t>1</w:t>
      </w:r>
      <w:r w:rsidRPr="00B124DC">
        <w:rPr>
          <w:lang w:val="en-GB"/>
        </w:rPr>
        <w:t>9</w:t>
      </w:r>
      <w:r w:rsidR="0017616B" w:rsidRPr="00B124DC">
        <w:rPr>
          <w:lang w:val="en-GB"/>
        </w:rPr>
        <w:t xml:space="preserve"> above).</w:t>
      </w:r>
    </w:p>
    <w:p w:rsidR="0017616B" w:rsidRPr="00B124DC" w:rsidRDefault="0017616B"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88</w:t>
      </w:r>
      <w:r w:rsidRPr="00B124DC">
        <w:rPr>
          <w:lang w:val="en-GB"/>
        </w:rPr>
        <w:fldChar w:fldCharType="end"/>
      </w:r>
      <w:r w:rsidRPr="00B124DC">
        <w:rPr>
          <w:lang w:val="en-GB"/>
        </w:rPr>
        <w:t>.  Further, as regards the words “in accordance with the law” and “prescribed by law” which appear in Articles 8 to 11 of the Convention, the Court observes that it has always understood the term “law” in its “substantive” sense, not its “formal” one; it has included both “written law”, encompassing enactments of lower rank</w:t>
      </w:r>
      <w:r w:rsidR="004C0D9D" w:rsidRPr="00B124DC">
        <w:rPr>
          <w:lang w:val="en-GB"/>
        </w:rPr>
        <w:t>ing</w:t>
      </w:r>
      <w:r w:rsidRPr="00B124DC">
        <w:rPr>
          <w:lang w:val="en-GB"/>
        </w:rPr>
        <w:t xml:space="preserve"> statutes (</w:t>
      </w:r>
      <w:r w:rsidR="00CF7507">
        <w:rPr>
          <w:lang w:val="en-GB"/>
        </w:rPr>
        <w:t xml:space="preserve">see </w:t>
      </w:r>
      <w:r w:rsidR="0086111A" w:rsidRPr="00B124DC">
        <w:rPr>
          <w:i/>
          <w:iCs/>
          <w:lang w:val="en-GB"/>
        </w:rPr>
        <w:t xml:space="preserve">De Wilde, Ooms and Versyp v. </w:t>
      </w:r>
      <w:r w:rsidRPr="00B124DC">
        <w:rPr>
          <w:i/>
          <w:iCs/>
          <w:lang w:val="en-GB"/>
        </w:rPr>
        <w:t>Belgium</w:t>
      </w:r>
      <w:r w:rsidRPr="00B124DC">
        <w:rPr>
          <w:iCs/>
          <w:lang w:val="en-GB"/>
        </w:rPr>
        <w:t>,</w:t>
      </w:r>
      <w:r w:rsidRPr="00B124DC">
        <w:rPr>
          <w:lang w:val="en-GB"/>
        </w:rPr>
        <w:t xml:space="preserve"> judgment of 18 June 1971, Series A no</w:t>
      </w:r>
      <w:r w:rsidR="00CF7507">
        <w:rPr>
          <w:lang w:val="en-GB"/>
        </w:rPr>
        <w:t>.</w:t>
      </w:r>
      <w:r w:rsidRPr="00B124DC">
        <w:rPr>
          <w:lang w:val="en-GB"/>
        </w:rPr>
        <w:t xml:space="preserve"> 12, </w:t>
      </w:r>
      <w:r w:rsidR="00CF7507">
        <w:rPr>
          <w:lang w:val="en-GB"/>
        </w:rPr>
        <w:t>p</w:t>
      </w:r>
      <w:r w:rsidR="00771C86">
        <w:rPr>
          <w:lang w:val="en-GB"/>
        </w:rPr>
        <w:t>p. </w:t>
      </w:r>
      <w:r w:rsidRPr="00B124DC">
        <w:rPr>
          <w:lang w:val="en-GB"/>
        </w:rPr>
        <w:t>45</w:t>
      </w:r>
      <w:r w:rsidR="00771C86">
        <w:rPr>
          <w:lang w:val="en-GB"/>
        </w:rPr>
        <w:noBreakHyphen/>
      </w:r>
      <w:r w:rsidR="00CF7507">
        <w:rPr>
          <w:lang w:val="en-GB"/>
        </w:rPr>
        <w:t>46</w:t>
      </w:r>
      <w:r w:rsidRPr="00B124DC">
        <w:rPr>
          <w:lang w:val="en-GB"/>
        </w:rPr>
        <w:t>, §</w:t>
      </w:r>
      <w:r w:rsidR="00CF7507">
        <w:rPr>
          <w:lang w:val="en-GB"/>
        </w:rPr>
        <w:t xml:space="preserve"> </w:t>
      </w:r>
      <w:r w:rsidRPr="00B124DC">
        <w:rPr>
          <w:lang w:val="en-GB"/>
        </w:rPr>
        <w:t>93) and regulatory measures taken by professional regulatory bodies under independent rule-maki</w:t>
      </w:r>
      <w:r w:rsidR="00771C86">
        <w:rPr>
          <w:lang w:val="en-GB"/>
        </w:rPr>
        <w:t>ng powers delegated to them by P</w:t>
      </w:r>
      <w:r w:rsidRPr="00B124DC">
        <w:rPr>
          <w:lang w:val="en-GB"/>
        </w:rPr>
        <w:t>arliament (</w:t>
      </w:r>
      <w:r w:rsidR="00CF7507">
        <w:rPr>
          <w:lang w:val="en-GB"/>
        </w:rPr>
        <w:t xml:space="preserve">see </w:t>
      </w:r>
      <w:r w:rsidR="0086111A" w:rsidRPr="00B124DC">
        <w:rPr>
          <w:i/>
          <w:iCs/>
          <w:lang w:val="en-GB"/>
        </w:rPr>
        <w:t>Bart</w:t>
      </w:r>
      <w:r w:rsidR="00CF7507">
        <w:rPr>
          <w:i/>
          <w:iCs/>
          <w:lang w:val="en-GB"/>
        </w:rPr>
        <w:t>h</w:t>
      </w:r>
      <w:r w:rsidR="0086111A" w:rsidRPr="00B124DC">
        <w:rPr>
          <w:i/>
          <w:iCs/>
          <w:lang w:val="en-GB"/>
        </w:rPr>
        <w:t>old v.</w:t>
      </w:r>
      <w:r w:rsidR="00CF7507">
        <w:rPr>
          <w:i/>
          <w:iCs/>
          <w:lang w:val="en-GB"/>
        </w:rPr>
        <w:t xml:space="preserve"> </w:t>
      </w:r>
      <w:r w:rsidRPr="00B124DC">
        <w:rPr>
          <w:i/>
          <w:iCs/>
          <w:lang w:val="en-GB"/>
        </w:rPr>
        <w:t>Germany</w:t>
      </w:r>
      <w:r w:rsidRPr="00B124DC">
        <w:rPr>
          <w:iCs/>
          <w:lang w:val="en-GB"/>
        </w:rPr>
        <w:t>,</w:t>
      </w:r>
      <w:r w:rsidRPr="00B124DC">
        <w:rPr>
          <w:lang w:val="en-GB"/>
        </w:rPr>
        <w:t xml:space="preserve"> judgment of 25 March 1985, Series A no. 90, </w:t>
      </w:r>
      <w:r w:rsidR="00CF7507">
        <w:rPr>
          <w:lang w:val="en-GB"/>
        </w:rPr>
        <w:t>p</w:t>
      </w:r>
      <w:r w:rsidRPr="00B124DC">
        <w:rPr>
          <w:lang w:val="en-GB"/>
        </w:rPr>
        <w:t>p.</w:t>
      </w:r>
      <w:r w:rsidR="00771C86">
        <w:rPr>
          <w:lang w:val="en-GB"/>
        </w:rPr>
        <w:t xml:space="preserve"> </w:t>
      </w:r>
      <w:r w:rsidRPr="00B124DC">
        <w:rPr>
          <w:lang w:val="en-GB"/>
        </w:rPr>
        <w:t>21</w:t>
      </w:r>
      <w:r w:rsidR="00CF7507">
        <w:rPr>
          <w:lang w:val="en-GB"/>
        </w:rPr>
        <w:t>-22</w:t>
      </w:r>
      <w:r w:rsidRPr="00B124DC">
        <w:rPr>
          <w:lang w:val="en-GB"/>
        </w:rPr>
        <w:t>, §</w:t>
      </w:r>
      <w:r w:rsidR="00CF7507">
        <w:rPr>
          <w:lang w:val="en-GB"/>
        </w:rPr>
        <w:t xml:space="preserve"> </w:t>
      </w:r>
      <w:r w:rsidRPr="00B124DC">
        <w:rPr>
          <w:lang w:val="en-GB"/>
        </w:rPr>
        <w:t>46)</w:t>
      </w:r>
      <w:r w:rsidR="000D324E" w:rsidRPr="00B124DC">
        <w:rPr>
          <w:lang w:val="en-GB"/>
        </w:rPr>
        <w:t>,</w:t>
      </w:r>
      <w:r w:rsidRPr="00B124DC">
        <w:rPr>
          <w:lang w:val="en-GB"/>
        </w:rPr>
        <w:t xml:space="preserve"> and unwritten law. “Law” must be understood to include both statu</w:t>
      </w:r>
      <w:r w:rsidR="00CB3CA7" w:rsidRPr="00B124DC">
        <w:rPr>
          <w:lang w:val="en-GB"/>
        </w:rPr>
        <w:t>to</w:t>
      </w:r>
      <w:r w:rsidRPr="00B124DC">
        <w:rPr>
          <w:lang w:val="en-GB"/>
        </w:rPr>
        <w:t xml:space="preserve">ry law and judge-made “law” (see, among other authorities, </w:t>
      </w:r>
      <w:r w:rsidR="00CF7507">
        <w:rPr>
          <w:lang w:val="en-GB"/>
        </w:rPr>
        <w:t xml:space="preserve">The </w:t>
      </w:r>
      <w:r w:rsidRPr="0011097D">
        <w:rPr>
          <w:iCs/>
          <w:lang w:val="en-GB"/>
        </w:rPr>
        <w:t>Sunday Times</w:t>
      </w:r>
      <w:r w:rsidR="0086111A" w:rsidRPr="00B124DC">
        <w:rPr>
          <w:i/>
          <w:iCs/>
          <w:lang w:val="en-GB"/>
        </w:rPr>
        <w:t xml:space="preserve"> v.</w:t>
      </w:r>
      <w:r w:rsidR="00CF7507">
        <w:rPr>
          <w:i/>
          <w:iCs/>
          <w:lang w:val="en-GB"/>
        </w:rPr>
        <w:t xml:space="preserve"> </w:t>
      </w:r>
      <w:r w:rsidR="001455F5" w:rsidRPr="00B124DC">
        <w:rPr>
          <w:i/>
          <w:iCs/>
          <w:lang w:val="en-GB"/>
        </w:rPr>
        <w:t xml:space="preserve">the </w:t>
      </w:r>
      <w:r w:rsidRPr="00B124DC">
        <w:rPr>
          <w:i/>
          <w:iCs/>
          <w:lang w:val="en-GB"/>
        </w:rPr>
        <w:t>United</w:t>
      </w:r>
      <w:r w:rsidR="001455F5" w:rsidRPr="00B124DC">
        <w:rPr>
          <w:i/>
          <w:iCs/>
          <w:lang w:val="en-GB"/>
        </w:rPr>
        <w:t xml:space="preserve"> </w:t>
      </w:r>
      <w:r w:rsidRPr="00B124DC">
        <w:rPr>
          <w:i/>
          <w:iCs/>
          <w:lang w:val="en-GB"/>
        </w:rPr>
        <w:t>Kingdom</w:t>
      </w:r>
      <w:r w:rsidRPr="00CF7507">
        <w:rPr>
          <w:i/>
          <w:iCs/>
          <w:lang w:val="en-GB"/>
        </w:rPr>
        <w:t xml:space="preserve"> (no</w:t>
      </w:r>
      <w:r w:rsidR="001455F5" w:rsidRPr="00CF7507">
        <w:rPr>
          <w:i/>
          <w:iCs/>
          <w:lang w:val="en-GB"/>
        </w:rPr>
        <w:t>.</w:t>
      </w:r>
      <w:r w:rsidRPr="00CF7507">
        <w:rPr>
          <w:i/>
          <w:iCs/>
          <w:lang w:val="en-GB"/>
        </w:rPr>
        <w:t xml:space="preserve"> 1)</w:t>
      </w:r>
      <w:r w:rsidRPr="00B124DC">
        <w:rPr>
          <w:iCs/>
          <w:lang w:val="en-GB"/>
        </w:rPr>
        <w:t>,</w:t>
      </w:r>
      <w:r w:rsidRPr="00B124DC">
        <w:rPr>
          <w:lang w:val="en-GB"/>
        </w:rPr>
        <w:t xml:space="preserve"> judgment of 26 </w:t>
      </w:r>
      <w:r w:rsidR="0011097D">
        <w:rPr>
          <w:lang w:val="en-GB"/>
        </w:rPr>
        <w:t>April 1979, Series A no. 30, p.</w:t>
      </w:r>
      <w:r w:rsidR="00CF7507">
        <w:rPr>
          <w:lang w:val="en-GB"/>
        </w:rPr>
        <w:t xml:space="preserve"> </w:t>
      </w:r>
      <w:r w:rsidRPr="00B124DC">
        <w:rPr>
          <w:lang w:val="en-GB"/>
        </w:rPr>
        <w:t>3</w:t>
      </w:r>
      <w:r w:rsidR="0086111A" w:rsidRPr="00B124DC">
        <w:rPr>
          <w:lang w:val="en-GB"/>
        </w:rPr>
        <w:t>0, §</w:t>
      </w:r>
      <w:r w:rsidR="00CF7507">
        <w:rPr>
          <w:lang w:val="en-GB"/>
        </w:rPr>
        <w:t xml:space="preserve"> </w:t>
      </w:r>
      <w:r w:rsidRPr="00B124DC">
        <w:rPr>
          <w:lang w:val="en-GB"/>
        </w:rPr>
        <w:t>47</w:t>
      </w:r>
      <w:r w:rsidRPr="00B124DC">
        <w:rPr>
          <w:iCs/>
          <w:lang w:val="en-GB"/>
        </w:rPr>
        <w:t>;</w:t>
      </w:r>
      <w:r w:rsidRPr="00B124DC">
        <w:rPr>
          <w:lang w:val="en-GB"/>
        </w:rPr>
        <w:t xml:space="preserve"> </w:t>
      </w:r>
      <w:r w:rsidRPr="00B124DC">
        <w:rPr>
          <w:i/>
          <w:iCs/>
          <w:lang w:val="en-GB"/>
        </w:rPr>
        <w:t>Kruslin</w:t>
      </w:r>
      <w:r w:rsidR="0086111A" w:rsidRPr="00B124DC">
        <w:rPr>
          <w:iCs/>
          <w:lang w:val="en-GB"/>
        </w:rPr>
        <w:t xml:space="preserve">, </w:t>
      </w:r>
      <w:r w:rsidRPr="00B124DC">
        <w:rPr>
          <w:lang w:val="en-GB"/>
        </w:rPr>
        <w:t xml:space="preserve">cited above, </w:t>
      </w:r>
      <w:r w:rsidR="00CF7507">
        <w:rPr>
          <w:lang w:val="en-GB"/>
        </w:rPr>
        <w:t xml:space="preserve">pp. 21-22, </w:t>
      </w:r>
      <w:r w:rsidRPr="00B124DC">
        <w:rPr>
          <w:lang w:val="en-GB"/>
        </w:rPr>
        <w:t xml:space="preserve">§ 29 </w:t>
      </w:r>
      <w:r w:rsidRPr="00B124DC">
        <w:rPr>
          <w:i/>
          <w:iCs/>
          <w:lang w:val="en-GB"/>
        </w:rPr>
        <w:t>in fine</w:t>
      </w:r>
      <w:r w:rsidRPr="00B124DC">
        <w:rPr>
          <w:iCs/>
          <w:lang w:val="en-GB"/>
        </w:rPr>
        <w:t>;</w:t>
      </w:r>
      <w:r w:rsidRPr="00B124DC">
        <w:rPr>
          <w:lang w:val="en-GB"/>
        </w:rPr>
        <w:t xml:space="preserve"> and </w:t>
      </w:r>
      <w:r w:rsidR="0011097D">
        <w:rPr>
          <w:i/>
          <w:iCs/>
          <w:lang w:val="en-GB"/>
        </w:rPr>
        <w:t>Casado Coca v.</w:t>
      </w:r>
      <w:r w:rsidR="00CF7507">
        <w:rPr>
          <w:i/>
          <w:iCs/>
          <w:lang w:val="en-GB"/>
        </w:rPr>
        <w:t xml:space="preserve"> </w:t>
      </w:r>
      <w:r w:rsidRPr="00B124DC">
        <w:rPr>
          <w:i/>
          <w:iCs/>
          <w:lang w:val="en-GB"/>
        </w:rPr>
        <w:t>Spain</w:t>
      </w:r>
      <w:r w:rsidRPr="00B124DC">
        <w:rPr>
          <w:iCs/>
          <w:lang w:val="en-GB"/>
        </w:rPr>
        <w:t>,</w:t>
      </w:r>
      <w:r w:rsidRPr="00B124DC">
        <w:rPr>
          <w:lang w:val="en-GB"/>
        </w:rPr>
        <w:t xml:space="preserve"> judgment of 24</w:t>
      </w:r>
      <w:r w:rsidR="00CF7507">
        <w:rPr>
          <w:lang w:val="en-GB"/>
        </w:rPr>
        <w:t xml:space="preserve"> </w:t>
      </w:r>
      <w:r w:rsidRPr="00B124DC">
        <w:rPr>
          <w:lang w:val="en-GB"/>
        </w:rPr>
        <w:t>February 1994, Series A no</w:t>
      </w:r>
      <w:r w:rsidR="00771C86">
        <w:rPr>
          <w:lang w:val="en-GB"/>
        </w:rPr>
        <w:t xml:space="preserve">. </w:t>
      </w:r>
      <w:r w:rsidRPr="00B124DC">
        <w:rPr>
          <w:lang w:val="en-GB"/>
        </w:rPr>
        <w:t>285-A, p. 18,</w:t>
      </w:r>
      <w:r w:rsidRPr="00B124DC">
        <w:rPr>
          <w:b/>
          <w:bCs/>
          <w:lang w:val="en-GB"/>
        </w:rPr>
        <w:t xml:space="preserve"> </w:t>
      </w:r>
      <w:r w:rsidR="0086111A" w:rsidRPr="00B124DC">
        <w:rPr>
          <w:lang w:val="en-GB"/>
        </w:rPr>
        <w:t xml:space="preserve">§ </w:t>
      </w:r>
      <w:r w:rsidRPr="00B124DC">
        <w:rPr>
          <w:lang w:val="en-GB"/>
        </w:rPr>
        <w:t>43). In sum, the “law” is the provision in force as the competent courts have interpreted it.</w:t>
      </w:r>
    </w:p>
    <w:p w:rsidR="0098730A" w:rsidRPr="00B124DC" w:rsidRDefault="0017616B"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89</w:t>
      </w:r>
      <w:r w:rsidRPr="00B124DC">
        <w:rPr>
          <w:lang w:val="en-GB"/>
        </w:rPr>
        <w:fldChar w:fldCharType="end"/>
      </w:r>
      <w:r w:rsidRPr="00B124DC">
        <w:rPr>
          <w:lang w:val="en-GB"/>
        </w:rPr>
        <w:t>.  Accordingly, the question must be examined on the basis not only of the wording of transitional section 17 of Law no.</w:t>
      </w:r>
      <w:r w:rsidR="005F05CB" w:rsidRPr="00B124DC">
        <w:rPr>
          <w:lang w:val="en-GB"/>
        </w:rPr>
        <w:t xml:space="preserve"> </w:t>
      </w:r>
      <w:r w:rsidRPr="00B124DC">
        <w:rPr>
          <w:lang w:val="en-GB"/>
        </w:rPr>
        <w:t xml:space="preserve">2547, but also of the </w:t>
      </w:r>
      <w:r w:rsidR="00175CE5" w:rsidRPr="00B124DC">
        <w:rPr>
          <w:lang w:val="en-GB"/>
        </w:rPr>
        <w:t xml:space="preserve">relevant </w:t>
      </w:r>
      <w:r w:rsidRPr="00B124DC">
        <w:rPr>
          <w:lang w:val="en-GB"/>
        </w:rPr>
        <w:t>case-law.</w:t>
      </w:r>
    </w:p>
    <w:p w:rsidR="00213A77" w:rsidRPr="00B124DC" w:rsidRDefault="00213A77" w:rsidP="00932AF2">
      <w:pPr>
        <w:pStyle w:val="JuPara"/>
        <w:rPr>
          <w:lang w:val="en-GB"/>
        </w:rPr>
      </w:pPr>
      <w:r w:rsidRPr="00B124DC">
        <w:rPr>
          <w:lang w:val="en-GB"/>
        </w:rPr>
        <w:t xml:space="preserve">In that connection, as the </w:t>
      </w:r>
      <w:smartTag w:uri="urn:schemas-microsoft-com:office:smarttags" w:element="Street">
        <w:smartTag w:uri="urn:schemas-microsoft-com:office:smarttags" w:element="address">
          <w:r w:rsidRPr="00B124DC">
            <w:rPr>
              <w:lang w:val="en-GB"/>
            </w:rPr>
            <w:t>Constitutional Court</w:t>
          </w:r>
        </w:smartTag>
      </w:smartTag>
      <w:r w:rsidRPr="00B124DC">
        <w:rPr>
          <w:lang w:val="en-GB"/>
        </w:rPr>
        <w:t xml:space="preserve"> noted in its judgment of </w:t>
      </w:r>
      <w:smartTag w:uri="urn:schemas-microsoft-com:office:smarttags" w:element="date">
        <w:smartTagPr>
          <w:attr w:name="Month" w:val="4"/>
          <w:attr w:name="Day" w:val="9"/>
          <w:attr w:name="Year" w:val="1991"/>
        </w:smartTagPr>
        <w:r w:rsidRPr="00B124DC">
          <w:rPr>
            <w:lang w:val="en-GB"/>
          </w:rPr>
          <w:t>9 April 1991</w:t>
        </w:r>
      </w:smartTag>
      <w:r w:rsidRPr="00B124DC">
        <w:rPr>
          <w:lang w:val="en-GB"/>
        </w:rPr>
        <w:t xml:space="preserve"> (see paragraph 41 above)</w:t>
      </w:r>
      <w:r w:rsidR="001455F5" w:rsidRPr="00B124DC">
        <w:rPr>
          <w:lang w:val="en-GB"/>
        </w:rPr>
        <w:t>,</w:t>
      </w:r>
      <w:r w:rsidRPr="00B124DC">
        <w:rPr>
          <w:lang w:val="en-GB"/>
        </w:rPr>
        <w:t xml:space="preserve"> the wording of that section shows that freedom of dress in institutions of higher education is not absolute. Under the terms of that provision, students </w:t>
      </w:r>
      <w:r w:rsidR="00D255DE" w:rsidRPr="00B124DC">
        <w:rPr>
          <w:lang w:val="en-GB"/>
        </w:rPr>
        <w:t>a</w:t>
      </w:r>
      <w:r w:rsidR="000936B7" w:rsidRPr="00B124DC">
        <w:rPr>
          <w:lang w:val="en-GB"/>
        </w:rPr>
        <w:t>re free to dress as they wish “provided that [their choice] does not contravene the laws in force”.</w:t>
      </w:r>
    </w:p>
    <w:p w:rsidR="006A2764" w:rsidRPr="00B124DC" w:rsidRDefault="006A2764"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90</w:t>
      </w:r>
      <w:r w:rsidRPr="00B124DC">
        <w:rPr>
          <w:lang w:val="en-GB"/>
        </w:rPr>
        <w:fldChar w:fldCharType="end"/>
      </w:r>
      <w:r w:rsidRPr="00B124DC">
        <w:rPr>
          <w:lang w:val="en-GB"/>
        </w:rPr>
        <w:t>.  </w:t>
      </w:r>
      <w:r w:rsidR="00325FB7" w:rsidRPr="00B124DC">
        <w:rPr>
          <w:lang w:val="en-GB"/>
        </w:rPr>
        <w:t xml:space="preserve">The dispute </w:t>
      </w:r>
      <w:r w:rsidR="00213A77" w:rsidRPr="00B124DC">
        <w:rPr>
          <w:lang w:val="en-GB"/>
        </w:rPr>
        <w:t xml:space="preserve">therefore </w:t>
      </w:r>
      <w:r w:rsidR="00325FB7" w:rsidRPr="00B124DC">
        <w:rPr>
          <w:lang w:val="en-GB"/>
        </w:rPr>
        <w:t>concerns the meaning of the words “</w:t>
      </w:r>
      <w:r w:rsidR="00213A77" w:rsidRPr="00B124DC">
        <w:rPr>
          <w:lang w:val="en-GB"/>
        </w:rPr>
        <w:t>laws in force</w:t>
      </w:r>
      <w:r w:rsidR="00325FB7" w:rsidRPr="00B124DC">
        <w:rPr>
          <w:lang w:val="en-GB"/>
        </w:rPr>
        <w:t>” in the aforementioned provision</w:t>
      </w:r>
      <w:r w:rsidRPr="00B124DC">
        <w:rPr>
          <w:lang w:val="en-GB"/>
        </w:rPr>
        <w:t>.</w:t>
      </w:r>
    </w:p>
    <w:p w:rsidR="006A2764" w:rsidRPr="00B124DC" w:rsidRDefault="006A2764"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91</w:t>
      </w:r>
      <w:r w:rsidRPr="00B124DC">
        <w:rPr>
          <w:lang w:val="en-GB"/>
        </w:rPr>
        <w:fldChar w:fldCharType="end"/>
      </w:r>
      <w:r w:rsidRPr="00B124DC">
        <w:rPr>
          <w:lang w:val="en-GB"/>
        </w:rPr>
        <w:t>.  </w:t>
      </w:r>
      <w:r w:rsidR="00AD344A" w:rsidRPr="00B124DC">
        <w:rPr>
          <w:lang w:val="en-GB"/>
        </w:rPr>
        <w:t xml:space="preserve">The </w:t>
      </w:r>
      <w:r w:rsidR="00D255DE" w:rsidRPr="00B124DC">
        <w:rPr>
          <w:lang w:val="en-GB"/>
        </w:rPr>
        <w:t xml:space="preserve">Court reiterates that the </w:t>
      </w:r>
      <w:r w:rsidR="00AD344A" w:rsidRPr="00B124DC">
        <w:rPr>
          <w:lang w:val="en-GB"/>
        </w:rPr>
        <w:t>scope of the notion of foreseeability depends to a considerable degree on the content of the instrument in question, the field it is designed to cover</w:t>
      </w:r>
      <w:r w:rsidR="00771C86">
        <w:rPr>
          <w:lang w:val="en-GB"/>
        </w:rPr>
        <w:t>,</w:t>
      </w:r>
      <w:r w:rsidR="00AD344A" w:rsidRPr="00B124DC">
        <w:rPr>
          <w:lang w:val="en-GB"/>
        </w:rPr>
        <w:t xml:space="preserve"> and the number and status of those to whom it is addressed. It must also be borne in mind that, however clearly drafted a legal provision may be, its application involves an inevitable element of judicial interpretation, since there will always be a need for clarification of doubtful points and for adaptation to particular circumstances. A margin of doubt in relation to borderline facts does not by itself make a legal provision unforeseeable in its application. Nor does the mere fact that such a provision is capable of more than one construction mean that it fails to meet the requirement of “foreseeability” for the purposes of the Convention. The role of adjudication vested in the courts is precisely to dissipate such interpretational doubts as remain, taking into account the changes in everyday practice </w:t>
      </w:r>
      <w:r w:rsidRPr="00B124DC">
        <w:rPr>
          <w:lang w:val="en-GB"/>
        </w:rPr>
        <w:t>(</w:t>
      </w:r>
      <w:r w:rsidR="00CF7507">
        <w:rPr>
          <w:lang w:val="en-GB"/>
        </w:rPr>
        <w:t xml:space="preserve">see </w:t>
      </w:r>
      <w:r w:rsidRPr="00B124DC">
        <w:rPr>
          <w:i/>
          <w:lang w:val="en-GB"/>
        </w:rPr>
        <w:t xml:space="preserve">Gorzelik </w:t>
      </w:r>
      <w:r w:rsidR="00AD344A" w:rsidRPr="00B124DC">
        <w:rPr>
          <w:i/>
          <w:lang w:val="en-GB"/>
        </w:rPr>
        <w:t>and Others</w:t>
      </w:r>
      <w:r w:rsidRPr="00B124DC">
        <w:rPr>
          <w:lang w:val="en-GB"/>
        </w:rPr>
        <w:t xml:space="preserve">, </w:t>
      </w:r>
      <w:r w:rsidR="00AD344A" w:rsidRPr="00B124DC">
        <w:rPr>
          <w:lang w:val="en-GB"/>
        </w:rPr>
        <w:t>cited above</w:t>
      </w:r>
      <w:r w:rsidRPr="00B124DC">
        <w:rPr>
          <w:lang w:val="en-GB"/>
        </w:rPr>
        <w:t>, § 65).</w:t>
      </w:r>
    </w:p>
    <w:p w:rsidR="0017616B" w:rsidRPr="00B124DC" w:rsidRDefault="006A2764"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92</w:t>
      </w:r>
      <w:r w:rsidRPr="00B124DC">
        <w:rPr>
          <w:lang w:val="en-GB"/>
        </w:rPr>
        <w:fldChar w:fldCharType="end"/>
      </w:r>
      <w:r w:rsidRPr="00B124DC">
        <w:rPr>
          <w:lang w:val="en-GB"/>
        </w:rPr>
        <w:t>.  </w:t>
      </w:r>
      <w:r w:rsidR="005D6ED3" w:rsidRPr="00B124DC">
        <w:rPr>
          <w:lang w:val="en-GB"/>
        </w:rPr>
        <w:t xml:space="preserve">The Court notes in that connection that in its aforementioned judgment the </w:t>
      </w:r>
      <w:smartTag w:uri="urn:schemas-microsoft-com:office:smarttags" w:element="Street">
        <w:smartTag w:uri="urn:schemas-microsoft-com:office:smarttags" w:element="address">
          <w:r w:rsidR="005D6ED3" w:rsidRPr="00B124DC">
            <w:rPr>
              <w:lang w:val="en-GB"/>
            </w:rPr>
            <w:t>Constitutional Court</w:t>
          </w:r>
        </w:smartTag>
      </w:smartTag>
      <w:r w:rsidR="005D6ED3" w:rsidRPr="00B124DC">
        <w:rPr>
          <w:lang w:val="en-GB"/>
        </w:rPr>
        <w:t xml:space="preserve"> found that the words “</w:t>
      </w:r>
      <w:r w:rsidR="00403F27" w:rsidRPr="00B124DC">
        <w:rPr>
          <w:lang w:val="en-GB"/>
        </w:rPr>
        <w:t>laws in force</w:t>
      </w:r>
      <w:r w:rsidR="005D6ED3" w:rsidRPr="00B124DC">
        <w:rPr>
          <w:lang w:val="en-GB"/>
        </w:rPr>
        <w:t>” necessarily included the</w:t>
      </w:r>
      <w:r w:rsidRPr="00B124DC">
        <w:rPr>
          <w:lang w:val="en-GB"/>
        </w:rPr>
        <w:t xml:space="preserve"> Constitution. </w:t>
      </w:r>
      <w:r w:rsidR="00B20564" w:rsidRPr="00B124DC">
        <w:rPr>
          <w:lang w:val="en-GB"/>
        </w:rPr>
        <w:t xml:space="preserve">The </w:t>
      </w:r>
      <w:r w:rsidR="00EC24F4" w:rsidRPr="00B124DC">
        <w:rPr>
          <w:lang w:val="en-GB"/>
        </w:rPr>
        <w:t xml:space="preserve">judgment </w:t>
      </w:r>
      <w:r w:rsidR="00B20564" w:rsidRPr="00B124DC">
        <w:rPr>
          <w:lang w:val="en-GB"/>
        </w:rPr>
        <w:t xml:space="preserve">also made it clear </w:t>
      </w:r>
      <w:r w:rsidR="0017616B" w:rsidRPr="00B124DC">
        <w:rPr>
          <w:lang w:val="en-GB"/>
        </w:rPr>
        <w:t xml:space="preserve">that </w:t>
      </w:r>
      <w:r w:rsidR="00CF7507">
        <w:rPr>
          <w:lang w:val="en-GB"/>
        </w:rPr>
        <w:t>allowing</w:t>
      </w:r>
      <w:r w:rsidR="0017616B" w:rsidRPr="00B124DC">
        <w:rPr>
          <w:lang w:val="en-GB"/>
        </w:rPr>
        <w:t xml:space="preserve"> students</w:t>
      </w:r>
      <w:r w:rsidR="00CF7507">
        <w:rPr>
          <w:lang w:val="en-GB"/>
        </w:rPr>
        <w:t>’</w:t>
      </w:r>
      <w:r w:rsidR="0017616B" w:rsidRPr="00B124DC">
        <w:rPr>
          <w:lang w:val="en-GB"/>
        </w:rPr>
        <w:t xml:space="preserve"> </w:t>
      </w:r>
      <w:r w:rsidR="00CF7507">
        <w:rPr>
          <w:lang w:val="en-GB"/>
        </w:rPr>
        <w:t>“</w:t>
      </w:r>
      <w:r w:rsidR="00CF7507" w:rsidRPr="00B124DC">
        <w:rPr>
          <w:lang w:val="en-GB"/>
        </w:rPr>
        <w:t xml:space="preserve">neck and hair </w:t>
      </w:r>
      <w:r w:rsidR="0017616B" w:rsidRPr="00B124DC">
        <w:rPr>
          <w:lang w:val="en-GB"/>
        </w:rPr>
        <w:t xml:space="preserve">to </w:t>
      </w:r>
      <w:r w:rsidR="00CF7507">
        <w:rPr>
          <w:lang w:val="en-GB"/>
        </w:rPr>
        <w:t>be</w:t>
      </w:r>
      <w:r w:rsidR="00A56BB3">
        <w:rPr>
          <w:lang w:val="en-GB"/>
        </w:rPr>
        <w:t xml:space="preserve"> </w:t>
      </w:r>
      <w:r w:rsidR="0017616B" w:rsidRPr="00B124DC">
        <w:rPr>
          <w:lang w:val="en-GB"/>
        </w:rPr>
        <w:t>cover</w:t>
      </w:r>
      <w:r w:rsidR="00CF7507">
        <w:rPr>
          <w:lang w:val="en-GB"/>
        </w:rPr>
        <w:t>ed</w:t>
      </w:r>
      <w:r w:rsidR="0017616B" w:rsidRPr="00B124DC">
        <w:rPr>
          <w:lang w:val="en-GB"/>
        </w:rPr>
        <w:t xml:space="preserve"> with a veil or headscarf </w:t>
      </w:r>
      <w:r w:rsidR="00CF7507">
        <w:rPr>
          <w:lang w:val="en-GB"/>
        </w:rPr>
        <w:t>on grounds</w:t>
      </w:r>
      <w:r w:rsidR="0017616B" w:rsidRPr="00B124DC">
        <w:rPr>
          <w:lang w:val="en-GB"/>
        </w:rPr>
        <w:t xml:space="preserve"> of religious conviction” in universities was contrary to </w:t>
      </w:r>
      <w:r w:rsidR="0086111A" w:rsidRPr="00B124DC">
        <w:rPr>
          <w:lang w:val="en-GB"/>
        </w:rPr>
        <w:t>the Constitution (see paragraph</w:t>
      </w:r>
      <w:r w:rsidR="005D6ED3" w:rsidRPr="00B124DC">
        <w:rPr>
          <w:lang w:val="en-GB"/>
        </w:rPr>
        <w:t xml:space="preserve"> </w:t>
      </w:r>
      <w:r w:rsidR="00CD455C" w:rsidRPr="00B124DC">
        <w:rPr>
          <w:lang w:val="en-GB"/>
        </w:rPr>
        <w:t>41</w:t>
      </w:r>
      <w:r w:rsidR="0017616B" w:rsidRPr="00B124DC">
        <w:rPr>
          <w:lang w:val="en-GB"/>
        </w:rPr>
        <w:t xml:space="preserve"> above).</w:t>
      </w:r>
    </w:p>
    <w:p w:rsidR="0098730A" w:rsidRPr="00B124DC" w:rsidRDefault="00207A0B"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93</w:t>
      </w:r>
      <w:r w:rsidRPr="00B124DC">
        <w:rPr>
          <w:lang w:val="en-GB"/>
        </w:rPr>
        <w:fldChar w:fldCharType="end"/>
      </w:r>
      <w:r w:rsidRPr="00B124DC">
        <w:rPr>
          <w:lang w:val="en-GB"/>
        </w:rPr>
        <w:t>.  </w:t>
      </w:r>
      <w:r w:rsidR="0017616B" w:rsidRPr="00B124DC">
        <w:rPr>
          <w:lang w:val="en-GB"/>
        </w:rPr>
        <w:t>Th</w:t>
      </w:r>
      <w:r w:rsidR="00D06E6C" w:rsidRPr="00B124DC">
        <w:rPr>
          <w:lang w:val="en-GB"/>
        </w:rPr>
        <w:t>at decision</w:t>
      </w:r>
      <w:r w:rsidR="0017616B" w:rsidRPr="00B124DC">
        <w:rPr>
          <w:lang w:val="en-GB"/>
        </w:rPr>
        <w:t xml:space="preserve"> of the Constitutional Court, which </w:t>
      </w:r>
      <w:r w:rsidR="0086111A" w:rsidRPr="00B124DC">
        <w:rPr>
          <w:lang w:val="en-GB"/>
        </w:rPr>
        <w:t>was both binding (see paragraph</w:t>
      </w:r>
      <w:r w:rsidR="00082EC1" w:rsidRPr="00B124DC">
        <w:rPr>
          <w:lang w:val="en-GB"/>
        </w:rPr>
        <w:t>s</w:t>
      </w:r>
      <w:r w:rsidR="00EC24F4" w:rsidRPr="00B124DC">
        <w:rPr>
          <w:lang w:val="en-GB"/>
        </w:rPr>
        <w:t xml:space="preserve"> </w:t>
      </w:r>
      <w:r w:rsidR="00082EC1" w:rsidRPr="00B124DC">
        <w:rPr>
          <w:color w:val="333300"/>
          <w:lang w:val="en-GB"/>
        </w:rPr>
        <w:t>29 and 54</w:t>
      </w:r>
      <w:r w:rsidR="0017616B" w:rsidRPr="00B124DC">
        <w:rPr>
          <w:color w:val="333300"/>
          <w:lang w:val="en-GB"/>
        </w:rPr>
        <w:t xml:space="preserve"> </w:t>
      </w:r>
      <w:r w:rsidR="0017616B" w:rsidRPr="00B124DC">
        <w:rPr>
          <w:lang w:val="en-GB"/>
        </w:rPr>
        <w:t>above) and accessible, as it had been published in the O</w:t>
      </w:r>
      <w:r w:rsidR="00082EC1" w:rsidRPr="00B124DC">
        <w:rPr>
          <w:lang w:val="en-GB"/>
        </w:rPr>
        <w:t>fficial Gazette of 31 July 1991</w:t>
      </w:r>
      <w:r w:rsidR="0017616B" w:rsidRPr="00B124DC">
        <w:rPr>
          <w:lang w:val="en-GB"/>
        </w:rPr>
        <w:t>, supplemented the</w:t>
      </w:r>
      <w:r w:rsidR="00DC5B80">
        <w:rPr>
          <w:lang w:val="en-GB"/>
        </w:rPr>
        <w:t xml:space="preserve"> letter of transitional section </w:t>
      </w:r>
      <w:r w:rsidR="0017616B" w:rsidRPr="00B124DC">
        <w:rPr>
          <w:lang w:val="en-GB"/>
        </w:rPr>
        <w:t>17 and followed the Constitutional Court</w:t>
      </w:r>
      <w:r w:rsidR="0006350D">
        <w:rPr>
          <w:lang w:val="en-GB"/>
        </w:rPr>
        <w:t>’</w:t>
      </w:r>
      <w:r w:rsidR="0017616B" w:rsidRPr="00B124DC">
        <w:rPr>
          <w:lang w:val="en-GB"/>
        </w:rPr>
        <w:t>s p</w:t>
      </w:r>
      <w:r w:rsidR="00DC5B80">
        <w:rPr>
          <w:lang w:val="en-GB"/>
        </w:rPr>
        <w:t>revious case-law (see paragraph </w:t>
      </w:r>
      <w:r w:rsidR="0017616B" w:rsidRPr="00B124DC">
        <w:rPr>
          <w:lang w:val="en-GB"/>
        </w:rPr>
        <w:t>3</w:t>
      </w:r>
      <w:r w:rsidR="00082EC1" w:rsidRPr="00B124DC">
        <w:rPr>
          <w:lang w:val="en-GB"/>
        </w:rPr>
        <w:t>9</w:t>
      </w:r>
      <w:r w:rsidR="0017616B" w:rsidRPr="00B124DC">
        <w:rPr>
          <w:lang w:val="en-GB"/>
        </w:rPr>
        <w:t xml:space="preserve"> above). In addition, the Supreme Administrative Court had </w:t>
      </w:r>
      <w:r w:rsidR="00D06E6C" w:rsidRPr="00B124DC">
        <w:rPr>
          <w:lang w:val="en-GB"/>
        </w:rPr>
        <w:t xml:space="preserve">by then consistently held for a number of </w:t>
      </w:r>
      <w:r w:rsidR="0017616B" w:rsidRPr="00B124DC">
        <w:rPr>
          <w:lang w:val="en-GB"/>
        </w:rPr>
        <w:t xml:space="preserve">years that </w:t>
      </w:r>
      <w:r w:rsidR="00D06E6C" w:rsidRPr="00B124DC">
        <w:rPr>
          <w:lang w:val="en-GB"/>
        </w:rPr>
        <w:t>wearing the Islamic headscarf at university</w:t>
      </w:r>
      <w:r w:rsidR="00684FC4" w:rsidRPr="00B124DC">
        <w:rPr>
          <w:lang w:val="en-GB"/>
        </w:rPr>
        <w:t xml:space="preserve"> was not compatible with the fundamental principles of the Republic</w:t>
      </w:r>
      <w:r w:rsidR="00D06E6C" w:rsidRPr="00B124DC">
        <w:rPr>
          <w:lang w:val="en-GB"/>
        </w:rPr>
        <w:t>,</w:t>
      </w:r>
      <w:r w:rsidR="00684FC4" w:rsidRPr="00B124DC">
        <w:rPr>
          <w:lang w:val="en-GB"/>
        </w:rPr>
        <w:t xml:space="preserve"> </w:t>
      </w:r>
      <w:r w:rsidR="00D06E6C" w:rsidRPr="00B124DC">
        <w:rPr>
          <w:lang w:val="en-GB"/>
        </w:rPr>
        <w:t>since</w:t>
      </w:r>
      <w:r w:rsidR="00864515" w:rsidRPr="00B124DC">
        <w:rPr>
          <w:lang w:val="en-GB"/>
        </w:rPr>
        <w:t xml:space="preserve"> </w:t>
      </w:r>
      <w:r w:rsidR="00D06E6C" w:rsidRPr="00B124DC">
        <w:rPr>
          <w:lang w:val="en-GB"/>
        </w:rPr>
        <w:t>the headscarf</w:t>
      </w:r>
      <w:r w:rsidR="00864515" w:rsidRPr="00B124DC">
        <w:rPr>
          <w:lang w:val="en-GB"/>
        </w:rPr>
        <w:t xml:space="preserve"> was in the process of becoming the symbol of a vision that was contrary to the freedoms of women and th</w:t>
      </w:r>
      <w:r w:rsidR="00A72CCD" w:rsidRPr="00B124DC">
        <w:rPr>
          <w:lang w:val="en-GB"/>
        </w:rPr>
        <w:t>os</w:t>
      </w:r>
      <w:r w:rsidR="00864515" w:rsidRPr="00B124DC">
        <w:rPr>
          <w:lang w:val="en-GB"/>
        </w:rPr>
        <w:t xml:space="preserve">e fundamental principles </w:t>
      </w:r>
      <w:r w:rsidR="0017616B" w:rsidRPr="00B124DC">
        <w:rPr>
          <w:lang w:val="en-GB"/>
        </w:rPr>
        <w:t>(see paragraph 3</w:t>
      </w:r>
      <w:r w:rsidR="00684FC4" w:rsidRPr="00B124DC">
        <w:rPr>
          <w:lang w:val="en-GB"/>
        </w:rPr>
        <w:t>7</w:t>
      </w:r>
      <w:r w:rsidR="0017616B" w:rsidRPr="00B124DC">
        <w:rPr>
          <w:lang w:val="en-GB"/>
        </w:rPr>
        <w:t xml:space="preserve"> above).</w:t>
      </w:r>
    </w:p>
    <w:p w:rsidR="00207A0B" w:rsidRPr="00B124DC" w:rsidRDefault="00207A0B"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94</w:t>
      </w:r>
      <w:r w:rsidRPr="00B124DC">
        <w:rPr>
          <w:lang w:val="en-GB"/>
        </w:rPr>
        <w:fldChar w:fldCharType="end"/>
      </w:r>
      <w:r w:rsidRPr="00B124DC">
        <w:rPr>
          <w:lang w:val="en-GB"/>
        </w:rPr>
        <w:t>.  </w:t>
      </w:r>
      <w:r w:rsidR="006B3D46" w:rsidRPr="00B124DC">
        <w:rPr>
          <w:lang w:val="en-GB"/>
        </w:rPr>
        <w:t>As to the applicant</w:t>
      </w:r>
      <w:r w:rsidR="0006350D">
        <w:rPr>
          <w:lang w:val="en-GB"/>
        </w:rPr>
        <w:t>’</w:t>
      </w:r>
      <w:r w:rsidR="006B3D46" w:rsidRPr="00B124DC">
        <w:rPr>
          <w:lang w:val="en-GB"/>
        </w:rPr>
        <w:t xml:space="preserve">s argument that the legislature had </w:t>
      </w:r>
      <w:r w:rsidR="00D751A4" w:rsidRPr="00B124DC">
        <w:rPr>
          <w:lang w:val="en-GB"/>
        </w:rPr>
        <w:t>at no stage imposed a</w:t>
      </w:r>
      <w:r w:rsidR="006B3D46" w:rsidRPr="00B124DC">
        <w:rPr>
          <w:lang w:val="en-GB"/>
        </w:rPr>
        <w:t xml:space="preserve"> ban</w:t>
      </w:r>
      <w:r w:rsidR="00D751A4" w:rsidRPr="00B124DC">
        <w:rPr>
          <w:lang w:val="en-GB"/>
        </w:rPr>
        <w:t xml:space="preserve"> on wearing the headscarf</w:t>
      </w:r>
      <w:r w:rsidR="006B3D46" w:rsidRPr="00B124DC">
        <w:rPr>
          <w:lang w:val="en-GB"/>
        </w:rPr>
        <w:t>, the Court reiterate</w:t>
      </w:r>
      <w:r w:rsidR="00D751A4" w:rsidRPr="00B124DC">
        <w:rPr>
          <w:lang w:val="en-GB"/>
        </w:rPr>
        <w:t>s</w:t>
      </w:r>
      <w:r w:rsidR="006B3D46" w:rsidRPr="00B124DC">
        <w:rPr>
          <w:lang w:val="en-GB"/>
        </w:rPr>
        <w:t xml:space="preserve"> that it </w:t>
      </w:r>
      <w:r w:rsidR="004249F4" w:rsidRPr="00B124DC">
        <w:rPr>
          <w:lang w:val="en-GB"/>
        </w:rPr>
        <w:t xml:space="preserve">is not for </w:t>
      </w:r>
      <w:r w:rsidR="006B3D46" w:rsidRPr="00B124DC">
        <w:rPr>
          <w:lang w:val="en-GB"/>
        </w:rPr>
        <w:t>it</w:t>
      </w:r>
      <w:r w:rsidR="004249F4" w:rsidRPr="00B124DC">
        <w:rPr>
          <w:lang w:val="en-GB"/>
        </w:rPr>
        <w:t xml:space="preserve"> to express a view on the appropriateness of </w:t>
      </w:r>
      <w:r w:rsidR="002879F4" w:rsidRPr="00B124DC">
        <w:rPr>
          <w:lang w:val="en-GB"/>
        </w:rPr>
        <w:t xml:space="preserve">the </w:t>
      </w:r>
      <w:r w:rsidR="004249F4" w:rsidRPr="00B124DC">
        <w:rPr>
          <w:lang w:val="en-GB"/>
        </w:rPr>
        <w:t xml:space="preserve">methods chosen by the legislature of a respondent State to regulate a given field. Its task is confined to determining whether the methods adopted and the effects they entail are in conformity with the Convention </w:t>
      </w:r>
      <w:r w:rsidRPr="00B124DC">
        <w:rPr>
          <w:lang w:val="en-GB"/>
        </w:rPr>
        <w:t>(</w:t>
      </w:r>
      <w:r w:rsidR="00CF7507">
        <w:rPr>
          <w:lang w:val="en-GB"/>
        </w:rPr>
        <w:t xml:space="preserve">see </w:t>
      </w:r>
      <w:r w:rsidRPr="00B124DC">
        <w:rPr>
          <w:i/>
          <w:lang w:val="en-GB"/>
        </w:rPr>
        <w:t xml:space="preserve">Gorzelik </w:t>
      </w:r>
      <w:r w:rsidR="00F67697" w:rsidRPr="00B124DC">
        <w:rPr>
          <w:i/>
          <w:lang w:val="en-GB"/>
        </w:rPr>
        <w:t>and Others</w:t>
      </w:r>
      <w:r w:rsidRPr="00B124DC">
        <w:rPr>
          <w:lang w:val="en-GB"/>
        </w:rPr>
        <w:t xml:space="preserve">, </w:t>
      </w:r>
      <w:r w:rsidR="00F67697" w:rsidRPr="00B124DC">
        <w:rPr>
          <w:lang w:val="en-GB"/>
        </w:rPr>
        <w:t>cited above</w:t>
      </w:r>
      <w:r w:rsidRPr="00B124DC">
        <w:rPr>
          <w:lang w:val="en-GB"/>
        </w:rPr>
        <w:t>, §</w:t>
      </w:r>
      <w:r w:rsidR="00CF7507">
        <w:rPr>
          <w:lang w:val="en-GB"/>
        </w:rPr>
        <w:t> </w:t>
      </w:r>
      <w:r w:rsidRPr="00B124DC">
        <w:rPr>
          <w:lang w:val="en-GB"/>
        </w:rPr>
        <w:t>67).</w:t>
      </w:r>
    </w:p>
    <w:p w:rsidR="00207A0B" w:rsidRPr="00B124DC" w:rsidRDefault="00207A0B"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95</w:t>
      </w:r>
      <w:r w:rsidRPr="00B124DC">
        <w:rPr>
          <w:lang w:val="en-GB"/>
        </w:rPr>
        <w:fldChar w:fldCharType="end"/>
      </w:r>
      <w:r w:rsidRPr="00B124DC">
        <w:rPr>
          <w:lang w:val="en-GB"/>
        </w:rPr>
        <w:t>.  </w:t>
      </w:r>
      <w:r w:rsidR="00D87FEF" w:rsidRPr="00B124DC">
        <w:rPr>
          <w:lang w:val="en-GB"/>
        </w:rPr>
        <w:t>Furthermore</w:t>
      </w:r>
      <w:r w:rsidR="004E454C" w:rsidRPr="00B124DC">
        <w:rPr>
          <w:lang w:val="en-GB"/>
        </w:rPr>
        <w:t xml:space="preserve">, the fact that </w:t>
      </w:r>
      <w:r w:rsidR="004403B0" w:rsidRPr="00B124DC">
        <w:rPr>
          <w:lang w:val="en-GB"/>
        </w:rPr>
        <w:t xml:space="preserve">Istanbul </w:t>
      </w:r>
      <w:r w:rsidR="0028094C" w:rsidRPr="00B124DC">
        <w:rPr>
          <w:lang w:val="en-GB"/>
        </w:rPr>
        <w:t xml:space="preserve">University or other universities may not have applied </w:t>
      </w:r>
      <w:r w:rsidR="008832E2" w:rsidRPr="00B124DC">
        <w:rPr>
          <w:lang w:val="en-GB"/>
        </w:rPr>
        <w:t xml:space="preserve">a </w:t>
      </w:r>
      <w:r w:rsidR="0028094C" w:rsidRPr="00B124DC">
        <w:rPr>
          <w:lang w:val="en-GB"/>
        </w:rPr>
        <w:t>particular</w:t>
      </w:r>
      <w:r w:rsidR="008832E2" w:rsidRPr="00B124DC">
        <w:rPr>
          <w:lang w:val="en-GB"/>
        </w:rPr>
        <w:t xml:space="preserve"> rule</w:t>
      </w:r>
      <w:r w:rsidR="007645C7" w:rsidRPr="00B124DC">
        <w:rPr>
          <w:lang w:val="en-GB"/>
        </w:rPr>
        <w:t xml:space="preserve"> –</w:t>
      </w:r>
      <w:r w:rsidR="008832E2" w:rsidRPr="00B124DC">
        <w:rPr>
          <w:lang w:val="en-GB"/>
        </w:rPr>
        <w:t xml:space="preserve"> in thi</w:t>
      </w:r>
      <w:r w:rsidR="00932AF2">
        <w:rPr>
          <w:lang w:val="en-GB"/>
        </w:rPr>
        <w:t>s instance transitional section </w:t>
      </w:r>
      <w:r w:rsidR="008832E2" w:rsidRPr="00B124DC">
        <w:rPr>
          <w:lang w:val="en-GB"/>
        </w:rPr>
        <w:t xml:space="preserve">17 of Law no. 2547 </w:t>
      </w:r>
      <w:r w:rsidR="00B477B9" w:rsidRPr="00B124DC">
        <w:rPr>
          <w:lang w:val="en-GB"/>
        </w:rPr>
        <w:t>read in the light of</w:t>
      </w:r>
      <w:r w:rsidR="008832E2" w:rsidRPr="00B124DC">
        <w:rPr>
          <w:lang w:val="en-GB"/>
        </w:rPr>
        <w:t xml:space="preserve"> the relevant case-law</w:t>
      </w:r>
      <w:r w:rsidR="009F6C5C">
        <w:rPr>
          <w:lang w:val="en-GB"/>
        </w:rPr>
        <w:t xml:space="preserve"> </w:t>
      </w:r>
      <w:r w:rsidR="007645C7" w:rsidRPr="00B124DC">
        <w:rPr>
          <w:lang w:val="en-GB"/>
        </w:rPr>
        <w:t>–</w:t>
      </w:r>
      <w:r w:rsidR="008832E2" w:rsidRPr="00B124DC">
        <w:rPr>
          <w:lang w:val="en-GB"/>
        </w:rPr>
        <w:t xml:space="preserve"> </w:t>
      </w:r>
      <w:r w:rsidR="004B361D" w:rsidRPr="00B124DC">
        <w:rPr>
          <w:lang w:val="en-GB"/>
        </w:rPr>
        <w:t>rigorously</w:t>
      </w:r>
      <w:r w:rsidR="008832E2" w:rsidRPr="00B124DC">
        <w:rPr>
          <w:lang w:val="en-GB"/>
        </w:rPr>
        <w:t xml:space="preserve"> </w:t>
      </w:r>
      <w:r w:rsidR="00150768" w:rsidRPr="00B124DC">
        <w:rPr>
          <w:lang w:val="en-GB"/>
        </w:rPr>
        <w:t xml:space="preserve">in </w:t>
      </w:r>
      <w:r w:rsidR="007645C7" w:rsidRPr="00B124DC">
        <w:rPr>
          <w:lang w:val="en-GB"/>
        </w:rPr>
        <w:t>all cases, preferring to take into account</w:t>
      </w:r>
      <w:r w:rsidR="008832E2" w:rsidRPr="00B124DC">
        <w:rPr>
          <w:lang w:val="en-GB"/>
        </w:rPr>
        <w:t xml:space="preserve"> the context and the </w:t>
      </w:r>
      <w:r w:rsidR="0028094C" w:rsidRPr="00B124DC">
        <w:rPr>
          <w:lang w:val="en-GB"/>
        </w:rPr>
        <w:t>special features</w:t>
      </w:r>
      <w:r w:rsidR="008832E2" w:rsidRPr="00B124DC">
        <w:rPr>
          <w:lang w:val="en-GB"/>
        </w:rPr>
        <w:t xml:space="preserve"> of </w:t>
      </w:r>
      <w:r w:rsidR="0028094C" w:rsidRPr="00B124DC">
        <w:rPr>
          <w:lang w:val="en-GB"/>
        </w:rPr>
        <w:t>individual</w:t>
      </w:r>
      <w:r w:rsidR="008832E2" w:rsidRPr="00B124DC">
        <w:rPr>
          <w:lang w:val="en-GB"/>
        </w:rPr>
        <w:t xml:space="preserve"> course</w:t>
      </w:r>
      <w:r w:rsidR="0028094C" w:rsidRPr="00B124DC">
        <w:rPr>
          <w:lang w:val="en-GB"/>
        </w:rPr>
        <w:t>s</w:t>
      </w:r>
      <w:r w:rsidR="007645C7" w:rsidRPr="00B124DC">
        <w:rPr>
          <w:lang w:val="en-GB"/>
        </w:rPr>
        <w:t>,</w:t>
      </w:r>
      <w:r w:rsidR="000612B0" w:rsidRPr="00B124DC">
        <w:rPr>
          <w:lang w:val="en-GB"/>
        </w:rPr>
        <w:t xml:space="preserve"> </w:t>
      </w:r>
      <w:r w:rsidR="00D87FEF" w:rsidRPr="00B124DC">
        <w:rPr>
          <w:lang w:val="en-GB"/>
        </w:rPr>
        <w:t>does</w:t>
      </w:r>
      <w:r w:rsidR="000612B0" w:rsidRPr="00B124DC">
        <w:rPr>
          <w:lang w:val="en-GB"/>
        </w:rPr>
        <w:t xml:space="preserve"> </w:t>
      </w:r>
      <w:r w:rsidR="004E454C" w:rsidRPr="00B124DC">
        <w:rPr>
          <w:lang w:val="en-GB"/>
        </w:rPr>
        <w:t xml:space="preserve">not by itself </w:t>
      </w:r>
      <w:r w:rsidR="008832E2" w:rsidRPr="00B124DC">
        <w:rPr>
          <w:lang w:val="en-GB"/>
        </w:rPr>
        <w:t>make</w:t>
      </w:r>
      <w:r w:rsidR="004E454C" w:rsidRPr="00B124DC">
        <w:rPr>
          <w:lang w:val="en-GB"/>
        </w:rPr>
        <w:t xml:space="preserve"> th</w:t>
      </w:r>
      <w:r w:rsidR="007645C7" w:rsidRPr="00B124DC">
        <w:rPr>
          <w:lang w:val="en-GB"/>
        </w:rPr>
        <w:t>at</w:t>
      </w:r>
      <w:r w:rsidR="004E454C" w:rsidRPr="00B124DC">
        <w:rPr>
          <w:lang w:val="en-GB"/>
        </w:rPr>
        <w:t xml:space="preserve"> rule unforeseeable</w:t>
      </w:r>
      <w:r w:rsidRPr="00B124DC">
        <w:rPr>
          <w:lang w:val="en-GB"/>
        </w:rPr>
        <w:t xml:space="preserve">. </w:t>
      </w:r>
      <w:r w:rsidR="00783D9F" w:rsidRPr="00B124DC">
        <w:rPr>
          <w:lang w:val="en-GB"/>
        </w:rPr>
        <w:t xml:space="preserve">In the Turkish </w:t>
      </w:r>
      <w:r w:rsidR="00D87FEF" w:rsidRPr="00B124DC">
        <w:rPr>
          <w:lang w:val="en-GB"/>
        </w:rPr>
        <w:t xml:space="preserve">constitutional </w:t>
      </w:r>
      <w:r w:rsidR="00783D9F" w:rsidRPr="00B124DC">
        <w:rPr>
          <w:lang w:val="en-GB"/>
        </w:rPr>
        <w:t>system, the universit</w:t>
      </w:r>
      <w:r w:rsidR="005B3F45" w:rsidRPr="00B124DC">
        <w:rPr>
          <w:lang w:val="en-GB"/>
        </w:rPr>
        <w:t>y authorities</w:t>
      </w:r>
      <w:r w:rsidR="00783D9F" w:rsidRPr="00B124DC">
        <w:rPr>
          <w:lang w:val="en-GB"/>
        </w:rPr>
        <w:t xml:space="preserve"> </w:t>
      </w:r>
      <w:r w:rsidR="008832E2" w:rsidRPr="00B124DC">
        <w:rPr>
          <w:lang w:val="en-GB"/>
        </w:rPr>
        <w:t>may</w:t>
      </w:r>
      <w:r w:rsidR="005B3F45" w:rsidRPr="00B124DC">
        <w:rPr>
          <w:lang w:val="en-GB"/>
        </w:rPr>
        <w:t xml:space="preserve"> not </w:t>
      </w:r>
      <w:r w:rsidR="00783D9F" w:rsidRPr="00B124DC">
        <w:rPr>
          <w:lang w:val="en-GB"/>
        </w:rPr>
        <w:t xml:space="preserve">under any circumstances place restrictions on fundamental rights without a basis </w:t>
      </w:r>
      <w:r w:rsidR="005113FB" w:rsidRPr="00B124DC">
        <w:rPr>
          <w:lang w:val="en-GB"/>
        </w:rPr>
        <w:t xml:space="preserve">in law </w:t>
      </w:r>
      <w:r w:rsidRPr="00B124DC">
        <w:rPr>
          <w:lang w:val="en-GB"/>
        </w:rPr>
        <w:t>(</w:t>
      </w:r>
      <w:r w:rsidR="00783D9F" w:rsidRPr="00B124DC">
        <w:rPr>
          <w:lang w:val="en-GB"/>
        </w:rPr>
        <w:t>see A</w:t>
      </w:r>
      <w:r w:rsidR="00932AF2">
        <w:rPr>
          <w:lang w:val="en-GB"/>
        </w:rPr>
        <w:t>rticle 13 of the Constitution – </w:t>
      </w:r>
      <w:r w:rsidR="00783D9F" w:rsidRPr="00B124DC">
        <w:rPr>
          <w:lang w:val="en-GB"/>
        </w:rPr>
        <w:t>paragraph 29 above</w:t>
      </w:r>
      <w:r w:rsidRPr="00B124DC">
        <w:rPr>
          <w:lang w:val="en-GB"/>
        </w:rPr>
        <w:t xml:space="preserve">). </w:t>
      </w:r>
      <w:r w:rsidR="005845D8" w:rsidRPr="00B124DC">
        <w:rPr>
          <w:lang w:val="en-GB"/>
        </w:rPr>
        <w:t xml:space="preserve">Their role is confined to establishing the internal rules </w:t>
      </w:r>
      <w:r w:rsidR="005113FB" w:rsidRPr="00B124DC">
        <w:rPr>
          <w:lang w:val="en-GB"/>
        </w:rPr>
        <w:t>of</w:t>
      </w:r>
      <w:r w:rsidR="005845D8" w:rsidRPr="00B124DC">
        <w:rPr>
          <w:lang w:val="en-GB"/>
        </w:rPr>
        <w:t xml:space="preserve"> the educational </w:t>
      </w:r>
      <w:r w:rsidR="005113FB" w:rsidRPr="00B124DC">
        <w:rPr>
          <w:lang w:val="en-GB"/>
        </w:rPr>
        <w:t>institution</w:t>
      </w:r>
      <w:r w:rsidR="005845D8" w:rsidRPr="00B124DC">
        <w:rPr>
          <w:lang w:val="en-GB"/>
        </w:rPr>
        <w:t xml:space="preserve"> concerned </w:t>
      </w:r>
      <w:r w:rsidR="00E26185" w:rsidRPr="00B124DC">
        <w:rPr>
          <w:lang w:val="en-GB"/>
        </w:rPr>
        <w:t xml:space="preserve">in accordance with the rule requiring conformity with statute </w:t>
      </w:r>
      <w:r w:rsidR="005845D8" w:rsidRPr="00B124DC">
        <w:rPr>
          <w:lang w:val="en-GB"/>
        </w:rPr>
        <w:t xml:space="preserve">and subject to the </w:t>
      </w:r>
      <w:r w:rsidR="005113FB" w:rsidRPr="00B124DC">
        <w:rPr>
          <w:lang w:val="en-GB"/>
        </w:rPr>
        <w:t>administrative courts</w:t>
      </w:r>
      <w:r w:rsidR="0006350D">
        <w:rPr>
          <w:lang w:val="en-GB"/>
        </w:rPr>
        <w:t>’</w:t>
      </w:r>
      <w:r w:rsidR="005113FB" w:rsidRPr="00B124DC">
        <w:rPr>
          <w:lang w:val="en-GB"/>
        </w:rPr>
        <w:t xml:space="preserve"> </w:t>
      </w:r>
      <w:r w:rsidR="005845D8" w:rsidRPr="00B124DC">
        <w:rPr>
          <w:lang w:val="en-GB"/>
        </w:rPr>
        <w:t>powers of review.</w:t>
      </w:r>
    </w:p>
    <w:p w:rsidR="0098730A" w:rsidRPr="00B124DC" w:rsidRDefault="00207A0B" w:rsidP="00207A0B">
      <w:pPr>
        <w:pStyle w:val="JuParaCharCharChar0"/>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96</w:t>
      </w:r>
      <w:r w:rsidRPr="00B124DC">
        <w:rPr>
          <w:lang w:val="en-GB"/>
        </w:rPr>
        <w:fldChar w:fldCharType="end"/>
      </w:r>
      <w:r w:rsidRPr="00B124DC">
        <w:rPr>
          <w:lang w:val="en-GB"/>
        </w:rPr>
        <w:t>.  </w:t>
      </w:r>
      <w:r w:rsidR="002F1D72" w:rsidRPr="00B124DC">
        <w:rPr>
          <w:lang w:val="en-GB"/>
        </w:rPr>
        <w:t>Further, the Court accept</w:t>
      </w:r>
      <w:r w:rsidR="006C4B95" w:rsidRPr="00B124DC">
        <w:rPr>
          <w:lang w:val="en-GB"/>
        </w:rPr>
        <w:t>s</w:t>
      </w:r>
      <w:r w:rsidR="002F1D72" w:rsidRPr="00B124DC">
        <w:rPr>
          <w:lang w:val="en-GB"/>
        </w:rPr>
        <w:t xml:space="preserve"> that</w:t>
      </w:r>
      <w:r w:rsidR="006C4B95" w:rsidRPr="00B124DC">
        <w:rPr>
          <w:lang w:val="en-GB"/>
        </w:rPr>
        <w:t xml:space="preserve"> it can prove difficult to frame laws with a high degree of precision o</w:t>
      </w:r>
      <w:r w:rsidR="002F1D72" w:rsidRPr="00B124DC">
        <w:rPr>
          <w:lang w:val="en-GB"/>
        </w:rPr>
        <w:t xml:space="preserve">n </w:t>
      </w:r>
      <w:r w:rsidR="006C4B95" w:rsidRPr="00B124DC">
        <w:rPr>
          <w:lang w:val="en-GB"/>
        </w:rPr>
        <w:t>matters</w:t>
      </w:r>
      <w:r w:rsidR="002F1D72" w:rsidRPr="00B124DC">
        <w:rPr>
          <w:lang w:val="en-GB"/>
        </w:rPr>
        <w:t xml:space="preserve"> </w:t>
      </w:r>
      <w:r w:rsidR="006C4B95" w:rsidRPr="00B124DC">
        <w:rPr>
          <w:lang w:val="en-GB"/>
        </w:rPr>
        <w:t xml:space="preserve">such </w:t>
      </w:r>
      <w:r w:rsidR="002F1D72" w:rsidRPr="00B124DC">
        <w:rPr>
          <w:lang w:val="en-GB"/>
        </w:rPr>
        <w:t xml:space="preserve">as internal </w:t>
      </w:r>
      <w:r w:rsidR="006C4B95" w:rsidRPr="00B124DC">
        <w:rPr>
          <w:lang w:val="en-GB"/>
        </w:rPr>
        <w:t xml:space="preserve">university </w:t>
      </w:r>
      <w:r w:rsidR="002F1D72" w:rsidRPr="00B124DC">
        <w:rPr>
          <w:lang w:val="en-GB"/>
        </w:rPr>
        <w:t xml:space="preserve">rules, </w:t>
      </w:r>
      <w:r w:rsidR="006C4B95" w:rsidRPr="00B124DC">
        <w:rPr>
          <w:lang w:val="en-GB"/>
        </w:rPr>
        <w:t xml:space="preserve">and tight regulation may be inappropriate </w:t>
      </w:r>
      <w:r w:rsidRPr="00B124DC">
        <w:rPr>
          <w:lang w:val="en-GB"/>
        </w:rPr>
        <w:t>(</w:t>
      </w:r>
      <w:r w:rsidR="00E53285" w:rsidRPr="00B124DC">
        <w:rPr>
          <w:lang w:val="en-GB"/>
        </w:rPr>
        <w:t xml:space="preserve">see, </w:t>
      </w:r>
      <w:r w:rsidR="00E53285" w:rsidRPr="00B124DC">
        <w:rPr>
          <w:i/>
          <w:lang w:val="en-GB"/>
        </w:rPr>
        <w:t>mutatis mutandis</w:t>
      </w:r>
      <w:r w:rsidR="00E53285" w:rsidRPr="00B124DC">
        <w:rPr>
          <w:lang w:val="en-GB"/>
        </w:rPr>
        <w:t xml:space="preserve">, </w:t>
      </w:r>
      <w:r w:rsidR="00B477B9" w:rsidRPr="00B124DC">
        <w:rPr>
          <w:i/>
          <w:lang w:val="en-GB"/>
        </w:rPr>
        <w:t>Gorzelik and Others</w:t>
      </w:r>
      <w:r w:rsidR="00B477B9" w:rsidRPr="00B124DC">
        <w:rPr>
          <w:lang w:val="en-GB"/>
        </w:rPr>
        <w:t>, cited above</w:t>
      </w:r>
      <w:r w:rsidRPr="00B124DC">
        <w:rPr>
          <w:lang w:val="en-GB"/>
        </w:rPr>
        <w:t>, § 67).</w:t>
      </w:r>
    </w:p>
    <w:p w:rsidR="0098730A" w:rsidRPr="00B124DC" w:rsidRDefault="0017616B" w:rsidP="0017616B">
      <w:pPr>
        <w:pStyle w:val="JuParaCharCharCharCharCharCharChar"/>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97</w:t>
      </w:r>
      <w:r w:rsidRPr="00B124DC">
        <w:rPr>
          <w:lang w:val="en-GB"/>
        </w:rPr>
        <w:fldChar w:fldCharType="end"/>
      </w:r>
      <w:r w:rsidRPr="00B124DC">
        <w:rPr>
          <w:lang w:val="en-GB"/>
        </w:rPr>
        <w:t>.  </w:t>
      </w:r>
      <w:r w:rsidR="00B42DCB" w:rsidRPr="00B124DC">
        <w:rPr>
          <w:lang w:val="en-GB"/>
        </w:rPr>
        <w:t>Likewise</w:t>
      </w:r>
      <w:r w:rsidRPr="00B124DC">
        <w:rPr>
          <w:lang w:val="en-GB"/>
        </w:rPr>
        <w:t xml:space="preserve">, it is beyond doubt that </w:t>
      </w:r>
      <w:r w:rsidR="00150768" w:rsidRPr="00B124DC">
        <w:rPr>
          <w:lang w:val="en-GB"/>
        </w:rPr>
        <w:t xml:space="preserve">regulations on wearing the Islamic headscarf existed at </w:t>
      </w:r>
      <w:smartTag w:uri="urn:schemas-microsoft-com:office:smarttags" w:element="place">
        <w:smartTag w:uri="urn:schemas-microsoft-com:office:smarttags" w:element="PlaceName">
          <w:r w:rsidR="00C55A27" w:rsidRPr="00B124DC">
            <w:rPr>
              <w:lang w:val="en-GB"/>
            </w:rPr>
            <w:t>Istanbul</w:t>
          </w:r>
        </w:smartTag>
        <w:r w:rsidR="00C55A27" w:rsidRPr="00B124DC">
          <w:rPr>
            <w:lang w:val="en-GB"/>
          </w:rPr>
          <w:t xml:space="preserve"> </w:t>
        </w:r>
        <w:smartTag w:uri="urn:schemas-microsoft-com:office:smarttags" w:element="PlaceType">
          <w:r w:rsidR="00170626" w:rsidRPr="00B124DC">
            <w:rPr>
              <w:lang w:val="en-GB"/>
            </w:rPr>
            <w:t>University</w:t>
          </w:r>
        </w:smartTag>
      </w:smartTag>
      <w:r w:rsidR="00170626" w:rsidRPr="00B124DC">
        <w:rPr>
          <w:lang w:val="en-GB"/>
        </w:rPr>
        <w:t xml:space="preserve"> </w:t>
      </w:r>
      <w:r w:rsidR="00B42DCB" w:rsidRPr="00B124DC">
        <w:rPr>
          <w:lang w:val="en-GB"/>
        </w:rPr>
        <w:t>since 1994</w:t>
      </w:r>
      <w:r w:rsidR="00170626" w:rsidRPr="00B124DC">
        <w:rPr>
          <w:lang w:val="en-GB"/>
        </w:rPr>
        <w:t xml:space="preserve"> at the latest</w:t>
      </w:r>
      <w:r w:rsidR="00B42DCB" w:rsidRPr="00B124DC">
        <w:rPr>
          <w:lang w:val="en-GB"/>
        </w:rPr>
        <w:t xml:space="preserve">, </w:t>
      </w:r>
      <w:r w:rsidRPr="00B124DC">
        <w:rPr>
          <w:lang w:val="en-GB"/>
        </w:rPr>
        <w:t xml:space="preserve">well before the applicant enrolled </w:t>
      </w:r>
      <w:r w:rsidR="00B42DCB" w:rsidRPr="00B124DC">
        <w:rPr>
          <w:lang w:val="en-GB"/>
        </w:rPr>
        <w:t xml:space="preserve">there </w:t>
      </w:r>
      <w:r w:rsidRPr="00B124DC">
        <w:rPr>
          <w:lang w:val="en-GB"/>
        </w:rPr>
        <w:t>(see paragraph</w:t>
      </w:r>
      <w:r w:rsidR="001D5B47" w:rsidRPr="00B124DC">
        <w:rPr>
          <w:lang w:val="en-GB"/>
        </w:rPr>
        <w:t xml:space="preserve">s 43 and </w:t>
      </w:r>
      <w:r w:rsidRPr="00B124DC">
        <w:rPr>
          <w:color w:val="333300"/>
          <w:lang w:val="en-GB"/>
        </w:rPr>
        <w:t>4</w:t>
      </w:r>
      <w:r w:rsidR="004B1F92">
        <w:rPr>
          <w:color w:val="333300"/>
          <w:lang w:val="en-GB"/>
        </w:rPr>
        <w:t>5</w:t>
      </w:r>
      <w:r w:rsidR="00B42DCB" w:rsidRPr="00B124DC">
        <w:rPr>
          <w:lang w:val="en-GB"/>
        </w:rPr>
        <w:t xml:space="preserve"> above)</w:t>
      </w:r>
      <w:r w:rsidRPr="00B124DC">
        <w:rPr>
          <w:lang w:val="en-GB"/>
        </w:rPr>
        <w:t>.</w:t>
      </w:r>
    </w:p>
    <w:p w:rsidR="0017616B" w:rsidRPr="00B124DC" w:rsidRDefault="0017616B" w:rsidP="0017616B">
      <w:pPr>
        <w:pStyle w:val="JuParaCharCharCharCharCharCharChar"/>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98</w:t>
      </w:r>
      <w:r w:rsidRPr="00B124DC">
        <w:rPr>
          <w:lang w:val="en-GB"/>
        </w:rPr>
        <w:fldChar w:fldCharType="end"/>
      </w:r>
      <w:r w:rsidRPr="00B124DC">
        <w:rPr>
          <w:lang w:val="en-GB"/>
        </w:rPr>
        <w:t xml:space="preserve">.  In these circumstances, the Court finds that there was a </w:t>
      </w:r>
      <w:r w:rsidR="00FE36D3" w:rsidRPr="00B124DC">
        <w:rPr>
          <w:lang w:val="en-GB"/>
        </w:rPr>
        <w:t xml:space="preserve">legal </w:t>
      </w:r>
      <w:r w:rsidRPr="00B124DC">
        <w:rPr>
          <w:lang w:val="en-GB"/>
        </w:rPr>
        <w:t>basis</w:t>
      </w:r>
      <w:r w:rsidR="00FE36D3" w:rsidRPr="00B124DC">
        <w:rPr>
          <w:lang w:val="en-GB"/>
        </w:rPr>
        <w:t xml:space="preserve"> </w:t>
      </w:r>
      <w:r w:rsidRPr="00B124DC">
        <w:rPr>
          <w:lang w:val="en-GB"/>
        </w:rPr>
        <w:t>for the interference in Turkish law</w:t>
      </w:r>
      <w:r w:rsidR="008426B7" w:rsidRPr="00B124DC">
        <w:rPr>
          <w:lang w:val="en-GB"/>
        </w:rPr>
        <w:t>, namely tra</w:t>
      </w:r>
      <w:r w:rsidR="00DC5B80">
        <w:rPr>
          <w:lang w:val="en-GB"/>
        </w:rPr>
        <w:t>nsitional section 17 of Law no. </w:t>
      </w:r>
      <w:r w:rsidR="008426B7" w:rsidRPr="00B124DC">
        <w:rPr>
          <w:lang w:val="en-GB"/>
        </w:rPr>
        <w:t xml:space="preserve">2547 </w:t>
      </w:r>
      <w:r w:rsidR="001D5B47" w:rsidRPr="00B124DC">
        <w:rPr>
          <w:lang w:val="en-GB"/>
        </w:rPr>
        <w:t>read in the light of</w:t>
      </w:r>
      <w:r w:rsidR="008426B7" w:rsidRPr="00B124DC">
        <w:rPr>
          <w:lang w:val="en-GB"/>
        </w:rPr>
        <w:t xml:space="preserve"> the </w:t>
      </w:r>
      <w:r w:rsidR="001D5B47" w:rsidRPr="00B124DC">
        <w:rPr>
          <w:lang w:val="en-GB"/>
        </w:rPr>
        <w:t xml:space="preserve">relevant </w:t>
      </w:r>
      <w:r w:rsidR="008426B7" w:rsidRPr="00B124DC">
        <w:rPr>
          <w:lang w:val="en-GB"/>
        </w:rPr>
        <w:t>case-law of the domestic courts</w:t>
      </w:r>
      <w:r w:rsidRPr="00B124DC">
        <w:rPr>
          <w:lang w:val="en-GB"/>
        </w:rPr>
        <w:t xml:space="preserve">. The law was also accessible and </w:t>
      </w:r>
      <w:r w:rsidR="00FE36D3" w:rsidRPr="00B124DC">
        <w:rPr>
          <w:lang w:val="en-GB"/>
        </w:rPr>
        <w:t>can</w:t>
      </w:r>
      <w:r w:rsidR="00714C62" w:rsidRPr="00B124DC">
        <w:rPr>
          <w:lang w:val="en-GB"/>
        </w:rPr>
        <w:t xml:space="preserve"> be </w:t>
      </w:r>
      <w:r w:rsidR="00FE36D3" w:rsidRPr="00B124DC">
        <w:rPr>
          <w:lang w:val="en-GB"/>
        </w:rPr>
        <w:t>considered</w:t>
      </w:r>
      <w:r w:rsidR="00714C62" w:rsidRPr="00B124DC">
        <w:rPr>
          <w:lang w:val="en-GB"/>
        </w:rPr>
        <w:t xml:space="preserve"> </w:t>
      </w:r>
      <w:r w:rsidRPr="00B124DC">
        <w:rPr>
          <w:lang w:val="en-GB"/>
        </w:rPr>
        <w:t>sufficiently precise in its terms to satisfy the re</w:t>
      </w:r>
      <w:r w:rsidR="0086111A" w:rsidRPr="00B124DC">
        <w:rPr>
          <w:lang w:val="en-GB"/>
        </w:rPr>
        <w:t xml:space="preserve">quirement of foreseeability. </w:t>
      </w:r>
      <w:r w:rsidRPr="00B124DC">
        <w:rPr>
          <w:lang w:val="en-GB"/>
        </w:rPr>
        <w:t xml:space="preserve">It would have been clear to the applicant, from the moment she entered </w:t>
      </w:r>
      <w:smartTag w:uri="urn:schemas-microsoft-com:office:smarttags" w:element="place">
        <w:smartTag w:uri="urn:schemas-microsoft-com:office:smarttags" w:element="PlaceName">
          <w:r w:rsidR="00297D0F" w:rsidRPr="00B124DC">
            <w:rPr>
              <w:lang w:val="en-GB"/>
            </w:rPr>
            <w:t>Istanbul</w:t>
          </w:r>
        </w:smartTag>
        <w:r w:rsidR="00297D0F" w:rsidRPr="00B124DC">
          <w:rPr>
            <w:lang w:val="en-GB"/>
          </w:rPr>
          <w:t xml:space="preserve"> </w:t>
        </w:r>
        <w:smartTag w:uri="urn:schemas-microsoft-com:office:smarttags" w:element="PlaceType">
          <w:r w:rsidR="00297D0F" w:rsidRPr="00B124DC">
            <w:rPr>
              <w:lang w:val="en-GB"/>
            </w:rPr>
            <w:t>University</w:t>
          </w:r>
        </w:smartTag>
      </w:smartTag>
      <w:r w:rsidRPr="00B124DC">
        <w:rPr>
          <w:lang w:val="en-GB"/>
        </w:rPr>
        <w:t xml:space="preserve">, that there were </w:t>
      </w:r>
      <w:r w:rsidR="00FE36D3" w:rsidRPr="00B124DC">
        <w:rPr>
          <w:lang w:val="en-GB"/>
        </w:rPr>
        <w:t>restrictions</w:t>
      </w:r>
      <w:r w:rsidRPr="00B124DC">
        <w:rPr>
          <w:lang w:val="en-GB"/>
        </w:rPr>
        <w:t xml:space="preserve"> on wearing the Islamic headscarf </w:t>
      </w:r>
      <w:r w:rsidR="00714C62" w:rsidRPr="00B124DC">
        <w:rPr>
          <w:lang w:val="en-GB"/>
        </w:rPr>
        <w:t xml:space="preserve">on the university premises </w:t>
      </w:r>
      <w:r w:rsidRPr="00B124DC">
        <w:rPr>
          <w:lang w:val="en-GB"/>
        </w:rPr>
        <w:t xml:space="preserve">and, from </w:t>
      </w:r>
      <w:smartTag w:uri="urn:schemas-microsoft-com:office:smarttags" w:element="date">
        <w:smartTagPr>
          <w:attr w:name="Month" w:val="2"/>
          <w:attr w:name="Day" w:val="23"/>
          <w:attr w:name="Year" w:val="1998"/>
        </w:smartTagPr>
        <w:r w:rsidRPr="00B124DC">
          <w:rPr>
            <w:lang w:val="en-GB"/>
          </w:rPr>
          <w:t>23 February 1998</w:t>
        </w:r>
      </w:smartTag>
      <w:r w:rsidRPr="00B124DC">
        <w:rPr>
          <w:lang w:val="en-GB"/>
        </w:rPr>
        <w:t xml:space="preserve">, that she was liable to be refused access to lectures </w:t>
      </w:r>
      <w:r w:rsidR="00C73203" w:rsidRPr="00B124DC">
        <w:rPr>
          <w:lang w:val="en-GB"/>
        </w:rPr>
        <w:t xml:space="preserve">and examinations </w:t>
      </w:r>
      <w:r w:rsidRPr="00B124DC">
        <w:rPr>
          <w:lang w:val="en-GB"/>
        </w:rPr>
        <w:t>if she continued to do so.</w:t>
      </w:r>
    </w:p>
    <w:p w:rsidR="0017616B" w:rsidRPr="00B124DC" w:rsidRDefault="00714C62" w:rsidP="00932AF2">
      <w:pPr>
        <w:pStyle w:val="JuH1"/>
        <w:keepNext/>
        <w:rPr>
          <w:lang w:val="en-GB"/>
        </w:rPr>
      </w:pPr>
      <w:r w:rsidRPr="00B124DC">
        <w:rPr>
          <w:lang w:val="en-GB"/>
        </w:rPr>
        <w:t>3</w:t>
      </w:r>
      <w:r w:rsidR="0017616B" w:rsidRPr="00B124DC">
        <w:rPr>
          <w:lang w:val="en-GB"/>
        </w:rPr>
        <w:t>.  Legitimate aim</w:t>
      </w:r>
    </w:p>
    <w:p w:rsidR="0017616B" w:rsidRPr="00B124DC" w:rsidRDefault="00062A7F"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99</w:t>
      </w:r>
      <w:r w:rsidRPr="00B124DC">
        <w:rPr>
          <w:lang w:val="en-GB"/>
        </w:rPr>
        <w:fldChar w:fldCharType="end"/>
      </w:r>
      <w:r w:rsidRPr="00B124DC">
        <w:rPr>
          <w:lang w:val="en-GB"/>
        </w:rPr>
        <w:t>.  </w:t>
      </w:r>
      <w:r w:rsidR="0017616B" w:rsidRPr="00B124DC">
        <w:rPr>
          <w:lang w:val="en-GB"/>
        </w:rPr>
        <w:t>Having regard to the circumstances of the case and the terms of the domestic courts</w:t>
      </w:r>
      <w:r w:rsidR="0006350D">
        <w:rPr>
          <w:lang w:val="en-GB"/>
        </w:rPr>
        <w:t>’</w:t>
      </w:r>
      <w:r w:rsidR="0017616B" w:rsidRPr="00B124DC">
        <w:rPr>
          <w:lang w:val="en-GB"/>
        </w:rPr>
        <w:t xml:space="preserve"> decisions, the Court </w:t>
      </w:r>
      <w:r w:rsidR="007645C7" w:rsidRPr="00B124DC">
        <w:rPr>
          <w:lang w:val="en-GB"/>
        </w:rPr>
        <w:t xml:space="preserve">is able to </w:t>
      </w:r>
      <w:r w:rsidR="00714C62" w:rsidRPr="00B124DC">
        <w:rPr>
          <w:lang w:val="en-GB"/>
        </w:rPr>
        <w:t>accept</w:t>
      </w:r>
      <w:r w:rsidR="0017616B" w:rsidRPr="00B124DC">
        <w:rPr>
          <w:lang w:val="en-GB"/>
        </w:rPr>
        <w:t xml:space="preserve"> that the impugned </w:t>
      </w:r>
      <w:r w:rsidR="00714C62" w:rsidRPr="00B124DC">
        <w:rPr>
          <w:lang w:val="en-GB"/>
        </w:rPr>
        <w:t>interference</w:t>
      </w:r>
      <w:r w:rsidR="0017616B" w:rsidRPr="00B124DC">
        <w:rPr>
          <w:lang w:val="en-GB"/>
        </w:rPr>
        <w:t xml:space="preserve"> primarily pursued the legitimate aims of protecting the rights and freedoms of others and of protecting public order</w:t>
      </w:r>
      <w:r w:rsidR="00714C62" w:rsidRPr="00B124DC">
        <w:rPr>
          <w:lang w:val="en-GB"/>
        </w:rPr>
        <w:t xml:space="preserve">, </w:t>
      </w:r>
      <w:r w:rsidR="00E823DC" w:rsidRPr="00B124DC">
        <w:rPr>
          <w:lang w:val="en-GB"/>
        </w:rPr>
        <w:t>a point which is not in issue between the parties</w:t>
      </w:r>
      <w:r w:rsidR="0017616B" w:rsidRPr="00B124DC">
        <w:rPr>
          <w:lang w:val="en-GB"/>
        </w:rPr>
        <w:t>.</w:t>
      </w:r>
    </w:p>
    <w:p w:rsidR="0017616B" w:rsidRPr="00B124DC" w:rsidRDefault="003700D0" w:rsidP="00932AF2">
      <w:pPr>
        <w:pStyle w:val="JuH1"/>
        <w:keepNext/>
        <w:rPr>
          <w:lang w:val="en-GB"/>
        </w:rPr>
      </w:pPr>
      <w:r w:rsidRPr="00B124DC">
        <w:rPr>
          <w:lang w:val="en-GB"/>
        </w:rPr>
        <w:t>4</w:t>
      </w:r>
      <w:r w:rsidR="0017616B" w:rsidRPr="00B124DC">
        <w:rPr>
          <w:lang w:val="en-GB"/>
        </w:rPr>
        <w:t>. </w:t>
      </w:r>
      <w:r w:rsidR="0086111A" w:rsidRPr="00B124DC">
        <w:rPr>
          <w:lang w:val="en-GB"/>
        </w:rPr>
        <w:t> </w:t>
      </w:r>
      <w:r w:rsidR="0017616B" w:rsidRPr="00B124DC">
        <w:rPr>
          <w:lang w:val="en-GB"/>
        </w:rPr>
        <w:t>“Necessary in a democratic society”</w:t>
      </w:r>
    </w:p>
    <w:p w:rsidR="0017616B" w:rsidRPr="00B124DC" w:rsidRDefault="003700D0" w:rsidP="003700D0">
      <w:pPr>
        <w:pStyle w:val="JuHa0"/>
        <w:keepNext/>
        <w:keepLines/>
        <w:tabs>
          <w:tab w:val="clear" w:pos="357"/>
          <w:tab w:val="clear" w:pos="907"/>
          <w:tab w:val="left" w:pos="975"/>
        </w:tabs>
        <w:ind w:left="975" w:hanging="340"/>
        <w:rPr>
          <w:lang w:val="en-GB"/>
        </w:rPr>
      </w:pPr>
      <w:r w:rsidRPr="00B124DC">
        <w:rPr>
          <w:lang w:val="en-GB"/>
        </w:rPr>
        <w:t>(a)</w:t>
      </w:r>
      <w:r w:rsidR="0017616B" w:rsidRPr="00B124DC">
        <w:rPr>
          <w:lang w:val="en-GB"/>
        </w:rPr>
        <w:t>  </w:t>
      </w:r>
      <w:r w:rsidR="00771C86">
        <w:rPr>
          <w:lang w:val="en-GB"/>
        </w:rPr>
        <w:t>The parties’ s</w:t>
      </w:r>
      <w:r w:rsidR="0017616B" w:rsidRPr="00B124DC">
        <w:rPr>
          <w:lang w:val="en-GB"/>
        </w:rPr>
        <w:t xml:space="preserve">ubmissions </w:t>
      </w:r>
      <w:r w:rsidR="00771C86">
        <w:rPr>
          <w:lang w:val="en-GB"/>
        </w:rPr>
        <w:t xml:space="preserve">to </w:t>
      </w:r>
      <w:r w:rsidRPr="00B124DC">
        <w:rPr>
          <w:lang w:val="en-GB"/>
        </w:rPr>
        <w:t>the Grand Chamber</w:t>
      </w:r>
    </w:p>
    <w:p w:rsidR="0017616B" w:rsidRPr="00B124DC" w:rsidRDefault="0017616B" w:rsidP="003700D0">
      <w:pPr>
        <w:pStyle w:val="JuHi"/>
        <w:keepNext/>
        <w:keepLines/>
        <w:tabs>
          <w:tab w:val="clear" w:pos="357"/>
          <w:tab w:val="clear" w:pos="1111"/>
          <w:tab w:val="left" w:pos="1191"/>
        </w:tabs>
        <w:ind w:left="1190" w:hanging="357"/>
        <w:rPr>
          <w:lang w:val="en-GB"/>
        </w:rPr>
      </w:pPr>
      <w:r w:rsidRPr="00B124DC">
        <w:rPr>
          <w:lang w:val="en-GB"/>
        </w:rPr>
        <w:t>(</w:t>
      </w:r>
      <w:r w:rsidR="003700D0" w:rsidRPr="00B124DC">
        <w:rPr>
          <w:lang w:val="en-GB"/>
        </w:rPr>
        <w:t>i</w:t>
      </w:r>
      <w:r w:rsidRPr="00B124DC">
        <w:rPr>
          <w:lang w:val="en-GB"/>
        </w:rPr>
        <w:t xml:space="preserve">)  The </w:t>
      </w:r>
      <w:r w:rsidRPr="00B124DC">
        <w:rPr>
          <w:iCs w:val="0"/>
          <w:lang w:val="en-GB"/>
        </w:rPr>
        <w:t>applicant</w:t>
      </w:r>
    </w:p>
    <w:p w:rsidR="00844A2D" w:rsidRPr="00B124DC" w:rsidRDefault="0017616B" w:rsidP="004F561B">
      <w:pPr>
        <w:pStyle w:val="JuParaCharCharCharCharCharCharChar"/>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100</w:t>
      </w:r>
      <w:r w:rsidRPr="00B124DC">
        <w:rPr>
          <w:lang w:val="en-GB"/>
        </w:rPr>
        <w:fldChar w:fldCharType="end"/>
      </w:r>
      <w:r w:rsidRPr="00B124DC">
        <w:rPr>
          <w:lang w:val="en-GB"/>
        </w:rPr>
        <w:t>.  </w:t>
      </w:r>
      <w:r w:rsidR="00511A63" w:rsidRPr="00B124DC">
        <w:rPr>
          <w:lang w:val="en-GB"/>
        </w:rPr>
        <w:t>The applicant contested the Chamber</w:t>
      </w:r>
      <w:r w:rsidR="0006350D">
        <w:rPr>
          <w:lang w:val="en-GB"/>
        </w:rPr>
        <w:t>’</w:t>
      </w:r>
      <w:r w:rsidR="00511A63" w:rsidRPr="00B124DC">
        <w:rPr>
          <w:lang w:val="en-GB"/>
        </w:rPr>
        <w:t>s findings. In her observations of</w:t>
      </w:r>
      <w:r w:rsidR="004F561B" w:rsidRPr="00B124DC">
        <w:rPr>
          <w:lang w:val="en-GB"/>
        </w:rPr>
        <w:t xml:space="preserve"> </w:t>
      </w:r>
      <w:smartTag w:uri="urn:schemas-microsoft-com:office:smarttags" w:element="date">
        <w:smartTagPr>
          <w:attr w:name="Month" w:val="9"/>
          <w:attr w:name="Day" w:val="27"/>
          <w:attr w:name="Year" w:val="2004"/>
        </w:smartTagPr>
        <w:r w:rsidR="004F561B" w:rsidRPr="00B124DC">
          <w:rPr>
            <w:lang w:val="en-GB"/>
          </w:rPr>
          <w:t xml:space="preserve">27 </w:t>
        </w:r>
        <w:r w:rsidR="00800ADE" w:rsidRPr="00B124DC">
          <w:rPr>
            <w:lang w:val="en-GB"/>
          </w:rPr>
          <w:t>September</w:t>
        </w:r>
        <w:r w:rsidR="004F561B" w:rsidRPr="00B124DC">
          <w:rPr>
            <w:lang w:val="en-GB"/>
          </w:rPr>
          <w:t xml:space="preserve"> 2004</w:t>
        </w:r>
      </w:smartTag>
      <w:r w:rsidR="004F561B" w:rsidRPr="00B124DC">
        <w:rPr>
          <w:lang w:val="en-GB"/>
        </w:rPr>
        <w:t xml:space="preserve"> </w:t>
      </w:r>
      <w:r w:rsidR="00511A63" w:rsidRPr="00B124DC">
        <w:rPr>
          <w:lang w:val="en-GB"/>
        </w:rPr>
        <w:t>and her oral submissions at the hearing</w:t>
      </w:r>
      <w:r w:rsidR="004F561B" w:rsidRPr="00B124DC">
        <w:rPr>
          <w:lang w:val="en-GB"/>
        </w:rPr>
        <w:t xml:space="preserve">, </w:t>
      </w:r>
      <w:r w:rsidR="00511A63" w:rsidRPr="00B124DC">
        <w:rPr>
          <w:lang w:val="en-GB"/>
        </w:rPr>
        <w:t xml:space="preserve">she </w:t>
      </w:r>
      <w:r w:rsidR="007645C7" w:rsidRPr="00B124DC">
        <w:rPr>
          <w:lang w:val="en-GB"/>
        </w:rPr>
        <w:t>argued</w:t>
      </w:r>
      <w:r w:rsidR="00511A63" w:rsidRPr="00B124DC">
        <w:rPr>
          <w:lang w:val="en-GB"/>
        </w:rPr>
        <w:t xml:space="preserve"> that the notions of “democracy” and “republic” were not </w:t>
      </w:r>
      <w:r w:rsidR="006D49BC" w:rsidRPr="00B124DC">
        <w:rPr>
          <w:lang w:val="en-GB"/>
        </w:rPr>
        <w:t>alike</w:t>
      </w:r>
      <w:r w:rsidR="00511A63" w:rsidRPr="00B124DC">
        <w:rPr>
          <w:lang w:val="en-GB"/>
        </w:rPr>
        <w:t xml:space="preserve">. While many totalitarian regimes claimed to be “republics”, only a true democracy could be </w:t>
      </w:r>
      <w:r w:rsidR="00A80A3C" w:rsidRPr="00B124DC">
        <w:rPr>
          <w:lang w:val="en-GB"/>
        </w:rPr>
        <w:t>based on the principles of pluralism and broadmindedness</w:t>
      </w:r>
      <w:r w:rsidR="004F561B" w:rsidRPr="00B124DC">
        <w:rPr>
          <w:lang w:val="en-GB"/>
        </w:rPr>
        <w:t xml:space="preserve">. </w:t>
      </w:r>
      <w:r w:rsidR="001F6FE4" w:rsidRPr="00B124DC">
        <w:rPr>
          <w:lang w:val="en-GB"/>
        </w:rPr>
        <w:t xml:space="preserve">The structure of the judicial and university systems in </w:t>
      </w:r>
      <w:smartTag w:uri="urn:schemas-microsoft-com:office:smarttags" w:element="place">
        <w:smartTag w:uri="urn:schemas-microsoft-com:office:smarttags" w:element="country-region">
          <w:r w:rsidR="001F6FE4" w:rsidRPr="00B124DC">
            <w:rPr>
              <w:lang w:val="en-GB"/>
            </w:rPr>
            <w:t>Turkey</w:t>
          </w:r>
        </w:smartTag>
      </w:smartTag>
      <w:r w:rsidR="001F6FE4" w:rsidRPr="00B124DC">
        <w:rPr>
          <w:lang w:val="en-GB"/>
        </w:rPr>
        <w:t xml:space="preserve"> </w:t>
      </w:r>
      <w:r w:rsidR="0028302B" w:rsidRPr="00B124DC">
        <w:rPr>
          <w:lang w:val="en-GB"/>
        </w:rPr>
        <w:t>had been</w:t>
      </w:r>
      <w:r w:rsidR="001F6FE4" w:rsidRPr="00B124DC">
        <w:rPr>
          <w:lang w:val="en-GB"/>
        </w:rPr>
        <w:t xml:space="preserve"> </w:t>
      </w:r>
      <w:r w:rsidR="007B12F8" w:rsidRPr="00B124DC">
        <w:rPr>
          <w:lang w:val="en-GB"/>
        </w:rPr>
        <w:t>determined by</w:t>
      </w:r>
      <w:r w:rsidR="001F6FE4" w:rsidRPr="00B124DC">
        <w:rPr>
          <w:lang w:val="en-GB"/>
        </w:rPr>
        <w:t xml:space="preserve"> the successive </w:t>
      </w:r>
      <w:r w:rsidR="004F561B" w:rsidRPr="00CF7507">
        <w:rPr>
          <w:i/>
          <w:lang w:val="en-GB"/>
        </w:rPr>
        <w:t>coups d</w:t>
      </w:r>
      <w:r w:rsidR="0006350D" w:rsidRPr="00CF7507">
        <w:rPr>
          <w:i/>
          <w:lang w:val="en-GB"/>
        </w:rPr>
        <w:t>’</w:t>
      </w:r>
      <w:r w:rsidR="001F6FE4" w:rsidRPr="00CF7507">
        <w:rPr>
          <w:i/>
          <w:lang w:val="en-GB"/>
        </w:rPr>
        <w:t>é</w:t>
      </w:r>
      <w:r w:rsidR="004F561B" w:rsidRPr="00CF7507">
        <w:rPr>
          <w:i/>
          <w:lang w:val="en-GB"/>
        </w:rPr>
        <w:t>tat</w:t>
      </w:r>
      <w:r w:rsidR="004F561B" w:rsidRPr="00B124DC">
        <w:rPr>
          <w:lang w:val="en-GB"/>
        </w:rPr>
        <w:t xml:space="preserve"> </w:t>
      </w:r>
      <w:r w:rsidR="001F6FE4" w:rsidRPr="00B124DC">
        <w:rPr>
          <w:lang w:val="en-GB"/>
        </w:rPr>
        <w:t xml:space="preserve">by the </w:t>
      </w:r>
      <w:r w:rsidR="00A80A3C" w:rsidRPr="00B124DC">
        <w:rPr>
          <w:lang w:val="en-GB"/>
        </w:rPr>
        <w:t xml:space="preserve">military </w:t>
      </w:r>
      <w:r w:rsidR="00932AF2">
        <w:rPr>
          <w:lang w:val="en-GB"/>
        </w:rPr>
        <w:t>in</w:t>
      </w:r>
      <w:r w:rsidR="0043110F">
        <w:rPr>
          <w:lang w:val="en-GB"/>
        </w:rPr>
        <w:t xml:space="preserve"> </w:t>
      </w:r>
      <w:r w:rsidR="004F561B" w:rsidRPr="00B124DC">
        <w:rPr>
          <w:lang w:val="en-GB"/>
        </w:rPr>
        <w:t xml:space="preserve">1960, 1971 </w:t>
      </w:r>
      <w:r w:rsidR="001F6FE4" w:rsidRPr="00B124DC">
        <w:rPr>
          <w:lang w:val="en-GB"/>
        </w:rPr>
        <w:t>and</w:t>
      </w:r>
      <w:r w:rsidR="004F561B" w:rsidRPr="00B124DC">
        <w:rPr>
          <w:lang w:val="en-GB"/>
        </w:rPr>
        <w:t xml:space="preserve"> 1980. </w:t>
      </w:r>
      <w:r w:rsidR="00DD6D10" w:rsidRPr="00B124DC">
        <w:rPr>
          <w:lang w:val="en-GB"/>
        </w:rPr>
        <w:t>Referring to the Court</w:t>
      </w:r>
      <w:r w:rsidR="0006350D">
        <w:rPr>
          <w:lang w:val="en-GB"/>
        </w:rPr>
        <w:t>’</w:t>
      </w:r>
      <w:r w:rsidR="00DD6D10" w:rsidRPr="00B124DC">
        <w:rPr>
          <w:lang w:val="en-GB"/>
        </w:rPr>
        <w:t>s case-law and the practice that had been adopted in a number of countries</w:t>
      </w:r>
      <w:r w:rsidR="00A95629" w:rsidRPr="00B124DC">
        <w:rPr>
          <w:lang w:val="en-GB"/>
        </w:rPr>
        <w:t xml:space="preserve"> in </w:t>
      </w:r>
      <w:smartTag w:uri="urn:schemas-microsoft-com:office:smarttags" w:element="place">
        <w:r w:rsidR="00A95629" w:rsidRPr="00B124DC">
          <w:rPr>
            <w:lang w:val="en-GB"/>
          </w:rPr>
          <w:t>Europe</w:t>
        </w:r>
      </w:smartTag>
      <w:r w:rsidR="00DD6D10" w:rsidRPr="00B124DC">
        <w:rPr>
          <w:lang w:val="en-GB"/>
        </w:rPr>
        <w:t>, the applicant f</w:t>
      </w:r>
      <w:r w:rsidR="00A95629" w:rsidRPr="00B124DC">
        <w:rPr>
          <w:lang w:val="en-GB"/>
        </w:rPr>
        <w:t>ur</w:t>
      </w:r>
      <w:r w:rsidR="00DD6D10" w:rsidRPr="00B124DC">
        <w:rPr>
          <w:lang w:val="en-GB"/>
        </w:rPr>
        <w:t xml:space="preserve">ther submitted that the Contracting States should not be </w:t>
      </w:r>
      <w:r w:rsidR="00D454A0" w:rsidRPr="00B124DC">
        <w:rPr>
          <w:lang w:val="en-GB"/>
        </w:rPr>
        <w:t>given</w:t>
      </w:r>
      <w:r w:rsidR="00DD6D10" w:rsidRPr="00B124DC">
        <w:rPr>
          <w:lang w:val="en-GB"/>
        </w:rPr>
        <w:t xml:space="preserve"> a wide margin of appreciation to </w:t>
      </w:r>
      <w:r w:rsidR="00A70EDF" w:rsidRPr="00B124DC">
        <w:rPr>
          <w:lang w:val="en-GB"/>
        </w:rPr>
        <w:t>regulate</w:t>
      </w:r>
      <w:r w:rsidR="00DD6D10" w:rsidRPr="00B124DC">
        <w:rPr>
          <w:lang w:val="en-GB"/>
        </w:rPr>
        <w:t xml:space="preserve"> students</w:t>
      </w:r>
      <w:r w:rsidR="0006350D">
        <w:rPr>
          <w:lang w:val="en-GB"/>
        </w:rPr>
        <w:t>’</w:t>
      </w:r>
      <w:r w:rsidR="00DD6D10" w:rsidRPr="00B124DC">
        <w:rPr>
          <w:lang w:val="en-GB"/>
        </w:rPr>
        <w:t xml:space="preserve"> dress. </w:t>
      </w:r>
      <w:r w:rsidR="00844A2D" w:rsidRPr="00B124DC">
        <w:rPr>
          <w:lang w:val="en-GB"/>
        </w:rPr>
        <w:t xml:space="preserve">She explained that no </w:t>
      </w:r>
      <w:smartTag w:uri="urn:schemas-microsoft-com:office:smarttags" w:element="place">
        <w:smartTag w:uri="urn:schemas-microsoft-com:office:smarttags" w:element="PlaceName">
          <w:r w:rsidR="00844A2D" w:rsidRPr="00B124DC">
            <w:rPr>
              <w:lang w:val="en-GB"/>
            </w:rPr>
            <w:t>European</w:t>
          </w:r>
        </w:smartTag>
        <w:r w:rsidR="00844A2D" w:rsidRPr="00B124DC">
          <w:rPr>
            <w:lang w:val="en-GB"/>
          </w:rPr>
          <w:t xml:space="preserve"> </w:t>
        </w:r>
        <w:smartTag w:uri="urn:schemas-microsoft-com:office:smarttags" w:element="PlaceType">
          <w:r w:rsidR="00740AFD" w:rsidRPr="00B124DC">
            <w:rPr>
              <w:lang w:val="en-GB"/>
            </w:rPr>
            <w:t>State</w:t>
          </w:r>
        </w:smartTag>
      </w:smartTag>
      <w:r w:rsidR="00844A2D" w:rsidRPr="00B124DC">
        <w:rPr>
          <w:lang w:val="en-GB"/>
        </w:rPr>
        <w:t xml:space="preserve"> prohibited students from wearing the Islamic headscarf at university</w:t>
      </w:r>
      <w:r w:rsidR="00740AFD" w:rsidRPr="00B124DC">
        <w:rPr>
          <w:lang w:val="en-GB"/>
        </w:rPr>
        <w:t xml:space="preserve"> and</w:t>
      </w:r>
      <w:r w:rsidR="00844A2D" w:rsidRPr="00B124DC">
        <w:rPr>
          <w:lang w:val="en-GB"/>
        </w:rPr>
        <w:t xml:space="preserve"> added that there had been no sign of tension in </w:t>
      </w:r>
      <w:r w:rsidR="00740AFD" w:rsidRPr="00B124DC">
        <w:rPr>
          <w:lang w:val="en-GB"/>
        </w:rPr>
        <w:t>institutions of</w:t>
      </w:r>
      <w:r w:rsidR="00844A2D" w:rsidRPr="00B124DC">
        <w:rPr>
          <w:lang w:val="en-GB"/>
        </w:rPr>
        <w:t xml:space="preserve"> higher education that would have justified such a radical measure.</w:t>
      </w:r>
    </w:p>
    <w:p w:rsidR="004F561B" w:rsidRPr="00B124DC" w:rsidRDefault="004F561B"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101</w:t>
      </w:r>
      <w:r w:rsidRPr="00B124DC">
        <w:rPr>
          <w:lang w:val="en-GB"/>
        </w:rPr>
        <w:fldChar w:fldCharType="end"/>
      </w:r>
      <w:r w:rsidRPr="00B124DC">
        <w:rPr>
          <w:lang w:val="en-GB"/>
        </w:rPr>
        <w:t>.  </w:t>
      </w:r>
      <w:r w:rsidR="00DE671F" w:rsidRPr="00B124DC">
        <w:rPr>
          <w:lang w:val="en-GB"/>
        </w:rPr>
        <w:t xml:space="preserve">The applicant further explained in her aforementioned observations that students were discerning adults </w:t>
      </w:r>
      <w:r w:rsidR="00676112" w:rsidRPr="00B124DC">
        <w:rPr>
          <w:lang w:val="en-GB"/>
        </w:rPr>
        <w:t>who enjoyed</w:t>
      </w:r>
      <w:r w:rsidR="00DE671F" w:rsidRPr="00B124DC">
        <w:rPr>
          <w:lang w:val="en-GB"/>
        </w:rPr>
        <w:t xml:space="preserve"> </w:t>
      </w:r>
      <w:r w:rsidR="00676112" w:rsidRPr="00B124DC">
        <w:rPr>
          <w:lang w:val="en-GB"/>
        </w:rPr>
        <w:t xml:space="preserve">full </w:t>
      </w:r>
      <w:r w:rsidR="00DE671F" w:rsidRPr="00B124DC">
        <w:rPr>
          <w:lang w:val="en-GB"/>
        </w:rPr>
        <w:t xml:space="preserve">legal capacity and </w:t>
      </w:r>
      <w:r w:rsidR="00676112" w:rsidRPr="00B124DC">
        <w:rPr>
          <w:lang w:val="en-GB"/>
        </w:rPr>
        <w:t xml:space="preserve">were capable of </w:t>
      </w:r>
      <w:r w:rsidR="00536A08" w:rsidRPr="00B124DC">
        <w:rPr>
          <w:lang w:val="en-GB"/>
        </w:rPr>
        <w:t>deciding for themselves</w:t>
      </w:r>
      <w:r w:rsidR="00676112" w:rsidRPr="00B124DC">
        <w:rPr>
          <w:lang w:val="en-GB"/>
        </w:rPr>
        <w:t xml:space="preserve"> what</w:t>
      </w:r>
      <w:r w:rsidR="00DE671F" w:rsidRPr="00B124DC">
        <w:rPr>
          <w:lang w:val="en-GB"/>
        </w:rPr>
        <w:t xml:space="preserve"> </w:t>
      </w:r>
      <w:r w:rsidR="00536A08" w:rsidRPr="00B124DC">
        <w:rPr>
          <w:lang w:val="en-GB"/>
        </w:rPr>
        <w:t>was</w:t>
      </w:r>
      <w:r w:rsidR="007579CF" w:rsidRPr="00B124DC">
        <w:rPr>
          <w:lang w:val="en-GB"/>
        </w:rPr>
        <w:t xml:space="preserve"> appropriate </w:t>
      </w:r>
      <w:r w:rsidR="00676112" w:rsidRPr="00B124DC">
        <w:rPr>
          <w:lang w:val="en-GB"/>
        </w:rPr>
        <w:t>conduct</w:t>
      </w:r>
      <w:r w:rsidR="00DE671F" w:rsidRPr="00B124DC">
        <w:rPr>
          <w:lang w:val="en-GB"/>
        </w:rPr>
        <w:t xml:space="preserve">. Consequently, the allegation that, by wearing the Islamic headscarf, </w:t>
      </w:r>
      <w:r w:rsidR="001E0A55" w:rsidRPr="00B124DC">
        <w:rPr>
          <w:lang w:val="en-GB"/>
        </w:rPr>
        <w:t>she had</w:t>
      </w:r>
      <w:r w:rsidR="00DE671F" w:rsidRPr="00B124DC">
        <w:rPr>
          <w:lang w:val="en-GB"/>
        </w:rPr>
        <w:t xml:space="preserve"> </w:t>
      </w:r>
      <w:r w:rsidR="006F22DB" w:rsidRPr="00B124DC">
        <w:rPr>
          <w:lang w:val="en-GB"/>
        </w:rPr>
        <w:t>show</w:t>
      </w:r>
      <w:r w:rsidR="001E0A55" w:rsidRPr="00B124DC">
        <w:rPr>
          <w:lang w:val="en-GB"/>
        </w:rPr>
        <w:t>n</w:t>
      </w:r>
      <w:r w:rsidR="00DE671F" w:rsidRPr="00B124DC">
        <w:rPr>
          <w:lang w:val="en-GB"/>
        </w:rPr>
        <w:t xml:space="preserve"> a lack of respect for the convictions of others or </w:t>
      </w:r>
      <w:r w:rsidR="001E0A55" w:rsidRPr="00B124DC">
        <w:rPr>
          <w:lang w:val="en-GB"/>
        </w:rPr>
        <w:t>sought</w:t>
      </w:r>
      <w:r w:rsidR="00DE671F" w:rsidRPr="00B124DC">
        <w:rPr>
          <w:lang w:val="en-GB"/>
        </w:rPr>
        <w:t xml:space="preserve"> to influence </w:t>
      </w:r>
      <w:r w:rsidR="001E0A55" w:rsidRPr="00B124DC">
        <w:rPr>
          <w:lang w:val="en-GB"/>
        </w:rPr>
        <w:t>fellow students</w:t>
      </w:r>
      <w:r w:rsidR="00DE671F" w:rsidRPr="00B124DC">
        <w:rPr>
          <w:lang w:val="en-GB"/>
        </w:rPr>
        <w:t xml:space="preserve"> and </w:t>
      </w:r>
      <w:r w:rsidR="001E0A55" w:rsidRPr="00B124DC">
        <w:rPr>
          <w:lang w:val="en-GB"/>
        </w:rPr>
        <w:t xml:space="preserve">to </w:t>
      </w:r>
      <w:r w:rsidR="00DE671F" w:rsidRPr="00B124DC">
        <w:rPr>
          <w:lang w:val="en-GB"/>
        </w:rPr>
        <w:t xml:space="preserve">undermine their rights and freedoms was wholly unfounded. </w:t>
      </w:r>
      <w:r w:rsidR="00B3345A" w:rsidRPr="00B124DC">
        <w:rPr>
          <w:lang w:val="en-GB"/>
        </w:rPr>
        <w:t xml:space="preserve">Nor had she </w:t>
      </w:r>
      <w:r w:rsidR="00E84E70" w:rsidRPr="00B124DC">
        <w:rPr>
          <w:lang w:val="en-GB"/>
        </w:rPr>
        <w:t>created an</w:t>
      </w:r>
      <w:r w:rsidR="004829D0" w:rsidRPr="00B124DC">
        <w:rPr>
          <w:lang w:val="en-GB"/>
        </w:rPr>
        <w:t xml:space="preserve"> external</w:t>
      </w:r>
      <w:r w:rsidR="00E84E70" w:rsidRPr="00B124DC">
        <w:rPr>
          <w:lang w:val="en-GB"/>
        </w:rPr>
        <w:t xml:space="preserve"> </w:t>
      </w:r>
      <w:r w:rsidR="004829D0" w:rsidRPr="00B124DC">
        <w:rPr>
          <w:lang w:val="en-GB"/>
        </w:rPr>
        <w:t xml:space="preserve">restriction on any </w:t>
      </w:r>
      <w:r w:rsidR="002D5AD2" w:rsidRPr="00B124DC">
        <w:rPr>
          <w:lang w:val="en-GB"/>
        </w:rPr>
        <w:t>freedom with the su</w:t>
      </w:r>
      <w:r w:rsidR="004829D0" w:rsidRPr="00B124DC">
        <w:rPr>
          <w:lang w:val="en-GB"/>
        </w:rPr>
        <w:t>pport or authority of the State</w:t>
      </w:r>
      <w:r w:rsidRPr="00B124DC">
        <w:rPr>
          <w:lang w:val="en-GB"/>
        </w:rPr>
        <w:t xml:space="preserve">. </w:t>
      </w:r>
      <w:r w:rsidR="001659F6" w:rsidRPr="00B124DC">
        <w:rPr>
          <w:lang w:val="en-GB"/>
        </w:rPr>
        <w:t xml:space="preserve">Her choice </w:t>
      </w:r>
      <w:r w:rsidR="004829D0" w:rsidRPr="00B124DC">
        <w:rPr>
          <w:lang w:val="en-GB"/>
        </w:rPr>
        <w:t>had been</w:t>
      </w:r>
      <w:r w:rsidR="001659F6" w:rsidRPr="00B124DC">
        <w:rPr>
          <w:lang w:val="en-GB"/>
        </w:rPr>
        <w:t xml:space="preserve"> </w:t>
      </w:r>
      <w:r w:rsidR="00DB387B" w:rsidRPr="00B124DC">
        <w:rPr>
          <w:lang w:val="en-GB"/>
        </w:rPr>
        <w:t>based</w:t>
      </w:r>
      <w:r w:rsidR="001659F6" w:rsidRPr="00B124DC">
        <w:rPr>
          <w:lang w:val="en-GB"/>
        </w:rPr>
        <w:t xml:space="preserve"> on religious conviction, which was the most important fundamental right </w:t>
      </w:r>
      <w:r w:rsidR="004829D0" w:rsidRPr="00B124DC">
        <w:rPr>
          <w:lang w:val="en-GB"/>
        </w:rPr>
        <w:t xml:space="preserve">that </w:t>
      </w:r>
      <w:r w:rsidR="00DB387B" w:rsidRPr="00B124DC">
        <w:rPr>
          <w:lang w:val="en-GB"/>
        </w:rPr>
        <w:t xml:space="preserve">pluralistic, liberal democracy </w:t>
      </w:r>
      <w:r w:rsidR="004829D0" w:rsidRPr="00B124DC">
        <w:rPr>
          <w:lang w:val="en-GB"/>
        </w:rPr>
        <w:t xml:space="preserve">had </w:t>
      </w:r>
      <w:r w:rsidR="00DB387B" w:rsidRPr="00B124DC">
        <w:rPr>
          <w:lang w:val="en-GB"/>
        </w:rPr>
        <w:t>granted her</w:t>
      </w:r>
      <w:r w:rsidRPr="00B124DC">
        <w:rPr>
          <w:lang w:val="en-GB"/>
        </w:rPr>
        <w:t xml:space="preserve">. </w:t>
      </w:r>
      <w:r w:rsidR="008239A5" w:rsidRPr="00B124DC">
        <w:rPr>
          <w:lang w:val="en-GB"/>
        </w:rPr>
        <w:t xml:space="preserve">It was, to her mind, indisputable that people were free to </w:t>
      </w:r>
      <w:r w:rsidR="00E701BA" w:rsidRPr="00B124DC">
        <w:rPr>
          <w:lang w:val="en-GB"/>
        </w:rPr>
        <w:t>subject</w:t>
      </w:r>
      <w:r w:rsidR="008239A5" w:rsidRPr="00B124DC">
        <w:rPr>
          <w:lang w:val="en-GB"/>
        </w:rPr>
        <w:t xml:space="preserve"> </w:t>
      </w:r>
      <w:r w:rsidR="00E701BA" w:rsidRPr="00B124DC">
        <w:rPr>
          <w:lang w:val="en-GB"/>
        </w:rPr>
        <w:t xml:space="preserve">themselves to </w:t>
      </w:r>
      <w:r w:rsidR="008239A5" w:rsidRPr="00B124DC">
        <w:rPr>
          <w:lang w:val="en-GB"/>
        </w:rPr>
        <w:t xml:space="preserve">restrictions if they considered </w:t>
      </w:r>
      <w:r w:rsidR="00E701BA" w:rsidRPr="00B124DC">
        <w:rPr>
          <w:lang w:val="en-GB"/>
        </w:rPr>
        <w:t>it</w:t>
      </w:r>
      <w:r w:rsidR="008239A5" w:rsidRPr="00B124DC">
        <w:rPr>
          <w:lang w:val="en-GB"/>
        </w:rPr>
        <w:t xml:space="preserve"> appropriate</w:t>
      </w:r>
      <w:r w:rsidRPr="00B124DC">
        <w:rPr>
          <w:lang w:val="en-GB"/>
        </w:rPr>
        <w:t xml:space="preserve">. </w:t>
      </w:r>
      <w:r w:rsidR="00272325" w:rsidRPr="00B124DC">
        <w:rPr>
          <w:lang w:val="en-GB"/>
        </w:rPr>
        <w:t xml:space="preserve">It was also unjust to </w:t>
      </w:r>
      <w:r w:rsidR="004829D0" w:rsidRPr="00B124DC">
        <w:rPr>
          <w:lang w:val="en-GB"/>
        </w:rPr>
        <w:t>say that</w:t>
      </w:r>
      <w:r w:rsidR="00272325" w:rsidRPr="00B124DC">
        <w:rPr>
          <w:lang w:val="en-GB"/>
        </w:rPr>
        <w:t xml:space="preserve"> </w:t>
      </w:r>
      <w:r w:rsidR="004829D0" w:rsidRPr="00B124DC">
        <w:rPr>
          <w:lang w:val="en-GB"/>
        </w:rPr>
        <w:t xml:space="preserve">merely </w:t>
      </w:r>
      <w:r w:rsidR="00272325" w:rsidRPr="00B124DC">
        <w:rPr>
          <w:lang w:val="en-GB"/>
        </w:rPr>
        <w:t xml:space="preserve">wearing the Islamic headscarf </w:t>
      </w:r>
      <w:r w:rsidR="004829D0" w:rsidRPr="00B124DC">
        <w:rPr>
          <w:lang w:val="en-GB"/>
        </w:rPr>
        <w:t>w</w:t>
      </w:r>
      <w:r w:rsidR="00272325" w:rsidRPr="00B124DC">
        <w:rPr>
          <w:lang w:val="en-GB"/>
        </w:rPr>
        <w:t>as contrary to the principle of equality between men and women, as all religions impose</w:t>
      </w:r>
      <w:r w:rsidR="004829D0" w:rsidRPr="00B124DC">
        <w:rPr>
          <w:lang w:val="en-GB"/>
        </w:rPr>
        <w:t>d</w:t>
      </w:r>
      <w:r w:rsidR="00272325" w:rsidRPr="00B124DC">
        <w:rPr>
          <w:lang w:val="en-GB"/>
        </w:rPr>
        <w:t xml:space="preserve"> such restrictions on dress </w:t>
      </w:r>
      <w:r w:rsidR="00E701BA" w:rsidRPr="00B124DC">
        <w:rPr>
          <w:lang w:val="en-GB"/>
        </w:rPr>
        <w:t>which</w:t>
      </w:r>
      <w:r w:rsidR="00272325" w:rsidRPr="00B124DC">
        <w:rPr>
          <w:lang w:val="en-GB"/>
        </w:rPr>
        <w:t xml:space="preserve"> </w:t>
      </w:r>
      <w:r w:rsidR="007645C7" w:rsidRPr="00B124DC">
        <w:rPr>
          <w:lang w:val="en-GB"/>
        </w:rPr>
        <w:t>people</w:t>
      </w:r>
      <w:r w:rsidR="00272325" w:rsidRPr="00B124DC">
        <w:rPr>
          <w:lang w:val="en-GB"/>
        </w:rPr>
        <w:t xml:space="preserve"> </w:t>
      </w:r>
      <w:r w:rsidR="004829D0" w:rsidRPr="00B124DC">
        <w:rPr>
          <w:lang w:val="en-GB"/>
        </w:rPr>
        <w:t>we</w:t>
      </w:r>
      <w:r w:rsidR="00272325" w:rsidRPr="00B124DC">
        <w:rPr>
          <w:lang w:val="en-GB"/>
        </w:rPr>
        <w:t xml:space="preserve">re free to </w:t>
      </w:r>
      <w:r w:rsidR="004829D0" w:rsidRPr="00B124DC">
        <w:rPr>
          <w:lang w:val="en-GB"/>
        </w:rPr>
        <w:t xml:space="preserve">choose whether or not to </w:t>
      </w:r>
      <w:r w:rsidR="00272325" w:rsidRPr="00B124DC">
        <w:rPr>
          <w:lang w:val="en-GB"/>
        </w:rPr>
        <w:t>comply with</w:t>
      </w:r>
      <w:r w:rsidRPr="00B124DC">
        <w:rPr>
          <w:lang w:val="en-GB"/>
        </w:rPr>
        <w:t>.</w:t>
      </w:r>
    </w:p>
    <w:p w:rsidR="0098730A" w:rsidRPr="00B124DC" w:rsidRDefault="004F561B"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102</w:t>
      </w:r>
      <w:r w:rsidRPr="00B124DC">
        <w:rPr>
          <w:lang w:val="en-GB"/>
        </w:rPr>
        <w:fldChar w:fldCharType="end"/>
      </w:r>
      <w:r w:rsidRPr="00B124DC">
        <w:rPr>
          <w:lang w:val="en-GB"/>
        </w:rPr>
        <w:t>.  </w:t>
      </w:r>
      <w:r w:rsidR="00462E70" w:rsidRPr="00B124DC">
        <w:rPr>
          <w:lang w:val="en-GB"/>
        </w:rPr>
        <w:t>Conversely, in her observations of</w:t>
      </w:r>
      <w:r w:rsidRPr="00B124DC">
        <w:rPr>
          <w:lang w:val="en-GB"/>
        </w:rPr>
        <w:t xml:space="preserve"> </w:t>
      </w:r>
      <w:smartTag w:uri="urn:schemas-microsoft-com:office:smarttags" w:element="date">
        <w:smartTagPr>
          <w:attr w:name="Month" w:val="1"/>
          <w:attr w:name="Day" w:val="27"/>
          <w:attr w:name="Year" w:val="2005"/>
        </w:smartTagPr>
        <w:r w:rsidRPr="00B124DC">
          <w:rPr>
            <w:lang w:val="en-GB"/>
          </w:rPr>
          <w:t xml:space="preserve">27 </w:t>
        </w:r>
        <w:r w:rsidR="00800ADE" w:rsidRPr="00B124DC">
          <w:rPr>
            <w:lang w:val="en-GB"/>
          </w:rPr>
          <w:t>January</w:t>
        </w:r>
        <w:r w:rsidRPr="00B124DC">
          <w:rPr>
            <w:lang w:val="en-GB"/>
          </w:rPr>
          <w:t xml:space="preserve"> 2005</w:t>
        </w:r>
      </w:smartTag>
      <w:r w:rsidRPr="00B124DC">
        <w:rPr>
          <w:lang w:val="en-GB"/>
        </w:rPr>
        <w:t xml:space="preserve">, </w:t>
      </w:r>
      <w:r w:rsidR="00462E70" w:rsidRPr="00B124DC">
        <w:rPr>
          <w:lang w:val="en-GB"/>
        </w:rPr>
        <w:t xml:space="preserve">the applicant said that she </w:t>
      </w:r>
      <w:r w:rsidR="004829D0" w:rsidRPr="00B124DC">
        <w:rPr>
          <w:lang w:val="en-GB"/>
        </w:rPr>
        <w:t>was able to</w:t>
      </w:r>
      <w:r w:rsidR="00462E70" w:rsidRPr="00B124DC">
        <w:rPr>
          <w:lang w:val="en-GB"/>
        </w:rPr>
        <w:t xml:space="preserve"> accept that wearing the Islamic headscarf </w:t>
      </w:r>
      <w:r w:rsidR="00440D6A" w:rsidRPr="00B124DC">
        <w:rPr>
          <w:lang w:val="en-GB"/>
        </w:rPr>
        <w:t>would</w:t>
      </w:r>
      <w:r w:rsidR="00462E70" w:rsidRPr="00B124DC">
        <w:rPr>
          <w:lang w:val="en-GB"/>
        </w:rPr>
        <w:t xml:space="preserve"> not always </w:t>
      </w:r>
      <w:r w:rsidR="00440D6A" w:rsidRPr="00B124DC">
        <w:rPr>
          <w:lang w:val="en-GB"/>
        </w:rPr>
        <w:t xml:space="preserve">be </w:t>
      </w:r>
      <w:r w:rsidR="00462E70" w:rsidRPr="00B124DC">
        <w:rPr>
          <w:lang w:val="en-GB"/>
        </w:rPr>
        <w:t xml:space="preserve">protected by freedom of religion </w:t>
      </w:r>
      <w:r w:rsidRPr="00B124DC">
        <w:rPr>
          <w:lang w:val="en-GB"/>
        </w:rPr>
        <w:t>(</w:t>
      </w:r>
      <w:r w:rsidR="00462E70" w:rsidRPr="00B124DC">
        <w:rPr>
          <w:lang w:val="en-GB"/>
        </w:rPr>
        <w:t xml:space="preserve">see </w:t>
      </w:r>
      <w:r w:rsidRPr="00B124DC">
        <w:rPr>
          <w:lang w:val="en-GB"/>
        </w:rPr>
        <w:t>paragraph</w:t>
      </w:r>
      <w:r w:rsidR="00462E70" w:rsidRPr="00B124DC">
        <w:rPr>
          <w:lang w:val="en-GB"/>
        </w:rPr>
        <w:t xml:space="preserve"> </w:t>
      </w:r>
      <w:r w:rsidRPr="00B124DC">
        <w:rPr>
          <w:lang w:val="en-GB"/>
        </w:rPr>
        <w:t xml:space="preserve">73 </w:t>
      </w:r>
      <w:r w:rsidR="00462E70" w:rsidRPr="00B124DC">
        <w:rPr>
          <w:lang w:val="en-GB"/>
        </w:rPr>
        <w:t>above</w:t>
      </w:r>
      <w:r w:rsidRPr="00B124DC">
        <w:rPr>
          <w:lang w:val="en-GB"/>
        </w:rPr>
        <w:t>).</w:t>
      </w:r>
    </w:p>
    <w:p w:rsidR="004F561B" w:rsidRPr="00B124DC" w:rsidRDefault="00462E70" w:rsidP="00932AF2">
      <w:pPr>
        <w:pStyle w:val="JuHi"/>
        <w:keepNext/>
        <w:rPr>
          <w:lang w:val="en-GB"/>
        </w:rPr>
      </w:pPr>
      <w:r w:rsidRPr="00B124DC">
        <w:rPr>
          <w:lang w:val="en-GB"/>
        </w:rPr>
        <w:t>(</w:t>
      </w:r>
      <w:r w:rsidR="004F561B" w:rsidRPr="00B124DC">
        <w:rPr>
          <w:lang w:val="en-GB"/>
        </w:rPr>
        <w:t>ii</w:t>
      </w:r>
      <w:r w:rsidRPr="00B124DC">
        <w:rPr>
          <w:lang w:val="en-GB"/>
        </w:rPr>
        <w:t>)</w:t>
      </w:r>
      <w:r w:rsidR="004F561B" w:rsidRPr="00B124DC">
        <w:rPr>
          <w:lang w:val="en-GB"/>
        </w:rPr>
        <w:t>  </w:t>
      </w:r>
      <w:r w:rsidRPr="00B124DC">
        <w:rPr>
          <w:lang w:val="en-GB"/>
        </w:rPr>
        <w:t xml:space="preserve">The </w:t>
      </w:r>
      <w:r w:rsidR="004F561B" w:rsidRPr="00B124DC">
        <w:rPr>
          <w:lang w:val="en-GB"/>
        </w:rPr>
        <w:t>Government</w:t>
      </w:r>
    </w:p>
    <w:p w:rsidR="004F561B" w:rsidRPr="00B124DC" w:rsidRDefault="004F561B"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103</w:t>
      </w:r>
      <w:r w:rsidRPr="00B124DC">
        <w:rPr>
          <w:lang w:val="en-GB"/>
        </w:rPr>
        <w:fldChar w:fldCharType="end"/>
      </w:r>
      <w:r w:rsidRPr="00B124DC">
        <w:rPr>
          <w:lang w:val="en-GB"/>
        </w:rPr>
        <w:t>.  </w:t>
      </w:r>
      <w:r w:rsidR="00CE5517" w:rsidRPr="00B124DC">
        <w:rPr>
          <w:lang w:val="en-GB"/>
        </w:rPr>
        <w:t>The Government agreed with the Chamber</w:t>
      </w:r>
      <w:r w:rsidR="0006350D">
        <w:rPr>
          <w:lang w:val="en-GB"/>
        </w:rPr>
        <w:t>’</w:t>
      </w:r>
      <w:r w:rsidR="00CE5517" w:rsidRPr="00B124DC">
        <w:rPr>
          <w:lang w:val="en-GB"/>
        </w:rPr>
        <w:t>s findings (see paragraph</w:t>
      </w:r>
      <w:r w:rsidR="00932AF2">
        <w:rPr>
          <w:lang w:val="en-GB"/>
        </w:rPr>
        <w:t> </w:t>
      </w:r>
      <w:r w:rsidR="00CE5517" w:rsidRPr="00B124DC">
        <w:rPr>
          <w:lang w:val="en-GB"/>
        </w:rPr>
        <w:t>71 above)</w:t>
      </w:r>
      <w:r w:rsidRPr="00B124DC">
        <w:rPr>
          <w:lang w:val="en-GB"/>
        </w:rPr>
        <w:t>.</w:t>
      </w:r>
    </w:p>
    <w:p w:rsidR="0017616B" w:rsidRPr="00B124DC" w:rsidRDefault="004F561B" w:rsidP="004F561B">
      <w:pPr>
        <w:pStyle w:val="JuHa0"/>
        <w:keepNext/>
        <w:keepLines/>
        <w:tabs>
          <w:tab w:val="clear" w:pos="357"/>
          <w:tab w:val="clear" w:pos="907"/>
          <w:tab w:val="left" w:pos="975"/>
        </w:tabs>
        <w:ind w:left="975" w:hanging="340"/>
        <w:rPr>
          <w:lang w:val="en-GB"/>
        </w:rPr>
      </w:pPr>
      <w:r w:rsidRPr="00B124DC">
        <w:rPr>
          <w:lang w:val="en-GB"/>
        </w:rPr>
        <w:t>(b)</w:t>
      </w:r>
      <w:r w:rsidR="0017616B" w:rsidRPr="00B124DC">
        <w:rPr>
          <w:lang w:val="en-GB"/>
        </w:rPr>
        <w:t>  The Court</w:t>
      </w:r>
      <w:r w:rsidR="0006350D">
        <w:rPr>
          <w:lang w:val="en-GB"/>
        </w:rPr>
        <w:t>’</w:t>
      </w:r>
      <w:r w:rsidR="0017616B" w:rsidRPr="00B124DC">
        <w:rPr>
          <w:lang w:val="en-GB"/>
        </w:rPr>
        <w:t>s assessment</w:t>
      </w:r>
    </w:p>
    <w:p w:rsidR="0017616B" w:rsidRPr="00B124DC" w:rsidRDefault="004F561B" w:rsidP="00932AF2">
      <w:pPr>
        <w:pStyle w:val="JuHi"/>
        <w:keepNext/>
        <w:rPr>
          <w:lang w:val="en-GB"/>
        </w:rPr>
      </w:pPr>
      <w:r w:rsidRPr="00B124DC">
        <w:rPr>
          <w:lang w:val="en-GB"/>
        </w:rPr>
        <w:t>(i</w:t>
      </w:r>
      <w:r w:rsidR="0017616B" w:rsidRPr="00B124DC">
        <w:rPr>
          <w:lang w:val="en-GB"/>
        </w:rPr>
        <w:t>)  </w:t>
      </w:r>
      <w:r w:rsidR="00F019B9" w:rsidRPr="00B124DC">
        <w:rPr>
          <w:lang w:val="en-GB"/>
        </w:rPr>
        <w:t>General</w:t>
      </w:r>
      <w:r w:rsidR="0017616B" w:rsidRPr="00B124DC">
        <w:rPr>
          <w:lang w:val="en-GB"/>
        </w:rPr>
        <w:t xml:space="preserve"> principles</w:t>
      </w:r>
    </w:p>
    <w:p w:rsidR="0098730A" w:rsidRPr="00B124DC" w:rsidRDefault="004F561B" w:rsidP="004F561B">
      <w:pPr>
        <w:pStyle w:val="JuParaCharCharCharCharCharCharChar"/>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104</w:t>
      </w:r>
      <w:r w:rsidRPr="00B124DC">
        <w:rPr>
          <w:lang w:val="en-GB"/>
        </w:rPr>
        <w:fldChar w:fldCharType="end"/>
      </w:r>
      <w:r w:rsidRPr="00B124DC">
        <w:rPr>
          <w:lang w:val="en-GB"/>
        </w:rPr>
        <w:t>.  The Court reiterates that</w:t>
      </w:r>
      <w:r w:rsidR="00CF7507">
        <w:rPr>
          <w:lang w:val="en-GB"/>
        </w:rPr>
        <w:t>,</w:t>
      </w:r>
      <w:r w:rsidRPr="00B124DC">
        <w:rPr>
          <w:lang w:val="en-GB"/>
        </w:rPr>
        <w:t xml:space="preserve"> as enshrined in Article 9, freedom of thought, conscience and religion is one of the foundations of a “democratic society” within the meaning of the Convention. This freedom is, in its religious dimension, one of the most vital elements that go to make up the identity of believers and their conception of life, but it is also a precious asset for atheists, agnostics, sceptics and the unconcerned. The pluralism indissociable from a democratic society, which has been dearly won over the centuries, depends on it. That freedom entails, </w:t>
      </w:r>
      <w:r w:rsidRPr="00B124DC">
        <w:rPr>
          <w:i/>
          <w:lang w:val="en-GB"/>
        </w:rPr>
        <w:t>inter alia</w:t>
      </w:r>
      <w:r w:rsidRPr="00B124DC">
        <w:rPr>
          <w:lang w:val="en-GB"/>
        </w:rPr>
        <w:t xml:space="preserve">, freedom to hold or not to hold religious beliefs and to practise or not to practise a religion (see, among other authorities, </w:t>
      </w:r>
      <w:r w:rsidRPr="00B124DC">
        <w:rPr>
          <w:i/>
          <w:iCs/>
          <w:lang w:val="en-GB"/>
        </w:rPr>
        <w:t>Kokkinakis v. Greece</w:t>
      </w:r>
      <w:r w:rsidRPr="00B124DC">
        <w:rPr>
          <w:iCs/>
          <w:lang w:val="en-GB"/>
        </w:rPr>
        <w:t>,</w:t>
      </w:r>
      <w:r w:rsidRPr="00B124DC">
        <w:rPr>
          <w:lang w:val="en-GB"/>
        </w:rPr>
        <w:t xml:space="preserve"> </w:t>
      </w:r>
      <w:r w:rsidR="00CF7507">
        <w:rPr>
          <w:lang w:val="en-GB"/>
        </w:rPr>
        <w:t xml:space="preserve">judgment of </w:t>
      </w:r>
      <w:r w:rsidRPr="00B124DC">
        <w:rPr>
          <w:lang w:val="en-GB"/>
        </w:rPr>
        <w:t>25 May 1993, Series</w:t>
      </w:r>
      <w:r w:rsidR="00CF7507">
        <w:rPr>
          <w:lang w:val="en-GB"/>
        </w:rPr>
        <w:t xml:space="preserve"> </w:t>
      </w:r>
      <w:r w:rsidRPr="00B124DC">
        <w:rPr>
          <w:lang w:val="en-GB"/>
        </w:rPr>
        <w:t>A no. 260-A, p. 17, § 3</w:t>
      </w:r>
      <w:r w:rsidR="00CF7507">
        <w:rPr>
          <w:lang w:val="en-GB"/>
        </w:rPr>
        <w:t>1,</w:t>
      </w:r>
      <w:r w:rsidRPr="00B124DC">
        <w:rPr>
          <w:lang w:val="en-GB"/>
        </w:rPr>
        <w:t xml:space="preserve"> and </w:t>
      </w:r>
      <w:r w:rsidRPr="00B124DC">
        <w:rPr>
          <w:i/>
          <w:iCs/>
          <w:lang w:val="en-GB"/>
        </w:rPr>
        <w:t>Buscarini and Others v. San Marino</w:t>
      </w:r>
      <w:r w:rsidRPr="00B124DC">
        <w:rPr>
          <w:lang w:val="en-GB"/>
        </w:rPr>
        <w:t xml:space="preserve"> [GC], no. 24645/94, § 34, ECHR 1999-I).</w:t>
      </w:r>
    </w:p>
    <w:p w:rsidR="0098730A" w:rsidRPr="00B124DC" w:rsidRDefault="004F561B" w:rsidP="004F561B">
      <w:pPr>
        <w:pStyle w:val="JuParaCharCharCharCharCharCharChar"/>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105</w:t>
      </w:r>
      <w:r w:rsidRPr="00B124DC">
        <w:rPr>
          <w:lang w:val="en-GB"/>
        </w:rPr>
        <w:fldChar w:fldCharType="end"/>
      </w:r>
      <w:r w:rsidRPr="00B124DC">
        <w:rPr>
          <w:lang w:val="en-GB"/>
        </w:rPr>
        <w:t xml:space="preserve">.  While religious freedom is primarily a matter of individual conscience, it also implies, </w:t>
      </w:r>
      <w:r w:rsidRPr="00B124DC">
        <w:rPr>
          <w:i/>
          <w:lang w:val="en-GB"/>
        </w:rPr>
        <w:t>inter alia</w:t>
      </w:r>
      <w:r w:rsidRPr="00B124DC">
        <w:rPr>
          <w:lang w:val="en-GB"/>
        </w:rPr>
        <w:t>, freedom to manifest one</w:t>
      </w:r>
      <w:r w:rsidR="0006350D">
        <w:rPr>
          <w:lang w:val="en-GB"/>
        </w:rPr>
        <w:t>’</w:t>
      </w:r>
      <w:r w:rsidRPr="00B124DC">
        <w:rPr>
          <w:lang w:val="en-GB"/>
        </w:rPr>
        <w:t>s religion, alone and in private, or in community with others, in public and within the circle of those whose faith one shares. Article 9 lists the various forms which manifestation of one</w:t>
      </w:r>
      <w:r w:rsidR="0006350D">
        <w:rPr>
          <w:lang w:val="en-GB"/>
        </w:rPr>
        <w:t>’</w:t>
      </w:r>
      <w:r w:rsidRPr="00B124DC">
        <w:rPr>
          <w:lang w:val="en-GB"/>
        </w:rPr>
        <w:t xml:space="preserve">s religion or belief may take, namely worship, teaching, practice and observance (see, </w:t>
      </w:r>
      <w:r w:rsidRPr="00B124DC">
        <w:rPr>
          <w:i/>
          <w:iCs/>
          <w:lang w:val="en-GB"/>
        </w:rPr>
        <w:t>mutatis mutandis</w:t>
      </w:r>
      <w:r w:rsidRPr="00B124DC">
        <w:rPr>
          <w:lang w:val="en-GB"/>
        </w:rPr>
        <w:t xml:space="preserve">, </w:t>
      </w:r>
      <w:r w:rsidRPr="00B124DC">
        <w:rPr>
          <w:i/>
          <w:iCs/>
          <w:lang w:val="en-GB"/>
        </w:rPr>
        <w:t>Cha</w:t>
      </w:r>
      <w:r w:rsidR="0006350D">
        <w:rPr>
          <w:i/>
          <w:iCs/>
          <w:lang w:val="en-GB"/>
        </w:rPr>
        <w:t>’</w:t>
      </w:r>
      <w:r w:rsidRPr="00B124DC">
        <w:rPr>
          <w:i/>
          <w:iCs/>
          <w:lang w:val="en-GB"/>
        </w:rPr>
        <w:t>are Shalom Ve Tsedek v. France</w:t>
      </w:r>
      <w:r w:rsidRPr="00B124DC">
        <w:rPr>
          <w:lang w:val="en-GB"/>
        </w:rPr>
        <w:t xml:space="preserve"> [GC], no. 27417/95, § 73, ECHR 2000-VII).</w:t>
      </w:r>
    </w:p>
    <w:p w:rsidR="0098730A" w:rsidRPr="00B124DC" w:rsidRDefault="004F561B" w:rsidP="004F561B">
      <w:pPr>
        <w:pStyle w:val="JuParaCharCharCharCharCharCharChar"/>
        <w:rPr>
          <w:lang w:val="en-GB"/>
        </w:rPr>
      </w:pPr>
      <w:r w:rsidRPr="00B124DC">
        <w:rPr>
          <w:lang w:val="en-GB"/>
        </w:rPr>
        <w:t xml:space="preserve">Article 9 does not protect every act motivated or inspired by a religion or belief (see, among many other authorities, </w:t>
      </w:r>
      <w:r w:rsidRPr="00B124DC">
        <w:rPr>
          <w:i/>
          <w:lang w:val="en-GB"/>
        </w:rPr>
        <w:t>Kalaç v. Turkey</w:t>
      </w:r>
      <w:r w:rsidRPr="00B124DC">
        <w:rPr>
          <w:lang w:val="en-GB"/>
        </w:rPr>
        <w:t>, judgment of 1</w:t>
      </w:r>
      <w:r w:rsidR="00970763" w:rsidRPr="00B124DC">
        <w:rPr>
          <w:lang w:val="en-GB"/>
        </w:rPr>
        <w:t> </w:t>
      </w:r>
      <w:r w:rsidRPr="00B124DC">
        <w:rPr>
          <w:lang w:val="en-GB"/>
        </w:rPr>
        <w:t xml:space="preserve">July 1997, </w:t>
      </w:r>
      <w:r w:rsidRPr="00B124DC">
        <w:rPr>
          <w:i/>
          <w:lang w:val="en-GB"/>
        </w:rPr>
        <w:t>Reports of Judgments and Decisions</w:t>
      </w:r>
      <w:r w:rsidR="00932AF2">
        <w:rPr>
          <w:lang w:val="en-GB"/>
        </w:rPr>
        <w:t xml:space="preserve"> 1997-IV, p. 1209, §</w:t>
      </w:r>
      <w:r w:rsidR="00CF7507">
        <w:rPr>
          <w:lang w:val="en-GB"/>
        </w:rPr>
        <w:t xml:space="preserve"> </w:t>
      </w:r>
      <w:r w:rsidRPr="00B124DC">
        <w:rPr>
          <w:lang w:val="en-GB"/>
        </w:rPr>
        <w:t xml:space="preserve">27; </w:t>
      </w:r>
      <w:r w:rsidRPr="00B124DC">
        <w:rPr>
          <w:i/>
          <w:iCs/>
          <w:lang w:val="en-GB"/>
        </w:rPr>
        <w:t>Arrowsmith v. the United Kingdom</w:t>
      </w:r>
      <w:r w:rsidR="00932AF2">
        <w:rPr>
          <w:lang w:val="en-GB"/>
        </w:rPr>
        <w:t xml:space="preserve">, no. </w:t>
      </w:r>
      <w:r w:rsidRPr="00B124DC">
        <w:rPr>
          <w:lang w:val="en-GB"/>
        </w:rPr>
        <w:t>705</w:t>
      </w:r>
      <w:r w:rsidR="00932AF2">
        <w:rPr>
          <w:lang w:val="en-GB"/>
        </w:rPr>
        <w:t>0/75, Commission</w:t>
      </w:r>
      <w:r w:rsidR="00CF7507">
        <w:rPr>
          <w:lang w:val="en-GB"/>
        </w:rPr>
        <w:t>’s</w:t>
      </w:r>
      <w:r w:rsidR="00932AF2">
        <w:rPr>
          <w:lang w:val="en-GB"/>
        </w:rPr>
        <w:t xml:space="preserve"> </w:t>
      </w:r>
      <w:r w:rsidR="00CF7507">
        <w:rPr>
          <w:lang w:val="en-GB"/>
        </w:rPr>
        <w:t>report</w:t>
      </w:r>
      <w:r w:rsidR="00932AF2">
        <w:rPr>
          <w:lang w:val="en-GB"/>
        </w:rPr>
        <w:t xml:space="preserve"> of 12 </w:t>
      </w:r>
      <w:r w:rsidRPr="00B124DC">
        <w:rPr>
          <w:lang w:val="en-GB"/>
        </w:rPr>
        <w:t xml:space="preserve">October 1978, Decisions and Reports (DR) 19, p. 5; </w:t>
      </w:r>
      <w:r w:rsidRPr="00B124DC">
        <w:rPr>
          <w:i/>
          <w:lang w:val="en-GB"/>
        </w:rPr>
        <w:t>C. v. the United Kingdom</w:t>
      </w:r>
      <w:r w:rsidR="00932AF2">
        <w:rPr>
          <w:lang w:val="en-GB"/>
        </w:rPr>
        <w:t xml:space="preserve">, no. </w:t>
      </w:r>
      <w:r w:rsidRPr="00B124DC">
        <w:rPr>
          <w:lang w:val="en-GB"/>
        </w:rPr>
        <w:t>10358/83, Commission decision of 15 December 1983, DR</w:t>
      </w:r>
      <w:r w:rsidR="00970763" w:rsidRPr="00B124DC">
        <w:rPr>
          <w:lang w:val="en-GB"/>
        </w:rPr>
        <w:t> </w:t>
      </w:r>
      <w:r w:rsidRPr="00B124DC">
        <w:rPr>
          <w:lang w:val="en-GB"/>
        </w:rPr>
        <w:t>37, p. 142</w:t>
      </w:r>
      <w:r w:rsidR="00E02DA8" w:rsidRPr="00B124DC">
        <w:rPr>
          <w:lang w:val="en-GB"/>
        </w:rPr>
        <w:t xml:space="preserve">; and </w:t>
      </w:r>
      <w:r w:rsidR="00E02DA8" w:rsidRPr="00B124DC">
        <w:rPr>
          <w:i/>
          <w:lang w:val="en-GB"/>
        </w:rPr>
        <w:t>Tepeli and Others v. Turkey</w:t>
      </w:r>
      <w:r w:rsidR="00932AF2">
        <w:rPr>
          <w:lang w:val="en-GB"/>
        </w:rPr>
        <w:t xml:space="preserve"> (dec.), no.</w:t>
      </w:r>
      <w:r w:rsidR="0043110F">
        <w:rPr>
          <w:lang w:val="en-GB"/>
        </w:rPr>
        <w:t xml:space="preserve"> </w:t>
      </w:r>
      <w:r w:rsidR="00E02DA8" w:rsidRPr="00B124DC">
        <w:rPr>
          <w:lang w:val="en-GB"/>
        </w:rPr>
        <w:t>31876/96, 11 September 2001</w:t>
      </w:r>
      <w:r w:rsidRPr="00B124DC">
        <w:rPr>
          <w:lang w:val="en-GB"/>
        </w:rPr>
        <w:t>).</w:t>
      </w:r>
    </w:p>
    <w:p w:rsidR="0017616B" w:rsidRPr="00B124DC" w:rsidRDefault="006A18DA"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106</w:t>
      </w:r>
      <w:r w:rsidRPr="00B124DC">
        <w:rPr>
          <w:lang w:val="en-GB"/>
        </w:rPr>
        <w:fldChar w:fldCharType="end"/>
      </w:r>
      <w:r w:rsidRPr="00B124DC">
        <w:rPr>
          <w:lang w:val="en-GB"/>
        </w:rPr>
        <w:t>.  </w:t>
      </w:r>
      <w:r w:rsidR="0017616B" w:rsidRPr="00B124DC">
        <w:rPr>
          <w:lang w:val="en-GB"/>
        </w:rPr>
        <w:t>In democratic societies, in which several religions coexist within one and the same population, it may be necessary to place restrictions on freedom to manifest one</w:t>
      </w:r>
      <w:r w:rsidR="0006350D">
        <w:rPr>
          <w:lang w:val="en-GB"/>
        </w:rPr>
        <w:t>’</w:t>
      </w:r>
      <w:r w:rsidR="0017616B" w:rsidRPr="00B124DC">
        <w:rPr>
          <w:lang w:val="en-GB"/>
        </w:rPr>
        <w:t>s religion or belief in order to reconcile the interests of the various groups and ensure that everyone</w:t>
      </w:r>
      <w:r w:rsidR="0006350D">
        <w:rPr>
          <w:lang w:val="en-GB"/>
        </w:rPr>
        <w:t>’</w:t>
      </w:r>
      <w:r w:rsidR="0017616B" w:rsidRPr="00B124DC">
        <w:rPr>
          <w:lang w:val="en-GB"/>
        </w:rPr>
        <w:t>s beliefs are respected (</w:t>
      </w:r>
      <w:r w:rsidR="00CF7507">
        <w:rPr>
          <w:lang w:val="en-GB"/>
        </w:rPr>
        <w:t xml:space="preserve">see </w:t>
      </w:r>
      <w:r w:rsidR="0017616B" w:rsidRPr="00B124DC">
        <w:rPr>
          <w:i/>
          <w:iCs/>
          <w:lang w:val="en-GB"/>
        </w:rPr>
        <w:t>Kokkinakis</w:t>
      </w:r>
      <w:r w:rsidR="0017616B" w:rsidRPr="00B124DC">
        <w:rPr>
          <w:lang w:val="en-GB"/>
        </w:rPr>
        <w:t>, cited above, p. 18, § 33).</w:t>
      </w:r>
      <w:r w:rsidRPr="00B124DC">
        <w:rPr>
          <w:lang w:val="en-GB"/>
        </w:rPr>
        <w:t xml:space="preserve"> </w:t>
      </w:r>
      <w:r w:rsidR="00673FCB" w:rsidRPr="00B124DC">
        <w:rPr>
          <w:lang w:val="en-GB"/>
        </w:rPr>
        <w:t>T</w:t>
      </w:r>
      <w:r w:rsidR="00932AF2">
        <w:rPr>
          <w:lang w:val="en-GB"/>
        </w:rPr>
        <w:t>his follows both from paragraph </w:t>
      </w:r>
      <w:r w:rsidR="00673FCB" w:rsidRPr="00B124DC">
        <w:rPr>
          <w:lang w:val="en-GB"/>
        </w:rPr>
        <w:t xml:space="preserve">2 of Article </w:t>
      </w:r>
      <w:r w:rsidRPr="00B124DC">
        <w:rPr>
          <w:lang w:val="en-GB"/>
        </w:rPr>
        <w:t xml:space="preserve">9 </w:t>
      </w:r>
      <w:r w:rsidR="00673FCB" w:rsidRPr="00B124DC">
        <w:rPr>
          <w:lang w:val="en-GB"/>
        </w:rPr>
        <w:t xml:space="preserve">and the </w:t>
      </w:r>
      <w:r w:rsidR="00C94E24" w:rsidRPr="00B124DC">
        <w:rPr>
          <w:lang w:val="en-GB"/>
        </w:rPr>
        <w:t>State</w:t>
      </w:r>
      <w:r w:rsidR="0006350D">
        <w:rPr>
          <w:lang w:val="en-GB"/>
        </w:rPr>
        <w:t>’</w:t>
      </w:r>
      <w:r w:rsidR="00C94E24" w:rsidRPr="00B124DC">
        <w:rPr>
          <w:lang w:val="en-GB"/>
        </w:rPr>
        <w:t xml:space="preserve">s </w:t>
      </w:r>
      <w:r w:rsidR="00673FCB" w:rsidRPr="00B124DC">
        <w:rPr>
          <w:lang w:val="en-GB"/>
        </w:rPr>
        <w:t>po</w:t>
      </w:r>
      <w:r w:rsidR="00932AF2">
        <w:rPr>
          <w:lang w:val="en-GB"/>
        </w:rPr>
        <w:t>sitive obligation under Article</w:t>
      </w:r>
      <w:r w:rsidR="00CF7507">
        <w:rPr>
          <w:lang w:val="en-GB"/>
        </w:rPr>
        <w:t xml:space="preserve"> </w:t>
      </w:r>
      <w:r w:rsidR="00673FCB" w:rsidRPr="00B124DC">
        <w:rPr>
          <w:lang w:val="en-GB"/>
        </w:rPr>
        <w:t xml:space="preserve">1 of the Convention </w:t>
      </w:r>
      <w:r w:rsidR="00C94E24" w:rsidRPr="00B124DC">
        <w:rPr>
          <w:lang w:val="en-GB"/>
        </w:rPr>
        <w:t xml:space="preserve">to </w:t>
      </w:r>
      <w:r w:rsidR="00673FCB" w:rsidRPr="00B124DC">
        <w:rPr>
          <w:lang w:val="en-GB"/>
        </w:rPr>
        <w:t xml:space="preserve">secure to everyone within </w:t>
      </w:r>
      <w:r w:rsidR="006B24BB" w:rsidRPr="00B124DC">
        <w:rPr>
          <w:lang w:val="en-GB"/>
        </w:rPr>
        <w:t>its</w:t>
      </w:r>
      <w:r w:rsidR="00673FCB" w:rsidRPr="00B124DC">
        <w:rPr>
          <w:lang w:val="en-GB"/>
        </w:rPr>
        <w:t xml:space="preserve"> jurisdiction the rights and freedoms defined </w:t>
      </w:r>
      <w:r w:rsidR="00CF7507">
        <w:rPr>
          <w:lang w:val="en-GB"/>
        </w:rPr>
        <w:t>there</w:t>
      </w:r>
      <w:r w:rsidR="00673FCB" w:rsidRPr="00B124DC">
        <w:rPr>
          <w:lang w:val="en-GB"/>
        </w:rPr>
        <w:t>in</w:t>
      </w:r>
      <w:r w:rsidRPr="00B124DC">
        <w:rPr>
          <w:lang w:val="en-GB"/>
        </w:rPr>
        <w:t>.</w:t>
      </w:r>
    </w:p>
    <w:p w:rsidR="00EA06B3" w:rsidRPr="00B124DC" w:rsidRDefault="0017616B"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107</w:t>
      </w:r>
      <w:r w:rsidRPr="00B124DC">
        <w:rPr>
          <w:lang w:val="en-GB"/>
        </w:rPr>
        <w:fldChar w:fldCharType="end"/>
      </w:r>
      <w:r w:rsidRPr="00B124DC">
        <w:rPr>
          <w:lang w:val="en-GB"/>
        </w:rPr>
        <w:t>.  </w:t>
      </w:r>
      <w:r w:rsidR="00AE5517" w:rsidRPr="00B124DC">
        <w:rPr>
          <w:lang w:val="en-GB"/>
        </w:rPr>
        <w:t>The Court has frequently emphasised the State</w:t>
      </w:r>
      <w:r w:rsidR="0006350D">
        <w:rPr>
          <w:lang w:val="en-GB"/>
        </w:rPr>
        <w:t>’</w:t>
      </w:r>
      <w:r w:rsidR="00AE5517" w:rsidRPr="00B124DC">
        <w:rPr>
          <w:lang w:val="en-GB"/>
        </w:rPr>
        <w:t xml:space="preserve">s role as the neutral and impartial organiser of the exercise of various religions, faiths and beliefs, and stated that this role is conducive to public order, religious harmony and tolerance in a democratic society. </w:t>
      </w:r>
      <w:r w:rsidR="00911F3D" w:rsidRPr="00B124DC">
        <w:rPr>
          <w:lang w:val="en-GB"/>
        </w:rPr>
        <w:t>It also considers that the State</w:t>
      </w:r>
      <w:r w:rsidR="0006350D">
        <w:rPr>
          <w:lang w:val="en-GB"/>
        </w:rPr>
        <w:t>’</w:t>
      </w:r>
      <w:r w:rsidR="00911F3D" w:rsidRPr="00B124DC">
        <w:rPr>
          <w:lang w:val="en-GB"/>
        </w:rPr>
        <w:t>s duty of neutrality and impartiality is incompatible with any power on the State</w:t>
      </w:r>
      <w:r w:rsidR="0006350D">
        <w:rPr>
          <w:lang w:val="en-GB"/>
        </w:rPr>
        <w:t>’</w:t>
      </w:r>
      <w:r w:rsidR="00911F3D" w:rsidRPr="00B124DC">
        <w:rPr>
          <w:lang w:val="en-GB"/>
        </w:rPr>
        <w:t xml:space="preserve">s part to assess the legitimacy of religious beliefs </w:t>
      </w:r>
      <w:r w:rsidR="00EA06B3" w:rsidRPr="00B124DC">
        <w:rPr>
          <w:lang w:val="en-GB"/>
        </w:rPr>
        <w:t>o</w:t>
      </w:r>
      <w:r w:rsidR="00911F3D" w:rsidRPr="00B124DC">
        <w:rPr>
          <w:lang w:val="en-GB"/>
        </w:rPr>
        <w:t>r</w:t>
      </w:r>
      <w:r w:rsidR="00EA06B3" w:rsidRPr="00B124DC">
        <w:rPr>
          <w:lang w:val="en-GB"/>
        </w:rPr>
        <w:t xml:space="preserve"> </w:t>
      </w:r>
      <w:r w:rsidR="00911F3D" w:rsidRPr="00B124DC">
        <w:rPr>
          <w:lang w:val="en-GB"/>
        </w:rPr>
        <w:t>the ways in which those beliefs are expressed</w:t>
      </w:r>
      <w:r w:rsidR="00EA06B3" w:rsidRPr="00B124DC">
        <w:rPr>
          <w:lang w:val="en-GB"/>
        </w:rPr>
        <w:t xml:space="preserve"> (</w:t>
      </w:r>
      <w:r w:rsidR="000915D6" w:rsidRPr="00B124DC">
        <w:rPr>
          <w:lang w:val="en-GB"/>
        </w:rPr>
        <w:t>see</w:t>
      </w:r>
      <w:r w:rsidR="00EA06B3" w:rsidRPr="00B124DC">
        <w:rPr>
          <w:lang w:val="en-GB"/>
        </w:rPr>
        <w:t xml:space="preserve"> </w:t>
      </w:r>
      <w:r w:rsidR="00EA06B3" w:rsidRPr="00B124DC">
        <w:rPr>
          <w:i/>
          <w:iCs/>
          <w:lang w:val="en-GB"/>
        </w:rPr>
        <w:t xml:space="preserve">Manoussakis </w:t>
      </w:r>
      <w:r w:rsidR="000915D6" w:rsidRPr="00B124DC">
        <w:rPr>
          <w:i/>
          <w:iCs/>
          <w:lang w:val="en-GB"/>
        </w:rPr>
        <w:t>and Others</w:t>
      </w:r>
      <w:r w:rsidR="00EA06B3" w:rsidRPr="00B124DC">
        <w:rPr>
          <w:i/>
          <w:iCs/>
          <w:lang w:val="en-GB"/>
        </w:rPr>
        <w:t xml:space="preserve"> </w:t>
      </w:r>
      <w:r w:rsidR="000915D6" w:rsidRPr="00B124DC">
        <w:rPr>
          <w:i/>
          <w:iCs/>
          <w:lang w:val="en-GB"/>
        </w:rPr>
        <w:t>v</w:t>
      </w:r>
      <w:r w:rsidR="00932AF2">
        <w:rPr>
          <w:i/>
          <w:iCs/>
          <w:lang w:val="en-GB"/>
        </w:rPr>
        <w:t>.</w:t>
      </w:r>
      <w:r w:rsidR="00CF7507">
        <w:rPr>
          <w:i/>
          <w:iCs/>
          <w:lang w:val="en-GB"/>
        </w:rPr>
        <w:t xml:space="preserve"> </w:t>
      </w:r>
      <w:r w:rsidR="00EA06B3" w:rsidRPr="00B124DC">
        <w:rPr>
          <w:i/>
          <w:iCs/>
          <w:lang w:val="en-GB"/>
        </w:rPr>
        <w:t>Gr</w:t>
      </w:r>
      <w:r w:rsidR="000915D6" w:rsidRPr="00B124DC">
        <w:rPr>
          <w:i/>
          <w:iCs/>
          <w:lang w:val="en-GB"/>
        </w:rPr>
        <w:t>ee</w:t>
      </w:r>
      <w:r w:rsidR="00EA06B3" w:rsidRPr="00B124DC">
        <w:rPr>
          <w:i/>
          <w:iCs/>
          <w:lang w:val="en-GB"/>
        </w:rPr>
        <w:t>ce</w:t>
      </w:r>
      <w:r w:rsidR="00EA06B3" w:rsidRPr="00B124DC">
        <w:rPr>
          <w:lang w:val="en-GB"/>
        </w:rPr>
        <w:t xml:space="preserve">, </w:t>
      </w:r>
      <w:r w:rsidR="000915D6" w:rsidRPr="00B124DC">
        <w:rPr>
          <w:lang w:val="en-GB"/>
        </w:rPr>
        <w:t>judgment of</w:t>
      </w:r>
      <w:r w:rsidR="00EA06B3" w:rsidRPr="00B124DC">
        <w:rPr>
          <w:lang w:val="en-GB"/>
        </w:rPr>
        <w:t xml:space="preserve"> 26 </w:t>
      </w:r>
      <w:r w:rsidR="00800ADE" w:rsidRPr="00B124DC">
        <w:rPr>
          <w:lang w:val="en-GB"/>
        </w:rPr>
        <w:t>September</w:t>
      </w:r>
      <w:r w:rsidR="00EA06B3" w:rsidRPr="00B124DC">
        <w:rPr>
          <w:lang w:val="en-GB"/>
        </w:rPr>
        <w:t xml:space="preserve"> 1996, </w:t>
      </w:r>
      <w:r w:rsidR="000915D6" w:rsidRPr="00B124DC">
        <w:rPr>
          <w:i/>
          <w:iCs/>
          <w:lang w:val="en-GB"/>
        </w:rPr>
        <w:t>Reports</w:t>
      </w:r>
      <w:r w:rsidR="00EA06B3" w:rsidRPr="00B124DC">
        <w:rPr>
          <w:i/>
          <w:iCs/>
          <w:lang w:val="en-GB"/>
        </w:rPr>
        <w:t xml:space="preserve"> </w:t>
      </w:r>
      <w:r w:rsidR="00EA06B3" w:rsidRPr="00B124DC">
        <w:rPr>
          <w:lang w:val="en-GB"/>
        </w:rPr>
        <w:t>1996-IV, p. 1365, § 47</w:t>
      </w:r>
      <w:r w:rsidR="000915D6" w:rsidRPr="00B124DC">
        <w:rPr>
          <w:lang w:val="en-GB"/>
        </w:rPr>
        <w:t>;</w:t>
      </w:r>
      <w:r w:rsidR="00EA06B3" w:rsidRPr="00B124DC">
        <w:rPr>
          <w:lang w:val="en-GB"/>
        </w:rPr>
        <w:t xml:space="preserve"> </w:t>
      </w:r>
      <w:r w:rsidR="00EA06B3" w:rsidRPr="00B124DC">
        <w:rPr>
          <w:i/>
          <w:lang w:val="en-GB" w:eastAsia="en-US"/>
        </w:rPr>
        <w:t xml:space="preserve">Hasan </w:t>
      </w:r>
      <w:r w:rsidR="000915D6" w:rsidRPr="00B124DC">
        <w:rPr>
          <w:i/>
          <w:lang w:val="en-GB" w:eastAsia="en-US"/>
        </w:rPr>
        <w:t>and</w:t>
      </w:r>
      <w:r w:rsidR="00EA06B3" w:rsidRPr="00B124DC">
        <w:rPr>
          <w:i/>
          <w:lang w:val="en-GB" w:eastAsia="en-US"/>
        </w:rPr>
        <w:t xml:space="preserve"> </w:t>
      </w:r>
      <w:r w:rsidR="00CF7507">
        <w:rPr>
          <w:i/>
          <w:lang w:val="en-GB" w:eastAsia="en-US"/>
        </w:rPr>
        <w:t>C</w:t>
      </w:r>
      <w:r w:rsidR="00EA06B3" w:rsidRPr="00B124DC">
        <w:rPr>
          <w:i/>
          <w:lang w:val="en-GB" w:eastAsia="en-US"/>
        </w:rPr>
        <w:t>hau</w:t>
      </w:r>
      <w:r w:rsidR="00CF7507">
        <w:rPr>
          <w:i/>
          <w:lang w:val="en-GB" w:eastAsia="en-US"/>
        </w:rPr>
        <w:t>s</w:t>
      </w:r>
      <w:r w:rsidR="00EA06B3" w:rsidRPr="00B124DC">
        <w:rPr>
          <w:i/>
          <w:lang w:val="en-GB" w:eastAsia="en-US"/>
        </w:rPr>
        <w:t xml:space="preserve">h </w:t>
      </w:r>
      <w:r w:rsidR="000915D6" w:rsidRPr="00B124DC">
        <w:rPr>
          <w:i/>
          <w:lang w:val="en-GB" w:eastAsia="en-US"/>
        </w:rPr>
        <w:t>v</w:t>
      </w:r>
      <w:r w:rsidR="00EA06B3" w:rsidRPr="00B124DC">
        <w:rPr>
          <w:i/>
          <w:lang w:val="en-GB" w:eastAsia="en-US"/>
        </w:rPr>
        <w:t>. Bulgari</w:t>
      </w:r>
      <w:r w:rsidR="000915D6" w:rsidRPr="00B124DC">
        <w:rPr>
          <w:i/>
          <w:lang w:val="en-GB" w:eastAsia="en-US"/>
        </w:rPr>
        <w:t>a</w:t>
      </w:r>
      <w:r w:rsidR="00EA06B3" w:rsidRPr="00B124DC">
        <w:rPr>
          <w:i/>
          <w:lang w:val="en-GB" w:eastAsia="en-US"/>
        </w:rPr>
        <w:t xml:space="preserve"> </w:t>
      </w:r>
      <w:r w:rsidR="00EA06B3" w:rsidRPr="00B124DC">
        <w:rPr>
          <w:lang w:val="en-GB" w:eastAsia="en-US"/>
        </w:rPr>
        <w:t>[GC], n</w:t>
      </w:r>
      <w:r w:rsidR="000915D6" w:rsidRPr="00B124DC">
        <w:rPr>
          <w:lang w:val="en-GB" w:eastAsia="en-US"/>
        </w:rPr>
        <w:t>o.</w:t>
      </w:r>
      <w:r w:rsidR="00932AF2">
        <w:rPr>
          <w:lang w:val="en-GB" w:eastAsia="en-US"/>
        </w:rPr>
        <w:t xml:space="preserve"> </w:t>
      </w:r>
      <w:r w:rsidR="00EA06B3" w:rsidRPr="00B124DC">
        <w:rPr>
          <w:lang w:val="en-GB" w:eastAsia="en-US"/>
        </w:rPr>
        <w:t>30985/96, § 78, E</w:t>
      </w:r>
      <w:r w:rsidR="000915D6" w:rsidRPr="00B124DC">
        <w:rPr>
          <w:lang w:val="en-GB" w:eastAsia="en-US"/>
        </w:rPr>
        <w:t>CHR</w:t>
      </w:r>
      <w:r w:rsidR="00EA06B3" w:rsidRPr="00B124DC">
        <w:rPr>
          <w:lang w:val="en-GB" w:eastAsia="en-US"/>
        </w:rPr>
        <w:t xml:space="preserve"> 2000</w:t>
      </w:r>
      <w:r w:rsidR="00EA06B3" w:rsidRPr="00B124DC">
        <w:rPr>
          <w:lang w:val="en-GB" w:eastAsia="en-US"/>
        </w:rPr>
        <w:noBreakHyphen/>
        <w:t>XI</w:t>
      </w:r>
      <w:r w:rsidR="00FE05BC" w:rsidRPr="00B124DC">
        <w:rPr>
          <w:lang w:val="en-GB" w:eastAsia="en-US"/>
        </w:rPr>
        <w:t>;</w:t>
      </w:r>
      <w:r w:rsidR="00EA06B3" w:rsidRPr="00B124DC">
        <w:rPr>
          <w:lang w:val="en-GB" w:eastAsia="en-US"/>
        </w:rPr>
        <w:t xml:space="preserve"> </w:t>
      </w:r>
      <w:r w:rsidR="00EA06B3" w:rsidRPr="00B124DC">
        <w:rPr>
          <w:i/>
          <w:lang w:val="en-GB"/>
        </w:rPr>
        <w:t xml:space="preserve">Refah Partisi </w:t>
      </w:r>
      <w:r w:rsidR="00CF7507">
        <w:rPr>
          <w:i/>
          <w:lang w:val="en-GB"/>
        </w:rPr>
        <w:t xml:space="preserve">(the Welfare Party) </w:t>
      </w:r>
      <w:r w:rsidR="000915D6" w:rsidRPr="00B124DC">
        <w:rPr>
          <w:i/>
          <w:lang w:val="en-GB"/>
        </w:rPr>
        <w:t>and Others</w:t>
      </w:r>
      <w:r w:rsidR="00EA06B3" w:rsidRPr="00B124DC">
        <w:rPr>
          <w:lang w:val="en-GB"/>
        </w:rPr>
        <w:t xml:space="preserve"> </w:t>
      </w:r>
      <w:r w:rsidR="00CF7507" w:rsidRPr="00CF7507">
        <w:rPr>
          <w:i/>
          <w:lang w:val="en-GB"/>
        </w:rPr>
        <w:t>v. Turkey</w:t>
      </w:r>
      <w:r w:rsidR="00CF7507" w:rsidRPr="00CF7507">
        <w:rPr>
          <w:lang w:val="en-GB"/>
        </w:rPr>
        <w:t xml:space="preserve"> [GC], nos. 41340/98, 41342/98, 41343/98 and 41344/98, </w:t>
      </w:r>
      <w:r w:rsidR="00EA06B3" w:rsidRPr="00B124DC">
        <w:rPr>
          <w:lang w:val="en-GB"/>
        </w:rPr>
        <w:t>§</w:t>
      </w:r>
      <w:r w:rsidR="000915D6" w:rsidRPr="00B124DC">
        <w:rPr>
          <w:lang w:val="en-GB"/>
        </w:rPr>
        <w:t xml:space="preserve"> </w:t>
      </w:r>
      <w:r w:rsidR="00EA06B3" w:rsidRPr="00B124DC">
        <w:rPr>
          <w:lang w:val="en-GB"/>
        </w:rPr>
        <w:t>91</w:t>
      </w:r>
      <w:r w:rsidR="00CF7507">
        <w:rPr>
          <w:lang w:val="en-GB"/>
        </w:rPr>
        <w:t xml:space="preserve">, </w:t>
      </w:r>
      <w:r w:rsidR="00CF7507" w:rsidRPr="00CF7507">
        <w:rPr>
          <w:lang w:val="en-GB"/>
        </w:rPr>
        <w:t>ECHR 2003-II</w:t>
      </w:r>
      <w:r w:rsidR="00EA06B3" w:rsidRPr="00B124DC">
        <w:rPr>
          <w:lang w:val="en-GB"/>
        </w:rPr>
        <w:t>)</w:t>
      </w:r>
      <w:r w:rsidR="00771C86">
        <w:rPr>
          <w:lang w:val="en-GB"/>
        </w:rPr>
        <w:t>,</w:t>
      </w:r>
      <w:r w:rsidR="00EA06B3" w:rsidRPr="00B124DC">
        <w:rPr>
          <w:lang w:val="en-GB"/>
        </w:rPr>
        <w:t xml:space="preserve"> </w:t>
      </w:r>
      <w:r w:rsidR="00AA32E4" w:rsidRPr="00B124DC">
        <w:rPr>
          <w:lang w:val="en-GB"/>
        </w:rPr>
        <w:t xml:space="preserve">and that it requires the State to ensure mutual tolerance between opposing groups </w:t>
      </w:r>
      <w:r w:rsidR="00EA06B3" w:rsidRPr="00B124DC">
        <w:rPr>
          <w:lang w:val="en-GB"/>
        </w:rPr>
        <w:t>(</w:t>
      </w:r>
      <w:r w:rsidR="00CF7507">
        <w:rPr>
          <w:lang w:val="en-GB"/>
        </w:rPr>
        <w:t xml:space="preserve">see </w:t>
      </w:r>
      <w:r w:rsidR="000915D6" w:rsidRPr="00B124DC">
        <w:rPr>
          <w:i/>
          <w:lang w:val="en-GB" w:eastAsia="en-US"/>
        </w:rPr>
        <w:t>United Communist Party of Turkey and Others v. Turkey</w:t>
      </w:r>
      <w:r w:rsidR="00EA06B3" w:rsidRPr="00B124DC">
        <w:rPr>
          <w:lang w:val="en-GB" w:eastAsia="en-US"/>
        </w:rPr>
        <w:t xml:space="preserve">, </w:t>
      </w:r>
      <w:r w:rsidR="000915D6" w:rsidRPr="00B124DC">
        <w:rPr>
          <w:lang w:val="en-GB" w:eastAsia="en-US"/>
        </w:rPr>
        <w:t>judgment of</w:t>
      </w:r>
      <w:r w:rsidR="00EA06B3" w:rsidRPr="00B124DC">
        <w:rPr>
          <w:lang w:val="en-GB" w:eastAsia="en-US"/>
        </w:rPr>
        <w:t xml:space="preserve"> 30</w:t>
      </w:r>
      <w:r w:rsidR="00771C86">
        <w:rPr>
          <w:lang w:val="en-GB" w:eastAsia="en-US"/>
        </w:rPr>
        <w:t> </w:t>
      </w:r>
      <w:r w:rsidR="00800ADE" w:rsidRPr="00B124DC">
        <w:rPr>
          <w:lang w:val="en-GB" w:eastAsia="en-US"/>
        </w:rPr>
        <w:t>January</w:t>
      </w:r>
      <w:r w:rsidR="00EA06B3" w:rsidRPr="00B124DC">
        <w:rPr>
          <w:lang w:val="en-GB" w:eastAsia="en-US"/>
        </w:rPr>
        <w:t xml:space="preserve"> 1998, </w:t>
      </w:r>
      <w:r w:rsidR="000915D6" w:rsidRPr="00B124DC">
        <w:rPr>
          <w:i/>
          <w:lang w:val="en-GB" w:eastAsia="en-US"/>
        </w:rPr>
        <w:t>Reports</w:t>
      </w:r>
      <w:r w:rsidR="00EA06B3" w:rsidRPr="00B124DC">
        <w:rPr>
          <w:i/>
          <w:lang w:val="en-GB" w:eastAsia="en-US"/>
        </w:rPr>
        <w:t xml:space="preserve"> </w:t>
      </w:r>
      <w:r w:rsidR="00EA06B3" w:rsidRPr="00B124DC">
        <w:rPr>
          <w:lang w:val="en-GB" w:eastAsia="en-US"/>
        </w:rPr>
        <w:t>1998</w:t>
      </w:r>
      <w:r w:rsidR="00EA06B3" w:rsidRPr="00B124DC">
        <w:rPr>
          <w:lang w:val="en-GB" w:eastAsia="en-US"/>
        </w:rPr>
        <w:noBreakHyphen/>
        <w:t xml:space="preserve">I, </w:t>
      </w:r>
      <w:r w:rsidR="00CF7507">
        <w:rPr>
          <w:lang w:val="en-GB" w:eastAsia="en-US"/>
        </w:rPr>
        <w:t xml:space="preserve">p. 27, </w:t>
      </w:r>
      <w:r w:rsidR="00EA06B3" w:rsidRPr="00B124DC">
        <w:rPr>
          <w:lang w:val="en-GB"/>
        </w:rPr>
        <w:t xml:space="preserve">§ 57). </w:t>
      </w:r>
      <w:r w:rsidR="00D72BE9" w:rsidRPr="00B124DC">
        <w:rPr>
          <w:lang w:val="en-GB"/>
        </w:rPr>
        <w:t xml:space="preserve">Accordingly, the role of the authorities in such circumstances is not to remove the cause of tension by eliminating pluralism, but to ensure that the competing groups tolerate each other </w:t>
      </w:r>
      <w:r w:rsidR="00EA06B3" w:rsidRPr="00B124DC">
        <w:rPr>
          <w:lang w:val="en-GB"/>
        </w:rPr>
        <w:t>(</w:t>
      </w:r>
      <w:r w:rsidR="00CF7507">
        <w:rPr>
          <w:lang w:val="en-GB"/>
        </w:rPr>
        <w:t xml:space="preserve">see </w:t>
      </w:r>
      <w:r w:rsidR="00EA06B3" w:rsidRPr="00B124DC">
        <w:rPr>
          <w:i/>
          <w:lang w:val="en-GB" w:eastAsia="en-US"/>
        </w:rPr>
        <w:t xml:space="preserve">Serif </w:t>
      </w:r>
      <w:r w:rsidR="000915D6" w:rsidRPr="00B124DC">
        <w:rPr>
          <w:i/>
          <w:lang w:val="en-GB" w:eastAsia="en-US"/>
        </w:rPr>
        <w:t>v</w:t>
      </w:r>
      <w:r w:rsidR="00EA06B3" w:rsidRPr="00B124DC">
        <w:rPr>
          <w:i/>
          <w:lang w:val="en-GB" w:eastAsia="en-US"/>
        </w:rPr>
        <w:t>.</w:t>
      </w:r>
      <w:r w:rsidR="00CF7507">
        <w:rPr>
          <w:i/>
          <w:lang w:val="en-GB" w:eastAsia="en-US"/>
        </w:rPr>
        <w:t xml:space="preserve"> </w:t>
      </w:r>
      <w:r w:rsidR="00EA06B3" w:rsidRPr="00B124DC">
        <w:rPr>
          <w:i/>
          <w:lang w:val="en-GB" w:eastAsia="en-US"/>
        </w:rPr>
        <w:t>Gr</w:t>
      </w:r>
      <w:r w:rsidR="000915D6" w:rsidRPr="00B124DC">
        <w:rPr>
          <w:i/>
          <w:lang w:val="en-GB" w:eastAsia="en-US"/>
        </w:rPr>
        <w:t>ee</w:t>
      </w:r>
      <w:r w:rsidR="00EA06B3" w:rsidRPr="00B124DC">
        <w:rPr>
          <w:i/>
          <w:lang w:val="en-GB" w:eastAsia="en-US"/>
        </w:rPr>
        <w:t>ce</w:t>
      </w:r>
      <w:r w:rsidR="00EA06B3" w:rsidRPr="00B124DC">
        <w:rPr>
          <w:lang w:val="en-GB" w:eastAsia="en-US"/>
        </w:rPr>
        <w:t>, n</w:t>
      </w:r>
      <w:r w:rsidR="000915D6" w:rsidRPr="00B124DC">
        <w:rPr>
          <w:lang w:val="en-GB" w:eastAsia="en-US"/>
        </w:rPr>
        <w:t>o.</w:t>
      </w:r>
      <w:r w:rsidR="00EA06B3" w:rsidRPr="00B124DC">
        <w:rPr>
          <w:lang w:val="en-GB" w:eastAsia="en-US"/>
        </w:rPr>
        <w:t xml:space="preserve"> 38178/97, § 53, </w:t>
      </w:r>
      <w:r w:rsidR="000915D6" w:rsidRPr="00B124DC">
        <w:rPr>
          <w:lang w:val="en-GB" w:eastAsia="en-US"/>
        </w:rPr>
        <w:t xml:space="preserve">ECHR </w:t>
      </w:r>
      <w:r w:rsidR="00EA06B3" w:rsidRPr="00B124DC">
        <w:rPr>
          <w:lang w:val="en-GB" w:eastAsia="en-US"/>
        </w:rPr>
        <w:t>1999</w:t>
      </w:r>
      <w:r w:rsidR="00EA06B3" w:rsidRPr="00B124DC">
        <w:rPr>
          <w:lang w:val="en-GB" w:eastAsia="en-US"/>
        </w:rPr>
        <w:noBreakHyphen/>
        <w:t>IX</w:t>
      </w:r>
      <w:r w:rsidR="00EA06B3" w:rsidRPr="00B124DC">
        <w:rPr>
          <w:lang w:val="en-GB"/>
        </w:rPr>
        <w:t>).</w:t>
      </w:r>
    </w:p>
    <w:p w:rsidR="0098730A" w:rsidRPr="00B124DC" w:rsidRDefault="00484D6D"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108</w:t>
      </w:r>
      <w:r w:rsidRPr="00B124DC">
        <w:rPr>
          <w:lang w:val="en-GB"/>
        </w:rPr>
        <w:fldChar w:fldCharType="end"/>
      </w:r>
      <w:r w:rsidRPr="00B124DC">
        <w:rPr>
          <w:lang w:val="en-GB"/>
        </w:rPr>
        <w:t>.  </w:t>
      </w:r>
      <w:r w:rsidR="005242E7" w:rsidRPr="00B124DC">
        <w:rPr>
          <w:lang w:val="en-GB"/>
        </w:rPr>
        <w:t>Pluralism, tolerance and broadmindedness are hallmarks of a “democratic society”.</w:t>
      </w:r>
      <w:r w:rsidRPr="00B124DC">
        <w:rPr>
          <w:lang w:val="en-GB"/>
        </w:rPr>
        <w:t xml:space="preserve"> </w:t>
      </w:r>
      <w:r w:rsidR="009F08BA" w:rsidRPr="00B124DC">
        <w:rPr>
          <w:lang w:val="en-GB"/>
        </w:rPr>
        <w:t>Although individual interests must on occasion be subordinated to those of a group, democracy does not simply mean that the views of a majority must always prevail: a balance must be achieved which ensures the fair and proper treatment of people from minorities and avoids a</w:t>
      </w:r>
      <w:r w:rsidR="002F2597" w:rsidRPr="00B124DC">
        <w:rPr>
          <w:lang w:val="en-GB"/>
        </w:rPr>
        <w:t>ny abuse of a dominant position</w:t>
      </w:r>
      <w:r w:rsidR="009F08BA" w:rsidRPr="00B124DC">
        <w:rPr>
          <w:lang w:val="en-GB"/>
        </w:rPr>
        <w:t xml:space="preserve"> </w:t>
      </w:r>
      <w:r w:rsidRPr="00B124DC">
        <w:rPr>
          <w:lang w:val="en-GB"/>
        </w:rPr>
        <w:t>(</w:t>
      </w:r>
      <w:r w:rsidR="00BD7742" w:rsidRPr="00B124DC">
        <w:rPr>
          <w:lang w:val="en-GB"/>
        </w:rPr>
        <w:t>see</w:t>
      </w:r>
      <w:r w:rsidRPr="00B124DC">
        <w:rPr>
          <w:lang w:val="en-GB"/>
        </w:rPr>
        <w:t xml:space="preserve">, </w:t>
      </w:r>
      <w:r w:rsidRPr="00B124DC">
        <w:rPr>
          <w:i/>
          <w:lang w:val="en-GB"/>
        </w:rPr>
        <w:t>mutatis mutandis</w:t>
      </w:r>
      <w:r w:rsidRPr="00B124DC">
        <w:rPr>
          <w:lang w:val="en-GB"/>
        </w:rPr>
        <w:t xml:space="preserve">, </w:t>
      </w:r>
      <w:r w:rsidRPr="00B124DC">
        <w:rPr>
          <w:i/>
          <w:lang w:val="en-GB"/>
        </w:rPr>
        <w:t xml:space="preserve">Young, James </w:t>
      </w:r>
      <w:r w:rsidR="00BD7742" w:rsidRPr="00B124DC">
        <w:rPr>
          <w:i/>
          <w:lang w:val="en-GB"/>
        </w:rPr>
        <w:t>and</w:t>
      </w:r>
      <w:r w:rsidRPr="00B124DC">
        <w:rPr>
          <w:i/>
          <w:lang w:val="en-GB"/>
        </w:rPr>
        <w:t xml:space="preserve"> Webster </w:t>
      </w:r>
      <w:r w:rsidR="00BD7742" w:rsidRPr="00B124DC">
        <w:rPr>
          <w:i/>
          <w:lang w:val="en-GB"/>
        </w:rPr>
        <w:t>v</w:t>
      </w:r>
      <w:r w:rsidRPr="00B124DC">
        <w:rPr>
          <w:i/>
          <w:lang w:val="en-GB"/>
        </w:rPr>
        <w:t xml:space="preserve">. </w:t>
      </w:r>
      <w:r w:rsidR="00BD7742" w:rsidRPr="00B124DC">
        <w:rPr>
          <w:i/>
          <w:lang w:val="en-GB"/>
        </w:rPr>
        <w:t>the United Kingdom</w:t>
      </w:r>
      <w:r w:rsidRPr="00B124DC">
        <w:rPr>
          <w:lang w:val="en-GB"/>
        </w:rPr>
        <w:t xml:space="preserve">, </w:t>
      </w:r>
      <w:r w:rsidR="00BD7742" w:rsidRPr="00B124DC">
        <w:rPr>
          <w:lang w:val="en-GB"/>
        </w:rPr>
        <w:t>judgment of</w:t>
      </w:r>
      <w:r w:rsidRPr="00B124DC">
        <w:rPr>
          <w:lang w:val="en-GB"/>
        </w:rPr>
        <w:t xml:space="preserve"> 13 </w:t>
      </w:r>
      <w:r w:rsidR="00800ADE" w:rsidRPr="00B124DC">
        <w:rPr>
          <w:lang w:val="en-GB"/>
        </w:rPr>
        <w:t>August</w:t>
      </w:r>
      <w:r w:rsidRPr="00B124DC">
        <w:rPr>
          <w:lang w:val="en-GB"/>
        </w:rPr>
        <w:t xml:space="preserve"> 1981, </w:t>
      </w:r>
      <w:r w:rsidR="00932AF2">
        <w:rPr>
          <w:lang w:val="en-GB"/>
        </w:rPr>
        <w:t>Series</w:t>
      </w:r>
      <w:r w:rsidR="0043110F">
        <w:rPr>
          <w:lang w:val="en-GB"/>
        </w:rPr>
        <w:t xml:space="preserve"> </w:t>
      </w:r>
      <w:r w:rsidR="00BD7742" w:rsidRPr="00B124DC">
        <w:rPr>
          <w:lang w:val="en-GB"/>
        </w:rPr>
        <w:t>A no.</w:t>
      </w:r>
      <w:r w:rsidR="00932AF2">
        <w:rPr>
          <w:lang w:val="en-GB"/>
        </w:rPr>
        <w:t> </w:t>
      </w:r>
      <w:r w:rsidRPr="00B124DC">
        <w:rPr>
          <w:lang w:val="en-GB"/>
        </w:rPr>
        <w:t>44, p.</w:t>
      </w:r>
      <w:r w:rsidR="00BD7742" w:rsidRPr="00B124DC">
        <w:rPr>
          <w:lang w:val="en-GB"/>
        </w:rPr>
        <w:t xml:space="preserve"> </w:t>
      </w:r>
      <w:r w:rsidRPr="00B124DC">
        <w:rPr>
          <w:lang w:val="en-GB"/>
        </w:rPr>
        <w:t>25, §</w:t>
      </w:r>
      <w:r w:rsidR="00BD7742" w:rsidRPr="00B124DC">
        <w:rPr>
          <w:lang w:val="en-GB"/>
        </w:rPr>
        <w:t xml:space="preserve"> </w:t>
      </w:r>
      <w:r w:rsidRPr="00B124DC">
        <w:rPr>
          <w:lang w:val="en-GB"/>
        </w:rPr>
        <w:t>63</w:t>
      </w:r>
      <w:r w:rsidR="00CF7507">
        <w:rPr>
          <w:lang w:val="en-GB"/>
        </w:rPr>
        <w:t>,</w:t>
      </w:r>
      <w:r w:rsidR="00BD7742" w:rsidRPr="00B124DC">
        <w:rPr>
          <w:lang w:val="en-GB"/>
        </w:rPr>
        <w:t xml:space="preserve"> and</w:t>
      </w:r>
      <w:r w:rsidRPr="00B124DC">
        <w:rPr>
          <w:lang w:val="en-GB"/>
        </w:rPr>
        <w:t xml:space="preserve"> </w:t>
      </w:r>
      <w:r w:rsidRPr="00B124DC">
        <w:rPr>
          <w:i/>
          <w:lang w:val="en-GB" w:eastAsia="en-US"/>
        </w:rPr>
        <w:t xml:space="preserve">Chassagnou </w:t>
      </w:r>
      <w:r w:rsidR="00BD7742" w:rsidRPr="00B124DC">
        <w:rPr>
          <w:i/>
          <w:lang w:val="en-GB" w:eastAsia="en-US"/>
        </w:rPr>
        <w:t>and Others</w:t>
      </w:r>
      <w:r w:rsidRPr="00B124DC">
        <w:rPr>
          <w:i/>
          <w:lang w:val="en-GB" w:eastAsia="en-US"/>
        </w:rPr>
        <w:t xml:space="preserve"> </w:t>
      </w:r>
      <w:r w:rsidR="00BD7742" w:rsidRPr="00B124DC">
        <w:rPr>
          <w:i/>
          <w:lang w:val="en-GB" w:eastAsia="en-US"/>
        </w:rPr>
        <w:t>v</w:t>
      </w:r>
      <w:r w:rsidRPr="00B124DC">
        <w:rPr>
          <w:i/>
          <w:lang w:val="en-GB" w:eastAsia="en-US"/>
        </w:rPr>
        <w:t>. France</w:t>
      </w:r>
      <w:r w:rsidRPr="00B124DC">
        <w:rPr>
          <w:lang w:val="en-GB" w:eastAsia="en-US"/>
        </w:rPr>
        <w:t xml:space="preserve"> [GC], n</w:t>
      </w:r>
      <w:r w:rsidR="00BD7742" w:rsidRPr="00B124DC">
        <w:rPr>
          <w:lang w:val="en-GB" w:eastAsia="en-US"/>
        </w:rPr>
        <w:t>os.</w:t>
      </w:r>
      <w:r w:rsidR="00932AF2">
        <w:rPr>
          <w:lang w:val="en-GB" w:eastAsia="en-US"/>
        </w:rPr>
        <w:t> </w:t>
      </w:r>
      <w:r w:rsidRPr="00B124DC">
        <w:rPr>
          <w:lang w:val="en-GB" w:eastAsia="en-US"/>
        </w:rPr>
        <w:t xml:space="preserve">25088/94, 28331/95 </w:t>
      </w:r>
      <w:r w:rsidR="00BD7742" w:rsidRPr="00B124DC">
        <w:rPr>
          <w:lang w:val="en-GB" w:eastAsia="en-US"/>
        </w:rPr>
        <w:t>and</w:t>
      </w:r>
      <w:r w:rsidRPr="00B124DC">
        <w:rPr>
          <w:lang w:val="en-GB" w:eastAsia="en-US"/>
        </w:rPr>
        <w:t xml:space="preserve"> 28443/95, § 112, </w:t>
      </w:r>
      <w:r w:rsidR="00BD7742" w:rsidRPr="00B124DC">
        <w:rPr>
          <w:lang w:val="en-GB" w:eastAsia="en-US"/>
        </w:rPr>
        <w:t>E</w:t>
      </w:r>
      <w:r w:rsidRPr="00B124DC">
        <w:rPr>
          <w:lang w:val="en-GB" w:eastAsia="en-US"/>
        </w:rPr>
        <w:t>C</w:t>
      </w:r>
      <w:r w:rsidR="00BD7742" w:rsidRPr="00B124DC">
        <w:rPr>
          <w:lang w:val="en-GB" w:eastAsia="en-US"/>
        </w:rPr>
        <w:t>HR</w:t>
      </w:r>
      <w:r w:rsidRPr="00B124DC">
        <w:rPr>
          <w:lang w:val="en-GB" w:eastAsia="en-US"/>
        </w:rPr>
        <w:t xml:space="preserve"> 1999</w:t>
      </w:r>
      <w:r w:rsidRPr="00B124DC">
        <w:rPr>
          <w:lang w:val="en-GB" w:eastAsia="en-US"/>
        </w:rPr>
        <w:noBreakHyphen/>
        <w:t>III</w:t>
      </w:r>
      <w:r w:rsidRPr="00B124DC">
        <w:rPr>
          <w:lang w:val="en-GB"/>
        </w:rPr>
        <w:t xml:space="preserve">). </w:t>
      </w:r>
      <w:r w:rsidR="009F08BA" w:rsidRPr="00B124DC">
        <w:rPr>
          <w:lang w:val="en-GB"/>
        </w:rPr>
        <w:t xml:space="preserve">Pluralism and democracy must also be based on </w:t>
      </w:r>
      <w:r w:rsidR="0060687B" w:rsidRPr="00B124DC">
        <w:rPr>
          <w:snapToGrid w:val="0"/>
          <w:lang w:val="en-GB"/>
        </w:rPr>
        <w:t>dialogue and a spirit of</w:t>
      </w:r>
      <w:r w:rsidR="009F08BA" w:rsidRPr="00B124DC">
        <w:rPr>
          <w:lang w:val="en-GB"/>
        </w:rPr>
        <w:t xml:space="preserve"> compromise </w:t>
      </w:r>
      <w:r w:rsidR="0060687B" w:rsidRPr="00B124DC">
        <w:rPr>
          <w:snapToGrid w:val="0"/>
          <w:lang w:val="en-GB"/>
        </w:rPr>
        <w:t xml:space="preserve">necessarily entailing various concessions on the part of individuals or groups of individuals which are justified in order to maintain and promote the ideals and values of a democratic society </w:t>
      </w:r>
      <w:r w:rsidRPr="00B124DC">
        <w:rPr>
          <w:snapToGrid w:val="0"/>
          <w:lang w:val="en-GB"/>
        </w:rPr>
        <w:t>(</w:t>
      </w:r>
      <w:r w:rsidR="009F08BA" w:rsidRPr="00B124DC">
        <w:rPr>
          <w:snapToGrid w:val="0"/>
          <w:lang w:val="en-GB"/>
        </w:rPr>
        <w:t>see</w:t>
      </w:r>
      <w:r w:rsidRPr="00B124DC">
        <w:rPr>
          <w:snapToGrid w:val="0"/>
          <w:lang w:val="en-GB"/>
        </w:rPr>
        <w:t xml:space="preserve">, </w:t>
      </w:r>
      <w:r w:rsidRPr="00B124DC">
        <w:rPr>
          <w:i/>
          <w:snapToGrid w:val="0"/>
          <w:lang w:val="en-GB"/>
        </w:rPr>
        <w:t>mutatis mutandis</w:t>
      </w:r>
      <w:r w:rsidRPr="00B124DC">
        <w:rPr>
          <w:snapToGrid w:val="0"/>
          <w:lang w:val="en-GB"/>
        </w:rPr>
        <w:t xml:space="preserve">, </w:t>
      </w:r>
      <w:r w:rsidR="00BD7742" w:rsidRPr="00B124DC">
        <w:rPr>
          <w:i/>
          <w:snapToGrid w:val="0"/>
          <w:lang w:val="en-GB"/>
        </w:rPr>
        <w:t>the U</w:t>
      </w:r>
      <w:r w:rsidR="00BD7742" w:rsidRPr="00B124DC">
        <w:rPr>
          <w:i/>
          <w:lang w:val="en-GB"/>
        </w:rPr>
        <w:t>nited Communist Party of Turkey and Others</w:t>
      </w:r>
      <w:r w:rsidRPr="00B124DC">
        <w:rPr>
          <w:lang w:val="en-GB"/>
        </w:rPr>
        <w:t xml:space="preserve">, </w:t>
      </w:r>
      <w:r w:rsidR="00BD7742" w:rsidRPr="00B124DC">
        <w:rPr>
          <w:lang w:val="en-GB"/>
        </w:rPr>
        <w:t>cited above</w:t>
      </w:r>
      <w:r w:rsidRPr="00B124DC">
        <w:rPr>
          <w:lang w:val="en-GB"/>
        </w:rPr>
        <w:t>,</w:t>
      </w:r>
      <w:r w:rsidRPr="00B124DC">
        <w:rPr>
          <w:i/>
          <w:lang w:val="en-GB"/>
        </w:rPr>
        <w:t xml:space="preserve"> </w:t>
      </w:r>
      <w:r w:rsidRPr="00B124DC">
        <w:rPr>
          <w:snapToGrid w:val="0"/>
          <w:lang w:val="en-GB"/>
        </w:rPr>
        <w:t>pp.</w:t>
      </w:r>
      <w:r w:rsidR="00CF7507">
        <w:rPr>
          <w:snapToGrid w:val="0"/>
          <w:lang w:val="en-GB"/>
        </w:rPr>
        <w:t xml:space="preserve"> </w:t>
      </w:r>
      <w:r w:rsidRPr="00B124DC">
        <w:rPr>
          <w:snapToGrid w:val="0"/>
          <w:lang w:val="en-GB"/>
        </w:rPr>
        <w:t>21</w:t>
      </w:r>
      <w:r w:rsidRPr="00B124DC">
        <w:rPr>
          <w:snapToGrid w:val="0"/>
          <w:lang w:val="en-GB"/>
        </w:rPr>
        <w:noBreakHyphen/>
        <w:t>22, §</w:t>
      </w:r>
      <w:r w:rsidR="00CF7507">
        <w:rPr>
          <w:snapToGrid w:val="0"/>
          <w:lang w:val="en-GB"/>
        </w:rPr>
        <w:t> </w:t>
      </w:r>
      <w:r w:rsidRPr="00B124DC">
        <w:rPr>
          <w:snapToGrid w:val="0"/>
          <w:lang w:val="en-GB"/>
        </w:rPr>
        <w:t>45</w:t>
      </w:r>
      <w:r w:rsidR="00CF7507">
        <w:rPr>
          <w:snapToGrid w:val="0"/>
          <w:lang w:val="en-GB"/>
        </w:rPr>
        <w:t>,</w:t>
      </w:r>
      <w:r w:rsidRPr="00B124DC">
        <w:rPr>
          <w:snapToGrid w:val="0"/>
          <w:lang w:val="en-GB"/>
        </w:rPr>
        <w:t xml:space="preserve"> </w:t>
      </w:r>
      <w:r w:rsidR="00BD7742" w:rsidRPr="00B124DC">
        <w:rPr>
          <w:snapToGrid w:val="0"/>
          <w:lang w:val="en-GB"/>
        </w:rPr>
        <w:t>and</w:t>
      </w:r>
      <w:r w:rsidRPr="00B124DC">
        <w:rPr>
          <w:snapToGrid w:val="0"/>
          <w:lang w:val="en-GB"/>
        </w:rPr>
        <w:t xml:space="preserve"> </w:t>
      </w:r>
      <w:r w:rsidRPr="00B124DC">
        <w:rPr>
          <w:i/>
          <w:lang w:val="en-GB"/>
        </w:rPr>
        <w:t xml:space="preserve">Refah Partisi </w:t>
      </w:r>
      <w:r w:rsidR="00CF7507">
        <w:rPr>
          <w:i/>
          <w:lang w:val="en-GB"/>
        </w:rPr>
        <w:t xml:space="preserve">(the Welfare Party) </w:t>
      </w:r>
      <w:r w:rsidR="00BD7742" w:rsidRPr="00B124DC">
        <w:rPr>
          <w:i/>
          <w:lang w:val="en-GB"/>
        </w:rPr>
        <w:t>and Others</w:t>
      </w:r>
      <w:r w:rsidRPr="00B124DC">
        <w:rPr>
          <w:lang w:val="en-GB"/>
        </w:rPr>
        <w:t>,</w:t>
      </w:r>
      <w:r w:rsidR="00A56BB3">
        <w:rPr>
          <w:lang w:val="en-GB"/>
        </w:rPr>
        <w:t xml:space="preserve"> </w:t>
      </w:r>
      <w:r w:rsidR="00BD7742" w:rsidRPr="00B124DC">
        <w:rPr>
          <w:lang w:val="en-GB"/>
        </w:rPr>
        <w:t>cited above</w:t>
      </w:r>
      <w:r w:rsidR="00932AF2">
        <w:rPr>
          <w:lang w:val="en-GB"/>
        </w:rPr>
        <w:t xml:space="preserve"> §</w:t>
      </w:r>
      <w:r w:rsidR="00CF7507">
        <w:rPr>
          <w:lang w:val="en-GB"/>
        </w:rPr>
        <w:t xml:space="preserve"> </w:t>
      </w:r>
      <w:r w:rsidRPr="00B124DC">
        <w:rPr>
          <w:lang w:val="en-GB"/>
        </w:rPr>
        <w:t>99).</w:t>
      </w:r>
      <w:r w:rsidRPr="00B124DC">
        <w:rPr>
          <w:snapToGrid w:val="0"/>
          <w:lang w:val="en-GB"/>
        </w:rPr>
        <w:t xml:space="preserve"> </w:t>
      </w:r>
      <w:r w:rsidR="009F08BA" w:rsidRPr="00B124DC">
        <w:rPr>
          <w:lang w:val="en-GB"/>
        </w:rPr>
        <w:t xml:space="preserve">Where these “rights and freedoms” are themselves among those guaranteed by the Convention or its Protocols, it must be accepted that the need to protect them may lead States to restrict other rights or freedoms likewise set forth in the Convention. It is precisely this constant search for a balance between the fundamental rights of each individual which constitutes the foundation of a “democratic society” </w:t>
      </w:r>
      <w:r w:rsidRPr="00B124DC">
        <w:rPr>
          <w:lang w:val="en-GB"/>
        </w:rPr>
        <w:t>(</w:t>
      </w:r>
      <w:r w:rsidR="00CF7507">
        <w:rPr>
          <w:lang w:val="en-GB"/>
        </w:rPr>
        <w:t xml:space="preserve">see </w:t>
      </w:r>
      <w:r w:rsidRPr="00B124DC">
        <w:rPr>
          <w:i/>
          <w:lang w:val="en-GB" w:eastAsia="en-US"/>
        </w:rPr>
        <w:t xml:space="preserve">Chassagnou </w:t>
      </w:r>
      <w:r w:rsidR="00BD7742" w:rsidRPr="00B124DC">
        <w:rPr>
          <w:i/>
          <w:lang w:val="en-GB" w:eastAsia="en-US"/>
        </w:rPr>
        <w:t>and Others</w:t>
      </w:r>
      <w:r w:rsidRPr="00B124DC">
        <w:rPr>
          <w:lang w:val="en-GB" w:eastAsia="en-US"/>
        </w:rPr>
        <w:t xml:space="preserve">, </w:t>
      </w:r>
      <w:r w:rsidR="00CF7507">
        <w:rPr>
          <w:lang w:val="en-GB" w:eastAsia="en-US"/>
        </w:rPr>
        <w:t>c</w:t>
      </w:r>
      <w:r w:rsidR="00BD7742" w:rsidRPr="00B124DC">
        <w:rPr>
          <w:lang w:val="en-GB" w:eastAsia="en-US"/>
        </w:rPr>
        <w:t>ited above</w:t>
      </w:r>
      <w:r w:rsidRPr="00B124DC">
        <w:rPr>
          <w:lang w:val="en-GB" w:eastAsia="en-US"/>
        </w:rPr>
        <w:t>, §</w:t>
      </w:r>
      <w:r w:rsidR="00932AF2">
        <w:rPr>
          <w:lang w:val="en-GB" w:eastAsia="en-US"/>
        </w:rPr>
        <w:t xml:space="preserve"> </w:t>
      </w:r>
      <w:r w:rsidRPr="00B124DC">
        <w:rPr>
          <w:lang w:val="en-GB" w:eastAsia="en-US"/>
        </w:rPr>
        <w:t>113)</w:t>
      </w:r>
      <w:r w:rsidRPr="00B124DC">
        <w:rPr>
          <w:lang w:val="en-GB"/>
        </w:rPr>
        <w:t>.</w:t>
      </w:r>
    </w:p>
    <w:p w:rsidR="00716BE9" w:rsidRPr="00B124DC" w:rsidRDefault="00AE11AC" w:rsidP="00716BE9">
      <w:pPr>
        <w:pStyle w:val="JuParaCharCharCharCharCharCharChar"/>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109</w:t>
      </w:r>
      <w:r w:rsidRPr="00B124DC">
        <w:rPr>
          <w:lang w:val="en-GB"/>
        </w:rPr>
        <w:fldChar w:fldCharType="end"/>
      </w:r>
      <w:r w:rsidRPr="00B124DC">
        <w:rPr>
          <w:lang w:val="en-GB"/>
        </w:rPr>
        <w:t xml:space="preserve">.  Where questions concerning the relationship between State and religions are at stake, on which opinion in a democratic society may reasonably differ widely, the role of the national decision-making body must be given special importance (see, </w:t>
      </w:r>
      <w:r w:rsidRPr="00B124DC">
        <w:rPr>
          <w:i/>
          <w:iCs/>
          <w:lang w:val="en-GB"/>
        </w:rPr>
        <w:t>mutatis mutandis</w:t>
      </w:r>
      <w:r w:rsidRPr="00B124DC">
        <w:rPr>
          <w:lang w:val="en-GB"/>
        </w:rPr>
        <w:t xml:space="preserve">, </w:t>
      </w:r>
      <w:r w:rsidRPr="00B124DC">
        <w:rPr>
          <w:i/>
          <w:iCs/>
          <w:lang w:val="en-GB"/>
        </w:rPr>
        <w:t>Cha</w:t>
      </w:r>
      <w:r w:rsidR="0006350D">
        <w:rPr>
          <w:i/>
          <w:iCs/>
          <w:lang w:val="en-GB"/>
        </w:rPr>
        <w:t>’</w:t>
      </w:r>
      <w:r w:rsidRPr="00B124DC">
        <w:rPr>
          <w:i/>
          <w:iCs/>
          <w:lang w:val="en-GB"/>
        </w:rPr>
        <w:t>are Shalom Ve Tsedek</w:t>
      </w:r>
      <w:r w:rsidRPr="00B124DC">
        <w:rPr>
          <w:lang w:val="en-GB"/>
        </w:rPr>
        <w:t>, cited above, § 84</w:t>
      </w:r>
      <w:r w:rsidR="00CF7507">
        <w:rPr>
          <w:lang w:val="en-GB"/>
        </w:rPr>
        <w:t>,</w:t>
      </w:r>
      <w:r w:rsidRPr="00B124DC">
        <w:rPr>
          <w:lang w:val="en-GB"/>
        </w:rPr>
        <w:t xml:space="preserve"> and </w:t>
      </w:r>
      <w:r w:rsidR="00932AF2">
        <w:rPr>
          <w:i/>
          <w:iCs/>
          <w:lang w:val="en-GB"/>
        </w:rPr>
        <w:t xml:space="preserve">Wingrove v. </w:t>
      </w:r>
      <w:r w:rsidRPr="00B124DC">
        <w:rPr>
          <w:i/>
          <w:iCs/>
          <w:lang w:val="en-GB"/>
        </w:rPr>
        <w:t>the United Kingdom</w:t>
      </w:r>
      <w:r w:rsidR="00CF7507">
        <w:rPr>
          <w:iCs/>
          <w:lang w:val="en-GB"/>
        </w:rPr>
        <w:t>,</w:t>
      </w:r>
      <w:r w:rsidRPr="00B124DC">
        <w:rPr>
          <w:lang w:val="en-GB"/>
        </w:rPr>
        <w:t xml:space="preserve"> judgment of 25 November 1996, </w:t>
      </w:r>
      <w:r w:rsidRPr="00B124DC">
        <w:rPr>
          <w:i/>
          <w:iCs/>
          <w:lang w:val="en-GB"/>
        </w:rPr>
        <w:t xml:space="preserve">Reports </w:t>
      </w:r>
      <w:r w:rsidRPr="00B124DC">
        <w:rPr>
          <w:lang w:val="en-GB"/>
        </w:rPr>
        <w:t xml:space="preserve">1996-V, </w:t>
      </w:r>
      <w:r w:rsidR="00CF7507">
        <w:rPr>
          <w:lang w:val="en-GB"/>
        </w:rPr>
        <w:t>p</w:t>
      </w:r>
      <w:r w:rsidRPr="00B124DC">
        <w:rPr>
          <w:lang w:val="en-GB"/>
        </w:rPr>
        <w:t>p.</w:t>
      </w:r>
      <w:r w:rsidR="00932AF2">
        <w:rPr>
          <w:lang w:val="en-GB"/>
        </w:rPr>
        <w:t xml:space="preserve"> </w:t>
      </w:r>
      <w:r w:rsidRPr="00B124DC">
        <w:rPr>
          <w:lang w:val="en-GB"/>
        </w:rPr>
        <w:t>195</w:t>
      </w:r>
      <w:r w:rsidR="00CF7507">
        <w:rPr>
          <w:lang w:val="en-GB"/>
        </w:rPr>
        <w:t>7-58</w:t>
      </w:r>
      <w:r w:rsidRPr="00B124DC">
        <w:rPr>
          <w:lang w:val="en-GB"/>
        </w:rPr>
        <w:t xml:space="preserve">, § 58). </w:t>
      </w:r>
      <w:r w:rsidR="001A7FBB" w:rsidRPr="00B124DC">
        <w:rPr>
          <w:lang w:val="en-GB"/>
        </w:rPr>
        <w:t xml:space="preserve">This will </w:t>
      </w:r>
      <w:r w:rsidR="000E7210" w:rsidRPr="00B124DC">
        <w:rPr>
          <w:lang w:val="en-GB"/>
        </w:rPr>
        <w:t xml:space="preserve">notably </w:t>
      </w:r>
      <w:r w:rsidR="001A7FBB" w:rsidRPr="00B124DC">
        <w:rPr>
          <w:lang w:val="en-GB"/>
        </w:rPr>
        <w:t xml:space="preserve">be the case </w:t>
      </w:r>
      <w:r w:rsidR="00A42EC3" w:rsidRPr="00B124DC">
        <w:rPr>
          <w:lang w:val="en-GB"/>
        </w:rPr>
        <w:t>when it comes to regulati</w:t>
      </w:r>
      <w:r w:rsidR="001A7FBB" w:rsidRPr="00B124DC">
        <w:rPr>
          <w:lang w:val="en-GB"/>
        </w:rPr>
        <w:t>ng</w:t>
      </w:r>
      <w:r w:rsidR="00A42EC3" w:rsidRPr="00B124DC">
        <w:rPr>
          <w:lang w:val="en-GB"/>
        </w:rPr>
        <w:t xml:space="preserve"> the wearing of religious symbols in </w:t>
      </w:r>
      <w:r w:rsidR="001A7FBB" w:rsidRPr="00B124DC">
        <w:rPr>
          <w:lang w:val="en-GB"/>
        </w:rPr>
        <w:t>educational institutions</w:t>
      </w:r>
      <w:r w:rsidR="003F381A" w:rsidRPr="00B124DC">
        <w:rPr>
          <w:lang w:val="en-GB"/>
        </w:rPr>
        <w:t xml:space="preserve">, </w:t>
      </w:r>
      <w:r w:rsidR="001A7FBB" w:rsidRPr="00B124DC">
        <w:rPr>
          <w:lang w:val="en-GB"/>
        </w:rPr>
        <w:t>especially</w:t>
      </w:r>
      <w:r w:rsidR="003F381A" w:rsidRPr="00B124DC">
        <w:rPr>
          <w:lang w:val="en-GB"/>
        </w:rPr>
        <w:t xml:space="preserve"> </w:t>
      </w:r>
      <w:r w:rsidR="00BE1334" w:rsidRPr="00B124DC">
        <w:rPr>
          <w:lang w:val="en-GB"/>
        </w:rPr>
        <w:t>(</w:t>
      </w:r>
      <w:r w:rsidR="006B47E1" w:rsidRPr="00B124DC">
        <w:rPr>
          <w:lang w:val="en-GB"/>
        </w:rPr>
        <w:t>as the comparative</w:t>
      </w:r>
      <w:r w:rsidR="00BE1334" w:rsidRPr="00B124DC">
        <w:rPr>
          <w:lang w:val="en-GB"/>
        </w:rPr>
        <w:t>-</w:t>
      </w:r>
      <w:r w:rsidR="006B47E1" w:rsidRPr="00B124DC">
        <w:rPr>
          <w:lang w:val="en-GB"/>
        </w:rPr>
        <w:t xml:space="preserve">law materials </w:t>
      </w:r>
      <w:r w:rsidR="00BE1334" w:rsidRPr="00B124DC">
        <w:rPr>
          <w:lang w:val="en-GB"/>
        </w:rPr>
        <w:t xml:space="preserve">illustrate – </w:t>
      </w:r>
      <w:r w:rsidR="006B47E1" w:rsidRPr="00B124DC">
        <w:rPr>
          <w:lang w:val="en-GB"/>
        </w:rPr>
        <w:t>see paragraphs</w:t>
      </w:r>
      <w:r w:rsidR="003F381A" w:rsidRPr="00B124DC">
        <w:rPr>
          <w:lang w:val="en-GB"/>
        </w:rPr>
        <w:t xml:space="preserve"> 55-65</w:t>
      </w:r>
      <w:r w:rsidR="006B47E1" w:rsidRPr="00B124DC">
        <w:rPr>
          <w:lang w:val="en-GB"/>
        </w:rPr>
        <w:t xml:space="preserve"> above</w:t>
      </w:r>
      <w:r w:rsidR="00BE1334" w:rsidRPr="00B124DC">
        <w:rPr>
          <w:lang w:val="en-GB"/>
        </w:rPr>
        <w:t>)</w:t>
      </w:r>
      <w:r w:rsidR="003F381A" w:rsidRPr="00B124DC">
        <w:rPr>
          <w:lang w:val="en-GB"/>
        </w:rPr>
        <w:t xml:space="preserve"> </w:t>
      </w:r>
      <w:r w:rsidR="006B47E1" w:rsidRPr="00B124DC">
        <w:rPr>
          <w:lang w:val="en-GB"/>
        </w:rPr>
        <w:t>in view of the diversity of the approaches taken by national authorities on th</w:t>
      </w:r>
      <w:r w:rsidR="000E7210" w:rsidRPr="00B124DC">
        <w:rPr>
          <w:lang w:val="en-GB"/>
        </w:rPr>
        <w:t>e</w:t>
      </w:r>
      <w:r w:rsidR="006B47E1" w:rsidRPr="00B124DC">
        <w:rPr>
          <w:lang w:val="en-GB"/>
        </w:rPr>
        <w:t xml:space="preserve"> issue. It is not possible to discern throughout Europe a uniform conception of the significance of religion in society </w:t>
      </w:r>
      <w:r w:rsidR="003F381A" w:rsidRPr="00B124DC">
        <w:rPr>
          <w:lang w:val="en-GB"/>
        </w:rPr>
        <w:t>(</w:t>
      </w:r>
      <w:r w:rsidR="00CF7507">
        <w:rPr>
          <w:lang w:val="en-GB"/>
        </w:rPr>
        <w:t xml:space="preserve">see </w:t>
      </w:r>
      <w:r w:rsidR="003F381A" w:rsidRPr="00B124DC">
        <w:rPr>
          <w:i/>
          <w:lang w:val="en-GB"/>
        </w:rPr>
        <w:t xml:space="preserve">Otto-Preminger-Institut </w:t>
      </w:r>
      <w:r w:rsidR="006B47E1" w:rsidRPr="00B124DC">
        <w:rPr>
          <w:i/>
          <w:lang w:val="en-GB"/>
        </w:rPr>
        <w:t>v</w:t>
      </w:r>
      <w:r w:rsidR="003F381A" w:rsidRPr="00B124DC">
        <w:rPr>
          <w:i/>
          <w:lang w:val="en-GB"/>
        </w:rPr>
        <w:t xml:space="preserve">. </w:t>
      </w:r>
      <w:r w:rsidR="006B47E1" w:rsidRPr="00B124DC">
        <w:rPr>
          <w:i/>
          <w:lang w:val="en-GB"/>
        </w:rPr>
        <w:t>Austria</w:t>
      </w:r>
      <w:r w:rsidR="003F381A" w:rsidRPr="00B124DC">
        <w:rPr>
          <w:lang w:val="en-GB"/>
        </w:rPr>
        <w:t xml:space="preserve">, </w:t>
      </w:r>
      <w:r w:rsidR="006B47E1" w:rsidRPr="00B124DC">
        <w:rPr>
          <w:lang w:val="en-GB"/>
        </w:rPr>
        <w:t>judgment of</w:t>
      </w:r>
      <w:r w:rsidR="003F381A" w:rsidRPr="00B124DC">
        <w:rPr>
          <w:lang w:val="en-GB"/>
        </w:rPr>
        <w:t xml:space="preserve"> 20</w:t>
      </w:r>
      <w:r w:rsidR="00E02BDF" w:rsidRPr="00B124DC">
        <w:rPr>
          <w:lang w:val="en-GB"/>
        </w:rPr>
        <w:t> </w:t>
      </w:r>
      <w:r w:rsidR="00800ADE" w:rsidRPr="00B124DC">
        <w:rPr>
          <w:lang w:val="en-GB"/>
        </w:rPr>
        <w:t>September</w:t>
      </w:r>
      <w:r w:rsidR="003F381A" w:rsidRPr="00B124DC">
        <w:rPr>
          <w:lang w:val="en-GB"/>
        </w:rPr>
        <w:t xml:space="preserve"> 1994, </w:t>
      </w:r>
      <w:r w:rsidR="006B47E1" w:rsidRPr="00B124DC">
        <w:rPr>
          <w:lang w:val="en-GB"/>
        </w:rPr>
        <w:t xml:space="preserve">Series A no. </w:t>
      </w:r>
      <w:r w:rsidR="003F381A" w:rsidRPr="00B124DC">
        <w:rPr>
          <w:lang w:val="en-GB"/>
        </w:rPr>
        <w:t>295</w:t>
      </w:r>
      <w:r w:rsidR="003F381A" w:rsidRPr="00B124DC">
        <w:rPr>
          <w:lang w:val="en-GB"/>
        </w:rPr>
        <w:noBreakHyphen/>
        <w:t>A, p.</w:t>
      </w:r>
      <w:r w:rsidR="00932AF2">
        <w:rPr>
          <w:lang w:val="en-GB"/>
        </w:rPr>
        <w:t xml:space="preserve"> </w:t>
      </w:r>
      <w:r w:rsidR="003F381A" w:rsidRPr="00B124DC">
        <w:rPr>
          <w:lang w:val="en-GB"/>
        </w:rPr>
        <w:t>19, § 50)</w:t>
      </w:r>
      <w:r w:rsidR="004F619D">
        <w:rPr>
          <w:lang w:val="en-GB"/>
        </w:rPr>
        <w:t>,</w:t>
      </w:r>
      <w:r w:rsidR="003F381A" w:rsidRPr="00B124DC">
        <w:rPr>
          <w:lang w:val="en-GB"/>
        </w:rPr>
        <w:t xml:space="preserve"> </w:t>
      </w:r>
      <w:r w:rsidR="0072480D" w:rsidRPr="00B124DC">
        <w:rPr>
          <w:lang w:val="en-GB"/>
        </w:rPr>
        <w:t xml:space="preserve">and the </w:t>
      </w:r>
      <w:r w:rsidR="000E7210" w:rsidRPr="00B124DC">
        <w:rPr>
          <w:lang w:val="en-GB"/>
        </w:rPr>
        <w:t>meaning</w:t>
      </w:r>
      <w:r w:rsidR="0072480D" w:rsidRPr="00B124DC">
        <w:rPr>
          <w:lang w:val="en-GB"/>
        </w:rPr>
        <w:t xml:space="preserve"> or impact of the public expression of </w:t>
      </w:r>
      <w:r w:rsidR="000E7210" w:rsidRPr="00B124DC">
        <w:rPr>
          <w:lang w:val="en-GB"/>
        </w:rPr>
        <w:t>a</w:t>
      </w:r>
      <w:r w:rsidR="0072480D" w:rsidRPr="00B124DC">
        <w:rPr>
          <w:lang w:val="en-GB"/>
        </w:rPr>
        <w:t xml:space="preserve"> religious belief </w:t>
      </w:r>
      <w:r w:rsidR="000E7210" w:rsidRPr="00B124DC">
        <w:rPr>
          <w:lang w:val="en-GB"/>
        </w:rPr>
        <w:t xml:space="preserve">will </w:t>
      </w:r>
      <w:r w:rsidR="00CE2551" w:rsidRPr="00B124DC">
        <w:rPr>
          <w:lang w:val="en-GB"/>
        </w:rPr>
        <w:t>differ</w:t>
      </w:r>
      <w:r w:rsidR="000E7210" w:rsidRPr="00B124DC">
        <w:rPr>
          <w:lang w:val="en-GB"/>
        </w:rPr>
        <w:t xml:space="preserve"> according to time and </w:t>
      </w:r>
      <w:r w:rsidR="00CE2551" w:rsidRPr="00B124DC">
        <w:rPr>
          <w:lang w:val="en-GB"/>
        </w:rPr>
        <w:t>context</w:t>
      </w:r>
      <w:r w:rsidR="0072480D" w:rsidRPr="00B124DC">
        <w:rPr>
          <w:lang w:val="en-GB"/>
        </w:rPr>
        <w:t xml:space="preserve"> </w:t>
      </w:r>
      <w:r w:rsidR="003F381A" w:rsidRPr="00B124DC">
        <w:rPr>
          <w:lang w:val="en-GB"/>
        </w:rPr>
        <w:t>(</w:t>
      </w:r>
      <w:r w:rsidR="006B47E1" w:rsidRPr="00B124DC">
        <w:rPr>
          <w:lang w:val="en-GB"/>
        </w:rPr>
        <w:t>see</w:t>
      </w:r>
      <w:r w:rsidR="003F381A" w:rsidRPr="00B124DC">
        <w:rPr>
          <w:lang w:val="en-GB"/>
        </w:rPr>
        <w:t xml:space="preserve">, </w:t>
      </w:r>
      <w:r w:rsidR="006B47E1" w:rsidRPr="00B124DC">
        <w:rPr>
          <w:lang w:val="en-GB"/>
        </w:rPr>
        <w:t>among other authorities</w:t>
      </w:r>
      <w:r w:rsidR="003F381A" w:rsidRPr="00B124DC">
        <w:rPr>
          <w:lang w:val="en-GB"/>
        </w:rPr>
        <w:t xml:space="preserve">, </w:t>
      </w:r>
      <w:r w:rsidR="003F381A" w:rsidRPr="00B124DC">
        <w:rPr>
          <w:i/>
          <w:iCs/>
          <w:lang w:val="en-GB"/>
        </w:rPr>
        <w:t xml:space="preserve">Dahlab </w:t>
      </w:r>
      <w:r w:rsidR="006B47E1" w:rsidRPr="00B124DC">
        <w:rPr>
          <w:i/>
          <w:iCs/>
          <w:lang w:val="en-GB"/>
        </w:rPr>
        <w:t>v</w:t>
      </w:r>
      <w:r w:rsidR="003F381A" w:rsidRPr="00B124DC">
        <w:rPr>
          <w:i/>
          <w:iCs/>
          <w:lang w:val="en-GB"/>
        </w:rPr>
        <w:t xml:space="preserve">. </w:t>
      </w:r>
      <w:r w:rsidR="006B47E1" w:rsidRPr="00B124DC">
        <w:rPr>
          <w:i/>
          <w:iCs/>
          <w:lang w:val="en-GB"/>
        </w:rPr>
        <w:t>Switzerland</w:t>
      </w:r>
      <w:r w:rsidR="003F381A" w:rsidRPr="00B124DC">
        <w:rPr>
          <w:i/>
          <w:iCs/>
          <w:lang w:val="en-GB"/>
        </w:rPr>
        <w:t xml:space="preserve"> </w:t>
      </w:r>
      <w:r w:rsidR="003F381A" w:rsidRPr="00B124DC">
        <w:rPr>
          <w:iCs/>
          <w:lang w:val="en-GB"/>
        </w:rPr>
        <w:t>(d</w:t>
      </w:r>
      <w:r w:rsidR="006B47E1" w:rsidRPr="00B124DC">
        <w:rPr>
          <w:iCs/>
          <w:lang w:val="en-GB"/>
        </w:rPr>
        <w:t>e</w:t>
      </w:r>
      <w:r w:rsidR="003F381A" w:rsidRPr="00B124DC">
        <w:rPr>
          <w:iCs/>
          <w:lang w:val="en-GB"/>
        </w:rPr>
        <w:t>c.)</w:t>
      </w:r>
      <w:r w:rsidR="000C48A0">
        <w:rPr>
          <w:iCs/>
          <w:lang w:val="en-GB"/>
        </w:rPr>
        <w:t>,</w:t>
      </w:r>
      <w:r w:rsidR="003F381A" w:rsidRPr="00B124DC">
        <w:rPr>
          <w:i/>
          <w:iCs/>
          <w:lang w:val="en-GB"/>
        </w:rPr>
        <w:t xml:space="preserve"> </w:t>
      </w:r>
      <w:r w:rsidR="003F381A" w:rsidRPr="00B124DC">
        <w:rPr>
          <w:lang w:val="en-GB"/>
        </w:rPr>
        <w:t>n</w:t>
      </w:r>
      <w:r w:rsidR="006B47E1" w:rsidRPr="00B124DC">
        <w:rPr>
          <w:lang w:val="en-GB"/>
        </w:rPr>
        <w:t>o.</w:t>
      </w:r>
      <w:r w:rsidR="00932AF2">
        <w:rPr>
          <w:lang w:val="en-GB"/>
        </w:rPr>
        <w:t> </w:t>
      </w:r>
      <w:r w:rsidR="003F381A" w:rsidRPr="00B124DC">
        <w:rPr>
          <w:lang w:val="en-GB"/>
        </w:rPr>
        <w:t>42393/98, E</w:t>
      </w:r>
      <w:r w:rsidR="006B47E1" w:rsidRPr="00B124DC">
        <w:rPr>
          <w:lang w:val="en-GB"/>
        </w:rPr>
        <w:t>C</w:t>
      </w:r>
      <w:r w:rsidR="003F381A" w:rsidRPr="00B124DC">
        <w:rPr>
          <w:lang w:val="en-GB"/>
        </w:rPr>
        <w:t>H</w:t>
      </w:r>
      <w:r w:rsidR="006B47E1" w:rsidRPr="00B124DC">
        <w:rPr>
          <w:lang w:val="en-GB"/>
        </w:rPr>
        <w:t>R</w:t>
      </w:r>
      <w:r w:rsidR="003F381A" w:rsidRPr="00B124DC">
        <w:rPr>
          <w:lang w:val="en-GB"/>
        </w:rPr>
        <w:t xml:space="preserve"> 2001</w:t>
      </w:r>
      <w:r w:rsidR="003F381A" w:rsidRPr="00B124DC">
        <w:rPr>
          <w:lang w:val="en-GB"/>
        </w:rPr>
        <w:noBreakHyphen/>
        <w:t xml:space="preserve">V). </w:t>
      </w:r>
      <w:r w:rsidR="0072480D" w:rsidRPr="00B124DC">
        <w:rPr>
          <w:lang w:val="en-GB"/>
        </w:rPr>
        <w:t>R</w:t>
      </w:r>
      <w:r w:rsidR="00D31848" w:rsidRPr="00B124DC">
        <w:rPr>
          <w:lang w:val="en-GB"/>
        </w:rPr>
        <w:t>ules</w:t>
      </w:r>
      <w:r w:rsidR="0072480D" w:rsidRPr="00B124DC">
        <w:rPr>
          <w:lang w:val="en-GB"/>
        </w:rPr>
        <w:t xml:space="preserve"> in this sphere </w:t>
      </w:r>
      <w:r w:rsidR="00D31848" w:rsidRPr="00B124DC">
        <w:rPr>
          <w:lang w:val="en-GB"/>
        </w:rPr>
        <w:t xml:space="preserve">will </w:t>
      </w:r>
      <w:r w:rsidR="0072480D" w:rsidRPr="00B124DC">
        <w:rPr>
          <w:lang w:val="en-GB"/>
        </w:rPr>
        <w:t xml:space="preserve">consequently vary from one country to another according to national traditions and the requirements imposed by the need to protect </w:t>
      </w:r>
      <w:r w:rsidR="00D31848" w:rsidRPr="00B124DC">
        <w:rPr>
          <w:lang w:val="en-GB"/>
        </w:rPr>
        <w:t xml:space="preserve">the </w:t>
      </w:r>
      <w:r w:rsidR="0072480D" w:rsidRPr="00B124DC">
        <w:rPr>
          <w:lang w:val="en-GB"/>
        </w:rPr>
        <w:t xml:space="preserve">rights and freedoms of others and </w:t>
      </w:r>
      <w:r w:rsidR="00D31848" w:rsidRPr="00B124DC">
        <w:rPr>
          <w:lang w:val="en-GB"/>
        </w:rPr>
        <w:t xml:space="preserve">to </w:t>
      </w:r>
      <w:r w:rsidR="0072480D" w:rsidRPr="00B124DC">
        <w:rPr>
          <w:lang w:val="en-GB"/>
        </w:rPr>
        <w:t>maintain public order</w:t>
      </w:r>
      <w:r w:rsidR="00D31848" w:rsidRPr="00B124DC">
        <w:rPr>
          <w:lang w:val="en-GB"/>
        </w:rPr>
        <w:t xml:space="preserve"> (see, </w:t>
      </w:r>
      <w:r w:rsidR="00D31848" w:rsidRPr="00B124DC">
        <w:rPr>
          <w:i/>
          <w:lang w:val="en-GB"/>
        </w:rPr>
        <w:t>mutatis mutandis</w:t>
      </w:r>
      <w:r w:rsidR="00D31848" w:rsidRPr="00B124DC">
        <w:rPr>
          <w:lang w:val="en-GB"/>
        </w:rPr>
        <w:t xml:space="preserve">, </w:t>
      </w:r>
      <w:r w:rsidR="00D31848" w:rsidRPr="00B124DC">
        <w:rPr>
          <w:i/>
          <w:lang w:val="en-GB" w:eastAsia="en-US"/>
        </w:rPr>
        <w:t>Wingrove</w:t>
      </w:r>
      <w:r w:rsidR="00D31848" w:rsidRPr="00B124DC">
        <w:rPr>
          <w:lang w:val="en-GB" w:eastAsia="en-US"/>
        </w:rPr>
        <w:t>, cited above,</w:t>
      </w:r>
      <w:r w:rsidR="00D31848" w:rsidRPr="00B124DC">
        <w:rPr>
          <w:i/>
          <w:lang w:val="en-GB" w:eastAsia="en-US"/>
        </w:rPr>
        <w:t xml:space="preserve"> </w:t>
      </w:r>
      <w:r w:rsidR="00D31848" w:rsidRPr="00B124DC">
        <w:rPr>
          <w:lang w:val="en-GB" w:eastAsia="en-US"/>
        </w:rPr>
        <w:t>p. 1957, § 57)</w:t>
      </w:r>
      <w:r w:rsidR="003F381A" w:rsidRPr="00B124DC">
        <w:rPr>
          <w:lang w:val="en-GB"/>
        </w:rPr>
        <w:t xml:space="preserve">. </w:t>
      </w:r>
      <w:r w:rsidR="00A053B7" w:rsidRPr="00B124DC">
        <w:rPr>
          <w:lang w:val="en-GB"/>
        </w:rPr>
        <w:t>Accordingly,</w:t>
      </w:r>
      <w:r w:rsidR="003F381A" w:rsidRPr="00B124DC">
        <w:rPr>
          <w:lang w:val="en-GB"/>
        </w:rPr>
        <w:t xml:space="preserve"> </w:t>
      </w:r>
      <w:r w:rsidR="00143C5C" w:rsidRPr="00B124DC">
        <w:rPr>
          <w:lang w:val="en-GB"/>
        </w:rPr>
        <w:t xml:space="preserve">the choice of the extent and form such regulations should take must inevitably be left up to a point to the State concerned, as it will depend on the </w:t>
      </w:r>
      <w:r w:rsidR="00CF7507">
        <w:rPr>
          <w:lang w:val="en-GB"/>
        </w:rPr>
        <w:t xml:space="preserve">specific </w:t>
      </w:r>
      <w:r w:rsidR="00143C5C" w:rsidRPr="00B124DC">
        <w:rPr>
          <w:lang w:val="en-GB"/>
        </w:rPr>
        <w:t xml:space="preserve">domestic context </w:t>
      </w:r>
      <w:r w:rsidR="003F381A" w:rsidRPr="00B124DC">
        <w:rPr>
          <w:lang w:val="en-GB"/>
        </w:rPr>
        <w:t>(</w:t>
      </w:r>
      <w:r w:rsidR="00002048" w:rsidRPr="00B124DC">
        <w:rPr>
          <w:lang w:val="en-GB"/>
        </w:rPr>
        <w:t>see</w:t>
      </w:r>
      <w:r w:rsidR="003F381A" w:rsidRPr="00B124DC">
        <w:rPr>
          <w:lang w:val="en-GB"/>
        </w:rPr>
        <w:t xml:space="preserve">, </w:t>
      </w:r>
      <w:r w:rsidR="003F381A" w:rsidRPr="00B124DC">
        <w:rPr>
          <w:i/>
          <w:lang w:val="en-GB"/>
        </w:rPr>
        <w:t>mutatis mutandis</w:t>
      </w:r>
      <w:r w:rsidR="003F381A" w:rsidRPr="00B124DC">
        <w:rPr>
          <w:lang w:val="en-GB"/>
        </w:rPr>
        <w:t xml:space="preserve">, </w:t>
      </w:r>
      <w:r w:rsidR="003F381A" w:rsidRPr="00B124DC">
        <w:rPr>
          <w:i/>
          <w:lang w:val="en-GB"/>
        </w:rPr>
        <w:t>Gorzelik</w:t>
      </w:r>
      <w:r w:rsidR="004F619D">
        <w:rPr>
          <w:i/>
          <w:lang w:val="en-GB"/>
        </w:rPr>
        <w:t xml:space="preserve"> and Others</w:t>
      </w:r>
      <w:r w:rsidR="00002048" w:rsidRPr="00B124DC">
        <w:rPr>
          <w:lang w:val="en-GB"/>
        </w:rPr>
        <w:t>, cited above</w:t>
      </w:r>
      <w:r w:rsidR="003F381A" w:rsidRPr="00B124DC">
        <w:rPr>
          <w:lang w:val="en-GB"/>
        </w:rPr>
        <w:t>, §</w:t>
      </w:r>
      <w:r w:rsidR="00932AF2">
        <w:rPr>
          <w:lang w:val="en-GB"/>
        </w:rPr>
        <w:t xml:space="preserve"> </w:t>
      </w:r>
      <w:r w:rsidR="003F381A" w:rsidRPr="00B124DC">
        <w:rPr>
          <w:lang w:val="en-GB"/>
        </w:rPr>
        <w:t>67</w:t>
      </w:r>
      <w:r w:rsidR="00CF7507">
        <w:rPr>
          <w:lang w:val="en-GB"/>
        </w:rPr>
        <w:t>,</w:t>
      </w:r>
      <w:r w:rsidR="00002048" w:rsidRPr="00B124DC">
        <w:rPr>
          <w:lang w:val="en-GB"/>
        </w:rPr>
        <w:t xml:space="preserve"> and</w:t>
      </w:r>
      <w:r w:rsidR="003F381A" w:rsidRPr="00B124DC">
        <w:rPr>
          <w:lang w:val="en-GB"/>
        </w:rPr>
        <w:t xml:space="preserve"> </w:t>
      </w:r>
      <w:r w:rsidR="003F381A" w:rsidRPr="00B124DC">
        <w:rPr>
          <w:i/>
          <w:lang w:val="en-GB"/>
        </w:rPr>
        <w:t xml:space="preserve">Murphy </w:t>
      </w:r>
      <w:r w:rsidR="00002048" w:rsidRPr="00B124DC">
        <w:rPr>
          <w:i/>
          <w:lang w:val="en-GB"/>
        </w:rPr>
        <w:t>v</w:t>
      </w:r>
      <w:r w:rsidR="00932AF2">
        <w:rPr>
          <w:i/>
          <w:lang w:val="en-GB"/>
        </w:rPr>
        <w:t>.</w:t>
      </w:r>
      <w:r w:rsidR="00CF7507">
        <w:rPr>
          <w:i/>
          <w:lang w:val="en-GB"/>
        </w:rPr>
        <w:t xml:space="preserve"> </w:t>
      </w:r>
      <w:r w:rsidR="003F381A" w:rsidRPr="00B124DC">
        <w:rPr>
          <w:i/>
          <w:lang w:val="en-GB"/>
        </w:rPr>
        <w:t>Ir</w:t>
      </w:r>
      <w:r w:rsidR="00002048" w:rsidRPr="00B124DC">
        <w:rPr>
          <w:i/>
          <w:lang w:val="en-GB"/>
        </w:rPr>
        <w:t>e</w:t>
      </w:r>
      <w:r w:rsidR="003F381A" w:rsidRPr="00B124DC">
        <w:rPr>
          <w:i/>
          <w:lang w:val="en-GB"/>
        </w:rPr>
        <w:t>land</w:t>
      </w:r>
      <w:r w:rsidR="003F381A" w:rsidRPr="00B124DC">
        <w:rPr>
          <w:lang w:val="en-GB"/>
        </w:rPr>
        <w:t>,</w:t>
      </w:r>
      <w:r w:rsidR="003F381A" w:rsidRPr="00B124DC">
        <w:rPr>
          <w:i/>
          <w:lang w:val="en-GB"/>
        </w:rPr>
        <w:t xml:space="preserve"> </w:t>
      </w:r>
      <w:r w:rsidR="003F381A" w:rsidRPr="00B124DC">
        <w:rPr>
          <w:lang w:val="en-GB"/>
        </w:rPr>
        <w:t>n</w:t>
      </w:r>
      <w:r w:rsidR="00002048" w:rsidRPr="00B124DC">
        <w:rPr>
          <w:lang w:val="en-GB"/>
        </w:rPr>
        <w:t>o.</w:t>
      </w:r>
      <w:r w:rsidR="003F381A" w:rsidRPr="00B124DC">
        <w:rPr>
          <w:lang w:val="en-GB"/>
        </w:rPr>
        <w:t xml:space="preserve"> 44179/98, § 73, </w:t>
      </w:r>
      <w:r w:rsidR="00002048" w:rsidRPr="00B124DC">
        <w:rPr>
          <w:lang w:val="en-GB"/>
        </w:rPr>
        <w:t xml:space="preserve">ECHR </w:t>
      </w:r>
      <w:r w:rsidR="004F619D">
        <w:rPr>
          <w:lang w:val="en-GB"/>
        </w:rPr>
        <w:t>2003-</w:t>
      </w:r>
      <w:r w:rsidR="003F381A" w:rsidRPr="00B124DC">
        <w:rPr>
          <w:lang w:val="en-GB"/>
        </w:rPr>
        <w:t>IX).</w:t>
      </w:r>
    </w:p>
    <w:p w:rsidR="00480767" w:rsidRPr="00B124DC" w:rsidRDefault="00480767" w:rsidP="00716BE9">
      <w:pPr>
        <w:pStyle w:val="JuParaCharCharCharCharCharCharChar"/>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110</w:t>
      </w:r>
      <w:r w:rsidRPr="00B124DC">
        <w:rPr>
          <w:lang w:val="en-GB"/>
        </w:rPr>
        <w:fldChar w:fldCharType="end"/>
      </w:r>
      <w:r w:rsidRPr="00B124DC">
        <w:rPr>
          <w:lang w:val="en-GB"/>
        </w:rPr>
        <w:t>.  </w:t>
      </w:r>
      <w:r w:rsidR="00B734F3" w:rsidRPr="00B124DC">
        <w:rPr>
          <w:lang w:val="en-GB"/>
        </w:rPr>
        <w:t>This margin of appreciation</w:t>
      </w:r>
      <w:r w:rsidRPr="00B124DC">
        <w:rPr>
          <w:lang w:val="en-GB"/>
        </w:rPr>
        <w:t xml:space="preserve"> </w:t>
      </w:r>
      <w:r w:rsidR="002B43D5" w:rsidRPr="00B124DC">
        <w:rPr>
          <w:lang w:val="en-GB"/>
        </w:rPr>
        <w:t>goes hand in hand with a European supervision</w:t>
      </w:r>
      <w:r w:rsidRPr="00B124DC">
        <w:rPr>
          <w:lang w:val="en-GB"/>
        </w:rPr>
        <w:t xml:space="preserve"> </w:t>
      </w:r>
      <w:r w:rsidR="00B734F3" w:rsidRPr="00B124DC">
        <w:rPr>
          <w:lang w:val="en-GB"/>
        </w:rPr>
        <w:t>embracing both the law and the decisions applying it</w:t>
      </w:r>
      <w:r w:rsidRPr="00B124DC">
        <w:rPr>
          <w:lang w:val="en-GB"/>
        </w:rPr>
        <w:t xml:space="preserve">. </w:t>
      </w:r>
      <w:r w:rsidR="00DE4192" w:rsidRPr="00B124DC">
        <w:rPr>
          <w:lang w:val="en-GB"/>
        </w:rPr>
        <w:t>The Court</w:t>
      </w:r>
      <w:r w:rsidR="0006350D">
        <w:rPr>
          <w:lang w:val="en-GB"/>
        </w:rPr>
        <w:t>’</w:t>
      </w:r>
      <w:r w:rsidR="00DE4192" w:rsidRPr="00B124DC">
        <w:rPr>
          <w:lang w:val="en-GB"/>
        </w:rPr>
        <w:t xml:space="preserve">s task is to determine whether the measures taken at national level were justified in principle and proportionate </w:t>
      </w:r>
      <w:r w:rsidRPr="00B124DC">
        <w:rPr>
          <w:lang w:val="en-GB"/>
        </w:rPr>
        <w:t>(</w:t>
      </w:r>
      <w:r w:rsidR="00CF7507">
        <w:rPr>
          <w:lang w:val="en-GB"/>
        </w:rPr>
        <w:t xml:space="preserve">see </w:t>
      </w:r>
      <w:r w:rsidRPr="00B124DC">
        <w:rPr>
          <w:i/>
          <w:iCs/>
          <w:lang w:val="en-GB"/>
        </w:rPr>
        <w:t>Manoussakis and Others</w:t>
      </w:r>
      <w:r w:rsidRPr="00B124DC">
        <w:rPr>
          <w:lang w:val="en-GB"/>
        </w:rPr>
        <w:t xml:space="preserve">, cited above, </w:t>
      </w:r>
      <w:r w:rsidR="00CF7507">
        <w:rPr>
          <w:lang w:val="en-GB"/>
        </w:rPr>
        <w:t xml:space="preserve">p. 1364, </w:t>
      </w:r>
      <w:r w:rsidRPr="00B124DC">
        <w:rPr>
          <w:lang w:val="en-GB"/>
        </w:rPr>
        <w:t xml:space="preserve">§ 44). </w:t>
      </w:r>
      <w:r w:rsidR="004064DB" w:rsidRPr="00B124DC">
        <w:rPr>
          <w:lang w:val="en-GB"/>
        </w:rPr>
        <w:t xml:space="preserve">In </w:t>
      </w:r>
      <w:r w:rsidR="00E02BDF" w:rsidRPr="00B124DC">
        <w:rPr>
          <w:lang w:val="en-GB"/>
        </w:rPr>
        <w:t>delimiting</w:t>
      </w:r>
      <w:r w:rsidR="004064DB" w:rsidRPr="00B124DC">
        <w:rPr>
          <w:lang w:val="en-GB"/>
        </w:rPr>
        <w:t xml:space="preserve"> the </w:t>
      </w:r>
      <w:r w:rsidR="00E02BDF" w:rsidRPr="00B124DC">
        <w:rPr>
          <w:lang w:val="en-GB"/>
        </w:rPr>
        <w:t>extent</w:t>
      </w:r>
      <w:r w:rsidR="004064DB" w:rsidRPr="00B124DC">
        <w:rPr>
          <w:lang w:val="en-GB"/>
        </w:rPr>
        <w:t xml:space="preserve"> of the margin of appreciation in the present case</w:t>
      </w:r>
      <w:r w:rsidR="00CF7507">
        <w:rPr>
          <w:lang w:val="en-GB"/>
        </w:rPr>
        <w:t>,</w:t>
      </w:r>
      <w:r w:rsidR="004064DB" w:rsidRPr="00B124DC">
        <w:rPr>
          <w:lang w:val="en-GB"/>
        </w:rPr>
        <w:t xml:space="preserve"> the Court must </w:t>
      </w:r>
      <w:r w:rsidR="00E02BDF" w:rsidRPr="00B124DC">
        <w:rPr>
          <w:lang w:val="en-GB"/>
        </w:rPr>
        <w:t>have regard to</w:t>
      </w:r>
      <w:r w:rsidR="004064DB" w:rsidRPr="00B124DC">
        <w:rPr>
          <w:lang w:val="en-GB"/>
        </w:rPr>
        <w:t xml:space="preserve"> </w:t>
      </w:r>
      <w:r w:rsidR="008B6DC6" w:rsidRPr="00B124DC">
        <w:rPr>
          <w:lang w:val="en-GB"/>
        </w:rPr>
        <w:t xml:space="preserve">what </w:t>
      </w:r>
      <w:r w:rsidR="00E02BDF" w:rsidRPr="00B124DC">
        <w:rPr>
          <w:lang w:val="en-GB"/>
        </w:rPr>
        <w:t>i</w:t>
      </w:r>
      <w:r w:rsidR="008B6DC6" w:rsidRPr="00B124DC">
        <w:rPr>
          <w:lang w:val="en-GB"/>
        </w:rPr>
        <w:t>s at stake</w:t>
      </w:r>
      <w:r w:rsidR="004064DB" w:rsidRPr="00B124DC">
        <w:rPr>
          <w:lang w:val="en-GB"/>
        </w:rPr>
        <w:t xml:space="preserve">, namely the </w:t>
      </w:r>
      <w:r w:rsidR="00E02BDF" w:rsidRPr="00B124DC">
        <w:rPr>
          <w:lang w:val="en-GB"/>
        </w:rPr>
        <w:t xml:space="preserve">need to </w:t>
      </w:r>
      <w:r w:rsidR="004064DB" w:rsidRPr="00B124DC">
        <w:rPr>
          <w:lang w:val="en-GB"/>
        </w:rPr>
        <w:t>protect the rights and freedoms of others</w:t>
      </w:r>
      <w:r w:rsidR="00E02BDF" w:rsidRPr="00B124DC">
        <w:rPr>
          <w:lang w:val="en-GB"/>
        </w:rPr>
        <w:t>, to</w:t>
      </w:r>
      <w:r w:rsidR="008B6DC6" w:rsidRPr="00B124DC">
        <w:rPr>
          <w:lang w:val="en-GB"/>
        </w:rPr>
        <w:t xml:space="preserve"> preserv</w:t>
      </w:r>
      <w:r w:rsidR="00E02BDF" w:rsidRPr="00B124DC">
        <w:rPr>
          <w:lang w:val="en-GB"/>
        </w:rPr>
        <w:t>e</w:t>
      </w:r>
      <w:r w:rsidR="004064DB" w:rsidRPr="00B124DC">
        <w:rPr>
          <w:lang w:val="en-GB"/>
        </w:rPr>
        <w:t xml:space="preserve"> public order</w:t>
      </w:r>
      <w:r w:rsidR="00E02BDF" w:rsidRPr="00B124DC">
        <w:rPr>
          <w:lang w:val="en-GB"/>
        </w:rPr>
        <w:t xml:space="preserve"> and</w:t>
      </w:r>
      <w:r w:rsidR="004064DB" w:rsidRPr="00B124DC">
        <w:rPr>
          <w:lang w:val="en-GB"/>
        </w:rPr>
        <w:t xml:space="preserve"> </w:t>
      </w:r>
      <w:r w:rsidR="00387558" w:rsidRPr="00B124DC">
        <w:rPr>
          <w:lang w:val="en-GB"/>
        </w:rPr>
        <w:t xml:space="preserve">to secure </w:t>
      </w:r>
      <w:r w:rsidR="008B6DC6" w:rsidRPr="00B124DC">
        <w:rPr>
          <w:lang w:val="en-GB"/>
        </w:rPr>
        <w:t>civil peace</w:t>
      </w:r>
      <w:r w:rsidR="004064DB" w:rsidRPr="00B124DC">
        <w:rPr>
          <w:lang w:val="en-GB"/>
        </w:rPr>
        <w:t xml:space="preserve"> and </w:t>
      </w:r>
      <w:r w:rsidR="00387558" w:rsidRPr="00B124DC">
        <w:rPr>
          <w:lang w:val="en-GB"/>
        </w:rPr>
        <w:t>true</w:t>
      </w:r>
      <w:r w:rsidR="004064DB" w:rsidRPr="00B124DC">
        <w:rPr>
          <w:lang w:val="en-GB"/>
        </w:rPr>
        <w:t xml:space="preserve"> religious pluralism, </w:t>
      </w:r>
      <w:r w:rsidR="00E02BDF" w:rsidRPr="00B124DC">
        <w:rPr>
          <w:lang w:val="en-GB"/>
        </w:rPr>
        <w:t>which is</w:t>
      </w:r>
      <w:r w:rsidR="008B6DC6" w:rsidRPr="00B124DC">
        <w:rPr>
          <w:lang w:val="en-GB"/>
        </w:rPr>
        <w:t xml:space="preserve"> vital</w:t>
      </w:r>
      <w:r w:rsidR="004064DB" w:rsidRPr="00B124DC">
        <w:rPr>
          <w:lang w:val="en-GB"/>
        </w:rPr>
        <w:t xml:space="preserve"> to the survival of a democratic society</w:t>
      </w:r>
      <w:r w:rsidRPr="00B124DC">
        <w:rPr>
          <w:lang w:val="en-GB"/>
        </w:rPr>
        <w:t xml:space="preserve"> (see, </w:t>
      </w:r>
      <w:r w:rsidRPr="00B124DC">
        <w:rPr>
          <w:i/>
          <w:lang w:val="en-GB"/>
        </w:rPr>
        <w:t>mutatis mutandis</w:t>
      </w:r>
      <w:r w:rsidRPr="00B124DC">
        <w:rPr>
          <w:lang w:val="en-GB"/>
        </w:rPr>
        <w:t xml:space="preserve">, </w:t>
      </w:r>
      <w:r w:rsidRPr="00B124DC">
        <w:rPr>
          <w:i/>
          <w:lang w:val="en-GB"/>
        </w:rPr>
        <w:t>Kokkinakis</w:t>
      </w:r>
      <w:r w:rsidRPr="00B124DC">
        <w:rPr>
          <w:lang w:val="en-GB"/>
        </w:rPr>
        <w:t xml:space="preserve">, cited above, </w:t>
      </w:r>
      <w:r w:rsidR="00CF7507">
        <w:rPr>
          <w:lang w:val="en-GB"/>
        </w:rPr>
        <w:t xml:space="preserve">p. 17, </w:t>
      </w:r>
      <w:r w:rsidRPr="00B124DC">
        <w:rPr>
          <w:lang w:val="en-GB"/>
        </w:rPr>
        <w:t>§</w:t>
      </w:r>
      <w:r w:rsidR="00932AF2">
        <w:rPr>
          <w:lang w:val="en-GB"/>
        </w:rPr>
        <w:t xml:space="preserve"> </w:t>
      </w:r>
      <w:r w:rsidRPr="00B124DC">
        <w:rPr>
          <w:lang w:val="en-GB"/>
        </w:rPr>
        <w:t>31</w:t>
      </w:r>
      <w:r w:rsidR="007645C7" w:rsidRPr="00B124DC">
        <w:rPr>
          <w:lang w:val="en-GB"/>
        </w:rPr>
        <w:t>;</w:t>
      </w:r>
      <w:r w:rsidRPr="00B124DC">
        <w:rPr>
          <w:lang w:val="en-GB"/>
        </w:rPr>
        <w:t xml:space="preserve"> </w:t>
      </w:r>
      <w:r w:rsidRPr="00B124DC">
        <w:rPr>
          <w:i/>
          <w:lang w:val="en-GB"/>
        </w:rPr>
        <w:t>Manoussakis and Others</w:t>
      </w:r>
      <w:r w:rsidR="00932AF2">
        <w:rPr>
          <w:lang w:val="en-GB"/>
        </w:rPr>
        <w:t xml:space="preserve">, cited above, p. </w:t>
      </w:r>
      <w:r w:rsidRPr="00B124DC">
        <w:rPr>
          <w:lang w:val="en-GB"/>
        </w:rPr>
        <w:t xml:space="preserve">1364, § 44; and </w:t>
      </w:r>
      <w:r w:rsidRPr="00B124DC">
        <w:rPr>
          <w:i/>
          <w:lang w:val="en-GB"/>
        </w:rPr>
        <w:t>Casado Coca</w:t>
      </w:r>
      <w:r w:rsidRPr="00B124DC">
        <w:rPr>
          <w:lang w:val="en-GB"/>
        </w:rPr>
        <w:t xml:space="preserve">, cited above, </w:t>
      </w:r>
      <w:r w:rsidR="00CF7507">
        <w:rPr>
          <w:lang w:val="en-GB"/>
        </w:rPr>
        <w:t xml:space="preserve">p. 21, </w:t>
      </w:r>
      <w:r w:rsidRPr="00B124DC">
        <w:rPr>
          <w:lang w:val="en-GB"/>
        </w:rPr>
        <w:t>§ 55).</w:t>
      </w:r>
    </w:p>
    <w:p w:rsidR="00C1609F" w:rsidRPr="00C1609F" w:rsidRDefault="00480767" w:rsidP="00C1609F">
      <w:pPr>
        <w:pStyle w:val="juparacharcharcharcharcharcharchar0"/>
        <w:rPr>
          <w:lang w:val="en-GB"/>
        </w:rPr>
      </w:pPr>
      <w:r w:rsidRPr="00C1609F">
        <w:rPr>
          <w:lang w:val="en-GB"/>
        </w:rPr>
        <w:fldChar w:fldCharType="begin"/>
      </w:r>
      <w:r w:rsidRPr="00C1609F">
        <w:rPr>
          <w:lang w:val="en-GB"/>
        </w:rPr>
        <w:instrText xml:space="preserve"> SEQ level0 \*arabic </w:instrText>
      </w:r>
      <w:r w:rsidRPr="00C1609F">
        <w:rPr>
          <w:lang w:val="en-GB"/>
        </w:rPr>
        <w:fldChar w:fldCharType="separate"/>
      </w:r>
      <w:r w:rsidR="00EA52D1">
        <w:rPr>
          <w:noProof/>
          <w:lang w:val="en-GB"/>
        </w:rPr>
        <w:t>111</w:t>
      </w:r>
      <w:r w:rsidRPr="00C1609F">
        <w:rPr>
          <w:lang w:val="en-GB"/>
        </w:rPr>
        <w:fldChar w:fldCharType="end"/>
      </w:r>
      <w:r w:rsidRPr="00C1609F">
        <w:rPr>
          <w:lang w:val="en-GB"/>
        </w:rPr>
        <w:t>.  </w:t>
      </w:r>
      <w:r w:rsidR="00C1609F" w:rsidRPr="00C1609F">
        <w:rPr>
          <w:lang w:val="en-GB"/>
        </w:rPr>
        <w:t xml:space="preserve">The Court also notes that in the decisions </w:t>
      </w:r>
      <w:r w:rsidR="00CF7507">
        <w:rPr>
          <w:lang w:val="en-GB"/>
        </w:rPr>
        <w:t>in</w:t>
      </w:r>
      <w:r w:rsidR="00C1609F" w:rsidRPr="00C1609F">
        <w:rPr>
          <w:i/>
          <w:iCs/>
          <w:lang w:val="en-GB"/>
        </w:rPr>
        <w:t xml:space="preserve"> Karaduman v.</w:t>
      </w:r>
      <w:r w:rsidR="00CF7507">
        <w:rPr>
          <w:i/>
          <w:iCs/>
          <w:lang w:val="en-GB"/>
        </w:rPr>
        <w:t xml:space="preserve"> </w:t>
      </w:r>
      <w:r w:rsidR="00C1609F" w:rsidRPr="00C1609F">
        <w:rPr>
          <w:i/>
          <w:iCs/>
          <w:lang w:val="en-GB"/>
        </w:rPr>
        <w:t xml:space="preserve">Turkey </w:t>
      </w:r>
      <w:r w:rsidR="00C1609F" w:rsidRPr="00C1609F">
        <w:rPr>
          <w:lang w:val="en-GB"/>
        </w:rPr>
        <w:t xml:space="preserve">(no. 16278/90, Commission decision of 3 May 1993, DR 74, p. 93) and </w:t>
      </w:r>
      <w:r w:rsidR="00C1609F" w:rsidRPr="00C1609F">
        <w:rPr>
          <w:i/>
          <w:iCs/>
          <w:lang w:val="en-GB"/>
        </w:rPr>
        <w:t xml:space="preserve">Dahlab </w:t>
      </w:r>
      <w:r w:rsidR="00C1609F" w:rsidRPr="00C1609F">
        <w:rPr>
          <w:lang w:val="en-GB"/>
        </w:rPr>
        <w:t>(</w:t>
      </w:r>
      <w:r w:rsidR="00CF7507">
        <w:rPr>
          <w:lang w:val="en-GB"/>
        </w:rPr>
        <w:t>cited above</w:t>
      </w:r>
      <w:r w:rsidR="00C1609F" w:rsidRPr="00C1609F">
        <w:rPr>
          <w:lang w:val="en-GB"/>
        </w:rPr>
        <w:t xml:space="preserve">) the Convention institutions found that in a democratic society the State was entitled to place restrictions on the wearing of the Islamic headscarf if it was incompatible with the pursued aim of protecting the rights and freedoms of others, public order and public safety. In </w:t>
      </w:r>
      <w:r w:rsidR="00C1609F" w:rsidRPr="00C1609F">
        <w:rPr>
          <w:i/>
          <w:iCs/>
          <w:lang w:val="en-GB"/>
        </w:rPr>
        <w:t>Karaduman</w:t>
      </w:r>
      <w:r w:rsidR="00C1609F" w:rsidRPr="00C1609F">
        <w:rPr>
          <w:lang w:val="en-GB"/>
        </w:rPr>
        <w:t xml:space="preserve">, measures taken in universities to prevent certain fundamentalist religious movements from exerting pressure on students who did not practise their religion or who belonged to another religion </w:t>
      </w:r>
      <w:r w:rsidR="00C1609F" w:rsidRPr="00C1609F">
        <w:rPr>
          <w:bCs/>
          <w:lang w:val="en-GB"/>
        </w:rPr>
        <w:t>were not considered to constitute interference for the purposes of Article 9 of the Convention</w:t>
      </w:r>
      <w:r w:rsidR="00C1609F" w:rsidRPr="00C1609F">
        <w:rPr>
          <w:lang w:val="en-GB"/>
        </w:rPr>
        <w:t xml:space="preserve">. Consequently, it is established that institutions of higher education may regulate the manifestation of the rites and symbols of a religion by imposing restrictions as to the place and manner of such manifestation with </w:t>
      </w:r>
      <w:r w:rsidR="004F619D">
        <w:rPr>
          <w:lang w:val="en-GB"/>
        </w:rPr>
        <w:t>the aim of ensuring peaceful co</w:t>
      </w:r>
      <w:r w:rsidR="00C1609F" w:rsidRPr="00C1609F">
        <w:rPr>
          <w:lang w:val="en-GB"/>
        </w:rPr>
        <w:t xml:space="preserve">existence between students of various faiths and thus protecting public order and the beliefs of others (see, among other authorities, </w:t>
      </w:r>
      <w:r w:rsidR="00C1609F" w:rsidRPr="00C1609F">
        <w:rPr>
          <w:i/>
          <w:iCs/>
          <w:lang w:val="en-GB"/>
        </w:rPr>
        <w:t xml:space="preserve">Refah Partisi </w:t>
      </w:r>
      <w:r w:rsidR="00CF7507">
        <w:rPr>
          <w:i/>
          <w:iCs/>
          <w:lang w:val="en-GB"/>
        </w:rPr>
        <w:t xml:space="preserve">(the Welfare Party) </w:t>
      </w:r>
      <w:r w:rsidR="00C1609F" w:rsidRPr="00C1609F">
        <w:rPr>
          <w:i/>
          <w:iCs/>
          <w:lang w:val="en-GB"/>
        </w:rPr>
        <w:t>and Others</w:t>
      </w:r>
      <w:r w:rsidR="00C1609F" w:rsidRPr="00C1609F">
        <w:rPr>
          <w:lang w:val="en-GB"/>
        </w:rPr>
        <w:t>, cited above, §</w:t>
      </w:r>
      <w:r w:rsidR="00C1609F">
        <w:rPr>
          <w:lang w:val="en-GB"/>
        </w:rPr>
        <w:t xml:space="preserve"> </w:t>
      </w:r>
      <w:r w:rsidR="00C1609F" w:rsidRPr="00C1609F">
        <w:rPr>
          <w:lang w:val="en-GB"/>
        </w:rPr>
        <w:t xml:space="preserve">95). In </w:t>
      </w:r>
      <w:r w:rsidR="00C1609F" w:rsidRPr="00C1609F">
        <w:rPr>
          <w:i/>
          <w:iCs/>
          <w:lang w:val="en-GB"/>
        </w:rPr>
        <w:t>Dahlab</w:t>
      </w:r>
      <w:r w:rsidR="00C1609F" w:rsidRPr="00C1609F">
        <w:rPr>
          <w:lang w:val="en-GB"/>
        </w:rPr>
        <w:t>, which concerned the teacher of a class of small children, the Court stressed among other matters the “powerful external symbol” which her wearing a headscarf represented and questioned whether it might have some kind of proselytising effect, seeing that it appeared to be imposed on women by a religious precept that was hard to reconcile with the principle of gender equality. It also noted that wearing the Islamic headscarf could not easily be reconciled with the message of tolerance, respect for others and, above all, equality and non-discrimination that all teachers in a democratic society should convey to their pupils.</w:t>
      </w:r>
    </w:p>
    <w:p w:rsidR="0098730A" w:rsidRPr="00B124DC" w:rsidRDefault="0017616B" w:rsidP="00932AF2">
      <w:pPr>
        <w:pStyle w:val="JuHi"/>
        <w:keepNext/>
        <w:rPr>
          <w:lang w:val="en-GB"/>
        </w:rPr>
      </w:pPr>
      <w:r w:rsidRPr="00B124DC">
        <w:rPr>
          <w:lang w:val="en-GB"/>
        </w:rPr>
        <w:t>(</w:t>
      </w:r>
      <w:r w:rsidR="008C404F" w:rsidRPr="00B124DC">
        <w:rPr>
          <w:lang w:val="en-GB"/>
        </w:rPr>
        <w:t>ii</w:t>
      </w:r>
      <w:r w:rsidRPr="00B124DC">
        <w:rPr>
          <w:lang w:val="en-GB"/>
        </w:rPr>
        <w:t>)  Application of the foregoing principles to the present case</w:t>
      </w:r>
    </w:p>
    <w:p w:rsidR="0017616B" w:rsidRPr="00B124DC" w:rsidRDefault="0017616B"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112</w:t>
      </w:r>
      <w:r w:rsidRPr="00B124DC">
        <w:rPr>
          <w:lang w:val="en-GB"/>
        </w:rPr>
        <w:fldChar w:fldCharType="end"/>
      </w:r>
      <w:r w:rsidRPr="00B124DC">
        <w:rPr>
          <w:lang w:val="en-GB"/>
        </w:rPr>
        <w:t>.  </w:t>
      </w:r>
      <w:r w:rsidR="009C3002" w:rsidRPr="00B124DC">
        <w:rPr>
          <w:lang w:val="en-GB"/>
        </w:rPr>
        <w:t xml:space="preserve">The </w:t>
      </w:r>
      <w:r w:rsidRPr="00B124DC">
        <w:rPr>
          <w:lang w:val="en-GB"/>
        </w:rPr>
        <w:t xml:space="preserve">interference </w:t>
      </w:r>
      <w:r w:rsidR="009C3002" w:rsidRPr="00B124DC">
        <w:rPr>
          <w:lang w:val="en-GB"/>
        </w:rPr>
        <w:t xml:space="preserve">in issue </w:t>
      </w:r>
      <w:r w:rsidR="00932AF2">
        <w:rPr>
          <w:lang w:val="en-GB"/>
        </w:rPr>
        <w:t>caused by the circular of 23 </w:t>
      </w:r>
      <w:r w:rsidRPr="00B124DC">
        <w:rPr>
          <w:lang w:val="en-GB"/>
        </w:rPr>
        <w:t>February 1998 imposing restrictions as to place and manner on the rights of students such as Ms Şahin to wear the Islamic headscarf on univ</w:t>
      </w:r>
      <w:r w:rsidR="007645C7" w:rsidRPr="00B124DC">
        <w:rPr>
          <w:lang w:val="en-GB"/>
        </w:rPr>
        <w:t>ersity premises was</w:t>
      </w:r>
      <w:r w:rsidRPr="00B124DC">
        <w:rPr>
          <w:lang w:val="en-GB"/>
        </w:rPr>
        <w:t xml:space="preserve">, </w:t>
      </w:r>
      <w:r w:rsidR="0091161C" w:rsidRPr="00B124DC">
        <w:rPr>
          <w:lang w:val="en-GB"/>
        </w:rPr>
        <w:t>according to the Turkish courts (see paragraphs 37, 39 and 41 above)</w:t>
      </w:r>
      <w:r w:rsidR="007645C7" w:rsidRPr="00B124DC">
        <w:rPr>
          <w:lang w:val="en-GB"/>
        </w:rPr>
        <w:t>,</w:t>
      </w:r>
      <w:r w:rsidR="0091161C" w:rsidRPr="00B124DC">
        <w:rPr>
          <w:lang w:val="en-GB"/>
        </w:rPr>
        <w:t xml:space="preserve"> </w:t>
      </w:r>
      <w:r w:rsidR="007645C7" w:rsidRPr="00B124DC">
        <w:rPr>
          <w:lang w:val="en-GB"/>
        </w:rPr>
        <w:t xml:space="preserve">based in particular </w:t>
      </w:r>
      <w:r w:rsidRPr="00B124DC">
        <w:rPr>
          <w:lang w:val="en-GB"/>
        </w:rPr>
        <w:t xml:space="preserve">on </w:t>
      </w:r>
      <w:r w:rsidR="00F019B9" w:rsidRPr="00B124DC">
        <w:rPr>
          <w:lang w:val="en-GB"/>
        </w:rPr>
        <w:t xml:space="preserve">the </w:t>
      </w:r>
      <w:r w:rsidRPr="00B124DC">
        <w:rPr>
          <w:lang w:val="en-GB"/>
        </w:rPr>
        <w:t>two principles</w:t>
      </w:r>
      <w:r w:rsidR="00F019B9" w:rsidRPr="00B124DC">
        <w:rPr>
          <w:lang w:val="en-GB"/>
        </w:rPr>
        <w:t xml:space="preserve"> of</w:t>
      </w:r>
      <w:r w:rsidR="0091161C" w:rsidRPr="00B124DC">
        <w:rPr>
          <w:lang w:val="en-GB"/>
        </w:rPr>
        <w:t xml:space="preserve"> secularism and equality</w:t>
      </w:r>
      <w:r w:rsidR="00FB225D" w:rsidRPr="00B124DC">
        <w:rPr>
          <w:lang w:val="en-GB"/>
        </w:rPr>
        <w:t>.</w:t>
      </w:r>
    </w:p>
    <w:p w:rsidR="0098730A" w:rsidRPr="00B124DC" w:rsidRDefault="002A6037"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113</w:t>
      </w:r>
      <w:r w:rsidRPr="00B124DC">
        <w:rPr>
          <w:lang w:val="en-GB"/>
        </w:rPr>
        <w:fldChar w:fldCharType="end"/>
      </w:r>
      <w:r w:rsidRPr="00B124DC">
        <w:rPr>
          <w:lang w:val="en-GB"/>
        </w:rPr>
        <w:t>.  </w:t>
      </w:r>
      <w:r w:rsidR="0017616B" w:rsidRPr="00B124DC">
        <w:rPr>
          <w:lang w:val="en-GB"/>
        </w:rPr>
        <w:t xml:space="preserve">In its judgment of </w:t>
      </w:r>
      <w:smartTag w:uri="urn:schemas-microsoft-com:office:smarttags" w:element="date">
        <w:smartTagPr>
          <w:attr w:name="Month" w:val="3"/>
          <w:attr w:name="Day" w:val="7"/>
          <w:attr w:name="Year" w:val="1989"/>
        </w:smartTagPr>
        <w:r w:rsidR="0017616B" w:rsidRPr="00B124DC">
          <w:rPr>
            <w:lang w:val="en-GB"/>
          </w:rPr>
          <w:t>7 March 1989</w:t>
        </w:r>
      </w:smartTag>
      <w:r w:rsidR="0017616B" w:rsidRPr="00B124DC">
        <w:rPr>
          <w:lang w:val="en-GB"/>
        </w:rPr>
        <w:t xml:space="preserve">, the </w:t>
      </w:r>
      <w:smartTag w:uri="urn:schemas-microsoft-com:office:smarttags" w:element="Street">
        <w:smartTag w:uri="urn:schemas-microsoft-com:office:smarttags" w:element="address">
          <w:r w:rsidR="0017616B" w:rsidRPr="00B124DC">
            <w:rPr>
              <w:lang w:val="en-GB"/>
            </w:rPr>
            <w:t>Constitutional Court</w:t>
          </w:r>
        </w:smartTag>
      </w:smartTag>
      <w:r w:rsidR="0017616B" w:rsidRPr="00B124DC">
        <w:rPr>
          <w:lang w:val="en-GB"/>
        </w:rPr>
        <w:t xml:space="preserve"> stated that </w:t>
      </w:r>
      <w:r w:rsidR="00150768" w:rsidRPr="00B124DC">
        <w:rPr>
          <w:lang w:val="en-GB"/>
        </w:rPr>
        <w:t xml:space="preserve">secularism, </w:t>
      </w:r>
      <w:r w:rsidR="007645C7" w:rsidRPr="00B124DC">
        <w:rPr>
          <w:lang w:val="en-GB"/>
        </w:rPr>
        <w:t>as</w:t>
      </w:r>
      <w:r w:rsidRPr="00B124DC">
        <w:rPr>
          <w:lang w:val="en-GB"/>
        </w:rPr>
        <w:t xml:space="preserve"> </w:t>
      </w:r>
      <w:r w:rsidR="0017616B" w:rsidRPr="00B124DC">
        <w:rPr>
          <w:lang w:val="en-GB"/>
        </w:rPr>
        <w:t xml:space="preserve">the guarantor of democratic values, </w:t>
      </w:r>
      <w:r w:rsidR="00450F3A" w:rsidRPr="00B124DC">
        <w:rPr>
          <w:lang w:val="en-GB"/>
        </w:rPr>
        <w:t>was the meeting point of liberty and equality</w:t>
      </w:r>
      <w:r w:rsidR="0017616B" w:rsidRPr="00B124DC">
        <w:rPr>
          <w:lang w:val="en-GB"/>
        </w:rPr>
        <w:t xml:space="preserve">. </w:t>
      </w:r>
      <w:r w:rsidR="009C235C" w:rsidRPr="00B124DC">
        <w:rPr>
          <w:lang w:val="en-GB"/>
        </w:rPr>
        <w:t>Th</w:t>
      </w:r>
      <w:r w:rsidR="00CB1211" w:rsidRPr="00B124DC">
        <w:rPr>
          <w:lang w:val="en-GB"/>
        </w:rPr>
        <w:t>e</w:t>
      </w:r>
      <w:r w:rsidR="009C235C" w:rsidRPr="00B124DC">
        <w:rPr>
          <w:lang w:val="en-GB"/>
        </w:rPr>
        <w:t xml:space="preserve"> principle prevent</w:t>
      </w:r>
      <w:r w:rsidR="002B638A" w:rsidRPr="00B124DC">
        <w:rPr>
          <w:lang w:val="en-GB"/>
        </w:rPr>
        <w:t>ed</w:t>
      </w:r>
      <w:r w:rsidR="009C235C" w:rsidRPr="00B124DC">
        <w:rPr>
          <w:lang w:val="en-GB"/>
        </w:rPr>
        <w:t xml:space="preserve"> the State from manifesting a preference for a particular religion or belief</w:t>
      </w:r>
      <w:r w:rsidR="007645C7" w:rsidRPr="00B124DC">
        <w:rPr>
          <w:lang w:val="en-GB"/>
        </w:rPr>
        <w:t>;</w:t>
      </w:r>
      <w:r w:rsidR="00450F3A" w:rsidRPr="00B124DC">
        <w:rPr>
          <w:lang w:val="en-GB"/>
        </w:rPr>
        <w:t xml:space="preserve"> </w:t>
      </w:r>
      <w:r w:rsidR="007645C7" w:rsidRPr="00B124DC">
        <w:rPr>
          <w:lang w:val="en-GB"/>
        </w:rPr>
        <w:t xml:space="preserve">it </w:t>
      </w:r>
      <w:r w:rsidR="00CB1211" w:rsidRPr="00B124DC">
        <w:rPr>
          <w:lang w:val="en-GB"/>
        </w:rPr>
        <w:t>th</w:t>
      </w:r>
      <w:r w:rsidR="00FF08B3" w:rsidRPr="00B124DC">
        <w:rPr>
          <w:lang w:val="en-GB"/>
        </w:rPr>
        <w:t>ereby</w:t>
      </w:r>
      <w:r w:rsidR="009C235C" w:rsidRPr="00B124DC">
        <w:rPr>
          <w:lang w:val="en-GB"/>
        </w:rPr>
        <w:t xml:space="preserve"> </w:t>
      </w:r>
      <w:r w:rsidR="00450F3A" w:rsidRPr="00B124DC">
        <w:rPr>
          <w:lang w:val="en-GB"/>
        </w:rPr>
        <w:t>guid</w:t>
      </w:r>
      <w:r w:rsidR="007645C7" w:rsidRPr="00B124DC">
        <w:rPr>
          <w:lang w:val="en-GB"/>
        </w:rPr>
        <w:t>ed</w:t>
      </w:r>
      <w:r w:rsidR="009C235C" w:rsidRPr="00B124DC">
        <w:rPr>
          <w:lang w:val="en-GB"/>
        </w:rPr>
        <w:t xml:space="preserve"> </w:t>
      </w:r>
      <w:r w:rsidR="007645C7" w:rsidRPr="00B124DC">
        <w:rPr>
          <w:lang w:val="en-GB"/>
        </w:rPr>
        <w:t>the State</w:t>
      </w:r>
      <w:r w:rsidR="009C235C" w:rsidRPr="00B124DC">
        <w:rPr>
          <w:lang w:val="en-GB"/>
        </w:rPr>
        <w:t xml:space="preserve"> in its</w:t>
      </w:r>
      <w:r w:rsidR="00450F3A" w:rsidRPr="00B124DC">
        <w:rPr>
          <w:lang w:val="en-GB"/>
        </w:rPr>
        <w:t xml:space="preserve"> r</w:t>
      </w:r>
      <w:r w:rsidR="009C235C" w:rsidRPr="00B124DC">
        <w:rPr>
          <w:lang w:val="en-GB"/>
        </w:rPr>
        <w:t>o</w:t>
      </w:r>
      <w:r w:rsidR="00450F3A" w:rsidRPr="00B124DC">
        <w:rPr>
          <w:lang w:val="en-GB"/>
        </w:rPr>
        <w:t xml:space="preserve">le </w:t>
      </w:r>
      <w:r w:rsidR="009C235C" w:rsidRPr="00B124DC">
        <w:rPr>
          <w:lang w:val="en-GB"/>
        </w:rPr>
        <w:t xml:space="preserve">of impartial </w:t>
      </w:r>
      <w:r w:rsidR="00450F3A" w:rsidRPr="00B124DC">
        <w:rPr>
          <w:lang w:val="en-GB"/>
        </w:rPr>
        <w:t>arbit</w:t>
      </w:r>
      <w:r w:rsidR="009C235C" w:rsidRPr="00B124DC">
        <w:rPr>
          <w:lang w:val="en-GB"/>
        </w:rPr>
        <w:t>e</w:t>
      </w:r>
      <w:r w:rsidR="00450F3A" w:rsidRPr="00B124DC">
        <w:rPr>
          <w:lang w:val="en-GB"/>
        </w:rPr>
        <w:t xml:space="preserve">r, </w:t>
      </w:r>
      <w:r w:rsidR="009C235C" w:rsidRPr="00B124DC">
        <w:rPr>
          <w:lang w:val="en-GB"/>
        </w:rPr>
        <w:t xml:space="preserve">and necessarily </w:t>
      </w:r>
      <w:r w:rsidR="00CB1211" w:rsidRPr="00B124DC">
        <w:rPr>
          <w:lang w:val="en-GB"/>
        </w:rPr>
        <w:t>entailed</w:t>
      </w:r>
      <w:r w:rsidR="009C235C" w:rsidRPr="00B124DC">
        <w:rPr>
          <w:lang w:val="en-GB"/>
        </w:rPr>
        <w:t xml:space="preserve"> freedom of religion and conscience</w:t>
      </w:r>
      <w:r w:rsidR="00450F3A" w:rsidRPr="00B124DC">
        <w:rPr>
          <w:lang w:val="en-GB"/>
        </w:rPr>
        <w:t xml:space="preserve">. </w:t>
      </w:r>
      <w:r w:rsidR="002B638A" w:rsidRPr="00B124DC">
        <w:rPr>
          <w:lang w:val="en-GB"/>
        </w:rPr>
        <w:t xml:space="preserve">It also served to protect the individual not only against arbitrary interference by the State but </w:t>
      </w:r>
      <w:r w:rsidR="00092828" w:rsidRPr="00B124DC">
        <w:rPr>
          <w:lang w:val="en-GB"/>
        </w:rPr>
        <w:t>from</w:t>
      </w:r>
      <w:r w:rsidR="002B638A" w:rsidRPr="00B124DC">
        <w:rPr>
          <w:lang w:val="en-GB"/>
        </w:rPr>
        <w:t xml:space="preserve"> external pressure from extremist movements</w:t>
      </w:r>
      <w:r w:rsidR="00450F3A" w:rsidRPr="00B124DC">
        <w:rPr>
          <w:lang w:val="en-GB"/>
        </w:rPr>
        <w:t xml:space="preserve">. </w:t>
      </w:r>
      <w:r w:rsidR="00092828" w:rsidRPr="00B124DC">
        <w:rPr>
          <w:lang w:val="en-GB"/>
        </w:rPr>
        <w:t xml:space="preserve">The </w:t>
      </w:r>
      <w:smartTag w:uri="urn:schemas-microsoft-com:office:smarttags" w:element="Street">
        <w:smartTag w:uri="urn:schemas-microsoft-com:office:smarttags" w:element="address">
          <w:r w:rsidR="00092828" w:rsidRPr="00B124DC">
            <w:rPr>
              <w:lang w:val="en-GB"/>
            </w:rPr>
            <w:t>Constitutional Court</w:t>
          </w:r>
        </w:smartTag>
      </w:smartTag>
      <w:r w:rsidR="00092828" w:rsidRPr="00B124DC">
        <w:rPr>
          <w:lang w:val="en-GB"/>
        </w:rPr>
        <w:t xml:space="preserve"> added that </w:t>
      </w:r>
      <w:r w:rsidR="00CB1211" w:rsidRPr="00B124DC">
        <w:rPr>
          <w:lang w:val="en-GB"/>
        </w:rPr>
        <w:t>freedom to manifest one</w:t>
      </w:r>
      <w:r w:rsidR="0006350D">
        <w:rPr>
          <w:lang w:val="en-GB"/>
        </w:rPr>
        <w:t>’</w:t>
      </w:r>
      <w:r w:rsidR="00CB1211" w:rsidRPr="00B124DC">
        <w:rPr>
          <w:lang w:val="en-GB"/>
        </w:rPr>
        <w:t xml:space="preserve">s religion </w:t>
      </w:r>
      <w:r w:rsidR="00092828" w:rsidRPr="00B124DC">
        <w:rPr>
          <w:lang w:val="en-GB"/>
        </w:rPr>
        <w:t xml:space="preserve">could be </w:t>
      </w:r>
      <w:r w:rsidR="00CB1211" w:rsidRPr="00B124DC">
        <w:rPr>
          <w:lang w:val="en-GB"/>
        </w:rPr>
        <w:t>restricted</w:t>
      </w:r>
      <w:r w:rsidR="00092828" w:rsidRPr="00B124DC">
        <w:rPr>
          <w:lang w:val="en-GB"/>
        </w:rPr>
        <w:t xml:space="preserve"> in order to defend those values and principles (see paragraph 39 above).</w:t>
      </w:r>
    </w:p>
    <w:p w:rsidR="0017616B" w:rsidRPr="00B124DC" w:rsidRDefault="0017616B"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114</w:t>
      </w:r>
      <w:r w:rsidRPr="00B124DC">
        <w:rPr>
          <w:lang w:val="en-GB"/>
        </w:rPr>
        <w:fldChar w:fldCharType="end"/>
      </w:r>
      <w:r w:rsidRPr="00B124DC">
        <w:rPr>
          <w:lang w:val="en-GB"/>
        </w:rPr>
        <w:t>.  </w:t>
      </w:r>
      <w:r w:rsidR="001C21AE" w:rsidRPr="00B124DC">
        <w:rPr>
          <w:lang w:val="en-GB"/>
        </w:rPr>
        <w:t xml:space="preserve">As the Chamber rightly stated (see paragraph 106 of </w:t>
      </w:r>
      <w:r w:rsidR="00830F0F" w:rsidRPr="00B124DC">
        <w:rPr>
          <w:lang w:val="en-GB"/>
        </w:rPr>
        <w:t>its</w:t>
      </w:r>
      <w:r w:rsidR="001C21AE" w:rsidRPr="00B124DC">
        <w:rPr>
          <w:lang w:val="en-GB"/>
        </w:rPr>
        <w:t xml:space="preserve"> judgment), the Court considers this </w:t>
      </w:r>
      <w:r w:rsidRPr="00B124DC">
        <w:rPr>
          <w:lang w:val="en-GB"/>
        </w:rPr>
        <w:t>notion of secularism to be consistent with the values underpinning the Convention</w:t>
      </w:r>
      <w:r w:rsidR="001C21AE" w:rsidRPr="00B124DC">
        <w:rPr>
          <w:lang w:val="en-GB"/>
        </w:rPr>
        <w:t>.</w:t>
      </w:r>
      <w:r w:rsidRPr="00B124DC">
        <w:rPr>
          <w:lang w:val="en-GB"/>
        </w:rPr>
        <w:t xml:space="preserve"> </w:t>
      </w:r>
      <w:r w:rsidR="001C21AE" w:rsidRPr="00B124DC">
        <w:rPr>
          <w:lang w:val="en-GB"/>
        </w:rPr>
        <w:t xml:space="preserve">It </w:t>
      </w:r>
      <w:r w:rsidR="00830F0F" w:rsidRPr="00B124DC">
        <w:rPr>
          <w:lang w:val="en-GB"/>
        </w:rPr>
        <w:t>finds</w:t>
      </w:r>
      <w:r w:rsidRPr="00B124DC">
        <w:rPr>
          <w:lang w:val="en-GB"/>
        </w:rPr>
        <w:t xml:space="preserve"> that upholding that principle</w:t>
      </w:r>
      <w:r w:rsidR="001C21AE" w:rsidRPr="00B124DC">
        <w:rPr>
          <w:lang w:val="en-GB"/>
        </w:rPr>
        <w:t xml:space="preserve">, which is undoubtedly one of the fundamental principles of the </w:t>
      </w:r>
      <w:smartTag w:uri="urn:schemas-microsoft-com:office:smarttags" w:element="PlaceName">
        <w:r w:rsidR="001C21AE" w:rsidRPr="00B124DC">
          <w:rPr>
            <w:lang w:val="en-GB"/>
          </w:rPr>
          <w:t>Turkish</w:t>
        </w:r>
      </w:smartTag>
      <w:r w:rsidR="001C21AE" w:rsidRPr="00B124DC">
        <w:rPr>
          <w:lang w:val="en-GB"/>
        </w:rPr>
        <w:t xml:space="preserve"> </w:t>
      </w:r>
      <w:smartTag w:uri="urn:schemas-microsoft-com:office:smarttags" w:element="PlaceType">
        <w:r w:rsidR="001C21AE" w:rsidRPr="00B124DC">
          <w:rPr>
            <w:lang w:val="en-GB"/>
          </w:rPr>
          <w:t>State</w:t>
        </w:r>
      </w:smartTag>
      <w:r w:rsidR="001C21AE" w:rsidRPr="00B124DC">
        <w:rPr>
          <w:lang w:val="en-GB"/>
        </w:rPr>
        <w:t xml:space="preserve"> which are in harmony with the rule of law and respect for human rights,</w:t>
      </w:r>
      <w:r w:rsidRPr="00B124DC">
        <w:rPr>
          <w:lang w:val="en-GB"/>
        </w:rPr>
        <w:t xml:space="preserve"> </w:t>
      </w:r>
      <w:r w:rsidR="00150768" w:rsidRPr="00B124DC">
        <w:rPr>
          <w:lang w:val="en-GB"/>
        </w:rPr>
        <w:t>may</w:t>
      </w:r>
      <w:r w:rsidR="00FE63E0" w:rsidRPr="00B124DC">
        <w:rPr>
          <w:lang w:val="en-GB"/>
        </w:rPr>
        <w:t xml:space="preserve"> be</w:t>
      </w:r>
      <w:r w:rsidRPr="00B124DC">
        <w:rPr>
          <w:lang w:val="en-GB"/>
        </w:rPr>
        <w:t xml:space="preserve"> </w:t>
      </w:r>
      <w:r w:rsidR="00830F0F" w:rsidRPr="00B124DC">
        <w:rPr>
          <w:lang w:val="en-GB"/>
        </w:rPr>
        <w:t>considered</w:t>
      </w:r>
      <w:r w:rsidRPr="00B124DC">
        <w:rPr>
          <w:lang w:val="en-GB"/>
        </w:rPr>
        <w:t xml:space="preserve"> necessary </w:t>
      </w:r>
      <w:r w:rsidR="00830F0F" w:rsidRPr="00B124DC">
        <w:rPr>
          <w:lang w:val="en-GB"/>
        </w:rPr>
        <w:t>to</w:t>
      </w:r>
      <w:r w:rsidRPr="00B124DC">
        <w:rPr>
          <w:lang w:val="en-GB"/>
        </w:rPr>
        <w:t xml:space="preserve"> protect the democratic system in </w:t>
      </w:r>
      <w:smartTag w:uri="urn:schemas-microsoft-com:office:smarttags" w:element="place">
        <w:smartTag w:uri="urn:schemas-microsoft-com:office:smarttags" w:element="country-region">
          <w:r w:rsidRPr="00B124DC">
            <w:rPr>
              <w:lang w:val="en-GB"/>
            </w:rPr>
            <w:t>Turkey</w:t>
          </w:r>
        </w:smartTag>
      </w:smartTag>
      <w:r w:rsidRPr="00B124DC">
        <w:rPr>
          <w:lang w:val="en-GB"/>
        </w:rPr>
        <w:t>.</w:t>
      </w:r>
      <w:r w:rsidR="00D272AC" w:rsidRPr="00B124DC">
        <w:rPr>
          <w:lang w:val="en-GB"/>
        </w:rPr>
        <w:t xml:space="preserve"> </w:t>
      </w:r>
      <w:r w:rsidR="00A436D3" w:rsidRPr="00B124DC">
        <w:rPr>
          <w:lang w:val="en-GB"/>
        </w:rPr>
        <w:t>An attitude which fails to respect that principle will not necessarily be accepted as being covered by the freedom to manifest one</w:t>
      </w:r>
      <w:r w:rsidR="0006350D">
        <w:rPr>
          <w:lang w:val="en-GB"/>
        </w:rPr>
        <w:t>’</w:t>
      </w:r>
      <w:r w:rsidR="00A436D3" w:rsidRPr="00B124DC">
        <w:rPr>
          <w:lang w:val="en-GB"/>
        </w:rPr>
        <w:t>s religion and will not enjoy the protection of Article 9 of the Convention</w:t>
      </w:r>
      <w:r w:rsidR="00D272AC" w:rsidRPr="00B124DC">
        <w:rPr>
          <w:lang w:val="en-GB"/>
        </w:rPr>
        <w:t xml:space="preserve"> (</w:t>
      </w:r>
      <w:r w:rsidR="00A861C2" w:rsidRPr="00B124DC">
        <w:rPr>
          <w:lang w:val="en-GB"/>
        </w:rPr>
        <w:t xml:space="preserve">see </w:t>
      </w:r>
      <w:r w:rsidR="00D272AC" w:rsidRPr="00B124DC">
        <w:rPr>
          <w:i/>
          <w:lang w:val="en-GB"/>
        </w:rPr>
        <w:t>Refah Partisi</w:t>
      </w:r>
      <w:r w:rsidR="00CF7507">
        <w:rPr>
          <w:i/>
          <w:lang w:val="en-GB"/>
        </w:rPr>
        <w:t xml:space="preserve"> (the Welfare Party) </w:t>
      </w:r>
      <w:r w:rsidR="00D272AC" w:rsidRPr="00B124DC">
        <w:rPr>
          <w:i/>
          <w:lang w:val="en-GB"/>
        </w:rPr>
        <w:t xml:space="preserve"> </w:t>
      </w:r>
      <w:r w:rsidR="00A861C2" w:rsidRPr="00B124DC">
        <w:rPr>
          <w:i/>
          <w:lang w:val="en-GB"/>
        </w:rPr>
        <w:t>and Others</w:t>
      </w:r>
      <w:r w:rsidR="00A861C2" w:rsidRPr="00B124DC">
        <w:rPr>
          <w:lang w:val="en-GB"/>
        </w:rPr>
        <w:t>, cited above</w:t>
      </w:r>
      <w:r w:rsidR="00D272AC" w:rsidRPr="00B124DC">
        <w:rPr>
          <w:lang w:val="en-GB"/>
        </w:rPr>
        <w:t>, § 93).</w:t>
      </w:r>
    </w:p>
    <w:p w:rsidR="00D40DC6" w:rsidRPr="00B124DC" w:rsidRDefault="00D40DC6"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115</w:t>
      </w:r>
      <w:r w:rsidRPr="00B124DC">
        <w:rPr>
          <w:lang w:val="en-GB"/>
        </w:rPr>
        <w:fldChar w:fldCharType="end"/>
      </w:r>
      <w:r w:rsidRPr="00B124DC">
        <w:rPr>
          <w:lang w:val="en-GB"/>
        </w:rPr>
        <w:t xml:space="preserve">.  After </w:t>
      </w:r>
      <w:r w:rsidR="00E02DA8" w:rsidRPr="00B124DC">
        <w:rPr>
          <w:lang w:val="en-GB"/>
        </w:rPr>
        <w:t>examining</w:t>
      </w:r>
      <w:r w:rsidRPr="00B124DC">
        <w:rPr>
          <w:lang w:val="en-GB"/>
        </w:rPr>
        <w:t xml:space="preserve"> the parties</w:t>
      </w:r>
      <w:r w:rsidR="0006350D">
        <w:rPr>
          <w:lang w:val="en-GB"/>
        </w:rPr>
        <w:t>’</w:t>
      </w:r>
      <w:r w:rsidRPr="00B124DC">
        <w:rPr>
          <w:lang w:val="en-GB"/>
        </w:rPr>
        <w:t xml:space="preserve"> </w:t>
      </w:r>
      <w:r w:rsidR="004F619D">
        <w:rPr>
          <w:lang w:val="en-GB"/>
        </w:rPr>
        <w:t>submissions</w:t>
      </w:r>
      <w:r w:rsidRPr="00B124DC">
        <w:rPr>
          <w:lang w:val="en-GB"/>
        </w:rPr>
        <w:t xml:space="preserve">, the </w:t>
      </w:r>
      <w:r w:rsidR="00E02DA8" w:rsidRPr="00B124DC">
        <w:rPr>
          <w:lang w:val="en-GB"/>
        </w:rPr>
        <w:t>Grand Chamber</w:t>
      </w:r>
      <w:r w:rsidRPr="00B124DC">
        <w:rPr>
          <w:lang w:val="en-GB"/>
        </w:rPr>
        <w:t xml:space="preserve"> sees no good reason to depart from the </w:t>
      </w:r>
      <w:r w:rsidR="00E02DA8" w:rsidRPr="00B124DC">
        <w:rPr>
          <w:lang w:val="en-GB"/>
        </w:rPr>
        <w:t>approach taken</w:t>
      </w:r>
      <w:r w:rsidR="00932AF2">
        <w:rPr>
          <w:lang w:val="en-GB"/>
        </w:rPr>
        <w:t xml:space="preserve"> by the Chamber (see paragraphs </w:t>
      </w:r>
      <w:r w:rsidR="00E02DA8" w:rsidRPr="00B124DC">
        <w:rPr>
          <w:lang w:val="en-GB"/>
        </w:rPr>
        <w:t xml:space="preserve">107-09 of the </w:t>
      </w:r>
      <w:r w:rsidR="006C3B9B" w:rsidRPr="00B124DC">
        <w:rPr>
          <w:lang w:val="en-GB"/>
        </w:rPr>
        <w:t>Chamber judgment</w:t>
      </w:r>
      <w:r w:rsidR="00E02DA8" w:rsidRPr="00B124DC">
        <w:rPr>
          <w:lang w:val="en-GB"/>
        </w:rPr>
        <w:t>) as follows</w:t>
      </w:r>
      <w:r w:rsidRPr="00B124DC">
        <w:rPr>
          <w:lang w:val="en-GB"/>
        </w:rPr>
        <w:t>:</w:t>
      </w:r>
    </w:p>
    <w:p w:rsidR="00256805" w:rsidRPr="00B124DC" w:rsidRDefault="008961A5" w:rsidP="00D40DC6">
      <w:pPr>
        <w:pStyle w:val="JuQuot"/>
        <w:rPr>
          <w:sz w:val="28"/>
          <w:szCs w:val="28"/>
          <w:lang w:val="en-GB"/>
        </w:rPr>
      </w:pPr>
      <w:r w:rsidRPr="00B124DC">
        <w:rPr>
          <w:lang w:val="en-GB"/>
        </w:rPr>
        <w:t>“</w:t>
      </w:r>
      <w:r w:rsidR="00E02DA8" w:rsidRPr="00B124DC">
        <w:rPr>
          <w:lang w:val="en-GB"/>
        </w:rPr>
        <w:t xml:space="preserve">... </w:t>
      </w:r>
      <w:r w:rsidR="00256805" w:rsidRPr="00B124DC">
        <w:rPr>
          <w:lang w:val="en-GB"/>
        </w:rPr>
        <w:t xml:space="preserve">The Court </w:t>
      </w:r>
      <w:r w:rsidRPr="00B124DC">
        <w:rPr>
          <w:lang w:val="en-GB"/>
        </w:rPr>
        <w:t>...</w:t>
      </w:r>
      <w:r w:rsidR="00256805" w:rsidRPr="00B124DC">
        <w:rPr>
          <w:lang w:val="en-GB"/>
        </w:rPr>
        <w:t xml:space="preserve"> notes the emphasis placed in the Turkish constitutional system on the protection of the rights of women</w:t>
      </w:r>
      <w:r w:rsidR="00CF7507">
        <w:rPr>
          <w:lang w:val="en-GB"/>
        </w:rPr>
        <w:t xml:space="preserve"> </w:t>
      </w:r>
      <w:r w:rsidR="003E6624" w:rsidRPr="00B124DC">
        <w:rPr>
          <w:lang w:val="en-GB"/>
        </w:rPr>
        <w:t>...</w:t>
      </w:r>
      <w:r w:rsidR="00256805" w:rsidRPr="00B124DC">
        <w:rPr>
          <w:lang w:val="en-GB"/>
        </w:rPr>
        <w:t xml:space="preserve"> Gender equality – recognised by the European Court as one of the key principles underlying the Convention and a goal to be achieved by member States of the Council of Europe (see, among other authorities, </w:t>
      </w:r>
      <w:r w:rsidR="00256805" w:rsidRPr="00B124DC">
        <w:rPr>
          <w:i/>
          <w:lang w:val="en-GB"/>
        </w:rPr>
        <w:t>Abdulaziz, Cabales and B</w:t>
      </w:r>
      <w:r w:rsidR="00932AF2">
        <w:rPr>
          <w:i/>
          <w:lang w:val="en-GB"/>
        </w:rPr>
        <w:t xml:space="preserve">alkandali v. </w:t>
      </w:r>
      <w:r w:rsidR="00CF7507">
        <w:rPr>
          <w:i/>
          <w:lang w:val="en-GB"/>
        </w:rPr>
        <w:t xml:space="preserve">the </w:t>
      </w:r>
      <w:r w:rsidR="00EF72CB">
        <w:rPr>
          <w:i/>
          <w:lang w:val="en-GB"/>
        </w:rPr>
        <w:t xml:space="preserve">United </w:t>
      </w:r>
      <w:r w:rsidR="00256805" w:rsidRPr="00B124DC">
        <w:rPr>
          <w:i/>
          <w:lang w:val="en-GB"/>
        </w:rPr>
        <w:t>Kingdom</w:t>
      </w:r>
      <w:r w:rsidR="00ED56B7" w:rsidRPr="00B124DC">
        <w:rPr>
          <w:lang w:val="en-GB"/>
        </w:rPr>
        <w:t>, judg</w:t>
      </w:r>
      <w:r w:rsidR="00932AF2">
        <w:rPr>
          <w:lang w:val="en-GB"/>
        </w:rPr>
        <w:t>ment of 28 May 1985, Series </w:t>
      </w:r>
      <w:r w:rsidR="00256805" w:rsidRPr="00B124DC">
        <w:rPr>
          <w:lang w:val="en-GB"/>
        </w:rPr>
        <w:t xml:space="preserve">A no. </w:t>
      </w:r>
      <w:r w:rsidR="00CF7507">
        <w:rPr>
          <w:lang w:val="en-GB"/>
        </w:rPr>
        <w:t>94</w:t>
      </w:r>
      <w:r w:rsidR="00256805" w:rsidRPr="00B124DC">
        <w:rPr>
          <w:lang w:val="en-GB"/>
        </w:rPr>
        <w:t xml:space="preserve">, </w:t>
      </w:r>
      <w:r w:rsidR="00CF7507">
        <w:rPr>
          <w:lang w:val="en-GB"/>
        </w:rPr>
        <w:t>p</w:t>
      </w:r>
      <w:r w:rsidR="00256805" w:rsidRPr="00B124DC">
        <w:rPr>
          <w:lang w:val="en-GB"/>
        </w:rPr>
        <w:t xml:space="preserve">p. </w:t>
      </w:r>
      <w:r w:rsidR="00CF7507">
        <w:rPr>
          <w:lang w:val="en-GB"/>
        </w:rPr>
        <w:t>37-</w:t>
      </w:r>
      <w:r w:rsidR="00256805" w:rsidRPr="00B124DC">
        <w:rPr>
          <w:lang w:val="en-GB"/>
        </w:rPr>
        <w:t xml:space="preserve">38, § 78; </w:t>
      </w:r>
      <w:r w:rsidR="00256805" w:rsidRPr="00B124DC">
        <w:rPr>
          <w:i/>
          <w:lang w:val="en-GB"/>
        </w:rPr>
        <w:t xml:space="preserve">Schuler-Zgraggen </w:t>
      </w:r>
      <w:r w:rsidR="00932AF2">
        <w:rPr>
          <w:i/>
          <w:lang w:val="en-GB"/>
        </w:rPr>
        <w:t xml:space="preserve">v. </w:t>
      </w:r>
      <w:r w:rsidR="00E94AED" w:rsidRPr="00B124DC">
        <w:rPr>
          <w:i/>
          <w:lang w:val="en-GB"/>
        </w:rPr>
        <w:t>Switzerland</w:t>
      </w:r>
      <w:r w:rsidR="00634EE5" w:rsidRPr="00B124DC">
        <w:rPr>
          <w:lang w:val="en-GB"/>
        </w:rPr>
        <w:t>, judg</w:t>
      </w:r>
      <w:r w:rsidR="00932AF2">
        <w:rPr>
          <w:lang w:val="en-GB"/>
        </w:rPr>
        <w:t>ment of 24 </w:t>
      </w:r>
      <w:r w:rsidR="00256805" w:rsidRPr="00B124DC">
        <w:rPr>
          <w:lang w:val="en-GB"/>
        </w:rPr>
        <w:t>June 1993, Series</w:t>
      </w:r>
      <w:r w:rsidR="00E94AED" w:rsidRPr="00B124DC">
        <w:rPr>
          <w:lang w:val="en-GB"/>
        </w:rPr>
        <w:t xml:space="preserve"> A no. </w:t>
      </w:r>
      <w:r w:rsidR="00256805" w:rsidRPr="00B124DC">
        <w:rPr>
          <w:lang w:val="en-GB"/>
        </w:rPr>
        <w:t xml:space="preserve">263, </w:t>
      </w:r>
      <w:r w:rsidR="00E94AED" w:rsidRPr="00B124DC">
        <w:rPr>
          <w:lang w:val="en-GB"/>
        </w:rPr>
        <w:t>p</w:t>
      </w:r>
      <w:r w:rsidR="00256805" w:rsidRPr="00B124DC">
        <w:rPr>
          <w:lang w:val="en-GB"/>
        </w:rPr>
        <w:t>p.</w:t>
      </w:r>
      <w:r w:rsidR="00932AF2">
        <w:rPr>
          <w:lang w:val="en-GB"/>
        </w:rPr>
        <w:t xml:space="preserve"> 21</w:t>
      </w:r>
      <w:r w:rsidR="00CF7507">
        <w:rPr>
          <w:lang w:val="en-GB"/>
        </w:rPr>
        <w:t>-</w:t>
      </w:r>
      <w:r w:rsidR="00932AF2">
        <w:rPr>
          <w:lang w:val="en-GB"/>
        </w:rPr>
        <w:t xml:space="preserve">22, § </w:t>
      </w:r>
      <w:r w:rsidR="00256805" w:rsidRPr="00B124DC">
        <w:rPr>
          <w:lang w:val="en-GB"/>
        </w:rPr>
        <w:t xml:space="preserve">67; </w:t>
      </w:r>
      <w:r w:rsidR="00256805" w:rsidRPr="00B124DC">
        <w:rPr>
          <w:i/>
          <w:lang w:val="en-GB"/>
        </w:rPr>
        <w:t>Burgharz v. Switzerland</w:t>
      </w:r>
      <w:r w:rsidR="00ED56B7" w:rsidRPr="00B124DC">
        <w:rPr>
          <w:lang w:val="en-GB"/>
        </w:rPr>
        <w:t>, judg</w:t>
      </w:r>
      <w:r w:rsidR="00256805" w:rsidRPr="00B124DC">
        <w:rPr>
          <w:lang w:val="en-GB"/>
        </w:rPr>
        <w:t>ment of 22</w:t>
      </w:r>
      <w:r w:rsidR="00932AF2">
        <w:rPr>
          <w:lang w:val="en-GB"/>
        </w:rPr>
        <w:t> </w:t>
      </w:r>
      <w:r w:rsidR="00E94AED" w:rsidRPr="00B124DC">
        <w:rPr>
          <w:lang w:val="en-GB"/>
        </w:rPr>
        <w:t>February 1994, Series</w:t>
      </w:r>
      <w:r w:rsidR="00932AF2">
        <w:rPr>
          <w:lang w:val="en-GB"/>
        </w:rPr>
        <w:t xml:space="preserve"> A no. </w:t>
      </w:r>
      <w:r w:rsidR="00E94AED" w:rsidRPr="00B124DC">
        <w:rPr>
          <w:lang w:val="en-GB"/>
        </w:rPr>
        <w:t xml:space="preserve">280-B, p. </w:t>
      </w:r>
      <w:r w:rsidR="00256805" w:rsidRPr="00B124DC">
        <w:rPr>
          <w:lang w:val="en-GB"/>
        </w:rPr>
        <w:t xml:space="preserve">29, § 27; </w:t>
      </w:r>
      <w:r w:rsidR="00932AF2">
        <w:rPr>
          <w:i/>
          <w:lang w:val="en-GB"/>
        </w:rPr>
        <w:t>Van Raalte v</w:t>
      </w:r>
      <w:r w:rsidR="00EF72CB">
        <w:rPr>
          <w:i/>
          <w:lang w:val="en-GB"/>
        </w:rPr>
        <w:t>.</w:t>
      </w:r>
      <w:r w:rsidR="00CF7507">
        <w:rPr>
          <w:i/>
          <w:lang w:val="en-GB"/>
        </w:rPr>
        <w:t xml:space="preserve"> the </w:t>
      </w:r>
      <w:r w:rsidR="00256805" w:rsidRPr="00B124DC">
        <w:rPr>
          <w:i/>
          <w:lang w:val="en-GB"/>
        </w:rPr>
        <w:t>Netherlands</w:t>
      </w:r>
      <w:r w:rsidR="00ED56B7" w:rsidRPr="00B124DC">
        <w:rPr>
          <w:lang w:val="en-GB"/>
        </w:rPr>
        <w:t>, judg</w:t>
      </w:r>
      <w:r w:rsidR="00256805" w:rsidRPr="00B124DC">
        <w:rPr>
          <w:lang w:val="en-GB"/>
        </w:rPr>
        <w:t>ment of 21</w:t>
      </w:r>
      <w:r w:rsidR="00932AF2">
        <w:rPr>
          <w:lang w:val="en-GB"/>
        </w:rPr>
        <w:t xml:space="preserve"> </w:t>
      </w:r>
      <w:r w:rsidR="00256805" w:rsidRPr="00B124DC">
        <w:rPr>
          <w:lang w:val="en-GB"/>
        </w:rPr>
        <w:t xml:space="preserve">February 1997, </w:t>
      </w:r>
      <w:r w:rsidR="00256805" w:rsidRPr="00B124DC">
        <w:rPr>
          <w:i/>
          <w:iCs/>
          <w:lang w:val="en-GB"/>
        </w:rPr>
        <w:t xml:space="preserve">Reports </w:t>
      </w:r>
      <w:r w:rsidR="00256805" w:rsidRPr="00B124DC">
        <w:rPr>
          <w:lang w:val="en-GB"/>
        </w:rPr>
        <w:t>1997</w:t>
      </w:r>
      <w:r w:rsidR="00E94AED" w:rsidRPr="00B124DC">
        <w:rPr>
          <w:lang w:val="en-GB"/>
        </w:rPr>
        <w:t>-</w:t>
      </w:r>
      <w:r w:rsidR="00256805" w:rsidRPr="00B124DC">
        <w:rPr>
          <w:lang w:val="en-GB"/>
        </w:rPr>
        <w:t xml:space="preserve">I, p. 186, § 39 </w:t>
      </w:r>
      <w:r w:rsidR="00256805" w:rsidRPr="00B124DC">
        <w:rPr>
          <w:i/>
          <w:lang w:val="en-GB"/>
        </w:rPr>
        <w:t>in fine</w:t>
      </w:r>
      <w:r w:rsidR="00256805" w:rsidRPr="00B124DC">
        <w:rPr>
          <w:lang w:val="en-GB"/>
        </w:rPr>
        <w:t>; and</w:t>
      </w:r>
      <w:r w:rsidR="00EF72CB">
        <w:rPr>
          <w:i/>
          <w:iCs/>
          <w:lang w:val="en-GB"/>
        </w:rPr>
        <w:t xml:space="preserve"> Petrovic v. </w:t>
      </w:r>
      <w:r w:rsidR="00256805" w:rsidRPr="00B124DC">
        <w:rPr>
          <w:i/>
          <w:iCs/>
          <w:lang w:val="en-GB"/>
        </w:rPr>
        <w:t>Austria</w:t>
      </w:r>
      <w:r w:rsidR="00CF7507">
        <w:rPr>
          <w:iCs/>
          <w:lang w:val="en-GB"/>
        </w:rPr>
        <w:t>,</w:t>
      </w:r>
      <w:r w:rsidR="00256805" w:rsidRPr="00B124DC">
        <w:rPr>
          <w:lang w:val="en-GB"/>
        </w:rPr>
        <w:t xml:space="preserve"> judgment of 27 March 1998, </w:t>
      </w:r>
      <w:r w:rsidR="00256805" w:rsidRPr="00B124DC">
        <w:rPr>
          <w:i/>
          <w:iCs/>
          <w:lang w:val="en-GB"/>
        </w:rPr>
        <w:t xml:space="preserve">Reports </w:t>
      </w:r>
      <w:r w:rsidR="00256805" w:rsidRPr="00B124DC">
        <w:rPr>
          <w:lang w:val="en-GB"/>
        </w:rPr>
        <w:t>1998-II, p. 587, §</w:t>
      </w:r>
      <w:r w:rsidR="00E94AED" w:rsidRPr="00B124DC">
        <w:rPr>
          <w:lang w:val="en-GB"/>
        </w:rPr>
        <w:t xml:space="preserve"> </w:t>
      </w:r>
      <w:r w:rsidR="00256805" w:rsidRPr="00B124DC">
        <w:rPr>
          <w:lang w:val="en-GB"/>
        </w:rPr>
        <w:t xml:space="preserve">37) </w:t>
      </w:r>
      <w:r w:rsidR="001A4823" w:rsidRPr="00B124DC">
        <w:rPr>
          <w:lang w:val="en-GB"/>
        </w:rPr>
        <w:t>–</w:t>
      </w:r>
      <w:r w:rsidR="00256805" w:rsidRPr="00B124DC">
        <w:rPr>
          <w:lang w:val="en-GB"/>
        </w:rPr>
        <w:t xml:space="preserve"> was also found by the Turkish Constitutional Court to be a principle implicit in the values underlying the Constitution</w:t>
      </w:r>
      <w:r w:rsidR="00CF7507">
        <w:rPr>
          <w:lang w:val="en-GB"/>
        </w:rPr>
        <w:t xml:space="preserve"> </w:t>
      </w:r>
      <w:r w:rsidR="003E6624" w:rsidRPr="00B124DC">
        <w:rPr>
          <w:lang w:val="en-GB"/>
        </w:rPr>
        <w:t>..</w:t>
      </w:r>
      <w:r w:rsidR="00256805" w:rsidRPr="00B124DC">
        <w:rPr>
          <w:lang w:val="en-GB"/>
        </w:rPr>
        <w:t>.</w:t>
      </w:r>
    </w:p>
    <w:p w:rsidR="0098730A" w:rsidRPr="00B124DC" w:rsidRDefault="00E02DA8" w:rsidP="003E6624">
      <w:pPr>
        <w:pStyle w:val="JuQuot"/>
        <w:rPr>
          <w:lang w:val="en-GB"/>
        </w:rPr>
      </w:pPr>
      <w:r w:rsidRPr="00B124DC">
        <w:rPr>
          <w:lang w:val="en-GB"/>
        </w:rPr>
        <w:t xml:space="preserve">... </w:t>
      </w:r>
      <w:r w:rsidR="0017616B" w:rsidRPr="00B124DC">
        <w:rPr>
          <w:lang w:val="en-GB"/>
        </w:rPr>
        <w:t>In addition</w:t>
      </w:r>
      <w:r w:rsidR="003E6624" w:rsidRPr="00B124DC">
        <w:rPr>
          <w:lang w:val="en-GB"/>
        </w:rPr>
        <w:t>, like the Constitutional Court</w:t>
      </w:r>
      <w:r w:rsidR="00CF7507">
        <w:rPr>
          <w:lang w:val="en-GB"/>
        </w:rPr>
        <w:t xml:space="preserve"> </w:t>
      </w:r>
      <w:r w:rsidR="003E6624" w:rsidRPr="00B124DC">
        <w:rPr>
          <w:lang w:val="en-GB"/>
        </w:rPr>
        <w:t>...</w:t>
      </w:r>
      <w:r w:rsidR="0017616B" w:rsidRPr="00B124DC">
        <w:rPr>
          <w:lang w:val="en-GB"/>
        </w:rPr>
        <w:t xml:space="preserve">, the Court considers that, when examining the question of the Islamic headscarf in the Turkish context, </w:t>
      </w:r>
      <w:r w:rsidR="00EF72CB">
        <w:rPr>
          <w:lang w:val="en-GB"/>
        </w:rPr>
        <w:t>it</w:t>
      </w:r>
      <w:r w:rsidR="0017616B" w:rsidRPr="00B124DC">
        <w:rPr>
          <w:lang w:val="en-GB"/>
        </w:rPr>
        <w:t xml:space="preserve"> must be borne in mind the impact which wearing such a symbol, which is presented or perceived as a compulsory religious duty, may have on those who choose not to wear it. As has already been noted (see </w:t>
      </w:r>
      <w:r w:rsidR="0017616B" w:rsidRPr="00B124DC">
        <w:rPr>
          <w:i/>
          <w:iCs/>
          <w:lang w:val="en-GB"/>
        </w:rPr>
        <w:t>Karaduman</w:t>
      </w:r>
      <w:r w:rsidR="0017616B" w:rsidRPr="00B124DC">
        <w:rPr>
          <w:iCs/>
          <w:lang w:val="en-GB"/>
        </w:rPr>
        <w:t>,</w:t>
      </w:r>
      <w:r w:rsidR="0017616B" w:rsidRPr="00B124DC">
        <w:rPr>
          <w:i/>
          <w:iCs/>
          <w:lang w:val="en-GB"/>
        </w:rPr>
        <w:t xml:space="preserve"> </w:t>
      </w:r>
      <w:r w:rsidR="0017616B" w:rsidRPr="00B124DC">
        <w:rPr>
          <w:lang w:val="en-GB"/>
        </w:rPr>
        <w:t>decision cited above</w:t>
      </w:r>
      <w:r w:rsidR="00CF7507">
        <w:rPr>
          <w:lang w:val="en-GB"/>
        </w:rPr>
        <w:t>,</w:t>
      </w:r>
      <w:r w:rsidR="0017616B" w:rsidRPr="00B124DC">
        <w:rPr>
          <w:lang w:val="en-GB"/>
        </w:rPr>
        <w:t xml:space="preserve"> and</w:t>
      </w:r>
      <w:r w:rsidR="0017616B" w:rsidRPr="00B124DC">
        <w:rPr>
          <w:i/>
          <w:iCs/>
          <w:lang w:val="en-GB"/>
        </w:rPr>
        <w:t xml:space="preserve"> Refah Partisi </w:t>
      </w:r>
      <w:r w:rsidR="00CF7507">
        <w:rPr>
          <w:i/>
          <w:iCs/>
          <w:lang w:val="en-GB"/>
        </w:rPr>
        <w:t xml:space="preserve">(the Welfare Party) </w:t>
      </w:r>
      <w:r w:rsidR="0017616B" w:rsidRPr="00B124DC">
        <w:rPr>
          <w:i/>
          <w:iCs/>
          <w:lang w:val="en-GB"/>
        </w:rPr>
        <w:t>and Others</w:t>
      </w:r>
      <w:r w:rsidR="0086111A" w:rsidRPr="00B124DC">
        <w:rPr>
          <w:iCs/>
          <w:lang w:val="en-GB"/>
        </w:rPr>
        <w:t xml:space="preserve">, </w:t>
      </w:r>
      <w:r w:rsidR="0017616B" w:rsidRPr="00B124DC">
        <w:rPr>
          <w:lang w:val="en-GB"/>
        </w:rPr>
        <w:t xml:space="preserve">cited above, § 95), the issues at stake include the protection of the </w:t>
      </w:r>
      <w:r w:rsidR="00CF7507">
        <w:rPr>
          <w:lang w:val="en-GB"/>
        </w:rPr>
        <w:t>‘</w:t>
      </w:r>
      <w:r w:rsidR="0017616B" w:rsidRPr="00B124DC">
        <w:rPr>
          <w:lang w:val="en-GB"/>
        </w:rPr>
        <w:t>rights and freedoms of others</w:t>
      </w:r>
      <w:r w:rsidR="00CF7507">
        <w:rPr>
          <w:lang w:val="en-GB"/>
        </w:rPr>
        <w:t>’</w:t>
      </w:r>
      <w:r w:rsidR="0017616B" w:rsidRPr="00B124DC">
        <w:rPr>
          <w:lang w:val="en-GB"/>
        </w:rPr>
        <w:t xml:space="preserve"> and the </w:t>
      </w:r>
      <w:r w:rsidR="00CF7507">
        <w:rPr>
          <w:lang w:val="en-GB"/>
        </w:rPr>
        <w:t>‘</w:t>
      </w:r>
      <w:r w:rsidR="0017616B" w:rsidRPr="00B124DC">
        <w:rPr>
          <w:lang w:val="en-GB"/>
        </w:rPr>
        <w:t>maintenance of public order</w:t>
      </w:r>
      <w:r w:rsidR="00CF7507">
        <w:rPr>
          <w:lang w:val="en-GB"/>
        </w:rPr>
        <w:t>’</w:t>
      </w:r>
      <w:r w:rsidR="0017616B" w:rsidRPr="00B124DC">
        <w:rPr>
          <w:lang w:val="en-GB"/>
        </w:rPr>
        <w:t xml:space="preserve"> in a country in which the majority of the population, while professing a strong attachment to the rights of women and a secular way of life, adhere to the Islamic faith. Imposing limitations on freedom in this sphere may, therefore, be regarded as meeting a pressing social need by seeking to achieve those two legitimate aims, especially sinc</w:t>
      </w:r>
      <w:r w:rsidR="003E6624" w:rsidRPr="00B124DC">
        <w:rPr>
          <w:lang w:val="en-GB"/>
        </w:rPr>
        <w:t>e, as the Turkish courts stated</w:t>
      </w:r>
      <w:r w:rsidR="00CF7507">
        <w:rPr>
          <w:lang w:val="en-GB"/>
        </w:rPr>
        <w:t xml:space="preserve"> </w:t>
      </w:r>
      <w:r w:rsidR="003E6624" w:rsidRPr="00B124DC">
        <w:rPr>
          <w:lang w:val="en-GB"/>
        </w:rPr>
        <w:t>...</w:t>
      </w:r>
      <w:r w:rsidR="0017616B" w:rsidRPr="00B124DC">
        <w:rPr>
          <w:lang w:val="en-GB"/>
        </w:rPr>
        <w:t xml:space="preserve">, this religious symbol has taken on political significance in </w:t>
      </w:r>
      <w:smartTag w:uri="urn:schemas-microsoft-com:office:smarttags" w:element="place">
        <w:smartTag w:uri="urn:schemas-microsoft-com:office:smarttags" w:element="country-region">
          <w:r w:rsidR="0017616B" w:rsidRPr="00B124DC">
            <w:rPr>
              <w:lang w:val="en-GB"/>
            </w:rPr>
            <w:t>Turkey</w:t>
          </w:r>
        </w:smartTag>
      </w:smartTag>
      <w:r w:rsidR="0017616B" w:rsidRPr="00B124DC">
        <w:rPr>
          <w:lang w:val="en-GB"/>
        </w:rPr>
        <w:t xml:space="preserve"> in recent years.</w:t>
      </w:r>
    </w:p>
    <w:p w:rsidR="0098730A" w:rsidRPr="00B124DC" w:rsidRDefault="00E02DA8" w:rsidP="00292775">
      <w:pPr>
        <w:pStyle w:val="JuQuot"/>
        <w:rPr>
          <w:lang w:val="en-GB"/>
        </w:rPr>
      </w:pPr>
      <w:r w:rsidRPr="00B124DC">
        <w:rPr>
          <w:lang w:val="en-GB"/>
        </w:rPr>
        <w:t xml:space="preserve">... </w:t>
      </w:r>
      <w:r w:rsidR="0017616B" w:rsidRPr="00B124DC">
        <w:rPr>
          <w:lang w:val="en-GB"/>
        </w:rPr>
        <w:t>The Court does not lose sight of the fact that there are extremist political movements in Turkey which seek to impose on society as a whole their religious symbols and conception of a society founded on religious precepts</w:t>
      </w:r>
      <w:r w:rsidR="00CF7507">
        <w:rPr>
          <w:lang w:val="en-GB"/>
        </w:rPr>
        <w:t xml:space="preserve"> </w:t>
      </w:r>
      <w:r w:rsidR="00292775" w:rsidRPr="00B124DC">
        <w:rPr>
          <w:lang w:val="en-GB"/>
        </w:rPr>
        <w:t>...</w:t>
      </w:r>
      <w:r w:rsidR="0017616B" w:rsidRPr="00B124DC">
        <w:rPr>
          <w:lang w:val="en-GB"/>
        </w:rPr>
        <w:t xml:space="preserve"> </w:t>
      </w:r>
      <w:r w:rsidR="0079221A" w:rsidRPr="00B124DC">
        <w:rPr>
          <w:lang w:val="en-GB"/>
        </w:rPr>
        <w:t>It</w:t>
      </w:r>
      <w:r w:rsidR="0017616B" w:rsidRPr="00B124DC">
        <w:rPr>
          <w:lang w:val="en-GB"/>
        </w:rPr>
        <w:t xml:space="preserve"> has previously said that each Contracting State may, in accordance with the Convention provisions, take a stance against such political movements, based on its historical experience (</w:t>
      </w:r>
      <w:r w:rsidR="00CF7507">
        <w:rPr>
          <w:lang w:val="en-GB"/>
        </w:rPr>
        <w:t xml:space="preserve">see </w:t>
      </w:r>
      <w:r w:rsidR="0017616B" w:rsidRPr="00B124DC">
        <w:rPr>
          <w:i/>
          <w:iCs/>
          <w:lang w:val="en-GB"/>
        </w:rPr>
        <w:t xml:space="preserve">Refah Partisi </w:t>
      </w:r>
      <w:r w:rsidR="00CF7507">
        <w:rPr>
          <w:i/>
          <w:iCs/>
          <w:lang w:val="en-GB"/>
        </w:rPr>
        <w:t xml:space="preserve">(the Welfare Party) </w:t>
      </w:r>
      <w:r w:rsidR="0017616B" w:rsidRPr="00B124DC">
        <w:rPr>
          <w:i/>
          <w:iCs/>
          <w:lang w:val="en-GB"/>
        </w:rPr>
        <w:t>and Others</w:t>
      </w:r>
      <w:r w:rsidR="0086111A" w:rsidRPr="00B124DC">
        <w:rPr>
          <w:lang w:val="en-GB"/>
        </w:rPr>
        <w:t xml:space="preserve">, cited above, § </w:t>
      </w:r>
      <w:r w:rsidR="0017616B" w:rsidRPr="00B124DC">
        <w:rPr>
          <w:lang w:val="en-GB"/>
        </w:rPr>
        <w:t>124). The regulations concerned have to be viewed in that context and constitute a measure intended to achieve the legitimate aims referred to above and thereby to preserve pluralism in the university.</w:t>
      </w:r>
      <w:r w:rsidR="00292775" w:rsidRPr="00B124DC">
        <w:rPr>
          <w:lang w:val="en-GB"/>
        </w:rPr>
        <w:t>”</w:t>
      </w:r>
    </w:p>
    <w:p w:rsidR="0017616B" w:rsidRPr="00B124DC" w:rsidRDefault="00C4171E"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116</w:t>
      </w:r>
      <w:r w:rsidRPr="00B124DC">
        <w:rPr>
          <w:lang w:val="en-GB"/>
        </w:rPr>
        <w:fldChar w:fldCharType="end"/>
      </w:r>
      <w:r w:rsidRPr="00B124DC">
        <w:rPr>
          <w:lang w:val="en-GB"/>
        </w:rPr>
        <w:t>.  </w:t>
      </w:r>
      <w:r w:rsidR="0017616B" w:rsidRPr="00B124DC">
        <w:rPr>
          <w:lang w:val="en-GB"/>
        </w:rPr>
        <w:t>Having regard to the above background, it is the principle of secularism, as elucidated by the Cons</w:t>
      </w:r>
      <w:r w:rsidR="00E94AED" w:rsidRPr="00B124DC">
        <w:rPr>
          <w:lang w:val="en-GB"/>
        </w:rPr>
        <w:t>titutional Court (see paragraph</w:t>
      </w:r>
      <w:r w:rsidR="0043110F">
        <w:rPr>
          <w:lang w:val="en-GB"/>
        </w:rPr>
        <w:t xml:space="preserve"> </w:t>
      </w:r>
      <w:r w:rsidR="0017616B" w:rsidRPr="00B124DC">
        <w:rPr>
          <w:lang w:val="en-GB"/>
        </w:rPr>
        <w:t>3</w:t>
      </w:r>
      <w:r w:rsidRPr="00B124DC">
        <w:rPr>
          <w:lang w:val="en-GB"/>
        </w:rPr>
        <w:t>9</w:t>
      </w:r>
      <w:r w:rsidR="0017616B" w:rsidRPr="00B124DC">
        <w:rPr>
          <w:lang w:val="en-GB"/>
        </w:rPr>
        <w:t xml:space="preserve"> above), which is the paramount consideration underlying the ban on the wearing of religious </w:t>
      </w:r>
      <w:r w:rsidRPr="00B124DC">
        <w:rPr>
          <w:lang w:val="en-GB"/>
        </w:rPr>
        <w:t>symbols</w:t>
      </w:r>
      <w:r w:rsidR="0017616B" w:rsidRPr="00B124DC">
        <w:rPr>
          <w:lang w:val="en-GB"/>
        </w:rPr>
        <w:t xml:space="preserve"> in universities. </w:t>
      </w:r>
      <w:r w:rsidR="0028094C" w:rsidRPr="00B124DC">
        <w:rPr>
          <w:lang w:val="en-GB"/>
        </w:rPr>
        <w:t xml:space="preserve">In </w:t>
      </w:r>
      <w:r w:rsidR="0017616B" w:rsidRPr="00B124DC">
        <w:rPr>
          <w:lang w:val="en-GB"/>
        </w:rPr>
        <w:t>such a context</w:t>
      </w:r>
      <w:r w:rsidR="0028094C" w:rsidRPr="00B124DC">
        <w:rPr>
          <w:lang w:val="en-GB"/>
        </w:rPr>
        <w:t>,</w:t>
      </w:r>
      <w:r w:rsidR="0017616B" w:rsidRPr="00B124DC">
        <w:rPr>
          <w:lang w:val="en-GB"/>
        </w:rPr>
        <w:t xml:space="preserve"> where the values of pluralism, respect for the rights of others and, in particular, equality before the law of men and women are being </w:t>
      </w:r>
      <w:r w:rsidR="00E94AED" w:rsidRPr="00B124DC">
        <w:rPr>
          <w:lang w:val="en-GB"/>
        </w:rPr>
        <w:t xml:space="preserve">taught and applied in practice, </w:t>
      </w:r>
      <w:r w:rsidR="0028094C" w:rsidRPr="00B124DC">
        <w:rPr>
          <w:lang w:val="en-GB"/>
        </w:rPr>
        <w:t xml:space="preserve">it is understandable that </w:t>
      </w:r>
      <w:r w:rsidR="0017616B" w:rsidRPr="00B124DC">
        <w:rPr>
          <w:lang w:val="en-GB"/>
        </w:rPr>
        <w:t xml:space="preserve">the </w:t>
      </w:r>
      <w:r w:rsidR="00256FC4" w:rsidRPr="00B124DC">
        <w:rPr>
          <w:lang w:val="en-GB"/>
        </w:rPr>
        <w:t>relevant</w:t>
      </w:r>
      <w:r w:rsidR="0017616B" w:rsidRPr="00B124DC">
        <w:rPr>
          <w:lang w:val="en-GB"/>
        </w:rPr>
        <w:t xml:space="preserve"> authorities </w:t>
      </w:r>
      <w:r w:rsidR="00FF08B3" w:rsidRPr="00B124DC">
        <w:rPr>
          <w:lang w:val="en-GB"/>
        </w:rPr>
        <w:t>sh</w:t>
      </w:r>
      <w:r w:rsidR="0017616B" w:rsidRPr="00B124DC">
        <w:rPr>
          <w:lang w:val="en-GB"/>
        </w:rPr>
        <w:t xml:space="preserve">ould </w:t>
      </w:r>
      <w:r w:rsidR="0028094C" w:rsidRPr="00B124DC">
        <w:rPr>
          <w:lang w:val="en-GB"/>
        </w:rPr>
        <w:t>wish</w:t>
      </w:r>
      <w:r w:rsidRPr="00B124DC">
        <w:rPr>
          <w:lang w:val="en-GB"/>
        </w:rPr>
        <w:t xml:space="preserve"> to </w:t>
      </w:r>
      <w:r w:rsidR="0028094C" w:rsidRPr="00B124DC">
        <w:rPr>
          <w:lang w:val="en-GB"/>
        </w:rPr>
        <w:t>preserve</w:t>
      </w:r>
      <w:r w:rsidRPr="00B124DC">
        <w:rPr>
          <w:lang w:val="en-GB"/>
        </w:rPr>
        <w:t xml:space="preserve"> the </w:t>
      </w:r>
      <w:r w:rsidR="0028094C" w:rsidRPr="00B124DC">
        <w:rPr>
          <w:lang w:val="en-GB"/>
        </w:rPr>
        <w:t xml:space="preserve">secular nature of the </w:t>
      </w:r>
      <w:r w:rsidRPr="00B124DC">
        <w:rPr>
          <w:lang w:val="en-GB"/>
        </w:rPr>
        <w:t xml:space="preserve">institution concerned and </w:t>
      </w:r>
      <w:r w:rsidR="0028094C" w:rsidRPr="00B124DC">
        <w:rPr>
          <w:lang w:val="en-GB"/>
        </w:rPr>
        <w:t>so</w:t>
      </w:r>
      <w:r w:rsidRPr="00B124DC">
        <w:rPr>
          <w:lang w:val="en-GB"/>
        </w:rPr>
        <w:t xml:space="preserve"> </w:t>
      </w:r>
      <w:r w:rsidR="0017616B" w:rsidRPr="00B124DC">
        <w:rPr>
          <w:lang w:val="en-GB"/>
        </w:rPr>
        <w:t xml:space="preserve">consider it </w:t>
      </w:r>
      <w:r w:rsidRPr="00B124DC">
        <w:rPr>
          <w:lang w:val="en-GB"/>
        </w:rPr>
        <w:t>contrary</w:t>
      </w:r>
      <w:r w:rsidR="0017616B" w:rsidRPr="00B124DC">
        <w:rPr>
          <w:lang w:val="en-GB"/>
        </w:rPr>
        <w:t xml:space="preserve"> to such values to </w:t>
      </w:r>
      <w:r w:rsidRPr="00B124DC">
        <w:rPr>
          <w:lang w:val="en-GB"/>
        </w:rPr>
        <w:t>allow</w:t>
      </w:r>
      <w:r w:rsidR="0017616B" w:rsidRPr="00B124DC">
        <w:rPr>
          <w:lang w:val="en-GB"/>
        </w:rPr>
        <w:t xml:space="preserve"> religious </w:t>
      </w:r>
      <w:r w:rsidRPr="00B124DC">
        <w:rPr>
          <w:lang w:val="en-GB"/>
        </w:rPr>
        <w:t>attire</w:t>
      </w:r>
      <w:r w:rsidR="0017616B" w:rsidRPr="00B124DC">
        <w:rPr>
          <w:lang w:val="en-GB"/>
        </w:rPr>
        <w:t>, including</w:t>
      </w:r>
      <w:r w:rsidR="00830F0F" w:rsidRPr="00B124DC">
        <w:rPr>
          <w:lang w:val="en-GB"/>
        </w:rPr>
        <w:t>,</w:t>
      </w:r>
      <w:r w:rsidR="0017616B" w:rsidRPr="00B124DC">
        <w:rPr>
          <w:lang w:val="en-GB"/>
        </w:rPr>
        <w:t xml:space="preserve"> as in the present case, </w:t>
      </w:r>
      <w:r w:rsidRPr="00B124DC">
        <w:rPr>
          <w:lang w:val="en-GB"/>
        </w:rPr>
        <w:t>the Islamic</w:t>
      </w:r>
      <w:r w:rsidR="0017616B" w:rsidRPr="00B124DC">
        <w:rPr>
          <w:lang w:val="en-GB"/>
        </w:rPr>
        <w:t xml:space="preserve"> headscarf</w:t>
      </w:r>
      <w:r w:rsidR="0028094C" w:rsidRPr="00B124DC">
        <w:rPr>
          <w:lang w:val="en-GB"/>
        </w:rPr>
        <w:t>, to be worn</w:t>
      </w:r>
      <w:r w:rsidR="0017616B" w:rsidRPr="00B124DC">
        <w:rPr>
          <w:lang w:val="en-GB"/>
        </w:rPr>
        <w:t>.</w:t>
      </w:r>
    </w:p>
    <w:p w:rsidR="0098730A" w:rsidRPr="00B124DC" w:rsidRDefault="00DD551F"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117</w:t>
      </w:r>
      <w:r w:rsidRPr="00B124DC">
        <w:rPr>
          <w:lang w:val="en-GB"/>
        </w:rPr>
        <w:fldChar w:fldCharType="end"/>
      </w:r>
      <w:r w:rsidRPr="00B124DC">
        <w:rPr>
          <w:lang w:val="en-GB"/>
        </w:rPr>
        <w:t>.  </w:t>
      </w:r>
      <w:r w:rsidR="0028094C" w:rsidRPr="00B124DC">
        <w:rPr>
          <w:lang w:val="en-GB"/>
        </w:rPr>
        <w:t>The Court must now</w:t>
      </w:r>
      <w:r w:rsidRPr="00B124DC">
        <w:rPr>
          <w:lang w:val="en-GB"/>
        </w:rPr>
        <w:t xml:space="preserve"> determine whether in the </w:t>
      </w:r>
      <w:r w:rsidR="0028094C" w:rsidRPr="00B124DC">
        <w:rPr>
          <w:lang w:val="en-GB"/>
        </w:rPr>
        <w:t>instant</w:t>
      </w:r>
      <w:r w:rsidRPr="00B124DC">
        <w:rPr>
          <w:lang w:val="en-GB"/>
        </w:rPr>
        <w:t xml:space="preserve"> case there was a reasonable relationship of proportionality between the means employed and the legitimate objectives pursued by the interference.</w:t>
      </w:r>
    </w:p>
    <w:p w:rsidR="0098730A" w:rsidRPr="00B124DC" w:rsidRDefault="0017616B"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118</w:t>
      </w:r>
      <w:r w:rsidRPr="00B124DC">
        <w:rPr>
          <w:lang w:val="en-GB"/>
        </w:rPr>
        <w:fldChar w:fldCharType="end"/>
      </w:r>
      <w:r w:rsidRPr="00B124DC">
        <w:rPr>
          <w:lang w:val="en-GB"/>
        </w:rPr>
        <w:t>.  </w:t>
      </w:r>
      <w:r w:rsidR="0036076C" w:rsidRPr="00B124DC">
        <w:rPr>
          <w:lang w:val="en-GB"/>
        </w:rPr>
        <w:t xml:space="preserve">Like the Chamber (see paragraph 111 of </w:t>
      </w:r>
      <w:r w:rsidR="00D57D28" w:rsidRPr="00B124DC">
        <w:rPr>
          <w:lang w:val="en-GB"/>
        </w:rPr>
        <w:t>its</w:t>
      </w:r>
      <w:r w:rsidR="0036076C" w:rsidRPr="00B124DC">
        <w:rPr>
          <w:lang w:val="en-GB"/>
        </w:rPr>
        <w:t xml:space="preserve"> judgment), the Grand Chamber notes at the outset</w:t>
      </w:r>
      <w:r w:rsidRPr="00B124DC">
        <w:rPr>
          <w:lang w:val="en-GB"/>
        </w:rPr>
        <w:t xml:space="preserve"> that </w:t>
      </w:r>
      <w:r w:rsidR="0036076C" w:rsidRPr="00B124DC">
        <w:rPr>
          <w:lang w:val="en-GB"/>
        </w:rPr>
        <w:t>it</w:t>
      </w:r>
      <w:r w:rsidRPr="00B124DC">
        <w:rPr>
          <w:lang w:val="en-GB"/>
        </w:rPr>
        <w:t xml:space="preserve"> is </w:t>
      </w:r>
      <w:r w:rsidR="0036076C" w:rsidRPr="00B124DC">
        <w:rPr>
          <w:lang w:val="en-GB"/>
        </w:rPr>
        <w:t>common ground</w:t>
      </w:r>
      <w:r w:rsidRPr="00B124DC">
        <w:rPr>
          <w:lang w:val="en-GB"/>
        </w:rPr>
        <w:t xml:space="preserve"> that</w:t>
      </w:r>
      <w:r w:rsidR="008228BF" w:rsidRPr="00B124DC">
        <w:rPr>
          <w:lang w:val="en-GB"/>
        </w:rPr>
        <w:t xml:space="preserve"> practising Muslim students in Turkish universities are free,</w:t>
      </w:r>
      <w:r w:rsidRPr="00B124DC">
        <w:rPr>
          <w:lang w:val="en-GB"/>
        </w:rPr>
        <w:t xml:space="preserve"> </w:t>
      </w:r>
      <w:r w:rsidR="008228BF" w:rsidRPr="00B124DC">
        <w:rPr>
          <w:lang w:val="en-GB"/>
        </w:rPr>
        <w:t xml:space="preserve">within the limits imposed by </w:t>
      </w:r>
      <w:r w:rsidR="00CF7507">
        <w:rPr>
          <w:lang w:val="en-GB"/>
        </w:rPr>
        <w:t xml:space="preserve">the </w:t>
      </w:r>
      <w:r w:rsidR="008228BF" w:rsidRPr="00B124DC">
        <w:rPr>
          <w:lang w:val="en-GB"/>
        </w:rPr>
        <w:t>constraints</w:t>
      </w:r>
      <w:r w:rsidR="00CF7507">
        <w:rPr>
          <w:lang w:val="en-GB"/>
        </w:rPr>
        <w:t xml:space="preserve"> of educational organisation</w:t>
      </w:r>
      <w:r w:rsidR="008228BF" w:rsidRPr="00B124DC">
        <w:rPr>
          <w:lang w:val="en-GB"/>
        </w:rPr>
        <w:t xml:space="preserve">, </w:t>
      </w:r>
      <w:r w:rsidRPr="00B124DC">
        <w:rPr>
          <w:lang w:val="en-GB"/>
        </w:rPr>
        <w:t xml:space="preserve">to </w:t>
      </w:r>
      <w:r w:rsidR="008228BF" w:rsidRPr="00B124DC">
        <w:rPr>
          <w:lang w:val="en-GB"/>
        </w:rPr>
        <w:t xml:space="preserve">manifest their religion in accordance with </w:t>
      </w:r>
      <w:r w:rsidRPr="00B124DC">
        <w:rPr>
          <w:lang w:val="en-GB"/>
        </w:rPr>
        <w:t xml:space="preserve">habitual </w:t>
      </w:r>
      <w:r w:rsidR="008228BF" w:rsidRPr="00B124DC">
        <w:rPr>
          <w:lang w:val="en-GB"/>
        </w:rPr>
        <w:t>forms</w:t>
      </w:r>
      <w:r w:rsidRPr="00B124DC">
        <w:rPr>
          <w:lang w:val="en-GB"/>
        </w:rPr>
        <w:t xml:space="preserve"> of Muslim observance. In addition, the resolution adopted by </w:t>
      </w:r>
      <w:smartTag w:uri="urn:schemas-microsoft-com:office:smarttags" w:element="place">
        <w:smartTag w:uri="urn:schemas-microsoft-com:office:smarttags" w:element="PlaceName">
          <w:r w:rsidRPr="00B124DC">
            <w:rPr>
              <w:lang w:val="en-GB"/>
            </w:rPr>
            <w:t>Istanbul</w:t>
          </w:r>
        </w:smartTag>
        <w:r w:rsidRPr="00B124DC">
          <w:rPr>
            <w:lang w:val="en-GB"/>
          </w:rPr>
          <w:t xml:space="preserve"> </w:t>
        </w:r>
        <w:smartTag w:uri="urn:schemas-microsoft-com:office:smarttags" w:element="PlaceType">
          <w:r w:rsidRPr="00B124DC">
            <w:rPr>
              <w:lang w:val="en-GB"/>
            </w:rPr>
            <w:t>University</w:t>
          </w:r>
        </w:smartTag>
      </w:smartTag>
      <w:r w:rsidRPr="00B124DC">
        <w:rPr>
          <w:lang w:val="en-GB"/>
        </w:rPr>
        <w:t xml:space="preserve"> on 9</w:t>
      </w:r>
      <w:r w:rsidR="00E94AED" w:rsidRPr="00B124DC">
        <w:rPr>
          <w:lang w:val="en-GB"/>
        </w:rPr>
        <w:t xml:space="preserve"> </w:t>
      </w:r>
      <w:r w:rsidRPr="00B124DC">
        <w:rPr>
          <w:lang w:val="en-GB"/>
        </w:rPr>
        <w:t xml:space="preserve">July 1998 </w:t>
      </w:r>
      <w:r w:rsidR="00341F0B" w:rsidRPr="00B124DC">
        <w:rPr>
          <w:lang w:val="en-GB"/>
        </w:rPr>
        <w:t xml:space="preserve">shows that </w:t>
      </w:r>
      <w:r w:rsidR="00D57D28" w:rsidRPr="00B124DC">
        <w:rPr>
          <w:lang w:val="en-GB"/>
        </w:rPr>
        <w:t>various other forms</w:t>
      </w:r>
      <w:r w:rsidRPr="00B124DC">
        <w:rPr>
          <w:lang w:val="en-GB"/>
        </w:rPr>
        <w:t xml:space="preserve"> of </w:t>
      </w:r>
      <w:r w:rsidR="00341F0B" w:rsidRPr="00B124DC">
        <w:rPr>
          <w:lang w:val="en-GB"/>
        </w:rPr>
        <w:t xml:space="preserve">religious </w:t>
      </w:r>
      <w:r w:rsidR="00D57D28" w:rsidRPr="00B124DC">
        <w:rPr>
          <w:lang w:val="en-GB"/>
        </w:rPr>
        <w:t>attire</w:t>
      </w:r>
      <w:r w:rsidRPr="00B124DC">
        <w:rPr>
          <w:lang w:val="en-GB"/>
        </w:rPr>
        <w:t xml:space="preserve"> </w:t>
      </w:r>
      <w:r w:rsidR="00EB27BD" w:rsidRPr="00B124DC">
        <w:rPr>
          <w:lang w:val="en-GB"/>
        </w:rPr>
        <w:t xml:space="preserve">are also forbidden </w:t>
      </w:r>
      <w:r w:rsidRPr="00B124DC">
        <w:rPr>
          <w:lang w:val="en-GB"/>
        </w:rPr>
        <w:t xml:space="preserve">on </w:t>
      </w:r>
      <w:r w:rsidR="00EB27BD" w:rsidRPr="00B124DC">
        <w:rPr>
          <w:lang w:val="en-GB"/>
        </w:rPr>
        <w:t xml:space="preserve">the </w:t>
      </w:r>
      <w:r w:rsidRPr="00B124DC">
        <w:rPr>
          <w:lang w:val="en-GB"/>
        </w:rPr>
        <w:t xml:space="preserve">university premises </w:t>
      </w:r>
      <w:r w:rsidR="00E94AED" w:rsidRPr="00B124DC">
        <w:rPr>
          <w:lang w:val="en-GB"/>
        </w:rPr>
        <w:t xml:space="preserve">(see paragraph </w:t>
      </w:r>
      <w:r w:rsidRPr="00B124DC">
        <w:rPr>
          <w:lang w:val="en-GB"/>
        </w:rPr>
        <w:t>4</w:t>
      </w:r>
      <w:r w:rsidR="00EB27BD" w:rsidRPr="00B124DC">
        <w:rPr>
          <w:lang w:val="en-GB"/>
        </w:rPr>
        <w:t>7</w:t>
      </w:r>
      <w:r w:rsidRPr="00B124DC">
        <w:rPr>
          <w:lang w:val="en-GB"/>
        </w:rPr>
        <w:t xml:space="preserve"> above).</w:t>
      </w:r>
    </w:p>
    <w:p w:rsidR="000F310D" w:rsidRPr="00B124DC" w:rsidRDefault="00CC6EAF"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119</w:t>
      </w:r>
      <w:r w:rsidRPr="00B124DC">
        <w:rPr>
          <w:lang w:val="en-GB"/>
        </w:rPr>
        <w:fldChar w:fldCharType="end"/>
      </w:r>
      <w:r w:rsidRPr="00B124DC">
        <w:rPr>
          <w:lang w:val="en-GB"/>
        </w:rPr>
        <w:t>.  </w:t>
      </w:r>
      <w:r w:rsidR="007A1037" w:rsidRPr="00B124DC">
        <w:rPr>
          <w:lang w:val="en-GB"/>
        </w:rPr>
        <w:t>It should also be noted that</w:t>
      </w:r>
      <w:r w:rsidR="00150ABA">
        <w:rPr>
          <w:lang w:val="en-GB"/>
        </w:rPr>
        <w:t>,</w:t>
      </w:r>
      <w:r w:rsidR="007A1037" w:rsidRPr="00B124DC">
        <w:rPr>
          <w:lang w:val="en-GB"/>
        </w:rPr>
        <w:t xml:space="preserve"> when the issue of </w:t>
      </w:r>
      <w:r w:rsidR="0017616B" w:rsidRPr="00B124DC">
        <w:rPr>
          <w:lang w:val="en-GB"/>
        </w:rPr>
        <w:t xml:space="preserve">whether students </w:t>
      </w:r>
      <w:r w:rsidR="007A1037" w:rsidRPr="00B124DC">
        <w:rPr>
          <w:lang w:val="en-GB"/>
        </w:rPr>
        <w:t>should be allowed to</w:t>
      </w:r>
      <w:r w:rsidR="0017616B" w:rsidRPr="00B124DC">
        <w:rPr>
          <w:lang w:val="en-GB"/>
        </w:rPr>
        <w:t xml:space="preserve"> wear the Islamic headscarf surfaced at </w:t>
      </w:r>
      <w:smartTag w:uri="urn:schemas-microsoft-com:office:smarttags" w:element="place">
        <w:smartTag w:uri="urn:schemas-microsoft-com:office:smarttags" w:element="PlaceName">
          <w:r w:rsidR="0017616B" w:rsidRPr="00B124DC">
            <w:rPr>
              <w:lang w:val="en-GB"/>
            </w:rPr>
            <w:t>Istanbul</w:t>
          </w:r>
        </w:smartTag>
        <w:r w:rsidR="0017616B" w:rsidRPr="00B124DC">
          <w:rPr>
            <w:lang w:val="en-GB"/>
          </w:rPr>
          <w:t xml:space="preserve"> </w:t>
        </w:r>
        <w:smartTag w:uri="urn:schemas-microsoft-com:office:smarttags" w:element="PlaceType">
          <w:r w:rsidR="0017616B" w:rsidRPr="00B124DC">
            <w:rPr>
              <w:lang w:val="en-GB"/>
            </w:rPr>
            <w:t>University</w:t>
          </w:r>
        </w:smartTag>
      </w:smartTag>
      <w:r w:rsidR="0017616B" w:rsidRPr="00B124DC">
        <w:rPr>
          <w:lang w:val="en-GB"/>
        </w:rPr>
        <w:t xml:space="preserve"> in 1994 in relation to the medical courses, the </w:t>
      </w:r>
      <w:r w:rsidR="007A1037" w:rsidRPr="00B124DC">
        <w:rPr>
          <w:lang w:val="en-GB"/>
        </w:rPr>
        <w:t>Vice</w:t>
      </w:r>
      <w:r w:rsidR="00CF7507">
        <w:rPr>
          <w:lang w:val="en-GB"/>
        </w:rPr>
        <w:t>-</w:t>
      </w:r>
      <w:r w:rsidR="007A1037" w:rsidRPr="00B124DC">
        <w:rPr>
          <w:lang w:val="en-GB"/>
        </w:rPr>
        <w:t xml:space="preserve">Chancellor </w:t>
      </w:r>
      <w:r w:rsidR="0017616B" w:rsidRPr="00B124DC">
        <w:rPr>
          <w:lang w:val="en-GB"/>
        </w:rPr>
        <w:t>reminded the</w:t>
      </w:r>
      <w:r w:rsidR="006E207D" w:rsidRPr="00B124DC">
        <w:rPr>
          <w:lang w:val="en-GB"/>
        </w:rPr>
        <w:t>m of</w:t>
      </w:r>
      <w:r w:rsidR="0017616B" w:rsidRPr="00B124DC">
        <w:rPr>
          <w:lang w:val="en-GB"/>
        </w:rPr>
        <w:t xml:space="preserve"> the </w:t>
      </w:r>
      <w:r w:rsidR="00137EEA" w:rsidRPr="00B124DC">
        <w:rPr>
          <w:lang w:val="en-GB"/>
        </w:rPr>
        <w:t xml:space="preserve">reasons </w:t>
      </w:r>
      <w:r w:rsidR="000F310D" w:rsidRPr="00B124DC">
        <w:rPr>
          <w:lang w:val="en-GB"/>
        </w:rPr>
        <w:t>for</w:t>
      </w:r>
      <w:r w:rsidR="00137EEA" w:rsidRPr="00B124DC">
        <w:rPr>
          <w:lang w:val="en-GB"/>
        </w:rPr>
        <w:t xml:space="preserve"> the rules on dress. </w:t>
      </w:r>
      <w:r w:rsidR="007645C7" w:rsidRPr="00B124DC">
        <w:rPr>
          <w:lang w:val="en-GB"/>
        </w:rPr>
        <w:t>Arguing</w:t>
      </w:r>
      <w:r w:rsidR="006E207D" w:rsidRPr="00B124DC">
        <w:rPr>
          <w:lang w:val="en-GB"/>
        </w:rPr>
        <w:t xml:space="preserve"> that </w:t>
      </w:r>
      <w:r w:rsidR="007645C7" w:rsidRPr="00B124DC">
        <w:rPr>
          <w:lang w:val="en-GB"/>
        </w:rPr>
        <w:t>calls</w:t>
      </w:r>
      <w:r w:rsidR="000F310D" w:rsidRPr="00B124DC">
        <w:rPr>
          <w:lang w:val="en-GB"/>
        </w:rPr>
        <w:t xml:space="preserve"> for permission to wear the Islamic headscarf </w:t>
      </w:r>
      <w:r w:rsidR="006E207D" w:rsidRPr="00B124DC">
        <w:rPr>
          <w:lang w:val="en-GB"/>
        </w:rPr>
        <w:t>in</w:t>
      </w:r>
      <w:r w:rsidR="000F310D" w:rsidRPr="00B124DC">
        <w:rPr>
          <w:lang w:val="en-GB"/>
        </w:rPr>
        <w:t xml:space="preserve"> </w:t>
      </w:r>
      <w:r w:rsidR="006E207D" w:rsidRPr="00B124DC">
        <w:rPr>
          <w:lang w:val="en-GB"/>
        </w:rPr>
        <w:t>all</w:t>
      </w:r>
      <w:r w:rsidR="000F310D" w:rsidRPr="00B124DC">
        <w:rPr>
          <w:lang w:val="en-GB"/>
        </w:rPr>
        <w:t xml:space="preserve"> part</w:t>
      </w:r>
      <w:r w:rsidR="006E207D" w:rsidRPr="00B124DC">
        <w:rPr>
          <w:lang w:val="en-GB"/>
        </w:rPr>
        <w:t>s</w:t>
      </w:r>
      <w:r w:rsidR="000F310D" w:rsidRPr="00B124DC">
        <w:rPr>
          <w:lang w:val="en-GB"/>
        </w:rPr>
        <w:t xml:space="preserve"> of the university </w:t>
      </w:r>
      <w:r w:rsidR="006E207D" w:rsidRPr="00B124DC">
        <w:rPr>
          <w:lang w:val="en-GB"/>
        </w:rPr>
        <w:t>premises w</w:t>
      </w:r>
      <w:r w:rsidR="007645C7" w:rsidRPr="00B124DC">
        <w:rPr>
          <w:lang w:val="en-GB"/>
        </w:rPr>
        <w:t>ere</w:t>
      </w:r>
      <w:r w:rsidR="006E207D" w:rsidRPr="00B124DC">
        <w:rPr>
          <w:lang w:val="en-GB"/>
        </w:rPr>
        <w:t xml:space="preserve"> </w:t>
      </w:r>
      <w:r w:rsidR="00954EBD" w:rsidRPr="00B124DC">
        <w:rPr>
          <w:lang w:val="en-GB"/>
        </w:rPr>
        <w:t>misconceived</w:t>
      </w:r>
      <w:r w:rsidR="006E207D" w:rsidRPr="00B124DC">
        <w:rPr>
          <w:lang w:val="en-GB"/>
        </w:rPr>
        <w:t xml:space="preserve"> and point</w:t>
      </w:r>
      <w:r w:rsidR="007645C7" w:rsidRPr="00B124DC">
        <w:rPr>
          <w:lang w:val="en-GB"/>
        </w:rPr>
        <w:t>ing</w:t>
      </w:r>
      <w:r w:rsidR="006E207D" w:rsidRPr="00B124DC">
        <w:rPr>
          <w:lang w:val="en-GB"/>
        </w:rPr>
        <w:t xml:space="preserve"> to the public-order constraints applicable to medical courses,</w:t>
      </w:r>
      <w:r w:rsidR="00137EEA" w:rsidRPr="00B124DC">
        <w:rPr>
          <w:lang w:val="en-GB"/>
        </w:rPr>
        <w:t xml:space="preserve"> </w:t>
      </w:r>
      <w:r w:rsidR="006E207D" w:rsidRPr="00B124DC">
        <w:rPr>
          <w:lang w:val="en-GB"/>
        </w:rPr>
        <w:t xml:space="preserve">he </w:t>
      </w:r>
      <w:r w:rsidR="000F310D" w:rsidRPr="00B124DC">
        <w:rPr>
          <w:lang w:val="en-GB"/>
        </w:rPr>
        <w:t xml:space="preserve">asked the students to </w:t>
      </w:r>
      <w:r w:rsidR="006E207D" w:rsidRPr="00B124DC">
        <w:rPr>
          <w:lang w:val="en-GB"/>
        </w:rPr>
        <w:t>abide by</w:t>
      </w:r>
      <w:r w:rsidR="000F310D" w:rsidRPr="00B124DC">
        <w:rPr>
          <w:lang w:val="en-GB"/>
        </w:rPr>
        <w:t xml:space="preserve"> the rules</w:t>
      </w:r>
      <w:r w:rsidR="00137EEA" w:rsidRPr="00B124DC">
        <w:rPr>
          <w:lang w:val="en-GB"/>
        </w:rPr>
        <w:t xml:space="preserve">, </w:t>
      </w:r>
      <w:r w:rsidR="000F310D" w:rsidRPr="00B124DC">
        <w:rPr>
          <w:lang w:val="en-GB"/>
        </w:rPr>
        <w:t xml:space="preserve">which were consistent with both the legislation and the case-law of the higher courts </w:t>
      </w:r>
      <w:r w:rsidR="00137EEA" w:rsidRPr="00B124DC">
        <w:rPr>
          <w:lang w:val="en-GB"/>
        </w:rPr>
        <w:t>(</w:t>
      </w:r>
      <w:r w:rsidR="000F310D" w:rsidRPr="00B124DC">
        <w:rPr>
          <w:lang w:val="en-GB"/>
        </w:rPr>
        <w:t>see paragraph</w:t>
      </w:r>
      <w:r w:rsidR="00137EEA" w:rsidRPr="00B124DC">
        <w:rPr>
          <w:lang w:val="en-GB"/>
        </w:rPr>
        <w:t xml:space="preserve">s 43-44 </w:t>
      </w:r>
      <w:r w:rsidR="000F310D" w:rsidRPr="00B124DC">
        <w:rPr>
          <w:lang w:val="en-GB"/>
        </w:rPr>
        <w:t>above</w:t>
      </w:r>
      <w:r w:rsidR="00137EEA" w:rsidRPr="00B124DC">
        <w:rPr>
          <w:lang w:val="en-GB"/>
        </w:rPr>
        <w:t>).</w:t>
      </w:r>
    </w:p>
    <w:p w:rsidR="0098730A" w:rsidRPr="00B124DC" w:rsidRDefault="000F310D"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120</w:t>
      </w:r>
      <w:r w:rsidRPr="00B124DC">
        <w:rPr>
          <w:lang w:val="en-GB"/>
        </w:rPr>
        <w:fldChar w:fldCharType="end"/>
      </w:r>
      <w:r w:rsidRPr="00B124DC">
        <w:rPr>
          <w:lang w:val="en-GB"/>
        </w:rPr>
        <w:t>.  </w:t>
      </w:r>
      <w:r w:rsidR="00E416E2" w:rsidRPr="00B124DC">
        <w:rPr>
          <w:lang w:val="en-GB"/>
        </w:rPr>
        <w:t xml:space="preserve">Furthermore, the process whereby the regulations that led to the decision of </w:t>
      </w:r>
      <w:smartTag w:uri="urn:schemas-microsoft-com:office:smarttags" w:element="date">
        <w:smartTagPr>
          <w:attr w:name="Month" w:val="7"/>
          <w:attr w:name="Day" w:val="9"/>
          <w:attr w:name="Year" w:val="1998"/>
        </w:smartTagPr>
        <w:r w:rsidR="00E416E2" w:rsidRPr="00B124DC">
          <w:rPr>
            <w:lang w:val="en-GB"/>
          </w:rPr>
          <w:t>9 July 1998</w:t>
        </w:r>
      </w:smartTag>
      <w:r w:rsidR="00E416E2" w:rsidRPr="00B124DC">
        <w:rPr>
          <w:lang w:val="en-GB"/>
        </w:rPr>
        <w:t xml:space="preserve"> were implemented took several years and was accompanied by a wide debate within Turkish society and the </w:t>
      </w:r>
      <w:r w:rsidR="00AD012B" w:rsidRPr="00B124DC">
        <w:rPr>
          <w:lang w:val="en-GB"/>
        </w:rPr>
        <w:t>teaching</w:t>
      </w:r>
      <w:r w:rsidR="00E416E2" w:rsidRPr="00B124DC">
        <w:rPr>
          <w:lang w:val="en-GB"/>
        </w:rPr>
        <w:t xml:space="preserve"> </w:t>
      </w:r>
      <w:r w:rsidR="00AD012B" w:rsidRPr="00B124DC">
        <w:rPr>
          <w:lang w:val="en-GB"/>
        </w:rPr>
        <w:t>profession</w:t>
      </w:r>
      <w:r w:rsidR="00E416E2" w:rsidRPr="00B124DC">
        <w:rPr>
          <w:lang w:val="en-GB"/>
        </w:rPr>
        <w:t xml:space="preserve"> </w:t>
      </w:r>
      <w:r w:rsidRPr="00B124DC">
        <w:rPr>
          <w:lang w:val="en-GB"/>
        </w:rPr>
        <w:t>(</w:t>
      </w:r>
      <w:r w:rsidR="00E416E2" w:rsidRPr="00B124DC">
        <w:rPr>
          <w:lang w:val="en-GB"/>
        </w:rPr>
        <w:t xml:space="preserve">see </w:t>
      </w:r>
      <w:r w:rsidRPr="00B124DC">
        <w:rPr>
          <w:lang w:val="en-GB"/>
        </w:rPr>
        <w:t xml:space="preserve">paragraph 35 </w:t>
      </w:r>
      <w:r w:rsidR="00E416E2" w:rsidRPr="00B124DC">
        <w:rPr>
          <w:lang w:val="en-GB"/>
        </w:rPr>
        <w:t>above</w:t>
      </w:r>
      <w:r w:rsidRPr="00B124DC">
        <w:rPr>
          <w:lang w:val="en-GB"/>
        </w:rPr>
        <w:t xml:space="preserve">). </w:t>
      </w:r>
      <w:r w:rsidR="00E416E2" w:rsidRPr="00B124DC">
        <w:rPr>
          <w:lang w:val="en-GB"/>
        </w:rPr>
        <w:t>The two highest courts</w:t>
      </w:r>
      <w:r w:rsidRPr="00B124DC">
        <w:rPr>
          <w:lang w:val="en-GB"/>
        </w:rPr>
        <w:t xml:space="preserve">, </w:t>
      </w:r>
      <w:r w:rsidR="00E416E2" w:rsidRPr="00B124DC">
        <w:rPr>
          <w:lang w:val="en-GB"/>
        </w:rPr>
        <w:t>th</w:t>
      </w:r>
      <w:r w:rsidRPr="00B124DC">
        <w:rPr>
          <w:lang w:val="en-GB"/>
        </w:rPr>
        <w:t xml:space="preserve">e </w:t>
      </w:r>
      <w:smartTag w:uri="urn:schemas-microsoft-com:office:smarttags" w:element="Street">
        <w:smartTag w:uri="urn:schemas-microsoft-com:office:smarttags" w:element="address">
          <w:r w:rsidR="00E416E2" w:rsidRPr="00B124DC">
            <w:rPr>
              <w:lang w:val="en-GB"/>
            </w:rPr>
            <w:t>Supreme Administrative Court</w:t>
          </w:r>
        </w:smartTag>
      </w:smartTag>
      <w:r w:rsidR="00E416E2" w:rsidRPr="00B124DC">
        <w:rPr>
          <w:lang w:val="en-GB"/>
        </w:rPr>
        <w:t xml:space="preserve"> and the </w:t>
      </w:r>
      <w:smartTag w:uri="urn:schemas-microsoft-com:office:smarttags" w:element="Street">
        <w:smartTag w:uri="urn:schemas-microsoft-com:office:smarttags" w:element="address">
          <w:r w:rsidR="00E416E2" w:rsidRPr="00B124DC">
            <w:rPr>
              <w:lang w:val="en-GB"/>
            </w:rPr>
            <w:t>Constitutional Court</w:t>
          </w:r>
        </w:smartTag>
      </w:smartTag>
      <w:r w:rsidRPr="00B124DC">
        <w:rPr>
          <w:lang w:val="en-GB"/>
        </w:rPr>
        <w:t xml:space="preserve">, </w:t>
      </w:r>
      <w:r w:rsidR="00E416E2" w:rsidRPr="00B124DC">
        <w:rPr>
          <w:lang w:val="en-GB"/>
        </w:rPr>
        <w:t xml:space="preserve">have </w:t>
      </w:r>
      <w:r w:rsidR="007645C7" w:rsidRPr="00B124DC">
        <w:rPr>
          <w:lang w:val="en-GB"/>
        </w:rPr>
        <w:t>managed</w:t>
      </w:r>
      <w:r w:rsidR="00E416E2" w:rsidRPr="00B124DC">
        <w:rPr>
          <w:lang w:val="en-GB"/>
        </w:rPr>
        <w:t xml:space="preserve"> to </w:t>
      </w:r>
      <w:r w:rsidR="007645C7" w:rsidRPr="00B124DC">
        <w:rPr>
          <w:lang w:val="en-GB"/>
        </w:rPr>
        <w:t>establish</w:t>
      </w:r>
      <w:r w:rsidR="00E416E2" w:rsidRPr="00B124DC">
        <w:rPr>
          <w:lang w:val="en-GB"/>
        </w:rPr>
        <w:t xml:space="preserve"> settled case-law on this issue </w:t>
      </w:r>
      <w:r w:rsidR="0017616B" w:rsidRPr="00B124DC">
        <w:rPr>
          <w:lang w:val="en-GB"/>
        </w:rPr>
        <w:t xml:space="preserve">(see paragraphs </w:t>
      </w:r>
      <w:r w:rsidR="00320B84" w:rsidRPr="00B124DC">
        <w:rPr>
          <w:lang w:val="en-GB"/>
        </w:rPr>
        <w:t>37, 39 a</w:t>
      </w:r>
      <w:r w:rsidR="00932AF2">
        <w:rPr>
          <w:lang w:val="en-GB"/>
        </w:rPr>
        <w:t>nd</w:t>
      </w:r>
      <w:r w:rsidR="0043110F">
        <w:rPr>
          <w:lang w:val="en-GB"/>
        </w:rPr>
        <w:t xml:space="preserve"> </w:t>
      </w:r>
      <w:r w:rsidR="00320B84" w:rsidRPr="00B124DC">
        <w:rPr>
          <w:lang w:val="en-GB"/>
        </w:rPr>
        <w:t>41</w:t>
      </w:r>
      <w:r w:rsidR="0017616B" w:rsidRPr="00B124DC">
        <w:rPr>
          <w:lang w:val="en-GB"/>
        </w:rPr>
        <w:t xml:space="preserve"> above). </w:t>
      </w:r>
      <w:r w:rsidR="006A0EFD" w:rsidRPr="00B124DC">
        <w:rPr>
          <w:lang w:val="en-GB"/>
        </w:rPr>
        <w:t xml:space="preserve">It is quite clear that throughout that decision-making process the university authorities sought to adapt to the evolving situation </w:t>
      </w:r>
      <w:r w:rsidR="007645C7" w:rsidRPr="00B124DC">
        <w:rPr>
          <w:lang w:val="en-GB"/>
        </w:rPr>
        <w:t xml:space="preserve">in a way that would </w:t>
      </w:r>
      <w:r w:rsidR="006A0EFD" w:rsidRPr="00B124DC">
        <w:rPr>
          <w:lang w:val="en-GB"/>
        </w:rPr>
        <w:t xml:space="preserve">not </w:t>
      </w:r>
      <w:r w:rsidR="0017616B" w:rsidRPr="00B124DC">
        <w:rPr>
          <w:lang w:val="en-GB"/>
        </w:rPr>
        <w:t xml:space="preserve">bar </w:t>
      </w:r>
      <w:r w:rsidR="006A0EFD" w:rsidRPr="00B124DC">
        <w:rPr>
          <w:lang w:val="en-GB"/>
        </w:rPr>
        <w:t xml:space="preserve">access to the university to </w:t>
      </w:r>
      <w:r w:rsidR="0017616B" w:rsidRPr="00B124DC">
        <w:rPr>
          <w:lang w:val="en-GB"/>
        </w:rPr>
        <w:t xml:space="preserve">students wearing the </w:t>
      </w:r>
      <w:r w:rsidR="006A0EFD" w:rsidRPr="00B124DC">
        <w:rPr>
          <w:lang w:val="en-GB"/>
        </w:rPr>
        <w:t>veil</w:t>
      </w:r>
      <w:r w:rsidR="0017616B" w:rsidRPr="00B124DC">
        <w:rPr>
          <w:lang w:val="en-GB"/>
        </w:rPr>
        <w:t xml:space="preserve">, through continued dialogue with those concerned, while at the same time ensuring that order was maintained </w:t>
      </w:r>
      <w:r w:rsidR="006A0EFD" w:rsidRPr="00B124DC">
        <w:rPr>
          <w:lang w:val="en-GB"/>
        </w:rPr>
        <w:t xml:space="preserve">and in particular that the </w:t>
      </w:r>
      <w:r w:rsidR="00DA1B77" w:rsidRPr="00B124DC">
        <w:rPr>
          <w:lang w:val="en-GB"/>
        </w:rPr>
        <w:t>requirements</w:t>
      </w:r>
      <w:r w:rsidR="006A0EFD" w:rsidRPr="00B124DC">
        <w:rPr>
          <w:lang w:val="en-GB"/>
        </w:rPr>
        <w:t xml:space="preserve"> imposed by the </w:t>
      </w:r>
      <w:r w:rsidR="00DA1B77" w:rsidRPr="00B124DC">
        <w:rPr>
          <w:lang w:val="en-GB"/>
        </w:rPr>
        <w:t xml:space="preserve">nature of the </w:t>
      </w:r>
      <w:r w:rsidR="006A0EFD" w:rsidRPr="00B124DC">
        <w:rPr>
          <w:lang w:val="en-GB"/>
        </w:rPr>
        <w:t xml:space="preserve">course </w:t>
      </w:r>
      <w:r w:rsidR="007645C7" w:rsidRPr="00B124DC">
        <w:rPr>
          <w:lang w:val="en-GB"/>
        </w:rPr>
        <w:t xml:space="preserve">in question </w:t>
      </w:r>
      <w:r w:rsidR="006A0EFD" w:rsidRPr="00B124DC">
        <w:rPr>
          <w:lang w:val="en-GB"/>
        </w:rPr>
        <w:t>were complied with</w:t>
      </w:r>
      <w:r w:rsidR="0017616B" w:rsidRPr="00B124DC">
        <w:rPr>
          <w:lang w:val="en-GB"/>
        </w:rPr>
        <w:t>.</w:t>
      </w:r>
    </w:p>
    <w:p w:rsidR="0098730A" w:rsidRPr="00B124DC" w:rsidRDefault="006A0EFD"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121</w:t>
      </w:r>
      <w:r w:rsidRPr="00B124DC">
        <w:rPr>
          <w:lang w:val="en-GB"/>
        </w:rPr>
        <w:fldChar w:fldCharType="end"/>
      </w:r>
      <w:r w:rsidRPr="00B124DC">
        <w:rPr>
          <w:lang w:val="en-GB"/>
        </w:rPr>
        <w:t>.  In that connection, the Court does not accept the applicant</w:t>
      </w:r>
      <w:r w:rsidR="0006350D">
        <w:rPr>
          <w:lang w:val="en-GB"/>
        </w:rPr>
        <w:t>’</w:t>
      </w:r>
      <w:r w:rsidRPr="00B124DC">
        <w:rPr>
          <w:lang w:val="en-GB"/>
        </w:rPr>
        <w:t xml:space="preserve">s </w:t>
      </w:r>
      <w:r w:rsidR="00531366" w:rsidRPr="00B124DC">
        <w:rPr>
          <w:lang w:val="en-GB"/>
        </w:rPr>
        <w:t>submission</w:t>
      </w:r>
      <w:r w:rsidRPr="00B124DC">
        <w:rPr>
          <w:lang w:val="en-GB"/>
        </w:rPr>
        <w:t xml:space="preserve"> that </w:t>
      </w:r>
      <w:r w:rsidR="008A77E3" w:rsidRPr="00B124DC">
        <w:rPr>
          <w:lang w:val="en-GB"/>
        </w:rPr>
        <w:t xml:space="preserve">the </w:t>
      </w:r>
      <w:r w:rsidR="00EA2F8A" w:rsidRPr="00B124DC">
        <w:rPr>
          <w:lang w:val="en-GB"/>
        </w:rPr>
        <w:t>fact that there were no</w:t>
      </w:r>
      <w:r w:rsidR="008A77E3" w:rsidRPr="00B124DC">
        <w:rPr>
          <w:lang w:val="en-GB"/>
        </w:rPr>
        <w:t xml:space="preserve"> disciplinary penalties for </w:t>
      </w:r>
      <w:r w:rsidRPr="00B124DC">
        <w:rPr>
          <w:lang w:val="en-GB"/>
        </w:rPr>
        <w:t>fail</w:t>
      </w:r>
      <w:r w:rsidR="008A77E3" w:rsidRPr="00B124DC">
        <w:rPr>
          <w:lang w:val="en-GB"/>
        </w:rPr>
        <w:t>ing</w:t>
      </w:r>
      <w:r w:rsidRPr="00B124DC">
        <w:rPr>
          <w:lang w:val="en-GB"/>
        </w:rPr>
        <w:t xml:space="preserve"> to comply with the dress code </w:t>
      </w:r>
      <w:r w:rsidR="008A77E3" w:rsidRPr="00B124DC">
        <w:rPr>
          <w:lang w:val="en-GB"/>
        </w:rPr>
        <w:t xml:space="preserve">effectively </w:t>
      </w:r>
      <w:r w:rsidRPr="00B124DC">
        <w:rPr>
          <w:lang w:val="en-GB"/>
        </w:rPr>
        <w:t>mean</w:t>
      </w:r>
      <w:r w:rsidR="00EA2F8A" w:rsidRPr="00B124DC">
        <w:rPr>
          <w:lang w:val="en-GB"/>
        </w:rPr>
        <w:t>t</w:t>
      </w:r>
      <w:r w:rsidRPr="00B124DC">
        <w:rPr>
          <w:lang w:val="en-GB"/>
        </w:rPr>
        <w:t xml:space="preserve"> </w:t>
      </w:r>
      <w:r w:rsidR="00F019B9" w:rsidRPr="00B124DC">
        <w:rPr>
          <w:lang w:val="en-GB"/>
        </w:rPr>
        <w:t>that no</w:t>
      </w:r>
      <w:r w:rsidRPr="00B124DC">
        <w:rPr>
          <w:lang w:val="en-GB"/>
        </w:rPr>
        <w:t xml:space="preserve"> rule</w:t>
      </w:r>
      <w:r w:rsidR="008A77E3" w:rsidRPr="00B124DC">
        <w:rPr>
          <w:lang w:val="en-GB"/>
        </w:rPr>
        <w:t>s</w:t>
      </w:r>
      <w:r w:rsidRPr="00B124DC">
        <w:rPr>
          <w:lang w:val="en-GB"/>
        </w:rPr>
        <w:t xml:space="preserve"> </w:t>
      </w:r>
      <w:r w:rsidR="00F019B9" w:rsidRPr="00B124DC">
        <w:rPr>
          <w:lang w:val="en-GB"/>
        </w:rPr>
        <w:t xml:space="preserve">existed </w:t>
      </w:r>
      <w:r w:rsidR="00932AF2">
        <w:rPr>
          <w:lang w:val="en-GB"/>
        </w:rPr>
        <w:t>(see paragraph </w:t>
      </w:r>
      <w:r w:rsidRPr="00B124DC">
        <w:rPr>
          <w:lang w:val="en-GB"/>
        </w:rPr>
        <w:t xml:space="preserve">81 above). </w:t>
      </w:r>
      <w:r w:rsidR="00EA2F8A" w:rsidRPr="00B124DC">
        <w:rPr>
          <w:lang w:val="en-GB"/>
        </w:rPr>
        <w:t xml:space="preserve">As to how compliance with the internal rules should have been secured, it </w:t>
      </w:r>
      <w:r w:rsidR="007E374D" w:rsidRPr="00B124DC">
        <w:rPr>
          <w:lang w:val="en-GB"/>
        </w:rPr>
        <w:t xml:space="preserve">is not for the Court to substitute its view for </w:t>
      </w:r>
      <w:r w:rsidR="00EA2F8A" w:rsidRPr="00B124DC">
        <w:rPr>
          <w:lang w:val="en-GB"/>
        </w:rPr>
        <w:t xml:space="preserve">that of the </w:t>
      </w:r>
      <w:r w:rsidR="007E374D" w:rsidRPr="00B124DC">
        <w:rPr>
          <w:lang w:val="en-GB"/>
        </w:rPr>
        <w:t>university authorities</w:t>
      </w:r>
      <w:r w:rsidRPr="00B124DC">
        <w:rPr>
          <w:lang w:val="en-GB"/>
        </w:rPr>
        <w:t xml:space="preserve">. </w:t>
      </w:r>
      <w:r w:rsidR="00DB177A" w:rsidRPr="00B124DC">
        <w:rPr>
          <w:lang w:val="en-GB"/>
        </w:rPr>
        <w:t xml:space="preserve">By reason of their direct and continuous contact with the education community, the university authorities are in principle better placed than an international court to evaluate local needs and conditions or the requirements of a particular course </w:t>
      </w:r>
      <w:r w:rsidRPr="00B124DC">
        <w:rPr>
          <w:lang w:val="en-GB"/>
        </w:rPr>
        <w:t>(</w:t>
      </w:r>
      <w:r w:rsidR="00DB177A" w:rsidRPr="00B124DC">
        <w:rPr>
          <w:lang w:val="en-GB"/>
        </w:rPr>
        <w:t>see</w:t>
      </w:r>
      <w:r w:rsidRPr="00B124DC">
        <w:rPr>
          <w:lang w:val="en-GB"/>
        </w:rPr>
        <w:t xml:space="preserve">, </w:t>
      </w:r>
      <w:r w:rsidRPr="00B124DC">
        <w:rPr>
          <w:i/>
          <w:lang w:val="en-GB"/>
        </w:rPr>
        <w:t>mutatis mutandis</w:t>
      </w:r>
      <w:r w:rsidRPr="00B124DC">
        <w:rPr>
          <w:lang w:val="en-GB"/>
        </w:rPr>
        <w:t xml:space="preserve">, </w:t>
      </w:r>
      <w:r w:rsidRPr="00B124DC">
        <w:rPr>
          <w:i/>
          <w:lang w:val="en-GB"/>
        </w:rPr>
        <w:t xml:space="preserve">Valsamis </w:t>
      </w:r>
      <w:r w:rsidR="00DB177A" w:rsidRPr="00B124DC">
        <w:rPr>
          <w:i/>
          <w:lang w:val="en-GB"/>
        </w:rPr>
        <w:t>v</w:t>
      </w:r>
      <w:r w:rsidR="00932AF2">
        <w:rPr>
          <w:i/>
          <w:lang w:val="en-GB"/>
        </w:rPr>
        <w:t>. </w:t>
      </w:r>
      <w:r w:rsidRPr="00B124DC">
        <w:rPr>
          <w:i/>
          <w:lang w:val="en-GB"/>
        </w:rPr>
        <w:t>Gr</w:t>
      </w:r>
      <w:r w:rsidR="00DB177A" w:rsidRPr="00B124DC">
        <w:rPr>
          <w:i/>
          <w:lang w:val="en-GB"/>
        </w:rPr>
        <w:t>ee</w:t>
      </w:r>
      <w:r w:rsidRPr="00B124DC">
        <w:rPr>
          <w:i/>
          <w:lang w:val="en-GB"/>
        </w:rPr>
        <w:t>ce</w:t>
      </w:r>
      <w:r w:rsidRPr="00B124DC">
        <w:rPr>
          <w:lang w:val="en-GB"/>
        </w:rPr>
        <w:t xml:space="preserve">, </w:t>
      </w:r>
      <w:r w:rsidR="00DB177A" w:rsidRPr="00B124DC">
        <w:rPr>
          <w:lang w:val="en-GB"/>
        </w:rPr>
        <w:t>judgment of</w:t>
      </w:r>
      <w:r w:rsidRPr="00B124DC">
        <w:rPr>
          <w:lang w:val="en-GB"/>
        </w:rPr>
        <w:t xml:space="preserve"> 18 </w:t>
      </w:r>
      <w:r w:rsidR="00DB177A" w:rsidRPr="00B124DC">
        <w:rPr>
          <w:lang w:val="en-GB"/>
        </w:rPr>
        <w:t>December</w:t>
      </w:r>
      <w:r w:rsidRPr="00B124DC">
        <w:rPr>
          <w:lang w:val="en-GB"/>
        </w:rPr>
        <w:t xml:space="preserve"> 1996, </w:t>
      </w:r>
      <w:r w:rsidR="00DB177A" w:rsidRPr="00B124DC">
        <w:rPr>
          <w:i/>
          <w:lang w:val="en-GB"/>
        </w:rPr>
        <w:t>Reports</w:t>
      </w:r>
      <w:r w:rsidRPr="00B124DC">
        <w:rPr>
          <w:lang w:val="en-GB"/>
        </w:rPr>
        <w:t xml:space="preserve"> 1996</w:t>
      </w:r>
      <w:r w:rsidRPr="00B124DC">
        <w:rPr>
          <w:lang w:val="en-GB"/>
        </w:rPr>
        <w:noBreakHyphen/>
        <w:t>VI, p. 2325, §</w:t>
      </w:r>
      <w:r w:rsidR="009F6C5C">
        <w:rPr>
          <w:lang w:val="en-GB"/>
        </w:rPr>
        <w:t xml:space="preserve"> </w:t>
      </w:r>
      <w:r w:rsidRPr="00B124DC">
        <w:rPr>
          <w:lang w:val="en-GB"/>
        </w:rPr>
        <w:t xml:space="preserve">32). </w:t>
      </w:r>
      <w:r w:rsidR="00C67487" w:rsidRPr="00B124DC">
        <w:rPr>
          <w:lang w:val="en-GB"/>
        </w:rPr>
        <w:t>Besides, having found that the regulations pursued a legitimate aim</w:t>
      </w:r>
      <w:r w:rsidRPr="00B124DC">
        <w:rPr>
          <w:lang w:val="en-GB"/>
        </w:rPr>
        <w:t xml:space="preserve">, </w:t>
      </w:r>
      <w:r w:rsidR="00E26185" w:rsidRPr="00B124DC">
        <w:rPr>
          <w:lang w:val="en-GB"/>
        </w:rPr>
        <w:t xml:space="preserve">it is not open to </w:t>
      </w:r>
      <w:r w:rsidR="00C67487" w:rsidRPr="00B124DC">
        <w:rPr>
          <w:lang w:val="en-GB"/>
        </w:rPr>
        <w:t>the</w:t>
      </w:r>
      <w:r w:rsidRPr="00B124DC">
        <w:rPr>
          <w:lang w:val="en-GB"/>
        </w:rPr>
        <w:t xml:space="preserve"> Cour</w:t>
      </w:r>
      <w:r w:rsidR="00C67487" w:rsidRPr="00B124DC">
        <w:rPr>
          <w:lang w:val="en-GB"/>
        </w:rPr>
        <w:t>t</w:t>
      </w:r>
      <w:r w:rsidRPr="00B124DC">
        <w:rPr>
          <w:lang w:val="en-GB"/>
        </w:rPr>
        <w:t xml:space="preserve"> </w:t>
      </w:r>
      <w:r w:rsidR="00E26185" w:rsidRPr="00B124DC">
        <w:rPr>
          <w:lang w:val="en-GB"/>
        </w:rPr>
        <w:t>to</w:t>
      </w:r>
      <w:r w:rsidR="0076245A" w:rsidRPr="00B124DC">
        <w:rPr>
          <w:lang w:val="en-GB"/>
        </w:rPr>
        <w:t xml:space="preserve"> </w:t>
      </w:r>
      <w:r w:rsidR="00EA2F8A" w:rsidRPr="00B124DC">
        <w:rPr>
          <w:lang w:val="en-GB"/>
        </w:rPr>
        <w:t>apply</w:t>
      </w:r>
      <w:r w:rsidR="0076245A" w:rsidRPr="00B124DC">
        <w:rPr>
          <w:lang w:val="en-GB"/>
        </w:rPr>
        <w:t xml:space="preserve"> the </w:t>
      </w:r>
      <w:r w:rsidR="00EA2F8A" w:rsidRPr="00B124DC">
        <w:rPr>
          <w:lang w:val="en-GB"/>
        </w:rPr>
        <w:t>criterion</w:t>
      </w:r>
      <w:r w:rsidR="0076245A" w:rsidRPr="00B124DC">
        <w:rPr>
          <w:lang w:val="en-GB"/>
        </w:rPr>
        <w:t xml:space="preserve"> of </w:t>
      </w:r>
      <w:r w:rsidRPr="00B124DC">
        <w:rPr>
          <w:lang w:val="en-GB"/>
        </w:rPr>
        <w:t>proportion</w:t>
      </w:r>
      <w:r w:rsidR="0076245A" w:rsidRPr="00B124DC">
        <w:rPr>
          <w:lang w:val="en-GB"/>
        </w:rPr>
        <w:t xml:space="preserve">ality in a way that would </w:t>
      </w:r>
      <w:r w:rsidR="00E26185" w:rsidRPr="00B124DC">
        <w:rPr>
          <w:lang w:val="en-GB"/>
        </w:rPr>
        <w:t>make</w:t>
      </w:r>
      <w:r w:rsidR="0076245A" w:rsidRPr="00B124DC">
        <w:rPr>
          <w:lang w:val="en-GB"/>
        </w:rPr>
        <w:t xml:space="preserve"> the notion of </w:t>
      </w:r>
      <w:r w:rsidR="00EA2F8A" w:rsidRPr="00B124DC">
        <w:rPr>
          <w:lang w:val="en-GB"/>
        </w:rPr>
        <w:t>an institution</w:t>
      </w:r>
      <w:r w:rsidR="0006350D">
        <w:rPr>
          <w:lang w:val="en-GB"/>
        </w:rPr>
        <w:t>’</w:t>
      </w:r>
      <w:r w:rsidR="00EA2F8A" w:rsidRPr="00B124DC">
        <w:rPr>
          <w:lang w:val="en-GB"/>
        </w:rPr>
        <w:t xml:space="preserve">s </w:t>
      </w:r>
      <w:r w:rsidR="0076245A" w:rsidRPr="00B124DC">
        <w:rPr>
          <w:lang w:val="en-GB"/>
        </w:rPr>
        <w:t>“internal rule</w:t>
      </w:r>
      <w:r w:rsidR="00EA2F8A" w:rsidRPr="00B124DC">
        <w:rPr>
          <w:lang w:val="en-GB"/>
        </w:rPr>
        <w:t>s</w:t>
      </w:r>
      <w:r w:rsidR="0076245A" w:rsidRPr="00B124DC">
        <w:rPr>
          <w:lang w:val="en-GB"/>
        </w:rPr>
        <w:t xml:space="preserve">” </w:t>
      </w:r>
      <w:r w:rsidR="00E26185" w:rsidRPr="00B124DC">
        <w:rPr>
          <w:lang w:val="en-GB"/>
        </w:rPr>
        <w:t>devoid of purpose</w:t>
      </w:r>
      <w:r w:rsidRPr="00B124DC">
        <w:rPr>
          <w:lang w:val="en-GB"/>
        </w:rPr>
        <w:t xml:space="preserve">. </w:t>
      </w:r>
      <w:r w:rsidR="0076245A" w:rsidRPr="00B124DC">
        <w:rPr>
          <w:lang w:val="en-GB"/>
        </w:rPr>
        <w:t>A</w:t>
      </w:r>
      <w:r w:rsidR="00932AF2">
        <w:rPr>
          <w:lang w:val="en-GB"/>
        </w:rPr>
        <w:t>rticle </w:t>
      </w:r>
      <w:r w:rsidRPr="00B124DC">
        <w:rPr>
          <w:lang w:val="en-GB"/>
        </w:rPr>
        <w:t xml:space="preserve">9 </w:t>
      </w:r>
      <w:r w:rsidR="0076245A" w:rsidRPr="00B124DC">
        <w:rPr>
          <w:lang w:val="en-GB"/>
        </w:rPr>
        <w:t xml:space="preserve">does not always guarantee the right to behave in a manner governed by </w:t>
      </w:r>
      <w:r w:rsidR="00EA2F8A" w:rsidRPr="00B124DC">
        <w:rPr>
          <w:lang w:val="en-GB"/>
        </w:rPr>
        <w:t>a religious</w:t>
      </w:r>
      <w:r w:rsidR="0076245A" w:rsidRPr="00B124DC">
        <w:rPr>
          <w:lang w:val="en-GB"/>
        </w:rPr>
        <w:t xml:space="preserve"> belief </w:t>
      </w:r>
      <w:r w:rsidRPr="00B124DC">
        <w:rPr>
          <w:lang w:val="en-GB"/>
        </w:rPr>
        <w:t>(</w:t>
      </w:r>
      <w:r w:rsidR="00CF7507">
        <w:rPr>
          <w:lang w:val="en-GB"/>
        </w:rPr>
        <w:t xml:space="preserve">see </w:t>
      </w:r>
      <w:r w:rsidRPr="00B124DC">
        <w:rPr>
          <w:i/>
          <w:lang w:val="en-GB"/>
        </w:rPr>
        <w:t xml:space="preserve">Pichon </w:t>
      </w:r>
      <w:r w:rsidR="00876696" w:rsidRPr="00B124DC">
        <w:rPr>
          <w:i/>
          <w:lang w:val="en-GB"/>
        </w:rPr>
        <w:t>and</w:t>
      </w:r>
      <w:r w:rsidRPr="00B124DC">
        <w:rPr>
          <w:i/>
          <w:lang w:val="en-GB"/>
        </w:rPr>
        <w:t xml:space="preserve"> Sajous </w:t>
      </w:r>
      <w:r w:rsidR="00876696" w:rsidRPr="00B124DC">
        <w:rPr>
          <w:i/>
          <w:lang w:val="en-GB"/>
        </w:rPr>
        <w:t>v</w:t>
      </w:r>
      <w:r w:rsidRPr="00B124DC">
        <w:rPr>
          <w:i/>
          <w:lang w:val="en-GB"/>
        </w:rPr>
        <w:t xml:space="preserve">. France </w:t>
      </w:r>
      <w:r w:rsidRPr="00B124DC">
        <w:rPr>
          <w:lang w:val="en-GB"/>
        </w:rPr>
        <w:t>(d</w:t>
      </w:r>
      <w:r w:rsidR="00876696" w:rsidRPr="00B124DC">
        <w:rPr>
          <w:lang w:val="en-GB"/>
        </w:rPr>
        <w:t>e</w:t>
      </w:r>
      <w:r w:rsidRPr="00B124DC">
        <w:rPr>
          <w:lang w:val="en-GB"/>
        </w:rPr>
        <w:t>c.), n</w:t>
      </w:r>
      <w:r w:rsidR="00876696" w:rsidRPr="00B124DC">
        <w:rPr>
          <w:lang w:val="en-GB"/>
        </w:rPr>
        <w:t>o.</w:t>
      </w:r>
      <w:r w:rsidRPr="00B124DC">
        <w:rPr>
          <w:lang w:val="en-GB"/>
        </w:rPr>
        <w:t> 49853/99, E</w:t>
      </w:r>
      <w:r w:rsidR="00876696" w:rsidRPr="00B124DC">
        <w:rPr>
          <w:lang w:val="en-GB"/>
        </w:rPr>
        <w:t>C</w:t>
      </w:r>
      <w:r w:rsidRPr="00B124DC">
        <w:rPr>
          <w:lang w:val="en-GB"/>
        </w:rPr>
        <w:t>H</w:t>
      </w:r>
      <w:r w:rsidR="00876696" w:rsidRPr="00B124DC">
        <w:rPr>
          <w:lang w:val="en-GB"/>
        </w:rPr>
        <w:t>R</w:t>
      </w:r>
      <w:r w:rsidRPr="00B124DC">
        <w:rPr>
          <w:lang w:val="en-GB"/>
        </w:rPr>
        <w:t xml:space="preserve"> 2001</w:t>
      </w:r>
      <w:r w:rsidRPr="00B124DC">
        <w:rPr>
          <w:lang w:val="en-GB"/>
        </w:rPr>
        <w:noBreakHyphen/>
        <w:t xml:space="preserve">X) </w:t>
      </w:r>
      <w:r w:rsidR="00EA2F8A" w:rsidRPr="00B124DC">
        <w:rPr>
          <w:lang w:val="en-GB"/>
        </w:rPr>
        <w:t xml:space="preserve">and does not confer on people who do so the right to disregard rules that have proved to be justified </w:t>
      </w:r>
      <w:r w:rsidRPr="00B124DC">
        <w:rPr>
          <w:lang w:val="en-GB"/>
        </w:rPr>
        <w:t>(</w:t>
      </w:r>
      <w:r w:rsidR="00876696" w:rsidRPr="00B124DC">
        <w:rPr>
          <w:lang w:val="en-GB"/>
        </w:rPr>
        <w:t xml:space="preserve">see </w:t>
      </w:r>
      <w:r w:rsidR="00CF7507" w:rsidRPr="00B124DC">
        <w:rPr>
          <w:i/>
          <w:lang w:val="en-GB"/>
        </w:rPr>
        <w:t>Valsamis</w:t>
      </w:r>
      <w:r w:rsidR="00CF7507" w:rsidRPr="00CF7507">
        <w:rPr>
          <w:lang w:val="en-GB"/>
        </w:rPr>
        <w:t>,</w:t>
      </w:r>
      <w:r w:rsidR="00CF7507" w:rsidRPr="00B124DC">
        <w:rPr>
          <w:lang w:val="en-GB"/>
        </w:rPr>
        <w:t xml:space="preserve"> cited above</w:t>
      </w:r>
      <w:r w:rsidR="00CF7507">
        <w:rPr>
          <w:lang w:val="en-GB"/>
        </w:rPr>
        <w:t>,</w:t>
      </w:r>
      <w:r w:rsidR="00CF7507" w:rsidRPr="00B124DC">
        <w:rPr>
          <w:lang w:val="en-GB"/>
        </w:rPr>
        <w:t xml:space="preserve"> </w:t>
      </w:r>
      <w:r w:rsidR="00876696" w:rsidRPr="00B124DC">
        <w:rPr>
          <w:lang w:val="en-GB"/>
        </w:rPr>
        <w:t>opinion of the</w:t>
      </w:r>
      <w:r w:rsidRPr="00B124DC">
        <w:rPr>
          <w:lang w:val="en-GB"/>
        </w:rPr>
        <w:t xml:space="preserve"> Commission, </w:t>
      </w:r>
      <w:r w:rsidR="00CF7507">
        <w:rPr>
          <w:lang w:val="en-GB"/>
        </w:rPr>
        <w:t xml:space="preserve">p. 2337, </w:t>
      </w:r>
      <w:r w:rsidRPr="00B124DC">
        <w:rPr>
          <w:lang w:val="en-GB"/>
        </w:rPr>
        <w:t>§ 51).</w:t>
      </w:r>
    </w:p>
    <w:p w:rsidR="0017616B" w:rsidRPr="00B124DC" w:rsidRDefault="00876696"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122</w:t>
      </w:r>
      <w:r w:rsidRPr="00B124DC">
        <w:rPr>
          <w:lang w:val="en-GB"/>
        </w:rPr>
        <w:fldChar w:fldCharType="end"/>
      </w:r>
      <w:r w:rsidRPr="00B124DC">
        <w:rPr>
          <w:lang w:val="en-GB"/>
        </w:rPr>
        <w:t>.  </w:t>
      </w:r>
      <w:r w:rsidR="0017616B" w:rsidRPr="00B124DC">
        <w:rPr>
          <w:lang w:val="en-GB"/>
        </w:rPr>
        <w:t>In the light of the foregoing and having regard to the</w:t>
      </w:r>
      <w:r w:rsidRPr="00B124DC">
        <w:rPr>
          <w:lang w:val="en-GB"/>
        </w:rPr>
        <w:t xml:space="preserve"> Contracting States</w:t>
      </w:r>
      <w:r w:rsidR="0006350D">
        <w:rPr>
          <w:lang w:val="en-GB"/>
        </w:rPr>
        <w:t>’</w:t>
      </w:r>
      <w:r w:rsidRPr="00B124DC">
        <w:rPr>
          <w:lang w:val="en-GB"/>
        </w:rPr>
        <w:t xml:space="preserve"> </w:t>
      </w:r>
      <w:r w:rsidR="0017616B" w:rsidRPr="00B124DC">
        <w:rPr>
          <w:lang w:val="en-GB"/>
        </w:rPr>
        <w:t>margin of appreciation</w:t>
      </w:r>
      <w:r w:rsidRPr="00B124DC">
        <w:rPr>
          <w:lang w:val="en-GB"/>
        </w:rPr>
        <w:t xml:space="preserve"> in this sphere</w:t>
      </w:r>
      <w:r w:rsidR="0017616B" w:rsidRPr="00B124DC">
        <w:rPr>
          <w:lang w:val="en-GB"/>
        </w:rPr>
        <w:t xml:space="preserve">, the Court finds that the </w:t>
      </w:r>
      <w:r w:rsidRPr="00B124DC">
        <w:rPr>
          <w:lang w:val="en-GB"/>
        </w:rPr>
        <w:t xml:space="preserve">interference in issue was justified </w:t>
      </w:r>
      <w:r w:rsidR="0017616B" w:rsidRPr="00B124DC">
        <w:rPr>
          <w:lang w:val="en-GB"/>
        </w:rPr>
        <w:t>in principle and proportionate to the aim</w:t>
      </w:r>
      <w:r w:rsidRPr="00B124DC">
        <w:rPr>
          <w:lang w:val="en-GB"/>
        </w:rPr>
        <w:t xml:space="preserve"> pursued</w:t>
      </w:r>
      <w:r w:rsidR="0017616B" w:rsidRPr="00B124DC">
        <w:rPr>
          <w:lang w:val="en-GB"/>
        </w:rPr>
        <w:t>.</w:t>
      </w:r>
    </w:p>
    <w:bookmarkStart w:id="0" w:name="_Hlt50968010"/>
    <w:p w:rsidR="0098730A" w:rsidRPr="00B124DC" w:rsidRDefault="0017616B"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123</w:t>
      </w:r>
      <w:r w:rsidRPr="00B124DC">
        <w:rPr>
          <w:lang w:val="en-GB"/>
        </w:rPr>
        <w:fldChar w:fldCharType="end"/>
      </w:r>
      <w:r w:rsidRPr="00B124DC">
        <w:rPr>
          <w:lang w:val="en-GB"/>
        </w:rPr>
        <w:t>.  Consequently, there has been no breach of Article 9 of the Convention.</w:t>
      </w:r>
    </w:p>
    <w:p w:rsidR="00814221" w:rsidRPr="00B124DC" w:rsidRDefault="00814221" w:rsidP="00932AF2">
      <w:pPr>
        <w:pStyle w:val="JuHIRoman"/>
        <w:keepNext/>
        <w:rPr>
          <w:lang w:val="en-GB"/>
        </w:rPr>
      </w:pPr>
      <w:r w:rsidRPr="00B124DC">
        <w:rPr>
          <w:lang w:val="en-GB"/>
        </w:rPr>
        <w:t>II.  ALLEGED VIOLATION OF ARTICLE 2 OF PROTOCOL N</w:t>
      </w:r>
      <w:r w:rsidR="00CF7507" w:rsidRPr="00B124DC">
        <w:rPr>
          <w:lang w:val="en-GB"/>
        </w:rPr>
        <w:t>o</w:t>
      </w:r>
      <w:r w:rsidRPr="00B124DC">
        <w:rPr>
          <w:lang w:val="en-GB"/>
        </w:rPr>
        <w:t>. 1</w:t>
      </w:r>
    </w:p>
    <w:p w:rsidR="00814221" w:rsidRPr="00B124DC" w:rsidRDefault="00814221" w:rsidP="00932AF2">
      <w:pPr>
        <w:pStyle w:val="JuHA"/>
        <w:keepNext/>
        <w:rPr>
          <w:lang w:val="en-GB"/>
        </w:rPr>
      </w:pPr>
      <w:r w:rsidRPr="00B124DC">
        <w:rPr>
          <w:lang w:val="en-GB"/>
        </w:rPr>
        <w:t>A.  Whether a separate examination of this complaint is necessary</w:t>
      </w:r>
    </w:p>
    <w:p w:rsidR="00814221" w:rsidRPr="00B124DC" w:rsidRDefault="00814221" w:rsidP="00932AF2">
      <w:pPr>
        <w:pStyle w:val="JuH1"/>
        <w:keepNext/>
        <w:rPr>
          <w:lang w:val="en-GB"/>
        </w:rPr>
      </w:pPr>
      <w:r w:rsidRPr="00B124DC">
        <w:rPr>
          <w:lang w:val="en-GB"/>
        </w:rPr>
        <w:t>1.  The parties</w:t>
      </w:r>
      <w:r w:rsidR="0006350D">
        <w:rPr>
          <w:lang w:val="en-GB"/>
        </w:rPr>
        <w:t>’</w:t>
      </w:r>
      <w:r w:rsidRPr="00B124DC">
        <w:rPr>
          <w:lang w:val="en-GB"/>
        </w:rPr>
        <w:t xml:space="preserve"> submissions</w:t>
      </w:r>
    </w:p>
    <w:p w:rsidR="00814221" w:rsidRPr="00B124DC" w:rsidRDefault="00814221" w:rsidP="00814221">
      <w:pPr>
        <w:pStyle w:val="JuParaCharCharCharCharCharCharChar"/>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124</w:t>
      </w:r>
      <w:r w:rsidRPr="00B124DC">
        <w:rPr>
          <w:lang w:val="en-GB"/>
        </w:rPr>
        <w:fldChar w:fldCharType="end"/>
      </w:r>
      <w:r w:rsidRPr="00B124DC">
        <w:rPr>
          <w:lang w:val="en-GB"/>
        </w:rPr>
        <w:t>.  The Court notes that</w:t>
      </w:r>
      <w:r w:rsidR="00CF7507">
        <w:rPr>
          <w:lang w:val="en-GB"/>
        </w:rPr>
        <w:t>,</w:t>
      </w:r>
      <w:r w:rsidRPr="00B124DC">
        <w:rPr>
          <w:lang w:val="en-GB"/>
        </w:rPr>
        <w:t xml:space="preserve"> although the applicant relied on various provisions of the Convention (Articles 8, 10 and 14</w:t>
      </w:r>
      <w:r w:rsidR="00512B6A" w:rsidRPr="00B124DC">
        <w:rPr>
          <w:lang w:val="en-GB"/>
        </w:rPr>
        <w:t xml:space="preserve">, </w:t>
      </w:r>
      <w:r w:rsidRPr="00B124DC">
        <w:rPr>
          <w:lang w:val="en-GB"/>
        </w:rPr>
        <w:t xml:space="preserve">and </w:t>
      </w:r>
      <w:r w:rsidR="00512B6A" w:rsidRPr="00B124DC">
        <w:rPr>
          <w:lang w:val="en-GB"/>
        </w:rPr>
        <w:t xml:space="preserve">Article </w:t>
      </w:r>
      <w:r w:rsidRPr="00B124DC">
        <w:rPr>
          <w:lang w:val="en-GB"/>
        </w:rPr>
        <w:t xml:space="preserve">2 of Protocol No. 1) before the Chamber, her </w:t>
      </w:r>
      <w:r w:rsidR="00512B6A" w:rsidRPr="00B124DC">
        <w:rPr>
          <w:lang w:val="en-GB"/>
        </w:rPr>
        <w:t>principal argument was</w:t>
      </w:r>
      <w:r w:rsidRPr="00B124DC">
        <w:rPr>
          <w:lang w:val="en-GB"/>
        </w:rPr>
        <w:t xml:space="preserve"> that there had been a violation of Article 9 of the Convention. In her request for </w:t>
      </w:r>
      <w:r w:rsidR="0032498B" w:rsidRPr="00B124DC">
        <w:rPr>
          <w:lang w:val="en-GB"/>
        </w:rPr>
        <w:t>a</w:t>
      </w:r>
      <w:r w:rsidRPr="00B124DC">
        <w:rPr>
          <w:lang w:val="en-GB"/>
        </w:rPr>
        <w:t xml:space="preserve"> referral, the applicant asked the Grand Chamber to find a violation of Articles</w:t>
      </w:r>
      <w:r w:rsidR="00932AF2">
        <w:rPr>
          <w:lang w:val="en-GB"/>
        </w:rPr>
        <w:t> </w:t>
      </w:r>
      <w:r w:rsidRPr="00B124DC">
        <w:rPr>
          <w:lang w:val="en-GB"/>
        </w:rPr>
        <w:t>8, 9, 10 and 14 of the Convention and of Article</w:t>
      </w:r>
      <w:r w:rsidR="0032498B" w:rsidRPr="00B124DC">
        <w:rPr>
          <w:lang w:val="en-GB"/>
        </w:rPr>
        <w:t xml:space="preserve"> </w:t>
      </w:r>
      <w:r w:rsidRPr="00B124DC">
        <w:rPr>
          <w:lang w:val="en-GB"/>
        </w:rPr>
        <w:t>2 of Protocol No.</w:t>
      </w:r>
      <w:r w:rsidR="0032498B" w:rsidRPr="00B124DC">
        <w:rPr>
          <w:lang w:val="en-GB"/>
        </w:rPr>
        <w:t> </w:t>
      </w:r>
      <w:r w:rsidRPr="00B124DC">
        <w:rPr>
          <w:lang w:val="en-GB"/>
        </w:rPr>
        <w:t xml:space="preserve">1. She did not </w:t>
      </w:r>
      <w:r w:rsidR="0032498B" w:rsidRPr="00B124DC">
        <w:rPr>
          <w:lang w:val="en-GB"/>
        </w:rPr>
        <w:t>make</w:t>
      </w:r>
      <w:r w:rsidRPr="00B124DC">
        <w:rPr>
          <w:lang w:val="en-GB"/>
        </w:rPr>
        <w:t xml:space="preserve"> any legal </w:t>
      </w:r>
      <w:r w:rsidR="0032498B" w:rsidRPr="00B124DC">
        <w:rPr>
          <w:lang w:val="en-GB"/>
        </w:rPr>
        <w:t>submissions with regard to</w:t>
      </w:r>
      <w:r w:rsidRPr="00B124DC">
        <w:rPr>
          <w:lang w:val="en-GB"/>
        </w:rPr>
        <w:t xml:space="preserve"> Article 10.</w:t>
      </w:r>
    </w:p>
    <w:p w:rsidR="0098730A" w:rsidRPr="00B124DC" w:rsidRDefault="00814221"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125</w:t>
      </w:r>
      <w:r w:rsidRPr="00B124DC">
        <w:rPr>
          <w:lang w:val="en-GB"/>
        </w:rPr>
        <w:fldChar w:fldCharType="end"/>
      </w:r>
      <w:r w:rsidRPr="00B124DC">
        <w:rPr>
          <w:lang w:val="en-GB"/>
        </w:rPr>
        <w:t>.  In her written pleadings of 27 January 2005</w:t>
      </w:r>
      <w:r w:rsidR="007645C7" w:rsidRPr="00B124DC">
        <w:rPr>
          <w:lang w:val="en-GB"/>
        </w:rPr>
        <w:t>, however,</w:t>
      </w:r>
      <w:r w:rsidRPr="00B124DC">
        <w:rPr>
          <w:lang w:val="en-GB"/>
        </w:rPr>
        <w:t xml:space="preserve"> the applicant appears to present her case concerning the regulations of 23</w:t>
      </w:r>
      <w:r w:rsidR="009F6C5C">
        <w:rPr>
          <w:lang w:val="en-GB"/>
        </w:rPr>
        <w:t xml:space="preserve"> </w:t>
      </w:r>
      <w:r w:rsidRPr="00B124DC">
        <w:rPr>
          <w:lang w:val="en-GB"/>
        </w:rPr>
        <w:t xml:space="preserve">February 1998 in a different light to that in which </w:t>
      </w:r>
      <w:r w:rsidR="007645C7" w:rsidRPr="00B124DC">
        <w:rPr>
          <w:lang w:val="en-GB"/>
        </w:rPr>
        <w:t>it had been presented</w:t>
      </w:r>
      <w:r w:rsidRPr="00B124DC">
        <w:rPr>
          <w:lang w:val="en-GB"/>
        </w:rPr>
        <w:t xml:space="preserve"> before the Chamber. In those pleadings, she “allege</w:t>
      </w:r>
      <w:r w:rsidR="0086546B" w:rsidRPr="00B124DC">
        <w:rPr>
          <w:lang w:val="en-GB"/>
        </w:rPr>
        <w:t>[</w:t>
      </w:r>
      <w:r w:rsidRPr="00B124DC">
        <w:rPr>
          <w:lang w:val="en-GB"/>
        </w:rPr>
        <w:t>d</w:t>
      </w:r>
      <w:r w:rsidR="0086546B" w:rsidRPr="00B124DC">
        <w:rPr>
          <w:lang w:val="en-GB"/>
        </w:rPr>
        <w:t>]</w:t>
      </w:r>
      <w:r w:rsidRPr="00B124DC">
        <w:rPr>
          <w:lang w:val="en-GB"/>
        </w:rPr>
        <w:t xml:space="preserve"> as her main submission a violation of Article 2 of Protocol No. 1 and request</w:t>
      </w:r>
      <w:r w:rsidR="0086546B" w:rsidRPr="00B124DC">
        <w:rPr>
          <w:lang w:val="en-GB"/>
        </w:rPr>
        <w:t>[</w:t>
      </w:r>
      <w:r w:rsidRPr="00B124DC">
        <w:rPr>
          <w:lang w:val="en-GB"/>
        </w:rPr>
        <w:t>ed</w:t>
      </w:r>
      <w:r w:rsidR="0086546B" w:rsidRPr="00B124DC">
        <w:rPr>
          <w:lang w:val="en-GB"/>
        </w:rPr>
        <w:t>]</w:t>
      </w:r>
      <w:r w:rsidRPr="00B124DC">
        <w:rPr>
          <w:lang w:val="en-GB"/>
        </w:rPr>
        <w:t xml:space="preserve"> the </w:t>
      </w:r>
      <w:r w:rsidR="004E2B63" w:rsidRPr="00B124DC">
        <w:rPr>
          <w:lang w:val="en-GB"/>
        </w:rPr>
        <w:t>Grand Chamber</w:t>
      </w:r>
      <w:r w:rsidRPr="00B124DC">
        <w:rPr>
          <w:lang w:val="en-GB"/>
        </w:rPr>
        <w:t xml:space="preserve"> to hold accordingly”. Among other things, she asked the Court to “find that the decision to refuse </w:t>
      </w:r>
      <w:r w:rsidR="007645C7" w:rsidRPr="00B124DC">
        <w:rPr>
          <w:lang w:val="en-GB"/>
        </w:rPr>
        <w:t>[her]</w:t>
      </w:r>
      <w:r w:rsidRPr="00B124DC">
        <w:rPr>
          <w:lang w:val="en-GB"/>
        </w:rPr>
        <w:t xml:space="preserve"> access to the </w:t>
      </w:r>
      <w:r w:rsidR="00CF7507">
        <w:rPr>
          <w:lang w:val="en-GB"/>
        </w:rPr>
        <w:t>u</w:t>
      </w:r>
      <w:r w:rsidRPr="00B124DC">
        <w:rPr>
          <w:lang w:val="en-GB"/>
        </w:rPr>
        <w:t xml:space="preserve">niversity </w:t>
      </w:r>
      <w:r w:rsidR="0079157C" w:rsidRPr="00B124DC">
        <w:rPr>
          <w:lang w:val="en-GB"/>
        </w:rPr>
        <w:t>when wearing</w:t>
      </w:r>
      <w:r w:rsidRPr="00B124DC">
        <w:rPr>
          <w:lang w:val="en-GB"/>
        </w:rPr>
        <w:t xml:space="preserve"> the Islamic headscarf amount</w:t>
      </w:r>
      <w:r w:rsidR="00CF7507">
        <w:rPr>
          <w:lang w:val="en-GB"/>
        </w:rPr>
        <w:t>[ed]</w:t>
      </w:r>
      <w:r w:rsidRPr="00B124DC">
        <w:rPr>
          <w:lang w:val="en-GB"/>
        </w:rPr>
        <w:t xml:space="preserve"> in the </w:t>
      </w:r>
      <w:r w:rsidR="0079157C" w:rsidRPr="00B124DC">
        <w:rPr>
          <w:lang w:val="en-GB"/>
        </w:rPr>
        <w:t>present</w:t>
      </w:r>
      <w:r w:rsidRPr="00B124DC">
        <w:rPr>
          <w:lang w:val="en-GB"/>
        </w:rPr>
        <w:t xml:space="preserve"> case to </w:t>
      </w:r>
      <w:r w:rsidR="0079157C" w:rsidRPr="00B124DC">
        <w:rPr>
          <w:lang w:val="en-GB"/>
        </w:rPr>
        <w:t>a</w:t>
      </w:r>
      <w:r w:rsidRPr="00B124DC">
        <w:rPr>
          <w:lang w:val="en-GB"/>
        </w:rPr>
        <w:t xml:space="preserve"> violation of her right to</w:t>
      </w:r>
      <w:r w:rsidR="0079157C" w:rsidRPr="00B124DC">
        <w:rPr>
          <w:lang w:val="en-GB"/>
        </w:rPr>
        <w:t xml:space="preserve"> education, </w:t>
      </w:r>
      <w:r w:rsidRPr="00B124DC">
        <w:rPr>
          <w:lang w:val="en-GB"/>
        </w:rPr>
        <w:t>as guaranteed by Article 2 of Protocol No. 1, read in the light of Artic</w:t>
      </w:r>
      <w:r w:rsidR="00932AF2">
        <w:rPr>
          <w:lang w:val="en-GB"/>
        </w:rPr>
        <w:t>les</w:t>
      </w:r>
      <w:r w:rsidR="00CF7507">
        <w:rPr>
          <w:lang w:val="en-GB"/>
        </w:rPr>
        <w:t xml:space="preserve"> </w:t>
      </w:r>
      <w:r w:rsidRPr="00B124DC">
        <w:rPr>
          <w:lang w:val="en-GB"/>
        </w:rPr>
        <w:t xml:space="preserve">8, 9 </w:t>
      </w:r>
      <w:r w:rsidR="00932AF2">
        <w:rPr>
          <w:lang w:val="en-GB"/>
        </w:rPr>
        <w:t>and</w:t>
      </w:r>
      <w:r w:rsidRPr="00B124DC">
        <w:rPr>
          <w:lang w:val="en-GB"/>
        </w:rPr>
        <w:t xml:space="preserve"> 10 of the Convention”.</w:t>
      </w:r>
    </w:p>
    <w:p w:rsidR="00814221" w:rsidRPr="00B124DC" w:rsidRDefault="00814221" w:rsidP="00932AF2">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126</w:t>
      </w:r>
      <w:r w:rsidRPr="00B124DC">
        <w:rPr>
          <w:lang w:val="en-GB"/>
        </w:rPr>
        <w:fldChar w:fldCharType="end"/>
      </w:r>
      <w:r w:rsidRPr="00B124DC">
        <w:rPr>
          <w:lang w:val="en-GB"/>
        </w:rPr>
        <w:t>.  The Government submitted that there had been no violation of the first sentence of Article 2 of Protocol No. 1.</w:t>
      </w:r>
    </w:p>
    <w:p w:rsidR="0098730A" w:rsidRPr="00B124DC" w:rsidRDefault="000B46E1" w:rsidP="00932AF2">
      <w:pPr>
        <w:pStyle w:val="JuH1"/>
        <w:keepNext/>
        <w:rPr>
          <w:lang w:val="en-GB"/>
        </w:rPr>
      </w:pPr>
      <w:r w:rsidRPr="00B124DC">
        <w:rPr>
          <w:lang w:val="en-GB"/>
        </w:rPr>
        <w:t xml:space="preserve">2.  The </w:t>
      </w:r>
      <w:r w:rsidR="006C3B9B" w:rsidRPr="00B124DC">
        <w:rPr>
          <w:lang w:val="en-GB"/>
        </w:rPr>
        <w:t>Chamber judgment</w:t>
      </w:r>
    </w:p>
    <w:p w:rsidR="000B46E1" w:rsidRPr="00B124DC" w:rsidRDefault="000B46E1" w:rsidP="000B46E1">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127</w:t>
      </w:r>
      <w:r w:rsidRPr="00B124DC">
        <w:rPr>
          <w:lang w:val="en-GB"/>
        </w:rPr>
        <w:fldChar w:fldCharType="end"/>
      </w:r>
      <w:r w:rsidRPr="00B124DC">
        <w:rPr>
          <w:lang w:val="en-GB"/>
        </w:rPr>
        <w:t>.  The Chamber found that no separate question arose under Articles</w:t>
      </w:r>
      <w:r w:rsidR="001522A8" w:rsidRPr="00B124DC">
        <w:rPr>
          <w:lang w:val="en-GB"/>
        </w:rPr>
        <w:t> </w:t>
      </w:r>
      <w:r w:rsidRPr="00B124DC">
        <w:rPr>
          <w:lang w:val="en-GB"/>
        </w:rPr>
        <w:t xml:space="preserve">8, 10 and 14 of the Convention or Article 2 of Protocol No. 1, the provisions that had been relied on by the applicant, as the relevant circumstances </w:t>
      </w:r>
      <w:r w:rsidR="001522A8" w:rsidRPr="00B124DC">
        <w:rPr>
          <w:lang w:val="en-GB"/>
        </w:rPr>
        <w:t>were</w:t>
      </w:r>
      <w:r w:rsidRPr="00B124DC">
        <w:rPr>
          <w:lang w:val="en-GB"/>
        </w:rPr>
        <w:t xml:space="preserve"> the same as those it had examined in relation to Article</w:t>
      </w:r>
      <w:r w:rsidR="001522A8" w:rsidRPr="00B124DC">
        <w:rPr>
          <w:lang w:val="en-GB"/>
        </w:rPr>
        <w:t> </w:t>
      </w:r>
      <w:r w:rsidRPr="00B124DC">
        <w:rPr>
          <w:lang w:val="en-GB"/>
        </w:rPr>
        <w:t>9</w:t>
      </w:r>
      <w:r w:rsidR="007645C7" w:rsidRPr="00B124DC">
        <w:rPr>
          <w:lang w:val="en-GB"/>
        </w:rPr>
        <w:t>,</w:t>
      </w:r>
      <w:r w:rsidR="001522A8" w:rsidRPr="00B124DC">
        <w:rPr>
          <w:lang w:val="en-GB"/>
        </w:rPr>
        <w:t xml:space="preserve"> </w:t>
      </w:r>
      <w:r w:rsidR="001E2640" w:rsidRPr="00B124DC">
        <w:rPr>
          <w:lang w:val="en-GB"/>
        </w:rPr>
        <w:t>in respect of which it had</w:t>
      </w:r>
      <w:r w:rsidRPr="00B124DC">
        <w:rPr>
          <w:lang w:val="en-GB"/>
        </w:rPr>
        <w:t xml:space="preserve"> found no violation.</w:t>
      </w:r>
    </w:p>
    <w:p w:rsidR="000B46E1" w:rsidRPr="00B124DC" w:rsidRDefault="000B46E1" w:rsidP="00932AF2">
      <w:pPr>
        <w:pStyle w:val="JuH1"/>
        <w:keepNext/>
        <w:rPr>
          <w:lang w:val="en-GB"/>
        </w:rPr>
      </w:pPr>
      <w:r w:rsidRPr="00B124DC">
        <w:rPr>
          <w:lang w:val="en-GB"/>
        </w:rPr>
        <w:t>3.  The Court</w:t>
      </w:r>
      <w:r w:rsidR="0006350D">
        <w:rPr>
          <w:lang w:val="en-GB"/>
        </w:rPr>
        <w:t>’</w:t>
      </w:r>
      <w:r w:rsidRPr="00B124DC">
        <w:rPr>
          <w:lang w:val="en-GB"/>
        </w:rPr>
        <w:t>s assessment</w:t>
      </w:r>
    </w:p>
    <w:p w:rsidR="0098730A" w:rsidRPr="00B124DC" w:rsidRDefault="000B46E1" w:rsidP="000B46E1">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128</w:t>
      </w:r>
      <w:r w:rsidRPr="00B124DC">
        <w:rPr>
          <w:lang w:val="en-GB"/>
        </w:rPr>
        <w:fldChar w:fldCharType="end"/>
      </w:r>
      <w:r w:rsidRPr="00B124DC">
        <w:rPr>
          <w:lang w:val="en-GB"/>
        </w:rPr>
        <w:t>.  The Court observe</w:t>
      </w:r>
      <w:r w:rsidR="001E2640" w:rsidRPr="00B124DC">
        <w:rPr>
          <w:lang w:val="en-GB"/>
        </w:rPr>
        <w:t>s</w:t>
      </w:r>
      <w:r w:rsidRPr="00B124DC">
        <w:rPr>
          <w:lang w:val="en-GB"/>
        </w:rPr>
        <w:t xml:space="preserve"> that under its case-law that is now well-established, the “case” referred to the Grand Chamber necessarily embraces all aspects of the application previously examined by the Chamber in its judgment, there being no basis for a merely partial referral of the case to the Grand Chamber (see, as the most recent authorities, </w:t>
      </w:r>
      <w:r w:rsidRPr="00B124DC">
        <w:rPr>
          <w:i/>
          <w:lang w:val="en-GB" w:eastAsia="en-US"/>
        </w:rPr>
        <w:t>Cump</w:t>
      </w:r>
      <w:r w:rsidR="00CF7507">
        <w:rPr>
          <w:i/>
          <w:lang w:val="en-GB" w:eastAsia="en-US"/>
        </w:rPr>
        <w:t>ă</w:t>
      </w:r>
      <w:r w:rsidRPr="00B124DC">
        <w:rPr>
          <w:i/>
          <w:lang w:val="en-GB" w:eastAsia="en-US"/>
        </w:rPr>
        <w:t>n</w:t>
      </w:r>
      <w:r w:rsidR="00CF7507">
        <w:rPr>
          <w:i/>
          <w:lang w:val="en-GB" w:eastAsia="en-US"/>
        </w:rPr>
        <w:t>ă</w:t>
      </w:r>
      <w:r w:rsidRPr="00B124DC">
        <w:rPr>
          <w:i/>
          <w:lang w:val="en-GB" w:eastAsia="en-US"/>
        </w:rPr>
        <w:t xml:space="preserve"> and Maz</w:t>
      </w:r>
      <w:r w:rsidR="00CF7507">
        <w:rPr>
          <w:i/>
          <w:lang w:val="en-GB" w:eastAsia="en-US"/>
        </w:rPr>
        <w:t>ă</w:t>
      </w:r>
      <w:r w:rsidRPr="00B124DC">
        <w:rPr>
          <w:i/>
          <w:lang w:val="en-GB" w:eastAsia="en-US"/>
        </w:rPr>
        <w:t xml:space="preserve">re v. Romania </w:t>
      </w:r>
      <w:r w:rsidRPr="00B124DC">
        <w:rPr>
          <w:lang w:val="en-GB" w:eastAsia="en-US"/>
        </w:rPr>
        <w:t>[GC], no. 33348/96, § 66, ECHR 2004-</w:t>
      </w:r>
      <w:r w:rsidR="00CF7507">
        <w:rPr>
          <w:lang w:val="en-GB" w:eastAsia="en-US"/>
        </w:rPr>
        <w:t>XI,</w:t>
      </w:r>
      <w:r w:rsidRPr="00B124DC">
        <w:rPr>
          <w:lang w:val="en-GB" w:eastAsia="en-US"/>
        </w:rPr>
        <w:t xml:space="preserve"> and </w:t>
      </w:r>
      <w:r w:rsidRPr="00B124DC">
        <w:rPr>
          <w:i/>
          <w:lang w:val="en-GB"/>
        </w:rPr>
        <w:t xml:space="preserve">K. </w:t>
      </w:r>
      <w:r w:rsidR="00D23DD0" w:rsidRPr="00B124DC">
        <w:rPr>
          <w:i/>
          <w:lang w:val="en-GB"/>
        </w:rPr>
        <w:t xml:space="preserve">and </w:t>
      </w:r>
      <w:r w:rsidRPr="00B124DC">
        <w:rPr>
          <w:i/>
          <w:lang w:val="en-GB"/>
        </w:rPr>
        <w:t>T. v. Finland</w:t>
      </w:r>
      <w:r w:rsidRPr="00B124DC">
        <w:rPr>
          <w:lang w:val="en-GB"/>
        </w:rPr>
        <w:t xml:space="preserve"> [GC], no. 25702/94, §§ 140-41, ECHR 2001-VII). The “case” referred to the Grand Chamber is the application as it has been declared admissible.</w:t>
      </w:r>
    </w:p>
    <w:p w:rsidR="000B46E1" w:rsidRPr="00B124DC" w:rsidRDefault="000B46E1" w:rsidP="000B46E1">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129</w:t>
      </w:r>
      <w:r w:rsidRPr="00B124DC">
        <w:rPr>
          <w:lang w:val="en-GB"/>
        </w:rPr>
        <w:fldChar w:fldCharType="end"/>
      </w:r>
      <w:r w:rsidRPr="00B124DC">
        <w:rPr>
          <w:lang w:val="en-GB"/>
        </w:rPr>
        <w:t xml:space="preserve">.  The Court considers that, having regard to the special circumstances of the case, the fundamental importance of the right to education and the position of the parties, the complaint under the first sentence of Article 2 of Protocol No. 1 can be considered </w:t>
      </w:r>
      <w:r w:rsidR="00150768" w:rsidRPr="00B124DC">
        <w:rPr>
          <w:lang w:val="en-GB"/>
        </w:rPr>
        <w:t>as separate</w:t>
      </w:r>
      <w:r w:rsidRPr="00B124DC">
        <w:rPr>
          <w:lang w:val="en-GB"/>
        </w:rPr>
        <w:t xml:space="preserve"> from the complaint under Article 9 of the Convention, notwithstanding the fact that, as </w:t>
      </w:r>
      <w:r w:rsidR="00F0643C" w:rsidRPr="00B124DC">
        <w:rPr>
          <w:lang w:val="en-GB"/>
        </w:rPr>
        <w:t xml:space="preserve">was the case </w:t>
      </w:r>
      <w:r w:rsidRPr="00B124DC">
        <w:rPr>
          <w:lang w:val="en-GB"/>
        </w:rPr>
        <w:t xml:space="preserve">with Article 9, the </w:t>
      </w:r>
      <w:r w:rsidR="00F0643C" w:rsidRPr="00B124DC">
        <w:rPr>
          <w:lang w:val="en-GB"/>
        </w:rPr>
        <w:t xml:space="preserve">substance of the </w:t>
      </w:r>
      <w:r w:rsidRPr="00B124DC">
        <w:rPr>
          <w:lang w:val="en-GB"/>
        </w:rPr>
        <w:t xml:space="preserve">complaint </w:t>
      </w:r>
      <w:r w:rsidR="00F0643C" w:rsidRPr="00B124DC">
        <w:rPr>
          <w:lang w:val="en-GB"/>
        </w:rPr>
        <w:t xml:space="preserve">is </w:t>
      </w:r>
      <w:r w:rsidRPr="00B124DC">
        <w:rPr>
          <w:lang w:val="en-GB"/>
        </w:rPr>
        <w:t xml:space="preserve">criticism of the regulations </w:t>
      </w:r>
      <w:r w:rsidR="00EE215E" w:rsidRPr="00B124DC">
        <w:rPr>
          <w:lang w:val="en-GB"/>
        </w:rPr>
        <w:t xml:space="preserve">that were </w:t>
      </w:r>
      <w:r w:rsidRPr="00B124DC">
        <w:rPr>
          <w:lang w:val="en-GB"/>
        </w:rPr>
        <w:t>issued on 23</w:t>
      </w:r>
      <w:r w:rsidR="00932AF2">
        <w:rPr>
          <w:lang w:val="en-GB"/>
        </w:rPr>
        <w:t xml:space="preserve"> </w:t>
      </w:r>
      <w:r w:rsidRPr="00B124DC">
        <w:rPr>
          <w:lang w:val="en-GB"/>
        </w:rPr>
        <w:t>February 1998.</w:t>
      </w:r>
    </w:p>
    <w:p w:rsidR="0098730A" w:rsidRPr="00B124DC" w:rsidRDefault="000B46E1" w:rsidP="000B46E1">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130</w:t>
      </w:r>
      <w:r w:rsidRPr="00B124DC">
        <w:rPr>
          <w:lang w:val="en-GB"/>
        </w:rPr>
        <w:fldChar w:fldCharType="end"/>
      </w:r>
      <w:r w:rsidRPr="00B124DC">
        <w:rPr>
          <w:lang w:val="en-GB"/>
        </w:rPr>
        <w:t xml:space="preserve">.  In conclusion, the Court </w:t>
      </w:r>
      <w:r w:rsidR="00E02DA8" w:rsidRPr="00B124DC">
        <w:rPr>
          <w:lang w:val="en-GB"/>
        </w:rPr>
        <w:t>will examine</w:t>
      </w:r>
      <w:r w:rsidRPr="00B124DC">
        <w:rPr>
          <w:lang w:val="en-GB"/>
        </w:rPr>
        <w:t xml:space="preserve"> th</w:t>
      </w:r>
      <w:r w:rsidR="00E02DA8" w:rsidRPr="00B124DC">
        <w:rPr>
          <w:lang w:val="en-GB"/>
        </w:rPr>
        <w:t>is</w:t>
      </w:r>
      <w:r w:rsidRPr="00B124DC">
        <w:rPr>
          <w:lang w:val="en-GB"/>
        </w:rPr>
        <w:t xml:space="preserve"> complaint separately (see, </w:t>
      </w:r>
      <w:r w:rsidRPr="00B124DC">
        <w:rPr>
          <w:i/>
          <w:lang w:val="en-GB"/>
        </w:rPr>
        <w:t>mutatis mutandis</w:t>
      </w:r>
      <w:r w:rsidRPr="00B124DC">
        <w:rPr>
          <w:lang w:val="en-GB"/>
        </w:rPr>
        <w:t xml:space="preserve">, </w:t>
      </w:r>
      <w:r w:rsidR="00932AF2">
        <w:rPr>
          <w:i/>
          <w:lang w:val="en-GB" w:eastAsia="en-US"/>
        </w:rPr>
        <w:t xml:space="preserve">Göç v. </w:t>
      </w:r>
      <w:r w:rsidRPr="00B124DC">
        <w:rPr>
          <w:i/>
          <w:lang w:val="en-GB" w:eastAsia="en-US"/>
        </w:rPr>
        <w:t>Turkey</w:t>
      </w:r>
      <w:r w:rsidR="00932AF2">
        <w:rPr>
          <w:lang w:val="en-GB" w:eastAsia="en-US"/>
        </w:rPr>
        <w:t xml:space="preserve"> [GC], no. </w:t>
      </w:r>
      <w:r w:rsidRPr="00B124DC">
        <w:rPr>
          <w:lang w:val="en-GB" w:eastAsia="en-US"/>
        </w:rPr>
        <w:t>36590/97, § 46, ECHR 2002</w:t>
      </w:r>
      <w:r w:rsidRPr="00B124DC">
        <w:rPr>
          <w:lang w:val="en-GB" w:eastAsia="en-US"/>
        </w:rPr>
        <w:noBreakHyphen/>
        <w:t>V</w:t>
      </w:r>
      <w:r w:rsidRPr="00B124DC">
        <w:rPr>
          <w:lang w:val="en-GB"/>
        </w:rPr>
        <w:t>).</w:t>
      </w:r>
    </w:p>
    <w:p w:rsidR="000B46E1" w:rsidRPr="00B124DC" w:rsidRDefault="000B46E1" w:rsidP="00E7069D">
      <w:pPr>
        <w:pStyle w:val="JuHA"/>
        <w:keepNext/>
        <w:rPr>
          <w:lang w:val="en-GB"/>
        </w:rPr>
      </w:pPr>
      <w:r w:rsidRPr="00B124DC">
        <w:rPr>
          <w:lang w:val="en-GB"/>
        </w:rPr>
        <w:t>B.  </w:t>
      </w:r>
      <w:r w:rsidR="004246D0" w:rsidRPr="00B124DC">
        <w:rPr>
          <w:lang w:val="en-GB"/>
        </w:rPr>
        <w:t>Applicability</w:t>
      </w:r>
    </w:p>
    <w:p w:rsidR="0098730A" w:rsidRPr="00B124DC" w:rsidRDefault="000B46E1" w:rsidP="000B46E1">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131</w:t>
      </w:r>
      <w:r w:rsidRPr="00B124DC">
        <w:rPr>
          <w:lang w:val="en-GB"/>
        </w:rPr>
        <w:fldChar w:fldCharType="end"/>
      </w:r>
      <w:r w:rsidRPr="00B124DC">
        <w:rPr>
          <w:lang w:val="en-GB"/>
        </w:rPr>
        <w:t xml:space="preserve">.  The applicant alleged </w:t>
      </w:r>
      <w:r w:rsidR="00F0643C" w:rsidRPr="00B124DC">
        <w:rPr>
          <w:lang w:val="en-GB"/>
        </w:rPr>
        <w:t xml:space="preserve">a </w:t>
      </w:r>
      <w:r w:rsidRPr="00B124DC">
        <w:rPr>
          <w:lang w:val="en-GB"/>
        </w:rPr>
        <w:t>violation of the first sentence of Article</w:t>
      </w:r>
      <w:r w:rsidR="0043110F">
        <w:rPr>
          <w:lang w:val="en-GB"/>
        </w:rPr>
        <w:t xml:space="preserve"> </w:t>
      </w:r>
      <w:r w:rsidRPr="00B124DC">
        <w:rPr>
          <w:lang w:val="en-GB"/>
        </w:rPr>
        <w:t xml:space="preserve">2 </w:t>
      </w:r>
      <w:r w:rsidR="000C48A0">
        <w:rPr>
          <w:lang w:val="en-GB"/>
        </w:rPr>
        <w:t xml:space="preserve">of </w:t>
      </w:r>
      <w:r w:rsidRPr="00B124DC">
        <w:rPr>
          <w:lang w:val="en-GB"/>
        </w:rPr>
        <w:t>Protocol No. 1, which provides:</w:t>
      </w:r>
    </w:p>
    <w:p w:rsidR="000B46E1" w:rsidRPr="00B124DC" w:rsidRDefault="000B46E1" w:rsidP="000B46E1">
      <w:pPr>
        <w:pStyle w:val="JuQuot"/>
        <w:rPr>
          <w:lang w:val="en-GB"/>
        </w:rPr>
      </w:pPr>
      <w:r w:rsidRPr="00B124DC">
        <w:rPr>
          <w:lang w:val="en-GB"/>
        </w:rPr>
        <w:t>“No person shall be denied the right to education.”</w:t>
      </w:r>
    </w:p>
    <w:p w:rsidR="000B46E1" w:rsidRPr="00B124DC" w:rsidRDefault="000B46E1" w:rsidP="00E7069D">
      <w:pPr>
        <w:pStyle w:val="JuH1"/>
        <w:keepNext/>
        <w:rPr>
          <w:lang w:val="en-GB"/>
        </w:rPr>
      </w:pPr>
      <w:r w:rsidRPr="00B124DC">
        <w:rPr>
          <w:lang w:val="en-GB"/>
        </w:rPr>
        <w:t>Scope of the first sentence of Article 2 of Protocol No. 1</w:t>
      </w:r>
    </w:p>
    <w:p w:rsidR="000B46E1" w:rsidRPr="00B124DC" w:rsidRDefault="000B46E1" w:rsidP="00E7069D">
      <w:pPr>
        <w:pStyle w:val="JuHa0"/>
        <w:keepNext/>
        <w:rPr>
          <w:lang w:val="en-GB"/>
        </w:rPr>
      </w:pPr>
      <w:r w:rsidRPr="00B124DC">
        <w:rPr>
          <w:lang w:val="en-GB"/>
        </w:rPr>
        <w:t>(a)  The parties</w:t>
      </w:r>
      <w:r w:rsidR="0006350D">
        <w:rPr>
          <w:lang w:val="en-GB"/>
        </w:rPr>
        <w:t>’</w:t>
      </w:r>
      <w:r w:rsidRPr="00B124DC">
        <w:rPr>
          <w:lang w:val="en-GB"/>
        </w:rPr>
        <w:t xml:space="preserve"> submissions </w:t>
      </w:r>
      <w:r w:rsidR="000C48A0">
        <w:rPr>
          <w:lang w:val="en-GB"/>
        </w:rPr>
        <w:t>to</w:t>
      </w:r>
      <w:r w:rsidRPr="00B124DC">
        <w:rPr>
          <w:lang w:val="en-GB"/>
        </w:rPr>
        <w:t xml:space="preserve"> the Grand Chamber</w:t>
      </w:r>
    </w:p>
    <w:p w:rsidR="000B46E1" w:rsidRPr="00B124DC" w:rsidRDefault="000B46E1" w:rsidP="000B46E1">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132</w:t>
      </w:r>
      <w:r w:rsidRPr="00B124DC">
        <w:rPr>
          <w:lang w:val="en-GB"/>
        </w:rPr>
        <w:fldChar w:fldCharType="end"/>
      </w:r>
      <w:r w:rsidRPr="00B124DC">
        <w:rPr>
          <w:lang w:val="en-GB"/>
        </w:rPr>
        <w:t xml:space="preserve">.  The applicant </w:t>
      </w:r>
      <w:r w:rsidR="00A072A1" w:rsidRPr="00B124DC">
        <w:rPr>
          <w:lang w:val="en-GB"/>
        </w:rPr>
        <w:t xml:space="preserve">said that </w:t>
      </w:r>
      <w:r w:rsidR="007645C7" w:rsidRPr="00B124DC">
        <w:rPr>
          <w:lang w:val="en-GB"/>
        </w:rPr>
        <w:t>there</w:t>
      </w:r>
      <w:r w:rsidR="00A072A1" w:rsidRPr="00B124DC">
        <w:rPr>
          <w:lang w:val="en-GB"/>
        </w:rPr>
        <w:t xml:space="preserve"> was no </w:t>
      </w:r>
      <w:r w:rsidRPr="00B124DC">
        <w:rPr>
          <w:lang w:val="en-GB"/>
        </w:rPr>
        <w:t xml:space="preserve">doubt that the right to education, as guaranteed by the first sentence of Article </w:t>
      </w:r>
      <w:r w:rsidR="00A072A1" w:rsidRPr="00B124DC">
        <w:rPr>
          <w:lang w:val="en-GB"/>
        </w:rPr>
        <w:t xml:space="preserve">2 of </w:t>
      </w:r>
      <w:r w:rsidRPr="00B124DC">
        <w:rPr>
          <w:lang w:val="en-GB"/>
        </w:rPr>
        <w:t>Protocol No</w:t>
      </w:r>
      <w:r w:rsidR="00A072A1" w:rsidRPr="00B124DC">
        <w:rPr>
          <w:lang w:val="en-GB"/>
        </w:rPr>
        <w:t>.</w:t>
      </w:r>
      <w:r w:rsidR="00150ABA">
        <w:rPr>
          <w:lang w:val="en-GB"/>
        </w:rPr>
        <w:t xml:space="preserve"> </w:t>
      </w:r>
      <w:r w:rsidRPr="00B124DC">
        <w:rPr>
          <w:lang w:val="en-GB"/>
        </w:rPr>
        <w:t>1, appl</w:t>
      </w:r>
      <w:r w:rsidR="00A072A1" w:rsidRPr="00B124DC">
        <w:rPr>
          <w:lang w:val="en-GB"/>
        </w:rPr>
        <w:t>ied</w:t>
      </w:r>
      <w:r w:rsidRPr="00B124DC">
        <w:rPr>
          <w:lang w:val="en-GB"/>
        </w:rPr>
        <w:t xml:space="preserve"> to higher education, since that provision applie</w:t>
      </w:r>
      <w:r w:rsidR="00A072A1" w:rsidRPr="00B124DC">
        <w:rPr>
          <w:lang w:val="en-GB"/>
        </w:rPr>
        <w:t>d</w:t>
      </w:r>
      <w:r w:rsidRPr="00B124DC">
        <w:rPr>
          <w:lang w:val="en-GB"/>
        </w:rPr>
        <w:t xml:space="preserve"> to all institutions existing at </w:t>
      </w:r>
      <w:r w:rsidR="00A072A1" w:rsidRPr="00B124DC">
        <w:rPr>
          <w:lang w:val="en-GB"/>
        </w:rPr>
        <w:t>a</w:t>
      </w:r>
      <w:r w:rsidRPr="00B124DC">
        <w:rPr>
          <w:lang w:val="en-GB"/>
        </w:rPr>
        <w:t xml:space="preserve"> given time.</w:t>
      </w:r>
    </w:p>
    <w:p w:rsidR="000B46E1" w:rsidRPr="00B124DC" w:rsidRDefault="000B46E1" w:rsidP="000B46E1">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133</w:t>
      </w:r>
      <w:r w:rsidRPr="00B124DC">
        <w:rPr>
          <w:lang w:val="en-GB"/>
        </w:rPr>
        <w:fldChar w:fldCharType="end"/>
      </w:r>
      <w:r w:rsidRPr="00B124DC">
        <w:rPr>
          <w:lang w:val="en-GB"/>
        </w:rPr>
        <w:t>.  The Government did not comment on this issue.</w:t>
      </w:r>
    </w:p>
    <w:p w:rsidR="000B46E1" w:rsidRPr="00B124DC" w:rsidRDefault="000B46E1" w:rsidP="00E7069D">
      <w:pPr>
        <w:pStyle w:val="JuHa0"/>
        <w:keepNext/>
        <w:rPr>
          <w:lang w:val="en-GB"/>
        </w:rPr>
      </w:pPr>
      <w:r w:rsidRPr="00B124DC">
        <w:rPr>
          <w:lang w:val="en-GB"/>
        </w:rPr>
        <w:t>(b)  The Court</w:t>
      </w:r>
      <w:r w:rsidR="0006350D">
        <w:rPr>
          <w:lang w:val="en-GB"/>
        </w:rPr>
        <w:t>’</w:t>
      </w:r>
      <w:r w:rsidRPr="00B124DC">
        <w:rPr>
          <w:lang w:val="en-GB"/>
        </w:rPr>
        <w:t>s assessment</w:t>
      </w:r>
    </w:p>
    <w:p w:rsidR="000B46E1" w:rsidRPr="00B124DC" w:rsidRDefault="000B46E1" w:rsidP="000B46E1">
      <w:pPr>
        <w:pStyle w:val="JuPara"/>
        <w:rPr>
          <w:szCs w:val="24"/>
          <w:lang w:val="en-GB"/>
        </w:rPr>
      </w:pPr>
      <w:r w:rsidRPr="00B124DC">
        <w:rPr>
          <w:szCs w:val="24"/>
          <w:lang w:val="en-GB"/>
        </w:rPr>
        <w:fldChar w:fldCharType="begin"/>
      </w:r>
      <w:r w:rsidRPr="00B124DC">
        <w:rPr>
          <w:szCs w:val="24"/>
          <w:lang w:val="en-GB"/>
        </w:rPr>
        <w:instrText xml:space="preserve"> SEQ level0 \*arabic </w:instrText>
      </w:r>
      <w:r w:rsidRPr="00B124DC">
        <w:rPr>
          <w:szCs w:val="24"/>
          <w:lang w:val="en-GB"/>
        </w:rPr>
        <w:fldChar w:fldCharType="separate"/>
      </w:r>
      <w:r w:rsidR="00EA52D1">
        <w:rPr>
          <w:noProof/>
          <w:szCs w:val="24"/>
          <w:lang w:val="en-GB"/>
        </w:rPr>
        <w:t>134</w:t>
      </w:r>
      <w:r w:rsidRPr="00B124DC">
        <w:rPr>
          <w:szCs w:val="24"/>
          <w:lang w:val="en-GB"/>
        </w:rPr>
        <w:fldChar w:fldCharType="end"/>
      </w:r>
      <w:r w:rsidRPr="00B124DC">
        <w:rPr>
          <w:szCs w:val="24"/>
          <w:lang w:val="en-GB"/>
        </w:rPr>
        <w:t>.  The first sentence of Article 2 of Protocol No</w:t>
      </w:r>
      <w:r w:rsidR="00150ABA">
        <w:rPr>
          <w:szCs w:val="24"/>
          <w:lang w:val="en-GB"/>
        </w:rPr>
        <w:t>.</w:t>
      </w:r>
      <w:r w:rsidRPr="00B124DC">
        <w:rPr>
          <w:szCs w:val="24"/>
          <w:lang w:val="en-GB"/>
        </w:rPr>
        <w:t xml:space="preserve"> 1 provides that no one shall be denied the right to </w:t>
      </w:r>
      <w:r w:rsidRPr="00B124DC">
        <w:rPr>
          <w:lang w:val="en-GB"/>
        </w:rPr>
        <w:t>education</w:t>
      </w:r>
      <w:r w:rsidRPr="00B124DC">
        <w:rPr>
          <w:szCs w:val="24"/>
          <w:lang w:val="en-GB"/>
        </w:rPr>
        <w:t xml:space="preserve">. Although </w:t>
      </w:r>
      <w:r w:rsidR="00C61DC6" w:rsidRPr="00B124DC">
        <w:rPr>
          <w:szCs w:val="24"/>
          <w:lang w:val="en-GB"/>
        </w:rPr>
        <w:t>the provision make</w:t>
      </w:r>
      <w:r w:rsidRPr="00B124DC">
        <w:rPr>
          <w:szCs w:val="24"/>
          <w:lang w:val="en-GB"/>
        </w:rPr>
        <w:t>s no mention of higher education, there is nothing to suggest that it does not apply to all levels of education, including higher education.</w:t>
      </w:r>
    </w:p>
    <w:p w:rsidR="000B46E1" w:rsidRPr="00B124DC" w:rsidRDefault="000B46E1" w:rsidP="000B46E1">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135</w:t>
      </w:r>
      <w:r w:rsidRPr="00B124DC">
        <w:rPr>
          <w:lang w:val="en-GB"/>
        </w:rPr>
        <w:fldChar w:fldCharType="end"/>
      </w:r>
      <w:r w:rsidRPr="00B124DC">
        <w:rPr>
          <w:lang w:val="en-GB"/>
        </w:rPr>
        <w:t xml:space="preserve">.  As to the content of the right to education and the scope of the obligation it imposes, the Court notes that in the </w:t>
      </w:r>
      <w:r w:rsidR="00CF7507">
        <w:rPr>
          <w:i/>
          <w:lang w:val="en-GB"/>
        </w:rPr>
        <w:t>Case “relating to certain aspects of laws on the use of languages in education in Belgium</w:t>
      </w:r>
      <w:r w:rsidR="00150ABA">
        <w:rPr>
          <w:i/>
          <w:lang w:val="en-GB"/>
        </w:rPr>
        <w:t>”</w:t>
      </w:r>
      <w:r w:rsidRPr="00B124DC">
        <w:rPr>
          <w:lang w:val="en-GB"/>
        </w:rPr>
        <w:t xml:space="preserve"> </w:t>
      </w:r>
      <w:r w:rsidR="00CF7507">
        <w:rPr>
          <w:lang w:val="en-GB"/>
        </w:rPr>
        <w:t>(</w:t>
      </w:r>
      <w:r w:rsidR="00CF7507" w:rsidRPr="00B124DC">
        <w:rPr>
          <w:lang w:val="en-GB"/>
        </w:rPr>
        <w:t>“</w:t>
      </w:r>
      <w:r w:rsidR="00CF7507">
        <w:rPr>
          <w:lang w:val="en-GB"/>
        </w:rPr>
        <w:t xml:space="preserve">the </w:t>
      </w:r>
      <w:r w:rsidR="00CF7507" w:rsidRPr="00B124DC">
        <w:rPr>
          <w:i/>
          <w:lang w:val="en-GB"/>
        </w:rPr>
        <w:t>Belgi</w:t>
      </w:r>
      <w:r w:rsidR="00CF7507">
        <w:rPr>
          <w:i/>
          <w:lang w:val="en-GB"/>
        </w:rPr>
        <w:t>an</w:t>
      </w:r>
      <w:r w:rsidR="00CF7507" w:rsidRPr="00B124DC">
        <w:rPr>
          <w:i/>
          <w:lang w:val="en-GB"/>
        </w:rPr>
        <w:t xml:space="preserve"> linguistic</w:t>
      </w:r>
      <w:r w:rsidR="00CF7507" w:rsidRPr="00CF7507">
        <w:rPr>
          <w:i/>
          <w:lang w:val="en-GB"/>
        </w:rPr>
        <w:t xml:space="preserve"> case</w:t>
      </w:r>
      <w:r w:rsidR="00CF7507">
        <w:rPr>
          <w:lang w:val="en-GB"/>
        </w:rPr>
        <w:t>”</w:t>
      </w:r>
      <w:r w:rsidR="00CF7507" w:rsidRPr="00B124DC">
        <w:rPr>
          <w:lang w:val="en-GB"/>
        </w:rPr>
        <w:t xml:space="preserve"> </w:t>
      </w:r>
      <w:r w:rsidRPr="00B124DC">
        <w:rPr>
          <w:lang w:val="en-GB" w:eastAsia="en-US"/>
        </w:rPr>
        <w:t>(</w:t>
      </w:r>
      <w:r w:rsidR="00CF7507">
        <w:rPr>
          <w:lang w:val="en-GB" w:eastAsia="en-US"/>
        </w:rPr>
        <w:t xml:space="preserve">merits), </w:t>
      </w:r>
      <w:r w:rsidRPr="00B124DC">
        <w:rPr>
          <w:lang w:val="en-GB" w:eastAsia="en-US"/>
        </w:rPr>
        <w:t xml:space="preserve">judgment of 23 July 1968, Series A no. 6, </w:t>
      </w:r>
      <w:r w:rsidR="00CF7507">
        <w:rPr>
          <w:lang w:val="en-GB" w:eastAsia="en-US"/>
        </w:rPr>
        <w:t>p</w:t>
      </w:r>
      <w:r w:rsidRPr="00B124DC">
        <w:rPr>
          <w:lang w:val="en-GB"/>
        </w:rPr>
        <w:t xml:space="preserve">p. </w:t>
      </w:r>
      <w:r w:rsidR="00CF7507">
        <w:rPr>
          <w:lang w:val="en-GB"/>
        </w:rPr>
        <w:t>30-</w:t>
      </w:r>
      <w:r w:rsidRPr="00B124DC">
        <w:rPr>
          <w:lang w:val="en-GB"/>
        </w:rPr>
        <w:t xml:space="preserve">31, § 3), it stated: “The negative formulation indicates, as is confirmed by the </w:t>
      </w:r>
      <w:r w:rsidR="0006350D">
        <w:rPr>
          <w:lang w:val="en-GB"/>
        </w:rPr>
        <w:t>‘</w:t>
      </w:r>
      <w:r w:rsidRPr="00B124DC">
        <w:rPr>
          <w:lang w:val="en-GB"/>
        </w:rPr>
        <w:t>preparatory work</w:t>
      </w:r>
      <w:r w:rsidR="0006350D">
        <w:rPr>
          <w:lang w:val="en-GB"/>
        </w:rPr>
        <w:t>’</w:t>
      </w:r>
      <w:r w:rsidR="00CF7507">
        <w:rPr>
          <w:lang w:val="en-GB"/>
        </w:rPr>
        <w:t xml:space="preserve"> </w:t>
      </w:r>
      <w:r w:rsidRPr="00B124DC">
        <w:rPr>
          <w:lang w:val="en-GB"/>
        </w:rPr>
        <w:t>..., that the Contracting Parties do not recognise such a right to education as would require them to establish at their own expense, or to subsidise, education of any particular type or at any particular level. However, it cannot be concluded from this that the State has no positive obligation to ensure respect for such a r</w:t>
      </w:r>
      <w:r w:rsidR="00932AF2">
        <w:rPr>
          <w:lang w:val="en-GB"/>
        </w:rPr>
        <w:t>ight as is protected by Article </w:t>
      </w:r>
      <w:r w:rsidRPr="00B124DC">
        <w:rPr>
          <w:lang w:val="en-GB"/>
        </w:rPr>
        <w:t xml:space="preserve">2 of the Protocol. As a </w:t>
      </w:r>
      <w:r w:rsidR="0006350D">
        <w:rPr>
          <w:lang w:val="en-GB"/>
        </w:rPr>
        <w:t>‘</w:t>
      </w:r>
      <w:r w:rsidRPr="00B124DC">
        <w:rPr>
          <w:lang w:val="en-GB"/>
        </w:rPr>
        <w:t>right</w:t>
      </w:r>
      <w:r w:rsidR="0006350D">
        <w:rPr>
          <w:lang w:val="en-GB"/>
        </w:rPr>
        <w:t>’</w:t>
      </w:r>
      <w:r w:rsidRPr="00B124DC">
        <w:rPr>
          <w:lang w:val="en-GB"/>
        </w:rPr>
        <w:t xml:space="preserve"> does exist, it i</w:t>
      </w:r>
      <w:r w:rsidR="00932AF2">
        <w:rPr>
          <w:lang w:val="en-GB"/>
        </w:rPr>
        <w:t>s secured, by virtue of Article </w:t>
      </w:r>
      <w:r w:rsidRPr="00B124DC">
        <w:rPr>
          <w:lang w:val="en-GB"/>
        </w:rPr>
        <w:t xml:space="preserve">1 of the Convention, to everyone within the jurisdiction of a </w:t>
      </w:r>
      <w:smartTag w:uri="urn:schemas-microsoft-com:office:smarttags" w:element="place">
        <w:smartTag w:uri="urn:schemas-microsoft-com:office:smarttags" w:element="PlaceName">
          <w:r w:rsidRPr="00B124DC">
            <w:rPr>
              <w:lang w:val="en-GB"/>
            </w:rPr>
            <w:t>Contracting</w:t>
          </w:r>
        </w:smartTag>
        <w:r w:rsidRPr="00B124DC">
          <w:rPr>
            <w:lang w:val="en-GB"/>
          </w:rPr>
          <w:t xml:space="preserve"> </w:t>
        </w:r>
        <w:smartTag w:uri="urn:schemas-microsoft-com:office:smarttags" w:element="PlaceType">
          <w:r w:rsidRPr="00B124DC">
            <w:rPr>
              <w:lang w:val="en-GB"/>
            </w:rPr>
            <w:t>State</w:t>
          </w:r>
        </w:smartTag>
      </w:smartTag>
      <w:r w:rsidR="00CF7507">
        <w:rPr>
          <w:lang w:val="en-GB"/>
        </w:rPr>
        <w:t>.</w:t>
      </w:r>
      <w:r w:rsidRPr="00B124DC">
        <w:rPr>
          <w:lang w:val="en-GB"/>
        </w:rPr>
        <w:t>”</w:t>
      </w:r>
    </w:p>
    <w:p w:rsidR="0098730A" w:rsidRPr="00B124DC" w:rsidRDefault="000B46E1" w:rsidP="000B46E1">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136</w:t>
      </w:r>
      <w:r w:rsidRPr="00B124DC">
        <w:rPr>
          <w:lang w:val="en-GB"/>
        </w:rPr>
        <w:fldChar w:fldCharType="end"/>
      </w:r>
      <w:r w:rsidRPr="00B124DC">
        <w:rPr>
          <w:lang w:val="en-GB"/>
        </w:rPr>
        <w:t xml:space="preserve">.  The Court does not lose sight of the fact that the development of the right to education, </w:t>
      </w:r>
      <w:r w:rsidRPr="00B124DC">
        <w:rPr>
          <w:rFonts w:cs="Courier New"/>
          <w:lang w:val="en-GB"/>
        </w:rPr>
        <w:t xml:space="preserve">whose content varies from one time or place to another according to economic and </w:t>
      </w:r>
      <w:r w:rsidRPr="00B124DC">
        <w:rPr>
          <w:lang w:val="en-GB"/>
        </w:rPr>
        <w:t>social</w:t>
      </w:r>
      <w:r w:rsidRPr="00B124DC">
        <w:rPr>
          <w:rFonts w:cs="Courier New"/>
          <w:lang w:val="en-GB"/>
        </w:rPr>
        <w:t xml:space="preserve"> circumstances</w:t>
      </w:r>
      <w:r w:rsidRPr="00B124DC">
        <w:rPr>
          <w:szCs w:val="24"/>
          <w:lang w:val="en-GB"/>
        </w:rPr>
        <w:t>, mainly depends on the needs and resources of the community</w:t>
      </w:r>
      <w:r w:rsidRPr="00B124DC">
        <w:rPr>
          <w:lang w:val="en-GB"/>
        </w:rPr>
        <w:t>. However, it is of crucial importance that the Convention is interpreted and applied in a manner which renders its rights practical and effective, not theoretical and illusory. Moreover, the Convention is a living instrument which must be interpreted in the light of present-day conditions (</w:t>
      </w:r>
      <w:r w:rsidR="00CF7507">
        <w:rPr>
          <w:lang w:val="en-GB"/>
        </w:rPr>
        <w:t xml:space="preserve">see </w:t>
      </w:r>
      <w:r w:rsidRPr="00B124DC">
        <w:rPr>
          <w:i/>
          <w:lang w:val="en-GB" w:eastAsia="en-US"/>
        </w:rPr>
        <w:t>Marckx v. Belgium</w:t>
      </w:r>
      <w:r w:rsidRPr="00B124DC">
        <w:rPr>
          <w:lang w:val="en-GB" w:eastAsia="en-US"/>
        </w:rPr>
        <w:t>, judgment of 13</w:t>
      </w:r>
      <w:r w:rsidR="00933592" w:rsidRPr="00B124DC">
        <w:rPr>
          <w:lang w:val="en-GB" w:eastAsia="en-US"/>
        </w:rPr>
        <w:t> </w:t>
      </w:r>
      <w:r w:rsidRPr="00B124DC">
        <w:rPr>
          <w:lang w:val="en-GB" w:eastAsia="en-US"/>
        </w:rPr>
        <w:t xml:space="preserve">June 1979, Series A no. 31, </w:t>
      </w:r>
      <w:r w:rsidRPr="00B124DC">
        <w:rPr>
          <w:lang w:val="en-GB"/>
        </w:rPr>
        <w:t xml:space="preserve">p. 19, § 41; </w:t>
      </w:r>
      <w:r w:rsidRPr="00B124DC">
        <w:rPr>
          <w:i/>
          <w:lang w:val="en-GB" w:eastAsia="en-US"/>
        </w:rPr>
        <w:t>Airey v. Ireland</w:t>
      </w:r>
      <w:r w:rsidRPr="00B124DC">
        <w:rPr>
          <w:lang w:val="en-GB" w:eastAsia="en-US"/>
        </w:rPr>
        <w:t>, judgment of 9</w:t>
      </w:r>
      <w:r w:rsidR="00933592" w:rsidRPr="00B124DC">
        <w:rPr>
          <w:lang w:val="en-GB" w:eastAsia="en-US"/>
        </w:rPr>
        <w:t> </w:t>
      </w:r>
      <w:r w:rsidRPr="00B124DC">
        <w:rPr>
          <w:lang w:val="en-GB" w:eastAsia="en-US"/>
        </w:rPr>
        <w:t xml:space="preserve">October 1979, Series A no. 32, pp. 14-15, § 26; </w:t>
      </w:r>
      <w:r w:rsidRPr="00B124DC">
        <w:rPr>
          <w:lang w:val="en-GB"/>
        </w:rPr>
        <w:t>and</w:t>
      </w:r>
      <w:r w:rsidR="00EE215E" w:rsidRPr="00B124DC">
        <w:rPr>
          <w:lang w:val="en-GB"/>
        </w:rPr>
        <w:t>, as</w:t>
      </w:r>
      <w:r w:rsidRPr="00B124DC">
        <w:rPr>
          <w:lang w:val="en-GB"/>
        </w:rPr>
        <w:t xml:space="preserve"> the most recent authority, </w:t>
      </w:r>
      <w:r w:rsidR="00932AF2">
        <w:rPr>
          <w:i/>
          <w:lang w:val="en-GB"/>
        </w:rPr>
        <w:t xml:space="preserve">Mamatkulov and Askarov v. </w:t>
      </w:r>
      <w:r w:rsidRPr="00B124DC">
        <w:rPr>
          <w:i/>
          <w:lang w:val="en-GB"/>
        </w:rPr>
        <w:t xml:space="preserve">Turkey </w:t>
      </w:r>
      <w:r w:rsidRPr="00B124DC">
        <w:rPr>
          <w:lang w:val="en-GB"/>
        </w:rPr>
        <w:t xml:space="preserve">[GC], nos. 46827/99 and </w:t>
      </w:r>
      <w:r w:rsidR="00E7069D">
        <w:rPr>
          <w:lang w:val="en-GB"/>
        </w:rPr>
        <w:t xml:space="preserve">46951/99, § 121, </w:t>
      </w:r>
      <w:r w:rsidR="00CF7507">
        <w:rPr>
          <w:lang w:val="en-GB"/>
        </w:rPr>
        <w:t>ECHR 2005-I</w:t>
      </w:r>
      <w:r w:rsidRPr="00B124DC">
        <w:rPr>
          <w:lang w:val="en-GB"/>
        </w:rPr>
        <w:t xml:space="preserve">). While </w:t>
      </w:r>
      <w:r w:rsidR="00E7069D">
        <w:rPr>
          <w:lang w:val="en-GB"/>
        </w:rPr>
        <w:t>the first sentence of Article</w:t>
      </w:r>
      <w:r w:rsidR="0043110F">
        <w:rPr>
          <w:lang w:val="en-GB"/>
        </w:rPr>
        <w:t xml:space="preserve"> </w:t>
      </w:r>
      <w:r w:rsidRPr="00B124DC">
        <w:rPr>
          <w:lang w:val="en-GB"/>
        </w:rPr>
        <w:t>2 essentially establishes access to primary and secondary education, there is no watertight division separat</w:t>
      </w:r>
      <w:r w:rsidR="00933592" w:rsidRPr="00B124DC">
        <w:rPr>
          <w:lang w:val="en-GB"/>
        </w:rPr>
        <w:t>ing</w:t>
      </w:r>
      <w:r w:rsidRPr="00B124DC">
        <w:rPr>
          <w:lang w:val="en-GB"/>
        </w:rPr>
        <w:t xml:space="preserve"> higher education from other forms of education. In a number of </w:t>
      </w:r>
      <w:r w:rsidR="00933592" w:rsidRPr="00B124DC">
        <w:rPr>
          <w:lang w:val="en-GB"/>
        </w:rPr>
        <w:t xml:space="preserve">recently adopted </w:t>
      </w:r>
      <w:r w:rsidRPr="00B124DC">
        <w:rPr>
          <w:lang w:val="en-GB"/>
        </w:rPr>
        <w:t xml:space="preserve">instruments, the Council of Europe has stressed </w:t>
      </w:r>
      <w:r w:rsidR="00933592" w:rsidRPr="00B124DC">
        <w:rPr>
          <w:lang w:val="en-GB"/>
        </w:rPr>
        <w:t xml:space="preserve">the </w:t>
      </w:r>
      <w:r w:rsidRPr="00B124DC">
        <w:rPr>
          <w:lang w:val="en-GB"/>
        </w:rPr>
        <w:t>key role and importance of higher education in the promotion of human rights and fundamental freedoms and the strengthening of democracy (</w:t>
      </w:r>
      <w:r w:rsidRPr="00B124DC">
        <w:rPr>
          <w:iCs/>
          <w:lang w:val="en-GB"/>
        </w:rPr>
        <w:t xml:space="preserve">see, </w:t>
      </w:r>
      <w:r w:rsidRPr="00B124DC">
        <w:rPr>
          <w:i/>
          <w:iCs/>
          <w:lang w:val="en-GB"/>
        </w:rPr>
        <w:t>inter alia</w:t>
      </w:r>
      <w:r w:rsidRPr="00B124DC">
        <w:rPr>
          <w:iCs/>
          <w:lang w:val="en-GB"/>
        </w:rPr>
        <w:t>, Recommendation</w:t>
      </w:r>
      <w:r w:rsidR="007645C7" w:rsidRPr="00B124DC">
        <w:rPr>
          <w:iCs/>
          <w:lang w:val="en-GB"/>
        </w:rPr>
        <w:t xml:space="preserve"> </w:t>
      </w:r>
      <w:r w:rsidR="00142B1C">
        <w:rPr>
          <w:iCs/>
          <w:lang w:val="en-GB"/>
        </w:rPr>
        <w:t>N</w:t>
      </w:r>
      <w:r w:rsidR="007645C7" w:rsidRPr="00B124DC">
        <w:rPr>
          <w:iCs/>
          <w:lang w:val="en-GB"/>
        </w:rPr>
        <w:t>o.</w:t>
      </w:r>
      <w:r w:rsidRPr="00B124DC">
        <w:rPr>
          <w:iCs/>
          <w:lang w:val="en-GB"/>
        </w:rPr>
        <w:t xml:space="preserve"> R (98) 3 and Recommendation 1353 (1998) – </w:t>
      </w:r>
      <w:r w:rsidR="00EE215E" w:rsidRPr="00B124DC">
        <w:rPr>
          <w:iCs/>
          <w:lang w:val="en-GB"/>
        </w:rPr>
        <w:t>cited</w:t>
      </w:r>
      <w:r w:rsidRPr="00B124DC">
        <w:rPr>
          <w:iCs/>
          <w:lang w:val="en-GB"/>
        </w:rPr>
        <w:t xml:space="preserve"> in paragraphs 68 and 69 above</w:t>
      </w:r>
      <w:r w:rsidRPr="00B124DC">
        <w:rPr>
          <w:lang w:val="en-GB"/>
        </w:rPr>
        <w:t xml:space="preserve">). </w:t>
      </w:r>
      <w:r w:rsidR="006C1368" w:rsidRPr="00B124DC">
        <w:rPr>
          <w:lang w:val="en-GB"/>
        </w:rPr>
        <w:t xml:space="preserve">As </w:t>
      </w:r>
      <w:r w:rsidRPr="00B124DC">
        <w:rPr>
          <w:lang w:val="en-GB"/>
        </w:rPr>
        <w:t>the Convention on the Recognition of Qualifications concerning Higher Education in the European Region (see paragraph 67 above) states, higher education “is instrumental in the pursuit and advancement of knowledge” and “constitutes an exceptionally rich cultural and scientific asset for both individuals and society”.</w:t>
      </w:r>
    </w:p>
    <w:p w:rsidR="0098730A" w:rsidRPr="00B124DC" w:rsidRDefault="000B46E1" w:rsidP="000B46E1">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137</w:t>
      </w:r>
      <w:r w:rsidRPr="00B124DC">
        <w:rPr>
          <w:lang w:val="en-GB"/>
        </w:rPr>
        <w:fldChar w:fldCharType="end"/>
      </w:r>
      <w:r w:rsidRPr="00B124DC">
        <w:rPr>
          <w:lang w:val="en-GB"/>
        </w:rPr>
        <w:t xml:space="preserve">.  Consequently, it would be hard to imagine that institutions </w:t>
      </w:r>
      <w:r w:rsidR="00EE215E" w:rsidRPr="00B124DC">
        <w:rPr>
          <w:lang w:val="en-GB"/>
        </w:rPr>
        <w:t xml:space="preserve">of higher education </w:t>
      </w:r>
      <w:r w:rsidRPr="00B124DC">
        <w:rPr>
          <w:lang w:val="en-GB"/>
        </w:rPr>
        <w:t xml:space="preserve">existing at a given time do not come within the scope of the first sentence of Article 2 of Protocol No 1. Although that Article does not impose a duty on the Contracting States to </w:t>
      </w:r>
      <w:r w:rsidR="001C6629" w:rsidRPr="00B124DC">
        <w:rPr>
          <w:lang w:val="en-GB"/>
        </w:rPr>
        <w:t>set up</w:t>
      </w:r>
      <w:r w:rsidRPr="00B124DC">
        <w:rPr>
          <w:lang w:val="en-GB"/>
        </w:rPr>
        <w:t xml:space="preserve"> institutions</w:t>
      </w:r>
      <w:r w:rsidR="00C464FB" w:rsidRPr="00B124DC">
        <w:rPr>
          <w:lang w:val="en-GB"/>
        </w:rPr>
        <w:t xml:space="preserve"> of higher education</w:t>
      </w:r>
      <w:r w:rsidRPr="00B124DC">
        <w:rPr>
          <w:lang w:val="en-GB"/>
        </w:rPr>
        <w:t>, a</w:t>
      </w:r>
      <w:r w:rsidR="001C6629" w:rsidRPr="00B124DC">
        <w:rPr>
          <w:lang w:val="en-GB"/>
        </w:rPr>
        <w:t>ny</w:t>
      </w:r>
      <w:r w:rsidRPr="00B124DC">
        <w:rPr>
          <w:lang w:val="en-GB"/>
        </w:rPr>
        <w:t xml:space="preserve"> State </w:t>
      </w:r>
      <w:r w:rsidR="007942F0" w:rsidRPr="00B124DC">
        <w:rPr>
          <w:lang w:val="en-GB"/>
        </w:rPr>
        <w:t xml:space="preserve">doing </w:t>
      </w:r>
      <w:r w:rsidR="001C6629" w:rsidRPr="00B124DC">
        <w:rPr>
          <w:lang w:val="en-GB"/>
        </w:rPr>
        <w:t>so will be</w:t>
      </w:r>
      <w:r w:rsidR="0033277A" w:rsidRPr="00B124DC">
        <w:rPr>
          <w:lang w:val="en-GB"/>
        </w:rPr>
        <w:t xml:space="preserve"> under</w:t>
      </w:r>
      <w:r w:rsidRPr="00B124DC">
        <w:rPr>
          <w:lang w:val="en-GB"/>
        </w:rPr>
        <w:t xml:space="preserve"> an obligation to </w:t>
      </w:r>
      <w:r w:rsidR="001C6629" w:rsidRPr="00B124DC">
        <w:rPr>
          <w:lang w:val="en-GB"/>
        </w:rPr>
        <w:t>afford</w:t>
      </w:r>
      <w:r w:rsidRPr="00B124DC">
        <w:rPr>
          <w:lang w:val="en-GB"/>
        </w:rPr>
        <w:t xml:space="preserve"> an effective right of access</w:t>
      </w:r>
      <w:r w:rsidR="001C6629" w:rsidRPr="00B124DC">
        <w:rPr>
          <w:lang w:val="en-GB"/>
        </w:rPr>
        <w:t xml:space="preserve"> to them</w:t>
      </w:r>
      <w:r w:rsidRPr="00B124DC">
        <w:rPr>
          <w:lang w:val="en-GB"/>
        </w:rPr>
        <w:t>. In a democratic society</w:t>
      </w:r>
      <w:r w:rsidR="001C6629" w:rsidRPr="00B124DC">
        <w:rPr>
          <w:lang w:val="en-GB"/>
        </w:rPr>
        <w:t>,</w:t>
      </w:r>
      <w:r w:rsidRPr="00B124DC">
        <w:rPr>
          <w:lang w:val="en-GB"/>
        </w:rPr>
        <w:t xml:space="preserve"> the right to education, which is indispensable to the furtherance of human rights, </w:t>
      </w:r>
      <w:r w:rsidR="001C6629" w:rsidRPr="00B124DC">
        <w:rPr>
          <w:lang w:val="en-GB"/>
        </w:rPr>
        <w:t>plays such a</w:t>
      </w:r>
      <w:r w:rsidRPr="00B124DC">
        <w:rPr>
          <w:lang w:val="en-GB"/>
        </w:rPr>
        <w:t xml:space="preserve"> fundamental </w:t>
      </w:r>
      <w:r w:rsidR="001C6629" w:rsidRPr="00B124DC">
        <w:rPr>
          <w:lang w:val="en-GB"/>
        </w:rPr>
        <w:t xml:space="preserve">role </w:t>
      </w:r>
      <w:r w:rsidRPr="00B124DC">
        <w:rPr>
          <w:lang w:val="en-GB"/>
        </w:rPr>
        <w:t xml:space="preserve">that a restrictive interpretation of the first sentence of Article 2 of Protocol No. 1 would not </w:t>
      </w:r>
      <w:r w:rsidR="001C6629" w:rsidRPr="00B124DC">
        <w:rPr>
          <w:lang w:val="en-GB"/>
        </w:rPr>
        <w:t>be consistent with</w:t>
      </w:r>
      <w:r w:rsidRPr="00B124DC">
        <w:rPr>
          <w:lang w:val="en-GB"/>
        </w:rPr>
        <w:t xml:space="preserve"> the aim </w:t>
      </w:r>
      <w:r w:rsidR="001C6629" w:rsidRPr="00B124DC">
        <w:rPr>
          <w:lang w:val="en-GB"/>
        </w:rPr>
        <w:t>or</w:t>
      </w:r>
      <w:r w:rsidRPr="00B124DC">
        <w:rPr>
          <w:lang w:val="en-GB"/>
        </w:rPr>
        <w:t xml:space="preserve"> purpose of that provision (see, </w:t>
      </w:r>
      <w:r w:rsidRPr="00B124DC">
        <w:rPr>
          <w:i/>
          <w:lang w:val="en-GB"/>
        </w:rPr>
        <w:t>mutatis mutandis</w:t>
      </w:r>
      <w:r w:rsidRPr="00B124DC">
        <w:rPr>
          <w:lang w:val="en-GB"/>
        </w:rPr>
        <w:t xml:space="preserve">, the </w:t>
      </w:r>
      <w:r w:rsidRPr="00B124DC">
        <w:rPr>
          <w:i/>
          <w:lang w:val="en-GB"/>
        </w:rPr>
        <w:t xml:space="preserve">Belgian </w:t>
      </w:r>
      <w:r w:rsidR="00A007BB">
        <w:rPr>
          <w:i/>
          <w:lang w:val="en-GB"/>
        </w:rPr>
        <w:t>l</w:t>
      </w:r>
      <w:r w:rsidRPr="00B124DC">
        <w:rPr>
          <w:i/>
          <w:lang w:val="en-GB"/>
        </w:rPr>
        <w:t>inguistic case</w:t>
      </w:r>
      <w:r w:rsidRPr="00B124DC">
        <w:rPr>
          <w:lang w:val="en-GB"/>
        </w:rPr>
        <w:t xml:space="preserve">, cited above, </w:t>
      </w:r>
      <w:r w:rsidR="00A007BB">
        <w:rPr>
          <w:lang w:val="en-GB"/>
        </w:rPr>
        <w:t>p</w:t>
      </w:r>
      <w:r w:rsidRPr="00B124DC">
        <w:rPr>
          <w:lang w:val="en-GB"/>
        </w:rPr>
        <w:t>p. 33</w:t>
      </w:r>
      <w:r w:rsidR="00A007BB">
        <w:rPr>
          <w:lang w:val="en-GB"/>
        </w:rPr>
        <w:t>-34</w:t>
      </w:r>
      <w:r w:rsidRPr="00B124DC">
        <w:rPr>
          <w:lang w:val="en-GB"/>
        </w:rPr>
        <w:t>, § 9</w:t>
      </w:r>
      <w:r w:rsidR="00A007BB">
        <w:rPr>
          <w:lang w:val="en-GB"/>
        </w:rPr>
        <w:t>,</w:t>
      </w:r>
      <w:r w:rsidRPr="00B124DC">
        <w:rPr>
          <w:lang w:val="en-GB"/>
        </w:rPr>
        <w:t xml:space="preserve"> and </w:t>
      </w:r>
      <w:r w:rsidRPr="00B124DC">
        <w:rPr>
          <w:i/>
          <w:lang w:val="en-GB"/>
        </w:rPr>
        <w:t>Delcourt v. Belgium</w:t>
      </w:r>
      <w:r w:rsidRPr="00B124DC">
        <w:rPr>
          <w:lang w:val="en-GB"/>
        </w:rPr>
        <w:t>, judgment of 17</w:t>
      </w:r>
      <w:r w:rsidR="00EE215E" w:rsidRPr="00B124DC">
        <w:rPr>
          <w:lang w:val="en-GB"/>
        </w:rPr>
        <w:t> </w:t>
      </w:r>
      <w:r w:rsidRPr="00B124DC">
        <w:rPr>
          <w:lang w:val="en-GB"/>
        </w:rPr>
        <w:t xml:space="preserve">January </w:t>
      </w:r>
      <w:r w:rsidR="00E7069D">
        <w:rPr>
          <w:lang w:val="en-GB"/>
        </w:rPr>
        <w:t xml:space="preserve">1970, Series A no. 11, </w:t>
      </w:r>
      <w:r w:rsidR="00A007BB">
        <w:rPr>
          <w:lang w:val="en-GB"/>
        </w:rPr>
        <w:t>pp</w:t>
      </w:r>
      <w:r w:rsidR="00E7069D">
        <w:rPr>
          <w:lang w:val="en-GB"/>
        </w:rPr>
        <w:t>. 1</w:t>
      </w:r>
      <w:r w:rsidR="00A007BB">
        <w:rPr>
          <w:lang w:val="en-GB"/>
        </w:rPr>
        <w:t>3-15</w:t>
      </w:r>
      <w:r w:rsidR="00E7069D">
        <w:rPr>
          <w:lang w:val="en-GB"/>
        </w:rPr>
        <w:t xml:space="preserve">, § </w:t>
      </w:r>
      <w:r w:rsidRPr="00B124DC">
        <w:rPr>
          <w:lang w:val="en-GB"/>
        </w:rPr>
        <w:t>25).</w:t>
      </w:r>
    </w:p>
    <w:p w:rsidR="000B46E1" w:rsidRPr="00B124DC" w:rsidRDefault="000B46E1" w:rsidP="000B46E1">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138</w:t>
      </w:r>
      <w:r w:rsidRPr="00B124DC">
        <w:rPr>
          <w:lang w:val="en-GB"/>
        </w:rPr>
        <w:fldChar w:fldCharType="end"/>
      </w:r>
      <w:r w:rsidRPr="00B124DC">
        <w:rPr>
          <w:lang w:val="en-GB"/>
        </w:rPr>
        <w:t xml:space="preserve">.  This approach is </w:t>
      </w:r>
      <w:r w:rsidR="005B6354" w:rsidRPr="00B124DC">
        <w:rPr>
          <w:lang w:val="en-GB"/>
        </w:rPr>
        <w:t>in line</w:t>
      </w:r>
      <w:r w:rsidRPr="00B124DC">
        <w:rPr>
          <w:lang w:val="en-GB"/>
        </w:rPr>
        <w:t xml:space="preserve"> with the </w:t>
      </w:r>
      <w:r w:rsidR="005B6354" w:rsidRPr="00B124DC">
        <w:rPr>
          <w:lang w:val="en-GB"/>
        </w:rPr>
        <w:t>Commission</w:t>
      </w:r>
      <w:r w:rsidR="0006350D">
        <w:rPr>
          <w:lang w:val="en-GB"/>
        </w:rPr>
        <w:t>’</w:t>
      </w:r>
      <w:r w:rsidR="005B6354" w:rsidRPr="00B124DC">
        <w:rPr>
          <w:lang w:val="en-GB"/>
        </w:rPr>
        <w:t xml:space="preserve">s </w:t>
      </w:r>
      <w:r w:rsidR="009B0E58">
        <w:rPr>
          <w:lang w:val="en-GB"/>
        </w:rPr>
        <w:t>report</w:t>
      </w:r>
      <w:r w:rsidRPr="00B124DC">
        <w:rPr>
          <w:lang w:val="en-GB"/>
        </w:rPr>
        <w:t xml:space="preserve"> in the </w:t>
      </w:r>
      <w:r w:rsidRPr="00B124DC">
        <w:rPr>
          <w:i/>
          <w:lang w:val="en-GB"/>
        </w:rPr>
        <w:t xml:space="preserve">Belgian </w:t>
      </w:r>
      <w:r w:rsidR="00A007BB">
        <w:rPr>
          <w:i/>
          <w:lang w:val="en-GB"/>
        </w:rPr>
        <w:t>l</w:t>
      </w:r>
      <w:r w:rsidRPr="00B124DC">
        <w:rPr>
          <w:i/>
          <w:lang w:val="en-GB"/>
        </w:rPr>
        <w:t>inguistic case</w:t>
      </w:r>
      <w:r w:rsidRPr="00B124DC">
        <w:rPr>
          <w:lang w:val="en-GB"/>
        </w:rPr>
        <w:t xml:space="preserve"> (</w:t>
      </w:r>
      <w:r w:rsidR="00AA385F">
        <w:rPr>
          <w:lang w:val="en-GB"/>
        </w:rPr>
        <w:t xml:space="preserve">judgment </w:t>
      </w:r>
      <w:r w:rsidRPr="00B124DC">
        <w:rPr>
          <w:lang w:val="en-GB"/>
        </w:rPr>
        <w:t xml:space="preserve">cited above, p. 22), in which as far back as 1965 it stated </w:t>
      </w:r>
      <w:r w:rsidR="005B6354" w:rsidRPr="00B124DC">
        <w:rPr>
          <w:lang w:val="en-GB"/>
        </w:rPr>
        <w:t>that</w:t>
      </w:r>
      <w:r w:rsidR="007942F0">
        <w:rPr>
          <w:lang w:val="en-GB"/>
        </w:rPr>
        <w:t>,</w:t>
      </w:r>
      <w:r w:rsidR="005B6354" w:rsidRPr="00B124DC">
        <w:rPr>
          <w:lang w:val="en-GB"/>
        </w:rPr>
        <w:t xml:space="preserve"> although the scope of the right protected by </w:t>
      </w:r>
      <w:r w:rsidRPr="00B124DC">
        <w:rPr>
          <w:lang w:val="en-GB"/>
        </w:rPr>
        <w:t>Article</w:t>
      </w:r>
      <w:r w:rsidR="009F6C5C">
        <w:rPr>
          <w:lang w:val="en-GB"/>
        </w:rPr>
        <w:t xml:space="preserve"> </w:t>
      </w:r>
      <w:r w:rsidRPr="00B124DC">
        <w:rPr>
          <w:lang w:val="en-GB"/>
        </w:rPr>
        <w:t xml:space="preserve">2 of Protocol </w:t>
      </w:r>
      <w:r w:rsidR="005B6354" w:rsidRPr="00B124DC">
        <w:rPr>
          <w:lang w:val="en-GB"/>
        </w:rPr>
        <w:t xml:space="preserve">No. </w:t>
      </w:r>
      <w:r w:rsidRPr="00B124DC">
        <w:rPr>
          <w:lang w:val="en-GB"/>
        </w:rPr>
        <w:t xml:space="preserve">1 </w:t>
      </w:r>
      <w:r w:rsidR="005B6354" w:rsidRPr="00B124DC">
        <w:rPr>
          <w:lang w:val="en-GB"/>
        </w:rPr>
        <w:t xml:space="preserve">was not defined or specified in the </w:t>
      </w:r>
      <w:r w:rsidRPr="00B124DC">
        <w:rPr>
          <w:lang w:val="en-GB"/>
        </w:rPr>
        <w:t xml:space="preserve">Convention, </w:t>
      </w:r>
      <w:r w:rsidR="005B6354" w:rsidRPr="00B124DC">
        <w:rPr>
          <w:lang w:val="en-GB"/>
        </w:rPr>
        <w:t>it included</w:t>
      </w:r>
      <w:r w:rsidRPr="00B124DC">
        <w:rPr>
          <w:lang w:val="en-GB"/>
        </w:rPr>
        <w:t>, “</w:t>
      </w:r>
      <w:r w:rsidR="005B6354" w:rsidRPr="00B124DC">
        <w:rPr>
          <w:lang w:val="en-GB"/>
        </w:rPr>
        <w:t>for the purposes of examining the present case</w:t>
      </w:r>
      <w:r w:rsidRPr="00B124DC">
        <w:rPr>
          <w:lang w:val="en-GB"/>
        </w:rPr>
        <w:t>”, “</w:t>
      </w:r>
      <w:r w:rsidR="005B6354" w:rsidRPr="00B124DC">
        <w:rPr>
          <w:lang w:val="en-GB"/>
        </w:rPr>
        <w:t>entry to nursery, primary, secondary and higher education</w:t>
      </w:r>
      <w:r w:rsidRPr="00B124DC">
        <w:rPr>
          <w:lang w:val="en-GB"/>
        </w:rPr>
        <w:t>”.</w:t>
      </w:r>
    </w:p>
    <w:p w:rsidR="0098730A" w:rsidRPr="00B124DC" w:rsidRDefault="000B46E1" w:rsidP="000B46E1">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139</w:t>
      </w:r>
      <w:r w:rsidRPr="00B124DC">
        <w:rPr>
          <w:lang w:val="en-GB"/>
        </w:rPr>
        <w:fldChar w:fldCharType="end"/>
      </w:r>
      <w:r w:rsidRPr="00B124DC">
        <w:rPr>
          <w:lang w:val="en-GB"/>
        </w:rPr>
        <w:t>.  </w:t>
      </w:r>
      <w:r w:rsidR="002047CA" w:rsidRPr="00B124DC">
        <w:rPr>
          <w:lang w:val="en-GB"/>
        </w:rPr>
        <w:t xml:space="preserve">The </w:t>
      </w:r>
      <w:r w:rsidRPr="00B124DC">
        <w:rPr>
          <w:lang w:val="en-GB"/>
        </w:rPr>
        <w:t xml:space="preserve">Commission </w:t>
      </w:r>
      <w:r w:rsidR="002047CA" w:rsidRPr="00B124DC">
        <w:rPr>
          <w:lang w:val="en-GB"/>
        </w:rPr>
        <w:t xml:space="preserve">subsequently </w:t>
      </w:r>
      <w:r w:rsidRPr="00B124DC">
        <w:rPr>
          <w:lang w:val="en-GB"/>
        </w:rPr>
        <w:t>observed</w:t>
      </w:r>
      <w:r w:rsidR="002047CA" w:rsidRPr="00B124DC">
        <w:rPr>
          <w:lang w:val="en-GB"/>
        </w:rPr>
        <w:t xml:space="preserve"> in a series of decisions</w:t>
      </w:r>
      <w:r w:rsidRPr="00B124DC">
        <w:rPr>
          <w:lang w:val="en-GB"/>
        </w:rPr>
        <w:t>: “[T]he right to education envisaged in Article 2 is concerned primarily with elementary education and not necessarily advanced studies such as technology</w:t>
      </w:r>
      <w:r w:rsidR="002047CA" w:rsidRPr="00B124DC">
        <w:rPr>
          <w:lang w:val="en-GB"/>
        </w:rPr>
        <w:t>”</w:t>
      </w:r>
      <w:r w:rsidRPr="00B124DC">
        <w:rPr>
          <w:lang w:val="en-GB"/>
        </w:rPr>
        <w:t xml:space="preserve"> (</w:t>
      </w:r>
      <w:r w:rsidR="00437068">
        <w:rPr>
          <w:lang w:val="en-GB"/>
        </w:rPr>
        <w:t xml:space="preserve">see </w:t>
      </w:r>
      <w:r w:rsidRPr="00B124DC">
        <w:rPr>
          <w:i/>
          <w:lang w:val="en-GB"/>
        </w:rPr>
        <w:t>X v. the United Kingdom</w:t>
      </w:r>
      <w:r w:rsidRPr="00B124DC">
        <w:rPr>
          <w:lang w:val="en-GB"/>
        </w:rPr>
        <w:t>, no. 5962/72, Commission decision of 13</w:t>
      </w:r>
      <w:r w:rsidR="00437068">
        <w:rPr>
          <w:lang w:val="en-GB"/>
        </w:rPr>
        <w:t xml:space="preserve"> </w:t>
      </w:r>
      <w:r w:rsidRPr="00B124DC">
        <w:rPr>
          <w:lang w:val="en-GB"/>
        </w:rPr>
        <w:t>March 1975, DR 2, p. 50</w:t>
      </w:r>
      <w:r w:rsidR="00437068">
        <w:rPr>
          <w:lang w:val="en-GB"/>
        </w:rPr>
        <w:t>,</w:t>
      </w:r>
      <w:r w:rsidRPr="00B124DC">
        <w:rPr>
          <w:lang w:val="en-GB"/>
        </w:rPr>
        <w:t xml:space="preserve"> and </w:t>
      </w:r>
      <w:r w:rsidRPr="00B124DC">
        <w:rPr>
          <w:i/>
          <w:lang w:val="en-GB"/>
        </w:rPr>
        <w:t>Kramelius v. Sweden</w:t>
      </w:r>
      <w:r w:rsidR="0010193E">
        <w:rPr>
          <w:lang w:val="en-GB"/>
        </w:rPr>
        <w:t>, no. </w:t>
      </w:r>
      <w:r w:rsidRPr="00B124DC">
        <w:rPr>
          <w:lang w:val="en-GB"/>
        </w:rPr>
        <w:t>21062/92, Commission decision of 17 January 1996</w:t>
      </w:r>
      <w:r w:rsidR="00437068">
        <w:rPr>
          <w:lang w:val="en-GB"/>
        </w:rPr>
        <w:t>, unreported</w:t>
      </w:r>
      <w:r w:rsidRPr="00B124DC">
        <w:rPr>
          <w:lang w:val="en-GB"/>
        </w:rPr>
        <w:t>). In more recent cases, leaving the door open to the applicati</w:t>
      </w:r>
      <w:r w:rsidR="0010193E">
        <w:rPr>
          <w:lang w:val="en-GB"/>
        </w:rPr>
        <w:t xml:space="preserve">on of Article 2 of Protocol No. </w:t>
      </w:r>
      <w:r w:rsidRPr="00B124DC">
        <w:rPr>
          <w:lang w:val="en-GB"/>
        </w:rPr>
        <w:t xml:space="preserve">1 to university education, it examined the legitimacy of certain restrictions on access to </w:t>
      </w:r>
      <w:r w:rsidR="001D350D" w:rsidRPr="00B124DC">
        <w:rPr>
          <w:lang w:val="en-GB"/>
        </w:rPr>
        <w:t>institutions of higher education</w:t>
      </w:r>
      <w:r w:rsidRPr="00B124DC">
        <w:rPr>
          <w:lang w:val="en-GB"/>
        </w:rPr>
        <w:t xml:space="preserve"> </w:t>
      </w:r>
      <w:r w:rsidRPr="00B124DC">
        <w:rPr>
          <w:szCs w:val="24"/>
          <w:lang w:val="en-GB"/>
        </w:rPr>
        <w:t xml:space="preserve">(see, with regard to restrictions on access to higher education, </w:t>
      </w:r>
      <w:r w:rsidRPr="00B124DC">
        <w:rPr>
          <w:i/>
          <w:szCs w:val="24"/>
          <w:lang w:val="en-GB"/>
        </w:rPr>
        <w:t>X v.</w:t>
      </w:r>
      <w:r w:rsidR="00932AF2">
        <w:rPr>
          <w:i/>
          <w:szCs w:val="24"/>
          <w:lang w:val="en-GB"/>
        </w:rPr>
        <w:t xml:space="preserve"> </w:t>
      </w:r>
      <w:r w:rsidRPr="00B124DC">
        <w:rPr>
          <w:i/>
          <w:szCs w:val="24"/>
          <w:lang w:val="en-GB"/>
        </w:rPr>
        <w:t>the United Kingdom</w:t>
      </w:r>
      <w:r w:rsidRPr="00B124DC">
        <w:rPr>
          <w:szCs w:val="24"/>
          <w:lang w:val="en-GB"/>
        </w:rPr>
        <w:t>, no.</w:t>
      </w:r>
      <w:r w:rsidR="00437068">
        <w:rPr>
          <w:szCs w:val="24"/>
          <w:lang w:val="en-GB"/>
        </w:rPr>
        <w:t> </w:t>
      </w:r>
      <w:r w:rsidRPr="00B124DC">
        <w:rPr>
          <w:szCs w:val="24"/>
          <w:lang w:val="en-GB"/>
        </w:rPr>
        <w:t>8844/80, Commission decision of 9 December 1980, DR 23, p. 228</w:t>
      </w:r>
      <w:r w:rsidR="00437068">
        <w:rPr>
          <w:szCs w:val="24"/>
          <w:lang w:val="en-GB"/>
        </w:rPr>
        <w:t>;</w:t>
      </w:r>
      <w:r w:rsidRPr="00B124DC">
        <w:rPr>
          <w:szCs w:val="24"/>
          <w:lang w:val="en-GB"/>
        </w:rPr>
        <w:t xml:space="preserve"> and with regard to suspension or expulsion from educational institutions, </w:t>
      </w:r>
      <w:r w:rsidR="00932AF2">
        <w:rPr>
          <w:i/>
          <w:szCs w:val="24"/>
          <w:lang w:val="en-GB"/>
        </w:rPr>
        <w:t xml:space="preserve">Yanasik v. </w:t>
      </w:r>
      <w:r w:rsidRPr="00B124DC">
        <w:rPr>
          <w:i/>
          <w:szCs w:val="24"/>
          <w:lang w:val="en-GB"/>
        </w:rPr>
        <w:t>Turkey</w:t>
      </w:r>
      <w:r w:rsidRPr="00B124DC">
        <w:rPr>
          <w:szCs w:val="24"/>
          <w:lang w:val="en-GB"/>
        </w:rPr>
        <w:t>, no.</w:t>
      </w:r>
      <w:r w:rsidR="00437068">
        <w:rPr>
          <w:szCs w:val="24"/>
          <w:lang w:val="en-GB"/>
        </w:rPr>
        <w:t xml:space="preserve"> </w:t>
      </w:r>
      <w:r w:rsidRPr="00B124DC">
        <w:rPr>
          <w:szCs w:val="24"/>
          <w:lang w:val="en-GB"/>
        </w:rPr>
        <w:t>14524/89, Commission decision of 6 January 1993, DR 74, p. 14</w:t>
      </w:r>
      <w:r w:rsidR="00437068">
        <w:rPr>
          <w:szCs w:val="24"/>
          <w:lang w:val="en-GB"/>
        </w:rPr>
        <w:t>,</w:t>
      </w:r>
      <w:r w:rsidRPr="00B124DC">
        <w:rPr>
          <w:szCs w:val="24"/>
          <w:lang w:val="en-GB"/>
        </w:rPr>
        <w:t xml:space="preserve"> and </w:t>
      </w:r>
      <w:r w:rsidRPr="00B124DC">
        <w:rPr>
          <w:i/>
          <w:szCs w:val="24"/>
          <w:lang w:val="en-GB"/>
        </w:rPr>
        <w:t>Sulak v.</w:t>
      </w:r>
      <w:r w:rsidR="00437068">
        <w:rPr>
          <w:i/>
          <w:szCs w:val="24"/>
          <w:lang w:val="en-GB"/>
        </w:rPr>
        <w:t xml:space="preserve"> </w:t>
      </w:r>
      <w:r w:rsidRPr="00B124DC">
        <w:rPr>
          <w:i/>
          <w:szCs w:val="24"/>
          <w:lang w:val="en-GB"/>
        </w:rPr>
        <w:t>Turkey</w:t>
      </w:r>
      <w:r w:rsidRPr="00B124DC">
        <w:rPr>
          <w:szCs w:val="24"/>
          <w:lang w:val="en-GB"/>
        </w:rPr>
        <w:t>, no.</w:t>
      </w:r>
      <w:r w:rsidR="00437068">
        <w:rPr>
          <w:szCs w:val="24"/>
          <w:lang w:val="en-GB"/>
        </w:rPr>
        <w:t xml:space="preserve"> </w:t>
      </w:r>
      <w:r w:rsidRPr="00B124DC">
        <w:rPr>
          <w:szCs w:val="24"/>
          <w:lang w:val="en-GB"/>
        </w:rPr>
        <w:t>24515/94, Commission decision of 17 January 1996, DR 84</w:t>
      </w:r>
      <w:r w:rsidR="00437068">
        <w:rPr>
          <w:szCs w:val="24"/>
          <w:lang w:val="en-GB"/>
        </w:rPr>
        <w:t>-A</w:t>
      </w:r>
      <w:r w:rsidRPr="00B124DC">
        <w:rPr>
          <w:szCs w:val="24"/>
          <w:lang w:val="en-GB"/>
        </w:rPr>
        <w:t>, p. 98).</w:t>
      </w:r>
    </w:p>
    <w:p w:rsidR="0098730A" w:rsidRPr="00B124DC" w:rsidRDefault="000B46E1" w:rsidP="000B46E1">
      <w:pPr>
        <w:ind w:firstLine="284"/>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140</w:t>
      </w:r>
      <w:r w:rsidRPr="00B124DC">
        <w:rPr>
          <w:lang w:val="en-GB"/>
        </w:rPr>
        <w:fldChar w:fldCharType="end"/>
      </w:r>
      <w:r w:rsidRPr="00B124DC">
        <w:rPr>
          <w:lang w:val="en-GB"/>
        </w:rPr>
        <w:t xml:space="preserve">.  For its part, after the </w:t>
      </w:r>
      <w:r w:rsidRPr="00B124DC">
        <w:rPr>
          <w:i/>
          <w:lang w:val="en-GB"/>
        </w:rPr>
        <w:t xml:space="preserve">Belgian </w:t>
      </w:r>
      <w:r w:rsidR="00437068">
        <w:rPr>
          <w:i/>
          <w:lang w:val="en-GB"/>
        </w:rPr>
        <w:t>l</w:t>
      </w:r>
      <w:r w:rsidRPr="00B124DC">
        <w:rPr>
          <w:i/>
          <w:lang w:val="en-GB"/>
        </w:rPr>
        <w:t>inguistic case</w:t>
      </w:r>
      <w:r w:rsidR="00DA6F51" w:rsidRPr="00B124DC">
        <w:rPr>
          <w:lang w:val="en-GB"/>
        </w:rPr>
        <w:t xml:space="preserve"> the Court </w:t>
      </w:r>
      <w:r w:rsidRPr="00B124DC">
        <w:rPr>
          <w:lang w:val="en-GB"/>
        </w:rPr>
        <w:t xml:space="preserve">declared a series of cases on higher education inadmissible, not because the first sentence of Article 2 of Protocol No. 1 was inapplicable, but on other grounds (complaint of a disabled person who did not satisfy </w:t>
      </w:r>
      <w:r w:rsidR="00DA6F51" w:rsidRPr="00B124DC">
        <w:rPr>
          <w:lang w:val="en-GB"/>
        </w:rPr>
        <w:t>a</w:t>
      </w:r>
      <w:r w:rsidRPr="00B124DC">
        <w:rPr>
          <w:lang w:val="en-GB"/>
        </w:rPr>
        <w:t xml:space="preserve"> university</w:t>
      </w:r>
      <w:r w:rsidR="0006350D">
        <w:rPr>
          <w:lang w:val="en-GB"/>
        </w:rPr>
        <w:t>’</w:t>
      </w:r>
      <w:r w:rsidRPr="00B124DC">
        <w:rPr>
          <w:lang w:val="en-GB"/>
        </w:rPr>
        <w:t xml:space="preserve">s entrance requirements, </w:t>
      </w:r>
      <w:r w:rsidRPr="00B124DC">
        <w:rPr>
          <w:i/>
          <w:lang w:val="en-GB"/>
        </w:rPr>
        <w:t>Lukach v. Russia</w:t>
      </w:r>
      <w:r w:rsidR="00932AF2">
        <w:rPr>
          <w:lang w:val="en-GB"/>
        </w:rPr>
        <w:t xml:space="preserve"> (dec.), no. 48041/99, 16 </w:t>
      </w:r>
      <w:r w:rsidRPr="00B124DC">
        <w:rPr>
          <w:lang w:val="en-GB"/>
        </w:rPr>
        <w:t xml:space="preserve">November 1999; refusal of permission to an applicant in custody to prepare for and sit a final university examination for a legal diploma, </w:t>
      </w:r>
      <w:r w:rsidRPr="00B124DC">
        <w:rPr>
          <w:i/>
          <w:lang w:val="en-GB"/>
        </w:rPr>
        <w:t>Georgiou v. Greece</w:t>
      </w:r>
      <w:r w:rsidRPr="00B124DC">
        <w:rPr>
          <w:lang w:val="en-GB"/>
        </w:rPr>
        <w:t xml:space="preserve"> (dec.), no.</w:t>
      </w:r>
      <w:r w:rsidR="00DA6F51" w:rsidRPr="00932AF2">
        <w:rPr>
          <w:lang w:val="en-GB"/>
        </w:rPr>
        <w:t xml:space="preserve"> </w:t>
      </w:r>
      <w:r w:rsidRPr="00B124DC">
        <w:rPr>
          <w:lang w:val="en-GB"/>
        </w:rPr>
        <w:t xml:space="preserve">45138/98, 13 January 2000; </w:t>
      </w:r>
      <w:r w:rsidR="00DA6F51" w:rsidRPr="00B124DC">
        <w:rPr>
          <w:lang w:val="en-GB"/>
        </w:rPr>
        <w:t xml:space="preserve">interruption of </w:t>
      </w:r>
      <w:r w:rsidRPr="00B124DC">
        <w:rPr>
          <w:lang w:val="en-GB"/>
        </w:rPr>
        <w:t xml:space="preserve">advanced studies by a valid conviction and sentence, </w:t>
      </w:r>
      <w:r w:rsidRPr="00B124DC">
        <w:rPr>
          <w:i/>
          <w:lang w:val="en-GB"/>
        </w:rPr>
        <w:t>Durmaz and Others v. Turkey</w:t>
      </w:r>
      <w:r w:rsidRPr="00B124DC">
        <w:rPr>
          <w:lang w:val="en-GB"/>
        </w:rPr>
        <w:t xml:space="preserve"> (dec.), no</w:t>
      </w:r>
      <w:r w:rsidR="00437068">
        <w:rPr>
          <w:lang w:val="en-GB"/>
        </w:rPr>
        <w:t>s</w:t>
      </w:r>
      <w:r w:rsidRPr="00B124DC">
        <w:rPr>
          <w:lang w:val="en-GB"/>
        </w:rPr>
        <w:t>.</w:t>
      </w:r>
      <w:r w:rsidR="00EE215E" w:rsidRPr="00932AF2">
        <w:rPr>
          <w:lang w:val="en-GB"/>
        </w:rPr>
        <w:t> </w:t>
      </w:r>
      <w:r w:rsidRPr="00B124DC">
        <w:rPr>
          <w:lang w:val="en-GB"/>
        </w:rPr>
        <w:t xml:space="preserve">46506/99, </w:t>
      </w:r>
      <w:r w:rsidR="00437068">
        <w:rPr>
          <w:lang w:val="en-GB"/>
        </w:rPr>
        <w:t xml:space="preserve">46569/99, 46570/99 and 46939/99, </w:t>
      </w:r>
      <w:r w:rsidRPr="00B124DC">
        <w:rPr>
          <w:lang w:val="en-GB"/>
        </w:rPr>
        <w:t>4 September 2001).</w:t>
      </w:r>
    </w:p>
    <w:p w:rsidR="000B46E1" w:rsidRPr="00B124DC" w:rsidRDefault="000B46E1" w:rsidP="000B46E1">
      <w:pPr>
        <w:ind w:firstLine="284"/>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141</w:t>
      </w:r>
      <w:r w:rsidRPr="00B124DC">
        <w:rPr>
          <w:lang w:val="en-GB"/>
        </w:rPr>
        <w:fldChar w:fldCharType="end"/>
      </w:r>
      <w:r w:rsidRPr="00B124DC">
        <w:rPr>
          <w:lang w:val="en-GB"/>
        </w:rPr>
        <w:t xml:space="preserve">.  In the light of all the foregoing considerations, it is clear that </w:t>
      </w:r>
      <w:r w:rsidR="00F17885" w:rsidRPr="00B124DC">
        <w:rPr>
          <w:lang w:val="en-GB"/>
        </w:rPr>
        <w:t xml:space="preserve">any </w:t>
      </w:r>
      <w:r w:rsidRPr="00B124DC">
        <w:rPr>
          <w:lang w:val="en-GB"/>
        </w:rPr>
        <w:t>institut</w:t>
      </w:r>
      <w:r w:rsidR="00EE215E" w:rsidRPr="00B124DC">
        <w:rPr>
          <w:lang w:val="en-GB"/>
        </w:rPr>
        <w:t>ions</w:t>
      </w:r>
      <w:r w:rsidRPr="00B124DC">
        <w:rPr>
          <w:lang w:val="en-GB"/>
        </w:rPr>
        <w:t xml:space="preserve"> of higher education</w:t>
      </w:r>
      <w:r w:rsidR="00F17885" w:rsidRPr="00B124DC">
        <w:rPr>
          <w:lang w:val="en-GB"/>
        </w:rPr>
        <w:t xml:space="preserve"> </w:t>
      </w:r>
      <w:r w:rsidRPr="00B124DC">
        <w:rPr>
          <w:lang w:val="en-GB"/>
        </w:rPr>
        <w:t>exist</w:t>
      </w:r>
      <w:r w:rsidR="00261FF7" w:rsidRPr="00B124DC">
        <w:rPr>
          <w:lang w:val="en-GB"/>
        </w:rPr>
        <w:t>ing at a given time</w:t>
      </w:r>
      <w:r w:rsidRPr="00B124DC">
        <w:rPr>
          <w:lang w:val="en-GB"/>
        </w:rPr>
        <w:t xml:space="preserve"> come within the scope of the first sentence of Article 2 of Protocol No.</w:t>
      </w:r>
      <w:r w:rsidR="006676E3" w:rsidRPr="00B124DC">
        <w:rPr>
          <w:lang w:val="en-GB"/>
        </w:rPr>
        <w:t xml:space="preserve"> </w:t>
      </w:r>
      <w:r w:rsidRPr="00B124DC">
        <w:rPr>
          <w:lang w:val="en-GB"/>
        </w:rPr>
        <w:t>1, since the right of access to such institutions is an inherent part of the right set out in that provision. This is not an extensive interpretation forcing new obligations on the Contracting States: it is based on the very terms of the first sentence of Article</w:t>
      </w:r>
      <w:r w:rsidR="00932AF2">
        <w:rPr>
          <w:lang w:val="en-GB"/>
        </w:rPr>
        <w:t> </w:t>
      </w:r>
      <w:r w:rsidRPr="00B124DC">
        <w:rPr>
          <w:lang w:val="en-GB"/>
        </w:rPr>
        <w:t>2 of Protocol No.</w:t>
      </w:r>
      <w:r w:rsidR="008926DA" w:rsidRPr="00B124DC">
        <w:rPr>
          <w:lang w:val="en-GB"/>
        </w:rPr>
        <w:t xml:space="preserve"> </w:t>
      </w:r>
      <w:r w:rsidRPr="00B124DC">
        <w:rPr>
          <w:lang w:val="en-GB"/>
        </w:rPr>
        <w:t>1 read in its context and having regard to the object and purpose of the Convention, a law</w:t>
      </w:r>
      <w:r w:rsidR="00437068">
        <w:rPr>
          <w:lang w:val="en-GB"/>
        </w:rPr>
        <w:t>-</w:t>
      </w:r>
      <w:r w:rsidRPr="00B124DC">
        <w:rPr>
          <w:lang w:val="en-GB"/>
        </w:rPr>
        <w:t xml:space="preserve">making treaty (see, </w:t>
      </w:r>
      <w:r w:rsidRPr="00B124DC">
        <w:rPr>
          <w:i/>
          <w:lang w:val="en-GB"/>
        </w:rPr>
        <w:t>mutatis mutandis</w:t>
      </w:r>
      <w:r w:rsidRPr="00B124DC">
        <w:rPr>
          <w:lang w:val="en-GB"/>
        </w:rPr>
        <w:t xml:space="preserve">, </w:t>
      </w:r>
      <w:r w:rsidRPr="00B124DC">
        <w:rPr>
          <w:i/>
          <w:lang w:val="en-GB"/>
        </w:rPr>
        <w:t>Golder v. the United Kingdom</w:t>
      </w:r>
      <w:r w:rsidRPr="00B124DC">
        <w:rPr>
          <w:lang w:val="en-GB"/>
        </w:rPr>
        <w:t>, judgm</w:t>
      </w:r>
      <w:r w:rsidR="00E7069D">
        <w:rPr>
          <w:lang w:val="en-GB"/>
        </w:rPr>
        <w:t>ent of 21 February 1975, Series </w:t>
      </w:r>
      <w:r w:rsidRPr="00B124DC">
        <w:rPr>
          <w:lang w:val="en-GB"/>
        </w:rPr>
        <w:t>A no. 18, p. 18, § 36).</w:t>
      </w:r>
    </w:p>
    <w:p w:rsidR="000B46E1" w:rsidRPr="00B124DC" w:rsidRDefault="000B46E1" w:rsidP="000B46E1">
      <w:pPr>
        <w:ind w:firstLine="284"/>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142</w:t>
      </w:r>
      <w:r w:rsidRPr="00B124DC">
        <w:rPr>
          <w:lang w:val="en-GB"/>
        </w:rPr>
        <w:fldChar w:fldCharType="end"/>
      </w:r>
      <w:r w:rsidRPr="00B124DC">
        <w:rPr>
          <w:lang w:val="en-GB"/>
        </w:rPr>
        <w:t>.   Consequently, the first sentence of Article 2 of Protocol No.</w:t>
      </w:r>
      <w:r w:rsidR="005E2247">
        <w:rPr>
          <w:lang w:val="en-GB"/>
        </w:rPr>
        <w:t xml:space="preserve"> </w:t>
      </w:r>
      <w:r w:rsidRPr="00B124DC">
        <w:rPr>
          <w:lang w:val="en-GB"/>
        </w:rPr>
        <w:t>1 is applicable in the instant case. The manner in which it is applied will, however, obviously depend on the speci</w:t>
      </w:r>
      <w:r w:rsidR="00F17885" w:rsidRPr="00B124DC">
        <w:rPr>
          <w:lang w:val="en-GB"/>
        </w:rPr>
        <w:t>al features</w:t>
      </w:r>
      <w:r w:rsidRPr="00B124DC">
        <w:rPr>
          <w:lang w:val="en-GB"/>
        </w:rPr>
        <w:t xml:space="preserve"> of the right to education.</w:t>
      </w:r>
    </w:p>
    <w:p w:rsidR="000B46E1" w:rsidRPr="00B124DC" w:rsidRDefault="00F8189A" w:rsidP="0010193E">
      <w:pPr>
        <w:pStyle w:val="JuHA"/>
        <w:keepNext/>
        <w:rPr>
          <w:lang w:val="en-GB"/>
        </w:rPr>
      </w:pPr>
      <w:r w:rsidRPr="00B124DC">
        <w:rPr>
          <w:lang w:val="en-GB"/>
        </w:rPr>
        <w:t>C</w:t>
      </w:r>
      <w:r w:rsidR="000B46E1" w:rsidRPr="00B124DC">
        <w:rPr>
          <w:lang w:val="en-GB"/>
        </w:rPr>
        <w:t>.  Merits</w:t>
      </w:r>
    </w:p>
    <w:p w:rsidR="000B46E1" w:rsidRPr="00B124DC" w:rsidRDefault="00F8189A" w:rsidP="0010193E">
      <w:pPr>
        <w:pStyle w:val="JuH1"/>
        <w:keepNext/>
        <w:rPr>
          <w:lang w:val="en-GB"/>
        </w:rPr>
      </w:pPr>
      <w:r w:rsidRPr="00B124DC">
        <w:rPr>
          <w:lang w:val="en-GB"/>
        </w:rPr>
        <w:t>1</w:t>
      </w:r>
      <w:r w:rsidR="00932AF2">
        <w:rPr>
          <w:lang w:val="en-GB"/>
        </w:rPr>
        <w:t>.</w:t>
      </w:r>
      <w:r w:rsidR="000B46E1" w:rsidRPr="00B124DC">
        <w:rPr>
          <w:lang w:val="en-GB"/>
        </w:rPr>
        <w:t>  The parties</w:t>
      </w:r>
      <w:r w:rsidR="0006350D">
        <w:rPr>
          <w:lang w:val="en-GB"/>
        </w:rPr>
        <w:t>’</w:t>
      </w:r>
      <w:r w:rsidR="000B46E1" w:rsidRPr="00B124DC">
        <w:rPr>
          <w:lang w:val="en-GB"/>
        </w:rPr>
        <w:t xml:space="preserve"> submissions </w:t>
      </w:r>
      <w:r w:rsidR="000C48A0">
        <w:rPr>
          <w:lang w:val="en-GB"/>
        </w:rPr>
        <w:t>to</w:t>
      </w:r>
      <w:r w:rsidR="000B46E1" w:rsidRPr="00B124DC">
        <w:rPr>
          <w:lang w:val="en-GB"/>
        </w:rPr>
        <w:t xml:space="preserve"> the Grand Chamber</w:t>
      </w:r>
    </w:p>
    <w:p w:rsidR="000B46E1" w:rsidRPr="00B124DC" w:rsidRDefault="00F8189A" w:rsidP="0010193E">
      <w:pPr>
        <w:pStyle w:val="JuHa0"/>
        <w:keepNext/>
        <w:rPr>
          <w:lang w:val="en-GB"/>
        </w:rPr>
      </w:pPr>
      <w:r w:rsidRPr="00B124DC">
        <w:rPr>
          <w:lang w:val="en-GB"/>
        </w:rPr>
        <w:t>(a</w:t>
      </w:r>
      <w:r w:rsidR="000B46E1" w:rsidRPr="00B124DC">
        <w:rPr>
          <w:lang w:val="en-GB"/>
        </w:rPr>
        <w:t>)  The applicant</w:t>
      </w:r>
    </w:p>
    <w:p w:rsidR="0098730A" w:rsidRPr="00B124DC" w:rsidRDefault="000B46E1" w:rsidP="000B46E1">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143</w:t>
      </w:r>
      <w:r w:rsidRPr="00B124DC">
        <w:rPr>
          <w:lang w:val="en-GB"/>
        </w:rPr>
        <w:fldChar w:fldCharType="end"/>
      </w:r>
      <w:r w:rsidRPr="00B124DC">
        <w:rPr>
          <w:lang w:val="en-GB"/>
        </w:rPr>
        <w:t>.  The applicant submitted that the ban imposed by the public authorities o</w:t>
      </w:r>
      <w:r w:rsidR="00944289" w:rsidRPr="00B124DC">
        <w:rPr>
          <w:lang w:val="en-GB"/>
        </w:rPr>
        <w:t>n</w:t>
      </w:r>
      <w:r w:rsidRPr="00B124DC">
        <w:rPr>
          <w:lang w:val="en-GB"/>
        </w:rPr>
        <w:t xml:space="preserve"> wearing the Islamic headscarf clearly constituted interference with her right to education, which had </w:t>
      </w:r>
      <w:r w:rsidR="00944289" w:rsidRPr="00B124DC">
        <w:rPr>
          <w:lang w:val="en-GB"/>
        </w:rPr>
        <w:t>resulted in her</w:t>
      </w:r>
      <w:r w:rsidRPr="00B124DC">
        <w:rPr>
          <w:lang w:val="en-GB"/>
        </w:rPr>
        <w:t xml:space="preserve"> being refused access to oncology examinations on 12 March 1998, </w:t>
      </w:r>
      <w:r w:rsidR="00944289" w:rsidRPr="00B124DC">
        <w:rPr>
          <w:lang w:val="en-GB"/>
        </w:rPr>
        <w:t>prevented from</w:t>
      </w:r>
      <w:r w:rsidRPr="00B124DC">
        <w:rPr>
          <w:lang w:val="en-GB"/>
        </w:rPr>
        <w:t xml:space="preserve"> </w:t>
      </w:r>
      <w:r w:rsidR="005E5695" w:rsidRPr="00B124DC">
        <w:rPr>
          <w:lang w:val="en-GB"/>
        </w:rPr>
        <w:t>enrol</w:t>
      </w:r>
      <w:r w:rsidR="00944289" w:rsidRPr="00B124DC">
        <w:rPr>
          <w:lang w:val="en-GB"/>
        </w:rPr>
        <w:t>ling</w:t>
      </w:r>
      <w:r w:rsidRPr="00B124DC">
        <w:rPr>
          <w:lang w:val="en-GB"/>
        </w:rPr>
        <w:t xml:space="preserve"> with the university</w:t>
      </w:r>
      <w:r w:rsidR="0006350D">
        <w:rPr>
          <w:lang w:val="en-GB"/>
        </w:rPr>
        <w:t>’</w:t>
      </w:r>
      <w:r w:rsidRPr="00B124DC">
        <w:rPr>
          <w:lang w:val="en-GB"/>
        </w:rPr>
        <w:t>s administrative department on 20 March 1998</w:t>
      </w:r>
      <w:r w:rsidR="007942F0">
        <w:rPr>
          <w:lang w:val="en-GB"/>
        </w:rPr>
        <w:t>,</w:t>
      </w:r>
      <w:r w:rsidRPr="00B124DC">
        <w:rPr>
          <w:lang w:val="en-GB"/>
        </w:rPr>
        <w:t xml:space="preserve"> and </w:t>
      </w:r>
      <w:r w:rsidR="00944289" w:rsidRPr="00B124DC">
        <w:rPr>
          <w:lang w:val="en-GB"/>
        </w:rPr>
        <w:t xml:space="preserve">refused </w:t>
      </w:r>
      <w:r w:rsidRPr="00B124DC">
        <w:rPr>
          <w:lang w:val="en-GB"/>
        </w:rPr>
        <w:t xml:space="preserve">access to </w:t>
      </w:r>
      <w:r w:rsidR="00944289" w:rsidRPr="00B124DC">
        <w:rPr>
          <w:lang w:val="en-GB"/>
        </w:rPr>
        <w:t xml:space="preserve">a </w:t>
      </w:r>
      <w:r w:rsidRPr="00B124DC">
        <w:rPr>
          <w:lang w:val="en-GB"/>
        </w:rPr>
        <w:t>lecture on neurology on 16</w:t>
      </w:r>
      <w:r w:rsidR="000978EF" w:rsidRPr="00B124DC">
        <w:rPr>
          <w:lang w:val="en-GB"/>
        </w:rPr>
        <w:t xml:space="preserve"> </w:t>
      </w:r>
      <w:r w:rsidRPr="00B124DC">
        <w:rPr>
          <w:lang w:val="en-GB"/>
        </w:rPr>
        <w:t xml:space="preserve">April 1998 and </w:t>
      </w:r>
      <w:r w:rsidR="00944289" w:rsidRPr="00B124DC">
        <w:rPr>
          <w:lang w:val="en-GB"/>
        </w:rPr>
        <w:t>a</w:t>
      </w:r>
      <w:r w:rsidR="003426AF" w:rsidRPr="00B124DC">
        <w:rPr>
          <w:lang w:val="en-GB"/>
        </w:rPr>
        <w:t xml:space="preserve"> written</w:t>
      </w:r>
      <w:r w:rsidR="00944289" w:rsidRPr="00B124DC">
        <w:rPr>
          <w:lang w:val="en-GB"/>
        </w:rPr>
        <w:t xml:space="preserve"> examination </w:t>
      </w:r>
      <w:r w:rsidRPr="00B124DC">
        <w:rPr>
          <w:lang w:val="en-GB"/>
        </w:rPr>
        <w:t>on public health on 10</w:t>
      </w:r>
      <w:r w:rsidR="000978EF" w:rsidRPr="00B124DC">
        <w:rPr>
          <w:lang w:val="en-GB"/>
        </w:rPr>
        <w:t xml:space="preserve"> </w:t>
      </w:r>
      <w:r w:rsidRPr="00B124DC">
        <w:rPr>
          <w:lang w:val="en-GB"/>
        </w:rPr>
        <w:t>June 1998.</w:t>
      </w:r>
    </w:p>
    <w:p w:rsidR="0098730A" w:rsidRPr="00B124DC" w:rsidRDefault="00DD22A7" w:rsidP="00EC2EE3">
      <w:pPr>
        <w:pStyle w:val="JuPara"/>
        <w:rPr>
          <w:snapToGrid w:val="0"/>
          <w:lang w:val="en-GB" w:eastAsia="en-US"/>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144</w:t>
      </w:r>
      <w:r w:rsidRPr="00B124DC">
        <w:rPr>
          <w:lang w:val="en-GB"/>
        </w:rPr>
        <w:fldChar w:fldCharType="end"/>
      </w:r>
      <w:r w:rsidRPr="00B124DC">
        <w:rPr>
          <w:lang w:val="en-GB"/>
        </w:rPr>
        <w:t>.  She accepted that, by its nature, the right to education had to be regulated by the State. In</w:t>
      </w:r>
      <w:r w:rsidR="00E31CBE" w:rsidRPr="00B124DC">
        <w:rPr>
          <w:lang w:val="en-GB"/>
        </w:rPr>
        <w:t xml:space="preserve"> h</w:t>
      </w:r>
      <w:r w:rsidRPr="00B124DC">
        <w:rPr>
          <w:lang w:val="en-GB"/>
        </w:rPr>
        <w:t>er</w:t>
      </w:r>
      <w:r w:rsidR="00E31CBE" w:rsidRPr="00B124DC">
        <w:rPr>
          <w:lang w:val="en-GB"/>
        </w:rPr>
        <w:t xml:space="preserve"> </w:t>
      </w:r>
      <w:r w:rsidRPr="00B124DC">
        <w:rPr>
          <w:lang w:val="en-GB"/>
        </w:rPr>
        <w:t xml:space="preserve">view, </w:t>
      </w:r>
      <w:r w:rsidR="00E31CBE" w:rsidRPr="00B124DC">
        <w:rPr>
          <w:lang w:val="en-GB"/>
        </w:rPr>
        <w:t xml:space="preserve">the criteria to be used in </w:t>
      </w:r>
      <w:r w:rsidRPr="00B124DC">
        <w:rPr>
          <w:lang w:val="en-GB"/>
        </w:rPr>
        <w:t xml:space="preserve">the regulations </w:t>
      </w:r>
      <w:r w:rsidR="00E31CBE" w:rsidRPr="00B124DC">
        <w:rPr>
          <w:lang w:val="en-GB"/>
        </w:rPr>
        <w:t xml:space="preserve">should be the same </w:t>
      </w:r>
      <w:r w:rsidRPr="00B124DC">
        <w:rPr>
          <w:lang w:val="en-GB"/>
        </w:rPr>
        <w:t xml:space="preserve">as those </w:t>
      </w:r>
      <w:r w:rsidR="00E31CBE" w:rsidRPr="00B124DC">
        <w:rPr>
          <w:lang w:val="en-GB"/>
        </w:rPr>
        <w:t>applicable</w:t>
      </w:r>
      <w:r w:rsidRPr="00B124DC">
        <w:rPr>
          <w:lang w:val="en-GB"/>
        </w:rPr>
        <w:t xml:space="preserve"> to </w:t>
      </w:r>
      <w:r w:rsidR="00E31CBE" w:rsidRPr="00B124DC">
        <w:rPr>
          <w:lang w:val="en-GB"/>
        </w:rPr>
        <w:t xml:space="preserve">permitted </w:t>
      </w:r>
      <w:r w:rsidRPr="00B124DC">
        <w:rPr>
          <w:lang w:val="en-GB"/>
        </w:rPr>
        <w:t xml:space="preserve">interference </w:t>
      </w:r>
      <w:r w:rsidR="00E31CBE" w:rsidRPr="00B124DC">
        <w:rPr>
          <w:lang w:val="en-GB"/>
        </w:rPr>
        <w:t>under</w:t>
      </w:r>
      <w:r w:rsidR="00E7069D">
        <w:rPr>
          <w:lang w:val="en-GB"/>
        </w:rPr>
        <w:t xml:space="preserve"> Articles </w:t>
      </w:r>
      <w:r w:rsidRPr="00B124DC">
        <w:rPr>
          <w:lang w:val="en-GB"/>
        </w:rPr>
        <w:t>8 to 11 of the Convention</w:t>
      </w:r>
      <w:r w:rsidRPr="00B124DC">
        <w:rPr>
          <w:snapToGrid w:val="0"/>
          <w:lang w:val="en-GB" w:eastAsia="en-US"/>
        </w:rPr>
        <w:t xml:space="preserve">. In that connection, she pointed to the lack of any provision in Turkish domestic law preventing the pursuit of higher education and said that </w:t>
      </w:r>
      <w:r w:rsidR="00B6274C" w:rsidRPr="00B124DC">
        <w:rPr>
          <w:snapToGrid w:val="0"/>
          <w:lang w:val="en-GB" w:eastAsia="en-US"/>
        </w:rPr>
        <w:t>the vice-chancellor</w:t>
      </w:r>
      <w:r w:rsidR="0006350D">
        <w:rPr>
          <w:snapToGrid w:val="0"/>
          <w:lang w:val="en-GB" w:eastAsia="en-US"/>
        </w:rPr>
        <w:t>’</w:t>
      </w:r>
      <w:r w:rsidR="00B6274C" w:rsidRPr="00B124DC">
        <w:rPr>
          <w:snapToGrid w:val="0"/>
          <w:lang w:val="en-GB" w:eastAsia="en-US"/>
        </w:rPr>
        <w:t xml:space="preserve">s offices had no authority or power </w:t>
      </w:r>
      <w:r w:rsidRPr="00B124DC">
        <w:rPr>
          <w:snapToGrid w:val="0"/>
          <w:lang w:val="en-GB" w:eastAsia="en-US"/>
        </w:rPr>
        <w:t>under the laws in force to refuse students wearing the headscarf access to university.</w:t>
      </w:r>
    </w:p>
    <w:p w:rsidR="0098730A" w:rsidRPr="00B124DC" w:rsidRDefault="00DD22A7" w:rsidP="00EC2EE3">
      <w:pPr>
        <w:pStyle w:val="JuPara"/>
        <w:rPr>
          <w:snapToGrid w:val="0"/>
          <w:lang w:val="en-GB" w:eastAsia="en-US"/>
        </w:rPr>
      </w:pPr>
      <w:r w:rsidRPr="00B124DC">
        <w:rPr>
          <w:snapToGrid w:val="0"/>
          <w:lang w:val="en-GB" w:eastAsia="en-US"/>
        </w:rPr>
        <w:fldChar w:fldCharType="begin"/>
      </w:r>
      <w:r w:rsidRPr="00B124DC">
        <w:rPr>
          <w:snapToGrid w:val="0"/>
          <w:lang w:val="en-GB" w:eastAsia="en-US"/>
        </w:rPr>
        <w:instrText xml:space="preserve"> SEQ level0 \*arabic </w:instrText>
      </w:r>
      <w:r w:rsidRPr="00B124DC">
        <w:rPr>
          <w:snapToGrid w:val="0"/>
          <w:lang w:val="en-GB" w:eastAsia="en-US"/>
        </w:rPr>
        <w:fldChar w:fldCharType="separate"/>
      </w:r>
      <w:r w:rsidR="00EA52D1">
        <w:rPr>
          <w:noProof/>
          <w:snapToGrid w:val="0"/>
          <w:lang w:val="en-GB" w:eastAsia="en-US"/>
        </w:rPr>
        <w:t>145</w:t>
      </w:r>
      <w:r w:rsidRPr="00B124DC">
        <w:rPr>
          <w:snapToGrid w:val="0"/>
          <w:lang w:val="en-GB" w:eastAsia="en-US"/>
        </w:rPr>
        <w:fldChar w:fldCharType="end"/>
      </w:r>
      <w:r w:rsidRPr="00B124DC">
        <w:rPr>
          <w:snapToGrid w:val="0"/>
          <w:lang w:val="en-GB" w:eastAsia="en-US"/>
        </w:rPr>
        <w:t xml:space="preserve">.  The applicant said that </w:t>
      </w:r>
      <w:r w:rsidR="000854E5" w:rsidRPr="00B124DC">
        <w:rPr>
          <w:snapToGrid w:val="0"/>
          <w:lang w:val="en-GB" w:eastAsia="en-US"/>
        </w:rPr>
        <w:t xml:space="preserve">despite wearing the headscarf </w:t>
      </w:r>
      <w:r w:rsidRPr="00B124DC">
        <w:rPr>
          <w:snapToGrid w:val="0"/>
          <w:lang w:val="en-GB" w:eastAsia="en-US"/>
        </w:rPr>
        <w:t xml:space="preserve">she had been able to </w:t>
      </w:r>
      <w:r w:rsidR="005E5695" w:rsidRPr="00B124DC">
        <w:rPr>
          <w:snapToGrid w:val="0"/>
          <w:lang w:val="en-GB" w:eastAsia="en-US"/>
        </w:rPr>
        <w:t>enrol</w:t>
      </w:r>
      <w:r w:rsidRPr="00B124DC">
        <w:rPr>
          <w:snapToGrid w:val="0"/>
          <w:lang w:val="en-GB" w:eastAsia="en-US"/>
        </w:rPr>
        <w:t xml:space="preserve"> at the university and pursue her studies </w:t>
      </w:r>
      <w:r w:rsidR="000854E5" w:rsidRPr="00B124DC">
        <w:rPr>
          <w:snapToGrid w:val="0"/>
          <w:lang w:val="en-GB" w:eastAsia="en-US"/>
        </w:rPr>
        <w:t xml:space="preserve">there </w:t>
      </w:r>
      <w:r w:rsidRPr="00B124DC">
        <w:rPr>
          <w:snapToGrid w:val="0"/>
          <w:lang w:val="en-GB" w:eastAsia="en-US"/>
        </w:rPr>
        <w:t xml:space="preserve">without incident for four and a half years. She therefore argued that at the time of her enrolment at the university and </w:t>
      </w:r>
      <w:r w:rsidR="000854E5" w:rsidRPr="00B124DC">
        <w:rPr>
          <w:snapToGrid w:val="0"/>
          <w:lang w:val="en-GB" w:eastAsia="en-US"/>
        </w:rPr>
        <w:t>while pursuing her</w:t>
      </w:r>
      <w:r w:rsidRPr="00B124DC">
        <w:rPr>
          <w:snapToGrid w:val="0"/>
          <w:lang w:val="en-GB" w:eastAsia="en-US"/>
        </w:rPr>
        <w:t xml:space="preserve"> studies there had been no domestic source </w:t>
      </w:r>
      <w:r w:rsidR="00E82E1E" w:rsidRPr="00B124DC">
        <w:rPr>
          <w:snapToGrid w:val="0"/>
          <w:lang w:val="en-GB" w:eastAsia="en-US"/>
        </w:rPr>
        <w:t xml:space="preserve">of law </w:t>
      </w:r>
      <w:r w:rsidRPr="00B124DC">
        <w:rPr>
          <w:snapToGrid w:val="0"/>
          <w:lang w:val="en-GB" w:eastAsia="en-US"/>
        </w:rPr>
        <w:t>that would have enabled her to foresee</w:t>
      </w:r>
      <w:r w:rsidR="000854E5" w:rsidRPr="00B124DC">
        <w:rPr>
          <w:snapToGrid w:val="0"/>
          <w:lang w:val="en-GB" w:eastAsia="en-US"/>
        </w:rPr>
        <w:t xml:space="preserve"> that she would be denied access to the lecture theatres a number of years</w:t>
      </w:r>
      <w:r w:rsidRPr="00B124DC">
        <w:rPr>
          <w:snapToGrid w:val="0"/>
          <w:lang w:val="en-GB" w:eastAsia="en-US"/>
        </w:rPr>
        <w:t xml:space="preserve"> later.</w:t>
      </w:r>
    </w:p>
    <w:p w:rsidR="00DD22A7" w:rsidRPr="00B124DC" w:rsidRDefault="00DD22A7" w:rsidP="00EC2EE3">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146</w:t>
      </w:r>
      <w:r w:rsidRPr="00B124DC">
        <w:rPr>
          <w:lang w:val="en-GB"/>
        </w:rPr>
        <w:fldChar w:fldCharType="end"/>
      </w:r>
      <w:r w:rsidRPr="00B124DC">
        <w:rPr>
          <w:lang w:val="en-GB"/>
        </w:rPr>
        <w:t>.  </w:t>
      </w:r>
      <w:r w:rsidR="00D07793" w:rsidRPr="00B124DC">
        <w:rPr>
          <w:lang w:val="en-GB"/>
        </w:rPr>
        <w:t>While</w:t>
      </w:r>
      <w:r w:rsidRPr="00B124DC">
        <w:rPr>
          <w:lang w:val="en-GB"/>
        </w:rPr>
        <w:t xml:space="preserve"> </w:t>
      </w:r>
      <w:r w:rsidR="00D07793" w:rsidRPr="00B124DC">
        <w:rPr>
          <w:lang w:val="en-GB"/>
        </w:rPr>
        <w:t>reiterating</w:t>
      </w:r>
      <w:r w:rsidRPr="00B124DC">
        <w:rPr>
          <w:lang w:val="en-GB"/>
        </w:rPr>
        <w:t xml:space="preserve"> that the measures taken in her case were disproportionate to the </w:t>
      </w:r>
      <w:r w:rsidR="00D07793" w:rsidRPr="00B124DC">
        <w:rPr>
          <w:lang w:val="en-GB"/>
        </w:rPr>
        <w:t>aim</w:t>
      </w:r>
      <w:r w:rsidRPr="00B124DC">
        <w:rPr>
          <w:lang w:val="en-GB"/>
        </w:rPr>
        <w:t xml:space="preserve"> pursued, the applicant accepted that it was in principle legitimate for institut</w:t>
      </w:r>
      <w:r w:rsidR="00D93136" w:rsidRPr="00B124DC">
        <w:rPr>
          <w:lang w:val="en-GB"/>
        </w:rPr>
        <w:t>ions</w:t>
      </w:r>
      <w:r w:rsidRPr="00B124DC">
        <w:rPr>
          <w:lang w:val="en-GB"/>
        </w:rPr>
        <w:t xml:space="preserve"> of higher education to seek to provide education in a </w:t>
      </w:r>
      <w:r w:rsidR="00E82E1E" w:rsidRPr="00B124DC">
        <w:rPr>
          <w:lang w:val="en-GB"/>
        </w:rPr>
        <w:t>calm</w:t>
      </w:r>
      <w:r w:rsidRPr="00B124DC">
        <w:rPr>
          <w:lang w:val="en-GB"/>
        </w:rPr>
        <w:t xml:space="preserve"> and safe environment. However, as the lack of any disciplinary proceedings against her showed, </w:t>
      </w:r>
      <w:r w:rsidR="00B01CF1" w:rsidRPr="00B124DC">
        <w:rPr>
          <w:lang w:val="en-GB"/>
        </w:rPr>
        <w:t>her</w:t>
      </w:r>
      <w:r w:rsidRPr="00B124DC">
        <w:rPr>
          <w:lang w:val="en-GB"/>
        </w:rPr>
        <w:t xml:space="preserve"> wearing the Islamic headscarf </w:t>
      </w:r>
      <w:r w:rsidR="00B01CF1" w:rsidRPr="00B124DC">
        <w:rPr>
          <w:lang w:val="en-GB"/>
        </w:rPr>
        <w:t xml:space="preserve">had not </w:t>
      </w:r>
      <w:r w:rsidRPr="00B124DC">
        <w:rPr>
          <w:lang w:val="en-GB"/>
        </w:rPr>
        <w:t xml:space="preserve">in any way prejudiced public order or infringed the rights and freedoms of the other students. Furthermore, </w:t>
      </w:r>
      <w:r w:rsidR="00370CC3" w:rsidRPr="00B124DC">
        <w:rPr>
          <w:lang w:val="en-GB"/>
        </w:rPr>
        <w:t xml:space="preserve">in her submission, </w:t>
      </w:r>
      <w:r w:rsidRPr="00B124DC">
        <w:rPr>
          <w:lang w:val="en-GB"/>
        </w:rPr>
        <w:t xml:space="preserve">the relevant university authorities had </w:t>
      </w:r>
      <w:r w:rsidR="000978EF" w:rsidRPr="00B124DC">
        <w:rPr>
          <w:lang w:val="en-GB"/>
        </w:rPr>
        <w:t xml:space="preserve">had </w:t>
      </w:r>
      <w:r w:rsidRPr="00B124DC">
        <w:rPr>
          <w:lang w:val="en-GB"/>
        </w:rPr>
        <w:t xml:space="preserve">sufficient </w:t>
      </w:r>
      <w:r w:rsidR="00996C33" w:rsidRPr="00B124DC">
        <w:rPr>
          <w:lang w:val="en-GB"/>
        </w:rPr>
        <w:t>means</w:t>
      </w:r>
      <w:r w:rsidRPr="00B124DC">
        <w:rPr>
          <w:lang w:val="en-GB"/>
        </w:rPr>
        <w:t xml:space="preserve"> at their disposal to guarantee the maintenance of public order</w:t>
      </w:r>
      <w:r w:rsidR="00996C33" w:rsidRPr="00B124DC">
        <w:rPr>
          <w:lang w:val="en-GB"/>
        </w:rPr>
        <w:t>, such as bringing</w:t>
      </w:r>
      <w:r w:rsidRPr="00B124DC">
        <w:rPr>
          <w:lang w:val="en-GB"/>
        </w:rPr>
        <w:t xml:space="preserve"> disciplinary proce</w:t>
      </w:r>
      <w:r w:rsidR="00996C33" w:rsidRPr="00B124DC">
        <w:rPr>
          <w:lang w:val="en-GB"/>
        </w:rPr>
        <w:t>edings</w:t>
      </w:r>
      <w:r w:rsidRPr="00B124DC">
        <w:rPr>
          <w:lang w:val="en-GB"/>
        </w:rPr>
        <w:t xml:space="preserve"> or </w:t>
      </w:r>
      <w:r w:rsidR="00996C33" w:rsidRPr="00B124DC">
        <w:rPr>
          <w:lang w:val="en-GB"/>
        </w:rPr>
        <w:t>lodging a</w:t>
      </w:r>
      <w:r w:rsidRPr="00B124DC">
        <w:rPr>
          <w:lang w:val="en-GB"/>
        </w:rPr>
        <w:t xml:space="preserve"> criminal </w:t>
      </w:r>
      <w:r w:rsidR="00996C33" w:rsidRPr="00B124DC">
        <w:rPr>
          <w:lang w:val="en-GB"/>
        </w:rPr>
        <w:t>complaint</w:t>
      </w:r>
      <w:r w:rsidRPr="00B124DC">
        <w:rPr>
          <w:lang w:val="en-GB"/>
        </w:rPr>
        <w:t xml:space="preserve"> if a student</w:t>
      </w:r>
      <w:r w:rsidR="0006350D">
        <w:rPr>
          <w:lang w:val="en-GB"/>
        </w:rPr>
        <w:t>’</w:t>
      </w:r>
      <w:r w:rsidRPr="00B124DC">
        <w:rPr>
          <w:lang w:val="en-GB"/>
        </w:rPr>
        <w:t>s conduct contravened the criminal law.</w:t>
      </w:r>
    </w:p>
    <w:p w:rsidR="0098730A" w:rsidRPr="00B124DC" w:rsidRDefault="00DD22A7" w:rsidP="00EC2EE3">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147</w:t>
      </w:r>
      <w:r w:rsidRPr="00B124DC">
        <w:rPr>
          <w:lang w:val="en-GB"/>
        </w:rPr>
        <w:fldChar w:fldCharType="end"/>
      </w:r>
      <w:r w:rsidRPr="00B124DC">
        <w:rPr>
          <w:lang w:val="en-GB"/>
        </w:rPr>
        <w:t xml:space="preserve">.  The applicant argued that making the pursuit of her studies conditional on her abandoning the headscarf and refusing </w:t>
      </w:r>
      <w:r w:rsidR="0067012C" w:rsidRPr="00B124DC">
        <w:rPr>
          <w:lang w:val="en-GB"/>
        </w:rPr>
        <w:t>her</w:t>
      </w:r>
      <w:r w:rsidRPr="00B124DC">
        <w:rPr>
          <w:lang w:val="en-GB"/>
        </w:rPr>
        <w:t xml:space="preserve"> access to educational institutions if she refused to comply with </w:t>
      </w:r>
      <w:r w:rsidR="0067012C" w:rsidRPr="00B124DC">
        <w:rPr>
          <w:lang w:val="en-GB"/>
        </w:rPr>
        <w:t>that</w:t>
      </w:r>
      <w:r w:rsidRPr="00B124DC">
        <w:rPr>
          <w:lang w:val="en-GB"/>
        </w:rPr>
        <w:t xml:space="preserve"> condition had effectively and wrongfully violated the substance of her right to education and rendered it </w:t>
      </w:r>
      <w:r w:rsidR="007645C7" w:rsidRPr="00B124DC">
        <w:rPr>
          <w:lang w:val="en-GB"/>
        </w:rPr>
        <w:t>ineffective</w:t>
      </w:r>
      <w:r w:rsidRPr="00B124DC">
        <w:rPr>
          <w:lang w:val="en-GB"/>
        </w:rPr>
        <w:t xml:space="preserve">. This </w:t>
      </w:r>
      <w:r w:rsidR="000978EF" w:rsidRPr="00B124DC">
        <w:rPr>
          <w:lang w:val="en-GB"/>
        </w:rPr>
        <w:t>had been</w:t>
      </w:r>
      <w:r w:rsidRPr="00B124DC">
        <w:rPr>
          <w:lang w:val="en-GB"/>
        </w:rPr>
        <w:t xml:space="preserve"> compounded by the fact that she was a young adult with a fully developed personality and social and moral values who </w:t>
      </w:r>
      <w:r w:rsidR="001405CF" w:rsidRPr="00B124DC">
        <w:rPr>
          <w:lang w:val="en-GB"/>
        </w:rPr>
        <w:t>was</w:t>
      </w:r>
      <w:r w:rsidRPr="00B124DC">
        <w:rPr>
          <w:lang w:val="en-GB"/>
        </w:rPr>
        <w:t xml:space="preserve"> deprived of all possibility of pursuing her studies in </w:t>
      </w:r>
      <w:smartTag w:uri="urn:schemas-microsoft-com:office:smarttags" w:element="place">
        <w:smartTag w:uri="urn:schemas-microsoft-com:office:smarttags" w:element="country-region">
          <w:r w:rsidRPr="00B124DC">
            <w:rPr>
              <w:lang w:val="en-GB"/>
            </w:rPr>
            <w:t>Turkey</w:t>
          </w:r>
        </w:smartTag>
      </w:smartTag>
      <w:r w:rsidRPr="00B124DC">
        <w:rPr>
          <w:lang w:val="en-GB"/>
        </w:rPr>
        <w:t xml:space="preserve"> in </w:t>
      </w:r>
      <w:r w:rsidR="0094438C" w:rsidRPr="00B124DC">
        <w:rPr>
          <w:lang w:val="en-GB"/>
        </w:rPr>
        <w:t>a manner consistent</w:t>
      </w:r>
      <w:r w:rsidRPr="00B124DC">
        <w:rPr>
          <w:lang w:val="en-GB"/>
        </w:rPr>
        <w:t xml:space="preserve"> with her beliefs.</w:t>
      </w:r>
    </w:p>
    <w:p w:rsidR="0098730A" w:rsidRPr="00B124DC" w:rsidRDefault="00DD22A7" w:rsidP="00EC2EE3">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148</w:t>
      </w:r>
      <w:r w:rsidRPr="00B124DC">
        <w:rPr>
          <w:lang w:val="en-GB"/>
        </w:rPr>
        <w:fldChar w:fldCharType="end"/>
      </w:r>
      <w:r w:rsidRPr="00B124DC">
        <w:rPr>
          <w:lang w:val="en-GB"/>
        </w:rPr>
        <w:t xml:space="preserve">.  For all these reasons, the applicant submitted that </w:t>
      </w:r>
      <w:r w:rsidR="00B03F52" w:rsidRPr="00B124DC">
        <w:rPr>
          <w:lang w:val="en-GB"/>
        </w:rPr>
        <w:t xml:space="preserve">the respondent State had overstepped the limits of its margin of appreciation, </w:t>
      </w:r>
      <w:r w:rsidRPr="00B124DC">
        <w:rPr>
          <w:lang w:val="en-GB"/>
        </w:rPr>
        <w:t xml:space="preserve">however wide </w:t>
      </w:r>
      <w:r w:rsidR="00F93536" w:rsidRPr="00B124DC">
        <w:rPr>
          <w:lang w:val="en-GB"/>
        </w:rPr>
        <w:t>it</w:t>
      </w:r>
      <w:r w:rsidR="00B03F52" w:rsidRPr="00B124DC">
        <w:rPr>
          <w:lang w:val="en-GB"/>
        </w:rPr>
        <w:t xml:space="preserve"> might be</w:t>
      </w:r>
      <w:r w:rsidRPr="00B124DC">
        <w:rPr>
          <w:lang w:val="en-GB"/>
        </w:rPr>
        <w:t>, and violated her right to education, read in the light of Articles</w:t>
      </w:r>
      <w:r w:rsidR="00E82E1E" w:rsidRPr="00B124DC">
        <w:rPr>
          <w:lang w:val="en-GB"/>
        </w:rPr>
        <w:t> </w:t>
      </w:r>
      <w:r w:rsidRPr="00B124DC">
        <w:rPr>
          <w:lang w:val="en-GB"/>
        </w:rPr>
        <w:t>8, 9 and 10 of the Convention.</w:t>
      </w:r>
    </w:p>
    <w:p w:rsidR="0098730A" w:rsidRPr="00B124DC" w:rsidRDefault="00DD22A7" w:rsidP="0010193E">
      <w:pPr>
        <w:pStyle w:val="JuHa0"/>
        <w:keepNext/>
        <w:rPr>
          <w:lang w:val="en-GB"/>
        </w:rPr>
      </w:pPr>
      <w:r w:rsidRPr="00B124DC">
        <w:rPr>
          <w:lang w:val="en-GB"/>
        </w:rPr>
        <w:t>(</w:t>
      </w:r>
      <w:r w:rsidR="00793719" w:rsidRPr="00B124DC">
        <w:rPr>
          <w:lang w:val="en-GB"/>
        </w:rPr>
        <w:t>b</w:t>
      </w:r>
      <w:r w:rsidRPr="00B124DC">
        <w:rPr>
          <w:lang w:val="en-GB"/>
        </w:rPr>
        <w:t>)  The Government</w:t>
      </w:r>
    </w:p>
    <w:p w:rsidR="0098730A" w:rsidRPr="00B124DC" w:rsidRDefault="00DD22A7" w:rsidP="00EC2EE3">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149</w:t>
      </w:r>
      <w:r w:rsidRPr="00B124DC">
        <w:rPr>
          <w:lang w:val="en-GB"/>
        </w:rPr>
        <w:fldChar w:fldCharType="end"/>
      </w:r>
      <w:r w:rsidRPr="00B124DC">
        <w:rPr>
          <w:lang w:val="en-GB"/>
        </w:rPr>
        <w:t>.  Referring to the case-law of the Court, the Government observed that the Contracting States had a margin of appreciation to determine how to regulate education.</w:t>
      </w:r>
    </w:p>
    <w:p w:rsidR="0098730A" w:rsidRPr="00B124DC" w:rsidRDefault="00DD22A7" w:rsidP="00EC2EE3">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150</w:t>
      </w:r>
      <w:r w:rsidRPr="00B124DC">
        <w:rPr>
          <w:lang w:val="en-GB"/>
        </w:rPr>
        <w:fldChar w:fldCharType="end"/>
      </w:r>
      <w:r w:rsidRPr="00B124DC">
        <w:rPr>
          <w:lang w:val="en-GB"/>
        </w:rPr>
        <w:t>.  </w:t>
      </w:r>
      <w:r w:rsidR="00FD5DB4" w:rsidRPr="00B124DC">
        <w:rPr>
          <w:lang w:val="en-GB"/>
        </w:rPr>
        <w:t>They added</w:t>
      </w:r>
      <w:r w:rsidRPr="00B124DC">
        <w:rPr>
          <w:lang w:val="en-GB"/>
        </w:rPr>
        <w:t xml:space="preserve"> that the applicant had enrolled at the Cerrahpaşa Faculty of Medicine at </w:t>
      </w:r>
      <w:smartTag w:uri="urn:schemas-microsoft-com:office:smarttags" w:element="place">
        <w:smartTag w:uri="urn:schemas-microsoft-com:office:smarttags" w:element="PlaceName">
          <w:r w:rsidR="00297D0F" w:rsidRPr="00B124DC">
            <w:rPr>
              <w:lang w:val="en-GB"/>
            </w:rPr>
            <w:t>Istanbul</w:t>
          </w:r>
        </w:smartTag>
        <w:r w:rsidR="00297D0F" w:rsidRPr="00B124DC">
          <w:rPr>
            <w:lang w:val="en-GB"/>
          </w:rPr>
          <w:t xml:space="preserve"> </w:t>
        </w:r>
        <w:smartTag w:uri="urn:schemas-microsoft-com:office:smarttags" w:element="PlaceType">
          <w:r w:rsidRPr="00B124DC">
            <w:rPr>
              <w:lang w:val="en-GB"/>
            </w:rPr>
            <w:t>University</w:t>
          </w:r>
        </w:smartTag>
      </w:smartTag>
      <w:r w:rsidRPr="00B124DC">
        <w:rPr>
          <w:lang w:val="en-GB"/>
        </w:rPr>
        <w:t xml:space="preserve"> after studying for five years at the Faculty of Medicine of </w:t>
      </w:r>
      <w:r w:rsidR="00297D0F" w:rsidRPr="00B124DC">
        <w:rPr>
          <w:lang w:val="en-GB"/>
        </w:rPr>
        <w:t xml:space="preserve">Bursa </w:t>
      </w:r>
      <w:r w:rsidRPr="00B124DC">
        <w:rPr>
          <w:lang w:val="en-GB"/>
        </w:rPr>
        <w:t xml:space="preserve">University, where she had worn the headscarf. The Vice-Chancellor of </w:t>
      </w:r>
      <w:r w:rsidR="00297D0F" w:rsidRPr="00B124DC">
        <w:rPr>
          <w:lang w:val="en-GB"/>
        </w:rPr>
        <w:t xml:space="preserve">Istanbul </w:t>
      </w:r>
      <w:r w:rsidRPr="00B124DC">
        <w:rPr>
          <w:lang w:val="en-GB"/>
        </w:rPr>
        <w:t xml:space="preserve">University had issued a circular prohibiting </w:t>
      </w:r>
      <w:r w:rsidR="00D07BDD" w:rsidRPr="00B124DC">
        <w:rPr>
          <w:lang w:val="en-GB"/>
        </w:rPr>
        <w:t xml:space="preserve">students from wearing </w:t>
      </w:r>
      <w:r w:rsidRPr="00B124DC">
        <w:rPr>
          <w:lang w:val="en-GB"/>
        </w:rPr>
        <w:t xml:space="preserve">the headscarf in the </w:t>
      </w:r>
      <w:r w:rsidR="00437068">
        <w:rPr>
          <w:lang w:val="en-GB"/>
        </w:rPr>
        <w:t>u</w:t>
      </w:r>
      <w:r w:rsidRPr="00B124DC">
        <w:rPr>
          <w:lang w:val="en-GB"/>
        </w:rPr>
        <w:t xml:space="preserve">niversity. </w:t>
      </w:r>
      <w:r w:rsidR="00F227E3" w:rsidRPr="00B124DC">
        <w:rPr>
          <w:lang w:val="en-GB"/>
        </w:rPr>
        <w:t>Th</w:t>
      </w:r>
      <w:r w:rsidR="000978EF" w:rsidRPr="00B124DC">
        <w:rPr>
          <w:lang w:val="en-GB"/>
        </w:rPr>
        <w:t>e</w:t>
      </w:r>
      <w:r w:rsidRPr="00B124DC">
        <w:rPr>
          <w:lang w:val="en-GB"/>
        </w:rPr>
        <w:t xml:space="preserve"> ban </w:t>
      </w:r>
      <w:r w:rsidR="007645C7" w:rsidRPr="00B124DC">
        <w:rPr>
          <w:lang w:val="en-GB"/>
        </w:rPr>
        <w:t>was</w:t>
      </w:r>
      <w:r w:rsidRPr="00B124DC">
        <w:rPr>
          <w:lang w:val="en-GB"/>
        </w:rPr>
        <w:t xml:space="preserve"> based on judgments of the </w:t>
      </w:r>
      <w:smartTag w:uri="urn:schemas-microsoft-com:office:smarttags" w:element="Street">
        <w:smartTag w:uri="urn:schemas-microsoft-com:office:smarttags" w:element="address">
          <w:r w:rsidRPr="00B124DC">
            <w:rPr>
              <w:lang w:val="en-GB"/>
            </w:rPr>
            <w:t>Constitutional Court</w:t>
          </w:r>
        </w:smartTag>
      </w:smartTag>
      <w:r w:rsidRPr="00B124DC">
        <w:rPr>
          <w:lang w:val="en-GB"/>
        </w:rPr>
        <w:t xml:space="preserve"> and the </w:t>
      </w:r>
      <w:smartTag w:uri="urn:schemas-microsoft-com:office:smarttags" w:element="Street">
        <w:smartTag w:uri="urn:schemas-microsoft-com:office:smarttags" w:element="address">
          <w:r w:rsidRPr="00B124DC">
            <w:rPr>
              <w:lang w:val="en-GB"/>
            </w:rPr>
            <w:t>Supreme Administrative Court</w:t>
          </w:r>
        </w:smartTag>
      </w:smartTag>
      <w:r w:rsidRPr="00B124DC">
        <w:rPr>
          <w:lang w:val="en-GB"/>
        </w:rPr>
        <w:t>. As the application and the request for a referral to the Grand Chamber indicated, the applicant had not encountered any difficulty in enrolling at the Cerrahpaşa Faculty of Medicine</w:t>
      </w:r>
      <w:r w:rsidR="00534A6B" w:rsidRPr="00B124DC">
        <w:rPr>
          <w:lang w:val="en-GB"/>
        </w:rPr>
        <w:t>, which</w:t>
      </w:r>
      <w:r w:rsidRPr="00B124DC">
        <w:rPr>
          <w:lang w:val="en-GB"/>
        </w:rPr>
        <w:t xml:space="preserve"> proved that she had enjoyed equality of treatment </w:t>
      </w:r>
      <w:r w:rsidR="00F227E3" w:rsidRPr="00B124DC">
        <w:rPr>
          <w:lang w:val="en-GB"/>
        </w:rPr>
        <w:t xml:space="preserve">in </w:t>
      </w:r>
      <w:r w:rsidRPr="00B124DC">
        <w:rPr>
          <w:lang w:val="en-GB"/>
        </w:rPr>
        <w:t xml:space="preserve">the right of access to educational institutions. As regards the interference caused by the implementation of the circular of </w:t>
      </w:r>
      <w:smartTag w:uri="urn:schemas-microsoft-com:office:smarttags" w:element="date">
        <w:smartTagPr>
          <w:attr w:name="Month" w:val="2"/>
          <w:attr w:name="Day" w:val="23"/>
          <w:attr w:name="Year" w:val="1998"/>
        </w:smartTagPr>
        <w:r w:rsidRPr="00B124DC">
          <w:rPr>
            <w:lang w:val="en-GB"/>
          </w:rPr>
          <w:t>23 February 1998</w:t>
        </w:r>
      </w:smartTag>
      <w:r w:rsidRPr="00B124DC">
        <w:rPr>
          <w:lang w:val="en-GB"/>
        </w:rPr>
        <w:t>, the Government confined themselves to saying that it had been the subject of scrutiny by the courts.</w:t>
      </w:r>
    </w:p>
    <w:p w:rsidR="00DD22A7" w:rsidRPr="00B124DC" w:rsidRDefault="00DD22A7" w:rsidP="00EC2EE3">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151</w:t>
      </w:r>
      <w:r w:rsidRPr="00B124DC">
        <w:rPr>
          <w:lang w:val="en-GB"/>
        </w:rPr>
        <w:fldChar w:fldCharType="end"/>
      </w:r>
      <w:r w:rsidRPr="00B124DC">
        <w:rPr>
          <w:lang w:val="en-GB"/>
        </w:rPr>
        <w:t>.  The Government concluded by asking for the judgment of the Chamber to be upheld, arguing that the regulations in issue did not contravene the Court</w:t>
      </w:r>
      <w:r w:rsidR="0006350D">
        <w:rPr>
          <w:lang w:val="en-GB"/>
        </w:rPr>
        <w:t>’</w:t>
      </w:r>
      <w:r w:rsidRPr="00B124DC">
        <w:rPr>
          <w:lang w:val="en-GB"/>
        </w:rPr>
        <w:t>s case-law, having regard to the margin of appreciation accorded to the Contracting States.</w:t>
      </w:r>
    </w:p>
    <w:p w:rsidR="00DD22A7" w:rsidRPr="00B124DC" w:rsidRDefault="00E10C7C" w:rsidP="0010193E">
      <w:pPr>
        <w:pStyle w:val="JuH1"/>
        <w:keepNext/>
        <w:rPr>
          <w:lang w:val="en-GB"/>
        </w:rPr>
      </w:pPr>
      <w:r w:rsidRPr="00B124DC">
        <w:rPr>
          <w:lang w:val="en-GB"/>
        </w:rPr>
        <w:t>2</w:t>
      </w:r>
      <w:r w:rsidR="00932AF2">
        <w:rPr>
          <w:lang w:val="en-GB"/>
        </w:rPr>
        <w:t>.</w:t>
      </w:r>
      <w:r w:rsidR="00DD22A7" w:rsidRPr="00B124DC">
        <w:rPr>
          <w:lang w:val="en-GB"/>
        </w:rPr>
        <w:t>  The Court</w:t>
      </w:r>
      <w:r w:rsidR="0006350D">
        <w:rPr>
          <w:lang w:val="en-GB"/>
        </w:rPr>
        <w:t>’</w:t>
      </w:r>
      <w:r w:rsidR="00DD22A7" w:rsidRPr="00B124DC">
        <w:rPr>
          <w:lang w:val="en-GB"/>
        </w:rPr>
        <w:t>s assessment</w:t>
      </w:r>
    </w:p>
    <w:p w:rsidR="00DD22A7" w:rsidRPr="00B124DC" w:rsidRDefault="00E10C7C" w:rsidP="0010193E">
      <w:pPr>
        <w:pStyle w:val="JuHa0"/>
        <w:keepNext/>
        <w:rPr>
          <w:lang w:val="en-GB"/>
        </w:rPr>
      </w:pPr>
      <w:r w:rsidRPr="00B124DC">
        <w:rPr>
          <w:lang w:val="en-GB"/>
        </w:rPr>
        <w:t>(a)</w:t>
      </w:r>
      <w:r w:rsidR="00DD22A7" w:rsidRPr="00B124DC">
        <w:rPr>
          <w:lang w:val="en-GB"/>
        </w:rPr>
        <w:t>  General principles</w:t>
      </w:r>
    </w:p>
    <w:p w:rsidR="00DD22A7" w:rsidRPr="00B124DC" w:rsidRDefault="00DD22A7" w:rsidP="00EC2EE3">
      <w:pPr>
        <w:pStyle w:val="JuPara"/>
        <w:rPr>
          <w:lang w:val="en-GB" w:eastAsia="en-US"/>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152</w:t>
      </w:r>
      <w:r w:rsidRPr="00B124DC">
        <w:rPr>
          <w:lang w:val="en-GB"/>
        </w:rPr>
        <w:fldChar w:fldCharType="end"/>
      </w:r>
      <w:r w:rsidRPr="00B124DC">
        <w:rPr>
          <w:lang w:val="en-GB"/>
        </w:rPr>
        <w:t xml:space="preserve">.  The right to education, as set out in the first sentence of Article 2 of Protocol No. 1, guarantees everyone within the jurisdiction of the Contracting States “a right of access to educational institutions existing at a given time”, but such access constitutes only a part of the right to education. For that right “to be effective, it is further necessary that, </w:t>
      </w:r>
      <w:r w:rsidRPr="00B124DC">
        <w:rPr>
          <w:i/>
          <w:lang w:val="en-GB"/>
        </w:rPr>
        <w:t>inter alia</w:t>
      </w:r>
      <w:r w:rsidRPr="00B124DC">
        <w:rPr>
          <w:lang w:val="en-GB"/>
        </w:rPr>
        <w:t>, the individual who is the beneficiary should have the possibility of drawing profit from the education received, that is to say, the right to obtain, in conformity with the rules in force in each State, and in one form or another, official recognition of the studies which he has completed” (</w:t>
      </w:r>
      <w:r w:rsidR="00437068">
        <w:rPr>
          <w:lang w:val="en-GB"/>
        </w:rPr>
        <w:t xml:space="preserve">see the </w:t>
      </w:r>
      <w:r w:rsidRPr="00B124DC">
        <w:rPr>
          <w:i/>
          <w:lang w:val="en-GB"/>
        </w:rPr>
        <w:t xml:space="preserve">Belgian </w:t>
      </w:r>
      <w:r w:rsidR="00437068">
        <w:rPr>
          <w:i/>
          <w:lang w:val="en-GB"/>
        </w:rPr>
        <w:t>l</w:t>
      </w:r>
      <w:r w:rsidR="004A1131" w:rsidRPr="00B124DC">
        <w:rPr>
          <w:i/>
          <w:lang w:val="en-GB"/>
        </w:rPr>
        <w:t xml:space="preserve">inguistic </w:t>
      </w:r>
      <w:r w:rsidRPr="00B124DC">
        <w:rPr>
          <w:i/>
          <w:lang w:val="en-GB"/>
        </w:rPr>
        <w:t>case</w:t>
      </w:r>
      <w:r w:rsidRPr="00B124DC">
        <w:rPr>
          <w:lang w:val="en-GB" w:eastAsia="en-US"/>
        </w:rPr>
        <w:t xml:space="preserve">, cited above, pp. 30-32, §§ 3-5; see also </w:t>
      </w:r>
      <w:r w:rsidRPr="00B124DC">
        <w:rPr>
          <w:i/>
          <w:lang w:val="en-GB" w:eastAsia="en-US"/>
        </w:rPr>
        <w:t>Kjeldsen, Busk Madsen and Pedersen v. Denmark</w:t>
      </w:r>
      <w:r w:rsidRPr="00B124DC">
        <w:rPr>
          <w:lang w:val="en-GB" w:eastAsia="en-US"/>
        </w:rPr>
        <w:t>, judgment of 7 December 1976, Series A no. 23, pp. 25-26, § 52). Similarly, implicit in the phrase “No person shall</w:t>
      </w:r>
      <w:r w:rsidR="00437068">
        <w:rPr>
          <w:lang w:val="en-GB" w:eastAsia="en-US"/>
        </w:rPr>
        <w:t xml:space="preserve"> </w:t>
      </w:r>
      <w:r w:rsidRPr="00B124DC">
        <w:rPr>
          <w:lang w:val="en-GB" w:eastAsia="en-US"/>
        </w:rPr>
        <w:t>...” is the principle of equality of treatment of all citizens in the exercise of their right to education.</w:t>
      </w:r>
    </w:p>
    <w:p w:rsidR="0098730A" w:rsidRPr="00B124DC" w:rsidRDefault="00DD22A7" w:rsidP="00EC2EE3">
      <w:pPr>
        <w:pStyle w:val="JuPara"/>
        <w:rPr>
          <w:lang w:val="en-GB" w:eastAsia="en-US"/>
        </w:rPr>
      </w:pPr>
      <w:r w:rsidRPr="00B124DC">
        <w:rPr>
          <w:lang w:val="en-GB" w:eastAsia="en-US"/>
        </w:rPr>
        <w:fldChar w:fldCharType="begin"/>
      </w:r>
      <w:r w:rsidRPr="00B124DC">
        <w:rPr>
          <w:lang w:val="en-GB" w:eastAsia="en-US"/>
        </w:rPr>
        <w:instrText xml:space="preserve"> SEQ level0 \*arabic </w:instrText>
      </w:r>
      <w:r w:rsidRPr="00B124DC">
        <w:rPr>
          <w:lang w:val="en-GB" w:eastAsia="en-US"/>
        </w:rPr>
        <w:fldChar w:fldCharType="separate"/>
      </w:r>
      <w:r w:rsidR="00EA52D1">
        <w:rPr>
          <w:noProof/>
          <w:lang w:val="en-GB" w:eastAsia="en-US"/>
        </w:rPr>
        <w:t>153</w:t>
      </w:r>
      <w:r w:rsidRPr="00B124DC">
        <w:rPr>
          <w:lang w:val="en-GB" w:eastAsia="en-US"/>
        </w:rPr>
        <w:fldChar w:fldCharType="end"/>
      </w:r>
      <w:r w:rsidRPr="00B124DC">
        <w:rPr>
          <w:lang w:val="en-GB" w:eastAsia="en-US"/>
        </w:rPr>
        <w:t xml:space="preserve">.  The fundamental right of everyone to education is a right guaranteed equally to pupils in State and independent schools, </w:t>
      </w:r>
      <w:r w:rsidR="00D44C92" w:rsidRPr="00B124DC">
        <w:rPr>
          <w:lang w:val="en-GB" w:eastAsia="en-US"/>
        </w:rPr>
        <w:t>without</w:t>
      </w:r>
      <w:r w:rsidRPr="00B124DC">
        <w:rPr>
          <w:lang w:val="en-GB" w:eastAsia="en-US"/>
        </w:rPr>
        <w:t xml:space="preserve"> distinction (</w:t>
      </w:r>
      <w:r w:rsidR="00437068">
        <w:rPr>
          <w:lang w:val="en-GB" w:eastAsia="en-US"/>
        </w:rPr>
        <w:t xml:space="preserve">see </w:t>
      </w:r>
      <w:r w:rsidRPr="00B124DC">
        <w:rPr>
          <w:i/>
          <w:lang w:val="en-GB" w:eastAsia="en-US"/>
        </w:rPr>
        <w:t>Costello-Roberts v. the United Kingdom</w:t>
      </w:r>
      <w:r w:rsidR="0010193E">
        <w:rPr>
          <w:lang w:val="en-GB" w:eastAsia="en-US"/>
        </w:rPr>
        <w:t>, judgment of 25 </w:t>
      </w:r>
      <w:r w:rsidRPr="00B124DC">
        <w:rPr>
          <w:lang w:val="en-GB" w:eastAsia="en-US"/>
        </w:rPr>
        <w:t>March 1993, Series A no. 247</w:t>
      </w:r>
      <w:r w:rsidRPr="00B124DC">
        <w:rPr>
          <w:lang w:val="en-GB" w:eastAsia="en-US"/>
        </w:rPr>
        <w:noBreakHyphen/>
        <w:t>C, p. 58, § 27).</w:t>
      </w:r>
    </w:p>
    <w:p w:rsidR="00DD22A7" w:rsidRPr="00B124DC" w:rsidRDefault="00DD22A7" w:rsidP="00EC2EE3">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154</w:t>
      </w:r>
      <w:r w:rsidRPr="00B124DC">
        <w:rPr>
          <w:lang w:val="en-GB"/>
        </w:rPr>
        <w:fldChar w:fldCharType="end"/>
      </w:r>
      <w:r w:rsidRPr="00B124DC">
        <w:rPr>
          <w:lang w:val="en-GB"/>
        </w:rPr>
        <w:t>.  In spite of its importance, this right is not, however, absolute, but may be subject to limitations; these are permitted by implication since the right of access “by its very nature cal</w:t>
      </w:r>
      <w:r w:rsidR="008250B0" w:rsidRPr="00B124DC">
        <w:rPr>
          <w:lang w:val="en-GB"/>
        </w:rPr>
        <w:t>ls for regulation by the State</w:t>
      </w:r>
      <w:r w:rsidRPr="00B124DC">
        <w:rPr>
          <w:lang w:val="en-GB"/>
        </w:rPr>
        <w:t>” (</w:t>
      </w:r>
      <w:r w:rsidR="00437068">
        <w:rPr>
          <w:lang w:val="en-GB"/>
        </w:rPr>
        <w:t xml:space="preserve">see the </w:t>
      </w:r>
      <w:r w:rsidRPr="00B124DC">
        <w:rPr>
          <w:i/>
          <w:lang w:val="en-GB" w:eastAsia="en-US"/>
        </w:rPr>
        <w:t xml:space="preserve">Belgian </w:t>
      </w:r>
      <w:r w:rsidR="00437068">
        <w:rPr>
          <w:i/>
          <w:lang w:val="en-GB" w:eastAsia="en-US"/>
        </w:rPr>
        <w:t>l</w:t>
      </w:r>
      <w:r w:rsidRPr="00B124DC">
        <w:rPr>
          <w:i/>
          <w:lang w:val="en-GB" w:eastAsia="en-US"/>
        </w:rPr>
        <w:t>inguistic case</w:t>
      </w:r>
      <w:r w:rsidR="0010193E">
        <w:rPr>
          <w:lang w:val="en-GB" w:eastAsia="en-US"/>
        </w:rPr>
        <w:t xml:space="preserve">, cited above, p. </w:t>
      </w:r>
      <w:r w:rsidRPr="00B124DC">
        <w:rPr>
          <w:lang w:val="en-GB" w:eastAsia="en-US"/>
        </w:rPr>
        <w:t xml:space="preserve">32, § 5; see also, </w:t>
      </w:r>
      <w:r w:rsidRPr="00B124DC">
        <w:rPr>
          <w:i/>
          <w:lang w:val="en-GB" w:eastAsia="en-US"/>
        </w:rPr>
        <w:t>mutatis mutandis</w:t>
      </w:r>
      <w:r w:rsidRPr="00B124DC">
        <w:rPr>
          <w:lang w:val="en-GB" w:eastAsia="en-US"/>
        </w:rPr>
        <w:t xml:space="preserve">, </w:t>
      </w:r>
      <w:r w:rsidRPr="00B124DC">
        <w:rPr>
          <w:i/>
          <w:lang w:val="en-GB" w:eastAsia="en-US"/>
        </w:rPr>
        <w:t>Golder</w:t>
      </w:r>
      <w:r w:rsidR="0010193E">
        <w:rPr>
          <w:lang w:val="en-GB" w:eastAsia="en-US"/>
        </w:rPr>
        <w:t xml:space="preserve">, cited above, pp. 18-19, § </w:t>
      </w:r>
      <w:r w:rsidRPr="00B124DC">
        <w:rPr>
          <w:lang w:val="en-GB" w:eastAsia="en-US"/>
        </w:rPr>
        <w:t>38</w:t>
      </w:r>
      <w:r w:rsidR="00437068">
        <w:rPr>
          <w:lang w:val="en-GB" w:eastAsia="en-US"/>
        </w:rPr>
        <w:t>,</w:t>
      </w:r>
      <w:r w:rsidRPr="00B124DC">
        <w:rPr>
          <w:lang w:val="en-GB" w:eastAsia="en-US"/>
        </w:rPr>
        <w:t xml:space="preserve"> and </w:t>
      </w:r>
      <w:r w:rsidRPr="00B124DC">
        <w:rPr>
          <w:i/>
          <w:lang w:val="en-GB" w:eastAsia="en-US"/>
        </w:rPr>
        <w:t>Fayed v. the United Kingdom</w:t>
      </w:r>
      <w:r w:rsidRPr="00B124DC">
        <w:rPr>
          <w:lang w:val="en-GB" w:eastAsia="en-US"/>
        </w:rPr>
        <w:t>, judgment of 21 September 1994, Series A no.</w:t>
      </w:r>
      <w:r w:rsidR="00437068">
        <w:rPr>
          <w:lang w:val="en-GB" w:eastAsia="en-US"/>
        </w:rPr>
        <w:t xml:space="preserve"> </w:t>
      </w:r>
      <w:r w:rsidRPr="00B124DC">
        <w:rPr>
          <w:lang w:val="en-GB" w:eastAsia="en-US"/>
        </w:rPr>
        <w:t>294</w:t>
      </w:r>
      <w:r w:rsidRPr="00B124DC">
        <w:rPr>
          <w:lang w:val="en-GB" w:eastAsia="en-US"/>
        </w:rPr>
        <w:noBreakHyphen/>
        <w:t>B, pp.</w:t>
      </w:r>
      <w:r w:rsidR="00437068">
        <w:rPr>
          <w:lang w:val="en-GB" w:eastAsia="en-US"/>
        </w:rPr>
        <w:t xml:space="preserve"> </w:t>
      </w:r>
      <w:r w:rsidRPr="00B124DC">
        <w:rPr>
          <w:lang w:val="en-GB" w:eastAsia="en-US"/>
        </w:rPr>
        <w:t>49-50, §</w:t>
      </w:r>
      <w:r w:rsidR="00437068">
        <w:rPr>
          <w:lang w:val="en-GB" w:eastAsia="en-US"/>
        </w:rPr>
        <w:t xml:space="preserve"> </w:t>
      </w:r>
      <w:r w:rsidRPr="00B124DC">
        <w:rPr>
          <w:lang w:val="en-GB" w:eastAsia="en-US"/>
        </w:rPr>
        <w:t xml:space="preserve">65). Admittedly, the </w:t>
      </w:r>
      <w:r w:rsidR="00A330AA" w:rsidRPr="00B124DC">
        <w:rPr>
          <w:lang w:val="en-GB" w:eastAsia="en-US"/>
        </w:rPr>
        <w:t>regulation of</w:t>
      </w:r>
      <w:r w:rsidRPr="00B124DC">
        <w:rPr>
          <w:lang w:val="en-GB" w:eastAsia="en-US"/>
        </w:rPr>
        <w:t xml:space="preserve"> educational institutions may vary in time and in place</w:t>
      </w:r>
      <w:r w:rsidR="001D3BC4" w:rsidRPr="00B124DC">
        <w:rPr>
          <w:lang w:val="en-GB" w:eastAsia="en-US"/>
        </w:rPr>
        <w:t xml:space="preserve">, </w:t>
      </w:r>
      <w:r w:rsidR="001D3BC4" w:rsidRPr="00B124DC">
        <w:rPr>
          <w:i/>
          <w:lang w:val="en-GB" w:eastAsia="en-US"/>
        </w:rPr>
        <w:t>inter alia</w:t>
      </w:r>
      <w:r w:rsidR="001D3BC4" w:rsidRPr="00B124DC">
        <w:rPr>
          <w:lang w:val="en-GB" w:eastAsia="en-US"/>
        </w:rPr>
        <w:t>,</w:t>
      </w:r>
      <w:r w:rsidRPr="00B124DC">
        <w:rPr>
          <w:lang w:val="en-GB" w:eastAsia="en-US"/>
        </w:rPr>
        <w:t xml:space="preserve"> according to the needs and resources of the community and the </w:t>
      </w:r>
      <w:r w:rsidR="0023749A" w:rsidRPr="00B124DC">
        <w:rPr>
          <w:lang w:val="en-GB" w:eastAsia="en-US"/>
        </w:rPr>
        <w:t>distinctive</w:t>
      </w:r>
      <w:r w:rsidRPr="00B124DC">
        <w:rPr>
          <w:lang w:val="en-GB" w:eastAsia="en-US"/>
        </w:rPr>
        <w:t xml:space="preserve"> </w:t>
      </w:r>
      <w:r w:rsidR="00A330AA" w:rsidRPr="00B124DC">
        <w:rPr>
          <w:lang w:val="en-GB" w:eastAsia="en-US"/>
        </w:rPr>
        <w:t>features</w:t>
      </w:r>
      <w:r w:rsidRPr="00B124DC">
        <w:rPr>
          <w:lang w:val="en-GB" w:eastAsia="en-US"/>
        </w:rPr>
        <w:t xml:space="preserve"> of different levels of education</w:t>
      </w:r>
      <w:r w:rsidRPr="00B124DC">
        <w:rPr>
          <w:lang w:val="en-GB"/>
        </w:rPr>
        <w:t>. Consequently, the Contracting States enjoy a certain margin of appreciation in this sphere, although the final decision as to the observance of the Convention</w:t>
      </w:r>
      <w:r w:rsidR="0006350D">
        <w:rPr>
          <w:lang w:val="en-GB"/>
        </w:rPr>
        <w:t>’</w:t>
      </w:r>
      <w:r w:rsidRPr="00B124DC">
        <w:rPr>
          <w:lang w:val="en-GB"/>
        </w:rPr>
        <w:t>s requirements rests with the Court. In order to ensure that the restrictions that are imposed do not curtail the right in question to such an extent as to impair its very essence and deprive it of its effectiveness, the Court must satisfy itself that they are foreseeable for those concerned and pursue a legitimate aim. However, unlike the position with respect to Articles</w:t>
      </w:r>
      <w:r w:rsidR="0043110F">
        <w:rPr>
          <w:lang w:val="en-GB"/>
        </w:rPr>
        <w:t xml:space="preserve"> </w:t>
      </w:r>
      <w:r w:rsidRPr="00B124DC">
        <w:rPr>
          <w:lang w:val="en-GB"/>
        </w:rPr>
        <w:t>8 to 11 of the Convention, it is not bound by an exhaustive list of “legitimate aims” under Article 2 of Protocol No.</w:t>
      </w:r>
      <w:r w:rsidR="00CB6B43" w:rsidRPr="00B124DC">
        <w:rPr>
          <w:lang w:val="en-GB"/>
        </w:rPr>
        <w:t xml:space="preserve"> </w:t>
      </w:r>
      <w:r w:rsidRPr="00B124DC">
        <w:rPr>
          <w:lang w:val="en-GB"/>
        </w:rPr>
        <w:t xml:space="preserve">1 (see, </w:t>
      </w:r>
      <w:r w:rsidRPr="00B124DC">
        <w:rPr>
          <w:i/>
          <w:lang w:val="en-GB"/>
        </w:rPr>
        <w:t>mutatis mutandis</w:t>
      </w:r>
      <w:r w:rsidRPr="00B124DC">
        <w:rPr>
          <w:lang w:val="en-GB"/>
        </w:rPr>
        <w:t xml:space="preserve">, </w:t>
      </w:r>
      <w:r w:rsidRPr="00B124DC">
        <w:rPr>
          <w:i/>
          <w:lang w:val="en-GB" w:eastAsia="en-US"/>
        </w:rPr>
        <w:t>Podkolzina v. Latvia</w:t>
      </w:r>
      <w:r w:rsidRPr="00B124DC">
        <w:rPr>
          <w:lang w:val="en-GB" w:eastAsia="en-US"/>
        </w:rPr>
        <w:t>, no.</w:t>
      </w:r>
      <w:r w:rsidR="00CB6B43" w:rsidRPr="00B124DC">
        <w:rPr>
          <w:lang w:val="en-GB" w:eastAsia="en-US"/>
        </w:rPr>
        <w:t xml:space="preserve"> </w:t>
      </w:r>
      <w:r w:rsidRPr="00B124DC">
        <w:rPr>
          <w:lang w:val="en-GB" w:eastAsia="en-US"/>
        </w:rPr>
        <w:t>46726/99, §</w:t>
      </w:r>
      <w:r w:rsidR="00CB6B43" w:rsidRPr="00B124DC">
        <w:rPr>
          <w:lang w:val="en-GB" w:eastAsia="en-US"/>
        </w:rPr>
        <w:t xml:space="preserve"> </w:t>
      </w:r>
      <w:r w:rsidRPr="00B124DC">
        <w:rPr>
          <w:lang w:val="en-GB" w:eastAsia="en-US"/>
        </w:rPr>
        <w:t>36, ECHR 2002</w:t>
      </w:r>
      <w:r w:rsidRPr="00B124DC">
        <w:rPr>
          <w:lang w:val="en-GB" w:eastAsia="en-US"/>
        </w:rPr>
        <w:noBreakHyphen/>
        <w:t>II</w:t>
      </w:r>
      <w:r w:rsidRPr="00B124DC">
        <w:rPr>
          <w:lang w:val="en-GB"/>
        </w:rPr>
        <w:t>). Furthermore, a limitation will only be compatible with Article 2 of Protocol No.</w:t>
      </w:r>
      <w:r w:rsidR="00CB6B43" w:rsidRPr="00B124DC">
        <w:rPr>
          <w:lang w:val="en-GB"/>
        </w:rPr>
        <w:t xml:space="preserve"> </w:t>
      </w:r>
      <w:r w:rsidRPr="00B124DC">
        <w:rPr>
          <w:lang w:val="en-GB"/>
        </w:rPr>
        <w:t>1 if there is a reasonable relationship of proportionality between the means employed and the aim sought to be achieved.</w:t>
      </w:r>
    </w:p>
    <w:p w:rsidR="0098730A" w:rsidRPr="00B124DC" w:rsidRDefault="00DD22A7" w:rsidP="00EC2EE3">
      <w:pPr>
        <w:pStyle w:val="JuPara"/>
        <w:rPr>
          <w:i/>
          <w:lang w:val="en-GB" w:eastAsia="en-US"/>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155</w:t>
      </w:r>
      <w:r w:rsidRPr="00B124DC">
        <w:rPr>
          <w:lang w:val="en-GB"/>
        </w:rPr>
        <w:fldChar w:fldCharType="end"/>
      </w:r>
      <w:r w:rsidRPr="00B124DC">
        <w:rPr>
          <w:lang w:val="en-GB"/>
        </w:rPr>
        <w:t>.  Such restrictions must not conflict with other rights enshrined in the Convention and its Protocols either (</w:t>
      </w:r>
      <w:r w:rsidR="00437068">
        <w:rPr>
          <w:lang w:val="en-GB"/>
        </w:rPr>
        <w:t xml:space="preserve">see the </w:t>
      </w:r>
      <w:r w:rsidRPr="00B124DC">
        <w:rPr>
          <w:i/>
          <w:lang w:val="en-GB" w:eastAsia="en-US"/>
        </w:rPr>
        <w:t xml:space="preserve">Belgian </w:t>
      </w:r>
      <w:r w:rsidR="00437068">
        <w:rPr>
          <w:i/>
          <w:lang w:val="en-GB" w:eastAsia="en-US"/>
        </w:rPr>
        <w:t>l</w:t>
      </w:r>
      <w:r w:rsidRPr="00B124DC">
        <w:rPr>
          <w:i/>
          <w:lang w:val="en-GB" w:eastAsia="en-US"/>
        </w:rPr>
        <w:t>inguistic case</w:t>
      </w:r>
      <w:r w:rsidRPr="00B124DC">
        <w:rPr>
          <w:lang w:val="en-GB" w:eastAsia="en-US"/>
        </w:rPr>
        <w:t xml:space="preserve">, </w:t>
      </w:r>
      <w:r w:rsidR="001029F4" w:rsidRPr="00B124DC">
        <w:rPr>
          <w:lang w:val="en-GB" w:eastAsia="en-US"/>
        </w:rPr>
        <w:t>cited above, p.</w:t>
      </w:r>
      <w:r w:rsidR="00742395" w:rsidRPr="00B124DC">
        <w:rPr>
          <w:lang w:val="en-GB" w:eastAsia="en-US"/>
        </w:rPr>
        <w:t xml:space="preserve"> </w:t>
      </w:r>
      <w:r w:rsidR="001029F4" w:rsidRPr="00B124DC">
        <w:rPr>
          <w:lang w:val="en-GB" w:eastAsia="en-US"/>
        </w:rPr>
        <w:t>32, § 5;</w:t>
      </w:r>
      <w:r w:rsidRPr="00B124DC">
        <w:rPr>
          <w:lang w:val="en-GB" w:eastAsia="en-US"/>
        </w:rPr>
        <w:t xml:space="preserve"> </w:t>
      </w:r>
      <w:r w:rsidRPr="00B124DC">
        <w:rPr>
          <w:i/>
          <w:lang w:val="en-GB" w:eastAsia="en-US"/>
        </w:rPr>
        <w:t>Campbell and Cosans v. the United Kingdom</w:t>
      </w:r>
      <w:r w:rsidRPr="00B124DC">
        <w:rPr>
          <w:lang w:val="en-GB" w:eastAsia="en-US"/>
        </w:rPr>
        <w:t>, judgment of 25 February 1982, Series A no. 48, p.</w:t>
      </w:r>
      <w:r w:rsidR="00742395" w:rsidRPr="00B124DC">
        <w:rPr>
          <w:lang w:val="en-GB" w:eastAsia="en-US"/>
        </w:rPr>
        <w:t xml:space="preserve"> </w:t>
      </w:r>
      <w:r w:rsidRPr="00B124DC">
        <w:rPr>
          <w:lang w:val="en-GB" w:eastAsia="en-US"/>
        </w:rPr>
        <w:t xml:space="preserve">19, § 41; and </w:t>
      </w:r>
      <w:r w:rsidRPr="00B124DC">
        <w:rPr>
          <w:i/>
          <w:iCs/>
          <w:lang w:val="en-GB"/>
        </w:rPr>
        <w:t>Yanasik</w:t>
      </w:r>
      <w:r w:rsidRPr="00B124DC">
        <w:rPr>
          <w:lang w:val="en-GB"/>
        </w:rPr>
        <w:t xml:space="preserve">, decision cited </w:t>
      </w:r>
      <w:r w:rsidR="005E5695" w:rsidRPr="00B124DC">
        <w:rPr>
          <w:lang w:val="en-GB"/>
        </w:rPr>
        <w:t>above</w:t>
      </w:r>
      <w:r w:rsidRPr="00B124DC">
        <w:rPr>
          <w:lang w:val="en-GB" w:eastAsia="en-US"/>
        </w:rPr>
        <w:t xml:space="preserve">). The provisions of the Convention and its Protocols must be considered as a whole. Accordingly, the first sentence of Article 2 </w:t>
      </w:r>
      <w:r w:rsidR="007942F0">
        <w:rPr>
          <w:lang w:val="en-GB" w:eastAsia="en-US"/>
        </w:rPr>
        <w:t xml:space="preserve">of Protocol No. 1 </w:t>
      </w:r>
      <w:r w:rsidRPr="00B124DC">
        <w:rPr>
          <w:lang w:val="en-GB" w:eastAsia="en-US"/>
        </w:rPr>
        <w:t xml:space="preserve">must, where appropriate, be read in the light in particular of </w:t>
      </w:r>
      <w:r w:rsidR="00932AF2">
        <w:rPr>
          <w:lang w:val="en-GB"/>
        </w:rPr>
        <w:t>Articles 8, 9 and</w:t>
      </w:r>
      <w:r w:rsidR="0043110F">
        <w:rPr>
          <w:lang w:val="en-GB"/>
        </w:rPr>
        <w:t xml:space="preserve"> </w:t>
      </w:r>
      <w:r w:rsidRPr="00B124DC">
        <w:rPr>
          <w:lang w:val="en-GB"/>
        </w:rPr>
        <w:t>10 of the Convention (</w:t>
      </w:r>
      <w:r w:rsidR="00437068">
        <w:rPr>
          <w:lang w:val="en-GB"/>
        </w:rPr>
        <w:t xml:space="preserve">see </w:t>
      </w:r>
      <w:r w:rsidRPr="00B124DC">
        <w:rPr>
          <w:i/>
          <w:lang w:val="en-GB" w:eastAsia="en-US"/>
        </w:rPr>
        <w:t>Kjeldsen, Busk Madsen and Pedersen</w:t>
      </w:r>
      <w:r w:rsidRPr="00B124DC">
        <w:rPr>
          <w:lang w:val="en-GB" w:eastAsia="en-US"/>
        </w:rPr>
        <w:t>, cited above, p.</w:t>
      </w:r>
      <w:r w:rsidR="00437068">
        <w:rPr>
          <w:lang w:val="en-GB" w:eastAsia="en-US"/>
        </w:rPr>
        <w:t> </w:t>
      </w:r>
      <w:r w:rsidRPr="00B124DC">
        <w:rPr>
          <w:lang w:val="en-GB" w:eastAsia="en-US"/>
        </w:rPr>
        <w:t xml:space="preserve">26, § 52 </w:t>
      </w:r>
      <w:r w:rsidRPr="00B124DC">
        <w:rPr>
          <w:i/>
          <w:lang w:val="en-GB" w:eastAsia="en-US"/>
        </w:rPr>
        <w:t>in fine</w:t>
      </w:r>
      <w:r w:rsidRPr="00B124DC">
        <w:rPr>
          <w:lang w:val="en-GB" w:eastAsia="en-US"/>
        </w:rPr>
        <w:t>).</w:t>
      </w:r>
    </w:p>
    <w:p w:rsidR="00DD22A7" w:rsidRPr="00B124DC" w:rsidRDefault="00DD22A7" w:rsidP="00EC2EE3">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156</w:t>
      </w:r>
      <w:r w:rsidRPr="00B124DC">
        <w:rPr>
          <w:lang w:val="en-GB"/>
        </w:rPr>
        <w:fldChar w:fldCharType="end"/>
      </w:r>
      <w:r w:rsidRPr="00B124DC">
        <w:rPr>
          <w:lang w:val="en-GB"/>
        </w:rPr>
        <w:t xml:space="preserve">.  The right to education does not in principle exclude recourse to disciplinary measures, including suspension </w:t>
      </w:r>
      <w:r w:rsidR="002C31C7" w:rsidRPr="00B124DC">
        <w:rPr>
          <w:lang w:val="en-GB"/>
        </w:rPr>
        <w:t>or</w:t>
      </w:r>
      <w:r w:rsidRPr="00B124DC">
        <w:rPr>
          <w:lang w:val="en-GB"/>
        </w:rPr>
        <w:t xml:space="preserve"> expulsion from an educational institution in order to ensure compliance with its internal rules. The imposition of disciplinary penalties is an integral part of the process whereby a school seeks to achieve the object for which it was established, including the development and moulding of the character and mental powers of its pupils (see, among other authorities, </w:t>
      </w:r>
      <w:r w:rsidRPr="00B124DC">
        <w:rPr>
          <w:i/>
          <w:lang w:val="en-GB" w:eastAsia="en-US"/>
        </w:rPr>
        <w:t>Campbell and Cosans</w:t>
      </w:r>
      <w:r w:rsidRPr="00B124DC">
        <w:rPr>
          <w:lang w:val="en-GB" w:eastAsia="en-US"/>
        </w:rPr>
        <w:t>, judgment cited above, p.</w:t>
      </w:r>
      <w:r w:rsidR="00F85BA4">
        <w:rPr>
          <w:lang w:val="en-GB" w:eastAsia="en-US"/>
        </w:rPr>
        <w:t xml:space="preserve"> </w:t>
      </w:r>
      <w:r w:rsidRPr="00B124DC">
        <w:rPr>
          <w:lang w:val="en-GB" w:eastAsia="en-US"/>
        </w:rPr>
        <w:t>14, § 33</w:t>
      </w:r>
      <w:r w:rsidRPr="00B124DC">
        <w:rPr>
          <w:lang w:val="en-GB"/>
        </w:rPr>
        <w:t xml:space="preserve">; see also, with respect to the expulsion of a cadet from </w:t>
      </w:r>
      <w:r w:rsidR="002C31C7" w:rsidRPr="00B124DC">
        <w:rPr>
          <w:lang w:val="en-GB"/>
        </w:rPr>
        <w:t>a</w:t>
      </w:r>
      <w:r w:rsidRPr="00B124DC">
        <w:rPr>
          <w:lang w:val="en-GB"/>
        </w:rPr>
        <w:t xml:space="preserve"> military academy, </w:t>
      </w:r>
      <w:r w:rsidRPr="00B124DC">
        <w:rPr>
          <w:i/>
          <w:lang w:val="en-GB"/>
        </w:rPr>
        <w:t xml:space="preserve">Yanasik, </w:t>
      </w:r>
      <w:r w:rsidRPr="00B124DC">
        <w:rPr>
          <w:lang w:val="en-GB"/>
        </w:rPr>
        <w:t xml:space="preserve">decision cited above, and the expulsion of a student for fraud, </w:t>
      </w:r>
      <w:r w:rsidRPr="00B124DC">
        <w:rPr>
          <w:i/>
          <w:lang w:val="en-GB"/>
        </w:rPr>
        <w:t>Sulak</w:t>
      </w:r>
      <w:r w:rsidRPr="00B124DC">
        <w:rPr>
          <w:lang w:val="en-GB"/>
        </w:rPr>
        <w:t>, decision</w:t>
      </w:r>
      <w:r w:rsidRPr="00B124DC">
        <w:rPr>
          <w:i/>
          <w:lang w:val="en-GB"/>
        </w:rPr>
        <w:t xml:space="preserve"> </w:t>
      </w:r>
      <w:r w:rsidRPr="00B124DC">
        <w:rPr>
          <w:lang w:val="en-GB"/>
        </w:rPr>
        <w:t>cited above).</w:t>
      </w:r>
    </w:p>
    <w:p w:rsidR="00DD22A7" w:rsidRPr="00B124DC" w:rsidRDefault="00DD22A7" w:rsidP="0010193E">
      <w:pPr>
        <w:pStyle w:val="JuHa0"/>
        <w:keepNext/>
        <w:rPr>
          <w:lang w:val="en-GB"/>
        </w:rPr>
      </w:pPr>
      <w:r w:rsidRPr="00B124DC">
        <w:rPr>
          <w:lang w:val="en-GB"/>
        </w:rPr>
        <w:t>(</w:t>
      </w:r>
      <w:r w:rsidR="002E2C33" w:rsidRPr="00B124DC">
        <w:rPr>
          <w:lang w:val="en-GB"/>
        </w:rPr>
        <w:t>b</w:t>
      </w:r>
      <w:r w:rsidRPr="00B124DC">
        <w:rPr>
          <w:lang w:val="en-GB"/>
        </w:rPr>
        <w:t>)  Application of these principles to the present case</w:t>
      </w:r>
    </w:p>
    <w:p w:rsidR="00814221" w:rsidRPr="00B124DC" w:rsidRDefault="00DD22A7" w:rsidP="00DD22A7">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157</w:t>
      </w:r>
      <w:r w:rsidRPr="00B124DC">
        <w:rPr>
          <w:lang w:val="en-GB"/>
        </w:rPr>
        <w:fldChar w:fldCharType="end"/>
      </w:r>
      <w:r w:rsidRPr="00B124DC">
        <w:rPr>
          <w:lang w:val="en-GB"/>
        </w:rPr>
        <w:t>. </w:t>
      </w:r>
      <w:r w:rsidR="00715F94" w:rsidRPr="00B124DC">
        <w:rPr>
          <w:lang w:val="en-GB"/>
        </w:rPr>
        <w:t> </w:t>
      </w:r>
      <w:r w:rsidRPr="00B124DC">
        <w:rPr>
          <w:lang w:val="en-GB"/>
        </w:rPr>
        <w:t xml:space="preserve">By analogy with its reasoning on the question of the existence of interference under Article 9 </w:t>
      </w:r>
      <w:r w:rsidR="007942F0">
        <w:rPr>
          <w:lang w:val="en-GB"/>
        </w:rPr>
        <w:t xml:space="preserve">of the Convention </w:t>
      </w:r>
      <w:r w:rsidRPr="00B124DC">
        <w:rPr>
          <w:lang w:val="en-GB"/>
        </w:rPr>
        <w:t xml:space="preserve">(see paragraph 78 above), the Court is able to accept that the regulations on the basis of which the applicant was refused access to </w:t>
      </w:r>
      <w:r w:rsidR="009B0DBB" w:rsidRPr="00B124DC">
        <w:rPr>
          <w:lang w:val="en-GB"/>
        </w:rPr>
        <w:t xml:space="preserve">various </w:t>
      </w:r>
      <w:r w:rsidRPr="00B124DC">
        <w:rPr>
          <w:lang w:val="en-GB"/>
        </w:rPr>
        <w:t xml:space="preserve">lectures </w:t>
      </w:r>
      <w:r w:rsidR="009B0DBB" w:rsidRPr="00B124DC">
        <w:rPr>
          <w:lang w:val="en-GB"/>
        </w:rPr>
        <w:t>and</w:t>
      </w:r>
      <w:r w:rsidRPr="00B124DC">
        <w:rPr>
          <w:lang w:val="en-GB"/>
        </w:rPr>
        <w:t xml:space="preserve"> examinations for wearing the Islamic headscarf constituted a restriction on her right to education, notwithstanding the fact that she had had access to the </w:t>
      </w:r>
      <w:r w:rsidR="00437068">
        <w:rPr>
          <w:lang w:val="en-GB"/>
        </w:rPr>
        <w:t>u</w:t>
      </w:r>
      <w:r w:rsidRPr="00B124DC">
        <w:rPr>
          <w:lang w:val="en-GB"/>
        </w:rPr>
        <w:t>niversity and be</w:t>
      </w:r>
      <w:r w:rsidR="003524C8" w:rsidRPr="00B124DC">
        <w:rPr>
          <w:lang w:val="en-GB"/>
        </w:rPr>
        <w:t>en</w:t>
      </w:r>
      <w:r w:rsidRPr="00B124DC">
        <w:rPr>
          <w:lang w:val="en-GB"/>
        </w:rPr>
        <w:t xml:space="preserve"> able to read the subject of her choice in accordance with the results she </w:t>
      </w:r>
      <w:r w:rsidR="009B0DBB" w:rsidRPr="00B124DC">
        <w:rPr>
          <w:lang w:val="en-GB"/>
        </w:rPr>
        <w:t xml:space="preserve">had </w:t>
      </w:r>
      <w:r w:rsidRPr="00B124DC">
        <w:rPr>
          <w:lang w:val="en-GB"/>
        </w:rPr>
        <w:t xml:space="preserve">achieved in the university entrance examination. However, an analysis of the case by reference to the right to education cannot in this instance </w:t>
      </w:r>
      <w:r w:rsidR="009B0DBB" w:rsidRPr="00B124DC">
        <w:rPr>
          <w:lang w:val="en-GB"/>
        </w:rPr>
        <w:t>b</w:t>
      </w:r>
      <w:r w:rsidRPr="00B124DC">
        <w:rPr>
          <w:lang w:val="en-GB"/>
        </w:rPr>
        <w:t xml:space="preserve">e </w:t>
      </w:r>
      <w:r w:rsidR="009B0DBB" w:rsidRPr="00B124DC">
        <w:rPr>
          <w:lang w:val="en-GB"/>
        </w:rPr>
        <w:t>divorced</w:t>
      </w:r>
      <w:r w:rsidRPr="00B124DC">
        <w:rPr>
          <w:lang w:val="en-GB"/>
        </w:rPr>
        <w:t xml:space="preserve"> from the </w:t>
      </w:r>
      <w:r w:rsidR="009B0DBB" w:rsidRPr="00B124DC">
        <w:rPr>
          <w:lang w:val="en-GB"/>
        </w:rPr>
        <w:t xml:space="preserve">conclusion reached by the Court </w:t>
      </w:r>
      <w:r w:rsidRPr="00B124DC">
        <w:rPr>
          <w:lang w:val="en-GB"/>
        </w:rPr>
        <w:t>with respect to Article 9 (see paragraph</w:t>
      </w:r>
      <w:r w:rsidR="009B0DBB" w:rsidRPr="00B124DC">
        <w:rPr>
          <w:lang w:val="en-GB"/>
        </w:rPr>
        <w:t> </w:t>
      </w:r>
      <w:r w:rsidRPr="00B124DC">
        <w:rPr>
          <w:lang w:val="en-GB"/>
        </w:rPr>
        <w:t xml:space="preserve">122 above), </w:t>
      </w:r>
      <w:r w:rsidR="009B0DBB" w:rsidRPr="00B124DC">
        <w:rPr>
          <w:lang w:val="en-GB"/>
        </w:rPr>
        <w:t>as</w:t>
      </w:r>
      <w:r w:rsidRPr="00B124DC">
        <w:rPr>
          <w:lang w:val="en-GB"/>
        </w:rPr>
        <w:t xml:space="preserve"> </w:t>
      </w:r>
      <w:r w:rsidR="009B0DBB" w:rsidRPr="00B124DC">
        <w:rPr>
          <w:lang w:val="en-GB"/>
        </w:rPr>
        <w:t>the</w:t>
      </w:r>
      <w:r w:rsidRPr="00B124DC">
        <w:rPr>
          <w:lang w:val="en-GB"/>
        </w:rPr>
        <w:t xml:space="preserve"> </w:t>
      </w:r>
      <w:r w:rsidR="009B0DBB" w:rsidRPr="00B124DC">
        <w:rPr>
          <w:lang w:val="en-GB"/>
        </w:rPr>
        <w:t xml:space="preserve">considerations taken into account under that provision are </w:t>
      </w:r>
      <w:r w:rsidRPr="00B124DC">
        <w:rPr>
          <w:lang w:val="en-GB"/>
        </w:rPr>
        <w:t>clearly appl</w:t>
      </w:r>
      <w:r w:rsidR="009B0DBB" w:rsidRPr="00B124DC">
        <w:rPr>
          <w:lang w:val="en-GB"/>
        </w:rPr>
        <w:t>icable</w:t>
      </w:r>
      <w:r w:rsidRPr="00B124DC">
        <w:rPr>
          <w:lang w:val="en-GB"/>
        </w:rPr>
        <w:t xml:space="preserve"> to the complaint under Article 2 of Protocol No.</w:t>
      </w:r>
      <w:r w:rsidR="0010193E">
        <w:rPr>
          <w:lang w:val="en-GB"/>
        </w:rPr>
        <w:t> </w:t>
      </w:r>
      <w:r w:rsidRPr="00B124DC">
        <w:rPr>
          <w:lang w:val="en-GB"/>
        </w:rPr>
        <w:t xml:space="preserve">1, which </w:t>
      </w:r>
      <w:r w:rsidR="009B0DBB" w:rsidRPr="00B124DC">
        <w:rPr>
          <w:lang w:val="en-GB"/>
        </w:rPr>
        <w:t xml:space="preserve">complaint </w:t>
      </w:r>
      <w:r w:rsidRPr="00B124DC">
        <w:rPr>
          <w:lang w:val="en-GB"/>
        </w:rPr>
        <w:t xml:space="preserve">consists of criticism of the regulation concerned </w:t>
      </w:r>
      <w:r w:rsidR="009B0DBB" w:rsidRPr="00B124DC">
        <w:rPr>
          <w:lang w:val="en-GB"/>
        </w:rPr>
        <w:t>that takes much the same form as</w:t>
      </w:r>
      <w:r w:rsidRPr="00B124DC">
        <w:rPr>
          <w:lang w:val="en-GB"/>
        </w:rPr>
        <w:t xml:space="preserve"> </w:t>
      </w:r>
      <w:r w:rsidR="000C48A0">
        <w:rPr>
          <w:lang w:val="en-GB"/>
        </w:rPr>
        <w:t xml:space="preserve">that </w:t>
      </w:r>
      <w:r w:rsidR="00224DCF" w:rsidRPr="00B124DC">
        <w:rPr>
          <w:lang w:val="en-GB"/>
        </w:rPr>
        <w:t>made</w:t>
      </w:r>
      <w:r w:rsidRPr="00B124DC">
        <w:rPr>
          <w:lang w:val="en-GB"/>
        </w:rPr>
        <w:t xml:space="preserve"> with respect to Article 9.</w:t>
      </w:r>
    </w:p>
    <w:p w:rsidR="009B34F0" w:rsidRPr="00B124DC" w:rsidRDefault="009B34F0" w:rsidP="009B34F0">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158</w:t>
      </w:r>
      <w:r w:rsidRPr="00B124DC">
        <w:rPr>
          <w:lang w:val="en-GB"/>
        </w:rPr>
        <w:fldChar w:fldCharType="end"/>
      </w:r>
      <w:r w:rsidRPr="00B124DC">
        <w:rPr>
          <w:lang w:val="en-GB"/>
        </w:rPr>
        <w:t xml:space="preserve">.  In that connection, the Court has already found that the restriction was foreseeable to </w:t>
      </w:r>
      <w:r w:rsidR="00BC3B6A" w:rsidRPr="00B124DC">
        <w:rPr>
          <w:lang w:val="en-GB"/>
        </w:rPr>
        <w:t>those concerned</w:t>
      </w:r>
      <w:r w:rsidRPr="00B124DC">
        <w:rPr>
          <w:lang w:val="en-GB"/>
        </w:rPr>
        <w:t xml:space="preserve"> and pursue</w:t>
      </w:r>
      <w:r w:rsidR="00BC3B6A" w:rsidRPr="00B124DC">
        <w:rPr>
          <w:lang w:val="en-GB"/>
        </w:rPr>
        <w:t>d</w:t>
      </w:r>
      <w:r w:rsidRPr="00B124DC">
        <w:rPr>
          <w:lang w:val="en-GB"/>
        </w:rPr>
        <w:t xml:space="preserve"> the legitimate aims of protecting the rights and freedoms of others and maintaining public order (see paragraphs 98 </w:t>
      </w:r>
      <w:r w:rsidR="0010193E">
        <w:rPr>
          <w:lang w:val="en-GB"/>
        </w:rPr>
        <w:t>and</w:t>
      </w:r>
      <w:r w:rsidRPr="00B124DC">
        <w:rPr>
          <w:lang w:val="en-GB"/>
        </w:rPr>
        <w:t xml:space="preserve"> 99 above). The obvious purpose of th</w:t>
      </w:r>
      <w:r w:rsidR="00746B3A" w:rsidRPr="00B124DC">
        <w:rPr>
          <w:lang w:val="en-GB"/>
        </w:rPr>
        <w:t>e</w:t>
      </w:r>
      <w:r w:rsidRPr="00B124DC">
        <w:rPr>
          <w:lang w:val="en-GB"/>
        </w:rPr>
        <w:t xml:space="preserve"> restriction </w:t>
      </w:r>
      <w:r w:rsidR="00BC3B6A" w:rsidRPr="00B124DC">
        <w:rPr>
          <w:lang w:val="en-GB"/>
        </w:rPr>
        <w:t>wa</w:t>
      </w:r>
      <w:r w:rsidRPr="00B124DC">
        <w:rPr>
          <w:lang w:val="en-GB"/>
        </w:rPr>
        <w:t>s to preserve the secular character of educational institutions.</w:t>
      </w:r>
    </w:p>
    <w:p w:rsidR="0098730A" w:rsidRPr="00B124DC" w:rsidRDefault="009B34F0" w:rsidP="009B34F0">
      <w:pPr>
        <w:pStyle w:val="JuPara"/>
        <w:rPr>
          <w:sz w:val="20"/>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159</w:t>
      </w:r>
      <w:r w:rsidRPr="00B124DC">
        <w:rPr>
          <w:lang w:val="en-GB"/>
        </w:rPr>
        <w:fldChar w:fldCharType="end"/>
      </w:r>
      <w:r w:rsidRPr="00B124DC">
        <w:rPr>
          <w:lang w:val="en-GB"/>
        </w:rPr>
        <w:t xml:space="preserve">.  As regards the principle </w:t>
      </w:r>
      <w:r w:rsidR="00BC3B6A" w:rsidRPr="00B124DC">
        <w:rPr>
          <w:lang w:val="en-GB"/>
        </w:rPr>
        <w:t xml:space="preserve">of </w:t>
      </w:r>
      <w:r w:rsidRPr="00B124DC">
        <w:rPr>
          <w:lang w:val="en-GB"/>
        </w:rPr>
        <w:t xml:space="preserve">proportionality, the Court </w:t>
      </w:r>
      <w:r w:rsidR="003B128A" w:rsidRPr="00B124DC">
        <w:rPr>
          <w:lang w:val="en-GB"/>
        </w:rPr>
        <w:t>found</w:t>
      </w:r>
      <w:r w:rsidRPr="00B124DC">
        <w:rPr>
          <w:lang w:val="en-GB"/>
        </w:rPr>
        <w:t xml:space="preserve"> in paragraphs 118 to 121 above that </w:t>
      </w:r>
      <w:r w:rsidR="00E34F83" w:rsidRPr="00B124DC">
        <w:rPr>
          <w:lang w:val="en-GB"/>
        </w:rPr>
        <w:t xml:space="preserve">there was </w:t>
      </w:r>
      <w:r w:rsidRPr="00B124DC">
        <w:rPr>
          <w:lang w:val="en-GB"/>
        </w:rPr>
        <w:t xml:space="preserve">a reasonable relationship of proportionality between the means used </w:t>
      </w:r>
      <w:r w:rsidR="003B128A" w:rsidRPr="00B124DC">
        <w:rPr>
          <w:lang w:val="en-GB"/>
        </w:rPr>
        <w:t>and</w:t>
      </w:r>
      <w:r w:rsidRPr="00B124DC">
        <w:rPr>
          <w:lang w:val="en-GB"/>
        </w:rPr>
        <w:t xml:space="preserve"> the aim pursued. In so </w:t>
      </w:r>
      <w:r w:rsidR="00E34F83" w:rsidRPr="00B124DC">
        <w:rPr>
          <w:lang w:val="en-GB"/>
        </w:rPr>
        <w:t>finding</w:t>
      </w:r>
      <w:r w:rsidRPr="00B124DC">
        <w:rPr>
          <w:lang w:val="en-GB"/>
        </w:rPr>
        <w:t xml:space="preserve">, it relied in particular on the following factors which are clearly relevant here. Firstly, the measures in question manifestly did not hinder the students in performing the duties </w:t>
      </w:r>
      <w:r w:rsidR="00A152F4" w:rsidRPr="00B124DC">
        <w:rPr>
          <w:lang w:val="en-GB"/>
        </w:rPr>
        <w:t>imposed by</w:t>
      </w:r>
      <w:r w:rsidRPr="00B124DC">
        <w:rPr>
          <w:lang w:val="en-GB"/>
        </w:rPr>
        <w:t xml:space="preserve"> the habitual forms of religious observance. Secondly, the decision-making process </w:t>
      </w:r>
      <w:r w:rsidR="00E34F83" w:rsidRPr="00B124DC">
        <w:rPr>
          <w:lang w:val="en-GB"/>
        </w:rPr>
        <w:t>for</w:t>
      </w:r>
      <w:r w:rsidRPr="00B124DC">
        <w:rPr>
          <w:lang w:val="en-GB"/>
        </w:rPr>
        <w:t xml:space="preserve"> apply</w:t>
      </w:r>
      <w:r w:rsidR="00E34F83" w:rsidRPr="00B124DC">
        <w:rPr>
          <w:lang w:val="en-GB"/>
        </w:rPr>
        <w:t>ing</w:t>
      </w:r>
      <w:r w:rsidRPr="00B124DC">
        <w:rPr>
          <w:lang w:val="en-GB"/>
        </w:rPr>
        <w:t xml:space="preserve"> the internal regulations </w:t>
      </w:r>
      <w:r w:rsidR="00E34F83" w:rsidRPr="00B124DC">
        <w:rPr>
          <w:lang w:val="en-GB"/>
        </w:rPr>
        <w:t xml:space="preserve">satisfied, so far as was possible, the requirement to weigh up </w:t>
      </w:r>
      <w:r w:rsidR="003B128A" w:rsidRPr="00B124DC">
        <w:rPr>
          <w:lang w:val="en-GB"/>
        </w:rPr>
        <w:t>the various interests at stake</w:t>
      </w:r>
      <w:r w:rsidRPr="00B124DC">
        <w:rPr>
          <w:lang w:val="en-GB"/>
        </w:rPr>
        <w:t xml:space="preserve">. The university authorities </w:t>
      </w:r>
      <w:r w:rsidR="008117CC" w:rsidRPr="00B124DC">
        <w:rPr>
          <w:lang w:val="en-GB"/>
        </w:rPr>
        <w:t xml:space="preserve">judiciously </w:t>
      </w:r>
      <w:r w:rsidR="00E34F83" w:rsidRPr="00B124DC">
        <w:rPr>
          <w:lang w:val="en-GB"/>
        </w:rPr>
        <w:t xml:space="preserve">sought </w:t>
      </w:r>
      <w:r w:rsidR="003B128A" w:rsidRPr="00B124DC">
        <w:rPr>
          <w:lang w:val="en-GB"/>
        </w:rPr>
        <w:t xml:space="preserve">a means </w:t>
      </w:r>
      <w:r w:rsidR="00E34F83" w:rsidRPr="00B124DC">
        <w:rPr>
          <w:lang w:val="en-GB"/>
        </w:rPr>
        <w:t xml:space="preserve">whereby they could </w:t>
      </w:r>
      <w:r w:rsidRPr="00B124DC">
        <w:rPr>
          <w:lang w:val="en-GB"/>
        </w:rPr>
        <w:t xml:space="preserve">avoid </w:t>
      </w:r>
      <w:r w:rsidR="00E34F83" w:rsidRPr="00B124DC">
        <w:rPr>
          <w:lang w:val="en-GB"/>
        </w:rPr>
        <w:t xml:space="preserve">having to </w:t>
      </w:r>
      <w:r w:rsidR="003B128A" w:rsidRPr="00B124DC">
        <w:rPr>
          <w:lang w:val="en-GB"/>
        </w:rPr>
        <w:t>turn away</w:t>
      </w:r>
      <w:r w:rsidRPr="00B124DC">
        <w:rPr>
          <w:lang w:val="en-GB"/>
        </w:rPr>
        <w:t xml:space="preserve"> students wearing the headscarf </w:t>
      </w:r>
      <w:r w:rsidR="00E34F83" w:rsidRPr="00B124DC">
        <w:rPr>
          <w:lang w:val="en-GB"/>
        </w:rPr>
        <w:t>and</w:t>
      </w:r>
      <w:r w:rsidR="00E87B03" w:rsidRPr="00B124DC">
        <w:rPr>
          <w:lang w:val="en-GB"/>
        </w:rPr>
        <w:t xml:space="preserve"> at the same time honour </w:t>
      </w:r>
      <w:r w:rsidRPr="00B124DC">
        <w:rPr>
          <w:lang w:val="en-GB"/>
        </w:rPr>
        <w:t xml:space="preserve">their obligation to protect the rights of others and the interests of the education system. Lastly, the process also appears to have been accompanied by safeguards – the </w:t>
      </w:r>
      <w:r w:rsidR="00A152F4" w:rsidRPr="00B124DC">
        <w:rPr>
          <w:lang w:val="en-GB"/>
        </w:rPr>
        <w:t xml:space="preserve">rule requiring conformity with statute </w:t>
      </w:r>
      <w:r w:rsidRPr="00B124DC">
        <w:rPr>
          <w:lang w:val="en-GB"/>
        </w:rPr>
        <w:t>and judicial review – that were apt to protect the students</w:t>
      </w:r>
      <w:r w:rsidR="0006350D">
        <w:rPr>
          <w:lang w:val="en-GB"/>
        </w:rPr>
        <w:t>’</w:t>
      </w:r>
      <w:r w:rsidRPr="00B124DC">
        <w:rPr>
          <w:lang w:val="en-GB"/>
        </w:rPr>
        <w:t xml:space="preserve"> interests (see paragraph 95 above).</w:t>
      </w:r>
    </w:p>
    <w:p w:rsidR="0098730A" w:rsidRPr="00B124DC" w:rsidRDefault="009B34F0" w:rsidP="009B34F0">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160</w:t>
      </w:r>
      <w:r w:rsidRPr="00B124DC">
        <w:rPr>
          <w:lang w:val="en-GB"/>
        </w:rPr>
        <w:fldChar w:fldCharType="end"/>
      </w:r>
      <w:r w:rsidRPr="00B124DC">
        <w:rPr>
          <w:lang w:val="en-GB"/>
        </w:rPr>
        <w:t>.  </w:t>
      </w:r>
      <w:r w:rsidR="002B4C51" w:rsidRPr="00B124DC">
        <w:rPr>
          <w:lang w:val="en-GB"/>
        </w:rPr>
        <w:t>It would, furthermore,</w:t>
      </w:r>
      <w:r w:rsidRPr="00B124DC">
        <w:rPr>
          <w:lang w:val="en-GB"/>
        </w:rPr>
        <w:t xml:space="preserve"> </w:t>
      </w:r>
      <w:r w:rsidR="002B4C51" w:rsidRPr="00B124DC">
        <w:rPr>
          <w:lang w:val="en-GB"/>
        </w:rPr>
        <w:t xml:space="preserve">be </w:t>
      </w:r>
      <w:r w:rsidRPr="00B124DC">
        <w:rPr>
          <w:lang w:val="en-GB"/>
        </w:rPr>
        <w:t xml:space="preserve">unrealistic to </w:t>
      </w:r>
      <w:r w:rsidR="002B4C51" w:rsidRPr="00B124DC">
        <w:rPr>
          <w:lang w:val="en-GB"/>
        </w:rPr>
        <w:t>imagine</w:t>
      </w:r>
      <w:r w:rsidRPr="00B124DC">
        <w:rPr>
          <w:lang w:val="en-GB"/>
        </w:rPr>
        <w:t xml:space="preserve"> that the applicant, a medical student, </w:t>
      </w:r>
      <w:r w:rsidR="00746B3A" w:rsidRPr="00B124DC">
        <w:rPr>
          <w:lang w:val="en-GB"/>
        </w:rPr>
        <w:t>was</w:t>
      </w:r>
      <w:r w:rsidRPr="00B124DC">
        <w:rPr>
          <w:lang w:val="en-GB"/>
        </w:rPr>
        <w:t xml:space="preserve"> unaware of </w:t>
      </w:r>
      <w:smartTag w:uri="urn:schemas-microsoft-com:office:smarttags" w:element="place">
        <w:smartTag w:uri="urn:schemas-microsoft-com:office:smarttags" w:element="PlaceName">
          <w:r w:rsidR="00297D0F" w:rsidRPr="00B124DC">
            <w:rPr>
              <w:lang w:val="en-GB"/>
            </w:rPr>
            <w:t>Istanbul</w:t>
          </w:r>
        </w:smartTag>
        <w:r w:rsidR="00297D0F" w:rsidRPr="00B124DC">
          <w:rPr>
            <w:lang w:val="en-GB"/>
          </w:rPr>
          <w:t xml:space="preserve"> </w:t>
        </w:r>
        <w:smartTag w:uri="urn:schemas-microsoft-com:office:smarttags" w:element="PlaceType">
          <w:r w:rsidRPr="00B124DC">
            <w:rPr>
              <w:lang w:val="en-GB"/>
            </w:rPr>
            <w:t>University</w:t>
          </w:r>
        </w:smartTag>
      </w:smartTag>
      <w:r w:rsidR="0006350D">
        <w:rPr>
          <w:lang w:val="en-GB"/>
        </w:rPr>
        <w:t>’</w:t>
      </w:r>
      <w:r w:rsidRPr="00B124DC">
        <w:rPr>
          <w:lang w:val="en-GB"/>
        </w:rPr>
        <w:t>s internal regulations restricting the place</w:t>
      </w:r>
      <w:r w:rsidR="002B4C51" w:rsidRPr="00B124DC">
        <w:rPr>
          <w:lang w:val="en-GB"/>
        </w:rPr>
        <w:t>s</w:t>
      </w:r>
      <w:r w:rsidRPr="00B124DC">
        <w:rPr>
          <w:lang w:val="en-GB"/>
        </w:rPr>
        <w:t xml:space="preserve"> where religious dress could be worn </w:t>
      </w:r>
      <w:r w:rsidR="002B4C51" w:rsidRPr="00B124DC">
        <w:rPr>
          <w:lang w:val="en-GB"/>
        </w:rPr>
        <w:t>or</w:t>
      </w:r>
      <w:r w:rsidRPr="00B124DC">
        <w:rPr>
          <w:lang w:val="en-GB"/>
        </w:rPr>
        <w:t xml:space="preserve"> </w:t>
      </w:r>
      <w:r w:rsidR="002B4C51" w:rsidRPr="00B124DC">
        <w:rPr>
          <w:lang w:val="en-GB"/>
        </w:rPr>
        <w:t>ha</w:t>
      </w:r>
      <w:r w:rsidRPr="00B124DC">
        <w:rPr>
          <w:lang w:val="en-GB"/>
        </w:rPr>
        <w:t xml:space="preserve">d not </w:t>
      </w:r>
      <w:r w:rsidR="002B4C51" w:rsidRPr="00B124DC">
        <w:rPr>
          <w:lang w:val="en-GB"/>
        </w:rPr>
        <w:t xml:space="preserve">been </w:t>
      </w:r>
      <w:r w:rsidRPr="00B124DC">
        <w:rPr>
          <w:lang w:val="en-GB"/>
        </w:rPr>
        <w:t>sufficient</w:t>
      </w:r>
      <w:r w:rsidR="002B4C51" w:rsidRPr="00B124DC">
        <w:rPr>
          <w:lang w:val="en-GB"/>
        </w:rPr>
        <w:t>ly</w:t>
      </w:r>
      <w:r w:rsidRPr="00B124DC">
        <w:rPr>
          <w:lang w:val="en-GB"/>
        </w:rPr>
        <w:t xml:space="preserve"> inform</w:t>
      </w:r>
      <w:r w:rsidR="002B4C51" w:rsidRPr="00B124DC">
        <w:rPr>
          <w:lang w:val="en-GB"/>
        </w:rPr>
        <w:t>ed</w:t>
      </w:r>
      <w:r w:rsidRPr="00B124DC">
        <w:rPr>
          <w:lang w:val="en-GB"/>
        </w:rPr>
        <w:t xml:space="preserve"> about the </w:t>
      </w:r>
      <w:r w:rsidR="002B4C51" w:rsidRPr="00B124DC">
        <w:rPr>
          <w:lang w:val="en-GB"/>
        </w:rPr>
        <w:t>reasons</w:t>
      </w:r>
      <w:r w:rsidRPr="00B124DC">
        <w:rPr>
          <w:lang w:val="en-GB"/>
        </w:rPr>
        <w:t xml:space="preserve"> for th</w:t>
      </w:r>
      <w:r w:rsidR="002B4C51" w:rsidRPr="00B124DC">
        <w:rPr>
          <w:lang w:val="en-GB"/>
        </w:rPr>
        <w:t>eir introduction</w:t>
      </w:r>
      <w:r w:rsidRPr="00B124DC">
        <w:rPr>
          <w:lang w:val="en-GB"/>
        </w:rPr>
        <w:t>. She could reasonably have foreseen that she ran the risk of being refused access to lectures and examinations if</w:t>
      </w:r>
      <w:r w:rsidR="002B4C51" w:rsidRPr="00B124DC">
        <w:rPr>
          <w:lang w:val="en-GB"/>
        </w:rPr>
        <w:t>,</w:t>
      </w:r>
      <w:r w:rsidRPr="00B124DC">
        <w:rPr>
          <w:lang w:val="en-GB"/>
        </w:rPr>
        <w:t xml:space="preserve"> </w:t>
      </w:r>
      <w:r w:rsidR="002B4C51" w:rsidRPr="00B124DC">
        <w:rPr>
          <w:lang w:val="en-GB"/>
        </w:rPr>
        <w:t xml:space="preserve">as subsequently happened, </w:t>
      </w:r>
      <w:r w:rsidRPr="00B124DC">
        <w:rPr>
          <w:lang w:val="en-GB"/>
        </w:rPr>
        <w:t>she continued to w</w:t>
      </w:r>
      <w:r w:rsidR="002B4C51" w:rsidRPr="00B124DC">
        <w:rPr>
          <w:lang w:val="en-GB"/>
        </w:rPr>
        <w:t>ear</w:t>
      </w:r>
      <w:r w:rsidRPr="00B124DC">
        <w:rPr>
          <w:lang w:val="en-GB"/>
        </w:rPr>
        <w:t xml:space="preserve"> the Islamic headscarf after </w:t>
      </w:r>
      <w:smartTag w:uri="urn:schemas-microsoft-com:office:smarttags" w:element="date">
        <w:smartTagPr>
          <w:attr w:name="Month" w:val="2"/>
          <w:attr w:name="Day" w:val="23"/>
          <w:attr w:name="Year" w:val="1998"/>
        </w:smartTagPr>
        <w:r w:rsidRPr="00B124DC">
          <w:rPr>
            <w:lang w:val="en-GB"/>
          </w:rPr>
          <w:t>23</w:t>
        </w:r>
        <w:r w:rsidR="00267CF3">
          <w:rPr>
            <w:lang w:val="en-GB"/>
          </w:rPr>
          <w:t xml:space="preserve"> </w:t>
        </w:r>
        <w:r w:rsidRPr="00B124DC">
          <w:rPr>
            <w:lang w:val="en-GB"/>
          </w:rPr>
          <w:t>February 1998</w:t>
        </w:r>
      </w:smartTag>
      <w:r w:rsidRPr="00B124DC">
        <w:rPr>
          <w:lang w:val="en-GB"/>
        </w:rPr>
        <w:t>.</w:t>
      </w:r>
    </w:p>
    <w:p w:rsidR="0098730A" w:rsidRPr="00B124DC" w:rsidRDefault="009B34F0" w:rsidP="009B34F0">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161</w:t>
      </w:r>
      <w:r w:rsidRPr="00B124DC">
        <w:rPr>
          <w:lang w:val="en-GB"/>
        </w:rPr>
        <w:fldChar w:fldCharType="end"/>
      </w:r>
      <w:r w:rsidRPr="00B124DC">
        <w:rPr>
          <w:lang w:val="en-GB"/>
        </w:rPr>
        <w:t>.  Consequently, the restriction in question did not impair the very essence of the applicant</w:t>
      </w:r>
      <w:r w:rsidR="0006350D">
        <w:rPr>
          <w:lang w:val="en-GB"/>
        </w:rPr>
        <w:t>’</w:t>
      </w:r>
      <w:r w:rsidRPr="00B124DC">
        <w:rPr>
          <w:lang w:val="en-GB"/>
        </w:rPr>
        <w:t>s right to education. In addition, in the light of its findings with respect to the other Articles relied on b</w:t>
      </w:r>
      <w:r w:rsidR="0010193E">
        <w:rPr>
          <w:lang w:val="en-GB"/>
        </w:rPr>
        <w:t>y the applicant (see paragraphs </w:t>
      </w:r>
      <w:r w:rsidRPr="00B124DC">
        <w:rPr>
          <w:lang w:val="en-GB"/>
        </w:rPr>
        <w:t xml:space="preserve">122 above </w:t>
      </w:r>
      <w:r w:rsidR="00010827" w:rsidRPr="00B124DC">
        <w:rPr>
          <w:lang w:val="en-GB"/>
        </w:rPr>
        <w:t>and</w:t>
      </w:r>
      <w:r w:rsidRPr="00B124DC">
        <w:rPr>
          <w:lang w:val="en-GB"/>
        </w:rPr>
        <w:t xml:space="preserve"> 166 below), the Court observes that the restriction did not conflict with other rights enshrined in the Convention </w:t>
      </w:r>
      <w:r w:rsidR="007645C7" w:rsidRPr="00B124DC">
        <w:rPr>
          <w:lang w:val="en-GB"/>
        </w:rPr>
        <w:t>or</w:t>
      </w:r>
      <w:r w:rsidRPr="00B124DC">
        <w:rPr>
          <w:lang w:val="en-GB"/>
        </w:rPr>
        <w:t xml:space="preserve"> its Protocols</w:t>
      </w:r>
      <w:r w:rsidR="00BB00A4" w:rsidRPr="00B124DC">
        <w:rPr>
          <w:lang w:val="en-GB"/>
        </w:rPr>
        <w:t xml:space="preserve"> either</w:t>
      </w:r>
      <w:r w:rsidRPr="00B124DC">
        <w:rPr>
          <w:lang w:val="en-GB"/>
        </w:rPr>
        <w:t>.</w:t>
      </w:r>
    </w:p>
    <w:p w:rsidR="0098730A" w:rsidRPr="00B124DC" w:rsidRDefault="009B34F0" w:rsidP="009B34F0">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162</w:t>
      </w:r>
      <w:r w:rsidRPr="00B124DC">
        <w:rPr>
          <w:lang w:val="en-GB"/>
        </w:rPr>
        <w:fldChar w:fldCharType="end"/>
      </w:r>
      <w:r w:rsidRPr="00B124DC">
        <w:rPr>
          <w:lang w:val="en-GB"/>
        </w:rPr>
        <w:t>.  In conclusion, there has been no violation of the first sentence of Article 2 of Protocol No. 1.</w:t>
      </w:r>
    </w:p>
    <w:p w:rsidR="009B34F0" w:rsidRPr="00B124DC" w:rsidRDefault="00C46C7F" w:rsidP="00817457">
      <w:pPr>
        <w:pStyle w:val="JuHIRoman"/>
        <w:ind w:left="454" w:hanging="454"/>
        <w:rPr>
          <w:lang w:val="en-GB"/>
        </w:rPr>
      </w:pPr>
      <w:r w:rsidRPr="00B124DC">
        <w:rPr>
          <w:lang w:val="en-GB"/>
        </w:rPr>
        <w:br w:type="page"/>
      </w:r>
      <w:r w:rsidR="009B34F0" w:rsidRPr="00B124DC">
        <w:rPr>
          <w:lang w:val="en-GB"/>
        </w:rPr>
        <w:t>III.  ALLEGED VIOLATION OF ARTICLES 8, 10 AND 14 OF THE CONVENTION</w:t>
      </w:r>
    </w:p>
    <w:p w:rsidR="009B34F0" w:rsidRPr="00B124DC" w:rsidRDefault="009B34F0" w:rsidP="009B34F0">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163</w:t>
      </w:r>
      <w:r w:rsidRPr="00B124DC">
        <w:rPr>
          <w:lang w:val="en-GB"/>
        </w:rPr>
        <w:fldChar w:fldCharType="end"/>
      </w:r>
      <w:r w:rsidRPr="00B124DC">
        <w:rPr>
          <w:lang w:val="en-GB"/>
        </w:rPr>
        <w:t xml:space="preserve">.  As she had done before the Chamber, the applicant alleged a violation of Articles 8, 10 </w:t>
      </w:r>
      <w:r w:rsidR="00C46C7F" w:rsidRPr="00B124DC">
        <w:rPr>
          <w:lang w:val="en-GB"/>
        </w:rPr>
        <w:t>and</w:t>
      </w:r>
      <w:r w:rsidRPr="00B124DC">
        <w:rPr>
          <w:lang w:val="en-GB"/>
        </w:rPr>
        <w:t xml:space="preserve"> 14 of the Convention, arguing that the impugned regulations had infringed her right to respect for her private life and her right to freedom of expression and was discriminatory.</w:t>
      </w:r>
    </w:p>
    <w:p w:rsidR="009B34F0" w:rsidRPr="00B124DC" w:rsidRDefault="009B34F0" w:rsidP="009B34F0">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164</w:t>
      </w:r>
      <w:r w:rsidRPr="00B124DC">
        <w:rPr>
          <w:lang w:val="en-GB"/>
        </w:rPr>
        <w:fldChar w:fldCharType="end"/>
      </w:r>
      <w:r w:rsidRPr="00B124DC">
        <w:rPr>
          <w:lang w:val="en-GB"/>
        </w:rPr>
        <w:t>.  The Court, however, does not find</w:t>
      </w:r>
      <w:r w:rsidR="00E7069D">
        <w:rPr>
          <w:lang w:val="en-GB"/>
        </w:rPr>
        <w:t xml:space="preserve"> any violation of Articles 8 or</w:t>
      </w:r>
      <w:r w:rsidR="001C1DEA">
        <w:rPr>
          <w:lang w:val="en-GB"/>
        </w:rPr>
        <w:t xml:space="preserve"> </w:t>
      </w:r>
      <w:r w:rsidRPr="00B124DC">
        <w:rPr>
          <w:lang w:val="en-GB"/>
        </w:rPr>
        <w:t xml:space="preserve">10 of the Convention, the arguments advanced by the applicant being a mere reformulation of her complaint under Article </w:t>
      </w:r>
      <w:r w:rsidR="00E7069D">
        <w:rPr>
          <w:lang w:val="en-GB"/>
        </w:rPr>
        <w:t>9 of the Convention and Article </w:t>
      </w:r>
      <w:r w:rsidRPr="00B124DC">
        <w:rPr>
          <w:lang w:val="en-GB"/>
        </w:rPr>
        <w:t xml:space="preserve">2 of Protocol No. 1, in respect of which the Court </w:t>
      </w:r>
      <w:r w:rsidR="004A1131" w:rsidRPr="00B124DC">
        <w:rPr>
          <w:lang w:val="en-GB"/>
        </w:rPr>
        <w:t xml:space="preserve">has </w:t>
      </w:r>
      <w:r w:rsidR="000C48A0">
        <w:rPr>
          <w:lang w:val="en-GB"/>
        </w:rPr>
        <w:t>concluded that there has</w:t>
      </w:r>
      <w:r w:rsidRPr="00B124DC">
        <w:rPr>
          <w:lang w:val="en-GB"/>
        </w:rPr>
        <w:t xml:space="preserve"> been no violation.</w:t>
      </w:r>
    </w:p>
    <w:p w:rsidR="0098730A" w:rsidRPr="00B124DC" w:rsidRDefault="009B34F0" w:rsidP="009B34F0">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165</w:t>
      </w:r>
      <w:r w:rsidRPr="00B124DC">
        <w:rPr>
          <w:lang w:val="en-GB"/>
        </w:rPr>
        <w:fldChar w:fldCharType="end"/>
      </w:r>
      <w:r w:rsidRPr="00B124DC">
        <w:rPr>
          <w:lang w:val="en-GB"/>
        </w:rPr>
        <w:t xml:space="preserve">.  As regards the complaint under Article 14, taken </w:t>
      </w:r>
      <w:r w:rsidR="00437068">
        <w:rPr>
          <w:lang w:val="en-GB"/>
        </w:rPr>
        <w:t>alone</w:t>
      </w:r>
      <w:r w:rsidRPr="00B124DC">
        <w:rPr>
          <w:lang w:val="en-GB"/>
        </w:rPr>
        <w:t xml:space="preserve"> or </w:t>
      </w:r>
      <w:r w:rsidR="00437068">
        <w:rPr>
          <w:lang w:val="en-GB"/>
        </w:rPr>
        <w:t>in conjunction</w:t>
      </w:r>
      <w:r w:rsidRPr="00B124DC">
        <w:rPr>
          <w:lang w:val="en-GB"/>
        </w:rPr>
        <w:t xml:space="preserve"> with Article 9 of the Convention or the first sentence of Article</w:t>
      </w:r>
      <w:r w:rsidR="00437068">
        <w:rPr>
          <w:lang w:val="en-GB"/>
        </w:rPr>
        <w:t> </w:t>
      </w:r>
      <w:r w:rsidRPr="00B124DC">
        <w:rPr>
          <w:lang w:val="en-GB"/>
        </w:rPr>
        <w:t xml:space="preserve">2 of Protocol No. 1, the Court notes that the applicant did not provide detailed particulars in her pleadings before the Grand Chamber. Furthermore, as has already been noted (see paragraphs 99 and 158 above), the regulations </w:t>
      </w:r>
      <w:r w:rsidR="00DA339C" w:rsidRPr="00B124DC">
        <w:rPr>
          <w:lang w:val="en-GB"/>
        </w:rPr>
        <w:t>on</w:t>
      </w:r>
      <w:r w:rsidRPr="00B124DC">
        <w:rPr>
          <w:lang w:val="en-GB"/>
        </w:rPr>
        <w:t xml:space="preserve"> the Islamic headscarf were not directed against the applicant</w:t>
      </w:r>
      <w:r w:rsidR="0006350D">
        <w:rPr>
          <w:lang w:val="en-GB"/>
        </w:rPr>
        <w:t>’</w:t>
      </w:r>
      <w:r w:rsidRPr="00B124DC">
        <w:rPr>
          <w:lang w:val="en-GB"/>
        </w:rPr>
        <w:t xml:space="preserve">s religious affiliation, but pursued, among other things, the legitimate aim of protecting order and the rights and freedoms of others and were manifestly intended to preserve the secular nature of educational </w:t>
      </w:r>
      <w:r w:rsidR="00DA339C" w:rsidRPr="00B124DC">
        <w:rPr>
          <w:lang w:val="en-GB"/>
        </w:rPr>
        <w:t>institutions</w:t>
      </w:r>
      <w:r w:rsidRPr="00B124DC">
        <w:rPr>
          <w:lang w:val="en-GB"/>
        </w:rPr>
        <w:t>. Consequently, the reasons which led the Court to conclude that there h</w:t>
      </w:r>
      <w:r w:rsidR="00E7069D">
        <w:rPr>
          <w:lang w:val="en-GB"/>
        </w:rPr>
        <w:t>as been no violation of Article</w:t>
      </w:r>
      <w:r w:rsidR="0043110F">
        <w:rPr>
          <w:lang w:val="en-GB"/>
        </w:rPr>
        <w:t xml:space="preserve"> </w:t>
      </w:r>
      <w:r w:rsidRPr="00B124DC">
        <w:rPr>
          <w:lang w:val="en-GB"/>
        </w:rPr>
        <w:t xml:space="preserve">9 of the Convention or Article 2 of Protocol No. 1 incontestably also apply to the complaint under Article 14, taken </w:t>
      </w:r>
      <w:r w:rsidR="00437068">
        <w:rPr>
          <w:lang w:val="en-GB"/>
        </w:rPr>
        <w:t>alone</w:t>
      </w:r>
      <w:r w:rsidRPr="00B124DC">
        <w:rPr>
          <w:lang w:val="en-GB"/>
        </w:rPr>
        <w:t xml:space="preserve"> or </w:t>
      </w:r>
      <w:r w:rsidR="00437068">
        <w:rPr>
          <w:lang w:val="en-GB"/>
        </w:rPr>
        <w:t xml:space="preserve">in conjunction </w:t>
      </w:r>
      <w:r w:rsidRPr="00B124DC">
        <w:rPr>
          <w:lang w:val="en-GB"/>
        </w:rPr>
        <w:t>with the aforementioned provisions.</w:t>
      </w:r>
    </w:p>
    <w:p w:rsidR="0098730A" w:rsidRPr="00B124DC" w:rsidRDefault="00AF3E68" w:rsidP="00AF3E68">
      <w:pPr>
        <w:pStyle w:val="JuPara"/>
        <w:rPr>
          <w:lang w:val="en-GB"/>
        </w:rPr>
      </w:pPr>
      <w:r w:rsidRPr="00B124DC">
        <w:rPr>
          <w:lang w:val="en-GB"/>
        </w:rPr>
        <w:fldChar w:fldCharType="begin"/>
      </w:r>
      <w:r w:rsidRPr="00B124DC">
        <w:rPr>
          <w:lang w:val="en-GB"/>
        </w:rPr>
        <w:instrText xml:space="preserve"> SEQ level0 \*arabic </w:instrText>
      </w:r>
      <w:r w:rsidRPr="00B124DC">
        <w:rPr>
          <w:lang w:val="en-GB"/>
        </w:rPr>
        <w:fldChar w:fldCharType="separate"/>
      </w:r>
      <w:r w:rsidR="00EA52D1">
        <w:rPr>
          <w:noProof/>
          <w:lang w:val="en-GB"/>
        </w:rPr>
        <w:t>166</w:t>
      </w:r>
      <w:r w:rsidRPr="00B124DC">
        <w:rPr>
          <w:lang w:val="en-GB"/>
        </w:rPr>
        <w:fldChar w:fldCharType="end"/>
      </w:r>
      <w:r w:rsidRPr="00B124DC">
        <w:rPr>
          <w:lang w:val="en-GB"/>
        </w:rPr>
        <w:t>.  Consequently, the Court holds that there has been no violation of Articles</w:t>
      </w:r>
      <w:r w:rsidR="00F324F8">
        <w:rPr>
          <w:lang w:val="en-GB"/>
        </w:rPr>
        <w:t> </w:t>
      </w:r>
      <w:r w:rsidRPr="00B124DC">
        <w:rPr>
          <w:lang w:val="en-GB"/>
        </w:rPr>
        <w:t xml:space="preserve">8, 10 </w:t>
      </w:r>
      <w:r w:rsidR="007645C7" w:rsidRPr="00B124DC">
        <w:rPr>
          <w:lang w:val="en-GB"/>
        </w:rPr>
        <w:t>or</w:t>
      </w:r>
      <w:r w:rsidRPr="00B124DC">
        <w:rPr>
          <w:lang w:val="en-GB"/>
        </w:rPr>
        <w:t xml:space="preserve"> 14 of the Convention.</w:t>
      </w:r>
    </w:p>
    <w:p w:rsidR="00AF3E68" w:rsidRPr="00B124DC" w:rsidRDefault="001042E9" w:rsidP="001A7B88">
      <w:pPr>
        <w:pStyle w:val="JuHHead"/>
        <w:keepNext/>
        <w:rPr>
          <w:lang w:val="en-GB"/>
        </w:rPr>
      </w:pPr>
      <w:r w:rsidRPr="00B124DC">
        <w:rPr>
          <w:lang w:val="en-GB"/>
        </w:rPr>
        <w:t>FOR THESE REASONS, THE COURT</w:t>
      </w:r>
    </w:p>
    <w:p w:rsidR="006D4BA2" w:rsidRPr="00B124DC" w:rsidRDefault="006D4BA2" w:rsidP="006D4BA2">
      <w:pPr>
        <w:pStyle w:val="JuList"/>
        <w:rPr>
          <w:lang w:val="en-GB"/>
        </w:rPr>
      </w:pPr>
      <w:r w:rsidRPr="00B124DC">
        <w:rPr>
          <w:lang w:val="en-GB"/>
        </w:rPr>
        <w:t>1.  </w:t>
      </w:r>
      <w:r w:rsidRPr="00B124DC">
        <w:rPr>
          <w:i/>
          <w:lang w:val="en-GB"/>
        </w:rPr>
        <w:t>Holds</w:t>
      </w:r>
      <w:r w:rsidR="001042E9" w:rsidRPr="00B124DC">
        <w:rPr>
          <w:lang w:val="en-GB"/>
        </w:rPr>
        <w:t>,</w:t>
      </w:r>
      <w:r w:rsidRPr="00B124DC">
        <w:rPr>
          <w:lang w:val="en-GB"/>
        </w:rPr>
        <w:t xml:space="preserve"> by </w:t>
      </w:r>
      <w:r w:rsidR="001042E9" w:rsidRPr="00B124DC">
        <w:rPr>
          <w:lang w:val="en-GB"/>
        </w:rPr>
        <w:t>sixteen</w:t>
      </w:r>
      <w:r w:rsidRPr="00B124DC">
        <w:rPr>
          <w:lang w:val="en-GB"/>
        </w:rPr>
        <w:t xml:space="preserve"> votes to </w:t>
      </w:r>
      <w:r w:rsidR="001042E9" w:rsidRPr="00B124DC">
        <w:rPr>
          <w:lang w:val="en-GB"/>
        </w:rPr>
        <w:t>one</w:t>
      </w:r>
      <w:r w:rsidRPr="00B124DC">
        <w:rPr>
          <w:lang w:val="en-GB"/>
        </w:rPr>
        <w:t>, that there has been no violation of Article</w:t>
      </w:r>
      <w:r w:rsidR="001042E9" w:rsidRPr="00B124DC">
        <w:rPr>
          <w:lang w:val="en-GB"/>
        </w:rPr>
        <w:t> </w:t>
      </w:r>
      <w:r w:rsidRPr="00B124DC">
        <w:rPr>
          <w:lang w:val="en-GB"/>
        </w:rPr>
        <w:t>9 of the Convention;</w:t>
      </w:r>
    </w:p>
    <w:p w:rsidR="006D4BA2" w:rsidRPr="00B124DC" w:rsidRDefault="006D4BA2" w:rsidP="006D4BA2">
      <w:pPr>
        <w:pStyle w:val="JuList"/>
        <w:rPr>
          <w:lang w:val="en-GB"/>
        </w:rPr>
      </w:pPr>
    </w:p>
    <w:p w:rsidR="006D4BA2" w:rsidRPr="00B124DC" w:rsidRDefault="006D4BA2" w:rsidP="006D4BA2">
      <w:pPr>
        <w:pStyle w:val="JuList"/>
        <w:rPr>
          <w:lang w:val="en-GB"/>
        </w:rPr>
      </w:pPr>
      <w:r w:rsidRPr="00B124DC">
        <w:rPr>
          <w:lang w:val="en-GB"/>
        </w:rPr>
        <w:t>2.  </w:t>
      </w:r>
      <w:r w:rsidRPr="00B124DC">
        <w:rPr>
          <w:i/>
          <w:lang w:val="en-GB"/>
        </w:rPr>
        <w:t>Holds</w:t>
      </w:r>
      <w:r w:rsidRPr="00B124DC">
        <w:rPr>
          <w:lang w:val="en-GB"/>
        </w:rPr>
        <w:t xml:space="preserve">, </w:t>
      </w:r>
      <w:r w:rsidR="001042E9" w:rsidRPr="00B124DC">
        <w:rPr>
          <w:lang w:val="en-GB"/>
        </w:rPr>
        <w:t>by sixteen votes to one</w:t>
      </w:r>
      <w:r w:rsidRPr="00B124DC">
        <w:rPr>
          <w:lang w:val="en-GB"/>
        </w:rPr>
        <w:t>, that there has been no violation of the first sentence of Article 2 of Protocol No. 1;</w:t>
      </w:r>
    </w:p>
    <w:p w:rsidR="006D4BA2" w:rsidRPr="00B124DC" w:rsidRDefault="006D4BA2" w:rsidP="006D4BA2">
      <w:pPr>
        <w:pStyle w:val="JuList"/>
        <w:rPr>
          <w:lang w:val="en-GB"/>
        </w:rPr>
      </w:pPr>
    </w:p>
    <w:p w:rsidR="006D4BA2" w:rsidRPr="00B124DC" w:rsidRDefault="006D4BA2" w:rsidP="006D4BA2">
      <w:pPr>
        <w:pStyle w:val="JuList"/>
        <w:rPr>
          <w:lang w:val="en-GB"/>
        </w:rPr>
      </w:pPr>
      <w:r w:rsidRPr="00B124DC">
        <w:rPr>
          <w:lang w:val="en-GB"/>
        </w:rPr>
        <w:t>3.  </w:t>
      </w:r>
      <w:r w:rsidRPr="00B124DC">
        <w:rPr>
          <w:i/>
          <w:lang w:val="en-GB"/>
        </w:rPr>
        <w:t>Holds</w:t>
      </w:r>
      <w:r w:rsidR="001042E9" w:rsidRPr="00B124DC">
        <w:rPr>
          <w:lang w:val="en-GB"/>
        </w:rPr>
        <w:t>,</w:t>
      </w:r>
      <w:r w:rsidRPr="00B124DC">
        <w:rPr>
          <w:lang w:val="en-GB"/>
        </w:rPr>
        <w:t xml:space="preserve"> unanimously, that there has been no violation of Article 8 of the Convention;</w:t>
      </w:r>
    </w:p>
    <w:p w:rsidR="006D4BA2" w:rsidRPr="00B124DC" w:rsidRDefault="006D4BA2" w:rsidP="006D4BA2">
      <w:pPr>
        <w:pStyle w:val="JuList"/>
        <w:rPr>
          <w:lang w:val="en-GB"/>
        </w:rPr>
      </w:pPr>
    </w:p>
    <w:p w:rsidR="006D4BA2" w:rsidRPr="00B124DC" w:rsidRDefault="006D4BA2" w:rsidP="006D4BA2">
      <w:pPr>
        <w:pStyle w:val="JuList"/>
        <w:rPr>
          <w:lang w:val="en-GB"/>
        </w:rPr>
      </w:pPr>
      <w:r w:rsidRPr="00B124DC">
        <w:rPr>
          <w:lang w:val="en-GB"/>
        </w:rPr>
        <w:t>4.  </w:t>
      </w:r>
      <w:r w:rsidRPr="00B124DC">
        <w:rPr>
          <w:i/>
          <w:lang w:val="en-GB"/>
        </w:rPr>
        <w:t>Holds</w:t>
      </w:r>
      <w:r w:rsidRPr="00B124DC">
        <w:rPr>
          <w:lang w:val="en-GB"/>
        </w:rPr>
        <w:t>, unanimously, that there has been no violation of Article 10 of the Convention;</w:t>
      </w:r>
    </w:p>
    <w:p w:rsidR="006D4BA2" w:rsidRPr="00B124DC" w:rsidRDefault="006D4BA2" w:rsidP="006D4BA2">
      <w:pPr>
        <w:pStyle w:val="JuList"/>
        <w:rPr>
          <w:lang w:val="en-GB"/>
        </w:rPr>
      </w:pPr>
    </w:p>
    <w:p w:rsidR="006D4BA2" w:rsidRPr="00B124DC" w:rsidRDefault="006D4BA2" w:rsidP="006D4BA2">
      <w:pPr>
        <w:pStyle w:val="JuList"/>
        <w:rPr>
          <w:lang w:val="en-GB"/>
        </w:rPr>
      </w:pPr>
      <w:r w:rsidRPr="00B124DC">
        <w:rPr>
          <w:lang w:val="en-GB"/>
        </w:rPr>
        <w:t>5.  </w:t>
      </w:r>
      <w:r w:rsidRPr="00B124DC">
        <w:rPr>
          <w:i/>
          <w:lang w:val="en-GB"/>
        </w:rPr>
        <w:t>Holds</w:t>
      </w:r>
      <w:r w:rsidRPr="00B124DC">
        <w:rPr>
          <w:lang w:val="en-GB"/>
        </w:rPr>
        <w:t>, unanimously, that there has been no violation of Article 14 of the Convention.</w:t>
      </w:r>
    </w:p>
    <w:p w:rsidR="00E97F16" w:rsidRPr="00B124DC" w:rsidRDefault="00E97F16" w:rsidP="00E97F16">
      <w:pPr>
        <w:pStyle w:val="JuParaLast"/>
        <w:rPr>
          <w:lang w:val="en-GB"/>
        </w:rPr>
      </w:pPr>
      <w:r w:rsidRPr="00B124DC">
        <w:rPr>
          <w:lang w:val="en-GB"/>
        </w:rPr>
        <w:t xml:space="preserve">Done in English and in French, and delivered at a public hearing in the Human Rights Building, </w:t>
      </w:r>
      <w:smartTag w:uri="urn:schemas-microsoft-com:office:smarttags" w:element="place">
        <w:smartTag w:uri="urn:schemas-microsoft-com:office:smarttags" w:element="City">
          <w:r w:rsidRPr="00B124DC">
            <w:rPr>
              <w:lang w:val="en-GB"/>
            </w:rPr>
            <w:t>Strasbourg</w:t>
          </w:r>
        </w:smartTag>
      </w:smartTag>
      <w:r w:rsidRPr="00B124DC">
        <w:rPr>
          <w:lang w:val="en-GB"/>
        </w:rPr>
        <w:t xml:space="preserve">, on </w:t>
      </w:r>
      <w:smartTag w:uri="urn:schemas-microsoft-com:office:smarttags" w:element="date">
        <w:smartTagPr>
          <w:attr w:name="Month" w:val="11"/>
          <w:attr w:name="Day" w:val="10"/>
          <w:attr w:name="Year" w:val="2005"/>
        </w:smartTagPr>
        <w:r w:rsidR="001042E9" w:rsidRPr="00B124DC">
          <w:rPr>
            <w:lang w:val="en-GB"/>
          </w:rPr>
          <w:t>10 November 2005</w:t>
        </w:r>
      </w:smartTag>
      <w:r w:rsidRPr="00B124DC">
        <w:rPr>
          <w:lang w:val="en-GB"/>
        </w:rPr>
        <w:t>.</w:t>
      </w:r>
    </w:p>
    <w:p w:rsidR="0037551B" w:rsidRPr="00B124DC" w:rsidRDefault="0037551B" w:rsidP="00962723">
      <w:pPr>
        <w:pStyle w:val="JuSigned"/>
        <w:tabs>
          <w:tab w:val="clear" w:pos="851"/>
          <w:tab w:val="clear" w:pos="6521"/>
          <w:tab w:val="center" w:pos="1200"/>
          <w:tab w:val="center" w:pos="6360"/>
        </w:tabs>
        <w:rPr>
          <w:lang w:val="en-GB"/>
        </w:rPr>
      </w:pPr>
      <w:r w:rsidRPr="00B124DC">
        <w:rPr>
          <w:lang w:val="en-GB"/>
        </w:rPr>
        <w:tab/>
      </w:r>
      <w:r w:rsidRPr="00B124DC">
        <w:rPr>
          <w:lang w:val="en-GB"/>
        </w:rPr>
        <w:tab/>
        <w:t xml:space="preserve">Luzius </w:t>
      </w:r>
      <w:r w:rsidRPr="00B124DC">
        <w:rPr>
          <w:rStyle w:val="JuNames"/>
          <w:lang w:val="en-GB"/>
        </w:rPr>
        <w:t>Wildhaber</w:t>
      </w:r>
      <w:r w:rsidRPr="00B124DC">
        <w:rPr>
          <w:rStyle w:val="JuNames"/>
          <w:lang w:val="en-GB"/>
        </w:rPr>
        <w:br/>
      </w:r>
      <w:r w:rsidRPr="00B124DC">
        <w:rPr>
          <w:rStyle w:val="JuNames"/>
          <w:lang w:val="en-GB"/>
        </w:rPr>
        <w:tab/>
      </w:r>
      <w:r w:rsidRPr="00B124DC">
        <w:rPr>
          <w:rStyle w:val="JuNames"/>
          <w:lang w:val="en-GB"/>
        </w:rPr>
        <w:tab/>
      </w:r>
      <w:r w:rsidRPr="00B124DC">
        <w:rPr>
          <w:lang w:val="en-GB"/>
        </w:rPr>
        <w:t>President</w:t>
      </w:r>
      <w:r w:rsidRPr="00B124DC">
        <w:rPr>
          <w:rStyle w:val="JuNames"/>
          <w:lang w:val="en-GB"/>
        </w:rPr>
        <w:br/>
      </w:r>
      <w:r w:rsidRPr="00B124DC">
        <w:rPr>
          <w:rStyle w:val="JuNames"/>
          <w:lang w:val="en-GB"/>
        </w:rPr>
        <w:tab/>
      </w:r>
      <w:smartTag w:uri="urn:schemas-microsoft-com:office:smarttags" w:element="place">
        <w:smartTag w:uri="urn:schemas-microsoft-com:office:smarttags" w:element="City">
          <w:r w:rsidR="00437068">
            <w:rPr>
              <w:lang w:val="en-GB"/>
            </w:rPr>
            <w:t>Lawrence</w:t>
          </w:r>
        </w:smartTag>
      </w:smartTag>
      <w:r w:rsidR="00F43C42" w:rsidRPr="00B124DC">
        <w:rPr>
          <w:lang w:val="en-GB"/>
        </w:rPr>
        <w:t xml:space="preserve"> </w:t>
      </w:r>
      <w:r w:rsidR="00F43C42" w:rsidRPr="00B124DC">
        <w:rPr>
          <w:rStyle w:val="JuNames"/>
          <w:lang w:val="en-GB"/>
        </w:rPr>
        <w:t>Early</w:t>
      </w:r>
      <w:r w:rsidRPr="00B124DC">
        <w:rPr>
          <w:rStyle w:val="JuNames"/>
          <w:lang w:val="en-GB"/>
        </w:rPr>
        <w:br/>
      </w:r>
      <w:r w:rsidRPr="00B124DC">
        <w:rPr>
          <w:lang w:val="en-GB"/>
        </w:rPr>
        <w:tab/>
      </w:r>
      <w:r w:rsidR="00F43C42" w:rsidRPr="00B124DC">
        <w:rPr>
          <w:lang w:val="en-GB"/>
        </w:rPr>
        <w:t xml:space="preserve">Deputy </w:t>
      </w:r>
      <w:r w:rsidR="00F324F8">
        <w:rPr>
          <w:lang w:val="en-GB"/>
        </w:rPr>
        <w:t xml:space="preserve">to the </w:t>
      </w:r>
      <w:r w:rsidRPr="00B124DC">
        <w:rPr>
          <w:lang w:val="en-GB"/>
        </w:rPr>
        <w:t>Registrar</w:t>
      </w:r>
    </w:p>
    <w:bookmarkEnd w:id="0"/>
    <w:p w:rsidR="001042E9" w:rsidRPr="00B124DC" w:rsidRDefault="001042E9" w:rsidP="001042E9">
      <w:pPr>
        <w:pStyle w:val="JuParaLast"/>
        <w:rPr>
          <w:lang w:val="en-GB"/>
        </w:rPr>
      </w:pPr>
      <w:r w:rsidRPr="00B124DC">
        <w:rPr>
          <w:lang w:val="en-GB"/>
        </w:rPr>
        <w:t>In accordance with Article 45 § 2 of the Convention and Rule 74 § 2 of the Rules of Court, the following separate opinions are annexed to this judgment:</w:t>
      </w:r>
    </w:p>
    <w:p w:rsidR="001042E9" w:rsidRPr="00B124DC" w:rsidRDefault="001042E9" w:rsidP="001042E9">
      <w:pPr>
        <w:pStyle w:val="JuParaChar1CharCharCharCharChar"/>
      </w:pPr>
      <w:r w:rsidRPr="00B124DC">
        <w:t>(a)  </w:t>
      </w:r>
      <w:r w:rsidR="007D61B7" w:rsidRPr="00B124DC">
        <w:t xml:space="preserve">joint </w:t>
      </w:r>
      <w:r w:rsidRPr="00B124DC">
        <w:t>concurring opinion of Mr Rozakis</w:t>
      </w:r>
      <w:r w:rsidR="007D61B7" w:rsidRPr="00B124DC">
        <w:t xml:space="preserve"> and Mrs Vajić</w:t>
      </w:r>
      <w:r w:rsidRPr="00B124DC">
        <w:t>;</w:t>
      </w:r>
    </w:p>
    <w:p w:rsidR="001042E9" w:rsidRPr="00B124DC" w:rsidRDefault="001042E9" w:rsidP="001042E9">
      <w:pPr>
        <w:pStyle w:val="JuParaChar1CharCharCharCharChar"/>
      </w:pPr>
      <w:r w:rsidRPr="00B124DC">
        <w:t>(b)  dissenting opinion of Mrs Tulkens</w:t>
      </w:r>
      <w:r w:rsidR="00437068">
        <w:t>.</w:t>
      </w:r>
    </w:p>
    <w:p w:rsidR="00AA6EBC" w:rsidRPr="00B124DC" w:rsidRDefault="00AA6EBC" w:rsidP="00AA6EBC">
      <w:pPr>
        <w:pStyle w:val="JuInitialled"/>
        <w:rPr>
          <w:lang w:val="en-GB"/>
        </w:rPr>
      </w:pPr>
      <w:r w:rsidRPr="00B124DC">
        <w:rPr>
          <w:lang w:val="en-GB"/>
        </w:rPr>
        <w:t>L.W.</w:t>
      </w:r>
      <w:r w:rsidRPr="00B124DC">
        <w:rPr>
          <w:lang w:val="en-GB"/>
        </w:rPr>
        <w:br/>
      </w:r>
      <w:r w:rsidR="00F43C42" w:rsidRPr="00B124DC">
        <w:rPr>
          <w:lang w:val="en-GB"/>
        </w:rPr>
        <w:t>T</w:t>
      </w:r>
      <w:r w:rsidRPr="00B124DC">
        <w:rPr>
          <w:lang w:val="en-GB"/>
        </w:rPr>
        <w:t>.</w:t>
      </w:r>
      <w:r w:rsidR="00F43C42" w:rsidRPr="00B124DC">
        <w:rPr>
          <w:lang w:val="en-GB"/>
        </w:rPr>
        <w:t>L</w:t>
      </w:r>
      <w:r w:rsidRPr="00B124DC">
        <w:rPr>
          <w:lang w:val="en-GB"/>
        </w:rPr>
        <w:t>.</w:t>
      </w:r>
      <w:r w:rsidR="00F43C42" w:rsidRPr="00B124DC">
        <w:rPr>
          <w:lang w:val="en-GB"/>
        </w:rPr>
        <w:t>E</w:t>
      </w:r>
      <w:r w:rsidRPr="00B124DC">
        <w:rPr>
          <w:lang w:val="en-GB"/>
        </w:rPr>
        <w:t>.</w:t>
      </w:r>
    </w:p>
    <w:p w:rsidR="007D61B7" w:rsidRPr="00B124DC" w:rsidRDefault="007D61B7" w:rsidP="00AA6EBC">
      <w:pPr>
        <w:pStyle w:val="JuInitialled"/>
        <w:rPr>
          <w:lang w:val="en-GB"/>
        </w:rPr>
      </w:pPr>
    </w:p>
    <w:p w:rsidR="007D61B7" w:rsidRPr="00B124DC" w:rsidRDefault="007D61B7" w:rsidP="00AA6EBC">
      <w:pPr>
        <w:pStyle w:val="JuInitialled"/>
        <w:rPr>
          <w:lang w:val="en-GB"/>
        </w:rPr>
        <w:sectPr w:rsidR="007D61B7" w:rsidRPr="00B124DC" w:rsidSect="00AA6EBC">
          <w:headerReference w:type="even" r:id="rId11"/>
          <w:headerReference w:type="default" r:id="rId12"/>
          <w:footnotePr>
            <w:numRestart w:val="eachPage"/>
          </w:footnotePr>
          <w:pgSz w:w="11906" w:h="16838" w:code="9"/>
          <w:pgMar w:top="2274" w:right="2274" w:bottom="2274" w:left="2274" w:header="1701" w:footer="720" w:gutter="0"/>
          <w:pgNumType w:start="1"/>
          <w:cols w:space="720"/>
          <w:docGrid w:linePitch="326"/>
        </w:sectPr>
      </w:pPr>
    </w:p>
    <w:p w:rsidR="007D61B7" w:rsidRPr="00B124DC" w:rsidRDefault="00437068" w:rsidP="001A7B88">
      <w:pPr>
        <w:pStyle w:val="OpiHHead"/>
        <w:keepNext/>
        <w:rPr>
          <w:lang w:val="en-GB"/>
        </w:rPr>
      </w:pPr>
      <w:r>
        <w:rPr>
          <w:lang w:val="en-GB"/>
        </w:rPr>
        <w:t xml:space="preserve">JOINT </w:t>
      </w:r>
      <w:r w:rsidR="007D61B7" w:rsidRPr="00B124DC">
        <w:rPr>
          <w:lang w:val="en-GB"/>
        </w:rPr>
        <w:t>CONCU</w:t>
      </w:r>
      <w:r w:rsidR="00E7069D">
        <w:rPr>
          <w:lang w:val="en-GB"/>
        </w:rPr>
        <w:t>RRING OPINION</w:t>
      </w:r>
      <w:r>
        <w:rPr>
          <w:lang w:val="en-GB"/>
        </w:rPr>
        <w:br/>
      </w:r>
      <w:r w:rsidR="00E7069D">
        <w:rPr>
          <w:lang w:val="en-GB"/>
        </w:rPr>
        <w:t>OF JUDGES ROZAKIS</w:t>
      </w:r>
      <w:r>
        <w:rPr>
          <w:lang w:val="en-GB"/>
        </w:rPr>
        <w:t xml:space="preserve"> </w:t>
      </w:r>
      <w:r w:rsidR="007D61B7" w:rsidRPr="00B124DC">
        <w:rPr>
          <w:lang w:val="en-GB"/>
        </w:rPr>
        <w:t>AND VAJIĆ</w:t>
      </w:r>
    </w:p>
    <w:p w:rsidR="00E60A68" w:rsidRPr="00B124DC" w:rsidRDefault="00E60A68" w:rsidP="00E60A68">
      <w:pPr>
        <w:pStyle w:val="OpiPara"/>
        <w:rPr>
          <w:lang w:val="en-GB"/>
        </w:rPr>
      </w:pPr>
      <w:r w:rsidRPr="00B124DC">
        <w:rPr>
          <w:lang w:val="en-GB"/>
        </w:rPr>
        <w:t>We agree with the majority that there has been no violation of Article</w:t>
      </w:r>
      <w:r w:rsidR="0043110F">
        <w:rPr>
          <w:lang w:val="en-GB"/>
        </w:rPr>
        <w:t xml:space="preserve"> </w:t>
      </w:r>
      <w:r w:rsidRPr="00B124DC">
        <w:rPr>
          <w:lang w:val="en-GB"/>
        </w:rPr>
        <w:t>9 of the Convention in the present case. We have also voted for the finding that there was no violation of the first sentence of Article 2 of Protocol No. 1</w:t>
      </w:r>
      <w:r w:rsidR="00437068">
        <w:rPr>
          <w:lang w:val="en-GB"/>
        </w:rPr>
        <w:t>,</w:t>
      </w:r>
      <w:r w:rsidRPr="00B124DC">
        <w:rPr>
          <w:lang w:val="en-GB"/>
        </w:rPr>
        <w:t xml:space="preserve"> mainly because the text of the judgment is drafted in such a way that it makes it difficult to divide these two findings. As stated in </w:t>
      </w:r>
      <w:r w:rsidR="00437068">
        <w:rPr>
          <w:lang w:val="en-GB"/>
        </w:rPr>
        <w:t xml:space="preserve">paragraph 157 of </w:t>
      </w:r>
      <w:r w:rsidRPr="00B124DC">
        <w:rPr>
          <w:lang w:val="en-GB"/>
        </w:rPr>
        <w:t>the judgment</w:t>
      </w:r>
      <w:r w:rsidR="00437068">
        <w:rPr>
          <w:lang w:val="en-GB"/>
        </w:rPr>
        <w:t>,</w:t>
      </w:r>
      <w:r w:rsidRPr="00B124DC">
        <w:rPr>
          <w:lang w:val="en-GB"/>
        </w:rPr>
        <w:t xml:space="preserve"> the “analysis of the case by reference to the right to education cannot in this instance be divorced from the conclusion reached </w:t>
      </w:r>
      <w:r w:rsidR="007942F0">
        <w:rPr>
          <w:lang w:val="en-GB"/>
        </w:rPr>
        <w:t xml:space="preserve">by the Court </w:t>
      </w:r>
      <w:r w:rsidRPr="00B124DC">
        <w:rPr>
          <w:lang w:val="en-GB"/>
        </w:rPr>
        <w:t>with respect to Article</w:t>
      </w:r>
      <w:r w:rsidR="00437068">
        <w:rPr>
          <w:lang w:val="en-GB"/>
        </w:rPr>
        <w:t xml:space="preserve"> </w:t>
      </w:r>
      <w:r w:rsidRPr="00B124DC">
        <w:rPr>
          <w:lang w:val="en-GB"/>
        </w:rPr>
        <w:t>9</w:t>
      </w:r>
      <w:r w:rsidR="00437068">
        <w:rPr>
          <w:lang w:val="en-GB"/>
        </w:rPr>
        <w:t xml:space="preserve"> </w:t>
      </w:r>
      <w:r w:rsidRPr="00B124DC">
        <w:rPr>
          <w:lang w:val="en-GB"/>
        </w:rPr>
        <w:t>..., as the considerations taken into account under that provision are clearly applicable to the complaint under Article 2 of Protocol No. 1, which complaint consists of criticism of the regulation concerned that takes much the same form as that made with respect to Article 9”.</w:t>
      </w:r>
    </w:p>
    <w:p w:rsidR="001042E9" w:rsidRPr="00B124DC" w:rsidRDefault="00E60A68" w:rsidP="007D61B7">
      <w:pPr>
        <w:pStyle w:val="OpiPara"/>
        <w:rPr>
          <w:lang w:val="en-GB"/>
        </w:rPr>
      </w:pPr>
      <w:r w:rsidRPr="00B124DC">
        <w:rPr>
          <w:lang w:val="en-GB"/>
        </w:rPr>
        <w:t xml:space="preserve">In </w:t>
      </w:r>
      <w:r w:rsidR="00437068">
        <w:rPr>
          <w:lang w:val="en-GB"/>
        </w:rPr>
        <w:t>fact</w:t>
      </w:r>
      <w:r w:rsidRPr="00B124DC">
        <w:rPr>
          <w:lang w:val="en-GB"/>
        </w:rPr>
        <w:t>, however, we are of the opinion that the case would have been better dealt with only under Article 9, the way it was done in the Chamber judgment. As we see it, the main issue before the Court was the interference of the State with the applicant</w:t>
      </w:r>
      <w:r w:rsidR="0006350D">
        <w:rPr>
          <w:lang w:val="en-GB"/>
        </w:rPr>
        <w:t>’</w:t>
      </w:r>
      <w:r w:rsidRPr="00B124DC">
        <w:rPr>
          <w:lang w:val="en-GB"/>
        </w:rPr>
        <w:t xml:space="preserve">s right to wear </w:t>
      </w:r>
      <w:r w:rsidR="00437068">
        <w:rPr>
          <w:lang w:val="en-GB"/>
        </w:rPr>
        <w:t>the</w:t>
      </w:r>
      <w:r w:rsidRPr="00B124DC">
        <w:rPr>
          <w:lang w:val="en-GB"/>
        </w:rPr>
        <w:t xml:space="preserve"> headscarf at the </w:t>
      </w:r>
      <w:r w:rsidR="00437068">
        <w:rPr>
          <w:lang w:val="en-GB"/>
        </w:rPr>
        <w:t>u</w:t>
      </w:r>
      <w:r w:rsidRPr="00B124DC">
        <w:rPr>
          <w:lang w:val="en-GB"/>
        </w:rPr>
        <w:t xml:space="preserve">niversity and, through that, to manifest in public her religious beliefs. Hence, the central question in the case was the protection of her religious freedom as enshrined in Article 9 of the Convention. Article 9 is, in the circumstances, the obvious </w:t>
      </w:r>
      <w:r w:rsidRPr="00B124DC">
        <w:rPr>
          <w:i/>
          <w:lang w:val="en-GB"/>
        </w:rPr>
        <w:t>lex specialis</w:t>
      </w:r>
      <w:r w:rsidRPr="00B124DC">
        <w:rPr>
          <w:lang w:val="en-GB"/>
        </w:rPr>
        <w:t xml:space="preserve"> covering the facts of the case, and the applicant</w:t>
      </w:r>
      <w:r w:rsidR="0006350D">
        <w:rPr>
          <w:lang w:val="en-GB"/>
        </w:rPr>
        <w:t>’</w:t>
      </w:r>
      <w:r w:rsidRPr="00B124DC">
        <w:rPr>
          <w:lang w:val="en-GB"/>
        </w:rPr>
        <w:t xml:space="preserve">s corollary complaint concerning the same facts </w:t>
      </w:r>
      <w:r w:rsidR="00DC5B80">
        <w:rPr>
          <w:lang w:val="en-GB"/>
        </w:rPr>
        <w:t>under Article 2 of Protocol No. </w:t>
      </w:r>
      <w:r w:rsidRPr="00B124DC">
        <w:rPr>
          <w:lang w:val="en-GB"/>
        </w:rPr>
        <w:t>1, although clearly admissible, does not raise a separate issue under the Convention.</w:t>
      </w:r>
    </w:p>
    <w:p w:rsidR="007D61B7" w:rsidRPr="00B124DC" w:rsidRDefault="007D61B7" w:rsidP="001A7B88">
      <w:pPr>
        <w:pStyle w:val="OpiHHead"/>
        <w:keepNext/>
        <w:rPr>
          <w:sz w:val="24"/>
          <w:szCs w:val="24"/>
          <w:lang w:val="en-GB"/>
        </w:rPr>
      </w:pPr>
      <w:r w:rsidRPr="00B124DC">
        <w:rPr>
          <w:lang w:val="en-GB"/>
        </w:rPr>
        <w:br w:type="page"/>
        <w:t>DISSENTING OPINION OF JUDGE TULKENS</w:t>
      </w:r>
    </w:p>
    <w:p w:rsidR="007D61B7" w:rsidRPr="00B124DC" w:rsidRDefault="007D61B7" w:rsidP="001A7B88">
      <w:pPr>
        <w:pStyle w:val="OpiTranslation"/>
        <w:keepNext/>
        <w:rPr>
          <w:i/>
          <w:lang w:val="en-GB"/>
        </w:rPr>
      </w:pPr>
      <w:r w:rsidRPr="00B124DC">
        <w:rPr>
          <w:i/>
          <w:lang w:val="en-GB"/>
        </w:rPr>
        <w:t>(Translation)</w:t>
      </w:r>
    </w:p>
    <w:p w:rsidR="007D61B7" w:rsidRPr="00B124DC" w:rsidRDefault="007D61B7" w:rsidP="007D61B7">
      <w:pPr>
        <w:pStyle w:val="OpiPara"/>
        <w:rPr>
          <w:lang w:val="en-GB"/>
        </w:rPr>
      </w:pPr>
      <w:r w:rsidRPr="00B124DC">
        <w:rPr>
          <w:lang w:val="en-GB"/>
        </w:rPr>
        <w:t>For a variety of mutually supporting reasons</w:t>
      </w:r>
      <w:r w:rsidR="00437068">
        <w:rPr>
          <w:lang w:val="en-GB"/>
        </w:rPr>
        <w:t>,</w:t>
      </w:r>
      <w:r w:rsidRPr="00B124DC">
        <w:rPr>
          <w:lang w:val="en-GB"/>
        </w:rPr>
        <w:t xml:space="preserve"> I did not vote with the majority on the question of Article 9 of the Convention or of Article 2 of Protocol No. 1, which concerns the right to education. I do, however, fully agree with the Court</w:t>
      </w:r>
      <w:r w:rsidR="0006350D">
        <w:rPr>
          <w:lang w:val="en-GB"/>
        </w:rPr>
        <w:t>’</w:t>
      </w:r>
      <w:r w:rsidRPr="00B124DC">
        <w:rPr>
          <w:lang w:val="en-GB"/>
        </w:rPr>
        <w:t>s ruling that the scope of the latter provision extends to higher and university education.</w:t>
      </w:r>
    </w:p>
    <w:p w:rsidR="007D61B7" w:rsidRPr="00B124DC" w:rsidRDefault="00437387" w:rsidP="00E7069D">
      <w:pPr>
        <w:pStyle w:val="OpiHA"/>
        <w:keepNext/>
        <w:rPr>
          <w:lang w:val="en-GB"/>
        </w:rPr>
      </w:pPr>
      <w:r>
        <w:rPr>
          <w:lang w:val="en-GB"/>
        </w:rPr>
        <w:t>A</w:t>
      </w:r>
      <w:r w:rsidR="001A7B88">
        <w:rPr>
          <w:lang w:val="en-GB"/>
        </w:rPr>
        <w:t>.  </w:t>
      </w:r>
      <w:r w:rsidR="007D61B7" w:rsidRPr="00B124DC">
        <w:rPr>
          <w:lang w:val="en-GB"/>
        </w:rPr>
        <w:t>Freedom of religion</w:t>
      </w:r>
    </w:p>
    <w:p w:rsidR="002415A4" w:rsidRDefault="007D61B7" w:rsidP="007D61B7">
      <w:pPr>
        <w:pStyle w:val="OpiPara"/>
        <w:rPr>
          <w:lang w:val="en-GB"/>
        </w:rPr>
      </w:pPr>
      <w:r w:rsidRPr="00B124DC">
        <w:rPr>
          <w:lang w:val="en-GB"/>
        </w:rPr>
        <w:t>1.  As regards the general principles reiterated in the judgment</w:t>
      </w:r>
      <w:r w:rsidR="00437068">
        <w:rPr>
          <w:lang w:val="en-GB"/>
        </w:rPr>
        <w:t>,</w:t>
      </w:r>
      <w:r w:rsidRPr="00B124DC">
        <w:rPr>
          <w:lang w:val="en-GB"/>
        </w:rPr>
        <w:t xml:space="preserve"> there are points on which I strongly agree with the </w:t>
      </w:r>
      <w:r w:rsidR="00E7069D">
        <w:rPr>
          <w:lang w:val="en-GB"/>
        </w:rPr>
        <w:t>majority (see paragraphs</w:t>
      </w:r>
      <w:r w:rsidR="00437068">
        <w:rPr>
          <w:lang w:val="en-GB"/>
        </w:rPr>
        <w:t xml:space="preserve"> </w:t>
      </w:r>
      <w:r w:rsidR="00E7069D">
        <w:rPr>
          <w:lang w:val="en-GB"/>
        </w:rPr>
        <w:t>104</w:t>
      </w:r>
      <w:r w:rsidR="00437068">
        <w:rPr>
          <w:lang w:val="en-GB"/>
        </w:rPr>
        <w:t>-</w:t>
      </w:r>
      <w:r w:rsidRPr="00B124DC">
        <w:rPr>
          <w:lang w:val="en-GB"/>
        </w:rPr>
        <w:t>08 of the judgment). The right to freedom of</w:t>
      </w:r>
      <w:r w:rsidR="00437068">
        <w:rPr>
          <w:lang w:val="en-GB"/>
        </w:rPr>
        <w:t xml:space="preserve"> religion guaranteed by Article </w:t>
      </w:r>
      <w:r w:rsidRPr="00B124DC">
        <w:rPr>
          <w:lang w:val="en-GB"/>
        </w:rPr>
        <w:t>9 of the Convention is a “precious asset” not only for believers, but also for atheists, agnostics, sceptics and the unconcerned. It is true that Article</w:t>
      </w:r>
      <w:r w:rsidR="00437068">
        <w:rPr>
          <w:lang w:val="en-GB"/>
        </w:rPr>
        <w:t xml:space="preserve"> </w:t>
      </w:r>
      <w:r w:rsidRPr="00B124DC">
        <w:rPr>
          <w:lang w:val="en-GB"/>
        </w:rPr>
        <w:t>9 of the Convention does not protect every act motivated or inspired by a religion or belief and that in democratic societies</w:t>
      </w:r>
      <w:r w:rsidR="007942F0">
        <w:rPr>
          <w:lang w:val="en-GB"/>
        </w:rPr>
        <w:t>, in which several religions co</w:t>
      </w:r>
      <w:r w:rsidRPr="00B124DC">
        <w:rPr>
          <w:lang w:val="en-GB"/>
        </w:rPr>
        <w:t>exist, it may be necessary to place restrictions on freedom to manifest one</w:t>
      </w:r>
      <w:r w:rsidR="0006350D">
        <w:rPr>
          <w:lang w:val="en-GB"/>
        </w:rPr>
        <w:t>’</w:t>
      </w:r>
      <w:r w:rsidRPr="00B124DC">
        <w:rPr>
          <w:lang w:val="en-GB"/>
        </w:rPr>
        <w:t>s religion in order to reconcile the interests of the various groups and ensure that everyone</w:t>
      </w:r>
      <w:r w:rsidR="0006350D">
        <w:rPr>
          <w:lang w:val="en-GB"/>
        </w:rPr>
        <w:t>’</w:t>
      </w:r>
      <w:r w:rsidRPr="00B124DC">
        <w:rPr>
          <w:lang w:val="en-GB"/>
        </w:rPr>
        <w:t>s belie</w:t>
      </w:r>
      <w:r w:rsidR="00E7069D">
        <w:rPr>
          <w:lang w:val="en-GB"/>
        </w:rPr>
        <w:t>fs are respected (see paragraph</w:t>
      </w:r>
      <w:r w:rsidR="0043110F">
        <w:rPr>
          <w:lang w:val="en-GB"/>
        </w:rPr>
        <w:t xml:space="preserve"> </w:t>
      </w:r>
      <w:r w:rsidRPr="00B124DC">
        <w:rPr>
          <w:lang w:val="en-GB"/>
        </w:rPr>
        <w:t>106 of the judgment). Further, pluralism, tolerance and broadmindedness are hallmarks of a democratic society and this entails certain consequences. The first is that these ideals and values of a democratic society must also be based on dialogue and a spirit of compromise, which necessarily entails mutual concessions on the part of individuals. The second is that the role of the authorities in such circumstances is not to remove the cause of the tensions by eliminating pluralism, but, as the Court again reiterated only recently, to ensure that the competing groups tolerate each other (</w:t>
      </w:r>
      <w:r w:rsidR="00437068">
        <w:rPr>
          <w:lang w:val="en-GB"/>
        </w:rPr>
        <w:t xml:space="preserve">see </w:t>
      </w:r>
      <w:r w:rsidRPr="00B124DC">
        <w:rPr>
          <w:i/>
          <w:lang w:val="en-GB"/>
        </w:rPr>
        <w:t>Ouranio Toxo and Others v. Greece</w:t>
      </w:r>
      <w:r w:rsidRPr="00B124DC">
        <w:rPr>
          <w:lang w:val="en-GB"/>
        </w:rPr>
        <w:t xml:space="preserve">, </w:t>
      </w:r>
      <w:r w:rsidR="00437068">
        <w:rPr>
          <w:lang w:val="en-GB"/>
        </w:rPr>
        <w:t>no. 74989/01</w:t>
      </w:r>
      <w:r w:rsidRPr="00B124DC">
        <w:rPr>
          <w:lang w:val="en-GB"/>
        </w:rPr>
        <w:t>, § 40</w:t>
      </w:r>
      <w:r w:rsidR="00437068">
        <w:rPr>
          <w:lang w:val="en-GB"/>
        </w:rPr>
        <w:t>, ECHR 2005-X</w:t>
      </w:r>
      <w:r w:rsidRPr="00B124DC">
        <w:rPr>
          <w:lang w:val="en-GB"/>
        </w:rPr>
        <w:t>).</w:t>
      </w:r>
    </w:p>
    <w:p w:rsidR="00C84BC2" w:rsidRPr="00B124DC" w:rsidRDefault="007D61B7" w:rsidP="007D61B7">
      <w:pPr>
        <w:pStyle w:val="OpiPara"/>
        <w:rPr>
          <w:lang w:val="en-GB"/>
        </w:rPr>
        <w:sectPr w:rsidR="00C84BC2" w:rsidRPr="00B124DC" w:rsidSect="00F43C42">
          <w:headerReference w:type="even" r:id="rId13"/>
          <w:headerReference w:type="default" r:id="rId14"/>
          <w:footnotePr>
            <w:numRestart w:val="eachPage"/>
          </w:footnotePr>
          <w:pgSz w:w="11906" w:h="16838" w:code="9"/>
          <w:pgMar w:top="2274" w:right="2274" w:bottom="2274" w:left="2274" w:header="1701" w:footer="720" w:gutter="0"/>
          <w:cols w:space="720"/>
          <w:noEndnote/>
          <w:docGrid w:linePitch="326"/>
        </w:sectPr>
      </w:pPr>
      <w:r w:rsidRPr="00B124DC">
        <w:rPr>
          <w:lang w:val="en-GB"/>
        </w:rPr>
        <w:t>2.  Once the majority had accepted that the ban on wearing the Islamic headscarf on university premises constituted interference with the applicant</w:t>
      </w:r>
      <w:r w:rsidR="0006350D">
        <w:rPr>
          <w:lang w:val="en-GB"/>
        </w:rPr>
        <w:t>’</w:t>
      </w:r>
      <w:r w:rsidRPr="00B124DC">
        <w:rPr>
          <w:lang w:val="en-GB"/>
        </w:rPr>
        <w:t xml:space="preserve">s right under Article 9 of the Convention to manifest her religion, and that the ban was prescribed by law and pursued a legitimate aim – in this case the protection of the rights and freedom of others and of public order </w:t>
      </w:r>
      <w:r w:rsidR="00E7069D" w:rsidRPr="00B124DC">
        <w:rPr>
          <w:lang w:val="en-GB"/>
        </w:rPr>
        <w:t>– the</w:t>
      </w:r>
      <w:r w:rsidRPr="00B124DC">
        <w:rPr>
          <w:lang w:val="en-GB"/>
        </w:rPr>
        <w:t xml:space="preserve"> main issue became whether such interference was “necessary in a democratic society”. Owing to its nature, the Court</w:t>
      </w:r>
      <w:r w:rsidR="0006350D">
        <w:rPr>
          <w:lang w:val="en-GB"/>
        </w:rPr>
        <w:t>’</w:t>
      </w:r>
      <w:r w:rsidRPr="00B124DC">
        <w:rPr>
          <w:lang w:val="en-GB"/>
        </w:rPr>
        <w:t xml:space="preserve">s review must be conducted </w:t>
      </w:r>
      <w:r w:rsidRPr="00B124DC">
        <w:rPr>
          <w:i/>
          <w:lang w:val="en-GB"/>
        </w:rPr>
        <w:t>in concreto</w:t>
      </w:r>
      <w:r w:rsidR="006D1342" w:rsidRPr="00B124DC">
        <w:rPr>
          <w:lang w:val="en-GB"/>
        </w:rPr>
        <w:t>, in principle</w:t>
      </w:r>
      <w:r w:rsidRPr="00B124DC">
        <w:rPr>
          <w:lang w:val="en-GB"/>
        </w:rPr>
        <w:t xml:space="preserve"> by reference to three criteria: first</w:t>
      </w:r>
      <w:r w:rsidR="007942F0">
        <w:rPr>
          <w:lang w:val="en-GB"/>
        </w:rPr>
        <w:t>ly</w:t>
      </w:r>
      <w:r w:rsidRPr="00B124DC">
        <w:rPr>
          <w:lang w:val="en-GB"/>
        </w:rPr>
        <w:t>, whether the interference, which must be capable of protecting the legitimate interest that has been put at risk, was appropriate; second</w:t>
      </w:r>
      <w:r w:rsidR="007942F0">
        <w:rPr>
          <w:lang w:val="en-GB"/>
        </w:rPr>
        <w:t>ly</w:t>
      </w:r>
      <w:r w:rsidRPr="00B124DC">
        <w:rPr>
          <w:lang w:val="en-GB"/>
        </w:rPr>
        <w:t xml:space="preserve">, whether the </w:t>
      </w:r>
      <w:r w:rsidR="00437387" w:rsidRPr="00B124DC">
        <w:rPr>
          <w:lang w:val="en-GB"/>
        </w:rPr>
        <w:t xml:space="preserve">measure that has been chosen is the measure that is the least restrictive of the right or freedom concerned; and, lastly, whether the measure was proportionate, a question which entails a balancing of the competing </w:t>
      </w:r>
    </w:p>
    <w:p w:rsidR="002415A4" w:rsidRDefault="007D61B7" w:rsidP="006D1342">
      <w:pPr>
        <w:pStyle w:val="OpiPara"/>
        <w:ind w:firstLine="0"/>
        <w:rPr>
          <w:lang w:val="en-GB"/>
        </w:rPr>
      </w:pPr>
      <w:r w:rsidRPr="00B124DC">
        <w:rPr>
          <w:lang w:val="en-GB"/>
        </w:rPr>
        <w:t>interests</w:t>
      </w:r>
      <w:r w:rsidR="00777EFD">
        <w:rPr>
          <w:rStyle w:val="FootnoteReference"/>
          <w:lang w:val="en-GB"/>
        </w:rPr>
        <w:footnoteReference w:id="1"/>
      </w:r>
      <w:r w:rsidRPr="00B124DC">
        <w:rPr>
          <w:lang w:val="en-GB"/>
        </w:rPr>
        <w:t>.</w:t>
      </w:r>
    </w:p>
    <w:p w:rsidR="002415A4" w:rsidRDefault="007D61B7" w:rsidP="007D61B7">
      <w:pPr>
        <w:pStyle w:val="OpiPara"/>
        <w:rPr>
          <w:lang w:val="en-GB"/>
        </w:rPr>
      </w:pPr>
      <w:r w:rsidRPr="00B124DC">
        <w:rPr>
          <w:lang w:val="en-GB"/>
        </w:rPr>
        <w:t>Underlying the majority</w:t>
      </w:r>
      <w:r w:rsidR="0006350D">
        <w:rPr>
          <w:lang w:val="en-GB"/>
        </w:rPr>
        <w:t>’</w:t>
      </w:r>
      <w:r w:rsidRPr="00B124DC">
        <w:rPr>
          <w:lang w:val="en-GB"/>
        </w:rPr>
        <w:t xml:space="preserve">s approach is the </w:t>
      </w:r>
      <w:r w:rsidRPr="00DB15CC">
        <w:rPr>
          <w:lang w:val="en-GB"/>
        </w:rPr>
        <w:t>margin of appreciation</w:t>
      </w:r>
      <w:r w:rsidRPr="00B124DC">
        <w:rPr>
          <w:lang w:val="en-GB"/>
        </w:rPr>
        <w:t xml:space="preserve"> which the national authorities are recognised as possessing and which reflects, </w:t>
      </w:r>
      <w:r w:rsidRPr="00B124DC">
        <w:rPr>
          <w:i/>
          <w:lang w:val="en-GB"/>
        </w:rPr>
        <w:t>inter alia</w:t>
      </w:r>
      <w:r w:rsidRPr="00B124DC">
        <w:rPr>
          <w:lang w:val="en-GB"/>
        </w:rPr>
        <w:t xml:space="preserve">, the notion that they are “better placed” to decide how best to discharge their Convention obligations in what is </w:t>
      </w:r>
      <w:r w:rsidR="00E7069D">
        <w:rPr>
          <w:lang w:val="en-GB"/>
        </w:rPr>
        <w:t>a sensitive area (see paragraph </w:t>
      </w:r>
      <w:r w:rsidRPr="00B124DC">
        <w:rPr>
          <w:lang w:val="en-GB"/>
        </w:rPr>
        <w:t>109 of the judgment). The Court</w:t>
      </w:r>
      <w:r w:rsidR="0006350D">
        <w:rPr>
          <w:lang w:val="en-GB"/>
        </w:rPr>
        <w:t>’</w:t>
      </w:r>
      <w:r w:rsidRPr="00B124DC">
        <w:rPr>
          <w:lang w:val="en-GB"/>
        </w:rPr>
        <w:t>s jurisdiction is, of course, subsidiary and its role is not to impose uniform solutions, especially “with regard to establishment of the delicate relations between the Churches and the State” (</w:t>
      </w:r>
      <w:r w:rsidR="00DB15CC">
        <w:rPr>
          <w:lang w:val="en-GB"/>
        </w:rPr>
        <w:t xml:space="preserve">see </w:t>
      </w:r>
      <w:r w:rsidRPr="00B124DC">
        <w:rPr>
          <w:i/>
          <w:lang w:val="en-GB"/>
        </w:rPr>
        <w:t>Cha</w:t>
      </w:r>
      <w:r w:rsidR="0006350D">
        <w:rPr>
          <w:i/>
          <w:lang w:val="en-GB"/>
        </w:rPr>
        <w:t>’</w:t>
      </w:r>
      <w:r w:rsidRPr="00B124DC">
        <w:rPr>
          <w:i/>
          <w:lang w:val="en-GB"/>
        </w:rPr>
        <w:t>are Shalom Ve Tsedek v. France</w:t>
      </w:r>
      <w:r w:rsidR="00DB15CC">
        <w:rPr>
          <w:lang w:val="en-GB"/>
        </w:rPr>
        <w:t xml:space="preserve"> [GC], no.</w:t>
      </w:r>
      <w:r w:rsidR="00A56BB3">
        <w:rPr>
          <w:lang w:val="en-GB"/>
        </w:rPr>
        <w:t xml:space="preserve"> </w:t>
      </w:r>
      <w:r w:rsidR="00DB15CC">
        <w:rPr>
          <w:lang w:val="en-GB"/>
        </w:rPr>
        <w:t>27417/95,</w:t>
      </w:r>
      <w:r w:rsidRPr="00B124DC">
        <w:rPr>
          <w:lang w:val="en-GB"/>
        </w:rPr>
        <w:t xml:space="preserve"> §</w:t>
      </w:r>
      <w:r w:rsidR="00DB15CC">
        <w:rPr>
          <w:lang w:val="en-GB"/>
        </w:rPr>
        <w:t> </w:t>
      </w:r>
      <w:r w:rsidRPr="00B124DC">
        <w:rPr>
          <w:lang w:val="en-GB"/>
        </w:rPr>
        <w:t>84</w:t>
      </w:r>
      <w:r w:rsidR="00DB15CC">
        <w:rPr>
          <w:lang w:val="en-GB"/>
        </w:rPr>
        <w:t>, ECHR 2000-VII</w:t>
      </w:r>
      <w:r w:rsidRPr="00B124DC">
        <w:rPr>
          <w:lang w:val="en-GB"/>
        </w:rPr>
        <w:t>), even if, in certain other judgments concerning conflicts between religious communities, the Court has not always shown the same judicial restraint (</w:t>
      </w:r>
      <w:r w:rsidR="00DB15CC">
        <w:rPr>
          <w:lang w:val="en-GB"/>
        </w:rPr>
        <w:t xml:space="preserve">see </w:t>
      </w:r>
      <w:r w:rsidRPr="00B124DC">
        <w:rPr>
          <w:i/>
          <w:lang w:val="en-GB"/>
        </w:rPr>
        <w:t>Serif v. Greece</w:t>
      </w:r>
      <w:r w:rsidRPr="00B124DC">
        <w:rPr>
          <w:lang w:val="en-GB"/>
        </w:rPr>
        <w:t>,</w:t>
      </w:r>
      <w:r w:rsidR="00DB15CC">
        <w:rPr>
          <w:lang w:val="en-GB"/>
        </w:rPr>
        <w:t xml:space="preserve"> no.</w:t>
      </w:r>
      <w:r w:rsidR="00A56BB3">
        <w:rPr>
          <w:lang w:val="en-GB"/>
        </w:rPr>
        <w:t xml:space="preserve"> </w:t>
      </w:r>
      <w:r w:rsidR="00DB15CC">
        <w:rPr>
          <w:lang w:val="en-GB"/>
        </w:rPr>
        <w:t>38178/97, ECHR 1999-IX, and</w:t>
      </w:r>
      <w:r w:rsidRPr="00B124DC">
        <w:rPr>
          <w:lang w:val="en-GB"/>
        </w:rPr>
        <w:t xml:space="preserve"> </w:t>
      </w:r>
      <w:r w:rsidRPr="00B124DC">
        <w:rPr>
          <w:i/>
          <w:lang w:val="en-GB"/>
        </w:rPr>
        <w:t>Metropolitan Church of Bessarabia and Others v. Moldova</w:t>
      </w:r>
      <w:r w:rsidRPr="00B124DC">
        <w:rPr>
          <w:lang w:val="en-GB"/>
        </w:rPr>
        <w:t xml:space="preserve">, </w:t>
      </w:r>
      <w:r w:rsidR="00DB15CC">
        <w:rPr>
          <w:lang w:val="en-GB"/>
        </w:rPr>
        <w:t>no. 45701/99, ECHR 2001-XII</w:t>
      </w:r>
      <w:r w:rsidRPr="00B124DC">
        <w:rPr>
          <w:lang w:val="en-GB"/>
        </w:rPr>
        <w:t xml:space="preserve">). I therefore entirely agree with the </w:t>
      </w:r>
      <w:r w:rsidR="00F01C68" w:rsidRPr="00B124DC">
        <w:rPr>
          <w:lang w:val="en-GB"/>
        </w:rPr>
        <w:t>view</w:t>
      </w:r>
      <w:r w:rsidRPr="00B124DC">
        <w:rPr>
          <w:lang w:val="en-GB"/>
        </w:rPr>
        <w:t xml:space="preserve"> that the Court must seek to reconcile universality and diversity and that it is not its role to express an opinion on any religious model whatsoever.</w:t>
      </w:r>
    </w:p>
    <w:p w:rsidR="00DE4146" w:rsidRDefault="00A25C51" w:rsidP="007D61B7">
      <w:pPr>
        <w:pStyle w:val="OpiPara"/>
        <w:rPr>
          <w:lang w:val="en-GB"/>
        </w:rPr>
      </w:pPr>
      <w:r w:rsidRPr="00B124DC">
        <w:rPr>
          <w:lang w:val="en-GB"/>
        </w:rPr>
        <w:t>3</w:t>
      </w:r>
      <w:r w:rsidR="007D61B7" w:rsidRPr="00B124DC">
        <w:rPr>
          <w:lang w:val="en-GB"/>
        </w:rPr>
        <w:t xml:space="preserve">.  I would perhaps have been able to follow the margin-of-appreciation approach had two factors </w:t>
      </w:r>
      <w:r w:rsidR="007942F0" w:rsidRPr="00B124DC">
        <w:rPr>
          <w:lang w:val="en-GB"/>
        </w:rPr>
        <w:t xml:space="preserve">not </w:t>
      </w:r>
      <w:r w:rsidR="007D61B7" w:rsidRPr="00B124DC">
        <w:rPr>
          <w:lang w:val="en-GB"/>
        </w:rPr>
        <w:t xml:space="preserve">drastically reduced its relevance in the instant case. The first concerns the argument the majority use to justify the width of the margin, namely the diversity of practice between the States on the issue of regulating the wearing of religious symbols in educational institutions and, thus, the lack of a European consensus in this sphere. The comparative-law materials do not allow of such a conclusion, as in none of the member States has the ban on wearing religious symbols extended to university education, which is intended for young adults, who are less amenable to pressure. The second factor concerns the European supervision that must accompany the margin of appreciation and which, even though less extensive than in cases in which the national authorities have no margin of appreciation, goes hand in hand with it. However, other than in connection with </w:t>
      </w:r>
      <w:smartTag w:uri="urn:schemas-microsoft-com:office:smarttags" w:element="place">
        <w:smartTag w:uri="urn:schemas-microsoft-com:office:smarttags" w:element="country-region">
          <w:r w:rsidR="007D61B7" w:rsidRPr="00B124DC">
            <w:rPr>
              <w:lang w:val="en-GB"/>
            </w:rPr>
            <w:t>Turkey</w:t>
          </w:r>
        </w:smartTag>
      </w:smartTag>
      <w:r w:rsidR="0006350D">
        <w:rPr>
          <w:lang w:val="en-GB"/>
        </w:rPr>
        <w:t>’</w:t>
      </w:r>
      <w:r w:rsidR="007D61B7" w:rsidRPr="00B124DC">
        <w:rPr>
          <w:lang w:val="en-GB"/>
        </w:rPr>
        <w:t>s specific historical background, European supervision seems quite simply to be absent from the judgment. However, the issue raised in the application, whose significance to the right to freedom of religion guaranteed by the Convention is evident, is not merely a “local” issue, but one of importance to all the member States. European supervision cannot, therefore, be escaped simply by invoking the margin of appreciation.</w:t>
      </w:r>
    </w:p>
    <w:p w:rsidR="007D61B7" w:rsidRPr="00B124DC" w:rsidRDefault="00DE4146" w:rsidP="00777EFD">
      <w:pPr>
        <w:pStyle w:val="OpiPara"/>
        <w:rPr>
          <w:lang w:val="en-GB"/>
        </w:rPr>
      </w:pPr>
      <w:r w:rsidRPr="00B124DC">
        <w:rPr>
          <w:lang w:val="en-GB"/>
        </w:rPr>
        <w:t>4.  On what grounds was the interference with the applicant</w:t>
      </w:r>
      <w:r w:rsidR="0006350D">
        <w:rPr>
          <w:lang w:val="en-GB"/>
        </w:rPr>
        <w:t>’</w:t>
      </w:r>
      <w:r w:rsidRPr="00B124DC">
        <w:rPr>
          <w:lang w:val="en-GB"/>
        </w:rPr>
        <w:t>s right to freedom of religion through the ban on wearing the headscarf based? In the present case, relying exclusively on the reasons cited by the national authorities and courts, the majority put forward, in general and abstract terms, two main arguments: secularism and equality. While I fully and totally subscribe to each of these principles, I disagree with the manner in</w:t>
      </w:r>
      <w:r w:rsidR="00777EFD">
        <w:rPr>
          <w:lang w:val="en-GB"/>
        </w:rPr>
        <w:t xml:space="preserve"> </w:t>
      </w:r>
      <w:r w:rsidR="007D61B7" w:rsidRPr="00B124DC">
        <w:rPr>
          <w:lang w:val="en-GB"/>
        </w:rPr>
        <w:t>which they were applied here and to the way they were interpreted in relation to the practice of wearing the headscarf. In a democratic society, I believe that it is necessary to seek to harmonise the principles of secularism, equality and liberty, not to weigh one against the other.</w:t>
      </w:r>
    </w:p>
    <w:p w:rsidR="007D61B7" w:rsidRPr="00B124DC" w:rsidRDefault="000623F8" w:rsidP="007D61B7">
      <w:pPr>
        <w:pStyle w:val="OpiPara"/>
        <w:rPr>
          <w:lang w:val="en-GB"/>
        </w:rPr>
      </w:pPr>
      <w:r w:rsidRPr="00B124DC">
        <w:rPr>
          <w:lang w:val="en-GB"/>
        </w:rPr>
        <w:t>5</w:t>
      </w:r>
      <w:r w:rsidR="007D61B7" w:rsidRPr="00B124DC">
        <w:rPr>
          <w:lang w:val="en-GB"/>
        </w:rPr>
        <w:t xml:space="preserve">.  As regards, firstly, </w:t>
      </w:r>
      <w:r w:rsidR="007D61B7" w:rsidRPr="00B124DC">
        <w:rPr>
          <w:i/>
          <w:lang w:val="en-GB"/>
        </w:rPr>
        <w:t>secularism</w:t>
      </w:r>
      <w:r w:rsidR="007D61B7" w:rsidRPr="00B124DC">
        <w:rPr>
          <w:lang w:val="en-GB"/>
        </w:rPr>
        <w:t xml:space="preserve">, I would reiterate that I consider it an essential principle and one which, as the </w:t>
      </w:r>
      <w:smartTag w:uri="urn:schemas-microsoft-com:office:smarttags" w:element="Street">
        <w:smartTag w:uri="urn:schemas-microsoft-com:office:smarttags" w:element="address">
          <w:r w:rsidR="007D61B7" w:rsidRPr="00B124DC">
            <w:rPr>
              <w:lang w:val="en-GB"/>
            </w:rPr>
            <w:t>Constitutional Court</w:t>
          </w:r>
        </w:smartTag>
      </w:smartTag>
      <w:r w:rsidR="007D61B7" w:rsidRPr="00B124DC">
        <w:rPr>
          <w:lang w:val="en-GB"/>
        </w:rPr>
        <w:t xml:space="preserve"> stated in its judgment of </w:t>
      </w:r>
      <w:smartTag w:uri="urn:schemas-microsoft-com:office:smarttags" w:element="date">
        <w:smartTagPr>
          <w:attr w:name="Month" w:val="3"/>
          <w:attr w:name="Day" w:val="7"/>
          <w:attr w:name="Year" w:val="1989"/>
        </w:smartTagPr>
        <w:r w:rsidR="007D61B7" w:rsidRPr="00B124DC">
          <w:rPr>
            <w:lang w:val="en-GB"/>
          </w:rPr>
          <w:t>7 March 1989</w:t>
        </w:r>
      </w:smartTag>
      <w:r w:rsidR="007D61B7" w:rsidRPr="00B124DC">
        <w:rPr>
          <w:lang w:val="en-GB"/>
        </w:rPr>
        <w:t xml:space="preserve">, is undoubtedly necessary for the protection of the democratic system in </w:t>
      </w:r>
      <w:smartTag w:uri="urn:schemas-microsoft-com:office:smarttags" w:element="place">
        <w:smartTag w:uri="urn:schemas-microsoft-com:office:smarttags" w:element="country-region">
          <w:r w:rsidR="007D61B7" w:rsidRPr="00B124DC">
            <w:rPr>
              <w:lang w:val="en-GB"/>
            </w:rPr>
            <w:t>Turkey</w:t>
          </w:r>
        </w:smartTag>
      </w:smartTag>
      <w:r w:rsidR="007D61B7" w:rsidRPr="00B124DC">
        <w:rPr>
          <w:lang w:val="en-GB"/>
        </w:rPr>
        <w:t>. Religious freedom is, however, also a founding principle of democratic societies. Accordingly, the fact that the Grand Chamber recognised the force of the principle of secularism did not release it from its obligation to establish that the ban on wearing the Islamic headscarf to which the applicant was subject was necessary to secure compliance with that principle and</w:t>
      </w:r>
      <w:r w:rsidRPr="00B124DC">
        <w:rPr>
          <w:lang w:val="en-GB"/>
        </w:rPr>
        <w:t>, therefore,</w:t>
      </w:r>
      <w:r w:rsidR="007D61B7" w:rsidRPr="00B124DC">
        <w:rPr>
          <w:lang w:val="en-GB"/>
        </w:rPr>
        <w:t xml:space="preserve"> met a “pressing social need”. Only indisputable facts and reasons whose legitimacy is beyond doubt – not mere worries or fears – are capable of satisfying that requirement and justifying interference with a right guaranteed by the Convention. </w:t>
      </w:r>
      <w:r w:rsidR="0047597B" w:rsidRPr="00B124DC">
        <w:rPr>
          <w:lang w:val="en-GB"/>
        </w:rPr>
        <w:t xml:space="preserve">Moreover, where </w:t>
      </w:r>
      <w:r w:rsidR="007D61B7" w:rsidRPr="00B124DC">
        <w:rPr>
          <w:lang w:val="en-GB"/>
        </w:rPr>
        <w:t>there has been interference with a fundamental right, the Court</w:t>
      </w:r>
      <w:r w:rsidR="0006350D">
        <w:rPr>
          <w:lang w:val="en-GB"/>
        </w:rPr>
        <w:t>’</w:t>
      </w:r>
      <w:r w:rsidR="007D61B7" w:rsidRPr="00B124DC">
        <w:rPr>
          <w:lang w:val="en-GB"/>
        </w:rPr>
        <w:t>s case-law clearly establishes that mere affirmations do not suffice: they must be supported by concrete examples (</w:t>
      </w:r>
      <w:r w:rsidR="00DB15CC">
        <w:rPr>
          <w:lang w:val="en-GB"/>
        </w:rPr>
        <w:t xml:space="preserve">see </w:t>
      </w:r>
      <w:r w:rsidR="00E7069D">
        <w:rPr>
          <w:i/>
          <w:lang w:val="en-GB"/>
        </w:rPr>
        <w:t>Smith and Grady v.</w:t>
      </w:r>
      <w:r w:rsidR="00DB15CC">
        <w:rPr>
          <w:i/>
          <w:lang w:val="en-GB"/>
        </w:rPr>
        <w:t xml:space="preserve"> </w:t>
      </w:r>
      <w:r w:rsidR="007D61B7" w:rsidRPr="00B124DC">
        <w:rPr>
          <w:i/>
          <w:lang w:val="en-GB"/>
        </w:rPr>
        <w:t>the United Kingdom</w:t>
      </w:r>
      <w:r w:rsidR="007D61B7" w:rsidRPr="00B124DC">
        <w:rPr>
          <w:lang w:val="en-GB"/>
        </w:rPr>
        <w:t xml:space="preserve">, </w:t>
      </w:r>
      <w:r w:rsidR="00DB15CC">
        <w:rPr>
          <w:lang w:val="en-GB"/>
        </w:rPr>
        <w:t>nos. 33985/96 and 33986/96</w:t>
      </w:r>
      <w:r w:rsidR="007D61B7" w:rsidRPr="00B124DC">
        <w:rPr>
          <w:lang w:val="en-GB"/>
        </w:rPr>
        <w:t>, § 89</w:t>
      </w:r>
      <w:r w:rsidR="00DB15CC">
        <w:rPr>
          <w:lang w:val="en-GB"/>
        </w:rPr>
        <w:t>, ECHR 1999-VI</w:t>
      </w:r>
      <w:r w:rsidR="007D61B7" w:rsidRPr="00B124DC">
        <w:rPr>
          <w:lang w:val="en-GB"/>
        </w:rPr>
        <w:t>). Such examples do not appear to have been forthcoming in the present case.</w:t>
      </w:r>
    </w:p>
    <w:p w:rsidR="002415A4" w:rsidRDefault="00FC3ED8" w:rsidP="007D61B7">
      <w:pPr>
        <w:pStyle w:val="OpiPara"/>
        <w:rPr>
          <w:lang w:val="en-GB"/>
        </w:rPr>
      </w:pPr>
      <w:r w:rsidRPr="00B124DC">
        <w:rPr>
          <w:lang w:val="en-GB"/>
        </w:rPr>
        <w:t>6</w:t>
      </w:r>
      <w:r w:rsidR="007D61B7" w:rsidRPr="00B124DC">
        <w:rPr>
          <w:lang w:val="en-GB"/>
        </w:rPr>
        <w:t>.  Under Article 9 of the Convention, the freedom with which this case is concerned is not freedom to have a religion (the internal conviction) but to manifest one</w:t>
      </w:r>
      <w:r w:rsidR="0006350D">
        <w:rPr>
          <w:lang w:val="en-GB"/>
        </w:rPr>
        <w:t>’</w:t>
      </w:r>
      <w:r w:rsidR="007D61B7" w:rsidRPr="00B124DC">
        <w:rPr>
          <w:lang w:val="en-GB"/>
        </w:rPr>
        <w:t>s religion (the expression of that conviction). If the Court has been very protective (</w:t>
      </w:r>
      <w:r w:rsidRPr="00B124DC">
        <w:rPr>
          <w:lang w:val="en-GB"/>
        </w:rPr>
        <w:t>perhaps</w:t>
      </w:r>
      <w:r w:rsidR="00E87084">
        <w:rPr>
          <w:lang w:val="en-GB"/>
        </w:rPr>
        <w:t xml:space="preserve"> over</w:t>
      </w:r>
      <w:r w:rsidR="007D61B7" w:rsidRPr="00B124DC">
        <w:rPr>
          <w:lang w:val="en-GB"/>
        </w:rPr>
        <w:t>protective) of religious sentiment (</w:t>
      </w:r>
      <w:r w:rsidR="00777EFD">
        <w:rPr>
          <w:lang w:val="en-GB"/>
        </w:rPr>
        <w:t xml:space="preserve">see </w:t>
      </w:r>
      <w:r w:rsidR="007D61B7" w:rsidRPr="00B124DC">
        <w:rPr>
          <w:i/>
          <w:lang w:val="en-GB"/>
        </w:rPr>
        <w:t>Otto-Preminger-Institut v. Austria</w:t>
      </w:r>
      <w:r w:rsidR="007D61B7" w:rsidRPr="00B124DC">
        <w:rPr>
          <w:lang w:val="en-GB"/>
        </w:rPr>
        <w:t>, judgment of 20 September 1994</w:t>
      </w:r>
      <w:r w:rsidR="00777EFD">
        <w:rPr>
          <w:lang w:val="en-GB"/>
        </w:rPr>
        <w:t>, Series A no.</w:t>
      </w:r>
      <w:r w:rsidR="00A56BB3">
        <w:rPr>
          <w:lang w:val="en-GB"/>
        </w:rPr>
        <w:t xml:space="preserve"> </w:t>
      </w:r>
      <w:r w:rsidR="00777EFD">
        <w:rPr>
          <w:lang w:val="en-GB"/>
        </w:rPr>
        <w:t>295-A, and</w:t>
      </w:r>
      <w:r w:rsidR="007D61B7" w:rsidRPr="00B124DC">
        <w:rPr>
          <w:lang w:val="en-GB"/>
        </w:rPr>
        <w:t xml:space="preserve"> </w:t>
      </w:r>
      <w:r w:rsidR="007D61B7" w:rsidRPr="00B124DC">
        <w:rPr>
          <w:i/>
          <w:lang w:val="en-GB"/>
        </w:rPr>
        <w:t>Wingrove v. the United Kingdom</w:t>
      </w:r>
      <w:r w:rsidR="00E7069D">
        <w:rPr>
          <w:lang w:val="en-GB"/>
        </w:rPr>
        <w:t>, judgment of 25</w:t>
      </w:r>
      <w:r w:rsidR="00777EFD">
        <w:rPr>
          <w:lang w:val="en-GB"/>
        </w:rPr>
        <w:t> </w:t>
      </w:r>
      <w:r w:rsidR="007D61B7" w:rsidRPr="00B124DC">
        <w:rPr>
          <w:lang w:val="en-GB"/>
        </w:rPr>
        <w:t>November 1996</w:t>
      </w:r>
      <w:r w:rsidR="00777EFD">
        <w:rPr>
          <w:lang w:val="en-GB"/>
        </w:rPr>
        <w:t xml:space="preserve">, </w:t>
      </w:r>
      <w:r w:rsidR="00777EFD">
        <w:rPr>
          <w:i/>
          <w:lang w:val="en-GB"/>
        </w:rPr>
        <w:t>Reports of Judgments and Decisions</w:t>
      </w:r>
      <w:r w:rsidR="00777EFD">
        <w:rPr>
          <w:lang w:val="en-GB"/>
        </w:rPr>
        <w:t xml:space="preserve"> 1996-V</w:t>
      </w:r>
      <w:r w:rsidR="007D61B7" w:rsidRPr="00B124DC">
        <w:rPr>
          <w:lang w:val="en-GB"/>
        </w:rPr>
        <w:t>), it has shown itself less willing to intervene in cases concerning religious practices (</w:t>
      </w:r>
      <w:r w:rsidR="00777EFD">
        <w:rPr>
          <w:lang w:val="en-GB"/>
        </w:rPr>
        <w:t xml:space="preserve">see </w:t>
      </w:r>
      <w:r w:rsidR="007D61B7" w:rsidRPr="00B124DC">
        <w:rPr>
          <w:i/>
          <w:lang w:val="en-GB"/>
        </w:rPr>
        <w:t>Cha</w:t>
      </w:r>
      <w:r w:rsidR="0006350D">
        <w:rPr>
          <w:i/>
          <w:lang w:val="en-GB"/>
        </w:rPr>
        <w:t>’</w:t>
      </w:r>
      <w:r w:rsidR="007D61B7" w:rsidRPr="00B124DC">
        <w:rPr>
          <w:i/>
          <w:lang w:val="en-GB"/>
        </w:rPr>
        <w:t>are Shalom Ve Tsedek</w:t>
      </w:r>
      <w:r w:rsidR="00777EFD">
        <w:rPr>
          <w:lang w:val="en-GB"/>
        </w:rPr>
        <w:t>, cited above,</w:t>
      </w:r>
      <w:r w:rsidR="007D61B7" w:rsidRPr="00B124DC">
        <w:rPr>
          <w:lang w:val="en-GB"/>
        </w:rPr>
        <w:t xml:space="preserve"> </w:t>
      </w:r>
      <w:r w:rsidR="00777EFD">
        <w:rPr>
          <w:lang w:val="en-GB"/>
        </w:rPr>
        <w:t xml:space="preserve">and </w:t>
      </w:r>
      <w:r w:rsidR="00E7069D">
        <w:rPr>
          <w:i/>
          <w:lang w:val="en-GB"/>
        </w:rPr>
        <w:t>Dahlab v.</w:t>
      </w:r>
      <w:r w:rsidR="00777EFD">
        <w:rPr>
          <w:i/>
          <w:lang w:val="en-GB"/>
        </w:rPr>
        <w:t xml:space="preserve"> </w:t>
      </w:r>
      <w:r w:rsidR="007D61B7" w:rsidRPr="00B124DC">
        <w:rPr>
          <w:i/>
          <w:lang w:val="en-GB"/>
        </w:rPr>
        <w:t>Switzerland</w:t>
      </w:r>
      <w:r w:rsidR="00777EFD">
        <w:rPr>
          <w:lang w:val="en-GB"/>
        </w:rPr>
        <w:t xml:space="preserve"> (dec.)</w:t>
      </w:r>
      <w:r w:rsidR="007D61B7" w:rsidRPr="00B124DC">
        <w:rPr>
          <w:lang w:val="en-GB"/>
        </w:rPr>
        <w:t xml:space="preserve">, </w:t>
      </w:r>
      <w:r w:rsidR="00777EFD">
        <w:rPr>
          <w:lang w:val="en-GB"/>
        </w:rPr>
        <w:t>no. 42393/98, ECHR 2001-V</w:t>
      </w:r>
      <w:r w:rsidR="007D61B7" w:rsidRPr="00B124DC">
        <w:rPr>
          <w:lang w:val="en-GB"/>
        </w:rPr>
        <w:t>), which only appear to receive a subsidiary form of protection (see paragraph 105 of the judgment). This is, in fact, an aspect of freedom of religion with which the Court has rarely been confronted up to now and on which it has not yet had an opportunity to form an opinion with regard to external symbols of religious practice, such as particular items of clothing, whose symbolic importance may vary greatly according to the faith concerned</w:t>
      </w:r>
      <w:r w:rsidR="00777EFD">
        <w:rPr>
          <w:rStyle w:val="FootnoteReference"/>
          <w:lang w:val="en-GB"/>
        </w:rPr>
        <w:footnoteReference w:id="2"/>
      </w:r>
      <w:r w:rsidR="007D61B7" w:rsidRPr="00B124DC">
        <w:rPr>
          <w:lang w:val="en-GB"/>
        </w:rPr>
        <w:t>.</w:t>
      </w:r>
    </w:p>
    <w:p w:rsidR="007D61B7" w:rsidRPr="00B124DC" w:rsidRDefault="00FC3ED8" w:rsidP="007D61B7">
      <w:pPr>
        <w:pStyle w:val="OpiPara"/>
        <w:rPr>
          <w:lang w:val="en-GB"/>
        </w:rPr>
      </w:pPr>
      <w:r w:rsidRPr="00B124DC">
        <w:rPr>
          <w:lang w:val="en-GB"/>
        </w:rPr>
        <w:t>7</w:t>
      </w:r>
      <w:r w:rsidR="007D61B7" w:rsidRPr="00B124DC">
        <w:rPr>
          <w:lang w:val="en-GB"/>
        </w:rPr>
        <w:t xml:space="preserve">.  Referring to </w:t>
      </w:r>
      <w:r w:rsidR="007D61B7" w:rsidRPr="00B124DC">
        <w:rPr>
          <w:i/>
          <w:lang w:val="en-GB"/>
        </w:rPr>
        <w:t xml:space="preserve">Refah Partisi </w:t>
      </w:r>
      <w:r w:rsidR="00777EFD">
        <w:rPr>
          <w:i/>
          <w:lang w:val="en-GB"/>
        </w:rPr>
        <w:t xml:space="preserve">(the Welfare Party) </w:t>
      </w:r>
      <w:r w:rsidR="007D61B7" w:rsidRPr="00B124DC">
        <w:rPr>
          <w:i/>
          <w:lang w:val="en-GB"/>
        </w:rPr>
        <w:t xml:space="preserve">and Others v. </w:t>
      </w:r>
      <w:smartTag w:uri="urn:schemas-microsoft-com:office:smarttags" w:element="country-region">
        <w:smartTag w:uri="urn:schemas-microsoft-com:office:smarttags" w:element="place">
          <w:r w:rsidR="007D61B7" w:rsidRPr="00B124DC">
            <w:rPr>
              <w:i/>
              <w:lang w:val="en-GB"/>
            </w:rPr>
            <w:t>Turkey</w:t>
          </w:r>
        </w:smartTag>
      </w:smartTag>
      <w:r w:rsidR="007D61B7" w:rsidRPr="00B124DC">
        <w:rPr>
          <w:i/>
          <w:lang w:val="en-GB"/>
        </w:rPr>
        <w:t xml:space="preserve"> </w:t>
      </w:r>
      <w:r w:rsidR="00777EFD">
        <w:rPr>
          <w:lang w:val="en-GB"/>
        </w:rPr>
        <w:t xml:space="preserve">([GC], nos. </w:t>
      </w:r>
      <w:r w:rsidR="00777EFD" w:rsidRPr="00777EFD">
        <w:rPr>
          <w:lang w:val="en-GB"/>
        </w:rPr>
        <w:t>41340/98, 41342/98, 41343/98 and 41344/98, ECHR 2003-II)</w:t>
      </w:r>
      <w:r w:rsidR="007D61B7" w:rsidRPr="00B124DC">
        <w:rPr>
          <w:lang w:val="en-GB"/>
        </w:rPr>
        <w:t>, the judgment states: “An attitude which fails to respect that principle [of secularism] will not necessarily be accepted as being covered by the freedom to manifest one</w:t>
      </w:r>
      <w:r w:rsidR="0006350D">
        <w:rPr>
          <w:lang w:val="en-GB"/>
        </w:rPr>
        <w:t>’</w:t>
      </w:r>
      <w:r w:rsidR="007D61B7" w:rsidRPr="00B124DC">
        <w:rPr>
          <w:lang w:val="en-GB"/>
        </w:rPr>
        <w:t>s religion” (see paragraph 114). The majority thus consider that wearing the headscarf contravenes the principle of secularism. In so doing, they take up position on an issue that has been the subject of much debate, namely the signification of wearing the headscarf and its relationship with the principle of secularism</w:t>
      </w:r>
      <w:r w:rsidR="00777EFD">
        <w:rPr>
          <w:rStyle w:val="FootnoteReference"/>
          <w:lang w:val="en-GB"/>
        </w:rPr>
        <w:footnoteReference w:id="3"/>
      </w:r>
      <w:r w:rsidR="007D61B7" w:rsidRPr="00B124DC">
        <w:rPr>
          <w:lang w:val="en-GB"/>
        </w:rPr>
        <w:t>.</w:t>
      </w:r>
    </w:p>
    <w:p w:rsidR="007D61B7" w:rsidRPr="00B124DC" w:rsidRDefault="007D61B7" w:rsidP="007D61B7">
      <w:pPr>
        <w:pStyle w:val="OpiPara"/>
        <w:rPr>
          <w:lang w:val="en-GB"/>
        </w:rPr>
      </w:pPr>
      <w:r w:rsidRPr="00B124DC">
        <w:rPr>
          <w:lang w:val="en-GB"/>
        </w:rPr>
        <w:t>In the present case, a generalised assessment of that type gives rise to at least three difficulties. Firstly, the judgment does not address the applicant</w:t>
      </w:r>
      <w:r w:rsidR="0006350D">
        <w:rPr>
          <w:lang w:val="en-GB"/>
        </w:rPr>
        <w:t>’</w:t>
      </w:r>
      <w:r w:rsidRPr="00B124DC">
        <w:rPr>
          <w:lang w:val="en-GB"/>
        </w:rPr>
        <w:t xml:space="preserve">s argument – which the Government did not dispute – that she had no intention of calling the principle of secularism, a principle with which she agreed, into </w:t>
      </w:r>
      <w:r w:rsidR="00777EFD">
        <w:rPr>
          <w:lang w:val="en-GB"/>
        </w:rPr>
        <w:t>question</w:t>
      </w:r>
      <w:r w:rsidRPr="00B124DC">
        <w:rPr>
          <w:lang w:val="en-GB"/>
        </w:rPr>
        <w:t>. Secondly, there is no evidence to show that the applicant, through her attitude, conduct or acts, contravened that principle. This is a test the Court has always applied in its case-law (</w:t>
      </w:r>
      <w:r w:rsidR="00777EFD">
        <w:rPr>
          <w:lang w:val="en-GB"/>
        </w:rPr>
        <w:t xml:space="preserve">see </w:t>
      </w:r>
      <w:r w:rsidR="001A7B88">
        <w:rPr>
          <w:i/>
          <w:lang w:val="en-GB"/>
        </w:rPr>
        <w:t>Kokkinakis v. </w:t>
      </w:r>
      <w:r w:rsidRPr="00B124DC">
        <w:rPr>
          <w:i/>
          <w:lang w:val="en-GB"/>
        </w:rPr>
        <w:t>Greece</w:t>
      </w:r>
      <w:r w:rsidRPr="00B124DC">
        <w:rPr>
          <w:lang w:val="en-GB"/>
        </w:rPr>
        <w:t xml:space="preserve">, judgment of </w:t>
      </w:r>
      <w:smartTag w:uri="urn:schemas-microsoft-com:office:smarttags" w:element="date">
        <w:smartTagPr>
          <w:attr w:name="Month" w:val="5"/>
          <w:attr w:name="Day" w:val="25"/>
          <w:attr w:name="Year" w:val="1993"/>
        </w:smartTagPr>
        <w:r w:rsidRPr="00B124DC">
          <w:rPr>
            <w:lang w:val="en-GB"/>
          </w:rPr>
          <w:t>25 May 1993</w:t>
        </w:r>
      </w:smartTag>
      <w:r w:rsidR="00777EFD">
        <w:rPr>
          <w:lang w:val="en-GB"/>
        </w:rPr>
        <w:t>, Series A no. 260-A, and</w:t>
      </w:r>
      <w:r w:rsidRPr="00B124DC">
        <w:rPr>
          <w:lang w:val="en-GB"/>
        </w:rPr>
        <w:t xml:space="preserve"> </w:t>
      </w:r>
      <w:r w:rsidRPr="00B124DC">
        <w:rPr>
          <w:i/>
          <w:lang w:val="en-GB"/>
        </w:rPr>
        <w:t>United Communist Party of Turkey and Others v. Turkey</w:t>
      </w:r>
      <w:r w:rsidRPr="00B124DC">
        <w:rPr>
          <w:lang w:val="en-GB"/>
        </w:rPr>
        <w:t>, judgment of 30 January 1998</w:t>
      </w:r>
      <w:r w:rsidR="00777EFD">
        <w:rPr>
          <w:lang w:val="en-GB"/>
        </w:rPr>
        <w:t xml:space="preserve">, </w:t>
      </w:r>
      <w:r w:rsidR="00777EFD">
        <w:rPr>
          <w:i/>
          <w:lang w:val="en-GB"/>
        </w:rPr>
        <w:t xml:space="preserve">Reports </w:t>
      </w:r>
      <w:r w:rsidR="00777EFD" w:rsidRPr="00777EFD">
        <w:rPr>
          <w:lang w:val="en-GB"/>
        </w:rPr>
        <w:t>1998-I</w:t>
      </w:r>
      <w:r w:rsidRPr="00B124DC">
        <w:rPr>
          <w:lang w:val="en-GB"/>
        </w:rPr>
        <w:t xml:space="preserve">). Lastly, the judgment makes no distinction between teachers and students, whereas in </w:t>
      </w:r>
      <w:r w:rsidRPr="00B124DC">
        <w:rPr>
          <w:i/>
          <w:lang w:val="en-GB"/>
        </w:rPr>
        <w:t>Dahlab</w:t>
      </w:r>
      <w:r w:rsidR="00777EFD">
        <w:rPr>
          <w:lang w:val="en-GB"/>
        </w:rPr>
        <w:t xml:space="preserve"> (decision cited above)</w:t>
      </w:r>
      <w:r w:rsidRPr="00B124DC">
        <w:rPr>
          <w:lang w:val="en-GB"/>
        </w:rPr>
        <w:t>, which concerned a teacher, the Court expressly noted the role-model aspect which the teacher</w:t>
      </w:r>
      <w:r w:rsidR="0006350D">
        <w:rPr>
          <w:lang w:val="en-GB"/>
        </w:rPr>
        <w:t>’</w:t>
      </w:r>
      <w:r w:rsidR="00777EFD">
        <w:rPr>
          <w:lang w:val="en-GB"/>
        </w:rPr>
        <w:t>s wearing the headscarf had</w:t>
      </w:r>
      <w:r w:rsidRPr="00B124DC">
        <w:rPr>
          <w:lang w:val="en-GB"/>
        </w:rPr>
        <w:t>. While the principle of secularism requires education to be provided without any manifestation</w:t>
      </w:r>
      <w:r w:rsidR="00561B95" w:rsidRPr="00B124DC">
        <w:rPr>
          <w:lang w:val="en-GB"/>
        </w:rPr>
        <w:t xml:space="preserve"> of</w:t>
      </w:r>
      <w:r w:rsidRPr="00B124DC">
        <w:rPr>
          <w:lang w:val="en-GB"/>
        </w:rPr>
        <w:t xml:space="preserve"> </w:t>
      </w:r>
      <w:r w:rsidR="00561B95" w:rsidRPr="00B124DC">
        <w:rPr>
          <w:lang w:val="en-GB"/>
        </w:rPr>
        <w:t xml:space="preserve">religion </w:t>
      </w:r>
      <w:r w:rsidRPr="00B124DC">
        <w:rPr>
          <w:lang w:val="en-GB"/>
        </w:rPr>
        <w:t>and while it has to be compulsory for teachers and all public servants, as they have voluntarily taken up posts in a neutral environment, the position of pupils and students seems to me to be different.</w:t>
      </w:r>
    </w:p>
    <w:p w:rsidR="002415A4" w:rsidRDefault="0030399C" w:rsidP="007D61B7">
      <w:pPr>
        <w:pStyle w:val="OpiPara"/>
        <w:rPr>
          <w:lang w:val="en-GB"/>
        </w:rPr>
      </w:pPr>
      <w:r w:rsidRPr="00B124DC">
        <w:rPr>
          <w:lang w:val="en-GB"/>
        </w:rPr>
        <w:t>8</w:t>
      </w:r>
      <w:r w:rsidR="00E7069D">
        <w:rPr>
          <w:lang w:val="en-GB"/>
        </w:rPr>
        <w:t>.  </w:t>
      </w:r>
      <w:r w:rsidR="007D61B7" w:rsidRPr="00B124DC">
        <w:rPr>
          <w:lang w:val="en-GB"/>
        </w:rPr>
        <w:t>Freedom to manifest a religion entails everyone being allowed to exercise that right, whether individually or collectively, in public or in private, subject to the dual condition that they do not infringe the rights and freedoms of others and do not prejudice public order (Article 9 § 2).</w:t>
      </w:r>
    </w:p>
    <w:p w:rsidR="007D61B7" w:rsidRPr="00B124DC" w:rsidRDefault="007D61B7" w:rsidP="007D61B7">
      <w:pPr>
        <w:pStyle w:val="OpiPara"/>
        <w:rPr>
          <w:lang w:val="en-GB"/>
        </w:rPr>
      </w:pPr>
      <w:r w:rsidRPr="00B124DC">
        <w:rPr>
          <w:lang w:val="en-GB"/>
        </w:rPr>
        <w:t xml:space="preserve">As regards the first condition, this could have </w:t>
      </w:r>
      <w:r w:rsidR="00777EFD">
        <w:rPr>
          <w:lang w:val="en-GB"/>
        </w:rPr>
        <w:t xml:space="preserve">not </w:t>
      </w:r>
      <w:r w:rsidRPr="00B124DC">
        <w:rPr>
          <w:lang w:val="en-GB"/>
        </w:rPr>
        <w:t xml:space="preserve">been satisfied if the headscarf the applicant wore as a religious symbol had been ostentatious or aggressive or was used to exert pressure, to provoke a reaction, to proselytise or to spread propaganda and undermined – or was liable to undermine – the convictions of others. However, the Government did not argue that this was the case and there was no evidence before the Court to </w:t>
      </w:r>
      <w:r w:rsidR="00D36D69">
        <w:rPr>
          <w:lang w:val="en-GB"/>
        </w:rPr>
        <w:t>suggest that M</w:t>
      </w:r>
      <w:r w:rsidRPr="00B124DC">
        <w:rPr>
          <w:lang w:val="en-GB"/>
        </w:rPr>
        <w:t>s Şah</w:t>
      </w:r>
      <w:r w:rsidR="00CF42C3">
        <w:rPr>
          <w:lang w:val="en-GB"/>
        </w:rPr>
        <w:t>i</w:t>
      </w:r>
      <w:r w:rsidRPr="00B124DC">
        <w:rPr>
          <w:lang w:val="en-GB"/>
        </w:rPr>
        <w:t xml:space="preserve">n had any such intention. As to the second condition, it has been neither suggested nor demonstrated that there was any disruption in teaching or in </w:t>
      </w:r>
      <w:r w:rsidR="002E542D" w:rsidRPr="00B124DC">
        <w:rPr>
          <w:lang w:val="en-GB"/>
        </w:rPr>
        <w:t>everyday</w:t>
      </w:r>
      <w:r w:rsidR="00B71594" w:rsidRPr="00B124DC">
        <w:rPr>
          <w:lang w:val="en-GB"/>
        </w:rPr>
        <w:t xml:space="preserve"> life</w:t>
      </w:r>
      <w:r w:rsidRPr="00B124DC">
        <w:rPr>
          <w:lang w:val="en-GB"/>
        </w:rPr>
        <w:t xml:space="preserve"> at the </w:t>
      </w:r>
      <w:r w:rsidR="00777EFD">
        <w:rPr>
          <w:lang w:val="en-GB"/>
        </w:rPr>
        <w:t>u</w:t>
      </w:r>
      <w:r w:rsidRPr="00B124DC">
        <w:rPr>
          <w:lang w:val="en-GB"/>
        </w:rPr>
        <w:t>niversity, or any disorderly conduct, as a result of the applicant</w:t>
      </w:r>
      <w:r w:rsidR="0006350D">
        <w:rPr>
          <w:lang w:val="en-GB"/>
        </w:rPr>
        <w:t>’</w:t>
      </w:r>
      <w:r w:rsidRPr="00B124DC">
        <w:rPr>
          <w:lang w:val="en-GB"/>
        </w:rPr>
        <w:t>s wearing the headscarf. Indeed, no disciplinary proceedings were taken against her.</w:t>
      </w:r>
    </w:p>
    <w:p w:rsidR="002415A4" w:rsidRDefault="003239A1" w:rsidP="007D61B7">
      <w:pPr>
        <w:pStyle w:val="OpiPara"/>
        <w:rPr>
          <w:lang w:val="en-GB"/>
        </w:rPr>
      </w:pPr>
      <w:r w:rsidRPr="00B124DC">
        <w:rPr>
          <w:lang w:val="en-GB"/>
        </w:rPr>
        <w:t>9.  </w:t>
      </w:r>
      <w:r w:rsidR="007D61B7" w:rsidRPr="00B124DC">
        <w:rPr>
          <w:lang w:val="en-GB"/>
        </w:rPr>
        <w:t>The majority maintain, however</w:t>
      </w:r>
      <w:r w:rsidR="00BC0BA6">
        <w:rPr>
          <w:lang w:val="en-GB"/>
        </w:rPr>
        <w:t>,</w:t>
      </w:r>
      <w:r w:rsidR="007D61B7" w:rsidRPr="00B124DC">
        <w:rPr>
          <w:lang w:val="en-GB"/>
        </w:rPr>
        <w:t xml:space="preserve"> that</w:t>
      </w:r>
      <w:r w:rsidR="00BC0BA6">
        <w:rPr>
          <w:lang w:val="en-GB"/>
        </w:rPr>
        <w:t>,</w:t>
      </w:r>
      <w:r w:rsidR="007D61B7" w:rsidRPr="00B124DC">
        <w:rPr>
          <w:lang w:val="en-GB"/>
        </w:rPr>
        <w:t xml:space="preserve"> “when examining the question of the Islamic headscarf in the Turkish context, </w:t>
      </w:r>
      <w:r w:rsidR="00BC0BA6">
        <w:rPr>
          <w:lang w:val="en-GB"/>
        </w:rPr>
        <w:t>it</w:t>
      </w:r>
      <w:r w:rsidR="007D61B7" w:rsidRPr="00B124DC">
        <w:rPr>
          <w:lang w:val="en-GB"/>
        </w:rPr>
        <w:t xml:space="preserve"> must be borne in mind the impact which wearing such a symbol, which is presented or perceived as a compulsory religious duty, may have on those who choose not to wear it” (see paragraph 115 of the judgment).</w:t>
      </w:r>
    </w:p>
    <w:p w:rsidR="007D61B7" w:rsidRPr="00B124DC" w:rsidRDefault="007D61B7" w:rsidP="00927681">
      <w:pPr>
        <w:pStyle w:val="OpiPara"/>
        <w:rPr>
          <w:lang w:val="en-GB"/>
        </w:rPr>
      </w:pPr>
      <w:r w:rsidRPr="00B124DC">
        <w:rPr>
          <w:lang w:val="en-GB"/>
        </w:rPr>
        <w:t>Unless the level of protection of the right to freedom of religion is reduced to take account of the context, the possible effect which wearing the headscarf, which is presented as a symbol, may have on those who do not wear it does not appear to me, in the light of the Court</w:t>
      </w:r>
      <w:r w:rsidR="0006350D">
        <w:rPr>
          <w:lang w:val="en-GB"/>
        </w:rPr>
        <w:t>’</w:t>
      </w:r>
      <w:r w:rsidRPr="00B124DC">
        <w:rPr>
          <w:lang w:val="en-GB"/>
        </w:rPr>
        <w:t xml:space="preserve">s case-law, to satisfy the requirement of a pressing social need. </w:t>
      </w:r>
      <w:r w:rsidR="00A5756E" w:rsidRPr="00B124DC">
        <w:rPr>
          <w:i/>
          <w:lang w:val="en-GB"/>
        </w:rPr>
        <w:t>Mutatis mutandis</w:t>
      </w:r>
      <w:r w:rsidRPr="00B124DC">
        <w:rPr>
          <w:lang w:val="en-GB"/>
        </w:rPr>
        <w:t>, in the sphere of freedom of expression (Article 10), the Court has never accepted that interference with the exercise of the right to freedom of expression can be justified by the fact that the ideas or views concerned are not shared by everyone and may even offend</w:t>
      </w:r>
      <w:r w:rsidR="00891E4D" w:rsidRPr="00B124DC">
        <w:rPr>
          <w:lang w:val="en-GB"/>
        </w:rPr>
        <w:t xml:space="preserve"> some people</w:t>
      </w:r>
      <w:r w:rsidRPr="00B124DC">
        <w:rPr>
          <w:lang w:val="en-GB"/>
        </w:rPr>
        <w:t xml:space="preserve">. Recently, in </w:t>
      </w:r>
      <w:r w:rsidR="00777EFD">
        <w:rPr>
          <w:i/>
          <w:lang w:val="en-GB"/>
        </w:rPr>
        <w:t>Gündüz v.</w:t>
      </w:r>
      <w:r w:rsidR="00A56BB3">
        <w:rPr>
          <w:i/>
          <w:lang w:val="en-GB"/>
        </w:rPr>
        <w:t xml:space="preserve"> </w:t>
      </w:r>
      <w:r w:rsidRPr="00B124DC">
        <w:rPr>
          <w:i/>
          <w:lang w:val="en-GB"/>
        </w:rPr>
        <w:t>Turkey</w:t>
      </w:r>
      <w:r w:rsidRPr="00B124DC">
        <w:rPr>
          <w:lang w:val="en-GB"/>
        </w:rPr>
        <w:t xml:space="preserve"> </w:t>
      </w:r>
      <w:r w:rsidR="00BC0BA6">
        <w:rPr>
          <w:lang w:val="en-GB"/>
        </w:rPr>
        <w:t>(no.</w:t>
      </w:r>
      <w:r w:rsidR="00777EFD">
        <w:rPr>
          <w:lang w:val="en-GB"/>
        </w:rPr>
        <w:t xml:space="preserve"> 35071/97, ECHR 2003-XI)</w:t>
      </w:r>
      <w:r w:rsidRPr="00B124DC">
        <w:rPr>
          <w:lang w:val="en-GB"/>
        </w:rPr>
        <w:t xml:space="preserve">, the Court held that there had been a violation of freedom of expression </w:t>
      </w:r>
      <w:r w:rsidR="00777EFD">
        <w:rPr>
          <w:lang w:val="en-GB"/>
        </w:rPr>
        <w:t xml:space="preserve">where </w:t>
      </w:r>
      <w:r w:rsidRPr="00B124DC">
        <w:rPr>
          <w:lang w:val="en-GB"/>
        </w:rPr>
        <w:t xml:space="preserve">a Muslim religious leader had been convicted for violently criticising the secular regime in Turkey, calling for the introduction of the sharia and </w:t>
      </w:r>
      <w:r w:rsidR="00B71594" w:rsidRPr="00B124DC">
        <w:rPr>
          <w:lang w:val="en-GB"/>
        </w:rPr>
        <w:t>referring to</w:t>
      </w:r>
      <w:r w:rsidRPr="00B124DC">
        <w:rPr>
          <w:lang w:val="en-GB"/>
        </w:rPr>
        <w:t xml:space="preserve"> children born of marriages celebrated solely before the secular authorities</w:t>
      </w:r>
      <w:r w:rsidR="00B71594" w:rsidRPr="00B124DC">
        <w:rPr>
          <w:lang w:val="en-GB"/>
        </w:rPr>
        <w:t xml:space="preserve"> as</w:t>
      </w:r>
      <w:r w:rsidRPr="00B124DC">
        <w:rPr>
          <w:lang w:val="en-GB"/>
        </w:rPr>
        <w:t xml:space="preserve"> “bastards”. Thus, manifesting one</w:t>
      </w:r>
      <w:r w:rsidR="0006350D">
        <w:rPr>
          <w:lang w:val="en-GB"/>
        </w:rPr>
        <w:t>’</w:t>
      </w:r>
      <w:r w:rsidRPr="00B124DC">
        <w:rPr>
          <w:lang w:val="en-GB"/>
        </w:rPr>
        <w:t>s religion by peacefully wearing a headscarf may be prohibited whereas, in the same context, remarks which could be construed as incitement to religious hatred are covered by freedom of expression</w:t>
      </w:r>
      <w:r w:rsidR="00777EFD">
        <w:rPr>
          <w:rStyle w:val="FootnoteReference"/>
          <w:lang w:val="en-GB"/>
        </w:rPr>
        <w:footnoteReference w:id="4"/>
      </w:r>
      <w:r w:rsidRPr="00B124DC">
        <w:rPr>
          <w:lang w:val="en-GB"/>
        </w:rPr>
        <w:t>.</w:t>
      </w:r>
    </w:p>
    <w:p w:rsidR="002415A4" w:rsidRDefault="007D61B7" w:rsidP="007D61B7">
      <w:pPr>
        <w:pStyle w:val="OpiPara"/>
        <w:rPr>
          <w:lang w:val="en-GB"/>
        </w:rPr>
      </w:pPr>
      <w:r w:rsidRPr="00B124DC">
        <w:rPr>
          <w:lang w:val="en-GB"/>
        </w:rPr>
        <w:t>10.  In fact, it is the threat posed by “extremist political movements” seeking to “impose on society as a whole their religious symbols and conception of a society founded on religious precepts” which, in the Court</w:t>
      </w:r>
      <w:r w:rsidR="0006350D">
        <w:rPr>
          <w:lang w:val="en-GB"/>
        </w:rPr>
        <w:t>’</w:t>
      </w:r>
      <w:r w:rsidRPr="00B124DC">
        <w:rPr>
          <w:lang w:val="en-GB"/>
        </w:rPr>
        <w:t>s view, serves to justify the regulations in issue, which constitute “a measure intended to ... preserve pluralism in the university” (see paragraph</w:t>
      </w:r>
      <w:r w:rsidR="00777EFD">
        <w:rPr>
          <w:lang w:val="en-GB"/>
        </w:rPr>
        <w:t xml:space="preserve"> </w:t>
      </w:r>
      <w:r w:rsidRPr="00B124DC">
        <w:rPr>
          <w:lang w:val="en-GB"/>
        </w:rPr>
        <w:t xml:space="preserve">115 </w:t>
      </w:r>
      <w:r w:rsidR="00777EFD" w:rsidRPr="00B124DC">
        <w:rPr>
          <w:i/>
          <w:lang w:val="en-GB"/>
        </w:rPr>
        <w:t>in fine</w:t>
      </w:r>
      <w:r w:rsidR="00A56BB3">
        <w:rPr>
          <w:i/>
          <w:lang w:val="en-GB"/>
        </w:rPr>
        <w:t xml:space="preserve"> </w:t>
      </w:r>
      <w:r w:rsidRPr="00B124DC">
        <w:rPr>
          <w:lang w:val="en-GB"/>
        </w:rPr>
        <w:t xml:space="preserve">of the judgment). The Court had already </w:t>
      </w:r>
      <w:r w:rsidR="00891E4D" w:rsidRPr="00B124DC">
        <w:rPr>
          <w:lang w:val="en-GB"/>
        </w:rPr>
        <w:t>made this clear</w:t>
      </w:r>
      <w:r w:rsidRPr="00B124DC">
        <w:rPr>
          <w:lang w:val="en-GB"/>
        </w:rPr>
        <w:t xml:space="preserve"> in </w:t>
      </w:r>
      <w:r w:rsidRPr="00B124DC">
        <w:rPr>
          <w:i/>
          <w:lang w:val="en-GB"/>
        </w:rPr>
        <w:t xml:space="preserve">Refah Partisi </w:t>
      </w:r>
      <w:r w:rsidR="00777EFD">
        <w:rPr>
          <w:i/>
          <w:lang w:val="en-GB"/>
        </w:rPr>
        <w:t xml:space="preserve">(the Welfare Party) </w:t>
      </w:r>
      <w:r w:rsidRPr="00B124DC">
        <w:rPr>
          <w:i/>
          <w:lang w:val="en-GB"/>
        </w:rPr>
        <w:t xml:space="preserve">and Others </w:t>
      </w:r>
      <w:r w:rsidR="00777EFD">
        <w:rPr>
          <w:lang w:val="en-GB"/>
        </w:rPr>
        <w:t>(cited above, § 95)</w:t>
      </w:r>
      <w:r w:rsidR="00E7069D">
        <w:rPr>
          <w:lang w:val="en-GB"/>
        </w:rPr>
        <w:t xml:space="preserve">, when it stated: </w:t>
      </w:r>
      <w:r w:rsidRPr="00B124DC">
        <w:rPr>
          <w:lang w:val="en-GB"/>
        </w:rPr>
        <w:t>“In a country like Turkey, where the great majority of the population belong to a particular religion, measures taken in universities to prevent certain fundamentalist religious movements from exerting pressure on students who do not practise that religion or on those who belong to another religion may be justified under Article 9 § 2 of the Convention</w:t>
      </w:r>
      <w:r w:rsidR="00777EFD">
        <w:rPr>
          <w:lang w:val="en-GB"/>
        </w:rPr>
        <w:t>.</w:t>
      </w:r>
      <w:r w:rsidRPr="00B124DC">
        <w:rPr>
          <w:lang w:val="en-GB"/>
        </w:rPr>
        <w:t>”</w:t>
      </w:r>
    </w:p>
    <w:p w:rsidR="007D61B7" w:rsidRPr="00B124DC" w:rsidRDefault="007D61B7" w:rsidP="007D61B7">
      <w:pPr>
        <w:pStyle w:val="OpiPara"/>
        <w:rPr>
          <w:lang w:val="en-GB"/>
        </w:rPr>
      </w:pPr>
      <w:r w:rsidRPr="00B124DC">
        <w:rPr>
          <w:lang w:val="en-GB"/>
        </w:rPr>
        <w:t>While everyone agrees on the need to prevent radical Islamism, a serious objection may nevertheless be made to such reasoning. Merely wearing the headscarf cannot be associated with fundamentalism and it is vital to distinguish between those who wear the headscarf and “extremists” who seek to impose the headscarf as they do other religious symbols. Not all women who wear the headscarf are fundamentalists and there is nothing to suggest that the applicant held fundamentalist views. She is a young adult woman and a university student</w:t>
      </w:r>
      <w:r w:rsidR="00777EFD">
        <w:rPr>
          <w:lang w:val="en-GB"/>
        </w:rPr>
        <w:t>,</w:t>
      </w:r>
      <w:r w:rsidRPr="00B124DC">
        <w:rPr>
          <w:lang w:val="en-GB"/>
        </w:rPr>
        <w:t xml:space="preserve"> and might reasonably be expected to have a heightened capacity to resist pressure, it being noted in this connection that the judgment fails to provide any concrete example of the type of pressure concerned. The applicant</w:t>
      </w:r>
      <w:r w:rsidR="0006350D">
        <w:rPr>
          <w:lang w:val="en-GB"/>
        </w:rPr>
        <w:t>’</w:t>
      </w:r>
      <w:r w:rsidRPr="00B124DC">
        <w:rPr>
          <w:lang w:val="en-GB"/>
        </w:rPr>
        <w:t>s personal interest in exercising the right to freedom of religion and to manifest her religion by an external symbol cannot be wholly absorbed by the public interest in fighting extremism</w:t>
      </w:r>
      <w:r w:rsidR="00777EFD">
        <w:rPr>
          <w:rStyle w:val="FootnoteReference"/>
          <w:lang w:val="en-GB"/>
        </w:rPr>
        <w:footnoteReference w:id="5"/>
      </w:r>
      <w:r w:rsidR="00E7069D">
        <w:rPr>
          <w:lang w:val="en-GB"/>
        </w:rPr>
        <w:t>.</w:t>
      </w:r>
    </w:p>
    <w:p w:rsidR="007D61B7" w:rsidRPr="00B124DC" w:rsidRDefault="007D61B7" w:rsidP="007D61B7">
      <w:pPr>
        <w:pStyle w:val="OpiPara"/>
        <w:rPr>
          <w:lang w:val="en-GB"/>
        </w:rPr>
      </w:pPr>
      <w:r w:rsidRPr="00B124DC">
        <w:rPr>
          <w:lang w:val="en-GB"/>
        </w:rPr>
        <w:t xml:space="preserve">11.  Turning to </w:t>
      </w:r>
      <w:r w:rsidRPr="00B124DC">
        <w:rPr>
          <w:i/>
          <w:lang w:val="en-GB"/>
        </w:rPr>
        <w:t>equality</w:t>
      </w:r>
      <w:r w:rsidRPr="00B124DC">
        <w:rPr>
          <w:lang w:val="en-GB"/>
        </w:rPr>
        <w:t>, the majority focus on the protection of women</w:t>
      </w:r>
      <w:r w:rsidR="0006350D">
        <w:rPr>
          <w:lang w:val="en-GB"/>
        </w:rPr>
        <w:t>’</w:t>
      </w:r>
      <w:r w:rsidRPr="00B124DC">
        <w:rPr>
          <w:lang w:val="en-GB"/>
        </w:rPr>
        <w:t xml:space="preserve">s rights and the principle of sexual equality (see paragraphs 115 and 116 of the judgment). </w:t>
      </w:r>
      <w:r w:rsidR="00777EFD">
        <w:rPr>
          <w:lang w:val="en-GB"/>
        </w:rPr>
        <w:t>W</w:t>
      </w:r>
      <w:r w:rsidRPr="00B124DC">
        <w:rPr>
          <w:lang w:val="en-GB"/>
        </w:rPr>
        <w:t xml:space="preserve">earing the headscarf is considered </w:t>
      </w:r>
      <w:r w:rsidR="00777EFD">
        <w:rPr>
          <w:lang w:val="en-GB"/>
        </w:rPr>
        <w:t xml:space="preserve">on the contrary </w:t>
      </w:r>
      <w:r w:rsidR="00C01937">
        <w:rPr>
          <w:lang w:val="en-GB"/>
        </w:rPr>
        <w:t xml:space="preserve">to be </w:t>
      </w:r>
      <w:r w:rsidRPr="00B124DC">
        <w:rPr>
          <w:lang w:val="en-GB"/>
        </w:rPr>
        <w:t xml:space="preserve">synonymous with the alienation of women. The ban on wearing the headscarf is therefore seen as promoting equality between men and women. However, what, in fact, is the connection between the ban and sexual equality? The judgment does not say. Indeed, what is the signification of wearing the headscarf? As the </w:t>
      </w:r>
      <w:smartTag w:uri="urn:schemas-microsoft-com:office:smarttags" w:element="Street">
        <w:smartTag w:uri="urn:schemas-microsoft-com:office:smarttags" w:element="address">
          <w:r w:rsidRPr="00B124DC">
            <w:rPr>
              <w:lang w:val="en-GB"/>
            </w:rPr>
            <w:t>German Constitutional Court</w:t>
          </w:r>
        </w:smartTag>
      </w:smartTag>
      <w:r w:rsidRPr="00B124DC">
        <w:rPr>
          <w:lang w:val="en-GB"/>
        </w:rPr>
        <w:t xml:space="preserve"> noted in its judgment of </w:t>
      </w:r>
      <w:smartTag w:uri="urn:schemas-microsoft-com:office:smarttags" w:element="date">
        <w:smartTagPr>
          <w:attr w:name="Month" w:val="9"/>
          <w:attr w:name="Day" w:val="24"/>
          <w:attr w:name="Year" w:val="2003"/>
        </w:smartTagPr>
        <w:r w:rsidRPr="00B124DC">
          <w:rPr>
            <w:lang w:val="en-GB"/>
          </w:rPr>
          <w:t>24 September 2003</w:t>
        </w:r>
      </w:smartTag>
      <w:r w:rsidR="00777EFD">
        <w:rPr>
          <w:rStyle w:val="FootnoteReference"/>
          <w:lang w:val="en-GB"/>
        </w:rPr>
        <w:footnoteReference w:id="6"/>
      </w:r>
      <w:r w:rsidRPr="00B124DC">
        <w:rPr>
          <w:lang w:val="en-GB"/>
        </w:rPr>
        <w:t xml:space="preserve">, wearing the headscarf </w:t>
      </w:r>
      <w:r w:rsidR="00B71594" w:rsidRPr="00B124DC">
        <w:rPr>
          <w:lang w:val="en-GB"/>
        </w:rPr>
        <w:t>has no single meaning;</w:t>
      </w:r>
      <w:r w:rsidRPr="00B124DC">
        <w:rPr>
          <w:lang w:val="en-GB"/>
        </w:rPr>
        <w:t xml:space="preserve"> it is a practi</w:t>
      </w:r>
      <w:r w:rsidR="00777EFD">
        <w:rPr>
          <w:lang w:val="en-GB"/>
        </w:rPr>
        <w:t>c</w:t>
      </w:r>
      <w:r w:rsidRPr="00B124DC">
        <w:rPr>
          <w:lang w:val="en-GB"/>
        </w:rPr>
        <w:t>e that is engaged in for a variety of reasons. It does not necessarily symbolise the submission of women to men and there are those who maintain that, in certain cases, it can even be a means of emancipating women. What is lacking in this debate is the opinion of women, both those who wear the headscarf and those who choose not to.</w:t>
      </w:r>
    </w:p>
    <w:p w:rsidR="002415A4" w:rsidRDefault="007D61B7" w:rsidP="007D61B7">
      <w:pPr>
        <w:pStyle w:val="OpiPara"/>
        <w:rPr>
          <w:lang w:val="en-GB"/>
        </w:rPr>
      </w:pPr>
      <w:r w:rsidRPr="00B124DC">
        <w:rPr>
          <w:lang w:val="en-GB"/>
        </w:rPr>
        <w:t xml:space="preserve">12.  On this issue, the Grand Chamber refers in its judgment to </w:t>
      </w:r>
      <w:r w:rsidRPr="00B124DC">
        <w:rPr>
          <w:i/>
          <w:lang w:val="en-GB"/>
        </w:rPr>
        <w:t>Dahlab</w:t>
      </w:r>
      <w:r w:rsidR="00777EFD">
        <w:rPr>
          <w:lang w:val="en-GB"/>
        </w:rPr>
        <w:t xml:space="preserve"> (cited above)</w:t>
      </w:r>
      <w:r w:rsidRPr="00B124DC">
        <w:rPr>
          <w:lang w:val="en-GB"/>
        </w:rPr>
        <w:t xml:space="preserve">, </w:t>
      </w:r>
      <w:r w:rsidR="00777EFD">
        <w:rPr>
          <w:lang w:val="en-GB"/>
        </w:rPr>
        <w:t>taking up</w:t>
      </w:r>
      <w:r w:rsidRPr="00B124DC">
        <w:rPr>
          <w:lang w:val="en-GB"/>
        </w:rPr>
        <w:t xml:space="preserve"> what to my mind is the most questionable part of the reasoning in that decision, namely that wearing the headscarf represents a “powerful external symbol”, which “appeared to be imposed on women by a religious precept that was hard to reconcile with the principle of gender equality” and that the practice could not easily be “reconciled with the message of tolerance, respect for others and, above all, equality and non-discrimination that all teachers in a democratic society should convey to their pupils” (see paragraph 111</w:t>
      </w:r>
      <w:r w:rsidR="00777EFD" w:rsidRPr="00B124DC">
        <w:rPr>
          <w:lang w:val="en-GB"/>
        </w:rPr>
        <w:t xml:space="preserve"> </w:t>
      </w:r>
      <w:r w:rsidR="00777EFD" w:rsidRPr="00B124DC">
        <w:rPr>
          <w:i/>
          <w:lang w:val="en-GB"/>
        </w:rPr>
        <w:t>in fine</w:t>
      </w:r>
      <w:r w:rsidR="00777EFD" w:rsidRPr="00B124DC">
        <w:rPr>
          <w:lang w:val="en-GB"/>
        </w:rPr>
        <w:t xml:space="preserve"> </w:t>
      </w:r>
      <w:r w:rsidRPr="00B124DC">
        <w:rPr>
          <w:lang w:val="en-GB"/>
        </w:rPr>
        <w:t>of the judgment).</w:t>
      </w:r>
    </w:p>
    <w:p w:rsidR="007D61B7" w:rsidRPr="00B124DC" w:rsidRDefault="002550E7" w:rsidP="007D61B7">
      <w:pPr>
        <w:pStyle w:val="OpiPara"/>
        <w:rPr>
          <w:lang w:val="en-GB"/>
        </w:rPr>
      </w:pPr>
      <w:r w:rsidRPr="00B124DC">
        <w:rPr>
          <w:lang w:val="en-GB"/>
        </w:rPr>
        <w:t>It is not the Court</w:t>
      </w:r>
      <w:r w:rsidR="0006350D">
        <w:rPr>
          <w:lang w:val="en-GB"/>
        </w:rPr>
        <w:t>’</w:t>
      </w:r>
      <w:r w:rsidRPr="00B124DC">
        <w:rPr>
          <w:lang w:val="en-GB"/>
        </w:rPr>
        <w:t xml:space="preserve">s role to make an appraisal of this type – in this instance a unilateral and negative one – of a religion or religious practice, just as it is not its role to determine in a general and abstract way the signification of wearing the headscarf or to impose its viewpoint on the applicant. </w:t>
      </w:r>
      <w:r w:rsidR="008B4136" w:rsidRPr="00B124DC">
        <w:rPr>
          <w:lang w:val="en-GB"/>
        </w:rPr>
        <w:t xml:space="preserve">The </w:t>
      </w:r>
      <w:r w:rsidR="007D61B7" w:rsidRPr="00B124DC">
        <w:rPr>
          <w:lang w:val="en-GB"/>
        </w:rPr>
        <w:t>applicant, a young adult university student, said</w:t>
      </w:r>
      <w:r w:rsidR="00B71594" w:rsidRPr="00B124DC">
        <w:rPr>
          <w:lang w:val="en-GB"/>
        </w:rPr>
        <w:t xml:space="preserve"> –</w:t>
      </w:r>
      <w:r w:rsidR="007D61B7" w:rsidRPr="00B124DC">
        <w:rPr>
          <w:lang w:val="en-GB"/>
        </w:rPr>
        <w:t xml:space="preserve"> and there </w:t>
      </w:r>
      <w:r w:rsidR="00B71594" w:rsidRPr="00B124DC">
        <w:rPr>
          <w:lang w:val="en-GB"/>
        </w:rPr>
        <w:t xml:space="preserve">is nothing to suggest </w:t>
      </w:r>
      <w:r w:rsidR="00B66DED" w:rsidRPr="00B124DC">
        <w:rPr>
          <w:lang w:val="en-GB"/>
        </w:rPr>
        <w:t>that she was not telling the truth</w:t>
      </w:r>
      <w:r w:rsidR="00B71594" w:rsidRPr="00B124DC">
        <w:rPr>
          <w:lang w:val="en-GB"/>
        </w:rPr>
        <w:t xml:space="preserve"> – </w:t>
      </w:r>
      <w:r w:rsidR="007D61B7" w:rsidRPr="00B124DC">
        <w:rPr>
          <w:lang w:val="en-GB"/>
        </w:rPr>
        <w:t>that she wore the headscarf of her own free will. In this connection, I fail to see how the principle of sexual equality can justify prohibiting a woman from following a practice which, in the absence of proof to the contrary, she must be taken to have freely adopted. Equality and non-discrimination are subjective rights which must remain under the control of those who are entitled to benefit from them. “Paternalism” of this sort runs counter to the case-law of the Court, which has developed a real right to personal autonomy on the basis of Article 8 (</w:t>
      </w:r>
      <w:r w:rsidR="00777EFD">
        <w:rPr>
          <w:lang w:val="en-GB"/>
        </w:rPr>
        <w:t xml:space="preserve">see </w:t>
      </w:r>
      <w:r w:rsidR="007D61B7" w:rsidRPr="00B124DC">
        <w:rPr>
          <w:i/>
          <w:lang w:val="en-GB"/>
        </w:rPr>
        <w:t>Keenan v. the United Kingdom</w:t>
      </w:r>
      <w:r w:rsidR="00E7069D">
        <w:rPr>
          <w:lang w:val="en-GB"/>
        </w:rPr>
        <w:t xml:space="preserve">, </w:t>
      </w:r>
      <w:r w:rsidR="00777EFD">
        <w:rPr>
          <w:lang w:val="en-GB"/>
        </w:rPr>
        <w:t>no. 27229/95</w:t>
      </w:r>
      <w:r w:rsidR="00E7069D">
        <w:rPr>
          <w:lang w:val="en-GB"/>
        </w:rPr>
        <w:t>, §</w:t>
      </w:r>
      <w:r w:rsidR="00777EFD">
        <w:rPr>
          <w:lang w:val="en-GB"/>
        </w:rPr>
        <w:t xml:space="preserve"> </w:t>
      </w:r>
      <w:r w:rsidR="007D61B7" w:rsidRPr="00B124DC">
        <w:rPr>
          <w:lang w:val="en-GB"/>
        </w:rPr>
        <w:t>92</w:t>
      </w:r>
      <w:r w:rsidR="00777EFD">
        <w:rPr>
          <w:lang w:val="en-GB"/>
        </w:rPr>
        <w:t>, ECHR 2001-III</w:t>
      </w:r>
      <w:r w:rsidR="007D61B7" w:rsidRPr="00B124DC">
        <w:rPr>
          <w:lang w:val="en-GB"/>
        </w:rPr>
        <w:t xml:space="preserve">; </w:t>
      </w:r>
      <w:r w:rsidR="007D61B7" w:rsidRPr="00B124DC">
        <w:rPr>
          <w:i/>
          <w:lang w:val="en-GB"/>
        </w:rPr>
        <w:t>Pretty v. the United Kingdom</w:t>
      </w:r>
      <w:r w:rsidR="00E7069D">
        <w:rPr>
          <w:lang w:val="en-GB"/>
        </w:rPr>
        <w:t xml:space="preserve">, </w:t>
      </w:r>
      <w:r w:rsidR="00777EFD">
        <w:rPr>
          <w:lang w:val="en-GB"/>
        </w:rPr>
        <w:t>no. 2346/02</w:t>
      </w:r>
      <w:r w:rsidR="00E7069D">
        <w:rPr>
          <w:lang w:val="en-GB"/>
        </w:rPr>
        <w:t>, §§</w:t>
      </w:r>
      <w:r w:rsidR="00777EFD">
        <w:rPr>
          <w:lang w:val="en-GB"/>
        </w:rPr>
        <w:t xml:space="preserve"> </w:t>
      </w:r>
      <w:r w:rsidR="007D61B7" w:rsidRPr="00B124DC">
        <w:rPr>
          <w:lang w:val="en-GB"/>
        </w:rPr>
        <w:t>65-67</w:t>
      </w:r>
      <w:r w:rsidR="00777EFD">
        <w:rPr>
          <w:lang w:val="en-GB"/>
        </w:rPr>
        <w:t>, ECHR 2002-III</w:t>
      </w:r>
      <w:r w:rsidR="007D61B7" w:rsidRPr="00B124DC">
        <w:rPr>
          <w:lang w:val="en-GB"/>
        </w:rPr>
        <w:t xml:space="preserve">; </w:t>
      </w:r>
      <w:r w:rsidR="00777EFD">
        <w:rPr>
          <w:lang w:val="en-GB"/>
        </w:rPr>
        <w:t xml:space="preserve">and </w:t>
      </w:r>
      <w:r w:rsidR="007D61B7" w:rsidRPr="00B124DC">
        <w:rPr>
          <w:i/>
          <w:lang w:val="en-GB"/>
        </w:rPr>
        <w:t>Christine Goodwin v. the United Kingdom</w:t>
      </w:r>
      <w:r w:rsidR="00777EFD">
        <w:rPr>
          <w:lang w:val="en-GB"/>
        </w:rPr>
        <w:t xml:space="preserve"> [GC]</w:t>
      </w:r>
      <w:r w:rsidR="007D61B7" w:rsidRPr="00B124DC">
        <w:rPr>
          <w:lang w:val="en-GB"/>
        </w:rPr>
        <w:t xml:space="preserve">, </w:t>
      </w:r>
      <w:r w:rsidR="00777EFD">
        <w:rPr>
          <w:lang w:val="en-GB"/>
        </w:rPr>
        <w:t>no.</w:t>
      </w:r>
      <w:r w:rsidR="00A56BB3">
        <w:rPr>
          <w:lang w:val="en-GB"/>
        </w:rPr>
        <w:t> </w:t>
      </w:r>
      <w:r w:rsidR="00777EFD">
        <w:rPr>
          <w:lang w:val="en-GB"/>
        </w:rPr>
        <w:t>28957/95</w:t>
      </w:r>
      <w:r w:rsidR="007D61B7" w:rsidRPr="00B124DC">
        <w:rPr>
          <w:lang w:val="en-GB"/>
        </w:rPr>
        <w:t>, §</w:t>
      </w:r>
      <w:r w:rsidR="00C01937">
        <w:rPr>
          <w:lang w:val="en-GB"/>
        </w:rPr>
        <w:t xml:space="preserve"> </w:t>
      </w:r>
      <w:r w:rsidR="007D61B7" w:rsidRPr="00B124DC">
        <w:rPr>
          <w:lang w:val="en-GB"/>
        </w:rPr>
        <w:t>90</w:t>
      </w:r>
      <w:r w:rsidR="00777EFD">
        <w:rPr>
          <w:lang w:val="en-GB"/>
        </w:rPr>
        <w:t>, ECHR 2002-VI</w:t>
      </w:r>
      <w:r w:rsidR="007D61B7" w:rsidRPr="00B124DC">
        <w:rPr>
          <w:lang w:val="en-GB"/>
        </w:rPr>
        <w:t>)</w:t>
      </w:r>
      <w:r w:rsidR="00777EFD">
        <w:rPr>
          <w:rStyle w:val="FootnoteReference"/>
          <w:lang w:val="en-GB"/>
        </w:rPr>
        <w:footnoteReference w:id="7"/>
      </w:r>
      <w:r w:rsidR="007D61B7" w:rsidRPr="00B124DC">
        <w:rPr>
          <w:lang w:val="en-GB"/>
        </w:rPr>
        <w:t>. F</w:t>
      </w:r>
      <w:r w:rsidR="00F11E99" w:rsidRPr="00B124DC">
        <w:rPr>
          <w:lang w:val="en-GB"/>
        </w:rPr>
        <w:t>inally</w:t>
      </w:r>
      <w:r w:rsidR="007D61B7" w:rsidRPr="00B124DC">
        <w:rPr>
          <w:lang w:val="en-GB"/>
        </w:rPr>
        <w:t xml:space="preserve">, if wearing the headscarf really was contrary to the principle of equality </w:t>
      </w:r>
      <w:r w:rsidR="00A56BB3">
        <w:rPr>
          <w:lang w:val="en-GB"/>
        </w:rPr>
        <w:t>between</w:t>
      </w:r>
      <w:r w:rsidR="007D61B7" w:rsidRPr="00B124DC">
        <w:rPr>
          <w:lang w:val="en-GB"/>
        </w:rPr>
        <w:t xml:space="preserve"> men and women in any event, the State would have a positive obligation to prohibit it in all places, whether public or private</w:t>
      </w:r>
      <w:r w:rsidR="00777EFD">
        <w:rPr>
          <w:rStyle w:val="FootnoteReference"/>
          <w:lang w:val="en-GB"/>
        </w:rPr>
        <w:footnoteReference w:id="8"/>
      </w:r>
      <w:r w:rsidR="007D61B7" w:rsidRPr="00B124DC">
        <w:rPr>
          <w:lang w:val="en-GB"/>
        </w:rPr>
        <w:t>.</w:t>
      </w:r>
    </w:p>
    <w:p w:rsidR="00554ACD" w:rsidRPr="00B124DC" w:rsidRDefault="00554ACD" w:rsidP="00554ACD">
      <w:pPr>
        <w:pStyle w:val="OpiPara"/>
        <w:rPr>
          <w:lang w:val="en-GB"/>
        </w:rPr>
      </w:pPr>
      <w:r w:rsidRPr="00B124DC">
        <w:rPr>
          <w:lang w:val="en-GB"/>
        </w:rPr>
        <w:t>13.  Since, to my mind, the ban on wearing the Islamic headscarf on the university premises was not based on reasons that were relevant and sufficient, it cannot be considered to be interference that was “necessary in a democratic society” within the meaning of Article 9 § 2 of the Convention. In these circumstances, there has been a violation of the applicant</w:t>
      </w:r>
      <w:r w:rsidR="0006350D">
        <w:rPr>
          <w:lang w:val="en-GB"/>
        </w:rPr>
        <w:t>’</w:t>
      </w:r>
      <w:r w:rsidRPr="00B124DC">
        <w:rPr>
          <w:lang w:val="en-GB"/>
        </w:rPr>
        <w:t>s right to freedom of religion, as guaranteed by the Convention.</w:t>
      </w:r>
    </w:p>
    <w:p w:rsidR="007D61B7" w:rsidRPr="00B124DC" w:rsidRDefault="00437387" w:rsidP="00E7069D">
      <w:pPr>
        <w:pStyle w:val="OpiHA"/>
        <w:keepNext/>
        <w:rPr>
          <w:lang w:val="en-GB"/>
        </w:rPr>
      </w:pPr>
      <w:r>
        <w:rPr>
          <w:lang w:val="en-GB"/>
        </w:rPr>
        <w:t>B</w:t>
      </w:r>
      <w:r w:rsidR="007D61B7" w:rsidRPr="00B124DC">
        <w:rPr>
          <w:lang w:val="en-GB"/>
        </w:rPr>
        <w:t>.  The right to education</w:t>
      </w:r>
    </w:p>
    <w:p w:rsidR="007D61B7" w:rsidRPr="00B124DC" w:rsidRDefault="007D61B7" w:rsidP="007D61B7">
      <w:pPr>
        <w:pStyle w:val="OpiPara"/>
        <w:rPr>
          <w:lang w:val="en-GB"/>
        </w:rPr>
      </w:pPr>
      <w:r w:rsidRPr="00B124DC">
        <w:rPr>
          <w:lang w:val="en-GB"/>
        </w:rPr>
        <w:t>14.  The majority having decided that the applicant</w:t>
      </w:r>
      <w:r w:rsidR="0006350D">
        <w:rPr>
          <w:lang w:val="en-GB"/>
        </w:rPr>
        <w:t>’</w:t>
      </w:r>
      <w:r w:rsidRPr="00B124DC">
        <w:rPr>
          <w:lang w:val="en-GB"/>
        </w:rPr>
        <w:t xml:space="preserve">s complaint should also be examined under Article 2 of Protocol No. 1, I entirely agree with the view, which had already been expressed </w:t>
      </w:r>
      <w:r w:rsidR="00777EFD">
        <w:rPr>
          <w:lang w:val="en-GB"/>
        </w:rPr>
        <w:t>by</w:t>
      </w:r>
      <w:r w:rsidRPr="00B124DC">
        <w:rPr>
          <w:lang w:val="en-GB"/>
        </w:rPr>
        <w:t xml:space="preserve"> the Commission</w:t>
      </w:r>
      <w:r w:rsidR="00777EFD">
        <w:rPr>
          <w:lang w:val="en-GB"/>
        </w:rPr>
        <w:t xml:space="preserve"> in its</w:t>
      </w:r>
      <w:r w:rsidRPr="00B124DC">
        <w:rPr>
          <w:lang w:val="en-GB"/>
        </w:rPr>
        <w:t xml:space="preserve"> </w:t>
      </w:r>
      <w:r w:rsidR="009B0E58">
        <w:rPr>
          <w:lang w:val="en-GB"/>
        </w:rPr>
        <w:t>report</w:t>
      </w:r>
      <w:r w:rsidRPr="00B124DC">
        <w:rPr>
          <w:lang w:val="en-GB"/>
        </w:rPr>
        <w:t xml:space="preserve"> </w:t>
      </w:r>
      <w:r w:rsidR="00777EFD" w:rsidRPr="00B124DC">
        <w:rPr>
          <w:lang w:val="en-GB"/>
        </w:rPr>
        <w:t>of 2</w:t>
      </w:r>
      <w:r w:rsidR="00777EFD">
        <w:rPr>
          <w:lang w:val="en-GB"/>
        </w:rPr>
        <w:t>4</w:t>
      </w:r>
      <w:r w:rsidR="00777EFD" w:rsidRPr="00B124DC">
        <w:rPr>
          <w:lang w:val="en-GB"/>
        </w:rPr>
        <w:t xml:space="preserve"> Ju</w:t>
      </w:r>
      <w:r w:rsidR="00777EFD">
        <w:rPr>
          <w:lang w:val="en-GB"/>
        </w:rPr>
        <w:t>ne</w:t>
      </w:r>
      <w:r w:rsidR="00777EFD" w:rsidRPr="00B124DC">
        <w:rPr>
          <w:lang w:val="en-GB"/>
        </w:rPr>
        <w:t xml:space="preserve"> 196</w:t>
      </w:r>
      <w:r w:rsidR="00777EFD">
        <w:rPr>
          <w:lang w:val="en-GB"/>
        </w:rPr>
        <w:t xml:space="preserve">5 </w:t>
      </w:r>
      <w:r w:rsidRPr="00B124DC">
        <w:rPr>
          <w:lang w:val="en-GB"/>
        </w:rPr>
        <w:t xml:space="preserve">in the </w:t>
      </w:r>
      <w:r w:rsidRPr="00B124DC">
        <w:rPr>
          <w:i/>
          <w:lang w:val="en-GB"/>
        </w:rPr>
        <w:t>Case “relating to certain aspects of the laws on the use of languages in education in Belgium”</w:t>
      </w:r>
      <w:r w:rsidRPr="00B124DC">
        <w:rPr>
          <w:lang w:val="en-GB"/>
        </w:rPr>
        <w:t xml:space="preserve">, that that provision is applicable to higher and university education. The judgment rightly points out that “there is no watertight division separating higher education from other forms of education” and </w:t>
      </w:r>
      <w:r w:rsidR="00CB4D3C" w:rsidRPr="00B124DC">
        <w:rPr>
          <w:lang w:val="en-GB"/>
        </w:rPr>
        <w:t>joins</w:t>
      </w:r>
      <w:r w:rsidRPr="00B124DC">
        <w:rPr>
          <w:lang w:val="en-GB"/>
        </w:rPr>
        <w:t xml:space="preserve"> the Council </w:t>
      </w:r>
      <w:r w:rsidR="00B71594" w:rsidRPr="00B124DC">
        <w:rPr>
          <w:lang w:val="en-GB"/>
        </w:rPr>
        <w:t xml:space="preserve">of </w:t>
      </w:r>
      <w:r w:rsidRPr="00B124DC">
        <w:rPr>
          <w:lang w:val="en-GB"/>
        </w:rPr>
        <w:t>Europe</w:t>
      </w:r>
      <w:r w:rsidR="00CB4D3C" w:rsidRPr="00B124DC">
        <w:rPr>
          <w:lang w:val="en-GB"/>
        </w:rPr>
        <w:t xml:space="preserve"> in reiterating</w:t>
      </w:r>
      <w:r w:rsidRPr="00B124DC">
        <w:rPr>
          <w:lang w:val="en-GB"/>
        </w:rPr>
        <w:t xml:space="preserve"> “the key role and importance of higher education in the promotion of human rights and fundamental freedoms and the strengtheni</w:t>
      </w:r>
      <w:r w:rsidR="00E7069D">
        <w:rPr>
          <w:lang w:val="en-GB"/>
        </w:rPr>
        <w:t>ng of democracy” (see paragraph </w:t>
      </w:r>
      <w:r w:rsidRPr="00B124DC">
        <w:rPr>
          <w:lang w:val="en-GB"/>
        </w:rPr>
        <w:t>136 of the judgment). Moreover, since the right to education means a right for everyone to benefit from educational facilities, the Grand Chamber notes that a State which has set up higher</w:t>
      </w:r>
      <w:r w:rsidR="00A56BB3">
        <w:rPr>
          <w:lang w:val="en-GB"/>
        </w:rPr>
        <w:t xml:space="preserve"> </w:t>
      </w:r>
      <w:r w:rsidRPr="00B124DC">
        <w:rPr>
          <w:lang w:val="en-GB"/>
        </w:rPr>
        <w:t xml:space="preserve">education institutions “will be under an obligation to afford an effective right of access to </w:t>
      </w:r>
      <w:r w:rsidR="00B71594" w:rsidRPr="00B124DC">
        <w:rPr>
          <w:lang w:val="en-GB"/>
        </w:rPr>
        <w:t>[such facilities]</w:t>
      </w:r>
      <w:r w:rsidRPr="00B124DC">
        <w:rPr>
          <w:lang w:val="en-GB"/>
        </w:rPr>
        <w:t>”, without discrimination (see paragraph 137 of the judgment).</w:t>
      </w:r>
    </w:p>
    <w:p w:rsidR="007D61B7" w:rsidRPr="00B124DC" w:rsidRDefault="007D61B7" w:rsidP="007D61B7">
      <w:pPr>
        <w:pStyle w:val="OpiPara"/>
        <w:rPr>
          <w:lang w:val="en-GB"/>
        </w:rPr>
      </w:pPr>
      <w:r w:rsidRPr="00B124DC">
        <w:rPr>
          <w:lang w:val="en-GB"/>
        </w:rPr>
        <w:t xml:space="preserve">15.  However, although the Grand Chamber stresses that in a democratic society the right to education is indispensable to the furtherance of human rights (see paragraph 137 of the judgment), it is surprising and regrettable for it then to proceed to deprive the applicant of that right for reasons which do not appear to me to be either relevant or sufficient. The applicant did not, on religious grounds, seek to be excused from certain activities or request changes to be made to the university course for which she had enrolled as a student (unlike the position in </w:t>
      </w:r>
      <w:r w:rsidR="00470981">
        <w:rPr>
          <w:i/>
          <w:lang w:val="en-GB"/>
        </w:rPr>
        <w:t>Kjeldsen, Busk</w:t>
      </w:r>
      <w:r w:rsidRPr="00B124DC">
        <w:rPr>
          <w:i/>
          <w:lang w:val="en-GB"/>
        </w:rPr>
        <w:t xml:space="preserve"> Madsen and Pedersen v. Denmark</w:t>
      </w:r>
      <w:r w:rsidRPr="00B124DC">
        <w:rPr>
          <w:lang w:val="en-GB"/>
        </w:rPr>
        <w:t>, judgment of 7 December 1976</w:t>
      </w:r>
      <w:r w:rsidR="00A56BB3">
        <w:rPr>
          <w:lang w:val="en-GB"/>
        </w:rPr>
        <w:t>, Series A no. 23</w:t>
      </w:r>
      <w:r w:rsidRPr="00B124DC">
        <w:rPr>
          <w:lang w:val="en-GB"/>
        </w:rPr>
        <w:t xml:space="preserve">). She simply wished to complete her studies in the conditions that had </w:t>
      </w:r>
      <w:r w:rsidR="00B71594" w:rsidRPr="00B124DC">
        <w:rPr>
          <w:lang w:val="en-GB"/>
        </w:rPr>
        <w:t>obtained</w:t>
      </w:r>
      <w:r w:rsidRPr="00B124DC">
        <w:rPr>
          <w:lang w:val="en-GB"/>
        </w:rPr>
        <w:t xml:space="preserve"> when she </w:t>
      </w:r>
      <w:r w:rsidR="00B71594" w:rsidRPr="00B124DC">
        <w:rPr>
          <w:lang w:val="en-GB"/>
        </w:rPr>
        <w:t xml:space="preserve">first </w:t>
      </w:r>
      <w:r w:rsidRPr="00B124DC">
        <w:rPr>
          <w:lang w:val="en-GB"/>
        </w:rPr>
        <w:t xml:space="preserve">enrolled at the </w:t>
      </w:r>
      <w:r w:rsidR="00A56BB3">
        <w:rPr>
          <w:lang w:val="en-GB"/>
        </w:rPr>
        <w:t>u</w:t>
      </w:r>
      <w:r w:rsidRPr="00B124DC">
        <w:rPr>
          <w:lang w:val="en-GB"/>
        </w:rPr>
        <w:t xml:space="preserve">niversity and during the initial years of her university career, when she had been </w:t>
      </w:r>
      <w:r w:rsidR="00B71594" w:rsidRPr="00B124DC">
        <w:rPr>
          <w:lang w:val="en-GB"/>
        </w:rPr>
        <w:t>free</w:t>
      </w:r>
      <w:r w:rsidRPr="00B124DC">
        <w:rPr>
          <w:lang w:val="en-GB"/>
        </w:rPr>
        <w:t xml:space="preserve"> to wear the headscarf without a</w:t>
      </w:r>
      <w:r w:rsidR="00B71594" w:rsidRPr="00B124DC">
        <w:rPr>
          <w:lang w:val="en-GB"/>
        </w:rPr>
        <w:t>ny</w:t>
      </w:r>
      <w:r w:rsidRPr="00B124DC">
        <w:rPr>
          <w:lang w:val="en-GB"/>
        </w:rPr>
        <w:t xml:space="preserve"> problem. I consider that by refusing the applicant access to the lectures and examinations that were part of the course at the Faculty of Medicine, she was </w:t>
      </w:r>
      <w:r w:rsidRPr="00B124DC">
        <w:rPr>
          <w:i/>
          <w:lang w:val="en-GB"/>
        </w:rPr>
        <w:t>de facto</w:t>
      </w:r>
      <w:r w:rsidRPr="00B124DC">
        <w:rPr>
          <w:lang w:val="en-GB"/>
        </w:rPr>
        <w:t xml:space="preserve"> deprived of the right of access to the </w:t>
      </w:r>
      <w:r w:rsidR="00A56BB3">
        <w:rPr>
          <w:lang w:val="en-GB"/>
        </w:rPr>
        <w:t>u</w:t>
      </w:r>
      <w:r w:rsidRPr="00B124DC">
        <w:rPr>
          <w:lang w:val="en-GB"/>
        </w:rPr>
        <w:t>niversity and, consequently, of her right to education.</w:t>
      </w:r>
    </w:p>
    <w:p w:rsidR="007D61B7" w:rsidRPr="00B124DC" w:rsidRDefault="007D61B7" w:rsidP="007D61B7">
      <w:pPr>
        <w:pStyle w:val="OpiPara"/>
        <w:rPr>
          <w:lang w:val="en-GB"/>
        </w:rPr>
      </w:pPr>
      <w:r w:rsidRPr="00B124DC">
        <w:rPr>
          <w:lang w:val="en-GB"/>
        </w:rPr>
        <w:t xml:space="preserve">16.  The Grand Chamber adopted “by analogy” its reasoning </w:t>
      </w:r>
      <w:r w:rsidR="00B71594" w:rsidRPr="00B124DC">
        <w:rPr>
          <w:lang w:val="en-GB"/>
        </w:rPr>
        <w:t>on</w:t>
      </w:r>
      <w:r w:rsidRPr="00B124DC">
        <w:rPr>
          <w:lang w:val="en-GB"/>
        </w:rPr>
        <w:t xml:space="preserve"> the existence of interference under Article 9 of the Convention and found that an analysis by reference to the right to education “cannot in this instance be divorced from the conclusions reached by the Court with respect to Article</w:t>
      </w:r>
      <w:r w:rsidR="00164C09" w:rsidRPr="00B124DC">
        <w:rPr>
          <w:lang w:val="en-GB"/>
        </w:rPr>
        <w:t> </w:t>
      </w:r>
      <w:r w:rsidRPr="00B124DC">
        <w:rPr>
          <w:lang w:val="en-GB"/>
        </w:rPr>
        <w:t xml:space="preserve">9”, as the considerations taken into account under that provision “are clearly applicable to the complaint under Article </w:t>
      </w:r>
      <w:r w:rsidR="00B71594" w:rsidRPr="00B124DC">
        <w:rPr>
          <w:lang w:val="en-GB"/>
        </w:rPr>
        <w:t>2 of</w:t>
      </w:r>
      <w:r w:rsidR="001A7B88">
        <w:rPr>
          <w:lang w:val="en-GB"/>
        </w:rPr>
        <w:t xml:space="preserve"> Protocol No. 1” (see paragraph </w:t>
      </w:r>
      <w:r w:rsidRPr="00B124DC">
        <w:rPr>
          <w:lang w:val="en-GB"/>
        </w:rPr>
        <w:t xml:space="preserve">157 of the judgment). In these circumstances, I consider that the Chamber was undoubtedly right in its judgment of </w:t>
      </w:r>
      <w:smartTag w:uri="urn:schemas-microsoft-com:office:smarttags" w:element="date">
        <w:smartTagPr>
          <w:attr w:name="Month" w:val="11"/>
          <w:attr w:name="Day" w:val="30"/>
          <w:attr w:name="Year" w:val="2004"/>
        </w:smartTagPr>
        <w:r w:rsidRPr="00B124DC">
          <w:rPr>
            <w:lang w:val="en-GB"/>
          </w:rPr>
          <w:t>30 November 2004</w:t>
        </w:r>
      </w:smartTag>
      <w:r w:rsidRPr="00B124DC">
        <w:rPr>
          <w:lang w:val="en-GB"/>
        </w:rPr>
        <w:t xml:space="preserve"> to hold that no “separate question” arose under Article 2 of Protocol No. 1, as the relevant circumstances and arguments were the same as those it had </w:t>
      </w:r>
      <w:r w:rsidR="006C6D0A" w:rsidRPr="00B124DC">
        <w:rPr>
          <w:lang w:val="en-GB"/>
        </w:rPr>
        <w:t>considered</w:t>
      </w:r>
      <w:r w:rsidRPr="00B124DC">
        <w:rPr>
          <w:lang w:val="en-GB"/>
        </w:rPr>
        <w:t xml:space="preserve"> in relation to Article 9, in respect of which it found no violation.</w:t>
      </w:r>
    </w:p>
    <w:p w:rsidR="007D61B7" w:rsidRPr="00B124DC" w:rsidRDefault="007D61B7" w:rsidP="007D61B7">
      <w:pPr>
        <w:pStyle w:val="OpiPara"/>
        <w:rPr>
          <w:lang w:val="en-GB"/>
        </w:rPr>
      </w:pPr>
      <w:r w:rsidRPr="00B124DC">
        <w:rPr>
          <w:lang w:val="en-GB"/>
        </w:rPr>
        <w:t>Whatever the position, I am not entirely satisfied that the reasoning with regard to religious freedom “is clearly applicable” to the right to education. Admittedly, this latter right is not absolute and may be subject to limitations by implication, provided they do not curtail the right in question to such an extent as to impair its very essence and deprive it of its effectiveness. Nor may such restrictions conflict with other rights enshrined in the Convention, whose provisions must be considered as a whole. Further, the margin of appreciation is narrower</w:t>
      </w:r>
      <w:r w:rsidR="00B71594" w:rsidRPr="00B124DC">
        <w:rPr>
          <w:lang w:val="en-GB"/>
        </w:rPr>
        <w:t xml:space="preserve"> for negative obligations </w:t>
      </w:r>
      <w:r w:rsidRPr="00B124DC">
        <w:rPr>
          <w:lang w:val="en-GB"/>
        </w:rPr>
        <w:t>and the Court must, in any event, determine in the last resort whether the Convention requirements have been complied with. Lastly, a limitation will only be consistent with the right to education if there is a reasonable relationship of proportionality between the means employed and the aim pursued.</w:t>
      </w:r>
    </w:p>
    <w:p w:rsidR="007D61B7" w:rsidRPr="00B124DC" w:rsidRDefault="007D61B7" w:rsidP="007D61B7">
      <w:pPr>
        <w:pStyle w:val="OpiPara"/>
        <w:rPr>
          <w:lang w:val="en-GB"/>
        </w:rPr>
      </w:pPr>
      <w:r w:rsidRPr="00B124DC">
        <w:rPr>
          <w:lang w:val="en-GB"/>
        </w:rPr>
        <w:t>17.  What was the position in the instant case? I will not pursue here the debate concerning the right to freedom of religion, but will confine myself to highlighting the additional elements that concerned the proportionality of the limitations that were imposed on the applicant</w:t>
      </w:r>
      <w:r w:rsidR="0006350D">
        <w:rPr>
          <w:lang w:val="en-GB"/>
        </w:rPr>
        <w:t>’</w:t>
      </w:r>
      <w:r w:rsidRPr="00B124DC">
        <w:rPr>
          <w:lang w:val="en-GB"/>
        </w:rPr>
        <w:t>s right to education.</w:t>
      </w:r>
    </w:p>
    <w:p w:rsidR="007D61B7" w:rsidRPr="00B124DC" w:rsidRDefault="007D61B7" w:rsidP="007D61B7">
      <w:pPr>
        <w:pStyle w:val="OpiPara"/>
        <w:rPr>
          <w:lang w:val="en-GB"/>
        </w:rPr>
      </w:pPr>
      <w:r w:rsidRPr="00B124DC">
        <w:rPr>
          <w:lang w:val="en-GB"/>
        </w:rPr>
        <w:t xml:space="preserve">I would begin by noting that before refusing the applicant access to lectures and examinations, the authorities should have used other means either to </w:t>
      </w:r>
      <w:r w:rsidR="00CF42C3">
        <w:rPr>
          <w:lang w:val="en-GB"/>
        </w:rPr>
        <w:t>encourage</w:t>
      </w:r>
      <w:r w:rsidRPr="00B124DC">
        <w:rPr>
          <w:lang w:val="en-GB"/>
        </w:rPr>
        <w:t xml:space="preserve"> her (through mediation, for example) to remove her headscarf and pursue her studies, or to ensure that public order was maintained on the university premises if it was genuinely at risk</w:t>
      </w:r>
      <w:r w:rsidR="00A56BB3">
        <w:rPr>
          <w:rStyle w:val="FootnoteReference"/>
          <w:lang w:val="en-GB"/>
        </w:rPr>
        <w:footnoteReference w:id="9"/>
      </w:r>
      <w:r w:rsidRPr="00B124DC">
        <w:rPr>
          <w:lang w:val="en-GB"/>
        </w:rPr>
        <w:t>. The fact of the matter is that no attempt was made to try measures that would have had a less drastic effect on the applicant</w:t>
      </w:r>
      <w:r w:rsidR="0006350D">
        <w:rPr>
          <w:lang w:val="en-GB"/>
        </w:rPr>
        <w:t>’</w:t>
      </w:r>
      <w:r w:rsidRPr="00B124DC">
        <w:rPr>
          <w:lang w:val="en-GB"/>
        </w:rPr>
        <w:t>s right to education in the instant case. My second point is that it is common ground that by making the applicant</w:t>
      </w:r>
      <w:r w:rsidR="0006350D">
        <w:rPr>
          <w:lang w:val="en-GB"/>
        </w:rPr>
        <w:t>’</w:t>
      </w:r>
      <w:r w:rsidRPr="00B124DC">
        <w:rPr>
          <w:lang w:val="en-GB"/>
        </w:rPr>
        <w:t>s pursuit of her studies conditional on removing the headscarf and by refusing her access to the university if she failed to comply with th</w:t>
      </w:r>
      <w:r w:rsidR="00A56BB3">
        <w:rPr>
          <w:lang w:val="en-GB"/>
        </w:rPr>
        <w:t>is</w:t>
      </w:r>
      <w:r w:rsidRPr="00B124DC">
        <w:rPr>
          <w:lang w:val="en-GB"/>
        </w:rPr>
        <w:t xml:space="preserve"> requirement, the authorities forced the applicant to leave the country and complete her studies at </w:t>
      </w:r>
      <w:smartTag w:uri="urn:schemas-microsoft-com:office:smarttags" w:element="place">
        <w:smartTag w:uri="urn:schemas-microsoft-com:office:smarttags" w:element="PlaceName">
          <w:r w:rsidRPr="00B124DC">
            <w:rPr>
              <w:lang w:val="en-GB"/>
            </w:rPr>
            <w:t>Vienna</w:t>
          </w:r>
        </w:smartTag>
        <w:r w:rsidR="00A56BB3">
          <w:rPr>
            <w:lang w:val="en-GB"/>
          </w:rPr>
          <w:t xml:space="preserve"> </w:t>
        </w:r>
        <w:smartTag w:uri="urn:schemas-microsoft-com:office:smarttags" w:element="PlaceType">
          <w:r w:rsidR="00A56BB3">
            <w:rPr>
              <w:lang w:val="en-GB"/>
            </w:rPr>
            <w:t>University</w:t>
          </w:r>
        </w:smartTag>
      </w:smartTag>
      <w:r w:rsidRPr="00B124DC">
        <w:rPr>
          <w:lang w:val="en-GB"/>
        </w:rPr>
        <w:t xml:space="preserve">. She </w:t>
      </w:r>
      <w:r w:rsidR="00B71594" w:rsidRPr="00B124DC">
        <w:rPr>
          <w:lang w:val="en-GB"/>
        </w:rPr>
        <w:t xml:space="preserve">was </w:t>
      </w:r>
      <w:r w:rsidRPr="00B124DC">
        <w:rPr>
          <w:lang w:val="en-GB"/>
        </w:rPr>
        <w:t xml:space="preserve">thus </w:t>
      </w:r>
      <w:r w:rsidR="00B71594" w:rsidRPr="00B124DC">
        <w:rPr>
          <w:lang w:val="en-GB"/>
        </w:rPr>
        <w:t>left with</w:t>
      </w:r>
      <w:r w:rsidRPr="00B124DC">
        <w:rPr>
          <w:lang w:val="en-GB"/>
        </w:rPr>
        <w:t xml:space="preserve"> no alternative. However, in </w:t>
      </w:r>
      <w:r w:rsidRPr="00B124DC">
        <w:rPr>
          <w:i/>
          <w:lang w:val="en-GB"/>
        </w:rPr>
        <w:t>Cha</w:t>
      </w:r>
      <w:r w:rsidR="0006350D">
        <w:rPr>
          <w:i/>
          <w:lang w:val="en-GB"/>
        </w:rPr>
        <w:t>’</w:t>
      </w:r>
      <w:r w:rsidRPr="00B124DC">
        <w:rPr>
          <w:i/>
          <w:lang w:val="en-GB"/>
        </w:rPr>
        <w:t>are Shalom Ve Tsedek</w:t>
      </w:r>
      <w:r w:rsidR="00A56BB3">
        <w:rPr>
          <w:lang w:val="en-GB"/>
        </w:rPr>
        <w:t xml:space="preserve"> (cited above, </w:t>
      </w:r>
      <w:r w:rsidR="00A56BB3" w:rsidRPr="00B124DC">
        <w:rPr>
          <w:lang w:val="en-GB"/>
        </w:rPr>
        <w:t>§§ 80 and 81</w:t>
      </w:r>
      <w:r w:rsidR="00A56BB3">
        <w:rPr>
          <w:lang w:val="en-GB"/>
        </w:rPr>
        <w:t>)</w:t>
      </w:r>
      <w:r w:rsidRPr="00B124DC">
        <w:rPr>
          <w:lang w:val="en-GB"/>
        </w:rPr>
        <w:t xml:space="preserve"> the existence of alternative solutions was one of the factors the Court took into account in holding that there had been no violation of the Convention. Lastly, the Grand Chamber does not weigh up the competing interests, namely, on the one hand, the damage sustained by the applicant – who was deprived of any possibility of completing her studies in Turkey </w:t>
      </w:r>
      <w:r w:rsidR="00A47569" w:rsidRPr="00B124DC">
        <w:rPr>
          <w:lang w:val="en-GB"/>
        </w:rPr>
        <w:t>because of</w:t>
      </w:r>
      <w:r w:rsidRPr="00B124DC">
        <w:rPr>
          <w:lang w:val="en-GB"/>
        </w:rPr>
        <w:t xml:space="preserve"> her religious convictions </w:t>
      </w:r>
      <w:r w:rsidR="00B129A7">
        <w:rPr>
          <w:lang w:val="en-GB"/>
        </w:rPr>
        <w:t>and</w:t>
      </w:r>
      <w:r w:rsidRPr="00B124DC">
        <w:rPr>
          <w:lang w:val="en-GB"/>
        </w:rPr>
        <w:t xml:space="preserve"> also maintained that it was unlikely that she would be able to return to her country to practise her profession owing to the difficulties that existed there in obtaining recognition for foreign diplomas – and, on the other, the benefit to be gained by Turkish society from prohibiting the applicant from wearing the headscarf</w:t>
      </w:r>
      <w:r w:rsidR="00AB1A4D" w:rsidRPr="00B124DC">
        <w:rPr>
          <w:lang w:val="en-GB"/>
        </w:rPr>
        <w:t xml:space="preserve"> on the university premises</w:t>
      </w:r>
      <w:r w:rsidRPr="00B124DC">
        <w:rPr>
          <w:lang w:val="en-GB"/>
        </w:rPr>
        <w:t>.</w:t>
      </w:r>
    </w:p>
    <w:p w:rsidR="007D61B7" w:rsidRPr="00B124DC" w:rsidRDefault="007D61B7" w:rsidP="007D61B7">
      <w:pPr>
        <w:pStyle w:val="OpiPara"/>
        <w:rPr>
          <w:lang w:val="en-GB"/>
        </w:rPr>
      </w:pPr>
      <w:r w:rsidRPr="00B124DC">
        <w:rPr>
          <w:lang w:val="en-GB"/>
        </w:rPr>
        <w:t>In these circumstances, it can reasonably be argued that the applicant</w:t>
      </w:r>
      <w:r w:rsidR="0006350D">
        <w:rPr>
          <w:lang w:val="en-GB"/>
        </w:rPr>
        <w:t>’</w:t>
      </w:r>
      <w:r w:rsidRPr="00B124DC">
        <w:rPr>
          <w:lang w:val="en-GB"/>
        </w:rPr>
        <w:t xml:space="preserve">s exclusion from lectures and </w:t>
      </w:r>
      <w:r w:rsidR="00C80052" w:rsidRPr="00B124DC">
        <w:rPr>
          <w:lang w:val="en-GB"/>
        </w:rPr>
        <w:t xml:space="preserve">examinations and, consequently, from </w:t>
      </w:r>
      <w:r w:rsidRPr="00B124DC">
        <w:rPr>
          <w:lang w:val="en-GB"/>
        </w:rPr>
        <w:t xml:space="preserve">the </w:t>
      </w:r>
      <w:r w:rsidR="00A56BB3">
        <w:rPr>
          <w:lang w:val="en-GB"/>
        </w:rPr>
        <w:t>u</w:t>
      </w:r>
      <w:r w:rsidRPr="00B124DC">
        <w:rPr>
          <w:lang w:val="en-GB"/>
        </w:rPr>
        <w:t xml:space="preserve">niversity </w:t>
      </w:r>
      <w:r w:rsidR="00C80052" w:rsidRPr="00B124DC">
        <w:rPr>
          <w:lang w:val="en-GB"/>
        </w:rPr>
        <w:t xml:space="preserve">itself, </w:t>
      </w:r>
      <w:r w:rsidRPr="00B124DC">
        <w:rPr>
          <w:lang w:val="en-GB"/>
        </w:rPr>
        <w:t xml:space="preserve">rendered her right to education ineffective and, </w:t>
      </w:r>
      <w:r w:rsidR="00FC081B" w:rsidRPr="00B124DC">
        <w:rPr>
          <w:lang w:val="en-GB"/>
        </w:rPr>
        <w:t>therefore</w:t>
      </w:r>
      <w:r w:rsidRPr="00B124DC">
        <w:rPr>
          <w:lang w:val="en-GB"/>
        </w:rPr>
        <w:t>, impaired the very essence of that right.</w:t>
      </w:r>
    </w:p>
    <w:p w:rsidR="002415A4" w:rsidRDefault="007D61B7" w:rsidP="007D61B7">
      <w:pPr>
        <w:pStyle w:val="OpiPara"/>
        <w:rPr>
          <w:lang w:val="en-GB"/>
        </w:rPr>
      </w:pPr>
      <w:r w:rsidRPr="00B124DC">
        <w:rPr>
          <w:lang w:val="en-GB"/>
        </w:rPr>
        <w:t>18.  </w:t>
      </w:r>
      <w:r w:rsidR="00744B1B" w:rsidRPr="00B124DC">
        <w:rPr>
          <w:lang w:val="en-GB"/>
        </w:rPr>
        <w:t>The question also arises</w:t>
      </w:r>
      <w:r w:rsidRPr="00B124DC">
        <w:rPr>
          <w:lang w:val="en-GB"/>
        </w:rPr>
        <w:t xml:space="preserve"> whether such an infringement of the right to education does not, ultimately, amount to an implicit acceptance of discrimination against the applicant on grounds</w:t>
      </w:r>
      <w:r w:rsidR="00B71594" w:rsidRPr="00B124DC">
        <w:rPr>
          <w:lang w:val="en-GB"/>
        </w:rPr>
        <w:t xml:space="preserve"> of religion</w:t>
      </w:r>
      <w:r w:rsidRPr="00B124DC">
        <w:rPr>
          <w:lang w:val="en-GB"/>
        </w:rPr>
        <w:t>. In its Reso</w:t>
      </w:r>
      <w:r w:rsidR="001A7B88">
        <w:rPr>
          <w:lang w:val="en-GB"/>
        </w:rPr>
        <w:t xml:space="preserve">lution </w:t>
      </w:r>
      <w:r w:rsidRPr="00B124DC">
        <w:rPr>
          <w:lang w:val="en-GB"/>
        </w:rPr>
        <w:t>1464</w:t>
      </w:r>
      <w:r w:rsidR="0043110F">
        <w:rPr>
          <w:lang w:val="en-GB"/>
        </w:rPr>
        <w:t xml:space="preserve"> </w:t>
      </w:r>
      <w:r w:rsidRPr="00B124DC">
        <w:rPr>
          <w:lang w:val="en-GB"/>
        </w:rPr>
        <w:t xml:space="preserve">(2005) of 4 October 2005, the Parliamentary Assembly of the Council of Europe reminded the member States that it was important </w:t>
      </w:r>
      <w:r w:rsidR="0043110F">
        <w:rPr>
          <w:lang w:val="en-GB"/>
        </w:rPr>
        <w:t>“</w:t>
      </w:r>
      <w:r w:rsidRPr="00B124DC">
        <w:rPr>
          <w:lang w:val="en-GB"/>
        </w:rPr>
        <w:t>to fully protect all women living in their country against violations of their rights based on or attributed to religion”.</w:t>
      </w:r>
    </w:p>
    <w:p w:rsidR="007D61B7" w:rsidRPr="00B124DC" w:rsidRDefault="007D61B7" w:rsidP="007D61B7">
      <w:pPr>
        <w:pStyle w:val="OpiPara"/>
        <w:rPr>
          <w:lang w:val="en-GB"/>
        </w:rPr>
      </w:pPr>
      <w:r w:rsidRPr="00B124DC">
        <w:rPr>
          <w:lang w:val="en-GB"/>
        </w:rPr>
        <w:t>19.  More fundamentally, by accepting the applicant</w:t>
      </w:r>
      <w:r w:rsidR="0006350D">
        <w:rPr>
          <w:lang w:val="en-GB"/>
        </w:rPr>
        <w:t>’</w:t>
      </w:r>
      <w:r w:rsidRPr="00B124DC">
        <w:rPr>
          <w:lang w:val="en-GB"/>
        </w:rPr>
        <w:t xml:space="preserve">s exclusion from the </w:t>
      </w:r>
      <w:r w:rsidR="00A56BB3">
        <w:rPr>
          <w:lang w:val="en-GB"/>
        </w:rPr>
        <w:t>u</w:t>
      </w:r>
      <w:r w:rsidRPr="00B124DC">
        <w:rPr>
          <w:lang w:val="en-GB"/>
        </w:rPr>
        <w:t xml:space="preserve">niversity in the name of secularism and equality, the majority have accepted her exclusion from precisely the type of liberated environment in which the true meaning of these values can </w:t>
      </w:r>
      <w:r w:rsidR="00B71594" w:rsidRPr="00B124DC">
        <w:rPr>
          <w:lang w:val="en-GB"/>
        </w:rPr>
        <w:t>take shape</w:t>
      </w:r>
      <w:r w:rsidRPr="00B124DC">
        <w:rPr>
          <w:lang w:val="en-GB"/>
        </w:rPr>
        <w:t xml:space="preserve"> and </w:t>
      </w:r>
      <w:r w:rsidR="00B71594" w:rsidRPr="00B124DC">
        <w:rPr>
          <w:lang w:val="en-GB"/>
        </w:rPr>
        <w:t>develop</w:t>
      </w:r>
      <w:r w:rsidRPr="00B124DC">
        <w:rPr>
          <w:lang w:val="en-GB"/>
        </w:rPr>
        <w:t xml:space="preserve">. University affords practical </w:t>
      </w:r>
      <w:r w:rsidR="00B71594" w:rsidRPr="00B124DC">
        <w:rPr>
          <w:lang w:val="en-GB"/>
        </w:rPr>
        <w:t>access to</w:t>
      </w:r>
      <w:r w:rsidRPr="00B124DC">
        <w:rPr>
          <w:lang w:val="en-GB"/>
        </w:rPr>
        <w:t xml:space="preserve"> knowledge that is free and independent of all authority. Experience of this kind is far more effective a means of raising awareness of the principles of secularism and equality than an obligation that is </w:t>
      </w:r>
      <w:r w:rsidR="00B71594" w:rsidRPr="00B124DC">
        <w:rPr>
          <w:lang w:val="en-GB"/>
        </w:rPr>
        <w:t>not assumed voluntarily, but imposed</w:t>
      </w:r>
      <w:r w:rsidRPr="00B124DC">
        <w:rPr>
          <w:lang w:val="en-GB"/>
        </w:rPr>
        <w:t xml:space="preserve">. A tolerance-based dialogue between religions and cultures is an education in itself, so it is ironic that young women should be deprived of that education on account of the headscarf. Advocating freedom and equality for women cannot mean depriving them of the chance to decide on their future. Bans and exclusions echo that very fundamentalism these measures are intended to combat. Here, as elsewhere, the risks are </w:t>
      </w:r>
      <w:r w:rsidR="00B71594" w:rsidRPr="00B124DC">
        <w:rPr>
          <w:lang w:val="en-GB"/>
        </w:rPr>
        <w:t>familiar</w:t>
      </w:r>
      <w:r w:rsidRPr="00B124DC">
        <w:rPr>
          <w:lang w:val="en-GB"/>
        </w:rPr>
        <w:t>: radicalisation of beliefs, silent exclusion, a return to religious schools. When rejected by the law</w:t>
      </w:r>
      <w:r w:rsidR="00C3128C" w:rsidRPr="00B124DC">
        <w:rPr>
          <w:lang w:val="en-GB"/>
        </w:rPr>
        <w:t xml:space="preserve"> of the land</w:t>
      </w:r>
      <w:r w:rsidRPr="00B124DC">
        <w:rPr>
          <w:lang w:val="en-GB"/>
        </w:rPr>
        <w:t>, young women are forced to take refuge in their own law. As we are all aware, intolerance breeds intolerance.</w:t>
      </w:r>
    </w:p>
    <w:p w:rsidR="00761787" w:rsidRPr="00B124DC" w:rsidRDefault="007D61B7" w:rsidP="00761787">
      <w:pPr>
        <w:pStyle w:val="OpiPara"/>
        <w:rPr>
          <w:lang w:val="en-GB"/>
        </w:rPr>
      </w:pPr>
      <w:r w:rsidRPr="00B124DC">
        <w:rPr>
          <w:lang w:val="en-GB"/>
        </w:rPr>
        <w:t>20.</w:t>
      </w:r>
      <w:r w:rsidR="001A7B88">
        <w:rPr>
          <w:lang w:val="en-GB"/>
        </w:rPr>
        <w:t>  </w:t>
      </w:r>
      <w:r w:rsidRPr="00B124DC">
        <w:rPr>
          <w:lang w:val="en-GB"/>
        </w:rPr>
        <w:t xml:space="preserve">I end by noting that all these issues must also be considered in the light of the observations set out in the annual activity report published in June 2005 of the European Commission against Racism and Intolerance (ECRI), which expresses concern about the climate of hostility existing against persons who are or are believed to be Muslim and </w:t>
      </w:r>
      <w:r w:rsidR="001B3946" w:rsidRPr="00B124DC">
        <w:rPr>
          <w:lang w:val="en-GB"/>
        </w:rPr>
        <w:t xml:space="preserve">considers </w:t>
      </w:r>
      <w:r w:rsidR="00FE310C" w:rsidRPr="00B124DC">
        <w:rPr>
          <w:lang w:val="en-GB"/>
        </w:rPr>
        <w:t>that</w:t>
      </w:r>
      <w:r w:rsidR="001934A7" w:rsidRPr="00B124DC">
        <w:rPr>
          <w:lang w:val="en-GB"/>
        </w:rPr>
        <w:t xml:space="preserve"> </w:t>
      </w:r>
      <w:r w:rsidR="00FE310C" w:rsidRPr="00B124DC">
        <w:rPr>
          <w:lang w:val="en-GB"/>
        </w:rPr>
        <w:t>the</w:t>
      </w:r>
      <w:r w:rsidR="001934A7" w:rsidRPr="00B124DC">
        <w:rPr>
          <w:lang w:val="en-GB"/>
        </w:rPr>
        <w:t xml:space="preserve"> situation requir</w:t>
      </w:r>
      <w:r w:rsidR="00FE310C" w:rsidRPr="00B124DC">
        <w:rPr>
          <w:lang w:val="en-GB"/>
        </w:rPr>
        <w:t>es</w:t>
      </w:r>
      <w:r w:rsidR="001934A7" w:rsidRPr="00B124DC">
        <w:rPr>
          <w:lang w:val="en-GB"/>
        </w:rPr>
        <w:t xml:space="preserve"> attention and action in the future</w:t>
      </w:r>
      <w:r w:rsidR="00A56BB3">
        <w:rPr>
          <w:rStyle w:val="FootnoteReference"/>
          <w:lang w:val="en-GB"/>
        </w:rPr>
        <w:footnoteReference w:id="10"/>
      </w:r>
      <w:r w:rsidRPr="00B124DC">
        <w:rPr>
          <w:lang w:val="en-GB"/>
        </w:rPr>
        <w:t xml:space="preserve">. </w:t>
      </w:r>
      <w:r w:rsidR="00761787" w:rsidRPr="00B124DC">
        <w:rPr>
          <w:lang w:val="en-GB"/>
        </w:rPr>
        <w:t xml:space="preserve">Above all, the message </w:t>
      </w:r>
      <w:r w:rsidR="00437387">
        <w:rPr>
          <w:lang w:val="en-GB"/>
        </w:rPr>
        <w:t>that needs</w:t>
      </w:r>
      <w:r w:rsidR="00761787" w:rsidRPr="00B124DC">
        <w:rPr>
          <w:lang w:val="en-GB"/>
        </w:rPr>
        <w:t xml:space="preserve"> </w:t>
      </w:r>
      <w:r w:rsidR="00A15F0E">
        <w:rPr>
          <w:lang w:val="en-GB"/>
        </w:rPr>
        <w:t>to be repeated</w:t>
      </w:r>
      <w:r w:rsidR="00761787" w:rsidRPr="00B124DC">
        <w:rPr>
          <w:lang w:val="en-GB"/>
        </w:rPr>
        <w:t xml:space="preserve"> over and over again</w:t>
      </w:r>
      <w:r w:rsidR="00437387">
        <w:rPr>
          <w:lang w:val="en-GB"/>
        </w:rPr>
        <w:t xml:space="preserve"> is</w:t>
      </w:r>
      <w:r w:rsidR="00761787" w:rsidRPr="00B124DC">
        <w:rPr>
          <w:lang w:val="en-GB"/>
        </w:rPr>
        <w:t xml:space="preserve"> that the best means of preventing and combating fanaticism and extremism is to uphold human rights.</w:t>
      </w:r>
    </w:p>
    <w:sectPr w:rsidR="00761787" w:rsidRPr="00B124DC" w:rsidSect="00C84BC2">
      <w:headerReference w:type="even" r:id="rId15"/>
      <w:headerReference w:type="default" r:id="rId16"/>
      <w:footnotePr>
        <w:numRestart w:val="eachPage"/>
      </w:footnotePr>
      <w:type w:val="evenPage"/>
      <w:pgSz w:w="11906" w:h="16838" w:code="9"/>
      <w:pgMar w:top="2274" w:right="2274" w:bottom="2274" w:left="2274" w:header="1701"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9A7" w:rsidRDefault="00B129A7">
      <w:r>
        <w:separator/>
      </w:r>
    </w:p>
  </w:endnote>
  <w:endnote w:type="continuationSeparator" w:id="0">
    <w:p w:rsidR="00B129A7" w:rsidRDefault="00B12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W1)">
    <w:altName w:val="Times New Roman"/>
    <w:charset w:val="00"/>
    <w:family w:val="roman"/>
    <w:pitch w:val="variable"/>
    <w:sig w:usb0="20007A87" w:usb1="80000000" w:usb2="00000008"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9A7" w:rsidRDefault="00B129A7">
      <w:r>
        <w:separator/>
      </w:r>
    </w:p>
  </w:footnote>
  <w:footnote w:type="continuationSeparator" w:id="0">
    <w:p w:rsidR="00B129A7" w:rsidRDefault="00B129A7">
      <w:r>
        <w:continuationSeparator/>
      </w:r>
    </w:p>
  </w:footnote>
  <w:footnote w:id="1">
    <w:p w:rsidR="00B129A7" w:rsidRPr="00BC0BA6" w:rsidRDefault="00B129A7">
      <w:pPr>
        <w:pStyle w:val="FootnoteText"/>
      </w:pPr>
      <w:r w:rsidRPr="00777EFD">
        <w:rPr>
          <w:rStyle w:val="FootnoteReference"/>
          <w:rFonts w:ascii="Times New (W1)" w:hAnsi="Times New (W1)"/>
          <w:vertAlign w:val="baseline"/>
        </w:rPr>
        <w:footnoteRef/>
      </w:r>
      <w:r>
        <w:rPr>
          <w:rFonts w:ascii="Times New (W1)" w:hAnsi="Times New (W1)"/>
        </w:rPr>
        <w:t>.  See S. V</w:t>
      </w:r>
      <w:r w:rsidRPr="00777EFD">
        <w:rPr>
          <w:rFonts w:ascii="Times New (W1)" w:hAnsi="Times New (W1)"/>
        </w:rPr>
        <w:t xml:space="preserve">an Drooghenbroeck, </w:t>
      </w:r>
      <w:r w:rsidRPr="00777EFD">
        <w:rPr>
          <w:rFonts w:ascii="Times New (W1)" w:hAnsi="Times New (W1)"/>
          <w:i/>
        </w:rPr>
        <w:t>La proportionnalité dans le droit de la Convention</w:t>
      </w:r>
      <w:r w:rsidRPr="00777EFD">
        <w:rPr>
          <w:i/>
        </w:rPr>
        <w:t xml:space="preserve"> européenne des Droits de l’Homme. Prendre l’idée simple au sérieux</w:t>
      </w:r>
      <w:r>
        <w:t>, Brussels, Bruylant, 2001.</w:t>
      </w:r>
    </w:p>
  </w:footnote>
  <w:footnote w:id="2">
    <w:p w:rsidR="00B129A7" w:rsidRPr="00E87084" w:rsidRDefault="00B129A7">
      <w:pPr>
        <w:pStyle w:val="FootnoteText"/>
        <w:rPr>
          <w:lang w:val="en-GB"/>
        </w:rPr>
      </w:pPr>
      <w:r w:rsidRPr="00777EFD">
        <w:rPr>
          <w:rStyle w:val="FootnoteReference"/>
          <w:rFonts w:ascii="Times New (W1)" w:hAnsi="Times New (W1)"/>
          <w:vertAlign w:val="baseline"/>
        </w:rPr>
        <w:footnoteRef/>
      </w:r>
      <w:r w:rsidRPr="00777EFD">
        <w:rPr>
          <w:rFonts w:ascii="Times New (W1)" w:hAnsi="Times New (W1)"/>
          <w:lang w:val="en-GB"/>
        </w:rPr>
        <w:t>.  </w:t>
      </w:r>
      <w:r>
        <w:rPr>
          <w:rFonts w:ascii="Times New (W1)" w:hAnsi="Times New (W1)"/>
          <w:lang w:val="en-GB"/>
        </w:rPr>
        <w:t xml:space="preserve">See </w:t>
      </w:r>
      <w:smartTag w:uri="urn:schemas-microsoft-com:office:smarttags" w:element="place">
        <w:r w:rsidRPr="00797C12">
          <w:rPr>
            <w:lang w:val="en-GB"/>
          </w:rPr>
          <w:t xml:space="preserve">E. </w:t>
        </w:r>
        <w:r w:rsidRPr="00797C12">
          <w:rPr>
            <w:rFonts w:ascii="Times New (W1)" w:hAnsi="Times New (W1)"/>
            <w:smallCaps/>
            <w:lang w:val="en-GB"/>
          </w:rPr>
          <w:t>B</w:t>
        </w:r>
        <w:r w:rsidRPr="00777EFD">
          <w:rPr>
            <w:rFonts w:ascii="Times New (W1)" w:hAnsi="Times New (W1)"/>
            <w:lang w:val="en-GB"/>
          </w:rPr>
          <w:t>rems</w:t>
        </w:r>
      </w:smartTag>
      <w:r w:rsidRPr="00797C12">
        <w:rPr>
          <w:lang w:val="en-GB"/>
        </w:rPr>
        <w:t xml:space="preserve">, </w:t>
      </w:r>
      <w:r>
        <w:rPr>
          <w:lang w:val="en-GB"/>
        </w:rPr>
        <w:t>“</w:t>
      </w:r>
      <w:r w:rsidRPr="00777EFD">
        <w:rPr>
          <w:lang w:val="en-GB"/>
        </w:rPr>
        <w:t>The approach of the European Court of Human Rights to religion</w:t>
      </w:r>
      <w:r>
        <w:rPr>
          <w:lang w:val="en-GB"/>
        </w:rPr>
        <w:t>”</w:t>
      </w:r>
      <w:r w:rsidRPr="00797C12">
        <w:rPr>
          <w:lang w:val="en-GB"/>
        </w:rPr>
        <w:t>, in Th. </w:t>
      </w:r>
      <w:r w:rsidRPr="00797C12">
        <w:rPr>
          <w:rFonts w:ascii="Times New (W1)" w:hAnsi="Times New (W1)"/>
          <w:smallCaps/>
          <w:lang w:val="en-GB"/>
        </w:rPr>
        <w:t>M</w:t>
      </w:r>
      <w:r w:rsidRPr="00777EFD">
        <w:rPr>
          <w:rFonts w:ascii="Times New (W1)" w:hAnsi="Times New (W1)"/>
          <w:lang w:val="en-GB"/>
        </w:rPr>
        <w:t>arauhn</w:t>
      </w:r>
      <w:r w:rsidRPr="00797C12">
        <w:rPr>
          <w:lang w:val="en-GB"/>
        </w:rPr>
        <w:t xml:space="preserve"> (ed.), </w:t>
      </w:r>
      <w:r w:rsidRPr="00777EFD">
        <w:rPr>
          <w:i/>
          <w:lang w:val="en-GB"/>
        </w:rPr>
        <w:t>Die Rechtsstellung des Menschen im Völkerrecht. Entwicklungen und Perspektiven</w:t>
      </w:r>
      <w:r w:rsidRPr="00797C12">
        <w:rPr>
          <w:lang w:val="en-GB"/>
        </w:rPr>
        <w:t>, Tübingen, Mohr Siebeck, 2003, pp. 1 et seq.</w:t>
      </w:r>
    </w:p>
  </w:footnote>
  <w:footnote w:id="3">
    <w:p w:rsidR="00B129A7" w:rsidRPr="00BC0BA6" w:rsidRDefault="00B129A7">
      <w:pPr>
        <w:pStyle w:val="FootnoteText"/>
      </w:pPr>
      <w:r w:rsidRPr="00777EFD">
        <w:rPr>
          <w:rStyle w:val="FootnoteReference"/>
          <w:rFonts w:ascii="Times New (W1)" w:hAnsi="Times New (W1)"/>
          <w:vertAlign w:val="baseline"/>
        </w:rPr>
        <w:footnoteRef/>
      </w:r>
      <w:r w:rsidRPr="00777EFD">
        <w:rPr>
          <w:rFonts w:ascii="Times New (W1)" w:hAnsi="Times New (W1)"/>
        </w:rPr>
        <w:t>.</w:t>
      </w:r>
      <w:r w:rsidRPr="00777EFD">
        <w:t>  </w:t>
      </w:r>
      <w:r>
        <w:t xml:space="preserve">See </w:t>
      </w:r>
      <w:r w:rsidRPr="00777EFD">
        <w:t xml:space="preserve">E. </w:t>
      </w:r>
      <w:r w:rsidRPr="00777EFD">
        <w:rPr>
          <w:rFonts w:ascii="Times New (W1)" w:hAnsi="Times New (W1)"/>
          <w:smallCaps/>
        </w:rPr>
        <w:t>B</w:t>
      </w:r>
      <w:r w:rsidRPr="00777EFD">
        <w:rPr>
          <w:rFonts w:ascii="Times New (W1)" w:hAnsi="Times New (W1)"/>
        </w:rPr>
        <w:t>ribosia</w:t>
      </w:r>
      <w:r w:rsidRPr="00777EFD">
        <w:t xml:space="preserve"> and I. </w:t>
      </w:r>
      <w:r w:rsidRPr="00777EFD">
        <w:rPr>
          <w:rFonts w:ascii="Times New (W1)" w:hAnsi="Times New (W1)"/>
          <w:smallCaps/>
        </w:rPr>
        <w:t>R</w:t>
      </w:r>
      <w:r w:rsidRPr="00777EFD">
        <w:rPr>
          <w:rFonts w:ascii="Times New (W1)" w:hAnsi="Times New (W1)"/>
        </w:rPr>
        <w:t>orive</w:t>
      </w:r>
      <w:r w:rsidRPr="00777EFD">
        <w:t xml:space="preserve">, </w:t>
      </w:r>
      <w:r>
        <w:t>“</w:t>
      </w:r>
      <w:r w:rsidRPr="00777EFD">
        <w:rPr>
          <w:i/>
        </w:rPr>
        <w:t>Le voile à l’école : une Europe divisée</w:t>
      </w:r>
      <w:r>
        <w:t>”</w:t>
      </w:r>
      <w:r w:rsidRPr="00777EFD">
        <w:t xml:space="preserve">, </w:t>
      </w:r>
      <w:r w:rsidRPr="00777EFD">
        <w:rPr>
          <w:i/>
        </w:rPr>
        <w:t>Revue</w:t>
      </w:r>
      <w:r w:rsidRPr="00777EFD">
        <w:rPr>
          <w:b/>
          <w:i/>
        </w:rPr>
        <w:t xml:space="preserve"> </w:t>
      </w:r>
      <w:r w:rsidRPr="00777EFD">
        <w:rPr>
          <w:i/>
        </w:rPr>
        <w:t>trimestrielle des droits de l’homme</w:t>
      </w:r>
      <w:r w:rsidRPr="00777EFD">
        <w:t>, 2004, p. 958.</w:t>
      </w:r>
    </w:p>
  </w:footnote>
  <w:footnote w:id="4">
    <w:p w:rsidR="00B129A7" w:rsidRPr="00BC0BA6" w:rsidRDefault="00B129A7">
      <w:pPr>
        <w:pStyle w:val="FootnoteText"/>
      </w:pPr>
      <w:r w:rsidRPr="00777EFD">
        <w:rPr>
          <w:rStyle w:val="FootnoteReference"/>
          <w:rFonts w:ascii="Times New (W1)" w:hAnsi="Times New (W1)"/>
          <w:vertAlign w:val="baseline"/>
        </w:rPr>
        <w:footnoteRef/>
      </w:r>
      <w:r>
        <w:rPr>
          <w:rFonts w:ascii="Times New (W1)" w:hAnsi="Times New (W1)"/>
        </w:rPr>
        <w:t xml:space="preserve">.  See </w:t>
      </w:r>
      <w:r w:rsidRPr="00777EFD">
        <w:t xml:space="preserve">S. </w:t>
      </w:r>
      <w:r>
        <w:t>V</w:t>
      </w:r>
      <w:r w:rsidRPr="00777EFD">
        <w:rPr>
          <w:rFonts w:ascii="Times New (W1)" w:hAnsi="Times New (W1)"/>
        </w:rPr>
        <w:t>an</w:t>
      </w:r>
      <w:r w:rsidRPr="00777EFD">
        <w:rPr>
          <w:rFonts w:ascii="Times New (W1)" w:hAnsi="Times New (W1)"/>
          <w:smallCaps/>
        </w:rPr>
        <w:t xml:space="preserve"> D</w:t>
      </w:r>
      <w:r w:rsidRPr="00777EFD">
        <w:rPr>
          <w:rFonts w:ascii="Times New (W1)" w:hAnsi="Times New (W1)"/>
        </w:rPr>
        <w:t>rooghenbroeck</w:t>
      </w:r>
      <w:r>
        <w:t>, “</w:t>
      </w:r>
      <w:r w:rsidRPr="00777EFD">
        <w:rPr>
          <w:i/>
        </w:rPr>
        <w:t>Strasbourg et le voile</w:t>
      </w:r>
      <w:r>
        <w:t>”</w:t>
      </w:r>
      <w:r w:rsidRPr="00777EFD">
        <w:t xml:space="preserve">, </w:t>
      </w:r>
      <w:r w:rsidRPr="00777EFD">
        <w:rPr>
          <w:i/>
        </w:rPr>
        <w:t>Journal du juriste</w:t>
      </w:r>
      <w:r>
        <w:t>, 2004, no. 34, p. 10.</w:t>
      </w:r>
    </w:p>
  </w:footnote>
  <w:footnote w:id="5">
    <w:p w:rsidR="00B129A7" w:rsidRPr="00777EFD" w:rsidRDefault="00B129A7" w:rsidP="00777EFD">
      <w:pPr>
        <w:pStyle w:val="FootnoteText"/>
        <w:ind w:left="284" w:hanging="284"/>
        <w:rPr>
          <w:rFonts w:ascii="Times New (W1)" w:hAnsi="Times New (W1)"/>
        </w:rPr>
      </w:pPr>
      <w:r w:rsidRPr="00777EFD">
        <w:rPr>
          <w:rStyle w:val="FootnoteReference"/>
          <w:rFonts w:ascii="Times New (W1)" w:hAnsi="Times New (W1)"/>
          <w:vertAlign w:val="baseline"/>
        </w:rPr>
        <w:footnoteRef/>
      </w:r>
      <w:r>
        <w:rPr>
          <w:rFonts w:ascii="Times New (W1)" w:hAnsi="Times New (W1)"/>
        </w:rPr>
        <w:t xml:space="preserve">.  See </w:t>
      </w:r>
      <w:r w:rsidRPr="00777EFD">
        <w:t xml:space="preserve">E. </w:t>
      </w:r>
      <w:r w:rsidRPr="00777EFD">
        <w:rPr>
          <w:rFonts w:ascii="Times New (W1)" w:hAnsi="Times New (W1)"/>
          <w:smallCaps/>
        </w:rPr>
        <w:t>B</w:t>
      </w:r>
      <w:r w:rsidRPr="00777EFD">
        <w:rPr>
          <w:rFonts w:ascii="Times New (W1)" w:hAnsi="Times New (W1)"/>
        </w:rPr>
        <w:t>ribosia</w:t>
      </w:r>
      <w:r w:rsidRPr="00777EFD">
        <w:t xml:space="preserve"> and I. </w:t>
      </w:r>
      <w:r w:rsidRPr="00777EFD">
        <w:rPr>
          <w:rFonts w:ascii="Times New (W1)" w:hAnsi="Times New (W1)"/>
        </w:rPr>
        <w:t>Rorive</w:t>
      </w:r>
      <w:r w:rsidRPr="00777EFD">
        <w:t xml:space="preserve">, </w:t>
      </w:r>
      <w:r>
        <w:t>“</w:t>
      </w:r>
      <w:r w:rsidRPr="00777EFD">
        <w:rPr>
          <w:i/>
        </w:rPr>
        <w:t>Le voile à l’école : une Europe divisée</w:t>
      </w:r>
      <w:r>
        <w:t>”</w:t>
      </w:r>
      <w:r w:rsidRPr="00777EFD">
        <w:t>, op. cit., p. 960.</w:t>
      </w:r>
      <w:r w:rsidRPr="00777EFD">
        <w:rPr>
          <w:b/>
        </w:rPr>
        <w:t xml:space="preserve"> </w:t>
      </w:r>
    </w:p>
  </w:footnote>
  <w:footnote w:id="6">
    <w:p w:rsidR="00B129A7" w:rsidRPr="00BC0BA6" w:rsidRDefault="00B129A7">
      <w:pPr>
        <w:pStyle w:val="FootnoteText"/>
        <w:rPr>
          <w:u w:val="double"/>
          <w:lang w:val="en-GB"/>
        </w:rPr>
      </w:pPr>
      <w:r w:rsidRPr="00777EFD">
        <w:rPr>
          <w:rStyle w:val="FootnoteReference"/>
          <w:rFonts w:ascii="Times New (W1)" w:hAnsi="Times New (W1)"/>
          <w:vertAlign w:val="baseline"/>
        </w:rPr>
        <w:footnoteRef/>
      </w:r>
      <w:r w:rsidRPr="00777EFD">
        <w:rPr>
          <w:rFonts w:ascii="Times New (W1)" w:hAnsi="Times New (W1)"/>
          <w:lang w:val="en-GB"/>
        </w:rPr>
        <w:t>.  </w:t>
      </w:r>
      <w:r w:rsidRPr="00797C12">
        <w:rPr>
          <w:lang w:val="en-GB"/>
        </w:rPr>
        <w:t>Federal Constitutional Court of Germany, judgment of the Second Division of 24 September 2003, 2BvR 1436/042.</w:t>
      </w:r>
    </w:p>
  </w:footnote>
  <w:footnote w:id="7">
    <w:p w:rsidR="00B129A7" w:rsidRPr="00777EFD" w:rsidRDefault="00B129A7">
      <w:pPr>
        <w:pStyle w:val="FootnoteText"/>
        <w:rPr>
          <w:rFonts w:ascii="Times New (W1)" w:hAnsi="Times New (W1)"/>
        </w:rPr>
      </w:pPr>
      <w:r w:rsidRPr="00777EFD">
        <w:rPr>
          <w:rStyle w:val="FootnoteReference"/>
          <w:rFonts w:ascii="Times New (W1)" w:hAnsi="Times New (W1)"/>
          <w:vertAlign w:val="baseline"/>
        </w:rPr>
        <w:footnoteRef/>
      </w:r>
      <w:r>
        <w:rPr>
          <w:rFonts w:ascii="Times New (W1)" w:hAnsi="Times New (W1)"/>
        </w:rPr>
        <w:t xml:space="preserve">.  See </w:t>
      </w:r>
      <w:r w:rsidRPr="00777EFD">
        <w:t xml:space="preserve">S. </w:t>
      </w:r>
      <w:r>
        <w:t>V</w:t>
      </w:r>
      <w:r w:rsidRPr="00777EFD">
        <w:rPr>
          <w:rFonts w:ascii="Times New (W1)" w:hAnsi="Times New (W1)"/>
        </w:rPr>
        <w:t>an</w:t>
      </w:r>
      <w:r w:rsidRPr="00777EFD">
        <w:rPr>
          <w:rFonts w:ascii="Times New (W1)" w:hAnsi="Times New (W1)"/>
          <w:smallCaps/>
        </w:rPr>
        <w:t xml:space="preserve"> D</w:t>
      </w:r>
      <w:r w:rsidRPr="00777EFD">
        <w:rPr>
          <w:rFonts w:ascii="Times New (W1)" w:hAnsi="Times New (W1)"/>
        </w:rPr>
        <w:t>rooghenbroeck</w:t>
      </w:r>
      <w:r w:rsidRPr="00777EFD">
        <w:t xml:space="preserve">, </w:t>
      </w:r>
      <w:r>
        <w:t>“</w:t>
      </w:r>
      <w:r w:rsidRPr="00777EFD">
        <w:rPr>
          <w:i/>
        </w:rPr>
        <w:t>Strasbourg et le voile</w:t>
      </w:r>
      <w:r>
        <w:t>”</w:t>
      </w:r>
      <w:r w:rsidRPr="00777EFD">
        <w:t xml:space="preserve">, op. cit. </w:t>
      </w:r>
    </w:p>
  </w:footnote>
  <w:footnote w:id="8">
    <w:p w:rsidR="00B129A7" w:rsidRPr="00777EFD" w:rsidRDefault="00B129A7">
      <w:pPr>
        <w:pStyle w:val="FootnoteText"/>
        <w:rPr>
          <w:rFonts w:ascii="Times New (W1)" w:hAnsi="Times New (W1)"/>
        </w:rPr>
      </w:pPr>
      <w:r w:rsidRPr="00777EFD">
        <w:rPr>
          <w:rStyle w:val="FootnoteReference"/>
          <w:rFonts w:ascii="Times New (W1)" w:hAnsi="Times New (W1)"/>
          <w:vertAlign w:val="baseline"/>
        </w:rPr>
        <w:footnoteRef/>
      </w:r>
      <w:r>
        <w:rPr>
          <w:rFonts w:ascii="Times New (W1)" w:hAnsi="Times New (W1)"/>
        </w:rPr>
        <w:t xml:space="preserve">.  See </w:t>
      </w:r>
      <w:r w:rsidRPr="00777EFD">
        <w:t xml:space="preserve">E. </w:t>
      </w:r>
      <w:r w:rsidRPr="00777EFD">
        <w:rPr>
          <w:rFonts w:ascii="Times New (W1)" w:hAnsi="Times New (W1)"/>
          <w:smallCaps/>
        </w:rPr>
        <w:t>B</w:t>
      </w:r>
      <w:r w:rsidRPr="00777EFD">
        <w:rPr>
          <w:rFonts w:ascii="Times New (W1)" w:hAnsi="Times New (W1)"/>
        </w:rPr>
        <w:t>ribosia</w:t>
      </w:r>
      <w:r w:rsidRPr="00777EFD">
        <w:t xml:space="preserve"> and I. </w:t>
      </w:r>
      <w:r w:rsidRPr="00777EFD">
        <w:rPr>
          <w:rFonts w:ascii="Times New (W1)" w:hAnsi="Times New (W1)"/>
          <w:smallCaps/>
        </w:rPr>
        <w:t>R</w:t>
      </w:r>
      <w:r w:rsidRPr="00777EFD">
        <w:rPr>
          <w:rFonts w:ascii="Times New (W1)" w:hAnsi="Times New (W1)"/>
        </w:rPr>
        <w:t>orive</w:t>
      </w:r>
      <w:r w:rsidRPr="00777EFD">
        <w:t xml:space="preserve">, </w:t>
      </w:r>
      <w:r>
        <w:t>“</w:t>
      </w:r>
      <w:r w:rsidRPr="00777EFD">
        <w:rPr>
          <w:i/>
        </w:rPr>
        <w:t>Le voile à l’école : une Europe divisée</w:t>
      </w:r>
      <w:r>
        <w:t>”</w:t>
      </w:r>
      <w:r w:rsidRPr="00777EFD">
        <w:t>, op. cit., p. 962.</w:t>
      </w:r>
    </w:p>
  </w:footnote>
  <w:footnote w:id="9">
    <w:p w:rsidR="00B129A7" w:rsidRPr="00797C12" w:rsidRDefault="00B129A7" w:rsidP="00A56BB3">
      <w:pPr>
        <w:pStyle w:val="FootnoteText"/>
      </w:pPr>
      <w:r w:rsidRPr="00A56BB3">
        <w:rPr>
          <w:rStyle w:val="FootnoteReference"/>
          <w:rFonts w:ascii="Times New (W1)" w:hAnsi="Times New (W1)"/>
          <w:vertAlign w:val="baseline"/>
        </w:rPr>
        <w:footnoteRef/>
      </w:r>
      <w:r w:rsidRPr="00A56BB3">
        <w:rPr>
          <w:rFonts w:ascii="Times New (W1)" w:hAnsi="Times New (W1)"/>
        </w:rPr>
        <w:t>.  </w:t>
      </w:r>
      <w:r>
        <w:rPr>
          <w:rFonts w:ascii="Times New (W1)" w:hAnsi="Times New (W1)"/>
        </w:rPr>
        <w:t xml:space="preserve">See </w:t>
      </w:r>
      <w:r w:rsidRPr="00A56BB3">
        <w:t xml:space="preserve">O. </w:t>
      </w:r>
      <w:r>
        <w:t>De</w:t>
      </w:r>
      <w:r w:rsidRPr="00A56BB3">
        <w:rPr>
          <w:smallCaps/>
        </w:rPr>
        <w:t xml:space="preserve"> </w:t>
      </w:r>
      <w:proofErr w:type="spellStart"/>
      <w:r w:rsidRPr="00A56BB3">
        <w:rPr>
          <w:smallCaps/>
        </w:rPr>
        <w:t>S</w:t>
      </w:r>
      <w:r w:rsidRPr="00A56BB3">
        <w:rPr>
          <w:rFonts w:ascii="Times New (W1)" w:hAnsi="Times New (W1)"/>
        </w:rPr>
        <w:t>chutter</w:t>
      </w:r>
      <w:proofErr w:type="spellEnd"/>
      <w:r w:rsidRPr="00A56BB3">
        <w:rPr>
          <w:rFonts w:ascii="Times New (W1)" w:hAnsi="Times New (W1)"/>
        </w:rPr>
        <w:t xml:space="preserve"> and </w:t>
      </w:r>
      <w:r w:rsidRPr="00A56BB3">
        <w:rPr>
          <w:smallCaps/>
        </w:rPr>
        <w:t>J. R</w:t>
      </w:r>
      <w:r w:rsidRPr="00A56BB3">
        <w:rPr>
          <w:rFonts w:ascii="Times New (W1)" w:hAnsi="Times New (W1)"/>
        </w:rPr>
        <w:t>ingelheim</w:t>
      </w:r>
      <w:r w:rsidRPr="00A56BB3">
        <w:t xml:space="preserve">, </w:t>
      </w:r>
      <w:r>
        <w:t>“</w:t>
      </w:r>
      <w:r w:rsidRPr="00A56BB3">
        <w:rPr>
          <w:i/>
        </w:rPr>
        <w:t>La renonciation aux droits fondamentaux. La libre disposition du soi et le règne de l’échange</w:t>
      </w:r>
      <w:r>
        <w:t>”</w:t>
      </w:r>
      <w:r w:rsidRPr="00797C12">
        <w:t>, CRIDHO Working paper series</w:t>
      </w:r>
      <w:r>
        <w:t xml:space="preserve"> </w:t>
      </w:r>
      <w:r w:rsidRPr="00797C12">
        <w:t>1/2005.</w:t>
      </w:r>
    </w:p>
    <w:p w:rsidR="00B129A7" w:rsidRPr="00A56BB3" w:rsidRDefault="00B129A7">
      <w:pPr>
        <w:pStyle w:val="FootnoteText"/>
        <w:rPr>
          <w:rFonts w:ascii="Times New (W1)" w:hAnsi="Times New (W1)"/>
        </w:rPr>
      </w:pPr>
    </w:p>
  </w:footnote>
  <w:footnote w:id="10">
    <w:p w:rsidR="00B129A7" w:rsidRPr="000B5775" w:rsidRDefault="00B129A7" w:rsidP="00A56BB3">
      <w:pPr>
        <w:pStyle w:val="FootnoteText"/>
        <w:rPr>
          <w:lang w:val="en-GB"/>
        </w:rPr>
      </w:pPr>
      <w:r w:rsidRPr="00A56BB3">
        <w:rPr>
          <w:rStyle w:val="FootnoteReference"/>
          <w:rFonts w:ascii="Times New (W1)" w:hAnsi="Times New (W1)"/>
          <w:vertAlign w:val="baseline"/>
        </w:rPr>
        <w:footnoteRef/>
      </w:r>
      <w:r w:rsidRPr="00A56BB3">
        <w:rPr>
          <w:rFonts w:ascii="Times New (W1)" w:hAnsi="Times New (W1)"/>
          <w:lang w:val="en-GB"/>
        </w:rPr>
        <w:t>.  </w:t>
      </w:r>
      <w:r w:rsidRPr="000B5775">
        <w:rPr>
          <w:lang w:val="en-GB"/>
        </w:rPr>
        <w:t xml:space="preserve">European Commission against Racism and Intolerance, </w:t>
      </w:r>
      <w:r>
        <w:rPr>
          <w:lang w:val="en-GB"/>
        </w:rPr>
        <w:t>“</w:t>
      </w:r>
      <w:r w:rsidRPr="000B5775">
        <w:rPr>
          <w:lang w:val="en-GB"/>
        </w:rPr>
        <w:t>Annual report on ECRI’</w:t>
      </w:r>
      <w:r>
        <w:rPr>
          <w:lang w:val="en-GB"/>
        </w:rPr>
        <w:t>s</w:t>
      </w:r>
      <w:r w:rsidRPr="000B5775">
        <w:rPr>
          <w:lang w:val="en-GB"/>
        </w:rPr>
        <w:t xml:space="preserve"> activities covering the period from 1 January to </w:t>
      </w:r>
      <w:smartTag w:uri="urn:schemas-microsoft-com:office:smarttags" w:element="date">
        <w:smartTagPr>
          <w:attr w:name="Month" w:val="12"/>
          <w:attr w:name="Day" w:val="31"/>
          <w:attr w:name="Year" w:val="2004"/>
        </w:smartTagPr>
        <w:r w:rsidRPr="000B5775">
          <w:rPr>
            <w:lang w:val="en-GB"/>
          </w:rPr>
          <w:t>31 December 2004</w:t>
        </w:r>
      </w:smartTag>
      <w:r>
        <w:rPr>
          <w:lang w:val="en-GB"/>
        </w:rPr>
        <w:t>”</w:t>
      </w:r>
      <w:r w:rsidRPr="000B5775">
        <w:rPr>
          <w:lang w:val="en-GB"/>
        </w:rPr>
        <w:t>, doc.</w:t>
      </w:r>
      <w:r>
        <w:rPr>
          <w:lang w:val="en-GB"/>
        </w:rPr>
        <w:t xml:space="preserve"> </w:t>
      </w:r>
      <w:r w:rsidRPr="000B5775">
        <w:rPr>
          <w:lang w:val="en-GB"/>
        </w:rPr>
        <w:t xml:space="preserve">CRI (2005)36, </w:t>
      </w:r>
      <w:smartTag w:uri="urn:schemas-microsoft-com:office:smarttags" w:element="place">
        <w:smartTag w:uri="urn:schemas-microsoft-com:office:smarttags" w:element="City">
          <w:r w:rsidRPr="000B5775">
            <w:rPr>
              <w:lang w:val="en-GB"/>
            </w:rPr>
            <w:t>Strasbourg</w:t>
          </w:r>
        </w:smartTag>
      </w:smartTag>
      <w:r w:rsidRPr="000B5775">
        <w:rPr>
          <w:lang w:val="en-GB"/>
        </w:rPr>
        <w:t>, June 2005.</w:t>
      </w:r>
    </w:p>
    <w:p w:rsidR="00B129A7" w:rsidRPr="00A56BB3" w:rsidRDefault="00B129A7">
      <w:pPr>
        <w:pStyle w:val="FootnoteText"/>
        <w:rPr>
          <w:rFonts w:ascii="Times New (W1)" w:hAnsi="Times New (W1)"/>
          <w:lang w:val="en-GB"/>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9A7" w:rsidRDefault="00EA52D1">
    <w:pPr>
      <w:pStyle w:val="Header"/>
      <w:jc w:val="center"/>
    </w:pPr>
    <w:r>
      <w:rPr>
        <w:noProof/>
        <w:lang w:val="en-US" w:eastAsia="ja-JP"/>
      </w:rPr>
      <w:drawing>
        <wp:inline distT="0" distB="0" distL="0" distR="0">
          <wp:extent cx="4286885" cy="17722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885" cy="1772285"/>
                  </a:xfrm>
                  <a:prstGeom prst="rect">
                    <a:avLst/>
                  </a:prstGeom>
                  <a:noFill/>
                  <a:ln>
                    <a:noFill/>
                  </a:ln>
                </pic:spPr>
              </pic:pic>
            </a:graphicData>
          </a:graphic>
        </wp:inline>
      </w:drawing>
    </w:r>
  </w:p>
  <w:p w:rsidR="00B129A7" w:rsidRPr="004D5056" w:rsidRDefault="00B129A7" w:rsidP="004D5056">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9A7" w:rsidRPr="007D61B7" w:rsidRDefault="00B129A7">
    <w:pPr>
      <w:pStyle w:val="JuHeader"/>
    </w:pPr>
    <w:r>
      <w:rPr>
        <w:rStyle w:val="PageNumber"/>
      </w:rPr>
      <w:fldChar w:fldCharType="begin"/>
    </w:r>
    <w:r>
      <w:rPr>
        <w:rStyle w:val="PageNumber"/>
      </w:rPr>
      <w:instrText xml:space="preserve"> PAGE </w:instrText>
    </w:r>
    <w:r>
      <w:rPr>
        <w:rStyle w:val="PageNumber"/>
      </w:rPr>
      <w:fldChar w:fldCharType="separate"/>
    </w:r>
    <w:r w:rsidR="00EA52D1">
      <w:rPr>
        <w:rStyle w:val="PageNumber"/>
        <w:noProof/>
      </w:rPr>
      <w:t>13</w:t>
    </w:r>
    <w:r>
      <w:rPr>
        <w:rStyle w:val="PageNumber"/>
      </w:rPr>
      <w:fldChar w:fldCharType="end"/>
    </w:r>
    <w:r>
      <w:tab/>
    </w:r>
    <w:r w:rsidRPr="007D61B7">
      <w:t>LEYLA ŞAHİN v. TURKEY JUDGMENT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9A7" w:rsidRDefault="00B129A7">
    <w:pPr>
      <w:pStyle w:val="JuHeader"/>
      <w:rPr>
        <w:rStyle w:val="PageNumber"/>
      </w:rPr>
    </w:pPr>
    <w:r>
      <w:tab/>
    </w:r>
    <w:r w:rsidRPr="007D61B7">
      <w:t>LEYLA ŞAHİN v. TURKEY JUDGMENT</w:t>
    </w:r>
    <w:r>
      <w:tab/>
    </w:r>
    <w:r w:rsidRPr="00120481">
      <w:rPr>
        <w:rStyle w:val="PageNumber"/>
      </w:rPr>
      <w:fldChar w:fldCharType="begin"/>
    </w:r>
    <w:r w:rsidRPr="00120481">
      <w:rPr>
        <w:rStyle w:val="PageNumber"/>
      </w:rPr>
      <w:instrText xml:space="preserve"> PAGE </w:instrText>
    </w:r>
    <w:r w:rsidRPr="00120481">
      <w:rPr>
        <w:rStyle w:val="PageNumber"/>
      </w:rPr>
      <w:fldChar w:fldCharType="separate"/>
    </w:r>
    <w:r w:rsidR="00EA52D1">
      <w:rPr>
        <w:rStyle w:val="PageNumber"/>
        <w:noProof/>
      </w:rPr>
      <w:t>13</w:t>
    </w:r>
    <w:r w:rsidRPr="00120481">
      <w:rPr>
        <w:rStyle w:val="PageNumber"/>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9A7" w:rsidRDefault="00B129A7">
    <w:pPr>
      <w:pStyle w:val="JuHeader"/>
    </w:pPr>
    <w:r>
      <w:rPr>
        <w:rStyle w:val="PageNumber"/>
      </w:rPr>
      <w:fldChar w:fldCharType="begin"/>
    </w:r>
    <w:r>
      <w:rPr>
        <w:rStyle w:val="PageNumber"/>
      </w:rPr>
      <w:instrText xml:space="preserve"> PAGE </w:instrText>
    </w:r>
    <w:r>
      <w:rPr>
        <w:rStyle w:val="PageNumber"/>
      </w:rPr>
      <w:fldChar w:fldCharType="separate"/>
    </w:r>
    <w:r w:rsidR="00EA52D1">
      <w:rPr>
        <w:rStyle w:val="PageNumber"/>
        <w:noProof/>
      </w:rPr>
      <w:t>13</w:t>
    </w:r>
    <w:r>
      <w:rPr>
        <w:rStyle w:val="PageNumber"/>
      </w:rPr>
      <w:fldChar w:fldCharType="end"/>
    </w:r>
    <w:r>
      <w:rPr>
        <w:lang w:val="en-GB"/>
      </w:rPr>
      <w:tab/>
      <w:t>LEYLA ŞAHİN v. TURKEY JUDGMENT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9A7" w:rsidRDefault="00B129A7">
    <w:pPr>
      <w:pStyle w:val="JuHeader"/>
    </w:pPr>
    <w:r>
      <w:tab/>
    </w:r>
    <w:r>
      <w:rPr>
        <w:lang w:val="en-GB"/>
      </w:rPr>
      <w:t xml:space="preserve">LEYLA ŞAHİN v. </w:t>
    </w:r>
    <w:smartTag w:uri="urn:schemas-microsoft-com:office:smarttags" w:element="place">
      <w:smartTag w:uri="urn:schemas-microsoft-com:office:smarttags" w:element="country-region">
        <w:r>
          <w:rPr>
            <w:lang w:val="en-GB"/>
          </w:rPr>
          <w:t>TURKEY</w:t>
        </w:r>
      </w:smartTag>
    </w:smartTag>
    <w:r>
      <w:rPr>
        <w:lang w:val="en-GB"/>
      </w:rPr>
      <w:t xml:space="preserve"> JUDGMENT</w:t>
    </w:r>
    <w:r>
      <w:tab/>
    </w:r>
    <w:r>
      <w:rPr>
        <w:rStyle w:val="PageNumber"/>
      </w:rPr>
      <w:fldChar w:fldCharType="begin"/>
    </w:r>
    <w:r>
      <w:rPr>
        <w:rStyle w:val="PageNumber"/>
      </w:rPr>
      <w:instrText xml:space="preserve"> PAGE </w:instrText>
    </w:r>
    <w:r>
      <w:rPr>
        <w:rStyle w:val="PageNumber"/>
      </w:rPr>
      <w:fldChar w:fldCharType="separate"/>
    </w:r>
    <w:r w:rsidR="00EA52D1">
      <w:rPr>
        <w:rStyle w:val="PageNumber"/>
        <w:noProof/>
      </w:rPr>
      <w:t>13</w:t>
    </w:r>
    <w:r>
      <w:rPr>
        <w:rStyle w:val="PageNumbe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9A7" w:rsidRDefault="00B129A7">
    <w:pPr>
      <w:pStyle w:val="JuHeader"/>
      <w:rPr>
        <w:lang w:val="en-GB"/>
      </w:rPr>
    </w:pPr>
    <w:r>
      <w:rPr>
        <w:rStyle w:val="PageNumber"/>
      </w:rPr>
      <w:fldChar w:fldCharType="begin"/>
    </w:r>
    <w:r w:rsidRPr="004B1F92">
      <w:rPr>
        <w:rStyle w:val="PageNumber"/>
        <w:lang w:val="en-GB"/>
      </w:rPr>
      <w:instrText xml:space="preserve"> PAGE </w:instrText>
    </w:r>
    <w:r>
      <w:rPr>
        <w:rStyle w:val="PageNumber"/>
      </w:rPr>
      <w:fldChar w:fldCharType="separate"/>
    </w:r>
    <w:r w:rsidR="00EA52D1">
      <w:rPr>
        <w:rStyle w:val="PageNumber"/>
        <w:noProof/>
        <w:lang w:val="en-GB"/>
      </w:rPr>
      <w:t>13</w:t>
    </w:r>
    <w:r>
      <w:rPr>
        <w:rStyle w:val="PageNumber"/>
      </w:rPr>
      <w:fldChar w:fldCharType="end"/>
    </w:r>
    <w:r>
      <w:rPr>
        <w:lang w:val="en-GB"/>
      </w:rPr>
      <w:tab/>
      <w:t xml:space="preserve">LEYLA ŞAHİN v. </w:t>
    </w:r>
    <w:smartTag w:uri="urn:schemas-microsoft-com:office:smarttags" w:element="place">
      <w:smartTag w:uri="urn:schemas-microsoft-com:office:smarttags" w:element="country-region">
        <w:r>
          <w:rPr>
            <w:lang w:val="en-GB"/>
          </w:rPr>
          <w:t>TURKEY</w:t>
        </w:r>
      </w:smartTag>
    </w:smartTag>
    <w:r>
      <w:rPr>
        <w:lang w:val="en-GB"/>
      </w:rPr>
      <w:t xml:space="preserve"> JUDGMENT – </w:t>
    </w:r>
  </w:p>
  <w:p w:rsidR="00B129A7" w:rsidRPr="004B1F92" w:rsidRDefault="00B129A7">
    <w:pPr>
      <w:pStyle w:val="JuHeader"/>
      <w:rPr>
        <w:lang w:val="en-GB"/>
      </w:rPr>
    </w:pPr>
    <w:r>
      <w:rPr>
        <w:lang w:val="en-GB"/>
      </w:rPr>
      <w:tab/>
    </w:r>
    <w:r w:rsidRPr="004B1F92">
      <w:rPr>
        <w:rStyle w:val="PageNumber"/>
        <w:lang w:val="en-GB"/>
      </w:rPr>
      <w:t>DISSENTING OPINION OF JUDGE TULKENS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9A7" w:rsidRPr="004B1F92" w:rsidRDefault="00B129A7" w:rsidP="00A56BB3">
    <w:pPr>
      <w:pStyle w:val="JuHeader"/>
      <w:rPr>
        <w:lang w:val="en-GB"/>
      </w:rPr>
    </w:pPr>
    <w:r>
      <w:tab/>
    </w:r>
    <w:r>
      <w:rPr>
        <w:lang w:val="en-GB"/>
      </w:rPr>
      <w:t xml:space="preserve">LEYLA ŞAHİN v. </w:t>
    </w:r>
    <w:smartTag w:uri="urn:schemas-microsoft-com:office:smarttags" w:element="place">
      <w:smartTag w:uri="urn:schemas-microsoft-com:office:smarttags" w:element="country-region">
        <w:r>
          <w:rPr>
            <w:lang w:val="en-GB"/>
          </w:rPr>
          <w:t>TURKEY</w:t>
        </w:r>
      </w:smartTag>
    </w:smartTag>
    <w:r>
      <w:rPr>
        <w:lang w:val="en-GB"/>
      </w:rPr>
      <w:t xml:space="preserve"> JUDGMENT –</w:t>
    </w:r>
    <w:r w:rsidRPr="00A56BB3">
      <w:rPr>
        <w:lang w:val="en-GB"/>
      </w:rPr>
      <w:tab/>
    </w:r>
    <w:r>
      <w:rPr>
        <w:rStyle w:val="PageNumber"/>
      </w:rPr>
      <w:fldChar w:fldCharType="begin"/>
    </w:r>
    <w:r w:rsidRPr="00A56BB3">
      <w:rPr>
        <w:rStyle w:val="PageNumber"/>
        <w:lang w:val="en-GB"/>
      </w:rPr>
      <w:instrText xml:space="preserve"> PAGE </w:instrText>
    </w:r>
    <w:r>
      <w:rPr>
        <w:rStyle w:val="PageNumber"/>
      </w:rPr>
      <w:fldChar w:fldCharType="separate"/>
    </w:r>
    <w:r w:rsidR="00EA52D1">
      <w:rPr>
        <w:rStyle w:val="PageNumber"/>
        <w:noProof/>
        <w:lang w:val="en-GB"/>
      </w:rPr>
      <w:t>13</w:t>
    </w:r>
    <w:r>
      <w:rPr>
        <w:rStyle w:val="PageNumber"/>
      </w:rPr>
      <w:fldChar w:fldCharType="end"/>
    </w:r>
    <w:r w:rsidRPr="00A56BB3">
      <w:rPr>
        <w:rStyle w:val="PageNumber"/>
        <w:lang w:val="en-GB"/>
      </w:rPr>
      <w:br/>
    </w:r>
    <w:r w:rsidRPr="00A56BB3">
      <w:rPr>
        <w:rStyle w:val="PageNumber"/>
        <w:lang w:val="en-GB"/>
      </w:rPr>
      <w:tab/>
    </w:r>
    <w:r w:rsidRPr="004B1F92">
      <w:rPr>
        <w:rStyle w:val="PageNumber"/>
        <w:lang w:val="en-GB"/>
      </w:rPr>
      <w:t>DISSENTING OPINION OF JUDGE TULKENS</w:t>
    </w:r>
  </w:p>
  <w:p w:rsidR="00B129A7" w:rsidRPr="00A56BB3" w:rsidRDefault="00B129A7">
    <w:pPr>
      <w:pStyle w:val="JuHead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15B67016"/>
    <w:lvl w:ilvl="0">
      <w:numFmt w:val="none"/>
      <w:lvlText w:val=""/>
      <w:lvlJc w:val="left"/>
    </w:lvl>
    <w:lvl w:ilvl="1">
      <w:numFmt w:val="none"/>
      <w:lvlText w:val=""/>
      <w:lvlJc w:val="left"/>
    </w:lvl>
    <w:lvl w:ilvl="2">
      <w:numFmt w:val="none"/>
      <w:lvlText w:val=""/>
      <w:lvlJc w:val="left"/>
    </w:lvl>
    <w:lvl w:ilvl="3">
      <w:start w:val="1"/>
      <w:numFmt w:val="decimal"/>
      <w:lvlText w:val="(%4)"/>
      <w:lvlJc w:val="left"/>
      <w:rPr>
        <w:rFonts w:ascii="Times New Roman" w:hAnsi="Times New Roman" w:cs="Times New Roman" w:hint="default"/>
      </w:rPr>
    </w:lvl>
    <w:lvl w:ilvl="4">
      <w:start w:val="1"/>
      <w:numFmt w:val="lowerLetter"/>
      <w:lvlText w:val="(%5)"/>
      <w:lvlJc w:val="left"/>
      <w:rPr>
        <w:rFonts w:ascii="Times New Roman" w:hAnsi="Times New Roman" w:cs="Times New Roman" w:hint="default"/>
      </w:rPr>
    </w:lvl>
    <w:lvl w:ilvl="5">
      <w:start w:val="1"/>
      <w:numFmt w:val="lowerRoman"/>
      <w:lvlText w:val="(%6)"/>
      <w:lvlJc w:val="left"/>
      <w:rPr>
        <w:rFonts w:ascii="Times New Roman" w:hAnsi="Times New Roman" w:cs="Times New Roman" w:hint="default"/>
      </w:rPr>
    </w:lvl>
    <w:lvl w:ilvl="6">
      <w:start w:val="1"/>
      <w:numFmt w:val="decimal"/>
      <w:lvlText w:val="%7)"/>
      <w:lvlJc w:val="left"/>
      <w:rPr>
        <w:rFonts w:ascii="Times New Roman" w:hAnsi="Times New Roman" w:cs="Times New Roman" w:hint="default"/>
      </w:rPr>
    </w:lvl>
    <w:lvl w:ilvl="7">
      <w:start w:val="1"/>
      <w:numFmt w:val="lowerLetter"/>
      <w:lvlText w:val="%8)"/>
      <w:lvlJc w:val="left"/>
      <w:rPr>
        <w:rFonts w:ascii="Times New Roman" w:hAnsi="Times New Roman" w:cs="Times New Roman" w:hint="default"/>
      </w:rPr>
    </w:lvl>
    <w:lvl w:ilvl="8">
      <w:numFmt w:val="none"/>
      <w:lvlText w:val=""/>
      <w:lvlJc w:val="left"/>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16B"/>
    <w:rsid w:val="00002048"/>
    <w:rsid w:val="0000243F"/>
    <w:rsid w:val="00003B4A"/>
    <w:rsid w:val="00010827"/>
    <w:rsid w:val="00016582"/>
    <w:rsid w:val="00021DE5"/>
    <w:rsid w:val="00030CF0"/>
    <w:rsid w:val="00031233"/>
    <w:rsid w:val="0003140A"/>
    <w:rsid w:val="00033305"/>
    <w:rsid w:val="00034906"/>
    <w:rsid w:val="0003714E"/>
    <w:rsid w:val="00046098"/>
    <w:rsid w:val="00047456"/>
    <w:rsid w:val="00052F53"/>
    <w:rsid w:val="000612B0"/>
    <w:rsid w:val="000620C1"/>
    <w:rsid w:val="000623F8"/>
    <w:rsid w:val="00062A7F"/>
    <w:rsid w:val="0006350D"/>
    <w:rsid w:val="000666C2"/>
    <w:rsid w:val="000720AA"/>
    <w:rsid w:val="000812FA"/>
    <w:rsid w:val="00082EC1"/>
    <w:rsid w:val="000854E5"/>
    <w:rsid w:val="000905F5"/>
    <w:rsid w:val="00091022"/>
    <w:rsid w:val="000915D6"/>
    <w:rsid w:val="00091BCB"/>
    <w:rsid w:val="00092828"/>
    <w:rsid w:val="000936B7"/>
    <w:rsid w:val="000948CA"/>
    <w:rsid w:val="000978EF"/>
    <w:rsid w:val="000A4D17"/>
    <w:rsid w:val="000B46E1"/>
    <w:rsid w:val="000B5775"/>
    <w:rsid w:val="000B6A10"/>
    <w:rsid w:val="000C2394"/>
    <w:rsid w:val="000C4237"/>
    <w:rsid w:val="000C48A0"/>
    <w:rsid w:val="000D0DA8"/>
    <w:rsid w:val="000D324E"/>
    <w:rsid w:val="000D7479"/>
    <w:rsid w:val="000E3250"/>
    <w:rsid w:val="000E7210"/>
    <w:rsid w:val="000F310D"/>
    <w:rsid w:val="000F5218"/>
    <w:rsid w:val="000F779A"/>
    <w:rsid w:val="00100161"/>
    <w:rsid w:val="0010193E"/>
    <w:rsid w:val="0010269B"/>
    <w:rsid w:val="001029F4"/>
    <w:rsid w:val="001042E9"/>
    <w:rsid w:val="00104528"/>
    <w:rsid w:val="00104B2F"/>
    <w:rsid w:val="00107994"/>
    <w:rsid w:val="0011097D"/>
    <w:rsid w:val="0011554E"/>
    <w:rsid w:val="00115620"/>
    <w:rsid w:val="0011600A"/>
    <w:rsid w:val="001265D5"/>
    <w:rsid w:val="0013286E"/>
    <w:rsid w:val="0013531D"/>
    <w:rsid w:val="0013618A"/>
    <w:rsid w:val="00137EEA"/>
    <w:rsid w:val="001405CF"/>
    <w:rsid w:val="00141420"/>
    <w:rsid w:val="00142B1C"/>
    <w:rsid w:val="00143C5C"/>
    <w:rsid w:val="001455F5"/>
    <w:rsid w:val="00150768"/>
    <w:rsid w:val="00150ABA"/>
    <w:rsid w:val="001522A8"/>
    <w:rsid w:val="00161071"/>
    <w:rsid w:val="00164C09"/>
    <w:rsid w:val="001659F6"/>
    <w:rsid w:val="001663F7"/>
    <w:rsid w:val="00170626"/>
    <w:rsid w:val="00175CE5"/>
    <w:rsid w:val="0017616B"/>
    <w:rsid w:val="0018245E"/>
    <w:rsid w:val="00186205"/>
    <w:rsid w:val="001934A7"/>
    <w:rsid w:val="001A113B"/>
    <w:rsid w:val="001A2925"/>
    <w:rsid w:val="001A4823"/>
    <w:rsid w:val="001A7B88"/>
    <w:rsid w:val="001A7D80"/>
    <w:rsid w:val="001A7FBB"/>
    <w:rsid w:val="001B314F"/>
    <w:rsid w:val="001B3946"/>
    <w:rsid w:val="001B4732"/>
    <w:rsid w:val="001B77D3"/>
    <w:rsid w:val="001C1DEA"/>
    <w:rsid w:val="001C21AE"/>
    <w:rsid w:val="001C229D"/>
    <w:rsid w:val="001C2CBA"/>
    <w:rsid w:val="001C6129"/>
    <w:rsid w:val="001C6629"/>
    <w:rsid w:val="001D350D"/>
    <w:rsid w:val="001D3705"/>
    <w:rsid w:val="001D3BC4"/>
    <w:rsid w:val="001D5B47"/>
    <w:rsid w:val="001E0A55"/>
    <w:rsid w:val="001E2640"/>
    <w:rsid w:val="001E50BE"/>
    <w:rsid w:val="001F00F5"/>
    <w:rsid w:val="001F2673"/>
    <w:rsid w:val="001F6FE4"/>
    <w:rsid w:val="00204172"/>
    <w:rsid w:val="002047CA"/>
    <w:rsid w:val="00205C36"/>
    <w:rsid w:val="002063FD"/>
    <w:rsid w:val="00207A0B"/>
    <w:rsid w:val="002100A6"/>
    <w:rsid w:val="002138EE"/>
    <w:rsid w:val="00213A77"/>
    <w:rsid w:val="00222598"/>
    <w:rsid w:val="00222E50"/>
    <w:rsid w:val="00223081"/>
    <w:rsid w:val="002232B5"/>
    <w:rsid w:val="00224DCF"/>
    <w:rsid w:val="00226EA1"/>
    <w:rsid w:val="002271C9"/>
    <w:rsid w:val="002277FB"/>
    <w:rsid w:val="002279BB"/>
    <w:rsid w:val="00230583"/>
    <w:rsid w:val="00230E24"/>
    <w:rsid w:val="00234918"/>
    <w:rsid w:val="002354FA"/>
    <w:rsid w:val="00236F79"/>
    <w:rsid w:val="0023749A"/>
    <w:rsid w:val="0023755F"/>
    <w:rsid w:val="002415A4"/>
    <w:rsid w:val="00243F4C"/>
    <w:rsid w:val="00246498"/>
    <w:rsid w:val="00250CE7"/>
    <w:rsid w:val="00251AF1"/>
    <w:rsid w:val="00252A57"/>
    <w:rsid w:val="00254213"/>
    <w:rsid w:val="002550E7"/>
    <w:rsid w:val="00255F32"/>
    <w:rsid w:val="00256805"/>
    <w:rsid w:val="00256869"/>
    <w:rsid w:val="00256FC4"/>
    <w:rsid w:val="00257126"/>
    <w:rsid w:val="00260D15"/>
    <w:rsid w:val="00261FF7"/>
    <w:rsid w:val="00267CF3"/>
    <w:rsid w:val="00272325"/>
    <w:rsid w:val="0027764D"/>
    <w:rsid w:val="0028094C"/>
    <w:rsid w:val="0028302B"/>
    <w:rsid w:val="002865FC"/>
    <w:rsid w:val="002879F4"/>
    <w:rsid w:val="00290032"/>
    <w:rsid w:val="002904EA"/>
    <w:rsid w:val="00292775"/>
    <w:rsid w:val="00297D0F"/>
    <w:rsid w:val="002A20AA"/>
    <w:rsid w:val="002A6037"/>
    <w:rsid w:val="002A7917"/>
    <w:rsid w:val="002B43D5"/>
    <w:rsid w:val="002B4C51"/>
    <w:rsid w:val="002B638A"/>
    <w:rsid w:val="002B7964"/>
    <w:rsid w:val="002C2674"/>
    <w:rsid w:val="002C31C7"/>
    <w:rsid w:val="002C3B6C"/>
    <w:rsid w:val="002C6B96"/>
    <w:rsid w:val="002D0923"/>
    <w:rsid w:val="002D4C56"/>
    <w:rsid w:val="002D5AD2"/>
    <w:rsid w:val="002D76D9"/>
    <w:rsid w:val="002D777B"/>
    <w:rsid w:val="002E2C33"/>
    <w:rsid w:val="002E30AC"/>
    <w:rsid w:val="002E542D"/>
    <w:rsid w:val="002E69A4"/>
    <w:rsid w:val="002E757D"/>
    <w:rsid w:val="002F04F8"/>
    <w:rsid w:val="002F1D72"/>
    <w:rsid w:val="002F2597"/>
    <w:rsid w:val="002F5936"/>
    <w:rsid w:val="0030399C"/>
    <w:rsid w:val="00313273"/>
    <w:rsid w:val="00315282"/>
    <w:rsid w:val="00316651"/>
    <w:rsid w:val="003203A1"/>
    <w:rsid w:val="00320B84"/>
    <w:rsid w:val="003239A1"/>
    <w:rsid w:val="0032498B"/>
    <w:rsid w:val="00325F02"/>
    <w:rsid w:val="00325FB7"/>
    <w:rsid w:val="003316F6"/>
    <w:rsid w:val="0033277A"/>
    <w:rsid w:val="0033567B"/>
    <w:rsid w:val="0033597D"/>
    <w:rsid w:val="00340AF8"/>
    <w:rsid w:val="00341F0B"/>
    <w:rsid w:val="003426AF"/>
    <w:rsid w:val="00342CCA"/>
    <w:rsid w:val="00343F1E"/>
    <w:rsid w:val="003442D4"/>
    <w:rsid w:val="003468B5"/>
    <w:rsid w:val="003524C8"/>
    <w:rsid w:val="003546D5"/>
    <w:rsid w:val="003559AA"/>
    <w:rsid w:val="003562E8"/>
    <w:rsid w:val="00357E18"/>
    <w:rsid w:val="0036076C"/>
    <w:rsid w:val="003643B4"/>
    <w:rsid w:val="00364864"/>
    <w:rsid w:val="003665F3"/>
    <w:rsid w:val="00366B2B"/>
    <w:rsid w:val="0036729D"/>
    <w:rsid w:val="00367BCF"/>
    <w:rsid w:val="003700D0"/>
    <w:rsid w:val="0037056F"/>
    <w:rsid w:val="00370CC3"/>
    <w:rsid w:val="0037551B"/>
    <w:rsid w:val="00377218"/>
    <w:rsid w:val="00377D07"/>
    <w:rsid w:val="00381ABC"/>
    <w:rsid w:val="00382ECE"/>
    <w:rsid w:val="00384AED"/>
    <w:rsid w:val="00386919"/>
    <w:rsid w:val="00387558"/>
    <w:rsid w:val="00390C1C"/>
    <w:rsid w:val="00395698"/>
    <w:rsid w:val="003A3713"/>
    <w:rsid w:val="003A547E"/>
    <w:rsid w:val="003A6FA6"/>
    <w:rsid w:val="003B1078"/>
    <w:rsid w:val="003B128A"/>
    <w:rsid w:val="003B3ABE"/>
    <w:rsid w:val="003B5083"/>
    <w:rsid w:val="003C0C28"/>
    <w:rsid w:val="003C1C59"/>
    <w:rsid w:val="003C296D"/>
    <w:rsid w:val="003C32C3"/>
    <w:rsid w:val="003D0347"/>
    <w:rsid w:val="003D314A"/>
    <w:rsid w:val="003E1739"/>
    <w:rsid w:val="003E1A10"/>
    <w:rsid w:val="003E2A48"/>
    <w:rsid w:val="003E4107"/>
    <w:rsid w:val="003E42D8"/>
    <w:rsid w:val="003E6624"/>
    <w:rsid w:val="003F381A"/>
    <w:rsid w:val="003F631D"/>
    <w:rsid w:val="004003A5"/>
    <w:rsid w:val="00403F27"/>
    <w:rsid w:val="004064DB"/>
    <w:rsid w:val="00407682"/>
    <w:rsid w:val="0041253D"/>
    <w:rsid w:val="00416DC4"/>
    <w:rsid w:val="004217A0"/>
    <w:rsid w:val="004246D0"/>
    <w:rsid w:val="004249F4"/>
    <w:rsid w:val="004306F9"/>
    <w:rsid w:val="0043110F"/>
    <w:rsid w:val="0043223D"/>
    <w:rsid w:val="00433FF5"/>
    <w:rsid w:val="0043483B"/>
    <w:rsid w:val="00437068"/>
    <w:rsid w:val="00437387"/>
    <w:rsid w:val="004403B0"/>
    <w:rsid w:val="00440D6A"/>
    <w:rsid w:val="004440A2"/>
    <w:rsid w:val="004503D1"/>
    <w:rsid w:val="00450F3A"/>
    <w:rsid w:val="0045189E"/>
    <w:rsid w:val="004615BC"/>
    <w:rsid w:val="004618A2"/>
    <w:rsid w:val="00462E70"/>
    <w:rsid w:val="00463CFE"/>
    <w:rsid w:val="00463F36"/>
    <w:rsid w:val="00465B72"/>
    <w:rsid w:val="00470981"/>
    <w:rsid w:val="004709AA"/>
    <w:rsid w:val="0047219C"/>
    <w:rsid w:val="00473B17"/>
    <w:rsid w:val="0047597B"/>
    <w:rsid w:val="00480767"/>
    <w:rsid w:val="004829D0"/>
    <w:rsid w:val="00484956"/>
    <w:rsid w:val="00484D6D"/>
    <w:rsid w:val="00485D48"/>
    <w:rsid w:val="00485F93"/>
    <w:rsid w:val="00492820"/>
    <w:rsid w:val="00493653"/>
    <w:rsid w:val="004A0BA0"/>
    <w:rsid w:val="004A1131"/>
    <w:rsid w:val="004A6B3C"/>
    <w:rsid w:val="004A6CBB"/>
    <w:rsid w:val="004B1D39"/>
    <w:rsid w:val="004B1F92"/>
    <w:rsid w:val="004B23A4"/>
    <w:rsid w:val="004B361D"/>
    <w:rsid w:val="004B46B9"/>
    <w:rsid w:val="004C0D9D"/>
    <w:rsid w:val="004C0EB5"/>
    <w:rsid w:val="004C5200"/>
    <w:rsid w:val="004C5455"/>
    <w:rsid w:val="004C6918"/>
    <w:rsid w:val="004D4A59"/>
    <w:rsid w:val="004D5056"/>
    <w:rsid w:val="004E12F0"/>
    <w:rsid w:val="004E1743"/>
    <w:rsid w:val="004E2B63"/>
    <w:rsid w:val="004E454C"/>
    <w:rsid w:val="004E625F"/>
    <w:rsid w:val="004E64EF"/>
    <w:rsid w:val="004F0774"/>
    <w:rsid w:val="004F4EFD"/>
    <w:rsid w:val="004F561B"/>
    <w:rsid w:val="004F619D"/>
    <w:rsid w:val="00501068"/>
    <w:rsid w:val="00501726"/>
    <w:rsid w:val="00504292"/>
    <w:rsid w:val="005113FB"/>
    <w:rsid w:val="00511A63"/>
    <w:rsid w:val="00512434"/>
    <w:rsid w:val="00512B6A"/>
    <w:rsid w:val="005157C2"/>
    <w:rsid w:val="00515E0B"/>
    <w:rsid w:val="005242E7"/>
    <w:rsid w:val="00531366"/>
    <w:rsid w:val="00532546"/>
    <w:rsid w:val="00534234"/>
    <w:rsid w:val="00534A6B"/>
    <w:rsid w:val="005354CC"/>
    <w:rsid w:val="00536A08"/>
    <w:rsid w:val="005376DE"/>
    <w:rsid w:val="00540A69"/>
    <w:rsid w:val="005415C3"/>
    <w:rsid w:val="00546C7E"/>
    <w:rsid w:val="0055120A"/>
    <w:rsid w:val="005526BC"/>
    <w:rsid w:val="00554A9E"/>
    <w:rsid w:val="00554ACD"/>
    <w:rsid w:val="005570E1"/>
    <w:rsid w:val="00557E3C"/>
    <w:rsid w:val="00561B95"/>
    <w:rsid w:val="00564754"/>
    <w:rsid w:val="005716A2"/>
    <w:rsid w:val="005758A3"/>
    <w:rsid w:val="00581166"/>
    <w:rsid w:val="005845D8"/>
    <w:rsid w:val="00584D8F"/>
    <w:rsid w:val="0059330E"/>
    <w:rsid w:val="005965B9"/>
    <w:rsid w:val="005A2CE2"/>
    <w:rsid w:val="005B3F45"/>
    <w:rsid w:val="005B5FDC"/>
    <w:rsid w:val="005B6354"/>
    <w:rsid w:val="005C235D"/>
    <w:rsid w:val="005C5A71"/>
    <w:rsid w:val="005C5D34"/>
    <w:rsid w:val="005D12A4"/>
    <w:rsid w:val="005D3EED"/>
    <w:rsid w:val="005D6ED3"/>
    <w:rsid w:val="005E2247"/>
    <w:rsid w:val="005E5695"/>
    <w:rsid w:val="005E6A19"/>
    <w:rsid w:val="005E7E60"/>
    <w:rsid w:val="005F05CB"/>
    <w:rsid w:val="005F4C59"/>
    <w:rsid w:val="0060687B"/>
    <w:rsid w:val="0061303E"/>
    <w:rsid w:val="00616B20"/>
    <w:rsid w:val="00622855"/>
    <w:rsid w:val="0062423E"/>
    <w:rsid w:val="00626BF0"/>
    <w:rsid w:val="006274C1"/>
    <w:rsid w:val="00627B3E"/>
    <w:rsid w:val="00634EE5"/>
    <w:rsid w:val="006352C4"/>
    <w:rsid w:val="00637BFA"/>
    <w:rsid w:val="00640091"/>
    <w:rsid w:val="006401E6"/>
    <w:rsid w:val="00642ED2"/>
    <w:rsid w:val="00652623"/>
    <w:rsid w:val="00653255"/>
    <w:rsid w:val="00661E48"/>
    <w:rsid w:val="00662BDB"/>
    <w:rsid w:val="0066692C"/>
    <w:rsid w:val="00666F2D"/>
    <w:rsid w:val="006676E3"/>
    <w:rsid w:val="0067012C"/>
    <w:rsid w:val="00673FCB"/>
    <w:rsid w:val="00676112"/>
    <w:rsid w:val="00684FC4"/>
    <w:rsid w:val="00691691"/>
    <w:rsid w:val="0069691E"/>
    <w:rsid w:val="006A0EFD"/>
    <w:rsid w:val="006A18DA"/>
    <w:rsid w:val="006A2764"/>
    <w:rsid w:val="006A6E7C"/>
    <w:rsid w:val="006A7A08"/>
    <w:rsid w:val="006B07A7"/>
    <w:rsid w:val="006B114D"/>
    <w:rsid w:val="006B145B"/>
    <w:rsid w:val="006B24BB"/>
    <w:rsid w:val="006B3D46"/>
    <w:rsid w:val="006B47E1"/>
    <w:rsid w:val="006B579B"/>
    <w:rsid w:val="006C0A96"/>
    <w:rsid w:val="006C1368"/>
    <w:rsid w:val="006C3B9B"/>
    <w:rsid w:val="006C4B95"/>
    <w:rsid w:val="006C4BCA"/>
    <w:rsid w:val="006C5E3F"/>
    <w:rsid w:val="006C62FA"/>
    <w:rsid w:val="006C6D0A"/>
    <w:rsid w:val="006C7611"/>
    <w:rsid w:val="006C77FF"/>
    <w:rsid w:val="006D1342"/>
    <w:rsid w:val="006D49BC"/>
    <w:rsid w:val="006D4BA2"/>
    <w:rsid w:val="006D7A22"/>
    <w:rsid w:val="006E207D"/>
    <w:rsid w:val="006F22DB"/>
    <w:rsid w:val="00701D38"/>
    <w:rsid w:val="007031B9"/>
    <w:rsid w:val="0070746B"/>
    <w:rsid w:val="007126AC"/>
    <w:rsid w:val="007139CD"/>
    <w:rsid w:val="00714C62"/>
    <w:rsid w:val="00715A1C"/>
    <w:rsid w:val="00715F94"/>
    <w:rsid w:val="00716BE9"/>
    <w:rsid w:val="00717DF3"/>
    <w:rsid w:val="00721934"/>
    <w:rsid w:val="0072480D"/>
    <w:rsid w:val="00726B0B"/>
    <w:rsid w:val="0073223D"/>
    <w:rsid w:val="00735784"/>
    <w:rsid w:val="00736F94"/>
    <w:rsid w:val="00740AFD"/>
    <w:rsid w:val="00742395"/>
    <w:rsid w:val="00744B1B"/>
    <w:rsid w:val="00746B3A"/>
    <w:rsid w:val="0075530C"/>
    <w:rsid w:val="00755A49"/>
    <w:rsid w:val="0075788B"/>
    <w:rsid w:val="007579CF"/>
    <w:rsid w:val="007606CE"/>
    <w:rsid w:val="00761787"/>
    <w:rsid w:val="0076245A"/>
    <w:rsid w:val="007637A5"/>
    <w:rsid w:val="007645C7"/>
    <w:rsid w:val="00764EDF"/>
    <w:rsid w:val="00765D6E"/>
    <w:rsid w:val="00771C86"/>
    <w:rsid w:val="00776B24"/>
    <w:rsid w:val="00777EFD"/>
    <w:rsid w:val="007806FE"/>
    <w:rsid w:val="0078103F"/>
    <w:rsid w:val="00783D8A"/>
    <w:rsid w:val="00783D9F"/>
    <w:rsid w:val="0078696D"/>
    <w:rsid w:val="00790435"/>
    <w:rsid w:val="0079157C"/>
    <w:rsid w:val="0079221A"/>
    <w:rsid w:val="00793719"/>
    <w:rsid w:val="00793A12"/>
    <w:rsid w:val="007942F0"/>
    <w:rsid w:val="00796213"/>
    <w:rsid w:val="00797C12"/>
    <w:rsid w:val="007A1037"/>
    <w:rsid w:val="007A1539"/>
    <w:rsid w:val="007A1BF5"/>
    <w:rsid w:val="007B12F8"/>
    <w:rsid w:val="007B1B5B"/>
    <w:rsid w:val="007B3F9D"/>
    <w:rsid w:val="007D027C"/>
    <w:rsid w:val="007D0344"/>
    <w:rsid w:val="007D0B36"/>
    <w:rsid w:val="007D3529"/>
    <w:rsid w:val="007D439F"/>
    <w:rsid w:val="007D61B7"/>
    <w:rsid w:val="007E374D"/>
    <w:rsid w:val="007E4F1A"/>
    <w:rsid w:val="007F5BEE"/>
    <w:rsid w:val="00800ADE"/>
    <w:rsid w:val="00801C94"/>
    <w:rsid w:val="008061B9"/>
    <w:rsid w:val="0080753A"/>
    <w:rsid w:val="008117CC"/>
    <w:rsid w:val="008126BF"/>
    <w:rsid w:val="00814221"/>
    <w:rsid w:val="00814395"/>
    <w:rsid w:val="00815175"/>
    <w:rsid w:val="00817457"/>
    <w:rsid w:val="008228BF"/>
    <w:rsid w:val="008239A5"/>
    <w:rsid w:val="008250B0"/>
    <w:rsid w:val="00827138"/>
    <w:rsid w:val="00830F0F"/>
    <w:rsid w:val="008318B0"/>
    <w:rsid w:val="00836CAF"/>
    <w:rsid w:val="008420BE"/>
    <w:rsid w:val="008426B7"/>
    <w:rsid w:val="00844A2D"/>
    <w:rsid w:val="0084500A"/>
    <w:rsid w:val="0086111A"/>
    <w:rsid w:val="00863FE3"/>
    <w:rsid w:val="00864515"/>
    <w:rsid w:val="0086546B"/>
    <w:rsid w:val="00865AC0"/>
    <w:rsid w:val="0086780F"/>
    <w:rsid w:val="00871984"/>
    <w:rsid w:val="00876696"/>
    <w:rsid w:val="0088016B"/>
    <w:rsid w:val="00882C74"/>
    <w:rsid w:val="008832E2"/>
    <w:rsid w:val="0088484C"/>
    <w:rsid w:val="00887D63"/>
    <w:rsid w:val="00891E4D"/>
    <w:rsid w:val="0089255B"/>
    <w:rsid w:val="008926DA"/>
    <w:rsid w:val="00894530"/>
    <w:rsid w:val="008961A5"/>
    <w:rsid w:val="00896D16"/>
    <w:rsid w:val="008A0647"/>
    <w:rsid w:val="008A389A"/>
    <w:rsid w:val="008A77E3"/>
    <w:rsid w:val="008B4136"/>
    <w:rsid w:val="008B6DC6"/>
    <w:rsid w:val="008C404F"/>
    <w:rsid w:val="008C444F"/>
    <w:rsid w:val="008C4FCF"/>
    <w:rsid w:val="008D31D7"/>
    <w:rsid w:val="008D5048"/>
    <w:rsid w:val="008E2874"/>
    <w:rsid w:val="008E521A"/>
    <w:rsid w:val="008F01E0"/>
    <w:rsid w:val="008F53B0"/>
    <w:rsid w:val="008F648C"/>
    <w:rsid w:val="009037BC"/>
    <w:rsid w:val="00904D98"/>
    <w:rsid w:val="0090579A"/>
    <w:rsid w:val="0091161C"/>
    <w:rsid w:val="00911F3D"/>
    <w:rsid w:val="009233D0"/>
    <w:rsid w:val="00924D98"/>
    <w:rsid w:val="00927681"/>
    <w:rsid w:val="00927DF2"/>
    <w:rsid w:val="009300C1"/>
    <w:rsid w:val="00932AF2"/>
    <w:rsid w:val="00933592"/>
    <w:rsid w:val="00937F0B"/>
    <w:rsid w:val="00944289"/>
    <w:rsid w:val="0094438C"/>
    <w:rsid w:val="00945E61"/>
    <w:rsid w:val="00946D4F"/>
    <w:rsid w:val="00954099"/>
    <w:rsid w:val="00954EBD"/>
    <w:rsid w:val="009574D2"/>
    <w:rsid w:val="00960A98"/>
    <w:rsid w:val="00962723"/>
    <w:rsid w:val="00963A17"/>
    <w:rsid w:val="0096591C"/>
    <w:rsid w:val="00970763"/>
    <w:rsid w:val="00970A61"/>
    <w:rsid w:val="0097178D"/>
    <w:rsid w:val="009779B9"/>
    <w:rsid w:val="00982939"/>
    <w:rsid w:val="009837D3"/>
    <w:rsid w:val="00984518"/>
    <w:rsid w:val="0098730A"/>
    <w:rsid w:val="00987529"/>
    <w:rsid w:val="009936B2"/>
    <w:rsid w:val="00994EC9"/>
    <w:rsid w:val="00996C33"/>
    <w:rsid w:val="009A5D33"/>
    <w:rsid w:val="009B0DBB"/>
    <w:rsid w:val="009B0E58"/>
    <w:rsid w:val="009B10FA"/>
    <w:rsid w:val="009B2855"/>
    <w:rsid w:val="009B34F0"/>
    <w:rsid w:val="009C235C"/>
    <w:rsid w:val="009C2F1F"/>
    <w:rsid w:val="009C3002"/>
    <w:rsid w:val="009C549F"/>
    <w:rsid w:val="009D5D11"/>
    <w:rsid w:val="009D687B"/>
    <w:rsid w:val="009E020E"/>
    <w:rsid w:val="009E4D38"/>
    <w:rsid w:val="009E74F1"/>
    <w:rsid w:val="009F037C"/>
    <w:rsid w:val="009F08BA"/>
    <w:rsid w:val="009F0DEE"/>
    <w:rsid w:val="009F1000"/>
    <w:rsid w:val="009F458E"/>
    <w:rsid w:val="009F6C5C"/>
    <w:rsid w:val="00A004C5"/>
    <w:rsid w:val="00A007BB"/>
    <w:rsid w:val="00A01BD2"/>
    <w:rsid w:val="00A053B7"/>
    <w:rsid w:val="00A053C9"/>
    <w:rsid w:val="00A072A1"/>
    <w:rsid w:val="00A152F4"/>
    <w:rsid w:val="00A15F0E"/>
    <w:rsid w:val="00A21CD2"/>
    <w:rsid w:val="00A2547D"/>
    <w:rsid w:val="00A25C51"/>
    <w:rsid w:val="00A330AA"/>
    <w:rsid w:val="00A340C7"/>
    <w:rsid w:val="00A35342"/>
    <w:rsid w:val="00A367EC"/>
    <w:rsid w:val="00A42EC3"/>
    <w:rsid w:val="00A436D3"/>
    <w:rsid w:val="00A47569"/>
    <w:rsid w:val="00A50772"/>
    <w:rsid w:val="00A55138"/>
    <w:rsid w:val="00A56BB3"/>
    <w:rsid w:val="00A5756E"/>
    <w:rsid w:val="00A60622"/>
    <w:rsid w:val="00A612B4"/>
    <w:rsid w:val="00A630FB"/>
    <w:rsid w:val="00A70EDF"/>
    <w:rsid w:val="00A71422"/>
    <w:rsid w:val="00A72CCD"/>
    <w:rsid w:val="00A80A3C"/>
    <w:rsid w:val="00A83CA1"/>
    <w:rsid w:val="00A861C2"/>
    <w:rsid w:val="00A878CC"/>
    <w:rsid w:val="00A92DFB"/>
    <w:rsid w:val="00A94096"/>
    <w:rsid w:val="00A95629"/>
    <w:rsid w:val="00A97700"/>
    <w:rsid w:val="00AA2321"/>
    <w:rsid w:val="00AA2B81"/>
    <w:rsid w:val="00AA3197"/>
    <w:rsid w:val="00AA32E4"/>
    <w:rsid w:val="00AA385F"/>
    <w:rsid w:val="00AA4FA1"/>
    <w:rsid w:val="00AA6EBC"/>
    <w:rsid w:val="00AB0A46"/>
    <w:rsid w:val="00AB1A4D"/>
    <w:rsid w:val="00AB3880"/>
    <w:rsid w:val="00AC18D3"/>
    <w:rsid w:val="00AC64F4"/>
    <w:rsid w:val="00AD012B"/>
    <w:rsid w:val="00AD1602"/>
    <w:rsid w:val="00AD1DA5"/>
    <w:rsid w:val="00AD344A"/>
    <w:rsid w:val="00AE11AC"/>
    <w:rsid w:val="00AE5517"/>
    <w:rsid w:val="00AE5F3D"/>
    <w:rsid w:val="00AF2C34"/>
    <w:rsid w:val="00AF3634"/>
    <w:rsid w:val="00AF3E68"/>
    <w:rsid w:val="00B01885"/>
    <w:rsid w:val="00B01CF1"/>
    <w:rsid w:val="00B03F52"/>
    <w:rsid w:val="00B1042A"/>
    <w:rsid w:val="00B124DC"/>
    <w:rsid w:val="00B129A7"/>
    <w:rsid w:val="00B20564"/>
    <w:rsid w:val="00B269E1"/>
    <w:rsid w:val="00B30BC2"/>
    <w:rsid w:val="00B3223E"/>
    <w:rsid w:val="00B3345A"/>
    <w:rsid w:val="00B3455F"/>
    <w:rsid w:val="00B37EEB"/>
    <w:rsid w:val="00B42163"/>
    <w:rsid w:val="00B42DCB"/>
    <w:rsid w:val="00B43F8A"/>
    <w:rsid w:val="00B44CD0"/>
    <w:rsid w:val="00B477B9"/>
    <w:rsid w:val="00B5070A"/>
    <w:rsid w:val="00B50F0A"/>
    <w:rsid w:val="00B5177F"/>
    <w:rsid w:val="00B61060"/>
    <w:rsid w:val="00B6274C"/>
    <w:rsid w:val="00B64002"/>
    <w:rsid w:val="00B64049"/>
    <w:rsid w:val="00B66DED"/>
    <w:rsid w:val="00B71594"/>
    <w:rsid w:val="00B7271D"/>
    <w:rsid w:val="00B734F3"/>
    <w:rsid w:val="00B81F81"/>
    <w:rsid w:val="00B82120"/>
    <w:rsid w:val="00B86E7A"/>
    <w:rsid w:val="00BB00A4"/>
    <w:rsid w:val="00BB0DB8"/>
    <w:rsid w:val="00BB0E66"/>
    <w:rsid w:val="00BB2650"/>
    <w:rsid w:val="00BB4832"/>
    <w:rsid w:val="00BB5365"/>
    <w:rsid w:val="00BB631C"/>
    <w:rsid w:val="00BB6ADB"/>
    <w:rsid w:val="00BC0BA6"/>
    <w:rsid w:val="00BC3002"/>
    <w:rsid w:val="00BC3B6A"/>
    <w:rsid w:val="00BC4178"/>
    <w:rsid w:val="00BD7742"/>
    <w:rsid w:val="00BE0F36"/>
    <w:rsid w:val="00BE1334"/>
    <w:rsid w:val="00BE4E74"/>
    <w:rsid w:val="00BE5D12"/>
    <w:rsid w:val="00BE62B7"/>
    <w:rsid w:val="00BF0C27"/>
    <w:rsid w:val="00C00C19"/>
    <w:rsid w:val="00C015FC"/>
    <w:rsid w:val="00C01937"/>
    <w:rsid w:val="00C1609F"/>
    <w:rsid w:val="00C16376"/>
    <w:rsid w:val="00C17D8C"/>
    <w:rsid w:val="00C3128C"/>
    <w:rsid w:val="00C363EB"/>
    <w:rsid w:val="00C36E03"/>
    <w:rsid w:val="00C376A0"/>
    <w:rsid w:val="00C4171E"/>
    <w:rsid w:val="00C430A1"/>
    <w:rsid w:val="00C43DBC"/>
    <w:rsid w:val="00C464FB"/>
    <w:rsid w:val="00C46C7F"/>
    <w:rsid w:val="00C4722A"/>
    <w:rsid w:val="00C55A27"/>
    <w:rsid w:val="00C616FD"/>
    <w:rsid w:val="00C619A4"/>
    <w:rsid w:val="00C61ADE"/>
    <w:rsid w:val="00C61DC6"/>
    <w:rsid w:val="00C62294"/>
    <w:rsid w:val="00C6284D"/>
    <w:rsid w:val="00C64D57"/>
    <w:rsid w:val="00C65734"/>
    <w:rsid w:val="00C65969"/>
    <w:rsid w:val="00C67487"/>
    <w:rsid w:val="00C72E48"/>
    <w:rsid w:val="00C73203"/>
    <w:rsid w:val="00C73EB5"/>
    <w:rsid w:val="00C80052"/>
    <w:rsid w:val="00C84591"/>
    <w:rsid w:val="00C84BC2"/>
    <w:rsid w:val="00C85FD0"/>
    <w:rsid w:val="00C86C81"/>
    <w:rsid w:val="00C923F0"/>
    <w:rsid w:val="00C94E24"/>
    <w:rsid w:val="00C95425"/>
    <w:rsid w:val="00CA29D5"/>
    <w:rsid w:val="00CA4A85"/>
    <w:rsid w:val="00CB1211"/>
    <w:rsid w:val="00CB2AFA"/>
    <w:rsid w:val="00CB3CA7"/>
    <w:rsid w:val="00CB4B57"/>
    <w:rsid w:val="00CB4D3C"/>
    <w:rsid w:val="00CB6B43"/>
    <w:rsid w:val="00CB6E00"/>
    <w:rsid w:val="00CB6F76"/>
    <w:rsid w:val="00CB7F11"/>
    <w:rsid w:val="00CC6EAF"/>
    <w:rsid w:val="00CD455C"/>
    <w:rsid w:val="00CE2551"/>
    <w:rsid w:val="00CE5517"/>
    <w:rsid w:val="00CF2DBA"/>
    <w:rsid w:val="00CF42C3"/>
    <w:rsid w:val="00CF74C7"/>
    <w:rsid w:val="00CF7507"/>
    <w:rsid w:val="00D017F3"/>
    <w:rsid w:val="00D05A84"/>
    <w:rsid w:val="00D06E6C"/>
    <w:rsid w:val="00D07793"/>
    <w:rsid w:val="00D07BDD"/>
    <w:rsid w:val="00D10FD9"/>
    <w:rsid w:val="00D1668B"/>
    <w:rsid w:val="00D21BD2"/>
    <w:rsid w:val="00D22E6D"/>
    <w:rsid w:val="00D23DD0"/>
    <w:rsid w:val="00D255DE"/>
    <w:rsid w:val="00D268A6"/>
    <w:rsid w:val="00D272AC"/>
    <w:rsid w:val="00D27822"/>
    <w:rsid w:val="00D31848"/>
    <w:rsid w:val="00D33BC6"/>
    <w:rsid w:val="00D35BD5"/>
    <w:rsid w:val="00D36D69"/>
    <w:rsid w:val="00D40682"/>
    <w:rsid w:val="00D40DC6"/>
    <w:rsid w:val="00D44C92"/>
    <w:rsid w:val="00D454A0"/>
    <w:rsid w:val="00D55649"/>
    <w:rsid w:val="00D57D28"/>
    <w:rsid w:val="00D60850"/>
    <w:rsid w:val="00D61CCB"/>
    <w:rsid w:val="00D67FC1"/>
    <w:rsid w:val="00D7150D"/>
    <w:rsid w:val="00D72BE9"/>
    <w:rsid w:val="00D72DF9"/>
    <w:rsid w:val="00D73F25"/>
    <w:rsid w:val="00D74F13"/>
    <w:rsid w:val="00D751A4"/>
    <w:rsid w:val="00D80C79"/>
    <w:rsid w:val="00D81137"/>
    <w:rsid w:val="00D83AAB"/>
    <w:rsid w:val="00D87FEF"/>
    <w:rsid w:val="00D90535"/>
    <w:rsid w:val="00D90E51"/>
    <w:rsid w:val="00D92C57"/>
    <w:rsid w:val="00D93136"/>
    <w:rsid w:val="00D95AD9"/>
    <w:rsid w:val="00DA1B77"/>
    <w:rsid w:val="00DA2DA1"/>
    <w:rsid w:val="00DA339C"/>
    <w:rsid w:val="00DA6F51"/>
    <w:rsid w:val="00DB0A16"/>
    <w:rsid w:val="00DB15CC"/>
    <w:rsid w:val="00DB177A"/>
    <w:rsid w:val="00DB3291"/>
    <w:rsid w:val="00DB387B"/>
    <w:rsid w:val="00DB57BE"/>
    <w:rsid w:val="00DB5897"/>
    <w:rsid w:val="00DB7076"/>
    <w:rsid w:val="00DC3AE0"/>
    <w:rsid w:val="00DC5B80"/>
    <w:rsid w:val="00DC6CCF"/>
    <w:rsid w:val="00DD16C0"/>
    <w:rsid w:val="00DD22A7"/>
    <w:rsid w:val="00DD4CB6"/>
    <w:rsid w:val="00DD4F85"/>
    <w:rsid w:val="00DD551F"/>
    <w:rsid w:val="00DD5D90"/>
    <w:rsid w:val="00DD6D10"/>
    <w:rsid w:val="00DE124F"/>
    <w:rsid w:val="00DE3BB0"/>
    <w:rsid w:val="00DE4146"/>
    <w:rsid w:val="00DE4192"/>
    <w:rsid w:val="00DE671F"/>
    <w:rsid w:val="00DF2104"/>
    <w:rsid w:val="00DF3F24"/>
    <w:rsid w:val="00E001B7"/>
    <w:rsid w:val="00E029BA"/>
    <w:rsid w:val="00E02BDF"/>
    <w:rsid w:val="00E02DA8"/>
    <w:rsid w:val="00E03460"/>
    <w:rsid w:val="00E06F2D"/>
    <w:rsid w:val="00E10C7C"/>
    <w:rsid w:val="00E14FB8"/>
    <w:rsid w:val="00E163AC"/>
    <w:rsid w:val="00E26185"/>
    <w:rsid w:val="00E275F4"/>
    <w:rsid w:val="00E30895"/>
    <w:rsid w:val="00E31CBE"/>
    <w:rsid w:val="00E31F58"/>
    <w:rsid w:val="00E34F83"/>
    <w:rsid w:val="00E416E2"/>
    <w:rsid w:val="00E47204"/>
    <w:rsid w:val="00E479C6"/>
    <w:rsid w:val="00E5062A"/>
    <w:rsid w:val="00E53285"/>
    <w:rsid w:val="00E5787E"/>
    <w:rsid w:val="00E60681"/>
    <w:rsid w:val="00E60A68"/>
    <w:rsid w:val="00E61A4D"/>
    <w:rsid w:val="00E6354C"/>
    <w:rsid w:val="00E63601"/>
    <w:rsid w:val="00E64ECD"/>
    <w:rsid w:val="00E701BA"/>
    <w:rsid w:val="00E7069D"/>
    <w:rsid w:val="00E70ECC"/>
    <w:rsid w:val="00E75D77"/>
    <w:rsid w:val="00E77EDD"/>
    <w:rsid w:val="00E8168A"/>
    <w:rsid w:val="00E823DC"/>
    <w:rsid w:val="00E82E1E"/>
    <w:rsid w:val="00E84E70"/>
    <w:rsid w:val="00E852BB"/>
    <w:rsid w:val="00E87084"/>
    <w:rsid w:val="00E87B03"/>
    <w:rsid w:val="00E916CA"/>
    <w:rsid w:val="00E92356"/>
    <w:rsid w:val="00E93ABA"/>
    <w:rsid w:val="00E94AED"/>
    <w:rsid w:val="00E97431"/>
    <w:rsid w:val="00E97F16"/>
    <w:rsid w:val="00EA06B3"/>
    <w:rsid w:val="00EA26EC"/>
    <w:rsid w:val="00EA2F8A"/>
    <w:rsid w:val="00EA51C2"/>
    <w:rsid w:val="00EA52D1"/>
    <w:rsid w:val="00EA7B65"/>
    <w:rsid w:val="00EB010D"/>
    <w:rsid w:val="00EB1948"/>
    <w:rsid w:val="00EB27BD"/>
    <w:rsid w:val="00EC1AEE"/>
    <w:rsid w:val="00EC24F4"/>
    <w:rsid w:val="00EC2CDC"/>
    <w:rsid w:val="00EC2EE3"/>
    <w:rsid w:val="00EC5420"/>
    <w:rsid w:val="00ED2B4A"/>
    <w:rsid w:val="00ED56B7"/>
    <w:rsid w:val="00ED58B6"/>
    <w:rsid w:val="00ED5FA0"/>
    <w:rsid w:val="00EE163A"/>
    <w:rsid w:val="00EE215E"/>
    <w:rsid w:val="00EE2721"/>
    <w:rsid w:val="00EE5F1B"/>
    <w:rsid w:val="00EE6097"/>
    <w:rsid w:val="00EF5E50"/>
    <w:rsid w:val="00EF72CB"/>
    <w:rsid w:val="00EF7568"/>
    <w:rsid w:val="00F019B9"/>
    <w:rsid w:val="00F01C68"/>
    <w:rsid w:val="00F0643C"/>
    <w:rsid w:val="00F11640"/>
    <w:rsid w:val="00F11E99"/>
    <w:rsid w:val="00F17885"/>
    <w:rsid w:val="00F2171F"/>
    <w:rsid w:val="00F227E3"/>
    <w:rsid w:val="00F260C3"/>
    <w:rsid w:val="00F271C7"/>
    <w:rsid w:val="00F3240A"/>
    <w:rsid w:val="00F324F8"/>
    <w:rsid w:val="00F40AAE"/>
    <w:rsid w:val="00F43C42"/>
    <w:rsid w:val="00F51D18"/>
    <w:rsid w:val="00F544DC"/>
    <w:rsid w:val="00F54AC2"/>
    <w:rsid w:val="00F5581B"/>
    <w:rsid w:val="00F558C9"/>
    <w:rsid w:val="00F55CA4"/>
    <w:rsid w:val="00F67697"/>
    <w:rsid w:val="00F725FE"/>
    <w:rsid w:val="00F813C5"/>
    <w:rsid w:val="00F8189A"/>
    <w:rsid w:val="00F84F12"/>
    <w:rsid w:val="00F85BA4"/>
    <w:rsid w:val="00F90C6C"/>
    <w:rsid w:val="00F91C66"/>
    <w:rsid w:val="00F93536"/>
    <w:rsid w:val="00F95759"/>
    <w:rsid w:val="00FA1AF5"/>
    <w:rsid w:val="00FA5763"/>
    <w:rsid w:val="00FA6B5D"/>
    <w:rsid w:val="00FB0A04"/>
    <w:rsid w:val="00FB225D"/>
    <w:rsid w:val="00FB2974"/>
    <w:rsid w:val="00FB75E8"/>
    <w:rsid w:val="00FC081B"/>
    <w:rsid w:val="00FC1D20"/>
    <w:rsid w:val="00FC3ED8"/>
    <w:rsid w:val="00FD219E"/>
    <w:rsid w:val="00FD5DB4"/>
    <w:rsid w:val="00FE05BC"/>
    <w:rsid w:val="00FE310C"/>
    <w:rsid w:val="00FE32AE"/>
    <w:rsid w:val="00FE36D3"/>
    <w:rsid w:val="00FE5A84"/>
    <w:rsid w:val="00FE63E0"/>
    <w:rsid w:val="00FF08B3"/>
    <w:rsid w:val="00FF1046"/>
    <w:rsid w:val="00FF55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date"/>
  <w:smartTagType w:namespaceuri="urn:schemas-microsoft-com:office:smarttags" w:name="Street"/>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616B"/>
    <w:pPr>
      <w:suppressAutoHyphens/>
      <w:jc w:val="both"/>
    </w:pPr>
    <w:rPr>
      <w:sz w:val="24"/>
      <w:szCs w:val="24"/>
      <w:lang w:val="fr-FR" w:eastAsia="fr-FR"/>
    </w:rPr>
  </w:style>
  <w:style w:type="paragraph" w:styleId="Heading1">
    <w:name w:val="heading 1"/>
    <w:basedOn w:val="Normal"/>
    <w:next w:val="Normal"/>
    <w:qFormat/>
    <w:rsid w:val="0017616B"/>
    <w:pPr>
      <w:keepNext/>
      <w:spacing w:before="240" w:after="120"/>
      <w:jc w:val="center"/>
      <w:outlineLvl w:val="0"/>
    </w:pPr>
    <w:rPr>
      <w:b/>
      <w:bCs/>
      <w:kern w:val="28"/>
      <w:sz w:val="28"/>
      <w:szCs w:val="28"/>
    </w:rPr>
  </w:style>
  <w:style w:type="paragraph" w:styleId="Heading2">
    <w:name w:val="heading 2"/>
    <w:basedOn w:val="Normal"/>
    <w:next w:val="Normal"/>
    <w:qFormat/>
    <w:rsid w:val="0017616B"/>
    <w:pPr>
      <w:keepNext/>
      <w:spacing w:before="120" w:after="60"/>
      <w:outlineLvl w:val="1"/>
    </w:pPr>
    <w:rPr>
      <w:b/>
      <w:bCs/>
    </w:rPr>
  </w:style>
  <w:style w:type="paragraph" w:styleId="Heading3">
    <w:name w:val="heading 3"/>
    <w:basedOn w:val="Normal"/>
    <w:next w:val="Normal"/>
    <w:qFormat/>
    <w:rsid w:val="0017616B"/>
    <w:pPr>
      <w:keepNext/>
      <w:spacing w:before="60" w:after="60"/>
      <w:ind w:left="284"/>
      <w:outlineLvl w:val="2"/>
    </w:pPr>
    <w:rPr>
      <w:i/>
      <w:iCs/>
    </w:rPr>
  </w:style>
  <w:style w:type="paragraph" w:styleId="Heading4">
    <w:name w:val="heading 4"/>
    <w:basedOn w:val="Normal"/>
    <w:next w:val="Normal"/>
    <w:qFormat/>
    <w:rsid w:val="0017616B"/>
    <w:pPr>
      <w:widowControl w:val="0"/>
      <w:numPr>
        <w:ilvl w:val="3"/>
        <w:numId w:val="1"/>
      </w:numPr>
      <w:outlineLvl w:val="3"/>
    </w:pPr>
    <w:rPr>
      <w:snapToGrid w:val="0"/>
      <w:lang w:val="en-US"/>
    </w:rPr>
  </w:style>
  <w:style w:type="paragraph" w:styleId="Heading5">
    <w:name w:val="heading 5"/>
    <w:basedOn w:val="Normal"/>
    <w:next w:val="Normal"/>
    <w:qFormat/>
    <w:rsid w:val="0017616B"/>
    <w:pPr>
      <w:widowControl w:val="0"/>
      <w:numPr>
        <w:ilvl w:val="4"/>
        <w:numId w:val="1"/>
      </w:numPr>
      <w:outlineLvl w:val="4"/>
    </w:pPr>
    <w:rPr>
      <w:snapToGrid w:val="0"/>
      <w:lang w:val="en-US"/>
    </w:rPr>
  </w:style>
  <w:style w:type="paragraph" w:styleId="Heading6">
    <w:name w:val="heading 6"/>
    <w:basedOn w:val="Normal"/>
    <w:next w:val="Normal"/>
    <w:qFormat/>
    <w:rsid w:val="0017616B"/>
    <w:pPr>
      <w:widowControl w:val="0"/>
      <w:numPr>
        <w:ilvl w:val="5"/>
        <w:numId w:val="1"/>
      </w:numPr>
      <w:outlineLvl w:val="5"/>
    </w:pPr>
    <w:rPr>
      <w:snapToGrid w:val="0"/>
      <w:lang w:val="en-US"/>
    </w:rPr>
  </w:style>
  <w:style w:type="paragraph" w:styleId="Heading7">
    <w:name w:val="heading 7"/>
    <w:basedOn w:val="Normal"/>
    <w:next w:val="Normal"/>
    <w:qFormat/>
    <w:rsid w:val="0017616B"/>
    <w:pPr>
      <w:widowControl w:val="0"/>
      <w:numPr>
        <w:ilvl w:val="6"/>
        <w:numId w:val="1"/>
      </w:numPr>
      <w:outlineLvl w:val="6"/>
    </w:pPr>
    <w:rPr>
      <w:snapToGrid w:val="0"/>
      <w:lang w:val="en-US"/>
    </w:rPr>
  </w:style>
  <w:style w:type="paragraph" w:styleId="Heading8">
    <w:name w:val="heading 8"/>
    <w:basedOn w:val="Normal"/>
    <w:next w:val="Normal"/>
    <w:qFormat/>
    <w:rsid w:val="0017616B"/>
    <w:pPr>
      <w:widowControl w:val="0"/>
      <w:numPr>
        <w:ilvl w:val="7"/>
        <w:numId w:val="1"/>
      </w:numPr>
      <w:outlineLvl w:val="7"/>
    </w:pPr>
    <w:rPr>
      <w:snapToGrid w:val="0"/>
      <w:lang w:val="en-US"/>
    </w:rPr>
  </w:style>
  <w:style w:type="paragraph" w:styleId="Heading9">
    <w:name w:val="heading 9"/>
    <w:basedOn w:val="Normal"/>
    <w:next w:val="Normal"/>
    <w:qFormat/>
    <w:rsid w:val="0017616B"/>
    <w:pPr>
      <w:keepNext/>
      <w:tabs>
        <w:tab w:val="left" w:pos="-1440"/>
        <w:tab w:val="left" w:pos="-720"/>
        <w:tab w:val="left" w:pos="0"/>
        <w:tab w:val="left" w:pos="1056"/>
        <w:tab w:val="left" w:pos="1584"/>
        <w:tab w:val="left" w:pos="2112"/>
        <w:tab w:val="left" w:pos="2880"/>
      </w:tabs>
      <w:ind w:left="-306" w:right="-306"/>
      <w:outlineLvl w:val="8"/>
    </w:pPr>
    <w:rPr>
      <w:i/>
      <w:iCs/>
      <w:spacing w:val="-2"/>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uParaCharCharCharCharCharCharChar">
    <w:name w:val="Ju_Para Char Char Char Char Char Char Char"/>
    <w:basedOn w:val="Normal"/>
    <w:rsid w:val="0017616B"/>
    <w:pPr>
      <w:ind w:firstLine="284"/>
    </w:pPr>
  </w:style>
  <w:style w:type="paragraph" w:customStyle="1" w:styleId="JuHIRoman">
    <w:name w:val="Ju_H_I_Roman"/>
    <w:basedOn w:val="JuHHead"/>
    <w:next w:val="JuParaCharCharCharCharCharCharChar"/>
    <w:rsid w:val="0017616B"/>
    <w:pPr>
      <w:tabs>
        <w:tab w:val="left" w:pos="357"/>
      </w:tabs>
      <w:spacing w:before="360"/>
      <w:ind w:left="357" w:hanging="357"/>
    </w:pPr>
    <w:rPr>
      <w:sz w:val="24"/>
      <w:szCs w:val="24"/>
    </w:rPr>
  </w:style>
  <w:style w:type="paragraph" w:customStyle="1" w:styleId="JuHHead">
    <w:name w:val="Ju_H_Head"/>
    <w:basedOn w:val="Normal"/>
    <w:next w:val="JuParaCharCharCharCharCharCharChar"/>
    <w:rsid w:val="0017616B"/>
    <w:pPr>
      <w:spacing w:before="720" w:after="240"/>
    </w:pPr>
    <w:rPr>
      <w:sz w:val="28"/>
      <w:szCs w:val="28"/>
    </w:rPr>
  </w:style>
  <w:style w:type="paragraph" w:styleId="Footer">
    <w:name w:val="footer"/>
    <w:basedOn w:val="Normal"/>
    <w:rsid w:val="0017616B"/>
    <w:pPr>
      <w:tabs>
        <w:tab w:val="center" w:pos="3686"/>
        <w:tab w:val="right" w:pos="7371"/>
      </w:tabs>
    </w:pPr>
  </w:style>
  <w:style w:type="paragraph" w:customStyle="1" w:styleId="JuJudges">
    <w:name w:val="Ju_Judges"/>
    <w:basedOn w:val="Normal"/>
    <w:rsid w:val="0017616B"/>
    <w:pPr>
      <w:tabs>
        <w:tab w:val="left" w:pos="567"/>
        <w:tab w:val="left" w:pos="1134"/>
      </w:tabs>
      <w:jc w:val="left"/>
    </w:pPr>
  </w:style>
  <w:style w:type="character" w:customStyle="1" w:styleId="JuNames">
    <w:name w:val="Ju_Names"/>
    <w:basedOn w:val="DefaultParagraphFont"/>
    <w:rsid w:val="0017616B"/>
    <w:rPr>
      <w:rFonts w:ascii="Times New Roman" w:hAnsi="Times New Roman" w:cs="Times New Roman"/>
      <w:smallCaps/>
      <w:sz w:val="24"/>
      <w:szCs w:val="24"/>
      <w:vertAlign w:val="baseline"/>
      <w:lang w:val="fr-FR"/>
    </w:rPr>
  </w:style>
  <w:style w:type="paragraph" w:customStyle="1" w:styleId="JuHA">
    <w:name w:val="Ju_H_A"/>
    <w:basedOn w:val="JuHIRoman"/>
    <w:next w:val="JuParaCharCharCharCharCharCharChar"/>
    <w:rsid w:val="0017616B"/>
    <w:pPr>
      <w:tabs>
        <w:tab w:val="left" w:pos="584"/>
      </w:tabs>
      <w:ind w:left="584" w:hanging="352"/>
    </w:pPr>
    <w:rPr>
      <w:b/>
      <w:bCs/>
    </w:rPr>
  </w:style>
  <w:style w:type="paragraph" w:customStyle="1" w:styleId="JuQuot">
    <w:name w:val="Ju_Quot"/>
    <w:basedOn w:val="JuParaCharCharCharCharCharCharChar"/>
    <w:rsid w:val="0017616B"/>
    <w:pPr>
      <w:spacing w:before="120" w:after="120"/>
      <w:ind w:left="403" w:firstLine="176"/>
    </w:pPr>
    <w:rPr>
      <w:sz w:val="20"/>
      <w:szCs w:val="20"/>
    </w:rPr>
  </w:style>
  <w:style w:type="paragraph" w:customStyle="1" w:styleId="JuSigned">
    <w:name w:val="Ju_Signed"/>
    <w:basedOn w:val="Normal"/>
    <w:next w:val="JuParaLast"/>
    <w:rsid w:val="0017616B"/>
    <w:pPr>
      <w:tabs>
        <w:tab w:val="center" w:pos="851"/>
        <w:tab w:val="center" w:pos="6521"/>
      </w:tabs>
      <w:spacing w:before="720"/>
      <w:jc w:val="left"/>
    </w:pPr>
  </w:style>
  <w:style w:type="paragraph" w:customStyle="1" w:styleId="JuParaLast">
    <w:name w:val="Ju_Para_Last"/>
    <w:basedOn w:val="JuParaCharCharCharCharCharCharChar"/>
    <w:next w:val="JuParaCharCharCharCharCharCharChar"/>
    <w:rsid w:val="0017616B"/>
    <w:pPr>
      <w:spacing w:before="240"/>
      <w:ind w:firstLine="288"/>
    </w:pPr>
  </w:style>
  <w:style w:type="paragraph" w:customStyle="1" w:styleId="JuCase">
    <w:name w:val="Ju_Case"/>
    <w:basedOn w:val="JuParaCharCharCharCharCharCharChar"/>
    <w:next w:val="JuParaCharCharCharCharCharCharChar"/>
    <w:rsid w:val="0017616B"/>
    <w:rPr>
      <w:b/>
      <w:bCs/>
    </w:rPr>
  </w:style>
  <w:style w:type="paragraph" w:customStyle="1" w:styleId="JuList">
    <w:name w:val="Ju_List"/>
    <w:basedOn w:val="JuParaCharCharCharCharCharCharChar"/>
    <w:rsid w:val="0017616B"/>
    <w:pPr>
      <w:tabs>
        <w:tab w:val="left" w:pos="340"/>
      </w:tabs>
      <w:ind w:left="340" w:hanging="340"/>
    </w:pPr>
  </w:style>
  <w:style w:type="paragraph" w:customStyle="1" w:styleId="JuHArticle">
    <w:name w:val="Ju_H_Article"/>
    <w:basedOn w:val="JuHa0"/>
    <w:next w:val="JuQuot"/>
    <w:rsid w:val="0017616B"/>
    <w:pPr>
      <w:ind w:left="0" w:firstLine="0"/>
      <w:jc w:val="center"/>
    </w:pPr>
  </w:style>
  <w:style w:type="paragraph" w:customStyle="1" w:styleId="JuHa0">
    <w:name w:val="Ju_H_a"/>
    <w:basedOn w:val="JuHA"/>
    <w:next w:val="JuParaCharCharCharCharCharCharChar"/>
    <w:rsid w:val="0017616B"/>
    <w:pPr>
      <w:tabs>
        <w:tab w:val="clear" w:pos="584"/>
        <w:tab w:val="left" w:pos="907"/>
      </w:tabs>
      <w:spacing w:before="240" w:after="120"/>
      <w:ind w:left="907" w:hanging="272"/>
    </w:pPr>
    <w:rPr>
      <w:sz w:val="20"/>
      <w:szCs w:val="20"/>
    </w:rPr>
  </w:style>
  <w:style w:type="paragraph" w:customStyle="1" w:styleId="JuQuotList">
    <w:name w:val="Ju_Quot_List"/>
    <w:basedOn w:val="JuQuot"/>
    <w:rsid w:val="0017616B"/>
    <w:pPr>
      <w:tabs>
        <w:tab w:val="left" w:pos="1021"/>
      </w:tabs>
      <w:ind w:left="567" w:firstLine="0"/>
    </w:pPr>
  </w:style>
  <w:style w:type="paragraph" w:customStyle="1" w:styleId="JuCourt">
    <w:name w:val="Ju_Court"/>
    <w:basedOn w:val="JuJudges"/>
    <w:rsid w:val="0017616B"/>
    <w:pPr>
      <w:tabs>
        <w:tab w:val="clear" w:pos="567"/>
        <w:tab w:val="clear" w:pos="1134"/>
        <w:tab w:val="left" w:pos="907"/>
        <w:tab w:val="left" w:pos="1701"/>
        <w:tab w:val="right" w:pos="7371"/>
      </w:tabs>
      <w:spacing w:before="240"/>
      <w:ind w:left="397" w:hanging="397"/>
    </w:pPr>
  </w:style>
  <w:style w:type="paragraph" w:customStyle="1" w:styleId="OpiHHead">
    <w:name w:val="Opi_H_Head"/>
    <w:basedOn w:val="JuHHead"/>
    <w:next w:val="OpiPara"/>
    <w:rsid w:val="0017616B"/>
    <w:pPr>
      <w:spacing w:before="0"/>
      <w:jc w:val="center"/>
    </w:pPr>
  </w:style>
  <w:style w:type="paragraph" w:customStyle="1" w:styleId="OpiPara">
    <w:name w:val="Opi_Para"/>
    <w:basedOn w:val="JuParaCharCharCharCharCharCharChar"/>
    <w:rsid w:val="0017616B"/>
  </w:style>
  <w:style w:type="paragraph" w:customStyle="1" w:styleId="OpiTranslation">
    <w:name w:val="Opi_Translation"/>
    <w:basedOn w:val="OpiHHead"/>
    <w:next w:val="OpiPara"/>
    <w:rsid w:val="0017616B"/>
    <w:rPr>
      <w:sz w:val="24"/>
      <w:szCs w:val="24"/>
    </w:rPr>
  </w:style>
  <w:style w:type="paragraph" w:customStyle="1" w:styleId="OpiQuot">
    <w:name w:val="Opi_Quot"/>
    <w:basedOn w:val="JuQuot"/>
    <w:rsid w:val="0017616B"/>
  </w:style>
  <w:style w:type="paragraph" w:customStyle="1" w:styleId="OpiHA">
    <w:name w:val="Opi_H_A"/>
    <w:basedOn w:val="JuHIRoman"/>
    <w:next w:val="OpiPara"/>
    <w:rsid w:val="0017616B"/>
    <w:rPr>
      <w:b/>
      <w:bCs/>
    </w:rPr>
  </w:style>
  <w:style w:type="paragraph" w:customStyle="1" w:styleId="OpiH1">
    <w:name w:val="Opi_H_1."/>
    <w:basedOn w:val="OpiHA"/>
    <w:next w:val="OpiPara"/>
    <w:rsid w:val="0017616B"/>
    <w:pPr>
      <w:spacing w:before="240" w:after="120"/>
      <w:ind w:left="635"/>
    </w:pPr>
    <w:rPr>
      <w:b w:val="0"/>
      <w:bCs w:val="0"/>
      <w:i/>
      <w:iCs/>
    </w:rPr>
  </w:style>
  <w:style w:type="paragraph" w:customStyle="1" w:styleId="JuH1">
    <w:name w:val="Ju_H_1."/>
    <w:basedOn w:val="JuHA"/>
    <w:next w:val="JuParaCharCharCharCharCharCharChar"/>
    <w:rsid w:val="0017616B"/>
    <w:pPr>
      <w:tabs>
        <w:tab w:val="left" w:pos="731"/>
      </w:tabs>
      <w:spacing w:before="240" w:after="120"/>
      <w:ind w:left="732" w:hanging="301"/>
    </w:pPr>
    <w:rPr>
      <w:b w:val="0"/>
      <w:bCs w:val="0"/>
      <w:i/>
      <w:iCs/>
    </w:rPr>
  </w:style>
  <w:style w:type="paragraph" w:styleId="FootnoteText">
    <w:name w:val="footnote text"/>
    <w:basedOn w:val="Normal"/>
    <w:semiHidden/>
    <w:rsid w:val="0017616B"/>
    <w:rPr>
      <w:sz w:val="20"/>
      <w:szCs w:val="20"/>
    </w:rPr>
  </w:style>
  <w:style w:type="character" w:styleId="FootnoteReference">
    <w:name w:val="footnote reference"/>
    <w:basedOn w:val="DefaultParagraphFont"/>
    <w:semiHidden/>
    <w:rsid w:val="0017616B"/>
    <w:rPr>
      <w:vertAlign w:val="superscript"/>
    </w:rPr>
  </w:style>
  <w:style w:type="paragraph" w:customStyle="1" w:styleId="JuHi">
    <w:name w:val="Ju_H_i"/>
    <w:basedOn w:val="JuHa0"/>
    <w:next w:val="JuParaCharCharCharCharCharCharChar"/>
    <w:rsid w:val="0017616B"/>
    <w:pPr>
      <w:tabs>
        <w:tab w:val="clear" w:pos="907"/>
        <w:tab w:val="left" w:pos="1111"/>
      </w:tabs>
      <w:ind w:left="1111" w:hanging="278"/>
    </w:pPr>
    <w:rPr>
      <w:b w:val="0"/>
      <w:bCs w:val="0"/>
      <w:i/>
      <w:iCs/>
    </w:rPr>
  </w:style>
  <w:style w:type="paragraph" w:styleId="Header">
    <w:name w:val="header"/>
    <w:basedOn w:val="Normal"/>
    <w:rsid w:val="0017616B"/>
    <w:pPr>
      <w:tabs>
        <w:tab w:val="center" w:pos="3686"/>
        <w:tab w:val="right" w:pos="7371"/>
      </w:tabs>
    </w:pPr>
  </w:style>
  <w:style w:type="character" w:styleId="PageNumber">
    <w:name w:val="page number"/>
    <w:basedOn w:val="DefaultParagraphFont"/>
    <w:rsid w:val="0017616B"/>
  </w:style>
  <w:style w:type="paragraph" w:customStyle="1" w:styleId="JuLista">
    <w:name w:val="Ju_List_a"/>
    <w:basedOn w:val="JuList"/>
    <w:rsid w:val="0017616B"/>
    <w:pPr>
      <w:tabs>
        <w:tab w:val="left" w:pos="691"/>
      </w:tabs>
      <w:ind w:left="346" w:firstLine="0"/>
    </w:pPr>
  </w:style>
  <w:style w:type="paragraph" w:customStyle="1" w:styleId="JuHalpha">
    <w:name w:val="Ju_H_alpha"/>
    <w:basedOn w:val="JuHi"/>
    <w:next w:val="JuParaCharCharCharCharCharCharChar"/>
    <w:rsid w:val="0017616B"/>
    <w:pPr>
      <w:tabs>
        <w:tab w:val="left" w:pos="1304"/>
      </w:tabs>
      <w:ind w:left="1304" w:hanging="266"/>
    </w:pPr>
    <w:rPr>
      <w:i w:val="0"/>
      <w:iCs w:val="0"/>
    </w:rPr>
  </w:style>
  <w:style w:type="paragraph" w:customStyle="1" w:styleId="JuListi">
    <w:name w:val="Ju_List_i"/>
    <w:basedOn w:val="JuLista"/>
    <w:rsid w:val="0017616B"/>
    <w:pPr>
      <w:tabs>
        <w:tab w:val="clear" w:pos="340"/>
        <w:tab w:val="clear" w:pos="691"/>
        <w:tab w:val="left" w:pos="686"/>
        <w:tab w:val="right" w:pos="992"/>
        <w:tab w:val="left" w:pos="1134"/>
      </w:tabs>
      <w:ind w:left="692"/>
    </w:pPr>
  </w:style>
  <w:style w:type="paragraph" w:customStyle="1" w:styleId="OpiHa0">
    <w:name w:val="Opi_H_a"/>
    <w:basedOn w:val="OpiHA"/>
    <w:next w:val="OpiPara"/>
    <w:rsid w:val="0017616B"/>
    <w:pPr>
      <w:spacing w:before="240" w:after="120"/>
      <w:ind w:left="834"/>
    </w:pPr>
    <w:rPr>
      <w:sz w:val="20"/>
      <w:szCs w:val="20"/>
    </w:rPr>
  </w:style>
  <w:style w:type="paragraph" w:customStyle="1" w:styleId="OpiHi">
    <w:name w:val="Opi_H_i"/>
    <w:basedOn w:val="OpiHa0"/>
    <w:next w:val="OpiPara"/>
    <w:rsid w:val="0017616B"/>
    <w:pPr>
      <w:ind w:left="1038"/>
    </w:pPr>
    <w:rPr>
      <w:b w:val="0"/>
      <w:bCs w:val="0"/>
      <w:i/>
      <w:iCs/>
    </w:rPr>
  </w:style>
  <w:style w:type="paragraph" w:customStyle="1" w:styleId="JuH">
    <w:name w:val="Ju_H_–"/>
    <w:basedOn w:val="JuHalpha"/>
    <w:next w:val="JuParaCharCharCharCharCharCharChar"/>
    <w:rsid w:val="0017616B"/>
    <w:pPr>
      <w:tabs>
        <w:tab w:val="left" w:pos="1446"/>
      </w:tabs>
      <w:ind w:left="1446" w:hanging="210"/>
    </w:pPr>
    <w:rPr>
      <w:i/>
      <w:iCs/>
    </w:rPr>
  </w:style>
  <w:style w:type="character" w:styleId="CommentReference">
    <w:name w:val="annotation reference"/>
    <w:basedOn w:val="DefaultParagraphFont"/>
    <w:semiHidden/>
    <w:rsid w:val="0017616B"/>
    <w:rPr>
      <w:sz w:val="16"/>
      <w:szCs w:val="16"/>
    </w:rPr>
  </w:style>
  <w:style w:type="paragraph" w:styleId="CommentText">
    <w:name w:val="annotation text"/>
    <w:basedOn w:val="Normal"/>
    <w:semiHidden/>
    <w:rsid w:val="0017616B"/>
    <w:rPr>
      <w:sz w:val="20"/>
      <w:szCs w:val="20"/>
    </w:rPr>
  </w:style>
  <w:style w:type="paragraph" w:customStyle="1" w:styleId="JuInitialled">
    <w:name w:val="Ju_Initialled"/>
    <w:basedOn w:val="JuSigned"/>
    <w:rsid w:val="0017616B"/>
    <w:pPr>
      <w:tabs>
        <w:tab w:val="clear" w:pos="851"/>
        <w:tab w:val="clear" w:pos="6521"/>
      </w:tabs>
      <w:jc w:val="right"/>
    </w:pPr>
  </w:style>
  <w:style w:type="paragraph" w:customStyle="1" w:styleId="JuHeader">
    <w:name w:val="Ju_Header"/>
    <w:basedOn w:val="Header"/>
    <w:rsid w:val="0017616B"/>
    <w:pPr>
      <w:jc w:val="left"/>
    </w:pPr>
    <w:rPr>
      <w:sz w:val="18"/>
      <w:szCs w:val="18"/>
    </w:rPr>
  </w:style>
  <w:style w:type="paragraph" w:customStyle="1" w:styleId="OpiCommission">
    <w:name w:val="Opi_Commission"/>
    <w:basedOn w:val="JuJudges"/>
    <w:rsid w:val="0017616B"/>
    <w:pPr>
      <w:tabs>
        <w:tab w:val="clear" w:pos="567"/>
        <w:tab w:val="clear" w:pos="1134"/>
        <w:tab w:val="left" w:pos="1814"/>
        <w:tab w:val="left" w:pos="2381"/>
        <w:tab w:val="left" w:pos="3119"/>
      </w:tabs>
      <w:ind w:left="1418"/>
    </w:pPr>
    <w:rPr>
      <w:sz w:val="20"/>
      <w:szCs w:val="20"/>
    </w:rPr>
  </w:style>
  <w:style w:type="paragraph" w:customStyle="1" w:styleId="OpiConclusion">
    <w:name w:val="Opi_Conclusion"/>
    <w:basedOn w:val="OpiPara"/>
    <w:next w:val="OpiPara"/>
    <w:rsid w:val="0017616B"/>
    <w:pPr>
      <w:spacing w:before="360" w:after="120"/>
      <w:ind w:firstLine="0"/>
    </w:pPr>
    <w:rPr>
      <w:i/>
      <w:iCs/>
    </w:rPr>
  </w:style>
  <w:style w:type="paragraph" w:customStyle="1" w:styleId="OpiHCommission">
    <w:name w:val="Opi_H_Commission"/>
    <w:basedOn w:val="OpiTranslation"/>
    <w:next w:val="OpiPara"/>
    <w:rsid w:val="0017616B"/>
    <w:pPr>
      <w:spacing w:before="480"/>
      <w:ind w:left="1418"/>
      <w:jc w:val="left"/>
    </w:pPr>
    <w:rPr>
      <w:sz w:val="20"/>
      <w:szCs w:val="20"/>
    </w:rPr>
  </w:style>
  <w:style w:type="paragraph" w:customStyle="1" w:styleId="OpiHOpinion">
    <w:name w:val="Opi_H_Opinion"/>
    <w:basedOn w:val="OpiHHead"/>
    <w:next w:val="OpiPara"/>
    <w:rsid w:val="0017616B"/>
    <w:pPr>
      <w:spacing w:before="240"/>
    </w:pPr>
    <w:rPr>
      <w:b/>
      <w:bCs/>
    </w:rPr>
  </w:style>
  <w:style w:type="paragraph" w:customStyle="1" w:styleId="OpiList">
    <w:name w:val="Opi_List"/>
    <w:basedOn w:val="JuList"/>
    <w:rsid w:val="0017616B"/>
  </w:style>
  <w:style w:type="character" w:customStyle="1" w:styleId="OpiNames">
    <w:name w:val="Opi_Names"/>
    <w:basedOn w:val="JuNames"/>
    <w:rsid w:val="0017616B"/>
    <w:rPr>
      <w:rFonts w:ascii="Times New Roman" w:hAnsi="Times New Roman" w:cs="Times New Roman"/>
      <w:smallCaps/>
      <w:sz w:val="20"/>
      <w:szCs w:val="20"/>
      <w:vertAlign w:val="baseline"/>
      <w:lang w:val="fr-FR"/>
    </w:rPr>
  </w:style>
  <w:style w:type="character" w:customStyle="1" w:styleId="OpiNamesSignature">
    <w:name w:val="Opi_Names_Signature"/>
    <w:basedOn w:val="JuNames"/>
    <w:rsid w:val="0017616B"/>
    <w:rPr>
      <w:rFonts w:ascii="Times New Roman" w:hAnsi="Times New Roman" w:cs="Times New Roman"/>
      <w:smallCaps/>
      <w:sz w:val="24"/>
      <w:szCs w:val="24"/>
      <w:vertAlign w:val="baseline"/>
      <w:lang w:val="fr-FR"/>
    </w:rPr>
  </w:style>
  <w:style w:type="paragraph" w:customStyle="1" w:styleId="OpiQuotList">
    <w:name w:val="Opi_Quot_List"/>
    <w:basedOn w:val="JuQuotList"/>
    <w:rsid w:val="0017616B"/>
  </w:style>
  <w:style w:type="paragraph" w:customStyle="1" w:styleId="OpiSigned">
    <w:name w:val="Opi_Signed"/>
    <w:basedOn w:val="JuSigned"/>
    <w:rsid w:val="0017616B"/>
    <w:pPr>
      <w:tabs>
        <w:tab w:val="clear" w:pos="851"/>
        <w:tab w:val="clear" w:pos="6521"/>
        <w:tab w:val="center" w:pos="1418"/>
        <w:tab w:val="center" w:pos="5954"/>
      </w:tabs>
    </w:pPr>
  </w:style>
  <w:style w:type="paragraph" w:customStyle="1" w:styleId="DecHTitle">
    <w:name w:val="Dec_H_Title"/>
    <w:basedOn w:val="Normal"/>
    <w:rsid w:val="0017616B"/>
    <w:pPr>
      <w:spacing w:after="240"/>
      <w:jc w:val="center"/>
    </w:pPr>
    <w:rPr>
      <w:sz w:val="28"/>
      <w:szCs w:val="28"/>
    </w:rPr>
  </w:style>
  <w:style w:type="paragraph" w:customStyle="1" w:styleId="DecHCase">
    <w:name w:val="Dec_H_Case"/>
    <w:basedOn w:val="DecHTitle"/>
    <w:next w:val="JuParaCharCharCharCharCharCharChar"/>
    <w:rsid w:val="0017616B"/>
    <w:rPr>
      <w:sz w:val="24"/>
      <w:szCs w:val="24"/>
    </w:rPr>
  </w:style>
  <w:style w:type="paragraph" w:customStyle="1" w:styleId="DecList">
    <w:name w:val="Dec_List"/>
    <w:basedOn w:val="Normal"/>
    <w:rsid w:val="0017616B"/>
    <w:pPr>
      <w:spacing w:before="240"/>
      <w:ind w:left="284"/>
    </w:pPr>
  </w:style>
  <w:style w:type="paragraph" w:customStyle="1" w:styleId="SuCoverTitle1">
    <w:name w:val="Su_Cover_Title1"/>
    <w:basedOn w:val="Normal"/>
    <w:next w:val="SuCoverTitle2"/>
    <w:rsid w:val="0017616B"/>
    <w:pPr>
      <w:spacing w:before="2500"/>
      <w:jc w:val="center"/>
    </w:pPr>
    <w:rPr>
      <w:sz w:val="22"/>
      <w:szCs w:val="22"/>
    </w:rPr>
  </w:style>
  <w:style w:type="paragraph" w:customStyle="1" w:styleId="SuCoverTitle2">
    <w:name w:val="Su_Cover_Title2"/>
    <w:basedOn w:val="SuCoverTitle1"/>
    <w:rsid w:val="0017616B"/>
    <w:pPr>
      <w:spacing w:before="240"/>
    </w:pPr>
    <w:rPr>
      <w:sz w:val="18"/>
      <w:szCs w:val="18"/>
    </w:rPr>
  </w:style>
  <w:style w:type="paragraph" w:customStyle="1" w:styleId="JuQuotSub">
    <w:name w:val="Ju_Quot_Sub"/>
    <w:basedOn w:val="JuQuot"/>
    <w:rsid w:val="0017616B"/>
    <w:pPr>
      <w:ind w:firstLine="459"/>
    </w:pPr>
  </w:style>
  <w:style w:type="paragraph" w:customStyle="1" w:styleId="JuParaSub">
    <w:name w:val="Ju_Para_Sub"/>
    <w:basedOn w:val="JuParaCharCharCharCharCharCharChar"/>
    <w:rsid w:val="0017616B"/>
    <w:pPr>
      <w:ind w:firstLine="567"/>
    </w:pPr>
  </w:style>
  <w:style w:type="paragraph" w:customStyle="1" w:styleId="SuPara">
    <w:name w:val="Su_Para"/>
    <w:basedOn w:val="SuKeywords"/>
    <w:rsid w:val="0017616B"/>
    <w:pPr>
      <w:spacing w:before="0" w:after="0"/>
    </w:pPr>
    <w:rPr>
      <w:i w:val="0"/>
      <w:iCs w:val="0"/>
    </w:rPr>
  </w:style>
  <w:style w:type="paragraph" w:customStyle="1" w:styleId="SuKeywords">
    <w:name w:val="Su_Keywords"/>
    <w:basedOn w:val="SuHHead"/>
    <w:rsid w:val="0017616B"/>
    <w:pPr>
      <w:spacing w:before="120"/>
    </w:pPr>
    <w:rPr>
      <w:b w:val="0"/>
      <w:bCs w:val="0"/>
      <w:i/>
      <w:iCs/>
    </w:rPr>
  </w:style>
  <w:style w:type="paragraph" w:customStyle="1" w:styleId="SuHHead">
    <w:name w:val="Su_H_Head"/>
    <w:basedOn w:val="SuSubject"/>
    <w:rsid w:val="0017616B"/>
    <w:pPr>
      <w:spacing w:after="120"/>
    </w:pPr>
  </w:style>
  <w:style w:type="paragraph" w:customStyle="1" w:styleId="SuSubject">
    <w:name w:val="Su_Subject"/>
    <w:basedOn w:val="SuSummary"/>
    <w:rsid w:val="0017616B"/>
    <w:pPr>
      <w:spacing w:before="360"/>
      <w:jc w:val="both"/>
    </w:pPr>
    <w:rPr>
      <w:b/>
      <w:bCs/>
      <w:sz w:val="22"/>
      <w:szCs w:val="22"/>
    </w:rPr>
  </w:style>
  <w:style w:type="paragraph" w:customStyle="1" w:styleId="SuSummary">
    <w:name w:val="Su_Summary"/>
    <w:basedOn w:val="Normal"/>
    <w:next w:val="SuSubject"/>
    <w:rsid w:val="0017616B"/>
    <w:pPr>
      <w:spacing w:after="240"/>
      <w:jc w:val="center"/>
    </w:pPr>
  </w:style>
  <w:style w:type="paragraph" w:styleId="CommentSubject">
    <w:name w:val="annotation subject"/>
    <w:basedOn w:val="CommentText"/>
    <w:next w:val="CommentText"/>
    <w:semiHidden/>
    <w:rsid w:val="0017616B"/>
    <w:rPr>
      <w:b/>
      <w:bCs/>
    </w:rPr>
  </w:style>
  <w:style w:type="paragraph" w:styleId="HTMLPreformatted">
    <w:name w:val="HTML Preformatted"/>
    <w:basedOn w:val="Normal"/>
    <w:rsid w:val="00176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sz w:val="20"/>
      <w:szCs w:val="20"/>
    </w:rPr>
  </w:style>
  <w:style w:type="paragraph" w:styleId="BalloonText">
    <w:name w:val="Balloon Text"/>
    <w:basedOn w:val="Normal"/>
    <w:semiHidden/>
    <w:rsid w:val="0017616B"/>
    <w:rPr>
      <w:sz w:val="16"/>
      <w:szCs w:val="16"/>
    </w:rPr>
  </w:style>
  <w:style w:type="paragraph" w:customStyle="1" w:styleId="juparaCharChar">
    <w:name w:val="jupara Char Char"/>
    <w:basedOn w:val="Normal"/>
    <w:rsid w:val="0017616B"/>
    <w:pPr>
      <w:suppressAutoHyphens w:val="0"/>
      <w:ind w:firstLine="284"/>
    </w:pPr>
  </w:style>
  <w:style w:type="paragraph" w:customStyle="1" w:styleId="juquot0">
    <w:name w:val="juquot"/>
    <w:basedOn w:val="Normal"/>
    <w:rsid w:val="0017616B"/>
    <w:pPr>
      <w:suppressAutoHyphens w:val="0"/>
      <w:spacing w:before="120" w:after="120"/>
      <w:ind w:left="403" w:firstLine="176"/>
    </w:pPr>
    <w:rPr>
      <w:sz w:val="20"/>
      <w:szCs w:val="20"/>
    </w:rPr>
  </w:style>
  <w:style w:type="paragraph" w:styleId="NormalWeb">
    <w:name w:val="Normal (Web)"/>
    <w:basedOn w:val="Normal"/>
    <w:rsid w:val="0017616B"/>
    <w:pPr>
      <w:suppressAutoHyphens w:val="0"/>
      <w:spacing w:before="100" w:beforeAutospacing="1" w:after="100" w:afterAutospacing="1"/>
      <w:jc w:val="left"/>
    </w:pPr>
  </w:style>
  <w:style w:type="character" w:customStyle="1" w:styleId="juparaCharCharChar">
    <w:name w:val="jupara Char Char Char"/>
    <w:basedOn w:val="DefaultParagraphFont"/>
    <w:rsid w:val="0017616B"/>
    <w:rPr>
      <w:sz w:val="24"/>
      <w:szCs w:val="24"/>
      <w:lang w:val="fr-FR"/>
    </w:rPr>
  </w:style>
  <w:style w:type="character" w:customStyle="1" w:styleId="JuParaCharCharCharCharCharCharCharChar">
    <w:name w:val="Ju_Para Char Char Char Char Char Char Char Char"/>
    <w:basedOn w:val="DefaultParagraphFont"/>
    <w:rsid w:val="0017616B"/>
    <w:rPr>
      <w:sz w:val="24"/>
      <w:szCs w:val="24"/>
      <w:lang w:val="fr-FR"/>
    </w:rPr>
  </w:style>
  <w:style w:type="paragraph" w:customStyle="1" w:styleId="JuParaCharCharChar0">
    <w:name w:val="Ju_Para Char Char Char"/>
    <w:basedOn w:val="Normal"/>
    <w:link w:val="JuParaCharCharCharChar1"/>
    <w:rsid w:val="0017616B"/>
    <w:pPr>
      <w:ind w:firstLine="284"/>
    </w:pPr>
  </w:style>
  <w:style w:type="character" w:customStyle="1" w:styleId="JuParaCharCharCharChar">
    <w:name w:val="Ju_Para Char Char Char Char"/>
    <w:basedOn w:val="DefaultParagraphFont"/>
    <w:rsid w:val="0017616B"/>
    <w:rPr>
      <w:sz w:val="24"/>
      <w:szCs w:val="24"/>
      <w:lang w:val="fr-FR"/>
    </w:rPr>
  </w:style>
  <w:style w:type="paragraph" w:customStyle="1" w:styleId="story-body">
    <w:name w:val="story-body"/>
    <w:basedOn w:val="Normal"/>
    <w:rsid w:val="0017616B"/>
    <w:pPr>
      <w:suppressAutoHyphens w:val="0"/>
      <w:spacing w:before="100" w:beforeAutospacing="1" w:after="100" w:afterAutospacing="1"/>
      <w:jc w:val="left"/>
    </w:pPr>
    <w:rPr>
      <w:sz w:val="22"/>
      <w:szCs w:val="22"/>
    </w:rPr>
  </w:style>
  <w:style w:type="character" w:customStyle="1" w:styleId="JuParaCharCharChar1">
    <w:name w:val="Ju_Para Char Char Char1"/>
    <w:basedOn w:val="DefaultParagraphFont"/>
    <w:rsid w:val="0017616B"/>
    <w:rPr>
      <w:sz w:val="24"/>
      <w:szCs w:val="24"/>
      <w:lang w:val="fr-FR"/>
    </w:rPr>
  </w:style>
  <w:style w:type="character" w:customStyle="1" w:styleId="tw4winMark">
    <w:name w:val="tw4winMark"/>
    <w:rsid w:val="0017616B"/>
    <w:rPr>
      <w:rFonts w:ascii="Courier New" w:hAnsi="Courier New" w:cs="Courier New"/>
      <w:vanish/>
      <w:color w:val="800080"/>
      <w:sz w:val="24"/>
      <w:szCs w:val="24"/>
      <w:vertAlign w:val="subscript"/>
    </w:rPr>
  </w:style>
  <w:style w:type="character" w:customStyle="1" w:styleId="tw4winError">
    <w:name w:val="tw4winError"/>
    <w:rsid w:val="0017616B"/>
    <w:rPr>
      <w:rFonts w:ascii="Courier New" w:hAnsi="Courier New" w:cs="Courier New"/>
      <w:color w:val="00FF00"/>
      <w:sz w:val="40"/>
      <w:szCs w:val="40"/>
    </w:rPr>
  </w:style>
  <w:style w:type="character" w:customStyle="1" w:styleId="tw4winTerm">
    <w:name w:val="tw4winTerm"/>
    <w:rsid w:val="0017616B"/>
    <w:rPr>
      <w:color w:val="0000FF"/>
    </w:rPr>
  </w:style>
  <w:style w:type="character" w:customStyle="1" w:styleId="tw4winPopup">
    <w:name w:val="tw4winPopup"/>
    <w:rsid w:val="0017616B"/>
    <w:rPr>
      <w:rFonts w:ascii="Courier New" w:hAnsi="Courier New" w:cs="Courier New"/>
      <w:noProof/>
      <w:color w:val="008000"/>
    </w:rPr>
  </w:style>
  <w:style w:type="character" w:customStyle="1" w:styleId="tw4winJump">
    <w:name w:val="tw4winJump"/>
    <w:rsid w:val="0017616B"/>
    <w:rPr>
      <w:rFonts w:ascii="Courier New" w:hAnsi="Courier New" w:cs="Courier New"/>
      <w:noProof/>
      <w:color w:val="008080"/>
    </w:rPr>
  </w:style>
  <w:style w:type="character" w:customStyle="1" w:styleId="tw4winExternal">
    <w:name w:val="tw4winExternal"/>
    <w:rsid w:val="0017616B"/>
    <w:rPr>
      <w:rFonts w:ascii="Courier New" w:hAnsi="Courier New" w:cs="Courier New"/>
      <w:noProof/>
      <w:color w:val="808080"/>
    </w:rPr>
  </w:style>
  <w:style w:type="character" w:customStyle="1" w:styleId="tw4winInternal">
    <w:name w:val="tw4winInternal"/>
    <w:rsid w:val="0017616B"/>
    <w:rPr>
      <w:rFonts w:ascii="Courier New" w:hAnsi="Courier New" w:cs="Courier New"/>
      <w:noProof/>
      <w:color w:val="FF0000"/>
    </w:rPr>
  </w:style>
  <w:style w:type="character" w:customStyle="1" w:styleId="DONOTTRANSLATE">
    <w:name w:val="DO_NOT_TRANSLATE"/>
    <w:rsid w:val="0017616B"/>
    <w:rPr>
      <w:rFonts w:ascii="Courier New" w:hAnsi="Courier New" w:cs="Courier New"/>
      <w:noProof/>
      <w:color w:val="800000"/>
    </w:rPr>
  </w:style>
  <w:style w:type="paragraph" w:customStyle="1" w:styleId="JuParaChar">
    <w:name w:val="Ju_Para Char"/>
    <w:basedOn w:val="Normal"/>
    <w:link w:val="JuParaCharChar1"/>
    <w:rsid w:val="00AA2321"/>
    <w:pPr>
      <w:ind w:firstLine="284"/>
    </w:pPr>
    <w:rPr>
      <w:szCs w:val="20"/>
      <w:lang w:val="en-GB" w:eastAsia="en-US"/>
    </w:rPr>
  </w:style>
  <w:style w:type="character" w:customStyle="1" w:styleId="JuParaCharChar1">
    <w:name w:val="Ju_Para Char Char1"/>
    <w:basedOn w:val="DefaultParagraphFont"/>
    <w:link w:val="JuParaChar"/>
    <w:rsid w:val="009F1000"/>
    <w:rPr>
      <w:sz w:val="24"/>
      <w:lang w:val="en-GB" w:eastAsia="en-US" w:bidi="ar-SA"/>
    </w:rPr>
  </w:style>
  <w:style w:type="paragraph" w:customStyle="1" w:styleId="JuParaCharChar0">
    <w:name w:val="Ju_Para Char Char"/>
    <w:basedOn w:val="Normal"/>
    <w:rsid w:val="009F1000"/>
    <w:pPr>
      <w:ind w:firstLine="284"/>
    </w:pPr>
    <w:rPr>
      <w:szCs w:val="20"/>
    </w:rPr>
  </w:style>
  <w:style w:type="paragraph" w:customStyle="1" w:styleId="JuPara">
    <w:name w:val="Ju_Para"/>
    <w:basedOn w:val="Normal"/>
    <w:rsid w:val="00982939"/>
    <w:pPr>
      <w:ind w:firstLine="284"/>
    </w:pPr>
    <w:rPr>
      <w:szCs w:val="20"/>
    </w:rPr>
  </w:style>
  <w:style w:type="paragraph" w:customStyle="1" w:styleId="JuParaCharCharCharChar1">
    <w:name w:val="Ju_Para Char Char Char Char1"/>
    <w:basedOn w:val="Normal"/>
    <w:link w:val="JuParaCharCharChar0"/>
    <w:rsid w:val="00C6284D"/>
    <w:pPr>
      <w:ind w:firstLine="284"/>
    </w:pPr>
    <w:rPr>
      <w:szCs w:val="20"/>
    </w:rPr>
  </w:style>
  <w:style w:type="character" w:customStyle="1" w:styleId="JuParaCharChar1Char">
    <w:name w:val="Ju_Para Char Char1 Char"/>
    <w:basedOn w:val="DefaultParagraphFont"/>
    <w:rsid w:val="00994EC9"/>
    <w:rPr>
      <w:sz w:val="24"/>
      <w:lang w:val="fr-FR" w:eastAsia="fr-FR" w:bidi="ar-SA"/>
    </w:rPr>
  </w:style>
  <w:style w:type="paragraph" w:customStyle="1" w:styleId="PTitle1Alpha">
    <w:name w:val="P_Title1_Alpha"/>
    <w:basedOn w:val="Normal"/>
    <w:next w:val="Normal"/>
    <w:rsid w:val="00243F4C"/>
    <w:pPr>
      <w:spacing w:after="120"/>
      <w:jc w:val="center"/>
    </w:pPr>
    <w:rPr>
      <w:b/>
      <w:smallCaps/>
      <w:sz w:val="30"/>
      <w:szCs w:val="20"/>
    </w:rPr>
  </w:style>
  <w:style w:type="paragraph" w:customStyle="1" w:styleId="JuParaChar1CharCharCharCharChar">
    <w:name w:val="Ju_Para Char1 Char Char Char Char Char"/>
    <w:basedOn w:val="Normal"/>
    <w:link w:val="JuParaChar1CharCharCharCharCharChar"/>
    <w:rsid w:val="001042E9"/>
    <w:pPr>
      <w:ind w:firstLine="284"/>
    </w:pPr>
    <w:rPr>
      <w:lang w:val="en-GB"/>
    </w:rPr>
  </w:style>
  <w:style w:type="character" w:customStyle="1" w:styleId="JuParaChar1CharCharCharCharCharChar">
    <w:name w:val="Ju_Para Char1 Char Char Char Char Char Char"/>
    <w:basedOn w:val="DefaultParagraphFont"/>
    <w:link w:val="JuParaChar1CharCharCharCharChar"/>
    <w:rsid w:val="001042E9"/>
    <w:rPr>
      <w:sz w:val="24"/>
      <w:szCs w:val="24"/>
      <w:lang w:val="en-GB" w:eastAsia="fr-FR" w:bidi="ar-SA"/>
    </w:rPr>
  </w:style>
  <w:style w:type="paragraph" w:customStyle="1" w:styleId="juparacharcharcharcharcharcharchar0">
    <w:name w:val="juparacharcharcharcharcharcharchar"/>
    <w:basedOn w:val="Normal"/>
    <w:rsid w:val="00C1609F"/>
    <w:pPr>
      <w:suppressAutoHyphens w:val="0"/>
      <w:ind w:firstLine="28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616B"/>
    <w:pPr>
      <w:suppressAutoHyphens/>
      <w:jc w:val="both"/>
    </w:pPr>
    <w:rPr>
      <w:sz w:val="24"/>
      <w:szCs w:val="24"/>
      <w:lang w:val="fr-FR" w:eastAsia="fr-FR"/>
    </w:rPr>
  </w:style>
  <w:style w:type="paragraph" w:styleId="Heading1">
    <w:name w:val="heading 1"/>
    <w:basedOn w:val="Normal"/>
    <w:next w:val="Normal"/>
    <w:qFormat/>
    <w:rsid w:val="0017616B"/>
    <w:pPr>
      <w:keepNext/>
      <w:spacing w:before="240" w:after="120"/>
      <w:jc w:val="center"/>
      <w:outlineLvl w:val="0"/>
    </w:pPr>
    <w:rPr>
      <w:b/>
      <w:bCs/>
      <w:kern w:val="28"/>
      <w:sz w:val="28"/>
      <w:szCs w:val="28"/>
    </w:rPr>
  </w:style>
  <w:style w:type="paragraph" w:styleId="Heading2">
    <w:name w:val="heading 2"/>
    <w:basedOn w:val="Normal"/>
    <w:next w:val="Normal"/>
    <w:qFormat/>
    <w:rsid w:val="0017616B"/>
    <w:pPr>
      <w:keepNext/>
      <w:spacing w:before="120" w:after="60"/>
      <w:outlineLvl w:val="1"/>
    </w:pPr>
    <w:rPr>
      <w:b/>
      <w:bCs/>
    </w:rPr>
  </w:style>
  <w:style w:type="paragraph" w:styleId="Heading3">
    <w:name w:val="heading 3"/>
    <w:basedOn w:val="Normal"/>
    <w:next w:val="Normal"/>
    <w:qFormat/>
    <w:rsid w:val="0017616B"/>
    <w:pPr>
      <w:keepNext/>
      <w:spacing w:before="60" w:after="60"/>
      <w:ind w:left="284"/>
      <w:outlineLvl w:val="2"/>
    </w:pPr>
    <w:rPr>
      <w:i/>
      <w:iCs/>
    </w:rPr>
  </w:style>
  <w:style w:type="paragraph" w:styleId="Heading4">
    <w:name w:val="heading 4"/>
    <w:basedOn w:val="Normal"/>
    <w:next w:val="Normal"/>
    <w:qFormat/>
    <w:rsid w:val="0017616B"/>
    <w:pPr>
      <w:widowControl w:val="0"/>
      <w:numPr>
        <w:ilvl w:val="3"/>
        <w:numId w:val="1"/>
      </w:numPr>
      <w:outlineLvl w:val="3"/>
    </w:pPr>
    <w:rPr>
      <w:snapToGrid w:val="0"/>
      <w:lang w:val="en-US"/>
    </w:rPr>
  </w:style>
  <w:style w:type="paragraph" w:styleId="Heading5">
    <w:name w:val="heading 5"/>
    <w:basedOn w:val="Normal"/>
    <w:next w:val="Normal"/>
    <w:qFormat/>
    <w:rsid w:val="0017616B"/>
    <w:pPr>
      <w:widowControl w:val="0"/>
      <w:numPr>
        <w:ilvl w:val="4"/>
        <w:numId w:val="1"/>
      </w:numPr>
      <w:outlineLvl w:val="4"/>
    </w:pPr>
    <w:rPr>
      <w:snapToGrid w:val="0"/>
      <w:lang w:val="en-US"/>
    </w:rPr>
  </w:style>
  <w:style w:type="paragraph" w:styleId="Heading6">
    <w:name w:val="heading 6"/>
    <w:basedOn w:val="Normal"/>
    <w:next w:val="Normal"/>
    <w:qFormat/>
    <w:rsid w:val="0017616B"/>
    <w:pPr>
      <w:widowControl w:val="0"/>
      <w:numPr>
        <w:ilvl w:val="5"/>
        <w:numId w:val="1"/>
      </w:numPr>
      <w:outlineLvl w:val="5"/>
    </w:pPr>
    <w:rPr>
      <w:snapToGrid w:val="0"/>
      <w:lang w:val="en-US"/>
    </w:rPr>
  </w:style>
  <w:style w:type="paragraph" w:styleId="Heading7">
    <w:name w:val="heading 7"/>
    <w:basedOn w:val="Normal"/>
    <w:next w:val="Normal"/>
    <w:qFormat/>
    <w:rsid w:val="0017616B"/>
    <w:pPr>
      <w:widowControl w:val="0"/>
      <w:numPr>
        <w:ilvl w:val="6"/>
        <w:numId w:val="1"/>
      </w:numPr>
      <w:outlineLvl w:val="6"/>
    </w:pPr>
    <w:rPr>
      <w:snapToGrid w:val="0"/>
      <w:lang w:val="en-US"/>
    </w:rPr>
  </w:style>
  <w:style w:type="paragraph" w:styleId="Heading8">
    <w:name w:val="heading 8"/>
    <w:basedOn w:val="Normal"/>
    <w:next w:val="Normal"/>
    <w:qFormat/>
    <w:rsid w:val="0017616B"/>
    <w:pPr>
      <w:widowControl w:val="0"/>
      <w:numPr>
        <w:ilvl w:val="7"/>
        <w:numId w:val="1"/>
      </w:numPr>
      <w:outlineLvl w:val="7"/>
    </w:pPr>
    <w:rPr>
      <w:snapToGrid w:val="0"/>
      <w:lang w:val="en-US"/>
    </w:rPr>
  </w:style>
  <w:style w:type="paragraph" w:styleId="Heading9">
    <w:name w:val="heading 9"/>
    <w:basedOn w:val="Normal"/>
    <w:next w:val="Normal"/>
    <w:qFormat/>
    <w:rsid w:val="0017616B"/>
    <w:pPr>
      <w:keepNext/>
      <w:tabs>
        <w:tab w:val="left" w:pos="-1440"/>
        <w:tab w:val="left" w:pos="-720"/>
        <w:tab w:val="left" w:pos="0"/>
        <w:tab w:val="left" w:pos="1056"/>
        <w:tab w:val="left" w:pos="1584"/>
        <w:tab w:val="left" w:pos="2112"/>
        <w:tab w:val="left" w:pos="2880"/>
      </w:tabs>
      <w:ind w:left="-306" w:right="-306"/>
      <w:outlineLvl w:val="8"/>
    </w:pPr>
    <w:rPr>
      <w:i/>
      <w:iCs/>
      <w:spacing w:val="-2"/>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uParaCharCharCharCharCharCharChar">
    <w:name w:val="Ju_Para Char Char Char Char Char Char Char"/>
    <w:basedOn w:val="Normal"/>
    <w:rsid w:val="0017616B"/>
    <w:pPr>
      <w:ind w:firstLine="284"/>
    </w:pPr>
  </w:style>
  <w:style w:type="paragraph" w:customStyle="1" w:styleId="JuHIRoman">
    <w:name w:val="Ju_H_I_Roman"/>
    <w:basedOn w:val="JuHHead"/>
    <w:next w:val="JuParaCharCharCharCharCharCharChar"/>
    <w:rsid w:val="0017616B"/>
    <w:pPr>
      <w:tabs>
        <w:tab w:val="left" w:pos="357"/>
      </w:tabs>
      <w:spacing w:before="360"/>
      <w:ind w:left="357" w:hanging="357"/>
    </w:pPr>
    <w:rPr>
      <w:sz w:val="24"/>
      <w:szCs w:val="24"/>
    </w:rPr>
  </w:style>
  <w:style w:type="paragraph" w:customStyle="1" w:styleId="JuHHead">
    <w:name w:val="Ju_H_Head"/>
    <w:basedOn w:val="Normal"/>
    <w:next w:val="JuParaCharCharCharCharCharCharChar"/>
    <w:rsid w:val="0017616B"/>
    <w:pPr>
      <w:spacing w:before="720" w:after="240"/>
    </w:pPr>
    <w:rPr>
      <w:sz w:val="28"/>
      <w:szCs w:val="28"/>
    </w:rPr>
  </w:style>
  <w:style w:type="paragraph" w:styleId="Footer">
    <w:name w:val="footer"/>
    <w:basedOn w:val="Normal"/>
    <w:rsid w:val="0017616B"/>
    <w:pPr>
      <w:tabs>
        <w:tab w:val="center" w:pos="3686"/>
        <w:tab w:val="right" w:pos="7371"/>
      </w:tabs>
    </w:pPr>
  </w:style>
  <w:style w:type="paragraph" w:customStyle="1" w:styleId="JuJudges">
    <w:name w:val="Ju_Judges"/>
    <w:basedOn w:val="Normal"/>
    <w:rsid w:val="0017616B"/>
    <w:pPr>
      <w:tabs>
        <w:tab w:val="left" w:pos="567"/>
        <w:tab w:val="left" w:pos="1134"/>
      </w:tabs>
      <w:jc w:val="left"/>
    </w:pPr>
  </w:style>
  <w:style w:type="character" w:customStyle="1" w:styleId="JuNames">
    <w:name w:val="Ju_Names"/>
    <w:basedOn w:val="DefaultParagraphFont"/>
    <w:rsid w:val="0017616B"/>
    <w:rPr>
      <w:rFonts w:ascii="Times New Roman" w:hAnsi="Times New Roman" w:cs="Times New Roman"/>
      <w:smallCaps/>
      <w:sz w:val="24"/>
      <w:szCs w:val="24"/>
      <w:vertAlign w:val="baseline"/>
      <w:lang w:val="fr-FR"/>
    </w:rPr>
  </w:style>
  <w:style w:type="paragraph" w:customStyle="1" w:styleId="JuHA">
    <w:name w:val="Ju_H_A"/>
    <w:basedOn w:val="JuHIRoman"/>
    <w:next w:val="JuParaCharCharCharCharCharCharChar"/>
    <w:rsid w:val="0017616B"/>
    <w:pPr>
      <w:tabs>
        <w:tab w:val="left" w:pos="584"/>
      </w:tabs>
      <w:ind w:left="584" w:hanging="352"/>
    </w:pPr>
    <w:rPr>
      <w:b/>
      <w:bCs/>
    </w:rPr>
  </w:style>
  <w:style w:type="paragraph" w:customStyle="1" w:styleId="JuQuot">
    <w:name w:val="Ju_Quot"/>
    <w:basedOn w:val="JuParaCharCharCharCharCharCharChar"/>
    <w:rsid w:val="0017616B"/>
    <w:pPr>
      <w:spacing w:before="120" w:after="120"/>
      <w:ind w:left="403" w:firstLine="176"/>
    </w:pPr>
    <w:rPr>
      <w:sz w:val="20"/>
      <w:szCs w:val="20"/>
    </w:rPr>
  </w:style>
  <w:style w:type="paragraph" w:customStyle="1" w:styleId="JuSigned">
    <w:name w:val="Ju_Signed"/>
    <w:basedOn w:val="Normal"/>
    <w:next w:val="JuParaLast"/>
    <w:rsid w:val="0017616B"/>
    <w:pPr>
      <w:tabs>
        <w:tab w:val="center" w:pos="851"/>
        <w:tab w:val="center" w:pos="6521"/>
      </w:tabs>
      <w:spacing w:before="720"/>
      <w:jc w:val="left"/>
    </w:pPr>
  </w:style>
  <w:style w:type="paragraph" w:customStyle="1" w:styleId="JuParaLast">
    <w:name w:val="Ju_Para_Last"/>
    <w:basedOn w:val="JuParaCharCharCharCharCharCharChar"/>
    <w:next w:val="JuParaCharCharCharCharCharCharChar"/>
    <w:rsid w:val="0017616B"/>
    <w:pPr>
      <w:spacing w:before="240"/>
      <w:ind w:firstLine="288"/>
    </w:pPr>
  </w:style>
  <w:style w:type="paragraph" w:customStyle="1" w:styleId="JuCase">
    <w:name w:val="Ju_Case"/>
    <w:basedOn w:val="JuParaCharCharCharCharCharCharChar"/>
    <w:next w:val="JuParaCharCharCharCharCharCharChar"/>
    <w:rsid w:val="0017616B"/>
    <w:rPr>
      <w:b/>
      <w:bCs/>
    </w:rPr>
  </w:style>
  <w:style w:type="paragraph" w:customStyle="1" w:styleId="JuList">
    <w:name w:val="Ju_List"/>
    <w:basedOn w:val="JuParaCharCharCharCharCharCharChar"/>
    <w:rsid w:val="0017616B"/>
    <w:pPr>
      <w:tabs>
        <w:tab w:val="left" w:pos="340"/>
      </w:tabs>
      <w:ind w:left="340" w:hanging="340"/>
    </w:pPr>
  </w:style>
  <w:style w:type="paragraph" w:customStyle="1" w:styleId="JuHArticle">
    <w:name w:val="Ju_H_Article"/>
    <w:basedOn w:val="JuHa0"/>
    <w:next w:val="JuQuot"/>
    <w:rsid w:val="0017616B"/>
    <w:pPr>
      <w:ind w:left="0" w:firstLine="0"/>
      <w:jc w:val="center"/>
    </w:pPr>
  </w:style>
  <w:style w:type="paragraph" w:customStyle="1" w:styleId="JuHa0">
    <w:name w:val="Ju_H_a"/>
    <w:basedOn w:val="JuHA"/>
    <w:next w:val="JuParaCharCharCharCharCharCharChar"/>
    <w:rsid w:val="0017616B"/>
    <w:pPr>
      <w:tabs>
        <w:tab w:val="clear" w:pos="584"/>
        <w:tab w:val="left" w:pos="907"/>
      </w:tabs>
      <w:spacing w:before="240" w:after="120"/>
      <w:ind w:left="907" w:hanging="272"/>
    </w:pPr>
    <w:rPr>
      <w:sz w:val="20"/>
      <w:szCs w:val="20"/>
    </w:rPr>
  </w:style>
  <w:style w:type="paragraph" w:customStyle="1" w:styleId="JuQuotList">
    <w:name w:val="Ju_Quot_List"/>
    <w:basedOn w:val="JuQuot"/>
    <w:rsid w:val="0017616B"/>
    <w:pPr>
      <w:tabs>
        <w:tab w:val="left" w:pos="1021"/>
      </w:tabs>
      <w:ind w:left="567" w:firstLine="0"/>
    </w:pPr>
  </w:style>
  <w:style w:type="paragraph" w:customStyle="1" w:styleId="JuCourt">
    <w:name w:val="Ju_Court"/>
    <w:basedOn w:val="JuJudges"/>
    <w:rsid w:val="0017616B"/>
    <w:pPr>
      <w:tabs>
        <w:tab w:val="clear" w:pos="567"/>
        <w:tab w:val="clear" w:pos="1134"/>
        <w:tab w:val="left" w:pos="907"/>
        <w:tab w:val="left" w:pos="1701"/>
        <w:tab w:val="right" w:pos="7371"/>
      </w:tabs>
      <w:spacing w:before="240"/>
      <w:ind w:left="397" w:hanging="397"/>
    </w:pPr>
  </w:style>
  <w:style w:type="paragraph" w:customStyle="1" w:styleId="OpiHHead">
    <w:name w:val="Opi_H_Head"/>
    <w:basedOn w:val="JuHHead"/>
    <w:next w:val="OpiPara"/>
    <w:rsid w:val="0017616B"/>
    <w:pPr>
      <w:spacing w:before="0"/>
      <w:jc w:val="center"/>
    </w:pPr>
  </w:style>
  <w:style w:type="paragraph" w:customStyle="1" w:styleId="OpiPara">
    <w:name w:val="Opi_Para"/>
    <w:basedOn w:val="JuParaCharCharCharCharCharCharChar"/>
    <w:rsid w:val="0017616B"/>
  </w:style>
  <w:style w:type="paragraph" w:customStyle="1" w:styleId="OpiTranslation">
    <w:name w:val="Opi_Translation"/>
    <w:basedOn w:val="OpiHHead"/>
    <w:next w:val="OpiPara"/>
    <w:rsid w:val="0017616B"/>
    <w:rPr>
      <w:sz w:val="24"/>
      <w:szCs w:val="24"/>
    </w:rPr>
  </w:style>
  <w:style w:type="paragraph" w:customStyle="1" w:styleId="OpiQuot">
    <w:name w:val="Opi_Quot"/>
    <w:basedOn w:val="JuQuot"/>
    <w:rsid w:val="0017616B"/>
  </w:style>
  <w:style w:type="paragraph" w:customStyle="1" w:styleId="OpiHA">
    <w:name w:val="Opi_H_A"/>
    <w:basedOn w:val="JuHIRoman"/>
    <w:next w:val="OpiPara"/>
    <w:rsid w:val="0017616B"/>
    <w:rPr>
      <w:b/>
      <w:bCs/>
    </w:rPr>
  </w:style>
  <w:style w:type="paragraph" w:customStyle="1" w:styleId="OpiH1">
    <w:name w:val="Opi_H_1."/>
    <w:basedOn w:val="OpiHA"/>
    <w:next w:val="OpiPara"/>
    <w:rsid w:val="0017616B"/>
    <w:pPr>
      <w:spacing w:before="240" w:after="120"/>
      <w:ind w:left="635"/>
    </w:pPr>
    <w:rPr>
      <w:b w:val="0"/>
      <w:bCs w:val="0"/>
      <w:i/>
      <w:iCs/>
    </w:rPr>
  </w:style>
  <w:style w:type="paragraph" w:customStyle="1" w:styleId="JuH1">
    <w:name w:val="Ju_H_1."/>
    <w:basedOn w:val="JuHA"/>
    <w:next w:val="JuParaCharCharCharCharCharCharChar"/>
    <w:rsid w:val="0017616B"/>
    <w:pPr>
      <w:tabs>
        <w:tab w:val="left" w:pos="731"/>
      </w:tabs>
      <w:spacing w:before="240" w:after="120"/>
      <w:ind w:left="732" w:hanging="301"/>
    </w:pPr>
    <w:rPr>
      <w:b w:val="0"/>
      <w:bCs w:val="0"/>
      <w:i/>
      <w:iCs/>
    </w:rPr>
  </w:style>
  <w:style w:type="paragraph" w:styleId="FootnoteText">
    <w:name w:val="footnote text"/>
    <w:basedOn w:val="Normal"/>
    <w:semiHidden/>
    <w:rsid w:val="0017616B"/>
    <w:rPr>
      <w:sz w:val="20"/>
      <w:szCs w:val="20"/>
    </w:rPr>
  </w:style>
  <w:style w:type="character" w:styleId="FootnoteReference">
    <w:name w:val="footnote reference"/>
    <w:basedOn w:val="DefaultParagraphFont"/>
    <w:semiHidden/>
    <w:rsid w:val="0017616B"/>
    <w:rPr>
      <w:vertAlign w:val="superscript"/>
    </w:rPr>
  </w:style>
  <w:style w:type="paragraph" w:customStyle="1" w:styleId="JuHi">
    <w:name w:val="Ju_H_i"/>
    <w:basedOn w:val="JuHa0"/>
    <w:next w:val="JuParaCharCharCharCharCharCharChar"/>
    <w:rsid w:val="0017616B"/>
    <w:pPr>
      <w:tabs>
        <w:tab w:val="clear" w:pos="907"/>
        <w:tab w:val="left" w:pos="1111"/>
      </w:tabs>
      <w:ind w:left="1111" w:hanging="278"/>
    </w:pPr>
    <w:rPr>
      <w:b w:val="0"/>
      <w:bCs w:val="0"/>
      <w:i/>
      <w:iCs/>
    </w:rPr>
  </w:style>
  <w:style w:type="paragraph" w:styleId="Header">
    <w:name w:val="header"/>
    <w:basedOn w:val="Normal"/>
    <w:rsid w:val="0017616B"/>
    <w:pPr>
      <w:tabs>
        <w:tab w:val="center" w:pos="3686"/>
        <w:tab w:val="right" w:pos="7371"/>
      </w:tabs>
    </w:pPr>
  </w:style>
  <w:style w:type="character" w:styleId="PageNumber">
    <w:name w:val="page number"/>
    <w:basedOn w:val="DefaultParagraphFont"/>
    <w:rsid w:val="0017616B"/>
  </w:style>
  <w:style w:type="paragraph" w:customStyle="1" w:styleId="JuLista">
    <w:name w:val="Ju_List_a"/>
    <w:basedOn w:val="JuList"/>
    <w:rsid w:val="0017616B"/>
    <w:pPr>
      <w:tabs>
        <w:tab w:val="left" w:pos="691"/>
      </w:tabs>
      <w:ind w:left="346" w:firstLine="0"/>
    </w:pPr>
  </w:style>
  <w:style w:type="paragraph" w:customStyle="1" w:styleId="JuHalpha">
    <w:name w:val="Ju_H_alpha"/>
    <w:basedOn w:val="JuHi"/>
    <w:next w:val="JuParaCharCharCharCharCharCharChar"/>
    <w:rsid w:val="0017616B"/>
    <w:pPr>
      <w:tabs>
        <w:tab w:val="left" w:pos="1304"/>
      </w:tabs>
      <w:ind w:left="1304" w:hanging="266"/>
    </w:pPr>
    <w:rPr>
      <w:i w:val="0"/>
      <w:iCs w:val="0"/>
    </w:rPr>
  </w:style>
  <w:style w:type="paragraph" w:customStyle="1" w:styleId="JuListi">
    <w:name w:val="Ju_List_i"/>
    <w:basedOn w:val="JuLista"/>
    <w:rsid w:val="0017616B"/>
    <w:pPr>
      <w:tabs>
        <w:tab w:val="clear" w:pos="340"/>
        <w:tab w:val="clear" w:pos="691"/>
        <w:tab w:val="left" w:pos="686"/>
        <w:tab w:val="right" w:pos="992"/>
        <w:tab w:val="left" w:pos="1134"/>
      </w:tabs>
      <w:ind w:left="692"/>
    </w:pPr>
  </w:style>
  <w:style w:type="paragraph" w:customStyle="1" w:styleId="OpiHa0">
    <w:name w:val="Opi_H_a"/>
    <w:basedOn w:val="OpiHA"/>
    <w:next w:val="OpiPara"/>
    <w:rsid w:val="0017616B"/>
    <w:pPr>
      <w:spacing w:before="240" w:after="120"/>
      <w:ind w:left="834"/>
    </w:pPr>
    <w:rPr>
      <w:sz w:val="20"/>
      <w:szCs w:val="20"/>
    </w:rPr>
  </w:style>
  <w:style w:type="paragraph" w:customStyle="1" w:styleId="OpiHi">
    <w:name w:val="Opi_H_i"/>
    <w:basedOn w:val="OpiHa0"/>
    <w:next w:val="OpiPara"/>
    <w:rsid w:val="0017616B"/>
    <w:pPr>
      <w:ind w:left="1038"/>
    </w:pPr>
    <w:rPr>
      <w:b w:val="0"/>
      <w:bCs w:val="0"/>
      <w:i/>
      <w:iCs/>
    </w:rPr>
  </w:style>
  <w:style w:type="paragraph" w:customStyle="1" w:styleId="JuH">
    <w:name w:val="Ju_H_–"/>
    <w:basedOn w:val="JuHalpha"/>
    <w:next w:val="JuParaCharCharCharCharCharCharChar"/>
    <w:rsid w:val="0017616B"/>
    <w:pPr>
      <w:tabs>
        <w:tab w:val="left" w:pos="1446"/>
      </w:tabs>
      <w:ind w:left="1446" w:hanging="210"/>
    </w:pPr>
    <w:rPr>
      <w:i/>
      <w:iCs/>
    </w:rPr>
  </w:style>
  <w:style w:type="character" w:styleId="CommentReference">
    <w:name w:val="annotation reference"/>
    <w:basedOn w:val="DefaultParagraphFont"/>
    <w:semiHidden/>
    <w:rsid w:val="0017616B"/>
    <w:rPr>
      <w:sz w:val="16"/>
      <w:szCs w:val="16"/>
    </w:rPr>
  </w:style>
  <w:style w:type="paragraph" w:styleId="CommentText">
    <w:name w:val="annotation text"/>
    <w:basedOn w:val="Normal"/>
    <w:semiHidden/>
    <w:rsid w:val="0017616B"/>
    <w:rPr>
      <w:sz w:val="20"/>
      <w:szCs w:val="20"/>
    </w:rPr>
  </w:style>
  <w:style w:type="paragraph" w:customStyle="1" w:styleId="JuInitialled">
    <w:name w:val="Ju_Initialled"/>
    <w:basedOn w:val="JuSigned"/>
    <w:rsid w:val="0017616B"/>
    <w:pPr>
      <w:tabs>
        <w:tab w:val="clear" w:pos="851"/>
        <w:tab w:val="clear" w:pos="6521"/>
      </w:tabs>
      <w:jc w:val="right"/>
    </w:pPr>
  </w:style>
  <w:style w:type="paragraph" w:customStyle="1" w:styleId="JuHeader">
    <w:name w:val="Ju_Header"/>
    <w:basedOn w:val="Header"/>
    <w:rsid w:val="0017616B"/>
    <w:pPr>
      <w:jc w:val="left"/>
    </w:pPr>
    <w:rPr>
      <w:sz w:val="18"/>
      <w:szCs w:val="18"/>
    </w:rPr>
  </w:style>
  <w:style w:type="paragraph" w:customStyle="1" w:styleId="OpiCommission">
    <w:name w:val="Opi_Commission"/>
    <w:basedOn w:val="JuJudges"/>
    <w:rsid w:val="0017616B"/>
    <w:pPr>
      <w:tabs>
        <w:tab w:val="clear" w:pos="567"/>
        <w:tab w:val="clear" w:pos="1134"/>
        <w:tab w:val="left" w:pos="1814"/>
        <w:tab w:val="left" w:pos="2381"/>
        <w:tab w:val="left" w:pos="3119"/>
      </w:tabs>
      <w:ind w:left="1418"/>
    </w:pPr>
    <w:rPr>
      <w:sz w:val="20"/>
      <w:szCs w:val="20"/>
    </w:rPr>
  </w:style>
  <w:style w:type="paragraph" w:customStyle="1" w:styleId="OpiConclusion">
    <w:name w:val="Opi_Conclusion"/>
    <w:basedOn w:val="OpiPara"/>
    <w:next w:val="OpiPara"/>
    <w:rsid w:val="0017616B"/>
    <w:pPr>
      <w:spacing w:before="360" w:after="120"/>
      <w:ind w:firstLine="0"/>
    </w:pPr>
    <w:rPr>
      <w:i/>
      <w:iCs/>
    </w:rPr>
  </w:style>
  <w:style w:type="paragraph" w:customStyle="1" w:styleId="OpiHCommission">
    <w:name w:val="Opi_H_Commission"/>
    <w:basedOn w:val="OpiTranslation"/>
    <w:next w:val="OpiPara"/>
    <w:rsid w:val="0017616B"/>
    <w:pPr>
      <w:spacing w:before="480"/>
      <w:ind w:left="1418"/>
      <w:jc w:val="left"/>
    </w:pPr>
    <w:rPr>
      <w:sz w:val="20"/>
      <w:szCs w:val="20"/>
    </w:rPr>
  </w:style>
  <w:style w:type="paragraph" w:customStyle="1" w:styleId="OpiHOpinion">
    <w:name w:val="Opi_H_Opinion"/>
    <w:basedOn w:val="OpiHHead"/>
    <w:next w:val="OpiPara"/>
    <w:rsid w:val="0017616B"/>
    <w:pPr>
      <w:spacing w:before="240"/>
    </w:pPr>
    <w:rPr>
      <w:b/>
      <w:bCs/>
    </w:rPr>
  </w:style>
  <w:style w:type="paragraph" w:customStyle="1" w:styleId="OpiList">
    <w:name w:val="Opi_List"/>
    <w:basedOn w:val="JuList"/>
    <w:rsid w:val="0017616B"/>
  </w:style>
  <w:style w:type="character" w:customStyle="1" w:styleId="OpiNames">
    <w:name w:val="Opi_Names"/>
    <w:basedOn w:val="JuNames"/>
    <w:rsid w:val="0017616B"/>
    <w:rPr>
      <w:rFonts w:ascii="Times New Roman" w:hAnsi="Times New Roman" w:cs="Times New Roman"/>
      <w:smallCaps/>
      <w:sz w:val="20"/>
      <w:szCs w:val="20"/>
      <w:vertAlign w:val="baseline"/>
      <w:lang w:val="fr-FR"/>
    </w:rPr>
  </w:style>
  <w:style w:type="character" w:customStyle="1" w:styleId="OpiNamesSignature">
    <w:name w:val="Opi_Names_Signature"/>
    <w:basedOn w:val="JuNames"/>
    <w:rsid w:val="0017616B"/>
    <w:rPr>
      <w:rFonts w:ascii="Times New Roman" w:hAnsi="Times New Roman" w:cs="Times New Roman"/>
      <w:smallCaps/>
      <w:sz w:val="24"/>
      <w:szCs w:val="24"/>
      <w:vertAlign w:val="baseline"/>
      <w:lang w:val="fr-FR"/>
    </w:rPr>
  </w:style>
  <w:style w:type="paragraph" w:customStyle="1" w:styleId="OpiQuotList">
    <w:name w:val="Opi_Quot_List"/>
    <w:basedOn w:val="JuQuotList"/>
    <w:rsid w:val="0017616B"/>
  </w:style>
  <w:style w:type="paragraph" w:customStyle="1" w:styleId="OpiSigned">
    <w:name w:val="Opi_Signed"/>
    <w:basedOn w:val="JuSigned"/>
    <w:rsid w:val="0017616B"/>
    <w:pPr>
      <w:tabs>
        <w:tab w:val="clear" w:pos="851"/>
        <w:tab w:val="clear" w:pos="6521"/>
        <w:tab w:val="center" w:pos="1418"/>
        <w:tab w:val="center" w:pos="5954"/>
      </w:tabs>
    </w:pPr>
  </w:style>
  <w:style w:type="paragraph" w:customStyle="1" w:styleId="DecHTitle">
    <w:name w:val="Dec_H_Title"/>
    <w:basedOn w:val="Normal"/>
    <w:rsid w:val="0017616B"/>
    <w:pPr>
      <w:spacing w:after="240"/>
      <w:jc w:val="center"/>
    </w:pPr>
    <w:rPr>
      <w:sz w:val="28"/>
      <w:szCs w:val="28"/>
    </w:rPr>
  </w:style>
  <w:style w:type="paragraph" w:customStyle="1" w:styleId="DecHCase">
    <w:name w:val="Dec_H_Case"/>
    <w:basedOn w:val="DecHTitle"/>
    <w:next w:val="JuParaCharCharCharCharCharCharChar"/>
    <w:rsid w:val="0017616B"/>
    <w:rPr>
      <w:sz w:val="24"/>
      <w:szCs w:val="24"/>
    </w:rPr>
  </w:style>
  <w:style w:type="paragraph" w:customStyle="1" w:styleId="DecList">
    <w:name w:val="Dec_List"/>
    <w:basedOn w:val="Normal"/>
    <w:rsid w:val="0017616B"/>
    <w:pPr>
      <w:spacing w:before="240"/>
      <w:ind w:left="284"/>
    </w:pPr>
  </w:style>
  <w:style w:type="paragraph" w:customStyle="1" w:styleId="SuCoverTitle1">
    <w:name w:val="Su_Cover_Title1"/>
    <w:basedOn w:val="Normal"/>
    <w:next w:val="SuCoverTitle2"/>
    <w:rsid w:val="0017616B"/>
    <w:pPr>
      <w:spacing w:before="2500"/>
      <w:jc w:val="center"/>
    </w:pPr>
    <w:rPr>
      <w:sz w:val="22"/>
      <w:szCs w:val="22"/>
    </w:rPr>
  </w:style>
  <w:style w:type="paragraph" w:customStyle="1" w:styleId="SuCoverTitle2">
    <w:name w:val="Su_Cover_Title2"/>
    <w:basedOn w:val="SuCoverTitle1"/>
    <w:rsid w:val="0017616B"/>
    <w:pPr>
      <w:spacing w:before="240"/>
    </w:pPr>
    <w:rPr>
      <w:sz w:val="18"/>
      <w:szCs w:val="18"/>
    </w:rPr>
  </w:style>
  <w:style w:type="paragraph" w:customStyle="1" w:styleId="JuQuotSub">
    <w:name w:val="Ju_Quot_Sub"/>
    <w:basedOn w:val="JuQuot"/>
    <w:rsid w:val="0017616B"/>
    <w:pPr>
      <w:ind w:firstLine="459"/>
    </w:pPr>
  </w:style>
  <w:style w:type="paragraph" w:customStyle="1" w:styleId="JuParaSub">
    <w:name w:val="Ju_Para_Sub"/>
    <w:basedOn w:val="JuParaCharCharCharCharCharCharChar"/>
    <w:rsid w:val="0017616B"/>
    <w:pPr>
      <w:ind w:firstLine="567"/>
    </w:pPr>
  </w:style>
  <w:style w:type="paragraph" w:customStyle="1" w:styleId="SuPara">
    <w:name w:val="Su_Para"/>
    <w:basedOn w:val="SuKeywords"/>
    <w:rsid w:val="0017616B"/>
    <w:pPr>
      <w:spacing w:before="0" w:after="0"/>
    </w:pPr>
    <w:rPr>
      <w:i w:val="0"/>
      <w:iCs w:val="0"/>
    </w:rPr>
  </w:style>
  <w:style w:type="paragraph" w:customStyle="1" w:styleId="SuKeywords">
    <w:name w:val="Su_Keywords"/>
    <w:basedOn w:val="SuHHead"/>
    <w:rsid w:val="0017616B"/>
    <w:pPr>
      <w:spacing w:before="120"/>
    </w:pPr>
    <w:rPr>
      <w:b w:val="0"/>
      <w:bCs w:val="0"/>
      <w:i/>
      <w:iCs/>
    </w:rPr>
  </w:style>
  <w:style w:type="paragraph" w:customStyle="1" w:styleId="SuHHead">
    <w:name w:val="Su_H_Head"/>
    <w:basedOn w:val="SuSubject"/>
    <w:rsid w:val="0017616B"/>
    <w:pPr>
      <w:spacing w:after="120"/>
    </w:pPr>
  </w:style>
  <w:style w:type="paragraph" w:customStyle="1" w:styleId="SuSubject">
    <w:name w:val="Su_Subject"/>
    <w:basedOn w:val="SuSummary"/>
    <w:rsid w:val="0017616B"/>
    <w:pPr>
      <w:spacing w:before="360"/>
      <w:jc w:val="both"/>
    </w:pPr>
    <w:rPr>
      <w:b/>
      <w:bCs/>
      <w:sz w:val="22"/>
      <w:szCs w:val="22"/>
    </w:rPr>
  </w:style>
  <w:style w:type="paragraph" w:customStyle="1" w:styleId="SuSummary">
    <w:name w:val="Su_Summary"/>
    <w:basedOn w:val="Normal"/>
    <w:next w:val="SuSubject"/>
    <w:rsid w:val="0017616B"/>
    <w:pPr>
      <w:spacing w:after="240"/>
      <w:jc w:val="center"/>
    </w:pPr>
  </w:style>
  <w:style w:type="paragraph" w:styleId="CommentSubject">
    <w:name w:val="annotation subject"/>
    <w:basedOn w:val="CommentText"/>
    <w:next w:val="CommentText"/>
    <w:semiHidden/>
    <w:rsid w:val="0017616B"/>
    <w:rPr>
      <w:b/>
      <w:bCs/>
    </w:rPr>
  </w:style>
  <w:style w:type="paragraph" w:styleId="HTMLPreformatted">
    <w:name w:val="HTML Preformatted"/>
    <w:basedOn w:val="Normal"/>
    <w:rsid w:val="00176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sz w:val="20"/>
      <w:szCs w:val="20"/>
    </w:rPr>
  </w:style>
  <w:style w:type="paragraph" w:styleId="BalloonText">
    <w:name w:val="Balloon Text"/>
    <w:basedOn w:val="Normal"/>
    <w:semiHidden/>
    <w:rsid w:val="0017616B"/>
    <w:rPr>
      <w:sz w:val="16"/>
      <w:szCs w:val="16"/>
    </w:rPr>
  </w:style>
  <w:style w:type="paragraph" w:customStyle="1" w:styleId="juparaCharChar">
    <w:name w:val="jupara Char Char"/>
    <w:basedOn w:val="Normal"/>
    <w:rsid w:val="0017616B"/>
    <w:pPr>
      <w:suppressAutoHyphens w:val="0"/>
      <w:ind w:firstLine="284"/>
    </w:pPr>
  </w:style>
  <w:style w:type="paragraph" w:customStyle="1" w:styleId="juquot0">
    <w:name w:val="juquot"/>
    <w:basedOn w:val="Normal"/>
    <w:rsid w:val="0017616B"/>
    <w:pPr>
      <w:suppressAutoHyphens w:val="0"/>
      <w:spacing w:before="120" w:after="120"/>
      <w:ind w:left="403" w:firstLine="176"/>
    </w:pPr>
    <w:rPr>
      <w:sz w:val="20"/>
      <w:szCs w:val="20"/>
    </w:rPr>
  </w:style>
  <w:style w:type="paragraph" w:styleId="NormalWeb">
    <w:name w:val="Normal (Web)"/>
    <w:basedOn w:val="Normal"/>
    <w:rsid w:val="0017616B"/>
    <w:pPr>
      <w:suppressAutoHyphens w:val="0"/>
      <w:spacing w:before="100" w:beforeAutospacing="1" w:after="100" w:afterAutospacing="1"/>
      <w:jc w:val="left"/>
    </w:pPr>
  </w:style>
  <w:style w:type="character" w:customStyle="1" w:styleId="juparaCharCharChar">
    <w:name w:val="jupara Char Char Char"/>
    <w:basedOn w:val="DefaultParagraphFont"/>
    <w:rsid w:val="0017616B"/>
    <w:rPr>
      <w:sz w:val="24"/>
      <w:szCs w:val="24"/>
      <w:lang w:val="fr-FR"/>
    </w:rPr>
  </w:style>
  <w:style w:type="character" w:customStyle="1" w:styleId="JuParaCharCharCharCharCharCharCharChar">
    <w:name w:val="Ju_Para Char Char Char Char Char Char Char Char"/>
    <w:basedOn w:val="DefaultParagraphFont"/>
    <w:rsid w:val="0017616B"/>
    <w:rPr>
      <w:sz w:val="24"/>
      <w:szCs w:val="24"/>
      <w:lang w:val="fr-FR"/>
    </w:rPr>
  </w:style>
  <w:style w:type="paragraph" w:customStyle="1" w:styleId="JuParaCharCharChar0">
    <w:name w:val="Ju_Para Char Char Char"/>
    <w:basedOn w:val="Normal"/>
    <w:link w:val="JuParaCharCharCharChar1"/>
    <w:rsid w:val="0017616B"/>
    <w:pPr>
      <w:ind w:firstLine="284"/>
    </w:pPr>
  </w:style>
  <w:style w:type="character" w:customStyle="1" w:styleId="JuParaCharCharCharChar">
    <w:name w:val="Ju_Para Char Char Char Char"/>
    <w:basedOn w:val="DefaultParagraphFont"/>
    <w:rsid w:val="0017616B"/>
    <w:rPr>
      <w:sz w:val="24"/>
      <w:szCs w:val="24"/>
      <w:lang w:val="fr-FR"/>
    </w:rPr>
  </w:style>
  <w:style w:type="paragraph" w:customStyle="1" w:styleId="story-body">
    <w:name w:val="story-body"/>
    <w:basedOn w:val="Normal"/>
    <w:rsid w:val="0017616B"/>
    <w:pPr>
      <w:suppressAutoHyphens w:val="0"/>
      <w:spacing w:before="100" w:beforeAutospacing="1" w:after="100" w:afterAutospacing="1"/>
      <w:jc w:val="left"/>
    </w:pPr>
    <w:rPr>
      <w:sz w:val="22"/>
      <w:szCs w:val="22"/>
    </w:rPr>
  </w:style>
  <w:style w:type="character" w:customStyle="1" w:styleId="JuParaCharCharChar1">
    <w:name w:val="Ju_Para Char Char Char1"/>
    <w:basedOn w:val="DefaultParagraphFont"/>
    <w:rsid w:val="0017616B"/>
    <w:rPr>
      <w:sz w:val="24"/>
      <w:szCs w:val="24"/>
      <w:lang w:val="fr-FR"/>
    </w:rPr>
  </w:style>
  <w:style w:type="character" w:customStyle="1" w:styleId="tw4winMark">
    <w:name w:val="tw4winMark"/>
    <w:rsid w:val="0017616B"/>
    <w:rPr>
      <w:rFonts w:ascii="Courier New" w:hAnsi="Courier New" w:cs="Courier New"/>
      <w:vanish/>
      <w:color w:val="800080"/>
      <w:sz w:val="24"/>
      <w:szCs w:val="24"/>
      <w:vertAlign w:val="subscript"/>
    </w:rPr>
  </w:style>
  <w:style w:type="character" w:customStyle="1" w:styleId="tw4winError">
    <w:name w:val="tw4winError"/>
    <w:rsid w:val="0017616B"/>
    <w:rPr>
      <w:rFonts w:ascii="Courier New" w:hAnsi="Courier New" w:cs="Courier New"/>
      <w:color w:val="00FF00"/>
      <w:sz w:val="40"/>
      <w:szCs w:val="40"/>
    </w:rPr>
  </w:style>
  <w:style w:type="character" w:customStyle="1" w:styleId="tw4winTerm">
    <w:name w:val="tw4winTerm"/>
    <w:rsid w:val="0017616B"/>
    <w:rPr>
      <w:color w:val="0000FF"/>
    </w:rPr>
  </w:style>
  <w:style w:type="character" w:customStyle="1" w:styleId="tw4winPopup">
    <w:name w:val="tw4winPopup"/>
    <w:rsid w:val="0017616B"/>
    <w:rPr>
      <w:rFonts w:ascii="Courier New" w:hAnsi="Courier New" w:cs="Courier New"/>
      <w:noProof/>
      <w:color w:val="008000"/>
    </w:rPr>
  </w:style>
  <w:style w:type="character" w:customStyle="1" w:styleId="tw4winJump">
    <w:name w:val="tw4winJump"/>
    <w:rsid w:val="0017616B"/>
    <w:rPr>
      <w:rFonts w:ascii="Courier New" w:hAnsi="Courier New" w:cs="Courier New"/>
      <w:noProof/>
      <w:color w:val="008080"/>
    </w:rPr>
  </w:style>
  <w:style w:type="character" w:customStyle="1" w:styleId="tw4winExternal">
    <w:name w:val="tw4winExternal"/>
    <w:rsid w:val="0017616B"/>
    <w:rPr>
      <w:rFonts w:ascii="Courier New" w:hAnsi="Courier New" w:cs="Courier New"/>
      <w:noProof/>
      <w:color w:val="808080"/>
    </w:rPr>
  </w:style>
  <w:style w:type="character" w:customStyle="1" w:styleId="tw4winInternal">
    <w:name w:val="tw4winInternal"/>
    <w:rsid w:val="0017616B"/>
    <w:rPr>
      <w:rFonts w:ascii="Courier New" w:hAnsi="Courier New" w:cs="Courier New"/>
      <w:noProof/>
      <w:color w:val="FF0000"/>
    </w:rPr>
  </w:style>
  <w:style w:type="character" w:customStyle="1" w:styleId="DONOTTRANSLATE">
    <w:name w:val="DO_NOT_TRANSLATE"/>
    <w:rsid w:val="0017616B"/>
    <w:rPr>
      <w:rFonts w:ascii="Courier New" w:hAnsi="Courier New" w:cs="Courier New"/>
      <w:noProof/>
      <w:color w:val="800000"/>
    </w:rPr>
  </w:style>
  <w:style w:type="paragraph" w:customStyle="1" w:styleId="JuParaChar">
    <w:name w:val="Ju_Para Char"/>
    <w:basedOn w:val="Normal"/>
    <w:link w:val="JuParaCharChar1"/>
    <w:rsid w:val="00AA2321"/>
    <w:pPr>
      <w:ind w:firstLine="284"/>
    </w:pPr>
    <w:rPr>
      <w:szCs w:val="20"/>
      <w:lang w:val="en-GB" w:eastAsia="en-US"/>
    </w:rPr>
  </w:style>
  <w:style w:type="character" w:customStyle="1" w:styleId="JuParaCharChar1">
    <w:name w:val="Ju_Para Char Char1"/>
    <w:basedOn w:val="DefaultParagraphFont"/>
    <w:link w:val="JuParaChar"/>
    <w:rsid w:val="009F1000"/>
    <w:rPr>
      <w:sz w:val="24"/>
      <w:lang w:val="en-GB" w:eastAsia="en-US" w:bidi="ar-SA"/>
    </w:rPr>
  </w:style>
  <w:style w:type="paragraph" w:customStyle="1" w:styleId="JuParaCharChar0">
    <w:name w:val="Ju_Para Char Char"/>
    <w:basedOn w:val="Normal"/>
    <w:rsid w:val="009F1000"/>
    <w:pPr>
      <w:ind w:firstLine="284"/>
    </w:pPr>
    <w:rPr>
      <w:szCs w:val="20"/>
    </w:rPr>
  </w:style>
  <w:style w:type="paragraph" w:customStyle="1" w:styleId="JuPara">
    <w:name w:val="Ju_Para"/>
    <w:basedOn w:val="Normal"/>
    <w:rsid w:val="00982939"/>
    <w:pPr>
      <w:ind w:firstLine="284"/>
    </w:pPr>
    <w:rPr>
      <w:szCs w:val="20"/>
    </w:rPr>
  </w:style>
  <w:style w:type="paragraph" w:customStyle="1" w:styleId="JuParaCharCharCharChar1">
    <w:name w:val="Ju_Para Char Char Char Char1"/>
    <w:basedOn w:val="Normal"/>
    <w:link w:val="JuParaCharCharChar0"/>
    <w:rsid w:val="00C6284D"/>
    <w:pPr>
      <w:ind w:firstLine="284"/>
    </w:pPr>
    <w:rPr>
      <w:szCs w:val="20"/>
    </w:rPr>
  </w:style>
  <w:style w:type="character" w:customStyle="1" w:styleId="JuParaCharChar1Char">
    <w:name w:val="Ju_Para Char Char1 Char"/>
    <w:basedOn w:val="DefaultParagraphFont"/>
    <w:rsid w:val="00994EC9"/>
    <w:rPr>
      <w:sz w:val="24"/>
      <w:lang w:val="fr-FR" w:eastAsia="fr-FR" w:bidi="ar-SA"/>
    </w:rPr>
  </w:style>
  <w:style w:type="paragraph" w:customStyle="1" w:styleId="PTitle1Alpha">
    <w:name w:val="P_Title1_Alpha"/>
    <w:basedOn w:val="Normal"/>
    <w:next w:val="Normal"/>
    <w:rsid w:val="00243F4C"/>
    <w:pPr>
      <w:spacing w:after="120"/>
      <w:jc w:val="center"/>
    </w:pPr>
    <w:rPr>
      <w:b/>
      <w:smallCaps/>
      <w:sz w:val="30"/>
      <w:szCs w:val="20"/>
    </w:rPr>
  </w:style>
  <w:style w:type="paragraph" w:customStyle="1" w:styleId="JuParaChar1CharCharCharCharChar">
    <w:name w:val="Ju_Para Char1 Char Char Char Char Char"/>
    <w:basedOn w:val="Normal"/>
    <w:link w:val="JuParaChar1CharCharCharCharCharChar"/>
    <w:rsid w:val="001042E9"/>
    <w:pPr>
      <w:ind w:firstLine="284"/>
    </w:pPr>
    <w:rPr>
      <w:lang w:val="en-GB"/>
    </w:rPr>
  </w:style>
  <w:style w:type="character" w:customStyle="1" w:styleId="JuParaChar1CharCharCharCharCharChar">
    <w:name w:val="Ju_Para Char1 Char Char Char Char Char Char"/>
    <w:basedOn w:val="DefaultParagraphFont"/>
    <w:link w:val="JuParaChar1CharCharCharCharChar"/>
    <w:rsid w:val="001042E9"/>
    <w:rPr>
      <w:sz w:val="24"/>
      <w:szCs w:val="24"/>
      <w:lang w:val="en-GB" w:eastAsia="fr-FR" w:bidi="ar-SA"/>
    </w:rPr>
  </w:style>
  <w:style w:type="paragraph" w:customStyle="1" w:styleId="juparacharcharcharcharcharcharchar0">
    <w:name w:val="juparacharcharcharcharcharcharchar"/>
    <w:basedOn w:val="Normal"/>
    <w:rsid w:val="00C1609F"/>
    <w:pPr>
      <w:suppressAutoHyphens w:val="0"/>
      <w:ind w:firstLine="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547039">
      <w:bodyDiv w:val="1"/>
      <w:marLeft w:val="0"/>
      <w:marRight w:val="0"/>
      <w:marTop w:val="0"/>
      <w:marBottom w:val="0"/>
      <w:divBdr>
        <w:top w:val="none" w:sz="0" w:space="0" w:color="auto"/>
        <w:left w:val="none" w:sz="0" w:space="0" w:color="auto"/>
        <w:bottom w:val="none" w:sz="0" w:space="0" w:color="auto"/>
        <w:right w:val="none" w:sz="0" w:space="0" w:color="auto"/>
      </w:divBdr>
      <w:divsChild>
        <w:div w:id="23458499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B46D19-3A52-4CEE-8421-AE8B5B3CA90F}">
  <ds:schemaRefs>
    <ds:schemaRef ds:uri="http://schemas.microsoft.com/sharepoint/v3/contenttype/forms"/>
  </ds:schemaRefs>
</ds:datastoreItem>
</file>

<file path=customXml/itemProps2.xml><?xml version="1.0" encoding="utf-8"?>
<ds:datastoreItem xmlns:ds="http://schemas.openxmlformats.org/officeDocument/2006/customXml" ds:itemID="{7E91D93F-16E6-4C57-A131-C7EDA3E6F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5775</TotalTime>
  <Pages>1</Pages>
  <Words>20626</Words>
  <Characters>117570</Characters>
  <Application>Microsoft Office Word</Application>
  <DocSecurity>0</DocSecurity>
  <Lines>979</Lines>
  <Paragraphs>275</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137921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
  <dc:creator/>
  <cp:keywords/>
  <dc:description/>
  <cp:lastModifiedBy/>
  <cp:revision>19</cp:revision>
  <cp:lastPrinted>2005-11-07T13:16:00Z</cp:lastPrinted>
  <dcterms:created xsi:type="dcterms:W3CDTF">2014-03-26T10:40:00Z</dcterms:created>
  <dcterms:modified xsi:type="dcterms:W3CDTF">2014-03-26T10:40:00Z</dcterms:modified>
</cp:coreProperties>
</file>