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66" w:rsidRDefault="00014566" w:rsidP="000C06B1">
      <w:pPr>
        <w:pStyle w:val="ECHRDecisionBody"/>
        <w:jc w:val="center"/>
        <w:rPr>
          <w:lang w:val="en-GB"/>
        </w:rPr>
      </w:pPr>
    </w:p>
    <w:p w:rsidR="0076670D" w:rsidRDefault="0076670D" w:rsidP="000C06B1">
      <w:pPr>
        <w:pStyle w:val="ECHRDecisionBody"/>
        <w:jc w:val="center"/>
        <w:rPr>
          <w:lang w:val="en-GB"/>
        </w:rPr>
      </w:pPr>
    </w:p>
    <w:p w:rsidR="0076670D" w:rsidRPr="00062973" w:rsidRDefault="0076670D" w:rsidP="000C06B1">
      <w:pPr>
        <w:pStyle w:val="ECHRDecisionBody"/>
        <w:jc w:val="center"/>
        <w:rPr>
          <w:lang w:val="en-GB"/>
        </w:rPr>
      </w:pPr>
    </w:p>
    <w:p w:rsidR="00014566" w:rsidRPr="00062973" w:rsidRDefault="007A3CCB" w:rsidP="00014566">
      <w:pPr>
        <w:jc w:val="center"/>
        <w:rPr>
          <w:lang w:val="en-GB"/>
        </w:rPr>
      </w:pPr>
      <w:r>
        <w:rPr>
          <w:lang w:val="en-GB"/>
        </w:rPr>
        <w:t>FOURTH SECTION</w:t>
      </w:r>
    </w:p>
    <w:p w:rsidR="00014566" w:rsidRDefault="00014566" w:rsidP="00014566">
      <w:pPr>
        <w:jc w:val="center"/>
        <w:rPr>
          <w:lang w:val="en-GB"/>
        </w:rPr>
      </w:pPr>
    </w:p>
    <w:p w:rsidR="0076670D" w:rsidRDefault="0076670D" w:rsidP="00014566">
      <w:pPr>
        <w:jc w:val="center"/>
        <w:rPr>
          <w:lang w:val="en-GB"/>
        </w:rPr>
      </w:pPr>
    </w:p>
    <w:p w:rsidR="0076670D" w:rsidRDefault="0076670D" w:rsidP="00014566">
      <w:pPr>
        <w:jc w:val="center"/>
        <w:rPr>
          <w:lang w:val="en-GB"/>
        </w:rPr>
      </w:pPr>
    </w:p>
    <w:p w:rsidR="0076670D" w:rsidRDefault="0076670D" w:rsidP="00014566">
      <w:pPr>
        <w:jc w:val="center"/>
        <w:rPr>
          <w:lang w:val="en-GB"/>
        </w:rPr>
      </w:pPr>
    </w:p>
    <w:p w:rsidR="0076670D" w:rsidRDefault="0076670D" w:rsidP="00014566">
      <w:pPr>
        <w:jc w:val="center"/>
        <w:rPr>
          <w:lang w:val="en-GB"/>
        </w:rPr>
      </w:pPr>
    </w:p>
    <w:p w:rsidR="0076670D" w:rsidRPr="00062973" w:rsidRDefault="0076670D" w:rsidP="00014566">
      <w:pPr>
        <w:jc w:val="center"/>
        <w:rPr>
          <w:lang w:val="en-GB"/>
        </w:rPr>
      </w:pPr>
    </w:p>
    <w:p w:rsidR="00014566" w:rsidRPr="008B659F" w:rsidRDefault="00014566" w:rsidP="00014566">
      <w:pPr>
        <w:jc w:val="center"/>
        <w:rPr>
          <w:b/>
          <w:lang w:val="en-GB"/>
        </w:rPr>
      </w:pPr>
      <w:bookmarkStart w:id="0" w:name="To"/>
      <w:r w:rsidRPr="008B659F">
        <w:rPr>
          <w:b/>
          <w:lang w:val="en-GB"/>
        </w:rPr>
        <w:t xml:space="preserve">CASE OF </w:t>
      </w:r>
      <w:bookmarkEnd w:id="0"/>
      <w:r w:rsidR="007A3CCB">
        <w:rPr>
          <w:b/>
        </w:rPr>
        <w:t>DAVIDOVS v. LATVIA</w:t>
      </w:r>
    </w:p>
    <w:p w:rsidR="00014566" w:rsidRPr="00062973" w:rsidRDefault="00014566" w:rsidP="00014566">
      <w:pPr>
        <w:jc w:val="center"/>
        <w:rPr>
          <w:lang w:val="en-GB"/>
        </w:rPr>
      </w:pPr>
    </w:p>
    <w:p w:rsidR="00014566" w:rsidRPr="00D53C0F" w:rsidRDefault="00014566" w:rsidP="00014566">
      <w:pPr>
        <w:jc w:val="center"/>
        <w:rPr>
          <w:i/>
          <w:lang w:val="en-GB"/>
        </w:rPr>
      </w:pPr>
      <w:r w:rsidRPr="00D53C0F">
        <w:rPr>
          <w:i/>
          <w:lang w:val="en-GB"/>
        </w:rPr>
        <w:t>(</w:t>
      </w:r>
      <w:r w:rsidR="007A3CCB" w:rsidRPr="00D53C0F">
        <w:rPr>
          <w:i/>
        </w:rPr>
        <w:t xml:space="preserve">Application no. </w:t>
      </w:r>
      <w:r w:rsidR="007A3CCB">
        <w:rPr>
          <w:i/>
        </w:rPr>
        <w:t>45559/06</w:t>
      </w:r>
      <w:r w:rsidRPr="00D53C0F">
        <w:rPr>
          <w:i/>
          <w:lang w:val="en-GB"/>
        </w:rPr>
        <w:t>)</w:t>
      </w:r>
    </w:p>
    <w:p w:rsidR="00014566" w:rsidRPr="00062973" w:rsidRDefault="00014566" w:rsidP="00014566">
      <w:pPr>
        <w:jc w:val="center"/>
        <w:rPr>
          <w:lang w:val="en-GB"/>
        </w:rPr>
      </w:pPr>
    </w:p>
    <w:p w:rsidR="00014566" w:rsidRPr="00062973" w:rsidRDefault="00014566" w:rsidP="00014566">
      <w:pPr>
        <w:jc w:val="center"/>
        <w:rPr>
          <w:lang w:val="en-GB"/>
        </w:rPr>
      </w:pPr>
    </w:p>
    <w:p w:rsidR="00014566" w:rsidRPr="00062973" w:rsidRDefault="00014566" w:rsidP="00014566">
      <w:pPr>
        <w:jc w:val="center"/>
        <w:rPr>
          <w:lang w:val="en-GB"/>
        </w:rPr>
      </w:pPr>
    </w:p>
    <w:p w:rsidR="00014566" w:rsidRPr="00062973" w:rsidRDefault="00014566" w:rsidP="00014566">
      <w:pPr>
        <w:jc w:val="center"/>
        <w:rPr>
          <w:lang w:val="en-GB"/>
        </w:rPr>
      </w:pPr>
    </w:p>
    <w:p w:rsidR="00014566" w:rsidRPr="00062973" w:rsidRDefault="00014566" w:rsidP="00014566">
      <w:pPr>
        <w:jc w:val="center"/>
        <w:rPr>
          <w:lang w:val="en-GB"/>
        </w:rPr>
      </w:pPr>
    </w:p>
    <w:p w:rsidR="00014566" w:rsidRDefault="00014566" w:rsidP="00014566">
      <w:pPr>
        <w:jc w:val="center"/>
        <w:rPr>
          <w:lang w:val="en-GB"/>
        </w:rPr>
      </w:pPr>
    </w:p>
    <w:p w:rsidR="00420381" w:rsidRPr="00062973" w:rsidRDefault="00420381" w:rsidP="00014566">
      <w:pPr>
        <w:jc w:val="center"/>
        <w:rPr>
          <w:lang w:val="en-GB"/>
        </w:rPr>
      </w:pPr>
    </w:p>
    <w:p w:rsidR="0076670D" w:rsidRDefault="0076670D" w:rsidP="00420381">
      <w:pPr>
        <w:pStyle w:val="ECHRPara"/>
        <w:ind w:firstLine="0"/>
        <w:jc w:val="center"/>
        <w:rPr>
          <w:lang w:val="en-GB"/>
        </w:rPr>
      </w:pPr>
      <w:r>
        <w:rPr>
          <w:lang w:val="en-GB"/>
        </w:rPr>
        <w:t>JUDGMENT</w:t>
      </w:r>
    </w:p>
    <w:p w:rsidR="009C198E" w:rsidRDefault="009C198E" w:rsidP="0076670D">
      <w:pPr>
        <w:pStyle w:val="ECHRPara"/>
        <w:jc w:val="center"/>
        <w:rPr>
          <w:rFonts w:ascii="Times New Roman" w:hAnsi="Times New Roman" w:cs="Times New Roman"/>
          <w:b/>
          <w:bCs/>
          <w:color w:val="000000"/>
        </w:rPr>
      </w:pPr>
    </w:p>
    <w:p w:rsidR="0013704A" w:rsidRDefault="0013704A" w:rsidP="00014566">
      <w:pPr>
        <w:rPr>
          <w:szCs w:val="24"/>
        </w:rPr>
      </w:pPr>
    </w:p>
    <w:p w:rsidR="00420381" w:rsidRDefault="00420381" w:rsidP="00014566">
      <w:pPr>
        <w:rPr>
          <w:szCs w:val="24"/>
        </w:rPr>
      </w:pPr>
    </w:p>
    <w:p w:rsidR="00420381" w:rsidRDefault="00420381" w:rsidP="00014566">
      <w:pPr>
        <w:rPr>
          <w:szCs w:val="24"/>
        </w:rPr>
      </w:pPr>
    </w:p>
    <w:p w:rsidR="00420381" w:rsidRDefault="00420381" w:rsidP="00014566">
      <w:pPr>
        <w:rPr>
          <w:szCs w:val="24"/>
        </w:rPr>
      </w:pPr>
    </w:p>
    <w:p w:rsidR="00420381" w:rsidRPr="0013704A" w:rsidRDefault="00420381" w:rsidP="00014566">
      <w:pPr>
        <w:rPr>
          <w:szCs w:val="24"/>
        </w:rPr>
      </w:pPr>
    </w:p>
    <w:p w:rsidR="0076670D" w:rsidRDefault="0076670D" w:rsidP="0076670D">
      <w:pPr>
        <w:pStyle w:val="JuCase"/>
        <w:ind w:firstLine="0"/>
        <w:jc w:val="center"/>
        <w:rPr>
          <w:b w:val="0"/>
          <w:lang w:val="en-GB"/>
        </w:rPr>
      </w:pPr>
    </w:p>
    <w:p w:rsidR="0076670D" w:rsidRDefault="0076670D" w:rsidP="0076670D">
      <w:pPr>
        <w:pStyle w:val="JuCase"/>
        <w:ind w:firstLine="0"/>
        <w:jc w:val="center"/>
        <w:rPr>
          <w:b w:val="0"/>
          <w:lang w:val="en-GB"/>
        </w:rPr>
      </w:pPr>
    </w:p>
    <w:p w:rsidR="0076670D" w:rsidRDefault="0076670D" w:rsidP="0076670D">
      <w:pPr>
        <w:pStyle w:val="JuCase"/>
        <w:ind w:firstLine="0"/>
        <w:jc w:val="center"/>
        <w:rPr>
          <w:b w:val="0"/>
          <w:lang w:val="en-GB"/>
        </w:rPr>
      </w:pPr>
      <w:r>
        <w:rPr>
          <w:b w:val="0"/>
          <w:lang w:val="en-GB"/>
        </w:rPr>
        <w:t>STRASBOURG</w:t>
      </w:r>
    </w:p>
    <w:p w:rsidR="0076670D" w:rsidRDefault="0076670D" w:rsidP="0076670D">
      <w:pPr>
        <w:pStyle w:val="JuCase"/>
        <w:ind w:firstLine="0"/>
        <w:jc w:val="center"/>
        <w:rPr>
          <w:b w:val="0"/>
          <w:lang w:val="en-GB"/>
        </w:rPr>
      </w:pPr>
    </w:p>
    <w:p w:rsidR="0076670D" w:rsidRDefault="0076670D" w:rsidP="0076670D">
      <w:pPr>
        <w:pStyle w:val="JuCase"/>
        <w:ind w:firstLine="0"/>
        <w:jc w:val="center"/>
        <w:rPr>
          <w:b w:val="0"/>
          <w:lang w:val="en-GB"/>
        </w:rPr>
      </w:pPr>
      <w:r>
        <w:rPr>
          <w:b w:val="0"/>
          <w:lang w:val="en-GB"/>
        </w:rPr>
        <w:t>7 July 2015</w:t>
      </w:r>
    </w:p>
    <w:p w:rsidR="0076670D" w:rsidRDefault="0076670D" w:rsidP="0076670D">
      <w:pPr>
        <w:pStyle w:val="JuCase"/>
        <w:ind w:firstLine="0"/>
        <w:jc w:val="center"/>
        <w:rPr>
          <w:b w:val="0"/>
          <w:lang w:val="en-GB"/>
        </w:rPr>
      </w:pPr>
    </w:p>
    <w:p w:rsidR="00420381" w:rsidRDefault="00420381" w:rsidP="00420381">
      <w:pPr>
        <w:rPr>
          <w:lang w:val="en-GB"/>
        </w:rPr>
      </w:pPr>
    </w:p>
    <w:p w:rsidR="00420381" w:rsidRPr="00420381" w:rsidRDefault="00420381" w:rsidP="00420381">
      <w:pPr>
        <w:rPr>
          <w:lang w:val="en-GB"/>
        </w:rPr>
      </w:pPr>
    </w:p>
    <w:p w:rsidR="0076670D" w:rsidRDefault="0076670D" w:rsidP="0076670D">
      <w:pPr>
        <w:pStyle w:val="JuCase"/>
        <w:ind w:firstLine="0"/>
        <w:jc w:val="center"/>
        <w:rPr>
          <w:b w:val="0"/>
          <w:lang w:val="en-GB"/>
        </w:rPr>
      </w:pPr>
    </w:p>
    <w:p w:rsidR="00420381" w:rsidRPr="00420381" w:rsidRDefault="0076670D" w:rsidP="00420381">
      <w:pPr>
        <w:pStyle w:val="JuCase"/>
        <w:ind w:firstLine="0"/>
        <w:jc w:val="center"/>
        <w:rPr>
          <w:b w:val="0"/>
          <w:i/>
          <w:sz w:val="22"/>
          <w:lang w:val="en-GB"/>
        </w:rPr>
        <w:sectPr w:rsidR="00420381" w:rsidRPr="00420381" w:rsidSect="0076670D">
          <w:headerReference w:type="default" r:id="rId9"/>
          <w:headerReference w:type="first" r:id="rId10"/>
          <w:footerReference w:type="first" r:id="rId11"/>
          <w:footnotePr>
            <w:numRestart w:val="eachPage"/>
          </w:footnotePr>
          <w:pgSz w:w="11906" w:h="16838" w:code="9"/>
          <w:pgMar w:top="2274" w:right="2274" w:bottom="2274" w:left="2274" w:header="1701" w:footer="720" w:gutter="0"/>
          <w:pgNumType w:start="1"/>
          <w:cols w:space="720"/>
          <w:titlePg/>
          <w:docGrid w:linePitch="326"/>
        </w:sectPr>
      </w:pPr>
      <w:r>
        <w:rPr>
          <w:b w:val="0"/>
          <w:i/>
          <w:sz w:val="22"/>
          <w:lang w:val="en-GB"/>
        </w:rPr>
        <w:t>This judgment is final but it may be subject to editorial revision.</w:t>
      </w:r>
    </w:p>
    <w:p w:rsidR="00014566" w:rsidRPr="00062973" w:rsidRDefault="00014566" w:rsidP="00D60D87">
      <w:pPr>
        <w:pStyle w:val="JuCase"/>
        <w:rPr>
          <w:bCs/>
          <w:lang w:val="en-GB"/>
        </w:rPr>
      </w:pPr>
      <w:r w:rsidRPr="00062973">
        <w:rPr>
          <w:lang w:val="en-GB"/>
        </w:rPr>
        <w:t xml:space="preserve">In the case of </w:t>
      </w:r>
      <w:r w:rsidR="007A3CCB">
        <w:t>Davidovs v. Latvia</w:t>
      </w:r>
      <w:r w:rsidRPr="00062973">
        <w:rPr>
          <w:lang w:val="en-GB"/>
        </w:rPr>
        <w:t>,</w:t>
      </w:r>
    </w:p>
    <w:p w:rsidR="00014566" w:rsidRPr="00062973" w:rsidRDefault="00014566" w:rsidP="005E2A43">
      <w:pPr>
        <w:pStyle w:val="ECHRPara"/>
        <w:rPr>
          <w:lang w:val="en-GB"/>
        </w:rPr>
      </w:pPr>
      <w:r w:rsidRPr="00062973">
        <w:rPr>
          <w:lang w:val="en-GB"/>
        </w:rPr>
        <w:t>The European Court of Human Rights (</w:t>
      </w:r>
      <w:r w:rsidR="007A3CCB">
        <w:rPr>
          <w:lang w:val="en-GB"/>
        </w:rPr>
        <w:t>Fourth Section</w:t>
      </w:r>
      <w:r w:rsidRPr="00062973">
        <w:rPr>
          <w:lang w:val="en-GB"/>
        </w:rPr>
        <w:t xml:space="preserve">), sitting as a </w:t>
      </w:r>
      <w:r w:rsidR="007A3CCB" w:rsidRPr="00062973">
        <w:rPr>
          <w:lang w:val="en-GB"/>
        </w:rPr>
        <w:t>Committee</w:t>
      </w:r>
      <w:r w:rsidRPr="00062973">
        <w:rPr>
          <w:lang w:val="en-GB"/>
        </w:rPr>
        <w:t xml:space="preserve"> composed of:</w:t>
      </w:r>
    </w:p>
    <w:p w:rsidR="00014566" w:rsidRPr="00062973" w:rsidRDefault="00EF1318" w:rsidP="00DF0549">
      <w:pPr>
        <w:pStyle w:val="ECHRDecisionBody"/>
        <w:rPr>
          <w:lang w:val="en-GB"/>
        </w:rPr>
      </w:pPr>
      <w:r w:rsidRPr="00EF1318">
        <w:tab/>
        <w:t>Krzysztof</w:t>
      </w:r>
      <w:r>
        <w:t xml:space="preserve"> </w:t>
      </w:r>
      <w:r w:rsidRPr="00EF1318">
        <w:t>Wojtyczek</w:t>
      </w:r>
      <w:r>
        <w:t>,</w:t>
      </w:r>
      <w:r w:rsidRPr="00EF1318">
        <w:rPr>
          <w:i/>
        </w:rPr>
        <w:t xml:space="preserve"> President,</w:t>
      </w:r>
      <w:r>
        <w:rPr>
          <w:i/>
        </w:rPr>
        <w:br/>
      </w:r>
      <w:r w:rsidRPr="00EF1318">
        <w:tab/>
        <w:t>Faris</w:t>
      </w:r>
      <w:r>
        <w:t xml:space="preserve"> </w:t>
      </w:r>
      <w:r w:rsidRPr="00EF1318">
        <w:t>Vehabović</w:t>
      </w:r>
      <w:r>
        <w:t>,</w:t>
      </w:r>
      <w:r>
        <w:rPr>
          <w:i/>
        </w:rPr>
        <w:br/>
      </w:r>
      <w:r w:rsidRPr="00EF1318">
        <w:tab/>
        <w:t>Yonko</w:t>
      </w:r>
      <w:r>
        <w:t xml:space="preserve"> </w:t>
      </w:r>
      <w:r w:rsidRPr="00EF1318">
        <w:t>Grozev</w:t>
      </w:r>
      <w:r>
        <w:t>,</w:t>
      </w:r>
      <w:r w:rsidRPr="00EF1318">
        <w:rPr>
          <w:i/>
        </w:rPr>
        <w:t xml:space="preserve"> judges,</w:t>
      </w:r>
      <w:r w:rsidR="00014566" w:rsidRPr="00062973">
        <w:rPr>
          <w:szCs w:val="24"/>
          <w:lang w:val="en-GB"/>
        </w:rPr>
        <w:br/>
      </w:r>
      <w:r w:rsidR="00014566" w:rsidRPr="00062973">
        <w:rPr>
          <w:lang w:val="en-GB"/>
        </w:rPr>
        <w:t xml:space="preserve">and </w:t>
      </w:r>
      <w:r w:rsidR="007A3CCB">
        <w:rPr>
          <w:lang w:val="en-GB"/>
        </w:rPr>
        <w:t>Fatoş</w:t>
      </w:r>
      <w:r w:rsidR="007A3CCB" w:rsidRPr="00062973">
        <w:rPr>
          <w:lang w:val="en-GB"/>
        </w:rPr>
        <w:t xml:space="preserve"> </w:t>
      </w:r>
      <w:r w:rsidR="007A3CCB">
        <w:rPr>
          <w:lang w:val="en-GB"/>
        </w:rPr>
        <w:t>Aracı</w:t>
      </w:r>
      <w:r w:rsidR="00014566" w:rsidRPr="00062973">
        <w:rPr>
          <w:lang w:val="en-GB"/>
        </w:rPr>
        <w:t xml:space="preserve">, </w:t>
      </w:r>
      <w:r w:rsidR="007A3CCB" w:rsidRPr="00062973">
        <w:rPr>
          <w:i/>
          <w:lang w:val="en-GB"/>
        </w:rPr>
        <w:t xml:space="preserve">Deputy Section </w:t>
      </w:r>
      <w:r w:rsidR="007A3CCB" w:rsidRPr="00062973">
        <w:rPr>
          <w:i/>
          <w:iCs/>
          <w:lang w:val="en-GB"/>
        </w:rPr>
        <w:t>Registrar</w:t>
      </w:r>
      <w:r w:rsidR="00014566" w:rsidRPr="00062973">
        <w:rPr>
          <w:i/>
          <w:lang w:val="en-GB"/>
        </w:rPr>
        <w:t>,</w:t>
      </w:r>
    </w:p>
    <w:p w:rsidR="00014566" w:rsidRPr="00062973" w:rsidRDefault="00014566" w:rsidP="00C621C2">
      <w:pPr>
        <w:pStyle w:val="ECHRPara"/>
        <w:rPr>
          <w:lang w:val="en-GB"/>
        </w:rPr>
      </w:pPr>
      <w:r w:rsidRPr="00062973">
        <w:rPr>
          <w:lang w:val="en-GB"/>
        </w:rPr>
        <w:t xml:space="preserve">Having deliberated in private on </w:t>
      </w:r>
      <w:r w:rsidR="00EF1318">
        <w:rPr>
          <w:lang w:val="en-GB"/>
        </w:rPr>
        <w:t>16 June 2015</w:t>
      </w:r>
      <w:r w:rsidRPr="00062973">
        <w:rPr>
          <w:lang w:val="en-GB"/>
        </w:rPr>
        <w:t>,</w:t>
      </w:r>
    </w:p>
    <w:p w:rsidR="00014566" w:rsidRPr="00062973" w:rsidRDefault="00014566" w:rsidP="00C621C2">
      <w:pPr>
        <w:pStyle w:val="ECHRPara"/>
        <w:rPr>
          <w:lang w:val="en-GB"/>
        </w:rPr>
      </w:pPr>
      <w:r w:rsidRPr="00062973">
        <w:rPr>
          <w:lang w:val="en-GB"/>
        </w:rPr>
        <w:t>Delivers the following judgment, which was adopted on that date:</w:t>
      </w:r>
    </w:p>
    <w:p w:rsidR="00014566" w:rsidRPr="00062973" w:rsidRDefault="00014566" w:rsidP="00014566">
      <w:pPr>
        <w:pStyle w:val="ECHRTitle1"/>
        <w:rPr>
          <w:lang w:val="en-GB"/>
        </w:rPr>
      </w:pPr>
      <w:r w:rsidRPr="00062973">
        <w:rPr>
          <w:lang w:val="en-GB"/>
        </w:rPr>
        <w:t>PROCEDURE</w:t>
      </w:r>
    </w:p>
    <w:p w:rsidR="007A3CCB" w:rsidRPr="00F77011" w:rsidRDefault="00460046" w:rsidP="00C621C2">
      <w:pPr>
        <w:pStyle w:val="ECHRPara"/>
        <w:rPr>
          <w:lang w:val="en-GB"/>
        </w:rPr>
      </w:pPr>
      <w:r>
        <w:fldChar w:fldCharType="begin"/>
      </w:r>
      <w:r>
        <w:instrText xml:space="preserve"> SEQ level0 \*arabic \r1</w:instrText>
      </w:r>
      <w:r w:rsidR="007A3CCB" w:rsidRPr="00727808">
        <w:fldChar w:fldCharType="begin"/>
      </w:r>
      <w:r w:rsidR="007A3CCB" w:rsidRPr="00727808">
        <w:instrText xml:space="preserve"> </w:instrText>
      </w:r>
      <w:r>
        <w:instrText>.  </w:instrText>
      </w:r>
      <w:r w:rsidR="007A3CCB" w:rsidRPr="00727808">
        <w:instrText xml:space="preserve">SEQ level0 \*arabic </w:instrText>
      </w:r>
      <w:r w:rsidR="007A3CCB" w:rsidRPr="00727808">
        <w:fldChar w:fldCharType="separate"/>
      </w:r>
      <w:r w:rsidR="00755147">
        <w:rPr>
          <w:noProof/>
        </w:rPr>
        <w:instrText>13</w:instrText>
      </w:r>
      <w:r w:rsidR="007A3CCB" w:rsidRPr="00727808">
        <w:fldChar w:fldCharType="end"/>
      </w:r>
      <w:r>
        <w:instrText xml:space="preserve"> </w:instrText>
      </w:r>
      <w:r>
        <w:fldChar w:fldCharType="separate"/>
      </w:r>
      <w:r w:rsidR="00657757">
        <w:rPr>
          <w:noProof/>
        </w:rPr>
        <w:t>1</w:t>
      </w:r>
      <w:r>
        <w:fldChar w:fldCharType="end"/>
      </w:r>
      <w:r w:rsidR="00014566" w:rsidRPr="00062973">
        <w:rPr>
          <w:lang w:val="en-GB"/>
        </w:rPr>
        <w:t xml:space="preserve">.  The case originated in </w:t>
      </w:r>
      <w:r w:rsidR="007A3CCB" w:rsidRPr="00062973">
        <w:rPr>
          <w:lang w:val="en-GB"/>
        </w:rPr>
        <w:t xml:space="preserve">an application (no. </w:t>
      </w:r>
      <w:r w:rsidR="007A3CCB">
        <w:rPr>
          <w:lang w:val="en-GB"/>
        </w:rPr>
        <w:t>45559/06</w:t>
      </w:r>
      <w:r w:rsidR="007A3CCB" w:rsidRPr="00062973">
        <w:rPr>
          <w:lang w:val="en-GB"/>
        </w:rPr>
        <w:t>)</w:t>
      </w:r>
      <w:r w:rsidR="00014566" w:rsidRPr="00062973">
        <w:rPr>
          <w:lang w:val="en-GB"/>
        </w:rPr>
        <w:t xml:space="preserve"> against </w:t>
      </w:r>
      <w:r w:rsidR="007A3CCB">
        <w:rPr>
          <w:lang w:val="en-GB"/>
        </w:rPr>
        <w:t>the Republic of Latvia</w:t>
      </w:r>
      <w:r w:rsidR="00014566" w:rsidRPr="00062973">
        <w:rPr>
          <w:lang w:val="en-GB"/>
        </w:rPr>
        <w:t xml:space="preserve"> lodged with the </w:t>
      </w:r>
      <w:r w:rsidR="007A3CCB" w:rsidRPr="00062973">
        <w:rPr>
          <w:lang w:val="en-GB"/>
        </w:rPr>
        <w:t>Court under Article 34</w:t>
      </w:r>
      <w:r w:rsidR="00014566" w:rsidRPr="00062973">
        <w:rPr>
          <w:lang w:val="en-GB"/>
        </w:rPr>
        <w:t xml:space="preserve"> of the Convention for the Protection of Human Rights and Fundamental Freedoms (“the Convention”) by </w:t>
      </w:r>
      <w:r w:rsidR="007A3CCB" w:rsidRPr="00062973">
        <w:rPr>
          <w:lang w:val="en-GB"/>
        </w:rPr>
        <w:t xml:space="preserve">a </w:t>
      </w:r>
      <w:r w:rsidR="007A3CCB">
        <w:rPr>
          <w:lang w:val="en-GB"/>
        </w:rPr>
        <w:t>Latvian</w:t>
      </w:r>
      <w:r w:rsidR="00F77011">
        <w:rPr>
          <w:lang w:val="en-GB"/>
        </w:rPr>
        <w:t xml:space="preserve"> </w:t>
      </w:r>
      <w:r w:rsidR="007A3CCB" w:rsidRPr="00062973">
        <w:rPr>
          <w:lang w:val="en-GB"/>
        </w:rPr>
        <w:t xml:space="preserve">national, </w:t>
      </w:r>
      <w:r w:rsidR="007A3CCB">
        <w:rPr>
          <w:lang w:val="en-GB"/>
        </w:rPr>
        <w:t>Mr</w:t>
      </w:r>
      <w:r w:rsidR="007A3CCB" w:rsidRPr="00062973">
        <w:rPr>
          <w:lang w:val="en-GB"/>
        </w:rPr>
        <w:t xml:space="preserve"> </w:t>
      </w:r>
      <w:r w:rsidR="007A3CCB">
        <w:rPr>
          <w:lang w:val="en-GB"/>
        </w:rPr>
        <w:t>Gundars</w:t>
      </w:r>
      <w:r w:rsidR="007A3CCB" w:rsidRPr="00062973">
        <w:rPr>
          <w:lang w:val="en-GB"/>
        </w:rPr>
        <w:t xml:space="preserve"> </w:t>
      </w:r>
      <w:r w:rsidR="007A3CCB">
        <w:rPr>
          <w:lang w:val="en-GB"/>
        </w:rPr>
        <w:t>Davidovs</w:t>
      </w:r>
      <w:r w:rsidR="007A3CCB" w:rsidRPr="00062973">
        <w:rPr>
          <w:lang w:val="en-GB"/>
        </w:rPr>
        <w:t xml:space="preserve"> (“the applicant</w:t>
      </w:r>
      <w:r w:rsidR="007A3CCB" w:rsidRPr="00F77011">
        <w:rPr>
          <w:lang w:val="en-GB"/>
        </w:rPr>
        <w:t xml:space="preserve">”), on </w:t>
      </w:r>
      <w:r w:rsidR="00F77011" w:rsidRPr="00F77011">
        <w:rPr>
          <w:lang w:val="en-GB"/>
        </w:rPr>
        <w:t>16 October </w:t>
      </w:r>
      <w:r w:rsidR="007A3CCB" w:rsidRPr="00F77011">
        <w:rPr>
          <w:lang w:val="en-GB"/>
        </w:rPr>
        <w:t>2006</w:t>
      </w:r>
      <w:r w:rsidR="00014566" w:rsidRPr="00F77011">
        <w:rPr>
          <w:lang w:val="en-GB"/>
        </w:rPr>
        <w:t>.</w:t>
      </w:r>
    </w:p>
    <w:p w:rsidR="00014566" w:rsidRPr="00F77011" w:rsidRDefault="007A3CCB" w:rsidP="00C621C2">
      <w:pPr>
        <w:pStyle w:val="ECHRPara"/>
        <w:rPr>
          <w:lang w:val="en-GB"/>
        </w:rPr>
      </w:pPr>
      <w:r w:rsidRPr="00F77011">
        <w:rPr>
          <w:lang w:val="en-GB"/>
        </w:rPr>
        <w:fldChar w:fldCharType="begin"/>
      </w:r>
      <w:r w:rsidRPr="00F77011">
        <w:rPr>
          <w:lang w:val="en-GB"/>
        </w:rPr>
        <w:instrText xml:space="preserve"> SEQ level0 \*arabic </w:instrText>
      </w:r>
      <w:r w:rsidRPr="00F77011">
        <w:rPr>
          <w:lang w:val="en-GB"/>
        </w:rPr>
        <w:fldChar w:fldCharType="separate"/>
      </w:r>
      <w:r w:rsidR="00657757">
        <w:rPr>
          <w:noProof/>
          <w:lang w:val="en-GB"/>
        </w:rPr>
        <w:t>2</w:t>
      </w:r>
      <w:r w:rsidRPr="00F77011">
        <w:rPr>
          <w:lang w:val="en-GB"/>
        </w:rPr>
        <w:fldChar w:fldCharType="end"/>
      </w:r>
      <w:r w:rsidR="00014566" w:rsidRPr="00F77011">
        <w:rPr>
          <w:lang w:val="en-GB"/>
        </w:rPr>
        <w:t xml:space="preserve">.  The </w:t>
      </w:r>
      <w:r w:rsidRPr="00F77011">
        <w:rPr>
          <w:lang w:val="en-GB"/>
        </w:rPr>
        <w:t>Latvian</w:t>
      </w:r>
      <w:r w:rsidR="00014566" w:rsidRPr="00F77011">
        <w:rPr>
          <w:lang w:val="en-GB"/>
        </w:rPr>
        <w:t xml:space="preserve"> Government (“the Government”) were represented by their Agent, Mrs </w:t>
      </w:r>
      <w:r w:rsidR="00F77011" w:rsidRPr="00F77011">
        <w:rPr>
          <w:lang w:val="en-GB"/>
        </w:rPr>
        <w:t>K. Līce</w:t>
      </w:r>
      <w:r w:rsidR="00014566" w:rsidRPr="00F77011">
        <w:rPr>
          <w:lang w:val="en-GB"/>
        </w:rPr>
        <w:t>.</w:t>
      </w:r>
    </w:p>
    <w:p w:rsidR="007A3CCB" w:rsidRPr="00F77011" w:rsidRDefault="007A3CCB" w:rsidP="00C621C2">
      <w:pPr>
        <w:pStyle w:val="ECHRPara"/>
        <w:rPr>
          <w:lang w:val="en-GB"/>
        </w:rPr>
      </w:pPr>
      <w:r w:rsidRPr="00F77011">
        <w:rPr>
          <w:lang w:val="en-GB"/>
        </w:rPr>
        <w:fldChar w:fldCharType="begin"/>
      </w:r>
      <w:r w:rsidRPr="00F77011">
        <w:rPr>
          <w:lang w:val="en-GB"/>
        </w:rPr>
        <w:instrText xml:space="preserve"> SEQ level0 \*arabic </w:instrText>
      </w:r>
      <w:r w:rsidRPr="00F77011">
        <w:rPr>
          <w:lang w:val="en-GB"/>
        </w:rPr>
        <w:fldChar w:fldCharType="separate"/>
      </w:r>
      <w:r w:rsidR="00657757">
        <w:rPr>
          <w:noProof/>
          <w:lang w:val="en-GB"/>
        </w:rPr>
        <w:t>3</w:t>
      </w:r>
      <w:r w:rsidRPr="00F77011">
        <w:rPr>
          <w:lang w:val="en-GB"/>
        </w:rPr>
        <w:fldChar w:fldCharType="end"/>
      </w:r>
      <w:r w:rsidR="00014566" w:rsidRPr="00F77011">
        <w:rPr>
          <w:lang w:val="en-GB"/>
        </w:rPr>
        <w:t>.  </w:t>
      </w:r>
      <w:r w:rsidRPr="00F77011">
        <w:rPr>
          <w:lang w:val="en-GB"/>
        </w:rPr>
        <w:t xml:space="preserve">On </w:t>
      </w:r>
      <w:r w:rsidR="00F77011" w:rsidRPr="00F77011">
        <w:rPr>
          <w:szCs w:val="24"/>
          <w:lang w:val="en-GB"/>
        </w:rPr>
        <w:t>14 October </w:t>
      </w:r>
      <w:r w:rsidRPr="00F77011">
        <w:rPr>
          <w:szCs w:val="24"/>
          <w:lang w:val="en-GB"/>
        </w:rPr>
        <w:t>2010</w:t>
      </w:r>
      <w:r w:rsidR="00014566" w:rsidRPr="00F77011">
        <w:rPr>
          <w:lang w:val="en-GB"/>
        </w:rPr>
        <w:t xml:space="preserve"> the </w:t>
      </w:r>
      <w:r w:rsidRPr="00F77011">
        <w:rPr>
          <w:lang w:val="en-GB"/>
        </w:rPr>
        <w:t>application was communicated to the Government</w:t>
      </w:r>
      <w:r w:rsidR="00014566" w:rsidRPr="00F77011">
        <w:rPr>
          <w:lang w:val="en-GB"/>
        </w:rPr>
        <w:t>.</w:t>
      </w:r>
    </w:p>
    <w:p w:rsidR="00014566" w:rsidRPr="00062973" w:rsidRDefault="007A3CCB" w:rsidP="00F77011">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4</w:t>
      </w:r>
      <w:r>
        <w:rPr>
          <w:lang w:val="en-GB"/>
        </w:rPr>
        <w:fldChar w:fldCharType="end"/>
      </w:r>
      <w:r w:rsidRPr="00062973">
        <w:rPr>
          <w:lang w:val="en-GB"/>
        </w:rPr>
        <w:t>.  </w:t>
      </w:r>
      <w:r w:rsidR="00F77011" w:rsidRPr="00893831">
        <w:t>Written observations were received from the Government and just satisfaction claim was received from the applicant.</w:t>
      </w:r>
    </w:p>
    <w:p w:rsidR="00014566" w:rsidRPr="00062973" w:rsidRDefault="00014566" w:rsidP="00014566">
      <w:pPr>
        <w:pStyle w:val="ECHRHeading1"/>
        <w:rPr>
          <w:lang w:val="en-GB"/>
        </w:rPr>
      </w:pPr>
      <w:r w:rsidRPr="00062973">
        <w:rPr>
          <w:lang w:val="en-GB"/>
        </w:rPr>
        <w:t>I.  THE CIRCUMSTANCES OF THE CASE</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5</w:t>
      </w:r>
      <w:r>
        <w:rPr>
          <w:lang w:val="en-GB"/>
        </w:rPr>
        <w:fldChar w:fldCharType="end"/>
      </w:r>
      <w:r w:rsidR="00014566" w:rsidRPr="00062973">
        <w:rPr>
          <w:lang w:val="en-GB"/>
        </w:rPr>
        <w:t xml:space="preserve">.  The </w:t>
      </w:r>
      <w:r w:rsidRPr="00062973">
        <w:rPr>
          <w:lang w:val="en-GB"/>
        </w:rPr>
        <w:t xml:space="preserve">applicant was born in </w:t>
      </w:r>
      <w:r>
        <w:rPr>
          <w:lang w:val="en-GB"/>
        </w:rPr>
        <w:t>1969</w:t>
      </w:r>
      <w:r w:rsidRPr="00062973">
        <w:rPr>
          <w:lang w:val="en-GB"/>
        </w:rPr>
        <w:t xml:space="preserve"> and </w:t>
      </w:r>
      <w:r w:rsidRPr="009A46DF">
        <w:t>is detained</w:t>
      </w:r>
      <w:r w:rsidR="00014566" w:rsidRPr="00062973">
        <w:rPr>
          <w:lang w:val="en-GB"/>
        </w:rPr>
        <w:t xml:space="preserve"> in </w:t>
      </w:r>
      <w:r w:rsidR="00F77011">
        <w:rPr>
          <w:lang w:val="en-GB"/>
        </w:rPr>
        <w:t>Valmiera</w:t>
      </w:r>
      <w:r>
        <w:rPr>
          <w:lang w:val="en-GB"/>
        </w:rPr>
        <w:t xml:space="preserve"> </w:t>
      </w:r>
      <w:r w:rsidR="00F77011">
        <w:rPr>
          <w:lang w:val="en-GB"/>
        </w:rPr>
        <w:t>prison</w:t>
      </w:r>
      <w:r w:rsidR="00014566" w:rsidRPr="00062973">
        <w:rPr>
          <w:lang w:val="en-GB"/>
        </w:rPr>
        <w:t>.</w:t>
      </w:r>
    </w:p>
    <w:p w:rsidR="00774C25" w:rsidRDefault="007A3CCB" w:rsidP="00673B7E">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6</w:t>
      </w:r>
      <w:r>
        <w:rPr>
          <w:lang w:val="en-GB"/>
        </w:rPr>
        <w:fldChar w:fldCharType="end"/>
      </w:r>
      <w:r w:rsidR="00014566" w:rsidRPr="00062973">
        <w:rPr>
          <w:lang w:val="en-GB"/>
        </w:rPr>
        <w:t>.  </w:t>
      </w:r>
      <w:r w:rsidR="00774C25">
        <w:rPr>
          <w:lang w:val="en-GB"/>
        </w:rPr>
        <w:t>On 31 May 2005 the applicant was arrested on suspicion of having commuted a theft.</w:t>
      </w:r>
    </w:p>
    <w:p w:rsidR="00673B7E" w:rsidRPr="00BC2678" w:rsidRDefault="00774C25" w:rsidP="00673B7E">
      <w:pPr>
        <w:pStyle w:val="ECHRPara"/>
        <w:rPr>
          <w:rFonts w:ascii="Times New Roman" w:eastAsiaTheme="minorHAnsi" w:hAnsi="Times New Roman" w:cs="Times New Roman"/>
          <w:szCs w:val="24"/>
        </w:rPr>
      </w:pPr>
      <w:r>
        <w:rPr>
          <w:rFonts w:ascii="Times New Roman" w:eastAsiaTheme="minorHAnsi" w:hAnsi="Times New Roman" w:cs="Times New Roman"/>
          <w:szCs w:val="24"/>
        </w:rPr>
        <w:fldChar w:fldCharType="begin"/>
      </w:r>
      <w:r>
        <w:rPr>
          <w:rFonts w:ascii="Times New Roman" w:eastAsiaTheme="minorHAnsi" w:hAnsi="Times New Roman" w:cs="Times New Roman"/>
          <w:szCs w:val="24"/>
        </w:rPr>
        <w:instrText xml:space="preserve"> SEQ level0 \*arabic </w:instrText>
      </w:r>
      <w:r>
        <w:rPr>
          <w:rFonts w:ascii="Times New Roman" w:eastAsiaTheme="minorHAnsi" w:hAnsi="Times New Roman" w:cs="Times New Roman"/>
          <w:szCs w:val="24"/>
        </w:rPr>
        <w:fldChar w:fldCharType="separate"/>
      </w:r>
      <w:r w:rsidR="00657757">
        <w:rPr>
          <w:rFonts w:ascii="Times New Roman" w:eastAsiaTheme="minorHAnsi" w:hAnsi="Times New Roman" w:cs="Times New Roman"/>
          <w:noProof/>
          <w:szCs w:val="24"/>
        </w:rPr>
        <w:t>7</w:t>
      </w:r>
      <w:r>
        <w:rPr>
          <w:rFonts w:ascii="Times New Roman" w:eastAsiaTheme="minorHAnsi" w:hAnsi="Times New Roman" w:cs="Times New Roman"/>
          <w:szCs w:val="24"/>
        </w:rPr>
        <w:fldChar w:fldCharType="end"/>
      </w:r>
      <w:r>
        <w:rPr>
          <w:rFonts w:ascii="Times New Roman" w:eastAsiaTheme="minorHAnsi" w:hAnsi="Times New Roman" w:cs="Times New Roman"/>
          <w:szCs w:val="24"/>
        </w:rPr>
        <w:t>.  </w:t>
      </w:r>
      <w:r w:rsidR="00F77011">
        <w:rPr>
          <w:rFonts w:ascii="Times New Roman" w:eastAsiaTheme="minorHAnsi" w:hAnsi="Times New Roman" w:cs="Times New Roman"/>
          <w:szCs w:val="24"/>
        </w:rPr>
        <w:t>On 3 June </w:t>
      </w:r>
      <w:r w:rsidR="0038162B">
        <w:rPr>
          <w:rFonts w:ascii="Times New Roman" w:eastAsiaTheme="minorHAnsi" w:hAnsi="Times New Roman" w:cs="Times New Roman"/>
          <w:szCs w:val="24"/>
        </w:rPr>
        <w:t>2005 by a decision of</w:t>
      </w:r>
      <w:r w:rsidR="00045B72">
        <w:rPr>
          <w:rFonts w:ascii="Times New Roman" w:eastAsiaTheme="minorHAnsi" w:hAnsi="Times New Roman" w:cs="Times New Roman"/>
          <w:szCs w:val="24"/>
        </w:rPr>
        <w:t xml:space="preserve"> the</w:t>
      </w:r>
      <w:r w:rsidR="0038162B">
        <w:rPr>
          <w:rFonts w:ascii="Times New Roman" w:eastAsiaTheme="minorHAnsi" w:hAnsi="Times New Roman" w:cs="Times New Roman"/>
          <w:szCs w:val="24"/>
        </w:rPr>
        <w:t xml:space="preserve"> Valmiera District Court the applicant was detained on remand </w:t>
      </w:r>
      <w:r w:rsidR="00CB6A6F">
        <w:rPr>
          <w:rFonts w:ascii="Times New Roman" w:eastAsiaTheme="minorHAnsi" w:hAnsi="Times New Roman" w:cs="Times New Roman"/>
          <w:szCs w:val="24"/>
        </w:rPr>
        <w:t>until 3 August 2005</w:t>
      </w:r>
      <w:r>
        <w:rPr>
          <w:rFonts w:ascii="Times New Roman" w:eastAsiaTheme="minorHAnsi" w:hAnsi="Times New Roman" w:cs="Times New Roman"/>
          <w:szCs w:val="24"/>
        </w:rPr>
        <w:t xml:space="preserve">. </w:t>
      </w:r>
      <w:r w:rsidR="0038162B">
        <w:rPr>
          <w:rFonts w:ascii="Times New Roman" w:eastAsiaTheme="minorHAnsi" w:hAnsi="Times New Roman" w:cs="Times New Roman"/>
          <w:szCs w:val="24"/>
        </w:rPr>
        <w:t>In substantiating the deci</w:t>
      </w:r>
      <w:r>
        <w:rPr>
          <w:rFonts w:ascii="Times New Roman" w:eastAsiaTheme="minorHAnsi" w:hAnsi="Times New Roman" w:cs="Times New Roman"/>
          <w:szCs w:val="24"/>
        </w:rPr>
        <w:t xml:space="preserve">sion, the judge referred to </w:t>
      </w:r>
      <w:r w:rsidR="0038162B">
        <w:rPr>
          <w:rFonts w:ascii="Times New Roman" w:eastAsiaTheme="minorHAnsi" w:hAnsi="Times New Roman" w:cs="Times New Roman"/>
          <w:szCs w:val="24"/>
        </w:rPr>
        <w:t>numerous previou</w:t>
      </w:r>
      <w:r w:rsidR="00F77011">
        <w:rPr>
          <w:rFonts w:ascii="Times New Roman" w:eastAsiaTheme="minorHAnsi" w:hAnsi="Times New Roman" w:cs="Times New Roman"/>
          <w:szCs w:val="24"/>
        </w:rPr>
        <w:t xml:space="preserve">s convictions of the </w:t>
      </w:r>
      <w:r w:rsidR="00F77011" w:rsidRPr="00BC2678">
        <w:rPr>
          <w:rFonts w:ascii="Times New Roman" w:eastAsiaTheme="minorHAnsi" w:hAnsi="Times New Roman" w:cs="Times New Roman"/>
          <w:szCs w:val="24"/>
        </w:rPr>
        <w:t>applicant.</w:t>
      </w:r>
      <w:r w:rsidR="00673B7E" w:rsidRPr="00BC2678">
        <w:rPr>
          <w:rFonts w:ascii="Times New Roman" w:eastAsiaTheme="minorHAnsi" w:hAnsi="Times New Roman" w:cs="Times New Roman"/>
          <w:szCs w:val="24"/>
        </w:rPr>
        <w:t xml:space="preserve"> The applicant did not appeal against the decision.</w:t>
      </w:r>
    </w:p>
    <w:p w:rsidR="0038162B" w:rsidRPr="00BC2678" w:rsidRDefault="0038162B" w:rsidP="0038162B">
      <w:pPr>
        <w:pStyle w:val="ECHRPara"/>
        <w:rPr>
          <w:rFonts w:eastAsiaTheme="minorHAnsi"/>
        </w:rPr>
      </w:pPr>
      <w:r w:rsidRPr="00BC2678">
        <w:rPr>
          <w:rFonts w:eastAsiaTheme="minorHAnsi"/>
        </w:rPr>
        <w:fldChar w:fldCharType="begin"/>
      </w:r>
      <w:r w:rsidRPr="00BC2678">
        <w:rPr>
          <w:rFonts w:eastAsiaTheme="minorHAnsi"/>
        </w:rPr>
        <w:instrText xml:space="preserve"> SEQ level0 \*arabic </w:instrText>
      </w:r>
      <w:r w:rsidRPr="00BC2678">
        <w:rPr>
          <w:rFonts w:eastAsiaTheme="minorHAnsi"/>
        </w:rPr>
        <w:fldChar w:fldCharType="separate"/>
      </w:r>
      <w:r w:rsidR="00657757">
        <w:rPr>
          <w:rFonts w:eastAsiaTheme="minorHAnsi"/>
          <w:noProof/>
        </w:rPr>
        <w:t>8</w:t>
      </w:r>
      <w:r w:rsidRPr="00BC2678">
        <w:rPr>
          <w:rFonts w:eastAsiaTheme="minorHAnsi"/>
        </w:rPr>
        <w:fldChar w:fldCharType="end"/>
      </w:r>
      <w:r w:rsidRPr="00BC2678">
        <w:rPr>
          <w:rFonts w:eastAsiaTheme="minorHAnsi"/>
        </w:rPr>
        <w:t>.  </w:t>
      </w:r>
      <w:r w:rsidRPr="00BC2678">
        <w:rPr>
          <w:rFonts w:ascii="Times New Roman" w:eastAsiaTheme="minorHAnsi" w:hAnsi="Times New Roman" w:cs="Times New Roman"/>
          <w:szCs w:val="24"/>
        </w:rPr>
        <w:t>At the applicant</w:t>
      </w:r>
      <w:r w:rsidR="000C06B1">
        <w:rPr>
          <w:rFonts w:ascii="Times New Roman" w:eastAsiaTheme="minorHAnsi" w:hAnsi="Times New Roman" w:cs="Times New Roman"/>
          <w:szCs w:val="24"/>
        </w:rPr>
        <w:t>’</w:t>
      </w:r>
      <w:r w:rsidRPr="00BC2678">
        <w:rPr>
          <w:rFonts w:ascii="Times New Roman" w:eastAsiaTheme="minorHAnsi" w:hAnsi="Times New Roman" w:cs="Times New Roman"/>
          <w:szCs w:val="24"/>
        </w:rPr>
        <w:t>s request to lift the detention order, on 29 June 2005 he was informed that adjudication of the criminal case would commence on 31 August 2005, when the judge would also examine the request for change of the preventive measure.</w:t>
      </w:r>
    </w:p>
    <w:p w:rsidR="0038162B" w:rsidRPr="0038162B" w:rsidRDefault="0038162B" w:rsidP="0038162B">
      <w:pPr>
        <w:pStyle w:val="ECHRPara"/>
        <w:rPr>
          <w:rFonts w:eastAsiaTheme="minorHAnsi"/>
        </w:rPr>
      </w:pPr>
      <w:r w:rsidRPr="00BC2678">
        <w:rPr>
          <w:rFonts w:eastAsiaTheme="minorHAnsi"/>
        </w:rPr>
        <w:fldChar w:fldCharType="begin"/>
      </w:r>
      <w:r w:rsidRPr="00BC2678">
        <w:rPr>
          <w:rFonts w:eastAsiaTheme="minorHAnsi"/>
        </w:rPr>
        <w:instrText xml:space="preserve"> SEQ level0 \*arabic </w:instrText>
      </w:r>
      <w:r w:rsidRPr="00BC2678">
        <w:rPr>
          <w:rFonts w:eastAsiaTheme="minorHAnsi"/>
        </w:rPr>
        <w:fldChar w:fldCharType="separate"/>
      </w:r>
      <w:r w:rsidR="00657757">
        <w:rPr>
          <w:rFonts w:eastAsiaTheme="minorHAnsi"/>
          <w:noProof/>
        </w:rPr>
        <w:t>9</w:t>
      </w:r>
      <w:r w:rsidRPr="00BC2678">
        <w:rPr>
          <w:rFonts w:eastAsiaTheme="minorHAnsi"/>
        </w:rPr>
        <w:fldChar w:fldCharType="end"/>
      </w:r>
      <w:r w:rsidRPr="00BC2678">
        <w:rPr>
          <w:rFonts w:eastAsiaTheme="minorHAnsi"/>
        </w:rPr>
        <w:t>.  </w:t>
      </w:r>
      <w:r w:rsidR="00F77011" w:rsidRPr="00BC2678">
        <w:t>On 31 August </w:t>
      </w:r>
      <w:r w:rsidRPr="00BC2678">
        <w:t>2005 by a judgment</w:t>
      </w:r>
      <w:r>
        <w:t xml:space="preserve"> of</w:t>
      </w:r>
      <w:r w:rsidR="00F77011">
        <w:t xml:space="preserve"> the</w:t>
      </w:r>
      <w:r>
        <w:t xml:space="preserve"> lower court the applicant was convicted and</w:t>
      </w:r>
      <w:r w:rsidR="00A74AA4">
        <w:t xml:space="preserve"> sentenced to nearly three year</w:t>
      </w:r>
      <w:r>
        <w:t>s</w:t>
      </w:r>
      <w:r w:rsidR="000C06B1">
        <w:t>’</w:t>
      </w:r>
      <w:r>
        <w:t xml:space="preserve"> imprisonment. He was maintained in detention until the judgment came into force.</w:t>
      </w:r>
    </w:p>
    <w:p w:rsidR="00673B7E" w:rsidRPr="00A74AA4" w:rsidRDefault="000C06B1" w:rsidP="00673B7E">
      <w:pPr>
        <w:pStyle w:val="ECHRPara"/>
      </w:pPr>
      <w:fldSimple w:instr=" SEQ level0 \*arabic ">
        <w:r w:rsidR="00657757">
          <w:rPr>
            <w:noProof/>
          </w:rPr>
          <w:t>10</w:t>
        </w:r>
      </w:fldSimple>
      <w:r w:rsidR="00F77011">
        <w:t>.  On 16 September </w:t>
      </w:r>
      <w:r w:rsidR="0038162B">
        <w:t xml:space="preserve">2005 </w:t>
      </w:r>
      <w:r w:rsidR="00045B72">
        <w:t xml:space="preserve">the </w:t>
      </w:r>
      <w:r w:rsidR="0038162B">
        <w:t>Vidzeme Regional C</w:t>
      </w:r>
      <w:r w:rsidR="00F77011">
        <w:t>ourt decided to schedule for 10 January </w:t>
      </w:r>
      <w:r w:rsidR="0038162B">
        <w:t>2006 the appeal in the applicant</w:t>
      </w:r>
      <w:r>
        <w:t>’</w:t>
      </w:r>
      <w:r w:rsidR="0038162B">
        <w:t>s criminal case. It also decided, without any reasoning, that the applic</w:t>
      </w:r>
      <w:r w:rsidR="00673B7E">
        <w:t xml:space="preserve">ant should remain in detention. </w:t>
      </w:r>
      <w:r w:rsidR="0038162B">
        <w:t>It appears that in 2006 the scheduled tr</w:t>
      </w:r>
      <w:r w:rsidR="00673B7E">
        <w:t xml:space="preserve">ials where postponed twice </w:t>
      </w:r>
      <w:r w:rsidR="00673B7E" w:rsidRPr="00A74AA4">
        <w:t>upon the request raised by the defence.</w:t>
      </w:r>
    </w:p>
    <w:bookmarkStart w:id="1" w:name="AppelJud21082006"/>
    <w:p w:rsidR="00B9381D" w:rsidRDefault="00673B7E" w:rsidP="0038162B">
      <w:pPr>
        <w:pStyle w:val="ECHRPara"/>
      </w:pPr>
      <w:r w:rsidRPr="00A74AA4">
        <w:fldChar w:fldCharType="begin"/>
      </w:r>
      <w:r w:rsidRPr="00A74AA4">
        <w:instrText xml:space="preserve"> SEQ level0 \*arabic </w:instrText>
      </w:r>
      <w:r w:rsidRPr="00A74AA4">
        <w:fldChar w:fldCharType="separate"/>
      </w:r>
      <w:r w:rsidR="00657757">
        <w:rPr>
          <w:noProof/>
        </w:rPr>
        <w:t>11</w:t>
      </w:r>
      <w:r w:rsidRPr="00A74AA4">
        <w:fldChar w:fldCharType="end"/>
      </w:r>
      <w:bookmarkEnd w:id="1"/>
      <w:r w:rsidRPr="00A74AA4">
        <w:t>.  O</w:t>
      </w:r>
      <w:r w:rsidR="00045B72" w:rsidRPr="00A74AA4">
        <w:t>n 21 August </w:t>
      </w:r>
      <w:r w:rsidR="0038162B" w:rsidRPr="00A74AA4">
        <w:t>2006 the</w:t>
      </w:r>
      <w:r w:rsidR="0038162B">
        <w:t xml:space="preserve"> Vidzeme Regional Court adopted a decision by which the lower court</w:t>
      </w:r>
      <w:r w:rsidR="000C06B1">
        <w:t>’</w:t>
      </w:r>
      <w:r w:rsidR="0038162B">
        <w:t>s judgment was set aside and remitted once again to examination on the merits. No mention was made</w:t>
      </w:r>
      <w:r w:rsidR="00945F43">
        <w:t xml:space="preserve"> of the preventive measure. T</w:t>
      </w:r>
      <w:r w:rsidR="0038162B">
        <w:t>he applicant remained in detention.</w:t>
      </w:r>
    </w:p>
    <w:bookmarkStart w:id="2" w:name="AppelCOurtnoLongerAuthorised"/>
    <w:p w:rsidR="0038162B" w:rsidRDefault="0038162B" w:rsidP="0038162B">
      <w:pPr>
        <w:pStyle w:val="ECHRPara"/>
      </w:pPr>
      <w:r>
        <w:fldChar w:fldCharType="begin"/>
      </w:r>
      <w:r>
        <w:instrText xml:space="preserve"> SEQ level0 \*arabic </w:instrText>
      </w:r>
      <w:r>
        <w:fldChar w:fldCharType="separate"/>
      </w:r>
      <w:r w:rsidR="00657757">
        <w:rPr>
          <w:noProof/>
        </w:rPr>
        <w:t>12</w:t>
      </w:r>
      <w:r>
        <w:fldChar w:fldCharType="end"/>
      </w:r>
      <w:bookmarkEnd w:id="2"/>
      <w:r w:rsidR="00A7309B">
        <w:t>.  On 24 August </w:t>
      </w:r>
      <w:r>
        <w:t>2006 the applicant asked</w:t>
      </w:r>
      <w:r w:rsidR="00045B72">
        <w:t xml:space="preserve"> the</w:t>
      </w:r>
      <w:r>
        <w:t xml:space="preserve"> Vidzeme Regional Court to </w:t>
      </w:r>
      <w:r w:rsidR="00945F43">
        <w:t>lift the detention order. On 28 August </w:t>
      </w:r>
      <w:r>
        <w:t xml:space="preserve">2006 he was informed by a judge Ā. that, since the request has not been raised before or during the appeal hearing, </w:t>
      </w:r>
      <w:r w:rsidR="00945F43">
        <w:t xml:space="preserve">the </w:t>
      </w:r>
      <w:r>
        <w:t>Vidzeme Regional Court at this stage was no longer authorised to change the preventive measure.</w:t>
      </w:r>
    </w:p>
    <w:p w:rsidR="00B9381D" w:rsidRDefault="000C06B1" w:rsidP="0038162B">
      <w:pPr>
        <w:pStyle w:val="ECHRPara"/>
      </w:pPr>
      <w:fldSimple w:instr=" SEQ level0 \*arabic ">
        <w:r w:rsidR="00657757">
          <w:rPr>
            <w:noProof/>
          </w:rPr>
          <w:t>13</w:t>
        </w:r>
      </w:fldSimple>
      <w:r w:rsidR="00945F43">
        <w:t>.  On 12 and 16 September </w:t>
      </w:r>
      <w:r w:rsidR="0038162B">
        <w:t>2006 the applicant addressed an identical request to</w:t>
      </w:r>
      <w:r w:rsidR="00945F43">
        <w:t xml:space="preserve"> the</w:t>
      </w:r>
      <w:r w:rsidR="0038162B">
        <w:t xml:space="preserve"> Valmiera District Court.</w:t>
      </w:r>
    </w:p>
    <w:bookmarkStart w:id="3" w:name="Dec13092006"/>
    <w:p w:rsidR="00B9381D" w:rsidRDefault="0038162B" w:rsidP="0038162B">
      <w:pPr>
        <w:pStyle w:val="ECHRPara"/>
      </w:pPr>
      <w:r>
        <w:fldChar w:fldCharType="begin"/>
      </w:r>
      <w:r>
        <w:instrText xml:space="preserve"> SEQ level0 \*arabic </w:instrText>
      </w:r>
      <w:r>
        <w:fldChar w:fldCharType="separate"/>
      </w:r>
      <w:r w:rsidR="00657757">
        <w:rPr>
          <w:noProof/>
        </w:rPr>
        <w:t>14</w:t>
      </w:r>
      <w:r>
        <w:fldChar w:fldCharType="end"/>
      </w:r>
      <w:bookmarkEnd w:id="3"/>
      <w:r w:rsidR="00945F43">
        <w:t>.  </w:t>
      </w:r>
      <w:r w:rsidR="00945F43" w:rsidRPr="00A74AA4">
        <w:t>On 13 September </w:t>
      </w:r>
      <w:r w:rsidRPr="00A74AA4">
        <w:t>2006 a</w:t>
      </w:r>
      <w:r>
        <w:t xml:space="preserve"> judge of</w:t>
      </w:r>
      <w:r w:rsidR="00945F43">
        <w:t xml:space="preserve"> the</w:t>
      </w:r>
      <w:r>
        <w:t xml:space="preserve"> Valmiera </w:t>
      </w:r>
      <w:r w:rsidRPr="0062475B">
        <w:t>District Court</w:t>
      </w:r>
      <w:r w:rsidR="00620F64" w:rsidRPr="0062475B">
        <w:t xml:space="preserve"> </w:t>
      </w:r>
      <w:r w:rsidRPr="0062475B">
        <w:t xml:space="preserve">decided </w:t>
      </w:r>
      <w:r w:rsidR="00945F43" w:rsidRPr="0062475B">
        <w:t>to schedule for 17 October </w:t>
      </w:r>
      <w:r w:rsidRPr="0062475B">
        <w:t>2006 the appeal in the applicant</w:t>
      </w:r>
      <w:r w:rsidR="000C06B1">
        <w:t>’</w:t>
      </w:r>
      <w:r w:rsidRPr="0062475B">
        <w:t>s criminal case. It was also decided, without any reasoning, that the applicant</w:t>
      </w:r>
      <w:r>
        <w:t xml:space="preserve"> should remain in detention.</w:t>
      </w:r>
      <w:r w:rsidR="009226BA">
        <w:t xml:space="preserve"> </w:t>
      </w:r>
      <w:r>
        <w:t xml:space="preserve">The applicant appealed against the decision to keep </w:t>
      </w:r>
      <w:r w:rsidR="00945F43">
        <w:t>him in detention, to which on 5 October </w:t>
      </w:r>
      <w:r>
        <w:t xml:space="preserve">2006 Valmiera District Court informed him that the request to lift the preventive measure would be </w:t>
      </w:r>
      <w:r w:rsidR="00945F43">
        <w:t>examined during the trial on 17 October </w:t>
      </w:r>
      <w:r>
        <w:t>2006.</w:t>
      </w:r>
    </w:p>
    <w:bookmarkStart w:id="4" w:name="Response_MJ_art276"/>
    <w:p w:rsidR="001D7EF5" w:rsidRDefault="001D7EF5" w:rsidP="0038162B">
      <w:pPr>
        <w:pStyle w:val="ECHRPara"/>
      </w:pPr>
      <w:r w:rsidRPr="00B63A8D">
        <w:fldChar w:fldCharType="begin"/>
      </w:r>
      <w:r w:rsidRPr="00B63A8D">
        <w:instrText xml:space="preserve"> SEQ level0 \*arabic </w:instrText>
      </w:r>
      <w:r w:rsidRPr="00B63A8D">
        <w:fldChar w:fldCharType="separate"/>
      </w:r>
      <w:r w:rsidR="00657757">
        <w:rPr>
          <w:noProof/>
        </w:rPr>
        <w:t>15</w:t>
      </w:r>
      <w:r w:rsidRPr="00B63A8D">
        <w:fldChar w:fldCharType="end"/>
      </w:r>
      <w:bookmarkEnd w:id="4"/>
      <w:r w:rsidRPr="00B63A8D">
        <w:t>.  On 3 October 2006 in response to the applicant</w:t>
      </w:r>
      <w:r w:rsidR="000C06B1">
        <w:t>’</w:t>
      </w:r>
      <w:r w:rsidRPr="00B63A8D">
        <w:t xml:space="preserve">s complaint about the lawfulness of his pre-trial detention the Ministry of Justice referred to </w:t>
      </w:r>
      <w:r w:rsidRPr="0076670D">
        <w:t xml:space="preserve">sections 276 and 277 </w:t>
      </w:r>
      <w:r w:rsidR="00271515" w:rsidRPr="0076670D">
        <w:t>of the CPL (see</w:t>
      </w:r>
      <w:r w:rsidR="00F66054" w:rsidRPr="0076670D">
        <w:t xml:space="preserve"> paragraph</w:t>
      </w:r>
      <w:r w:rsidR="00BC2678" w:rsidRPr="0076670D">
        <w:t>s</w:t>
      </w:r>
      <w:r w:rsidR="00F66054" w:rsidRPr="0076670D">
        <w:t> </w:t>
      </w:r>
      <w:r w:rsidR="009226BA" w:rsidRPr="0076670D">
        <w:fldChar w:fldCharType="begin"/>
      </w:r>
      <w:r w:rsidR="009226BA" w:rsidRPr="0076670D">
        <w:instrText xml:space="preserve"> REF art276_CPL \h </w:instrText>
      </w:r>
      <w:r w:rsidR="0076670D">
        <w:instrText xml:space="preserve"> \* MERGEFORMAT </w:instrText>
      </w:r>
      <w:r w:rsidR="009226BA" w:rsidRPr="0076670D">
        <w:fldChar w:fldCharType="separate"/>
      </w:r>
      <w:r w:rsidR="00657757">
        <w:rPr>
          <w:noProof/>
        </w:rPr>
        <w:t>22</w:t>
      </w:r>
      <w:r w:rsidR="009226BA" w:rsidRPr="0076670D">
        <w:fldChar w:fldCharType="end"/>
      </w:r>
      <w:r w:rsidR="00BC2678" w:rsidRPr="0076670D">
        <w:t xml:space="preserve"> - 23</w:t>
      </w:r>
      <w:r w:rsidR="00271515" w:rsidRPr="0076670D">
        <w:t xml:space="preserve"> below).</w:t>
      </w:r>
    </w:p>
    <w:bookmarkStart w:id="5" w:name="revoke_det_oct06"/>
    <w:p w:rsidR="0038162B" w:rsidRDefault="00CF0459" w:rsidP="0038162B">
      <w:pPr>
        <w:pStyle w:val="ECHRPara"/>
      </w:pPr>
      <w:r>
        <w:fldChar w:fldCharType="begin"/>
      </w:r>
      <w:r>
        <w:instrText xml:space="preserve"> SEQ level0 \*arabic </w:instrText>
      </w:r>
      <w:r>
        <w:fldChar w:fldCharType="separate"/>
      </w:r>
      <w:r w:rsidR="00657757">
        <w:rPr>
          <w:noProof/>
        </w:rPr>
        <w:t>16</w:t>
      </w:r>
      <w:r>
        <w:rPr>
          <w:noProof/>
        </w:rPr>
        <w:fldChar w:fldCharType="end"/>
      </w:r>
      <w:bookmarkEnd w:id="5"/>
      <w:r w:rsidR="00945F43" w:rsidRPr="00B63A8D">
        <w:t>.  On 17 October </w:t>
      </w:r>
      <w:r w:rsidR="0038162B" w:rsidRPr="00B63A8D">
        <w:t>2006 the</w:t>
      </w:r>
      <w:r w:rsidR="00620F64">
        <w:t xml:space="preserve"> Valmiera District Court lifted the applicant</w:t>
      </w:r>
      <w:r w:rsidR="000C06B1">
        <w:t>’</w:t>
      </w:r>
      <w:r w:rsidR="00620F64">
        <w:t>s</w:t>
      </w:r>
      <w:r w:rsidR="0038162B">
        <w:t xml:space="preserve"> detention order </w:t>
      </w:r>
      <w:r w:rsidR="00B63A8D">
        <w:t xml:space="preserve">and </w:t>
      </w:r>
      <w:r w:rsidR="0038162B">
        <w:t xml:space="preserve">changed </w:t>
      </w:r>
      <w:r w:rsidR="00620F64">
        <w:t xml:space="preserve">it </w:t>
      </w:r>
      <w:r w:rsidR="0038162B">
        <w:t>to police surveillance. The prosecution supported the applicant</w:t>
      </w:r>
      <w:r w:rsidR="000C06B1">
        <w:t>’</w:t>
      </w:r>
      <w:r w:rsidR="0038162B">
        <w:t>s request, noting that the applicant</w:t>
      </w:r>
      <w:r w:rsidR="000C06B1">
        <w:t>’</w:t>
      </w:r>
      <w:r w:rsidR="0038162B">
        <w:t>s health condition had deteriorated, and that the applicant had to underg</w:t>
      </w:r>
      <w:r w:rsidR="00945F43">
        <w:t>o a forensic medical expertise.</w:t>
      </w:r>
    </w:p>
    <w:p w:rsidR="00945F43" w:rsidRDefault="000C06B1" w:rsidP="0038162B">
      <w:pPr>
        <w:pStyle w:val="ECHRPara"/>
        <w:rPr>
          <w:rFonts w:ascii="Times New Roman" w:eastAsiaTheme="minorHAnsi" w:hAnsi="Times New Roman" w:cs="Times New Roman"/>
          <w:szCs w:val="24"/>
        </w:rPr>
      </w:pPr>
      <w:fldSimple w:instr=" SEQ level0 \*arabic ">
        <w:r w:rsidR="00657757">
          <w:rPr>
            <w:noProof/>
          </w:rPr>
          <w:t>17</w:t>
        </w:r>
      </w:fldSimple>
      <w:r w:rsidR="00945F43">
        <w:t xml:space="preserve">.  On 12 January 2007 </w:t>
      </w:r>
      <w:r w:rsidR="00945F43">
        <w:rPr>
          <w:rFonts w:ascii="Times New Roman" w:eastAsiaTheme="minorHAnsi" w:hAnsi="Times New Roman" w:cs="Times New Roman"/>
          <w:szCs w:val="24"/>
        </w:rPr>
        <w:t xml:space="preserve">by a decision of the Valmiera District Court the applicant was detained on remand in other criminal proceedings on suspicion of having committed a theft and burning on 11 January 2007. </w:t>
      </w:r>
      <w:r w:rsidR="008A71CF">
        <w:rPr>
          <w:rFonts w:ascii="Times New Roman" w:eastAsiaTheme="minorHAnsi" w:hAnsi="Times New Roman" w:cs="Times New Roman"/>
          <w:szCs w:val="24"/>
        </w:rPr>
        <w:t>It was applied on the grounds that the applicant might influence witnesses.</w:t>
      </w:r>
    </w:p>
    <w:p w:rsidR="008A71CF" w:rsidRDefault="00723E15" w:rsidP="0038162B">
      <w:pPr>
        <w:pStyle w:val="ECHRPara"/>
      </w:pPr>
      <w:r w:rsidRPr="00947E9C">
        <w:rPr>
          <w:rFonts w:ascii="Times New Roman" w:eastAsiaTheme="minorHAnsi" w:hAnsi="Times New Roman" w:cs="Times New Roman"/>
          <w:szCs w:val="24"/>
        </w:rPr>
        <w:fldChar w:fldCharType="begin"/>
      </w:r>
      <w:r w:rsidRPr="00947E9C">
        <w:rPr>
          <w:rFonts w:ascii="Times New Roman" w:eastAsiaTheme="minorHAnsi" w:hAnsi="Times New Roman" w:cs="Times New Roman"/>
          <w:szCs w:val="24"/>
        </w:rPr>
        <w:instrText xml:space="preserve"> SEQ level0 \*arabic </w:instrText>
      </w:r>
      <w:r w:rsidRPr="00947E9C">
        <w:rPr>
          <w:rFonts w:ascii="Times New Roman" w:eastAsiaTheme="minorHAnsi" w:hAnsi="Times New Roman" w:cs="Times New Roman"/>
          <w:szCs w:val="24"/>
        </w:rPr>
        <w:fldChar w:fldCharType="separate"/>
      </w:r>
      <w:r w:rsidR="00657757">
        <w:rPr>
          <w:rFonts w:ascii="Times New Roman" w:eastAsiaTheme="minorHAnsi" w:hAnsi="Times New Roman" w:cs="Times New Roman"/>
          <w:noProof/>
          <w:szCs w:val="24"/>
        </w:rPr>
        <w:t>18</w:t>
      </w:r>
      <w:r w:rsidRPr="00947E9C">
        <w:rPr>
          <w:rFonts w:ascii="Times New Roman" w:eastAsiaTheme="minorHAnsi" w:hAnsi="Times New Roman" w:cs="Times New Roman"/>
          <w:szCs w:val="24"/>
        </w:rPr>
        <w:fldChar w:fldCharType="end"/>
      </w:r>
      <w:r w:rsidRPr="00947E9C">
        <w:rPr>
          <w:rFonts w:ascii="Times New Roman" w:eastAsiaTheme="minorHAnsi" w:hAnsi="Times New Roman" w:cs="Times New Roman"/>
          <w:szCs w:val="24"/>
        </w:rPr>
        <w:t>.</w:t>
      </w:r>
      <w:r>
        <w:rPr>
          <w:rFonts w:ascii="Times New Roman" w:eastAsiaTheme="minorHAnsi" w:hAnsi="Times New Roman" w:cs="Times New Roman"/>
          <w:szCs w:val="24"/>
        </w:rPr>
        <w:t>  </w:t>
      </w:r>
      <w:r w:rsidR="006E4C8C">
        <w:rPr>
          <w:rFonts w:ascii="Times New Roman" w:eastAsiaTheme="minorHAnsi" w:hAnsi="Times New Roman" w:cs="Times New Roman"/>
          <w:szCs w:val="24"/>
        </w:rPr>
        <w:t>The forensic examination, carried out from 25 April to 24 May 2007, concluded that at the time of committing the thefts the applicant fully understood and led his actions, notwithstanding the fact that he had personality and behavior disorders, as well as</w:t>
      </w:r>
      <w:r w:rsidR="00D37A8B">
        <w:rPr>
          <w:rFonts w:ascii="Times New Roman" w:eastAsiaTheme="minorHAnsi" w:hAnsi="Times New Roman" w:cs="Times New Roman"/>
          <w:szCs w:val="24"/>
        </w:rPr>
        <w:t xml:space="preserve"> an </w:t>
      </w:r>
      <w:r w:rsidR="006E4C8C">
        <w:rPr>
          <w:rFonts w:ascii="Times New Roman" w:eastAsiaTheme="minorHAnsi" w:hAnsi="Times New Roman" w:cs="Times New Roman"/>
          <w:szCs w:val="24"/>
        </w:rPr>
        <w:t>addic</w:t>
      </w:r>
      <w:r w:rsidR="00D37A8B">
        <w:rPr>
          <w:rFonts w:ascii="Times New Roman" w:eastAsiaTheme="minorHAnsi" w:hAnsi="Times New Roman" w:cs="Times New Roman"/>
          <w:szCs w:val="24"/>
        </w:rPr>
        <w:t>t</w:t>
      </w:r>
      <w:r w:rsidR="006E4C8C">
        <w:rPr>
          <w:rFonts w:ascii="Times New Roman" w:eastAsiaTheme="minorHAnsi" w:hAnsi="Times New Roman" w:cs="Times New Roman"/>
          <w:szCs w:val="24"/>
        </w:rPr>
        <w:t>ion</w:t>
      </w:r>
      <w:r w:rsidR="00D37A8B">
        <w:rPr>
          <w:rFonts w:ascii="Times New Roman" w:eastAsiaTheme="minorHAnsi" w:hAnsi="Times New Roman" w:cs="Times New Roman"/>
          <w:szCs w:val="24"/>
        </w:rPr>
        <w:t xml:space="preserve"> to a</w:t>
      </w:r>
      <w:r w:rsidR="001D7EF5">
        <w:rPr>
          <w:rFonts w:ascii="Times New Roman" w:eastAsiaTheme="minorHAnsi" w:hAnsi="Times New Roman" w:cs="Times New Roman"/>
          <w:szCs w:val="24"/>
        </w:rPr>
        <w:t>l</w:t>
      </w:r>
      <w:r w:rsidR="00D37A8B">
        <w:rPr>
          <w:rFonts w:ascii="Times New Roman" w:eastAsiaTheme="minorHAnsi" w:hAnsi="Times New Roman" w:cs="Times New Roman"/>
          <w:szCs w:val="24"/>
        </w:rPr>
        <w:t>cohol</w:t>
      </w:r>
      <w:r w:rsidR="006E4C8C">
        <w:rPr>
          <w:rFonts w:ascii="Times New Roman" w:eastAsiaTheme="minorHAnsi" w:hAnsi="Times New Roman" w:cs="Times New Roman"/>
          <w:szCs w:val="24"/>
        </w:rPr>
        <w:t>.</w:t>
      </w:r>
    </w:p>
    <w:p w:rsidR="00B9381D" w:rsidRDefault="000C06B1" w:rsidP="0038162B">
      <w:pPr>
        <w:pStyle w:val="ECHRPara"/>
      </w:pPr>
      <w:fldSimple w:instr=" SEQ level0 \*arabic ">
        <w:r w:rsidR="00657757">
          <w:rPr>
            <w:noProof/>
          </w:rPr>
          <w:t>19</w:t>
        </w:r>
      </w:fldSimple>
      <w:r w:rsidR="00EE3943">
        <w:t>.  On 27 August </w:t>
      </w:r>
      <w:r w:rsidR="0038162B">
        <w:t>2008 the applicant was convicted and sentenced to two years and nine months</w:t>
      </w:r>
      <w:r>
        <w:t>’</w:t>
      </w:r>
      <w:r w:rsidR="0038162B">
        <w:t xml:space="preserve"> imprisonment. The appeal court upheld the judgment, by reducing the final sentence to two years and seven months</w:t>
      </w:r>
      <w:r>
        <w:t>’</w:t>
      </w:r>
      <w:r w:rsidR="0038162B">
        <w:t>. The applicant did not appeal against the judgment.</w:t>
      </w:r>
    </w:p>
    <w:p w:rsidR="00014566" w:rsidRDefault="00954EB2" w:rsidP="00014566">
      <w:pPr>
        <w:pStyle w:val="ECHRHeading1"/>
        <w:rPr>
          <w:lang w:val="en-GB"/>
        </w:rPr>
      </w:pPr>
      <w:r>
        <w:rPr>
          <w:lang w:val="en-GB"/>
        </w:rPr>
        <w:t>II.  RELEVANT DOMESTIC LAW</w:t>
      </w:r>
    </w:p>
    <w:p w:rsidR="009801CC" w:rsidRPr="009801CC" w:rsidRDefault="009801CC" w:rsidP="009801CC">
      <w:pPr>
        <w:pStyle w:val="ECHRHeading2"/>
        <w:rPr>
          <w:lang w:val="en-GB"/>
        </w:rPr>
      </w:pPr>
      <w:r>
        <w:rPr>
          <w:lang w:val="en-GB"/>
        </w:rPr>
        <w:t>A.  </w:t>
      </w:r>
      <w:r w:rsidR="00657109">
        <w:rPr>
          <w:lang w:val="en-GB"/>
        </w:rPr>
        <w:t xml:space="preserve">The </w:t>
      </w:r>
      <w:r>
        <w:rPr>
          <w:lang w:val="en-GB"/>
        </w:rPr>
        <w:t>Code of Criminal Procedure</w:t>
      </w:r>
    </w:p>
    <w:p w:rsidR="0038162B" w:rsidRPr="00095D4F" w:rsidRDefault="000C06B1" w:rsidP="0038162B">
      <w:pPr>
        <w:pStyle w:val="ECHRPara"/>
      </w:pPr>
      <w:fldSimple w:instr=" SEQ level0 \*arabic ">
        <w:r w:rsidR="00657757">
          <w:rPr>
            <w:noProof/>
          </w:rPr>
          <w:t>20</w:t>
        </w:r>
      </w:fldSimple>
      <w:r w:rsidR="00947E9C">
        <w:t>.  </w:t>
      </w:r>
      <w:r w:rsidR="0038162B">
        <w:t xml:space="preserve">The relevant provisions of the </w:t>
      </w:r>
      <w:r w:rsidR="0038162B" w:rsidRPr="00D63CFB">
        <w:t>Code of Criminal Proced</w:t>
      </w:r>
      <w:r w:rsidR="0038162B">
        <w:t xml:space="preserve">ure (in force until 1 October 2005) applicable at the material time have been cited in, amongst others, </w:t>
      </w:r>
      <w:r w:rsidR="0038162B" w:rsidRPr="003B50F7">
        <w:rPr>
          <w:i/>
          <w:lang w:val="pt-BR"/>
        </w:rPr>
        <w:t>Shannon v. Latvia</w:t>
      </w:r>
      <w:r w:rsidR="0038162B" w:rsidRPr="003B50F7">
        <w:rPr>
          <w:lang w:val="pt-BR"/>
        </w:rPr>
        <w:t>, no. 32214/03</w:t>
      </w:r>
      <w:r w:rsidR="0038162B" w:rsidRPr="003B50F7">
        <w:rPr>
          <w:snapToGrid w:val="0"/>
          <w:lang w:val="pt-BR"/>
        </w:rPr>
        <w:t xml:space="preserve">, </w:t>
      </w:r>
      <w:r w:rsidR="0038162B" w:rsidRPr="003B50F7">
        <w:rPr>
          <w:snapToGrid w:val="0"/>
        </w:rPr>
        <w:t>§</w:t>
      </w:r>
      <w:r w:rsidR="0038162B">
        <w:rPr>
          <w:snapToGrid w:val="0"/>
        </w:rPr>
        <w:t>§ 28-35</w:t>
      </w:r>
      <w:r w:rsidR="0038162B" w:rsidRPr="003B50F7">
        <w:rPr>
          <w:snapToGrid w:val="0"/>
        </w:rPr>
        <w:t>, 24 November 2009</w:t>
      </w:r>
      <w:r w:rsidR="0038162B">
        <w:rPr>
          <w:snapToGrid w:val="0"/>
        </w:rPr>
        <w:t>.</w:t>
      </w:r>
    </w:p>
    <w:bookmarkStart w:id="6" w:name="art77_CCP"/>
    <w:p w:rsidR="009801CC" w:rsidRDefault="0038162B" w:rsidP="00496C2A">
      <w:pPr>
        <w:pStyle w:val="ECHRPara"/>
      </w:pPr>
      <w:r>
        <w:rPr>
          <w:snapToGrid w:val="0"/>
        </w:rPr>
        <w:fldChar w:fldCharType="begin"/>
      </w:r>
      <w:r>
        <w:rPr>
          <w:snapToGrid w:val="0"/>
        </w:rPr>
        <w:instrText xml:space="preserve"> SEQ level0 \*arabic </w:instrText>
      </w:r>
      <w:r>
        <w:rPr>
          <w:snapToGrid w:val="0"/>
        </w:rPr>
        <w:fldChar w:fldCharType="separate"/>
      </w:r>
      <w:r w:rsidR="00657757">
        <w:rPr>
          <w:noProof/>
          <w:snapToGrid w:val="0"/>
        </w:rPr>
        <w:t>21</w:t>
      </w:r>
      <w:r>
        <w:rPr>
          <w:snapToGrid w:val="0"/>
        </w:rPr>
        <w:fldChar w:fldCharType="end"/>
      </w:r>
      <w:bookmarkEnd w:id="6"/>
      <w:r>
        <w:rPr>
          <w:snapToGrid w:val="0"/>
        </w:rPr>
        <w:t xml:space="preserve">.  In </w:t>
      </w:r>
      <w:r w:rsidRPr="003B50F7">
        <w:rPr>
          <w:snapToGrid w:val="0"/>
        </w:rPr>
        <w:t>addition</w:t>
      </w:r>
      <w:r>
        <w:rPr>
          <w:snapToGrid w:val="0"/>
        </w:rPr>
        <w:t>,</w:t>
      </w:r>
      <w:r w:rsidRPr="003B50F7">
        <w:rPr>
          <w:snapToGrid w:val="0"/>
        </w:rPr>
        <w:t xml:space="preserve"> </w:t>
      </w:r>
      <w:r>
        <w:t>Section</w:t>
      </w:r>
      <w:r w:rsidRPr="003B50F7">
        <w:t xml:space="preserve"> 77 of the Code of Criminal Proced</w:t>
      </w:r>
      <w:r w:rsidR="009801CC">
        <w:t>ure</w:t>
      </w:r>
      <w:r w:rsidR="00E90288">
        <w:t xml:space="preserve"> provided</w:t>
      </w:r>
      <w:r>
        <w:t xml:space="preserve"> that during the pre-trial investigation detention on remand must not exceed two months</w:t>
      </w:r>
      <w:r w:rsidRPr="009801CC">
        <w:t>. In certain circumstances by a decision of a judge the detention on remand could be prolonged up to 18 months, not exceeding two months in one decision. Further prolongation in principle was allowed in exceptional circumstances.</w:t>
      </w:r>
      <w:r>
        <w:t xml:space="preserve"> </w:t>
      </w:r>
      <w:r w:rsidR="009801CC">
        <w:t xml:space="preserve">Part 7 of section 77 provided that </w:t>
      </w:r>
      <w:r w:rsidR="00E90288">
        <w:t>from the day the criminal case had been remitted to trial until the termination of its adjudication by the first instance the maximum length of pre-trial detention must not exceed one year and six months.</w:t>
      </w:r>
    </w:p>
    <w:p w:rsidR="00B9381D" w:rsidRDefault="009801CC" w:rsidP="009801CC">
      <w:pPr>
        <w:pStyle w:val="ECHRHeading2"/>
      </w:pPr>
      <w:r>
        <w:t>B.  </w:t>
      </w:r>
      <w:r w:rsidR="00657109">
        <w:t xml:space="preserve">The </w:t>
      </w:r>
      <w:r>
        <w:t>Criminal Procedure Law</w:t>
      </w:r>
    </w:p>
    <w:bookmarkStart w:id="7" w:name="art276_CPL"/>
    <w:p w:rsidR="00212FB0" w:rsidRPr="00B63A8D" w:rsidRDefault="003D768A" w:rsidP="00147AD7">
      <w:pPr>
        <w:pStyle w:val="ECHRPara"/>
      </w:pPr>
      <w:r w:rsidRPr="00BC2678">
        <w:fldChar w:fldCharType="begin"/>
      </w:r>
      <w:r w:rsidRPr="00BC2678">
        <w:instrText xml:space="preserve"> SEQ level0 \*arabic </w:instrText>
      </w:r>
      <w:r w:rsidRPr="00BC2678">
        <w:fldChar w:fldCharType="separate"/>
      </w:r>
      <w:r w:rsidR="00657757">
        <w:rPr>
          <w:noProof/>
        </w:rPr>
        <w:t>22</w:t>
      </w:r>
      <w:r w:rsidRPr="00BC2678">
        <w:fldChar w:fldCharType="end"/>
      </w:r>
      <w:bookmarkEnd w:id="7"/>
      <w:r w:rsidRPr="00BC2678">
        <w:t>.  </w:t>
      </w:r>
      <w:r w:rsidR="00271515" w:rsidRPr="00BC2678">
        <w:t>Section</w:t>
      </w:r>
      <w:r w:rsidR="00212FB0" w:rsidRPr="00BC2678">
        <w:t> </w:t>
      </w:r>
      <w:r w:rsidR="00271515" w:rsidRPr="00BC2678">
        <w:t>276 of the Criminal Procedure Law (i</w:t>
      </w:r>
      <w:r w:rsidR="00271515">
        <w:t xml:space="preserve">n force from 1 October 2005; further referred to as CPL) provides that during the adjudication of the criminal case the </w:t>
      </w:r>
      <w:r w:rsidR="00271515" w:rsidRPr="00B63A8D">
        <w:t xml:space="preserve">detention </w:t>
      </w:r>
      <w:r w:rsidR="00E90288" w:rsidRPr="00B63A8D">
        <w:t>shall be ordered by the adjudicating court upon its own initiative or upon initiative of the prosecutor</w:t>
      </w:r>
      <w:r w:rsidR="00271515" w:rsidRPr="00B63A8D">
        <w:t>.</w:t>
      </w:r>
    </w:p>
    <w:p w:rsidR="00271515" w:rsidRDefault="000C06B1" w:rsidP="00147AD7">
      <w:pPr>
        <w:pStyle w:val="ECHRPara"/>
        <w:rPr>
          <w:rStyle w:val="sfbbfee58"/>
        </w:rPr>
      </w:pPr>
      <w:fldSimple w:instr=" SEQ level0 \*arabic ">
        <w:r w:rsidR="00657757">
          <w:rPr>
            <w:noProof/>
          </w:rPr>
          <w:t>23</w:t>
        </w:r>
      </w:fldSimple>
      <w:r w:rsidR="00212FB0" w:rsidRPr="00B63A8D">
        <w:t>.  Section </w:t>
      </w:r>
      <w:r w:rsidR="003D768A" w:rsidRPr="00B63A8D">
        <w:t>277 provides</w:t>
      </w:r>
      <w:r w:rsidR="00271515" w:rsidRPr="00B63A8D">
        <w:t xml:space="preserve"> that t</w:t>
      </w:r>
      <w:r w:rsidR="00147AD7" w:rsidRPr="00B63A8D">
        <w:rPr>
          <w:rStyle w:val="sfbbfee58"/>
        </w:rPr>
        <w:t>he term of detention with regard</w:t>
      </w:r>
      <w:r w:rsidR="00147AD7">
        <w:rPr>
          <w:rStyle w:val="sfbbfee58"/>
        </w:rPr>
        <w:t xml:space="preserve"> to persons charged with serious crimes (such as the applicant) shall not exceed 12</w:t>
      </w:r>
      <w:r w:rsidR="00271515">
        <w:rPr>
          <w:rStyle w:val="sfbbfee58"/>
        </w:rPr>
        <w:t xml:space="preserve"> months, of which the person shall be permitted to be held in detention during the preliminary inves</w:t>
      </w:r>
      <w:r w:rsidR="00147AD7">
        <w:rPr>
          <w:rStyle w:val="sfbbfee58"/>
        </w:rPr>
        <w:t>tigation stage no longer than 6</w:t>
      </w:r>
      <w:r w:rsidR="00271515">
        <w:rPr>
          <w:rStyle w:val="sfbbfee58"/>
        </w:rPr>
        <w:t xml:space="preserve"> months. Both an investigating judge during the preliminary investigation stage and a higher-level court judge during a trial may extend a term by three more months, if there have been no unjustifiable delays attributable to the person directing the proceedings, or if the person who performs defence has intentionally delayed the progress of proceedings, or if a faster completion of proceedings has not been possible due to the</w:t>
      </w:r>
      <w:r w:rsidR="00F626A6">
        <w:rPr>
          <w:rStyle w:val="sfbbfee58"/>
        </w:rPr>
        <w:t xml:space="preserve"> particular complexity thereof.</w:t>
      </w:r>
    </w:p>
    <w:p w:rsidR="001322DA" w:rsidRDefault="001322DA" w:rsidP="00147AD7">
      <w:pPr>
        <w:pStyle w:val="ECHRPara"/>
      </w:pPr>
      <w:r>
        <w:rPr>
          <w:rStyle w:val="sfbbfee58"/>
        </w:rPr>
        <w:fldChar w:fldCharType="begin"/>
      </w:r>
      <w:r>
        <w:rPr>
          <w:rStyle w:val="sfbbfee58"/>
        </w:rPr>
        <w:instrText xml:space="preserve"> SEQ level0 \*arabic </w:instrText>
      </w:r>
      <w:r>
        <w:rPr>
          <w:rStyle w:val="sfbbfee58"/>
        </w:rPr>
        <w:fldChar w:fldCharType="separate"/>
      </w:r>
      <w:r w:rsidR="00657757">
        <w:rPr>
          <w:rStyle w:val="sfbbfee58"/>
          <w:noProof/>
        </w:rPr>
        <w:t>24</w:t>
      </w:r>
      <w:r>
        <w:rPr>
          <w:rStyle w:val="sfbbfee58"/>
        </w:rPr>
        <w:fldChar w:fldCharType="end"/>
      </w:r>
      <w:r w:rsidR="003D768A">
        <w:rPr>
          <w:rStyle w:val="sfbbfee58"/>
        </w:rPr>
        <w:t>.  </w:t>
      </w:r>
      <w:r w:rsidR="003D768A" w:rsidRPr="004C202E">
        <w:t>Section </w:t>
      </w:r>
      <w:r w:rsidRPr="004C202E">
        <w:t>281 set</w:t>
      </w:r>
      <w:r w:rsidR="0091015E" w:rsidRPr="004C202E">
        <w:t>s</w:t>
      </w:r>
      <w:r w:rsidRPr="004C202E">
        <w:t xml:space="preserve"> out </w:t>
      </w:r>
      <w:r w:rsidR="0091015E" w:rsidRPr="004C202E">
        <w:t>a</w:t>
      </w:r>
      <w:r w:rsidRPr="004C202E">
        <w:t xml:space="preserve"> procedure of control over the application of detention. </w:t>
      </w:r>
      <w:r w:rsidR="0091015E" w:rsidRPr="004C202E">
        <w:t>It provides, in particular, that a detained person may at any time ask the investigation judge or court to assess the necessity of subsequent application of detention. Such a request may be refused if less than four weeks have passed since the last assessment and no new arguments have been submitted. Such an assessment is automatic if a detained person has not submitted a request within a term of two months after the detention.</w:t>
      </w:r>
    </w:p>
    <w:p w:rsidR="00B9381D" w:rsidRDefault="000C06B1" w:rsidP="0038162B">
      <w:pPr>
        <w:pStyle w:val="ECHRPara"/>
      </w:pPr>
      <w:fldSimple w:instr=" SEQ level0 \*arabic ">
        <w:r w:rsidR="00657757">
          <w:rPr>
            <w:noProof/>
          </w:rPr>
          <w:t>25</w:t>
        </w:r>
      </w:fldSimple>
      <w:r w:rsidR="00271515">
        <w:t>.  </w:t>
      </w:r>
      <w:r w:rsidR="003D768A">
        <w:t>Section </w:t>
      </w:r>
      <w:r w:rsidR="0038162B">
        <w:t>286 provides that i</w:t>
      </w:r>
      <w:r w:rsidR="0038162B" w:rsidRPr="008C7E3F">
        <w:t xml:space="preserve">f a </w:t>
      </w:r>
      <w:r w:rsidR="0038162B">
        <w:t>preventive</w:t>
      </w:r>
      <w:r w:rsidR="0038162B" w:rsidRPr="008C7E3F">
        <w:t xml:space="preserve"> measure related to deprivation of liberty is applied to a person after the </w:t>
      </w:r>
      <w:r w:rsidR="0038162B">
        <w:t xml:space="preserve">beginning of </w:t>
      </w:r>
      <w:r w:rsidR="003D768A">
        <w:t xml:space="preserve">the adjudication on the merits, </w:t>
      </w:r>
      <w:r w:rsidR="0038162B" w:rsidRPr="008C7E3F">
        <w:t xml:space="preserve">and the next </w:t>
      </w:r>
      <w:r w:rsidR="0038162B">
        <w:t>trial</w:t>
      </w:r>
      <w:r w:rsidR="0038162B" w:rsidRPr="008C7E3F">
        <w:t xml:space="preserve"> is not </w:t>
      </w:r>
      <w:r w:rsidR="0038162B">
        <w:t>scheduled</w:t>
      </w:r>
      <w:r w:rsidR="0038162B" w:rsidRPr="008C7E3F">
        <w:t xml:space="preserve"> for during the next 14 days, </w:t>
      </w:r>
      <w:r w:rsidR="0038162B">
        <w:t>an appeal against the decision</w:t>
      </w:r>
      <w:r w:rsidR="0038162B" w:rsidRPr="008C7E3F">
        <w:t xml:space="preserve">, may </w:t>
      </w:r>
      <w:r w:rsidR="0038162B">
        <w:t>be submitted to a higher-level court</w:t>
      </w:r>
      <w:r w:rsidR="0038162B" w:rsidRPr="008C7E3F">
        <w:t>.</w:t>
      </w:r>
    </w:p>
    <w:p w:rsidR="0038162B" w:rsidRDefault="000C06B1" w:rsidP="0038162B">
      <w:pPr>
        <w:pStyle w:val="ECHRPara"/>
      </w:pPr>
      <w:fldSimple w:instr=" SEQ level0 \*arabic ">
        <w:r w:rsidR="00657757">
          <w:rPr>
            <w:noProof/>
          </w:rPr>
          <w:t>26</w:t>
        </w:r>
      </w:fldSimple>
      <w:r w:rsidR="0038162B">
        <w:t>.  Pursuant to Section 287 of the CPL a</w:t>
      </w:r>
      <w:r w:rsidR="0038162B" w:rsidRPr="008C7E3F">
        <w:t xml:space="preserve"> judge of a higher-level court shall examine a complaint regarding the application of a compulsory measure related to deprivation of liberty, or regarding a refusal to apply such compulsory measure, in a closed court session within a term of seven days from the day of the receipt of the relevant decision and complaint</w:t>
      </w:r>
      <w:r w:rsidR="00893831">
        <w:t>.</w:t>
      </w:r>
    </w:p>
    <w:p w:rsidR="00014566" w:rsidRPr="00062973" w:rsidRDefault="00014566" w:rsidP="00014566">
      <w:pPr>
        <w:pStyle w:val="ECHRTitle1"/>
        <w:rPr>
          <w:lang w:val="en-GB"/>
        </w:rPr>
      </w:pPr>
      <w:r w:rsidRPr="00062973">
        <w:rPr>
          <w:lang w:val="en-GB"/>
        </w:rPr>
        <w:t>THE LAW</w:t>
      </w:r>
    </w:p>
    <w:p w:rsidR="00014566" w:rsidRPr="00062973" w:rsidRDefault="00014566" w:rsidP="00014566">
      <w:pPr>
        <w:pStyle w:val="ECHRHeading1"/>
        <w:rPr>
          <w:lang w:val="en-GB"/>
        </w:rPr>
      </w:pPr>
      <w:r w:rsidRPr="00062973">
        <w:rPr>
          <w:lang w:val="en-GB"/>
        </w:rPr>
        <w:t>I.  ALLEGED VIOLATIO</w:t>
      </w:r>
      <w:r w:rsidRPr="00306D00">
        <w:rPr>
          <w:lang w:val="en-GB"/>
        </w:rPr>
        <w:t>N</w:t>
      </w:r>
      <w:r w:rsidR="00FD1275" w:rsidRPr="00306D00">
        <w:rPr>
          <w:lang w:val="en-GB"/>
        </w:rPr>
        <w:t>S</w:t>
      </w:r>
      <w:r w:rsidRPr="00062973">
        <w:rPr>
          <w:lang w:val="en-GB"/>
        </w:rPr>
        <w:t xml:space="preserve"> OF ARTICLE </w:t>
      </w:r>
      <w:r w:rsidR="00A95024">
        <w:rPr>
          <w:lang w:val="en-GB"/>
        </w:rPr>
        <w:t>5</w:t>
      </w:r>
      <w:r w:rsidRPr="00062973">
        <w:rPr>
          <w:lang w:val="en-GB"/>
        </w:rPr>
        <w:t xml:space="preserve"> OF THE CONVENTION</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27</w:t>
      </w:r>
      <w:r>
        <w:rPr>
          <w:lang w:val="en-GB"/>
        </w:rPr>
        <w:fldChar w:fldCharType="end"/>
      </w:r>
      <w:r w:rsidR="00014566" w:rsidRPr="00062973">
        <w:rPr>
          <w:lang w:val="en-GB"/>
        </w:rPr>
        <w:t xml:space="preserve">.  The applicant complained that </w:t>
      </w:r>
      <w:r w:rsidR="00A95024">
        <w:rPr>
          <w:lang w:val="en-GB"/>
        </w:rPr>
        <w:t>his pre-trial detention had been</w:t>
      </w:r>
      <w:r w:rsidR="00D75581">
        <w:rPr>
          <w:lang w:val="en-GB"/>
        </w:rPr>
        <w:t xml:space="preserve"> unlawful and excessively long and had therefore been in breach of 5 </w:t>
      </w:r>
      <w:r w:rsidR="00D75581">
        <w:rPr>
          <w:rFonts w:cstheme="minorHAnsi"/>
          <w:lang w:val="en-GB"/>
        </w:rPr>
        <w:t>§§</w:t>
      </w:r>
      <w:r w:rsidR="00D75581">
        <w:rPr>
          <w:lang w:val="en-GB"/>
        </w:rPr>
        <w:t> 1 (c) and 5 </w:t>
      </w:r>
      <w:r w:rsidR="00D75581">
        <w:rPr>
          <w:rFonts w:cstheme="minorHAnsi"/>
          <w:lang w:val="en-GB"/>
        </w:rPr>
        <w:t>§</w:t>
      </w:r>
      <w:r w:rsidR="00D75581">
        <w:rPr>
          <w:lang w:val="en-GB"/>
        </w:rPr>
        <w:t> 3 of the Convention, which read</w:t>
      </w:r>
      <w:r w:rsidR="00014566" w:rsidRPr="00062973">
        <w:rPr>
          <w:lang w:val="en-GB"/>
        </w:rPr>
        <w:t xml:space="preserve"> as follows:</w:t>
      </w:r>
    </w:p>
    <w:p w:rsidR="00D75581" w:rsidRDefault="00D75581">
      <w:pPr>
        <w:pStyle w:val="ECHRParaQuote"/>
      </w:pPr>
      <w:r>
        <w:t>“1.  Everyone has the right to liberty and security of person. No one shall be deprived of his liberty save in the following cases and in accordance with a procedure prescribed by law:</w:t>
      </w:r>
    </w:p>
    <w:p w:rsidR="00D75581" w:rsidRDefault="00D75581">
      <w:pPr>
        <w:pStyle w:val="ECHRParaQuote"/>
      </w:pPr>
      <w:r>
        <w:t xml:space="preserve">(c)  the lawful arrest or detention of a person effected for the purpose of bringing him before the competent legal authority on reasonable suspicion of having committed an offence </w:t>
      </w:r>
      <w:r w:rsidR="0076670D">
        <w:t>...</w:t>
      </w:r>
    </w:p>
    <w:p w:rsidR="00014566" w:rsidRPr="00FD1275" w:rsidRDefault="00D75581" w:rsidP="00D75581">
      <w:pPr>
        <w:pStyle w:val="ECHRParaQuote"/>
      </w:pPr>
      <w:r>
        <w:t>3.  </w:t>
      </w:r>
      <w:r>
        <w:rPr>
          <w:rStyle w:val="sfbbfee58"/>
        </w:rPr>
        <w:t>Everyone arrested or detained in accordance with the provisions of paragraph 1</w:t>
      </w:r>
      <w:r w:rsidR="00420381">
        <w:rPr>
          <w:rStyle w:val="sfbbfee58"/>
        </w:rPr>
        <w:t> </w:t>
      </w:r>
      <w:r>
        <w:rPr>
          <w:rStyle w:val="sfbbfee58"/>
        </w:rPr>
        <w:t xml:space="preserve">(c) of this Article shall be ... entitled to trial within a reasonable time or to release </w:t>
      </w:r>
      <w:r w:rsidRPr="00FD1275">
        <w:rPr>
          <w:rStyle w:val="sfbbfee58"/>
        </w:rPr>
        <w:t>pending trial. Release may be conditioned by guarantees to appear for trial</w:t>
      </w:r>
      <w:r w:rsidRPr="00FD1275">
        <w:t>.”</w:t>
      </w:r>
    </w:p>
    <w:p w:rsidR="002F0D76" w:rsidRDefault="00014566" w:rsidP="002F0D76">
      <w:pPr>
        <w:pStyle w:val="ECHRHeading2"/>
        <w:outlineLvl w:val="0"/>
        <w:rPr>
          <w:lang w:val="en-GB"/>
        </w:rPr>
      </w:pPr>
      <w:r w:rsidRPr="00062973">
        <w:rPr>
          <w:lang w:val="en-GB"/>
        </w:rPr>
        <w:t>A.  Admissibility</w:t>
      </w:r>
    </w:p>
    <w:p w:rsidR="002F0D76" w:rsidRDefault="002F0D76" w:rsidP="002F0D76">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28</w:t>
      </w:r>
      <w:r>
        <w:rPr>
          <w:lang w:val="en-GB"/>
        </w:rPr>
        <w:fldChar w:fldCharType="end"/>
      </w:r>
      <w:r>
        <w:rPr>
          <w:lang w:val="en-GB"/>
        </w:rPr>
        <w:t>.  </w:t>
      </w:r>
      <w:r w:rsidR="00ED51AE">
        <w:rPr>
          <w:rStyle w:val="sb8d990e2"/>
        </w:rPr>
        <w:t>The Government con</w:t>
      </w:r>
      <w:r w:rsidR="00306D00">
        <w:rPr>
          <w:rStyle w:val="sb8d990e2"/>
        </w:rPr>
        <w:t>tested the admissibility of these</w:t>
      </w:r>
      <w:r w:rsidR="00ED51AE">
        <w:rPr>
          <w:rStyle w:val="sb8d990e2"/>
        </w:rPr>
        <w:t xml:space="preserve"> complaint</w:t>
      </w:r>
      <w:r w:rsidR="00306D00">
        <w:rPr>
          <w:rStyle w:val="sb8d990e2"/>
        </w:rPr>
        <w:t>s</w:t>
      </w:r>
      <w:r w:rsidR="00ED51AE">
        <w:rPr>
          <w:rStyle w:val="sb8d990e2"/>
        </w:rPr>
        <w:t xml:space="preserve"> on several grounds</w:t>
      </w:r>
      <w:r w:rsidR="00ED51AE">
        <w:rPr>
          <w:lang w:val="en-GB"/>
        </w:rPr>
        <w:t xml:space="preserve"> </w:t>
      </w:r>
      <w:r>
        <w:rPr>
          <w:lang w:val="en-GB"/>
        </w:rPr>
        <w:t>for each separate period of detention.</w:t>
      </w:r>
    </w:p>
    <w:p w:rsidR="002F0D76" w:rsidRDefault="002F0D76" w:rsidP="002F0D76">
      <w:pPr>
        <w:pStyle w:val="ECHRPara"/>
        <w:rPr>
          <w:rStyle w:val="sb8d990e2"/>
        </w:rPr>
      </w:pPr>
      <w:r>
        <w:rPr>
          <w:lang w:val="en-GB"/>
        </w:rPr>
        <w:fldChar w:fldCharType="begin"/>
      </w:r>
      <w:r>
        <w:rPr>
          <w:lang w:val="en-GB"/>
        </w:rPr>
        <w:instrText xml:space="preserve"> SEQ level0 \*arabic </w:instrText>
      </w:r>
      <w:r>
        <w:rPr>
          <w:lang w:val="en-GB"/>
        </w:rPr>
        <w:fldChar w:fldCharType="separate"/>
      </w:r>
      <w:r w:rsidR="00657757">
        <w:rPr>
          <w:noProof/>
          <w:lang w:val="en-GB"/>
        </w:rPr>
        <w:t>29</w:t>
      </w:r>
      <w:r>
        <w:rPr>
          <w:lang w:val="en-GB"/>
        </w:rPr>
        <w:fldChar w:fldCharType="end"/>
      </w:r>
      <w:r>
        <w:rPr>
          <w:lang w:val="en-GB"/>
        </w:rPr>
        <w:t>.  </w:t>
      </w:r>
      <w:r w:rsidRPr="00893831">
        <w:t>The applicant did not submit any comments</w:t>
      </w:r>
      <w:r w:rsidR="0010584C" w:rsidRPr="00893831">
        <w:t xml:space="preserve"> on the substance</w:t>
      </w:r>
      <w:r w:rsidRPr="00893831">
        <w:t xml:space="preserve"> on the Government</w:t>
      </w:r>
      <w:r w:rsidR="000C06B1">
        <w:t>’</w:t>
      </w:r>
      <w:r w:rsidRPr="00893831">
        <w:t>s observations.</w:t>
      </w:r>
    </w:p>
    <w:p w:rsidR="00C146A6" w:rsidRDefault="002F0D76" w:rsidP="00BF616F">
      <w:pPr>
        <w:pStyle w:val="ECHR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30</w:t>
      </w:r>
      <w:r>
        <w:rPr>
          <w:rStyle w:val="sb8d990e2"/>
        </w:rPr>
        <w:fldChar w:fldCharType="end"/>
      </w:r>
      <w:r>
        <w:rPr>
          <w:rStyle w:val="sb8d990e2"/>
        </w:rPr>
        <w:t>.  </w:t>
      </w:r>
      <w:r w:rsidRPr="00893831">
        <w:t>The Court shall examine separately</w:t>
      </w:r>
      <w:r w:rsidR="00306D00" w:rsidRPr="00893831">
        <w:t xml:space="preserve"> </w:t>
      </w:r>
      <w:r w:rsidRPr="00893831">
        <w:t>each period</w:t>
      </w:r>
      <w:r w:rsidR="001C2470" w:rsidRPr="00893831">
        <w:t xml:space="preserve"> of detention</w:t>
      </w:r>
      <w:r w:rsidRPr="00893831">
        <w:t>.</w:t>
      </w:r>
    </w:p>
    <w:p w:rsidR="00B9381D" w:rsidRPr="00B7668E" w:rsidRDefault="00721FD6" w:rsidP="00B7668E">
      <w:pPr>
        <w:pStyle w:val="ECHRHeading3"/>
        <w:rPr>
          <w:rStyle w:val="sb8d990e2"/>
        </w:rPr>
      </w:pPr>
      <w:r w:rsidRPr="00B7668E">
        <w:rPr>
          <w:rStyle w:val="sb8d990e2"/>
        </w:rPr>
        <w:t>1. </w:t>
      </w:r>
      <w:r w:rsidR="00C146A6" w:rsidRPr="00B7668E">
        <w:rPr>
          <w:rStyle w:val="sb8d990e2"/>
        </w:rPr>
        <w:t>Period</w:t>
      </w:r>
      <w:r w:rsidR="009E065A" w:rsidRPr="00B7668E">
        <w:rPr>
          <w:rStyle w:val="sb8d990e2"/>
        </w:rPr>
        <w:t>s</w:t>
      </w:r>
      <w:r w:rsidR="00BF616F" w:rsidRPr="00B7668E">
        <w:rPr>
          <w:rStyle w:val="sb8d990e2"/>
        </w:rPr>
        <w:t xml:space="preserve"> to be considered </w:t>
      </w:r>
      <w:r w:rsidR="00C146A6" w:rsidRPr="00B7668E">
        <w:rPr>
          <w:rStyle w:val="sb8d990e2"/>
        </w:rPr>
        <w:t>under 5 § 1 (c)</w:t>
      </w:r>
    </w:p>
    <w:p w:rsidR="00774C25" w:rsidRPr="00774C25" w:rsidRDefault="00BF616F" w:rsidP="00BF616F">
      <w:pPr>
        <w:pStyle w:val="ECHRHeading4"/>
        <w:rPr>
          <w:lang w:val="en-GB"/>
        </w:rPr>
      </w:pPr>
      <w:r>
        <w:t xml:space="preserve">(a) </w:t>
      </w:r>
      <w:r>
        <w:rPr>
          <w:lang w:val="en-GB"/>
        </w:rPr>
        <w:t>p</w:t>
      </w:r>
      <w:r w:rsidR="00774C25">
        <w:rPr>
          <w:lang w:val="en-GB"/>
        </w:rPr>
        <w:t>eri</w:t>
      </w:r>
      <w:r w:rsidR="00ED05B5">
        <w:rPr>
          <w:lang w:val="en-GB"/>
        </w:rPr>
        <w:t>od of detention from 31 May</w:t>
      </w:r>
      <w:r w:rsidR="00774C25">
        <w:rPr>
          <w:lang w:val="en-GB"/>
        </w:rPr>
        <w:t xml:space="preserve"> to 31 August 2005</w:t>
      </w:r>
    </w:p>
    <w:p w:rsidR="0041563B" w:rsidRPr="0041563B" w:rsidRDefault="004614B8" w:rsidP="00C146A6">
      <w:pPr>
        <w:pStyle w:val="ECHRPara"/>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31</w:t>
      </w:r>
      <w:r>
        <w:rPr>
          <w:rStyle w:val="sb8d990e2"/>
        </w:rPr>
        <w:fldChar w:fldCharType="end"/>
      </w:r>
      <w:r>
        <w:rPr>
          <w:rStyle w:val="sb8d990e2"/>
        </w:rPr>
        <w:t>.  </w:t>
      </w:r>
      <w:r w:rsidR="00774C25">
        <w:rPr>
          <w:rStyle w:val="sb8d990e2"/>
        </w:rPr>
        <w:t xml:space="preserve">The Court </w:t>
      </w:r>
      <w:r>
        <w:rPr>
          <w:lang w:val="en-GB"/>
        </w:rPr>
        <w:t>observes</w:t>
      </w:r>
      <w:r w:rsidR="00774C25">
        <w:rPr>
          <w:rStyle w:val="sb8d990e2"/>
        </w:rPr>
        <w:t xml:space="preserve"> that the applicant was detained within the meaning of Article 5 § 1 (c) </w:t>
      </w:r>
      <w:r w:rsidR="00475C66">
        <w:rPr>
          <w:rStyle w:val="sb8d990e2"/>
        </w:rPr>
        <w:t xml:space="preserve">from 31 May 2005 </w:t>
      </w:r>
      <w:r w:rsidR="00774C25">
        <w:rPr>
          <w:rStyle w:val="sb8d990e2"/>
        </w:rPr>
        <w:t xml:space="preserve">until his conviction on 31 August 2005 </w:t>
      </w:r>
      <w:r w:rsidR="00774C25">
        <w:t>which is more than six months before 16 October 2006 when the applicant first addressed the Court, therefore</w:t>
      </w:r>
      <w:r w:rsidR="001D1903">
        <w:t xml:space="preserve"> as far as the legality of the pre-trial detention is concerned</w:t>
      </w:r>
      <w:r w:rsidR="00774C25">
        <w:t xml:space="preserve"> this part of the complaint</w:t>
      </w:r>
      <w:r w:rsidR="001D1903">
        <w:t xml:space="preserve"> </w:t>
      </w:r>
      <w:r w:rsidR="0041563B">
        <w:rPr>
          <w:rStyle w:val="sb8d990e2"/>
        </w:rPr>
        <w:t>is inadmissible under Arti</w:t>
      </w:r>
      <w:r w:rsidR="009E0C65">
        <w:rPr>
          <w:rStyle w:val="sb8d990e2"/>
        </w:rPr>
        <w:t>cle 35 § </w:t>
      </w:r>
      <w:r w:rsidR="0041563B">
        <w:rPr>
          <w:rStyle w:val="sb8d990e2"/>
        </w:rPr>
        <w:t>1</w:t>
      </w:r>
      <w:r w:rsidR="001C2470">
        <w:rPr>
          <w:rStyle w:val="sb8d990e2"/>
        </w:rPr>
        <w:t xml:space="preserve"> of the Convention</w:t>
      </w:r>
      <w:r w:rsidR="00C146A6">
        <w:rPr>
          <w:rStyle w:val="sb8d990e2"/>
        </w:rPr>
        <w:t xml:space="preserve"> as submitted out of time</w:t>
      </w:r>
      <w:r>
        <w:rPr>
          <w:rStyle w:val="sb8d990e2"/>
        </w:rPr>
        <w:t>. I</w:t>
      </w:r>
      <w:r w:rsidR="00C146A6">
        <w:rPr>
          <w:rStyle w:val="sb8d990e2"/>
        </w:rPr>
        <w:t xml:space="preserve">t </w:t>
      </w:r>
      <w:r w:rsidR="009E0C65">
        <w:rPr>
          <w:rStyle w:val="sb8d990e2"/>
        </w:rPr>
        <w:t xml:space="preserve">is not necessary to </w:t>
      </w:r>
      <w:r w:rsidR="009E0C65">
        <w:rPr>
          <w:rStyle w:val="wordhighlighted"/>
        </w:rPr>
        <w:t>examine other inadmissibility grounds raised by the Government</w:t>
      </w:r>
      <w:r w:rsidR="002F0D76">
        <w:rPr>
          <w:rStyle w:val="wordhighlighted"/>
        </w:rPr>
        <w:t xml:space="preserve"> in this respect</w:t>
      </w:r>
      <w:r w:rsidR="009E0C65">
        <w:rPr>
          <w:rStyle w:val="wordhighlighted"/>
        </w:rPr>
        <w:t>.</w:t>
      </w:r>
    </w:p>
    <w:p w:rsidR="00CB6A6F" w:rsidRPr="0041563B" w:rsidRDefault="00BF616F" w:rsidP="00BF616F">
      <w:pPr>
        <w:pStyle w:val="ECHRHeading4"/>
        <w:rPr>
          <w:lang w:val="en-GB"/>
        </w:rPr>
      </w:pPr>
      <w:r>
        <w:rPr>
          <w:lang w:val="en-GB"/>
        </w:rPr>
        <w:t>(b) p</w:t>
      </w:r>
      <w:r w:rsidR="00774C25">
        <w:rPr>
          <w:lang w:val="en-GB"/>
        </w:rPr>
        <w:t>eriod of detention from</w:t>
      </w:r>
      <w:r w:rsidR="009E0C65">
        <w:rPr>
          <w:lang w:val="en-GB"/>
        </w:rPr>
        <w:t xml:space="preserve"> 31 </w:t>
      </w:r>
      <w:r w:rsidR="001C2470">
        <w:rPr>
          <w:lang w:val="en-GB"/>
        </w:rPr>
        <w:t>August 2005 to 21 August 2006</w:t>
      </w:r>
    </w:p>
    <w:bookmarkStart w:id="8" w:name="Adm_art51a"/>
    <w:p w:rsidR="005039CE" w:rsidRDefault="004614B8" w:rsidP="005039CE">
      <w:pPr>
        <w:pStyle w:val="ECHRPara"/>
        <w:rPr>
          <w:rStyle w:val="sb8d990e2"/>
        </w:rPr>
      </w:pPr>
      <w:r>
        <w:rPr>
          <w:lang w:val="en-GB"/>
        </w:rPr>
        <w:fldChar w:fldCharType="begin"/>
      </w:r>
      <w:r>
        <w:rPr>
          <w:lang w:val="en-GB"/>
        </w:rPr>
        <w:instrText xml:space="preserve"> SEQ level0 \*arabic </w:instrText>
      </w:r>
      <w:r>
        <w:rPr>
          <w:lang w:val="en-GB"/>
        </w:rPr>
        <w:fldChar w:fldCharType="separate"/>
      </w:r>
      <w:r w:rsidR="00657757">
        <w:rPr>
          <w:noProof/>
          <w:lang w:val="en-GB"/>
        </w:rPr>
        <w:t>32</w:t>
      </w:r>
      <w:r>
        <w:rPr>
          <w:lang w:val="en-GB"/>
        </w:rPr>
        <w:fldChar w:fldCharType="end"/>
      </w:r>
      <w:bookmarkEnd w:id="8"/>
      <w:r>
        <w:rPr>
          <w:lang w:val="en-GB"/>
        </w:rPr>
        <w:t>.  </w:t>
      </w:r>
      <w:r w:rsidR="001C2470">
        <w:rPr>
          <w:lang w:val="en-GB"/>
        </w:rPr>
        <w:t xml:space="preserve">The Court </w:t>
      </w:r>
      <w:r w:rsidR="00E87889">
        <w:rPr>
          <w:lang w:val="en-GB"/>
        </w:rPr>
        <w:t>observes</w:t>
      </w:r>
      <w:r w:rsidR="001C2470">
        <w:rPr>
          <w:lang w:val="en-GB"/>
        </w:rPr>
        <w:t xml:space="preserve"> that </w:t>
      </w:r>
      <w:r w:rsidR="001C2470">
        <w:rPr>
          <w:rStyle w:val="sb8d990e2"/>
        </w:rPr>
        <w:t>f</w:t>
      </w:r>
      <w:r w:rsidR="00EE3943">
        <w:rPr>
          <w:rStyle w:val="sb8d990e2"/>
        </w:rPr>
        <w:t xml:space="preserve">rom </w:t>
      </w:r>
      <w:r w:rsidR="00DD70CF">
        <w:rPr>
          <w:rStyle w:val="sb8d990e2"/>
        </w:rPr>
        <w:t xml:space="preserve">31 August 2005 </w:t>
      </w:r>
      <w:r w:rsidR="00EE3943">
        <w:rPr>
          <w:rStyle w:val="sb8d990e2"/>
        </w:rPr>
        <w:t xml:space="preserve">until 21 August 2006, when the Vidzeme Regional </w:t>
      </w:r>
      <w:r w:rsidR="001C2470">
        <w:rPr>
          <w:rStyle w:val="sb8d990e2"/>
        </w:rPr>
        <w:t>Court quashed the conviction, the applicant</w:t>
      </w:r>
      <w:r w:rsidR="00EE3943">
        <w:rPr>
          <w:rStyle w:val="sb8d990e2"/>
        </w:rPr>
        <w:t xml:space="preserve"> was detained “after conviction by a competent court”, within the meaning of Article 5 § 1 </w:t>
      </w:r>
      <w:r w:rsidR="00E87889">
        <w:rPr>
          <w:rStyle w:val="sb8d990e2"/>
        </w:rPr>
        <w:t>(a).</w:t>
      </w:r>
    </w:p>
    <w:p w:rsidR="00252565" w:rsidRDefault="00077AC5" w:rsidP="00BF616F">
      <w:pPr>
        <w:pStyle w:val="ECHRHeading4"/>
        <w:rPr>
          <w:rStyle w:val="sb8d990e2"/>
        </w:rPr>
      </w:pPr>
      <w:r w:rsidRPr="00B7668E">
        <w:rPr>
          <w:lang w:val="en-GB"/>
        </w:rPr>
        <w:t>(</w:t>
      </w:r>
      <w:r w:rsidR="00BF616F" w:rsidRPr="00B7668E">
        <w:rPr>
          <w:lang w:val="en-GB"/>
        </w:rPr>
        <w:t>c) p</w:t>
      </w:r>
      <w:r w:rsidR="00252565" w:rsidRPr="00B7668E">
        <w:rPr>
          <w:lang w:val="en-GB"/>
        </w:rPr>
        <w:t>er</w:t>
      </w:r>
      <w:r w:rsidR="00ED05B5" w:rsidRPr="00B7668E">
        <w:rPr>
          <w:lang w:val="en-GB"/>
        </w:rPr>
        <w:t>iod of detention from 21 August to</w:t>
      </w:r>
      <w:r w:rsidR="00252565" w:rsidRPr="00B7668E">
        <w:rPr>
          <w:lang w:val="en-GB"/>
        </w:rPr>
        <w:t xml:space="preserve"> 17 October 2006</w:t>
      </w:r>
    </w:p>
    <w:p w:rsidR="00C146A6" w:rsidRDefault="00252565" w:rsidP="00077AC5">
      <w:pPr>
        <w:pStyle w:val="ECHR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33</w:t>
      </w:r>
      <w:r>
        <w:rPr>
          <w:rStyle w:val="sb8d990e2"/>
        </w:rPr>
        <w:fldChar w:fldCharType="end"/>
      </w:r>
      <w:r>
        <w:rPr>
          <w:rStyle w:val="sb8d990e2"/>
        </w:rPr>
        <w:t>.  </w:t>
      </w:r>
      <w:r w:rsidRPr="00893831">
        <w:t xml:space="preserve">The Court observes that </w:t>
      </w:r>
      <w:r w:rsidR="00067238" w:rsidRPr="00893831">
        <w:t>f</w:t>
      </w:r>
      <w:r w:rsidR="00EE3943" w:rsidRPr="00893831">
        <w:t>rom 21 August 2006 to 17 October 2006, when the detention order was lifted and changed to police surveillance, the applicant was again in pre-trial detention falling under Articles</w:t>
      </w:r>
      <w:r w:rsidR="00C146A6" w:rsidRPr="00893831">
        <w:t xml:space="preserve"> 5 § 1 (c).</w:t>
      </w:r>
    </w:p>
    <w:p w:rsidR="00C146A6" w:rsidRPr="00721FD6" w:rsidRDefault="004614B8" w:rsidP="00BF616F">
      <w:pPr>
        <w:pStyle w:val="ECHRHeading3"/>
        <w:rPr>
          <w:rStyle w:val="sb8d990e2"/>
        </w:rPr>
      </w:pPr>
      <w:r w:rsidRPr="00721FD6">
        <w:rPr>
          <w:rStyle w:val="sb8d990e2"/>
        </w:rPr>
        <w:t>2</w:t>
      </w:r>
      <w:r w:rsidR="00E87889" w:rsidRPr="00721FD6">
        <w:rPr>
          <w:rStyle w:val="sb8d990e2"/>
        </w:rPr>
        <w:t>. Period</w:t>
      </w:r>
      <w:r w:rsidR="00BF616F" w:rsidRPr="00721FD6">
        <w:rPr>
          <w:rStyle w:val="sb8d990e2"/>
        </w:rPr>
        <w:t xml:space="preserve"> to be considered under 5 </w:t>
      </w:r>
      <w:r w:rsidR="00BF616F" w:rsidRPr="00721FD6">
        <w:rPr>
          <w:rStyle w:val="sb8d990e2"/>
          <w:rFonts w:cstheme="minorHAnsi"/>
        </w:rPr>
        <w:t>§</w:t>
      </w:r>
      <w:r w:rsidR="00BF616F" w:rsidRPr="00721FD6">
        <w:rPr>
          <w:rStyle w:val="sb8d990e2"/>
        </w:rPr>
        <w:t> 3</w:t>
      </w:r>
    </w:p>
    <w:p w:rsidR="00E87889" w:rsidRPr="00E87889" w:rsidRDefault="000C06B1" w:rsidP="00E87889">
      <w:pPr>
        <w:pStyle w:val="ECHRPara"/>
        <w:rPr>
          <w:rStyle w:val="sb8d990e2"/>
        </w:rPr>
      </w:pPr>
      <w:fldSimple w:instr=" SEQ level0 \*arabic ">
        <w:r w:rsidR="00657757">
          <w:rPr>
            <w:noProof/>
          </w:rPr>
          <w:t>34</w:t>
        </w:r>
      </w:fldSimple>
      <w:r w:rsidR="00D91D56">
        <w:t>.  </w:t>
      </w:r>
      <w:r w:rsidR="00054920">
        <w:t>F</w:t>
      </w:r>
      <w:r w:rsidR="00D379A1">
        <w:t>or the purpose of Article 5 § </w:t>
      </w:r>
      <w:r w:rsidR="00F326C2" w:rsidRPr="001D1903">
        <w:t>3 of</w:t>
      </w:r>
      <w:r w:rsidR="00F326C2" w:rsidRPr="009F0A1B">
        <w:t xml:space="preserve"> the Convention</w:t>
      </w:r>
      <w:r w:rsidR="00722883">
        <w:t xml:space="preserve"> the Court shall </w:t>
      </w:r>
      <w:r w:rsidR="00722883">
        <w:rPr>
          <w:rStyle w:val="sb8d990e2"/>
        </w:rPr>
        <w:t xml:space="preserve">make an overall evaluation of the accumulated periods of detention (see, among many other authorities, </w:t>
      </w:r>
      <w:r w:rsidR="00722883" w:rsidRPr="00054920">
        <w:rPr>
          <w:rStyle w:val="s6b621b36"/>
          <w:i/>
        </w:rPr>
        <w:t>Solmaz v. Turkey</w:t>
      </w:r>
      <w:r w:rsidR="00722883">
        <w:rPr>
          <w:rStyle w:val="sb8d990e2"/>
        </w:rPr>
        <w:t>, no.</w:t>
      </w:r>
      <w:r w:rsidR="00420381">
        <w:rPr>
          <w:rStyle w:val="sb8d990e2"/>
        </w:rPr>
        <w:t xml:space="preserve"> 27561/02</w:t>
      </w:r>
      <w:r w:rsidR="00722883">
        <w:rPr>
          <w:rStyle w:val="sb8d990e2"/>
        </w:rPr>
        <w:t>, §§ 34</w:t>
      </w:r>
      <w:r w:rsidR="00722883">
        <w:rPr>
          <w:rStyle w:val="sb8d990e2"/>
        </w:rPr>
        <w:noBreakHyphen/>
        <w:t xml:space="preserve">37, 16 January 2007). In the particular case, </w:t>
      </w:r>
      <w:r w:rsidR="00F326C2" w:rsidRPr="009F0A1B">
        <w:t>a</w:t>
      </w:r>
      <w:r w:rsidR="005039CE" w:rsidRPr="009F0A1B">
        <w:t>fter</w:t>
      </w:r>
      <w:r w:rsidR="005039CE">
        <w:t xml:space="preserve"> deducting the period of detention fallin</w:t>
      </w:r>
      <w:r w:rsidR="00D379A1">
        <w:t>g within the scope of Article 5 § 1 </w:t>
      </w:r>
      <w:r w:rsidR="00F326C2">
        <w:t>(</w:t>
      </w:r>
      <w:r w:rsidR="005039CE">
        <w:t>a)</w:t>
      </w:r>
      <w:r w:rsidR="00E87889">
        <w:t xml:space="preserve"> and thus </w:t>
      </w:r>
      <w:r w:rsidR="00E87889">
        <w:rPr>
          <w:rStyle w:val="sb8d990e2"/>
        </w:rPr>
        <w:t xml:space="preserve">falling </w:t>
      </w:r>
      <w:r w:rsidR="00E87889" w:rsidRPr="001D1903">
        <w:rPr>
          <w:rStyle w:val="sb8d990e2"/>
        </w:rPr>
        <w:t>outside the scope of Article 5 § 3</w:t>
      </w:r>
      <w:r w:rsidR="00475C66">
        <w:rPr>
          <w:rStyle w:val="sb8d990e2"/>
        </w:rPr>
        <w:t xml:space="preserve"> of the Convention (see paragraph </w:t>
      </w:r>
      <w:r w:rsidR="00475C66">
        <w:rPr>
          <w:rStyle w:val="sb8d990e2"/>
        </w:rPr>
        <w:fldChar w:fldCharType="begin"/>
      </w:r>
      <w:r w:rsidR="00475C66">
        <w:rPr>
          <w:rStyle w:val="sb8d990e2"/>
        </w:rPr>
        <w:instrText xml:space="preserve"> REF Adm_art51a \h </w:instrText>
      </w:r>
      <w:r w:rsidR="00475C66">
        <w:rPr>
          <w:rStyle w:val="sb8d990e2"/>
        </w:rPr>
      </w:r>
      <w:r w:rsidR="00475C66">
        <w:rPr>
          <w:rStyle w:val="sb8d990e2"/>
        </w:rPr>
        <w:fldChar w:fldCharType="separate"/>
      </w:r>
      <w:r w:rsidR="00657757">
        <w:rPr>
          <w:noProof/>
          <w:lang w:val="en-GB"/>
        </w:rPr>
        <w:t>32</w:t>
      </w:r>
      <w:r w:rsidR="00475C66">
        <w:rPr>
          <w:rStyle w:val="sb8d990e2"/>
        </w:rPr>
        <w:fldChar w:fldCharType="end"/>
      </w:r>
      <w:r w:rsidR="00475C66">
        <w:rPr>
          <w:rStyle w:val="sb8d990e2"/>
        </w:rPr>
        <w:t xml:space="preserve"> above)</w:t>
      </w:r>
      <w:r w:rsidR="005039CE">
        <w:t xml:space="preserve">, the period to be taken into </w:t>
      </w:r>
      <w:r w:rsidR="005039CE" w:rsidRPr="00E87889">
        <w:t>consideration is 4 months 3 weeks and 5 days</w:t>
      </w:r>
      <w:r w:rsidR="00E87889">
        <w:t>.</w:t>
      </w:r>
    </w:p>
    <w:p w:rsidR="00BF616F" w:rsidRDefault="00BF616F" w:rsidP="00E87889">
      <w:pPr>
        <w:pStyle w:val="ECHRHeading3"/>
        <w:rPr>
          <w:rStyle w:val="sb8d990e2"/>
        </w:rPr>
      </w:pPr>
      <w:r w:rsidRPr="00721FD6">
        <w:rPr>
          <w:rStyle w:val="sb8d990e2"/>
        </w:rPr>
        <w:t>3. Other inadmissibility grounds</w:t>
      </w:r>
      <w:r w:rsidR="00546309" w:rsidRPr="00721FD6">
        <w:rPr>
          <w:rStyle w:val="sb8d990e2"/>
        </w:rPr>
        <w:t xml:space="preserve"> raised by the Government</w:t>
      </w:r>
    </w:p>
    <w:p w:rsidR="00212FB0" w:rsidRPr="006C7384" w:rsidRDefault="00AE2684" w:rsidP="00212FB0">
      <w:pPr>
        <w:pStyle w:val="ECHR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35</w:t>
      </w:r>
      <w:r>
        <w:rPr>
          <w:rStyle w:val="sb8d990e2"/>
        </w:rPr>
        <w:fldChar w:fldCharType="end"/>
      </w:r>
      <w:r>
        <w:rPr>
          <w:rStyle w:val="sb8d990e2"/>
        </w:rPr>
        <w:t>.  </w:t>
      </w:r>
      <w:r w:rsidRPr="00893831">
        <w:t>T</w:t>
      </w:r>
      <w:r w:rsidR="00212FB0" w:rsidRPr="00893831">
        <w:t>he Government argued</w:t>
      </w:r>
      <w:r w:rsidRPr="00893831">
        <w:t>, first,</w:t>
      </w:r>
      <w:r w:rsidR="001D7718" w:rsidRPr="00893831">
        <w:t xml:space="preserve"> that the applicant had not used the right to complain about the legality</w:t>
      </w:r>
      <w:r w:rsidR="007B4C1B" w:rsidRPr="00893831">
        <w:t xml:space="preserve"> of his pre-trial detention</w:t>
      </w:r>
      <w:r w:rsidR="006C7384" w:rsidRPr="00893831">
        <w:t xml:space="preserve"> before the national courts.</w:t>
      </w:r>
    </w:p>
    <w:p w:rsidR="009F0A1B" w:rsidRDefault="00212FB0" w:rsidP="00212FB0">
      <w:pPr>
        <w:pStyle w:val="ECHRPara"/>
        <w:rPr>
          <w:rStyle w:val="sb8d990e2"/>
        </w:rPr>
      </w:pPr>
      <w:r w:rsidRPr="006C7384">
        <w:rPr>
          <w:rStyle w:val="sb8d990e2"/>
        </w:rPr>
        <w:fldChar w:fldCharType="begin"/>
      </w:r>
      <w:r w:rsidRPr="006C7384">
        <w:rPr>
          <w:rStyle w:val="sb8d990e2"/>
        </w:rPr>
        <w:instrText xml:space="preserve"> SEQ level0 \*arabic </w:instrText>
      </w:r>
      <w:r w:rsidRPr="006C7384">
        <w:rPr>
          <w:rStyle w:val="sb8d990e2"/>
        </w:rPr>
        <w:fldChar w:fldCharType="separate"/>
      </w:r>
      <w:r w:rsidR="00657757">
        <w:rPr>
          <w:rStyle w:val="sb8d990e2"/>
          <w:noProof/>
        </w:rPr>
        <w:t>36</w:t>
      </w:r>
      <w:r w:rsidRPr="006C7384">
        <w:rPr>
          <w:rStyle w:val="sb8d990e2"/>
        </w:rPr>
        <w:fldChar w:fldCharType="end"/>
      </w:r>
      <w:r w:rsidRPr="006C7384">
        <w:rPr>
          <w:rStyle w:val="sb8d990e2"/>
        </w:rPr>
        <w:t>.  </w:t>
      </w:r>
      <w:r w:rsidR="009F0A1B" w:rsidRPr="006C7384">
        <w:rPr>
          <w:rStyle w:val="sb8d990e2"/>
        </w:rPr>
        <w:t>The Court refers to its earlier case</w:t>
      </w:r>
      <w:r w:rsidR="009F0A1B">
        <w:rPr>
          <w:rStyle w:val="sb8d990e2"/>
        </w:rPr>
        <w:t xml:space="preserve"> law, where it has dismissed the same preliminary objections raised by the Government in comparable circumstances </w:t>
      </w:r>
      <w:r w:rsidR="00AD1B68">
        <w:rPr>
          <w:rStyle w:val="sb8d990e2"/>
        </w:rPr>
        <w:t xml:space="preserve">(see </w:t>
      </w:r>
      <w:r w:rsidR="00AD1B68" w:rsidRPr="003B50F7">
        <w:rPr>
          <w:i/>
          <w:lang w:val="pt-BR"/>
        </w:rPr>
        <w:t>Shannon</w:t>
      </w:r>
      <w:r w:rsidR="00AD1B68">
        <w:rPr>
          <w:i/>
          <w:lang w:val="pt-BR"/>
        </w:rPr>
        <w:t xml:space="preserve">, </w:t>
      </w:r>
      <w:r w:rsidR="00AD1B68" w:rsidRPr="00C8382F">
        <w:rPr>
          <w:lang w:val="en-GB"/>
        </w:rPr>
        <w:t xml:space="preserve">cited above, </w:t>
      </w:r>
      <w:r w:rsidR="00AD1B68" w:rsidRPr="00C8382F">
        <w:rPr>
          <w:rFonts w:cstheme="minorHAnsi"/>
          <w:lang w:val="en-GB"/>
        </w:rPr>
        <w:t>§</w:t>
      </w:r>
      <w:r w:rsidR="00AD1B68" w:rsidRPr="00C8382F">
        <w:rPr>
          <w:lang w:val="en-GB"/>
        </w:rPr>
        <w:t> 40</w:t>
      </w:r>
      <w:r w:rsidR="00AD1B68">
        <w:rPr>
          <w:lang w:val="pt-BR"/>
        </w:rPr>
        <w:t>).</w:t>
      </w:r>
      <w:r w:rsidR="00AD1B68">
        <w:rPr>
          <w:rStyle w:val="sb8d990e2"/>
        </w:rPr>
        <w:t xml:space="preserve"> </w:t>
      </w:r>
      <w:r w:rsidR="009F0A1B">
        <w:rPr>
          <w:rStyle w:val="sb8d990e2"/>
        </w:rPr>
        <w:t>Therefore</w:t>
      </w:r>
      <w:r w:rsidR="00AD1B68">
        <w:rPr>
          <w:rStyle w:val="sb8d990e2"/>
        </w:rPr>
        <w:t xml:space="preserve"> in the circumstances where the applicant had disputed the necessity to keep him in </w:t>
      </w:r>
      <w:r w:rsidR="00AD1B68" w:rsidRPr="005C395E">
        <w:rPr>
          <w:rStyle w:val="sb8d990e2"/>
        </w:rPr>
        <w:t>custody (see paragraph</w:t>
      </w:r>
      <w:r w:rsidR="00041D72" w:rsidRPr="005C395E">
        <w:rPr>
          <w:rStyle w:val="sb8d990e2"/>
        </w:rPr>
        <w:t>s </w:t>
      </w:r>
      <w:r w:rsidR="00041D72" w:rsidRPr="005C395E">
        <w:rPr>
          <w:rStyle w:val="sb8d990e2"/>
        </w:rPr>
        <w:fldChar w:fldCharType="begin"/>
      </w:r>
      <w:r w:rsidR="00041D72" w:rsidRPr="005C395E">
        <w:rPr>
          <w:rStyle w:val="sb8d990e2"/>
        </w:rPr>
        <w:instrText xml:space="preserve"> REF AppelCOurtnoLongerAuthorised \h </w:instrText>
      </w:r>
      <w:r w:rsidR="005C395E">
        <w:rPr>
          <w:rStyle w:val="sb8d990e2"/>
        </w:rPr>
        <w:instrText xml:space="preserve"> \* MERGEFORMAT </w:instrText>
      </w:r>
      <w:r w:rsidR="00041D72" w:rsidRPr="005C395E">
        <w:rPr>
          <w:rStyle w:val="sb8d990e2"/>
        </w:rPr>
      </w:r>
      <w:r w:rsidR="00041D72" w:rsidRPr="005C395E">
        <w:rPr>
          <w:rStyle w:val="sb8d990e2"/>
        </w:rPr>
        <w:fldChar w:fldCharType="separate"/>
      </w:r>
      <w:r w:rsidR="00657757">
        <w:rPr>
          <w:noProof/>
        </w:rPr>
        <w:t>12</w:t>
      </w:r>
      <w:r w:rsidR="00041D72" w:rsidRPr="005C395E">
        <w:rPr>
          <w:rStyle w:val="sb8d990e2"/>
        </w:rPr>
        <w:fldChar w:fldCharType="end"/>
      </w:r>
      <w:r w:rsidR="00041D72" w:rsidRPr="005C395E">
        <w:rPr>
          <w:rStyle w:val="sb8d990e2"/>
        </w:rPr>
        <w:t xml:space="preserve">, </w:t>
      </w:r>
      <w:r w:rsidR="00041D72" w:rsidRPr="005C395E">
        <w:rPr>
          <w:rStyle w:val="sb8d990e2"/>
        </w:rPr>
        <w:fldChar w:fldCharType="begin"/>
      </w:r>
      <w:r w:rsidR="00041D72" w:rsidRPr="005C395E">
        <w:rPr>
          <w:rStyle w:val="sb8d990e2"/>
        </w:rPr>
        <w:instrText xml:space="preserve"> REF Dec13092006 \h </w:instrText>
      </w:r>
      <w:r w:rsidR="005C395E">
        <w:rPr>
          <w:rStyle w:val="sb8d990e2"/>
        </w:rPr>
        <w:instrText xml:space="preserve"> \* MERGEFORMAT </w:instrText>
      </w:r>
      <w:r w:rsidR="00041D72" w:rsidRPr="005C395E">
        <w:rPr>
          <w:rStyle w:val="sb8d990e2"/>
        </w:rPr>
      </w:r>
      <w:r w:rsidR="00041D72" w:rsidRPr="005C395E">
        <w:rPr>
          <w:rStyle w:val="sb8d990e2"/>
        </w:rPr>
        <w:fldChar w:fldCharType="separate"/>
      </w:r>
      <w:r w:rsidR="00657757">
        <w:rPr>
          <w:noProof/>
        </w:rPr>
        <w:t>14</w:t>
      </w:r>
      <w:r w:rsidR="00041D72" w:rsidRPr="005C395E">
        <w:rPr>
          <w:rStyle w:val="sb8d990e2"/>
        </w:rPr>
        <w:fldChar w:fldCharType="end"/>
      </w:r>
      <w:r w:rsidR="00AD1B68" w:rsidRPr="005C395E">
        <w:rPr>
          <w:rStyle w:val="sb8d990e2"/>
        </w:rPr>
        <w:t>)</w:t>
      </w:r>
      <w:r w:rsidR="00AD1B68">
        <w:rPr>
          <w:rStyle w:val="sb8d990e2"/>
        </w:rPr>
        <w:t xml:space="preserve"> and </w:t>
      </w:r>
      <w:r>
        <w:rPr>
          <w:rStyle w:val="sb8d990e2"/>
        </w:rPr>
        <w:t>thus</w:t>
      </w:r>
      <w:r w:rsidR="00AD1B68">
        <w:rPr>
          <w:rStyle w:val="sb8d990e2"/>
        </w:rPr>
        <w:t xml:space="preserve"> given the national authorities ample opportunity to address the issues raised in his application to the Court,</w:t>
      </w:r>
      <w:r w:rsidR="009F0A1B">
        <w:rPr>
          <w:rStyle w:val="sb8d990e2"/>
        </w:rPr>
        <w:t xml:space="preserve"> </w:t>
      </w:r>
      <w:r w:rsidR="00AD1B68">
        <w:rPr>
          <w:rStyle w:val="sb8d990e2"/>
        </w:rPr>
        <w:t xml:space="preserve">the </w:t>
      </w:r>
      <w:r w:rsidR="009F0A1B">
        <w:rPr>
          <w:rStyle w:val="sb8d990e2"/>
        </w:rPr>
        <w:t>objection as to non-exhaustion of domestic remedies must be dismissed.</w:t>
      </w:r>
    </w:p>
    <w:bookmarkStart w:id="9" w:name="PrelObj_appelCourt"/>
    <w:p w:rsidR="00212FB0" w:rsidRDefault="00212FB0" w:rsidP="00212FB0">
      <w:pPr>
        <w:pStyle w:val="ECHR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37</w:t>
      </w:r>
      <w:r>
        <w:rPr>
          <w:rStyle w:val="sb8d990e2"/>
        </w:rPr>
        <w:fldChar w:fldCharType="end"/>
      </w:r>
      <w:bookmarkEnd w:id="9"/>
      <w:r>
        <w:rPr>
          <w:rStyle w:val="sb8d990e2"/>
        </w:rPr>
        <w:t>.  Secondly, the Government contended that the applicant</w:t>
      </w:r>
      <w:r w:rsidR="00A7309B">
        <w:rPr>
          <w:rStyle w:val="sb8d990e2"/>
        </w:rPr>
        <w:t xml:space="preserve"> had to ask the </w:t>
      </w:r>
      <w:r>
        <w:rPr>
          <w:rStyle w:val="sb8d990e2"/>
        </w:rPr>
        <w:t>appellate court</w:t>
      </w:r>
      <w:r w:rsidR="00A7309B">
        <w:rPr>
          <w:rStyle w:val="sb8d990e2"/>
        </w:rPr>
        <w:t xml:space="preserve"> to review the detention measure before or during the appellate</w:t>
      </w:r>
      <w:r>
        <w:rPr>
          <w:rStyle w:val="sb8d990e2"/>
        </w:rPr>
        <w:t xml:space="preserve"> hearing </w:t>
      </w:r>
      <w:r w:rsidR="00A7309B">
        <w:rPr>
          <w:rStyle w:val="sb8d990e2"/>
        </w:rPr>
        <w:t>but the applicant came up with the request three days later (see paragraph </w:t>
      </w:r>
      <w:r w:rsidR="00A7309B">
        <w:rPr>
          <w:rStyle w:val="sb8d990e2"/>
        </w:rPr>
        <w:fldChar w:fldCharType="begin"/>
      </w:r>
      <w:r w:rsidR="00A7309B">
        <w:rPr>
          <w:rStyle w:val="sb8d990e2"/>
        </w:rPr>
        <w:instrText xml:space="preserve"> REF AppelCOurtnoLongerAuthorised \h </w:instrText>
      </w:r>
      <w:r w:rsidR="00A7309B">
        <w:rPr>
          <w:rStyle w:val="sb8d990e2"/>
        </w:rPr>
      </w:r>
      <w:r w:rsidR="00A7309B">
        <w:rPr>
          <w:rStyle w:val="sb8d990e2"/>
        </w:rPr>
        <w:fldChar w:fldCharType="separate"/>
      </w:r>
      <w:r w:rsidR="00657757">
        <w:rPr>
          <w:noProof/>
        </w:rPr>
        <w:t>12</w:t>
      </w:r>
      <w:r w:rsidR="00A7309B">
        <w:rPr>
          <w:rStyle w:val="sb8d990e2"/>
        </w:rPr>
        <w:fldChar w:fldCharType="end"/>
      </w:r>
      <w:r w:rsidR="00A7309B">
        <w:rPr>
          <w:rStyle w:val="sb8d990e2"/>
        </w:rPr>
        <w:t>,</w:t>
      </w:r>
      <w:r w:rsidR="006C7384">
        <w:rPr>
          <w:rStyle w:val="sb8d990e2"/>
        </w:rPr>
        <w:t xml:space="preserve"> </w:t>
      </w:r>
      <w:r w:rsidR="00A7309B">
        <w:rPr>
          <w:rStyle w:val="sb8d990e2"/>
        </w:rPr>
        <w:t>above)</w:t>
      </w:r>
      <w:r w:rsidR="006C7384">
        <w:rPr>
          <w:rStyle w:val="sb8d990e2"/>
        </w:rPr>
        <w:t xml:space="preserve">. </w:t>
      </w:r>
      <w:r w:rsidR="002024DF">
        <w:rPr>
          <w:rStyle w:val="sb8d990e2"/>
        </w:rPr>
        <w:t>Thirdly,</w:t>
      </w:r>
      <w:r w:rsidR="00D131A4">
        <w:rPr>
          <w:rStyle w:val="sb8d990e2"/>
        </w:rPr>
        <w:t xml:space="preserve"> the Government considered that the applicant could have submitted a constitutional complaint concerning possible incompatibility of section 77 (7) of the</w:t>
      </w:r>
      <w:r w:rsidR="001D49B9">
        <w:rPr>
          <w:rStyle w:val="sb8d990e2"/>
        </w:rPr>
        <w:t xml:space="preserve"> old</w:t>
      </w:r>
      <w:r w:rsidR="00D131A4">
        <w:rPr>
          <w:rStyle w:val="sb8d990e2"/>
        </w:rPr>
        <w:t xml:space="preserve"> C</w:t>
      </w:r>
      <w:r w:rsidR="001D49B9">
        <w:rPr>
          <w:rStyle w:val="sb8d990e2"/>
        </w:rPr>
        <w:t>ode</w:t>
      </w:r>
      <w:r w:rsidR="00657109">
        <w:rPr>
          <w:rStyle w:val="sb8d990e2"/>
        </w:rPr>
        <w:t xml:space="preserve"> of Criminal Procedure</w:t>
      </w:r>
      <w:r w:rsidR="00D131A4">
        <w:rPr>
          <w:rStyle w:val="sb8d990e2"/>
        </w:rPr>
        <w:t xml:space="preserve"> (see</w:t>
      </w:r>
      <w:r w:rsidR="005C395E">
        <w:rPr>
          <w:rStyle w:val="sb8d990e2"/>
        </w:rPr>
        <w:t xml:space="preserve"> paragraph </w:t>
      </w:r>
      <w:r w:rsidR="005C395E">
        <w:rPr>
          <w:rStyle w:val="sb8d990e2"/>
        </w:rPr>
        <w:fldChar w:fldCharType="begin"/>
      </w:r>
      <w:r w:rsidR="005C395E">
        <w:rPr>
          <w:rStyle w:val="sb8d990e2"/>
        </w:rPr>
        <w:instrText xml:space="preserve"> REF art77_CCP \h </w:instrText>
      </w:r>
      <w:r w:rsidR="005C395E">
        <w:rPr>
          <w:rStyle w:val="sb8d990e2"/>
        </w:rPr>
      </w:r>
      <w:r w:rsidR="005C395E">
        <w:rPr>
          <w:rStyle w:val="sb8d990e2"/>
        </w:rPr>
        <w:fldChar w:fldCharType="separate"/>
      </w:r>
      <w:r w:rsidR="00657757">
        <w:rPr>
          <w:noProof/>
          <w:snapToGrid w:val="0"/>
        </w:rPr>
        <w:t>21</w:t>
      </w:r>
      <w:r w:rsidR="005C395E">
        <w:rPr>
          <w:rStyle w:val="sb8d990e2"/>
        </w:rPr>
        <w:fldChar w:fldCharType="end"/>
      </w:r>
      <w:r w:rsidR="00D131A4">
        <w:rPr>
          <w:rStyle w:val="sb8d990e2"/>
        </w:rPr>
        <w:t xml:space="preserve"> above)</w:t>
      </w:r>
      <w:r w:rsidR="001D49B9">
        <w:rPr>
          <w:rStyle w:val="sb8d990e2"/>
        </w:rPr>
        <w:t xml:space="preserve"> or the applicable new provision </w:t>
      </w:r>
      <w:r w:rsidR="00657109">
        <w:rPr>
          <w:rStyle w:val="sb8d990e2"/>
        </w:rPr>
        <w:t>of the Criminal Procedure</w:t>
      </w:r>
      <w:r w:rsidR="001D49B9">
        <w:rPr>
          <w:rStyle w:val="sb8d990e2"/>
        </w:rPr>
        <w:t xml:space="preserve"> Law</w:t>
      </w:r>
      <w:r w:rsidR="00D131A4">
        <w:rPr>
          <w:rStyle w:val="sb8d990e2"/>
        </w:rPr>
        <w:t>.</w:t>
      </w:r>
    </w:p>
    <w:p w:rsidR="009C5A3F" w:rsidRPr="001A412C" w:rsidRDefault="00212FB0" w:rsidP="00C673C4">
      <w:pPr>
        <w:pStyle w:val="ECHR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38</w:t>
      </w:r>
      <w:r>
        <w:rPr>
          <w:rStyle w:val="sb8d990e2"/>
        </w:rPr>
        <w:fldChar w:fldCharType="end"/>
      </w:r>
      <w:r>
        <w:rPr>
          <w:rStyle w:val="sb8d990e2"/>
        </w:rPr>
        <w:t>.  </w:t>
      </w:r>
      <w:r w:rsidR="00C673C4">
        <w:rPr>
          <w:szCs w:val="24"/>
        </w:rPr>
        <w:t>Observing</w:t>
      </w:r>
      <w:r w:rsidR="00E87889" w:rsidRPr="00B46803">
        <w:rPr>
          <w:szCs w:val="24"/>
        </w:rPr>
        <w:t xml:space="preserve"> that</w:t>
      </w:r>
      <w:r w:rsidR="00E87889">
        <w:rPr>
          <w:szCs w:val="24"/>
        </w:rPr>
        <w:t xml:space="preserve"> </w:t>
      </w:r>
      <w:r w:rsidR="00E87889" w:rsidRPr="00B46803">
        <w:rPr>
          <w:szCs w:val="24"/>
        </w:rPr>
        <w:t xml:space="preserve">the </w:t>
      </w:r>
      <w:r w:rsidR="00E87889">
        <w:rPr>
          <w:szCs w:val="24"/>
        </w:rPr>
        <w:t xml:space="preserve">Government raise the same arguments </w:t>
      </w:r>
      <w:r w:rsidR="00E87889" w:rsidRPr="00B46803">
        <w:rPr>
          <w:szCs w:val="24"/>
        </w:rPr>
        <w:t>concerning the merits</w:t>
      </w:r>
      <w:r w:rsidR="00E87889">
        <w:rPr>
          <w:szCs w:val="24"/>
        </w:rPr>
        <w:t xml:space="preserve"> of the complaints under Article </w:t>
      </w:r>
      <w:r w:rsidR="00C673C4">
        <w:rPr>
          <w:rStyle w:val="sb8d990e2"/>
        </w:rPr>
        <w:t>5 § 1 of the Convention, t</w:t>
      </w:r>
      <w:r w:rsidR="009C5A3F">
        <w:rPr>
          <w:rStyle w:val="sb8d990e2"/>
        </w:rPr>
        <w:t>he Court considers that both</w:t>
      </w:r>
      <w:r w:rsidR="00C673C4">
        <w:rPr>
          <w:rStyle w:val="sb8d990e2"/>
        </w:rPr>
        <w:t xml:space="preserve"> non-exhaustion </w:t>
      </w:r>
      <w:r w:rsidR="00C673C4" w:rsidRPr="001D49B9">
        <w:rPr>
          <w:rStyle w:val="sb8d990e2"/>
        </w:rPr>
        <w:t>grounds</w:t>
      </w:r>
      <w:r w:rsidR="009C5A3F" w:rsidRPr="001D49B9">
        <w:rPr>
          <w:rStyle w:val="sb8d990e2"/>
        </w:rPr>
        <w:t xml:space="preserve"> should be joined to the merits</w:t>
      </w:r>
      <w:r w:rsidR="001A412C">
        <w:rPr>
          <w:rStyle w:val="sb8d990e2"/>
        </w:rPr>
        <w:t>.</w:t>
      </w:r>
    </w:p>
    <w:p w:rsidR="001D7718" w:rsidRDefault="00911E54" w:rsidP="007B4C1B">
      <w:pPr>
        <w:pStyle w:val="ECHR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39</w:t>
      </w:r>
      <w:r>
        <w:rPr>
          <w:rStyle w:val="sb8d990e2"/>
        </w:rPr>
        <w:fldChar w:fldCharType="end"/>
      </w:r>
      <w:r>
        <w:rPr>
          <w:rStyle w:val="sb8d990e2"/>
        </w:rPr>
        <w:t>.  </w:t>
      </w:r>
      <w:r w:rsidR="00AE2684">
        <w:rPr>
          <w:rStyle w:val="sb8d990e2"/>
        </w:rPr>
        <w:t>Further</w:t>
      </w:r>
      <w:r w:rsidR="008F0342">
        <w:rPr>
          <w:rStyle w:val="sb8d990e2"/>
        </w:rPr>
        <w:t>, i</w:t>
      </w:r>
      <w:r w:rsidR="00395BB1">
        <w:rPr>
          <w:rStyle w:val="sb8d990e2"/>
        </w:rPr>
        <w:t>n relation to the applicant</w:t>
      </w:r>
      <w:r w:rsidR="000C06B1">
        <w:rPr>
          <w:rStyle w:val="sb8d990e2"/>
        </w:rPr>
        <w:t>’</w:t>
      </w:r>
      <w:r w:rsidR="00395BB1">
        <w:rPr>
          <w:rStyle w:val="sb8d990e2"/>
        </w:rPr>
        <w:t>s continued de</w:t>
      </w:r>
      <w:r w:rsidR="00AE2684">
        <w:rPr>
          <w:rStyle w:val="sb8d990e2"/>
        </w:rPr>
        <w:t xml:space="preserve">tention the Government alleged </w:t>
      </w:r>
      <w:r w:rsidR="007B4C1B">
        <w:rPr>
          <w:rStyle w:val="sb8d990e2"/>
        </w:rPr>
        <w:t>that he had not invoked a complaint about the</w:t>
      </w:r>
      <w:r w:rsidR="001D7718">
        <w:rPr>
          <w:rStyle w:val="sb8d990e2"/>
        </w:rPr>
        <w:t xml:space="preserve"> length of his pre-trial detention before</w:t>
      </w:r>
      <w:r w:rsidR="007B4C1B">
        <w:rPr>
          <w:rStyle w:val="sb8d990e2"/>
        </w:rPr>
        <w:t xml:space="preserve"> or during</w:t>
      </w:r>
      <w:r w:rsidR="001D7718">
        <w:rPr>
          <w:rStyle w:val="sb8d990e2"/>
        </w:rPr>
        <w:t xml:space="preserve"> the appellate</w:t>
      </w:r>
      <w:r w:rsidR="007B4C1B">
        <w:rPr>
          <w:rStyle w:val="sb8d990e2"/>
        </w:rPr>
        <w:t xml:space="preserve"> court proceedings</w:t>
      </w:r>
      <w:r w:rsidR="001D7718">
        <w:rPr>
          <w:rStyle w:val="sb8d990e2"/>
        </w:rPr>
        <w:t xml:space="preserve"> and </w:t>
      </w:r>
      <w:r w:rsidR="007B4C1B">
        <w:rPr>
          <w:rStyle w:val="sb8d990e2"/>
        </w:rPr>
        <w:t xml:space="preserve">before the </w:t>
      </w:r>
      <w:r w:rsidR="001D7718">
        <w:rPr>
          <w:rStyle w:val="sb8d990e2"/>
        </w:rPr>
        <w:t>cassation court</w:t>
      </w:r>
      <w:r w:rsidR="007B4C1B">
        <w:rPr>
          <w:rStyle w:val="sb8d990e2"/>
        </w:rPr>
        <w:t xml:space="preserve"> </w:t>
      </w:r>
      <w:r w:rsidR="00395BB1">
        <w:rPr>
          <w:rStyle w:val="sb8d990e2"/>
        </w:rPr>
        <w:t xml:space="preserve">which would influence at least the sentence, similarly to the case </w:t>
      </w:r>
      <w:r w:rsidR="00395BB1" w:rsidRPr="00041D72">
        <w:rPr>
          <w:rStyle w:val="sb8d990e2"/>
        </w:rPr>
        <w:t xml:space="preserve">of </w:t>
      </w:r>
      <w:r w:rsidR="00395BB1" w:rsidRPr="00041D72">
        <w:rPr>
          <w:rStyle w:val="s6b621b36"/>
          <w:i/>
        </w:rPr>
        <w:t>Moisejevs v. Latvia</w:t>
      </w:r>
      <w:r w:rsidR="00395BB1" w:rsidRPr="00041D72">
        <w:rPr>
          <w:rStyle w:val="sb8d990e2"/>
          <w:i/>
        </w:rPr>
        <w:t xml:space="preserve"> </w:t>
      </w:r>
      <w:r w:rsidR="00395BB1" w:rsidRPr="00041D72">
        <w:rPr>
          <w:rStyle w:val="sb8d990e2"/>
        </w:rPr>
        <w:t>(dec.), no.</w:t>
      </w:r>
      <w:r w:rsidR="00420381">
        <w:rPr>
          <w:rStyle w:val="sb8d990e2"/>
        </w:rPr>
        <w:t xml:space="preserve"> 64846/01</w:t>
      </w:r>
      <w:r w:rsidR="00395BB1" w:rsidRPr="00041D72">
        <w:rPr>
          <w:rStyle w:val="sb8d990e2"/>
        </w:rPr>
        <w:t>, 15</w:t>
      </w:r>
      <w:r w:rsidR="00420381">
        <w:rPr>
          <w:rStyle w:val="sb8d990e2"/>
        </w:rPr>
        <w:t> </w:t>
      </w:r>
      <w:r w:rsidR="00395BB1" w:rsidRPr="00041D72">
        <w:rPr>
          <w:rStyle w:val="sb8d990e2"/>
        </w:rPr>
        <w:t>June</w:t>
      </w:r>
      <w:r w:rsidR="00420381">
        <w:rPr>
          <w:rStyle w:val="sb8d990e2"/>
        </w:rPr>
        <w:t> </w:t>
      </w:r>
      <w:r w:rsidR="00395BB1" w:rsidRPr="00041D72">
        <w:rPr>
          <w:rStyle w:val="sb8d990e2"/>
        </w:rPr>
        <w:t>2006</w:t>
      </w:r>
      <w:r w:rsidR="00041D72" w:rsidRPr="00041D72">
        <w:rPr>
          <w:rStyle w:val="sb8d990e2"/>
        </w:rPr>
        <w:t>.</w:t>
      </w:r>
    </w:p>
    <w:p w:rsidR="008F0342" w:rsidRDefault="008F0342" w:rsidP="00AE2684">
      <w:pPr>
        <w:pStyle w:val="ECHR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40</w:t>
      </w:r>
      <w:r>
        <w:rPr>
          <w:rStyle w:val="sb8d990e2"/>
        </w:rPr>
        <w:fldChar w:fldCharType="end"/>
      </w:r>
      <w:r>
        <w:rPr>
          <w:rStyle w:val="sb8d990e2"/>
        </w:rPr>
        <w:t>.  The Court notes that, according to its case-law, in a situation where the person was still detained, an e</w:t>
      </w:r>
      <w:r w:rsidR="00041D72">
        <w:rPr>
          <w:rStyle w:val="sb8d990e2"/>
        </w:rPr>
        <w:t>ffective remedy under Article 5 § </w:t>
      </w:r>
      <w:r>
        <w:rPr>
          <w:rStyle w:val="sb8d990e2"/>
        </w:rPr>
        <w:t xml:space="preserve">3 should be able to lead to the lifting of the detention order (see </w:t>
      </w:r>
      <w:r w:rsidRPr="00C673C4">
        <w:rPr>
          <w:rStyle w:val="s6b621b36"/>
          <w:i/>
        </w:rPr>
        <w:t>McKay v. the United Kingdom</w:t>
      </w:r>
      <w:r>
        <w:rPr>
          <w:rStyle w:val="s6b621b36"/>
        </w:rPr>
        <w:t xml:space="preserve"> </w:t>
      </w:r>
      <w:r>
        <w:rPr>
          <w:rStyle w:val="sb8d990e2"/>
        </w:rPr>
        <w:t>[GC], no.</w:t>
      </w:r>
      <w:r w:rsidR="00420381">
        <w:rPr>
          <w:rStyle w:val="sb8d990e2"/>
        </w:rPr>
        <w:t xml:space="preserve"> 543/03</w:t>
      </w:r>
      <w:r>
        <w:rPr>
          <w:rStyle w:val="sb8d990e2"/>
        </w:rPr>
        <w:t>, § 45, ECHR 2006</w:t>
      </w:r>
      <w:r>
        <w:rPr>
          <w:rStyle w:val="sb8d990e2"/>
        </w:rPr>
        <w:noBreakHyphen/>
        <w:t>X). It shall therefore dismiss</w:t>
      </w:r>
      <w:r w:rsidR="00041D72">
        <w:rPr>
          <w:rStyle w:val="sb8d990e2"/>
        </w:rPr>
        <w:t xml:space="preserve">, similarly </w:t>
      </w:r>
      <w:r w:rsidR="00041D72" w:rsidRPr="00C049AC">
        <w:rPr>
          <w:rStyle w:val="sb8d990e2"/>
        </w:rPr>
        <w:t xml:space="preserve">as in </w:t>
      </w:r>
      <w:r w:rsidR="00041D72" w:rsidRPr="00C049AC">
        <w:rPr>
          <w:rStyle w:val="sb8d990e2"/>
          <w:i/>
        </w:rPr>
        <w:t>Ķipēns v. Latvia</w:t>
      </w:r>
      <w:r w:rsidR="00041D72" w:rsidRPr="00C049AC">
        <w:rPr>
          <w:rStyle w:val="sb8d990e2"/>
        </w:rPr>
        <w:t xml:space="preserve"> (dec.), no. </w:t>
      </w:r>
      <w:r w:rsidR="00041D72" w:rsidRPr="00C049AC">
        <w:rPr>
          <w:rStyle w:val="column01"/>
        </w:rPr>
        <w:t>5436/</w:t>
      </w:r>
      <w:r w:rsidR="00041D72">
        <w:rPr>
          <w:rStyle w:val="column01"/>
        </w:rPr>
        <w:t>05</w:t>
      </w:r>
      <w:r w:rsidR="002F53DF">
        <w:rPr>
          <w:rStyle w:val="column01"/>
        </w:rPr>
        <w:t xml:space="preserve">, </w:t>
      </w:r>
      <w:r w:rsidR="002F53DF">
        <w:rPr>
          <w:rStyle w:val="column01"/>
          <w:rFonts w:cstheme="minorHAnsi"/>
        </w:rPr>
        <w:t>§</w:t>
      </w:r>
      <w:r w:rsidR="002F53DF">
        <w:rPr>
          <w:rStyle w:val="column01"/>
        </w:rPr>
        <w:t> 47, 5 March 2013</w:t>
      </w:r>
      <w:r w:rsidR="00C673C4">
        <w:rPr>
          <w:rStyle w:val="column01"/>
        </w:rPr>
        <w:t>,</w:t>
      </w:r>
      <w:r>
        <w:rPr>
          <w:rStyle w:val="sb8d990e2"/>
        </w:rPr>
        <w:t xml:space="preserve"> the argument that a later compensatory remedy, as argued by the Government, could have been adequate and sufficient in the particular cas</w:t>
      </w:r>
      <w:r w:rsidR="00AE2684">
        <w:rPr>
          <w:rStyle w:val="sb8d990e2"/>
        </w:rPr>
        <w:t>e.</w:t>
      </w:r>
    </w:p>
    <w:p w:rsidR="007B4C1B" w:rsidRPr="00ED51AE" w:rsidRDefault="007B4C1B" w:rsidP="001D7718">
      <w:pPr>
        <w:pStyle w:val="ECHRPara"/>
        <w:rPr>
          <w:rStyle w:val="sb8d990e2"/>
          <w:b/>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41</w:t>
      </w:r>
      <w:r>
        <w:rPr>
          <w:rStyle w:val="sb8d990e2"/>
        </w:rPr>
        <w:fldChar w:fldCharType="end"/>
      </w:r>
      <w:r>
        <w:rPr>
          <w:rStyle w:val="sb8d990e2"/>
        </w:rPr>
        <w:t>.  </w:t>
      </w:r>
      <w:r w:rsidR="00AE2684">
        <w:rPr>
          <w:rStyle w:val="sb8d990e2"/>
        </w:rPr>
        <w:t>Finally, t</w:t>
      </w:r>
      <w:r w:rsidR="008F0342">
        <w:rPr>
          <w:rStyle w:val="sb8d990e2"/>
        </w:rPr>
        <w:t>he Government</w:t>
      </w:r>
      <w:r w:rsidR="00AE2684">
        <w:rPr>
          <w:rStyle w:val="sb8d990e2"/>
        </w:rPr>
        <w:t xml:space="preserve"> contended</w:t>
      </w:r>
      <w:r w:rsidR="008F0342">
        <w:rPr>
          <w:rStyle w:val="sb8d990e2"/>
        </w:rPr>
        <w:t xml:space="preserve"> </w:t>
      </w:r>
      <w:r w:rsidR="00F90805">
        <w:rPr>
          <w:rStyle w:val="sb8d990e2"/>
        </w:rPr>
        <w:t xml:space="preserve">that the applicant had not suffered any </w:t>
      </w:r>
      <w:r w:rsidR="00F90805">
        <w:rPr>
          <w:rStyle w:val="wordhighlighted"/>
        </w:rPr>
        <w:t>significant disadvantage</w:t>
      </w:r>
      <w:r w:rsidR="00F90805">
        <w:rPr>
          <w:rStyle w:val="sb8d990e2"/>
        </w:rPr>
        <w:t xml:space="preserve"> within the meaning of Article 35 § 3 (b) of the Convention </w:t>
      </w:r>
      <w:r w:rsidR="00ED51AE">
        <w:rPr>
          <w:rStyle w:val="sb8d990e2"/>
        </w:rPr>
        <w:t>as his pre-trial detention during</w:t>
      </w:r>
      <w:r w:rsidR="008F0342">
        <w:rPr>
          <w:rStyle w:val="sb8d990e2"/>
        </w:rPr>
        <w:t xml:space="preserve"> the above</w:t>
      </w:r>
      <w:r w:rsidR="00ED51AE">
        <w:rPr>
          <w:rStyle w:val="sb8d990e2"/>
        </w:rPr>
        <w:t>-mentioned</w:t>
      </w:r>
      <w:r w:rsidR="00C673C4">
        <w:rPr>
          <w:rStyle w:val="sb8d990e2"/>
        </w:rPr>
        <w:t xml:space="preserve"> period for the purposes of 5 </w:t>
      </w:r>
      <w:r w:rsidR="008F0342">
        <w:rPr>
          <w:rStyle w:val="sb8d990e2"/>
          <w:rFonts w:cstheme="minorHAnsi"/>
        </w:rPr>
        <w:t>§</w:t>
      </w:r>
      <w:r w:rsidR="00C673C4">
        <w:rPr>
          <w:rStyle w:val="sb8d990e2"/>
        </w:rPr>
        <w:t> 1 </w:t>
      </w:r>
      <w:r w:rsidR="00ED51AE">
        <w:rPr>
          <w:rStyle w:val="sb8d990e2"/>
        </w:rPr>
        <w:t>(</w:t>
      </w:r>
      <w:r w:rsidR="00B952A8">
        <w:rPr>
          <w:rStyle w:val="sb8d990e2"/>
        </w:rPr>
        <w:t>c) lasted for 1 month</w:t>
      </w:r>
      <w:r w:rsidR="006C7384">
        <w:rPr>
          <w:rStyle w:val="sb8d990e2"/>
        </w:rPr>
        <w:t xml:space="preserve"> 3 weeks and 5 days only.</w:t>
      </w:r>
    </w:p>
    <w:p w:rsidR="00707646" w:rsidRPr="00F66054" w:rsidRDefault="008F0342" w:rsidP="00B56EE8">
      <w:pPr>
        <w:pStyle w:val="ECHRPara"/>
        <w:rPr>
          <w:rStyle w:val="sb8d990e2"/>
          <w:i/>
          <w:lang w:val="en-GB"/>
        </w:rPr>
      </w:pPr>
      <w:r w:rsidRPr="00F66054">
        <w:rPr>
          <w:rStyle w:val="sb8d990e2"/>
        </w:rPr>
        <w:fldChar w:fldCharType="begin"/>
      </w:r>
      <w:r w:rsidRPr="00F66054">
        <w:rPr>
          <w:rStyle w:val="sb8d990e2"/>
        </w:rPr>
        <w:instrText xml:space="preserve"> SEQ level0 \*arabic </w:instrText>
      </w:r>
      <w:r w:rsidRPr="00F66054">
        <w:rPr>
          <w:rStyle w:val="sb8d990e2"/>
        </w:rPr>
        <w:fldChar w:fldCharType="separate"/>
      </w:r>
      <w:r w:rsidR="00657757">
        <w:rPr>
          <w:rStyle w:val="sb8d990e2"/>
          <w:noProof/>
        </w:rPr>
        <w:t>42</w:t>
      </w:r>
      <w:r w:rsidRPr="00F66054">
        <w:rPr>
          <w:rStyle w:val="sb8d990e2"/>
        </w:rPr>
        <w:fldChar w:fldCharType="end"/>
      </w:r>
      <w:r w:rsidRPr="00F66054">
        <w:rPr>
          <w:rStyle w:val="sb8d990e2"/>
        </w:rPr>
        <w:t xml:space="preserve">.  In this </w:t>
      </w:r>
      <w:r w:rsidR="00ED51AE" w:rsidRPr="00F66054">
        <w:rPr>
          <w:rStyle w:val="sb8d990e2"/>
        </w:rPr>
        <w:t xml:space="preserve">relation </w:t>
      </w:r>
      <w:r w:rsidR="003152C3" w:rsidRPr="00F66054">
        <w:rPr>
          <w:rStyle w:val="sb8d990e2"/>
        </w:rPr>
        <w:t xml:space="preserve">the Court </w:t>
      </w:r>
      <w:r w:rsidR="00264264" w:rsidRPr="00F66054">
        <w:rPr>
          <w:rStyle w:val="sb8d990e2"/>
        </w:rPr>
        <w:t xml:space="preserve">refers to its earlier case law in which the Court </w:t>
      </w:r>
      <w:r w:rsidR="006C7384">
        <w:rPr>
          <w:rStyle w:val="sb8d990e2"/>
        </w:rPr>
        <w:t>had</w:t>
      </w:r>
      <w:r w:rsidR="00736E0C" w:rsidRPr="00F66054">
        <w:rPr>
          <w:rStyle w:val="sb8d990e2"/>
        </w:rPr>
        <w:t xml:space="preserve"> not accepted that the issue</w:t>
      </w:r>
      <w:r w:rsidR="00264264" w:rsidRPr="00F66054">
        <w:rPr>
          <w:rStyle w:val="sb8d990e2"/>
        </w:rPr>
        <w:t xml:space="preserve"> of the lawfulness of a deprivation of liberty which lasted twenty days could constitute an “insignificant” disadvantage</w:t>
      </w:r>
      <w:r w:rsidR="003152C3" w:rsidRPr="00F66054">
        <w:rPr>
          <w:rStyle w:val="sb8d990e2"/>
        </w:rPr>
        <w:t xml:space="preserve"> (see</w:t>
      </w:r>
      <w:r w:rsidR="00264264" w:rsidRPr="00F66054">
        <w:rPr>
          <w:rStyle w:val="sb8d990e2"/>
        </w:rPr>
        <w:t xml:space="preserve"> </w:t>
      </w:r>
      <w:r w:rsidR="00264264" w:rsidRPr="00F66054">
        <w:rPr>
          <w:i/>
          <w:lang w:val="en-GB"/>
        </w:rPr>
        <w:t>Sýkora v. the Czech Republic</w:t>
      </w:r>
      <w:r w:rsidR="00264264" w:rsidRPr="00F66054">
        <w:rPr>
          <w:lang w:val="en-GB"/>
        </w:rPr>
        <w:t>, no. 23419/07</w:t>
      </w:r>
      <w:r w:rsidR="00264264" w:rsidRPr="00F66054">
        <w:rPr>
          <w:snapToGrid w:val="0"/>
          <w:lang w:val="en-GB"/>
        </w:rPr>
        <w:t>, § 56, 22 November 2012</w:t>
      </w:r>
      <w:r w:rsidR="003152C3" w:rsidRPr="00F66054">
        <w:rPr>
          <w:snapToGrid w:val="0"/>
          <w:lang w:val="en-GB"/>
        </w:rPr>
        <w:t>).</w:t>
      </w:r>
      <w:r w:rsidR="00B56EE8" w:rsidRPr="00F66054">
        <w:rPr>
          <w:snapToGrid w:val="0"/>
          <w:lang w:val="en-GB"/>
        </w:rPr>
        <w:t xml:space="preserve"> Observing that the particular circumstances are comparable,</w:t>
      </w:r>
      <w:r w:rsidR="00264264" w:rsidRPr="00F66054">
        <w:rPr>
          <w:snapToGrid w:val="0"/>
          <w:lang w:val="en-GB"/>
        </w:rPr>
        <w:t xml:space="preserve"> </w:t>
      </w:r>
      <w:r w:rsidR="00B56EE8" w:rsidRPr="00F66054">
        <w:rPr>
          <w:snapToGrid w:val="0"/>
          <w:lang w:val="en-GB"/>
        </w:rPr>
        <w:t>the Court</w:t>
      </w:r>
      <w:r w:rsidR="00264264" w:rsidRPr="00F66054">
        <w:rPr>
          <w:snapToGrid w:val="0"/>
          <w:lang w:val="en-GB"/>
        </w:rPr>
        <w:t xml:space="preserve"> therefore dismisses the Governments objection.</w:t>
      </w:r>
    </w:p>
    <w:p w:rsidR="00727808" w:rsidRPr="00F075F6" w:rsidRDefault="00167F4C" w:rsidP="00727808">
      <w:pPr>
        <w:pStyle w:val="ECHRHeading3"/>
        <w:rPr>
          <w:rStyle w:val="sb8d990e2"/>
        </w:rPr>
      </w:pPr>
      <w:r w:rsidRPr="00F075F6">
        <w:rPr>
          <w:rStyle w:val="sb8d990e2"/>
        </w:rPr>
        <w:t>4</w:t>
      </w:r>
      <w:r w:rsidR="00727808" w:rsidRPr="00F075F6">
        <w:rPr>
          <w:rStyle w:val="sb8d990e2"/>
        </w:rPr>
        <w:t>.  </w:t>
      </w:r>
      <w:r w:rsidRPr="00F075F6">
        <w:rPr>
          <w:rStyle w:val="sb8d990e2"/>
        </w:rPr>
        <w:t>Conclusion</w:t>
      </w:r>
    </w:p>
    <w:p w:rsidR="00727808" w:rsidRPr="00722883" w:rsidRDefault="00727808" w:rsidP="00722883">
      <w:pPr>
        <w:pStyle w:val="ECHRPara"/>
        <w:rPr>
          <w:highlight w:val="yellow"/>
        </w:rPr>
      </w:pPr>
      <w:r w:rsidRPr="00D379A1">
        <w:rPr>
          <w:rStyle w:val="JuParaCar"/>
        </w:rPr>
        <w:fldChar w:fldCharType="begin"/>
      </w:r>
      <w:r w:rsidRPr="00D379A1">
        <w:rPr>
          <w:rStyle w:val="JuParaCar"/>
        </w:rPr>
        <w:instrText xml:space="preserve"> SEQ level0 \*arabic </w:instrText>
      </w:r>
      <w:r w:rsidRPr="00D379A1">
        <w:rPr>
          <w:rStyle w:val="JuParaCar"/>
        </w:rPr>
        <w:fldChar w:fldCharType="separate"/>
      </w:r>
      <w:r w:rsidR="00657757">
        <w:rPr>
          <w:rStyle w:val="JuParaCar"/>
          <w:noProof/>
        </w:rPr>
        <w:t>43</w:t>
      </w:r>
      <w:r w:rsidRPr="00D379A1">
        <w:rPr>
          <w:rStyle w:val="JuParaCar"/>
        </w:rPr>
        <w:fldChar w:fldCharType="end"/>
      </w:r>
      <w:r w:rsidR="00D379A1" w:rsidRPr="00D379A1">
        <w:rPr>
          <w:rStyle w:val="JuParaCar"/>
        </w:rPr>
        <w:t>.  </w:t>
      </w:r>
      <w:r w:rsidR="00D379A1" w:rsidRPr="00D379A1">
        <w:rPr>
          <w:rStyle w:val="sb8d990e2"/>
        </w:rPr>
        <w:t>T</w:t>
      </w:r>
      <w:r w:rsidR="00252565" w:rsidRPr="00D379A1">
        <w:rPr>
          <w:rStyle w:val="sb8d990e2"/>
        </w:rPr>
        <w:t>he Court will examine</w:t>
      </w:r>
      <w:r w:rsidR="00D379A1" w:rsidRPr="00D379A1">
        <w:rPr>
          <w:rStyle w:val="sb8d990e2"/>
        </w:rPr>
        <w:t xml:space="preserve"> under Article 5 </w:t>
      </w:r>
      <w:r w:rsidR="00D379A1" w:rsidRPr="00D379A1">
        <w:rPr>
          <w:rStyle w:val="sb8d990e2"/>
          <w:rFonts w:cstheme="minorHAnsi"/>
        </w:rPr>
        <w:t>§</w:t>
      </w:r>
      <w:r w:rsidR="00D379A1" w:rsidRPr="00D379A1">
        <w:rPr>
          <w:rStyle w:val="sb8d990e2"/>
        </w:rPr>
        <w:t> 1</w:t>
      </w:r>
      <w:r w:rsidR="00B63A8D">
        <w:rPr>
          <w:rStyle w:val="sb8d990e2"/>
        </w:rPr>
        <w:t> (</w:t>
      </w:r>
      <w:r w:rsidR="00D379A1" w:rsidRPr="00D379A1">
        <w:rPr>
          <w:rStyle w:val="sb8d990e2"/>
        </w:rPr>
        <w:t>c)</w:t>
      </w:r>
      <w:r w:rsidR="00252565" w:rsidRPr="00D379A1">
        <w:rPr>
          <w:rStyle w:val="sb8d990e2"/>
        </w:rPr>
        <w:t xml:space="preserve"> the lawfulness </w:t>
      </w:r>
      <w:r w:rsidR="00D91D56">
        <w:rPr>
          <w:rStyle w:val="sb8d990e2"/>
        </w:rPr>
        <w:t xml:space="preserve">of the </w:t>
      </w:r>
      <w:r w:rsidR="00252565" w:rsidRPr="00D379A1">
        <w:rPr>
          <w:rStyle w:val="sb8d990e2"/>
        </w:rPr>
        <w:t>applicant</w:t>
      </w:r>
      <w:r w:rsidR="000C06B1">
        <w:rPr>
          <w:rStyle w:val="sb8d990e2"/>
        </w:rPr>
        <w:t>’</w:t>
      </w:r>
      <w:r w:rsidR="00252565" w:rsidRPr="00D379A1">
        <w:rPr>
          <w:rStyle w:val="sb8d990e2"/>
        </w:rPr>
        <w:t xml:space="preserve">s detention from </w:t>
      </w:r>
      <w:r w:rsidR="00D379A1" w:rsidRPr="00D379A1">
        <w:rPr>
          <w:rStyle w:val="sb8d990e2"/>
        </w:rPr>
        <w:t>21 August to 17 October 2006 and under Article 5 </w:t>
      </w:r>
      <w:r w:rsidR="00D379A1" w:rsidRPr="00D379A1">
        <w:rPr>
          <w:rStyle w:val="sb8d990e2"/>
          <w:rFonts w:cstheme="minorHAnsi"/>
        </w:rPr>
        <w:t>§</w:t>
      </w:r>
      <w:r w:rsidR="00D379A1" w:rsidRPr="00D379A1">
        <w:rPr>
          <w:rStyle w:val="sb8d990e2"/>
        </w:rPr>
        <w:t> </w:t>
      </w:r>
      <w:r w:rsidR="00736E0C">
        <w:rPr>
          <w:rStyle w:val="sb8d990e2"/>
        </w:rPr>
        <w:t>3 the length of his detention for</w:t>
      </w:r>
      <w:r w:rsidR="00D91D56">
        <w:rPr>
          <w:rStyle w:val="sb8d990e2"/>
        </w:rPr>
        <w:t xml:space="preserve"> the </w:t>
      </w:r>
      <w:r w:rsidR="00D91D56" w:rsidRPr="00470360">
        <w:rPr>
          <w:rStyle w:val="sb8d990e2"/>
        </w:rPr>
        <w:t>duration of</w:t>
      </w:r>
      <w:r w:rsidR="00D379A1" w:rsidRPr="00470360">
        <w:rPr>
          <w:rStyle w:val="sb8d990e2"/>
        </w:rPr>
        <w:t xml:space="preserve"> </w:t>
      </w:r>
      <w:r w:rsidR="00D379A1" w:rsidRPr="00470360">
        <w:t>4 months 3 weeks and 5 days</w:t>
      </w:r>
      <w:r w:rsidR="00252565" w:rsidRPr="00470360">
        <w:rPr>
          <w:rStyle w:val="sb8d990e2"/>
        </w:rPr>
        <w:t>. In this part, the Court considers that the complaint</w:t>
      </w:r>
      <w:r w:rsidR="00D91D56" w:rsidRPr="00470360">
        <w:rPr>
          <w:rStyle w:val="sb8d990e2"/>
        </w:rPr>
        <w:t>s are</w:t>
      </w:r>
      <w:r w:rsidR="00252565" w:rsidRPr="00470360">
        <w:rPr>
          <w:rStyle w:val="sb8d990e2"/>
        </w:rPr>
        <w:t xml:space="preserve"> not manifestly ill-founded within the meaning of Article 35 § 3</w:t>
      </w:r>
      <w:r w:rsidR="00252565" w:rsidRPr="00D379A1">
        <w:rPr>
          <w:rStyle w:val="sb8d990e2"/>
        </w:rPr>
        <w:t xml:space="preserve"> (a) of the </w:t>
      </w:r>
      <w:r w:rsidR="00252565" w:rsidRPr="00F66054">
        <w:rPr>
          <w:rStyle w:val="sb8d990e2"/>
        </w:rPr>
        <w:t>Convention. No other ground for declaring it inadmissible has been established.</w:t>
      </w:r>
      <w:r w:rsidR="00736E0C" w:rsidRPr="00F66054">
        <w:rPr>
          <w:rStyle w:val="sb8d990e2"/>
        </w:rPr>
        <w:t xml:space="preserve"> Having reserved the examination of the question of the exhaustion of domestic remedies to a later stage</w:t>
      </w:r>
      <w:r w:rsidR="00736E0C">
        <w:rPr>
          <w:rStyle w:val="sb8d990e2"/>
        </w:rPr>
        <w:t>, declares it admissible.</w:t>
      </w:r>
    </w:p>
    <w:p w:rsidR="00014566" w:rsidRDefault="00014566" w:rsidP="00014566">
      <w:pPr>
        <w:pStyle w:val="ECHRHeading2"/>
        <w:outlineLvl w:val="0"/>
        <w:rPr>
          <w:lang w:val="en-GB"/>
        </w:rPr>
      </w:pPr>
      <w:r w:rsidRPr="00062973">
        <w:rPr>
          <w:lang w:val="en-GB"/>
        </w:rPr>
        <w:t>B.  Merits</w:t>
      </w:r>
    </w:p>
    <w:p w:rsidR="00B2615B" w:rsidRDefault="001D1FE1" w:rsidP="001D1FE1">
      <w:pPr>
        <w:pStyle w:val="ECHRHeading3"/>
        <w:rPr>
          <w:lang w:val="en-GB"/>
        </w:rPr>
      </w:pPr>
      <w:r>
        <w:rPr>
          <w:lang w:val="en-GB"/>
        </w:rPr>
        <w:t>1.  </w:t>
      </w:r>
      <w:r w:rsidR="002024DF">
        <w:rPr>
          <w:lang w:val="en-GB"/>
        </w:rPr>
        <w:t>Complaint under Article 5 </w:t>
      </w:r>
      <w:r w:rsidR="002024DF">
        <w:rPr>
          <w:rFonts w:cstheme="majorHAnsi"/>
          <w:lang w:val="en-GB"/>
        </w:rPr>
        <w:t>§</w:t>
      </w:r>
      <w:r w:rsidR="002024DF">
        <w:rPr>
          <w:lang w:val="en-GB"/>
        </w:rPr>
        <w:t> 1 (c)</w:t>
      </w:r>
    </w:p>
    <w:p w:rsidR="00014566" w:rsidRPr="00062973" w:rsidRDefault="000C06B1" w:rsidP="00C621C2">
      <w:pPr>
        <w:pStyle w:val="ECHRPara"/>
        <w:rPr>
          <w:lang w:val="en-GB"/>
        </w:rPr>
      </w:pPr>
      <w:fldSimple w:instr=" SEQ level0 \*arabic ">
        <w:r w:rsidR="00657757">
          <w:rPr>
            <w:noProof/>
          </w:rPr>
          <w:t>44</w:t>
        </w:r>
      </w:fldSimple>
      <w:r w:rsidR="001322DA">
        <w:rPr>
          <w:lang w:val="en-GB"/>
        </w:rPr>
        <w:t>.  </w:t>
      </w:r>
      <w:r w:rsidR="00014566" w:rsidRPr="00062973">
        <w:rPr>
          <w:lang w:val="en-GB"/>
        </w:rPr>
        <w:t xml:space="preserve">The applicant </w:t>
      </w:r>
      <w:r w:rsidR="00306D00">
        <w:rPr>
          <w:lang w:val="en-GB"/>
        </w:rPr>
        <w:t>in substance maintained his initial complaint.</w:t>
      </w:r>
    </w:p>
    <w:p w:rsidR="00B2615B" w:rsidRDefault="007A3CCB" w:rsidP="00B2615B">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45</w:t>
      </w:r>
      <w:r>
        <w:rPr>
          <w:lang w:val="en-GB"/>
        </w:rPr>
        <w:fldChar w:fldCharType="end"/>
      </w:r>
      <w:r w:rsidR="001322DA">
        <w:rPr>
          <w:lang w:val="en-GB"/>
        </w:rPr>
        <w:t>.  </w:t>
      </w:r>
      <w:r w:rsidR="00306D00">
        <w:rPr>
          <w:lang w:val="en-GB"/>
        </w:rPr>
        <w:t xml:space="preserve">The Government argued that </w:t>
      </w:r>
      <w:r w:rsidR="002024DF">
        <w:rPr>
          <w:lang w:val="en-GB"/>
        </w:rPr>
        <w:t>the applicant</w:t>
      </w:r>
      <w:r w:rsidR="001322DA">
        <w:rPr>
          <w:lang w:val="en-GB"/>
        </w:rPr>
        <w:t xml:space="preserve"> had</w:t>
      </w:r>
      <w:r w:rsidR="002024DF">
        <w:rPr>
          <w:lang w:val="en-GB"/>
        </w:rPr>
        <w:t xml:space="preserve"> failed to raise in time his request to change the security</w:t>
      </w:r>
      <w:r w:rsidR="001322DA">
        <w:rPr>
          <w:lang w:val="en-GB"/>
        </w:rPr>
        <w:t xml:space="preserve"> </w:t>
      </w:r>
      <w:r w:rsidR="001322DA" w:rsidRPr="002E0C61">
        <w:rPr>
          <w:lang w:val="en-GB"/>
        </w:rPr>
        <w:t>measure</w:t>
      </w:r>
      <w:r w:rsidR="002024DF" w:rsidRPr="002E0C61">
        <w:rPr>
          <w:lang w:val="en-GB"/>
        </w:rPr>
        <w:t xml:space="preserve"> (</w:t>
      </w:r>
      <w:r w:rsidR="00470360" w:rsidRPr="002E0C61">
        <w:rPr>
          <w:lang w:val="en-GB"/>
        </w:rPr>
        <w:t>see paragraph </w:t>
      </w:r>
      <w:r w:rsidR="00470360" w:rsidRPr="002E0C61">
        <w:rPr>
          <w:lang w:val="en-GB"/>
        </w:rPr>
        <w:fldChar w:fldCharType="begin"/>
      </w:r>
      <w:r w:rsidR="00470360" w:rsidRPr="002E0C61">
        <w:rPr>
          <w:lang w:val="en-GB"/>
        </w:rPr>
        <w:instrText xml:space="preserve"> REF PrelObj_appelCourt \h </w:instrText>
      </w:r>
      <w:r w:rsidR="002E0C61">
        <w:rPr>
          <w:lang w:val="en-GB"/>
        </w:rPr>
        <w:instrText xml:space="preserve"> \* MERGEFORMAT </w:instrText>
      </w:r>
      <w:r w:rsidR="00470360" w:rsidRPr="002E0C61">
        <w:rPr>
          <w:lang w:val="en-GB"/>
        </w:rPr>
      </w:r>
      <w:r w:rsidR="00470360" w:rsidRPr="002E0C61">
        <w:rPr>
          <w:lang w:val="en-GB"/>
        </w:rPr>
        <w:fldChar w:fldCharType="separate"/>
      </w:r>
      <w:r w:rsidR="00657757">
        <w:rPr>
          <w:rStyle w:val="sb8d990e2"/>
          <w:noProof/>
        </w:rPr>
        <w:t>37</w:t>
      </w:r>
      <w:r w:rsidR="00470360" w:rsidRPr="002E0C61">
        <w:rPr>
          <w:lang w:val="en-GB"/>
        </w:rPr>
        <w:fldChar w:fldCharType="end"/>
      </w:r>
      <w:r w:rsidR="00470360" w:rsidRPr="002E0C61">
        <w:rPr>
          <w:lang w:val="en-GB"/>
        </w:rPr>
        <w:t xml:space="preserve"> </w:t>
      </w:r>
      <w:r w:rsidR="002024DF" w:rsidRPr="002E0C61">
        <w:rPr>
          <w:lang w:val="en-GB"/>
        </w:rPr>
        <w:t>above)</w:t>
      </w:r>
      <w:r w:rsidR="001322DA" w:rsidRPr="002E0C61">
        <w:rPr>
          <w:lang w:val="en-GB"/>
        </w:rPr>
        <w:t>.</w:t>
      </w:r>
      <w:r w:rsidR="001322DA">
        <w:rPr>
          <w:lang w:val="en-GB"/>
        </w:rPr>
        <w:t xml:space="preserve"> According to their submissions</w:t>
      </w:r>
      <w:r w:rsidR="009C5A3F">
        <w:rPr>
          <w:lang w:val="en-GB"/>
        </w:rPr>
        <w:t>, even if between 21 August and 13 September 2006 the applicant was remained</w:t>
      </w:r>
      <w:r w:rsidR="00D27289">
        <w:rPr>
          <w:lang w:val="en-GB"/>
        </w:rPr>
        <w:t xml:space="preserve"> in detention without a</w:t>
      </w:r>
      <w:r w:rsidR="001322DA">
        <w:rPr>
          <w:lang w:val="en-GB"/>
        </w:rPr>
        <w:t xml:space="preserve"> court decision, the situation was regularised</w:t>
      </w:r>
      <w:r w:rsidR="00D27289">
        <w:rPr>
          <w:lang w:val="en-GB"/>
        </w:rPr>
        <w:t xml:space="preserve"> on 13 September 2006 when the court adopted a detention order and on 17 October 2006 when the order was lifted.</w:t>
      </w:r>
    </w:p>
    <w:p w:rsidR="005C3A13" w:rsidRPr="005C3A13" w:rsidRDefault="00777ED1" w:rsidP="005C3A13">
      <w:pPr>
        <w:pStyle w:val="ECHRPara"/>
        <w:rPr>
          <w:i/>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46</w:t>
      </w:r>
      <w:r>
        <w:rPr>
          <w:lang w:val="en-GB"/>
        </w:rPr>
        <w:fldChar w:fldCharType="end"/>
      </w:r>
      <w:r>
        <w:rPr>
          <w:lang w:val="en-GB"/>
        </w:rPr>
        <w:t>.  The</w:t>
      </w:r>
      <w:r>
        <w:rPr>
          <w:rStyle w:val="sb8d990e2"/>
        </w:rPr>
        <w:t xml:space="preserve"> Court at the outset refers to the general principles in relation to the rights guaranteed under Article </w:t>
      </w:r>
      <w:r>
        <w:rPr>
          <w:lang w:val="en-GB"/>
        </w:rPr>
        <w:t>5 </w:t>
      </w:r>
      <w:r>
        <w:rPr>
          <w:rFonts w:cstheme="majorHAnsi"/>
          <w:lang w:val="en-GB"/>
        </w:rPr>
        <w:t>§</w:t>
      </w:r>
      <w:r>
        <w:rPr>
          <w:lang w:val="en-GB"/>
        </w:rPr>
        <w:t> 1 (c) of the Convention (summarised in the Court</w:t>
      </w:r>
      <w:r w:rsidR="000C06B1">
        <w:rPr>
          <w:lang w:val="en-GB"/>
        </w:rPr>
        <w:t>’</w:t>
      </w:r>
      <w:r>
        <w:rPr>
          <w:lang w:val="en-GB"/>
        </w:rPr>
        <w:t>s well-established case-law</w:t>
      </w:r>
      <w:r>
        <w:rPr>
          <w:rStyle w:val="sb8d990e2"/>
        </w:rPr>
        <w:t xml:space="preserve">, such as, for example, </w:t>
      </w:r>
      <w:r w:rsidR="000F562A">
        <w:rPr>
          <w:i/>
          <w:szCs w:val="24"/>
        </w:rPr>
        <w:t>Svipsta v. </w:t>
      </w:r>
      <w:r w:rsidRPr="00EF1318">
        <w:rPr>
          <w:i/>
          <w:szCs w:val="24"/>
        </w:rPr>
        <w:t>Latvia</w:t>
      </w:r>
      <w:r w:rsidRPr="00EF1318">
        <w:rPr>
          <w:szCs w:val="24"/>
        </w:rPr>
        <w:t>, no. 66820/01, § 79, 9 March 2006)</w:t>
      </w:r>
      <w:r w:rsidR="00F66054" w:rsidRPr="00EF1318">
        <w:rPr>
          <w:szCs w:val="24"/>
        </w:rPr>
        <w:t>,</w:t>
      </w:r>
      <w:r w:rsidR="005C3A13" w:rsidRPr="00EF1318">
        <w:rPr>
          <w:szCs w:val="24"/>
        </w:rPr>
        <w:t xml:space="preserve"> </w:t>
      </w:r>
      <w:r w:rsidR="005C3A13" w:rsidRPr="00F66054">
        <w:rPr>
          <w:szCs w:val="24"/>
          <w:lang w:val="en-GB"/>
        </w:rPr>
        <w:t>and reiterates that a</w:t>
      </w:r>
      <w:r w:rsidR="005C3A13" w:rsidRPr="00F66054">
        <w:rPr>
          <w:rStyle w:val="sb8d990e2"/>
          <w:lang w:val="en-GB"/>
        </w:rPr>
        <w:t xml:space="preserve"> period</w:t>
      </w:r>
      <w:r w:rsidR="005C3A13">
        <w:rPr>
          <w:rStyle w:val="sb8d990e2"/>
        </w:rPr>
        <w:t xml:space="preserve"> of detention is, in principle, “lawful” if it is based on a court order (</w:t>
      </w:r>
      <w:r w:rsidR="000F562A">
        <w:rPr>
          <w:i/>
          <w:lang w:val="en-GB"/>
        </w:rPr>
        <w:t>Mooren v. </w:t>
      </w:r>
      <w:r w:rsidR="005C3A13" w:rsidRPr="00B668D2">
        <w:rPr>
          <w:i/>
          <w:lang w:val="en-GB"/>
        </w:rPr>
        <w:t xml:space="preserve">Germany </w:t>
      </w:r>
      <w:r w:rsidR="005C3A13" w:rsidRPr="00B668D2">
        <w:rPr>
          <w:lang w:val="en-GB"/>
        </w:rPr>
        <w:t>[GC], no. 11364/03</w:t>
      </w:r>
      <w:r w:rsidR="005C3A13">
        <w:rPr>
          <w:snapToGrid w:val="0"/>
          <w:lang w:val="en-GB"/>
        </w:rPr>
        <w:t>, § 74</w:t>
      </w:r>
      <w:r w:rsidR="005C3A13" w:rsidRPr="00B668D2">
        <w:rPr>
          <w:snapToGrid w:val="0"/>
          <w:lang w:val="en-GB"/>
        </w:rPr>
        <w:t xml:space="preserve">, </w:t>
      </w:r>
      <w:r w:rsidR="005C3A13">
        <w:rPr>
          <w:lang w:val="en-GB"/>
        </w:rPr>
        <w:t>9 July </w:t>
      </w:r>
      <w:r w:rsidR="005C3A13" w:rsidRPr="00B668D2">
        <w:rPr>
          <w:lang w:val="en-GB"/>
        </w:rPr>
        <w:t>2009</w:t>
      </w:r>
      <w:r w:rsidR="006B390D">
        <w:rPr>
          <w:lang w:val="en-GB"/>
        </w:rPr>
        <w:t>)</w:t>
      </w:r>
      <w:r w:rsidR="005C3A13">
        <w:rPr>
          <w:lang w:val="en-GB"/>
        </w:rPr>
        <w:t>.</w:t>
      </w:r>
    </w:p>
    <w:p w:rsidR="005C3A13" w:rsidRPr="00EF1318" w:rsidRDefault="007A3CCB" w:rsidP="009A1E81">
      <w:pPr>
        <w:pStyle w:val="ECHRPara"/>
        <w:rPr>
          <w:rStyle w:val="sb8d990e2"/>
        </w:rPr>
      </w:pPr>
      <w:r>
        <w:rPr>
          <w:lang w:val="en-GB"/>
        </w:rPr>
        <w:fldChar w:fldCharType="begin"/>
      </w:r>
      <w:r>
        <w:rPr>
          <w:lang w:val="en-GB"/>
        </w:rPr>
        <w:instrText xml:space="preserve"> SEQ level0 \*arabic </w:instrText>
      </w:r>
      <w:r>
        <w:rPr>
          <w:lang w:val="en-GB"/>
        </w:rPr>
        <w:fldChar w:fldCharType="separate"/>
      </w:r>
      <w:r w:rsidR="00657757">
        <w:rPr>
          <w:noProof/>
          <w:lang w:val="en-GB"/>
        </w:rPr>
        <w:t>47</w:t>
      </w:r>
      <w:r>
        <w:rPr>
          <w:lang w:val="en-GB"/>
        </w:rPr>
        <w:fldChar w:fldCharType="end"/>
      </w:r>
      <w:r w:rsidR="00306D00">
        <w:rPr>
          <w:lang w:val="en-GB"/>
        </w:rPr>
        <w:t>.  </w:t>
      </w:r>
      <w:r w:rsidR="00777ED1">
        <w:rPr>
          <w:lang w:val="en-GB"/>
        </w:rPr>
        <w:t>Turning to the particular case t</w:t>
      </w:r>
      <w:r w:rsidR="00306D00">
        <w:rPr>
          <w:lang w:val="en-GB"/>
        </w:rPr>
        <w:t>he Court</w:t>
      </w:r>
      <w:r w:rsidR="009C5A3F">
        <w:rPr>
          <w:lang w:val="en-GB"/>
        </w:rPr>
        <w:t xml:space="preserve"> observes </w:t>
      </w:r>
      <w:r w:rsidR="00777ED1">
        <w:rPr>
          <w:lang w:val="en-GB"/>
        </w:rPr>
        <w:t>that</w:t>
      </w:r>
      <w:r w:rsidR="009C5A3F">
        <w:rPr>
          <w:lang w:val="en-GB"/>
        </w:rPr>
        <w:t xml:space="preserve"> it is not disputed between the parties that </w:t>
      </w:r>
      <w:r w:rsidR="00777ED1">
        <w:rPr>
          <w:lang w:val="en-GB"/>
        </w:rPr>
        <w:t xml:space="preserve">from </w:t>
      </w:r>
      <w:r w:rsidR="00312D3E">
        <w:rPr>
          <w:lang w:val="en-GB"/>
        </w:rPr>
        <w:t xml:space="preserve">21 August 2006 when </w:t>
      </w:r>
      <w:r w:rsidR="009A1E81">
        <w:rPr>
          <w:lang w:val="en-GB"/>
        </w:rPr>
        <w:t>the appellate court</w:t>
      </w:r>
      <w:r w:rsidR="00312D3E">
        <w:rPr>
          <w:lang w:val="en-GB"/>
        </w:rPr>
        <w:t xml:space="preserve"> quashed the judgment of the lower court</w:t>
      </w:r>
      <w:r w:rsidR="009A1E81">
        <w:rPr>
          <w:lang w:val="en-GB"/>
        </w:rPr>
        <w:t>, until 13 September </w:t>
      </w:r>
      <w:r w:rsidR="00777ED1">
        <w:rPr>
          <w:lang w:val="en-GB"/>
        </w:rPr>
        <w:t xml:space="preserve">2006 </w:t>
      </w:r>
      <w:r w:rsidR="00777ED1">
        <w:rPr>
          <w:rStyle w:val="sb8d990e2"/>
        </w:rPr>
        <w:t>no order was made</w:t>
      </w:r>
      <w:r w:rsidR="00AA22FF">
        <w:rPr>
          <w:rStyle w:val="sb8d990e2"/>
        </w:rPr>
        <w:t xml:space="preserve"> by</w:t>
      </w:r>
      <w:r w:rsidR="00777ED1">
        <w:rPr>
          <w:rStyle w:val="sb8d990e2"/>
        </w:rPr>
        <w:t xml:space="preserve"> judge </w:t>
      </w:r>
      <w:r w:rsidR="00777ED1" w:rsidRPr="00F66054">
        <w:rPr>
          <w:rStyle w:val="sb8d990e2"/>
          <w:lang w:val="en-GB"/>
        </w:rPr>
        <w:t>authorising</w:t>
      </w:r>
      <w:r w:rsidR="00777ED1">
        <w:rPr>
          <w:rStyle w:val="sb8d990e2"/>
        </w:rPr>
        <w:t xml:space="preserve"> the applicant</w:t>
      </w:r>
      <w:r w:rsidR="000C06B1">
        <w:rPr>
          <w:rStyle w:val="sb8d990e2"/>
        </w:rPr>
        <w:t>’</w:t>
      </w:r>
      <w:r w:rsidR="00777ED1">
        <w:rPr>
          <w:rStyle w:val="sb8d990e2"/>
        </w:rPr>
        <w:t>s detention</w:t>
      </w:r>
      <w:r w:rsidR="00F66054">
        <w:rPr>
          <w:rStyle w:val="sb8d990e2"/>
        </w:rPr>
        <w:t>,</w:t>
      </w:r>
      <w:r w:rsidR="00312D3E">
        <w:rPr>
          <w:rStyle w:val="sb8d990e2"/>
        </w:rPr>
        <w:t xml:space="preserve"> and </w:t>
      </w:r>
      <w:r w:rsidR="005C3A13">
        <w:rPr>
          <w:rStyle w:val="sb8d990e2"/>
        </w:rPr>
        <w:t>the applicant remained in a state of uncertainty as t</w:t>
      </w:r>
      <w:r w:rsidR="00312D3E">
        <w:rPr>
          <w:rStyle w:val="sb8d990e2"/>
        </w:rPr>
        <w:t>o the grounds for his detention. Such situation</w:t>
      </w:r>
      <w:r w:rsidR="005C3A13">
        <w:rPr>
          <w:rStyle w:val="sb8d990e2"/>
        </w:rPr>
        <w:t xml:space="preserve"> is </w:t>
      </w:r>
      <w:r w:rsidR="00312D3E">
        <w:rPr>
          <w:rStyle w:val="sb8d990e2"/>
        </w:rPr>
        <w:t>incompatible with the principle</w:t>
      </w:r>
      <w:r w:rsidR="005C3A13">
        <w:rPr>
          <w:rStyle w:val="sb8d990e2"/>
        </w:rPr>
        <w:t xml:space="preserve"> of legal certainty and protection from arbitrariness enshrined in Article 5 of the Convention </w:t>
      </w:r>
      <w:r w:rsidR="005C3A13" w:rsidRPr="002E0C61">
        <w:rPr>
          <w:rStyle w:val="sb8d990e2"/>
        </w:rPr>
        <w:t>(see</w:t>
      </w:r>
      <w:r w:rsidR="00470360" w:rsidRPr="00EF1318">
        <w:rPr>
          <w:i/>
        </w:rPr>
        <w:t xml:space="preserve"> Baranowski v. Poland</w:t>
      </w:r>
      <w:r w:rsidR="00470360" w:rsidRPr="00EF1318">
        <w:t xml:space="preserve">, no. 28358/95, </w:t>
      </w:r>
      <w:r w:rsidR="00470360" w:rsidRPr="000F6A7C">
        <w:rPr>
          <w:rStyle w:val="sb8d990e2"/>
        </w:rPr>
        <w:t>§§ 53-58</w:t>
      </w:r>
      <w:r w:rsidR="00470360" w:rsidRPr="00EF1318">
        <w:t>, ECHR 2000</w:t>
      </w:r>
      <w:r w:rsidR="00470360" w:rsidRPr="00EF1318">
        <w:noBreakHyphen/>
        <w:t>III</w:t>
      </w:r>
      <w:r w:rsidR="00470360" w:rsidRPr="000F6A7C">
        <w:rPr>
          <w:rStyle w:val="sb8d990e2"/>
        </w:rPr>
        <w:t>,</w:t>
      </w:r>
      <w:r w:rsidR="005C3A13" w:rsidRPr="000F6A7C">
        <w:rPr>
          <w:rStyle w:val="sb8d990e2"/>
        </w:rPr>
        <w:t xml:space="preserve"> </w:t>
      </w:r>
      <w:r w:rsidR="00470360" w:rsidRPr="00EF1318">
        <w:rPr>
          <w:i/>
        </w:rPr>
        <w:t>Jėčius v. Lithuania</w:t>
      </w:r>
      <w:r w:rsidR="00470360" w:rsidRPr="00EF1318">
        <w:t xml:space="preserve">, no. 34578/97, </w:t>
      </w:r>
      <w:r w:rsidR="00470360" w:rsidRPr="000F6A7C">
        <w:rPr>
          <w:rStyle w:val="sb8d990e2"/>
        </w:rPr>
        <w:t>§§ 60-64</w:t>
      </w:r>
      <w:r w:rsidR="00470360" w:rsidRPr="00EF1318">
        <w:t>, ECHR 2000</w:t>
      </w:r>
      <w:r w:rsidR="00470360" w:rsidRPr="00EF1318">
        <w:noBreakHyphen/>
        <w:t>IX</w:t>
      </w:r>
      <w:r w:rsidR="005C3A13" w:rsidRPr="000F6A7C">
        <w:rPr>
          <w:rStyle w:val="sb8d990e2"/>
        </w:rPr>
        <w:t>)</w:t>
      </w:r>
      <w:r w:rsidR="00312D3E" w:rsidRPr="000F6A7C">
        <w:rPr>
          <w:rStyle w:val="sb8d990e2"/>
        </w:rPr>
        <w:t xml:space="preserve">, and </w:t>
      </w:r>
      <w:r w:rsidR="00A7309B" w:rsidRPr="000F6A7C">
        <w:rPr>
          <w:rStyle w:val="sb8d990e2"/>
        </w:rPr>
        <w:t>poses a problem under Article 5 </w:t>
      </w:r>
      <w:r w:rsidR="00A7309B" w:rsidRPr="000F6A7C">
        <w:rPr>
          <w:rStyle w:val="sb8d990e2"/>
          <w:rFonts w:cstheme="minorHAnsi"/>
        </w:rPr>
        <w:t>§</w:t>
      </w:r>
      <w:r w:rsidR="00A7309B" w:rsidRPr="000F6A7C">
        <w:rPr>
          <w:rStyle w:val="sb8d990e2"/>
        </w:rPr>
        <w:t> 1 (c)</w:t>
      </w:r>
      <w:r w:rsidR="005C3A13" w:rsidRPr="000F6A7C">
        <w:rPr>
          <w:rStyle w:val="sb8d990e2"/>
        </w:rPr>
        <w:t xml:space="preserve"> (see </w:t>
      </w:r>
      <w:r w:rsidR="009A1E81" w:rsidRPr="000F6A7C">
        <w:rPr>
          <w:rStyle w:val="sb8d990e2"/>
          <w:i/>
        </w:rPr>
        <w:t>Svipsta</w:t>
      </w:r>
      <w:r w:rsidR="009A1E81" w:rsidRPr="000F6A7C">
        <w:rPr>
          <w:rStyle w:val="sb8d990e2"/>
        </w:rPr>
        <w:t xml:space="preserve">, cited above, </w:t>
      </w:r>
      <w:r w:rsidR="009A1E81" w:rsidRPr="000F6A7C">
        <w:rPr>
          <w:rStyle w:val="sb8d990e2"/>
          <w:rFonts w:cstheme="minorHAnsi"/>
        </w:rPr>
        <w:t>§</w:t>
      </w:r>
      <w:r w:rsidR="009A1E81" w:rsidRPr="000F6A7C">
        <w:rPr>
          <w:rStyle w:val="sb8d990e2"/>
        </w:rPr>
        <w:t> 85</w:t>
      </w:r>
      <w:r w:rsidR="005C3A13" w:rsidRPr="000F6A7C">
        <w:rPr>
          <w:rStyle w:val="sb8d990e2"/>
        </w:rPr>
        <w:t>).</w:t>
      </w:r>
    </w:p>
    <w:bookmarkStart w:id="10" w:name="On_art276"/>
    <w:p w:rsidR="00365D68" w:rsidRPr="00870027" w:rsidRDefault="005C3A13" w:rsidP="007C50EE">
      <w:pPr>
        <w:pStyle w:val="ECHRPara"/>
        <w:rPr>
          <w:rStyle w:val="sb8d990e2"/>
          <w:i/>
          <w:lang w:val="en-GB"/>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48</w:t>
      </w:r>
      <w:r>
        <w:rPr>
          <w:rStyle w:val="sb8d990e2"/>
        </w:rPr>
        <w:fldChar w:fldCharType="end"/>
      </w:r>
      <w:bookmarkEnd w:id="10"/>
      <w:r>
        <w:rPr>
          <w:rStyle w:val="sb8d990e2"/>
        </w:rPr>
        <w:t>.  </w:t>
      </w:r>
      <w:r w:rsidR="00E411AE">
        <w:rPr>
          <w:rStyle w:val="sb8d990e2"/>
        </w:rPr>
        <w:t>In relation to the question</w:t>
      </w:r>
      <w:r w:rsidR="002221E4">
        <w:rPr>
          <w:rStyle w:val="sb8d990e2"/>
        </w:rPr>
        <w:t xml:space="preserve"> whether</w:t>
      </w:r>
      <w:r w:rsidR="00926795">
        <w:rPr>
          <w:rStyle w:val="sb8d990e2"/>
        </w:rPr>
        <w:t xml:space="preserve"> this period of detention was in compliance with</w:t>
      </w:r>
      <w:r w:rsidR="002221E4">
        <w:rPr>
          <w:rStyle w:val="sb8d990e2"/>
        </w:rPr>
        <w:t xml:space="preserve"> “a procedure prescribed by law”</w:t>
      </w:r>
      <w:r w:rsidR="00A7309B">
        <w:rPr>
          <w:rStyle w:val="sb8d990e2"/>
        </w:rPr>
        <w:t>,</w:t>
      </w:r>
      <w:r w:rsidR="002221E4">
        <w:rPr>
          <w:rStyle w:val="sb8d990e2"/>
        </w:rPr>
        <w:t xml:space="preserve"> the Court refers back to the Government</w:t>
      </w:r>
      <w:r w:rsidR="000C06B1">
        <w:rPr>
          <w:rStyle w:val="sb8d990e2"/>
        </w:rPr>
        <w:t>’</w:t>
      </w:r>
      <w:r w:rsidR="002221E4">
        <w:rPr>
          <w:rStyle w:val="sb8d990e2"/>
        </w:rPr>
        <w:t xml:space="preserve">s preliminary </w:t>
      </w:r>
      <w:r w:rsidR="0079572F">
        <w:rPr>
          <w:rStyle w:val="sb8d990e2"/>
        </w:rPr>
        <w:t>objections</w:t>
      </w:r>
      <w:r w:rsidR="00926795">
        <w:rPr>
          <w:rStyle w:val="sb8d990e2"/>
        </w:rPr>
        <w:t xml:space="preserve"> that the applicant</w:t>
      </w:r>
      <w:r w:rsidR="00B4384D">
        <w:rPr>
          <w:rStyle w:val="sb8d990e2"/>
        </w:rPr>
        <w:t xml:space="preserve"> has</w:t>
      </w:r>
      <w:r w:rsidR="00926795">
        <w:rPr>
          <w:rStyle w:val="sb8d990e2"/>
        </w:rPr>
        <w:t xml:space="preserve"> failed to ask for the review of his detention during the appellate </w:t>
      </w:r>
      <w:r w:rsidR="00926795" w:rsidRPr="00F66054">
        <w:rPr>
          <w:rStyle w:val="sb8d990e2"/>
        </w:rPr>
        <w:t>proceedings</w:t>
      </w:r>
      <w:r w:rsidR="002221E4" w:rsidRPr="00F66054">
        <w:rPr>
          <w:rStyle w:val="sb8d990e2"/>
        </w:rPr>
        <w:t xml:space="preserve"> (see paragraph</w:t>
      </w:r>
      <w:r w:rsidR="00F66054" w:rsidRPr="00F66054">
        <w:rPr>
          <w:rStyle w:val="sb8d990e2"/>
        </w:rPr>
        <w:t> </w:t>
      </w:r>
      <w:r w:rsidR="00F66054" w:rsidRPr="00F66054">
        <w:rPr>
          <w:rStyle w:val="sb8d990e2"/>
        </w:rPr>
        <w:fldChar w:fldCharType="begin"/>
      </w:r>
      <w:r w:rsidR="00F66054" w:rsidRPr="00F66054">
        <w:rPr>
          <w:rStyle w:val="sb8d990e2"/>
        </w:rPr>
        <w:instrText xml:space="preserve"> REF PrelObj_appelCourt \h </w:instrText>
      </w:r>
      <w:r w:rsidR="00F66054">
        <w:rPr>
          <w:rStyle w:val="sb8d990e2"/>
        </w:rPr>
        <w:instrText xml:space="preserve"> \* MERGEFORMAT </w:instrText>
      </w:r>
      <w:r w:rsidR="00F66054" w:rsidRPr="00F66054">
        <w:rPr>
          <w:rStyle w:val="sb8d990e2"/>
        </w:rPr>
      </w:r>
      <w:r w:rsidR="00F66054" w:rsidRPr="00F66054">
        <w:rPr>
          <w:rStyle w:val="sb8d990e2"/>
        </w:rPr>
        <w:fldChar w:fldCharType="separate"/>
      </w:r>
      <w:r w:rsidR="00657757">
        <w:rPr>
          <w:rStyle w:val="sb8d990e2"/>
          <w:noProof/>
        </w:rPr>
        <w:t>37</w:t>
      </w:r>
      <w:r w:rsidR="00F66054" w:rsidRPr="00F66054">
        <w:rPr>
          <w:rStyle w:val="sb8d990e2"/>
        </w:rPr>
        <w:fldChar w:fldCharType="end"/>
      </w:r>
      <w:r w:rsidR="002221E4" w:rsidRPr="00F66054">
        <w:rPr>
          <w:rStyle w:val="sb8d990e2"/>
        </w:rPr>
        <w:t xml:space="preserve"> </w:t>
      </w:r>
      <w:r w:rsidR="00A7309B" w:rsidRPr="00F66054">
        <w:rPr>
          <w:rStyle w:val="sb8d990e2"/>
        </w:rPr>
        <w:t>above</w:t>
      </w:r>
      <w:r w:rsidR="00A7309B">
        <w:rPr>
          <w:rStyle w:val="sb8d990e2"/>
        </w:rPr>
        <w:t xml:space="preserve">). </w:t>
      </w:r>
      <w:r w:rsidR="00F66054">
        <w:rPr>
          <w:rStyle w:val="sb8d990e2"/>
        </w:rPr>
        <w:t>In rebutting this</w:t>
      </w:r>
      <w:r w:rsidR="00312D3E">
        <w:rPr>
          <w:rStyle w:val="sb8d990e2"/>
        </w:rPr>
        <w:t xml:space="preserve"> </w:t>
      </w:r>
      <w:r w:rsidR="00312D3E" w:rsidRPr="00926795">
        <w:rPr>
          <w:rStyle w:val="sb8d990e2"/>
        </w:rPr>
        <w:t xml:space="preserve">argument </w:t>
      </w:r>
      <w:r w:rsidR="00A7309B" w:rsidRPr="00926795">
        <w:rPr>
          <w:rStyle w:val="sb8d990e2"/>
        </w:rPr>
        <w:t xml:space="preserve">the Court refers to section 276 of the Criminal </w:t>
      </w:r>
      <w:r w:rsidR="00A7309B" w:rsidRPr="00870027">
        <w:rPr>
          <w:rStyle w:val="sb8d990e2"/>
        </w:rPr>
        <w:t>Procedure Law (see paragraph</w:t>
      </w:r>
      <w:r w:rsidR="00470360" w:rsidRPr="00870027">
        <w:rPr>
          <w:rStyle w:val="sb8d990e2"/>
        </w:rPr>
        <w:t> </w:t>
      </w:r>
      <w:r w:rsidR="00470360" w:rsidRPr="00870027">
        <w:rPr>
          <w:rStyle w:val="sb8d990e2"/>
        </w:rPr>
        <w:fldChar w:fldCharType="begin"/>
      </w:r>
      <w:r w:rsidR="00470360" w:rsidRPr="00870027">
        <w:rPr>
          <w:rStyle w:val="sb8d990e2"/>
        </w:rPr>
        <w:instrText xml:space="preserve"> REF art276_CPL \h </w:instrText>
      </w:r>
      <w:r w:rsidR="00870027">
        <w:rPr>
          <w:rStyle w:val="sb8d990e2"/>
        </w:rPr>
        <w:instrText xml:space="preserve"> \* MERGEFORMAT </w:instrText>
      </w:r>
      <w:r w:rsidR="00470360" w:rsidRPr="00870027">
        <w:rPr>
          <w:rStyle w:val="sb8d990e2"/>
        </w:rPr>
      </w:r>
      <w:r w:rsidR="00470360" w:rsidRPr="00870027">
        <w:rPr>
          <w:rStyle w:val="sb8d990e2"/>
        </w:rPr>
        <w:fldChar w:fldCharType="separate"/>
      </w:r>
      <w:r w:rsidR="00657757">
        <w:rPr>
          <w:noProof/>
        </w:rPr>
        <w:t>22</w:t>
      </w:r>
      <w:r w:rsidR="00470360" w:rsidRPr="00870027">
        <w:rPr>
          <w:rStyle w:val="sb8d990e2"/>
        </w:rPr>
        <w:fldChar w:fldCharType="end"/>
      </w:r>
      <w:r w:rsidR="00470360" w:rsidRPr="00870027">
        <w:rPr>
          <w:rStyle w:val="sb8d990e2"/>
        </w:rPr>
        <w:t xml:space="preserve"> </w:t>
      </w:r>
      <w:r w:rsidR="00A7309B" w:rsidRPr="00870027">
        <w:rPr>
          <w:rStyle w:val="sb8d990e2"/>
        </w:rPr>
        <w:t>above)</w:t>
      </w:r>
      <w:r w:rsidR="00926795" w:rsidRPr="00870027">
        <w:rPr>
          <w:rStyle w:val="sb8d990e2"/>
        </w:rPr>
        <w:t xml:space="preserve"> which</w:t>
      </w:r>
      <w:r w:rsidR="00926795" w:rsidRPr="00470360">
        <w:rPr>
          <w:rStyle w:val="sb8d990e2"/>
        </w:rPr>
        <w:t xml:space="preserve"> provides</w:t>
      </w:r>
      <w:r w:rsidR="00A7309B" w:rsidRPr="00470360">
        <w:rPr>
          <w:rStyle w:val="sb8d990e2"/>
        </w:rPr>
        <w:t xml:space="preserve"> </w:t>
      </w:r>
      <w:r w:rsidR="00926795" w:rsidRPr="00470360">
        <w:rPr>
          <w:rStyle w:val="sb8d990e2"/>
        </w:rPr>
        <w:t>a</w:t>
      </w:r>
      <w:r w:rsidR="00312D3E" w:rsidRPr="00470360">
        <w:rPr>
          <w:rStyle w:val="sb8d990e2"/>
        </w:rPr>
        <w:t xml:space="preserve"> competence of the</w:t>
      </w:r>
      <w:r w:rsidR="00A7309B" w:rsidRPr="00470360">
        <w:rPr>
          <w:rStyle w:val="sb8d990e2"/>
        </w:rPr>
        <w:t xml:space="preserve"> </w:t>
      </w:r>
      <w:r w:rsidR="00312D3E" w:rsidRPr="00470360">
        <w:rPr>
          <w:rStyle w:val="sb8d990e2"/>
        </w:rPr>
        <w:t xml:space="preserve">national </w:t>
      </w:r>
      <w:r w:rsidR="00A7309B" w:rsidRPr="00470360">
        <w:rPr>
          <w:rStyle w:val="sb8d990e2"/>
        </w:rPr>
        <w:t xml:space="preserve">court to </w:t>
      </w:r>
      <w:r w:rsidR="00470360">
        <w:rPr>
          <w:rStyle w:val="sb8d990e2"/>
        </w:rPr>
        <w:t>decide on the detention upon its own initiative</w:t>
      </w:r>
      <w:r w:rsidR="00A7309B" w:rsidRPr="00926795">
        <w:rPr>
          <w:rStyle w:val="sb8d990e2"/>
        </w:rPr>
        <w:t xml:space="preserve">. </w:t>
      </w:r>
      <w:r w:rsidR="00312D3E" w:rsidRPr="00926795">
        <w:t>Notwithstanding</w:t>
      </w:r>
      <w:r w:rsidR="00312D3E">
        <w:t xml:space="preserve"> the applicant</w:t>
      </w:r>
      <w:r w:rsidR="000C06B1">
        <w:t>’</w:t>
      </w:r>
      <w:r w:rsidR="00312D3E">
        <w:t xml:space="preserve">s earlier requests to change the preventive </w:t>
      </w:r>
      <w:r w:rsidR="00312D3E" w:rsidRPr="00470360">
        <w:t>measure</w:t>
      </w:r>
      <w:r w:rsidR="00312D3E" w:rsidRPr="00470360">
        <w:rPr>
          <w:rStyle w:val="sb8d990e2"/>
        </w:rPr>
        <w:t xml:space="preserve"> </w:t>
      </w:r>
      <w:r w:rsidR="00A7309B" w:rsidRPr="00470360">
        <w:rPr>
          <w:rStyle w:val="sb8d990e2"/>
        </w:rPr>
        <w:t xml:space="preserve">it does not appear </w:t>
      </w:r>
      <w:r w:rsidR="00312D3E" w:rsidRPr="00470360">
        <w:rPr>
          <w:rStyle w:val="sb8d990e2"/>
        </w:rPr>
        <w:t>that the national courts had acted in compliance with the respective provision of the CPL with</w:t>
      </w:r>
      <w:r w:rsidR="00312D3E">
        <w:rPr>
          <w:rStyle w:val="sb8d990e2"/>
        </w:rPr>
        <w:t xml:space="preserve"> the purpose of protecting the individual from </w:t>
      </w:r>
      <w:r w:rsidR="00312D3E" w:rsidRPr="002E0C61">
        <w:rPr>
          <w:rStyle w:val="sb8d990e2"/>
        </w:rPr>
        <w:t>arbitrariness (</w:t>
      </w:r>
      <w:r w:rsidR="00470360" w:rsidRPr="002E0C61">
        <w:rPr>
          <w:rStyle w:val="sb8d990e2"/>
        </w:rPr>
        <w:t xml:space="preserve">see </w:t>
      </w:r>
      <w:r w:rsidR="00312D3E" w:rsidRPr="002E0C61">
        <w:rPr>
          <w:rStyle w:val="sb8d990e2"/>
          <w:i/>
        </w:rPr>
        <w:t>Mooren,</w:t>
      </w:r>
      <w:r w:rsidR="00470360" w:rsidRPr="002E0C61">
        <w:rPr>
          <w:rStyle w:val="sb8d990e2"/>
          <w:i/>
        </w:rPr>
        <w:t xml:space="preserve"> </w:t>
      </w:r>
      <w:r w:rsidR="00470360" w:rsidRPr="002E0C61">
        <w:rPr>
          <w:rStyle w:val="sb8d990e2"/>
        </w:rPr>
        <w:t>cited</w:t>
      </w:r>
      <w:r w:rsidR="00470360" w:rsidRPr="00470360">
        <w:rPr>
          <w:rStyle w:val="sb8d990e2"/>
        </w:rPr>
        <w:t xml:space="preserve"> above, </w:t>
      </w:r>
      <w:r w:rsidR="00470360" w:rsidRPr="00470360">
        <w:rPr>
          <w:rStyle w:val="sb8d990e2"/>
          <w:rFonts w:cstheme="minorHAnsi"/>
        </w:rPr>
        <w:t>§</w:t>
      </w:r>
      <w:r w:rsidR="00470360" w:rsidRPr="00470360">
        <w:rPr>
          <w:rStyle w:val="sb8d990e2"/>
        </w:rPr>
        <w:t> </w:t>
      </w:r>
      <w:r w:rsidR="00312D3E" w:rsidRPr="00470360">
        <w:rPr>
          <w:rStyle w:val="sb8d990e2"/>
        </w:rPr>
        <w:t>72).</w:t>
      </w:r>
      <w:r w:rsidR="00365D68">
        <w:rPr>
          <w:rStyle w:val="sb8d990e2"/>
        </w:rPr>
        <w:t xml:space="preserve"> As a consequence, </w:t>
      </w:r>
      <w:r w:rsidR="00365D68">
        <w:rPr>
          <w:rStyle w:val="s9da01b7c"/>
        </w:rPr>
        <w:t xml:space="preserve">observing that the alleged violation resulted from interpretation of a legal provision which, in its content, is not unconstitutional, </w:t>
      </w:r>
      <w:r w:rsidR="00BC164F">
        <w:rPr>
          <w:rStyle w:val="s9da01b7c"/>
        </w:rPr>
        <w:t>t</w:t>
      </w:r>
      <w:r w:rsidR="00365D68">
        <w:rPr>
          <w:rStyle w:val="s9da01b7c"/>
        </w:rPr>
        <w:t xml:space="preserve">he procedure of an individual constitutional complaint therefore cannot serve as an effective remedy (see </w:t>
      </w:r>
      <w:r w:rsidR="00470360" w:rsidRPr="00B668D2">
        <w:rPr>
          <w:i/>
          <w:lang w:val="en-GB"/>
        </w:rPr>
        <w:t>Savičs v. Latvia</w:t>
      </w:r>
      <w:r w:rsidR="0063659B">
        <w:rPr>
          <w:lang w:val="en-GB"/>
        </w:rPr>
        <w:t>, no. </w:t>
      </w:r>
      <w:r w:rsidR="00470360" w:rsidRPr="00B668D2">
        <w:rPr>
          <w:lang w:val="en-GB"/>
        </w:rPr>
        <w:t>17892</w:t>
      </w:r>
      <w:r w:rsidR="00470360" w:rsidRPr="00870027">
        <w:rPr>
          <w:lang w:val="en-GB"/>
        </w:rPr>
        <w:t>/03</w:t>
      </w:r>
      <w:r w:rsidR="00470360" w:rsidRPr="00870027">
        <w:rPr>
          <w:snapToGrid w:val="0"/>
          <w:lang w:val="en-GB"/>
        </w:rPr>
        <w:t>, § 113, 27 November</w:t>
      </w:r>
      <w:r w:rsidR="00470360" w:rsidRPr="00B668D2">
        <w:rPr>
          <w:snapToGrid w:val="0"/>
          <w:lang w:val="en-GB"/>
        </w:rPr>
        <w:t xml:space="preserve"> 2012</w:t>
      </w:r>
      <w:r w:rsidR="00365D68" w:rsidRPr="00470360">
        <w:rPr>
          <w:rStyle w:val="s9da01b7c"/>
        </w:rPr>
        <w:t>,</w:t>
      </w:r>
      <w:r w:rsidR="00470360" w:rsidRPr="00470360">
        <w:rPr>
          <w:rStyle w:val="s9da01b7c"/>
        </w:rPr>
        <w:t xml:space="preserve"> </w:t>
      </w:r>
      <w:r w:rsidR="001F55CF">
        <w:rPr>
          <w:rStyle w:val="s9da01b7c"/>
          <w:lang w:val="en-GB"/>
        </w:rPr>
        <w:t>and</w:t>
      </w:r>
      <w:r w:rsidR="00470360" w:rsidRPr="00470360">
        <w:rPr>
          <w:rStyle w:val="s9da01b7c"/>
          <w:lang w:val="en-GB"/>
        </w:rPr>
        <w:t xml:space="preserve"> </w:t>
      </w:r>
      <w:r w:rsidR="00470360" w:rsidRPr="00470360">
        <w:rPr>
          <w:rStyle w:val="s9da01b7c"/>
          <w:i/>
          <w:lang w:val="en-GB"/>
        </w:rPr>
        <w:t>Liepājnieks v. Latvia</w:t>
      </w:r>
      <w:r w:rsidR="001F55CF">
        <w:rPr>
          <w:rStyle w:val="s9da01b7c"/>
          <w:lang w:val="en-GB"/>
        </w:rPr>
        <w:t xml:space="preserve"> (dec.), no. </w:t>
      </w:r>
      <w:r w:rsidR="00470360" w:rsidRPr="00470360">
        <w:rPr>
          <w:rStyle w:val="textcolumn"/>
        </w:rPr>
        <w:t>37586/</w:t>
      </w:r>
      <w:r w:rsidR="00470360" w:rsidRPr="00C06F3C">
        <w:rPr>
          <w:rStyle w:val="textcolumn"/>
        </w:rPr>
        <w:t>06</w:t>
      </w:r>
      <w:r w:rsidR="00470360" w:rsidRPr="00C06F3C">
        <w:rPr>
          <w:rStyle w:val="s9da01b7c"/>
          <w:lang w:val="en-GB"/>
        </w:rPr>
        <w:t>,</w:t>
      </w:r>
      <w:r w:rsidR="00C06F3C" w:rsidRPr="00C06F3C">
        <w:rPr>
          <w:rStyle w:val="s9da01b7c"/>
          <w:lang w:val="en-GB"/>
        </w:rPr>
        <w:t xml:space="preserve"> </w:t>
      </w:r>
      <w:r w:rsidR="00C06F3C" w:rsidRPr="00C06F3C">
        <w:rPr>
          <w:snapToGrid w:val="0"/>
          <w:lang w:val="en-GB"/>
        </w:rPr>
        <w:t>§ 73</w:t>
      </w:r>
      <w:r w:rsidR="001F55CF">
        <w:rPr>
          <w:snapToGrid w:val="0"/>
          <w:lang w:val="en-GB"/>
        </w:rPr>
        <w:t>,</w:t>
      </w:r>
      <w:r w:rsidR="00470360">
        <w:rPr>
          <w:rStyle w:val="s9da01b7c"/>
          <w:lang w:val="en-GB"/>
        </w:rPr>
        <w:t xml:space="preserve"> 2 November 2010)</w:t>
      </w:r>
      <w:r w:rsidR="00365D68" w:rsidRPr="00470360">
        <w:rPr>
          <w:rStyle w:val="s9da01b7c"/>
        </w:rPr>
        <w:t>.</w:t>
      </w:r>
      <w:r w:rsidR="00BC164F" w:rsidRPr="00470360">
        <w:rPr>
          <w:rStyle w:val="s9da01b7c"/>
        </w:rPr>
        <w:t xml:space="preserve"> I</w:t>
      </w:r>
      <w:r w:rsidR="00657109" w:rsidRPr="00470360">
        <w:rPr>
          <w:rStyle w:val="s9da01b7c"/>
        </w:rPr>
        <w:t>n addition, noting that the Government has suggested that several provisions</w:t>
      </w:r>
      <w:r w:rsidR="007C50EE" w:rsidRPr="00470360">
        <w:rPr>
          <w:rStyle w:val="s9da01b7c"/>
        </w:rPr>
        <w:t>, both</w:t>
      </w:r>
      <w:r w:rsidR="007C50EE">
        <w:rPr>
          <w:rStyle w:val="s9da01b7c"/>
        </w:rPr>
        <w:t xml:space="preserve"> from</w:t>
      </w:r>
      <w:r w:rsidR="00657109">
        <w:rPr>
          <w:rStyle w:val="s9da01b7c"/>
        </w:rPr>
        <w:t xml:space="preserve"> the old Code</w:t>
      </w:r>
      <w:r w:rsidR="007C50EE">
        <w:rPr>
          <w:rStyle w:val="s9da01b7c"/>
        </w:rPr>
        <w:t xml:space="preserve"> of Criminal Procedure and the Criminal Procedure</w:t>
      </w:r>
      <w:r w:rsidR="00657109">
        <w:rPr>
          <w:rStyle w:val="s9da01b7c"/>
        </w:rPr>
        <w:t xml:space="preserve"> Law could be subjected to a constitutional review, the</w:t>
      </w:r>
      <w:r w:rsidR="007C50EE">
        <w:rPr>
          <w:rStyle w:val="s9da01b7c"/>
        </w:rPr>
        <w:t xml:space="preserve"> Court has already ruled</w:t>
      </w:r>
      <w:r w:rsidR="00BC164F">
        <w:rPr>
          <w:rStyle w:val="s9da01b7c"/>
        </w:rPr>
        <w:t xml:space="preserve"> that </w:t>
      </w:r>
      <w:r w:rsidR="00657109">
        <w:rPr>
          <w:rStyle w:val="s9da01b7c"/>
        </w:rPr>
        <w:t xml:space="preserve">a </w:t>
      </w:r>
      <w:r w:rsidR="00BC164F">
        <w:rPr>
          <w:rStyle w:val="sb8d990e2"/>
        </w:rPr>
        <w:t xml:space="preserve">constitutional review of </w:t>
      </w:r>
      <w:r w:rsidR="00657109">
        <w:rPr>
          <w:rStyle w:val="sb8d990e2"/>
        </w:rPr>
        <w:t xml:space="preserve">broad range of legal provisions cannot </w:t>
      </w:r>
      <w:r w:rsidR="007C50EE">
        <w:rPr>
          <w:rStyle w:val="sb8d990e2"/>
        </w:rPr>
        <w:t>be considered an effective remedy (</w:t>
      </w:r>
      <w:r w:rsidR="007C50EE">
        <w:rPr>
          <w:i/>
        </w:rPr>
        <w:t xml:space="preserve">Taraneks </w:t>
      </w:r>
      <w:r w:rsidR="007C50EE" w:rsidRPr="00640DC0">
        <w:rPr>
          <w:i/>
        </w:rPr>
        <w:t>v. Latvia</w:t>
      </w:r>
      <w:r w:rsidR="007C50EE" w:rsidRPr="00640DC0">
        <w:t>, no. 3082/06</w:t>
      </w:r>
      <w:r w:rsidR="007C50EE">
        <w:rPr>
          <w:snapToGrid w:val="0"/>
        </w:rPr>
        <w:t>, § 84, 2 December 2014)</w:t>
      </w:r>
      <w:r w:rsidR="007C50EE">
        <w:rPr>
          <w:rStyle w:val="sb8d990e2"/>
          <w:i/>
          <w:lang w:val="en-GB"/>
        </w:rPr>
        <w:t xml:space="preserve">. </w:t>
      </w:r>
      <w:r w:rsidR="007C50EE">
        <w:rPr>
          <w:rStyle w:val="sb8d990e2"/>
        </w:rPr>
        <w:t xml:space="preserve">In the </w:t>
      </w:r>
      <w:r w:rsidR="007C50EE" w:rsidRPr="00870027">
        <w:rPr>
          <w:rStyle w:val="sb8d990e2"/>
        </w:rPr>
        <w:t>light of the above, the Court dismisses the Government</w:t>
      </w:r>
      <w:r w:rsidR="000C06B1">
        <w:rPr>
          <w:rStyle w:val="sb8d990e2"/>
        </w:rPr>
        <w:t>’</w:t>
      </w:r>
      <w:r w:rsidR="007C50EE" w:rsidRPr="00870027">
        <w:rPr>
          <w:rStyle w:val="sb8d990e2"/>
        </w:rPr>
        <w:t>s objection in relation to non-exhaustion of domestic remedies.</w:t>
      </w:r>
    </w:p>
    <w:p w:rsidR="00067238" w:rsidRPr="00F075F6" w:rsidRDefault="00926795" w:rsidP="00E1438D">
      <w:pPr>
        <w:pStyle w:val="ECHRPara"/>
      </w:pPr>
      <w:r w:rsidRPr="00870027">
        <w:rPr>
          <w:rStyle w:val="sb8d990e2"/>
        </w:rPr>
        <w:fldChar w:fldCharType="begin"/>
      </w:r>
      <w:r w:rsidRPr="00870027">
        <w:rPr>
          <w:rStyle w:val="sb8d990e2"/>
        </w:rPr>
        <w:instrText xml:space="preserve"> SEQ level0 \*arabic </w:instrText>
      </w:r>
      <w:r w:rsidRPr="00870027">
        <w:rPr>
          <w:rStyle w:val="sb8d990e2"/>
        </w:rPr>
        <w:fldChar w:fldCharType="separate"/>
      </w:r>
      <w:r w:rsidR="00657757">
        <w:rPr>
          <w:rStyle w:val="sb8d990e2"/>
          <w:noProof/>
        </w:rPr>
        <w:t>49</w:t>
      </w:r>
      <w:r w:rsidRPr="00870027">
        <w:rPr>
          <w:rStyle w:val="sb8d990e2"/>
        </w:rPr>
        <w:fldChar w:fldCharType="end"/>
      </w:r>
      <w:r w:rsidR="00E411AE" w:rsidRPr="00870027">
        <w:rPr>
          <w:rStyle w:val="sb8d990e2"/>
        </w:rPr>
        <w:t>.  </w:t>
      </w:r>
      <w:r w:rsidR="00053753" w:rsidRPr="00F075F6">
        <w:t>T</w:t>
      </w:r>
      <w:r w:rsidRPr="00F075F6">
        <w:t>he period</w:t>
      </w:r>
      <w:r w:rsidR="00870027" w:rsidRPr="00F075F6">
        <w:t xml:space="preserve"> of detention</w:t>
      </w:r>
      <w:r w:rsidRPr="00F075F6">
        <w:t xml:space="preserve"> running from 13 September to 17 October</w:t>
      </w:r>
      <w:r w:rsidR="00C74DDB" w:rsidRPr="00F075F6">
        <w:t xml:space="preserve"> and </w:t>
      </w:r>
      <w:r w:rsidR="0095321E" w:rsidRPr="00F075F6">
        <w:t>its reasonableness</w:t>
      </w:r>
      <w:r w:rsidR="00C74DDB" w:rsidRPr="00F075F6">
        <w:t xml:space="preserve"> shall be examined under Article 5</w:t>
      </w:r>
      <w:r w:rsidR="0095321E" w:rsidRPr="00F075F6">
        <w:t> § </w:t>
      </w:r>
      <w:r w:rsidR="00C74DDB" w:rsidRPr="00F075F6">
        <w:t>3</w:t>
      </w:r>
      <w:r w:rsidR="00E1438D" w:rsidRPr="00F075F6">
        <w:t xml:space="preserve"> of the Convention</w:t>
      </w:r>
      <w:r w:rsidR="0095321E" w:rsidRPr="00F075F6">
        <w:t>.</w:t>
      </w:r>
    </w:p>
    <w:p w:rsidR="00014566" w:rsidRPr="00062973" w:rsidRDefault="007A3CCB" w:rsidP="00C621C2">
      <w:pPr>
        <w:pStyle w:val="ECHRPara"/>
        <w:rPr>
          <w:lang w:val="en-GB"/>
        </w:rPr>
      </w:pPr>
      <w:r w:rsidRPr="00870027">
        <w:rPr>
          <w:lang w:val="en-GB"/>
        </w:rPr>
        <w:fldChar w:fldCharType="begin"/>
      </w:r>
      <w:r w:rsidRPr="00870027">
        <w:rPr>
          <w:lang w:val="en-GB"/>
        </w:rPr>
        <w:instrText xml:space="preserve"> SEQ level0 \*arabic </w:instrText>
      </w:r>
      <w:r w:rsidRPr="00870027">
        <w:rPr>
          <w:lang w:val="en-GB"/>
        </w:rPr>
        <w:fldChar w:fldCharType="separate"/>
      </w:r>
      <w:r w:rsidR="00657757">
        <w:rPr>
          <w:noProof/>
          <w:lang w:val="en-GB"/>
        </w:rPr>
        <w:t>50</w:t>
      </w:r>
      <w:r w:rsidRPr="00870027">
        <w:rPr>
          <w:lang w:val="en-GB"/>
        </w:rPr>
        <w:fldChar w:fldCharType="end"/>
      </w:r>
      <w:r w:rsidR="00014566" w:rsidRPr="00870027">
        <w:rPr>
          <w:lang w:val="en-GB"/>
        </w:rPr>
        <w:t xml:space="preserve">.  The foregoing considerations are sufficient to enable the Court to conclude that </w:t>
      </w:r>
      <w:r w:rsidR="00A34EAA" w:rsidRPr="00870027">
        <w:rPr>
          <w:lang w:val="en-GB"/>
        </w:rPr>
        <w:t>during the period from 21 August to 13 September 2006</w:t>
      </w:r>
      <w:r w:rsidR="00496E1D" w:rsidRPr="00870027">
        <w:rPr>
          <w:lang w:val="en-GB"/>
        </w:rPr>
        <w:t xml:space="preserve"> </w:t>
      </w:r>
      <w:r w:rsidR="00A34EAA" w:rsidRPr="00870027">
        <w:rPr>
          <w:rStyle w:val="sb8d990e2"/>
        </w:rPr>
        <w:t>there was no valid domestic decision or other “lawful” basis for the applicant</w:t>
      </w:r>
      <w:r w:rsidR="000C06B1">
        <w:rPr>
          <w:rStyle w:val="sb8d990e2"/>
        </w:rPr>
        <w:t>’</w:t>
      </w:r>
      <w:r w:rsidR="00A34EAA" w:rsidRPr="00870027">
        <w:rPr>
          <w:rStyle w:val="sb8d990e2"/>
        </w:rPr>
        <w:t>s detention on remand.</w:t>
      </w:r>
    </w:p>
    <w:p w:rsidR="001D1FE1" w:rsidRDefault="00014566" w:rsidP="005039CE">
      <w:pPr>
        <w:pStyle w:val="ECHRPara"/>
        <w:rPr>
          <w:lang w:val="en-GB"/>
        </w:rPr>
      </w:pPr>
      <w:r w:rsidRPr="00062973">
        <w:rPr>
          <w:lang w:val="en-GB"/>
        </w:rPr>
        <w:t xml:space="preserve">There has accordingly been a violation of Article </w:t>
      </w:r>
      <w:r w:rsidR="00987E7B">
        <w:rPr>
          <w:lang w:val="en-GB"/>
        </w:rPr>
        <w:t>5 </w:t>
      </w:r>
      <w:r w:rsidR="00987E7B">
        <w:rPr>
          <w:rFonts w:cstheme="minorHAnsi"/>
          <w:lang w:val="en-GB"/>
        </w:rPr>
        <w:t>§</w:t>
      </w:r>
      <w:r w:rsidR="00987E7B">
        <w:rPr>
          <w:lang w:val="en-GB"/>
        </w:rPr>
        <w:t> 1 (c)</w:t>
      </w:r>
      <w:r w:rsidRPr="00062973">
        <w:rPr>
          <w:lang w:val="en-GB"/>
        </w:rPr>
        <w:t xml:space="preserve"> of the Convention.</w:t>
      </w:r>
    </w:p>
    <w:p w:rsidR="00FC50C1" w:rsidRPr="00FC50C1" w:rsidRDefault="001D1FE1" w:rsidP="00C74DDB">
      <w:pPr>
        <w:pStyle w:val="ECHRHeading3"/>
        <w:rPr>
          <w:lang w:val="en-GB"/>
        </w:rPr>
      </w:pPr>
      <w:r>
        <w:rPr>
          <w:lang w:val="en-GB"/>
        </w:rPr>
        <w:t>2.  </w:t>
      </w:r>
      <w:r w:rsidR="00FF155D" w:rsidRPr="002C42D2">
        <w:rPr>
          <w:lang w:val="en-GB"/>
        </w:rPr>
        <w:t xml:space="preserve">Complaint under Article </w:t>
      </w:r>
      <w:r w:rsidRPr="002C42D2">
        <w:rPr>
          <w:lang w:val="en-GB"/>
        </w:rPr>
        <w:t>5</w:t>
      </w:r>
      <w:r w:rsidR="00FF155D" w:rsidRPr="002C42D2">
        <w:rPr>
          <w:lang w:val="en-GB"/>
        </w:rPr>
        <w:t> </w:t>
      </w:r>
      <w:r w:rsidR="00FF155D" w:rsidRPr="002C42D2">
        <w:rPr>
          <w:rFonts w:cstheme="majorHAnsi"/>
          <w:lang w:val="en-GB"/>
        </w:rPr>
        <w:t>§</w:t>
      </w:r>
      <w:r w:rsidR="00FF155D" w:rsidRPr="002C42D2">
        <w:rPr>
          <w:lang w:val="en-GB"/>
        </w:rPr>
        <w:t> </w:t>
      </w:r>
      <w:r w:rsidRPr="002C42D2">
        <w:rPr>
          <w:lang w:val="en-GB"/>
        </w:rPr>
        <w:t>3</w:t>
      </w:r>
    </w:p>
    <w:p w:rsidR="001D1FE1" w:rsidRDefault="001D1FE1" w:rsidP="001D1FE1">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51</w:t>
      </w:r>
      <w:r>
        <w:rPr>
          <w:lang w:val="en-GB"/>
        </w:rPr>
        <w:fldChar w:fldCharType="end"/>
      </w:r>
      <w:r w:rsidR="00FB219B">
        <w:rPr>
          <w:lang w:val="en-GB"/>
        </w:rPr>
        <w:t>.  </w:t>
      </w:r>
      <w:r w:rsidRPr="00062973">
        <w:rPr>
          <w:lang w:val="en-GB"/>
        </w:rPr>
        <w:t xml:space="preserve">The applicant </w:t>
      </w:r>
      <w:r w:rsidR="00FF155D">
        <w:rPr>
          <w:lang w:val="en-GB"/>
        </w:rPr>
        <w:t>in substance maintained his initial complaint.</w:t>
      </w:r>
    </w:p>
    <w:p w:rsidR="001D1FE1" w:rsidRPr="00FB219B" w:rsidRDefault="001D1FE1" w:rsidP="001D1FE1">
      <w:pPr>
        <w:pStyle w:val="ECHRPara"/>
        <w:rPr>
          <w:lang w:val="en-GB"/>
        </w:rPr>
      </w:pPr>
      <w:r w:rsidRPr="00FB219B">
        <w:rPr>
          <w:lang w:val="en-GB"/>
        </w:rPr>
        <w:fldChar w:fldCharType="begin"/>
      </w:r>
      <w:r w:rsidRPr="00FB219B">
        <w:rPr>
          <w:lang w:val="en-GB"/>
        </w:rPr>
        <w:instrText xml:space="preserve"> SEQ level0 \*arabic </w:instrText>
      </w:r>
      <w:r w:rsidRPr="00FB219B">
        <w:rPr>
          <w:lang w:val="en-GB"/>
        </w:rPr>
        <w:fldChar w:fldCharType="separate"/>
      </w:r>
      <w:r w:rsidR="00657757">
        <w:rPr>
          <w:noProof/>
          <w:lang w:val="en-GB"/>
        </w:rPr>
        <w:t>52</w:t>
      </w:r>
      <w:r w:rsidRPr="00FB219B">
        <w:rPr>
          <w:lang w:val="en-GB"/>
        </w:rPr>
        <w:fldChar w:fldCharType="end"/>
      </w:r>
      <w:r w:rsidR="00FB219B">
        <w:rPr>
          <w:lang w:val="en-GB"/>
        </w:rPr>
        <w:t>.  </w:t>
      </w:r>
      <w:r w:rsidRPr="00FB219B">
        <w:rPr>
          <w:lang w:val="en-GB"/>
        </w:rPr>
        <w:t xml:space="preserve">The Government </w:t>
      </w:r>
      <w:r w:rsidR="00B8081F" w:rsidRPr="00FB219B">
        <w:rPr>
          <w:lang w:val="en-GB"/>
        </w:rPr>
        <w:t>maintained</w:t>
      </w:r>
      <w:r w:rsidR="00B8081F">
        <w:rPr>
          <w:lang w:val="en-GB"/>
        </w:rPr>
        <w:t xml:space="preserve"> that the length of the applicant</w:t>
      </w:r>
      <w:r w:rsidR="000C06B1">
        <w:rPr>
          <w:lang w:val="en-GB"/>
        </w:rPr>
        <w:t>’</w:t>
      </w:r>
      <w:r w:rsidR="00B8081F">
        <w:rPr>
          <w:lang w:val="en-GB"/>
        </w:rPr>
        <w:t xml:space="preserve">s pre-trial detention was short, the pre-trial investigation was completed in three months and was therefore in sharp contrast to other Latvian cases where a violation due to long inactivity periods was found. </w:t>
      </w:r>
      <w:r w:rsidR="00CF0459">
        <w:rPr>
          <w:lang w:val="en-GB"/>
        </w:rPr>
        <w:t>B</w:t>
      </w:r>
      <w:r w:rsidR="00FB219B">
        <w:rPr>
          <w:lang w:val="en-GB"/>
        </w:rPr>
        <w:t xml:space="preserve">y referring to the case </w:t>
      </w:r>
      <w:r w:rsidR="00FB219B">
        <w:rPr>
          <w:i/>
          <w:lang w:val="en-GB"/>
        </w:rPr>
        <w:t>Derga</w:t>
      </w:r>
      <w:r w:rsidR="00FB219B">
        <w:rPr>
          <w:i/>
          <w:lang w:val="lv-LV"/>
        </w:rPr>
        <w:t>čovs</w:t>
      </w:r>
      <w:r w:rsidR="00FB219B">
        <w:rPr>
          <w:i/>
          <w:lang w:val="en-GB"/>
        </w:rPr>
        <w:t xml:space="preserve"> v. Latvia</w:t>
      </w:r>
      <w:r w:rsidR="00B9381D">
        <w:rPr>
          <w:i/>
          <w:lang w:val="en-GB"/>
        </w:rPr>
        <w:t xml:space="preserve"> </w:t>
      </w:r>
      <w:r w:rsidR="00FB219B">
        <w:rPr>
          <w:lang w:val="en-GB"/>
        </w:rPr>
        <w:t>(dec.)</w:t>
      </w:r>
      <w:r w:rsidR="00514084">
        <w:rPr>
          <w:lang w:val="en-GB"/>
        </w:rPr>
        <w:t>, no. </w:t>
      </w:r>
      <w:r w:rsidR="00FB219B">
        <w:rPr>
          <w:rStyle w:val="column01"/>
        </w:rPr>
        <w:t>417/06</w:t>
      </w:r>
      <w:r w:rsidR="00FB219B">
        <w:rPr>
          <w:lang w:val="en-GB"/>
        </w:rPr>
        <w:t>, 12 April </w:t>
      </w:r>
      <w:r w:rsidR="00CF0459">
        <w:rPr>
          <w:lang w:val="en-GB"/>
        </w:rPr>
        <w:t xml:space="preserve">2011 the Government reiterated that the applicant has failed to submit in time his request to change the security measure (see paragraph </w:t>
      </w:r>
      <w:r w:rsidR="00CF0459">
        <w:rPr>
          <w:lang w:val="en-GB"/>
        </w:rPr>
        <w:fldChar w:fldCharType="begin"/>
      </w:r>
      <w:r w:rsidR="00CF0459">
        <w:rPr>
          <w:lang w:val="en-GB"/>
        </w:rPr>
        <w:instrText xml:space="preserve"> REF PrelObj_appelCourt \h </w:instrText>
      </w:r>
      <w:r w:rsidR="00CF0459">
        <w:rPr>
          <w:lang w:val="en-GB"/>
        </w:rPr>
      </w:r>
      <w:r w:rsidR="00CF0459">
        <w:rPr>
          <w:lang w:val="en-GB"/>
        </w:rPr>
        <w:fldChar w:fldCharType="separate"/>
      </w:r>
      <w:r w:rsidR="00657757">
        <w:rPr>
          <w:rStyle w:val="sb8d990e2"/>
          <w:noProof/>
        </w:rPr>
        <w:t>37</w:t>
      </w:r>
      <w:r w:rsidR="00CF0459">
        <w:rPr>
          <w:lang w:val="en-GB"/>
        </w:rPr>
        <w:fldChar w:fldCharType="end"/>
      </w:r>
      <w:r w:rsidR="00CF0459">
        <w:rPr>
          <w:lang w:val="en-GB"/>
        </w:rPr>
        <w:t> above).</w:t>
      </w:r>
    </w:p>
    <w:p w:rsidR="008616F7" w:rsidRDefault="001D1FE1" w:rsidP="008616F7">
      <w:pPr>
        <w:pStyle w:val="ECHRPara"/>
        <w:rPr>
          <w:rStyle w:val="sb8d990e2"/>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53</w:t>
      </w:r>
      <w:r>
        <w:rPr>
          <w:lang w:val="en-GB"/>
        </w:rPr>
        <w:fldChar w:fldCharType="end"/>
      </w:r>
      <w:r w:rsidR="00215AB6">
        <w:rPr>
          <w:lang w:val="en-GB"/>
        </w:rPr>
        <w:t>.  </w:t>
      </w:r>
      <w:r w:rsidR="008616F7">
        <w:rPr>
          <w:rStyle w:val="sb8d990e2"/>
        </w:rPr>
        <w:t xml:space="preserve">In this relation the Court refers </w:t>
      </w:r>
      <w:r w:rsidR="008616F7" w:rsidRPr="00E83D8A">
        <w:rPr>
          <w:rStyle w:val="sb8d990e2"/>
        </w:rPr>
        <w:t xml:space="preserve">to its </w:t>
      </w:r>
      <w:r w:rsidR="0063659B">
        <w:rPr>
          <w:rStyle w:val="sb8d990e2"/>
        </w:rPr>
        <w:t>earlier reasoning under Article </w:t>
      </w:r>
      <w:r w:rsidR="008616F7" w:rsidRPr="00E83D8A">
        <w:rPr>
          <w:rStyle w:val="sb8d990e2"/>
        </w:rPr>
        <w:t>5 </w:t>
      </w:r>
      <w:r w:rsidR="008616F7" w:rsidRPr="00E83D8A">
        <w:rPr>
          <w:rStyle w:val="sb8d990e2"/>
          <w:rFonts w:cstheme="minorHAnsi"/>
        </w:rPr>
        <w:t>§ 1 (c)</w:t>
      </w:r>
      <w:r w:rsidR="008616F7" w:rsidRPr="00E83D8A">
        <w:rPr>
          <w:rStyle w:val="sb8d990e2"/>
        </w:rPr>
        <w:t xml:space="preserve"> (see paragraph </w:t>
      </w:r>
      <w:r w:rsidR="008616F7" w:rsidRPr="00E83D8A">
        <w:rPr>
          <w:rStyle w:val="sb8d990e2"/>
        </w:rPr>
        <w:fldChar w:fldCharType="begin"/>
      </w:r>
      <w:r w:rsidR="008616F7" w:rsidRPr="00E83D8A">
        <w:rPr>
          <w:rStyle w:val="sb8d990e2"/>
        </w:rPr>
        <w:instrText xml:space="preserve"> REF On_art276 \h  \* MERGEFORMAT </w:instrText>
      </w:r>
      <w:r w:rsidR="008616F7" w:rsidRPr="00E83D8A">
        <w:rPr>
          <w:rStyle w:val="sb8d990e2"/>
        </w:rPr>
      </w:r>
      <w:r w:rsidR="008616F7" w:rsidRPr="00E83D8A">
        <w:rPr>
          <w:rStyle w:val="sb8d990e2"/>
        </w:rPr>
        <w:fldChar w:fldCharType="separate"/>
      </w:r>
      <w:r w:rsidR="00657757">
        <w:rPr>
          <w:rStyle w:val="sb8d990e2"/>
          <w:noProof/>
        </w:rPr>
        <w:t>48</w:t>
      </w:r>
      <w:r w:rsidR="008616F7" w:rsidRPr="00E83D8A">
        <w:rPr>
          <w:rStyle w:val="sb8d990e2"/>
        </w:rPr>
        <w:fldChar w:fldCharType="end"/>
      </w:r>
      <w:r w:rsidR="008616F7" w:rsidRPr="00E83D8A">
        <w:rPr>
          <w:rStyle w:val="sb8d990e2"/>
        </w:rPr>
        <w:t xml:space="preserve"> above). Furthermore</w:t>
      </w:r>
      <w:r w:rsidR="008616F7">
        <w:rPr>
          <w:rStyle w:val="sb8d990e2"/>
        </w:rPr>
        <w:t>,</w:t>
      </w:r>
      <w:r w:rsidR="008616F7" w:rsidRPr="00E83D8A">
        <w:rPr>
          <w:rStyle w:val="sb8d990e2"/>
        </w:rPr>
        <w:t xml:space="preserve"> the Court finds </w:t>
      </w:r>
      <w:r w:rsidR="008616F7" w:rsidRPr="00E83D8A">
        <w:rPr>
          <w:rStyle w:val="JuParaCar"/>
        </w:rPr>
        <w:t xml:space="preserve">it necessary to distinguish the particular case from the </w:t>
      </w:r>
      <w:r w:rsidR="008616F7" w:rsidRPr="00E83D8A">
        <w:rPr>
          <w:i/>
          <w:lang w:val="en-GB"/>
        </w:rPr>
        <w:t>Derga</w:t>
      </w:r>
      <w:r w:rsidR="008616F7" w:rsidRPr="00E83D8A">
        <w:rPr>
          <w:i/>
          <w:lang w:val="lv-LV"/>
        </w:rPr>
        <w:t>čovs</w:t>
      </w:r>
      <w:r w:rsidR="008616F7" w:rsidRPr="00E83D8A">
        <w:rPr>
          <w:i/>
          <w:lang w:val="en-GB"/>
        </w:rPr>
        <w:t xml:space="preserve"> v. Latvia</w:t>
      </w:r>
      <w:r w:rsidR="008616F7">
        <w:rPr>
          <w:i/>
          <w:lang w:val="en-GB"/>
        </w:rPr>
        <w:t xml:space="preserve"> </w:t>
      </w:r>
      <w:r w:rsidR="008616F7" w:rsidRPr="00C049AC">
        <w:rPr>
          <w:lang w:val="en-GB"/>
        </w:rPr>
        <w:t>(dec.)</w:t>
      </w:r>
      <w:r w:rsidR="008616F7">
        <w:rPr>
          <w:lang w:val="en-GB"/>
        </w:rPr>
        <w:t xml:space="preserve"> and</w:t>
      </w:r>
      <w:r w:rsidR="008616F7" w:rsidRPr="00E83D8A">
        <w:rPr>
          <w:lang w:val="en-GB"/>
        </w:rPr>
        <w:t xml:space="preserve"> </w:t>
      </w:r>
      <w:r w:rsidR="008616F7" w:rsidRPr="00E83D8A">
        <w:rPr>
          <w:i/>
          <w:lang w:val="en-GB"/>
        </w:rPr>
        <w:t>Ķipēns v. Latvia</w:t>
      </w:r>
      <w:r w:rsidR="008616F7" w:rsidRPr="00E83D8A">
        <w:rPr>
          <w:lang w:val="en-GB"/>
        </w:rPr>
        <w:t xml:space="preserve"> (dec.)</w:t>
      </w:r>
      <w:r w:rsidR="008616F7">
        <w:rPr>
          <w:lang w:val="en-GB"/>
        </w:rPr>
        <w:t>, both cited above</w:t>
      </w:r>
      <w:r w:rsidR="008616F7" w:rsidRPr="00E83D8A">
        <w:rPr>
          <w:lang w:val="en-GB"/>
        </w:rPr>
        <w:t xml:space="preserve">. In those cases </w:t>
      </w:r>
      <w:r w:rsidR="008616F7" w:rsidRPr="00E83D8A">
        <w:rPr>
          <w:rStyle w:val="sb8d990e2"/>
        </w:rPr>
        <w:t>the applicants did not appeal against any of the lower court</w:t>
      </w:r>
      <w:r w:rsidR="000C06B1">
        <w:rPr>
          <w:rStyle w:val="sb8d990e2"/>
        </w:rPr>
        <w:t>’</w:t>
      </w:r>
      <w:r w:rsidR="008616F7" w:rsidRPr="00E83D8A">
        <w:rPr>
          <w:rStyle w:val="sb8d990e2"/>
        </w:rPr>
        <w:t>s decisions to the appellate court. In th</w:t>
      </w:r>
      <w:r w:rsidR="00375A2B">
        <w:rPr>
          <w:rStyle w:val="sb8d990e2"/>
        </w:rPr>
        <w:t>e applicant</w:t>
      </w:r>
      <w:r w:rsidR="000C06B1">
        <w:rPr>
          <w:rStyle w:val="sb8d990e2"/>
        </w:rPr>
        <w:t>’</w:t>
      </w:r>
      <w:r w:rsidR="00375A2B">
        <w:rPr>
          <w:rStyle w:val="sb8d990e2"/>
        </w:rPr>
        <w:t xml:space="preserve">s case, however, the </w:t>
      </w:r>
      <w:r w:rsidR="008616F7" w:rsidRPr="00E83D8A">
        <w:rPr>
          <w:rStyle w:val="sb8d990e2"/>
        </w:rPr>
        <w:t xml:space="preserve">Court has already established that from </w:t>
      </w:r>
      <w:r w:rsidR="008616F7" w:rsidRPr="00E83D8A">
        <w:rPr>
          <w:lang w:val="en-GB"/>
        </w:rPr>
        <w:t xml:space="preserve">21 August to 13 September 2006 </w:t>
      </w:r>
      <w:r w:rsidR="008616F7" w:rsidRPr="00E83D8A">
        <w:rPr>
          <w:rStyle w:val="sb8d990e2"/>
        </w:rPr>
        <w:t xml:space="preserve">there was no </w:t>
      </w:r>
      <w:r w:rsidR="00764A60">
        <w:rPr>
          <w:rStyle w:val="sb8d990e2"/>
        </w:rPr>
        <w:t>detention order</w:t>
      </w:r>
      <w:r w:rsidR="008616F7" w:rsidRPr="00E83D8A">
        <w:rPr>
          <w:rStyle w:val="sb8d990e2"/>
        </w:rPr>
        <w:t xml:space="preserve"> to appeal against, whereas</w:t>
      </w:r>
      <w:r w:rsidR="008616F7">
        <w:rPr>
          <w:rStyle w:val="sb8d990e2"/>
        </w:rPr>
        <w:t xml:space="preserve"> the applicant has exercised his right to appeal against th</w:t>
      </w:r>
      <w:r w:rsidR="00764A60">
        <w:rPr>
          <w:rStyle w:val="sb8d990e2"/>
        </w:rPr>
        <w:t>e detention order adopted on 13 September </w:t>
      </w:r>
      <w:r w:rsidR="008616F7">
        <w:rPr>
          <w:rStyle w:val="sb8d990e2"/>
        </w:rPr>
        <w:t>2006</w:t>
      </w:r>
      <w:r w:rsidR="008616F7" w:rsidRPr="00E83D8A">
        <w:rPr>
          <w:rStyle w:val="sb8d990e2"/>
        </w:rPr>
        <w:t xml:space="preserve"> (see paragraph</w:t>
      </w:r>
      <w:r w:rsidR="008616F7">
        <w:rPr>
          <w:rStyle w:val="sb8d990e2"/>
        </w:rPr>
        <w:t> </w:t>
      </w:r>
      <w:r w:rsidR="008616F7" w:rsidRPr="00E83D8A">
        <w:rPr>
          <w:rStyle w:val="sb8d990e2"/>
        </w:rPr>
        <w:fldChar w:fldCharType="begin"/>
      </w:r>
      <w:r w:rsidR="008616F7" w:rsidRPr="00E83D8A">
        <w:rPr>
          <w:rStyle w:val="sb8d990e2"/>
        </w:rPr>
        <w:instrText xml:space="preserve"> REF Dec13092006 \h </w:instrText>
      </w:r>
      <w:r w:rsidR="008616F7">
        <w:rPr>
          <w:rStyle w:val="sb8d990e2"/>
        </w:rPr>
        <w:instrText xml:space="preserve"> \* MERGEFORMAT </w:instrText>
      </w:r>
      <w:r w:rsidR="008616F7" w:rsidRPr="00E83D8A">
        <w:rPr>
          <w:rStyle w:val="sb8d990e2"/>
        </w:rPr>
      </w:r>
      <w:r w:rsidR="008616F7" w:rsidRPr="00E83D8A">
        <w:rPr>
          <w:rStyle w:val="sb8d990e2"/>
        </w:rPr>
        <w:fldChar w:fldCharType="separate"/>
      </w:r>
      <w:r w:rsidR="00657757">
        <w:rPr>
          <w:noProof/>
        </w:rPr>
        <w:t>14</w:t>
      </w:r>
      <w:r w:rsidR="008616F7" w:rsidRPr="00E83D8A">
        <w:rPr>
          <w:rStyle w:val="sb8d990e2"/>
        </w:rPr>
        <w:fldChar w:fldCharType="end"/>
      </w:r>
      <w:r w:rsidR="008616F7" w:rsidRPr="00E83D8A">
        <w:rPr>
          <w:rStyle w:val="sb8d990e2"/>
        </w:rPr>
        <w:t xml:space="preserve"> above). </w:t>
      </w:r>
      <w:r w:rsidR="008616F7">
        <w:rPr>
          <w:rStyle w:val="sb8d990e2"/>
        </w:rPr>
        <w:t>Thus the</w:t>
      </w:r>
      <w:r w:rsidR="008616F7" w:rsidRPr="00E83D8A">
        <w:rPr>
          <w:rStyle w:val="sb8d990e2"/>
        </w:rPr>
        <w:t xml:space="preserve"> argument</w:t>
      </w:r>
      <w:r w:rsidR="008616F7">
        <w:rPr>
          <w:rStyle w:val="sb8d990e2"/>
        </w:rPr>
        <w:t xml:space="preserve"> put forward by the Government</w:t>
      </w:r>
      <w:r w:rsidR="008616F7" w:rsidRPr="00E83D8A">
        <w:rPr>
          <w:rStyle w:val="sb8d990e2"/>
        </w:rPr>
        <w:t xml:space="preserve"> shall also be dismissed.</w:t>
      </w:r>
    </w:p>
    <w:p w:rsidR="00764A60" w:rsidRDefault="00764A60" w:rsidP="00764A60">
      <w:pPr>
        <w:pStyle w:val="ECHRPara"/>
        <w:rPr>
          <w:szCs w:val="24"/>
        </w:rPr>
      </w:pPr>
      <w:r>
        <w:rPr>
          <w:rStyle w:val="sb8d990e2"/>
        </w:rPr>
        <w:fldChar w:fldCharType="begin"/>
      </w:r>
      <w:r>
        <w:rPr>
          <w:rStyle w:val="sb8d990e2"/>
        </w:rPr>
        <w:instrText xml:space="preserve"> SEQ level0 \*arabic </w:instrText>
      </w:r>
      <w:r>
        <w:rPr>
          <w:rStyle w:val="sb8d990e2"/>
        </w:rPr>
        <w:fldChar w:fldCharType="separate"/>
      </w:r>
      <w:r w:rsidR="00657757">
        <w:rPr>
          <w:rStyle w:val="sb8d990e2"/>
          <w:noProof/>
        </w:rPr>
        <w:t>54</w:t>
      </w:r>
      <w:r>
        <w:rPr>
          <w:rStyle w:val="sb8d990e2"/>
        </w:rPr>
        <w:fldChar w:fldCharType="end"/>
      </w:r>
      <w:r>
        <w:rPr>
          <w:rStyle w:val="sb8d990e2"/>
        </w:rPr>
        <w:t>.  </w:t>
      </w:r>
      <w:r w:rsidR="00C611E5" w:rsidRPr="00E83D8A">
        <w:rPr>
          <w:rStyle w:val="sb8d990e2"/>
        </w:rPr>
        <w:t xml:space="preserve">Turning </w:t>
      </w:r>
      <w:r w:rsidR="00C611E5" w:rsidRPr="003B640C">
        <w:rPr>
          <w:rStyle w:val="sb8d990e2"/>
        </w:rPr>
        <w:t xml:space="preserve">next to the </w:t>
      </w:r>
      <w:r w:rsidR="003B640C" w:rsidRPr="003B640C">
        <w:rPr>
          <w:rStyle w:val="sb8d990e2"/>
        </w:rPr>
        <w:t xml:space="preserve">impugned </w:t>
      </w:r>
      <w:r w:rsidR="00C611E5" w:rsidRPr="003B640C">
        <w:rPr>
          <w:rStyle w:val="sb8d990e2"/>
        </w:rPr>
        <w:t>decision</w:t>
      </w:r>
      <w:r w:rsidR="003B640C">
        <w:rPr>
          <w:rStyle w:val="sb8d990e2"/>
        </w:rPr>
        <w:t xml:space="preserve"> of 13 September </w:t>
      </w:r>
      <w:r w:rsidR="003B640C" w:rsidRPr="003B640C">
        <w:rPr>
          <w:rStyle w:val="sb8d990e2"/>
        </w:rPr>
        <w:t>2006</w:t>
      </w:r>
      <w:r w:rsidR="00C611E5" w:rsidRPr="003B640C">
        <w:rPr>
          <w:rStyle w:val="sb8d990e2"/>
        </w:rPr>
        <w:t>,</w:t>
      </w:r>
      <w:r w:rsidR="003D181D" w:rsidRPr="003B640C">
        <w:rPr>
          <w:rStyle w:val="sb8d990e2"/>
        </w:rPr>
        <w:t xml:space="preserve"> the Court observes that it d</w:t>
      </w:r>
      <w:r w:rsidR="003B640C">
        <w:rPr>
          <w:rStyle w:val="sb8d990e2"/>
        </w:rPr>
        <w:t>id not contain</w:t>
      </w:r>
      <w:r w:rsidR="003B640C" w:rsidRPr="003B640C">
        <w:rPr>
          <w:rStyle w:val="sb8d990e2"/>
        </w:rPr>
        <w:t xml:space="preserve"> any reason</w:t>
      </w:r>
      <w:r w:rsidR="003D181D" w:rsidRPr="003B640C">
        <w:rPr>
          <w:rStyle w:val="sb8d990e2"/>
        </w:rPr>
        <w:t xml:space="preserve">ing and merely stated that the applicant should be remained in detention. </w:t>
      </w:r>
      <w:r w:rsidR="003D181D" w:rsidRPr="003B640C">
        <w:t xml:space="preserve">It must be noted </w:t>
      </w:r>
      <w:r w:rsidR="00214FAC">
        <w:t>that the criminal case at issue</w:t>
      </w:r>
      <w:r w:rsidR="003D181D" w:rsidRPr="003B640C">
        <w:t xml:space="preserve"> did not contain complex issues and the applicant, who suffered from mental health problems, confessed to the thefts and when the court finally lifted the </w:t>
      </w:r>
      <w:r w:rsidR="003D181D" w:rsidRPr="003B640C">
        <w:rPr>
          <w:szCs w:val="24"/>
        </w:rPr>
        <w:t xml:space="preserve">detention order, the prosecutor also supported changing the detention </w:t>
      </w:r>
      <w:r w:rsidR="003D181D" w:rsidRPr="007E047B">
        <w:rPr>
          <w:szCs w:val="24"/>
        </w:rPr>
        <w:t>measure (</w:t>
      </w:r>
      <w:r w:rsidR="003B640C" w:rsidRPr="007E047B">
        <w:rPr>
          <w:szCs w:val="24"/>
        </w:rPr>
        <w:t>see</w:t>
      </w:r>
      <w:r w:rsidR="007E047B" w:rsidRPr="007E047B">
        <w:rPr>
          <w:szCs w:val="24"/>
        </w:rPr>
        <w:t xml:space="preserve"> paragraph </w:t>
      </w:r>
      <w:r w:rsidR="007E047B" w:rsidRPr="007E047B">
        <w:rPr>
          <w:szCs w:val="24"/>
        </w:rPr>
        <w:fldChar w:fldCharType="begin"/>
      </w:r>
      <w:r w:rsidR="007E047B" w:rsidRPr="007E047B">
        <w:rPr>
          <w:szCs w:val="24"/>
        </w:rPr>
        <w:instrText xml:space="preserve"> REF revoke_det_oct06 \h </w:instrText>
      </w:r>
      <w:r w:rsidR="007E047B">
        <w:rPr>
          <w:szCs w:val="24"/>
        </w:rPr>
        <w:instrText xml:space="preserve"> \* MERGEFORMAT </w:instrText>
      </w:r>
      <w:r w:rsidR="007E047B" w:rsidRPr="007E047B">
        <w:rPr>
          <w:szCs w:val="24"/>
        </w:rPr>
      </w:r>
      <w:r w:rsidR="007E047B" w:rsidRPr="007E047B">
        <w:rPr>
          <w:szCs w:val="24"/>
        </w:rPr>
        <w:fldChar w:fldCharType="separate"/>
      </w:r>
      <w:r w:rsidR="00657757">
        <w:rPr>
          <w:noProof/>
        </w:rPr>
        <w:t>16</w:t>
      </w:r>
      <w:r w:rsidR="007E047B" w:rsidRPr="007E047B">
        <w:rPr>
          <w:szCs w:val="24"/>
        </w:rPr>
        <w:fldChar w:fldCharType="end"/>
      </w:r>
      <w:r w:rsidR="007E047B" w:rsidRPr="007E047B">
        <w:rPr>
          <w:szCs w:val="24"/>
        </w:rPr>
        <w:t xml:space="preserve"> </w:t>
      </w:r>
      <w:r w:rsidR="003D181D" w:rsidRPr="007E047B">
        <w:rPr>
          <w:szCs w:val="24"/>
        </w:rPr>
        <w:t>above).</w:t>
      </w:r>
    </w:p>
    <w:p w:rsidR="00764A60" w:rsidRPr="00764A60" w:rsidRDefault="00764A60" w:rsidP="00764A60">
      <w:pPr>
        <w:pStyle w:val="ECHRPara"/>
        <w:rPr>
          <w:szCs w:val="24"/>
        </w:rPr>
      </w:pPr>
      <w:r>
        <w:rPr>
          <w:szCs w:val="24"/>
        </w:rPr>
        <w:fldChar w:fldCharType="begin"/>
      </w:r>
      <w:r>
        <w:rPr>
          <w:szCs w:val="24"/>
        </w:rPr>
        <w:instrText xml:space="preserve"> SEQ level0 \*arabic </w:instrText>
      </w:r>
      <w:r>
        <w:rPr>
          <w:szCs w:val="24"/>
        </w:rPr>
        <w:fldChar w:fldCharType="separate"/>
      </w:r>
      <w:r w:rsidR="00657757">
        <w:rPr>
          <w:noProof/>
          <w:szCs w:val="24"/>
        </w:rPr>
        <w:t>55</w:t>
      </w:r>
      <w:r>
        <w:rPr>
          <w:szCs w:val="24"/>
        </w:rPr>
        <w:fldChar w:fldCharType="end"/>
      </w:r>
      <w:r>
        <w:rPr>
          <w:szCs w:val="24"/>
        </w:rPr>
        <w:t>.  </w:t>
      </w:r>
      <w:r>
        <w:rPr>
          <w:lang w:val="en-GB"/>
        </w:rPr>
        <w:t xml:space="preserve">The above circumstances lead the Court to the conclusion that the </w:t>
      </w:r>
      <w:r w:rsidRPr="00764A60">
        <w:rPr>
          <w:szCs w:val="24"/>
        </w:rPr>
        <w:t xml:space="preserve">period to be taken into consideration for the purposes of Article 5 § 3 of the Convention was </w:t>
      </w:r>
      <w:r w:rsidR="007821FF">
        <w:rPr>
          <w:szCs w:val="24"/>
        </w:rPr>
        <w:t>nearly 5 months, out of which for</w:t>
      </w:r>
      <w:r w:rsidRPr="00764A60">
        <w:rPr>
          <w:szCs w:val="24"/>
        </w:rPr>
        <w:t xml:space="preserve"> more than a month the </w:t>
      </w:r>
      <w:r w:rsidRPr="00764A60">
        <w:rPr>
          <w:rStyle w:val="sb8d990e2"/>
          <w:szCs w:val="24"/>
        </w:rPr>
        <w:t>judicial authorities failed to give any grounds in their decision authorizing the applicant</w:t>
      </w:r>
      <w:r w:rsidR="000C06B1">
        <w:rPr>
          <w:rStyle w:val="sb8d990e2"/>
          <w:szCs w:val="24"/>
        </w:rPr>
        <w:t>’</w:t>
      </w:r>
      <w:r w:rsidRPr="00764A60">
        <w:rPr>
          <w:rStyle w:val="sb8d990e2"/>
          <w:szCs w:val="24"/>
        </w:rPr>
        <w:t>s detention.</w:t>
      </w:r>
      <w:r>
        <w:rPr>
          <w:szCs w:val="24"/>
        </w:rPr>
        <w:t xml:space="preserve"> </w:t>
      </w:r>
      <w:r w:rsidRPr="00764A60">
        <w:t xml:space="preserve">In this respect the Court refers to its well established case-law according to which </w:t>
      </w:r>
      <w:r w:rsidRPr="00764A60">
        <w:rPr>
          <w:rStyle w:val="sb8d990e2"/>
        </w:rPr>
        <w:t>the persistence of a reasonable</w:t>
      </w:r>
      <w:r>
        <w:rPr>
          <w:rStyle w:val="sb8d990e2"/>
        </w:rPr>
        <w:t xml:space="preserve"> suspicion that the person arrested has committed an offence is a condition </w:t>
      </w:r>
      <w:r w:rsidRPr="008616F7">
        <w:rPr>
          <w:rStyle w:val="wordhighlighted"/>
          <w:i/>
        </w:rPr>
        <w:t>sine qua</w:t>
      </w:r>
      <w:r w:rsidRPr="008616F7">
        <w:rPr>
          <w:rStyle w:val="s6b621b36"/>
          <w:i/>
        </w:rPr>
        <w:t xml:space="preserve"> non</w:t>
      </w:r>
      <w:r>
        <w:rPr>
          <w:rStyle w:val="sb8d990e2"/>
        </w:rPr>
        <w:t xml:space="preserve"> for the lawfulness of the continued detention, but after a certain lapse of time it no longer suffices (</w:t>
      </w:r>
      <w:r w:rsidRPr="00081659">
        <w:rPr>
          <w:i/>
          <w:szCs w:val="24"/>
          <w:lang w:val="en-GB"/>
        </w:rPr>
        <w:t>Estrikh v. Latvia</w:t>
      </w:r>
      <w:r>
        <w:rPr>
          <w:szCs w:val="24"/>
          <w:lang w:val="en-GB"/>
        </w:rPr>
        <w:t>, no. 73819/01, § 120</w:t>
      </w:r>
      <w:r w:rsidRPr="00081659">
        <w:rPr>
          <w:szCs w:val="24"/>
          <w:lang w:val="en-GB"/>
        </w:rPr>
        <w:t>, 18 January 2007</w:t>
      </w:r>
      <w:r>
        <w:rPr>
          <w:szCs w:val="24"/>
          <w:lang w:val="en-GB"/>
        </w:rPr>
        <w:t xml:space="preserve">). Furthermore, </w:t>
      </w:r>
      <w:r>
        <w:t xml:space="preserve">the </w:t>
      </w:r>
      <w:r>
        <w:rPr>
          <w:rStyle w:val="sb8d990e2"/>
        </w:rPr>
        <w:t xml:space="preserve">justification for any period of detention, no matter how short, must be convincingly demonstrated by the authorities (see </w:t>
      </w:r>
      <w:r w:rsidRPr="00081659">
        <w:rPr>
          <w:i/>
          <w:lang w:val="en-GB"/>
        </w:rPr>
        <w:t>Belchev v. Bulgaria</w:t>
      </w:r>
      <w:r w:rsidRPr="00081659">
        <w:rPr>
          <w:iCs/>
          <w:lang w:val="en-GB"/>
        </w:rPr>
        <w:t xml:space="preserve">, </w:t>
      </w:r>
      <w:r>
        <w:rPr>
          <w:lang w:val="en-GB"/>
        </w:rPr>
        <w:t>no. 39270/98, § 82</w:t>
      </w:r>
      <w:r w:rsidRPr="00081659">
        <w:rPr>
          <w:lang w:val="en-GB"/>
        </w:rPr>
        <w:t>, 8 April 2004</w:t>
      </w:r>
      <w:r>
        <w:rPr>
          <w:lang w:val="en-GB"/>
        </w:rPr>
        <w:t xml:space="preserve">; </w:t>
      </w:r>
      <w:r w:rsidRPr="00B668D2">
        <w:rPr>
          <w:i/>
          <w:szCs w:val="24"/>
          <w:lang w:val="en-GB"/>
        </w:rPr>
        <w:t>Sarban v. Moldova</w:t>
      </w:r>
      <w:r>
        <w:rPr>
          <w:szCs w:val="24"/>
          <w:lang w:val="en-GB"/>
        </w:rPr>
        <w:t>, no. 3456/05, § 97</w:t>
      </w:r>
      <w:r w:rsidRPr="00B668D2">
        <w:rPr>
          <w:szCs w:val="24"/>
          <w:lang w:val="en-GB"/>
        </w:rPr>
        <w:t>,</w:t>
      </w:r>
      <w:r w:rsidRPr="00B668D2">
        <w:rPr>
          <w:lang w:val="en-GB"/>
        </w:rPr>
        <w:t xml:space="preserve"> 4 October 2005</w:t>
      </w:r>
      <w:r>
        <w:rPr>
          <w:lang w:val="en-GB"/>
        </w:rPr>
        <w:t>), which was not the case in the particular circumstances.</w:t>
      </w:r>
    </w:p>
    <w:p w:rsidR="003D181D" w:rsidRPr="003D181D" w:rsidRDefault="003D181D" w:rsidP="003D181D">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56</w:t>
      </w:r>
      <w:r>
        <w:rPr>
          <w:lang w:val="en-GB"/>
        </w:rPr>
        <w:fldChar w:fldCharType="end"/>
      </w:r>
      <w:r>
        <w:rPr>
          <w:lang w:val="en-GB"/>
        </w:rPr>
        <w:t>.  </w:t>
      </w:r>
      <w:r w:rsidRPr="00062973">
        <w:rPr>
          <w:lang w:val="en-GB"/>
        </w:rPr>
        <w:t xml:space="preserve">The foregoing considerations are sufficient to enable the Court to conclude that </w:t>
      </w:r>
      <w:r w:rsidRPr="003D181D">
        <w:rPr>
          <w:rStyle w:val="sb8d990e2"/>
          <w:szCs w:val="24"/>
        </w:rPr>
        <w:t>the authori</w:t>
      </w:r>
      <w:r>
        <w:rPr>
          <w:rStyle w:val="sb8d990e2"/>
          <w:szCs w:val="24"/>
        </w:rPr>
        <w:t>ties have failed to justify</w:t>
      </w:r>
      <w:r w:rsidRPr="003D181D">
        <w:rPr>
          <w:rStyle w:val="sb8d990e2"/>
          <w:szCs w:val="24"/>
        </w:rPr>
        <w:t xml:space="preserve"> the applicant</w:t>
      </w:r>
      <w:r w:rsidR="000C06B1">
        <w:rPr>
          <w:rStyle w:val="sb8d990e2"/>
          <w:szCs w:val="24"/>
        </w:rPr>
        <w:t>’</w:t>
      </w:r>
      <w:r w:rsidRPr="003D181D">
        <w:rPr>
          <w:rStyle w:val="sb8d990e2"/>
          <w:szCs w:val="24"/>
        </w:rPr>
        <w:t>s detention on remand</w:t>
      </w:r>
      <w:r w:rsidR="008616F7">
        <w:rPr>
          <w:rStyle w:val="sb8d990e2"/>
          <w:szCs w:val="24"/>
        </w:rPr>
        <w:t xml:space="preserve"> at least</w:t>
      </w:r>
      <w:r w:rsidR="00764A60">
        <w:rPr>
          <w:rStyle w:val="sb8d990e2"/>
          <w:szCs w:val="24"/>
        </w:rPr>
        <w:t xml:space="preserve"> from </w:t>
      </w:r>
      <w:r w:rsidR="000F59E6">
        <w:rPr>
          <w:rStyle w:val="sb8d990e2"/>
          <w:szCs w:val="24"/>
        </w:rPr>
        <w:t>21 </w:t>
      </w:r>
      <w:r w:rsidR="00764A60">
        <w:rPr>
          <w:rStyle w:val="sb8d990e2"/>
          <w:szCs w:val="24"/>
        </w:rPr>
        <w:t>August 2006 until the applicant</w:t>
      </w:r>
      <w:r w:rsidR="000C06B1">
        <w:rPr>
          <w:rStyle w:val="sb8d990e2"/>
          <w:szCs w:val="24"/>
        </w:rPr>
        <w:t>’</w:t>
      </w:r>
      <w:r w:rsidR="00764A60">
        <w:rPr>
          <w:rStyle w:val="sb8d990e2"/>
          <w:szCs w:val="24"/>
        </w:rPr>
        <w:t>s release on 17 October 2006,</w:t>
      </w:r>
      <w:r w:rsidR="008616F7">
        <w:rPr>
          <w:rStyle w:val="sb8d990e2"/>
          <w:szCs w:val="24"/>
        </w:rPr>
        <w:t xml:space="preserve"> </w:t>
      </w:r>
      <w:r>
        <w:rPr>
          <w:rStyle w:val="sb8d990e2"/>
        </w:rPr>
        <w:t xml:space="preserve">which is incompatible with the principle of the protection from arbitrariness </w:t>
      </w:r>
      <w:r w:rsidRPr="00395E61">
        <w:rPr>
          <w:rStyle w:val="sb8d990e2"/>
        </w:rPr>
        <w:t>enshrined in Article</w:t>
      </w:r>
      <w:r w:rsidR="00376BE8" w:rsidRPr="00395E61">
        <w:rPr>
          <w:rStyle w:val="sb8d990e2"/>
        </w:rPr>
        <w:t xml:space="preserve"> 5 § </w:t>
      </w:r>
      <w:r w:rsidRPr="00395E61">
        <w:rPr>
          <w:rStyle w:val="sb8d990e2"/>
        </w:rPr>
        <w:t>1</w:t>
      </w:r>
      <w:r w:rsidR="00376BE8" w:rsidRPr="00395E61">
        <w:rPr>
          <w:rStyle w:val="sb8d990e2"/>
        </w:rPr>
        <w:t> (c)</w:t>
      </w:r>
      <w:r w:rsidRPr="00395E61">
        <w:rPr>
          <w:rStyle w:val="sb8d990e2"/>
          <w:szCs w:val="24"/>
        </w:rPr>
        <w:t xml:space="preserve">, to whom </w:t>
      </w:r>
      <w:r w:rsidR="000F59E6" w:rsidRPr="00395E61">
        <w:rPr>
          <w:rStyle w:val="sb8d990e2"/>
          <w:szCs w:val="24"/>
        </w:rPr>
        <w:t>Article 5 </w:t>
      </w:r>
      <w:r w:rsidR="000F59E6" w:rsidRPr="00395E61">
        <w:rPr>
          <w:rStyle w:val="sb8d990e2"/>
          <w:rFonts w:cstheme="minorHAnsi"/>
          <w:szCs w:val="24"/>
        </w:rPr>
        <w:t>§ </w:t>
      </w:r>
      <w:r w:rsidRPr="00395E61">
        <w:rPr>
          <w:rStyle w:val="sb8d990e2"/>
          <w:szCs w:val="24"/>
        </w:rPr>
        <w:t xml:space="preserve">3 </w:t>
      </w:r>
      <w:r w:rsidR="000F59E6" w:rsidRPr="00395E61">
        <w:rPr>
          <w:rStyle w:val="sb8d990e2"/>
          <w:szCs w:val="24"/>
        </w:rPr>
        <w:t>has close affinity.</w:t>
      </w:r>
      <w:r w:rsidRPr="00395E61">
        <w:rPr>
          <w:rStyle w:val="sb8d990e2"/>
          <w:szCs w:val="24"/>
        </w:rPr>
        <w:t xml:space="preserve"> In those</w:t>
      </w:r>
      <w:r w:rsidRPr="003D181D">
        <w:rPr>
          <w:rStyle w:val="sb8d990e2"/>
          <w:szCs w:val="24"/>
        </w:rPr>
        <w:t xml:space="preserve"> circumstances it is not necessary to examine whether the proceedings were conducted with due diligence (</w:t>
      </w:r>
      <w:r w:rsidR="00395E61">
        <w:rPr>
          <w:rStyle w:val="sb8d990e2"/>
          <w:szCs w:val="24"/>
        </w:rPr>
        <w:t xml:space="preserve">see </w:t>
      </w:r>
      <w:r w:rsidR="0063659B">
        <w:rPr>
          <w:i/>
          <w:lang w:val="en-GB"/>
        </w:rPr>
        <w:t>Belchev v. </w:t>
      </w:r>
      <w:r w:rsidR="00395E61" w:rsidRPr="00081659">
        <w:rPr>
          <w:i/>
          <w:lang w:val="en-GB"/>
        </w:rPr>
        <w:t>Bulgaria</w:t>
      </w:r>
      <w:r w:rsidR="00395E61" w:rsidRPr="00081659">
        <w:rPr>
          <w:iCs/>
          <w:lang w:val="en-GB"/>
        </w:rPr>
        <w:t xml:space="preserve">, </w:t>
      </w:r>
      <w:r w:rsidR="00274D9F">
        <w:rPr>
          <w:iCs/>
          <w:lang w:val="en-GB"/>
        </w:rPr>
        <w:t>cited above</w:t>
      </w:r>
      <w:r w:rsidR="00395E61">
        <w:rPr>
          <w:lang w:val="en-GB"/>
        </w:rPr>
        <w:t>, § 81</w:t>
      </w:r>
      <w:r w:rsidRPr="003D181D">
        <w:rPr>
          <w:rStyle w:val="sb8d990e2"/>
          <w:szCs w:val="24"/>
        </w:rPr>
        <w:t>)</w:t>
      </w:r>
      <w:r w:rsidR="00274D9F">
        <w:rPr>
          <w:rStyle w:val="sb8d990e2"/>
          <w:szCs w:val="24"/>
        </w:rPr>
        <w:t>.</w:t>
      </w:r>
    </w:p>
    <w:p w:rsidR="00CF0459" w:rsidRPr="00395E61" w:rsidRDefault="003D181D" w:rsidP="00395E61">
      <w:pPr>
        <w:pStyle w:val="ECHRPara"/>
        <w:rPr>
          <w:rStyle w:val="sb8d990e2"/>
          <w:lang w:val="en-GB"/>
        </w:rPr>
      </w:pPr>
      <w:r w:rsidRPr="00062973">
        <w:rPr>
          <w:lang w:val="en-GB"/>
        </w:rPr>
        <w:t xml:space="preserve">There has accordingly been a violation of Article </w:t>
      </w:r>
      <w:r w:rsidR="007821FF">
        <w:rPr>
          <w:lang w:val="en-GB"/>
        </w:rPr>
        <w:t>5 </w:t>
      </w:r>
      <w:r w:rsidR="007821FF">
        <w:rPr>
          <w:rFonts w:cstheme="minorHAnsi"/>
          <w:lang w:val="en-GB"/>
        </w:rPr>
        <w:t>§</w:t>
      </w:r>
      <w:r w:rsidR="007821FF">
        <w:rPr>
          <w:lang w:val="en-GB"/>
        </w:rPr>
        <w:t> 3</w:t>
      </w:r>
      <w:r w:rsidRPr="00062973">
        <w:rPr>
          <w:lang w:val="en-GB"/>
        </w:rPr>
        <w:t xml:space="preserve"> of the Convention.</w:t>
      </w:r>
    </w:p>
    <w:p w:rsidR="00014566" w:rsidRPr="00575BAE" w:rsidRDefault="00575BAE" w:rsidP="00014566">
      <w:pPr>
        <w:pStyle w:val="ECHRHeading1"/>
        <w:rPr>
          <w:lang w:val="en-GB"/>
        </w:rPr>
      </w:pPr>
      <w:r w:rsidRPr="00575BAE">
        <w:rPr>
          <w:lang w:val="en-GB"/>
        </w:rPr>
        <w:t>II</w:t>
      </w:r>
      <w:r w:rsidR="00014566" w:rsidRPr="00575BAE">
        <w:rPr>
          <w:lang w:val="en-GB"/>
        </w:rPr>
        <w:t>.  </w:t>
      </w:r>
      <w:r w:rsidR="006B3D4D" w:rsidRPr="00575BAE">
        <w:rPr>
          <w:rStyle w:val="sb8d990e2"/>
        </w:rPr>
        <w:t>REMAINDER OF THE APPLICATION</w:t>
      </w:r>
    </w:p>
    <w:p w:rsidR="006B3D4D" w:rsidRPr="00575BAE" w:rsidRDefault="007A3CCB" w:rsidP="006B3D4D">
      <w:pPr>
        <w:pStyle w:val="ECHRPara"/>
        <w:rPr>
          <w:lang w:val="en-GB"/>
        </w:rPr>
      </w:pPr>
      <w:r w:rsidRPr="00575BAE">
        <w:rPr>
          <w:lang w:val="en-GB"/>
        </w:rPr>
        <w:fldChar w:fldCharType="begin"/>
      </w:r>
      <w:r w:rsidRPr="00575BAE">
        <w:rPr>
          <w:lang w:val="en-GB"/>
        </w:rPr>
        <w:instrText xml:space="preserve"> SEQ level0 \*arabic </w:instrText>
      </w:r>
      <w:r w:rsidRPr="00575BAE">
        <w:rPr>
          <w:lang w:val="en-GB"/>
        </w:rPr>
        <w:fldChar w:fldCharType="separate"/>
      </w:r>
      <w:r w:rsidR="00657757">
        <w:rPr>
          <w:noProof/>
          <w:lang w:val="en-GB"/>
        </w:rPr>
        <w:t>57</w:t>
      </w:r>
      <w:r w:rsidRPr="00575BAE">
        <w:rPr>
          <w:lang w:val="en-GB"/>
        </w:rPr>
        <w:fldChar w:fldCharType="end"/>
      </w:r>
      <w:r w:rsidR="00014566" w:rsidRPr="00575BAE">
        <w:rPr>
          <w:lang w:val="en-GB"/>
        </w:rPr>
        <w:t xml:space="preserve">.  Lastly, the applicant </w:t>
      </w:r>
      <w:r w:rsidR="006B3D4D" w:rsidRPr="00575BAE">
        <w:rPr>
          <w:lang w:val="en-GB"/>
        </w:rPr>
        <w:t>complained of</w:t>
      </w:r>
      <w:r w:rsidR="00575BAE" w:rsidRPr="00575BAE">
        <w:rPr>
          <w:lang w:val="en-GB"/>
        </w:rPr>
        <w:t xml:space="preserve"> numerous</w:t>
      </w:r>
      <w:r w:rsidR="006B3D4D" w:rsidRPr="00575BAE">
        <w:rPr>
          <w:lang w:val="en-GB"/>
        </w:rPr>
        <w:t xml:space="preserve"> violations under Articles</w:t>
      </w:r>
      <w:r w:rsidR="00575BAE" w:rsidRPr="00575BAE">
        <w:rPr>
          <w:lang w:val="en-GB"/>
        </w:rPr>
        <w:t xml:space="preserve"> 3, 6, 8 of the Conven</w:t>
      </w:r>
      <w:r w:rsidR="0063659B">
        <w:rPr>
          <w:lang w:val="en-GB"/>
        </w:rPr>
        <w:t>tion and Article 1 of Protocol N</w:t>
      </w:r>
      <w:r w:rsidR="00575BAE" w:rsidRPr="00575BAE">
        <w:rPr>
          <w:lang w:val="en-GB"/>
        </w:rPr>
        <w:t>o</w:t>
      </w:r>
      <w:r w:rsidR="0063659B">
        <w:rPr>
          <w:lang w:val="en-GB"/>
        </w:rPr>
        <w:t>.</w:t>
      </w:r>
      <w:r w:rsidR="00575BAE" w:rsidRPr="00575BAE">
        <w:rPr>
          <w:lang w:val="en-GB"/>
        </w:rPr>
        <w:t> 1 to the Convention</w:t>
      </w:r>
      <w:r w:rsidR="006B3D4D" w:rsidRPr="00575BAE">
        <w:rPr>
          <w:lang w:val="en-GB"/>
        </w:rPr>
        <w:t>.</w:t>
      </w:r>
    </w:p>
    <w:p w:rsidR="006B3D4D" w:rsidRPr="006B3D4D" w:rsidRDefault="000C06B1" w:rsidP="006B3D4D">
      <w:pPr>
        <w:pStyle w:val="ECHRPara"/>
        <w:outlineLvl w:val="0"/>
      </w:pPr>
      <w:fldSimple w:instr=" SEQ level0 \*arabic ">
        <w:r w:rsidR="00657757">
          <w:rPr>
            <w:noProof/>
          </w:rPr>
          <w:t>58</w:t>
        </w:r>
      </w:fldSimple>
      <w:r w:rsidR="006B3D4D" w:rsidRPr="00575BAE">
        <w:t>.  In the light of all the material in its possession, and in so far as the matters complained of are within its competence, the Court considers that the remainder of the application</w:t>
      </w:r>
      <w:r w:rsidR="006B3D4D" w:rsidRPr="0058678D">
        <w:t xml:space="preserve"> does not disclose any appearance of a violation of any of the above Articles of the Convention. It follows that these complaints are inadmissible under Article 35 § 3 as manifestly ill-founded and must be rejected pursuant to A</w:t>
      </w:r>
      <w:r w:rsidR="006B3D4D">
        <w:t>rticle 35 § 4 of the Convention</w:t>
      </w:r>
    </w:p>
    <w:p w:rsidR="00014566" w:rsidRPr="00062973" w:rsidRDefault="00024E89" w:rsidP="00014566">
      <w:pPr>
        <w:pStyle w:val="ECHRHeading1"/>
        <w:rPr>
          <w:lang w:val="en-GB"/>
        </w:rPr>
      </w:pPr>
      <w:r w:rsidRPr="00375A2B">
        <w:rPr>
          <w:lang w:val="en-GB"/>
        </w:rPr>
        <w:t>III</w:t>
      </w:r>
      <w:r w:rsidR="00014566" w:rsidRPr="00375A2B">
        <w:rPr>
          <w:lang w:val="en-GB"/>
        </w:rPr>
        <w:t>.  APPLICATION OF ARTICLE 41 OF THE CONVENTION</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59</w:t>
      </w:r>
      <w:r>
        <w:rPr>
          <w:lang w:val="en-GB"/>
        </w:rPr>
        <w:fldChar w:fldCharType="end"/>
      </w:r>
      <w:r w:rsidR="00014566" w:rsidRPr="00062973">
        <w:rPr>
          <w:lang w:val="en-GB"/>
        </w:rPr>
        <w:t>.  Article 41 of the Convention provides:</w:t>
      </w:r>
    </w:p>
    <w:p w:rsidR="00014566" w:rsidRPr="00062973" w:rsidRDefault="00014566" w:rsidP="00014566">
      <w:pPr>
        <w:pStyle w:val="ECHRParaQuote"/>
        <w:keepNext/>
        <w:keepLines/>
        <w:rPr>
          <w:lang w:val="en-GB"/>
        </w:rPr>
      </w:pPr>
      <w:r w:rsidRPr="00062973">
        <w:rPr>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014566" w:rsidRPr="00062973" w:rsidRDefault="00014566" w:rsidP="00014566">
      <w:pPr>
        <w:pStyle w:val="ECHRHeading2"/>
        <w:keepLines w:val="0"/>
        <w:outlineLvl w:val="0"/>
        <w:rPr>
          <w:lang w:val="en-GB"/>
        </w:rPr>
      </w:pPr>
      <w:r w:rsidRPr="006B3D4D">
        <w:rPr>
          <w:lang w:val="en-GB"/>
        </w:rPr>
        <w:t>A.  Damage</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60</w:t>
      </w:r>
      <w:r>
        <w:rPr>
          <w:lang w:val="en-GB"/>
        </w:rPr>
        <w:fldChar w:fldCharType="end"/>
      </w:r>
      <w:r w:rsidR="00014566" w:rsidRPr="00062973">
        <w:rPr>
          <w:lang w:val="en-GB"/>
        </w:rPr>
        <w:t xml:space="preserve">.  The applicant claimed </w:t>
      </w:r>
      <w:r w:rsidR="004E16C2">
        <w:rPr>
          <w:lang w:val="en-GB"/>
        </w:rPr>
        <w:t xml:space="preserve">30,000 </w:t>
      </w:r>
      <w:r w:rsidR="00014566" w:rsidRPr="00062973">
        <w:rPr>
          <w:lang w:val="en-GB"/>
        </w:rPr>
        <w:t>euros (EUR) in respect of non-pecuniary damage.</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61</w:t>
      </w:r>
      <w:r>
        <w:rPr>
          <w:lang w:val="en-GB"/>
        </w:rPr>
        <w:fldChar w:fldCharType="end"/>
      </w:r>
      <w:r w:rsidR="004E16C2">
        <w:rPr>
          <w:lang w:val="en-GB"/>
        </w:rPr>
        <w:t>.  </w:t>
      </w:r>
      <w:r w:rsidR="004E16C2" w:rsidRPr="001B7B5E">
        <w:t>The Government disagreed with the claim.</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62</w:t>
      </w:r>
      <w:r>
        <w:rPr>
          <w:lang w:val="en-GB"/>
        </w:rPr>
        <w:fldChar w:fldCharType="end"/>
      </w:r>
      <w:r w:rsidR="00014566" w:rsidRPr="00062973">
        <w:rPr>
          <w:lang w:val="en-GB"/>
        </w:rPr>
        <w:t xml:space="preserve">.  The Court awards the </w:t>
      </w:r>
      <w:r w:rsidR="00014566" w:rsidRPr="00375A2B">
        <w:rPr>
          <w:lang w:val="en-GB"/>
        </w:rPr>
        <w:t xml:space="preserve">applicant </w:t>
      </w:r>
      <w:r w:rsidR="006D494D" w:rsidRPr="00375A2B">
        <w:rPr>
          <w:lang w:val="en-GB"/>
        </w:rPr>
        <w:t>EUR</w:t>
      </w:r>
      <w:r w:rsidR="00A20D1E" w:rsidRPr="00375A2B">
        <w:rPr>
          <w:lang w:val="en-GB"/>
        </w:rPr>
        <w:t> 3,250</w:t>
      </w:r>
      <w:r w:rsidR="006D494D" w:rsidRPr="00375A2B">
        <w:rPr>
          <w:lang w:val="en-GB"/>
        </w:rPr>
        <w:t xml:space="preserve"> </w:t>
      </w:r>
      <w:r w:rsidR="00014566" w:rsidRPr="00375A2B">
        <w:rPr>
          <w:lang w:val="en-GB"/>
        </w:rPr>
        <w:t>in respect</w:t>
      </w:r>
      <w:r w:rsidR="00014566" w:rsidRPr="00062973">
        <w:rPr>
          <w:lang w:val="en-GB"/>
        </w:rPr>
        <w:t xml:space="preserve"> of non-pecuniary damage.</w:t>
      </w:r>
    </w:p>
    <w:p w:rsidR="00014566" w:rsidRPr="00062973" w:rsidRDefault="00014566" w:rsidP="00014566">
      <w:pPr>
        <w:pStyle w:val="ECHRHeading2"/>
        <w:outlineLvl w:val="0"/>
        <w:rPr>
          <w:lang w:val="en-GB"/>
        </w:rPr>
      </w:pPr>
      <w:r w:rsidRPr="00062973">
        <w:rPr>
          <w:lang w:val="en-GB"/>
        </w:rPr>
        <w:t>B.  Costs and expenses</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63</w:t>
      </w:r>
      <w:r>
        <w:rPr>
          <w:lang w:val="en-GB"/>
        </w:rPr>
        <w:fldChar w:fldCharType="end"/>
      </w:r>
      <w:r w:rsidR="00014566" w:rsidRPr="00062973">
        <w:rPr>
          <w:lang w:val="en-GB"/>
        </w:rPr>
        <w:t>. </w:t>
      </w:r>
      <w:r w:rsidR="00560960">
        <w:rPr>
          <w:lang w:val="en-GB"/>
        </w:rPr>
        <w:t xml:space="preserve"> The applicant also claimed 300 </w:t>
      </w:r>
      <w:r w:rsidR="000F562A" w:rsidRPr="000F562A">
        <w:rPr>
          <w:lang w:val="en-GB"/>
        </w:rPr>
        <w:t xml:space="preserve">Latvian lati (LVL), </w:t>
      </w:r>
      <w:r w:rsidR="00560960">
        <w:rPr>
          <w:lang w:val="en-GB"/>
        </w:rPr>
        <w:t xml:space="preserve">(approximately </w:t>
      </w:r>
      <w:r w:rsidR="000F562A">
        <w:rPr>
          <w:lang w:val="en-GB"/>
        </w:rPr>
        <w:t xml:space="preserve">EUR </w:t>
      </w:r>
      <w:r w:rsidR="00560960">
        <w:rPr>
          <w:lang w:val="en-GB"/>
        </w:rPr>
        <w:t xml:space="preserve">427) </w:t>
      </w:r>
      <w:r w:rsidR="00014566" w:rsidRPr="00062973">
        <w:rPr>
          <w:lang w:val="en-GB"/>
        </w:rPr>
        <w:t>for the costs and expenses incurred before the domestic courts.</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64</w:t>
      </w:r>
      <w:r>
        <w:rPr>
          <w:lang w:val="en-GB"/>
        </w:rPr>
        <w:fldChar w:fldCharType="end"/>
      </w:r>
      <w:r w:rsidR="004E16C2">
        <w:rPr>
          <w:lang w:val="en-GB"/>
        </w:rPr>
        <w:t>.  </w:t>
      </w:r>
      <w:r w:rsidR="004E16C2" w:rsidRPr="001B7B5E">
        <w:t>The Government disagreed with the claim.</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65</w:t>
      </w:r>
      <w:r>
        <w:rPr>
          <w:lang w:val="en-GB"/>
        </w:rPr>
        <w:fldChar w:fldCharType="end"/>
      </w:r>
      <w:r w:rsidR="00014566" w:rsidRPr="00062973">
        <w:rPr>
          <w:lang w:val="en-GB"/>
        </w:rPr>
        <w:t>.  </w:t>
      </w:r>
      <w:r w:rsidRPr="00062973">
        <w:rPr>
          <w:lang w:val="en-GB"/>
        </w:rPr>
        <w:t>Regard</w:t>
      </w:r>
      <w:r w:rsidR="00014566" w:rsidRPr="00062973">
        <w:rPr>
          <w:lang w:val="en-GB"/>
        </w:rPr>
        <w:t xml:space="preserve"> being had to the documents in its possession and </w:t>
      </w:r>
      <w:r w:rsidRPr="00062973">
        <w:rPr>
          <w:lang w:val="en-GB"/>
        </w:rPr>
        <w:t>to its case-law</w:t>
      </w:r>
      <w:r w:rsidR="00014566" w:rsidRPr="00062973">
        <w:rPr>
          <w:lang w:val="en-GB"/>
        </w:rPr>
        <w:t>, the Court rejects the claim for costs and expenses in the domestic proceedings.</w:t>
      </w:r>
    </w:p>
    <w:p w:rsidR="00014566" w:rsidRPr="00062973" w:rsidRDefault="00014566" w:rsidP="00014566">
      <w:pPr>
        <w:pStyle w:val="ECHRHeading2"/>
        <w:outlineLvl w:val="0"/>
        <w:rPr>
          <w:lang w:val="en-GB"/>
        </w:rPr>
      </w:pPr>
      <w:r w:rsidRPr="00062973">
        <w:rPr>
          <w:lang w:val="en-GB"/>
        </w:rPr>
        <w:t>C.  Default interest</w:t>
      </w:r>
    </w:p>
    <w:p w:rsidR="00014566" w:rsidRPr="00062973" w:rsidRDefault="007A3CCB" w:rsidP="00C621C2">
      <w:pPr>
        <w:pStyle w:val="ECHRPara"/>
        <w:rPr>
          <w:lang w:val="en-GB"/>
        </w:rPr>
      </w:pPr>
      <w:r>
        <w:rPr>
          <w:lang w:val="en-GB"/>
        </w:rPr>
        <w:fldChar w:fldCharType="begin"/>
      </w:r>
      <w:r>
        <w:rPr>
          <w:lang w:val="en-GB"/>
        </w:rPr>
        <w:instrText xml:space="preserve"> SEQ level0 \*arabic </w:instrText>
      </w:r>
      <w:r>
        <w:rPr>
          <w:lang w:val="en-GB"/>
        </w:rPr>
        <w:fldChar w:fldCharType="separate"/>
      </w:r>
      <w:r w:rsidR="00657757">
        <w:rPr>
          <w:noProof/>
          <w:lang w:val="en-GB"/>
        </w:rPr>
        <w:t>66</w:t>
      </w:r>
      <w:r>
        <w:rPr>
          <w:lang w:val="en-GB"/>
        </w:rPr>
        <w:fldChar w:fldCharType="end"/>
      </w:r>
      <w:r w:rsidR="00014566" w:rsidRPr="00062973">
        <w:rPr>
          <w:lang w:val="en-GB"/>
        </w:rPr>
        <w:t>.  The Court considers it appropriate that the default interest rate should be based on the marginal lending rate of the European Central Bank, to which should be added three percentage points.</w:t>
      </w:r>
    </w:p>
    <w:p w:rsidR="00014566" w:rsidRPr="00062973" w:rsidRDefault="00BB5883" w:rsidP="00014566">
      <w:pPr>
        <w:pStyle w:val="ECHRTitle1"/>
        <w:rPr>
          <w:lang w:val="en-GB"/>
        </w:rPr>
      </w:pPr>
      <w:r w:rsidRPr="00082D47">
        <w:rPr>
          <w:lang w:val="en-GB"/>
        </w:rPr>
        <w:t>FOR THESE REASONS, THE COURT</w:t>
      </w:r>
      <w:r w:rsidR="00082D47">
        <w:rPr>
          <w:rFonts w:ascii="Times New Roman" w:eastAsiaTheme="minorHAnsi" w:hAnsi="Times New Roman" w:cs="Times New Roman"/>
          <w:color w:val="000000"/>
          <w:szCs w:val="28"/>
        </w:rPr>
        <w:t>,</w:t>
      </w:r>
      <w:r w:rsidR="0076670D">
        <w:rPr>
          <w:rFonts w:ascii="Times New Roman" w:eastAsiaTheme="minorHAnsi" w:hAnsi="Times New Roman" w:cs="Times New Roman"/>
          <w:color w:val="000000"/>
          <w:szCs w:val="28"/>
        </w:rPr>
        <w:t xml:space="preserve"> </w:t>
      </w:r>
      <w:r w:rsidR="00874795" w:rsidRPr="00082D47">
        <w:rPr>
          <w:rFonts w:ascii="Times New Roman" w:eastAsiaTheme="minorHAnsi" w:hAnsi="Times New Roman" w:cs="Times New Roman"/>
          <w:color w:val="000000"/>
          <w:szCs w:val="28"/>
        </w:rPr>
        <w:t>UNANIMOUSLY</w:t>
      </w:r>
      <w:r w:rsidR="00082D47">
        <w:rPr>
          <w:rFonts w:ascii="Times New Roman" w:eastAsiaTheme="minorHAnsi" w:hAnsi="Times New Roman" w:cs="Times New Roman"/>
          <w:color w:val="000000"/>
          <w:szCs w:val="28"/>
        </w:rPr>
        <w:t>,</w:t>
      </w:r>
    </w:p>
    <w:p w:rsidR="00766F08" w:rsidRPr="00062973" w:rsidRDefault="007A3CCB" w:rsidP="00766F08">
      <w:pPr>
        <w:pStyle w:val="JuList"/>
        <w:rPr>
          <w:lang w:val="en-GB"/>
        </w:rPr>
      </w:pPr>
      <w:r w:rsidRPr="006F24DB">
        <w:rPr>
          <w:lang w:val="en-GB"/>
        </w:rPr>
        <w:t>1.  </w:t>
      </w:r>
      <w:r w:rsidR="00766F08">
        <w:rPr>
          <w:i/>
        </w:rPr>
        <w:t>Joins to the merits</w:t>
      </w:r>
      <w:r w:rsidR="00766F08" w:rsidRPr="00F0355A">
        <w:t xml:space="preserve"> the Government</w:t>
      </w:r>
      <w:r w:rsidR="000C06B1">
        <w:t>’</w:t>
      </w:r>
      <w:r w:rsidR="00766F08" w:rsidRPr="00F0355A">
        <w:t>s preliminary objections</w:t>
      </w:r>
      <w:r w:rsidR="00766F08">
        <w:t xml:space="preserve"> that the applicant</w:t>
      </w:r>
      <w:r w:rsidR="000C06B1">
        <w:t>’</w:t>
      </w:r>
      <w:r w:rsidR="00766F08">
        <w:t>s complaint</w:t>
      </w:r>
      <w:r w:rsidR="00766F08" w:rsidRPr="00F0355A">
        <w:t xml:space="preserve"> under Article</w:t>
      </w:r>
      <w:r w:rsidR="00766F08">
        <w:t> </w:t>
      </w:r>
      <w:r w:rsidR="00766F08">
        <w:rPr>
          <w:rStyle w:val="sb8d990e2"/>
        </w:rPr>
        <w:t xml:space="preserve">5 § 1 </w:t>
      </w:r>
      <w:r w:rsidR="00766F08">
        <w:t>of the Convention is</w:t>
      </w:r>
      <w:r w:rsidR="00766F08" w:rsidRPr="00F0355A">
        <w:t xml:space="preserve"> </w:t>
      </w:r>
      <w:r w:rsidR="00766F08">
        <w:t xml:space="preserve">inadmissible </w:t>
      </w:r>
      <w:r w:rsidR="00274D9F">
        <w:t>due to</w:t>
      </w:r>
      <w:r w:rsidR="00766F08">
        <w:t xml:space="preserve"> non-exhaustion of domestic remedies;</w:t>
      </w:r>
    </w:p>
    <w:p w:rsidR="00766F08" w:rsidRDefault="00766F08" w:rsidP="00C621C2">
      <w:pPr>
        <w:pStyle w:val="JuList"/>
        <w:rPr>
          <w:lang w:val="en-GB"/>
        </w:rPr>
      </w:pPr>
    </w:p>
    <w:p w:rsidR="00014566" w:rsidRDefault="00766F08" w:rsidP="00C621C2">
      <w:pPr>
        <w:pStyle w:val="JuList"/>
        <w:rPr>
          <w:lang w:val="en-GB"/>
        </w:rPr>
      </w:pPr>
      <w:r>
        <w:rPr>
          <w:i/>
          <w:lang w:val="en-GB"/>
        </w:rPr>
        <w:t>2.  </w:t>
      </w:r>
      <w:r w:rsidR="007A3CCB" w:rsidRPr="006F24DB">
        <w:rPr>
          <w:i/>
          <w:lang w:val="en-GB"/>
        </w:rPr>
        <w:t>Declares</w:t>
      </w:r>
      <w:r w:rsidR="007A3CCB" w:rsidRPr="006F24DB">
        <w:rPr>
          <w:color w:val="000000"/>
          <w:lang w:val="en-GB"/>
        </w:rPr>
        <w:t xml:space="preserve"> </w:t>
      </w:r>
      <w:r w:rsidR="00A20D1E">
        <w:rPr>
          <w:rStyle w:val="sb8d990e2"/>
        </w:rPr>
        <w:t>the complaints under Article 5 §§ 1 and 3 of the Convention admissible and the remainder of the application inadmissible</w:t>
      </w:r>
      <w:r w:rsidR="007A3CCB" w:rsidRPr="006F24DB">
        <w:rPr>
          <w:lang w:val="en-GB"/>
        </w:rPr>
        <w:t>;</w:t>
      </w:r>
    </w:p>
    <w:p w:rsidR="00014566" w:rsidRPr="00062973" w:rsidRDefault="00014566" w:rsidP="00DB7196">
      <w:pPr>
        <w:pStyle w:val="JuList"/>
        <w:ind w:left="0" w:firstLine="0"/>
        <w:rPr>
          <w:lang w:val="en-GB"/>
        </w:rPr>
      </w:pPr>
    </w:p>
    <w:p w:rsidR="00014566" w:rsidRPr="00062973" w:rsidRDefault="00766F08" w:rsidP="00C621C2">
      <w:pPr>
        <w:pStyle w:val="JuList"/>
        <w:rPr>
          <w:lang w:val="en-GB"/>
        </w:rPr>
      </w:pPr>
      <w:r>
        <w:rPr>
          <w:lang w:val="en-GB"/>
        </w:rPr>
        <w:t>3</w:t>
      </w:r>
      <w:r w:rsidR="00014566" w:rsidRPr="00062973">
        <w:rPr>
          <w:lang w:val="en-GB"/>
        </w:rPr>
        <w:t>.  </w:t>
      </w:r>
      <w:r w:rsidR="00014566" w:rsidRPr="00062973">
        <w:rPr>
          <w:i/>
          <w:lang w:val="en-GB"/>
        </w:rPr>
        <w:t>Holds</w:t>
      </w:r>
      <w:r w:rsidR="0076670D" w:rsidRPr="00853C35">
        <w:rPr>
          <w:lang w:val="en-GB"/>
        </w:rPr>
        <w:t>,</w:t>
      </w:r>
      <w:r w:rsidR="0076670D">
        <w:rPr>
          <w:rStyle w:val="sb8d990e2"/>
        </w:rPr>
        <w:t xml:space="preserve"> that</w:t>
      </w:r>
      <w:r w:rsidR="00A20D1E">
        <w:rPr>
          <w:rStyle w:val="sb8d990e2"/>
        </w:rPr>
        <w:t xml:space="preserve"> there has been a violation of Article 5 § 1 of the Convention</w:t>
      </w:r>
      <w:r w:rsidR="00014566" w:rsidRPr="00062973">
        <w:rPr>
          <w:lang w:val="en-GB"/>
        </w:rPr>
        <w:t>;</w:t>
      </w:r>
    </w:p>
    <w:p w:rsidR="00014566" w:rsidRPr="00062973" w:rsidRDefault="00014566" w:rsidP="00C621C2">
      <w:pPr>
        <w:pStyle w:val="JuList"/>
        <w:rPr>
          <w:lang w:val="en-GB"/>
        </w:rPr>
      </w:pPr>
    </w:p>
    <w:p w:rsidR="00014566" w:rsidRPr="00062973" w:rsidRDefault="00766F08" w:rsidP="00C621C2">
      <w:pPr>
        <w:pStyle w:val="JuList"/>
        <w:rPr>
          <w:lang w:val="en-GB"/>
        </w:rPr>
      </w:pPr>
      <w:r>
        <w:rPr>
          <w:lang w:val="en-GB"/>
        </w:rPr>
        <w:t>4</w:t>
      </w:r>
      <w:r w:rsidR="00014566" w:rsidRPr="00062973">
        <w:rPr>
          <w:lang w:val="en-GB"/>
        </w:rPr>
        <w:t>.  </w:t>
      </w:r>
      <w:r w:rsidR="00014566" w:rsidRPr="00062973">
        <w:rPr>
          <w:i/>
          <w:lang w:val="en-GB"/>
        </w:rPr>
        <w:t>Holds</w:t>
      </w:r>
      <w:r w:rsidRPr="00853C35">
        <w:rPr>
          <w:lang w:val="en-GB"/>
        </w:rPr>
        <w:t>,</w:t>
      </w:r>
      <w:r w:rsidR="0076670D">
        <w:rPr>
          <w:lang w:val="en-GB"/>
        </w:rPr>
        <w:t xml:space="preserve"> </w:t>
      </w:r>
      <w:r w:rsidR="00A20D1E">
        <w:rPr>
          <w:rStyle w:val="sb8d990e2"/>
        </w:rPr>
        <w:t>that there has been a violation of Article 5 § 3 of the Convention</w:t>
      </w:r>
      <w:r w:rsidR="00014566" w:rsidRPr="00062973">
        <w:rPr>
          <w:lang w:val="en-GB"/>
        </w:rPr>
        <w:t>;</w:t>
      </w:r>
    </w:p>
    <w:p w:rsidR="00014566" w:rsidRPr="00062973" w:rsidRDefault="00014566" w:rsidP="00A20D1E">
      <w:pPr>
        <w:pStyle w:val="JuList"/>
        <w:ind w:left="0" w:firstLine="0"/>
        <w:rPr>
          <w:lang w:val="en-GB"/>
        </w:rPr>
      </w:pPr>
    </w:p>
    <w:p w:rsidR="007A3CCB" w:rsidRPr="00766F08" w:rsidRDefault="00766F08" w:rsidP="000F562A">
      <w:pPr>
        <w:pStyle w:val="JuList"/>
        <w:keepNext/>
        <w:keepLines/>
        <w:rPr>
          <w:lang w:val="en-GB"/>
        </w:rPr>
      </w:pPr>
      <w:r>
        <w:rPr>
          <w:lang w:val="en-GB"/>
        </w:rPr>
        <w:t>5</w:t>
      </w:r>
      <w:r w:rsidR="00014566" w:rsidRPr="00062973">
        <w:rPr>
          <w:lang w:val="en-GB"/>
        </w:rPr>
        <w:t>.  </w:t>
      </w:r>
      <w:r w:rsidR="00014566" w:rsidRPr="00062973">
        <w:rPr>
          <w:i/>
          <w:lang w:val="en-GB"/>
        </w:rPr>
        <w:t>Holds</w:t>
      </w:r>
    </w:p>
    <w:p w:rsidR="00014566" w:rsidRPr="00062973" w:rsidRDefault="00014566" w:rsidP="00376F97">
      <w:pPr>
        <w:pStyle w:val="JuLista"/>
        <w:keepNext/>
        <w:keepLines/>
        <w:rPr>
          <w:lang w:val="en-GB"/>
        </w:rPr>
      </w:pPr>
      <w:r w:rsidRPr="00062973">
        <w:rPr>
          <w:lang w:val="en-GB"/>
        </w:rPr>
        <w:t>(a)  that the respondent State is to pay the applicant, within three months</w:t>
      </w:r>
      <w:r w:rsidR="000F562A">
        <w:rPr>
          <w:lang w:val="en-GB"/>
        </w:rPr>
        <w:t>,</w:t>
      </w:r>
      <w:r w:rsidR="007A3CCB">
        <w:rPr>
          <w:lang w:val="en-GB"/>
        </w:rPr>
        <w:t xml:space="preserve"> </w:t>
      </w:r>
      <w:r w:rsidRPr="00375A2B">
        <w:rPr>
          <w:lang w:val="en-GB"/>
        </w:rPr>
        <w:t xml:space="preserve">EUR </w:t>
      </w:r>
      <w:r w:rsidR="003F19D3" w:rsidRPr="00375A2B">
        <w:rPr>
          <w:lang w:val="en-GB"/>
        </w:rPr>
        <w:t>3,250</w:t>
      </w:r>
      <w:r w:rsidRPr="00375A2B">
        <w:rPr>
          <w:lang w:val="en-GB"/>
        </w:rPr>
        <w:t xml:space="preserve"> (</w:t>
      </w:r>
      <w:r w:rsidR="003F19D3" w:rsidRPr="00375A2B">
        <w:rPr>
          <w:lang w:val="en-GB"/>
        </w:rPr>
        <w:t>three thousand</w:t>
      </w:r>
      <w:r w:rsidR="000F562A">
        <w:rPr>
          <w:lang w:val="en-GB"/>
        </w:rPr>
        <w:t>,</w:t>
      </w:r>
      <w:r w:rsidR="003F19D3" w:rsidRPr="00375A2B">
        <w:rPr>
          <w:lang w:val="en-GB"/>
        </w:rPr>
        <w:t xml:space="preserve"> two hundred</w:t>
      </w:r>
      <w:r w:rsidR="000F562A">
        <w:rPr>
          <w:lang w:val="en-GB"/>
        </w:rPr>
        <w:t xml:space="preserve"> and</w:t>
      </w:r>
      <w:r w:rsidR="003F19D3" w:rsidRPr="00375A2B">
        <w:rPr>
          <w:lang w:val="en-GB"/>
        </w:rPr>
        <w:t xml:space="preserve"> fifty</w:t>
      </w:r>
      <w:r w:rsidR="00766F08" w:rsidRPr="00375A2B">
        <w:rPr>
          <w:lang w:val="en-GB"/>
        </w:rPr>
        <w:t xml:space="preserve"> euros)</w:t>
      </w:r>
      <w:r w:rsidRPr="00375A2B">
        <w:rPr>
          <w:lang w:val="en-GB"/>
        </w:rPr>
        <w:t>, plus</w:t>
      </w:r>
      <w:r w:rsidRPr="00062973">
        <w:rPr>
          <w:lang w:val="en-GB"/>
        </w:rPr>
        <w:t xml:space="preserve"> any tax that may be chargeable,</w:t>
      </w:r>
      <w:r w:rsidR="0076670D">
        <w:rPr>
          <w:lang w:val="en-GB"/>
        </w:rPr>
        <w:t xml:space="preserve"> </w:t>
      </w:r>
      <w:r w:rsidRPr="00062973">
        <w:rPr>
          <w:lang w:val="en-GB"/>
        </w:rPr>
        <w:t>in respect of pecuniary damage;</w:t>
      </w:r>
    </w:p>
    <w:p w:rsidR="00014566" w:rsidRPr="00062973" w:rsidRDefault="00014566" w:rsidP="00014566">
      <w:pPr>
        <w:pStyle w:val="JuLista"/>
        <w:rPr>
          <w:lang w:val="en-GB"/>
        </w:rPr>
      </w:pPr>
      <w:r w:rsidRPr="00062973">
        <w:rPr>
          <w:lang w:val="en-GB"/>
        </w:rPr>
        <w:t>(b)  that from the expiry of the above-mentioned three months until settlement simple interest shall be payable on the above amount at a rate equal to the marginal lending rate of the European Central Bank during the default period plus three percentage points;</w:t>
      </w:r>
    </w:p>
    <w:p w:rsidR="00014566" w:rsidRPr="00062973" w:rsidRDefault="00014566" w:rsidP="00C621C2">
      <w:pPr>
        <w:pStyle w:val="JuList"/>
        <w:rPr>
          <w:lang w:val="en-GB"/>
        </w:rPr>
      </w:pPr>
    </w:p>
    <w:p w:rsidR="00014566" w:rsidRPr="00062973" w:rsidRDefault="00766F08" w:rsidP="00C621C2">
      <w:pPr>
        <w:pStyle w:val="JuList"/>
        <w:rPr>
          <w:lang w:val="en-GB"/>
        </w:rPr>
      </w:pPr>
      <w:r>
        <w:rPr>
          <w:lang w:val="en-GB"/>
        </w:rPr>
        <w:t>6</w:t>
      </w:r>
      <w:r w:rsidR="00014566" w:rsidRPr="00062973">
        <w:rPr>
          <w:lang w:val="en-GB"/>
        </w:rPr>
        <w:t>.  </w:t>
      </w:r>
      <w:r w:rsidR="00014566" w:rsidRPr="00062973">
        <w:rPr>
          <w:i/>
          <w:lang w:val="en-GB"/>
        </w:rPr>
        <w:t>Dismisses</w:t>
      </w:r>
      <w:r w:rsidR="00014566" w:rsidRPr="00062973">
        <w:rPr>
          <w:color w:val="000000"/>
          <w:lang w:val="en-GB"/>
        </w:rPr>
        <w:t xml:space="preserve"> </w:t>
      </w:r>
      <w:r w:rsidR="00014566" w:rsidRPr="00062973">
        <w:rPr>
          <w:lang w:val="en-GB"/>
        </w:rPr>
        <w:t>the remainder of the applicant</w:t>
      </w:r>
      <w:r w:rsidR="000C06B1">
        <w:rPr>
          <w:lang w:val="en-GB"/>
        </w:rPr>
        <w:t>’</w:t>
      </w:r>
      <w:r w:rsidR="007A3CCB" w:rsidRPr="00062973">
        <w:rPr>
          <w:lang w:val="en-GB"/>
        </w:rPr>
        <w:t>s</w:t>
      </w:r>
      <w:r w:rsidR="00014566" w:rsidRPr="00062973">
        <w:rPr>
          <w:lang w:val="en-GB"/>
        </w:rPr>
        <w:t xml:space="preserve"> claim for just satisfaction.</w:t>
      </w:r>
    </w:p>
    <w:p w:rsidR="00014566" w:rsidRPr="00062973" w:rsidRDefault="00014566" w:rsidP="00014566">
      <w:pPr>
        <w:pStyle w:val="JuParaLast"/>
        <w:rPr>
          <w:lang w:val="en-GB"/>
        </w:rPr>
      </w:pPr>
      <w:r w:rsidRPr="00062973">
        <w:rPr>
          <w:lang w:val="en-GB"/>
        </w:rPr>
        <w:t xml:space="preserve">Done in English, and notified in writing on </w:t>
      </w:r>
      <w:r w:rsidR="0076670D">
        <w:rPr>
          <w:lang w:val="en-GB"/>
        </w:rPr>
        <w:t>7 July 2015</w:t>
      </w:r>
      <w:r w:rsidR="000F562A">
        <w:rPr>
          <w:lang w:val="en-GB"/>
        </w:rPr>
        <w:t>, pursuant to Rule </w:t>
      </w:r>
      <w:r w:rsidRPr="00062973">
        <w:rPr>
          <w:lang w:val="en-GB"/>
        </w:rPr>
        <w:t>77 §§ 2 and 3 of the Rules of Court.</w:t>
      </w:r>
    </w:p>
    <w:p w:rsidR="00014566" w:rsidRPr="00062973" w:rsidRDefault="00014566" w:rsidP="00C621C2">
      <w:pPr>
        <w:pStyle w:val="JuSigned"/>
        <w:rPr>
          <w:lang w:val="en-GB"/>
        </w:rPr>
      </w:pPr>
      <w:r w:rsidRPr="00062973">
        <w:rPr>
          <w:lang w:val="en-GB"/>
        </w:rPr>
        <w:tab/>
      </w:r>
      <w:r w:rsidR="007A3CCB">
        <w:rPr>
          <w:lang w:val="en-GB"/>
        </w:rPr>
        <w:t>Fatoş</w:t>
      </w:r>
      <w:r w:rsidR="007A3CCB" w:rsidRPr="00062973">
        <w:rPr>
          <w:lang w:val="en-GB"/>
        </w:rPr>
        <w:t xml:space="preserve"> </w:t>
      </w:r>
      <w:r w:rsidR="007A3CCB">
        <w:rPr>
          <w:lang w:val="en-GB"/>
        </w:rPr>
        <w:t>Aracı</w:t>
      </w:r>
      <w:r w:rsidRPr="00062973">
        <w:rPr>
          <w:lang w:val="en-GB"/>
        </w:rPr>
        <w:tab/>
      </w:r>
      <w:r w:rsidR="00420381" w:rsidRPr="00420381">
        <w:rPr>
          <w:szCs w:val="24"/>
        </w:rPr>
        <w:t>Krzysztof Wojtyczek</w:t>
      </w:r>
      <w:r w:rsidR="00E1557C">
        <w:rPr>
          <w:szCs w:val="24"/>
          <w:lang w:val="en-GB"/>
        </w:rPr>
        <w:br/>
      </w:r>
      <w:r w:rsidRPr="00062973">
        <w:rPr>
          <w:lang w:val="en-GB"/>
        </w:rPr>
        <w:tab/>
      </w:r>
      <w:r w:rsidR="007A3CCB" w:rsidRPr="00062973">
        <w:rPr>
          <w:lang w:val="en-GB"/>
        </w:rPr>
        <w:t xml:space="preserve">Deputy </w:t>
      </w:r>
      <w:r w:rsidR="007A3CCB" w:rsidRPr="00062973">
        <w:rPr>
          <w:iCs/>
          <w:lang w:val="en-GB"/>
        </w:rPr>
        <w:t>Registrar</w:t>
      </w:r>
      <w:r w:rsidRPr="00062973">
        <w:rPr>
          <w:lang w:val="en-GB"/>
        </w:rPr>
        <w:tab/>
        <w:t>President</w:t>
      </w:r>
    </w:p>
    <w:p w:rsidR="004D15F3" w:rsidRPr="00062973" w:rsidRDefault="004D15F3" w:rsidP="00436307">
      <w:pPr>
        <w:rPr>
          <w:lang w:val="en-GB"/>
        </w:rPr>
      </w:pPr>
    </w:p>
    <w:sectPr w:rsidR="004D15F3" w:rsidRPr="00062973" w:rsidSect="0076670D">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59" w:rsidRDefault="00CF0459" w:rsidP="00014566">
      <w:r>
        <w:separator/>
      </w:r>
    </w:p>
  </w:endnote>
  <w:endnote w:type="continuationSeparator" w:id="0">
    <w:p w:rsidR="00CF0459" w:rsidRDefault="00CF0459"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0D" w:rsidRPr="00150BFA" w:rsidRDefault="0076670D" w:rsidP="0020718E">
    <w:pPr>
      <w:jc w:val="center"/>
    </w:pPr>
    <w:r>
      <w:rPr>
        <w:noProof/>
        <w:lang w:eastAsia="ja-JP"/>
      </w:rPr>
      <w:drawing>
        <wp:inline distT="0" distB="0" distL="0" distR="0" wp14:anchorId="541AB353" wp14:editId="1F5E4B73">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76670D" w:rsidRDefault="00766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59" w:rsidRDefault="00CF0459" w:rsidP="00014566">
      <w:r>
        <w:separator/>
      </w:r>
    </w:p>
  </w:footnote>
  <w:footnote w:type="continuationSeparator" w:id="0">
    <w:p w:rsidR="00CF0459" w:rsidRDefault="00CF0459"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59" w:rsidRPr="0076670D" w:rsidRDefault="00CF0459" w:rsidP="0076670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0D" w:rsidRPr="00A45145" w:rsidRDefault="0076670D" w:rsidP="00A45145">
    <w:pPr>
      <w:jc w:val="center"/>
    </w:pPr>
    <w:r>
      <w:rPr>
        <w:noProof/>
        <w:lang w:eastAsia="ja-JP"/>
      </w:rPr>
      <w:drawing>
        <wp:inline distT="0" distB="0" distL="0" distR="0" wp14:anchorId="3F8002D1" wp14:editId="2CF8DC2D">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F0459" w:rsidRDefault="00CF0459" w:rsidP="000C06B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0D" w:rsidRPr="00FF2306" w:rsidRDefault="0076670D"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657757">
      <w:rPr>
        <w:rStyle w:val="PageNumber"/>
        <w:noProof/>
        <w:szCs w:val="18"/>
        <w:lang w:val="en-GB"/>
      </w:rPr>
      <w:t>22</w:t>
    </w:r>
    <w:r>
      <w:rPr>
        <w:rStyle w:val="PageNumber"/>
        <w:szCs w:val="18"/>
        <w:lang w:val="en-GB"/>
      </w:rPr>
      <w:fldChar w:fldCharType="end"/>
    </w:r>
    <w:r w:rsidRPr="00FF2306">
      <w:rPr>
        <w:lang w:val="en-GB"/>
      </w:rPr>
      <w:tab/>
    </w:r>
    <w:r>
      <w:rPr>
        <w:lang w:val="en-GB"/>
      </w:rPr>
      <w:t>DAVIDOVS v. LATVIA</w:t>
    </w:r>
    <w:r w:rsidRPr="00FF2306">
      <w:rPr>
        <w:lang w:val="en-GB"/>
      </w:rPr>
      <w:t xml:space="preserve"> </w:t>
    </w:r>
    <w:r>
      <w:rPr>
        <w:lang w:val="en-GB"/>
      </w:rP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0D" w:rsidRPr="00D60D87" w:rsidRDefault="0076670D" w:rsidP="00D60D87">
    <w:pPr>
      <w:pStyle w:val="ECHRHeader"/>
      <w:rPr>
        <w:lang w:val="en-GB"/>
      </w:rPr>
    </w:pPr>
    <w:r w:rsidRPr="00D60D87">
      <w:rPr>
        <w:lang w:val="en-GB"/>
      </w:rPr>
      <w:tab/>
    </w:r>
    <w:r>
      <w:rPr>
        <w:lang w:val="en-GB"/>
      </w:rPr>
      <w:t>DAVIDOVS v. LATVIA</w:t>
    </w:r>
    <w:r w:rsidRPr="00D60D87">
      <w:rPr>
        <w:lang w:val="en-GB"/>
      </w:rPr>
      <w:t xml:space="preserve"> </w:t>
    </w:r>
    <w:r>
      <w:rPr>
        <w:lang w:val="en-GB"/>
      </w:rPr>
      <w:t>JUDGMENT</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657757">
      <w:rPr>
        <w:rStyle w:val="PageNumber"/>
        <w:noProof/>
        <w:szCs w:val="18"/>
        <w:lang w:val="en-GB"/>
      </w:rPr>
      <w:t>22</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F7039A"/>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2">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92F51A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4">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737461D"/>
    <w:multiLevelType w:val="multilevel"/>
    <w:tmpl w:val="04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3"/>
  </w:num>
  <w:num w:numId="7">
    <w:abstractNumId w:val="11"/>
  </w:num>
  <w:num w:numId="8">
    <w:abstractNumId w:val="14"/>
  </w:num>
  <w:num w:numId="9">
    <w:abstractNumId w:val="10"/>
  </w:num>
  <w:num w:numId="10">
    <w:abstractNumId w:val="9"/>
  </w:num>
  <w:num w:numId="11">
    <w:abstractNumId w:val="16"/>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7A3CCB"/>
    <w:rsid w:val="000041F8"/>
    <w:rsid w:val="000042A8"/>
    <w:rsid w:val="00004308"/>
    <w:rsid w:val="00005BF0"/>
    <w:rsid w:val="00007154"/>
    <w:rsid w:val="000103AE"/>
    <w:rsid w:val="00011D69"/>
    <w:rsid w:val="00012AD3"/>
    <w:rsid w:val="00014566"/>
    <w:rsid w:val="00015C2D"/>
    <w:rsid w:val="00015F00"/>
    <w:rsid w:val="00021D91"/>
    <w:rsid w:val="00022C1D"/>
    <w:rsid w:val="00024E89"/>
    <w:rsid w:val="00034987"/>
    <w:rsid w:val="00037C66"/>
    <w:rsid w:val="00041D72"/>
    <w:rsid w:val="00045B72"/>
    <w:rsid w:val="00053753"/>
    <w:rsid w:val="00054920"/>
    <w:rsid w:val="000602DF"/>
    <w:rsid w:val="00061B05"/>
    <w:rsid w:val="00062973"/>
    <w:rsid w:val="00062D5D"/>
    <w:rsid w:val="000632D5"/>
    <w:rsid w:val="000644EE"/>
    <w:rsid w:val="00067238"/>
    <w:rsid w:val="00067B6D"/>
    <w:rsid w:val="00071B7F"/>
    <w:rsid w:val="00077AC5"/>
    <w:rsid w:val="00082D47"/>
    <w:rsid w:val="000925AD"/>
    <w:rsid w:val="000A24EB"/>
    <w:rsid w:val="000B6923"/>
    <w:rsid w:val="000C033C"/>
    <w:rsid w:val="000C06B1"/>
    <w:rsid w:val="000C116E"/>
    <w:rsid w:val="000C5964"/>
    <w:rsid w:val="000C5F3C"/>
    <w:rsid w:val="000C6DCC"/>
    <w:rsid w:val="000D47AA"/>
    <w:rsid w:val="000D721F"/>
    <w:rsid w:val="000E069B"/>
    <w:rsid w:val="000E0E82"/>
    <w:rsid w:val="000E1DC5"/>
    <w:rsid w:val="000E223F"/>
    <w:rsid w:val="000E4B45"/>
    <w:rsid w:val="000E7297"/>
    <w:rsid w:val="000E7D45"/>
    <w:rsid w:val="000F562A"/>
    <w:rsid w:val="000F59E6"/>
    <w:rsid w:val="000F6A7C"/>
    <w:rsid w:val="000F7851"/>
    <w:rsid w:val="00100FD4"/>
    <w:rsid w:val="00104E23"/>
    <w:rsid w:val="0010584C"/>
    <w:rsid w:val="00111B0C"/>
    <w:rsid w:val="00115CA7"/>
    <w:rsid w:val="00120D6C"/>
    <w:rsid w:val="001257EC"/>
    <w:rsid w:val="001322DA"/>
    <w:rsid w:val="00132C6A"/>
    <w:rsid w:val="00133D33"/>
    <w:rsid w:val="00134D64"/>
    <w:rsid w:val="00135A30"/>
    <w:rsid w:val="00135C7E"/>
    <w:rsid w:val="0013612C"/>
    <w:rsid w:val="0013704A"/>
    <w:rsid w:val="00137FF6"/>
    <w:rsid w:val="00141650"/>
    <w:rsid w:val="00147AD7"/>
    <w:rsid w:val="00161CE3"/>
    <w:rsid w:val="00162A12"/>
    <w:rsid w:val="00166530"/>
    <w:rsid w:val="00167F4C"/>
    <w:rsid w:val="001832BD"/>
    <w:rsid w:val="001943B5"/>
    <w:rsid w:val="00195134"/>
    <w:rsid w:val="001A03FC"/>
    <w:rsid w:val="001A145B"/>
    <w:rsid w:val="001A412C"/>
    <w:rsid w:val="001A674C"/>
    <w:rsid w:val="001B35B5"/>
    <w:rsid w:val="001B3B24"/>
    <w:rsid w:val="001C0F98"/>
    <w:rsid w:val="001C2470"/>
    <w:rsid w:val="001C2A42"/>
    <w:rsid w:val="001D0A7F"/>
    <w:rsid w:val="001D0AE7"/>
    <w:rsid w:val="001D0D61"/>
    <w:rsid w:val="001D1903"/>
    <w:rsid w:val="001D1FE1"/>
    <w:rsid w:val="001D49B9"/>
    <w:rsid w:val="001D63ED"/>
    <w:rsid w:val="001D7348"/>
    <w:rsid w:val="001D7718"/>
    <w:rsid w:val="001D7EF5"/>
    <w:rsid w:val="001E035B"/>
    <w:rsid w:val="001E0961"/>
    <w:rsid w:val="001E3EAE"/>
    <w:rsid w:val="001E6F32"/>
    <w:rsid w:val="001F0E01"/>
    <w:rsid w:val="001F2145"/>
    <w:rsid w:val="001F55CF"/>
    <w:rsid w:val="001F6262"/>
    <w:rsid w:val="001F67B0"/>
    <w:rsid w:val="001F7B3D"/>
    <w:rsid w:val="002024DF"/>
    <w:rsid w:val="00205F9F"/>
    <w:rsid w:val="00210338"/>
    <w:rsid w:val="002115FC"/>
    <w:rsid w:val="00212FB0"/>
    <w:rsid w:val="002133F8"/>
    <w:rsid w:val="0021423C"/>
    <w:rsid w:val="00214FAC"/>
    <w:rsid w:val="00215AB6"/>
    <w:rsid w:val="002221E4"/>
    <w:rsid w:val="00226897"/>
    <w:rsid w:val="00230D00"/>
    <w:rsid w:val="00231DF7"/>
    <w:rsid w:val="00231FD1"/>
    <w:rsid w:val="002339E0"/>
    <w:rsid w:val="00233CF8"/>
    <w:rsid w:val="0023575D"/>
    <w:rsid w:val="00237148"/>
    <w:rsid w:val="0024222D"/>
    <w:rsid w:val="00244B0E"/>
    <w:rsid w:val="00244F6C"/>
    <w:rsid w:val="00252565"/>
    <w:rsid w:val="002532C5"/>
    <w:rsid w:val="00253629"/>
    <w:rsid w:val="00260C03"/>
    <w:rsid w:val="00264264"/>
    <w:rsid w:val="0026540E"/>
    <w:rsid w:val="00271515"/>
    <w:rsid w:val="00274D9F"/>
    <w:rsid w:val="00275123"/>
    <w:rsid w:val="00282240"/>
    <w:rsid w:val="0028572A"/>
    <w:rsid w:val="002948AD"/>
    <w:rsid w:val="00294C92"/>
    <w:rsid w:val="002A01CC"/>
    <w:rsid w:val="002A61B1"/>
    <w:rsid w:val="002A663C"/>
    <w:rsid w:val="002B444B"/>
    <w:rsid w:val="002B5887"/>
    <w:rsid w:val="002C0692"/>
    <w:rsid w:val="002C0E27"/>
    <w:rsid w:val="002C3040"/>
    <w:rsid w:val="002C42D2"/>
    <w:rsid w:val="002D022D"/>
    <w:rsid w:val="002D24BB"/>
    <w:rsid w:val="002E0C61"/>
    <w:rsid w:val="002E3F38"/>
    <w:rsid w:val="002F0D76"/>
    <w:rsid w:val="002F2AF7"/>
    <w:rsid w:val="002F53DF"/>
    <w:rsid w:val="002F7E1C"/>
    <w:rsid w:val="00301A75"/>
    <w:rsid w:val="00302F70"/>
    <w:rsid w:val="0030336F"/>
    <w:rsid w:val="0030375E"/>
    <w:rsid w:val="00306D00"/>
    <w:rsid w:val="00312A30"/>
    <w:rsid w:val="00312D3E"/>
    <w:rsid w:val="00313A4B"/>
    <w:rsid w:val="003152C3"/>
    <w:rsid w:val="00320F72"/>
    <w:rsid w:val="0032463E"/>
    <w:rsid w:val="00326224"/>
    <w:rsid w:val="00337EE4"/>
    <w:rsid w:val="00340FFD"/>
    <w:rsid w:val="003506B1"/>
    <w:rsid w:val="00356AC7"/>
    <w:rsid w:val="003609FA"/>
    <w:rsid w:val="00362A54"/>
    <w:rsid w:val="00365D68"/>
    <w:rsid w:val="003710C8"/>
    <w:rsid w:val="00372B5E"/>
    <w:rsid w:val="003750BE"/>
    <w:rsid w:val="00375A2B"/>
    <w:rsid w:val="00376BE8"/>
    <w:rsid w:val="00376F97"/>
    <w:rsid w:val="0038162B"/>
    <w:rsid w:val="00387B9D"/>
    <w:rsid w:val="0039364F"/>
    <w:rsid w:val="00395BB1"/>
    <w:rsid w:val="00395E61"/>
    <w:rsid w:val="00396686"/>
    <w:rsid w:val="0039778E"/>
    <w:rsid w:val="003A4505"/>
    <w:rsid w:val="003A49A1"/>
    <w:rsid w:val="003B4941"/>
    <w:rsid w:val="003B640C"/>
    <w:rsid w:val="003C5714"/>
    <w:rsid w:val="003C6B9F"/>
    <w:rsid w:val="003C6E2A"/>
    <w:rsid w:val="003D0299"/>
    <w:rsid w:val="003D181D"/>
    <w:rsid w:val="003D768A"/>
    <w:rsid w:val="003E6D80"/>
    <w:rsid w:val="003F05FA"/>
    <w:rsid w:val="003F19D3"/>
    <w:rsid w:val="003F244A"/>
    <w:rsid w:val="003F30B8"/>
    <w:rsid w:val="003F4C45"/>
    <w:rsid w:val="003F5F7B"/>
    <w:rsid w:val="003F7D64"/>
    <w:rsid w:val="00403117"/>
    <w:rsid w:val="00414300"/>
    <w:rsid w:val="0041563B"/>
    <w:rsid w:val="00420381"/>
    <w:rsid w:val="00422B65"/>
    <w:rsid w:val="00425C67"/>
    <w:rsid w:val="00427E7A"/>
    <w:rsid w:val="00436307"/>
    <w:rsid w:val="00436C49"/>
    <w:rsid w:val="00437042"/>
    <w:rsid w:val="00445366"/>
    <w:rsid w:val="00447F5B"/>
    <w:rsid w:val="004546A0"/>
    <w:rsid w:val="00460046"/>
    <w:rsid w:val="004614B8"/>
    <w:rsid w:val="00461DB0"/>
    <w:rsid w:val="00463926"/>
    <w:rsid w:val="004646E0"/>
    <w:rsid w:val="00464C9A"/>
    <w:rsid w:val="00470360"/>
    <w:rsid w:val="00474F3D"/>
    <w:rsid w:val="00475C66"/>
    <w:rsid w:val="00477E3A"/>
    <w:rsid w:val="00483E5F"/>
    <w:rsid w:val="00485FF9"/>
    <w:rsid w:val="004907F0"/>
    <w:rsid w:val="0049140B"/>
    <w:rsid w:val="004923A5"/>
    <w:rsid w:val="00496BFB"/>
    <w:rsid w:val="00496C2A"/>
    <w:rsid w:val="00496E1D"/>
    <w:rsid w:val="004A15C7"/>
    <w:rsid w:val="004B013B"/>
    <w:rsid w:val="004B112B"/>
    <w:rsid w:val="004C01E4"/>
    <w:rsid w:val="004C086C"/>
    <w:rsid w:val="004C1F56"/>
    <w:rsid w:val="004C202E"/>
    <w:rsid w:val="004C27BC"/>
    <w:rsid w:val="004C6E24"/>
    <w:rsid w:val="004D15F3"/>
    <w:rsid w:val="004D5311"/>
    <w:rsid w:val="004D5DCC"/>
    <w:rsid w:val="004E0357"/>
    <w:rsid w:val="004E16C2"/>
    <w:rsid w:val="004E5DAA"/>
    <w:rsid w:val="004E7C82"/>
    <w:rsid w:val="004F10AF"/>
    <w:rsid w:val="004F11A4"/>
    <w:rsid w:val="004F2389"/>
    <w:rsid w:val="004F304D"/>
    <w:rsid w:val="004F61BE"/>
    <w:rsid w:val="004F66B1"/>
    <w:rsid w:val="005039CE"/>
    <w:rsid w:val="00511C07"/>
    <w:rsid w:val="00514084"/>
    <w:rsid w:val="005173A6"/>
    <w:rsid w:val="00520BAA"/>
    <w:rsid w:val="00525208"/>
    <w:rsid w:val="005257A5"/>
    <w:rsid w:val="005264C0"/>
    <w:rsid w:val="00526A8A"/>
    <w:rsid w:val="00531DF2"/>
    <w:rsid w:val="005442EE"/>
    <w:rsid w:val="00545DC1"/>
    <w:rsid w:val="00545F3E"/>
    <w:rsid w:val="00546309"/>
    <w:rsid w:val="00547353"/>
    <w:rsid w:val="005474E7"/>
    <w:rsid w:val="005512A3"/>
    <w:rsid w:val="00553855"/>
    <w:rsid w:val="0055725C"/>
    <w:rsid w:val="005578CE"/>
    <w:rsid w:val="00560960"/>
    <w:rsid w:val="00562781"/>
    <w:rsid w:val="00563E83"/>
    <w:rsid w:val="0057271C"/>
    <w:rsid w:val="00572845"/>
    <w:rsid w:val="00575BAE"/>
    <w:rsid w:val="00592772"/>
    <w:rsid w:val="0059574A"/>
    <w:rsid w:val="005A1B9B"/>
    <w:rsid w:val="005A6751"/>
    <w:rsid w:val="005B092E"/>
    <w:rsid w:val="005B152C"/>
    <w:rsid w:val="005B1EE0"/>
    <w:rsid w:val="005B2B24"/>
    <w:rsid w:val="005B3DA0"/>
    <w:rsid w:val="005B4425"/>
    <w:rsid w:val="005B4B94"/>
    <w:rsid w:val="005C395E"/>
    <w:rsid w:val="005C3A13"/>
    <w:rsid w:val="005C3EE8"/>
    <w:rsid w:val="005D34F9"/>
    <w:rsid w:val="005D4190"/>
    <w:rsid w:val="005D5BC3"/>
    <w:rsid w:val="005D67A3"/>
    <w:rsid w:val="005E2988"/>
    <w:rsid w:val="005E2A43"/>
    <w:rsid w:val="005E3085"/>
    <w:rsid w:val="005F51E1"/>
    <w:rsid w:val="005F568C"/>
    <w:rsid w:val="006034F5"/>
    <w:rsid w:val="00611C80"/>
    <w:rsid w:val="00620692"/>
    <w:rsid w:val="00620F64"/>
    <w:rsid w:val="006242CA"/>
    <w:rsid w:val="0062475B"/>
    <w:rsid w:val="00626300"/>
    <w:rsid w:val="00627507"/>
    <w:rsid w:val="00633717"/>
    <w:rsid w:val="006344E1"/>
    <w:rsid w:val="0063659B"/>
    <w:rsid w:val="006545C4"/>
    <w:rsid w:val="00657109"/>
    <w:rsid w:val="00657757"/>
    <w:rsid w:val="00661971"/>
    <w:rsid w:val="00661CE8"/>
    <w:rsid w:val="006623D9"/>
    <w:rsid w:val="0066550C"/>
    <w:rsid w:val="006716F2"/>
    <w:rsid w:val="00673B7E"/>
    <w:rsid w:val="00682BF2"/>
    <w:rsid w:val="006859CE"/>
    <w:rsid w:val="00691270"/>
    <w:rsid w:val="00694BA8"/>
    <w:rsid w:val="006A037C"/>
    <w:rsid w:val="006A36F4"/>
    <w:rsid w:val="006A406F"/>
    <w:rsid w:val="006A5D3A"/>
    <w:rsid w:val="006A70C6"/>
    <w:rsid w:val="006B09A3"/>
    <w:rsid w:val="006B390D"/>
    <w:rsid w:val="006B3D4D"/>
    <w:rsid w:val="006C23D4"/>
    <w:rsid w:val="006C7384"/>
    <w:rsid w:val="006C7BB0"/>
    <w:rsid w:val="006D1AD4"/>
    <w:rsid w:val="006D3237"/>
    <w:rsid w:val="006D494D"/>
    <w:rsid w:val="006E2E37"/>
    <w:rsid w:val="006E3CF1"/>
    <w:rsid w:val="006E4C8C"/>
    <w:rsid w:val="006E7E80"/>
    <w:rsid w:val="006F1417"/>
    <w:rsid w:val="006F1DF9"/>
    <w:rsid w:val="006F24DB"/>
    <w:rsid w:val="006F48CA"/>
    <w:rsid w:val="006F64DD"/>
    <w:rsid w:val="00707646"/>
    <w:rsid w:val="00715127"/>
    <w:rsid w:val="00715E8E"/>
    <w:rsid w:val="00721FD6"/>
    <w:rsid w:val="00722883"/>
    <w:rsid w:val="00723580"/>
    <w:rsid w:val="00723755"/>
    <w:rsid w:val="00723E15"/>
    <w:rsid w:val="00727808"/>
    <w:rsid w:val="0073136C"/>
    <w:rsid w:val="00731F0F"/>
    <w:rsid w:val="00733250"/>
    <w:rsid w:val="00736E0C"/>
    <w:rsid w:val="00741404"/>
    <w:rsid w:val="007449E5"/>
    <w:rsid w:val="00746C5A"/>
    <w:rsid w:val="00747FF0"/>
    <w:rsid w:val="00755147"/>
    <w:rsid w:val="00764A60"/>
    <w:rsid w:val="00764D4E"/>
    <w:rsid w:val="00765A1F"/>
    <w:rsid w:val="0076670D"/>
    <w:rsid w:val="00766851"/>
    <w:rsid w:val="00766F08"/>
    <w:rsid w:val="00774C25"/>
    <w:rsid w:val="00775B6D"/>
    <w:rsid w:val="00776D68"/>
    <w:rsid w:val="00777ED1"/>
    <w:rsid w:val="007821FF"/>
    <w:rsid w:val="007850EE"/>
    <w:rsid w:val="00785B95"/>
    <w:rsid w:val="00790E96"/>
    <w:rsid w:val="00793366"/>
    <w:rsid w:val="0079572F"/>
    <w:rsid w:val="007A3667"/>
    <w:rsid w:val="007A3CCB"/>
    <w:rsid w:val="007A716F"/>
    <w:rsid w:val="007B270A"/>
    <w:rsid w:val="007B4C1B"/>
    <w:rsid w:val="007C0695"/>
    <w:rsid w:val="007C419A"/>
    <w:rsid w:val="007C4CC8"/>
    <w:rsid w:val="007C50EE"/>
    <w:rsid w:val="007C5426"/>
    <w:rsid w:val="007C5798"/>
    <w:rsid w:val="007D4832"/>
    <w:rsid w:val="007E047B"/>
    <w:rsid w:val="007E21B2"/>
    <w:rsid w:val="007E2C4E"/>
    <w:rsid w:val="007E668F"/>
    <w:rsid w:val="007F1905"/>
    <w:rsid w:val="007F51A5"/>
    <w:rsid w:val="00801300"/>
    <w:rsid w:val="00802C64"/>
    <w:rsid w:val="00805ACA"/>
    <w:rsid w:val="00805E52"/>
    <w:rsid w:val="008061D0"/>
    <w:rsid w:val="00810B38"/>
    <w:rsid w:val="008204C7"/>
    <w:rsid w:val="00820992"/>
    <w:rsid w:val="00823602"/>
    <w:rsid w:val="008255F5"/>
    <w:rsid w:val="0083014E"/>
    <w:rsid w:val="0083214A"/>
    <w:rsid w:val="00834220"/>
    <w:rsid w:val="00845723"/>
    <w:rsid w:val="00847F12"/>
    <w:rsid w:val="00851EF9"/>
    <w:rsid w:val="0085646E"/>
    <w:rsid w:val="008577FD"/>
    <w:rsid w:val="00860B03"/>
    <w:rsid w:val="008616F7"/>
    <w:rsid w:val="0086497A"/>
    <w:rsid w:val="00870027"/>
    <w:rsid w:val="008713A1"/>
    <w:rsid w:val="00874795"/>
    <w:rsid w:val="008754AB"/>
    <w:rsid w:val="0088060C"/>
    <w:rsid w:val="00893576"/>
    <w:rsid w:val="00893831"/>
    <w:rsid w:val="00893E73"/>
    <w:rsid w:val="008A43C4"/>
    <w:rsid w:val="008A71CF"/>
    <w:rsid w:val="008B02DC"/>
    <w:rsid w:val="008B57CE"/>
    <w:rsid w:val="008B659F"/>
    <w:rsid w:val="008C26DE"/>
    <w:rsid w:val="008D2225"/>
    <w:rsid w:val="008D4752"/>
    <w:rsid w:val="008E0EC1"/>
    <w:rsid w:val="008E271C"/>
    <w:rsid w:val="008E33CC"/>
    <w:rsid w:val="008E418E"/>
    <w:rsid w:val="008E5BC6"/>
    <w:rsid w:val="008E6A25"/>
    <w:rsid w:val="008F0342"/>
    <w:rsid w:val="008F5193"/>
    <w:rsid w:val="009013A7"/>
    <w:rsid w:val="009017FB"/>
    <w:rsid w:val="009017FC"/>
    <w:rsid w:val="00903B43"/>
    <w:rsid w:val="0090506B"/>
    <w:rsid w:val="009050C9"/>
    <w:rsid w:val="009066FC"/>
    <w:rsid w:val="0091015E"/>
    <w:rsid w:val="00911E54"/>
    <w:rsid w:val="009140A3"/>
    <w:rsid w:val="009144A2"/>
    <w:rsid w:val="0091510C"/>
    <w:rsid w:val="009226BA"/>
    <w:rsid w:val="00923125"/>
    <w:rsid w:val="009259AC"/>
    <w:rsid w:val="00926795"/>
    <w:rsid w:val="00926F38"/>
    <w:rsid w:val="00934301"/>
    <w:rsid w:val="00936CD1"/>
    <w:rsid w:val="00941747"/>
    <w:rsid w:val="00941EFB"/>
    <w:rsid w:val="00945F43"/>
    <w:rsid w:val="00947AFB"/>
    <w:rsid w:val="00947E9C"/>
    <w:rsid w:val="00951D7D"/>
    <w:rsid w:val="0095321E"/>
    <w:rsid w:val="00954EB2"/>
    <w:rsid w:val="009630C7"/>
    <w:rsid w:val="00972B55"/>
    <w:rsid w:val="009743B7"/>
    <w:rsid w:val="009749B8"/>
    <w:rsid w:val="009801CC"/>
    <w:rsid w:val="0098228B"/>
    <w:rsid w:val="009828DA"/>
    <w:rsid w:val="00985BAB"/>
    <w:rsid w:val="00986CEB"/>
    <w:rsid w:val="00987E7B"/>
    <w:rsid w:val="00997F03"/>
    <w:rsid w:val="009A1E81"/>
    <w:rsid w:val="009A46DF"/>
    <w:rsid w:val="009B1B5F"/>
    <w:rsid w:val="009B2EC2"/>
    <w:rsid w:val="009B5E9C"/>
    <w:rsid w:val="009B6673"/>
    <w:rsid w:val="009C191B"/>
    <w:rsid w:val="009C198E"/>
    <w:rsid w:val="009C2BD6"/>
    <w:rsid w:val="009C5A3F"/>
    <w:rsid w:val="009D469D"/>
    <w:rsid w:val="009E065A"/>
    <w:rsid w:val="009E0C65"/>
    <w:rsid w:val="009E1F32"/>
    <w:rsid w:val="009E5829"/>
    <w:rsid w:val="009E776C"/>
    <w:rsid w:val="009F0899"/>
    <w:rsid w:val="009F0A1B"/>
    <w:rsid w:val="00A1726E"/>
    <w:rsid w:val="00A204CF"/>
    <w:rsid w:val="00A20D1E"/>
    <w:rsid w:val="00A215E9"/>
    <w:rsid w:val="00A23D49"/>
    <w:rsid w:val="00A27004"/>
    <w:rsid w:val="00A30C29"/>
    <w:rsid w:val="00A34DD6"/>
    <w:rsid w:val="00A34EAA"/>
    <w:rsid w:val="00A36819"/>
    <w:rsid w:val="00A36989"/>
    <w:rsid w:val="00A43628"/>
    <w:rsid w:val="00A54192"/>
    <w:rsid w:val="00A6035E"/>
    <w:rsid w:val="00A6144C"/>
    <w:rsid w:val="00A66617"/>
    <w:rsid w:val="00A671F8"/>
    <w:rsid w:val="00A673A4"/>
    <w:rsid w:val="00A724AE"/>
    <w:rsid w:val="00A7309B"/>
    <w:rsid w:val="00A73329"/>
    <w:rsid w:val="00A74AA4"/>
    <w:rsid w:val="00A768AA"/>
    <w:rsid w:val="00A82359"/>
    <w:rsid w:val="00A865D2"/>
    <w:rsid w:val="00A94C20"/>
    <w:rsid w:val="00A95024"/>
    <w:rsid w:val="00AA227F"/>
    <w:rsid w:val="00AA22FF"/>
    <w:rsid w:val="00AA3BC7"/>
    <w:rsid w:val="00AA754A"/>
    <w:rsid w:val="00AB099E"/>
    <w:rsid w:val="00AB4328"/>
    <w:rsid w:val="00AB5FA0"/>
    <w:rsid w:val="00AC6137"/>
    <w:rsid w:val="00AD13EA"/>
    <w:rsid w:val="00AD1B68"/>
    <w:rsid w:val="00AE0A2E"/>
    <w:rsid w:val="00AE2684"/>
    <w:rsid w:val="00AE354C"/>
    <w:rsid w:val="00AF4B07"/>
    <w:rsid w:val="00AF6186"/>
    <w:rsid w:val="00AF7A3A"/>
    <w:rsid w:val="00B160DB"/>
    <w:rsid w:val="00B20836"/>
    <w:rsid w:val="00B235BB"/>
    <w:rsid w:val="00B2615B"/>
    <w:rsid w:val="00B27A44"/>
    <w:rsid w:val="00B30BBF"/>
    <w:rsid w:val="00B33C03"/>
    <w:rsid w:val="00B4384D"/>
    <w:rsid w:val="00B44E56"/>
    <w:rsid w:val="00B46543"/>
    <w:rsid w:val="00B47D33"/>
    <w:rsid w:val="00B52BE0"/>
    <w:rsid w:val="00B54133"/>
    <w:rsid w:val="00B56EE8"/>
    <w:rsid w:val="00B63A8D"/>
    <w:rsid w:val="00B63CAA"/>
    <w:rsid w:val="00B701ED"/>
    <w:rsid w:val="00B7211D"/>
    <w:rsid w:val="00B7668E"/>
    <w:rsid w:val="00B8081F"/>
    <w:rsid w:val="00B8086C"/>
    <w:rsid w:val="00B861B4"/>
    <w:rsid w:val="00B86DFE"/>
    <w:rsid w:val="00B90990"/>
    <w:rsid w:val="00B922FF"/>
    <w:rsid w:val="00B9281E"/>
    <w:rsid w:val="00B9381D"/>
    <w:rsid w:val="00B93925"/>
    <w:rsid w:val="00B95187"/>
    <w:rsid w:val="00B952A8"/>
    <w:rsid w:val="00BA2D55"/>
    <w:rsid w:val="00BA71B1"/>
    <w:rsid w:val="00BB0637"/>
    <w:rsid w:val="00BB345F"/>
    <w:rsid w:val="00BB5883"/>
    <w:rsid w:val="00BB68EA"/>
    <w:rsid w:val="00BC016E"/>
    <w:rsid w:val="00BC164F"/>
    <w:rsid w:val="00BC1C27"/>
    <w:rsid w:val="00BC2678"/>
    <w:rsid w:val="00BC6BBF"/>
    <w:rsid w:val="00BD1572"/>
    <w:rsid w:val="00BD26D0"/>
    <w:rsid w:val="00BE14E3"/>
    <w:rsid w:val="00BE3774"/>
    <w:rsid w:val="00BE41E5"/>
    <w:rsid w:val="00BE4801"/>
    <w:rsid w:val="00BF0BBB"/>
    <w:rsid w:val="00BF4109"/>
    <w:rsid w:val="00BF4CC3"/>
    <w:rsid w:val="00BF616F"/>
    <w:rsid w:val="00C049AC"/>
    <w:rsid w:val="00C054C7"/>
    <w:rsid w:val="00C057B5"/>
    <w:rsid w:val="00C06F3C"/>
    <w:rsid w:val="00C146A6"/>
    <w:rsid w:val="00C17554"/>
    <w:rsid w:val="00C22687"/>
    <w:rsid w:val="00C32E4D"/>
    <w:rsid w:val="00C333A0"/>
    <w:rsid w:val="00C36A81"/>
    <w:rsid w:val="00C41974"/>
    <w:rsid w:val="00C447AD"/>
    <w:rsid w:val="00C536C1"/>
    <w:rsid w:val="00C53F4A"/>
    <w:rsid w:val="00C54125"/>
    <w:rsid w:val="00C55B54"/>
    <w:rsid w:val="00C6098E"/>
    <w:rsid w:val="00C611E5"/>
    <w:rsid w:val="00C6152C"/>
    <w:rsid w:val="00C621C2"/>
    <w:rsid w:val="00C64A6B"/>
    <w:rsid w:val="00C673C4"/>
    <w:rsid w:val="00C74810"/>
    <w:rsid w:val="00C74DDB"/>
    <w:rsid w:val="00C815FE"/>
    <w:rsid w:val="00C8382F"/>
    <w:rsid w:val="00C90D68"/>
    <w:rsid w:val="00C939FE"/>
    <w:rsid w:val="00CA4BDA"/>
    <w:rsid w:val="00CB1F66"/>
    <w:rsid w:val="00CB2951"/>
    <w:rsid w:val="00CB6A6F"/>
    <w:rsid w:val="00CD282B"/>
    <w:rsid w:val="00CD4C35"/>
    <w:rsid w:val="00CD7369"/>
    <w:rsid w:val="00CE0B0E"/>
    <w:rsid w:val="00CE3831"/>
    <w:rsid w:val="00CF0459"/>
    <w:rsid w:val="00CF33EB"/>
    <w:rsid w:val="00D00ABB"/>
    <w:rsid w:val="00D02EEC"/>
    <w:rsid w:val="00D03055"/>
    <w:rsid w:val="00D03551"/>
    <w:rsid w:val="00D06A63"/>
    <w:rsid w:val="00D07E0E"/>
    <w:rsid w:val="00D11478"/>
    <w:rsid w:val="00D131A4"/>
    <w:rsid w:val="00D15ED0"/>
    <w:rsid w:val="00D21B3E"/>
    <w:rsid w:val="00D21FED"/>
    <w:rsid w:val="00D24251"/>
    <w:rsid w:val="00D27289"/>
    <w:rsid w:val="00D343E2"/>
    <w:rsid w:val="00D361A2"/>
    <w:rsid w:val="00D379A1"/>
    <w:rsid w:val="00D37A8B"/>
    <w:rsid w:val="00D44C2E"/>
    <w:rsid w:val="00D45414"/>
    <w:rsid w:val="00D53C0F"/>
    <w:rsid w:val="00D566BD"/>
    <w:rsid w:val="00D57A4D"/>
    <w:rsid w:val="00D60AA7"/>
    <w:rsid w:val="00D60D87"/>
    <w:rsid w:val="00D6435F"/>
    <w:rsid w:val="00D75581"/>
    <w:rsid w:val="00D75E28"/>
    <w:rsid w:val="00D772C2"/>
    <w:rsid w:val="00D8008E"/>
    <w:rsid w:val="00D822A7"/>
    <w:rsid w:val="00D82C45"/>
    <w:rsid w:val="00D908A8"/>
    <w:rsid w:val="00D91D56"/>
    <w:rsid w:val="00D977B6"/>
    <w:rsid w:val="00DA4A31"/>
    <w:rsid w:val="00DA7B04"/>
    <w:rsid w:val="00DB36C2"/>
    <w:rsid w:val="00DB7196"/>
    <w:rsid w:val="00DC169B"/>
    <w:rsid w:val="00DC2AB9"/>
    <w:rsid w:val="00DC63F0"/>
    <w:rsid w:val="00DD2490"/>
    <w:rsid w:val="00DD6EE5"/>
    <w:rsid w:val="00DD70CF"/>
    <w:rsid w:val="00DE386C"/>
    <w:rsid w:val="00DE4D35"/>
    <w:rsid w:val="00DF0549"/>
    <w:rsid w:val="00DF098B"/>
    <w:rsid w:val="00DF11C4"/>
    <w:rsid w:val="00DF210C"/>
    <w:rsid w:val="00DF4B6A"/>
    <w:rsid w:val="00E01FFE"/>
    <w:rsid w:val="00E02C09"/>
    <w:rsid w:val="00E04D59"/>
    <w:rsid w:val="00E04D76"/>
    <w:rsid w:val="00E07DA1"/>
    <w:rsid w:val="00E123CB"/>
    <w:rsid w:val="00E1438D"/>
    <w:rsid w:val="00E1557C"/>
    <w:rsid w:val="00E20E13"/>
    <w:rsid w:val="00E21DBC"/>
    <w:rsid w:val="00E275D7"/>
    <w:rsid w:val="00E27DBE"/>
    <w:rsid w:val="00E32AB1"/>
    <w:rsid w:val="00E3458C"/>
    <w:rsid w:val="00E36C71"/>
    <w:rsid w:val="00E37FA5"/>
    <w:rsid w:val="00E40404"/>
    <w:rsid w:val="00E411AE"/>
    <w:rsid w:val="00E459C6"/>
    <w:rsid w:val="00E47589"/>
    <w:rsid w:val="00E62C87"/>
    <w:rsid w:val="00E64915"/>
    <w:rsid w:val="00E661D4"/>
    <w:rsid w:val="00E677C9"/>
    <w:rsid w:val="00E70091"/>
    <w:rsid w:val="00E720F5"/>
    <w:rsid w:val="00E76D47"/>
    <w:rsid w:val="00E83D8A"/>
    <w:rsid w:val="00E849F7"/>
    <w:rsid w:val="00E87889"/>
    <w:rsid w:val="00E90288"/>
    <w:rsid w:val="00E90302"/>
    <w:rsid w:val="00E9597F"/>
    <w:rsid w:val="00E97396"/>
    <w:rsid w:val="00EA185E"/>
    <w:rsid w:val="00EA592A"/>
    <w:rsid w:val="00EB14E4"/>
    <w:rsid w:val="00EB31A9"/>
    <w:rsid w:val="00EB32A5"/>
    <w:rsid w:val="00EB34ED"/>
    <w:rsid w:val="00EB7BE0"/>
    <w:rsid w:val="00EC315E"/>
    <w:rsid w:val="00ED05B5"/>
    <w:rsid w:val="00ED077C"/>
    <w:rsid w:val="00ED1190"/>
    <w:rsid w:val="00ED508C"/>
    <w:rsid w:val="00ED51AE"/>
    <w:rsid w:val="00ED6544"/>
    <w:rsid w:val="00EE0277"/>
    <w:rsid w:val="00EE1DA9"/>
    <w:rsid w:val="00EE3943"/>
    <w:rsid w:val="00EE3E00"/>
    <w:rsid w:val="00EE5DD2"/>
    <w:rsid w:val="00EF1318"/>
    <w:rsid w:val="00EF35AC"/>
    <w:rsid w:val="00EF41F1"/>
    <w:rsid w:val="00EF4F08"/>
    <w:rsid w:val="00EF7C68"/>
    <w:rsid w:val="00F00A79"/>
    <w:rsid w:val="00F00E86"/>
    <w:rsid w:val="00F075F6"/>
    <w:rsid w:val="00F07C1E"/>
    <w:rsid w:val="00F105DB"/>
    <w:rsid w:val="00F132BC"/>
    <w:rsid w:val="00F13D80"/>
    <w:rsid w:val="00F16AAA"/>
    <w:rsid w:val="00F21161"/>
    <w:rsid w:val="00F218EF"/>
    <w:rsid w:val="00F21BC7"/>
    <w:rsid w:val="00F26261"/>
    <w:rsid w:val="00F266A2"/>
    <w:rsid w:val="00F2676C"/>
    <w:rsid w:val="00F32269"/>
    <w:rsid w:val="00F326C2"/>
    <w:rsid w:val="00F56A6F"/>
    <w:rsid w:val="00F5709C"/>
    <w:rsid w:val="00F57771"/>
    <w:rsid w:val="00F626A6"/>
    <w:rsid w:val="00F64EF1"/>
    <w:rsid w:val="00F65369"/>
    <w:rsid w:val="00F66054"/>
    <w:rsid w:val="00F77011"/>
    <w:rsid w:val="00F8765F"/>
    <w:rsid w:val="00F90767"/>
    <w:rsid w:val="00F90805"/>
    <w:rsid w:val="00F9397E"/>
    <w:rsid w:val="00FA4DE4"/>
    <w:rsid w:val="00FA685B"/>
    <w:rsid w:val="00FB0C01"/>
    <w:rsid w:val="00FB219B"/>
    <w:rsid w:val="00FC18F2"/>
    <w:rsid w:val="00FC2242"/>
    <w:rsid w:val="00FC39E5"/>
    <w:rsid w:val="00FC3A78"/>
    <w:rsid w:val="00FC50C1"/>
    <w:rsid w:val="00FC5FFE"/>
    <w:rsid w:val="00FD1005"/>
    <w:rsid w:val="00FD1275"/>
    <w:rsid w:val="00FD3180"/>
    <w:rsid w:val="00FD6C75"/>
    <w:rsid w:val="00FE71B3"/>
    <w:rsid w:val="00FF155D"/>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annotation text" w:uiPriority="0"/>
    <w:lsdException w:name="header" w:uiPriority="57" w:unhideWhenUsed="1"/>
    <w:lsdException w:name="footer" w:uiPriority="57" w:unhideWhenUsed="1"/>
    <w:lsdException w:name="caption" w:qFormat="1"/>
    <w:lsdException w:name="footnote reference" w:unhideWhenUsed="1"/>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al">
    <w:name w:val="Normal"/>
    <w:semiHidden/>
    <w:rsid w:val="005E2A43"/>
    <w:pPr>
      <w:jc w:val="both"/>
    </w:pPr>
    <w:rPr>
      <w:rFonts w:eastAsiaTheme="minorEastAsia"/>
      <w:sz w:val="24"/>
    </w:rPr>
  </w:style>
  <w:style w:type="paragraph" w:styleId="Heading1">
    <w:name w:val="heading 1"/>
    <w:basedOn w:val="Normal"/>
    <w:next w:val="Normal"/>
    <w:link w:val="Heading1Char"/>
    <w:uiPriority w:val="99"/>
    <w:semiHidden/>
    <w:rsid w:val="00941747"/>
    <w:pPr>
      <w:numPr>
        <w:numId w:val="11"/>
      </w:numPr>
      <w:spacing w:before="480"/>
      <w:contextualSpacing/>
      <w:jc w:val="left"/>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numPr>
        <w:ilvl w:val="1"/>
        <w:numId w:val="11"/>
      </w:numPr>
      <w:spacing w:before="200"/>
      <w:jc w:val="left"/>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numPr>
        <w:ilvl w:val="2"/>
        <w:numId w:val="11"/>
      </w:numPr>
      <w:spacing w:before="200" w:line="271" w:lineRule="auto"/>
      <w:jc w:val="left"/>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numPr>
        <w:ilvl w:val="3"/>
        <w:numId w:val="11"/>
      </w:numPr>
      <w:spacing w:before="200"/>
      <w:jc w:val="left"/>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1456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941747"/>
    <w:pPr>
      <w:numPr>
        <w:ilvl w:val="5"/>
        <w:numId w:val="11"/>
      </w:num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014566"/>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01456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01456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014566"/>
    <w:rPr>
      <w:i/>
      <w:iCs/>
      <w:smallCaps/>
      <w:spacing w:val="5"/>
    </w:rPr>
  </w:style>
  <w:style w:type="paragraph" w:customStyle="1" w:styleId="ECHRHeader">
    <w:name w:val="ECHR_Header"/>
    <w:aliases w:val="Ju_Header"/>
    <w:basedOn w:val="Header"/>
    <w:uiPriority w:val="4"/>
    <w:qFormat/>
    <w:rsid w:val="00014566"/>
    <w:pPr>
      <w:tabs>
        <w:tab w:val="clear" w:pos="4536"/>
        <w:tab w:val="clear" w:pos="9696"/>
        <w:tab w:val="center" w:pos="3686"/>
        <w:tab w:val="right" w:pos="7371"/>
      </w:tabs>
      <w:ind w:left="0" w:right="0"/>
      <w:jc w:val="left"/>
    </w:pPr>
    <w:rPr>
      <w:rFonts w:eastAsiaTheme="minorHAnsi"/>
      <w:sz w:val="18"/>
    </w:rPr>
  </w:style>
  <w:style w:type="paragraph" w:customStyle="1" w:styleId="OpiPara">
    <w:name w:val="Opi_Para"/>
    <w:basedOn w:val="Normal"/>
    <w:uiPriority w:val="46"/>
    <w:qFormat/>
    <w:rsid w:val="00C621C2"/>
    <w:pPr>
      <w:ind w:firstLine="284"/>
    </w:pPr>
  </w:style>
  <w:style w:type="character" w:styleId="Strong">
    <w:name w:val="Strong"/>
    <w:uiPriority w:val="99"/>
    <w:semiHidden/>
    <w:qFormat/>
    <w:rsid w:val="00014566"/>
    <w:rPr>
      <w:b/>
      <w:bCs/>
    </w:rPr>
  </w:style>
  <w:style w:type="paragraph" w:styleId="NoSpacing">
    <w:name w:val="No Spacing"/>
    <w:basedOn w:val="Normal"/>
    <w:link w:val="NoSpacingChar"/>
    <w:semiHidden/>
    <w:qFormat/>
    <w:rsid w:val="00014566"/>
    <w:rPr>
      <w:sz w:val="22"/>
    </w:rPr>
  </w:style>
  <w:style w:type="character" w:customStyle="1" w:styleId="NoSpacingChar">
    <w:name w:val="No Spacing Char"/>
    <w:basedOn w:val="DefaultParagraphFont"/>
    <w:link w:val="NoSpacing"/>
    <w:semiHidden/>
    <w:rsid w:val="00014566"/>
    <w:rPr>
      <w:rFonts w:eastAsiaTheme="minorEastAsia"/>
    </w:rPr>
  </w:style>
  <w:style w:type="paragraph" w:customStyle="1" w:styleId="JuParaSub">
    <w:name w:val="Ju_Para_Sub"/>
    <w:basedOn w:val="Normal"/>
    <w:uiPriority w:val="13"/>
    <w:qFormat/>
    <w:rsid w:val="00C621C2"/>
    <w:pPr>
      <w:ind w:left="284" w:firstLine="284"/>
    </w:pPr>
  </w:style>
  <w:style w:type="paragraph" w:customStyle="1" w:styleId="OpiParaSub">
    <w:name w:val="Opi_Para_Sub"/>
    <w:basedOn w:val="JuParaSub"/>
    <w:uiPriority w:val="47"/>
    <w:qFormat/>
    <w:rsid w:val="00014566"/>
  </w:style>
  <w:style w:type="paragraph" w:customStyle="1" w:styleId="OpiQuot">
    <w:name w:val="Opi_Quot"/>
    <w:basedOn w:val="ECHRParaQuote"/>
    <w:uiPriority w:val="48"/>
    <w:qFormat/>
    <w:rsid w:val="00014566"/>
  </w:style>
  <w:style w:type="paragraph" w:customStyle="1" w:styleId="OpiQuotSub">
    <w:name w:val="Opi_Quot_Sub"/>
    <w:basedOn w:val="JuQuotSub"/>
    <w:uiPriority w:val="49"/>
    <w:qFormat/>
    <w:rsid w:val="00014566"/>
  </w:style>
  <w:style w:type="paragraph" w:customStyle="1" w:styleId="ECHRTitleCentre3">
    <w:name w:val="ECHR_Title_Centre_3"/>
    <w:aliases w:val="Ju_H_Article"/>
    <w:basedOn w:val="Normal"/>
    <w:next w:val="ECHRParaQuote"/>
    <w:uiPriority w:val="27"/>
    <w:qFormat/>
    <w:rsid w:val="0001456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014566"/>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14566"/>
    <w:pPr>
      <w:ind w:left="567"/>
    </w:pPr>
  </w:style>
  <w:style w:type="paragraph" w:customStyle="1" w:styleId="JuInitialled">
    <w:name w:val="Ju_Initialled"/>
    <w:basedOn w:val="Normal"/>
    <w:uiPriority w:val="31"/>
    <w:qFormat/>
    <w:rsid w:val="00014566"/>
    <w:pPr>
      <w:tabs>
        <w:tab w:val="center" w:pos="6407"/>
      </w:tabs>
      <w:spacing w:before="720"/>
      <w:jc w:val="right"/>
    </w:pPr>
  </w:style>
  <w:style w:type="paragraph" w:customStyle="1" w:styleId="OpiHA">
    <w:name w:val="Opi_H_A"/>
    <w:basedOn w:val="ECHRHeading1"/>
    <w:next w:val="OpiPara"/>
    <w:uiPriority w:val="41"/>
    <w:qFormat/>
    <w:rsid w:val="00014566"/>
    <w:pPr>
      <w:outlineLvl w:val="1"/>
    </w:pPr>
    <w:rPr>
      <w:bCs w:val="0"/>
    </w:rPr>
  </w:style>
  <w:style w:type="character" w:customStyle="1" w:styleId="JUNAMES">
    <w:name w:val="JU_NAMES"/>
    <w:uiPriority w:val="17"/>
    <w:qFormat/>
    <w:rsid w:val="00014566"/>
    <w:rPr>
      <w:caps w:val="0"/>
      <w:smallCaps/>
    </w:rPr>
  </w:style>
  <w:style w:type="paragraph" w:customStyle="1" w:styleId="OpiTranslation">
    <w:name w:val="Opi_Translation"/>
    <w:basedOn w:val="Normal"/>
    <w:next w:val="OpiPara"/>
    <w:uiPriority w:val="40"/>
    <w:qFormat/>
    <w:rsid w:val="00014566"/>
    <w:pPr>
      <w:jc w:val="center"/>
      <w:outlineLvl w:val="0"/>
    </w:pPr>
    <w:rPr>
      <w:i/>
    </w:rPr>
  </w:style>
  <w:style w:type="paragraph" w:styleId="Title">
    <w:name w:val="Title"/>
    <w:basedOn w:val="Normal"/>
    <w:next w:val="Normal"/>
    <w:link w:val="TitleChar"/>
    <w:uiPriority w:val="99"/>
    <w:semiHidden/>
    <w:qFormat/>
    <w:rsid w:val="0001456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1456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Normal"/>
    <w:qFormat/>
    <w:rsid w:val="00014566"/>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Heading4">
    <w:name w:val="ECHR_Heading_4"/>
    <w:aliases w:val="Ju_H_a"/>
    <w:basedOn w:val="Heading4"/>
    <w:next w:val="Normal"/>
    <w:uiPriority w:val="22"/>
    <w:qFormat/>
    <w:rsid w:val="00014566"/>
    <w:pPr>
      <w:keepNext/>
      <w:keepLines/>
      <w:numPr>
        <w:ilvl w:val="0"/>
        <w:numId w:val="0"/>
      </w:numPr>
      <w:tabs>
        <w:tab w:val="left" w:pos="975"/>
      </w:tabs>
      <w:spacing w:before="240" w:after="120"/>
      <w:ind w:left="975" w:hanging="340"/>
      <w:jc w:val="both"/>
    </w:pPr>
    <w:rPr>
      <w:i w:val="0"/>
      <w:color w:val="auto"/>
      <w:sz w:val="20"/>
    </w:rPr>
  </w:style>
  <w:style w:type="paragraph" w:customStyle="1" w:styleId="ECHRHeading5">
    <w:name w:val="ECHR_Heading_5"/>
    <w:aliases w:val="Ju_H_i"/>
    <w:basedOn w:val="Heading5"/>
    <w:next w:val="Normal"/>
    <w:uiPriority w:val="23"/>
    <w:qFormat/>
    <w:rsid w:val="0001456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Normal"/>
    <w:uiPriority w:val="24"/>
    <w:qFormat/>
    <w:rsid w:val="00014566"/>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Heading7"/>
    <w:next w:val="Normal"/>
    <w:uiPriority w:val="25"/>
    <w:qFormat/>
    <w:rsid w:val="00014566"/>
    <w:pPr>
      <w:keepNext/>
      <w:keepLines/>
      <w:spacing w:before="240" w:after="120"/>
      <w:ind w:left="1236"/>
    </w:pPr>
    <w:rPr>
      <w:sz w:val="20"/>
    </w:rPr>
  </w:style>
  <w:style w:type="paragraph" w:customStyle="1" w:styleId="OpiH1">
    <w:name w:val="Opi_H_1"/>
    <w:basedOn w:val="ECHRHeading2"/>
    <w:uiPriority w:val="42"/>
    <w:qFormat/>
    <w:rsid w:val="00014566"/>
    <w:pPr>
      <w:ind w:left="635" w:hanging="357"/>
      <w:outlineLvl w:val="2"/>
    </w:pPr>
  </w:style>
  <w:style w:type="paragraph" w:customStyle="1" w:styleId="OpiHa0">
    <w:name w:val="Opi_H_a"/>
    <w:basedOn w:val="ECHRHeading3"/>
    <w:uiPriority w:val="43"/>
    <w:qFormat/>
    <w:rsid w:val="00014566"/>
    <w:pPr>
      <w:ind w:left="833" w:hanging="357"/>
      <w:outlineLvl w:val="3"/>
    </w:pPr>
    <w:rPr>
      <w:b/>
      <w:i w:val="0"/>
      <w:sz w:val="20"/>
    </w:rPr>
  </w:style>
  <w:style w:type="paragraph" w:customStyle="1" w:styleId="OpiHi">
    <w:name w:val="Opi_H_i"/>
    <w:basedOn w:val="ECHRHeading4"/>
    <w:uiPriority w:val="44"/>
    <w:qFormat/>
    <w:rsid w:val="00014566"/>
    <w:pPr>
      <w:ind w:left="1037" w:hanging="357"/>
      <w:outlineLvl w:val="4"/>
    </w:pPr>
    <w:rPr>
      <w:b w:val="0"/>
      <w:i/>
    </w:rPr>
  </w:style>
  <w:style w:type="paragraph" w:styleId="Header">
    <w:name w:val="header"/>
    <w:basedOn w:val="Normal"/>
    <w:link w:val="HeaderChar"/>
    <w:uiPriority w:val="57"/>
    <w:semiHidden/>
    <w:rsid w:val="00941747"/>
    <w:pPr>
      <w:tabs>
        <w:tab w:val="center" w:pos="4536"/>
        <w:tab w:val="right" w:pos="9696"/>
      </w:tabs>
      <w:ind w:left="-680" w:right="-680"/>
    </w:pPr>
  </w:style>
  <w:style w:type="character" w:customStyle="1" w:styleId="HeaderChar">
    <w:name w:val="Header Char"/>
    <w:basedOn w:val="DefaultParagraphFont"/>
    <w:link w:val="Header"/>
    <w:uiPriority w:val="57"/>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Normal"/>
    <w:uiPriority w:val="19"/>
    <w:qFormat/>
    <w:rsid w:val="00014566"/>
    <w:pPr>
      <w:keepNext/>
      <w:keepLines/>
      <w:numPr>
        <w:numId w:val="0"/>
      </w:numPr>
      <w:tabs>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
    <w:basedOn w:val="Heading2"/>
    <w:next w:val="Normal"/>
    <w:uiPriority w:val="20"/>
    <w:qFormat/>
    <w:rsid w:val="00014566"/>
    <w:pPr>
      <w:keepNext/>
      <w:keepLines/>
      <w:numPr>
        <w:ilvl w:val="0"/>
        <w:numId w:val="0"/>
      </w:numPr>
      <w:tabs>
        <w:tab w:val="left" w:pos="584"/>
      </w:tabs>
      <w:spacing w:before="360" w:after="240"/>
      <w:ind w:left="584" w:hanging="352"/>
      <w:jc w:val="both"/>
    </w:pPr>
    <w:rPr>
      <w:color w:val="auto"/>
      <w:sz w:val="24"/>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DummyStyle">
    <w:name w:val="Dummy_Style"/>
    <w:basedOn w:val="Normal"/>
    <w:semiHidden/>
    <w:qFormat/>
    <w:rsid w:val="00014566"/>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character" w:customStyle="1" w:styleId="Heading5Char">
    <w:name w:val="Heading 5 Char"/>
    <w:basedOn w:val="DefaultParagraphFont"/>
    <w:link w:val="Heading5"/>
    <w:uiPriority w:val="99"/>
    <w:semiHidden/>
    <w:rsid w:val="00014566"/>
    <w:rPr>
      <w:rFonts w:asciiTheme="majorHAnsi" w:eastAsiaTheme="majorEastAsia" w:hAnsiTheme="majorHAnsi" w:cstheme="majorBidi"/>
      <w:b/>
      <w:bCs/>
      <w:color w:val="808080"/>
    </w:rPr>
  </w:style>
  <w:style w:type="character" w:styleId="SubtleEmphasis">
    <w:name w:val="Subtle Emphasis"/>
    <w:uiPriority w:val="99"/>
    <w:semiHidden/>
    <w:qFormat/>
    <w:rsid w:val="00014566"/>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Normal"/>
    <w:uiPriority w:val="18"/>
    <w:qFormat/>
    <w:rsid w:val="00014566"/>
    <w:pPr>
      <w:keepNext/>
      <w:keepLines/>
      <w:spacing w:before="720" w:after="240"/>
      <w:outlineLvl w:val="0"/>
    </w:pPr>
    <w:rPr>
      <w:rFonts w:asciiTheme="majorHAnsi" w:hAnsiTheme="majorHAnsi"/>
      <w:sz w:val="28"/>
    </w:rPr>
  </w:style>
  <w:style w:type="character" w:styleId="Emphasis">
    <w:name w:val="Emphasis"/>
    <w:uiPriority w:val="99"/>
    <w:semiHidden/>
    <w:qFormat/>
    <w:rsid w:val="00014566"/>
    <w:rPr>
      <w:b/>
      <w:bCs/>
      <w:i/>
      <w:iCs/>
      <w:spacing w:val="10"/>
      <w:bdr w:val="none" w:sz="0" w:space="0" w:color="auto"/>
      <w:shd w:val="clear" w:color="auto" w:fill="auto"/>
    </w:rPr>
  </w:style>
  <w:style w:type="paragraph" w:styleId="Footer">
    <w:name w:val="footer"/>
    <w:basedOn w:val="Normal"/>
    <w:link w:val="FooterChar"/>
    <w:uiPriority w:val="57"/>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A671F8"/>
    <w:rPr>
      <w:rFonts w:eastAsiaTheme="minorEastAsia"/>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14566"/>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14566"/>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14566"/>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014566"/>
    <w:rPr>
      <w:b/>
      <w:bCs/>
    </w:rPr>
  </w:style>
  <w:style w:type="paragraph" w:styleId="IntenseQuote">
    <w:name w:val="Intense Quote"/>
    <w:basedOn w:val="Normal"/>
    <w:next w:val="Normal"/>
    <w:link w:val="IntenseQuoteChar"/>
    <w:uiPriority w:val="99"/>
    <w:semiHidden/>
    <w:qFormat/>
    <w:rsid w:val="00014566"/>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014566"/>
    <w:rPr>
      <w:rFonts w:eastAsiaTheme="minorEastAsia"/>
      <w:b/>
      <w:bCs/>
      <w:i/>
      <w:iCs/>
      <w:lang w:bidi="en-US"/>
    </w:rPr>
  </w:style>
  <w:style w:type="character" w:styleId="IntenseReference">
    <w:name w:val="Intense Reference"/>
    <w:uiPriority w:val="99"/>
    <w:semiHidden/>
    <w:qFormat/>
    <w:rsid w:val="00014566"/>
    <w:rPr>
      <w:smallCaps/>
      <w:spacing w:val="5"/>
      <w:u w:val="single"/>
    </w:rPr>
  </w:style>
  <w:style w:type="paragraph" w:styleId="ListParagraph">
    <w:name w:val="List Paragraph"/>
    <w:basedOn w:val="Normal"/>
    <w:uiPriority w:val="99"/>
    <w:semiHidden/>
    <w:qFormat/>
    <w:rsid w:val="00014566"/>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014566"/>
    <w:pPr>
      <w:spacing w:before="200"/>
      <w:ind w:left="360" w:right="360"/>
    </w:pPr>
    <w:rPr>
      <w:i/>
      <w:iCs/>
      <w:sz w:val="22"/>
      <w:lang w:bidi="en-US"/>
    </w:rPr>
  </w:style>
  <w:style w:type="character" w:customStyle="1" w:styleId="QuoteChar">
    <w:name w:val="Quote Char"/>
    <w:basedOn w:val="DefaultParagraphFont"/>
    <w:link w:val="Quote"/>
    <w:uiPriority w:val="99"/>
    <w:semiHidden/>
    <w:rsid w:val="00014566"/>
    <w:rPr>
      <w:rFonts w:eastAsiaTheme="minorEastAsia"/>
      <w:i/>
      <w:iCs/>
      <w:lang w:bidi="en-US"/>
    </w:rPr>
  </w:style>
  <w:style w:type="character" w:styleId="SubtleReference">
    <w:name w:val="Subtle Reference"/>
    <w:uiPriority w:val="99"/>
    <w:semiHidden/>
    <w:qFormat/>
    <w:rsid w:val="00014566"/>
    <w:rPr>
      <w:smallCaps/>
    </w:rPr>
  </w:style>
  <w:style w:type="table" w:styleId="TableGrid">
    <w:name w:val="Table Grid"/>
    <w:basedOn w:val="TableNormal"/>
    <w:uiPriority w:val="59"/>
    <w:semiHidden/>
    <w:rsid w:val="00941747"/>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014566"/>
    <w:pPr>
      <w:numPr>
        <w:numId w:val="0"/>
      </w:numPr>
      <w:jc w:val="both"/>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qFormat/>
    <w:rsid w:val="00014566"/>
    <w:pPr>
      <w:spacing w:before="120" w:after="120"/>
      <w:ind w:left="425" w:firstLine="142"/>
    </w:pPr>
    <w:rPr>
      <w:sz w:val="20"/>
    </w:rPr>
  </w:style>
  <w:style w:type="paragraph" w:customStyle="1" w:styleId="ECHRPara">
    <w:name w:val="ECHR_Para"/>
    <w:aliases w:val="Ju_Para,Left,First line:  0 cm"/>
    <w:basedOn w:val="Normal"/>
    <w:link w:val="JuParaCar"/>
    <w:uiPriority w:val="12"/>
    <w:qFormat/>
    <w:rsid w:val="00C621C2"/>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F054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C621C2"/>
    <w:pPr>
      <w:ind w:left="340" w:hanging="340"/>
    </w:pPr>
  </w:style>
  <w:style w:type="paragraph" w:customStyle="1" w:styleId="JuSigned">
    <w:name w:val="Ju_Signed"/>
    <w:basedOn w:val="Normal"/>
    <w:next w:val="JuParaLast"/>
    <w:uiPriority w:val="32"/>
    <w:qFormat/>
    <w:rsid w:val="00C621C2"/>
    <w:pPr>
      <w:tabs>
        <w:tab w:val="center" w:pos="851"/>
        <w:tab w:val="center" w:pos="6407"/>
      </w:tabs>
      <w:spacing w:before="720"/>
      <w:jc w:val="left"/>
    </w:pPr>
  </w:style>
  <w:style w:type="paragraph" w:customStyle="1" w:styleId="JuParaLast">
    <w:name w:val="Ju_Para_Last"/>
    <w:basedOn w:val="Normal"/>
    <w:next w:val="Normal"/>
    <w:uiPriority w:val="30"/>
    <w:qFormat/>
    <w:rsid w:val="00014566"/>
    <w:pPr>
      <w:keepNext/>
      <w:keepLines/>
      <w:spacing w:before="240"/>
      <w:ind w:firstLine="284"/>
    </w:pPr>
  </w:style>
  <w:style w:type="paragraph" w:customStyle="1" w:styleId="JuCourt">
    <w:name w:val="Ju_Court"/>
    <w:basedOn w:val="Normal"/>
    <w:next w:val="Normal"/>
    <w:uiPriority w:val="16"/>
    <w:qFormat/>
    <w:rsid w:val="00014566"/>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014566"/>
    <w:rPr>
      <w:sz w:val="18"/>
    </w:rPr>
  </w:style>
  <w:style w:type="paragraph" w:customStyle="1" w:styleId="JuLista">
    <w:name w:val="Ju_List_a"/>
    <w:basedOn w:val="Normal"/>
    <w:uiPriority w:val="28"/>
    <w:qFormat/>
    <w:rsid w:val="00C621C2"/>
    <w:pPr>
      <w:ind w:left="346"/>
    </w:pPr>
  </w:style>
  <w:style w:type="paragraph" w:customStyle="1" w:styleId="JuListi">
    <w:name w:val="Ju_List_i"/>
    <w:basedOn w:val="Normal"/>
    <w:next w:val="JuLista"/>
    <w:uiPriority w:val="28"/>
    <w:qFormat/>
    <w:rsid w:val="00014566"/>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character" w:customStyle="1" w:styleId="JuNames0">
    <w:name w:val="Ju_Names"/>
    <w:rsid w:val="00014566"/>
    <w:rPr>
      <w:smallCaps/>
    </w:rPr>
  </w:style>
  <w:style w:type="paragraph" w:styleId="ListBullet">
    <w:name w:val="List Bullet"/>
    <w:basedOn w:val="Normal"/>
    <w:uiPriority w:val="99"/>
    <w:semiHidden/>
    <w:rsid w:val="00014566"/>
    <w:pPr>
      <w:numPr>
        <w:numId w:val="8"/>
      </w:numPr>
    </w:pPr>
  </w:style>
  <w:style w:type="character" w:customStyle="1" w:styleId="JuITMark">
    <w:name w:val="Ju_ITMark"/>
    <w:basedOn w:val="DefaultParagraphFont"/>
    <w:uiPriority w:val="38"/>
    <w:qFormat/>
    <w:rsid w:val="00014566"/>
    <w:rPr>
      <w:vanish w:val="0"/>
      <w:color w:val="auto"/>
      <w:sz w:val="14"/>
    </w:rPr>
  </w:style>
  <w:style w:type="paragraph" w:styleId="Subtitle">
    <w:name w:val="Subtitle"/>
    <w:basedOn w:val="Normal"/>
    <w:next w:val="Normal"/>
    <w:link w:val="SubtitleChar"/>
    <w:uiPriority w:val="99"/>
    <w:semiHidden/>
    <w:qFormat/>
    <w:rsid w:val="00014566"/>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014566"/>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9"/>
      </w:numPr>
    </w:pPr>
  </w:style>
  <w:style w:type="numbering" w:styleId="1ai">
    <w:name w:val="Outline List 1"/>
    <w:basedOn w:val="NoList"/>
    <w:uiPriority w:val="99"/>
    <w:semiHidden/>
    <w:rsid w:val="00014566"/>
    <w:pPr>
      <w:numPr>
        <w:numId w:val="10"/>
      </w:numPr>
    </w:pPr>
  </w:style>
  <w:style w:type="numbering" w:styleId="ArticleSection">
    <w:name w:val="Outline List 3"/>
    <w:basedOn w:val="NoList"/>
    <w:uiPriority w:val="99"/>
    <w:semiHidden/>
    <w:rsid w:val="00014566"/>
    <w:pPr>
      <w:numPr>
        <w:numId w:val="11"/>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ar">
    <w:name w:val="Ju_Para Car"/>
    <w:link w:val="ECHRPara"/>
    <w:uiPriority w:val="12"/>
    <w:rsid w:val="0038162B"/>
    <w:rPr>
      <w:rFonts w:eastAsiaTheme="minorEastAsia"/>
      <w:sz w:val="24"/>
    </w:rPr>
  </w:style>
  <w:style w:type="character" w:customStyle="1" w:styleId="sb8d990e2">
    <w:name w:val="sb8d990e2"/>
    <w:basedOn w:val="DefaultParagraphFont"/>
    <w:rsid w:val="00F77011"/>
  </w:style>
  <w:style w:type="character" w:customStyle="1" w:styleId="sfbbfee58">
    <w:name w:val="sfbbfee58"/>
    <w:basedOn w:val="DefaultParagraphFont"/>
    <w:rsid w:val="00D75581"/>
  </w:style>
  <w:style w:type="character" w:customStyle="1" w:styleId="wordhighlighted">
    <w:name w:val="wordhighlighted"/>
    <w:basedOn w:val="DefaultParagraphFont"/>
    <w:rsid w:val="009E0C65"/>
  </w:style>
  <w:style w:type="character" w:customStyle="1" w:styleId="s6b621b36">
    <w:name w:val="s6b621b36"/>
    <w:basedOn w:val="DefaultParagraphFont"/>
    <w:rsid w:val="0055725C"/>
  </w:style>
  <w:style w:type="character" w:customStyle="1" w:styleId="column01">
    <w:name w:val="column01"/>
    <w:basedOn w:val="DefaultParagraphFont"/>
    <w:rsid w:val="00553855"/>
  </w:style>
  <w:style w:type="character" w:customStyle="1" w:styleId="s9da01b7c">
    <w:name w:val="s9da01b7c"/>
    <w:basedOn w:val="DefaultParagraphFont"/>
    <w:rsid w:val="00365D68"/>
  </w:style>
  <w:style w:type="character" w:customStyle="1" w:styleId="s66dba44c">
    <w:name w:val="s66dba44c"/>
    <w:basedOn w:val="DefaultParagraphFont"/>
    <w:rsid w:val="00365D68"/>
  </w:style>
  <w:style w:type="character" w:customStyle="1" w:styleId="JuParaChar">
    <w:name w:val="Ju_Para Char"/>
    <w:rsid w:val="006B3D4D"/>
    <w:rPr>
      <w:sz w:val="24"/>
      <w:lang w:val="en-GB" w:eastAsia="fr-FR" w:bidi="ar-SA"/>
    </w:rPr>
  </w:style>
  <w:style w:type="character" w:customStyle="1" w:styleId="textcolumn">
    <w:name w:val="textcolumn"/>
    <w:basedOn w:val="DefaultParagraphFont"/>
    <w:rsid w:val="00470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annotation text" w:uiPriority="0"/>
    <w:lsdException w:name="header" w:uiPriority="57" w:unhideWhenUsed="1"/>
    <w:lsdException w:name="footer" w:uiPriority="57" w:unhideWhenUsed="1"/>
    <w:lsdException w:name="caption" w:qFormat="1"/>
    <w:lsdException w:name="footnote reference" w:unhideWhenUsed="1"/>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al">
    <w:name w:val="Normal"/>
    <w:semiHidden/>
    <w:rsid w:val="005E2A43"/>
    <w:pPr>
      <w:jc w:val="both"/>
    </w:pPr>
    <w:rPr>
      <w:rFonts w:eastAsiaTheme="minorEastAsia"/>
      <w:sz w:val="24"/>
    </w:rPr>
  </w:style>
  <w:style w:type="paragraph" w:styleId="Heading1">
    <w:name w:val="heading 1"/>
    <w:basedOn w:val="Normal"/>
    <w:next w:val="Normal"/>
    <w:link w:val="Heading1Char"/>
    <w:uiPriority w:val="99"/>
    <w:semiHidden/>
    <w:rsid w:val="00941747"/>
    <w:pPr>
      <w:numPr>
        <w:numId w:val="11"/>
      </w:numPr>
      <w:spacing w:before="480"/>
      <w:contextualSpacing/>
      <w:jc w:val="left"/>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numPr>
        <w:ilvl w:val="1"/>
        <w:numId w:val="11"/>
      </w:numPr>
      <w:spacing w:before="200"/>
      <w:jc w:val="left"/>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numPr>
        <w:ilvl w:val="2"/>
        <w:numId w:val="11"/>
      </w:numPr>
      <w:spacing w:before="200" w:line="271" w:lineRule="auto"/>
      <w:jc w:val="left"/>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numPr>
        <w:ilvl w:val="3"/>
        <w:numId w:val="11"/>
      </w:numPr>
      <w:spacing w:before="200"/>
      <w:jc w:val="left"/>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1456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941747"/>
    <w:pPr>
      <w:numPr>
        <w:ilvl w:val="5"/>
        <w:numId w:val="11"/>
      </w:num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014566"/>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01456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01456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014566"/>
    <w:rPr>
      <w:i/>
      <w:iCs/>
      <w:smallCaps/>
      <w:spacing w:val="5"/>
    </w:rPr>
  </w:style>
  <w:style w:type="paragraph" w:customStyle="1" w:styleId="ECHRHeader">
    <w:name w:val="ECHR_Header"/>
    <w:aliases w:val="Ju_Header"/>
    <w:basedOn w:val="Header"/>
    <w:uiPriority w:val="4"/>
    <w:qFormat/>
    <w:rsid w:val="00014566"/>
    <w:pPr>
      <w:tabs>
        <w:tab w:val="clear" w:pos="4536"/>
        <w:tab w:val="clear" w:pos="9696"/>
        <w:tab w:val="center" w:pos="3686"/>
        <w:tab w:val="right" w:pos="7371"/>
      </w:tabs>
      <w:ind w:left="0" w:right="0"/>
      <w:jc w:val="left"/>
    </w:pPr>
    <w:rPr>
      <w:rFonts w:eastAsiaTheme="minorHAnsi"/>
      <w:sz w:val="18"/>
    </w:rPr>
  </w:style>
  <w:style w:type="paragraph" w:customStyle="1" w:styleId="OpiPara">
    <w:name w:val="Opi_Para"/>
    <w:basedOn w:val="Normal"/>
    <w:uiPriority w:val="46"/>
    <w:qFormat/>
    <w:rsid w:val="00C621C2"/>
    <w:pPr>
      <w:ind w:firstLine="284"/>
    </w:pPr>
  </w:style>
  <w:style w:type="character" w:styleId="Strong">
    <w:name w:val="Strong"/>
    <w:uiPriority w:val="99"/>
    <w:semiHidden/>
    <w:qFormat/>
    <w:rsid w:val="00014566"/>
    <w:rPr>
      <w:b/>
      <w:bCs/>
    </w:rPr>
  </w:style>
  <w:style w:type="paragraph" w:styleId="NoSpacing">
    <w:name w:val="No Spacing"/>
    <w:basedOn w:val="Normal"/>
    <w:link w:val="NoSpacingChar"/>
    <w:semiHidden/>
    <w:qFormat/>
    <w:rsid w:val="00014566"/>
    <w:rPr>
      <w:sz w:val="22"/>
    </w:rPr>
  </w:style>
  <w:style w:type="character" w:customStyle="1" w:styleId="NoSpacingChar">
    <w:name w:val="No Spacing Char"/>
    <w:basedOn w:val="DefaultParagraphFont"/>
    <w:link w:val="NoSpacing"/>
    <w:semiHidden/>
    <w:rsid w:val="00014566"/>
    <w:rPr>
      <w:rFonts w:eastAsiaTheme="minorEastAsia"/>
    </w:rPr>
  </w:style>
  <w:style w:type="paragraph" w:customStyle="1" w:styleId="JuParaSub">
    <w:name w:val="Ju_Para_Sub"/>
    <w:basedOn w:val="Normal"/>
    <w:uiPriority w:val="13"/>
    <w:qFormat/>
    <w:rsid w:val="00C621C2"/>
    <w:pPr>
      <w:ind w:left="284" w:firstLine="284"/>
    </w:pPr>
  </w:style>
  <w:style w:type="paragraph" w:customStyle="1" w:styleId="OpiParaSub">
    <w:name w:val="Opi_Para_Sub"/>
    <w:basedOn w:val="JuParaSub"/>
    <w:uiPriority w:val="47"/>
    <w:qFormat/>
    <w:rsid w:val="00014566"/>
  </w:style>
  <w:style w:type="paragraph" w:customStyle="1" w:styleId="OpiQuot">
    <w:name w:val="Opi_Quot"/>
    <w:basedOn w:val="ECHRParaQuote"/>
    <w:uiPriority w:val="48"/>
    <w:qFormat/>
    <w:rsid w:val="00014566"/>
  </w:style>
  <w:style w:type="paragraph" w:customStyle="1" w:styleId="OpiQuotSub">
    <w:name w:val="Opi_Quot_Sub"/>
    <w:basedOn w:val="JuQuotSub"/>
    <w:uiPriority w:val="49"/>
    <w:qFormat/>
    <w:rsid w:val="00014566"/>
  </w:style>
  <w:style w:type="paragraph" w:customStyle="1" w:styleId="ECHRTitleCentre3">
    <w:name w:val="ECHR_Title_Centre_3"/>
    <w:aliases w:val="Ju_H_Article"/>
    <w:basedOn w:val="Normal"/>
    <w:next w:val="ECHRParaQuote"/>
    <w:uiPriority w:val="27"/>
    <w:qFormat/>
    <w:rsid w:val="0001456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014566"/>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14566"/>
    <w:pPr>
      <w:ind w:left="567"/>
    </w:pPr>
  </w:style>
  <w:style w:type="paragraph" w:customStyle="1" w:styleId="JuInitialled">
    <w:name w:val="Ju_Initialled"/>
    <w:basedOn w:val="Normal"/>
    <w:uiPriority w:val="31"/>
    <w:qFormat/>
    <w:rsid w:val="00014566"/>
    <w:pPr>
      <w:tabs>
        <w:tab w:val="center" w:pos="6407"/>
      </w:tabs>
      <w:spacing w:before="720"/>
      <w:jc w:val="right"/>
    </w:pPr>
  </w:style>
  <w:style w:type="paragraph" w:customStyle="1" w:styleId="OpiHA">
    <w:name w:val="Opi_H_A"/>
    <w:basedOn w:val="ECHRHeading1"/>
    <w:next w:val="OpiPara"/>
    <w:uiPriority w:val="41"/>
    <w:qFormat/>
    <w:rsid w:val="00014566"/>
    <w:pPr>
      <w:outlineLvl w:val="1"/>
    </w:pPr>
    <w:rPr>
      <w:bCs w:val="0"/>
    </w:rPr>
  </w:style>
  <w:style w:type="character" w:customStyle="1" w:styleId="JUNAMES">
    <w:name w:val="JU_NAMES"/>
    <w:uiPriority w:val="17"/>
    <w:qFormat/>
    <w:rsid w:val="00014566"/>
    <w:rPr>
      <w:caps w:val="0"/>
      <w:smallCaps/>
    </w:rPr>
  </w:style>
  <w:style w:type="paragraph" w:customStyle="1" w:styleId="OpiTranslation">
    <w:name w:val="Opi_Translation"/>
    <w:basedOn w:val="Normal"/>
    <w:next w:val="OpiPara"/>
    <w:uiPriority w:val="40"/>
    <w:qFormat/>
    <w:rsid w:val="00014566"/>
    <w:pPr>
      <w:jc w:val="center"/>
      <w:outlineLvl w:val="0"/>
    </w:pPr>
    <w:rPr>
      <w:i/>
    </w:rPr>
  </w:style>
  <w:style w:type="paragraph" w:styleId="Title">
    <w:name w:val="Title"/>
    <w:basedOn w:val="Normal"/>
    <w:next w:val="Normal"/>
    <w:link w:val="TitleChar"/>
    <w:uiPriority w:val="99"/>
    <w:semiHidden/>
    <w:qFormat/>
    <w:rsid w:val="0001456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1456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Normal"/>
    <w:qFormat/>
    <w:rsid w:val="00014566"/>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Heading4">
    <w:name w:val="ECHR_Heading_4"/>
    <w:aliases w:val="Ju_H_a"/>
    <w:basedOn w:val="Heading4"/>
    <w:next w:val="Normal"/>
    <w:uiPriority w:val="22"/>
    <w:qFormat/>
    <w:rsid w:val="00014566"/>
    <w:pPr>
      <w:keepNext/>
      <w:keepLines/>
      <w:numPr>
        <w:ilvl w:val="0"/>
        <w:numId w:val="0"/>
      </w:numPr>
      <w:tabs>
        <w:tab w:val="left" w:pos="975"/>
      </w:tabs>
      <w:spacing w:before="240" w:after="120"/>
      <w:ind w:left="975" w:hanging="340"/>
      <w:jc w:val="both"/>
    </w:pPr>
    <w:rPr>
      <w:i w:val="0"/>
      <w:color w:val="auto"/>
      <w:sz w:val="20"/>
    </w:rPr>
  </w:style>
  <w:style w:type="paragraph" w:customStyle="1" w:styleId="ECHRHeading5">
    <w:name w:val="ECHR_Heading_5"/>
    <w:aliases w:val="Ju_H_i"/>
    <w:basedOn w:val="Heading5"/>
    <w:next w:val="Normal"/>
    <w:uiPriority w:val="23"/>
    <w:qFormat/>
    <w:rsid w:val="0001456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Normal"/>
    <w:uiPriority w:val="24"/>
    <w:qFormat/>
    <w:rsid w:val="00014566"/>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Heading7"/>
    <w:next w:val="Normal"/>
    <w:uiPriority w:val="25"/>
    <w:qFormat/>
    <w:rsid w:val="00014566"/>
    <w:pPr>
      <w:keepNext/>
      <w:keepLines/>
      <w:spacing w:before="240" w:after="120"/>
      <w:ind w:left="1236"/>
    </w:pPr>
    <w:rPr>
      <w:sz w:val="20"/>
    </w:rPr>
  </w:style>
  <w:style w:type="paragraph" w:customStyle="1" w:styleId="OpiH1">
    <w:name w:val="Opi_H_1"/>
    <w:basedOn w:val="ECHRHeading2"/>
    <w:uiPriority w:val="42"/>
    <w:qFormat/>
    <w:rsid w:val="00014566"/>
    <w:pPr>
      <w:ind w:left="635" w:hanging="357"/>
      <w:outlineLvl w:val="2"/>
    </w:pPr>
  </w:style>
  <w:style w:type="paragraph" w:customStyle="1" w:styleId="OpiHa0">
    <w:name w:val="Opi_H_a"/>
    <w:basedOn w:val="ECHRHeading3"/>
    <w:uiPriority w:val="43"/>
    <w:qFormat/>
    <w:rsid w:val="00014566"/>
    <w:pPr>
      <w:ind w:left="833" w:hanging="357"/>
      <w:outlineLvl w:val="3"/>
    </w:pPr>
    <w:rPr>
      <w:b/>
      <w:i w:val="0"/>
      <w:sz w:val="20"/>
    </w:rPr>
  </w:style>
  <w:style w:type="paragraph" w:customStyle="1" w:styleId="OpiHi">
    <w:name w:val="Opi_H_i"/>
    <w:basedOn w:val="ECHRHeading4"/>
    <w:uiPriority w:val="44"/>
    <w:qFormat/>
    <w:rsid w:val="00014566"/>
    <w:pPr>
      <w:ind w:left="1037" w:hanging="357"/>
      <w:outlineLvl w:val="4"/>
    </w:pPr>
    <w:rPr>
      <w:b w:val="0"/>
      <w:i/>
    </w:rPr>
  </w:style>
  <w:style w:type="paragraph" w:styleId="Header">
    <w:name w:val="header"/>
    <w:basedOn w:val="Normal"/>
    <w:link w:val="HeaderChar"/>
    <w:uiPriority w:val="57"/>
    <w:semiHidden/>
    <w:rsid w:val="00941747"/>
    <w:pPr>
      <w:tabs>
        <w:tab w:val="center" w:pos="4536"/>
        <w:tab w:val="right" w:pos="9696"/>
      </w:tabs>
      <w:ind w:left="-680" w:right="-680"/>
    </w:pPr>
  </w:style>
  <w:style w:type="character" w:customStyle="1" w:styleId="HeaderChar">
    <w:name w:val="Header Char"/>
    <w:basedOn w:val="DefaultParagraphFont"/>
    <w:link w:val="Header"/>
    <w:uiPriority w:val="57"/>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Normal"/>
    <w:uiPriority w:val="19"/>
    <w:qFormat/>
    <w:rsid w:val="00014566"/>
    <w:pPr>
      <w:keepNext/>
      <w:keepLines/>
      <w:numPr>
        <w:numId w:val="0"/>
      </w:numPr>
      <w:tabs>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
    <w:basedOn w:val="Heading2"/>
    <w:next w:val="Normal"/>
    <w:uiPriority w:val="20"/>
    <w:qFormat/>
    <w:rsid w:val="00014566"/>
    <w:pPr>
      <w:keepNext/>
      <w:keepLines/>
      <w:numPr>
        <w:ilvl w:val="0"/>
        <w:numId w:val="0"/>
      </w:numPr>
      <w:tabs>
        <w:tab w:val="left" w:pos="584"/>
      </w:tabs>
      <w:spacing w:before="360" w:after="240"/>
      <w:ind w:left="584" w:hanging="352"/>
      <w:jc w:val="both"/>
    </w:pPr>
    <w:rPr>
      <w:color w:val="auto"/>
      <w:sz w:val="24"/>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DummyStyle">
    <w:name w:val="Dummy_Style"/>
    <w:basedOn w:val="Normal"/>
    <w:semiHidden/>
    <w:qFormat/>
    <w:rsid w:val="00014566"/>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character" w:customStyle="1" w:styleId="Heading5Char">
    <w:name w:val="Heading 5 Char"/>
    <w:basedOn w:val="DefaultParagraphFont"/>
    <w:link w:val="Heading5"/>
    <w:uiPriority w:val="99"/>
    <w:semiHidden/>
    <w:rsid w:val="00014566"/>
    <w:rPr>
      <w:rFonts w:asciiTheme="majorHAnsi" w:eastAsiaTheme="majorEastAsia" w:hAnsiTheme="majorHAnsi" w:cstheme="majorBidi"/>
      <w:b/>
      <w:bCs/>
      <w:color w:val="808080"/>
    </w:rPr>
  </w:style>
  <w:style w:type="character" w:styleId="SubtleEmphasis">
    <w:name w:val="Subtle Emphasis"/>
    <w:uiPriority w:val="99"/>
    <w:semiHidden/>
    <w:qFormat/>
    <w:rsid w:val="00014566"/>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Normal"/>
    <w:uiPriority w:val="18"/>
    <w:qFormat/>
    <w:rsid w:val="00014566"/>
    <w:pPr>
      <w:keepNext/>
      <w:keepLines/>
      <w:spacing w:before="720" w:after="240"/>
      <w:outlineLvl w:val="0"/>
    </w:pPr>
    <w:rPr>
      <w:rFonts w:asciiTheme="majorHAnsi" w:hAnsiTheme="majorHAnsi"/>
      <w:sz w:val="28"/>
    </w:rPr>
  </w:style>
  <w:style w:type="character" w:styleId="Emphasis">
    <w:name w:val="Emphasis"/>
    <w:uiPriority w:val="99"/>
    <w:semiHidden/>
    <w:qFormat/>
    <w:rsid w:val="00014566"/>
    <w:rPr>
      <w:b/>
      <w:bCs/>
      <w:i/>
      <w:iCs/>
      <w:spacing w:val="10"/>
      <w:bdr w:val="none" w:sz="0" w:space="0" w:color="auto"/>
      <w:shd w:val="clear" w:color="auto" w:fill="auto"/>
    </w:rPr>
  </w:style>
  <w:style w:type="paragraph" w:styleId="Footer">
    <w:name w:val="footer"/>
    <w:basedOn w:val="Normal"/>
    <w:link w:val="FooterChar"/>
    <w:uiPriority w:val="57"/>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A671F8"/>
    <w:rPr>
      <w:rFonts w:eastAsiaTheme="minorEastAsia"/>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14566"/>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14566"/>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14566"/>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014566"/>
    <w:rPr>
      <w:b/>
      <w:bCs/>
    </w:rPr>
  </w:style>
  <w:style w:type="paragraph" w:styleId="IntenseQuote">
    <w:name w:val="Intense Quote"/>
    <w:basedOn w:val="Normal"/>
    <w:next w:val="Normal"/>
    <w:link w:val="IntenseQuoteChar"/>
    <w:uiPriority w:val="99"/>
    <w:semiHidden/>
    <w:qFormat/>
    <w:rsid w:val="00014566"/>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014566"/>
    <w:rPr>
      <w:rFonts w:eastAsiaTheme="minorEastAsia"/>
      <w:b/>
      <w:bCs/>
      <w:i/>
      <w:iCs/>
      <w:lang w:bidi="en-US"/>
    </w:rPr>
  </w:style>
  <w:style w:type="character" w:styleId="IntenseReference">
    <w:name w:val="Intense Reference"/>
    <w:uiPriority w:val="99"/>
    <w:semiHidden/>
    <w:qFormat/>
    <w:rsid w:val="00014566"/>
    <w:rPr>
      <w:smallCaps/>
      <w:spacing w:val="5"/>
      <w:u w:val="single"/>
    </w:rPr>
  </w:style>
  <w:style w:type="paragraph" w:styleId="ListParagraph">
    <w:name w:val="List Paragraph"/>
    <w:basedOn w:val="Normal"/>
    <w:uiPriority w:val="99"/>
    <w:semiHidden/>
    <w:qFormat/>
    <w:rsid w:val="00014566"/>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014566"/>
    <w:pPr>
      <w:spacing w:before="200"/>
      <w:ind w:left="360" w:right="360"/>
    </w:pPr>
    <w:rPr>
      <w:i/>
      <w:iCs/>
      <w:sz w:val="22"/>
      <w:lang w:bidi="en-US"/>
    </w:rPr>
  </w:style>
  <w:style w:type="character" w:customStyle="1" w:styleId="QuoteChar">
    <w:name w:val="Quote Char"/>
    <w:basedOn w:val="DefaultParagraphFont"/>
    <w:link w:val="Quote"/>
    <w:uiPriority w:val="99"/>
    <w:semiHidden/>
    <w:rsid w:val="00014566"/>
    <w:rPr>
      <w:rFonts w:eastAsiaTheme="minorEastAsia"/>
      <w:i/>
      <w:iCs/>
      <w:lang w:bidi="en-US"/>
    </w:rPr>
  </w:style>
  <w:style w:type="character" w:styleId="SubtleReference">
    <w:name w:val="Subtle Reference"/>
    <w:uiPriority w:val="99"/>
    <w:semiHidden/>
    <w:qFormat/>
    <w:rsid w:val="00014566"/>
    <w:rPr>
      <w:smallCaps/>
    </w:rPr>
  </w:style>
  <w:style w:type="table" w:styleId="TableGrid">
    <w:name w:val="Table Grid"/>
    <w:basedOn w:val="TableNormal"/>
    <w:uiPriority w:val="59"/>
    <w:semiHidden/>
    <w:rsid w:val="00941747"/>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014566"/>
    <w:pPr>
      <w:numPr>
        <w:numId w:val="0"/>
      </w:numPr>
      <w:jc w:val="both"/>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qFormat/>
    <w:rsid w:val="00014566"/>
    <w:pPr>
      <w:spacing w:before="120" w:after="120"/>
      <w:ind w:left="425" w:firstLine="142"/>
    </w:pPr>
    <w:rPr>
      <w:sz w:val="20"/>
    </w:rPr>
  </w:style>
  <w:style w:type="paragraph" w:customStyle="1" w:styleId="ECHRPara">
    <w:name w:val="ECHR_Para"/>
    <w:aliases w:val="Ju_Para,Left,First line:  0 cm"/>
    <w:basedOn w:val="Normal"/>
    <w:link w:val="JuParaCar"/>
    <w:uiPriority w:val="12"/>
    <w:qFormat/>
    <w:rsid w:val="00C621C2"/>
    <w:pPr>
      <w:ind w:firstLine="284"/>
    </w:p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F054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C621C2"/>
    <w:pPr>
      <w:ind w:left="340" w:hanging="340"/>
    </w:pPr>
  </w:style>
  <w:style w:type="paragraph" w:customStyle="1" w:styleId="JuSigned">
    <w:name w:val="Ju_Signed"/>
    <w:basedOn w:val="Normal"/>
    <w:next w:val="JuParaLast"/>
    <w:uiPriority w:val="32"/>
    <w:qFormat/>
    <w:rsid w:val="00C621C2"/>
    <w:pPr>
      <w:tabs>
        <w:tab w:val="center" w:pos="851"/>
        <w:tab w:val="center" w:pos="6407"/>
      </w:tabs>
      <w:spacing w:before="720"/>
      <w:jc w:val="left"/>
    </w:pPr>
  </w:style>
  <w:style w:type="paragraph" w:customStyle="1" w:styleId="JuParaLast">
    <w:name w:val="Ju_Para_Last"/>
    <w:basedOn w:val="Normal"/>
    <w:next w:val="Normal"/>
    <w:uiPriority w:val="30"/>
    <w:qFormat/>
    <w:rsid w:val="00014566"/>
    <w:pPr>
      <w:keepNext/>
      <w:keepLines/>
      <w:spacing w:before="240"/>
      <w:ind w:firstLine="284"/>
    </w:pPr>
  </w:style>
  <w:style w:type="paragraph" w:customStyle="1" w:styleId="JuCourt">
    <w:name w:val="Ju_Court"/>
    <w:basedOn w:val="Normal"/>
    <w:next w:val="Normal"/>
    <w:uiPriority w:val="16"/>
    <w:qFormat/>
    <w:rsid w:val="00014566"/>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014566"/>
    <w:rPr>
      <w:sz w:val="18"/>
    </w:rPr>
  </w:style>
  <w:style w:type="paragraph" w:customStyle="1" w:styleId="JuLista">
    <w:name w:val="Ju_List_a"/>
    <w:basedOn w:val="Normal"/>
    <w:uiPriority w:val="28"/>
    <w:qFormat/>
    <w:rsid w:val="00C621C2"/>
    <w:pPr>
      <w:ind w:left="346"/>
    </w:pPr>
  </w:style>
  <w:style w:type="paragraph" w:customStyle="1" w:styleId="JuListi">
    <w:name w:val="Ju_List_i"/>
    <w:basedOn w:val="Normal"/>
    <w:next w:val="JuLista"/>
    <w:uiPriority w:val="28"/>
    <w:qFormat/>
    <w:rsid w:val="00014566"/>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character" w:customStyle="1" w:styleId="JuNames0">
    <w:name w:val="Ju_Names"/>
    <w:rsid w:val="00014566"/>
    <w:rPr>
      <w:smallCaps/>
    </w:rPr>
  </w:style>
  <w:style w:type="paragraph" w:styleId="ListBullet">
    <w:name w:val="List Bullet"/>
    <w:basedOn w:val="Normal"/>
    <w:uiPriority w:val="99"/>
    <w:semiHidden/>
    <w:rsid w:val="00014566"/>
    <w:pPr>
      <w:numPr>
        <w:numId w:val="8"/>
      </w:numPr>
    </w:pPr>
  </w:style>
  <w:style w:type="character" w:customStyle="1" w:styleId="JuITMark">
    <w:name w:val="Ju_ITMark"/>
    <w:basedOn w:val="DefaultParagraphFont"/>
    <w:uiPriority w:val="38"/>
    <w:qFormat/>
    <w:rsid w:val="00014566"/>
    <w:rPr>
      <w:vanish w:val="0"/>
      <w:color w:val="auto"/>
      <w:sz w:val="14"/>
    </w:rPr>
  </w:style>
  <w:style w:type="paragraph" w:styleId="Subtitle">
    <w:name w:val="Subtitle"/>
    <w:basedOn w:val="Normal"/>
    <w:next w:val="Normal"/>
    <w:link w:val="SubtitleChar"/>
    <w:uiPriority w:val="99"/>
    <w:semiHidden/>
    <w:qFormat/>
    <w:rsid w:val="00014566"/>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014566"/>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9"/>
      </w:numPr>
    </w:pPr>
  </w:style>
  <w:style w:type="numbering" w:styleId="1ai">
    <w:name w:val="Outline List 1"/>
    <w:basedOn w:val="NoList"/>
    <w:uiPriority w:val="99"/>
    <w:semiHidden/>
    <w:rsid w:val="00014566"/>
    <w:pPr>
      <w:numPr>
        <w:numId w:val="10"/>
      </w:numPr>
    </w:pPr>
  </w:style>
  <w:style w:type="numbering" w:styleId="ArticleSection">
    <w:name w:val="Outline List 3"/>
    <w:basedOn w:val="NoList"/>
    <w:uiPriority w:val="99"/>
    <w:semiHidden/>
    <w:rsid w:val="00014566"/>
    <w:pPr>
      <w:numPr>
        <w:numId w:val="11"/>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ar">
    <w:name w:val="Ju_Para Car"/>
    <w:link w:val="ECHRPara"/>
    <w:uiPriority w:val="12"/>
    <w:rsid w:val="0038162B"/>
    <w:rPr>
      <w:rFonts w:eastAsiaTheme="minorEastAsia"/>
      <w:sz w:val="24"/>
    </w:rPr>
  </w:style>
  <w:style w:type="character" w:customStyle="1" w:styleId="sb8d990e2">
    <w:name w:val="sb8d990e2"/>
    <w:basedOn w:val="DefaultParagraphFont"/>
    <w:rsid w:val="00F77011"/>
  </w:style>
  <w:style w:type="character" w:customStyle="1" w:styleId="sfbbfee58">
    <w:name w:val="sfbbfee58"/>
    <w:basedOn w:val="DefaultParagraphFont"/>
    <w:rsid w:val="00D75581"/>
  </w:style>
  <w:style w:type="character" w:customStyle="1" w:styleId="wordhighlighted">
    <w:name w:val="wordhighlighted"/>
    <w:basedOn w:val="DefaultParagraphFont"/>
    <w:rsid w:val="009E0C65"/>
  </w:style>
  <w:style w:type="character" w:customStyle="1" w:styleId="s6b621b36">
    <w:name w:val="s6b621b36"/>
    <w:basedOn w:val="DefaultParagraphFont"/>
    <w:rsid w:val="0055725C"/>
  </w:style>
  <w:style w:type="character" w:customStyle="1" w:styleId="column01">
    <w:name w:val="column01"/>
    <w:basedOn w:val="DefaultParagraphFont"/>
    <w:rsid w:val="00553855"/>
  </w:style>
  <w:style w:type="character" w:customStyle="1" w:styleId="s9da01b7c">
    <w:name w:val="s9da01b7c"/>
    <w:basedOn w:val="DefaultParagraphFont"/>
    <w:rsid w:val="00365D68"/>
  </w:style>
  <w:style w:type="character" w:customStyle="1" w:styleId="s66dba44c">
    <w:name w:val="s66dba44c"/>
    <w:basedOn w:val="DefaultParagraphFont"/>
    <w:rsid w:val="00365D68"/>
  </w:style>
  <w:style w:type="character" w:customStyle="1" w:styleId="JuParaChar">
    <w:name w:val="Ju_Para Char"/>
    <w:rsid w:val="006B3D4D"/>
    <w:rPr>
      <w:sz w:val="24"/>
      <w:lang w:val="en-GB" w:eastAsia="fr-FR" w:bidi="ar-SA"/>
    </w:rPr>
  </w:style>
  <w:style w:type="character" w:customStyle="1" w:styleId="textcolumn">
    <w:name w:val="textcolumn"/>
    <w:basedOn w:val="DefaultParagraphFont"/>
    <w:rsid w:val="0047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B70F3-F49E-4E6C-8375-B9A981E73930}"/>
</file>

<file path=customXml/itemProps2.xml><?xml version="1.0" encoding="utf-8"?>
<ds:datastoreItem xmlns:ds="http://schemas.openxmlformats.org/officeDocument/2006/customXml" ds:itemID="{19245918-32DD-4A03-A576-D65F40B090A1}"/>
</file>

<file path=customXml/itemProps3.xml><?xml version="1.0" encoding="utf-8"?>
<ds:datastoreItem xmlns:ds="http://schemas.openxmlformats.org/officeDocument/2006/customXml" ds:itemID="{AC511815-FFBD-45F6-BA0A-B9CA7EFDC3D0}"/>
</file>

<file path=customXml/itemProps4.xml><?xml version="1.0" encoding="utf-8"?>
<ds:datastoreItem xmlns:ds="http://schemas.openxmlformats.org/officeDocument/2006/customXml" ds:itemID="{04F57DBC-76D1-490F-AC26-3F7D8E390272}"/>
</file>

<file path=docProps/app.xml><?xml version="1.0" encoding="utf-8"?>
<Properties xmlns="http://schemas.openxmlformats.org/officeDocument/2006/extended-properties" xmlns:vt="http://schemas.openxmlformats.org/officeDocument/2006/docPropsVTypes">
  <Template>Normal.dotm</Template>
  <TotalTime>0</TotalTime>
  <Pages>1</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2015-07-07T13:44:00Z</dcterms:created>
  <dcterms:modified xsi:type="dcterms:W3CDTF">2015-07-07T13:44:00Z</dcterms:modified>
  <cp:category>ECHR Template</cp:category>
</cp:coreProperties>
</file>