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6AF" w:rsidRPr="00FC36AF" w:rsidRDefault="00FC36AF" w:rsidP="00FC36AF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lv-LV"/>
        </w:rPr>
      </w:pPr>
      <w:r w:rsidRPr="00FC36A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lv-LV"/>
        </w:rPr>
        <w:t>Avots: Ārlietu ministrijas Preses grupa</w:t>
      </w:r>
    </w:p>
    <w:p w:rsidR="00FC36AF" w:rsidRPr="00FC36AF" w:rsidRDefault="00FC36AF" w:rsidP="00FC36AF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</w:pPr>
      <w:r w:rsidRPr="00FC36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Eiropas Cilvēktiesību tiesa pasludina spriedumu sešās lietās par procesa ilgumu</w:t>
      </w:r>
    </w:p>
    <w:p w:rsidR="00FC36AF" w:rsidRPr="00FC36AF" w:rsidRDefault="00FC36AF" w:rsidP="00FC36AF">
      <w:pPr>
        <w:pStyle w:val="NormalWeb"/>
        <w:spacing w:before="0" w:beforeAutospacing="0" w:after="120" w:afterAutospacing="0"/>
        <w:jc w:val="center"/>
        <w:rPr>
          <w:b/>
        </w:rPr>
      </w:pPr>
      <w:r w:rsidRPr="00FC36AF">
        <w:rPr>
          <w:b/>
        </w:rPr>
        <w:t>08.06.2017.</w:t>
      </w:r>
    </w:p>
    <w:p w:rsidR="00FC36AF" w:rsidRDefault="00FC36AF" w:rsidP="00FC36AF">
      <w:pPr>
        <w:pStyle w:val="NormalWeb"/>
        <w:spacing w:before="0" w:beforeAutospacing="0" w:after="120" w:afterAutospacing="0"/>
        <w:jc w:val="both"/>
      </w:pPr>
    </w:p>
    <w:p w:rsidR="00FC36AF" w:rsidRPr="00FC36AF" w:rsidRDefault="00FC36AF" w:rsidP="00FC36AF">
      <w:pPr>
        <w:pStyle w:val="NormalWeb"/>
        <w:spacing w:before="0" w:beforeAutospacing="0" w:after="120" w:afterAutospacing="0"/>
        <w:jc w:val="both"/>
      </w:pPr>
      <w:r w:rsidRPr="00FC36AF">
        <w:t xml:space="preserve">Eiropas Cilvēktiesību tiesas (Tiesa) trīs tiesnešu komiteja 2017. gada 8. jūnijā pasludināja spriedumu lietās </w:t>
      </w:r>
      <w:proofErr w:type="spellStart"/>
      <w:r w:rsidRPr="00FC36AF">
        <w:rPr>
          <w:rStyle w:val="Emphasis"/>
        </w:rPr>
        <w:t>Silkāne</w:t>
      </w:r>
      <w:proofErr w:type="spellEnd"/>
      <w:r w:rsidRPr="00FC36AF">
        <w:rPr>
          <w:rStyle w:val="Emphasis"/>
        </w:rPr>
        <w:t xml:space="preserve"> un </w:t>
      </w:r>
      <w:proofErr w:type="spellStart"/>
      <w:r w:rsidRPr="00FC36AF">
        <w:rPr>
          <w:rStyle w:val="Emphasis"/>
        </w:rPr>
        <w:t>Gordjušina</w:t>
      </w:r>
      <w:proofErr w:type="spellEnd"/>
      <w:r w:rsidRPr="00FC36AF">
        <w:rPr>
          <w:rStyle w:val="Emphasis"/>
        </w:rPr>
        <w:t xml:space="preserve"> pret Latviju</w:t>
      </w:r>
      <w:r w:rsidRPr="00FC36AF">
        <w:t xml:space="preserve">, </w:t>
      </w:r>
      <w:r w:rsidRPr="00FC36AF">
        <w:rPr>
          <w:rStyle w:val="Emphasis"/>
        </w:rPr>
        <w:t>Ašmanis, Ašmane un Ašmane pret Latviju</w:t>
      </w:r>
      <w:r w:rsidRPr="00FC36AF">
        <w:t xml:space="preserve">, </w:t>
      </w:r>
      <w:proofErr w:type="spellStart"/>
      <w:r w:rsidRPr="00FC36AF">
        <w:rPr>
          <w:rStyle w:val="Emphasis"/>
        </w:rPr>
        <w:t>Rubīne</w:t>
      </w:r>
      <w:proofErr w:type="spellEnd"/>
      <w:r w:rsidRPr="00FC36AF">
        <w:rPr>
          <w:rStyle w:val="Emphasis"/>
        </w:rPr>
        <w:t xml:space="preserve"> pret Latviju,</w:t>
      </w:r>
      <w:r w:rsidRPr="00FC36AF">
        <w:t xml:space="preserve"> </w:t>
      </w:r>
      <w:proofErr w:type="spellStart"/>
      <w:r w:rsidRPr="00FC36AF">
        <w:rPr>
          <w:rStyle w:val="Emphasis"/>
        </w:rPr>
        <w:t>Klēģere</w:t>
      </w:r>
      <w:proofErr w:type="spellEnd"/>
      <w:r w:rsidRPr="00FC36AF">
        <w:rPr>
          <w:rStyle w:val="Emphasis"/>
        </w:rPr>
        <w:t xml:space="preserve"> pret Latviju</w:t>
      </w:r>
      <w:r w:rsidRPr="00FC36AF">
        <w:t xml:space="preserve">, </w:t>
      </w:r>
      <w:proofErr w:type="spellStart"/>
      <w:r w:rsidRPr="00FC36AF">
        <w:rPr>
          <w:rStyle w:val="Emphasis"/>
        </w:rPr>
        <w:t>Šutova</w:t>
      </w:r>
      <w:proofErr w:type="spellEnd"/>
      <w:r w:rsidRPr="00FC36AF">
        <w:rPr>
          <w:rStyle w:val="Emphasis"/>
        </w:rPr>
        <w:t xml:space="preserve"> pret Latviju</w:t>
      </w:r>
      <w:r w:rsidRPr="00FC36AF">
        <w:t xml:space="preserve"> un </w:t>
      </w:r>
      <w:r w:rsidRPr="00FC36AF">
        <w:rPr>
          <w:rStyle w:val="Emphasis"/>
        </w:rPr>
        <w:t>Romanovs pret Latviju,</w:t>
      </w:r>
      <w:r w:rsidRPr="00FC36AF">
        <w:t xml:space="preserve"> atzīstot, ka ir pārkāptas iesniedzēju tiesības uz lietas izskatīšanu saprātīgā termiņā, ko garantē Eiropas Cilvēka tiesību un pamatbrīvību aizsardzības konvencijas (Konvencija) 6. panta 1. punkts.</w:t>
      </w:r>
    </w:p>
    <w:p w:rsidR="00FC36AF" w:rsidRPr="00FC36AF" w:rsidRDefault="00FC36AF" w:rsidP="00FC36AF">
      <w:pPr>
        <w:pStyle w:val="NormalWeb"/>
        <w:spacing w:before="0" w:beforeAutospacing="0" w:after="120" w:afterAutospacing="0"/>
        <w:jc w:val="both"/>
      </w:pPr>
      <w:r w:rsidRPr="00FC36AF">
        <w:t xml:space="preserve">Tiesa atzīmēja, ka tiesvedības ilgums ir vērtējams, ņemot vērā katras lietas konkrētos apstākļus sasaistē ar vairākiem kritērijiem: lietas sarežģītību, iesniedzēju un valsts iestāžu rīcību tiesvedības laikā, kā arī izskatāmās lietas nozīmīgumu iesniedzējiem. Atsaucoties uz spriedumu lietā </w:t>
      </w:r>
      <w:proofErr w:type="spellStart"/>
      <w:r w:rsidRPr="00FC36AF">
        <w:rPr>
          <w:rStyle w:val="Emphasis"/>
        </w:rPr>
        <w:t>Veiss</w:t>
      </w:r>
      <w:proofErr w:type="spellEnd"/>
      <w:r w:rsidRPr="00FC36AF">
        <w:rPr>
          <w:rStyle w:val="Emphasis"/>
        </w:rPr>
        <w:t xml:space="preserve"> pret Latviju</w:t>
      </w:r>
      <w:r w:rsidRPr="00FC36AF">
        <w:t>, kurā Tiesas kon</w:t>
      </w:r>
      <w:r>
        <w:t>s</w:t>
      </w:r>
      <w:r w:rsidRPr="00FC36AF">
        <w:t>tatētā pārkāpuma iemesls bija līdzīgs izskatāmajām lietām, Tiesa, nesniedzot savu vērtējumu par lietu faktiem, secināja, ka arī šajās lietās procesa ilgums ir bijis pārmērīgs un t</w:t>
      </w:r>
      <w:r>
        <w:t>ā</w:t>
      </w:r>
      <w:bookmarkStart w:id="0" w:name="_GoBack"/>
      <w:bookmarkEnd w:id="0"/>
      <w:r w:rsidRPr="00FC36AF">
        <w:t>dēļ ir pārkāpts Konvencijas 6. panta 1. punkts.</w:t>
      </w:r>
    </w:p>
    <w:p w:rsidR="00FC36AF" w:rsidRPr="00FC36AF" w:rsidRDefault="00FC36AF" w:rsidP="00FC36AF">
      <w:pPr>
        <w:pStyle w:val="NormalWeb"/>
        <w:spacing w:before="0" w:beforeAutospacing="0" w:after="120" w:afterAutospacing="0"/>
        <w:jc w:val="both"/>
      </w:pPr>
      <w:r w:rsidRPr="00FC36AF">
        <w:t>Tiesas trīs tiesnešu komitejas spriedums ir galīgs un nepārsūdzams.</w:t>
      </w:r>
    </w:p>
    <w:p w:rsidR="00FC36AF" w:rsidRPr="00FC36AF" w:rsidRDefault="00FC36AF" w:rsidP="00FC36AF">
      <w:pPr>
        <w:pStyle w:val="NormalWeb"/>
        <w:spacing w:before="0" w:beforeAutospacing="0" w:after="120" w:afterAutospacing="0"/>
        <w:jc w:val="both"/>
      </w:pPr>
      <w:r w:rsidRPr="00FC36AF">
        <w:t xml:space="preserve">Lietā </w:t>
      </w:r>
      <w:proofErr w:type="spellStart"/>
      <w:r w:rsidRPr="00FC36AF">
        <w:rPr>
          <w:rStyle w:val="Emphasis"/>
        </w:rPr>
        <w:t>Silkāne</w:t>
      </w:r>
      <w:proofErr w:type="spellEnd"/>
      <w:r w:rsidRPr="00FC36AF">
        <w:rPr>
          <w:rStyle w:val="Emphasis"/>
        </w:rPr>
        <w:t xml:space="preserve"> un </w:t>
      </w:r>
      <w:proofErr w:type="spellStart"/>
      <w:r w:rsidRPr="00FC36AF">
        <w:rPr>
          <w:rStyle w:val="Emphasis"/>
        </w:rPr>
        <w:t>Gordjušina</w:t>
      </w:r>
      <w:proofErr w:type="spellEnd"/>
      <w:r w:rsidRPr="00FC36AF">
        <w:rPr>
          <w:rStyle w:val="Emphasis"/>
        </w:rPr>
        <w:t xml:space="preserve"> pret Latviju </w:t>
      </w:r>
      <w:r w:rsidRPr="00FC36AF">
        <w:t>Tiesa piesprieda iesniedzējām kompensāciju par morālo kaitējumu 3 000 EUR apmērā. Kopējais tiesvedības ilgums šajā lietā bija 8 gadi, 11 mēneši un 11 dienas.</w:t>
      </w:r>
    </w:p>
    <w:p w:rsidR="00FC36AF" w:rsidRPr="00FC36AF" w:rsidRDefault="00FC36AF" w:rsidP="00FC36AF">
      <w:pPr>
        <w:pStyle w:val="NormalWeb"/>
        <w:spacing w:before="0" w:beforeAutospacing="0" w:after="120" w:afterAutospacing="0"/>
        <w:jc w:val="both"/>
      </w:pPr>
      <w:r w:rsidRPr="00FC36AF">
        <w:t xml:space="preserve">Lietā </w:t>
      </w:r>
      <w:r w:rsidRPr="00FC36AF">
        <w:rPr>
          <w:rStyle w:val="Emphasis"/>
        </w:rPr>
        <w:t>Ašmanis, Ašmane un Ašmane</w:t>
      </w:r>
      <w:r w:rsidRPr="00FC36AF">
        <w:t xml:space="preserve"> </w:t>
      </w:r>
      <w:r w:rsidRPr="00FC36AF">
        <w:rPr>
          <w:rStyle w:val="Emphasis"/>
        </w:rPr>
        <w:t xml:space="preserve">pret Latviju </w:t>
      </w:r>
      <w:r w:rsidRPr="00FC36AF">
        <w:t>Tiesa piesprieda iesniedzējiem kompensāciju par morālo kaitējumu 10 000 EUR apmērā. Kopējais tiesvedības ilgums šajā lietā bija 12 gadi, 10 mēneši un 16 dienas.</w:t>
      </w:r>
    </w:p>
    <w:p w:rsidR="00FC36AF" w:rsidRPr="00FC36AF" w:rsidRDefault="00FC36AF" w:rsidP="00FC36AF">
      <w:pPr>
        <w:pStyle w:val="NormalWeb"/>
        <w:spacing w:before="0" w:beforeAutospacing="0" w:after="120" w:afterAutospacing="0"/>
        <w:jc w:val="both"/>
      </w:pPr>
      <w:r w:rsidRPr="00FC36AF">
        <w:t xml:space="preserve">Lietā </w:t>
      </w:r>
      <w:proofErr w:type="spellStart"/>
      <w:r w:rsidRPr="00FC36AF">
        <w:rPr>
          <w:rStyle w:val="Emphasis"/>
        </w:rPr>
        <w:t>Šutova</w:t>
      </w:r>
      <w:proofErr w:type="spellEnd"/>
      <w:r w:rsidRPr="00FC36AF">
        <w:rPr>
          <w:rStyle w:val="Emphasis"/>
        </w:rPr>
        <w:t xml:space="preserve"> pret Latviju </w:t>
      </w:r>
      <w:r w:rsidRPr="00FC36AF">
        <w:t>Tiesa piesprieda iesniedzējai kompensāciju par morālo kaitējumu 3 000 EUR apmērā. Kopējais tiesvedības ilgums šajā lietā bija 9 gadi, 4 mēneši un 3 dienas.</w:t>
      </w:r>
    </w:p>
    <w:p w:rsidR="00FC36AF" w:rsidRPr="00FC36AF" w:rsidRDefault="00FC36AF" w:rsidP="00FC36AF">
      <w:pPr>
        <w:pStyle w:val="NormalWeb"/>
        <w:spacing w:before="0" w:beforeAutospacing="0" w:after="120" w:afterAutospacing="0"/>
        <w:jc w:val="both"/>
      </w:pPr>
      <w:r w:rsidRPr="00FC36AF">
        <w:t xml:space="preserve">Lietā </w:t>
      </w:r>
      <w:proofErr w:type="spellStart"/>
      <w:r w:rsidRPr="00FC36AF">
        <w:rPr>
          <w:rStyle w:val="Emphasis"/>
        </w:rPr>
        <w:t>Rubīne</w:t>
      </w:r>
      <w:proofErr w:type="spellEnd"/>
      <w:r w:rsidRPr="00FC36AF">
        <w:rPr>
          <w:rStyle w:val="Emphasis"/>
        </w:rPr>
        <w:t xml:space="preserve"> pret Latviju </w:t>
      </w:r>
      <w:r w:rsidRPr="00FC36AF">
        <w:t>Tiesa piesprieda iesniedzējai kompensāciju par morālo kaitējumu 1 500 EUR apmērā. Kopējais tiesvedības ilgums šajā lietā bija 7 gadi, 1 mēnesis un 1 diena.</w:t>
      </w:r>
    </w:p>
    <w:p w:rsidR="00FC36AF" w:rsidRPr="00FC36AF" w:rsidRDefault="00FC36AF" w:rsidP="00FC36AF">
      <w:pPr>
        <w:pStyle w:val="NormalWeb"/>
        <w:spacing w:before="0" w:beforeAutospacing="0" w:after="120" w:afterAutospacing="0"/>
        <w:jc w:val="both"/>
      </w:pPr>
      <w:r w:rsidRPr="00FC36AF">
        <w:t xml:space="preserve">Lietā </w:t>
      </w:r>
      <w:proofErr w:type="spellStart"/>
      <w:r w:rsidRPr="00FC36AF">
        <w:rPr>
          <w:rStyle w:val="Emphasis"/>
        </w:rPr>
        <w:t>Klēģere</w:t>
      </w:r>
      <w:proofErr w:type="spellEnd"/>
      <w:r w:rsidRPr="00FC36AF">
        <w:rPr>
          <w:rStyle w:val="Emphasis"/>
        </w:rPr>
        <w:t xml:space="preserve"> pret Latviju </w:t>
      </w:r>
      <w:r w:rsidRPr="00FC36AF">
        <w:t>Tiesa piesprieda iesniedzējai kompensāciju par morālo kaitējumu 1 000 EUR apmērā. Kopējais tiesvedības ilgums šajā lietā bija 5 gadi, 11 mēneši un 21 diena.</w:t>
      </w:r>
    </w:p>
    <w:p w:rsidR="00FC36AF" w:rsidRPr="00FC36AF" w:rsidRDefault="00FC36AF" w:rsidP="00FC36AF">
      <w:pPr>
        <w:pStyle w:val="NormalWeb"/>
        <w:spacing w:before="0" w:beforeAutospacing="0" w:after="120" w:afterAutospacing="0"/>
        <w:jc w:val="both"/>
      </w:pPr>
      <w:r w:rsidRPr="00FC36AF">
        <w:t xml:space="preserve">Lietā </w:t>
      </w:r>
      <w:r w:rsidRPr="00FC36AF">
        <w:rPr>
          <w:rStyle w:val="Emphasis"/>
        </w:rPr>
        <w:t xml:space="preserve">Romanovs pret Latviju </w:t>
      </w:r>
      <w:r w:rsidRPr="00FC36AF">
        <w:t>Tiesa piesprieda iesniedzējam kompensāciju par morālo kaitējumu 1 000 EUR apmērā. Kopējais tiesvedības ilgums šajā lietā bija 6 gadi, 1 mēnesis un 10 dienas.</w:t>
      </w:r>
    </w:p>
    <w:p w:rsidR="00FC36AF" w:rsidRPr="00FC36AF" w:rsidRDefault="00FC36AF" w:rsidP="00FC36AF">
      <w:pPr>
        <w:pStyle w:val="NormalWeb"/>
        <w:spacing w:before="0" w:beforeAutospacing="0" w:after="120" w:afterAutospacing="0"/>
        <w:jc w:val="both"/>
      </w:pPr>
      <w:r w:rsidRPr="00FC36AF">
        <w:t xml:space="preserve">Pilns 2017. gada 8. jūnijā pasludinātā Tiesas sprieduma teksts angļu valodā ir </w:t>
      </w:r>
      <w:proofErr w:type="gramStart"/>
      <w:r w:rsidRPr="00FC36AF">
        <w:t xml:space="preserve">pieejams </w:t>
      </w:r>
      <w:hyperlink r:id="rId4" w:tgtFrame="_blank" w:history="1">
        <w:r w:rsidRPr="00FC36AF">
          <w:rPr>
            <w:rStyle w:val="Hyperlink"/>
          </w:rPr>
          <w:t>Tiesas</w:t>
        </w:r>
        <w:proofErr w:type="gramEnd"/>
        <w:r w:rsidRPr="00FC36AF">
          <w:rPr>
            <w:rStyle w:val="Hyperlink"/>
          </w:rPr>
          <w:t xml:space="preserve"> tiešsaistes vietnē</w:t>
        </w:r>
      </w:hyperlink>
      <w:r w:rsidRPr="00FC36AF">
        <w:t>. Lai atrastu spriedumu, Tiesas datu bāzes izvērstās meklēšanas sadaļā (ADVANCED SEARCH) jāievada iesniegumu numuri (70890/13, 71499/13, 24333/14, 35916/14, 64203/14 un 16590/15).</w:t>
      </w:r>
    </w:p>
    <w:p w:rsidR="00716150" w:rsidRPr="00FC36AF" w:rsidRDefault="00716150" w:rsidP="00FC36AF">
      <w:pPr>
        <w:spacing w:after="120" w:line="240" w:lineRule="auto"/>
        <w:jc w:val="both"/>
        <w:rPr>
          <w:sz w:val="24"/>
          <w:szCs w:val="24"/>
        </w:rPr>
      </w:pPr>
    </w:p>
    <w:sectPr w:rsidR="00716150" w:rsidRPr="00FC36AF" w:rsidSect="00FC36A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AF"/>
    <w:rsid w:val="00716150"/>
    <w:rsid w:val="00FC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21897-76C7-4AD0-B2A8-6ED727A5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3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6AF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FC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FC36A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C3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udoc.echr.coe.int/sites/eng/Pages/sear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1746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1</cp:revision>
  <dcterms:created xsi:type="dcterms:W3CDTF">2017-06-09T06:15:00Z</dcterms:created>
  <dcterms:modified xsi:type="dcterms:W3CDTF">2017-06-09T06:23:00Z</dcterms:modified>
</cp:coreProperties>
</file>