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DF352" w14:textId="77777777" w:rsidR="00B66DE1" w:rsidRPr="00B66DE1" w:rsidRDefault="00B66DE1" w:rsidP="00B66DE1">
      <w:pPr>
        <w:jc w:val="center"/>
        <w:rPr>
          <w:rFonts w:ascii="Times New Roman" w:hAnsi="Times New Roman" w:cs="Times New Roman"/>
          <w:bCs/>
          <w:sz w:val="24"/>
          <w:szCs w:val="24"/>
          <w:lang w:val="en-US"/>
        </w:rPr>
      </w:pPr>
      <w:bookmarkStart w:id="0" w:name="_Toc50986807"/>
      <w:bookmarkStart w:id="1" w:name="_Toc50986811"/>
      <w:bookmarkStart w:id="2" w:name="_Toc50986813"/>
      <w:r w:rsidRPr="00B66DE1">
        <w:rPr>
          <w:rFonts w:ascii="Times New Roman" w:hAnsi="Times New Roman" w:cs="Times New Roman"/>
          <w:bCs/>
          <w:sz w:val="24"/>
          <w:szCs w:val="24"/>
          <w:lang w:val="en-US"/>
        </w:rPr>
        <w:t>EIROPAS PADOME</w:t>
      </w:r>
    </w:p>
    <w:p w14:paraId="610C842D" w14:textId="77777777" w:rsidR="00B66DE1" w:rsidRPr="00B66DE1" w:rsidRDefault="00B66DE1" w:rsidP="00B66DE1">
      <w:pPr>
        <w:jc w:val="center"/>
        <w:rPr>
          <w:rFonts w:ascii="Times New Roman" w:hAnsi="Times New Roman" w:cs="Times New Roman"/>
          <w:bCs/>
          <w:sz w:val="24"/>
          <w:szCs w:val="24"/>
          <w:lang w:val="en-GB"/>
        </w:rPr>
      </w:pPr>
      <w:r w:rsidRPr="00B66DE1">
        <w:rPr>
          <w:rFonts w:ascii="Times New Roman" w:hAnsi="Times New Roman" w:cs="Times New Roman"/>
          <w:bCs/>
          <w:sz w:val="24"/>
          <w:szCs w:val="24"/>
          <w:lang w:val="en-GB"/>
        </w:rPr>
        <w:t>EIROPAS CILVĒKTIESĪBU TIESA</w:t>
      </w:r>
    </w:p>
    <w:p w14:paraId="3837A810" w14:textId="6065D2FF" w:rsidR="00B66DE1" w:rsidRPr="00B66DE1" w:rsidRDefault="00B66DE1" w:rsidP="00B66DE1">
      <w:pPr>
        <w:jc w:val="center"/>
        <w:rPr>
          <w:rFonts w:ascii="Times New Roman" w:hAnsi="Times New Roman" w:cs="Times New Roman"/>
          <w:b/>
          <w:bCs/>
          <w:sz w:val="24"/>
          <w:szCs w:val="24"/>
        </w:rPr>
      </w:pPr>
      <w:proofErr w:type="spellStart"/>
      <w:r w:rsidRPr="00B66DE1">
        <w:rPr>
          <w:rFonts w:ascii="Times New Roman" w:hAnsi="Times New Roman" w:cs="Times New Roman"/>
          <w:sz w:val="24"/>
          <w:szCs w:val="24"/>
          <w:lang w:val="en-US"/>
        </w:rPr>
        <w:t>Lietā</w:t>
      </w:r>
      <w:proofErr w:type="spellEnd"/>
      <w:r w:rsidR="0006379E">
        <w:rPr>
          <w:rFonts w:ascii="Times New Roman" w:hAnsi="Times New Roman" w:cs="Times New Roman"/>
          <w:sz w:val="24"/>
          <w:szCs w:val="24"/>
          <w:lang w:val="en-US"/>
        </w:rPr>
        <w:t xml:space="preserve"> „</w:t>
      </w:r>
      <w:proofErr w:type="spellStart"/>
      <w:r w:rsidRPr="00B66DE1">
        <w:rPr>
          <w:rFonts w:ascii="Times New Roman" w:hAnsi="Times New Roman" w:cs="Times New Roman"/>
          <w:sz w:val="24"/>
          <w:szCs w:val="24"/>
        </w:rPr>
        <w:t>Schneider</w:t>
      </w:r>
      <w:proofErr w:type="spellEnd"/>
      <w:r w:rsidRPr="00B66DE1">
        <w:rPr>
          <w:rFonts w:ascii="Times New Roman" w:hAnsi="Times New Roman" w:cs="Times New Roman"/>
          <w:sz w:val="24"/>
          <w:szCs w:val="24"/>
        </w:rPr>
        <w:t xml:space="preserve"> v. </w:t>
      </w:r>
      <w:proofErr w:type="spellStart"/>
      <w:r w:rsidRPr="00B66DE1">
        <w:rPr>
          <w:rFonts w:ascii="Times New Roman" w:hAnsi="Times New Roman" w:cs="Times New Roman"/>
          <w:sz w:val="24"/>
          <w:szCs w:val="24"/>
        </w:rPr>
        <w:t>Germany</w:t>
      </w:r>
      <w:proofErr w:type="spellEnd"/>
      <w:r w:rsidRPr="00B66DE1">
        <w:rPr>
          <w:rFonts w:ascii="Times New Roman" w:hAnsi="Times New Roman" w:cs="Times New Roman"/>
          <w:sz w:val="24"/>
          <w:szCs w:val="24"/>
        </w:rPr>
        <w:t>”</w:t>
      </w:r>
    </w:p>
    <w:p w14:paraId="4A372F00" w14:textId="737ACF7C" w:rsidR="00B66DE1" w:rsidRPr="00B66DE1" w:rsidRDefault="00B66DE1" w:rsidP="00B66DE1">
      <w:pPr>
        <w:jc w:val="center"/>
        <w:rPr>
          <w:rFonts w:ascii="Times New Roman" w:hAnsi="Times New Roman" w:cs="Times New Roman"/>
          <w:sz w:val="24"/>
          <w:szCs w:val="24"/>
        </w:rPr>
      </w:pPr>
      <w:r w:rsidRPr="00B66DE1">
        <w:rPr>
          <w:rFonts w:ascii="Times New Roman" w:hAnsi="Times New Roman" w:cs="Times New Roman"/>
          <w:sz w:val="24"/>
          <w:szCs w:val="24"/>
        </w:rPr>
        <w:t>(</w:t>
      </w:r>
      <w:hyperlink r:id="rId7" w:history="1">
        <w:r w:rsidRPr="00B66DE1">
          <w:rPr>
            <w:rStyle w:val="Hyperlink"/>
            <w:rFonts w:ascii="Times New Roman" w:hAnsi="Times New Roman" w:cs="Times New Roman"/>
            <w:sz w:val="24"/>
            <w:szCs w:val="24"/>
          </w:rPr>
          <w:t>17080/07</w:t>
        </w:r>
      </w:hyperlink>
      <w:r w:rsidRPr="00B66DE1">
        <w:rPr>
          <w:rFonts w:ascii="Times New Roman" w:hAnsi="Times New Roman" w:cs="Times New Roman"/>
          <w:sz w:val="24"/>
          <w:szCs w:val="24"/>
        </w:rPr>
        <w:t>)</w:t>
      </w:r>
    </w:p>
    <w:p w14:paraId="4212EDE3" w14:textId="77777777" w:rsidR="00B66DE1" w:rsidRPr="00B66DE1" w:rsidRDefault="00B66DE1" w:rsidP="00B66DE1">
      <w:pPr>
        <w:jc w:val="center"/>
        <w:rPr>
          <w:rFonts w:ascii="Times New Roman" w:hAnsi="Times New Roman" w:cs="Times New Roman"/>
          <w:b/>
          <w:bCs/>
          <w:sz w:val="24"/>
          <w:szCs w:val="24"/>
        </w:rPr>
      </w:pPr>
      <w:r w:rsidRPr="00B66DE1">
        <w:rPr>
          <w:rFonts w:ascii="Times New Roman" w:hAnsi="Times New Roman" w:cs="Times New Roman"/>
          <w:b/>
          <w:bCs/>
          <w:sz w:val="24"/>
          <w:szCs w:val="24"/>
        </w:rPr>
        <w:t>SPRIEDUMS</w:t>
      </w:r>
    </w:p>
    <w:p w14:paraId="6B3D03F7" w14:textId="77777777" w:rsidR="00B66DE1" w:rsidRPr="00B66DE1" w:rsidRDefault="00B66DE1" w:rsidP="00B66DE1">
      <w:pPr>
        <w:jc w:val="center"/>
        <w:rPr>
          <w:rFonts w:ascii="Times New Roman" w:hAnsi="Times New Roman" w:cs="Times New Roman"/>
          <w:b/>
          <w:bCs/>
          <w:sz w:val="24"/>
          <w:szCs w:val="24"/>
        </w:rPr>
      </w:pPr>
    </w:p>
    <w:p w14:paraId="1ECE0727" w14:textId="77777777" w:rsidR="00B66DE1" w:rsidRPr="00B66DE1" w:rsidRDefault="00B66DE1" w:rsidP="00B66DE1">
      <w:pPr>
        <w:jc w:val="center"/>
        <w:rPr>
          <w:rFonts w:ascii="Times New Roman" w:hAnsi="Times New Roman" w:cs="Times New Roman"/>
          <w:bCs/>
          <w:sz w:val="24"/>
          <w:szCs w:val="24"/>
        </w:rPr>
      </w:pPr>
      <w:r w:rsidRPr="00B66DE1">
        <w:rPr>
          <w:rFonts w:ascii="Times New Roman" w:hAnsi="Times New Roman" w:cs="Times New Roman"/>
          <w:bCs/>
          <w:sz w:val="24"/>
          <w:szCs w:val="24"/>
        </w:rPr>
        <w:t>STRASBŪRA</w:t>
      </w:r>
    </w:p>
    <w:bookmarkEnd w:id="0"/>
    <w:bookmarkEnd w:id="1"/>
    <w:bookmarkEnd w:id="2"/>
    <w:p w14:paraId="60F536B6" w14:textId="19A93AD3" w:rsidR="00B66DE1" w:rsidRPr="00B66DE1" w:rsidRDefault="00B66DE1" w:rsidP="00B66DE1">
      <w:pPr>
        <w:jc w:val="center"/>
        <w:rPr>
          <w:rFonts w:ascii="Times New Roman" w:hAnsi="Times New Roman" w:cs="Times New Roman"/>
          <w:sz w:val="24"/>
          <w:szCs w:val="24"/>
        </w:rPr>
      </w:pPr>
      <w:r w:rsidRPr="00B66DE1">
        <w:rPr>
          <w:rFonts w:ascii="Times New Roman" w:hAnsi="Times New Roman" w:cs="Times New Roman"/>
          <w:sz w:val="24"/>
          <w:szCs w:val="24"/>
        </w:rPr>
        <w:t>2011. gada 15. septembrī</w:t>
      </w:r>
    </w:p>
    <w:p w14:paraId="229C6C8A" w14:textId="0DD72167" w:rsidR="00FA3EC9" w:rsidRDefault="00B66DE1" w:rsidP="00C82A06">
      <w:pPr>
        <w:jc w:val="both"/>
        <w:rPr>
          <w:rFonts w:ascii="Times New Roman" w:hAnsi="Times New Roman" w:cs="Times New Roman"/>
          <w:sz w:val="24"/>
          <w:szCs w:val="24"/>
        </w:rPr>
      </w:pPr>
      <w:r w:rsidRPr="00251833">
        <w:rPr>
          <w:rFonts w:ascii="Times New Roman" w:hAnsi="Times New Roman" w:cs="Times New Roman"/>
          <w:b/>
          <w:bCs/>
          <w:sz w:val="24"/>
          <w:szCs w:val="24"/>
        </w:rPr>
        <w:t>Kopsavilkums</w:t>
      </w:r>
      <w:r w:rsidRPr="00251833">
        <w:rPr>
          <w:rFonts w:ascii="Times New Roman" w:hAnsi="Times New Roman" w:cs="Times New Roman"/>
          <w:sz w:val="24"/>
          <w:szCs w:val="24"/>
        </w:rPr>
        <w:t>:</w:t>
      </w:r>
      <w:r w:rsidR="00251833" w:rsidRPr="00251833">
        <w:rPr>
          <w:rFonts w:ascii="Times New Roman" w:hAnsi="Times New Roman" w:cs="Times New Roman"/>
          <w:sz w:val="24"/>
          <w:szCs w:val="24"/>
        </w:rPr>
        <w:t xml:space="preserve"> </w:t>
      </w:r>
      <w:r w:rsidR="00251833">
        <w:rPr>
          <w:rFonts w:ascii="Times New Roman" w:hAnsi="Times New Roman" w:cs="Times New Roman"/>
          <w:sz w:val="24"/>
          <w:szCs w:val="24"/>
        </w:rPr>
        <w:t xml:space="preserve">Nacionālā tiesa noraidīja iesniedzēja prasību par saskarsmi </w:t>
      </w:r>
      <w:r w:rsidR="00EC3D91">
        <w:rPr>
          <w:rFonts w:ascii="Times New Roman" w:hAnsi="Times New Roman" w:cs="Times New Roman"/>
          <w:sz w:val="24"/>
          <w:szCs w:val="24"/>
        </w:rPr>
        <w:t xml:space="preserve">(atļauju tikties divreiz mēnesī un saņemt informāciju) </w:t>
      </w:r>
      <w:r w:rsidR="00251833">
        <w:rPr>
          <w:rFonts w:ascii="Times New Roman" w:hAnsi="Times New Roman" w:cs="Times New Roman"/>
          <w:sz w:val="24"/>
          <w:szCs w:val="24"/>
        </w:rPr>
        <w:t xml:space="preserve">ar </w:t>
      </w:r>
      <w:r w:rsidR="005E57B9">
        <w:rPr>
          <w:rFonts w:ascii="Times New Roman" w:hAnsi="Times New Roman" w:cs="Times New Roman"/>
          <w:sz w:val="24"/>
          <w:szCs w:val="24"/>
        </w:rPr>
        <w:t>F.</w:t>
      </w:r>
      <w:r w:rsidR="00251833">
        <w:rPr>
          <w:rFonts w:ascii="Times New Roman" w:hAnsi="Times New Roman" w:cs="Times New Roman"/>
          <w:sz w:val="24"/>
          <w:szCs w:val="24"/>
        </w:rPr>
        <w:t>, kurš, kā norādīja iesniedzējs, ir viņa bioloģiskais dēls. Zēnam bija likumiskais tēvs, kas bija laulībā ar bērna māti. Eiropas Cilvēktiesību tiesa konstatēja Konvencijas 8. panta pārkāpumu. Tiesa norādīja, ka iesniedzēja prasību nevar noraidīt tikai tāpēc, ka nepastāvēja</w:t>
      </w:r>
      <w:r w:rsidR="0006379E">
        <w:rPr>
          <w:rFonts w:ascii="Times New Roman" w:hAnsi="Times New Roman" w:cs="Times New Roman"/>
          <w:sz w:val="24"/>
          <w:szCs w:val="24"/>
        </w:rPr>
        <w:t xml:space="preserve"> „</w:t>
      </w:r>
      <w:r w:rsidR="00251833">
        <w:rPr>
          <w:rFonts w:ascii="Times New Roman" w:hAnsi="Times New Roman" w:cs="Times New Roman"/>
          <w:sz w:val="24"/>
          <w:szCs w:val="24"/>
        </w:rPr>
        <w:t xml:space="preserve">ģimenes dzīve”, ka iesniedzējs nav atzīts par </w:t>
      </w:r>
      <w:r w:rsidR="005E57B9">
        <w:rPr>
          <w:rFonts w:ascii="Times New Roman" w:hAnsi="Times New Roman" w:cs="Times New Roman"/>
          <w:sz w:val="24"/>
          <w:szCs w:val="24"/>
        </w:rPr>
        <w:t>F.</w:t>
      </w:r>
      <w:r w:rsidR="00251833">
        <w:rPr>
          <w:rFonts w:ascii="Times New Roman" w:hAnsi="Times New Roman" w:cs="Times New Roman"/>
          <w:sz w:val="24"/>
          <w:szCs w:val="24"/>
        </w:rPr>
        <w:t xml:space="preserve"> bioloģisko tēvu un ka starp viņu un bērnu nav izveidojušās ciešas personiskās attiecības. </w:t>
      </w:r>
      <w:r w:rsidR="00C82A06">
        <w:rPr>
          <w:rFonts w:ascii="Times New Roman" w:hAnsi="Times New Roman" w:cs="Times New Roman"/>
          <w:sz w:val="24"/>
          <w:szCs w:val="24"/>
        </w:rPr>
        <w:t>Jautājums, vai iesniedzējam bija tiesības uz informāciju par bērnu, pat arī neesot ģimenes dzīvei, attiecas uz būtisk</w:t>
      </w:r>
      <w:r w:rsidR="00E1367A">
        <w:rPr>
          <w:rFonts w:ascii="Times New Roman" w:hAnsi="Times New Roman" w:cs="Times New Roman"/>
          <w:sz w:val="24"/>
          <w:szCs w:val="24"/>
        </w:rPr>
        <w:t>u</w:t>
      </w:r>
      <w:r w:rsidR="00C82A06">
        <w:rPr>
          <w:rFonts w:ascii="Times New Roman" w:hAnsi="Times New Roman" w:cs="Times New Roman"/>
          <w:sz w:val="24"/>
          <w:szCs w:val="24"/>
        </w:rPr>
        <w:t xml:space="preserve"> viņa identitātes daļu, tāpēc attiecas uz viņa</w:t>
      </w:r>
      <w:r w:rsidR="0006379E">
        <w:rPr>
          <w:rFonts w:ascii="Times New Roman" w:hAnsi="Times New Roman" w:cs="Times New Roman"/>
          <w:sz w:val="24"/>
          <w:szCs w:val="24"/>
        </w:rPr>
        <w:t xml:space="preserve"> „</w:t>
      </w:r>
      <w:r w:rsidR="00C82A06">
        <w:rPr>
          <w:rFonts w:ascii="Times New Roman" w:hAnsi="Times New Roman" w:cs="Times New Roman"/>
          <w:sz w:val="24"/>
          <w:szCs w:val="24"/>
        </w:rPr>
        <w:t>privāto dzīvi</w:t>
      </w:r>
      <w:r w:rsidR="00E1367A">
        <w:rPr>
          <w:rFonts w:ascii="Times New Roman" w:hAnsi="Times New Roman" w:cs="Times New Roman"/>
          <w:sz w:val="24"/>
          <w:szCs w:val="24"/>
        </w:rPr>
        <w:t>”</w:t>
      </w:r>
      <w:r w:rsidR="00C82A06">
        <w:rPr>
          <w:rFonts w:ascii="Times New Roman" w:hAnsi="Times New Roman" w:cs="Times New Roman"/>
          <w:sz w:val="24"/>
          <w:szCs w:val="24"/>
        </w:rPr>
        <w:t>.</w:t>
      </w:r>
    </w:p>
    <w:p w14:paraId="15F70065" w14:textId="77777777" w:rsidR="00501890" w:rsidRPr="00251833" w:rsidRDefault="00501890" w:rsidP="00C82A06">
      <w:pPr>
        <w:jc w:val="both"/>
        <w:rPr>
          <w:rStyle w:val="Hyperlink"/>
          <w:rFonts w:ascii="Times New Roman" w:hAnsi="Times New Roman" w:cs="Times New Roman"/>
          <w:sz w:val="24"/>
          <w:szCs w:val="24"/>
        </w:rPr>
      </w:pPr>
    </w:p>
    <w:p w14:paraId="5C1BFB1E" w14:textId="76BF6C1F" w:rsidR="00A874F9" w:rsidRDefault="00A874F9" w:rsidP="00A874F9">
      <w:pPr>
        <w:numPr>
          <w:ilvl w:val="0"/>
          <w:numId w:val="1"/>
        </w:numPr>
        <w:spacing w:after="200" w:line="240" w:lineRule="auto"/>
        <w:jc w:val="both"/>
        <w:rPr>
          <w:rStyle w:val="sb8d990e2"/>
          <w:rFonts w:ascii="Times New Roman" w:hAnsi="Times New Roman" w:cs="Times New Roman"/>
          <w:sz w:val="24"/>
          <w:szCs w:val="24"/>
        </w:rPr>
      </w:pPr>
      <w:r>
        <w:rPr>
          <w:rStyle w:val="sb8d990e2"/>
          <w:rFonts w:ascii="Times New Roman" w:hAnsi="Times New Roman" w:cs="Times New Roman"/>
          <w:sz w:val="24"/>
          <w:szCs w:val="24"/>
        </w:rPr>
        <w:t>V</w:t>
      </w:r>
      <w:r w:rsidR="00B90822" w:rsidRPr="00B90822">
        <w:rPr>
          <w:rStyle w:val="sb8d990e2"/>
          <w:rFonts w:ascii="Times New Roman" w:hAnsi="Times New Roman" w:cs="Times New Roman"/>
          <w:sz w:val="24"/>
          <w:szCs w:val="24"/>
        </w:rPr>
        <w:t xml:space="preserve">ai </w:t>
      </w:r>
      <w:r>
        <w:rPr>
          <w:rStyle w:val="sb8d990e2"/>
          <w:rFonts w:ascii="Times New Roman" w:hAnsi="Times New Roman" w:cs="Times New Roman"/>
          <w:sz w:val="24"/>
          <w:szCs w:val="24"/>
        </w:rPr>
        <w:t xml:space="preserve">bija </w:t>
      </w:r>
      <w:r w:rsidR="00B90822" w:rsidRPr="00B90822">
        <w:rPr>
          <w:rStyle w:val="sb8d990e2"/>
          <w:rFonts w:ascii="Times New Roman" w:hAnsi="Times New Roman" w:cs="Times New Roman"/>
          <w:sz w:val="24"/>
          <w:szCs w:val="24"/>
        </w:rPr>
        <w:t>iejaukšanās tiesībās</w:t>
      </w:r>
      <w:r>
        <w:rPr>
          <w:rStyle w:val="sb8d990e2"/>
          <w:rFonts w:ascii="Times New Roman" w:hAnsi="Times New Roman" w:cs="Times New Roman"/>
          <w:sz w:val="24"/>
          <w:szCs w:val="24"/>
        </w:rPr>
        <w:t>?</w:t>
      </w:r>
    </w:p>
    <w:p w14:paraId="1836074F" w14:textId="7A7BDB9F" w:rsidR="00A874F9" w:rsidRDefault="00A874F9" w:rsidP="00A874F9">
      <w:pPr>
        <w:spacing w:after="200" w:line="240" w:lineRule="auto"/>
        <w:jc w:val="both"/>
        <w:rPr>
          <w:rStyle w:val="sb8d990e2"/>
          <w:rFonts w:ascii="Times New Roman" w:hAnsi="Times New Roman" w:cs="Times New Roman"/>
          <w:sz w:val="24"/>
          <w:szCs w:val="24"/>
        </w:rPr>
      </w:pPr>
      <w:r>
        <w:rPr>
          <w:rStyle w:val="sb8d990e2"/>
          <w:rFonts w:ascii="Times New Roman" w:hAnsi="Times New Roman" w:cs="Times New Roman"/>
          <w:sz w:val="24"/>
          <w:szCs w:val="24"/>
        </w:rPr>
        <w:t xml:space="preserve">79. </w:t>
      </w:r>
      <w:r w:rsidR="00B954BE" w:rsidRPr="00B954BE">
        <w:rPr>
          <w:rStyle w:val="sb8d990e2"/>
          <w:rFonts w:ascii="Times New Roman" w:hAnsi="Times New Roman" w:cs="Times New Roman"/>
          <w:sz w:val="24"/>
          <w:szCs w:val="24"/>
        </w:rPr>
        <w:t>Tiesa atkārto, ka jēdziens</w:t>
      </w:r>
      <w:r w:rsidR="0006379E">
        <w:rPr>
          <w:rStyle w:val="sb8d990e2"/>
          <w:rFonts w:ascii="Times New Roman" w:hAnsi="Times New Roman" w:cs="Times New Roman"/>
          <w:sz w:val="24"/>
          <w:szCs w:val="24"/>
        </w:rPr>
        <w:t xml:space="preserve"> „</w:t>
      </w:r>
      <w:r w:rsidR="00B954BE" w:rsidRPr="00B954BE">
        <w:rPr>
          <w:rStyle w:val="sb8d990e2"/>
          <w:rFonts w:ascii="Times New Roman" w:hAnsi="Times New Roman" w:cs="Times New Roman"/>
          <w:sz w:val="24"/>
          <w:szCs w:val="24"/>
        </w:rPr>
        <w:t>ģimenes dzīve” saskaņā ar Konvencijas 8.</w:t>
      </w:r>
      <w:r w:rsidR="00B954BE">
        <w:rPr>
          <w:rStyle w:val="sb8d990e2"/>
          <w:rFonts w:ascii="Times New Roman" w:hAnsi="Times New Roman" w:cs="Times New Roman"/>
          <w:sz w:val="24"/>
          <w:szCs w:val="24"/>
        </w:rPr>
        <w:t> </w:t>
      </w:r>
      <w:r w:rsidR="00B954BE" w:rsidRPr="00B954BE">
        <w:rPr>
          <w:rStyle w:val="sb8d990e2"/>
          <w:rFonts w:ascii="Times New Roman" w:hAnsi="Times New Roman" w:cs="Times New Roman"/>
          <w:sz w:val="24"/>
          <w:szCs w:val="24"/>
        </w:rPr>
        <w:t>pantu neaprobežojas tikai ar attiecībām</w:t>
      </w:r>
      <w:r w:rsidR="00B954BE">
        <w:rPr>
          <w:rStyle w:val="sb8d990e2"/>
          <w:rFonts w:ascii="Times New Roman" w:hAnsi="Times New Roman" w:cs="Times New Roman"/>
          <w:sz w:val="24"/>
          <w:szCs w:val="24"/>
        </w:rPr>
        <w:t xml:space="preserve">, kas balstītas laulībā, un </w:t>
      </w:r>
      <w:r w:rsidR="00B954BE" w:rsidRPr="00B954BE">
        <w:rPr>
          <w:rStyle w:val="sb8d990e2"/>
          <w:rFonts w:ascii="Times New Roman" w:hAnsi="Times New Roman" w:cs="Times New Roman"/>
          <w:sz w:val="24"/>
          <w:szCs w:val="24"/>
        </w:rPr>
        <w:t xml:space="preserve">var ietvert citas </w:t>
      </w:r>
      <w:proofErr w:type="spellStart"/>
      <w:r w:rsidR="00B954BE" w:rsidRPr="00B954BE">
        <w:rPr>
          <w:rStyle w:val="sb8d990e2"/>
          <w:rFonts w:ascii="Times New Roman" w:hAnsi="Times New Roman" w:cs="Times New Roman"/>
          <w:i/>
          <w:iCs/>
          <w:sz w:val="24"/>
          <w:szCs w:val="24"/>
        </w:rPr>
        <w:t>de</w:t>
      </w:r>
      <w:proofErr w:type="spellEnd"/>
      <w:r w:rsidR="00B954BE" w:rsidRPr="00B954BE">
        <w:rPr>
          <w:rStyle w:val="sb8d990e2"/>
          <w:rFonts w:ascii="Times New Roman" w:hAnsi="Times New Roman" w:cs="Times New Roman"/>
          <w:i/>
          <w:iCs/>
          <w:sz w:val="24"/>
          <w:szCs w:val="24"/>
        </w:rPr>
        <w:t xml:space="preserve"> </w:t>
      </w:r>
      <w:proofErr w:type="spellStart"/>
      <w:r w:rsidR="00B954BE" w:rsidRPr="00B954BE">
        <w:rPr>
          <w:rStyle w:val="sb8d990e2"/>
          <w:rFonts w:ascii="Times New Roman" w:hAnsi="Times New Roman" w:cs="Times New Roman"/>
          <w:i/>
          <w:iCs/>
          <w:sz w:val="24"/>
          <w:szCs w:val="24"/>
        </w:rPr>
        <w:t>facto</w:t>
      </w:r>
      <w:proofErr w:type="spellEnd"/>
      <w:r w:rsidR="0006379E">
        <w:rPr>
          <w:rStyle w:val="sb8d990e2"/>
          <w:rFonts w:ascii="Times New Roman" w:hAnsi="Times New Roman" w:cs="Times New Roman"/>
          <w:sz w:val="24"/>
          <w:szCs w:val="24"/>
        </w:rPr>
        <w:t xml:space="preserve"> „</w:t>
      </w:r>
      <w:r w:rsidR="00B954BE" w:rsidRPr="00B954BE">
        <w:rPr>
          <w:rStyle w:val="sb8d990e2"/>
          <w:rFonts w:ascii="Times New Roman" w:hAnsi="Times New Roman" w:cs="Times New Roman"/>
          <w:sz w:val="24"/>
          <w:szCs w:val="24"/>
        </w:rPr>
        <w:t xml:space="preserve">ģimenes” saites, kurās puses dzīvo kopā </w:t>
      </w:r>
      <w:r w:rsidR="00B954BE">
        <w:rPr>
          <w:rStyle w:val="sb8d990e2"/>
          <w:rFonts w:ascii="Times New Roman" w:hAnsi="Times New Roman" w:cs="Times New Roman"/>
          <w:sz w:val="24"/>
          <w:szCs w:val="24"/>
        </w:rPr>
        <w:t xml:space="preserve">bez </w:t>
      </w:r>
      <w:r w:rsidR="00B954BE" w:rsidRPr="00B954BE">
        <w:rPr>
          <w:rStyle w:val="sb8d990e2"/>
          <w:rFonts w:ascii="Times New Roman" w:hAnsi="Times New Roman" w:cs="Times New Roman"/>
          <w:sz w:val="24"/>
          <w:szCs w:val="24"/>
        </w:rPr>
        <w:t>laulīb</w:t>
      </w:r>
      <w:r w:rsidR="00B954BE">
        <w:rPr>
          <w:rStyle w:val="sb8d990e2"/>
          <w:rFonts w:ascii="Times New Roman" w:hAnsi="Times New Roman" w:cs="Times New Roman"/>
          <w:sz w:val="24"/>
          <w:szCs w:val="24"/>
        </w:rPr>
        <w:t>ām</w:t>
      </w:r>
      <w:r w:rsidR="00B954BE" w:rsidRPr="00B954BE">
        <w:rPr>
          <w:rStyle w:val="sb8d990e2"/>
          <w:rFonts w:ascii="Times New Roman" w:hAnsi="Times New Roman" w:cs="Times New Roman"/>
          <w:sz w:val="24"/>
          <w:szCs w:val="24"/>
        </w:rPr>
        <w:t xml:space="preserve">. Bērns, kas dzimis šādās attiecībās, </w:t>
      </w:r>
      <w:proofErr w:type="spellStart"/>
      <w:r w:rsidR="00B954BE" w:rsidRPr="00B954BE">
        <w:rPr>
          <w:rStyle w:val="sb8d990e2"/>
          <w:rFonts w:ascii="Times New Roman" w:hAnsi="Times New Roman" w:cs="Times New Roman"/>
          <w:i/>
          <w:iCs/>
          <w:sz w:val="24"/>
          <w:szCs w:val="24"/>
        </w:rPr>
        <w:t>ipso</w:t>
      </w:r>
      <w:proofErr w:type="spellEnd"/>
      <w:r w:rsidR="00B954BE" w:rsidRPr="00B954BE">
        <w:rPr>
          <w:rStyle w:val="sb8d990e2"/>
          <w:rFonts w:ascii="Times New Roman" w:hAnsi="Times New Roman" w:cs="Times New Roman"/>
          <w:i/>
          <w:iCs/>
          <w:sz w:val="24"/>
          <w:szCs w:val="24"/>
        </w:rPr>
        <w:t xml:space="preserve"> </w:t>
      </w:r>
      <w:proofErr w:type="spellStart"/>
      <w:r w:rsidR="00B954BE" w:rsidRPr="00B954BE">
        <w:rPr>
          <w:rStyle w:val="sb8d990e2"/>
          <w:rFonts w:ascii="Times New Roman" w:hAnsi="Times New Roman" w:cs="Times New Roman"/>
          <w:i/>
          <w:iCs/>
          <w:sz w:val="24"/>
          <w:szCs w:val="24"/>
        </w:rPr>
        <w:t>jure</w:t>
      </w:r>
      <w:proofErr w:type="spellEnd"/>
      <w:r w:rsidR="00B954BE">
        <w:rPr>
          <w:rStyle w:val="sb8d990e2"/>
          <w:rFonts w:ascii="Times New Roman" w:hAnsi="Times New Roman" w:cs="Times New Roman"/>
          <w:sz w:val="24"/>
          <w:szCs w:val="24"/>
        </w:rPr>
        <w:t xml:space="preserve"> ir</w:t>
      </w:r>
      <w:r w:rsidR="00B954BE" w:rsidRPr="00B954BE">
        <w:rPr>
          <w:rStyle w:val="sb8d990e2"/>
          <w:rFonts w:ascii="Times New Roman" w:hAnsi="Times New Roman" w:cs="Times New Roman"/>
          <w:sz w:val="24"/>
          <w:szCs w:val="24"/>
        </w:rPr>
        <w:t xml:space="preserve"> šīs</w:t>
      </w:r>
      <w:r w:rsidR="0006379E">
        <w:rPr>
          <w:rStyle w:val="sb8d990e2"/>
          <w:rFonts w:ascii="Times New Roman" w:hAnsi="Times New Roman" w:cs="Times New Roman"/>
          <w:sz w:val="24"/>
          <w:szCs w:val="24"/>
        </w:rPr>
        <w:t xml:space="preserve"> „</w:t>
      </w:r>
      <w:r w:rsidR="00B954BE" w:rsidRPr="00B954BE">
        <w:rPr>
          <w:rStyle w:val="sb8d990e2"/>
          <w:rFonts w:ascii="Times New Roman" w:hAnsi="Times New Roman" w:cs="Times New Roman"/>
          <w:sz w:val="24"/>
          <w:szCs w:val="24"/>
        </w:rPr>
        <w:t xml:space="preserve">ģimenes” vienības sastāvdaļa no dzimšanas brīža un jau </w:t>
      </w:r>
      <w:r w:rsidR="00B954BE">
        <w:rPr>
          <w:rStyle w:val="sb8d990e2"/>
          <w:rFonts w:ascii="Times New Roman" w:hAnsi="Times New Roman" w:cs="Times New Roman"/>
          <w:sz w:val="24"/>
          <w:szCs w:val="24"/>
        </w:rPr>
        <w:t>ar pašu</w:t>
      </w:r>
      <w:r w:rsidR="00B954BE" w:rsidRPr="00B954BE">
        <w:rPr>
          <w:rStyle w:val="sb8d990e2"/>
          <w:rFonts w:ascii="Times New Roman" w:hAnsi="Times New Roman" w:cs="Times New Roman"/>
          <w:sz w:val="24"/>
          <w:szCs w:val="24"/>
        </w:rPr>
        <w:t xml:space="preserve"> dzimšanas </w:t>
      </w:r>
      <w:r w:rsidR="00B954BE">
        <w:rPr>
          <w:rStyle w:val="sb8d990e2"/>
          <w:rFonts w:ascii="Times New Roman" w:hAnsi="Times New Roman" w:cs="Times New Roman"/>
          <w:sz w:val="24"/>
          <w:szCs w:val="24"/>
        </w:rPr>
        <w:t>faktu</w:t>
      </w:r>
      <w:r w:rsidR="00B954BE" w:rsidRPr="00B954BE">
        <w:rPr>
          <w:rStyle w:val="sb8d990e2"/>
          <w:rFonts w:ascii="Times New Roman" w:hAnsi="Times New Roman" w:cs="Times New Roman"/>
          <w:sz w:val="24"/>
          <w:szCs w:val="24"/>
        </w:rPr>
        <w:t xml:space="preserve"> </w:t>
      </w:r>
      <w:proofErr w:type="gramStart"/>
      <w:r w:rsidR="00B954BE" w:rsidRPr="00B954BE">
        <w:rPr>
          <w:rStyle w:val="sb8d990e2"/>
          <w:rFonts w:ascii="Times New Roman" w:hAnsi="Times New Roman" w:cs="Times New Roman"/>
          <w:sz w:val="24"/>
          <w:szCs w:val="24"/>
        </w:rPr>
        <w:t>(</w:t>
      </w:r>
      <w:proofErr w:type="gramEnd"/>
      <w:r w:rsidR="00B954BE" w:rsidRPr="00D13E7D">
        <w:rPr>
          <w:rStyle w:val="sb8d990e2"/>
          <w:rFonts w:ascii="Times New Roman" w:hAnsi="Times New Roman" w:cs="Times New Roman"/>
          <w:sz w:val="24"/>
          <w:szCs w:val="24"/>
        </w:rPr>
        <w:t>sk.</w:t>
      </w:r>
      <w:r w:rsidR="00B954BE" w:rsidRPr="006E77CD">
        <w:rPr>
          <w:rStyle w:val="sb8d990e2"/>
          <w:rFonts w:ascii="Times New Roman" w:hAnsi="Times New Roman" w:cs="Times New Roman"/>
          <w:i/>
          <w:iCs/>
          <w:sz w:val="24"/>
          <w:szCs w:val="24"/>
        </w:rPr>
        <w:t xml:space="preserve"> 1994. gada 26. maija spriedum</w:t>
      </w:r>
      <w:r w:rsidR="00C42019">
        <w:rPr>
          <w:rStyle w:val="sb8d990e2"/>
          <w:rFonts w:ascii="Times New Roman" w:hAnsi="Times New Roman" w:cs="Times New Roman"/>
          <w:i/>
          <w:iCs/>
          <w:sz w:val="24"/>
          <w:szCs w:val="24"/>
        </w:rPr>
        <w:t>u</w:t>
      </w:r>
      <w:r w:rsidR="00B954BE" w:rsidRPr="006E77CD">
        <w:rPr>
          <w:rStyle w:val="sb8d990e2"/>
          <w:rFonts w:ascii="Times New Roman" w:hAnsi="Times New Roman" w:cs="Times New Roman"/>
          <w:i/>
          <w:iCs/>
          <w:sz w:val="24"/>
          <w:szCs w:val="24"/>
        </w:rPr>
        <w:t xml:space="preserve"> lietā</w:t>
      </w:r>
      <w:r w:rsidR="0006379E">
        <w:rPr>
          <w:rStyle w:val="sb8d990e2"/>
          <w:rFonts w:ascii="Times New Roman" w:hAnsi="Times New Roman" w:cs="Times New Roman"/>
          <w:i/>
          <w:iCs/>
          <w:sz w:val="24"/>
          <w:szCs w:val="24"/>
        </w:rPr>
        <w:t xml:space="preserve"> „</w:t>
      </w:r>
      <w:proofErr w:type="spellStart"/>
      <w:r w:rsidR="00B954BE" w:rsidRPr="006E77CD">
        <w:rPr>
          <w:rStyle w:val="sb8d990e2"/>
          <w:rFonts w:ascii="Times New Roman" w:hAnsi="Times New Roman" w:cs="Times New Roman"/>
          <w:i/>
          <w:iCs/>
          <w:sz w:val="24"/>
          <w:szCs w:val="24"/>
        </w:rPr>
        <w:t>Keegan</w:t>
      </w:r>
      <w:proofErr w:type="spellEnd"/>
      <w:r w:rsidR="00B954BE" w:rsidRPr="006E77CD">
        <w:rPr>
          <w:rStyle w:val="sb8d990e2"/>
          <w:rFonts w:ascii="Times New Roman" w:hAnsi="Times New Roman" w:cs="Times New Roman"/>
          <w:i/>
          <w:iCs/>
          <w:sz w:val="24"/>
          <w:szCs w:val="24"/>
        </w:rPr>
        <w:t xml:space="preserve"> v. </w:t>
      </w:r>
      <w:proofErr w:type="spellStart"/>
      <w:r w:rsidR="00B954BE" w:rsidRPr="006E77CD">
        <w:rPr>
          <w:rStyle w:val="sb8d990e2"/>
          <w:rFonts w:ascii="Times New Roman" w:hAnsi="Times New Roman" w:cs="Times New Roman"/>
          <w:i/>
          <w:iCs/>
          <w:sz w:val="24"/>
          <w:szCs w:val="24"/>
        </w:rPr>
        <w:t>Ireland</w:t>
      </w:r>
      <w:proofErr w:type="spellEnd"/>
      <w:r w:rsidR="00B954BE" w:rsidRPr="006E77CD">
        <w:rPr>
          <w:rStyle w:val="sb8d990e2"/>
          <w:rFonts w:ascii="Times New Roman" w:hAnsi="Times New Roman" w:cs="Times New Roman"/>
          <w:i/>
          <w:iCs/>
          <w:sz w:val="24"/>
          <w:szCs w:val="24"/>
        </w:rPr>
        <w:t>”, iesnieguma Nr. </w:t>
      </w:r>
      <w:hyperlink r:id="rId8" w:history="1">
        <w:r w:rsidR="006E77CD" w:rsidRPr="006E77CD">
          <w:rPr>
            <w:rStyle w:val="Hyperlink"/>
            <w:rFonts w:ascii="Times New Roman" w:hAnsi="Times New Roman" w:cs="Times New Roman"/>
            <w:i/>
            <w:iCs/>
            <w:sz w:val="24"/>
            <w:szCs w:val="24"/>
          </w:rPr>
          <w:t>16969/90</w:t>
        </w:r>
      </w:hyperlink>
      <w:r w:rsidR="00B954BE" w:rsidRPr="006E77CD">
        <w:rPr>
          <w:rStyle w:val="sb8d990e2"/>
          <w:rFonts w:ascii="Times New Roman" w:hAnsi="Times New Roman" w:cs="Times New Roman"/>
          <w:i/>
          <w:iCs/>
          <w:sz w:val="24"/>
          <w:szCs w:val="24"/>
        </w:rPr>
        <w:t xml:space="preserve">, </w:t>
      </w:r>
      <w:r w:rsidR="006E77CD" w:rsidRPr="006E77CD">
        <w:rPr>
          <w:rStyle w:val="sb8d990e2"/>
          <w:rFonts w:ascii="Times New Roman" w:hAnsi="Times New Roman" w:cs="Times New Roman"/>
          <w:i/>
          <w:iCs/>
          <w:sz w:val="24"/>
          <w:szCs w:val="24"/>
        </w:rPr>
        <w:t>2004. gada 1. jūnija spriedum</w:t>
      </w:r>
      <w:r w:rsidR="00C42019">
        <w:rPr>
          <w:rStyle w:val="sb8d990e2"/>
          <w:rFonts w:ascii="Times New Roman" w:hAnsi="Times New Roman" w:cs="Times New Roman"/>
          <w:i/>
          <w:iCs/>
          <w:sz w:val="24"/>
          <w:szCs w:val="24"/>
        </w:rPr>
        <w:t>a</w:t>
      </w:r>
      <w:r w:rsidR="006E77CD" w:rsidRPr="006E77CD">
        <w:rPr>
          <w:rStyle w:val="sb8d990e2"/>
          <w:rFonts w:ascii="Times New Roman" w:hAnsi="Times New Roman" w:cs="Times New Roman"/>
          <w:i/>
          <w:iCs/>
          <w:sz w:val="24"/>
          <w:szCs w:val="24"/>
        </w:rPr>
        <w:t xml:space="preserve"> lietā</w:t>
      </w:r>
      <w:r w:rsidR="0006379E">
        <w:rPr>
          <w:rStyle w:val="sb8d990e2"/>
          <w:rFonts w:ascii="Times New Roman" w:hAnsi="Times New Roman" w:cs="Times New Roman"/>
          <w:i/>
          <w:iCs/>
          <w:sz w:val="24"/>
          <w:szCs w:val="24"/>
        </w:rPr>
        <w:t xml:space="preserve"> „</w:t>
      </w:r>
      <w:r w:rsidR="006E77CD" w:rsidRPr="006E77CD">
        <w:rPr>
          <w:rStyle w:val="sb8d990e2"/>
          <w:rFonts w:ascii="Times New Roman" w:hAnsi="Times New Roman" w:cs="Times New Roman"/>
          <w:i/>
          <w:iCs/>
          <w:sz w:val="24"/>
          <w:szCs w:val="24"/>
        </w:rPr>
        <w:t xml:space="preserve">L. v. </w:t>
      </w:r>
      <w:proofErr w:type="spellStart"/>
      <w:r w:rsidR="006E77CD" w:rsidRPr="006E77CD">
        <w:rPr>
          <w:rStyle w:val="sb8d990e2"/>
          <w:rFonts w:ascii="Times New Roman" w:hAnsi="Times New Roman" w:cs="Times New Roman"/>
          <w:i/>
          <w:iCs/>
          <w:sz w:val="24"/>
          <w:szCs w:val="24"/>
        </w:rPr>
        <w:t>the</w:t>
      </w:r>
      <w:proofErr w:type="spellEnd"/>
      <w:r w:rsidR="006E77CD" w:rsidRPr="006E77CD">
        <w:rPr>
          <w:rStyle w:val="sb8d990e2"/>
          <w:rFonts w:ascii="Times New Roman" w:hAnsi="Times New Roman" w:cs="Times New Roman"/>
          <w:i/>
          <w:iCs/>
          <w:sz w:val="24"/>
          <w:szCs w:val="24"/>
        </w:rPr>
        <w:t xml:space="preserve"> </w:t>
      </w:r>
      <w:proofErr w:type="spellStart"/>
      <w:r w:rsidR="006E77CD" w:rsidRPr="006E77CD">
        <w:rPr>
          <w:rStyle w:val="sb8d990e2"/>
          <w:rFonts w:ascii="Times New Roman" w:hAnsi="Times New Roman" w:cs="Times New Roman"/>
          <w:i/>
          <w:iCs/>
          <w:sz w:val="24"/>
          <w:szCs w:val="24"/>
        </w:rPr>
        <w:t>Netherlands</w:t>
      </w:r>
      <w:proofErr w:type="spellEnd"/>
      <w:r w:rsidR="006E77CD" w:rsidRPr="006E77CD">
        <w:rPr>
          <w:rStyle w:val="sb8d990e2"/>
          <w:rFonts w:ascii="Times New Roman" w:hAnsi="Times New Roman" w:cs="Times New Roman"/>
          <w:i/>
          <w:iCs/>
          <w:sz w:val="24"/>
          <w:szCs w:val="24"/>
        </w:rPr>
        <w:t>”</w:t>
      </w:r>
      <w:r w:rsidR="00B954BE" w:rsidRPr="006E77CD">
        <w:rPr>
          <w:rStyle w:val="sb8d990e2"/>
          <w:rFonts w:ascii="Times New Roman" w:hAnsi="Times New Roman" w:cs="Times New Roman"/>
          <w:i/>
          <w:iCs/>
          <w:sz w:val="24"/>
          <w:szCs w:val="24"/>
        </w:rPr>
        <w:t>,</w:t>
      </w:r>
      <w:r w:rsidR="006E77CD" w:rsidRPr="006E77CD">
        <w:rPr>
          <w:rStyle w:val="sb8d990e2"/>
          <w:rFonts w:ascii="Times New Roman" w:hAnsi="Times New Roman" w:cs="Times New Roman"/>
          <w:i/>
          <w:iCs/>
          <w:sz w:val="24"/>
          <w:szCs w:val="24"/>
        </w:rPr>
        <w:t xml:space="preserve"> iesnieguma</w:t>
      </w:r>
      <w:r w:rsidR="00B954BE" w:rsidRPr="006E77CD">
        <w:rPr>
          <w:rStyle w:val="sb8d990e2"/>
          <w:rFonts w:ascii="Times New Roman" w:hAnsi="Times New Roman" w:cs="Times New Roman"/>
          <w:i/>
          <w:iCs/>
          <w:sz w:val="24"/>
          <w:szCs w:val="24"/>
        </w:rPr>
        <w:t xml:space="preserve"> Nr. </w:t>
      </w:r>
      <w:hyperlink r:id="rId9" w:history="1">
        <w:r w:rsidR="00B954BE" w:rsidRPr="006E77CD">
          <w:rPr>
            <w:rStyle w:val="Hyperlink"/>
            <w:rFonts w:ascii="Times New Roman" w:hAnsi="Times New Roman" w:cs="Times New Roman"/>
            <w:i/>
            <w:iCs/>
            <w:sz w:val="24"/>
            <w:szCs w:val="24"/>
          </w:rPr>
          <w:t>45582/99</w:t>
        </w:r>
      </w:hyperlink>
      <w:r w:rsidR="00B954BE" w:rsidRPr="006E77CD">
        <w:rPr>
          <w:rStyle w:val="sb8d990e2"/>
          <w:rFonts w:ascii="Times New Roman" w:hAnsi="Times New Roman" w:cs="Times New Roman"/>
          <w:i/>
          <w:iCs/>
          <w:sz w:val="24"/>
          <w:szCs w:val="24"/>
        </w:rPr>
        <w:t>, 35.</w:t>
      </w:r>
      <w:r w:rsidR="006E77CD" w:rsidRPr="006E77CD">
        <w:rPr>
          <w:rStyle w:val="sb8d990e2"/>
          <w:rFonts w:ascii="Times New Roman" w:hAnsi="Times New Roman" w:cs="Times New Roman"/>
          <w:i/>
          <w:iCs/>
          <w:sz w:val="24"/>
          <w:szCs w:val="24"/>
        </w:rPr>
        <w:t> </w:t>
      </w:r>
      <w:r w:rsidR="00B954BE" w:rsidRPr="006E77CD">
        <w:rPr>
          <w:rStyle w:val="sb8d990e2"/>
          <w:rFonts w:ascii="Times New Roman" w:hAnsi="Times New Roman" w:cs="Times New Roman"/>
          <w:i/>
          <w:iCs/>
          <w:sz w:val="24"/>
          <w:szCs w:val="24"/>
        </w:rPr>
        <w:t>punkt</w:t>
      </w:r>
      <w:r w:rsidR="00C42019">
        <w:rPr>
          <w:rStyle w:val="sb8d990e2"/>
          <w:rFonts w:ascii="Times New Roman" w:hAnsi="Times New Roman" w:cs="Times New Roman"/>
          <w:i/>
          <w:iCs/>
          <w:sz w:val="24"/>
          <w:szCs w:val="24"/>
        </w:rPr>
        <w:t>u</w:t>
      </w:r>
      <w:r w:rsidR="00B954BE" w:rsidRPr="006E77CD">
        <w:rPr>
          <w:rStyle w:val="sb8d990e2"/>
          <w:rFonts w:ascii="Times New Roman" w:hAnsi="Times New Roman" w:cs="Times New Roman"/>
          <w:i/>
          <w:iCs/>
          <w:sz w:val="24"/>
          <w:szCs w:val="24"/>
        </w:rPr>
        <w:t xml:space="preserve">, </w:t>
      </w:r>
      <w:r w:rsidR="006E77CD" w:rsidRPr="006E77CD">
        <w:rPr>
          <w:rStyle w:val="sb8d990e2"/>
          <w:rFonts w:ascii="Times New Roman" w:hAnsi="Times New Roman" w:cs="Times New Roman"/>
          <w:i/>
          <w:iCs/>
          <w:sz w:val="24"/>
          <w:szCs w:val="24"/>
        </w:rPr>
        <w:t>2005. gada 2. jūnija spriedum</w:t>
      </w:r>
      <w:r w:rsidR="00C42019">
        <w:rPr>
          <w:rStyle w:val="sb8d990e2"/>
          <w:rFonts w:ascii="Times New Roman" w:hAnsi="Times New Roman" w:cs="Times New Roman"/>
          <w:i/>
          <w:iCs/>
          <w:sz w:val="24"/>
          <w:szCs w:val="24"/>
        </w:rPr>
        <w:t>a</w:t>
      </w:r>
      <w:r w:rsidR="006E77CD" w:rsidRPr="006E77CD">
        <w:rPr>
          <w:rStyle w:val="sb8d990e2"/>
          <w:rFonts w:ascii="Times New Roman" w:hAnsi="Times New Roman" w:cs="Times New Roman"/>
          <w:i/>
          <w:iCs/>
          <w:sz w:val="24"/>
          <w:szCs w:val="24"/>
        </w:rPr>
        <w:t xml:space="preserve"> lietā</w:t>
      </w:r>
      <w:r w:rsidR="0006379E">
        <w:rPr>
          <w:rStyle w:val="sb8d990e2"/>
          <w:rFonts w:ascii="Times New Roman" w:hAnsi="Times New Roman" w:cs="Times New Roman"/>
          <w:i/>
          <w:iCs/>
          <w:sz w:val="24"/>
          <w:szCs w:val="24"/>
        </w:rPr>
        <w:t xml:space="preserve"> „</w:t>
      </w:r>
      <w:proofErr w:type="spellStart"/>
      <w:r w:rsidR="00B954BE" w:rsidRPr="006E77CD">
        <w:rPr>
          <w:rStyle w:val="sb8d990e2"/>
          <w:rFonts w:ascii="Times New Roman" w:hAnsi="Times New Roman" w:cs="Times New Roman"/>
          <w:i/>
          <w:iCs/>
          <w:sz w:val="24"/>
          <w:szCs w:val="24"/>
        </w:rPr>
        <w:t>Znamenskaya</w:t>
      </w:r>
      <w:proofErr w:type="spellEnd"/>
      <w:r w:rsidR="00B954BE" w:rsidRPr="006E77CD">
        <w:rPr>
          <w:rStyle w:val="sb8d990e2"/>
          <w:rFonts w:ascii="Times New Roman" w:hAnsi="Times New Roman" w:cs="Times New Roman"/>
          <w:i/>
          <w:iCs/>
          <w:sz w:val="24"/>
          <w:szCs w:val="24"/>
        </w:rPr>
        <w:t xml:space="preserve"> </w:t>
      </w:r>
      <w:r w:rsidR="006E77CD" w:rsidRPr="006E77CD">
        <w:rPr>
          <w:rStyle w:val="sb8d990e2"/>
          <w:rFonts w:ascii="Times New Roman" w:hAnsi="Times New Roman" w:cs="Times New Roman"/>
          <w:i/>
          <w:iCs/>
          <w:sz w:val="24"/>
          <w:szCs w:val="24"/>
        </w:rPr>
        <w:t xml:space="preserve">v. </w:t>
      </w:r>
      <w:proofErr w:type="spellStart"/>
      <w:r w:rsidR="006E77CD" w:rsidRPr="006E77CD">
        <w:rPr>
          <w:rStyle w:val="sb8d990e2"/>
          <w:rFonts w:ascii="Times New Roman" w:hAnsi="Times New Roman" w:cs="Times New Roman"/>
          <w:i/>
          <w:iCs/>
          <w:sz w:val="24"/>
          <w:szCs w:val="24"/>
        </w:rPr>
        <w:t>Russia</w:t>
      </w:r>
      <w:proofErr w:type="spellEnd"/>
      <w:r w:rsidR="006E77CD" w:rsidRPr="006E77CD">
        <w:rPr>
          <w:rStyle w:val="sb8d990e2"/>
          <w:rFonts w:ascii="Times New Roman" w:hAnsi="Times New Roman" w:cs="Times New Roman"/>
          <w:i/>
          <w:iCs/>
          <w:sz w:val="24"/>
          <w:szCs w:val="24"/>
        </w:rPr>
        <w:t>”</w:t>
      </w:r>
      <w:r w:rsidR="00B954BE" w:rsidRPr="006E77CD">
        <w:rPr>
          <w:rStyle w:val="sb8d990e2"/>
          <w:rFonts w:ascii="Times New Roman" w:hAnsi="Times New Roman" w:cs="Times New Roman"/>
          <w:i/>
          <w:iCs/>
          <w:sz w:val="24"/>
          <w:szCs w:val="24"/>
        </w:rPr>
        <w:t xml:space="preserve">, </w:t>
      </w:r>
      <w:r w:rsidR="006E77CD" w:rsidRPr="006E77CD">
        <w:rPr>
          <w:rStyle w:val="sb8d990e2"/>
          <w:rFonts w:ascii="Times New Roman" w:hAnsi="Times New Roman" w:cs="Times New Roman"/>
          <w:i/>
          <w:iCs/>
          <w:sz w:val="24"/>
          <w:szCs w:val="24"/>
        </w:rPr>
        <w:t xml:space="preserve">iesnieguma </w:t>
      </w:r>
      <w:r w:rsidR="00B954BE" w:rsidRPr="006E77CD">
        <w:rPr>
          <w:rStyle w:val="sb8d990e2"/>
          <w:rFonts w:ascii="Times New Roman" w:hAnsi="Times New Roman" w:cs="Times New Roman"/>
          <w:i/>
          <w:iCs/>
          <w:sz w:val="24"/>
          <w:szCs w:val="24"/>
        </w:rPr>
        <w:t>Nr.</w:t>
      </w:r>
      <w:r w:rsidR="006E77CD" w:rsidRPr="006E77CD">
        <w:rPr>
          <w:rStyle w:val="sb8d990e2"/>
          <w:rFonts w:ascii="Times New Roman" w:hAnsi="Times New Roman" w:cs="Times New Roman"/>
          <w:i/>
          <w:iCs/>
          <w:sz w:val="24"/>
          <w:szCs w:val="24"/>
        </w:rPr>
        <w:t> </w:t>
      </w:r>
      <w:hyperlink r:id="rId10" w:history="1">
        <w:r w:rsidR="00B954BE" w:rsidRPr="006E77CD">
          <w:rPr>
            <w:rStyle w:val="Hyperlink"/>
            <w:rFonts w:ascii="Times New Roman" w:hAnsi="Times New Roman" w:cs="Times New Roman"/>
            <w:i/>
            <w:iCs/>
            <w:sz w:val="24"/>
            <w:szCs w:val="24"/>
          </w:rPr>
          <w:t>77785/01</w:t>
        </w:r>
      </w:hyperlink>
      <w:r w:rsidR="00B954BE" w:rsidRPr="006E77CD">
        <w:rPr>
          <w:rStyle w:val="sb8d990e2"/>
          <w:rFonts w:ascii="Times New Roman" w:hAnsi="Times New Roman" w:cs="Times New Roman"/>
          <w:i/>
          <w:iCs/>
          <w:sz w:val="24"/>
          <w:szCs w:val="24"/>
        </w:rPr>
        <w:t>, 26.</w:t>
      </w:r>
      <w:r w:rsidR="006E77CD" w:rsidRPr="006E77CD">
        <w:rPr>
          <w:rStyle w:val="sb8d990e2"/>
          <w:rFonts w:ascii="Times New Roman" w:hAnsi="Times New Roman" w:cs="Times New Roman"/>
          <w:i/>
          <w:iCs/>
          <w:sz w:val="24"/>
          <w:szCs w:val="24"/>
        </w:rPr>
        <w:t> </w:t>
      </w:r>
      <w:r w:rsidR="00B954BE" w:rsidRPr="006E77CD">
        <w:rPr>
          <w:rStyle w:val="sb8d990e2"/>
          <w:rFonts w:ascii="Times New Roman" w:hAnsi="Times New Roman" w:cs="Times New Roman"/>
          <w:i/>
          <w:iCs/>
          <w:sz w:val="24"/>
          <w:szCs w:val="24"/>
        </w:rPr>
        <w:t>punkt</w:t>
      </w:r>
      <w:r w:rsidR="00C42019">
        <w:rPr>
          <w:rStyle w:val="sb8d990e2"/>
          <w:rFonts w:ascii="Times New Roman" w:hAnsi="Times New Roman" w:cs="Times New Roman"/>
          <w:i/>
          <w:iCs/>
          <w:sz w:val="24"/>
          <w:szCs w:val="24"/>
        </w:rPr>
        <w:t>u</w:t>
      </w:r>
      <w:r w:rsidR="00B954BE" w:rsidRPr="00B954BE">
        <w:rPr>
          <w:rStyle w:val="sb8d990e2"/>
          <w:rFonts w:ascii="Times New Roman" w:hAnsi="Times New Roman" w:cs="Times New Roman"/>
          <w:sz w:val="24"/>
          <w:szCs w:val="24"/>
        </w:rPr>
        <w:t>).</w:t>
      </w:r>
    </w:p>
    <w:p w14:paraId="08B6C339" w14:textId="6EAD3CAA" w:rsidR="006E77CD" w:rsidRDefault="00CE2D44" w:rsidP="00A874F9">
      <w:pPr>
        <w:spacing w:after="200" w:line="240" w:lineRule="auto"/>
        <w:jc w:val="both"/>
        <w:rPr>
          <w:rStyle w:val="sb8d990e2"/>
          <w:rFonts w:ascii="Times New Roman" w:hAnsi="Times New Roman" w:cs="Times New Roman"/>
          <w:sz w:val="24"/>
          <w:szCs w:val="24"/>
        </w:rPr>
      </w:pPr>
      <w:r>
        <w:rPr>
          <w:rStyle w:val="sb8d990e2"/>
          <w:rFonts w:ascii="Times New Roman" w:hAnsi="Times New Roman" w:cs="Times New Roman"/>
          <w:sz w:val="24"/>
          <w:szCs w:val="24"/>
        </w:rPr>
        <w:t xml:space="preserve">80. </w:t>
      </w:r>
      <w:r w:rsidRPr="00CE2D44">
        <w:rPr>
          <w:rStyle w:val="sb8d990e2"/>
          <w:rFonts w:ascii="Times New Roman" w:hAnsi="Times New Roman" w:cs="Times New Roman"/>
          <w:sz w:val="24"/>
          <w:szCs w:val="24"/>
        </w:rPr>
        <w:t xml:space="preserve">Tomēr tikai bioloģiskā </w:t>
      </w:r>
      <w:r>
        <w:rPr>
          <w:rStyle w:val="sb8d990e2"/>
          <w:rFonts w:ascii="Times New Roman" w:hAnsi="Times New Roman" w:cs="Times New Roman"/>
          <w:sz w:val="24"/>
          <w:szCs w:val="24"/>
        </w:rPr>
        <w:t xml:space="preserve">saite </w:t>
      </w:r>
      <w:r w:rsidRPr="00CE2D44">
        <w:rPr>
          <w:rStyle w:val="sb8d990e2"/>
          <w:rFonts w:ascii="Times New Roman" w:hAnsi="Times New Roman" w:cs="Times New Roman"/>
          <w:sz w:val="24"/>
          <w:szCs w:val="24"/>
        </w:rPr>
        <w:t xml:space="preserve">starp </w:t>
      </w:r>
      <w:r>
        <w:rPr>
          <w:rStyle w:val="sb8d990e2"/>
          <w:rFonts w:ascii="Times New Roman" w:hAnsi="Times New Roman" w:cs="Times New Roman"/>
          <w:sz w:val="24"/>
          <w:szCs w:val="24"/>
        </w:rPr>
        <w:t>bioloģisko</w:t>
      </w:r>
      <w:r w:rsidRPr="00CE2D44">
        <w:rPr>
          <w:rStyle w:val="sb8d990e2"/>
          <w:rFonts w:ascii="Times New Roman" w:hAnsi="Times New Roman" w:cs="Times New Roman"/>
          <w:sz w:val="24"/>
          <w:szCs w:val="24"/>
        </w:rPr>
        <w:t xml:space="preserve"> vecāku un bērnu bez jebkādiem citiem juridiskiem vai faktiskiem elementiem, kas norāda uz ciešu personisko attiecību </w:t>
      </w:r>
      <w:r>
        <w:rPr>
          <w:rStyle w:val="sb8d990e2"/>
          <w:rFonts w:ascii="Times New Roman" w:hAnsi="Times New Roman" w:cs="Times New Roman"/>
          <w:sz w:val="24"/>
          <w:szCs w:val="24"/>
        </w:rPr>
        <w:t>pastāvēšanu</w:t>
      </w:r>
      <w:r w:rsidRPr="00CE2D44">
        <w:rPr>
          <w:rStyle w:val="sb8d990e2"/>
          <w:rFonts w:ascii="Times New Roman" w:hAnsi="Times New Roman" w:cs="Times New Roman"/>
          <w:sz w:val="24"/>
          <w:szCs w:val="24"/>
        </w:rPr>
        <w:t xml:space="preserve">, nav pietiekama, lai </w:t>
      </w:r>
      <w:r>
        <w:rPr>
          <w:rStyle w:val="sb8d990e2"/>
          <w:rFonts w:ascii="Times New Roman" w:hAnsi="Times New Roman" w:cs="Times New Roman"/>
          <w:sz w:val="24"/>
          <w:szCs w:val="24"/>
        </w:rPr>
        <w:t>nodrošinātu</w:t>
      </w:r>
      <w:r w:rsidRPr="00CE2D44">
        <w:rPr>
          <w:rStyle w:val="sb8d990e2"/>
          <w:rFonts w:ascii="Times New Roman" w:hAnsi="Times New Roman" w:cs="Times New Roman"/>
          <w:sz w:val="24"/>
          <w:szCs w:val="24"/>
        </w:rPr>
        <w:t xml:space="preserve"> 8. panta aizsardzību (</w:t>
      </w:r>
      <w:r w:rsidRPr="00D13E7D">
        <w:rPr>
          <w:rStyle w:val="sb8d990e2"/>
          <w:rFonts w:ascii="Times New Roman" w:hAnsi="Times New Roman" w:cs="Times New Roman"/>
          <w:sz w:val="24"/>
          <w:szCs w:val="24"/>
        </w:rPr>
        <w:t>sal.</w:t>
      </w:r>
      <w:r w:rsidRPr="00CE2D44">
        <w:rPr>
          <w:rStyle w:val="sb8d990e2"/>
          <w:rFonts w:ascii="Times New Roman" w:hAnsi="Times New Roman" w:cs="Times New Roman"/>
          <w:i/>
          <w:iCs/>
          <w:sz w:val="24"/>
          <w:szCs w:val="24"/>
        </w:rPr>
        <w:t xml:space="preserve"> iepriekš citētā</w:t>
      </w:r>
      <w:r w:rsidR="0006379E">
        <w:rPr>
          <w:rStyle w:val="sb8d990e2"/>
          <w:rFonts w:ascii="Times New Roman" w:hAnsi="Times New Roman" w:cs="Times New Roman"/>
          <w:i/>
          <w:iCs/>
          <w:sz w:val="24"/>
          <w:szCs w:val="24"/>
        </w:rPr>
        <w:t xml:space="preserve"> „</w:t>
      </w:r>
      <w:r w:rsidRPr="00CE2D44">
        <w:rPr>
          <w:rStyle w:val="sb8d990e2"/>
          <w:rFonts w:ascii="Times New Roman" w:hAnsi="Times New Roman" w:cs="Times New Roman"/>
          <w:i/>
          <w:iCs/>
          <w:sz w:val="24"/>
          <w:szCs w:val="24"/>
        </w:rPr>
        <w:t xml:space="preserve">L. v. </w:t>
      </w:r>
      <w:proofErr w:type="spellStart"/>
      <w:r w:rsidRPr="00CE2D44">
        <w:rPr>
          <w:rStyle w:val="sb8d990e2"/>
          <w:rFonts w:ascii="Times New Roman" w:hAnsi="Times New Roman" w:cs="Times New Roman"/>
          <w:i/>
          <w:iCs/>
          <w:sz w:val="24"/>
          <w:szCs w:val="24"/>
        </w:rPr>
        <w:t>the</w:t>
      </w:r>
      <w:proofErr w:type="spellEnd"/>
      <w:r w:rsidRPr="00CE2D44">
        <w:rPr>
          <w:rStyle w:val="sb8d990e2"/>
          <w:rFonts w:ascii="Times New Roman" w:hAnsi="Times New Roman" w:cs="Times New Roman"/>
          <w:i/>
          <w:iCs/>
          <w:sz w:val="24"/>
          <w:szCs w:val="24"/>
        </w:rPr>
        <w:t xml:space="preserve"> </w:t>
      </w:r>
      <w:proofErr w:type="spellStart"/>
      <w:r w:rsidRPr="00CE2D44">
        <w:rPr>
          <w:rStyle w:val="sb8d990e2"/>
          <w:rFonts w:ascii="Times New Roman" w:hAnsi="Times New Roman" w:cs="Times New Roman"/>
          <w:i/>
          <w:iCs/>
          <w:sz w:val="24"/>
          <w:szCs w:val="24"/>
        </w:rPr>
        <w:t>Netherlands</w:t>
      </w:r>
      <w:proofErr w:type="spellEnd"/>
      <w:r w:rsidRPr="00CE2D44">
        <w:rPr>
          <w:rStyle w:val="sb8d990e2"/>
          <w:rFonts w:ascii="Times New Roman" w:hAnsi="Times New Roman" w:cs="Times New Roman"/>
          <w:i/>
          <w:iCs/>
          <w:sz w:val="24"/>
          <w:szCs w:val="24"/>
        </w:rPr>
        <w:t>” 37. punkt</w:t>
      </w:r>
      <w:r w:rsidR="008B0699">
        <w:rPr>
          <w:rStyle w:val="sb8d990e2"/>
          <w:rFonts w:ascii="Times New Roman" w:hAnsi="Times New Roman" w:cs="Times New Roman"/>
          <w:i/>
          <w:iCs/>
          <w:sz w:val="24"/>
          <w:szCs w:val="24"/>
        </w:rPr>
        <w:t>s</w:t>
      </w:r>
      <w:r w:rsidRPr="00CE2D44">
        <w:rPr>
          <w:rStyle w:val="sb8d990e2"/>
          <w:rFonts w:ascii="Times New Roman" w:hAnsi="Times New Roman" w:cs="Times New Roman"/>
          <w:sz w:val="24"/>
          <w:szCs w:val="24"/>
        </w:rPr>
        <w:t xml:space="preserve">). </w:t>
      </w:r>
      <w:r>
        <w:rPr>
          <w:rStyle w:val="sb8d990e2"/>
          <w:rFonts w:ascii="Times New Roman" w:hAnsi="Times New Roman" w:cs="Times New Roman"/>
          <w:sz w:val="24"/>
          <w:szCs w:val="24"/>
        </w:rPr>
        <w:t>Lai attiecības varētu pielīdzināt</w:t>
      </w:r>
      <w:r w:rsidRPr="00CE2D44">
        <w:rPr>
          <w:rStyle w:val="sb8d990e2"/>
          <w:rFonts w:ascii="Times New Roman" w:hAnsi="Times New Roman" w:cs="Times New Roman"/>
          <w:sz w:val="24"/>
          <w:szCs w:val="24"/>
        </w:rPr>
        <w:t xml:space="preserve"> ģimenes dzīvei</w:t>
      </w:r>
      <w:r>
        <w:rPr>
          <w:rStyle w:val="sb8d990e2"/>
          <w:rFonts w:ascii="Times New Roman" w:hAnsi="Times New Roman" w:cs="Times New Roman"/>
          <w:sz w:val="24"/>
          <w:szCs w:val="24"/>
        </w:rPr>
        <w:t>, parasti tiek prasīta kopdzīve</w:t>
      </w:r>
      <w:r w:rsidRPr="00CE2D44">
        <w:rPr>
          <w:rStyle w:val="sb8d990e2"/>
          <w:rFonts w:ascii="Times New Roman" w:hAnsi="Times New Roman" w:cs="Times New Roman"/>
          <w:sz w:val="24"/>
          <w:szCs w:val="24"/>
        </w:rPr>
        <w:t xml:space="preserve">. Izņēmuma kārtā </w:t>
      </w:r>
      <w:r>
        <w:rPr>
          <w:rStyle w:val="sb8d990e2"/>
          <w:rFonts w:ascii="Times New Roman" w:hAnsi="Times New Roman" w:cs="Times New Roman"/>
          <w:sz w:val="24"/>
          <w:szCs w:val="24"/>
        </w:rPr>
        <w:t xml:space="preserve">arī </w:t>
      </w:r>
      <w:r w:rsidRPr="00CE2D44">
        <w:rPr>
          <w:rStyle w:val="sb8d990e2"/>
          <w:rFonts w:ascii="Times New Roman" w:hAnsi="Times New Roman" w:cs="Times New Roman"/>
          <w:sz w:val="24"/>
          <w:szCs w:val="24"/>
        </w:rPr>
        <w:t>citi faktori var</w:t>
      </w:r>
      <w:r>
        <w:rPr>
          <w:rStyle w:val="sb8d990e2"/>
          <w:rFonts w:ascii="Times New Roman" w:hAnsi="Times New Roman" w:cs="Times New Roman"/>
          <w:sz w:val="24"/>
          <w:szCs w:val="24"/>
        </w:rPr>
        <w:t xml:space="preserve"> kalpot kā pierādījums, ka</w:t>
      </w:r>
      <w:r w:rsidRPr="00CE2D44">
        <w:rPr>
          <w:rStyle w:val="sb8d990e2"/>
          <w:rFonts w:ascii="Times New Roman" w:hAnsi="Times New Roman" w:cs="Times New Roman"/>
          <w:sz w:val="24"/>
          <w:szCs w:val="24"/>
        </w:rPr>
        <w:t xml:space="preserve"> attiecībām ir pietiekama pastāvība, lai izveidotu </w:t>
      </w:r>
      <w:proofErr w:type="spellStart"/>
      <w:r w:rsidRPr="00CE2D44">
        <w:rPr>
          <w:rStyle w:val="sb8d990e2"/>
          <w:rFonts w:ascii="Times New Roman" w:hAnsi="Times New Roman" w:cs="Times New Roman"/>
          <w:i/>
          <w:iCs/>
          <w:sz w:val="24"/>
          <w:szCs w:val="24"/>
        </w:rPr>
        <w:t>de</w:t>
      </w:r>
      <w:proofErr w:type="spellEnd"/>
      <w:r w:rsidRPr="00CE2D44">
        <w:rPr>
          <w:rStyle w:val="sb8d990e2"/>
          <w:rFonts w:ascii="Times New Roman" w:hAnsi="Times New Roman" w:cs="Times New Roman"/>
          <w:i/>
          <w:iCs/>
          <w:sz w:val="24"/>
          <w:szCs w:val="24"/>
        </w:rPr>
        <w:t xml:space="preserve"> </w:t>
      </w:r>
      <w:proofErr w:type="spellStart"/>
      <w:r w:rsidRPr="00CE2D44">
        <w:rPr>
          <w:rStyle w:val="sb8d990e2"/>
          <w:rFonts w:ascii="Times New Roman" w:hAnsi="Times New Roman" w:cs="Times New Roman"/>
          <w:i/>
          <w:iCs/>
          <w:sz w:val="24"/>
          <w:szCs w:val="24"/>
        </w:rPr>
        <w:t>facto</w:t>
      </w:r>
      <w:proofErr w:type="spellEnd"/>
      <w:r w:rsidR="0006379E">
        <w:rPr>
          <w:rStyle w:val="sb8d990e2"/>
          <w:rFonts w:ascii="Times New Roman" w:hAnsi="Times New Roman" w:cs="Times New Roman"/>
          <w:sz w:val="24"/>
          <w:szCs w:val="24"/>
        </w:rPr>
        <w:t xml:space="preserve"> „</w:t>
      </w:r>
      <w:r w:rsidRPr="00CE2D44">
        <w:rPr>
          <w:rStyle w:val="sb8d990e2"/>
          <w:rFonts w:ascii="Times New Roman" w:hAnsi="Times New Roman" w:cs="Times New Roman"/>
          <w:sz w:val="24"/>
          <w:szCs w:val="24"/>
        </w:rPr>
        <w:t>ģimenes saites” (</w:t>
      </w:r>
      <w:r w:rsidRPr="00D13E7D">
        <w:rPr>
          <w:rStyle w:val="sb8d990e2"/>
          <w:rFonts w:ascii="Times New Roman" w:hAnsi="Times New Roman" w:cs="Times New Roman"/>
          <w:sz w:val="24"/>
          <w:szCs w:val="24"/>
        </w:rPr>
        <w:t>sk</w:t>
      </w:r>
      <w:r w:rsidR="00C42019" w:rsidRPr="00D13E7D">
        <w:rPr>
          <w:rStyle w:val="sb8d990e2"/>
          <w:rFonts w:ascii="Times New Roman" w:hAnsi="Times New Roman" w:cs="Times New Roman"/>
          <w:sz w:val="24"/>
          <w:szCs w:val="24"/>
        </w:rPr>
        <w:t>.</w:t>
      </w:r>
      <w:r w:rsidR="00C42019" w:rsidRPr="00C42019">
        <w:rPr>
          <w:rStyle w:val="sb8d990e2"/>
          <w:rFonts w:ascii="Times New Roman" w:hAnsi="Times New Roman" w:cs="Times New Roman"/>
          <w:i/>
          <w:iCs/>
          <w:sz w:val="24"/>
          <w:szCs w:val="24"/>
        </w:rPr>
        <w:t xml:space="preserve"> 1994. gada 27. oktobra sprieduma lietā</w:t>
      </w:r>
      <w:r w:rsidR="0006379E">
        <w:rPr>
          <w:rStyle w:val="sb8d990e2"/>
          <w:rFonts w:ascii="Times New Roman" w:hAnsi="Times New Roman" w:cs="Times New Roman"/>
          <w:i/>
          <w:iCs/>
          <w:sz w:val="24"/>
          <w:szCs w:val="24"/>
        </w:rPr>
        <w:t xml:space="preserve"> „</w:t>
      </w:r>
      <w:proofErr w:type="spellStart"/>
      <w:r w:rsidR="00C42019" w:rsidRPr="00C42019">
        <w:rPr>
          <w:rStyle w:val="sb8d990e2"/>
          <w:rFonts w:ascii="Times New Roman" w:hAnsi="Times New Roman" w:cs="Times New Roman"/>
          <w:i/>
          <w:iCs/>
          <w:sz w:val="24"/>
          <w:szCs w:val="24"/>
        </w:rPr>
        <w:t>Kroon</w:t>
      </w:r>
      <w:proofErr w:type="spellEnd"/>
      <w:r w:rsidR="00C42019" w:rsidRPr="00C42019">
        <w:rPr>
          <w:rStyle w:val="sb8d990e2"/>
          <w:rFonts w:ascii="Times New Roman" w:hAnsi="Times New Roman" w:cs="Times New Roman"/>
          <w:i/>
          <w:iCs/>
          <w:sz w:val="24"/>
          <w:szCs w:val="24"/>
        </w:rPr>
        <w:t xml:space="preserve"> </w:t>
      </w:r>
      <w:proofErr w:type="spellStart"/>
      <w:r w:rsidR="00C42019" w:rsidRPr="00C42019">
        <w:rPr>
          <w:rStyle w:val="sb8d990e2"/>
          <w:rFonts w:ascii="Times New Roman" w:hAnsi="Times New Roman" w:cs="Times New Roman"/>
          <w:i/>
          <w:iCs/>
          <w:sz w:val="24"/>
          <w:szCs w:val="24"/>
        </w:rPr>
        <w:t>and</w:t>
      </w:r>
      <w:proofErr w:type="spellEnd"/>
      <w:r w:rsidR="00C42019" w:rsidRPr="00C42019">
        <w:rPr>
          <w:rStyle w:val="sb8d990e2"/>
          <w:rFonts w:ascii="Times New Roman" w:hAnsi="Times New Roman" w:cs="Times New Roman"/>
          <w:i/>
          <w:iCs/>
          <w:sz w:val="24"/>
          <w:szCs w:val="24"/>
        </w:rPr>
        <w:t xml:space="preserve"> </w:t>
      </w:r>
      <w:proofErr w:type="spellStart"/>
      <w:r w:rsidR="00C42019" w:rsidRPr="00C42019">
        <w:rPr>
          <w:rStyle w:val="sb8d990e2"/>
          <w:rFonts w:ascii="Times New Roman" w:hAnsi="Times New Roman" w:cs="Times New Roman"/>
          <w:i/>
          <w:iCs/>
          <w:sz w:val="24"/>
          <w:szCs w:val="24"/>
        </w:rPr>
        <w:t>Others</w:t>
      </w:r>
      <w:proofErr w:type="spellEnd"/>
      <w:r w:rsidR="00C42019" w:rsidRPr="00C42019">
        <w:rPr>
          <w:rStyle w:val="sb8d990e2"/>
          <w:rFonts w:ascii="Times New Roman" w:hAnsi="Times New Roman" w:cs="Times New Roman"/>
          <w:i/>
          <w:iCs/>
          <w:sz w:val="24"/>
          <w:szCs w:val="24"/>
        </w:rPr>
        <w:t xml:space="preserve"> v. </w:t>
      </w:r>
      <w:proofErr w:type="spellStart"/>
      <w:r w:rsidR="00C42019" w:rsidRPr="00C42019">
        <w:rPr>
          <w:rStyle w:val="sb8d990e2"/>
          <w:rFonts w:ascii="Times New Roman" w:hAnsi="Times New Roman" w:cs="Times New Roman"/>
          <w:i/>
          <w:iCs/>
          <w:sz w:val="24"/>
          <w:szCs w:val="24"/>
        </w:rPr>
        <w:t>the</w:t>
      </w:r>
      <w:proofErr w:type="spellEnd"/>
      <w:r w:rsidR="00C42019" w:rsidRPr="00C42019">
        <w:rPr>
          <w:rStyle w:val="sb8d990e2"/>
          <w:rFonts w:ascii="Times New Roman" w:hAnsi="Times New Roman" w:cs="Times New Roman"/>
          <w:i/>
          <w:iCs/>
          <w:sz w:val="24"/>
          <w:szCs w:val="24"/>
        </w:rPr>
        <w:t xml:space="preserve"> </w:t>
      </w:r>
      <w:proofErr w:type="spellStart"/>
      <w:r w:rsidR="00C42019" w:rsidRPr="00C42019">
        <w:rPr>
          <w:rStyle w:val="sb8d990e2"/>
          <w:rFonts w:ascii="Times New Roman" w:hAnsi="Times New Roman" w:cs="Times New Roman"/>
          <w:i/>
          <w:iCs/>
          <w:sz w:val="24"/>
          <w:szCs w:val="24"/>
        </w:rPr>
        <w:t>Netherlands</w:t>
      </w:r>
      <w:proofErr w:type="spellEnd"/>
      <w:r w:rsidR="00C42019" w:rsidRPr="00C42019">
        <w:rPr>
          <w:rStyle w:val="sb8d990e2"/>
          <w:rFonts w:ascii="Times New Roman" w:hAnsi="Times New Roman" w:cs="Times New Roman"/>
          <w:i/>
          <w:iCs/>
          <w:sz w:val="24"/>
          <w:szCs w:val="24"/>
        </w:rPr>
        <w:t>”, iesnieguma Nr. </w:t>
      </w:r>
      <w:hyperlink r:id="rId11" w:history="1">
        <w:r w:rsidR="00C42019" w:rsidRPr="00C42019">
          <w:rPr>
            <w:rStyle w:val="Hyperlink"/>
            <w:rFonts w:ascii="Times New Roman" w:hAnsi="Times New Roman" w:cs="Times New Roman"/>
            <w:i/>
            <w:iCs/>
            <w:sz w:val="24"/>
            <w:szCs w:val="24"/>
          </w:rPr>
          <w:t>18535/91</w:t>
        </w:r>
      </w:hyperlink>
      <w:r w:rsidR="00C42019" w:rsidRPr="00C42019">
        <w:rPr>
          <w:rStyle w:val="sb8d990e2"/>
          <w:rFonts w:ascii="Times New Roman" w:hAnsi="Times New Roman" w:cs="Times New Roman"/>
          <w:i/>
          <w:iCs/>
          <w:sz w:val="24"/>
          <w:szCs w:val="24"/>
        </w:rPr>
        <w:t xml:space="preserve">, </w:t>
      </w:r>
      <w:r w:rsidRPr="00C42019">
        <w:rPr>
          <w:rStyle w:val="sb8d990e2"/>
          <w:rFonts w:ascii="Times New Roman" w:hAnsi="Times New Roman" w:cs="Times New Roman"/>
          <w:i/>
          <w:iCs/>
          <w:sz w:val="24"/>
          <w:szCs w:val="24"/>
        </w:rPr>
        <w:t>30. punkt</w:t>
      </w:r>
      <w:r w:rsidR="00C42019" w:rsidRPr="00C42019">
        <w:rPr>
          <w:rStyle w:val="sb8d990e2"/>
          <w:rFonts w:ascii="Times New Roman" w:hAnsi="Times New Roman" w:cs="Times New Roman"/>
          <w:i/>
          <w:iCs/>
          <w:sz w:val="24"/>
          <w:szCs w:val="24"/>
        </w:rPr>
        <w:t>u</w:t>
      </w:r>
      <w:r w:rsidRPr="00CE2D44">
        <w:rPr>
          <w:rStyle w:val="sb8d990e2"/>
          <w:rFonts w:ascii="Times New Roman" w:hAnsi="Times New Roman" w:cs="Times New Roman"/>
          <w:sz w:val="24"/>
          <w:szCs w:val="24"/>
        </w:rPr>
        <w:t>).</w:t>
      </w:r>
    </w:p>
    <w:p w14:paraId="3DCEA76F" w14:textId="7F91E1AA" w:rsidR="00C42019" w:rsidRPr="00CE2D44" w:rsidRDefault="00C42019" w:rsidP="00A874F9">
      <w:pPr>
        <w:spacing w:after="200" w:line="240" w:lineRule="auto"/>
        <w:jc w:val="both"/>
        <w:rPr>
          <w:rStyle w:val="sb8d990e2"/>
          <w:rFonts w:ascii="Times New Roman" w:hAnsi="Times New Roman" w:cs="Times New Roman"/>
          <w:sz w:val="24"/>
          <w:szCs w:val="24"/>
        </w:rPr>
      </w:pPr>
      <w:r>
        <w:rPr>
          <w:rStyle w:val="sb8d990e2"/>
          <w:rFonts w:ascii="Times New Roman" w:hAnsi="Times New Roman" w:cs="Times New Roman"/>
          <w:sz w:val="24"/>
          <w:szCs w:val="24"/>
        </w:rPr>
        <w:t xml:space="preserve">81. </w:t>
      </w:r>
      <w:r w:rsidRPr="00C42019">
        <w:rPr>
          <w:rStyle w:val="sb8d990e2"/>
          <w:rFonts w:ascii="Times New Roman" w:hAnsi="Times New Roman" w:cs="Times New Roman"/>
          <w:sz w:val="24"/>
          <w:szCs w:val="24"/>
        </w:rPr>
        <w:t xml:space="preserve">Turklāt Tiesa ir </w:t>
      </w:r>
      <w:r>
        <w:rPr>
          <w:rStyle w:val="sb8d990e2"/>
          <w:rFonts w:ascii="Times New Roman" w:hAnsi="Times New Roman" w:cs="Times New Roman"/>
          <w:sz w:val="24"/>
          <w:szCs w:val="24"/>
        </w:rPr>
        <w:t>atzinusi</w:t>
      </w:r>
      <w:r w:rsidRPr="00C42019">
        <w:rPr>
          <w:rStyle w:val="sb8d990e2"/>
          <w:rFonts w:ascii="Times New Roman" w:hAnsi="Times New Roman" w:cs="Times New Roman"/>
          <w:sz w:val="24"/>
          <w:szCs w:val="24"/>
        </w:rPr>
        <w:t xml:space="preserve">, ka </w:t>
      </w:r>
      <w:r>
        <w:rPr>
          <w:rStyle w:val="sb8d990e2"/>
          <w:rFonts w:ascii="Times New Roman" w:hAnsi="Times New Roman" w:cs="Times New Roman"/>
          <w:sz w:val="24"/>
          <w:szCs w:val="24"/>
        </w:rPr>
        <w:t xml:space="preserve">plānotā </w:t>
      </w:r>
      <w:r w:rsidRPr="00C42019">
        <w:rPr>
          <w:rStyle w:val="sb8d990e2"/>
          <w:rFonts w:ascii="Times New Roman" w:hAnsi="Times New Roman" w:cs="Times New Roman"/>
          <w:sz w:val="24"/>
          <w:szCs w:val="24"/>
        </w:rPr>
        <w:t>ģimenes dzīve izņēmuma kārtā var ietilpt 8.</w:t>
      </w:r>
      <w:r w:rsidR="00591EF7">
        <w:rPr>
          <w:rStyle w:val="sb8d990e2"/>
          <w:rFonts w:ascii="Times New Roman" w:hAnsi="Times New Roman" w:cs="Times New Roman"/>
          <w:sz w:val="24"/>
          <w:szCs w:val="24"/>
        </w:rPr>
        <w:t> </w:t>
      </w:r>
      <w:r w:rsidRPr="00C42019">
        <w:rPr>
          <w:rStyle w:val="sb8d990e2"/>
          <w:rFonts w:ascii="Times New Roman" w:hAnsi="Times New Roman" w:cs="Times New Roman"/>
          <w:sz w:val="24"/>
          <w:szCs w:val="24"/>
        </w:rPr>
        <w:t xml:space="preserve">panta </w:t>
      </w:r>
      <w:r>
        <w:rPr>
          <w:rStyle w:val="sb8d990e2"/>
          <w:rFonts w:ascii="Times New Roman" w:hAnsi="Times New Roman" w:cs="Times New Roman"/>
          <w:sz w:val="24"/>
          <w:szCs w:val="24"/>
        </w:rPr>
        <w:t xml:space="preserve">piemērošanas </w:t>
      </w:r>
      <w:r w:rsidRPr="00C42019">
        <w:rPr>
          <w:rStyle w:val="sb8d990e2"/>
          <w:rFonts w:ascii="Times New Roman" w:hAnsi="Times New Roman" w:cs="Times New Roman"/>
          <w:sz w:val="24"/>
          <w:szCs w:val="24"/>
        </w:rPr>
        <w:t xml:space="preserve">jomā, it īpaši </w:t>
      </w:r>
      <w:r>
        <w:rPr>
          <w:rStyle w:val="sb8d990e2"/>
          <w:rFonts w:ascii="Times New Roman" w:hAnsi="Times New Roman" w:cs="Times New Roman"/>
          <w:sz w:val="24"/>
          <w:szCs w:val="24"/>
        </w:rPr>
        <w:t>tad, ja pie apstākļa, ka</w:t>
      </w:r>
      <w:r w:rsidRPr="00C42019">
        <w:rPr>
          <w:rStyle w:val="sb8d990e2"/>
          <w:rFonts w:ascii="Times New Roman" w:hAnsi="Times New Roman" w:cs="Times New Roman"/>
          <w:sz w:val="24"/>
          <w:szCs w:val="24"/>
        </w:rPr>
        <w:t xml:space="preserve"> ģimenes dzīve vēl nav pilnībā izveido</w:t>
      </w:r>
      <w:r>
        <w:rPr>
          <w:rStyle w:val="sb8d990e2"/>
          <w:rFonts w:ascii="Times New Roman" w:hAnsi="Times New Roman" w:cs="Times New Roman"/>
          <w:sz w:val="24"/>
          <w:szCs w:val="24"/>
        </w:rPr>
        <w:t>jusies</w:t>
      </w:r>
      <w:r w:rsidRPr="00C42019">
        <w:rPr>
          <w:rStyle w:val="sb8d990e2"/>
          <w:rFonts w:ascii="Times New Roman" w:hAnsi="Times New Roman" w:cs="Times New Roman"/>
          <w:sz w:val="24"/>
          <w:szCs w:val="24"/>
        </w:rPr>
        <w:t xml:space="preserve">, </w:t>
      </w:r>
      <w:r>
        <w:rPr>
          <w:rStyle w:val="sb8d990e2"/>
          <w:rFonts w:ascii="Times New Roman" w:hAnsi="Times New Roman" w:cs="Times New Roman"/>
          <w:sz w:val="24"/>
          <w:szCs w:val="24"/>
        </w:rPr>
        <w:t>nav vainojams</w:t>
      </w:r>
      <w:r w:rsidRPr="00C42019">
        <w:rPr>
          <w:rStyle w:val="sb8d990e2"/>
          <w:rFonts w:ascii="Times New Roman" w:hAnsi="Times New Roman" w:cs="Times New Roman"/>
          <w:sz w:val="24"/>
          <w:szCs w:val="24"/>
        </w:rPr>
        <w:t xml:space="preserve"> </w:t>
      </w:r>
      <w:r w:rsidR="008B0699" w:rsidRPr="00C42019">
        <w:rPr>
          <w:rStyle w:val="sb8d990e2"/>
          <w:rFonts w:ascii="Times New Roman" w:hAnsi="Times New Roman" w:cs="Times New Roman"/>
          <w:sz w:val="24"/>
          <w:szCs w:val="24"/>
        </w:rPr>
        <w:t>iesniedzēj</w:t>
      </w:r>
      <w:r w:rsidR="008B0699">
        <w:rPr>
          <w:rStyle w:val="sb8d990e2"/>
          <w:rFonts w:ascii="Times New Roman" w:hAnsi="Times New Roman" w:cs="Times New Roman"/>
          <w:sz w:val="24"/>
          <w:szCs w:val="24"/>
        </w:rPr>
        <w:t>s</w:t>
      </w:r>
      <w:r w:rsidR="008B0699" w:rsidRPr="00C42019">
        <w:rPr>
          <w:rStyle w:val="sb8d990e2"/>
          <w:rFonts w:ascii="Times New Roman" w:hAnsi="Times New Roman" w:cs="Times New Roman"/>
          <w:sz w:val="24"/>
          <w:szCs w:val="24"/>
        </w:rPr>
        <w:t xml:space="preserve"> </w:t>
      </w:r>
      <w:proofErr w:type="gramStart"/>
      <w:r w:rsidRPr="00C42019">
        <w:rPr>
          <w:rStyle w:val="sb8d990e2"/>
          <w:rFonts w:ascii="Times New Roman" w:hAnsi="Times New Roman" w:cs="Times New Roman"/>
          <w:sz w:val="24"/>
          <w:szCs w:val="24"/>
        </w:rPr>
        <w:t>(</w:t>
      </w:r>
      <w:proofErr w:type="gramEnd"/>
      <w:r w:rsidRPr="00D13E7D">
        <w:rPr>
          <w:rStyle w:val="sb8d990e2"/>
          <w:rFonts w:ascii="Times New Roman" w:hAnsi="Times New Roman" w:cs="Times New Roman"/>
          <w:sz w:val="24"/>
          <w:szCs w:val="24"/>
        </w:rPr>
        <w:t>sal.</w:t>
      </w:r>
      <w:r w:rsidRPr="00C42019">
        <w:rPr>
          <w:rStyle w:val="sb8d990e2"/>
          <w:rFonts w:ascii="Times New Roman" w:hAnsi="Times New Roman" w:cs="Times New Roman"/>
          <w:i/>
          <w:iCs/>
          <w:sz w:val="24"/>
          <w:szCs w:val="24"/>
        </w:rPr>
        <w:t xml:space="preserve"> 2004. gada 22. jūnija sprieduma apvienotajās lietās</w:t>
      </w:r>
      <w:r w:rsidR="0006379E">
        <w:rPr>
          <w:rStyle w:val="sb8d990e2"/>
          <w:rFonts w:ascii="Times New Roman" w:hAnsi="Times New Roman" w:cs="Times New Roman"/>
          <w:i/>
          <w:iCs/>
          <w:sz w:val="24"/>
          <w:szCs w:val="24"/>
        </w:rPr>
        <w:t xml:space="preserve"> „</w:t>
      </w:r>
      <w:r w:rsidRPr="00C42019">
        <w:rPr>
          <w:rStyle w:val="sb8d990e2"/>
          <w:rFonts w:ascii="Times New Roman" w:hAnsi="Times New Roman" w:cs="Times New Roman"/>
          <w:i/>
          <w:iCs/>
          <w:sz w:val="24"/>
          <w:szCs w:val="24"/>
        </w:rPr>
        <w:t xml:space="preserve">Pini </w:t>
      </w:r>
      <w:proofErr w:type="spellStart"/>
      <w:r w:rsidRPr="00C42019">
        <w:rPr>
          <w:rStyle w:val="sb8d990e2"/>
          <w:rFonts w:ascii="Times New Roman" w:hAnsi="Times New Roman" w:cs="Times New Roman"/>
          <w:i/>
          <w:iCs/>
          <w:sz w:val="24"/>
          <w:szCs w:val="24"/>
        </w:rPr>
        <w:t>and</w:t>
      </w:r>
      <w:proofErr w:type="spellEnd"/>
      <w:r w:rsidRPr="00C42019">
        <w:rPr>
          <w:rStyle w:val="sb8d990e2"/>
          <w:rFonts w:ascii="Times New Roman" w:hAnsi="Times New Roman" w:cs="Times New Roman"/>
          <w:i/>
          <w:iCs/>
          <w:sz w:val="24"/>
          <w:szCs w:val="24"/>
        </w:rPr>
        <w:t xml:space="preserve"> </w:t>
      </w:r>
      <w:proofErr w:type="spellStart"/>
      <w:r w:rsidRPr="00C42019">
        <w:rPr>
          <w:rStyle w:val="sb8d990e2"/>
          <w:rFonts w:ascii="Times New Roman" w:hAnsi="Times New Roman" w:cs="Times New Roman"/>
          <w:i/>
          <w:iCs/>
          <w:sz w:val="24"/>
          <w:szCs w:val="24"/>
        </w:rPr>
        <w:t>Others</w:t>
      </w:r>
      <w:proofErr w:type="spellEnd"/>
      <w:r w:rsidRPr="00C42019">
        <w:rPr>
          <w:rStyle w:val="sb8d990e2"/>
          <w:rFonts w:ascii="Times New Roman" w:hAnsi="Times New Roman" w:cs="Times New Roman"/>
          <w:i/>
          <w:iCs/>
          <w:sz w:val="24"/>
          <w:szCs w:val="24"/>
        </w:rPr>
        <w:t xml:space="preserve"> v. </w:t>
      </w:r>
      <w:proofErr w:type="spellStart"/>
      <w:r w:rsidRPr="00C42019">
        <w:rPr>
          <w:rStyle w:val="sb8d990e2"/>
          <w:rFonts w:ascii="Times New Roman" w:hAnsi="Times New Roman" w:cs="Times New Roman"/>
          <w:i/>
          <w:iCs/>
          <w:sz w:val="24"/>
          <w:szCs w:val="24"/>
        </w:rPr>
        <w:t>Romania</w:t>
      </w:r>
      <w:proofErr w:type="spellEnd"/>
      <w:r w:rsidRPr="00C42019">
        <w:rPr>
          <w:rStyle w:val="sb8d990e2"/>
          <w:rFonts w:ascii="Times New Roman" w:hAnsi="Times New Roman" w:cs="Times New Roman"/>
          <w:i/>
          <w:iCs/>
          <w:sz w:val="24"/>
          <w:szCs w:val="24"/>
        </w:rPr>
        <w:t xml:space="preserve">”, iesnieguma Nr. </w:t>
      </w:r>
      <w:hyperlink r:id="rId12" w:history="1">
        <w:r w:rsidRPr="00C42019">
          <w:rPr>
            <w:rStyle w:val="Hyperlink"/>
            <w:rFonts w:ascii="Times New Roman" w:hAnsi="Times New Roman" w:cs="Times New Roman"/>
            <w:i/>
            <w:iCs/>
            <w:sz w:val="24"/>
            <w:szCs w:val="24"/>
          </w:rPr>
          <w:t>78028/01</w:t>
        </w:r>
      </w:hyperlink>
      <w:r w:rsidRPr="00C42019">
        <w:rPr>
          <w:rStyle w:val="sb8d990e2"/>
          <w:rFonts w:ascii="Times New Roman" w:hAnsi="Times New Roman" w:cs="Times New Roman"/>
          <w:i/>
          <w:iCs/>
          <w:sz w:val="24"/>
          <w:szCs w:val="24"/>
        </w:rPr>
        <w:t xml:space="preserve"> un </w:t>
      </w:r>
      <w:hyperlink r:id="rId13" w:history="1">
        <w:r w:rsidRPr="00C42019">
          <w:rPr>
            <w:rStyle w:val="Hyperlink"/>
            <w:rFonts w:ascii="Times New Roman" w:hAnsi="Times New Roman" w:cs="Times New Roman"/>
            <w:i/>
            <w:iCs/>
            <w:sz w:val="24"/>
            <w:szCs w:val="24"/>
          </w:rPr>
          <w:t>78030/01</w:t>
        </w:r>
      </w:hyperlink>
      <w:r w:rsidRPr="00C42019">
        <w:rPr>
          <w:rStyle w:val="sb8d990e2"/>
          <w:rFonts w:ascii="Times New Roman" w:hAnsi="Times New Roman" w:cs="Times New Roman"/>
          <w:i/>
          <w:iCs/>
          <w:sz w:val="24"/>
          <w:szCs w:val="24"/>
        </w:rPr>
        <w:t>, 143. un 146. </w:t>
      </w:r>
      <w:r w:rsidR="008B0699" w:rsidRPr="00C42019">
        <w:rPr>
          <w:rStyle w:val="sb8d990e2"/>
          <w:rFonts w:ascii="Times New Roman" w:hAnsi="Times New Roman" w:cs="Times New Roman"/>
          <w:i/>
          <w:iCs/>
          <w:sz w:val="24"/>
          <w:szCs w:val="24"/>
        </w:rPr>
        <w:t>punkt</w:t>
      </w:r>
      <w:r w:rsidR="008B0699">
        <w:rPr>
          <w:rStyle w:val="sb8d990e2"/>
          <w:rFonts w:ascii="Times New Roman" w:hAnsi="Times New Roman" w:cs="Times New Roman"/>
          <w:i/>
          <w:iCs/>
          <w:sz w:val="24"/>
          <w:szCs w:val="24"/>
        </w:rPr>
        <w:t>s</w:t>
      </w:r>
      <w:r w:rsidRPr="00C42019">
        <w:rPr>
          <w:rStyle w:val="sb8d990e2"/>
          <w:rFonts w:ascii="Times New Roman" w:hAnsi="Times New Roman" w:cs="Times New Roman"/>
          <w:sz w:val="24"/>
          <w:szCs w:val="24"/>
        </w:rPr>
        <w:t xml:space="preserve">). </w:t>
      </w:r>
      <w:proofErr w:type="gramStart"/>
      <w:r w:rsidR="00905B46">
        <w:rPr>
          <w:rStyle w:val="sb8d990e2"/>
          <w:rFonts w:ascii="Times New Roman" w:hAnsi="Times New Roman" w:cs="Times New Roman"/>
          <w:sz w:val="24"/>
          <w:szCs w:val="24"/>
        </w:rPr>
        <w:t>Jo īpaši</w:t>
      </w:r>
      <w:r w:rsidRPr="00C42019">
        <w:rPr>
          <w:rStyle w:val="sb8d990e2"/>
          <w:rFonts w:ascii="Times New Roman" w:hAnsi="Times New Roman" w:cs="Times New Roman"/>
          <w:sz w:val="24"/>
          <w:szCs w:val="24"/>
        </w:rPr>
        <w:t>, ja apstākļi to pamato,</w:t>
      </w:r>
      <w:r w:rsidR="0006379E">
        <w:rPr>
          <w:rStyle w:val="sb8d990e2"/>
          <w:rFonts w:ascii="Times New Roman" w:hAnsi="Times New Roman" w:cs="Times New Roman"/>
          <w:sz w:val="24"/>
          <w:szCs w:val="24"/>
        </w:rPr>
        <w:t xml:space="preserve"> „</w:t>
      </w:r>
      <w:r w:rsidRPr="00C42019">
        <w:rPr>
          <w:rStyle w:val="sb8d990e2"/>
          <w:rFonts w:ascii="Times New Roman" w:hAnsi="Times New Roman" w:cs="Times New Roman"/>
          <w:sz w:val="24"/>
          <w:szCs w:val="24"/>
        </w:rPr>
        <w:t>ģimenes dzīv</w:t>
      </w:r>
      <w:r w:rsidR="00905B46">
        <w:rPr>
          <w:rStyle w:val="sb8d990e2"/>
          <w:rFonts w:ascii="Times New Roman" w:hAnsi="Times New Roman" w:cs="Times New Roman"/>
          <w:sz w:val="24"/>
          <w:szCs w:val="24"/>
        </w:rPr>
        <w:t>i</w:t>
      </w:r>
      <w:r w:rsidRPr="00C42019">
        <w:rPr>
          <w:rStyle w:val="sb8d990e2"/>
          <w:rFonts w:ascii="Times New Roman" w:hAnsi="Times New Roman" w:cs="Times New Roman"/>
          <w:sz w:val="24"/>
          <w:szCs w:val="24"/>
        </w:rPr>
        <w:t>”</w:t>
      </w:r>
      <w:proofErr w:type="gramEnd"/>
      <w:r w:rsidRPr="00C42019">
        <w:rPr>
          <w:rStyle w:val="sb8d990e2"/>
          <w:rFonts w:ascii="Times New Roman" w:hAnsi="Times New Roman" w:cs="Times New Roman"/>
          <w:sz w:val="24"/>
          <w:szCs w:val="24"/>
        </w:rPr>
        <w:t xml:space="preserve"> ir</w:t>
      </w:r>
      <w:r w:rsidR="00905B46">
        <w:rPr>
          <w:rStyle w:val="sb8d990e2"/>
          <w:rFonts w:ascii="Times New Roman" w:hAnsi="Times New Roman" w:cs="Times New Roman"/>
          <w:sz w:val="24"/>
          <w:szCs w:val="24"/>
        </w:rPr>
        <w:t xml:space="preserve"> jāattiecina </w:t>
      </w:r>
      <w:r w:rsidRPr="00C42019">
        <w:rPr>
          <w:rStyle w:val="sb8d990e2"/>
          <w:rFonts w:ascii="Times New Roman" w:hAnsi="Times New Roman" w:cs="Times New Roman"/>
          <w:sz w:val="24"/>
          <w:szCs w:val="24"/>
        </w:rPr>
        <w:t>arī</w:t>
      </w:r>
      <w:r w:rsidR="00905B46">
        <w:rPr>
          <w:rStyle w:val="sb8d990e2"/>
          <w:rFonts w:ascii="Times New Roman" w:hAnsi="Times New Roman" w:cs="Times New Roman"/>
          <w:sz w:val="24"/>
          <w:szCs w:val="24"/>
        </w:rPr>
        <w:t xml:space="preserve"> uz</w:t>
      </w:r>
      <w:r w:rsidRPr="00C42019">
        <w:rPr>
          <w:rStyle w:val="sb8d990e2"/>
          <w:rFonts w:ascii="Times New Roman" w:hAnsi="Times New Roman" w:cs="Times New Roman"/>
          <w:sz w:val="24"/>
          <w:szCs w:val="24"/>
        </w:rPr>
        <w:t xml:space="preserve"> iespējam</w:t>
      </w:r>
      <w:r w:rsidR="00905B46">
        <w:rPr>
          <w:rStyle w:val="sb8d990e2"/>
          <w:rFonts w:ascii="Times New Roman" w:hAnsi="Times New Roman" w:cs="Times New Roman"/>
          <w:sz w:val="24"/>
          <w:szCs w:val="24"/>
        </w:rPr>
        <w:t xml:space="preserve">ām </w:t>
      </w:r>
      <w:r w:rsidRPr="00C42019">
        <w:rPr>
          <w:rStyle w:val="sb8d990e2"/>
          <w:rFonts w:ascii="Times New Roman" w:hAnsi="Times New Roman" w:cs="Times New Roman"/>
          <w:sz w:val="24"/>
          <w:szCs w:val="24"/>
        </w:rPr>
        <w:t>attiecīb</w:t>
      </w:r>
      <w:r w:rsidR="00905B46">
        <w:rPr>
          <w:rStyle w:val="sb8d990e2"/>
          <w:rFonts w:ascii="Times New Roman" w:hAnsi="Times New Roman" w:cs="Times New Roman"/>
          <w:sz w:val="24"/>
          <w:szCs w:val="24"/>
        </w:rPr>
        <w:t>ām</w:t>
      </w:r>
      <w:r w:rsidRPr="00C42019">
        <w:rPr>
          <w:rStyle w:val="sb8d990e2"/>
          <w:rFonts w:ascii="Times New Roman" w:hAnsi="Times New Roman" w:cs="Times New Roman"/>
          <w:sz w:val="24"/>
          <w:szCs w:val="24"/>
        </w:rPr>
        <w:t xml:space="preserve">, kas var rasties starp ārpus laulības dzimušu bērnu un </w:t>
      </w:r>
      <w:r w:rsidR="00905B46">
        <w:rPr>
          <w:rStyle w:val="sb8d990e2"/>
          <w:rFonts w:ascii="Times New Roman" w:hAnsi="Times New Roman" w:cs="Times New Roman"/>
          <w:sz w:val="24"/>
          <w:szCs w:val="24"/>
        </w:rPr>
        <w:t>tā bioloģisko tēvu</w:t>
      </w:r>
      <w:r w:rsidRPr="00C42019">
        <w:rPr>
          <w:rStyle w:val="sb8d990e2"/>
          <w:rFonts w:ascii="Times New Roman" w:hAnsi="Times New Roman" w:cs="Times New Roman"/>
          <w:sz w:val="24"/>
          <w:szCs w:val="24"/>
        </w:rPr>
        <w:t xml:space="preserve">. Šajos gadījumos būtiskie </w:t>
      </w:r>
      <w:r w:rsidR="00905B46">
        <w:rPr>
          <w:rStyle w:val="sb8d990e2"/>
          <w:rFonts w:ascii="Times New Roman" w:hAnsi="Times New Roman" w:cs="Times New Roman"/>
          <w:sz w:val="24"/>
          <w:szCs w:val="24"/>
        </w:rPr>
        <w:t>apstākļi</w:t>
      </w:r>
      <w:r w:rsidRPr="00C42019">
        <w:rPr>
          <w:rStyle w:val="sb8d990e2"/>
          <w:rFonts w:ascii="Times New Roman" w:hAnsi="Times New Roman" w:cs="Times New Roman"/>
          <w:sz w:val="24"/>
          <w:szCs w:val="24"/>
        </w:rPr>
        <w:t xml:space="preserve">, </w:t>
      </w:r>
      <w:r w:rsidR="00905B46">
        <w:rPr>
          <w:rStyle w:val="sb8d990e2"/>
          <w:rFonts w:ascii="Times New Roman" w:hAnsi="Times New Roman" w:cs="Times New Roman"/>
          <w:sz w:val="24"/>
          <w:szCs w:val="24"/>
        </w:rPr>
        <w:t>no kuriem var izrietēt</w:t>
      </w:r>
      <w:r w:rsidRPr="00C42019">
        <w:rPr>
          <w:rStyle w:val="sb8d990e2"/>
          <w:rFonts w:ascii="Times New Roman" w:hAnsi="Times New Roman" w:cs="Times New Roman"/>
          <w:sz w:val="24"/>
          <w:szCs w:val="24"/>
        </w:rPr>
        <w:t xml:space="preserve"> cieš</w:t>
      </w:r>
      <w:r w:rsidR="00905B46">
        <w:rPr>
          <w:rStyle w:val="sb8d990e2"/>
          <w:rFonts w:ascii="Times New Roman" w:hAnsi="Times New Roman" w:cs="Times New Roman"/>
          <w:sz w:val="24"/>
          <w:szCs w:val="24"/>
        </w:rPr>
        <w:t xml:space="preserve">u </w:t>
      </w:r>
      <w:r w:rsidRPr="00C42019">
        <w:rPr>
          <w:rStyle w:val="sb8d990e2"/>
          <w:rFonts w:ascii="Times New Roman" w:hAnsi="Times New Roman" w:cs="Times New Roman"/>
          <w:sz w:val="24"/>
          <w:szCs w:val="24"/>
        </w:rPr>
        <w:t>personisko saišu paties</w:t>
      </w:r>
      <w:r w:rsidR="00905B46">
        <w:rPr>
          <w:rStyle w:val="sb8d990e2"/>
          <w:rFonts w:ascii="Times New Roman" w:hAnsi="Times New Roman" w:cs="Times New Roman"/>
          <w:sz w:val="24"/>
          <w:szCs w:val="24"/>
        </w:rPr>
        <w:t>a</w:t>
      </w:r>
      <w:r w:rsidRPr="00C42019">
        <w:rPr>
          <w:rStyle w:val="sb8d990e2"/>
          <w:rFonts w:ascii="Times New Roman" w:hAnsi="Times New Roman" w:cs="Times New Roman"/>
          <w:sz w:val="24"/>
          <w:szCs w:val="24"/>
        </w:rPr>
        <w:t xml:space="preserve"> pastāvēšan</w:t>
      </w:r>
      <w:r w:rsidR="00905B46">
        <w:rPr>
          <w:rStyle w:val="sb8d990e2"/>
          <w:rFonts w:ascii="Times New Roman" w:hAnsi="Times New Roman" w:cs="Times New Roman"/>
          <w:sz w:val="24"/>
          <w:szCs w:val="24"/>
        </w:rPr>
        <w:t>a</w:t>
      </w:r>
      <w:r w:rsidRPr="00C42019">
        <w:rPr>
          <w:rStyle w:val="sb8d990e2"/>
          <w:rFonts w:ascii="Times New Roman" w:hAnsi="Times New Roman" w:cs="Times New Roman"/>
          <w:sz w:val="24"/>
          <w:szCs w:val="24"/>
        </w:rPr>
        <w:t xml:space="preserve">, </w:t>
      </w:r>
      <w:r w:rsidR="00905B46">
        <w:rPr>
          <w:rStyle w:val="sb8d990e2"/>
          <w:rFonts w:ascii="Times New Roman" w:hAnsi="Times New Roman" w:cs="Times New Roman"/>
          <w:sz w:val="24"/>
          <w:szCs w:val="24"/>
        </w:rPr>
        <w:t>ir bioloģisko</w:t>
      </w:r>
      <w:r w:rsidRPr="00C42019">
        <w:rPr>
          <w:rStyle w:val="sb8d990e2"/>
          <w:rFonts w:ascii="Times New Roman" w:hAnsi="Times New Roman" w:cs="Times New Roman"/>
          <w:sz w:val="24"/>
          <w:szCs w:val="24"/>
        </w:rPr>
        <w:t xml:space="preserve"> vecāku </w:t>
      </w:r>
      <w:r w:rsidR="00905B46">
        <w:rPr>
          <w:rStyle w:val="sb8d990e2"/>
          <w:rFonts w:ascii="Times New Roman" w:hAnsi="Times New Roman" w:cs="Times New Roman"/>
          <w:sz w:val="24"/>
          <w:szCs w:val="24"/>
        </w:rPr>
        <w:t xml:space="preserve">attiecību </w:t>
      </w:r>
      <w:r w:rsidRPr="00C42019">
        <w:rPr>
          <w:rStyle w:val="sb8d990e2"/>
          <w:rFonts w:ascii="Times New Roman" w:hAnsi="Times New Roman" w:cs="Times New Roman"/>
          <w:sz w:val="24"/>
          <w:szCs w:val="24"/>
        </w:rPr>
        <w:t>rakstur</w:t>
      </w:r>
      <w:r w:rsidR="00905B46">
        <w:rPr>
          <w:rStyle w:val="sb8d990e2"/>
          <w:rFonts w:ascii="Times New Roman" w:hAnsi="Times New Roman" w:cs="Times New Roman"/>
          <w:sz w:val="24"/>
          <w:szCs w:val="24"/>
        </w:rPr>
        <w:t xml:space="preserve">s </w:t>
      </w:r>
      <w:r w:rsidRPr="00C42019">
        <w:rPr>
          <w:rStyle w:val="sb8d990e2"/>
          <w:rFonts w:ascii="Times New Roman" w:hAnsi="Times New Roman" w:cs="Times New Roman"/>
          <w:sz w:val="24"/>
          <w:szCs w:val="24"/>
        </w:rPr>
        <w:t xml:space="preserve">un </w:t>
      </w:r>
      <w:r w:rsidRPr="00C42019">
        <w:rPr>
          <w:rStyle w:val="sb8d990e2"/>
          <w:rFonts w:ascii="Times New Roman" w:hAnsi="Times New Roman" w:cs="Times New Roman"/>
          <w:sz w:val="24"/>
          <w:szCs w:val="24"/>
        </w:rPr>
        <w:lastRenderedPageBreak/>
        <w:t>pierād</w:t>
      </w:r>
      <w:r w:rsidR="00905B46">
        <w:rPr>
          <w:rStyle w:val="sb8d990e2"/>
          <w:rFonts w:ascii="Times New Roman" w:hAnsi="Times New Roman" w:cs="Times New Roman"/>
          <w:sz w:val="24"/>
          <w:szCs w:val="24"/>
        </w:rPr>
        <w:t>āma</w:t>
      </w:r>
      <w:r w:rsidRPr="00C42019">
        <w:rPr>
          <w:rStyle w:val="sb8d990e2"/>
          <w:rFonts w:ascii="Times New Roman" w:hAnsi="Times New Roman" w:cs="Times New Roman"/>
          <w:sz w:val="24"/>
          <w:szCs w:val="24"/>
        </w:rPr>
        <w:t xml:space="preserve"> tēva interes</w:t>
      </w:r>
      <w:r w:rsidR="00905B46">
        <w:rPr>
          <w:rStyle w:val="sb8d990e2"/>
          <w:rFonts w:ascii="Times New Roman" w:hAnsi="Times New Roman" w:cs="Times New Roman"/>
          <w:sz w:val="24"/>
          <w:szCs w:val="24"/>
        </w:rPr>
        <w:t>e</w:t>
      </w:r>
      <w:r w:rsidRPr="00C42019">
        <w:rPr>
          <w:rStyle w:val="sb8d990e2"/>
          <w:rFonts w:ascii="Times New Roman" w:hAnsi="Times New Roman" w:cs="Times New Roman"/>
          <w:sz w:val="24"/>
          <w:szCs w:val="24"/>
        </w:rPr>
        <w:t xml:space="preserve"> un tēva saistīb</w:t>
      </w:r>
      <w:r w:rsidR="00905B46">
        <w:rPr>
          <w:rStyle w:val="sb8d990e2"/>
          <w:rFonts w:ascii="Times New Roman" w:hAnsi="Times New Roman" w:cs="Times New Roman"/>
          <w:sz w:val="24"/>
          <w:szCs w:val="24"/>
        </w:rPr>
        <w:t xml:space="preserve">u uzņemšanās </w:t>
      </w:r>
      <w:r w:rsidRPr="00C42019">
        <w:rPr>
          <w:rStyle w:val="sb8d990e2"/>
          <w:rFonts w:ascii="Times New Roman" w:hAnsi="Times New Roman" w:cs="Times New Roman"/>
          <w:sz w:val="24"/>
          <w:szCs w:val="24"/>
        </w:rPr>
        <w:t xml:space="preserve">gan pirms, gan pēc </w:t>
      </w:r>
      <w:r w:rsidR="00905B46">
        <w:rPr>
          <w:rStyle w:val="sb8d990e2"/>
          <w:rFonts w:ascii="Times New Roman" w:hAnsi="Times New Roman" w:cs="Times New Roman"/>
          <w:sz w:val="24"/>
          <w:szCs w:val="24"/>
        </w:rPr>
        <w:t xml:space="preserve">bērna </w:t>
      </w:r>
      <w:r w:rsidRPr="00C42019">
        <w:rPr>
          <w:rStyle w:val="sb8d990e2"/>
          <w:rFonts w:ascii="Times New Roman" w:hAnsi="Times New Roman" w:cs="Times New Roman"/>
          <w:sz w:val="24"/>
          <w:szCs w:val="24"/>
        </w:rPr>
        <w:t>dzimšanas (</w:t>
      </w:r>
      <w:r w:rsidRPr="00D13E7D">
        <w:rPr>
          <w:rStyle w:val="sb8d990e2"/>
          <w:rFonts w:ascii="Times New Roman" w:hAnsi="Times New Roman" w:cs="Times New Roman"/>
          <w:sz w:val="24"/>
          <w:szCs w:val="24"/>
        </w:rPr>
        <w:t>sk.</w:t>
      </w:r>
      <w:r w:rsidRPr="008E1971">
        <w:rPr>
          <w:rStyle w:val="sb8d990e2"/>
          <w:rFonts w:ascii="Times New Roman" w:hAnsi="Times New Roman" w:cs="Times New Roman"/>
          <w:i/>
          <w:iCs/>
          <w:sz w:val="24"/>
          <w:szCs w:val="24"/>
        </w:rPr>
        <w:t xml:space="preserve"> </w:t>
      </w:r>
      <w:r w:rsidR="00905B46" w:rsidRPr="008E1971">
        <w:rPr>
          <w:rStyle w:val="sb8d990e2"/>
          <w:rFonts w:ascii="Times New Roman" w:hAnsi="Times New Roman" w:cs="Times New Roman"/>
          <w:i/>
          <w:iCs/>
          <w:sz w:val="24"/>
          <w:szCs w:val="24"/>
        </w:rPr>
        <w:t>1999. gada 29. jūnija lēmums lietā</w:t>
      </w:r>
      <w:r w:rsidR="0006379E">
        <w:rPr>
          <w:rStyle w:val="sb8d990e2"/>
          <w:rFonts w:ascii="Times New Roman" w:hAnsi="Times New Roman" w:cs="Times New Roman"/>
          <w:i/>
          <w:iCs/>
          <w:sz w:val="24"/>
          <w:szCs w:val="24"/>
        </w:rPr>
        <w:t xml:space="preserve"> „</w:t>
      </w:r>
      <w:proofErr w:type="spellStart"/>
      <w:r w:rsidR="00905B46" w:rsidRPr="008E1971">
        <w:rPr>
          <w:rStyle w:val="sb8d990e2"/>
          <w:rFonts w:ascii="Times New Roman" w:hAnsi="Times New Roman" w:cs="Times New Roman"/>
          <w:i/>
          <w:iCs/>
          <w:sz w:val="24"/>
          <w:szCs w:val="24"/>
        </w:rPr>
        <w:t>Nylund</w:t>
      </w:r>
      <w:proofErr w:type="spellEnd"/>
      <w:r w:rsidR="008E1971" w:rsidRPr="008E1971">
        <w:rPr>
          <w:rStyle w:val="sb8d990e2"/>
          <w:rFonts w:ascii="Times New Roman" w:hAnsi="Times New Roman" w:cs="Times New Roman"/>
          <w:i/>
          <w:iCs/>
          <w:sz w:val="24"/>
          <w:szCs w:val="24"/>
        </w:rPr>
        <w:t xml:space="preserve"> v. </w:t>
      </w:r>
      <w:proofErr w:type="spellStart"/>
      <w:r w:rsidR="008E1971" w:rsidRPr="008E1971">
        <w:rPr>
          <w:rStyle w:val="sb8d990e2"/>
          <w:rFonts w:ascii="Times New Roman" w:hAnsi="Times New Roman" w:cs="Times New Roman"/>
          <w:i/>
          <w:iCs/>
          <w:sz w:val="24"/>
          <w:szCs w:val="24"/>
        </w:rPr>
        <w:t>Finland</w:t>
      </w:r>
      <w:proofErr w:type="spellEnd"/>
      <w:r w:rsidR="008E1971" w:rsidRPr="008E1971">
        <w:rPr>
          <w:rStyle w:val="sb8d990e2"/>
          <w:rFonts w:ascii="Times New Roman" w:hAnsi="Times New Roman" w:cs="Times New Roman"/>
          <w:i/>
          <w:iCs/>
          <w:sz w:val="24"/>
          <w:szCs w:val="24"/>
        </w:rPr>
        <w:t>”, iesnieguma Nr. </w:t>
      </w:r>
      <w:hyperlink r:id="rId14" w:history="1">
        <w:r w:rsidR="008E1971" w:rsidRPr="008E1971">
          <w:rPr>
            <w:rStyle w:val="Hyperlink"/>
            <w:rFonts w:ascii="Times New Roman" w:hAnsi="Times New Roman" w:cs="Times New Roman"/>
            <w:i/>
            <w:iCs/>
            <w:sz w:val="24"/>
            <w:szCs w:val="24"/>
          </w:rPr>
          <w:t>27110/95</w:t>
        </w:r>
      </w:hyperlink>
      <w:r w:rsidR="008E1971" w:rsidRPr="008E1971">
        <w:rPr>
          <w:rStyle w:val="sb8d990e2"/>
          <w:rFonts w:ascii="Times New Roman" w:hAnsi="Times New Roman" w:cs="Times New Roman"/>
          <w:i/>
          <w:iCs/>
          <w:sz w:val="24"/>
          <w:szCs w:val="24"/>
        </w:rPr>
        <w:t>,</w:t>
      </w:r>
      <w:r w:rsidR="00905B46" w:rsidRPr="008E1971">
        <w:rPr>
          <w:rStyle w:val="sb8d990e2"/>
          <w:rFonts w:ascii="Times New Roman" w:hAnsi="Times New Roman" w:cs="Times New Roman"/>
          <w:i/>
          <w:iCs/>
          <w:sz w:val="24"/>
          <w:szCs w:val="24"/>
        </w:rPr>
        <w:t xml:space="preserve"> </w:t>
      </w:r>
      <w:r w:rsidR="008E1971" w:rsidRPr="008E1971">
        <w:rPr>
          <w:rStyle w:val="sb8d990e2"/>
          <w:rFonts w:ascii="Times New Roman" w:hAnsi="Times New Roman" w:cs="Times New Roman"/>
          <w:i/>
          <w:iCs/>
          <w:sz w:val="24"/>
          <w:szCs w:val="24"/>
        </w:rPr>
        <w:t>2003. gada 19. jūnija lēmum</w:t>
      </w:r>
      <w:r w:rsidR="00CA5BE4">
        <w:rPr>
          <w:rStyle w:val="sb8d990e2"/>
          <w:rFonts w:ascii="Times New Roman" w:hAnsi="Times New Roman" w:cs="Times New Roman"/>
          <w:i/>
          <w:iCs/>
          <w:sz w:val="24"/>
          <w:szCs w:val="24"/>
        </w:rPr>
        <w:t>u</w:t>
      </w:r>
      <w:r w:rsidR="008E1971" w:rsidRPr="008E1971">
        <w:rPr>
          <w:rStyle w:val="sb8d990e2"/>
          <w:rFonts w:ascii="Times New Roman" w:hAnsi="Times New Roman" w:cs="Times New Roman"/>
          <w:i/>
          <w:iCs/>
          <w:sz w:val="24"/>
          <w:szCs w:val="24"/>
        </w:rPr>
        <w:t xml:space="preserve"> lietā</w:t>
      </w:r>
      <w:r w:rsidR="0006379E">
        <w:rPr>
          <w:rStyle w:val="sb8d990e2"/>
          <w:rFonts w:ascii="Times New Roman" w:hAnsi="Times New Roman" w:cs="Times New Roman"/>
          <w:i/>
          <w:iCs/>
          <w:sz w:val="24"/>
          <w:szCs w:val="24"/>
        </w:rPr>
        <w:t xml:space="preserve"> „</w:t>
      </w:r>
      <w:proofErr w:type="spellStart"/>
      <w:r w:rsidR="00905B46" w:rsidRPr="008E1971">
        <w:rPr>
          <w:rStyle w:val="sb8d990e2"/>
          <w:rFonts w:ascii="Times New Roman" w:hAnsi="Times New Roman" w:cs="Times New Roman"/>
          <w:i/>
          <w:iCs/>
          <w:sz w:val="24"/>
          <w:szCs w:val="24"/>
        </w:rPr>
        <w:t>Nekvedavicius</w:t>
      </w:r>
      <w:proofErr w:type="spellEnd"/>
      <w:r w:rsidR="008E1971" w:rsidRPr="008E1971">
        <w:rPr>
          <w:rStyle w:val="sb8d990e2"/>
          <w:rFonts w:ascii="Times New Roman" w:hAnsi="Times New Roman" w:cs="Times New Roman"/>
          <w:i/>
          <w:iCs/>
          <w:sz w:val="24"/>
          <w:szCs w:val="24"/>
        </w:rPr>
        <w:t xml:space="preserve"> v. </w:t>
      </w:r>
      <w:proofErr w:type="spellStart"/>
      <w:r w:rsidR="008E1971" w:rsidRPr="008E1971">
        <w:rPr>
          <w:rStyle w:val="sb8d990e2"/>
          <w:rFonts w:ascii="Times New Roman" w:hAnsi="Times New Roman" w:cs="Times New Roman"/>
          <w:i/>
          <w:iCs/>
          <w:sz w:val="24"/>
          <w:szCs w:val="24"/>
        </w:rPr>
        <w:t>Germany</w:t>
      </w:r>
      <w:proofErr w:type="spellEnd"/>
      <w:r w:rsidR="008E1971" w:rsidRPr="008E1971">
        <w:rPr>
          <w:rStyle w:val="sb8d990e2"/>
          <w:rFonts w:ascii="Times New Roman" w:hAnsi="Times New Roman" w:cs="Times New Roman"/>
          <w:i/>
          <w:iCs/>
          <w:sz w:val="24"/>
          <w:szCs w:val="24"/>
        </w:rPr>
        <w:t>”, iesnieguma Nr. </w:t>
      </w:r>
      <w:hyperlink r:id="rId15" w:history="1">
        <w:r w:rsidR="008E1971" w:rsidRPr="008E1971">
          <w:rPr>
            <w:rStyle w:val="Hyperlink"/>
            <w:rFonts w:ascii="Times New Roman" w:hAnsi="Times New Roman" w:cs="Times New Roman"/>
            <w:i/>
            <w:iCs/>
            <w:sz w:val="24"/>
            <w:szCs w:val="24"/>
          </w:rPr>
          <w:t>46165/99</w:t>
        </w:r>
      </w:hyperlink>
      <w:r w:rsidR="008E1971" w:rsidRPr="008E1971">
        <w:rPr>
          <w:rStyle w:val="sb8d990e2"/>
          <w:rFonts w:ascii="Times New Roman" w:hAnsi="Times New Roman" w:cs="Times New Roman"/>
          <w:i/>
          <w:iCs/>
          <w:sz w:val="24"/>
          <w:szCs w:val="24"/>
        </w:rPr>
        <w:t>,</w:t>
      </w:r>
      <w:r w:rsidR="0006379E">
        <w:rPr>
          <w:rStyle w:val="sb8d990e2"/>
          <w:rFonts w:ascii="Times New Roman" w:hAnsi="Times New Roman" w:cs="Times New Roman"/>
          <w:i/>
          <w:iCs/>
          <w:sz w:val="24"/>
          <w:szCs w:val="24"/>
        </w:rPr>
        <w:t xml:space="preserve"> </w:t>
      </w:r>
      <w:r w:rsidR="00CA5BE4">
        <w:rPr>
          <w:rStyle w:val="sb8d990e2"/>
          <w:rFonts w:ascii="Times New Roman" w:hAnsi="Times New Roman" w:cs="Times New Roman"/>
          <w:i/>
          <w:iCs/>
          <w:sz w:val="24"/>
          <w:szCs w:val="24"/>
        </w:rPr>
        <w:t xml:space="preserve">iepriekš citētā </w:t>
      </w:r>
      <w:r w:rsidR="0006379E">
        <w:rPr>
          <w:rStyle w:val="sb8d990e2"/>
          <w:rFonts w:ascii="Times New Roman" w:hAnsi="Times New Roman" w:cs="Times New Roman"/>
          <w:i/>
          <w:iCs/>
          <w:sz w:val="24"/>
          <w:szCs w:val="24"/>
        </w:rPr>
        <w:t>„</w:t>
      </w:r>
      <w:r w:rsidR="008E1971" w:rsidRPr="008E1971">
        <w:rPr>
          <w:rStyle w:val="sb8d990e2"/>
          <w:rFonts w:ascii="Times New Roman" w:hAnsi="Times New Roman" w:cs="Times New Roman"/>
          <w:i/>
          <w:iCs/>
          <w:sz w:val="24"/>
          <w:szCs w:val="24"/>
        </w:rPr>
        <w:t xml:space="preserve">L. v. </w:t>
      </w:r>
      <w:proofErr w:type="spellStart"/>
      <w:r w:rsidR="008E1971" w:rsidRPr="008E1971">
        <w:rPr>
          <w:rStyle w:val="sb8d990e2"/>
          <w:rFonts w:ascii="Times New Roman" w:hAnsi="Times New Roman" w:cs="Times New Roman"/>
          <w:i/>
          <w:iCs/>
          <w:sz w:val="24"/>
          <w:szCs w:val="24"/>
        </w:rPr>
        <w:t>the</w:t>
      </w:r>
      <w:proofErr w:type="spellEnd"/>
      <w:r w:rsidR="008E1971" w:rsidRPr="008E1971">
        <w:rPr>
          <w:rStyle w:val="sb8d990e2"/>
          <w:rFonts w:ascii="Times New Roman" w:hAnsi="Times New Roman" w:cs="Times New Roman"/>
          <w:i/>
          <w:iCs/>
          <w:sz w:val="24"/>
          <w:szCs w:val="24"/>
        </w:rPr>
        <w:t xml:space="preserve"> </w:t>
      </w:r>
      <w:proofErr w:type="spellStart"/>
      <w:r w:rsidR="008E1971" w:rsidRPr="008E1971">
        <w:rPr>
          <w:rStyle w:val="sb8d990e2"/>
          <w:rFonts w:ascii="Times New Roman" w:hAnsi="Times New Roman" w:cs="Times New Roman"/>
          <w:i/>
          <w:iCs/>
          <w:sz w:val="24"/>
          <w:szCs w:val="24"/>
        </w:rPr>
        <w:t>Netherlands</w:t>
      </w:r>
      <w:proofErr w:type="spellEnd"/>
      <w:r w:rsidR="008E1971" w:rsidRPr="008E1971">
        <w:rPr>
          <w:rStyle w:val="sb8d990e2"/>
          <w:rFonts w:ascii="Times New Roman" w:hAnsi="Times New Roman" w:cs="Times New Roman"/>
          <w:i/>
          <w:iCs/>
          <w:sz w:val="24"/>
          <w:szCs w:val="24"/>
        </w:rPr>
        <w:t>” 36. punktu</w:t>
      </w:r>
      <w:r w:rsidR="00905B46" w:rsidRPr="008E1971">
        <w:rPr>
          <w:rStyle w:val="sb8d990e2"/>
          <w:rFonts w:ascii="Times New Roman" w:hAnsi="Times New Roman" w:cs="Times New Roman"/>
          <w:i/>
          <w:iCs/>
          <w:sz w:val="24"/>
          <w:szCs w:val="24"/>
        </w:rPr>
        <w:t xml:space="preserve">; </w:t>
      </w:r>
      <w:r w:rsidR="008E1971" w:rsidRPr="008E1971">
        <w:rPr>
          <w:rStyle w:val="sb8d990e2"/>
          <w:rFonts w:ascii="Times New Roman" w:hAnsi="Times New Roman" w:cs="Times New Roman"/>
          <w:i/>
          <w:iCs/>
          <w:sz w:val="24"/>
          <w:szCs w:val="24"/>
        </w:rPr>
        <w:t>2008. gada 18. marta lēmumu lietā</w:t>
      </w:r>
      <w:r w:rsidR="0006379E">
        <w:rPr>
          <w:rStyle w:val="sb8d990e2"/>
          <w:rFonts w:ascii="Times New Roman" w:hAnsi="Times New Roman" w:cs="Times New Roman"/>
          <w:i/>
          <w:iCs/>
          <w:sz w:val="24"/>
          <w:szCs w:val="24"/>
        </w:rPr>
        <w:t xml:space="preserve"> „</w:t>
      </w:r>
      <w:proofErr w:type="spellStart"/>
      <w:r w:rsidR="008E1971" w:rsidRPr="008E1971">
        <w:rPr>
          <w:rStyle w:val="sb8d990e2"/>
          <w:rFonts w:ascii="Times New Roman" w:hAnsi="Times New Roman" w:cs="Times New Roman"/>
          <w:i/>
          <w:iCs/>
          <w:sz w:val="24"/>
          <w:szCs w:val="24"/>
        </w:rPr>
        <w:t>Hülsmann</w:t>
      </w:r>
      <w:proofErr w:type="spellEnd"/>
      <w:r w:rsidR="008E1971" w:rsidRPr="008E1971">
        <w:rPr>
          <w:rStyle w:val="sb8d990e2"/>
          <w:rFonts w:ascii="Times New Roman" w:hAnsi="Times New Roman" w:cs="Times New Roman"/>
          <w:i/>
          <w:iCs/>
          <w:sz w:val="24"/>
          <w:szCs w:val="24"/>
        </w:rPr>
        <w:t xml:space="preserve"> v </w:t>
      </w:r>
      <w:proofErr w:type="spellStart"/>
      <w:r w:rsidR="008E1971" w:rsidRPr="008E1971">
        <w:rPr>
          <w:rStyle w:val="sb8d990e2"/>
          <w:rFonts w:ascii="Times New Roman" w:hAnsi="Times New Roman" w:cs="Times New Roman"/>
          <w:i/>
          <w:iCs/>
          <w:sz w:val="24"/>
          <w:szCs w:val="24"/>
        </w:rPr>
        <w:t>Germany</w:t>
      </w:r>
      <w:proofErr w:type="spellEnd"/>
      <w:r w:rsidR="008E1971" w:rsidRPr="008E1971">
        <w:rPr>
          <w:rStyle w:val="sb8d990e2"/>
          <w:rFonts w:ascii="Times New Roman" w:hAnsi="Times New Roman" w:cs="Times New Roman"/>
          <w:i/>
          <w:iCs/>
          <w:sz w:val="24"/>
          <w:szCs w:val="24"/>
        </w:rPr>
        <w:t xml:space="preserve">” un </w:t>
      </w:r>
      <w:r w:rsidR="008E1971" w:rsidRPr="008E1971">
        <w:rPr>
          <w:rFonts w:ascii="Times New Roman" w:hAnsi="Times New Roman" w:cs="Times New Roman"/>
          <w:i/>
          <w:iCs/>
          <w:sz w:val="24"/>
          <w:szCs w:val="24"/>
        </w:rPr>
        <w:t>2010. gada 21. decembra spriedumu lietā</w:t>
      </w:r>
      <w:r w:rsidR="0006379E">
        <w:rPr>
          <w:rFonts w:ascii="Times New Roman" w:hAnsi="Times New Roman" w:cs="Times New Roman"/>
          <w:i/>
          <w:iCs/>
          <w:sz w:val="24"/>
          <w:szCs w:val="24"/>
        </w:rPr>
        <w:t xml:space="preserve"> „</w:t>
      </w:r>
      <w:proofErr w:type="spellStart"/>
      <w:r w:rsidR="008E1971" w:rsidRPr="008E1971">
        <w:rPr>
          <w:rFonts w:ascii="Times New Roman" w:hAnsi="Times New Roman" w:cs="Times New Roman"/>
          <w:i/>
          <w:iCs/>
          <w:sz w:val="24"/>
          <w:szCs w:val="24"/>
        </w:rPr>
        <w:t>Anayo</w:t>
      </w:r>
      <w:proofErr w:type="spellEnd"/>
      <w:r w:rsidR="008E1971" w:rsidRPr="008E1971">
        <w:rPr>
          <w:rFonts w:ascii="Times New Roman" w:hAnsi="Times New Roman" w:cs="Times New Roman"/>
          <w:i/>
          <w:iCs/>
          <w:sz w:val="24"/>
          <w:szCs w:val="24"/>
        </w:rPr>
        <w:t xml:space="preserve"> v. </w:t>
      </w:r>
      <w:proofErr w:type="spellStart"/>
      <w:r w:rsidR="008E1971" w:rsidRPr="008E1971">
        <w:rPr>
          <w:rFonts w:ascii="Times New Roman" w:hAnsi="Times New Roman" w:cs="Times New Roman"/>
          <w:i/>
          <w:iCs/>
          <w:sz w:val="24"/>
          <w:szCs w:val="24"/>
        </w:rPr>
        <w:t>Germany</w:t>
      </w:r>
      <w:proofErr w:type="spellEnd"/>
      <w:r w:rsidR="008E1971" w:rsidRPr="008E1971">
        <w:rPr>
          <w:rFonts w:ascii="Times New Roman" w:hAnsi="Times New Roman" w:cs="Times New Roman"/>
          <w:i/>
          <w:iCs/>
          <w:sz w:val="24"/>
          <w:szCs w:val="24"/>
        </w:rPr>
        <w:t>”, iesnieguma Nr. </w:t>
      </w:r>
      <w:hyperlink r:id="rId16" w:history="1">
        <w:r w:rsidR="008E1971" w:rsidRPr="008E1971">
          <w:rPr>
            <w:rStyle w:val="Hyperlink"/>
            <w:rFonts w:ascii="Times New Roman" w:hAnsi="Times New Roman" w:cs="Times New Roman"/>
            <w:i/>
            <w:iCs/>
            <w:sz w:val="24"/>
            <w:szCs w:val="24"/>
          </w:rPr>
          <w:t>20578/07</w:t>
        </w:r>
      </w:hyperlink>
      <w:r w:rsidR="008E1971" w:rsidRPr="008E1971">
        <w:rPr>
          <w:rStyle w:val="sb8d990e2"/>
          <w:rFonts w:ascii="Times New Roman" w:hAnsi="Times New Roman" w:cs="Times New Roman"/>
          <w:i/>
          <w:iCs/>
          <w:sz w:val="24"/>
          <w:szCs w:val="24"/>
        </w:rPr>
        <w:t xml:space="preserve">; </w:t>
      </w:r>
      <w:r w:rsidR="008E1971" w:rsidRPr="00D13E7D">
        <w:rPr>
          <w:rStyle w:val="sb8d990e2"/>
          <w:rFonts w:ascii="Times New Roman" w:hAnsi="Times New Roman" w:cs="Times New Roman"/>
          <w:sz w:val="24"/>
          <w:szCs w:val="24"/>
        </w:rPr>
        <w:t>sal.</w:t>
      </w:r>
      <w:r w:rsidR="008E1971" w:rsidRPr="008E1971">
        <w:rPr>
          <w:rStyle w:val="sb8d990e2"/>
          <w:rFonts w:ascii="Times New Roman" w:hAnsi="Times New Roman" w:cs="Times New Roman"/>
          <w:i/>
          <w:iCs/>
          <w:sz w:val="24"/>
          <w:szCs w:val="24"/>
        </w:rPr>
        <w:t xml:space="preserve"> 2006. gada 18. maija sprieduma lietā</w:t>
      </w:r>
      <w:r w:rsidR="0006379E">
        <w:rPr>
          <w:rStyle w:val="sb8d990e2"/>
          <w:rFonts w:ascii="Times New Roman" w:hAnsi="Times New Roman" w:cs="Times New Roman"/>
          <w:i/>
          <w:iCs/>
          <w:sz w:val="24"/>
          <w:szCs w:val="24"/>
        </w:rPr>
        <w:t xml:space="preserve"> „</w:t>
      </w:r>
      <w:proofErr w:type="spellStart"/>
      <w:r w:rsidR="00905B46" w:rsidRPr="008E1971">
        <w:rPr>
          <w:rStyle w:val="sb8d990e2"/>
          <w:rFonts w:ascii="Times New Roman" w:hAnsi="Times New Roman" w:cs="Times New Roman"/>
          <w:i/>
          <w:iCs/>
          <w:sz w:val="24"/>
          <w:szCs w:val="24"/>
        </w:rPr>
        <w:t>Różański</w:t>
      </w:r>
      <w:proofErr w:type="spellEnd"/>
      <w:r w:rsidR="00905B46" w:rsidRPr="008E1971">
        <w:rPr>
          <w:rStyle w:val="sb8d990e2"/>
          <w:rFonts w:ascii="Times New Roman" w:hAnsi="Times New Roman" w:cs="Times New Roman"/>
          <w:i/>
          <w:iCs/>
          <w:sz w:val="24"/>
          <w:szCs w:val="24"/>
        </w:rPr>
        <w:t xml:space="preserve"> v. </w:t>
      </w:r>
      <w:proofErr w:type="spellStart"/>
      <w:r w:rsidR="00905B46" w:rsidRPr="008E1971">
        <w:rPr>
          <w:rStyle w:val="sb8d990e2"/>
          <w:rFonts w:ascii="Times New Roman" w:hAnsi="Times New Roman" w:cs="Times New Roman"/>
          <w:i/>
          <w:iCs/>
          <w:sz w:val="24"/>
          <w:szCs w:val="24"/>
        </w:rPr>
        <w:t>Poland</w:t>
      </w:r>
      <w:proofErr w:type="spellEnd"/>
      <w:r w:rsidR="008E1971" w:rsidRPr="008E1971">
        <w:rPr>
          <w:rStyle w:val="sb8d990e2"/>
          <w:rFonts w:ascii="Times New Roman" w:hAnsi="Times New Roman" w:cs="Times New Roman"/>
          <w:i/>
          <w:iCs/>
          <w:sz w:val="24"/>
          <w:szCs w:val="24"/>
        </w:rPr>
        <w:t>”, iesnieguma Nr. </w:t>
      </w:r>
      <w:hyperlink r:id="rId17" w:history="1">
        <w:r w:rsidR="00905B46" w:rsidRPr="008E1971">
          <w:rPr>
            <w:rStyle w:val="Hyperlink"/>
            <w:rFonts w:ascii="Times New Roman" w:hAnsi="Times New Roman" w:cs="Times New Roman"/>
            <w:i/>
            <w:iCs/>
            <w:sz w:val="24"/>
            <w:szCs w:val="24"/>
          </w:rPr>
          <w:t>55339/00</w:t>
        </w:r>
      </w:hyperlink>
      <w:r w:rsidR="00905B46" w:rsidRPr="008E1971">
        <w:rPr>
          <w:rStyle w:val="sb8d990e2"/>
          <w:rFonts w:ascii="Times New Roman" w:hAnsi="Times New Roman" w:cs="Times New Roman"/>
          <w:i/>
          <w:iCs/>
          <w:sz w:val="24"/>
          <w:szCs w:val="24"/>
        </w:rPr>
        <w:t>, 64</w:t>
      </w:r>
      <w:r w:rsidR="008E1971" w:rsidRPr="008E1971">
        <w:rPr>
          <w:rStyle w:val="sb8d990e2"/>
          <w:rFonts w:ascii="Times New Roman" w:hAnsi="Times New Roman" w:cs="Times New Roman"/>
          <w:i/>
          <w:iCs/>
          <w:sz w:val="24"/>
          <w:szCs w:val="24"/>
        </w:rPr>
        <w:t>. punktu</w:t>
      </w:r>
      <w:r w:rsidRPr="00C42019">
        <w:rPr>
          <w:rStyle w:val="sb8d990e2"/>
          <w:rFonts w:ascii="Times New Roman" w:hAnsi="Times New Roman" w:cs="Times New Roman"/>
          <w:sz w:val="24"/>
          <w:szCs w:val="24"/>
        </w:rPr>
        <w:t>).</w:t>
      </w:r>
    </w:p>
    <w:p w14:paraId="321319C0" w14:textId="31A92EEC" w:rsidR="00CE2D44" w:rsidRDefault="00581FD8" w:rsidP="00B90822">
      <w:pPr>
        <w:spacing w:line="240" w:lineRule="auto"/>
        <w:jc w:val="both"/>
        <w:rPr>
          <w:rStyle w:val="sb8d990e2"/>
          <w:rFonts w:ascii="Times New Roman" w:hAnsi="Times New Roman" w:cs="Times New Roman"/>
          <w:sz w:val="24"/>
          <w:szCs w:val="24"/>
        </w:rPr>
      </w:pPr>
      <w:r w:rsidRPr="00581FD8">
        <w:rPr>
          <w:rStyle w:val="sb8d990e2"/>
          <w:rFonts w:ascii="Times New Roman" w:hAnsi="Times New Roman" w:cs="Times New Roman"/>
          <w:sz w:val="24"/>
          <w:szCs w:val="24"/>
        </w:rPr>
        <w:t>82. Tiesa vēlreiz atkārto, ka 8.</w:t>
      </w:r>
      <w:r w:rsidR="00492E55">
        <w:rPr>
          <w:rStyle w:val="sb8d990e2"/>
          <w:rFonts w:ascii="Times New Roman" w:hAnsi="Times New Roman" w:cs="Times New Roman"/>
          <w:sz w:val="24"/>
          <w:szCs w:val="24"/>
        </w:rPr>
        <w:t> </w:t>
      </w:r>
      <w:r w:rsidRPr="00581FD8">
        <w:rPr>
          <w:rStyle w:val="sb8d990e2"/>
          <w:rFonts w:ascii="Times New Roman" w:hAnsi="Times New Roman" w:cs="Times New Roman"/>
          <w:sz w:val="24"/>
          <w:szCs w:val="24"/>
        </w:rPr>
        <w:t>pants aizsargā ne tikai</w:t>
      </w:r>
      <w:r w:rsidR="0006379E">
        <w:rPr>
          <w:rStyle w:val="sb8d990e2"/>
          <w:rFonts w:ascii="Times New Roman" w:hAnsi="Times New Roman" w:cs="Times New Roman"/>
          <w:sz w:val="24"/>
          <w:szCs w:val="24"/>
        </w:rPr>
        <w:t xml:space="preserve"> „</w:t>
      </w:r>
      <w:r w:rsidRPr="00581FD8">
        <w:rPr>
          <w:rStyle w:val="sb8d990e2"/>
          <w:rFonts w:ascii="Times New Roman" w:hAnsi="Times New Roman" w:cs="Times New Roman"/>
          <w:sz w:val="24"/>
          <w:szCs w:val="24"/>
        </w:rPr>
        <w:t>ģimenes”, bet arī</w:t>
      </w:r>
      <w:r w:rsidR="0006379E">
        <w:rPr>
          <w:rStyle w:val="sb8d990e2"/>
          <w:rFonts w:ascii="Times New Roman" w:hAnsi="Times New Roman" w:cs="Times New Roman"/>
          <w:sz w:val="24"/>
          <w:szCs w:val="24"/>
        </w:rPr>
        <w:t xml:space="preserve"> „</w:t>
      </w:r>
      <w:r w:rsidRPr="00581FD8">
        <w:rPr>
          <w:rStyle w:val="sb8d990e2"/>
          <w:rFonts w:ascii="Times New Roman" w:hAnsi="Times New Roman" w:cs="Times New Roman"/>
          <w:sz w:val="24"/>
          <w:szCs w:val="24"/>
        </w:rPr>
        <w:t xml:space="preserve">privāto” dzīvi. Konvencijas orgānu tradicionālā pieeja ir atzīt, ka ciešas attiecības, </w:t>
      </w:r>
      <w:r w:rsidR="00492E55">
        <w:rPr>
          <w:rStyle w:val="sb8d990e2"/>
          <w:rFonts w:ascii="Times New Roman" w:hAnsi="Times New Roman" w:cs="Times New Roman"/>
          <w:sz w:val="24"/>
          <w:szCs w:val="24"/>
        </w:rPr>
        <w:t>kuras nekvalificējas</w:t>
      </w:r>
      <w:r w:rsidR="0006379E">
        <w:rPr>
          <w:rStyle w:val="sb8d990e2"/>
          <w:rFonts w:ascii="Times New Roman" w:hAnsi="Times New Roman" w:cs="Times New Roman"/>
          <w:sz w:val="24"/>
          <w:szCs w:val="24"/>
        </w:rPr>
        <w:t xml:space="preserve"> „</w:t>
      </w:r>
      <w:r w:rsidRPr="00581FD8">
        <w:rPr>
          <w:rStyle w:val="sb8d990e2"/>
          <w:rFonts w:ascii="Times New Roman" w:hAnsi="Times New Roman" w:cs="Times New Roman"/>
          <w:sz w:val="24"/>
          <w:szCs w:val="24"/>
        </w:rPr>
        <w:t>ģimenes dzīve</w:t>
      </w:r>
      <w:r w:rsidR="00492E55">
        <w:rPr>
          <w:rStyle w:val="sb8d990e2"/>
          <w:rFonts w:ascii="Times New Roman" w:hAnsi="Times New Roman" w:cs="Times New Roman"/>
          <w:sz w:val="24"/>
          <w:szCs w:val="24"/>
        </w:rPr>
        <w:t>i</w:t>
      </w:r>
      <w:r w:rsidRPr="00581FD8">
        <w:rPr>
          <w:rStyle w:val="sb8d990e2"/>
          <w:rFonts w:ascii="Times New Roman" w:hAnsi="Times New Roman" w:cs="Times New Roman"/>
          <w:sz w:val="24"/>
          <w:szCs w:val="24"/>
        </w:rPr>
        <w:t>”, parasti ietilpst</w:t>
      </w:r>
      <w:r w:rsidR="0006379E">
        <w:rPr>
          <w:rStyle w:val="sb8d990e2"/>
          <w:rFonts w:ascii="Times New Roman" w:hAnsi="Times New Roman" w:cs="Times New Roman"/>
          <w:sz w:val="24"/>
          <w:szCs w:val="24"/>
        </w:rPr>
        <w:t xml:space="preserve"> „</w:t>
      </w:r>
      <w:r w:rsidRPr="00581FD8">
        <w:rPr>
          <w:rStyle w:val="sb8d990e2"/>
          <w:rFonts w:ascii="Times New Roman" w:hAnsi="Times New Roman" w:cs="Times New Roman"/>
          <w:sz w:val="24"/>
          <w:szCs w:val="24"/>
        </w:rPr>
        <w:t xml:space="preserve">privātās dzīves” darbības jomā </w:t>
      </w:r>
      <w:proofErr w:type="gramStart"/>
      <w:r w:rsidRPr="00581FD8">
        <w:rPr>
          <w:rStyle w:val="sb8d990e2"/>
          <w:rFonts w:ascii="Times New Roman" w:hAnsi="Times New Roman" w:cs="Times New Roman"/>
          <w:sz w:val="24"/>
          <w:szCs w:val="24"/>
        </w:rPr>
        <w:t>(</w:t>
      </w:r>
      <w:proofErr w:type="gramEnd"/>
      <w:r w:rsidR="00492E55" w:rsidRPr="00D13E7D">
        <w:rPr>
          <w:rStyle w:val="sb8d990e2"/>
          <w:rFonts w:ascii="Times New Roman" w:hAnsi="Times New Roman" w:cs="Times New Roman"/>
          <w:sz w:val="24"/>
          <w:szCs w:val="24"/>
        </w:rPr>
        <w:t>sk.</w:t>
      </w:r>
      <w:r w:rsidR="00492E55">
        <w:rPr>
          <w:rStyle w:val="sb8d990e2"/>
          <w:rFonts w:ascii="Times New Roman" w:hAnsi="Times New Roman" w:cs="Times New Roman"/>
          <w:i/>
          <w:iCs/>
          <w:sz w:val="24"/>
          <w:szCs w:val="24"/>
        </w:rPr>
        <w:t xml:space="preserve"> </w:t>
      </w:r>
      <w:r w:rsidR="00492E55" w:rsidRPr="00492E55">
        <w:rPr>
          <w:rStyle w:val="sb8d990e2"/>
          <w:rFonts w:ascii="Times New Roman" w:hAnsi="Times New Roman" w:cs="Times New Roman"/>
          <w:i/>
          <w:iCs/>
          <w:sz w:val="24"/>
          <w:szCs w:val="24"/>
        </w:rPr>
        <w:t>2005. gada 2. jūnija sprieduma lietā</w:t>
      </w:r>
      <w:r w:rsidR="0006379E">
        <w:rPr>
          <w:rStyle w:val="sb8d990e2"/>
          <w:rFonts w:ascii="Times New Roman" w:hAnsi="Times New Roman" w:cs="Times New Roman"/>
          <w:i/>
          <w:iCs/>
          <w:sz w:val="24"/>
          <w:szCs w:val="24"/>
        </w:rPr>
        <w:t xml:space="preserve"> „</w:t>
      </w:r>
      <w:proofErr w:type="spellStart"/>
      <w:r w:rsidR="00492E55" w:rsidRPr="00492E55">
        <w:rPr>
          <w:rStyle w:val="sb8d990e2"/>
          <w:rFonts w:ascii="Times New Roman" w:hAnsi="Times New Roman" w:cs="Times New Roman"/>
          <w:i/>
          <w:iCs/>
          <w:sz w:val="24"/>
          <w:szCs w:val="24"/>
        </w:rPr>
        <w:t>Znamenskaya</w:t>
      </w:r>
      <w:proofErr w:type="spellEnd"/>
      <w:r w:rsidR="00492E55" w:rsidRPr="00492E55">
        <w:rPr>
          <w:rStyle w:val="sb8d990e2"/>
          <w:rFonts w:ascii="Times New Roman" w:hAnsi="Times New Roman" w:cs="Times New Roman"/>
          <w:i/>
          <w:iCs/>
          <w:sz w:val="24"/>
          <w:szCs w:val="24"/>
        </w:rPr>
        <w:t xml:space="preserve"> v. </w:t>
      </w:r>
      <w:proofErr w:type="spellStart"/>
      <w:r w:rsidR="00492E55" w:rsidRPr="00492E55">
        <w:rPr>
          <w:rStyle w:val="sb8d990e2"/>
          <w:rFonts w:ascii="Times New Roman" w:hAnsi="Times New Roman" w:cs="Times New Roman"/>
          <w:i/>
          <w:iCs/>
          <w:sz w:val="24"/>
          <w:szCs w:val="24"/>
        </w:rPr>
        <w:t>Russia</w:t>
      </w:r>
      <w:proofErr w:type="spellEnd"/>
      <w:r w:rsidR="00492E55" w:rsidRPr="00492E55">
        <w:rPr>
          <w:rStyle w:val="sb8d990e2"/>
          <w:rFonts w:ascii="Times New Roman" w:hAnsi="Times New Roman" w:cs="Times New Roman"/>
          <w:i/>
          <w:iCs/>
          <w:sz w:val="24"/>
          <w:szCs w:val="24"/>
        </w:rPr>
        <w:t>”, iesnieguma Nr. </w:t>
      </w:r>
      <w:hyperlink r:id="rId18" w:history="1">
        <w:r w:rsidR="00492E55" w:rsidRPr="00492E55">
          <w:rPr>
            <w:rStyle w:val="Hyperlink"/>
            <w:rFonts w:ascii="Times New Roman" w:hAnsi="Times New Roman" w:cs="Times New Roman"/>
            <w:i/>
            <w:iCs/>
            <w:sz w:val="24"/>
            <w:szCs w:val="24"/>
          </w:rPr>
          <w:t>77785/01</w:t>
        </w:r>
      </w:hyperlink>
      <w:r w:rsidR="00492E55" w:rsidRPr="00492E55">
        <w:rPr>
          <w:rStyle w:val="sb8d990e2"/>
          <w:rFonts w:ascii="Times New Roman" w:hAnsi="Times New Roman" w:cs="Times New Roman"/>
          <w:i/>
          <w:iCs/>
          <w:sz w:val="24"/>
          <w:szCs w:val="24"/>
        </w:rPr>
        <w:t xml:space="preserve"> 27. punktu ar turpmākajām atsaucēm</w:t>
      </w:r>
      <w:r w:rsidRPr="00581FD8">
        <w:rPr>
          <w:rStyle w:val="sb8d990e2"/>
          <w:rFonts w:ascii="Times New Roman" w:hAnsi="Times New Roman" w:cs="Times New Roman"/>
          <w:sz w:val="24"/>
          <w:szCs w:val="24"/>
        </w:rPr>
        <w:t>). Tādējādi Tiesa tiesvedīb</w:t>
      </w:r>
      <w:r w:rsidR="00E960FF">
        <w:rPr>
          <w:rStyle w:val="sb8d990e2"/>
          <w:rFonts w:ascii="Times New Roman" w:hAnsi="Times New Roman" w:cs="Times New Roman"/>
          <w:sz w:val="24"/>
          <w:szCs w:val="24"/>
        </w:rPr>
        <w:t>as</w:t>
      </w:r>
      <w:r w:rsidRPr="00581FD8">
        <w:rPr>
          <w:rStyle w:val="sb8d990e2"/>
          <w:rFonts w:ascii="Times New Roman" w:hAnsi="Times New Roman" w:cs="Times New Roman"/>
          <w:sz w:val="24"/>
          <w:szCs w:val="24"/>
        </w:rPr>
        <w:t xml:space="preserve"> par paternitātes noteikšan</w:t>
      </w:r>
      <w:r w:rsidR="00E960FF">
        <w:rPr>
          <w:rStyle w:val="sb8d990e2"/>
          <w:rFonts w:ascii="Times New Roman" w:hAnsi="Times New Roman" w:cs="Times New Roman"/>
          <w:sz w:val="24"/>
          <w:szCs w:val="24"/>
        </w:rPr>
        <w:t>u</w:t>
      </w:r>
      <w:r w:rsidRPr="00581FD8">
        <w:rPr>
          <w:rStyle w:val="sb8d990e2"/>
          <w:rFonts w:ascii="Times New Roman" w:hAnsi="Times New Roman" w:cs="Times New Roman"/>
          <w:sz w:val="24"/>
          <w:szCs w:val="24"/>
        </w:rPr>
        <w:t xml:space="preserve"> vai apstrīdēšanu </w:t>
      </w:r>
      <w:r w:rsidR="00E960FF">
        <w:rPr>
          <w:rStyle w:val="sb8d990e2"/>
          <w:rFonts w:ascii="Times New Roman" w:hAnsi="Times New Roman" w:cs="Times New Roman"/>
          <w:sz w:val="24"/>
          <w:szCs w:val="24"/>
        </w:rPr>
        <w:t xml:space="preserve">kontekstā </w:t>
      </w:r>
      <w:r w:rsidRPr="00581FD8">
        <w:rPr>
          <w:rStyle w:val="sb8d990e2"/>
          <w:rFonts w:ascii="Times New Roman" w:hAnsi="Times New Roman" w:cs="Times New Roman"/>
          <w:sz w:val="24"/>
          <w:szCs w:val="24"/>
        </w:rPr>
        <w:t>konstatēja, ka vīrieša tiesisko attiecību noteikšana ar viņa likum</w:t>
      </w:r>
      <w:r w:rsidR="00E960FF">
        <w:rPr>
          <w:rStyle w:val="sb8d990e2"/>
          <w:rFonts w:ascii="Times New Roman" w:hAnsi="Times New Roman" w:cs="Times New Roman"/>
          <w:sz w:val="24"/>
          <w:szCs w:val="24"/>
        </w:rPr>
        <w:t>isko</w:t>
      </w:r>
      <w:r w:rsidRPr="00581FD8">
        <w:rPr>
          <w:rStyle w:val="sb8d990e2"/>
          <w:rFonts w:ascii="Times New Roman" w:hAnsi="Times New Roman" w:cs="Times New Roman"/>
          <w:sz w:val="24"/>
          <w:szCs w:val="24"/>
        </w:rPr>
        <w:t xml:space="preserve"> vai </w:t>
      </w:r>
      <w:r w:rsidR="00E960FF">
        <w:rPr>
          <w:rStyle w:val="sb8d990e2"/>
          <w:rFonts w:ascii="Times New Roman" w:hAnsi="Times New Roman" w:cs="Times New Roman"/>
          <w:sz w:val="24"/>
          <w:szCs w:val="24"/>
        </w:rPr>
        <w:t xml:space="preserve">varbūtējo </w:t>
      </w:r>
      <w:r w:rsidRPr="00581FD8">
        <w:rPr>
          <w:rStyle w:val="sb8d990e2"/>
          <w:rFonts w:ascii="Times New Roman" w:hAnsi="Times New Roman" w:cs="Times New Roman"/>
          <w:sz w:val="24"/>
          <w:szCs w:val="24"/>
        </w:rPr>
        <w:t xml:space="preserve">bērnu varētu </w:t>
      </w:r>
      <w:r w:rsidR="00E960FF">
        <w:rPr>
          <w:rStyle w:val="sb8d990e2"/>
          <w:rFonts w:ascii="Times New Roman" w:hAnsi="Times New Roman" w:cs="Times New Roman"/>
          <w:sz w:val="24"/>
          <w:szCs w:val="24"/>
        </w:rPr>
        <w:t>skart</w:t>
      </w:r>
      <w:r w:rsidRPr="00581FD8">
        <w:rPr>
          <w:rStyle w:val="sb8d990e2"/>
          <w:rFonts w:ascii="Times New Roman" w:hAnsi="Times New Roman" w:cs="Times New Roman"/>
          <w:sz w:val="24"/>
          <w:szCs w:val="24"/>
        </w:rPr>
        <w:t xml:space="preserve"> viņa</w:t>
      </w:r>
      <w:r w:rsidR="0006379E">
        <w:rPr>
          <w:rStyle w:val="sb8d990e2"/>
          <w:rFonts w:ascii="Times New Roman" w:hAnsi="Times New Roman" w:cs="Times New Roman"/>
          <w:sz w:val="24"/>
          <w:szCs w:val="24"/>
        </w:rPr>
        <w:t xml:space="preserve"> „</w:t>
      </w:r>
      <w:r w:rsidRPr="00581FD8">
        <w:rPr>
          <w:rStyle w:val="sb8d990e2"/>
          <w:rFonts w:ascii="Times New Roman" w:hAnsi="Times New Roman" w:cs="Times New Roman"/>
          <w:sz w:val="24"/>
          <w:szCs w:val="24"/>
        </w:rPr>
        <w:t>ģimenes” dzīvi,</w:t>
      </w:r>
      <w:r w:rsidR="00E960FF">
        <w:rPr>
          <w:rStyle w:val="sb8d990e2"/>
          <w:rFonts w:ascii="Times New Roman" w:hAnsi="Times New Roman" w:cs="Times New Roman"/>
          <w:sz w:val="24"/>
          <w:szCs w:val="24"/>
        </w:rPr>
        <w:t xml:space="preserve"> taču</w:t>
      </w:r>
      <w:r w:rsidRPr="00581FD8">
        <w:rPr>
          <w:rStyle w:val="sb8d990e2"/>
          <w:rFonts w:ascii="Times New Roman" w:hAnsi="Times New Roman" w:cs="Times New Roman"/>
          <w:sz w:val="24"/>
          <w:szCs w:val="24"/>
        </w:rPr>
        <w:t xml:space="preserve"> šo jautājumu varētu atstāt atklātu, jo jautājums neapšaubāmi skāra šī </w:t>
      </w:r>
      <w:r w:rsidR="00E960FF">
        <w:rPr>
          <w:rStyle w:val="sb8d990e2"/>
          <w:rFonts w:ascii="Times New Roman" w:hAnsi="Times New Roman" w:cs="Times New Roman"/>
          <w:sz w:val="24"/>
          <w:szCs w:val="24"/>
        </w:rPr>
        <w:t>vīrieša</w:t>
      </w:r>
      <w:r w:rsidRPr="00581FD8">
        <w:rPr>
          <w:rStyle w:val="sb8d990e2"/>
          <w:rFonts w:ascii="Times New Roman" w:hAnsi="Times New Roman" w:cs="Times New Roman"/>
          <w:sz w:val="24"/>
          <w:szCs w:val="24"/>
        </w:rPr>
        <w:t xml:space="preserve"> privāt</w:t>
      </w:r>
      <w:r w:rsidR="00E960FF">
        <w:rPr>
          <w:rStyle w:val="sb8d990e2"/>
          <w:rFonts w:ascii="Times New Roman" w:hAnsi="Times New Roman" w:cs="Times New Roman"/>
          <w:sz w:val="24"/>
          <w:szCs w:val="24"/>
        </w:rPr>
        <w:t>o</w:t>
      </w:r>
      <w:r w:rsidRPr="00581FD8">
        <w:rPr>
          <w:rStyle w:val="sb8d990e2"/>
          <w:rFonts w:ascii="Times New Roman" w:hAnsi="Times New Roman" w:cs="Times New Roman"/>
          <w:sz w:val="24"/>
          <w:szCs w:val="24"/>
        </w:rPr>
        <w:t xml:space="preserve"> dzīv</w:t>
      </w:r>
      <w:r w:rsidR="00E960FF">
        <w:rPr>
          <w:rStyle w:val="sb8d990e2"/>
          <w:rFonts w:ascii="Times New Roman" w:hAnsi="Times New Roman" w:cs="Times New Roman"/>
          <w:sz w:val="24"/>
          <w:szCs w:val="24"/>
        </w:rPr>
        <w:t>i 8. panta izpratnē</w:t>
      </w:r>
      <w:r w:rsidRPr="00581FD8">
        <w:rPr>
          <w:rStyle w:val="sb8d990e2"/>
          <w:rFonts w:ascii="Times New Roman" w:hAnsi="Times New Roman" w:cs="Times New Roman"/>
          <w:sz w:val="24"/>
          <w:szCs w:val="24"/>
        </w:rPr>
        <w:t xml:space="preserve">, kas ietver svarīgus personas identitātes aspektus </w:t>
      </w:r>
      <w:proofErr w:type="gramStart"/>
      <w:r w:rsidRPr="00581FD8">
        <w:rPr>
          <w:rStyle w:val="sb8d990e2"/>
          <w:rFonts w:ascii="Times New Roman" w:hAnsi="Times New Roman" w:cs="Times New Roman"/>
          <w:sz w:val="24"/>
          <w:szCs w:val="24"/>
        </w:rPr>
        <w:t>(</w:t>
      </w:r>
      <w:proofErr w:type="gramEnd"/>
      <w:r w:rsidR="00E960FF" w:rsidRPr="00D13E7D">
        <w:rPr>
          <w:rStyle w:val="sb8d990e2"/>
          <w:rFonts w:ascii="Times New Roman" w:hAnsi="Times New Roman" w:cs="Times New Roman"/>
          <w:sz w:val="24"/>
          <w:szCs w:val="24"/>
        </w:rPr>
        <w:t>sk.</w:t>
      </w:r>
      <w:r w:rsidR="00E960FF" w:rsidRPr="00E960FF">
        <w:rPr>
          <w:rStyle w:val="sb8d990e2"/>
          <w:rFonts w:ascii="Times New Roman" w:hAnsi="Times New Roman" w:cs="Times New Roman"/>
          <w:i/>
          <w:iCs/>
          <w:sz w:val="24"/>
          <w:szCs w:val="24"/>
        </w:rPr>
        <w:t xml:space="preserve"> 1984. gada 28. novembra sprieduma lietā</w:t>
      </w:r>
      <w:r w:rsidR="0006379E">
        <w:rPr>
          <w:rStyle w:val="sb8d990e2"/>
          <w:rFonts w:ascii="Times New Roman" w:hAnsi="Times New Roman" w:cs="Times New Roman"/>
          <w:i/>
          <w:iCs/>
          <w:sz w:val="24"/>
          <w:szCs w:val="24"/>
        </w:rPr>
        <w:t xml:space="preserve"> „</w:t>
      </w:r>
      <w:proofErr w:type="spellStart"/>
      <w:r w:rsidR="00E960FF" w:rsidRPr="00E960FF">
        <w:rPr>
          <w:rStyle w:val="sb8d990e2"/>
          <w:rFonts w:ascii="Times New Roman" w:hAnsi="Times New Roman" w:cs="Times New Roman"/>
          <w:i/>
          <w:iCs/>
          <w:sz w:val="24"/>
          <w:szCs w:val="24"/>
        </w:rPr>
        <w:t>Rasmussen</w:t>
      </w:r>
      <w:proofErr w:type="spellEnd"/>
      <w:r w:rsidR="00E960FF" w:rsidRPr="00E960FF">
        <w:rPr>
          <w:rStyle w:val="sb8d990e2"/>
          <w:rFonts w:ascii="Times New Roman" w:hAnsi="Times New Roman" w:cs="Times New Roman"/>
          <w:i/>
          <w:iCs/>
          <w:sz w:val="24"/>
          <w:szCs w:val="24"/>
        </w:rPr>
        <w:t xml:space="preserve"> v. </w:t>
      </w:r>
      <w:proofErr w:type="spellStart"/>
      <w:r w:rsidR="00E960FF" w:rsidRPr="00E960FF">
        <w:rPr>
          <w:rStyle w:val="sb8d990e2"/>
          <w:rFonts w:ascii="Times New Roman" w:hAnsi="Times New Roman" w:cs="Times New Roman"/>
          <w:i/>
          <w:iCs/>
          <w:sz w:val="24"/>
          <w:szCs w:val="24"/>
        </w:rPr>
        <w:t>Denmark</w:t>
      </w:r>
      <w:proofErr w:type="spellEnd"/>
      <w:r w:rsidR="00E960FF" w:rsidRPr="00E960FF">
        <w:rPr>
          <w:rStyle w:val="sb8d990e2"/>
          <w:rFonts w:ascii="Times New Roman" w:hAnsi="Times New Roman" w:cs="Times New Roman"/>
          <w:i/>
          <w:iCs/>
          <w:sz w:val="24"/>
          <w:szCs w:val="24"/>
        </w:rPr>
        <w:t>”, iesnieguma Nr. </w:t>
      </w:r>
      <w:hyperlink r:id="rId19" w:history="1">
        <w:r w:rsidR="00E960FF" w:rsidRPr="00E960FF">
          <w:rPr>
            <w:rStyle w:val="Hyperlink"/>
            <w:rFonts w:ascii="Times New Roman" w:hAnsi="Times New Roman" w:cs="Times New Roman"/>
            <w:i/>
            <w:iCs/>
            <w:sz w:val="24"/>
            <w:szCs w:val="24"/>
          </w:rPr>
          <w:t>8777/79</w:t>
        </w:r>
      </w:hyperlink>
      <w:r w:rsidR="00E960FF" w:rsidRPr="00E960FF">
        <w:rPr>
          <w:rStyle w:val="sb8d990e2"/>
          <w:rFonts w:ascii="Times New Roman" w:hAnsi="Times New Roman" w:cs="Times New Roman"/>
          <w:i/>
          <w:iCs/>
          <w:sz w:val="24"/>
          <w:szCs w:val="24"/>
        </w:rPr>
        <w:t>, 33. punktu, iepriekš citēto</w:t>
      </w:r>
      <w:r w:rsidR="0006379E">
        <w:rPr>
          <w:rStyle w:val="sb8d990e2"/>
          <w:rFonts w:ascii="Times New Roman" w:hAnsi="Times New Roman" w:cs="Times New Roman"/>
          <w:i/>
          <w:iCs/>
          <w:sz w:val="24"/>
          <w:szCs w:val="24"/>
        </w:rPr>
        <w:t xml:space="preserve"> „</w:t>
      </w:r>
      <w:proofErr w:type="spellStart"/>
      <w:r w:rsidR="00E960FF" w:rsidRPr="00E960FF">
        <w:rPr>
          <w:rStyle w:val="sb8d990e2"/>
          <w:rFonts w:ascii="Times New Roman" w:hAnsi="Times New Roman" w:cs="Times New Roman"/>
          <w:i/>
          <w:iCs/>
          <w:sz w:val="24"/>
          <w:szCs w:val="24"/>
        </w:rPr>
        <w:t>Nylund</w:t>
      </w:r>
      <w:proofErr w:type="spellEnd"/>
      <w:r w:rsidR="00E960FF" w:rsidRPr="00E960FF">
        <w:rPr>
          <w:rStyle w:val="sb8d990e2"/>
          <w:rFonts w:ascii="Times New Roman" w:hAnsi="Times New Roman" w:cs="Times New Roman"/>
          <w:i/>
          <w:iCs/>
          <w:sz w:val="24"/>
          <w:szCs w:val="24"/>
        </w:rPr>
        <w:t xml:space="preserve"> v. </w:t>
      </w:r>
      <w:proofErr w:type="spellStart"/>
      <w:r w:rsidR="00E960FF" w:rsidRPr="00E960FF">
        <w:rPr>
          <w:rStyle w:val="sb8d990e2"/>
          <w:rFonts w:ascii="Times New Roman" w:hAnsi="Times New Roman" w:cs="Times New Roman"/>
          <w:i/>
          <w:iCs/>
          <w:sz w:val="24"/>
          <w:szCs w:val="24"/>
        </w:rPr>
        <w:t>Finland</w:t>
      </w:r>
      <w:proofErr w:type="spellEnd"/>
      <w:r w:rsidR="00E960FF" w:rsidRPr="00E960FF">
        <w:rPr>
          <w:rStyle w:val="sb8d990e2"/>
          <w:rFonts w:ascii="Times New Roman" w:hAnsi="Times New Roman" w:cs="Times New Roman"/>
          <w:i/>
          <w:iCs/>
          <w:sz w:val="24"/>
          <w:szCs w:val="24"/>
        </w:rPr>
        <w:t>”, 1999. gada 19. oktobra lēmumu lietā</w:t>
      </w:r>
      <w:r w:rsidR="0006379E">
        <w:rPr>
          <w:rStyle w:val="sb8d990e2"/>
          <w:rFonts w:ascii="Times New Roman" w:hAnsi="Times New Roman" w:cs="Times New Roman"/>
          <w:i/>
          <w:iCs/>
          <w:sz w:val="24"/>
          <w:szCs w:val="24"/>
        </w:rPr>
        <w:t xml:space="preserve"> „</w:t>
      </w:r>
      <w:proofErr w:type="spellStart"/>
      <w:r w:rsidR="00E960FF" w:rsidRPr="00E960FF">
        <w:rPr>
          <w:rStyle w:val="sb8d990e2"/>
          <w:rFonts w:ascii="Times New Roman" w:hAnsi="Times New Roman" w:cs="Times New Roman"/>
          <w:i/>
          <w:iCs/>
          <w:sz w:val="24"/>
          <w:szCs w:val="24"/>
        </w:rPr>
        <w:t>Yildirim</w:t>
      </w:r>
      <w:proofErr w:type="spellEnd"/>
      <w:r w:rsidR="00E960FF" w:rsidRPr="00E960FF">
        <w:rPr>
          <w:rStyle w:val="sb8d990e2"/>
          <w:rFonts w:ascii="Times New Roman" w:hAnsi="Times New Roman" w:cs="Times New Roman"/>
          <w:i/>
          <w:iCs/>
          <w:sz w:val="24"/>
          <w:szCs w:val="24"/>
        </w:rPr>
        <w:t xml:space="preserve"> v. Austri”, iesnieguma Nr. </w:t>
      </w:r>
      <w:hyperlink r:id="rId20" w:history="1">
        <w:r w:rsidR="00E960FF" w:rsidRPr="00E960FF">
          <w:rPr>
            <w:rStyle w:val="Hyperlink"/>
            <w:rFonts w:ascii="Times New Roman" w:hAnsi="Times New Roman" w:cs="Times New Roman"/>
            <w:i/>
            <w:iCs/>
            <w:sz w:val="24"/>
            <w:szCs w:val="24"/>
          </w:rPr>
          <w:t>34308/96</w:t>
        </w:r>
      </w:hyperlink>
      <w:r w:rsidR="00B80861">
        <w:rPr>
          <w:rStyle w:val="Hyperlink"/>
          <w:rFonts w:ascii="Times New Roman" w:hAnsi="Times New Roman" w:cs="Times New Roman"/>
          <w:i/>
          <w:iCs/>
          <w:sz w:val="24"/>
          <w:szCs w:val="24"/>
        </w:rPr>
        <w:t>,</w:t>
      </w:r>
      <w:r w:rsidR="00E960FF" w:rsidRPr="00E960FF">
        <w:rPr>
          <w:rStyle w:val="sb8d990e2"/>
          <w:rFonts w:ascii="Times New Roman" w:hAnsi="Times New Roman" w:cs="Times New Roman"/>
          <w:i/>
          <w:iCs/>
          <w:sz w:val="24"/>
          <w:szCs w:val="24"/>
        </w:rPr>
        <w:t xml:space="preserve"> un 2010. gada 6. jūlija sprieduma lietā</w:t>
      </w:r>
      <w:r w:rsidR="0006379E">
        <w:rPr>
          <w:rStyle w:val="sb8d990e2"/>
          <w:rFonts w:ascii="Times New Roman" w:hAnsi="Times New Roman" w:cs="Times New Roman"/>
          <w:i/>
          <w:iCs/>
          <w:sz w:val="24"/>
          <w:szCs w:val="24"/>
        </w:rPr>
        <w:t xml:space="preserve"> „</w:t>
      </w:r>
      <w:proofErr w:type="spellStart"/>
      <w:r w:rsidR="00E960FF" w:rsidRPr="00E960FF">
        <w:rPr>
          <w:rStyle w:val="sb8d990e2"/>
          <w:rFonts w:ascii="Times New Roman" w:hAnsi="Times New Roman" w:cs="Times New Roman"/>
          <w:i/>
          <w:iCs/>
          <w:sz w:val="24"/>
          <w:szCs w:val="24"/>
        </w:rPr>
        <w:t>Backlund</w:t>
      </w:r>
      <w:proofErr w:type="spellEnd"/>
      <w:r w:rsidR="00E960FF" w:rsidRPr="00E960FF">
        <w:rPr>
          <w:rStyle w:val="sb8d990e2"/>
          <w:rFonts w:ascii="Times New Roman" w:hAnsi="Times New Roman" w:cs="Times New Roman"/>
          <w:i/>
          <w:iCs/>
          <w:sz w:val="24"/>
          <w:szCs w:val="24"/>
        </w:rPr>
        <w:t xml:space="preserve"> v. </w:t>
      </w:r>
      <w:proofErr w:type="spellStart"/>
      <w:r w:rsidR="00E960FF" w:rsidRPr="00E960FF">
        <w:rPr>
          <w:rStyle w:val="sb8d990e2"/>
          <w:rFonts w:ascii="Times New Roman" w:hAnsi="Times New Roman" w:cs="Times New Roman"/>
          <w:i/>
          <w:iCs/>
          <w:sz w:val="24"/>
          <w:szCs w:val="24"/>
        </w:rPr>
        <w:t>Finland</w:t>
      </w:r>
      <w:proofErr w:type="spellEnd"/>
      <w:r w:rsidR="00E960FF" w:rsidRPr="00E960FF">
        <w:rPr>
          <w:rStyle w:val="sb8d990e2"/>
          <w:rFonts w:ascii="Times New Roman" w:hAnsi="Times New Roman" w:cs="Times New Roman"/>
          <w:i/>
          <w:iCs/>
          <w:sz w:val="24"/>
          <w:szCs w:val="24"/>
        </w:rPr>
        <w:t>”, iesnieguma Nr. </w:t>
      </w:r>
      <w:hyperlink r:id="rId21" w:history="1">
        <w:r w:rsidR="00E960FF" w:rsidRPr="00E960FF">
          <w:rPr>
            <w:rStyle w:val="Hyperlink"/>
            <w:rFonts w:ascii="Times New Roman" w:hAnsi="Times New Roman" w:cs="Times New Roman"/>
            <w:i/>
            <w:iCs/>
            <w:sz w:val="24"/>
            <w:szCs w:val="24"/>
          </w:rPr>
          <w:t>36498/05</w:t>
        </w:r>
      </w:hyperlink>
      <w:r w:rsidR="00E960FF" w:rsidRPr="00E960FF">
        <w:rPr>
          <w:rStyle w:val="sb8d990e2"/>
          <w:rFonts w:ascii="Times New Roman" w:hAnsi="Times New Roman" w:cs="Times New Roman"/>
          <w:i/>
          <w:iCs/>
          <w:sz w:val="24"/>
          <w:szCs w:val="24"/>
        </w:rPr>
        <w:t>, 37. punktu</w:t>
      </w:r>
      <w:r w:rsidRPr="00581FD8">
        <w:rPr>
          <w:rStyle w:val="sb8d990e2"/>
          <w:rFonts w:ascii="Times New Roman" w:hAnsi="Times New Roman" w:cs="Times New Roman"/>
          <w:sz w:val="24"/>
          <w:szCs w:val="24"/>
        </w:rPr>
        <w:t>).</w:t>
      </w:r>
    </w:p>
    <w:p w14:paraId="156EBA70" w14:textId="65DA0DC6" w:rsidR="005E57B9" w:rsidRDefault="005E57B9" w:rsidP="00B90822">
      <w:pPr>
        <w:spacing w:line="240" w:lineRule="auto"/>
        <w:jc w:val="both"/>
        <w:rPr>
          <w:rStyle w:val="sb8d990e2"/>
          <w:rFonts w:ascii="Times New Roman" w:hAnsi="Times New Roman" w:cs="Times New Roman"/>
          <w:sz w:val="24"/>
          <w:szCs w:val="24"/>
        </w:rPr>
      </w:pPr>
      <w:r>
        <w:rPr>
          <w:rStyle w:val="sb8d990e2"/>
          <w:rFonts w:ascii="Times New Roman" w:hAnsi="Times New Roman" w:cs="Times New Roman"/>
          <w:sz w:val="24"/>
          <w:szCs w:val="24"/>
        </w:rPr>
        <w:t>[..]</w:t>
      </w:r>
    </w:p>
    <w:p w14:paraId="794F5518" w14:textId="14B168B1" w:rsidR="005E57B9" w:rsidRDefault="005E57B9" w:rsidP="00B90822">
      <w:pPr>
        <w:spacing w:line="240" w:lineRule="auto"/>
        <w:jc w:val="both"/>
        <w:rPr>
          <w:rStyle w:val="sb8d990e2"/>
          <w:rFonts w:ascii="Times New Roman" w:hAnsi="Times New Roman" w:cs="Times New Roman"/>
          <w:sz w:val="24"/>
          <w:szCs w:val="24"/>
        </w:rPr>
      </w:pPr>
      <w:r w:rsidRPr="005E57B9">
        <w:rPr>
          <w:rStyle w:val="sb8d990e2"/>
          <w:rFonts w:ascii="Times New Roman" w:hAnsi="Times New Roman" w:cs="Times New Roman"/>
          <w:sz w:val="24"/>
          <w:szCs w:val="24"/>
        </w:rPr>
        <w:t xml:space="preserve">90. Ņemot vērā iepriekš minēto, Tiesa </w:t>
      </w:r>
      <w:r>
        <w:rPr>
          <w:rStyle w:val="sb8d990e2"/>
          <w:rFonts w:ascii="Times New Roman" w:hAnsi="Times New Roman" w:cs="Times New Roman"/>
          <w:sz w:val="24"/>
          <w:szCs w:val="24"/>
        </w:rPr>
        <w:t>secina, ka nevar izslēgt</w:t>
      </w:r>
      <w:r w:rsidRPr="005E57B9">
        <w:rPr>
          <w:rStyle w:val="sb8d990e2"/>
          <w:rFonts w:ascii="Times New Roman" w:hAnsi="Times New Roman" w:cs="Times New Roman"/>
          <w:sz w:val="24"/>
          <w:szCs w:val="24"/>
        </w:rPr>
        <w:t xml:space="preserve">, ka iesniedzēja </w:t>
      </w:r>
      <w:r>
        <w:rPr>
          <w:rStyle w:val="sb8d990e2"/>
          <w:rFonts w:ascii="Times New Roman" w:hAnsi="Times New Roman" w:cs="Times New Roman"/>
          <w:sz w:val="24"/>
          <w:szCs w:val="24"/>
        </w:rPr>
        <w:t>iecerētās</w:t>
      </w:r>
      <w:r w:rsidRPr="005E57B9">
        <w:rPr>
          <w:rStyle w:val="sb8d990e2"/>
          <w:rFonts w:ascii="Times New Roman" w:hAnsi="Times New Roman" w:cs="Times New Roman"/>
          <w:sz w:val="24"/>
          <w:szCs w:val="24"/>
        </w:rPr>
        <w:t xml:space="preserve"> attiecības ar F. saskaņā ar 8. pantu bija</w:t>
      </w:r>
      <w:r w:rsidR="0006379E">
        <w:rPr>
          <w:rStyle w:val="sb8d990e2"/>
          <w:rFonts w:ascii="Times New Roman" w:hAnsi="Times New Roman" w:cs="Times New Roman"/>
          <w:sz w:val="24"/>
          <w:szCs w:val="24"/>
        </w:rPr>
        <w:t xml:space="preserve"> „</w:t>
      </w:r>
      <w:r w:rsidRPr="005E57B9">
        <w:rPr>
          <w:rStyle w:val="sb8d990e2"/>
          <w:rFonts w:ascii="Times New Roman" w:hAnsi="Times New Roman" w:cs="Times New Roman"/>
          <w:sz w:val="24"/>
          <w:szCs w:val="24"/>
        </w:rPr>
        <w:t xml:space="preserve">ģimenes dzīves” darbības jomā. Jebkurā gadījumā tiesisko attiecību noteikšana starp iesniedzēju un F. </w:t>
      </w:r>
      <w:r>
        <w:rPr>
          <w:rStyle w:val="sb8d990e2"/>
          <w:rFonts w:ascii="Times New Roman" w:hAnsi="Times New Roman" w:cs="Times New Roman"/>
          <w:sz w:val="24"/>
          <w:szCs w:val="24"/>
        </w:rPr>
        <w:t>–</w:t>
      </w:r>
      <w:r w:rsidRPr="005E57B9">
        <w:rPr>
          <w:rStyle w:val="sb8d990e2"/>
          <w:rFonts w:ascii="Times New Roman" w:hAnsi="Times New Roman" w:cs="Times New Roman"/>
          <w:sz w:val="24"/>
          <w:szCs w:val="24"/>
        </w:rPr>
        <w:t xml:space="preserve"> tas ir, vai iesniedzējam bija </w:t>
      </w:r>
      <w:r>
        <w:rPr>
          <w:rStyle w:val="sb8d990e2"/>
          <w:rFonts w:ascii="Times New Roman" w:hAnsi="Times New Roman" w:cs="Times New Roman"/>
          <w:sz w:val="24"/>
          <w:szCs w:val="24"/>
        </w:rPr>
        <w:t>tiesības uz saskarsmi ar F. un uz</w:t>
      </w:r>
      <w:r w:rsidRPr="005E57B9">
        <w:rPr>
          <w:rStyle w:val="sb8d990e2"/>
          <w:rFonts w:ascii="Times New Roman" w:hAnsi="Times New Roman" w:cs="Times New Roman"/>
          <w:sz w:val="24"/>
          <w:szCs w:val="24"/>
        </w:rPr>
        <w:t xml:space="preserve"> informācij</w:t>
      </w:r>
      <w:r>
        <w:rPr>
          <w:rStyle w:val="sb8d990e2"/>
          <w:rFonts w:ascii="Times New Roman" w:hAnsi="Times New Roman" w:cs="Times New Roman"/>
          <w:sz w:val="24"/>
          <w:szCs w:val="24"/>
        </w:rPr>
        <w:t>u</w:t>
      </w:r>
      <w:r w:rsidRPr="005E57B9">
        <w:rPr>
          <w:rStyle w:val="sb8d990e2"/>
          <w:rFonts w:ascii="Times New Roman" w:hAnsi="Times New Roman" w:cs="Times New Roman"/>
          <w:sz w:val="24"/>
          <w:szCs w:val="24"/>
        </w:rPr>
        <w:t xml:space="preserve"> par viņa person</w:t>
      </w:r>
      <w:r>
        <w:rPr>
          <w:rStyle w:val="sb8d990e2"/>
          <w:rFonts w:ascii="Times New Roman" w:hAnsi="Times New Roman" w:cs="Times New Roman"/>
          <w:sz w:val="24"/>
          <w:szCs w:val="24"/>
        </w:rPr>
        <w:t>iskajiem</w:t>
      </w:r>
      <w:r w:rsidRPr="005E57B9">
        <w:rPr>
          <w:rStyle w:val="sb8d990e2"/>
          <w:rFonts w:ascii="Times New Roman" w:hAnsi="Times New Roman" w:cs="Times New Roman"/>
          <w:sz w:val="24"/>
          <w:szCs w:val="24"/>
        </w:rPr>
        <w:t xml:space="preserve"> apstākļiem</w:t>
      </w:r>
      <w:r>
        <w:rPr>
          <w:rStyle w:val="sb8d990e2"/>
          <w:rFonts w:ascii="Times New Roman" w:hAnsi="Times New Roman" w:cs="Times New Roman"/>
          <w:sz w:val="24"/>
          <w:szCs w:val="24"/>
        </w:rPr>
        <w:t xml:space="preserve"> –,</w:t>
      </w:r>
      <w:r w:rsidRPr="005E57B9">
        <w:rPr>
          <w:rStyle w:val="sb8d990e2"/>
          <w:rFonts w:ascii="Times New Roman" w:hAnsi="Times New Roman" w:cs="Times New Roman"/>
          <w:sz w:val="24"/>
          <w:szCs w:val="24"/>
        </w:rPr>
        <w:t xml:space="preserve"> pat ja</w:t>
      </w:r>
      <w:r>
        <w:rPr>
          <w:rStyle w:val="sb8d990e2"/>
          <w:rFonts w:ascii="Times New Roman" w:hAnsi="Times New Roman" w:cs="Times New Roman"/>
          <w:sz w:val="24"/>
          <w:szCs w:val="24"/>
        </w:rPr>
        <w:t xml:space="preserve"> nav vērtējama kā</w:t>
      </w:r>
      <w:r w:rsidRPr="005E57B9">
        <w:rPr>
          <w:rStyle w:val="sb8d990e2"/>
          <w:rFonts w:ascii="Times New Roman" w:hAnsi="Times New Roman" w:cs="Times New Roman"/>
          <w:sz w:val="24"/>
          <w:szCs w:val="24"/>
        </w:rPr>
        <w:t xml:space="preserve"> ģimenes dzīve, attiecās uz būtisku pieteikuma iesniedzēja identitātes daļu un līdz ar to arī uz viņa</w:t>
      </w:r>
      <w:r w:rsidR="0006379E">
        <w:rPr>
          <w:rStyle w:val="sb8d990e2"/>
          <w:rFonts w:ascii="Times New Roman" w:hAnsi="Times New Roman" w:cs="Times New Roman"/>
          <w:sz w:val="24"/>
          <w:szCs w:val="24"/>
        </w:rPr>
        <w:t xml:space="preserve"> „</w:t>
      </w:r>
      <w:r w:rsidRPr="005E57B9">
        <w:rPr>
          <w:rStyle w:val="sb8d990e2"/>
          <w:rFonts w:ascii="Times New Roman" w:hAnsi="Times New Roman" w:cs="Times New Roman"/>
          <w:sz w:val="24"/>
          <w:szCs w:val="24"/>
        </w:rPr>
        <w:t xml:space="preserve">privāto dzīvi” </w:t>
      </w:r>
      <w:r>
        <w:rPr>
          <w:rStyle w:val="sb8d990e2"/>
          <w:rFonts w:ascii="Times New Roman" w:hAnsi="Times New Roman" w:cs="Times New Roman"/>
          <w:sz w:val="24"/>
          <w:szCs w:val="24"/>
        </w:rPr>
        <w:t xml:space="preserve">8. panta 1. punkta </w:t>
      </w:r>
      <w:r w:rsidRPr="005E57B9">
        <w:rPr>
          <w:rStyle w:val="sb8d990e2"/>
          <w:rFonts w:ascii="Times New Roman" w:hAnsi="Times New Roman" w:cs="Times New Roman"/>
          <w:sz w:val="24"/>
          <w:szCs w:val="24"/>
        </w:rPr>
        <w:t xml:space="preserve">izpratnē. </w:t>
      </w:r>
      <w:r>
        <w:rPr>
          <w:rStyle w:val="sb8d990e2"/>
          <w:rFonts w:ascii="Times New Roman" w:hAnsi="Times New Roman" w:cs="Times New Roman"/>
          <w:sz w:val="24"/>
          <w:szCs w:val="24"/>
        </w:rPr>
        <w:t>Nacionālo</w:t>
      </w:r>
      <w:r w:rsidRPr="005E57B9">
        <w:rPr>
          <w:rStyle w:val="sb8d990e2"/>
          <w:rFonts w:ascii="Times New Roman" w:hAnsi="Times New Roman" w:cs="Times New Roman"/>
          <w:sz w:val="24"/>
          <w:szCs w:val="24"/>
        </w:rPr>
        <w:t xml:space="preserve"> tiesu lēmums atteikt </w:t>
      </w:r>
      <w:r>
        <w:rPr>
          <w:rStyle w:val="sb8d990e2"/>
          <w:rFonts w:ascii="Times New Roman" w:hAnsi="Times New Roman" w:cs="Times New Roman"/>
          <w:sz w:val="24"/>
          <w:szCs w:val="24"/>
        </w:rPr>
        <w:t xml:space="preserve">iesniedzējam saskarsmes tiesības </w:t>
      </w:r>
      <w:r w:rsidRPr="005E57B9">
        <w:rPr>
          <w:rStyle w:val="sb8d990e2"/>
          <w:rFonts w:ascii="Times New Roman" w:hAnsi="Times New Roman" w:cs="Times New Roman"/>
          <w:sz w:val="24"/>
          <w:szCs w:val="24"/>
        </w:rPr>
        <w:t xml:space="preserve">un </w:t>
      </w:r>
      <w:r>
        <w:rPr>
          <w:rStyle w:val="sb8d990e2"/>
          <w:rFonts w:ascii="Times New Roman" w:hAnsi="Times New Roman" w:cs="Times New Roman"/>
          <w:sz w:val="24"/>
          <w:szCs w:val="24"/>
        </w:rPr>
        <w:t xml:space="preserve"> liegt tiesības uz </w:t>
      </w:r>
      <w:r w:rsidRPr="005E57B9">
        <w:rPr>
          <w:rStyle w:val="sb8d990e2"/>
          <w:rFonts w:ascii="Times New Roman" w:hAnsi="Times New Roman" w:cs="Times New Roman"/>
          <w:sz w:val="24"/>
          <w:szCs w:val="24"/>
        </w:rPr>
        <w:t xml:space="preserve">informāciju par </w:t>
      </w:r>
      <w:r>
        <w:rPr>
          <w:rStyle w:val="sb8d990e2"/>
          <w:rFonts w:ascii="Times New Roman" w:hAnsi="Times New Roman" w:cs="Times New Roman"/>
          <w:sz w:val="24"/>
          <w:szCs w:val="24"/>
        </w:rPr>
        <w:t>F.</w:t>
      </w:r>
      <w:r w:rsidRPr="005E57B9">
        <w:rPr>
          <w:rStyle w:val="sb8d990e2"/>
          <w:rFonts w:ascii="Times New Roman" w:hAnsi="Times New Roman" w:cs="Times New Roman"/>
          <w:sz w:val="24"/>
          <w:szCs w:val="24"/>
        </w:rPr>
        <w:t xml:space="preserve"> </w:t>
      </w:r>
      <w:r>
        <w:rPr>
          <w:rStyle w:val="sb8d990e2"/>
          <w:rFonts w:ascii="Times New Roman" w:hAnsi="Times New Roman" w:cs="Times New Roman"/>
          <w:sz w:val="24"/>
          <w:szCs w:val="24"/>
        </w:rPr>
        <w:t>katrā ziņa bija iejaukšanās</w:t>
      </w:r>
      <w:r w:rsidRPr="005E57B9">
        <w:rPr>
          <w:rStyle w:val="sb8d990e2"/>
          <w:rFonts w:ascii="Times New Roman" w:hAnsi="Times New Roman" w:cs="Times New Roman"/>
          <w:sz w:val="24"/>
          <w:szCs w:val="24"/>
        </w:rPr>
        <w:t xml:space="preserve"> </w:t>
      </w:r>
      <w:r>
        <w:rPr>
          <w:rStyle w:val="sb8d990e2"/>
          <w:rFonts w:ascii="Times New Roman" w:hAnsi="Times New Roman" w:cs="Times New Roman"/>
          <w:sz w:val="24"/>
          <w:szCs w:val="24"/>
        </w:rPr>
        <w:t>viņa</w:t>
      </w:r>
      <w:r w:rsidRPr="005E57B9">
        <w:rPr>
          <w:rStyle w:val="sb8d990e2"/>
          <w:rFonts w:ascii="Times New Roman" w:hAnsi="Times New Roman" w:cs="Times New Roman"/>
          <w:sz w:val="24"/>
          <w:szCs w:val="24"/>
        </w:rPr>
        <w:t xml:space="preserve"> tiesībā</w:t>
      </w:r>
      <w:r>
        <w:rPr>
          <w:rStyle w:val="sb8d990e2"/>
          <w:rFonts w:ascii="Times New Roman" w:hAnsi="Times New Roman" w:cs="Times New Roman"/>
          <w:sz w:val="24"/>
          <w:szCs w:val="24"/>
        </w:rPr>
        <w:t xml:space="preserve">s uz privātās dzīves neaizskaramību </w:t>
      </w:r>
      <w:r w:rsidRPr="005E57B9">
        <w:rPr>
          <w:rStyle w:val="sb8d990e2"/>
          <w:rFonts w:ascii="Times New Roman" w:hAnsi="Times New Roman" w:cs="Times New Roman"/>
          <w:sz w:val="24"/>
          <w:szCs w:val="24"/>
        </w:rPr>
        <w:t>(</w:t>
      </w:r>
      <w:r w:rsidRPr="00D13E7D">
        <w:rPr>
          <w:rStyle w:val="sb8d990e2"/>
          <w:rFonts w:ascii="Times New Roman" w:hAnsi="Times New Roman" w:cs="Times New Roman"/>
          <w:sz w:val="24"/>
          <w:szCs w:val="24"/>
        </w:rPr>
        <w:t>sk.</w:t>
      </w:r>
      <w:r w:rsidRPr="005E57B9">
        <w:rPr>
          <w:rStyle w:val="sb8d990e2"/>
          <w:rFonts w:ascii="Times New Roman" w:hAnsi="Times New Roman" w:cs="Times New Roman"/>
          <w:i/>
          <w:iCs/>
          <w:sz w:val="24"/>
          <w:szCs w:val="24"/>
        </w:rPr>
        <w:t xml:space="preserve"> </w:t>
      </w:r>
      <w:proofErr w:type="spellStart"/>
      <w:r w:rsidRPr="005E57B9">
        <w:rPr>
          <w:rStyle w:val="sb8d990e2"/>
          <w:rFonts w:ascii="Times New Roman" w:hAnsi="Times New Roman" w:cs="Times New Roman"/>
          <w:i/>
          <w:iCs/>
          <w:sz w:val="24"/>
          <w:szCs w:val="24"/>
        </w:rPr>
        <w:t>mutatis</w:t>
      </w:r>
      <w:proofErr w:type="spellEnd"/>
      <w:r w:rsidRPr="005E57B9">
        <w:rPr>
          <w:rStyle w:val="sb8d990e2"/>
          <w:rFonts w:ascii="Times New Roman" w:hAnsi="Times New Roman" w:cs="Times New Roman"/>
          <w:i/>
          <w:iCs/>
          <w:sz w:val="24"/>
          <w:szCs w:val="24"/>
        </w:rPr>
        <w:t xml:space="preserve"> </w:t>
      </w:r>
      <w:proofErr w:type="spellStart"/>
      <w:r w:rsidRPr="005E57B9">
        <w:rPr>
          <w:rStyle w:val="sb8d990e2"/>
          <w:rFonts w:ascii="Times New Roman" w:hAnsi="Times New Roman" w:cs="Times New Roman"/>
          <w:i/>
          <w:iCs/>
          <w:sz w:val="24"/>
          <w:szCs w:val="24"/>
        </w:rPr>
        <w:t>mutandis</w:t>
      </w:r>
      <w:proofErr w:type="spellEnd"/>
      <w:r w:rsidRPr="005E57B9">
        <w:rPr>
          <w:rStyle w:val="sb8d990e2"/>
          <w:rFonts w:ascii="Times New Roman" w:hAnsi="Times New Roman" w:cs="Times New Roman"/>
          <w:i/>
          <w:iCs/>
          <w:sz w:val="24"/>
          <w:szCs w:val="24"/>
        </w:rPr>
        <w:t xml:space="preserve"> iepriekš citētā</w:t>
      </w:r>
      <w:r w:rsidR="0006379E">
        <w:rPr>
          <w:rStyle w:val="sb8d990e2"/>
          <w:rFonts w:ascii="Times New Roman" w:hAnsi="Times New Roman" w:cs="Times New Roman"/>
          <w:i/>
          <w:iCs/>
          <w:sz w:val="24"/>
          <w:szCs w:val="24"/>
        </w:rPr>
        <w:t xml:space="preserve"> „</w:t>
      </w:r>
      <w:proofErr w:type="spellStart"/>
      <w:r w:rsidRPr="005E57B9">
        <w:rPr>
          <w:rStyle w:val="sb8d990e2"/>
          <w:rFonts w:ascii="Times New Roman" w:hAnsi="Times New Roman" w:cs="Times New Roman"/>
          <w:i/>
          <w:iCs/>
          <w:sz w:val="24"/>
          <w:szCs w:val="24"/>
        </w:rPr>
        <w:t>Anayo</w:t>
      </w:r>
      <w:proofErr w:type="spellEnd"/>
      <w:r w:rsidRPr="005E57B9">
        <w:rPr>
          <w:rStyle w:val="sb8d990e2"/>
          <w:rFonts w:ascii="Times New Roman" w:hAnsi="Times New Roman" w:cs="Times New Roman"/>
          <w:i/>
          <w:iCs/>
          <w:sz w:val="24"/>
          <w:szCs w:val="24"/>
        </w:rPr>
        <w:t xml:space="preserve"> v. </w:t>
      </w:r>
      <w:proofErr w:type="spellStart"/>
      <w:r w:rsidRPr="005E57B9">
        <w:rPr>
          <w:rStyle w:val="sb8d990e2"/>
          <w:rFonts w:ascii="Times New Roman" w:hAnsi="Times New Roman" w:cs="Times New Roman"/>
          <w:i/>
          <w:iCs/>
          <w:sz w:val="24"/>
          <w:szCs w:val="24"/>
        </w:rPr>
        <w:t>Germany</w:t>
      </w:r>
      <w:proofErr w:type="spellEnd"/>
      <w:r w:rsidRPr="005E57B9">
        <w:rPr>
          <w:rStyle w:val="sb8d990e2"/>
          <w:rFonts w:ascii="Times New Roman" w:hAnsi="Times New Roman" w:cs="Times New Roman"/>
          <w:i/>
          <w:iCs/>
          <w:sz w:val="24"/>
          <w:szCs w:val="24"/>
        </w:rPr>
        <w:t xml:space="preserve"> 62. punktu</w:t>
      </w:r>
      <w:r w:rsidRPr="005E57B9">
        <w:rPr>
          <w:rStyle w:val="sb8d990e2"/>
          <w:rFonts w:ascii="Times New Roman" w:hAnsi="Times New Roman" w:cs="Times New Roman"/>
          <w:sz w:val="24"/>
          <w:szCs w:val="24"/>
        </w:rPr>
        <w:t>).</w:t>
      </w:r>
    </w:p>
    <w:p w14:paraId="7F7C34F2" w14:textId="2C710789" w:rsidR="00A874F9" w:rsidRDefault="00A874F9" w:rsidP="00A874F9">
      <w:pPr>
        <w:numPr>
          <w:ilvl w:val="0"/>
          <w:numId w:val="1"/>
        </w:numPr>
        <w:spacing w:after="200" w:line="240" w:lineRule="auto"/>
        <w:jc w:val="both"/>
        <w:rPr>
          <w:rStyle w:val="sb8d990e2"/>
          <w:rFonts w:ascii="Times New Roman" w:hAnsi="Times New Roman" w:cs="Times New Roman"/>
          <w:sz w:val="24"/>
          <w:szCs w:val="24"/>
        </w:rPr>
      </w:pPr>
      <w:r>
        <w:rPr>
          <w:rStyle w:val="sb8d990e2"/>
          <w:rFonts w:ascii="Times New Roman" w:hAnsi="Times New Roman" w:cs="Times New Roman"/>
          <w:sz w:val="24"/>
          <w:szCs w:val="24"/>
        </w:rPr>
        <w:t>V</w:t>
      </w:r>
      <w:r w:rsidR="00B90822" w:rsidRPr="00B90822">
        <w:rPr>
          <w:rStyle w:val="sb8d990e2"/>
          <w:rFonts w:ascii="Times New Roman" w:hAnsi="Times New Roman" w:cs="Times New Roman"/>
          <w:sz w:val="24"/>
          <w:szCs w:val="24"/>
        </w:rPr>
        <w:t>ai iejaukšanās</w:t>
      </w:r>
      <w:r>
        <w:rPr>
          <w:rStyle w:val="sb8d990e2"/>
          <w:rFonts w:ascii="Times New Roman" w:hAnsi="Times New Roman" w:cs="Times New Roman"/>
          <w:sz w:val="24"/>
          <w:szCs w:val="24"/>
        </w:rPr>
        <w:t xml:space="preserve"> tiesībās</w:t>
      </w:r>
      <w:r w:rsidR="00B90822" w:rsidRPr="00B90822">
        <w:rPr>
          <w:rStyle w:val="sb8d990e2"/>
          <w:rFonts w:ascii="Times New Roman" w:hAnsi="Times New Roman" w:cs="Times New Roman"/>
          <w:sz w:val="24"/>
          <w:szCs w:val="24"/>
        </w:rPr>
        <w:t xml:space="preserve"> ir attaisnojama</w:t>
      </w:r>
    </w:p>
    <w:p w14:paraId="27B41C28" w14:textId="637D04A8" w:rsidR="00C2402F" w:rsidRDefault="00C2402F" w:rsidP="00A874F9">
      <w:pPr>
        <w:spacing w:after="200" w:line="240" w:lineRule="auto"/>
        <w:jc w:val="both"/>
        <w:rPr>
          <w:rStyle w:val="sb8d990e2"/>
          <w:rFonts w:ascii="Times New Roman" w:hAnsi="Times New Roman" w:cs="Times New Roman"/>
          <w:sz w:val="24"/>
          <w:szCs w:val="24"/>
        </w:rPr>
      </w:pPr>
      <w:r>
        <w:rPr>
          <w:rStyle w:val="sb8d990e2"/>
          <w:rFonts w:ascii="Times New Roman" w:hAnsi="Times New Roman" w:cs="Times New Roman"/>
          <w:sz w:val="24"/>
          <w:szCs w:val="24"/>
        </w:rPr>
        <w:t>[..]</w:t>
      </w:r>
    </w:p>
    <w:p w14:paraId="29DE2E5F" w14:textId="5EEC2086" w:rsidR="00C2402F" w:rsidRDefault="00A874F9" w:rsidP="00A874F9">
      <w:pPr>
        <w:spacing w:after="200" w:line="240" w:lineRule="auto"/>
        <w:jc w:val="both"/>
        <w:rPr>
          <w:rStyle w:val="sb8d990e2"/>
          <w:rFonts w:ascii="Times New Roman" w:hAnsi="Times New Roman" w:cs="Times New Roman"/>
          <w:sz w:val="24"/>
          <w:szCs w:val="24"/>
        </w:rPr>
      </w:pPr>
      <w:r>
        <w:rPr>
          <w:rStyle w:val="sb8d990e2"/>
          <w:rFonts w:ascii="Times New Roman" w:hAnsi="Times New Roman" w:cs="Times New Roman"/>
          <w:sz w:val="24"/>
          <w:szCs w:val="24"/>
        </w:rPr>
        <w:t>9</w:t>
      </w:r>
      <w:r w:rsidR="00C2402F">
        <w:rPr>
          <w:rStyle w:val="sb8d990e2"/>
          <w:rFonts w:ascii="Times New Roman" w:hAnsi="Times New Roman" w:cs="Times New Roman"/>
          <w:sz w:val="24"/>
          <w:szCs w:val="24"/>
        </w:rPr>
        <w:t>3</w:t>
      </w:r>
      <w:r>
        <w:rPr>
          <w:rStyle w:val="sb8d990e2"/>
          <w:rFonts w:ascii="Times New Roman" w:hAnsi="Times New Roman" w:cs="Times New Roman"/>
          <w:sz w:val="24"/>
          <w:szCs w:val="24"/>
        </w:rPr>
        <w:t xml:space="preserve">. </w:t>
      </w:r>
      <w:r w:rsidR="00C2402F" w:rsidRPr="00C2402F">
        <w:rPr>
          <w:rStyle w:val="sb8d990e2"/>
          <w:rFonts w:ascii="Times New Roman" w:hAnsi="Times New Roman" w:cs="Times New Roman"/>
          <w:sz w:val="24"/>
          <w:szCs w:val="24"/>
        </w:rPr>
        <w:t>Lai noteiktu, vai iejaukšanās ir</w:t>
      </w:r>
      <w:r w:rsidR="0006379E">
        <w:rPr>
          <w:rStyle w:val="sb8d990e2"/>
          <w:rFonts w:ascii="Times New Roman" w:hAnsi="Times New Roman" w:cs="Times New Roman"/>
          <w:sz w:val="24"/>
          <w:szCs w:val="24"/>
        </w:rPr>
        <w:t xml:space="preserve"> „</w:t>
      </w:r>
      <w:r w:rsidR="00C2402F" w:rsidRPr="00C2402F">
        <w:rPr>
          <w:rStyle w:val="sb8d990e2"/>
          <w:rFonts w:ascii="Times New Roman" w:hAnsi="Times New Roman" w:cs="Times New Roman"/>
          <w:sz w:val="24"/>
          <w:szCs w:val="24"/>
        </w:rPr>
        <w:t xml:space="preserve">nepieciešama demokrātiskā sabiedrībā”, Tiesa atsaucas uz judikatūrā noteiktajiem principiem. Tai ir jāizvērtē, vai, ņemot vērā lietu kopumā, norādītie iemesli, lai attaisnotu </w:t>
      </w:r>
      <w:r w:rsidR="00C2402F">
        <w:rPr>
          <w:rStyle w:val="sb8d990e2"/>
          <w:rFonts w:ascii="Times New Roman" w:hAnsi="Times New Roman" w:cs="Times New Roman"/>
          <w:sz w:val="24"/>
          <w:szCs w:val="24"/>
        </w:rPr>
        <w:t xml:space="preserve">šo </w:t>
      </w:r>
      <w:r w:rsidR="00C2402F" w:rsidRPr="00C2402F">
        <w:rPr>
          <w:rStyle w:val="sb8d990e2"/>
          <w:rFonts w:ascii="Times New Roman" w:hAnsi="Times New Roman" w:cs="Times New Roman"/>
          <w:sz w:val="24"/>
          <w:szCs w:val="24"/>
        </w:rPr>
        <w:t>iejaukšan</w:t>
      </w:r>
      <w:r w:rsidR="00C2402F">
        <w:rPr>
          <w:rStyle w:val="sb8d990e2"/>
          <w:rFonts w:ascii="Times New Roman" w:hAnsi="Times New Roman" w:cs="Times New Roman"/>
          <w:sz w:val="24"/>
          <w:szCs w:val="24"/>
        </w:rPr>
        <w:t xml:space="preserve">os, </w:t>
      </w:r>
      <w:r w:rsidR="00C2402F" w:rsidRPr="00C2402F">
        <w:rPr>
          <w:rStyle w:val="sb8d990e2"/>
          <w:rFonts w:ascii="Times New Roman" w:hAnsi="Times New Roman" w:cs="Times New Roman"/>
          <w:sz w:val="24"/>
          <w:szCs w:val="24"/>
        </w:rPr>
        <w:t>bija atbilstoš</w:t>
      </w:r>
      <w:r w:rsidR="00C2402F">
        <w:rPr>
          <w:rStyle w:val="sb8d990e2"/>
          <w:rFonts w:ascii="Times New Roman" w:hAnsi="Times New Roman" w:cs="Times New Roman"/>
          <w:sz w:val="24"/>
          <w:szCs w:val="24"/>
        </w:rPr>
        <w:t>i</w:t>
      </w:r>
      <w:r w:rsidR="00C2402F" w:rsidRPr="00C2402F">
        <w:rPr>
          <w:rStyle w:val="sb8d990e2"/>
          <w:rFonts w:ascii="Times New Roman" w:hAnsi="Times New Roman" w:cs="Times New Roman"/>
          <w:sz w:val="24"/>
          <w:szCs w:val="24"/>
        </w:rPr>
        <w:t xml:space="preserve"> un pietiekam</w:t>
      </w:r>
      <w:r w:rsidR="00C2402F">
        <w:rPr>
          <w:rStyle w:val="sb8d990e2"/>
          <w:rFonts w:ascii="Times New Roman" w:hAnsi="Times New Roman" w:cs="Times New Roman"/>
          <w:sz w:val="24"/>
          <w:szCs w:val="24"/>
        </w:rPr>
        <w:t>i</w:t>
      </w:r>
      <w:r w:rsidR="00C2402F" w:rsidRPr="00C2402F">
        <w:rPr>
          <w:rStyle w:val="sb8d990e2"/>
          <w:rFonts w:ascii="Times New Roman" w:hAnsi="Times New Roman" w:cs="Times New Roman"/>
          <w:sz w:val="24"/>
          <w:szCs w:val="24"/>
        </w:rPr>
        <w:t xml:space="preserve"> 8.</w:t>
      </w:r>
      <w:r w:rsidR="00C2402F">
        <w:rPr>
          <w:rStyle w:val="sb8d990e2"/>
          <w:rFonts w:ascii="Times New Roman" w:hAnsi="Times New Roman" w:cs="Times New Roman"/>
          <w:sz w:val="24"/>
          <w:szCs w:val="24"/>
        </w:rPr>
        <w:t> </w:t>
      </w:r>
      <w:r w:rsidR="00C2402F" w:rsidRPr="00C2402F">
        <w:rPr>
          <w:rStyle w:val="sb8d990e2"/>
          <w:rFonts w:ascii="Times New Roman" w:hAnsi="Times New Roman" w:cs="Times New Roman"/>
          <w:sz w:val="24"/>
          <w:szCs w:val="24"/>
        </w:rPr>
        <w:t>panta 2.</w:t>
      </w:r>
      <w:r w:rsidR="00C2402F">
        <w:rPr>
          <w:rStyle w:val="sb8d990e2"/>
          <w:rFonts w:ascii="Times New Roman" w:hAnsi="Times New Roman" w:cs="Times New Roman"/>
          <w:sz w:val="24"/>
          <w:szCs w:val="24"/>
        </w:rPr>
        <w:t> </w:t>
      </w:r>
      <w:r w:rsidR="00C2402F" w:rsidRPr="00C2402F">
        <w:rPr>
          <w:rStyle w:val="sb8d990e2"/>
          <w:rFonts w:ascii="Times New Roman" w:hAnsi="Times New Roman" w:cs="Times New Roman"/>
          <w:sz w:val="24"/>
          <w:szCs w:val="24"/>
        </w:rPr>
        <w:t xml:space="preserve">punkta izpratnē </w:t>
      </w:r>
      <w:proofErr w:type="gramStart"/>
      <w:r w:rsidR="00C2402F" w:rsidRPr="00C2402F">
        <w:rPr>
          <w:rStyle w:val="sb8d990e2"/>
          <w:rFonts w:ascii="Times New Roman" w:hAnsi="Times New Roman" w:cs="Times New Roman"/>
          <w:sz w:val="24"/>
          <w:szCs w:val="24"/>
        </w:rPr>
        <w:t>(</w:t>
      </w:r>
      <w:proofErr w:type="gramEnd"/>
      <w:r w:rsidR="00534DBE" w:rsidRPr="00D13E7D">
        <w:rPr>
          <w:rStyle w:val="sb8d990e2"/>
          <w:rFonts w:ascii="Times New Roman" w:hAnsi="Times New Roman" w:cs="Times New Roman"/>
          <w:sz w:val="24"/>
          <w:szCs w:val="24"/>
        </w:rPr>
        <w:t xml:space="preserve">sk. </w:t>
      </w:r>
      <w:proofErr w:type="spellStart"/>
      <w:r w:rsidR="00534DBE" w:rsidRPr="00D13E7D">
        <w:rPr>
          <w:rStyle w:val="sb8d990e2"/>
          <w:rFonts w:ascii="Times New Roman" w:hAnsi="Times New Roman" w:cs="Times New Roman"/>
          <w:sz w:val="24"/>
          <w:szCs w:val="24"/>
        </w:rPr>
        <w:t>citstarp</w:t>
      </w:r>
      <w:proofErr w:type="spellEnd"/>
      <w:r w:rsidR="00C2402F" w:rsidRPr="006E5E89">
        <w:rPr>
          <w:rStyle w:val="sb8d990e2"/>
          <w:rFonts w:ascii="Times New Roman" w:hAnsi="Times New Roman" w:cs="Times New Roman"/>
          <w:i/>
          <w:iCs/>
          <w:sz w:val="24"/>
          <w:szCs w:val="24"/>
        </w:rPr>
        <w:t xml:space="preserve"> </w:t>
      </w:r>
      <w:r w:rsidR="006E5E89" w:rsidRPr="006E5E89">
        <w:rPr>
          <w:rStyle w:val="sb8d990e2"/>
          <w:rFonts w:ascii="Times New Roman" w:hAnsi="Times New Roman" w:cs="Times New Roman"/>
          <w:i/>
          <w:iCs/>
          <w:sz w:val="24"/>
          <w:szCs w:val="24"/>
        </w:rPr>
        <w:t xml:space="preserve">2001. gada </w:t>
      </w:r>
      <w:r w:rsidR="006E5E89">
        <w:rPr>
          <w:rStyle w:val="sb8d990e2"/>
          <w:rFonts w:ascii="Times New Roman" w:hAnsi="Times New Roman" w:cs="Times New Roman"/>
          <w:i/>
          <w:iCs/>
          <w:sz w:val="24"/>
          <w:szCs w:val="24"/>
        </w:rPr>
        <w:t xml:space="preserve">10. maija </w:t>
      </w:r>
      <w:r w:rsidR="006E5E89" w:rsidRPr="006E5E89">
        <w:rPr>
          <w:rStyle w:val="sb8d990e2"/>
          <w:rFonts w:ascii="Times New Roman" w:hAnsi="Times New Roman" w:cs="Times New Roman"/>
          <w:i/>
          <w:iCs/>
          <w:sz w:val="24"/>
          <w:szCs w:val="24"/>
        </w:rPr>
        <w:t>sprieduma</w:t>
      </w:r>
      <w:r w:rsidR="006E5E89">
        <w:rPr>
          <w:rStyle w:val="sb8d990e2"/>
          <w:rFonts w:ascii="Times New Roman" w:hAnsi="Times New Roman" w:cs="Times New Roman"/>
          <w:i/>
          <w:iCs/>
          <w:sz w:val="24"/>
          <w:szCs w:val="24"/>
        </w:rPr>
        <w:t xml:space="preserve"> (</w:t>
      </w:r>
      <w:r w:rsidR="006E5E89" w:rsidRPr="006E5E89">
        <w:rPr>
          <w:rStyle w:val="sb8d990e2"/>
          <w:rFonts w:ascii="Times New Roman" w:hAnsi="Times New Roman" w:cs="Times New Roman"/>
          <w:i/>
          <w:iCs/>
          <w:sz w:val="24"/>
          <w:szCs w:val="24"/>
        </w:rPr>
        <w:t>Lielā palāta</w:t>
      </w:r>
      <w:r w:rsidR="006E5E89">
        <w:rPr>
          <w:rStyle w:val="sb8d990e2"/>
          <w:rFonts w:ascii="Times New Roman" w:hAnsi="Times New Roman" w:cs="Times New Roman"/>
          <w:i/>
          <w:iCs/>
          <w:sz w:val="24"/>
          <w:szCs w:val="24"/>
        </w:rPr>
        <w:t>)</w:t>
      </w:r>
      <w:r w:rsidR="006E5E89" w:rsidRPr="006E5E89">
        <w:rPr>
          <w:rStyle w:val="sb8d990e2"/>
          <w:rFonts w:ascii="Times New Roman" w:hAnsi="Times New Roman" w:cs="Times New Roman"/>
          <w:i/>
          <w:iCs/>
          <w:sz w:val="24"/>
          <w:szCs w:val="24"/>
        </w:rPr>
        <w:t xml:space="preserve"> lietā</w:t>
      </w:r>
      <w:r w:rsidR="0006379E">
        <w:rPr>
          <w:rStyle w:val="sb8d990e2"/>
          <w:rFonts w:ascii="Times New Roman" w:hAnsi="Times New Roman" w:cs="Times New Roman"/>
          <w:i/>
          <w:iCs/>
          <w:sz w:val="24"/>
          <w:szCs w:val="24"/>
        </w:rPr>
        <w:t xml:space="preserve"> „</w:t>
      </w:r>
      <w:r w:rsidR="00C2402F" w:rsidRPr="006E5E89">
        <w:rPr>
          <w:rStyle w:val="sb8d990e2"/>
          <w:rFonts w:ascii="Times New Roman" w:hAnsi="Times New Roman" w:cs="Times New Roman"/>
          <w:i/>
          <w:iCs/>
          <w:sz w:val="24"/>
          <w:szCs w:val="24"/>
        </w:rPr>
        <w:t xml:space="preserve">T.P. </w:t>
      </w:r>
      <w:proofErr w:type="spellStart"/>
      <w:r w:rsidR="00C2402F" w:rsidRPr="006E5E89">
        <w:rPr>
          <w:rStyle w:val="sb8d990e2"/>
          <w:rFonts w:ascii="Times New Roman" w:hAnsi="Times New Roman" w:cs="Times New Roman"/>
          <w:i/>
          <w:iCs/>
          <w:sz w:val="24"/>
          <w:szCs w:val="24"/>
        </w:rPr>
        <w:t>and</w:t>
      </w:r>
      <w:proofErr w:type="spellEnd"/>
      <w:r w:rsidR="00C2402F" w:rsidRPr="006E5E89">
        <w:rPr>
          <w:rStyle w:val="sb8d990e2"/>
          <w:rFonts w:ascii="Times New Roman" w:hAnsi="Times New Roman" w:cs="Times New Roman"/>
          <w:i/>
          <w:iCs/>
          <w:sz w:val="24"/>
          <w:szCs w:val="24"/>
        </w:rPr>
        <w:t xml:space="preserve"> K.M. v. </w:t>
      </w:r>
      <w:proofErr w:type="spellStart"/>
      <w:r w:rsidR="00C2402F" w:rsidRPr="006E5E89">
        <w:rPr>
          <w:rStyle w:val="sb8d990e2"/>
          <w:rFonts w:ascii="Times New Roman" w:hAnsi="Times New Roman" w:cs="Times New Roman"/>
          <w:i/>
          <w:iCs/>
          <w:sz w:val="24"/>
          <w:szCs w:val="24"/>
        </w:rPr>
        <w:t>the</w:t>
      </w:r>
      <w:proofErr w:type="spellEnd"/>
      <w:r w:rsidR="00C2402F" w:rsidRPr="006E5E89">
        <w:rPr>
          <w:rStyle w:val="sb8d990e2"/>
          <w:rFonts w:ascii="Times New Roman" w:hAnsi="Times New Roman" w:cs="Times New Roman"/>
          <w:i/>
          <w:iCs/>
          <w:sz w:val="24"/>
          <w:szCs w:val="24"/>
        </w:rPr>
        <w:t xml:space="preserve"> </w:t>
      </w:r>
      <w:proofErr w:type="spellStart"/>
      <w:r w:rsidR="00C2402F" w:rsidRPr="006E5E89">
        <w:rPr>
          <w:rStyle w:val="sb8d990e2"/>
          <w:rFonts w:ascii="Times New Roman" w:hAnsi="Times New Roman" w:cs="Times New Roman"/>
          <w:i/>
          <w:iCs/>
          <w:sz w:val="24"/>
          <w:szCs w:val="24"/>
        </w:rPr>
        <w:t>United</w:t>
      </w:r>
      <w:proofErr w:type="spellEnd"/>
      <w:r w:rsidR="00C2402F" w:rsidRPr="006E5E89">
        <w:rPr>
          <w:rStyle w:val="sb8d990e2"/>
          <w:rFonts w:ascii="Times New Roman" w:hAnsi="Times New Roman" w:cs="Times New Roman"/>
          <w:i/>
          <w:iCs/>
          <w:sz w:val="24"/>
          <w:szCs w:val="24"/>
        </w:rPr>
        <w:t xml:space="preserve"> </w:t>
      </w:r>
      <w:proofErr w:type="spellStart"/>
      <w:r w:rsidR="00C2402F" w:rsidRPr="006E5E89">
        <w:rPr>
          <w:rStyle w:val="sb8d990e2"/>
          <w:rFonts w:ascii="Times New Roman" w:hAnsi="Times New Roman" w:cs="Times New Roman"/>
          <w:i/>
          <w:iCs/>
          <w:sz w:val="24"/>
          <w:szCs w:val="24"/>
        </w:rPr>
        <w:t>Kingdom</w:t>
      </w:r>
      <w:proofErr w:type="spellEnd"/>
      <w:r w:rsidR="006E5E89" w:rsidRPr="006E5E89">
        <w:rPr>
          <w:rStyle w:val="sb8d990e2"/>
          <w:rFonts w:ascii="Times New Roman" w:hAnsi="Times New Roman" w:cs="Times New Roman"/>
          <w:i/>
          <w:iCs/>
          <w:sz w:val="24"/>
          <w:szCs w:val="24"/>
        </w:rPr>
        <w:t>”, iesnieguma Nr. </w:t>
      </w:r>
      <w:hyperlink r:id="rId22" w:history="1">
        <w:r w:rsidR="00C2402F" w:rsidRPr="006E5E89">
          <w:rPr>
            <w:rStyle w:val="Hyperlink"/>
            <w:rFonts w:ascii="Times New Roman" w:hAnsi="Times New Roman" w:cs="Times New Roman"/>
            <w:i/>
            <w:iCs/>
            <w:sz w:val="24"/>
            <w:szCs w:val="24"/>
          </w:rPr>
          <w:t>28945/95</w:t>
        </w:r>
      </w:hyperlink>
      <w:r w:rsidR="00C2402F" w:rsidRPr="006E5E89">
        <w:rPr>
          <w:rStyle w:val="sb8d990e2"/>
          <w:rFonts w:ascii="Times New Roman" w:hAnsi="Times New Roman" w:cs="Times New Roman"/>
          <w:i/>
          <w:iCs/>
          <w:sz w:val="24"/>
          <w:szCs w:val="24"/>
        </w:rPr>
        <w:t>,</w:t>
      </w:r>
      <w:r w:rsidR="006E5E89" w:rsidRPr="006E5E89">
        <w:rPr>
          <w:rStyle w:val="sb8d990e2"/>
          <w:rFonts w:ascii="Times New Roman" w:hAnsi="Times New Roman" w:cs="Times New Roman"/>
          <w:i/>
          <w:iCs/>
          <w:sz w:val="24"/>
          <w:szCs w:val="24"/>
        </w:rPr>
        <w:t xml:space="preserve"> </w:t>
      </w:r>
      <w:r w:rsidR="00C2402F" w:rsidRPr="006E5E89">
        <w:rPr>
          <w:rStyle w:val="sb8d990e2"/>
          <w:rFonts w:ascii="Times New Roman" w:hAnsi="Times New Roman" w:cs="Times New Roman"/>
          <w:i/>
          <w:iCs/>
          <w:sz w:val="24"/>
          <w:szCs w:val="24"/>
        </w:rPr>
        <w:t>70</w:t>
      </w:r>
      <w:r w:rsidR="006E5E89" w:rsidRPr="006E5E89">
        <w:rPr>
          <w:rStyle w:val="sb8d990e2"/>
          <w:rFonts w:ascii="Times New Roman" w:hAnsi="Times New Roman" w:cs="Times New Roman"/>
          <w:i/>
          <w:iCs/>
          <w:sz w:val="24"/>
          <w:szCs w:val="24"/>
        </w:rPr>
        <w:t>. punktu un 2003. gada 8. jūlija sprieduma (Lielā palāta) lietā</w:t>
      </w:r>
      <w:r w:rsidR="0006379E">
        <w:rPr>
          <w:rStyle w:val="sb8d990e2"/>
          <w:rFonts w:ascii="Times New Roman" w:hAnsi="Times New Roman" w:cs="Times New Roman"/>
          <w:i/>
          <w:iCs/>
          <w:sz w:val="24"/>
          <w:szCs w:val="24"/>
        </w:rPr>
        <w:t xml:space="preserve"> „</w:t>
      </w:r>
      <w:proofErr w:type="spellStart"/>
      <w:r w:rsidR="00C2402F" w:rsidRPr="006E5E89">
        <w:rPr>
          <w:rStyle w:val="sb8d990e2"/>
          <w:rFonts w:ascii="Times New Roman" w:hAnsi="Times New Roman" w:cs="Times New Roman"/>
          <w:i/>
          <w:iCs/>
          <w:sz w:val="24"/>
          <w:szCs w:val="24"/>
        </w:rPr>
        <w:t>Sommerfeld</w:t>
      </w:r>
      <w:proofErr w:type="spellEnd"/>
      <w:r w:rsidR="00C2402F" w:rsidRPr="006E5E89">
        <w:rPr>
          <w:rStyle w:val="sb8d990e2"/>
          <w:rFonts w:ascii="Times New Roman" w:hAnsi="Times New Roman" w:cs="Times New Roman"/>
          <w:i/>
          <w:iCs/>
          <w:sz w:val="24"/>
          <w:szCs w:val="24"/>
        </w:rPr>
        <w:t xml:space="preserve"> v. </w:t>
      </w:r>
      <w:proofErr w:type="spellStart"/>
      <w:r w:rsidR="00C2402F" w:rsidRPr="006E5E89">
        <w:rPr>
          <w:rStyle w:val="sb8d990e2"/>
          <w:rFonts w:ascii="Times New Roman" w:hAnsi="Times New Roman" w:cs="Times New Roman"/>
          <w:i/>
          <w:iCs/>
          <w:sz w:val="24"/>
          <w:szCs w:val="24"/>
        </w:rPr>
        <w:t>Germany</w:t>
      </w:r>
      <w:proofErr w:type="spellEnd"/>
      <w:r w:rsidR="006E5E89" w:rsidRPr="006E5E89">
        <w:rPr>
          <w:rStyle w:val="sb8d990e2"/>
          <w:rFonts w:ascii="Times New Roman" w:hAnsi="Times New Roman" w:cs="Times New Roman"/>
          <w:i/>
          <w:iCs/>
          <w:sz w:val="24"/>
          <w:szCs w:val="24"/>
        </w:rPr>
        <w:t>”, iesnieguma Nr. </w:t>
      </w:r>
      <w:hyperlink r:id="rId23" w:history="1">
        <w:r w:rsidR="00C2402F" w:rsidRPr="006E5E89">
          <w:rPr>
            <w:rStyle w:val="Hyperlink"/>
            <w:rFonts w:ascii="Times New Roman" w:hAnsi="Times New Roman" w:cs="Times New Roman"/>
            <w:i/>
            <w:iCs/>
            <w:sz w:val="24"/>
            <w:szCs w:val="24"/>
          </w:rPr>
          <w:t>31871/96</w:t>
        </w:r>
      </w:hyperlink>
      <w:r w:rsidR="00C2402F" w:rsidRPr="006E5E89">
        <w:rPr>
          <w:rStyle w:val="sb8d990e2"/>
          <w:rFonts w:ascii="Times New Roman" w:hAnsi="Times New Roman" w:cs="Times New Roman"/>
          <w:i/>
          <w:iCs/>
          <w:sz w:val="24"/>
          <w:szCs w:val="24"/>
        </w:rPr>
        <w:t>, 62</w:t>
      </w:r>
      <w:r w:rsidR="006E5E89" w:rsidRPr="006E5E89">
        <w:rPr>
          <w:rStyle w:val="sb8d990e2"/>
          <w:rFonts w:ascii="Times New Roman" w:hAnsi="Times New Roman" w:cs="Times New Roman"/>
          <w:i/>
          <w:iCs/>
          <w:sz w:val="24"/>
          <w:szCs w:val="24"/>
        </w:rPr>
        <w:t>. punktu</w:t>
      </w:r>
      <w:r w:rsidR="00C2402F" w:rsidRPr="00C2402F">
        <w:rPr>
          <w:rStyle w:val="sb8d990e2"/>
          <w:rFonts w:ascii="Times New Roman" w:hAnsi="Times New Roman" w:cs="Times New Roman"/>
          <w:sz w:val="24"/>
          <w:szCs w:val="24"/>
        </w:rPr>
        <w:t>). Tā nevar apmierinoši novērtēt, vai šie iemesli bija</w:t>
      </w:r>
      <w:r w:rsidR="0006379E">
        <w:rPr>
          <w:rStyle w:val="sb8d990e2"/>
          <w:rFonts w:ascii="Times New Roman" w:hAnsi="Times New Roman" w:cs="Times New Roman"/>
          <w:sz w:val="24"/>
          <w:szCs w:val="24"/>
        </w:rPr>
        <w:t xml:space="preserve"> „</w:t>
      </w:r>
      <w:r w:rsidR="00C2402F" w:rsidRPr="00C2402F">
        <w:rPr>
          <w:rStyle w:val="sb8d990e2"/>
          <w:rFonts w:ascii="Times New Roman" w:hAnsi="Times New Roman" w:cs="Times New Roman"/>
          <w:sz w:val="24"/>
          <w:szCs w:val="24"/>
        </w:rPr>
        <w:t xml:space="preserve">pietiekami”, vienlaikus nenosakot, vai lēmumu pieņemšanas process kopumā </w:t>
      </w:r>
      <w:r w:rsidR="00C2402F">
        <w:rPr>
          <w:rStyle w:val="sb8d990e2"/>
          <w:rFonts w:ascii="Times New Roman" w:hAnsi="Times New Roman" w:cs="Times New Roman"/>
          <w:sz w:val="24"/>
          <w:szCs w:val="24"/>
        </w:rPr>
        <w:t xml:space="preserve">bijis </w:t>
      </w:r>
      <w:r w:rsidR="00C2402F" w:rsidRPr="00C2402F">
        <w:rPr>
          <w:rStyle w:val="sb8d990e2"/>
          <w:rFonts w:ascii="Times New Roman" w:hAnsi="Times New Roman" w:cs="Times New Roman"/>
          <w:sz w:val="24"/>
          <w:szCs w:val="24"/>
        </w:rPr>
        <w:t>godīgs un nodrošin</w:t>
      </w:r>
      <w:r w:rsidR="00C2402F">
        <w:rPr>
          <w:rStyle w:val="sb8d990e2"/>
          <w:rFonts w:ascii="Times New Roman" w:hAnsi="Times New Roman" w:cs="Times New Roman"/>
          <w:sz w:val="24"/>
          <w:szCs w:val="24"/>
        </w:rPr>
        <w:t>ājis</w:t>
      </w:r>
      <w:r w:rsidR="00C2402F" w:rsidRPr="00C2402F">
        <w:rPr>
          <w:rStyle w:val="sb8d990e2"/>
          <w:rFonts w:ascii="Times New Roman" w:hAnsi="Times New Roman" w:cs="Times New Roman"/>
          <w:sz w:val="24"/>
          <w:szCs w:val="24"/>
        </w:rPr>
        <w:t xml:space="preserve"> iesniedzējam nepieciešamo viņa interešu aizsardzību, </w:t>
      </w:r>
      <w:r w:rsidR="00C2402F">
        <w:rPr>
          <w:rStyle w:val="sb8d990e2"/>
          <w:rFonts w:ascii="Times New Roman" w:hAnsi="Times New Roman" w:cs="Times New Roman"/>
          <w:sz w:val="24"/>
          <w:szCs w:val="24"/>
        </w:rPr>
        <w:t>kā to paredz</w:t>
      </w:r>
      <w:r w:rsidR="00C2402F" w:rsidRPr="00C2402F">
        <w:rPr>
          <w:rStyle w:val="sb8d990e2"/>
          <w:rFonts w:ascii="Times New Roman" w:hAnsi="Times New Roman" w:cs="Times New Roman"/>
          <w:sz w:val="24"/>
          <w:szCs w:val="24"/>
        </w:rPr>
        <w:t xml:space="preserve"> 8.</w:t>
      </w:r>
      <w:r w:rsidR="00C2402F">
        <w:rPr>
          <w:rStyle w:val="sb8d990e2"/>
          <w:rFonts w:ascii="Times New Roman" w:hAnsi="Times New Roman" w:cs="Times New Roman"/>
          <w:sz w:val="24"/>
          <w:szCs w:val="24"/>
        </w:rPr>
        <w:t> </w:t>
      </w:r>
      <w:r w:rsidR="00C2402F" w:rsidRPr="00C2402F">
        <w:rPr>
          <w:rStyle w:val="sb8d990e2"/>
          <w:rFonts w:ascii="Times New Roman" w:hAnsi="Times New Roman" w:cs="Times New Roman"/>
          <w:sz w:val="24"/>
          <w:szCs w:val="24"/>
        </w:rPr>
        <w:t>pants (</w:t>
      </w:r>
      <w:r w:rsidR="006E5E89" w:rsidRPr="00D13E7D">
        <w:rPr>
          <w:rStyle w:val="sb8d990e2"/>
          <w:rFonts w:ascii="Times New Roman" w:hAnsi="Times New Roman" w:cs="Times New Roman"/>
          <w:sz w:val="24"/>
          <w:szCs w:val="24"/>
        </w:rPr>
        <w:t>sk.</w:t>
      </w:r>
      <w:r w:rsidR="006E5E89" w:rsidRPr="006E5E89">
        <w:rPr>
          <w:rStyle w:val="sb8d990e2"/>
          <w:rFonts w:ascii="Times New Roman" w:hAnsi="Times New Roman" w:cs="Times New Roman"/>
          <w:i/>
          <w:iCs/>
          <w:sz w:val="24"/>
          <w:szCs w:val="24"/>
        </w:rPr>
        <w:t xml:space="preserve"> iepriekš </w:t>
      </w:r>
      <w:r w:rsidR="00532317">
        <w:rPr>
          <w:rStyle w:val="sb8d990e2"/>
          <w:rFonts w:ascii="Times New Roman" w:hAnsi="Times New Roman" w:cs="Times New Roman"/>
          <w:i/>
          <w:iCs/>
          <w:sz w:val="24"/>
          <w:szCs w:val="24"/>
        </w:rPr>
        <w:t>citēt</w:t>
      </w:r>
      <w:r w:rsidR="00F117DC">
        <w:rPr>
          <w:rStyle w:val="sb8d990e2"/>
          <w:rFonts w:ascii="Times New Roman" w:hAnsi="Times New Roman" w:cs="Times New Roman"/>
          <w:i/>
          <w:iCs/>
          <w:sz w:val="24"/>
          <w:szCs w:val="24"/>
        </w:rPr>
        <w:t>ā</w:t>
      </w:r>
      <w:r w:rsidR="0006379E">
        <w:rPr>
          <w:rStyle w:val="sb8d990e2"/>
          <w:rFonts w:ascii="Times New Roman" w:hAnsi="Times New Roman" w:cs="Times New Roman"/>
          <w:i/>
          <w:iCs/>
          <w:sz w:val="24"/>
          <w:szCs w:val="24"/>
        </w:rPr>
        <w:t xml:space="preserve"> „</w:t>
      </w:r>
      <w:r w:rsidR="00C2402F" w:rsidRPr="006E5E89">
        <w:rPr>
          <w:rStyle w:val="sb8d990e2"/>
          <w:rFonts w:ascii="Times New Roman" w:hAnsi="Times New Roman" w:cs="Times New Roman"/>
          <w:i/>
          <w:iCs/>
          <w:sz w:val="24"/>
          <w:szCs w:val="24"/>
        </w:rPr>
        <w:t xml:space="preserve">T.P. </w:t>
      </w:r>
      <w:proofErr w:type="spellStart"/>
      <w:r w:rsidR="00C2402F" w:rsidRPr="006E5E89">
        <w:rPr>
          <w:rStyle w:val="sb8d990e2"/>
          <w:rFonts w:ascii="Times New Roman" w:hAnsi="Times New Roman" w:cs="Times New Roman"/>
          <w:i/>
          <w:iCs/>
          <w:sz w:val="24"/>
          <w:szCs w:val="24"/>
        </w:rPr>
        <w:t>and</w:t>
      </w:r>
      <w:proofErr w:type="spellEnd"/>
      <w:r w:rsidR="00C2402F" w:rsidRPr="006E5E89">
        <w:rPr>
          <w:rStyle w:val="sb8d990e2"/>
          <w:rFonts w:ascii="Times New Roman" w:hAnsi="Times New Roman" w:cs="Times New Roman"/>
          <w:i/>
          <w:iCs/>
          <w:sz w:val="24"/>
          <w:szCs w:val="24"/>
        </w:rPr>
        <w:t xml:space="preserve"> K.M. v. </w:t>
      </w:r>
      <w:proofErr w:type="spellStart"/>
      <w:r w:rsidR="00C2402F" w:rsidRPr="006E5E89">
        <w:rPr>
          <w:rStyle w:val="sb8d990e2"/>
          <w:rFonts w:ascii="Times New Roman" w:hAnsi="Times New Roman" w:cs="Times New Roman"/>
          <w:i/>
          <w:iCs/>
          <w:sz w:val="24"/>
          <w:szCs w:val="24"/>
        </w:rPr>
        <w:t>the</w:t>
      </w:r>
      <w:proofErr w:type="spellEnd"/>
      <w:r w:rsidR="00C2402F" w:rsidRPr="006E5E89">
        <w:rPr>
          <w:rStyle w:val="sb8d990e2"/>
          <w:rFonts w:ascii="Times New Roman" w:hAnsi="Times New Roman" w:cs="Times New Roman"/>
          <w:i/>
          <w:iCs/>
          <w:sz w:val="24"/>
          <w:szCs w:val="24"/>
        </w:rPr>
        <w:t xml:space="preserve"> </w:t>
      </w:r>
      <w:proofErr w:type="spellStart"/>
      <w:r w:rsidR="00C2402F" w:rsidRPr="006E5E89">
        <w:rPr>
          <w:rStyle w:val="sb8d990e2"/>
          <w:rFonts w:ascii="Times New Roman" w:hAnsi="Times New Roman" w:cs="Times New Roman"/>
          <w:i/>
          <w:iCs/>
          <w:sz w:val="24"/>
          <w:szCs w:val="24"/>
        </w:rPr>
        <w:t>United</w:t>
      </w:r>
      <w:proofErr w:type="spellEnd"/>
      <w:r w:rsidR="00C2402F" w:rsidRPr="006E5E89">
        <w:rPr>
          <w:rStyle w:val="sb8d990e2"/>
          <w:rFonts w:ascii="Times New Roman" w:hAnsi="Times New Roman" w:cs="Times New Roman"/>
          <w:i/>
          <w:iCs/>
          <w:sz w:val="24"/>
          <w:szCs w:val="24"/>
        </w:rPr>
        <w:t xml:space="preserve"> </w:t>
      </w:r>
      <w:proofErr w:type="spellStart"/>
      <w:r w:rsidR="00C2402F" w:rsidRPr="006E5E89">
        <w:rPr>
          <w:rStyle w:val="sb8d990e2"/>
          <w:rFonts w:ascii="Times New Roman" w:hAnsi="Times New Roman" w:cs="Times New Roman"/>
          <w:i/>
          <w:iCs/>
          <w:sz w:val="24"/>
          <w:szCs w:val="24"/>
        </w:rPr>
        <w:t>Kingdom</w:t>
      </w:r>
      <w:proofErr w:type="spellEnd"/>
      <w:r w:rsidR="006E5E89" w:rsidRPr="006E5E89">
        <w:rPr>
          <w:rStyle w:val="sb8d990e2"/>
          <w:rFonts w:ascii="Times New Roman" w:hAnsi="Times New Roman" w:cs="Times New Roman"/>
          <w:i/>
          <w:iCs/>
          <w:sz w:val="24"/>
          <w:szCs w:val="24"/>
        </w:rPr>
        <w:t xml:space="preserve">” </w:t>
      </w:r>
      <w:r w:rsidR="00C2402F" w:rsidRPr="006E5E89">
        <w:rPr>
          <w:rStyle w:val="sb8d990e2"/>
          <w:rFonts w:ascii="Times New Roman" w:hAnsi="Times New Roman" w:cs="Times New Roman"/>
          <w:i/>
          <w:iCs/>
          <w:sz w:val="24"/>
          <w:szCs w:val="24"/>
        </w:rPr>
        <w:t>72</w:t>
      </w:r>
      <w:r w:rsidR="006E5E89" w:rsidRPr="006E5E89">
        <w:rPr>
          <w:rStyle w:val="sb8d990e2"/>
          <w:rFonts w:ascii="Times New Roman" w:hAnsi="Times New Roman" w:cs="Times New Roman"/>
          <w:i/>
          <w:iCs/>
          <w:sz w:val="24"/>
          <w:szCs w:val="24"/>
        </w:rPr>
        <w:t>. punktu un</w:t>
      </w:r>
      <w:r w:rsidR="0006379E">
        <w:rPr>
          <w:rStyle w:val="sb8d990e2"/>
          <w:rFonts w:ascii="Times New Roman" w:hAnsi="Times New Roman" w:cs="Times New Roman"/>
          <w:i/>
          <w:iCs/>
          <w:sz w:val="24"/>
          <w:szCs w:val="24"/>
        </w:rPr>
        <w:t xml:space="preserve"> „</w:t>
      </w:r>
      <w:proofErr w:type="spellStart"/>
      <w:r w:rsidR="00C2402F" w:rsidRPr="006E5E89">
        <w:rPr>
          <w:rStyle w:val="sb8d990e2"/>
          <w:rFonts w:ascii="Times New Roman" w:hAnsi="Times New Roman" w:cs="Times New Roman"/>
          <w:i/>
          <w:iCs/>
          <w:sz w:val="24"/>
          <w:szCs w:val="24"/>
        </w:rPr>
        <w:t>Sommerfeld</w:t>
      </w:r>
      <w:proofErr w:type="spellEnd"/>
      <w:r w:rsidR="006E5E89" w:rsidRPr="006E5E89">
        <w:rPr>
          <w:rStyle w:val="sb8d990e2"/>
          <w:rFonts w:ascii="Times New Roman" w:hAnsi="Times New Roman" w:cs="Times New Roman"/>
          <w:i/>
          <w:iCs/>
          <w:sz w:val="24"/>
          <w:szCs w:val="24"/>
        </w:rPr>
        <w:t xml:space="preserve"> v. </w:t>
      </w:r>
      <w:proofErr w:type="spellStart"/>
      <w:r w:rsidR="006E5E89" w:rsidRPr="006E5E89">
        <w:rPr>
          <w:rStyle w:val="sb8d990e2"/>
          <w:rFonts w:ascii="Times New Roman" w:hAnsi="Times New Roman" w:cs="Times New Roman"/>
          <w:i/>
          <w:iCs/>
          <w:sz w:val="24"/>
          <w:szCs w:val="24"/>
        </w:rPr>
        <w:t>Germany</w:t>
      </w:r>
      <w:proofErr w:type="spellEnd"/>
      <w:r w:rsidR="006E5E89" w:rsidRPr="006E5E89">
        <w:rPr>
          <w:rStyle w:val="sb8d990e2"/>
          <w:rFonts w:ascii="Times New Roman" w:hAnsi="Times New Roman" w:cs="Times New Roman"/>
          <w:i/>
          <w:iCs/>
          <w:sz w:val="24"/>
          <w:szCs w:val="24"/>
        </w:rPr>
        <w:t xml:space="preserve">” </w:t>
      </w:r>
      <w:r w:rsidR="00C2402F" w:rsidRPr="006E5E89">
        <w:rPr>
          <w:rStyle w:val="sb8d990e2"/>
          <w:rFonts w:ascii="Times New Roman" w:hAnsi="Times New Roman" w:cs="Times New Roman"/>
          <w:i/>
          <w:iCs/>
          <w:sz w:val="24"/>
          <w:szCs w:val="24"/>
        </w:rPr>
        <w:t>66</w:t>
      </w:r>
      <w:r w:rsidR="006E5E89" w:rsidRPr="006E5E89">
        <w:rPr>
          <w:rStyle w:val="sb8d990e2"/>
          <w:rFonts w:ascii="Times New Roman" w:hAnsi="Times New Roman" w:cs="Times New Roman"/>
          <w:i/>
          <w:iCs/>
          <w:sz w:val="24"/>
          <w:szCs w:val="24"/>
        </w:rPr>
        <w:t>. punktu</w:t>
      </w:r>
      <w:r w:rsidR="00C2402F" w:rsidRPr="00C2402F">
        <w:rPr>
          <w:rStyle w:val="sb8d990e2"/>
          <w:rFonts w:ascii="Times New Roman" w:hAnsi="Times New Roman" w:cs="Times New Roman"/>
          <w:sz w:val="24"/>
          <w:szCs w:val="24"/>
        </w:rPr>
        <w:t xml:space="preserve">). Katrā šāda veida lietā ir ārkārtīgi svarīgi ņemt vērā to, kas ir </w:t>
      </w:r>
      <w:r w:rsidR="00C2402F">
        <w:rPr>
          <w:rStyle w:val="sb8d990e2"/>
          <w:rFonts w:ascii="Times New Roman" w:hAnsi="Times New Roman" w:cs="Times New Roman"/>
          <w:sz w:val="24"/>
          <w:szCs w:val="24"/>
        </w:rPr>
        <w:t xml:space="preserve">konkrētā </w:t>
      </w:r>
      <w:r w:rsidR="00C2402F" w:rsidRPr="00C2402F">
        <w:rPr>
          <w:rStyle w:val="sb8d990e2"/>
          <w:rFonts w:ascii="Times New Roman" w:hAnsi="Times New Roman" w:cs="Times New Roman"/>
          <w:sz w:val="24"/>
          <w:szCs w:val="24"/>
        </w:rPr>
        <w:t>bērna interesēs (</w:t>
      </w:r>
      <w:r w:rsidR="006E5E89" w:rsidRPr="00D13E7D">
        <w:rPr>
          <w:rStyle w:val="sb8d990e2"/>
          <w:rFonts w:ascii="Times New Roman" w:hAnsi="Times New Roman" w:cs="Times New Roman"/>
          <w:sz w:val="24"/>
          <w:szCs w:val="24"/>
        </w:rPr>
        <w:t xml:space="preserve">sk. </w:t>
      </w:r>
      <w:proofErr w:type="spellStart"/>
      <w:r w:rsidR="006E5E89" w:rsidRPr="00D13E7D">
        <w:rPr>
          <w:rStyle w:val="sb8d990e2"/>
          <w:rFonts w:ascii="Times New Roman" w:hAnsi="Times New Roman" w:cs="Times New Roman"/>
          <w:sz w:val="24"/>
          <w:szCs w:val="24"/>
        </w:rPr>
        <w:t>citstarp</w:t>
      </w:r>
      <w:proofErr w:type="spellEnd"/>
      <w:r w:rsidR="006E5E89" w:rsidRPr="006E5E89">
        <w:rPr>
          <w:rStyle w:val="sb8d990e2"/>
          <w:rFonts w:ascii="Times New Roman" w:hAnsi="Times New Roman" w:cs="Times New Roman"/>
          <w:i/>
          <w:iCs/>
          <w:sz w:val="24"/>
          <w:szCs w:val="24"/>
        </w:rPr>
        <w:t xml:space="preserve"> 2002. gada 5. novembra sprieduma lietā</w:t>
      </w:r>
      <w:r w:rsidR="0006379E">
        <w:rPr>
          <w:rStyle w:val="sb8d990e2"/>
          <w:rFonts w:ascii="Times New Roman" w:hAnsi="Times New Roman" w:cs="Times New Roman"/>
          <w:i/>
          <w:iCs/>
          <w:sz w:val="24"/>
          <w:szCs w:val="24"/>
        </w:rPr>
        <w:t xml:space="preserve"> „</w:t>
      </w:r>
      <w:proofErr w:type="spellStart"/>
      <w:r w:rsidR="00C2402F" w:rsidRPr="006E5E89">
        <w:rPr>
          <w:rStyle w:val="sb8d990e2"/>
          <w:rFonts w:ascii="Times New Roman" w:hAnsi="Times New Roman" w:cs="Times New Roman"/>
          <w:i/>
          <w:iCs/>
          <w:sz w:val="24"/>
          <w:szCs w:val="24"/>
        </w:rPr>
        <w:t>Yousef</w:t>
      </w:r>
      <w:proofErr w:type="spellEnd"/>
      <w:r w:rsidR="00C2402F" w:rsidRPr="006E5E89">
        <w:rPr>
          <w:rStyle w:val="sb8d990e2"/>
          <w:rFonts w:ascii="Times New Roman" w:hAnsi="Times New Roman" w:cs="Times New Roman"/>
          <w:i/>
          <w:iCs/>
          <w:sz w:val="24"/>
          <w:szCs w:val="24"/>
        </w:rPr>
        <w:t xml:space="preserve"> v. </w:t>
      </w:r>
      <w:proofErr w:type="spellStart"/>
      <w:r w:rsidR="00C2402F" w:rsidRPr="006E5E89">
        <w:rPr>
          <w:rStyle w:val="sb8d990e2"/>
          <w:rFonts w:ascii="Times New Roman" w:hAnsi="Times New Roman" w:cs="Times New Roman"/>
          <w:i/>
          <w:iCs/>
          <w:sz w:val="24"/>
          <w:szCs w:val="24"/>
        </w:rPr>
        <w:t>the</w:t>
      </w:r>
      <w:proofErr w:type="spellEnd"/>
      <w:r w:rsidR="00C2402F" w:rsidRPr="006E5E89">
        <w:rPr>
          <w:rStyle w:val="sb8d990e2"/>
          <w:rFonts w:ascii="Times New Roman" w:hAnsi="Times New Roman" w:cs="Times New Roman"/>
          <w:i/>
          <w:iCs/>
          <w:sz w:val="24"/>
          <w:szCs w:val="24"/>
        </w:rPr>
        <w:t xml:space="preserve"> </w:t>
      </w:r>
      <w:proofErr w:type="spellStart"/>
      <w:r w:rsidR="00C2402F" w:rsidRPr="006E5E89">
        <w:rPr>
          <w:rStyle w:val="sb8d990e2"/>
          <w:rFonts w:ascii="Times New Roman" w:hAnsi="Times New Roman" w:cs="Times New Roman"/>
          <w:i/>
          <w:iCs/>
          <w:sz w:val="24"/>
          <w:szCs w:val="24"/>
        </w:rPr>
        <w:t>Netherlands</w:t>
      </w:r>
      <w:proofErr w:type="spellEnd"/>
      <w:r w:rsidR="006E5E89" w:rsidRPr="006E5E89">
        <w:rPr>
          <w:rStyle w:val="sb8d990e2"/>
          <w:rFonts w:ascii="Times New Roman" w:hAnsi="Times New Roman" w:cs="Times New Roman"/>
          <w:i/>
          <w:iCs/>
          <w:sz w:val="24"/>
          <w:szCs w:val="24"/>
        </w:rPr>
        <w:t>”, iesnieguma Nr. </w:t>
      </w:r>
      <w:hyperlink r:id="rId24" w:history="1">
        <w:r w:rsidR="00C2402F" w:rsidRPr="006E5E89">
          <w:rPr>
            <w:rStyle w:val="Hyperlink"/>
            <w:rFonts w:ascii="Times New Roman" w:hAnsi="Times New Roman" w:cs="Times New Roman"/>
            <w:i/>
            <w:iCs/>
            <w:sz w:val="24"/>
            <w:szCs w:val="24"/>
          </w:rPr>
          <w:t>33711/96</w:t>
        </w:r>
      </w:hyperlink>
      <w:r w:rsidR="00C2402F" w:rsidRPr="006E5E89">
        <w:rPr>
          <w:rStyle w:val="sb8d990e2"/>
          <w:rFonts w:ascii="Times New Roman" w:hAnsi="Times New Roman" w:cs="Times New Roman"/>
          <w:i/>
          <w:iCs/>
          <w:sz w:val="24"/>
          <w:szCs w:val="24"/>
        </w:rPr>
        <w:t>, 73</w:t>
      </w:r>
      <w:r w:rsidR="006E5E89" w:rsidRPr="006E5E89">
        <w:rPr>
          <w:rStyle w:val="sb8d990e2"/>
          <w:rFonts w:ascii="Times New Roman" w:hAnsi="Times New Roman" w:cs="Times New Roman"/>
          <w:i/>
          <w:iCs/>
          <w:sz w:val="24"/>
          <w:szCs w:val="24"/>
        </w:rPr>
        <w:t>. punktu</w:t>
      </w:r>
      <w:r w:rsidR="00C2402F" w:rsidRPr="00C2402F">
        <w:rPr>
          <w:rStyle w:val="sb8d990e2"/>
          <w:rFonts w:ascii="Times New Roman" w:hAnsi="Times New Roman" w:cs="Times New Roman"/>
          <w:sz w:val="24"/>
          <w:szCs w:val="24"/>
        </w:rPr>
        <w:t xml:space="preserve">); atkarībā no </w:t>
      </w:r>
      <w:r w:rsidR="00C2402F">
        <w:rPr>
          <w:rStyle w:val="sb8d990e2"/>
          <w:rFonts w:ascii="Times New Roman" w:hAnsi="Times New Roman" w:cs="Times New Roman"/>
          <w:sz w:val="24"/>
          <w:szCs w:val="24"/>
        </w:rPr>
        <w:t xml:space="preserve">to </w:t>
      </w:r>
      <w:r w:rsidR="00C2402F" w:rsidRPr="00C2402F">
        <w:rPr>
          <w:rStyle w:val="sb8d990e2"/>
          <w:rFonts w:ascii="Times New Roman" w:hAnsi="Times New Roman" w:cs="Times New Roman"/>
          <w:sz w:val="24"/>
          <w:szCs w:val="24"/>
        </w:rPr>
        <w:t>rakstura un nopietnības bērna</w:t>
      </w:r>
      <w:r w:rsidR="00C2402F">
        <w:rPr>
          <w:rStyle w:val="sb8d990e2"/>
          <w:rFonts w:ascii="Times New Roman" w:hAnsi="Times New Roman" w:cs="Times New Roman"/>
          <w:sz w:val="24"/>
          <w:szCs w:val="24"/>
        </w:rPr>
        <w:t xml:space="preserve"> labākās</w:t>
      </w:r>
      <w:r w:rsidR="00C2402F" w:rsidRPr="00C2402F">
        <w:rPr>
          <w:rStyle w:val="sb8d990e2"/>
          <w:rFonts w:ascii="Times New Roman" w:hAnsi="Times New Roman" w:cs="Times New Roman"/>
          <w:sz w:val="24"/>
          <w:szCs w:val="24"/>
        </w:rPr>
        <w:t xml:space="preserve"> intereses var būt svarīgākas par vecāk</w:t>
      </w:r>
      <w:r w:rsidR="00C2402F">
        <w:rPr>
          <w:rStyle w:val="sb8d990e2"/>
          <w:rFonts w:ascii="Times New Roman" w:hAnsi="Times New Roman" w:cs="Times New Roman"/>
          <w:sz w:val="24"/>
          <w:szCs w:val="24"/>
        </w:rPr>
        <w:t xml:space="preserve">u interesēm </w:t>
      </w:r>
      <w:r w:rsidR="00C2402F" w:rsidRPr="006E5E89">
        <w:rPr>
          <w:rStyle w:val="sb8d990e2"/>
          <w:rFonts w:ascii="Times New Roman" w:hAnsi="Times New Roman" w:cs="Times New Roman"/>
          <w:sz w:val="24"/>
          <w:szCs w:val="24"/>
        </w:rPr>
        <w:t>(</w:t>
      </w:r>
      <w:r w:rsidR="006E5E89" w:rsidRPr="00D13E7D">
        <w:rPr>
          <w:rStyle w:val="sb8d990e2"/>
          <w:rFonts w:ascii="Times New Roman" w:hAnsi="Times New Roman" w:cs="Times New Roman"/>
          <w:sz w:val="24"/>
          <w:szCs w:val="24"/>
        </w:rPr>
        <w:t>sk.</w:t>
      </w:r>
      <w:r w:rsidR="006E5E89" w:rsidRPr="006E5E89">
        <w:rPr>
          <w:rStyle w:val="sb8d990e2"/>
          <w:rFonts w:ascii="Times New Roman" w:hAnsi="Times New Roman" w:cs="Times New Roman"/>
          <w:i/>
          <w:iCs/>
          <w:sz w:val="24"/>
          <w:szCs w:val="24"/>
        </w:rPr>
        <w:t xml:space="preserve"> iepriekš citētā</w:t>
      </w:r>
      <w:r w:rsidR="0006379E">
        <w:rPr>
          <w:rStyle w:val="sb8d990e2"/>
          <w:rFonts w:ascii="Times New Roman" w:hAnsi="Times New Roman" w:cs="Times New Roman"/>
          <w:i/>
          <w:iCs/>
          <w:sz w:val="24"/>
          <w:szCs w:val="24"/>
        </w:rPr>
        <w:t xml:space="preserve"> „</w:t>
      </w:r>
      <w:proofErr w:type="spellStart"/>
      <w:r w:rsidR="006E5E89" w:rsidRPr="006E5E89">
        <w:rPr>
          <w:rStyle w:val="sb8d990e2"/>
          <w:rFonts w:ascii="Times New Roman" w:hAnsi="Times New Roman" w:cs="Times New Roman"/>
          <w:i/>
          <w:iCs/>
          <w:sz w:val="24"/>
          <w:szCs w:val="24"/>
        </w:rPr>
        <w:t>Sommerfeld</w:t>
      </w:r>
      <w:proofErr w:type="spellEnd"/>
      <w:r w:rsidR="006E5E89" w:rsidRPr="006E5E89">
        <w:rPr>
          <w:rStyle w:val="sb8d990e2"/>
          <w:rFonts w:ascii="Times New Roman" w:hAnsi="Times New Roman" w:cs="Times New Roman"/>
          <w:i/>
          <w:iCs/>
          <w:sz w:val="24"/>
          <w:szCs w:val="24"/>
        </w:rPr>
        <w:t xml:space="preserve"> v. </w:t>
      </w:r>
      <w:proofErr w:type="spellStart"/>
      <w:r w:rsidR="006E5E89" w:rsidRPr="006E5E89">
        <w:rPr>
          <w:rStyle w:val="sb8d990e2"/>
          <w:rFonts w:ascii="Times New Roman" w:hAnsi="Times New Roman" w:cs="Times New Roman"/>
          <w:i/>
          <w:iCs/>
          <w:sz w:val="24"/>
          <w:szCs w:val="24"/>
        </w:rPr>
        <w:t>Germany</w:t>
      </w:r>
      <w:proofErr w:type="spellEnd"/>
      <w:r w:rsidR="006E5E89" w:rsidRPr="006E5E89">
        <w:rPr>
          <w:rStyle w:val="sb8d990e2"/>
          <w:rFonts w:ascii="Times New Roman" w:hAnsi="Times New Roman" w:cs="Times New Roman"/>
          <w:i/>
          <w:iCs/>
          <w:sz w:val="24"/>
          <w:szCs w:val="24"/>
        </w:rPr>
        <w:t xml:space="preserve">” </w:t>
      </w:r>
      <w:r w:rsidR="00C2402F" w:rsidRPr="006E5E89">
        <w:rPr>
          <w:rStyle w:val="sb8d990e2"/>
          <w:rFonts w:ascii="Times New Roman" w:hAnsi="Times New Roman" w:cs="Times New Roman"/>
          <w:i/>
          <w:iCs/>
          <w:sz w:val="24"/>
          <w:szCs w:val="24"/>
        </w:rPr>
        <w:lastRenderedPageBreak/>
        <w:t>66</w:t>
      </w:r>
      <w:r w:rsidR="006E5E89" w:rsidRPr="006E5E89">
        <w:rPr>
          <w:rStyle w:val="sb8d990e2"/>
          <w:rFonts w:ascii="Times New Roman" w:hAnsi="Times New Roman" w:cs="Times New Roman"/>
          <w:i/>
          <w:iCs/>
          <w:sz w:val="24"/>
          <w:szCs w:val="24"/>
        </w:rPr>
        <w:t>. punktu un 2004. gada 26. februāra sprieduma lietā</w:t>
      </w:r>
      <w:r w:rsidR="0006379E">
        <w:rPr>
          <w:rStyle w:val="sb8d990e2"/>
          <w:rFonts w:ascii="Times New Roman" w:hAnsi="Times New Roman" w:cs="Times New Roman"/>
          <w:i/>
          <w:iCs/>
          <w:sz w:val="24"/>
          <w:szCs w:val="24"/>
        </w:rPr>
        <w:t xml:space="preserve"> „</w:t>
      </w:r>
      <w:proofErr w:type="spellStart"/>
      <w:r w:rsidR="00C2402F" w:rsidRPr="006E5E89">
        <w:rPr>
          <w:rStyle w:val="sb8d990e2"/>
          <w:rFonts w:ascii="Times New Roman" w:hAnsi="Times New Roman" w:cs="Times New Roman"/>
          <w:i/>
          <w:iCs/>
          <w:sz w:val="24"/>
          <w:szCs w:val="24"/>
        </w:rPr>
        <w:t>Görgülü</w:t>
      </w:r>
      <w:proofErr w:type="spellEnd"/>
      <w:r w:rsidR="00C2402F" w:rsidRPr="006E5E89">
        <w:rPr>
          <w:rStyle w:val="sb8d990e2"/>
          <w:rFonts w:ascii="Times New Roman" w:hAnsi="Times New Roman" w:cs="Times New Roman"/>
          <w:i/>
          <w:iCs/>
          <w:sz w:val="24"/>
          <w:szCs w:val="24"/>
        </w:rPr>
        <w:t xml:space="preserve"> v. </w:t>
      </w:r>
      <w:proofErr w:type="spellStart"/>
      <w:r w:rsidR="00C2402F" w:rsidRPr="006E5E89">
        <w:rPr>
          <w:rStyle w:val="sb8d990e2"/>
          <w:rFonts w:ascii="Times New Roman" w:hAnsi="Times New Roman" w:cs="Times New Roman"/>
          <w:i/>
          <w:iCs/>
          <w:sz w:val="24"/>
          <w:szCs w:val="24"/>
        </w:rPr>
        <w:t>Germany</w:t>
      </w:r>
      <w:proofErr w:type="spellEnd"/>
      <w:r w:rsidR="006E5E89" w:rsidRPr="006E5E89">
        <w:rPr>
          <w:rStyle w:val="sb8d990e2"/>
          <w:rFonts w:ascii="Times New Roman" w:hAnsi="Times New Roman" w:cs="Times New Roman"/>
          <w:i/>
          <w:iCs/>
          <w:sz w:val="24"/>
          <w:szCs w:val="24"/>
        </w:rPr>
        <w:t>”, iesnieguma Nr. </w:t>
      </w:r>
      <w:hyperlink r:id="rId25" w:history="1">
        <w:r w:rsidR="00C2402F" w:rsidRPr="006E5E89">
          <w:rPr>
            <w:rStyle w:val="Hyperlink"/>
            <w:rFonts w:ascii="Times New Roman" w:hAnsi="Times New Roman" w:cs="Times New Roman"/>
            <w:i/>
            <w:iCs/>
            <w:sz w:val="24"/>
            <w:szCs w:val="24"/>
          </w:rPr>
          <w:t>74969/01</w:t>
        </w:r>
      </w:hyperlink>
      <w:r w:rsidR="006E5E89" w:rsidRPr="006E5E89">
        <w:rPr>
          <w:rStyle w:val="sb8d990e2"/>
          <w:rFonts w:ascii="Times New Roman" w:hAnsi="Times New Roman" w:cs="Times New Roman"/>
          <w:i/>
          <w:iCs/>
          <w:sz w:val="24"/>
          <w:szCs w:val="24"/>
        </w:rPr>
        <w:t>, 43. punktu</w:t>
      </w:r>
      <w:r w:rsidR="00C2402F" w:rsidRPr="00C2402F">
        <w:rPr>
          <w:rStyle w:val="sb8d990e2"/>
          <w:rFonts w:ascii="Times New Roman" w:hAnsi="Times New Roman" w:cs="Times New Roman"/>
          <w:sz w:val="24"/>
          <w:szCs w:val="24"/>
        </w:rPr>
        <w:t>).</w:t>
      </w:r>
    </w:p>
    <w:p w14:paraId="25A8EAFF" w14:textId="08CBCFB2" w:rsidR="00B954BE" w:rsidRDefault="00C2402F" w:rsidP="00A874F9">
      <w:pPr>
        <w:spacing w:after="200" w:line="240" w:lineRule="auto"/>
        <w:jc w:val="both"/>
        <w:rPr>
          <w:rStyle w:val="sb8d990e2"/>
          <w:rFonts w:ascii="Times New Roman" w:hAnsi="Times New Roman" w:cs="Times New Roman"/>
          <w:sz w:val="24"/>
          <w:szCs w:val="24"/>
        </w:rPr>
      </w:pPr>
      <w:r w:rsidRPr="00C2402F">
        <w:rPr>
          <w:rStyle w:val="sb8d990e2"/>
          <w:rFonts w:ascii="Times New Roman" w:hAnsi="Times New Roman" w:cs="Times New Roman"/>
          <w:sz w:val="24"/>
          <w:szCs w:val="24"/>
        </w:rPr>
        <w:t xml:space="preserve">94. Saskaņā ar Tiesas vispāratzīto judikatūru ir jāņem vērā arī tas, ka </w:t>
      </w:r>
      <w:r>
        <w:rPr>
          <w:rStyle w:val="sb8d990e2"/>
          <w:rFonts w:ascii="Times New Roman" w:hAnsi="Times New Roman" w:cs="Times New Roman"/>
          <w:sz w:val="24"/>
          <w:szCs w:val="24"/>
        </w:rPr>
        <w:t xml:space="preserve">nacionālās varas </w:t>
      </w:r>
      <w:r w:rsidRPr="00C2402F">
        <w:rPr>
          <w:rStyle w:val="sb8d990e2"/>
          <w:rFonts w:ascii="Times New Roman" w:hAnsi="Times New Roman" w:cs="Times New Roman"/>
          <w:sz w:val="24"/>
          <w:szCs w:val="24"/>
        </w:rPr>
        <w:t>iestād</w:t>
      </w:r>
      <w:r>
        <w:rPr>
          <w:rStyle w:val="sb8d990e2"/>
          <w:rFonts w:ascii="Times New Roman" w:hAnsi="Times New Roman" w:cs="Times New Roman"/>
          <w:sz w:val="24"/>
          <w:szCs w:val="24"/>
        </w:rPr>
        <w:t xml:space="preserve">es var izmantot to, ka tām ir </w:t>
      </w:r>
      <w:r w:rsidRPr="00C2402F">
        <w:rPr>
          <w:rStyle w:val="sb8d990e2"/>
          <w:rFonts w:ascii="Times New Roman" w:hAnsi="Times New Roman" w:cs="Times New Roman"/>
          <w:sz w:val="24"/>
          <w:szCs w:val="24"/>
        </w:rPr>
        <w:t xml:space="preserve">tiešs kontakts ar visām iesaistītajām personām. No šiem apsvērumiem izriet, ka Tiesas uzdevums nav aizstāt </w:t>
      </w:r>
      <w:r>
        <w:rPr>
          <w:rStyle w:val="sb8d990e2"/>
          <w:rFonts w:ascii="Times New Roman" w:hAnsi="Times New Roman" w:cs="Times New Roman"/>
          <w:sz w:val="24"/>
          <w:szCs w:val="24"/>
        </w:rPr>
        <w:t>nacionālās</w:t>
      </w:r>
      <w:r w:rsidRPr="00C2402F">
        <w:rPr>
          <w:rStyle w:val="sb8d990e2"/>
          <w:rFonts w:ascii="Times New Roman" w:hAnsi="Times New Roman" w:cs="Times New Roman"/>
          <w:sz w:val="24"/>
          <w:szCs w:val="24"/>
        </w:rPr>
        <w:t xml:space="preserve"> varas iestādes, </w:t>
      </w:r>
      <w:r w:rsidR="00A4396D">
        <w:rPr>
          <w:rStyle w:val="sb8d990e2"/>
          <w:rFonts w:ascii="Times New Roman" w:hAnsi="Times New Roman" w:cs="Times New Roman"/>
          <w:sz w:val="24"/>
          <w:szCs w:val="24"/>
        </w:rPr>
        <w:t>īstenojot</w:t>
      </w:r>
      <w:r w:rsidRPr="00C2402F">
        <w:rPr>
          <w:rStyle w:val="sb8d990e2"/>
          <w:rFonts w:ascii="Times New Roman" w:hAnsi="Times New Roman" w:cs="Times New Roman"/>
          <w:sz w:val="24"/>
          <w:szCs w:val="24"/>
        </w:rPr>
        <w:t xml:space="preserve"> pienākumus attiecībā uz </w:t>
      </w:r>
      <w:r>
        <w:rPr>
          <w:rStyle w:val="sb8d990e2"/>
          <w:rFonts w:ascii="Times New Roman" w:hAnsi="Times New Roman" w:cs="Times New Roman"/>
          <w:sz w:val="24"/>
          <w:szCs w:val="24"/>
        </w:rPr>
        <w:t xml:space="preserve">saskarsmes </w:t>
      </w:r>
      <w:r w:rsidRPr="00C2402F">
        <w:rPr>
          <w:rStyle w:val="sb8d990e2"/>
          <w:rFonts w:ascii="Times New Roman" w:hAnsi="Times New Roman" w:cs="Times New Roman"/>
          <w:sz w:val="24"/>
          <w:szCs w:val="24"/>
        </w:rPr>
        <w:t xml:space="preserve">jautājumiem vai jautājumiem, kas saistīti ar informāciju par bērna personīgo attīstību, bet gan, ņemot vērā Konvenciju, </w:t>
      </w:r>
      <w:r w:rsidR="008C466B">
        <w:rPr>
          <w:rStyle w:val="sb8d990e2"/>
          <w:rFonts w:ascii="Times New Roman" w:hAnsi="Times New Roman" w:cs="Times New Roman"/>
          <w:sz w:val="24"/>
          <w:szCs w:val="24"/>
        </w:rPr>
        <w:t>pārbaudīt nolēmumus</w:t>
      </w:r>
      <w:r w:rsidRPr="00C2402F">
        <w:rPr>
          <w:rStyle w:val="sb8d990e2"/>
          <w:rFonts w:ascii="Times New Roman" w:hAnsi="Times New Roman" w:cs="Times New Roman"/>
          <w:sz w:val="24"/>
          <w:szCs w:val="24"/>
        </w:rPr>
        <w:t>, ko šīs iestādes pieņēmušas, izmantojot sav</w:t>
      </w:r>
      <w:r w:rsidR="008C466B">
        <w:rPr>
          <w:rStyle w:val="sb8d990e2"/>
          <w:rFonts w:ascii="Times New Roman" w:hAnsi="Times New Roman" w:cs="Times New Roman"/>
          <w:sz w:val="24"/>
          <w:szCs w:val="24"/>
        </w:rPr>
        <w:t>as</w:t>
      </w:r>
      <w:r w:rsidRPr="00C2402F">
        <w:rPr>
          <w:rStyle w:val="sb8d990e2"/>
          <w:rFonts w:ascii="Times New Roman" w:hAnsi="Times New Roman" w:cs="Times New Roman"/>
          <w:sz w:val="24"/>
          <w:szCs w:val="24"/>
        </w:rPr>
        <w:t xml:space="preserve"> novērtēšanas </w:t>
      </w:r>
      <w:r w:rsidR="008C466B">
        <w:rPr>
          <w:rStyle w:val="sb8d990e2"/>
          <w:rFonts w:ascii="Times New Roman" w:hAnsi="Times New Roman" w:cs="Times New Roman"/>
          <w:sz w:val="24"/>
          <w:szCs w:val="24"/>
        </w:rPr>
        <w:t>pilnvaras</w:t>
      </w:r>
      <w:r w:rsidRPr="00C2402F">
        <w:rPr>
          <w:rStyle w:val="sb8d990e2"/>
          <w:rFonts w:ascii="Times New Roman" w:hAnsi="Times New Roman" w:cs="Times New Roman"/>
          <w:sz w:val="24"/>
          <w:szCs w:val="24"/>
        </w:rPr>
        <w:t xml:space="preserve"> </w:t>
      </w:r>
      <w:proofErr w:type="gramStart"/>
      <w:r w:rsidRPr="00C2402F">
        <w:rPr>
          <w:rStyle w:val="sb8d990e2"/>
          <w:rFonts w:ascii="Times New Roman" w:hAnsi="Times New Roman" w:cs="Times New Roman"/>
          <w:sz w:val="24"/>
          <w:szCs w:val="24"/>
        </w:rPr>
        <w:t>(</w:t>
      </w:r>
      <w:proofErr w:type="gramEnd"/>
      <w:r w:rsidR="00532317" w:rsidRPr="00D13E7D">
        <w:rPr>
          <w:rStyle w:val="sb8d990e2"/>
          <w:rFonts w:ascii="Times New Roman" w:hAnsi="Times New Roman" w:cs="Times New Roman"/>
          <w:sz w:val="24"/>
          <w:szCs w:val="24"/>
        </w:rPr>
        <w:t xml:space="preserve">sk. </w:t>
      </w:r>
      <w:proofErr w:type="spellStart"/>
      <w:r w:rsidR="00532317" w:rsidRPr="00D13E7D">
        <w:rPr>
          <w:rStyle w:val="sb8d990e2"/>
          <w:rFonts w:ascii="Times New Roman" w:hAnsi="Times New Roman" w:cs="Times New Roman"/>
          <w:sz w:val="24"/>
          <w:szCs w:val="24"/>
        </w:rPr>
        <w:t>citstarp</w:t>
      </w:r>
      <w:proofErr w:type="spellEnd"/>
      <w:r w:rsidR="00532317" w:rsidRPr="00532317">
        <w:rPr>
          <w:rStyle w:val="sb8d990e2"/>
          <w:rFonts w:ascii="Times New Roman" w:hAnsi="Times New Roman" w:cs="Times New Roman"/>
          <w:i/>
          <w:iCs/>
          <w:sz w:val="24"/>
          <w:szCs w:val="24"/>
        </w:rPr>
        <w:t xml:space="preserve"> 1994. gada 23. septembra sprieduma lietā</w:t>
      </w:r>
      <w:r w:rsidR="0006379E">
        <w:rPr>
          <w:rStyle w:val="sb8d990e2"/>
          <w:rFonts w:ascii="Times New Roman" w:hAnsi="Times New Roman" w:cs="Times New Roman"/>
          <w:i/>
          <w:iCs/>
          <w:sz w:val="24"/>
          <w:szCs w:val="24"/>
        </w:rPr>
        <w:t xml:space="preserve"> „</w:t>
      </w:r>
      <w:proofErr w:type="spellStart"/>
      <w:r w:rsidRPr="00532317">
        <w:rPr>
          <w:rStyle w:val="sb8d990e2"/>
          <w:rFonts w:ascii="Times New Roman" w:hAnsi="Times New Roman" w:cs="Times New Roman"/>
          <w:i/>
          <w:iCs/>
          <w:sz w:val="24"/>
          <w:szCs w:val="24"/>
        </w:rPr>
        <w:t>Hokkanen</w:t>
      </w:r>
      <w:proofErr w:type="spellEnd"/>
      <w:r w:rsidRPr="00532317">
        <w:rPr>
          <w:rStyle w:val="sb8d990e2"/>
          <w:rFonts w:ascii="Times New Roman" w:hAnsi="Times New Roman" w:cs="Times New Roman"/>
          <w:i/>
          <w:iCs/>
          <w:sz w:val="24"/>
          <w:szCs w:val="24"/>
        </w:rPr>
        <w:t xml:space="preserve"> v. </w:t>
      </w:r>
      <w:proofErr w:type="spellStart"/>
      <w:r w:rsidRPr="00532317">
        <w:rPr>
          <w:rStyle w:val="sb8d990e2"/>
          <w:rFonts w:ascii="Times New Roman" w:hAnsi="Times New Roman" w:cs="Times New Roman"/>
          <w:i/>
          <w:iCs/>
          <w:sz w:val="24"/>
          <w:szCs w:val="24"/>
        </w:rPr>
        <w:t>Finland</w:t>
      </w:r>
      <w:proofErr w:type="spellEnd"/>
      <w:r w:rsidR="00532317" w:rsidRPr="00532317">
        <w:rPr>
          <w:rStyle w:val="sb8d990e2"/>
          <w:rFonts w:ascii="Times New Roman" w:hAnsi="Times New Roman" w:cs="Times New Roman"/>
          <w:i/>
          <w:iCs/>
          <w:sz w:val="24"/>
          <w:szCs w:val="24"/>
        </w:rPr>
        <w:t>”, iesnieguma Nr. </w:t>
      </w:r>
      <w:hyperlink r:id="rId26" w:history="1">
        <w:r w:rsidR="00532317" w:rsidRPr="00532317">
          <w:rPr>
            <w:rStyle w:val="Hyperlink"/>
            <w:rFonts w:ascii="Times New Roman" w:hAnsi="Times New Roman" w:cs="Times New Roman"/>
            <w:i/>
            <w:iCs/>
            <w:sz w:val="24"/>
            <w:szCs w:val="24"/>
          </w:rPr>
          <w:t>19823/92</w:t>
        </w:r>
      </w:hyperlink>
      <w:r w:rsidR="00532317" w:rsidRPr="00532317">
        <w:rPr>
          <w:rStyle w:val="sb8d990e2"/>
          <w:rFonts w:ascii="Times New Roman" w:hAnsi="Times New Roman" w:cs="Times New Roman"/>
          <w:i/>
          <w:iCs/>
          <w:sz w:val="24"/>
          <w:szCs w:val="24"/>
        </w:rPr>
        <w:t xml:space="preserve">, </w:t>
      </w:r>
      <w:r w:rsidRPr="00532317">
        <w:rPr>
          <w:rStyle w:val="sb8d990e2"/>
          <w:rFonts w:ascii="Times New Roman" w:hAnsi="Times New Roman" w:cs="Times New Roman"/>
          <w:i/>
          <w:iCs/>
          <w:sz w:val="24"/>
          <w:szCs w:val="24"/>
        </w:rPr>
        <w:t>55</w:t>
      </w:r>
      <w:r w:rsidR="00532317" w:rsidRPr="00532317">
        <w:rPr>
          <w:rStyle w:val="sb8d990e2"/>
          <w:rFonts w:ascii="Times New Roman" w:hAnsi="Times New Roman" w:cs="Times New Roman"/>
          <w:i/>
          <w:iCs/>
          <w:sz w:val="24"/>
          <w:szCs w:val="24"/>
        </w:rPr>
        <w:t>. punktu un iepriekš citēt</w:t>
      </w:r>
      <w:r w:rsidR="00F117DC">
        <w:rPr>
          <w:rStyle w:val="sb8d990e2"/>
          <w:rFonts w:ascii="Times New Roman" w:hAnsi="Times New Roman" w:cs="Times New Roman"/>
          <w:i/>
          <w:iCs/>
          <w:sz w:val="24"/>
          <w:szCs w:val="24"/>
        </w:rPr>
        <w:t>ā</w:t>
      </w:r>
      <w:r w:rsidR="0006379E">
        <w:rPr>
          <w:rStyle w:val="sb8d990e2"/>
          <w:rFonts w:ascii="Times New Roman" w:hAnsi="Times New Roman" w:cs="Times New Roman"/>
          <w:i/>
          <w:iCs/>
          <w:sz w:val="24"/>
          <w:szCs w:val="24"/>
        </w:rPr>
        <w:t xml:space="preserve"> „</w:t>
      </w:r>
      <w:proofErr w:type="spellStart"/>
      <w:r w:rsidRPr="00532317">
        <w:rPr>
          <w:rStyle w:val="sb8d990e2"/>
          <w:rFonts w:ascii="Times New Roman" w:hAnsi="Times New Roman" w:cs="Times New Roman"/>
          <w:i/>
          <w:iCs/>
          <w:sz w:val="24"/>
          <w:szCs w:val="24"/>
        </w:rPr>
        <w:t>Görgülü</w:t>
      </w:r>
      <w:proofErr w:type="spellEnd"/>
      <w:r w:rsidR="00532317" w:rsidRPr="00532317">
        <w:rPr>
          <w:rStyle w:val="sb8d990e2"/>
          <w:rFonts w:ascii="Times New Roman" w:hAnsi="Times New Roman" w:cs="Times New Roman"/>
          <w:i/>
          <w:iCs/>
          <w:sz w:val="24"/>
          <w:szCs w:val="24"/>
        </w:rPr>
        <w:t xml:space="preserve"> v. </w:t>
      </w:r>
      <w:proofErr w:type="spellStart"/>
      <w:r w:rsidR="00532317" w:rsidRPr="00532317">
        <w:rPr>
          <w:rStyle w:val="sb8d990e2"/>
          <w:rFonts w:ascii="Times New Roman" w:hAnsi="Times New Roman" w:cs="Times New Roman"/>
          <w:i/>
          <w:iCs/>
          <w:sz w:val="24"/>
          <w:szCs w:val="24"/>
        </w:rPr>
        <w:t>Germany</w:t>
      </w:r>
      <w:proofErr w:type="spellEnd"/>
      <w:r w:rsidR="00532317" w:rsidRPr="00532317">
        <w:rPr>
          <w:rStyle w:val="sb8d990e2"/>
          <w:rFonts w:ascii="Times New Roman" w:hAnsi="Times New Roman" w:cs="Times New Roman"/>
          <w:i/>
          <w:iCs/>
          <w:sz w:val="24"/>
          <w:szCs w:val="24"/>
        </w:rPr>
        <w:t xml:space="preserve">” </w:t>
      </w:r>
      <w:r w:rsidRPr="00532317">
        <w:rPr>
          <w:rStyle w:val="sb8d990e2"/>
          <w:rFonts w:ascii="Times New Roman" w:hAnsi="Times New Roman" w:cs="Times New Roman"/>
          <w:i/>
          <w:iCs/>
          <w:sz w:val="24"/>
          <w:szCs w:val="24"/>
        </w:rPr>
        <w:t>41</w:t>
      </w:r>
      <w:r w:rsidR="00532317" w:rsidRPr="00532317">
        <w:rPr>
          <w:rStyle w:val="sb8d990e2"/>
          <w:rFonts w:ascii="Times New Roman" w:hAnsi="Times New Roman" w:cs="Times New Roman"/>
          <w:i/>
          <w:iCs/>
          <w:sz w:val="24"/>
          <w:szCs w:val="24"/>
        </w:rPr>
        <w:t>. punktu un</w:t>
      </w:r>
      <w:r w:rsidR="0006379E">
        <w:rPr>
          <w:rStyle w:val="sb8d990e2"/>
          <w:rFonts w:ascii="Times New Roman" w:hAnsi="Times New Roman" w:cs="Times New Roman"/>
          <w:i/>
          <w:iCs/>
          <w:sz w:val="24"/>
          <w:szCs w:val="24"/>
        </w:rPr>
        <w:t xml:space="preserve"> „</w:t>
      </w:r>
      <w:proofErr w:type="spellStart"/>
      <w:r w:rsidRPr="00532317">
        <w:rPr>
          <w:rStyle w:val="sb8d990e2"/>
          <w:rFonts w:ascii="Times New Roman" w:hAnsi="Times New Roman" w:cs="Times New Roman"/>
          <w:i/>
          <w:iCs/>
          <w:sz w:val="24"/>
          <w:szCs w:val="24"/>
        </w:rPr>
        <w:t>Sommerfeld</w:t>
      </w:r>
      <w:proofErr w:type="spellEnd"/>
      <w:r w:rsidR="00532317" w:rsidRPr="00532317">
        <w:rPr>
          <w:rStyle w:val="sb8d990e2"/>
          <w:rFonts w:ascii="Times New Roman" w:hAnsi="Times New Roman" w:cs="Times New Roman"/>
          <w:i/>
          <w:iCs/>
          <w:sz w:val="24"/>
          <w:szCs w:val="24"/>
        </w:rPr>
        <w:t xml:space="preserve"> v. </w:t>
      </w:r>
      <w:proofErr w:type="spellStart"/>
      <w:r w:rsidR="00532317" w:rsidRPr="00532317">
        <w:rPr>
          <w:rStyle w:val="sb8d990e2"/>
          <w:rFonts w:ascii="Times New Roman" w:hAnsi="Times New Roman" w:cs="Times New Roman"/>
          <w:i/>
          <w:iCs/>
          <w:sz w:val="24"/>
          <w:szCs w:val="24"/>
        </w:rPr>
        <w:t>Germany</w:t>
      </w:r>
      <w:proofErr w:type="spellEnd"/>
      <w:r w:rsidR="00532317" w:rsidRPr="00532317">
        <w:rPr>
          <w:rStyle w:val="sb8d990e2"/>
          <w:rFonts w:ascii="Times New Roman" w:hAnsi="Times New Roman" w:cs="Times New Roman"/>
          <w:i/>
          <w:iCs/>
          <w:sz w:val="24"/>
          <w:szCs w:val="24"/>
        </w:rPr>
        <w:t xml:space="preserve">” </w:t>
      </w:r>
      <w:r w:rsidRPr="00532317">
        <w:rPr>
          <w:rStyle w:val="sb8d990e2"/>
          <w:rFonts w:ascii="Times New Roman" w:hAnsi="Times New Roman" w:cs="Times New Roman"/>
          <w:i/>
          <w:iCs/>
          <w:sz w:val="24"/>
          <w:szCs w:val="24"/>
        </w:rPr>
        <w:t>62</w:t>
      </w:r>
      <w:r w:rsidR="00532317" w:rsidRPr="00532317">
        <w:rPr>
          <w:rStyle w:val="sb8d990e2"/>
          <w:rFonts w:ascii="Times New Roman" w:hAnsi="Times New Roman" w:cs="Times New Roman"/>
          <w:i/>
          <w:iCs/>
          <w:sz w:val="24"/>
          <w:szCs w:val="24"/>
        </w:rPr>
        <w:t>. punktu</w:t>
      </w:r>
      <w:r w:rsidRPr="00C2402F">
        <w:rPr>
          <w:rStyle w:val="sb8d990e2"/>
          <w:rFonts w:ascii="Times New Roman" w:hAnsi="Times New Roman" w:cs="Times New Roman"/>
          <w:sz w:val="24"/>
          <w:szCs w:val="24"/>
        </w:rPr>
        <w:t xml:space="preserve">). Tomēr </w:t>
      </w:r>
      <w:r w:rsidR="008C466B">
        <w:rPr>
          <w:rStyle w:val="sb8d990e2"/>
          <w:rFonts w:ascii="Times New Roman" w:hAnsi="Times New Roman" w:cs="Times New Roman"/>
          <w:sz w:val="24"/>
          <w:szCs w:val="24"/>
        </w:rPr>
        <w:t>nacionālo</w:t>
      </w:r>
      <w:r w:rsidRPr="00C2402F">
        <w:rPr>
          <w:rStyle w:val="sb8d990e2"/>
          <w:rFonts w:ascii="Times New Roman" w:hAnsi="Times New Roman" w:cs="Times New Roman"/>
          <w:sz w:val="24"/>
          <w:szCs w:val="24"/>
        </w:rPr>
        <w:t xml:space="preserve"> varas iestāžu noteiktie ierobežojumi attiecībā uz vecāku </w:t>
      </w:r>
      <w:r w:rsidR="008C466B">
        <w:rPr>
          <w:rStyle w:val="sb8d990e2"/>
          <w:rFonts w:ascii="Times New Roman" w:hAnsi="Times New Roman" w:cs="Times New Roman"/>
          <w:sz w:val="24"/>
          <w:szCs w:val="24"/>
        </w:rPr>
        <w:t>saskarsmes</w:t>
      </w:r>
      <w:r w:rsidRPr="00C2402F">
        <w:rPr>
          <w:rStyle w:val="sb8d990e2"/>
          <w:rFonts w:ascii="Times New Roman" w:hAnsi="Times New Roman" w:cs="Times New Roman"/>
          <w:sz w:val="24"/>
          <w:szCs w:val="24"/>
        </w:rPr>
        <w:t xml:space="preserve"> tiesībām prasa stingru pārbaudi, jo tie rada draudus, ka ģimenes attiecības starp mazu bērnu un </w:t>
      </w:r>
      <w:r w:rsidR="008C466B">
        <w:rPr>
          <w:rStyle w:val="sb8d990e2"/>
          <w:rFonts w:ascii="Times New Roman" w:hAnsi="Times New Roman" w:cs="Times New Roman"/>
          <w:sz w:val="24"/>
          <w:szCs w:val="24"/>
        </w:rPr>
        <w:t xml:space="preserve">vienu no vecākiem </w:t>
      </w:r>
      <w:r w:rsidRPr="00C2402F">
        <w:rPr>
          <w:rStyle w:val="sb8d990e2"/>
          <w:rFonts w:ascii="Times New Roman" w:hAnsi="Times New Roman" w:cs="Times New Roman"/>
          <w:sz w:val="24"/>
          <w:szCs w:val="24"/>
        </w:rPr>
        <w:t xml:space="preserve">tiks </w:t>
      </w:r>
      <w:r w:rsidR="008C466B">
        <w:rPr>
          <w:rStyle w:val="sb8d990e2"/>
          <w:rFonts w:ascii="Times New Roman" w:hAnsi="Times New Roman" w:cs="Times New Roman"/>
          <w:sz w:val="24"/>
          <w:szCs w:val="24"/>
        </w:rPr>
        <w:t>faktiski</w:t>
      </w:r>
      <w:r w:rsidRPr="00C2402F">
        <w:rPr>
          <w:rStyle w:val="sb8d990e2"/>
          <w:rFonts w:ascii="Times New Roman" w:hAnsi="Times New Roman" w:cs="Times New Roman"/>
          <w:sz w:val="24"/>
          <w:szCs w:val="24"/>
        </w:rPr>
        <w:t xml:space="preserve"> ierobežotas (</w:t>
      </w:r>
      <w:r w:rsidR="00F117DC" w:rsidRPr="00D13E7D">
        <w:rPr>
          <w:rStyle w:val="sb8d990e2"/>
          <w:rFonts w:ascii="Times New Roman" w:hAnsi="Times New Roman" w:cs="Times New Roman"/>
          <w:sz w:val="24"/>
          <w:szCs w:val="24"/>
        </w:rPr>
        <w:t xml:space="preserve">sk. </w:t>
      </w:r>
      <w:proofErr w:type="spellStart"/>
      <w:r w:rsidR="00F117DC" w:rsidRPr="00D13E7D">
        <w:rPr>
          <w:rStyle w:val="sb8d990e2"/>
          <w:rFonts w:ascii="Times New Roman" w:hAnsi="Times New Roman" w:cs="Times New Roman"/>
          <w:sz w:val="24"/>
          <w:szCs w:val="24"/>
        </w:rPr>
        <w:t>citstarp</w:t>
      </w:r>
      <w:proofErr w:type="spellEnd"/>
      <w:r w:rsidR="00F117DC" w:rsidRPr="00F117DC">
        <w:rPr>
          <w:rStyle w:val="sb8d990e2"/>
          <w:rFonts w:ascii="Times New Roman" w:hAnsi="Times New Roman" w:cs="Times New Roman"/>
          <w:i/>
          <w:iCs/>
          <w:sz w:val="24"/>
          <w:szCs w:val="24"/>
        </w:rPr>
        <w:t xml:space="preserve"> 2000. gada 13. jūlija sprieduma (Lielā palāta) lietā</w:t>
      </w:r>
      <w:r w:rsidR="0006379E">
        <w:rPr>
          <w:rStyle w:val="sb8d990e2"/>
          <w:rFonts w:ascii="Times New Roman" w:hAnsi="Times New Roman" w:cs="Times New Roman"/>
          <w:i/>
          <w:iCs/>
          <w:sz w:val="24"/>
          <w:szCs w:val="24"/>
        </w:rPr>
        <w:t xml:space="preserve"> „</w:t>
      </w:r>
      <w:proofErr w:type="spellStart"/>
      <w:r w:rsidRPr="00F117DC">
        <w:rPr>
          <w:rStyle w:val="sb8d990e2"/>
          <w:rFonts w:ascii="Times New Roman" w:hAnsi="Times New Roman" w:cs="Times New Roman"/>
          <w:i/>
          <w:iCs/>
          <w:sz w:val="24"/>
          <w:szCs w:val="24"/>
        </w:rPr>
        <w:t>Elsholz</w:t>
      </w:r>
      <w:proofErr w:type="spellEnd"/>
      <w:r w:rsidRPr="00F117DC">
        <w:rPr>
          <w:rStyle w:val="sb8d990e2"/>
          <w:rFonts w:ascii="Times New Roman" w:hAnsi="Times New Roman" w:cs="Times New Roman"/>
          <w:i/>
          <w:iCs/>
          <w:sz w:val="24"/>
          <w:szCs w:val="24"/>
        </w:rPr>
        <w:t xml:space="preserve"> v. </w:t>
      </w:r>
      <w:proofErr w:type="spellStart"/>
      <w:r w:rsidRPr="00F117DC">
        <w:rPr>
          <w:rStyle w:val="sb8d990e2"/>
          <w:rFonts w:ascii="Times New Roman" w:hAnsi="Times New Roman" w:cs="Times New Roman"/>
          <w:i/>
          <w:iCs/>
          <w:sz w:val="24"/>
          <w:szCs w:val="24"/>
        </w:rPr>
        <w:t>Germany</w:t>
      </w:r>
      <w:proofErr w:type="spellEnd"/>
      <w:r w:rsidR="00F117DC" w:rsidRPr="00F117DC">
        <w:rPr>
          <w:rStyle w:val="sb8d990e2"/>
          <w:rFonts w:ascii="Times New Roman" w:hAnsi="Times New Roman" w:cs="Times New Roman"/>
          <w:i/>
          <w:iCs/>
          <w:sz w:val="24"/>
          <w:szCs w:val="24"/>
        </w:rPr>
        <w:t>”, iesnieguma Nr. </w:t>
      </w:r>
      <w:hyperlink r:id="rId27" w:history="1">
        <w:r w:rsidRPr="00F117DC">
          <w:rPr>
            <w:rStyle w:val="Hyperlink"/>
            <w:rFonts w:ascii="Times New Roman" w:hAnsi="Times New Roman" w:cs="Times New Roman"/>
            <w:i/>
            <w:iCs/>
            <w:sz w:val="24"/>
            <w:szCs w:val="24"/>
          </w:rPr>
          <w:t>25735/94</w:t>
        </w:r>
      </w:hyperlink>
      <w:r w:rsidRPr="00F117DC">
        <w:rPr>
          <w:rStyle w:val="sb8d990e2"/>
          <w:rFonts w:ascii="Times New Roman" w:hAnsi="Times New Roman" w:cs="Times New Roman"/>
          <w:i/>
          <w:iCs/>
          <w:sz w:val="24"/>
          <w:szCs w:val="24"/>
        </w:rPr>
        <w:t>, 48</w:t>
      </w:r>
      <w:r w:rsidR="00F117DC" w:rsidRPr="00F117DC">
        <w:rPr>
          <w:rStyle w:val="sb8d990e2"/>
          <w:rFonts w:ascii="Times New Roman" w:hAnsi="Times New Roman" w:cs="Times New Roman"/>
          <w:i/>
          <w:iCs/>
          <w:sz w:val="24"/>
          <w:szCs w:val="24"/>
        </w:rPr>
        <w:t>.–49. punktu un iepriekš citētā</w:t>
      </w:r>
      <w:r w:rsidR="0006379E">
        <w:rPr>
          <w:rStyle w:val="sb8d990e2"/>
          <w:rFonts w:ascii="Times New Roman" w:hAnsi="Times New Roman" w:cs="Times New Roman"/>
          <w:i/>
          <w:iCs/>
          <w:sz w:val="24"/>
          <w:szCs w:val="24"/>
        </w:rPr>
        <w:t xml:space="preserve"> „</w:t>
      </w:r>
      <w:proofErr w:type="spellStart"/>
      <w:r w:rsidRPr="00F117DC">
        <w:rPr>
          <w:rStyle w:val="sb8d990e2"/>
          <w:rFonts w:ascii="Times New Roman" w:hAnsi="Times New Roman" w:cs="Times New Roman"/>
          <w:i/>
          <w:iCs/>
          <w:sz w:val="24"/>
          <w:szCs w:val="24"/>
        </w:rPr>
        <w:t>Sommerfel</w:t>
      </w:r>
      <w:r w:rsidR="00F117DC" w:rsidRPr="00F117DC">
        <w:rPr>
          <w:rStyle w:val="sb8d990e2"/>
          <w:rFonts w:ascii="Times New Roman" w:hAnsi="Times New Roman" w:cs="Times New Roman"/>
          <w:i/>
          <w:iCs/>
          <w:sz w:val="24"/>
          <w:szCs w:val="24"/>
        </w:rPr>
        <w:t>d</w:t>
      </w:r>
      <w:proofErr w:type="spellEnd"/>
      <w:r w:rsidR="00F117DC" w:rsidRPr="00F117DC">
        <w:rPr>
          <w:rStyle w:val="sb8d990e2"/>
          <w:rFonts w:ascii="Times New Roman" w:hAnsi="Times New Roman" w:cs="Times New Roman"/>
          <w:i/>
          <w:iCs/>
          <w:sz w:val="24"/>
          <w:szCs w:val="24"/>
        </w:rPr>
        <w:t xml:space="preserve"> v. </w:t>
      </w:r>
      <w:proofErr w:type="spellStart"/>
      <w:r w:rsidR="00F117DC" w:rsidRPr="00F117DC">
        <w:rPr>
          <w:rStyle w:val="sb8d990e2"/>
          <w:rFonts w:ascii="Times New Roman" w:hAnsi="Times New Roman" w:cs="Times New Roman"/>
          <w:i/>
          <w:iCs/>
          <w:sz w:val="24"/>
          <w:szCs w:val="24"/>
        </w:rPr>
        <w:t>Germany</w:t>
      </w:r>
      <w:proofErr w:type="spellEnd"/>
      <w:r w:rsidR="00F117DC" w:rsidRPr="00F117DC">
        <w:rPr>
          <w:rStyle w:val="sb8d990e2"/>
          <w:rFonts w:ascii="Times New Roman" w:hAnsi="Times New Roman" w:cs="Times New Roman"/>
          <w:i/>
          <w:iCs/>
          <w:sz w:val="24"/>
          <w:szCs w:val="24"/>
        </w:rPr>
        <w:t xml:space="preserve"> </w:t>
      </w:r>
      <w:r w:rsidRPr="00F117DC">
        <w:rPr>
          <w:rStyle w:val="sb8d990e2"/>
          <w:rFonts w:ascii="Times New Roman" w:hAnsi="Times New Roman" w:cs="Times New Roman"/>
          <w:i/>
          <w:iCs/>
          <w:sz w:val="24"/>
          <w:szCs w:val="24"/>
        </w:rPr>
        <w:t>62</w:t>
      </w:r>
      <w:r w:rsidR="00F117DC" w:rsidRPr="00F117DC">
        <w:rPr>
          <w:rStyle w:val="sb8d990e2"/>
          <w:rFonts w:ascii="Times New Roman" w:hAnsi="Times New Roman" w:cs="Times New Roman"/>
          <w:i/>
          <w:iCs/>
          <w:sz w:val="24"/>
          <w:szCs w:val="24"/>
        </w:rPr>
        <w:t>.–</w:t>
      </w:r>
      <w:r w:rsidRPr="00F117DC">
        <w:rPr>
          <w:rStyle w:val="sb8d990e2"/>
          <w:rFonts w:ascii="Times New Roman" w:hAnsi="Times New Roman" w:cs="Times New Roman"/>
          <w:i/>
          <w:iCs/>
          <w:sz w:val="24"/>
          <w:szCs w:val="24"/>
        </w:rPr>
        <w:t>63</w:t>
      </w:r>
      <w:r w:rsidR="00F117DC" w:rsidRPr="00F117DC">
        <w:rPr>
          <w:rStyle w:val="sb8d990e2"/>
          <w:rFonts w:ascii="Times New Roman" w:hAnsi="Times New Roman" w:cs="Times New Roman"/>
          <w:i/>
          <w:iCs/>
          <w:sz w:val="24"/>
          <w:szCs w:val="24"/>
        </w:rPr>
        <w:t>. punktu un</w:t>
      </w:r>
      <w:r w:rsidR="0006379E">
        <w:rPr>
          <w:rStyle w:val="sb8d990e2"/>
          <w:rFonts w:ascii="Times New Roman" w:hAnsi="Times New Roman" w:cs="Times New Roman"/>
          <w:i/>
          <w:iCs/>
          <w:sz w:val="24"/>
          <w:szCs w:val="24"/>
        </w:rPr>
        <w:t xml:space="preserve"> „</w:t>
      </w:r>
      <w:proofErr w:type="spellStart"/>
      <w:r w:rsidRPr="00F117DC">
        <w:rPr>
          <w:rStyle w:val="sb8d990e2"/>
          <w:rFonts w:ascii="Times New Roman" w:hAnsi="Times New Roman" w:cs="Times New Roman"/>
          <w:i/>
          <w:iCs/>
          <w:sz w:val="24"/>
          <w:szCs w:val="24"/>
        </w:rPr>
        <w:t>Görgülü</w:t>
      </w:r>
      <w:proofErr w:type="spellEnd"/>
      <w:r w:rsidR="00F117DC" w:rsidRPr="00F117DC">
        <w:rPr>
          <w:rStyle w:val="sb8d990e2"/>
          <w:rFonts w:ascii="Times New Roman" w:hAnsi="Times New Roman" w:cs="Times New Roman"/>
          <w:i/>
          <w:iCs/>
          <w:sz w:val="24"/>
          <w:szCs w:val="24"/>
        </w:rPr>
        <w:t xml:space="preserve"> v. </w:t>
      </w:r>
      <w:proofErr w:type="spellStart"/>
      <w:r w:rsidR="00F117DC" w:rsidRPr="00F117DC">
        <w:rPr>
          <w:rStyle w:val="sb8d990e2"/>
          <w:rFonts w:ascii="Times New Roman" w:hAnsi="Times New Roman" w:cs="Times New Roman"/>
          <w:i/>
          <w:iCs/>
          <w:sz w:val="24"/>
          <w:szCs w:val="24"/>
        </w:rPr>
        <w:t>Germany</w:t>
      </w:r>
      <w:proofErr w:type="spellEnd"/>
      <w:r w:rsidR="00F117DC" w:rsidRPr="00F117DC">
        <w:rPr>
          <w:rStyle w:val="sb8d990e2"/>
          <w:rFonts w:ascii="Times New Roman" w:hAnsi="Times New Roman" w:cs="Times New Roman"/>
          <w:i/>
          <w:iCs/>
          <w:sz w:val="24"/>
          <w:szCs w:val="24"/>
        </w:rPr>
        <w:t xml:space="preserve">” </w:t>
      </w:r>
      <w:r w:rsidRPr="00F117DC">
        <w:rPr>
          <w:rStyle w:val="sb8d990e2"/>
          <w:rFonts w:ascii="Times New Roman" w:hAnsi="Times New Roman" w:cs="Times New Roman"/>
          <w:i/>
          <w:iCs/>
          <w:sz w:val="24"/>
          <w:szCs w:val="24"/>
        </w:rPr>
        <w:t>41</w:t>
      </w:r>
      <w:r w:rsidR="00F117DC" w:rsidRPr="00F117DC">
        <w:rPr>
          <w:rStyle w:val="sb8d990e2"/>
          <w:rFonts w:ascii="Times New Roman" w:hAnsi="Times New Roman" w:cs="Times New Roman"/>
          <w:i/>
          <w:iCs/>
          <w:sz w:val="24"/>
          <w:szCs w:val="24"/>
        </w:rPr>
        <w:t>.–</w:t>
      </w:r>
      <w:r w:rsidRPr="00F117DC">
        <w:rPr>
          <w:rStyle w:val="sb8d990e2"/>
          <w:rFonts w:ascii="Times New Roman" w:hAnsi="Times New Roman" w:cs="Times New Roman"/>
          <w:i/>
          <w:iCs/>
          <w:sz w:val="24"/>
          <w:szCs w:val="24"/>
        </w:rPr>
        <w:t>42</w:t>
      </w:r>
      <w:r w:rsidR="00F117DC" w:rsidRPr="00F117DC">
        <w:rPr>
          <w:rStyle w:val="sb8d990e2"/>
          <w:rFonts w:ascii="Times New Roman" w:hAnsi="Times New Roman" w:cs="Times New Roman"/>
          <w:i/>
          <w:iCs/>
          <w:sz w:val="24"/>
          <w:szCs w:val="24"/>
        </w:rPr>
        <w:t>. punktu</w:t>
      </w:r>
      <w:r>
        <w:rPr>
          <w:rStyle w:val="sb8d990e2"/>
          <w:rFonts w:ascii="Times New Roman" w:hAnsi="Times New Roman" w:cs="Times New Roman"/>
          <w:sz w:val="24"/>
          <w:szCs w:val="24"/>
        </w:rPr>
        <w:t>)</w:t>
      </w:r>
      <w:r w:rsidRPr="00C2402F">
        <w:rPr>
          <w:rStyle w:val="sb8d990e2"/>
          <w:rFonts w:ascii="Times New Roman" w:hAnsi="Times New Roman" w:cs="Times New Roman"/>
          <w:sz w:val="24"/>
          <w:szCs w:val="24"/>
        </w:rPr>
        <w:t>. Iepriekšminēt</w:t>
      </w:r>
      <w:r w:rsidR="008C466B">
        <w:rPr>
          <w:rStyle w:val="sb8d990e2"/>
          <w:rFonts w:ascii="Times New Roman" w:hAnsi="Times New Roman" w:cs="Times New Roman"/>
          <w:sz w:val="24"/>
          <w:szCs w:val="24"/>
        </w:rPr>
        <w:t xml:space="preserve">os </w:t>
      </w:r>
      <w:r w:rsidRPr="00C2402F">
        <w:rPr>
          <w:rStyle w:val="sb8d990e2"/>
          <w:rFonts w:ascii="Times New Roman" w:hAnsi="Times New Roman" w:cs="Times New Roman"/>
          <w:sz w:val="24"/>
          <w:szCs w:val="24"/>
        </w:rPr>
        <w:t>princip</w:t>
      </w:r>
      <w:r w:rsidR="008C466B">
        <w:rPr>
          <w:rStyle w:val="sb8d990e2"/>
          <w:rFonts w:ascii="Times New Roman" w:hAnsi="Times New Roman" w:cs="Times New Roman"/>
          <w:sz w:val="24"/>
          <w:szCs w:val="24"/>
        </w:rPr>
        <w:t>us</w:t>
      </w:r>
      <w:r w:rsidRPr="00C2402F">
        <w:rPr>
          <w:rStyle w:val="sb8d990e2"/>
          <w:rFonts w:ascii="Times New Roman" w:hAnsi="Times New Roman" w:cs="Times New Roman"/>
          <w:sz w:val="24"/>
          <w:szCs w:val="24"/>
        </w:rPr>
        <w:t xml:space="preserve"> jāpiemēro arī tād</w:t>
      </w:r>
      <w:r w:rsidR="008C466B">
        <w:rPr>
          <w:rStyle w:val="sb8d990e2"/>
          <w:rFonts w:ascii="Times New Roman" w:hAnsi="Times New Roman" w:cs="Times New Roman"/>
          <w:sz w:val="24"/>
          <w:szCs w:val="24"/>
        </w:rPr>
        <w:t xml:space="preserve">ā situācijā kā konkrētajā lietā, </w:t>
      </w:r>
      <w:r w:rsidRPr="00C2402F">
        <w:rPr>
          <w:rStyle w:val="sb8d990e2"/>
          <w:rFonts w:ascii="Times New Roman" w:hAnsi="Times New Roman" w:cs="Times New Roman"/>
          <w:sz w:val="24"/>
          <w:szCs w:val="24"/>
        </w:rPr>
        <w:t>kurā</w:t>
      </w:r>
      <w:r w:rsidR="008C466B">
        <w:rPr>
          <w:rStyle w:val="sb8d990e2"/>
          <w:rFonts w:ascii="Times New Roman" w:hAnsi="Times New Roman" w:cs="Times New Roman"/>
          <w:sz w:val="24"/>
          <w:szCs w:val="24"/>
        </w:rPr>
        <w:t xml:space="preserve"> atteikums</w:t>
      </w:r>
      <w:r w:rsidRPr="00C2402F">
        <w:rPr>
          <w:rStyle w:val="sb8d990e2"/>
          <w:rFonts w:ascii="Times New Roman" w:hAnsi="Times New Roman" w:cs="Times New Roman"/>
          <w:sz w:val="24"/>
          <w:szCs w:val="24"/>
        </w:rPr>
        <w:t xml:space="preserve"> bioloģisk</w:t>
      </w:r>
      <w:r w:rsidR="008C466B">
        <w:rPr>
          <w:rStyle w:val="sb8d990e2"/>
          <w:rFonts w:ascii="Times New Roman" w:hAnsi="Times New Roman" w:cs="Times New Roman"/>
          <w:sz w:val="24"/>
          <w:szCs w:val="24"/>
        </w:rPr>
        <w:t>ajam</w:t>
      </w:r>
      <w:r w:rsidRPr="00C2402F">
        <w:rPr>
          <w:rStyle w:val="sb8d990e2"/>
          <w:rFonts w:ascii="Times New Roman" w:hAnsi="Times New Roman" w:cs="Times New Roman"/>
          <w:sz w:val="24"/>
          <w:szCs w:val="24"/>
        </w:rPr>
        <w:t xml:space="preserve"> tēv</w:t>
      </w:r>
      <w:r w:rsidR="008C466B">
        <w:rPr>
          <w:rStyle w:val="sb8d990e2"/>
          <w:rFonts w:ascii="Times New Roman" w:hAnsi="Times New Roman" w:cs="Times New Roman"/>
          <w:sz w:val="24"/>
          <w:szCs w:val="24"/>
        </w:rPr>
        <w:t>am uzturēt saziņu ar viņa bērnu un atteikums saņemt</w:t>
      </w:r>
      <w:r w:rsidRPr="00C2402F">
        <w:rPr>
          <w:rStyle w:val="sb8d990e2"/>
          <w:rFonts w:ascii="Times New Roman" w:hAnsi="Times New Roman" w:cs="Times New Roman"/>
          <w:sz w:val="24"/>
          <w:szCs w:val="24"/>
        </w:rPr>
        <w:t xml:space="preserve"> informāciju par zēna personiskajiem apstākļiem </w:t>
      </w:r>
      <w:r w:rsidR="008C466B">
        <w:rPr>
          <w:rStyle w:val="sb8d990e2"/>
          <w:rFonts w:ascii="Times New Roman" w:hAnsi="Times New Roman" w:cs="Times New Roman"/>
          <w:sz w:val="24"/>
          <w:szCs w:val="24"/>
        </w:rPr>
        <w:t xml:space="preserve">ir atzīstams </w:t>
      </w:r>
      <w:r w:rsidRPr="00C2402F">
        <w:rPr>
          <w:rStyle w:val="sb8d990e2"/>
          <w:rFonts w:ascii="Times New Roman" w:hAnsi="Times New Roman" w:cs="Times New Roman"/>
          <w:sz w:val="24"/>
          <w:szCs w:val="24"/>
        </w:rPr>
        <w:t xml:space="preserve">vismaz </w:t>
      </w:r>
      <w:r w:rsidR="00B80861">
        <w:rPr>
          <w:rStyle w:val="sb8d990e2"/>
          <w:rFonts w:ascii="Times New Roman" w:hAnsi="Times New Roman" w:cs="Times New Roman"/>
          <w:sz w:val="24"/>
          <w:szCs w:val="24"/>
        </w:rPr>
        <w:t xml:space="preserve">par </w:t>
      </w:r>
      <w:r w:rsidRPr="00C2402F">
        <w:rPr>
          <w:rStyle w:val="sb8d990e2"/>
          <w:rFonts w:ascii="Times New Roman" w:hAnsi="Times New Roman" w:cs="Times New Roman"/>
          <w:sz w:val="24"/>
          <w:szCs w:val="24"/>
        </w:rPr>
        <w:t>iejaukšan</w:t>
      </w:r>
      <w:r w:rsidR="008C466B">
        <w:rPr>
          <w:rStyle w:val="sb8d990e2"/>
          <w:rFonts w:ascii="Times New Roman" w:hAnsi="Times New Roman" w:cs="Times New Roman"/>
          <w:sz w:val="24"/>
          <w:szCs w:val="24"/>
        </w:rPr>
        <w:t>os</w:t>
      </w:r>
      <w:r w:rsidR="0006379E">
        <w:rPr>
          <w:rStyle w:val="sb8d990e2"/>
          <w:rFonts w:ascii="Times New Roman" w:hAnsi="Times New Roman" w:cs="Times New Roman"/>
          <w:sz w:val="24"/>
          <w:szCs w:val="24"/>
        </w:rPr>
        <w:t xml:space="preserve"> „</w:t>
      </w:r>
      <w:r w:rsidRPr="00C2402F">
        <w:rPr>
          <w:rStyle w:val="sb8d990e2"/>
          <w:rFonts w:ascii="Times New Roman" w:hAnsi="Times New Roman" w:cs="Times New Roman"/>
          <w:sz w:val="24"/>
          <w:szCs w:val="24"/>
        </w:rPr>
        <w:t>privāt</w:t>
      </w:r>
      <w:r w:rsidR="008C466B">
        <w:rPr>
          <w:rStyle w:val="sb8d990e2"/>
          <w:rFonts w:ascii="Times New Roman" w:hAnsi="Times New Roman" w:cs="Times New Roman"/>
          <w:sz w:val="24"/>
          <w:szCs w:val="24"/>
        </w:rPr>
        <w:t>ajā</w:t>
      </w:r>
      <w:r w:rsidRPr="00C2402F">
        <w:rPr>
          <w:rStyle w:val="sb8d990e2"/>
          <w:rFonts w:ascii="Times New Roman" w:hAnsi="Times New Roman" w:cs="Times New Roman"/>
          <w:sz w:val="24"/>
          <w:szCs w:val="24"/>
        </w:rPr>
        <w:t xml:space="preserve"> dzīv</w:t>
      </w:r>
      <w:r w:rsidR="008C466B">
        <w:rPr>
          <w:rStyle w:val="sb8d990e2"/>
          <w:rFonts w:ascii="Times New Roman" w:hAnsi="Times New Roman" w:cs="Times New Roman"/>
          <w:sz w:val="24"/>
          <w:szCs w:val="24"/>
        </w:rPr>
        <w:t>ē</w:t>
      </w:r>
      <w:r w:rsidRPr="00C2402F">
        <w:rPr>
          <w:rStyle w:val="sb8d990e2"/>
          <w:rFonts w:ascii="Times New Roman" w:hAnsi="Times New Roman" w:cs="Times New Roman"/>
          <w:sz w:val="24"/>
          <w:szCs w:val="24"/>
        </w:rPr>
        <w:t>”</w:t>
      </w:r>
      <w:r>
        <w:rPr>
          <w:rStyle w:val="sb8d990e2"/>
          <w:rFonts w:ascii="Times New Roman" w:hAnsi="Times New Roman" w:cs="Times New Roman"/>
          <w:sz w:val="24"/>
          <w:szCs w:val="24"/>
        </w:rPr>
        <w:t xml:space="preserve"> </w:t>
      </w:r>
      <w:r w:rsidRPr="00C2402F">
        <w:rPr>
          <w:rStyle w:val="sb8d990e2"/>
          <w:rFonts w:ascii="Times New Roman" w:hAnsi="Times New Roman" w:cs="Times New Roman"/>
          <w:sz w:val="24"/>
          <w:szCs w:val="24"/>
        </w:rPr>
        <w:t>(</w:t>
      </w:r>
      <w:r w:rsidR="00F117DC" w:rsidRPr="00D13E7D">
        <w:rPr>
          <w:rStyle w:val="sb8d990e2"/>
          <w:rFonts w:ascii="Times New Roman" w:hAnsi="Times New Roman" w:cs="Times New Roman"/>
          <w:sz w:val="24"/>
          <w:szCs w:val="24"/>
        </w:rPr>
        <w:t>sk.</w:t>
      </w:r>
      <w:r w:rsidRPr="00F117DC">
        <w:rPr>
          <w:rStyle w:val="sb8d990e2"/>
          <w:rFonts w:ascii="Times New Roman" w:hAnsi="Times New Roman" w:cs="Times New Roman"/>
          <w:i/>
          <w:iCs/>
          <w:sz w:val="24"/>
          <w:szCs w:val="24"/>
        </w:rPr>
        <w:t xml:space="preserve"> </w:t>
      </w:r>
      <w:proofErr w:type="spellStart"/>
      <w:r w:rsidRPr="00F117DC">
        <w:rPr>
          <w:rStyle w:val="sb8d990e2"/>
          <w:rFonts w:ascii="Times New Roman" w:hAnsi="Times New Roman" w:cs="Times New Roman"/>
          <w:i/>
          <w:iCs/>
          <w:sz w:val="24"/>
          <w:szCs w:val="24"/>
        </w:rPr>
        <w:t>mutatis</w:t>
      </w:r>
      <w:proofErr w:type="spellEnd"/>
      <w:r w:rsidRPr="00F117DC">
        <w:rPr>
          <w:rStyle w:val="sb8d990e2"/>
          <w:rFonts w:ascii="Times New Roman" w:hAnsi="Times New Roman" w:cs="Times New Roman"/>
          <w:i/>
          <w:iCs/>
          <w:sz w:val="24"/>
          <w:szCs w:val="24"/>
        </w:rPr>
        <w:t xml:space="preserve"> </w:t>
      </w:r>
      <w:proofErr w:type="spellStart"/>
      <w:r w:rsidRPr="00F117DC">
        <w:rPr>
          <w:rStyle w:val="sb8d990e2"/>
          <w:rFonts w:ascii="Times New Roman" w:hAnsi="Times New Roman" w:cs="Times New Roman"/>
          <w:i/>
          <w:iCs/>
          <w:sz w:val="24"/>
          <w:szCs w:val="24"/>
        </w:rPr>
        <w:t>mutandis</w:t>
      </w:r>
      <w:proofErr w:type="spellEnd"/>
      <w:r w:rsidR="00F117DC" w:rsidRPr="00F117DC">
        <w:rPr>
          <w:rStyle w:val="sb8d990e2"/>
          <w:rFonts w:ascii="Times New Roman" w:hAnsi="Times New Roman" w:cs="Times New Roman"/>
          <w:i/>
          <w:iCs/>
          <w:sz w:val="24"/>
          <w:szCs w:val="24"/>
        </w:rPr>
        <w:t xml:space="preserve"> iepriekš citētā</w:t>
      </w:r>
      <w:r w:rsidR="0006379E">
        <w:rPr>
          <w:rStyle w:val="sb8d990e2"/>
          <w:rFonts w:ascii="Times New Roman" w:hAnsi="Times New Roman" w:cs="Times New Roman"/>
          <w:i/>
          <w:iCs/>
          <w:sz w:val="24"/>
          <w:szCs w:val="24"/>
        </w:rPr>
        <w:t xml:space="preserve"> „</w:t>
      </w:r>
      <w:proofErr w:type="spellStart"/>
      <w:r w:rsidRPr="00F117DC">
        <w:rPr>
          <w:rStyle w:val="sb8d990e2"/>
          <w:rFonts w:ascii="Times New Roman" w:hAnsi="Times New Roman" w:cs="Times New Roman"/>
          <w:i/>
          <w:iCs/>
          <w:sz w:val="24"/>
          <w:szCs w:val="24"/>
        </w:rPr>
        <w:t>Anayo</w:t>
      </w:r>
      <w:proofErr w:type="spellEnd"/>
      <w:r w:rsidR="00F117DC" w:rsidRPr="00F117DC">
        <w:rPr>
          <w:rStyle w:val="sb8d990e2"/>
          <w:rFonts w:ascii="Times New Roman" w:hAnsi="Times New Roman" w:cs="Times New Roman"/>
          <w:i/>
          <w:iCs/>
          <w:sz w:val="24"/>
          <w:szCs w:val="24"/>
        </w:rPr>
        <w:t xml:space="preserve"> v. </w:t>
      </w:r>
      <w:proofErr w:type="spellStart"/>
      <w:r w:rsidR="00F117DC" w:rsidRPr="00F117DC">
        <w:rPr>
          <w:rStyle w:val="sb8d990e2"/>
          <w:rFonts w:ascii="Times New Roman" w:hAnsi="Times New Roman" w:cs="Times New Roman"/>
          <w:i/>
          <w:iCs/>
          <w:sz w:val="24"/>
          <w:szCs w:val="24"/>
        </w:rPr>
        <w:t>Germany</w:t>
      </w:r>
      <w:proofErr w:type="spellEnd"/>
      <w:r w:rsidR="00F117DC" w:rsidRPr="00F117DC">
        <w:rPr>
          <w:rStyle w:val="sb8d990e2"/>
          <w:rFonts w:ascii="Times New Roman" w:hAnsi="Times New Roman" w:cs="Times New Roman"/>
          <w:i/>
          <w:iCs/>
          <w:sz w:val="24"/>
          <w:szCs w:val="24"/>
        </w:rPr>
        <w:t xml:space="preserve">” </w:t>
      </w:r>
      <w:r w:rsidRPr="00F117DC">
        <w:rPr>
          <w:rStyle w:val="sb8d990e2"/>
          <w:rFonts w:ascii="Times New Roman" w:hAnsi="Times New Roman" w:cs="Times New Roman"/>
          <w:i/>
          <w:iCs/>
          <w:sz w:val="24"/>
          <w:szCs w:val="24"/>
        </w:rPr>
        <w:t>66</w:t>
      </w:r>
      <w:r w:rsidR="00F117DC" w:rsidRPr="00F117DC">
        <w:rPr>
          <w:rStyle w:val="sb8d990e2"/>
          <w:rFonts w:ascii="Times New Roman" w:hAnsi="Times New Roman" w:cs="Times New Roman"/>
          <w:i/>
          <w:iCs/>
          <w:sz w:val="24"/>
          <w:szCs w:val="24"/>
        </w:rPr>
        <w:t>. punktu</w:t>
      </w:r>
      <w:r w:rsidRPr="00C2402F">
        <w:rPr>
          <w:rStyle w:val="sb8d990e2"/>
          <w:rFonts w:ascii="Times New Roman" w:hAnsi="Times New Roman" w:cs="Times New Roman"/>
          <w:sz w:val="24"/>
          <w:szCs w:val="24"/>
        </w:rPr>
        <w:t>).</w:t>
      </w:r>
    </w:p>
    <w:p w14:paraId="71E32786" w14:textId="0432395C" w:rsidR="008C466B" w:rsidRDefault="008C466B" w:rsidP="00A874F9">
      <w:pPr>
        <w:spacing w:after="200" w:line="240" w:lineRule="auto"/>
        <w:jc w:val="both"/>
        <w:rPr>
          <w:rStyle w:val="sb8d990e2"/>
          <w:rFonts w:ascii="Times New Roman" w:hAnsi="Times New Roman" w:cs="Times New Roman"/>
          <w:sz w:val="24"/>
          <w:szCs w:val="24"/>
        </w:rPr>
      </w:pPr>
      <w:r>
        <w:rPr>
          <w:rStyle w:val="sb8d990e2"/>
          <w:rFonts w:ascii="Times New Roman" w:hAnsi="Times New Roman" w:cs="Times New Roman"/>
          <w:sz w:val="24"/>
          <w:szCs w:val="24"/>
        </w:rPr>
        <w:t>[..]</w:t>
      </w:r>
    </w:p>
    <w:p w14:paraId="0CDDA065" w14:textId="04BE6FB7" w:rsidR="00EC3D91" w:rsidRPr="00B90822" w:rsidRDefault="008C466B" w:rsidP="00443E2F">
      <w:pPr>
        <w:spacing w:after="200" w:line="240" w:lineRule="auto"/>
        <w:jc w:val="both"/>
        <w:rPr>
          <w:rFonts w:ascii="Times New Roman" w:hAnsi="Times New Roman" w:cs="Times New Roman"/>
          <w:sz w:val="24"/>
          <w:szCs w:val="24"/>
        </w:rPr>
      </w:pPr>
      <w:r>
        <w:rPr>
          <w:rStyle w:val="sb8d990e2"/>
          <w:rFonts w:ascii="Times New Roman" w:hAnsi="Times New Roman" w:cs="Times New Roman"/>
          <w:sz w:val="24"/>
          <w:szCs w:val="24"/>
        </w:rPr>
        <w:t xml:space="preserve">100. </w:t>
      </w:r>
      <w:r w:rsidRPr="008C466B">
        <w:rPr>
          <w:rStyle w:val="sb8d990e2"/>
          <w:rFonts w:ascii="Times New Roman" w:hAnsi="Times New Roman" w:cs="Times New Roman"/>
          <w:sz w:val="24"/>
          <w:szCs w:val="24"/>
        </w:rPr>
        <w:t xml:space="preserve">Tiesa tomēr nevar neapstiprināt savu pieeju spriedumā </w:t>
      </w:r>
      <w:r w:rsidR="001D5866">
        <w:rPr>
          <w:rStyle w:val="sb8d990e2"/>
          <w:rFonts w:ascii="Times New Roman" w:hAnsi="Times New Roman" w:cs="Times New Roman"/>
          <w:sz w:val="24"/>
          <w:szCs w:val="24"/>
        </w:rPr>
        <w:t>lietā</w:t>
      </w:r>
      <w:r w:rsidR="0006379E">
        <w:rPr>
          <w:rStyle w:val="sb8d990e2"/>
          <w:rFonts w:ascii="Times New Roman" w:hAnsi="Times New Roman" w:cs="Times New Roman"/>
          <w:sz w:val="24"/>
          <w:szCs w:val="24"/>
        </w:rPr>
        <w:t xml:space="preserve"> „</w:t>
      </w:r>
      <w:proofErr w:type="spellStart"/>
      <w:r w:rsidRPr="008C466B">
        <w:rPr>
          <w:rStyle w:val="sb8d990e2"/>
          <w:rFonts w:ascii="Times New Roman" w:hAnsi="Times New Roman" w:cs="Times New Roman"/>
          <w:sz w:val="24"/>
          <w:szCs w:val="24"/>
        </w:rPr>
        <w:t>Anayo</w:t>
      </w:r>
      <w:proofErr w:type="spellEnd"/>
      <w:r w:rsidR="001D5866">
        <w:rPr>
          <w:rStyle w:val="sb8d990e2"/>
          <w:rFonts w:ascii="Times New Roman" w:hAnsi="Times New Roman" w:cs="Times New Roman"/>
          <w:sz w:val="24"/>
          <w:szCs w:val="24"/>
        </w:rPr>
        <w:t xml:space="preserve"> v. </w:t>
      </w:r>
      <w:proofErr w:type="spellStart"/>
      <w:r w:rsidR="001D5866">
        <w:rPr>
          <w:rStyle w:val="sb8d990e2"/>
          <w:rFonts w:ascii="Times New Roman" w:hAnsi="Times New Roman" w:cs="Times New Roman"/>
          <w:sz w:val="24"/>
          <w:szCs w:val="24"/>
        </w:rPr>
        <w:t>Germany</w:t>
      </w:r>
      <w:proofErr w:type="spellEnd"/>
      <w:r w:rsidR="001D5866">
        <w:rPr>
          <w:rStyle w:val="sb8d990e2"/>
          <w:rFonts w:ascii="Times New Roman" w:hAnsi="Times New Roman" w:cs="Times New Roman"/>
          <w:sz w:val="24"/>
          <w:szCs w:val="24"/>
        </w:rPr>
        <w:t>”</w:t>
      </w:r>
      <w:r w:rsidRPr="008C466B">
        <w:rPr>
          <w:rStyle w:val="sb8d990e2"/>
          <w:rFonts w:ascii="Times New Roman" w:hAnsi="Times New Roman" w:cs="Times New Roman"/>
          <w:sz w:val="24"/>
          <w:szCs w:val="24"/>
        </w:rPr>
        <w:t xml:space="preserve"> (</w:t>
      </w:r>
      <w:r w:rsidRPr="001D5866">
        <w:rPr>
          <w:rStyle w:val="sb8d990e2"/>
          <w:rFonts w:ascii="Times New Roman" w:hAnsi="Times New Roman" w:cs="Times New Roman"/>
          <w:i/>
          <w:iCs/>
          <w:sz w:val="24"/>
          <w:szCs w:val="24"/>
        </w:rPr>
        <w:t>citēts iepriekš, 67.–73.</w:t>
      </w:r>
      <w:r w:rsidR="001D5866" w:rsidRPr="001D5866">
        <w:rPr>
          <w:rStyle w:val="sb8d990e2"/>
          <w:rFonts w:ascii="Times New Roman" w:hAnsi="Times New Roman" w:cs="Times New Roman"/>
          <w:i/>
          <w:iCs/>
          <w:sz w:val="24"/>
          <w:szCs w:val="24"/>
        </w:rPr>
        <w:t> p</w:t>
      </w:r>
      <w:r w:rsidRPr="001D5866">
        <w:rPr>
          <w:rStyle w:val="sb8d990e2"/>
          <w:rFonts w:ascii="Times New Roman" w:hAnsi="Times New Roman" w:cs="Times New Roman"/>
          <w:i/>
          <w:iCs/>
          <w:sz w:val="24"/>
          <w:szCs w:val="24"/>
        </w:rPr>
        <w:t>unkts</w:t>
      </w:r>
      <w:r w:rsidRPr="008C466B">
        <w:rPr>
          <w:rStyle w:val="sb8d990e2"/>
          <w:rFonts w:ascii="Times New Roman" w:hAnsi="Times New Roman" w:cs="Times New Roman"/>
          <w:sz w:val="24"/>
          <w:szCs w:val="24"/>
        </w:rPr>
        <w:t>), kā arī lietā</w:t>
      </w:r>
      <w:r w:rsidR="0006379E">
        <w:rPr>
          <w:rStyle w:val="sb8d990e2"/>
          <w:rFonts w:ascii="Times New Roman" w:hAnsi="Times New Roman" w:cs="Times New Roman"/>
          <w:sz w:val="24"/>
          <w:szCs w:val="24"/>
        </w:rPr>
        <w:t xml:space="preserve"> „</w:t>
      </w:r>
      <w:proofErr w:type="spellStart"/>
      <w:r w:rsidRPr="008C466B">
        <w:rPr>
          <w:rStyle w:val="sb8d990e2"/>
          <w:rFonts w:ascii="Times New Roman" w:hAnsi="Times New Roman" w:cs="Times New Roman"/>
          <w:sz w:val="24"/>
          <w:szCs w:val="24"/>
        </w:rPr>
        <w:t>Zaunegger</w:t>
      </w:r>
      <w:proofErr w:type="spellEnd"/>
      <w:r w:rsidRPr="008C466B">
        <w:rPr>
          <w:rStyle w:val="sb8d990e2"/>
          <w:rFonts w:ascii="Times New Roman" w:hAnsi="Times New Roman" w:cs="Times New Roman"/>
          <w:sz w:val="24"/>
          <w:szCs w:val="24"/>
        </w:rPr>
        <w:t xml:space="preserve"> </w:t>
      </w:r>
      <w:r w:rsidR="001D5866">
        <w:rPr>
          <w:rStyle w:val="sb8d990e2"/>
          <w:rFonts w:ascii="Times New Roman" w:hAnsi="Times New Roman" w:cs="Times New Roman"/>
          <w:sz w:val="24"/>
          <w:szCs w:val="24"/>
        </w:rPr>
        <w:t xml:space="preserve">v. </w:t>
      </w:r>
      <w:proofErr w:type="spellStart"/>
      <w:r w:rsidR="001D5866">
        <w:rPr>
          <w:rStyle w:val="sb8d990e2"/>
          <w:rFonts w:ascii="Times New Roman" w:hAnsi="Times New Roman" w:cs="Times New Roman"/>
          <w:sz w:val="24"/>
          <w:szCs w:val="24"/>
        </w:rPr>
        <w:t>Germany</w:t>
      </w:r>
      <w:proofErr w:type="spellEnd"/>
      <w:r w:rsidR="001D5866">
        <w:rPr>
          <w:rStyle w:val="sb8d990e2"/>
          <w:rFonts w:ascii="Times New Roman" w:hAnsi="Times New Roman" w:cs="Times New Roman"/>
          <w:sz w:val="24"/>
          <w:szCs w:val="24"/>
        </w:rPr>
        <w:t>”</w:t>
      </w:r>
      <w:r w:rsidRPr="008C466B">
        <w:rPr>
          <w:rStyle w:val="sb8d990e2"/>
          <w:rFonts w:ascii="Times New Roman" w:hAnsi="Times New Roman" w:cs="Times New Roman"/>
          <w:sz w:val="24"/>
          <w:szCs w:val="24"/>
        </w:rPr>
        <w:t xml:space="preserve"> </w:t>
      </w:r>
      <w:proofErr w:type="gramStart"/>
      <w:r w:rsidRPr="008C466B">
        <w:rPr>
          <w:rStyle w:val="sb8d990e2"/>
          <w:rFonts w:ascii="Times New Roman" w:hAnsi="Times New Roman" w:cs="Times New Roman"/>
          <w:sz w:val="24"/>
          <w:szCs w:val="24"/>
        </w:rPr>
        <w:t>(</w:t>
      </w:r>
      <w:proofErr w:type="gramEnd"/>
      <w:r w:rsidR="001D5866" w:rsidRPr="001D5866">
        <w:rPr>
          <w:rStyle w:val="sb8d990e2"/>
          <w:rFonts w:ascii="Times New Roman" w:hAnsi="Times New Roman" w:cs="Times New Roman"/>
          <w:i/>
          <w:iCs/>
          <w:sz w:val="24"/>
          <w:szCs w:val="24"/>
        </w:rPr>
        <w:t xml:space="preserve">2009. gada 3. decembra spriedums, iesnieguma </w:t>
      </w:r>
      <w:r w:rsidRPr="001D5866">
        <w:rPr>
          <w:rStyle w:val="sb8d990e2"/>
          <w:rFonts w:ascii="Times New Roman" w:hAnsi="Times New Roman" w:cs="Times New Roman"/>
          <w:i/>
          <w:iCs/>
          <w:sz w:val="24"/>
          <w:szCs w:val="24"/>
        </w:rPr>
        <w:t xml:space="preserve">Nr. </w:t>
      </w:r>
      <w:hyperlink r:id="rId28" w:history="1">
        <w:r w:rsidRPr="001D5866">
          <w:rPr>
            <w:rStyle w:val="Hyperlink"/>
            <w:rFonts w:ascii="Times New Roman" w:hAnsi="Times New Roman" w:cs="Times New Roman"/>
            <w:i/>
            <w:iCs/>
            <w:sz w:val="24"/>
            <w:szCs w:val="24"/>
          </w:rPr>
          <w:t>22028/04</w:t>
        </w:r>
      </w:hyperlink>
      <w:r w:rsidRPr="001D5866">
        <w:rPr>
          <w:rStyle w:val="sb8d990e2"/>
          <w:rFonts w:ascii="Times New Roman" w:hAnsi="Times New Roman" w:cs="Times New Roman"/>
          <w:i/>
          <w:iCs/>
          <w:sz w:val="24"/>
          <w:szCs w:val="24"/>
        </w:rPr>
        <w:t xml:space="preserve">, 44. un </w:t>
      </w:r>
      <w:r w:rsidR="001D5866" w:rsidRPr="001D5866">
        <w:rPr>
          <w:rStyle w:val="sb8d990e2"/>
          <w:rFonts w:ascii="Times New Roman" w:hAnsi="Times New Roman" w:cs="Times New Roman"/>
          <w:i/>
          <w:iCs/>
          <w:sz w:val="24"/>
          <w:szCs w:val="24"/>
        </w:rPr>
        <w:t>turpmākie punkti</w:t>
      </w:r>
      <w:r w:rsidRPr="001D5866">
        <w:rPr>
          <w:rStyle w:val="sb8d990e2"/>
          <w:rFonts w:ascii="Times New Roman" w:hAnsi="Times New Roman" w:cs="Times New Roman"/>
          <w:i/>
          <w:iCs/>
          <w:sz w:val="24"/>
          <w:szCs w:val="24"/>
        </w:rPr>
        <w:t>, kas attiec</w:t>
      </w:r>
      <w:r w:rsidR="00D13E7D">
        <w:rPr>
          <w:rStyle w:val="sb8d990e2"/>
          <w:rFonts w:ascii="Times New Roman" w:hAnsi="Times New Roman" w:cs="Times New Roman"/>
          <w:i/>
          <w:iCs/>
          <w:sz w:val="24"/>
          <w:szCs w:val="24"/>
        </w:rPr>
        <w:t>a</w:t>
      </w:r>
      <w:r w:rsidRPr="001D5866">
        <w:rPr>
          <w:rStyle w:val="sb8d990e2"/>
          <w:rFonts w:ascii="Times New Roman" w:hAnsi="Times New Roman" w:cs="Times New Roman"/>
          <w:i/>
          <w:iCs/>
          <w:sz w:val="24"/>
          <w:szCs w:val="24"/>
        </w:rPr>
        <w:t>s</w:t>
      </w:r>
      <w:r w:rsidR="001D5866" w:rsidRPr="001D5866">
        <w:rPr>
          <w:rStyle w:val="sb8d990e2"/>
          <w:rFonts w:ascii="Times New Roman" w:hAnsi="Times New Roman" w:cs="Times New Roman"/>
          <w:i/>
          <w:iCs/>
          <w:sz w:val="24"/>
          <w:szCs w:val="24"/>
        </w:rPr>
        <w:t xml:space="preserve"> uz gadījumu, kur </w:t>
      </w:r>
      <w:r w:rsidRPr="001D5866">
        <w:rPr>
          <w:rStyle w:val="sb8d990e2"/>
          <w:rFonts w:ascii="Times New Roman" w:hAnsi="Times New Roman" w:cs="Times New Roman"/>
          <w:i/>
          <w:iCs/>
          <w:sz w:val="24"/>
          <w:szCs w:val="24"/>
        </w:rPr>
        <w:t>no tiesas pārbaudes</w:t>
      </w:r>
      <w:r w:rsidR="001D5866" w:rsidRPr="001D5866">
        <w:rPr>
          <w:rStyle w:val="sb8d990e2"/>
          <w:rFonts w:ascii="Times New Roman" w:hAnsi="Times New Roman" w:cs="Times New Roman"/>
          <w:i/>
          <w:iCs/>
          <w:sz w:val="24"/>
          <w:szCs w:val="24"/>
        </w:rPr>
        <w:t xml:space="preserve"> bija vispārīgi izslēgta</w:t>
      </w:r>
      <w:r w:rsidRPr="001D5866">
        <w:rPr>
          <w:rStyle w:val="sb8d990e2"/>
          <w:rFonts w:ascii="Times New Roman" w:hAnsi="Times New Roman" w:cs="Times New Roman"/>
          <w:i/>
          <w:iCs/>
          <w:sz w:val="24"/>
          <w:szCs w:val="24"/>
        </w:rPr>
        <w:t xml:space="preserve"> </w:t>
      </w:r>
      <w:r w:rsidR="001D5866" w:rsidRPr="001D5866">
        <w:rPr>
          <w:rStyle w:val="sb8d990e2"/>
          <w:rFonts w:ascii="Times New Roman" w:hAnsi="Times New Roman" w:cs="Times New Roman"/>
          <w:i/>
          <w:iCs/>
          <w:sz w:val="24"/>
          <w:szCs w:val="24"/>
        </w:rPr>
        <w:t>atsevišķas</w:t>
      </w:r>
      <w:r w:rsidRPr="001D5866">
        <w:rPr>
          <w:rStyle w:val="sb8d990e2"/>
          <w:rFonts w:ascii="Times New Roman" w:hAnsi="Times New Roman" w:cs="Times New Roman"/>
          <w:i/>
          <w:iCs/>
          <w:sz w:val="24"/>
          <w:szCs w:val="24"/>
        </w:rPr>
        <w:t xml:space="preserve"> </w:t>
      </w:r>
      <w:r w:rsidR="001D5866" w:rsidRPr="001D5866">
        <w:rPr>
          <w:rStyle w:val="sb8d990e2"/>
          <w:rFonts w:ascii="Times New Roman" w:hAnsi="Times New Roman" w:cs="Times New Roman"/>
          <w:i/>
          <w:iCs/>
          <w:sz w:val="24"/>
          <w:szCs w:val="24"/>
        </w:rPr>
        <w:t>aizgādības</w:t>
      </w:r>
      <w:r w:rsidRPr="001D5866">
        <w:rPr>
          <w:rStyle w:val="sb8d990e2"/>
          <w:rFonts w:ascii="Times New Roman" w:hAnsi="Times New Roman" w:cs="Times New Roman"/>
          <w:i/>
          <w:iCs/>
          <w:sz w:val="24"/>
          <w:szCs w:val="24"/>
        </w:rPr>
        <w:t xml:space="preserve"> piešķiršan</w:t>
      </w:r>
      <w:r w:rsidR="001D5866" w:rsidRPr="001D5866">
        <w:rPr>
          <w:rStyle w:val="sb8d990e2"/>
          <w:rFonts w:ascii="Times New Roman" w:hAnsi="Times New Roman" w:cs="Times New Roman"/>
          <w:i/>
          <w:iCs/>
          <w:sz w:val="24"/>
          <w:szCs w:val="24"/>
        </w:rPr>
        <w:t>a</w:t>
      </w:r>
      <w:r w:rsidRPr="001D5866">
        <w:rPr>
          <w:rStyle w:val="sb8d990e2"/>
          <w:rFonts w:ascii="Times New Roman" w:hAnsi="Times New Roman" w:cs="Times New Roman"/>
          <w:i/>
          <w:iCs/>
          <w:sz w:val="24"/>
          <w:szCs w:val="24"/>
        </w:rPr>
        <w:t xml:space="preserve"> ārpus laulības dzimuša bērna māte</w:t>
      </w:r>
      <w:r w:rsidR="001D5866" w:rsidRPr="001D5866">
        <w:rPr>
          <w:rStyle w:val="sb8d990e2"/>
          <w:rFonts w:ascii="Times New Roman" w:hAnsi="Times New Roman" w:cs="Times New Roman"/>
          <w:i/>
          <w:iCs/>
          <w:sz w:val="24"/>
          <w:szCs w:val="24"/>
        </w:rPr>
        <w:t>i</w:t>
      </w:r>
      <w:r w:rsidRPr="001D5866">
        <w:rPr>
          <w:rStyle w:val="sb8d990e2"/>
          <w:rFonts w:ascii="Times New Roman" w:hAnsi="Times New Roman" w:cs="Times New Roman"/>
          <w:i/>
          <w:iCs/>
          <w:sz w:val="24"/>
          <w:szCs w:val="24"/>
        </w:rPr>
        <w:t xml:space="preserve">; </w:t>
      </w:r>
      <w:r w:rsidR="001D5866" w:rsidRPr="001D5866">
        <w:rPr>
          <w:rStyle w:val="sb8d990e2"/>
          <w:rFonts w:ascii="Times New Roman" w:hAnsi="Times New Roman" w:cs="Times New Roman"/>
          <w:i/>
          <w:iCs/>
          <w:sz w:val="24"/>
          <w:szCs w:val="24"/>
        </w:rPr>
        <w:t xml:space="preserve">nacionālās </w:t>
      </w:r>
      <w:r w:rsidRPr="001D5866">
        <w:rPr>
          <w:rStyle w:val="sb8d990e2"/>
          <w:rFonts w:ascii="Times New Roman" w:hAnsi="Times New Roman" w:cs="Times New Roman"/>
          <w:i/>
          <w:iCs/>
          <w:sz w:val="24"/>
          <w:szCs w:val="24"/>
        </w:rPr>
        <w:t>tiesas, piemērojot attiecīg</w:t>
      </w:r>
      <w:r w:rsidR="001D5866" w:rsidRPr="001D5866">
        <w:rPr>
          <w:rStyle w:val="sb8d990e2"/>
          <w:rFonts w:ascii="Times New Roman" w:hAnsi="Times New Roman" w:cs="Times New Roman"/>
          <w:i/>
          <w:iCs/>
          <w:sz w:val="24"/>
          <w:szCs w:val="24"/>
        </w:rPr>
        <w:t>ās</w:t>
      </w:r>
      <w:r w:rsidRPr="001D5866">
        <w:rPr>
          <w:rStyle w:val="sb8d990e2"/>
          <w:rFonts w:ascii="Times New Roman" w:hAnsi="Times New Roman" w:cs="Times New Roman"/>
          <w:i/>
          <w:iCs/>
          <w:sz w:val="24"/>
          <w:szCs w:val="24"/>
        </w:rPr>
        <w:t xml:space="preserve"> Civilkodeksa </w:t>
      </w:r>
      <w:r w:rsidR="001D5866" w:rsidRPr="001D5866">
        <w:rPr>
          <w:rStyle w:val="sb8d990e2"/>
          <w:rFonts w:ascii="Times New Roman" w:hAnsi="Times New Roman" w:cs="Times New Roman"/>
          <w:i/>
          <w:iCs/>
          <w:sz w:val="24"/>
          <w:szCs w:val="24"/>
        </w:rPr>
        <w:t>normas</w:t>
      </w:r>
      <w:r w:rsidRPr="001D5866">
        <w:rPr>
          <w:rStyle w:val="sb8d990e2"/>
          <w:rFonts w:ascii="Times New Roman" w:hAnsi="Times New Roman" w:cs="Times New Roman"/>
          <w:i/>
          <w:iCs/>
          <w:sz w:val="24"/>
          <w:szCs w:val="24"/>
        </w:rPr>
        <w:t>,</w:t>
      </w:r>
      <w:r w:rsidR="001D5866" w:rsidRPr="001D5866">
        <w:rPr>
          <w:rStyle w:val="sb8d990e2"/>
          <w:rFonts w:ascii="Times New Roman" w:hAnsi="Times New Roman" w:cs="Times New Roman"/>
          <w:i/>
          <w:iCs/>
          <w:sz w:val="24"/>
          <w:szCs w:val="24"/>
        </w:rPr>
        <w:t xml:space="preserve"> bez turpmākas pārbaudes pēc būtības</w:t>
      </w:r>
      <w:r w:rsidRPr="001D5866">
        <w:rPr>
          <w:rStyle w:val="sb8d990e2"/>
          <w:rFonts w:ascii="Times New Roman" w:hAnsi="Times New Roman" w:cs="Times New Roman"/>
          <w:i/>
          <w:iCs/>
          <w:sz w:val="24"/>
          <w:szCs w:val="24"/>
        </w:rPr>
        <w:t xml:space="preserve"> </w:t>
      </w:r>
      <w:r w:rsidR="001D5866" w:rsidRPr="001D5866">
        <w:rPr>
          <w:rStyle w:val="sb8d990e2"/>
          <w:rFonts w:ascii="Times New Roman" w:hAnsi="Times New Roman" w:cs="Times New Roman"/>
          <w:i/>
          <w:iCs/>
          <w:sz w:val="24"/>
          <w:szCs w:val="24"/>
        </w:rPr>
        <w:t xml:space="preserve">atzina, ka </w:t>
      </w:r>
      <w:r w:rsidRPr="001D5866">
        <w:rPr>
          <w:rStyle w:val="sb8d990e2"/>
          <w:rFonts w:ascii="Times New Roman" w:hAnsi="Times New Roman" w:cs="Times New Roman"/>
          <w:i/>
          <w:iCs/>
          <w:sz w:val="24"/>
          <w:szCs w:val="24"/>
        </w:rPr>
        <w:t>vecāk</w:t>
      </w:r>
      <w:r w:rsidR="001D5866" w:rsidRPr="001D5866">
        <w:rPr>
          <w:rStyle w:val="sb8d990e2"/>
          <w:rFonts w:ascii="Times New Roman" w:hAnsi="Times New Roman" w:cs="Times New Roman"/>
          <w:i/>
          <w:iCs/>
          <w:sz w:val="24"/>
          <w:szCs w:val="24"/>
        </w:rPr>
        <w:t xml:space="preserve">u </w:t>
      </w:r>
      <w:r w:rsidRPr="001D5866">
        <w:rPr>
          <w:rStyle w:val="sb8d990e2"/>
          <w:rFonts w:ascii="Times New Roman" w:hAnsi="Times New Roman" w:cs="Times New Roman"/>
          <w:i/>
          <w:iCs/>
          <w:sz w:val="24"/>
          <w:szCs w:val="24"/>
        </w:rPr>
        <w:t>tiesīb</w:t>
      </w:r>
      <w:r w:rsidR="001D5866" w:rsidRPr="001D5866">
        <w:rPr>
          <w:rStyle w:val="sb8d990e2"/>
          <w:rFonts w:ascii="Times New Roman" w:hAnsi="Times New Roman" w:cs="Times New Roman"/>
          <w:i/>
          <w:iCs/>
          <w:sz w:val="24"/>
          <w:szCs w:val="24"/>
        </w:rPr>
        <w:t>u piešķiršana tēvam</w:t>
      </w:r>
      <w:r w:rsidRPr="001D5866">
        <w:rPr>
          <w:rStyle w:val="sb8d990e2"/>
          <w:rFonts w:ascii="Times New Roman" w:hAnsi="Times New Roman" w:cs="Times New Roman"/>
          <w:i/>
          <w:iCs/>
          <w:sz w:val="24"/>
          <w:szCs w:val="24"/>
        </w:rPr>
        <w:t xml:space="preserve"> </w:t>
      </w:r>
      <w:proofErr w:type="spellStart"/>
      <w:r w:rsidR="001D5866" w:rsidRPr="001D5866">
        <w:rPr>
          <w:rStyle w:val="sb8d990e2"/>
          <w:rFonts w:ascii="Times New Roman" w:hAnsi="Times New Roman" w:cs="Times New Roman"/>
          <w:i/>
          <w:iCs/>
          <w:sz w:val="24"/>
          <w:szCs w:val="24"/>
        </w:rPr>
        <w:t>pirmšķietami</w:t>
      </w:r>
      <w:proofErr w:type="spellEnd"/>
      <w:r w:rsidRPr="001D5866">
        <w:rPr>
          <w:rStyle w:val="sb8d990e2"/>
          <w:rFonts w:ascii="Times New Roman" w:hAnsi="Times New Roman" w:cs="Times New Roman"/>
          <w:i/>
          <w:iCs/>
          <w:sz w:val="24"/>
          <w:szCs w:val="24"/>
        </w:rPr>
        <w:t xml:space="preserve"> nav bērna interesēs</w:t>
      </w:r>
      <w:r w:rsidRPr="008C466B">
        <w:rPr>
          <w:rStyle w:val="sb8d990e2"/>
          <w:rFonts w:ascii="Times New Roman" w:hAnsi="Times New Roman" w:cs="Times New Roman"/>
          <w:sz w:val="24"/>
          <w:szCs w:val="24"/>
        </w:rPr>
        <w:t>). Ņemot vērā ģimenes dzīves realitāti 21.</w:t>
      </w:r>
      <w:r w:rsidR="001D5866">
        <w:rPr>
          <w:rStyle w:val="sb8d990e2"/>
          <w:rFonts w:ascii="Times New Roman" w:hAnsi="Times New Roman" w:cs="Times New Roman"/>
          <w:sz w:val="24"/>
          <w:szCs w:val="24"/>
        </w:rPr>
        <w:t> </w:t>
      </w:r>
      <w:r w:rsidRPr="008C466B">
        <w:rPr>
          <w:rStyle w:val="sb8d990e2"/>
          <w:rFonts w:ascii="Times New Roman" w:hAnsi="Times New Roman" w:cs="Times New Roman"/>
          <w:sz w:val="24"/>
          <w:szCs w:val="24"/>
        </w:rPr>
        <w:t xml:space="preserve">gadsimtā, kas </w:t>
      </w:r>
      <w:proofErr w:type="spellStart"/>
      <w:r w:rsidRPr="008C466B">
        <w:rPr>
          <w:rStyle w:val="sb8d990e2"/>
          <w:rFonts w:ascii="Times New Roman" w:hAnsi="Times New Roman" w:cs="Times New Roman"/>
          <w:sz w:val="24"/>
          <w:szCs w:val="24"/>
        </w:rPr>
        <w:t>cit</w:t>
      </w:r>
      <w:r w:rsidR="0073634F">
        <w:rPr>
          <w:rStyle w:val="sb8d990e2"/>
          <w:rFonts w:ascii="Times New Roman" w:hAnsi="Times New Roman" w:cs="Times New Roman"/>
          <w:sz w:val="24"/>
          <w:szCs w:val="24"/>
        </w:rPr>
        <w:t>s</w:t>
      </w:r>
      <w:r w:rsidRPr="008C466B">
        <w:rPr>
          <w:rStyle w:val="sb8d990e2"/>
          <w:rFonts w:ascii="Times New Roman" w:hAnsi="Times New Roman" w:cs="Times New Roman"/>
          <w:sz w:val="24"/>
          <w:szCs w:val="24"/>
        </w:rPr>
        <w:t>tarp</w:t>
      </w:r>
      <w:proofErr w:type="spellEnd"/>
      <w:r w:rsidRPr="008C466B">
        <w:rPr>
          <w:rStyle w:val="sb8d990e2"/>
          <w:rFonts w:ascii="Times New Roman" w:hAnsi="Times New Roman" w:cs="Times New Roman"/>
          <w:sz w:val="24"/>
          <w:szCs w:val="24"/>
        </w:rPr>
        <w:t xml:space="preserve"> atklāta salīdzinošo tiesību pētījum</w:t>
      </w:r>
      <w:r w:rsidR="001D5866">
        <w:rPr>
          <w:rStyle w:val="sb8d990e2"/>
          <w:rFonts w:ascii="Times New Roman" w:hAnsi="Times New Roman" w:cs="Times New Roman"/>
          <w:sz w:val="24"/>
          <w:szCs w:val="24"/>
        </w:rPr>
        <w:t>ā</w:t>
      </w:r>
      <w:r w:rsidRPr="008C466B">
        <w:rPr>
          <w:rStyle w:val="sb8d990e2"/>
          <w:rFonts w:ascii="Times New Roman" w:hAnsi="Times New Roman" w:cs="Times New Roman"/>
          <w:sz w:val="24"/>
          <w:szCs w:val="24"/>
        </w:rPr>
        <w:t>, Ties</w:t>
      </w:r>
      <w:r w:rsidR="001D5866">
        <w:rPr>
          <w:rStyle w:val="sb8d990e2"/>
          <w:rFonts w:ascii="Times New Roman" w:hAnsi="Times New Roman" w:cs="Times New Roman"/>
          <w:sz w:val="24"/>
          <w:szCs w:val="24"/>
        </w:rPr>
        <w:t>u nepārliecina</w:t>
      </w:r>
      <w:r w:rsidRPr="008C466B">
        <w:rPr>
          <w:rStyle w:val="sb8d990e2"/>
          <w:rFonts w:ascii="Times New Roman" w:hAnsi="Times New Roman" w:cs="Times New Roman"/>
          <w:sz w:val="24"/>
          <w:szCs w:val="24"/>
        </w:rPr>
        <w:t xml:space="preserve">, ka </w:t>
      </w:r>
      <w:r w:rsidR="00443E2F">
        <w:rPr>
          <w:rStyle w:val="sb8d990e2"/>
          <w:rFonts w:ascii="Times New Roman" w:hAnsi="Times New Roman" w:cs="Times New Roman"/>
          <w:sz w:val="24"/>
          <w:szCs w:val="24"/>
        </w:rPr>
        <w:t xml:space="preserve">ar vispārīgu juridisku prezumpciju būtu iespējams noteikt bērna labākās intereses situācijā, kad </w:t>
      </w:r>
      <w:r w:rsidRPr="008C466B">
        <w:rPr>
          <w:rStyle w:val="sb8d990e2"/>
          <w:rFonts w:ascii="Times New Roman" w:hAnsi="Times New Roman" w:cs="Times New Roman"/>
          <w:sz w:val="24"/>
          <w:szCs w:val="24"/>
        </w:rPr>
        <w:t>bērn</w:t>
      </w:r>
      <w:r w:rsidR="00443E2F">
        <w:rPr>
          <w:rStyle w:val="sb8d990e2"/>
          <w:rFonts w:ascii="Times New Roman" w:hAnsi="Times New Roman" w:cs="Times New Roman"/>
          <w:sz w:val="24"/>
          <w:szCs w:val="24"/>
        </w:rPr>
        <w:t xml:space="preserve">s </w:t>
      </w:r>
      <w:r w:rsidRPr="008C466B">
        <w:rPr>
          <w:rStyle w:val="sb8d990e2"/>
          <w:rFonts w:ascii="Times New Roman" w:hAnsi="Times New Roman" w:cs="Times New Roman"/>
          <w:sz w:val="24"/>
          <w:szCs w:val="24"/>
        </w:rPr>
        <w:t>dzīvo kopā ar</w:t>
      </w:r>
      <w:r w:rsidR="00443E2F">
        <w:rPr>
          <w:rStyle w:val="sb8d990e2"/>
          <w:rFonts w:ascii="Times New Roman" w:hAnsi="Times New Roman" w:cs="Times New Roman"/>
          <w:sz w:val="24"/>
          <w:szCs w:val="24"/>
        </w:rPr>
        <w:t xml:space="preserve"> viņa</w:t>
      </w:r>
      <w:r w:rsidRPr="008C466B">
        <w:rPr>
          <w:rStyle w:val="sb8d990e2"/>
          <w:rFonts w:ascii="Times New Roman" w:hAnsi="Times New Roman" w:cs="Times New Roman"/>
          <w:sz w:val="24"/>
          <w:szCs w:val="24"/>
        </w:rPr>
        <w:t xml:space="preserve"> likum</w:t>
      </w:r>
      <w:r w:rsidR="00443E2F">
        <w:rPr>
          <w:rStyle w:val="sb8d990e2"/>
          <w:rFonts w:ascii="Times New Roman" w:hAnsi="Times New Roman" w:cs="Times New Roman"/>
          <w:sz w:val="24"/>
          <w:szCs w:val="24"/>
        </w:rPr>
        <w:t>isko</w:t>
      </w:r>
      <w:r w:rsidRPr="008C466B">
        <w:rPr>
          <w:rStyle w:val="sb8d990e2"/>
          <w:rFonts w:ascii="Times New Roman" w:hAnsi="Times New Roman" w:cs="Times New Roman"/>
          <w:sz w:val="24"/>
          <w:szCs w:val="24"/>
        </w:rPr>
        <w:t xml:space="preserve"> tēvu, bet</w:t>
      </w:r>
      <w:r w:rsidR="00443E2F">
        <w:rPr>
          <w:rStyle w:val="sb8d990e2"/>
          <w:rFonts w:ascii="Times New Roman" w:hAnsi="Times New Roman" w:cs="Times New Roman"/>
          <w:sz w:val="24"/>
          <w:szCs w:val="24"/>
        </w:rPr>
        <w:t xml:space="preserve"> viņam ir cits </w:t>
      </w:r>
      <w:r w:rsidRPr="008C466B">
        <w:rPr>
          <w:rStyle w:val="sb8d990e2"/>
          <w:rFonts w:ascii="Times New Roman" w:hAnsi="Times New Roman" w:cs="Times New Roman"/>
          <w:sz w:val="24"/>
          <w:szCs w:val="24"/>
        </w:rPr>
        <w:t>bioloģisk</w:t>
      </w:r>
      <w:r w:rsidR="00443E2F">
        <w:rPr>
          <w:rStyle w:val="sb8d990e2"/>
          <w:rFonts w:ascii="Times New Roman" w:hAnsi="Times New Roman" w:cs="Times New Roman"/>
          <w:sz w:val="24"/>
          <w:szCs w:val="24"/>
        </w:rPr>
        <w:t>ais</w:t>
      </w:r>
      <w:r w:rsidRPr="008C466B">
        <w:rPr>
          <w:rStyle w:val="sb8d990e2"/>
          <w:rFonts w:ascii="Times New Roman" w:hAnsi="Times New Roman" w:cs="Times New Roman"/>
          <w:sz w:val="24"/>
          <w:szCs w:val="24"/>
        </w:rPr>
        <w:t xml:space="preserve"> tēv</w:t>
      </w:r>
      <w:r w:rsidR="00443E2F">
        <w:rPr>
          <w:rStyle w:val="sb8d990e2"/>
          <w:rFonts w:ascii="Times New Roman" w:hAnsi="Times New Roman" w:cs="Times New Roman"/>
          <w:sz w:val="24"/>
          <w:szCs w:val="24"/>
        </w:rPr>
        <w:t>s</w:t>
      </w:r>
      <w:r w:rsidRPr="008C466B">
        <w:rPr>
          <w:rStyle w:val="sb8d990e2"/>
          <w:rFonts w:ascii="Times New Roman" w:hAnsi="Times New Roman" w:cs="Times New Roman"/>
          <w:sz w:val="24"/>
          <w:szCs w:val="24"/>
        </w:rPr>
        <w:t>. Katrā šād</w:t>
      </w:r>
      <w:r w:rsidR="00443E2F">
        <w:rPr>
          <w:rStyle w:val="sb8d990e2"/>
          <w:rFonts w:ascii="Times New Roman" w:hAnsi="Times New Roman" w:cs="Times New Roman"/>
          <w:sz w:val="24"/>
          <w:szCs w:val="24"/>
        </w:rPr>
        <w:t xml:space="preserve">ā </w:t>
      </w:r>
      <w:r w:rsidRPr="008C466B">
        <w:rPr>
          <w:rStyle w:val="sb8d990e2"/>
          <w:rFonts w:ascii="Times New Roman" w:hAnsi="Times New Roman" w:cs="Times New Roman"/>
          <w:sz w:val="24"/>
          <w:szCs w:val="24"/>
        </w:rPr>
        <w:t xml:space="preserve">gadījumā tomēr ir ārkārtīgi svarīgi apsvērt, kas ir attiecīgā bērna </w:t>
      </w:r>
      <w:r w:rsidR="00443E2F">
        <w:rPr>
          <w:rStyle w:val="sb8d990e2"/>
          <w:rFonts w:ascii="Times New Roman" w:hAnsi="Times New Roman" w:cs="Times New Roman"/>
          <w:sz w:val="24"/>
          <w:szCs w:val="24"/>
        </w:rPr>
        <w:t xml:space="preserve">labākajās </w:t>
      </w:r>
      <w:r w:rsidRPr="008C466B">
        <w:rPr>
          <w:rStyle w:val="sb8d990e2"/>
          <w:rFonts w:ascii="Times New Roman" w:hAnsi="Times New Roman" w:cs="Times New Roman"/>
          <w:sz w:val="24"/>
          <w:szCs w:val="24"/>
        </w:rPr>
        <w:t xml:space="preserve">interesēs </w:t>
      </w:r>
      <w:r w:rsidRPr="00D13E7D">
        <w:rPr>
          <w:rStyle w:val="sb8d990e2"/>
          <w:rFonts w:ascii="Times New Roman" w:hAnsi="Times New Roman" w:cs="Times New Roman"/>
          <w:sz w:val="24"/>
          <w:szCs w:val="24"/>
        </w:rPr>
        <w:t>(</w:t>
      </w:r>
      <w:r w:rsidR="00443E2F" w:rsidRPr="00D13E7D">
        <w:rPr>
          <w:rStyle w:val="sb8d990e2"/>
          <w:rFonts w:ascii="Times New Roman" w:hAnsi="Times New Roman" w:cs="Times New Roman"/>
          <w:sz w:val="24"/>
          <w:szCs w:val="24"/>
        </w:rPr>
        <w:t>sk.</w:t>
      </w:r>
      <w:r w:rsidRPr="00443E2F">
        <w:rPr>
          <w:rStyle w:val="sb8d990e2"/>
          <w:rFonts w:ascii="Times New Roman" w:hAnsi="Times New Roman" w:cs="Times New Roman"/>
          <w:i/>
          <w:iCs/>
          <w:sz w:val="24"/>
          <w:szCs w:val="24"/>
        </w:rPr>
        <w:t xml:space="preserve"> </w:t>
      </w:r>
      <w:r w:rsidR="00443E2F" w:rsidRPr="00443E2F">
        <w:rPr>
          <w:rStyle w:val="sb8d990e2"/>
          <w:rFonts w:ascii="Times New Roman" w:hAnsi="Times New Roman" w:cs="Times New Roman"/>
          <w:i/>
          <w:iCs/>
          <w:sz w:val="24"/>
          <w:szCs w:val="24"/>
        </w:rPr>
        <w:t>ie</w:t>
      </w:r>
      <w:r w:rsidRPr="00443E2F">
        <w:rPr>
          <w:rStyle w:val="sb8d990e2"/>
          <w:rFonts w:ascii="Times New Roman" w:hAnsi="Times New Roman" w:cs="Times New Roman"/>
          <w:i/>
          <w:iCs/>
          <w:sz w:val="24"/>
          <w:szCs w:val="24"/>
        </w:rPr>
        <w:t>priekš 93</w:t>
      </w:r>
      <w:r w:rsidR="00443E2F" w:rsidRPr="00443E2F">
        <w:rPr>
          <w:rStyle w:val="sb8d990e2"/>
          <w:rFonts w:ascii="Times New Roman" w:hAnsi="Times New Roman" w:cs="Times New Roman"/>
          <w:i/>
          <w:iCs/>
          <w:sz w:val="24"/>
          <w:szCs w:val="24"/>
        </w:rPr>
        <w:t>. </w:t>
      </w:r>
      <w:r w:rsidRPr="00443E2F">
        <w:rPr>
          <w:rStyle w:val="sb8d990e2"/>
          <w:rFonts w:ascii="Times New Roman" w:hAnsi="Times New Roman" w:cs="Times New Roman"/>
          <w:i/>
          <w:iCs/>
          <w:sz w:val="24"/>
          <w:szCs w:val="24"/>
        </w:rPr>
        <w:t>punktu</w:t>
      </w:r>
      <w:r w:rsidRPr="008C466B">
        <w:rPr>
          <w:rStyle w:val="sb8d990e2"/>
          <w:rFonts w:ascii="Times New Roman" w:hAnsi="Times New Roman" w:cs="Times New Roman"/>
          <w:sz w:val="24"/>
          <w:szCs w:val="24"/>
        </w:rPr>
        <w:t>). Ņemot vērā iespējamo dažādo ģimenes situāciju daudzveidību, Tiesa tāpēc uzskata, ka visu iesaistīto personu tiesību taisnīgai līdzsvarošanai ir jāpārbauda konkrētie lietas apstākļi. Turklāt tā ņ</w:t>
      </w:r>
      <w:r w:rsidR="00443E2F">
        <w:rPr>
          <w:rStyle w:val="sb8d990e2"/>
          <w:rFonts w:ascii="Times New Roman" w:hAnsi="Times New Roman" w:cs="Times New Roman"/>
          <w:sz w:val="24"/>
          <w:szCs w:val="24"/>
        </w:rPr>
        <w:t>em</w:t>
      </w:r>
      <w:r w:rsidRPr="008C466B">
        <w:rPr>
          <w:rStyle w:val="sb8d990e2"/>
          <w:rFonts w:ascii="Times New Roman" w:hAnsi="Times New Roman" w:cs="Times New Roman"/>
          <w:sz w:val="24"/>
          <w:szCs w:val="24"/>
        </w:rPr>
        <w:t xml:space="preserve"> vērā valdības argumentu, ka šī pieeja ietv</w:t>
      </w:r>
      <w:r w:rsidR="0073634F">
        <w:rPr>
          <w:rStyle w:val="sb8d990e2"/>
          <w:rFonts w:ascii="Times New Roman" w:hAnsi="Times New Roman" w:cs="Times New Roman"/>
          <w:sz w:val="24"/>
          <w:szCs w:val="24"/>
        </w:rPr>
        <w:t>e</w:t>
      </w:r>
      <w:r w:rsidRPr="008C466B">
        <w:rPr>
          <w:rStyle w:val="sb8d990e2"/>
          <w:rFonts w:ascii="Times New Roman" w:hAnsi="Times New Roman" w:cs="Times New Roman"/>
          <w:sz w:val="24"/>
          <w:szCs w:val="24"/>
        </w:rPr>
        <w:t xml:space="preserve">r tiesvedību, kas </w:t>
      </w:r>
      <w:r w:rsidR="00443E2F">
        <w:rPr>
          <w:rStyle w:val="sb8d990e2"/>
          <w:rFonts w:ascii="Times New Roman" w:hAnsi="Times New Roman" w:cs="Times New Roman"/>
          <w:sz w:val="24"/>
          <w:szCs w:val="24"/>
        </w:rPr>
        <w:t>radīja apgrūtinājumu</w:t>
      </w:r>
      <w:r w:rsidRPr="008C466B">
        <w:rPr>
          <w:rStyle w:val="sb8d990e2"/>
          <w:rFonts w:ascii="Times New Roman" w:hAnsi="Times New Roman" w:cs="Times New Roman"/>
          <w:sz w:val="24"/>
          <w:szCs w:val="24"/>
        </w:rPr>
        <w:t xml:space="preserve"> </w:t>
      </w:r>
      <w:r w:rsidR="00443E2F">
        <w:rPr>
          <w:rStyle w:val="sb8d990e2"/>
          <w:rFonts w:ascii="Times New Roman" w:hAnsi="Times New Roman" w:cs="Times New Roman"/>
          <w:sz w:val="24"/>
          <w:szCs w:val="24"/>
        </w:rPr>
        <w:t>likumiskajai</w:t>
      </w:r>
      <w:r w:rsidRPr="008C466B">
        <w:rPr>
          <w:rStyle w:val="sb8d990e2"/>
          <w:rFonts w:ascii="Times New Roman" w:hAnsi="Times New Roman" w:cs="Times New Roman"/>
          <w:sz w:val="24"/>
          <w:szCs w:val="24"/>
        </w:rPr>
        <w:t xml:space="preserve"> ģimeni (</w:t>
      </w:r>
      <w:r w:rsidRPr="00D13E7D">
        <w:rPr>
          <w:rStyle w:val="sb8d990e2"/>
          <w:rFonts w:ascii="Times New Roman" w:hAnsi="Times New Roman" w:cs="Times New Roman"/>
          <w:sz w:val="24"/>
          <w:szCs w:val="24"/>
        </w:rPr>
        <w:t>sk</w:t>
      </w:r>
      <w:r w:rsidR="00443E2F" w:rsidRPr="00D13E7D">
        <w:rPr>
          <w:rStyle w:val="sb8d990e2"/>
          <w:rFonts w:ascii="Times New Roman" w:hAnsi="Times New Roman" w:cs="Times New Roman"/>
          <w:sz w:val="24"/>
          <w:szCs w:val="24"/>
        </w:rPr>
        <w:t>.</w:t>
      </w:r>
      <w:r w:rsidR="00443E2F" w:rsidRPr="00443E2F">
        <w:rPr>
          <w:rStyle w:val="sb8d990e2"/>
          <w:rFonts w:ascii="Times New Roman" w:hAnsi="Times New Roman" w:cs="Times New Roman"/>
          <w:i/>
          <w:iCs/>
          <w:sz w:val="24"/>
          <w:szCs w:val="24"/>
        </w:rPr>
        <w:t xml:space="preserve"> i</w:t>
      </w:r>
      <w:r w:rsidRPr="00443E2F">
        <w:rPr>
          <w:rStyle w:val="sb8d990e2"/>
          <w:rFonts w:ascii="Times New Roman" w:hAnsi="Times New Roman" w:cs="Times New Roman"/>
          <w:i/>
          <w:iCs/>
          <w:sz w:val="24"/>
          <w:szCs w:val="24"/>
        </w:rPr>
        <w:t>epriekš 75.</w:t>
      </w:r>
      <w:r w:rsidR="00443E2F" w:rsidRPr="00443E2F">
        <w:rPr>
          <w:rStyle w:val="sb8d990e2"/>
          <w:rFonts w:ascii="Times New Roman" w:hAnsi="Times New Roman" w:cs="Times New Roman"/>
          <w:i/>
          <w:iCs/>
          <w:sz w:val="24"/>
          <w:szCs w:val="24"/>
        </w:rPr>
        <w:t> </w:t>
      </w:r>
      <w:r w:rsidRPr="00443E2F">
        <w:rPr>
          <w:rStyle w:val="sb8d990e2"/>
          <w:rFonts w:ascii="Times New Roman" w:hAnsi="Times New Roman" w:cs="Times New Roman"/>
          <w:i/>
          <w:iCs/>
          <w:sz w:val="24"/>
          <w:szCs w:val="24"/>
        </w:rPr>
        <w:t>punktu</w:t>
      </w:r>
      <w:r w:rsidRPr="008C466B">
        <w:rPr>
          <w:rStyle w:val="sb8d990e2"/>
          <w:rFonts w:ascii="Times New Roman" w:hAnsi="Times New Roman" w:cs="Times New Roman"/>
          <w:sz w:val="24"/>
          <w:szCs w:val="24"/>
        </w:rPr>
        <w:t xml:space="preserve">). Tiesa tomēr atzīmē, ka procesu, kurā </w:t>
      </w:r>
      <w:r w:rsidR="00443E2F">
        <w:rPr>
          <w:rStyle w:val="sb8d990e2"/>
          <w:rFonts w:ascii="Times New Roman" w:hAnsi="Times New Roman" w:cs="Times New Roman"/>
          <w:sz w:val="24"/>
          <w:szCs w:val="24"/>
        </w:rPr>
        <w:t>prasīta saskarsme ar</w:t>
      </w:r>
      <w:r w:rsidRPr="008C466B">
        <w:rPr>
          <w:rStyle w:val="sb8d990e2"/>
          <w:rFonts w:ascii="Times New Roman" w:hAnsi="Times New Roman" w:cs="Times New Roman"/>
          <w:sz w:val="24"/>
          <w:szCs w:val="24"/>
        </w:rPr>
        <w:t xml:space="preserve"> bērniem, var ierosināt un praksē </w:t>
      </w:r>
      <w:r w:rsidR="00443E2F">
        <w:rPr>
          <w:rStyle w:val="sb8d990e2"/>
          <w:rFonts w:ascii="Times New Roman" w:hAnsi="Times New Roman" w:cs="Times New Roman"/>
          <w:sz w:val="24"/>
          <w:szCs w:val="24"/>
        </w:rPr>
        <w:t>arī ierosina to</w:t>
      </w:r>
      <w:r w:rsidRPr="008C466B">
        <w:rPr>
          <w:rStyle w:val="sb8d990e2"/>
          <w:rFonts w:ascii="Times New Roman" w:hAnsi="Times New Roman" w:cs="Times New Roman"/>
          <w:sz w:val="24"/>
          <w:szCs w:val="24"/>
        </w:rPr>
        <w:t xml:space="preserve"> bioloģiskie tēvi.</w:t>
      </w:r>
      <w:r w:rsidR="00B90822" w:rsidRPr="00B90822">
        <w:rPr>
          <w:rStyle w:val="sb8d990e2"/>
          <w:rFonts w:ascii="Times New Roman" w:hAnsi="Times New Roman" w:cs="Times New Roman"/>
          <w:sz w:val="24"/>
          <w:szCs w:val="24"/>
        </w:rPr>
        <w:t xml:space="preserve"> </w:t>
      </w:r>
    </w:p>
    <w:sectPr w:rsidR="00EC3D91" w:rsidRPr="00B90822" w:rsidSect="00381112">
      <w:headerReference w:type="even" r:id="rId29"/>
      <w:headerReference w:type="default" r:id="rId30"/>
      <w:footerReference w:type="even" r:id="rId31"/>
      <w:footerReference w:type="default" r:id="rId32"/>
      <w:headerReference w:type="first" r:id="rId33"/>
      <w:footerReference w:type="first" r:id="rId34"/>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F72A9" w14:textId="77777777" w:rsidR="003820F6" w:rsidRDefault="003820F6" w:rsidP="00B90822">
      <w:pPr>
        <w:spacing w:after="0" w:line="240" w:lineRule="auto"/>
      </w:pPr>
      <w:r>
        <w:separator/>
      </w:r>
    </w:p>
  </w:endnote>
  <w:endnote w:type="continuationSeparator" w:id="0">
    <w:p w14:paraId="6BC596B2" w14:textId="77777777" w:rsidR="003820F6" w:rsidRDefault="003820F6" w:rsidP="00B90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E90B6" w14:textId="77777777" w:rsidR="00CA5BE4" w:rsidRDefault="00CA5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616129"/>
      <w:docPartObj>
        <w:docPartGallery w:val="Page Numbers (Bottom of Page)"/>
        <w:docPartUnique/>
      </w:docPartObj>
    </w:sdtPr>
    <w:sdtEndPr>
      <w:rPr>
        <w:noProof/>
      </w:rPr>
    </w:sdtEndPr>
    <w:sdtContent>
      <w:p w14:paraId="1396AD68" w14:textId="5A370444" w:rsidR="00CA5BE4" w:rsidRDefault="00CA5B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D8F9BD" w14:textId="77777777" w:rsidR="00CA5BE4" w:rsidRDefault="00CA5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524A" w14:textId="77777777" w:rsidR="00CA5BE4" w:rsidRDefault="00CA5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533B0" w14:textId="77777777" w:rsidR="003820F6" w:rsidRDefault="003820F6" w:rsidP="00B90822">
      <w:pPr>
        <w:spacing w:after="0" w:line="240" w:lineRule="auto"/>
      </w:pPr>
      <w:r>
        <w:separator/>
      </w:r>
    </w:p>
  </w:footnote>
  <w:footnote w:type="continuationSeparator" w:id="0">
    <w:p w14:paraId="330D92A3" w14:textId="77777777" w:rsidR="003820F6" w:rsidRDefault="003820F6" w:rsidP="00B90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7E149" w14:textId="77777777" w:rsidR="00CA5BE4" w:rsidRDefault="00CA5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D08AA" w14:textId="28AD3581" w:rsidR="00CA5BE4" w:rsidRPr="00CA5BE4" w:rsidRDefault="00CA5BE4" w:rsidP="00CA5BE4">
    <w:pPr>
      <w:pStyle w:val="Header"/>
      <w:jc w:val="right"/>
      <w:rPr>
        <w:sz w:val="20"/>
        <w:szCs w:val="20"/>
      </w:rPr>
    </w:pPr>
    <w:r w:rsidRPr="00CA5BE4">
      <w:rPr>
        <w:sz w:val="20"/>
        <w:szCs w:val="20"/>
      </w:rPr>
      <w:t>Judikatūras un zinātniski analītiskā nodaļa, 17.09.2020.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8866D" w14:textId="77777777" w:rsidR="00CA5BE4" w:rsidRDefault="00CA5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0408E"/>
    <w:multiLevelType w:val="hybridMultilevel"/>
    <w:tmpl w:val="1228F3B8"/>
    <w:lvl w:ilvl="0" w:tplc="CBFE454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22"/>
    <w:rsid w:val="0006379E"/>
    <w:rsid w:val="00124285"/>
    <w:rsid w:val="001577FC"/>
    <w:rsid w:val="001D5866"/>
    <w:rsid w:val="001F7B6D"/>
    <w:rsid w:val="00251833"/>
    <w:rsid w:val="00381112"/>
    <w:rsid w:val="003820F6"/>
    <w:rsid w:val="00443E2F"/>
    <w:rsid w:val="0048434A"/>
    <w:rsid w:val="00492E55"/>
    <w:rsid w:val="00501890"/>
    <w:rsid w:val="00532317"/>
    <w:rsid w:val="00534DBE"/>
    <w:rsid w:val="00581FD8"/>
    <w:rsid w:val="00591EF7"/>
    <w:rsid w:val="005E57B9"/>
    <w:rsid w:val="006E5E89"/>
    <w:rsid w:val="006E77CD"/>
    <w:rsid w:val="0073634F"/>
    <w:rsid w:val="00777F5E"/>
    <w:rsid w:val="007876F7"/>
    <w:rsid w:val="007F0802"/>
    <w:rsid w:val="008B0699"/>
    <w:rsid w:val="008C466B"/>
    <w:rsid w:val="008E1971"/>
    <w:rsid w:val="00905B46"/>
    <w:rsid w:val="00A4396D"/>
    <w:rsid w:val="00A874F9"/>
    <w:rsid w:val="00B61B09"/>
    <w:rsid w:val="00B66DE1"/>
    <w:rsid w:val="00B80861"/>
    <w:rsid w:val="00B90822"/>
    <w:rsid w:val="00B954BE"/>
    <w:rsid w:val="00C2402F"/>
    <w:rsid w:val="00C42019"/>
    <w:rsid w:val="00C82A06"/>
    <w:rsid w:val="00CA5BE4"/>
    <w:rsid w:val="00CE2D44"/>
    <w:rsid w:val="00D13E7D"/>
    <w:rsid w:val="00D94B77"/>
    <w:rsid w:val="00E039FA"/>
    <w:rsid w:val="00E1367A"/>
    <w:rsid w:val="00E17987"/>
    <w:rsid w:val="00E926D8"/>
    <w:rsid w:val="00E960FF"/>
    <w:rsid w:val="00EC3D2C"/>
    <w:rsid w:val="00EC3D91"/>
    <w:rsid w:val="00F117DC"/>
    <w:rsid w:val="00FA3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040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822"/>
    <w:rPr>
      <w:color w:val="0563C1" w:themeColor="hyperlink"/>
      <w:u w:val="single"/>
    </w:rPr>
  </w:style>
  <w:style w:type="character" w:customStyle="1" w:styleId="sb8d990e2">
    <w:name w:val="sb8d990e2"/>
    <w:basedOn w:val="DefaultParagraphFont"/>
    <w:rsid w:val="00B90822"/>
  </w:style>
  <w:style w:type="character" w:customStyle="1" w:styleId="s6b621b36">
    <w:name w:val="s6b621b36"/>
    <w:basedOn w:val="DefaultParagraphFont"/>
    <w:rsid w:val="00B90822"/>
  </w:style>
  <w:style w:type="paragraph" w:styleId="FootnoteText">
    <w:name w:val="footnote text"/>
    <w:basedOn w:val="Normal"/>
    <w:link w:val="FootnoteTextChar"/>
    <w:uiPriority w:val="99"/>
    <w:semiHidden/>
    <w:unhideWhenUsed/>
    <w:rsid w:val="00B90822"/>
    <w:pPr>
      <w:spacing w:after="200" w:line="276"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B90822"/>
    <w:rPr>
      <w:rFonts w:ascii="Times New Roman" w:eastAsia="Calibri" w:hAnsi="Times New Roman" w:cs="Times New Roman"/>
      <w:sz w:val="20"/>
      <w:szCs w:val="20"/>
    </w:rPr>
  </w:style>
  <w:style w:type="character" w:styleId="FootnoteReference">
    <w:name w:val="footnote reference"/>
    <w:uiPriority w:val="99"/>
    <w:semiHidden/>
    <w:unhideWhenUsed/>
    <w:rsid w:val="00B90822"/>
    <w:rPr>
      <w:vertAlign w:val="superscript"/>
    </w:rPr>
  </w:style>
  <w:style w:type="character" w:styleId="FollowedHyperlink">
    <w:name w:val="FollowedHyperlink"/>
    <w:basedOn w:val="DefaultParagraphFont"/>
    <w:uiPriority w:val="99"/>
    <w:semiHidden/>
    <w:unhideWhenUsed/>
    <w:rsid w:val="00251833"/>
    <w:rPr>
      <w:color w:val="954F72" w:themeColor="followedHyperlink"/>
      <w:u w:val="single"/>
    </w:rPr>
  </w:style>
  <w:style w:type="character" w:styleId="UnresolvedMention">
    <w:name w:val="Unresolved Mention"/>
    <w:basedOn w:val="DefaultParagraphFont"/>
    <w:uiPriority w:val="99"/>
    <w:semiHidden/>
    <w:unhideWhenUsed/>
    <w:rsid w:val="006E77CD"/>
    <w:rPr>
      <w:color w:val="605E5C"/>
      <w:shd w:val="clear" w:color="auto" w:fill="E1DFDD"/>
    </w:rPr>
  </w:style>
  <w:style w:type="paragraph" w:styleId="BalloonText">
    <w:name w:val="Balloon Text"/>
    <w:basedOn w:val="Normal"/>
    <w:link w:val="BalloonTextChar"/>
    <w:uiPriority w:val="99"/>
    <w:semiHidden/>
    <w:unhideWhenUsed/>
    <w:rsid w:val="00C42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019"/>
    <w:rPr>
      <w:rFonts w:ascii="Segoe UI" w:hAnsi="Segoe UI" w:cs="Segoe UI"/>
      <w:sz w:val="18"/>
      <w:szCs w:val="18"/>
    </w:rPr>
  </w:style>
  <w:style w:type="character" w:styleId="CommentReference">
    <w:name w:val="annotation reference"/>
    <w:basedOn w:val="DefaultParagraphFont"/>
    <w:uiPriority w:val="99"/>
    <w:semiHidden/>
    <w:unhideWhenUsed/>
    <w:rsid w:val="008B0699"/>
    <w:rPr>
      <w:sz w:val="16"/>
      <w:szCs w:val="16"/>
    </w:rPr>
  </w:style>
  <w:style w:type="paragraph" w:styleId="CommentText">
    <w:name w:val="annotation text"/>
    <w:basedOn w:val="Normal"/>
    <w:link w:val="CommentTextChar"/>
    <w:uiPriority w:val="99"/>
    <w:semiHidden/>
    <w:unhideWhenUsed/>
    <w:rsid w:val="008B0699"/>
    <w:pPr>
      <w:spacing w:line="240" w:lineRule="auto"/>
    </w:pPr>
    <w:rPr>
      <w:sz w:val="20"/>
      <w:szCs w:val="20"/>
    </w:rPr>
  </w:style>
  <w:style w:type="character" w:customStyle="1" w:styleId="CommentTextChar">
    <w:name w:val="Comment Text Char"/>
    <w:basedOn w:val="DefaultParagraphFont"/>
    <w:link w:val="CommentText"/>
    <w:uiPriority w:val="99"/>
    <w:semiHidden/>
    <w:rsid w:val="008B0699"/>
    <w:rPr>
      <w:sz w:val="20"/>
      <w:szCs w:val="20"/>
    </w:rPr>
  </w:style>
  <w:style w:type="paragraph" w:styleId="CommentSubject">
    <w:name w:val="annotation subject"/>
    <w:basedOn w:val="CommentText"/>
    <w:next w:val="CommentText"/>
    <w:link w:val="CommentSubjectChar"/>
    <w:uiPriority w:val="99"/>
    <w:semiHidden/>
    <w:unhideWhenUsed/>
    <w:rsid w:val="008B0699"/>
    <w:rPr>
      <w:b/>
      <w:bCs/>
    </w:rPr>
  </w:style>
  <w:style w:type="character" w:customStyle="1" w:styleId="CommentSubjectChar">
    <w:name w:val="Comment Subject Char"/>
    <w:basedOn w:val="CommentTextChar"/>
    <w:link w:val="CommentSubject"/>
    <w:uiPriority w:val="99"/>
    <w:semiHidden/>
    <w:rsid w:val="008B0699"/>
    <w:rPr>
      <w:b/>
      <w:bCs/>
      <w:sz w:val="20"/>
      <w:szCs w:val="20"/>
    </w:rPr>
  </w:style>
  <w:style w:type="paragraph" w:styleId="Header">
    <w:name w:val="header"/>
    <w:basedOn w:val="Normal"/>
    <w:link w:val="HeaderChar"/>
    <w:uiPriority w:val="99"/>
    <w:unhideWhenUsed/>
    <w:rsid w:val="00CA5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BE4"/>
  </w:style>
  <w:style w:type="paragraph" w:styleId="Footer">
    <w:name w:val="footer"/>
    <w:basedOn w:val="Normal"/>
    <w:link w:val="FooterChar"/>
    <w:uiPriority w:val="99"/>
    <w:unhideWhenUsed/>
    <w:rsid w:val="00CA5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634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doc.echr.coe.int/eng?i=001-61837" TargetMode="External"/><Relationship Id="rId18" Type="http://schemas.openxmlformats.org/officeDocument/2006/relationships/hyperlink" Target="http://hudoc.echr.coe.int/eng?i=001-69239" TargetMode="External"/><Relationship Id="rId26" Type="http://schemas.openxmlformats.org/officeDocument/2006/relationships/hyperlink" Target="http://hudoc.echr.coe.int/eng?i=001-57911" TargetMode="External"/><Relationship Id="rId3" Type="http://schemas.openxmlformats.org/officeDocument/2006/relationships/settings" Target="settings.xml"/><Relationship Id="rId21" Type="http://schemas.openxmlformats.org/officeDocument/2006/relationships/hyperlink" Target="http://hudoc.echr.coe.int/eng?i=001-99784" TargetMode="External"/><Relationship Id="rId34" Type="http://schemas.openxmlformats.org/officeDocument/2006/relationships/footer" Target="footer3.xml"/><Relationship Id="rId7" Type="http://schemas.openxmlformats.org/officeDocument/2006/relationships/hyperlink" Target="http://hudoc.echr.coe.int/eng?i=001-106171" TargetMode="External"/><Relationship Id="rId12" Type="http://schemas.openxmlformats.org/officeDocument/2006/relationships/hyperlink" Target="http://hudoc.echr.coe.int/eng?i=001-61837" TargetMode="External"/><Relationship Id="rId17" Type="http://schemas.openxmlformats.org/officeDocument/2006/relationships/hyperlink" Target="http://hudoc.echr.coe.int/eng?i=001-75423" TargetMode="External"/><Relationship Id="rId25" Type="http://schemas.openxmlformats.org/officeDocument/2006/relationships/hyperlink" Target="http://hudoc.echr.coe.int/eng?i=001-61646"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hudoc.echr.coe.int/eng?i=001-102443" TargetMode="External"/><Relationship Id="rId20" Type="http://schemas.openxmlformats.org/officeDocument/2006/relationships/hyperlink" Target="http://hudoc.echr.coe.int/eng?i=001-482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doc.echr.coe.int/eng?i=001-57904" TargetMode="External"/><Relationship Id="rId24" Type="http://schemas.openxmlformats.org/officeDocument/2006/relationships/hyperlink" Target="http://hudoc.echr.coe.int/eng?i=001-60723"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hudoc.echr.coe.int/eng?i=001-23277" TargetMode="External"/><Relationship Id="rId23" Type="http://schemas.openxmlformats.org/officeDocument/2006/relationships/hyperlink" Target="http://hudoc.echr.coe.int/eng?i=001-61195" TargetMode="External"/><Relationship Id="rId28" Type="http://schemas.openxmlformats.org/officeDocument/2006/relationships/hyperlink" Target="http://hudoc.echr.coe.int/eng?i=001-96020" TargetMode="External"/><Relationship Id="rId36" Type="http://schemas.openxmlformats.org/officeDocument/2006/relationships/theme" Target="theme/theme1.xml"/><Relationship Id="rId10" Type="http://schemas.openxmlformats.org/officeDocument/2006/relationships/hyperlink" Target="http://hudoc.echr.coe.int/eng?i=001-69239" TargetMode="External"/><Relationship Id="rId19" Type="http://schemas.openxmlformats.org/officeDocument/2006/relationships/hyperlink" Target="http://hudoc.echr.coe.int/eng?i=001-5756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udoc.echr.coe.int/eng?i=001-61799" TargetMode="External"/><Relationship Id="rId14" Type="http://schemas.openxmlformats.org/officeDocument/2006/relationships/hyperlink" Target="http://hudoc.echr.coe.int/eng?i=001-21999" TargetMode="External"/><Relationship Id="rId22" Type="http://schemas.openxmlformats.org/officeDocument/2006/relationships/hyperlink" Target="http://hudoc.echr.coe.int/eng?i=001-59456" TargetMode="External"/><Relationship Id="rId27" Type="http://schemas.openxmlformats.org/officeDocument/2006/relationships/hyperlink" Target="http://hudoc.echr.coe.int/eng?i=001-5876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hudoc.echr.coe.int/eng?i=001-57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6928</Words>
  <Characters>3950</Characters>
  <Application>Microsoft Office Word</Application>
  <DocSecurity>0</DocSecurity>
  <Lines>32</Lines>
  <Paragraphs>21</Paragraphs>
  <ScaleCrop>false</ScaleCrop>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2020-09-17T08:29:00Z</dcterms:created>
  <dcterms:modified xsi:type="dcterms:W3CDTF">2020-09-17T08:29:00Z</dcterms:modified>
</cp:coreProperties>
</file>