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85079" w14:textId="77777777" w:rsidR="0036360B" w:rsidRDefault="00353D73">
      <w:pPr>
        <w:spacing w:after="0" w:line="276" w:lineRule="auto"/>
        <w:jc w:val="both"/>
        <w:rPr>
          <w:b/>
          <w:bCs/>
          <w:lang w:val="lv-LV"/>
        </w:rPr>
      </w:pPr>
      <w:r>
        <w:rPr>
          <w:b/>
          <w:bCs/>
          <w:lang w:val="lv-LV"/>
        </w:rPr>
        <w:t>Piemērojamā Eiropas Savienības tiesību norma, vērtējot nenomaksātā muitas nodokļa veidā valstij radīto mantisko zaudējumu saistībā ar kontrabandas preču nelikumīgu apriti</w:t>
      </w:r>
    </w:p>
    <w:p w14:paraId="29740BF3" w14:textId="77777777" w:rsidR="0036360B" w:rsidRDefault="00353D73">
      <w:pPr>
        <w:spacing w:after="0" w:line="276" w:lineRule="auto"/>
        <w:jc w:val="both"/>
        <w:rPr>
          <w:lang w:val="lv-LV"/>
        </w:rPr>
      </w:pPr>
      <w:r>
        <w:rPr>
          <w:lang w:val="lv-LV"/>
        </w:rPr>
        <w:t xml:space="preserve">Uz muitas parādu un tā dzēšanu attiecas muitas parāda </w:t>
      </w:r>
      <w:r>
        <w:rPr>
          <w:lang w:val="lv-LV"/>
        </w:rPr>
        <w:t>rašanās laikā spēkā esošās materiālo tiesību normas neatkarīgi no piedziņas procesa uzsākšanas.</w:t>
      </w:r>
    </w:p>
    <w:p w14:paraId="63FB2285" w14:textId="77777777" w:rsidR="0036360B" w:rsidRDefault="00353D73">
      <w:pPr>
        <w:spacing w:after="0" w:line="276" w:lineRule="auto"/>
        <w:jc w:val="both"/>
      </w:pPr>
      <w:r>
        <w:rPr>
          <w:lang w:val="lv-LV"/>
        </w:rPr>
        <w:t>Ja muitas parāds radies pirms 2016. gada 1. maija, piemērojama Padomes 1992. gada 12. oktobra Regula (EEK) Nr. 2913/92 par Kopienas Muitas kodeksa izveidi.</w:t>
      </w:r>
    </w:p>
    <w:p w14:paraId="34683FD4" w14:textId="77777777" w:rsidR="0036360B" w:rsidRDefault="0036360B">
      <w:pPr>
        <w:spacing w:after="0" w:line="276" w:lineRule="auto"/>
        <w:jc w:val="both"/>
      </w:pPr>
    </w:p>
    <w:p w14:paraId="1E6576FE" w14:textId="77777777" w:rsidR="0036360B" w:rsidRDefault="00353D73">
      <w:pPr>
        <w:spacing w:after="0" w:line="276" w:lineRule="auto"/>
        <w:jc w:val="center"/>
        <w:rPr>
          <w:rFonts w:eastAsia="Times New Roman" w:cs="Times New Roman"/>
          <w:b/>
          <w:szCs w:val="24"/>
          <w:lang w:val="lv-LV"/>
        </w:rPr>
      </w:pPr>
      <w:r>
        <w:rPr>
          <w:rFonts w:eastAsia="Times New Roman" w:cs="Times New Roman"/>
          <w:b/>
          <w:szCs w:val="24"/>
          <w:lang w:val="lv-LV"/>
        </w:rPr>
        <w:t xml:space="preserve">Latvijas Republikas Senāta </w:t>
      </w:r>
    </w:p>
    <w:p w14:paraId="3592B2FC" w14:textId="77777777" w:rsidR="0036360B" w:rsidRDefault="00353D73">
      <w:pPr>
        <w:spacing w:after="0" w:line="276" w:lineRule="auto"/>
        <w:jc w:val="center"/>
        <w:rPr>
          <w:rFonts w:eastAsia="Times New Roman" w:cs="Times New Roman"/>
          <w:b/>
          <w:szCs w:val="24"/>
          <w:lang w:val="lv-LV"/>
        </w:rPr>
      </w:pPr>
      <w:r>
        <w:rPr>
          <w:rFonts w:eastAsia="Times New Roman" w:cs="Times New Roman"/>
          <w:b/>
          <w:szCs w:val="24"/>
          <w:lang w:val="lv-LV"/>
        </w:rPr>
        <w:t>Krimināllietu departamenta</w:t>
      </w:r>
    </w:p>
    <w:p w14:paraId="57E936AD" w14:textId="77777777" w:rsidR="0036360B" w:rsidRDefault="00353D73">
      <w:pPr>
        <w:spacing w:after="0" w:line="276" w:lineRule="auto"/>
        <w:jc w:val="center"/>
        <w:rPr>
          <w:rFonts w:eastAsia="Times New Roman" w:cs="Times New Roman"/>
          <w:b/>
          <w:szCs w:val="24"/>
          <w:lang w:val="lv-LV"/>
        </w:rPr>
      </w:pPr>
      <w:r>
        <w:rPr>
          <w:rFonts w:eastAsia="Times New Roman" w:cs="Times New Roman"/>
          <w:b/>
          <w:szCs w:val="24"/>
          <w:lang w:val="lv-LV"/>
        </w:rPr>
        <w:t>2024. gada 12. marta</w:t>
      </w:r>
    </w:p>
    <w:p w14:paraId="28E36F7A" w14:textId="77777777" w:rsidR="0036360B" w:rsidRDefault="00353D73">
      <w:pPr>
        <w:spacing w:after="0" w:line="276" w:lineRule="auto"/>
        <w:jc w:val="center"/>
        <w:rPr>
          <w:rFonts w:eastAsia="Times New Roman" w:cs="Times New Roman"/>
          <w:b/>
          <w:szCs w:val="24"/>
          <w:lang w:val="lv-LV"/>
        </w:rPr>
      </w:pPr>
      <w:r>
        <w:rPr>
          <w:rFonts w:eastAsia="Times New Roman" w:cs="Times New Roman"/>
          <w:b/>
          <w:szCs w:val="24"/>
          <w:lang w:val="lv-LV"/>
        </w:rPr>
        <w:t>LĒMUMS</w:t>
      </w:r>
    </w:p>
    <w:p w14:paraId="383872FD" w14:textId="77777777" w:rsidR="0036360B" w:rsidRDefault="00353D73">
      <w:pPr>
        <w:spacing w:after="0" w:line="276" w:lineRule="auto"/>
        <w:jc w:val="center"/>
        <w:rPr>
          <w:rFonts w:eastAsia="Times New Roman" w:cs="Times New Roman"/>
          <w:b/>
          <w:szCs w:val="24"/>
          <w:lang w:val="lv-LV"/>
        </w:rPr>
      </w:pPr>
      <w:r>
        <w:rPr>
          <w:rFonts w:eastAsia="Times New Roman" w:cs="Times New Roman"/>
          <w:b/>
          <w:szCs w:val="24"/>
          <w:lang w:val="lv-LV"/>
        </w:rPr>
        <w:t>Lieta Nr. 11210010516, SKK</w:t>
      </w:r>
      <w:r>
        <w:rPr>
          <w:rFonts w:eastAsia="Times New Roman" w:cs="Times New Roman"/>
          <w:b/>
          <w:szCs w:val="24"/>
          <w:lang w:val="lv-LV"/>
        </w:rPr>
        <w:noBreakHyphen/>
        <w:t>J-67/2024</w:t>
      </w:r>
    </w:p>
    <w:p w14:paraId="68A01B51" w14:textId="77777777" w:rsidR="0036360B" w:rsidRDefault="00353D73">
      <w:pPr>
        <w:spacing w:after="0" w:line="276" w:lineRule="auto"/>
        <w:jc w:val="center"/>
      </w:pPr>
      <w:hyperlink r:id="rId6" w:history="1">
        <w:r>
          <w:rPr>
            <w:rStyle w:val="Hyperlink"/>
            <w:rFonts w:cs="Times New Roman"/>
            <w:szCs w:val="24"/>
            <w:shd w:val="clear" w:color="auto" w:fill="FFFFFF"/>
          </w:rPr>
          <w:t>ECLI:LV:</w:t>
        </w:r>
        <w:proofErr w:type="gramStart"/>
        <w:r>
          <w:rPr>
            <w:rStyle w:val="Hyperlink"/>
            <w:rFonts w:cs="Times New Roman"/>
            <w:szCs w:val="24"/>
            <w:shd w:val="clear" w:color="auto" w:fill="FFFFFF"/>
          </w:rPr>
          <w:t>AT:2024:0312</w:t>
        </w:r>
        <w:proofErr w:type="gramEnd"/>
        <w:r>
          <w:rPr>
            <w:rStyle w:val="Hyperlink"/>
            <w:rFonts w:cs="Times New Roman"/>
            <w:szCs w:val="24"/>
            <w:shd w:val="clear" w:color="auto" w:fill="FFFFFF"/>
          </w:rPr>
          <w:t>.11210010516.2.L</w:t>
        </w:r>
      </w:hyperlink>
    </w:p>
    <w:p w14:paraId="6144D03C" w14:textId="77777777" w:rsidR="0036360B" w:rsidRDefault="0036360B">
      <w:pPr>
        <w:spacing w:after="0" w:line="276" w:lineRule="auto"/>
        <w:jc w:val="center"/>
        <w:rPr>
          <w:rFonts w:eastAsia="Times New Roman" w:cs="Times New Roman"/>
          <w:szCs w:val="24"/>
          <w:lang w:val="lv-LV"/>
        </w:rPr>
      </w:pPr>
    </w:p>
    <w:p w14:paraId="27F57786" w14:textId="77777777" w:rsidR="0036360B" w:rsidRDefault="00353D73">
      <w:pPr>
        <w:spacing w:after="0" w:line="276" w:lineRule="auto"/>
        <w:ind w:firstLine="720"/>
        <w:jc w:val="both"/>
      </w:pPr>
      <w:r>
        <w:rPr>
          <w:rFonts w:cs="Times New Roman"/>
          <w:szCs w:val="24"/>
          <w:lang w:val="lv-LV"/>
        </w:rPr>
        <w:t xml:space="preserve">Senāts </w:t>
      </w:r>
      <w:r>
        <w:rPr>
          <w:rFonts w:eastAsia="Times New Roman" w:cs="Times New Roman"/>
          <w:szCs w:val="24"/>
          <w:lang w:val="lv-LV"/>
        </w:rPr>
        <w:t xml:space="preserve">šādā sastāvā: </w:t>
      </w:r>
      <w:r>
        <w:rPr>
          <w:rFonts w:cs="Times New Roman"/>
          <w:szCs w:val="24"/>
          <w:lang w:val="lv-LV"/>
        </w:rPr>
        <w:t xml:space="preserve">senators referents </w:t>
      </w:r>
      <w:r>
        <w:rPr>
          <w:rFonts w:eastAsia="Times New Roman" w:cs="Times New Roman"/>
          <w:szCs w:val="24"/>
          <w:lang w:val="lv-LV"/>
        </w:rPr>
        <w:t xml:space="preserve">Aivars Uminskis, </w:t>
      </w:r>
      <w:r>
        <w:rPr>
          <w:rFonts w:cs="Times New Roman"/>
          <w:szCs w:val="24"/>
          <w:lang w:val="lv-LV"/>
        </w:rPr>
        <w:t xml:space="preserve">senatores </w:t>
      </w:r>
      <w:r>
        <w:rPr>
          <w:rFonts w:eastAsia="Times New Roman" w:cs="Times New Roman"/>
          <w:szCs w:val="24"/>
          <w:lang w:val="lv-LV"/>
        </w:rPr>
        <w:t>Sandra Kaija un Inese Laura Zemīte</w:t>
      </w:r>
    </w:p>
    <w:p w14:paraId="0EF70E79" w14:textId="77777777" w:rsidR="0036360B" w:rsidRDefault="0036360B">
      <w:pPr>
        <w:spacing w:after="0" w:line="276" w:lineRule="auto"/>
        <w:ind w:firstLine="720"/>
        <w:jc w:val="both"/>
        <w:rPr>
          <w:rFonts w:eastAsia="Times New Roman" w:cs="Times New Roman"/>
          <w:szCs w:val="24"/>
          <w:lang w:val="lv-LV"/>
        </w:rPr>
      </w:pPr>
    </w:p>
    <w:p w14:paraId="36F2F3AD" w14:textId="77777777" w:rsidR="0036360B" w:rsidRDefault="00353D73">
      <w:pPr>
        <w:spacing w:after="0" w:line="276" w:lineRule="auto"/>
        <w:ind w:firstLine="720"/>
        <w:jc w:val="both"/>
      </w:pPr>
      <w:r>
        <w:rPr>
          <w:rFonts w:eastAsia="Times New Roman" w:cs="Times New Roman"/>
          <w:szCs w:val="24"/>
          <w:lang w:val="lv-LV"/>
        </w:rPr>
        <w:t>rakstveida procesā izskatīja krimināllietu sakarā ar notiesātā [pers. </w:t>
      </w:r>
      <w:r>
        <w:t>A]</w:t>
      </w:r>
      <w:r>
        <w:rPr>
          <w:rFonts w:eastAsia="Times New Roman" w:cs="Times New Roman"/>
          <w:szCs w:val="24"/>
          <w:lang w:val="lv-LV"/>
        </w:rPr>
        <w:t xml:space="preserve"> zvērināta advokāta Pētera Kušnera pieteikumu </w:t>
      </w:r>
      <w:r>
        <w:rPr>
          <w:rFonts w:eastAsia="Times New Roman" w:cs="Times New Roman"/>
          <w:szCs w:val="24"/>
          <w:lang w:val="lv-LV"/>
        </w:rPr>
        <w:t>Kriminālprocesa likuma 63. nodaļas kārtībā par Jēkabpils rajona tiesas 2016. gada 16. septembra spriedumu.</w:t>
      </w:r>
    </w:p>
    <w:p w14:paraId="217B04C6" w14:textId="77777777" w:rsidR="0036360B" w:rsidRDefault="0036360B">
      <w:pPr>
        <w:spacing w:after="0" w:line="276" w:lineRule="auto"/>
        <w:ind w:firstLine="720"/>
        <w:jc w:val="both"/>
        <w:rPr>
          <w:rFonts w:eastAsia="Times New Roman" w:cs="Times New Roman"/>
          <w:szCs w:val="24"/>
          <w:lang w:val="lv-LV"/>
        </w:rPr>
      </w:pPr>
    </w:p>
    <w:p w14:paraId="0772DA01" w14:textId="77777777" w:rsidR="0036360B" w:rsidRDefault="00353D73">
      <w:pPr>
        <w:spacing w:after="0" w:line="276" w:lineRule="auto"/>
        <w:jc w:val="center"/>
        <w:rPr>
          <w:rFonts w:cs="Times New Roman"/>
          <w:b/>
          <w:bCs/>
          <w:szCs w:val="24"/>
          <w:lang w:val="lv-LV"/>
        </w:rPr>
      </w:pPr>
      <w:r>
        <w:rPr>
          <w:rFonts w:cs="Times New Roman"/>
          <w:b/>
          <w:bCs/>
          <w:szCs w:val="24"/>
          <w:lang w:val="lv-LV"/>
        </w:rPr>
        <w:t>Aprakstošā daļa</w:t>
      </w:r>
    </w:p>
    <w:p w14:paraId="5C220312" w14:textId="77777777" w:rsidR="0036360B" w:rsidRDefault="0036360B">
      <w:pPr>
        <w:spacing w:after="0" w:line="276" w:lineRule="auto"/>
        <w:ind w:firstLine="709"/>
        <w:jc w:val="both"/>
        <w:rPr>
          <w:rFonts w:cs="Times New Roman"/>
          <w:szCs w:val="24"/>
          <w:lang w:val="lv-LV"/>
        </w:rPr>
      </w:pPr>
    </w:p>
    <w:p w14:paraId="1FDCB7E9" w14:textId="77777777" w:rsidR="0036360B" w:rsidRDefault="00353D73">
      <w:pPr>
        <w:spacing w:after="0" w:line="276" w:lineRule="auto"/>
        <w:ind w:firstLine="720"/>
        <w:jc w:val="both"/>
      </w:pPr>
      <w:r>
        <w:rPr>
          <w:rFonts w:cs="Times New Roman"/>
          <w:szCs w:val="24"/>
          <w:lang w:val="lv-LV"/>
        </w:rPr>
        <w:t>[1] Ar Jēkabpils rajona tiesas 2016. gada 16. septembra spriedumu</w:t>
      </w:r>
      <w:r>
        <w:rPr>
          <w:rFonts w:eastAsia="Times New Roman" w:cs="Times New Roman"/>
          <w:szCs w:val="24"/>
          <w:lang w:val="lv-LV"/>
        </w:rPr>
        <w:t xml:space="preserve"> apstiprināta starp Jēkabpils rajona prokuratūras </w:t>
      </w:r>
      <w:r>
        <w:rPr>
          <w:rFonts w:eastAsia="Times New Roman" w:cs="Times New Roman"/>
          <w:szCs w:val="24"/>
          <w:lang w:val="lv-LV"/>
        </w:rPr>
        <w:t xml:space="preserve">prokurori Sandru Rudzīti un </w:t>
      </w:r>
      <w:r>
        <w:rPr>
          <w:rFonts w:cs="Times New Roman"/>
          <w:szCs w:val="24"/>
          <w:lang w:val="lv-LV"/>
        </w:rPr>
        <w:t>[pers. </w:t>
      </w:r>
      <w:r>
        <w:t>A]</w:t>
      </w:r>
      <w:r>
        <w:rPr>
          <w:rFonts w:cs="Times New Roman"/>
          <w:szCs w:val="24"/>
          <w:lang w:val="lv-LV"/>
        </w:rPr>
        <w:t>, personas kods [..],</w:t>
      </w:r>
      <w:r>
        <w:rPr>
          <w:rFonts w:eastAsia="Times New Roman" w:cs="Times New Roman"/>
          <w:szCs w:val="24"/>
          <w:lang w:val="lv-LV"/>
        </w:rPr>
        <w:t xml:space="preserve"> noslēgtā vienošanās par vainas atzīšanu un sodu, un </w:t>
      </w:r>
      <w:r>
        <w:rPr>
          <w:rFonts w:cs="Times New Roman"/>
          <w:szCs w:val="24"/>
          <w:lang w:val="lv-LV"/>
        </w:rPr>
        <w:t>[pers. </w:t>
      </w:r>
      <w:r>
        <w:t>A]</w:t>
      </w:r>
    </w:p>
    <w:p w14:paraId="71882E79" w14:textId="77777777" w:rsidR="0036360B" w:rsidRDefault="00353D73">
      <w:pPr>
        <w:spacing w:after="0" w:line="276" w:lineRule="auto"/>
        <w:ind w:firstLine="720"/>
        <w:jc w:val="both"/>
      </w:pPr>
      <w:r>
        <w:rPr>
          <w:rFonts w:cs="Times New Roman"/>
          <w:szCs w:val="24"/>
          <w:lang w:val="lv-LV"/>
        </w:rPr>
        <w:t xml:space="preserve">atzīts par vainīgu Krimināllikuma 221. trešajā daļā paredzētajā noziedzīgajā nodarījumā un sodīts ar </w:t>
      </w:r>
      <w:r>
        <w:rPr>
          <w:lang w:val="lv-LV"/>
        </w:rPr>
        <w:t>piespiedu darbu uz 220 stundām.</w:t>
      </w:r>
    </w:p>
    <w:p w14:paraId="106BC714" w14:textId="77777777" w:rsidR="0036360B" w:rsidRDefault="00353D73">
      <w:pPr>
        <w:spacing w:after="0" w:line="276" w:lineRule="auto"/>
        <w:ind w:firstLine="720"/>
        <w:jc w:val="both"/>
      </w:pPr>
      <w:r>
        <w:rPr>
          <w:rFonts w:cs="Times New Roman"/>
          <w:szCs w:val="24"/>
          <w:lang w:val="lv-LV"/>
        </w:rPr>
        <w:t>No [pers. </w:t>
      </w:r>
      <w:r>
        <w:t>A]</w:t>
      </w:r>
      <w:r>
        <w:rPr>
          <w:rFonts w:cs="Times New Roman"/>
          <w:szCs w:val="24"/>
          <w:lang w:val="lv-LV"/>
        </w:rPr>
        <w:t xml:space="preserve"> valsts labā piedzīta </w:t>
      </w:r>
      <w:r>
        <w:rPr>
          <w:rFonts w:cs="Times New Roman"/>
          <w:lang w:val="lv-LV"/>
        </w:rPr>
        <w:t xml:space="preserve">materiālā </w:t>
      </w:r>
      <w:r>
        <w:rPr>
          <w:rFonts w:cs="Times New Roman"/>
          <w:szCs w:val="24"/>
          <w:lang w:val="lv-LV"/>
        </w:rPr>
        <w:t>kaitējuma kompensācija 19 087,60 </w:t>
      </w:r>
      <w:proofErr w:type="spellStart"/>
      <w:r>
        <w:rPr>
          <w:rFonts w:cs="Times New Roman"/>
          <w:i/>
          <w:iCs/>
          <w:szCs w:val="24"/>
          <w:lang w:val="lv-LV"/>
        </w:rPr>
        <w:t>euro</w:t>
      </w:r>
      <w:proofErr w:type="spellEnd"/>
      <w:r>
        <w:rPr>
          <w:rFonts w:cs="Times New Roman"/>
          <w:i/>
          <w:iCs/>
          <w:szCs w:val="24"/>
          <w:lang w:val="lv-LV"/>
        </w:rPr>
        <w:t>.</w:t>
      </w:r>
    </w:p>
    <w:p w14:paraId="11C10C21" w14:textId="77777777" w:rsidR="0036360B" w:rsidRDefault="0036360B">
      <w:pPr>
        <w:spacing w:after="0" w:line="276" w:lineRule="auto"/>
        <w:ind w:firstLine="720"/>
        <w:jc w:val="both"/>
        <w:rPr>
          <w:rFonts w:cs="Times New Roman"/>
          <w:szCs w:val="24"/>
          <w:lang w:val="lv-LV"/>
        </w:rPr>
      </w:pPr>
    </w:p>
    <w:p w14:paraId="35FB1ADE" w14:textId="77777777" w:rsidR="0036360B" w:rsidRDefault="00353D73">
      <w:pPr>
        <w:spacing w:after="0" w:line="276" w:lineRule="auto"/>
        <w:ind w:firstLine="720"/>
        <w:jc w:val="both"/>
      </w:pPr>
      <w:r>
        <w:rPr>
          <w:rFonts w:cs="Times New Roman"/>
          <w:szCs w:val="24"/>
          <w:lang w:val="lv-LV"/>
        </w:rPr>
        <w:t xml:space="preserve">[2] Lieta </w:t>
      </w:r>
      <w:r>
        <w:rPr>
          <w:rFonts w:eastAsia="Times New Roman" w:cs="Times New Roman"/>
          <w:szCs w:val="24"/>
          <w:lang w:val="lv-LV"/>
        </w:rPr>
        <w:t>apelācijas un</w:t>
      </w:r>
      <w:r>
        <w:rPr>
          <w:rFonts w:cs="Times New Roman"/>
          <w:szCs w:val="24"/>
          <w:lang w:val="lv-LV"/>
        </w:rPr>
        <w:t xml:space="preserve"> kasācijas kārtībā nav skatīta. Pirmās instances tiesas spriedums stājies spēkā 2016. gada 27. septembrī.</w:t>
      </w:r>
    </w:p>
    <w:p w14:paraId="7D42780F" w14:textId="77777777" w:rsidR="0036360B" w:rsidRDefault="0036360B">
      <w:pPr>
        <w:spacing w:after="0" w:line="276" w:lineRule="auto"/>
        <w:ind w:firstLine="720"/>
        <w:jc w:val="both"/>
        <w:rPr>
          <w:rFonts w:cs="Times New Roman"/>
          <w:szCs w:val="24"/>
          <w:lang w:val="lv-LV"/>
        </w:rPr>
      </w:pPr>
    </w:p>
    <w:p w14:paraId="7A04C73D" w14:textId="77777777" w:rsidR="0036360B" w:rsidRDefault="00353D73">
      <w:pPr>
        <w:spacing w:after="0" w:line="276" w:lineRule="auto"/>
        <w:ind w:firstLine="720"/>
        <w:jc w:val="both"/>
      </w:pPr>
      <w:r>
        <w:rPr>
          <w:rFonts w:cs="Times New Roman"/>
          <w:szCs w:val="24"/>
          <w:lang w:val="lv-LV"/>
        </w:rPr>
        <w:t xml:space="preserve">[3] Par </w:t>
      </w:r>
      <w:r>
        <w:rPr>
          <w:rFonts w:eastAsia="Times New Roman" w:cs="Times New Roman"/>
          <w:szCs w:val="24"/>
          <w:lang w:val="lv-LV"/>
        </w:rPr>
        <w:t>Jēkabpils rajona tiesas 2016. gada 16. septembra spriedumu notiesātā [pers. </w:t>
      </w:r>
      <w:r>
        <w:t>A]</w:t>
      </w:r>
      <w:r>
        <w:rPr>
          <w:rFonts w:eastAsia="Times New Roman" w:cs="Times New Roman"/>
          <w:szCs w:val="24"/>
          <w:lang w:val="lv-LV"/>
        </w:rPr>
        <w:t xml:space="preserve"> uzdevumā advokāts P. Kušners</w:t>
      </w:r>
      <w:r>
        <w:rPr>
          <w:rFonts w:cs="Times New Roman"/>
          <w:szCs w:val="24"/>
          <w:lang w:val="lv-LV"/>
        </w:rPr>
        <w:t xml:space="preserve"> Kriminālprocesa likuma 63. nodaļas kārtībā iesniedzis pieteikumu, kurā lūdz atcelt spriedumu daļā par piedzīto kaitējuma kompensāciju un lietu šajā daļā nosūtīt jaunai izskatīšanai </w:t>
      </w:r>
      <w:r>
        <w:rPr>
          <w:rFonts w:eastAsia="Times New Roman" w:cs="Times New Roman"/>
          <w:szCs w:val="24"/>
          <w:lang w:val="lv-LV"/>
        </w:rPr>
        <w:t xml:space="preserve">Jēkabpils </w:t>
      </w:r>
      <w:r>
        <w:rPr>
          <w:rFonts w:cs="Times New Roman"/>
          <w:szCs w:val="24"/>
          <w:lang w:val="lv-LV"/>
        </w:rPr>
        <w:t>rajona tiesā.</w:t>
      </w:r>
    </w:p>
    <w:p w14:paraId="245C6FAA" w14:textId="77777777" w:rsidR="0036360B" w:rsidRDefault="00353D73">
      <w:pPr>
        <w:widowControl w:val="0"/>
        <w:spacing w:after="0" w:line="276" w:lineRule="auto"/>
        <w:ind w:firstLine="720"/>
        <w:jc w:val="both"/>
      </w:pPr>
      <w:r>
        <w:rPr>
          <w:rFonts w:cs="Times New Roman"/>
          <w:szCs w:val="24"/>
          <w:lang w:val="lv-LV"/>
        </w:rPr>
        <w:t>Pieteikumā norādīts, ka muitas nodokļa 1771,20 </w:t>
      </w:r>
      <w:proofErr w:type="spellStart"/>
      <w:r>
        <w:rPr>
          <w:rFonts w:cs="Times New Roman"/>
          <w:i/>
          <w:iCs/>
          <w:szCs w:val="24"/>
          <w:lang w:val="lv-LV"/>
        </w:rPr>
        <w:t>euro</w:t>
      </w:r>
      <w:proofErr w:type="spellEnd"/>
      <w:r>
        <w:rPr>
          <w:rFonts w:cs="Times New Roman"/>
          <w:i/>
          <w:iCs/>
          <w:szCs w:val="24"/>
          <w:lang w:val="lv-LV"/>
        </w:rPr>
        <w:t xml:space="preserve"> </w:t>
      </w:r>
      <w:r>
        <w:rPr>
          <w:rFonts w:cs="Times New Roman"/>
          <w:szCs w:val="24"/>
          <w:lang w:val="lv-LV"/>
        </w:rPr>
        <w:t>piedziņa no [pers. </w:t>
      </w:r>
      <w:r>
        <w:t>A]</w:t>
      </w:r>
      <w:r>
        <w:rPr>
          <w:rFonts w:cs="Times New Roman"/>
          <w:szCs w:val="24"/>
          <w:lang w:val="lv-LV"/>
        </w:rPr>
        <w:t xml:space="preserve"> valsts labā neatbilst Eiropas Savienības Tiesas sniegtajai Eiropas Parlamenta un Padomes 2013. gada 9. oktobra Regulas (ES) Nr. </w:t>
      </w:r>
      <w:r>
        <w:fldChar w:fldCharType="begin"/>
      </w:r>
      <w:r>
        <w:instrText xml:space="preserve"> HYPERLINK  "http://data.europa.eu/eli/reg/2013/952/2022-12-12" </w:instrText>
      </w:r>
      <w:r>
        <w:fldChar w:fldCharType="separate"/>
      </w:r>
      <w:r>
        <w:rPr>
          <w:rStyle w:val="Hyperlink"/>
          <w:rFonts w:cs="Times New Roman"/>
          <w:szCs w:val="24"/>
          <w:lang w:val="lv-LV"/>
        </w:rPr>
        <w:t>952</w:t>
      </w:r>
      <w:bookmarkStart w:id="0" w:name="_Hlt159850043"/>
      <w:bookmarkStart w:id="1" w:name="_Hlt159850044"/>
      <w:bookmarkStart w:id="2" w:name="_Hlt159850109"/>
      <w:bookmarkStart w:id="3" w:name="_Hlt159850110"/>
      <w:r>
        <w:rPr>
          <w:rStyle w:val="Hyperlink"/>
          <w:rFonts w:cs="Times New Roman"/>
          <w:szCs w:val="24"/>
          <w:lang w:val="lv-LV"/>
        </w:rPr>
        <w:t>/</w:t>
      </w:r>
      <w:bookmarkEnd w:id="0"/>
      <w:bookmarkEnd w:id="1"/>
      <w:bookmarkEnd w:id="2"/>
      <w:bookmarkEnd w:id="3"/>
      <w:r>
        <w:rPr>
          <w:rStyle w:val="Hyperlink"/>
          <w:rFonts w:cs="Times New Roman"/>
          <w:szCs w:val="24"/>
          <w:lang w:val="lv-LV"/>
        </w:rPr>
        <w:t>2013</w:t>
      </w:r>
      <w:r>
        <w:rPr>
          <w:rStyle w:val="Hyperlink"/>
          <w:rFonts w:cs="Times New Roman"/>
          <w:szCs w:val="24"/>
          <w:lang w:val="lv-LV"/>
        </w:rPr>
        <w:fldChar w:fldCharType="end"/>
      </w:r>
      <w:r>
        <w:rPr>
          <w:rFonts w:cs="Times New Roman"/>
          <w:szCs w:val="24"/>
          <w:lang w:val="lv-LV"/>
        </w:rPr>
        <w:t xml:space="preserve">, ar ko izveido Savienības Muitas kodeksu (turpmāk – Savienības Muitas kodekss), 124. panta pirmās daļas „e” punkta interpretācijai, </w:t>
      </w:r>
      <w:r>
        <w:rPr>
          <w:rFonts w:cs="Times New Roman"/>
          <w:szCs w:val="24"/>
          <w:lang w:val="lv-LV"/>
        </w:rPr>
        <w:lastRenderedPageBreak/>
        <w:t>no kuras izriet, ka muitas parāds tiek dzēsts, kad kontrabandas preces ir aizturētas un vēlāk konfiscētas (</w:t>
      </w:r>
      <w:r>
        <w:rPr>
          <w:rFonts w:cs="Times New Roman"/>
          <w:i/>
          <w:szCs w:val="24"/>
          <w:lang w:val="lv-LV"/>
        </w:rPr>
        <w:t>Eiropas Savienības Tiesas 2022. gada 7. aprīļa spriedums lietā „</w:t>
      </w:r>
      <w:proofErr w:type="spellStart"/>
      <w:r>
        <w:rPr>
          <w:rFonts w:cs="Times New Roman"/>
          <w:i/>
          <w:szCs w:val="24"/>
          <w:lang w:val="lv-LV"/>
        </w:rPr>
        <w:t>Kauno</w:t>
      </w:r>
      <w:proofErr w:type="spellEnd"/>
      <w:r>
        <w:rPr>
          <w:rFonts w:cs="Times New Roman"/>
          <w:i/>
          <w:szCs w:val="24"/>
          <w:lang w:val="lv-LV"/>
        </w:rPr>
        <w:t xml:space="preserve"> </w:t>
      </w:r>
      <w:proofErr w:type="spellStart"/>
      <w:r>
        <w:rPr>
          <w:rFonts w:cs="Times New Roman"/>
          <w:i/>
          <w:szCs w:val="24"/>
          <w:lang w:val="lv-LV"/>
        </w:rPr>
        <w:t>teritorinė</w:t>
      </w:r>
      <w:proofErr w:type="spellEnd"/>
      <w:r>
        <w:rPr>
          <w:rFonts w:cs="Times New Roman"/>
          <w:i/>
          <w:szCs w:val="24"/>
          <w:lang w:val="lv-LV"/>
        </w:rPr>
        <w:t xml:space="preserve"> </w:t>
      </w:r>
      <w:proofErr w:type="spellStart"/>
      <w:r>
        <w:rPr>
          <w:rFonts w:cs="Times New Roman"/>
          <w:i/>
          <w:szCs w:val="24"/>
          <w:lang w:val="lv-LV"/>
        </w:rPr>
        <w:t>muitinė</w:t>
      </w:r>
      <w:proofErr w:type="spellEnd"/>
      <w:r>
        <w:rPr>
          <w:rFonts w:cs="Times New Roman"/>
          <w:i/>
          <w:szCs w:val="24"/>
          <w:lang w:val="lv-LV"/>
        </w:rPr>
        <w:t>”, C</w:t>
      </w:r>
      <w:r>
        <w:rPr>
          <w:rFonts w:cs="Times New Roman"/>
          <w:i/>
          <w:szCs w:val="24"/>
          <w:lang w:val="lv-LV"/>
        </w:rPr>
        <w:noBreakHyphen/>
        <w:t xml:space="preserve">489/20, </w:t>
      </w:r>
      <w:hyperlink r:id="rId7" w:history="1">
        <w:r>
          <w:rPr>
            <w:rStyle w:val="Hyperlink"/>
            <w:rFonts w:cs="Times New Roman"/>
            <w:i/>
            <w:szCs w:val="24"/>
            <w:lang w:val="lv-LV"/>
          </w:rPr>
          <w:t>ECLI:EU:C</w:t>
        </w:r>
        <w:bookmarkStart w:id="4" w:name="_Hlt159845084"/>
        <w:bookmarkStart w:id="5" w:name="_Hlt159845085"/>
        <w:r>
          <w:rPr>
            <w:rStyle w:val="Hyperlink"/>
            <w:rFonts w:cs="Times New Roman"/>
            <w:i/>
            <w:szCs w:val="24"/>
            <w:lang w:val="lv-LV"/>
          </w:rPr>
          <w:t>:</w:t>
        </w:r>
        <w:bookmarkEnd w:id="4"/>
        <w:bookmarkEnd w:id="5"/>
        <w:r>
          <w:rPr>
            <w:rStyle w:val="Hyperlink"/>
            <w:rFonts w:cs="Times New Roman"/>
            <w:i/>
            <w:szCs w:val="24"/>
            <w:lang w:val="lv-LV"/>
          </w:rPr>
          <w:t>2022:277</w:t>
        </w:r>
      </w:hyperlink>
      <w:r>
        <w:rPr>
          <w:rFonts w:cs="Times New Roman"/>
          <w:iCs/>
          <w:szCs w:val="24"/>
          <w:lang w:val="lv-LV"/>
        </w:rPr>
        <w:t>).</w:t>
      </w:r>
    </w:p>
    <w:p w14:paraId="09349405" w14:textId="77777777" w:rsidR="0036360B" w:rsidRDefault="00353D73">
      <w:pPr>
        <w:spacing w:after="0" w:line="276" w:lineRule="auto"/>
        <w:ind w:firstLine="720"/>
        <w:jc w:val="both"/>
        <w:rPr>
          <w:rFonts w:cs="Times New Roman"/>
          <w:szCs w:val="24"/>
          <w:lang w:val="lv-LV"/>
        </w:rPr>
      </w:pPr>
      <w:r>
        <w:rPr>
          <w:rFonts w:cs="Times New Roman"/>
          <w:szCs w:val="24"/>
          <w:lang w:val="lv-LV"/>
        </w:rPr>
        <w:t xml:space="preserve">Atbilstoši Kriminālprocesa likuma 353. panta pirmās daļas 1. punktam pienākumu samaksāt kompensāciju var uzlikt pilngadīgajam </w:t>
      </w:r>
      <w:r>
        <w:rPr>
          <w:rFonts w:cs="Times New Roman"/>
          <w:szCs w:val="24"/>
          <w:lang w:val="lv-LV"/>
        </w:rPr>
        <w:t>apsūdzētajam, kas atzīts par vainīgu noziedzīgā nodarījuma izdarīšanā.</w:t>
      </w:r>
    </w:p>
    <w:p w14:paraId="411F2D54" w14:textId="77777777" w:rsidR="0036360B" w:rsidRDefault="00353D73">
      <w:pPr>
        <w:spacing w:after="0" w:line="276" w:lineRule="auto"/>
        <w:ind w:firstLine="720"/>
        <w:jc w:val="both"/>
      </w:pPr>
      <w:r>
        <w:rPr>
          <w:rFonts w:cs="Times New Roman"/>
          <w:szCs w:val="24"/>
          <w:lang w:val="lv-LV"/>
        </w:rPr>
        <w:t>Tādējādi tiesa pārkāpusi Kriminālprocesa likuma 353. panta pirmās daļas 1. punktu, piedzenot no [pers. </w:t>
      </w:r>
      <w:r>
        <w:t>A]</w:t>
      </w:r>
      <w:r>
        <w:rPr>
          <w:rFonts w:cs="Times New Roman"/>
          <w:szCs w:val="24"/>
          <w:lang w:val="lv-LV"/>
        </w:rPr>
        <w:t xml:space="preserve"> tādus mantiskos zaudējumus, kurus viņš ar savām noziedzīgām darbībām nav nodarījis.</w:t>
      </w:r>
    </w:p>
    <w:p w14:paraId="641ABB1E" w14:textId="77777777" w:rsidR="0036360B" w:rsidRDefault="0036360B">
      <w:pPr>
        <w:spacing w:after="0" w:line="276" w:lineRule="auto"/>
        <w:jc w:val="both"/>
        <w:rPr>
          <w:rFonts w:cs="Times New Roman"/>
          <w:szCs w:val="24"/>
          <w:lang w:val="lv-LV"/>
        </w:rPr>
      </w:pPr>
    </w:p>
    <w:p w14:paraId="7089524D" w14:textId="77777777" w:rsidR="0036360B" w:rsidRDefault="00353D73">
      <w:pPr>
        <w:spacing w:after="0" w:line="276" w:lineRule="auto"/>
        <w:jc w:val="center"/>
        <w:rPr>
          <w:rFonts w:cs="Times New Roman"/>
          <w:b/>
          <w:bCs/>
          <w:szCs w:val="24"/>
          <w:lang w:val="lv-LV"/>
        </w:rPr>
      </w:pPr>
      <w:r>
        <w:rPr>
          <w:rFonts w:cs="Times New Roman"/>
          <w:b/>
          <w:bCs/>
          <w:szCs w:val="24"/>
          <w:lang w:val="lv-LV"/>
        </w:rPr>
        <w:t>Motīvu daļa</w:t>
      </w:r>
    </w:p>
    <w:p w14:paraId="5F273D18" w14:textId="77777777" w:rsidR="0036360B" w:rsidRDefault="0036360B">
      <w:pPr>
        <w:spacing w:after="0" w:line="276" w:lineRule="auto"/>
        <w:jc w:val="center"/>
        <w:rPr>
          <w:rFonts w:cs="Times New Roman"/>
          <w:b/>
          <w:bCs/>
          <w:szCs w:val="24"/>
          <w:lang w:val="lv-LV"/>
        </w:rPr>
      </w:pPr>
    </w:p>
    <w:p w14:paraId="7F5FBBEC" w14:textId="77777777" w:rsidR="0036360B" w:rsidRDefault="00353D73">
      <w:pPr>
        <w:spacing w:after="0" w:line="276" w:lineRule="auto"/>
        <w:ind w:firstLine="720"/>
        <w:jc w:val="both"/>
      </w:pPr>
      <w:r>
        <w:rPr>
          <w:rFonts w:cs="Times New Roman"/>
          <w:szCs w:val="24"/>
          <w:lang w:val="lv-LV"/>
        </w:rPr>
        <w:t xml:space="preserve">[4] Senāts konstatē, ka atbilstoši </w:t>
      </w:r>
      <w:r>
        <w:rPr>
          <w:rFonts w:cs="Times New Roman"/>
          <w:color w:val="000000"/>
          <w:szCs w:val="24"/>
          <w:lang w:val="lv-LV"/>
        </w:rPr>
        <w:t>Savienības Muitas kodeksa 286. panta otrajai daļai iepriekš spēkā esošā Padomes 1992. gada 12. oktobra Regula (EEK) Nr. </w:t>
      </w:r>
      <w:r>
        <w:fldChar w:fldCharType="begin"/>
      </w:r>
      <w:r>
        <w:instrText xml:space="preserve"> HYPERLINK  "http://data.europa.eu/eli/reg/1992/2913/oj" </w:instrText>
      </w:r>
      <w:r>
        <w:fldChar w:fldCharType="separate"/>
      </w:r>
      <w:r>
        <w:rPr>
          <w:rStyle w:val="Hyperlink"/>
          <w:rFonts w:cs="Times New Roman"/>
          <w:szCs w:val="24"/>
          <w:lang w:val="lv-LV"/>
        </w:rPr>
        <w:t>29</w:t>
      </w:r>
      <w:bookmarkStart w:id="6" w:name="_Hlt159849918"/>
      <w:bookmarkStart w:id="7" w:name="_Hlt159849919"/>
      <w:r>
        <w:rPr>
          <w:rStyle w:val="Hyperlink"/>
          <w:rFonts w:cs="Times New Roman"/>
          <w:szCs w:val="24"/>
          <w:lang w:val="lv-LV"/>
        </w:rPr>
        <w:t>1</w:t>
      </w:r>
      <w:bookmarkStart w:id="8" w:name="_Hlt159850033"/>
      <w:bookmarkStart w:id="9" w:name="_Hlt159850034"/>
      <w:bookmarkStart w:id="10" w:name="_Hlt159850138"/>
      <w:bookmarkStart w:id="11" w:name="_Hlt159850139"/>
      <w:bookmarkEnd w:id="6"/>
      <w:bookmarkEnd w:id="7"/>
      <w:r>
        <w:rPr>
          <w:rStyle w:val="Hyperlink"/>
          <w:rFonts w:cs="Times New Roman"/>
          <w:szCs w:val="24"/>
          <w:lang w:val="lv-LV"/>
        </w:rPr>
        <w:t>3</w:t>
      </w:r>
      <w:bookmarkEnd w:id="8"/>
      <w:bookmarkEnd w:id="9"/>
      <w:bookmarkEnd w:id="10"/>
      <w:bookmarkEnd w:id="11"/>
      <w:r>
        <w:rPr>
          <w:rStyle w:val="Hyperlink"/>
          <w:rFonts w:cs="Times New Roman"/>
          <w:szCs w:val="24"/>
          <w:lang w:val="lv-LV"/>
        </w:rPr>
        <w:t>/92</w:t>
      </w:r>
      <w:r>
        <w:rPr>
          <w:rStyle w:val="Hyperlink"/>
          <w:rFonts w:cs="Times New Roman"/>
          <w:szCs w:val="24"/>
          <w:lang w:val="lv-LV"/>
        </w:rPr>
        <w:fldChar w:fldCharType="end"/>
      </w:r>
      <w:r>
        <w:rPr>
          <w:rFonts w:cs="Times New Roman"/>
          <w:color w:val="000000"/>
          <w:szCs w:val="24"/>
          <w:lang w:val="lv-LV"/>
        </w:rPr>
        <w:t xml:space="preserve"> par Kopienas Muitas kodeksa izveidi </w:t>
      </w:r>
      <w:r>
        <w:rPr>
          <w:rFonts w:cs="Times New Roman"/>
          <w:szCs w:val="24"/>
          <w:lang w:val="lv-LV"/>
        </w:rPr>
        <w:t xml:space="preserve">(turpmāk – Kopienas Muitas kodekss) </w:t>
      </w:r>
      <w:r>
        <w:rPr>
          <w:rFonts w:cs="Times New Roman"/>
          <w:color w:val="000000"/>
          <w:szCs w:val="24"/>
          <w:lang w:val="lv-LV"/>
        </w:rPr>
        <w:t>zaudējusi spēku 2016. gada 1. maijā.</w:t>
      </w:r>
    </w:p>
    <w:p w14:paraId="16B956C1" w14:textId="77777777" w:rsidR="0036360B" w:rsidRDefault="00353D73">
      <w:pPr>
        <w:spacing w:after="0" w:line="276" w:lineRule="auto"/>
        <w:ind w:firstLine="720"/>
        <w:jc w:val="both"/>
      </w:pPr>
      <w:r>
        <w:rPr>
          <w:rFonts w:cs="Times New Roman"/>
          <w:szCs w:val="24"/>
          <w:lang w:val="lv-LV"/>
        </w:rPr>
        <w:t>Eiropas Savienības Tiesa, interpretējot Kopienas muitas kodeksa</w:t>
      </w:r>
      <w:r>
        <w:rPr>
          <w:rFonts w:cs="Times New Roman"/>
          <w:color w:val="000000"/>
          <w:szCs w:val="24"/>
          <w:lang w:val="lv-LV"/>
        </w:rPr>
        <w:t xml:space="preserve"> </w:t>
      </w:r>
      <w:r>
        <w:rPr>
          <w:rFonts w:cs="Times New Roman"/>
          <w:szCs w:val="24"/>
          <w:lang w:val="lv-LV"/>
        </w:rPr>
        <w:t>233. panta pirmās daļas „d</w:t>
      </w:r>
      <w:r>
        <w:rPr>
          <w:rFonts w:cs="Times New Roman"/>
          <w:color w:val="000000"/>
          <w:szCs w:val="24"/>
          <w:lang w:val="lv-LV"/>
        </w:rPr>
        <w:t xml:space="preserve">” punktu, norādījusi, ka </w:t>
      </w:r>
      <w:r>
        <w:rPr>
          <w:rFonts w:cs="Times New Roman"/>
          <w:szCs w:val="24"/>
          <w:lang w:val="lv-LV"/>
        </w:rPr>
        <w:t>muitas parāds tiek dzēsts, ja preču aizturēšana notikusi pirms tās šķērsojušas šajā teritorijā esošo pirmo muitas iestādi (</w:t>
      </w:r>
      <w:r>
        <w:rPr>
          <w:rFonts w:cs="Times New Roman"/>
          <w:i/>
          <w:szCs w:val="24"/>
          <w:lang w:val="lv-LV"/>
        </w:rPr>
        <w:t>Eiropas Savienības Tiesas 2009. gada 2. aprīļa sprieduma lietā „</w:t>
      </w:r>
      <w:proofErr w:type="spellStart"/>
      <w:r>
        <w:rPr>
          <w:rFonts w:cs="Times New Roman"/>
          <w:i/>
          <w:szCs w:val="24"/>
          <w:lang w:val="lv-LV"/>
        </w:rPr>
        <w:t>Elshani</w:t>
      </w:r>
      <w:proofErr w:type="spellEnd"/>
      <w:r>
        <w:rPr>
          <w:rFonts w:cs="Times New Roman"/>
          <w:i/>
          <w:szCs w:val="24"/>
          <w:lang w:val="lv-LV"/>
        </w:rPr>
        <w:t xml:space="preserve">”, C-459/07, </w:t>
      </w:r>
      <w:hyperlink r:id="rId8" w:history="1">
        <w:r>
          <w:rPr>
            <w:rStyle w:val="Hyperlink"/>
            <w:rFonts w:cs="Times New Roman"/>
            <w:i/>
            <w:szCs w:val="24"/>
            <w:lang w:val="lv-LV"/>
          </w:rPr>
          <w:t>ECLI:</w:t>
        </w:r>
        <w:bookmarkStart w:id="12" w:name="_Hlt159852692"/>
        <w:bookmarkStart w:id="13" w:name="_Hlt159852693"/>
        <w:r>
          <w:rPr>
            <w:rStyle w:val="Hyperlink"/>
            <w:rFonts w:cs="Times New Roman"/>
            <w:i/>
            <w:szCs w:val="24"/>
            <w:lang w:val="lv-LV"/>
          </w:rPr>
          <w:t>E</w:t>
        </w:r>
        <w:bookmarkEnd w:id="12"/>
        <w:bookmarkEnd w:id="13"/>
        <w:r>
          <w:rPr>
            <w:rStyle w:val="Hyperlink"/>
            <w:rFonts w:cs="Times New Roman"/>
            <w:i/>
            <w:szCs w:val="24"/>
            <w:lang w:val="lv-LV"/>
          </w:rPr>
          <w:t>U:C:200</w:t>
        </w:r>
        <w:bookmarkStart w:id="14" w:name="_Hlt159852259"/>
        <w:bookmarkStart w:id="15" w:name="_Hlt159852260"/>
        <w:r>
          <w:rPr>
            <w:rStyle w:val="Hyperlink"/>
            <w:rFonts w:cs="Times New Roman"/>
            <w:i/>
            <w:szCs w:val="24"/>
            <w:lang w:val="lv-LV"/>
          </w:rPr>
          <w:t>9</w:t>
        </w:r>
        <w:bookmarkEnd w:id="14"/>
        <w:bookmarkEnd w:id="15"/>
        <w:r>
          <w:rPr>
            <w:rStyle w:val="Hyperlink"/>
            <w:rFonts w:cs="Times New Roman"/>
            <w:i/>
            <w:szCs w:val="24"/>
            <w:lang w:val="lv-LV"/>
          </w:rPr>
          <w:t>:224</w:t>
        </w:r>
      </w:hyperlink>
      <w:r>
        <w:rPr>
          <w:rFonts w:cs="Times New Roman"/>
          <w:i/>
          <w:szCs w:val="24"/>
          <w:lang w:val="lv-LV"/>
        </w:rPr>
        <w:t>, 38. punkts, 2010. gada 29. aprīļa sprieduma lietā „</w:t>
      </w:r>
      <w:proofErr w:type="spellStart"/>
      <w:r>
        <w:rPr>
          <w:rFonts w:cs="Times New Roman"/>
          <w:i/>
          <w:szCs w:val="24"/>
          <w:lang w:val="lv-LV"/>
        </w:rPr>
        <w:t>Dansk</w:t>
      </w:r>
      <w:proofErr w:type="spellEnd"/>
      <w:r>
        <w:rPr>
          <w:rFonts w:cs="Times New Roman"/>
          <w:i/>
          <w:szCs w:val="24"/>
          <w:lang w:val="lv-LV"/>
        </w:rPr>
        <w:t xml:space="preserve"> Transport </w:t>
      </w:r>
      <w:proofErr w:type="spellStart"/>
      <w:r>
        <w:rPr>
          <w:rFonts w:cs="Times New Roman"/>
          <w:i/>
          <w:szCs w:val="24"/>
          <w:lang w:val="lv-LV"/>
        </w:rPr>
        <w:t>og</w:t>
      </w:r>
      <w:proofErr w:type="spellEnd"/>
      <w:r>
        <w:rPr>
          <w:rFonts w:cs="Times New Roman"/>
          <w:i/>
          <w:szCs w:val="24"/>
          <w:lang w:val="lv-LV"/>
        </w:rPr>
        <w:t xml:space="preserve"> </w:t>
      </w:r>
      <w:proofErr w:type="spellStart"/>
      <w:r>
        <w:rPr>
          <w:rFonts w:cs="Times New Roman"/>
          <w:i/>
          <w:szCs w:val="24"/>
          <w:lang w:val="lv-LV"/>
        </w:rPr>
        <w:t>Logistik</w:t>
      </w:r>
      <w:proofErr w:type="spellEnd"/>
      <w:r>
        <w:rPr>
          <w:rFonts w:cs="Times New Roman"/>
          <w:i/>
          <w:szCs w:val="24"/>
          <w:lang w:val="lv-LV"/>
        </w:rPr>
        <w:t>”, C</w:t>
      </w:r>
      <w:r>
        <w:rPr>
          <w:rFonts w:cs="Times New Roman"/>
          <w:i/>
          <w:szCs w:val="24"/>
          <w:lang w:val="lv-LV"/>
        </w:rPr>
        <w:noBreakHyphen/>
        <w:t xml:space="preserve">230/08, </w:t>
      </w:r>
      <w:hyperlink r:id="rId9" w:history="1">
        <w:r>
          <w:rPr>
            <w:rStyle w:val="Hyperlink"/>
            <w:rFonts w:cs="Times New Roman"/>
            <w:i/>
            <w:szCs w:val="24"/>
            <w:lang w:val="lv-LV"/>
          </w:rPr>
          <w:t>ECLI:EU:C:2010:231</w:t>
        </w:r>
      </w:hyperlink>
      <w:r>
        <w:rPr>
          <w:rFonts w:cs="Times New Roman"/>
          <w:i/>
          <w:szCs w:val="24"/>
          <w:lang w:val="lv-LV"/>
        </w:rPr>
        <w:t>, 50. punkts</w:t>
      </w:r>
      <w:r>
        <w:rPr>
          <w:rFonts w:cs="Times New Roman"/>
          <w:szCs w:val="24"/>
          <w:lang w:val="lv-LV"/>
        </w:rPr>
        <w:t>). Šāda atziņa ir nostiprināta arī Senāta judikatūrā (</w:t>
      </w:r>
      <w:r>
        <w:rPr>
          <w:rFonts w:cs="Times New Roman"/>
          <w:i/>
          <w:szCs w:val="24"/>
          <w:lang w:val="lv-LV"/>
        </w:rPr>
        <w:t>Senāta 2016. gada 22. janvāra lēmums lietā Nr. </w:t>
      </w:r>
      <w:r>
        <w:fldChar w:fldCharType="begin"/>
      </w:r>
      <w:r>
        <w:instrText xml:space="preserve"> HYPERLINK  "https://manas.tiesas.lv/eTiesasMvc/nolemumi/pdf/249336.pdf" </w:instrText>
      </w:r>
      <w:r>
        <w:fldChar w:fldCharType="separate"/>
      </w:r>
      <w:r>
        <w:rPr>
          <w:rStyle w:val="Hyperlink"/>
          <w:rFonts w:cs="Times New Roman"/>
          <w:i/>
          <w:szCs w:val="24"/>
          <w:lang w:val="lv-LV"/>
        </w:rPr>
        <w:t>SKK</w:t>
      </w:r>
      <w:bookmarkStart w:id="16" w:name="_Hlt159852644"/>
      <w:bookmarkStart w:id="17" w:name="_Hlt159852645"/>
      <w:r>
        <w:rPr>
          <w:rStyle w:val="Hyperlink"/>
          <w:rFonts w:cs="Times New Roman"/>
          <w:i/>
          <w:szCs w:val="24"/>
          <w:lang w:val="lv-LV"/>
        </w:rPr>
        <w:t>-</w:t>
      </w:r>
      <w:bookmarkEnd w:id="16"/>
      <w:bookmarkEnd w:id="17"/>
      <w:r>
        <w:rPr>
          <w:rStyle w:val="Hyperlink"/>
          <w:rFonts w:cs="Times New Roman"/>
          <w:i/>
          <w:szCs w:val="24"/>
          <w:lang w:val="lv-LV"/>
        </w:rPr>
        <w:t>1</w:t>
      </w:r>
      <w:bookmarkStart w:id="18" w:name="_Hlt159851955"/>
      <w:bookmarkStart w:id="19" w:name="_Hlt159851956"/>
      <w:r>
        <w:rPr>
          <w:rStyle w:val="Hyperlink"/>
          <w:rFonts w:cs="Times New Roman"/>
          <w:i/>
          <w:szCs w:val="24"/>
          <w:lang w:val="lv-LV"/>
        </w:rPr>
        <w:t>5</w:t>
      </w:r>
      <w:bookmarkEnd w:id="18"/>
      <w:bookmarkEnd w:id="19"/>
      <w:r>
        <w:rPr>
          <w:rStyle w:val="Hyperlink"/>
          <w:rFonts w:cs="Times New Roman"/>
          <w:i/>
          <w:szCs w:val="24"/>
          <w:lang w:val="lv-LV"/>
        </w:rPr>
        <w:t>/2016</w:t>
      </w:r>
      <w:r>
        <w:rPr>
          <w:rStyle w:val="Hyperlink"/>
          <w:rFonts w:cs="Times New Roman"/>
          <w:i/>
          <w:szCs w:val="24"/>
          <w:lang w:val="lv-LV"/>
        </w:rPr>
        <w:fldChar w:fldCharType="end"/>
      </w:r>
      <w:r>
        <w:rPr>
          <w:rFonts w:cs="Times New Roman"/>
          <w:i/>
          <w:szCs w:val="24"/>
          <w:lang w:val="lv-LV"/>
        </w:rPr>
        <w:t>, 15890008713, 2017. gada 10. februāra lēmums lietā Nr. </w:t>
      </w:r>
      <w:r>
        <w:fldChar w:fldCharType="begin"/>
      </w:r>
      <w:r>
        <w:instrText xml:space="preserve"> HYPERLINK  "https://www.at.gov.lv/downloadlawfile/5083" </w:instrText>
      </w:r>
      <w:r>
        <w:fldChar w:fldCharType="separate"/>
      </w:r>
      <w:r>
        <w:rPr>
          <w:rStyle w:val="Hyperlink"/>
          <w:rFonts w:cs="Times New Roman"/>
          <w:i/>
          <w:szCs w:val="24"/>
          <w:lang w:val="lv-LV"/>
        </w:rPr>
        <w:t>SK</w:t>
      </w:r>
      <w:bookmarkStart w:id="20" w:name="_Hlt159852812"/>
      <w:bookmarkStart w:id="21" w:name="_Hlt159852813"/>
      <w:r>
        <w:rPr>
          <w:rStyle w:val="Hyperlink"/>
          <w:rFonts w:cs="Times New Roman"/>
          <w:i/>
          <w:szCs w:val="24"/>
          <w:lang w:val="lv-LV"/>
        </w:rPr>
        <w:t>K</w:t>
      </w:r>
      <w:bookmarkEnd w:id="20"/>
      <w:bookmarkEnd w:id="21"/>
      <w:r>
        <w:rPr>
          <w:rStyle w:val="Hyperlink"/>
          <w:rFonts w:cs="Times New Roman"/>
          <w:i/>
          <w:szCs w:val="24"/>
          <w:lang w:val="lv-LV"/>
        </w:rPr>
        <w:t>-26/</w:t>
      </w:r>
      <w:bookmarkStart w:id="22" w:name="_Hlt159859447"/>
      <w:bookmarkStart w:id="23" w:name="_Hlt159859448"/>
      <w:r>
        <w:rPr>
          <w:rStyle w:val="Hyperlink"/>
          <w:rFonts w:cs="Times New Roman"/>
          <w:i/>
          <w:szCs w:val="24"/>
          <w:lang w:val="lv-LV"/>
        </w:rPr>
        <w:t>2</w:t>
      </w:r>
      <w:bookmarkEnd w:id="22"/>
      <w:bookmarkEnd w:id="23"/>
      <w:r>
        <w:rPr>
          <w:rStyle w:val="Hyperlink"/>
          <w:rFonts w:cs="Times New Roman"/>
          <w:i/>
          <w:szCs w:val="24"/>
          <w:lang w:val="lv-LV"/>
        </w:rPr>
        <w:t>017</w:t>
      </w:r>
      <w:r>
        <w:rPr>
          <w:rStyle w:val="Hyperlink"/>
          <w:rFonts w:cs="Times New Roman"/>
          <w:i/>
          <w:szCs w:val="24"/>
          <w:lang w:val="lv-LV"/>
        </w:rPr>
        <w:fldChar w:fldCharType="end"/>
      </w:r>
      <w:r>
        <w:rPr>
          <w:rFonts w:cs="Times New Roman"/>
          <w:i/>
          <w:szCs w:val="24"/>
          <w:lang w:val="lv-LV"/>
        </w:rPr>
        <w:t>, 15890008713</w:t>
      </w:r>
      <w:r>
        <w:rPr>
          <w:rFonts w:cs="Times New Roman"/>
          <w:szCs w:val="24"/>
          <w:lang w:val="lv-LV"/>
        </w:rPr>
        <w:t>).</w:t>
      </w:r>
    </w:p>
    <w:p w14:paraId="5F41F411" w14:textId="77777777" w:rsidR="0036360B" w:rsidRDefault="00353D73">
      <w:pPr>
        <w:spacing w:after="0" w:line="276" w:lineRule="auto"/>
        <w:ind w:firstLine="720"/>
        <w:jc w:val="both"/>
        <w:rPr>
          <w:rFonts w:cs="Times New Roman"/>
          <w:szCs w:val="24"/>
          <w:lang w:val="lv-LV"/>
        </w:rPr>
      </w:pPr>
      <w:r>
        <w:rPr>
          <w:rFonts w:cs="Times New Roman"/>
          <w:szCs w:val="24"/>
          <w:lang w:val="lv-LV"/>
        </w:rPr>
        <w:t>Senāts norāda, ka, pieņemot Savienības Muitas kodeksu, ir mainījusies tiesiskā situācija mantiskā zaudējuma piedziņā saistībā ar muitas nodokļa nesamaksāšanu.</w:t>
      </w:r>
    </w:p>
    <w:p w14:paraId="003D14BC" w14:textId="77777777" w:rsidR="0036360B" w:rsidRDefault="00353D73">
      <w:pPr>
        <w:spacing w:after="0" w:line="276" w:lineRule="auto"/>
        <w:ind w:firstLine="720"/>
        <w:jc w:val="both"/>
      </w:pPr>
      <w:r>
        <w:rPr>
          <w:rFonts w:cs="Times New Roman"/>
          <w:szCs w:val="24"/>
          <w:lang w:val="lv-LV"/>
        </w:rPr>
        <w:t>Eiropas Savienības Tiesa norādījusi, ka Savienības Muitas kodeksa 124. punkta pirmās daļas „e” punkts ir interpretējams tādējādi, ka muitas parāds tiek dzēsts, kad kontrabandas preces ir aizturētas un vēlāk konfiscētas jau pēc tam, kad tās tikušas nelikumīgi ievestas Eiropas Savienības muitas teritorijā (</w:t>
      </w:r>
      <w:r>
        <w:rPr>
          <w:rFonts w:cs="Times New Roman"/>
          <w:i/>
          <w:szCs w:val="24"/>
          <w:lang w:val="lv-LV"/>
        </w:rPr>
        <w:t>Eiropas Savienības Tiesas 2022. gada 7. aprīļa spriedums lietā „</w:t>
      </w:r>
      <w:proofErr w:type="spellStart"/>
      <w:r>
        <w:rPr>
          <w:rFonts w:cs="Times New Roman"/>
          <w:i/>
          <w:szCs w:val="24"/>
          <w:lang w:val="lv-LV"/>
        </w:rPr>
        <w:t>Kauno</w:t>
      </w:r>
      <w:proofErr w:type="spellEnd"/>
      <w:r>
        <w:rPr>
          <w:rFonts w:cs="Times New Roman"/>
          <w:i/>
          <w:szCs w:val="24"/>
          <w:lang w:val="lv-LV"/>
        </w:rPr>
        <w:t xml:space="preserve"> </w:t>
      </w:r>
      <w:proofErr w:type="spellStart"/>
      <w:r>
        <w:rPr>
          <w:rFonts w:cs="Times New Roman"/>
          <w:i/>
          <w:szCs w:val="24"/>
          <w:lang w:val="lv-LV"/>
        </w:rPr>
        <w:t>teritorinė</w:t>
      </w:r>
      <w:proofErr w:type="spellEnd"/>
      <w:r>
        <w:rPr>
          <w:rFonts w:cs="Times New Roman"/>
          <w:i/>
          <w:szCs w:val="24"/>
          <w:lang w:val="lv-LV"/>
        </w:rPr>
        <w:t xml:space="preserve"> </w:t>
      </w:r>
      <w:proofErr w:type="spellStart"/>
      <w:r>
        <w:rPr>
          <w:rFonts w:cs="Times New Roman"/>
          <w:i/>
          <w:szCs w:val="24"/>
          <w:lang w:val="lv-LV"/>
        </w:rPr>
        <w:t>muitinė</w:t>
      </w:r>
      <w:proofErr w:type="spellEnd"/>
      <w:r>
        <w:rPr>
          <w:rFonts w:cs="Times New Roman"/>
          <w:i/>
          <w:szCs w:val="24"/>
          <w:lang w:val="lv-LV"/>
        </w:rPr>
        <w:t xml:space="preserve">”, C-489/20, </w:t>
      </w:r>
      <w:hyperlink r:id="rId10" w:history="1">
        <w:r>
          <w:rPr>
            <w:rStyle w:val="Hyperlink"/>
            <w:rFonts w:cs="Times New Roman"/>
            <w:i/>
            <w:szCs w:val="24"/>
            <w:lang w:val="lv-LV"/>
          </w:rPr>
          <w:t>ECLI:E</w:t>
        </w:r>
        <w:bookmarkStart w:id="24" w:name="_Hlt159851999"/>
        <w:bookmarkStart w:id="25" w:name="_Hlt159852000"/>
        <w:r>
          <w:rPr>
            <w:rStyle w:val="Hyperlink"/>
            <w:rFonts w:cs="Times New Roman"/>
            <w:i/>
            <w:szCs w:val="24"/>
            <w:lang w:val="lv-LV"/>
          </w:rPr>
          <w:t>U</w:t>
        </w:r>
        <w:bookmarkEnd w:id="24"/>
        <w:bookmarkEnd w:id="25"/>
        <w:r>
          <w:rPr>
            <w:rStyle w:val="Hyperlink"/>
            <w:rFonts w:cs="Times New Roman"/>
            <w:i/>
            <w:szCs w:val="24"/>
            <w:lang w:val="lv-LV"/>
          </w:rPr>
          <w:t>:C:2022:277</w:t>
        </w:r>
      </w:hyperlink>
      <w:r>
        <w:rPr>
          <w:rFonts w:cs="Times New Roman"/>
          <w:iCs/>
          <w:szCs w:val="24"/>
          <w:lang w:val="lv-LV"/>
        </w:rPr>
        <w:t>).</w:t>
      </w:r>
    </w:p>
    <w:p w14:paraId="42511AA2" w14:textId="77777777" w:rsidR="0036360B" w:rsidRDefault="00353D73">
      <w:pPr>
        <w:spacing w:after="0" w:line="276" w:lineRule="auto"/>
        <w:ind w:firstLine="720"/>
        <w:jc w:val="both"/>
      </w:pPr>
      <w:r>
        <w:rPr>
          <w:rFonts w:cs="Times New Roman"/>
          <w:szCs w:val="24"/>
          <w:lang w:val="lv-LV"/>
        </w:rPr>
        <w:t>Tādējādi Savienības Muitas kodeksa 124. panta pirmās daļas „e” punkts formulēts atšķirīgi no Kopienas muitas kodeksa</w:t>
      </w:r>
      <w:r>
        <w:rPr>
          <w:rFonts w:cs="Times New Roman"/>
          <w:color w:val="000000"/>
          <w:szCs w:val="24"/>
          <w:lang w:val="lv-LV"/>
        </w:rPr>
        <w:t xml:space="preserve"> </w:t>
      </w:r>
      <w:r>
        <w:rPr>
          <w:rFonts w:cs="Times New Roman"/>
          <w:szCs w:val="24"/>
          <w:lang w:val="lv-LV"/>
        </w:rPr>
        <w:t>233. panta pirmās daļas „d</w:t>
      </w:r>
      <w:r>
        <w:rPr>
          <w:rFonts w:cs="Times New Roman"/>
          <w:color w:val="000000"/>
          <w:szCs w:val="24"/>
          <w:lang w:val="lv-LV"/>
        </w:rPr>
        <w:t>” punkta</w:t>
      </w:r>
      <w:r>
        <w:rPr>
          <w:rFonts w:cs="Times New Roman"/>
          <w:szCs w:val="24"/>
          <w:lang w:val="lv-LV"/>
        </w:rPr>
        <w:t>, jo Savienības likumdevējs izvēlējās vairs nepiemērot muitas parāda dzēšanas nosacījumu atkarībā no tā, kad kontrabandas preces ir aizturētas un konfiscētas.</w:t>
      </w:r>
    </w:p>
    <w:p w14:paraId="3C778462" w14:textId="77777777" w:rsidR="0036360B" w:rsidRDefault="00353D73">
      <w:pPr>
        <w:spacing w:after="0" w:line="276" w:lineRule="auto"/>
        <w:ind w:firstLine="720"/>
        <w:jc w:val="both"/>
      </w:pPr>
      <w:r>
        <w:rPr>
          <w:rFonts w:cs="Times New Roman"/>
          <w:szCs w:val="24"/>
          <w:lang w:val="lv-LV"/>
        </w:rPr>
        <w:t xml:space="preserve">Senāts norāda, ka, izvērtējot mantiska zaudējuma apmēru par kontrabandas preču nelikumīgu apriti, ir jāņem vērā, ka ar Savienības Muitas kodeksa spēkā stāšanos ir mainījušies muitas parāda dzēšanas nosacījumi, paredzot, ka muitas </w:t>
      </w:r>
      <w:r>
        <w:rPr>
          <w:rFonts w:cs="Times New Roman"/>
          <w:szCs w:val="24"/>
          <w:lang w:val="lv-LV"/>
        </w:rPr>
        <w:t>parāds tiek dzēsts neatkarīgi no kontrabandas preces aizturēšanas un konfiskācijas vietas.</w:t>
      </w:r>
    </w:p>
    <w:p w14:paraId="501E690F" w14:textId="77777777" w:rsidR="0036360B" w:rsidRDefault="0036360B">
      <w:pPr>
        <w:spacing w:after="0" w:line="276" w:lineRule="auto"/>
        <w:ind w:firstLine="720"/>
        <w:jc w:val="both"/>
        <w:rPr>
          <w:rFonts w:cs="Times New Roman"/>
          <w:szCs w:val="24"/>
          <w:lang w:val="lv-LV"/>
        </w:rPr>
      </w:pPr>
    </w:p>
    <w:p w14:paraId="39B14CE6" w14:textId="77777777" w:rsidR="0036360B" w:rsidRDefault="00353D73">
      <w:pPr>
        <w:pStyle w:val="Default"/>
        <w:widowControl w:val="0"/>
        <w:suppressAutoHyphens/>
        <w:spacing w:line="276" w:lineRule="auto"/>
        <w:ind w:firstLine="720"/>
        <w:jc w:val="both"/>
      </w:pPr>
      <w:r>
        <w:rPr>
          <w:rFonts w:eastAsia="Times New Roman"/>
        </w:rPr>
        <w:t>[5] </w:t>
      </w:r>
      <w:r>
        <w:t xml:space="preserve">Lai konstatētu, vai jaunā tiesību norma ir piemērojama izskatāmajā lietā, </w:t>
      </w:r>
      <w:r>
        <w:rPr>
          <w:rFonts w:eastAsia="Times New Roman"/>
        </w:rPr>
        <w:t>Senāts atzīst, ka vispirms ir noskaidrojams, vai</w:t>
      </w:r>
      <w:r>
        <w:t xml:space="preserve"> Savienības Muitas kodeksa 124. pants bija spēkā </w:t>
      </w:r>
      <w:r>
        <w:lastRenderedPageBreak/>
        <w:t>noziedzīga nodarījuma izdarīšanas laikā.</w:t>
      </w:r>
    </w:p>
    <w:p w14:paraId="61DFF556" w14:textId="77777777" w:rsidR="0036360B" w:rsidRDefault="00353D73">
      <w:pPr>
        <w:pStyle w:val="Default"/>
        <w:widowControl w:val="0"/>
        <w:suppressAutoHyphens/>
        <w:spacing w:line="276" w:lineRule="auto"/>
        <w:ind w:firstLine="720"/>
        <w:jc w:val="both"/>
      </w:pPr>
      <w:r>
        <w:t>[5.1] Saskaņā ar Savienības Muitas kodeksa 124. panta pirmās daļas „e” punktu, neskarot spēkā esošos noteikumus muitas parādam atbilstīgās ievedmuitas vai izvedmuitas nodokļa summas neatgūšanai tiesā konstatētas parādnieka maksātnespējas gadījumā, ievedmuitas vai izvedmuitas parāds tiek dzēsts, ja preces, par kurām maksājams ievedmuitas vai izvedmuitas nodoklis, tiek konfiscētas vai aizturētas un vienlaicīgi vai vēlāk konfiscētas.</w:t>
      </w:r>
    </w:p>
    <w:p w14:paraId="67D3BFA7" w14:textId="77777777" w:rsidR="0036360B" w:rsidRDefault="00353D73">
      <w:pPr>
        <w:spacing w:after="0" w:line="276" w:lineRule="auto"/>
        <w:ind w:firstLine="720"/>
        <w:jc w:val="both"/>
      </w:pPr>
      <w:r>
        <w:rPr>
          <w:rFonts w:cs="Times New Roman"/>
          <w:szCs w:val="24"/>
          <w:lang w:val="lv-LV"/>
        </w:rPr>
        <w:t xml:space="preserve">Minētā kodeksa </w:t>
      </w:r>
      <w:r>
        <w:rPr>
          <w:rFonts w:cs="Times New Roman"/>
          <w:color w:val="000000"/>
          <w:szCs w:val="24"/>
          <w:lang w:val="lv-LV"/>
        </w:rPr>
        <w:t xml:space="preserve">288. panta pirmā daļa noteic, ka Regulas 2., 7., 8., 10., 11, 17., 20., 21., 24., 25., 31., 32., 36., 37., 40., 41., 50., 52., 54., 58., 62., 63., 65., 66., 68., 75., 76., 88., 99., 100., 106., 107., 115., 122., 123., 126., 131., 132., 138., 142., 143., 151., 152., 156., 157., 160., 161., 164., 165., 168., 169., 175., 176., 178., 180., 181., 183., 184., 186., 187., 193., 196., 200., 206., 207., 209., 212., 213., 216., 217., 221., 222., 224., 225., 231., 232., 235., 236., 239., 253., 265., 266., 268., 273., </w:t>
      </w:r>
      <w:r>
        <w:rPr>
          <w:rFonts w:cs="Times New Roman"/>
          <w:color w:val="000000"/>
          <w:szCs w:val="24"/>
          <w:lang w:val="lv-LV"/>
        </w:rPr>
        <w:t>276., 279., 280., 281., 283., 284., 285. un 286. pantu piemēro no 2013. gada 30. oktobra.</w:t>
      </w:r>
    </w:p>
    <w:p w14:paraId="416C5A96" w14:textId="77777777" w:rsidR="0036360B" w:rsidRDefault="00353D73">
      <w:pPr>
        <w:spacing w:after="0" w:line="276" w:lineRule="auto"/>
        <w:ind w:firstLine="720"/>
        <w:jc w:val="both"/>
      </w:pPr>
      <w:r>
        <w:rPr>
          <w:rFonts w:cs="Times New Roman"/>
          <w:color w:val="000000"/>
          <w:szCs w:val="24"/>
          <w:lang w:val="lv-LV"/>
        </w:rPr>
        <w:t>Minētā kodeksa 288. panta otrā daļa tās sākotnējā redakcijā noteica, ka pantus, izņemot tos, kas minēti 1. punktā, piemēro no 2016. gada 1. jūnija.</w:t>
      </w:r>
    </w:p>
    <w:p w14:paraId="74DBFC10" w14:textId="77777777" w:rsidR="0036360B" w:rsidRDefault="00353D73">
      <w:pPr>
        <w:spacing w:after="0" w:line="276" w:lineRule="auto"/>
        <w:ind w:firstLine="720"/>
        <w:jc w:val="both"/>
      </w:pPr>
      <w:r>
        <w:rPr>
          <w:rFonts w:cs="Times New Roman"/>
          <w:color w:val="000000"/>
          <w:szCs w:val="24"/>
          <w:lang w:val="lv-LV"/>
        </w:rPr>
        <w:t xml:space="preserve">Senāts konstatē, ka 2013. gada 29. oktobrī „Eiropas Savienības Oficiālais Vēstnesis” publicēts labojums </w:t>
      </w:r>
      <w:r>
        <w:rPr>
          <w:rFonts w:cs="Times New Roman"/>
          <w:szCs w:val="24"/>
          <w:lang w:val="lv-LV"/>
        </w:rPr>
        <w:t>Savienības Muitas kodeksā</w:t>
      </w:r>
      <w:r>
        <w:rPr>
          <w:rFonts w:cs="Times New Roman"/>
          <w:color w:val="000000"/>
          <w:szCs w:val="24"/>
          <w:lang w:val="lv-LV"/>
        </w:rPr>
        <w:t>, kas noteic grozījumus 288. panta otrajā daļā, paredzot, ka pantus, izņemot tos, kas minēti 1. punktā, piemēro no 2016. gada 1. maija (</w:t>
      </w:r>
      <w:r>
        <w:rPr>
          <w:rFonts w:cs="Times New Roman"/>
          <w:i/>
          <w:iCs/>
          <w:color w:val="000000"/>
          <w:szCs w:val="24"/>
          <w:lang w:val="lv-LV"/>
        </w:rPr>
        <w:t xml:space="preserve">Labojums Eiropas Parlamenta un Padomes 2013. gada 9. oktobra Regulā (ES) Nr. 952/2013, ar ko izveido Savienības Muitas kodeksu. Eiropas Savienības Oficiālais Vēstnesis, L 287/90. Pieejams: </w:t>
      </w:r>
      <w:hyperlink r:id="rId11" w:history="1">
        <w:r>
          <w:rPr>
            <w:rStyle w:val="Hyperlink"/>
            <w:rFonts w:cs="Times New Roman"/>
            <w:i/>
            <w:iCs/>
            <w:szCs w:val="24"/>
            <w:lang w:val="lv-LV"/>
          </w:rPr>
          <w:t>http://data.europa.eu/eli/reg/2013/952/</w:t>
        </w:r>
        <w:bookmarkStart w:id="26" w:name="_Hlt159856565"/>
        <w:bookmarkStart w:id="27" w:name="_Hlt159856566"/>
        <w:r>
          <w:rPr>
            <w:rStyle w:val="Hyperlink"/>
            <w:rFonts w:cs="Times New Roman"/>
            <w:i/>
            <w:iCs/>
            <w:szCs w:val="24"/>
            <w:lang w:val="lv-LV"/>
          </w:rPr>
          <w:t>c</w:t>
        </w:r>
        <w:bookmarkEnd w:id="26"/>
        <w:bookmarkEnd w:id="27"/>
        <w:r>
          <w:rPr>
            <w:rStyle w:val="Hyperlink"/>
            <w:rFonts w:cs="Times New Roman"/>
            <w:i/>
            <w:iCs/>
            <w:szCs w:val="24"/>
            <w:lang w:val="lv-LV"/>
          </w:rPr>
          <w:t>orrigendum/2013-10-29/oj</w:t>
        </w:r>
      </w:hyperlink>
      <w:r>
        <w:rPr>
          <w:rFonts w:cs="Times New Roman"/>
          <w:i/>
          <w:iCs/>
          <w:color w:val="000000"/>
          <w:szCs w:val="24"/>
          <w:lang w:val="lv-LV"/>
        </w:rPr>
        <w:t>).</w:t>
      </w:r>
    </w:p>
    <w:p w14:paraId="3661EE45" w14:textId="77777777" w:rsidR="0036360B" w:rsidRDefault="00353D73">
      <w:pPr>
        <w:spacing w:after="0" w:line="276" w:lineRule="auto"/>
        <w:ind w:firstLine="720"/>
        <w:jc w:val="both"/>
      </w:pPr>
      <w:r>
        <w:rPr>
          <w:rFonts w:cs="Times New Roman"/>
          <w:szCs w:val="24"/>
          <w:lang w:val="lv-LV"/>
        </w:rPr>
        <w:t>[5.2] Eiropas Savienības Tiesa, skaidrojot Eiropas Savienības tiesību normu spēkā stāšanos, norādījusi, ka atšķirībā no procesuālajām normām, kuras parasti paredzēts piemērot dienā, kad tās stājās spēkā, lai nodrošinātu tiesiskās paļāvības aizsardzības principu ievērošanu, Savienības materiālās tiesību normas ir jāinterpretē tā, ka tās uz situācijām, kas radušās pirms šo normu stāšanās spēkā, attiecas tikai tad, ja no to formulējuma, mērķiem vai struktūras skaidri izriet, ka tām ir jāpiešķir šāda iedarbība.</w:t>
      </w:r>
    </w:p>
    <w:p w14:paraId="65FE9BAA" w14:textId="77777777" w:rsidR="0036360B" w:rsidRDefault="00353D73">
      <w:pPr>
        <w:spacing w:after="0" w:line="276" w:lineRule="auto"/>
        <w:ind w:firstLine="720"/>
        <w:jc w:val="both"/>
      </w:pPr>
      <w:r>
        <w:rPr>
          <w:rFonts w:cs="Times New Roman"/>
          <w:szCs w:val="24"/>
          <w:lang w:val="lv-LV"/>
        </w:rPr>
        <w:t xml:space="preserve">No Tiesas judikatūras izriet arī, ka principā jauna tiesību norma ir piemērojama, sākot no tā spēkā stāšanās brīža, kurā tā ir ietverta. Lai gan tā nav piemērojama tiesiskām situācijām, kas radušās un pilnībā izveidojošās iepriekšējo tiesību normu darbības laikā, tā ir piemērojama to situāciju sekām nākotnē, kurām bija piemērojama iepriekšējā tiesību norma, kā arī jaunām tiesiskām situācijām. Ievērojot tiesību aktu atpakaļejoša spēka aizlieguma principu, citādi var būt tikai tad, ja jaunajai tiesību normai </w:t>
      </w:r>
      <w:r>
        <w:rPr>
          <w:rFonts w:cs="Times New Roman"/>
          <w:szCs w:val="24"/>
          <w:lang w:val="lv-LV"/>
        </w:rPr>
        <w:t>ir pievienoti īpaši noteikumi, kas īpaši paredz tās piemērošanas laika nosacījumus (</w:t>
      </w:r>
      <w:r>
        <w:rPr>
          <w:rFonts w:cs="Times New Roman"/>
          <w:i/>
          <w:iCs/>
          <w:szCs w:val="24"/>
          <w:lang w:val="lv-LV"/>
        </w:rPr>
        <w:t>Eiropas Savienības Tiesas 2023. gada 16. marta sprieduma apvienotajās lietās „Komisija/</w:t>
      </w:r>
      <w:proofErr w:type="spellStart"/>
      <w:r>
        <w:rPr>
          <w:rFonts w:cs="Times New Roman"/>
          <w:i/>
          <w:iCs/>
          <w:szCs w:val="24"/>
          <w:lang w:val="lv-LV"/>
        </w:rPr>
        <w:t>Jiangsu</w:t>
      </w:r>
      <w:proofErr w:type="spellEnd"/>
      <w:r>
        <w:rPr>
          <w:rFonts w:cs="Times New Roman"/>
          <w:i/>
          <w:iCs/>
          <w:szCs w:val="24"/>
          <w:lang w:val="lv-LV"/>
        </w:rPr>
        <w:t xml:space="preserve"> </w:t>
      </w:r>
      <w:proofErr w:type="spellStart"/>
      <w:r>
        <w:rPr>
          <w:rFonts w:cs="Times New Roman"/>
          <w:i/>
          <w:iCs/>
          <w:szCs w:val="24"/>
          <w:lang w:val="lv-LV"/>
        </w:rPr>
        <w:t>Seraphim</w:t>
      </w:r>
      <w:proofErr w:type="spellEnd"/>
      <w:r>
        <w:rPr>
          <w:rFonts w:cs="Times New Roman"/>
          <w:i/>
          <w:iCs/>
          <w:szCs w:val="24"/>
          <w:lang w:val="lv-LV"/>
        </w:rPr>
        <w:t xml:space="preserve"> </w:t>
      </w:r>
      <w:proofErr w:type="spellStart"/>
      <w:r>
        <w:rPr>
          <w:rFonts w:cs="Times New Roman"/>
          <w:i/>
          <w:iCs/>
          <w:szCs w:val="24"/>
          <w:lang w:val="lv-LV"/>
        </w:rPr>
        <w:t>Solar</w:t>
      </w:r>
      <w:proofErr w:type="spellEnd"/>
      <w:r>
        <w:rPr>
          <w:rFonts w:cs="Times New Roman"/>
          <w:i/>
          <w:iCs/>
          <w:szCs w:val="24"/>
          <w:lang w:val="lv-LV"/>
        </w:rPr>
        <w:t xml:space="preserve"> </w:t>
      </w:r>
      <w:proofErr w:type="spellStart"/>
      <w:r>
        <w:rPr>
          <w:rFonts w:cs="Times New Roman"/>
          <w:i/>
          <w:iCs/>
          <w:szCs w:val="24"/>
          <w:lang w:val="lv-LV"/>
        </w:rPr>
        <w:t>System</w:t>
      </w:r>
      <w:proofErr w:type="spellEnd"/>
      <w:r>
        <w:rPr>
          <w:rFonts w:cs="Times New Roman"/>
          <w:i/>
          <w:iCs/>
          <w:szCs w:val="24"/>
          <w:lang w:val="lv-LV"/>
        </w:rPr>
        <w:t>”, C</w:t>
      </w:r>
      <w:r>
        <w:rPr>
          <w:rFonts w:cs="Times New Roman"/>
          <w:i/>
          <w:iCs/>
          <w:szCs w:val="24"/>
          <w:lang w:val="lv-LV"/>
        </w:rPr>
        <w:noBreakHyphen/>
        <w:t>439/20 P un C</w:t>
      </w:r>
      <w:r>
        <w:rPr>
          <w:rFonts w:cs="Times New Roman"/>
          <w:i/>
          <w:iCs/>
          <w:szCs w:val="24"/>
          <w:lang w:val="lv-LV"/>
        </w:rPr>
        <w:noBreakHyphen/>
        <w:t>441/20 P,</w:t>
      </w:r>
      <w:r>
        <w:rPr>
          <w:rFonts w:cs="Times New Roman"/>
          <w:szCs w:val="24"/>
          <w:lang w:val="lv-LV"/>
        </w:rPr>
        <w:t xml:space="preserve"> </w:t>
      </w:r>
      <w:hyperlink r:id="rId12" w:history="1">
        <w:r>
          <w:rPr>
            <w:rStyle w:val="Hyperlink"/>
            <w:rFonts w:cs="Times New Roman"/>
            <w:i/>
            <w:iCs/>
            <w:szCs w:val="24"/>
            <w:lang w:val="lv-LV"/>
          </w:rPr>
          <w:t>ECLI:EU:C:2023:211</w:t>
        </w:r>
      </w:hyperlink>
      <w:r>
        <w:rPr>
          <w:rFonts w:cs="Times New Roman"/>
          <w:i/>
          <w:iCs/>
          <w:szCs w:val="24"/>
          <w:lang w:val="lv-LV"/>
        </w:rPr>
        <w:t>, 126. un 127. punkts</w:t>
      </w:r>
      <w:r>
        <w:rPr>
          <w:rFonts w:cs="Times New Roman"/>
          <w:szCs w:val="24"/>
          <w:lang w:val="lv-LV"/>
        </w:rPr>
        <w:t>).</w:t>
      </w:r>
    </w:p>
    <w:p w14:paraId="73A6B759" w14:textId="77777777" w:rsidR="0036360B" w:rsidRDefault="00353D73">
      <w:pPr>
        <w:widowControl w:val="0"/>
        <w:spacing w:after="0" w:line="276" w:lineRule="auto"/>
        <w:ind w:firstLine="720"/>
        <w:jc w:val="both"/>
        <w:rPr>
          <w:rFonts w:cs="Times New Roman"/>
          <w:szCs w:val="24"/>
          <w:lang w:val="lv-LV"/>
        </w:rPr>
      </w:pPr>
      <w:r>
        <w:rPr>
          <w:rFonts w:cs="Times New Roman"/>
          <w:szCs w:val="24"/>
          <w:lang w:val="lv-LV"/>
        </w:rPr>
        <w:t>Tādējādi, izlemjot jautājumu par Eiropas Savienības tiesību normas piemērošanu, svarīgi noskaidrot tiesiskās situācijas izveidošanās brīdi, ja jaunajā tiesību normā nav īpaši atrunāts citādi.</w:t>
      </w:r>
    </w:p>
    <w:p w14:paraId="5DD4D56E" w14:textId="77777777" w:rsidR="0036360B" w:rsidRDefault="00353D73">
      <w:pPr>
        <w:widowControl w:val="0"/>
        <w:spacing w:after="0" w:line="276" w:lineRule="auto"/>
        <w:ind w:firstLine="720"/>
        <w:jc w:val="both"/>
      </w:pPr>
      <w:r>
        <w:rPr>
          <w:rFonts w:cs="Times New Roman"/>
          <w:szCs w:val="24"/>
          <w:lang w:val="lv-LV"/>
        </w:rPr>
        <w:t xml:space="preserve">Senāts konstatē, ka Savienības Muitas kodeksā nav atrunas par tā atpakaļ vērstu spēku, līdz ar to </w:t>
      </w:r>
      <w:r>
        <w:rPr>
          <w:rFonts w:cs="Times New Roman"/>
          <w:color w:val="000000"/>
          <w:szCs w:val="24"/>
          <w:lang w:val="lv-LV"/>
        </w:rPr>
        <w:t>Savienības Muitas kodeksa</w:t>
      </w:r>
      <w:r>
        <w:rPr>
          <w:rFonts w:cs="Times New Roman"/>
          <w:szCs w:val="24"/>
          <w:lang w:val="lv-LV"/>
        </w:rPr>
        <w:t xml:space="preserve"> 124. pants ir piemērojams no 2016. gada </w:t>
      </w:r>
      <w:r>
        <w:rPr>
          <w:rFonts w:cs="Times New Roman"/>
          <w:szCs w:val="24"/>
          <w:lang w:val="lv-LV"/>
        </w:rPr>
        <w:lastRenderedPageBreak/>
        <w:t>1. maija.</w:t>
      </w:r>
    </w:p>
    <w:p w14:paraId="490CBFCB" w14:textId="77777777" w:rsidR="0036360B" w:rsidRDefault="00353D73">
      <w:pPr>
        <w:widowControl w:val="0"/>
        <w:spacing w:after="0" w:line="276" w:lineRule="auto"/>
        <w:ind w:firstLine="720"/>
        <w:jc w:val="both"/>
      </w:pPr>
      <w:r>
        <w:rPr>
          <w:rFonts w:cs="Times New Roman"/>
          <w:szCs w:val="24"/>
          <w:lang w:val="lv-LV"/>
        </w:rPr>
        <w:t>[5.3] Ar Jēkabpils rajona tiesas 2016. gada 16. septembra spriedumu konstatēts, ka [pers. </w:t>
      </w:r>
      <w:r>
        <w:t>A]</w:t>
      </w:r>
      <w:r>
        <w:rPr>
          <w:rFonts w:cs="Times New Roman"/>
          <w:szCs w:val="24"/>
          <w:lang w:val="lv-LV"/>
        </w:rPr>
        <w:t xml:space="preserve"> 2016. gada 12. februārī ap plkst. 18.25 pa Daugavpils–Rīgas autoceļu Rīgas virzienā nelikumīgi pārvietoja (pārvadāja) tabakas izstrādājumus lielā apmērā.</w:t>
      </w:r>
    </w:p>
    <w:p w14:paraId="092698A1" w14:textId="77777777" w:rsidR="0036360B" w:rsidRDefault="00353D73">
      <w:pPr>
        <w:spacing w:after="0" w:line="276" w:lineRule="auto"/>
        <w:ind w:firstLine="720"/>
        <w:jc w:val="both"/>
      </w:pPr>
      <w:r>
        <w:rPr>
          <w:rFonts w:cs="Times New Roman"/>
          <w:szCs w:val="24"/>
          <w:lang w:val="lv-LV"/>
        </w:rPr>
        <w:t>No [pers. </w:t>
      </w:r>
      <w:r>
        <w:t>A]</w:t>
      </w:r>
      <w:r>
        <w:rPr>
          <w:rFonts w:cs="Times New Roman"/>
          <w:szCs w:val="24"/>
          <w:lang w:val="lv-LV"/>
        </w:rPr>
        <w:t xml:space="preserve"> valsts labā piedzīta </w:t>
      </w:r>
      <w:r>
        <w:rPr>
          <w:rFonts w:cs="Times New Roman"/>
          <w:lang w:val="lv-LV"/>
        </w:rPr>
        <w:t xml:space="preserve">materiālā </w:t>
      </w:r>
      <w:r>
        <w:rPr>
          <w:rFonts w:cs="Times New Roman"/>
          <w:szCs w:val="24"/>
          <w:lang w:val="lv-LV"/>
        </w:rPr>
        <w:t xml:space="preserve">kaitējuma kompensācija </w:t>
      </w:r>
      <w:proofErr w:type="gramStart"/>
      <w:r>
        <w:rPr>
          <w:rFonts w:cs="Times New Roman"/>
          <w:szCs w:val="24"/>
          <w:lang w:val="lv-LV"/>
        </w:rPr>
        <w:t>19 087,60 </w:t>
      </w:r>
      <w:proofErr w:type="spellStart"/>
      <w:r>
        <w:rPr>
          <w:rFonts w:cs="Times New Roman"/>
          <w:i/>
          <w:iCs/>
          <w:szCs w:val="24"/>
          <w:lang w:val="lv-LV"/>
        </w:rPr>
        <w:t>euro</w:t>
      </w:r>
      <w:proofErr w:type="spellEnd"/>
      <w:proofErr w:type="gramEnd"/>
      <w:r>
        <w:rPr>
          <w:rFonts w:cs="Times New Roman"/>
          <w:szCs w:val="24"/>
          <w:lang w:val="lv-LV"/>
        </w:rPr>
        <w:t>, tai skaitā nenomaksātais muitas nodoklis 1771,20 </w:t>
      </w:r>
      <w:proofErr w:type="spellStart"/>
      <w:r>
        <w:rPr>
          <w:rFonts w:cs="Times New Roman"/>
          <w:i/>
          <w:iCs/>
          <w:szCs w:val="24"/>
          <w:lang w:val="lv-LV"/>
        </w:rPr>
        <w:t>euro</w:t>
      </w:r>
      <w:proofErr w:type="spellEnd"/>
      <w:r>
        <w:rPr>
          <w:rFonts w:cs="Times New Roman"/>
          <w:szCs w:val="24"/>
          <w:lang w:val="lv-LV"/>
        </w:rPr>
        <w:t>.</w:t>
      </w:r>
    </w:p>
    <w:p w14:paraId="28BA0FB6" w14:textId="77777777" w:rsidR="0036360B" w:rsidRDefault="00353D73">
      <w:pPr>
        <w:pStyle w:val="Default"/>
        <w:suppressAutoHyphens/>
        <w:spacing w:line="276" w:lineRule="auto"/>
        <w:ind w:firstLine="720"/>
        <w:jc w:val="both"/>
      </w:pPr>
      <w:r>
        <w:t>Ievērojot minēto, Senāts atzīst, ka muitas parāds un muitas parāda dzēšanas nosacījumi bija iestājušies līdz 2016. gada 1. maijam, proti 2016. gada 12. februārī, līdz ar to uz muitas parādu var attiekties tikai tajā laikā spēkā esošās materiālās tiesību normas, neatkarīgi no piedziņas procesa uzsākšanas.</w:t>
      </w:r>
    </w:p>
    <w:p w14:paraId="04F98DF1" w14:textId="77777777" w:rsidR="0036360B" w:rsidRDefault="00353D73">
      <w:pPr>
        <w:pStyle w:val="Default"/>
        <w:suppressAutoHyphens/>
        <w:spacing w:line="276" w:lineRule="auto"/>
        <w:ind w:firstLine="720"/>
        <w:jc w:val="both"/>
      </w:pPr>
      <w:r>
        <w:t>Atbilstoši Kopienas muitas kodeksa 233. panta pirmās daļas „d” punktam, kas bija spēkā noziedzīga nodarījuma izdarīšanas laikā, muitas parāds nav dzēšams gadījumā, ja preču aizturēšana notikusi pēc tam, kad tās šķērsojušas šajā teritorijā esošo pirmo muitas iestādi.</w:t>
      </w:r>
    </w:p>
    <w:p w14:paraId="74C6FB56" w14:textId="77777777" w:rsidR="0036360B" w:rsidRDefault="00353D73">
      <w:pPr>
        <w:spacing w:after="0" w:line="276" w:lineRule="auto"/>
        <w:ind w:firstLine="720"/>
        <w:jc w:val="both"/>
      </w:pPr>
      <w:r>
        <w:rPr>
          <w:rFonts w:cs="Times New Roman"/>
          <w:szCs w:val="24"/>
          <w:lang w:val="lv-LV"/>
        </w:rPr>
        <w:t xml:space="preserve">Tādējādi notiesāta </w:t>
      </w:r>
      <w:r>
        <w:rPr>
          <w:rFonts w:eastAsia="Times New Roman" w:cs="Times New Roman"/>
          <w:szCs w:val="24"/>
          <w:lang w:val="lv-LV"/>
        </w:rPr>
        <w:t>[pers. </w:t>
      </w:r>
      <w:r>
        <w:t>A]</w:t>
      </w:r>
      <w:r>
        <w:rPr>
          <w:rFonts w:eastAsia="Times New Roman" w:cs="Times New Roman"/>
          <w:szCs w:val="24"/>
          <w:lang w:val="lv-LV"/>
        </w:rPr>
        <w:t xml:space="preserve"> uzdevumā iesniegtais advokāta P. Kušnera pieteikums ir noraidāms.</w:t>
      </w:r>
    </w:p>
    <w:p w14:paraId="10A51991" w14:textId="77777777" w:rsidR="0036360B" w:rsidRDefault="0036360B">
      <w:pPr>
        <w:spacing w:after="0" w:line="276" w:lineRule="auto"/>
        <w:ind w:firstLine="720"/>
        <w:jc w:val="both"/>
        <w:rPr>
          <w:rFonts w:cs="Times New Roman"/>
          <w:szCs w:val="24"/>
          <w:lang w:val="lv-LV"/>
        </w:rPr>
      </w:pPr>
    </w:p>
    <w:p w14:paraId="28D284F4" w14:textId="77777777" w:rsidR="0036360B" w:rsidRDefault="00353D73">
      <w:pPr>
        <w:spacing w:after="0" w:line="276" w:lineRule="auto"/>
        <w:jc w:val="center"/>
        <w:rPr>
          <w:rFonts w:cs="Times New Roman"/>
          <w:b/>
          <w:bCs/>
          <w:szCs w:val="24"/>
          <w:lang w:val="lv-LV"/>
        </w:rPr>
      </w:pPr>
      <w:r>
        <w:rPr>
          <w:rFonts w:cs="Times New Roman"/>
          <w:b/>
          <w:bCs/>
          <w:szCs w:val="24"/>
          <w:lang w:val="lv-LV"/>
        </w:rPr>
        <w:t>Rezolutīvā daļa</w:t>
      </w:r>
    </w:p>
    <w:p w14:paraId="2F433DBD" w14:textId="77777777" w:rsidR="0036360B" w:rsidRDefault="0036360B">
      <w:pPr>
        <w:spacing w:after="0" w:line="276" w:lineRule="auto"/>
        <w:ind w:firstLine="720"/>
        <w:jc w:val="center"/>
        <w:rPr>
          <w:rFonts w:cs="Times New Roman"/>
          <w:b/>
          <w:bCs/>
          <w:szCs w:val="24"/>
          <w:lang w:val="lv-LV"/>
        </w:rPr>
      </w:pPr>
    </w:p>
    <w:p w14:paraId="41A43EDF" w14:textId="77777777" w:rsidR="0036360B" w:rsidRDefault="00353D73">
      <w:pPr>
        <w:spacing w:after="0" w:line="276" w:lineRule="auto"/>
        <w:ind w:firstLine="720"/>
        <w:jc w:val="both"/>
        <w:rPr>
          <w:rFonts w:cs="Times New Roman"/>
          <w:szCs w:val="24"/>
          <w:lang w:val="lv-LV"/>
        </w:rPr>
      </w:pPr>
      <w:r>
        <w:rPr>
          <w:rFonts w:cs="Times New Roman"/>
          <w:szCs w:val="24"/>
          <w:lang w:val="lv-LV"/>
        </w:rPr>
        <w:t xml:space="preserve">Pamatojoties uz Kriminālprocesa likuma </w:t>
      </w:r>
      <w:r>
        <w:rPr>
          <w:rFonts w:cs="Times New Roman"/>
          <w:szCs w:val="24"/>
          <w:lang w:val="lv-LV"/>
        </w:rPr>
        <w:t>585. pantu, 587. panta pirmās daļas 1. punktu, 670., 671. un 672. pantu, Senāts</w:t>
      </w:r>
    </w:p>
    <w:p w14:paraId="550CC83A" w14:textId="77777777" w:rsidR="0036360B" w:rsidRDefault="0036360B">
      <w:pPr>
        <w:spacing w:after="0" w:line="276" w:lineRule="auto"/>
        <w:ind w:firstLine="720"/>
        <w:rPr>
          <w:rFonts w:cs="Times New Roman"/>
          <w:szCs w:val="24"/>
          <w:lang w:val="lv-LV"/>
        </w:rPr>
      </w:pPr>
    </w:p>
    <w:p w14:paraId="666A4364" w14:textId="77777777" w:rsidR="0036360B" w:rsidRDefault="00353D73">
      <w:pPr>
        <w:spacing w:after="0" w:line="276" w:lineRule="auto"/>
        <w:jc w:val="center"/>
        <w:rPr>
          <w:rFonts w:cs="Times New Roman"/>
          <w:b/>
          <w:bCs/>
          <w:szCs w:val="24"/>
          <w:lang w:val="lv-LV"/>
        </w:rPr>
      </w:pPr>
      <w:r>
        <w:rPr>
          <w:rFonts w:cs="Times New Roman"/>
          <w:b/>
          <w:bCs/>
          <w:szCs w:val="24"/>
          <w:lang w:val="lv-LV"/>
        </w:rPr>
        <w:t>nolēma</w:t>
      </w:r>
    </w:p>
    <w:p w14:paraId="15A849DE" w14:textId="77777777" w:rsidR="0036360B" w:rsidRDefault="0036360B">
      <w:pPr>
        <w:spacing w:after="0" w:line="276" w:lineRule="auto"/>
        <w:jc w:val="center"/>
        <w:rPr>
          <w:rFonts w:cs="Times New Roman"/>
          <w:b/>
          <w:bCs/>
          <w:szCs w:val="24"/>
          <w:lang w:val="lv-LV"/>
        </w:rPr>
      </w:pPr>
    </w:p>
    <w:p w14:paraId="74268AC2" w14:textId="77777777" w:rsidR="0036360B" w:rsidRDefault="00353D73">
      <w:pPr>
        <w:spacing w:after="0" w:line="276" w:lineRule="auto"/>
        <w:ind w:firstLine="720"/>
        <w:jc w:val="both"/>
      </w:pPr>
      <w:r>
        <w:rPr>
          <w:rFonts w:eastAsia="Times New Roman" w:cs="Times New Roman"/>
          <w:szCs w:val="24"/>
          <w:lang w:val="lv-LV"/>
        </w:rPr>
        <w:t>Jēkabpils rajona tiesas 2016. gada 16. septembra spriedumu atstāt negrozītu, notiesātā [pers. </w:t>
      </w:r>
      <w:r>
        <w:t>A]</w:t>
      </w:r>
      <w:r>
        <w:rPr>
          <w:rFonts w:eastAsia="Times New Roman" w:cs="Times New Roman"/>
          <w:szCs w:val="24"/>
          <w:lang w:val="lv-LV"/>
        </w:rPr>
        <w:t xml:space="preserve"> zvērināta advokāta Pētera Kušnera pieteikumu noraidīt.</w:t>
      </w:r>
    </w:p>
    <w:p w14:paraId="05A62EC3" w14:textId="77777777" w:rsidR="0036360B" w:rsidRDefault="0036360B">
      <w:pPr>
        <w:spacing w:after="0" w:line="276" w:lineRule="auto"/>
        <w:ind w:firstLine="720"/>
        <w:jc w:val="both"/>
        <w:rPr>
          <w:rFonts w:cs="Times New Roman"/>
          <w:szCs w:val="24"/>
          <w:lang w:val="lv-LV"/>
        </w:rPr>
      </w:pPr>
    </w:p>
    <w:p w14:paraId="535CB319" w14:textId="77777777" w:rsidR="0036360B" w:rsidRDefault="00353D73">
      <w:pPr>
        <w:spacing w:after="0" w:line="276" w:lineRule="auto"/>
        <w:ind w:firstLine="720"/>
        <w:jc w:val="both"/>
      </w:pPr>
      <w:r>
        <w:rPr>
          <w:rFonts w:cs="Times New Roman"/>
          <w:szCs w:val="24"/>
          <w:lang w:val="lv-LV"/>
        </w:rPr>
        <w:t xml:space="preserve">Lēmums nav </w:t>
      </w:r>
      <w:r>
        <w:rPr>
          <w:rFonts w:cs="Times New Roman"/>
          <w:szCs w:val="24"/>
          <w:lang w:val="lv-LV"/>
        </w:rPr>
        <w:t>pārsūdzams.</w:t>
      </w:r>
    </w:p>
    <w:sectPr w:rsidR="0036360B">
      <w:footerReference w:type="default" r:id="rId13"/>
      <w:pgSz w:w="12240" w:h="15840"/>
      <w:pgMar w:top="1134" w:right="1701" w:bottom="1134" w:left="1701" w:header="72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DD4C2" w14:textId="77777777" w:rsidR="00353D73" w:rsidRDefault="00353D73">
      <w:pPr>
        <w:spacing w:after="0"/>
      </w:pPr>
      <w:r>
        <w:separator/>
      </w:r>
    </w:p>
  </w:endnote>
  <w:endnote w:type="continuationSeparator" w:id="0">
    <w:p w14:paraId="12B34415" w14:textId="77777777" w:rsidR="00353D73" w:rsidRDefault="00353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AA270" w14:textId="77777777" w:rsidR="00353D73" w:rsidRDefault="00353D73">
    <w:pPr>
      <w:pStyle w:val="Footer"/>
      <w:jc w:val="cente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no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172FB" w14:textId="77777777" w:rsidR="00353D73" w:rsidRDefault="00353D73">
      <w:pPr>
        <w:spacing w:after="0"/>
      </w:pPr>
      <w:r>
        <w:rPr>
          <w:color w:val="000000"/>
        </w:rPr>
        <w:separator/>
      </w:r>
    </w:p>
  </w:footnote>
  <w:footnote w:type="continuationSeparator" w:id="0">
    <w:p w14:paraId="4B9FDC7B" w14:textId="77777777" w:rsidR="00353D73" w:rsidRDefault="00353D7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6360B"/>
    <w:rsid w:val="000F0F93"/>
    <w:rsid w:val="002A063B"/>
    <w:rsid w:val="00353D73"/>
    <w:rsid w:val="0036360B"/>
    <w:rsid w:val="004C655B"/>
    <w:rsid w:val="00A73A7B"/>
    <w:rsid w:val="00B15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E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sz w:val="24"/>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paragraph" w:customStyle="1" w:styleId="Default">
    <w:name w:val="Default"/>
    <w:pPr>
      <w:autoSpaceDE w:val="0"/>
      <w:spacing w:after="0"/>
      <w:textAlignment w:val="auto"/>
    </w:pPr>
    <w:rPr>
      <w:rFonts w:cs="Times New Roman"/>
      <w:color w:val="000000"/>
      <w:szCs w:val="24"/>
      <w:lang w:val="lv-LV"/>
    </w:rPr>
  </w:style>
  <w:style w:type="paragraph" w:customStyle="1" w:styleId="CM1">
    <w:name w:val="CM1"/>
    <w:basedOn w:val="Default"/>
    <w:next w:val="Default"/>
    <w:rPr>
      <w:color w:val="auto"/>
    </w:rPr>
  </w:style>
  <w:style w:type="paragraph" w:customStyle="1" w:styleId="CM3">
    <w:name w:val="CM3"/>
    <w:basedOn w:val="Default"/>
    <w:next w:val="Default"/>
    <w:rPr>
      <w:color w:val="auto"/>
    </w:rPr>
  </w:style>
  <w:style w:type="paragraph" w:customStyle="1" w:styleId="CM4">
    <w:name w:val="CM4"/>
    <w:basedOn w:val="Default"/>
    <w:next w:val="Default"/>
    <w:rPr>
      <w:color w:val="auto"/>
    </w:rPr>
  </w:style>
  <w:style w:type="paragraph" w:customStyle="1" w:styleId="oj-normal">
    <w:name w:val="oj-normal"/>
    <w:basedOn w:val="Normal"/>
    <w:pPr>
      <w:suppressAutoHyphens w:val="0"/>
      <w:spacing w:before="100" w:after="100"/>
      <w:textAlignment w:val="auto"/>
    </w:pPr>
    <w:rPr>
      <w:rFonts w:eastAsia="Times New Roman" w:cs="Times New Roman"/>
      <w:szCs w:val="24"/>
      <w:lang w:val="lv-LV" w:eastAsia="lv-LV"/>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Revision">
    <w:name w:val="Revision"/>
    <w:pPr>
      <w:spacing w:after="0"/>
      <w:textAlignment w:val="auto"/>
    </w:p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jsessionid=939DE82E7F6119A76BFE6F84BC5A4116?text=&amp;docid=73640&amp;pageIndex=0&amp;doclang=LV&amp;mode=lst&amp;dir=&amp;occ=first&amp;part=1&amp;cid=4168326"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uria.europa.eu/juris/document/document.jsf?text=&amp;docid=257490&amp;pageIndex=0&amp;doclang=LV&amp;mode=lst&amp;dir=&amp;occ=first&amp;part=1&amp;cid=4169637" TargetMode="External"/><Relationship Id="rId12" Type="http://schemas.openxmlformats.org/officeDocument/2006/relationships/hyperlink" Target="https://curia.europa.eu/juris/document/document.jsf?text=&amp;docid=271329&amp;pageIndex=0&amp;doclang=LV&amp;mode=lst&amp;dir=&amp;occ=first&amp;part=1&amp;cid=41702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7399.pdf" TargetMode="External"/><Relationship Id="rId11" Type="http://schemas.openxmlformats.org/officeDocument/2006/relationships/hyperlink" Target="http://data.europa.eu/eli/reg/2013/952/corrigendum/2013-10-29/oj"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curia.europa.eu/juris/document/document.jsf?text=&amp;docid=257490&amp;pageIndex=0&amp;doclang=LV&amp;mode=lst&amp;dir=&amp;occ=first&amp;part=1&amp;cid=4169637" TargetMode="External"/><Relationship Id="rId4" Type="http://schemas.openxmlformats.org/officeDocument/2006/relationships/footnotes" Target="footnotes.xml"/><Relationship Id="rId9" Type="http://schemas.openxmlformats.org/officeDocument/2006/relationships/hyperlink" Target="https://curia.europa.eu/juris/document/document.jsf?text=&amp;docid=84477&amp;pageIndex=0&amp;doclang=LV&amp;mode=lst&amp;dir=&amp;occ=first&amp;part=1&amp;cid=416854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2024-06-03T08:50:00Z</dcterms:created>
  <dcterms:modified xsi:type="dcterms:W3CDTF">2024-06-03T08:50:00Z</dcterms:modified>
</cp:coreProperties>
</file>