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D3A4B" w14:textId="4E8A6FFC" w:rsidR="001D5FD4" w:rsidRPr="00A17E9C" w:rsidRDefault="00800BD8" w:rsidP="00800BD8">
      <w:pPr>
        <w:spacing w:line="276" w:lineRule="auto"/>
        <w:jc w:val="both"/>
      </w:pPr>
      <w:r>
        <w:rPr>
          <w:b/>
          <w:bCs/>
        </w:rPr>
        <w:t>Slepkavības mēģinājumu var izdarīt tikai ar tiešu nodomu</w:t>
      </w:r>
    </w:p>
    <w:p w14:paraId="0C03C9A7" w14:textId="4FE8CEF4" w:rsidR="001D5FD4" w:rsidRPr="00A17E9C" w:rsidRDefault="001D5FD4" w:rsidP="00800BD8">
      <w:pPr>
        <w:pStyle w:val="BodyText2"/>
        <w:spacing w:after="0" w:line="276" w:lineRule="auto"/>
        <w:rPr>
          <w:lang w:val="lv-LV"/>
        </w:rPr>
      </w:pPr>
    </w:p>
    <w:p w14:paraId="08C51285" w14:textId="77777777" w:rsidR="00800BD8" w:rsidRPr="00800BD8" w:rsidRDefault="001D5FD4" w:rsidP="00CB62F2">
      <w:pPr>
        <w:spacing w:line="276" w:lineRule="auto"/>
        <w:jc w:val="center"/>
        <w:rPr>
          <w:rFonts w:asciiTheme="majorBidi" w:hAnsiTheme="majorBidi" w:cstheme="majorBidi"/>
          <w:b/>
        </w:rPr>
      </w:pPr>
      <w:r w:rsidRPr="00800BD8">
        <w:rPr>
          <w:rFonts w:asciiTheme="majorBidi" w:hAnsiTheme="majorBidi" w:cstheme="majorBidi"/>
          <w:b/>
        </w:rPr>
        <w:t>Latvijas Republikas Senāt</w:t>
      </w:r>
      <w:r w:rsidR="00800BD8" w:rsidRPr="00800BD8">
        <w:rPr>
          <w:rFonts w:asciiTheme="majorBidi" w:hAnsiTheme="majorBidi" w:cstheme="majorBidi"/>
          <w:b/>
        </w:rPr>
        <w:t xml:space="preserve">a </w:t>
      </w:r>
    </w:p>
    <w:p w14:paraId="1DEACDF0" w14:textId="77777777" w:rsidR="00800BD8" w:rsidRPr="00800BD8" w:rsidRDefault="00800BD8" w:rsidP="00CB62F2">
      <w:pPr>
        <w:spacing w:line="276" w:lineRule="auto"/>
        <w:jc w:val="center"/>
        <w:rPr>
          <w:rFonts w:asciiTheme="majorBidi" w:hAnsiTheme="majorBidi" w:cstheme="majorBidi"/>
          <w:b/>
        </w:rPr>
      </w:pPr>
      <w:r w:rsidRPr="00800BD8">
        <w:rPr>
          <w:rFonts w:asciiTheme="majorBidi" w:hAnsiTheme="majorBidi" w:cstheme="majorBidi"/>
          <w:b/>
        </w:rPr>
        <w:t>Krimināllietu departamenta</w:t>
      </w:r>
    </w:p>
    <w:p w14:paraId="085BB70E" w14:textId="4B232261" w:rsidR="001D5FD4" w:rsidRPr="00800BD8" w:rsidRDefault="00800BD8" w:rsidP="00CB62F2">
      <w:pPr>
        <w:spacing w:line="276" w:lineRule="auto"/>
        <w:jc w:val="center"/>
        <w:rPr>
          <w:rFonts w:asciiTheme="majorBidi" w:hAnsiTheme="majorBidi" w:cstheme="majorBidi"/>
          <w:b/>
        </w:rPr>
      </w:pPr>
      <w:r w:rsidRPr="00800BD8">
        <w:rPr>
          <w:rFonts w:asciiTheme="majorBidi" w:hAnsiTheme="majorBidi" w:cstheme="majorBidi"/>
          <w:b/>
        </w:rPr>
        <w:t>2024. gada 9. maija</w:t>
      </w:r>
    </w:p>
    <w:p w14:paraId="418A4E15" w14:textId="3A62A4D1" w:rsidR="001D5FD4" w:rsidRPr="00800BD8" w:rsidRDefault="001D5FD4" w:rsidP="00CB62F2">
      <w:pPr>
        <w:spacing w:line="276" w:lineRule="auto"/>
        <w:jc w:val="center"/>
        <w:rPr>
          <w:rFonts w:asciiTheme="majorBidi" w:hAnsiTheme="majorBidi" w:cstheme="majorBidi"/>
          <w:b/>
        </w:rPr>
      </w:pPr>
      <w:r w:rsidRPr="00800BD8">
        <w:rPr>
          <w:rFonts w:asciiTheme="majorBidi" w:hAnsiTheme="majorBidi" w:cstheme="majorBidi"/>
          <w:b/>
        </w:rPr>
        <w:t>LĒMUMS</w:t>
      </w:r>
    </w:p>
    <w:p w14:paraId="71E245BB" w14:textId="422D4812" w:rsidR="001D5FD4" w:rsidRPr="00800BD8" w:rsidRDefault="00800BD8" w:rsidP="00CB62F2">
      <w:pPr>
        <w:spacing w:line="276" w:lineRule="auto"/>
        <w:jc w:val="center"/>
        <w:rPr>
          <w:rFonts w:asciiTheme="majorBidi" w:hAnsiTheme="majorBidi" w:cstheme="majorBidi"/>
          <w:b/>
        </w:rPr>
      </w:pPr>
      <w:r w:rsidRPr="00800BD8">
        <w:rPr>
          <w:rFonts w:asciiTheme="majorBidi" w:hAnsiTheme="majorBidi" w:cstheme="majorBidi"/>
          <w:b/>
        </w:rPr>
        <w:t>Lieta Nr. </w:t>
      </w:r>
      <w:r w:rsidRPr="00800BD8">
        <w:rPr>
          <w:rFonts w:asciiTheme="majorBidi" w:hAnsiTheme="majorBidi" w:cstheme="majorBidi"/>
          <w:b/>
          <w:lang w:eastAsia="lv-LV"/>
        </w:rPr>
        <w:t xml:space="preserve">11088095719, </w:t>
      </w:r>
      <w:r w:rsidRPr="00800BD8">
        <w:rPr>
          <w:rFonts w:asciiTheme="majorBidi" w:hAnsiTheme="majorBidi" w:cstheme="majorBidi"/>
          <w:b/>
        </w:rPr>
        <w:t>SKK-24/2024</w:t>
      </w:r>
    </w:p>
    <w:p w14:paraId="5A5B7D9E" w14:textId="4A9C5F53" w:rsidR="00800BD8" w:rsidRPr="00800BD8" w:rsidRDefault="00F2331A" w:rsidP="00CB62F2">
      <w:pPr>
        <w:spacing w:line="276" w:lineRule="auto"/>
        <w:jc w:val="center"/>
        <w:rPr>
          <w:rFonts w:asciiTheme="majorBidi" w:hAnsiTheme="majorBidi" w:cstheme="majorBidi"/>
          <w:bCs/>
        </w:rPr>
      </w:pPr>
      <w:hyperlink r:id="rId6" w:history="1">
        <w:r w:rsidR="00800BD8" w:rsidRPr="00800BD8">
          <w:rPr>
            <w:rStyle w:val="Hyperlink"/>
            <w:rFonts w:asciiTheme="majorBidi" w:hAnsiTheme="majorBidi" w:cstheme="majorBidi"/>
            <w:bCs/>
            <w:shd w:val="clear" w:color="auto" w:fill="FFFFFF"/>
          </w:rPr>
          <w:t>ECLI:LV:AT:2024:0509.11088095719.10.L</w:t>
        </w:r>
      </w:hyperlink>
    </w:p>
    <w:p w14:paraId="109A096D" w14:textId="77777777" w:rsidR="001D5FD4" w:rsidRPr="00A17E9C" w:rsidRDefault="001D5FD4" w:rsidP="00CB62F2">
      <w:pPr>
        <w:spacing w:line="276" w:lineRule="auto"/>
        <w:ind w:firstLine="709"/>
        <w:jc w:val="both"/>
      </w:pPr>
    </w:p>
    <w:p w14:paraId="0068630F" w14:textId="37A761A0" w:rsidR="001D5FD4" w:rsidRPr="00A17E9C" w:rsidRDefault="001D5FD4" w:rsidP="00CB62F2">
      <w:pPr>
        <w:spacing w:line="276" w:lineRule="auto"/>
        <w:ind w:firstLine="720"/>
        <w:jc w:val="both"/>
      </w:pPr>
      <w:r w:rsidRPr="00A17E9C">
        <w:t>Senāts šādā sastāvā: senators referents Ivars Bičkovičs, senator</w:t>
      </w:r>
      <w:r w:rsidR="00986845" w:rsidRPr="00A17E9C">
        <w:t>i</w:t>
      </w:r>
      <w:r w:rsidRPr="00A17E9C">
        <w:t xml:space="preserve"> </w:t>
      </w:r>
      <w:r w:rsidR="00986845" w:rsidRPr="00A17E9C">
        <w:t>Artūrs Freibergs</w:t>
      </w:r>
      <w:r w:rsidR="00AA7033" w:rsidRPr="00A17E9C">
        <w:t xml:space="preserve"> </w:t>
      </w:r>
      <w:r w:rsidRPr="00A17E9C">
        <w:t>un Inese Laura Zemīte</w:t>
      </w:r>
    </w:p>
    <w:p w14:paraId="3FACDC5D" w14:textId="77777777" w:rsidR="001D5FD4" w:rsidRPr="00A17E9C" w:rsidRDefault="001D5FD4" w:rsidP="00CB62F2">
      <w:pPr>
        <w:spacing w:line="276" w:lineRule="auto"/>
        <w:ind w:firstLine="720"/>
        <w:jc w:val="both"/>
      </w:pPr>
    </w:p>
    <w:p w14:paraId="658EB22D" w14:textId="2F0BFD11" w:rsidR="001D5FD4" w:rsidRPr="00A17E9C" w:rsidRDefault="001D5FD4" w:rsidP="00E8602C">
      <w:pPr>
        <w:spacing w:line="276" w:lineRule="auto"/>
        <w:ind w:firstLine="720"/>
        <w:jc w:val="both"/>
      </w:pPr>
      <w:r w:rsidRPr="00A17E9C">
        <w:t>rakstveida procesā izskatīja krimināllietu sakarā ar</w:t>
      </w:r>
      <w:bookmarkStart w:id="0" w:name="_Hlk45528273"/>
      <w:r w:rsidRPr="00A17E9C">
        <w:t xml:space="preserve"> apsūdzētā </w:t>
      </w:r>
      <w:r w:rsidR="00E8602C">
        <w:t>[pers. A]</w:t>
      </w:r>
      <w:r w:rsidRPr="00A17E9C">
        <w:t xml:space="preserve"> un viņa aizstāves zvērinātas advokātes Vitas </w:t>
      </w:r>
      <w:proofErr w:type="spellStart"/>
      <w:r w:rsidRPr="00A17E9C">
        <w:t>Tanasi</w:t>
      </w:r>
      <w:proofErr w:type="spellEnd"/>
      <w:r w:rsidRPr="00A17E9C">
        <w:t xml:space="preserve"> kasācijas sūdzībām par Rīgas apgabaltiesas 2023. gada </w:t>
      </w:r>
      <w:bookmarkEnd w:id="0"/>
      <w:r w:rsidRPr="00A17E9C">
        <w:t>18. aprīļa lēmumu.</w:t>
      </w:r>
    </w:p>
    <w:p w14:paraId="2E566122" w14:textId="77777777" w:rsidR="001D5FD4" w:rsidRPr="00A17E9C" w:rsidRDefault="001D5FD4" w:rsidP="00CB62F2">
      <w:pPr>
        <w:spacing w:line="276" w:lineRule="auto"/>
        <w:ind w:firstLine="709"/>
        <w:jc w:val="both"/>
      </w:pPr>
    </w:p>
    <w:p w14:paraId="42D927B3" w14:textId="77777777" w:rsidR="001D5FD4" w:rsidRPr="00A17E9C" w:rsidRDefault="001D5FD4" w:rsidP="00CB62F2">
      <w:pPr>
        <w:spacing w:line="276" w:lineRule="auto"/>
        <w:jc w:val="center"/>
        <w:rPr>
          <w:b/>
        </w:rPr>
      </w:pPr>
      <w:r w:rsidRPr="00A17E9C">
        <w:rPr>
          <w:b/>
        </w:rPr>
        <w:t>Aprakstošā daļa</w:t>
      </w:r>
    </w:p>
    <w:p w14:paraId="1FD4C968" w14:textId="77777777" w:rsidR="001D5FD4" w:rsidRPr="00A17E9C" w:rsidRDefault="001D5FD4" w:rsidP="00CB62F2">
      <w:pPr>
        <w:spacing w:line="276" w:lineRule="auto"/>
        <w:ind w:firstLine="720"/>
      </w:pPr>
    </w:p>
    <w:p w14:paraId="413F6A48" w14:textId="54619B0E" w:rsidR="001D5FD4" w:rsidRPr="00A17E9C" w:rsidRDefault="001D5FD4" w:rsidP="00F56494">
      <w:pPr>
        <w:spacing w:line="276" w:lineRule="auto"/>
        <w:ind w:firstLine="720"/>
        <w:jc w:val="both"/>
      </w:pPr>
      <w:r w:rsidRPr="00A17E9C">
        <w:t>[1]</w:t>
      </w:r>
      <w:r w:rsidR="00A11E78" w:rsidRPr="00A17E9C">
        <w:t> </w:t>
      </w:r>
      <w:r w:rsidRPr="00A17E9C">
        <w:t xml:space="preserve">Ar </w:t>
      </w:r>
      <w:r w:rsidR="00774FA2" w:rsidRPr="00A17E9C">
        <w:t>Rīgas pilsētas</w:t>
      </w:r>
      <w:r w:rsidRPr="00A17E9C">
        <w:t xml:space="preserve"> tiesas 2022. gada </w:t>
      </w:r>
      <w:r w:rsidR="009F66B9" w:rsidRPr="00A17E9C">
        <w:t>6. decembra</w:t>
      </w:r>
      <w:r w:rsidRPr="00A17E9C">
        <w:t xml:space="preserve"> spriedumu</w:t>
      </w:r>
    </w:p>
    <w:p w14:paraId="38DD1B48" w14:textId="16847E6C" w:rsidR="001D5FD4" w:rsidRPr="00A17E9C" w:rsidRDefault="00E8602C" w:rsidP="00F56494">
      <w:pPr>
        <w:spacing w:line="276" w:lineRule="auto"/>
        <w:ind w:firstLine="720"/>
        <w:jc w:val="both"/>
      </w:pPr>
      <w:bookmarkStart w:id="1" w:name="_Hlk114838733"/>
      <w:r>
        <w:t>[pers. A]</w:t>
      </w:r>
      <w:r w:rsidR="001D5FD4" w:rsidRPr="00A17E9C">
        <w:t xml:space="preserve">, personas kods </w:t>
      </w:r>
      <w:r>
        <w:t>[..]</w:t>
      </w:r>
      <w:r w:rsidR="001D5FD4" w:rsidRPr="00A17E9C">
        <w:t>,</w:t>
      </w:r>
    </w:p>
    <w:p w14:paraId="156C6BCE" w14:textId="0211F216" w:rsidR="001D5FD4" w:rsidRPr="00A17E9C" w:rsidRDefault="001D5FD4" w:rsidP="00F56494">
      <w:pPr>
        <w:spacing w:line="276" w:lineRule="auto"/>
        <w:ind w:firstLine="720"/>
        <w:jc w:val="both"/>
      </w:pPr>
      <w:r w:rsidRPr="00A17E9C">
        <w:t xml:space="preserve">atzīts par vainīgu Krimināllikuma </w:t>
      </w:r>
      <w:r w:rsidR="009F66B9" w:rsidRPr="00A17E9C">
        <w:t>15. panta ceturtajā daļā un 117. panta 6. punktā</w:t>
      </w:r>
      <w:r w:rsidRPr="00A17E9C">
        <w:t xml:space="preserve"> paredzētajā noziedzīgajā nodarījumā un sodīts ar brīvības atņemšanu uz </w:t>
      </w:r>
      <w:r w:rsidR="009F66B9" w:rsidRPr="00A17E9C">
        <w:t>14</w:t>
      </w:r>
      <w:bookmarkEnd w:id="1"/>
      <w:r w:rsidR="00BE6600" w:rsidRPr="00A17E9C">
        <w:t> </w:t>
      </w:r>
      <w:r w:rsidR="00727A13" w:rsidRPr="00A17E9C">
        <w:t>gadiem</w:t>
      </w:r>
      <w:r w:rsidR="009F66B9" w:rsidRPr="00A17E9C">
        <w:t xml:space="preserve"> un probācijas uzraudzību uz 3</w:t>
      </w:r>
      <w:r w:rsidR="00BE6600" w:rsidRPr="00A17E9C">
        <w:t> </w:t>
      </w:r>
      <w:r w:rsidR="009F66B9" w:rsidRPr="00A17E9C">
        <w:t>gadiem.</w:t>
      </w:r>
    </w:p>
    <w:p w14:paraId="596B18C7" w14:textId="5DC160B3" w:rsidR="009F66B9" w:rsidRPr="00A17E9C" w:rsidRDefault="009F66B9" w:rsidP="00F56494">
      <w:pPr>
        <w:spacing w:line="276" w:lineRule="auto"/>
        <w:ind w:firstLine="720"/>
        <w:jc w:val="both"/>
      </w:pPr>
      <w:r w:rsidRPr="00A17E9C">
        <w:t xml:space="preserve">Saskaņā ar Krimināllikuma 50. panta piekto daļu galīgais sods </w:t>
      </w:r>
      <w:r w:rsidR="00E8602C">
        <w:t>[pers. A]</w:t>
      </w:r>
      <w:r w:rsidR="006E711C" w:rsidRPr="00A17E9C">
        <w:t xml:space="preserve"> </w:t>
      </w:r>
      <w:r w:rsidRPr="00A17E9C">
        <w:t xml:space="preserve">noteikts brīvības atņemšana </w:t>
      </w:r>
      <w:r w:rsidR="004F1635" w:rsidRPr="00A17E9C">
        <w:t>uz 14</w:t>
      </w:r>
      <w:r w:rsidR="008A347D" w:rsidRPr="00A17E9C">
        <w:t> </w:t>
      </w:r>
      <w:r w:rsidR="004F1635" w:rsidRPr="00A17E9C">
        <w:t>gadiem 3</w:t>
      </w:r>
      <w:r w:rsidR="008A347D" w:rsidRPr="00A17E9C">
        <w:t> </w:t>
      </w:r>
      <w:r w:rsidR="004F1635" w:rsidRPr="00A17E9C">
        <w:t>mēnešiem un probācijas uzraudzība uz 3</w:t>
      </w:r>
      <w:r w:rsidR="00F75FD4" w:rsidRPr="00A17E9C">
        <w:t> </w:t>
      </w:r>
      <w:r w:rsidR="004F1635" w:rsidRPr="00A17E9C">
        <w:t>gadiem.</w:t>
      </w:r>
    </w:p>
    <w:p w14:paraId="392A56A4" w14:textId="35A141F0" w:rsidR="00133966" w:rsidRPr="00A17E9C" w:rsidRDefault="00E8602C" w:rsidP="00F56494">
      <w:pPr>
        <w:spacing w:line="276" w:lineRule="auto"/>
        <w:ind w:firstLine="720"/>
        <w:jc w:val="both"/>
      </w:pPr>
      <w:r>
        <w:t>[Pers. A]</w:t>
      </w:r>
      <w:r w:rsidR="00133966" w:rsidRPr="00A17E9C">
        <w:t xml:space="preserve"> piemērots drošības līdzeklis – apcietinājums.</w:t>
      </w:r>
    </w:p>
    <w:p w14:paraId="1D2C9560" w14:textId="0E7D81CD" w:rsidR="004F1635" w:rsidRPr="00A17E9C" w:rsidRDefault="004F1635" w:rsidP="00E8602C">
      <w:pPr>
        <w:spacing w:line="276" w:lineRule="auto"/>
        <w:ind w:firstLine="720"/>
        <w:jc w:val="both"/>
      </w:pPr>
      <w:r w:rsidRPr="00A17E9C">
        <w:t xml:space="preserve">No </w:t>
      </w:r>
      <w:r w:rsidR="00E8602C">
        <w:t>[pers. A]</w:t>
      </w:r>
      <w:r w:rsidRPr="00A17E9C">
        <w:t xml:space="preserve"> cietušās </w:t>
      </w:r>
      <w:r w:rsidR="00E8602C">
        <w:t>[pers. B]</w:t>
      </w:r>
      <w:r w:rsidRPr="00A17E9C">
        <w:t xml:space="preserve"> labā piedzīta materiālā kaitējuma kompensācija 1760,26</w:t>
      </w:r>
      <w:r w:rsidR="00F75FD4" w:rsidRPr="00A17E9C">
        <w:t> </w:t>
      </w:r>
      <w:r w:rsidRPr="00A17E9C">
        <w:rPr>
          <w:i/>
          <w:iCs/>
        </w:rPr>
        <w:t>euro</w:t>
      </w:r>
      <w:r w:rsidRPr="00A17E9C">
        <w:t xml:space="preserve"> un morālā kaitējuma kompensācija 5000</w:t>
      </w:r>
      <w:r w:rsidR="00F75FD4" w:rsidRPr="00A17E9C">
        <w:t> </w:t>
      </w:r>
      <w:r w:rsidRPr="00A17E9C">
        <w:rPr>
          <w:i/>
          <w:iCs/>
        </w:rPr>
        <w:t>euro</w:t>
      </w:r>
      <w:r w:rsidRPr="00A17E9C">
        <w:t>.</w:t>
      </w:r>
    </w:p>
    <w:p w14:paraId="658DAD0E" w14:textId="171AFA16" w:rsidR="00D438A5" w:rsidRPr="00A17E9C" w:rsidRDefault="00D438A5" w:rsidP="00F56494">
      <w:pPr>
        <w:spacing w:line="276" w:lineRule="auto"/>
        <w:ind w:firstLine="720"/>
        <w:jc w:val="both"/>
      </w:pPr>
      <w:r w:rsidRPr="00A17E9C">
        <w:t xml:space="preserve">No </w:t>
      </w:r>
      <w:r w:rsidR="00E8602C">
        <w:t>[pers. A]</w:t>
      </w:r>
      <w:r w:rsidRPr="00A17E9C">
        <w:t xml:space="preserve"> valsts labā piedzīti 1</w:t>
      </w:r>
      <w:r w:rsidR="00BD253F" w:rsidRPr="00A17E9C">
        <w:t>765 </w:t>
      </w:r>
      <w:r w:rsidRPr="00A17E9C">
        <w:rPr>
          <w:i/>
          <w:iCs/>
        </w:rPr>
        <w:t>euro</w:t>
      </w:r>
      <w:r w:rsidRPr="00A17E9C">
        <w:t xml:space="preserve"> par aizstāvju sniegto juridisko palīdzību pirmstiesas procesā un </w:t>
      </w:r>
      <w:r w:rsidR="00460A5F" w:rsidRPr="00A17E9C">
        <w:t xml:space="preserve">pirmās instances </w:t>
      </w:r>
      <w:r w:rsidR="00BD253F" w:rsidRPr="00A17E9C">
        <w:t>tiesā.</w:t>
      </w:r>
    </w:p>
    <w:p w14:paraId="6DB87265" w14:textId="7D2D61C7" w:rsidR="00415B15" w:rsidRPr="00A17E9C" w:rsidRDefault="00415B15" w:rsidP="00F56494">
      <w:pPr>
        <w:spacing w:line="276" w:lineRule="auto"/>
        <w:ind w:firstLine="720"/>
        <w:jc w:val="both"/>
      </w:pPr>
      <w:r w:rsidRPr="00A17E9C">
        <w:t xml:space="preserve">No </w:t>
      </w:r>
      <w:r w:rsidR="00E8602C">
        <w:t>[pers. A]</w:t>
      </w:r>
      <w:r w:rsidRPr="00A17E9C">
        <w:t xml:space="preserve"> </w:t>
      </w:r>
      <w:r w:rsidR="00EF0255" w:rsidRPr="00A17E9C">
        <w:t>Juridiskās palīdzības</w:t>
      </w:r>
      <w:r w:rsidR="00FB14D9" w:rsidRPr="00A17E9C">
        <w:t xml:space="preserve"> administrācijas</w:t>
      </w:r>
      <w:r w:rsidR="00EF0255" w:rsidRPr="00A17E9C">
        <w:t xml:space="preserve"> labā </w:t>
      </w:r>
      <w:r w:rsidR="008F3045" w:rsidRPr="00A17E9C">
        <w:t>piedzīt</w:t>
      </w:r>
      <w:r w:rsidR="00EF0255" w:rsidRPr="00A17E9C">
        <w:t>i 1935 </w:t>
      </w:r>
      <w:r w:rsidR="00EF0255" w:rsidRPr="00A17E9C">
        <w:rPr>
          <w:i/>
          <w:iCs/>
        </w:rPr>
        <w:t>euro</w:t>
      </w:r>
      <w:r w:rsidR="008F3045" w:rsidRPr="00A17E9C">
        <w:t xml:space="preserve"> </w:t>
      </w:r>
      <w:r w:rsidR="00EF0255" w:rsidRPr="00A17E9C">
        <w:t xml:space="preserve">par </w:t>
      </w:r>
      <w:r w:rsidR="00EF5A01" w:rsidRPr="00A17E9C">
        <w:t>Juridiskās palīdzības administrācijas izmaksāto</w:t>
      </w:r>
      <w:r w:rsidR="003A7183" w:rsidRPr="00A17E9C">
        <w:t xml:space="preserve"> valsts</w:t>
      </w:r>
      <w:r w:rsidR="00EF5A01" w:rsidRPr="00A17E9C">
        <w:t xml:space="preserve"> kompensāciju </w:t>
      </w:r>
      <w:r w:rsidR="008F3045" w:rsidRPr="00A17E9C">
        <w:t>cietuš</w:t>
      </w:r>
      <w:r w:rsidR="00EF5A01" w:rsidRPr="00A17E9C">
        <w:t>ajai</w:t>
      </w:r>
      <w:r w:rsidR="008F3045" w:rsidRPr="00A17E9C">
        <w:t xml:space="preserve"> </w:t>
      </w:r>
      <w:r w:rsidR="00E8602C">
        <w:t>[pers. B]</w:t>
      </w:r>
      <w:r w:rsidR="00EF5A01" w:rsidRPr="00A17E9C">
        <w:t>.</w:t>
      </w:r>
    </w:p>
    <w:p w14:paraId="7A16FCBF" w14:textId="77777777" w:rsidR="004F1635" w:rsidRPr="00A17E9C" w:rsidRDefault="004F1635" w:rsidP="00F56494">
      <w:pPr>
        <w:spacing w:line="276" w:lineRule="auto"/>
        <w:ind w:firstLine="720"/>
        <w:jc w:val="both"/>
      </w:pPr>
    </w:p>
    <w:p w14:paraId="25BA6496" w14:textId="6DDBF122" w:rsidR="001D5FD4" w:rsidRPr="00A17E9C" w:rsidRDefault="001D5FD4" w:rsidP="00F56494">
      <w:pPr>
        <w:spacing w:line="276" w:lineRule="auto"/>
        <w:ind w:firstLine="720"/>
        <w:jc w:val="both"/>
      </w:pPr>
      <w:r w:rsidRPr="00A17E9C">
        <w:t>[2]</w:t>
      </w:r>
      <w:r w:rsidR="009022B0" w:rsidRPr="00A17E9C">
        <w:t> </w:t>
      </w:r>
      <w:r w:rsidRPr="00A17E9C">
        <w:t>Ar</w:t>
      </w:r>
      <w:r w:rsidRPr="00A17E9C">
        <w:rPr>
          <w:b/>
          <w:bCs/>
        </w:rPr>
        <w:t xml:space="preserve"> </w:t>
      </w:r>
      <w:r w:rsidRPr="00A17E9C">
        <w:t xml:space="preserve">pirmās instances tiesas spriedumu </w:t>
      </w:r>
      <w:r w:rsidR="00E8602C">
        <w:t>[pers. A]</w:t>
      </w:r>
      <w:r w:rsidRPr="00A17E9C">
        <w:t xml:space="preserve"> atzīts par vainīgu un sodīts pēc Krimināllikuma </w:t>
      </w:r>
      <w:r w:rsidR="009F66B9" w:rsidRPr="00A17E9C">
        <w:t xml:space="preserve">15. panta ceturtās daļas un 117. panta 6. punkta </w:t>
      </w:r>
      <w:r w:rsidRPr="00A17E9C">
        <w:t>par</w:t>
      </w:r>
      <w:r w:rsidR="009F66B9" w:rsidRPr="00A17E9C">
        <w:t xml:space="preserve"> citas personas tīšas prettiesiskas nonāvēšanas (slepkavības), kas saistīt</w:t>
      </w:r>
      <w:r w:rsidR="00727A13" w:rsidRPr="00A17E9C">
        <w:t>a</w:t>
      </w:r>
      <w:r w:rsidR="009F66B9" w:rsidRPr="00A17E9C">
        <w:t xml:space="preserve"> ar laupīšanu, mēģinājumu.</w:t>
      </w:r>
    </w:p>
    <w:p w14:paraId="7AB19F30" w14:textId="77777777" w:rsidR="001D5FD4" w:rsidRPr="00A17E9C" w:rsidRDefault="001D5FD4" w:rsidP="00F56494">
      <w:pPr>
        <w:spacing w:line="276" w:lineRule="auto"/>
        <w:ind w:firstLine="720"/>
        <w:jc w:val="both"/>
      </w:pPr>
    </w:p>
    <w:p w14:paraId="0B34E655" w14:textId="4C2FD3A1" w:rsidR="001D5FD4" w:rsidRPr="00A17E9C" w:rsidRDefault="001D5FD4" w:rsidP="00F56494">
      <w:pPr>
        <w:spacing w:line="276" w:lineRule="auto"/>
        <w:ind w:firstLine="720"/>
        <w:jc w:val="both"/>
      </w:pPr>
      <w:r w:rsidRPr="00A17E9C">
        <w:t>[3]</w:t>
      </w:r>
      <w:r w:rsidR="008C2D65" w:rsidRPr="00A17E9C">
        <w:t> </w:t>
      </w:r>
      <w:r w:rsidRPr="00A17E9C">
        <w:t xml:space="preserve">Ar Rīgas apgabaltiesas 2023. gada </w:t>
      </w:r>
      <w:r w:rsidR="009F66B9" w:rsidRPr="00A17E9C">
        <w:t>18. aprīļa</w:t>
      </w:r>
      <w:r w:rsidRPr="00A17E9C">
        <w:t xml:space="preserve"> lēmumu, iztiesājot lietu apelācijas kārtībā sakarā ar </w:t>
      </w:r>
      <w:r w:rsidR="009F66B9" w:rsidRPr="00A17E9C">
        <w:t xml:space="preserve">apsūdzētā </w:t>
      </w:r>
      <w:r w:rsidR="00E8602C">
        <w:t>[pers. A]</w:t>
      </w:r>
      <w:r w:rsidR="009F66B9" w:rsidRPr="00A17E9C">
        <w:t xml:space="preserve"> apelācijas sūdzību</w:t>
      </w:r>
      <w:r w:rsidRPr="00A17E9C">
        <w:t>, pirmās instances tiesas spriedums atstāts negrozīts.</w:t>
      </w:r>
    </w:p>
    <w:p w14:paraId="077501F4" w14:textId="77777777" w:rsidR="001D5FD4" w:rsidRPr="00A17E9C" w:rsidRDefault="001D5FD4" w:rsidP="00F56494">
      <w:pPr>
        <w:spacing w:line="276" w:lineRule="auto"/>
        <w:ind w:firstLine="720"/>
        <w:jc w:val="both"/>
      </w:pPr>
    </w:p>
    <w:p w14:paraId="24820B23" w14:textId="080D24E0" w:rsidR="005D5DB9" w:rsidRPr="00A17E9C" w:rsidRDefault="001D5FD4" w:rsidP="00F56494">
      <w:pPr>
        <w:spacing w:line="276" w:lineRule="auto"/>
        <w:ind w:firstLine="720"/>
        <w:jc w:val="both"/>
      </w:pPr>
      <w:r w:rsidRPr="00A17E9C">
        <w:t>[4]</w:t>
      </w:r>
      <w:r w:rsidR="00C74978" w:rsidRPr="00A17E9C">
        <w:t> </w:t>
      </w:r>
      <w:r w:rsidRPr="00A17E9C">
        <w:t xml:space="preserve">Par Rīgas apgabaltiesas 2023. gada </w:t>
      </w:r>
      <w:r w:rsidR="009F66B9" w:rsidRPr="00A17E9C">
        <w:t>18. aprīļa</w:t>
      </w:r>
      <w:r w:rsidRPr="00A17E9C">
        <w:t xml:space="preserve"> lēmumu</w:t>
      </w:r>
      <w:bookmarkStart w:id="2" w:name="_Hlk115183952"/>
      <w:r w:rsidR="005D5DB9" w:rsidRPr="00A17E9C">
        <w:t xml:space="preserve"> apsūdzētais </w:t>
      </w:r>
      <w:r w:rsidR="00401DC2">
        <w:t>[pers. A]</w:t>
      </w:r>
      <w:r w:rsidR="005D5DB9" w:rsidRPr="00A17E9C">
        <w:t xml:space="preserve"> un viņa</w:t>
      </w:r>
      <w:r w:rsidRPr="00A17E9C">
        <w:t xml:space="preserve"> </w:t>
      </w:r>
      <w:bookmarkEnd w:id="2"/>
      <w:r w:rsidR="004F1635" w:rsidRPr="00A17E9C">
        <w:t>aizstāve V. </w:t>
      </w:r>
      <w:proofErr w:type="spellStart"/>
      <w:r w:rsidR="004F1635" w:rsidRPr="00A17E9C">
        <w:t>Tanasi</w:t>
      </w:r>
      <w:proofErr w:type="spellEnd"/>
      <w:r w:rsidR="004F1635" w:rsidRPr="00A17E9C">
        <w:t xml:space="preserve"> iesniegu</w:t>
      </w:r>
      <w:r w:rsidR="005D5DB9" w:rsidRPr="00A17E9C">
        <w:t>š</w:t>
      </w:r>
      <w:r w:rsidR="004F1635" w:rsidRPr="00A17E9C">
        <w:t>i kasācijas sūdzīb</w:t>
      </w:r>
      <w:r w:rsidR="005D5DB9" w:rsidRPr="00A17E9C">
        <w:t>as.</w:t>
      </w:r>
    </w:p>
    <w:p w14:paraId="2D2BB76F" w14:textId="77777777" w:rsidR="008A4803" w:rsidRPr="00A17E9C" w:rsidRDefault="008A4803" w:rsidP="00F56494">
      <w:pPr>
        <w:spacing w:line="276" w:lineRule="auto"/>
        <w:ind w:firstLine="720"/>
        <w:jc w:val="both"/>
      </w:pPr>
    </w:p>
    <w:p w14:paraId="3BBCBF27" w14:textId="6C1AEEAD" w:rsidR="00BF35AF" w:rsidRPr="00A17E9C" w:rsidRDefault="00BD7BD2" w:rsidP="00F56494">
      <w:pPr>
        <w:spacing w:line="276" w:lineRule="auto"/>
        <w:ind w:firstLine="720"/>
        <w:jc w:val="both"/>
      </w:pPr>
      <w:r w:rsidRPr="00A17E9C">
        <w:t>[5]</w:t>
      </w:r>
      <w:r w:rsidR="00C74978" w:rsidRPr="00A17E9C">
        <w:t> </w:t>
      </w:r>
      <w:r w:rsidRPr="00A17E9C">
        <w:t xml:space="preserve">Apsūdzētais </w:t>
      </w:r>
      <w:r w:rsidR="00401DC2">
        <w:t>[pers. A]</w:t>
      </w:r>
      <w:r w:rsidRPr="00A17E9C">
        <w:t xml:space="preserve"> kasācijas sūdzībā </w:t>
      </w:r>
      <w:r w:rsidR="00BF35AF" w:rsidRPr="00A17E9C">
        <w:t>lūdz atcelt apelācijas instances tiesas lēmumu.</w:t>
      </w:r>
    </w:p>
    <w:p w14:paraId="1F59A9A1" w14:textId="4DCD4A6C" w:rsidR="00BF35AF" w:rsidRPr="00A17E9C" w:rsidRDefault="00BF35AF" w:rsidP="00F56494">
      <w:pPr>
        <w:spacing w:line="276" w:lineRule="auto"/>
        <w:ind w:firstLine="720"/>
        <w:jc w:val="both"/>
      </w:pPr>
      <w:r w:rsidRPr="00A17E9C">
        <w:lastRenderedPageBreak/>
        <w:t>Kasācijas sūdzība pamatota ar turpmāk norādītajiem argumentiem.</w:t>
      </w:r>
    </w:p>
    <w:p w14:paraId="6A69D2E5" w14:textId="16F6A70E" w:rsidR="00B03346" w:rsidRPr="00A17E9C" w:rsidRDefault="00BF35AF" w:rsidP="00F56494">
      <w:pPr>
        <w:spacing w:line="276" w:lineRule="auto"/>
        <w:ind w:firstLine="720"/>
        <w:jc w:val="both"/>
      </w:pPr>
      <w:r w:rsidRPr="00A17E9C">
        <w:t>[5.1]</w:t>
      </w:r>
      <w:r w:rsidR="00C74978" w:rsidRPr="00A17E9C">
        <w:t> </w:t>
      </w:r>
      <w:r w:rsidRPr="00A17E9C">
        <w:t>A</w:t>
      </w:r>
      <w:r w:rsidR="00BD7BD2" w:rsidRPr="00A17E9C">
        <w:t xml:space="preserve">pelācijas instances tiesa nepamatoti atzinusi </w:t>
      </w:r>
      <w:r w:rsidR="00727A13" w:rsidRPr="00A17E9C">
        <w:t>viņu</w:t>
      </w:r>
      <w:r w:rsidR="00BD7BD2" w:rsidRPr="00A17E9C">
        <w:t xml:space="preserve"> par vainīgu Krimināllikuma 15. panta ceturtajā daļā un 117. panta 6. punktā paredzētajā noziedzīgajā nodarījumā.</w:t>
      </w:r>
      <w:r w:rsidR="00B03346" w:rsidRPr="00A17E9C">
        <w:t xml:space="preserve"> Uzskata, ka viņa darbības</w:t>
      </w:r>
      <w:r w:rsidR="001A32CF" w:rsidRPr="00A17E9C">
        <w:t xml:space="preserve"> </w:t>
      </w:r>
      <w:r w:rsidR="00B03346" w:rsidRPr="00A17E9C">
        <w:t>kvalificējamas pēc Krimināllikuma 176. panta, savu vainu atzīst un izdarīto nožēlo.</w:t>
      </w:r>
    </w:p>
    <w:p w14:paraId="0E7D4D3B" w14:textId="7D74CB01" w:rsidR="001B01DC" w:rsidRPr="00A17E9C" w:rsidRDefault="00BD7BD2" w:rsidP="00F56494">
      <w:pPr>
        <w:spacing w:line="276" w:lineRule="auto"/>
        <w:ind w:firstLine="720"/>
        <w:jc w:val="both"/>
      </w:pPr>
      <w:r w:rsidRPr="00A17E9C">
        <w:t>Abu instanču tiesas nav ņēmušas vērā</w:t>
      </w:r>
      <w:r w:rsidR="00425611" w:rsidRPr="00A17E9C">
        <w:t xml:space="preserve"> to</w:t>
      </w:r>
      <w:r w:rsidRPr="00A17E9C">
        <w:t xml:space="preserve">, ka apsūdzētajam </w:t>
      </w:r>
      <w:r w:rsidR="005C3A80">
        <w:t>[pers. A]</w:t>
      </w:r>
      <w:r w:rsidRPr="00A17E9C">
        <w:t xml:space="preserve"> </w:t>
      </w:r>
      <w:r w:rsidR="00BF3724" w:rsidRPr="00A17E9C">
        <w:t>nebija</w:t>
      </w:r>
      <w:r w:rsidRPr="00A17E9C">
        <w:t xml:space="preserve"> nodom</w:t>
      </w:r>
      <w:r w:rsidR="006E711C" w:rsidRPr="00A17E9C">
        <w:t>a</w:t>
      </w:r>
      <w:r w:rsidRPr="00A17E9C">
        <w:t xml:space="preserve"> noslepkavot cietušo</w:t>
      </w:r>
      <w:r w:rsidR="00AD13CE" w:rsidRPr="00A17E9C">
        <w:t xml:space="preserve"> </w:t>
      </w:r>
      <w:r w:rsidR="005C3A80">
        <w:t>[pers. B]</w:t>
      </w:r>
      <w:r w:rsidRPr="00A17E9C">
        <w:t>. Miesas bojājumus izdarījis, lai</w:t>
      </w:r>
      <w:r w:rsidR="00425611" w:rsidRPr="00A17E9C">
        <w:t xml:space="preserve"> cietusī nekliegtu un</w:t>
      </w:r>
      <w:r w:rsidRPr="00A17E9C">
        <w:t xml:space="preserve"> </w:t>
      </w:r>
      <w:r w:rsidR="00425611" w:rsidRPr="00A17E9C">
        <w:t>netraucētu viņam</w:t>
      </w:r>
      <w:r w:rsidR="00AA7033" w:rsidRPr="00A17E9C">
        <w:t xml:space="preserve"> </w:t>
      </w:r>
      <w:r w:rsidR="00425611" w:rsidRPr="00A17E9C">
        <w:t>izdarīt laupīšanu.</w:t>
      </w:r>
      <w:r w:rsidR="001B01DC" w:rsidRPr="00A17E9C">
        <w:t xml:space="preserve"> </w:t>
      </w:r>
      <w:r w:rsidR="004B0F08" w:rsidRPr="00A17E9C">
        <w:t xml:space="preserve">Apsūdzētajam </w:t>
      </w:r>
      <w:r w:rsidR="001B01DC" w:rsidRPr="00A17E9C">
        <w:t xml:space="preserve">nebija pamata domāt, ka cietusī ir noslepkavota, jo viņa </w:t>
      </w:r>
      <w:r w:rsidR="004B0F08" w:rsidRPr="00A17E9C">
        <w:t xml:space="preserve">gulēja uz grīdas palīgtelpā un </w:t>
      </w:r>
      <w:r w:rsidR="005239B2">
        <w:t>vaidēja</w:t>
      </w:r>
      <w:r w:rsidR="001B01DC" w:rsidRPr="00A17E9C">
        <w:t>.</w:t>
      </w:r>
    </w:p>
    <w:p w14:paraId="1DD139E0" w14:textId="1A4A65B9" w:rsidR="00BD7BD2" w:rsidRPr="00A17E9C" w:rsidRDefault="00BD7BD2" w:rsidP="00F56494">
      <w:pPr>
        <w:spacing w:line="276" w:lineRule="auto"/>
        <w:ind w:firstLine="720"/>
        <w:jc w:val="both"/>
      </w:pPr>
      <w:r w:rsidRPr="00A17E9C">
        <w:t>[5.2]</w:t>
      </w:r>
      <w:r w:rsidR="00C74978" w:rsidRPr="00A17E9C">
        <w:t> </w:t>
      </w:r>
      <w:r w:rsidRPr="00A17E9C">
        <w:t xml:space="preserve">Apelācijas instances tiesa nepamatoti noraidījusi </w:t>
      </w:r>
      <w:r w:rsidR="00727A13" w:rsidRPr="00A17E9C">
        <w:t xml:space="preserve">apsūdzētā </w:t>
      </w:r>
      <w:r w:rsidRPr="00A17E9C">
        <w:t xml:space="preserve">lūgumu </w:t>
      </w:r>
      <w:r w:rsidR="00CE2FC5" w:rsidRPr="00A17E9C">
        <w:t xml:space="preserve">uzaicināt </w:t>
      </w:r>
      <w:r w:rsidRPr="00A17E9C">
        <w:t xml:space="preserve">uz tiesas sēdi </w:t>
      </w:r>
      <w:r w:rsidR="005C3A80">
        <w:t>[pers. B]</w:t>
      </w:r>
      <w:r w:rsidR="007F7C09" w:rsidRPr="00A17E9C">
        <w:t xml:space="preserve">, </w:t>
      </w:r>
      <w:r w:rsidR="002531E6" w:rsidRPr="00A17E9C">
        <w:t xml:space="preserve">jo </w:t>
      </w:r>
      <w:r w:rsidR="005C3A80">
        <w:t>[pers. A]</w:t>
      </w:r>
      <w:r w:rsidR="005B1CB0" w:rsidRPr="00A17E9C">
        <w:t xml:space="preserve"> savu lūgumu pamatojis ar nepieciešamību </w:t>
      </w:r>
      <w:r w:rsidR="002531E6" w:rsidRPr="00A17E9C">
        <w:t xml:space="preserve">cietušajai </w:t>
      </w:r>
      <w:r w:rsidR="005B1CB0" w:rsidRPr="00A17E9C">
        <w:t>precizēt</w:t>
      </w:r>
      <w:r w:rsidR="002531E6" w:rsidRPr="00A17E9C">
        <w:t xml:space="preserve"> </w:t>
      </w:r>
      <w:r w:rsidR="001B4D39" w:rsidRPr="00A17E9C">
        <w:t>iepriekš sniegtās liecības par žņaugšanas apstākļiem.</w:t>
      </w:r>
    </w:p>
    <w:p w14:paraId="0AA0A551" w14:textId="5E1BD57C" w:rsidR="00D338B2" w:rsidRPr="00A17E9C" w:rsidRDefault="00D338B2" w:rsidP="00F56494">
      <w:pPr>
        <w:spacing w:line="276" w:lineRule="auto"/>
        <w:ind w:firstLine="720"/>
        <w:jc w:val="both"/>
      </w:pPr>
      <w:r w:rsidRPr="00A17E9C">
        <w:t>[5.</w:t>
      </w:r>
      <w:r w:rsidR="00FE7580" w:rsidRPr="00A17E9C">
        <w:t>3</w:t>
      </w:r>
      <w:r w:rsidRPr="00A17E9C">
        <w:t>]</w:t>
      </w:r>
      <w:r w:rsidR="00C74978" w:rsidRPr="00A17E9C">
        <w:t> </w:t>
      </w:r>
      <w:r w:rsidR="005C3A80">
        <w:t>[Pers. A]</w:t>
      </w:r>
      <w:r w:rsidRPr="00A17E9C">
        <w:t xml:space="preserve"> lūdz noteikt viņam tiesu psihiatrisko ekspertīzi</w:t>
      </w:r>
      <w:r w:rsidR="00D51906" w:rsidRPr="00A17E9C">
        <w:t xml:space="preserve">, norādot, ka </w:t>
      </w:r>
      <w:r w:rsidR="00AD3C2A" w:rsidRPr="00A17E9C">
        <w:t>viņš neprot kontrolēt savas emocijas un agresiju. A</w:t>
      </w:r>
      <w:r w:rsidR="00D51906" w:rsidRPr="00A17E9C">
        <w:t>izstāvība</w:t>
      </w:r>
      <w:r w:rsidR="00AD3C2A" w:rsidRPr="00A17E9C">
        <w:t xml:space="preserve"> iepriekš ir</w:t>
      </w:r>
      <w:r w:rsidR="00D51906" w:rsidRPr="00A17E9C">
        <w:t xml:space="preserve"> </w:t>
      </w:r>
      <w:r w:rsidR="00AD3C2A" w:rsidRPr="00A17E9C">
        <w:t>lūgusi</w:t>
      </w:r>
      <w:r w:rsidR="00D51906" w:rsidRPr="00A17E9C">
        <w:t xml:space="preserve"> noteikt </w:t>
      </w:r>
      <w:r w:rsidR="00B769E6" w:rsidRPr="00A17E9C">
        <w:t xml:space="preserve">apsūdzētajam </w:t>
      </w:r>
      <w:r w:rsidR="00D51906" w:rsidRPr="00A17E9C">
        <w:t xml:space="preserve">stacionāro </w:t>
      </w:r>
      <w:r w:rsidR="00B769E6" w:rsidRPr="00A17E9C">
        <w:t xml:space="preserve">tiesu psihiatrisko </w:t>
      </w:r>
      <w:r w:rsidR="00D51906" w:rsidRPr="00A17E9C">
        <w:t>ekspertīzi</w:t>
      </w:r>
      <w:r w:rsidR="00B769E6" w:rsidRPr="00A17E9C">
        <w:t>, tomēr šis lūgums</w:t>
      </w:r>
      <w:r w:rsidR="00D51906" w:rsidRPr="00A17E9C">
        <w:t xml:space="preserve"> tika noraidīts</w:t>
      </w:r>
      <w:r w:rsidR="00B769E6" w:rsidRPr="00A17E9C">
        <w:t>.</w:t>
      </w:r>
      <w:r w:rsidR="0013462A" w:rsidRPr="00A17E9C">
        <w:t xml:space="preserve"> </w:t>
      </w:r>
      <w:r w:rsidR="00B769E6" w:rsidRPr="00A17E9C">
        <w:t>Uzsver, ka</w:t>
      </w:r>
      <w:r w:rsidR="0013462A" w:rsidRPr="00A17E9C">
        <w:t xml:space="preserve"> cietums negatīvi ietekmē</w:t>
      </w:r>
      <w:r w:rsidR="00FE7580" w:rsidRPr="00A17E9C">
        <w:t xml:space="preserve"> </w:t>
      </w:r>
      <w:r w:rsidR="00566E22" w:rsidRPr="00A17E9C">
        <w:t>viņa</w:t>
      </w:r>
      <w:r w:rsidR="00FE7580" w:rsidRPr="00A17E9C">
        <w:t xml:space="preserve"> psih</w:t>
      </w:r>
      <w:r w:rsidR="00566E22" w:rsidRPr="00A17E9C">
        <w:t>isko</w:t>
      </w:r>
      <w:r w:rsidR="00FE7580" w:rsidRPr="00A17E9C">
        <w:t xml:space="preserve"> stāvokli.</w:t>
      </w:r>
    </w:p>
    <w:p w14:paraId="36F2AC10" w14:textId="338FF9B4" w:rsidR="00FE7580" w:rsidRPr="00A17E9C" w:rsidRDefault="00FE7580" w:rsidP="00F56494">
      <w:pPr>
        <w:spacing w:line="276" w:lineRule="auto"/>
        <w:ind w:firstLine="720"/>
        <w:jc w:val="both"/>
      </w:pPr>
      <w:r w:rsidRPr="00A17E9C">
        <w:t>[5.4] Apsūdzēta</w:t>
      </w:r>
      <w:r w:rsidR="00FC42AE" w:rsidRPr="00A17E9C">
        <w:t xml:space="preserve">is lūdz </w:t>
      </w:r>
      <w:r w:rsidR="003D3F89" w:rsidRPr="00A17E9C">
        <w:t xml:space="preserve">mīkstināt piespriesto sodu, </w:t>
      </w:r>
      <w:r w:rsidR="007C291D" w:rsidRPr="00A17E9C">
        <w:t>ņem</w:t>
      </w:r>
      <w:r w:rsidR="003D3F89" w:rsidRPr="00A17E9C">
        <w:t>o</w:t>
      </w:r>
      <w:r w:rsidR="007C291D" w:rsidRPr="00A17E9C">
        <w:t>t vērā viņa veselības stāvokli</w:t>
      </w:r>
      <w:r w:rsidR="003D3F89" w:rsidRPr="00A17E9C">
        <w:t xml:space="preserve"> un </w:t>
      </w:r>
      <w:r w:rsidR="007C291D" w:rsidRPr="00A17E9C">
        <w:t>apstākli,</w:t>
      </w:r>
      <w:r w:rsidR="00BE24D2" w:rsidRPr="00A17E9C">
        <w:t xml:space="preserve"> ka viņam periodiski jālieto zāles</w:t>
      </w:r>
      <w:r w:rsidRPr="00A17E9C">
        <w:t>.</w:t>
      </w:r>
      <w:r w:rsidR="00603225" w:rsidRPr="00A17E9C">
        <w:t xml:space="preserve"> </w:t>
      </w:r>
      <w:r w:rsidR="002F0101" w:rsidRPr="00A17E9C">
        <w:t>N</w:t>
      </w:r>
      <w:r w:rsidR="00603225" w:rsidRPr="00A17E9C">
        <w:t>osakot galīgo sodu</w:t>
      </w:r>
      <w:r w:rsidR="00533702" w:rsidRPr="00A17E9C">
        <w:t xml:space="preserve"> </w:t>
      </w:r>
      <w:r w:rsidR="005C3A80">
        <w:t>[pers. A]</w:t>
      </w:r>
      <w:r w:rsidR="00603225" w:rsidRPr="00A17E9C">
        <w:t xml:space="preserve">, </w:t>
      </w:r>
      <w:r w:rsidR="002F0101" w:rsidRPr="00A17E9C">
        <w:t xml:space="preserve">pirmās instances </w:t>
      </w:r>
      <w:r w:rsidR="00603225" w:rsidRPr="00A17E9C">
        <w:t>tiesa</w:t>
      </w:r>
      <w:r w:rsidR="00533702" w:rsidRPr="00A17E9C">
        <w:t xml:space="preserve"> nepamatoti nav </w:t>
      </w:r>
      <w:r w:rsidR="00907B3A" w:rsidRPr="00A17E9C">
        <w:t>ņēmusi vērā un nav ieskaitījusi</w:t>
      </w:r>
      <w:r w:rsidR="00533702" w:rsidRPr="00A17E9C">
        <w:t xml:space="preserve"> ar iepriekšējiem tiesu nolēmumiem</w:t>
      </w:r>
      <w:r w:rsidR="00907B3A" w:rsidRPr="00A17E9C">
        <w:t xml:space="preserve"> noteikto</w:t>
      </w:r>
      <w:r w:rsidR="00A24B5B" w:rsidRPr="00A17E9C">
        <w:t xml:space="preserve">s </w:t>
      </w:r>
      <w:r w:rsidR="00907B3A" w:rsidRPr="00A17E9C">
        <w:t>un jau izciesto</w:t>
      </w:r>
      <w:r w:rsidR="00A24B5B" w:rsidRPr="00A17E9C">
        <w:t>s</w:t>
      </w:r>
      <w:r w:rsidR="00907B3A" w:rsidRPr="00A17E9C">
        <w:t xml:space="preserve"> sodu</w:t>
      </w:r>
      <w:r w:rsidR="00A24B5B" w:rsidRPr="00A17E9C">
        <w:t>s</w:t>
      </w:r>
      <w:r w:rsidR="00907B3A" w:rsidRPr="00A17E9C">
        <w:t>.</w:t>
      </w:r>
    </w:p>
    <w:p w14:paraId="257F7EEE" w14:textId="77777777" w:rsidR="00BD7BD2" w:rsidRPr="00A17E9C" w:rsidRDefault="00BD7BD2" w:rsidP="00F56494">
      <w:pPr>
        <w:spacing w:line="276" w:lineRule="auto"/>
        <w:ind w:firstLine="720"/>
        <w:jc w:val="both"/>
      </w:pPr>
    </w:p>
    <w:p w14:paraId="2ED8B486" w14:textId="45D38252" w:rsidR="001D5FD4" w:rsidRPr="00A17E9C" w:rsidRDefault="005D5DB9" w:rsidP="00F56494">
      <w:pPr>
        <w:spacing w:line="276" w:lineRule="auto"/>
        <w:ind w:firstLine="720"/>
        <w:jc w:val="both"/>
      </w:pPr>
      <w:r w:rsidRPr="00A17E9C">
        <w:t>[</w:t>
      </w:r>
      <w:r w:rsidR="00BD7BD2" w:rsidRPr="00A17E9C">
        <w:t>6</w:t>
      </w:r>
      <w:r w:rsidRPr="00A17E9C">
        <w:t>]</w:t>
      </w:r>
      <w:r w:rsidR="00F906CB" w:rsidRPr="00A17E9C">
        <w:t> </w:t>
      </w:r>
      <w:r w:rsidRPr="00A17E9C">
        <w:t xml:space="preserve">Apsūdzētā </w:t>
      </w:r>
      <w:r w:rsidR="005C3A80">
        <w:t>[pers. A]</w:t>
      </w:r>
      <w:r w:rsidRPr="00A17E9C">
        <w:t xml:space="preserve"> aizstāve V. </w:t>
      </w:r>
      <w:proofErr w:type="spellStart"/>
      <w:r w:rsidRPr="00A17E9C">
        <w:t>Tanasi</w:t>
      </w:r>
      <w:proofErr w:type="spellEnd"/>
      <w:r w:rsidR="001D5FD4" w:rsidRPr="00A17E9C">
        <w:t xml:space="preserve"> </w:t>
      </w:r>
      <w:r w:rsidRPr="00A17E9C">
        <w:t xml:space="preserve">kasācijas sūdzībā </w:t>
      </w:r>
      <w:r w:rsidR="001D5FD4" w:rsidRPr="00A17E9C">
        <w:rPr>
          <w:rStyle w:val="CharStyle10"/>
          <w:color w:val="000000" w:themeColor="text1"/>
        </w:rPr>
        <w:t xml:space="preserve">lūdz atcelt </w:t>
      </w:r>
      <w:r w:rsidR="00F906CB" w:rsidRPr="00A17E9C">
        <w:rPr>
          <w:rStyle w:val="CharStyle10"/>
          <w:color w:val="000000" w:themeColor="text1"/>
        </w:rPr>
        <w:t>Rīgas apgabaltiesas 2023. gada 18. aprīļa</w:t>
      </w:r>
      <w:r w:rsidR="001D5FD4" w:rsidRPr="00A17E9C">
        <w:rPr>
          <w:rStyle w:val="CharStyle10"/>
          <w:color w:val="000000" w:themeColor="text1"/>
        </w:rPr>
        <w:t xml:space="preserve"> lēmumu</w:t>
      </w:r>
      <w:r w:rsidR="001D5FD4" w:rsidRPr="00A17E9C">
        <w:t xml:space="preserve"> un nosūtīt lietu jaunai izskatīšanai </w:t>
      </w:r>
      <w:r w:rsidR="00F906CB" w:rsidRPr="00A17E9C">
        <w:t xml:space="preserve">apelācijas instances tiesā </w:t>
      </w:r>
      <w:r w:rsidR="00B9650C" w:rsidRPr="00A17E9C">
        <w:t xml:space="preserve">sakarā ar tiesas pieļautiem Krimināllikuma </w:t>
      </w:r>
      <w:r w:rsidR="004F191A" w:rsidRPr="00A17E9C">
        <w:t xml:space="preserve">pārkāpumiem </w:t>
      </w:r>
      <w:r w:rsidR="00B9650C" w:rsidRPr="00A17E9C">
        <w:t xml:space="preserve">un Kriminālprocesa likuma </w:t>
      </w:r>
      <w:r w:rsidR="008B5802" w:rsidRPr="00A17E9C">
        <w:t xml:space="preserve">būtiskiem </w:t>
      </w:r>
      <w:r w:rsidR="00B9650C" w:rsidRPr="00A17E9C">
        <w:t>pārkāpumiem, kas noveduši pie nelikumīga nolēmuma.</w:t>
      </w:r>
      <w:r w:rsidR="008E377E" w:rsidRPr="00A17E9C">
        <w:t xml:space="preserve"> Apelācijas instances tiesas lēmums ir atceļams, lai izpildītu Kriminālprocesa likuma 1., 12. un 15. panta prasības.</w:t>
      </w:r>
    </w:p>
    <w:p w14:paraId="4A924C13" w14:textId="1198B559" w:rsidR="001D5FD4" w:rsidRPr="00A17E9C" w:rsidRDefault="001D5FD4" w:rsidP="00F56494">
      <w:pPr>
        <w:spacing w:line="276" w:lineRule="auto"/>
        <w:ind w:firstLine="720"/>
        <w:jc w:val="both"/>
      </w:pPr>
      <w:r w:rsidRPr="00A17E9C">
        <w:t xml:space="preserve">Kasācijas </w:t>
      </w:r>
      <w:r w:rsidR="004F1635" w:rsidRPr="00A17E9C">
        <w:t xml:space="preserve">sūdzība pamatota </w:t>
      </w:r>
      <w:r w:rsidRPr="00A17E9C">
        <w:t>ar turpmāk norādītajiem argumentiem.</w:t>
      </w:r>
    </w:p>
    <w:p w14:paraId="588D8848" w14:textId="3EE49074" w:rsidR="00D002F3" w:rsidRPr="00A17E9C" w:rsidRDefault="001D5FD4" w:rsidP="00F56494">
      <w:pPr>
        <w:spacing w:line="276" w:lineRule="auto"/>
        <w:ind w:firstLine="720"/>
        <w:jc w:val="both"/>
      </w:pPr>
      <w:r w:rsidRPr="00A17E9C">
        <w:t>[</w:t>
      </w:r>
      <w:r w:rsidR="00BD7BD2" w:rsidRPr="00A17E9C">
        <w:t>6</w:t>
      </w:r>
      <w:r w:rsidR="008A4803" w:rsidRPr="00A17E9C">
        <w:t>.</w:t>
      </w:r>
      <w:r w:rsidR="005D5DB9" w:rsidRPr="00A17E9C">
        <w:t>1</w:t>
      </w:r>
      <w:r w:rsidRPr="00A17E9C">
        <w:t>]</w:t>
      </w:r>
      <w:r w:rsidR="0045134B" w:rsidRPr="00A17E9C">
        <w:t> </w:t>
      </w:r>
      <w:r w:rsidR="00D002F3" w:rsidRPr="00A17E9C">
        <w:t>Apelācijas instances tiesa nav izvērtējusi pirmās instances tiesas sprieduma atbilstību Kriminālprocesa likuma 527.</w:t>
      </w:r>
      <w:r w:rsidR="00F71BEB" w:rsidRPr="00A17E9C">
        <w:t> </w:t>
      </w:r>
      <w:r w:rsidR="00D002F3" w:rsidRPr="00A17E9C">
        <w:t>panta otrās daļas 2.</w:t>
      </w:r>
      <w:r w:rsidR="00F71BEB" w:rsidRPr="00A17E9C">
        <w:t> </w:t>
      </w:r>
      <w:r w:rsidR="00D002F3" w:rsidRPr="00A17E9C">
        <w:t>punkta prasībām</w:t>
      </w:r>
      <w:r w:rsidR="00F71BEB" w:rsidRPr="00A17E9C">
        <w:t xml:space="preserve"> un nepamatoti pievienojusies pirmās instances tiesas</w:t>
      </w:r>
      <w:r w:rsidR="00D945B6" w:rsidRPr="00A17E9C">
        <w:t xml:space="preserve"> atzinumam, ka </w:t>
      </w:r>
      <w:r w:rsidR="005C3A80">
        <w:t>[pers. A]</w:t>
      </w:r>
      <w:r w:rsidR="00D945B6" w:rsidRPr="00A17E9C">
        <w:t xml:space="preserve"> nodoms </w:t>
      </w:r>
      <w:r w:rsidR="00050EE7" w:rsidRPr="00A17E9C">
        <w:t xml:space="preserve">bija vērsts uz </w:t>
      </w:r>
      <w:r w:rsidR="005C3A80">
        <w:t>[pers. B]</w:t>
      </w:r>
      <w:r w:rsidR="00050EE7" w:rsidRPr="00A17E9C">
        <w:t xml:space="preserve"> dzīvības atņemšanu.</w:t>
      </w:r>
      <w:r w:rsidR="0071387F" w:rsidRPr="00A17E9C">
        <w:t xml:space="preserve"> Apelācijas instances tiesas lēmums neatbilst Kriminālprocesa likuma 512. panta otrās daļas prasībām, jo tas ir pamatots ar pierādījumu subjektīvu un patvaļīgu izvērtējumu.</w:t>
      </w:r>
    </w:p>
    <w:p w14:paraId="53B4D58E" w14:textId="4E82C45A" w:rsidR="00050EE7" w:rsidRPr="00A17E9C" w:rsidRDefault="00050EE7" w:rsidP="00F56494">
      <w:pPr>
        <w:spacing w:line="276" w:lineRule="auto"/>
        <w:ind w:firstLine="720"/>
        <w:jc w:val="both"/>
      </w:pPr>
      <w:r w:rsidRPr="00A17E9C">
        <w:t>Ab</w:t>
      </w:r>
      <w:r w:rsidR="00922095" w:rsidRPr="00A17E9C">
        <w:t>as</w:t>
      </w:r>
      <w:r w:rsidRPr="00A17E9C">
        <w:t xml:space="preserve"> zemāko instanču tiesas nav </w:t>
      </w:r>
      <w:r w:rsidR="009A5202" w:rsidRPr="00A17E9C">
        <w:t>izvērtējušas</w:t>
      </w:r>
      <w:r w:rsidR="001E74BF" w:rsidRPr="00A17E9C">
        <w:t xml:space="preserve">, vai </w:t>
      </w:r>
      <w:r w:rsidR="005C3A80">
        <w:t>[pers. A]</w:t>
      </w:r>
      <w:r w:rsidR="001E74BF" w:rsidRPr="00A17E9C">
        <w:t xml:space="preserve"> nodarījumā ir konstatējamas visas </w:t>
      </w:r>
      <w:r w:rsidR="00922095" w:rsidRPr="00A17E9C">
        <w:t xml:space="preserve">viņam </w:t>
      </w:r>
      <w:r w:rsidR="001E74BF" w:rsidRPr="00A17E9C">
        <w:t>inkriminētā noziedzīgā nodarījuma sastāva pazīmes</w:t>
      </w:r>
      <w:r w:rsidR="00922095" w:rsidRPr="00A17E9C">
        <w:t>, jo nav pamatojušas subjektīvās puses esību</w:t>
      </w:r>
      <w:r w:rsidR="009A5202" w:rsidRPr="00A17E9C">
        <w:t>.</w:t>
      </w:r>
      <w:r w:rsidR="009E0EBB" w:rsidRPr="00A17E9C">
        <w:t xml:space="preserve"> Tas</w:t>
      </w:r>
      <w:r w:rsidR="00BB75EF" w:rsidRPr="00A17E9C">
        <w:t xml:space="preserve"> noveda pie </w:t>
      </w:r>
      <w:r w:rsidR="00BF2AAB" w:rsidRPr="00A17E9C">
        <w:t>noziedzīgā</w:t>
      </w:r>
      <w:r w:rsidR="00BB75EF" w:rsidRPr="00A17E9C">
        <w:t xml:space="preserve"> </w:t>
      </w:r>
      <w:r w:rsidR="00BF1EE8" w:rsidRPr="00A17E9C">
        <w:t>nodarījuma</w:t>
      </w:r>
      <w:r w:rsidR="00BB75EF" w:rsidRPr="00A17E9C">
        <w:t xml:space="preserve"> nepareizas juridisk</w:t>
      </w:r>
      <w:r w:rsidR="00BF2AAB" w:rsidRPr="00A17E9C">
        <w:t>ā</w:t>
      </w:r>
      <w:r w:rsidR="00BB75EF" w:rsidRPr="00A17E9C">
        <w:t>s kvalifikācijas</w:t>
      </w:r>
      <w:r w:rsidR="00CB436A" w:rsidRPr="00A17E9C">
        <w:t xml:space="preserve"> pēc </w:t>
      </w:r>
      <w:r w:rsidR="0069659A" w:rsidRPr="00A17E9C">
        <w:t>Krimināllikuma 15. panta ceturtās daļas un 117. panta 6. punkta</w:t>
      </w:r>
      <w:r w:rsidR="00BB75EF" w:rsidRPr="00A17E9C">
        <w:t>.</w:t>
      </w:r>
    </w:p>
    <w:p w14:paraId="7118AC17" w14:textId="69BA3337" w:rsidR="00D002F3" w:rsidRPr="00A17E9C" w:rsidRDefault="00BF1EE8" w:rsidP="005C3A80">
      <w:pPr>
        <w:spacing w:line="276" w:lineRule="auto"/>
        <w:ind w:firstLine="720"/>
        <w:jc w:val="both"/>
      </w:pPr>
      <w:r w:rsidRPr="00A17E9C">
        <w:t>[6.2]</w:t>
      </w:r>
      <w:r w:rsidR="004020E3" w:rsidRPr="00A17E9C">
        <w:t> </w:t>
      </w:r>
      <w:r w:rsidR="005C3A80">
        <w:t>[Pers. A]</w:t>
      </w:r>
      <w:r w:rsidR="004020E3" w:rsidRPr="00A17E9C">
        <w:t xml:space="preserve"> inkriminētā noziedzīgā nodarījuma kvalifikācija </w:t>
      </w:r>
      <w:r w:rsidR="00B459F9" w:rsidRPr="00A17E9C">
        <w:t xml:space="preserve">pēc Krimināllikuma 15. panta ceturtās daļas un 117. panta 6. punkta </w:t>
      </w:r>
      <w:r w:rsidR="004020E3" w:rsidRPr="00A17E9C">
        <w:t>neatbilst noziedzīgā nodarījuma aprakstam.</w:t>
      </w:r>
    </w:p>
    <w:p w14:paraId="73ADC8A1" w14:textId="1355F61B" w:rsidR="00A36FE8" w:rsidRPr="00A17E9C" w:rsidRDefault="005C3A80" w:rsidP="00F56494">
      <w:pPr>
        <w:spacing w:line="276" w:lineRule="auto"/>
        <w:ind w:firstLine="720"/>
        <w:jc w:val="both"/>
      </w:pPr>
      <w:r>
        <w:t>[Pers. A]</w:t>
      </w:r>
      <w:r w:rsidR="00A36FE8" w:rsidRPr="00A17E9C">
        <w:t xml:space="preserve"> inkriminēt</w:t>
      </w:r>
      <w:r w:rsidR="003F2A37" w:rsidRPr="00A17E9C">
        <w:t>s</w:t>
      </w:r>
      <w:r w:rsidR="00A36FE8" w:rsidRPr="00A17E9C">
        <w:t xml:space="preserve"> slepkavības mēģinājum</w:t>
      </w:r>
      <w:r w:rsidR="003F2A37" w:rsidRPr="00A17E9C">
        <w:t xml:space="preserve">s, kas nav izdarīts līdz galam no viņa gribas neatkarīgu iemeslu dēļ, savukārt no apsūdzības nav saprotams, </w:t>
      </w:r>
      <w:r w:rsidR="002C5292" w:rsidRPr="00A17E9C">
        <w:t>kādas konkrētas darbības apsūdzētais</w:t>
      </w:r>
      <w:r w:rsidR="00F15EF6" w:rsidRPr="00A17E9C">
        <w:t xml:space="preserve"> </w:t>
      </w:r>
      <w:r w:rsidR="002C5292" w:rsidRPr="00A17E9C">
        <w:t>ir pārtraucis īstenot no savas gribas neatkarīgu iemeslu dēļ</w:t>
      </w:r>
      <w:r w:rsidR="00F15EF6" w:rsidRPr="00A17E9C">
        <w:t xml:space="preserve"> – laupīšanu vai slepkavību</w:t>
      </w:r>
      <w:r w:rsidR="002C5292" w:rsidRPr="00A17E9C">
        <w:t>.</w:t>
      </w:r>
    </w:p>
    <w:p w14:paraId="05BEC130" w14:textId="4F9C964C" w:rsidR="00644392" w:rsidRPr="00A17E9C" w:rsidRDefault="00644392" w:rsidP="00644392">
      <w:pPr>
        <w:spacing w:line="276" w:lineRule="auto"/>
        <w:ind w:firstLine="720"/>
        <w:jc w:val="both"/>
      </w:pPr>
      <w:r w:rsidRPr="00A17E9C">
        <w:lastRenderedPageBreak/>
        <w:t xml:space="preserve">[6.3] Lietā nav pierādīta </w:t>
      </w:r>
      <w:r w:rsidR="005C3A80">
        <w:t>[pers. A]</w:t>
      </w:r>
      <w:r w:rsidRPr="00A17E9C">
        <w:t xml:space="preserve"> inkriminētā noziedzīgā nodarījuma </w:t>
      </w:r>
      <w:r w:rsidR="003D6F29">
        <w:t xml:space="preserve">sastāva </w:t>
      </w:r>
      <w:r w:rsidRPr="00A17E9C">
        <w:t>subjektīvā puse – proti, apsūdzētā nodoms noslepkavot cietušo.</w:t>
      </w:r>
    </w:p>
    <w:p w14:paraId="739E0E33" w14:textId="7E1664FC" w:rsidR="00F15EF6" w:rsidRPr="00A17E9C" w:rsidRDefault="00F15EF6" w:rsidP="005C3A80">
      <w:pPr>
        <w:spacing w:line="276" w:lineRule="auto"/>
        <w:ind w:firstLine="720"/>
        <w:jc w:val="both"/>
      </w:pPr>
      <w:r w:rsidRPr="00A17E9C">
        <w:t xml:space="preserve">Apelācijas instances tiesa </w:t>
      </w:r>
      <w:r w:rsidR="00F544AB" w:rsidRPr="00A17E9C">
        <w:t>atzinusi</w:t>
      </w:r>
      <w:r w:rsidRPr="00A17E9C">
        <w:t xml:space="preserve">, ka </w:t>
      </w:r>
      <w:r w:rsidR="005C3A80">
        <w:t>[pers. A]</w:t>
      </w:r>
      <w:r w:rsidR="002578E1" w:rsidRPr="00A17E9C">
        <w:t xml:space="preserve"> inkriminēto noziedzīgo nodarījumu </w:t>
      </w:r>
      <w:r w:rsidR="00F544AB" w:rsidRPr="00A17E9C">
        <w:t xml:space="preserve">izdarījis </w:t>
      </w:r>
      <w:r w:rsidR="002578E1" w:rsidRPr="00A17E9C">
        <w:t>ar tiešu nodomu</w:t>
      </w:r>
      <w:r w:rsidR="001031E7" w:rsidRPr="00A17E9C">
        <w:t>, tomēr p</w:t>
      </w:r>
      <w:r w:rsidR="00AD7E8D" w:rsidRPr="00A17E9C">
        <w:t>retēji Krimināllikuma 9.</w:t>
      </w:r>
      <w:r w:rsidR="001031E7" w:rsidRPr="00A17E9C">
        <w:t> </w:t>
      </w:r>
      <w:r w:rsidR="00AD7E8D" w:rsidRPr="00A17E9C">
        <w:t>pant</w:t>
      </w:r>
      <w:r w:rsidR="001031E7" w:rsidRPr="00A17E9C">
        <w:t xml:space="preserve">ā noteiktajam nav konkretizējusi, kādas </w:t>
      </w:r>
      <w:r w:rsidR="00930810" w:rsidRPr="00A17E9C">
        <w:t xml:space="preserve">apsūdzētā </w:t>
      </w:r>
      <w:r w:rsidR="001031E7" w:rsidRPr="00A17E9C">
        <w:t xml:space="preserve">darbības </w:t>
      </w:r>
      <w:r w:rsidR="00930810" w:rsidRPr="00A17E9C">
        <w:t>norāda uz nodomu</w:t>
      </w:r>
      <w:r w:rsidR="00F544AB" w:rsidRPr="00A17E9C">
        <w:t xml:space="preserve"> izdarīt </w:t>
      </w:r>
      <w:r w:rsidR="005C3A80">
        <w:t>[pers. B]</w:t>
      </w:r>
      <w:r w:rsidR="00F544AB" w:rsidRPr="00A17E9C">
        <w:t xml:space="preserve"> slepkavību, kā arī </w:t>
      </w:r>
      <w:r w:rsidR="00644392" w:rsidRPr="00A17E9C">
        <w:t>nav norādījusi pierādījumus, kas apstiprina tieš</w:t>
      </w:r>
      <w:r w:rsidR="005239B2">
        <w:t>u</w:t>
      </w:r>
      <w:r w:rsidR="00644392" w:rsidRPr="00A17E9C">
        <w:t xml:space="preserve"> nodomu un motīvus cietušās nonāvēšanai</w:t>
      </w:r>
      <w:r w:rsidR="00930810" w:rsidRPr="00A17E9C">
        <w:t>.</w:t>
      </w:r>
    </w:p>
    <w:p w14:paraId="1A731212" w14:textId="1A8D4F20" w:rsidR="005B7E9B" w:rsidRPr="00A17E9C" w:rsidRDefault="00644392" w:rsidP="005C3A80">
      <w:pPr>
        <w:spacing w:line="276" w:lineRule="auto"/>
        <w:ind w:firstLine="720"/>
        <w:jc w:val="both"/>
      </w:pPr>
      <w:r w:rsidRPr="00A17E9C">
        <w:t xml:space="preserve">Tiesa nav </w:t>
      </w:r>
      <w:r w:rsidR="00691BBF" w:rsidRPr="00A17E9C">
        <w:t>vērtējusi</w:t>
      </w:r>
      <w:r w:rsidRPr="00A17E9C">
        <w:t xml:space="preserve"> apsūdzētā </w:t>
      </w:r>
      <w:r w:rsidR="005C3A80">
        <w:t>[pers. A]</w:t>
      </w:r>
      <w:r w:rsidRPr="00A17E9C">
        <w:t xml:space="preserve"> liecības, ka sitis cietušajai dusmās par to, ka viņa kliedz, </w:t>
      </w:r>
      <w:r w:rsidR="00691BBF" w:rsidRPr="00A17E9C">
        <w:t xml:space="preserve">jo </w:t>
      </w:r>
      <w:r w:rsidRPr="00A17E9C">
        <w:t xml:space="preserve">kāds varēja sadzirdēt kliedzienus un iztraucēt </w:t>
      </w:r>
      <w:r w:rsidR="005C3A80">
        <w:t>[pers. A]</w:t>
      </w:r>
      <w:r w:rsidRPr="00A17E9C">
        <w:t xml:space="preserve"> īstenot viņa nodomu nolaupīt mantu. Sišanu pārtraucis, kad cietusī </w:t>
      </w:r>
      <w:r w:rsidR="005C3A80">
        <w:t>[pers. B]</w:t>
      </w:r>
      <w:r w:rsidR="007E3688" w:rsidRPr="00A17E9C">
        <w:t xml:space="preserve"> </w:t>
      </w:r>
      <w:r w:rsidRPr="00A17E9C">
        <w:t xml:space="preserve">pārstājusi kliegt, </w:t>
      </w:r>
      <w:r w:rsidR="00691BBF" w:rsidRPr="00A17E9C">
        <w:t xml:space="preserve">nav </w:t>
      </w:r>
      <w:r w:rsidRPr="00A17E9C">
        <w:t>bij</w:t>
      </w:r>
      <w:r w:rsidR="00691BBF" w:rsidRPr="00A17E9C">
        <w:t>is</w:t>
      </w:r>
      <w:r w:rsidRPr="00A17E9C">
        <w:t xml:space="preserve"> apstākļu, kas traucētu viņam noslepkavot cietušo, t</w:t>
      </w:r>
      <w:r w:rsidR="00691BBF" w:rsidRPr="00A17E9C">
        <w:t>urklāt</w:t>
      </w:r>
      <w:r w:rsidRPr="00A17E9C">
        <w:t xml:space="preserve"> šāda nodoma viņam nebija. </w:t>
      </w:r>
      <w:r w:rsidR="00691BBF" w:rsidRPr="00A17E9C">
        <w:t xml:space="preserve">Tiesa nav ņēmusi vērā arī to, ka cietusī </w:t>
      </w:r>
      <w:r w:rsidR="005C3A80">
        <w:t>[pers. B]</w:t>
      </w:r>
      <w:r w:rsidR="005B7E9B" w:rsidRPr="00A17E9C">
        <w:t xml:space="preserve"> arī nav liecinājusi, ka </w:t>
      </w:r>
      <w:r w:rsidR="005C3A80">
        <w:t>[pers. A]</w:t>
      </w:r>
      <w:r w:rsidR="005B7E9B" w:rsidRPr="00A17E9C">
        <w:t xml:space="preserve"> būtu draudējis viņu noslepkavot.</w:t>
      </w:r>
    </w:p>
    <w:p w14:paraId="584E03CE" w14:textId="65601E86" w:rsidR="008E377E" w:rsidRPr="00A17E9C" w:rsidRDefault="00C74458" w:rsidP="008E377E">
      <w:pPr>
        <w:spacing w:line="276" w:lineRule="auto"/>
        <w:ind w:firstLine="720"/>
        <w:jc w:val="both"/>
      </w:pPr>
      <w:r w:rsidRPr="00A17E9C">
        <w:t xml:space="preserve">Slepkavības mēģinājumu var izdarīt tikai ar tiešu nodomu, līdz ar to </w:t>
      </w:r>
      <w:r w:rsidR="005C3A80">
        <w:t>[pers. A]</w:t>
      </w:r>
      <w:r w:rsidRPr="00A17E9C">
        <w:t xml:space="preserve"> jāatbild tikai par faktiski nodarītajiem miesas bojājumiem. Tādējādi viņa nodarījums kvalificējams pēc Krimināllikuma 176.</w:t>
      </w:r>
      <w:r w:rsidR="00CB436A" w:rsidRPr="00A17E9C">
        <w:t> </w:t>
      </w:r>
      <w:r w:rsidRPr="00A17E9C">
        <w:t>panta ceturtās daļas.</w:t>
      </w:r>
    </w:p>
    <w:p w14:paraId="27D5E5A7" w14:textId="77777777" w:rsidR="009B59BE" w:rsidRPr="00A17E9C" w:rsidRDefault="009B59BE" w:rsidP="00CB62F2">
      <w:pPr>
        <w:spacing w:line="276" w:lineRule="auto"/>
        <w:ind w:firstLine="709"/>
        <w:jc w:val="both"/>
      </w:pPr>
    </w:p>
    <w:p w14:paraId="65B8AF74" w14:textId="77777777" w:rsidR="001D5FD4" w:rsidRPr="00A17E9C" w:rsidRDefault="001D5FD4" w:rsidP="00CB62F2">
      <w:pPr>
        <w:spacing w:line="276" w:lineRule="auto"/>
        <w:jc w:val="center"/>
      </w:pPr>
      <w:r w:rsidRPr="00A17E9C">
        <w:rPr>
          <w:b/>
        </w:rPr>
        <w:t>Motīvu daļa</w:t>
      </w:r>
    </w:p>
    <w:p w14:paraId="792FE6CE" w14:textId="77777777" w:rsidR="001D5FD4" w:rsidRPr="00A17E9C" w:rsidRDefault="001D5FD4" w:rsidP="00CB62F2">
      <w:pPr>
        <w:spacing w:line="276" w:lineRule="auto"/>
        <w:ind w:firstLine="709"/>
        <w:jc w:val="both"/>
        <w:rPr>
          <w:color w:val="000000" w:themeColor="text1"/>
        </w:rPr>
      </w:pPr>
    </w:p>
    <w:p w14:paraId="50B8F3D4" w14:textId="6073EFE6" w:rsidR="00CB62F2" w:rsidRPr="00A17E9C" w:rsidRDefault="001D5FD4" w:rsidP="0027410C">
      <w:pPr>
        <w:spacing w:line="276" w:lineRule="auto"/>
        <w:ind w:firstLine="709"/>
        <w:jc w:val="both"/>
      </w:pPr>
      <w:r w:rsidRPr="00A17E9C">
        <w:t>[</w:t>
      </w:r>
      <w:r w:rsidR="00BD7BD2" w:rsidRPr="00A17E9C">
        <w:t>7</w:t>
      </w:r>
      <w:r w:rsidRPr="00A17E9C">
        <w:t>] </w:t>
      </w:r>
      <w:r w:rsidR="00CB62F2" w:rsidRPr="00A17E9C">
        <w:t>Senāt</w:t>
      </w:r>
      <w:r w:rsidR="00B47F0F" w:rsidRPr="00A17E9C">
        <w:t>s atzīst, ka kasācijas instances tiesas</w:t>
      </w:r>
      <w:r w:rsidR="00CB62F2" w:rsidRPr="00A17E9C">
        <w:t xml:space="preserve"> kompetencē ir </w:t>
      </w:r>
      <w:r w:rsidR="00B47F0F" w:rsidRPr="00A17E9C">
        <w:t>sniegt atbildi</w:t>
      </w:r>
      <w:r w:rsidR="00CB62F2" w:rsidRPr="00A17E9C">
        <w:t>, vai apelācijas instances tiesa</w:t>
      </w:r>
      <w:r w:rsidR="004D54AF" w:rsidRPr="00A17E9C">
        <w:t xml:space="preserve"> pareizi piemērojusi</w:t>
      </w:r>
      <w:r w:rsidR="00CB62F2" w:rsidRPr="00A17E9C">
        <w:t xml:space="preserve"> Krimināllikuma 15. panta </w:t>
      </w:r>
      <w:r w:rsidR="004D54AF" w:rsidRPr="00A17E9C">
        <w:t xml:space="preserve">ceturto </w:t>
      </w:r>
      <w:r w:rsidR="00CB62F2" w:rsidRPr="00A17E9C">
        <w:t>daļ</w:t>
      </w:r>
      <w:r w:rsidR="004D54AF" w:rsidRPr="00A17E9C">
        <w:t>u</w:t>
      </w:r>
      <w:r w:rsidR="00CB62F2" w:rsidRPr="00A17E9C">
        <w:t xml:space="preserve"> un 117. panta 6. punkt</w:t>
      </w:r>
      <w:r w:rsidR="004D54AF" w:rsidRPr="00A17E9C">
        <w:t xml:space="preserve">u, kvalificējot apsūdzētā </w:t>
      </w:r>
      <w:r w:rsidR="005C3A80">
        <w:t>[pers. A]</w:t>
      </w:r>
      <w:r w:rsidR="004D54AF" w:rsidRPr="00A17E9C">
        <w:t xml:space="preserve"> izdarīto</w:t>
      </w:r>
      <w:r w:rsidR="00CB62F2" w:rsidRPr="00A17E9C">
        <w:t xml:space="preserve"> </w:t>
      </w:r>
      <w:r w:rsidR="002D5CFE" w:rsidRPr="00A17E9C">
        <w:t>noziedzīgo nodarījumu</w:t>
      </w:r>
      <w:r w:rsidR="00CB62F2" w:rsidRPr="00A17E9C">
        <w:t>.</w:t>
      </w:r>
    </w:p>
    <w:p w14:paraId="626EE238" w14:textId="77777777" w:rsidR="00CB62F2" w:rsidRPr="00A17E9C" w:rsidRDefault="00CB62F2" w:rsidP="00CB62F2">
      <w:pPr>
        <w:spacing w:line="276" w:lineRule="auto"/>
        <w:ind w:firstLine="720"/>
        <w:jc w:val="both"/>
      </w:pPr>
    </w:p>
    <w:p w14:paraId="7499D3FC" w14:textId="781CFEE5" w:rsidR="00CB62F2" w:rsidRPr="00A17E9C" w:rsidRDefault="00CB62F2" w:rsidP="00CB62F2">
      <w:pPr>
        <w:spacing w:line="276" w:lineRule="auto"/>
        <w:ind w:firstLine="720"/>
        <w:jc w:val="both"/>
      </w:pPr>
      <w:r w:rsidRPr="00A17E9C">
        <w:t>[</w:t>
      </w:r>
      <w:r w:rsidR="00653440" w:rsidRPr="00A17E9C">
        <w:t>8</w:t>
      </w:r>
      <w:r w:rsidRPr="00A17E9C">
        <w:t>]</w:t>
      </w:r>
      <w:r w:rsidR="00653440" w:rsidRPr="00A17E9C">
        <w:t> </w:t>
      </w:r>
      <w:r w:rsidRPr="00A17E9C">
        <w:t>Krimināllikuma 1. panta pirmā daļa noteic, ka pie kriminālatbildības saucama un sodāma tikai tāda persona, kura ir vainīga noziedzīga nodarījuma izdarīšanā, tas ir, kura ar nodomu (tīši) vai aiz neuzmanības izdarījusi šajā likumā paredzētu nodarījumu, kam ir visas noziedzīga nodarījuma sastāva pazīmes.</w:t>
      </w:r>
    </w:p>
    <w:p w14:paraId="4C666E32" w14:textId="77777777" w:rsidR="00CB62F2" w:rsidRPr="00A17E9C" w:rsidRDefault="00CB62F2" w:rsidP="00CB62F2">
      <w:pPr>
        <w:spacing w:line="276" w:lineRule="auto"/>
        <w:ind w:firstLine="720"/>
        <w:jc w:val="both"/>
      </w:pPr>
      <w:r w:rsidRPr="00A17E9C">
        <w:t>Kriminālprocesa likuma 527. panta pirmā daļa paredz, ka notiesājoša sprieduma aprakstošajā daļā sniedz pierādītā noziedzīgā nodarījuma aprakstu un juridisko kvalifikāciju, minot tā izdarīšanas laiku, vietu, izdarīšanas veidu, apsūdzētā vainas formu, motīvus un šā nodarījuma sekas.</w:t>
      </w:r>
    </w:p>
    <w:p w14:paraId="109E538D" w14:textId="74EF807C" w:rsidR="00CB62F2" w:rsidRPr="00A17E9C" w:rsidRDefault="00CB62F2" w:rsidP="00CB62F2">
      <w:pPr>
        <w:spacing w:line="276" w:lineRule="auto"/>
        <w:ind w:firstLine="720"/>
        <w:jc w:val="both"/>
      </w:pPr>
      <w:r w:rsidRPr="00A17E9C">
        <w:t>Judikatūrā jau ir pausta atziņa, ka noziedzīga nodarījuma apraksts ir notiesājoša sprieduma būtiska sastāvdaļa, kas atspoguļo tiesas atzinumu par to, kādu noziedzīgu nodarījumu apsūdzētais ir izdarījis (</w:t>
      </w:r>
      <w:r w:rsidRPr="00A17E9C">
        <w:rPr>
          <w:i/>
          <w:iCs/>
        </w:rPr>
        <w:t xml:space="preserve">Senāta 2022. gada 14. decembra lēmuma lietā Nr. SKK-321/2022, </w:t>
      </w:r>
      <w:hyperlink r:id="rId7" w:history="1">
        <w:r w:rsidRPr="00A17E9C">
          <w:rPr>
            <w:rStyle w:val="Hyperlink"/>
            <w:i/>
            <w:iCs/>
          </w:rPr>
          <w:t>ECLI:LV:AT:2022:1214.11370047918.8.L</w:t>
        </w:r>
      </w:hyperlink>
      <w:r w:rsidRPr="00A17E9C">
        <w:rPr>
          <w:i/>
          <w:iCs/>
        </w:rPr>
        <w:t>, 10. punkts, 2014. gada 22. decembra lēmums lietā Nr. </w:t>
      </w:r>
      <w:hyperlink r:id="rId8" w:history="1">
        <w:r w:rsidRPr="00A17E9C">
          <w:rPr>
            <w:rStyle w:val="Hyperlink"/>
            <w:i/>
            <w:iCs/>
          </w:rPr>
          <w:t>SKK-725/2014</w:t>
        </w:r>
      </w:hyperlink>
      <w:r w:rsidRPr="00A17E9C">
        <w:rPr>
          <w:i/>
          <w:iCs/>
        </w:rPr>
        <w:t>,</w:t>
      </w:r>
      <w:r w:rsidR="00483218">
        <w:rPr>
          <w:i/>
          <w:iCs/>
        </w:rPr>
        <w:t xml:space="preserve"> </w:t>
      </w:r>
      <w:r w:rsidRPr="00A17E9C">
        <w:rPr>
          <w:i/>
          <w:iCs/>
        </w:rPr>
        <w:t>11353027110</w:t>
      </w:r>
      <w:r w:rsidRPr="00A17E9C">
        <w:t>). Turklāt Senāts jau ir atzinis, ka Krimināllikuma panta dispozīcijas pārrakstīšana nenosaka konkrētā noziedzīgā nodarījuma juridisko kvalifikāciju, to nosaka lietā konstatētie noziedzīgā nodarījuma faktiskie apstākļi (</w:t>
      </w:r>
      <w:r w:rsidRPr="00A17E9C">
        <w:rPr>
          <w:i/>
          <w:iCs/>
        </w:rPr>
        <w:t>Senāta 2017. gada 6. janvāra lēmuma lietā Nr. </w:t>
      </w:r>
      <w:hyperlink r:id="rId9" w:history="1">
        <w:r w:rsidRPr="00A17E9C">
          <w:rPr>
            <w:rStyle w:val="Hyperlink"/>
            <w:i/>
            <w:iCs/>
          </w:rPr>
          <w:t>SKK</w:t>
        </w:r>
        <w:r w:rsidRPr="00A17E9C">
          <w:rPr>
            <w:rStyle w:val="Hyperlink"/>
            <w:i/>
            <w:iCs/>
          </w:rPr>
          <w:noBreakHyphen/>
          <w:t>4/2017</w:t>
        </w:r>
      </w:hyperlink>
      <w:r w:rsidRPr="00A17E9C">
        <w:rPr>
          <w:i/>
          <w:iCs/>
        </w:rPr>
        <w:t>, 11181143214, 8. punkts, 2016. gada 21. janvāra lēmums lietā Nr. SKK-55/2016, 11250030514</w:t>
      </w:r>
      <w:r w:rsidRPr="00A17E9C">
        <w:t>).</w:t>
      </w:r>
    </w:p>
    <w:p w14:paraId="24F80478" w14:textId="77777777" w:rsidR="00CB62F2" w:rsidRPr="00A17E9C" w:rsidRDefault="00CB62F2" w:rsidP="00CB62F2">
      <w:pPr>
        <w:spacing w:line="276" w:lineRule="auto"/>
        <w:ind w:firstLine="720"/>
        <w:jc w:val="both"/>
      </w:pPr>
      <w:r w:rsidRPr="00A17E9C">
        <w:t>Noziedzīga nodarījuma kvalifikācija ir pilnīgas atbilstības konstatēšana starp nodarījuma faktiskajām pazīmēm un Krimināllikuma normā (pantā, panta daļā, punktā) paredzētā noziedzīgā nodarījuma sastāva pazīmēm (</w:t>
      </w:r>
      <w:r w:rsidRPr="00A17E9C">
        <w:rPr>
          <w:i/>
          <w:iCs/>
        </w:rPr>
        <w:t>Krastiņš U. Noziedzīga nodarījuma sastāvs un nodarījuma kvalifikācija. Teorētiskie aspekti. Rīga: Tiesu namu aģentūra, 2014, 46.–47. lpp.</w:t>
      </w:r>
      <w:r w:rsidRPr="00A17E9C">
        <w:t>).</w:t>
      </w:r>
    </w:p>
    <w:p w14:paraId="297C3587" w14:textId="2DCC280E" w:rsidR="00C570E5" w:rsidRPr="00A17E9C" w:rsidRDefault="00C570E5" w:rsidP="00C570E5">
      <w:pPr>
        <w:spacing w:line="276" w:lineRule="auto"/>
        <w:ind w:firstLine="720"/>
        <w:jc w:val="both"/>
      </w:pPr>
      <w:r w:rsidRPr="00A17E9C">
        <w:lastRenderedPageBreak/>
        <w:t>Ja cietušā nāve nav iestājusies, bet konstatēts, ka vainīgajam bijis nodoms to noslepkavot, taču tas nav izdarīts līdz galam no vainīgā gribas neatkarīgu iemeslu dēļ, nodarījums kvalificējams saskaņā ar Krimināllikuma 15. panta ceturto daļu un 117. panta 6. punktu (</w:t>
      </w:r>
      <w:proofErr w:type="spellStart"/>
      <w:r w:rsidRPr="00A17E9C">
        <w:rPr>
          <w:i/>
          <w:iCs/>
        </w:rPr>
        <w:t>Liholaja</w:t>
      </w:r>
      <w:proofErr w:type="spellEnd"/>
      <w:r w:rsidRPr="00A17E9C">
        <w:rPr>
          <w:i/>
          <w:iCs/>
        </w:rPr>
        <w:t xml:space="preserve"> V. 117. panta komentārs. </w:t>
      </w:r>
      <w:proofErr w:type="spellStart"/>
      <w:r w:rsidRPr="00A17E9C">
        <w:rPr>
          <w:i/>
          <w:iCs/>
        </w:rPr>
        <w:t>Grām</w:t>
      </w:r>
      <w:proofErr w:type="spellEnd"/>
      <w:r w:rsidRPr="00A17E9C">
        <w:rPr>
          <w:i/>
          <w:iCs/>
        </w:rPr>
        <w:t xml:space="preserve">.: Krimināllikuma komentāri. Otrā daļa (IX-XVII nodaļa). Otrais papildinātais izdevums. Krastiņš U., </w:t>
      </w:r>
      <w:proofErr w:type="spellStart"/>
      <w:r w:rsidRPr="00A17E9C">
        <w:rPr>
          <w:i/>
          <w:iCs/>
        </w:rPr>
        <w:t>Liholaja</w:t>
      </w:r>
      <w:proofErr w:type="spellEnd"/>
      <w:r w:rsidRPr="00A17E9C">
        <w:rPr>
          <w:i/>
          <w:iCs/>
        </w:rPr>
        <w:t> V. Rīga: Tiesu namu aģentūra, 2018, 253.</w:t>
      </w:r>
      <w:r w:rsidRPr="00A17E9C">
        <w:t>–</w:t>
      </w:r>
      <w:r w:rsidRPr="00A17E9C">
        <w:rPr>
          <w:i/>
          <w:iCs/>
        </w:rPr>
        <w:t>254. lpp.</w:t>
      </w:r>
      <w:r w:rsidRPr="00A17E9C">
        <w:t>).</w:t>
      </w:r>
    </w:p>
    <w:p w14:paraId="59D02491" w14:textId="03FFA89C" w:rsidR="00CB62F2" w:rsidRPr="00A17E9C" w:rsidRDefault="00CB62F2" w:rsidP="00CB62F2">
      <w:pPr>
        <w:spacing w:line="276" w:lineRule="auto"/>
        <w:ind w:firstLine="720"/>
        <w:jc w:val="both"/>
      </w:pPr>
      <w:r w:rsidRPr="00A17E9C">
        <w:t>Tiesību doktrīnā ir atzīts, ka nepabeigts noziegums iespējams vienīgi nodarījumos, kurus izdara ar tiešu nodomu (</w:t>
      </w:r>
      <w:r w:rsidRPr="00A17E9C">
        <w:rPr>
          <w:i/>
          <w:iCs/>
        </w:rPr>
        <w:t xml:space="preserve">Krastiņš U. 15. panta komentārs. </w:t>
      </w:r>
      <w:proofErr w:type="spellStart"/>
      <w:r w:rsidRPr="00A17E9C">
        <w:rPr>
          <w:i/>
          <w:iCs/>
        </w:rPr>
        <w:t>Grām</w:t>
      </w:r>
      <w:proofErr w:type="spellEnd"/>
      <w:r w:rsidRPr="00A17E9C">
        <w:rPr>
          <w:i/>
          <w:iCs/>
        </w:rPr>
        <w:t>.: Krimināllikuma komentāri. Pirmā daļa (I</w:t>
      </w:r>
      <w:r w:rsidRPr="00A17E9C">
        <w:rPr>
          <w:i/>
          <w:iCs/>
        </w:rPr>
        <w:noBreakHyphen/>
        <w:t>VIII</w:t>
      </w:r>
      <w:r w:rsidRPr="00A17E9C">
        <w:rPr>
          <w:i/>
          <w:iCs/>
          <w:vertAlign w:val="superscript"/>
        </w:rPr>
        <w:t>2</w:t>
      </w:r>
      <w:r w:rsidRPr="00A17E9C">
        <w:rPr>
          <w:i/>
          <w:iCs/>
        </w:rPr>
        <w:t xml:space="preserve"> nodaļa). Trešais papildinātais izdevums. Krastiņš U., </w:t>
      </w:r>
      <w:proofErr w:type="spellStart"/>
      <w:r w:rsidRPr="00A17E9C">
        <w:rPr>
          <w:i/>
          <w:iCs/>
        </w:rPr>
        <w:t>Liholaja</w:t>
      </w:r>
      <w:proofErr w:type="spellEnd"/>
      <w:r w:rsidRPr="00A17E9C">
        <w:rPr>
          <w:i/>
          <w:iCs/>
        </w:rPr>
        <w:t> V. Rīga: Tiesu namu aģentūra, 2021, 88. lpp.</w:t>
      </w:r>
      <w:r w:rsidRPr="00A17E9C">
        <w:t>). Materiālo nodarījumu sastāvos nodoma saturā ietilpst arī kaitīgo seku paredzēšana un vēlēšanās sasniegt noziedzīgo rezultātu (</w:t>
      </w:r>
      <w:r w:rsidRPr="00A17E9C">
        <w:rPr>
          <w:i/>
          <w:iCs/>
        </w:rPr>
        <w:t>turpat, 92. lpp.</w:t>
      </w:r>
      <w:r w:rsidRPr="00A17E9C">
        <w:t>).</w:t>
      </w:r>
    </w:p>
    <w:p w14:paraId="0BACC97F" w14:textId="390AC24E" w:rsidR="009733D4" w:rsidRPr="00A17E9C" w:rsidRDefault="009733D4" w:rsidP="009733D4">
      <w:pPr>
        <w:spacing w:line="276" w:lineRule="auto"/>
        <w:ind w:firstLine="720"/>
        <w:jc w:val="both"/>
      </w:pPr>
      <w:r w:rsidRPr="00A17E9C">
        <w:t>Krimināllikuma 9. panta otrā daļa paredz, ka noziedzīgs nodarījums atzīstams par izdarītu ar tiešu nodomu, ja persona apzinājusies savas darbības vai bezdarbības kaitīgumu un to apzināti veikusi vai pieļāvusi</w:t>
      </w:r>
      <w:r w:rsidR="003D6F29">
        <w:t>,</w:t>
      </w:r>
      <w:r w:rsidRPr="00A17E9C">
        <w:t xml:space="preserve"> vai arī apzinājusies savas darbības vai bezdarbības kaitīgumu, paredzējusi nodarījuma kaitīgās sekas un vēlējusies to iestāšanos.</w:t>
      </w:r>
    </w:p>
    <w:p w14:paraId="1F08FD75" w14:textId="77777777" w:rsidR="00DD2618" w:rsidRPr="00A17E9C" w:rsidRDefault="00DD2618" w:rsidP="00CB62F2">
      <w:pPr>
        <w:spacing w:line="276" w:lineRule="auto"/>
        <w:ind w:firstLine="720"/>
        <w:jc w:val="both"/>
      </w:pPr>
    </w:p>
    <w:p w14:paraId="512E01C6" w14:textId="72721404" w:rsidR="00CB62F2" w:rsidRPr="00A17E9C" w:rsidRDefault="00CB62F2" w:rsidP="00CB62F2">
      <w:pPr>
        <w:spacing w:line="276" w:lineRule="auto"/>
        <w:ind w:firstLine="720"/>
        <w:jc w:val="both"/>
      </w:pPr>
      <w:r w:rsidRPr="00A17E9C">
        <w:t>[</w:t>
      </w:r>
      <w:r w:rsidR="00DD2618" w:rsidRPr="00A17E9C">
        <w:t>9</w:t>
      </w:r>
      <w:r w:rsidRPr="00A17E9C">
        <w:t>]</w:t>
      </w:r>
      <w:r w:rsidR="009E39F2" w:rsidRPr="00A17E9C">
        <w:t> </w:t>
      </w:r>
      <w:r w:rsidRPr="00A17E9C">
        <w:t>Senāts konstatē, ka pirmās instances tiesas spriedumā</w:t>
      </w:r>
      <w:r w:rsidR="005239B2">
        <w:t xml:space="preserve"> </w:t>
      </w:r>
      <w:r w:rsidRPr="00A17E9C">
        <w:t>par pierādītu atzītā noziedzīgā nodarījuma aprakstā ietvertās norādes uz nodomu neatbilst tieša</w:t>
      </w:r>
      <w:r w:rsidR="00E222EF" w:rsidRPr="00A17E9C">
        <w:t>jam</w:t>
      </w:r>
      <w:r w:rsidRPr="00A17E9C">
        <w:t xml:space="preserve"> nodoma</w:t>
      </w:r>
      <w:r w:rsidR="00E222EF" w:rsidRPr="00A17E9C">
        <w:t xml:space="preserve">m </w:t>
      </w:r>
      <w:r w:rsidRPr="00A17E9C">
        <w:t>Krimināllikuma 9. panta otrās daļas izpratnē.</w:t>
      </w:r>
    </w:p>
    <w:p w14:paraId="6D06DECC" w14:textId="262EA492" w:rsidR="00CB62F2" w:rsidRPr="00A17E9C" w:rsidRDefault="00CB62F2" w:rsidP="00CB62F2">
      <w:pPr>
        <w:spacing w:line="276" w:lineRule="auto"/>
        <w:ind w:firstLine="720"/>
        <w:jc w:val="both"/>
      </w:pPr>
      <w:r w:rsidRPr="00A17E9C">
        <w:t xml:space="preserve">Pirmās instances tiesa atzina apsūdzēto </w:t>
      </w:r>
      <w:r w:rsidR="005C3A80">
        <w:t>[pers. A]</w:t>
      </w:r>
      <w:r w:rsidRPr="00A17E9C">
        <w:t xml:space="preserve"> par vainīgu citas personas tīšas prettiesiskas nonāvēšanas (slepkavības), kas saistīta ar laupīšanu, mēģinājumā.</w:t>
      </w:r>
    </w:p>
    <w:p w14:paraId="3B9E1818" w14:textId="1AAA175C" w:rsidR="00CB62F2" w:rsidRPr="00A17E9C" w:rsidRDefault="00CB62F2" w:rsidP="005C3A80">
      <w:pPr>
        <w:spacing w:line="276" w:lineRule="auto"/>
        <w:ind w:firstLine="720"/>
        <w:jc w:val="both"/>
      </w:pPr>
      <w:r w:rsidRPr="00A17E9C">
        <w:t xml:space="preserve">Pirmās instances tiesas spriedumā sniegtajā </w:t>
      </w:r>
      <w:r w:rsidR="00F70CFA" w:rsidRPr="00A17E9C">
        <w:t>pierādītā</w:t>
      </w:r>
      <w:r w:rsidRPr="00A17E9C">
        <w:t xml:space="preserve"> noziedzīgā nodarījuma aprakstā norādīts, ka </w:t>
      </w:r>
      <w:r w:rsidR="005C3A80">
        <w:t>[pers. A]</w:t>
      </w:r>
      <w:r w:rsidRPr="00A17E9C">
        <w:t xml:space="preserve">, mantkārīgu </w:t>
      </w:r>
      <w:r w:rsidR="0058336F" w:rsidRPr="00A17E9C">
        <w:t>tieksmju</w:t>
      </w:r>
      <w:r w:rsidRPr="00A17E9C">
        <w:t xml:space="preserve"> vadīts, nolēma aplaupīt SIA „</w:t>
      </w:r>
      <w:r w:rsidR="005C3A80">
        <w:t>[Nosaukums]</w:t>
      </w:r>
      <w:r w:rsidRPr="00A17E9C">
        <w:t>” veikalu „</w:t>
      </w:r>
      <w:r w:rsidR="005C3A80">
        <w:t>[Nosaukums]</w:t>
      </w:r>
      <w:r w:rsidRPr="00A17E9C">
        <w:t xml:space="preserve">” </w:t>
      </w:r>
      <w:r w:rsidR="005C3A80">
        <w:t>[adrese]</w:t>
      </w:r>
      <w:r w:rsidRPr="00A17E9C">
        <w:t xml:space="preserve">. Sava noziedzīgā nodoma īstenošanai </w:t>
      </w:r>
      <w:r w:rsidR="005C3A80">
        <w:t>[pers. A]</w:t>
      </w:r>
      <w:r w:rsidRPr="00A17E9C">
        <w:t xml:space="preserve"> 2019. gada 19. jūnijā ap plkst. 15.30 iegāja veikalā „</w:t>
      </w:r>
      <w:r w:rsidR="005C3A80">
        <w:t>[Nosaukums]</w:t>
      </w:r>
      <w:r w:rsidRPr="00A17E9C">
        <w:t xml:space="preserve">”, piegāja pie veikala pārdevējas </w:t>
      </w:r>
      <w:r w:rsidR="005C3A80">
        <w:t>[pers. B]</w:t>
      </w:r>
      <w:r w:rsidRPr="00A17E9C">
        <w:t xml:space="preserve"> un vismaz sešas reizes ar dūrēm iesita viņai pa vēderu, cietusī nokrita uz grīdas. Turpinot savas noziedzīgās darbības, lai paralizētu cietušās gribu pretoties mantas nolaupīšanai, </w:t>
      </w:r>
      <w:r w:rsidR="005C3A80">
        <w:t>[pers. A]</w:t>
      </w:r>
      <w:r w:rsidRPr="00A17E9C">
        <w:t xml:space="preserve"> turpināja pielietot pret </w:t>
      </w:r>
      <w:r w:rsidR="005C3A80">
        <w:t>[pers. B]</w:t>
      </w:r>
      <w:r w:rsidRPr="00A17E9C">
        <w:t xml:space="preserve"> vardarbību – ar savu ķermeni piespieda cietušo pie grīdas, neļaujot viņai piecelties, un nepārtraukti sita cietušajai ar dūrēm pa vēderu. </w:t>
      </w:r>
      <w:r w:rsidR="005C3A80">
        <w:t>[Pers. A]</w:t>
      </w:r>
      <w:r w:rsidRPr="00A17E9C">
        <w:t xml:space="preserve"> norāva </w:t>
      </w:r>
      <w:r w:rsidR="005C3A80">
        <w:t>[pers. B]</w:t>
      </w:r>
      <w:r w:rsidRPr="00A17E9C">
        <w:t xml:space="preserve"> no kakla zelta ķēdīti un pieprasīja atdot veikala atslēgas. </w:t>
      </w:r>
      <w:r w:rsidR="005C3A80">
        <w:t>[Pers. B]</w:t>
      </w:r>
      <w:r w:rsidRPr="00A17E9C">
        <w:t xml:space="preserve"> pretojās </w:t>
      </w:r>
      <w:r w:rsidR="005C3A80">
        <w:t>[pers. A]</w:t>
      </w:r>
      <w:r w:rsidRPr="00A17E9C">
        <w:t xml:space="preserve">, nedeva veikala atslēgas, centās izrauties, nospieda trauksmes pogu, kliedza un sauca pēc palīdzības. </w:t>
      </w:r>
      <w:r w:rsidR="005C3A80">
        <w:t>[Pers. A]</w:t>
      </w:r>
      <w:r w:rsidRPr="00A17E9C">
        <w:t xml:space="preserve">, cietušās pretošanās un kliegšanas iespaidā izraisītu dusmu vadīts, lai apklusinātu </w:t>
      </w:r>
      <w:r w:rsidR="005C3A80">
        <w:t>[pers. B]</w:t>
      </w:r>
      <w:r w:rsidRPr="00A17E9C">
        <w:t xml:space="preserve"> un pārvarētu cietušās pretošanos laupīšanas turpināšanai, paredzot savu darbību kaitīgās sekas, tajā skaitā nāves iestāšanās iespējamību, un</w:t>
      </w:r>
      <w:r w:rsidR="003D6F29">
        <w:t>,</w:t>
      </w:r>
      <w:r w:rsidRPr="00A17E9C">
        <w:t xml:space="preserve"> apzināti pieļaujot to iestāšanos, ar abām rokām cieši satvēra </w:t>
      </w:r>
      <w:r w:rsidR="005C3A80">
        <w:t>[pers. B]</w:t>
      </w:r>
      <w:r w:rsidRPr="00A17E9C">
        <w:t xml:space="preserve"> aiz kakla un sāka žņaugt. Redzot, ka netiek galā ar </w:t>
      </w:r>
      <w:r w:rsidR="005C3A80">
        <w:t>[pers. B]</w:t>
      </w:r>
      <w:r w:rsidRPr="00A17E9C">
        <w:t xml:space="preserve"> izrādīto aktīvo pretošanos, </w:t>
      </w:r>
      <w:r w:rsidR="005C3A80">
        <w:t>[pers. A]</w:t>
      </w:r>
      <w:r w:rsidRPr="00A17E9C">
        <w:t xml:space="preserve">, cieši turot </w:t>
      </w:r>
      <w:r w:rsidR="005C3A80">
        <w:t>[pers. B]</w:t>
      </w:r>
      <w:r w:rsidRPr="00A17E9C">
        <w:t xml:space="preserve"> aiz kakla, aizvilka viņu uz veikala palīgtelpu, lai garāmgājēji uz ielas nesadzirdētu cietušās kliedzienus un nepamanītu veikalā notiekošo. Turpinot savas noziedzīgās darbības, </w:t>
      </w:r>
      <w:r w:rsidR="005C3A80">
        <w:t>[pers. A]</w:t>
      </w:r>
      <w:r w:rsidRPr="00A17E9C">
        <w:t xml:space="preserve"> palīgtelpā turpināja žņaugt </w:t>
      </w:r>
      <w:r w:rsidR="005C3A80">
        <w:t>[pers. B]</w:t>
      </w:r>
      <w:r w:rsidRPr="00A17E9C">
        <w:t xml:space="preserve">. Būdams saniknots par cietušās pretošanos un par to, ka neizdodas atrast veikala atslēgas, </w:t>
      </w:r>
      <w:r w:rsidR="005C3A80">
        <w:t>[pers. A]</w:t>
      </w:r>
      <w:r w:rsidRPr="00A17E9C">
        <w:t xml:space="preserve"> vismaz 50</w:t>
      </w:r>
      <w:r w:rsidR="001611A0" w:rsidRPr="00A17E9C">
        <w:t> </w:t>
      </w:r>
      <w:r w:rsidRPr="00A17E9C">
        <w:t xml:space="preserve">reizes sita un spēra </w:t>
      </w:r>
      <w:r w:rsidR="005C3A80">
        <w:t>[pers. B]</w:t>
      </w:r>
      <w:r w:rsidRPr="00A17E9C">
        <w:t xml:space="preserve"> pa seju, vēderu un muguru. Pēc tam </w:t>
      </w:r>
      <w:r w:rsidR="005C3A80">
        <w:t>[pers. A]</w:t>
      </w:r>
      <w:r w:rsidRPr="00A17E9C">
        <w:t xml:space="preserve"> devās uz veikala tirdzniecības zāli, salasīja uz grīdas nokritušo preci, pārbaudīja ieejas durvis</w:t>
      </w:r>
      <w:r w:rsidR="0007777B" w:rsidRPr="00A17E9C">
        <w:t>,</w:t>
      </w:r>
      <w:r w:rsidRPr="00A17E9C">
        <w:t xml:space="preserve"> atgriezās atpakaļ veikala palīgtelpā</w:t>
      </w:r>
      <w:r w:rsidR="0007777B" w:rsidRPr="00A17E9C">
        <w:t xml:space="preserve"> un</w:t>
      </w:r>
      <w:r w:rsidRPr="00A17E9C">
        <w:t xml:space="preserve"> vēl vismaz piecas minūtes nepārtraukti žņaudza </w:t>
      </w:r>
      <w:r w:rsidR="005C3A80">
        <w:t>[pers. B]</w:t>
      </w:r>
      <w:r w:rsidRPr="00A17E9C">
        <w:t>.</w:t>
      </w:r>
    </w:p>
    <w:p w14:paraId="3B0F1E6C" w14:textId="6CC0E798" w:rsidR="00CB62F2" w:rsidRPr="00A17E9C" w:rsidRDefault="00CB62F2" w:rsidP="005C3A80">
      <w:pPr>
        <w:spacing w:line="276" w:lineRule="auto"/>
        <w:ind w:firstLine="720"/>
        <w:jc w:val="both"/>
      </w:pPr>
      <w:r w:rsidRPr="00A17E9C">
        <w:lastRenderedPageBreak/>
        <w:t xml:space="preserve">Kad </w:t>
      </w:r>
      <w:r w:rsidR="005C3A80">
        <w:t>[pers. B]</w:t>
      </w:r>
      <w:r w:rsidRPr="00A17E9C">
        <w:t xml:space="preserve"> zaudēja samaņu un apklusa, </w:t>
      </w:r>
      <w:r w:rsidR="005C3A80">
        <w:t>[pers. A]</w:t>
      </w:r>
      <w:r w:rsidRPr="00A17E9C">
        <w:t xml:space="preserve"> ielika </w:t>
      </w:r>
      <w:proofErr w:type="spellStart"/>
      <w:r w:rsidRPr="00A17E9C">
        <w:t>līdzpaņemtajā</w:t>
      </w:r>
      <w:proofErr w:type="spellEnd"/>
      <w:r w:rsidRPr="00A17E9C">
        <w:t xml:space="preserve"> somā apsūdzībā konkrēti uzskaitītās SIA „</w:t>
      </w:r>
      <w:r w:rsidR="005C3A80">
        <w:t>[Nosaukums]</w:t>
      </w:r>
      <w:r w:rsidRPr="00A17E9C">
        <w:t xml:space="preserve">” un </w:t>
      </w:r>
      <w:r w:rsidR="005C3A80">
        <w:t>[pers. B]</w:t>
      </w:r>
      <w:r w:rsidRPr="00A17E9C">
        <w:t xml:space="preserve"> piederošās mantas. Pamanījis, ka pie veikala piebrauca apsardzes uzņēmuma automašīna, </w:t>
      </w:r>
      <w:r w:rsidR="005C3A80">
        <w:t>[pers. A]</w:t>
      </w:r>
      <w:r w:rsidRPr="00A17E9C">
        <w:t xml:space="preserve"> no savas gribas neatkarīgu iemeslu dēļ pārtrauca īstenot savu noziedzīgo nodomu līdz galam, paņēma somu ar nolaupītajām mantām un aizbēga no noziedzīgā nodarījuma izdarīšanas vietas.</w:t>
      </w:r>
    </w:p>
    <w:p w14:paraId="4E0ED692" w14:textId="2BAACAF4" w:rsidR="00CB62F2" w:rsidRPr="00A17E9C" w:rsidRDefault="00CB62F2" w:rsidP="005C3A80">
      <w:pPr>
        <w:spacing w:line="276" w:lineRule="auto"/>
        <w:ind w:firstLine="720"/>
        <w:jc w:val="both"/>
      </w:pPr>
      <w:r w:rsidRPr="00A17E9C">
        <w:t xml:space="preserve">Pirmās instances tiesa atzinusi, ka tādējādi </w:t>
      </w:r>
      <w:r w:rsidR="005C3A80">
        <w:t>[pers. A]</w:t>
      </w:r>
      <w:r w:rsidRPr="00A17E9C">
        <w:t>, pielietojot vardarbību, nolaupīja SIA „</w:t>
      </w:r>
      <w:r w:rsidR="005C3A80">
        <w:t>[Nosaukums]</w:t>
      </w:r>
      <w:r w:rsidRPr="00A17E9C">
        <w:t xml:space="preserve">” un </w:t>
      </w:r>
      <w:r w:rsidR="005C3A80">
        <w:t>[pers. B]</w:t>
      </w:r>
      <w:r w:rsidRPr="00A17E9C">
        <w:t xml:space="preserve"> piederošās mantas, kā arī nodarīja </w:t>
      </w:r>
      <w:r w:rsidR="005C3A80">
        <w:t>[pers. B]</w:t>
      </w:r>
      <w:r w:rsidRPr="00A17E9C">
        <w:t xml:space="preserve"> smagus miesas bojājumus, kas bīstami dzīvībai. </w:t>
      </w:r>
      <w:r w:rsidR="005C3A80">
        <w:t>[Pers. A]</w:t>
      </w:r>
      <w:r w:rsidRPr="00A17E9C">
        <w:t xml:space="preserve"> nodarījumu tiesa kvalificējusi pēc Krimināllikuma 15. panta ceturtās daļas un 117. panta 6. punkta.</w:t>
      </w:r>
    </w:p>
    <w:p w14:paraId="2A4A87DE" w14:textId="70C6D003" w:rsidR="00CB62F2" w:rsidRPr="00A17E9C" w:rsidRDefault="00CB62F2" w:rsidP="00E544A6">
      <w:pPr>
        <w:spacing w:line="276" w:lineRule="auto"/>
        <w:ind w:firstLine="720"/>
        <w:jc w:val="both"/>
      </w:pPr>
      <w:r w:rsidRPr="00A17E9C">
        <w:t xml:space="preserve">No noziedzīgā nodarījuma apraksta secināms, ka pirmās instances tiesa atzinusi par pierādītu, ka </w:t>
      </w:r>
      <w:r w:rsidR="00E544A6">
        <w:t>[pers. A]</w:t>
      </w:r>
      <w:r w:rsidRPr="00A17E9C">
        <w:t xml:space="preserve"> bija nodoms aplaupīt SIA „</w:t>
      </w:r>
      <w:r w:rsidR="00E544A6">
        <w:t>[Nosaukums]</w:t>
      </w:r>
      <w:r w:rsidRPr="00A17E9C">
        <w:t xml:space="preserve">” veikalu un šī noziedzīgā nodoma īstenošanai </w:t>
      </w:r>
      <w:r w:rsidR="00E544A6">
        <w:t>[pers. A]</w:t>
      </w:r>
      <w:r w:rsidRPr="00A17E9C">
        <w:t xml:space="preserve"> pielietoja vardarbību pret veikala pārdevēju </w:t>
      </w:r>
      <w:r w:rsidR="00E544A6">
        <w:t>[pers. B]</w:t>
      </w:r>
      <w:r w:rsidRPr="00A17E9C">
        <w:t xml:space="preserve"> – spieda cietušo ar savu ķermeni pie grīdas, neļāva piecelties, sita, spēra un žņaudza viņu. </w:t>
      </w:r>
      <w:r w:rsidR="00E544A6">
        <w:t>[Pers. A]</w:t>
      </w:r>
      <w:r w:rsidRPr="00A17E9C">
        <w:t xml:space="preserve"> pielietoja vardarbību, lai paralizētu </w:t>
      </w:r>
      <w:r w:rsidR="00E544A6">
        <w:t>[pers. B]</w:t>
      </w:r>
      <w:r w:rsidRPr="00A17E9C">
        <w:t xml:space="preserve"> gribu pretoties mantas nolaupīšanai, apklusinātu viņu un pārvarētu cietušās pretošanos laupīšanas turpināšanai. Pirmās instances tiesa atzinusi, ka tādējādi </w:t>
      </w:r>
      <w:r w:rsidR="00E544A6">
        <w:t>[pers. A]</w:t>
      </w:r>
      <w:r w:rsidRPr="00A17E9C">
        <w:t>, pielietojot vardarbību, nolaupīja SIA „</w:t>
      </w:r>
      <w:r w:rsidR="00E544A6">
        <w:t>[Nosaukums]</w:t>
      </w:r>
      <w:r w:rsidRPr="00A17E9C">
        <w:t xml:space="preserve">” un </w:t>
      </w:r>
      <w:r w:rsidR="00E544A6">
        <w:t>[pers. B]</w:t>
      </w:r>
      <w:r w:rsidRPr="00A17E9C">
        <w:t xml:space="preserve"> piederošās mantas, kā arī nodarīja </w:t>
      </w:r>
      <w:r w:rsidR="00E544A6">
        <w:t>[pers. B]</w:t>
      </w:r>
      <w:r w:rsidRPr="00A17E9C">
        <w:t xml:space="preserve"> smagus, dzīvībai bīstamus miesas bojājumus.</w:t>
      </w:r>
    </w:p>
    <w:p w14:paraId="1CA1CCBA" w14:textId="366DBB27" w:rsidR="004827BB" w:rsidRPr="00A17E9C" w:rsidRDefault="00CB62F2" w:rsidP="004827BB">
      <w:pPr>
        <w:spacing w:line="276" w:lineRule="auto"/>
        <w:ind w:firstLine="720"/>
        <w:jc w:val="both"/>
      </w:pPr>
      <w:r w:rsidRPr="00A17E9C">
        <w:t>Senāts konstatē, ka pirmās instances tiesas pierādīt</w:t>
      </w:r>
      <w:r w:rsidR="00F70CFA" w:rsidRPr="00A17E9C">
        <w:t>ajā</w:t>
      </w:r>
      <w:r w:rsidRPr="00A17E9C">
        <w:t xml:space="preserve"> noziedzīgā nodarījuma aprakstā </w:t>
      </w:r>
      <w:r w:rsidR="004827BB" w:rsidRPr="00A17E9C">
        <w:t xml:space="preserve">norādīts, ka pēc vardarbības pret cietušo pēdējās darbības, kuras </w:t>
      </w:r>
      <w:r w:rsidR="00E544A6">
        <w:t>[pers. A]</w:t>
      </w:r>
      <w:r w:rsidR="004827BB" w:rsidRPr="00A17E9C">
        <w:t xml:space="preserve"> veica pirms apsardzes ierašanās, bija nolaupīto mantu ievietošana līdzpaņemtajā somā. </w:t>
      </w:r>
      <w:r w:rsidR="00E544A6">
        <w:t>[Pers. A]</w:t>
      </w:r>
      <w:r w:rsidR="004827BB" w:rsidRPr="00A17E9C">
        <w:t xml:space="preserve">, pamanījis, ka pie veikala piebraukusi apsardzes uzņēmuma automašīna, no savas gribas neatkarīgu iemeslu dēļ pārtrauca īstenot savu noziedzīgo nodarījumu līdz galam, paņēma somu ar nolaupītajām mantām un aizbēga no noziedzīgā nodarījuma izdarīšanas vietas. Lai arī noziedzīgā nodarījuma aprakstā ir norādīts, ka </w:t>
      </w:r>
      <w:r w:rsidR="00E544A6">
        <w:t>[pers. A]</w:t>
      </w:r>
      <w:r w:rsidR="004827BB" w:rsidRPr="00A17E9C">
        <w:t xml:space="preserve"> ir paredzējis savu darbību,</w:t>
      </w:r>
      <w:r w:rsidR="00C02823" w:rsidRPr="00A17E9C">
        <w:t xml:space="preserve"> </w:t>
      </w:r>
      <w:r w:rsidR="004827BB" w:rsidRPr="00A17E9C">
        <w:t xml:space="preserve">tas ir, vardarbības – sišanas, speršanas un žņaugšanas – kaitīgās sekas </w:t>
      </w:r>
      <w:r w:rsidR="001139A5" w:rsidRPr="00A17E9C">
        <w:t>(</w:t>
      </w:r>
      <w:r w:rsidR="00E544A6">
        <w:t>[pers. B]</w:t>
      </w:r>
      <w:r w:rsidR="004827BB" w:rsidRPr="00A17E9C">
        <w:t xml:space="preserve"> nāves iestāšanās iespējamību</w:t>
      </w:r>
      <w:r w:rsidR="001139A5" w:rsidRPr="00A17E9C">
        <w:t>)</w:t>
      </w:r>
      <w:r w:rsidR="004827BB" w:rsidRPr="00A17E9C">
        <w:t xml:space="preserve">, tomēr tiesa nav atzinusi, ka </w:t>
      </w:r>
      <w:r w:rsidR="00E544A6">
        <w:t>[pers. A]</w:t>
      </w:r>
      <w:r w:rsidR="004827BB" w:rsidRPr="00A17E9C">
        <w:t xml:space="preserve"> būtu vēlējies šo kaitīgo seku iestāšanos.</w:t>
      </w:r>
    </w:p>
    <w:p w14:paraId="67B2F8D2" w14:textId="67F9444D" w:rsidR="004827BB" w:rsidRPr="00A17E9C" w:rsidRDefault="004827BB" w:rsidP="004827BB">
      <w:pPr>
        <w:spacing w:line="276" w:lineRule="auto"/>
        <w:ind w:firstLine="720"/>
        <w:jc w:val="both"/>
      </w:pPr>
      <w:r w:rsidRPr="00A17E9C">
        <w:t xml:space="preserve">Senāts konstatē, ka nodarījuma aprakstā </w:t>
      </w:r>
      <w:r w:rsidR="00CB62F2" w:rsidRPr="00A17E9C">
        <w:t>nav norādīts</w:t>
      </w:r>
      <w:r w:rsidR="003B3869" w:rsidRPr="00A17E9C">
        <w:t xml:space="preserve"> uz apstākļiem</w:t>
      </w:r>
      <w:r w:rsidR="00CB62F2" w:rsidRPr="00A17E9C">
        <w:t>, ka</w:t>
      </w:r>
      <w:r w:rsidR="003B3869" w:rsidRPr="00A17E9C">
        <w:t>s būtu par pamatu konstatēt</w:t>
      </w:r>
      <w:r w:rsidR="00CB62F2" w:rsidRPr="00A17E9C">
        <w:t xml:space="preserve"> </w:t>
      </w:r>
      <w:r w:rsidR="00E544A6">
        <w:t>[pers. A]</w:t>
      </w:r>
      <w:r w:rsidR="00CB62F2" w:rsidRPr="00A17E9C">
        <w:t xml:space="preserve"> tieš</w:t>
      </w:r>
      <w:r w:rsidR="003B3869" w:rsidRPr="00A17E9C">
        <w:t>o</w:t>
      </w:r>
      <w:r w:rsidR="00CB62F2" w:rsidRPr="00A17E9C">
        <w:t xml:space="preserve"> nodom</w:t>
      </w:r>
      <w:r w:rsidR="003B3869" w:rsidRPr="00A17E9C">
        <w:t>u</w:t>
      </w:r>
      <w:r w:rsidR="00CB62F2" w:rsidRPr="00A17E9C">
        <w:t xml:space="preserve"> noslepkavot </w:t>
      </w:r>
      <w:r w:rsidR="00E544A6">
        <w:t>[pers. B]</w:t>
      </w:r>
      <w:r w:rsidR="006A5EEE" w:rsidRPr="00A17E9C">
        <w:t>,</w:t>
      </w:r>
      <w:r w:rsidR="003B3869" w:rsidRPr="00A17E9C">
        <w:t xml:space="preserve"> un kādu no apsūdzētā gribas neatkarīgu iemeslu dēļ viņš pārtrauc</w:t>
      </w:r>
      <w:r w:rsidR="00140BC2" w:rsidRPr="00A17E9C">
        <w:t>a</w:t>
      </w:r>
      <w:r w:rsidR="003B3869" w:rsidRPr="00A17E9C">
        <w:t xml:space="preserve"> īstenot nodomu par cietušās noslepkavošanu.</w:t>
      </w:r>
    </w:p>
    <w:p w14:paraId="700BC730" w14:textId="5F57F9B5" w:rsidR="00CB62F2" w:rsidRPr="00A17E9C" w:rsidRDefault="00145E9C" w:rsidP="006A5EEE">
      <w:pPr>
        <w:spacing w:line="276" w:lineRule="auto"/>
        <w:ind w:firstLine="720"/>
        <w:jc w:val="both"/>
      </w:pPr>
      <w:r w:rsidRPr="00A17E9C">
        <w:t>Savukārt norāde n</w:t>
      </w:r>
      <w:r w:rsidR="00CB62F2" w:rsidRPr="00A17E9C">
        <w:t xml:space="preserve">oziedzīgā nodarījuma aprakstā, ka </w:t>
      </w:r>
      <w:r w:rsidR="00E544A6">
        <w:t>[pers. A]</w:t>
      </w:r>
      <w:r w:rsidR="00CB62F2" w:rsidRPr="00A17E9C">
        <w:t xml:space="preserve"> apzināti pieļāva kaitīgo seku iestāšanos, neatbilst Krimināllikuma 9. panta otrajā daļā norādītajam tiešā nodoma jēdzienam.</w:t>
      </w:r>
    </w:p>
    <w:p w14:paraId="2ED44200" w14:textId="77777777" w:rsidR="00BC55AC" w:rsidRDefault="00CB62F2" w:rsidP="00BC55AC">
      <w:pPr>
        <w:spacing w:line="276" w:lineRule="auto"/>
        <w:ind w:firstLine="720"/>
        <w:jc w:val="both"/>
      </w:pPr>
      <w:r w:rsidRPr="00A17E9C">
        <w:t xml:space="preserve">Tādējādi </w:t>
      </w:r>
      <w:r w:rsidR="00D84F13" w:rsidRPr="00A17E9C">
        <w:t xml:space="preserve">Senāts atzīst, ka </w:t>
      </w:r>
      <w:r w:rsidRPr="00A17E9C">
        <w:t>pirmās instances tiesas spriedumā sniegtais par pierādītu atzītais noziedzīgā nodarījuma apraksts neatbilst noziedzīgā nodarījuma kvalifikācijai pēc Krimināllikuma 15. panta ceturtās daļas un 117. panta 6. punkta.</w:t>
      </w:r>
    </w:p>
    <w:p w14:paraId="0E10D50C" w14:textId="77777777" w:rsidR="00BC55AC" w:rsidRDefault="00BC55AC" w:rsidP="00BC55AC">
      <w:pPr>
        <w:spacing w:line="276" w:lineRule="auto"/>
        <w:ind w:firstLine="720"/>
        <w:jc w:val="both"/>
      </w:pPr>
    </w:p>
    <w:p w14:paraId="106AC543" w14:textId="58586580" w:rsidR="00CB62F2" w:rsidRPr="00A17E9C" w:rsidRDefault="00CB62F2" w:rsidP="00BC55AC">
      <w:pPr>
        <w:spacing w:line="276" w:lineRule="auto"/>
        <w:ind w:firstLine="720"/>
        <w:jc w:val="both"/>
      </w:pPr>
      <w:r w:rsidRPr="00A17E9C">
        <w:t>[</w:t>
      </w:r>
      <w:r w:rsidR="002766B0" w:rsidRPr="00A17E9C">
        <w:t>10</w:t>
      </w:r>
      <w:r w:rsidRPr="00A17E9C">
        <w:t>]</w:t>
      </w:r>
      <w:r w:rsidR="002766B0" w:rsidRPr="00A17E9C">
        <w:t> </w:t>
      </w:r>
      <w:r w:rsidRPr="00A17E9C">
        <w:t xml:space="preserve">Apelācijas instances tiesa, atstājot negrozītu pirmās instances tiesas notiesājošo spriedumu, atzinusi, ka apsūdzētā </w:t>
      </w:r>
      <w:r w:rsidR="00E544A6">
        <w:t>[pers. A]</w:t>
      </w:r>
      <w:r w:rsidRPr="00A17E9C">
        <w:t xml:space="preserve"> darbības pareizi kvalificētas pēc Krimināllikuma 15. panta ceturtās daļas un 117. panta 6. punkta un nav pamata nodarījumu</w:t>
      </w:r>
      <w:r w:rsidR="005239B2">
        <w:t xml:space="preserve"> </w:t>
      </w:r>
      <w:r w:rsidR="005239B2" w:rsidRPr="00A17E9C">
        <w:t>pārkvalificēt</w:t>
      </w:r>
      <w:r w:rsidRPr="00A17E9C">
        <w:t xml:space="preserve"> pēc Krimināllikuma 176. panta ceturtās daļas.</w:t>
      </w:r>
    </w:p>
    <w:p w14:paraId="0737FD47" w14:textId="571F2F1E" w:rsidR="00CB62F2" w:rsidRPr="00A17E9C" w:rsidRDefault="00CB62F2" w:rsidP="00E544A6">
      <w:pPr>
        <w:spacing w:line="276" w:lineRule="auto"/>
        <w:ind w:firstLine="720"/>
        <w:jc w:val="both"/>
      </w:pPr>
      <w:r w:rsidRPr="00A17E9C">
        <w:t>Senāts konstatē, ka apelācijas instances tiesa atzinusi par pamatotu pirmās instances tiesas spriedumā sniegto pierādīt</w:t>
      </w:r>
      <w:r w:rsidR="00D84F13" w:rsidRPr="00A17E9C">
        <w:t>ā</w:t>
      </w:r>
      <w:r w:rsidRPr="00A17E9C">
        <w:t xml:space="preserve"> noziedzīgā nodarījuma aprakstu, kurā nav norādīts, ka 1) </w:t>
      </w:r>
      <w:r w:rsidR="00E544A6">
        <w:t>[pers. A]</w:t>
      </w:r>
      <w:r w:rsidRPr="00A17E9C">
        <w:t xml:space="preserve"> bija tiešs nodoms noslepkavot </w:t>
      </w:r>
      <w:r w:rsidR="00E544A6">
        <w:t>[pers. B]</w:t>
      </w:r>
      <w:r w:rsidR="005239B2">
        <w:t>,</w:t>
      </w:r>
      <w:r w:rsidRPr="00A17E9C">
        <w:t xml:space="preserve"> 2) </w:t>
      </w:r>
      <w:r w:rsidR="00E544A6">
        <w:t>[pers. A]</w:t>
      </w:r>
      <w:r w:rsidRPr="00A17E9C">
        <w:t xml:space="preserve"> ir vēlējies </w:t>
      </w:r>
      <w:r w:rsidR="00E544A6">
        <w:lastRenderedPageBreak/>
        <w:t>[pers. B]</w:t>
      </w:r>
      <w:r w:rsidRPr="00A17E9C">
        <w:t xml:space="preserve"> nāves iestāšanos</w:t>
      </w:r>
      <w:r w:rsidR="005239B2">
        <w:t>,</w:t>
      </w:r>
      <w:r w:rsidRPr="00A17E9C">
        <w:t xml:space="preserve"> 3) </w:t>
      </w:r>
      <w:r w:rsidR="00E544A6">
        <w:t>[pers. A]</w:t>
      </w:r>
      <w:r w:rsidRPr="00A17E9C">
        <w:t xml:space="preserve"> no savas gribas neatkarīgu iemeslu dēļ bija pārtraucis aktīvas darbības, vērstas uz cietušās </w:t>
      </w:r>
      <w:r w:rsidR="00E544A6">
        <w:t>[pers. B]</w:t>
      </w:r>
      <w:r w:rsidRPr="00A17E9C">
        <w:t xml:space="preserve"> noslepkavošanu. Ievērojot minēto, apelācijas instances tiesas atzinums par apsūdzētā </w:t>
      </w:r>
      <w:r w:rsidR="00E544A6">
        <w:t>[pers. A]</w:t>
      </w:r>
      <w:r w:rsidRPr="00A17E9C">
        <w:t xml:space="preserve"> izdarītā noziedzīgā nodarījuma kvalifikāciju pēc Krimināllikuma 15. panta ceturtās daļas un 117. panta 6. punkta nav pamatots.</w:t>
      </w:r>
    </w:p>
    <w:p w14:paraId="09FC521B" w14:textId="27ED3491" w:rsidR="00CB62F2" w:rsidRPr="00A17E9C" w:rsidRDefault="00CB62F2" w:rsidP="00CB62F2">
      <w:pPr>
        <w:spacing w:line="276" w:lineRule="auto"/>
        <w:ind w:firstLine="720"/>
        <w:jc w:val="both"/>
      </w:pPr>
      <w:r w:rsidRPr="00A17E9C">
        <w:t>Ņemot vērā iepriekš izklāstīto, Senāts konstatē Kriminālprocesa likuma 574. panta 2. punktā norādīto pārkāpumu</w:t>
      </w:r>
      <w:r w:rsidR="00D84F13" w:rsidRPr="00A17E9C">
        <w:t>,</w:t>
      </w:r>
      <w:r w:rsidRPr="00A17E9C">
        <w:t xml:space="preserve"> proti, Krimināllikuma norm</w:t>
      </w:r>
      <w:r w:rsidR="007C28B0" w:rsidRPr="00A17E9C">
        <w:t>u</w:t>
      </w:r>
      <w:r w:rsidRPr="00A17E9C">
        <w:t xml:space="preserve"> nepareiz</w:t>
      </w:r>
      <w:r w:rsidR="00D8452C" w:rsidRPr="00A17E9C">
        <w:t>u</w:t>
      </w:r>
      <w:r w:rsidRPr="00A17E9C">
        <w:t xml:space="preserve"> piemērošanu, </w:t>
      </w:r>
      <w:r w:rsidR="008E3D49" w:rsidRPr="00A17E9C">
        <w:t>kvalificējot</w:t>
      </w:r>
      <w:r w:rsidRPr="00A17E9C">
        <w:t xml:space="preserve"> </w:t>
      </w:r>
      <w:r w:rsidR="008E3D49" w:rsidRPr="00A17E9C">
        <w:t>noziedzīgu nodarījumu</w:t>
      </w:r>
      <w:r w:rsidRPr="00A17E9C">
        <w:t xml:space="preserve"> pēc Krimināllikuma 15. panta ceturtās daļas un 117. panta 6. punkta.</w:t>
      </w:r>
    </w:p>
    <w:p w14:paraId="6145CA36" w14:textId="77777777" w:rsidR="00CC2FF5" w:rsidRPr="00A17E9C" w:rsidRDefault="00CC2FF5" w:rsidP="00CB62F2">
      <w:pPr>
        <w:spacing w:line="276" w:lineRule="auto"/>
        <w:ind w:firstLine="720"/>
        <w:jc w:val="both"/>
      </w:pPr>
    </w:p>
    <w:p w14:paraId="45D5B3BF" w14:textId="1E348E9A" w:rsidR="0076699B" w:rsidRPr="00A17E9C" w:rsidRDefault="0076699B" w:rsidP="0076699B">
      <w:pPr>
        <w:spacing w:line="276" w:lineRule="auto"/>
        <w:ind w:firstLine="720"/>
        <w:jc w:val="both"/>
      </w:pPr>
      <w:r w:rsidRPr="00A17E9C">
        <w:t>[11] Kriminālprocesa likuma 511. panta otrā daļa noteic, ka spriedumam jābūt tiesiskam un pamatotam. Savukārt šā likuma 512. panta pirmā daļa noteic, ka tiesa, taisot spriedumu, pamatojas uz materiālo un procesuālo tiesību normām. Norādītās prasības ir attiecināmas arī uz apelācijas instances tiesas nolēmumu.</w:t>
      </w:r>
    </w:p>
    <w:p w14:paraId="325D7151" w14:textId="77777777" w:rsidR="0076699B" w:rsidRPr="00A17E9C" w:rsidRDefault="0076699B" w:rsidP="0076699B">
      <w:pPr>
        <w:spacing w:line="276" w:lineRule="auto"/>
        <w:ind w:firstLine="720"/>
        <w:jc w:val="both"/>
      </w:pPr>
      <w:r w:rsidRPr="00A17E9C">
        <w:t>Apelācijas instances tiesas nolēmuma saturs noteikts Kriminālprocesa likuma 564. pantā.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5D0FC7A" w14:textId="77777777" w:rsidR="0076699B" w:rsidRPr="00A17E9C" w:rsidRDefault="0076699B" w:rsidP="0076699B">
      <w:pPr>
        <w:spacing w:line="276" w:lineRule="auto"/>
        <w:ind w:firstLine="720"/>
        <w:jc w:val="both"/>
      </w:pPr>
      <w:r w:rsidRPr="00A17E9C">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A17E9C">
        <w:rPr>
          <w:i/>
          <w:iCs/>
        </w:rPr>
        <w:t xml:space="preserve">Senāta 2017. gada 10. oktobra lēmums lietā Nr. SKK-532/2017, </w:t>
      </w:r>
      <w:hyperlink r:id="rId10" w:history="1">
        <w:r w:rsidRPr="00A17E9C">
          <w:rPr>
            <w:rStyle w:val="Hyperlink"/>
            <w:i/>
            <w:iCs/>
          </w:rPr>
          <w:t>ECLI:LV:AT:2017:1010.15830406610.1.L</w:t>
        </w:r>
      </w:hyperlink>
      <w:r w:rsidRPr="00A17E9C">
        <w:t>).</w:t>
      </w:r>
    </w:p>
    <w:p w14:paraId="36B2B7B2" w14:textId="0FD85D34" w:rsidR="00BE2973" w:rsidRPr="00A17E9C" w:rsidRDefault="00AF5628" w:rsidP="00035D03">
      <w:pPr>
        <w:spacing w:line="276" w:lineRule="auto"/>
        <w:ind w:firstLine="720"/>
        <w:jc w:val="both"/>
      </w:pPr>
      <w:r w:rsidRPr="00A17E9C">
        <w:t xml:space="preserve">Senāts </w:t>
      </w:r>
      <w:r w:rsidR="00A648DE" w:rsidRPr="00A17E9C">
        <w:t>konstatē</w:t>
      </w:r>
      <w:r w:rsidRPr="00A17E9C">
        <w:t xml:space="preserve">, ka, </w:t>
      </w:r>
      <w:r w:rsidR="00526642" w:rsidRPr="00A17E9C">
        <w:t>iztiesājot lietu sakar</w:t>
      </w:r>
      <w:r w:rsidR="00161314" w:rsidRPr="00A17E9C">
        <w:t xml:space="preserve">ā </w:t>
      </w:r>
      <w:r w:rsidR="00526642" w:rsidRPr="00A17E9C">
        <w:t xml:space="preserve">ar </w:t>
      </w:r>
      <w:r w:rsidR="00E544A6">
        <w:t>[pers. A]</w:t>
      </w:r>
      <w:r w:rsidR="00526642" w:rsidRPr="00A17E9C">
        <w:t xml:space="preserve"> apelācijas sūdzību, kurā apstrīdē</w:t>
      </w:r>
      <w:r w:rsidR="00161314" w:rsidRPr="00A17E9C">
        <w:t>t</w:t>
      </w:r>
      <w:r w:rsidR="00B34965" w:rsidRPr="00A17E9C">
        <w:t>a</w:t>
      </w:r>
      <w:r w:rsidR="00161314" w:rsidRPr="00A17E9C">
        <w:t xml:space="preserve"> subjektīvās puses esīb</w:t>
      </w:r>
      <w:r w:rsidR="00B34965" w:rsidRPr="00A17E9C">
        <w:t>a</w:t>
      </w:r>
      <w:r w:rsidR="00161314" w:rsidRPr="00A17E9C">
        <w:t xml:space="preserve"> viņam inkriminētajā nodarījumā un </w:t>
      </w:r>
      <w:r w:rsidR="00B34965" w:rsidRPr="00A17E9C">
        <w:t xml:space="preserve">norādīts uz </w:t>
      </w:r>
      <w:r w:rsidR="00161314" w:rsidRPr="00A17E9C">
        <w:t>inkriminētā noziedzīgā nodarījuma kvalifikācija</w:t>
      </w:r>
      <w:r w:rsidR="00564018" w:rsidRPr="00A17E9C">
        <w:t>s nepareizību</w:t>
      </w:r>
      <w:r w:rsidR="00161314" w:rsidRPr="00A17E9C">
        <w:t xml:space="preserve">, </w:t>
      </w:r>
      <w:r w:rsidR="00F87366" w:rsidRPr="00A17E9C">
        <w:t>apelācijas instances tiesa</w:t>
      </w:r>
      <w:r w:rsidR="00035D03" w:rsidRPr="00A17E9C">
        <w:t xml:space="preserve"> nepamatoti nav konstatējusi </w:t>
      </w:r>
      <w:r w:rsidR="00D56CD7" w:rsidRPr="00A17E9C">
        <w:t>pirmās instances tiesas pierādīt</w:t>
      </w:r>
      <w:r w:rsidR="00D84F13" w:rsidRPr="00A17E9C">
        <w:t>ā</w:t>
      </w:r>
      <w:r w:rsidR="00D56CD7" w:rsidRPr="00A17E9C">
        <w:t xml:space="preserve"> noziedzīgā nodarījuma aprakst</w:t>
      </w:r>
      <w:r w:rsidR="00F87366" w:rsidRPr="00A17E9C">
        <w:t>a</w:t>
      </w:r>
      <w:r w:rsidR="00D56CD7" w:rsidRPr="00A17E9C">
        <w:t xml:space="preserve"> </w:t>
      </w:r>
      <w:r w:rsidR="00F87366" w:rsidRPr="00A17E9C">
        <w:t>neatbilstību</w:t>
      </w:r>
      <w:r w:rsidR="00D56CD7" w:rsidRPr="00A17E9C">
        <w:t xml:space="preserve"> noziedzīgā nodarījuma kvalifikācijai pēc Krimināllikuma 15. panta ceturtās daļas un 117. panta 6. punkt</w:t>
      </w:r>
      <w:r w:rsidR="00575447" w:rsidRPr="00A17E9C">
        <w:t>a</w:t>
      </w:r>
      <w:r w:rsidR="00A648DE" w:rsidRPr="00A17E9C">
        <w:t xml:space="preserve"> un </w:t>
      </w:r>
      <w:r w:rsidR="00576892" w:rsidRPr="00A17E9C">
        <w:t>atstājusi negrozītu pirmās instances tiesas notiesājošo spriedumu</w:t>
      </w:r>
      <w:r w:rsidR="00575447" w:rsidRPr="00A17E9C">
        <w:t>.</w:t>
      </w:r>
    </w:p>
    <w:p w14:paraId="7E81C796" w14:textId="04091348" w:rsidR="00CB62F2" w:rsidRPr="00A17E9C" w:rsidRDefault="00BE2973" w:rsidP="00CB62F2">
      <w:pPr>
        <w:spacing w:line="276" w:lineRule="auto"/>
        <w:ind w:firstLine="720"/>
        <w:jc w:val="both"/>
      </w:pPr>
      <w:r w:rsidRPr="00A17E9C">
        <w:t>Senāts atzīst, ka t</w:t>
      </w:r>
      <w:r w:rsidR="00BA3067" w:rsidRPr="00A17E9C">
        <w:t>ādējādi apelācijas instances tiesa</w:t>
      </w:r>
      <w:r w:rsidR="00CB62F2" w:rsidRPr="00A17E9C">
        <w:t xml:space="preserve">, </w:t>
      </w:r>
      <w:r w:rsidR="00B01278" w:rsidRPr="00A17E9C">
        <w:t>iztiesājot lietu</w:t>
      </w:r>
      <w:r w:rsidR="00CB62F2" w:rsidRPr="00A17E9C">
        <w:t>, ir pieļāvusi Kriminālprocesa likuma 511. panta otrās daļas un 564. panta ceturtās daļas pārkāpumu</w:t>
      </w:r>
      <w:r w:rsidR="00BC55AC">
        <w:t>s</w:t>
      </w:r>
      <w:r w:rsidR="00CB62F2" w:rsidRPr="00A17E9C">
        <w:t>, kas atzīstam</w:t>
      </w:r>
      <w:r w:rsidR="00E41A80" w:rsidRPr="00A17E9C">
        <w:t>i</w:t>
      </w:r>
      <w:r w:rsidR="00CB62F2" w:rsidRPr="00A17E9C">
        <w:t xml:space="preserve"> par Kriminālprocesa likuma būtisk</w:t>
      </w:r>
      <w:r w:rsidR="00E41A80" w:rsidRPr="00A17E9C">
        <w:t>iem</w:t>
      </w:r>
      <w:r w:rsidR="00CB62F2" w:rsidRPr="00A17E9C">
        <w:t xml:space="preserve"> </w:t>
      </w:r>
      <w:r w:rsidR="00E41A80" w:rsidRPr="00A17E9C">
        <w:t xml:space="preserve">pārkāpumiem </w:t>
      </w:r>
      <w:r w:rsidR="00CB62F2" w:rsidRPr="00A17E9C">
        <w:t xml:space="preserve">šā likuma 575. panta trešās daļas izpratnē. Turklāt apelācijas instances tiesa, atstājot negrozītu </w:t>
      </w:r>
      <w:r w:rsidR="00E544A6">
        <w:t>[pers. A]</w:t>
      </w:r>
      <w:r w:rsidR="00CB62F2" w:rsidRPr="00A17E9C">
        <w:t xml:space="preserve"> inkriminētā noziedzīgā nodarījuma kvalifikāciju, nav novērsusi pirmās instances tiesas pieļauto Kriminālprocesa likuma 574. panta 2. punktā norādīto Krimināllikuma pārkāpumu. Norādītie pārkāpumi ir pamats </w:t>
      </w:r>
      <w:r w:rsidR="00BF7AB5" w:rsidRPr="00A17E9C">
        <w:t>Rīgas apgabaltiesas 2023. gada 18. aprīļa</w:t>
      </w:r>
      <w:r w:rsidR="00CB62F2" w:rsidRPr="00A17E9C">
        <w:t xml:space="preserve"> lēmuma atcelšanai un lietas nosūtīšanai jaunai izskatīšanai apelācijas instances tiesā.</w:t>
      </w:r>
    </w:p>
    <w:p w14:paraId="597B9703" w14:textId="77777777" w:rsidR="00ED0C59" w:rsidRPr="00A17E9C" w:rsidRDefault="00ED0C59" w:rsidP="00CB62F2">
      <w:pPr>
        <w:spacing w:line="276" w:lineRule="auto"/>
        <w:ind w:firstLine="720"/>
        <w:jc w:val="both"/>
      </w:pPr>
    </w:p>
    <w:p w14:paraId="7D636599" w14:textId="1164C77B" w:rsidR="003A3109" w:rsidRPr="00A17E9C" w:rsidRDefault="00B8554A" w:rsidP="00E544A6">
      <w:pPr>
        <w:spacing w:line="276" w:lineRule="auto"/>
        <w:ind w:firstLine="720"/>
        <w:jc w:val="both"/>
      </w:pPr>
      <w:r w:rsidRPr="00A17E9C">
        <w:lastRenderedPageBreak/>
        <w:t>[</w:t>
      </w:r>
      <w:r w:rsidR="007C6B8F" w:rsidRPr="00A17E9C">
        <w:t>12</w:t>
      </w:r>
      <w:r w:rsidRPr="00A17E9C">
        <w:t>] </w:t>
      </w:r>
      <w:r w:rsidR="003A3109" w:rsidRPr="00A17E9C">
        <w:t xml:space="preserve">Senāts atzīst par nepamatotu </w:t>
      </w:r>
      <w:r w:rsidR="00E544A6">
        <w:t>[pers. A]</w:t>
      </w:r>
      <w:r w:rsidR="003A3109" w:rsidRPr="00A17E9C">
        <w:t xml:space="preserve"> kasācijas sūdzībā </w:t>
      </w:r>
      <w:r w:rsidR="00263829" w:rsidRPr="00A17E9C">
        <w:t xml:space="preserve">norādīto, ka apelācijas instances tiesa nepamatoti noraidījusi apsūdzētā lūgumu uzaicināt uz tiesas sēdi </w:t>
      </w:r>
      <w:r w:rsidR="00A31FD1" w:rsidRPr="00A17E9C">
        <w:t xml:space="preserve">cietušo </w:t>
      </w:r>
      <w:r w:rsidR="00E544A6">
        <w:t>[pers. B]</w:t>
      </w:r>
      <w:r w:rsidR="00A31FD1" w:rsidRPr="00A17E9C">
        <w:t>.</w:t>
      </w:r>
    </w:p>
    <w:p w14:paraId="063B827A" w14:textId="5001D596" w:rsidR="00ED0C59" w:rsidRPr="00A17E9C" w:rsidRDefault="001A0FF9" w:rsidP="001A0FF9">
      <w:pPr>
        <w:spacing w:line="276" w:lineRule="auto"/>
        <w:ind w:firstLine="720"/>
        <w:jc w:val="both"/>
      </w:pPr>
      <w:r w:rsidRPr="00A17E9C">
        <w:t xml:space="preserve">Senāts konstatē, ka apsūdzētais </w:t>
      </w:r>
      <w:r w:rsidR="00E544A6">
        <w:t>[pers. A]</w:t>
      </w:r>
      <w:r w:rsidRPr="00A17E9C">
        <w:t xml:space="preserve"> a</w:t>
      </w:r>
      <w:r w:rsidR="00176AB1" w:rsidRPr="00A17E9C">
        <w:t xml:space="preserve">pelācijas instances tiesas sēdē 2023. gada 18. aprīlī pieteica lūgumu aicināt uz tiesas sēdi cietušo </w:t>
      </w:r>
      <w:r w:rsidR="00E544A6">
        <w:t>[pers. B]</w:t>
      </w:r>
      <w:r w:rsidR="00537100" w:rsidRPr="00A17E9C">
        <w:t xml:space="preserve"> (iepriekš </w:t>
      </w:r>
      <w:r w:rsidR="00E544A6">
        <w:t>[Uzvārds]</w:t>
      </w:r>
      <w:r w:rsidR="00537100" w:rsidRPr="00A17E9C">
        <w:t>)</w:t>
      </w:r>
      <w:r w:rsidR="00176AB1" w:rsidRPr="00A17E9C">
        <w:t xml:space="preserve">, </w:t>
      </w:r>
      <w:r w:rsidRPr="00A17E9C">
        <w:t xml:space="preserve">lai </w:t>
      </w:r>
      <w:r w:rsidR="00552881" w:rsidRPr="00A17E9C">
        <w:t>cietusī precizētu iepriekš sniegtās liecības (</w:t>
      </w:r>
      <w:r w:rsidR="00552881" w:rsidRPr="00A17E9C">
        <w:rPr>
          <w:i/>
          <w:iCs/>
        </w:rPr>
        <w:t>apelācijas instances tiesas 2023.</w:t>
      </w:r>
      <w:r w:rsidR="00B12187" w:rsidRPr="00A17E9C">
        <w:rPr>
          <w:i/>
          <w:iCs/>
        </w:rPr>
        <w:t> </w:t>
      </w:r>
      <w:r w:rsidR="00552881" w:rsidRPr="00A17E9C">
        <w:rPr>
          <w:i/>
          <w:iCs/>
        </w:rPr>
        <w:t>gada 18.</w:t>
      </w:r>
      <w:r w:rsidR="00B12187" w:rsidRPr="00A17E9C">
        <w:rPr>
          <w:i/>
          <w:iCs/>
        </w:rPr>
        <w:t> </w:t>
      </w:r>
      <w:r w:rsidR="00552881" w:rsidRPr="00A17E9C">
        <w:rPr>
          <w:i/>
          <w:iCs/>
        </w:rPr>
        <w:t xml:space="preserve">aprīļa sēdes </w:t>
      </w:r>
      <w:proofErr w:type="spellStart"/>
      <w:r w:rsidR="00552881" w:rsidRPr="00A17E9C">
        <w:rPr>
          <w:i/>
          <w:iCs/>
        </w:rPr>
        <w:t>audioprotokols</w:t>
      </w:r>
      <w:proofErr w:type="spellEnd"/>
      <w:r w:rsidR="00552881" w:rsidRPr="00A17E9C">
        <w:rPr>
          <w:i/>
          <w:iCs/>
        </w:rPr>
        <w:t xml:space="preserve">, </w:t>
      </w:r>
      <w:r w:rsidR="00B12187" w:rsidRPr="00A17E9C">
        <w:rPr>
          <w:i/>
          <w:iCs/>
        </w:rPr>
        <w:t>00:02:19</w:t>
      </w:r>
      <w:r w:rsidR="00CD0D9F" w:rsidRPr="00A17E9C">
        <w:rPr>
          <w:i/>
          <w:iCs/>
        </w:rPr>
        <w:t>–00:04:53</w:t>
      </w:r>
      <w:r w:rsidR="00CD0D9F" w:rsidRPr="00A17E9C">
        <w:t>)</w:t>
      </w:r>
      <w:r w:rsidR="00CD0D9F" w:rsidRPr="00A17E9C">
        <w:rPr>
          <w:i/>
          <w:iCs/>
        </w:rPr>
        <w:t>.</w:t>
      </w:r>
    </w:p>
    <w:p w14:paraId="5F080B23" w14:textId="50EBF0B0" w:rsidR="00A632C3" w:rsidRPr="00A17E9C" w:rsidRDefault="00A632C3" w:rsidP="007409FD">
      <w:pPr>
        <w:spacing w:line="276" w:lineRule="auto"/>
        <w:ind w:firstLine="720"/>
        <w:jc w:val="both"/>
      </w:pPr>
      <w:r w:rsidRPr="00A17E9C">
        <w:t>Judikatūrā jau iepriekš ir pausta atziņa, ka apsūdzēto personu vai viņu aizstāvju pieteikto lūgumu motivēta noraidīšana lietas iztiesāšanas laikā nav vērtējama kā apsūdzētā tiesību ierobežošana, jo atbilstoši Kriminālprocesa likuma 496. panta otrās daļas nosacījumiem tiesai prokurora, cietušā, apsūdzētā vai viņa aizstāvja lūgumi ir jāizvērtē un jāizlemj, bet tai nav obligāta pienākuma šos lūgumus apmierināt (</w:t>
      </w:r>
      <w:bookmarkStart w:id="3" w:name="_Hlk137813048"/>
      <w:r w:rsidR="0060419F" w:rsidRPr="00A17E9C">
        <w:rPr>
          <w:i/>
          <w:iCs/>
        </w:rPr>
        <w:t>Senāta 2023.</w:t>
      </w:r>
      <w:r w:rsidR="004205FF" w:rsidRPr="00A17E9C">
        <w:rPr>
          <w:i/>
          <w:iCs/>
        </w:rPr>
        <w:t> </w:t>
      </w:r>
      <w:r w:rsidR="0060419F" w:rsidRPr="00A17E9C">
        <w:rPr>
          <w:i/>
          <w:iCs/>
        </w:rPr>
        <w:t>gada 22.</w:t>
      </w:r>
      <w:r w:rsidR="004205FF" w:rsidRPr="00A17E9C">
        <w:rPr>
          <w:i/>
          <w:iCs/>
        </w:rPr>
        <w:t> </w:t>
      </w:r>
      <w:r w:rsidR="0060419F" w:rsidRPr="00A17E9C">
        <w:rPr>
          <w:i/>
          <w:iCs/>
        </w:rPr>
        <w:t>marta lēmum</w:t>
      </w:r>
      <w:r w:rsidR="004205FF" w:rsidRPr="00A17E9C">
        <w:rPr>
          <w:i/>
          <w:iCs/>
        </w:rPr>
        <w:t>a</w:t>
      </w:r>
      <w:r w:rsidR="0060419F" w:rsidRPr="00A17E9C">
        <w:rPr>
          <w:i/>
          <w:iCs/>
        </w:rPr>
        <w:t xml:space="preserve"> lietā Nr.</w:t>
      </w:r>
      <w:r w:rsidR="004205FF" w:rsidRPr="00A17E9C">
        <w:rPr>
          <w:i/>
          <w:iCs/>
        </w:rPr>
        <w:t xml:space="preserve"> SKK-24/2023, </w:t>
      </w:r>
      <w:hyperlink r:id="rId11" w:history="1">
        <w:r w:rsidR="004205FF" w:rsidRPr="00A17E9C">
          <w:rPr>
            <w:rStyle w:val="Hyperlink"/>
            <w:i/>
            <w:iCs/>
          </w:rPr>
          <w:t>ECLI:LV:AT:2023:0322.15830009115.9.L</w:t>
        </w:r>
      </w:hyperlink>
      <w:r w:rsidR="004205FF" w:rsidRPr="00A17E9C">
        <w:rPr>
          <w:i/>
          <w:iCs/>
        </w:rPr>
        <w:t xml:space="preserve">, 10.1. punkts, </w:t>
      </w:r>
      <w:r w:rsidRPr="00A17E9C">
        <w:rPr>
          <w:i/>
          <w:iCs/>
        </w:rPr>
        <w:t>Senāta 2011. gada 28. marta lēmums lietā Nr. </w:t>
      </w:r>
      <w:hyperlink r:id="rId12" w:history="1">
        <w:r w:rsidRPr="00A17E9C">
          <w:rPr>
            <w:rStyle w:val="Hyperlink"/>
            <w:i/>
            <w:iCs/>
          </w:rPr>
          <w:t>SKK-163/2011</w:t>
        </w:r>
      </w:hyperlink>
      <w:r w:rsidRPr="00A17E9C">
        <w:rPr>
          <w:i/>
          <w:iCs/>
        </w:rPr>
        <w:t>, 11810021908</w:t>
      </w:r>
      <w:r w:rsidRPr="00A17E9C">
        <w:t>).</w:t>
      </w:r>
      <w:bookmarkEnd w:id="3"/>
    </w:p>
    <w:p w14:paraId="2D0E735B" w14:textId="743BD558" w:rsidR="00A851CC" w:rsidRPr="00A17E9C" w:rsidRDefault="00A851CC" w:rsidP="00E544A6">
      <w:pPr>
        <w:spacing w:line="276" w:lineRule="auto"/>
        <w:ind w:firstLine="720"/>
        <w:jc w:val="both"/>
      </w:pPr>
      <w:r w:rsidRPr="00A17E9C">
        <w:t>Senāts konstatē, ka apelācijas instances tiesa, uzklausījusi aizstāves un prokurora viedokli, nolēma noraidīt apsūdzētā lūgumu, norādot, ka cietusī jau tika nopratināta pirmās instances tiesā un procesa dalībniekiem bija iespēja noskaidrot visus jautājumus, kas ir saistīti ar cietušās sniegtajām liecībām (</w:t>
      </w:r>
      <w:r w:rsidRPr="00A17E9C">
        <w:rPr>
          <w:i/>
          <w:iCs/>
        </w:rPr>
        <w:t xml:space="preserve">apelācijas instances tiesas 2023. gada 18. aprīļa sēdes </w:t>
      </w:r>
      <w:proofErr w:type="spellStart"/>
      <w:r w:rsidRPr="00A17E9C">
        <w:rPr>
          <w:i/>
          <w:iCs/>
        </w:rPr>
        <w:t>audioprotokols</w:t>
      </w:r>
      <w:proofErr w:type="spellEnd"/>
      <w:r w:rsidRPr="00A17E9C">
        <w:rPr>
          <w:i/>
          <w:iCs/>
        </w:rPr>
        <w:t>, 00:06:06–00:06:38</w:t>
      </w:r>
      <w:r w:rsidRPr="00A17E9C">
        <w:t>)</w:t>
      </w:r>
      <w:r w:rsidRPr="00A17E9C">
        <w:rPr>
          <w:i/>
          <w:iCs/>
        </w:rPr>
        <w:t xml:space="preserve">. </w:t>
      </w:r>
      <w:r w:rsidRPr="00A17E9C">
        <w:t xml:space="preserve">Tādējādi apelācijas instances tiesa, noraidot </w:t>
      </w:r>
      <w:r w:rsidR="00E544A6">
        <w:t>[pers. A]</w:t>
      </w:r>
      <w:r w:rsidRPr="00A17E9C">
        <w:t xml:space="preserve"> lūgumu aicināt cietušo nopratināšanai tiesas sēdē, nav pieļāvusi</w:t>
      </w:r>
      <w:r w:rsidRPr="00A17E9C">
        <w:rPr>
          <w:i/>
          <w:iCs/>
        </w:rPr>
        <w:t xml:space="preserve"> </w:t>
      </w:r>
      <w:r w:rsidRPr="00A17E9C">
        <w:t>Kriminālprocesa likuma pārkāpumus, jo ir izvērtējusi un izlēmusi pieteikto lūgumu atbilstoši Kriminālprocesa likuma 496. panta otrās daļas prasībām un savu lēmumu pamatojusi.</w:t>
      </w:r>
    </w:p>
    <w:p w14:paraId="1B2CD278" w14:textId="64876637" w:rsidR="00A632C3" w:rsidRPr="00A17E9C" w:rsidRDefault="007409FD" w:rsidP="00A632C3">
      <w:pPr>
        <w:spacing w:line="276" w:lineRule="auto"/>
        <w:ind w:firstLine="720"/>
        <w:jc w:val="both"/>
      </w:pPr>
      <w:r w:rsidRPr="00A17E9C">
        <w:t xml:space="preserve">Turklāt Senāts jau ir atzinis, ka </w:t>
      </w:r>
      <w:r w:rsidR="00A632C3" w:rsidRPr="00A17E9C">
        <w:t>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bookmarkStart w:id="4" w:name="_Hlk137813249"/>
      <w:r w:rsidR="0050209B" w:rsidRPr="00A17E9C">
        <w:rPr>
          <w:i/>
          <w:iCs/>
        </w:rPr>
        <w:t xml:space="preserve">Senāta 2023. gada 22. marta lēmuma lietā Nr. SKK-24/2023, </w:t>
      </w:r>
      <w:hyperlink r:id="rId13" w:history="1">
        <w:r w:rsidR="0050209B" w:rsidRPr="00A17E9C">
          <w:rPr>
            <w:rStyle w:val="Hyperlink"/>
            <w:i/>
            <w:iCs/>
          </w:rPr>
          <w:t>ECLI:LV:AT:2023:0322.15830009115.9.L</w:t>
        </w:r>
      </w:hyperlink>
      <w:r w:rsidR="0050209B" w:rsidRPr="00A17E9C">
        <w:rPr>
          <w:i/>
          <w:iCs/>
        </w:rPr>
        <w:t xml:space="preserve">, 10.1. punkts, </w:t>
      </w:r>
      <w:r w:rsidR="00A632C3" w:rsidRPr="00A17E9C">
        <w:rPr>
          <w:i/>
          <w:iCs/>
        </w:rPr>
        <w:t>2021.</w:t>
      </w:r>
      <w:r w:rsidR="0050209B" w:rsidRPr="00A17E9C">
        <w:rPr>
          <w:i/>
          <w:iCs/>
        </w:rPr>
        <w:t> </w:t>
      </w:r>
      <w:r w:rsidR="00A632C3" w:rsidRPr="00A17E9C">
        <w:rPr>
          <w:i/>
          <w:iCs/>
        </w:rPr>
        <w:t xml:space="preserve">gada 29. decembra lēmuma lietā Nr. SKK-76/2021, </w:t>
      </w:r>
      <w:hyperlink r:id="rId14" w:history="1">
        <w:r w:rsidR="00A632C3" w:rsidRPr="00A17E9C">
          <w:rPr>
            <w:rStyle w:val="Hyperlink"/>
            <w:i/>
            <w:iCs/>
          </w:rPr>
          <w:t>ECLI:LV:AT:2021:1229.11270001618.5.L</w:t>
        </w:r>
      </w:hyperlink>
      <w:r w:rsidR="00A632C3" w:rsidRPr="00A17E9C">
        <w:rPr>
          <w:i/>
          <w:iCs/>
        </w:rPr>
        <w:t>, 8.3. punkts</w:t>
      </w:r>
      <w:r w:rsidR="00A632C3" w:rsidRPr="00A17E9C">
        <w:t>)</w:t>
      </w:r>
      <w:bookmarkEnd w:id="4"/>
      <w:r w:rsidR="00A632C3" w:rsidRPr="00A17E9C">
        <w:t>.</w:t>
      </w:r>
    </w:p>
    <w:p w14:paraId="5A02124D" w14:textId="77777777" w:rsidR="00176AB1" w:rsidRPr="00A17E9C" w:rsidRDefault="00176AB1" w:rsidP="00CB62F2">
      <w:pPr>
        <w:spacing w:line="276" w:lineRule="auto"/>
        <w:ind w:firstLine="720"/>
        <w:jc w:val="both"/>
      </w:pPr>
    </w:p>
    <w:p w14:paraId="4C667D11" w14:textId="7BDBC96D" w:rsidR="00142C48" w:rsidRPr="00A17E9C" w:rsidRDefault="00517EFF" w:rsidP="00CB62F2">
      <w:pPr>
        <w:spacing w:line="276" w:lineRule="auto"/>
        <w:ind w:firstLine="720"/>
        <w:jc w:val="both"/>
      </w:pPr>
      <w:r w:rsidRPr="00A17E9C">
        <w:t>[</w:t>
      </w:r>
      <w:r w:rsidR="004B163D" w:rsidRPr="00A17E9C">
        <w:t>13</w:t>
      </w:r>
      <w:r w:rsidRPr="00A17E9C">
        <w:t>]</w:t>
      </w:r>
      <w:r w:rsidR="00FF594D" w:rsidRPr="00A17E9C">
        <w:t> </w:t>
      </w:r>
      <w:r w:rsidRPr="00A17E9C">
        <w:t xml:space="preserve">Senāts konstatē, ka apsūdzētais kasācijas sūdzībā pieteicis lūgumu noteikt viņam ekspertīzi </w:t>
      </w:r>
      <w:r w:rsidR="00FF594D" w:rsidRPr="00A17E9C">
        <w:t>psih</w:t>
      </w:r>
      <w:r w:rsidR="00E22096" w:rsidRPr="00A17E9C">
        <w:t>isk</w:t>
      </w:r>
      <w:r w:rsidR="005239B2">
        <w:t>ā</w:t>
      </w:r>
      <w:r w:rsidR="00FF594D" w:rsidRPr="00A17E9C">
        <w:t xml:space="preserve"> stāvokļa pārbaudei</w:t>
      </w:r>
      <w:r w:rsidR="00445371" w:rsidRPr="00A17E9C">
        <w:t xml:space="preserve"> (acīmredzami domāts – tiesu psihiatrisko ekspertīzi)</w:t>
      </w:r>
      <w:r w:rsidR="002B394B" w:rsidRPr="00A17E9C">
        <w:t xml:space="preserve">, norādot, ka pirmās instances tiesa </w:t>
      </w:r>
      <w:r w:rsidR="00346F0B" w:rsidRPr="00A17E9C">
        <w:t xml:space="preserve">ir </w:t>
      </w:r>
      <w:r w:rsidR="002B394B" w:rsidRPr="00A17E9C">
        <w:t xml:space="preserve">noraidījusi </w:t>
      </w:r>
      <w:r w:rsidR="00E544A6">
        <w:t>[pers. A]</w:t>
      </w:r>
      <w:r w:rsidR="002B394B" w:rsidRPr="00A17E9C">
        <w:t xml:space="preserve"> un viņa aizstāv</w:t>
      </w:r>
      <w:r w:rsidR="006D0689" w:rsidRPr="00A17E9C">
        <w:t>es</w:t>
      </w:r>
      <w:r w:rsidR="002B394B" w:rsidRPr="00A17E9C">
        <w:t xml:space="preserve"> lūgumu par ekspertīzes noteikšanu</w:t>
      </w:r>
      <w:r w:rsidRPr="00A17E9C">
        <w:t>.</w:t>
      </w:r>
    </w:p>
    <w:p w14:paraId="62BD5803" w14:textId="6A114A35" w:rsidR="00AC6474" w:rsidRPr="00A17E9C" w:rsidRDefault="00AC6474" w:rsidP="00CB62F2">
      <w:pPr>
        <w:spacing w:line="276" w:lineRule="auto"/>
        <w:ind w:firstLine="720"/>
        <w:jc w:val="both"/>
      </w:pPr>
      <w:r w:rsidRPr="00A17E9C">
        <w:t>Kriminālprocesa likuma 193. pants noteic, ka ekspertīze ir izmeklēšanas darbība, kuru veic viens vai vairāki eksperti procesa virzītāja uzdevumā un kuras saturs ir ekspertīzei iesniegto objektu pētīšana nolūkā noskaidrot kriminālprocesam nozīmīgus faktus un apstākļus, par ko tiek dots eksperta atzinums.</w:t>
      </w:r>
    </w:p>
    <w:p w14:paraId="3AF487A4" w14:textId="5B01FA54" w:rsidR="00F376DB" w:rsidRPr="00A17E9C" w:rsidRDefault="00F376DB" w:rsidP="00CB62F2">
      <w:pPr>
        <w:spacing w:line="276" w:lineRule="auto"/>
        <w:ind w:firstLine="720"/>
        <w:jc w:val="both"/>
      </w:pPr>
      <w:r w:rsidRPr="00A17E9C">
        <w:t>Izmeklēšanas darbību mērķis ir ziņu iegūšana vai jau iegūto ziņu pārbaude konkrētajā kriminālprocesā (</w:t>
      </w:r>
      <w:proofErr w:type="spellStart"/>
      <w:r w:rsidRPr="00A17E9C">
        <w:rPr>
          <w:i/>
          <w:iCs/>
        </w:rPr>
        <w:t>Meikališa</w:t>
      </w:r>
      <w:proofErr w:type="spellEnd"/>
      <w:r w:rsidR="0076203E" w:rsidRPr="00A17E9C">
        <w:rPr>
          <w:i/>
          <w:iCs/>
        </w:rPr>
        <w:t> </w:t>
      </w:r>
      <w:r w:rsidRPr="00A17E9C">
        <w:rPr>
          <w:i/>
          <w:iCs/>
        </w:rPr>
        <w:t xml:space="preserve">Ā. </w:t>
      </w:r>
      <w:r w:rsidR="0076203E" w:rsidRPr="00A17E9C">
        <w:rPr>
          <w:i/>
          <w:iCs/>
        </w:rPr>
        <w:t xml:space="preserve">138. panta komentārs. </w:t>
      </w:r>
      <w:proofErr w:type="spellStart"/>
      <w:r w:rsidR="0076203E" w:rsidRPr="00A17E9C">
        <w:rPr>
          <w:i/>
          <w:iCs/>
        </w:rPr>
        <w:t>Grām</w:t>
      </w:r>
      <w:proofErr w:type="spellEnd"/>
      <w:r w:rsidR="0076203E" w:rsidRPr="00A17E9C">
        <w:rPr>
          <w:i/>
          <w:iCs/>
        </w:rPr>
        <w:t xml:space="preserve">.: Kriminālprocesa likuma komentāri. </w:t>
      </w:r>
      <w:r w:rsidR="00867E14" w:rsidRPr="00A17E9C">
        <w:rPr>
          <w:i/>
          <w:iCs/>
        </w:rPr>
        <w:t>A d</w:t>
      </w:r>
      <w:r w:rsidR="0076203E" w:rsidRPr="00A17E9C">
        <w:rPr>
          <w:i/>
          <w:iCs/>
        </w:rPr>
        <w:t xml:space="preserve">aļa. Zinātniska monogrāfija </w:t>
      </w:r>
      <w:r w:rsidR="0076203E" w:rsidRPr="00A17E9C">
        <w:rPr>
          <w:i/>
          <w:iCs/>
        </w:rPr>
        <w:lastRenderedPageBreak/>
        <w:t>prof.</w:t>
      </w:r>
      <w:r w:rsidR="007067FB">
        <w:rPr>
          <w:i/>
          <w:iCs/>
        </w:rPr>
        <w:t> </w:t>
      </w:r>
      <w:r w:rsidR="0076203E" w:rsidRPr="00A17E9C">
        <w:rPr>
          <w:i/>
          <w:iCs/>
        </w:rPr>
        <w:t>K.</w:t>
      </w:r>
      <w:r w:rsidR="00867E14" w:rsidRPr="00A17E9C">
        <w:rPr>
          <w:i/>
          <w:iCs/>
        </w:rPr>
        <w:t> </w:t>
      </w:r>
      <w:proofErr w:type="spellStart"/>
      <w:r w:rsidR="0076203E" w:rsidRPr="00A17E9C">
        <w:rPr>
          <w:i/>
          <w:iCs/>
        </w:rPr>
        <w:t>Stradas</w:t>
      </w:r>
      <w:proofErr w:type="spellEnd"/>
      <w:r w:rsidR="00591008" w:rsidRPr="00A17E9C">
        <w:rPr>
          <w:i/>
          <w:iCs/>
        </w:rPr>
        <w:noBreakHyphen/>
      </w:r>
      <w:r w:rsidR="0076203E" w:rsidRPr="00A17E9C">
        <w:rPr>
          <w:i/>
          <w:iCs/>
        </w:rPr>
        <w:t xml:space="preserve">Rozenbergas zinātniskā redakcijā. Rīga: Latvijas Vēstnesis, 2019, </w:t>
      </w:r>
      <w:r w:rsidR="00867E14" w:rsidRPr="00A17E9C">
        <w:rPr>
          <w:i/>
          <w:iCs/>
        </w:rPr>
        <w:t>463</w:t>
      </w:r>
      <w:r w:rsidR="0076203E" w:rsidRPr="00A17E9C">
        <w:rPr>
          <w:i/>
          <w:iCs/>
        </w:rPr>
        <w:t>.</w:t>
      </w:r>
      <w:r w:rsidR="00867E14" w:rsidRPr="00A17E9C">
        <w:rPr>
          <w:i/>
          <w:iCs/>
        </w:rPr>
        <w:t> </w:t>
      </w:r>
      <w:r w:rsidR="0076203E" w:rsidRPr="00A17E9C">
        <w:rPr>
          <w:i/>
          <w:iCs/>
        </w:rPr>
        <w:t>lpp.</w:t>
      </w:r>
      <w:r w:rsidR="0076203E" w:rsidRPr="00A17E9C">
        <w:t>).</w:t>
      </w:r>
    </w:p>
    <w:p w14:paraId="55AF1B33" w14:textId="604AE971" w:rsidR="005A030B" w:rsidRPr="00A17E9C" w:rsidRDefault="005B4A89" w:rsidP="00420C35">
      <w:pPr>
        <w:spacing w:line="276" w:lineRule="auto"/>
        <w:ind w:firstLine="720"/>
        <w:jc w:val="both"/>
      </w:pPr>
      <w:r w:rsidRPr="00A17E9C">
        <w:t>Ņemot vērā, ka a</w:t>
      </w:r>
      <w:r w:rsidR="00BB718B" w:rsidRPr="00A17E9C">
        <w:t>tbilstoši Kriminālprocesa likuma 569. panta pirmajai un trešajai daļai kasācijas instances tiesa lietu pēc būtības neizskata</w:t>
      </w:r>
      <w:r w:rsidRPr="00A17E9C">
        <w:t xml:space="preserve"> un</w:t>
      </w:r>
      <w:r w:rsidR="00BB718B" w:rsidRPr="00A17E9C">
        <w:t xml:space="preserve"> pierādījumus lietā no jauna neizvērtē, </w:t>
      </w:r>
      <w:r w:rsidR="00441A09" w:rsidRPr="00A17E9C">
        <w:t>ekspertīz</w:t>
      </w:r>
      <w:r w:rsidR="00503639" w:rsidRPr="00A17E9C">
        <w:t>es noteikšana</w:t>
      </w:r>
      <w:r w:rsidR="00441A09" w:rsidRPr="00A17E9C">
        <w:t xml:space="preserve"> kriminālprocesā neietilpst </w:t>
      </w:r>
      <w:r w:rsidR="00503639" w:rsidRPr="00A17E9C">
        <w:t>kasācijas instances tiesas kompetencē.</w:t>
      </w:r>
      <w:r w:rsidR="00420C35" w:rsidRPr="00A17E9C">
        <w:t xml:space="preserve"> Vienlaikus</w:t>
      </w:r>
      <w:r w:rsidR="005A030B" w:rsidRPr="00A17E9C">
        <w:t xml:space="preserve"> Senāta kompetencē ir izvērtēt, vai nav pārkāpts kriminālprocesa pamatprincips – tiesības uz lietas izskatīšanu taisnīgā tiesā.</w:t>
      </w:r>
    </w:p>
    <w:p w14:paraId="1A31467D" w14:textId="45AA216E" w:rsidR="0040770E" w:rsidRPr="00A17E9C" w:rsidRDefault="00421BDB" w:rsidP="00420C35">
      <w:pPr>
        <w:spacing w:line="276" w:lineRule="auto"/>
        <w:ind w:firstLine="720"/>
        <w:jc w:val="both"/>
      </w:pPr>
      <w:r w:rsidRPr="00A17E9C">
        <w:t>Eiropas Cilvēktiesību tiesa ir atzinusi, ka prasība par taisnīgu tiesu neuzliek tiesai pienākumu noteikt ekspertīzi vai veikt jebkuru citu izmeklēšanas darbību tikai tāpēc, ka procesā iesaistītā persona to ir lūgusi. Nacionālajām tiesām ir jāizlemj, vai attiecīgo pierādījumu ir nepieciešams vai ieteicams pārbaudīt tiesas procesā (</w:t>
      </w:r>
      <w:r w:rsidRPr="00A17E9C">
        <w:rPr>
          <w:i/>
          <w:iCs/>
        </w:rPr>
        <w:t>sk. Eiropas Cilvēktiesību tiesas 2016. gada 12. maija sprieduma lietā „</w:t>
      </w:r>
      <w:proofErr w:type="spellStart"/>
      <w:r w:rsidRPr="00A17E9C">
        <w:rPr>
          <w:i/>
          <w:iCs/>
        </w:rPr>
        <w:t>Poletan</w:t>
      </w:r>
      <w:proofErr w:type="spellEnd"/>
      <w:r w:rsidRPr="00A17E9C">
        <w:rPr>
          <w:i/>
          <w:iCs/>
        </w:rPr>
        <w:t xml:space="preserve"> </w:t>
      </w:r>
      <w:proofErr w:type="spellStart"/>
      <w:r w:rsidRPr="00A17E9C">
        <w:rPr>
          <w:i/>
          <w:iCs/>
        </w:rPr>
        <w:t>and</w:t>
      </w:r>
      <w:proofErr w:type="spellEnd"/>
      <w:r w:rsidRPr="00A17E9C">
        <w:rPr>
          <w:i/>
          <w:iCs/>
        </w:rPr>
        <w:t xml:space="preserve"> </w:t>
      </w:r>
      <w:proofErr w:type="spellStart"/>
      <w:r w:rsidRPr="00A17E9C">
        <w:rPr>
          <w:i/>
          <w:iCs/>
        </w:rPr>
        <w:t>Azirovik</w:t>
      </w:r>
      <w:proofErr w:type="spellEnd"/>
      <w:r w:rsidRPr="00A17E9C">
        <w:rPr>
          <w:i/>
          <w:iCs/>
        </w:rPr>
        <w:t xml:space="preserve"> v. </w:t>
      </w:r>
      <w:proofErr w:type="spellStart"/>
      <w:r w:rsidR="00D460AD" w:rsidRPr="00A17E9C">
        <w:rPr>
          <w:i/>
          <w:iCs/>
        </w:rPr>
        <w:t>the</w:t>
      </w:r>
      <w:proofErr w:type="spellEnd"/>
      <w:r w:rsidR="00D460AD" w:rsidRPr="00A17E9C">
        <w:rPr>
          <w:i/>
          <w:iCs/>
        </w:rPr>
        <w:t xml:space="preserve"> </w:t>
      </w:r>
      <w:proofErr w:type="spellStart"/>
      <w:r w:rsidRPr="00A17E9C">
        <w:rPr>
          <w:i/>
          <w:iCs/>
        </w:rPr>
        <w:t>former</w:t>
      </w:r>
      <w:proofErr w:type="spellEnd"/>
      <w:r w:rsidRPr="00A17E9C">
        <w:rPr>
          <w:i/>
          <w:iCs/>
        </w:rPr>
        <w:t xml:space="preserve"> </w:t>
      </w:r>
      <w:proofErr w:type="spellStart"/>
      <w:r w:rsidRPr="00A17E9C">
        <w:rPr>
          <w:i/>
          <w:iCs/>
        </w:rPr>
        <w:t>Yugoslav</w:t>
      </w:r>
      <w:proofErr w:type="spellEnd"/>
      <w:r w:rsidRPr="00A17E9C">
        <w:rPr>
          <w:i/>
          <w:iCs/>
        </w:rPr>
        <w:t xml:space="preserve"> </w:t>
      </w:r>
      <w:proofErr w:type="spellStart"/>
      <w:r w:rsidRPr="00A17E9C">
        <w:rPr>
          <w:i/>
          <w:iCs/>
        </w:rPr>
        <w:t>Republic</w:t>
      </w:r>
      <w:proofErr w:type="spellEnd"/>
      <w:r w:rsidRPr="00A17E9C">
        <w:rPr>
          <w:i/>
          <w:iCs/>
        </w:rPr>
        <w:t xml:space="preserve"> </w:t>
      </w:r>
      <w:proofErr w:type="spellStart"/>
      <w:r w:rsidRPr="00A17E9C">
        <w:rPr>
          <w:i/>
          <w:iCs/>
        </w:rPr>
        <w:t>of</w:t>
      </w:r>
      <w:proofErr w:type="spellEnd"/>
      <w:r w:rsidRPr="00A17E9C">
        <w:rPr>
          <w:i/>
          <w:iCs/>
        </w:rPr>
        <w:t xml:space="preserve"> </w:t>
      </w:r>
      <w:proofErr w:type="spellStart"/>
      <w:r w:rsidRPr="00A17E9C">
        <w:rPr>
          <w:i/>
          <w:iCs/>
        </w:rPr>
        <w:t>Macedonia</w:t>
      </w:r>
      <w:proofErr w:type="spellEnd"/>
      <w:r w:rsidRPr="00A17E9C">
        <w:rPr>
          <w:i/>
          <w:iCs/>
        </w:rPr>
        <w:t>”, iesnieguma Nr. </w:t>
      </w:r>
      <w:hyperlink r:id="rId15" w:history="1">
        <w:r w:rsidRPr="00A17E9C">
          <w:rPr>
            <w:rStyle w:val="Hyperlink"/>
            <w:i/>
            <w:iCs/>
          </w:rPr>
          <w:t>26711/07</w:t>
        </w:r>
      </w:hyperlink>
      <w:r w:rsidRPr="00A17E9C">
        <w:rPr>
          <w:i/>
          <w:iCs/>
        </w:rPr>
        <w:t xml:space="preserve">, </w:t>
      </w:r>
      <w:hyperlink r:id="rId16" w:history="1">
        <w:r w:rsidRPr="00A17E9C">
          <w:rPr>
            <w:rStyle w:val="Hyperlink"/>
            <w:i/>
            <w:iCs/>
          </w:rPr>
          <w:t>32786/10</w:t>
        </w:r>
      </w:hyperlink>
      <w:r w:rsidRPr="00A17E9C">
        <w:rPr>
          <w:i/>
          <w:iCs/>
        </w:rPr>
        <w:t xml:space="preserve">, </w:t>
      </w:r>
      <w:hyperlink r:id="rId17" w:history="1">
        <w:r w:rsidRPr="00A17E9C">
          <w:rPr>
            <w:rStyle w:val="Hyperlink"/>
            <w:i/>
            <w:iCs/>
          </w:rPr>
          <w:t>34278/10</w:t>
        </w:r>
      </w:hyperlink>
      <w:r w:rsidRPr="00A17E9C">
        <w:rPr>
          <w:i/>
          <w:iCs/>
        </w:rPr>
        <w:t>, 95. punktu</w:t>
      </w:r>
      <w:r w:rsidRPr="00A17E9C">
        <w:t>).</w:t>
      </w:r>
    </w:p>
    <w:p w14:paraId="7BC6F761" w14:textId="6036BE04" w:rsidR="00B962E1" w:rsidRPr="00A17E9C" w:rsidRDefault="00D434C9" w:rsidP="00CB62F2">
      <w:pPr>
        <w:spacing w:line="276" w:lineRule="auto"/>
        <w:ind w:firstLine="720"/>
        <w:jc w:val="both"/>
      </w:pPr>
      <w:r w:rsidRPr="00A17E9C">
        <w:t xml:space="preserve">Senāts konstatē, ka </w:t>
      </w:r>
      <w:r w:rsidR="006D0689" w:rsidRPr="00A17E9C">
        <w:t xml:space="preserve">pirmās instances tiesā </w:t>
      </w:r>
      <w:r w:rsidR="00D5613F" w:rsidRPr="00A17E9C">
        <w:t>aizstāve V. </w:t>
      </w:r>
      <w:proofErr w:type="spellStart"/>
      <w:r w:rsidR="00D5613F" w:rsidRPr="00A17E9C">
        <w:t>Tanasi</w:t>
      </w:r>
      <w:proofErr w:type="spellEnd"/>
      <w:r w:rsidR="00D5613F" w:rsidRPr="00A17E9C">
        <w:t xml:space="preserve"> pieteikusi rakstveida lūgumu noteikt </w:t>
      </w:r>
      <w:r w:rsidR="00DD5895">
        <w:t>[pers. A]</w:t>
      </w:r>
      <w:r w:rsidR="00D5613F" w:rsidRPr="00A17E9C">
        <w:t xml:space="preserve"> stacionāro tiesu psihiatrisko ekspertīzi (</w:t>
      </w:r>
      <w:r w:rsidR="00FF4394" w:rsidRPr="00A17E9C">
        <w:rPr>
          <w:i/>
          <w:iCs/>
        </w:rPr>
        <w:t xml:space="preserve">lietas </w:t>
      </w:r>
      <w:r w:rsidR="00D5613F" w:rsidRPr="00A17E9C">
        <w:rPr>
          <w:i/>
          <w:iCs/>
        </w:rPr>
        <w:t>4.</w:t>
      </w:r>
      <w:r w:rsidR="00FF4394" w:rsidRPr="00A17E9C">
        <w:rPr>
          <w:i/>
          <w:iCs/>
        </w:rPr>
        <w:t> </w:t>
      </w:r>
      <w:r w:rsidR="00D5613F" w:rsidRPr="00A17E9C">
        <w:rPr>
          <w:i/>
          <w:iCs/>
        </w:rPr>
        <w:t>sējuma 16.</w:t>
      </w:r>
      <w:r w:rsidR="00FF4394" w:rsidRPr="00A17E9C">
        <w:rPr>
          <w:i/>
          <w:iCs/>
        </w:rPr>
        <w:t> </w:t>
      </w:r>
      <w:r w:rsidR="00D5613F" w:rsidRPr="00A17E9C">
        <w:rPr>
          <w:i/>
          <w:iCs/>
        </w:rPr>
        <w:t>lapa</w:t>
      </w:r>
      <w:r w:rsidR="00D5613F" w:rsidRPr="00A17E9C">
        <w:t>).</w:t>
      </w:r>
      <w:r w:rsidR="007F7224" w:rsidRPr="00A17E9C">
        <w:t xml:space="preserve"> </w:t>
      </w:r>
      <w:r w:rsidR="005F43F4" w:rsidRPr="00A17E9C">
        <w:t>Arī</w:t>
      </w:r>
      <w:r w:rsidR="007F7224" w:rsidRPr="00A17E9C">
        <w:t xml:space="preserve"> </w:t>
      </w:r>
      <w:r w:rsidR="00A07515" w:rsidRPr="00A17E9C">
        <w:t xml:space="preserve">apsūdzētais </w:t>
      </w:r>
      <w:r w:rsidR="00235FCB" w:rsidRPr="00A17E9C">
        <w:t>2021.</w:t>
      </w:r>
      <w:r w:rsidR="009E09E2" w:rsidRPr="00A17E9C">
        <w:t> </w:t>
      </w:r>
      <w:r w:rsidR="00235FCB" w:rsidRPr="00A17E9C">
        <w:t xml:space="preserve">gada </w:t>
      </w:r>
      <w:r w:rsidR="009E09E2" w:rsidRPr="00A17E9C">
        <w:t>3. jūnija iesniegumā lūdza</w:t>
      </w:r>
      <w:r w:rsidR="007F7224" w:rsidRPr="00A17E9C">
        <w:t xml:space="preserve"> </w:t>
      </w:r>
      <w:r w:rsidR="00273DAD" w:rsidRPr="00A17E9C">
        <w:t>noteikt viņam tiesu psihiatrisko ekspertīzi</w:t>
      </w:r>
      <w:r w:rsidR="003A3924" w:rsidRPr="00A17E9C">
        <w:t xml:space="preserve"> </w:t>
      </w:r>
      <w:r w:rsidR="005F43F4" w:rsidRPr="00A17E9C">
        <w:t>(</w:t>
      </w:r>
      <w:r w:rsidR="005F43F4" w:rsidRPr="00A17E9C">
        <w:rPr>
          <w:i/>
          <w:iCs/>
        </w:rPr>
        <w:t>lietas 4.</w:t>
      </w:r>
      <w:r w:rsidR="00A07515" w:rsidRPr="00A17E9C">
        <w:rPr>
          <w:i/>
          <w:iCs/>
        </w:rPr>
        <w:t> </w:t>
      </w:r>
      <w:r w:rsidR="005F43F4" w:rsidRPr="00A17E9C">
        <w:rPr>
          <w:i/>
          <w:iCs/>
        </w:rPr>
        <w:t>sējuma 17</w:t>
      </w:r>
      <w:r w:rsidR="00A07515" w:rsidRPr="00A17E9C">
        <w:rPr>
          <w:i/>
          <w:iCs/>
        </w:rPr>
        <w:t>.–19. lapa</w:t>
      </w:r>
      <w:r w:rsidR="00A07515" w:rsidRPr="00A17E9C">
        <w:t>).</w:t>
      </w:r>
    </w:p>
    <w:p w14:paraId="70B46840" w14:textId="1FDDB2CE" w:rsidR="00D434C9" w:rsidRPr="00A17E9C" w:rsidRDefault="009A442A" w:rsidP="00BB00BC">
      <w:pPr>
        <w:spacing w:line="276" w:lineRule="auto"/>
        <w:ind w:firstLine="720"/>
        <w:jc w:val="both"/>
      </w:pPr>
      <w:r w:rsidRPr="00A17E9C">
        <w:t xml:space="preserve">Tiesas sēdē </w:t>
      </w:r>
      <w:r w:rsidR="00722CC2" w:rsidRPr="00A17E9C">
        <w:t>2022. gada 29. novembrī pirmās instances tiesa</w:t>
      </w:r>
      <w:r w:rsidR="00BB00BC" w:rsidRPr="00A17E9C">
        <w:t xml:space="preserve"> </w:t>
      </w:r>
      <w:r w:rsidR="00D434C9" w:rsidRPr="00A17E9C">
        <w:t xml:space="preserve">ir izvērtējusi apsūdzētā </w:t>
      </w:r>
      <w:r w:rsidR="00BB00BC" w:rsidRPr="00A17E9C">
        <w:t xml:space="preserve">un viņa aizstāves pieteikto </w:t>
      </w:r>
      <w:r w:rsidR="00D434C9" w:rsidRPr="00A17E9C">
        <w:t xml:space="preserve">lūgumu </w:t>
      </w:r>
      <w:r w:rsidR="008D37C5" w:rsidRPr="00A17E9C">
        <w:t xml:space="preserve">noteikt </w:t>
      </w:r>
      <w:r w:rsidR="00DD5895">
        <w:t>[pers. A]</w:t>
      </w:r>
      <w:r w:rsidR="00D434C9" w:rsidRPr="00A17E9C">
        <w:t xml:space="preserve"> </w:t>
      </w:r>
      <w:r w:rsidR="008D37C5" w:rsidRPr="00A17E9C">
        <w:t xml:space="preserve">stacionāro tiesu psihiatrisko </w:t>
      </w:r>
      <w:r w:rsidR="00D434C9" w:rsidRPr="00A17E9C">
        <w:t>ekspertīz</w:t>
      </w:r>
      <w:r w:rsidR="008D37C5" w:rsidRPr="00A17E9C">
        <w:t>i</w:t>
      </w:r>
      <w:r w:rsidR="00D434C9" w:rsidRPr="00A17E9C">
        <w:t xml:space="preserve"> un</w:t>
      </w:r>
      <w:r w:rsidR="005D473D" w:rsidRPr="00A17E9C">
        <w:t xml:space="preserve"> </w:t>
      </w:r>
      <w:r w:rsidR="00D434C9" w:rsidRPr="00A17E9C">
        <w:t>argumentēti to noraidījusi</w:t>
      </w:r>
      <w:r w:rsidR="001F2DF2" w:rsidRPr="00A17E9C">
        <w:rPr>
          <w:i/>
          <w:iCs/>
        </w:rPr>
        <w:t>.</w:t>
      </w:r>
      <w:r w:rsidR="0020477A" w:rsidRPr="00A17E9C">
        <w:rPr>
          <w:i/>
          <w:iCs/>
        </w:rPr>
        <w:t xml:space="preserve"> </w:t>
      </w:r>
      <w:r w:rsidR="0020477A" w:rsidRPr="00A17E9C">
        <w:t>Tiesa norādīja, ka</w:t>
      </w:r>
      <w:r w:rsidR="00B97548" w:rsidRPr="00A17E9C">
        <w:t xml:space="preserve"> ir iepazinusies</w:t>
      </w:r>
      <w:r w:rsidR="0020477A" w:rsidRPr="00A17E9C">
        <w:t xml:space="preserve"> ar lietas materiāl</w:t>
      </w:r>
      <w:r w:rsidR="00B301E0" w:rsidRPr="00A17E9C">
        <w:t>os esošo</w:t>
      </w:r>
      <w:r w:rsidR="0020477A" w:rsidRPr="00A17E9C">
        <w:t xml:space="preserve"> medicīnisko dokumentāciju</w:t>
      </w:r>
      <w:r w:rsidR="00737F83" w:rsidRPr="00A17E9C">
        <w:t xml:space="preserve">, kurā </w:t>
      </w:r>
      <w:r w:rsidR="00B301E0" w:rsidRPr="00A17E9C">
        <w:t xml:space="preserve">ir </w:t>
      </w:r>
      <w:r w:rsidR="00737F83" w:rsidRPr="00A17E9C">
        <w:t xml:space="preserve">norādīts, ka </w:t>
      </w:r>
      <w:r w:rsidR="00DD5895">
        <w:t>[pers. A]</w:t>
      </w:r>
      <w:r w:rsidR="00E94A3A" w:rsidRPr="00A17E9C">
        <w:t xml:space="preserve"> </w:t>
      </w:r>
      <w:r w:rsidR="00737F83" w:rsidRPr="00A17E9C">
        <w:t>psihiskais stāvoklis ir apmierinošs,</w:t>
      </w:r>
      <w:r w:rsidR="0020477A" w:rsidRPr="00A17E9C">
        <w:t xml:space="preserve"> </w:t>
      </w:r>
      <w:r w:rsidR="00E94A3A" w:rsidRPr="00A17E9C">
        <w:t xml:space="preserve">un </w:t>
      </w:r>
      <w:r w:rsidR="00754FB7" w:rsidRPr="00A17E9C">
        <w:t xml:space="preserve">ambulatorās kompleksās tiesu psihiatriskās </w:t>
      </w:r>
      <w:r w:rsidR="007067FB">
        <w:t>un</w:t>
      </w:r>
      <w:r w:rsidR="003545D8" w:rsidRPr="00A17E9C">
        <w:t xml:space="preserve"> </w:t>
      </w:r>
      <w:r w:rsidR="00754FB7" w:rsidRPr="00A17E9C">
        <w:t>tiesu psiholoģiskās ekspertīzes</w:t>
      </w:r>
      <w:r w:rsidR="0020477A" w:rsidRPr="00A17E9C">
        <w:t xml:space="preserve"> atzinumu, kurā </w:t>
      </w:r>
      <w:r w:rsidR="00B97548" w:rsidRPr="00A17E9C">
        <w:t>atzīts</w:t>
      </w:r>
      <w:r w:rsidR="0020477A" w:rsidRPr="00A17E9C">
        <w:t xml:space="preserve">, ka </w:t>
      </w:r>
      <w:r w:rsidR="00E94A3A" w:rsidRPr="00A17E9C">
        <w:t xml:space="preserve">apsūdzētajam ir </w:t>
      </w:r>
      <w:r w:rsidR="00A83939" w:rsidRPr="00A17E9C">
        <w:t>specifiski</w:t>
      </w:r>
      <w:r w:rsidR="00737F83" w:rsidRPr="00A17E9C">
        <w:t xml:space="preserve"> personības traucējumi</w:t>
      </w:r>
      <w:r w:rsidR="00185105" w:rsidRPr="00A17E9C">
        <w:t xml:space="preserve"> un </w:t>
      </w:r>
      <w:r w:rsidR="00B97548" w:rsidRPr="00A17E9C">
        <w:t>viņš</w:t>
      </w:r>
      <w:r w:rsidR="00737F83" w:rsidRPr="00A17E9C">
        <w:t xml:space="preserve"> ir pieskaitāms</w:t>
      </w:r>
      <w:r w:rsidR="004C36B0" w:rsidRPr="00A17E9C">
        <w:t>. Ievērojot minēto, tiesai</w:t>
      </w:r>
      <w:r w:rsidR="00737F83" w:rsidRPr="00A17E9C">
        <w:t xml:space="preserve"> </w:t>
      </w:r>
      <w:r w:rsidR="003C291F" w:rsidRPr="00A17E9C">
        <w:t>neradās</w:t>
      </w:r>
      <w:r w:rsidR="00737F83" w:rsidRPr="00A17E9C">
        <w:t xml:space="preserve"> pamatotas šaubas, ka </w:t>
      </w:r>
      <w:r w:rsidR="00DD5895">
        <w:t>[pers. A]</w:t>
      </w:r>
      <w:r w:rsidR="00BF5CBE" w:rsidRPr="00A17E9C">
        <w:t xml:space="preserve"> </w:t>
      </w:r>
      <w:r w:rsidR="004C36B0" w:rsidRPr="00A17E9C">
        <w:t>nav</w:t>
      </w:r>
      <w:r w:rsidR="00BF5CBE" w:rsidRPr="00A17E9C">
        <w:t xml:space="preserve"> nepieciešam</w:t>
      </w:r>
      <w:r w:rsidR="003C291F" w:rsidRPr="00A17E9C">
        <w:t>s noteikt</w:t>
      </w:r>
      <w:r w:rsidR="00BF5CBE" w:rsidRPr="00A17E9C">
        <w:t xml:space="preserve"> stacionār</w:t>
      </w:r>
      <w:r w:rsidR="003C291F" w:rsidRPr="00A17E9C">
        <w:t>o</w:t>
      </w:r>
      <w:r w:rsidR="00BF5CBE" w:rsidRPr="00A17E9C">
        <w:t xml:space="preserve"> tiesu psihiatrisk</w:t>
      </w:r>
      <w:r w:rsidR="003C291F" w:rsidRPr="00A17E9C">
        <w:t>o</w:t>
      </w:r>
      <w:r w:rsidR="00BF5CBE" w:rsidRPr="00A17E9C">
        <w:t xml:space="preserve"> ekspertīz</w:t>
      </w:r>
      <w:r w:rsidR="003C291F" w:rsidRPr="00A17E9C">
        <w:t>i</w:t>
      </w:r>
      <w:r w:rsidR="002C48FC" w:rsidRPr="00A17E9C">
        <w:t xml:space="preserve"> (</w:t>
      </w:r>
      <w:r w:rsidR="002C48FC" w:rsidRPr="00A17E9C">
        <w:rPr>
          <w:i/>
          <w:iCs/>
        </w:rPr>
        <w:t xml:space="preserve">pirmās instances tiesas 2022. gada 29. novembra sēdes </w:t>
      </w:r>
      <w:proofErr w:type="spellStart"/>
      <w:r w:rsidR="002C48FC" w:rsidRPr="00A17E9C">
        <w:rPr>
          <w:i/>
          <w:iCs/>
        </w:rPr>
        <w:t>audioprotokols</w:t>
      </w:r>
      <w:proofErr w:type="spellEnd"/>
      <w:r w:rsidR="002C48FC" w:rsidRPr="00A17E9C">
        <w:rPr>
          <w:i/>
          <w:iCs/>
        </w:rPr>
        <w:t>, 00:39:32–</w:t>
      </w:r>
      <w:r w:rsidR="007067FB">
        <w:rPr>
          <w:i/>
          <w:iCs/>
        </w:rPr>
        <w:t> </w:t>
      </w:r>
      <w:r w:rsidR="002C48FC" w:rsidRPr="00A17E9C">
        <w:rPr>
          <w:i/>
          <w:iCs/>
        </w:rPr>
        <w:t>00:40:49)</w:t>
      </w:r>
      <w:r w:rsidR="00BF5CBE" w:rsidRPr="00A17E9C">
        <w:t>.</w:t>
      </w:r>
    </w:p>
    <w:p w14:paraId="47DF9FF9" w14:textId="02630285" w:rsidR="00FF594D" w:rsidRPr="00A17E9C" w:rsidRDefault="00E4676B" w:rsidP="00CB62F2">
      <w:pPr>
        <w:spacing w:line="276" w:lineRule="auto"/>
        <w:ind w:firstLine="720"/>
        <w:jc w:val="both"/>
      </w:pPr>
      <w:r w:rsidRPr="00A17E9C">
        <w:t xml:space="preserve">Senāts atzīst, ka </w:t>
      </w:r>
      <w:r w:rsidR="005D473D" w:rsidRPr="00A17E9C">
        <w:t xml:space="preserve">tādējādi </w:t>
      </w:r>
      <w:r w:rsidRPr="00A17E9C">
        <w:t>apsūdzētā tiesības uz taisnīgu tiesu nav pārkāptas, jo</w:t>
      </w:r>
      <w:r w:rsidR="005D473D" w:rsidRPr="00A17E9C">
        <w:t xml:space="preserve"> pirmās instances tiesa</w:t>
      </w:r>
      <w:r w:rsidR="00DC304C" w:rsidRPr="00A17E9C">
        <w:t xml:space="preserve"> ir ievērojusi Kriminālprocesa likuma 496. panta otrās daļas prasības, izvērtējot</w:t>
      </w:r>
      <w:r w:rsidR="00650866" w:rsidRPr="00A17E9C">
        <w:t xml:space="preserve"> </w:t>
      </w:r>
      <w:r w:rsidR="000016E5" w:rsidRPr="00A17E9C">
        <w:t>apsūdzētā un aizstāves</w:t>
      </w:r>
      <w:r w:rsidR="00650866" w:rsidRPr="00A17E9C">
        <w:t xml:space="preserve"> pieteikto</w:t>
      </w:r>
      <w:r w:rsidR="000016E5" w:rsidRPr="00A17E9C">
        <w:t xml:space="preserve"> lūgumu</w:t>
      </w:r>
      <w:r w:rsidR="00DA15E6" w:rsidRPr="00A17E9C">
        <w:t xml:space="preserve"> par stacionārās tiesu psihiatriskās ekspertīzes noteikšanu</w:t>
      </w:r>
      <w:r w:rsidR="00DC304C" w:rsidRPr="00A17E9C">
        <w:t xml:space="preserve">, </w:t>
      </w:r>
      <w:r w:rsidR="00650866" w:rsidRPr="00A17E9C">
        <w:t>un</w:t>
      </w:r>
      <w:r w:rsidR="00A0539A" w:rsidRPr="00A17E9C">
        <w:t xml:space="preserve"> savu lēmumu noraidīt pieteikto lūgumu ir pamatojusi</w:t>
      </w:r>
      <w:r w:rsidR="00DA15E6" w:rsidRPr="00A17E9C">
        <w:t>.</w:t>
      </w:r>
    </w:p>
    <w:p w14:paraId="722E1B2C" w14:textId="77777777" w:rsidR="00517EFF" w:rsidRPr="00A17E9C" w:rsidRDefault="00517EFF" w:rsidP="00CB62F2">
      <w:pPr>
        <w:spacing w:line="276" w:lineRule="auto"/>
        <w:ind w:firstLine="720"/>
        <w:jc w:val="both"/>
      </w:pPr>
    </w:p>
    <w:p w14:paraId="57D2C248" w14:textId="43331F48" w:rsidR="00DD3FE3" w:rsidRPr="00A17E9C" w:rsidRDefault="00CB62F2" w:rsidP="00DD3FE3">
      <w:pPr>
        <w:spacing w:line="276" w:lineRule="auto"/>
        <w:ind w:firstLine="720"/>
        <w:jc w:val="both"/>
      </w:pPr>
      <w:r w:rsidRPr="00A17E9C">
        <w:t>[</w:t>
      </w:r>
      <w:r w:rsidR="00630A96" w:rsidRPr="00A17E9C">
        <w:t>14</w:t>
      </w:r>
      <w:r w:rsidRPr="00A17E9C">
        <w:t>]</w:t>
      </w:r>
      <w:r w:rsidR="00962534" w:rsidRPr="00A17E9C">
        <w:t> </w:t>
      </w:r>
      <w:r w:rsidR="00DD3FE3" w:rsidRPr="00A17E9C">
        <w:t>Kriminālprocesa likuma 588. panta 3.</w:t>
      </w:r>
      <w:r w:rsidR="00DD3FE3" w:rsidRPr="00A17E9C">
        <w:rPr>
          <w:vertAlign w:val="superscript"/>
        </w:rPr>
        <w:t>1</w:t>
      </w:r>
      <w:r w:rsidR="00DD3FE3" w:rsidRPr="00A17E9C">
        <w:t> daļa noteic, ka gadījumā, ja kasācijas instances tiesa pieņem šā likuma 587.</w:t>
      </w:r>
      <w:r w:rsidR="00962534" w:rsidRPr="00A17E9C">
        <w:t> </w:t>
      </w:r>
      <w:r w:rsidR="00DD3FE3" w:rsidRPr="00A17E9C">
        <w:t>panta pirmās daļas 2.</w:t>
      </w:r>
      <w:r w:rsidR="00962534" w:rsidRPr="00A17E9C">
        <w:t> </w:t>
      </w:r>
      <w:r w:rsidR="00DD3FE3" w:rsidRPr="00A17E9C">
        <w:t>punktā paredzēto lēmumu, tas ir, atceļ nolēmumu pilnībā</w:t>
      </w:r>
      <w:r w:rsidR="00F71B7F" w:rsidRPr="00A17E9C">
        <w:t xml:space="preserve"> vai daļā</w:t>
      </w:r>
      <w:r w:rsidR="00DD3FE3" w:rsidRPr="00A17E9C">
        <w:t>, tā izlemj jautājumu arī par drošības līdzekli.</w:t>
      </w:r>
    </w:p>
    <w:p w14:paraId="57EE6FB9" w14:textId="1FC23FA8" w:rsidR="00CB62F2" w:rsidRPr="00A17E9C" w:rsidRDefault="00CB62F2" w:rsidP="00CB62F2">
      <w:pPr>
        <w:spacing w:line="276" w:lineRule="auto"/>
        <w:ind w:firstLine="720"/>
        <w:jc w:val="both"/>
      </w:pPr>
      <w:r w:rsidRPr="00A17E9C">
        <w:t>Kriminālprocesa likuma 272. panta ceturtā daļa noteic, ka pamats apcietinājumam var būt tiesas spriedums par smaga vai sevišķi smaga nozieguma izdarīšanu, par kuru piespriests brīvības atņemšanas sods.</w:t>
      </w:r>
    </w:p>
    <w:p w14:paraId="7140F1F5" w14:textId="37B7B178" w:rsidR="00CB62F2" w:rsidRPr="00A17E9C" w:rsidRDefault="00CB62F2" w:rsidP="00CB62F2">
      <w:pPr>
        <w:spacing w:line="276" w:lineRule="auto"/>
        <w:ind w:firstLine="720"/>
        <w:jc w:val="both"/>
      </w:pPr>
      <w:r w:rsidRPr="00A17E9C">
        <w:t xml:space="preserve">Ar pirmās instances tiesas spriedumu apsūdzētais </w:t>
      </w:r>
      <w:r w:rsidR="00DD5895">
        <w:t>[pers. A]</w:t>
      </w:r>
      <w:r w:rsidRPr="00A17E9C">
        <w:t xml:space="preserve"> atzīts par vainīgu sevišķi smaga nozieguma izdarīšanā un sodīts ar ilgstošu brīvības atņemšanu. Apelācijas instances tiesa nav atcēlusi vai grozījusi pirmās instances tiesas spriedumu šajā daļā.</w:t>
      </w:r>
    </w:p>
    <w:p w14:paraId="638F3777" w14:textId="4C29E3EE" w:rsidR="00CB62F2" w:rsidRPr="00A17E9C" w:rsidRDefault="00CB62F2" w:rsidP="00CB62F2">
      <w:pPr>
        <w:spacing w:line="276" w:lineRule="auto"/>
        <w:ind w:firstLine="720"/>
        <w:jc w:val="both"/>
      </w:pPr>
      <w:r w:rsidRPr="00A17E9C">
        <w:t xml:space="preserve">Ņemot vērā, ka </w:t>
      </w:r>
      <w:r w:rsidR="00DD5895">
        <w:t>[pers. A]</w:t>
      </w:r>
      <w:r w:rsidRPr="00A17E9C">
        <w:t xml:space="preserve"> tiek apsūdzēts sevišķi smaga nozieguma izdarīšanā, Senāts atzīst, ka </w:t>
      </w:r>
      <w:r w:rsidR="00DD5895">
        <w:t>[pers. A]</w:t>
      </w:r>
      <w:r w:rsidRPr="00A17E9C">
        <w:t xml:space="preserve"> šajā kriminālprocesa stadijā ir jāturpina piemērot drošības līdzekli – apcietinājum</w:t>
      </w:r>
      <w:r w:rsidR="00247C84" w:rsidRPr="00A17E9C">
        <w:t>u</w:t>
      </w:r>
      <w:r w:rsidRPr="00A17E9C">
        <w:t>.</w:t>
      </w:r>
    </w:p>
    <w:p w14:paraId="2A22871C" w14:textId="77777777" w:rsidR="001D5FD4" w:rsidRPr="00A17E9C" w:rsidRDefault="001D5FD4" w:rsidP="00CB62F2">
      <w:pPr>
        <w:autoSpaceDE w:val="0"/>
        <w:autoSpaceDN w:val="0"/>
        <w:adjustRightInd w:val="0"/>
        <w:spacing w:line="276" w:lineRule="auto"/>
        <w:ind w:firstLine="720"/>
        <w:jc w:val="both"/>
      </w:pPr>
    </w:p>
    <w:p w14:paraId="09A5F751" w14:textId="77777777" w:rsidR="001D5FD4" w:rsidRPr="00A17E9C" w:rsidRDefault="001D5FD4" w:rsidP="00CB62F2">
      <w:pPr>
        <w:spacing w:line="276" w:lineRule="auto"/>
        <w:jc w:val="center"/>
        <w:rPr>
          <w:b/>
        </w:rPr>
      </w:pPr>
      <w:r w:rsidRPr="00A17E9C">
        <w:rPr>
          <w:b/>
        </w:rPr>
        <w:t>Rezolutīvā daļa</w:t>
      </w:r>
    </w:p>
    <w:p w14:paraId="3F0D8876" w14:textId="77777777" w:rsidR="001D5FD4" w:rsidRPr="00A17E9C" w:rsidRDefault="001D5FD4" w:rsidP="00CB62F2">
      <w:pPr>
        <w:spacing w:line="276" w:lineRule="auto"/>
        <w:ind w:firstLine="709"/>
        <w:jc w:val="both"/>
        <w:rPr>
          <w:b/>
        </w:rPr>
      </w:pPr>
      <w:r w:rsidRPr="00A17E9C">
        <w:rPr>
          <w:b/>
        </w:rPr>
        <w:tab/>
      </w:r>
    </w:p>
    <w:p w14:paraId="0538ECE4" w14:textId="4DCE44DB" w:rsidR="001D5FD4" w:rsidRPr="00A17E9C" w:rsidRDefault="001D5FD4" w:rsidP="00CB62F2">
      <w:pPr>
        <w:spacing w:line="276" w:lineRule="auto"/>
        <w:ind w:firstLine="720"/>
        <w:jc w:val="both"/>
      </w:pPr>
      <w:r w:rsidRPr="00A17E9C">
        <w:t>Pamatojoties uz Kriminālprocesa likuma 585.</w:t>
      </w:r>
      <w:r w:rsidR="0085347F" w:rsidRPr="00A17E9C">
        <w:t> pantu un</w:t>
      </w:r>
      <w:r w:rsidRPr="00A17E9C">
        <w:t xml:space="preserve"> 587. pant</w:t>
      </w:r>
      <w:r w:rsidR="0085347F" w:rsidRPr="00A17E9C">
        <w:t>a pirmās daļas 2.</w:t>
      </w:r>
      <w:r w:rsidR="00CA58B8" w:rsidRPr="00A17E9C">
        <w:t> </w:t>
      </w:r>
      <w:r w:rsidR="0085347F" w:rsidRPr="00A17E9C">
        <w:t>punktu</w:t>
      </w:r>
      <w:r w:rsidRPr="00A17E9C">
        <w:t>, Senāts</w:t>
      </w:r>
    </w:p>
    <w:p w14:paraId="73E48805" w14:textId="77777777" w:rsidR="001D5FD4" w:rsidRPr="00A17E9C" w:rsidRDefault="001D5FD4" w:rsidP="00CB62F2">
      <w:pPr>
        <w:spacing w:line="276" w:lineRule="auto"/>
        <w:ind w:firstLine="709"/>
        <w:jc w:val="both"/>
      </w:pPr>
    </w:p>
    <w:p w14:paraId="21431391" w14:textId="77777777" w:rsidR="001D5FD4" w:rsidRPr="00A17E9C" w:rsidRDefault="001D5FD4" w:rsidP="0085347F">
      <w:pPr>
        <w:spacing w:line="276" w:lineRule="auto"/>
        <w:jc w:val="center"/>
        <w:rPr>
          <w:b/>
        </w:rPr>
      </w:pPr>
      <w:r w:rsidRPr="00A17E9C">
        <w:rPr>
          <w:b/>
        </w:rPr>
        <w:t>nolēma</w:t>
      </w:r>
    </w:p>
    <w:p w14:paraId="25525CF2" w14:textId="77777777" w:rsidR="001D5FD4" w:rsidRPr="00A17E9C" w:rsidRDefault="001D5FD4" w:rsidP="00CB62F2">
      <w:pPr>
        <w:tabs>
          <w:tab w:val="left" w:pos="3969"/>
        </w:tabs>
        <w:spacing w:line="276" w:lineRule="auto"/>
        <w:ind w:firstLine="709"/>
        <w:jc w:val="center"/>
        <w:rPr>
          <w:b/>
        </w:rPr>
      </w:pPr>
    </w:p>
    <w:p w14:paraId="4944C47E" w14:textId="6030CBB7" w:rsidR="009B59BE" w:rsidRPr="00A17E9C" w:rsidRDefault="00CA58B8" w:rsidP="00CB62F2">
      <w:pPr>
        <w:spacing w:line="276" w:lineRule="auto"/>
        <w:ind w:firstLine="720"/>
        <w:jc w:val="both"/>
        <w:rPr>
          <w:color w:val="000000" w:themeColor="text1"/>
        </w:rPr>
      </w:pPr>
      <w:r w:rsidRPr="00A17E9C">
        <w:rPr>
          <w:color w:val="000000" w:themeColor="text1"/>
        </w:rPr>
        <w:t>atcelt Rīgas apgabaltiesas 2023.</w:t>
      </w:r>
      <w:r w:rsidR="00271256" w:rsidRPr="00A17E9C">
        <w:rPr>
          <w:color w:val="000000" w:themeColor="text1"/>
        </w:rPr>
        <w:t> </w:t>
      </w:r>
      <w:r w:rsidRPr="00A17E9C">
        <w:rPr>
          <w:color w:val="000000" w:themeColor="text1"/>
        </w:rPr>
        <w:t>gada 18.</w:t>
      </w:r>
      <w:r w:rsidR="00271256" w:rsidRPr="00A17E9C">
        <w:rPr>
          <w:color w:val="000000" w:themeColor="text1"/>
        </w:rPr>
        <w:t> </w:t>
      </w:r>
      <w:r w:rsidRPr="00A17E9C">
        <w:rPr>
          <w:color w:val="000000" w:themeColor="text1"/>
        </w:rPr>
        <w:t>aprīļa lēmumu pilnībā un nosūtīt lietu jaunai izskatīšanai Rīgas apgabaltiesā</w:t>
      </w:r>
      <w:r w:rsidR="00247C84" w:rsidRPr="00A17E9C">
        <w:rPr>
          <w:color w:val="000000" w:themeColor="text1"/>
        </w:rPr>
        <w:t>;</w:t>
      </w:r>
    </w:p>
    <w:p w14:paraId="197C60C8" w14:textId="7B8F62EB" w:rsidR="00893C84" w:rsidRPr="00A17E9C" w:rsidRDefault="00247C84" w:rsidP="007067FB">
      <w:pPr>
        <w:spacing w:line="276" w:lineRule="auto"/>
        <w:ind w:firstLine="720"/>
        <w:jc w:val="both"/>
        <w:rPr>
          <w:color w:val="000000" w:themeColor="text1"/>
        </w:rPr>
      </w:pPr>
      <w:r w:rsidRPr="00A17E9C">
        <w:rPr>
          <w:color w:val="000000" w:themeColor="text1"/>
        </w:rPr>
        <w:t>a</w:t>
      </w:r>
      <w:r w:rsidR="00893C84" w:rsidRPr="00A17E9C">
        <w:rPr>
          <w:color w:val="000000" w:themeColor="text1"/>
        </w:rPr>
        <w:t xml:space="preserve">psūdzētajam </w:t>
      </w:r>
      <w:r w:rsidR="00DD5895">
        <w:rPr>
          <w:color w:val="000000" w:themeColor="text1"/>
        </w:rPr>
        <w:t>[pers. A]</w:t>
      </w:r>
      <w:r w:rsidR="00893C84" w:rsidRPr="00A17E9C">
        <w:rPr>
          <w:color w:val="000000" w:themeColor="text1"/>
        </w:rPr>
        <w:t xml:space="preserve"> turpināt </w:t>
      </w:r>
      <w:r w:rsidRPr="00A17E9C">
        <w:rPr>
          <w:color w:val="000000" w:themeColor="text1"/>
        </w:rPr>
        <w:t xml:space="preserve">piemērot </w:t>
      </w:r>
      <w:r w:rsidR="00893C84" w:rsidRPr="00A17E9C">
        <w:rPr>
          <w:color w:val="000000" w:themeColor="text1"/>
        </w:rPr>
        <w:t>drošības līdzekli</w:t>
      </w:r>
      <w:r w:rsidR="007067FB">
        <w:rPr>
          <w:color w:val="000000" w:themeColor="text1"/>
        </w:rPr>
        <w:t> </w:t>
      </w:r>
      <w:r w:rsidR="00893C84" w:rsidRPr="00A17E9C">
        <w:rPr>
          <w:color w:val="000000" w:themeColor="text1"/>
        </w:rPr>
        <w:t>–</w:t>
      </w:r>
      <w:r w:rsidR="007067FB">
        <w:rPr>
          <w:color w:val="000000" w:themeColor="text1"/>
        </w:rPr>
        <w:t> </w:t>
      </w:r>
      <w:r w:rsidR="00893C84" w:rsidRPr="00A17E9C">
        <w:rPr>
          <w:color w:val="000000" w:themeColor="text1"/>
        </w:rPr>
        <w:t>apcietinājumu.</w:t>
      </w:r>
    </w:p>
    <w:p w14:paraId="3172DEFA" w14:textId="77777777" w:rsidR="009B59BE" w:rsidRPr="00A17E9C" w:rsidRDefault="009B59BE" w:rsidP="00CB62F2">
      <w:pPr>
        <w:spacing w:line="276" w:lineRule="auto"/>
        <w:ind w:firstLine="720"/>
        <w:jc w:val="both"/>
        <w:rPr>
          <w:color w:val="000000" w:themeColor="text1"/>
        </w:rPr>
      </w:pPr>
    </w:p>
    <w:p w14:paraId="07BE191F" w14:textId="6E32E472" w:rsidR="001D5FD4" w:rsidRPr="00A17E9C" w:rsidRDefault="001D5FD4" w:rsidP="00CB62F2">
      <w:pPr>
        <w:spacing w:line="276" w:lineRule="auto"/>
        <w:ind w:firstLine="720"/>
        <w:jc w:val="both"/>
        <w:rPr>
          <w:color w:val="000000" w:themeColor="text1"/>
        </w:rPr>
      </w:pPr>
      <w:r w:rsidRPr="00A17E9C">
        <w:rPr>
          <w:color w:val="000000" w:themeColor="text1"/>
        </w:rPr>
        <w:t>Lēmums nav pārsūdzams.</w:t>
      </w:r>
    </w:p>
    <w:sectPr w:rsidR="001D5FD4" w:rsidRPr="00A17E9C" w:rsidSect="00606436">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0B63A" w14:textId="77777777" w:rsidR="00606436" w:rsidRDefault="00606436">
      <w:r>
        <w:separator/>
      </w:r>
    </w:p>
  </w:endnote>
  <w:endnote w:type="continuationSeparator" w:id="0">
    <w:p w14:paraId="7931B5B7" w14:textId="77777777" w:rsidR="00606436" w:rsidRDefault="0060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4088468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14D31D3" w14:textId="75FD6130" w:rsidR="00C44B24" w:rsidRPr="00481ABC" w:rsidRDefault="00C44B24" w:rsidP="00166813">
            <w:pPr>
              <w:pStyle w:val="Footer"/>
              <w:jc w:val="center"/>
              <w:rPr>
                <w:sz w:val="20"/>
                <w:szCs w:val="20"/>
              </w:rPr>
            </w:pPr>
            <w:r w:rsidRPr="00481ABC">
              <w:rPr>
                <w:bCs/>
                <w:sz w:val="20"/>
                <w:szCs w:val="20"/>
              </w:rPr>
              <w:fldChar w:fldCharType="begin"/>
            </w:r>
            <w:r w:rsidRPr="00481ABC">
              <w:rPr>
                <w:bCs/>
                <w:sz w:val="20"/>
                <w:szCs w:val="20"/>
              </w:rPr>
              <w:instrText xml:space="preserve"> PAGE </w:instrText>
            </w:r>
            <w:r w:rsidRPr="00481ABC">
              <w:rPr>
                <w:bCs/>
                <w:sz w:val="20"/>
                <w:szCs w:val="20"/>
              </w:rPr>
              <w:fldChar w:fldCharType="separate"/>
            </w:r>
            <w:r w:rsidRPr="00481ABC">
              <w:rPr>
                <w:bCs/>
                <w:noProof/>
                <w:sz w:val="20"/>
                <w:szCs w:val="20"/>
              </w:rPr>
              <w:t>2</w:t>
            </w:r>
            <w:r w:rsidRPr="00481ABC">
              <w:rPr>
                <w:bCs/>
                <w:sz w:val="20"/>
                <w:szCs w:val="20"/>
              </w:rPr>
              <w:fldChar w:fldCharType="end"/>
            </w:r>
            <w:r w:rsidRPr="00481ABC">
              <w:rPr>
                <w:sz w:val="20"/>
                <w:szCs w:val="20"/>
              </w:rPr>
              <w:t xml:space="preserve"> no </w:t>
            </w:r>
            <w:r w:rsidRPr="00481ABC">
              <w:rPr>
                <w:bCs/>
                <w:sz w:val="20"/>
                <w:szCs w:val="20"/>
              </w:rPr>
              <w:fldChar w:fldCharType="begin"/>
            </w:r>
            <w:r w:rsidRPr="00481ABC">
              <w:rPr>
                <w:bCs/>
                <w:sz w:val="20"/>
                <w:szCs w:val="20"/>
              </w:rPr>
              <w:instrText xml:space="preserve"> NUMPAGES  </w:instrText>
            </w:r>
            <w:r w:rsidRPr="00481ABC">
              <w:rPr>
                <w:bCs/>
                <w:sz w:val="20"/>
                <w:szCs w:val="20"/>
              </w:rPr>
              <w:fldChar w:fldCharType="separate"/>
            </w:r>
            <w:r w:rsidRPr="00481ABC">
              <w:rPr>
                <w:bCs/>
                <w:noProof/>
                <w:sz w:val="20"/>
                <w:szCs w:val="20"/>
              </w:rPr>
              <w:t>2</w:t>
            </w:r>
            <w:r w:rsidRPr="00481ABC">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2C11A" w14:textId="77777777" w:rsidR="00606436" w:rsidRDefault="00606436">
      <w:r>
        <w:separator/>
      </w:r>
    </w:p>
  </w:footnote>
  <w:footnote w:type="continuationSeparator" w:id="0">
    <w:p w14:paraId="48EC13B2" w14:textId="77777777" w:rsidR="00606436" w:rsidRDefault="00606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D4"/>
    <w:rsid w:val="00000531"/>
    <w:rsid w:val="000016E5"/>
    <w:rsid w:val="000075DE"/>
    <w:rsid w:val="00012365"/>
    <w:rsid w:val="00020871"/>
    <w:rsid w:val="00024454"/>
    <w:rsid w:val="00035D03"/>
    <w:rsid w:val="00045F30"/>
    <w:rsid w:val="00050EE7"/>
    <w:rsid w:val="00053D30"/>
    <w:rsid w:val="00060B38"/>
    <w:rsid w:val="00063A27"/>
    <w:rsid w:val="0006402E"/>
    <w:rsid w:val="0007777B"/>
    <w:rsid w:val="00083632"/>
    <w:rsid w:val="000844C9"/>
    <w:rsid w:val="00092C86"/>
    <w:rsid w:val="000A53CD"/>
    <w:rsid w:val="000B274C"/>
    <w:rsid w:val="000F6394"/>
    <w:rsid w:val="000F7702"/>
    <w:rsid w:val="001031E7"/>
    <w:rsid w:val="001139A5"/>
    <w:rsid w:val="00125914"/>
    <w:rsid w:val="00133966"/>
    <w:rsid w:val="0013462A"/>
    <w:rsid w:val="00140BC2"/>
    <w:rsid w:val="00141C1A"/>
    <w:rsid w:val="00142C48"/>
    <w:rsid w:val="00145E9C"/>
    <w:rsid w:val="00157939"/>
    <w:rsid w:val="001611A0"/>
    <w:rsid w:val="00161314"/>
    <w:rsid w:val="00164D23"/>
    <w:rsid w:val="001665A8"/>
    <w:rsid w:val="00176AB1"/>
    <w:rsid w:val="00185105"/>
    <w:rsid w:val="001911EA"/>
    <w:rsid w:val="00195B6A"/>
    <w:rsid w:val="00195C0A"/>
    <w:rsid w:val="001A0FF9"/>
    <w:rsid w:val="001A132A"/>
    <w:rsid w:val="001A2A89"/>
    <w:rsid w:val="001A32CF"/>
    <w:rsid w:val="001A4CA3"/>
    <w:rsid w:val="001B01DC"/>
    <w:rsid w:val="001B4D39"/>
    <w:rsid w:val="001B7D87"/>
    <w:rsid w:val="001D3DEF"/>
    <w:rsid w:val="001D5FD4"/>
    <w:rsid w:val="001E74BF"/>
    <w:rsid w:val="001F1DA8"/>
    <w:rsid w:val="001F1E05"/>
    <w:rsid w:val="001F2DF2"/>
    <w:rsid w:val="001F3692"/>
    <w:rsid w:val="001F6794"/>
    <w:rsid w:val="0020477A"/>
    <w:rsid w:val="0022055B"/>
    <w:rsid w:val="00226B1E"/>
    <w:rsid w:val="00230772"/>
    <w:rsid w:val="0023134B"/>
    <w:rsid w:val="00235FCB"/>
    <w:rsid w:val="00240EDE"/>
    <w:rsid w:val="0024349E"/>
    <w:rsid w:val="002479BA"/>
    <w:rsid w:val="00247C84"/>
    <w:rsid w:val="002531E6"/>
    <w:rsid w:val="00253A71"/>
    <w:rsid w:val="002578E1"/>
    <w:rsid w:val="00263829"/>
    <w:rsid w:val="00271256"/>
    <w:rsid w:val="00273DAD"/>
    <w:rsid w:val="0027410C"/>
    <w:rsid w:val="002766B0"/>
    <w:rsid w:val="00284AE4"/>
    <w:rsid w:val="002875AD"/>
    <w:rsid w:val="002B394B"/>
    <w:rsid w:val="002C0786"/>
    <w:rsid w:val="002C48FC"/>
    <w:rsid w:val="002C5292"/>
    <w:rsid w:val="002D5CFE"/>
    <w:rsid w:val="002D76A9"/>
    <w:rsid w:val="002E6621"/>
    <w:rsid w:val="002F0101"/>
    <w:rsid w:val="00304A4B"/>
    <w:rsid w:val="0032432E"/>
    <w:rsid w:val="00327D0E"/>
    <w:rsid w:val="003418E1"/>
    <w:rsid w:val="00346F0B"/>
    <w:rsid w:val="00353844"/>
    <w:rsid w:val="003545D8"/>
    <w:rsid w:val="00373ED2"/>
    <w:rsid w:val="0037629D"/>
    <w:rsid w:val="003A3109"/>
    <w:rsid w:val="003A329B"/>
    <w:rsid w:val="003A3924"/>
    <w:rsid w:val="003A6CFE"/>
    <w:rsid w:val="003A7183"/>
    <w:rsid w:val="003B3869"/>
    <w:rsid w:val="003B4472"/>
    <w:rsid w:val="003B69EA"/>
    <w:rsid w:val="003C0FCB"/>
    <w:rsid w:val="003C291F"/>
    <w:rsid w:val="003D3F89"/>
    <w:rsid w:val="003D4B06"/>
    <w:rsid w:val="003D6A43"/>
    <w:rsid w:val="003D6F29"/>
    <w:rsid w:val="003F2650"/>
    <w:rsid w:val="003F2A37"/>
    <w:rsid w:val="003F5C42"/>
    <w:rsid w:val="00401DC2"/>
    <w:rsid w:val="004020E3"/>
    <w:rsid w:val="0040770E"/>
    <w:rsid w:val="004115FB"/>
    <w:rsid w:val="00415B15"/>
    <w:rsid w:val="004205FF"/>
    <w:rsid w:val="00420C35"/>
    <w:rsid w:val="00421BDB"/>
    <w:rsid w:val="00422A0D"/>
    <w:rsid w:val="00425611"/>
    <w:rsid w:val="004377D5"/>
    <w:rsid w:val="00441A09"/>
    <w:rsid w:val="00445371"/>
    <w:rsid w:val="0045134B"/>
    <w:rsid w:val="00460A5F"/>
    <w:rsid w:val="004668F4"/>
    <w:rsid w:val="00480820"/>
    <w:rsid w:val="004827BB"/>
    <w:rsid w:val="00483218"/>
    <w:rsid w:val="00483ECE"/>
    <w:rsid w:val="004A00AD"/>
    <w:rsid w:val="004A58E6"/>
    <w:rsid w:val="004B0577"/>
    <w:rsid w:val="004B0F08"/>
    <w:rsid w:val="004B163D"/>
    <w:rsid w:val="004C36B0"/>
    <w:rsid w:val="004D00E5"/>
    <w:rsid w:val="004D06FF"/>
    <w:rsid w:val="004D3434"/>
    <w:rsid w:val="004D54AF"/>
    <w:rsid w:val="004E11A8"/>
    <w:rsid w:val="004E19FA"/>
    <w:rsid w:val="004F1635"/>
    <w:rsid w:val="004F191A"/>
    <w:rsid w:val="004F29E8"/>
    <w:rsid w:val="004F31E4"/>
    <w:rsid w:val="0050209B"/>
    <w:rsid w:val="00503639"/>
    <w:rsid w:val="00512370"/>
    <w:rsid w:val="00517EFF"/>
    <w:rsid w:val="0052349C"/>
    <w:rsid w:val="005239B2"/>
    <w:rsid w:val="00524E82"/>
    <w:rsid w:val="00526642"/>
    <w:rsid w:val="00532FE0"/>
    <w:rsid w:val="00533702"/>
    <w:rsid w:val="00537100"/>
    <w:rsid w:val="005504A9"/>
    <w:rsid w:val="00551CD5"/>
    <w:rsid w:val="00552881"/>
    <w:rsid w:val="00564018"/>
    <w:rsid w:val="00566E22"/>
    <w:rsid w:val="00570679"/>
    <w:rsid w:val="00575447"/>
    <w:rsid w:val="00576892"/>
    <w:rsid w:val="0058336F"/>
    <w:rsid w:val="005905C1"/>
    <w:rsid w:val="00591008"/>
    <w:rsid w:val="005A030B"/>
    <w:rsid w:val="005B1CB0"/>
    <w:rsid w:val="005B4A89"/>
    <w:rsid w:val="005B7E9B"/>
    <w:rsid w:val="005C3A80"/>
    <w:rsid w:val="005D473D"/>
    <w:rsid w:val="005D5DB9"/>
    <w:rsid w:val="005F43F4"/>
    <w:rsid w:val="005F7E40"/>
    <w:rsid w:val="00603225"/>
    <w:rsid w:val="0060419F"/>
    <w:rsid w:val="00605767"/>
    <w:rsid w:val="00606436"/>
    <w:rsid w:val="00630A96"/>
    <w:rsid w:val="006323AF"/>
    <w:rsid w:val="00644392"/>
    <w:rsid w:val="00650866"/>
    <w:rsid w:val="00653440"/>
    <w:rsid w:val="0066646B"/>
    <w:rsid w:val="00691BBF"/>
    <w:rsid w:val="0069659A"/>
    <w:rsid w:val="006A5EEE"/>
    <w:rsid w:val="006B1995"/>
    <w:rsid w:val="006B7AE2"/>
    <w:rsid w:val="006C03F4"/>
    <w:rsid w:val="006C24EB"/>
    <w:rsid w:val="006D0689"/>
    <w:rsid w:val="006D1347"/>
    <w:rsid w:val="006D3E83"/>
    <w:rsid w:val="006E711C"/>
    <w:rsid w:val="00700596"/>
    <w:rsid w:val="00701227"/>
    <w:rsid w:val="0070500B"/>
    <w:rsid w:val="007067FB"/>
    <w:rsid w:val="007126B4"/>
    <w:rsid w:val="0071387F"/>
    <w:rsid w:val="00722CC2"/>
    <w:rsid w:val="0072665E"/>
    <w:rsid w:val="00727A13"/>
    <w:rsid w:val="007317DE"/>
    <w:rsid w:val="00734904"/>
    <w:rsid w:val="00734D70"/>
    <w:rsid w:val="00737AF4"/>
    <w:rsid w:val="00737F83"/>
    <w:rsid w:val="007409FD"/>
    <w:rsid w:val="007419BE"/>
    <w:rsid w:val="00741CAF"/>
    <w:rsid w:val="00751049"/>
    <w:rsid w:val="00752BFF"/>
    <w:rsid w:val="00754FB3"/>
    <w:rsid w:val="00754FB7"/>
    <w:rsid w:val="00761718"/>
    <w:rsid w:val="0076203E"/>
    <w:rsid w:val="00762F9F"/>
    <w:rsid w:val="007634BB"/>
    <w:rsid w:val="00765B16"/>
    <w:rsid w:val="0076699B"/>
    <w:rsid w:val="00774FA2"/>
    <w:rsid w:val="00775A92"/>
    <w:rsid w:val="00777D61"/>
    <w:rsid w:val="007926AC"/>
    <w:rsid w:val="007A12F2"/>
    <w:rsid w:val="007B59BB"/>
    <w:rsid w:val="007C28B0"/>
    <w:rsid w:val="007C291D"/>
    <w:rsid w:val="007C638C"/>
    <w:rsid w:val="007C6B8F"/>
    <w:rsid w:val="007D716C"/>
    <w:rsid w:val="007E3688"/>
    <w:rsid w:val="007F667E"/>
    <w:rsid w:val="007F7224"/>
    <w:rsid w:val="007F7C09"/>
    <w:rsid w:val="00800BD8"/>
    <w:rsid w:val="00837C9C"/>
    <w:rsid w:val="0085197B"/>
    <w:rsid w:val="0085347F"/>
    <w:rsid w:val="008560B9"/>
    <w:rsid w:val="00867038"/>
    <w:rsid w:val="00867E14"/>
    <w:rsid w:val="00871A03"/>
    <w:rsid w:val="008872FE"/>
    <w:rsid w:val="00893C84"/>
    <w:rsid w:val="008970E8"/>
    <w:rsid w:val="008A1B90"/>
    <w:rsid w:val="008A347D"/>
    <w:rsid w:val="008A4647"/>
    <w:rsid w:val="008A4803"/>
    <w:rsid w:val="008A65E7"/>
    <w:rsid w:val="008B5802"/>
    <w:rsid w:val="008C2D65"/>
    <w:rsid w:val="008D2BAA"/>
    <w:rsid w:val="008D37C5"/>
    <w:rsid w:val="008E377E"/>
    <w:rsid w:val="008E3D49"/>
    <w:rsid w:val="008E428A"/>
    <w:rsid w:val="008E7048"/>
    <w:rsid w:val="008F1899"/>
    <w:rsid w:val="008F3045"/>
    <w:rsid w:val="009022B0"/>
    <w:rsid w:val="00903E08"/>
    <w:rsid w:val="00904BC4"/>
    <w:rsid w:val="00907B3A"/>
    <w:rsid w:val="00921B62"/>
    <w:rsid w:val="00922095"/>
    <w:rsid w:val="00930810"/>
    <w:rsid w:val="00933229"/>
    <w:rsid w:val="00962534"/>
    <w:rsid w:val="009702EF"/>
    <w:rsid w:val="009730F1"/>
    <w:rsid w:val="009733D4"/>
    <w:rsid w:val="0097586E"/>
    <w:rsid w:val="009834AC"/>
    <w:rsid w:val="00986845"/>
    <w:rsid w:val="0099254E"/>
    <w:rsid w:val="009928BF"/>
    <w:rsid w:val="00997698"/>
    <w:rsid w:val="009A37BB"/>
    <w:rsid w:val="009A442A"/>
    <w:rsid w:val="009A5202"/>
    <w:rsid w:val="009B59BE"/>
    <w:rsid w:val="009C77B3"/>
    <w:rsid w:val="009D143C"/>
    <w:rsid w:val="009D3318"/>
    <w:rsid w:val="009E09E2"/>
    <w:rsid w:val="009E0EBB"/>
    <w:rsid w:val="009E39F2"/>
    <w:rsid w:val="009F66B9"/>
    <w:rsid w:val="009F6B1E"/>
    <w:rsid w:val="00A0539A"/>
    <w:rsid w:val="00A07515"/>
    <w:rsid w:val="00A11E78"/>
    <w:rsid w:val="00A123E5"/>
    <w:rsid w:val="00A17E9C"/>
    <w:rsid w:val="00A24B5B"/>
    <w:rsid w:val="00A31CD9"/>
    <w:rsid w:val="00A31FD1"/>
    <w:rsid w:val="00A36FE8"/>
    <w:rsid w:val="00A632C3"/>
    <w:rsid w:val="00A648DE"/>
    <w:rsid w:val="00A75EB5"/>
    <w:rsid w:val="00A83939"/>
    <w:rsid w:val="00A851CC"/>
    <w:rsid w:val="00A86D51"/>
    <w:rsid w:val="00A9213B"/>
    <w:rsid w:val="00AA4247"/>
    <w:rsid w:val="00AA7033"/>
    <w:rsid w:val="00AC3280"/>
    <w:rsid w:val="00AC6474"/>
    <w:rsid w:val="00AD13CE"/>
    <w:rsid w:val="00AD3C2A"/>
    <w:rsid w:val="00AD7E8D"/>
    <w:rsid w:val="00AF268D"/>
    <w:rsid w:val="00AF5628"/>
    <w:rsid w:val="00B01278"/>
    <w:rsid w:val="00B03346"/>
    <w:rsid w:val="00B07C69"/>
    <w:rsid w:val="00B12187"/>
    <w:rsid w:val="00B17623"/>
    <w:rsid w:val="00B21EF5"/>
    <w:rsid w:val="00B301E0"/>
    <w:rsid w:val="00B34965"/>
    <w:rsid w:val="00B4178C"/>
    <w:rsid w:val="00B443AA"/>
    <w:rsid w:val="00B459F9"/>
    <w:rsid w:val="00B47F0F"/>
    <w:rsid w:val="00B54FC6"/>
    <w:rsid w:val="00B73560"/>
    <w:rsid w:val="00B75A17"/>
    <w:rsid w:val="00B769E6"/>
    <w:rsid w:val="00B83376"/>
    <w:rsid w:val="00B83E68"/>
    <w:rsid w:val="00B842C0"/>
    <w:rsid w:val="00B8554A"/>
    <w:rsid w:val="00B951F8"/>
    <w:rsid w:val="00B962E1"/>
    <w:rsid w:val="00B9650C"/>
    <w:rsid w:val="00B97548"/>
    <w:rsid w:val="00BA3067"/>
    <w:rsid w:val="00BB00BC"/>
    <w:rsid w:val="00BB6AE8"/>
    <w:rsid w:val="00BB70B8"/>
    <w:rsid w:val="00BB718B"/>
    <w:rsid w:val="00BB75EF"/>
    <w:rsid w:val="00BC54BD"/>
    <w:rsid w:val="00BC55AC"/>
    <w:rsid w:val="00BC7CD6"/>
    <w:rsid w:val="00BD253F"/>
    <w:rsid w:val="00BD5BF8"/>
    <w:rsid w:val="00BD7BD2"/>
    <w:rsid w:val="00BE0538"/>
    <w:rsid w:val="00BE24D2"/>
    <w:rsid w:val="00BE2973"/>
    <w:rsid w:val="00BE6600"/>
    <w:rsid w:val="00BF1EE8"/>
    <w:rsid w:val="00BF2AAB"/>
    <w:rsid w:val="00BF35AF"/>
    <w:rsid w:val="00BF3724"/>
    <w:rsid w:val="00BF5CBE"/>
    <w:rsid w:val="00BF7AB5"/>
    <w:rsid w:val="00C02823"/>
    <w:rsid w:val="00C1326E"/>
    <w:rsid w:val="00C15D1E"/>
    <w:rsid w:val="00C176B9"/>
    <w:rsid w:val="00C23AEE"/>
    <w:rsid w:val="00C377A2"/>
    <w:rsid w:val="00C42800"/>
    <w:rsid w:val="00C44B04"/>
    <w:rsid w:val="00C44B24"/>
    <w:rsid w:val="00C535A3"/>
    <w:rsid w:val="00C570E5"/>
    <w:rsid w:val="00C65115"/>
    <w:rsid w:val="00C66FAD"/>
    <w:rsid w:val="00C673FE"/>
    <w:rsid w:val="00C74458"/>
    <w:rsid w:val="00C74978"/>
    <w:rsid w:val="00C75DC1"/>
    <w:rsid w:val="00C80631"/>
    <w:rsid w:val="00CA58B8"/>
    <w:rsid w:val="00CB436A"/>
    <w:rsid w:val="00CB62F2"/>
    <w:rsid w:val="00CB7335"/>
    <w:rsid w:val="00CC2FF5"/>
    <w:rsid w:val="00CD0A77"/>
    <w:rsid w:val="00CD0D9F"/>
    <w:rsid w:val="00CE015A"/>
    <w:rsid w:val="00CE2FC5"/>
    <w:rsid w:val="00CE65DF"/>
    <w:rsid w:val="00CF36C0"/>
    <w:rsid w:val="00CF50E0"/>
    <w:rsid w:val="00D002F3"/>
    <w:rsid w:val="00D04433"/>
    <w:rsid w:val="00D11907"/>
    <w:rsid w:val="00D13BBD"/>
    <w:rsid w:val="00D17E2B"/>
    <w:rsid w:val="00D222AC"/>
    <w:rsid w:val="00D24782"/>
    <w:rsid w:val="00D338B2"/>
    <w:rsid w:val="00D41474"/>
    <w:rsid w:val="00D434C9"/>
    <w:rsid w:val="00D438A5"/>
    <w:rsid w:val="00D454C2"/>
    <w:rsid w:val="00D460AD"/>
    <w:rsid w:val="00D51906"/>
    <w:rsid w:val="00D520CC"/>
    <w:rsid w:val="00D52D32"/>
    <w:rsid w:val="00D5613F"/>
    <w:rsid w:val="00D56CD7"/>
    <w:rsid w:val="00D61733"/>
    <w:rsid w:val="00D61FA8"/>
    <w:rsid w:val="00D824B4"/>
    <w:rsid w:val="00D8452C"/>
    <w:rsid w:val="00D84607"/>
    <w:rsid w:val="00D84F13"/>
    <w:rsid w:val="00D945B6"/>
    <w:rsid w:val="00D975D6"/>
    <w:rsid w:val="00DA15E6"/>
    <w:rsid w:val="00DA5BEE"/>
    <w:rsid w:val="00DA7491"/>
    <w:rsid w:val="00DB4378"/>
    <w:rsid w:val="00DC304C"/>
    <w:rsid w:val="00DC558D"/>
    <w:rsid w:val="00DD2618"/>
    <w:rsid w:val="00DD3FE3"/>
    <w:rsid w:val="00DD5503"/>
    <w:rsid w:val="00DD5895"/>
    <w:rsid w:val="00DE2AC7"/>
    <w:rsid w:val="00E0637B"/>
    <w:rsid w:val="00E22096"/>
    <w:rsid w:val="00E222EF"/>
    <w:rsid w:val="00E24B93"/>
    <w:rsid w:val="00E4018B"/>
    <w:rsid w:val="00E41A80"/>
    <w:rsid w:val="00E4676B"/>
    <w:rsid w:val="00E544A6"/>
    <w:rsid w:val="00E55BBC"/>
    <w:rsid w:val="00E631DD"/>
    <w:rsid w:val="00E71444"/>
    <w:rsid w:val="00E755CE"/>
    <w:rsid w:val="00E76842"/>
    <w:rsid w:val="00E81627"/>
    <w:rsid w:val="00E854F7"/>
    <w:rsid w:val="00E8602C"/>
    <w:rsid w:val="00E87E3A"/>
    <w:rsid w:val="00E94A3A"/>
    <w:rsid w:val="00EA35C1"/>
    <w:rsid w:val="00ED0C59"/>
    <w:rsid w:val="00EE38A9"/>
    <w:rsid w:val="00EE3AD9"/>
    <w:rsid w:val="00EE4F39"/>
    <w:rsid w:val="00EF0255"/>
    <w:rsid w:val="00EF5A01"/>
    <w:rsid w:val="00EF5C68"/>
    <w:rsid w:val="00F15EF6"/>
    <w:rsid w:val="00F2331A"/>
    <w:rsid w:val="00F23DEB"/>
    <w:rsid w:val="00F36867"/>
    <w:rsid w:val="00F376DB"/>
    <w:rsid w:val="00F46938"/>
    <w:rsid w:val="00F4779D"/>
    <w:rsid w:val="00F509E6"/>
    <w:rsid w:val="00F544AB"/>
    <w:rsid w:val="00F56494"/>
    <w:rsid w:val="00F56876"/>
    <w:rsid w:val="00F606EC"/>
    <w:rsid w:val="00F70CFA"/>
    <w:rsid w:val="00F71B7F"/>
    <w:rsid w:val="00F71BEB"/>
    <w:rsid w:val="00F75FD4"/>
    <w:rsid w:val="00F87366"/>
    <w:rsid w:val="00F906CB"/>
    <w:rsid w:val="00FB14D9"/>
    <w:rsid w:val="00FC1B45"/>
    <w:rsid w:val="00FC379B"/>
    <w:rsid w:val="00FC42AE"/>
    <w:rsid w:val="00FD68D4"/>
    <w:rsid w:val="00FE1C30"/>
    <w:rsid w:val="00FE7580"/>
    <w:rsid w:val="00FF16F1"/>
    <w:rsid w:val="00FF2B3A"/>
    <w:rsid w:val="00FF4394"/>
    <w:rsid w:val="00FF5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B6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D4"/>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1D5FD4"/>
    <w:pPr>
      <w:spacing w:after="120" w:line="480" w:lineRule="auto"/>
    </w:pPr>
    <w:rPr>
      <w:lang w:val="x-none"/>
    </w:rPr>
  </w:style>
  <w:style w:type="character" w:customStyle="1" w:styleId="BodyText2Char">
    <w:name w:val="Body Text 2 Char"/>
    <w:basedOn w:val="DefaultParagraphFont"/>
    <w:link w:val="BodyText2"/>
    <w:semiHidden/>
    <w:rsid w:val="001D5FD4"/>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1D5FD4"/>
    <w:pPr>
      <w:tabs>
        <w:tab w:val="center" w:pos="4153"/>
        <w:tab w:val="right" w:pos="8306"/>
      </w:tabs>
    </w:pPr>
  </w:style>
  <w:style w:type="character" w:customStyle="1" w:styleId="FooterChar">
    <w:name w:val="Footer Char"/>
    <w:basedOn w:val="DefaultParagraphFont"/>
    <w:link w:val="Footer"/>
    <w:uiPriority w:val="99"/>
    <w:rsid w:val="001D5FD4"/>
    <w:rPr>
      <w:rFonts w:eastAsia="Times New Roman" w:cs="Times New Roman"/>
      <w:kern w:val="0"/>
      <w:szCs w:val="24"/>
      <w:lang w:val="lv-LV" w:eastAsia="ru-RU"/>
      <w14:ligatures w14:val="none"/>
    </w:rPr>
  </w:style>
  <w:style w:type="table" w:styleId="TableGrid">
    <w:name w:val="Table Grid"/>
    <w:basedOn w:val="TableNormal"/>
    <w:uiPriority w:val="39"/>
    <w:rsid w:val="001D5FD4"/>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DefaultParagraphFont"/>
    <w:link w:val="Style2"/>
    <w:uiPriority w:val="99"/>
    <w:rsid w:val="001D5FD4"/>
    <w:rPr>
      <w:shd w:val="clear" w:color="auto" w:fill="FFFFFF"/>
    </w:rPr>
  </w:style>
  <w:style w:type="paragraph" w:customStyle="1" w:styleId="Style2">
    <w:name w:val="Style 2"/>
    <w:basedOn w:val="Normal"/>
    <w:link w:val="CharStyle10"/>
    <w:uiPriority w:val="99"/>
    <w:qFormat/>
    <w:rsid w:val="001D5FD4"/>
    <w:pPr>
      <w:widowControl w:val="0"/>
      <w:shd w:val="clear" w:color="auto" w:fill="FFFFFF"/>
      <w:spacing w:before="280" w:after="280" w:line="274" w:lineRule="exact"/>
      <w:jc w:val="both"/>
    </w:pPr>
    <w:rPr>
      <w:rFonts w:eastAsiaTheme="minorHAnsi" w:cstheme="minorBidi"/>
      <w:kern w:val="2"/>
      <w:szCs w:val="22"/>
      <w:lang w:val="en-US" w:eastAsia="en-US"/>
      <w14:ligatures w14:val="standardContextual"/>
    </w:rPr>
  </w:style>
  <w:style w:type="paragraph" w:styleId="Header">
    <w:name w:val="header"/>
    <w:basedOn w:val="Normal"/>
    <w:link w:val="HeaderChar"/>
    <w:uiPriority w:val="99"/>
    <w:unhideWhenUsed/>
    <w:rsid w:val="001D5FD4"/>
    <w:pPr>
      <w:tabs>
        <w:tab w:val="center" w:pos="4513"/>
        <w:tab w:val="right" w:pos="9026"/>
      </w:tabs>
    </w:pPr>
  </w:style>
  <w:style w:type="character" w:customStyle="1" w:styleId="HeaderChar">
    <w:name w:val="Header Char"/>
    <w:basedOn w:val="DefaultParagraphFont"/>
    <w:link w:val="Header"/>
    <w:uiPriority w:val="99"/>
    <w:rsid w:val="001D5FD4"/>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CB62F2"/>
    <w:rPr>
      <w:color w:val="0563C1" w:themeColor="hyperlink"/>
      <w:u w:val="single"/>
    </w:rPr>
  </w:style>
  <w:style w:type="character" w:styleId="CommentReference">
    <w:name w:val="annotation reference"/>
    <w:basedOn w:val="DefaultParagraphFont"/>
    <w:uiPriority w:val="99"/>
    <w:semiHidden/>
    <w:unhideWhenUsed/>
    <w:rsid w:val="006323AF"/>
    <w:rPr>
      <w:sz w:val="16"/>
      <w:szCs w:val="16"/>
    </w:rPr>
  </w:style>
  <w:style w:type="paragraph" w:styleId="CommentText">
    <w:name w:val="annotation text"/>
    <w:basedOn w:val="Normal"/>
    <w:link w:val="CommentTextChar"/>
    <w:uiPriority w:val="99"/>
    <w:semiHidden/>
    <w:unhideWhenUsed/>
    <w:rsid w:val="006323AF"/>
    <w:rPr>
      <w:sz w:val="20"/>
      <w:szCs w:val="20"/>
    </w:rPr>
  </w:style>
  <w:style w:type="character" w:customStyle="1" w:styleId="CommentTextChar">
    <w:name w:val="Comment Text Char"/>
    <w:basedOn w:val="DefaultParagraphFont"/>
    <w:link w:val="CommentText"/>
    <w:uiPriority w:val="99"/>
    <w:semiHidden/>
    <w:rsid w:val="006323AF"/>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323AF"/>
    <w:rPr>
      <w:b/>
      <w:bCs/>
    </w:rPr>
  </w:style>
  <w:style w:type="character" w:customStyle="1" w:styleId="CommentSubjectChar">
    <w:name w:val="Comment Subject Char"/>
    <w:basedOn w:val="CommentTextChar"/>
    <w:link w:val="CommentSubject"/>
    <w:uiPriority w:val="99"/>
    <w:semiHidden/>
    <w:rsid w:val="006323AF"/>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157939"/>
    <w:rPr>
      <w:color w:val="605E5C"/>
      <w:shd w:val="clear" w:color="auto" w:fill="E1DFDD"/>
    </w:rPr>
  </w:style>
  <w:style w:type="character" w:styleId="FollowedHyperlink">
    <w:name w:val="FollowedHyperlink"/>
    <w:basedOn w:val="DefaultParagraphFont"/>
    <w:uiPriority w:val="99"/>
    <w:semiHidden/>
    <w:unhideWhenUsed/>
    <w:rsid w:val="00CE015A"/>
    <w:rPr>
      <w:color w:val="954F72" w:themeColor="followedHyperlink"/>
      <w:u w:val="single"/>
    </w:rPr>
  </w:style>
  <w:style w:type="paragraph" w:styleId="Revision">
    <w:name w:val="Revision"/>
    <w:hidden/>
    <w:uiPriority w:val="99"/>
    <w:semiHidden/>
    <w:rsid w:val="00FB14D9"/>
    <w:pPr>
      <w:spacing w:after="0" w:line="240" w:lineRule="auto"/>
    </w:pPr>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2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37" TargetMode="External"/><Relationship Id="rId13" Type="http://schemas.openxmlformats.org/officeDocument/2006/relationships/hyperlink" Target="https://www.at.gov.lv/downloadlawfile/9196"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8879" TargetMode="External"/><Relationship Id="rId12" Type="http://schemas.openxmlformats.org/officeDocument/2006/relationships/hyperlink" Target="https://www.at.gov.lv/downloadlawfile/3926" TargetMode="External"/><Relationship Id="rId17" Type="http://schemas.openxmlformats.org/officeDocument/2006/relationships/hyperlink" Target="https://hudoc.echr.coe.int/eng?i=001-162704" TargetMode="External"/><Relationship Id="rId2" Type="http://schemas.openxmlformats.org/officeDocument/2006/relationships/settings" Target="settings.xml"/><Relationship Id="rId16" Type="http://schemas.openxmlformats.org/officeDocument/2006/relationships/hyperlink" Target="https://hudoc.echr.coe.int/eng?i=001-1627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nolemumi/pdf/531525.pdf" TargetMode="External"/><Relationship Id="rId11" Type="http://schemas.openxmlformats.org/officeDocument/2006/relationships/hyperlink" Target="https://www.at.gov.lv/downloadlawfile/9196" TargetMode="External"/><Relationship Id="rId5" Type="http://schemas.openxmlformats.org/officeDocument/2006/relationships/endnotes" Target="endnotes.xml"/><Relationship Id="rId15" Type="http://schemas.openxmlformats.org/officeDocument/2006/relationships/hyperlink" Target="https://hudoc.echr.coe.int/eng?i=001-162704" TargetMode="External"/><Relationship Id="rId10" Type="http://schemas.openxmlformats.org/officeDocument/2006/relationships/hyperlink" Target="https://www.at.gov.lv/downloadlawfile/528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t.gov.lv/downloadlawfile/5073" TargetMode="External"/><Relationship Id="rId14" Type="http://schemas.openxmlformats.org/officeDocument/2006/relationships/hyperlink" Target="https://manas.tiesas.lv/eTiesasMvc/nolemumi/pdf/4670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2024-06-07T09:23:00Z</dcterms:created>
  <dcterms:modified xsi:type="dcterms:W3CDTF">2024-06-07T09:23:00Z</dcterms:modified>
</cp:coreProperties>
</file>