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9C9CE" w14:textId="07257699" w:rsidR="00972095" w:rsidRPr="00972095" w:rsidRDefault="00972095" w:rsidP="00972095">
      <w:pPr>
        <w:spacing w:line="276" w:lineRule="auto"/>
        <w:jc w:val="both"/>
        <w:rPr>
          <w:b/>
          <w:bCs/>
        </w:rPr>
      </w:pPr>
      <w:r>
        <w:rPr>
          <w:b/>
          <w:bCs/>
        </w:rPr>
        <w:t>Pieteikuma par lietas jaunu izskatīšanu sakarā ar jaunatklātiem apstākļiem pieļaujamības izvērtēšana</w:t>
      </w:r>
    </w:p>
    <w:p w14:paraId="4E5F6B98" w14:textId="7449B1BC" w:rsidR="00A66009" w:rsidRPr="00011547" w:rsidRDefault="00972095" w:rsidP="00972095">
      <w:pPr>
        <w:spacing w:line="276" w:lineRule="auto"/>
        <w:jc w:val="both"/>
      </w:pPr>
      <w:r>
        <w:t>Ja pieteikumā par lietas jaunu izskatīšanu sakarā ar jaunatklātiem apstākļiem nav norādīts uz apstākļiem, kuri eventuāli varētu tikt atzīti par jaunatklātiem apstākļiem Administratīvā procesa likuma 353.panta izpratnē, pastāv procesuāls šķērslis šāda pieteikuma izskatīšanai. Tas, vai procesa dalībnieka norādītie apstākļi vispār atbilst kādam no minētajā pantā paredzētajiem apstākļu veidiem, jāizvērtē jau pieteikuma pieļaujamības pārbaudes stadijā. Atbilstoši Administratīvā procesa likuma 356.panta pirmajai daļai pieteikuma pieļaujamības izvērtēšana ir tiesneša kompetencē.</w:t>
      </w:r>
    </w:p>
    <w:p w14:paraId="7F10692E" w14:textId="1C93A330" w:rsidR="00972095" w:rsidRPr="00972095" w:rsidRDefault="00A66009" w:rsidP="00972095">
      <w:pPr>
        <w:spacing w:before="240" w:line="276" w:lineRule="auto"/>
        <w:jc w:val="center"/>
        <w:rPr>
          <w:b/>
        </w:rPr>
      </w:pPr>
      <w:r w:rsidRPr="00972095">
        <w:rPr>
          <w:b/>
        </w:rPr>
        <w:t>Latvijas Republikas Senāt</w:t>
      </w:r>
      <w:r w:rsidR="00972095" w:rsidRPr="00972095">
        <w:rPr>
          <w:b/>
        </w:rPr>
        <w:t>a</w:t>
      </w:r>
      <w:r w:rsidR="00972095" w:rsidRPr="00972095">
        <w:rPr>
          <w:b/>
        </w:rPr>
        <w:br/>
        <w:t>Administratīvo lietu departamenta</w:t>
      </w:r>
      <w:r w:rsidR="00972095" w:rsidRPr="00972095">
        <w:rPr>
          <w:b/>
        </w:rPr>
        <w:br/>
        <w:t>2024.gada 25.aprīļa</w:t>
      </w:r>
    </w:p>
    <w:p w14:paraId="131AF6BE" w14:textId="77777777" w:rsidR="00A66009" w:rsidRPr="00972095" w:rsidRDefault="00A66009" w:rsidP="00A66009">
      <w:pPr>
        <w:spacing w:line="276" w:lineRule="auto"/>
        <w:contextualSpacing/>
        <w:jc w:val="center"/>
        <w:rPr>
          <w:b/>
        </w:rPr>
      </w:pPr>
      <w:r w:rsidRPr="00972095">
        <w:rPr>
          <w:b/>
        </w:rPr>
        <w:t>RĪCĪBAS SĒDES LĒMUMS</w:t>
      </w:r>
    </w:p>
    <w:p w14:paraId="4E7E0AE1" w14:textId="08C34840" w:rsidR="00972095" w:rsidRPr="00972095" w:rsidRDefault="00972095" w:rsidP="00972095">
      <w:pPr>
        <w:spacing w:line="276" w:lineRule="auto"/>
        <w:ind w:firstLine="567"/>
        <w:contextualSpacing/>
        <w:jc w:val="center"/>
        <w:rPr>
          <w:b/>
        </w:rPr>
      </w:pPr>
      <w:r w:rsidRPr="00972095">
        <w:rPr>
          <w:b/>
        </w:rPr>
        <w:t>Liet</w:t>
      </w:r>
      <w:r w:rsidRPr="00972095">
        <w:rPr>
          <w:b/>
        </w:rPr>
        <w:t>ā</w:t>
      </w:r>
      <w:r w:rsidRPr="00972095">
        <w:rPr>
          <w:b/>
        </w:rPr>
        <w:t xml:space="preserve"> Nr. A420227021, </w:t>
      </w:r>
      <w:r w:rsidRPr="00972095">
        <w:rPr>
          <w:b/>
          <w:lang w:eastAsia="lv-LV"/>
        </w:rPr>
        <w:t>SKA-577/2024</w:t>
      </w:r>
    </w:p>
    <w:p w14:paraId="5703F941" w14:textId="14531075" w:rsidR="00972095" w:rsidRPr="001E0942" w:rsidRDefault="00972095" w:rsidP="00A66009">
      <w:pPr>
        <w:spacing w:line="276" w:lineRule="auto"/>
        <w:contextualSpacing/>
        <w:jc w:val="center"/>
        <w:rPr>
          <w:b/>
        </w:rPr>
      </w:pPr>
      <w:hyperlink r:id="rId6" w:history="1">
        <w:r w:rsidRPr="00972095">
          <w:rPr>
            <w:rStyle w:val="Hyperlink"/>
            <w:rFonts w:ascii="TimesNewRomanPSMT" w:eastAsiaTheme="minorHAnsi" w:hAnsi="TimesNewRomanPSMT" w:cs="TimesNewRomanPSMT"/>
            <w:lang w:eastAsia="en-US"/>
            <w14:ligatures w14:val="standardContextual"/>
          </w:rPr>
          <w:t>ECLI:LV:AT:2024:0425.A420227021.15.L</w:t>
        </w:r>
      </w:hyperlink>
    </w:p>
    <w:p w14:paraId="07D35D43" w14:textId="77777777" w:rsidR="00A66009" w:rsidRPr="001E0942" w:rsidRDefault="00A66009" w:rsidP="00A66009">
      <w:pPr>
        <w:spacing w:line="276" w:lineRule="auto"/>
        <w:ind w:firstLine="720"/>
        <w:contextualSpacing/>
        <w:jc w:val="both"/>
      </w:pPr>
    </w:p>
    <w:p w14:paraId="4DA39E8D" w14:textId="3D456BA8" w:rsidR="00123A4A" w:rsidRDefault="00A66009" w:rsidP="00123A4A">
      <w:pPr>
        <w:spacing w:line="276" w:lineRule="auto"/>
        <w:ind w:firstLine="720"/>
        <w:jc w:val="both"/>
        <w:rPr>
          <w:color w:val="000000"/>
        </w:rPr>
      </w:pPr>
      <w:r w:rsidRPr="007D376D">
        <w:rPr>
          <w:color w:val="000000"/>
        </w:rPr>
        <w:t>[1] </w:t>
      </w:r>
      <w:r w:rsidR="00123A4A">
        <w:rPr>
          <w:color w:val="000000"/>
        </w:rPr>
        <w:t>Administratīvā apgabaltiesa ar 2023.gada 24.aprīļa spriedumu apmierināj</w:t>
      </w:r>
      <w:r w:rsidR="00863233">
        <w:rPr>
          <w:color w:val="000000"/>
        </w:rPr>
        <w:t>a</w:t>
      </w:r>
      <w:r w:rsidR="00123A4A">
        <w:rPr>
          <w:color w:val="000000"/>
        </w:rPr>
        <w:t xml:space="preserve"> pieteicēju SIA „PZD</w:t>
      </w:r>
      <w:r w:rsidR="00123A4A">
        <w:rPr>
          <w:color w:val="000000"/>
        </w:rPr>
        <w:noBreakHyphen/>
        <w:t>1”, SIA „PZD</w:t>
      </w:r>
      <w:r w:rsidR="00123A4A">
        <w:rPr>
          <w:color w:val="000000"/>
        </w:rPr>
        <w:noBreakHyphen/>
        <w:t>3”,</w:t>
      </w:r>
      <w:r w:rsidR="00123A4A" w:rsidRPr="00A66009">
        <w:rPr>
          <w:color w:val="000000"/>
        </w:rPr>
        <w:t xml:space="preserve"> </w:t>
      </w:r>
      <w:r w:rsidR="00123A4A">
        <w:rPr>
          <w:color w:val="000000"/>
        </w:rPr>
        <w:t>SIA „PZD</w:t>
      </w:r>
      <w:r w:rsidR="00123A4A">
        <w:rPr>
          <w:color w:val="000000"/>
        </w:rPr>
        <w:noBreakHyphen/>
        <w:t>4”,</w:t>
      </w:r>
      <w:r w:rsidR="00123A4A" w:rsidRPr="00A66009">
        <w:rPr>
          <w:color w:val="000000"/>
        </w:rPr>
        <w:t xml:space="preserve"> </w:t>
      </w:r>
      <w:r w:rsidR="00123A4A">
        <w:rPr>
          <w:color w:val="000000"/>
        </w:rPr>
        <w:t>SIA „PZD</w:t>
      </w:r>
      <w:r w:rsidR="00123A4A">
        <w:rPr>
          <w:color w:val="000000"/>
        </w:rPr>
        <w:noBreakHyphen/>
        <w:t>5”,</w:t>
      </w:r>
      <w:r w:rsidR="00123A4A" w:rsidRPr="00A66009">
        <w:rPr>
          <w:color w:val="000000"/>
        </w:rPr>
        <w:t xml:space="preserve"> </w:t>
      </w:r>
      <w:r w:rsidR="00123A4A">
        <w:rPr>
          <w:color w:val="000000"/>
        </w:rPr>
        <w:t>SIA „PZD</w:t>
      </w:r>
      <w:r w:rsidR="00123A4A">
        <w:rPr>
          <w:color w:val="000000"/>
        </w:rPr>
        <w:noBreakHyphen/>
        <w:t>6”,</w:t>
      </w:r>
      <w:r w:rsidR="00123A4A" w:rsidRPr="00A66009">
        <w:rPr>
          <w:color w:val="000000"/>
        </w:rPr>
        <w:t xml:space="preserve"> </w:t>
      </w:r>
      <w:r w:rsidR="00123A4A">
        <w:rPr>
          <w:color w:val="000000"/>
        </w:rPr>
        <w:t>SIA „PZD</w:t>
      </w:r>
      <w:r w:rsidR="00123A4A">
        <w:rPr>
          <w:color w:val="000000"/>
        </w:rPr>
        <w:noBreakHyphen/>
        <w:t>7”,</w:t>
      </w:r>
      <w:r w:rsidR="00123A4A" w:rsidRPr="00A66009">
        <w:rPr>
          <w:color w:val="000000"/>
        </w:rPr>
        <w:t xml:space="preserve"> </w:t>
      </w:r>
      <w:r w:rsidR="00123A4A">
        <w:rPr>
          <w:color w:val="000000"/>
        </w:rPr>
        <w:t>SIA „PZD</w:t>
      </w:r>
      <w:r w:rsidR="00123A4A">
        <w:rPr>
          <w:color w:val="000000"/>
        </w:rPr>
        <w:noBreakHyphen/>
        <w:t>8”,</w:t>
      </w:r>
      <w:r w:rsidR="00123A4A" w:rsidRPr="00A66009">
        <w:rPr>
          <w:color w:val="000000"/>
        </w:rPr>
        <w:t xml:space="preserve"> </w:t>
      </w:r>
      <w:r w:rsidR="00123A4A">
        <w:rPr>
          <w:color w:val="000000"/>
        </w:rPr>
        <w:t>SIA „PZD</w:t>
      </w:r>
      <w:r w:rsidR="00123A4A">
        <w:rPr>
          <w:color w:val="000000"/>
        </w:rPr>
        <w:noBreakHyphen/>
        <w:t>9”,</w:t>
      </w:r>
      <w:r w:rsidR="00123A4A" w:rsidRPr="00A66009">
        <w:rPr>
          <w:color w:val="000000"/>
        </w:rPr>
        <w:t xml:space="preserve"> </w:t>
      </w:r>
      <w:r w:rsidR="00123A4A">
        <w:rPr>
          <w:color w:val="000000"/>
        </w:rPr>
        <w:t>SIA „PZD</w:t>
      </w:r>
      <w:r w:rsidR="00123A4A">
        <w:rPr>
          <w:color w:val="000000"/>
        </w:rPr>
        <w:noBreakHyphen/>
        <w:t>10” pieteikumu. Apgabaltiesa atcēl</w:t>
      </w:r>
      <w:r w:rsidR="00863233">
        <w:rPr>
          <w:color w:val="000000"/>
        </w:rPr>
        <w:t>a</w:t>
      </w:r>
      <w:r w:rsidR="00123A4A">
        <w:rPr>
          <w:color w:val="000000"/>
        </w:rPr>
        <w:t xml:space="preserve"> Rīgas domes 2021.gada 14.jūnija lēmumu Nr. RD-21-1060-nd un uzlik</w:t>
      </w:r>
      <w:r w:rsidR="00863233">
        <w:rPr>
          <w:color w:val="000000"/>
        </w:rPr>
        <w:t>a</w:t>
      </w:r>
      <w:r w:rsidR="00123A4A">
        <w:rPr>
          <w:color w:val="000000"/>
        </w:rPr>
        <w:t xml:space="preserve"> pienākumu Rīgas </w:t>
      </w:r>
      <w:proofErr w:type="spellStart"/>
      <w:r w:rsidR="00123A4A">
        <w:rPr>
          <w:color w:val="000000"/>
        </w:rPr>
        <w:t>valstspilsētas</w:t>
      </w:r>
      <w:proofErr w:type="spellEnd"/>
      <w:r w:rsidR="00123A4A">
        <w:rPr>
          <w:color w:val="000000"/>
        </w:rPr>
        <w:t xml:space="preserve"> pašvaldībai viena mēneša laikā no sprieduma spēkā stāšanās dienas izdot administratīvo aktu, ar kuru AS</w:t>
      </w:r>
      <w:r w:rsidR="00863233">
        <w:rPr>
          <w:color w:val="000000"/>
        </w:rPr>
        <w:t> </w:t>
      </w:r>
      <w:r w:rsidR="00123A4A">
        <w:rPr>
          <w:color w:val="000000"/>
        </w:rPr>
        <w:t>„Pilsētas zemes dienests” tiktu aprēķināts nekustamā īpašuma nodoklis, ņemot vērā minētās personas reorganizācijas procesā nodalīto mantu, sākot ar 2020.gada oktobri. Apgabaltiesas spriedums stājās spēkā 2024.gada 12.janvārī.</w:t>
      </w:r>
    </w:p>
    <w:p w14:paraId="09FB1604" w14:textId="77777777" w:rsidR="00123A4A" w:rsidRDefault="00123A4A" w:rsidP="00123A4A">
      <w:pPr>
        <w:spacing w:line="276" w:lineRule="auto"/>
        <w:ind w:firstLine="720"/>
        <w:jc w:val="both"/>
        <w:rPr>
          <w:color w:val="000000"/>
        </w:rPr>
      </w:pPr>
    </w:p>
    <w:p w14:paraId="06E62730" w14:textId="06674598" w:rsidR="00123A4A" w:rsidRDefault="00123A4A" w:rsidP="00123A4A">
      <w:pPr>
        <w:spacing w:line="276" w:lineRule="auto"/>
        <w:ind w:firstLine="720"/>
        <w:jc w:val="both"/>
        <w:rPr>
          <w:color w:val="000000"/>
        </w:rPr>
      </w:pPr>
      <w:r>
        <w:rPr>
          <w:color w:val="000000"/>
        </w:rPr>
        <w:t>[2]</w:t>
      </w:r>
      <w:r w:rsidR="00863233">
        <w:rPr>
          <w:color w:val="000000"/>
        </w:rPr>
        <w:t> </w:t>
      </w:r>
      <w:r>
        <w:rPr>
          <w:color w:val="000000"/>
        </w:rPr>
        <w:t>Pēc minētā apgabaltiesas sprieduma spēkā stāšanās pieteicējas vērsās apgabaltiesā ar pieteikumu par lietas jaunu izskatīšanu sakarā ar jaunatklātiem apstākļiem. Kā izriet no pieteikuma,</w:t>
      </w:r>
      <w:r w:rsidR="00863233">
        <w:rPr>
          <w:color w:val="000000"/>
        </w:rPr>
        <w:t xml:space="preserve"> </w:t>
      </w:r>
      <w:r>
        <w:rPr>
          <w:color w:val="000000"/>
        </w:rPr>
        <w:t xml:space="preserve">pieteicējas par jaunatklātu apstākli uzskata </w:t>
      </w:r>
      <w:r w:rsidR="00D83801">
        <w:rPr>
          <w:color w:val="000000"/>
        </w:rPr>
        <w:t>to, ka nekustamā īpašuma nodokļa aprēķināšanai par laiku no 2020.gada 1.oktobra līdz 31.decembrim ir iestājies noilgums. Proti, saskaņā ar likuma „Par nodokļiem un nodevām” 23.panta otro daļu nodokļu administrācija papildu nodokļus var aprēķināt tikai triju gadu laikā pēc likumā noteiktā maksāšanas termiņa.</w:t>
      </w:r>
    </w:p>
    <w:p w14:paraId="254516B4" w14:textId="77777777" w:rsidR="00D83801" w:rsidRDefault="00D83801" w:rsidP="00123A4A">
      <w:pPr>
        <w:spacing w:line="276" w:lineRule="auto"/>
        <w:ind w:firstLine="720"/>
        <w:jc w:val="both"/>
        <w:rPr>
          <w:color w:val="000000"/>
        </w:rPr>
      </w:pPr>
    </w:p>
    <w:p w14:paraId="6B0483C6" w14:textId="04DBF85F" w:rsidR="00D83801" w:rsidRDefault="00D83801" w:rsidP="00123A4A">
      <w:pPr>
        <w:spacing w:line="276" w:lineRule="auto"/>
        <w:ind w:firstLine="720"/>
        <w:jc w:val="both"/>
        <w:rPr>
          <w:color w:val="000000"/>
        </w:rPr>
      </w:pPr>
      <w:r>
        <w:rPr>
          <w:color w:val="000000"/>
        </w:rPr>
        <w:t>[3]</w:t>
      </w:r>
      <w:r w:rsidR="00863233">
        <w:rPr>
          <w:color w:val="000000"/>
        </w:rPr>
        <w:t> </w:t>
      </w:r>
      <w:r>
        <w:rPr>
          <w:color w:val="000000"/>
        </w:rPr>
        <w:t xml:space="preserve">Administratīvās apgabaltiesas tiesnesis ar 2024.gada 22.marta lēmumu atteica pieņemt minēto pieteikumu. Tiesneša lēmumā secināts, ka pieteikumā nav norādīti tādi apstākļi, kas eventuāli būtu uzskatāmi par jaunatklātiem apstākļiem Administratīvā procesa likuma </w:t>
      </w:r>
      <w:r w:rsidR="005B4A3F">
        <w:rPr>
          <w:color w:val="000000"/>
        </w:rPr>
        <w:t>3</w:t>
      </w:r>
      <w:r>
        <w:rPr>
          <w:color w:val="000000"/>
        </w:rPr>
        <w:t>53.panta 1.punkta izpratnē. Tādējādi pastāv procesuāl</w:t>
      </w:r>
      <w:r w:rsidR="00863233">
        <w:rPr>
          <w:color w:val="000000"/>
        </w:rPr>
        <w:t>s</w:t>
      </w:r>
      <w:r>
        <w:rPr>
          <w:color w:val="000000"/>
        </w:rPr>
        <w:t xml:space="preserve"> šķēr</w:t>
      </w:r>
      <w:r w:rsidR="00863233">
        <w:rPr>
          <w:color w:val="000000"/>
        </w:rPr>
        <w:t>slis</w:t>
      </w:r>
      <w:r>
        <w:rPr>
          <w:color w:val="000000"/>
        </w:rPr>
        <w:t xml:space="preserve"> pieteikuma pieļaujamībai</w:t>
      </w:r>
      <w:r w:rsidR="00863233">
        <w:rPr>
          <w:color w:val="000000"/>
        </w:rPr>
        <w:t>,</w:t>
      </w:r>
      <w:r>
        <w:rPr>
          <w:color w:val="000000"/>
        </w:rPr>
        <w:t xml:space="preserve"> un to ir atsakāms pieņemt, pamatojoties uz Administratīvā procesa likuma 356.panta pirmo daļu.</w:t>
      </w:r>
    </w:p>
    <w:p w14:paraId="55A486DB" w14:textId="77777777" w:rsidR="00D83801" w:rsidRDefault="00D83801" w:rsidP="00A66009">
      <w:pPr>
        <w:spacing w:line="276" w:lineRule="auto"/>
        <w:ind w:firstLine="720"/>
        <w:jc w:val="both"/>
        <w:rPr>
          <w:color w:val="000000"/>
        </w:rPr>
      </w:pPr>
    </w:p>
    <w:p w14:paraId="3C139611" w14:textId="5155C416" w:rsidR="00D83801" w:rsidRDefault="00D83801" w:rsidP="00D83801">
      <w:pPr>
        <w:spacing w:line="276" w:lineRule="auto"/>
        <w:ind w:firstLine="720"/>
        <w:jc w:val="both"/>
        <w:rPr>
          <w:color w:val="000000"/>
        </w:rPr>
      </w:pPr>
      <w:r>
        <w:rPr>
          <w:color w:val="000000"/>
        </w:rPr>
        <w:t>[4]</w:t>
      </w:r>
      <w:r w:rsidR="00863233">
        <w:rPr>
          <w:color w:val="000000"/>
        </w:rPr>
        <w:t> </w:t>
      </w:r>
      <w:r>
        <w:rPr>
          <w:color w:val="000000"/>
        </w:rPr>
        <w:t>Pieteicējas iesniedza Senātā blakus sūdzību par minēto tiesneša lēmumu. Blakus sūdzībā norādīti turpmāk minētie argumenti.</w:t>
      </w:r>
    </w:p>
    <w:p w14:paraId="5785C92C" w14:textId="06E05EDC" w:rsidR="00D83801" w:rsidRDefault="00F2203B" w:rsidP="00A66009">
      <w:pPr>
        <w:spacing w:line="276" w:lineRule="auto"/>
        <w:ind w:firstLine="720"/>
        <w:jc w:val="both"/>
        <w:rPr>
          <w:color w:val="000000"/>
        </w:rPr>
      </w:pPr>
      <w:r>
        <w:rPr>
          <w:color w:val="000000"/>
        </w:rPr>
        <w:t>[</w:t>
      </w:r>
      <w:r w:rsidR="00D83801">
        <w:rPr>
          <w:color w:val="000000"/>
        </w:rPr>
        <w:t>4</w:t>
      </w:r>
      <w:r w:rsidR="00111FA5">
        <w:rPr>
          <w:color w:val="000000"/>
        </w:rPr>
        <w:t>.1</w:t>
      </w:r>
      <w:r>
        <w:rPr>
          <w:color w:val="000000"/>
        </w:rPr>
        <w:t>]</w:t>
      </w:r>
      <w:r w:rsidR="00863233">
        <w:rPr>
          <w:color w:val="000000"/>
        </w:rPr>
        <w:t> </w:t>
      </w:r>
      <w:r w:rsidR="00D83801">
        <w:rPr>
          <w:color w:val="000000"/>
        </w:rPr>
        <w:t xml:space="preserve">Tiesneša lēmumā ir vērtēts, vai pieteikumā norādītie apstākļi ir uzskatāmi par jaunatklātiem apstākļiem Administratīvā procesa likuma </w:t>
      </w:r>
      <w:r w:rsidR="00725B4E">
        <w:rPr>
          <w:color w:val="000000"/>
        </w:rPr>
        <w:t>3</w:t>
      </w:r>
      <w:r w:rsidR="00D83801">
        <w:rPr>
          <w:color w:val="000000"/>
        </w:rPr>
        <w:t xml:space="preserve">53.panta izpratnē, tādējādi </w:t>
      </w:r>
      <w:r w:rsidR="00D83801">
        <w:rPr>
          <w:color w:val="000000"/>
        </w:rPr>
        <w:lastRenderedPageBreak/>
        <w:t>tiesnesis ir izskatījis pieteikumu pēc būtības</w:t>
      </w:r>
      <w:r w:rsidR="00863233">
        <w:rPr>
          <w:color w:val="000000"/>
        </w:rPr>
        <w:t>. Tomēr p</w:t>
      </w:r>
      <w:r w:rsidR="00D83801">
        <w:rPr>
          <w:color w:val="000000"/>
        </w:rPr>
        <w:t>ieteikuma izskatīšana pēc būtības ir tiesas, nevis tiesneša kompetencē.</w:t>
      </w:r>
    </w:p>
    <w:p w14:paraId="4AB6F433" w14:textId="77777777" w:rsidR="00D83801" w:rsidRDefault="00D83801" w:rsidP="00A66009">
      <w:pPr>
        <w:spacing w:line="276" w:lineRule="auto"/>
        <w:ind w:firstLine="720"/>
        <w:jc w:val="both"/>
        <w:rPr>
          <w:color w:val="000000"/>
        </w:rPr>
      </w:pPr>
    </w:p>
    <w:p w14:paraId="2F7EE369" w14:textId="098115C6" w:rsidR="00F2203B" w:rsidRDefault="00F2203B" w:rsidP="00A66009">
      <w:pPr>
        <w:spacing w:line="276" w:lineRule="auto"/>
        <w:ind w:firstLine="720"/>
        <w:jc w:val="both"/>
        <w:rPr>
          <w:color w:val="000000"/>
        </w:rPr>
      </w:pPr>
      <w:r>
        <w:rPr>
          <w:color w:val="000000"/>
        </w:rPr>
        <w:t>[</w:t>
      </w:r>
      <w:r w:rsidR="00D83801">
        <w:rPr>
          <w:color w:val="000000"/>
        </w:rPr>
        <w:t>4</w:t>
      </w:r>
      <w:r w:rsidR="00111FA5">
        <w:rPr>
          <w:color w:val="000000"/>
        </w:rPr>
        <w:t>.2</w:t>
      </w:r>
      <w:r>
        <w:rPr>
          <w:color w:val="000000"/>
        </w:rPr>
        <w:t>]</w:t>
      </w:r>
      <w:r w:rsidR="00863233">
        <w:rPr>
          <w:color w:val="000000"/>
        </w:rPr>
        <w:t> </w:t>
      </w:r>
      <w:r>
        <w:rPr>
          <w:color w:val="000000"/>
        </w:rPr>
        <w:t xml:space="preserve">Tiesneša lēmumā nepamatoti secināts, ka pieteicēju norādītais apstāklis nav jaunatklāts apstāklis. Sprieduma taisīšanas laikā </w:t>
      </w:r>
      <w:r w:rsidR="00D83801">
        <w:rPr>
          <w:color w:val="000000"/>
        </w:rPr>
        <w:t>apgabal</w:t>
      </w:r>
      <w:r>
        <w:rPr>
          <w:color w:val="000000"/>
        </w:rPr>
        <w:t xml:space="preserve">tiesai nebija zināms, ka </w:t>
      </w:r>
      <w:r w:rsidR="00111FA5">
        <w:rPr>
          <w:color w:val="000000"/>
        </w:rPr>
        <w:t>tad</w:t>
      </w:r>
      <w:r>
        <w:rPr>
          <w:color w:val="000000"/>
        </w:rPr>
        <w:t xml:space="preserve">, kad spriedums stāsies spēkā, būs </w:t>
      </w:r>
      <w:r w:rsidR="00D83801">
        <w:rPr>
          <w:color w:val="000000"/>
        </w:rPr>
        <w:t xml:space="preserve">jau </w:t>
      </w:r>
      <w:r>
        <w:rPr>
          <w:color w:val="000000"/>
        </w:rPr>
        <w:t xml:space="preserve">iestājies noilgums nodokļa aprēķināšanai. Līdz ar to tiesai nebija iespējams </w:t>
      </w:r>
      <w:r w:rsidR="00D83801">
        <w:rPr>
          <w:color w:val="000000"/>
        </w:rPr>
        <w:t>lietas izskatīšanas</w:t>
      </w:r>
      <w:r>
        <w:rPr>
          <w:color w:val="000000"/>
        </w:rPr>
        <w:t xml:space="preserve"> laikā ņemt vērā visus jautājuma izlemšanai būtiskos apstākļus</w:t>
      </w:r>
      <w:r w:rsidR="00111FA5">
        <w:rPr>
          <w:color w:val="000000"/>
        </w:rPr>
        <w:t xml:space="preserve">, </w:t>
      </w:r>
      <w:r w:rsidR="0055144F">
        <w:rPr>
          <w:color w:val="000000"/>
        </w:rPr>
        <w:t>jo</w:t>
      </w:r>
      <w:r w:rsidR="00111FA5">
        <w:rPr>
          <w:color w:val="000000"/>
        </w:rPr>
        <w:t xml:space="preserve"> daļa no tiem (noilguma iestāšanās) atklājusies tikai pēc sprieduma taisīšanas.</w:t>
      </w:r>
    </w:p>
    <w:p w14:paraId="1B40C1D3" w14:textId="77777777" w:rsidR="00EC6742" w:rsidRDefault="00EC6742" w:rsidP="00A66009">
      <w:pPr>
        <w:spacing w:line="276" w:lineRule="auto"/>
        <w:ind w:firstLine="720"/>
        <w:jc w:val="both"/>
        <w:rPr>
          <w:color w:val="000000"/>
        </w:rPr>
      </w:pPr>
    </w:p>
    <w:p w14:paraId="5895E815" w14:textId="33EDCB01" w:rsidR="00111FA5" w:rsidRPr="007D376D" w:rsidRDefault="00A66009" w:rsidP="00111FA5">
      <w:pPr>
        <w:spacing w:line="276" w:lineRule="auto"/>
        <w:ind w:firstLine="720"/>
        <w:jc w:val="both"/>
        <w:rPr>
          <w:color w:val="000000"/>
        </w:rPr>
      </w:pPr>
      <w:r w:rsidRPr="007E00FB">
        <w:rPr>
          <w:color w:val="000000"/>
        </w:rPr>
        <w:t>[</w:t>
      </w:r>
      <w:r w:rsidR="0055144F">
        <w:rPr>
          <w:color w:val="000000"/>
        </w:rPr>
        <w:t>5</w:t>
      </w:r>
      <w:r w:rsidRPr="007E00FB">
        <w:rPr>
          <w:color w:val="000000"/>
        </w:rPr>
        <w:t>]</w:t>
      </w:r>
      <w:r w:rsidR="00863233">
        <w:rPr>
          <w:color w:val="000000"/>
        </w:rPr>
        <w:t> </w:t>
      </w:r>
      <w:r w:rsidR="00111FA5" w:rsidRPr="007D376D">
        <w:rPr>
          <w:color w:val="000000"/>
        </w:rPr>
        <w:t>Saskaņā ar Administratīvā procesa likuma 320.</w:t>
      </w:r>
      <w:r w:rsidR="00111FA5" w:rsidRPr="00384818">
        <w:rPr>
          <w:color w:val="000000"/>
          <w:vertAlign w:val="superscript"/>
        </w:rPr>
        <w:t>1</w:t>
      </w:r>
      <w:r w:rsidR="00111FA5" w:rsidRPr="007D376D">
        <w:rPr>
          <w:color w:val="000000"/>
        </w:rPr>
        <w:t>pantu senatoru kolēģija var pieņemt vienbalsīgu lēmumu par atteikšanos izskatīt blakus sūdzību, ja tā ir acīmredzami nepamatota.</w:t>
      </w:r>
    </w:p>
    <w:p w14:paraId="09F5412D" w14:textId="057CCC3D" w:rsidR="00111FA5" w:rsidRPr="007D376D" w:rsidRDefault="00111FA5" w:rsidP="00111FA5">
      <w:pPr>
        <w:spacing w:line="276" w:lineRule="auto"/>
        <w:ind w:firstLine="720"/>
        <w:jc w:val="both"/>
        <w:rPr>
          <w:color w:val="000000"/>
        </w:rPr>
      </w:pPr>
      <w:r w:rsidRPr="007D376D">
        <w:rPr>
          <w:color w:val="000000"/>
        </w:rPr>
        <w:t>Pārbaud</w:t>
      </w:r>
      <w:r w:rsidR="004E0E30">
        <w:rPr>
          <w:color w:val="000000"/>
        </w:rPr>
        <w:t>ījusi</w:t>
      </w:r>
      <w:r w:rsidRPr="007D376D">
        <w:rPr>
          <w:color w:val="000000"/>
        </w:rPr>
        <w:t xml:space="preserve"> pārsūdzēto </w:t>
      </w:r>
      <w:r>
        <w:rPr>
          <w:color w:val="000000"/>
        </w:rPr>
        <w:t>lēmumu</w:t>
      </w:r>
      <w:r w:rsidRPr="007D376D">
        <w:rPr>
          <w:color w:val="000000"/>
        </w:rPr>
        <w:t xml:space="preserve">, blakus sūdzību un lietas materiālus, senatoru kolēģija atzīst par pareizu </w:t>
      </w:r>
      <w:r>
        <w:rPr>
          <w:color w:val="000000"/>
        </w:rPr>
        <w:t>apgabaltiesas tiesneša lēmumā</w:t>
      </w:r>
      <w:r w:rsidRPr="007D376D">
        <w:rPr>
          <w:color w:val="000000"/>
        </w:rPr>
        <w:t xml:space="preserve"> secināto, savukārt </w:t>
      </w:r>
      <w:r>
        <w:rPr>
          <w:color w:val="000000"/>
        </w:rPr>
        <w:t>pieteicēj</w:t>
      </w:r>
      <w:r w:rsidR="00863233">
        <w:rPr>
          <w:color w:val="000000"/>
        </w:rPr>
        <w:t>u</w:t>
      </w:r>
      <w:r w:rsidRPr="007D376D">
        <w:rPr>
          <w:color w:val="000000"/>
        </w:rPr>
        <w:t xml:space="preserve"> blakus sūdzība ir acīmredzami nepamatota.</w:t>
      </w:r>
    </w:p>
    <w:p w14:paraId="6E0C9A9B" w14:textId="360AC8F5" w:rsidR="00111FA5" w:rsidRDefault="00111FA5" w:rsidP="006E490A">
      <w:pPr>
        <w:spacing w:line="276" w:lineRule="auto"/>
        <w:jc w:val="both"/>
        <w:rPr>
          <w:color w:val="000000"/>
        </w:rPr>
      </w:pPr>
    </w:p>
    <w:p w14:paraId="05832A77" w14:textId="301CA9F7" w:rsidR="0055144F" w:rsidRPr="00AC69EB" w:rsidRDefault="00A66009" w:rsidP="0055144F">
      <w:pPr>
        <w:spacing w:line="276" w:lineRule="auto"/>
        <w:ind w:firstLine="720"/>
        <w:jc w:val="both"/>
      </w:pPr>
      <w:r w:rsidRPr="007D376D">
        <w:rPr>
          <w:color w:val="000000"/>
        </w:rPr>
        <w:t>[</w:t>
      </w:r>
      <w:r w:rsidR="00863233">
        <w:rPr>
          <w:color w:val="000000"/>
        </w:rPr>
        <w:t>6</w:t>
      </w:r>
      <w:r w:rsidRPr="007D376D">
        <w:rPr>
          <w:color w:val="000000"/>
        </w:rPr>
        <w:t>]</w:t>
      </w:r>
      <w:r w:rsidR="00863233">
        <w:rPr>
          <w:color w:val="000000"/>
        </w:rPr>
        <w:t> </w:t>
      </w:r>
      <w:r w:rsidR="0055144F" w:rsidRPr="002A751C">
        <w:t xml:space="preserve">Saskaņā ar Administratīvā procesa likuma 356.panta </w:t>
      </w:r>
      <w:r w:rsidR="0055144F">
        <w:t>pirmo</w:t>
      </w:r>
      <w:r w:rsidR="0055144F" w:rsidRPr="002A751C">
        <w:t xml:space="preserve"> daļu pieteikuma sakarā ar jaunatklātiem apstākļiem pieņemšana izskatīšanai atsakāma, ja tiek konstatēti procesuāli šķēršļi pieteikuma pieļaujamībai. Šāds šķērslis citastarp ir tas, ka pieteikumā nav norādīts uz apstākļiem, kuri eventuāli varētu tikt atzīti par jaunatklātiem Administratīvā procesa likuma 353.panta izpratnē. Tas, vai procesa dalībnieka norādītie apstākļi vispār atbilst kādam no minētajā pantā paredzētajiem apstākļu veidiem, jāizvērtē jau pieteikuma pieļaujamības pārbaudes stadijā </w:t>
      </w:r>
      <w:r w:rsidR="0055144F">
        <w:t>(</w:t>
      </w:r>
      <w:r w:rsidR="00AC69EB">
        <w:rPr>
          <w:i/>
          <w:iCs/>
        </w:rPr>
        <w:t>Senāta</w:t>
      </w:r>
      <w:r w:rsidR="0055144F" w:rsidRPr="0055144F">
        <w:rPr>
          <w:i/>
          <w:iCs/>
        </w:rPr>
        <w:t xml:space="preserve"> 2017.gada 7.marta lēmuma lietā Nr. SJA-7/2017 (A420260514) 5.punkts</w:t>
      </w:r>
      <w:r w:rsidR="00AC69EB">
        <w:rPr>
          <w:i/>
          <w:iCs/>
        </w:rPr>
        <w:t>,</w:t>
      </w:r>
      <w:r w:rsidR="00262C50">
        <w:rPr>
          <w:i/>
          <w:iCs/>
        </w:rPr>
        <w:t xml:space="preserve"> </w:t>
      </w:r>
      <w:r w:rsidR="00AC69EB">
        <w:rPr>
          <w:i/>
          <w:iCs/>
        </w:rPr>
        <w:t>2021.gada 3.marta lēmuma lietā Nr. SJA</w:t>
      </w:r>
      <w:r w:rsidR="00AC69EB">
        <w:rPr>
          <w:i/>
          <w:iCs/>
        </w:rPr>
        <w:noBreakHyphen/>
        <w:t>1/2021, 2.punkts</w:t>
      </w:r>
      <w:r w:rsidR="00AC69EB">
        <w:t>).</w:t>
      </w:r>
    </w:p>
    <w:p w14:paraId="1F94DFAF" w14:textId="261F433F" w:rsidR="0055144F" w:rsidRDefault="0055144F" w:rsidP="0055144F">
      <w:pPr>
        <w:spacing w:line="276" w:lineRule="auto"/>
        <w:ind w:firstLine="720"/>
        <w:jc w:val="both"/>
      </w:pPr>
      <w:r>
        <w:t xml:space="preserve">Atbilstoši Administratīvā procesa likuma 356.panta pirmajai daļai pieteikuma pieļaujamības izvērtēšana ir tiesneša kompetencē. </w:t>
      </w:r>
      <w:r w:rsidR="007E34FA">
        <w:t>Līdz ar to pieteicēju arguments, ka tiesnesis šajā gadījumā ir pārsniedzis savu kompetenci, nav pamatots.</w:t>
      </w:r>
    </w:p>
    <w:p w14:paraId="117F94B7" w14:textId="77777777" w:rsidR="0055144F" w:rsidRDefault="0055144F" w:rsidP="0055144F">
      <w:pPr>
        <w:spacing w:line="276" w:lineRule="auto"/>
        <w:ind w:firstLine="720"/>
        <w:jc w:val="both"/>
      </w:pPr>
    </w:p>
    <w:p w14:paraId="48DEE7E1" w14:textId="76346CAE" w:rsidR="0055144F" w:rsidRDefault="0055144F" w:rsidP="0055144F">
      <w:pPr>
        <w:spacing w:line="276" w:lineRule="auto"/>
        <w:ind w:firstLine="720"/>
        <w:jc w:val="both"/>
      </w:pPr>
      <w:r>
        <w:t>[</w:t>
      </w:r>
      <w:r w:rsidR="00863233">
        <w:t>7</w:t>
      </w:r>
      <w:r>
        <w:t xml:space="preserve">] </w:t>
      </w:r>
      <w:r w:rsidR="004000FC">
        <w:t xml:space="preserve">Arī </w:t>
      </w:r>
      <w:r>
        <w:t>pieteicēj</w:t>
      </w:r>
      <w:r w:rsidR="005B4A3F">
        <w:t>u</w:t>
      </w:r>
      <w:r>
        <w:t xml:space="preserve"> uzskats par nodokļa aprēķin</w:t>
      </w:r>
      <w:r w:rsidR="004000FC">
        <w:t>āšanas</w:t>
      </w:r>
      <w:r>
        <w:t xml:space="preserve"> noilgum</w:t>
      </w:r>
      <w:r w:rsidR="004000FC">
        <w:t>u</w:t>
      </w:r>
      <w:r w:rsidR="00863233">
        <w:t xml:space="preserve"> un </w:t>
      </w:r>
      <w:r>
        <w:t>par š</w:t>
      </w:r>
      <w:r w:rsidR="004E0E30">
        <w:t>ā</w:t>
      </w:r>
      <w:r>
        <w:t xml:space="preserve"> apstākļa atbilstību Administratīvā procesa likuma </w:t>
      </w:r>
      <w:r w:rsidR="005B4A3F">
        <w:t>3</w:t>
      </w:r>
      <w:r>
        <w:t>53.pant</w:t>
      </w:r>
      <w:r w:rsidR="00863233">
        <w:t>a 1.punktā</w:t>
      </w:r>
      <w:r>
        <w:t xml:space="preserve"> minētaj</w:t>
      </w:r>
      <w:r w:rsidR="00863233">
        <w:t>am</w:t>
      </w:r>
      <w:r>
        <w:t xml:space="preserve"> jaunatklāto apstākļu veid</w:t>
      </w:r>
      <w:r w:rsidR="00863233">
        <w:t>a</w:t>
      </w:r>
      <w:r>
        <w:t>m, ir acīmredzami nepamatots.</w:t>
      </w:r>
    </w:p>
    <w:p w14:paraId="7FFF2AD7" w14:textId="118BBEF1" w:rsidR="007E34FA" w:rsidRPr="00725B4E" w:rsidRDefault="004000FC" w:rsidP="00725B4E">
      <w:pPr>
        <w:spacing w:line="276" w:lineRule="auto"/>
        <w:ind w:firstLine="720"/>
        <w:jc w:val="both"/>
      </w:pPr>
      <w:r w:rsidRPr="00725B4E">
        <w:t>Pirmkārt,</w:t>
      </w:r>
      <w:r w:rsidR="00725B4E" w:rsidRPr="00725B4E">
        <w:t xml:space="preserve"> </w:t>
      </w:r>
      <w:r w:rsidR="00725B4E">
        <w:t xml:space="preserve">atbilstoši Administratīvā procesa likuma 353.pantam par jaunatklātu apstākli atzīstams tāds būtisks lietas apstāklis, kas pastāvēja lietas izskatīšanas laikā, bet nebija zināms tiesai. No loģikas viedokļa nav iespējams uzskatīt, ka kāds apstāklis pastāvēja lietas izskatīšanas laikā, ja tas radās (iestājās) tikai pēc lietas izskatīšanas. </w:t>
      </w:r>
      <w:r w:rsidR="007E34FA">
        <w:rPr>
          <w:color w:val="000000"/>
        </w:rPr>
        <w:t>Ja noilgums iestātos pēc lietas izskatīšanas, tad šāds apstāklis tikai tad rastos, nevis vienīgi atklātos, kā to blakus sūdzībā formulē pieteicējas.</w:t>
      </w:r>
    </w:p>
    <w:p w14:paraId="5C8508A6" w14:textId="695F5319" w:rsidR="007E34FA" w:rsidRDefault="007E34FA" w:rsidP="007E34FA">
      <w:pPr>
        <w:spacing w:line="276" w:lineRule="auto"/>
        <w:ind w:firstLine="720"/>
        <w:jc w:val="both"/>
        <w:rPr>
          <w:color w:val="000000"/>
        </w:rPr>
      </w:pPr>
      <w:r>
        <w:rPr>
          <w:color w:val="000000"/>
        </w:rPr>
        <w:t xml:space="preserve">Otrkārt, </w:t>
      </w:r>
      <w:r w:rsidR="00AC69EB">
        <w:rPr>
          <w:color w:val="000000"/>
        </w:rPr>
        <w:t>tāda situācija, kādu raksturo pieteicējas</w:t>
      </w:r>
      <w:r>
        <w:rPr>
          <w:color w:val="000000"/>
        </w:rPr>
        <w:t xml:space="preserve">, </w:t>
      </w:r>
      <w:r w:rsidR="00262C50">
        <w:rPr>
          <w:color w:val="000000"/>
        </w:rPr>
        <w:t>t.i.</w:t>
      </w:r>
      <w:r w:rsidR="00AC69EB">
        <w:rPr>
          <w:color w:val="000000"/>
        </w:rPr>
        <w:t xml:space="preserve">, </w:t>
      </w:r>
      <w:r>
        <w:rPr>
          <w:color w:val="000000"/>
        </w:rPr>
        <w:t>kad spēkā stājušos tiesas spriedumu nevar izpildīt, jo vēl pirms tā spēkā stāšanās iestājies noilgums papildu nodokļa aprēķināšanai</w:t>
      </w:r>
      <w:r w:rsidR="00AC69EB">
        <w:rPr>
          <w:color w:val="000000"/>
        </w:rPr>
        <w:t>, nevar rasties</w:t>
      </w:r>
      <w:r>
        <w:rPr>
          <w:color w:val="000000"/>
        </w:rPr>
        <w:t>. Ja</w:t>
      </w:r>
      <w:r w:rsidRPr="00CB41BE">
        <w:rPr>
          <w:color w:val="000000"/>
        </w:rPr>
        <w:t xml:space="preserve"> lēmuma pieņemšanai noteikts noilguma termiņš, tajā netiek ieskaitīts administratīvā akta kontroles (apstrīdēšanas un pārsūdzēšanas) laikposms</w:t>
      </w:r>
      <w:r>
        <w:rPr>
          <w:color w:val="000000"/>
        </w:rPr>
        <w:t xml:space="preserve"> </w:t>
      </w:r>
      <w:r w:rsidRPr="00CB41BE">
        <w:rPr>
          <w:color w:val="000000"/>
        </w:rPr>
        <w:t>(</w:t>
      </w:r>
      <w:r w:rsidRPr="00CB41BE">
        <w:rPr>
          <w:i/>
          <w:color w:val="000000"/>
        </w:rPr>
        <w:t>Senāta 2011. gada 3. jūnija sprieduma lietā Nr. SKA-65/2011, A43004509, 14. punkt</w:t>
      </w:r>
      <w:r>
        <w:rPr>
          <w:i/>
          <w:color w:val="000000"/>
        </w:rPr>
        <w:t>s</w:t>
      </w:r>
      <w:r w:rsidRPr="00CB41BE">
        <w:rPr>
          <w:color w:val="000000"/>
        </w:rPr>
        <w:t>).</w:t>
      </w:r>
    </w:p>
    <w:p w14:paraId="5F5882D5" w14:textId="77777777" w:rsidR="0069676D" w:rsidRDefault="0069676D" w:rsidP="00B41DAB">
      <w:pPr>
        <w:spacing w:line="276" w:lineRule="auto"/>
        <w:jc w:val="both"/>
        <w:rPr>
          <w:color w:val="000000"/>
        </w:rPr>
      </w:pPr>
    </w:p>
    <w:p w14:paraId="428F8AA4" w14:textId="17C69903" w:rsidR="00B41DAB" w:rsidRDefault="00A66009" w:rsidP="00B41DAB">
      <w:pPr>
        <w:spacing w:line="276" w:lineRule="auto"/>
        <w:ind w:firstLine="720"/>
        <w:jc w:val="both"/>
        <w:rPr>
          <w:color w:val="000000"/>
        </w:rPr>
      </w:pPr>
      <w:r w:rsidRPr="00EF268D">
        <w:rPr>
          <w:color w:val="000000"/>
        </w:rPr>
        <w:lastRenderedPageBreak/>
        <w:t>Pamatojoties uz Administratīvā procesa likuma 320.</w:t>
      </w:r>
      <w:r w:rsidRPr="00EF268D">
        <w:rPr>
          <w:color w:val="000000"/>
          <w:vertAlign w:val="superscript"/>
        </w:rPr>
        <w:t>1</w:t>
      </w:r>
      <w:r w:rsidRPr="00EF268D">
        <w:rPr>
          <w:color w:val="000000"/>
        </w:rPr>
        <w:t>pantu, 324.panta pirmo daļu un 338.panta astoto daļu, senatoru kolēģija</w:t>
      </w:r>
    </w:p>
    <w:p w14:paraId="53A718E4" w14:textId="77777777" w:rsidR="00B41DAB" w:rsidRPr="00B41DAB" w:rsidRDefault="00B41DAB" w:rsidP="00B41DAB">
      <w:pPr>
        <w:spacing w:line="276" w:lineRule="auto"/>
        <w:ind w:firstLine="720"/>
        <w:jc w:val="both"/>
        <w:rPr>
          <w:color w:val="000000"/>
        </w:rPr>
      </w:pPr>
    </w:p>
    <w:p w14:paraId="0B7B61B4" w14:textId="27E50042" w:rsidR="00A66009" w:rsidRPr="00EF268D" w:rsidRDefault="00A66009" w:rsidP="00A66009">
      <w:pPr>
        <w:keepNext/>
        <w:tabs>
          <w:tab w:val="left" w:pos="2700"/>
          <w:tab w:val="left" w:pos="6660"/>
        </w:tabs>
        <w:spacing w:line="276" w:lineRule="auto"/>
        <w:contextualSpacing/>
        <w:jc w:val="center"/>
        <w:rPr>
          <w:rFonts w:asciiTheme="majorBidi" w:hAnsiTheme="majorBidi" w:cstheme="majorBidi"/>
          <w:b/>
        </w:rPr>
      </w:pPr>
      <w:r w:rsidRPr="00EF268D">
        <w:rPr>
          <w:rFonts w:asciiTheme="majorBidi" w:hAnsiTheme="majorBidi" w:cstheme="majorBidi"/>
          <w:b/>
        </w:rPr>
        <w:t>nolēma</w:t>
      </w:r>
    </w:p>
    <w:p w14:paraId="175FE91F" w14:textId="77777777" w:rsidR="00A66009" w:rsidRPr="00EF268D" w:rsidRDefault="00A66009" w:rsidP="00A66009">
      <w:pPr>
        <w:spacing w:line="276" w:lineRule="auto"/>
        <w:ind w:firstLine="720"/>
        <w:jc w:val="both"/>
        <w:rPr>
          <w:color w:val="000000"/>
        </w:rPr>
      </w:pPr>
    </w:p>
    <w:p w14:paraId="557EFC9D" w14:textId="0A5CC317" w:rsidR="00A66009" w:rsidRPr="007D376D" w:rsidRDefault="00A96EA2" w:rsidP="00A66009">
      <w:pPr>
        <w:spacing w:line="276" w:lineRule="auto"/>
        <w:ind w:firstLine="720"/>
        <w:jc w:val="both"/>
        <w:rPr>
          <w:color w:val="000000"/>
        </w:rPr>
      </w:pPr>
      <w:r>
        <w:rPr>
          <w:color w:val="000000"/>
        </w:rPr>
        <w:t>atteikt izskatīt SIA „PZD</w:t>
      </w:r>
      <w:r>
        <w:rPr>
          <w:color w:val="000000"/>
        </w:rPr>
        <w:noBreakHyphen/>
        <w:t>1”, SIA „PZD</w:t>
      </w:r>
      <w:r>
        <w:rPr>
          <w:color w:val="000000"/>
        </w:rPr>
        <w:noBreakHyphen/>
        <w:t>3”,</w:t>
      </w:r>
      <w:r w:rsidRPr="00A66009">
        <w:rPr>
          <w:color w:val="000000"/>
        </w:rPr>
        <w:t xml:space="preserve"> </w:t>
      </w:r>
      <w:r>
        <w:rPr>
          <w:color w:val="000000"/>
        </w:rPr>
        <w:t>SIA „PZD</w:t>
      </w:r>
      <w:r>
        <w:rPr>
          <w:color w:val="000000"/>
        </w:rPr>
        <w:noBreakHyphen/>
        <w:t>4”,</w:t>
      </w:r>
      <w:r w:rsidRPr="00A66009">
        <w:rPr>
          <w:color w:val="000000"/>
        </w:rPr>
        <w:t xml:space="preserve"> </w:t>
      </w:r>
      <w:r>
        <w:rPr>
          <w:color w:val="000000"/>
        </w:rPr>
        <w:t>SIA „PZD</w:t>
      </w:r>
      <w:r>
        <w:rPr>
          <w:color w:val="000000"/>
        </w:rPr>
        <w:noBreakHyphen/>
        <w:t>5”,</w:t>
      </w:r>
      <w:r w:rsidRPr="00A66009">
        <w:rPr>
          <w:color w:val="000000"/>
        </w:rPr>
        <w:t xml:space="preserve"> </w:t>
      </w:r>
      <w:r>
        <w:rPr>
          <w:color w:val="000000"/>
        </w:rPr>
        <w:t>SIA „PZD</w:t>
      </w:r>
      <w:r>
        <w:rPr>
          <w:color w:val="000000"/>
        </w:rPr>
        <w:noBreakHyphen/>
        <w:t>6”,</w:t>
      </w:r>
      <w:r w:rsidRPr="00A66009">
        <w:rPr>
          <w:color w:val="000000"/>
        </w:rPr>
        <w:t xml:space="preserve"> </w:t>
      </w:r>
      <w:r>
        <w:rPr>
          <w:color w:val="000000"/>
        </w:rPr>
        <w:t>SIA „PZD</w:t>
      </w:r>
      <w:r>
        <w:rPr>
          <w:color w:val="000000"/>
        </w:rPr>
        <w:noBreakHyphen/>
        <w:t>7”,</w:t>
      </w:r>
      <w:r w:rsidRPr="00A66009">
        <w:rPr>
          <w:color w:val="000000"/>
        </w:rPr>
        <w:t xml:space="preserve"> </w:t>
      </w:r>
      <w:r>
        <w:rPr>
          <w:color w:val="000000"/>
        </w:rPr>
        <w:t>SIA „PZD</w:t>
      </w:r>
      <w:r>
        <w:rPr>
          <w:color w:val="000000"/>
        </w:rPr>
        <w:noBreakHyphen/>
        <w:t>8”,</w:t>
      </w:r>
      <w:r w:rsidRPr="00A66009">
        <w:rPr>
          <w:color w:val="000000"/>
        </w:rPr>
        <w:t xml:space="preserve"> </w:t>
      </w:r>
      <w:r>
        <w:rPr>
          <w:color w:val="000000"/>
        </w:rPr>
        <w:t>SIA „PZD</w:t>
      </w:r>
      <w:r>
        <w:rPr>
          <w:color w:val="000000"/>
        </w:rPr>
        <w:noBreakHyphen/>
        <w:t>9”,</w:t>
      </w:r>
      <w:r w:rsidRPr="00A66009">
        <w:rPr>
          <w:color w:val="000000"/>
        </w:rPr>
        <w:t xml:space="preserve"> </w:t>
      </w:r>
      <w:r>
        <w:rPr>
          <w:color w:val="000000"/>
        </w:rPr>
        <w:t>SIA „PZD</w:t>
      </w:r>
      <w:r>
        <w:rPr>
          <w:color w:val="000000"/>
        </w:rPr>
        <w:noBreakHyphen/>
        <w:t>10” blakus sūdzību par Administratīvās apgabaltiesas tiesneša 2024.gada 22.marta lēmumu.</w:t>
      </w:r>
    </w:p>
    <w:p w14:paraId="03ADEF47" w14:textId="77777777" w:rsidR="00A66009" w:rsidRDefault="00A66009" w:rsidP="00A66009">
      <w:pPr>
        <w:spacing w:line="276" w:lineRule="auto"/>
        <w:ind w:firstLine="720"/>
        <w:jc w:val="both"/>
        <w:rPr>
          <w:color w:val="000000"/>
        </w:rPr>
      </w:pPr>
    </w:p>
    <w:p w14:paraId="42C11AE9" w14:textId="77777777" w:rsidR="00A66009" w:rsidRPr="007D376D" w:rsidRDefault="00A66009" w:rsidP="00A66009">
      <w:pPr>
        <w:spacing w:line="276" w:lineRule="auto"/>
        <w:ind w:firstLine="720"/>
        <w:jc w:val="both"/>
        <w:rPr>
          <w:color w:val="000000"/>
        </w:rPr>
      </w:pPr>
      <w:r w:rsidRPr="007D376D">
        <w:rPr>
          <w:color w:val="000000"/>
        </w:rPr>
        <w:t>Lēmums nav pārsūdzams.</w:t>
      </w:r>
    </w:p>
    <w:p w14:paraId="05322541" w14:textId="77777777" w:rsidR="00A66009" w:rsidRDefault="00A66009" w:rsidP="00A66009">
      <w:pPr>
        <w:spacing w:line="276" w:lineRule="auto"/>
        <w:ind w:firstLine="720"/>
        <w:jc w:val="both"/>
        <w:rPr>
          <w:color w:val="000000"/>
        </w:rPr>
      </w:pPr>
    </w:p>
    <w:p w14:paraId="6FCBE276" w14:textId="77777777" w:rsidR="00A66009" w:rsidRDefault="00A66009" w:rsidP="00A66009">
      <w:pPr>
        <w:spacing w:line="276" w:lineRule="auto"/>
        <w:ind w:firstLine="720"/>
        <w:jc w:val="both"/>
        <w:rPr>
          <w:color w:val="000000"/>
        </w:rPr>
      </w:pPr>
    </w:p>
    <w:p w14:paraId="7BBBBD61" w14:textId="77777777" w:rsidR="00A66009" w:rsidRPr="00FE2105" w:rsidRDefault="00A66009" w:rsidP="00A66009">
      <w:pPr>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837"/>
        <w:gridCol w:w="2851"/>
      </w:tblGrid>
      <w:tr w:rsidR="00A96EA2" w:rsidRPr="00587DA8" w14:paraId="755C10CA" w14:textId="77777777" w:rsidTr="00F22146">
        <w:tc>
          <w:tcPr>
            <w:tcW w:w="3020" w:type="dxa"/>
            <w:hideMark/>
          </w:tcPr>
          <w:p w14:paraId="0CA959A9" w14:textId="77777777" w:rsidR="00054FE5" w:rsidRDefault="00054FE5" w:rsidP="00B41DAB">
            <w:pPr>
              <w:tabs>
                <w:tab w:val="left" w:pos="2700"/>
                <w:tab w:val="left" w:pos="6660"/>
              </w:tabs>
              <w:spacing w:line="276" w:lineRule="auto"/>
              <w:rPr>
                <w:rFonts w:asciiTheme="majorBidi" w:hAnsiTheme="majorBidi" w:cstheme="majorBidi"/>
                <w:sz w:val="24"/>
              </w:rPr>
            </w:pPr>
          </w:p>
          <w:p w14:paraId="6C5D1D75" w14:textId="41CA659F" w:rsidR="00A66009" w:rsidRPr="00900FA9" w:rsidRDefault="00A66009" w:rsidP="00B41DAB">
            <w:pPr>
              <w:tabs>
                <w:tab w:val="left" w:pos="2700"/>
                <w:tab w:val="left" w:pos="6660"/>
              </w:tabs>
              <w:spacing w:line="276" w:lineRule="auto"/>
              <w:rPr>
                <w:rFonts w:asciiTheme="majorBidi" w:hAnsiTheme="majorBidi" w:cstheme="majorBidi"/>
                <w:sz w:val="24"/>
              </w:rPr>
            </w:pPr>
            <w:r w:rsidRPr="00900FA9">
              <w:rPr>
                <w:rFonts w:asciiTheme="majorBidi" w:hAnsiTheme="majorBidi" w:cstheme="majorBidi"/>
                <w:sz w:val="24"/>
              </w:rPr>
              <w:t xml:space="preserve">Senatore </w:t>
            </w:r>
            <w:r w:rsidR="00A96EA2">
              <w:rPr>
                <w:rFonts w:asciiTheme="majorBidi" w:hAnsiTheme="majorBidi" w:cstheme="majorBidi"/>
                <w:sz w:val="24"/>
              </w:rPr>
              <w:t>V. Kakste</w:t>
            </w:r>
          </w:p>
        </w:tc>
        <w:tc>
          <w:tcPr>
            <w:tcW w:w="3020" w:type="dxa"/>
            <w:hideMark/>
          </w:tcPr>
          <w:p w14:paraId="7A663900" w14:textId="77777777" w:rsidR="00054FE5" w:rsidRDefault="00054FE5" w:rsidP="00F22146">
            <w:pPr>
              <w:tabs>
                <w:tab w:val="left" w:pos="2700"/>
                <w:tab w:val="left" w:pos="6660"/>
              </w:tabs>
              <w:spacing w:line="276" w:lineRule="auto"/>
              <w:jc w:val="center"/>
              <w:rPr>
                <w:rFonts w:asciiTheme="majorBidi" w:hAnsiTheme="majorBidi" w:cstheme="majorBidi"/>
                <w:sz w:val="24"/>
              </w:rPr>
            </w:pPr>
          </w:p>
          <w:p w14:paraId="4B400F02" w14:textId="57E15427" w:rsidR="00A66009" w:rsidRPr="00B41DAB" w:rsidRDefault="00A66009" w:rsidP="00F22146">
            <w:pPr>
              <w:tabs>
                <w:tab w:val="left" w:pos="2700"/>
                <w:tab w:val="left" w:pos="6660"/>
              </w:tabs>
              <w:spacing w:line="276" w:lineRule="auto"/>
              <w:jc w:val="center"/>
              <w:rPr>
                <w:rFonts w:asciiTheme="majorBidi" w:hAnsiTheme="majorBidi" w:cstheme="majorBidi"/>
                <w:sz w:val="24"/>
                <w:highlight w:val="yellow"/>
              </w:rPr>
            </w:pPr>
            <w:r w:rsidRPr="004E0E30">
              <w:rPr>
                <w:rFonts w:asciiTheme="majorBidi" w:hAnsiTheme="majorBidi" w:cstheme="majorBidi"/>
                <w:sz w:val="24"/>
              </w:rPr>
              <w:t>Senator</w:t>
            </w:r>
            <w:r w:rsidR="00B41DAB" w:rsidRPr="004E0E30">
              <w:rPr>
                <w:rFonts w:asciiTheme="majorBidi" w:hAnsiTheme="majorBidi" w:cstheme="majorBidi"/>
                <w:sz w:val="24"/>
              </w:rPr>
              <w:t>e</w:t>
            </w:r>
            <w:r w:rsidRPr="004E0E30">
              <w:rPr>
                <w:rFonts w:asciiTheme="majorBidi" w:hAnsiTheme="majorBidi" w:cstheme="majorBidi"/>
                <w:sz w:val="24"/>
              </w:rPr>
              <w:t xml:space="preserve"> </w:t>
            </w:r>
            <w:r w:rsidR="004E0E30" w:rsidRPr="004E0E30">
              <w:rPr>
                <w:rFonts w:asciiTheme="majorBidi" w:hAnsiTheme="majorBidi" w:cstheme="majorBidi"/>
                <w:sz w:val="24"/>
              </w:rPr>
              <w:t>V. Krūmiņa</w:t>
            </w:r>
          </w:p>
        </w:tc>
        <w:tc>
          <w:tcPr>
            <w:tcW w:w="3021" w:type="dxa"/>
            <w:hideMark/>
          </w:tcPr>
          <w:p w14:paraId="7672FA38" w14:textId="77777777" w:rsidR="00054FE5" w:rsidRDefault="00054FE5" w:rsidP="00B41DAB">
            <w:pPr>
              <w:tabs>
                <w:tab w:val="left" w:pos="2700"/>
                <w:tab w:val="left" w:pos="6660"/>
              </w:tabs>
              <w:spacing w:line="276" w:lineRule="auto"/>
              <w:jc w:val="right"/>
              <w:rPr>
                <w:rFonts w:asciiTheme="majorBidi" w:hAnsiTheme="majorBidi" w:cstheme="majorBidi"/>
                <w:sz w:val="24"/>
              </w:rPr>
            </w:pPr>
          </w:p>
          <w:p w14:paraId="738CA327" w14:textId="3EA5B73A" w:rsidR="00A66009" w:rsidRPr="00B41DAB" w:rsidRDefault="00A66009" w:rsidP="00B41DAB">
            <w:pPr>
              <w:tabs>
                <w:tab w:val="left" w:pos="2700"/>
                <w:tab w:val="left" w:pos="6660"/>
              </w:tabs>
              <w:spacing w:line="276" w:lineRule="auto"/>
              <w:jc w:val="right"/>
              <w:rPr>
                <w:rFonts w:asciiTheme="majorBidi" w:hAnsiTheme="majorBidi" w:cstheme="majorBidi"/>
                <w:sz w:val="24"/>
                <w:highlight w:val="yellow"/>
              </w:rPr>
            </w:pPr>
            <w:r w:rsidRPr="004E0E30">
              <w:rPr>
                <w:rFonts w:asciiTheme="majorBidi" w:hAnsiTheme="majorBidi" w:cstheme="majorBidi"/>
                <w:sz w:val="24"/>
              </w:rPr>
              <w:t xml:space="preserve">Senatore </w:t>
            </w:r>
            <w:r w:rsidR="00A96EA2" w:rsidRPr="004E0E30">
              <w:rPr>
                <w:rFonts w:asciiTheme="majorBidi" w:hAnsiTheme="majorBidi" w:cstheme="majorBidi"/>
                <w:sz w:val="24"/>
              </w:rPr>
              <w:t>D. Makarova</w:t>
            </w:r>
          </w:p>
        </w:tc>
      </w:tr>
    </w:tbl>
    <w:p w14:paraId="589A3910" w14:textId="77777777" w:rsidR="007A1FC5" w:rsidRDefault="007A1FC5"/>
    <w:sectPr w:rsidR="007A1FC5" w:rsidSect="005C1DEF">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F12E" w14:textId="77777777" w:rsidR="005C1DEF" w:rsidRDefault="005C1DEF">
      <w:r>
        <w:separator/>
      </w:r>
    </w:p>
  </w:endnote>
  <w:endnote w:type="continuationSeparator" w:id="0">
    <w:p w14:paraId="41B8BEE2" w14:textId="77777777" w:rsidR="005C1DEF" w:rsidRDefault="005C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7B40EB7" w14:textId="77777777" w:rsidR="00A96EA2" w:rsidRPr="00F64E84" w:rsidRDefault="00A96EA2"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32B32" w14:textId="77777777" w:rsidR="005C1DEF" w:rsidRDefault="005C1DEF">
      <w:r>
        <w:separator/>
      </w:r>
    </w:p>
  </w:footnote>
  <w:footnote w:type="continuationSeparator" w:id="0">
    <w:p w14:paraId="62D63259" w14:textId="77777777" w:rsidR="005C1DEF" w:rsidRDefault="005C1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7F"/>
    <w:rsid w:val="00054FE5"/>
    <w:rsid w:val="00111FA5"/>
    <w:rsid w:val="00123A4A"/>
    <w:rsid w:val="00262C50"/>
    <w:rsid w:val="003A47FE"/>
    <w:rsid w:val="003A7ACD"/>
    <w:rsid w:val="004000FC"/>
    <w:rsid w:val="004E0E30"/>
    <w:rsid w:val="0055144F"/>
    <w:rsid w:val="005B4A3F"/>
    <w:rsid w:val="005C1DEF"/>
    <w:rsid w:val="005D5B8C"/>
    <w:rsid w:val="0069676D"/>
    <w:rsid w:val="006E490A"/>
    <w:rsid w:val="00725B4E"/>
    <w:rsid w:val="007A1FC5"/>
    <w:rsid w:val="007E34FA"/>
    <w:rsid w:val="00863233"/>
    <w:rsid w:val="008B287F"/>
    <w:rsid w:val="00972095"/>
    <w:rsid w:val="00A66009"/>
    <w:rsid w:val="00A7291D"/>
    <w:rsid w:val="00A96EA2"/>
    <w:rsid w:val="00AC69EB"/>
    <w:rsid w:val="00B41DAB"/>
    <w:rsid w:val="00B5467E"/>
    <w:rsid w:val="00B63FF2"/>
    <w:rsid w:val="00C66BA9"/>
    <w:rsid w:val="00CB41BE"/>
    <w:rsid w:val="00D83801"/>
    <w:rsid w:val="00DE6B35"/>
    <w:rsid w:val="00E023C5"/>
    <w:rsid w:val="00EC6742"/>
    <w:rsid w:val="00F20FCE"/>
    <w:rsid w:val="00F2203B"/>
    <w:rsid w:val="00F32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4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009"/>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009"/>
    <w:pPr>
      <w:tabs>
        <w:tab w:val="center" w:pos="4153"/>
        <w:tab w:val="right" w:pos="8306"/>
      </w:tabs>
    </w:pPr>
  </w:style>
  <w:style w:type="character" w:customStyle="1" w:styleId="HeaderChar">
    <w:name w:val="Header Char"/>
    <w:basedOn w:val="DefaultParagraphFont"/>
    <w:link w:val="Header"/>
    <w:uiPriority w:val="99"/>
    <w:rsid w:val="00A66009"/>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A66009"/>
    <w:pPr>
      <w:tabs>
        <w:tab w:val="center" w:pos="4153"/>
        <w:tab w:val="right" w:pos="8306"/>
      </w:tabs>
    </w:pPr>
  </w:style>
  <w:style w:type="character" w:customStyle="1" w:styleId="FooterChar">
    <w:name w:val="Footer Char"/>
    <w:basedOn w:val="DefaultParagraphFont"/>
    <w:link w:val="Footer"/>
    <w:uiPriority w:val="99"/>
    <w:rsid w:val="00A66009"/>
    <w:rPr>
      <w:rFonts w:eastAsia="Times New Roman" w:cs="Times New Roman"/>
      <w:kern w:val="0"/>
      <w:szCs w:val="24"/>
      <w:lang w:val="lv-LV" w:eastAsia="ru-RU"/>
      <w14:ligatures w14:val="none"/>
    </w:rPr>
  </w:style>
  <w:style w:type="table" w:styleId="TableGrid">
    <w:name w:val="Table Grid"/>
    <w:basedOn w:val="TableNormal"/>
    <w:uiPriority w:val="39"/>
    <w:rsid w:val="00A66009"/>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1BE"/>
    <w:rPr>
      <w:color w:val="0563C1" w:themeColor="hyperlink"/>
      <w:u w:val="single"/>
    </w:rPr>
  </w:style>
  <w:style w:type="character" w:styleId="UnresolvedMention">
    <w:name w:val="Unresolved Mention"/>
    <w:basedOn w:val="DefaultParagraphFont"/>
    <w:uiPriority w:val="99"/>
    <w:semiHidden/>
    <w:unhideWhenUsed/>
    <w:rsid w:val="00CB41BE"/>
    <w:rPr>
      <w:color w:val="605E5C"/>
      <w:shd w:val="clear" w:color="auto" w:fill="E1DFDD"/>
    </w:rPr>
  </w:style>
  <w:style w:type="paragraph" w:styleId="Revision">
    <w:name w:val="Revision"/>
    <w:hidden/>
    <w:uiPriority w:val="99"/>
    <w:semiHidden/>
    <w:rsid w:val="005B4A3F"/>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C66BA9"/>
    <w:rPr>
      <w:sz w:val="16"/>
      <w:szCs w:val="16"/>
    </w:rPr>
  </w:style>
  <w:style w:type="paragraph" w:styleId="CommentText">
    <w:name w:val="annotation text"/>
    <w:basedOn w:val="Normal"/>
    <w:link w:val="CommentTextChar"/>
    <w:uiPriority w:val="99"/>
    <w:unhideWhenUsed/>
    <w:rsid w:val="00C66BA9"/>
    <w:rPr>
      <w:sz w:val="20"/>
      <w:szCs w:val="20"/>
    </w:rPr>
  </w:style>
  <w:style w:type="character" w:customStyle="1" w:styleId="CommentTextChar">
    <w:name w:val="Comment Text Char"/>
    <w:basedOn w:val="DefaultParagraphFont"/>
    <w:link w:val="CommentText"/>
    <w:uiPriority w:val="99"/>
    <w:rsid w:val="00C66BA9"/>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C66BA9"/>
    <w:rPr>
      <w:b/>
      <w:bCs/>
    </w:rPr>
  </w:style>
  <w:style w:type="character" w:customStyle="1" w:styleId="CommentSubjectChar">
    <w:name w:val="Comment Subject Char"/>
    <w:basedOn w:val="CommentTextChar"/>
    <w:link w:val="CommentSubject"/>
    <w:uiPriority w:val="99"/>
    <w:semiHidden/>
    <w:rsid w:val="00C66BA9"/>
    <w:rPr>
      <w:rFonts w:eastAsia="Times New Roman" w:cs="Times New Roman"/>
      <w:b/>
      <w:bCs/>
      <w:kern w:val="0"/>
      <w:sz w:val="20"/>
      <w:szCs w:val="2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378763">
      <w:bodyDiv w:val="1"/>
      <w:marLeft w:val="0"/>
      <w:marRight w:val="0"/>
      <w:marTop w:val="0"/>
      <w:marBottom w:val="0"/>
      <w:divBdr>
        <w:top w:val="none" w:sz="0" w:space="0" w:color="auto"/>
        <w:left w:val="none" w:sz="0" w:space="0" w:color="auto"/>
        <w:bottom w:val="none" w:sz="0" w:space="0" w:color="auto"/>
        <w:right w:val="none" w:sz="0" w:space="0" w:color="auto"/>
      </w:divBdr>
    </w:div>
    <w:div w:id="13210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09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4056</Words>
  <Characters>2312</Characters>
  <Application>Microsoft Office Word</Application>
  <DocSecurity>0</DocSecurity>
  <Lines>19</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2024-06-10T08:56:00Z</dcterms:created>
  <dcterms:modified xsi:type="dcterms:W3CDTF">2024-06-10T08:56:00Z</dcterms:modified>
</cp:coreProperties>
</file>