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9AB15" w14:textId="5662420D" w:rsidR="003367D2" w:rsidRPr="003367D2" w:rsidRDefault="003367D2" w:rsidP="003367D2">
      <w:pPr>
        <w:autoSpaceDE w:val="0"/>
        <w:autoSpaceDN w:val="0"/>
        <w:spacing w:line="276" w:lineRule="auto"/>
        <w:jc w:val="both"/>
        <w:rPr>
          <w:rFonts w:ascii="TimesNewRomanPSMT" w:hAnsi="TimesNewRomanPSMT"/>
          <w:b/>
          <w:bCs/>
          <w:szCs w:val="24"/>
        </w:rPr>
      </w:pPr>
      <w:bookmarkStart w:id="0" w:name="OLE_LINK2"/>
      <w:bookmarkStart w:id="1" w:name="OLE_LINK1"/>
      <w:r>
        <w:rPr>
          <w:rFonts w:ascii="TimesNewRomanPSMT" w:hAnsi="TimesNewRomanPSMT"/>
          <w:b/>
          <w:bCs/>
          <w:szCs w:val="24"/>
        </w:rPr>
        <w:t xml:space="preserve">Pierādījumu izprasīšana no Konkurences padomes lietas, nolūkā pamatot zaudējumu atlīdzināšanas prasību, ir veicama civiltiesiskā kārtībā </w:t>
      </w:r>
    </w:p>
    <w:p w14:paraId="7113F52E" w14:textId="77777777" w:rsidR="003367D2" w:rsidRDefault="003367D2" w:rsidP="003367D2">
      <w:pPr>
        <w:autoSpaceDE w:val="0"/>
        <w:autoSpaceDN w:val="0"/>
        <w:spacing w:line="276" w:lineRule="auto"/>
        <w:contextualSpacing/>
        <w:jc w:val="both"/>
        <w:rPr>
          <w:rFonts w:ascii="TimesNewRomanPSMT" w:hAnsi="TimesNewRomanPSMT"/>
          <w:b/>
          <w:bCs/>
          <w:szCs w:val="24"/>
        </w:rPr>
      </w:pPr>
      <w:proofErr w:type="spellStart"/>
      <w:r>
        <w:rPr>
          <w:rFonts w:ascii="TimesNewRomanPSMT" w:hAnsi="TimesNewRomanPSMT"/>
          <w:b/>
          <w:bCs/>
          <w:szCs w:val="24"/>
        </w:rPr>
        <w:t>Pamatlietu</w:t>
      </w:r>
      <w:proofErr w:type="spellEnd"/>
      <w:r>
        <w:rPr>
          <w:rFonts w:ascii="TimesNewRomanPSMT" w:hAnsi="TimesNewRomanPSMT"/>
          <w:b/>
          <w:bCs/>
          <w:szCs w:val="24"/>
        </w:rPr>
        <w:t xml:space="preserve"> izskatošās tiesas kompetence izlemt jautājumu par pierādījumu izprasīšanas nepieciešamību </w:t>
      </w:r>
    </w:p>
    <w:p w14:paraId="25B1DCD9" w14:textId="77777777" w:rsidR="003367D2" w:rsidRDefault="003367D2" w:rsidP="003367D2">
      <w:pPr>
        <w:autoSpaceDE w:val="0"/>
        <w:autoSpaceDN w:val="0"/>
        <w:spacing w:line="276" w:lineRule="auto"/>
        <w:contextualSpacing/>
        <w:jc w:val="both"/>
        <w:rPr>
          <w:rFonts w:ascii="TimesNewRomanPSMT" w:hAnsi="TimesNewRomanPSMT"/>
          <w:szCs w:val="24"/>
        </w:rPr>
      </w:pPr>
      <w:r>
        <w:rPr>
          <w:rFonts w:ascii="TimesNewRomanPSMT" w:hAnsi="TimesNewRomanPSMT"/>
          <w:szCs w:val="24"/>
        </w:rPr>
        <w:t xml:space="preserve">Konkurences lietās iegūtās informācijas konfidenciālā rakstura dēļ jautājums par konkrētu lietas materiālu un informācijas pieejamību konkrētiem procesa dalībniekiem ir viens no būtiskākajiem procesā risināmajiem jautājumiem, ar ko tiesa saskaras, gan izskatot lietu par Konkurences padomes lēmumu tiesiskumu, gan par konkurences tiesību pārkāpumu rezultātā radīto zaudējumu piedziņu. Tiesai abos gadījumos ir jāvērtē gan informācijas aizsardzības un līdz ar to ierobežojumu iepazīties mērķis un aizsardzības robežas, gan to personu intereses, kuras vēlas ar informāciju iepazīties un to izmantot, atsaucoties uz savu tiesību aizsardzības nepieciešamību. Tas arī nozīmē, ka tieši tiesa, kas izskata </w:t>
      </w:r>
      <w:proofErr w:type="spellStart"/>
      <w:r>
        <w:rPr>
          <w:rFonts w:ascii="TimesNewRomanPSMT" w:hAnsi="TimesNewRomanPSMT"/>
          <w:szCs w:val="24"/>
        </w:rPr>
        <w:t>pamatlietu</w:t>
      </w:r>
      <w:proofErr w:type="spellEnd"/>
      <w:r>
        <w:rPr>
          <w:rFonts w:ascii="TimesNewRomanPSMT" w:hAnsi="TimesNewRomanPSMT"/>
          <w:szCs w:val="24"/>
        </w:rPr>
        <w:t xml:space="preserve">, vienīgā ir tajā situācijā, kas var patiesi šīs intereses novērtēt un samērot, jo vienīgā redz visu lietas kontekstu un katra pierādījuma un informācijas nozīmi, zinot to, kādi apstākļi </w:t>
      </w:r>
      <w:proofErr w:type="spellStart"/>
      <w:r>
        <w:rPr>
          <w:rFonts w:ascii="TimesNewRomanPSMT" w:hAnsi="TimesNewRomanPSMT"/>
          <w:szCs w:val="24"/>
        </w:rPr>
        <w:t>pamatlietā</w:t>
      </w:r>
      <w:proofErr w:type="spellEnd"/>
      <w:r>
        <w:rPr>
          <w:rFonts w:ascii="TimesNewRomanPSMT" w:hAnsi="TimesNewRomanPSMT"/>
          <w:szCs w:val="24"/>
        </w:rPr>
        <w:t xml:space="preserve"> ir nozīmīgi. Tas attaisno Civilprocesa likumā ietvertā regulējuma kā izsmeļoša speciālā regulējuma piemērošanu gadījumos, kad persona, kas ceļ zaudējumu atlīdzināšanas prasību par konkurences tiesību pārkāpumu, vēlas panākt pierādījumu iegūšanu no Konkurences padomes lietas. Konkurences padomes noteiktais ierobežojums personai izsniegtos pierādījumus izmantot tālāk, ir adresēts vienīgi pašai personai un nevar ierobežot civillietu izskatošās tiesas kompetenci izlemt jautājumu par pierādījumu izprasīšanu brīvi un atbilstoši Civilprocesa likuma regulējuma</w:t>
      </w:r>
      <w:r w:rsidRPr="003367D2">
        <w:rPr>
          <w:rFonts w:ascii="TimesNewRomanPSMT" w:hAnsi="TimesNewRomanPSMT"/>
          <w:szCs w:val="24"/>
        </w:rPr>
        <w:t>m</w:t>
      </w:r>
      <w:r>
        <w:rPr>
          <w:rFonts w:ascii="TimesNewRomanPSMT" w:hAnsi="TimesNewRomanPSMT"/>
          <w:szCs w:val="24"/>
        </w:rPr>
        <w:t xml:space="preserve">. </w:t>
      </w:r>
    </w:p>
    <w:p w14:paraId="3372437B" w14:textId="77777777" w:rsidR="003367D2" w:rsidRDefault="003367D2" w:rsidP="003367D2">
      <w:pPr>
        <w:autoSpaceDE w:val="0"/>
        <w:autoSpaceDN w:val="0"/>
        <w:spacing w:line="276" w:lineRule="auto"/>
        <w:contextualSpacing/>
        <w:jc w:val="both"/>
        <w:rPr>
          <w:rFonts w:ascii="TimesNewRomanPSMT" w:hAnsi="TimesNewRomanPSMT"/>
          <w:szCs w:val="24"/>
        </w:rPr>
      </w:pPr>
      <w:r>
        <w:rPr>
          <w:rFonts w:ascii="TimesNewRomanPSMT" w:hAnsi="TimesNewRomanPSMT"/>
          <w:szCs w:val="24"/>
        </w:rPr>
        <w:t>Tiesiskais regulējums par pierādījumu izprasīšanu no Konkurences padomes lietas materiāliem ir līdzvērtīgi piemērojams neatkarīgi no tā, vai zaudējumi radīti ar Eiropas Savienības tiesību, vai ar Latvijas tiesību pārkāpumu, un Eiropas Savienības tiesību piemērošana notiek līdzvērtīgi Latvijas tiesībām.</w:t>
      </w:r>
    </w:p>
    <w:p w14:paraId="178FDB9E" w14:textId="69A50152" w:rsidR="008614E0" w:rsidRPr="00937C0B" w:rsidRDefault="008614E0" w:rsidP="003367D2">
      <w:pPr>
        <w:spacing w:after="0" w:line="276" w:lineRule="auto"/>
        <w:rPr>
          <w:rFonts w:eastAsia="Times New Roman" w:cs="Times New Roman"/>
          <w:szCs w:val="24"/>
          <w:lang w:eastAsia="ru-RU"/>
        </w:rPr>
      </w:pPr>
    </w:p>
    <w:p w14:paraId="04E8F92B" w14:textId="4E0A46D6" w:rsidR="008614E0" w:rsidRDefault="008614E0" w:rsidP="003367D2">
      <w:pPr>
        <w:spacing w:after="0" w:line="276" w:lineRule="auto"/>
        <w:jc w:val="center"/>
        <w:rPr>
          <w:rFonts w:eastAsia="Times New Roman" w:cs="Times New Roman"/>
          <w:b/>
          <w:szCs w:val="24"/>
          <w:lang w:eastAsia="ru-RU"/>
        </w:rPr>
      </w:pPr>
      <w:r w:rsidRPr="00716243">
        <w:rPr>
          <w:rFonts w:eastAsia="Times New Roman" w:cs="Times New Roman"/>
          <w:b/>
          <w:szCs w:val="24"/>
          <w:lang w:eastAsia="ru-RU"/>
        </w:rPr>
        <w:t>Latvijas Republikas Senāt</w:t>
      </w:r>
      <w:r w:rsidR="003367D2">
        <w:rPr>
          <w:rFonts w:eastAsia="Times New Roman" w:cs="Times New Roman"/>
          <w:b/>
          <w:szCs w:val="24"/>
          <w:lang w:eastAsia="ru-RU"/>
        </w:rPr>
        <w:t>a</w:t>
      </w:r>
      <w:r w:rsidR="003367D2">
        <w:rPr>
          <w:rFonts w:eastAsia="Times New Roman" w:cs="Times New Roman"/>
          <w:b/>
          <w:szCs w:val="24"/>
          <w:lang w:eastAsia="ru-RU"/>
        </w:rPr>
        <w:br/>
        <w:t xml:space="preserve">Administratīvo lietu departamenta </w:t>
      </w:r>
    </w:p>
    <w:p w14:paraId="3B185AAC" w14:textId="6F07FB38" w:rsidR="003367D2" w:rsidRPr="00716243" w:rsidRDefault="003367D2" w:rsidP="003367D2">
      <w:pPr>
        <w:spacing w:after="0" w:line="276" w:lineRule="auto"/>
        <w:jc w:val="center"/>
        <w:rPr>
          <w:rFonts w:eastAsia="Times New Roman" w:cs="Times New Roman"/>
          <w:b/>
          <w:szCs w:val="24"/>
          <w:lang w:eastAsia="ru-RU"/>
        </w:rPr>
      </w:pPr>
      <w:r>
        <w:rPr>
          <w:rFonts w:eastAsia="Times New Roman" w:cs="Times New Roman"/>
          <w:b/>
          <w:szCs w:val="24"/>
          <w:lang w:eastAsia="ru-RU"/>
        </w:rPr>
        <w:t xml:space="preserve">2024.gada 30.janvāra </w:t>
      </w:r>
    </w:p>
    <w:p w14:paraId="78ABA602" w14:textId="38C4B2BB" w:rsidR="008614E0" w:rsidRDefault="008614E0" w:rsidP="003367D2">
      <w:pPr>
        <w:spacing w:after="0" w:line="276" w:lineRule="auto"/>
        <w:jc w:val="center"/>
        <w:rPr>
          <w:rFonts w:eastAsia="Times New Roman" w:cs="Times New Roman"/>
          <w:b/>
          <w:szCs w:val="24"/>
          <w:lang w:eastAsia="ru-RU"/>
        </w:rPr>
      </w:pPr>
      <w:r w:rsidRPr="006A517F">
        <w:rPr>
          <w:rFonts w:eastAsia="Times New Roman" w:cs="Times New Roman"/>
          <w:b/>
          <w:szCs w:val="24"/>
          <w:lang w:eastAsia="ru-RU"/>
        </w:rPr>
        <w:t>LĒMUMS</w:t>
      </w:r>
    </w:p>
    <w:p w14:paraId="72BD98D5" w14:textId="1BD86EFC" w:rsidR="003367D2" w:rsidRPr="003367D2" w:rsidRDefault="003367D2" w:rsidP="003367D2">
      <w:pPr>
        <w:spacing w:after="0" w:line="276" w:lineRule="auto"/>
        <w:jc w:val="center"/>
        <w:rPr>
          <w:rFonts w:eastAsia="Times New Roman" w:cs="Times New Roman"/>
          <w:b/>
          <w:bCs/>
          <w:szCs w:val="24"/>
          <w:lang w:eastAsia="ru-RU"/>
        </w:rPr>
      </w:pPr>
      <w:r w:rsidRPr="003367D2">
        <w:rPr>
          <w:rFonts w:eastAsia="Times New Roman" w:cs="Times New Roman"/>
          <w:b/>
          <w:bCs/>
          <w:szCs w:val="24"/>
          <w:lang w:eastAsia="ru-RU"/>
        </w:rPr>
        <w:t>Liet</w:t>
      </w:r>
      <w:r w:rsidRPr="003367D2">
        <w:rPr>
          <w:rFonts w:eastAsia="Times New Roman" w:cs="Times New Roman"/>
          <w:b/>
          <w:bCs/>
          <w:szCs w:val="24"/>
          <w:lang w:eastAsia="ru-RU"/>
        </w:rPr>
        <w:t>ā</w:t>
      </w:r>
      <w:r w:rsidRPr="003367D2">
        <w:rPr>
          <w:rFonts w:eastAsia="Times New Roman" w:cs="Times New Roman"/>
          <w:b/>
          <w:bCs/>
          <w:szCs w:val="24"/>
          <w:lang w:eastAsia="ru-RU"/>
        </w:rPr>
        <w:t xml:space="preserve"> Nr. 670012623, SKA-312/2024</w:t>
      </w:r>
    </w:p>
    <w:p w14:paraId="2A9C0E56" w14:textId="227DFD11" w:rsidR="003367D2" w:rsidRPr="006A517F" w:rsidRDefault="003367D2" w:rsidP="003367D2">
      <w:pPr>
        <w:spacing w:after="0" w:line="276" w:lineRule="auto"/>
        <w:jc w:val="center"/>
        <w:rPr>
          <w:rFonts w:eastAsia="Times New Roman" w:cs="Times New Roman"/>
          <w:b/>
          <w:szCs w:val="24"/>
          <w:lang w:eastAsia="ru-RU"/>
        </w:rPr>
      </w:pPr>
      <w:hyperlink r:id="rId8" w:history="1">
        <w:r w:rsidRPr="003367D2">
          <w:rPr>
            <w:rStyle w:val="Hyperlink"/>
            <w:rFonts w:ascii="TimesNewRomanPSMT" w:hAnsi="TimesNewRomanPSMT" w:cs="TimesNewRomanPSMT"/>
            <w:szCs w:val="24"/>
          </w:rPr>
          <w:t>ECLI:LV:AT:2024:0130.SKA031224.4.L</w:t>
        </w:r>
      </w:hyperlink>
    </w:p>
    <w:bookmarkEnd w:id="0"/>
    <w:bookmarkEnd w:id="1"/>
    <w:p w14:paraId="38B7C432" w14:textId="77777777" w:rsidR="008614E0" w:rsidRPr="009E1E3B" w:rsidRDefault="008614E0" w:rsidP="003367D2">
      <w:pPr>
        <w:spacing w:after="0" w:line="276" w:lineRule="auto"/>
        <w:ind w:firstLine="720"/>
        <w:jc w:val="both"/>
        <w:rPr>
          <w:rFonts w:eastAsia="Times New Roman" w:cs="Times New Roman"/>
          <w:szCs w:val="24"/>
          <w:lang w:eastAsia="ru-RU"/>
        </w:rPr>
      </w:pPr>
    </w:p>
    <w:p w14:paraId="0C459F07" w14:textId="5821728E" w:rsidR="00825702" w:rsidRPr="00825702" w:rsidRDefault="00C70A95" w:rsidP="003367D2">
      <w:pPr>
        <w:spacing w:after="0" w:line="276" w:lineRule="auto"/>
        <w:ind w:firstLine="720"/>
        <w:jc w:val="both"/>
        <w:rPr>
          <w:rFonts w:eastAsia="Calibri" w:cs="Arial"/>
        </w:rPr>
      </w:pPr>
      <w:r>
        <w:rPr>
          <w:rFonts w:eastAsia="Calibri" w:cs="Arial"/>
        </w:rPr>
        <w:t>Senāts</w:t>
      </w:r>
      <w:r w:rsidR="00825702" w:rsidRPr="00825702">
        <w:rPr>
          <w:rFonts w:eastAsia="Calibri" w:cs="Arial"/>
        </w:rPr>
        <w:t xml:space="preserve"> šādā sastāvā: senatore referente Rudīte Vīduša, senator</w:t>
      </w:r>
      <w:r w:rsidR="00825702">
        <w:rPr>
          <w:rFonts w:eastAsia="Calibri" w:cs="Arial"/>
        </w:rPr>
        <w:t>i</w:t>
      </w:r>
      <w:r w:rsidR="00825702" w:rsidRPr="00825702">
        <w:rPr>
          <w:rFonts w:eastAsia="Calibri" w:cs="Arial"/>
        </w:rPr>
        <w:t xml:space="preserve"> </w:t>
      </w:r>
      <w:r w:rsidR="00825702">
        <w:rPr>
          <w:rFonts w:eastAsia="Calibri" w:cs="Arial"/>
        </w:rPr>
        <w:t>Ermīns Darapoļskis</w:t>
      </w:r>
      <w:r w:rsidR="00825702" w:rsidRPr="00825702">
        <w:rPr>
          <w:rFonts w:eastAsia="Calibri" w:cs="Arial"/>
        </w:rPr>
        <w:t xml:space="preserve"> un </w:t>
      </w:r>
      <w:r w:rsidR="00825702">
        <w:rPr>
          <w:rFonts w:eastAsia="Calibri" w:cs="Arial"/>
        </w:rPr>
        <w:t>Anita Kovaļevska</w:t>
      </w:r>
    </w:p>
    <w:p w14:paraId="65F2850A" w14:textId="77777777" w:rsidR="00825702" w:rsidRPr="00825702" w:rsidRDefault="00825702" w:rsidP="003367D2">
      <w:pPr>
        <w:spacing w:after="0" w:line="276" w:lineRule="auto"/>
        <w:ind w:firstLine="720"/>
        <w:jc w:val="both"/>
        <w:rPr>
          <w:rFonts w:eastAsia="Calibri" w:cs="Arial"/>
          <w:szCs w:val="24"/>
        </w:rPr>
      </w:pPr>
    </w:p>
    <w:p w14:paraId="6284F6DA" w14:textId="7E21D828" w:rsidR="00825702" w:rsidRDefault="00825702" w:rsidP="003367D2">
      <w:pPr>
        <w:spacing w:after="0" w:line="276" w:lineRule="auto"/>
        <w:ind w:firstLine="720"/>
        <w:jc w:val="both"/>
        <w:rPr>
          <w:rFonts w:eastAsia="Calibri" w:cs="Times New Roman"/>
          <w:szCs w:val="24"/>
        </w:rPr>
      </w:pPr>
      <w:bookmarkStart w:id="2" w:name="_Hlk156827596"/>
      <w:r w:rsidRPr="00825702">
        <w:rPr>
          <w:rFonts w:eastAsia="Calibri" w:cs="Times New Roman"/>
          <w:szCs w:val="24"/>
        </w:rPr>
        <w:t xml:space="preserve">rakstveida procesā izskatīja </w:t>
      </w:r>
      <w:r>
        <w:rPr>
          <w:rFonts w:eastAsia="Calibri" w:cs="Arial"/>
          <w:szCs w:val="24"/>
        </w:rPr>
        <w:t>SIA</w:t>
      </w:r>
      <w:r w:rsidR="00FB747C">
        <w:rPr>
          <w:rFonts w:eastAsia="Calibri" w:cs="Arial"/>
          <w:szCs w:val="24"/>
        </w:rPr>
        <w:t> </w:t>
      </w:r>
      <w:r w:rsidRPr="00825702">
        <w:rPr>
          <w:rFonts w:eastAsia="Calibri" w:cs="Arial"/>
          <w:szCs w:val="24"/>
        </w:rPr>
        <w:t>„</w:t>
      </w:r>
      <w:r>
        <w:rPr>
          <w:rFonts w:eastAsia="Calibri" w:cs="Arial"/>
          <w:szCs w:val="24"/>
        </w:rPr>
        <w:t>Rīgas nami</w:t>
      </w:r>
      <w:r w:rsidRPr="00825702">
        <w:rPr>
          <w:rFonts w:eastAsia="Calibri" w:cs="Arial"/>
          <w:szCs w:val="24"/>
        </w:rPr>
        <w:t xml:space="preserve">” blakus sūdzību par Administratīvās </w:t>
      </w:r>
      <w:r>
        <w:rPr>
          <w:rFonts w:eastAsia="Calibri" w:cs="Arial"/>
          <w:szCs w:val="24"/>
        </w:rPr>
        <w:t xml:space="preserve">rajona </w:t>
      </w:r>
      <w:r w:rsidRPr="00825702">
        <w:rPr>
          <w:rFonts w:eastAsia="Calibri" w:cs="Arial"/>
          <w:szCs w:val="24"/>
        </w:rPr>
        <w:t xml:space="preserve">tiesas </w:t>
      </w:r>
      <w:r w:rsidR="00566C01">
        <w:rPr>
          <w:rFonts w:eastAsia="Calibri" w:cs="Arial"/>
          <w:szCs w:val="24"/>
        </w:rPr>
        <w:t xml:space="preserve">tiesneša </w:t>
      </w:r>
      <w:r w:rsidRPr="00825702">
        <w:rPr>
          <w:rFonts w:eastAsia="Calibri" w:cs="Times New Roman"/>
        </w:rPr>
        <w:t xml:space="preserve">2023.gada </w:t>
      </w:r>
      <w:r w:rsidR="00554083">
        <w:rPr>
          <w:rFonts w:eastAsia="Calibri" w:cs="Times New Roman"/>
        </w:rPr>
        <w:t>28.septembra</w:t>
      </w:r>
      <w:r w:rsidRPr="00825702">
        <w:rPr>
          <w:rFonts w:eastAsia="Calibri" w:cs="Times New Roman"/>
        </w:rPr>
        <w:t xml:space="preserve"> lēmumu, ar kuru </w:t>
      </w:r>
      <w:r w:rsidR="00554083">
        <w:rPr>
          <w:rFonts w:eastAsia="Calibri" w:cs="Times New Roman"/>
        </w:rPr>
        <w:t>atteikts pieņemt pieteikumu</w:t>
      </w:r>
      <w:bookmarkEnd w:id="2"/>
      <w:r w:rsidRPr="00825702">
        <w:rPr>
          <w:rFonts w:eastAsia="Calibri" w:cs="Times New Roman"/>
          <w:szCs w:val="24"/>
        </w:rPr>
        <w:t>.</w:t>
      </w:r>
    </w:p>
    <w:p w14:paraId="6ECE7084" w14:textId="77777777" w:rsidR="00554083" w:rsidRDefault="00554083" w:rsidP="003367D2">
      <w:pPr>
        <w:spacing w:after="0" w:line="276" w:lineRule="auto"/>
        <w:ind w:firstLine="720"/>
        <w:jc w:val="both"/>
        <w:rPr>
          <w:rFonts w:eastAsia="Times New Roman" w:cs="Times New Roman"/>
          <w:szCs w:val="24"/>
          <w:lang w:eastAsia="ru-RU"/>
        </w:rPr>
      </w:pPr>
    </w:p>
    <w:p w14:paraId="0B225FAD" w14:textId="77777777" w:rsidR="00554083" w:rsidRPr="00554083" w:rsidRDefault="00554083" w:rsidP="003367D2">
      <w:pPr>
        <w:tabs>
          <w:tab w:val="left" w:pos="1276"/>
        </w:tabs>
        <w:spacing w:after="0" w:line="276" w:lineRule="auto"/>
        <w:contextualSpacing/>
        <w:jc w:val="center"/>
        <w:rPr>
          <w:rFonts w:eastAsia="Calibri" w:cs="Times New Roman"/>
          <w:b/>
          <w:szCs w:val="24"/>
        </w:rPr>
      </w:pPr>
      <w:bookmarkStart w:id="3" w:name="_Hlk156818023"/>
      <w:r w:rsidRPr="00554083">
        <w:rPr>
          <w:rFonts w:eastAsia="Calibri" w:cs="Times New Roman"/>
          <w:b/>
          <w:szCs w:val="24"/>
        </w:rPr>
        <w:t>Aprakstošā daļa</w:t>
      </w:r>
    </w:p>
    <w:bookmarkEnd w:id="3"/>
    <w:p w14:paraId="40BD2F2A" w14:textId="77777777" w:rsidR="00554083" w:rsidRPr="00554083" w:rsidRDefault="00554083" w:rsidP="003367D2">
      <w:pPr>
        <w:tabs>
          <w:tab w:val="left" w:pos="1276"/>
        </w:tabs>
        <w:spacing w:after="0" w:line="276" w:lineRule="auto"/>
        <w:ind w:firstLine="720"/>
        <w:jc w:val="both"/>
        <w:rPr>
          <w:rFonts w:eastAsia="Calibri" w:cs="Times New Roman"/>
          <w:bCs/>
          <w:szCs w:val="24"/>
        </w:rPr>
      </w:pPr>
    </w:p>
    <w:p w14:paraId="67303C40" w14:textId="6EA8A93B" w:rsidR="00554083" w:rsidRPr="00554083" w:rsidRDefault="00554083" w:rsidP="003367D2">
      <w:pPr>
        <w:tabs>
          <w:tab w:val="left" w:pos="1276"/>
        </w:tabs>
        <w:spacing w:after="0" w:line="276" w:lineRule="auto"/>
        <w:ind w:firstLine="720"/>
        <w:jc w:val="both"/>
        <w:rPr>
          <w:rFonts w:eastAsia="Calibri" w:cs="Times New Roman"/>
          <w:szCs w:val="24"/>
        </w:rPr>
      </w:pPr>
      <w:r w:rsidRPr="00554083">
        <w:rPr>
          <w:rFonts w:eastAsia="Calibri" w:cs="Times New Roman"/>
          <w:szCs w:val="24"/>
        </w:rPr>
        <w:t xml:space="preserve">[1] Pieteicēja – </w:t>
      </w:r>
      <w:r>
        <w:rPr>
          <w:rFonts w:eastAsia="Calibri" w:cs="Times New Roman"/>
          <w:szCs w:val="24"/>
        </w:rPr>
        <w:t>SIA</w:t>
      </w:r>
      <w:r w:rsidR="00FB747C">
        <w:rPr>
          <w:rFonts w:eastAsia="Calibri" w:cs="Times New Roman"/>
          <w:szCs w:val="24"/>
        </w:rPr>
        <w:t> </w:t>
      </w:r>
      <w:r w:rsidRPr="00554083">
        <w:rPr>
          <w:rFonts w:eastAsia="Calibri" w:cs="Times New Roman"/>
          <w:szCs w:val="24"/>
        </w:rPr>
        <w:t>„</w:t>
      </w:r>
      <w:r>
        <w:rPr>
          <w:rFonts w:eastAsia="Calibri" w:cs="Times New Roman"/>
          <w:szCs w:val="24"/>
        </w:rPr>
        <w:t>Rīgas nami</w:t>
      </w:r>
      <w:r w:rsidRPr="00554083">
        <w:rPr>
          <w:rFonts w:eastAsia="Calibri" w:cs="Times New Roman"/>
          <w:szCs w:val="24"/>
        </w:rPr>
        <w:t xml:space="preserve">” – </w:t>
      </w:r>
      <w:r>
        <w:rPr>
          <w:rFonts w:eastAsia="Calibri" w:cs="Times New Roman"/>
          <w:szCs w:val="24"/>
        </w:rPr>
        <w:t xml:space="preserve">vērsās Konkurences padomē, lūdzot </w:t>
      </w:r>
      <w:bookmarkStart w:id="4" w:name="_Hlk156385492"/>
      <w:r>
        <w:rPr>
          <w:rFonts w:eastAsia="Calibri" w:cs="Times New Roman"/>
          <w:szCs w:val="24"/>
        </w:rPr>
        <w:t xml:space="preserve">izsniegt Konkurences padomes </w:t>
      </w:r>
      <w:r w:rsidRPr="00554083">
        <w:rPr>
          <w:rFonts w:eastAsia="Calibri" w:cs="Times New Roman"/>
          <w:szCs w:val="24"/>
        </w:rPr>
        <w:t>2021.gada 30.</w:t>
      </w:r>
      <w:r>
        <w:rPr>
          <w:rFonts w:eastAsia="Calibri" w:cs="Times New Roman"/>
          <w:szCs w:val="24"/>
        </w:rPr>
        <w:t xml:space="preserve">jūlija lēmuma </w:t>
      </w:r>
      <w:r w:rsidRPr="00554083">
        <w:rPr>
          <w:rFonts w:eastAsia="Calibri" w:cs="Times New Roman"/>
          <w:szCs w:val="24"/>
        </w:rPr>
        <w:t>Nr.</w:t>
      </w:r>
      <w:r>
        <w:rPr>
          <w:rFonts w:eastAsia="Calibri" w:cs="Times New Roman"/>
          <w:szCs w:val="24"/>
        </w:rPr>
        <w:t> </w:t>
      </w:r>
      <w:r w:rsidRPr="00554083">
        <w:rPr>
          <w:rFonts w:eastAsia="Calibri" w:cs="Times New Roman"/>
          <w:szCs w:val="24"/>
        </w:rPr>
        <w:t xml:space="preserve">22 </w:t>
      </w:r>
      <w:bookmarkEnd w:id="4"/>
      <w:r>
        <w:rPr>
          <w:rFonts w:eastAsia="Calibri" w:cs="Times New Roman"/>
          <w:szCs w:val="24"/>
        </w:rPr>
        <w:t>(p</w:t>
      </w:r>
      <w:r w:rsidRPr="00554083">
        <w:rPr>
          <w:rFonts w:eastAsia="Calibri" w:cs="Times New Roman"/>
          <w:szCs w:val="24"/>
        </w:rPr>
        <w:t>ar pārkāpuma konstatēšanu</w:t>
      </w:r>
      <w:r>
        <w:rPr>
          <w:rFonts w:eastAsia="Calibri" w:cs="Times New Roman"/>
          <w:szCs w:val="24"/>
        </w:rPr>
        <w:t xml:space="preserve"> </w:t>
      </w:r>
      <w:r>
        <w:rPr>
          <w:rFonts w:eastAsia="Calibri" w:cs="Times New Roman"/>
          <w:szCs w:val="24"/>
        </w:rPr>
        <w:lastRenderedPageBreak/>
        <w:t>u</w:t>
      </w:r>
      <w:r w:rsidRPr="00554083">
        <w:rPr>
          <w:rFonts w:eastAsia="Calibri" w:cs="Times New Roman"/>
          <w:szCs w:val="24"/>
        </w:rPr>
        <w:t>n naudas soda uzlikšanu</w:t>
      </w:r>
      <w:r>
        <w:rPr>
          <w:rFonts w:eastAsia="Calibri" w:cs="Times New Roman"/>
          <w:szCs w:val="24"/>
        </w:rPr>
        <w:t xml:space="preserve"> (l</w:t>
      </w:r>
      <w:r w:rsidRPr="00554083">
        <w:rPr>
          <w:rFonts w:eastAsia="Calibri" w:cs="Times New Roman"/>
          <w:szCs w:val="24"/>
        </w:rPr>
        <w:t>ieta Nr. KL\2.2-3\19\18</w:t>
      </w:r>
      <w:r>
        <w:rPr>
          <w:rFonts w:eastAsia="Calibri" w:cs="Times New Roman"/>
          <w:szCs w:val="24"/>
        </w:rPr>
        <w:t>) p</w:t>
      </w:r>
      <w:r w:rsidRPr="00554083">
        <w:rPr>
          <w:rFonts w:eastAsia="Calibri" w:cs="Times New Roman"/>
          <w:szCs w:val="24"/>
        </w:rPr>
        <w:t>ar Konkurences likuma 11.panta</w:t>
      </w:r>
      <w:r>
        <w:rPr>
          <w:rFonts w:eastAsia="Calibri" w:cs="Times New Roman"/>
          <w:szCs w:val="24"/>
        </w:rPr>
        <w:t xml:space="preserve"> p</w:t>
      </w:r>
      <w:r w:rsidRPr="00554083">
        <w:rPr>
          <w:rFonts w:eastAsia="Calibri" w:cs="Times New Roman"/>
          <w:szCs w:val="24"/>
        </w:rPr>
        <w:t>irmajā daļā un Līguma par Eiropas Savienības darbību 101.panta 1.punktā noteiktā</w:t>
      </w:r>
      <w:r>
        <w:rPr>
          <w:rFonts w:eastAsia="Calibri" w:cs="Times New Roman"/>
          <w:szCs w:val="24"/>
        </w:rPr>
        <w:t xml:space="preserve"> </w:t>
      </w:r>
      <w:r w:rsidRPr="00554083">
        <w:rPr>
          <w:rFonts w:eastAsia="Calibri" w:cs="Times New Roman"/>
          <w:szCs w:val="24"/>
        </w:rPr>
        <w:t>aizlieguma pārkāpumu</w:t>
      </w:r>
      <w:r>
        <w:rPr>
          <w:rFonts w:eastAsia="Calibri" w:cs="Times New Roman"/>
          <w:szCs w:val="24"/>
        </w:rPr>
        <w:t xml:space="preserve">) 1.pielikumu, kur atšifrētas konkurences tiesību pārkāpuma dalībnieku sarunas par dalību iepirkumā. Pieteicējai </w:t>
      </w:r>
      <w:r w:rsidR="00006843">
        <w:rPr>
          <w:rFonts w:eastAsia="Calibri" w:cs="Times New Roman"/>
          <w:szCs w:val="24"/>
        </w:rPr>
        <w:t>šis pierādījums</w:t>
      </w:r>
      <w:r>
        <w:rPr>
          <w:rFonts w:eastAsia="Calibri" w:cs="Times New Roman"/>
          <w:szCs w:val="24"/>
        </w:rPr>
        <w:t xml:space="preserve"> nepieciešam</w:t>
      </w:r>
      <w:r w:rsidR="00006843">
        <w:rPr>
          <w:rFonts w:eastAsia="Calibri" w:cs="Times New Roman"/>
          <w:szCs w:val="24"/>
        </w:rPr>
        <w:t>s</w:t>
      </w:r>
      <w:r>
        <w:rPr>
          <w:rFonts w:eastAsia="Calibri" w:cs="Times New Roman"/>
          <w:szCs w:val="24"/>
        </w:rPr>
        <w:t>, lai civilprocesā pamatotu savu prasību par to zaudējumu atlīdzināšanu, kas tai nodarīti ar konkurences tiesību pārkāpumu.</w:t>
      </w:r>
    </w:p>
    <w:p w14:paraId="073C711D" w14:textId="77777777" w:rsidR="00554083" w:rsidRDefault="00554083" w:rsidP="003367D2">
      <w:pPr>
        <w:tabs>
          <w:tab w:val="left" w:pos="1276"/>
        </w:tabs>
        <w:spacing w:after="0" w:line="276" w:lineRule="auto"/>
        <w:ind w:firstLine="720"/>
        <w:jc w:val="both"/>
        <w:rPr>
          <w:rFonts w:eastAsia="Calibri" w:cs="Times New Roman"/>
          <w:szCs w:val="24"/>
        </w:rPr>
      </w:pPr>
    </w:p>
    <w:p w14:paraId="1621ABAB" w14:textId="6B459589" w:rsidR="00554083" w:rsidRDefault="00554083" w:rsidP="003367D2">
      <w:pPr>
        <w:tabs>
          <w:tab w:val="left" w:pos="1276"/>
        </w:tabs>
        <w:spacing w:after="0" w:line="276" w:lineRule="auto"/>
        <w:ind w:firstLine="720"/>
        <w:jc w:val="both"/>
        <w:rPr>
          <w:rFonts w:eastAsia="Calibri" w:cs="Times New Roman"/>
          <w:szCs w:val="24"/>
        </w:rPr>
      </w:pPr>
      <w:r>
        <w:rPr>
          <w:rFonts w:eastAsia="Calibri" w:cs="Times New Roman"/>
          <w:szCs w:val="24"/>
        </w:rPr>
        <w:t>[2] Konkurences padome 2023gada 3.janvārī sniedza pieteicējai rakstisku atbildi, ka Civilprocesa likums nepieļauj šos materiālus izsniegt. Tomēr, lai pieteicēja varētu iepazīties un izvērtēt pierādījumu apjomu, kas attiecas uz iepirkumu, Konkurences padome izsniedza prasīto pielikumu Nr. 1 anonimizētā veidā, norādot, ka izsniedz to darba vajadzībām. Pieteicēja atkārtoti lūdza izsniegt minēto pielikumu bez šāda izmantošanas ierobežojum</w:t>
      </w:r>
      <w:r w:rsidR="00C70A95">
        <w:rPr>
          <w:rFonts w:eastAsia="Calibri" w:cs="Times New Roman"/>
          <w:szCs w:val="24"/>
        </w:rPr>
        <w:t>a</w:t>
      </w:r>
      <w:r>
        <w:rPr>
          <w:rFonts w:eastAsia="Calibri" w:cs="Times New Roman"/>
          <w:szCs w:val="24"/>
        </w:rPr>
        <w:t xml:space="preserve">, bet Konkurences padome to atteicās darīt. </w:t>
      </w:r>
    </w:p>
    <w:p w14:paraId="18250BAE" w14:textId="77777777" w:rsidR="00554083" w:rsidRDefault="00554083" w:rsidP="003367D2">
      <w:pPr>
        <w:tabs>
          <w:tab w:val="left" w:pos="1276"/>
        </w:tabs>
        <w:spacing w:after="0" w:line="276" w:lineRule="auto"/>
        <w:ind w:firstLine="720"/>
        <w:jc w:val="both"/>
        <w:rPr>
          <w:rFonts w:eastAsia="Calibri" w:cs="Times New Roman"/>
          <w:szCs w:val="24"/>
        </w:rPr>
      </w:pPr>
    </w:p>
    <w:p w14:paraId="3CE701D5" w14:textId="334F72BE" w:rsidR="00554083" w:rsidRDefault="00554083"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[3] Pieteicēja vērsās Administratīvajā rajona tiesā un lūdza atzīt par prettiesisku Konkurences padomes 2023.gada 3.janvāra atbildi un </w:t>
      </w:r>
      <w:r w:rsidRPr="00554083">
        <w:rPr>
          <w:rFonts w:eastAsia="Calibri" w:cs="Times New Roman"/>
          <w:szCs w:val="24"/>
        </w:rPr>
        <w:t>izsniegt Konkurences padomes 2021.gada 30.jūlija lēmuma Nr.</w:t>
      </w:r>
      <w:r w:rsidR="00C70A95">
        <w:rPr>
          <w:rFonts w:eastAsia="Calibri" w:cs="Times New Roman"/>
          <w:szCs w:val="24"/>
        </w:rPr>
        <w:t> </w:t>
      </w:r>
      <w:r w:rsidRPr="00554083">
        <w:rPr>
          <w:rFonts w:eastAsia="Calibri" w:cs="Times New Roman"/>
          <w:szCs w:val="24"/>
        </w:rPr>
        <w:t>22</w:t>
      </w:r>
      <w:r>
        <w:rPr>
          <w:rFonts w:eastAsia="Calibri" w:cs="Times New Roman"/>
          <w:szCs w:val="24"/>
        </w:rPr>
        <w:t xml:space="preserve"> 1.pielikumu, nenosakot ierobežojumus tā izmantošanai.</w:t>
      </w:r>
    </w:p>
    <w:p w14:paraId="7EA5E76A" w14:textId="77777777" w:rsidR="00554083" w:rsidRDefault="00554083" w:rsidP="003367D2">
      <w:pPr>
        <w:tabs>
          <w:tab w:val="left" w:pos="1276"/>
        </w:tabs>
        <w:spacing w:after="0" w:line="276" w:lineRule="auto"/>
        <w:ind w:firstLine="720"/>
        <w:jc w:val="both"/>
        <w:rPr>
          <w:rFonts w:eastAsia="Calibri" w:cs="Times New Roman"/>
          <w:szCs w:val="24"/>
        </w:rPr>
      </w:pPr>
    </w:p>
    <w:p w14:paraId="7AAB36C2" w14:textId="415F8F3E" w:rsidR="00554083" w:rsidRDefault="00554083" w:rsidP="003367D2">
      <w:pPr>
        <w:tabs>
          <w:tab w:val="left" w:pos="1276"/>
        </w:tabs>
        <w:spacing w:after="0" w:line="276" w:lineRule="auto"/>
        <w:ind w:firstLine="720"/>
        <w:jc w:val="both"/>
        <w:rPr>
          <w:rFonts w:eastAsia="Calibri" w:cs="Times New Roman"/>
          <w:szCs w:val="24"/>
        </w:rPr>
      </w:pPr>
      <w:r>
        <w:rPr>
          <w:rFonts w:eastAsia="Calibri" w:cs="Times New Roman"/>
          <w:szCs w:val="24"/>
        </w:rPr>
        <w:t>[4] Administratīvās rajona tiesas tiesnesis ar 2023.gada 28.septembra lēmumu atteicās pieņemt pieteikumu</w:t>
      </w:r>
      <w:r w:rsidR="00A9273D">
        <w:rPr>
          <w:rFonts w:eastAsia="Calibri" w:cs="Times New Roman"/>
          <w:szCs w:val="24"/>
        </w:rPr>
        <w:t xml:space="preserve"> kā tādu, kas nav izskatāms administratīvā procesa kārtībā (Administratīvā procesa likuma 191.panta pirmās daļas 1.punkts)</w:t>
      </w:r>
      <w:r>
        <w:rPr>
          <w:rFonts w:eastAsia="Calibri" w:cs="Times New Roman"/>
          <w:szCs w:val="24"/>
        </w:rPr>
        <w:t xml:space="preserve">. </w:t>
      </w:r>
      <w:r w:rsidR="00A9273D">
        <w:rPr>
          <w:rFonts w:eastAsia="Calibri" w:cs="Times New Roman"/>
          <w:szCs w:val="24"/>
        </w:rPr>
        <w:t>Lēmumā secināts, ka</w:t>
      </w:r>
      <w:r w:rsidR="001759DC">
        <w:rPr>
          <w:rFonts w:eastAsia="Calibri" w:cs="Times New Roman"/>
          <w:szCs w:val="24"/>
        </w:rPr>
        <w:t>,</w:t>
      </w:r>
      <w:r w:rsidR="00A9273D">
        <w:rPr>
          <w:rFonts w:eastAsia="Calibri" w:cs="Times New Roman"/>
          <w:szCs w:val="24"/>
        </w:rPr>
        <w:t xml:space="preserve"> ie</w:t>
      </w:r>
      <w:r w:rsidR="00A9273D" w:rsidRPr="00A9273D">
        <w:rPr>
          <w:rFonts w:eastAsia="Calibri" w:cs="Times New Roman"/>
          <w:szCs w:val="24"/>
        </w:rPr>
        <w:t>vērojot konkurences lietās esošās informācijas komerciālo sensitivitāti,</w:t>
      </w:r>
      <w:r w:rsidR="00A9273D">
        <w:rPr>
          <w:rFonts w:eastAsia="Calibri" w:cs="Times New Roman"/>
          <w:szCs w:val="24"/>
        </w:rPr>
        <w:t xml:space="preserve"> </w:t>
      </w:r>
      <w:r w:rsidR="00A9273D" w:rsidRPr="00A9273D">
        <w:rPr>
          <w:rFonts w:eastAsia="Calibri" w:cs="Times New Roman"/>
          <w:szCs w:val="24"/>
        </w:rPr>
        <w:t>likumdevēj</w:t>
      </w:r>
      <w:r w:rsidR="00A9273D">
        <w:rPr>
          <w:rFonts w:eastAsia="Calibri" w:cs="Times New Roman"/>
          <w:szCs w:val="24"/>
        </w:rPr>
        <w:t>s</w:t>
      </w:r>
      <w:r w:rsidR="00A9273D" w:rsidRPr="00A9273D">
        <w:rPr>
          <w:rFonts w:eastAsia="Calibri" w:cs="Times New Roman"/>
          <w:szCs w:val="24"/>
        </w:rPr>
        <w:t xml:space="preserve"> </w:t>
      </w:r>
      <w:r w:rsidR="00A9273D">
        <w:rPr>
          <w:rFonts w:eastAsia="Calibri" w:cs="Times New Roman"/>
          <w:szCs w:val="24"/>
        </w:rPr>
        <w:t xml:space="preserve">tieši Civilprocesa likumā </w:t>
      </w:r>
      <w:r w:rsidR="00A9273D" w:rsidRPr="00A9273D">
        <w:rPr>
          <w:rFonts w:eastAsia="Calibri" w:cs="Times New Roman"/>
          <w:szCs w:val="24"/>
        </w:rPr>
        <w:t xml:space="preserve">ir skrupulozi </w:t>
      </w:r>
      <w:r w:rsidR="00A9273D">
        <w:rPr>
          <w:rFonts w:eastAsia="Calibri" w:cs="Times New Roman"/>
          <w:szCs w:val="24"/>
        </w:rPr>
        <w:t>noregulējis</w:t>
      </w:r>
      <w:r w:rsidR="00A9273D" w:rsidRPr="00A9273D">
        <w:rPr>
          <w:rFonts w:eastAsia="Calibri" w:cs="Times New Roman"/>
          <w:szCs w:val="24"/>
        </w:rPr>
        <w:t xml:space="preserve"> pierādījumu ieguves jautājumus lietās par zaudējumu</w:t>
      </w:r>
      <w:r w:rsidR="00A9273D">
        <w:rPr>
          <w:rFonts w:eastAsia="Calibri" w:cs="Times New Roman"/>
          <w:szCs w:val="24"/>
        </w:rPr>
        <w:t xml:space="preserve"> </w:t>
      </w:r>
      <w:r w:rsidR="00A9273D" w:rsidRPr="00A9273D">
        <w:rPr>
          <w:rFonts w:eastAsia="Calibri" w:cs="Times New Roman"/>
          <w:szCs w:val="24"/>
        </w:rPr>
        <w:t>atlīdzināšanu par konkurences tiesību pārkāpumiem ar kompetenci tiesai lemt par pierādījumu</w:t>
      </w:r>
      <w:r w:rsidR="00A9273D">
        <w:rPr>
          <w:rFonts w:eastAsia="Calibri" w:cs="Times New Roman"/>
          <w:szCs w:val="24"/>
        </w:rPr>
        <w:t xml:space="preserve"> </w:t>
      </w:r>
      <w:r w:rsidR="00A9273D" w:rsidRPr="00A9273D">
        <w:rPr>
          <w:rFonts w:eastAsia="Calibri" w:cs="Times New Roman"/>
          <w:szCs w:val="24"/>
        </w:rPr>
        <w:t>izprasīšanu šāda veida prasībās. Attiecībā uz procesa dalībniekiem ir tiesiski regulēta kārtība, kādā</w:t>
      </w:r>
      <w:r w:rsidR="00A9273D">
        <w:rPr>
          <w:rFonts w:eastAsia="Calibri" w:cs="Times New Roman"/>
          <w:szCs w:val="24"/>
        </w:rPr>
        <w:t xml:space="preserve"> </w:t>
      </w:r>
      <w:r w:rsidR="00A9273D" w:rsidRPr="00A9273D">
        <w:rPr>
          <w:rFonts w:eastAsia="Calibri" w:cs="Times New Roman"/>
          <w:szCs w:val="24"/>
        </w:rPr>
        <w:t>ir jāsagatavo lūgums par pierādījumu izprasīšanu. Savukārt konkurences iestādei ir tiesības sniegt</w:t>
      </w:r>
      <w:r w:rsidR="00A9273D">
        <w:rPr>
          <w:rFonts w:eastAsia="Calibri" w:cs="Times New Roman"/>
          <w:szCs w:val="24"/>
        </w:rPr>
        <w:t xml:space="preserve"> </w:t>
      </w:r>
      <w:r w:rsidR="00A9273D" w:rsidRPr="00A9273D">
        <w:rPr>
          <w:rFonts w:eastAsia="Calibri" w:cs="Times New Roman"/>
          <w:szCs w:val="24"/>
        </w:rPr>
        <w:t>atzinumu par prasījuma samērīgumu un ietekmi uz konkurences tiesību efektīvu piemērošanu,</w:t>
      </w:r>
      <w:r w:rsidR="005C040D">
        <w:rPr>
          <w:rFonts w:eastAsia="Calibri" w:cs="Times New Roman"/>
          <w:szCs w:val="24"/>
        </w:rPr>
        <w:t xml:space="preserve"> </w:t>
      </w:r>
      <w:r w:rsidR="00A9273D" w:rsidRPr="00A9273D">
        <w:rPr>
          <w:rFonts w:eastAsia="Calibri" w:cs="Times New Roman"/>
          <w:szCs w:val="24"/>
        </w:rPr>
        <w:t>darbojoties konkrētajā gadījumā atzinuma sniedzēja statusā tiesai, taču pašai nelemjot par attiecīgo</w:t>
      </w:r>
      <w:r w:rsidR="005C040D">
        <w:rPr>
          <w:rFonts w:eastAsia="Calibri" w:cs="Times New Roman"/>
          <w:szCs w:val="24"/>
        </w:rPr>
        <w:t xml:space="preserve"> </w:t>
      </w:r>
      <w:r w:rsidR="00A9273D" w:rsidRPr="00A9273D">
        <w:rPr>
          <w:rFonts w:eastAsia="Calibri" w:cs="Times New Roman"/>
          <w:szCs w:val="24"/>
        </w:rPr>
        <w:t>pierādījumu izmantošanu tiesvedības mērķiem.</w:t>
      </w:r>
      <w:r w:rsidR="005C040D">
        <w:rPr>
          <w:rFonts w:eastAsia="Calibri" w:cs="Times New Roman"/>
          <w:szCs w:val="24"/>
        </w:rPr>
        <w:t xml:space="preserve"> </w:t>
      </w:r>
      <w:r w:rsidR="005C040D" w:rsidRPr="005C040D">
        <w:rPr>
          <w:rFonts w:eastAsia="Calibri" w:cs="Times New Roman"/>
          <w:szCs w:val="24"/>
        </w:rPr>
        <w:t xml:space="preserve">Civilprocesa likuma </w:t>
      </w:r>
      <w:bookmarkStart w:id="5" w:name="_Hlk156817891"/>
      <w:r w:rsidR="005C040D" w:rsidRPr="005C040D">
        <w:rPr>
          <w:rFonts w:eastAsia="Calibri" w:cs="Times New Roman"/>
          <w:szCs w:val="24"/>
        </w:rPr>
        <w:t>30.</w:t>
      </w:r>
      <w:r w:rsidR="005C040D" w:rsidRPr="005C040D">
        <w:rPr>
          <w:rFonts w:eastAsia="Calibri" w:cs="Times New Roman"/>
          <w:szCs w:val="24"/>
          <w:vertAlign w:val="superscript"/>
        </w:rPr>
        <w:t>6</w:t>
      </w:r>
      <w:r w:rsidR="005C040D" w:rsidRPr="005C040D">
        <w:rPr>
          <w:rFonts w:eastAsia="Calibri" w:cs="Times New Roman"/>
          <w:szCs w:val="24"/>
        </w:rPr>
        <w:t>nodaļ</w:t>
      </w:r>
      <w:r w:rsidR="005C040D">
        <w:rPr>
          <w:rFonts w:eastAsia="Calibri" w:cs="Times New Roman"/>
          <w:szCs w:val="24"/>
        </w:rPr>
        <w:t>a</w:t>
      </w:r>
      <w:r w:rsidR="005C040D" w:rsidRPr="005C040D">
        <w:rPr>
          <w:rFonts w:eastAsia="Calibri" w:cs="Times New Roman"/>
          <w:szCs w:val="24"/>
        </w:rPr>
        <w:t xml:space="preserve"> </w:t>
      </w:r>
      <w:bookmarkEnd w:id="5"/>
      <w:r w:rsidR="005C040D" w:rsidRPr="005C040D">
        <w:rPr>
          <w:rFonts w:eastAsia="Calibri" w:cs="Times New Roman"/>
          <w:szCs w:val="24"/>
        </w:rPr>
        <w:t>un Konkurences likuma 21.</w:t>
      </w:r>
      <w:r w:rsidR="005C040D" w:rsidRPr="005C040D">
        <w:rPr>
          <w:rFonts w:eastAsia="Calibri" w:cs="Times New Roman"/>
          <w:szCs w:val="24"/>
          <w:vertAlign w:val="superscript"/>
        </w:rPr>
        <w:t>5</w:t>
      </w:r>
      <w:r w:rsidR="005C040D" w:rsidRPr="005C040D">
        <w:rPr>
          <w:rFonts w:eastAsia="Calibri" w:cs="Times New Roman"/>
          <w:szCs w:val="24"/>
        </w:rPr>
        <w:t xml:space="preserve">pants kopsakarā ļauj </w:t>
      </w:r>
      <w:r w:rsidR="005C040D">
        <w:rPr>
          <w:rFonts w:eastAsia="Calibri" w:cs="Times New Roman"/>
          <w:szCs w:val="24"/>
        </w:rPr>
        <w:t>identificēt</w:t>
      </w:r>
      <w:r w:rsidR="005C040D" w:rsidRPr="005C040D">
        <w:rPr>
          <w:rFonts w:eastAsia="Calibri" w:cs="Times New Roman"/>
          <w:szCs w:val="24"/>
        </w:rPr>
        <w:t xml:space="preserve"> likumdevēja vēlmi noteikt tiesas kompetenci gan</w:t>
      </w:r>
      <w:r w:rsidR="005C040D">
        <w:rPr>
          <w:rFonts w:eastAsia="Calibri" w:cs="Times New Roman"/>
          <w:szCs w:val="24"/>
        </w:rPr>
        <w:t xml:space="preserve"> </w:t>
      </w:r>
      <w:r w:rsidR="005C040D" w:rsidRPr="005C040D">
        <w:rPr>
          <w:rFonts w:eastAsia="Calibri" w:cs="Times New Roman"/>
          <w:szCs w:val="24"/>
        </w:rPr>
        <w:t>pierādījumu ieguvē, gan samērīguma izvērtēšanā un konfidencialitātes aizsardzībā. Ievērojot</w:t>
      </w:r>
      <w:r w:rsidR="005C040D">
        <w:rPr>
          <w:rFonts w:eastAsia="Calibri" w:cs="Times New Roman"/>
          <w:szCs w:val="24"/>
        </w:rPr>
        <w:t xml:space="preserve"> </w:t>
      </w:r>
      <w:r w:rsidR="00351C05" w:rsidRPr="00351C05">
        <w:rPr>
          <w:rFonts w:eastAsia="Calibri" w:cs="Times New Roman"/>
          <w:szCs w:val="24"/>
        </w:rPr>
        <w:t>Eiropas Parlamenta un Padomes 2014.gada 26.novembra direktīv</w:t>
      </w:r>
      <w:r w:rsidR="00351C05">
        <w:rPr>
          <w:rFonts w:eastAsia="Calibri" w:cs="Times New Roman"/>
          <w:szCs w:val="24"/>
        </w:rPr>
        <w:t>ā</w:t>
      </w:r>
      <w:r w:rsidR="00351C05" w:rsidRPr="00351C05">
        <w:rPr>
          <w:rFonts w:eastAsia="Calibri" w:cs="Times New Roman"/>
          <w:szCs w:val="24"/>
        </w:rPr>
        <w:t xml:space="preserve"> 2014/104/ES par atsevišķiem noteikumiem, kuri valstu tiesībās reglamentē zaudējumu atlīdzināšanas prasības par dalībvalstu un Eiropas Savienības konkurences tiesību pārkāpumiem (turpmāk – Zaudējumu atlīdzināšanas direktīva)</w:t>
      </w:r>
      <w:r w:rsidR="00351C05">
        <w:rPr>
          <w:rFonts w:eastAsia="Calibri" w:cs="Times New Roman"/>
          <w:szCs w:val="24"/>
        </w:rPr>
        <w:t xml:space="preserve"> </w:t>
      </w:r>
      <w:r w:rsidR="005C040D" w:rsidRPr="005C040D">
        <w:rPr>
          <w:rFonts w:eastAsia="Calibri" w:cs="Times New Roman"/>
          <w:szCs w:val="24"/>
        </w:rPr>
        <w:t>ietverto speciālo tiesisko regulējumu, kas paredz īpašu kārtību zaudējumu atlīdzības</w:t>
      </w:r>
      <w:r w:rsidR="00351C05">
        <w:rPr>
          <w:rFonts w:eastAsia="Calibri" w:cs="Times New Roman"/>
          <w:szCs w:val="24"/>
        </w:rPr>
        <w:t xml:space="preserve"> </w:t>
      </w:r>
      <w:r w:rsidR="005C040D" w:rsidRPr="005C040D">
        <w:rPr>
          <w:rFonts w:eastAsia="Calibri" w:cs="Times New Roman"/>
          <w:szCs w:val="24"/>
        </w:rPr>
        <w:t>lietās, lai samērotu cietušās personas (prasītāja) intereses ar citu tirgus dalībnieku interesēm, kā arī</w:t>
      </w:r>
      <w:r w:rsidR="00351C05">
        <w:rPr>
          <w:rFonts w:eastAsia="Calibri" w:cs="Times New Roman"/>
          <w:szCs w:val="24"/>
        </w:rPr>
        <w:t xml:space="preserve"> Konkurences padomes</w:t>
      </w:r>
      <w:r w:rsidR="005C040D" w:rsidRPr="005C040D">
        <w:rPr>
          <w:rFonts w:eastAsia="Calibri" w:cs="Times New Roman"/>
          <w:szCs w:val="24"/>
        </w:rPr>
        <w:t xml:space="preserve"> īstenojamo funkciju efektivitāti sabiedrības interešu labā, ir attaisnojamas pierādījumu ieguves</w:t>
      </w:r>
      <w:r w:rsidR="00351C05">
        <w:rPr>
          <w:rFonts w:eastAsia="Calibri" w:cs="Times New Roman"/>
          <w:szCs w:val="24"/>
        </w:rPr>
        <w:t xml:space="preserve"> </w:t>
      </w:r>
      <w:r w:rsidR="005C040D" w:rsidRPr="005C040D">
        <w:rPr>
          <w:rFonts w:eastAsia="Calibri" w:cs="Times New Roman"/>
          <w:szCs w:val="24"/>
        </w:rPr>
        <w:t xml:space="preserve">tiesības civilprocesuālā kārtībā, izsakot lūgumu tiesai. Ievērojot gan </w:t>
      </w:r>
      <w:r w:rsidR="00351C05">
        <w:rPr>
          <w:rFonts w:eastAsia="Calibri" w:cs="Times New Roman"/>
          <w:szCs w:val="24"/>
        </w:rPr>
        <w:t>Zaudējumu atlīdzināšanas direktīvā</w:t>
      </w:r>
      <w:r w:rsidR="005C040D" w:rsidRPr="005C040D">
        <w:rPr>
          <w:rFonts w:eastAsia="Calibri" w:cs="Times New Roman"/>
          <w:szCs w:val="24"/>
        </w:rPr>
        <w:t>, gan Civilprocesa</w:t>
      </w:r>
      <w:r w:rsidR="00351C05">
        <w:rPr>
          <w:rFonts w:eastAsia="Calibri" w:cs="Times New Roman"/>
          <w:szCs w:val="24"/>
        </w:rPr>
        <w:t xml:space="preserve"> </w:t>
      </w:r>
      <w:r w:rsidR="005C040D" w:rsidRPr="005C040D">
        <w:rPr>
          <w:rFonts w:eastAsia="Calibri" w:cs="Times New Roman"/>
          <w:szCs w:val="24"/>
        </w:rPr>
        <w:t>likumā noteikto attiecīgo pierādījumu izvērtēšanas detalizēto kārtību, Informācijas</w:t>
      </w:r>
      <w:r w:rsidR="00351C05">
        <w:rPr>
          <w:rFonts w:eastAsia="Calibri" w:cs="Times New Roman"/>
          <w:szCs w:val="24"/>
        </w:rPr>
        <w:t xml:space="preserve"> </w:t>
      </w:r>
      <w:r w:rsidR="005C040D" w:rsidRPr="005C040D">
        <w:rPr>
          <w:rFonts w:eastAsia="Calibri" w:cs="Times New Roman"/>
          <w:szCs w:val="24"/>
        </w:rPr>
        <w:t>atklātības likumā vispārīgi noteiktais ierobežotas pieejamības informācijas izsniegšanas tiesiskais</w:t>
      </w:r>
      <w:r w:rsidR="00351C05">
        <w:rPr>
          <w:rFonts w:eastAsia="Calibri" w:cs="Times New Roman"/>
          <w:szCs w:val="24"/>
        </w:rPr>
        <w:t xml:space="preserve"> </w:t>
      </w:r>
      <w:r w:rsidR="005C040D" w:rsidRPr="005C040D">
        <w:rPr>
          <w:rFonts w:eastAsia="Calibri" w:cs="Times New Roman"/>
          <w:szCs w:val="24"/>
        </w:rPr>
        <w:t xml:space="preserve">regulējums nav pietiekams un </w:t>
      </w:r>
      <w:r w:rsidR="00351C05">
        <w:rPr>
          <w:rFonts w:eastAsia="Calibri" w:cs="Times New Roman"/>
          <w:szCs w:val="24"/>
        </w:rPr>
        <w:t>Konkurences padomes</w:t>
      </w:r>
      <w:r w:rsidR="005C040D" w:rsidRPr="005C040D">
        <w:rPr>
          <w:rFonts w:eastAsia="Calibri" w:cs="Times New Roman"/>
          <w:szCs w:val="24"/>
        </w:rPr>
        <w:t xml:space="preserve"> kompetencē nav piemērot tās Civilprocesa likuma normas, kas</w:t>
      </w:r>
      <w:r w:rsidR="00351C05">
        <w:rPr>
          <w:rFonts w:eastAsia="Calibri" w:cs="Times New Roman"/>
          <w:szCs w:val="24"/>
        </w:rPr>
        <w:t xml:space="preserve"> </w:t>
      </w:r>
      <w:r w:rsidR="005C040D" w:rsidRPr="005C040D">
        <w:rPr>
          <w:rFonts w:eastAsia="Calibri" w:cs="Times New Roman"/>
          <w:szCs w:val="24"/>
        </w:rPr>
        <w:t xml:space="preserve">attiecas uz tiesas kompetenci. Attiecīgi </w:t>
      </w:r>
      <w:r w:rsidR="00351C05">
        <w:rPr>
          <w:rFonts w:eastAsia="Calibri" w:cs="Times New Roman"/>
          <w:szCs w:val="24"/>
        </w:rPr>
        <w:t>Konkurences padomei</w:t>
      </w:r>
      <w:r w:rsidR="005C040D" w:rsidRPr="005C040D">
        <w:rPr>
          <w:rFonts w:eastAsia="Calibri" w:cs="Times New Roman"/>
          <w:szCs w:val="24"/>
        </w:rPr>
        <w:t xml:space="preserve"> un </w:t>
      </w:r>
      <w:r w:rsidR="005C040D" w:rsidRPr="005C040D">
        <w:rPr>
          <w:rFonts w:eastAsia="Calibri" w:cs="Times New Roman"/>
          <w:szCs w:val="24"/>
        </w:rPr>
        <w:lastRenderedPageBreak/>
        <w:t>administratīvajai tiesai nav kompetences sniegt</w:t>
      </w:r>
      <w:r w:rsidR="00351C05">
        <w:rPr>
          <w:rFonts w:eastAsia="Calibri" w:cs="Times New Roman"/>
          <w:szCs w:val="24"/>
        </w:rPr>
        <w:t xml:space="preserve"> </w:t>
      </w:r>
      <w:r w:rsidR="005C040D" w:rsidRPr="005C040D">
        <w:rPr>
          <w:rFonts w:eastAsia="Calibri" w:cs="Times New Roman"/>
          <w:szCs w:val="24"/>
        </w:rPr>
        <w:t>vērtējumu par noteiktu pierādījumu izmantošanu zaudējumu atlīdzības lietās, jo to nosaka speciāls</w:t>
      </w:r>
      <w:r w:rsidR="00351C05">
        <w:rPr>
          <w:rFonts w:eastAsia="Calibri" w:cs="Times New Roman"/>
          <w:szCs w:val="24"/>
        </w:rPr>
        <w:t xml:space="preserve"> r</w:t>
      </w:r>
      <w:r w:rsidR="005C040D" w:rsidRPr="005C040D">
        <w:rPr>
          <w:rFonts w:eastAsia="Calibri" w:cs="Times New Roman"/>
          <w:szCs w:val="24"/>
        </w:rPr>
        <w:t>egulējums.</w:t>
      </w:r>
    </w:p>
    <w:p w14:paraId="4AB1DCE8" w14:textId="77777777" w:rsidR="003F6245" w:rsidRDefault="003F6245" w:rsidP="003367D2">
      <w:pPr>
        <w:tabs>
          <w:tab w:val="left" w:pos="1276"/>
        </w:tabs>
        <w:spacing w:after="0" w:line="276" w:lineRule="auto"/>
        <w:ind w:firstLine="720"/>
        <w:jc w:val="both"/>
        <w:rPr>
          <w:rFonts w:eastAsia="Calibri" w:cs="Times New Roman"/>
          <w:szCs w:val="24"/>
        </w:rPr>
      </w:pPr>
    </w:p>
    <w:p w14:paraId="251A61FD" w14:textId="6614BB17" w:rsidR="003F6245" w:rsidRDefault="003F6245"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21067">
        <w:rPr>
          <w:rFonts w:eastAsia="Calibri" w:cs="Times New Roman"/>
          <w:szCs w:val="24"/>
        </w:rPr>
        <w:t>5</w:t>
      </w:r>
      <w:r>
        <w:rPr>
          <w:rFonts w:eastAsia="Calibri" w:cs="Times New Roman"/>
          <w:szCs w:val="24"/>
        </w:rPr>
        <w:t>] Pieteicēja par rajona tiesas tiesneša lēmumu iesniedza blakus sūdzību, kurā</w:t>
      </w:r>
      <w:r w:rsidR="00121067">
        <w:rPr>
          <w:rFonts w:eastAsia="Calibri" w:cs="Times New Roman"/>
          <w:szCs w:val="24"/>
        </w:rPr>
        <w:t xml:space="preserve"> norāda turpmāk minētos iebildumus.</w:t>
      </w:r>
    </w:p>
    <w:p w14:paraId="7241EC57" w14:textId="54C8F150" w:rsidR="00121067" w:rsidRDefault="00121067" w:rsidP="003367D2">
      <w:pPr>
        <w:tabs>
          <w:tab w:val="left" w:pos="1276"/>
        </w:tabs>
        <w:spacing w:after="0" w:line="276" w:lineRule="auto"/>
        <w:ind w:firstLine="720"/>
        <w:jc w:val="both"/>
        <w:rPr>
          <w:rFonts w:eastAsia="Calibri" w:cs="Times New Roman"/>
          <w:szCs w:val="24"/>
        </w:rPr>
      </w:pPr>
      <w:r>
        <w:rPr>
          <w:rFonts w:eastAsia="Calibri" w:cs="Times New Roman"/>
          <w:szCs w:val="24"/>
        </w:rPr>
        <w:t>[5.1] Konkurences padomes l</w:t>
      </w:r>
      <w:r w:rsidRPr="00121067">
        <w:rPr>
          <w:rFonts w:eastAsia="Calibri" w:cs="Times New Roman"/>
          <w:szCs w:val="24"/>
        </w:rPr>
        <w:t xml:space="preserve">ēmuma pielikums ir uzskatāms nevis par </w:t>
      </w:r>
      <w:r>
        <w:rPr>
          <w:rFonts w:eastAsia="Calibri" w:cs="Times New Roman"/>
          <w:szCs w:val="24"/>
        </w:rPr>
        <w:t>Konkurences padomes</w:t>
      </w:r>
      <w:r w:rsidRPr="00121067">
        <w:rPr>
          <w:rFonts w:eastAsia="Calibri" w:cs="Times New Roman"/>
          <w:szCs w:val="24"/>
        </w:rPr>
        <w:t xml:space="preserve"> lietas materiāliem, bet gan daļu no </w:t>
      </w:r>
      <w:r>
        <w:rPr>
          <w:rFonts w:eastAsia="Calibri" w:cs="Times New Roman"/>
          <w:szCs w:val="24"/>
        </w:rPr>
        <w:t>Konkurences padomes l</w:t>
      </w:r>
      <w:r w:rsidRPr="00121067">
        <w:rPr>
          <w:rFonts w:eastAsia="Calibri" w:cs="Times New Roman"/>
          <w:szCs w:val="24"/>
        </w:rPr>
        <w:t>ēmuma kā administratīvā akta.</w:t>
      </w:r>
      <w:r w:rsidR="00CA29EE">
        <w:rPr>
          <w:rFonts w:eastAsia="Calibri" w:cs="Times New Roman"/>
          <w:szCs w:val="24"/>
        </w:rPr>
        <w:t xml:space="preserve"> Tādēļ uz to </w:t>
      </w:r>
      <w:r w:rsidR="00CA29EE" w:rsidRPr="00CA29EE">
        <w:rPr>
          <w:rFonts w:eastAsia="Calibri" w:cs="Times New Roman"/>
          <w:szCs w:val="24"/>
        </w:rPr>
        <w:t xml:space="preserve">nemaz nav attiecināms </w:t>
      </w:r>
      <w:r w:rsidR="00CA29EE">
        <w:rPr>
          <w:rFonts w:eastAsia="Calibri" w:cs="Times New Roman"/>
          <w:szCs w:val="24"/>
        </w:rPr>
        <w:t>Civilprocesa likuma</w:t>
      </w:r>
      <w:r w:rsidR="00CA29EE" w:rsidRPr="00CA29EE">
        <w:rPr>
          <w:rFonts w:eastAsia="Calibri" w:cs="Times New Roman"/>
          <w:szCs w:val="24"/>
        </w:rPr>
        <w:t xml:space="preserve"> 250.</w:t>
      </w:r>
      <w:r w:rsidR="00CA29EE" w:rsidRPr="00CA29EE">
        <w:rPr>
          <w:rFonts w:eastAsia="Calibri" w:cs="Times New Roman"/>
          <w:szCs w:val="24"/>
          <w:vertAlign w:val="superscript"/>
        </w:rPr>
        <w:t>67</w:t>
      </w:r>
      <w:r w:rsidR="00CA29EE" w:rsidRPr="00CA29EE">
        <w:rPr>
          <w:rFonts w:eastAsia="Calibri" w:cs="Times New Roman"/>
          <w:szCs w:val="24"/>
        </w:rPr>
        <w:t xml:space="preserve">pants un </w:t>
      </w:r>
      <w:r w:rsidR="00CA29EE">
        <w:rPr>
          <w:rFonts w:eastAsia="Calibri" w:cs="Times New Roman"/>
          <w:szCs w:val="24"/>
        </w:rPr>
        <w:t>Civilprocesa likuma</w:t>
      </w:r>
      <w:r w:rsidR="00CA29EE" w:rsidRPr="00CA29EE">
        <w:rPr>
          <w:rFonts w:eastAsia="Calibri" w:cs="Times New Roman"/>
          <w:szCs w:val="24"/>
        </w:rPr>
        <w:t xml:space="preserve"> 250.</w:t>
      </w:r>
      <w:r w:rsidR="00CA29EE" w:rsidRPr="00CA29EE">
        <w:rPr>
          <w:rFonts w:eastAsia="Calibri" w:cs="Times New Roman"/>
          <w:szCs w:val="24"/>
          <w:vertAlign w:val="superscript"/>
        </w:rPr>
        <w:t>68</w:t>
      </w:r>
      <w:r w:rsidR="00CA29EE" w:rsidRPr="00CA29EE">
        <w:rPr>
          <w:rFonts w:eastAsia="Calibri" w:cs="Times New Roman"/>
          <w:szCs w:val="24"/>
        </w:rPr>
        <w:t xml:space="preserve">pants, kas attiecas uz </w:t>
      </w:r>
      <w:r w:rsidR="00CA29EE">
        <w:rPr>
          <w:rFonts w:eastAsia="Calibri" w:cs="Times New Roman"/>
          <w:szCs w:val="24"/>
        </w:rPr>
        <w:t>Konkurences padomes</w:t>
      </w:r>
      <w:r w:rsidR="00CA29EE" w:rsidRPr="00CA29EE">
        <w:rPr>
          <w:rFonts w:eastAsia="Calibri" w:cs="Times New Roman"/>
          <w:szCs w:val="24"/>
        </w:rPr>
        <w:t xml:space="preserve"> lietas materiāliem.</w:t>
      </w:r>
    </w:p>
    <w:p w14:paraId="5C2FF7A9" w14:textId="4B71DFEB" w:rsidR="00CA29EE" w:rsidRDefault="00CA29EE"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[5.2] Tiesnesis nepamatoti uzskatījis, ka Konkurences padomei nemaz </w:t>
      </w:r>
      <w:r w:rsidRPr="00CA29EE">
        <w:rPr>
          <w:rFonts w:eastAsia="Calibri" w:cs="Times New Roman"/>
          <w:szCs w:val="24"/>
        </w:rPr>
        <w:t>neesot tiesīb</w:t>
      </w:r>
      <w:r>
        <w:rPr>
          <w:rFonts w:eastAsia="Calibri" w:cs="Times New Roman"/>
          <w:szCs w:val="24"/>
        </w:rPr>
        <w:t>u</w:t>
      </w:r>
      <w:r w:rsidRPr="00CA29EE">
        <w:rPr>
          <w:rFonts w:eastAsia="Calibri" w:cs="Times New Roman"/>
          <w:szCs w:val="24"/>
        </w:rPr>
        <w:t xml:space="preserve"> lemt par informācijas izsniegšanas samērīgumu un izmantošanas mērķiem</w:t>
      </w:r>
      <w:r>
        <w:rPr>
          <w:rFonts w:eastAsia="Calibri" w:cs="Times New Roman"/>
          <w:szCs w:val="24"/>
        </w:rPr>
        <w:t>. Tas, ka šāda kompetence ir paredzēta tiesai civilprocesā, neliedz Konkurences padomei to apsvērt, kad tai pašai pieprasa izsniegt informāciju.</w:t>
      </w:r>
      <w:r w:rsidR="009C56EC">
        <w:rPr>
          <w:rFonts w:eastAsia="Calibri" w:cs="Times New Roman"/>
          <w:szCs w:val="24"/>
        </w:rPr>
        <w:t xml:space="preserve"> Tieši otrādi, to paredz Informācijas atklātības likums un Administratīvā procesa likums, kas paredz, ka </w:t>
      </w:r>
      <w:r w:rsidR="009C56EC" w:rsidRPr="009C56EC">
        <w:rPr>
          <w:rFonts w:eastAsia="Calibri" w:cs="Times New Roman"/>
          <w:szCs w:val="24"/>
        </w:rPr>
        <w:t>informācijas izsniegšana ir pieļaujama gadījumā, ja informācijas saņemšanas nepieciešamības interese prevalē pār to interesi, kuras aizsardzībai informācijai noteikts ierobežotas pieejamības statuss</w:t>
      </w:r>
      <w:r w:rsidR="009C56EC">
        <w:rPr>
          <w:rFonts w:eastAsia="Calibri" w:cs="Times New Roman"/>
          <w:szCs w:val="24"/>
        </w:rPr>
        <w:t>.</w:t>
      </w:r>
    </w:p>
    <w:p w14:paraId="4E63DE8C" w14:textId="69F9299F" w:rsidR="009C56EC" w:rsidRDefault="009C56EC"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Konkrētajā gadījumā pieteicējas </w:t>
      </w:r>
      <w:r w:rsidRPr="009C56EC">
        <w:rPr>
          <w:rFonts w:eastAsia="Calibri" w:cs="Times New Roman"/>
          <w:szCs w:val="24"/>
        </w:rPr>
        <w:t>tiesības pierādīt un saņemt zaudējumu atlīdzību par konkurences tiesību pārkāpumu prevalē pār jebkuru pamatu, kas varētu tikt noteikts šīs informācijas ierobežotajai pieejamībai. Pieteicēj</w:t>
      </w:r>
      <w:r>
        <w:rPr>
          <w:rFonts w:eastAsia="Calibri" w:cs="Times New Roman"/>
          <w:szCs w:val="24"/>
        </w:rPr>
        <w:t>a</w:t>
      </w:r>
      <w:r w:rsidRPr="009C56EC">
        <w:rPr>
          <w:rFonts w:eastAsia="Calibri" w:cs="Times New Roman"/>
          <w:szCs w:val="24"/>
        </w:rPr>
        <w:t xml:space="preserve"> nesaskata</w:t>
      </w:r>
      <w:r>
        <w:rPr>
          <w:rFonts w:eastAsia="Calibri" w:cs="Times New Roman"/>
          <w:szCs w:val="24"/>
        </w:rPr>
        <w:t>,</w:t>
      </w:r>
      <w:r w:rsidRPr="009C56EC">
        <w:rPr>
          <w:rFonts w:eastAsia="Calibri" w:cs="Times New Roman"/>
          <w:szCs w:val="24"/>
        </w:rPr>
        <w:t xml:space="preserve"> kā </w:t>
      </w:r>
      <w:r>
        <w:rPr>
          <w:rFonts w:eastAsia="Calibri" w:cs="Times New Roman"/>
          <w:szCs w:val="24"/>
        </w:rPr>
        <w:t>prasītās informācijas</w:t>
      </w:r>
      <w:r w:rsidRPr="009C56EC">
        <w:rPr>
          <w:rFonts w:eastAsia="Calibri" w:cs="Times New Roman"/>
          <w:szCs w:val="24"/>
        </w:rPr>
        <w:t xml:space="preserve"> izsniegšana apdraudētu konkurences tiesību efektivitāti</w:t>
      </w:r>
      <w:r>
        <w:rPr>
          <w:rFonts w:eastAsia="Calibri" w:cs="Times New Roman"/>
          <w:szCs w:val="24"/>
        </w:rPr>
        <w:t>.</w:t>
      </w:r>
    </w:p>
    <w:p w14:paraId="52B2A431" w14:textId="756D2DEB" w:rsidR="00CA29EE" w:rsidRDefault="009C56EC"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[5.3] Tāpat kā atteikums izsniegt informāciju, arī Konkurences padomes noteiktais </w:t>
      </w:r>
      <w:r w:rsidRPr="009C56EC">
        <w:rPr>
          <w:rFonts w:eastAsia="Calibri" w:cs="Times New Roman"/>
          <w:szCs w:val="24"/>
        </w:rPr>
        <w:t>informācijas izmantošanas ierobežojum</w:t>
      </w:r>
      <w:r>
        <w:rPr>
          <w:rFonts w:eastAsia="Calibri" w:cs="Times New Roman"/>
          <w:szCs w:val="24"/>
        </w:rPr>
        <w:t>s ir administratīvais akts, jo ier</w:t>
      </w:r>
      <w:r w:rsidRPr="009C56EC">
        <w:rPr>
          <w:rFonts w:eastAsia="Calibri" w:cs="Times New Roman"/>
          <w:szCs w:val="24"/>
        </w:rPr>
        <w:t>obežo</w:t>
      </w:r>
      <w:r>
        <w:rPr>
          <w:rFonts w:eastAsia="Calibri" w:cs="Times New Roman"/>
          <w:szCs w:val="24"/>
        </w:rPr>
        <w:t xml:space="preserve"> pi</w:t>
      </w:r>
      <w:r w:rsidRPr="009C56EC">
        <w:rPr>
          <w:rFonts w:eastAsia="Calibri" w:cs="Times New Roman"/>
          <w:szCs w:val="24"/>
        </w:rPr>
        <w:t>eteicēja</w:t>
      </w:r>
      <w:r>
        <w:rPr>
          <w:rFonts w:eastAsia="Calibri" w:cs="Times New Roman"/>
          <w:szCs w:val="24"/>
        </w:rPr>
        <w:t>s</w:t>
      </w:r>
      <w:r w:rsidRPr="009C56EC">
        <w:rPr>
          <w:rFonts w:eastAsia="Calibri" w:cs="Times New Roman"/>
          <w:szCs w:val="24"/>
        </w:rPr>
        <w:t xml:space="preserve"> tiesības saņemt un izmantot informāciju. Jebkurā gadījumā informācijas izmantošanas ierobežojums aizskar </w:t>
      </w:r>
      <w:r>
        <w:rPr>
          <w:rFonts w:eastAsia="Calibri" w:cs="Times New Roman"/>
          <w:szCs w:val="24"/>
        </w:rPr>
        <w:t>p</w:t>
      </w:r>
      <w:r w:rsidRPr="009C56EC">
        <w:rPr>
          <w:rFonts w:eastAsia="Calibri" w:cs="Times New Roman"/>
          <w:szCs w:val="24"/>
        </w:rPr>
        <w:t>ieteicēja</w:t>
      </w:r>
      <w:r w:rsidR="000A01AF">
        <w:rPr>
          <w:rFonts w:eastAsia="Calibri" w:cs="Times New Roman"/>
          <w:szCs w:val="24"/>
        </w:rPr>
        <w:t>s</w:t>
      </w:r>
      <w:r w:rsidRPr="009C56EC">
        <w:rPr>
          <w:rFonts w:eastAsia="Calibri" w:cs="Times New Roman"/>
          <w:szCs w:val="24"/>
        </w:rPr>
        <w:t xml:space="preserve"> tiesības uz taisnīgu tiesu, radot negatīvas tiesiskā</w:t>
      </w:r>
      <w:r w:rsidR="000A01AF">
        <w:rPr>
          <w:rFonts w:eastAsia="Calibri" w:cs="Times New Roman"/>
          <w:szCs w:val="24"/>
        </w:rPr>
        <w:t>s</w:t>
      </w:r>
      <w:r w:rsidRPr="009C56EC">
        <w:rPr>
          <w:rFonts w:eastAsia="Calibri" w:cs="Times New Roman"/>
          <w:szCs w:val="24"/>
        </w:rPr>
        <w:t xml:space="preserve"> sekas</w:t>
      </w:r>
      <w:r>
        <w:rPr>
          <w:rFonts w:eastAsia="Calibri" w:cs="Times New Roman"/>
          <w:szCs w:val="24"/>
        </w:rPr>
        <w:t>,</w:t>
      </w:r>
      <w:r w:rsidRPr="009C56EC">
        <w:rPr>
          <w:rFonts w:eastAsia="Calibri" w:cs="Times New Roman"/>
          <w:szCs w:val="24"/>
        </w:rPr>
        <w:t xml:space="preserve"> un atbilst vis</w:t>
      </w:r>
      <w:r>
        <w:rPr>
          <w:rFonts w:eastAsia="Calibri" w:cs="Times New Roman"/>
          <w:szCs w:val="24"/>
        </w:rPr>
        <w:t>ā</w:t>
      </w:r>
      <w:r w:rsidRPr="009C56EC">
        <w:rPr>
          <w:rFonts w:eastAsia="Calibri" w:cs="Times New Roman"/>
          <w:szCs w:val="24"/>
        </w:rPr>
        <w:t xml:space="preserve">m administratīvā akta </w:t>
      </w:r>
      <w:r>
        <w:rPr>
          <w:rFonts w:eastAsia="Calibri" w:cs="Times New Roman"/>
          <w:szCs w:val="24"/>
        </w:rPr>
        <w:t>pazīmēm</w:t>
      </w:r>
      <w:r w:rsidRPr="009C56EC">
        <w:rPr>
          <w:rFonts w:eastAsia="Calibri" w:cs="Times New Roman"/>
          <w:szCs w:val="24"/>
        </w:rPr>
        <w:t>.</w:t>
      </w:r>
    </w:p>
    <w:p w14:paraId="3C7BDBA1" w14:textId="7FAB9B2E" w:rsidR="009C56EC" w:rsidRDefault="009C56EC" w:rsidP="003367D2">
      <w:pPr>
        <w:tabs>
          <w:tab w:val="left" w:pos="1276"/>
        </w:tabs>
        <w:spacing w:after="0" w:line="276" w:lineRule="auto"/>
        <w:ind w:firstLine="720"/>
        <w:jc w:val="both"/>
        <w:rPr>
          <w:rFonts w:eastAsia="Calibri" w:cs="Times New Roman"/>
          <w:szCs w:val="24"/>
        </w:rPr>
      </w:pPr>
      <w:r>
        <w:rPr>
          <w:rFonts w:eastAsia="Calibri" w:cs="Times New Roman"/>
          <w:szCs w:val="24"/>
        </w:rPr>
        <w:t>[5.4] Konkurences padomes</w:t>
      </w:r>
      <w:r w:rsidRPr="009C56EC">
        <w:rPr>
          <w:rFonts w:eastAsia="Calibri" w:cs="Times New Roman"/>
          <w:szCs w:val="24"/>
        </w:rPr>
        <w:t xml:space="preserve"> pienākums izsniegt </w:t>
      </w:r>
      <w:r>
        <w:rPr>
          <w:rFonts w:eastAsia="Calibri" w:cs="Times New Roman"/>
          <w:szCs w:val="24"/>
        </w:rPr>
        <w:t>prasīto informāciju</w:t>
      </w:r>
      <w:r w:rsidRPr="009C56EC">
        <w:rPr>
          <w:rFonts w:eastAsia="Calibri" w:cs="Times New Roman"/>
          <w:szCs w:val="24"/>
        </w:rPr>
        <w:t xml:space="preserve"> </w:t>
      </w:r>
      <w:r>
        <w:rPr>
          <w:rFonts w:eastAsia="Calibri" w:cs="Times New Roman"/>
          <w:szCs w:val="24"/>
        </w:rPr>
        <w:t>izriet no Informācijas atklātības likuma</w:t>
      </w:r>
      <w:r w:rsidRPr="009C56EC">
        <w:rPr>
          <w:rFonts w:eastAsia="Calibri" w:cs="Times New Roman"/>
          <w:szCs w:val="24"/>
        </w:rPr>
        <w:t xml:space="preserve">, savukārt </w:t>
      </w:r>
      <w:r>
        <w:rPr>
          <w:rFonts w:eastAsia="Calibri" w:cs="Times New Roman"/>
          <w:szCs w:val="24"/>
        </w:rPr>
        <w:t>Zaudējumu atlīdzināšanas d</w:t>
      </w:r>
      <w:r w:rsidRPr="009C56EC">
        <w:rPr>
          <w:rFonts w:eastAsia="Calibri" w:cs="Times New Roman"/>
          <w:szCs w:val="24"/>
        </w:rPr>
        <w:t xml:space="preserve">irektīva kalpo par apliecinājumu tam, cik būtiski ir nodrošināt zaudējumu atlīdzības prasību efektivitāti. </w:t>
      </w:r>
      <w:r w:rsidR="00C63B1F">
        <w:rPr>
          <w:rFonts w:eastAsia="Calibri" w:cs="Times New Roman"/>
          <w:szCs w:val="24"/>
        </w:rPr>
        <w:t>Atbilstoši Eiropas Savienības Tiesas judikatūrai (</w:t>
      </w:r>
      <w:r w:rsidR="00C63B1F" w:rsidRPr="00480A26">
        <w:rPr>
          <w:rFonts w:eastAsia="Calibri" w:cs="Times New Roman"/>
          <w:i/>
          <w:iCs/>
          <w:szCs w:val="24"/>
        </w:rPr>
        <w:t>Eiropas Savienības Tiesas 2013.gada 5.jūnija sprieduma lietā „</w:t>
      </w:r>
      <w:r w:rsidR="00C63B1F" w:rsidRPr="001374D0">
        <w:rPr>
          <w:rFonts w:eastAsia="Calibri" w:cs="Times New Roman"/>
          <w:i/>
          <w:iCs/>
          <w:szCs w:val="24"/>
        </w:rPr>
        <w:t>Donau Chemi</w:t>
      </w:r>
      <w:r w:rsidR="00480A26" w:rsidRPr="001374D0">
        <w:rPr>
          <w:rFonts w:eastAsia="Calibri" w:cs="Times New Roman"/>
          <w:i/>
          <w:iCs/>
          <w:szCs w:val="24"/>
        </w:rPr>
        <w:t>e</w:t>
      </w:r>
      <w:r w:rsidR="00C63B1F" w:rsidRPr="001374D0">
        <w:rPr>
          <w:rFonts w:eastAsia="Calibri" w:cs="Times New Roman"/>
          <w:i/>
          <w:iCs/>
          <w:szCs w:val="24"/>
        </w:rPr>
        <w:t>”,</w:t>
      </w:r>
      <w:r w:rsidR="00C63B1F" w:rsidRPr="00480A26">
        <w:rPr>
          <w:rFonts w:eastAsia="Calibri" w:cs="Times New Roman"/>
          <w:i/>
          <w:iCs/>
          <w:szCs w:val="24"/>
        </w:rPr>
        <w:t xml:space="preserve"> C-536/11, </w:t>
      </w:r>
      <w:r w:rsidR="00480A26" w:rsidRPr="00480A26">
        <w:rPr>
          <w:rFonts w:eastAsia="Calibri" w:cs="Times New Roman"/>
          <w:i/>
          <w:iCs/>
          <w:szCs w:val="24"/>
        </w:rPr>
        <w:t>ECLI:EU:C:2013:366, 32.</w:t>
      </w:r>
      <w:r w:rsidR="00C63B1F" w:rsidRPr="00480A26">
        <w:rPr>
          <w:rFonts w:eastAsia="Calibri" w:cs="Times New Roman"/>
          <w:i/>
          <w:iCs/>
          <w:szCs w:val="24"/>
        </w:rPr>
        <w:t>punkts</w:t>
      </w:r>
      <w:r w:rsidR="00C63B1F">
        <w:rPr>
          <w:rFonts w:eastAsia="Calibri" w:cs="Times New Roman"/>
          <w:szCs w:val="24"/>
        </w:rPr>
        <w:t xml:space="preserve">) </w:t>
      </w:r>
      <w:r w:rsidR="00C63B1F" w:rsidRPr="00C63B1F">
        <w:rPr>
          <w:rFonts w:eastAsia="Calibri" w:cs="Times New Roman"/>
          <w:szCs w:val="24"/>
        </w:rPr>
        <w:t>norm</w:t>
      </w:r>
      <w:r w:rsidR="00C63B1F">
        <w:rPr>
          <w:rFonts w:eastAsia="Calibri" w:cs="Times New Roman"/>
          <w:szCs w:val="24"/>
        </w:rPr>
        <w:t>a</w:t>
      </w:r>
      <w:r w:rsidR="00C63B1F" w:rsidRPr="00C63B1F">
        <w:rPr>
          <w:rFonts w:eastAsia="Calibri" w:cs="Times New Roman"/>
          <w:szCs w:val="24"/>
        </w:rPr>
        <w:t xml:space="preserve">, saskaņā ar kuru piekļuve ikvienam ar tiesvedību konkurences jomā saistītam dokumentam ir jāatsaka, var padarīt neiespējamu vai vismaz pārmērīgi grūtu tiesību uz atlīdzību, kādas ir personām, kurām ir nodarīts kaitējums ar </w:t>
      </w:r>
      <w:r w:rsidR="00C63B1F">
        <w:rPr>
          <w:rFonts w:eastAsia="Calibri" w:cs="Times New Roman"/>
          <w:szCs w:val="24"/>
        </w:rPr>
        <w:t>Līguma par Eiropas Savienības darbību</w:t>
      </w:r>
      <w:r w:rsidR="00C63B1F" w:rsidRPr="00C63B1F">
        <w:rPr>
          <w:rFonts w:eastAsia="Calibri" w:cs="Times New Roman"/>
          <w:szCs w:val="24"/>
        </w:rPr>
        <w:t xml:space="preserve"> 101.panta pārkāpumu, aizsardzību.</w:t>
      </w:r>
    </w:p>
    <w:p w14:paraId="586ADE2D" w14:textId="49AA0C24" w:rsidR="00C63B1F" w:rsidRDefault="00C63B1F"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[5.5] </w:t>
      </w:r>
      <w:r w:rsidR="001B3A5C">
        <w:rPr>
          <w:rFonts w:eastAsia="Calibri" w:cs="Times New Roman"/>
          <w:szCs w:val="24"/>
        </w:rPr>
        <w:t>Laikā pirms Zaudējumu atlīdzināšanas direktīvas pieņemšanas šāda veida informācijas pieprasījum</w:t>
      </w:r>
      <w:r w:rsidR="001374D0">
        <w:rPr>
          <w:rFonts w:eastAsia="Calibri" w:cs="Times New Roman"/>
          <w:szCs w:val="24"/>
        </w:rPr>
        <w:t>i</w:t>
      </w:r>
      <w:r w:rsidR="001B3A5C">
        <w:rPr>
          <w:rFonts w:eastAsia="Calibri" w:cs="Times New Roman"/>
          <w:szCs w:val="24"/>
        </w:rPr>
        <w:t xml:space="preserve"> būtu izskatāmi atbilstoši Informācijas atklātības likumam</w:t>
      </w:r>
      <w:r w:rsidR="001374D0">
        <w:rPr>
          <w:rFonts w:eastAsia="Calibri" w:cs="Times New Roman"/>
          <w:szCs w:val="24"/>
        </w:rPr>
        <w:t>,</w:t>
      </w:r>
      <w:r w:rsidR="001B3A5C">
        <w:rPr>
          <w:rFonts w:eastAsia="Calibri" w:cs="Times New Roman"/>
          <w:szCs w:val="24"/>
        </w:rPr>
        <w:t xml:space="preserve"> un tas neliegtu</w:t>
      </w:r>
      <w:r w:rsidR="001374D0">
        <w:rPr>
          <w:rFonts w:eastAsia="Calibri" w:cs="Times New Roman"/>
          <w:szCs w:val="24"/>
        </w:rPr>
        <w:t xml:space="preserve"> Konkurences padomei</w:t>
      </w:r>
      <w:r w:rsidR="001B3A5C">
        <w:rPr>
          <w:rFonts w:eastAsia="Calibri" w:cs="Times New Roman"/>
          <w:szCs w:val="24"/>
        </w:rPr>
        <w:t xml:space="preserve"> izsniegt informāciju. Būtībā direktīvas regulējuma ieviešana rada situāciju, ka netiek ievērots Eiropas Savienības tiesību līdzvērtības princips, uz ko vērsta uzmanība direktīvas 11.apsvērumā.</w:t>
      </w:r>
    </w:p>
    <w:p w14:paraId="221211DA" w14:textId="4603921D" w:rsidR="00E96855" w:rsidRDefault="000A01AF"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[5.6] </w:t>
      </w:r>
      <w:r w:rsidR="00E96855">
        <w:rPr>
          <w:rFonts w:eastAsia="Calibri" w:cs="Times New Roman"/>
          <w:szCs w:val="24"/>
        </w:rPr>
        <w:t>Pieteicēja arī iesniegusi lūgumu vērsties Eiropas Savienības Tiesā, lai tā sniegtu prejudiciālo nolēmumu šādos jautājumos:</w:t>
      </w:r>
    </w:p>
    <w:p w14:paraId="0A664C2A" w14:textId="36FF4E44" w:rsidR="00E96855" w:rsidRPr="00E96855" w:rsidRDefault="00E96855" w:rsidP="003367D2">
      <w:pPr>
        <w:tabs>
          <w:tab w:val="left" w:pos="1276"/>
        </w:tabs>
        <w:spacing w:after="0" w:line="276" w:lineRule="auto"/>
        <w:ind w:firstLine="720"/>
        <w:jc w:val="both"/>
        <w:rPr>
          <w:rFonts w:eastAsia="Calibri" w:cs="Times New Roman"/>
          <w:szCs w:val="24"/>
        </w:rPr>
      </w:pPr>
      <w:r w:rsidRPr="00E96855">
        <w:rPr>
          <w:rFonts w:eastAsia="Calibri" w:cs="Times New Roman"/>
          <w:szCs w:val="24"/>
        </w:rPr>
        <w:t>1</w:t>
      </w:r>
      <w:r>
        <w:rPr>
          <w:rFonts w:eastAsia="Calibri" w:cs="Times New Roman"/>
          <w:szCs w:val="24"/>
        </w:rPr>
        <w:t>.</w:t>
      </w:r>
      <w:r w:rsidRPr="00E96855">
        <w:rPr>
          <w:rFonts w:eastAsia="Calibri" w:cs="Times New Roman"/>
          <w:szCs w:val="24"/>
        </w:rPr>
        <w:tab/>
        <w:t xml:space="preserve">Vai </w:t>
      </w:r>
      <w:r>
        <w:rPr>
          <w:rFonts w:eastAsia="Calibri" w:cs="Times New Roman"/>
          <w:szCs w:val="24"/>
        </w:rPr>
        <w:t>Zaudējumu atlīdzināšanas direktīva</w:t>
      </w:r>
      <w:r w:rsidRPr="00E96855">
        <w:rPr>
          <w:rFonts w:eastAsia="Calibri" w:cs="Times New Roman"/>
          <w:szCs w:val="24"/>
        </w:rPr>
        <w:t xml:space="preserve"> aizliedz nacionālajai konkurences iestādei izsniegt personai, kura cietusi no konkurences tiesību pārkāpuma, lēmuma pielikumu, kurā ietverta būtiska informācija par konkurences tiesību pārkāpumu? </w:t>
      </w:r>
    </w:p>
    <w:p w14:paraId="11849857" w14:textId="3AD5A85E" w:rsidR="00E96855" w:rsidRPr="00E96855" w:rsidRDefault="00E96855" w:rsidP="003367D2">
      <w:pPr>
        <w:tabs>
          <w:tab w:val="left" w:pos="1276"/>
        </w:tabs>
        <w:spacing w:after="0" w:line="276" w:lineRule="auto"/>
        <w:ind w:firstLine="720"/>
        <w:jc w:val="both"/>
        <w:rPr>
          <w:rFonts w:eastAsia="Calibri" w:cs="Times New Roman"/>
          <w:szCs w:val="24"/>
        </w:rPr>
      </w:pPr>
      <w:r w:rsidRPr="00E96855">
        <w:rPr>
          <w:rFonts w:eastAsia="Calibri" w:cs="Times New Roman"/>
          <w:szCs w:val="24"/>
        </w:rPr>
        <w:lastRenderedPageBreak/>
        <w:t>2</w:t>
      </w:r>
      <w:r>
        <w:rPr>
          <w:rFonts w:eastAsia="Calibri" w:cs="Times New Roman"/>
          <w:szCs w:val="24"/>
        </w:rPr>
        <w:t>.</w:t>
      </w:r>
      <w:r w:rsidRPr="00E96855">
        <w:rPr>
          <w:rFonts w:eastAsia="Calibri" w:cs="Times New Roman"/>
          <w:szCs w:val="24"/>
        </w:rPr>
        <w:tab/>
        <w:t xml:space="preserve">Ja atbilde uz </w:t>
      </w:r>
      <w:r>
        <w:rPr>
          <w:rFonts w:eastAsia="Calibri" w:cs="Times New Roman"/>
          <w:szCs w:val="24"/>
        </w:rPr>
        <w:t>pirmo</w:t>
      </w:r>
      <w:r w:rsidRPr="00E96855">
        <w:rPr>
          <w:rFonts w:eastAsia="Calibri" w:cs="Times New Roman"/>
          <w:szCs w:val="24"/>
        </w:rPr>
        <w:t xml:space="preserve"> jautājumu ir apstiprinoša, vai t</w:t>
      </w:r>
      <w:r>
        <w:rPr>
          <w:rFonts w:eastAsia="Calibri" w:cs="Times New Roman"/>
          <w:szCs w:val="24"/>
        </w:rPr>
        <w:t>a</w:t>
      </w:r>
      <w:r w:rsidRPr="00E96855">
        <w:rPr>
          <w:rFonts w:eastAsia="Calibri" w:cs="Times New Roman"/>
          <w:szCs w:val="24"/>
        </w:rPr>
        <w:t xml:space="preserve">s mainās gadījumā, ja nacionālais regulējums nosaka konkurences iestādes pienākumu vērtēt šāda lūguma samērīgumu un lietderīgumu? </w:t>
      </w:r>
    </w:p>
    <w:p w14:paraId="5B9088DE" w14:textId="6480CB4E" w:rsidR="00E96855" w:rsidRDefault="00E96855" w:rsidP="003367D2">
      <w:pPr>
        <w:tabs>
          <w:tab w:val="left" w:pos="1276"/>
        </w:tabs>
        <w:spacing w:after="0" w:line="276" w:lineRule="auto"/>
        <w:ind w:firstLine="720"/>
        <w:jc w:val="both"/>
        <w:rPr>
          <w:rFonts w:eastAsia="Calibri" w:cs="Times New Roman"/>
          <w:szCs w:val="24"/>
        </w:rPr>
      </w:pPr>
      <w:r w:rsidRPr="00E96855">
        <w:rPr>
          <w:rFonts w:eastAsia="Calibri" w:cs="Times New Roman"/>
          <w:szCs w:val="24"/>
        </w:rPr>
        <w:t>3</w:t>
      </w:r>
      <w:r>
        <w:rPr>
          <w:rFonts w:eastAsia="Calibri" w:cs="Times New Roman"/>
          <w:szCs w:val="24"/>
        </w:rPr>
        <w:t>.</w:t>
      </w:r>
      <w:r w:rsidRPr="00E96855">
        <w:rPr>
          <w:rFonts w:eastAsia="Calibri" w:cs="Times New Roman"/>
          <w:szCs w:val="24"/>
        </w:rPr>
        <w:tab/>
        <w:t xml:space="preserve">Vai </w:t>
      </w:r>
      <w:r>
        <w:rPr>
          <w:rFonts w:eastAsia="Calibri" w:cs="Times New Roman"/>
          <w:szCs w:val="24"/>
        </w:rPr>
        <w:t>Zaudējumu atlīdzināšanas direktīva</w:t>
      </w:r>
      <w:r w:rsidRPr="00E96855">
        <w:rPr>
          <w:rFonts w:eastAsia="Calibri" w:cs="Times New Roman"/>
          <w:szCs w:val="24"/>
        </w:rPr>
        <w:t xml:space="preserve"> pieļauj situāciju, kurā nacionālā konkurences iestāde izsniedz personai, kura cietusi no konkurences tiesību pārkāpuma, lēmuma pielikumu, kurā ietverta būtiska informācija par konkurences tiesību pārkāpumu, nosakot ierobežojumu tā izmantošanai zaudējumu atlīdzības prasības celšanā?</w:t>
      </w:r>
    </w:p>
    <w:p w14:paraId="3741CD96" w14:textId="77777777" w:rsidR="00554083" w:rsidRDefault="00554083" w:rsidP="003367D2">
      <w:pPr>
        <w:tabs>
          <w:tab w:val="left" w:pos="1276"/>
        </w:tabs>
        <w:spacing w:after="0" w:line="276" w:lineRule="auto"/>
        <w:ind w:firstLine="720"/>
        <w:jc w:val="both"/>
        <w:rPr>
          <w:rFonts w:eastAsia="Calibri" w:cs="Times New Roman"/>
          <w:szCs w:val="24"/>
        </w:rPr>
      </w:pPr>
    </w:p>
    <w:p w14:paraId="1C92C846" w14:textId="1185748A" w:rsidR="00554083" w:rsidRDefault="00FA3B26" w:rsidP="003367D2">
      <w:pPr>
        <w:tabs>
          <w:tab w:val="left" w:pos="1276"/>
        </w:tabs>
        <w:spacing w:after="0" w:line="276" w:lineRule="auto"/>
        <w:ind w:firstLine="720"/>
        <w:jc w:val="both"/>
        <w:rPr>
          <w:rFonts w:eastAsia="Calibri" w:cs="Times New Roman"/>
          <w:szCs w:val="24"/>
        </w:rPr>
      </w:pPr>
      <w:r>
        <w:rPr>
          <w:rFonts w:eastAsia="Calibri" w:cs="Times New Roman"/>
          <w:szCs w:val="24"/>
        </w:rPr>
        <w:t>[6] Konkurences padome paskaidrojumos par blakus sūdzību argumentē, ka rajona tiesas tiesneša lēmums ir pareizs, bet blakus sūdzība ir nepamatota.</w:t>
      </w:r>
    </w:p>
    <w:p w14:paraId="13386D62" w14:textId="77777777" w:rsidR="00946AD8" w:rsidRDefault="00946AD8" w:rsidP="003367D2">
      <w:pPr>
        <w:tabs>
          <w:tab w:val="left" w:pos="1276"/>
        </w:tabs>
        <w:spacing w:after="0" w:line="276" w:lineRule="auto"/>
        <w:ind w:firstLine="720"/>
        <w:jc w:val="both"/>
        <w:rPr>
          <w:rFonts w:eastAsia="Calibri" w:cs="Times New Roman"/>
          <w:szCs w:val="24"/>
        </w:rPr>
      </w:pPr>
    </w:p>
    <w:p w14:paraId="257A2819" w14:textId="4ED5DD76" w:rsidR="00FA3B26" w:rsidRPr="00554083" w:rsidRDefault="00FA3B26" w:rsidP="003367D2">
      <w:pPr>
        <w:tabs>
          <w:tab w:val="left" w:pos="1276"/>
        </w:tabs>
        <w:spacing w:after="0" w:line="276" w:lineRule="auto"/>
        <w:contextualSpacing/>
        <w:jc w:val="center"/>
        <w:rPr>
          <w:rFonts w:eastAsia="Calibri" w:cs="Times New Roman"/>
          <w:b/>
          <w:szCs w:val="24"/>
        </w:rPr>
      </w:pPr>
      <w:r>
        <w:rPr>
          <w:rFonts w:eastAsia="Calibri" w:cs="Times New Roman"/>
          <w:b/>
          <w:szCs w:val="24"/>
        </w:rPr>
        <w:t>Motīvu</w:t>
      </w:r>
      <w:r w:rsidRPr="00554083">
        <w:rPr>
          <w:rFonts w:eastAsia="Calibri" w:cs="Times New Roman"/>
          <w:b/>
          <w:szCs w:val="24"/>
        </w:rPr>
        <w:t xml:space="preserve"> daļa</w:t>
      </w:r>
    </w:p>
    <w:p w14:paraId="1AFF1FF6" w14:textId="77777777" w:rsidR="00946AD8" w:rsidRDefault="00946AD8" w:rsidP="003367D2">
      <w:pPr>
        <w:tabs>
          <w:tab w:val="left" w:pos="1276"/>
        </w:tabs>
        <w:spacing w:after="0" w:line="276" w:lineRule="auto"/>
        <w:jc w:val="both"/>
        <w:rPr>
          <w:rFonts w:eastAsia="Calibri" w:cs="Times New Roman"/>
          <w:szCs w:val="24"/>
        </w:rPr>
      </w:pPr>
    </w:p>
    <w:p w14:paraId="7FD19898" w14:textId="6E46649B" w:rsidR="00946AD8" w:rsidRDefault="00946AD8"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7</w:t>
      </w:r>
      <w:r>
        <w:rPr>
          <w:rFonts w:eastAsia="Calibri" w:cs="Times New Roman"/>
          <w:szCs w:val="24"/>
        </w:rPr>
        <w:t xml:space="preserve">] </w:t>
      </w:r>
      <w:r w:rsidR="000A01AF">
        <w:rPr>
          <w:rFonts w:eastAsia="Calibri" w:cs="Times New Roman"/>
          <w:szCs w:val="24"/>
        </w:rPr>
        <w:t xml:space="preserve">Senāts </w:t>
      </w:r>
      <w:r>
        <w:rPr>
          <w:rFonts w:eastAsia="Calibri" w:cs="Times New Roman"/>
          <w:szCs w:val="24"/>
        </w:rPr>
        <w:t xml:space="preserve">2022.gada </w:t>
      </w:r>
      <w:r w:rsidR="001374D0">
        <w:rPr>
          <w:rFonts w:eastAsia="Calibri" w:cs="Times New Roman"/>
          <w:szCs w:val="24"/>
        </w:rPr>
        <w:t xml:space="preserve">7.jūnija </w:t>
      </w:r>
      <w:r>
        <w:rPr>
          <w:rFonts w:eastAsia="Calibri" w:cs="Times New Roman"/>
          <w:szCs w:val="24"/>
        </w:rPr>
        <w:t>lēmumā lietā Nr.</w:t>
      </w:r>
      <w:r w:rsidR="00CA1548">
        <w:rPr>
          <w:rFonts w:eastAsia="Calibri" w:cs="Times New Roman"/>
          <w:szCs w:val="24"/>
        </w:rPr>
        <w:t> </w:t>
      </w:r>
      <w:r w:rsidR="001374D0">
        <w:rPr>
          <w:rFonts w:eastAsia="Calibri" w:cs="Times New Roman"/>
          <w:szCs w:val="24"/>
        </w:rPr>
        <w:t>SKA-793/2022 (</w:t>
      </w:r>
      <w:hyperlink r:id="rId9" w:history="1">
        <w:r w:rsidR="001374D0" w:rsidRPr="00CA1548">
          <w:rPr>
            <w:rStyle w:val="Hyperlink"/>
            <w:rFonts w:eastAsia="Calibri" w:cs="Times New Roman"/>
            <w:szCs w:val="24"/>
          </w:rPr>
          <w:t>ECLI:LV:AT:2022:0607.A420246321.5.L</w:t>
        </w:r>
      </w:hyperlink>
      <w:r w:rsidR="001374D0">
        <w:rPr>
          <w:rFonts w:eastAsia="Calibri" w:cs="Times New Roman"/>
          <w:szCs w:val="24"/>
        </w:rPr>
        <w:t>)</w:t>
      </w:r>
      <w:r>
        <w:rPr>
          <w:rFonts w:eastAsia="Calibri" w:cs="Times New Roman"/>
          <w:szCs w:val="24"/>
        </w:rPr>
        <w:t xml:space="preserve"> izteica apsvērumus par </w:t>
      </w:r>
      <w:r w:rsidR="00602044">
        <w:rPr>
          <w:rFonts w:eastAsia="Calibri" w:cs="Times New Roman"/>
          <w:szCs w:val="24"/>
        </w:rPr>
        <w:t>tādu pierādījumu</w:t>
      </w:r>
      <w:r>
        <w:rPr>
          <w:rFonts w:eastAsia="Calibri" w:cs="Times New Roman"/>
          <w:szCs w:val="24"/>
        </w:rPr>
        <w:t xml:space="preserve"> </w:t>
      </w:r>
      <w:r w:rsidR="00602044">
        <w:rPr>
          <w:rFonts w:eastAsia="Calibri" w:cs="Times New Roman"/>
          <w:szCs w:val="24"/>
        </w:rPr>
        <w:t>izprasīšanu</w:t>
      </w:r>
      <w:r>
        <w:rPr>
          <w:rFonts w:eastAsia="Calibri" w:cs="Times New Roman"/>
          <w:szCs w:val="24"/>
        </w:rPr>
        <w:t xml:space="preserve"> no Konkurences padomes, kas </w:t>
      </w:r>
      <w:r w:rsidR="00602044">
        <w:rPr>
          <w:rFonts w:eastAsia="Calibri" w:cs="Times New Roman"/>
          <w:szCs w:val="24"/>
        </w:rPr>
        <w:t>iegūti</w:t>
      </w:r>
      <w:r>
        <w:rPr>
          <w:rFonts w:eastAsia="Calibri" w:cs="Times New Roman"/>
          <w:szCs w:val="24"/>
        </w:rPr>
        <w:t xml:space="preserve"> iecietības programmas ietvaros, vai izlīguma </w:t>
      </w:r>
      <w:r w:rsidR="000C0CD4">
        <w:rPr>
          <w:rFonts w:eastAsia="Calibri" w:cs="Times New Roman"/>
          <w:szCs w:val="24"/>
        </w:rPr>
        <w:t>iesniegum</w:t>
      </w:r>
      <w:r w:rsidR="001374D0">
        <w:rPr>
          <w:rFonts w:eastAsia="Calibri" w:cs="Times New Roman"/>
          <w:szCs w:val="24"/>
        </w:rPr>
        <w:t>iem</w:t>
      </w:r>
      <w:r>
        <w:rPr>
          <w:rFonts w:eastAsia="Calibri" w:cs="Times New Roman"/>
          <w:szCs w:val="24"/>
        </w:rPr>
        <w:t>. Senāts</w:t>
      </w:r>
      <w:r w:rsidR="001374D0">
        <w:rPr>
          <w:rFonts w:eastAsia="Calibri" w:cs="Times New Roman"/>
          <w:szCs w:val="24"/>
        </w:rPr>
        <w:t xml:space="preserve">, atsaucoties uz Zaudējumu atlīdzināšanas direktīvu un </w:t>
      </w:r>
      <w:r w:rsidR="001374D0" w:rsidRPr="001374D0">
        <w:rPr>
          <w:rFonts w:eastAsia="Calibri" w:cs="Arial"/>
          <w:bCs/>
        </w:rPr>
        <w:t>Civilprocesa likuma 250.</w:t>
      </w:r>
      <w:r w:rsidR="001374D0" w:rsidRPr="001374D0">
        <w:rPr>
          <w:rFonts w:eastAsia="Calibri" w:cs="Arial"/>
          <w:bCs/>
          <w:vertAlign w:val="superscript"/>
        </w:rPr>
        <w:t xml:space="preserve">67 </w:t>
      </w:r>
      <w:r w:rsidR="001374D0" w:rsidRPr="001374D0">
        <w:rPr>
          <w:rFonts w:eastAsia="Calibri" w:cs="Arial"/>
          <w:bCs/>
        </w:rPr>
        <w:t>un 250.</w:t>
      </w:r>
      <w:r w:rsidR="001374D0" w:rsidRPr="001374D0">
        <w:rPr>
          <w:rFonts w:eastAsia="Calibri" w:cs="Arial"/>
          <w:bCs/>
          <w:vertAlign w:val="superscript"/>
        </w:rPr>
        <w:t>68</w:t>
      </w:r>
      <w:r w:rsidR="001374D0" w:rsidRPr="001374D0">
        <w:rPr>
          <w:rFonts w:eastAsia="Calibri" w:cs="Arial"/>
          <w:bCs/>
        </w:rPr>
        <w:t>pant</w:t>
      </w:r>
      <w:r w:rsidR="001374D0">
        <w:rPr>
          <w:rFonts w:eastAsia="Calibri" w:cs="Arial"/>
          <w:bCs/>
        </w:rPr>
        <w:t xml:space="preserve">u, </w:t>
      </w:r>
      <w:r>
        <w:rPr>
          <w:rFonts w:eastAsia="Calibri" w:cs="Times New Roman"/>
          <w:szCs w:val="24"/>
        </w:rPr>
        <w:t xml:space="preserve">norādīja uz </w:t>
      </w:r>
      <w:r w:rsidR="00602044">
        <w:rPr>
          <w:rFonts w:eastAsia="Calibri" w:cs="Times New Roman"/>
          <w:szCs w:val="24"/>
        </w:rPr>
        <w:t>šādu pierādījumu</w:t>
      </w:r>
      <w:r>
        <w:rPr>
          <w:rFonts w:eastAsia="Calibri" w:cs="Times New Roman"/>
          <w:szCs w:val="24"/>
        </w:rPr>
        <w:t xml:space="preserve"> īpašo aizsardzību un liegumu to</w:t>
      </w:r>
      <w:r w:rsidR="00602044">
        <w:rPr>
          <w:rFonts w:eastAsia="Calibri" w:cs="Times New Roman"/>
          <w:szCs w:val="24"/>
        </w:rPr>
        <w:t>s</w:t>
      </w:r>
      <w:r>
        <w:rPr>
          <w:rFonts w:eastAsia="Calibri" w:cs="Times New Roman"/>
          <w:szCs w:val="24"/>
        </w:rPr>
        <w:t xml:space="preserve"> izsniegt, ņemot vērā, ka tās ir t.s. pašapsūdzošās liecības, kuru izpaušana var kaitēt gan konkrētajiem komersantiem, gan konkurences iestādes interesēm konkurences tiesību īstenošanā.</w:t>
      </w:r>
    </w:p>
    <w:p w14:paraId="304861AF" w14:textId="01B02D2E" w:rsidR="00866521" w:rsidRDefault="00946AD8"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Šajā lietā jautājums ir par cita veida </w:t>
      </w:r>
      <w:r w:rsidR="00602044">
        <w:rPr>
          <w:rFonts w:eastAsia="Calibri" w:cs="Times New Roman"/>
          <w:szCs w:val="24"/>
        </w:rPr>
        <w:t>pierādījumu iz</w:t>
      </w:r>
      <w:r>
        <w:rPr>
          <w:rFonts w:eastAsia="Calibri" w:cs="Times New Roman"/>
          <w:szCs w:val="24"/>
        </w:rPr>
        <w:t xml:space="preserve">prasīšanu no Konkurences padomes – </w:t>
      </w:r>
      <w:r w:rsidR="00602044">
        <w:rPr>
          <w:rFonts w:eastAsia="Calibri" w:cs="Times New Roman"/>
          <w:szCs w:val="24"/>
        </w:rPr>
        <w:t>tādu pierādījumu izprasīšanu</w:t>
      </w:r>
      <w:r>
        <w:rPr>
          <w:rFonts w:eastAsia="Calibri" w:cs="Times New Roman"/>
          <w:szCs w:val="24"/>
        </w:rPr>
        <w:t xml:space="preserve">, kas ir </w:t>
      </w:r>
      <w:r w:rsidR="001374D0">
        <w:rPr>
          <w:rFonts w:eastAsia="Calibri" w:cs="Times New Roman"/>
          <w:szCs w:val="24"/>
        </w:rPr>
        <w:t xml:space="preserve">konkurences tiesību </w:t>
      </w:r>
      <w:r>
        <w:rPr>
          <w:rFonts w:eastAsia="Calibri" w:cs="Times New Roman"/>
          <w:szCs w:val="24"/>
        </w:rPr>
        <w:t xml:space="preserve">pārkāpuma lietas materiālos, bet kas nav šīs īpašās iepriekšminētās kategorijas </w:t>
      </w:r>
      <w:r w:rsidR="00602044">
        <w:rPr>
          <w:rFonts w:eastAsia="Calibri" w:cs="Times New Roman"/>
          <w:szCs w:val="24"/>
        </w:rPr>
        <w:t>pierādījumi</w:t>
      </w:r>
      <w:r>
        <w:rPr>
          <w:rFonts w:eastAsia="Calibri" w:cs="Times New Roman"/>
          <w:szCs w:val="24"/>
        </w:rPr>
        <w:t>.</w:t>
      </w:r>
      <w:r w:rsidR="00866521">
        <w:rPr>
          <w:rFonts w:eastAsia="Calibri" w:cs="Times New Roman"/>
          <w:szCs w:val="24"/>
        </w:rPr>
        <w:t xml:space="preserve"> Konkurences padome šajā gadījumā </w:t>
      </w:r>
      <w:r w:rsidR="00602044">
        <w:rPr>
          <w:rFonts w:eastAsia="Calibri" w:cs="Times New Roman"/>
          <w:szCs w:val="24"/>
        </w:rPr>
        <w:t>pierādījumus</w:t>
      </w:r>
      <w:r w:rsidR="00866521">
        <w:rPr>
          <w:rFonts w:eastAsia="Calibri" w:cs="Times New Roman"/>
          <w:szCs w:val="24"/>
        </w:rPr>
        <w:t xml:space="preserve"> pieteicējai bija izsniegusi, </w:t>
      </w:r>
      <w:r w:rsidR="001374D0">
        <w:rPr>
          <w:rFonts w:eastAsia="Calibri" w:cs="Times New Roman"/>
          <w:szCs w:val="24"/>
        </w:rPr>
        <w:t xml:space="preserve">bet tikai darba vajadzībām bez iespējas </w:t>
      </w:r>
      <w:r w:rsidR="00602044">
        <w:rPr>
          <w:rFonts w:eastAsia="Calibri" w:cs="Times New Roman"/>
          <w:szCs w:val="24"/>
        </w:rPr>
        <w:t>tos</w:t>
      </w:r>
      <w:r w:rsidR="001374D0">
        <w:rPr>
          <w:rFonts w:eastAsia="Calibri" w:cs="Times New Roman"/>
          <w:szCs w:val="24"/>
        </w:rPr>
        <w:t xml:space="preserve"> iesniegt c</w:t>
      </w:r>
      <w:r w:rsidR="00866521">
        <w:rPr>
          <w:rFonts w:eastAsia="Calibri" w:cs="Times New Roman"/>
          <w:szCs w:val="24"/>
        </w:rPr>
        <w:t>ivillietā, lai gan tieši šādā nolūkā pieteicēja t</w:t>
      </w:r>
      <w:r w:rsidR="00602044">
        <w:rPr>
          <w:rFonts w:eastAsia="Calibri" w:cs="Times New Roman"/>
          <w:szCs w:val="24"/>
        </w:rPr>
        <w:t>os</w:t>
      </w:r>
      <w:r w:rsidR="00866521">
        <w:rPr>
          <w:rFonts w:eastAsia="Calibri" w:cs="Times New Roman"/>
          <w:szCs w:val="24"/>
        </w:rPr>
        <w:t xml:space="preserve"> vēlējās saņemt</w:t>
      </w:r>
      <w:r w:rsidR="001374D0">
        <w:rPr>
          <w:rFonts w:eastAsia="Calibri" w:cs="Times New Roman"/>
          <w:szCs w:val="24"/>
        </w:rPr>
        <w:t xml:space="preserve">. Ņemot vērā </w:t>
      </w:r>
      <w:r w:rsidR="00602044">
        <w:rPr>
          <w:rFonts w:eastAsia="Calibri" w:cs="Times New Roman"/>
          <w:szCs w:val="24"/>
        </w:rPr>
        <w:t>izsniegto pierādījumu</w:t>
      </w:r>
      <w:r w:rsidR="001374D0">
        <w:rPr>
          <w:rFonts w:eastAsia="Calibri" w:cs="Times New Roman"/>
          <w:szCs w:val="24"/>
        </w:rPr>
        <w:t xml:space="preserve"> izmantošanas ierobežojumu</w:t>
      </w:r>
      <w:r w:rsidR="00866521">
        <w:rPr>
          <w:rFonts w:eastAsia="Calibri" w:cs="Times New Roman"/>
          <w:szCs w:val="24"/>
        </w:rPr>
        <w:t xml:space="preserve">, </w:t>
      </w:r>
      <w:r w:rsidR="001374D0">
        <w:rPr>
          <w:rFonts w:eastAsia="Calibri" w:cs="Times New Roman"/>
          <w:szCs w:val="24"/>
        </w:rPr>
        <w:t xml:space="preserve">jautājuma pakļautības noteikšanas </w:t>
      </w:r>
      <w:r w:rsidR="000A01AF">
        <w:rPr>
          <w:rFonts w:eastAsia="Calibri" w:cs="Times New Roman"/>
          <w:szCs w:val="24"/>
        </w:rPr>
        <w:t>nolūkā</w:t>
      </w:r>
      <w:r w:rsidR="001374D0">
        <w:rPr>
          <w:rFonts w:eastAsia="Calibri" w:cs="Times New Roman"/>
          <w:szCs w:val="24"/>
        </w:rPr>
        <w:t xml:space="preserve"> </w:t>
      </w:r>
      <w:r w:rsidR="00866521">
        <w:rPr>
          <w:rFonts w:eastAsia="Calibri" w:cs="Times New Roman"/>
          <w:szCs w:val="24"/>
        </w:rPr>
        <w:t xml:space="preserve">šo gadījumu var pielīdzināt </w:t>
      </w:r>
      <w:r w:rsidR="00602044">
        <w:rPr>
          <w:rFonts w:eastAsia="Calibri" w:cs="Times New Roman"/>
          <w:szCs w:val="24"/>
        </w:rPr>
        <w:t>pierādījumu</w:t>
      </w:r>
      <w:r w:rsidR="00866521">
        <w:rPr>
          <w:rFonts w:eastAsia="Calibri" w:cs="Times New Roman"/>
          <w:szCs w:val="24"/>
        </w:rPr>
        <w:t xml:space="preserve"> neizsniegšanai. </w:t>
      </w:r>
    </w:p>
    <w:p w14:paraId="62D44EF1" w14:textId="77777777" w:rsidR="00946AD8" w:rsidRDefault="00946AD8" w:rsidP="003367D2">
      <w:pPr>
        <w:tabs>
          <w:tab w:val="left" w:pos="1276"/>
        </w:tabs>
        <w:spacing w:after="0" w:line="276" w:lineRule="auto"/>
        <w:ind w:firstLine="720"/>
        <w:jc w:val="both"/>
        <w:rPr>
          <w:rFonts w:eastAsia="Calibri" w:cs="Times New Roman"/>
          <w:szCs w:val="24"/>
        </w:rPr>
      </w:pPr>
    </w:p>
    <w:p w14:paraId="4A216397" w14:textId="4C64E383" w:rsidR="00946AD8" w:rsidRDefault="00FA3B26"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8</w:t>
      </w:r>
      <w:r>
        <w:rPr>
          <w:rFonts w:eastAsia="Calibri" w:cs="Times New Roman"/>
          <w:szCs w:val="24"/>
        </w:rPr>
        <w:t xml:space="preserve">] Administratīvās rajona tiesas tiesnesis ir atzinis, ka šo jautājumu pilnībā noregulē </w:t>
      </w:r>
      <w:bookmarkStart w:id="6" w:name="_Hlk156822600"/>
      <w:r>
        <w:rPr>
          <w:rFonts w:eastAsia="Calibri" w:cs="Times New Roman"/>
          <w:szCs w:val="24"/>
        </w:rPr>
        <w:t xml:space="preserve">Civilprocesa likuma </w:t>
      </w:r>
      <w:r w:rsidRPr="005C040D">
        <w:rPr>
          <w:rFonts w:eastAsia="Calibri" w:cs="Times New Roman"/>
          <w:szCs w:val="24"/>
        </w:rPr>
        <w:t>30.</w:t>
      </w:r>
      <w:r w:rsidRPr="005C040D">
        <w:rPr>
          <w:rFonts w:eastAsia="Calibri" w:cs="Times New Roman"/>
          <w:szCs w:val="24"/>
          <w:vertAlign w:val="superscript"/>
        </w:rPr>
        <w:t>6</w:t>
      </w:r>
      <w:r w:rsidRPr="005C040D">
        <w:rPr>
          <w:rFonts w:eastAsia="Calibri" w:cs="Times New Roman"/>
          <w:szCs w:val="24"/>
        </w:rPr>
        <w:t>nodaļ</w:t>
      </w:r>
      <w:r>
        <w:rPr>
          <w:rFonts w:eastAsia="Calibri" w:cs="Times New Roman"/>
          <w:szCs w:val="24"/>
        </w:rPr>
        <w:t>a</w:t>
      </w:r>
      <w:bookmarkEnd w:id="6"/>
      <w:r>
        <w:rPr>
          <w:rFonts w:eastAsia="Calibri" w:cs="Times New Roman"/>
          <w:szCs w:val="24"/>
        </w:rPr>
        <w:t>, kas nosaka kārtību, kādā lietās par konkurences tiesību pārkāpuma rezultātā nodarīto zaudējumu atlīdzināšanu lietas dalībniek</w:t>
      </w:r>
      <w:r w:rsidR="000A01AF">
        <w:rPr>
          <w:rFonts w:eastAsia="Calibri" w:cs="Times New Roman"/>
          <w:szCs w:val="24"/>
        </w:rPr>
        <w:t>i</w:t>
      </w:r>
      <w:r>
        <w:rPr>
          <w:rFonts w:eastAsia="Calibri" w:cs="Times New Roman"/>
          <w:szCs w:val="24"/>
        </w:rPr>
        <w:t xml:space="preserve"> lūdz izprasīt </w:t>
      </w:r>
      <w:r w:rsidR="00602044">
        <w:rPr>
          <w:rFonts w:eastAsia="Calibri" w:cs="Times New Roman"/>
          <w:szCs w:val="24"/>
        </w:rPr>
        <w:t>pierādījumus</w:t>
      </w:r>
      <w:r>
        <w:rPr>
          <w:rFonts w:eastAsia="Calibri" w:cs="Times New Roman"/>
          <w:szCs w:val="24"/>
        </w:rPr>
        <w:t xml:space="preserve"> no konkurences iestādes vai trešajām pusēm, kā arī kārtību, kādā tiesa izlemj šo jautājumu.</w:t>
      </w:r>
    </w:p>
    <w:p w14:paraId="0DAD9AE6" w14:textId="7A3723ED" w:rsidR="00FA3B26" w:rsidRDefault="00FA3B26"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Senāts atzīst, ka rajona tiesas tiesneša </w:t>
      </w:r>
      <w:r w:rsidR="00866521">
        <w:rPr>
          <w:rFonts w:eastAsia="Calibri" w:cs="Times New Roman"/>
          <w:szCs w:val="24"/>
        </w:rPr>
        <w:t xml:space="preserve">lēmumā ietvertie </w:t>
      </w:r>
      <w:r>
        <w:rPr>
          <w:rFonts w:eastAsia="Calibri" w:cs="Times New Roman"/>
          <w:szCs w:val="24"/>
        </w:rPr>
        <w:t>argumenti un secinājumi</w:t>
      </w:r>
      <w:r w:rsidR="001374D0">
        <w:rPr>
          <w:rFonts w:eastAsia="Calibri" w:cs="Times New Roman"/>
          <w:szCs w:val="24"/>
        </w:rPr>
        <w:t xml:space="preserve">, kuri atreferēti </w:t>
      </w:r>
      <w:r w:rsidR="00721BE5" w:rsidRPr="00721BE5">
        <w:rPr>
          <w:rFonts w:eastAsia="Calibri" w:cs="Times New Roman"/>
          <w:szCs w:val="24"/>
        </w:rPr>
        <w:t>šī lēmuma 4.punkt</w:t>
      </w:r>
      <w:r w:rsidR="00721BE5">
        <w:rPr>
          <w:rFonts w:eastAsia="Calibri" w:cs="Times New Roman"/>
          <w:szCs w:val="24"/>
        </w:rPr>
        <w:t>ā</w:t>
      </w:r>
      <w:r w:rsidR="0028189B">
        <w:rPr>
          <w:rFonts w:eastAsia="Calibri" w:cs="Times New Roman"/>
          <w:szCs w:val="24"/>
        </w:rPr>
        <w:t>,</w:t>
      </w:r>
      <w:r w:rsidR="00721BE5">
        <w:rPr>
          <w:rFonts w:eastAsia="Calibri" w:cs="Times New Roman"/>
          <w:szCs w:val="24"/>
        </w:rPr>
        <w:t xml:space="preserve"> </w:t>
      </w:r>
      <w:r>
        <w:rPr>
          <w:rFonts w:eastAsia="Calibri" w:cs="Times New Roman"/>
          <w:szCs w:val="24"/>
        </w:rPr>
        <w:t>ir pareizi un pievienojas lēmuma motivācijai, to neatkārtojot. Attiecīgi arī rajona tiesas tiesneša atteik</w:t>
      </w:r>
      <w:r w:rsidR="00866521">
        <w:rPr>
          <w:rFonts w:eastAsia="Calibri" w:cs="Times New Roman"/>
          <w:szCs w:val="24"/>
        </w:rPr>
        <w:t>ums</w:t>
      </w:r>
      <w:r>
        <w:rPr>
          <w:rFonts w:eastAsia="Calibri" w:cs="Times New Roman"/>
          <w:szCs w:val="24"/>
        </w:rPr>
        <w:t xml:space="preserve"> pieņemt pieteikumu ir pamatots.</w:t>
      </w:r>
      <w:r w:rsidR="00866521">
        <w:rPr>
          <w:rFonts w:eastAsia="Calibri" w:cs="Times New Roman"/>
          <w:szCs w:val="24"/>
        </w:rPr>
        <w:t xml:space="preserve"> Atbildot uz pieteicējas blakus sūdzības argumentiem, papildus norādāms turpmāk minētais.</w:t>
      </w:r>
    </w:p>
    <w:p w14:paraId="6D4C40D6" w14:textId="77777777" w:rsidR="00866521" w:rsidRDefault="00866521" w:rsidP="003367D2">
      <w:pPr>
        <w:tabs>
          <w:tab w:val="left" w:pos="1276"/>
        </w:tabs>
        <w:spacing w:after="0" w:line="276" w:lineRule="auto"/>
        <w:ind w:firstLine="720"/>
        <w:jc w:val="both"/>
        <w:rPr>
          <w:rFonts w:eastAsia="Calibri" w:cs="Times New Roman"/>
          <w:szCs w:val="24"/>
        </w:rPr>
      </w:pPr>
    </w:p>
    <w:p w14:paraId="060C6FE9" w14:textId="7ECC4516" w:rsidR="00866521" w:rsidRDefault="00866521"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9</w:t>
      </w:r>
      <w:r>
        <w:rPr>
          <w:rFonts w:eastAsia="Calibri" w:cs="Times New Roman"/>
          <w:szCs w:val="24"/>
        </w:rPr>
        <w:t>] Pieteicēja blakus sūdzībā argumentē, ka Civilprocesa likums neizslēdz iestādes pienākumu izskatīt informācijas izsniegšanas iesniegumus atbilstoši Informācijas atklātības likuma prasībām.</w:t>
      </w:r>
    </w:p>
    <w:p w14:paraId="2A3EB117" w14:textId="12FE81B2" w:rsidR="00EC7620" w:rsidRDefault="00CD404B" w:rsidP="003367D2">
      <w:pPr>
        <w:spacing w:after="0" w:line="276" w:lineRule="auto"/>
        <w:ind w:firstLine="720"/>
        <w:jc w:val="both"/>
      </w:pPr>
      <w:r>
        <w:rPr>
          <w:rFonts w:eastAsia="Calibri" w:cs="Times New Roman"/>
          <w:szCs w:val="24"/>
        </w:rPr>
        <w:t>Senāts iepriekš ir atzinis, ka Informācijas atklātības likum</w:t>
      </w:r>
      <w:r w:rsidR="0028189B">
        <w:rPr>
          <w:rFonts w:eastAsia="Calibri" w:cs="Times New Roman"/>
          <w:szCs w:val="24"/>
        </w:rPr>
        <w:t>a</w:t>
      </w:r>
      <w:r>
        <w:rPr>
          <w:rFonts w:eastAsia="Calibri" w:cs="Times New Roman"/>
          <w:szCs w:val="24"/>
        </w:rPr>
        <w:t xml:space="preserve"> kārtībā personas var brīvi pieprasīt izsniegt arī tādu informāciju, kas tām nepieciešama savu tiesību aizsardzībai</w:t>
      </w:r>
      <w:r w:rsidR="0028189B">
        <w:rPr>
          <w:rFonts w:eastAsia="Calibri" w:cs="Times New Roman"/>
          <w:szCs w:val="24"/>
        </w:rPr>
        <w:t>,</w:t>
      </w:r>
      <w:r>
        <w:rPr>
          <w:rFonts w:eastAsia="Calibri" w:cs="Times New Roman"/>
          <w:szCs w:val="24"/>
        </w:rPr>
        <w:t xml:space="preserve"> tostarp tiesas procesos</w:t>
      </w:r>
      <w:r w:rsidR="0028189B">
        <w:rPr>
          <w:rFonts w:eastAsia="Calibri" w:cs="Times New Roman"/>
          <w:szCs w:val="24"/>
        </w:rPr>
        <w:t>.</w:t>
      </w:r>
      <w:r>
        <w:rPr>
          <w:rFonts w:eastAsia="Calibri" w:cs="Times New Roman"/>
          <w:szCs w:val="24"/>
        </w:rPr>
        <w:t xml:space="preserve"> </w:t>
      </w:r>
      <w:r w:rsidR="00EC7620">
        <w:rPr>
          <w:rFonts w:eastAsia="Calibri" w:cs="Times New Roman"/>
          <w:szCs w:val="24"/>
        </w:rPr>
        <w:t xml:space="preserve">Proti, </w:t>
      </w:r>
      <w:r w:rsidR="00EC7620">
        <w:rPr>
          <w:rFonts w:cs="Times New Roman"/>
          <w:color w:val="000000" w:themeColor="text1"/>
        </w:rPr>
        <w:t>a</w:t>
      </w:r>
      <w:r w:rsidR="00EC7620">
        <w:t xml:space="preserve">dministratīvā procesa dalībnieka statuss kādā </w:t>
      </w:r>
      <w:r w:rsidR="00EC7620">
        <w:lastRenderedPageBreak/>
        <w:t xml:space="preserve">lietā nevar liegt personai tiesības uz informāciju Informācijas atklātības likuma ietvaros. Ja procesa dalībnieks vēlas iegūt papildu ziņas – iespējams, arī jaunus pierādījumus, kas neatrodas jau ierosinātās administratīvās lietas materiālos –, bet iestāde liedz tiem pieeju, procesa dalībnieks ir tiesīgs vērsties tiesā ar </w:t>
      </w:r>
      <w:r w:rsidR="00EC7620" w:rsidRPr="00BD6782">
        <w:t>atsevišķu pieteikumu</w:t>
      </w:r>
      <w:r w:rsidR="00EC7620">
        <w:t>, aizstāvot Latvijas Republikas Satversmē un Informācijas atklātības likumā paredzētās</w:t>
      </w:r>
      <w:r w:rsidR="00EC7620" w:rsidRPr="00BD6782">
        <w:t xml:space="preserve"> tiesīb</w:t>
      </w:r>
      <w:r w:rsidR="00EC7620">
        <w:t>as uz</w:t>
      </w:r>
      <w:r w:rsidR="00EC7620" w:rsidRPr="00BD6782">
        <w:t xml:space="preserve"> informāciju</w:t>
      </w:r>
      <w:r w:rsidR="00EC7620">
        <w:t xml:space="preserve"> (</w:t>
      </w:r>
      <w:r w:rsidR="00EC7620" w:rsidRPr="00847E4F">
        <w:rPr>
          <w:i/>
          <w:iCs/>
        </w:rPr>
        <w:t xml:space="preserve">Senāta 2017.gada 20.janvāra lēmuma lietā </w:t>
      </w:r>
      <w:hyperlink r:id="rId10" w:history="1">
        <w:r w:rsidR="00EC7620" w:rsidRPr="00A9076B">
          <w:rPr>
            <w:rStyle w:val="Hyperlink"/>
            <w:i/>
            <w:iCs/>
          </w:rPr>
          <w:t>Nr. SKA-172/2017 (670015715)</w:t>
        </w:r>
      </w:hyperlink>
      <w:r w:rsidR="00EC7620" w:rsidRPr="00847E4F">
        <w:rPr>
          <w:i/>
          <w:iCs/>
        </w:rPr>
        <w:t xml:space="preserve"> </w:t>
      </w:r>
      <w:r w:rsidR="00EC7620">
        <w:rPr>
          <w:i/>
          <w:iCs/>
        </w:rPr>
        <w:t>8</w:t>
      </w:r>
      <w:r w:rsidR="00EC7620" w:rsidRPr="00847E4F">
        <w:rPr>
          <w:i/>
          <w:iCs/>
        </w:rPr>
        <w:t>.punkts</w:t>
      </w:r>
      <w:r w:rsidR="00EC7620">
        <w:t>).</w:t>
      </w:r>
    </w:p>
    <w:p w14:paraId="2E286B0D" w14:textId="2E676F5A" w:rsidR="00CD404B" w:rsidRDefault="00CD404B"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Vispārīgi tieši šāda situācija pastāv arī šajā gadījumā – pieteicēja vēlas iegūt </w:t>
      </w:r>
      <w:r w:rsidR="00602044">
        <w:rPr>
          <w:rFonts w:eastAsia="Calibri" w:cs="Times New Roman"/>
          <w:szCs w:val="24"/>
        </w:rPr>
        <w:t>pierādījumus</w:t>
      </w:r>
      <w:r>
        <w:rPr>
          <w:rFonts w:eastAsia="Calibri" w:cs="Times New Roman"/>
          <w:szCs w:val="24"/>
        </w:rPr>
        <w:t>, kas tai ļautu pamatot civilo prasību par konkurences tiesību pārkāpuma rezultātā radīto zaudējumu atlīdzināšanu.</w:t>
      </w:r>
    </w:p>
    <w:p w14:paraId="770559B8" w14:textId="39951963" w:rsidR="00CD404B" w:rsidRDefault="00CD404B"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Tomēr konkurences tiesību jomā gan direktīva, gan Civilprocesa likums, kurā direktīvas normas transponētas, paredz īpašu kārtību </w:t>
      </w:r>
      <w:r w:rsidR="00602044">
        <w:rPr>
          <w:rFonts w:eastAsia="Calibri" w:cs="Times New Roman"/>
          <w:szCs w:val="24"/>
        </w:rPr>
        <w:t>pierādījumu</w:t>
      </w:r>
      <w:r>
        <w:rPr>
          <w:rFonts w:eastAsia="Calibri" w:cs="Times New Roman"/>
          <w:szCs w:val="24"/>
        </w:rPr>
        <w:t xml:space="preserve"> iegūšanai no konkurences iestādes un šo jautājumu izsmeļoši noregulē. Tādēļ uz </w:t>
      </w:r>
      <w:r w:rsidR="00602044">
        <w:rPr>
          <w:rFonts w:eastAsia="Calibri" w:cs="Times New Roman"/>
          <w:szCs w:val="24"/>
        </w:rPr>
        <w:t>pierādījumu izprasīšanu</w:t>
      </w:r>
      <w:r>
        <w:rPr>
          <w:rFonts w:eastAsia="Calibri" w:cs="Times New Roman"/>
          <w:szCs w:val="24"/>
        </w:rPr>
        <w:t xml:space="preserve"> no Konkurences padomes lietas nolūkā pamatot zaudējumu atlīdzināšanas prasību nav attiecināms Informācijas atklātības likums. Tā kā š</w:t>
      </w:r>
      <w:r w:rsidR="0028189B">
        <w:rPr>
          <w:rFonts w:eastAsia="Calibri" w:cs="Times New Roman"/>
          <w:szCs w:val="24"/>
        </w:rPr>
        <w:t>ī</w:t>
      </w:r>
      <w:r>
        <w:rPr>
          <w:rFonts w:eastAsia="Calibri" w:cs="Times New Roman"/>
          <w:szCs w:val="24"/>
        </w:rPr>
        <w:t xml:space="preserve"> jautājuma izskatīšana notiek Civilprocesa likuma noteiktajā kārtībā, </w:t>
      </w:r>
      <w:r w:rsidR="0028189B">
        <w:rPr>
          <w:rFonts w:eastAsia="Calibri" w:cs="Times New Roman"/>
          <w:szCs w:val="24"/>
        </w:rPr>
        <w:t>tas</w:t>
      </w:r>
      <w:r>
        <w:rPr>
          <w:rFonts w:eastAsia="Calibri" w:cs="Times New Roman"/>
          <w:szCs w:val="24"/>
        </w:rPr>
        <w:t xml:space="preserve"> atsevišķi nav izskatāms administratīvā procesa kārtībā. </w:t>
      </w:r>
    </w:p>
    <w:p w14:paraId="75BA3905" w14:textId="0C09DE44" w:rsidR="00EC7620" w:rsidRDefault="00EC7620"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Tam ir racionāls pamats, kas redzams Zaudējumu atlīdzināšanas direktīvas ievada apsvērumos. </w:t>
      </w:r>
    </w:p>
    <w:p w14:paraId="30BDC7E1" w14:textId="7A5A54A5" w:rsidR="00EC7620" w:rsidRDefault="00EC7620"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Pirmkārt, </w:t>
      </w:r>
      <w:r w:rsidR="000A01AF">
        <w:rPr>
          <w:rFonts w:eastAsia="Calibri" w:cs="Times New Roman"/>
          <w:szCs w:val="24"/>
        </w:rPr>
        <w:t xml:space="preserve">Eiropas </w:t>
      </w:r>
      <w:r>
        <w:rPr>
          <w:rFonts w:eastAsia="Calibri" w:cs="Times New Roman"/>
          <w:szCs w:val="24"/>
        </w:rPr>
        <w:t xml:space="preserve">Savienības likumdevējs direktīvas 6.apsvērumā ir norādījis uz mērķi visā Savienībā vienādi regulēt </w:t>
      </w:r>
      <w:r w:rsidRPr="00EC7620">
        <w:rPr>
          <w:rFonts w:eastAsia="Calibri" w:cs="Times New Roman"/>
          <w:szCs w:val="24"/>
        </w:rPr>
        <w:t xml:space="preserve">kārtību, kādā ir pieejami konkurences iestāžu rīcībā esošie dokumenti. </w:t>
      </w:r>
      <w:r>
        <w:rPr>
          <w:rFonts w:eastAsia="Calibri" w:cs="Times New Roman"/>
          <w:szCs w:val="24"/>
        </w:rPr>
        <w:t>Līdz ar citiem instrumentiem tas nepieciešams, lai</w:t>
      </w:r>
      <w:r w:rsidRPr="00EC7620">
        <w:rPr>
          <w:rFonts w:eastAsia="Calibri" w:cs="Times New Roman"/>
          <w:szCs w:val="24"/>
        </w:rPr>
        <w:t xml:space="preserve"> </w:t>
      </w:r>
      <w:r>
        <w:rPr>
          <w:rFonts w:eastAsia="Calibri" w:cs="Times New Roman"/>
          <w:szCs w:val="24"/>
        </w:rPr>
        <w:t xml:space="preserve">mijiedarbībā un koordinēti </w:t>
      </w:r>
      <w:r w:rsidRPr="00EC7620">
        <w:rPr>
          <w:rFonts w:eastAsia="Calibri" w:cs="Times New Roman"/>
          <w:szCs w:val="24"/>
        </w:rPr>
        <w:t>garantētu efektīvu privāttiesisko izpildi civiltiesiskām prasībām un efektīvu publiski tiesisko īstenošanu no konkurences iestāžu puses</w:t>
      </w:r>
      <w:r>
        <w:rPr>
          <w:rFonts w:eastAsia="Calibri" w:cs="Times New Roman"/>
          <w:szCs w:val="24"/>
        </w:rPr>
        <w:t xml:space="preserve"> un tādējādi </w:t>
      </w:r>
      <w:r w:rsidRPr="00EC7620">
        <w:rPr>
          <w:rFonts w:eastAsia="Calibri" w:cs="Times New Roman"/>
          <w:szCs w:val="24"/>
        </w:rPr>
        <w:t>novērs</w:t>
      </w:r>
      <w:r>
        <w:rPr>
          <w:rFonts w:eastAsia="Calibri" w:cs="Times New Roman"/>
          <w:szCs w:val="24"/>
        </w:rPr>
        <w:t>tu</w:t>
      </w:r>
      <w:r w:rsidRPr="00EC7620">
        <w:rPr>
          <w:rFonts w:eastAsia="Calibri" w:cs="Times New Roman"/>
          <w:szCs w:val="24"/>
        </w:rPr>
        <w:t xml:space="preserve"> piemērojamo noteikumu atšķirības, kuras varētu apdraudēt iekšējā tirgus pienācīgu darbību.</w:t>
      </w:r>
    </w:p>
    <w:p w14:paraId="5C29A761" w14:textId="7AEE295D" w:rsidR="00671DC6" w:rsidRDefault="0028189B" w:rsidP="003367D2">
      <w:pPr>
        <w:tabs>
          <w:tab w:val="left" w:pos="1276"/>
        </w:tabs>
        <w:spacing w:after="0" w:line="276" w:lineRule="auto"/>
        <w:ind w:firstLine="720"/>
        <w:jc w:val="both"/>
        <w:rPr>
          <w:rFonts w:eastAsia="Calibri" w:cs="Times New Roman"/>
          <w:szCs w:val="24"/>
        </w:rPr>
      </w:pPr>
      <w:r>
        <w:rPr>
          <w:rFonts w:eastAsia="Calibri" w:cs="Times New Roman"/>
          <w:szCs w:val="24"/>
        </w:rPr>
        <w:t>Senāts secina</w:t>
      </w:r>
      <w:r w:rsidR="00671DC6">
        <w:rPr>
          <w:rFonts w:eastAsia="Calibri" w:cs="Times New Roman"/>
          <w:szCs w:val="24"/>
        </w:rPr>
        <w:t xml:space="preserve">, ka direktīvā ietvertais mehānisms </w:t>
      </w:r>
      <w:r w:rsidR="00602044">
        <w:rPr>
          <w:rFonts w:eastAsia="Calibri" w:cs="Times New Roman"/>
          <w:szCs w:val="24"/>
        </w:rPr>
        <w:t>pierādījumu</w:t>
      </w:r>
      <w:r w:rsidR="00671DC6">
        <w:rPr>
          <w:rFonts w:eastAsia="Calibri" w:cs="Times New Roman"/>
          <w:szCs w:val="24"/>
        </w:rPr>
        <w:t xml:space="preserve"> izprasīšanai ir paredzēts kā visā </w:t>
      </w:r>
      <w:r w:rsidR="000A01AF">
        <w:rPr>
          <w:rFonts w:eastAsia="Calibri" w:cs="Times New Roman"/>
          <w:szCs w:val="24"/>
        </w:rPr>
        <w:t xml:space="preserve">Eiropas </w:t>
      </w:r>
      <w:r w:rsidR="00671DC6">
        <w:rPr>
          <w:rFonts w:eastAsia="Calibri" w:cs="Times New Roman"/>
          <w:szCs w:val="24"/>
        </w:rPr>
        <w:t xml:space="preserve">Savienībā vienādots konkrēta veida </w:t>
      </w:r>
      <w:r w:rsidR="00602044">
        <w:rPr>
          <w:rFonts w:eastAsia="Calibri" w:cs="Times New Roman"/>
          <w:szCs w:val="24"/>
        </w:rPr>
        <w:t>pierādījumu</w:t>
      </w:r>
      <w:r w:rsidR="00671DC6">
        <w:rPr>
          <w:rFonts w:eastAsia="Calibri" w:cs="Times New Roman"/>
          <w:szCs w:val="24"/>
        </w:rPr>
        <w:t xml:space="preserve"> izprasīšanas regulējums tieši tādiem nolūkiem, kādi ir arī pieteicējai – zaudējumu atlīdzināšanas prasības celšanai. Ja katrā dalībvalstī </w:t>
      </w:r>
      <w:r w:rsidR="00602044">
        <w:rPr>
          <w:rFonts w:eastAsia="Calibri" w:cs="Times New Roman"/>
          <w:szCs w:val="24"/>
        </w:rPr>
        <w:t>šādu pierādījumu</w:t>
      </w:r>
      <w:r w:rsidR="00671DC6">
        <w:rPr>
          <w:rFonts w:eastAsia="Calibri" w:cs="Times New Roman"/>
          <w:szCs w:val="24"/>
        </w:rPr>
        <w:t xml:space="preserve"> izprasīšana </w:t>
      </w:r>
      <w:r>
        <w:rPr>
          <w:rFonts w:eastAsia="Calibri" w:cs="Times New Roman"/>
          <w:szCs w:val="24"/>
        </w:rPr>
        <w:t xml:space="preserve">papildus </w:t>
      </w:r>
      <w:r w:rsidR="00671DC6">
        <w:rPr>
          <w:rFonts w:eastAsia="Calibri" w:cs="Times New Roman"/>
          <w:szCs w:val="24"/>
        </w:rPr>
        <w:t xml:space="preserve">notiktu </w:t>
      </w:r>
      <w:r>
        <w:rPr>
          <w:rFonts w:eastAsia="Calibri" w:cs="Times New Roman"/>
          <w:szCs w:val="24"/>
        </w:rPr>
        <w:t xml:space="preserve">ar </w:t>
      </w:r>
      <w:r w:rsidR="00671DC6">
        <w:rPr>
          <w:rFonts w:eastAsia="Calibri" w:cs="Times New Roman"/>
          <w:szCs w:val="24"/>
        </w:rPr>
        <w:t>citiem mehānismiem, tas varētu apdraudēt š</w:t>
      </w:r>
      <w:r w:rsidR="000A01AF">
        <w:rPr>
          <w:rFonts w:eastAsia="Calibri" w:cs="Times New Roman"/>
          <w:szCs w:val="24"/>
        </w:rPr>
        <w:t>ī</w:t>
      </w:r>
      <w:r w:rsidR="00671DC6">
        <w:rPr>
          <w:rFonts w:eastAsia="Calibri" w:cs="Times New Roman"/>
          <w:szCs w:val="24"/>
        </w:rPr>
        <w:t xml:space="preserve"> </w:t>
      </w:r>
      <w:r w:rsidR="000A01AF">
        <w:rPr>
          <w:rFonts w:eastAsia="Calibri" w:cs="Times New Roman"/>
          <w:szCs w:val="24"/>
        </w:rPr>
        <w:t xml:space="preserve">Eiropas </w:t>
      </w:r>
      <w:r w:rsidR="00671DC6">
        <w:rPr>
          <w:rFonts w:eastAsia="Calibri" w:cs="Times New Roman"/>
          <w:szCs w:val="24"/>
        </w:rPr>
        <w:t xml:space="preserve">Savienības regulējuma lietderīgo iedarbību. </w:t>
      </w:r>
      <w:r w:rsidR="00F24BED" w:rsidRPr="00F24BED">
        <w:rPr>
          <w:rFonts w:eastAsia="Calibri" w:cs="Times New Roman"/>
          <w:szCs w:val="24"/>
        </w:rPr>
        <w:t xml:space="preserve">Jāpieņem, ka Eiropas Savienības likumdevējs direktīvas mērķu sasniegšanu ir paredzējis tieši tādā veidā un tiktāl, kā tas noregulēts ar šo direktīvu. Līdz ar to ir nepamatoti apgalvot, ka direktīvas mērķis </w:t>
      </w:r>
      <w:r w:rsidR="00F24BED">
        <w:rPr>
          <w:rFonts w:eastAsia="Calibri" w:cs="Times New Roman"/>
          <w:szCs w:val="24"/>
        </w:rPr>
        <w:t xml:space="preserve">– sniegt efektīvu iespēju atgūt ar konkurences tiesību pārkāpumu radītos zaudējumu – </w:t>
      </w:r>
      <w:r w:rsidR="00F24BED" w:rsidRPr="00F24BED">
        <w:rPr>
          <w:rFonts w:eastAsia="Calibri" w:cs="Times New Roman"/>
          <w:szCs w:val="24"/>
        </w:rPr>
        <w:t>ir apdraudēts ar to, ka nepastāv vēl kāds cits instruments, kas paredzētu vēl kādu citu kārtību papildus direktīvā tieši paredzētajai. Pieteicēja nav norādījusi, tieši kuras direktīvas normas vai direktīvā paredzēts mehānisms nebūtu ieviests Latvijas tiesībās.</w:t>
      </w:r>
    </w:p>
    <w:p w14:paraId="460DD6FD" w14:textId="5E340622" w:rsidR="00AF72AD" w:rsidRDefault="00AF72AD"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Otrkārt, kā </w:t>
      </w:r>
      <w:r w:rsidR="0028189B">
        <w:rPr>
          <w:rFonts w:eastAsia="Calibri" w:cs="Times New Roman"/>
          <w:szCs w:val="24"/>
        </w:rPr>
        <w:t>skaidrots</w:t>
      </w:r>
      <w:r>
        <w:rPr>
          <w:rFonts w:eastAsia="Calibri" w:cs="Times New Roman"/>
          <w:szCs w:val="24"/>
        </w:rPr>
        <w:t xml:space="preserve"> direktīvas 16.apsvērum</w:t>
      </w:r>
      <w:r w:rsidR="0028189B">
        <w:rPr>
          <w:rFonts w:eastAsia="Calibri" w:cs="Times New Roman"/>
          <w:szCs w:val="24"/>
        </w:rPr>
        <w:t>ā</w:t>
      </w:r>
      <w:r>
        <w:rPr>
          <w:rFonts w:eastAsia="Calibri" w:cs="Times New Roman"/>
          <w:szCs w:val="24"/>
        </w:rPr>
        <w:t xml:space="preserve">, šis </w:t>
      </w:r>
      <w:r w:rsidR="000A01AF">
        <w:rPr>
          <w:rFonts w:eastAsia="Calibri" w:cs="Times New Roman"/>
          <w:szCs w:val="24"/>
        </w:rPr>
        <w:t xml:space="preserve">Eiropas </w:t>
      </w:r>
      <w:r>
        <w:rPr>
          <w:rFonts w:eastAsia="Calibri" w:cs="Times New Roman"/>
          <w:szCs w:val="24"/>
        </w:rPr>
        <w:t xml:space="preserve">Savienības regulējums </w:t>
      </w:r>
      <w:r w:rsidR="007962F2">
        <w:rPr>
          <w:rFonts w:eastAsia="Calibri" w:cs="Times New Roman"/>
          <w:szCs w:val="24"/>
        </w:rPr>
        <w:t>ir vērsts uz to, lai v</w:t>
      </w:r>
      <w:r w:rsidR="007962F2" w:rsidRPr="00AF72AD">
        <w:rPr>
          <w:rFonts w:eastAsia="Calibri" w:cs="Times New Roman"/>
          <w:szCs w:val="24"/>
        </w:rPr>
        <w:t>alsts ties</w:t>
      </w:r>
      <w:r w:rsidR="007962F2">
        <w:rPr>
          <w:rFonts w:eastAsia="Calibri" w:cs="Times New Roman"/>
          <w:szCs w:val="24"/>
        </w:rPr>
        <w:t>as spētu</w:t>
      </w:r>
      <w:r w:rsidR="007962F2" w:rsidRPr="00AF72AD">
        <w:rPr>
          <w:rFonts w:eastAsia="Calibri" w:cs="Times New Roman"/>
          <w:szCs w:val="24"/>
        </w:rPr>
        <w:t xml:space="preserve">, piemērojot stingru kontroli, jo īpaši attiecībā uz izprasīšanas pasākuma nepieciešamību un samērīgumu, pēc puses lūguma izprasīt konkrētus pierādījumus vai pierādījumu kategorijas. </w:t>
      </w:r>
      <w:r w:rsidR="007962F2">
        <w:rPr>
          <w:rFonts w:eastAsia="Calibri" w:cs="Times New Roman"/>
          <w:szCs w:val="24"/>
        </w:rPr>
        <w:t xml:space="preserve">Jāņem arī vērā, ka direktīvā, paredzot konkurences iestādes lietas materiālu izprasīšanu, </w:t>
      </w:r>
      <w:r>
        <w:rPr>
          <w:rFonts w:eastAsia="Calibri" w:cs="Times New Roman"/>
          <w:szCs w:val="24"/>
        </w:rPr>
        <w:t xml:space="preserve">ir </w:t>
      </w:r>
      <w:r w:rsidR="0028189B">
        <w:rPr>
          <w:rFonts w:eastAsia="Calibri" w:cs="Times New Roman"/>
          <w:szCs w:val="24"/>
        </w:rPr>
        <w:t xml:space="preserve">apsvērta </w:t>
      </w:r>
      <w:r w:rsidR="002A3AAC">
        <w:rPr>
          <w:rFonts w:eastAsia="Calibri" w:cs="Times New Roman"/>
          <w:szCs w:val="24"/>
        </w:rPr>
        <w:t>gan</w:t>
      </w:r>
      <w:r>
        <w:rPr>
          <w:rFonts w:eastAsia="Calibri" w:cs="Times New Roman"/>
          <w:szCs w:val="24"/>
        </w:rPr>
        <w:t xml:space="preserve"> konkurences lietās vērojam</w:t>
      </w:r>
      <w:r w:rsidR="007962F2">
        <w:rPr>
          <w:rFonts w:eastAsia="Calibri" w:cs="Times New Roman"/>
          <w:szCs w:val="24"/>
        </w:rPr>
        <w:t>ā</w:t>
      </w:r>
      <w:r>
        <w:rPr>
          <w:rFonts w:eastAsia="Calibri" w:cs="Times New Roman"/>
          <w:szCs w:val="24"/>
        </w:rPr>
        <w:t xml:space="preserve"> informācijas asimetrij</w:t>
      </w:r>
      <w:r w:rsidR="000A01AF">
        <w:rPr>
          <w:rFonts w:eastAsia="Calibri" w:cs="Times New Roman"/>
          <w:szCs w:val="24"/>
        </w:rPr>
        <w:t>a</w:t>
      </w:r>
      <w:r>
        <w:rPr>
          <w:rFonts w:eastAsia="Calibri" w:cs="Times New Roman"/>
          <w:szCs w:val="24"/>
        </w:rPr>
        <w:t xml:space="preserve"> (direktīvas 15.apsvērums)</w:t>
      </w:r>
      <w:r w:rsidR="002A3AAC">
        <w:rPr>
          <w:rFonts w:eastAsia="Calibri" w:cs="Times New Roman"/>
          <w:szCs w:val="24"/>
        </w:rPr>
        <w:t>,</w:t>
      </w:r>
      <w:r>
        <w:rPr>
          <w:rFonts w:eastAsia="Calibri" w:cs="Times New Roman"/>
          <w:szCs w:val="24"/>
        </w:rPr>
        <w:t xml:space="preserve"> </w:t>
      </w:r>
      <w:r w:rsidR="007962F2">
        <w:rPr>
          <w:rFonts w:eastAsia="Calibri" w:cs="Times New Roman"/>
          <w:szCs w:val="24"/>
        </w:rPr>
        <w:t xml:space="preserve">gan </w:t>
      </w:r>
      <w:r w:rsidR="002A3AAC">
        <w:rPr>
          <w:rFonts w:eastAsia="Calibri" w:cs="Times New Roman"/>
          <w:szCs w:val="24"/>
        </w:rPr>
        <w:t>nepieciešamīb</w:t>
      </w:r>
      <w:r w:rsidR="007962F2">
        <w:rPr>
          <w:rFonts w:eastAsia="Calibri" w:cs="Times New Roman"/>
          <w:szCs w:val="24"/>
        </w:rPr>
        <w:t>a</w:t>
      </w:r>
      <w:r w:rsidR="002A3AAC">
        <w:rPr>
          <w:rFonts w:eastAsia="Calibri" w:cs="Times New Roman"/>
          <w:szCs w:val="24"/>
        </w:rPr>
        <w:t xml:space="preserve"> aizsargāt konfidenciālu informāciju</w:t>
      </w:r>
      <w:r>
        <w:rPr>
          <w:rFonts w:eastAsia="Calibri" w:cs="Times New Roman"/>
          <w:szCs w:val="24"/>
        </w:rPr>
        <w:t xml:space="preserve"> (komercnoslēpum</w:t>
      </w:r>
      <w:r w:rsidR="002A3AAC">
        <w:rPr>
          <w:rFonts w:eastAsia="Calibri" w:cs="Times New Roman"/>
          <w:szCs w:val="24"/>
        </w:rPr>
        <w:t>u</w:t>
      </w:r>
      <w:r>
        <w:rPr>
          <w:rFonts w:eastAsia="Calibri" w:cs="Times New Roman"/>
          <w:szCs w:val="24"/>
        </w:rPr>
        <w:t xml:space="preserve"> u.c.) (direktīvas 18.apsvērums)</w:t>
      </w:r>
      <w:r w:rsidR="007962F2">
        <w:rPr>
          <w:rFonts w:eastAsia="Calibri" w:cs="Times New Roman"/>
          <w:szCs w:val="24"/>
        </w:rPr>
        <w:t xml:space="preserve"> </w:t>
      </w:r>
      <w:r w:rsidR="0028189B">
        <w:rPr>
          <w:rFonts w:eastAsia="Calibri" w:cs="Times New Roman"/>
          <w:szCs w:val="24"/>
        </w:rPr>
        <w:t>un</w:t>
      </w:r>
      <w:r>
        <w:rPr>
          <w:rFonts w:eastAsia="Calibri" w:cs="Times New Roman"/>
          <w:szCs w:val="24"/>
        </w:rPr>
        <w:t xml:space="preserve"> </w:t>
      </w:r>
      <w:r w:rsidR="002A3AAC">
        <w:rPr>
          <w:rFonts w:eastAsia="Calibri" w:cs="Times New Roman"/>
          <w:szCs w:val="24"/>
        </w:rPr>
        <w:t>nepieļaut „</w:t>
      </w:r>
      <w:r w:rsidR="002A3AAC" w:rsidRPr="002A3AAC">
        <w:rPr>
          <w:rFonts w:eastAsia="Calibri" w:cs="Times New Roman"/>
          <w:szCs w:val="24"/>
        </w:rPr>
        <w:t>informācijas makšķerēšanu”</w:t>
      </w:r>
      <w:r w:rsidR="002A3AAC">
        <w:rPr>
          <w:rFonts w:eastAsia="Calibri" w:cs="Times New Roman"/>
          <w:szCs w:val="24"/>
        </w:rPr>
        <w:t xml:space="preserve"> (direktīvas 23.apsvērums) vai pierādījumu </w:t>
      </w:r>
      <w:r w:rsidR="002A3AAC">
        <w:rPr>
          <w:rFonts w:eastAsia="Calibri" w:cs="Times New Roman"/>
          <w:szCs w:val="24"/>
        </w:rPr>
        <w:lastRenderedPageBreak/>
        <w:t xml:space="preserve">kļūšanu par tirgošanās priekšmetu (direktīvas 32.apsvērums), </w:t>
      </w:r>
      <w:r w:rsidR="00721BE5">
        <w:rPr>
          <w:rFonts w:eastAsia="Calibri" w:cs="Times New Roman"/>
          <w:szCs w:val="24"/>
        </w:rPr>
        <w:t xml:space="preserve">gan arī </w:t>
      </w:r>
      <w:r w:rsidR="002A3AAC">
        <w:rPr>
          <w:rFonts w:eastAsia="Calibri" w:cs="Times New Roman"/>
          <w:szCs w:val="24"/>
        </w:rPr>
        <w:t>konkurences iestādes izmeklēšanas intereses (direktīvas 25.apsvērums)</w:t>
      </w:r>
      <w:r w:rsidR="007962F2">
        <w:rPr>
          <w:rFonts w:eastAsia="Calibri" w:cs="Times New Roman"/>
          <w:szCs w:val="24"/>
        </w:rPr>
        <w:t xml:space="preserve">. </w:t>
      </w:r>
      <w:r w:rsidR="00721BE5">
        <w:rPr>
          <w:rFonts w:eastAsia="Calibri" w:cs="Times New Roman"/>
          <w:szCs w:val="24"/>
        </w:rPr>
        <w:t xml:space="preserve">Attiecīgi direktīvas 6.pants paredz tiesas pienākumu izdarīt visai plašus apsvērumus, izlemjot par </w:t>
      </w:r>
      <w:r w:rsidR="003E707B">
        <w:rPr>
          <w:rFonts w:eastAsia="Calibri" w:cs="Times New Roman"/>
          <w:szCs w:val="24"/>
        </w:rPr>
        <w:t>pierādījumu</w:t>
      </w:r>
      <w:r w:rsidR="00721BE5">
        <w:rPr>
          <w:rFonts w:eastAsia="Calibri" w:cs="Times New Roman"/>
          <w:szCs w:val="24"/>
        </w:rPr>
        <w:t xml:space="preserve"> </w:t>
      </w:r>
      <w:r w:rsidR="003E707B">
        <w:rPr>
          <w:rFonts w:eastAsia="Calibri" w:cs="Times New Roman"/>
          <w:szCs w:val="24"/>
        </w:rPr>
        <w:t>iz</w:t>
      </w:r>
      <w:r w:rsidR="00721BE5">
        <w:rPr>
          <w:rFonts w:eastAsia="Calibri" w:cs="Times New Roman"/>
          <w:szCs w:val="24"/>
        </w:rPr>
        <w:t>prasīšanu no konkurences iestādes materiāliem.</w:t>
      </w:r>
      <w:r w:rsidR="0028189B">
        <w:rPr>
          <w:rFonts w:eastAsia="Calibri" w:cs="Times New Roman"/>
          <w:szCs w:val="24"/>
        </w:rPr>
        <w:t xml:space="preserve"> Direktīvas normas ir transponētas tieši Civilprocesa likumā un ietilpst tās tiesas kompetencē, kas izskata zaudējumu atlīdzināšanas prasību par konkurences tiesību pārkāpumu.</w:t>
      </w:r>
    </w:p>
    <w:p w14:paraId="6F2E71AA" w14:textId="5D7F4A1B" w:rsidR="00AF72AD" w:rsidRPr="00AF72AD" w:rsidRDefault="00F862F9" w:rsidP="003367D2">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ņ</w:t>
      </w:r>
      <w:r w:rsidR="00AF72AD">
        <w:rPr>
          <w:rFonts w:eastAsia="Times New Roman" w:cs="Times New Roman"/>
          <w:szCs w:val="24"/>
          <w:lang w:eastAsia="lv-LV"/>
        </w:rPr>
        <w:t xml:space="preserve">em vērā, ka konkurences lietās </w:t>
      </w:r>
      <w:r w:rsidR="003E707B">
        <w:rPr>
          <w:rFonts w:eastAsia="Times New Roman" w:cs="Times New Roman"/>
          <w:szCs w:val="24"/>
          <w:lang w:eastAsia="lv-LV"/>
        </w:rPr>
        <w:t>iegūtās informācijas</w:t>
      </w:r>
      <w:r w:rsidR="00AF72AD">
        <w:rPr>
          <w:rFonts w:eastAsia="Times New Roman" w:cs="Times New Roman"/>
          <w:szCs w:val="24"/>
          <w:lang w:eastAsia="lv-LV"/>
        </w:rPr>
        <w:t xml:space="preserve"> konfidenciālā rakstura dēļ j</w:t>
      </w:r>
      <w:r w:rsidR="00AF72AD" w:rsidRPr="00AF72AD">
        <w:rPr>
          <w:rFonts w:eastAsia="Times New Roman" w:cs="Times New Roman"/>
          <w:szCs w:val="24"/>
          <w:lang w:eastAsia="lv-LV"/>
        </w:rPr>
        <w:t xml:space="preserve">autājums par konkrētu lietas materiālu un informācijas pieejamību konkrētiem procesa dalībniekiem ir viens no būtiskākajiem procesā risināmajiem jautājumiem, ar ko tiesa saskaras, </w:t>
      </w:r>
      <w:r w:rsidR="00AF72AD">
        <w:rPr>
          <w:rFonts w:eastAsia="Times New Roman" w:cs="Times New Roman"/>
          <w:szCs w:val="24"/>
          <w:lang w:eastAsia="lv-LV"/>
        </w:rPr>
        <w:t xml:space="preserve">gan </w:t>
      </w:r>
      <w:r w:rsidR="00AF72AD" w:rsidRPr="00AF72AD">
        <w:rPr>
          <w:rFonts w:eastAsia="Times New Roman" w:cs="Times New Roman"/>
          <w:szCs w:val="24"/>
          <w:lang w:eastAsia="lv-LV"/>
        </w:rPr>
        <w:t>izskatot lietu par Konkurences padomes lēmumu tiesiskumu</w:t>
      </w:r>
      <w:r w:rsidR="00AF72AD">
        <w:rPr>
          <w:rFonts w:eastAsia="Times New Roman" w:cs="Times New Roman"/>
          <w:szCs w:val="24"/>
          <w:lang w:eastAsia="lv-LV"/>
        </w:rPr>
        <w:t>, gan</w:t>
      </w:r>
      <w:r w:rsidR="00AF72AD" w:rsidRPr="00AF72AD">
        <w:rPr>
          <w:rFonts w:eastAsia="Times New Roman" w:cs="Times New Roman"/>
          <w:szCs w:val="24"/>
          <w:lang w:eastAsia="lv-LV"/>
        </w:rPr>
        <w:t xml:space="preserve"> par konkurences tiesību pārkāpumu rezultātā radīto zaudējumu piedziņu. Tiesai</w:t>
      </w:r>
      <w:r w:rsidR="00AF72AD">
        <w:rPr>
          <w:rFonts w:eastAsia="Times New Roman" w:cs="Times New Roman"/>
          <w:szCs w:val="24"/>
          <w:lang w:eastAsia="lv-LV"/>
        </w:rPr>
        <w:t xml:space="preserve"> abos gadījumos</w:t>
      </w:r>
      <w:r w:rsidR="00AF72AD" w:rsidRPr="00AF72AD">
        <w:rPr>
          <w:rFonts w:eastAsia="Times New Roman" w:cs="Times New Roman"/>
          <w:szCs w:val="24"/>
          <w:lang w:eastAsia="lv-LV"/>
        </w:rPr>
        <w:t xml:space="preserve"> ir jāvērtē gan informācijas aizsardzības un līdz ar to ierobežojumu iepazīties mērķis un aizsardzības robežas, gan to personu intereses, kuras vēlas ar informāciju iepazīties un to izmantot, atsaucoties uz savu tiesību aizsardzības nepieciešamību. Tas arī nozīmē, ka tieši tiesa, kas izskata pamatlietu</w:t>
      </w:r>
      <w:r w:rsidR="00AF72AD">
        <w:rPr>
          <w:rFonts w:eastAsia="Times New Roman" w:cs="Times New Roman"/>
          <w:szCs w:val="24"/>
          <w:lang w:eastAsia="lv-LV"/>
        </w:rPr>
        <w:t xml:space="preserve"> (šajā gadījumā </w:t>
      </w:r>
      <w:r>
        <w:rPr>
          <w:rFonts w:eastAsia="Times New Roman" w:cs="Times New Roman"/>
          <w:szCs w:val="24"/>
          <w:lang w:eastAsia="lv-LV"/>
        </w:rPr>
        <w:t>–</w:t>
      </w:r>
      <w:r w:rsidR="00AF72AD">
        <w:rPr>
          <w:rFonts w:eastAsia="Times New Roman" w:cs="Times New Roman"/>
          <w:szCs w:val="24"/>
          <w:lang w:eastAsia="lv-LV"/>
        </w:rPr>
        <w:t xml:space="preserve"> </w:t>
      </w:r>
      <w:r>
        <w:rPr>
          <w:rFonts w:eastAsia="Times New Roman" w:cs="Times New Roman"/>
          <w:szCs w:val="24"/>
          <w:lang w:eastAsia="lv-LV"/>
        </w:rPr>
        <w:t>civillietu)</w:t>
      </w:r>
      <w:r w:rsidR="00AF72AD" w:rsidRPr="00AF72AD">
        <w:rPr>
          <w:rFonts w:eastAsia="Times New Roman" w:cs="Times New Roman"/>
          <w:szCs w:val="24"/>
          <w:lang w:eastAsia="lv-LV"/>
        </w:rPr>
        <w:t xml:space="preserve">, vienīgā ir tajā situācijā, kas var patiesi šīs intereses novērtēt un samērot, jo vienīgā redz visu lietas kontekstu un katra pierādījuma un informācijas nozīmi, zinot to, kādi apstākļi pamatlietā ir nozīmīgi. </w:t>
      </w:r>
      <w:r>
        <w:rPr>
          <w:rFonts w:eastAsia="Times New Roman" w:cs="Times New Roman"/>
          <w:szCs w:val="24"/>
          <w:lang w:eastAsia="lv-LV"/>
        </w:rPr>
        <w:t xml:space="preserve">Tas attaisno Civilprocesa likumā ietvertā regulējuma kā izsmeļoša speciālā regulējuma piemērošanu gadījumos, kad persona, kas ceļ zaudējumu atlīdzināšanas prasību par konkurences tiesību pārkāpumu, vēlas panākt </w:t>
      </w:r>
      <w:r w:rsidR="003E707B">
        <w:rPr>
          <w:rFonts w:eastAsia="Times New Roman" w:cs="Times New Roman"/>
          <w:szCs w:val="24"/>
          <w:lang w:eastAsia="lv-LV"/>
        </w:rPr>
        <w:t>pierādījumu iegūšanu</w:t>
      </w:r>
      <w:r>
        <w:rPr>
          <w:rFonts w:eastAsia="Times New Roman" w:cs="Times New Roman"/>
          <w:szCs w:val="24"/>
          <w:lang w:eastAsia="lv-LV"/>
        </w:rPr>
        <w:t xml:space="preserve"> no Konkurences padomes lietas.</w:t>
      </w:r>
      <w:r w:rsidR="00697A24">
        <w:rPr>
          <w:rFonts w:eastAsia="Times New Roman" w:cs="Times New Roman"/>
          <w:szCs w:val="24"/>
          <w:lang w:eastAsia="lv-LV"/>
        </w:rPr>
        <w:t xml:space="preserve"> Tas nozīmē arī to, ka izskatāmajā gadījumā Konkurences padomes noteiktais ierobežojums pieteicējai izsniegto</w:t>
      </w:r>
      <w:r w:rsidR="003E707B">
        <w:rPr>
          <w:rFonts w:eastAsia="Times New Roman" w:cs="Times New Roman"/>
          <w:szCs w:val="24"/>
          <w:lang w:eastAsia="lv-LV"/>
        </w:rPr>
        <w:t>s pierādījumus</w:t>
      </w:r>
      <w:r w:rsidR="00697A24">
        <w:rPr>
          <w:rFonts w:eastAsia="Times New Roman" w:cs="Times New Roman"/>
          <w:szCs w:val="24"/>
          <w:lang w:eastAsia="lv-LV"/>
        </w:rPr>
        <w:t xml:space="preserve"> izmantot tālāk, ir adresēts vienīgi pašai pieteicējai un nevar ierobežot civillietu izskatošās tiesas kompetenci izlemt jautājumu par </w:t>
      </w:r>
      <w:r w:rsidR="003E707B">
        <w:rPr>
          <w:rFonts w:eastAsia="Times New Roman" w:cs="Times New Roman"/>
          <w:szCs w:val="24"/>
          <w:lang w:eastAsia="lv-LV"/>
        </w:rPr>
        <w:t>pierādījumu</w:t>
      </w:r>
      <w:r w:rsidR="00697A24">
        <w:rPr>
          <w:rFonts w:eastAsia="Times New Roman" w:cs="Times New Roman"/>
          <w:szCs w:val="24"/>
          <w:lang w:eastAsia="lv-LV"/>
        </w:rPr>
        <w:t xml:space="preserve"> izprasīšanu brīvi un atbilstoši Civilprocesa likuma regulējuma. Proti, Konkurences padomes </w:t>
      </w:r>
      <w:r w:rsidR="000A01AF">
        <w:rPr>
          <w:rFonts w:eastAsia="Times New Roman" w:cs="Times New Roman"/>
          <w:szCs w:val="24"/>
          <w:lang w:eastAsia="lv-LV"/>
        </w:rPr>
        <w:t xml:space="preserve">noteiktais </w:t>
      </w:r>
      <w:r w:rsidR="00697A24">
        <w:rPr>
          <w:rFonts w:eastAsia="Times New Roman" w:cs="Times New Roman"/>
          <w:szCs w:val="24"/>
          <w:lang w:eastAsia="lv-LV"/>
        </w:rPr>
        <w:t xml:space="preserve">ierobežojums acīmredzami ir vērsts tieši uz pašu pieteicēju, lai ar </w:t>
      </w:r>
      <w:r w:rsidR="003E707B">
        <w:rPr>
          <w:rFonts w:eastAsia="Times New Roman" w:cs="Times New Roman"/>
          <w:szCs w:val="24"/>
          <w:lang w:eastAsia="lv-LV"/>
        </w:rPr>
        <w:t>pierādījumu</w:t>
      </w:r>
      <w:r w:rsidR="00697A24">
        <w:rPr>
          <w:rFonts w:eastAsia="Times New Roman" w:cs="Times New Roman"/>
          <w:szCs w:val="24"/>
          <w:lang w:eastAsia="lv-LV"/>
        </w:rPr>
        <w:t xml:space="preserve"> tālāku izmantošanu netraucētu kompetentajai tiesai civillietā izlemt šo jautājumu patstāvīgi atbilstoši likumam.</w:t>
      </w:r>
    </w:p>
    <w:p w14:paraId="63CB85FC" w14:textId="525792EE" w:rsidR="00AF72AD" w:rsidRDefault="0028189B" w:rsidP="003367D2">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Salīdzinoši var minēt, ka l</w:t>
      </w:r>
      <w:r w:rsidR="00AF72AD" w:rsidRPr="00AF72AD">
        <w:rPr>
          <w:rFonts w:eastAsia="Times New Roman" w:cs="Times New Roman"/>
          <w:szCs w:val="24"/>
          <w:lang w:eastAsia="lv-LV"/>
        </w:rPr>
        <w:t>īdzīgas atziņas</w:t>
      </w:r>
      <w:r w:rsidR="00697A24">
        <w:rPr>
          <w:rFonts w:eastAsia="Times New Roman" w:cs="Times New Roman"/>
          <w:szCs w:val="24"/>
          <w:lang w:eastAsia="lv-LV"/>
        </w:rPr>
        <w:t xml:space="preserve"> – ka noteiktas informācijas un pierādījumu iegūšana ir jāizlemj tikai tiesai pamatlietā – </w:t>
      </w:r>
      <w:r w:rsidR="00AF72AD" w:rsidRPr="00AF72AD">
        <w:rPr>
          <w:rFonts w:eastAsia="Times New Roman" w:cs="Times New Roman"/>
          <w:szCs w:val="24"/>
          <w:lang w:eastAsia="lv-LV"/>
        </w:rPr>
        <w:t>Senāts jau izdarīja lietā par valsts noslēpumu saturošas informācijas izmantošanu kriminālprocesā kontekstā ar tiesībām uz taisnīgu tiesu (</w:t>
      </w:r>
      <w:r w:rsidR="00AF72AD" w:rsidRPr="00AF72AD">
        <w:rPr>
          <w:rFonts w:eastAsia="Times New Roman" w:cs="Times New Roman"/>
          <w:i/>
          <w:iCs/>
          <w:szCs w:val="24"/>
          <w:lang w:eastAsia="lv-LV"/>
        </w:rPr>
        <w:t>Senāta 2021.gada 11.maija lēmuma lietā Nr. SKA-907/2021</w:t>
      </w:r>
      <w:r w:rsidR="00CA1548">
        <w:rPr>
          <w:rFonts w:eastAsia="Times New Roman" w:cs="Times New Roman"/>
          <w:i/>
          <w:iCs/>
          <w:szCs w:val="24"/>
          <w:lang w:eastAsia="lv-LV"/>
        </w:rPr>
        <w:t>,</w:t>
      </w:r>
      <w:r w:rsidR="00AF72AD" w:rsidRPr="00AF72AD">
        <w:rPr>
          <w:rFonts w:eastAsia="Times New Roman" w:cs="Times New Roman"/>
          <w:i/>
          <w:iCs/>
          <w:szCs w:val="24"/>
          <w:lang w:eastAsia="lv-LV"/>
        </w:rPr>
        <w:t xml:space="preserve"> </w:t>
      </w:r>
      <w:hyperlink r:id="rId11" w:history="1">
        <w:r w:rsidR="00AF72AD" w:rsidRPr="00CA1548">
          <w:rPr>
            <w:rStyle w:val="Hyperlink"/>
            <w:rFonts w:eastAsia="Times New Roman" w:cs="Times New Roman"/>
            <w:i/>
            <w:iCs/>
            <w:szCs w:val="24"/>
            <w:lang w:eastAsia="lv-LV"/>
          </w:rPr>
          <w:t>ECLI:LV:AT:2021:0511.SKA090721.5.L</w:t>
        </w:r>
      </w:hyperlink>
      <w:r w:rsidR="00CA1548">
        <w:rPr>
          <w:rFonts w:eastAsia="Times New Roman" w:cs="Times New Roman"/>
          <w:i/>
          <w:iCs/>
          <w:szCs w:val="24"/>
          <w:lang w:eastAsia="lv-LV"/>
        </w:rPr>
        <w:t>,</w:t>
      </w:r>
      <w:r w:rsidR="00AF72AD" w:rsidRPr="00AF72AD">
        <w:rPr>
          <w:rFonts w:eastAsia="Times New Roman" w:cs="Times New Roman"/>
          <w:i/>
          <w:iCs/>
          <w:szCs w:val="24"/>
          <w:lang w:eastAsia="lv-LV"/>
        </w:rPr>
        <w:t xml:space="preserve"> 9.–10.punkts</w:t>
      </w:r>
      <w:r w:rsidR="00AF72AD" w:rsidRPr="00AF72AD">
        <w:rPr>
          <w:rFonts w:eastAsia="Times New Roman" w:cs="Times New Roman"/>
          <w:szCs w:val="24"/>
          <w:lang w:eastAsia="lv-LV"/>
        </w:rPr>
        <w:t>), kur analoģiski ir ļoti rūpīgi jāapsver informācijas pieejamības jautājumi</w:t>
      </w:r>
      <w:r w:rsidR="00F862F9">
        <w:rPr>
          <w:rFonts w:eastAsia="Times New Roman" w:cs="Times New Roman"/>
          <w:szCs w:val="24"/>
          <w:lang w:eastAsia="lv-LV"/>
        </w:rPr>
        <w:t xml:space="preserve"> un tādēļ ir attaisnojam</w:t>
      </w:r>
      <w:r>
        <w:rPr>
          <w:rFonts w:eastAsia="Times New Roman" w:cs="Times New Roman"/>
          <w:szCs w:val="24"/>
          <w:lang w:eastAsia="lv-LV"/>
        </w:rPr>
        <w:t>s</w:t>
      </w:r>
      <w:r w:rsidR="00F862F9">
        <w:rPr>
          <w:rFonts w:eastAsia="Times New Roman" w:cs="Times New Roman"/>
          <w:szCs w:val="24"/>
          <w:lang w:eastAsia="lv-LV"/>
        </w:rPr>
        <w:t>, ka par informācijas iegūšanu lemj tieši un vienīgi tā tiesa, kas pati izskata lietu pēc būtības</w:t>
      </w:r>
      <w:r w:rsidR="00AF72AD" w:rsidRPr="00AF72AD">
        <w:rPr>
          <w:rFonts w:eastAsia="Times New Roman" w:cs="Times New Roman"/>
          <w:szCs w:val="24"/>
          <w:lang w:eastAsia="lv-LV"/>
        </w:rPr>
        <w:t>.</w:t>
      </w:r>
    </w:p>
    <w:p w14:paraId="73E28E31" w14:textId="5F5F504B" w:rsidR="00721BE5" w:rsidRDefault="00511EB4" w:rsidP="003367D2">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Vienlaikus, tā kā Zaudējumu atlīdzināšanas direktīva ir piemērojama tikai konkurences pārkāpumu rezultātā radīto zaudējumu atlīdzināšanas prasību celšanai un izskatīšanai,</w:t>
      </w:r>
      <w:r w:rsidR="006B76EB">
        <w:rPr>
          <w:rFonts w:eastAsia="Times New Roman" w:cs="Times New Roman"/>
          <w:szCs w:val="24"/>
          <w:lang w:eastAsia="lv-LV"/>
        </w:rPr>
        <w:t xml:space="preserve"> un tikai šo direktīvu transponējošās Latvijas tiesību normas var veidot speciālo tiesisko regulējumu,</w:t>
      </w:r>
      <w:r>
        <w:rPr>
          <w:rFonts w:eastAsia="Times New Roman" w:cs="Times New Roman"/>
          <w:szCs w:val="24"/>
          <w:lang w:eastAsia="lv-LV"/>
        </w:rPr>
        <w:t xml:space="preserve"> </w:t>
      </w:r>
      <w:r w:rsidR="006B76EB">
        <w:rPr>
          <w:rFonts w:eastAsia="Times New Roman" w:cs="Times New Roman"/>
          <w:szCs w:val="24"/>
          <w:lang w:eastAsia="lv-LV"/>
        </w:rPr>
        <w:t xml:space="preserve">jebkuri </w:t>
      </w:r>
      <w:r>
        <w:rPr>
          <w:rFonts w:eastAsia="Times New Roman" w:cs="Times New Roman"/>
          <w:szCs w:val="24"/>
          <w:lang w:eastAsia="lv-LV"/>
        </w:rPr>
        <w:t>ci</w:t>
      </w:r>
      <w:r w:rsidR="006B76EB">
        <w:rPr>
          <w:rFonts w:eastAsia="Times New Roman" w:cs="Times New Roman"/>
          <w:szCs w:val="24"/>
          <w:lang w:eastAsia="lv-LV"/>
        </w:rPr>
        <w:t xml:space="preserve">ti Konkurences padomei adresēti informācijas pieprasījumi ir pakļaujami vispārīgajam regulējumam – Informācijas atklātības likumam vai Administratīvā procesa likumam. </w:t>
      </w:r>
      <w:r w:rsidR="00721BE5">
        <w:rPr>
          <w:rFonts w:eastAsia="Times New Roman" w:cs="Times New Roman"/>
          <w:szCs w:val="24"/>
          <w:lang w:eastAsia="lv-LV"/>
        </w:rPr>
        <w:t>Analoģiski arī Zaudējumu atlīdzināšanas direktīvas 6.panta 2.punkts paredz, ka minētais</w:t>
      </w:r>
      <w:r w:rsidR="00721BE5" w:rsidRPr="00721BE5">
        <w:rPr>
          <w:rFonts w:eastAsia="Times New Roman" w:cs="Times New Roman"/>
          <w:szCs w:val="24"/>
          <w:lang w:eastAsia="lv-LV"/>
        </w:rPr>
        <w:t xml:space="preserve"> pants </w:t>
      </w:r>
      <w:r w:rsidR="00721BE5">
        <w:rPr>
          <w:rFonts w:eastAsia="Times New Roman" w:cs="Times New Roman"/>
          <w:szCs w:val="24"/>
          <w:lang w:eastAsia="lv-LV"/>
        </w:rPr>
        <w:t xml:space="preserve">par pierādījumu izprasīšanu no konkurences iestādes materiāliem </w:t>
      </w:r>
      <w:r w:rsidR="00721BE5" w:rsidRPr="00721BE5">
        <w:rPr>
          <w:rFonts w:eastAsia="Times New Roman" w:cs="Times New Roman"/>
          <w:szCs w:val="24"/>
          <w:lang w:eastAsia="lv-LV"/>
        </w:rPr>
        <w:t>neskar noteikumus un praksi par publisku piekļuvi dokumentiem saskaņā ar Regulu (EK) Nr.</w:t>
      </w:r>
      <w:r w:rsidR="00721BE5">
        <w:rPr>
          <w:rFonts w:eastAsia="Times New Roman" w:cs="Times New Roman"/>
          <w:szCs w:val="24"/>
          <w:lang w:eastAsia="lv-LV"/>
        </w:rPr>
        <w:t> </w:t>
      </w:r>
      <w:r w:rsidR="00721BE5" w:rsidRPr="00721BE5">
        <w:rPr>
          <w:rFonts w:eastAsia="Times New Roman" w:cs="Times New Roman"/>
          <w:szCs w:val="24"/>
          <w:lang w:eastAsia="lv-LV"/>
        </w:rPr>
        <w:t>1049/2001</w:t>
      </w:r>
      <w:r w:rsidR="00721BE5" w:rsidRPr="00721BE5">
        <w:t xml:space="preserve"> </w:t>
      </w:r>
      <w:r w:rsidR="00721BE5" w:rsidRPr="00721BE5">
        <w:rPr>
          <w:rFonts w:eastAsia="Times New Roman" w:cs="Times New Roman"/>
          <w:szCs w:val="24"/>
          <w:lang w:eastAsia="lv-LV"/>
        </w:rPr>
        <w:t>par publisku piekļuvi Eiropas Parlamenta, Padomes un Komisijas dokumentiem</w:t>
      </w:r>
      <w:r w:rsidR="00721BE5">
        <w:rPr>
          <w:rFonts w:eastAsia="Times New Roman" w:cs="Times New Roman"/>
          <w:szCs w:val="24"/>
          <w:lang w:eastAsia="lv-LV"/>
        </w:rPr>
        <w:t>.</w:t>
      </w:r>
    </w:p>
    <w:p w14:paraId="419AAE91" w14:textId="7AD267EE" w:rsidR="00511EB4" w:rsidRPr="00AF72AD" w:rsidRDefault="006B76EB" w:rsidP="003367D2">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Taču tas nav š</w:t>
      </w:r>
      <w:r w:rsidR="00721BE5">
        <w:rPr>
          <w:rFonts w:eastAsia="Times New Roman" w:cs="Times New Roman"/>
          <w:szCs w:val="24"/>
          <w:lang w:eastAsia="lv-LV"/>
        </w:rPr>
        <w:t>ī</w:t>
      </w:r>
      <w:r>
        <w:rPr>
          <w:rFonts w:eastAsia="Times New Roman" w:cs="Times New Roman"/>
          <w:szCs w:val="24"/>
          <w:lang w:eastAsia="lv-LV"/>
        </w:rPr>
        <w:t>s lietas gadījums, jo pieteicējas mērķis ir pietiekami skaidrs</w:t>
      </w:r>
      <w:r w:rsidR="00721BE5">
        <w:rPr>
          <w:rFonts w:eastAsia="Times New Roman" w:cs="Times New Roman"/>
          <w:szCs w:val="24"/>
          <w:lang w:eastAsia="lv-LV"/>
        </w:rPr>
        <w:t xml:space="preserve"> – pierādījumu iegūšana zaudējumu atlīdzināšanas prasībai par konkurences tiesību </w:t>
      </w:r>
      <w:r w:rsidR="00721BE5">
        <w:rPr>
          <w:rFonts w:eastAsia="Times New Roman" w:cs="Times New Roman"/>
          <w:szCs w:val="24"/>
          <w:lang w:eastAsia="lv-LV"/>
        </w:rPr>
        <w:lastRenderedPageBreak/>
        <w:t>pārkāpumu</w:t>
      </w:r>
      <w:r>
        <w:rPr>
          <w:rFonts w:eastAsia="Times New Roman" w:cs="Times New Roman"/>
          <w:szCs w:val="24"/>
          <w:lang w:eastAsia="lv-LV"/>
        </w:rPr>
        <w:t>. Tādēļ pieteicējas atsaukšanās uz Informācijas atklātības likumu un Administratīvā procesa likumu ir nepamatota.</w:t>
      </w:r>
    </w:p>
    <w:p w14:paraId="3B514806" w14:textId="77777777" w:rsidR="00AF72AD" w:rsidRDefault="00AF72AD" w:rsidP="003367D2">
      <w:pPr>
        <w:tabs>
          <w:tab w:val="left" w:pos="1276"/>
        </w:tabs>
        <w:spacing w:after="0" w:line="276" w:lineRule="auto"/>
        <w:ind w:firstLine="720"/>
        <w:jc w:val="both"/>
        <w:rPr>
          <w:rFonts w:eastAsia="Calibri" w:cs="Times New Roman"/>
          <w:szCs w:val="24"/>
        </w:rPr>
      </w:pPr>
    </w:p>
    <w:p w14:paraId="3182D05B" w14:textId="348F6DD8" w:rsidR="00946AD8" w:rsidRDefault="00480A26"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10</w:t>
      </w:r>
      <w:r>
        <w:rPr>
          <w:rFonts w:eastAsia="Calibri" w:cs="Times New Roman"/>
          <w:szCs w:val="24"/>
        </w:rPr>
        <w:t xml:space="preserve">] Pieteicēja, atsaucoties uz Eiropas Savienības Tiesas spriedumu lietā </w:t>
      </w:r>
      <w:r w:rsidRPr="00F24BED">
        <w:rPr>
          <w:rFonts w:eastAsia="Calibri" w:cs="Times New Roman"/>
          <w:i/>
          <w:iCs/>
          <w:szCs w:val="24"/>
        </w:rPr>
        <w:t>Donau Chemie</w:t>
      </w:r>
      <w:r>
        <w:rPr>
          <w:rFonts w:eastAsia="Calibri" w:cs="Times New Roman"/>
          <w:szCs w:val="24"/>
        </w:rPr>
        <w:t>, argumentē, ka Eiropas Savienības tiesības nepieļauj tādu situāciju, kurā tiesību norma liek atteikt piekļuvi konkurences tiesvedības materiāliem, lai pamatotu zaudējumu atlīdzināšanas prasību.</w:t>
      </w:r>
    </w:p>
    <w:p w14:paraId="775CE912" w14:textId="2B766C13" w:rsidR="00480A26" w:rsidRDefault="00480A26"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Šāda atsauce uz </w:t>
      </w:r>
      <w:r w:rsidRPr="00480A26">
        <w:rPr>
          <w:rFonts w:eastAsia="Calibri" w:cs="Times New Roman"/>
          <w:i/>
          <w:iCs/>
          <w:szCs w:val="24"/>
        </w:rPr>
        <w:t>Donau Chemie</w:t>
      </w:r>
      <w:r>
        <w:rPr>
          <w:rFonts w:eastAsia="Calibri" w:cs="Times New Roman"/>
          <w:szCs w:val="24"/>
        </w:rPr>
        <w:t xml:space="preserve"> lietas spriedumu </w:t>
      </w:r>
      <w:r w:rsidR="00E37D77">
        <w:rPr>
          <w:rFonts w:eastAsia="Calibri" w:cs="Times New Roman"/>
          <w:szCs w:val="24"/>
        </w:rPr>
        <w:t>(tā 32.punkt</w:t>
      </w:r>
      <w:r w:rsidR="00D5211C">
        <w:rPr>
          <w:rFonts w:eastAsia="Calibri" w:cs="Times New Roman"/>
          <w:szCs w:val="24"/>
        </w:rPr>
        <w:t>u</w:t>
      </w:r>
      <w:r w:rsidR="00E37D77">
        <w:rPr>
          <w:rFonts w:eastAsia="Calibri" w:cs="Times New Roman"/>
          <w:szCs w:val="24"/>
        </w:rPr>
        <w:t xml:space="preserve">) </w:t>
      </w:r>
      <w:r>
        <w:rPr>
          <w:rFonts w:eastAsia="Calibri" w:cs="Times New Roman"/>
          <w:szCs w:val="24"/>
        </w:rPr>
        <w:t>nav vietā. Minētajā lietā Eiropas Savienības Tiesa vērtēja situāciju, kurā dalībvalsts tiesības vispār liedza piekļuvi lietas materiāliem, ja lietas dalībnieki nebija piekrituši lietas materiālu izsniegšanai.</w:t>
      </w:r>
      <w:r w:rsidR="00D5211C">
        <w:rPr>
          <w:rFonts w:eastAsia="Calibri" w:cs="Times New Roman"/>
          <w:szCs w:val="24"/>
        </w:rPr>
        <w:t xml:space="preserve"> Proti, tā bija situācijā, kurā </w:t>
      </w:r>
      <w:r w:rsidR="00D5211C" w:rsidRPr="00D5211C">
        <w:rPr>
          <w:rFonts w:eastAsia="Calibri" w:cs="Times New Roman"/>
          <w:szCs w:val="24"/>
        </w:rPr>
        <w:t>valsts tiesām, kurām jālemj par pieteikumu par piekļuvi lietas materiāliem, n</w:t>
      </w:r>
      <w:r w:rsidR="00F24BED">
        <w:rPr>
          <w:rFonts w:eastAsia="Calibri" w:cs="Times New Roman"/>
          <w:szCs w:val="24"/>
        </w:rPr>
        <w:t>ebija</w:t>
      </w:r>
      <w:r w:rsidR="00D5211C" w:rsidRPr="00D5211C">
        <w:rPr>
          <w:rFonts w:eastAsia="Calibri" w:cs="Times New Roman"/>
          <w:szCs w:val="24"/>
        </w:rPr>
        <w:t xml:space="preserve"> nekādas iespējas novērtēt intereses, kuras aizsargā</w:t>
      </w:r>
      <w:r w:rsidR="000A01AF">
        <w:rPr>
          <w:rFonts w:eastAsia="Calibri" w:cs="Times New Roman"/>
          <w:szCs w:val="24"/>
        </w:rPr>
        <w:t xml:space="preserve"> Eiropas</w:t>
      </w:r>
      <w:r w:rsidR="00D5211C" w:rsidRPr="00D5211C">
        <w:rPr>
          <w:rFonts w:eastAsia="Calibri" w:cs="Times New Roman"/>
          <w:szCs w:val="24"/>
        </w:rPr>
        <w:t xml:space="preserve"> Savienības tiesības</w:t>
      </w:r>
      <w:r w:rsidR="00B91D41">
        <w:rPr>
          <w:rFonts w:eastAsia="Calibri" w:cs="Times New Roman"/>
          <w:szCs w:val="24"/>
        </w:rPr>
        <w:t xml:space="preserve"> (</w:t>
      </w:r>
      <w:r w:rsidR="00B91D41" w:rsidRPr="00B91D41">
        <w:rPr>
          <w:rFonts w:eastAsia="Calibri" w:cs="Times New Roman"/>
          <w:i/>
          <w:iCs/>
          <w:szCs w:val="24"/>
        </w:rPr>
        <w:t>sprieduma 37.punkts</w:t>
      </w:r>
      <w:r w:rsidR="00B91D41">
        <w:rPr>
          <w:rFonts w:eastAsia="Calibri" w:cs="Times New Roman"/>
          <w:szCs w:val="24"/>
        </w:rPr>
        <w:t>).</w:t>
      </w:r>
    </w:p>
    <w:p w14:paraId="752C13C6" w14:textId="66983D1D" w:rsidR="00F24BED" w:rsidRPr="00866521" w:rsidRDefault="00480A26"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Latvijas tiesības </w:t>
      </w:r>
      <w:r w:rsidR="00B91D41">
        <w:rPr>
          <w:rFonts w:eastAsia="Calibri" w:cs="Times New Roman"/>
          <w:szCs w:val="24"/>
        </w:rPr>
        <w:t>šādu situāciju nerada</w:t>
      </w:r>
      <w:r w:rsidR="00F24BED">
        <w:rPr>
          <w:rFonts w:eastAsia="Calibri" w:cs="Times New Roman"/>
          <w:szCs w:val="24"/>
        </w:rPr>
        <w:t xml:space="preserve">. </w:t>
      </w:r>
      <w:r w:rsidR="00F24BED" w:rsidRPr="00866521">
        <w:rPr>
          <w:rFonts w:eastAsia="Calibri" w:cs="Times New Roman"/>
          <w:szCs w:val="24"/>
        </w:rPr>
        <w:t>Civilprocesa likuma norm</w:t>
      </w:r>
      <w:r w:rsidR="00F24BED">
        <w:rPr>
          <w:rFonts w:eastAsia="Calibri" w:cs="Times New Roman"/>
          <w:szCs w:val="24"/>
        </w:rPr>
        <w:t>ās ir transponētas Zaudējumu atlīdzināšanas</w:t>
      </w:r>
      <w:r w:rsidR="00F24BED" w:rsidRPr="00866521">
        <w:rPr>
          <w:rFonts w:eastAsia="Calibri" w:cs="Times New Roman"/>
          <w:szCs w:val="24"/>
        </w:rPr>
        <w:t xml:space="preserve"> direktīvas normas, </w:t>
      </w:r>
      <w:r w:rsidR="00F24BED">
        <w:rPr>
          <w:rFonts w:eastAsia="Calibri" w:cs="Times New Roman"/>
          <w:szCs w:val="24"/>
        </w:rPr>
        <w:t xml:space="preserve">un tās </w:t>
      </w:r>
      <w:r w:rsidR="00F24BED" w:rsidRPr="00866521">
        <w:rPr>
          <w:rFonts w:eastAsia="Calibri" w:cs="Times New Roman"/>
          <w:szCs w:val="24"/>
        </w:rPr>
        <w:t xml:space="preserve">ir paredzētas tieši direktīvas mērķu sasniegšanai un noregulē lietas materiālu izprasīšanu, pieprasījuma pamatošanu, Konkurences padomes atzinuma saņemšanu un jautājuma izlemšanu. </w:t>
      </w:r>
    </w:p>
    <w:p w14:paraId="03999CE7" w14:textId="0C109287" w:rsidR="00B91D41" w:rsidRDefault="00E37D77"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Turklāt </w:t>
      </w:r>
      <w:r w:rsidRPr="008B4711">
        <w:rPr>
          <w:rFonts w:eastAsia="Calibri" w:cs="Times New Roman"/>
          <w:i/>
          <w:iCs/>
          <w:szCs w:val="24"/>
        </w:rPr>
        <w:t>Donau Chemie</w:t>
      </w:r>
      <w:r>
        <w:rPr>
          <w:rFonts w:eastAsia="Calibri" w:cs="Times New Roman"/>
          <w:szCs w:val="24"/>
        </w:rPr>
        <w:t xml:space="preserve"> lietas sprieduma 33.punktā Tiesa vērš uzmanību, ka arī tāda </w:t>
      </w:r>
      <w:r w:rsidRPr="00E37D77">
        <w:rPr>
          <w:rFonts w:eastAsia="Calibri" w:cs="Times New Roman"/>
          <w:szCs w:val="24"/>
        </w:rPr>
        <w:t>norm</w:t>
      </w:r>
      <w:r>
        <w:rPr>
          <w:rFonts w:eastAsia="Calibri" w:cs="Times New Roman"/>
          <w:szCs w:val="24"/>
        </w:rPr>
        <w:t>a</w:t>
      </w:r>
      <w:r w:rsidRPr="00E37D77">
        <w:rPr>
          <w:rFonts w:eastAsia="Calibri" w:cs="Times New Roman"/>
          <w:szCs w:val="24"/>
        </w:rPr>
        <w:t>, saskaņā ar kuru ikviens dokuments, kas attiecas uz tiesvedību konkurences jomā, ir jānosūta personai, kas to prasa, pamatojoties tikai uz to, ka šī persona vēlas celt prasību par zaudējumu atlīdzību, nevar būt nepieciešama, lai nodrošinātu tiesību uz atlīdzību efektīvu aizsardzību</w:t>
      </w:r>
      <w:r>
        <w:rPr>
          <w:rFonts w:eastAsia="Calibri" w:cs="Times New Roman"/>
          <w:szCs w:val="24"/>
        </w:rPr>
        <w:t>. Š</w:t>
      </w:r>
      <w:r w:rsidRPr="00E37D77">
        <w:rPr>
          <w:rFonts w:eastAsia="Calibri" w:cs="Times New Roman"/>
          <w:szCs w:val="24"/>
        </w:rPr>
        <w:t xml:space="preserve">īs normas dēļ varētu tikt pārkāptas arī citas tiesības, kādas </w:t>
      </w:r>
      <w:r w:rsidR="000A01AF">
        <w:rPr>
          <w:rFonts w:eastAsia="Calibri" w:cs="Times New Roman"/>
          <w:szCs w:val="24"/>
        </w:rPr>
        <w:t xml:space="preserve">Eiropas </w:t>
      </w:r>
      <w:r w:rsidRPr="00E37D77">
        <w:rPr>
          <w:rFonts w:eastAsia="Calibri" w:cs="Times New Roman"/>
          <w:szCs w:val="24"/>
        </w:rPr>
        <w:t xml:space="preserve">Savienības tiesību normas piešķir arī konkrētajiem uzņēmumiem, piemēram, tiesības uz profesionālo noslēpumu vai komercnoslēpumu, vai konkrētajām privātpersonām, piemēram, tiesības uz personas datu aizsardzību. </w:t>
      </w:r>
      <w:r>
        <w:rPr>
          <w:rFonts w:eastAsia="Calibri" w:cs="Times New Roman"/>
          <w:szCs w:val="24"/>
        </w:rPr>
        <w:t>V</w:t>
      </w:r>
      <w:r w:rsidRPr="00E37D77">
        <w:rPr>
          <w:rFonts w:eastAsia="Calibri" w:cs="Times New Roman"/>
          <w:szCs w:val="24"/>
        </w:rPr>
        <w:t>ispārēja piekļuve tāpat varētu negatīvi ietekmēt arī sabiedrības intereses, tādas kā pret konkurences tiesību pārkāpumiem vērstas politikas efektivitāti</w:t>
      </w:r>
      <w:r>
        <w:rPr>
          <w:rFonts w:eastAsia="Calibri" w:cs="Times New Roman"/>
          <w:szCs w:val="24"/>
        </w:rPr>
        <w:t>.</w:t>
      </w:r>
      <w:r w:rsidR="002E6B97">
        <w:rPr>
          <w:rFonts w:eastAsia="Calibri" w:cs="Times New Roman"/>
          <w:szCs w:val="24"/>
        </w:rPr>
        <w:t xml:space="preserve"> Savukārt tālāk 34.punktā Tiesa norāda, ka </w:t>
      </w:r>
      <w:r w:rsidR="002E6B97" w:rsidRPr="002E6B97">
        <w:rPr>
          <w:rFonts w:eastAsia="Calibri" w:cs="Times New Roman"/>
          <w:szCs w:val="24"/>
        </w:rPr>
        <w:t>interešu, kas pamato informācijas izpaušanu un tās aizsardzību, novērtēšanu valsts tiesas var veikt tikai katrā atsevišķajā gadījumā atbilstoši valsts tiesībām un ņemot vērā visus būtiskos lietas apstākļus</w:t>
      </w:r>
      <w:r w:rsidR="002E6B97">
        <w:rPr>
          <w:rFonts w:eastAsia="Calibri" w:cs="Times New Roman"/>
          <w:szCs w:val="24"/>
        </w:rPr>
        <w:t xml:space="preserve">. </w:t>
      </w:r>
    </w:p>
    <w:p w14:paraId="3AEC5BDF" w14:textId="33A7EDEF" w:rsidR="00480A26" w:rsidRDefault="00B91D41"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Arī tas </w:t>
      </w:r>
      <w:r w:rsidR="002E6B97">
        <w:rPr>
          <w:rFonts w:eastAsia="Calibri" w:cs="Times New Roman"/>
          <w:szCs w:val="24"/>
        </w:rPr>
        <w:t xml:space="preserve">tieši norāda, ka Civilprocesa likumā ietvertais regulējums, kas paredz lietu izskatošās (un tātad par </w:t>
      </w:r>
      <w:r>
        <w:rPr>
          <w:rFonts w:eastAsia="Calibri" w:cs="Times New Roman"/>
          <w:szCs w:val="24"/>
        </w:rPr>
        <w:t xml:space="preserve">lietas būtību un </w:t>
      </w:r>
      <w:r w:rsidR="002E6B97">
        <w:rPr>
          <w:rFonts w:eastAsia="Calibri" w:cs="Times New Roman"/>
          <w:szCs w:val="24"/>
        </w:rPr>
        <w:t xml:space="preserve">informācijas </w:t>
      </w:r>
      <w:r>
        <w:rPr>
          <w:rFonts w:eastAsia="Calibri" w:cs="Times New Roman"/>
          <w:szCs w:val="24"/>
        </w:rPr>
        <w:t>attiecināmību</w:t>
      </w:r>
      <w:r w:rsidR="002E6B97">
        <w:rPr>
          <w:rFonts w:eastAsia="Calibri" w:cs="Times New Roman"/>
          <w:szCs w:val="24"/>
        </w:rPr>
        <w:t xml:space="preserve"> vislabāk informētās) tiesas kompetenci izsvērt </w:t>
      </w:r>
      <w:r w:rsidR="003E707B">
        <w:rPr>
          <w:rFonts w:eastAsia="Calibri" w:cs="Times New Roman"/>
          <w:szCs w:val="24"/>
        </w:rPr>
        <w:t>pierādījumu</w:t>
      </w:r>
      <w:r w:rsidR="002E6B97">
        <w:rPr>
          <w:rFonts w:eastAsia="Calibri" w:cs="Times New Roman"/>
          <w:szCs w:val="24"/>
        </w:rPr>
        <w:t xml:space="preserve"> nepieciešamību</w:t>
      </w:r>
      <w:r w:rsidR="00511EB4">
        <w:rPr>
          <w:rFonts w:eastAsia="Calibri" w:cs="Times New Roman"/>
          <w:szCs w:val="24"/>
        </w:rPr>
        <w:t xml:space="preserve"> zaudējumu atlīdzināšanas prasības pamatošanai un izspriešanai</w:t>
      </w:r>
      <w:r w:rsidR="002E6B97">
        <w:rPr>
          <w:rFonts w:eastAsia="Calibri" w:cs="Times New Roman"/>
          <w:szCs w:val="24"/>
        </w:rPr>
        <w:t>, iemieso Eiropas Savienības Tiesas uzsvērto katra individuāla gadījuma novērtēšanu kā piemērotāko instrumentu.</w:t>
      </w:r>
    </w:p>
    <w:p w14:paraId="02CDB26D" w14:textId="77777777" w:rsidR="00866521" w:rsidRDefault="00866521" w:rsidP="003367D2">
      <w:pPr>
        <w:tabs>
          <w:tab w:val="left" w:pos="1276"/>
        </w:tabs>
        <w:spacing w:after="0" w:line="276" w:lineRule="auto"/>
        <w:ind w:firstLine="720"/>
        <w:jc w:val="both"/>
        <w:rPr>
          <w:rFonts w:eastAsia="Calibri" w:cs="Times New Roman"/>
          <w:szCs w:val="24"/>
        </w:rPr>
      </w:pPr>
    </w:p>
    <w:p w14:paraId="39147A66" w14:textId="2B1C9EAF" w:rsidR="00D0221F" w:rsidRDefault="00D0221F"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11</w:t>
      </w:r>
      <w:r>
        <w:rPr>
          <w:rFonts w:eastAsia="Calibri" w:cs="Times New Roman"/>
          <w:szCs w:val="24"/>
        </w:rPr>
        <w:t>] Pieteicēja norāda, ka ir jāievēro Eiropas Savienības tiesību līdzvērtības princips.</w:t>
      </w:r>
    </w:p>
    <w:p w14:paraId="00FDCEBB" w14:textId="1F31A705" w:rsidR="000C0CD4" w:rsidRDefault="000C0CD4" w:rsidP="003367D2">
      <w:pPr>
        <w:tabs>
          <w:tab w:val="left" w:pos="1276"/>
        </w:tabs>
        <w:spacing w:after="0" w:line="276" w:lineRule="auto"/>
        <w:ind w:firstLine="720"/>
        <w:jc w:val="both"/>
        <w:rPr>
          <w:rFonts w:eastAsia="Calibri" w:cs="Times New Roman"/>
          <w:szCs w:val="24"/>
        </w:rPr>
      </w:pPr>
      <w:r>
        <w:rPr>
          <w:rFonts w:eastAsia="Calibri" w:cs="Times New Roman"/>
          <w:szCs w:val="24"/>
        </w:rPr>
        <w:t>Eiropas Savienības Tiesas praksē attīstītais Eiropas Savienības tiesību līdzvērtības princips ir tiešā tekstā ietverts Zaudējumu atlīdzināšanas direktīvas 4.pantā. Tas paredz: s</w:t>
      </w:r>
      <w:r w:rsidRPr="000C0CD4">
        <w:rPr>
          <w:rFonts w:eastAsia="Calibri" w:cs="Times New Roman"/>
          <w:szCs w:val="24"/>
        </w:rPr>
        <w:t xml:space="preserve">askaņā ar līdzvērtīguma principu valstu noteikumi un procedūras attiecībā uz prasībām atlīdzināt zaudējumus, ko radījuši </w:t>
      </w:r>
      <w:r>
        <w:rPr>
          <w:rFonts w:eastAsia="Calibri" w:cs="Times New Roman"/>
          <w:szCs w:val="24"/>
        </w:rPr>
        <w:t>Līguma par Eiropas Savienības darbību</w:t>
      </w:r>
      <w:r w:rsidRPr="000C0CD4">
        <w:rPr>
          <w:rFonts w:eastAsia="Calibri" w:cs="Times New Roman"/>
          <w:szCs w:val="24"/>
        </w:rPr>
        <w:t xml:space="preserve"> 101. vai 102.panta pārkāpumi, nedrīkst būt iespējamām cietušajām personām mazāk labvēlīgi nekā noteikumi un procedūras, kas reglamentē līdzīgas prasības par valsts tiesību pārkāpuma radītu kaitējumu.</w:t>
      </w:r>
    </w:p>
    <w:p w14:paraId="33953A66" w14:textId="52EC87DE" w:rsidR="006B76EB" w:rsidRDefault="00D0221F" w:rsidP="003367D2">
      <w:pPr>
        <w:tabs>
          <w:tab w:val="left" w:pos="1276"/>
        </w:tabs>
        <w:spacing w:after="0" w:line="276" w:lineRule="auto"/>
        <w:ind w:firstLine="720"/>
        <w:jc w:val="both"/>
        <w:rPr>
          <w:rFonts w:eastAsia="Calibri" w:cs="Times New Roman"/>
          <w:szCs w:val="24"/>
        </w:rPr>
      </w:pPr>
      <w:r>
        <w:rPr>
          <w:rFonts w:eastAsia="Calibri" w:cs="Times New Roman"/>
          <w:szCs w:val="24"/>
        </w:rPr>
        <w:lastRenderedPageBreak/>
        <w:t>Senāts</w:t>
      </w:r>
      <w:r w:rsidR="000C0CD4">
        <w:rPr>
          <w:rFonts w:eastAsia="Calibri" w:cs="Times New Roman"/>
          <w:szCs w:val="24"/>
        </w:rPr>
        <w:t xml:space="preserve"> nesaskata </w:t>
      </w:r>
      <w:r>
        <w:rPr>
          <w:rFonts w:eastAsia="Calibri" w:cs="Times New Roman"/>
          <w:szCs w:val="24"/>
        </w:rPr>
        <w:t xml:space="preserve">šā principa </w:t>
      </w:r>
      <w:r w:rsidR="008B4711">
        <w:rPr>
          <w:rFonts w:eastAsia="Calibri" w:cs="Times New Roman"/>
          <w:szCs w:val="24"/>
        </w:rPr>
        <w:t>saistību ar</w:t>
      </w:r>
      <w:r>
        <w:rPr>
          <w:rFonts w:eastAsia="Calibri" w:cs="Times New Roman"/>
          <w:szCs w:val="24"/>
        </w:rPr>
        <w:t xml:space="preserve"> izskatām</w:t>
      </w:r>
      <w:r w:rsidR="008B4711">
        <w:rPr>
          <w:rFonts w:eastAsia="Calibri" w:cs="Times New Roman"/>
          <w:szCs w:val="24"/>
        </w:rPr>
        <w:t>o gadījumu</w:t>
      </w:r>
      <w:r>
        <w:rPr>
          <w:rFonts w:eastAsia="Calibri" w:cs="Times New Roman"/>
          <w:szCs w:val="24"/>
        </w:rPr>
        <w:t xml:space="preserve">. </w:t>
      </w:r>
      <w:r w:rsidR="006B76EB">
        <w:rPr>
          <w:rFonts w:eastAsia="Calibri" w:cs="Times New Roman"/>
          <w:szCs w:val="24"/>
        </w:rPr>
        <w:t xml:space="preserve">Civilprocesa likuma </w:t>
      </w:r>
      <w:r w:rsidR="006B76EB" w:rsidRPr="005C040D">
        <w:rPr>
          <w:rFonts w:eastAsia="Calibri" w:cs="Times New Roman"/>
          <w:szCs w:val="24"/>
        </w:rPr>
        <w:t>30.</w:t>
      </w:r>
      <w:r w:rsidR="006B76EB" w:rsidRPr="005C040D">
        <w:rPr>
          <w:rFonts w:eastAsia="Calibri" w:cs="Times New Roman"/>
          <w:szCs w:val="24"/>
          <w:vertAlign w:val="superscript"/>
        </w:rPr>
        <w:t>6</w:t>
      </w:r>
      <w:r w:rsidR="006B76EB" w:rsidRPr="005C040D">
        <w:rPr>
          <w:rFonts w:eastAsia="Calibri" w:cs="Times New Roman"/>
          <w:szCs w:val="24"/>
        </w:rPr>
        <w:t>nodaļ</w:t>
      </w:r>
      <w:r w:rsidR="006B76EB">
        <w:rPr>
          <w:rFonts w:eastAsia="Calibri" w:cs="Times New Roman"/>
          <w:szCs w:val="24"/>
        </w:rPr>
        <w:t xml:space="preserve">a </w:t>
      </w:r>
      <w:r>
        <w:rPr>
          <w:rFonts w:eastAsia="Calibri" w:cs="Times New Roman"/>
          <w:szCs w:val="24"/>
        </w:rPr>
        <w:t xml:space="preserve">vienādi piemērojama gan uz Konkurences likuma pārkāpuma lietas materiāliem, gan uz Līguma par </w:t>
      </w:r>
      <w:r w:rsidRPr="006B76EB">
        <w:rPr>
          <w:rFonts w:eastAsia="Calibri" w:cs="Times New Roman"/>
          <w:szCs w:val="24"/>
        </w:rPr>
        <w:t>Eiropas Savienības darbību 101. un 102.panta pārkāpuma lietas materiāliem. Tas skaidri redz</w:t>
      </w:r>
      <w:r w:rsidR="00F24BED" w:rsidRPr="006B76EB">
        <w:rPr>
          <w:rFonts w:eastAsia="Calibri" w:cs="Times New Roman"/>
          <w:szCs w:val="24"/>
        </w:rPr>
        <w:t>am</w:t>
      </w:r>
      <w:r w:rsidRPr="006B76EB">
        <w:rPr>
          <w:rFonts w:eastAsia="Calibri" w:cs="Times New Roman"/>
          <w:szCs w:val="24"/>
        </w:rPr>
        <w:t xml:space="preserve">s no </w:t>
      </w:r>
      <w:r w:rsidR="006B76EB" w:rsidRPr="006B76EB">
        <w:rPr>
          <w:rFonts w:eastAsia="Calibri" w:cs="Times New Roman"/>
          <w:szCs w:val="24"/>
        </w:rPr>
        <w:t>Civilprocesa likuma 250.</w:t>
      </w:r>
      <w:r w:rsidR="006B76EB" w:rsidRPr="000C0CD4">
        <w:rPr>
          <w:rFonts w:eastAsia="Calibri" w:cs="Times New Roman"/>
          <w:szCs w:val="24"/>
          <w:vertAlign w:val="superscript"/>
        </w:rPr>
        <w:t>65</w:t>
      </w:r>
      <w:r w:rsidR="006B76EB" w:rsidRPr="006B76EB">
        <w:rPr>
          <w:rFonts w:eastAsia="Calibri" w:cs="Times New Roman"/>
          <w:szCs w:val="24"/>
        </w:rPr>
        <w:t>panta otrās daļas, kas noteic</w:t>
      </w:r>
      <w:r w:rsidR="000C0CD4">
        <w:rPr>
          <w:rFonts w:eastAsia="Calibri" w:cs="Times New Roman"/>
          <w:szCs w:val="24"/>
        </w:rPr>
        <w:t>:</w:t>
      </w:r>
      <w:r w:rsidR="006B76EB" w:rsidRPr="006B76EB">
        <w:rPr>
          <w:rFonts w:eastAsia="Calibri" w:cs="Times New Roman"/>
          <w:szCs w:val="24"/>
        </w:rPr>
        <w:t xml:space="preserve"> lietas par zaudējumu atlīdzināšanu par konkurences tiesību pārkāpumiem šīs nodaļas izpratnē ir lietas saistībā ar tādiem konkurences tiesību pārkāpumiem, kuras noteiktas Līguma par Eiropas Savienības darbību </w:t>
      </w:r>
      <w:r w:rsidR="006B76EB">
        <w:rPr>
          <w:rFonts w:eastAsia="Calibri" w:cs="Times New Roman"/>
          <w:szCs w:val="24"/>
        </w:rPr>
        <w:t>101. vai 102.</w:t>
      </w:r>
      <w:r w:rsidR="006B76EB" w:rsidRPr="006B76EB">
        <w:rPr>
          <w:rFonts w:eastAsia="Calibri" w:cs="Times New Roman"/>
          <w:szCs w:val="24"/>
        </w:rPr>
        <w:t>pantā vai Latvijas vai Eiropas Savienības dalībvalsts tiesību aktos, kuru galvenais mērķis ir tāds pats kā Līguma par Eiropas Savienības darbību </w:t>
      </w:r>
      <w:r w:rsidR="006B76EB">
        <w:rPr>
          <w:rFonts w:eastAsia="Calibri" w:cs="Times New Roman"/>
          <w:szCs w:val="24"/>
        </w:rPr>
        <w:t>101. un 102.</w:t>
      </w:r>
      <w:r w:rsidR="006B76EB" w:rsidRPr="006B76EB">
        <w:rPr>
          <w:rFonts w:eastAsia="Calibri" w:cs="Times New Roman"/>
          <w:szCs w:val="24"/>
        </w:rPr>
        <w:t xml:space="preserve">pantam. </w:t>
      </w:r>
    </w:p>
    <w:p w14:paraId="539463E0" w14:textId="3D3CB6E3" w:rsidR="00D0221F" w:rsidRDefault="00D0221F" w:rsidP="003367D2">
      <w:pPr>
        <w:tabs>
          <w:tab w:val="left" w:pos="1276"/>
        </w:tabs>
        <w:spacing w:after="0" w:line="276" w:lineRule="auto"/>
        <w:ind w:firstLine="720"/>
        <w:jc w:val="both"/>
        <w:rPr>
          <w:rFonts w:eastAsia="Calibri" w:cs="Times New Roman"/>
          <w:szCs w:val="24"/>
        </w:rPr>
      </w:pPr>
      <w:r w:rsidRPr="006B76EB">
        <w:rPr>
          <w:rFonts w:eastAsia="Calibri" w:cs="Times New Roman"/>
          <w:szCs w:val="24"/>
        </w:rPr>
        <w:t>Līdz ar to tiesiskais regulējums</w:t>
      </w:r>
      <w:r>
        <w:rPr>
          <w:rFonts w:eastAsia="Calibri" w:cs="Times New Roman"/>
          <w:szCs w:val="24"/>
        </w:rPr>
        <w:t xml:space="preserve"> </w:t>
      </w:r>
      <w:r w:rsidR="008B4711">
        <w:rPr>
          <w:rFonts w:eastAsia="Calibri" w:cs="Times New Roman"/>
          <w:szCs w:val="24"/>
        </w:rPr>
        <w:t xml:space="preserve">par </w:t>
      </w:r>
      <w:r w:rsidR="00450768">
        <w:rPr>
          <w:rFonts w:eastAsia="Calibri" w:cs="Times New Roman"/>
          <w:szCs w:val="24"/>
        </w:rPr>
        <w:t>pierādījumu</w:t>
      </w:r>
      <w:r w:rsidR="008B4711">
        <w:rPr>
          <w:rFonts w:eastAsia="Calibri" w:cs="Times New Roman"/>
          <w:szCs w:val="24"/>
        </w:rPr>
        <w:t xml:space="preserve"> </w:t>
      </w:r>
      <w:r w:rsidR="003E707B">
        <w:rPr>
          <w:rFonts w:eastAsia="Calibri" w:cs="Times New Roman"/>
          <w:szCs w:val="24"/>
        </w:rPr>
        <w:t>izprasīšanu</w:t>
      </w:r>
      <w:r w:rsidR="008B4711">
        <w:rPr>
          <w:rFonts w:eastAsia="Calibri" w:cs="Times New Roman"/>
          <w:szCs w:val="24"/>
        </w:rPr>
        <w:t xml:space="preserve"> no </w:t>
      </w:r>
      <w:r w:rsidR="000C0CD4">
        <w:rPr>
          <w:rFonts w:eastAsia="Calibri" w:cs="Times New Roman"/>
          <w:szCs w:val="24"/>
        </w:rPr>
        <w:t>Konkurences padomes</w:t>
      </w:r>
      <w:r w:rsidR="008B4711">
        <w:rPr>
          <w:rFonts w:eastAsia="Calibri" w:cs="Times New Roman"/>
          <w:szCs w:val="24"/>
        </w:rPr>
        <w:t xml:space="preserve"> lietas materiāliem </w:t>
      </w:r>
      <w:r>
        <w:rPr>
          <w:rFonts w:eastAsia="Calibri" w:cs="Times New Roman"/>
          <w:szCs w:val="24"/>
        </w:rPr>
        <w:t xml:space="preserve">ir līdzvērtīgi piemērojams </w:t>
      </w:r>
      <w:r w:rsidR="008B4711">
        <w:rPr>
          <w:rFonts w:eastAsia="Calibri" w:cs="Times New Roman"/>
          <w:szCs w:val="24"/>
        </w:rPr>
        <w:t>neatkarīgi no tā, vai zaudējumi radīti ar Eiropas Savienības tiesību, vai ar Latvijas tiesību pārkāpumu</w:t>
      </w:r>
      <w:r w:rsidR="006B76EB">
        <w:rPr>
          <w:rFonts w:eastAsia="Calibri" w:cs="Times New Roman"/>
          <w:szCs w:val="24"/>
        </w:rPr>
        <w:t>, un Eiropas Savienības tiesību piemērošana notiek līdzvērtīgi Latvijas tiesībām.</w:t>
      </w:r>
    </w:p>
    <w:p w14:paraId="21224E2F" w14:textId="65F69DD8" w:rsidR="001B3A5C" w:rsidRDefault="001B3A5C"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Pieteicēja līdzvērtības principa pārkāpumu saskata tādā aspektā, ka Latvijas tiesību (Informācijas atklātības likuma) piemērošana tai neliegtu saņemt informāciju no Konkurences padomes. Var piekrist, ka pirms Zaudējumu atlīdzināšanas direktīvas transponēšanas nepastāvēja tik konkrēts Civilprocesa likuma regulējums par </w:t>
      </w:r>
      <w:r w:rsidR="00450768">
        <w:rPr>
          <w:rFonts w:eastAsia="Calibri" w:cs="Times New Roman"/>
          <w:szCs w:val="24"/>
        </w:rPr>
        <w:t>pierādījumu</w:t>
      </w:r>
      <w:r>
        <w:rPr>
          <w:rFonts w:eastAsia="Calibri" w:cs="Times New Roman"/>
          <w:szCs w:val="24"/>
        </w:rPr>
        <w:t xml:space="preserve"> izprasīšanu zaudējumu atlīdzināšanas prasībās par konkurences tiesību pārkāpumiem. Taču tas, vai </w:t>
      </w:r>
      <w:r w:rsidR="003E707B">
        <w:rPr>
          <w:rFonts w:eastAsia="Calibri" w:cs="Times New Roman"/>
          <w:szCs w:val="24"/>
        </w:rPr>
        <w:t>tādi pierādījumi</w:t>
      </w:r>
      <w:r>
        <w:rPr>
          <w:rFonts w:eastAsia="Calibri" w:cs="Times New Roman"/>
          <w:szCs w:val="24"/>
        </w:rPr>
        <w:t xml:space="preserve"> pieteicējai patiešām tiktu izsniegt</w:t>
      </w:r>
      <w:r w:rsidR="003E707B">
        <w:rPr>
          <w:rFonts w:eastAsia="Calibri" w:cs="Times New Roman"/>
          <w:szCs w:val="24"/>
        </w:rPr>
        <w:t>i</w:t>
      </w:r>
      <w:r>
        <w:rPr>
          <w:rFonts w:eastAsia="Calibri" w:cs="Times New Roman"/>
          <w:szCs w:val="24"/>
        </w:rPr>
        <w:t xml:space="preserve"> atbilstoši Informācijas atklātības likumam, ir tikai pieteicēja pieņēmums, jo jebkurā gadījumā tā nav vispārpieejama informācija.</w:t>
      </w:r>
      <w:r w:rsidR="007962F2">
        <w:rPr>
          <w:rFonts w:eastAsia="Calibri" w:cs="Times New Roman"/>
          <w:szCs w:val="24"/>
        </w:rPr>
        <w:t xml:space="preserve"> Savukārt šobrīd spēkā esošās direktīvas mērķis, kā jau norādīts, ir radīt visā Savienībā vienādu pieeju </w:t>
      </w:r>
      <w:r w:rsidR="003E707B">
        <w:rPr>
          <w:rFonts w:eastAsia="Calibri" w:cs="Times New Roman"/>
          <w:szCs w:val="24"/>
        </w:rPr>
        <w:t>pierādījumu izprasīšanai</w:t>
      </w:r>
      <w:r w:rsidR="007962F2">
        <w:rPr>
          <w:rFonts w:eastAsia="Calibri" w:cs="Times New Roman"/>
          <w:szCs w:val="24"/>
        </w:rPr>
        <w:t>, līdzsvarojot visas skartās intereses un apsverot riskus.</w:t>
      </w:r>
    </w:p>
    <w:p w14:paraId="7FA62BBC" w14:textId="77777777" w:rsidR="00480A26" w:rsidRDefault="00480A26" w:rsidP="003367D2">
      <w:pPr>
        <w:tabs>
          <w:tab w:val="left" w:pos="1276"/>
        </w:tabs>
        <w:spacing w:after="0" w:line="276" w:lineRule="auto"/>
        <w:ind w:firstLine="720"/>
        <w:jc w:val="both"/>
        <w:rPr>
          <w:rFonts w:eastAsia="Calibri" w:cs="Times New Roman"/>
          <w:szCs w:val="24"/>
        </w:rPr>
      </w:pPr>
    </w:p>
    <w:p w14:paraId="5B7E4B57" w14:textId="1FAC3B4A" w:rsidR="003E7310" w:rsidRDefault="003E7310"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12</w:t>
      </w:r>
      <w:r>
        <w:rPr>
          <w:rFonts w:eastAsia="Calibri" w:cs="Times New Roman"/>
          <w:szCs w:val="24"/>
        </w:rPr>
        <w:t xml:space="preserve">] Šajā lietā Konkurences padome ir pieteicējas prasīto </w:t>
      </w:r>
      <w:r w:rsidR="00450768">
        <w:rPr>
          <w:rFonts w:eastAsia="Calibri" w:cs="Times New Roman"/>
          <w:szCs w:val="24"/>
        </w:rPr>
        <w:t>pierādījumu</w:t>
      </w:r>
      <w:r>
        <w:rPr>
          <w:rFonts w:eastAsia="Calibri" w:cs="Times New Roman"/>
          <w:szCs w:val="24"/>
        </w:rPr>
        <w:t xml:space="preserve"> tai izsniegusi, bet </w:t>
      </w:r>
      <w:r w:rsidR="00450768">
        <w:rPr>
          <w:rFonts w:eastAsia="Calibri" w:cs="Times New Roman"/>
          <w:szCs w:val="24"/>
        </w:rPr>
        <w:t>būtībā liedzot to iesniegt civillietā</w:t>
      </w:r>
      <w:r>
        <w:rPr>
          <w:rFonts w:eastAsia="Calibri" w:cs="Times New Roman"/>
          <w:szCs w:val="24"/>
        </w:rPr>
        <w:t>.</w:t>
      </w:r>
    </w:p>
    <w:p w14:paraId="53F69C91" w14:textId="0C1A9454" w:rsidR="003E7310" w:rsidRDefault="003E7310"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Šķiet, ka Konkurences padome tādējādi centusies dot iespēju pieteicējai </w:t>
      </w:r>
      <w:r w:rsidR="003E707B">
        <w:rPr>
          <w:rFonts w:eastAsia="Calibri" w:cs="Times New Roman"/>
          <w:szCs w:val="24"/>
        </w:rPr>
        <w:t>iegūto</w:t>
      </w:r>
      <w:r w:rsidR="007962F2">
        <w:rPr>
          <w:rFonts w:eastAsia="Calibri" w:cs="Times New Roman"/>
          <w:szCs w:val="24"/>
        </w:rPr>
        <w:t xml:space="preserve"> informāciju pašai apsvērt un </w:t>
      </w:r>
      <w:r>
        <w:rPr>
          <w:rFonts w:eastAsia="Calibri" w:cs="Times New Roman"/>
          <w:szCs w:val="24"/>
        </w:rPr>
        <w:t xml:space="preserve">pieņemt </w:t>
      </w:r>
      <w:r w:rsidR="007962F2">
        <w:rPr>
          <w:rFonts w:eastAsia="Calibri" w:cs="Times New Roman"/>
          <w:szCs w:val="24"/>
        </w:rPr>
        <w:t>izsvērtāku</w:t>
      </w:r>
      <w:r>
        <w:rPr>
          <w:rFonts w:eastAsia="Calibri" w:cs="Times New Roman"/>
          <w:szCs w:val="24"/>
        </w:rPr>
        <w:t xml:space="preserve"> lēmumu par zaudējumu atlīdzības </w:t>
      </w:r>
      <w:r w:rsidR="00450768">
        <w:rPr>
          <w:rFonts w:eastAsia="Calibri" w:cs="Times New Roman"/>
          <w:szCs w:val="24"/>
        </w:rPr>
        <w:t xml:space="preserve">prasības </w:t>
      </w:r>
      <w:r>
        <w:rPr>
          <w:rFonts w:eastAsia="Calibri" w:cs="Times New Roman"/>
          <w:szCs w:val="24"/>
        </w:rPr>
        <w:t>celšanu civilprocesuālā kārtībā. Proti, ja personai nav pat zināms, vai vispār pastāv tāda informācija un pierādījumi, kas ļautu tai pamatot zaudējumu atlīdzināšanas prasību, tā tieši tādēļ var būt ierobežota celt šādu prasību</w:t>
      </w:r>
      <w:r w:rsidR="00B376AE">
        <w:rPr>
          <w:rFonts w:eastAsia="Calibri" w:cs="Times New Roman"/>
          <w:szCs w:val="24"/>
        </w:rPr>
        <w:t xml:space="preserve">. </w:t>
      </w:r>
      <w:r w:rsidR="007962F2">
        <w:rPr>
          <w:rFonts w:eastAsia="Calibri" w:cs="Times New Roman"/>
          <w:szCs w:val="24"/>
        </w:rPr>
        <w:t>U</w:t>
      </w:r>
      <w:r w:rsidR="006B76EB">
        <w:rPr>
          <w:rFonts w:eastAsia="Calibri" w:cs="Times New Roman"/>
          <w:szCs w:val="24"/>
        </w:rPr>
        <w:t xml:space="preserve">z </w:t>
      </w:r>
      <w:r w:rsidR="007962F2">
        <w:rPr>
          <w:rFonts w:eastAsia="Calibri" w:cs="Times New Roman"/>
          <w:szCs w:val="24"/>
        </w:rPr>
        <w:t xml:space="preserve">grūtībām, kas varētu pastāvēt sakarā ar </w:t>
      </w:r>
      <w:r w:rsidR="003E707B">
        <w:rPr>
          <w:rFonts w:eastAsia="Calibri" w:cs="Times New Roman"/>
          <w:szCs w:val="24"/>
        </w:rPr>
        <w:t>pierādījumu</w:t>
      </w:r>
      <w:r w:rsidR="007962F2">
        <w:rPr>
          <w:rFonts w:eastAsia="Calibri" w:cs="Times New Roman"/>
          <w:szCs w:val="24"/>
        </w:rPr>
        <w:t xml:space="preserve"> nepieejamību, jau ceļot prasību, </w:t>
      </w:r>
      <w:r w:rsidR="006B76EB">
        <w:rPr>
          <w:rFonts w:eastAsia="Calibri" w:cs="Times New Roman"/>
          <w:szCs w:val="24"/>
        </w:rPr>
        <w:t>norād</w:t>
      </w:r>
      <w:r w:rsidR="007962F2">
        <w:rPr>
          <w:rFonts w:eastAsia="Calibri" w:cs="Times New Roman"/>
          <w:szCs w:val="24"/>
        </w:rPr>
        <w:t>īts</w:t>
      </w:r>
      <w:r w:rsidR="006B76EB">
        <w:rPr>
          <w:rFonts w:eastAsia="Calibri" w:cs="Times New Roman"/>
          <w:szCs w:val="24"/>
        </w:rPr>
        <w:t xml:space="preserve"> Zaudējumu atlīdzināšanas direktīvas 14.apsvērumā: „</w:t>
      </w:r>
      <w:r w:rsidR="006B76EB" w:rsidRPr="006B76EB">
        <w:rPr>
          <w:rFonts w:eastAsia="Calibri" w:cs="Times New Roman"/>
          <w:szCs w:val="24"/>
        </w:rPr>
        <w:t xml:space="preserve">Pierādījumi, kas ir vajadzīgi, lai pierādītu zaudējumu atlīdzināšanas prasījumu, bieži vien ir tikai un vienīgi pretējās puses vai trešo personu rīcībā un prasītājiem nav zināmi vai nav pieejami pietiekamā apmērā. Šādos apstākļos stingras juridiskās prasības prasītājiem sīki apliecināt visus lietas faktus jau tiesvedības sākumā un iesniegt precīzi noteiktus apliecinošus pierādījumus var nepamatoti traucēt </w:t>
      </w:r>
      <w:r w:rsidR="00B376AE">
        <w:rPr>
          <w:rFonts w:eastAsia="Calibri" w:cs="Times New Roman"/>
          <w:szCs w:val="24"/>
        </w:rPr>
        <w:t>[Līgumā par Eiropas Savienības darbību]</w:t>
      </w:r>
      <w:r w:rsidR="006B76EB" w:rsidRPr="006B76EB">
        <w:rPr>
          <w:rFonts w:eastAsia="Calibri" w:cs="Times New Roman"/>
          <w:szCs w:val="24"/>
        </w:rPr>
        <w:t xml:space="preserve"> garantēto tiesību uz atlīdzinājumu efektīvai īstenošanai.</w:t>
      </w:r>
      <w:r w:rsidR="00B376AE">
        <w:rPr>
          <w:rFonts w:eastAsia="Calibri" w:cs="Times New Roman"/>
          <w:szCs w:val="24"/>
        </w:rPr>
        <w:t>”</w:t>
      </w:r>
      <w:r w:rsidR="00B376AE" w:rsidRPr="00B376AE">
        <w:rPr>
          <w:rFonts w:eastAsia="Calibri" w:cs="Times New Roman"/>
          <w:szCs w:val="24"/>
        </w:rPr>
        <w:t xml:space="preserve"> </w:t>
      </w:r>
      <w:r w:rsidR="00450768">
        <w:rPr>
          <w:rFonts w:eastAsia="Calibri" w:cs="Times New Roman"/>
          <w:szCs w:val="24"/>
        </w:rPr>
        <w:t>Iespējams, tieši šāda rakstura g</w:t>
      </w:r>
      <w:r w:rsidR="00B376AE">
        <w:rPr>
          <w:rFonts w:eastAsia="Calibri" w:cs="Times New Roman"/>
          <w:szCs w:val="24"/>
        </w:rPr>
        <w:t xml:space="preserve">rūtības, ko jau prasības celšanas brīdī varētu radīt pierādījumu nepieejamība prasītājam, </w:t>
      </w:r>
      <w:r w:rsidR="00450768">
        <w:rPr>
          <w:rFonts w:eastAsia="Calibri" w:cs="Times New Roman"/>
          <w:szCs w:val="24"/>
        </w:rPr>
        <w:t xml:space="preserve">bijis iemesls, kādēļ </w:t>
      </w:r>
      <w:r w:rsidR="00B376AE">
        <w:rPr>
          <w:rFonts w:eastAsia="Calibri" w:cs="Times New Roman"/>
          <w:szCs w:val="24"/>
        </w:rPr>
        <w:t xml:space="preserve">atsevišķās </w:t>
      </w:r>
      <w:r w:rsidR="00450768">
        <w:rPr>
          <w:rFonts w:eastAsia="Calibri" w:cs="Times New Roman"/>
          <w:szCs w:val="24"/>
        </w:rPr>
        <w:t xml:space="preserve">Konkurences padomes norādītajās </w:t>
      </w:r>
      <w:r w:rsidR="00B376AE">
        <w:rPr>
          <w:rFonts w:eastAsia="Calibri" w:cs="Times New Roman"/>
          <w:szCs w:val="24"/>
        </w:rPr>
        <w:t>valst</w:t>
      </w:r>
      <w:r w:rsidR="00450768">
        <w:rPr>
          <w:rFonts w:eastAsia="Calibri" w:cs="Times New Roman"/>
          <w:szCs w:val="24"/>
        </w:rPr>
        <w:t xml:space="preserve">īs </w:t>
      </w:r>
      <w:r w:rsidR="00B376AE">
        <w:rPr>
          <w:rFonts w:eastAsia="Calibri" w:cs="Times New Roman"/>
          <w:szCs w:val="24"/>
        </w:rPr>
        <w:t>jautājum</w:t>
      </w:r>
      <w:r w:rsidR="00450768">
        <w:rPr>
          <w:rFonts w:eastAsia="Calibri" w:cs="Times New Roman"/>
          <w:szCs w:val="24"/>
        </w:rPr>
        <w:t>s</w:t>
      </w:r>
      <w:r w:rsidR="00B376AE">
        <w:rPr>
          <w:rFonts w:eastAsia="Calibri" w:cs="Times New Roman"/>
          <w:szCs w:val="24"/>
        </w:rPr>
        <w:t xml:space="preserve"> par pierādījumu pieejamību </w:t>
      </w:r>
      <w:r w:rsidR="003E707B">
        <w:rPr>
          <w:rFonts w:eastAsia="Calibri" w:cs="Times New Roman"/>
          <w:szCs w:val="24"/>
        </w:rPr>
        <w:t xml:space="preserve">tiek </w:t>
      </w:r>
      <w:r w:rsidR="00B376AE">
        <w:rPr>
          <w:rFonts w:eastAsia="Calibri" w:cs="Times New Roman"/>
          <w:szCs w:val="24"/>
        </w:rPr>
        <w:t>risināt</w:t>
      </w:r>
      <w:r w:rsidR="00450768">
        <w:rPr>
          <w:rFonts w:eastAsia="Calibri" w:cs="Times New Roman"/>
          <w:szCs w:val="24"/>
        </w:rPr>
        <w:t>s</w:t>
      </w:r>
      <w:r w:rsidR="00B376AE">
        <w:rPr>
          <w:rFonts w:eastAsia="Calibri" w:cs="Times New Roman"/>
          <w:szCs w:val="24"/>
        </w:rPr>
        <w:t xml:space="preserve"> atsevišķi pirms pašas civilās tiesvedības uzsākšanas.</w:t>
      </w:r>
    </w:p>
    <w:p w14:paraId="59CA1C87" w14:textId="11778D9B" w:rsidR="00930C40" w:rsidRDefault="003E7310"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Latvijā šāda mehānisma, kas ļautu </w:t>
      </w:r>
      <w:r w:rsidR="003E707B">
        <w:rPr>
          <w:rFonts w:eastAsia="Calibri" w:cs="Times New Roman"/>
          <w:szCs w:val="24"/>
        </w:rPr>
        <w:t>pierādījumus iz</w:t>
      </w:r>
      <w:r>
        <w:rPr>
          <w:rFonts w:eastAsia="Calibri" w:cs="Times New Roman"/>
          <w:szCs w:val="24"/>
        </w:rPr>
        <w:t>prasīt</w:t>
      </w:r>
      <w:r w:rsidR="00930C40">
        <w:rPr>
          <w:rFonts w:eastAsia="Calibri" w:cs="Times New Roman"/>
          <w:szCs w:val="24"/>
        </w:rPr>
        <w:t xml:space="preserve"> pirms prasības celšanas, Civilprocesa likumā nav. Tas tomēr nav pamats jautājuma izlemšanu atstāt konkurences iestādes kompetencē un tālāk strīda gadījumā to risināt administratīvajā tiesā, kas nav kompetenta izskatīt lietas par zaudējumu atlīdzināšanu. </w:t>
      </w:r>
      <w:r w:rsidR="00B376AE">
        <w:rPr>
          <w:rFonts w:eastAsia="Calibri" w:cs="Times New Roman"/>
          <w:szCs w:val="24"/>
        </w:rPr>
        <w:t>T</w:t>
      </w:r>
      <w:r w:rsidR="00930C40">
        <w:rPr>
          <w:rFonts w:eastAsia="Calibri" w:cs="Times New Roman"/>
          <w:szCs w:val="24"/>
        </w:rPr>
        <w:t xml:space="preserve">iesa, kas nav kompetenta </w:t>
      </w:r>
      <w:r w:rsidR="00930C40">
        <w:rPr>
          <w:rFonts w:eastAsia="Calibri" w:cs="Times New Roman"/>
          <w:szCs w:val="24"/>
        </w:rPr>
        <w:lastRenderedPageBreak/>
        <w:t xml:space="preserve">izskatīt zaudējumu atlīdzināšanas prasību, turklāt civilprocesuālā kārtībā, varētu nebūt kompetenta arī pienācīgi samērot visas iesaistītās intereses un </w:t>
      </w:r>
      <w:r w:rsidR="003E707B">
        <w:rPr>
          <w:rFonts w:eastAsia="Calibri" w:cs="Times New Roman"/>
          <w:szCs w:val="24"/>
        </w:rPr>
        <w:t>pierādījumu</w:t>
      </w:r>
      <w:r w:rsidR="00930C40">
        <w:rPr>
          <w:rFonts w:eastAsia="Calibri" w:cs="Times New Roman"/>
          <w:szCs w:val="24"/>
        </w:rPr>
        <w:t xml:space="preserve"> nepieciešamību civillietā, un tādējādi varētu kļūdīties pareizā līdzsvara atrašanā. Arī Informācijas atklātības likums, kura galvenais mērķis ir sniegt sabiedrībai piekļuvi valsts pārvaldes rīcībā esošajai informācijai, nav piemērots individuālo apstākļu izvērtēšanai šādā gadījumā. Tas prasītu pēc būtības iedziļināties paredzamās civillietas apstākļos, taču šādā ziņā nedz iestāde, nedz tiesa, kas nav kompetenta izskatīt civillietas, nav šāda veida jautājumu izlemšanai piemērota</w:t>
      </w:r>
      <w:r w:rsidR="003A18BF">
        <w:rPr>
          <w:rFonts w:eastAsia="Calibri" w:cs="Times New Roman"/>
          <w:szCs w:val="24"/>
        </w:rPr>
        <w:t>, un tas varētu novest pie kļūdainiem lēmumiem.</w:t>
      </w:r>
    </w:p>
    <w:p w14:paraId="57F5A787" w14:textId="3B9CBE84" w:rsidR="00930C40" w:rsidRDefault="00930C40" w:rsidP="003367D2">
      <w:pPr>
        <w:tabs>
          <w:tab w:val="left" w:pos="1276"/>
        </w:tabs>
        <w:spacing w:after="0" w:line="276" w:lineRule="auto"/>
        <w:ind w:firstLine="720"/>
        <w:jc w:val="both"/>
        <w:rPr>
          <w:rFonts w:eastAsia="Calibri" w:cs="Times New Roman"/>
          <w:szCs w:val="24"/>
        </w:rPr>
      </w:pPr>
      <w:r>
        <w:rPr>
          <w:rFonts w:eastAsia="Calibri" w:cs="Times New Roman"/>
          <w:szCs w:val="24"/>
        </w:rPr>
        <w:t>Gadījumā, ja šobrīd spēkā esošais Civilprocesa likuma regulējums vai tā piemērošanas prakse liegtu personām tiesības celt prasību civilprocesuālā kārtībā, gan kompetentajai tiesai, gan skartajām personām ir iespēja apsvērt šāda regulējuma vai piemērošanas prakses konstitucionalitāti un izmantot attiecīgus tiesību aizsardzības līdzekļus – vai nu tiesas nolēmumu pārsūdzību</w:t>
      </w:r>
      <w:r w:rsidR="00B376AE">
        <w:rPr>
          <w:rFonts w:eastAsia="Calibri" w:cs="Times New Roman"/>
          <w:szCs w:val="24"/>
        </w:rPr>
        <w:t xml:space="preserve"> (</w:t>
      </w:r>
      <w:r w:rsidR="00FD55AE">
        <w:rPr>
          <w:rFonts w:eastAsia="Calibri" w:cs="Times New Roman"/>
          <w:szCs w:val="24"/>
        </w:rPr>
        <w:t>lietas dalībniekiem</w:t>
      </w:r>
      <w:r w:rsidR="00B376AE">
        <w:rPr>
          <w:rFonts w:eastAsia="Calibri" w:cs="Times New Roman"/>
          <w:szCs w:val="24"/>
        </w:rPr>
        <w:t>)</w:t>
      </w:r>
      <w:r>
        <w:rPr>
          <w:rFonts w:eastAsia="Calibri" w:cs="Times New Roman"/>
          <w:szCs w:val="24"/>
        </w:rPr>
        <w:t>, vai vēršanos ar pieteikumu Satversmes tiesā.</w:t>
      </w:r>
    </w:p>
    <w:p w14:paraId="16DE2170" w14:textId="77777777" w:rsidR="00FD55AE" w:rsidRDefault="00FD55AE" w:rsidP="003367D2">
      <w:pPr>
        <w:tabs>
          <w:tab w:val="left" w:pos="1276"/>
        </w:tabs>
        <w:spacing w:after="0" w:line="276" w:lineRule="auto"/>
        <w:ind w:firstLine="720"/>
        <w:jc w:val="both"/>
        <w:rPr>
          <w:rFonts w:eastAsia="Calibri" w:cs="Times New Roman"/>
          <w:szCs w:val="24"/>
        </w:rPr>
      </w:pPr>
    </w:p>
    <w:p w14:paraId="680A0583" w14:textId="0BE9CC8D" w:rsidR="00FD55AE" w:rsidRDefault="00FD55AE"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13</w:t>
      </w:r>
      <w:r>
        <w:rPr>
          <w:rFonts w:eastAsia="Calibri" w:cs="Times New Roman"/>
          <w:szCs w:val="24"/>
        </w:rPr>
        <w:t xml:space="preserve">] Pieteicēja uzsver, ka tās </w:t>
      </w:r>
      <w:r w:rsidR="00006843">
        <w:rPr>
          <w:rFonts w:eastAsia="Calibri" w:cs="Times New Roman"/>
          <w:szCs w:val="24"/>
        </w:rPr>
        <w:t>prasītais pierādījums</w:t>
      </w:r>
      <w:r>
        <w:rPr>
          <w:rFonts w:eastAsia="Calibri" w:cs="Times New Roman"/>
          <w:szCs w:val="24"/>
        </w:rPr>
        <w:t xml:space="preserve"> nemaz nav „lietas materiāli”, bet ir Konkurences padomes lēmuma pielikums un tātad būtībā ir pats administratīvais akts</w:t>
      </w:r>
      <w:r w:rsidR="00697A24">
        <w:rPr>
          <w:rFonts w:eastAsia="Calibri" w:cs="Times New Roman"/>
          <w:szCs w:val="24"/>
        </w:rPr>
        <w:t>, un uz to neattiecas Civilprocesa likuma normas</w:t>
      </w:r>
      <w:r>
        <w:rPr>
          <w:rFonts w:eastAsia="Calibri" w:cs="Times New Roman"/>
          <w:szCs w:val="24"/>
        </w:rPr>
        <w:t>.</w:t>
      </w:r>
    </w:p>
    <w:p w14:paraId="3434E5F5" w14:textId="1332E73C" w:rsidR="00FD55AE" w:rsidRDefault="00FD55AE" w:rsidP="003367D2">
      <w:pPr>
        <w:tabs>
          <w:tab w:val="left" w:pos="1276"/>
        </w:tabs>
        <w:spacing w:after="0" w:line="276" w:lineRule="auto"/>
        <w:ind w:firstLine="720"/>
        <w:jc w:val="both"/>
        <w:rPr>
          <w:rFonts w:eastAsia="Calibri" w:cs="Times New Roman"/>
          <w:szCs w:val="24"/>
        </w:rPr>
      </w:pPr>
      <w:r>
        <w:rPr>
          <w:rFonts w:eastAsia="Calibri" w:cs="Times New Roman"/>
          <w:szCs w:val="24"/>
        </w:rPr>
        <w:t>Šāds viedoklis nav pamatots un nevar mainīt Senāta secinājumus. Konkurences padomes lēmuma pielikum</w:t>
      </w:r>
      <w:r w:rsidR="00697A24">
        <w:rPr>
          <w:rFonts w:eastAsia="Calibri" w:cs="Times New Roman"/>
          <w:szCs w:val="24"/>
        </w:rPr>
        <w:t>ā ir</w:t>
      </w:r>
      <w:r>
        <w:rPr>
          <w:rFonts w:eastAsia="Calibri" w:cs="Times New Roman"/>
          <w:szCs w:val="24"/>
        </w:rPr>
        <w:t xml:space="preserve"> pierādījum</w:t>
      </w:r>
      <w:r w:rsidR="00450768">
        <w:rPr>
          <w:rFonts w:eastAsia="Calibri" w:cs="Times New Roman"/>
          <w:szCs w:val="24"/>
        </w:rPr>
        <w:t>i</w:t>
      </w:r>
      <w:r>
        <w:rPr>
          <w:rFonts w:eastAsia="Calibri" w:cs="Times New Roman"/>
          <w:szCs w:val="24"/>
        </w:rPr>
        <w:t>, uz kuriem iestāde atsaukusies, konstatējot faktus par pārkāpuma esību (sarunu atšifrējum</w:t>
      </w:r>
      <w:r w:rsidR="00697A24">
        <w:rPr>
          <w:rFonts w:eastAsia="Calibri" w:cs="Times New Roman"/>
          <w:szCs w:val="24"/>
        </w:rPr>
        <w:t>i</w:t>
      </w:r>
      <w:r>
        <w:rPr>
          <w:rFonts w:eastAsia="Calibri" w:cs="Times New Roman"/>
          <w:szCs w:val="24"/>
        </w:rPr>
        <w:t>). Tieši tā ir š</w:t>
      </w:r>
      <w:r w:rsidR="00697A24">
        <w:rPr>
          <w:rFonts w:eastAsia="Calibri" w:cs="Times New Roman"/>
          <w:szCs w:val="24"/>
        </w:rPr>
        <w:t>ī</w:t>
      </w:r>
      <w:r>
        <w:rPr>
          <w:rFonts w:eastAsia="Calibri" w:cs="Times New Roman"/>
          <w:szCs w:val="24"/>
        </w:rPr>
        <w:t xml:space="preserve"> dokument</w:t>
      </w:r>
      <w:r w:rsidR="00697A24">
        <w:rPr>
          <w:rFonts w:eastAsia="Calibri" w:cs="Times New Roman"/>
          <w:szCs w:val="24"/>
        </w:rPr>
        <w:t>a</w:t>
      </w:r>
      <w:r>
        <w:rPr>
          <w:rFonts w:eastAsia="Calibri" w:cs="Times New Roman"/>
          <w:szCs w:val="24"/>
        </w:rPr>
        <w:t xml:space="preserve"> būtība – pierādījumi iestādes norādītajiem faktiem. Līdz ar jebkuriem citiem pierādījumiem, uz kuriem iestāde </w:t>
      </w:r>
      <w:r w:rsidR="00697A24">
        <w:rPr>
          <w:rFonts w:eastAsia="Calibri" w:cs="Times New Roman"/>
          <w:szCs w:val="24"/>
        </w:rPr>
        <w:t>atsaukusies</w:t>
      </w:r>
      <w:r>
        <w:rPr>
          <w:rFonts w:eastAsia="Calibri" w:cs="Times New Roman"/>
          <w:szCs w:val="24"/>
        </w:rPr>
        <w:t xml:space="preserve"> lēmum</w:t>
      </w:r>
      <w:r w:rsidR="00697A24">
        <w:rPr>
          <w:rFonts w:eastAsia="Calibri" w:cs="Times New Roman"/>
          <w:szCs w:val="24"/>
        </w:rPr>
        <w:t>ā</w:t>
      </w:r>
      <w:r>
        <w:rPr>
          <w:rFonts w:eastAsia="Calibri" w:cs="Times New Roman"/>
          <w:szCs w:val="24"/>
        </w:rPr>
        <w:t>, tie ir lietas materiāli, un tieši par tiem ir runa Civilprocesa likuma normās par pierādījumu izprasīšanu.</w:t>
      </w:r>
    </w:p>
    <w:p w14:paraId="29DDE552" w14:textId="77777777" w:rsidR="00450768" w:rsidRDefault="00450768" w:rsidP="003367D2">
      <w:pPr>
        <w:tabs>
          <w:tab w:val="left" w:pos="1276"/>
        </w:tabs>
        <w:spacing w:after="0" w:line="276" w:lineRule="auto"/>
        <w:ind w:firstLine="720"/>
        <w:jc w:val="both"/>
        <w:rPr>
          <w:rFonts w:eastAsia="Calibri" w:cs="Times New Roman"/>
          <w:szCs w:val="24"/>
        </w:rPr>
      </w:pPr>
    </w:p>
    <w:p w14:paraId="37BD38F3" w14:textId="43159D3C" w:rsidR="00450768" w:rsidRDefault="00450768"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14</w:t>
      </w:r>
      <w:r>
        <w:rPr>
          <w:rFonts w:eastAsia="Calibri" w:cs="Times New Roman"/>
          <w:szCs w:val="24"/>
        </w:rPr>
        <w:t xml:space="preserve">] Pieteicēja blakus sūdzībā izteikusi lūgumu vērsties ar prejudiciālo jautājumu Eiropas Savienības Tiesā. </w:t>
      </w:r>
      <w:r w:rsidR="00167F60">
        <w:rPr>
          <w:rFonts w:eastAsia="Calibri" w:cs="Times New Roman"/>
          <w:szCs w:val="24"/>
        </w:rPr>
        <w:t>Senāts nesaskata pamatu prejudiciālā jautājuma uzdošanai</w:t>
      </w:r>
      <w:r>
        <w:rPr>
          <w:rFonts w:eastAsia="Calibri" w:cs="Times New Roman"/>
          <w:szCs w:val="24"/>
        </w:rPr>
        <w:t>.</w:t>
      </w:r>
    </w:p>
    <w:p w14:paraId="09C7D92C" w14:textId="77777777" w:rsidR="00A665EA" w:rsidRDefault="00A665EA" w:rsidP="003367D2">
      <w:pPr>
        <w:tabs>
          <w:tab w:val="left" w:pos="1276"/>
        </w:tabs>
        <w:spacing w:after="0" w:line="276" w:lineRule="auto"/>
        <w:ind w:firstLine="720"/>
        <w:jc w:val="both"/>
        <w:rPr>
          <w:rFonts w:eastAsia="Calibri" w:cs="Times New Roman"/>
          <w:szCs w:val="24"/>
        </w:rPr>
      </w:pPr>
      <w:r w:rsidRPr="00A665EA">
        <w:rPr>
          <w:rFonts w:eastAsia="Calibri" w:cs="Times New Roman"/>
          <w:szCs w:val="24"/>
        </w:rPr>
        <w:t xml:space="preserve">Pieteicēja jautājumus formulējusi tā, it kā prasītu vispārīgu atbildi par to, vai Zaudējumu atlīdzināšanas direktīva vispār liedz konkurences iestādei izsniegt noteikta veida lietas materiālus (tai skaitā, apsverot skartās intereses). </w:t>
      </w:r>
    </w:p>
    <w:p w14:paraId="5A5F9907" w14:textId="33EF24E5" w:rsidR="00A665EA" w:rsidRDefault="00A665EA" w:rsidP="003367D2">
      <w:pPr>
        <w:tabs>
          <w:tab w:val="left" w:pos="1276"/>
        </w:tabs>
        <w:spacing w:after="0" w:line="276" w:lineRule="auto"/>
        <w:ind w:firstLine="720"/>
        <w:jc w:val="both"/>
        <w:rPr>
          <w:rFonts w:eastAsia="Calibri" w:cs="Times New Roman"/>
          <w:szCs w:val="24"/>
        </w:rPr>
      </w:pPr>
      <w:r w:rsidRPr="00A665EA">
        <w:rPr>
          <w:rFonts w:eastAsia="Calibri" w:cs="Times New Roman"/>
          <w:szCs w:val="24"/>
        </w:rPr>
        <w:t>Kā jau iepriekš norādīts, nav pamata domāt, ka direktīva</w:t>
      </w:r>
      <w:r>
        <w:rPr>
          <w:rFonts w:eastAsia="Calibri" w:cs="Times New Roman"/>
          <w:szCs w:val="24"/>
        </w:rPr>
        <w:t xml:space="preserve"> pati par sevi</w:t>
      </w:r>
      <w:r w:rsidRPr="00A665EA">
        <w:rPr>
          <w:rFonts w:eastAsia="Calibri" w:cs="Times New Roman"/>
          <w:szCs w:val="24"/>
        </w:rPr>
        <w:t xml:space="preserve"> liegtu </w:t>
      </w:r>
      <w:r>
        <w:rPr>
          <w:rFonts w:eastAsia="Calibri" w:cs="Times New Roman"/>
          <w:szCs w:val="24"/>
        </w:rPr>
        <w:t xml:space="preserve">konkurences iestādei </w:t>
      </w:r>
      <w:r w:rsidRPr="00A665EA">
        <w:rPr>
          <w:rFonts w:eastAsia="Calibri" w:cs="Times New Roman"/>
          <w:szCs w:val="24"/>
        </w:rPr>
        <w:t>piemērot vispārīgo regulējumu par informācijas sniegšanu atbilstoši Informācijas atklātības likumam. Taču direktīva paredz noteiktu speciālo regulējumu, kādā izlemj jautājumu tieši par pierādījumu izprasīšanu zaudējumu atlīdzināšanas prasībās, un šis regulējums Latvijā ir ietverts Civilprocesa likumā, ko pieteicēja var izmantot savu tiesību aizsardzībai.</w:t>
      </w:r>
    </w:p>
    <w:p w14:paraId="34F0351A" w14:textId="323BEB3D" w:rsidR="00E96855" w:rsidRDefault="00A665EA" w:rsidP="003367D2">
      <w:pPr>
        <w:tabs>
          <w:tab w:val="left" w:pos="1276"/>
        </w:tabs>
        <w:spacing w:after="0" w:line="276" w:lineRule="auto"/>
        <w:ind w:firstLine="720"/>
        <w:jc w:val="both"/>
        <w:rPr>
          <w:rFonts w:eastAsia="Calibri" w:cs="Times New Roman"/>
          <w:szCs w:val="24"/>
        </w:rPr>
      </w:pPr>
      <w:r>
        <w:rPr>
          <w:rFonts w:eastAsia="Calibri" w:cs="Times New Roman"/>
          <w:szCs w:val="24"/>
        </w:rPr>
        <w:t>A</w:t>
      </w:r>
      <w:r w:rsidR="00450768">
        <w:rPr>
          <w:rFonts w:eastAsia="Calibri" w:cs="Times New Roman"/>
          <w:szCs w:val="24"/>
        </w:rPr>
        <w:t>tteikums skatīt pierādījumu iegūšanas jautājumu tieši administratīvā procesa kārtībā nenozīmē, ka jautājums nebūtu izskatāms tiesā</w:t>
      </w:r>
      <w:r>
        <w:rPr>
          <w:rFonts w:eastAsia="Calibri" w:cs="Times New Roman"/>
          <w:szCs w:val="24"/>
        </w:rPr>
        <w:t xml:space="preserve"> un ka dalībvalsts tiesiskā sistēma neparedzētu mehānismu pierādījumu iegūšanai</w:t>
      </w:r>
      <w:r w:rsidR="00450768">
        <w:rPr>
          <w:rFonts w:eastAsia="Calibri" w:cs="Times New Roman"/>
          <w:szCs w:val="24"/>
        </w:rPr>
        <w:t>. Gan pierādījumu izprasīšana, gan, ja tādas šaubas rodas, valstī spēkā esošā tiesiskā regulējuma – Civilprocesa likuma – konstitucionalitātes izvērtējums ir tās tiesas kompetencē, kurai likums to paredz. Šajā gadījumā tā ir tiesa, kas izskata zaudējumu atlīdzināšanas prasību par konkurences tiesību pārkāpumu.</w:t>
      </w:r>
      <w:r w:rsidR="00167F60">
        <w:rPr>
          <w:rFonts w:eastAsia="Calibri" w:cs="Times New Roman"/>
          <w:szCs w:val="24"/>
        </w:rPr>
        <w:t xml:space="preserve"> Tādēļ jautājumi, ciktāl tajos saredzamas bažas par direktīvas normu pareizu interpretāciju vai direktīvas mērķu pareizu izpratni, nav administratīvās tiesas kompetencē.</w:t>
      </w:r>
      <w:r w:rsidR="00BD2406">
        <w:rPr>
          <w:rFonts w:eastAsia="Calibri" w:cs="Times New Roman"/>
          <w:szCs w:val="24"/>
        </w:rPr>
        <w:t xml:space="preserve"> </w:t>
      </w:r>
    </w:p>
    <w:p w14:paraId="13DFB489" w14:textId="77777777" w:rsidR="00A665EA" w:rsidRDefault="00E96855" w:rsidP="003367D2">
      <w:pPr>
        <w:tabs>
          <w:tab w:val="left" w:pos="1276"/>
        </w:tabs>
        <w:spacing w:after="0" w:line="276" w:lineRule="auto"/>
        <w:ind w:firstLine="720"/>
        <w:jc w:val="both"/>
        <w:rPr>
          <w:rFonts w:eastAsia="Calibri" w:cs="Times New Roman"/>
          <w:szCs w:val="24"/>
        </w:rPr>
      </w:pPr>
      <w:r>
        <w:rPr>
          <w:rFonts w:eastAsia="Calibri" w:cs="Times New Roman"/>
          <w:szCs w:val="24"/>
        </w:rPr>
        <w:lastRenderedPageBreak/>
        <w:t xml:space="preserve">Tāpat jānorāda, ka </w:t>
      </w:r>
      <w:r w:rsidR="00BD2406">
        <w:rPr>
          <w:rFonts w:eastAsia="Calibri" w:cs="Times New Roman"/>
          <w:szCs w:val="24"/>
        </w:rPr>
        <w:t xml:space="preserve">Zaudējumu atlīdzināšanas direktīvas 6.pantā </w:t>
      </w:r>
      <w:r w:rsidR="007E16A1">
        <w:rPr>
          <w:rFonts w:eastAsia="Calibri" w:cs="Times New Roman"/>
          <w:szCs w:val="24"/>
        </w:rPr>
        <w:t xml:space="preserve">nepārprotami </w:t>
      </w:r>
      <w:r w:rsidR="00BD2406">
        <w:rPr>
          <w:rFonts w:eastAsia="Calibri" w:cs="Times New Roman"/>
          <w:szCs w:val="24"/>
        </w:rPr>
        <w:t>paredzēta tieši tiesas</w:t>
      </w:r>
      <w:r>
        <w:rPr>
          <w:rFonts w:eastAsia="Calibri" w:cs="Times New Roman"/>
          <w:szCs w:val="24"/>
        </w:rPr>
        <w:t>,</w:t>
      </w:r>
      <w:r w:rsidR="00BD2406">
        <w:rPr>
          <w:rFonts w:eastAsia="Calibri" w:cs="Times New Roman"/>
          <w:szCs w:val="24"/>
        </w:rPr>
        <w:t xml:space="preserve"> nevis konkurences iestādes kompetence izlemt jautājumu par pierādījumu izprasīšanu no konkurences iestādes lietas materiāliem</w:t>
      </w:r>
      <w:r>
        <w:rPr>
          <w:rFonts w:eastAsia="Calibri" w:cs="Times New Roman"/>
          <w:szCs w:val="24"/>
        </w:rPr>
        <w:t xml:space="preserve">. </w:t>
      </w:r>
      <w:r w:rsidR="00742D88">
        <w:rPr>
          <w:rFonts w:eastAsia="Calibri" w:cs="Times New Roman"/>
          <w:szCs w:val="24"/>
        </w:rPr>
        <w:t>Līdz ar to, ciktāl izlemjams jautājums tieši par to, kura tiesa ir kompetenta vispār lemt jautājumu par pierādījumu izprasīšanu zaudējumu atlīdzināšanas prasības izskatīšanas vajadzībām, atbilde ir pietiekami skaidra: tā kā direktīvas 6.pantā ir runa tieši par tiesas, nevis konkurences iestādes kompetenci šā jautājuma izlemšanā, strīds par šādu pierādījumu izprasīšanu nevar iesākties konkurences iestādē</w:t>
      </w:r>
      <w:r w:rsidR="007E16A1">
        <w:rPr>
          <w:rFonts w:eastAsia="Calibri" w:cs="Times New Roman"/>
          <w:szCs w:val="24"/>
        </w:rPr>
        <w:t xml:space="preserve">. Atbilstoši Latvijas procesuālajām tiesībām strīds </w:t>
      </w:r>
      <w:r w:rsidR="00742D88">
        <w:rPr>
          <w:rFonts w:eastAsia="Calibri" w:cs="Times New Roman"/>
          <w:szCs w:val="24"/>
        </w:rPr>
        <w:t xml:space="preserve">attiecīgi nevar nonākt administratīvajā tiesā ar pārsūdzību par konkurences iestādes atteikumu. </w:t>
      </w:r>
      <w:r w:rsidR="007E16A1">
        <w:rPr>
          <w:rFonts w:eastAsia="Calibri" w:cs="Times New Roman"/>
          <w:szCs w:val="24"/>
        </w:rPr>
        <w:t>Savukārt tas, kura tiesa un kādā procesā izlemj šāda veida lūgumus, direktīvā tieši nav noteikts, un Latvijā spēkā esošais regulējums to paredz darīt vispārējās jurisdikcijas tiesai, izskatot civillietu.</w:t>
      </w:r>
      <w:r w:rsidR="00A665EA">
        <w:rPr>
          <w:rFonts w:eastAsia="Calibri" w:cs="Times New Roman"/>
          <w:szCs w:val="24"/>
        </w:rPr>
        <w:t xml:space="preserve"> </w:t>
      </w:r>
    </w:p>
    <w:p w14:paraId="5122FAA5" w14:textId="257F9BEF" w:rsidR="00742D88" w:rsidRDefault="00A665EA" w:rsidP="003367D2">
      <w:pPr>
        <w:tabs>
          <w:tab w:val="left" w:pos="1276"/>
        </w:tabs>
        <w:spacing w:after="0" w:line="276" w:lineRule="auto"/>
        <w:ind w:firstLine="720"/>
        <w:jc w:val="both"/>
        <w:rPr>
          <w:rFonts w:eastAsia="Calibri" w:cs="Times New Roman"/>
          <w:szCs w:val="24"/>
        </w:rPr>
      </w:pPr>
      <w:r>
        <w:rPr>
          <w:rFonts w:eastAsia="Calibri" w:cs="Times New Roman"/>
          <w:szCs w:val="24"/>
        </w:rPr>
        <w:t>Pat ja pieņemtu, ka Konkurences padomei būtu kompetence lemt par pierādījumu izsniegšanu zaudējumu atlīdzināšanas prasības pamatošanas nolūkā un pēc tam administratīvajai tiesai kontrolēt iestādes rīcības tiesiskumu, nav nekāda pamata uzskatīt, ka šāds procesuālais ceļš pavērtu plašākas iespējas pieteicējas tiesību aizsardzībai, proti, ka tādā veidā palielinātos izredzes iegūt konkrētus pierādījumus.</w:t>
      </w:r>
    </w:p>
    <w:p w14:paraId="1D94E2A6" w14:textId="1500CEEB" w:rsidR="00742D88" w:rsidRDefault="007E16A1" w:rsidP="003367D2">
      <w:pPr>
        <w:tabs>
          <w:tab w:val="left" w:pos="1276"/>
        </w:tabs>
        <w:spacing w:after="0" w:line="276" w:lineRule="auto"/>
        <w:ind w:firstLine="720"/>
        <w:jc w:val="both"/>
        <w:rPr>
          <w:rFonts w:eastAsia="Calibri" w:cs="Times New Roman"/>
          <w:szCs w:val="24"/>
        </w:rPr>
      </w:pPr>
      <w:r>
        <w:rPr>
          <w:rFonts w:eastAsia="Calibri" w:cs="Times New Roman"/>
          <w:szCs w:val="24"/>
        </w:rPr>
        <w:t xml:space="preserve">Tāpat </w:t>
      </w:r>
      <w:r w:rsidR="00A665EA">
        <w:rPr>
          <w:rFonts w:eastAsia="Calibri" w:cs="Times New Roman"/>
          <w:szCs w:val="24"/>
        </w:rPr>
        <w:t xml:space="preserve">var norādīt – lai arī tas neskar tieši pieteikuma izskatīšanas pakļautības jautājumu – </w:t>
      </w:r>
      <w:r>
        <w:rPr>
          <w:rFonts w:eastAsia="Calibri" w:cs="Times New Roman"/>
          <w:szCs w:val="24"/>
        </w:rPr>
        <w:t xml:space="preserve">no </w:t>
      </w:r>
      <w:r w:rsidR="00006843">
        <w:rPr>
          <w:rFonts w:eastAsia="Calibri" w:cs="Times New Roman"/>
          <w:szCs w:val="24"/>
        </w:rPr>
        <w:t xml:space="preserve">Zaudējumu atlīdzināšanas direktīvas </w:t>
      </w:r>
      <w:r>
        <w:rPr>
          <w:rFonts w:eastAsia="Calibri" w:cs="Times New Roman"/>
          <w:szCs w:val="24"/>
        </w:rPr>
        <w:t>6.panta ir skaidri redzams, ka tiesa, izdarot samērīguma apsvērumus, var nolemt prasītāja norādītos pierādījumus arī neizprasīt. Tādējādi jau pati direktīva, lai arī vērsta uz zaudējumu atlīdzināšanas prasību efektivitātes nodrošināšanu, paredz, ka zināmi pierādījumi var netikt izprasīti. Attiecīgi nepamatots ir pieteicējas uzskats, ka tas vien, ka tās iesniegums konkurences iestādei vai lūgums tiesai nav apmierināts, norāda uz pretrunu ar direktīvas mērķiem. Atbilstība direktīvas mērķiem ir jānodrošina tai tiesai, kas izlemj lūgumu par pierādījumu izprasīšanu, tātad – tiesai, kas izskata zaudējumu atlīdzināšanas prasību.</w:t>
      </w:r>
    </w:p>
    <w:p w14:paraId="414E6EEC" w14:textId="421BB17F" w:rsidR="007E16A1" w:rsidRDefault="007E16A1" w:rsidP="003367D2">
      <w:pPr>
        <w:tabs>
          <w:tab w:val="left" w:pos="1276"/>
        </w:tabs>
        <w:spacing w:after="0" w:line="276" w:lineRule="auto"/>
        <w:ind w:firstLine="720"/>
        <w:jc w:val="both"/>
        <w:rPr>
          <w:rFonts w:eastAsia="Calibri" w:cs="Times New Roman"/>
          <w:szCs w:val="24"/>
        </w:rPr>
      </w:pPr>
      <w:r>
        <w:rPr>
          <w:rFonts w:eastAsia="Calibri" w:cs="Times New Roman"/>
          <w:szCs w:val="24"/>
        </w:rPr>
        <w:t>Ievērojot minēto, nav pamata vērsties Eiropas Savienības Tiesā, jo direktīvas i</w:t>
      </w:r>
      <w:r w:rsidR="00412F19">
        <w:rPr>
          <w:rFonts w:eastAsia="Calibri" w:cs="Times New Roman"/>
          <w:szCs w:val="24"/>
        </w:rPr>
        <w:t>nterpretācija tieši attiecībā uz pieteikuma pakļautību nerada šaubas.</w:t>
      </w:r>
    </w:p>
    <w:p w14:paraId="5BB3F9A5" w14:textId="77777777" w:rsidR="00BD2406" w:rsidRDefault="00BD2406" w:rsidP="003367D2">
      <w:pPr>
        <w:tabs>
          <w:tab w:val="left" w:pos="1276"/>
        </w:tabs>
        <w:spacing w:after="0" w:line="276" w:lineRule="auto"/>
        <w:ind w:firstLine="720"/>
        <w:jc w:val="both"/>
        <w:rPr>
          <w:rFonts w:eastAsia="Calibri" w:cs="Times New Roman"/>
          <w:szCs w:val="24"/>
        </w:rPr>
      </w:pPr>
    </w:p>
    <w:p w14:paraId="0459524B" w14:textId="11D4E465" w:rsidR="00946AD8" w:rsidRDefault="00721BE5" w:rsidP="003367D2">
      <w:pPr>
        <w:tabs>
          <w:tab w:val="left" w:pos="1276"/>
        </w:tabs>
        <w:spacing w:after="0" w:line="276" w:lineRule="auto"/>
        <w:ind w:firstLine="720"/>
        <w:jc w:val="both"/>
        <w:rPr>
          <w:rFonts w:eastAsia="Calibri" w:cs="Times New Roman"/>
          <w:szCs w:val="24"/>
        </w:rPr>
      </w:pPr>
      <w:r>
        <w:rPr>
          <w:rFonts w:eastAsia="Calibri" w:cs="Times New Roman"/>
          <w:szCs w:val="24"/>
        </w:rPr>
        <w:t>[</w:t>
      </w:r>
      <w:r w:rsidR="00166F68">
        <w:rPr>
          <w:rFonts w:eastAsia="Calibri" w:cs="Times New Roman"/>
          <w:szCs w:val="24"/>
        </w:rPr>
        <w:t>15</w:t>
      </w:r>
      <w:r>
        <w:rPr>
          <w:rFonts w:eastAsia="Calibri" w:cs="Times New Roman"/>
          <w:szCs w:val="24"/>
        </w:rPr>
        <w:t xml:space="preserve">] Ievērojot iepriekš minētos apsvērumus, </w:t>
      </w:r>
      <w:r w:rsidR="00566C01">
        <w:rPr>
          <w:rFonts w:eastAsia="Calibri" w:cs="Times New Roman"/>
          <w:szCs w:val="24"/>
        </w:rPr>
        <w:t>Administratīvās rajona tiesas tiesneša lēmuma ir atstājams negrozīts.</w:t>
      </w:r>
    </w:p>
    <w:p w14:paraId="41A7C7B4" w14:textId="77777777" w:rsidR="00566C01" w:rsidRDefault="00566C01" w:rsidP="003367D2">
      <w:pPr>
        <w:tabs>
          <w:tab w:val="left" w:pos="1276"/>
        </w:tabs>
        <w:spacing w:after="0" w:line="276" w:lineRule="auto"/>
        <w:ind w:firstLine="720"/>
        <w:jc w:val="both"/>
        <w:rPr>
          <w:rFonts w:eastAsia="Calibri" w:cs="Times New Roman"/>
          <w:szCs w:val="24"/>
        </w:rPr>
      </w:pPr>
    </w:p>
    <w:p w14:paraId="1D86C5AF" w14:textId="77777777" w:rsidR="00566C01" w:rsidRPr="00566C01" w:rsidRDefault="00566C01" w:rsidP="003367D2">
      <w:pPr>
        <w:spacing w:after="0" w:line="276" w:lineRule="auto"/>
        <w:jc w:val="center"/>
        <w:rPr>
          <w:rFonts w:asciiTheme="majorBidi" w:hAnsiTheme="majorBidi" w:cstheme="majorBidi"/>
          <w:szCs w:val="24"/>
        </w:rPr>
      </w:pPr>
      <w:r w:rsidRPr="00566C01">
        <w:rPr>
          <w:rFonts w:asciiTheme="majorBidi" w:hAnsiTheme="majorBidi" w:cstheme="majorBidi"/>
          <w:b/>
          <w:szCs w:val="24"/>
        </w:rPr>
        <w:t>Rezolutīvā daļa</w:t>
      </w:r>
    </w:p>
    <w:p w14:paraId="565A8ED5" w14:textId="77777777" w:rsidR="00566C01" w:rsidRPr="00566C01" w:rsidRDefault="00566C01" w:rsidP="003367D2">
      <w:pPr>
        <w:spacing w:after="0" w:line="276" w:lineRule="auto"/>
        <w:jc w:val="both"/>
        <w:rPr>
          <w:rFonts w:asciiTheme="majorBidi" w:hAnsiTheme="majorBidi" w:cstheme="majorBidi"/>
          <w:szCs w:val="24"/>
        </w:rPr>
      </w:pPr>
    </w:p>
    <w:p w14:paraId="6B266D6C" w14:textId="77777777" w:rsidR="00566C01" w:rsidRPr="00566C01" w:rsidRDefault="00566C01" w:rsidP="003367D2">
      <w:pPr>
        <w:spacing w:after="0" w:line="276" w:lineRule="auto"/>
        <w:ind w:firstLine="709"/>
        <w:jc w:val="both"/>
        <w:rPr>
          <w:rFonts w:asciiTheme="majorBidi" w:hAnsiTheme="majorBidi" w:cstheme="majorBidi"/>
          <w:szCs w:val="24"/>
        </w:rPr>
      </w:pPr>
      <w:r w:rsidRPr="00566C01">
        <w:rPr>
          <w:rFonts w:asciiTheme="majorBidi" w:hAnsiTheme="majorBidi" w:cstheme="majorBidi"/>
          <w:szCs w:val="24"/>
        </w:rPr>
        <w:t xml:space="preserve">Pamatojoties uz Administratīvā procesa likuma </w:t>
      </w:r>
      <w:r w:rsidRPr="00566C01">
        <w:rPr>
          <w:rFonts w:ascii="TimesNewRomanPSMT" w:hAnsi="TimesNewRomanPSMT" w:cs="TimesNewRomanPSMT"/>
          <w:szCs w:val="24"/>
        </w:rPr>
        <w:t>323.panta pirmās daļas 3.punktu un 324.panta</w:t>
      </w:r>
      <w:r w:rsidRPr="00566C01">
        <w:rPr>
          <w:rFonts w:cs="Times New Roman"/>
          <w:szCs w:val="24"/>
        </w:rPr>
        <w:t xml:space="preserve"> </w:t>
      </w:r>
      <w:r w:rsidRPr="00566C01">
        <w:rPr>
          <w:rFonts w:ascii="TimesNewRomanPSMT" w:hAnsi="TimesNewRomanPSMT" w:cs="TimesNewRomanPSMT"/>
          <w:szCs w:val="24"/>
        </w:rPr>
        <w:t>pirmo daļu</w:t>
      </w:r>
      <w:r w:rsidRPr="00566C01">
        <w:rPr>
          <w:rFonts w:asciiTheme="majorBidi" w:hAnsiTheme="majorBidi" w:cstheme="majorBidi"/>
          <w:szCs w:val="24"/>
        </w:rPr>
        <w:t>, Senāts</w:t>
      </w:r>
    </w:p>
    <w:p w14:paraId="3C40C597" w14:textId="77777777" w:rsidR="00566C01" w:rsidRPr="00566C01" w:rsidRDefault="00566C01" w:rsidP="003367D2">
      <w:pPr>
        <w:spacing w:after="0" w:line="276" w:lineRule="auto"/>
        <w:jc w:val="both"/>
        <w:rPr>
          <w:rFonts w:asciiTheme="majorBidi" w:hAnsiTheme="majorBidi" w:cstheme="majorBidi"/>
          <w:szCs w:val="24"/>
        </w:rPr>
      </w:pPr>
    </w:p>
    <w:p w14:paraId="1BE9075A" w14:textId="77777777" w:rsidR="00566C01" w:rsidRPr="00566C01" w:rsidRDefault="00566C01" w:rsidP="003367D2">
      <w:pPr>
        <w:spacing w:after="0" w:line="276" w:lineRule="auto"/>
        <w:jc w:val="center"/>
        <w:rPr>
          <w:rFonts w:asciiTheme="majorBidi" w:hAnsiTheme="majorBidi" w:cstheme="majorBidi"/>
          <w:szCs w:val="24"/>
        </w:rPr>
      </w:pPr>
      <w:r w:rsidRPr="00566C01">
        <w:rPr>
          <w:rFonts w:asciiTheme="majorBidi" w:hAnsiTheme="majorBidi" w:cstheme="majorBidi"/>
          <w:b/>
          <w:szCs w:val="24"/>
        </w:rPr>
        <w:t>nolēma</w:t>
      </w:r>
    </w:p>
    <w:p w14:paraId="55CBC4D6" w14:textId="77777777" w:rsidR="00566C01" w:rsidRPr="00566C01" w:rsidRDefault="00566C01" w:rsidP="003367D2">
      <w:pPr>
        <w:spacing w:after="0" w:line="276" w:lineRule="auto"/>
        <w:jc w:val="both"/>
        <w:rPr>
          <w:rFonts w:asciiTheme="majorBidi" w:hAnsiTheme="majorBidi" w:cstheme="majorBidi"/>
          <w:szCs w:val="24"/>
        </w:rPr>
      </w:pPr>
    </w:p>
    <w:p w14:paraId="2F495A51" w14:textId="3EF62AFB" w:rsidR="00566C01" w:rsidRPr="00566C01" w:rsidRDefault="00566C01" w:rsidP="003367D2">
      <w:pPr>
        <w:spacing w:after="0" w:line="276" w:lineRule="auto"/>
        <w:ind w:firstLine="709"/>
        <w:jc w:val="both"/>
        <w:rPr>
          <w:rFonts w:asciiTheme="majorBidi" w:hAnsiTheme="majorBidi" w:cstheme="majorBidi"/>
          <w:szCs w:val="24"/>
        </w:rPr>
      </w:pPr>
      <w:r w:rsidRPr="00566C01">
        <w:t xml:space="preserve">atstāt negrozītu Administratīvās rajona tiesas </w:t>
      </w:r>
      <w:r>
        <w:t xml:space="preserve">tiesneša </w:t>
      </w:r>
      <w:r w:rsidRPr="00566C01">
        <w:rPr>
          <w:rFonts w:asciiTheme="majorBidi" w:hAnsiTheme="majorBidi" w:cstheme="majorBidi"/>
        </w:rPr>
        <w:t xml:space="preserve">2023.gada </w:t>
      </w:r>
      <w:r>
        <w:rPr>
          <w:rFonts w:asciiTheme="majorBidi" w:hAnsiTheme="majorBidi" w:cstheme="majorBidi"/>
        </w:rPr>
        <w:t>2</w:t>
      </w:r>
      <w:r w:rsidRPr="00566C01">
        <w:rPr>
          <w:rFonts w:asciiTheme="majorBidi" w:hAnsiTheme="majorBidi" w:cstheme="majorBidi"/>
        </w:rPr>
        <w:t>8.septembra lēmumu</w:t>
      </w:r>
      <w:r w:rsidRPr="00566C01">
        <w:rPr>
          <w:rFonts w:asciiTheme="majorBidi" w:hAnsiTheme="majorBidi" w:cstheme="majorBidi"/>
          <w:szCs w:val="24"/>
        </w:rPr>
        <w:t xml:space="preserve">, ar kuru </w:t>
      </w:r>
      <w:r>
        <w:rPr>
          <w:rFonts w:asciiTheme="majorBidi" w:hAnsiTheme="majorBidi" w:cstheme="majorBidi"/>
          <w:szCs w:val="24"/>
        </w:rPr>
        <w:t>atteikts pieņemts SIA „Rīgas nami” pieteikumu, un SIA</w:t>
      </w:r>
      <w:r w:rsidR="00FB747C">
        <w:rPr>
          <w:rFonts w:asciiTheme="majorBidi" w:hAnsiTheme="majorBidi" w:cstheme="majorBidi"/>
          <w:szCs w:val="24"/>
        </w:rPr>
        <w:t> </w:t>
      </w:r>
      <w:r>
        <w:rPr>
          <w:rFonts w:asciiTheme="majorBidi" w:hAnsiTheme="majorBidi" w:cstheme="majorBidi"/>
          <w:szCs w:val="24"/>
        </w:rPr>
        <w:t xml:space="preserve">„Rīgas nami” blakus sūdzību </w:t>
      </w:r>
      <w:r w:rsidRPr="00566C01">
        <w:rPr>
          <w:rFonts w:asciiTheme="majorBidi" w:hAnsiTheme="majorBidi" w:cstheme="majorBidi"/>
          <w:szCs w:val="24"/>
        </w:rPr>
        <w:t>noraidīt.</w:t>
      </w:r>
    </w:p>
    <w:p w14:paraId="3E1F41C6" w14:textId="77777777" w:rsidR="00566C01" w:rsidRPr="00566C01" w:rsidRDefault="00566C01" w:rsidP="003367D2">
      <w:pPr>
        <w:spacing w:after="0" w:line="276" w:lineRule="auto"/>
        <w:jc w:val="both"/>
        <w:rPr>
          <w:rFonts w:asciiTheme="majorBidi" w:hAnsiTheme="majorBidi" w:cstheme="majorBidi"/>
          <w:szCs w:val="24"/>
        </w:rPr>
      </w:pPr>
    </w:p>
    <w:p w14:paraId="16835839" w14:textId="77777777" w:rsidR="00566C01" w:rsidRDefault="00566C01" w:rsidP="003367D2">
      <w:pPr>
        <w:spacing w:after="0" w:line="276" w:lineRule="auto"/>
        <w:ind w:firstLine="709"/>
        <w:jc w:val="both"/>
        <w:rPr>
          <w:rFonts w:asciiTheme="majorBidi" w:hAnsiTheme="majorBidi" w:cstheme="majorBidi"/>
          <w:szCs w:val="24"/>
        </w:rPr>
      </w:pPr>
      <w:r w:rsidRPr="00566C01">
        <w:rPr>
          <w:rFonts w:asciiTheme="majorBidi" w:hAnsiTheme="majorBidi" w:cstheme="majorBidi"/>
          <w:szCs w:val="24"/>
        </w:rPr>
        <w:t>Lēmums nav pārsūdzams.</w:t>
      </w:r>
    </w:p>
    <w:p w14:paraId="40B30C75" w14:textId="77777777" w:rsidR="00566C01" w:rsidRDefault="00566C01" w:rsidP="00566C01">
      <w:pPr>
        <w:spacing w:after="0" w:line="276" w:lineRule="auto"/>
        <w:jc w:val="both"/>
        <w:rPr>
          <w:rFonts w:asciiTheme="majorBidi" w:hAnsiTheme="majorBidi" w:cstheme="majorBidi"/>
          <w:szCs w:val="24"/>
        </w:rPr>
      </w:pPr>
    </w:p>
    <w:p w14:paraId="5263226B" w14:textId="77777777" w:rsidR="005960E9" w:rsidRPr="00A86C2B" w:rsidRDefault="005960E9" w:rsidP="00566C01">
      <w:pPr>
        <w:tabs>
          <w:tab w:val="left" w:pos="540"/>
          <w:tab w:val="left" w:pos="6660"/>
        </w:tabs>
        <w:spacing w:after="0" w:line="276" w:lineRule="auto"/>
        <w:jc w:val="both"/>
        <w:rPr>
          <w:rFonts w:eastAsia="Times New Roman" w:cs="Times New Roman"/>
          <w:szCs w:val="24"/>
          <w:lang w:eastAsia="ru-RU"/>
        </w:rPr>
      </w:pPr>
    </w:p>
    <w:sectPr w:rsidR="005960E9" w:rsidRPr="00A86C2B" w:rsidSect="00C325E0">
      <w:footerReference w:type="default" r:id="rId12"/>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E2B03" w14:textId="77777777" w:rsidR="00C325E0" w:rsidRDefault="00C325E0">
      <w:pPr>
        <w:spacing w:after="0" w:line="240" w:lineRule="auto"/>
      </w:pPr>
      <w:r>
        <w:separator/>
      </w:r>
    </w:p>
  </w:endnote>
  <w:endnote w:type="continuationSeparator" w:id="0">
    <w:p w14:paraId="60D1E157" w14:textId="77777777" w:rsidR="00C325E0" w:rsidRDefault="00C3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268047"/>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3D4BC223" w14:textId="50E6AF4B" w:rsidR="00741EF9" w:rsidRPr="009C01D5" w:rsidRDefault="00741EF9" w:rsidP="00C102E7">
            <w:pPr>
              <w:pStyle w:val="Footer"/>
              <w:tabs>
                <w:tab w:val="clear" w:pos="8306"/>
                <w:tab w:val="right" w:pos="8504"/>
              </w:tabs>
              <w:jc w:val="center"/>
              <w:rPr>
                <w:sz w:val="20"/>
                <w:szCs w:val="20"/>
              </w:rPr>
            </w:pPr>
            <w:r w:rsidRPr="009C01D5">
              <w:rPr>
                <w:bCs/>
                <w:sz w:val="20"/>
                <w:szCs w:val="20"/>
              </w:rPr>
              <w:fldChar w:fldCharType="begin"/>
            </w:r>
            <w:r w:rsidRPr="009C01D5">
              <w:rPr>
                <w:bCs/>
                <w:sz w:val="20"/>
                <w:szCs w:val="20"/>
              </w:rPr>
              <w:instrText xml:space="preserve"> PAGE </w:instrText>
            </w:r>
            <w:r w:rsidRPr="009C01D5">
              <w:rPr>
                <w:bCs/>
                <w:sz w:val="20"/>
                <w:szCs w:val="20"/>
              </w:rPr>
              <w:fldChar w:fldCharType="separate"/>
            </w:r>
            <w:r w:rsidR="00F36148" w:rsidRPr="009C01D5">
              <w:rPr>
                <w:bCs/>
                <w:noProof/>
                <w:sz w:val="20"/>
                <w:szCs w:val="20"/>
              </w:rPr>
              <w:t>2</w:t>
            </w:r>
            <w:r w:rsidRPr="009C01D5">
              <w:rPr>
                <w:bCs/>
                <w:sz w:val="20"/>
                <w:szCs w:val="20"/>
              </w:rPr>
              <w:fldChar w:fldCharType="end"/>
            </w:r>
            <w:r w:rsidRPr="009C01D5">
              <w:rPr>
                <w:sz w:val="20"/>
                <w:szCs w:val="20"/>
              </w:rPr>
              <w:t xml:space="preserve"> no </w:t>
            </w:r>
            <w:r w:rsidRPr="009C01D5">
              <w:rPr>
                <w:bCs/>
                <w:sz w:val="20"/>
                <w:szCs w:val="20"/>
              </w:rPr>
              <w:fldChar w:fldCharType="begin"/>
            </w:r>
            <w:r w:rsidRPr="009C01D5">
              <w:rPr>
                <w:bCs/>
                <w:sz w:val="20"/>
                <w:szCs w:val="20"/>
              </w:rPr>
              <w:instrText xml:space="preserve"> NUMPAGES  </w:instrText>
            </w:r>
            <w:r w:rsidRPr="009C01D5">
              <w:rPr>
                <w:bCs/>
                <w:sz w:val="20"/>
                <w:szCs w:val="20"/>
              </w:rPr>
              <w:fldChar w:fldCharType="separate"/>
            </w:r>
            <w:r w:rsidR="00F36148" w:rsidRPr="009C01D5">
              <w:rPr>
                <w:bCs/>
                <w:noProof/>
                <w:sz w:val="20"/>
                <w:szCs w:val="20"/>
              </w:rPr>
              <w:t>2</w:t>
            </w:r>
            <w:r w:rsidRPr="009C01D5">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DE8A" w14:textId="77777777" w:rsidR="00C325E0" w:rsidRDefault="00C325E0">
      <w:pPr>
        <w:spacing w:after="0" w:line="240" w:lineRule="auto"/>
      </w:pPr>
      <w:r>
        <w:separator/>
      </w:r>
    </w:p>
  </w:footnote>
  <w:footnote w:type="continuationSeparator" w:id="0">
    <w:p w14:paraId="355E22F6" w14:textId="77777777" w:rsidR="00C325E0" w:rsidRDefault="00C32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E217E"/>
    <w:multiLevelType w:val="hybridMultilevel"/>
    <w:tmpl w:val="400A3406"/>
    <w:lvl w:ilvl="0" w:tplc="39C22F2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16cid:durableId="130701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E0"/>
    <w:rsid w:val="00000546"/>
    <w:rsid w:val="000029BE"/>
    <w:rsid w:val="000055FF"/>
    <w:rsid w:val="00006843"/>
    <w:rsid w:val="00007043"/>
    <w:rsid w:val="000072B6"/>
    <w:rsid w:val="00011920"/>
    <w:rsid w:val="00021B90"/>
    <w:rsid w:val="00023E4C"/>
    <w:rsid w:val="0002409C"/>
    <w:rsid w:val="00024B3D"/>
    <w:rsid w:val="000264DA"/>
    <w:rsid w:val="0003626D"/>
    <w:rsid w:val="00040366"/>
    <w:rsid w:val="00042237"/>
    <w:rsid w:val="000463CE"/>
    <w:rsid w:val="00046B6E"/>
    <w:rsid w:val="000531DD"/>
    <w:rsid w:val="0005672B"/>
    <w:rsid w:val="00060B71"/>
    <w:rsid w:val="00064FD6"/>
    <w:rsid w:val="000666E4"/>
    <w:rsid w:val="00067E52"/>
    <w:rsid w:val="00071B24"/>
    <w:rsid w:val="000759AD"/>
    <w:rsid w:val="00075C9E"/>
    <w:rsid w:val="000806F1"/>
    <w:rsid w:val="000817C1"/>
    <w:rsid w:val="0008200A"/>
    <w:rsid w:val="00082121"/>
    <w:rsid w:val="0008714E"/>
    <w:rsid w:val="00087F27"/>
    <w:rsid w:val="00091E44"/>
    <w:rsid w:val="00092144"/>
    <w:rsid w:val="000942E0"/>
    <w:rsid w:val="00094610"/>
    <w:rsid w:val="0009665C"/>
    <w:rsid w:val="000A01AF"/>
    <w:rsid w:val="000A127C"/>
    <w:rsid w:val="000A1CEF"/>
    <w:rsid w:val="000A5D4F"/>
    <w:rsid w:val="000B185A"/>
    <w:rsid w:val="000B43CA"/>
    <w:rsid w:val="000B565F"/>
    <w:rsid w:val="000B7FD3"/>
    <w:rsid w:val="000C0CD4"/>
    <w:rsid w:val="000C0EDE"/>
    <w:rsid w:val="000C1E76"/>
    <w:rsid w:val="000C2484"/>
    <w:rsid w:val="000C564A"/>
    <w:rsid w:val="000C5B62"/>
    <w:rsid w:val="000D1BBA"/>
    <w:rsid w:val="000D5CD5"/>
    <w:rsid w:val="000E0F24"/>
    <w:rsid w:val="000E775E"/>
    <w:rsid w:val="000F377C"/>
    <w:rsid w:val="000F3BC8"/>
    <w:rsid w:val="000F7BCE"/>
    <w:rsid w:val="00101809"/>
    <w:rsid w:val="00103D8B"/>
    <w:rsid w:val="001105F1"/>
    <w:rsid w:val="00112833"/>
    <w:rsid w:val="00113DDC"/>
    <w:rsid w:val="00113FC8"/>
    <w:rsid w:val="00121067"/>
    <w:rsid w:val="00121596"/>
    <w:rsid w:val="00122794"/>
    <w:rsid w:val="001231AF"/>
    <w:rsid w:val="001232A5"/>
    <w:rsid w:val="00131DDC"/>
    <w:rsid w:val="001330E5"/>
    <w:rsid w:val="001374D0"/>
    <w:rsid w:val="001375B0"/>
    <w:rsid w:val="00146182"/>
    <w:rsid w:val="001463CB"/>
    <w:rsid w:val="00151001"/>
    <w:rsid w:val="00151F20"/>
    <w:rsid w:val="00153778"/>
    <w:rsid w:val="001576C6"/>
    <w:rsid w:val="00161D6C"/>
    <w:rsid w:val="0016232F"/>
    <w:rsid w:val="00162ACD"/>
    <w:rsid w:val="001644A6"/>
    <w:rsid w:val="00164CC4"/>
    <w:rsid w:val="00166693"/>
    <w:rsid w:val="00166F68"/>
    <w:rsid w:val="00167F60"/>
    <w:rsid w:val="00170236"/>
    <w:rsid w:val="001759DC"/>
    <w:rsid w:val="0017699C"/>
    <w:rsid w:val="00177B18"/>
    <w:rsid w:val="00180550"/>
    <w:rsid w:val="00181111"/>
    <w:rsid w:val="001820AD"/>
    <w:rsid w:val="00182C96"/>
    <w:rsid w:val="00183BCC"/>
    <w:rsid w:val="00184C7B"/>
    <w:rsid w:val="00184FCA"/>
    <w:rsid w:val="0018533B"/>
    <w:rsid w:val="00187426"/>
    <w:rsid w:val="001940F4"/>
    <w:rsid w:val="001974CD"/>
    <w:rsid w:val="001976E9"/>
    <w:rsid w:val="001A2086"/>
    <w:rsid w:val="001A20FC"/>
    <w:rsid w:val="001A4623"/>
    <w:rsid w:val="001A573E"/>
    <w:rsid w:val="001A5F29"/>
    <w:rsid w:val="001B3A5C"/>
    <w:rsid w:val="001B3E16"/>
    <w:rsid w:val="001B75ED"/>
    <w:rsid w:val="001C40FD"/>
    <w:rsid w:val="001C68C5"/>
    <w:rsid w:val="001C7543"/>
    <w:rsid w:val="001D2576"/>
    <w:rsid w:val="001D729D"/>
    <w:rsid w:val="001D741F"/>
    <w:rsid w:val="001D7445"/>
    <w:rsid w:val="001D7C43"/>
    <w:rsid w:val="001E0F58"/>
    <w:rsid w:val="001E5F52"/>
    <w:rsid w:val="001F1F6A"/>
    <w:rsid w:val="00204E1A"/>
    <w:rsid w:val="00205110"/>
    <w:rsid w:val="002057E9"/>
    <w:rsid w:val="0021163E"/>
    <w:rsid w:val="00211DCE"/>
    <w:rsid w:val="00216564"/>
    <w:rsid w:val="00216D1B"/>
    <w:rsid w:val="00217AC7"/>
    <w:rsid w:val="00222986"/>
    <w:rsid w:val="00224413"/>
    <w:rsid w:val="0022624D"/>
    <w:rsid w:val="00227D9B"/>
    <w:rsid w:val="00232CCB"/>
    <w:rsid w:val="0023390A"/>
    <w:rsid w:val="002354E7"/>
    <w:rsid w:val="002360DF"/>
    <w:rsid w:val="00236B10"/>
    <w:rsid w:val="00236D51"/>
    <w:rsid w:val="00236E2A"/>
    <w:rsid w:val="00241CDA"/>
    <w:rsid w:val="00242122"/>
    <w:rsid w:val="00242C55"/>
    <w:rsid w:val="00243294"/>
    <w:rsid w:val="002443F9"/>
    <w:rsid w:val="002448A4"/>
    <w:rsid w:val="00246668"/>
    <w:rsid w:val="002478D2"/>
    <w:rsid w:val="00247ED4"/>
    <w:rsid w:val="00253EE1"/>
    <w:rsid w:val="00262B7D"/>
    <w:rsid w:val="0026337D"/>
    <w:rsid w:val="00263F2B"/>
    <w:rsid w:val="0027662B"/>
    <w:rsid w:val="00277BF3"/>
    <w:rsid w:val="00277D4D"/>
    <w:rsid w:val="00277D5B"/>
    <w:rsid w:val="0028189B"/>
    <w:rsid w:val="00282506"/>
    <w:rsid w:val="00284F03"/>
    <w:rsid w:val="0028620E"/>
    <w:rsid w:val="0029227C"/>
    <w:rsid w:val="00295FF8"/>
    <w:rsid w:val="00297C3B"/>
    <w:rsid w:val="002A2F75"/>
    <w:rsid w:val="002A3AAC"/>
    <w:rsid w:val="002A41C7"/>
    <w:rsid w:val="002A5D58"/>
    <w:rsid w:val="002A7582"/>
    <w:rsid w:val="002B5E2C"/>
    <w:rsid w:val="002B61A4"/>
    <w:rsid w:val="002B6C85"/>
    <w:rsid w:val="002B7F02"/>
    <w:rsid w:val="002C3C6F"/>
    <w:rsid w:val="002C6B25"/>
    <w:rsid w:val="002C7EB1"/>
    <w:rsid w:val="002D0954"/>
    <w:rsid w:val="002D5230"/>
    <w:rsid w:val="002D6107"/>
    <w:rsid w:val="002D6D7A"/>
    <w:rsid w:val="002D7DD1"/>
    <w:rsid w:val="002E61CC"/>
    <w:rsid w:val="002E6490"/>
    <w:rsid w:val="002E6B97"/>
    <w:rsid w:val="002F15A2"/>
    <w:rsid w:val="002F30FD"/>
    <w:rsid w:val="002F52C5"/>
    <w:rsid w:val="002F5C8C"/>
    <w:rsid w:val="00300195"/>
    <w:rsid w:val="00300E0D"/>
    <w:rsid w:val="003018F9"/>
    <w:rsid w:val="003027DF"/>
    <w:rsid w:val="003039A1"/>
    <w:rsid w:val="00305D1F"/>
    <w:rsid w:val="00307D78"/>
    <w:rsid w:val="00307E91"/>
    <w:rsid w:val="00312EF5"/>
    <w:rsid w:val="00313D9B"/>
    <w:rsid w:val="003141BB"/>
    <w:rsid w:val="00323E79"/>
    <w:rsid w:val="003242DD"/>
    <w:rsid w:val="00325452"/>
    <w:rsid w:val="00330857"/>
    <w:rsid w:val="00333ED2"/>
    <w:rsid w:val="003346D6"/>
    <w:rsid w:val="00334F7D"/>
    <w:rsid w:val="003367D2"/>
    <w:rsid w:val="003370FB"/>
    <w:rsid w:val="00337C7A"/>
    <w:rsid w:val="00343C5F"/>
    <w:rsid w:val="00343FB2"/>
    <w:rsid w:val="003449E3"/>
    <w:rsid w:val="003465BE"/>
    <w:rsid w:val="00350471"/>
    <w:rsid w:val="003517EA"/>
    <w:rsid w:val="00351C05"/>
    <w:rsid w:val="00354EB8"/>
    <w:rsid w:val="00357915"/>
    <w:rsid w:val="003611E4"/>
    <w:rsid w:val="00362DF9"/>
    <w:rsid w:val="003651E5"/>
    <w:rsid w:val="00365AAA"/>
    <w:rsid w:val="003673BA"/>
    <w:rsid w:val="00370F2C"/>
    <w:rsid w:val="0037117D"/>
    <w:rsid w:val="003722EB"/>
    <w:rsid w:val="00375973"/>
    <w:rsid w:val="00376C4B"/>
    <w:rsid w:val="00377620"/>
    <w:rsid w:val="0038605C"/>
    <w:rsid w:val="0039063F"/>
    <w:rsid w:val="0039110C"/>
    <w:rsid w:val="00391E5E"/>
    <w:rsid w:val="00393C8F"/>
    <w:rsid w:val="003A18BF"/>
    <w:rsid w:val="003A3BCA"/>
    <w:rsid w:val="003A4B5B"/>
    <w:rsid w:val="003A4C29"/>
    <w:rsid w:val="003A6A38"/>
    <w:rsid w:val="003B1AE4"/>
    <w:rsid w:val="003B2FD4"/>
    <w:rsid w:val="003B3BEB"/>
    <w:rsid w:val="003B5DCE"/>
    <w:rsid w:val="003B60CA"/>
    <w:rsid w:val="003C31C3"/>
    <w:rsid w:val="003C6368"/>
    <w:rsid w:val="003C65FC"/>
    <w:rsid w:val="003D3190"/>
    <w:rsid w:val="003D64F2"/>
    <w:rsid w:val="003E0DBA"/>
    <w:rsid w:val="003E2D72"/>
    <w:rsid w:val="003E3FFB"/>
    <w:rsid w:val="003E5764"/>
    <w:rsid w:val="003E58D0"/>
    <w:rsid w:val="003E707B"/>
    <w:rsid w:val="003E7310"/>
    <w:rsid w:val="003E7A8E"/>
    <w:rsid w:val="003F474B"/>
    <w:rsid w:val="003F6245"/>
    <w:rsid w:val="003F657C"/>
    <w:rsid w:val="003F7D79"/>
    <w:rsid w:val="00400FE0"/>
    <w:rsid w:val="004031AE"/>
    <w:rsid w:val="00412F19"/>
    <w:rsid w:val="004140B5"/>
    <w:rsid w:val="0041480B"/>
    <w:rsid w:val="00414B83"/>
    <w:rsid w:val="004172D6"/>
    <w:rsid w:val="00420607"/>
    <w:rsid w:val="00420C60"/>
    <w:rsid w:val="004215D0"/>
    <w:rsid w:val="0042715D"/>
    <w:rsid w:val="0042721B"/>
    <w:rsid w:val="00427B30"/>
    <w:rsid w:val="00431B6F"/>
    <w:rsid w:val="00433385"/>
    <w:rsid w:val="004344B1"/>
    <w:rsid w:val="00442516"/>
    <w:rsid w:val="00446384"/>
    <w:rsid w:val="00447E83"/>
    <w:rsid w:val="00450768"/>
    <w:rsid w:val="004527A8"/>
    <w:rsid w:val="0045329F"/>
    <w:rsid w:val="0046772A"/>
    <w:rsid w:val="00470CC0"/>
    <w:rsid w:val="0047272A"/>
    <w:rsid w:val="00472AF0"/>
    <w:rsid w:val="004748BD"/>
    <w:rsid w:val="004759B4"/>
    <w:rsid w:val="00475B8A"/>
    <w:rsid w:val="00480A26"/>
    <w:rsid w:val="00483EEF"/>
    <w:rsid w:val="00486AA3"/>
    <w:rsid w:val="0049223C"/>
    <w:rsid w:val="004924FF"/>
    <w:rsid w:val="00492BD6"/>
    <w:rsid w:val="004934AB"/>
    <w:rsid w:val="00493D75"/>
    <w:rsid w:val="0049427A"/>
    <w:rsid w:val="0049548A"/>
    <w:rsid w:val="00497505"/>
    <w:rsid w:val="004A1014"/>
    <w:rsid w:val="004A7F09"/>
    <w:rsid w:val="004B1C28"/>
    <w:rsid w:val="004B2A71"/>
    <w:rsid w:val="004B6593"/>
    <w:rsid w:val="004B6CBC"/>
    <w:rsid w:val="004C29F7"/>
    <w:rsid w:val="004C4781"/>
    <w:rsid w:val="004C5AF9"/>
    <w:rsid w:val="004D113A"/>
    <w:rsid w:val="004D4462"/>
    <w:rsid w:val="004D501F"/>
    <w:rsid w:val="004D569B"/>
    <w:rsid w:val="004E0892"/>
    <w:rsid w:val="004E0BA1"/>
    <w:rsid w:val="004F1779"/>
    <w:rsid w:val="004F33DD"/>
    <w:rsid w:val="004F4AD6"/>
    <w:rsid w:val="004F58D0"/>
    <w:rsid w:val="00504C96"/>
    <w:rsid w:val="00505B21"/>
    <w:rsid w:val="00511EB4"/>
    <w:rsid w:val="00515341"/>
    <w:rsid w:val="0052478D"/>
    <w:rsid w:val="00524C39"/>
    <w:rsid w:val="005255A0"/>
    <w:rsid w:val="005270C7"/>
    <w:rsid w:val="005312C5"/>
    <w:rsid w:val="005320D7"/>
    <w:rsid w:val="00534366"/>
    <w:rsid w:val="00541630"/>
    <w:rsid w:val="00542FC6"/>
    <w:rsid w:val="00546793"/>
    <w:rsid w:val="00546890"/>
    <w:rsid w:val="00547271"/>
    <w:rsid w:val="00551CBD"/>
    <w:rsid w:val="00552C8F"/>
    <w:rsid w:val="00554083"/>
    <w:rsid w:val="00561869"/>
    <w:rsid w:val="00563377"/>
    <w:rsid w:val="005662CD"/>
    <w:rsid w:val="00566A4E"/>
    <w:rsid w:val="00566C01"/>
    <w:rsid w:val="005674AD"/>
    <w:rsid w:val="00571127"/>
    <w:rsid w:val="00575050"/>
    <w:rsid w:val="005757E0"/>
    <w:rsid w:val="005758F9"/>
    <w:rsid w:val="0057784A"/>
    <w:rsid w:val="005834CB"/>
    <w:rsid w:val="00594400"/>
    <w:rsid w:val="00595205"/>
    <w:rsid w:val="005960E9"/>
    <w:rsid w:val="00597618"/>
    <w:rsid w:val="005A0842"/>
    <w:rsid w:val="005A554E"/>
    <w:rsid w:val="005A5DD7"/>
    <w:rsid w:val="005A7090"/>
    <w:rsid w:val="005B287D"/>
    <w:rsid w:val="005B66C3"/>
    <w:rsid w:val="005B67DD"/>
    <w:rsid w:val="005C040D"/>
    <w:rsid w:val="005C0970"/>
    <w:rsid w:val="005C1250"/>
    <w:rsid w:val="005C2548"/>
    <w:rsid w:val="005C3C61"/>
    <w:rsid w:val="005C4374"/>
    <w:rsid w:val="005D050B"/>
    <w:rsid w:val="005D07CF"/>
    <w:rsid w:val="005D0F57"/>
    <w:rsid w:val="005D3842"/>
    <w:rsid w:val="005D420B"/>
    <w:rsid w:val="005D5DC9"/>
    <w:rsid w:val="005D6737"/>
    <w:rsid w:val="005D7FC4"/>
    <w:rsid w:val="005E014C"/>
    <w:rsid w:val="005E4A1A"/>
    <w:rsid w:val="005F07F6"/>
    <w:rsid w:val="005F1958"/>
    <w:rsid w:val="005F1EFA"/>
    <w:rsid w:val="005F3D03"/>
    <w:rsid w:val="005F4A5C"/>
    <w:rsid w:val="005F615A"/>
    <w:rsid w:val="005F7072"/>
    <w:rsid w:val="005F709C"/>
    <w:rsid w:val="00602044"/>
    <w:rsid w:val="0060539B"/>
    <w:rsid w:val="00611D43"/>
    <w:rsid w:val="00614CE3"/>
    <w:rsid w:val="006150B1"/>
    <w:rsid w:val="00622908"/>
    <w:rsid w:val="00623242"/>
    <w:rsid w:val="00632390"/>
    <w:rsid w:val="0063502A"/>
    <w:rsid w:val="00640598"/>
    <w:rsid w:val="00640E30"/>
    <w:rsid w:val="00644D8D"/>
    <w:rsid w:val="006466EE"/>
    <w:rsid w:val="00651A22"/>
    <w:rsid w:val="00654A8F"/>
    <w:rsid w:val="00655793"/>
    <w:rsid w:val="006558F8"/>
    <w:rsid w:val="00657ED8"/>
    <w:rsid w:val="00662E13"/>
    <w:rsid w:val="00662EEB"/>
    <w:rsid w:val="00671358"/>
    <w:rsid w:val="006716F3"/>
    <w:rsid w:val="00671DC6"/>
    <w:rsid w:val="00672A1F"/>
    <w:rsid w:val="00673169"/>
    <w:rsid w:val="00676E06"/>
    <w:rsid w:val="00677CF4"/>
    <w:rsid w:val="00681125"/>
    <w:rsid w:val="006845C3"/>
    <w:rsid w:val="00685336"/>
    <w:rsid w:val="006859B2"/>
    <w:rsid w:val="0069018E"/>
    <w:rsid w:val="006911AA"/>
    <w:rsid w:val="00692714"/>
    <w:rsid w:val="006943C1"/>
    <w:rsid w:val="00697A24"/>
    <w:rsid w:val="006A1F2B"/>
    <w:rsid w:val="006A4C7E"/>
    <w:rsid w:val="006A517F"/>
    <w:rsid w:val="006A532F"/>
    <w:rsid w:val="006B06D1"/>
    <w:rsid w:val="006B2002"/>
    <w:rsid w:val="006B6BEA"/>
    <w:rsid w:val="006B76EB"/>
    <w:rsid w:val="006C29D5"/>
    <w:rsid w:val="006C3698"/>
    <w:rsid w:val="006D18CE"/>
    <w:rsid w:val="006D1907"/>
    <w:rsid w:val="006D191F"/>
    <w:rsid w:val="006D3E3A"/>
    <w:rsid w:val="006D552C"/>
    <w:rsid w:val="006D6114"/>
    <w:rsid w:val="006D6F9D"/>
    <w:rsid w:val="006E09BF"/>
    <w:rsid w:val="006E7E9C"/>
    <w:rsid w:val="006F6E7E"/>
    <w:rsid w:val="00700EB6"/>
    <w:rsid w:val="007018BC"/>
    <w:rsid w:val="0070235F"/>
    <w:rsid w:val="00710D11"/>
    <w:rsid w:val="007161F9"/>
    <w:rsid w:val="00716243"/>
    <w:rsid w:val="00721BE5"/>
    <w:rsid w:val="00722548"/>
    <w:rsid w:val="007232E7"/>
    <w:rsid w:val="00723428"/>
    <w:rsid w:val="00723497"/>
    <w:rsid w:val="00725E25"/>
    <w:rsid w:val="00732CBF"/>
    <w:rsid w:val="00732E7E"/>
    <w:rsid w:val="00736CB7"/>
    <w:rsid w:val="007375EB"/>
    <w:rsid w:val="0074136A"/>
    <w:rsid w:val="00741EF9"/>
    <w:rsid w:val="007422B8"/>
    <w:rsid w:val="007425A6"/>
    <w:rsid w:val="00742D88"/>
    <w:rsid w:val="0074328C"/>
    <w:rsid w:val="00744457"/>
    <w:rsid w:val="00745B61"/>
    <w:rsid w:val="00747010"/>
    <w:rsid w:val="007473B2"/>
    <w:rsid w:val="00752A1E"/>
    <w:rsid w:val="0075595A"/>
    <w:rsid w:val="00756003"/>
    <w:rsid w:val="0076135D"/>
    <w:rsid w:val="007640C9"/>
    <w:rsid w:val="00764889"/>
    <w:rsid w:val="00767B49"/>
    <w:rsid w:val="00772F65"/>
    <w:rsid w:val="00776A84"/>
    <w:rsid w:val="007804C1"/>
    <w:rsid w:val="00795E31"/>
    <w:rsid w:val="007962F2"/>
    <w:rsid w:val="00797148"/>
    <w:rsid w:val="007A2A37"/>
    <w:rsid w:val="007A50F9"/>
    <w:rsid w:val="007A6521"/>
    <w:rsid w:val="007B020B"/>
    <w:rsid w:val="007B13F3"/>
    <w:rsid w:val="007B35B0"/>
    <w:rsid w:val="007B6F05"/>
    <w:rsid w:val="007C1FCB"/>
    <w:rsid w:val="007C7D33"/>
    <w:rsid w:val="007D12BD"/>
    <w:rsid w:val="007D6779"/>
    <w:rsid w:val="007D70CF"/>
    <w:rsid w:val="007E16A1"/>
    <w:rsid w:val="007E2B9C"/>
    <w:rsid w:val="007E3919"/>
    <w:rsid w:val="007E6D21"/>
    <w:rsid w:val="007E79AB"/>
    <w:rsid w:val="007E7FAD"/>
    <w:rsid w:val="007F106B"/>
    <w:rsid w:val="007F136A"/>
    <w:rsid w:val="007F2717"/>
    <w:rsid w:val="007F738A"/>
    <w:rsid w:val="007F7CFE"/>
    <w:rsid w:val="007F7D39"/>
    <w:rsid w:val="008034B9"/>
    <w:rsid w:val="008116C4"/>
    <w:rsid w:val="008117F7"/>
    <w:rsid w:val="00812C14"/>
    <w:rsid w:val="00815BFB"/>
    <w:rsid w:val="008200B3"/>
    <w:rsid w:val="00820425"/>
    <w:rsid w:val="008204A5"/>
    <w:rsid w:val="00821930"/>
    <w:rsid w:val="00822012"/>
    <w:rsid w:val="00823523"/>
    <w:rsid w:val="00823C2E"/>
    <w:rsid w:val="00825702"/>
    <w:rsid w:val="0082663D"/>
    <w:rsid w:val="00827935"/>
    <w:rsid w:val="00830C18"/>
    <w:rsid w:val="00830F78"/>
    <w:rsid w:val="00833820"/>
    <w:rsid w:val="00841CB9"/>
    <w:rsid w:val="00847A45"/>
    <w:rsid w:val="00847E4F"/>
    <w:rsid w:val="00850803"/>
    <w:rsid w:val="00850E3D"/>
    <w:rsid w:val="00850E3F"/>
    <w:rsid w:val="00851583"/>
    <w:rsid w:val="00857992"/>
    <w:rsid w:val="00857A12"/>
    <w:rsid w:val="00857FA3"/>
    <w:rsid w:val="00860F37"/>
    <w:rsid w:val="008614E0"/>
    <w:rsid w:val="00861B13"/>
    <w:rsid w:val="00863C79"/>
    <w:rsid w:val="00866521"/>
    <w:rsid w:val="00874D5A"/>
    <w:rsid w:val="00875306"/>
    <w:rsid w:val="0087604A"/>
    <w:rsid w:val="00876592"/>
    <w:rsid w:val="00880ED1"/>
    <w:rsid w:val="00884544"/>
    <w:rsid w:val="00884D51"/>
    <w:rsid w:val="00885E44"/>
    <w:rsid w:val="00896207"/>
    <w:rsid w:val="008A3A26"/>
    <w:rsid w:val="008A3D5E"/>
    <w:rsid w:val="008B4711"/>
    <w:rsid w:val="008C619C"/>
    <w:rsid w:val="008D0C46"/>
    <w:rsid w:val="008D4B04"/>
    <w:rsid w:val="008D7F69"/>
    <w:rsid w:val="008E0D3E"/>
    <w:rsid w:val="008E1841"/>
    <w:rsid w:val="008E496F"/>
    <w:rsid w:val="008E68E6"/>
    <w:rsid w:val="008F6695"/>
    <w:rsid w:val="00900E89"/>
    <w:rsid w:val="00900FC0"/>
    <w:rsid w:val="00901CD7"/>
    <w:rsid w:val="0090571B"/>
    <w:rsid w:val="00905E95"/>
    <w:rsid w:val="0090631D"/>
    <w:rsid w:val="00906699"/>
    <w:rsid w:val="00906CB6"/>
    <w:rsid w:val="00907150"/>
    <w:rsid w:val="00912533"/>
    <w:rsid w:val="00914192"/>
    <w:rsid w:val="009157E8"/>
    <w:rsid w:val="00921289"/>
    <w:rsid w:val="009212FD"/>
    <w:rsid w:val="009215DB"/>
    <w:rsid w:val="009219A0"/>
    <w:rsid w:val="00925CEA"/>
    <w:rsid w:val="00927A1E"/>
    <w:rsid w:val="00927C0B"/>
    <w:rsid w:val="00930C40"/>
    <w:rsid w:val="00933D9C"/>
    <w:rsid w:val="00937C0B"/>
    <w:rsid w:val="00946AD8"/>
    <w:rsid w:val="009535EF"/>
    <w:rsid w:val="00955536"/>
    <w:rsid w:val="009557A1"/>
    <w:rsid w:val="00961358"/>
    <w:rsid w:val="009631DE"/>
    <w:rsid w:val="009648F2"/>
    <w:rsid w:val="00970210"/>
    <w:rsid w:val="00971457"/>
    <w:rsid w:val="00971900"/>
    <w:rsid w:val="009813D9"/>
    <w:rsid w:val="00981EA9"/>
    <w:rsid w:val="00981F8E"/>
    <w:rsid w:val="00986B6D"/>
    <w:rsid w:val="0099248B"/>
    <w:rsid w:val="00997163"/>
    <w:rsid w:val="009A3971"/>
    <w:rsid w:val="009A4660"/>
    <w:rsid w:val="009A5191"/>
    <w:rsid w:val="009B12A4"/>
    <w:rsid w:val="009B1925"/>
    <w:rsid w:val="009B4FA0"/>
    <w:rsid w:val="009B5536"/>
    <w:rsid w:val="009B5D28"/>
    <w:rsid w:val="009B6CD3"/>
    <w:rsid w:val="009C01D5"/>
    <w:rsid w:val="009C03B1"/>
    <w:rsid w:val="009C1131"/>
    <w:rsid w:val="009C56EC"/>
    <w:rsid w:val="009D02EA"/>
    <w:rsid w:val="009D23F9"/>
    <w:rsid w:val="009D2B73"/>
    <w:rsid w:val="009D469C"/>
    <w:rsid w:val="009D529C"/>
    <w:rsid w:val="009D679E"/>
    <w:rsid w:val="009E1E3B"/>
    <w:rsid w:val="009E4505"/>
    <w:rsid w:val="009E77B4"/>
    <w:rsid w:val="009E7AF8"/>
    <w:rsid w:val="009F3B87"/>
    <w:rsid w:val="009F45DA"/>
    <w:rsid w:val="009F48BD"/>
    <w:rsid w:val="009F4D7D"/>
    <w:rsid w:val="009F54C3"/>
    <w:rsid w:val="009F658F"/>
    <w:rsid w:val="00A00916"/>
    <w:rsid w:val="00A00F26"/>
    <w:rsid w:val="00A022EC"/>
    <w:rsid w:val="00A04551"/>
    <w:rsid w:val="00A123C1"/>
    <w:rsid w:val="00A1724D"/>
    <w:rsid w:val="00A17CA6"/>
    <w:rsid w:val="00A265F5"/>
    <w:rsid w:val="00A30016"/>
    <w:rsid w:val="00A30F26"/>
    <w:rsid w:val="00A31009"/>
    <w:rsid w:val="00A32582"/>
    <w:rsid w:val="00A33DB3"/>
    <w:rsid w:val="00A45B54"/>
    <w:rsid w:val="00A47A6A"/>
    <w:rsid w:val="00A5008F"/>
    <w:rsid w:val="00A52E6D"/>
    <w:rsid w:val="00A559D6"/>
    <w:rsid w:val="00A61D94"/>
    <w:rsid w:val="00A635EA"/>
    <w:rsid w:val="00A64DF9"/>
    <w:rsid w:val="00A665EA"/>
    <w:rsid w:val="00A67530"/>
    <w:rsid w:val="00A758EF"/>
    <w:rsid w:val="00A8207F"/>
    <w:rsid w:val="00A86C2B"/>
    <w:rsid w:val="00A871E5"/>
    <w:rsid w:val="00A901E1"/>
    <w:rsid w:val="00A9076B"/>
    <w:rsid w:val="00A90DA5"/>
    <w:rsid w:val="00A90DED"/>
    <w:rsid w:val="00A9273D"/>
    <w:rsid w:val="00A975C7"/>
    <w:rsid w:val="00AA2D4B"/>
    <w:rsid w:val="00AA5146"/>
    <w:rsid w:val="00AA782D"/>
    <w:rsid w:val="00AA7AE3"/>
    <w:rsid w:val="00AA7F2B"/>
    <w:rsid w:val="00AB185B"/>
    <w:rsid w:val="00AB563F"/>
    <w:rsid w:val="00AC06F5"/>
    <w:rsid w:val="00AC2836"/>
    <w:rsid w:val="00AC58B8"/>
    <w:rsid w:val="00AD30E4"/>
    <w:rsid w:val="00AD3A4F"/>
    <w:rsid w:val="00AD4F92"/>
    <w:rsid w:val="00AE13EA"/>
    <w:rsid w:val="00AE1BB0"/>
    <w:rsid w:val="00AE22AA"/>
    <w:rsid w:val="00AF420E"/>
    <w:rsid w:val="00AF5675"/>
    <w:rsid w:val="00AF6EA8"/>
    <w:rsid w:val="00AF72AD"/>
    <w:rsid w:val="00AF7F4C"/>
    <w:rsid w:val="00B12E25"/>
    <w:rsid w:val="00B16AA8"/>
    <w:rsid w:val="00B176D8"/>
    <w:rsid w:val="00B17FBB"/>
    <w:rsid w:val="00B21982"/>
    <w:rsid w:val="00B23474"/>
    <w:rsid w:val="00B24267"/>
    <w:rsid w:val="00B24FC3"/>
    <w:rsid w:val="00B3025C"/>
    <w:rsid w:val="00B30A3D"/>
    <w:rsid w:val="00B3488C"/>
    <w:rsid w:val="00B376AE"/>
    <w:rsid w:val="00B41F8A"/>
    <w:rsid w:val="00B47B50"/>
    <w:rsid w:val="00B505A2"/>
    <w:rsid w:val="00B51077"/>
    <w:rsid w:val="00B650D9"/>
    <w:rsid w:val="00B662F1"/>
    <w:rsid w:val="00B711E1"/>
    <w:rsid w:val="00B730DD"/>
    <w:rsid w:val="00B7702F"/>
    <w:rsid w:val="00B8022B"/>
    <w:rsid w:val="00B81C15"/>
    <w:rsid w:val="00B82361"/>
    <w:rsid w:val="00B823C0"/>
    <w:rsid w:val="00B83473"/>
    <w:rsid w:val="00B83B96"/>
    <w:rsid w:val="00B84096"/>
    <w:rsid w:val="00B85A0C"/>
    <w:rsid w:val="00B86364"/>
    <w:rsid w:val="00B87A6C"/>
    <w:rsid w:val="00B91D41"/>
    <w:rsid w:val="00B9362F"/>
    <w:rsid w:val="00B93983"/>
    <w:rsid w:val="00B95246"/>
    <w:rsid w:val="00BA11FB"/>
    <w:rsid w:val="00BA3DF6"/>
    <w:rsid w:val="00BA6790"/>
    <w:rsid w:val="00BB0D68"/>
    <w:rsid w:val="00BB1EDD"/>
    <w:rsid w:val="00BB221A"/>
    <w:rsid w:val="00BB2915"/>
    <w:rsid w:val="00BB48A6"/>
    <w:rsid w:val="00BC2C7A"/>
    <w:rsid w:val="00BC3CE2"/>
    <w:rsid w:val="00BC5208"/>
    <w:rsid w:val="00BC6968"/>
    <w:rsid w:val="00BD2406"/>
    <w:rsid w:val="00BD3E6F"/>
    <w:rsid w:val="00BD692A"/>
    <w:rsid w:val="00BE0467"/>
    <w:rsid w:val="00BE1C74"/>
    <w:rsid w:val="00BE1EC5"/>
    <w:rsid w:val="00BE2400"/>
    <w:rsid w:val="00BE45A9"/>
    <w:rsid w:val="00BF1F23"/>
    <w:rsid w:val="00BF40BE"/>
    <w:rsid w:val="00BF4EC8"/>
    <w:rsid w:val="00C0183A"/>
    <w:rsid w:val="00C01BDD"/>
    <w:rsid w:val="00C03558"/>
    <w:rsid w:val="00C03AAF"/>
    <w:rsid w:val="00C03D14"/>
    <w:rsid w:val="00C061F2"/>
    <w:rsid w:val="00C072D7"/>
    <w:rsid w:val="00C07593"/>
    <w:rsid w:val="00C07EDE"/>
    <w:rsid w:val="00C102E7"/>
    <w:rsid w:val="00C11639"/>
    <w:rsid w:val="00C15FFA"/>
    <w:rsid w:val="00C20E07"/>
    <w:rsid w:val="00C219AF"/>
    <w:rsid w:val="00C227AF"/>
    <w:rsid w:val="00C231B4"/>
    <w:rsid w:val="00C243FB"/>
    <w:rsid w:val="00C24A9E"/>
    <w:rsid w:val="00C258BF"/>
    <w:rsid w:val="00C30E32"/>
    <w:rsid w:val="00C325E0"/>
    <w:rsid w:val="00C33E46"/>
    <w:rsid w:val="00C34F15"/>
    <w:rsid w:val="00C353F9"/>
    <w:rsid w:val="00C4070C"/>
    <w:rsid w:val="00C40821"/>
    <w:rsid w:val="00C41382"/>
    <w:rsid w:val="00C41937"/>
    <w:rsid w:val="00C41AD7"/>
    <w:rsid w:val="00C4358C"/>
    <w:rsid w:val="00C46D67"/>
    <w:rsid w:val="00C47214"/>
    <w:rsid w:val="00C47A1F"/>
    <w:rsid w:val="00C52B20"/>
    <w:rsid w:val="00C54E17"/>
    <w:rsid w:val="00C56578"/>
    <w:rsid w:val="00C60750"/>
    <w:rsid w:val="00C608B4"/>
    <w:rsid w:val="00C61053"/>
    <w:rsid w:val="00C63B1F"/>
    <w:rsid w:val="00C63E5B"/>
    <w:rsid w:val="00C65918"/>
    <w:rsid w:val="00C66A48"/>
    <w:rsid w:val="00C67AC6"/>
    <w:rsid w:val="00C70A95"/>
    <w:rsid w:val="00C71F97"/>
    <w:rsid w:val="00C75FBD"/>
    <w:rsid w:val="00C81DF1"/>
    <w:rsid w:val="00C8204C"/>
    <w:rsid w:val="00C82426"/>
    <w:rsid w:val="00C83134"/>
    <w:rsid w:val="00C83CFF"/>
    <w:rsid w:val="00C90AA1"/>
    <w:rsid w:val="00CA1548"/>
    <w:rsid w:val="00CA29EE"/>
    <w:rsid w:val="00CA3403"/>
    <w:rsid w:val="00CA6774"/>
    <w:rsid w:val="00CA6923"/>
    <w:rsid w:val="00CB5ECD"/>
    <w:rsid w:val="00CB6055"/>
    <w:rsid w:val="00CB7181"/>
    <w:rsid w:val="00CC0562"/>
    <w:rsid w:val="00CC4D3D"/>
    <w:rsid w:val="00CC6DDB"/>
    <w:rsid w:val="00CC725A"/>
    <w:rsid w:val="00CC76ED"/>
    <w:rsid w:val="00CD1061"/>
    <w:rsid w:val="00CD404B"/>
    <w:rsid w:val="00CD4758"/>
    <w:rsid w:val="00CD4FFC"/>
    <w:rsid w:val="00CD700C"/>
    <w:rsid w:val="00CD756F"/>
    <w:rsid w:val="00CE1CFE"/>
    <w:rsid w:val="00CE29D5"/>
    <w:rsid w:val="00CE531E"/>
    <w:rsid w:val="00CE5674"/>
    <w:rsid w:val="00CF05CB"/>
    <w:rsid w:val="00CF19B9"/>
    <w:rsid w:val="00CF339A"/>
    <w:rsid w:val="00CF6E2E"/>
    <w:rsid w:val="00D0221F"/>
    <w:rsid w:val="00D02506"/>
    <w:rsid w:val="00D02A4B"/>
    <w:rsid w:val="00D07772"/>
    <w:rsid w:val="00D136A3"/>
    <w:rsid w:val="00D148E8"/>
    <w:rsid w:val="00D15831"/>
    <w:rsid w:val="00D21944"/>
    <w:rsid w:val="00D27E28"/>
    <w:rsid w:val="00D315FF"/>
    <w:rsid w:val="00D40782"/>
    <w:rsid w:val="00D4662E"/>
    <w:rsid w:val="00D5211C"/>
    <w:rsid w:val="00D522DA"/>
    <w:rsid w:val="00D524A1"/>
    <w:rsid w:val="00D54A5D"/>
    <w:rsid w:val="00D56FBA"/>
    <w:rsid w:val="00D60E86"/>
    <w:rsid w:val="00D65E75"/>
    <w:rsid w:val="00D66659"/>
    <w:rsid w:val="00D7671F"/>
    <w:rsid w:val="00D77FFC"/>
    <w:rsid w:val="00D821BB"/>
    <w:rsid w:val="00D865CE"/>
    <w:rsid w:val="00D908DF"/>
    <w:rsid w:val="00D909BB"/>
    <w:rsid w:val="00D90BE1"/>
    <w:rsid w:val="00D929B3"/>
    <w:rsid w:val="00D97316"/>
    <w:rsid w:val="00DB0B11"/>
    <w:rsid w:val="00DB3E80"/>
    <w:rsid w:val="00DB4515"/>
    <w:rsid w:val="00DB5759"/>
    <w:rsid w:val="00DC07E5"/>
    <w:rsid w:val="00DC178D"/>
    <w:rsid w:val="00DC2808"/>
    <w:rsid w:val="00DC318D"/>
    <w:rsid w:val="00DC4FFC"/>
    <w:rsid w:val="00DD0FE5"/>
    <w:rsid w:val="00DD1021"/>
    <w:rsid w:val="00DD2343"/>
    <w:rsid w:val="00DD4EC2"/>
    <w:rsid w:val="00DE2CFB"/>
    <w:rsid w:val="00DE444D"/>
    <w:rsid w:val="00DE4810"/>
    <w:rsid w:val="00DE52ED"/>
    <w:rsid w:val="00DE71D9"/>
    <w:rsid w:val="00DF0263"/>
    <w:rsid w:val="00DF0402"/>
    <w:rsid w:val="00DF09FC"/>
    <w:rsid w:val="00DF2C4B"/>
    <w:rsid w:val="00DF6BCF"/>
    <w:rsid w:val="00DF703C"/>
    <w:rsid w:val="00E00763"/>
    <w:rsid w:val="00E027DC"/>
    <w:rsid w:val="00E037F7"/>
    <w:rsid w:val="00E03B4D"/>
    <w:rsid w:val="00E072F9"/>
    <w:rsid w:val="00E11E28"/>
    <w:rsid w:val="00E1548C"/>
    <w:rsid w:val="00E169E2"/>
    <w:rsid w:val="00E24DED"/>
    <w:rsid w:val="00E3007D"/>
    <w:rsid w:val="00E30FD4"/>
    <w:rsid w:val="00E32430"/>
    <w:rsid w:val="00E37D77"/>
    <w:rsid w:val="00E405C4"/>
    <w:rsid w:val="00E5564D"/>
    <w:rsid w:val="00E55AD2"/>
    <w:rsid w:val="00E55BA9"/>
    <w:rsid w:val="00E57034"/>
    <w:rsid w:val="00E57600"/>
    <w:rsid w:val="00E6072C"/>
    <w:rsid w:val="00E63A45"/>
    <w:rsid w:val="00E66A46"/>
    <w:rsid w:val="00E67B32"/>
    <w:rsid w:val="00E731DC"/>
    <w:rsid w:val="00E73D5A"/>
    <w:rsid w:val="00E75879"/>
    <w:rsid w:val="00E81206"/>
    <w:rsid w:val="00E826D2"/>
    <w:rsid w:val="00E83ED6"/>
    <w:rsid w:val="00E84A92"/>
    <w:rsid w:val="00E84D88"/>
    <w:rsid w:val="00E87093"/>
    <w:rsid w:val="00E87D6F"/>
    <w:rsid w:val="00E91E6C"/>
    <w:rsid w:val="00E96855"/>
    <w:rsid w:val="00E969E6"/>
    <w:rsid w:val="00E97A53"/>
    <w:rsid w:val="00EA5342"/>
    <w:rsid w:val="00EA6F2F"/>
    <w:rsid w:val="00EC27BD"/>
    <w:rsid w:val="00EC2927"/>
    <w:rsid w:val="00EC6D7B"/>
    <w:rsid w:val="00EC7620"/>
    <w:rsid w:val="00EC782F"/>
    <w:rsid w:val="00ED6FBA"/>
    <w:rsid w:val="00EE0926"/>
    <w:rsid w:val="00EE5EDB"/>
    <w:rsid w:val="00EE7944"/>
    <w:rsid w:val="00EF1255"/>
    <w:rsid w:val="00EF1DD5"/>
    <w:rsid w:val="00EF4015"/>
    <w:rsid w:val="00EF7A44"/>
    <w:rsid w:val="00EF7BBE"/>
    <w:rsid w:val="00F04E00"/>
    <w:rsid w:val="00F105B2"/>
    <w:rsid w:val="00F148EE"/>
    <w:rsid w:val="00F1698B"/>
    <w:rsid w:val="00F17528"/>
    <w:rsid w:val="00F24BED"/>
    <w:rsid w:val="00F344AD"/>
    <w:rsid w:val="00F35AB1"/>
    <w:rsid w:val="00F36148"/>
    <w:rsid w:val="00F36FC0"/>
    <w:rsid w:val="00F376DF"/>
    <w:rsid w:val="00F37897"/>
    <w:rsid w:val="00F41328"/>
    <w:rsid w:val="00F47902"/>
    <w:rsid w:val="00F47D39"/>
    <w:rsid w:val="00F47FB6"/>
    <w:rsid w:val="00F5033A"/>
    <w:rsid w:val="00F544B0"/>
    <w:rsid w:val="00F565E6"/>
    <w:rsid w:val="00F57CE3"/>
    <w:rsid w:val="00F638D2"/>
    <w:rsid w:val="00F65AFA"/>
    <w:rsid w:val="00F74187"/>
    <w:rsid w:val="00F76147"/>
    <w:rsid w:val="00F8208E"/>
    <w:rsid w:val="00F82DAE"/>
    <w:rsid w:val="00F84B69"/>
    <w:rsid w:val="00F8500C"/>
    <w:rsid w:val="00F862F9"/>
    <w:rsid w:val="00F87EC8"/>
    <w:rsid w:val="00F90502"/>
    <w:rsid w:val="00F91825"/>
    <w:rsid w:val="00F93CD3"/>
    <w:rsid w:val="00F94F88"/>
    <w:rsid w:val="00F95131"/>
    <w:rsid w:val="00F9691E"/>
    <w:rsid w:val="00F971B2"/>
    <w:rsid w:val="00FA385F"/>
    <w:rsid w:val="00FA3B26"/>
    <w:rsid w:val="00FA5EE7"/>
    <w:rsid w:val="00FA61F7"/>
    <w:rsid w:val="00FB0DAE"/>
    <w:rsid w:val="00FB13D8"/>
    <w:rsid w:val="00FB25A2"/>
    <w:rsid w:val="00FB4177"/>
    <w:rsid w:val="00FB51C4"/>
    <w:rsid w:val="00FB5BEC"/>
    <w:rsid w:val="00FB6E5B"/>
    <w:rsid w:val="00FB70D9"/>
    <w:rsid w:val="00FB7267"/>
    <w:rsid w:val="00FB747C"/>
    <w:rsid w:val="00FC03BB"/>
    <w:rsid w:val="00FC1B77"/>
    <w:rsid w:val="00FC2483"/>
    <w:rsid w:val="00FC4AF0"/>
    <w:rsid w:val="00FC56CC"/>
    <w:rsid w:val="00FD17C9"/>
    <w:rsid w:val="00FD34C6"/>
    <w:rsid w:val="00FD508B"/>
    <w:rsid w:val="00FD55AE"/>
    <w:rsid w:val="00FD7764"/>
    <w:rsid w:val="00FE4EC7"/>
    <w:rsid w:val="00FE543A"/>
    <w:rsid w:val="00FF0063"/>
    <w:rsid w:val="00FF0C7F"/>
    <w:rsid w:val="00FF6E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nhideWhenUsed/>
    <w:rsid w:val="00082121"/>
    <w:rPr>
      <w:sz w:val="16"/>
      <w:szCs w:val="16"/>
    </w:rPr>
  </w:style>
  <w:style w:type="paragraph" w:styleId="CommentText">
    <w:name w:val="annotation text"/>
    <w:basedOn w:val="Normal"/>
    <w:link w:val="CommentTextChar"/>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2A41C7"/>
    <w:rPr>
      <w:color w:val="0563C1" w:themeColor="hyperlink"/>
      <w:u w:val="single"/>
    </w:rPr>
  </w:style>
  <w:style w:type="paragraph" w:styleId="Revision">
    <w:name w:val="Revision"/>
    <w:hidden/>
    <w:uiPriority w:val="99"/>
    <w:semiHidden/>
    <w:rsid w:val="007E7FAD"/>
    <w:pPr>
      <w:spacing w:after="0" w:line="240" w:lineRule="auto"/>
    </w:pPr>
  </w:style>
  <w:style w:type="paragraph" w:customStyle="1" w:styleId="naisf">
    <w:name w:val="naisf"/>
    <w:basedOn w:val="Normal"/>
    <w:rsid w:val="00F36FC0"/>
    <w:pPr>
      <w:spacing w:before="100" w:beforeAutospacing="1" w:after="100" w:afterAutospacing="1" w:line="240" w:lineRule="auto"/>
    </w:pPr>
    <w:rPr>
      <w:rFonts w:eastAsia="Times New Roman" w:cs="Times New Roman"/>
      <w:szCs w:val="24"/>
      <w:lang w:val="en-US"/>
    </w:rPr>
  </w:style>
  <w:style w:type="character" w:styleId="UnresolvedMention">
    <w:name w:val="Unresolved Mention"/>
    <w:basedOn w:val="DefaultParagraphFont"/>
    <w:uiPriority w:val="99"/>
    <w:semiHidden/>
    <w:unhideWhenUsed/>
    <w:rsid w:val="0046772A"/>
    <w:rPr>
      <w:color w:val="605E5C"/>
      <w:shd w:val="clear" w:color="auto" w:fill="E1DFDD"/>
    </w:rPr>
  </w:style>
  <w:style w:type="character" w:styleId="FollowedHyperlink">
    <w:name w:val="FollowedHyperlink"/>
    <w:basedOn w:val="DefaultParagraphFont"/>
    <w:uiPriority w:val="99"/>
    <w:semiHidden/>
    <w:unhideWhenUsed/>
    <w:rsid w:val="009557A1"/>
    <w:rPr>
      <w:color w:val="954F72" w:themeColor="followedHyperlink"/>
      <w:u w:val="single"/>
    </w:rPr>
  </w:style>
  <w:style w:type="paragraph" w:styleId="ListParagraph">
    <w:name w:val="List Paragraph"/>
    <w:aliases w:val="List Paragraph1,Numbered list,Paragraph number"/>
    <w:basedOn w:val="Normal"/>
    <w:link w:val="ListParagraphChar"/>
    <w:uiPriority w:val="34"/>
    <w:qFormat/>
    <w:rsid w:val="00723428"/>
    <w:pPr>
      <w:suppressAutoHyphens/>
      <w:spacing w:after="200" w:line="276" w:lineRule="auto"/>
      <w:ind w:left="720"/>
    </w:pPr>
    <w:rPr>
      <w:rFonts w:ascii="Calibri" w:eastAsia="Calibri" w:hAnsi="Calibri" w:cs="Calibri"/>
      <w:sz w:val="22"/>
      <w:lang w:eastAsia="ar-SA"/>
    </w:rPr>
  </w:style>
  <w:style w:type="character" w:customStyle="1" w:styleId="ListParagraphChar">
    <w:name w:val="List Paragraph Char"/>
    <w:aliases w:val="List Paragraph1 Char,Numbered list Char,Paragraph number Char"/>
    <w:basedOn w:val="DefaultParagraphFont"/>
    <w:link w:val="ListParagraph"/>
    <w:uiPriority w:val="34"/>
    <w:locked/>
    <w:rsid w:val="00723428"/>
    <w:rPr>
      <w:rFonts w:ascii="Calibri" w:eastAsia="Calibri"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20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324" TargetMode="External"/><Relationship Id="rId5" Type="http://schemas.openxmlformats.org/officeDocument/2006/relationships/webSettings" Target="webSettings.xml"/><Relationship Id="rId10" Type="http://schemas.openxmlformats.org/officeDocument/2006/relationships/hyperlink" Target="https://www.at.gov.lv/downloadlawfile/684" TargetMode="External"/><Relationship Id="rId4" Type="http://schemas.openxmlformats.org/officeDocument/2006/relationships/settings" Target="settings.xml"/><Relationship Id="rId9" Type="http://schemas.openxmlformats.org/officeDocument/2006/relationships/hyperlink" Target="https://manas.tiesas.lv/eTiesasMvc/nolemumi/pdf/48354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7CCB-CA1F-47A2-88AB-6A47DDE6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21142</Words>
  <Characters>12051</Characters>
  <Application>Microsoft Office Word</Application>
  <DocSecurity>0</DocSecurity>
  <Lines>100</Lines>
  <Paragraphs>66</Paragraphs>
  <ScaleCrop>false</ScaleCrop>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2024-07-03T05:59:00Z</dcterms:created>
  <dcterms:modified xsi:type="dcterms:W3CDTF">2024-07-03T05:59:00Z</dcterms:modified>
</cp:coreProperties>
</file>