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DF23E" w14:textId="77777777" w:rsidR="00D3524D" w:rsidRDefault="00D3524D" w:rsidP="00AF71D4">
      <w:pPr>
        <w:spacing w:line="276" w:lineRule="auto"/>
        <w:jc w:val="both"/>
        <w:rPr>
          <w:b/>
          <w:bCs/>
          <w:lang w:eastAsia="en-US"/>
        </w:rPr>
      </w:pPr>
      <w:r>
        <w:rPr>
          <w:b/>
          <w:bCs/>
        </w:rPr>
        <w:t>Latvijas likumdevēja kompetence nacionālajos tiesību aktos noteikt vecuma pensijas piešķiršanas noteikumus</w:t>
      </w:r>
    </w:p>
    <w:p w14:paraId="489E8AB5" w14:textId="38900213" w:rsidR="008E312A" w:rsidRPr="00D3524D" w:rsidRDefault="00D3524D" w:rsidP="00AF71D4">
      <w:pPr>
        <w:spacing w:line="276" w:lineRule="auto"/>
        <w:jc w:val="both"/>
        <w:rPr>
          <w:rFonts w:ascii="Calibri" w:hAnsi="Calibri" w:cs="Calibri"/>
          <w:sz w:val="22"/>
          <w:szCs w:val="22"/>
        </w:rPr>
      </w:pPr>
      <w:r>
        <w:t>Vērtējot, vai likuma „Par valsts pensijām” pārejas noteikumu 1.punkts ir Eiropas Savienības tiesībās paredzētās brīvības veikt uzņēmējdarbību vai darba ņēmēju brīvas pārvietošanās ierobežojums, jāņem vērā, ka ar Eiropas Parlamenta un Padomes 2004.gada 29.aprīļa Regulu (EK) Nr. 883/2004 par sociālās nodrošināšanas sistēmu koordinēšanu netiek ieviesta kopēja sociālā nodrošinājuma shēma, bet gan tiek ļauts pastāvēt dažādām valstu shēmām. Proti, dalībvalstis saglabā kompetenci organizēt savas sociālā nodrošinājuma shēmas, un, tā kā Eiropas Savienības līmenī nav veikta saskaņošana, katrai dalībvalstij savos tiesību aktos tostarp jānosaka tiesību uz sociāliem pabalstiem iegūšanas nosacījumi. Īstenojot šo kompetenci, dalībvalstīm tomēr jāievēro Eiropas Savienības tiesības un it īpaši Līgumā par Eiropas Savienības darbību paredzētie noteikumi par visiem Savienības pilsoņiem atzītajām tiesībām brīvi pārvietoties un uzturēties dalībvalstu teritorijā. Tādējādi Latvijas likumdevēja kompetencē ir noteikt vecuma pensijas piešķiršanas noteikumus, vienlaikus ievērojot Eiropas Savienības tiesības.</w:t>
      </w:r>
    </w:p>
    <w:p w14:paraId="132B60E3" w14:textId="11AEE05D" w:rsidR="00D3524D" w:rsidRPr="008E2FD7" w:rsidRDefault="000B77FD" w:rsidP="00AF71D4">
      <w:pPr>
        <w:spacing w:before="240" w:line="276" w:lineRule="auto"/>
        <w:jc w:val="center"/>
        <w:rPr>
          <w:b/>
        </w:rPr>
      </w:pPr>
      <w:r w:rsidRPr="008E2FD7">
        <w:rPr>
          <w:b/>
        </w:rPr>
        <w:t>Latvijas Republikas Senāt</w:t>
      </w:r>
      <w:r w:rsidR="00D3524D">
        <w:rPr>
          <w:b/>
        </w:rPr>
        <w:t>a</w:t>
      </w:r>
      <w:r w:rsidR="00D3524D">
        <w:rPr>
          <w:b/>
        </w:rPr>
        <w:br/>
        <w:t>Administratīvo lietu departamenta</w:t>
      </w:r>
      <w:r w:rsidR="00D3524D">
        <w:rPr>
          <w:b/>
        </w:rPr>
        <w:br/>
        <w:t>2024.gada 9.jūlija</w:t>
      </w:r>
    </w:p>
    <w:p w14:paraId="5CFF3330" w14:textId="38E47F37" w:rsidR="008E312A" w:rsidRDefault="00C826B0" w:rsidP="00AF71D4">
      <w:pPr>
        <w:pStyle w:val="NoSpacing"/>
        <w:spacing w:line="276" w:lineRule="auto"/>
        <w:contextualSpacing/>
        <w:jc w:val="center"/>
        <w:rPr>
          <w:b/>
          <w:lang w:val="lv-LV"/>
        </w:rPr>
      </w:pPr>
      <w:r w:rsidRPr="008E2FD7">
        <w:rPr>
          <w:b/>
          <w:lang w:val="lv-LV"/>
        </w:rPr>
        <w:t>SPRIEDUMS</w:t>
      </w:r>
    </w:p>
    <w:p w14:paraId="7C47AD07" w14:textId="64C5EF69" w:rsidR="00D3524D" w:rsidRPr="007323F8" w:rsidRDefault="00D3524D" w:rsidP="00AF71D4">
      <w:pPr>
        <w:pStyle w:val="NoSpacing"/>
        <w:spacing w:line="276" w:lineRule="auto"/>
        <w:contextualSpacing/>
        <w:jc w:val="center"/>
        <w:rPr>
          <w:b/>
          <w:bCs/>
          <w:lang w:val="lv-LV" w:eastAsia="lv-LV"/>
        </w:rPr>
      </w:pPr>
      <w:r w:rsidRPr="007323F8">
        <w:rPr>
          <w:b/>
          <w:bCs/>
          <w:lang w:val="lv-LV"/>
        </w:rPr>
        <w:t>Lieta Nr. A420156420, SKA</w:t>
      </w:r>
      <w:r w:rsidRPr="007323F8">
        <w:rPr>
          <w:b/>
          <w:bCs/>
          <w:lang w:val="lv-LV" w:eastAsia="lv-LV"/>
        </w:rPr>
        <w:t>-44/2024</w:t>
      </w:r>
    </w:p>
    <w:p w14:paraId="45D04EBC" w14:textId="38034C19" w:rsidR="00D3524D" w:rsidRPr="008E2FD7" w:rsidRDefault="007323F8" w:rsidP="00AF71D4">
      <w:pPr>
        <w:pStyle w:val="NoSpacing"/>
        <w:spacing w:line="276" w:lineRule="auto"/>
        <w:contextualSpacing/>
        <w:jc w:val="center"/>
        <w:rPr>
          <w:b/>
          <w:lang w:val="lv-LV"/>
        </w:rPr>
      </w:pPr>
      <w:hyperlink r:id="rId8" w:history="1">
        <w:r w:rsidRPr="007323F8">
          <w:rPr>
            <w:rStyle w:val="Hyperlink"/>
            <w:rFonts w:ascii="TimesNewRomanPSMT" w:hAnsi="TimesNewRomanPSMT" w:cs="TimesNewRomanPSMT"/>
          </w:rPr>
          <w:t>ECLI:LV:AT:2024:0709.A420156420.9.S</w:t>
        </w:r>
      </w:hyperlink>
      <w:r>
        <w:rPr>
          <w:rFonts w:ascii="TimesNewRomanPSMT" w:hAnsi="TimesNewRomanPSMT" w:cs="TimesNewRomanPSMT"/>
          <w:color w:val="0000EF"/>
        </w:rPr>
        <w:t xml:space="preserve"> </w:t>
      </w:r>
    </w:p>
    <w:p w14:paraId="68DE933C" w14:textId="399CE987" w:rsidR="008E312A" w:rsidRDefault="008E312A" w:rsidP="00AF71D4">
      <w:pPr>
        <w:pStyle w:val="NoSpacing"/>
        <w:spacing w:line="276" w:lineRule="auto"/>
        <w:ind w:firstLine="720"/>
        <w:contextualSpacing/>
        <w:rPr>
          <w:lang w:val="lv-LV"/>
        </w:rPr>
      </w:pPr>
    </w:p>
    <w:p w14:paraId="7E2B2E54" w14:textId="77777777" w:rsidR="008E2FD7" w:rsidRPr="0062328E" w:rsidRDefault="008E2FD7" w:rsidP="00AF71D4">
      <w:pPr>
        <w:spacing w:line="276" w:lineRule="auto"/>
        <w:ind w:firstLine="720"/>
        <w:contextualSpacing/>
        <w:jc w:val="both"/>
      </w:pPr>
      <w:r w:rsidRPr="0062328E">
        <w:t>Senāts šādā sastāvā: senatore referente Līvija Slica, senatori Veronika Krūmiņa un Jānis Pleps</w:t>
      </w:r>
    </w:p>
    <w:p w14:paraId="5A77CECF" w14:textId="77777777" w:rsidR="00C826B0" w:rsidRPr="00004678" w:rsidRDefault="00C826B0" w:rsidP="00AF71D4">
      <w:pPr>
        <w:spacing w:line="276" w:lineRule="auto"/>
        <w:ind w:firstLine="720"/>
        <w:contextualSpacing/>
        <w:jc w:val="both"/>
        <w:rPr>
          <w:noProof/>
        </w:rPr>
      </w:pPr>
    </w:p>
    <w:p w14:paraId="4145BBA2" w14:textId="6F4F3C0B" w:rsidR="00C826B0" w:rsidRPr="00004678" w:rsidRDefault="00C826B0" w:rsidP="00AF71D4">
      <w:pPr>
        <w:spacing w:line="276" w:lineRule="auto"/>
        <w:ind w:firstLine="720"/>
        <w:contextualSpacing/>
        <w:jc w:val="both"/>
        <w:rPr>
          <w:noProof/>
        </w:rPr>
      </w:pPr>
      <w:r w:rsidRPr="00004678">
        <w:rPr>
          <w:noProof/>
        </w:rPr>
        <w:t xml:space="preserve">rakstveida procesā izskatīja administratīvo lietu, kas ierosināta, pamatojoties uz </w:t>
      </w:r>
      <w:bookmarkStart w:id="0" w:name="_Hlk172017169"/>
      <w:r w:rsidR="00AF71D4">
        <w:t xml:space="preserve">[pers. A] </w:t>
      </w:r>
      <w:bookmarkEnd w:id="0"/>
      <w:r>
        <w:t>pieteikum</w:t>
      </w:r>
      <w:r w:rsidR="004C3CFA">
        <w:t>iem</w:t>
      </w:r>
      <w:r>
        <w:t xml:space="preserve"> par labvēlī</w:t>
      </w:r>
      <w:r w:rsidR="00294C9A">
        <w:t>gāk</w:t>
      </w:r>
      <w:r w:rsidR="004C3CFA">
        <w:t>a</w:t>
      </w:r>
      <w:r>
        <w:t xml:space="preserve"> administratīvā akta</w:t>
      </w:r>
      <w:r w:rsidR="008E2FD7">
        <w:t xml:space="preserve"> izdošanu</w:t>
      </w:r>
      <w:r>
        <w:t>, pārrēķinot valsts vecuma pensiju</w:t>
      </w:r>
      <w:r w:rsidRPr="00004678">
        <w:t>,</w:t>
      </w:r>
      <w:r w:rsidRPr="00004678">
        <w:rPr>
          <w:bCs/>
          <w:noProof/>
        </w:rPr>
        <w:t xml:space="preserve"> </w:t>
      </w:r>
      <w:r w:rsidRPr="00004678">
        <w:rPr>
          <w:noProof/>
        </w:rPr>
        <w:t xml:space="preserve">sakarā ar </w:t>
      </w:r>
      <w:r w:rsidR="00AF71D4">
        <w:t>[pers. A]</w:t>
      </w:r>
      <w:r w:rsidR="00AF71D4">
        <w:t xml:space="preserve"> </w:t>
      </w:r>
      <w:r w:rsidRPr="00004678">
        <w:rPr>
          <w:noProof/>
        </w:rPr>
        <w:t>kasācijas sūdzību par Administratīvās apgabaltiesas 202</w:t>
      </w:r>
      <w:r>
        <w:rPr>
          <w:noProof/>
        </w:rPr>
        <w:t>1</w:t>
      </w:r>
      <w:r w:rsidRPr="00004678">
        <w:rPr>
          <w:noProof/>
        </w:rPr>
        <w:t xml:space="preserve">.gada </w:t>
      </w:r>
      <w:r>
        <w:rPr>
          <w:noProof/>
        </w:rPr>
        <w:t>11</w:t>
      </w:r>
      <w:r w:rsidRPr="00004678">
        <w:rPr>
          <w:noProof/>
        </w:rPr>
        <w:t>.</w:t>
      </w:r>
      <w:r>
        <w:rPr>
          <w:noProof/>
        </w:rPr>
        <w:t>novembra</w:t>
      </w:r>
      <w:r w:rsidRPr="00004678">
        <w:rPr>
          <w:noProof/>
        </w:rPr>
        <w:t xml:space="preserve"> spriedumu.</w:t>
      </w:r>
    </w:p>
    <w:p w14:paraId="2B3C06ED" w14:textId="77777777" w:rsidR="00C826B0" w:rsidRPr="00004678" w:rsidRDefault="00C826B0" w:rsidP="00AF71D4">
      <w:pPr>
        <w:spacing w:line="276" w:lineRule="auto"/>
        <w:ind w:firstLine="567"/>
        <w:contextualSpacing/>
        <w:jc w:val="both"/>
        <w:rPr>
          <w:noProof/>
        </w:rPr>
      </w:pPr>
    </w:p>
    <w:p w14:paraId="38E27A1B" w14:textId="77777777" w:rsidR="00C826B0" w:rsidRPr="00004678" w:rsidRDefault="00C826B0" w:rsidP="00AF71D4">
      <w:pPr>
        <w:pStyle w:val="ATvirsraksts"/>
        <w:contextualSpacing/>
        <w:rPr>
          <w:noProof/>
        </w:rPr>
      </w:pPr>
      <w:r w:rsidRPr="00004678">
        <w:rPr>
          <w:noProof/>
        </w:rPr>
        <w:t>Aprakstošā daļa</w:t>
      </w:r>
    </w:p>
    <w:p w14:paraId="53B7C532" w14:textId="77777777" w:rsidR="00C826B0" w:rsidRPr="008E312A" w:rsidRDefault="00C826B0" w:rsidP="00AF71D4">
      <w:pPr>
        <w:pStyle w:val="NoSpacing"/>
        <w:spacing w:line="276" w:lineRule="auto"/>
        <w:rPr>
          <w:lang w:val="lv-LV"/>
        </w:rPr>
      </w:pPr>
    </w:p>
    <w:p w14:paraId="749AB88E" w14:textId="186286F7" w:rsidR="00C826B0" w:rsidRPr="00031887" w:rsidRDefault="00C826B0" w:rsidP="00AF71D4">
      <w:pPr>
        <w:spacing w:line="276" w:lineRule="auto"/>
        <w:ind w:firstLine="720"/>
        <w:jc w:val="both"/>
      </w:pPr>
      <w:r>
        <w:t>[1] </w:t>
      </w:r>
      <w:r w:rsidR="00294C9A">
        <w:t>P</w:t>
      </w:r>
      <w:r w:rsidR="00373FA3" w:rsidRPr="0077644F">
        <w:rPr>
          <w:rFonts w:asciiTheme="majorBidi" w:hAnsiTheme="majorBidi" w:cstheme="majorBidi"/>
          <w:color w:val="000000"/>
          <w:lang w:eastAsia="lv-LV"/>
        </w:rPr>
        <w:t xml:space="preserve">ieteicējs </w:t>
      </w:r>
      <w:r w:rsidR="00AF71D4">
        <w:t xml:space="preserve">[pers. A] </w:t>
      </w:r>
      <w:r w:rsidR="00294C9A" w:rsidRPr="0077644F">
        <w:rPr>
          <w:rFonts w:asciiTheme="majorBidi" w:hAnsiTheme="majorBidi" w:cstheme="majorBidi"/>
          <w:color w:val="000000"/>
          <w:lang w:eastAsia="lv-LV"/>
        </w:rPr>
        <w:t>2015.gada 18.jūnijā</w:t>
      </w:r>
      <w:r w:rsidR="00373FA3" w:rsidRPr="0077644F">
        <w:rPr>
          <w:rFonts w:asciiTheme="majorBidi" w:hAnsiTheme="majorBidi" w:cstheme="majorBidi"/>
          <w:color w:val="000000"/>
          <w:lang w:eastAsia="lv-LV"/>
        </w:rPr>
        <w:t xml:space="preserve"> vērsās Valsts sociālās apdrošināšanas aģentūrā </w:t>
      </w:r>
      <w:r w:rsidR="00373FA3" w:rsidRPr="00C826B0">
        <w:t xml:space="preserve">(turpmāk – </w:t>
      </w:r>
      <w:r w:rsidR="00373FA3">
        <w:t>aģentūra</w:t>
      </w:r>
      <w:r w:rsidR="00373FA3" w:rsidRPr="00C826B0">
        <w:t>)</w:t>
      </w:r>
      <w:r w:rsidR="00373FA3" w:rsidRPr="0077644F">
        <w:rPr>
          <w:rFonts w:asciiTheme="majorBidi" w:hAnsiTheme="majorBidi" w:cstheme="majorBidi"/>
          <w:color w:val="000000"/>
          <w:lang w:eastAsia="lv-LV"/>
        </w:rPr>
        <w:t xml:space="preserve"> ar iesniegumu par vecuma pensijas piešķiršanu</w:t>
      </w:r>
      <w:r w:rsidR="00373FA3">
        <w:rPr>
          <w:rFonts w:asciiTheme="majorBidi" w:hAnsiTheme="majorBidi" w:cstheme="majorBidi"/>
          <w:color w:val="000000"/>
          <w:lang w:eastAsia="lv-LV"/>
        </w:rPr>
        <w:t>.</w:t>
      </w:r>
      <w:r w:rsidRPr="00C826B0">
        <w:t xml:space="preserve"> </w:t>
      </w:r>
      <w:r w:rsidR="00524AFF">
        <w:t>P</w:t>
      </w:r>
      <w:r w:rsidRPr="00C826B0">
        <w:t xml:space="preserve">ieteicējam </w:t>
      </w:r>
      <w:r w:rsidR="00524AFF">
        <w:t xml:space="preserve">tika </w:t>
      </w:r>
      <w:r w:rsidRPr="00C826B0">
        <w:t xml:space="preserve">piešķirta vecuma pensija no 2015.gada 14.jūlija, kopējais apdrošināšanas stāžs </w:t>
      </w:r>
      <w:r w:rsidR="005A54E6">
        <w:t xml:space="preserve">– </w:t>
      </w:r>
      <w:r w:rsidRPr="00C826B0">
        <w:t>31 gads 5 mēneši un 17 dienas. Pieteicēja apdrošināšanas stāžā netika ieskaitīti periodi</w:t>
      </w:r>
      <w:r w:rsidR="00387D37">
        <w:t>:</w:t>
      </w:r>
      <w:r w:rsidRPr="00C826B0">
        <w:t xml:space="preserve"> </w:t>
      </w:r>
      <w:r w:rsidR="00387D37" w:rsidRPr="00387D37">
        <w:rPr>
          <w:rFonts w:asciiTheme="majorBidi" w:hAnsiTheme="majorBidi" w:cstheme="majorBidi"/>
          <w:color w:val="000000"/>
          <w:lang w:eastAsia="lv-LV"/>
        </w:rPr>
        <w:t xml:space="preserve">1) no 1970.gada 13.augusta līdz 1971.gada 20.maijam kā laiks pirms </w:t>
      </w:r>
      <w:r w:rsidR="00387D37" w:rsidRPr="00A86E55">
        <w:rPr>
          <w:rFonts w:asciiTheme="majorBidi" w:hAnsiTheme="majorBidi" w:cstheme="majorBidi"/>
          <w:color w:val="000000"/>
          <w:lang w:eastAsia="lv-LV"/>
        </w:rPr>
        <w:t xml:space="preserve">iesaukšanas obligātajā </w:t>
      </w:r>
      <w:r w:rsidR="00031887" w:rsidRPr="00A86E55">
        <w:rPr>
          <w:rFonts w:asciiTheme="majorBidi" w:hAnsiTheme="majorBidi" w:cstheme="majorBidi"/>
          <w:color w:val="000000"/>
          <w:lang w:eastAsia="lv-LV"/>
        </w:rPr>
        <w:t xml:space="preserve">aktīvajā </w:t>
      </w:r>
      <w:r w:rsidR="00387D37" w:rsidRPr="00A86E55">
        <w:rPr>
          <w:rFonts w:asciiTheme="majorBidi" w:hAnsiTheme="majorBidi" w:cstheme="majorBidi"/>
          <w:color w:val="000000"/>
          <w:lang w:eastAsia="lv-LV"/>
        </w:rPr>
        <w:t>militārajā dienestā</w:t>
      </w:r>
      <w:r w:rsidR="00031887" w:rsidRPr="00A86E55">
        <w:rPr>
          <w:rFonts w:asciiTheme="majorBidi" w:hAnsiTheme="majorBidi" w:cstheme="majorBidi"/>
          <w:color w:val="000000"/>
          <w:lang w:eastAsia="lv-LV"/>
        </w:rPr>
        <w:t xml:space="preserve"> PSRS Bruņotajos spēkos (turpmāk – obligātais militārais dienests)</w:t>
      </w:r>
      <w:r w:rsidR="00387D37" w:rsidRPr="00A86E55">
        <w:rPr>
          <w:rFonts w:asciiTheme="majorBidi" w:hAnsiTheme="majorBidi" w:cstheme="majorBidi"/>
          <w:color w:val="000000"/>
          <w:lang w:eastAsia="lv-LV"/>
        </w:rPr>
        <w:t>; 2) no 1971.gada 20.maija līdz 1973.gada 26.maijam – obligātā militārā dienesta laiks; 3) no 1975.gada 1</w:t>
      </w:r>
      <w:r w:rsidR="00387D37" w:rsidRPr="00031887">
        <w:rPr>
          <w:rFonts w:asciiTheme="majorBidi" w:hAnsiTheme="majorBidi" w:cstheme="majorBidi"/>
          <w:color w:val="000000"/>
          <w:lang w:eastAsia="lv-LV"/>
        </w:rPr>
        <w:t>.oktobra līdz 1983.gada 26.septembrim – darbs Krievijas PFSR teritorijā.</w:t>
      </w:r>
    </w:p>
    <w:p w14:paraId="4C75F25A" w14:textId="7C0B8721" w:rsidR="00387D37" w:rsidRPr="00294C9A" w:rsidRDefault="00C826B0" w:rsidP="00AF71D4">
      <w:pPr>
        <w:pStyle w:val="NoSpacing"/>
        <w:spacing w:line="276" w:lineRule="auto"/>
        <w:ind w:firstLine="720"/>
        <w:jc w:val="both"/>
        <w:rPr>
          <w:rFonts w:asciiTheme="majorBidi" w:eastAsia="Times New Roman" w:hAnsiTheme="majorBidi" w:cstheme="majorBidi"/>
          <w:color w:val="000000"/>
          <w:szCs w:val="24"/>
          <w:lang w:val="lv-LV" w:eastAsia="lv-LV"/>
        </w:rPr>
      </w:pPr>
      <w:r w:rsidRPr="00031887">
        <w:rPr>
          <w:lang w:val="lv-LV"/>
        </w:rPr>
        <w:lastRenderedPageBreak/>
        <w:t xml:space="preserve">Pieteicējs vairākkārt vērsās aģentūrā ar iesniegumiem par strīdus periodu ieskaitīšanu apdrošināšanas stāžā un vecuma pensijas pārrēķināšanu. Ar aģentūras </w:t>
      </w:r>
      <w:r w:rsidR="00524AFF" w:rsidRPr="00524AFF">
        <w:rPr>
          <w:rFonts w:asciiTheme="majorBidi" w:eastAsia="Times New Roman" w:hAnsiTheme="majorBidi" w:cstheme="majorBidi"/>
          <w:color w:val="000000"/>
          <w:szCs w:val="24"/>
          <w:lang w:val="lv-LV" w:eastAsia="lv-LV"/>
        </w:rPr>
        <w:t xml:space="preserve">Starptautisko pakalpojumu nodaļas </w:t>
      </w:r>
      <w:r w:rsidRPr="00031887">
        <w:rPr>
          <w:lang w:val="lv-LV"/>
        </w:rPr>
        <w:t>2020.gada 25.marta lēmumu Nr.</w:t>
      </w:r>
      <w:r w:rsidR="008E2FD7" w:rsidRPr="00031887">
        <w:rPr>
          <w:lang w:val="lv-LV"/>
        </w:rPr>
        <w:t> </w:t>
      </w:r>
      <w:r w:rsidRPr="00031887">
        <w:rPr>
          <w:lang w:val="lv-LV"/>
        </w:rPr>
        <w:t xml:space="preserve">20/766144 pieteicēja apdrošināšanas stāžā iekļauts </w:t>
      </w:r>
      <w:r w:rsidR="004C3CFA" w:rsidRPr="00031887">
        <w:rPr>
          <w:rFonts w:asciiTheme="majorBidi" w:eastAsia="Times New Roman" w:hAnsiTheme="majorBidi" w:cstheme="majorBidi"/>
          <w:color w:val="000000"/>
          <w:szCs w:val="24"/>
          <w:lang w:val="lv-LV" w:eastAsia="lv-LV"/>
        </w:rPr>
        <w:t>obligātā militārā</w:t>
      </w:r>
      <w:r w:rsidR="004C3CFA" w:rsidRPr="00031887">
        <w:rPr>
          <w:lang w:val="lv-LV"/>
        </w:rPr>
        <w:t xml:space="preserve"> </w:t>
      </w:r>
      <w:r w:rsidRPr="00031887">
        <w:rPr>
          <w:lang w:val="lv-LV"/>
        </w:rPr>
        <w:t>dienesta periods Lietuv</w:t>
      </w:r>
      <w:r w:rsidR="00F14A59" w:rsidRPr="00031887">
        <w:rPr>
          <w:lang w:val="lv-LV"/>
        </w:rPr>
        <w:t>as PSR teritorijā</w:t>
      </w:r>
      <w:r w:rsidRPr="00031887">
        <w:rPr>
          <w:lang w:val="lv-LV"/>
        </w:rPr>
        <w:t xml:space="preserve"> no 1971.gada 26.maija līdz 1972.gada 10.maijam un pārrēķināta pieteicēja vecuma pensija sakarā ar apdrošināšanas stāža pārskatīšanu.</w:t>
      </w:r>
      <w:r w:rsidR="007857F6" w:rsidRPr="00031887">
        <w:rPr>
          <w:lang w:val="lv-LV"/>
        </w:rPr>
        <w:t xml:space="preserve"> </w:t>
      </w:r>
      <w:r w:rsidR="00387D37" w:rsidRPr="00031887">
        <w:rPr>
          <w:rFonts w:asciiTheme="majorBidi" w:eastAsia="Times New Roman" w:hAnsiTheme="majorBidi" w:cstheme="majorBidi"/>
          <w:color w:val="000000"/>
          <w:szCs w:val="24"/>
          <w:lang w:val="lv-LV" w:eastAsia="lv-LV"/>
        </w:rPr>
        <w:t xml:space="preserve">Izskatot pieteicēja apstrīdēšanas iesniegumu, </w:t>
      </w:r>
      <w:r w:rsidR="00F14A59" w:rsidRPr="00031887">
        <w:rPr>
          <w:rFonts w:asciiTheme="majorBidi" w:eastAsia="Times New Roman" w:hAnsiTheme="majorBidi" w:cstheme="majorBidi"/>
          <w:color w:val="000000"/>
          <w:szCs w:val="24"/>
          <w:lang w:val="lv-LV" w:eastAsia="lv-LV"/>
        </w:rPr>
        <w:t>a</w:t>
      </w:r>
      <w:r w:rsidR="00387D37" w:rsidRPr="00031887">
        <w:rPr>
          <w:rFonts w:asciiTheme="majorBidi" w:eastAsia="Times New Roman" w:hAnsiTheme="majorBidi" w:cstheme="majorBidi"/>
          <w:color w:val="000000"/>
          <w:szCs w:val="24"/>
          <w:lang w:val="lv-LV" w:eastAsia="lv-LV"/>
        </w:rPr>
        <w:t xml:space="preserve">ģentūra ar 2020.gada 11.maija lēmumu Nr. 20/1094279 </w:t>
      </w:r>
      <w:r w:rsidR="00294C9A">
        <w:rPr>
          <w:rFonts w:asciiTheme="majorBidi" w:eastAsia="Times New Roman" w:hAnsiTheme="majorBidi" w:cstheme="majorBidi"/>
          <w:color w:val="000000"/>
          <w:szCs w:val="24"/>
          <w:lang w:val="lv-LV" w:eastAsia="lv-LV"/>
        </w:rPr>
        <w:t>apstrīdēto</w:t>
      </w:r>
      <w:r w:rsidR="00387D37" w:rsidRPr="00031887">
        <w:rPr>
          <w:rFonts w:asciiTheme="majorBidi" w:eastAsia="Times New Roman" w:hAnsiTheme="majorBidi" w:cstheme="majorBidi"/>
          <w:color w:val="000000"/>
          <w:szCs w:val="24"/>
          <w:lang w:val="lv-LV" w:eastAsia="lv-LV"/>
        </w:rPr>
        <w:t xml:space="preserve"> lēmumu atstāja negrozītu</w:t>
      </w:r>
      <w:r w:rsidR="00524AFF">
        <w:rPr>
          <w:rFonts w:asciiTheme="majorBidi" w:eastAsia="Times New Roman" w:hAnsiTheme="majorBidi" w:cstheme="majorBidi"/>
          <w:color w:val="000000"/>
          <w:szCs w:val="24"/>
          <w:lang w:val="lv-LV" w:eastAsia="lv-LV"/>
        </w:rPr>
        <w:t>.</w:t>
      </w:r>
    </w:p>
    <w:p w14:paraId="04CD2FB0" w14:textId="77777777" w:rsidR="00387D37" w:rsidRPr="00031887" w:rsidRDefault="00387D37" w:rsidP="00AF71D4">
      <w:pPr>
        <w:pStyle w:val="NoSpacing"/>
        <w:spacing w:line="276" w:lineRule="auto"/>
        <w:ind w:firstLine="720"/>
        <w:jc w:val="both"/>
        <w:rPr>
          <w:lang w:val="lv-LV"/>
        </w:rPr>
      </w:pPr>
    </w:p>
    <w:p w14:paraId="643BCD9B" w14:textId="7D6B31D9" w:rsidR="007857F6" w:rsidRPr="006453D6" w:rsidRDefault="007857F6" w:rsidP="00AF71D4">
      <w:pPr>
        <w:pStyle w:val="NoSpacing"/>
        <w:spacing w:line="276" w:lineRule="auto"/>
        <w:ind w:firstLine="720"/>
        <w:jc w:val="both"/>
        <w:rPr>
          <w:lang w:val="lv-LV"/>
        </w:rPr>
      </w:pPr>
      <w:r w:rsidRPr="00031887">
        <w:rPr>
          <w:lang w:val="lv-LV"/>
        </w:rPr>
        <w:t>[2] </w:t>
      </w:r>
      <w:r w:rsidR="00387D37" w:rsidRPr="00031887">
        <w:rPr>
          <w:lang w:val="lv-LV"/>
        </w:rPr>
        <w:t>P</w:t>
      </w:r>
      <w:r w:rsidRPr="00031887">
        <w:rPr>
          <w:lang w:val="lv-LV"/>
        </w:rPr>
        <w:t>ieteicēj</w:t>
      </w:r>
      <w:r w:rsidR="00387D37" w:rsidRPr="00031887">
        <w:rPr>
          <w:lang w:val="lv-LV"/>
        </w:rPr>
        <w:t>s nepiekrita aģentūra lēmumam un</w:t>
      </w:r>
      <w:r w:rsidRPr="00031887">
        <w:rPr>
          <w:lang w:val="lv-LV"/>
        </w:rPr>
        <w:t xml:space="preserve"> vērsās tiesā ar pieteikumiem par administratīvo aktu par vecuma pensijas pārrēķināšanu izdošanu, apdrošināšanas stāžā ieskaitot laika periodu no 1970.gada 13.augusta līdz 1971.gada 20.maij</w:t>
      </w:r>
      <w:r w:rsidRPr="00387D37">
        <w:rPr>
          <w:lang w:val="lv-LV"/>
        </w:rPr>
        <w:t>am, no 1975.gada 1.oktobra līdz 1983.gada 26.septembrim (ierosināta lieta Nr. </w:t>
      </w:r>
      <w:r w:rsidRPr="006453D6">
        <w:rPr>
          <w:lang w:val="lv-LV"/>
        </w:rPr>
        <w:t xml:space="preserve">A420156420) un </w:t>
      </w:r>
      <w:r w:rsidRPr="004C3CFA">
        <w:rPr>
          <w:lang w:val="lv-LV"/>
        </w:rPr>
        <w:t>obligātā militārā dienesta periodu no 1971.gada 20.maija līdz 1973.gada 26.maijam (ierosināta lieta</w:t>
      </w:r>
      <w:r w:rsidRPr="006453D6">
        <w:rPr>
          <w:lang w:val="lv-LV"/>
        </w:rPr>
        <w:t xml:space="preserve"> Nr. A420199120). Administratīvās lietas apvienotas vienā tiesvedībā.</w:t>
      </w:r>
    </w:p>
    <w:p w14:paraId="41DFEF1E" w14:textId="77777777" w:rsidR="00FD6155" w:rsidRPr="00FD6155" w:rsidRDefault="00FD6155" w:rsidP="00AF71D4">
      <w:pPr>
        <w:spacing w:line="276" w:lineRule="auto"/>
        <w:ind w:firstLine="720"/>
        <w:jc w:val="center"/>
      </w:pPr>
    </w:p>
    <w:p w14:paraId="1616C6D1" w14:textId="318E00CD" w:rsidR="007857F6" w:rsidRPr="00004678" w:rsidRDefault="007857F6" w:rsidP="00AF71D4">
      <w:pPr>
        <w:spacing w:line="276" w:lineRule="auto"/>
        <w:ind w:firstLine="720"/>
        <w:jc w:val="both"/>
      </w:pPr>
      <w:r>
        <w:t>[3] </w:t>
      </w:r>
      <w:r w:rsidRPr="00004678">
        <w:rPr>
          <w:rFonts w:eastAsiaTheme="minorEastAsia"/>
          <w:lang w:eastAsia="en-US"/>
        </w:rPr>
        <w:t xml:space="preserve">Administratīvā apgabaltiesa ar </w:t>
      </w:r>
      <w:r w:rsidRPr="00004678">
        <w:rPr>
          <w:noProof/>
        </w:rPr>
        <w:t>202</w:t>
      </w:r>
      <w:r>
        <w:rPr>
          <w:noProof/>
        </w:rPr>
        <w:t>1</w:t>
      </w:r>
      <w:r w:rsidRPr="00004678">
        <w:rPr>
          <w:noProof/>
        </w:rPr>
        <w:t xml:space="preserve">.gada </w:t>
      </w:r>
      <w:r>
        <w:rPr>
          <w:noProof/>
        </w:rPr>
        <w:t>11</w:t>
      </w:r>
      <w:r w:rsidRPr="00004678">
        <w:rPr>
          <w:noProof/>
        </w:rPr>
        <w:t>.</w:t>
      </w:r>
      <w:r>
        <w:rPr>
          <w:noProof/>
        </w:rPr>
        <w:t>novembra</w:t>
      </w:r>
      <w:r w:rsidRPr="00004678">
        <w:rPr>
          <w:noProof/>
        </w:rPr>
        <w:t xml:space="preserve"> spriedumu noraidīja pieteicēja pieteikumu</w:t>
      </w:r>
      <w:r w:rsidRPr="00004678">
        <w:rPr>
          <w:color w:val="000000"/>
        </w:rPr>
        <w:t>.</w:t>
      </w:r>
      <w:r w:rsidRPr="00004678">
        <w:t xml:space="preserve"> Apgabaltiesa</w:t>
      </w:r>
      <w:r w:rsidR="00181BDF">
        <w:t xml:space="preserve"> pi</w:t>
      </w:r>
      <w:r w:rsidRPr="00004678">
        <w:t>evienoj</w:t>
      </w:r>
      <w:r w:rsidR="00181BDF">
        <w:t>ās</w:t>
      </w:r>
      <w:r w:rsidRPr="00004678">
        <w:t xml:space="preserve"> pirmās instances tiesas sprieduma motivācijai</w:t>
      </w:r>
      <w:r w:rsidR="00181BDF">
        <w:t xml:space="preserve"> un pamatoja spriedumu ar</w:t>
      </w:r>
      <w:r w:rsidRPr="00004678">
        <w:t xml:space="preserve"> turpmāk minētajiem argumentiem.</w:t>
      </w:r>
    </w:p>
    <w:p w14:paraId="0DB3605B" w14:textId="08E6FDFE" w:rsidR="002743F0" w:rsidRPr="00A86E55" w:rsidRDefault="00DD0F63" w:rsidP="00AF71D4">
      <w:pPr>
        <w:pStyle w:val="NoSpacing"/>
        <w:spacing w:line="276" w:lineRule="auto"/>
        <w:ind w:firstLine="720"/>
        <w:jc w:val="both"/>
        <w:rPr>
          <w:lang w:val="lv-LV"/>
        </w:rPr>
      </w:pPr>
      <w:r>
        <w:rPr>
          <w:lang w:val="lv-LV"/>
        </w:rPr>
        <w:t>[3.1] </w:t>
      </w:r>
      <w:r w:rsidR="00181BDF">
        <w:rPr>
          <w:lang w:val="lv-LV"/>
        </w:rPr>
        <w:t>P</w:t>
      </w:r>
      <w:r w:rsidR="00181BDF" w:rsidRPr="00DD0F63">
        <w:rPr>
          <w:lang w:val="lv-LV"/>
        </w:rPr>
        <w:t>ieteicēja pastāvīgā dzīvesvieta ir Latvija, viņš ir Lietuvas pilsonis</w:t>
      </w:r>
      <w:r w:rsidR="00181BDF">
        <w:rPr>
          <w:lang w:val="lv-LV"/>
        </w:rPr>
        <w:t xml:space="preserve">. Aģentūra pamatoti secināja, ka </w:t>
      </w:r>
      <w:r w:rsidR="00FE6A53" w:rsidRPr="00181BDF">
        <w:rPr>
          <w:lang w:val="lv-LV"/>
        </w:rPr>
        <w:t xml:space="preserve">Latvijas </w:t>
      </w:r>
      <w:r w:rsidR="00FE6A53" w:rsidRPr="00A86E55">
        <w:rPr>
          <w:lang w:val="lv-LV"/>
        </w:rPr>
        <w:t>Republikas un Krievijas Federācijas līgum</w:t>
      </w:r>
      <w:r w:rsidR="00181BDF" w:rsidRPr="00A86E55">
        <w:rPr>
          <w:lang w:val="lv-LV"/>
        </w:rPr>
        <w:t>s</w:t>
      </w:r>
      <w:r w:rsidR="00FE6A53" w:rsidRPr="00A86E55">
        <w:rPr>
          <w:lang w:val="lv-LV"/>
        </w:rPr>
        <w:t xml:space="preserve"> par sadarbību sociālās drošības jomā</w:t>
      </w:r>
      <w:r w:rsidR="00181BDF" w:rsidRPr="00A86E55">
        <w:rPr>
          <w:lang w:val="lv-LV"/>
        </w:rPr>
        <w:t xml:space="preserve"> (turpmāk – Latvijas un Krievijas līgums)</w:t>
      </w:r>
      <w:r w:rsidRPr="00A86E55">
        <w:rPr>
          <w:lang w:val="lv-LV"/>
        </w:rPr>
        <w:t xml:space="preserve"> uz pieteicēju neattiecas</w:t>
      </w:r>
      <w:r w:rsidR="00181BDF" w:rsidRPr="00A86E55">
        <w:rPr>
          <w:lang w:val="lv-LV"/>
        </w:rPr>
        <w:t>.</w:t>
      </w:r>
      <w:r w:rsidRPr="00A86E55">
        <w:rPr>
          <w:lang w:val="lv-LV"/>
        </w:rPr>
        <w:t xml:space="preserve"> </w:t>
      </w:r>
      <w:r w:rsidR="00181BDF" w:rsidRPr="00A86E55">
        <w:rPr>
          <w:lang w:val="lv-LV"/>
        </w:rPr>
        <w:t>P</w:t>
      </w:r>
      <w:r w:rsidRPr="00A86E55">
        <w:rPr>
          <w:lang w:val="lv-LV"/>
        </w:rPr>
        <w:t xml:space="preserve">ieteicējs nav </w:t>
      </w:r>
      <w:r w:rsidR="00FE6A53" w:rsidRPr="00A86E55">
        <w:rPr>
          <w:lang w:val="lv-LV"/>
        </w:rPr>
        <w:t>l</w:t>
      </w:r>
      <w:r w:rsidRPr="00A86E55">
        <w:rPr>
          <w:lang w:val="lv-LV"/>
        </w:rPr>
        <w:t>īguma subjekts</w:t>
      </w:r>
      <w:r w:rsidR="00FE6A53" w:rsidRPr="00A86E55">
        <w:rPr>
          <w:lang w:val="lv-LV"/>
        </w:rPr>
        <w:t>, jo l</w:t>
      </w:r>
      <w:r w:rsidRPr="00A86E55">
        <w:rPr>
          <w:lang w:val="lv-LV"/>
        </w:rPr>
        <w:t>īguma izpratnē pieteicējs ir uzskatāms par treš</w:t>
      </w:r>
      <w:r w:rsidR="00D72AAD" w:rsidRPr="00A86E55">
        <w:rPr>
          <w:lang w:val="lv-LV"/>
        </w:rPr>
        <w:t>ās</w:t>
      </w:r>
      <w:r w:rsidRPr="00A86E55">
        <w:rPr>
          <w:lang w:val="lv-LV"/>
        </w:rPr>
        <w:t xml:space="preserve"> valst</w:t>
      </w:r>
      <w:r w:rsidR="00D72AAD" w:rsidRPr="00A86E55">
        <w:rPr>
          <w:lang w:val="lv-LV"/>
        </w:rPr>
        <w:t>s</w:t>
      </w:r>
      <w:r w:rsidRPr="00A86E55">
        <w:rPr>
          <w:lang w:val="lv-LV"/>
        </w:rPr>
        <w:t xml:space="preserve"> pilsoni.</w:t>
      </w:r>
    </w:p>
    <w:p w14:paraId="7C5005CB" w14:textId="0A482B57" w:rsidR="007857F6" w:rsidRPr="00A86E55" w:rsidRDefault="00FE6A53" w:rsidP="00AF71D4">
      <w:pPr>
        <w:pStyle w:val="NoSpacing"/>
        <w:spacing w:line="276" w:lineRule="auto"/>
        <w:ind w:firstLine="720"/>
        <w:jc w:val="both"/>
        <w:rPr>
          <w:lang w:val="lv-LV"/>
        </w:rPr>
      </w:pPr>
      <w:r w:rsidRPr="00A86E55">
        <w:rPr>
          <w:lang w:val="lv-LV"/>
        </w:rPr>
        <w:t>Tādējādi aģentūra</w:t>
      </w:r>
      <w:r w:rsidR="00DD0F63" w:rsidRPr="00A86E55">
        <w:rPr>
          <w:lang w:val="lv-LV"/>
        </w:rPr>
        <w:t xml:space="preserve"> pamatoti pieteicēja apdrošināšanas stāžā neiekļāva darba periodus Krievijas teritorijā no 1970.gada 13.augusta līdz 1971.gada 20</w:t>
      </w:r>
      <w:r w:rsidRPr="00A86E55">
        <w:rPr>
          <w:lang w:val="lv-LV"/>
        </w:rPr>
        <w:t>.</w:t>
      </w:r>
      <w:r w:rsidR="00DD0F63" w:rsidRPr="00A86E55">
        <w:rPr>
          <w:lang w:val="lv-LV"/>
        </w:rPr>
        <w:t>maijam un no 1975.gada 1.oktobra līdz 1983.gada 26.septembrim.</w:t>
      </w:r>
    </w:p>
    <w:p w14:paraId="6FA0956C" w14:textId="354C142A" w:rsidR="00DD0F63" w:rsidRPr="00A86E55" w:rsidRDefault="00DD0F63" w:rsidP="00AF71D4">
      <w:pPr>
        <w:pStyle w:val="NoSpacing"/>
        <w:spacing w:line="276" w:lineRule="auto"/>
        <w:ind w:firstLine="720"/>
        <w:jc w:val="both"/>
        <w:rPr>
          <w:lang w:val="lv-LV"/>
        </w:rPr>
      </w:pPr>
      <w:r w:rsidRPr="00A86E55">
        <w:rPr>
          <w:lang w:val="lv-LV"/>
        </w:rPr>
        <w:t>[3.2] </w:t>
      </w:r>
      <w:r w:rsidR="00FE6A53" w:rsidRPr="00A86E55">
        <w:rPr>
          <w:lang w:val="lv-LV"/>
        </w:rPr>
        <w:t>Eiropas Parlamenta un Padomes</w:t>
      </w:r>
      <w:r w:rsidR="00993DEC" w:rsidRPr="00A86E55">
        <w:rPr>
          <w:lang w:val="lv-LV"/>
        </w:rPr>
        <w:t xml:space="preserve"> 2004.gada 29.aprīļa</w:t>
      </w:r>
      <w:r w:rsidR="00FE6A53" w:rsidRPr="00A86E55">
        <w:rPr>
          <w:lang w:val="lv-LV"/>
        </w:rPr>
        <w:t xml:space="preserve"> Regula (EK) Nr. 883/2004 par sociālās nodrošināšanas sistēmu koordinēšanu (turpmāk – regula Nr. 883/2004) pieņemta ar mērķi</w:t>
      </w:r>
      <w:r w:rsidR="00294C9A">
        <w:rPr>
          <w:lang w:val="lv-LV"/>
        </w:rPr>
        <w:t xml:space="preserve"> koordinēt</w:t>
      </w:r>
      <w:r w:rsidR="00FE6A53" w:rsidRPr="00A86E55">
        <w:rPr>
          <w:lang w:val="lv-LV"/>
        </w:rPr>
        <w:t xml:space="preserve"> Eiropas Savienības dalībvalstu tiesību aktu</w:t>
      </w:r>
      <w:r w:rsidR="00294C9A">
        <w:rPr>
          <w:lang w:val="lv-LV"/>
        </w:rPr>
        <w:t>s šajā jomā</w:t>
      </w:r>
      <w:r w:rsidR="00FE6A53" w:rsidRPr="00A86E55">
        <w:rPr>
          <w:lang w:val="lv-LV"/>
        </w:rPr>
        <w:t xml:space="preserve">, proti, lai personas, pārvietojoties Eiropas Savienības teritorijā, nezaudētu tiesības uz sociālo nodrošinājumu. Regulā </w:t>
      </w:r>
      <w:r w:rsidR="00294C9A">
        <w:rPr>
          <w:lang w:val="lv-LV"/>
        </w:rPr>
        <w:t>ietverts</w:t>
      </w:r>
      <w:r w:rsidR="00FE6A53" w:rsidRPr="00A86E55">
        <w:rPr>
          <w:lang w:val="lv-LV"/>
        </w:rPr>
        <w:t xml:space="preserve"> arī vienlīdzības (nediskriminācijas) princips, proti, vienas Eiropas Savienības dalībvalsts pilsonis, kurš pārvietojas Eiropas Savienības teritorijā, tiesībās un pienākumos pielīdzināms citas iesaistītās Eiropas Savienības dalībvalsts pilsonim. Minētā regula nosaka vispārējos Eiropas Savienības dalībvalstu sadarbības principus, tomēr regula nenosaka, kādi konkrēti apdrošināšanas periodi jāieskaita apdrošināšanas stāžā, nosakot valsts pensijas apmēru. </w:t>
      </w:r>
      <w:r w:rsidR="00D72AAD" w:rsidRPr="00A86E55">
        <w:rPr>
          <w:lang w:val="lv-LV"/>
        </w:rPr>
        <w:t>M</w:t>
      </w:r>
      <w:r w:rsidR="00FE6A53" w:rsidRPr="00A86E55">
        <w:rPr>
          <w:lang w:val="lv-LV"/>
        </w:rPr>
        <w:t>inētā jautājuma tiesiskais risinājums atstāts dalībvalsts kompetencē.</w:t>
      </w:r>
    </w:p>
    <w:p w14:paraId="1571D86B" w14:textId="4D256545" w:rsidR="00DD0F63" w:rsidRPr="00A86E55" w:rsidRDefault="00DD0F63" w:rsidP="00AF71D4">
      <w:pPr>
        <w:pStyle w:val="NoSpacing"/>
        <w:spacing w:line="276" w:lineRule="auto"/>
        <w:ind w:firstLine="720"/>
        <w:jc w:val="both"/>
        <w:rPr>
          <w:lang w:val="lv-LV"/>
        </w:rPr>
      </w:pPr>
      <w:r w:rsidRPr="00A86E55">
        <w:rPr>
          <w:lang w:val="lv-LV"/>
        </w:rPr>
        <w:t>[3.3] </w:t>
      </w:r>
      <w:r w:rsidR="002B6AE8" w:rsidRPr="00A86E55">
        <w:rPr>
          <w:lang w:val="lv-LV"/>
        </w:rPr>
        <w:t>Eiropas Savienības Tiesas 2002.gada 15.janvāra spriedumā lietā Nr.</w:t>
      </w:r>
      <w:r w:rsidR="004C3CFA" w:rsidRPr="00A86E55">
        <w:rPr>
          <w:lang w:val="lv-LV"/>
        </w:rPr>
        <w:t> </w:t>
      </w:r>
      <w:r w:rsidR="002B6AE8" w:rsidRPr="00A86E55">
        <w:rPr>
          <w:lang w:val="lv-LV"/>
        </w:rPr>
        <w:t xml:space="preserve">C-55/00 </w:t>
      </w:r>
      <w:r w:rsidR="002B6AE8" w:rsidRPr="00286B74">
        <w:rPr>
          <w:i/>
          <w:iCs/>
          <w:lang w:val="lv-LV"/>
        </w:rPr>
        <w:t>Gottardo</w:t>
      </w:r>
      <w:r w:rsidR="002B6AE8" w:rsidRPr="00286B74">
        <w:rPr>
          <w:lang w:val="lv-LV"/>
        </w:rPr>
        <w:t xml:space="preserve"> pret Itāliju </w:t>
      </w:r>
      <w:r w:rsidR="00FE6A53" w:rsidRPr="00286B74">
        <w:rPr>
          <w:lang w:val="lv-LV"/>
        </w:rPr>
        <w:t>tika risināts jautājums par apdrošināšanas stāžu summēšanu, lai personai</w:t>
      </w:r>
      <w:r w:rsidR="00FE6A53" w:rsidRPr="00A86E55">
        <w:rPr>
          <w:lang w:val="lv-LV"/>
        </w:rPr>
        <w:t xml:space="preserve"> rastos tiesības uz valsts vecuma pensiju, ko Itālijas līgums ar Šveici paredzēja tikai minēto valstu pilsoņiem, bet </w:t>
      </w:r>
      <w:r w:rsidR="00FE6A53" w:rsidRPr="00A86E55">
        <w:rPr>
          <w:i/>
          <w:iCs/>
          <w:lang w:val="lv-LV"/>
        </w:rPr>
        <w:t>Gottardo</w:t>
      </w:r>
      <w:r w:rsidR="00FE6A53" w:rsidRPr="00A86E55">
        <w:rPr>
          <w:lang w:val="lv-LV"/>
        </w:rPr>
        <w:t xml:space="preserve"> bija Francijas pilsone. Savukārt izskatāmajā gadījumā strīds </w:t>
      </w:r>
      <w:r w:rsidR="004C3CFA" w:rsidRPr="00A86E55">
        <w:rPr>
          <w:lang w:val="lv-LV"/>
        </w:rPr>
        <w:t>ir</w:t>
      </w:r>
      <w:r w:rsidR="00FE6A53" w:rsidRPr="00A86E55">
        <w:rPr>
          <w:lang w:val="lv-LV"/>
        </w:rPr>
        <w:t xml:space="preserve"> par apdrošināšanas stāžu saistībā ar pensijas apmēra noteikšanu. Attiecīgi minētajā </w:t>
      </w:r>
      <w:r w:rsidR="00FE6A53" w:rsidRPr="00A86E55">
        <w:rPr>
          <w:lang w:val="lv-LV"/>
        </w:rPr>
        <w:lastRenderedPageBreak/>
        <w:t>spriedumā ietvertās atziņas nav piln</w:t>
      </w:r>
      <w:r w:rsidR="00181BDF" w:rsidRPr="00A86E55">
        <w:rPr>
          <w:lang w:val="lv-LV"/>
        </w:rPr>
        <w:t>ībā</w:t>
      </w:r>
      <w:r w:rsidR="00FE6A53" w:rsidRPr="00A86E55">
        <w:rPr>
          <w:lang w:val="lv-LV"/>
        </w:rPr>
        <w:t xml:space="preserve"> attiecināmas uz izskatāmo gadījumu, jo pieteicējam netika liegtas tiesības saņemt valsts vecuma pensiju.</w:t>
      </w:r>
    </w:p>
    <w:p w14:paraId="04DE4ACA" w14:textId="3A9133B9" w:rsidR="00DD0F63" w:rsidRPr="00A86E55" w:rsidRDefault="00DD0F63" w:rsidP="00AF71D4">
      <w:pPr>
        <w:pStyle w:val="NoSpacing"/>
        <w:spacing w:line="276" w:lineRule="auto"/>
        <w:ind w:firstLine="720"/>
        <w:jc w:val="both"/>
        <w:rPr>
          <w:lang w:val="lv-LV"/>
        </w:rPr>
      </w:pPr>
      <w:r w:rsidRPr="00A86E55">
        <w:rPr>
          <w:lang w:val="lv-LV"/>
        </w:rPr>
        <w:t>[3.4] </w:t>
      </w:r>
      <w:r w:rsidR="002743F0" w:rsidRPr="00A86E55">
        <w:rPr>
          <w:lang w:val="lv-LV"/>
        </w:rPr>
        <w:t>Satversmes tiesa 2001.gada 26.jūnija spriedumā lietā Nr. 2001</w:t>
      </w:r>
      <w:r w:rsidR="002743F0" w:rsidRPr="00A86E55">
        <w:rPr>
          <w:lang w:val="lv-LV"/>
        </w:rPr>
        <w:noBreakHyphen/>
        <w:t>02</w:t>
      </w:r>
      <w:r w:rsidR="002743F0" w:rsidRPr="00A86E55">
        <w:rPr>
          <w:lang w:val="lv-LV"/>
        </w:rPr>
        <w:noBreakHyphen/>
        <w:t xml:space="preserve">0106 atzina, ka </w:t>
      </w:r>
      <w:r w:rsidR="00FE6A53" w:rsidRPr="00A86E55">
        <w:rPr>
          <w:lang w:val="lv-LV"/>
        </w:rPr>
        <w:t>ārvalstnieki neatrodas salīdzināmā situācijā</w:t>
      </w:r>
      <w:r w:rsidR="00AE7CDD">
        <w:rPr>
          <w:lang w:val="lv-LV"/>
        </w:rPr>
        <w:t xml:space="preserve"> ar Latvijas pilsoņiem</w:t>
      </w:r>
      <w:r w:rsidR="00FE6A53" w:rsidRPr="00A86E55">
        <w:rPr>
          <w:lang w:val="lv-LV"/>
        </w:rPr>
        <w:t>, tādējādi atšķirīgai sociālās apdrošināšanas stāža aprēķināšanas kārtībai pilsoņiem un ārvalstniekiem ir objektīvs un saprātīgs pamats.</w:t>
      </w:r>
    </w:p>
    <w:p w14:paraId="4A130507" w14:textId="2DAECEEE" w:rsidR="00DD0F63" w:rsidRPr="00A86E55" w:rsidRDefault="00DD0F63" w:rsidP="00AF71D4">
      <w:pPr>
        <w:pStyle w:val="NoSpacing"/>
        <w:spacing w:line="276" w:lineRule="auto"/>
        <w:ind w:firstLine="720"/>
        <w:jc w:val="both"/>
        <w:rPr>
          <w:lang w:val="lv-LV"/>
        </w:rPr>
      </w:pPr>
      <w:r w:rsidRPr="00A86E55">
        <w:rPr>
          <w:lang w:val="lv-LV"/>
        </w:rPr>
        <w:t>[3.5] </w:t>
      </w:r>
      <w:r w:rsidR="00FE6A53" w:rsidRPr="00A86E55">
        <w:rPr>
          <w:lang w:val="lv-LV"/>
        </w:rPr>
        <w:t xml:space="preserve">Aģentūra pamatoti pieteicēja apdrošināšanas stāžā nav iekļāvusi </w:t>
      </w:r>
      <w:r w:rsidR="004C3CFA" w:rsidRPr="00A86E55">
        <w:rPr>
          <w:rFonts w:asciiTheme="majorBidi" w:eastAsia="Times New Roman" w:hAnsiTheme="majorBidi" w:cstheme="majorBidi"/>
          <w:color w:val="000000"/>
          <w:szCs w:val="24"/>
          <w:lang w:val="lv-LV" w:eastAsia="lv-LV"/>
        </w:rPr>
        <w:t>obligātā militārā</w:t>
      </w:r>
      <w:r w:rsidR="004C3CFA" w:rsidRPr="00A86E55">
        <w:rPr>
          <w:lang w:val="lv-LV"/>
        </w:rPr>
        <w:t xml:space="preserve"> </w:t>
      </w:r>
      <w:r w:rsidR="00FE6A53" w:rsidRPr="00A86E55">
        <w:rPr>
          <w:lang w:val="lv-LV"/>
        </w:rPr>
        <w:t>dienesta periodu no 1971.gada 20.maija līdz 25.maijam, jo no pierādījumiem kopsakarā ar apstākli, ka pieteicējs tika iesaukts dienestā Sverdlovskas apgabalā, kas atrodas Krievijas teritorijā, neizriet, ka pieteicējs šajā periodā dienēja Lietuvā.</w:t>
      </w:r>
    </w:p>
    <w:p w14:paraId="4CC0D6DE" w14:textId="1EB3EA2F" w:rsidR="005C46E8" w:rsidRPr="00A86E55" w:rsidRDefault="00DD0F63" w:rsidP="00AF71D4">
      <w:pPr>
        <w:pStyle w:val="NoSpacing"/>
        <w:spacing w:line="276" w:lineRule="auto"/>
        <w:ind w:firstLine="720"/>
        <w:jc w:val="both"/>
        <w:rPr>
          <w:rFonts w:asciiTheme="majorBidi" w:eastAsia="Times New Roman" w:hAnsiTheme="majorBidi" w:cstheme="majorBidi"/>
          <w:color w:val="000000"/>
          <w:szCs w:val="24"/>
          <w:lang w:val="lv-LV" w:eastAsia="lv-LV"/>
        </w:rPr>
      </w:pPr>
      <w:r w:rsidRPr="00A86E55">
        <w:rPr>
          <w:lang w:val="lv-LV"/>
        </w:rPr>
        <w:t>[3.6] </w:t>
      </w:r>
      <w:r w:rsidR="005C46E8" w:rsidRPr="00A86E55">
        <w:rPr>
          <w:rFonts w:asciiTheme="majorBidi" w:eastAsia="Times New Roman" w:hAnsiTheme="majorBidi" w:cstheme="majorBidi"/>
          <w:color w:val="000000"/>
          <w:szCs w:val="24"/>
          <w:lang w:val="lv-LV" w:eastAsia="lv-LV"/>
        </w:rPr>
        <w:t xml:space="preserve">Par </w:t>
      </w:r>
      <w:r w:rsidR="003A37FC" w:rsidRPr="00A86E55">
        <w:rPr>
          <w:rFonts w:asciiTheme="majorBidi" w:eastAsia="Times New Roman" w:hAnsiTheme="majorBidi" w:cstheme="majorBidi"/>
          <w:color w:val="000000"/>
          <w:szCs w:val="24"/>
          <w:lang w:val="lv-LV" w:eastAsia="lv-LV"/>
        </w:rPr>
        <w:t xml:space="preserve">vecuma </w:t>
      </w:r>
      <w:r w:rsidR="005C46E8" w:rsidRPr="00A86E55">
        <w:rPr>
          <w:rFonts w:asciiTheme="majorBidi" w:eastAsia="Times New Roman" w:hAnsiTheme="majorBidi" w:cstheme="majorBidi"/>
          <w:color w:val="000000"/>
          <w:szCs w:val="24"/>
          <w:lang w:val="lv-LV" w:eastAsia="lv-LV"/>
        </w:rPr>
        <w:t xml:space="preserve">pensijas apmēra pārrēķinu saistībā ar </w:t>
      </w:r>
      <w:r w:rsidR="00031887" w:rsidRPr="00A86E55">
        <w:rPr>
          <w:rFonts w:asciiTheme="majorBidi" w:eastAsia="Times New Roman" w:hAnsiTheme="majorBidi" w:cstheme="majorBidi"/>
          <w:color w:val="000000"/>
          <w:szCs w:val="24"/>
          <w:lang w:val="lv-LV" w:eastAsia="lv-LV"/>
        </w:rPr>
        <w:t xml:space="preserve">obligātā militārā </w:t>
      </w:r>
      <w:r w:rsidR="005C46E8" w:rsidRPr="00A86E55">
        <w:rPr>
          <w:rFonts w:asciiTheme="majorBidi" w:eastAsia="Times New Roman" w:hAnsiTheme="majorBidi" w:cstheme="majorBidi"/>
          <w:color w:val="000000"/>
          <w:szCs w:val="24"/>
          <w:lang w:val="lv-LV" w:eastAsia="lv-LV"/>
        </w:rPr>
        <w:t>dienesta periodu no 1971.gada 26.maija līdz 1973.gada 26.maijam secinā</w:t>
      </w:r>
      <w:r w:rsidR="001E567C" w:rsidRPr="00A86E55">
        <w:rPr>
          <w:rFonts w:asciiTheme="majorBidi" w:eastAsia="Times New Roman" w:hAnsiTheme="majorBidi" w:cstheme="majorBidi"/>
          <w:color w:val="000000"/>
          <w:szCs w:val="24"/>
          <w:lang w:val="lv-LV" w:eastAsia="lv-LV"/>
        </w:rPr>
        <w:t>ms</w:t>
      </w:r>
      <w:r w:rsidR="005C46E8" w:rsidRPr="00A86E55">
        <w:rPr>
          <w:rFonts w:asciiTheme="majorBidi" w:eastAsia="Times New Roman" w:hAnsiTheme="majorBidi" w:cstheme="majorBidi"/>
          <w:color w:val="000000"/>
          <w:szCs w:val="24"/>
          <w:lang w:val="lv-LV" w:eastAsia="lv-LV"/>
        </w:rPr>
        <w:t xml:space="preserve"> turpmā</w:t>
      </w:r>
      <w:r w:rsidR="001E567C" w:rsidRPr="00A86E55">
        <w:rPr>
          <w:rFonts w:asciiTheme="majorBidi" w:eastAsia="Times New Roman" w:hAnsiTheme="majorBidi" w:cstheme="majorBidi"/>
          <w:color w:val="000000"/>
          <w:szCs w:val="24"/>
          <w:lang w:val="lv-LV" w:eastAsia="lv-LV"/>
        </w:rPr>
        <w:t>kais</w:t>
      </w:r>
      <w:r w:rsidR="005C46E8" w:rsidRPr="00A86E55">
        <w:rPr>
          <w:rFonts w:asciiTheme="majorBidi" w:eastAsia="Times New Roman" w:hAnsiTheme="majorBidi" w:cstheme="majorBidi"/>
          <w:color w:val="000000"/>
          <w:szCs w:val="24"/>
          <w:lang w:val="lv-LV" w:eastAsia="lv-LV"/>
        </w:rPr>
        <w:t>.</w:t>
      </w:r>
    </w:p>
    <w:p w14:paraId="1D058CBE" w14:textId="4F421FB3" w:rsidR="005C46E8" w:rsidRPr="00A86E55" w:rsidRDefault="001E567C" w:rsidP="00AF71D4">
      <w:pPr>
        <w:spacing w:line="276" w:lineRule="auto"/>
        <w:ind w:firstLine="720"/>
        <w:jc w:val="both"/>
        <w:rPr>
          <w:rFonts w:asciiTheme="majorBidi" w:hAnsiTheme="majorBidi" w:cstheme="majorBidi"/>
          <w:color w:val="000000"/>
          <w:lang w:eastAsia="lv-LV"/>
        </w:rPr>
      </w:pPr>
      <w:r w:rsidRPr="00A86E55">
        <w:rPr>
          <w:rFonts w:asciiTheme="majorBidi" w:hAnsiTheme="majorBidi" w:cstheme="majorBidi"/>
          <w:color w:val="000000"/>
          <w:lang w:eastAsia="lv-LV"/>
        </w:rPr>
        <w:t>Uz</w:t>
      </w:r>
      <w:r w:rsidR="005C46E8" w:rsidRPr="00A86E55">
        <w:rPr>
          <w:rFonts w:asciiTheme="majorBidi" w:hAnsiTheme="majorBidi" w:cstheme="majorBidi"/>
          <w:color w:val="000000"/>
          <w:lang w:eastAsia="lv-LV"/>
        </w:rPr>
        <w:t xml:space="preserve"> pieteicēja 2015.gada 18.jūnija iesniegum</w:t>
      </w:r>
      <w:r w:rsidR="006C5475">
        <w:rPr>
          <w:rFonts w:asciiTheme="majorBidi" w:hAnsiTheme="majorBidi" w:cstheme="majorBidi"/>
          <w:color w:val="000000"/>
          <w:lang w:eastAsia="lv-LV"/>
        </w:rPr>
        <w:t>a</w:t>
      </w:r>
      <w:r w:rsidR="005C46E8" w:rsidRPr="00A86E55">
        <w:rPr>
          <w:rFonts w:asciiTheme="majorBidi" w:hAnsiTheme="majorBidi" w:cstheme="majorBidi"/>
          <w:color w:val="000000"/>
          <w:lang w:eastAsia="lv-LV"/>
        </w:rPr>
        <w:t xml:space="preserve"> vecuma pensijas piešķiršanai ir atzīme par nepieciešamību papildus iesniegt izziņu. Lietas materiālos nav iesniegti pārbaudāmi pierādījumi, kas apstiprinātu, ka </w:t>
      </w:r>
      <w:r w:rsidRPr="00A86E55">
        <w:rPr>
          <w:rFonts w:asciiTheme="majorBidi" w:hAnsiTheme="majorBidi" w:cstheme="majorBidi"/>
          <w:color w:val="000000"/>
          <w:lang w:eastAsia="lv-LV"/>
        </w:rPr>
        <w:t xml:space="preserve">Krievijas Federācijas Aizsardzības ministrijas 2015.gada 28.septembra arhīva izziņa Nr. 8/107698 (turpmāk – 2015.gada 28.septembra izziņa) </w:t>
      </w:r>
      <w:r w:rsidR="005C46E8" w:rsidRPr="00A86E55">
        <w:rPr>
          <w:rFonts w:asciiTheme="majorBidi" w:hAnsiTheme="majorBidi" w:cstheme="majorBidi"/>
          <w:color w:val="000000"/>
          <w:lang w:eastAsia="lv-LV"/>
        </w:rPr>
        <w:t xml:space="preserve">iesniegta </w:t>
      </w:r>
      <w:r w:rsidRPr="00A86E55">
        <w:rPr>
          <w:rFonts w:asciiTheme="majorBidi" w:hAnsiTheme="majorBidi" w:cstheme="majorBidi"/>
          <w:color w:val="000000"/>
          <w:lang w:eastAsia="lv-LV"/>
        </w:rPr>
        <w:t>aģentūrā</w:t>
      </w:r>
      <w:r w:rsidR="005C46E8" w:rsidRPr="00A86E55">
        <w:rPr>
          <w:rFonts w:asciiTheme="majorBidi" w:hAnsiTheme="majorBidi" w:cstheme="majorBidi"/>
          <w:color w:val="000000"/>
          <w:lang w:eastAsia="lv-LV"/>
        </w:rPr>
        <w:t xml:space="preserve"> pirms 2019.gada 8.novembra. Iesniegums</w:t>
      </w:r>
      <w:r w:rsidR="003A37FC" w:rsidRPr="00A86E55">
        <w:rPr>
          <w:rFonts w:asciiTheme="majorBidi" w:hAnsiTheme="majorBidi" w:cstheme="majorBidi"/>
          <w:color w:val="000000"/>
          <w:lang w:eastAsia="lv-LV"/>
        </w:rPr>
        <w:t xml:space="preserve"> vecuma</w:t>
      </w:r>
      <w:r w:rsidR="005C46E8" w:rsidRPr="00A86E55">
        <w:rPr>
          <w:rFonts w:asciiTheme="majorBidi" w:hAnsiTheme="majorBidi" w:cstheme="majorBidi"/>
          <w:color w:val="000000"/>
          <w:lang w:eastAsia="lv-LV"/>
        </w:rPr>
        <w:t xml:space="preserve"> pensijas pārrēķinam kopā ar nepieciešamo arhīva izziņu </w:t>
      </w:r>
      <w:r w:rsidRPr="00A86E55">
        <w:rPr>
          <w:rFonts w:asciiTheme="majorBidi" w:hAnsiTheme="majorBidi" w:cstheme="majorBidi"/>
          <w:color w:val="000000"/>
          <w:lang w:eastAsia="lv-LV"/>
        </w:rPr>
        <w:t xml:space="preserve">aģentūrā </w:t>
      </w:r>
      <w:r w:rsidR="005C46E8" w:rsidRPr="00A86E55">
        <w:rPr>
          <w:rFonts w:asciiTheme="majorBidi" w:hAnsiTheme="majorBidi" w:cstheme="majorBidi"/>
          <w:color w:val="000000"/>
          <w:lang w:eastAsia="lv-LV"/>
        </w:rPr>
        <w:t xml:space="preserve">tika iesniegts 2019.gada 8.novembrī. Attiecīgi </w:t>
      </w:r>
      <w:r w:rsidRPr="00A86E55">
        <w:rPr>
          <w:rFonts w:asciiTheme="majorBidi" w:hAnsiTheme="majorBidi" w:cstheme="majorBidi"/>
          <w:color w:val="000000"/>
          <w:lang w:eastAsia="lv-LV"/>
        </w:rPr>
        <w:t>aģentūra</w:t>
      </w:r>
      <w:r w:rsidR="005C46E8" w:rsidRPr="00A86E55">
        <w:rPr>
          <w:rFonts w:asciiTheme="majorBidi" w:hAnsiTheme="majorBidi" w:cstheme="majorBidi"/>
          <w:color w:val="000000"/>
          <w:lang w:eastAsia="lv-LV"/>
        </w:rPr>
        <w:t xml:space="preserve"> atbilstoši likuma „Par valsts pensijām” 25.panta otrās daļas 1.punktam pamatoti apdrošināšanas stāžā iekļāva obligātā militārā dienesta periodu (1971.gada 26.maijs – 1972.gada 10.maijs) no</w:t>
      </w:r>
      <w:r w:rsidRPr="00A86E55">
        <w:rPr>
          <w:rFonts w:asciiTheme="majorBidi" w:hAnsiTheme="majorBidi" w:cstheme="majorBidi"/>
          <w:color w:val="000000"/>
          <w:lang w:eastAsia="lv-LV"/>
        </w:rPr>
        <w:t xml:space="preserve"> </w:t>
      </w:r>
      <w:r w:rsidR="005C46E8" w:rsidRPr="00A86E55">
        <w:rPr>
          <w:rFonts w:asciiTheme="majorBidi" w:hAnsiTheme="majorBidi" w:cstheme="majorBidi"/>
          <w:color w:val="000000"/>
          <w:lang w:eastAsia="lv-LV"/>
        </w:rPr>
        <w:t>2019.gada 1.novembra.</w:t>
      </w:r>
    </w:p>
    <w:p w14:paraId="558DBBA9" w14:textId="3ACF5F4B" w:rsidR="005C46E8" w:rsidRPr="00A86E55" w:rsidRDefault="005C46E8" w:rsidP="00AF71D4">
      <w:pPr>
        <w:spacing w:line="276" w:lineRule="auto"/>
        <w:ind w:firstLine="720"/>
        <w:jc w:val="both"/>
        <w:rPr>
          <w:rFonts w:asciiTheme="majorBidi" w:hAnsiTheme="majorBidi" w:cstheme="majorBidi"/>
          <w:color w:val="000000"/>
          <w:lang w:eastAsia="lv-LV"/>
        </w:rPr>
      </w:pPr>
      <w:r w:rsidRPr="00A86E55">
        <w:rPr>
          <w:rFonts w:asciiTheme="majorBidi" w:hAnsiTheme="majorBidi" w:cstheme="majorBidi"/>
          <w:color w:val="000000"/>
          <w:lang w:eastAsia="lv-LV"/>
        </w:rPr>
        <w:t xml:space="preserve">2020.gada 10.septembrī </w:t>
      </w:r>
      <w:r w:rsidR="001E567C" w:rsidRPr="00A86E55">
        <w:rPr>
          <w:rFonts w:asciiTheme="majorBidi" w:hAnsiTheme="majorBidi" w:cstheme="majorBidi"/>
          <w:color w:val="000000"/>
          <w:lang w:eastAsia="lv-LV"/>
        </w:rPr>
        <w:t>aģentūrā</w:t>
      </w:r>
      <w:r w:rsidRPr="00A86E55">
        <w:rPr>
          <w:rFonts w:asciiTheme="majorBidi" w:hAnsiTheme="majorBidi" w:cstheme="majorBidi"/>
          <w:color w:val="000000"/>
          <w:lang w:eastAsia="lv-LV"/>
        </w:rPr>
        <w:t xml:space="preserve"> saņemt</w:t>
      </w:r>
      <w:r w:rsidR="002F03E3" w:rsidRPr="00A86E55">
        <w:rPr>
          <w:rFonts w:asciiTheme="majorBidi" w:hAnsiTheme="majorBidi" w:cstheme="majorBidi"/>
          <w:color w:val="000000"/>
          <w:lang w:eastAsia="lv-LV"/>
        </w:rPr>
        <w:t>ajam</w:t>
      </w:r>
      <w:r w:rsidRPr="00A86E55">
        <w:rPr>
          <w:rFonts w:asciiTheme="majorBidi" w:hAnsiTheme="majorBidi" w:cstheme="majorBidi"/>
          <w:color w:val="000000"/>
          <w:lang w:eastAsia="lv-LV"/>
        </w:rPr>
        <w:t xml:space="preserve"> pieteicēja iesniegum</w:t>
      </w:r>
      <w:r w:rsidR="002F03E3" w:rsidRPr="00A86E55">
        <w:rPr>
          <w:rFonts w:asciiTheme="majorBidi" w:hAnsiTheme="majorBidi" w:cstheme="majorBidi"/>
          <w:color w:val="000000"/>
          <w:lang w:eastAsia="lv-LV"/>
        </w:rPr>
        <w:t>am par</w:t>
      </w:r>
      <w:r w:rsidRPr="00A86E55">
        <w:rPr>
          <w:rFonts w:asciiTheme="majorBidi" w:hAnsiTheme="majorBidi" w:cstheme="majorBidi"/>
          <w:color w:val="000000"/>
          <w:lang w:eastAsia="lv-LV"/>
        </w:rPr>
        <w:t xml:space="preserve"> vecuma pensijas pārrēķin</w:t>
      </w:r>
      <w:r w:rsidR="002F03E3" w:rsidRPr="00A86E55">
        <w:rPr>
          <w:rFonts w:asciiTheme="majorBidi" w:hAnsiTheme="majorBidi" w:cstheme="majorBidi"/>
          <w:color w:val="000000"/>
          <w:lang w:eastAsia="lv-LV"/>
        </w:rPr>
        <w:t>u pievienota</w:t>
      </w:r>
      <w:r w:rsidRPr="00A86E55">
        <w:rPr>
          <w:rFonts w:asciiTheme="majorBidi" w:hAnsiTheme="majorBidi" w:cstheme="majorBidi"/>
          <w:color w:val="000000"/>
          <w:lang w:eastAsia="lv-LV"/>
        </w:rPr>
        <w:t xml:space="preserve"> </w:t>
      </w:r>
      <w:r w:rsidR="001E567C" w:rsidRPr="00A86E55">
        <w:rPr>
          <w:rFonts w:asciiTheme="majorBidi" w:hAnsiTheme="majorBidi" w:cstheme="majorBidi"/>
          <w:color w:val="000000"/>
          <w:lang w:eastAsia="lv-LV"/>
        </w:rPr>
        <w:t xml:space="preserve">Krievijas Centrālā arhīva </w:t>
      </w:r>
      <w:r w:rsidRPr="00A86E55">
        <w:rPr>
          <w:rFonts w:asciiTheme="majorBidi" w:hAnsiTheme="majorBidi" w:cstheme="majorBidi"/>
          <w:color w:val="000000"/>
          <w:lang w:eastAsia="lv-LV"/>
        </w:rPr>
        <w:t>2020.gada 3.jūlija</w:t>
      </w:r>
      <w:r w:rsidR="001E567C" w:rsidRPr="00A86E55">
        <w:rPr>
          <w:rFonts w:asciiTheme="majorBidi" w:hAnsiTheme="majorBidi" w:cstheme="majorBidi"/>
          <w:color w:val="000000"/>
          <w:lang w:eastAsia="lv-LV"/>
        </w:rPr>
        <w:t xml:space="preserve"> izziņa</w:t>
      </w:r>
      <w:r w:rsidRPr="00A86E55">
        <w:rPr>
          <w:rFonts w:asciiTheme="majorBidi" w:hAnsiTheme="majorBidi" w:cstheme="majorBidi"/>
          <w:color w:val="000000"/>
          <w:lang w:eastAsia="lv-LV"/>
        </w:rPr>
        <w:t xml:space="preserve"> Nr.</w:t>
      </w:r>
      <w:r w:rsidR="001E567C" w:rsidRPr="00A86E55">
        <w:rPr>
          <w:rFonts w:asciiTheme="majorBidi" w:hAnsiTheme="majorBidi" w:cstheme="majorBidi"/>
          <w:color w:val="000000"/>
          <w:lang w:eastAsia="lv-LV"/>
        </w:rPr>
        <w:t> </w:t>
      </w:r>
      <w:r w:rsidRPr="00A86E55">
        <w:rPr>
          <w:rFonts w:asciiTheme="majorBidi" w:hAnsiTheme="majorBidi" w:cstheme="majorBidi"/>
          <w:color w:val="000000"/>
          <w:lang w:eastAsia="lv-LV"/>
        </w:rPr>
        <w:t>8/143558, kurā norādīts, ka 1972. un 1973.gadā kara daļa Nr.</w:t>
      </w:r>
      <w:r w:rsidR="001E567C" w:rsidRPr="00A86E55">
        <w:rPr>
          <w:rFonts w:asciiTheme="majorBidi" w:hAnsiTheme="majorBidi" w:cstheme="majorBidi"/>
          <w:color w:val="000000"/>
          <w:lang w:eastAsia="lv-LV"/>
        </w:rPr>
        <w:t> </w:t>
      </w:r>
      <w:r w:rsidRPr="00A86E55">
        <w:rPr>
          <w:rFonts w:asciiTheme="majorBidi" w:hAnsiTheme="majorBidi" w:cstheme="majorBidi"/>
          <w:color w:val="000000"/>
          <w:lang w:eastAsia="lv-LV"/>
        </w:rPr>
        <w:t>73461 dislocējās Lietuvas PSR, Jonavas rajonā, Ruklas ciemā, un ietilpa Baltijas kara apgabala sastāvā.</w:t>
      </w:r>
      <w:r w:rsidR="001E567C" w:rsidRPr="00A86E55">
        <w:rPr>
          <w:rFonts w:asciiTheme="majorBidi" w:hAnsiTheme="majorBidi" w:cstheme="majorBidi"/>
          <w:color w:val="000000"/>
          <w:lang w:eastAsia="lv-LV"/>
        </w:rPr>
        <w:t xml:space="preserve"> </w:t>
      </w:r>
      <w:r w:rsidRPr="00A86E55">
        <w:rPr>
          <w:rFonts w:asciiTheme="majorBidi" w:hAnsiTheme="majorBidi" w:cstheme="majorBidi"/>
          <w:color w:val="000000"/>
          <w:lang w:eastAsia="lv-LV"/>
        </w:rPr>
        <w:t xml:space="preserve">Ņemot vērā </w:t>
      </w:r>
      <w:r w:rsidR="001E567C" w:rsidRPr="00A86E55">
        <w:rPr>
          <w:rFonts w:asciiTheme="majorBidi" w:hAnsiTheme="majorBidi" w:cstheme="majorBidi"/>
          <w:color w:val="000000"/>
          <w:lang w:eastAsia="lv-LV"/>
        </w:rPr>
        <w:t>minēto izziņu</w:t>
      </w:r>
      <w:r w:rsidRPr="00A86E55">
        <w:rPr>
          <w:rFonts w:asciiTheme="majorBidi" w:hAnsiTheme="majorBidi" w:cstheme="majorBidi"/>
          <w:color w:val="000000"/>
          <w:lang w:eastAsia="lv-LV"/>
        </w:rPr>
        <w:t xml:space="preserve">, </w:t>
      </w:r>
      <w:r w:rsidR="001E567C" w:rsidRPr="00A86E55">
        <w:rPr>
          <w:rFonts w:asciiTheme="majorBidi" w:hAnsiTheme="majorBidi" w:cstheme="majorBidi"/>
          <w:color w:val="000000"/>
          <w:lang w:eastAsia="lv-LV"/>
        </w:rPr>
        <w:t>aģentūra</w:t>
      </w:r>
      <w:r w:rsidR="002F03E3" w:rsidRPr="00A86E55">
        <w:rPr>
          <w:rFonts w:asciiTheme="majorBidi" w:hAnsiTheme="majorBidi" w:cstheme="majorBidi"/>
          <w:color w:val="000000"/>
          <w:lang w:eastAsia="lv-LV"/>
        </w:rPr>
        <w:t>s Starptautisko pakalpojumu nodaļa</w:t>
      </w:r>
      <w:r w:rsidR="004F2A57">
        <w:rPr>
          <w:rFonts w:asciiTheme="majorBidi" w:hAnsiTheme="majorBidi" w:cstheme="majorBidi"/>
          <w:color w:val="000000"/>
          <w:lang w:eastAsia="lv-LV"/>
        </w:rPr>
        <w:t xml:space="preserve"> ar</w:t>
      </w:r>
      <w:r w:rsidRPr="00A86E55">
        <w:rPr>
          <w:rFonts w:asciiTheme="majorBidi" w:hAnsiTheme="majorBidi" w:cstheme="majorBidi"/>
          <w:color w:val="000000"/>
          <w:lang w:eastAsia="lv-LV"/>
        </w:rPr>
        <w:t xml:space="preserve"> 2020.gada 29.septembr</w:t>
      </w:r>
      <w:r w:rsidR="004F2A57">
        <w:rPr>
          <w:rFonts w:asciiTheme="majorBidi" w:hAnsiTheme="majorBidi" w:cstheme="majorBidi"/>
          <w:color w:val="000000"/>
          <w:lang w:eastAsia="lv-LV"/>
        </w:rPr>
        <w:t>a</w:t>
      </w:r>
      <w:r w:rsidRPr="00A86E55">
        <w:rPr>
          <w:rFonts w:asciiTheme="majorBidi" w:hAnsiTheme="majorBidi" w:cstheme="majorBidi"/>
          <w:color w:val="000000"/>
          <w:lang w:eastAsia="lv-LV"/>
        </w:rPr>
        <w:t xml:space="preserve"> lēmumu Nr.</w:t>
      </w:r>
      <w:r w:rsidR="001E567C" w:rsidRPr="00A86E55">
        <w:rPr>
          <w:rFonts w:asciiTheme="majorBidi" w:hAnsiTheme="majorBidi" w:cstheme="majorBidi"/>
          <w:color w:val="000000"/>
          <w:lang w:eastAsia="lv-LV"/>
        </w:rPr>
        <w:t> </w:t>
      </w:r>
      <w:r w:rsidRPr="00A86E55">
        <w:rPr>
          <w:rFonts w:asciiTheme="majorBidi" w:hAnsiTheme="majorBidi" w:cstheme="majorBidi"/>
          <w:color w:val="000000"/>
          <w:lang w:eastAsia="lv-LV"/>
        </w:rPr>
        <w:t xml:space="preserve">20/1982959 ieskaitīja pieteicēja apdrošināšanas stāžā </w:t>
      </w:r>
      <w:r w:rsidR="00031887" w:rsidRPr="00A86E55">
        <w:rPr>
          <w:rFonts w:asciiTheme="majorBidi" w:hAnsiTheme="majorBidi" w:cstheme="majorBidi"/>
          <w:color w:val="000000"/>
          <w:lang w:eastAsia="lv-LV"/>
        </w:rPr>
        <w:t>obligātā militārā</w:t>
      </w:r>
      <w:r w:rsidR="00031887" w:rsidRPr="00A86E55">
        <w:t xml:space="preserve"> dienesta</w:t>
      </w:r>
      <w:r w:rsidRPr="00A86E55">
        <w:rPr>
          <w:rFonts w:asciiTheme="majorBidi" w:hAnsiTheme="majorBidi" w:cstheme="majorBidi"/>
          <w:color w:val="000000"/>
          <w:lang w:eastAsia="lv-LV"/>
        </w:rPr>
        <w:t xml:space="preserve"> periodu no 1972.gada 11.maija līdz 1973.gada 26.maijam</w:t>
      </w:r>
      <w:r w:rsidR="007F27D8" w:rsidRPr="00A86E55">
        <w:rPr>
          <w:rFonts w:asciiTheme="majorBidi" w:hAnsiTheme="majorBidi" w:cstheme="majorBidi"/>
          <w:color w:val="000000"/>
          <w:lang w:eastAsia="lv-LV"/>
        </w:rPr>
        <w:t xml:space="preserve"> un pārrēķināja pieteicēja vecuma pensiju sakarā ar apdrošināšanas stāžā pārskatīšanu no 2020.gada 1.septembra.</w:t>
      </w:r>
    </w:p>
    <w:p w14:paraId="23A2ED4E" w14:textId="40878C00" w:rsidR="00C97736" w:rsidRPr="00A86E55" w:rsidRDefault="007F27D8" w:rsidP="00AF71D4">
      <w:pPr>
        <w:spacing w:line="276" w:lineRule="auto"/>
        <w:ind w:firstLine="720"/>
        <w:jc w:val="both"/>
        <w:rPr>
          <w:rFonts w:asciiTheme="majorBidi" w:hAnsiTheme="majorBidi" w:cstheme="majorBidi"/>
          <w:color w:val="000000"/>
          <w:lang w:eastAsia="lv-LV"/>
        </w:rPr>
      </w:pPr>
      <w:r w:rsidRPr="00A86E55">
        <w:rPr>
          <w:rFonts w:asciiTheme="majorBidi" w:hAnsiTheme="majorBidi" w:cstheme="majorBidi"/>
          <w:color w:val="000000"/>
          <w:lang w:eastAsia="lv-LV"/>
        </w:rPr>
        <w:t>P</w:t>
      </w:r>
      <w:r w:rsidR="005C46E8" w:rsidRPr="00A86E55">
        <w:rPr>
          <w:rFonts w:asciiTheme="majorBidi" w:hAnsiTheme="majorBidi" w:cstheme="majorBidi"/>
          <w:color w:val="000000"/>
          <w:lang w:eastAsia="lv-LV"/>
        </w:rPr>
        <w:t>ieteicēja</w:t>
      </w:r>
      <w:r w:rsidRPr="00A86E55">
        <w:rPr>
          <w:rFonts w:asciiTheme="majorBidi" w:hAnsiTheme="majorBidi" w:cstheme="majorBidi"/>
          <w:color w:val="000000"/>
          <w:lang w:eastAsia="lv-LV"/>
        </w:rPr>
        <w:t xml:space="preserve"> </w:t>
      </w:r>
      <w:r w:rsidR="005C46E8" w:rsidRPr="00A86E55">
        <w:rPr>
          <w:rFonts w:asciiTheme="majorBidi" w:hAnsiTheme="majorBidi" w:cstheme="majorBidi"/>
          <w:color w:val="000000"/>
          <w:lang w:eastAsia="lv-LV"/>
        </w:rPr>
        <w:t xml:space="preserve">karaklausības apliecībā ietvertā informācija pierāda </w:t>
      </w:r>
      <w:r w:rsidR="00031887" w:rsidRPr="00A86E55">
        <w:rPr>
          <w:rFonts w:asciiTheme="majorBidi" w:hAnsiTheme="majorBidi" w:cstheme="majorBidi"/>
          <w:color w:val="000000"/>
          <w:lang w:eastAsia="lv-LV"/>
        </w:rPr>
        <w:t>obligātā militārā</w:t>
      </w:r>
      <w:r w:rsidR="00031887" w:rsidRPr="00A86E55">
        <w:t xml:space="preserve"> dienesta </w:t>
      </w:r>
      <w:r w:rsidR="005C46E8" w:rsidRPr="00A86E55">
        <w:rPr>
          <w:rFonts w:asciiTheme="majorBidi" w:hAnsiTheme="majorBidi" w:cstheme="majorBidi"/>
          <w:color w:val="000000"/>
          <w:lang w:eastAsia="lv-LV"/>
        </w:rPr>
        <w:t>periodu no 1971.gada 20.maija līdz 1973.gada</w:t>
      </w:r>
      <w:r w:rsidRPr="00A86E55">
        <w:rPr>
          <w:rFonts w:asciiTheme="majorBidi" w:hAnsiTheme="majorBidi" w:cstheme="majorBidi"/>
          <w:color w:val="000000"/>
          <w:lang w:eastAsia="lv-LV"/>
        </w:rPr>
        <w:t xml:space="preserve"> </w:t>
      </w:r>
      <w:r w:rsidR="005C46E8" w:rsidRPr="00A86E55">
        <w:rPr>
          <w:rFonts w:asciiTheme="majorBidi" w:hAnsiTheme="majorBidi" w:cstheme="majorBidi"/>
          <w:color w:val="000000"/>
          <w:lang w:eastAsia="lv-LV"/>
        </w:rPr>
        <w:t>26.maijam, taču no minētā dokumenta nevar noteikt, kur</w:t>
      </w:r>
      <w:r w:rsidR="00AE7CDD">
        <w:rPr>
          <w:rFonts w:asciiTheme="majorBidi" w:hAnsiTheme="majorBidi" w:cstheme="majorBidi"/>
          <w:color w:val="000000"/>
          <w:lang w:eastAsia="lv-LV"/>
        </w:rPr>
        <w:t>as</w:t>
      </w:r>
      <w:r w:rsidR="005C46E8" w:rsidRPr="00A86E55">
        <w:rPr>
          <w:rFonts w:asciiTheme="majorBidi" w:hAnsiTheme="majorBidi" w:cstheme="majorBidi"/>
          <w:color w:val="000000"/>
          <w:lang w:eastAsia="lv-LV"/>
        </w:rPr>
        <w:t xml:space="preserve"> valsts teritorijā </w:t>
      </w:r>
      <w:r w:rsidR="00031887" w:rsidRPr="00A86E55">
        <w:rPr>
          <w:rFonts w:asciiTheme="majorBidi" w:hAnsiTheme="majorBidi" w:cstheme="majorBidi"/>
          <w:color w:val="000000"/>
          <w:lang w:eastAsia="lv-LV"/>
        </w:rPr>
        <w:t>pieteicējs dienēja</w:t>
      </w:r>
      <w:r w:rsidR="005C46E8" w:rsidRPr="00A86E55">
        <w:rPr>
          <w:rFonts w:asciiTheme="majorBidi" w:hAnsiTheme="majorBidi" w:cstheme="majorBidi"/>
          <w:color w:val="000000"/>
          <w:lang w:eastAsia="lv-LV"/>
        </w:rPr>
        <w:t>. Savukārt no 2015.gada 28.septembra izziņas izriet, ka pieteicējs no 1971.gada 26.maija līdz 1972.gada 10.maijam dienēja ierindas sastāvā kara daļā Nr.</w:t>
      </w:r>
      <w:r w:rsidRPr="00A86E55">
        <w:rPr>
          <w:rFonts w:asciiTheme="majorBidi" w:hAnsiTheme="majorBidi" w:cstheme="majorBidi"/>
          <w:color w:val="000000"/>
          <w:lang w:eastAsia="lv-LV"/>
        </w:rPr>
        <w:t> </w:t>
      </w:r>
      <w:r w:rsidR="005C46E8" w:rsidRPr="00A86E55">
        <w:rPr>
          <w:rFonts w:asciiTheme="majorBidi" w:hAnsiTheme="majorBidi" w:cstheme="majorBidi"/>
          <w:color w:val="000000"/>
          <w:lang w:eastAsia="lv-LV"/>
        </w:rPr>
        <w:t>11929 Gaižjunai, Lietuvas PSR un pēc tam tālākam dienestam devās uz kara daļu Nr.</w:t>
      </w:r>
      <w:r w:rsidRPr="00A86E55">
        <w:rPr>
          <w:rFonts w:asciiTheme="majorBidi" w:hAnsiTheme="majorBidi" w:cstheme="majorBidi"/>
          <w:color w:val="000000"/>
          <w:lang w:eastAsia="lv-LV"/>
        </w:rPr>
        <w:t> </w:t>
      </w:r>
      <w:r w:rsidR="005C46E8" w:rsidRPr="00A86E55">
        <w:rPr>
          <w:rFonts w:asciiTheme="majorBidi" w:hAnsiTheme="majorBidi" w:cstheme="majorBidi"/>
          <w:color w:val="000000"/>
          <w:lang w:eastAsia="lv-LV"/>
        </w:rPr>
        <w:t>73461, Gaižjunai. Precīzākas ziņas par pieteicēja dienestu kara daļā Nr.</w:t>
      </w:r>
      <w:r w:rsidRPr="00A86E55">
        <w:rPr>
          <w:rFonts w:asciiTheme="majorBidi" w:hAnsiTheme="majorBidi" w:cstheme="majorBidi"/>
          <w:color w:val="000000"/>
          <w:lang w:eastAsia="lv-LV"/>
        </w:rPr>
        <w:t> </w:t>
      </w:r>
      <w:r w:rsidR="005C46E8" w:rsidRPr="00A86E55">
        <w:rPr>
          <w:rFonts w:asciiTheme="majorBidi" w:hAnsiTheme="majorBidi" w:cstheme="majorBidi"/>
          <w:color w:val="000000"/>
          <w:lang w:eastAsia="lv-LV"/>
        </w:rPr>
        <w:t>73461 un tās atrašanās vietu izziņa nesniedz</w:t>
      </w:r>
      <w:r w:rsidRPr="00A86E55">
        <w:rPr>
          <w:rFonts w:asciiTheme="majorBidi" w:hAnsiTheme="majorBidi" w:cstheme="majorBidi"/>
          <w:color w:val="000000"/>
          <w:lang w:eastAsia="lv-LV"/>
        </w:rPr>
        <w:t>a</w:t>
      </w:r>
      <w:r w:rsidR="005C46E8" w:rsidRPr="00A86E55">
        <w:rPr>
          <w:rFonts w:asciiTheme="majorBidi" w:hAnsiTheme="majorBidi" w:cstheme="majorBidi"/>
          <w:color w:val="000000"/>
          <w:lang w:eastAsia="lv-LV"/>
        </w:rPr>
        <w:t>. Izziņā tikai norādīts, ka kara daļa Nr.</w:t>
      </w:r>
      <w:r w:rsidRPr="00A86E55">
        <w:rPr>
          <w:rFonts w:asciiTheme="majorBidi" w:hAnsiTheme="majorBidi" w:cstheme="majorBidi"/>
          <w:color w:val="000000"/>
          <w:lang w:eastAsia="lv-LV"/>
        </w:rPr>
        <w:t> </w:t>
      </w:r>
      <w:r w:rsidR="005C46E8" w:rsidRPr="00A86E55">
        <w:rPr>
          <w:rFonts w:asciiTheme="majorBidi" w:hAnsiTheme="majorBidi" w:cstheme="majorBidi"/>
          <w:color w:val="000000"/>
          <w:lang w:eastAsia="lv-LV"/>
        </w:rPr>
        <w:t>73461 izveidota 1990.gadā un atradās Gaižjunai, Lietuvas Republikā. Līdz ar to minētā informācija nesniedz</w:t>
      </w:r>
      <w:r w:rsidRPr="00A86E55">
        <w:rPr>
          <w:rFonts w:asciiTheme="majorBidi" w:hAnsiTheme="majorBidi" w:cstheme="majorBidi"/>
          <w:color w:val="000000"/>
          <w:lang w:eastAsia="lv-LV"/>
        </w:rPr>
        <w:t>a</w:t>
      </w:r>
      <w:r w:rsidR="005C46E8" w:rsidRPr="00A86E55">
        <w:rPr>
          <w:rFonts w:asciiTheme="majorBidi" w:hAnsiTheme="majorBidi" w:cstheme="majorBidi"/>
          <w:color w:val="000000"/>
          <w:lang w:eastAsia="lv-LV"/>
        </w:rPr>
        <w:t xml:space="preserve"> nepārprotamu apstiprinājumu, ka kara daļa Nr.</w:t>
      </w:r>
      <w:r w:rsidRPr="00A86E55">
        <w:rPr>
          <w:rFonts w:asciiTheme="majorBidi" w:hAnsiTheme="majorBidi" w:cstheme="majorBidi"/>
          <w:color w:val="000000"/>
          <w:lang w:eastAsia="lv-LV"/>
        </w:rPr>
        <w:t> </w:t>
      </w:r>
      <w:r w:rsidR="005C46E8" w:rsidRPr="00A86E55">
        <w:rPr>
          <w:rFonts w:asciiTheme="majorBidi" w:hAnsiTheme="majorBidi" w:cstheme="majorBidi"/>
          <w:color w:val="000000"/>
          <w:lang w:eastAsia="lv-LV"/>
        </w:rPr>
        <w:t>73461 laika periodā no 1972.gada 11.maija līdz 1973.gada 26.maijam atradās Lietuvas PSR teritorijā.</w:t>
      </w:r>
      <w:r w:rsidR="00CC3E18">
        <w:rPr>
          <w:rFonts w:asciiTheme="majorBidi" w:hAnsiTheme="majorBidi" w:cstheme="majorBidi"/>
          <w:color w:val="000000"/>
          <w:lang w:eastAsia="lv-LV"/>
        </w:rPr>
        <w:t xml:space="preserve"> </w:t>
      </w:r>
      <w:r w:rsidR="00C97736" w:rsidRPr="00A86E55">
        <w:rPr>
          <w:rFonts w:asciiTheme="majorBidi" w:hAnsiTheme="majorBidi" w:cstheme="majorBidi"/>
          <w:color w:val="000000"/>
          <w:lang w:eastAsia="lv-LV"/>
        </w:rPr>
        <w:t xml:space="preserve">Tāpēc nav pamata uzdot aģentūrai veikt pieteicēja </w:t>
      </w:r>
      <w:r w:rsidR="003A37FC" w:rsidRPr="00A86E55">
        <w:rPr>
          <w:rFonts w:asciiTheme="majorBidi" w:hAnsiTheme="majorBidi" w:cstheme="majorBidi"/>
          <w:color w:val="000000"/>
          <w:lang w:eastAsia="lv-LV"/>
        </w:rPr>
        <w:t xml:space="preserve">vecuma </w:t>
      </w:r>
      <w:r w:rsidR="00C97736" w:rsidRPr="00A86E55">
        <w:rPr>
          <w:rFonts w:asciiTheme="majorBidi" w:hAnsiTheme="majorBidi" w:cstheme="majorBidi"/>
          <w:color w:val="000000"/>
          <w:lang w:eastAsia="lv-LV"/>
        </w:rPr>
        <w:t>pensijas pārrēķinu par šo periodu no 2015.gada 1.novembra.</w:t>
      </w:r>
    </w:p>
    <w:p w14:paraId="6D44A82D" w14:textId="6815DDB2" w:rsidR="00C826B0" w:rsidRPr="00A86E55" w:rsidRDefault="00C826B0" w:rsidP="00AF71D4">
      <w:pPr>
        <w:pStyle w:val="NoSpacing"/>
        <w:spacing w:line="276" w:lineRule="auto"/>
        <w:ind w:firstLine="720"/>
        <w:jc w:val="both"/>
        <w:rPr>
          <w:lang w:val="lv-LV"/>
        </w:rPr>
      </w:pPr>
    </w:p>
    <w:p w14:paraId="500EAFA6" w14:textId="50A3AA84" w:rsidR="006B4FC6" w:rsidRPr="00A86E55" w:rsidRDefault="006B4FC6" w:rsidP="00AF71D4">
      <w:pPr>
        <w:spacing w:line="276" w:lineRule="auto"/>
        <w:ind w:firstLine="720"/>
        <w:jc w:val="both"/>
      </w:pPr>
      <w:r w:rsidRPr="00A86E55">
        <w:lastRenderedPageBreak/>
        <w:t>[4] </w:t>
      </w:r>
      <w:r w:rsidRPr="00A86E55">
        <w:rPr>
          <w:bCs/>
          <w:shd w:val="clear" w:color="auto" w:fill="FFFFFF"/>
        </w:rPr>
        <w:t xml:space="preserve">Pieteicējs </w:t>
      </w:r>
      <w:r w:rsidRPr="00A86E55">
        <w:t>iesniedza kasācijas sūdzību par apgabaltiesas spriedumu,</w:t>
      </w:r>
      <w:r w:rsidR="00031887" w:rsidRPr="00A86E55">
        <w:t xml:space="preserve"> kurā </w:t>
      </w:r>
      <w:r w:rsidRPr="00A86E55">
        <w:t>norād</w:t>
      </w:r>
      <w:r w:rsidR="00031887" w:rsidRPr="00A86E55">
        <w:t>īja</w:t>
      </w:r>
      <w:r w:rsidRPr="00A86E55">
        <w:t xml:space="preserve"> turpmāk minētos argumentus.</w:t>
      </w:r>
    </w:p>
    <w:p w14:paraId="2C64760A" w14:textId="1987DC1F" w:rsidR="00FC0DDF" w:rsidRPr="00A86E55" w:rsidRDefault="006B4FC6" w:rsidP="00AF71D4">
      <w:pPr>
        <w:pStyle w:val="NoSpacing"/>
        <w:spacing w:line="276" w:lineRule="auto"/>
        <w:ind w:firstLine="720"/>
        <w:jc w:val="both"/>
        <w:rPr>
          <w:lang w:val="lv-LV"/>
        </w:rPr>
      </w:pPr>
      <w:r w:rsidRPr="00A86E55">
        <w:rPr>
          <w:lang w:val="lv-LV"/>
        </w:rPr>
        <w:t>[4.1] Apgabaltiesa pārāk šauri interpretē</w:t>
      </w:r>
      <w:r w:rsidR="00CC3E18">
        <w:rPr>
          <w:lang w:val="lv-LV"/>
        </w:rPr>
        <w:t>ja</w:t>
      </w:r>
      <w:r w:rsidRPr="00A86E55">
        <w:rPr>
          <w:lang w:val="lv-LV"/>
        </w:rPr>
        <w:t xml:space="preserve"> Eiropas Savienības </w:t>
      </w:r>
      <w:r w:rsidR="00FC0DDF" w:rsidRPr="00A86E55">
        <w:rPr>
          <w:lang w:val="lv-LV"/>
        </w:rPr>
        <w:t>T</w:t>
      </w:r>
      <w:r w:rsidRPr="00A86E55">
        <w:rPr>
          <w:lang w:val="lv-LV"/>
        </w:rPr>
        <w:t xml:space="preserve">iesas 2002.gada 15.janvāra spriedumā lietā </w:t>
      </w:r>
      <w:r w:rsidR="00FC0DDF" w:rsidRPr="00A86E55">
        <w:rPr>
          <w:lang w:val="lv-LV"/>
        </w:rPr>
        <w:t>Nr. </w:t>
      </w:r>
      <w:r w:rsidRPr="00A86E55">
        <w:rPr>
          <w:lang w:val="lv-LV"/>
        </w:rPr>
        <w:t>C-55/00 paustās atziņas, vērtējot Krievijas teritorijā uzkrāt</w:t>
      </w:r>
      <w:r w:rsidR="00FC0DDF" w:rsidRPr="00A86E55">
        <w:rPr>
          <w:lang w:val="lv-LV"/>
        </w:rPr>
        <w:t>o darba</w:t>
      </w:r>
      <w:r w:rsidRPr="00A86E55">
        <w:rPr>
          <w:lang w:val="lv-LV"/>
        </w:rPr>
        <w:t xml:space="preserve"> period</w:t>
      </w:r>
      <w:r w:rsidR="00FC0DDF" w:rsidRPr="00A86E55">
        <w:rPr>
          <w:lang w:val="lv-LV"/>
        </w:rPr>
        <w:t>u</w:t>
      </w:r>
      <w:r w:rsidRPr="00A86E55">
        <w:rPr>
          <w:lang w:val="lv-LV"/>
        </w:rPr>
        <w:t xml:space="preserve"> iekļaušanu apdrošināšanas stāžā.</w:t>
      </w:r>
      <w:r w:rsidR="00322267" w:rsidRPr="00A86E55">
        <w:rPr>
          <w:lang w:val="lv-LV"/>
        </w:rPr>
        <w:t xml:space="preserve"> Lietā piemērojamas regulas Nr. 883/2004 normas.</w:t>
      </w:r>
    </w:p>
    <w:p w14:paraId="57E08785" w14:textId="38D28707" w:rsidR="00FC0DDF" w:rsidRPr="00A86E55" w:rsidRDefault="00FC0DDF" w:rsidP="00AF71D4">
      <w:pPr>
        <w:pStyle w:val="NoSpacing"/>
        <w:spacing w:line="276" w:lineRule="auto"/>
        <w:ind w:firstLine="720"/>
        <w:jc w:val="both"/>
        <w:rPr>
          <w:lang w:val="lv-LV"/>
        </w:rPr>
      </w:pPr>
      <w:r w:rsidRPr="00A86E55">
        <w:rPr>
          <w:lang w:val="lv-LV"/>
        </w:rPr>
        <w:t>Apgabaltiesa</w:t>
      </w:r>
      <w:r w:rsidR="00322267" w:rsidRPr="00A86E55">
        <w:rPr>
          <w:lang w:val="lv-LV"/>
        </w:rPr>
        <w:t xml:space="preserve"> </w:t>
      </w:r>
      <w:r w:rsidR="00CC3E18">
        <w:rPr>
          <w:lang w:val="lv-LV"/>
        </w:rPr>
        <w:t>k</w:t>
      </w:r>
      <w:r w:rsidR="00322267" w:rsidRPr="00A86E55">
        <w:rPr>
          <w:lang w:val="lv-LV"/>
        </w:rPr>
        <w:t>ļūdaini piemēroj</w:t>
      </w:r>
      <w:r w:rsidR="00CC3E18">
        <w:rPr>
          <w:lang w:val="lv-LV"/>
        </w:rPr>
        <w:t>a</w:t>
      </w:r>
      <w:r w:rsidR="00322267" w:rsidRPr="00A86E55">
        <w:rPr>
          <w:lang w:val="lv-LV"/>
        </w:rPr>
        <w:t xml:space="preserve"> Administratīvā procesa likuma 307.panta ceturto daļu 302.panta pirmās daļas vietā, jo </w:t>
      </w:r>
      <w:r w:rsidR="00CC3E18">
        <w:rPr>
          <w:lang w:val="lv-LV"/>
        </w:rPr>
        <w:t>ne</w:t>
      </w:r>
      <w:r w:rsidR="00322267" w:rsidRPr="00A86E55">
        <w:rPr>
          <w:lang w:val="lv-LV"/>
        </w:rPr>
        <w:t>izvērtēj</w:t>
      </w:r>
      <w:r w:rsidR="00CC3E18">
        <w:rPr>
          <w:lang w:val="lv-LV"/>
        </w:rPr>
        <w:t>a</w:t>
      </w:r>
      <w:r w:rsidR="00322267" w:rsidRPr="00A86E55">
        <w:rPr>
          <w:lang w:val="lv-LV"/>
        </w:rPr>
        <w:t xml:space="preserve"> visus pieteicēja apelācijas sūdzībā norādītos argumentus</w:t>
      </w:r>
      <w:r w:rsidRPr="00A86E55">
        <w:rPr>
          <w:lang w:val="lv-LV"/>
        </w:rPr>
        <w:t>.</w:t>
      </w:r>
    </w:p>
    <w:p w14:paraId="455C5187" w14:textId="7F6B5AA2" w:rsidR="00322267" w:rsidRPr="00A86E55" w:rsidRDefault="00FC0DDF" w:rsidP="00AF71D4">
      <w:pPr>
        <w:pStyle w:val="NoSpacing"/>
        <w:spacing w:line="276" w:lineRule="auto"/>
        <w:ind w:firstLine="720"/>
        <w:jc w:val="both"/>
        <w:rPr>
          <w:lang w:val="lv-LV"/>
        </w:rPr>
      </w:pPr>
      <w:r w:rsidRPr="00A86E55">
        <w:rPr>
          <w:lang w:val="lv-LV"/>
        </w:rPr>
        <w:t xml:space="preserve">Apgabaltiesa </w:t>
      </w:r>
      <w:r w:rsidR="00CC3E18">
        <w:rPr>
          <w:lang w:val="lv-LV"/>
        </w:rPr>
        <w:t xml:space="preserve">nepamatoti </w:t>
      </w:r>
      <w:r w:rsidR="00322267" w:rsidRPr="00A86E55">
        <w:rPr>
          <w:lang w:val="lv-LV"/>
        </w:rPr>
        <w:t>nepiemēroj</w:t>
      </w:r>
      <w:r w:rsidR="00CC3E18">
        <w:rPr>
          <w:lang w:val="lv-LV"/>
        </w:rPr>
        <w:t>a</w:t>
      </w:r>
      <w:r w:rsidR="00322267" w:rsidRPr="00A86E55">
        <w:rPr>
          <w:lang w:val="lv-LV"/>
        </w:rPr>
        <w:t xml:space="preserve"> </w:t>
      </w:r>
      <w:r w:rsidRPr="00A86E55">
        <w:rPr>
          <w:lang w:val="lv-LV"/>
        </w:rPr>
        <w:t xml:space="preserve">Administratīvā procesa </w:t>
      </w:r>
      <w:r w:rsidR="00322267" w:rsidRPr="00A86E55">
        <w:rPr>
          <w:lang w:val="lv-LV"/>
        </w:rPr>
        <w:t>likuma 104.</w:t>
      </w:r>
      <w:r w:rsidR="00322267" w:rsidRPr="00A86E55">
        <w:rPr>
          <w:vertAlign w:val="superscript"/>
          <w:lang w:val="lv-LV"/>
        </w:rPr>
        <w:t>1</w:t>
      </w:r>
      <w:r w:rsidR="00322267" w:rsidRPr="00A86E55">
        <w:rPr>
          <w:lang w:val="lv-LV"/>
        </w:rPr>
        <w:t>pantu</w:t>
      </w:r>
      <w:r w:rsidR="0040546F" w:rsidRPr="00A86E55">
        <w:rPr>
          <w:lang w:val="lv-LV"/>
        </w:rPr>
        <w:t xml:space="preserve"> un n</w:t>
      </w:r>
      <w:r w:rsidR="00CC3E18">
        <w:rPr>
          <w:lang w:val="lv-LV"/>
        </w:rPr>
        <w:t>ev</w:t>
      </w:r>
      <w:r w:rsidR="0040546F" w:rsidRPr="00A86E55">
        <w:rPr>
          <w:lang w:val="lv-LV"/>
        </w:rPr>
        <w:t>ērs</w:t>
      </w:r>
      <w:r w:rsidR="00CC3E18">
        <w:rPr>
          <w:lang w:val="lv-LV"/>
        </w:rPr>
        <w:t>ā</w:t>
      </w:r>
      <w:r w:rsidR="0040546F" w:rsidRPr="00A86E55">
        <w:rPr>
          <w:lang w:val="lv-LV"/>
        </w:rPr>
        <w:t>s</w:t>
      </w:r>
      <w:r w:rsidR="00322267" w:rsidRPr="00A86E55">
        <w:rPr>
          <w:lang w:val="lv-LV"/>
        </w:rPr>
        <w:t xml:space="preserve"> Eiropas Savienības </w:t>
      </w:r>
      <w:r w:rsidRPr="00A86E55">
        <w:rPr>
          <w:lang w:val="lv-LV"/>
        </w:rPr>
        <w:t>T</w:t>
      </w:r>
      <w:r w:rsidR="00322267" w:rsidRPr="00A86E55">
        <w:rPr>
          <w:lang w:val="lv-LV"/>
        </w:rPr>
        <w:t xml:space="preserve">iesā, lai uzdotu jautājumu par Eiropas Savienības tiesību normu interpretāciju. Tāpat tiesa </w:t>
      </w:r>
      <w:r w:rsidR="00CC3E18">
        <w:rPr>
          <w:lang w:val="lv-LV"/>
        </w:rPr>
        <w:t>nepie</w:t>
      </w:r>
      <w:r w:rsidR="00322267" w:rsidRPr="00A86E55">
        <w:rPr>
          <w:lang w:val="lv-LV"/>
        </w:rPr>
        <w:t>mēroj</w:t>
      </w:r>
      <w:r w:rsidR="00CC3E18">
        <w:rPr>
          <w:lang w:val="lv-LV"/>
        </w:rPr>
        <w:t>a</w:t>
      </w:r>
      <w:r w:rsidR="00322267" w:rsidRPr="00A86E55">
        <w:rPr>
          <w:lang w:val="lv-LV"/>
        </w:rPr>
        <w:t xml:space="preserve"> Līguma par Eiropas Savienības darbību</w:t>
      </w:r>
      <w:r w:rsidR="0040546F" w:rsidRPr="00A86E55">
        <w:rPr>
          <w:lang w:val="lv-LV"/>
        </w:rPr>
        <w:t xml:space="preserve"> (turpmāk – LESD)</w:t>
      </w:r>
      <w:r w:rsidR="00322267" w:rsidRPr="00A86E55">
        <w:rPr>
          <w:lang w:val="lv-LV"/>
        </w:rPr>
        <w:t xml:space="preserve"> 18., 45. un 48.pantu, tādējādi pārkāpjot Administratīvā procesa likuma 15.panta pirmo un ceturto daļu.</w:t>
      </w:r>
    </w:p>
    <w:p w14:paraId="7AF1E44B" w14:textId="58F8BA01" w:rsidR="00187E48" w:rsidRPr="00A86E55" w:rsidRDefault="006B4FC6" w:rsidP="00AF71D4">
      <w:pPr>
        <w:pStyle w:val="NoSpacing"/>
        <w:spacing w:line="276" w:lineRule="auto"/>
        <w:ind w:firstLine="720"/>
        <w:jc w:val="both"/>
        <w:rPr>
          <w:rStyle w:val="Bodytext20"/>
          <w:lang w:val="lv-LV"/>
        </w:rPr>
      </w:pPr>
      <w:r w:rsidRPr="00A86E55">
        <w:rPr>
          <w:lang w:val="lv-LV"/>
        </w:rPr>
        <w:t>[4.2] </w:t>
      </w:r>
      <w:r w:rsidR="00322267" w:rsidRPr="00A86E55">
        <w:rPr>
          <w:rStyle w:val="Bodytext20"/>
          <w:color w:val="000000"/>
          <w:lang w:val="lv-LV"/>
        </w:rPr>
        <w:t xml:space="preserve">Lietuvas teritorijā uzkrātais </w:t>
      </w:r>
      <w:r w:rsidR="00FC0DDF" w:rsidRPr="00A86E55">
        <w:rPr>
          <w:rFonts w:asciiTheme="majorBidi" w:eastAsia="Times New Roman" w:hAnsiTheme="majorBidi" w:cstheme="majorBidi"/>
          <w:color w:val="000000"/>
          <w:szCs w:val="24"/>
          <w:lang w:val="lv-LV" w:eastAsia="lv-LV"/>
        </w:rPr>
        <w:t xml:space="preserve">obligātā militārā </w:t>
      </w:r>
      <w:r w:rsidR="00322267" w:rsidRPr="00A86E55">
        <w:rPr>
          <w:lang w:val="lv-LV"/>
        </w:rPr>
        <w:t xml:space="preserve">dienesta periods </w:t>
      </w:r>
      <w:r w:rsidR="00C9355F" w:rsidRPr="00A86E55">
        <w:rPr>
          <w:lang w:val="lv-LV"/>
        </w:rPr>
        <w:t xml:space="preserve">tika </w:t>
      </w:r>
      <w:r w:rsidR="00322267" w:rsidRPr="00A86E55">
        <w:rPr>
          <w:lang w:val="lv-LV"/>
        </w:rPr>
        <w:t>ieskait</w:t>
      </w:r>
      <w:r w:rsidR="007F7AAB" w:rsidRPr="00A86E55">
        <w:rPr>
          <w:lang w:val="lv-LV"/>
        </w:rPr>
        <w:t>īts</w:t>
      </w:r>
      <w:r w:rsidR="0040546F" w:rsidRPr="00A86E55">
        <w:rPr>
          <w:lang w:val="lv-LV"/>
        </w:rPr>
        <w:t xml:space="preserve"> pieteicēja</w:t>
      </w:r>
      <w:r w:rsidR="00322267" w:rsidRPr="00A86E55">
        <w:rPr>
          <w:lang w:val="lv-LV"/>
        </w:rPr>
        <w:t xml:space="preserve"> apdrošināšanas stāžā</w:t>
      </w:r>
      <w:r w:rsidR="0040546F" w:rsidRPr="00A86E55">
        <w:rPr>
          <w:lang w:val="lv-LV"/>
        </w:rPr>
        <w:t>,</w:t>
      </w:r>
      <w:r w:rsidR="00322267" w:rsidRPr="00A86E55">
        <w:rPr>
          <w:lang w:val="lv-LV"/>
        </w:rPr>
        <w:t xml:space="preserve"> pamatojoties uz </w:t>
      </w:r>
      <w:r w:rsidR="00322267" w:rsidRPr="00A86E55">
        <w:rPr>
          <w:rStyle w:val="Bodytext20"/>
          <w:color w:val="000000"/>
          <w:lang w:val="lv-LV"/>
        </w:rPr>
        <w:t>Latvijas Republikas valdības un Lietuvas Republikas valdības līgum</w:t>
      </w:r>
      <w:r w:rsidR="0040546F" w:rsidRPr="00A86E55">
        <w:rPr>
          <w:rStyle w:val="Bodytext20"/>
          <w:color w:val="000000"/>
          <w:lang w:val="lv-LV"/>
        </w:rPr>
        <w:t>u</w:t>
      </w:r>
      <w:r w:rsidR="00322267" w:rsidRPr="00A86E55">
        <w:rPr>
          <w:rStyle w:val="Bodytext20"/>
          <w:color w:val="000000"/>
          <w:lang w:val="lv-LV"/>
        </w:rPr>
        <w:t xml:space="preserve"> par bijušajā PSRS uzkrāto apdrošināšanas periodu ieskaitīšanu</w:t>
      </w:r>
      <w:r w:rsidR="0040546F" w:rsidRPr="00A86E55">
        <w:rPr>
          <w:rStyle w:val="Bodytext20"/>
          <w:color w:val="000000"/>
          <w:lang w:val="lv-LV"/>
        </w:rPr>
        <w:t xml:space="preserve"> (turpmāk – Latvijas un Lietuvas līgums)</w:t>
      </w:r>
      <w:r w:rsidR="00322267" w:rsidRPr="00A86E55">
        <w:rPr>
          <w:rStyle w:val="Bodytext20"/>
          <w:color w:val="000000"/>
          <w:lang w:val="lv-LV"/>
        </w:rPr>
        <w:t xml:space="preserve">. </w:t>
      </w:r>
      <w:r w:rsidR="00C9355F" w:rsidRPr="00A86E55">
        <w:rPr>
          <w:rStyle w:val="Bodytext20"/>
          <w:color w:val="000000"/>
          <w:lang w:val="lv-LV"/>
        </w:rPr>
        <w:t xml:space="preserve">Taču pieteicējam bija jāpierāda, ka kara daļas, kurās norisinājās dienests, atradās Lietuvas PSRS teritorijā. Savukārt Latvijas pilsonim </w:t>
      </w:r>
      <w:r w:rsidR="00C9355F" w:rsidRPr="00A86E55">
        <w:rPr>
          <w:rFonts w:asciiTheme="majorBidi" w:eastAsia="Times New Roman" w:hAnsiTheme="majorBidi" w:cstheme="majorBidi"/>
          <w:color w:val="000000"/>
          <w:szCs w:val="24"/>
          <w:lang w:val="lv-LV" w:eastAsia="lv-LV"/>
        </w:rPr>
        <w:t xml:space="preserve">obligātais militārais </w:t>
      </w:r>
      <w:r w:rsidR="00C9355F" w:rsidRPr="00A86E55">
        <w:rPr>
          <w:lang w:val="lv-LV"/>
        </w:rPr>
        <w:t>dienests tiktu ieskaitīts apdrošināšanas stāžā, pamatojoties uz likuma „Par valsts pensijām” pārejas noteikumu 1.punkta 1.apakšpunktu.</w:t>
      </w:r>
    </w:p>
    <w:p w14:paraId="0EE6F74B" w14:textId="35AF2671" w:rsidR="006B4FC6" w:rsidRPr="00A86E55" w:rsidRDefault="00322267" w:rsidP="00AF71D4">
      <w:pPr>
        <w:pStyle w:val="NoSpacing"/>
        <w:spacing w:line="276" w:lineRule="auto"/>
        <w:ind w:firstLine="720"/>
        <w:jc w:val="both"/>
        <w:rPr>
          <w:lang w:val="lv-LV"/>
        </w:rPr>
      </w:pPr>
      <w:r w:rsidRPr="00A86E55">
        <w:rPr>
          <w:rStyle w:val="Bodytext20"/>
          <w:color w:val="000000"/>
          <w:lang w:val="lv-LV"/>
        </w:rPr>
        <w:t>Pieteicēja karaklausības apliecība atspoguļo iesaukšanas</w:t>
      </w:r>
      <w:r w:rsidR="0040546F" w:rsidRPr="00A86E55">
        <w:rPr>
          <w:rStyle w:val="Bodytext20"/>
          <w:color w:val="000000"/>
          <w:lang w:val="lv-LV"/>
        </w:rPr>
        <w:t xml:space="preserve"> </w:t>
      </w:r>
      <w:r w:rsidR="00383F72" w:rsidRPr="00A86E55">
        <w:rPr>
          <w:rFonts w:asciiTheme="majorBidi" w:eastAsia="Times New Roman" w:hAnsiTheme="majorBidi" w:cstheme="majorBidi"/>
          <w:color w:val="000000"/>
          <w:szCs w:val="24"/>
          <w:lang w:val="lv-LV" w:eastAsia="lv-LV"/>
        </w:rPr>
        <w:t xml:space="preserve">obligātajā militārajā </w:t>
      </w:r>
      <w:r w:rsidR="0040546F" w:rsidRPr="00A86E55">
        <w:rPr>
          <w:rStyle w:val="Bodytext20"/>
          <w:color w:val="000000"/>
          <w:lang w:val="lv-LV"/>
        </w:rPr>
        <w:t>dienestā</w:t>
      </w:r>
      <w:r w:rsidRPr="00A86E55">
        <w:rPr>
          <w:rStyle w:val="Bodytext20"/>
          <w:color w:val="000000"/>
          <w:lang w:val="lv-LV"/>
        </w:rPr>
        <w:t xml:space="preserve"> datumu un faktu, ka pieteicējs nosūtīts uz Lietuvas PSR</w:t>
      </w:r>
      <w:r w:rsidR="00FC0DDF" w:rsidRPr="00A86E55">
        <w:rPr>
          <w:rStyle w:val="Bodytext20"/>
          <w:color w:val="000000"/>
          <w:lang w:val="lv-LV"/>
        </w:rPr>
        <w:t>.</w:t>
      </w:r>
      <w:r w:rsidRPr="00A86E55">
        <w:rPr>
          <w:rStyle w:val="Bodytext20"/>
          <w:color w:val="000000"/>
          <w:lang w:val="lv-LV"/>
        </w:rPr>
        <w:t xml:space="preserve"> Pieteicējs kara daļu atrašanās vietu papildus pierādīja ar divām izziņām no Krievijas Aizsardzības ministrijas Centrālā arhīva. </w:t>
      </w:r>
      <w:r w:rsidR="0040546F" w:rsidRPr="00A86E55">
        <w:rPr>
          <w:rStyle w:val="Bodytext20"/>
          <w:color w:val="000000"/>
          <w:lang w:val="lv-LV"/>
        </w:rPr>
        <w:t>Lietā ir strīd</w:t>
      </w:r>
      <w:r w:rsidR="00AE7CDD">
        <w:rPr>
          <w:rStyle w:val="Bodytext20"/>
          <w:color w:val="000000"/>
          <w:lang w:val="lv-LV"/>
        </w:rPr>
        <w:t>s</w:t>
      </w:r>
      <w:r w:rsidR="0040546F" w:rsidRPr="00A86E55">
        <w:rPr>
          <w:rStyle w:val="Bodytext20"/>
          <w:color w:val="000000"/>
          <w:lang w:val="lv-LV"/>
        </w:rPr>
        <w:t xml:space="preserve">, vai </w:t>
      </w:r>
      <w:r w:rsidR="0040546F" w:rsidRPr="00A86E55">
        <w:rPr>
          <w:rFonts w:asciiTheme="majorBidi" w:eastAsia="Times New Roman" w:hAnsiTheme="majorBidi" w:cstheme="majorBidi"/>
          <w:color w:val="000000"/>
          <w:szCs w:val="24"/>
          <w:lang w:val="lv-LV" w:eastAsia="lv-LV"/>
        </w:rPr>
        <w:t xml:space="preserve">2015.gada 28.septembra izziņā ietvertā informācija </w:t>
      </w:r>
      <w:r w:rsidR="00187E48" w:rsidRPr="00A86E55">
        <w:rPr>
          <w:rFonts w:asciiTheme="majorBidi" w:eastAsia="Times New Roman" w:hAnsiTheme="majorBidi" w:cstheme="majorBidi"/>
          <w:color w:val="000000"/>
          <w:szCs w:val="24"/>
          <w:lang w:val="lv-LV" w:eastAsia="lv-LV"/>
        </w:rPr>
        <w:t>bija</w:t>
      </w:r>
      <w:r w:rsidR="0040546F" w:rsidRPr="00A86E55">
        <w:rPr>
          <w:rFonts w:asciiTheme="majorBidi" w:eastAsia="Times New Roman" w:hAnsiTheme="majorBidi" w:cstheme="majorBidi"/>
          <w:color w:val="000000"/>
          <w:szCs w:val="24"/>
          <w:lang w:val="lv-LV" w:eastAsia="lv-LV"/>
        </w:rPr>
        <w:t xml:space="preserve"> pietiekama, lai </w:t>
      </w:r>
      <w:r w:rsidR="00187E48" w:rsidRPr="00A86E55">
        <w:rPr>
          <w:rFonts w:asciiTheme="majorBidi" w:eastAsia="Times New Roman" w:hAnsiTheme="majorBidi" w:cstheme="majorBidi"/>
          <w:color w:val="000000"/>
          <w:szCs w:val="24"/>
          <w:lang w:val="lv-LV" w:eastAsia="lv-LV"/>
        </w:rPr>
        <w:t xml:space="preserve">pieteicēja stāžā iekļautu visu </w:t>
      </w:r>
      <w:r w:rsidR="00187E48" w:rsidRPr="00A86E55">
        <w:rPr>
          <w:lang w:val="lv-LV"/>
        </w:rPr>
        <w:t>obligātā militāra dienesta periodu</w:t>
      </w:r>
      <w:r w:rsidR="00C9355F" w:rsidRPr="00A86E55">
        <w:rPr>
          <w:lang w:val="lv-LV"/>
        </w:rPr>
        <w:t>,</w:t>
      </w:r>
      <w:r w:rsidR="00187E48" w:rsidRPr="00A86E55">
        <w:rPr>
          <w:lang w:val="lv-LV"/>
        </w:rPr>
        <w:t xml:space="preserve"> un par šīs izziņas faktisko iesniegšanas laiku iestādē. </w:t>
      </w:r>
      <w:r w:rsidRPr="00A86E55">
        <w:rPr>
          <w:rStyle w:val="Bodytext20"/>
          <w:color w:val="000000"/>
          <w:lang w:val="lv-LV"/>
        </w:rPr>
        <w:t xml:space="preserve">Apgabaltiesa </w:t>
      </w:r>
      <w:r w:rsidR="00602AB4">
        <w:rPr>
          <w:rStyle w:val="Bodytext20"/>
          <w:color w:val="000000"/>
          <w:lang w:val="lv-LV"/>
        </w:rPr>
        <w:t>ne</w:t>
      </w:r>
      <w:r w:rsidRPr="00A86E55">
        <w:rPr>
          <w:rStyle w:val="Bodytext20"/>
          <w:color w:val="000000"/>
          <w:lang w:val="lv-LV"/>
        </w:rPr>
        <w:t>piemēroj</w:t>
      </w:r>
      <w:r w:rsidR="00602AB4">
        <w:rPr>
          <w:rStyle w:val="Bodytext20"/>
          <w:color w:val="000000"/>
          <w:lang w:val="lv-LV"/>
        </w:rPr>
        <w:t>a</w:t>
      </w:r>
      <w:r w:rsidRPr="00A86E55">
        <w:rPr>
          <w:rStyle w:val="Bodytext20"/>
          <w:color w:val="000000"/>
          <w:lang w:val="lv-LV"/>
        </w:rPr>
        <w:t xml:space="preserve"> Ministru kabineta 2002.gada 23.aprīļa noteikum</w:t>
      </w:r>
      <w:r w:rsidR="00AC0809" w:rsidRPr="00A86E55">
        <w:rPr>
          <w:rStyle w:val="Bodytext20"/>
          <w:color w:val="000000"/>
          <w:lang w:val="lv-LV"/>
        </w:rPr>
        <w:t>u</w:t>
      </w:r>
      <w:r w:rsidRPr="00A86E55">
        <w:rPr>
          <w:rStyle w:val="Bodytext20"/>
          <w:color w:val="000000"/>
          <w:lang w:val="lv-LV"/>
        </w:rPr>
        <w:t xml:space="preserve"> Nr. 165 „Apdrošināšanas periodu pierādīšanas, aprēķināšanas un uzskaites kārtība”</w:t>
      </w:r>
      <w:r w:rsidR="00AC0809" w:rsidRPr="00A86E55">
        <w:rPr>
          <w:rStyle w:val="Bodytext20"/>
          <w:color w:val="000000"/>
          <w:lang w:val="lv-LV"/>
        </w:rPr>
        <w:t xml:space="preserve"> </w:t>
      </w:r>
      <w:r w:rsidRPr="00A86E55">
        <w:rPr>
          <w:rStyle w:val="Bodytext20"/>
          <w:color w:val="000000"/>
          <w:lang w:val="lv-LV"/>
        </w:rPr>
        <w:t>5.29.apakšpunktu</w:t>
      </w:r>
      <w:r w:rsidR="00165B84" w:rsidRPr="00A86E55">
        <w:rPr>
          <w:rStyle w:val="Bodytext20"/>
          <w:color w:val="000000"/>
          <w:lang w:val="lv-LV"/>
        </w:rPr>
        <w:t xml:space="preserve"> (apdrošināšanas periodu apliecina tiesas spriedums)</w:t>
      </w:r>
      <w:r w:rsidRPr="00A86E55">
        <w:rPr>
          <w:rStyle w:val="Bodytext20"/>
          <w:color w:val="000000"/>
          <w:lang w:val="lv-LV"/>
        </w:rPr>
        <w:t xml:space="preserve">. Ņemot vērā, ka izziņas ir pierādījums Administratīvā procesa likuma 149.panta izpratnē, apgabaltiesa nav ievērojusi pierādījumu pārbaudes kārtību, kas </w:t>
      </w:r>
      <w:r w:rsidR="00602AB4">
        <w:rPr>
          <w:rStyle w:val="Bodytext20"/>
          <w:color w:val="000000"/>
          <w:lang w:val="lv-LV"/>
        </w:rPr>
        <w:t>noteikta</w:t>
      </w:r>
      <w:r w:rsidRPr="00A86E55">
        <w:rPr>
          <w:rStyle w:val="Bodytext20"/>
          <w:color w:val="000000"/>
          <w:lang w:val="lv-LV"/>
        </w:rPr>
        <w:t xml:space="preserve"> Administratīvā procesa likuma 5., 112.</w:t>
      </w:r>
      <w:r w:rsidR="00FC0DDF" w:rsidRPr="00A86E55">
        <w:rPr>
          <w:rStyle w:val="Bodytext20"/>
          <w:color w:val="000000"/>
          <w:lang w:val="lv-LV"/>
        </w:rPr>
        <w:t xml:space="preserve"> un</w:t>
      </w:r>
      <w:r w:rsidRPr="00A86E55">
        <w:rPr>
          <w:rStyle w:val="Bodytext20"/>
          <w:color w:val="000000"/>
          <w:lang w:val="lv-LV"/>
        </w:rPr>
        <w:t xml:space="preserve"> 154.pantā.</w:t>
      </w:r>
    </w:p>
    <w:p w14:paraId="095CF688" w14:textId="6FB00C9B" w:rsidR="008E312A" w:rsidRDefault="00322267" w:rsidP="00AF71D4">
      <w:pPr>
        <w:pStyle w:val="NoSpacing"/>
        <w:spacing w:line="276" w:lineRule="auto"/>
        <w:ind w:firstLine="720"/>
        <w:jc w:val="both"/>
        <w:rPr>
          <w:lang w:val="lv-LV"/>
        </w:rPr>
      </w:pPr>
      <w:r w:rsidRPr="00A86E55">
        <w:rPr>
          <w:lang w:val="lv-LV"/>
        </w:rPr>
        <w:t>[4.3] Gan darba periods Krievij</w:t>
      </w:r>
      <w:r w:rsidR="00AE7CDD">
        <w:rPr>
          <w:lang w:val="lv-LV"/>
        </w:rPr>
        <w:t>as teritorijā</w:t>
      </w:r>
      <w:r w:rsidRPr="00A86E55">
        <w:rPr>
          <w:lang w:val="lv-LV"/>
        </w:rPr>
        <w:t>, gan</w:t>
      </w:r>
      <w:r w:rsidR="00FC0DDF" w:rsidRPr="00A86E55">
        <w:rPr>
          <w:lang w:val="lv-LV"/>
        </w:rPr>
        <w:t xml:space="preserve"> obligātā</w:t>
      </w:r>
      <w:r w:rsidRPr="00A86E55">
        <w:rPr>
          <w:lang w:val="lv-LV"/>
        </w:rPr>
        <w:t xml:space="preserve"> militār</w:t>
      </w:r>
      <w:r w:rsidR="00165B84" w:rsidRPr="00A86E55">
        <w:rPr>
          <w:lang w:val="lv-LV"/>
        </w:rPr>
        <w:t>ā</w:t>
      </w:r>
      <w:r w:rsidRPr="00A86E55">
        <w:rPr>
          <w:lang w:val="lv-LV"/>
        </w:rPr>
        <w:t xml:space="preserve"> dienesta periods Lietuvas teritorijā būtu iekļaujami pieteicēja apdrošināšanas stāžā uz esošo dokumentu pamata, ja pieteicējs būtu Latvijas pilsonis. </w:t>
      </w:r>
      <w:r w:rsidR="003F4A42" w:rsidRPr="00A86E55">
        <w:rPr>
          <w:lang w:val="lv-LV"/>
        </w:rPr>
        <w:t>A</w:t>
      </w:r>
      <w:r w:rsidRPr="00A86E55">
        <w:rPr>
          <w:lang w:val="lv-LV"/>
        </w:rPr>
        <w:t>tšķirīgai attieksmei nav pamata</w:t>
      </w:r>
      <w:r w:rsidR="003F4A42" w:rsidRPr="00A86E55">
        <w:rPr>
          <w:lang w:val="lv-LV"/>
        </w:rPr>
        <w:t>,</w:t>
      </w:r>
      <w:r w:rsidRPr="00A86E55">
        <w:rPr>
          <w:lang w:val="lv-LV"/>
        </w:rPr>
        <w:t xml:space="preserve"> tā ir diskriminācija </w:t>
      </w:r>
      <w:r w:rsidR="003F4A42" w:rsidRPr="00A86E55">
        <w:rPr>
          <w:lang w:val="lv-LV"/>
        </w:rPr>
        <w:t>pēc</w:t>
      </w:r>
      <w:r w:rsidRPr="00A86E55">
        <w:rPr>
          <w:lang w:val="lv-LV"/>
        </w:rPr>
        <w:t xml:space="preserve"> pilsonības pazīmes, kas ir aizliegta gan ar Latvijas Republikas Satversmes </w:t>
      </w:r>
      <w:r w:rsidR="003F4A42" w:rsidRPr="00A86E55">
        <w:rPr>
          <w:lang w:val="lv-LV"/>
        </w:rPr>
        <w:t xml:space="preserve">(turpmāk – Satversme) </w:t>
      </w:r>
      <w:r w:rsidRPr="00A86E55">
        <w:rPr>
          <w:lang w:val="lv-LV"/>
        </w:rPr>
        <w:t xml:space="preserve">91.pantu, gan ar Eiropas </w:t>
      </w:r>
      <w:r w:rsidR="00AE7CDD">
        <w:rPr>
          <w:lang w:val="lv-LV"/>
        </w:rPr>
        <w:t>C</w:t>
      </w:r>
      <w:r w:rsidRPr="00A86E55">
        <w:rPr>
          <w:lang w:val="lv-LV"/>
        </w:rPr>
        <w:t>ilvēk</w:t>
      </w:r>
      <w:r w:rsidR="00AE7CDD">
        <w:rPr>
          <w:lang w:val="lv-LV"/>
        </w:rPr>
        <w:t xml:space="preserve">a </w:t>
      </w:r>
      <w:r w:rsidRPr="00A86E55">
        <w:rPr>
          <w:lang w:val="lv-LV"/>
        </w:rPr>
        <w:t>tiesību un pamatbrīvību</w:t>
      </w:r>
      <w:r w:rsidR="00C04B3B" w:rsidRPr="00A86E55">
        <w:rPr>
          <w:lang w:val="lv-LV"/>
        </w:rPr>
        <w:t xml:space="preserve"> aizsardzības</w:t>
      </w:r>
      <w:r w:rsidRPr="00A86E55">
        <w:rPr>
          <w:lang w:val="lv-LV"/>
        </w:rPr>
        <w:t xml:space="preserve"> konvencijas</w:t>
      </w:r>
      <w:r w:rsidR="0058278D">
        <w:rPr>
          <w:lang w:val="lv-LV"/>
        </w:rPr>
        <w:t xml:space="preserve"> (</w:t>
      </w:r>
      <w:r w:rsidR="0058278D" w:rsidRPr="00B739D8">
        <w:rPr>
          <w:lang w:val="lv-LV"/>
        </w:rPr>
        <w:t>turpmāk – Konvencija</w:t>
      </w:r>
      <w:r w:rsidR="0058278D">
        <w:rPr>
          <w:lang w:val="lv-LV"/>
        </w:rPr>
        <w:t>)</w:t>
      </w:r>
      <w:r w:rsidRPr="00A86E55">
        <w:rPr>
          <w:lang w:val="lv-LV"/>
        </w:rPr>
        <w:t xml:space="preserve"> 14.pantu. </w:t>
      </w:r>
      <w:r w:rsidR="00165B84" w:rsidRPr="00A86E55">
        <w:rPr>
          <w:lang w:val="lv-LV"/>
        </w:rPr>
        <w:t>A</w:t>
      </w:r>
      <w:r w:rsidRPr="00A86E55">
        <w:rPr>
          <w:lang w:val="lv-LV"/>
        </w:rPr>
        <w:t>pgabaltiesa nav piemērojusi minētās tiesību normas.</w:t>
      </w:r>
    </w:p>
    <w:p w14:paraId="0B0C867C" w14:textId="77777777" w:rsidR="00C04B3B" w:rsidRPr="008E312A" w:rsidRDefault="00C04B3B" w:rsidP="00AF71D4">
      <w:pPr>
        <w:pStyle w:val="NoSpacing"/>
        <w:spacing w:line="276" w:lineRule="auto"/>
        <w:ind w:firstLine="720"/>
        <w:jc w:val="both"/>
        <w:rPr>
          <w:lang w:val="lv-LV"/>
        </w:rPr>
      </w:pPr>
    </w:p>
    <w:p w14:paraId="5DD25088" w14:textId="751BA85E" w:rsidR="00712110" w:rsidRDefault="008E312A" w:rsidP="00AF71D4">
      <w:pPr>
        <w:pStyle w:val="NoSpacing"/>
        <w:spacing w:line="276" w:lineRule="auto"/>
        <w:ind w:firstLine="720"/>
        <w:jc w:val="both"/>
        <w:rPr>
          <w:lang w:val="lv-LV"/>
        </w:rPr>
      </w:pPr>
      <w:r w:rsidRPr="008E312A">
        <w:rPr>
          <w:lang w:val="lv-LV"/>
        </w:rPr>
        <w:t>[</w:t>
      </w:r>
      <w:r w:rsidR="00322267">
        <w:rPr>
          <w:lang w:val="lv-LV"/>
        </w:rPr>
        <w:t>5</w:t>
      </w:r>
      <w:r w:rsidRPr="008E312A">
        <w:rPr>
          <w:lang w:val="lv-LV"/>
        </w:rPr>
        <w:t>]</w:t>
      </w:r>
      <w:r w:rsidR="005D2DFD">
        <w:rPr>
          <w:lang w:val="lv-LV"/>
        </w:rPr>
        <w:t> </w:t>
      </w:r>
      <w:r w:rsidR="00322267">
        <w:rPr>
          <w:lang w:val="lv-LV"/>
        </w:rPr>
        <w:t>Aģentūra</w:t>
      </w:r>
      <w:r w:rsidR="00322267" w:rsidRPr="00322267">
        <w:rPr>
          <w:lang w:val="lv-LV"/>
        </w:rPr>
        <w:t xml:space="preserve"> paskaidrojumā par kasācijas sūdzību norāda, ka tā nav pamatota.</w:t>
      </w:r>
    </w:p>
    <w:p w14:paraId="41170267" w14:textId="2AC404C2" w:rsidR="00322267" w:rsidRDefault="00322267" w:rsidP="00AF71D4">
      <w:pPr>
        <w:pStyle w:val="NoSpacing"/>
        <w:spacing w:line="276" w:lineRule="auto"/>
        <w:ind w:firstLine="720"/>
        <w:jc w:val="both"/>
        <w:rPr>
          <w:lang w:val="lv-LV"/>
        </w:rPr>
      </w:pPr>
    </w:p>
    <w:p w14:paraId="3D75BCEB" w14:textId="77777777" w:rsidR="00322267" w:rsidRPr="00004678" w:rsidRDefault="00322267" w:rsidP="00AF71D4">
      <w:pPr>
        <w:pStyle w:val="ATvirsraksts"/>
        <w:contextualSpacing/>
      </w:pPr>
      <w:r w:rsidRPr="00004678">
        <w:rPr>
          <w:rFonts w:asciiTheme="majorBidi" w:hAnsiTheme="majorBidi" w:cstheme="majorBidi"/>
        </w:rPr>
        <w:lastRenderedPageBreak/>
        <w:t>Motīvu</w:t>
      </w:r>
      <w:r w:rsidRPr="00004678">
        <w:t xml:space="preserve"> daļa</w:t>
      </w:r>
    </w:p>
    <w:p w14:paraId="68DD6B38" w14:textId="77777777" w:rsidR="00322267" w:rsidRPr="00165B84" w:rsidRDefault="00322267" w:rsidP="00AF71D4">
      <w:pPr>
        <w:spacing w:line="276" w:lineRule="auto"/>
        <w:ind w:firstLine="720"/>
        <w:contextualSpacing/>
        <w:jc w:val="both"/>
        <w:rPr>
          <w:lang w:eastAsia="lv-LV"/>
        </w:rPr>
      </w:pPr>
    </w:p>
    <w:p w14:paraId="42446880" w14:textId="040A6E84" w:rsidR="003E7807" w:rsidRPr="00AA3C98" w:rsidRDefault="00191270" w:rsidP="00AF71D4">
      <w:pPr>
        <w:pStyle w:val="NoSpacing"/>
        <w:spacing w:line="276" w:lineRule="auto"/>
        <w:ind w:firstLine="720"/>
        <w:contextualSpacing/>
        <w:jc w:val="both"/>
        <w:rPr>
          <w:lang w:val="lv-LV"/>
        </w:rPr>
      </w:pPr>
      <w:bookmarkStart w:id="1" w:name="_Hlk169100896"/>
      <w:r>
        <w:rPr>
          <w:lang w:val="lv-LV"/>
        </w:rPr>
        <w:t>[</w:t>
      </w:r>
      <w:r w:rsidR="00EE08AD">
        <w:rPr>
          <w:lang w:val="lv-LV"/>
        </w:rPr>
        <w:t>6</w:t>
      </w:r>
      <w:r>
        <w:rPr>
          <w:lang w:val="lv-LV"/>
        </w:rPr>
        <w:t>] </w:t>
      </w:r>
      <w:r w:rsidR="00EE08AD">
        <w:rPr>
          <w:lang w:val="lv-LV"/>
        </w:rPr>
        <w:t>Kasācijas tiesvedībā jāvērtē pieteicēja arguments</w:t>
      </w:r>
      <w:r w:rsidRPr="00006545">
        <w:rPr>
          <w:lang w:val="lv-LV"/>
        </w:rPr>
        <w:t xml:space="preserve"> par diskriminācijas aizlieguma principa pārkāp</w:t>
      </w:r>
      <w:r>
        <w:rPr>
          <w:lang w:val="lv-LV"/>
        </w:rPr>
        <w:t xml:space="preserve">umu, proti, </w:t>
      </w:r>
      <w:r w:rsidRPr="00006545">
        <w:rPr>
          <w:lang w:val="lv-LV"/>
        </w:rPr>
        <w:t>atšķirīgu attieksmi pret</w:t>
      </w:r>
      <w:r>
        <w:rPr>
          <w:lang w:val="lv-LV"/>
        </w:rPr>
        <w:t xml:space="preserve"> </w:t>
      </w:r>
      <w:r w:rsidR="007B7DB0">
        <w:rPr>
          <w:lang w:val="lv-LV"/>
        </w:rPr>
        <w:t>pieteicēju</w:t>
      </w:r>
      <w:r>
        <w:rPr>
          <w:lang w:val="lv-LV"/>
        </w:rPr>
        <w:t xml:space="preserve"> kā</w:t>
      </w:r>
      <w:r w:rsidRPr="00006545">
        <w:rPr>
          <w:lang w:val="lv-LV"/>
        </w:rPr>
        <w:t xml:space="preserve"> Lietuvas pilsoni salīdzinājumā ar Latvijas Republikas pilsoni.</w:t>
      </w:r>
      <w:r>
        <w:rPr>
          <w:lang w:val="lv-LV"/>
        </w:rPr>
        <w:t xml:space="preserve"> Pieteicējs, pamatojoties uz </w:t>
      </w:r>
      <w:r w:rsidRPr="00006545">
        <w:rPr>
          <w:lang w:val="lv-LV"/>
        </w:rPr>
        <w:t>Eiropas Savienības Tiesas 2002</w:t>
      </w:r>
      <w:r>
        <w:rPr>
          <w:lang w:val="lv-LV"/>
        </w:rPr>
        <w:t>.</w:t>
      </w:r>
      <w:r w:rsidRPr="00006545">
        <w:rPr>
          <w:lang w:val="lv-LV"/>
        </w:rPr>
        <w:t xml:space="preserve">gada 15.janvāra sprieduma lietā </w:t>
      </w:r>
      <w:r w:rsidR="00521807">
        <w:rPr>
          <w:lang w:val="lv-LV"/>
        </w:rPr>
        <w:t>Nr. </w:t>
      </w:r>
      <w:r w:rsidRPr="00006545">
        <w:rPr>
          <w:lang w:val="lv-LV"/>
        </w:rPr>
        <w:t>C</w:t>
      </w:r>
      <w:r w:rsidRPr="00006545">
        <w:rPr>
          <w:lang w:val="lv-LV"/>
        </w:rPr>
        <w:noBreakHyphen/>
        <w:t xml:space="preserve">55/00, </w:t>
      </w:r>
      <w:hyperlink r:id="rId9" w:history="1">
        <w:r w:rsidRPr="00006545">
          <w:rPr>
            <w:rStyle w:val="Hyperlink"/>
            <w:lang w:val="lv-LV"/>
          </w:rPr>
          <w:t>ECLI:EU:C:2002:16</w:t>
        </w:r>
      </w:hyperlink>
      <w:r w:rsidRPr="00D640EE">
        <w:rPr>
          <w:rStyle w:val="Hyperlink"/>
          <w:color w:val="auto"/>
          <w:u w:val="none"/>
          <w:lang w:val="lv-LV"/>
        </w:rPr>
        <w:t xml:space="preserve">, </w:t>
      </w:r>
      <w:r w:rsidR="00EE08AD">
        <w:rPr>
          <w:rStyle w:val="Hyperlink"/>
          <w:color w:val="auto"/>
          <w:u w:val="none"/>
          <w:lang w:val="lv-LV"/>
        </w:rPr>
        <w:t>izvirzījis argumentu</w:t>
      </w:r>
      <w:r>
        <w:rPr>
          <w:rStyle w:val="Hyperlink"/>
          <w:color w:val="auto"/>
          <w:u w:val="none"/>
          <w:lang w:val="lv-LV"/>
        </w:rPr>
        <w:t xml:space="preserve">, ka nav pieļaujama Eiropas Savienības pilsoņu diskriminācija pensiju noteikšanas jomā līgumos ar trešajām valstīm, tostarp Krievijas Federāciju. Pieteicēja ieskatā apgabaltiesa nav piemērojusi LESD 18., 45. un 48.pantu un nav ņēmusi vērā minēto Eiropas Savienības </w:t>
      </w:r>
      <w:r w:rsidR="00A22307">
        <w:rPr>
          <w:rStyle w:val="Hyperlink"/>
          <w:color w:val="auto"/>
          <w:u w:val="none"/>
          <w:lang w:val="lv-LV"/>
        </w:rPr>
        <w:t>T</w:t>
      </w:r>
      <w:r>
        <w:rPr>
          <w:rStyle w:val="Hyperlink"/>
          <w:color w:val="auto"/>
          <w:u w:val="none"/>
          <w:lang w:val="lv-LV"/>
        </w:rPr>
        <w:t xml:space="preserve">iesas judikatūru. Pieteicējs arī lūdz vērsties Eiropas Savienības Tiesā ar prejudiciālo jautājumu par regulas Nr. 883/2004 interpretāciju. </w:t>
      </w:r>
      <w:r w:rsidR="003E7807" w:rsidRPr="00AA3C98">
        <w:rPr>
          <w:lang w:val="lv-LV"/>
        </w:rPr>
        <w:t>Tāpat</w:t>
      </w:r>
      <w:r w:rsidR="007B7DB0">
        <w:rPr>
          <w:lang w:val="lv-LV"/>
        </w:rPr>
        <w:t xml:space="preserve"> lietā</w:t>
      </w:r>
      <w:r w:rsidR="003E7807" w:rsidRPr="00AA3C98">
        <w:rPr>
          <w:lang w:val="lv-LV"/>
        </w:rPr>
        <w:t xml:space="preserve"> ir strīds, vai apgabaltiesa ir pareizi noteikusi brīdi, no kura </w:t>
      </w:r>
      <w:r w:rsidR="00A22307">
        <w:rPr>
          <w:lang w:val="lv-LV"/>
        </w:rPr>
        <w:t>pārrēķināma</w:t>
      </w:r>
      <w:r w:rsidR="003E7807" w:rsidRPr="00AA3C98">
        <w:rPr>
          <w:lang w:val="lv-LV"/>
        </w:rPr>
        <w:t xml:space="preserve"> vecuma pensija sakarā ar obligātā militārā dienesta iekļaušanu apdrošināšanas stāžā.</w:t>
      </w:r>
    </w:p>
    <w:p w14:paraId="4BD16E63" w14:textId="77777777" w:rsidR="00191270" w:rsidRDefault="00191270" w:rsidP="00AF71D4">
      <w:pPr>
        <w:pStyle w:val="NoSpacing"/>
        <w:spacing w:line="276" w:lineRule="auto"/>
        <w:ind w:firstLine="720"/>
        <w:contextualSpacing/>
        <w:jc w:val="both"/>
        <w:rPr>
          <w:lang w:val="lv-LV"/>
        </w:rPr>
      </w:pPr>
    </w:p>
    <w:p w14:paraId="55A1AD3E" w14:textId="1B1B676C" w:rsidR="00B101FD" w:rsidRPr="0083024A" w:rsidRDefault="0083024A" w:rsidP="00AF71D4">
      <w:pPr>
        <w:pStyle w:val="NoSpacing"/>
        <w:spacing w:line="276" w:lineRule="auto"/>
        <w:ind w:firstLine="720"/>
        <w:contextualSpacing/>
        <w:jc w:val="both"/>
        <w:rPr>
          <w:i/>
          <w:iCs/>
          <w:lang w:val="lv-LV"/>
        </w:rPr>
      </w:pPr>
      <w:r w:rsidRPr="00EE294B">
        <w:rPr>
          <w:i/>
          <w:iCs/>
          <w:lang w:val="lv-LV"/>
        </w:rPr>
        <w:t>Latvijas tiesību normas</w:t>
      </w:r>
    </w:p>
    <w:p w14:paraId="13018332" w14:textId="736CD85E" w:rsidR="00ED1290" w:rsidRPr="00165B84" w:rsidRDefault="00BD3ABA" w:rsidP="00AF71D4">
      <w:pPr>
        <w:pStyle w:val="NoSpacing"/>
        <w:spacing w:line="276" w:lineRule="auto"/>
        <w:ind w:firstLine="720"/>
        <w:contextualSpacing/>
        <w:jc w:val="both"/>
        <w:rPr>
          <w:lang w:val="lv-LV"/>
        </w:rPr>
      </w:pPr>
      <w:r w:rsidRPr="00165B84">
        <w:rPr>
          <w:lang w:val="lv-LV"/>
        </w:rPr>
        <w:t>[</w:t>
      </w:r>
      <w:r>
        <w:rPr>
          <w:lang w:val="lv-LV"/>
        </w:rPr>
        <w:t>7</w:t>
      </w:r>
      <w:r w:rsidRPr="00165B84">
        <w:rPr>
          <w:lang w:val="lv-LV"/>
        </w:rPr>
        <w:t>] </w:t>
      </w:r>
      <w:r w:rsidR="00F0719C" w:rsidRPr="00165B84">
        <w:rPr>
          <w:lang w:val="lv-LV"/>
        </w:rPr>
        <w:t xml:space="preserve">Latvijā </w:t>
      </w:r>
      <w:r w:rsidR="003A37FC" w:rsidRPr="00165B84">
        <w:rPr>
          <w:lang w:val="lv-LV"/>
        </w:rPr>
        <w:t xml:space="preserve">vecuma </w:t>
      </w:r>
      <w:r w:rsidR="00F0719C" w:rsidRPr="00165B84">
        <w:rPr>
          <w:lang w:val="lv-LV"/>
        </w:rPr>
        <w:t>pensij</w:t>
      </w:r>
      <w:r w:rsidR="003A37FC" w:rsidRPr="00165B84">
        <w:rPr>
          <w:lang w:val="lv-LV"/>
        </w:rPr>
        <w:t>as</w:t>
      </w:r>
      <w:r w:rsidR="00F0719C" w:rsidRPr="00165B84">
        <w:rPr>
          <w:lang w:val="lv-LV"/>
        </w:rPr>
        <w:t xml:space="preserve"> piešķiršanu un aprēķināšanu regulē likums „Par valsts pensijām”.</w:t>
      </w:r>
      <w:r w:rsidR="00ED1290" w:rsidRPr="00165B84">
        <w:rPr>
          <w:lang w:val="lv-LV"/>
        </w:rPr>
        <w:t xml:space="preserve"> </w:t>
      </w:r>
      <w:r w:rsidR="00113CB7" w:rsidRPr="00113CB7">
        <w:rPr>
          <w:lang w:val="lv-LV"/>
        </w:rPr>
        <w:t>Ar šo likumu Latvijā tika ieviesti uz apdrošināšanas iemaksām balstītas valsts obligātās pensiju apdrošināšanas sistēmas principi</w:t>
      </w:r>
      <w:r w:rsidR="00113CB7">
        <w:rPr>
          <w:lang w:val="lv-LV"/>
        </w:rPr>
        <w:t xml:space="preserve">. </w:t>
      </w:r>
      <w:r w:rsidR="00F0719C" w:rsidRPr="00165B84">
        <w:rPr>
          <w:lang w:val="lv-LV"/>
        </w:rPr>
        <w:t xml:space="preserve">Atbilstoši </w:t>
      </w:r>
      <w:r w:rsidR="00ED1290" w:rsidRPr="00165B84">
        <w:rPr>
          <w:lang w:val="lv-LV"/>
        </w:rPr>
        <w:t xml:space="preserve">minētā </w:t>
      </w:r>
      <w:r w:rsidR="00F0719C" w:rsidRPr="00165B84">
        <w:rPr>
          <w:lang w:val="lv-LV"/>
        </w:rPr>
        <w:t>likuma</w:t>
      </w:r>
      <w:r w:rsidR="00ED1290" w:rsidRPr="00165B84">
        <w:rPr>
          <w:lang w:val="lv-LV"/>
        </w:rPr>
        <w:t xml:space="preserve"> </w:t>
      </w:r>
      <w:r w:rsidR="00F0719C" w:rsidRPr="00165B84">
        <w:rPr>
          <w:lang w:val="lv-LV"/>
        </w:rPr>
        <w:t xml:space="preserve">12.pantam un pārejas noteikumu 13.punktam pārejas periodā </w:t>
      </w:r>
      <w:r w:rsidR="003A37FC" w:rsidRPr="00165B84">
        <w:rPr>
          <w:lang w:val="lv-LV"/>
        </w:rPr>
        <w:t xml:space="preserve">vecuma </w:t>
      </w:r>
      <w:r w:rsidR="00F0719C" w:rsidRPr="00165B84">
        <w:rPr>
          <w:lang w:val="lv-LV"/>
        </w:rPr>
        <w:t>pensija tiek aprēķināta no personas uzkrātā pensijas kapitāla, kura sastāvdaļa ir arī sākuma kapitāls, proti, valsts kreditēta summa par personas apdrošināšanas stāžu līdz 1995.gadam (ieskaitot). Atbilstoši sākuma kapitāla aprēķina formulai tiek ņemts vērā personas apdrošināšanas stāžs par periodu līdz 1995.gadam (ieskaitot).</w:t>
      </w:r>
    </w:p>
    <w:p w14:paraId="106092CA" w14:textId="62CAE2FC" w:rsidR="00104459" w:rsidRPr="00A72ED8" w:rsidRDefault="00006545" w:rsidP="00AF71D4">
      <w:pPr>
        <w:pStyle w:val="NoSpacing"/>
        <w:spacing w:line="276" w:lineRule="auto"/>
        <w:ind w:firstLine="720"/>
        <w:contextualSpacing/>
        <w:jc w:val="both"/>
        <w:rPr>
          <w:lang w:val="lv-LV"/>
        </w:rPr>
      </w:pPr>
      <w:r w:rsidRPr="00165B84">
        <w:rPr>
          <w:lang w:val="lv-LV"/>
        </w:rPr>
        <w:t xml:space="preserve">Lietā </w:t>
      </w:r>
      <w:r w:rsidR="00BE571F">
        <w:rPr>
          <w:lang w:val="lv-LV"/>
        </w:rPr>
        <w:t xml:space="preserve">ir </w:t>
      </w:r>
      <w:r w:rsidR="00634ED8" w:rsidRPr="00165B84">
        <w:rPr>
          <w:lang w:val="lv-LV"/>
        </w:rPr>
        <w:t>strīds</w:t>
      </w:r>
      <w:r w:rsidR="003A37FC" w:rsidRPr="00165B84">
        <w:rPr>
          <w:lang w:val="lv-LV"/>
        </w:rPr>
        <w:t xml:space="preserve"> </w:t>
      </w:r>
      <w:r w:rsidR="00634ED8" w:rsidRPr="00165B84">
        <w:rPr>
          <w:lang w:val="lv-LV"/>
        </w:rPr>
        <w:t xml:space="preserve">par </w:t>
      </w:r>
      <w:r w:rsidR="00ED1290" w:rsidRPr="00165B84">
        <w:rPr>
          <w:lang w:val="lv-LV"/>
        </w:rPr>
        <w:t xml:space="preserve">apdrošināšanas stāžu </w:t>
      </w:r>
      <w:r w:rsidR="00634ED8" w:rsidRPr="00165B84">
        <w:rPr>
          <w:lang w:val="lv-LV"/>
        </w:rPr>
        <w:t>period</w:t>
      </w:r>
      <w:r w:rsidR="00ED1290" w:rsidRPr="00165B84">
        <w:rPr>
          <w:lang w:val="lv-LV"/>
        </w:rPr>
        <w:t>ā</w:t>
      </w:r>
      <w:r w:rsidR="00634ED8" w:rsidRPr="00165B84">
        <w:rPr>
          <w:lang w:val="lv-LV"/>
        </w:rPr>
        <w:t xml:space="preserve"> līdz 1990.gada 31.decembrim</w:t>
      </w:r>
      <w:r w:rsidR="00165B84">
        <w:rPr>
          <w:lang w:val="lv-LV"/>
        </w:rPr>
        <w:t xml:space="preserve">. </w:t>
      </w:r>
      <w:r w:rsidR="004C1755" w:rsidRPr="00165B84">
        <w:rPr>
          <w:lang w:val="lv-LV"/>
        </w:rPr>
        <w:t xml:space="preserve">Saskaņā </w:t>
      </w:r>
      <w:r w:rsidR="00EB53D6">
        <w:rPr>
          <w:lang w:val="lv-LV"/>
        </w:rPr>
        <w:t xml:space="preserve">ar </w:t>
      </w:r>
      <w:r w:rsidR="00165B84" w:rsidRPr="00165B84">
        <w:rPr>
          <w:lang w:val="lv-LV"/>
        </w:rPr>
        <w:t>likuma „Par valsts pensijām” pārejas noteikumu 1.punkt</w:t>
      </w:r>
      <w:r w:rsidR="00165B84">
        <w:rPr>
          <w:lang w:val="lv-LV"/>
        </w:rPr>
        <w:t>u</w:t>
      </w:r>
      <w:r w:rsidR="00165B84" w:rsidRPr="00165B84">
        <w:rPr>
          <w:lang w:val="lv-LV"/>
        </w:rPr>
        <w:t xml:space="preserve"> </w:t>
      </w:r>
      <w:r w:rsidR="00104459" w:rsidRPr="00165B84">
        <w:rPr>
          <w:lang w:val="lv-LV"/>
        </w:rPr>
        <w:t xml:space="preserve">līdz 1990.gada 31.decembrim </w:t>
      </w:r>
      <w:r w:rsidR="00104459" w:rsidRPr="00A86E55">
        <w:rPr>
          <w:i/>
          <w:iCs/>
          <w:lang w:val="lv-LV"/>
        </w:rPr>
        <w:t>Latvijas pilsoņiem</w:t>
      </w:r>
      <w:r w:rsidR="00104459" w:rsidRPr="00A86E55">
        <w:rPr>
          <w:lang w:val="lv-LV"/>
        </w:rPr>
        <w:t xml:space="preserve"> apdrošināšanas stāžam ir pielīdzināt</w:t>
      </w:r>
      <w:r w:rsidR="00ED1290" w:rsidRPr="00A86E55">
        <w:rPr>
          <w:lang w:val="lv-LV"/>
        </w:rPr>
        <w:t>s</w:t>
      </w:r>
      <w:r w:rsidR="00104459" w:rsidRPr="00A86E55">
        <w:rPr>
          <w:lang w:val="lv-LV"/>
        </w:rPr>
        <w:t xml:space="preserve"> darba un tam pielīdzinātie periodi Latvijas un bijušās PSRS teritorijā, kā arī</w:t>
      </w:r>
      <w:r w:rsidR="002B6132" w:rsidRPr="00A86E55">
        <w:rPr>
          <w:lang w:val="lv-LV"/>
        </w:rPr>
        <w:t xml:space="preserve"> šā punkta 1., 2. (militārais dienests) un 10.apakšpunktā (politisko represiju laiks)</w:t>
      </w:r>
      <w:r w:rsidR="00104459" w:rsidRPr="00A86E55">
        <w:rPr>
          <w:lang w:val="lv-LV"/>
        </w:rPr>
        <w:t xml:space="preserve"> ārpus Latvijas uzkrātais</w:t>
      </w:r>
      <w:r w:rsidR="002B6132" w:rsidRPr="00A86E55">
        <w:rPr>
          <w:lang w:val="lv-LV"/>
        </w:rPr>
        <w:t xml:space="preserve"> periods.</w:t>
      </w:r>
      <w:r w:rsidR="00104459" w:rsidRPr="00A86E55">
        <w:rPr>
          <w:lang w:val="lv-LV"/>
        </w:rPr>
        <w:t xml:space="preserve"> Savukārt </w:t>
      </w:r>
      <w:r w:rsidR="00104459" w:rsidRPr="00A86E55">
        <w:rPr>
          <w:i/>
          <w:iCs/>
          <w:lang w:val="lv-LV"/>
        </w:rPr>
        <w:t>ārvalstniekiem</w:t>
      </w:r>
      <w:r w:rsidR="00925D23" w:rsidRPr="00A86E55">
        <w:rPr>
          <w:lang w:val="lv-LV"/>
        </w:rPr>
        <w:t>, bezvalstniekiem un Latvijas nepilsoņiem</w:t>
      </w:r>
      <w:r w:rsidR="00104459" w:rsidRPr="00A86E55">
        <w:rPr>
          <w:lang w:val="lv-LV"/>
        </w:rPr>
        <w:t xml:space="preserve"> apdrošināšanas stāžam </w:t>
      </w:r>
      <w:r w:rsidR="00ED1290" w:rsidRPr="00A86E55">
        <w:rPr>
          <w:lang w:val="lv-LV"/>
        </w:rPr>
        <w:t xml:space="preserve">ir </w:t>
      </w:r>
      <w:r w:rsidR="00104459" w:rsidRPr="00A86E55">
        <w:rPr>
          <w:lang w:val="lv-LV"/>
        </w:rPr>
        <w:t>pielīdzināts</w:t>
      </w:r>
      <w:r w:rsidR="002B6132" w:rsidRPr="00A86E55">
        <w:rPr>
          <w:lang w:val="lv-LV"/>
        </w:rPr>
        <w:t xml:space="preserve"> Latvijas teritorijā uzkrātais</w:t>
      </w:r>
      <w:r w:rsidR="00104459" w:rsidRPr="00165B84">
        <w:rPr>
          <w:lang w:val="lv-LV"/>
        </w:rPr>
        <w:t xml:space="preserve"> da</w:t>
      </w:r>
      <w:r w:rsidR="00ED1290" w:rsidRPr="00165B84">
        <w:rPr>
          <w:lang w:val="lv-LV"/>
        </w:rPr>
        <w:t>r</w:t>
      </w:r>
      <w:r w:rsidR="00104459" w:rsidRPr="00165B84">
        <w:rPr>
          <w:lang w:val="lv-LV"/>
        </w:rPr>
        <w:t>ba un tam pielīdzinātais periods,</w:t>
      </w:r>
      <w:r w:rsidR="009273AB" w:rsidRPr="00165B84">
        <w:rPr>
          <w:lang w:val="lv-LV"/>
        </w:rPr>
        <w:t xml:space="preserve"> kā</w:t>
      </w:r>
      <w:r w:rsidR="002B6132" w:rsidRPr="00165B84">
        <w:rPr>
          <w:lang w:val="lv-LV"/>
        </w:rPr>
        <w:t xml:space="preserve"> arī</w:t>
      </w:r>
      <w:r w:rsidR="00104459" w:rsidRPr="00165B84">
        <w:rPr>
          <w:lang w:val="lv-LV"/>
        </w:rPr>
        <w:t xml:space="preserve"> bijuš</w:t>
      </w:r>
      <w:r w:rsidR="00F43F80" w:rsidRPr="00165B84">
        <w:rPr>
          <w:lang w:val="lv-LV"/>
        </w:rPr>
        <w:t>ā</w:t>
      </w:r>
      <w:r w:rsidR="002B6132" w:rsidRPr="00165B84">
        <w:rPr>
          <w:lang w:val="lv-LV"/>
        </w:rPr>
        <w:t>s</w:t>
      </w:r>
      <w:r w:rsidR="00104459" w:rsidRPr="00165B84">
        <w:rPr>
          <w:lang w:val="lv-LV"/>
        </w:rPr>
        <w:t xml:space="preserve"> PSRS teritorijā uzkrātie darbam pielīdzināmie periodi</w:t>
      </w:r>
      <w:r w:rsidR="009273AB" w:rsidRPr="00165B84">
        <w:rPr>
          <w:lang w:val="lv-LV"/>
        </w:rPr>
        <w:t>, kas norādīt</w:t>
      </w:r>
      <w:r w:rsidR="00425279">
        <w:rPr>
          <w:lang w:val="lv-LV"/>
        </w:rPr>
        <w:t>i</w:t>
      </w:r>
      <w:r w:rsidR="009273AB" w:rsidRPr="00165B84">
        <w:rPr>
          <w:lang w:val="lv-LV"/>
        </w:rPr>
        <w:t xml:space="preserve"> šā punkta 4.</w:t>
      </w:r>
      <w:r w:rsidR="002B6132" w:rsidRPr="00165B84">
        <w:rPr>
          <w:lang w:val="lv-LV"/>
        </w:rPr>
        <w:t xml:space="preserve"> </w:t>
      </w:r>
      <w:r w:rsidR="009273AB" w:rsidRPr="00165B84">
        <w:rPr>
          <w:lang w:val="lv-LV"/>
        </w:rPr>
        <w:t>un 5.apakšpunktā</w:t>
      </w:r>
      <w:r w:rsidR="002B6132" w:rsidRPr="00165B84">
        <w:rPr>
          <w:lang w:val="lv-LV"/>
        </w:rPr>
        <w:t xml:space="preserve"> (mācību laiks)</w:t>
      </w:r>
      <w:r w:rsidR="009273AB" w:rsidRPr="00165B84">
        <w:rPr>
          <w:lang w:val="lv-LV"/>
        </w:rPr>
        <w:t xml:space="preserve">, </w:t>
      </w:r>
      <w:r w:rsidR="00A22307">
        <w:rPr>
          <w:lang w:val="lv-LV"/>
        </w:rPr>
        <w:t>kā arī</w:t>
      </w:r>
      <w:r w:rsidR="009273AB" w:rsidRPr="00165B84">
        <w:rPr>
          <w:lang w:val="lv-LV"/>
        </w:rPr>
        <w:t xml:space="preserve"> </w:t>
      </w:r>
      <w:r w:rsidR="002B6132" w:rsidRPr="00165B84">
        <w:rPr>
          <w:lang w:val="lv-LV"/>
        </w:rPr>
        <w:t xml:space="preserve">šā punkta 10.apakšpunktā (politisko represiju laiks) </w:t>
      </w:r>
      <w:r w:rsidR="002B6132" w:rsidRPr="00A72ED8">
        <w:rPr>
          <w:lang w:val="lv-LV"/>
        </w:rPr>
        <w:t xml:space="preserve">minētais </w:t>
      </w:r>
      <w:r w:rsidR="00104459" w:rsidRPr="00A72ED8">
        <w:rPr>
          <w:lang w:val="lv-LV"/>
        </w:rPr>
        <w:t>ārpus Latvijas uzkrātais periods</w:t>
      </w:r>
      <w:r w:rsidR="009273AB" w:rsidRPr="00A72ED8">
        <w:rPr>
          <w:lang w:val="lv-LV"/>
        </w:rPr>
        <w:t>.</w:t>
      </w:r>
    </w:p>
    <w:p w14:paraId="5D93F51B" w14:textId="55210A45" w:rsidR="0037176A" w:rsidRDefault="00647150" w:rsidP="00AF71D4">
      <w:pPr>
        <w:pStyle w:val="NoSpacing"/>
        <w:spacing w:line="276" w:lineRule="auto"/>
        <w:ind w:firstLine="720"/>
        <w:contextualSpacing/>
        <w:jc w:val="both"/>
        <w:rPr>
          <w:lang w:val="lv-LV"/>
        </w:rPr>
      </w:pPr>
      <w:r w:rsidRPr="0037176A">
        <w:rPr>
          <w:lang w:val="lv-LV"/>
        </w:rPr>
        <w:t xml:space="preserve">Tātad ar </w:t>
      </w:r>
      <w:r w:rsidRPr="00165B84">
        <w:rPr>
          <w:lang w:val="lv-LV"/>
        </w:rPr>
        <w:t>likuma „Par valsts pensijām” pārejas noteikumu 1.punkt</w:t>
      </w:r>
      <w:r>
        <w:rPr>
          <w:lang w:val="lv-LV"/>
        </w:rPr>
        <w:t>u</w:t>
      </w:r>
      <w:r w:rsidRPr="0037176A">
        <w:rPr>
          <w:lang w:val="lv-LV"/>
        </w:rPr>
        <w:t xml:space="preserve"> Latvijas pilsoņiem ir noteikts plašāks apdrošināšanas stāžā ieskaitāmo ārpus Latvijas teritorijas uzkrāto darba un tam pielīdzinā</w:t>
      </w:r>
      <w:r w:rsidR="0037176A" w:rsidRPr="0037176A">
        <w:rPr>
          <w:lang w:val="lv-LV"/>
        </w:rPr>
        <w:t>t</w:t>
      </w:r>
      <w:r w:rsidRPr="0037176A">
        <w:rPr>
          <w:lang w:val="lv-LV"/>
        </w:rPr>
        <w:t>o periodu loks nekā ārvalstniekiem, bezvalstniekiem un Latvijas nepilsoņiem.</w:t>
      </w:r>
      <w:r w:rsidR="0037176A" w:rsidRPr="0037176A">
        <w:rPr>
          <w:lang w:val="lv-LV"/>
        </w:rPr>
        <w:t xml:space="preserve"> </w:t>
      </w:r>
      <w:r w:rsidR="0037176A">
        <w:rPr>
          <w:lang w:val="lv-LV"/>
        </w:rPr>
        <w:t>Tostarp p</w:t>
      </w:r>
      <w:r w:rsidR="0037176A" w:rsidRPr="00647150">
        <w:rPr>
          <w:lang w:val="lv-LV"/>
        </w:rPr>
        <w:t xml:space="preserve">ieteicējs kasācijas sūdzībā pareizi norādījis, ka saskaņā ar </w:t>
      </w:r>
      <w:r w:rsidR="0037176A">
        <w:rPr>
          <w:lang w:val="lv-LV"/>
        </w:rPr>
        <w:t>minēto tiesību normu</w:t>
      </w:r>
      <w:r w:rsidR="0037176A" w:rsidRPr="00647150">
        <w:rPr>
          <w:lang w:val="lv-LV"/>
        </w:rPr>
        <w:t xml:space="preserve"> Latvijas pilsonim apdrošināšanas stāžā tiek ieskaitīts obligātā militārā dienesta laiks neatkarīgi no dienesta vietas (</w:t>
      </w:r>
      <w:r w:rsidR="0037176A" w:rsidRPr="00647150">
        <w:rPr>
          <w:i/>
          <w:iCs/>
          <w:lang w:val="lv-LV"/>
        </w:rPr>
        <w:t>Senāta 2017.gada 23.marta sprieduma lietā Nr. </w:t>
      </w:r>
      <w:r w:rsidR="0037176A" w:rsidRPr="0037176A">
        <w:rPr>
          <w:i/>
          <w:iCs/>
          <w:lang w:val="lv-LV"/>
        </w:rPr>
        <w:t>SKA</w:t>
      </w:r>
      <w:r w:rsidR="0037176A" w:rsidRPr="0037176A">
        <w:rPr>
          <w:i/>
          <w:iCs/>
          <w:lang w:val="lv-LV"/>
        </w:rPr>
        <w:noBreakHyphen/>
        <w:t>113/2017, A420469512, 5. un 7.punkts</w:t>
      </w:r>
      <w:r w:rsidR="0037176A" w:rsidRPr="0037176A">
        <w:rPr>
          <w:lang w:val="lv-LV"/>
        </w:rPr>
        <w:t>).</w:t>
      </w:r>
    </w:p>
    <w:p w14:paraId="43BCF5B3" w14:textId="112E63D3" w:rsidR="00925D23" w:rsidRDefault="00AC58D4" w:rsidP="00AF71D4">
      <w:pPr>
        <w:spacing w:line="276" w:lineRule="auto"/>
        <w:ind w:firstLine="720"/>
        <w:contextualSpacing/>
        <w:jc w:val="both"/>
      </w:pPr>
      <w:r>
        <w:t>Tādējādi l</w:t>
      </w:r>
      <w:r w:rsidR="0037176A">
        <w:t>ikumdevējs ir noteicis atšķirīgus principus darba un tam pielīdzināto periodu</w:t>
      </w:r>
      <w:r w:rsidR="0037176A" w:rsidRPr="0037176A">
        <w:t xml:space="preserve"> </w:t>
      </w:r>
      <w:r w:rsidR="0037176A" w:rsidRPr="00165B84">
        <w:t>līdz 1990.gada 31.decembrim</w:t>
      </w:r>
      <w:r w:rsidR="0037176A">
        <w:t xml:space="preserve"> ieskaitīšanai apdrošināšanas stāžā Latvijas pilsoņiem </w:t>
      </w:r>
      <w:r w:rsidR="0037176A">
        <w:lastRenderedPageBreak/>
        <w:t xml:space="preserve">un ārvalstniekiem un </w:t>
      </w:r>
      <w:r w:rsidR="00A22307">
        <w:t xml:space="preserve">līdz ar to </w:t>
      </w:r>
      <w:r w:rsidR="0037176A">
        <w:t xml:space="preserve">pensiju aprēķināšanā pastāv atšķirīga attieksme pret šīm divām personu </w:t>
      </w:r>
      <w:r w:rsidR="0037176A" w:rsidRPr="00016CBA">
        <w:t>grupām.</w:t>
      </w:r>
    </w:p>
    <w:p w14:paraId="41380776" w14:textId="77777777" w:rsidR="0007135E" w:rsidRPr="00016CBA" w:rsidRDefault="0007135E" w:rsidP="00AF71D4">
      <w:pPr>
        <w:spacing w:line="276" w:lineRule="auto"/>
        <w:ind w:firstLine="720"/>
        <w:contextualSpacing/>
        <w:jc w:val="both"/>
      </w:pPr>
    </w:p>
    <w:p w14:paraId="0813DD48" w14:textId="53151C59" w:rsidR="00BD3ABA" w:rsidRPr="0050302E" w:rsidRDefault="00016CBA" w:rsidP="00AF71D4">
      <w:pPr>
        <w:pStyle w:val="NoSpacing"/>
        <w:spacing w:line="276" w:lineRule="auto"/>
        <w:ind w:firstLine="720"/>
        <w:contextualSpacing/>
        <w:jc w:val="both"/>
        <w:rPr>
          <w:rFonts w:asciiTheme="majorBidi" w:hAnsiTheme="majorBidi" w:cstheme="majorBidi"/>
          <w:lang w:val="lv-LV"/>
        </w:rPr>
      </w:pPr>
      <w:r w:rsidRPr="00FD3CD1">
        <w:rPr>
          <w:rFonts w:asciiTheme="majorBidi" w:hAnsiTheme="majorBidi" w:cstheme="majorBidi"/>
          <w:color w:val="000000"/>
          <w:lang w:val="lv-LV"/>
        </w:rPr>
        <w:t>[</w:t>
      </w:r>
      <w:r w:rsidR="005A45B3" w:rsidRPr="00FD3CD1">
        <w:rPr>
          <w:rFonts w:asciiTheme="majorBidi" w:hAnsiTheme="majorBidi" w:cstheme="majorBidi"/>
          <w:color w:val="000000"/>
          <w:lang w:val="lv-LV"/>
        </w:rPr>
        <w:t>8</w:t>
      </w:r>
      <w:r w:rsidRPr="00FD3CD1">
        <w:rPr>
          <w:rFonts w:asciiTheme="majorBidi" w:hAnsiTheme="majorBidi" w:cstheme="majorBidi"/>
          <w:color w:val="000000"/>
          <w:lang w:val="lv-LV"/>
        </w:rPr>
        <w:t>]</w:t>
      </w:r>
      <w:r w:rsidR="005A45B3" w:rsidRPr="00FD3CD1">
        <w:rPr>
          <w:rFonts w:asciiTheme="majorBidi" w:hAnsiTheme="majorBidi" w:cstheme="majorBidi"/>
          <w:color w:val="000000"/>
          <w:lang w:val="lv-LV"/>
        </w:rPr>
        <w:t> </w:t>
      </w:r>
      <w:r w:rsidR="005A45B3" w:rsidRPr="00FD3CD1">
        <w:rPr>
          <w:lang w:val="lv-LV"/>
        </w:rPr>
        <w:t xml:space="preserve">Ņemot vērā minēto, nepieciešams noskaidrot, vai, piemērojamā nacionālo tiesību norma – likuma „Par valsts pensijām” pārejas noteikumu 1.punkts – LESD 45.panta un regulas Nr. 883/2004 4.panta gaismā </w:t>
      </w:r>
      <w:r w:rsidRPr="00FD3CD1">
        <w:rPr>
          <w:rFonts w:asciiTheme="majorBidi" w:hAnsiTheme="majorBidi" w:cstheme="majorBidi"/>
          <w:color w:val="000000"/>
          <w:lang w:val="lv-LV"/>
        </w:rPr>
        <w:t>ir</w:t>
      </w:r>
      <w:r w:rsidR="0050302E" w:rsidRPr="00FD3CD1">
        <w:rPr>
          <w:rFonts w:asciiTheme="majorBidi" w:hAnsiTheme="majorBidi" w:cstheme="majorBidi"/>
          <w:color w:val="000000"/>
          <w:lang w:val="lv-LV"/>
        </w:rPr>
        <w:t xml:space="preserve"> uzskatāma par</w:t>
      </w:r>
      <w:r w:rsidRPr="00FD3CD1">
        <w:rPr>
          <w:rFonts w:asciiTheme="majorBidi" w:hAnsiTheme="majorBidi" w:cstheme="majorBidi"/>
          <w:color w:val="000000"/>
          <w:lang w:val="lv-LV"/>
        </w:rPr>
        <w:t xml:space="preserve"> brīvības veikt uzņēmējdarbību vai darba ņēmēju brīvas pārvietošanās ierobežojum</w:t>
      </w:r>
      <w:r w:rsidR="0050302E" w:rsidRPr="00FD3CD1">
        <w:rPr>
          <w:rFonts w:asciiTheme="majorBidi" w:hAnsiTheme="majorBidi" w:cstheme="majorBidi"/>
          <w:color w:val="000000"/>
          <w:lang w:val="lv-LV"/>
        </w:rPr>
        <w:t>u</w:t>
      </w:r>
      <w:r w:rsidR="0007135E" w:rsidRPr="00FD3CD1">
        <w:rPr>
          <w:rFonts w:asciiTheme="majorBidi" w:hAnsiTheme="majorBidi" w:cstheme="majorBidi"/>
          <w:color w:val="000000"/>
          <w:lang w:val="lv-LV"/>
        </w:rPr>
        <w:t>.</w:t>
      </w:r>
    </w:p>
    <w:p w14:paraId="639D6B5D" w14:textId="77777777" w:rsidR="00016CBA" w:rsidRPr="00016CBA" w:rsidRDefault="00016CBA" w:rsidP="00AF71D4">
      <w:pPr>
        <w:spacing w:line="276" w:lineRule="auto"/>
        <w:ind w:firstLine="720"/>
        <w:contextualSpacing/>
        <w:jc w:val="both"/>
      </w:pPr>
    </w:p>
    <w:p w14:paraId="2A82ECE4" w14:textId="029F440D" w:rsidR="00BD3ABA" w:rsidRDefault="00BD3ABA" w:rsidP="00AF71D4">
      <w:pPr>
        <w:keepNext/>
        <w:spacing w:line="276" w:lineRule="auto"/>
        <w:ind w:firstLine="720"/>
        <w:contextualSpacing/>
        <w:jc w:val="both"/>
      </w:pPr>
      <w:r w:rsidRPr="00EE294B">
        <w:rPr>
          <w:i/>
          <w:iCs/>
        </w:rPr>
        <w:t>LESD un regulas Nr. 883/2004 normas</w:t>
      </w:r>
      <w:r>
        <w:t xml:space="preserve"> </w:t>
      </w:r>
    </w:p>
    <w:p w14:paraId="7BC6A3E4" w14:textId="7B3D6B1D" w:rsidR="00BD3ABA" w:rsidRDefault="00BD3ABA" w:rsidP="00AF71D4">
      <w:pPr>
        <w:pStyle w:val="NoSpacing"/>
        <w:keepNext/>
        <w:spacing w:line="276" w:lineRule="auto"/>
        <w:ind w:firstLine="720"/>
        <w:contextualSpacing/>
        <w:jc w:val="both"/>
        <w:rPr>
          <w:lang w:val="lv-LV"/>
        </w:rPr>
      </w:pPr>
      <w:r>
        <w:rPr>
          <w:lang w:val="lv-LV"/>
        </w:rPr>
        <w:t>[</w:t>
      </w:r>
      <w:r w:rsidR="006F3120">
        <w:rPr>
          <w:lang w:val="lv-LV"/>
        </w:rPr>
        <w:t>9</w:t>
      </w:r>
      <w:r>
        <w:rPr>
          <w:lang w:val="lv-LV"/>
        </w:rPr>
        <w:t xml:space="preserve">] Pieteicēja </w:t>
      </w:r>
      <w:r w:rsidR="0050302E">
        <w:rPr>
          <w:lang w:val="lv-LV"/>
        </w:rPr>
        <w:t xml:space="preserve">kasācijas sūdzībā </w:t>
      </w:r>
      <w:r>
        <w:rPr>
          <w:lang w:val="lv-LV"/>
        </w:rPr>
        <w:t>minētais LESD 18.pants noteic, ka, piemērojot Līgumus (LESD un Līgums par Eiropas Savienību) un neskarot tajos paredzētos īpašos noteikumus, ir aizliegta jebkāda diskriminācija pilsonības dēļ.</w:t>
      </w:r>
    </w:p>
    <w:p w14:paraId="0E8A6375" w14:textId="4AF980C0" w:rsidR="00BD3ABA" w:rsidRDefault="00BD3ABA" w:rsidP="00AF71D4">
      <w:pPr>
        <w:pStyle w:val="NoSpacing"/>
        <w:spacing w:line="276" w:lineRule="auto"/>
        <w:ind w:firstLine="720"/>
        <w:contextualSpacing/>
        <w:jc w:val="both"/>
        <w:rPr>
          <w:lang w:val="lv-LV"/>
        </w:rPr>
      </w:pPr>
      <w:r w:rsidRPr="005466B1">
        <w:rPr>
          <w:rFonts w:asciiTheme="majorBidi" w:hAnsiTheme="majorBidi" w:cstheme="majorBidi"/>
          <w:szCs w:val="24"/>
          <w:lang w:val="lv-LV"/>
        </w:rPr>
        <w:t xml:space="preserve">Attiecībā uz LESD 18.pantu no Eiropas Savienības </w:t>
      </w:r>
      <w:r>
        <w:rPr>
          <w:rFonts w:asciiTheme="majorBidi" w:hAnsiTheme="majorBidi" w:cstheme="majorBidi"/>
          <w:szCs w:val="24"/>
          <w:lang w:val="lv-LV"/>
        </w:rPr>
        <w:t>T</w:t>
      </w:r>
      <w:r w:rsidRPr="005466B1">
        <w:rPr>
          <w:rFonts w:asciiTheme="majorBidi" w:hAnsiTheme="majorBidi" w:cstheme="majorBidi"/>
          <w:szCs w:val="24"/>
          <w:lang w:val="lv-LV"/>
        </w:rPr>
        <w:t xml:space="preserve">iesas pastāvīgās judikatūras izriet, ka šo </w:t>
      </w:r>
      <w:r>
        <w:rPr>
          <w:rFonts w:asciiTheme="majorBidi" w:hAnsiTheme="majorBidi" w:cstheme="majorBidi"/>
          <w:szCs w:val="24"/>
          <w:lang w:val="lv-LV"/>
        </w:rPr>
        <w:t>l</w:t>
      </w:r>
      <w:r w:rsidRPr="005466B1">
        <w:rPr>
          <w:rFonts w:asciiTheme="majorBidi" w:hAnsiTheme="majorBidi" w:cstheme="majorBidi"/>
          <w:szCs w:val="24"/>
          <w:lang w:val="lv-LV"/>
        </w:rPr>
        <w:t xml:space="preserve">īguma normu ir paredzēts piemērot autonomi tikai situācijās, kuras reglamentē </w:t>
      </w:r>
      <w:r w:rsidR="00A22307">
        <w:rPr>
          <w:rFonts w:asciiTheme="majorBidi" w:hAnsiTheme="majorBidi" w:cstheme="majorBidi"/>
          <w:szCs w:val="24"/>
          <w:lang w:val="lv-LV"/>
        </w:rPr>
        <w:t xml:space="preserve">Eiropas </w:t>
      </w:r>
      <w:r w:rsidRPr="005466B1">
        <w:rPr>
          <w:rFonts w:asciiTheme="majorBidi" w:hAnsiTheme="majorBidi" w:cstheme="majorBidi"/>
          <w:szCs w:val="24"/>
          <w:lang w:val="lv-LV"/>
        </w:rPr>
        <w:t xml:space="preserve">Savienības tiesības un attiecībā uz kurām </w:t>
      </w:r>
      <w:r>
        <w:rPr>
          <w:rFonts w:asciiTheme="majorBidi" w:hAnsiTheme="majorBidi" w:cstheme="majorBidi"/>
          <w:szCs w:val="24"/>
          <w:lang w:val="lv-LV"/>
        </w:rPr>
        <w:t>l</w:t>
      </w:r>
      <w:r w:rsidRPr="005466B1">
        <w:rPr>
          <w:rFonts w:asciiTheme="majorBidi" w:hAnsiTheme="majorBidi" w:cstheme="majorBidi"/>
          <w:szCs w:val="24"/>
          <w:lang w:val="lv-LV"/>
        </w:rPr>
        <w:t>īgumā nav paredzēti īpaši noteikumi par diskriminācij</w:t>
      </w:r>
      <w:r w:rsidR="00A22307">
        <w:rPr>
          <w:rFonts w:asciiTheme="majorBidi" w:hAnsiTheme="majorBidi" w:cstheme="majorBidi"/>
          <w:szCs w:val="24"/>
          <w:lang w:val="lv-LV"/>
        </w:rPr>
        <w:t>as</w:t>
      </w:r>
      <w:r w:rsidRPr="005466B1">
        <w:rPr>
          <w:rFonts w:asciiTheme="majorBidi" w:hAnsiTheme="majorBidi" w:cstheme="majorBidi"/>
          <w:szCs w:val="24"/>
          <w:lang w:val="lv-LV"/>
        </w:rPr>
        <w:t xml:space="preserve"> aizliegumu. Taču diskriminācijas aizlieguma princips tika ieviests</w:t>
      </w:r>
      <w:bookmarkStart w:id="2" w:name="ctx18"/>
      <w:r w:rsidRPr="005466B1">
        <w:rPr>
          <w:rFonts w:asciiTheme="majorBidi" w:hAnsiTheme="majorBidi" w:cstheme="majorBidi"/>
          <w:szCs w:val="24"/>
          <w:lang w:val="lv-LV"/>
        </w:rPr>
        <w:t xml:space="preserve"> darba</w:t>
      </w:r>
      <w:bookmarkStart w:id="3" w:name="ctx19"/>
      <w:bookmarkEnd w:id="2"/>
      <w:r w:rsidRPr="005466B1">
        <w:rPr>
          <w:rFonts w:asciiTheme="majorBidi" w:hAnsiTheme="majorBidi" w:cstheme="majorBidi"/>
          <w:szCs w:val="24"/>
          <w:lang w:val="lv-LV"/>
        </w:rPr>
        <w:t xml:space="preserve"> ņēmēju</w:t>
      </w:r>
      <w:bookmarkEnd w:id="3"/>
      <w:r w:rsidRPr="005466B1">
        <w:rPr>
          <w:rFonts w:asciiTheme="majorBidi" w:hAnsiTheme="majorBidi" w:cstheme="majorBidi"/>
          <w:szCs w:val="24"/>
          <w:lang w:val="lv-LV"/>
        </w:rPr>
        <w:t xml:space="preserve"> brīvas</w:t>
      </w:r>
      <w:bookmarkStart w:id="4" w:name="ctx20"/>
      <w:r w:rsidRPr="005466B1">
        <w:rPr>
          <w:rFonts w:asciiTheme="majorBidi" w:hAnsiTheme="majorBidi" w:cstheme="majorBidi"/>
          <w:szCs w:val="24"/>
          <w:lang w:val="lv-LV"/>
        </w:rPr>
        <w:t xml:space="preserve"> pārvietošanās</w:t>
      </w:r>
      <w:bookmarkEnd w:id="4"/>
      <w:r w:rsidRPr="005466B1">
        <w:rPr>
          <w:rFonts w:asciiTheme="majorBidi" w:hAnsiTheme="majorBidi" w:cstheme="majorBidi"/>
          <w:szCs w:val="24"/>
          <w:lang w:val="lv-LV"/>
        </w:rPr>
        <w:t xml:space="preserve"> jomā ar LESD 45.pantu un </w:t>
      </w:r>
      <w:r>
        <w:rPr>
          <w:rFonts w:asciiTheme="majorBidi" w:hAnsiTheme="majorBidi" w:cstheme="majorBidi"/>
          <w:szCs w:val="24"/>
          <w:lang w:val="lv-LV"/>
        </w:rPr>
        <w:t>r</w:t>
      </w:r>
      <w:r w:rsidRPr="005466B1">
        <w:rPr>
          <w:rFonts w:asciiTheme="majorBidi" w:hAnsiTheme="majorBidi" w:cstheme="majorBidi"/>
          <w:szCs w:val="24"/>
          <w:lang w:val="lv-LV"/>
        </w:rPr>
        <w:t>egulu Nr. 492/2011</w:t>
      </w:r>
      <w:r>
        <w:rPr>
          <w:rFonts w:asciiTheme="majorBidi" w:hAnsiTheme="majorBidi" w:cstheme="majorBidi"/>
          <w:szCs w:val="24"/>
          <w:lang w:val="lv-LV"/>
        </w:rPr>
        <w:t xml:space="preserve"> (2015.gada 11.aprīlis) </w:t>
      </w:r>
      <w:r w:rsidRPr="005466B1">
        <w:rPr>
          <w:szCs w:val="24"/>
          <w:shd w:val="clear" w:color="auto" w:fill="FFFFFF"/>
          <w:lang w:val="lv-LV"/>
        </w:rPr>
        <w:t>par darba ņēmēju brīvu pārvietošanos Savienībā</w:t>
      </w:r>
      <w:r>
        <w:rPr>
          <w:szCs w:val="24"/>
          <w:shd w:val="clear" w:color="auto" w:fill="FFFFFF"/>
          <w:lang w:val="lv-LV"/>
        </w:rPr>
        <w:t xml:space="preserve"> (</w:t>
      </w:r>
      <w:r w:rsidRPr="005466B1">
        <w:rPr>
          <w:i/>
          <w:iCs/>
          <w:lang w:val="lv-LV"/>
        </w:rPr>
        <w:t xml:space="preserve">Eiropas Savienības Tiesas 2022.gada </w:t>
      </w:r>
      <w:r>
        <w:rPr>
          <w:i/>
          <w:iCs/>
          <w:lang w:val="lv-LV"/>
        </w:rPr>
        <w:t>8.decembra</w:t>
      </w:r>
      <w:r w:rsidRPr="005466B1">
        <w:rPr>
          <w:i/>
          <w:iCs/>
          <w:lang w:val="lv-LV"/>
        </w:rPr>
        <w:t xml:space="preserve"> spriedums lietā „</w:t>
      </w:r>
      <w:r>
        <w:rPr>
          <w:i/>
          <w:iCs/>
          <w:lang w:val="lv-LV"/>
        </w:rPr>
        <w:t>GV”</w:t>
      </w:r>
      <w:r w:rsidRPr="005466B1">
        <w:rPr>
          <w:i/>
          <w:iCs/>
          <w:lang w:val="lv-LV"/>
        </w:rPr>
        <w:t>, C</w:t>
      </w:r>
      <w:r w:rsidRPr="005466B1">
        <w:rPr>
          <w:i/>
          <w:iCs/>
          <w:lang w:val="lv-LV"/>
        </w:rPr>
        <w:noBreakHyphen/>
      </w:r>
      <w:r>
        <w:rPr>
          <w:i/>
          <w:iCs/>
          <w:lang w:val="lv-LV"/>
        </w:rPr>
        <w:t>731</w:t>
      </w:r>
      <w:r w:rsidRPr="005466B1">
        <w:rPr>
          <w:i/>
          <w:iCs/>
          <w:lang w:val="lv-LV"/>
        </w:rPr>
        <w:t>/</w:t>
      </w:r>
      <w:r w:rsidRPr="0013526A">
        <w:rPr>
          <w:i/>
          <w:iCs/>
          <w:lang w:val="lv-LV"/>
        </w:rPr>
        <w:t xml:space="preserve">21, </w:t>
      </w:r>
      <w:hyperlink r:id="rId10" w:history="1">
        <w:r w:rsidRPr="0013526A">
          <w:rPr>
            <w:rStyle w:val="Hyperlink"/>
            <w:i/>
            <w:iCs/>
            <w:lang w:val="lv-LV"/>
          </w:rPr>
          <w:t>ECLI:EU:C:2022:969</w:t>
        </w:r>
      </w:hyperlink>
      <w:r w:rsidRPr="0013526A">
        <w:rPr>
          <w:i/>
          <w:iCs/>
          <w:lang w:val="lv-LV"/>
        </w:rPr>
        <w:t>,</w:t>
      </w:r>
      <w:r w:rsidRPr="005466B1">
        <w:rPr>
          <w:i/>
          <w:iCs/>
          <w:lang w:val="lv-LV"/>
        </w:rPr>
        <w:t xml:space="preserve"> </w:t>
      </w:r>
      <w:r>
        <w:rPr>
          <w:i/>
          <w:iCs/>
          <w:lang w:val="lv-LV"/>
        </w:rPr>
        <w:t>28</w:t>
      </w:r>
      <w:r w:rsidRPr="005466B1">
        <w:rPr>
          <w:i/>
          <w:iCs/>
          <w:lang w:val="lv-LV"/>
        </w:rPr>
        <w:t>.punkts un tajā minētā judikatūra</w:t>
      </w:r>
      <w:r>
        <w:rPr>
          <w:lang w:val="lv-LV"/>
        </w:rPr>
        <w:t>).</w:t>
      </w:r>
    </w:p>
    <w:p w14:paraId="6E163C45" w14:textId="470E4105" w:rsidR="00BD3ABA" w:rsidRPr="00A22307" w:rsidRDefault="00A22307" w:rsidP="00AF71D4">
      <w:pPr>
        <w:pStyle w:val="NoSpacing"/>
        <w:spacing w:line="276" w:lineRule="auto"/>
        <w:ind w:firstLine="720"/>
        <w:contextualSpacing/>
        <w:jc w:val="both"/>
        <w:rPr>
          <w:rStyle w:val="cf01"/>
          <w:rFonts w:asciiTheme="majorBidi" w:hAnsiTheme="majorBidi" w:cstheme="majorBidi"/>
          <w:sz w:val="24"/>
          <w:szCs w:val="24"/>
          <w:lang w:val="lv-LV"/>
        </w:rPr>
      </w:pPr>
      <w:r>
        <w:rPr>
          <w:rStyle w:val="cf01"/>
          <w:rFonts w:asciiTheme="majorBidi" w:hAnsiTheme="majorBidi" w:cstheme="majorBidi"/>
          <w:sz w:val="24"/>
          <w:szCs w:val="24"/>
          <w:lang w:val="lv-LV"/>
        </w:rPr>
        <w:t>L</w:t>
      </w:r>
      <w:r w:rsidRPr="00A22307">
        <w:rPr>
          <w:rStyle w:val="cf01"/>
          <w:rFonts w:asciiTheme="majorBidi" w:hAnsiTheme="majorBidi" w:cstheme="majorBidi"/>
          <w:sz w:val="24"/>
          <w:szCs w:val="24"/>
          <w:lang w:val="lv-LV"/>
        </w:rPr>
        <w:t>īdz ar to pieteicēja kasācijas sūdzības arguments par LESD 18.panta piemērošanu nav pamatots, jo attiecīgais jautājums vērtējams LESD 45.panta un regulas Nr. 492/2011 kontekstā.</w:t>
      </w:r>
    </w:p>
    <w:p w14:paraId="321381F1" w14:textId="77777777" w:rsidR="00A22307" w:rsidRPr="00A22307" w:rsidRDefault="00A22307" w:rsidP="00AF71D4">
      <w:pPr>
        <w:pStyle w:val="NoSpacing"/>
        <w:spacing w:line="276" w:lineRule="auto"/>
        <w:ind w:firstLine="720"/>
        <w:contextualSpacing/>
        <w:jc w:val="both"/>
        <w:rPr>
          <w:lang w:val="lv-LV"/>
        </w:rPr>
      </w:pPr>
    </w:p>
    <w:p w14:paraId="661308D1" w14:textId="4C680C45" w:rsidR="00BD3ABA" w:rsidRDefault="00BD3ABA" w:rsidP="00AF71D4">
      <w:pPr>
        <w:pStyle w:val="NoSpacing"/>
        <w:spacing w:line="276" w:lineRule="auto"/>
        <w:ind w:firstLine="720"/>
        <w:contextualSpacing/>
        <w:jc w:val="both"/>
        <w:rPr>
          <w:lang w:val="lv-LV"/>
        </w:rPr>
      </w:pPr>
      <w:r>
        <w:rPr>
          <w:lang w:val="lv-LV"/>
        </w:rPr>
        <w:t>[</w:t>
      </w:r>
      <w:r w:rsidR="006F3120">
        <w:rPr>
          <w:lang w:val="lv-LV"/>
        </w:rPr>
        <w:t>1</w:t>
      </w:r>
      <w:r w:rsidR="00D67577">
        <w:rPr>
          <w:lang w:val="lv-LV"/>
        </w:rPr>
        <w:t>0</w:t>
      </w:r>
      <w:r>
        <w:rPr>
          <w:lang w:val="lv-LV"/>
        </w:rPr>
        <w:t>] </w:t>
      </w:r>
      <w:r w:rsidRPr="00D14C13">
        <w:rPr>
          <w:lang w:val="lv-LV"/>
        </w:rPr>
        <w:t>LESD 45.panta 2.punkts noteic, ka pārvietošanās brīvība nozīmē to, ka likvidē jebkādu dalībvalstu darba ņēmēju diskrimināciju pilsonības dēļ attiecībā uz nodarbinātību, darba samaksu un citiem darba un nodarbinātības nosacījumiem. Savukārt LESD 48.pantā uzskaitīts, kas tieši sociālā nodrošinājuma jomā jānodrošina migrējošiem darba ņēmējiem, lai īstenotu pārvietošanās brīvību</w:t>
      </w:r>
      <w:r>
        <w:rPr>
          <w:lang w:val="lv-LV"/>
        </w:rPr>
        <w:t>.</w:t>
      </w:r>
    </w:p>
    <w:p w14:paraId="03462D8B" w14:textId="7C73BFE0" w:rsidR="00BD3ABA" w:rsidRPr="00462397" w:rsidRDefault="00BD3ABA" w:rsidP="00AF71D4">
      <w:pPr>
        <w:pStyle w:val="NoSpacing"/>
        <w:spacing w:line="276" w:lineRule="auto"/>
        <w:ind w:firstLine="720"/>
        <w:contextualSpacing/>
        <w:jc w:val="both"/>
        <w:rPr>
          <w:rFonts w:asciiTheme="majorBidi" w:hAnsiTheme="majorBidi" w:cstheme="majorBidi"/>
          <w:szCs w:val="24"/>
          <w:lang w:val="lv-LV"/>
        </w:rPr>
      </w:pPr>
      <w:r w:rsidRPr="00C4207F">
        <w:rPr>
          <w:lang w:val="lv-LV"/>
        </w:rPr>
        <w:t xml:space="preserve">Regulas Nr. 883/2004 </w:t>
      </w:r>
      <w:r>
        <w:rPr>
          <w:lang w:val="lv-LV"/>
        </w:rPr>
        <w:t>4.pants noteic: j</w:t>
      </w:r>
      <w:r w:rsidRPr="00462397">
        <w:rPr>
          <w:rFonts w:asciiTheme="majorBidi" w:hAnsiTheme="majorBidi" w:cstheme="majorBidi"/>
          <w:szCs w:val="24"/>
          <w:shd w:val="clear" w:color="auto" w:fill="FFFFFF"/>
          <w:lang w:val="lv-LV"/>
        </w:rPr>
        <w:t>a šajā regulā nav noteikts citādi, personām, uz ko attiecas šī regula, pienākas tādi paši pabalsti un ir tādi paši pienākumi kā tie, ko kādas dalībvalsts tiesību akti</w:t>
      </w:r>
      <w:r w:rsidR="00113CB7" w:rsidRPr="00113CB7">
        <w:rPr>
          <w:rFonts w:asciiTheme="majorBidi" w:hAnsiTheme="majorBidi" w:cstheme="majorBidi"/>
          <w:szCs w:val="24"/>
          <w:shd w:val="clear" w:color="auto" w:fill="FFFFFF"/>
          <w:lang w:val="lv-LV"/>
        </w:rPr>
        <w:t xml:space="preserve"> </w:t>
      </w:r>
      <w:r w:rsidR="00113CB7" w:rsidRPr="00462397">
        <w:rPr>
          <w:rFonts w:asciiTheme="majorBidi" w:hAnsiTheme="majorBidi" w:cstheme="majorBidi"/>
          <w:szCs w:val="24"/>
          <w:shd w:val="clear" w:color="auto" w:fill="FFFFFF"/>
          <w:lang w:val="lv-LV"/>
        </w:rPr>
        <w:t>paredz</w:t>
      </w:r>
      <w:r w:rsidRPr="00462397">
        <w:rPr>
          <w:rFonts w:asciiTheme="majorBidi" w:hAnsiTheme="majorBidi" w:cstheme="majorBidi"/>
          <w:szCs w:val="24"/>
          <w:shd w:val="clear" w:color="auto" w:fill="FFFFFF"/>
          <w:lang w:val="lv-LV"/>
        </w:rPr>
        <w:t xml:space="preserve"> tās piederīgajiem.</w:t>
      </w:r>
    </w:p>
    <w:p w14:paraId="364DEB63" w14:textId="7A7CADA8" w:rsidR="00BD3ABA" w:rsidRDefault="00BD3ABA" w:rsidP="00AF71D4">
      <w:pPr>
        <w:pStyle w:val="NoSpacing"/>
        <w:spacing w:line="276" w:lineRule="auto"/>
        <w:ind w:firstLine="720"/>
        <w:contextualSpacing/>
        <w:jc w:val="both"/>
        <w:rPr>
          <w:rFonts w:asciiTheme="majorBidi" w:hAnsiTheme="majorBidi" w:cstheme="majorBidi"/>
          <w:color w:val="000000"/>
          <w:szCs w:val="24"/>
          <w:lang w:val="lv-LV"/>
        </w:rPr>
      </w:pPr>
      <w:r w:rsidRPr="00D640EE">
        <w:rPr>
          <w:lang w:val="lv-LV"/>
        </w:rPr>
        <w:t>Eiropas Savienības Tiesa ir norādījusi, ka regulas Nr. 883/2004 4.panta mērķis saskaņā ar LESD 45.pantu ir nodrošināt personām, kam šī regula piemērojama, vienlīdzību sociālā nodrošinājuma jomā neatkarīgi no viņu pilsonības, šajā ziņā izskaužot jebkādu diskrimināciju, kas izriet no dalībvalstu tiesību aktiem (</w:t>
      </w:r>
      <w:r w:rsidRPr="00D640EE">
        <w:rPr>
          <w:i/>
          <w:iCs/>
          <w:lang w:val="lv-LV"/>
        </w:rPr>
        <w:t>Eiropas Savienības Tiesas 2022.gada 16.jūnija spriedum</w:t>
      </w:r>
      <w:r w:rsidR="004F2B16">
        <w:rPr>
          <w:i/>
          <w:iCs/>
          <w:lang w:val="lv-LV"/>
        </w:rPr>
        <w:t>a</w:t>
      </w:r>
      <w:r w:rsidRPr="00D640EE">
        <w:rPr>
          <w:i/>
          <w:iCs/>
          <w:lang w:val="lv-LV"/>
        </w:rPr>
        <w:t xml:space="preserve"> lietā „</w:t>
      </w:r>
      <w:r w:rsidR="00CA5995">
        <w:rPr>
          <w:i/>
          <w:iCs/>
          <w:lang w:val="lv-LV"/>
        </w:rPr>
        <w:t xml:space="preserve">Eiropas </w:t>
      </w:r>
      <w:r w:rsidRPr="00D640EE">
        <w:rPr>
          <w:i/>
          <w:iCs/>
          <w:lang w:val="lv-LV"/>
        </w:rPr>
        <w:t>Komisija</w:t>
      </w:r>
      <w:r w:rsidR="00CA5995">
        <w:rPr>
          <w:i/>
          <w:iCs/>
          <w:lang w:val="lv-LV"/>
        </w:rPr>
        <w:t xml:space="preserve"> pret </w:t>
      </w:r>
      <w:r w:rsidRPr="00D640EE">
        <w:rPr>
          <w:i/>
          <w:iCs/>
          <w:lang w:val="lv-LV"/>
        </w:rPr>
        <w:t>Austrija</w:t>
      </w:r>
      <w:r w:rsidR="00CA5995">
        <w:rPr>
          <w:i/>
          <w:iCs/>
          <w:lang w:val="lv-LV"/>
        </w:rPr>
        <w:t>s Republiku</w:t>
      </w:r>
      <w:r w:rsidRPr="00D640EE">
        <w:rPr>
          <w:i/>
          <w:iCs/>
          <w:lang w:val="lv-LV"/>
        </w:rPr>
        <w:t>”, C</w:t>
      </w:r>
      <w:r w:rsidRPr="00D640EE">
        <w:rPr>
          <w:i/>
          <w:iCs/>
          <w:lang w:val="lv-LV"/>
        </w:rPr>
        <w:noBreakHyphen/>
        <w:t xml:space="preserve">328/20, </w:t>
      </w:r>
      <w:hyperlink r:id="rId11" w:history="1">
        <w:r w:rsidRPr="00D640EE">
          <w:rPr>
            <w:rStyle w:val="Hyperlink"/>
            <w:i/>
            <w:iCs/>
            <w:lang w:val="lv-LV"/>
          </w:rPr>
          <w:t>ECLI:EU:C:2022:468</w:t>
        </w:r>
      </w:hyperlink>
      <w:r w:rsidRPr="00D640EE">
        <w:rPr>
          <w:i/>
          <w:iCs/>
          <w:lang w:val="lv-LV"/>
        </w:rPr>
        <w:t>, 93.punkts un tajā minētā judikatūra</w:t>
      </w:r>
      <w:r w:rsidRPr="00D640EE">
        <w:rPr>
          <w:lang w:val="lv-LV"/>
        </w:rPr>
        <w:t xml:space="preserve">). </w:t>
      </w:r>
      <w:r w:rsidRPr="002D2EE5">
        <w:rPr>
          <w:rFonts w:asciiTheme="majorBidi" w:hAnsiTheme="majorBidi" w:cstheme="majorBidi"/>
          <w:color w:val="000000"/>
          <w:szCs w:val="24"/>
          <w:lang w:val="lv-LV"/>
        </w:rPr>
        <w:t xml:space="preserve">Attiecībā uz LESD 48.pantu no </w:t>
      </w:r>
      <w:r w:rsidRPr="002D2EE5">
        <w:rPr>
          <w:lang w:val="lv-LV"/>
        </w:rPr>
        <w:t>Eiropas Savienības</w:t>
      </w:r>
      <w:r w:rsidRPr="00D640EE">
        <w:rPr>
          <w:lang w:val="lv-LV"/>
        </w:rPr>
        <w:t xml:space="preserve"> </w:t>
      </w:r>
      <w:r w:rsidRPr="002D2EE5">
        <w:rPr>
          <w:rFonts w:asciiTheme="majorBidi" w:hAnsiTheme="majorBidi" w:cstheme="majorBidi"/>
          <w:color w:val="000000"/>
          <w:szCs w:val="24"/>
          <w:lang w:val="lv-LV"/>
        </w:rPr>
        <w:t>Tiesas judikatūras izriet, ka šīs tiesību normas mērķis nav radīt saistošu noteikumu, kas būtu iedarbīgs pats par sevi, bet tā ir juridisks pamats, lai sociālā nodrošinājuma jomā pieņemtu pasākumus, kuri vajadzīgi, lai īstenotu</w:t>
      </w:r>
      <w:r>
        <w:rPr>
          <w:rFonts w:asciiTheme="majorBidi" w:hAnsiTheme="majorBidi" w:cstheme="majorBidi"/>
          <w:color w:val="000000"/>
          <w:szCs w:val="24"/>
          <w:lang w:val="lv-LV"/>
        </w:rPr>
        <w:t xml:space="preserve"> </w:t>
      </w:r>
      <w:r w:rsidRPr="002D2EE5">
        <w:rPr>
          <w:rFonts w:asciiTheme="majorBidi" w:hAnsiTheme="majorBidi" w:cstheme="majorBidi"/>
          <w:szCs w:val="24"/>
          <w:lang w:val="lv-LV"/>
        </w:rPr>
        <w:t xml:space="preserve">darba ņēmēju </w:t>
      </w:r>
      <w:r w:rsidRPr="002D2EE5">
        <w:rPr>
          <w:rFonts w:asciiTheme="majorBidi" w:hAnsiTheme="majorBidi" w:cstheme="majorBidi"/>
          <w:szCs w:val="24"/>
          <w:lang w:val="lv-LV"/>
        </w:rPr>
        <w:lastRenderedPageBreak/>
        <w:t xml:space="preserve">pārvietošanās </w:t>
      </w:r>
      <w:r w:rsidRPr="002D2EE5">
        <w:rPr>
          <w:rFonts w:asciiTheme="majorBidi" w:hAnsiTheme="majorBidi" w:cstheme="majorBidi"/>
          <w:color w:val="000000"/>
          <w:szCs w:val="24"/>
          <w:lang w:val="lv-LV"/>
        </w:rPr>
        <w:t>brīvību (</w:t>
      </w:r>
      <w:r>
        <w:rPr>
          <w:rFonts w:asciiTheme="majorBidi" w:hAnsiTheme="majorBidi" w:cstheme="majorBidi"/>
          <w:i/>
          <w:iCs/>
          <w:color w:val="000000"/>
          <w:szCs w:val="24"/>
          <w:lang w:val="lv-LV"/>
        </w:rPr>
        <w:t xml:space="preserve">Eiropas Savienības Tiesas </w:t>
      </w:r>
      <w:r w:rsidRPr="002D2EE5">
        <w:rPr>
          <w:rFonts w:asciiTheme="majorBidi" w:hAnsiTheme="majorBidi" w:cstheme="majorBidi"/>
          <w:i/>
          <w:iCs/>
          <w:color w:val="000000"/>
          <w:szCs w:val="24"/>
          <w:lang w:val="lv-LV"/>
        </w:rPr>
        <w:t xml:space="preserve">2011.gada 10.marta sprieduma lietā </w:t>
      </w:r>
      <w:r w:rsidRPr="0013526A">
        <w:rPr>
          <w:rFonts w:asciiTheme="majorBidi" w:hAnsiTheme="majorBidi" w:cstheme="majorBidi"/>
          <w:i/>
          <w:iCs/>
          <w:color w:val="000000"/>
          <w:szCs w:val="24"/>
          <w:lang w:val="lv-LV"/>
        </w:rPr>
        <w:t>„</w:t>
      </w:r>
      <w:proofErr w:type="spellStart"/>
      <w:r w:rsidRPr="0013526A">
        <w:rPr>
          <w:rFonts w:asciiTheme="majorBidi" w:hAnsiTheme="majorBidi" w:cstheme="majorBidi"/>
          <w:i/>
          <w:iCs/>
          <w:color w:val="000000"/>
          <w:szCs w:val="24"/>
          <w:lang w:val="lv-LV"/>
        </w:rPr>
        <w:t>Casteels</w:t>
      </w:r>
      <w:proofErr w:type="spellEnd"/>
      <w:r w:rsidRPr="0013526A">
        <w:rPr>
          <w:rFonts w:asciiTheme="majorBidi" w:hAnsiTheme="majorBidi" w:cstheme="majorBidi"/>
          <w:i/>
          <w:iCs/>
          <w:color w:val="000000"/>
          <w:szCs w:val="24"/>
          <w:lang w:val="lv-LV"/>
        </w:rPr>
        <w:t>”, C</w:t>
      </w:r>
      <w:r w:rsidRPr="0013526A">
        <w:rPr>
          <w:rFonts w:asciiTheme="majorBidi" w:hAnsiTheme="majorBidi" w:cstheme="majorBidi"/>
          <w:i/>
          <w:iCs/>
          <w:color w:val="000000"/>
          <w:szCs w:val="24"/>
          <w:lang w:val="lv-LV"/>
        </w:rPr>
        <w:noBreakHyphen/>
        <w:t xml:space="preserve">379/09, </w:t>
      </w:r>
      <w:hyperlink r:id="rId12" w:history="1">
        <w:r w:rsidR="00F750F5" w:rsidRPr="0013526A">
          <w:rPr>
            <w:rStyle w:val="Hyperlink"/>
            <w:rFonts w:asciiTheme="majorBidi" w:hAnsiTheme="majorBidi" w:cstheme="majorBidi"/>
            <w:i/>
            <w:iCs/>
            <w:szCs w:val="24"/>
            <w:lang w:val="lv-LV"/>
          </w:rPr>
          <w:t>ECLI:</w:t>
        </w:r>
        <w:r w:rsidRPr="0013526A">
          <w:rPr>
            <w:rStyle w:val="Hyperlink"/>
            <w:rFonts w:asciiTheme="majorBidi" w:hAnsiTheme="majorBidi" w:cstheme="majorBidi"/>
            <w:i/>
            <w:iCs/>
            <w:szCs w:val="24"/>
            <w:lang w:val="lv-LV"/>
          </w:rPr>
          <w:t>EU:C:2011:131</w:t>
        </w:r>
      </w:hyperlink>
      <w:r w:rsidRPr="0013526A">
        <w:rPr>
          <w:rFonts w:asciiTheme="majorBidi" w:hAnsiTheme="majorBidi" w:cstheme="majorBidi"/>
          <w:i/>
          <w:iCs/>
          <w:color w:val="000000"/>
          <w:szCs w:val="24"/>
          <w:lang w:val="lv-LV"/>
        </w:rPr>
        <w:t>, 14.punkts</w:t>
      </w:r>
      <w:r w:rsidRPr="0013526A">
        <w:rPr>
          <w:rFonts w:asciiTheme="majorBidi" w:hAnsiTheme="majorBidi" w:cstheme="majorBidi"/>
          <w:color w:val="000000"/>
          <w:szCs w:val="24"/>
          <w:lang w:val="lv-LV"/>
        </w:rPr>
        <w:t>).</w:t>
      </w:r>
      <w:r w:rsidRPr="002D2EE5">
        <w:rPr>
          <w:rFonts w:asciiTheme="majorBidi" w:hAnsiTheme="majorBidi" w:cstheme="majorBidi"/>
          <w:color w:val="000000"/>
          <w:szCs w:val="24"/>
          <w:lang w:val="lv-LV"/>
        </w:rPr>
        <w:t xml:space="preserve"> </w:t>
      </w:r>
    </w:p>
    <w:p w14:paraId="49CC008E" w14:textId="6D296E26" w:rsidR="00034092" w:rsidRPr="00FD3CD1" w:rsidRDefault="00034092" w:rsidP="00AF71D4">
      <w:pPr>
        <w:spacing w:line="276" w:lineRule="auto"/>
        <w:ind w:firstLine="720"/>
        <w:contextualSpacing/>
        <w:jc w:val="both"/>
      </w:pPr>
      <w:r w:rsidRPr="00D240E9">
        <w:t xml:space="preserve">Eiropas Savienības Tiesa ir skaidrojusi, ka visu noteikumu par personu pārvietošanās brīvību mērķis ir atvieglot Eiropas Savienības pilsoņu visa veida nodarbinātību visā Eiropas Savienības teritorijā un ir aizliegti pasākumi, kas varētu radīt šiem pilsoņiem neizdevīgāku situāciju, ja viņi vēlas veikt saimniecisko darbību citas dalībvalsts teritorijā. Tiesību normas, kas </w:t>
      </w:r>
      <w:r w:rsidRPr="00FD3CD1">
        <w:t>traucē vai attur kādas dalībvalsts pilsoni atstāt savu izcelsmes valsti, lai izmantotu tiesības uz brīvu pārvietošanos, rada šķērsli šai brīvībai (</w:t>
      </w:r>
      <w:r w:rsidRPr="00FD3CD1">
        <w:rPr>
          <w:i/>
          <w:iCs/>
        </w:rPr>
        <w:t xml:space="preserve">Eiropas Savienības Tiesas 2018.gada 7.marta sprieduma lietā „DW”, C-651/16, </w:t>
      </w:r>
      <w:hyperlink r:id="rId13" w:history="1">
        <w:r w:rsidRPr="00FD3CD1">
          <w:rPr>
            <w:rStyle w:val="Hyperlink"/>
            <w:i/>
            <w:iCs/>
          </w:rPr>
          <w:t>ECLI:EU:C:2018:162</w:t>
        </w:r>
      </w:hyperlink>
      <w:r w:rsidRPr="00FD3CD1">
        <w:rPr>
          <w:i/>
          <w:iCs/>
        </w:rPr>
        <w:t xml:space="preserve">, </w:t>
      </w:r>
      <w:r w:rsidR="00A22307" w:rsidRPr="00FD3CD1">
        <w:rPr>
          <w:i/>
          <w:iCs/>
        </w:rPr>
        <w:t>21.</w:t>
      </w:r>
      <w:r w:rsidR="00A22307" w:rsidRPr="00F13656">
        <w:rPr>
          <w:i/>
          <w:iCs/>
        </w:rPr>
        <w:t>–</w:t>
      </w:r>
      <w:r w:rsidR="00A22307" w:rsidRPr="00FD3CD1">
        <w:rPr>
          <w:i/>
          <w:iCs/>
        </w:rPr>
        <w:t>22.punkts</w:t>
      </w:r>
      <w:r w:rsidRPr="00FD3CD1">
        <w:t>).</w:t>
      </w:r>
    </w:p>
    <w:p w14:paraId="53290DB1" w14:textId="77777777" w:rsidR="0050302E" w:rsidRPr="00FD3CD1" w:rsidRDefault="0050302E" w:rsidP="00AF71D4">
      <w:pPr>
        <w:spacing w:line="276" w:lineRule="auto"/>
        <w:ind w:firstLine="720"/>
        <w:contextualSpacing/>
        <w:jc w:val="both"/>
        <w:rPr>
          <w:rFonts w:asciiTheme="majorBidi" w:hAnsiTheme="majorBidi" w:cstheme="majorBidi"/>
          <w:color w:val="000000"/>
        </w:rPr>
      </w:pPr>
      <w:bookmarkStart w:id="5" w:name="_Hlk169095701"/>
    </w:p>
    <w:p w14:paraId="7F8214F2" w14:textId="09F8B6DB" w:rsidR="00AE50AA" w:rsidRPr="003A6EF0" w:rsidRDefault="0050302E" w:rsidP="00AF71D4">
      <w:pPr>
        <w:spacing w:line="276" w:lineRule="auto"/>
        <w:ind w:firstLine="720"/>
        <w:contextualSpacing/>
        <w:jc w:val="both"/>
        <w:rPr>
          <w:rFonts w:asciiTheme="majorBidi" w:hAnsiTheme="majorBidi" w:cstheme="majorBidi"/>
        </w:rPr>
      </w:pPr>
      <w:r w:rsidRPr="00FD3CD1">
        <w:rPr>
          <w:rFonts w:asciiTheme="majorBidi" w:hAnsiTheme="majorBidi" w:cstheme="majorBidi"/>
        </w:rPr>
        <w:t>[1</w:t>
      </w:r>
      <w:r w:rsidR="00D67577">
        <w:rPr>
          <w:rFonts w:asciiTheme="majorBidi" w:hAnsiTheme="majorBidi" w:cstheme="majorBidi"/>
        </w:rPr>
        <w:t>1</w:t>
      </w:r>
      <w:r w:rsidRPr="00FD3CD1">
        <w:rPr>
          <w:rFonts w:asciiTheme="majorBidi" w:hAnsiTheme="majorBidi" w:cstheme="majorBidi"/>
        </w:rPr>
        <w:t>] </w:t>
      </w:r>
      <w:r w:rsidR="00AE50AA" w:rsidRPr="00FD3CD1">
        <w:rPr>
          <w:rFonts w:asciiTheme="majorBidi" w:hAnsiTheme="majorBidi" w:cstheme="majorBidi"/>
        </w:rPr>
        <w:t>Vērtējot, vai</w:t>
      </w:r>
      <w:r w:rsidR="00585973" w:rsidRPr="00FD3CD1">
        <w:rPr>
          <w:rFonts w:asciiTheme="majorBidi" w:hAnsiTheme="majorBidi" w:cstheme="majorBidi"/>
        </w:rPr>
        <w:t xml:space="preserve"> </w:t>
      </w:r>
      <w:r w:rsidR="00A22307">
        <w:rPr>
          <w:rFonts w:asciiTheme="majorBidi" w:hAnsiTheme="majorBidi" w:cstheme="majorBidi"/>
        </w:rPr>
        <w:t>piemērojamā nacionālo tiesību norma</w:t>
      </w:r>
      <w:r w:rsidR="00585973" w:rsidRPr="00FD3CD1">
        <w:rPr>
          <w:rFonts w:asciiTheme="majorBidi" w:hAnsiTheme="majorBidi" w:cstheme="majorBidi"/>
        </w:rPr>
        <w:t xml:space="preserve"> (</w:t>
      </w:r>
      <w:r w:rsidR="00585973" w:rsidRPr="00FD3CD1">
        <w:t>likuma „Par valsts pensijām” pārejas noteikumu 1.punkts</w:t>
      </w:r>
      <w:r w:rsidR="00585973" w:rsidRPr="00FD3CD1">
        <w:rPr>
          <w:rFonts w:asciiTheme="majorBidi" w:hAnsiTheme="majorBidi" w:cstheme="majorBidi"/>
        </w:rPr>
        <w:t>)</w:t>
      </w:r>
      <w:r w:rsidR="00AE50AA" w:rsidRPr="00FD3CD1">
        <w:rPr>
          <w:rFonts w:asciiTheme="majorBidi" w:hAnsiTheme="majorBidi" w:cstheme="majorBidi"/>
        </w:rPr>
        <w:t xml:space="preserve"> </w:t>
      </w:r>
      <w:r w:rsidR="00AE50AA" w:rsidRPr="00FD3CD1">
        <w:rPr>
          <w:rFonts w:asciiTheme="majorBidi" w:hAnsiTheme="majorBidi" w:cstheme="majorBidi"/>
          <w:color w:val="000000"/>
        </w:rPr>
        <w:t>ir</w:t>
      </w:r>
      <w:r w:rsidR="00AE50AA" w:rsidRPr="00AE50AA">
        <w:rPr>
          <w:rFonts w:asciiTheme="majorBidi" w:hAnsiTheme="majorBidi" w:cstheme="majorBidi"/>
          <w:color w:val="000000"/>
        </w:rPr>
        <w:t xml:space="preserve"> brīvības veikt uzņēmējdarbību vai darba ņēmēju brīvas pārvietošanās ierobežojums,</w:t>
      </w:r>
      <w:r w:rsidR="00AE50AA">
        <w:rPr>
          <w:rFonts w:asciiTheme="majorBidi" w:hAnsiTheme="majorBidi" w:cstheme="majorBidi"/>
          <w:color w:val="000000"/>
        </w:rPr>
        <w:t xml:space="preserve"> jāņem vērā, ka ar r</w:t>
      </w:r>
      <w:r w:rsidR="00AE50AA" w:rsidRPr="00AE50AA">
        <w:rPr>
          <w:rFonts w:asciiTheme="majorBidi" w:hAnsiTheme="majorBidi" w:cstheme="majorBidi"/>
          <w:color w:val="000000"/>
        </w:rPr>
        <w:t xml:space="preserve">egulu Nr. 883/2004 netiek ieviesta kopēja sociālā nodrošinājuma shēma, bet gan tiek ļauts pastāvēt dažādām valstu shēmām. Dalībvalstis saglabā kompetenci organizēt savas sociālā nodrošinājuma shēmas, un, tā kā </w:t>
      </w:r>
      <w:r w:rsidR="00A22307">
        <w:rPr>
          <w:rFonts w:asciiTheme="majorBidi" w:hAnsiTheme="majorBidi" w:cstheme="majorBidi"/>
          <w:color w:val="000000"/>
        </w:rPr>
        <w:t xml:space="preserve">Eiropas </w:t>
      </w:r>
      <w:r w:rsidR="00AE50AA" w:rsidRPr="00AE50AA">
        <w:rPr>
          <w:rFonts w:asciiTheme="majorBidi" w:hAnsiTheme="majorBidi" w:cstheme="majorBidi"/>
          <w:color w:val="000000"/>
        </w:rPr>
        <w:t xml:space="preserve">Savienības līmenī nav veikta saskaņošana, katrai dalībvalstij savos tiesību aktos tostarp jānosaka tiesību uz sociāliem pabalstiem iegūšanas nosacījumi. Īstenojot šo kompetenci, dalībvalstīm tomēr jāievēro </w:t>
      </w:r>
      <w:r w:rsidR="00F40B1C">
        <w:rPr>
          <w:rFonts w:asciiTheme="majorBidi" w:hAnsiTheme="majorBidi" w:cstheme="majorBidi"/>
          <w:color w:val="000000"/>
        </w:rPr>
        <w:t xml:space="preserve">Eiropas </w:t>
      </w:r>
      <w:r w:rsidR="00AE50AA" w:rsidRPr="00AE50AA">
        <w:rPr>
          <w:rFonts w:asciiTheme="majorBidi" w:hAnsiTheme="majorBidi" w:cstheme="majorBidi"/>
          <w:color w:val="000000"/>
        </w:rPr>
        <w:t xml:space="preserve">Savienības tiesības un it īpaši LESD paredzētie noteikumi par visiem Savienības pilsoņiem atzītajām tiesībām brīvi pārvietoties un uzturēties dalībvalstu teritorijā </w:t>
      </w:r>
      <w:r w:rsidR="00AE50AA">
        <w:rPr>
          <w:rFonts w:asciiTheme="majorBidi" w:hAnsiTheme="majorBidi" w:cstheme="majorBidi"/>
          <w:color w:val="000000"/>
        </w:rPr>
        <w:t>(</w:t>
      </w:r>
      <w:r w:rsidR="00AE50AA" w:rsidRPr="0091261E">
        <w:rPr>
          <w:i/>
          <w:iCs/>
        </w:rPr>
        <w:t>Eiropas Savienības Tiesas 2022.gada 7.jūlija sprieduma lietā „CC”, C-</w:t>
      </w:r>
      <w:r w:rsidR="00AE50AA" w:rsidRPr="00FE2CCE">
        <w:rPr>
          <w:i/>
          <w:iCs/>
        </w:rPr>
        <w:t xml:space="preserve">576/20, </w:t>
      </w:r>
      <w:hyperlink r:id="rId14" w:history="1">
        <w:r w:rsidR="00AE50AA" w:rsidRPr="00FE2CCE">
          <w:rPr>
            <w:rStyle w:val="Hyperlink"/>
            <w:i/>
            <w:iCs/>
          </w:rPr>
          <w:t>ECLI:EU:C:2022:525</w:t>
        </w:r>
      </w:hyperlink>
      <w:r w:rsidR="00AE50AA" w:rsidRPr="00FE2CCE">
        <w:rPr>
          <w:i/>
          <w:iCs/>
        </w:rPr>
        <w:t>, 49.punkts un tajā minētā judikatūra, 2022.gada 15.septembra spriedum</w:t>
      </w:r>
      <w:r w:rsidR="00657A50" w:rsidRPr="00FE2CCE">
        <w:rPr>
          <w:i/>
          <w:iCs/>
        </w:rPr>
        <w:t>a</w:t>
      </w:r>
      <w:r w:rsidR="00AE50AA" w:rsidRPr="00FE2CCE">
        <w:rPr>
          <w:i/>
          <w:iCs/>
        </w:rPr>
        <w:t xml:space="preserve"> lietā „FK”, C</w:t>
      </w:r>
      <w:r w:rsidR="00AE50AA" w:rsidRPr="00FE2CCE">
        <w:rPr>
          <w:i/>
          <w:iCs/>
        </w:rPr>
        <w:noBreakHyphen/>
        <w:t xml:space="preserve">58/21, </w:t>
      </w:r>
      <w:hyperlink r:id="rId15" w:history="1">
        <w:r w:rsidR="00AE50AA" w:rsidRPr="00FE2CCE">
          <w:rPr>
            <w:rStyle w:val="Hyperlink"/>
            <w:i/>
            <w:iCs/>
          </w:rPr>
          <w:t>ECLI:EU:C:2022:691</w:t>
        </w:r>
      </w:hyperlink>
      <w:r w:rsidR="00AE50AA" w:rsidRPr="00FE2CCE">
        <w:rPr>
          <w:rStyle w:val="Hyperlink"/>
          <w:i/>
          <w:iCs/>
          <w:u w:val="none"/>
        </w:rPr>
        <w:t>,</w:t>
      </w:r>
      <w:r w:rsidR="00AE50AA" w:rsidRPr="00FE2CCE">
        <w:rPr>
          <w:rFonts w:asciiTheme="majorBidi" w:hAnsiTheme="majorBidi" w:cstheme="majorBidi"/>
          <w:i/>
          <w:iCs/>
          <w:color w:val="000000"/>
        </w:rPr>
        <w:t xml:space="preserve"> 61.punkts</w:t>
      </w:r>
      <w:r w:rsidR="00AE50AA">
        <w:rPr>
          <w:rFonts w:asciiTheme="majorBidi" w:hAnsiTheme="majorBidi" w:cstheme="majorBidi"/>
          <w:i/>
          <w:iCs/>
          <w:color w:val="000000"/>
        </w:rPr>
        <w:t xml:space="preserve"> un tajā minētā judikatūra</w:t>
      </w:r>
      <w:r w:rsidR="00AE50AA">
        <w:rPr>
          <w:rFonts w:asciiTheme="majorBidi" w:hAnsiTheme="majorBidi" w:cstheme="majorBidi"/>
          <w:color w:val="000000"/>
        </w:rPr>
        <w:t>).</w:t>
      </w:r>
    </w:p>
    <w:p w14:paraId="0F149B30" w14:textId="31634D38" w:rsidR="00BD3ABA" w:rsidRPr="003A6EF0" w:rsidRDefault="00BD3ABA" w:rsidP="00AF71D4">
      <w:pPr>
        <w:spacing w:line="276" w:lineRule="auto"/>
        <w:ind w:firstLine="720"/>
        <w:contextualSpacing/>
        <w:jc w:val="both"/>
        <w:rPr>
          <w:rFonts w:asciiTheme="majorBidi" w:hAnsiTheme="majorBidi" w:cstheme="majorBidi"/>
        </w:rPr>
      </w:pPr>
      <w:bookmarkStart w:id="6" w:name="_Hlk169092110"/>
      <w:r>
        <w:rPr>
          <w:rFonts w:asciiTheme="majorBidi" w:hAnsiTheme="majorBidi" w:cstheme="majorBidi"/>
          <w:color w:val="000000"/>
        </w:rPr>
        <w:t>L</w:t>
      </w:r>
      <w:r w:rsidRPr="003A6EF0">
        <w:rPr>
          <w:rFonts w:asciiTheme="majorBidi" w:hAnsiTheme="majorBidi" w:cstheme="majorBidi"/>
          <w:color w:val="000000"/>
        </w:rPr>
        <w:t xml:space="preserve">ai gan </w:t>
      </w:r>
      <w:r w:rsidR="00F40B1C">
        <w:rPr>
          <w:rFonts w:asciiTheme="majorBidi" w:hAnsiTheme="majorBidi" w:cstheme="majorBidi"/>
          <w:color w:val="000000"/>
        </w:rPr>
        <w:t xml:space="preserve">Eiropas </w:t>
      </w:r>
      <w:r w:rsidRPr="003A6EF0">
        <w:rPr>
          <w:rFonts w:asciiTheme="majorBidi" w:hAnsiTheme="majorBidi" w:cstheme="majorBidi"/>
          <w:color w:val="000000"/>
        </w:rPr>
        <w:t xml:space="preserve">Savienības primārajās tiesībās apdrošinātajai personai nevar tikt garantēts, ka pārvietošanās uz citu dalībvalsti ir neitrāla sociālā nodrošinājuma, īpaši veselības apdrošināšanas pabalstu un vecuma pensiju, jomā, šāda pārvietošanās, </w:t>
      </w:r>
      <w:r w:rsidRPr="00AE50AA">
        <w:rPr>
          <w:rFonts w:asciiTheme="majorBidi" w:hAnsiTheme="majorBidi" w:cstheme="majorBidi"/>
          <w:color w:val="000000"/>
        </w:rPr>
        <w:t>ņemot vērā starp dalībvalstu sistēmām un tiesību aktiem pastāvošās atšķirības, katrā konkrētā gadījumā attiecīgajai personai var būt vairāk vai mazāk izdevīga vai neizdevīga sociālās aizsardzības ziņā.</w:t>
      </w:r>
      <w:r w:rsidRPr="003A6EF0">
        <w:rPr>
          <w:rFonts w:asciiTheme="majorBidi" w:hAnsiTheme="majorBidi" w:cstheme="majorBidi"/>
          <w:color w:val="000000"/>
        </w:rPr>
        <w:t xml:space="preserve"> </w:t>
      </w:r>
      <w:r w:rsidR="00F40B1C">
        <w:rPr>
          <w:rFonts w:asciiTheme="majorBidi" w:hAnsiTheme="majorBidi" w:cstheme="majorBidi"/>
          <w:color w:val="000000"/>
        </w:rPr>
        <w:t>J</w:t>
      </w:r>
      <w:r w:rsidRPr="003A6EF0">
        <w:rPr>
          <w:rFonts w:asciiTheme="majorBidi" w:hAnsiTheme="majorBidi" w:cstheme="majorBidi"/>
          <w:color w:val="000000"/>
        </w:rPr>
        <w:t xml:space="preserve">a valsts tiesiskā regulējuma piemērošana ir mazāk izdevīga, šis tiesiskais regulējums atbilst </w:t>
      </w:r>
      <w:r w:rsidR="00F40B1C">
        <w:rPr>
          <w:rFonts w:asciiTheme="majorBidi" w:hAnsiTheme="majorBidi" w:cstheme="majorBidi"/>
          <w:color w:val="000000"/>
        </w:rPr>
        <w:t xml:space="preserve">Eiropas </w:t>
      </w:r>
      <w:r w:rsidRPr="003A6EF0">
        <w:rPr>
          <w:rFonts w:asciiTheme="majorBidi" w:hAnsiTheme="majorBidi" w:cstheme="majorBidi"/>
          <w:color w:val="000000"/>
        </w:rPr>
        <w:t xml:space="preserve">Savienības tiesībām vienīgi tad, ja šis valsts tiesiskais regulējums nerada attiecīgajam darba ņēmējam neizdevīgāku situāciju, salīdzinot ar tiem darba ņēmējiem, kas visas savas darbības veic dalībvalstī, kurā tas tiek piemērots, </w:t>
      </w:r>
      <w:r w:rsidRPr="00FD3CD1">
        <w:rPr>
          <w:rFonts w:asciiTheme="majorBidi" w:hAnsiTheme="majorBidi" w:cstheme="majorBidi"/>
          <w:color w:val="000000"/>
        </w:rPr>
        <w:t>un ja tā rezultātā sociālā nodrošinājuma iemaksas netiek maksātas, nesaņemot pretī labumu</w:t>
      </w:r>
      <w:r>
        <w:rPr>
          <w:rFonts w:asciiTheme="majorBidi" w:hAnsiTheme="majorBidi" w:cstheme="majorBidi"/>
          <w:color w:val="000000"/>
        </w:rPr>
        <w:t xml:space="preserve"> (</w:t>
      </w:r>
      <w:r w:rsidRPr="00631128">
        <w:rPr>
          <w:i/>
          <w:iCs/>
        </w:rPr>
        <w:t>Eiropas Savienības Tiesas 2016.gada 21.janvāra spriedumu lietā „</w:t>
      </w:r>
      <w:r w:rsidR="00CA5995">
        <w:rPr>
          <w:i/>
          <w:iCs/>
        </w:rPr>
        <w:t>Eiropas Komisija pret Kipras Republiku</w:t>
      </w:r>
      <w:r w:rsidRPr="00631128">
        <w:rPr>
          <w:i/>
          <w:iCs/>
        </w:rPr>
        <w:t xml:space="preserve">”, C‑515/14, </w:t>
      </w:r>
      <w:hyperlink r:id="rId16" w:history="1">
        <w:r w:rsidRPr="00631128">
          <w:rPr>
            <w:rStyle w:val="Hyperlink"/>
            <w:i/>
            <w:iCs/>
          </w:rPr>
          <w:t>ECLI:EU:C:2016:30</w:t>
        </w:r>
      </w:hyperlink>
      <w:r w:rsidRPr="003A6EF0">
        <w:rPr>
          <w:rStyle w:val="Hyperlink"/>
          <w:i/>
          <w:iCs/>
          <w:u w:val="none"/>
        </w:rPr>
        <w:t>,</w:t>
      </w:r>
      <w:r>
        <w:rPr>
          <w:rFonts w:asciiTheme="majorBidi" w:hAnsiTheme="majorBidi" w:cstheme="majorBidi"/>
          <w:i/>
          <w:iCs/>
          <w:color w:val="000000"/>
        </w:rPr>
        <w:t xml:space="preserve"> 40.punkts un tajā minētā judikatūra</w:t>
      </w:r>
      <w:r>
        <w:rPr>
          <w:rFonts w:asciiTheme="majorBidi" w:hAnsiTheme="majorBidi" w:cstheme="majorBidi"/>
          <w:color w:val="000000"/>
        </w:rPr>
        <w:t>).</w:t>
      </w:r>
    </w:p>
    <w:p w14:paraId="24922CF2" w14:textId="54A8A025" w:rsidR="00BD3ABA" w:rsidRPr="00FD3CD1" w:rsidRDefault="00BD3ABA" w:rsidP="00AF71D4">
      <w:pPr>
        <w:spacing w:line="276" w:lineRule="auto"/>
        <w:ind w:firstLine="720"/>
        <w:contextualSpacing/>
        <w:jc w:val="both"/>
      </w:pPr>
      <w:r>
        <w:rPr>
          <w:rFonts w:asciiTheme="majorBidi" w:hAnsiTheme="majorBidi" w:cstheme="majorBidi"/>
          <w:color w:val="000000"/>
        </w:rPr>
        <w:t>V</w:t>
      </w:r>
      <w:r w:rsidRPr="00D74178">
        <w:rPr>
          <w:rFonts w:asciiTheme="majorBidi" w:hAnsiTheme="majorBidi" w:cstheme="majorBidi"/>
          <w:color w:val="000000"/>
        </w:rPr>
        <w:t xml:space="preserve">alsts pasākumus, kas LESD garantēto pamatbrīvību izmantošanu var apgrūtināt vai padarīt mazāk pievilcīgu, var pieļaut tikai ar nosacījumu, ka tie ir vērsti uz vispārējo interešu mērķi, ka tie ir piemēroti, lai nodrošinātu tā īstenošanu, un ka tie nepārsniedz to, kas ir nepieciešams, lai </w:t>
      </w:r>
      <w:r w:rsidRPr="00CA5995">
        <w:rPr>
          <w:rFonts w:asciiTheme="majorBidi" w:hAnsiTheme="majorBidi" w:cstheme="majorBidi"/>
          <w:color w:val="000000"/>
        </w:rPr>
        <w:t>sasniegtu šo mērķi</w:t>
      </w:r>
      <w:r w:rsidRPr="00CA5995">
        <w:rPr>
          <w:rFonts w:ascii="Open Sans" w:hAnsi="Open Sans" w:cs="Open Sans"/>
          <w:color w:val="000000"/>
          <w:sz w:val="18"/>
          <w:szCs w:val="18"/>
        </w:rPr>
        <w:t xml:space="preserve"> </w:t>
      </w:r>
      <w:r w:rsidRPr="00CA5995">
        <w:t>(</w:t>
      </w:r>
      <w:r w:rsidRPr="00CA5995">
        <w:rPr>
          <w:i/>
          <w:iCs/>
        </w:rPr>
        <w:t xml:space="preserve">Eiropas Savienības Tiesas 2023.gada 15.jūnija sprieduma lietā „BM, NP”, C‑132/22, </w:t>
      </w:r>
      <w:hyperlink r:id="rId17" w:history="1">
        <w:r w:rsidRPr="00CA5995">
          <w:rPr>
            <w:rStyle w:val="Hyperlink"/>
            <w:i/>
            <w:iCs/>
          </w:rPr>
          <w:t>ECLI:EU:C:2023:489</w:t>
        </w:r>
      </w:hyperlink>
      <w:r w:rsidRPr="00CA5995">
        <w:rPr>
          <w:rStyle w:val="Hyperlink"/>
          <w:i/>
          <w:iCs/>
          <w:color w:val="auto"/>
          <w:u w:val="none"/>
        </w:rPr>
        <w:t>, 33.punkts un tajā minētā judikatūra</w:t>
      </w:r>
      <w:r w:rsidRPr="00CA5995">
        <w:t>).</w:t>
      </w:r>
    </w:p>
    <w:p w14:paraId="7015BD3C" w14:textId="7EA7EFEE" w:rsidR="00291E1D" w:rsidRPr="00FD3CD1" w:rsidRDefault="00291E1D" w:rsidP="00AF71D4">
      <w:pPr>
        <w:spacing w:line="276" w:lineRule="auto"/>
        <w:ind w:firstLine="720"/>
        <w:contextualSpacing/>
        <w:jc w:val="both"/>
      </w:pPr>
      <w:bookmarkStart w:id="7" w:name="_Hlk170301288"/>
      <w:bookmarkEnd w:id="5"/>
      <w:bookmarkEnd w:id="6"/>
      <w:r w:rsidRPr="00FD3CD1">
        <w:lastRenderedPageBreak/>
        <w:t>Tātad Latvijas likumdevēja kompetencē ir noteikt vecuma pensijas piešķiršanas noteikumus</w:t>
      </w:r>
      <w:r>
        <w:t xml:space="preserve">, vienlaikus ievērojot </w:t>
      </w:r>
      <w:r w:rsidR="00F40B1C">
        <w:t xml:space="preserve">Eiropas </w:t>
      </w:r>
      <w:r>
        <w:t xml:space="preserve">Savienības tiesības. </w:t>
      </w:r>
    </w:p>
    <w:p w14:paraId="7F019532" w14:textId="77777777" w:rsidR="00291E1D" w:rsidRPr="00FD3CD1" w:rsidRDefault="00291E1D" w:rsidP="00AF71D4">
      <w:pPr>
        <w:spacing w:line="276" w:lineRule="auto"/>
        <w:ind w:firstLine="720"/>
        <w:contextualSpacing/>
        <w:jc w:val="both"/>
      </w:pPr>
    </w:p>
    <w:p w14:paraId="41C8D24F" w14:textId="79CA8E71" w:rsidR="00154975" w:rsidRDefault="00F46CC2" w:rsidP="00AF71D4">
      <w:pPr>
        <w:spacing w:line="276" w:lineRule="auto"/>
        <w:ind w:firstLine="720"/>
        <w:contextualSpacing/>
        <w:jc w:val="both"/>
        <w:rPr>
          <w:rFonts w:asciiTheme="majorBidi" w:hAnsiTheme="majorBidi" w:cstheme="majorBidi"/>
        </w:rPr>
      </w:pPr>
      <w:r w:rsidRPr="00FD3CD1">
        <w:t>[1</w:t>
      </w:r>
      <w:r w:rsidR="00657A50">
        <w:t>2</w:t>
      </w:r>
      <w:r w:rsidRPr="00FD3CD1">
        <w:t>] </w:t>
      </w:r>
      <w:r w:rsidR="004D5C5E">
        <w:t>L</w:t>
      </w:r>
      <w:r w:rsidR="00347A2D" w:rsidRPr="00FD3CD1">
        <w:t>ikuma „Par valsts pensijām” pārejas noteikumu 1.punkts</w:t>
      </w:r>
      <w:r w:rsidR="00347A2D" w:rsidRPr="00FD3CD1">
        <w:rPr>
          <w:rFonts w:asciiTheme="majorBidi" w:hAnsiTheme="majorBidi" w:cstheme="majorBidi"/>
        </w:rPr>
        <w:t xml:space="preserve"> nerada pieteicējam neizdevīgāku situāciju, salīdzinot ar tiem darba ņēmējiem, kas</w:t>
      </w:r>
      <w:r w:rsidR="004D5C5E">
        <w:rPr>
          <w:rFonts w:asciiTheme="majorBidi" w:hAnsiTheme="majorBidi" w:cstheme="majorBidi"/>
        </w:rPr>
        <w:t xml:space="preserve"> attiecīgajā laikā līdz 1990.gada 31.decembrim ir strādājuši Latvijas teritorijā. Arī ārvalstniekiem, tostarp pieteicējam, Latvijas teritorijā uzkrātie darba un tam pielīdzinātie periodi tiek ieskaitīti apdrošināšanas stāžā. Atšķirība ir daļā par darba un tam pielīdzinātajiem periodiem, kas uzkrāti bijušās PSRS teritorijā. Senāts atzīst, ka</w:t>
      </w:r>
      <w:r w:rsidR="001948AD">
        <w:rPr>
          <w:rFonts w:asciiTheme="majorBidi" w:hAnsiTheme="majorBidi" w:cstheme="majorBidi"/>
        </w:rPr>
        <w:t xml:space="preserve"> </w:t>
      </w:r>
      <w:r w:rsidR="004D5C5E">
        <w:rPr>
          <w:rFonts w:asciiTheme="majorBidi" w:hAnsiTheme="majorBidi" w:cstheme="majorBidi"/>
        </w:rPr>
        <w:t>minētais</w:t>
      </w:r>
      <w:r w:rsidR="001709DC">
        <w:rPr>
          <w:rFonts w:asciiTheme="majorBidi" w:hAnsiTheme="majorBidi" w:cstheme="majorBidi"/>
        </w:rPr>
        <w:t xml:space="preserve"> regulējums </w:t>
      </w:r>
      <w:r w:rsidR="001948AD" w:rsidRPr="00FD3CD1">
        <w:t>ārvalstniek</w:t>
      </w:r>
      <w:r w:rsidR="00D67577">
        <w:t>a</w:t>
      </w:r>
      <w:r w:rsidR="001948AD" w:rsidRPr="00FD3CD1">
        <w:t xml:space="preserve">m, kas var būt arī citas dalībvalsts pilsonis, kā tas ir konkrētajā gadījumā, var </w:t>
      </w:r>
      <w:r w:rsidR="00D67577">
        <w:t>radīt</w:t>
      </w:r>
      <w:r w:rsidR="001948AD" w:rsidRPr="00FD3CD1">
        <w:t xml:space="preserve"> </w:t>
      </w:r>
      <w:r w:rsidR="00D67577">
        <w:t>nelabvēlīgāku situāciju</w:t>
      </w:r>
      <w:r w:rsidR="00154975">
        <w:t xml:space="preserve"> un ar šo regulējumu līdz ar to tiek radīta nevienlīdzīga attieksme pilsonības dēļ</w:t>
      </w:r>
      <w:r w:rsidR="001948AD" w:rsidRPr="00FD3CD1">
        <w:rPr>
          <w:rFonts w:asciiTheme="majorBidi" w:hAnsiTheme="majorBidi" w:cstheme="majorBidi"/>
        </w:rPr>
        <w:t>.</w:t>
      </w:r>
    </w:p>
    <w:p w14:paraId="57EB62D2" w14:textId="6AC7772A" w:rsidR="00154975" w:rsidRDefault="00154975" w:rsidP="00AF71D4">
      <w:pPr>
        <w:spacing w:line="276" w:lineRule="auto"/>
        <w:ind w:firstLine="720"/>
        <w:contextualSpacing/>
        <w:jc w:val="both"/>
        <w:rPr>
          <w:rFonts w:asciiTheme="majorBidi" w:hAnsiTheme="majorBidi" w:cstheme="majorBidi"/>
        </w:rPr>
      </w:pPr>
      <w:r>
        <w:rPr>
          <w:rFonts w:asciiTheme="majorBidi" w:hAnsiTheme="majorBidi" w:cstheme="majorBidi"/>
        </w:rPr>
        <w:t xml:space="preserve">Tādējādi jāpārbauda, vai šī nevienlīdzīgā attieksme ir objektīvi pamatota un samērīga. </w:t>
      </w:r>
      <w:r w:rsidR="009B19B1" w:rsidRPr="00FD3CD1">
        <w:rPr>
          <w:rFonts w:asciiTheme="majorBidi" w:hAnsiTheme="majorBidi" w:cstheme="majorBidi"/>
        </w:rPr>
        <w:t>Attiecīgi jānoskaidro, vai ierobežojumam ir leģitīms mērķis, kas saderīgs ar LESD, un vai tas ir attaisnots ar primāriem vispārējo interešu apsvērumiem</w:t>
      </w:r>
      <w:r w:rsidR="00FD3CD1" w:rsidRPr="00FD3CD1">
        <w:rPr>
          <w:rFonts w:asciiTheme="majorBidi" w:hAnsiTheme="majorBidi" w:cstheme="majorBidi"/>
        </w:rPr>
        <w:t>, kā arī vai tiesiskais regulējums ir piemērots šā leģitīmā mērķa īstenošanai un nepārsniedz šā mērķa sasniegšanai vajadzīgo.</w:t>
      </w:r>
    </w:p>
    <w:p w14:paraId="0D38AD27" w14:textId="1A1E8F1C" w:rsidR="009B19B1" w:rsidRPr="00FD3CD1" w:rsidRDefault="00154975" w:rsidP="00AF71D4">
      <w:pPr>
        <w:spacing w:line="276" w:lineRule="auto"/>
        <w:ind w:firstLine="720"/>
        <w:contextualSpacing/>
        <w:jc w:val="both"/>
        <w:rPr>
          <w:rFonts w:asciiTheme="majorBidi" w:hAnsiTheme="majorBidi" w:cstheme="majorBidi"/>
        </w:rPr>
      </w:pPr>
      <w:r>
        <w:rPr>
          <w:rFonts w:asciiTheme="majorBidi" w:hAnsiTheme="majorBidi" w:cstheme="majorBidi"/>
        </w:rPr>
        <w:t xml:space="preserve">Eiropas Savienības </w:t>
      </w:r>
      <w:r w:rsidR="00FD3CD1" w:rsidRPr="00FD3CD1">
        <w:rPr>
          <w:rFonts w:asciiTheme="majorBidi" w:hAnsiTheme="majorBidi" w:cstheme="majorBidi"/>
        </w:rPr>
        <w:t>Tie</w:t>
      </w:r>
      <w:r>
        <w:rPr>
          <w:rFonts w:asciiTheme="majorBidi" w:hAnsiTheme="majorBidi" w:cstheme="majorBidi"/>
        </w:rPr>
        <w:t xml:space="preserve">sa ir norādījusi, ka tieši </w:t>
      </w:r>
      <w:r w:rsidR="00FD3CD1" w:rsidRPr="00FD3CD1">
        <w:rPr>
          <w:rFonts w:asciiTheme="majorBidi" w:hAnsiTheme="majorBidi" w:cstheme="majorBidi"/>
        </w:rPr>
        <w:t xml:space="preserve">valsts tiesai, kurai vienīgajai ir </w:t>
      </w:r>
      <w:r w:rsidR="00FD3CD1" w:rsidRPr="00547096">
        <w:rPr>
          <w:rFonts w:asciiTheme="majorBidi" w:hAnsiTheme="majorBidi" w:cstheme="majorBidi"/>
        </w:rPr>
        <w:t xml:space="preserve">kompetence izvērtēt lietas apstākļus un interpretēt valsts tiesību aktus, jānosaka, vai un kādā mērā attiecīgais tiesiskais regulējums atbilst šīm prasībām (sal. </w:t>
      </w:r>
      <w:r w:rsidR="00FD3CD1" w:rsidRPr="00547096">
        <w:rPr>
          <w:rFonts w:asciiTheme="majorBidi" w:hAnsiTheme="majorBidi" w:cstheme="majorBidi"/>
          <w:i/>
          <w:iCs/>
        </w:rPr>
        <w:t>Eiropas Savienības Tiesas 2010.gada 13.aprīļa sprieduma lietā „Bressol</w:t>
      </w:r>
      <w:r w:rsidR="006D44D3">
        <w:rPr>
          <w:rFonts w:asciiTheme="majorBidi" w:hAnsiTheme="majorBidi" w:cstheme="majorBidi"/>
          <w:i/>
          <w:iCs/>
        </w:rPr>
        <w:t xml:space="preserve"> </w:t>
      </w:r>
      <w:r w:rsidR="00FD3CD1" w:rsidRPr="00547096">
        <w:rPr>
          <w:rFonts w:asciiTheme="majorBidi" w:hAnsiTheme="majorBidi" w:cstheme="majorBidi"/>
          <w:i/>
          <w:iCs/>
        </w:rPr>
        <w:t>u.c.”, C</w:t>
      </w:r>
      <w:r w:rsidR="00FD3CD1" w:rsidRPr="00547096">
        <w:rPr>
          <w:rFonts w:asciiTheme="majorBidi" w:hAnsiTheme="majorBidi" w:cstheme="majorBidi"/>
          <w:i/>
          <w:iCs/>
        </w:rPr>
        <w:noBreakHyphen/>
        <w:t xml:space="preserve">73/08, </w:t>
      </w:r>
      <w:hyperlink r:id="rId18" w:history="1">
        <w:r w:rsidRPr="00547096">
          <w:rPr>
            <w:rStyle w:val="Hyperlink"/>
            <w:rFonts w:asciiTheme="majorBidi" w:hAnsiTheme="majorBidi" w:cstheme="majorBidi"/>
            <w:i/>
            <w:iCs/>
          </w:rPr>
          <w:t>ECLI:</w:t>
        </w:r>
        <w:r w:rsidR="00FD3CD1" w:rsidRPr="00547096">
          <w:rPr>
            <w:rStyle w:val="Hyperlink"/>
            <w:rFonts w:asciiTheme="majorBidi" w:hAnsiTheme="majorBidi" w:cstheme="majorBidi"/>
            <w:i/>
            <w:iCs/>
          </w:rPr>
          <w:t>EU:C:2010:181</w:t>
        </w:r>
      </w:hyperlink>
      <w:r w:rsidR="00FD3CD1" w:rsidRPr="00547096">
        <w:rPr>
          <w:rFonts w:asciiTheme="majorBidi" w:hAnsiTheme="majorBidi" w:cstheme="majorBidi"/>
          <w:i/>
          <w:iCs/>
        </w:rPr>
        <w:t>, 64.punkts</w:t>
      </w:r>
      <w:r w:rsidR="00FD3CD1" w:rsidRPr="00547096">
        <w:rPr>
          <w:rFonts w:asciiTheme="majorBidi" w:hAnsiTheme="majorBidi" w:cstheme="majorBidi"/>
        </w:rPr>
        <w:t>).</w:t>
      </w:r>
    </w:p>
    <w:p w14:paraId="7A5F0943" w14:textId="77777777" w:rsidR="00622AE4" w:rsidRDefault="00622AE4" w:rsidP="00AF71D4">
      <w:pPr>
        <w:spacing w:line="276" w:lineRule="auto"/>
        <w:ind w:firstLine="720"/>
        <w:contextualSpacing/>
        <w:jc w:val="both"/>
      </w:pPr>
    </w:p>
    <w:bookmarkEnd w:id="7"/>
    <w:p w14:paraId="3AF499C5" w14:textId="29DEFD75" w:rsidR="00BD3ABA" w:rsidRPr="0083024A" w:rsidRDefault="00BD3ABA" w:rsidP="00AF71D4">
      <w:pPr>
        <w:spacing w:line="276" w:lineRule="auto"/>
        <w:ind w:firstLine="720"/>
        <w:contextualSpacing/>
        <w:jc w:val="both"/>
        <w:rPr>
          <w:i/>
          <w:iCs/>
        </w:rPr>
      </w:pPr>
      <w:r w:rsidRPr="00EE294B">
        <w:rPr>
          <w:i/>
          <w:iCs/>
        </w:rPr>
        <w:t>Atšķirī</w:t>
      </w:r>
      <w:r w:rsidR="00547096">
        <w:rPr>
          <w:i/>
          <w:iCs/>
        </w:rPr>
        <w:t>g</w:t>
      </w:r>
      <w:r w:rsidRPr="00EE294B">
        <w:rPr>
          <w:i/>
          <w:iCs/>
        </w:rPr>
        <w:t>as attieksmes mērķi</w:t>
      </w:r>
      <w:r w:rsidR="00FD3CD1" w:rsidRPr="00EE294B">
        <w:rPr>
          <w:i/>
          <w:iCs/>
        </w:rPr>
        <w:t>s un samērīgums</w:t>
      </w:r>
    </w:p>
    <w:p w14:paraId="54BBEC50" w14:textId="67E32ED7" w:rsidR="00BD3ABA" w:rsidRDefault="00BD3ABA" w:rsidP="00AF71D4">
      <w:pPr>
        <w:spacing w:line="276" w:lineRule="auto"/>
        <w:ind w:firstLine="720"/>
        <w:contextualSpacing/>
        <w:jc w:val="both"/>
      </w:pPr>
      <w:r>
        <w:t>[1</w:t>
      </w:r>
      <w:r w:rsidR="00154975">
        <w:t>3</w:t>
      </w:r>
      <w:r>
        <w:t>] L</w:t>
      </w:r>
      <w:r w:rsidRPr="00685AB2">
        <w:t>ikum</w:t>
      </w:r>
      <w:r>
        <w:t>a</w:t>
      </w:r>
      <w:r w:rsidRPr="00685AB2">
        <w:t xml:space="preserve"> „Par valsts pensijām</w:t>
      </w:r>
      <w:r>
        <w:t>” p</w:t>
      </w:r>
      <w:r w:rsidRPr="00685AB2">
        <w:t>ārejas noteikumu 1.punkt</w:t>
      </w:r>
      <w:r>
        <w:t xml:space="preserve">a atbilstību vienlīdzības principam ir vērtējusi gan Satversmes tiesa, gan Eiropas Cilvēktiesību tiesa. Satversmes tiesa 2011.gada 17.februāra spriedumā </w:t>
      </w:r>
      <w:r w:rsidRPr="00391017">
        <w:t>lietā Nr.</w:t>
      </w:r>
      <w:r>
        <w:t> </w:t>
      </w:r>
      <w:bookmarkStart w:id="8" w:name="_Hlk170164587"/>
      <w:r>
        <w:fldChar w:fldCharType="begin"/>
      </w:r>
      <w:r>
        <w:instrText>HYPERLINK "https://www.satv.tiesa.gov.lv/wp-content/uploads/2016/02/2010-20-0106_Spriedums.pdf"</w:instrText>
      </w:r>
      <w:r>
        <w:fldChar w:fldCharType="separate"/>
      </w:r>
      <w:r w:rsidRPr="00686CFD">
        <w:rPr>
          <w:rStyle w:val="Hyperlink"/>
        </w:rPr>
        <w:t>2010-20-0106</w:t>
      </w:r>
      <w:r>
        <w:rPr>
          <w:rStyle w:val="Hyperlink"/>
        </w:rPr>
        <w:fldChar w:fldCharType="end"/>
      </w:r>
      <w:bookmarkEnd w:id="8"/>
      <w:r>
        <w:rPr>
          <w:rStyle w:val="Hyperlink"/>
        </w:rPr>
        <w:t xml:space="preserve"> </w:t>
      </w:r>
      <w:r>
        <w:t>(turpmāk – Satversmes tiesas spriedums) atzina likuma „Par valsts pensijām” pārejas noteikumu 1.punktu (daļā par Latvijas nepilsoņu darba un tam pielīdzināto periodu pielīdzināšanu apdrošināšanas stāžam) par atbilstošu Satversmes 91.pantam un Konvencijas 14.pantam kopsakarā ar Pirmā protokola 1.pantu.</w:t>
      </w:r>
      <w:r w:rsidRPr="00153CA2">
        <w:t xml:space="preserve"> </w:t>
      </w:r>
      <w:r>
        <w:t xml:space="preserve">Personas, pēc kuru konstitucionālās sūdzības šī lieta tika izskatīta Satversmes tiesā, vērsās arī Eiropas Cilvēktiesību tiesā, kura 2022.gada 9.jūnija taisīja spriedumā </w:t>
      </w:r>
      <w:r w:rsidRPr="00391017">
        <w:t>lietā „Savickis and Others v. Latvia”</w:t>
      </w:r>
      <w:r>
        <w:t>, iesnieguma Nr. </w:t>
      </w:r>
      <w:hyperlink r:id="rId19" w:history="1">
        <w:r w:rsidRPr="001349FE">
          <w:rPr>
            <w:rStyle w:val="Hyperlink"/>
          </w:rPr>
          <w:t>49270/11</w:t>
        </w:r>
      </w:hyperlink>
      <w:r>
        <w:t xml:space="preserve"> (turpmāk – Eiropas Cilvēktiesību tiesas spriedums)</w:t>
      </w:r>
      <w:r w:rsidR="008D1551">
        <w:t>, nekonstatējot valsts rīcībā Konvencijas pārkāpumu</w:t>
      </w:r>
      <w:r>
        <w:t>. Lai arī šajās lietās atšķirīgās attieksmes attaisnojamība tika vērtēta attiecībā pret Latvijas nepilsoņiem</w:t>
      </w:r>
      <w:r w:rsidRPr="00FD3CD1">
        <w:t>, Senāts uzskata, ka atziņas par atšķirīgās attieksmes objektīvo pamatu un mērķi ir izmantojamas, arī vērtējot atšķirīgās attieksmes pieļaujamību attiecībā pret ārvalstniekiem.</w:t>
      </w:r>
    </w:p>
    <w:p w14:paraId="4865996C" w14:textId="77777777" w:rsidR="00BD3ABA" w:rsidRDefault="00BD3ABA" w:rsidP="00AF71D4">
      <w:pPr>
        <w:spacing w:line="276" w:lineRule="auto"/>
        <w:ind w:firstLine="720"/>
        <w:contextualSpacing/>
        <w:jc w:val="both"/>
      </w:pPr>
      <w:r>
        <w:t xml:space="preserve">Satversmes tiesa spriedumā analizēja, vai atšķirīgajai attieksmei, aprēķinot vecuma pensijas Latvijas Republikas pilsoņiem un nepilsoņiem, ir objektīvs un saprātīgs pamats un vai to var uzskatīt par samērīgu. Savukārt Eiropas Cilvēktiesību tiesa </w:t>
      </w:r>
      <w:r w:rsidRPr="004A5DCC">
        <w:t>visupirms atsaucās uz</w:t>
      </w:r>
      <w:r>
        <w:t xml:space="preserve"> minēto</w:t>
      </w:r>
      <w:r w:rsidRPr="004A5DCC">
        <w:t xml:space="preserve"> Satversmes tiesas spriedumu</w:t>
      </w:r>
      <w:r>
        <w:t xml:space="preserve"> un pēc tam </w:t>
      </w:r>
      <w:r w:rsidRPr="000E1F8F">
        <w:t>vērtē</w:t>
      </w:r>
      <w:r>
        <w:t xml:space="preserve">ja </w:t>
      </w:r>
      <w:r w:rsidRPr="000E1F8F">
        <w:t xml:space="preserve">Latvijā pastāvošās vecuma pensiju aprēķināšanas sistēmas atbilstību Konvencijas 14.pantam kopsakarā ar Konvencijas </w:t>
      </w:r>
      <w:r>
        <w:t xml:space="preserve">Pirmā </w:t>
      </w:r>
      <w:r w:rsidRPr="000E1F8F">
        <w:t>protokola 1.pantu.</w:t>
      </w:r>
      <w:r>
        <w:t xml:space="preserve"> Izskatāmajā lietā ir nozīmīgas turpmāk minētās Satversmes tiesas un Eiropas Cilvēktiesību tiesas atziņas.</w:t>
      </w:r>
    </w:p>
    <w:p w14:paraId="7CBB8E56" w14:textId="6D859881" w:rsidR="00BD3ABA" w:rsidRDefault="00BD3ABA" w:rsidP="00AF71D4">
      <w:pPr>
        <w:spacing w:line="276" w:lineRule="auto"/>
        <w:ind w:firstLine="720"/>
        <w:contextualSpacing/>
        <w:jc w:val="both"/>
        <w:rPr>
          <w:i/>
          <w:iCs/>
        </w:rPr>
      </w:pPr>
      <w:r>
        <w:lastRenderedPageBreak/>
        <w:t>Latvijas Republika nav bijušās PSRS tiesību un pienākumu pārmantotāja un saskaņā ar valsts nepārtrauktības</w:t>
      </w:r>
      <w:r w:rsidR="008D1551">
        <w:t xml:space="preserve"> principu (</w:t>
      </w:r>
      <w:r>
        <w:t>doktrīnu</w:t>
      </w:r>
      <w:r w:rsidR="008D1551">
        <w:t>)</w:t>
      </w:r>
      <w:r>
        <w:t xml:space="preserve"> </w:t>
      </w:r>
      <w:r w:rsidR="008D1551">
        <w:t>Latvijai pēc neatkarības atjaunošanas</w:t>
      </w:r>
      <w:r>
        <w:t xml:space="preserve"> nav jāuzņemas nekādas saistības, kas izriet no okupētājvalsts saistībām (</w:t>
      </w:r>
      <w:r w:rsidRPr="00C27FA6">
        <w:rPr>
          <w:i/>
          <w:iCs/>
        </w:rPr>
        <w:t>Satversmes tiesas</w:t>
      </w:r>
      <w:r>
        <w:t xml:space="preserve"> </w:t>
      </w:r>
      <w:r w:rsidRPr="00263616">
        <w:rPr>
          <w:i/>
          <w:iCs/>
        </w:rPr>
        <w:t>sprieduma 11.3.punkts; E</w:t>
      </w:r>
      <w:r>
        <w:rPr>
          <w:i/>
          <w:iCs/>
        </w:rPr>
        <w:t xml:space="preserve">iropas </w:t>
      </w:r>
      <w:r w:rsidRPr="00263616">
        <w:rPr>
          <w:i/>
          <w:iCs/>
        </w:rPr>
        <w:t>C</w:t>
      </w:r>
      <w:r>
        <w:rPr>
          <w:i/>
          <w:iCs/>
        </w:rPr>
        <w:t>ilvēktiesību tiesas</w:t>
      </w:r>
      <w:r w:rsidRPr="00263616">
        <w:rPr>
          <w:i/>
          <w:iCs/>
        </w:rPr>
        <w:t xml:space="preserve"> </w:t>
      </w:r>
      <w:r>
        <w:rPr>
          <w:i/>
          <w:iCs/>
        </w:rPr>
        <w:t>sprieduma</w:t>
      </w:r>
      <w:r w:rsidRPr="00263616">
        <w:rPr>
          <w:i/>
          <w:iCs/>
        </w:rPr>
        <w:t xml:space="preserve"> 10</w:t>
      </w:r>
      <w:r>
        <w:rPr>
          <w:i/>
          <w:iCs/>
        </w:rPr>
        <w:t>4</w:t>
      </w:r>
      <w:r w:rsidRPr="00263616">
        <w:rPr>
          <w:i/>
          <w:iCs/>
        </w:rPr>
        <w:t>.punkts</w:t>
      </w:r>
      <w:r w:rsidRPr="00F11C96">
        <w:t>)</w:t>
      </w:r>
      <w:r>
        <w:rPr>
          <w:i/>
          <w:iCs/>
        </w:rPr>
        <w:t>.</w:t>
      </w:r>
    </w:p>
    <w:p w14:paraId="42506BBC" w14:textId="5FFFC106" w:rsidR="00BD3ABA" w:rsidRDefault="008D1551" w:rsidP="00AF71D4">
      <w:pPr>
        <w:spacing w:line="276" w:lineRule="auto"/>
        <w:ind w:firstLine="720"/>
        <w:contextualSpacing/>
        <w:jc w:val="both"/>
      </w:pPr>
      <w:r>
        <w:t>Pēc neatkarības atjaunošanas v</w:t>
      </w:r>
      <w:r w:rsidR="00BD3ABA">
        <w:t>eidojot jauno pensiju sistēmu, tika nolemts visām personām papildus piešķirtajai minimālajai pensijai apdrošināšanas stāžā ieskaitīt arī darba periodus, kurus personas uzkrājušas ārpus Latvijas teritorijas. Pilsoņiem tika noteikts plašāks apdrošināšanas stāžā ieskaitāmo ārpus Latvijas teritorijas uzkrāto darba periodu loks nekā nepilsoņiem, ārvalstniekiem un bezvalstniekiem. Ārpus Latvijas teritorijas uzkrāto atsevišķu darba periodu ieskaitīšanu nepilsoņu apdrošināšanas stāžā var uzskatīt par valsts labas gribas izpausmi (</w:t>
      </w:r>
      <w:r w:rsidR="00BD3ABA" w:rsidRPr="00C27FA6">
        <w:rPr>
          <w:i/>
          <w:iCs/>
        </w:rPr>
        <w:t>Satversmes tiesas</w:t>
      </w:r>
      <w:r w:rsidR="00BD3ABA">
        <w:t xml:space="preserve"> </w:t>
      </w:r>
      <w:r w:rsidR="00BD3ABA" w:rsidRPr="00263616">
        <w:rPr>
          <w:i/>
          <w:iCs/>
        </w:rPr>
        <w:t xml:space="preserve">sprieduma </w:t>
      </w:r>
      <w:r w:rsidR="00BD3ABA" w:rsidRPr="00C27FA6">
        <w:rPr>
          <w:i/>
          <w:iCs/>
        </w:rPr>
        <w:t>12.3.punkt</w:t>
      </w:r>
      <w:r w:rsidR="00BD3ABA">
        <w:rPr>
          <w:i/>
          <w:iCs/>
        </w:rPr>
        <w:t>s</w:t>
      </w:r>
      <w:r w:rsidR="00BD3ABA">
        <w:t>).</w:t>
      </w:r>
    </w:p>
    <w:p w14:paraId="2241D3C1" w14:textId="2710EA8D" w:rsidR="00BD3ABA" w:rsidRDefault="00BD3ABA" w:rsidP="00AF71D4">
      <w:pPr>
        <w:spacing w:line="276" w:lineRule="auto"/>
        <w:ind w:firstLine="720"/>
        <w:contextualSpacing/>
        <w:jc w:val="both"/>
      </w:pPr>
      <w:r>
        <w:t>Atšķirīga attieksme pret nepilsoņiem salīdzinājumā ar Latvijas pilsoņiem ir pamatota ar diviem leģitīmajiem mērķiem: 1) </w:t>
      </w:r>
      <w:r w:rsidRPr="009B6837">
        <w:t>nepieciešamīb</w:t>
      </w:r>
      <w:r>
        <w:t>u</w:t>
      </w:r>
      <w:r w:rsidRPr="009B6837">
        <w:t xml:space="preserve"> aizsargāt Latvijas Republikas konstitucionālo identitāti, kas balstīta uz valsts nepārtrauktības principu</w:t>
      </w:r>
      <w:r>
        <w:t>; 2) </w:t>
      </w:r>
      <w:r w:rsidRPr="009B6837">
        <w:t>valsts ekonomiskās sistēmas aizsardzīb</w:t>
      </w:r>
      <w:r>
        <w:t>u (</w:t>
      </w:r>
      <w:r w:rsidRPr="00263616">
        <w:rPr>
          <w:i/>
          <w:iCs/>
        </w:rPr>
        <w:t>E</w:t>
      </w:r>
      <w:r>
        <w:rPr>
          <w:i/>
          <w:iCs/>
        </w:rPr>
        <w:t xml:space="preserve">iropas </w:t>
      </w:r>
      <w:r w:rsidRPr="00263616">
        <w:rPr>
          <w:i/>
          <w:iCs/>
        </w:rPr>
        <w:t>C</w:t>
      </w:r>
      <w:r>
        <w:rPr>
          <w:i/>
          <w:iCs/>
        </w:rPr>
        <w:t>ilvēktiesību tiesas</w:t>
      </w:r>
      <w:r w:rsidRPr="00263616">
        <w:rPr>
          <w:i/>
          <w:iCs/>
        </w:rPr>
        <w:t xml:space="preserve"> </w:t>
      </w:r>
      <w:r>
        <w:rPr>
          <w:i/>
          <w:iCs/>
        </w:rPr>
        <w:t>sprieduma</w:t>
      </w:r>
      <w:r w:rsidRPr="009B6837">
        <w:rPr>
          <w:i/>
          <w:iCs/>
        </w:rPr>
        <w:t xml:space="preserve"> 198.punkts</w:t>
      </w:r>
      <w:r>
        <w:t>).</w:t>
      </w:r>
    </w:p>
    <w:p w14:paraId="06DEE68C" w14:textId="77777777" w:rsidR="00F11C96" w:rsidRDefault="00F11C96" w:rsidP="00AF71D4">
      <w:pPr>
        <w:spacing w:line="276" w:lineRule="auto"/>
        <w:ind w:firstLine="720"/>
        <w:contextualSpacing/>
        <w:jc w:val="both"/>
      </w:pPr>
    </w:p>
    <w:p w14:paraId="03933115" w14:textId="4F02E562" w:rsidR="00F11C96" w:rsidRPr="007A301A" w:rsidRDefault="00F11C96" w:rsidP="00AF71D4">
      <w:pPr>
        <w:spacing w:line="276" w:lineRule="auto"/>
        <w:ind w:firstLine="720"/>
        <w:contextualSpacing/>
        <w:jc w:val="both"/>
        <w:rPr>
          <w:rFonts w:asciiTheme="majorBidi" w:hAnsiTheme="majorBidi" w:cstheme="majorBidi"/>
        </w:rPr>
      </w:pPr>
      <w:r>
        <w:t>[1</w:t>
      </w:r>
      <w:r w:rsidR="0037335E">
        <w:t>4</w:t>
      </w:r>
      <w:r>
        <w:t>] </w:t>
      </w:r>
      <w:r w:rsidR="007A301A">
        <w:t xml:space="preserve">Saskaņā ar Līguma par Eiropas </w:t>
      </w:r>
      <w:r w:rsidR="007A301A" w:rsidRPr="007A301A">
        <w:rPr>
          <w:rFonts w:asciiTheme="majorBidi" w:hAnsiTheme="majorBidi" w:cstheme="majorBidi"/>
        </w:rPr>
        <w:t xml:space="preserve">Savienību </w:t>
      </w:r>
      <w:r w:rsidR="007A301A" w:rsidRPr="007A301A">
        <w:rPr>
          <w:rFonts w:asciiTheme="majorBidi" w:hAnsiTheme="majorBidi" w:cstheme="majorBidi"/>
          <w:color w:val="000000"/>
        </w:rPr>
        <w:t>4.panta 2.punkt</w:t>
      </w:r>
      <w:r w:rsidR="007A301A">
        <w:rPr>
          <w:rFonts w:asciiTheme="majorBidi" w:hAnsiTheme="majorBidi" w:cstheme="majorBidi"/>
          <w:color w:val="000000"/>
        </w:rPr>
        <w:t>u</w:t>
      </w:r>
      <w:r w:rsidR="007A301A" w:rsidRPr="007A301A">
        <w:rPr>
          <w:rFonts w:asciiTheme="majorBidi" w:hAnsiTheme="majorBidi" w:cstheme="majorBidi"/>
          <w:color w:val="000000"/>
        </w:rPr>
        <w:t xml:space="preserve"> </w:t>
      </w:r>
      <w:r w:rsidR="008D1551">
        <w:rPr>
          <w:rFonts w:asciiTheme="majorBidi" w:hAnsiTheme="majorBidi" w:cstheme="majorBidi"/>
          <w:color w:val="000000"/>
        </w:rPr>
        <w:t xml:space="preserve">Eiropas </w:t>
      </w:r>
      <w:r w:rsidR="007A301A" w:rsidRPr="007A301A">
        <w:rPr>
          <w:rFonts w:asciiTheme="majorBidi" w:hAnsiTheme="majorBidi" w:cstheme="majorBidi"/>
          <w:color w:val="000000"/>
        </w:rPr>
        <w:t>Savienība</w:t>
      </w:r>
      <w:r w:rsidR="007A301A">
        <w:rPr>
          <w:rFonts w:asciiTheme="majorBidi" w:hAnsiTheme="majorBidi" w:cstheme="majorBidi"/>
          <w:color w:val="000000"/>
        </w:rPr>
        <w:t xml:space="preserve"> r</w:t>
      </w:r>
      <w:r w:rsidR="007A301A" w:rsidRPr="007A301A">
        <w:rPr>
          <w:rFonts w:asciiTheme="majorBidi" w:hAnsiTheme="majorBidi" w:cstheme="majorBidi"/>
          <w:color w:val="000000"/>
        </w:rPr>
        <w:t>espektē dalībvalstu</w:t>
      </w:r>
      <w:bookmarkStart w:id="9" w:name="ctx1"/>
      <w:r w:rsidR="007A301A">
        <w:rPr>
          <w:rFonts w:asciiTheme="majorBidi" w:hAnsiTheme="majorBidi" w:cstheme="majorBidi"/>
          <w:color w:val="000000"/>
        </w:rPr>
        <w:t xml:space="preserve"> </w:t>
      </w:r>
      <w:r w:rsidR="007A301A" w:rsidRPr="007A301A">
        <w:rPr>
          <w:rFonts w:asciiTheme="majorBidi" w:hAnsiTheme="majorBidi" w:cstheme="majorBidi"/>
        </w:rPr>
        <w:t>nacionāl</w:t>
      </w:r>
      <w:bookmarkStart w:id="10" w:name="ctx2"/>
      <w:bookmarkEnd w:id="9"/>
      <w:r w:rsidR="008D1551">
        <w:rPr>
          <w:rFonts w:asciiTheme="majorBidi" w:hAnsiTheme="majorBidi" w:cstheme="majorBidi"/>
        </w:rPr>
        <w:t>o</w:t>
      </w:r>
      <w:r w:rsidR="007A301A" w:rsidRPr="007A301A">
        <w:rPr>
          <w:rFonts w:asciiTheme="majorBidi" w:hAnsiTheme="majorBidi" w:cstheme="majorBidi"/>
        </w:rPr>
        <w:t xml:space="preserve"> identitāt</w:t>
      </w:r>
      <w:bookmarkEnd w:id="10"/>
      <w:r w:rsidR="008D1551">
        <w:rPr>
          <w:rFonts w:asciiTheme="majorBidi" w:hAnsiTheme="majorBidi" w:cstheme="majorBidi"/>
        </w:rPr>
        <w:t>i</w:t>
      </w:r>
      <w:r w:rsidR="007A301A" w:rsidRPr="007A301A">
        <w:rPr>
          <w:rFonts w:asciiTheme="majorBidi" w:hAnsiTheme="majorBidi" w:cstheme="majorBidi"/>
        </w:rPr>
        <w:t>.</w:t>
      </w:r>
      <w:r w:rsidR="0037335E">
        <w:rPr>
          <w:rFonts w:asciiTheme="majorBidi" w:hAnsiTheme="majorBidi" w:cstheme="majorBidi"/>
        </w:rPr>
        <w:t xml:space="preserve"> </w:t>
      </w:r>
      <w:r w:rsidR="007A301A">
        <w:rPr>
          <w:rFonts w:asciiTheme="majorBidi" w:hAnsiTheme="majorBidi" w:cstheme="majorBidi"/>
        </w:rPr>
        <w:t>Līdz ar to mērķis aizsargāt Latvijas konstitucionālo identitāti, kas balstīta uz valsts nepārtrauktības principu</w:t>
      </w:r>
      <w:r w:rsidR="0037335E">
        <w:rPr>
          <w:rFonts w:asciiTheme="majorBidi" w:hAnsiTheme="majorBidi" w:cstheme="majorBidi"/>
        </w:rPr>
        <w:t>,</w:t>
      </w:r>
      <w:r w:rsidR="007A301A">
        <w:rPr>
          <w:rFonts w:asciiTheme="majorBidi" w:hAnsiTheme="majorBidi" w:cstheme="majorBidi"/>
        </w:rPr>
        <w:t xml:space="preserve"> </w:t>
      </w:r>
      <w:r w:rsidR="005E322D">
        <w:rPr>
          <w:rFonts w:asciiTheme="majorBidi" w:hAnsiTheme="majorBidi" w:cstheme="majorBidi"/>
        </w:rPr>
        <w:t xml:space="preserve">atbilst </w:t>
      </w:r>
      <w:r w:rsidR="008D1551">
        <w:rPr>
          <w:rFonts w:asciiTheme="majorBidi" w:hAnsiTheme="majorBidi" w:cstheme="majorBidi"/>
        </w:rPr>
        <w:t xml:space="preserve">Eiropas </w:t>
      </w:r>
      <w:r w:rsidR="005E322D">
        <w:rPr>
          <w:rFonts w:asciiTheme="majorBidi" w:hAnsiTheme="majorBidi" w:cstheme="majorBidi"/>
        </w:rPr>
        <w:t>Savienības pamatvērtībām. Savukārt valsts ekonomiskās sistēmas aizsardzība var būt primārs vispārējo interešu apsvērums.</w:t>
      </w:r>
    </w:p>
    <w:p w14:paraId="353A1554" w14:textId="77777777" w:rsidR="005E322D" w:rsidRDefault="005E322D" w:rsidP="00AF71D4">
      <w:pPr>
        <w:spacing w:line="276" w:lineRule="auto"/>
        <w:ind w:firstLine="720"/>
        <w:contextualSpacing/>
        <w:jc w:val="both"/>
      </w:pPr>
    </w:p>
    <w:p w14:paraId="52655F64" w14:textId="0591C39B" w:rsidR="00BD3ABA" w:rsidRDefault="005E322D" w:rsidP="00AF71D4">
      <w:pPr>
        <w:spacing w:line="276" w:lineRule="auto"/>
        <w:ind w:firstLine="720"/>
        <w:contextualSpacing/>
        <w:jc w:val="both"/>
      </w:pPr>
      <w:r w:rsidRPr="0037335E">
        <w:t>[1</w:t>
      </w:r>
      <w:r w:rsidR="0037335E" w:rsidRPr="0037335E">
        <w:t>5</w:t>
      </w:r>
      <w:r w:rsidRPr="0037335E">
        <w:t>] </w:t>
      </w:r>
      <w:r w:rsidR="00BD3ABA" w:rsidRPr="0037335E">
        <w:t>Vērtējot</w:t>
      </w:r>
      <w:r w:rsidR="00D63349" w:rsidRPr="0037335E">
        <w:t xml:space="preserve"> likuma „Par valsts pensijām” pārejas noteikumu 1.punkta</w:t>
      </w:r>
      <w:r w:rsidR="00BD3ABA" w:rsidRPr="0037335E">
        <w:t xml:space="preserve"> samērīgumu, Eiropas Cilvēktiesību tiesa pievērsa uzmanību tam, ka atšķirīgā attieksme attiecās tikai uz iepriekšējiem nodarbinātības periodiem, kas pabeigti pirms attiecīgās pensiju sistēmas ieviešanas. Latvijas likumdevēja izdarītā izvēle, nosakot kritērijus tiesībām uz nodarbinātību balstītajā vecuma pensijas sistēmā, bija tieši saistīta ar konkrētajiem vēsturiskajiem, ekonomiskajiem un demogrāfiskajiem apstākļiem, t. i., prettiesiskas okupācijas un aneksijas piecdesmit gadu ilgo un tai sekojošo īpaši sarežģīto situāciju pēc Latvijas neatkarības atjaunošanas. Turklāt atšķirīgā attieksme attiecās tikai uz tādiem nodarbinātības laikposmiem, ko iesniedzēji bija nostrādājuši ārpus Latvijas, pirms viņi apmetās uz dzīvi Latvijā vai pirms viņiem </w:t>
      </w:r>
      <w:r w:rsidR="008D1551">
        <w:t>izveidojās</w:t>
      </w:r>
      <w:r w:rsidR="00BD3ABA" w:rsidRPr="0037335E">
        <w:t xml:space="preserve"> jebkāda cita saikne ar </w:t>
      </w:r>
      <w:r w:rsidR="008D1551">
        <w:t>Latviju</w:t>
      </w:r>
      <w:r w:rsidR="00BD3ABA" w:rsidRPr="0037335E">
        <w:t xml:space="preserve"> (</w:t>
      </w:r>
      <w:r w:rsidR="00BD3ABA" w:rsidRPr="0037335E">
        <w:rPr>
          <w:i/>
          <w:iCs/>
        </w:rPr>
        <w:t>Eiropas Cilvēktiesību tiesas sprieduma 216.punkts</w:t>
      </w:r>
      <w:r w:rsidR="00BD3ABA" w:rsidRPr="0037335E">
        <w:t xml:space="preserve">). Eiropas Cilvēktiesību tiesa arī uzsvēra, ka atšķirīgā attieksme neskar pieteikuma iesniedzēju tiesības uz pamata pensijas pabalstiem, kas saskaņā ar Latvijas tiesību aktiem ir piešķirtas neatkarīgi no personas nodarbinātības vēstures, ne arī uz tādu pabalstu atņemšanu, kuru pamatā būtu iesniedzēju finanšu iemaksas par attiecīgajiem nodarbinātības periodiem. Attiecībā uz otro leģitīmo mērķi Eiropas Cilvēktiesību tiesa norādīja, ka attiecīgā Latvijas pensiju sistēma bija balstīta uz sociālās apdrošināšanas iemaksām un darbojās saskaņā ar solidaritātes principu tādā nozīmē, ka iekasēto iemaksu kopējā summa tika izmantota, lai finansētu pensiju kārtējo izmaksu. Tādējādi attiecināmo nodarbinātības periodu noteikšana neizbēgami bija saistīta ar pensijām nepieciešamā finansējuma pieejamību. Eiropas Cilvēktiesību tiesa atzina, ka šāda veida kompromisiem </w:t>
      </w:r>
      <w:r w:rsidR="00BD3ABA" w:rsidRPr="0037335E">
        <w:lastRenderedPageBreak/>
        <w:t>sociālās labklājības sistēmās ir vajadzīga plaša rīcības brīvība (</w:t>
      </w:r>
      <w:r w:rsidR="00BD3ABA" w:rsidRPr="0037335E">
        <w:rPr>
          <w:i/>
          <w:iCs/>
        </w:rPr>
        <w:t>Eiropas Cilvēktiesību tiesas sprieduma 217. un 218.punkts</w:t>
      </w:r>
      <w:r w:rsidR="00BD3ABA" w:rsidRPr="0037335E">
        <w:t>).</w:t>
      </w:r>
    </w:p>
    <w:p w14:paraId="709AE9DC" w14:textId="77777777" w:rsidR="0037335E" w:rsidRPr="0037335E" w:rsidRDefault="0037335E" w:rsidP="00AF71D4">
      <w:pPr>
        <w:spacing w:line="276" w:lineRule="auto"/>
        <w:ind w:firstLine="720"/>
        <w:contextualSpacing/>
        <w:jc w:val="both"/>
      </w:pPr>
    </w:p>
    <w:p w14:paraId="62B8ED4B" w14:textId="70801649" w:rsidR="0037335E" w:rsidRDefault="0037335E" w:rsidP="00AF71D4">
      <w:pPr>
        <w:spacing w:line="276" w:lineRule="auto"/>
        <w:ind w:firstLine="720"/>
        <w:contextualSpacing/>
        <w:jc w:val="both"/>
      </w:pPr>
      <w:r w:rsidRPr="0037335E">
        <w:t>[16] </w:t>
      </w:r>
      <w:r>
        <w:t xml:space="preserve">Senāts atzīst, ka minētie secinājumi ir izmantojami </w:t>
      </w:r>
      <w:r w:rsidR="00CE7843">
        <w:t xml:space="preserve">arī </w:t>
      </w:r>
      <w:r>
        <w:t>izskatāmajā lietā</w:t>
      </w:r>
      <w:r w:rsidR="0096770D">
        <w:t>, jo lietas faktiskie un tiesiskie apstākļi ir līdzīgi</w:t>
      </w:r>
      <w:r>
        <w:t>.</w:t>
      </w:r>
      <w:r w:rsidR="0096770D">
        <w:t xml:space="preserve"> Proti, lietā ir strīds par nodarbinātības periodiem pirms </w:t>
      </w:r>
      <w:r w:rsidR="0096770D" w:rsidRPr="00113CB7">
        <w:t>uz apdrošināšanas iemaksām balstīt</w:t>
      </w:r>
      <w:r w:rsidR="0096770D">
        <w:t>ā</w:t>
      </w:r>
      <w:r w:rsidR="0096770D" w:rsidRPr="00113CB7">
        <w:t>s valsts obligātās pensiju apdrošināšanas sistēmas</w:t>
      </w:r>
      <w:r w:rsidR="0096770D">
        <w:t xml:space="preserve"> ieviešanas; atšķirīga attieksme attiecas tikai uz nodarbinātību ārpus Latvijas; atšķirīga attieksme neskar pieteicēja tiesības saņemt Latvijas vecuma pensiju, kā arī saņemt tādus pabalstu</w:t>
      </w:r>
      <w:r w:rsidR="00CE7843">
        <w:t>s</w:t>
      </w:r>
      <w:r w:rsidR="0096770D">
        <w:t>, kuru pamatā veikt</w:t>
      </w:r>
      <w:r w:rsidR="008D1551">
        <w:t>a</w:t>
      </w:r>
      <w:r w:rsidR="0096770D">
        <w:t>s sociālās apdrošināšanas iemaksas</w:t>
      </w:r>
      <w:r w:rsidR="00CE7843">
        <w:t>.</w:t>
      </w:r>
    </w:p>
    <w:p w14:paraId="16F259D8" w14:textId="7CE3DD43" w:rsidR="00CE7843" w:rsidRDefault="00BD3ABA" w:rsidP="00AF71D4">
      <w:pPr>
        <w:spacing w:line="276" w:lineRule="auto"/>
        <w:ind w:firstLine="720"/>
        <w:contextualSpacing/>
        <w:jc w:val="both"/>
      </w:pPr>
      <w:r w:rsidRPr="0037335E">
        <w:t xml:space="preserve">Tādējādi ir pamats secināt, ka piemērojamā </w:t>
      </w:r>
      <w:r w:rsidR="008668AC">
        <w:t xml:space="preserve">nacionālo </w:t>
      </w:r>
      <w:r w:rsidRPr="0037335E">
        <w:t>tiesību norma (likuma „Par valsts pensijām” pārejas noteikumu 1.punkts) ir</w:t>
      </w:r>
      <w:r w:rsidR="00CE7843">
        <w:t xml:space="preserve"> piemērota iepriekšminēto leģitīmo mērķu īstenošanai un nepārsniedz to, kas vajadzīgs šo mērķu sasniegšanai. Proti, nevienlīdzīgā attieksm</w:t>
      </w:r>
      <w:r w:rsidR="00AF0276">
        <w:t xml:space="preserve">e ir objektīvi pamatota un </w:t>
      </w:r>
      <w:r w:rsidR="00CE7843">
        <w:t>samērīga.</w:t>
      </w:r>
    </w:p>
    <w:p w14:paraId="391DCB11" w14:textId="77777777" w:rsidR="005A54E6" w:rsidRDefault="005A54E6" w:rsidP="00AF71D4">
      <w:pPr>
        <w:spacing w:line="276" w:lineRule="auto"/>
        <w:ind w:firstLine="720"/>
        <w:contextualSpacing/>
        <w:jc w:val="both"/>
      </w:pPr>
    </w:p>
    <w:p w14:paraId="176E47AB" w14:textId="09D1F046" w:rsidR="00BD3ABA" w:rsidRPr="00A86E55" w:rsidRDefault="00BD3ABA" w:rsidP="00AF71D4">
      <w:pPr>
        <w:pStyle w:val="NoSpacing"/>
        <w:spacing w:line="276" w:lineRule="auto"/>
        <w:ind w:firstLine="720"/>
        <w:contextualSpacing/>
        <w:jc w:val="both"/>
        <w:rPr>
          <w:i/>
          <w:iCs/>
          <w:lang w:val="lv-LV"/>
        </w:rPr>
      </w:pPr>
      <w:r w:rsidRPr="00EE294B">
        <w:rPr>
          <w:i/>
          <w:iCs/>
          <w:lang w:val="lv-LV"/>
        </w:rPr>
        <w:t xml:space="preserve">Par </w:t>
      </w:r>
      <w:r w:rsidR="00544ADF" w:rsidRPr="00EE294B">
        <w:rPr>
          <w:i/>
          <w:iCs/>
          <w:lang w:val="lv-LV"/>
        </w:rPr>
        <w:t xml:space="preserve">starptautiskajiem </w:t>
      </w:r>
      <w:r w:rsidRPr="00EE294B">
        <w:rPr>
          <w:i/>
          <w:iCs/>
          <w:lang w:val="lv-LV"/>
        </w:rPr>
        <w:t>līgum</w:t>
      </w:r>
      <w:r w:rsidR="00544ADF" w:rsidRPr="00EE294B">
        <w:rPr>
          <w:i/>
          <w:iCs/>
          <w:lang w:val="lv-LV"/>
        </w:rPr>
        <w:t>iem</w:t>
      </w:r>
    </w:p>
    <w:p w14:paraId="7A1C1473" w14:textId="6F04D730" w:rsidR="00F630FE" w:rsidRDefault="00F630FE" w:rsidP="00AF71D4">
      <w:pPr>
        <w:spacing w:line="276" w:lineRule="auto"/>
        <w:ind w:firstLine="720"/>
        <w:contextualSpacing/>
        <w:jc w:val="both"/>
      </w:pPr>
      <w:r>
        <w:t>[</w:t>
      </w:r>
      <w:r w:rsidR="00CE7843">
        <w:t>17</w:t>
      </w:r>
      <w:r>
        <w:t>] Satversmes tiesa</w:t>
      </w:r>
      <w:r w:rsidR="00CE7843">
        <w:t xml:space="preserve"> jau minētajā 2011.gada 17.februāra spriedumā </w:t>
      </w:r>
      <w:r w:rsidR="00CE7843" w:rsidRPr="00391017">
        <w:t>lietā Nr.</w:t>
      </w:r>
      <w:r w:rsidR="00CE7843">
        <w:t> 2010</w:t>
      </w:r>
      <w:r w:rsidR="00CE7843">
        <w:noBreakHyphen/>
        <w:t>20</w:t>
      </w:r>
      <w:r w:rsidR="00CE7843">
        <w:noBreakHyphen/>
        <w:t>106</w:t>
      </w:r>
      <w:r w:rsidR="00CE7843" w:rsidRPr="00CE7843">
        <w:t xml:space="preserve"> </w:t>
      </w:r>
      <w:r w:rsidR="00CE7843">
        <w:t xml:space="preserve">norādīja uz </w:t>
      </w:r>
      <w:r w:rsidR="00CE7843" w:rsidRPr="00CE7843">
        <w:t>divpusējo starpvalstu līgumu par sadarbību sociālās drošības jomā būtisko nozīmi pārrobežu pensiju jautājuma risināšanā</w:t>
      </w:r>
      <w:r w:rsidR="00CE7843">
        <w:t>. Satversmes tiesa konstatēja</w:t>
      </w:r>
      <w:r>
        <w:t>, ka</w:t>
      </w:r>
      <w:r w:rsidR="00CE7843">
        <w:t xml:space="preserve"> Latvija ir noslēgusi </w:t>
      </w:r>
      <w:r w:rsidR="00CE7843" w:rsidRPr="00CE7843">
        <w:t>līgumus, kas paredz apdrošināšanas stāža savstarpēju atzīšanu, ar vairākām valstīm</w:t>
      </w:r>
      <w:r w:rsidR="00CE7843">
        <w:t xml:space="preserve">, tostarp </w:t>
      </w:r>
      <w:r w:rsidR="00544ADF">
        <w:t xml:space="preserve">ar </w:t>
      </w:r>
      <w:r w:rsidR="00CE7843">
        <w:t xml:space="preserve">Lietuvu un Krieviju, kuros </w:t>
      </w:r>
      <w:r w:rsidR="00CE7843" w:rsidRPr="00CE7843">
        <w:t>valstis savstarpēji vienojas par iedzīvotāju sociālo aizsardzību, konkretizējot katras valsts tiesības un pienākumus.</w:t>
      </w:r>
      <w:r w:rsidR="00544ADF" w:rsidRPr="00544ADF">
        <w:t xml:space="preserve"> Ar valstīm, kas izveidojās pēc PSRS sabrukuma, noslēgtie līgumi liecina, ka valstis vienādi izprot tiesības un pienākumus sociālo tiesību jomā attiecībā uz PSRS īstenotās okupācijas laiku. Visi šie līgumi ir atšķirīgi, tie atspoguļo dažādu valstu vienošanās rezultātus un regulē situācijas, kas izveidojušās dažādu vēsturisko, ekonomisko un politisko apstākļu ietekmē</w:t>
      </w:r>
      <w:r w:rsidR="00544ADF">
        <w:t>.</w:t>
      </w:r>
      <w:r w:rsidR="00544ADF" w:rsidRPr="00544ADF">
        <w:t xml:space="preserve"> Noslēdzot šādus līgumus, valstis ir ņēmušas vērā vēsturisko kontekstu, kādā Latvijā pēc tās neatkarības atjaunošanas tika izveidota pensiju sistēma.</w:t>
      </w:r>
      <w:r w:rsidR="00544ADF">
        <w:t xml:space="preserve"> Satversmes tiesa atzina, ka </w:t>
      </w:r>
      <w:r w:rsidRPr="00F630FE">
        <w:t xml:space="preserve">jautājums par ārpus Latvijas teritorijas uzkrāto darba periodu ieskaitīšanu apdrošināšanas stāžā tiek risināts, noslēdzot divpusējus starpvalstu līgumus par sadarbību sociālās drošības jomā vai saskaņā ar Eiropas Savienības tiesību aktiem </w:t>
      </w:r>
      <w:r>
        <w:t>(</w:t>
      </w:r>
      <w:r w:rsidRPr="00C27FA6">
        <w:rPr>
          <w:i/>
          <w:iCs/>
        </w:rPr>
        <w:t>Satversmes tiesas</w:t>
      </w:r>
      <w:r>
        <w:t xml:space="preserve"> </w:t>
      </w:r>
      <w:r w:rsidRPr="00263616">
        <w:rPr>
          <w:i/>
          <w:iCs/>
        </w:rPr>
        <w:t xml:space="preserve">sprieduma </w:t>
      </w:r>
      <w:r w:rsidR="00374299">
        <w:rPr>
          <w:i/>
          <w:iCs/>
        </w:rPr>
        <w:t>14</w:t>
      </w:r>
      <w:r w:rsidRPr="00C27FA6">
        <w:rPr>
          <w:i/>
          <w:iCs/>
        </w:rPr>
        <w:t>.punkt</w:t>
      </w:r>
      <w:r w:rsidR="008668AC">
        <w:rPr>
          <w:i/>
          <w:iCs/>
        </w:rPr>
        <w:t>s</w:t>
      </w:r>
      <w:r>
        <w:t>).</w:t>
      </w:r>
    </w:p>
    <w:p w14:paraId="3278BE10" w14:textId="6667B24C" w:rsidR="00374299" w:rsidRDefault="00322791" w:rsidP="00AF71D4">
      <w:pPr>
        <w:spacing w:line="276" w:lineRule="auto"/>
        <w:ind w:firstLine="720"/>
        <w:contextualSpacing/>
        <w:jc w:val="both"/>
      </w:pPr>
      <w:r>
        <w:t>Turklāt r</w:t>
      </w:r>
      <w:r w:rsidR="00BD3ABA" w:rsidRPr="006C3CBC">
        <w:t>egulas Nr.</w:t>
      </w:r>
      <w:r w:rsidR="00BD3ABA">
        <w:t> </w:t>
      </w:r>
      <w:r w:rsidR="00BD3ABA" w:rsidRPr="006C3CBC">
        <w:t>883/2004</w:t>
      </w:r>
      <w:r w:rsidR="00BD3ABA">
        <w:t xml:space="preserve"> 8.panta 2.punkts paredz, ka vajadzības gadījumā </w:t>
      </w:r>
      <w:r w:rsidR="00BD3ABA" w:rsidRPr="006C3CBC">
        <w:t>divas vai vairākas dalībvalstis var sava starpā noslēgt konvencijas, balstoties uz š</w:t>
      </w:r>
      <w:r w:rsidR="008668AC">
        <w:t>ī</w:t>
      </w:r>
      <w:r w:rsidR="00BD3ABA" w:rsidRPr="006C3CBC">
        <w:t>s regulas principiem un ievērojot tās garu</w:t>
      </w:r>
      <w:r w:rsidR="00BD3ABA">
        <w:t>.</w:t>
      </w:r>
    </w:p>
    <w:p w14:paraId="72AE91D3" w14:textId="77777777" w:rsidR="00322791" w:rsidRDefault="00322791" w:rsidP="00AF71D4">
      <w:pPr>
        <w:spacing w:line="276" w:lineRule="auto"/>
        <w:ind w:firstLine="720"/>
        <w:contextualSpacing/>
        <w:jc w:val="both"/>
      </w:pPr>
    </w:p>
    <w:p w14:paraId="3C136A61" w14:textId="08CDDA13" w:rsidR="00322791" w:rsidRDefault="00322791" w:rsidP="00AF71D4">
      <w:pPr>
        <w:pStyle w:val="NoSpacing"/>
        <w:spacing w:line="276" w:lineRule="auto"/>
        <w:ind w:firstLine="720"/>
        <w:contextualSpacing/>
        <w:jc w:val="both"/>
        <w:rPr>
          <w:lang w:val="lv-LV"/>
        </w:rPr>
      </w:pPr>
      <w:r w:rsidRPr="00322791">
        <w:rPr>
          <w:lang w:val="lv-LV"/>
        </w:rPr>
        <w:t>[18]</w:t>
      </w:r>
      <w:r>
        <w:rPr>
          <w:lang w:val="lv-LV"/>
        </w:rPr>
        <w:t xml:space="preserve"> Pieteicējs kasācijas sūdzībā atsaucas uz </w:t>
      </w:r>
      <w:r w:rsidRPr="00006545">
        <w:rPr>
          <w:lang w:val="lv-LV"/>
        </w:rPr>
        <w:t>Eiropas Savienības Tiesas 2002</w:t>
      </w:r>
      <w:r>
        <w:rPr>
          <w:lang w:val="lv-LV"/>
        </w:rPr>
        <w:t>.</w:t>
      </w:r>
      <w:r w:rsidRPr="00006545">
        <w:rPr>
          <w:lang w:val="lv-LV"/>
        </w:rPr>
        <w:t>gada 15.janvāra spriedum</w:t>
      </w:r>
      <w:r>
        <w:rPr>
          <w:lang w:val="lv-LV"/>
        </w:rPr>
        <w:t>ā</w:t>
      </w:r>
      <w:r w:rsidRPr="00006545">
        <w:rPr>
          <w:lang w:val="lv-LV"/>
        </w:rPr>
        <w:t xml:space="preserve"> lietā C</w:t>
      </w:r>
      <w:r w:rsidRPr="00006545">
        <w:rPr>
          <w:lang w:val="lv-LV"/>
        </w:rPr>
        <w:noBreakHyphen/>
        <w:t>55/00</w:t>
      </w:r>
      <w:r>
        <w:rPr>
          <w:lang w:val="lv-LV"/>
        </w:rPr>
        <w:t xml:space="preserve"> izteikto atziņu, ka </w:t>
      </w:r>
      <w:r w:rsidRPr="00386306">
        <w:rPr>
          <w:lang w:val="lv-LV"/>
        </w:rPr>
        <w:t>gadījumos, kad dalībvalsts noslēdz starptautisku divpusēju sociālā nodrošinājuma līgumu ar trešo valsti, kurā paredzēti šajā trešā valstī uzkrāti apdrošināšanas laikposmi, kas jāievēro, lai iegūtu tiesības uz vecuma pabalstiem, vienlīdzīgas attieksmes pamatprincips uzliek šai dalībvalstij pienākumu nodrošināt citas dalībvalsts pilsoņiem tādas pat priekšrocības, kādas iegūst tās pašas pilsoņi atbilstoši šim līgumam, ja vien nav objektīva pamatojuma to atteikt</w:t>
      </w:r>
      <w:r>
        <w:rPr>
          <w:lang w:val="lv-LV"/>
        </w:rPr>
        <w:t xml:space="preserve"> (</w:t>
      </w:r>
      <w:r w:rsidRPr="00386306">
        <w:rPr>
          <w:i/>
          <w:iCs/>
          <w:lang w:val="lv-LV"/>
        </w:rPr>
        <w:t>Eiropas Savienības tiesas 2002.gada 15.janvāra spriedumā lietā „</w:t>
      </w:r>
      <w:proofErr w:type="spellStart"/>
      <w:r w:rsidRPr="00386306">
        <w:rPr>
          <w:i/>
          <w:iCs/>
          <w:lang w:val="lv-LV"/>
        </w:rPr>
        <w:t>Elide</w:t>
      </w:r>
      <w:proofErr w:type="spellEnd"/>
      <w:r w:rsidRPr="00386306">
        <w:rPr>
          <w:i/>
          <w:iCs/>
          <w:lang w:val="lv-LV"/>
        </w:rPr>
        <w:t xml:space="preserve"> </w:t>
      </w:r>
      <w:proofErr w:type="spellStart"/>
      <w:r w:rsidRPr="00386306">
        <w:rPr>
          <w:i/>
          <w:iCs/>
          <w:lang w:val="lv-LV"/>
        </w:rPr>
        <w:t>Gottardo</w:t>
      </w:r>
      <w:proofErr w:type="spellEnd"/>
      <w:r w:rsidRPr="00386306">
        <w:rPr>
          <w:i/>
          <w:iCs/>
          <w:lang w:val="lv-LV"/>
        </w:rPr>
        <w:t>”</w:t>
      </w:r>
      <w:r>
        <w:rPr>
          <w:i/>
          <w:iCs/>
          <w:lang w:val="lv-LV"/>
        </w:rPr>
        <w:t>, C-55/00</w:t>
      </w:r>
      <w:r w:rsidRPr="00386306">
        <w:rPr>
          <w:i/>
          <w:iCs/>
          <w:lang w:val="lv-LV"/>
        </w:rPr>
        <w:t xml:space="preserve">, </w:t>
      </w:r>
      <w:hyperlink r:id="rId20" w:history="1">
        <w:r w:rsidRPr="005C20B7">
          <w:rPr>
            <w:rStyle w:val="Hyperlink"/>
            <w:i/>
            <w:iCs/>
            <w:lang w:val="lv-LV"/>
          </w:rPr>
          <w:t>ECLI:EU:C:2002:16</w:t>
        </w:r>
      </w:hyperlink>
      <w:r w:rsidRPr="00386306">
        <w:rPr>
          <w:i/>
          <w:iCs/>
          <w:lang w:val="lv-LV"/>
        </w:rPr>
        <w:t>, 51.punkts</w:t>
      </w:r>
      <w:r>
        <w:rPr>
          <w:lang w:val="lv-LV"/>
        </w:rPr>
        <w:t>). Pieteicējs uzskata, ka viņam pienākas tādas pašas priekšrocības, kādas iegūst Latvijas pilsonis no Latvijas un Krievijas līguma attiecībā uz Krievijas teritorijā uzkrāto darba un tam pielīdzināto periodu ieskaitīšanu apdrošināšanas stāžā.</w:t>
      </w:r>
    </w:p>
    <w:p w14:paraId="2495EB47" w14:textId="3E7A34B8" w:rsidR="00322791" w:rsidRDefault="00322791" w:rsidP="00AF71D4">
      <w:pPr>
        <w:pStyle w:val="NoSpacing"/>
        <w:spacing w:line="276" w:lineRule="auto"/>
        <w:ind w:firstLine="720"/>
        <w:contextualSpacing/>
        <w:jc w:val="both"/>
        <w:rPr>
          <w:lang w:val="lv-LV"/>
        </w:rPr>
      </w:pPr>
      <w:r>
        <w:rPr>
          <w:lang w:val="lv-LV"/>
        </w:rPr>
        <w:t xml:space="preserve">Senāts minētajam pieteicēja argumentam nepiekrīt, jo izskatāmajā gadījumā nav pamata piemērot </w:t>
      </w:r>
      <w:r>
        <w:rPr>
          <w:rFonts w:asciiTheme="majorBidi" w:hAnsiTheme="majorBidi" w:cstheme="majorBidi"/>
          <w:szCs w:val="24"/>
          <w:lang w:val="lv-LV"/>
        </w:rPr>
        <w:t>Latvijas un Krievijas l</w:t>
      </w:r>
      <w:r w:rsidRPr="00080E5F">
        <w:rPr>
          <w:rFonts w:asciiTheme="majorBidi" w:hAnsiTheme="majorBidi" w:cstheme="majorBidi"/>
          <w:szCs w:val="24"/>
          <w:lang w:val="lv-LV"/>
        </w:rPr>
        <w:t>īgum</w:t>
      </w:r>
      <w:r>
        <w:rPr>
          <w:rFonts w:asciiTheme="majorBidi" w:hAnsiTheme="majorBidi" w:cstheme="majorBidi"/>
          <w:szCs w:val="24"/>
          <w:lang w:val="lv-LV"/>
        </w:rPr>
        <w:t>a normas</w:t>
      </w:r>
      <w:r>
        <w:rPr>
          <w:lang w:val="lv-LV"/>
        </w:rPr>
        <w:t>.</w:t>
      </w:r>
    </w:p>
    <w:p w14:paraId="4FE4DEB5" w14:textId="29FBF89A" w:rsidR="00322791" w:rsidRDefault="00322791" w:rsidP="00AF71D4">
      <w:pPr>
        <w:pStyle w:val="NoSpacing"/>
        <w:spacing w:line="276" w:lineRule="auto"/>
        <w:ind w:firstLine="720"/>
        <w:contextualSpacing/>
        <w:jc w:val="both"/>
        <w:rPr>
          <w:rFonts w:asciiTheme="majorBidi" w:hAnsiTheme="majorBidi" w:cstheme="majorBidi"/>
          <w:szCs w:val="24"/>
          <w:lang w:val="lv-LV"/>
        </w:rPr>
      </w:pPr>
      <w:r>
        <w:rPr>
          <w:rFonts w:asciiTheme="majorBidi" w:hAnsiTheme="majorBidi" w:cstheme="majorBidi"/>
          <w:szCs w:val="24"/>
          <w:lang w:val="lv-LV"/>
        </w:rPr>
        <w:t>Latvijas un Krievijas l</w:t>
      </w:r>
      <w:r w:rsidRPr="00080E5F">
        <w:rPr>
          <w:rFonts w:asciiTheme="majorBidi" w:hAnsiTheme="majorBidi" w:cstheme="majorBidi"/>
          <w:szCs w:val="24"/>
          <w:lang w:val="lv-LV"/>
        </w:rPr>
        <w:t>īgums paplaši</w:t>
      </w:r>
      <w:r>
        <w:rPr>
          <w:rFonts w:asciiTheme="majorBidi" w:hAnsiTheme="majorBidi" w:cstheme="majorBidi"/>
          <w:szCs w:val="24"/>
          <w:lang w:val="lv-LV"/>
        </w:rPr>
        <w:t>nāja</w:t>
      </w:r>
      <w:r w:rsidRPr="00080E5F">
        <w:rPr>
          <w:rFonts w:asciiTheme="majorBidi" w:hAnsiTheme="majorBidi" w:cstheme="majorBidi"/>
          <w:szCs w:val="24"/>
          <w:lang w:val="lv-LV"/>
        </w:rPr>
        <w:t xml:space="preserve"> to Latvijā dzīvojošo personu loku, kurām rodas iespēja saņemt pensiju par Krievijas periodiem. </w:t>
      </w:r>
      <w:r w:rsidRPr="000B111D">
        <w:rPr>
          <w:rFonts w:asciiTheme="majorBidi" w:hAnsiTheme="majorBidi" w:cstheme="majorBidi"/>
          <w:szCs w:val="24"/>
          <w:lang w:val="lv-LV"/>
        </w:rPr>
        <w:t xml:space="preserve">Tas galvenokārt attiecas uz Latvijas nepilsoņiem un Krievijas pilsoņiem. Līgums neattiecas uz Latvijā dzīvojošiem trešo valstu pilsoņiem, tostarp uz bijušās PSRS pilsoņiem. </w:t>
      </w:r>
      <w:r w:rsidRPr="0033319F">
        <w:rPr>
          <w:rFonts w:asciiTheme="majorBidi" w:hAnsiTheme="majorBidi" w:cstheme="majorBidi"/>
          <w:szCs w:val="24"/>
          <w:lang w:val="lv-LV"/>
        </w:rPr>
        <w:t xml:space="preserve">Senāts </w:t>
      </w:r>
      <w:r w:rsidR="008668AC">
        <w:rPr>
          <w:rFonts w:asciiTheme="majorBidi" w:hAnsiTheme="majorBidi" w:cstheme="majorBidi"/>
          <w:szCs w:val="24"/>
          <w:lang w:val="lv-LV"/>
        </w:rPr>
        <w:t xml:space="preserve">jau </w:t>
      </w:r>
      <w:r w:rsidRPr="0033319F">
        <w:rPr>
          <w:rFonts w:asciiTheme="majorBidi" w:hAnsiTheme="majorBidi" w:cstheme="majorBidi"/>
          <w:szCs w:val="24"/>
          <w:lang w:val="lv-LV"/>
        </w:rPr>
        <w:t xml:space="preserve">iepriekš ir atzinis, ka uz citu valstu pilsoņiem nav attiecināms Latvijas un Krievijas līgums (piemēram, </w:t>
      </w:r>
      <w:r w:rsidRPr="0033319F">
        <w:rPr>
          <w:rFonts w:asciiTheme="majorBidi" w:hAnsiTheme="majorBidi" w:cstheme="majorBidi"/>
          <w:i/>
          <w:iCs/>
          <w:szCs w:val="24"/>
          <w:lang w:val="lv-LV"/>
        </w:rPr>
        <w:t>Senāta 2016.gada 22.novembra spriedums lietā Nr. </w:t>
      </w:r>
      <w:hyperlink r:id="rId21" w:history="1">
        <w:r w:rsidRPr="0033319F">
          <w:rPr>
            <w:rStyle w:val="Hyperlink"/>
            <w:rFonts w:asciiTheme="majorBidi" w:hAnsiTheme="majorBidi" w:cstheme="majorBidi"/>
            <w:i/>
            <w:iCs/>
            <w:szCs w:val="24"/>
            <w:lang w:val="lv-LV"/>
          </w:rPr>
          <w:t>SKA-698/2016</w:t>
        </w:r>
      </w:hyperlink>
      <w:r w:rsidRPr="0033319F">
        <w:rPr>
          <w:rFonts w:asciiTheme="majorBidi" w:hAnsiTheme="majorBidi" w:cstheme="majorBidi"/>
          <w:i/>
          <w:iCs/>
          <w:szCs w:val="24"/>
          <w:lang w:val="lv-LV"/>
        </w:rPr>
        <w:t>, A420357412, 10.punkts</w:t>
      </w:r>
      <w:r w:rsidRPr="0033319F">
        <w:rPr>
          <w:rFonts w:asciiTheme="majorBidi" w:hAnsiTheme="majorBidi" w:cstheme="majorBidi"/>
          <w:szCs w:val="24"/>
          <w:lang w:val="lv-LV"/>
        </w:rPr>
        <w:t>). Tāpēc apgabaltiesa pareizi norādījusi, ka pieteicējs nav Latvijas un Krievijas līguma subjekts.</w:t>
      </w:r>
    </w:p>
    <w:p w14:paraId="7CC0282F" w14:textId="427CE544" w:rsidR="00BD3ABA" w:rsidRPr="00EE294B" w:rsidRDefault="00322791" w:rsidP="00AF71D4">
      <w:pPr>
        <w:pStyle w:val="NoSpacing"/>
        <w:spacing w:line="276" w:lineRule="auto"/>
        <w:ind w:firstLine="720"/>
        <w:contextualSpacing/>
        <w:jc w:val="both"/>
        <w:rPr>
          <w:lang w:val="lv-LV"/>
        </w:rPr>
      </w:pPr>
      <w:r>
        <w:rPr>
          <w:rFonts w:asciiTheme="majorBidi" w:hAnsiTheme="majorBidi" w:cstheme="majorBidi"/>
          <w:szCs w:val="24"/>
          <w:lang w:val="lv-LV"/>
        </w:rPr>
        <w:t xml:space="preserve">Uz pieteicēju kā Lietuvas pilsoni attiecas </w:t>
      </w:r>
      <w:r w:rsidR="00BD3ABA" w:rsidRPr="00322791">
        <w:rPr>
          <w:lang w:val="lv-LV"/>
        </w:rPr>
        <w:t>Latvijas un Lietuvas līgums</w:t>
      </w:r>
      <w:r>
        <w:rPr>
          <w:lang w:val="lv-LV"/>
        </w:rPr>
        <w:t>. Līguma</w:t>
      </w:r>
      <w:r w:rsidR="00BD3ABA" w:rsidRPr="00322791">
        <w:rPr>
          <w:lang w:val="lv-LV"/>
        </w:rPr>
        <w:t xml:space="preserve"> preambulā norādīts, ka š</w:t>
      </w:r>
      <w:r>
        <w:rPr>
          <w:lang w:val="lv-LV"/>
        </w:rPr>
        <w:t>ī</w:t>
      </w:r>
      <w:r w:rsidR="00BD3ABA" w:rsidRPr="00322791">
        <w:rPr>
          <w:lang w:val="lv-LV"/>
        </w:rPr>
        <w:t xml:space="preserve"> vienošanās noslēgta, lai izvairītos no pensiju pārklāšanās gadījumos, kad, piešķirot pensiju, ņem vērā vienu un to pašu periodu atbilstoši Latvijas Republikas un Lietuvas Republikas normatīvajiem aktiem. </w:t>
      </w:r>
      <w:r w:rsidR="00BD3ABA" w:rsidRPr="00EE294B">
        <w:rPr>
          <w:lang w:val="lv-LV"/>
        </w:rPr>
        <w:t xml:space="preserve">No līguma 1.panta 1.punkta izriet, ka </w:t>
      </w:r>
      <w:r w:rsidR="008668AC">
        <w:rPr>
          <w:lang w:val="lv-LV"/>
        </w:rPr>
        <w:t>tas attiecas uz</w:t>
      </w:r>
      <w:r w:rsidR="00BD3ABA" w:rsidRPr="00EE294B">
        <w:rPr>
          <w:lang w:val="lv-LV"/>
        </w:rPr>
        <w:t xml:space="preserve"> bijušās PSRS darba un tam pielīdzinātiem periodiem, kas uzkrāti bijušajā PSRS līdz 1991.gada 1.janvārim.</w:t>
      </w:r>
    </w:p>
    <w:p w14:paraId="72D294B3" w14:textId="4C7439D2" w:rsidR="00BD3ABA" w:rsidRDefault="00BD3ABA" w:rsidP="00AF71D4">
      <w:pPr>
        <w:pStyle w:val="NormalWeb"/>
        <w:shd w:val="clear" w:color="auto" w:fill="FFFFFF"/>
        <w:spacing w:before="0" w:beforeAutospacing="0" w:after="0" w:afterAutospacing="0" w:line="276" w:lineRule="auto"/>
        <w:ind w:firstLine="720"/>
        <w:contextualSpacing/>
        <w:jc w:val="both"/>
      </w:pPr>
      <w:r w:rsidRPr="00A86E55">
        <w:t>Latvijas</w:t>
      </w:r>
      <w:r>
        <w:t xml:space="preserve"> un </w:t>
      </w:r>
      <w:r w:rsidRPr="00A86E55">
        <w:t xml:space="preserve">Lietuvas līguma 3.panta 4.punkts </w:t>
      </w:r>
      <w:r>
        <w:t>noteic</w:t>
      </w:r>
      <w:r w:rsidRPr="00A86E55">
        <w:t xml:space="preserve">, ka pensiju par bijušās PSRS apdrošināšanas periodiem un periodiem, kas pielīdzināmi bijušās PSRS apdrošināšanas periodiem, piešķir saskaņā ar attiecīgās </w:t>
      </w:r>
      <w:r>
        <w:t>l</w:t>
      </w:r>
      <w:r w:rsidRPr="00A86E55">
        <w:t>īgumslēdzējas puses normatīvajiem aktiem.</w:t>
      </w:r>
      <w:r>
        <w:t xml:space="preserve"> Arī </w:t>
      </w:r>
      <w:r w:rsidRPr="00A86E55">
        <w:t xml:space="preserve">likumprojekta „Par Latvijas Republikas valdības un Lietuvas Republikas valdības līgumu par bijušajā PSRS uzkrāto apdrošināšanas periodu ieskaitīšanu” sākotnējās ietekmes </w:t>
      </w:r>
      <w:r w:rsidRPr="00685AB2">
        <w:t>novērtējuma ziņojum</w:t>
      </w:r>
      <w:r>
        <w:t>ā</w:t>
      </w:r>
      <w:r w:rsidRPr="00685AB2">
        <w:t xml:space="preserve"> (</w:t>
      </w:r>
      <w:hyperlink r:id="rId22" w:history="1">
        <w:r w:rsidRPr="00685AB2">
          <w:rPr>
            <w:rStyle w:val="Hyperlink"/>
          </w:rPr>
          <w:t>anotācijā</w:t>
        </w:r>
      </w:hyperlink>
      <w:r w:rsidRPr="00685AB2">
        <w:t>)</w:t>
      </w:r>
      <w:r>
        <w:t xml:space="preserve"> skaidrots, ka līgums </w:t>
      </w:r>
      <w:r w:rsidRPr="00685AB2">
        <w:t>nepaplašina personu loku, kam tiek piešķirtas pensijas saskaņā ar likumu „Par valsts pensijām”</w:t>
      </w:r>
      <w:r>
        <w:t>.</w:t>
      </w:r>
    </w:p>
    <w:p w14:paraId="139F7A29" w14:textId="6EACC8A6" w:rsidR="00BD3ABA" w:rsidRDefault="00BD3ABA" w:rsidP="00AF71D4">
      <w:pPr>
        <w:pStyle w:val="NormalWeb"/>
        <w:shd w:val="clear" w:color="auto" w:fill="FFFFFF"/>
        <w:spacing w:before="0" w:beforeAutospacing="0" w:after="0" w:afterAutospacing="0" w:line="276" w:lineRule="auto"/>
        <w:ind w:firstLine="720"/>
        <w:contextualSpacing/>
        <w:jc w:val="both"/>
      </w:pPr>
      <w:r>
        <w:t xml:space="preserve">Tas nozīmē, ka </w:t>
      </w:r>
      <w:r w:rsidRPr="00A86E55">
        <w:t>Latvijas</w:t>
      </w:r>
      <w:r>
        <w:t xml:space="preserve"> un </w:t>
      </w:r>
      <w:r w:rsidRPr="00A86E55">
        <w:t xml:space="preserve">Lietuvas līguma </w:t>
      </w:r>
      <w:r>
        <w:t>3.panta 1., 2. un 3.punkta noteikumi par to, ka bijušās PSRS apdrošināšanas periodus un tam pielīdzinātos periodus ņem vērā attiecīgi tās līgumslēdzējas puses kompetentā iestāde, kurā uzkrātais apdrošināšanas periods ir garāks, kurā persona pēdējo reizi bija apdrošināta vai kurā dzīvo pensijas pieprasīšanas brīdī, attiecas tikai uz tādiem bijušajā PSRS uzkrātajiem periodiem, kur</w:t>
      </w:r>
      <w:r w:rsidR="0008677B">
        <w:t>u</w:t>
      </w:r>
      <w:r>
        <w:t>s ieskaitīt apdrošināšanas stāžā paredz abu līgumslēdzēju pušu normatīvie akti.</w:t>
      </w:r>
    </w:p>
    <w:p w14:paraId="681E365B" w14:textId="759A7EB0" w:rsidR="00BD3ABA" w:rsidRDefault="00BD3ABA" w:rsidP="00AF71D4">
      <w:pPr>
        <w:pStyle w:val="NormalWeb"/>
        <w:shd w:val="clear" w:color="auto" w:fill="FFFFFF"/>
        <w:spacing w:before="0" w:beforeAutospacing="0" w:after="0" w:afterAutospacing="0" w:line="276" w:lineRule="auto"/>
        <w:ind w:firstLine="720"/>
        <w:contextualSpacing/>
        <w:jc w:val="both"/>
      </w:pPr>
      <w:r>
        <w:t xml:space="preserve">Kā jau tika noskaidrots, </w:t>
      </w:r>
      <w:r w:rsidR="00322791">
        <w:t xml:space="preserve">to, </w:t>
      </w:r>
      <w:r>
        <w:t xml:space="preserve">kādi tieši bijušajā PSRS uzkrātie periodi ir ieskaitāmi pieteicēja kā ārvalstnieka (konkrētajā gadījumā Lietuvas pilsoņa) apdrošināšanas stāžā, nosaka </w:t>
      </w:r>
      <w:r w:rsidRPr="00685AB2">
        <w:t>likum</w:t>
      </w:r>
      <w:r>
        <w:t>a</w:t>
      </w:r>
      <w:r w:rsidRPr="00685AB2">
        <w:t xml:space="preserve"> „Par valsts pensijām</w:t>
      </w:r>
      <w:r>
        <w:t>” p</w:t>
      </w:r>
      <w:r w:rsidRPr="00685AB2">
        <w:t>ārejas noteikumu 1.punkt</w:t>
      </w:r>
      <w:r>
        <w:t xml:space="preserve">s. Minētā tiesību norma paredz ārvalstniekiem apdrošināšanas stāžā ņemt vērā tikai tādus </w:t>
      </w:r>
      <w:r w:rsidRPr="006C2BBB">
        <w:t>ārpus Latvijas teritorijas uzkrāt</w:t>
      </w:r>
      <w:r>
        <w:t>os</w:t>
      </w:r>
      <w:r w:rsidRPr="006C2BBB">
        <w:t xml:space="preserve"> darba un tam pielīdzināt</w:t>
      </w:r>
      <w:r>
        <w:t>os</w:t>
      </w:r>
      <w:r w:rsidRPr="006C2BBB">
        <w:t xml:space="preserve"> period</w:t>
      </w:r>
      <w:r>
        <w:t>us, kas minēti</w:t>
      </w:r>
      <w:r w:rsidRPr="006C2BBB">
        <w:t xml:space="preserve"> 4., 5. un 10</w:t>
      </w:r>
      <w:r>
        <w:t>.apakšpunktā.</w:t>
      </w:r>
    </w:p>
    <w:p w14:paraId="59C9CD0E" w14:textId="42FB25D7" w:rsidR="00925D23" w:rsidRDefault="00BD3ABA" w:rsidP="00AF71D4">
      <w:pPr>
        <w:pStyle w:val="NormalWeb"/>
        <w:shd w:val="clear" w:color="auto" w:fill="FFFFFF"/>
        <w:spacing w:before="0" w:beforeAutospacing="0" w:after="0" w:afterAutospacing="0" w:line="276" w:lineRule="auto"/>
        <w:ind w:firstLine="720"/>
        <w:contextualSpacing/>
        <w:jc w:val="both"/>
      </w:pPr>
      <w:r>
        <w:t>Minētais neierobežo pieteicēja tiesības vērsties Lietuvas kompetentajā iestādē ar attiecīgu iesniegumu, lai bijušajā PSRS uzkrātie period</w:t>
      </w:r>
      <w:r w:rsidR="00322791">
        <w:t>i</w:t>
      </w:r>
      <w:r>
        <w:t>, kas nav ņemti vērā, aprēķinot Latvijas valsts vecuma pensiju, tiktu ieskaitīti apdrošināšanas stāža Lietuvas piešķirtās pensijas aprēķinā, ja Lietuvas normatīvie akti paredz šādu periodu ieskaitīšanu savas valsts pilsoņu apdrošināšanas stāžā.</w:t>
      </w:r>
    </w:p>
    <w:p w14:paraId="37D83CFF" w14:textId="77777777" w:rsidR="00322791" w:rsidRPr="00105554" w:rsidRDefault="00322791" w:rsidP="00AF71D4">
      <w:pPr>
        <w:pStyle w:val="NormalWeb"/>
        <w:shd w:val="clear" w:color="auto" w:fill="FFFFFF"/>
        <w:spacing w:before="0" w:beforeAutospacing="0" w:after="0" w:afterAutospacing="0" w:line="276" w:lineRule="auto"/>
        <w:ind w:firstLine="720"/>
        <w:contextualSpacing/>
        <w:jc w:val="both"/>
        <w:rPr>
          <w:i/>
          <w:iCs/>
        </w:rPr>
      </w:pPr>
    </w:p>
    <w:p w14:paraId="1DCF79AE" w14:textId="2164D92D" w:rsidR="0083024A" w:rsidRPr="00EE294B" w:rsidRDefault="0083024A" w:rsidP="00AF71D4">
      <w:pPr>
        <w:pStyle w:val="NoSpacing"/>
        <w:spacing w:line="276" w:lineRule="auto"/>
        <w:ind w:firstLine="720"/>
        <w:contextualSpacing/>
        <w:jc w:val="both"/>
        <w:rPr>
          <w:i/>
          <w:iCs/>
          <w:lang w:val="lv-LV"/>
        </w:rPr>
      </w:pPr>
      <w:r w:rsidRPr="00EE294B">
        <w:rPr>
          <w:i/>
          <w:iCs/>
          <w:lang w:val="lv-LV"/>
        </w:rPr>
        <w:t>Par brīdi, no kura jāveic pensijas pārrēķins</w:t>
      </w:r>
    </w:p>
    <w:p w14:paraId="3B7BDC82" w14:textId="37E78558" w:rsidR="0083024A" w:rsidRPr="00A86E55" w:rsidRDefault="0083024A" w:rsidP="00AF71D4">
      <w:pPr>
        <w:pStyle w:val="NoSpacing"/>
        <w:spacing w:line="276" w:lineRule="auto"/>
        <w:ind w:firstLine="720"/>
        <w:contextualSpacing/>
        <w:jc w:val="both"/>
        <w:rPr>
          <w:lang w:val="lv-LV"/>
        </w:rPr>
      </w:pPr>
      <w:r w:rsidRPr="00EE294B">
        <w:rPr>
          <w:lang w:val="lv-LV"/>
        </w:rPr>
        <w:t>[</w:t>
      </w:r>
      <w:r w:rsidR="00AF0276" w:rsidRPr="00EE294B">
        <w:rPr>
          <w:lang w:val="lv-LV"/>
        </w:rPr>
        <w:t>19</w:t>
      </w:r>
      <w:r w:rsidRPr="00EE294B">
        <w:rPr>
          <w:lang w:val="lv-LV"/>
        </w:rPr>
        <w:t>] Senāts konstatē, ka vairs nav strīda par obligātā</w:t>
      </w:r>
      <w:r w:rsidRPr="00A86E55">
        <w:rPr>
          <w:lang w:val="lv-LV"/>
        </w:rPr>
        <w:t xml:space="preserve"> militārā dienesta perioda no 1971.gada 26.maija līdz 1973.gada 26.maijam ieskaitīšanu pieteicēja apdrošināšanas stāžā, jo apgabaltiesa konstatēja, ka aģentūra, pamatojoties Latvijas un Lietuvas līgumu un regulu Nr. 883/2004, pieteicēja apdrošināšanas stāžā jau ir ieskaitījusi minēto obligātā militārā dienesta periodu Lietuvas teritorijā (ar aģentūras </w:t>
      </w:r>
      <w:r w:rsidRPr="00A86E55">
        <w:rPr>
          <w:rFonts w:asciiTheme="majorBidi" w:eastAsia="Times New Roman" w:hAnsiTheme="majorBidi" w:cstheme="majorBidi"/>
          <w:szCs w:val="24"/>
          <w:lang w:val="lv-LV" w:eastAsia="lv-LV"/>
        </w:rPr>
        <w:t xml:space="preserve">2020.gada 25.marta lēmumu Nr. 20/766144 pieteicēja apdrošināšanas stāžā iekļauts </w:t>
      </w:r>
      <w:r w:rsidRPr="00A86E55">
        <w:rPr>
          <w:lang w:val="lv-LV"/>
        </w:rPr>
        <w:t xml:space="preserve">obligātā militārā </w:t>
      </w:r>
      <w:r w:rsidRPr="00A86E55">
        <w:rPr>
          <w:rFonts w:asciiTheme="majorBidi" w:eastAsia="Times New Roman" w:hAnsiTheme="majorBidi" w:cstheme="majorBidi"/>
          <w:szCs w:val="24"/>
          <w:lang w:val="lv-LV" w:eastAsia="lv-LV"/>
        </w:rPr>
        <w:t xml:space="preserve">dienesta periods Lietuvā no 1971.gada 26.maija līdz 1972.gada 10.maijam no 2019.gada 1.novembra un ar aģentūras Starptautisko pakalpojumu nodaļas 2020.gada 29.septembra lēmumu Nr. 20/1982959 pieteicēja apdrošināšanas stāžā iekļauts </w:t>
      </w:r>
      <w:r w:rsidRPr="00A86E55">
        <w:rPr>
          <w:lang w:val="lv-LV"/>
        </w:rPr>
        <w:t xml:space="preserve">obligātā militārā </w:t>
      </w:r>
      <w:r w:rsidRPr="00A86E55">
        <w:rPr>
          <w:rFonts w:asciiTheme="majorBidi" w:eastAsia="Times New Roman" w:hAnsiTheme="majorBidi" w:cstheme="majorBidi"/>
          <w:szCs w:val="24"/>
          <w:lang w:val="lv-LV" w:eastAsia="lv-LV"/>
        </w:rPr>
        <w:t>dienesta periods 1972.gada 11.maija līdz 1973.gada 26.maijam no 2020.gada 1.septembra</w:t>
      </w:r>
      <w:r w:rsidRPr="00A86E55">
        <w:rPr>
          <w:lang w:val="lv-LV"/>
        </w:rPr>
        <w:t>).</w:t>
      </w:r>
    </w:p>
    <w:p w14:paraId="19C727F8" w14:textId="56BDFF5D" w:rsidR="0083024A" w:rsidRPr="00A86E55" w:rsidRDefault="0083024A" w:rsidP="00AF71D4">
      <w:pPr>
        <w:pStyle w:val="NoSpacing"/>
        <w:spacing w:line="276" w:lineRule="auto"/>
        <w:ind w:firstLine="720"/>
        <w:contextualSpacing/>
        <w:jc w:val="both"/>
        <w:rPr>
          <w:lang w:val="lv-LV"/>
        </w:rPr>
      </w:pPr>
      <w:r w:rsidRPr="00A86E55">
        <w:rPr>
          <w:lang w:val="lv-LV"/>
        </w:rPr>
        <w:t xml:space="preserve">Pieteicējs pēc būtības neiebilst pret minētā obligātā militārā dienesta perioda ieskaitīšanu apdrošināšanas stāžā un vecuma pensijas pārrēķinu, taču pieteicējs uzskata, ka vecuma pensijas pārrēķins </w:t>
      </w:r>
      <w:r w:rsidRPr="00A86E55">
        <w:rPr>
          <w:rFonts w:asciiTheme="majorBidi" w:eastAsia="Times New Roman" w:hAnsiTheme="majorBidi" w:cstheme="majorBidi"/>
          <w:szCs w:val="24"/>
          <w:lang w:val="lv-LV" w:eastAsia="lv-LV"/>
        </w:rPr>
        <w:t>bija jāveic</w:t>
      </w:r>
      <w:r w:rsidRPr="00A86E55">
        <w:rPr>
          <w:lang w:val="lv-LV"/>
        </w:rPr>
        <w:t xml:space="preserve"> jau no 2015.gada 1.novembra. Pieteicējs apgalvo, ka 2015.gada 28.septembra izziņu iesniedzis aģentūrā tūlīt pēc izziņas saņemšanas un ka minētājā izziņā norādītā informācija bija pietiekama visa obligātā militārā dienesta perioda ieskaitīšanai apdrošināšanas stāžā. Pieteicējs norāda, ka apgabaltiesa nav ievērojusi pierādījumu pārbaudes kārtību, kas ietverta Administratīvā procesa likuma 112. un 154.pantā, kā arī kļūdaini piemērojusi minētā likuma 302.panta pirmo daļu un 307.panta ceturto daļu</w:t>
      </w:r>
      <w:r w:rsidR="00936105">
        <w:rPr>
          <w:lang w:val="lv-LV"/>
        </w:rPr>
        <w:t>.</w:t>
      </w:r>
    </w:p>
    <w:p w14:paraId="0855062D" w14:textId="51FA7F21" w:rsidR="0083024A" w:rsidRPr="00A86E55" w:rsidRDefault="0083024A" w:rsidP="00AF71D4">
      <w:pPr>
        <w:pStyle w:val="NoSpacing"/>
        <w:spacing w:line="276" w:lineRule="auto"/>
        <w:ind w:firstLine="720"/>
        <w:contextualSpacing/>
        <w:jc w:val="both"/>
        <w:rPr>
          <w:lang w:val="lv-LV"/>
        </w:rPr>
      </w:pPr>
      <w:r w:rsidRPr="00A86E55">
        <w:rPr>
          <w:lang w:val="lv-LV"/>
        </w:rPr>
        <w:t>Senāts atzīst, ka minētie argumenti nav pamatoti.</w:t>
      </w:r>
    </w:p>
    <w:p w14:paraId="40DA9ED9" w14:textId="11EC07DB" w:rsidR="0083024A" w:rsidRDefault="0083024A" w:rsidP="00AF71D4">
      <w:pPr>
        <w:autoSpaceDE w:val="0"/>
        <w:autoSpaceDN w:val="0"/>
        <w:adjustRightInd w:val="0"/>
        <w:spacing w:line="276" w:lineRule="auto"/>
        <w:ind w:firstLine="720"/>
        <w:contextualSpacing/>
        <w:jc w:val="both"/>
        <w:rPr>
          <w:rFonts w:ascii="TimesNewRomanPSMT" w:eastAsiaTheme="minorHAnsi" w:hAnsi="TimesNewRomanPSMT" w:cs="TimesNewRomanPSMT"/>
          <w:lang w:eastAsia="en-US"/>
        </w:rPr>
      </w:pPr>
      <w:r w:rsidRPr="00A86E55">
        <w:rPr>
          <w:rFonts w:ascii="TimesNewRomanPSMT" w:eastAsiaTheme="minorHAnsi" w:hAnsi="TimesNewRomanPSMT" w:cs="TimesNewRomanPSMT"/>
          <w:lang w:eastAsia="en-US"/>
        </w:rPr>
        <w:t>A</w:t>
      </w:r>
      <w:r w:rsidRPr="00A86E55">
        <w:t xml:space="preserve">pgabaltiesa ir pievienojusies pirmās instances </w:t>
      </w:r>
      <w:r>
        <w:t xml:space="preserve">tiesas sprieduma motivācijai, pamatojoties uz Administratīvā procesa likuma 307.panta ceturto daļu. Senāts jau iepriekš ir atzinis, ka pievienošanās pirmās instances tiesas sprieduma pamatojumam nozīmē, ka apelācijas instances tiesa ir izskatījusi lietu pēc būtības un pārbaudījusi pierādījumus, rezultātā nonākot pie tādiem pašiem secinājumiem kā pirmās instances tiesa. Savukārt, ievērojot procesuālo ekonomiju, apgabaltiesai motīvu daļā nebija atkārtoti jānorāda tiesisko un faktisko </w:t>
      </w:r>
      <w:r w:rsidRPr="00D52BB8">
        <w:t>apstākļu vērtējums (</w:t>
      </w:r>
      <w:r w:rsidRPr="00D52BB8">
        <w:rPr>
          <w:iCs/>
        </w:rPr>
        <w:t>piemēram,</w:t>
      </w:r>
      <w:r w:rsidRPr="00D52BB8">
        <w:rPr>
          <w:i/>
        </w:rPr>
        <w:t xml:space="preserve"> Senāta 2019.gada 10.maija sprieduma lietā Nr. SKA</w:t>
      </w:r>
      <w:r w:rsidRPr="00D52BB8">
        <w:rPr>
          <w:i/>
        </w:rPr>
        <w:noBreakHyphen/>
        <w:t>52/2019</w:t>
      </w:r>
      <w:r>
        <w:rPr>
          <w:i/>
        </w:rPr>
        <w:t xml:space="preserve">, </w:t>
      </w:r>
      <w:hyperlink r:id="rId23" w:history="1">
        <w:r w:rsidRPr="005615DB">
          <w:rPr>
            <w:rStyle w:val="Hyperlink"/>
            <w:i/>
          </w:rPr>
          <w:t>ECLI:LV:AT:2019:0510.A420148815.2.S</w:t>
        </w:r>
      </w:hyperlink>
      <w:r>
        <w:rPr>
          <w:i/>
        </w:rPr>
        <w:t>,</w:t>
      </w:r>
      <w:r w:rsidRPr="00D52BB8">
        <w:rPr>
          <w:i/>
        </w:rPr>
        <w:t xml:space="preserve"> 5.punkts</w:t>
      </w:r>
      <w:r w:rsidRPr="00D52BB8">
        <w:t>).</w:t>
      </w:r>
      <w:r>
        <w:t xml:space="preserve"> </w:t>
      </w:r>
      <w:r w:rsidRPr="00D01B06">
        <w:rPr>
          <w:rFonts w:ascii="TimesNewRomanPSMT" w:eastAsiaTheme="minorHAnsi" w:hAnsi="TimesNewRomanPSMT" w:cs="TimesNewRomanPSMT"/>
          <w:lang w:eastAsia="en-US"/>
        </w:rPr>
        <w:t xml:space="preserve">Tas, ka apgabaltiesa </w:t>
      </w:r>
      <w:r>
        <w:rPr>
          <w:rFonts w:ascii="TimesNewRomanPSMT" w:eastAsiaTheme="minorHAnsi" w:hAnsi="TimesNewRomanPSMT" w:cs="TimesNewRomanPSMT"/>
          <w:lang w:eastAsia="en-US"/>
        </w:rPr>
        <w:t xml:space="preserve">ir </w:t>
      </w:r>
      <w:r w:rsidRPr="00D01B06">
        <w:rPr>
          <w:rFonts w:ascii="TimesNewRomanPSMT" w:eastAsiaTheme="minorHAnsi" w:hAnsi="TimesNewRomanPSMT" w:cs="TimesNewRomanPSMT"/>
          <w:lang w:eastAsia="en-US"/>
        </w:rPr>
        <w:t>pievienojusies pirmās instances tiesas sprieduma motivācijai, nenozīmē, ka apgabaltiesa nav</w:t>
      </w:r>
      <w:r>
        <w:rPr>
          <w:rFonts w:ascii="TimesNewRomanPSMT" w:eastAsiaTheme="minorHAnsi" w:hAnsi="TimesNewRomanPSMT" w:cs="TimesNewRomanPSMT"/>
          <w:lang w:eastAsia="en-US"/>
        </w:rPr>
        <w:t xml:space="preserve"> ievērojusi lietas izskatīšanas robežas apelācijas instancē vai nav vērtējusi pierādījumus. Minētais nozīmē, ka apgabaltiesa ir pievienojusies pirmās instances tiesas pierādījumu vērtējumam un secinājumiem.</w:t>
      </w:r>
    </w:p>
    <w:p w14:paraId="1E0CD502" w14:textId="77777777" w:rsidR="0083024A" w:rsidRPr="00A86E55" w:rsidRDefault="0083024A" w:rsidP="00AF71D4">
      <w:pPr>
        <w:autoSpaceDE w:val="0"/>
        <w:autoSpaceDN w:val="0"/>
        <w:adjustRightInd w:val="0"/>
        <w:spacing w:line="276" w:lineRule="auto"/>
        <w:ind w:firstLine="720"/>
        <w:contextualSpacing/>
        <w:jc w:val="both"/>
      </w:pPr>
      <w:r w:rsidRPr="00A86E55">
        <w:rPr>
          <w:rFonts w:ascii="TimesNewRomanPSMT" w:eastAsiaTheme="minorHAnsi" w:hAnsi="TimesNewRomanPSMT" w:cs="TimesNewRomanPSMT"/>
          <w:lang w:eastAsia="en-US"/>
        </w:rPr>
        <w:t xml:space="preserve">Tiesa ir vērtējusi pieteicēja </w:t>
      </w:r>
      <w:r w:rsidRPr="00A86E55">
        <w:t>argumentus par 2015.gada 28.septembra izziņas iesniegšanas aģentūrai faktisko laiku un secinājusi, ka nav iesniegti pārbaudāmi pierādījumi, kas apstiprinātu, ka minētā izziņa bija iesniegta aģentūrā pirms 2019.gada 8.novembra. Proti, lietā nav pierādījumu pieteicēja apgalvojumam, ka 2015.gada 28.septembra izziņa tika iesniegta aģentūrā 2015.gadā. Tiesa ir atzinusi, ka līdz ar to nav pamata pārrēķināt vecuma pensiju sakarā ar</w:t>
      </w:r>
      <w:r w:rsidRPr="00A86E55">
        <w:rPr>
          <w:rFonts w:asciiTheme="majorBidi" w:hAnsiTheme="majorBidi" w:cstheme="majorBidi"/>
          <w:lang w:eastAsia="lv-LV"/>
        </w:rPr>
        <w:t xml:space="preserve"> apdrošināšanas stāža pārskatīšanu</w:t>
      </w:r>
      <w:r w:rsidRPr="00A86E55">
        <w:t xml:space="preserve"> jau no 2015.gada 1.novembra.</w:t>
      </w:r>
    </w:p>
    <w:p w14:paraId="6D546FF6" w14:textId="284C3005" w:rsidR="0083024A" w:rsidRPr="00A86E55" w:rsidRDefault="0083024A" w:rsidP="00AF71D4">
      <w:pPr>
        <w:autoSpaceDE w:val="0"/>
        <w:autoSpaceDN w:val="0"/>
        <w:adjustRightInd w:val="0"/>
        <w:spacing w:line="276" w:lineRule="auto"/>
        <w:ind w:firstLine="720"/>
        <w:contextualSpacing/>
        <w:jc w:val="both"/>
      </w:pPr>
      <w:r w:rsidRPr="00A86E55">
        <w:t xml:space="preserve">Saistībā ar šo prasījumu Senāts vērš pieteicēja uzmanību uz Administratīvā procesa likuma 188.panta piekto daļu, kas paredz personas tiesības iesniegt tiesā pieteikumu viena </w:t>
      </w:r>
      <w:r w:rsidRPr="00A86E55">
        <w:lastRenderedPageBreak/>
        <w:t xml:space="preserve">gada laikā no dienas, kad persona ar iesniegumu </w:t>
      </w:r>
      <w:r w:rsidR="008668AC">
        <w:t>vērsusies</w:t>
      </w:r>
      <w:r w:rsidRPr="00A86E55">
        <w:t xml:space="preserve"> iestādē vai augstākā iestādē, ja iestāde nav pieteicējam paziņojusi savu lēmumu sakarā ar viņa iesniegumu. Tātad, ja pieteicējs bija vērsies iestādē ar iesniegumu 2015.gada oktobrī, tad pieteicējam bija tiesības iesniegt pieteikumu tiesā gada laikā no šīs dienas, ja netika saņemts aģentūras lēmums sakarā ar iesniegumu un iesniegto 2015.gada 28.septembra izziņu. Taču līdz 2019.gada 8.novembrim, kad nav strīda, ka pieteicējs aģentūrā iesniedza 2015.gada 28.septembra izziņu, ir pagājuši vairāk kā trīs gadi no dienas, kad pieteicējam vajadzēja uzzināt, ka aģentūra nav paziņojusi savu lēmumu sakarā ar iesniegumu, ja pieteicējs bija vērsies aģentūrā ar</w:t>
      </w:r>
      <w:r w:rsidR="008668AC">
        <w:t>ī</w:t>
      </w:r>
      <w:r w:rsidRPr="00A86E55">
        <w:t xml:space="preserve"> 2015.gada oktobrī</w:t>
      </w:r>
      <w:r w:rsidRPr="00A86E55">
        <w:rPr>
          <w:i/>
          <w:iCs/>
        </w:rPr>
        <w:t xml:space="preserve">. </w:t>
      </w:r>
      <w:r w:rsidRPr="00A86E55">
        <w:t xml:space="preserve">Līdz ar to saskaņā ar Administratīvā procesa likuma 191.panta pirmās daļas 9.punktu vairs nav pieļaujams prasījums par valsts pensijas pārrēķinu no 2015.gada 1.novembra. </w:t>
      </w:r>
    </w:p>
    <w:p w14:paraId="5B582015" w14:textId="77777777" w:rsidR="0083024A" w:rsidRPr="00A86E55" w:rsidRDefault="0083024A" w:rsidP="00AF71D4">
      <w:pPr>
        <w:spacing w:line="276" w:lineRule="auto"/>
        <w:ind w:firstLine="720"/>
        <w:contextualSpacing/>
        <w:jc w:val="both"/>
        <w:rPr>
          <w:rFonts w:asciiTheme="majorBidi" w:hAnsiTheme="majorBidi" w:cstheme="majorBidi"/>
          <w:lang w:eastAsia="lv-LV"/>
        </w:rPr>
      </w:pPr>
      <w:r w:rsidRPr="00A86E55">
        <w:rPr>
          <w:rFonts w:asciiTheme="majorBidi" w:hAnsiTheme="majorBidi" w:cstheme="majorBidi"/>
          <w:lang w:eastAsia="lv-LV"/>
        </w:rPr>
        <w:t xml:space="preserve">Pretēji kasācijas sūdzībā norādītajam tiesa ir vērtējusi </w:t>
      </w:r>
      <w:r w:rsidRPr="00A86E55">
        <w:t>2015.gada 28.septembra izziņas saturu. Tiesa konstatējusi, ka no izziņas izriet:</w:t>
      </w:r>
      <w:r w:rsidRPr="00A86E55">
        <w:rPr>
          <w:rFonts w:asciiTheme="majorBidi" w:hAnsiTheme="majorBidi" w:cstheme="majorBidi"/>
          <w:lang w:eastAsia="lv-LV"/>
        </w:rPr>
        <w:t xml:space="preserve"> pieteicējs 1971.gada 20.maijā Sverdlovskas apgabalā tika iesaukts obligātajā militārajā dienestā; pieteicējs uzsāka dienestu kara daļā Nr. 11929 Lietuvā no 1971.gada 26.maija; informācija nesniedz nepārprotamu apstiprinājumu, ka kara daļa Nr. 73461 periodā no 1972.gada 11.maija līdz 1973.gada 26.maijam atradās Lietuvas PSR teritorijā.</w:t>
      </w:r>
    </w:p>
    <w:p w14:paraId="5ED3BF3C" w14:textId="26F6217F" w:rsidR="0083024A" w:rsidRDefault="0083024A" w:rsidP="00AF71D4">
      <w:pPr>
        <w:pStyle w:val="NoSpacing"/>
        <w:spacing w:line="276" w:lineRule="auto"/>
        <w:ind w:firstLine="720"/>
        <w:contextualSpacing/>
        <w:jc w:val="both"/>
        <w:rPr>
          <w:lang w:val="lv-LV"/>
        </w:rPr>
      </w:pPr>
      <w:r w:rsidRPr="00A86E55">
        <w:rPr>
          <w:lang w:val="lv-LV"/>
        </w:rPr>
        <w:t>Tātad tiesa ir vērtējusi 2015.gada 28.septembra izziņas saturu un pamatojusi, kāpēc tas nav pietiekams, lai noteiktu kara daļas</w:t>
      </w:r>
      <w:r w:rsidRPr="00A86E55">
        <w:rPr>
          <w:rFonts w:asciiTheme="majorBidi" w:hAnsiTheme="majorBidi" w:cstheme="majorBidi"/>
          <w:lang w:val="lv-LV" w:eastAsia="lv-LV"/>
        </w:rPr>
        <w:t xml:space="preserve"> Nr. 73461 </w:t>
      </w:r>
      <w:r w:rsidRPr="00A86E55">
        <w:rPr>
          <w:lang w:val="lv-LV"/>
        </w:rPr>
        <w:t>atrašanās vietu. Tas, ka pieteicējs nepiekrīt tiesas vērtējumam, nenozīmē, ka tiesa pārkāpusi pierādījumu vērtēšanas noteikumus. Tiesa pamatoti atzinusi, ka vecuma pensijas pārrēķin</w:t>
      </w:r>
      <w:r w:rsidR="008668AC">
        <w:rPr>
          <w:lang w:val="lv-LV"/>
        </w:rPr>
        <w:t>āta</w:t>
      </w:r>
      <w:r w:rsidRPr="00A86E55">
        <w:rPr>
          <w:lang w:val="lv-LV"/>
        </w:rPr>
        <w:t xml:space="preserve"> atbilstoši </w:t>
      </w:r>
      <w:r w:rsidRPr="00A86E55">
        <w:rPr>
          <w:rFonts w:asciiTheme="majorBidi" w:hAnsiTheme="majorBidi" w:cstheme="majorBidi"/>
          <w:lang w:val="lv-LV" w:eastAsia="lv-LV"/>
        </w:rPr>
        <w:t>likuma „Par valsts pensijām” 25.panta otrās daļas 1.punktam</w:t>
      </w:r>
      <w:r w:rsidRPr="00A86E55">
        <w:rPr>
          <w:lang w:val="lv-LV"/>
        </w:rPr>
        <w:t>, ņemot vērā brīdi, kad pieteicējs iesniedza attiecīgus pierādījumus par apdrošināšanas stāžu.</w:t>
      </w:r>
    </w:p>
    <w:p w14:paraId="27F28470" w14:textId="77777777" w:rsidR="0083024A" w:rsidRPr="00EE294B" w:rsidRDefault="0083024A" w:rsidP="00AF71D4">
      <w:pPr>
        <w:spacing w:line="276" w:lineRule="auto"/>
        <w:ind w:firstLine="720"/>
        <w:contextualSpacing/>
        <w:jc w:val="both"/>
        <w:rPr>
          <w:rFonts w:asciiTheme="majorBidi" w:hAnsiTheme="majorBidi" w:cstheme="majorBidi"/>
          <w:i/>
          <w:iCs/>
        </w:rPr>
      </w:pPr>
    </w:p>
    <w:p w14:paraId="4F0F3C14" w14:textId="02B3B02C" w:rsidR="00AB2930" w:rsidRPr="00EE294B" w:rsidRDefault="00AB2930" w:rsidP="00AF71D4">
      <w:pPr>
        <w:spacing w:line="276" w:lineRule="auto"/>
        <w:ind w:firstLine="720"/>
        <w:contextualSpacing/>
        <w:jc w:val="both"/>
        <w:rPr>
          <w:rFonts w:asciiTheme="majorBidi" w:hAnsiTheme="majorBidi" w:cstheme="majorBidi"/>
        </w:rPr>
      </w:pPr>
      <w:r w:rsidRPr="00EE294B">
        <w:rPr>
          <w:rFonts w:asciiTheme="majorBidi" w:hAnsiTheme="majorBidi" w:cstheme="majorBidi"/>
          <w:i/>
          <w:iCs/>
        </w:rPr>
        <w:t>Par prejudiciālo jautājumu uzdošanu Eiropas Savienības Tiesai</w:t>
      </w:r>
    </w:p>
    <w:p w14:paraId="168098AB" w14:textId="7698811E" w:rsidR="00AB2930" w:rsidRDefault="00AB2930" w:rsidP="00AF71D4">
      <w:pPr>
        <w:spacing w:line="276" w:lineRule="auto"/>
        <w:ind w:firstLine="720"/>
        <w:contextualSpacing/>
        <w:jc w:val="both"/>
      </w:pPr>
      <w:r w:rsidRPr="00EE294B">
        <w:t>[</w:t>
      </w:r>
      <w:r w:rsidR="00AF0276" w:rsidRPr="00EE294B">
        <w:t>20</w:t>
      </w:r>
      <w:r w:rsidRPr="00EE294B">
        <w:t>] Kasācijas sūdzībā ietverts apsvērums, ka Senātam nepieciešams vērsties</w:t>
      </w:r>
      <w:r>
        <w:t xml:space="preserve"> Eiropas Savienības Tiesā prejudiciāla nolēmuma saņemšanai. No kasācijas sūdzībā norādītajiem apsvērumiem secināms, ka pieteicējs uzskata, ka neieciešams noskaidrot, vai LESD 18. un 45.pants jāpiemēro kopsakarā ar LESD 48.pantu un jāsecina, ka laikposmu summēšana attiecas arī uz LESD 48.panta pirmās daļas „a” punktā minēto pabalsta aprēķināšanas lielumu.</w:t>
      </w:r>
      <w:r w:rsidRPr="003E0F25">
        <w:t xml:space="preserve"> </w:t>
      </w:r>
      <w:r>
        <w:t xml:space="preserve">Tomēr kasācijas sūdzībā nav izvirzīti konkrēti iespējamie prejudiciālie jautājumi, kā arī nav norādīts pamatojums, kāpēc nepieciešams vērsties Eiropas Savienības Tiesā. </w:t>
      </w:r>
      <w:r w:rsidR="008668AC">
        <w:t>Neraugoties uz to</w:t>
      </w:r>
      <w:r>
        <w:t xml:space="preserve"> Senāts vispārīgi izvērtēs nepieciešamību izmantot LESD 267.pantā paredzēto prejudiciālā nolēmuma procedūru.</w:t>
      </w:r>
    </w:p>
    <w:p w14:paraId="5E6DA3F2" w14:textId="70BE3641" w:rsidR="00AB2930" w:rsidRDefault="00AB2930" w:rsidP="00AF71D4">
      <w:pPr>
        <w:spacing w:line="276" w:lineRule="auto"/>
        <w:ind w:firstLine="720"/>
        <w:contextualSpacing/>
        <w:jc w:val="both"/>
      </w:pPr>
      <w:r>
        <w:t xml:space="preserve">Eiropas Savienības Tiesas kompetence prejudiciālo nolēmumu procedūrā noteikta LESD 267.pantā un skaidrota Eiropas Savienības Tiesas judikatūrā (sk. šajā jautājumā īpaši </w:t>
      </w:r>
      <w:r>
        <w:rPr>
          <w:i/>
          <w:iCs/>
        </w:rPr>
        <w:t>Eiropas Savienības Tiesas 2021.gada 6.oktobra sprieduma lietā „Consorzio Italian Management</w:t>
      </w:r>
      <w:r w:rsidR="00936105">
        <w:rPr>
          <w:i/>
          <w:iCs/>
        </w:rPr>
        <w:t xml:space="preserve"> </w:t>
      </w:r>
      <w:r>
        <w:rPr>
          <w:i/>
          <w:iCs/>
        </w:rPr>
        <w:t>e</w:t>
      </w:r>
      <w:r w:rsidR="00936105">
        <w:rPr>
          <w:i/>
          <w:iCs/>
        </w:rPr>
        <w:t xml:space="preserve"> </w:t>
      </w:r>
      <w:r>
        <w:rPr>
          <w:i/>
          <w:iCs/>
        </w:rPr>
        <w:t xml:space="preserve">Catania Multiservizi un Catania Multiservizi”, C-561/19, </w:t>
      </w:r>
      <w:hyperlink r:id="rId24" w:history="1">
        <w:r>
          <w:rPr>
            <w:rStyle w:val="Hyperlink"/>
            <w:i/>
            <w:iCs/>
          </w:rPr>
          <w:t>ECLI:EU:C:2021:799</w:t>
        </w:r>
      </w:hyperlink>
      <w:r>
        <w:rPr>
          <w:rStyle w:val="Hyperlink"/>
          <w:i/>
          <w:iCs/>
        </w:rPr>
        <w:t>,</w:t>
      </w:r>
      <w:r>
        <w:rPr>
          <w:i/>
          <w:iCs/>
        </w:rPr>
        <w:t xml:space="preserve"> 68. un 69.punktu</w:t>
      </w:r>
      <w:r>
        <w:t xml:space="preserve">). </w:t>
      </w:r>
      <w:r w:rsidRPr="006F4C1C">
        <w:t>Lūgums sniegt prejudiciālu nolēmumu tiek pamatots ar tiesu tiešu dialogu, kur iespējamais lūgums sniegt prejudiciālu nolēmumu ir pilnībā atkarīgs no valsts tiesas vērtējuma par š</w:t>
      </w:r>
      <w:r>
        <w:t>ā</w:t>
      </w:r>
      <w:r w:rsidRPr="006F4C1C">
        <w:t xml:space="preserve"> lūguma iesniegšanas nozīmīgumu un </w:t>
      </w:r>
      <w:r w:rsidRPr="006F4C1C">
        <w:lastRenderedPageBreak/>
        <w:t xml:space="preserve">nepieciešamību </w:t>
      </w:r>
      <w:r>
        <w:t>(</w:t>
      </w:r>
      <w:r w:rsidRPr="006F4C1C">
        <w:rPr>
          <w:i/>
          <w:iCs/>
        </w:rPr>
        <w:t xml:space="preserve">Eiropas Savienības Tiesas 2008.gada 16.decembra sprieduma lietā „Cartesio”, C-210/06, </w:t>
      </w:r>
      <w:hyperlink r:id="rId25" w:history="1">
        <w:r w:rsidRPr="006F4C1C">
          <w:rPr>
            <w:rStyle w:val="Hyperlink"/>
            <w:i/>
            <w:iCs/>
          </w:rPr>
          <w:t>ECLI:EU:C:2008:723</w:t>
        </w:r>
      </w:hyperlink>
      <w:r w:rsidRPr="006F4C1C">
        <w:rPr>
          <w:i/>
          <w:iCs/>
        </w:rPr>
        <w:t>, 91.punkts</w:t>
      </w:r>
      <w:r>
        <w:t xml:space="preserve">). </w:t>
      </w:r>
    </w:p>
    <w:p w14:paraId="2F377439" w14:textId="3204264A" w:rsidR="00AB2930" w:rsidRPr="00A93177" w:rsidRDefault="00AB2930" w:rsidP="00AF71D4">
      <w:pPr>
        <w:spacing w:line="276" w:lineRule="auto"/>
        <w:ind w:firstLine="720"/>
        <w:contextualSpacing/>
        <w:jc w:val="both"/>
        <w:rPr>
          <w:rFonts w:asciiTheme="majorBidi" w:hAnsiTheme="majorBidi" w:cstheme="majorBidi"/>
        </w:rPr>
      </w:pPr>
      <w:r>
        <w:rPr>
          <w:rFonts w:asciiTheme="majorBidi" w:hAnsiTheme="majorBidi" w:cstheme="majorBidi"/>
        </w:rPr>
        <w:t>S</w:t>
      </w:r>
      <w:r w:rsidRPr="00A93177">
        <w:rPr>
          <w:rFonts w:asciiTheme="majorBidi" w:hAnsiTheme="majorBidi" w:cstheme="majorBidi"/>
        </w:rPr>
        <w:t>askaņā ar Eiropas Savienības Tiesas aktuālo judikatūru pēdējās instances valsts tiesām nav pienākuma lūgt Eiropas Savienības Tiesu sniegt prejudiciālu nolēmumu: 1) ja jautājumam nav nozīmes strīda atrisināšanā; 2)</w:t>
      </w:r>
      <w:r>
        <w:rPr>
          <w:rFonts w:asciiTheme="majorBidi" w:hAnsiTheme="majorBidi" w:cstheme="majorBidi"/>
        </w:rPr>
        <w:t> </w:t>
      </w:r>
      <w:r w:rsidRPr="00A93177">
        <w:rPr>
          <w:rFonts w:asciiTheme="majorBidi" w:hAnsiTheme="majorBidi" w:cstheme="majorBidi"/>
        </w:rPr>
        <w:t>par attiecīgo Eiropas Savienības tiesību normu Eiropas Savienības Tiesa jau ir sniegusi interpretāciju; 3) Eiropas Savienības tiesību pareiza piemērošana ir tik acīmredzama, ka nerodas nekādas pamatotas šaubas (</w:t>
      </w:r>
      <w:r w:rsidRPr="00A93177">
        <w:rPr>
          <w:rFonts w:asciiTheme="majorBidi" w:hAnsiTheme="majorBidi" w:cstheme="majorBidi"/>
          <w:i/>
          <w:iCs/>
        </w:rPr>
        <w:t xml:space="preserve">Eiropas Savienības Tiesas 2021.gada 6.oktobra sprieduma lietā „Consorzio Italian Management un Catania Multiservizi”, C-561/19, </w:t>
      </w:r>
      <w:hyperlink r:id="rId26" w:history="1">
        <w:r w:rsidRPr="00A93177">
          <w:rPr>
            <w:rStyle w:val="Hyperlink"/>
            <w:rFonts w:asciiTheme="majorBidi" w:hAnsiTheme="majorBidi" w:cstheme="majorBidi"/>
            <w:i/>
            <w:iCs/>
          </w:rPr>
          <w:t>ECLI:EU:C:2021:799</w:t>
        </w:r>
      </w:hyperlink>
      <w:r w:rsidRPr="00A93177">
        <w:rPr>
          <w:rFonts w:asciiTheme="majorBidi" w:hAnsiTheme="majorBidi" w:cstheme="majorBidi"/>
          <w:i/>
          <w:iCs/>
        </w:rPr>
        <w:t>, 33.punkt</w:t>
      </w:r>
      <w:r>
        <w:rPr>
          <w:rFonts w:asciiTheme="majorBidi" w:hAnsiTheme="majorBidi" w:cstheme="majorBidi"/>
          <w:i/>
          <w:iCs/>
        </w:rPr>
        <w:t>s</w:t>
      </w:r>
      <w:r w:rsidRPr="00A93177">
        <w:rPr>
          <w:rFonts w:asciiTheme="majorBidi" w:hAnsiTheme="majorBidi" w:cstheme="majorBidi"/>
        </w:rPr>
        <w:t xml:space="preserve">). </w:t>
      </w:r>
    </w:p>
    <w:p w14:paraId="7D728B77" w14:textId="7D0FD7C4" w:rsidR="00AB2930" w:rsidRDefault="00AB2930" w:rsidP="00AF71D4">
      <w:pPr>
        <w:spacing w:line="276" w:lineRule="auto"/>
        <w:ind w:firstLine="720"/>
        <w:contextualSpacing/>
        <w:jc w:val="both"/>
      </w:pPr>
      <w:r>
        <w:t>Attiecībā par iespējamu LESD 48.panta piemērošanu Eiropas Savienības Tiesas judikatūrā nodibināts, ka šīs tiesību normas mērķis nav radīt saistošu noteikumu, kas būtu iedarbīgs pats par sevi, bet tas ir juridisks pamats likumdošanas aktu pieņemšanai (</w:t>
      </w:r>
      <w:r w:rsidRPr="00346F7F">
        <w:rPr>
          <w:i/>
          <w:iCs/>
        </w:rPr>
        <w:t xml:space="preserve">Eiropas Savienības Tiesas 2022.gada 8.decembra sprieduma lietā „GV”, C-731/21, </w:t>
      </w:r>
      <w:hyperlink r:id="rId27" w:history="1">
        <w:r w:rsidRPr="00346F7F">
          <w:rPr>
            <w:rStyle w:val="Hyperlink"/>
            <w:i/>
            <w:iCs/>
          </w:rPr>
          <w:t>ECLI:EU:C:2022:969</w:t>
        </w:r>
      </w:hyperlink>
      <w:r w:rsidRPr="00346F7F">
        <w:rPr>
          <w:i/>
          <w:iCs/>
        </w:rPr>
        <w:t>, 29.punkts</w:t>
      </w:r>
      <w:r>
        <w:t xml:space="preserve">). Tāpēc šī </w:t>
      </w:r>
      <w:r w:rsidR="008668AC">
        <w:t xml:space="preserve">LESD </w:t>
      </w:r>
      <w:r>
        <w:t>norma nedod pamatu citu LESD normu un Eiropas Savienības Tiesas sprieduma interpretācijai.</w:t>
      </w:r>
    </w:p>
    <w:p w14:paraId="2E5D4F7D" w14:textId="77777777" w:rsidR="00AB2930" w:rsidRDefault="00AB2930" w:rsidP="00AF71D4">
      <w:pPr>
        <w:spacing w:line="276" w:lineRule="auto"/>
        <w:ind w:firstLine="720"/>
        <w:contextualSpacing/>
        <w:jc w:val="both"/>
      </w:pPr>
      <w:r>
        <w:t xml:space="preserve">Izskatāmās lietas būtisko strīdus jautājumu – vai ir pieļaujama atšķirīga attieksme atkarībā no pensijas saņēmēja pilsonības saistībā ar </w:t>
      </w:r>
      <w:r w:rsidRPr="00117B21">
        <w:t>bijušās PSRS teritorijā uzkrāt</w:t>
      </w:r>
      <w:r>
        <w:t xml:space="preserve">o </w:t>
      </w:r>
      <w:r w:rsidRPr="00117B21">
        <w:t>darba un tam pielīdzināt</w:t>
      </w:r>
      <w:r>
        <w:t xml:space="preserve">o </w:t>
      </w:r>
      <w:r w:rsidRPr="00117B21">
        <w:t>period</w:t>
      </w:r>
      <w:r>
        <w:t>u</w:t>
      </w:r>
      <w:r w:rsidRPr="00117B21">
        <w:t xml:space="preserve"> </w:t>
      </w:r>
      <w:r>
        <w:t xml:space="preserve">ieskaitīšanu </w:t>
      </w:r>
      <w:r w:rsidRPr="00117B21">
        <w:t>apdrošināšanas stāž</w:t>
      </w:r>
      <w:r>
        <w:t xml:space="preserve">ā – jau ir vērtējusi kā Satversmes tiesa, tā arī Eiropas Cilvēktiesību tiesa. </w:t>
      </w:r>
    </w:p>
    <w:p w14:paraId="4CBF409B" w14:textId="7BBAD9C7" w:rsidR="00AB2930" w:rsidRDefault="00AB2930" w:rsidP="00AF71D4">
      <w:pPr>
        <w:spacing w:line="276" w:lineRule="auto"/>
        <w:ind w:firstLine="720"/>
        <w:contextualSpacing/>
        <w:jc w:val="both"/>
      </w:pPr>
      <w:r w:rsidRPr="00AF0276">
        <w:t>Savukārt Senāts, ievērojot Eiropas Savienības Tiesas judikatūru, secinājis, ka atšķirīga attieksme arī attiecībā pret Lietuvas pilsoni, neieskaitot viņa apdrošināšanas stāžā bijušās PSRS teritorijā (tagadējās Krievijas teritorijā) uzkrātos darba periodus, ir objektīvi pamatota un samērīga (</w:t>
      </w:r>
      <w:r w:rsidR="00AF0276" w:rsidRPr="006D44D3">
        <w:t>sk.</w:t>
      </w:r>
      <w:r w:rsidR="00AF0276">
        <w:rPr>
          <w:i/>
          <w:iCs/>
        </w:rPr>
        <w:t xml:space="preserve"> šā</w:t>
      </w:r>
      <w:r w:rsidRPr="00AF0276">
        <w:rPr>
          <w:i/>
          <w:iCs/>
        </w:rPr>
        <w:t xml:space="preserve"> sprieduma </w:t>
      </w:r>
      <w:r w:rsidR="00AF0276">
        <w:rPr>
          <w:i/>
          <w:iCs/>
        </w:rPr>
        <w:t>16.</w:t>
      </w:r>
      <w:r w:rsidRPr="00AF0276">
        <w:rPr>
          <w:i/>
          <w:iCs/>
        </w:rPr>
        <w:t>punktu</w:t>
      </w:r>
      <w:r w:rsidRPr="00AF0276">
        <w:t>).</w:t>
      </w:r>
    </w:p>
    <w:p w14:paraId="601E5E1D" w14:textId="63D57708" w:rsidR="00AB2930" w:rsidRDefault="00AB2930" w:rsidP="00AF71D4">
      <w:pPr>
        <w:spacing w:line="276" w:lineRule="auto"/>
        <w:ind w:firstLine="720"/>
        <w:contextualSpacing/>
        <w:jc w:val="both"/>
        <w:rPr>
          <w:color w:val="000000"/>
        </w:rPr>
      </w:pPr>
      <w:r>
        <w:t xml:space="preserve">Tādējādi </w:t>
      </w:r>
      <w:r>
        <w:rPr>
          <w:color w:val="000000"/>
        </w:rPr>
        <w:t>Senāts uzskata, ka uz izskatāmo lietu attiecināmās Eiropas Savienības tiesību normas ir skaidras. Turklāt arī šajā spriedumā analizētā un vērā ņemtā Eiropas Savienības Tiesas judikatūra a</w:t>
      </w:r>
      <w:r w:rsidR="008668AC">
        <w:rPr>
          <w:color w:val="000000"/>
        </w:rPr>
        <w:t>p</w:t>
      </w:r>
      <w:r>
        <w:rPr>
          <w:color w:val="000000"/>
        </w:rPr>
        <w:t>stiprina šo</w:t>
      </w:r>
      <w:r w:rsidR="008668AC">
        <w:rPr>
          <w:color w:val="000000"/>
        </w:rPr>
        <w:t xml:space="preserve"> tiesību</w:t>
      </w:r>
      <w:r>
        <w:rPr>
          <w:color w:val="000000"/>
        </w:rPr>
        <w:t xml:space="preserve"> normu izpratni </w:t>
      </w:r>
      <w:r w:rsidRPr="006522B7">
        <w:rPr>
          <w:color w:val="000000"/>
        </w:rPr>
        <w:t xml:space="preserve">(sk. </w:t>
      </w:r>
      <w:r w:rsidRPr="006522B7">
        <w:rPr>
          <w:i/>
          <w:iCs/>
          <w:color w:val="000000"/>
        </w:rPr>
        <w:t xml:space="preserve">šā sprieduma </w:t>
      </w:r>
      <w:r w:rsidR="00AF0276">
        <w:rPr>
          <w:i/>
          <w:iCs/>
          <w:color w:val="000000"/>
        </w:rPr>
        <w:t>9</w:t>
      </w:r>
      <w:r w:rsidR="006522B7" w:rsidRPr="006522B7">
        <w:rPr>
          <w:i/>
          <w:iCs/>
          <w:color w:val="000000"/>
        </w:rPr>
        <w:t>. un 1</w:t>
      </w:r>
      <w:r w:rsidR="00AF0276">
        <w:rPr>
          <w:i/>
          <w:iCs/>
          <w:color w:val="000000"/>
        </w:rPr>
        <w:t>2</w:t>
      </w:r>
      <w:r w:rsidR="006522B7" w:rsidRPr="006522B7">
        <w:rPr>
          <w:i/>
          <w:iCs/>
          <w:color w:val="000000"/>
        </w:rPr>
        <w:t>.</w:t>
      </w:r>
      <w:r w:rsidRPr="006522B7">
        <w:rPr>
          <w:i/>
          <w:iCs/>
          <w:color w:val="000000"/>
        </w:rPr>
        <w:t>punktu</w:t>
      </w:r>
      <w:r w:rsidRPr="006522B7">
        <w:rPr>
          <w:color w:val="000000"/>
        </w:rPr>
        <w:t>).</w:t>
      </w:r>
    </w:p>
    <w:p w14:paraId="080D5648" w14:textId="77777777" w:rsidR="00AB2930" w:rsidRDefault="00AB2930" w:rsidP="00AF71D4">
      <w:pPr>
        <w:spacing w:line="276" w:lineRule="auto"/>
        <w:ind w:firstLine="720"/>
        <w:contextualSpacing/>
        <w:jc w:val="both"/>
      </w:pPr>
      <w:r>
        <w:t>Lietā nav saskatāmas neskaidrības par Eiropas Savienības tiesību aktu interpretāciju. Eiropas Savienības Tiesa jau ir izteikusies par lietā piemērojamo Eiropas Savienības tiesību normu piemērošanu, un šis spriedums tām atbilst.</w:t>
      </w:r>
    </w:p>
    <w:p w14:paraId="25F3A8A0" w14:textId="77777777" w:rsidR="00AA3C98" w:rsidRPr="006522B7" w:rsidRDefault="00AA3C98" w:rsidP="00AF71D4">
      <w:pPr>
        <w:pStyle w:val="NoSpacing"/>
        <w:spacing w:line="276" w:lineRule="auto"/>
        <w:ind w:firstLine="720"/>
        <w:contextualSpacing/>
        <w:jc w:val="both"/>
        <w:rPr>
          <w:lang w:val="lv-LV"/>
        </w:rPr>
      </w:pPr>
    </w:p>
    <w:p w14:paraId="6F4C60F7" w14:textId="2D429581" w:rsidR="006522B7" w:rsidRPr="006522B7" w:rsidRDefault="0050302E" w:rsidP="00AF71D4">
      <w:pPr>
        <w:pStyle w:val="NoSpacing"/>
        <w:spacing w:line="276" w:lineRule="auto"/>
        <w:ind w:firstLine="720"/>
        <w:contextualSpacing/>
        <w:jc w:val="both"/>
        <w:rPr>
          <w:i/>
          <w:iCs/>
          <w:lang w:val="lv-LV"/>
        </w:rPr>
      </w:pPr>
      <w:r w:rsidRPr="00EE294B">
        <w:rPr>
          <w:i/>
          <w:iCs/>
          <w:lang w:val="lv-LV"/>
        </w:rPr>
        <w:t>Kopsavilkums</w:t>
      </w:r>
    </w:p>
    <w:p w14:paraId="148A691F" w14:textId="34EC4912" w:rsidR="006522B7" w:rsidRPr="00F93469" w:rsidRDefault="00AA3C98" w:rsidP="00AF71D4">
      <w:pPr>
        <w:spacing w:line="276" w:lineRule="auto"/>
        <w:ind w:firstLine="720"/>
        <w:contextualSpacing/>
        <w:jc w:val="both"/>
      </w:pPr>
      <w:r w:rsidRPr="006522B7">
        <w:t>[</w:t>
      </w:r>
      <w:r w:rsidR="005A54E6">
        <w:t>21</w:t>
      </w:r>
      <w:r w:rsidRPr="006522B7">
        <w:t>] </w:t>
      </w:r>
      <w:r w:rsidR="006522B7">
        <w:t>Ņemot vērā iepriekš norādīto, Senāts atzīst, ka nav pamata apgabaltiesas sprieduma atcelšanai.</w:t>
      </w:r>
    </w:p>
    <w:bookmarkEnd w:id="1"/>
    <w:p w14:paraId="6BF8EAA1" w14:textId="77777777" w:rsidR="00577708" w:rsidRPr="001C39B3" w:rsidRDefault="00577708" w:rsidP="00AF71D4">
      <w:pPr>
        <w:spacing w:line="276" w:lineRule="auto"/>
        <w:ind w:firstLine="567"/>
        <w:jc w:val="both"/>
      </w:pPr>
    </w:p>
    <w:p w14:paraId="4165E59A" w14:textId="77777777" w:rsidR="0012586F" w:rsidRDefault="0012586F" w:rsidP="00AF71D4">
      <w:pPr>
        <w:spacing w:line="276" w:lineRule="auto"/>
        <w:jc w:val="center"/>
        <w:rPr>
          <w:b/>
          <w:bCs/>
        </w:rPr>
      </w:pPr>
      <w:r w:rsidRPr="00BF1843">
        <w:rPr>
          <w:b/>
          <w:bCs/>
        </w:rPr>
        <w:t>Rezolutīvā daļa</w:t>
      </w:r>
    </w:p>
    <w:p w14:paraId="7D2610D8" w14:textId="77777777" w:rsidR="0012586F" w:rsidRPr="00BF1843" w:rsidRDefault="0012586F" w:rsidP="00AF71D4">
      <w:pPr>
        <w:spacing w:line="276" w:lineRule="auto"/>
        <w:jc w:val="center"/>
        <w:rPr>
          <w:b/>
          <w:bCs/>
        </w:rPr>
      </w:pPr>
    </w:p>
    <w:p w14:paraId="6FAC3E64" w14:textId="77777777" w:rsidR="006522B7" w:rsidRDefault="006522B7" w:rsidP="00AF71D4">
      <w:pPr>
        <w:tabs>
          <w:tab w:val="left" w:pos="6660"/>
        </w:tabs>
        <w:spacing w:line="276" w:lineRule="auto"/>
        <w:ind w:firstLine="720"/>
        <w:jc w:val="both"/>
      </w:pPr>
      <w:r w:rsidRPr="002B5FE8">
        <w:t>Pamatojoties uz Administratīvā procesa likuma 348.panta pirmās daļas 1.punktu un 351.pantu, Senāts</w:t>
      </w:r>
    </w:p>
    <w:p w14:paraId="034B2E08" w14:textId="77777777" w:rsidR="0012586F" w:rsidRPr="002B5FE8" w:rsidRDefault="0012586F" w:rsidP="00AF71D4">
      <w:pPr>
        <w:tabs>
          <w:tab w:val="left" w:pos="6660"/>
        </w:tabs>
        <w:spacing w:line="276" w:lineRule="auto"/>
        <w:ind w:firstLine="720"/>
        <w:jc w:val="both"/>
        <w:rPr>
          <w:strike/>
        </w:rPr>
      </w:pPr>
    </w:p>
    <w:p w14:paraId="763197CF" w14:textId="77777777" w:rsidR="0012586F" w:rsidRPr="00BF1843" w:rsidRDefault="0012586F" w:rsidP="00AF71D4">
      <w:pPr>
        <w:spacing w:line="276" w:lineRule="auto"/>
        <w:jc w:val="center"/>
        <w:rPr>
          <w:b/>
          <w:bCs/>
        </w:rPr>
      </w:pPr>
      <w:r w:rsidRPr="00BF1843">
        <w:rPr>
          <w:b/>
          <w:bCs/>
        </w:rPr>
        <w:t>nosprieda</w:t>
      </w:r>
    </w:p>
    <w:p w14:paraId="6799D52A" w14:textId="77777777" w:rsidR="0012586F" w:rsidRPr="002B5FE8" w:rsidRDefault="0012586F" w:rsidP="00AF71D4">
      <w:pPr>
        <w:spacing w:line="276" w:lineRule="auto"/>
        <w:jc w:val="center"/>
        <w:rPr>
          <w:b/>
        </w:rPr>
      </w:pPr>
    </w:p>
    <w:p w14:paraId="78BA0035" w14:textId="3CCAAF12" w:rsidR="006522B7" w:rsidRPr="002B5FE8" w:rsidRDefault="006522B7" w:rsidP="00AF71D4">
      <w:pPr>
        <w:tabs>
          <w:tab w:val="left" w:pos="2700"/>
          <w:tab w:val="left" w:pos="6660"/>
        </w:tabs>
        <w:spacing w:line="276" w:lineRule="auto"/>
        <w:ind w:firstLine="720"/>
        <w:jc w:val="both"/>
      </w:pPr>
      <w:r w:rsidRPr="002B5FE8">
        <w:rPr>
          <w:color w:val="000000"/>
        </w:rPr>
        <w:lastRenderedPageBreak/>
        <w:t>atstāt negrozītu</w:t>
      </w:r>
      <w:r w:rsidRPr="002B5FE8">
        <w:t xml:space="preserve"> Administratīvās apgabaltiesas </w:t>
      </w:r>
      <w:r w:rsidRPr="00274284">
        <w:rPr>
          <w:noProof/>
        </w:rPr>
        <w:t>202</w:t>
      </w:r>
      <w:r>
        <w:rPr>
          <w:noProof/>
        </w:rPr>
        <w:t>1</w:t>
      </w:r>
      <w:r w:rsidRPr="00274284">
        <w:rPr>
          <w:noProof/>
        </w:rPr>
        <w:t xml:space="preserve">.gada </w:t>
      </w:r>
      <w:r>
        <w:rPr>
          <w:noProof/>
        </w:rPr>
        <w:t>11.novembra</w:t>
      </w:r>
      <w:r w:rsidRPr="00274284">
        <w:rPr>
          <w:noProof/>
        </w:rPr>
        <w:t xml:space="preserve"> </w:t>
      </w:r>
      <w:r w:rsidRPr="002B5FE8">
        <w:t xml:space="preserve">spriedumu, bet </w:t>
      </w:r>
      <w:r w:rsidR="00AF71D4">
        <w:t xml:space="preserve">[pers. A] </w:t>
      </w:r>
      <w:r w:rsidRPr="002B5FE8">
        <w:rPr>
          <w:noProof/>
        </w:rPr>
        <w:t xml:space="preserve">kasācijas sūdzību </w:t>
      </w:r>
      <w:r w:rsidRPr="002B5FE8">
        <w:t>noraidīt.</w:t>
      </w:r>
    </w:p>
    <w:p w14:paraId="630A7FE3" w14:textId="353650D9" w:rsidR="0012586F" w:rsidRPr="00E34A10" w:rsidRDefault="0012586F" w:rsidP="00AF71D4">
      <w:pPr>
        <w:pStyle w:val="NoSpacing"/>
        <w:spacing w:line="276" w:lineRule="auto"/>
        <w:ind w:firstLine="720"/>
        <w:jc w:val="both"/>
        <w:rPr>
          <w:iCs/>
          <w:lang w:val="lv-LV"/>
        </w:rPr>
      </w:pPr>
    </w:p>
    <w:p w14:paraId="34CFA462" w14:textId="511C2C60" w:rsidR="00577708" w:rsidRPr="00004678" w:rsidRDefault="00577708" w:rsidP="00AF71D4">
      <w:pPr>
        <w:tabs>
          <w:tab w:val="left" w:pos="6660"/>
        </w:tabs>
        <w:spacing w:line="276" w:lineRule="auto"/>
        <w:ind w:firstLine="720"/>
        <w:contextualSpacing/>
        <w:jc w:val="both"/>
      </w:pPr>
      <w:r w:rsidRPr="00004678">
        <w:t>Spriedums nav pārsūdzams.</w:t>
      </w:r>
    </w:p>
    <w:p w14:paraId="39E35EA0" w14:textId="77777777" w:rsidR="00011D66" w:rsidRDefault="00011D66" w:rsidP="00AF71D4">
      <w:pPr>
        <w:spacing w:line="276" w:lineRule="auto"/>
        <w:ind w:firstLine="567"/>
        <w:contextualSpacing/>
        <w:jc w:val="both"/>
        <w:rPr>
          <w:rFonts w:asciiTheme="majorBidi" w:hAnsiTheme="majorBidi" w:cstheme="majorBidi"/>
        </w:rPr>
      </w:pPr>
      <w:bookmarkStart w:id="11" w:name="_Hlk107329799"/>
    </w:p>
    <w:p w14:paraId="74622A1B" w14:textId="77777777" w:rsidR="00EE294B" w:rsidRPr="00011D66" w:rsidRDefault="00EE294B" w:rsidP="00011D66">
      <w:pPr>
        <w:spacing w:line="276" w:lineRule="auto"/>
        <w:ind w:firstLine="567"/>
        <w:contextualSpacing/>
        <w:jc w:val="both"/>
        <w:rPr>
          <w:rFonts w:asciiTheme="majorBidi" w:hAnsiTheme="majorBidi" w:cstheme="majorBidi"/>
        </w:rPr>
      </w:pPr>
    </w:p>
    <w:bookmarkEnd w:id="11"/>
    <w:p w14:paraId="44109405" w14:textId="09A5D4DA" w:rsidR="00621B4B" w:rsidRDefault="00621B4B" w:rsidP="00011D66">
      <w:pPr>
        <w:tabs>
          <w:tab w:val="left" w:pos="2700"/>
          <w:tab w:val="left" w:pos="6660"/>
        </w:tabs>
        <w:spacing w:line="276" w:lineRule="auto"/>
        <w:ind w:firstLine="567"/>
        <w:rPr>
          <w:rFonts w:asciiTheme="majorBidi" w:hAnsiTheme="majorBidi" w:cstheme="majorBidi"/>
        </w:rPr>
      </w:pPr>
    </w:p>
    <w:p w14:paraId="1FD44B9E" w14:textId="77777777" w:rsidR="006522B7" w:rsidRDefault="006522B7" w:rsidP="00011D66">
      <w:pPr>
        <w:tabs>
          <w:tab w:val="left" w:pos="2700"/>
          <w:tab w:val="left" w:pos="6660"/>
        </w:tabs>
        <w:spacing w:line="276" w:lineRule="auto"/>
        <w:ind w:firstLine="567"/>
        <w:rPr>
          <w:rFonts w:asciiTheme="majorBidi" w:hAnsiTheme="majorBidi" w:cstheme="majorBidi"/>
        </w:rPr>
      </w:pPr>
    </w:p>
    <w:p w14:paraId="3CDB75F5" w14:textId="77777777" w:rsidR="006522B7" w:rsidRPr="002F4A16" w:rsidRDefault="006522B7" w:rsidP="006522B7">
      <w:pPr>
        <w:spacing w:line="276" w:lineRule="auto"/>
        <w:jc w:val="both"/>
        <w:rPr>
          <w:rFonts w:eastAsiaTheme="minorEastAsia"/>
          <w:sz w:val="6"/>
          <w:szCs w:val="6"/>
          <w:lang w:eastAsia="en-US"/>
        </w:rPr>
      </w:pPr>
    </w:p>
    <w:p w14:paraId="0CEC77F4" w14:textId="77777777" w:rsidR="006522B7" w:rsidRPr="005A54E6" w:rsidRDefault="006522B7" w:rsidP="00011D66">
      <w:pPr>
        <w:tabs>
          <w:tab w:val="left" w:pos="2700"/>
          <w:tab w:val="left" w:pos="6660"/>
        </w:tabs>
        <w:spacing w:line="276" w:lineRule="auto"/>
        <w:ind w:firstLine="567"/>
        <w:rPr>
          <w:rFonts w:asciiTheme="majorBidi" w:hAnsiTheme="majorBidi" w:cstheme="majorBidi"/>
          <w:sz w:val="2"/>
          <w:szCs w:val="2"/>
        </w:rPr>
      </w:pPr>
    </w:p>
    <w:sectPr w:rsidR="006522B7" w:rsidRPr="005A54E6" w:rsidSect="009F3C70">
      <w:footerReference w:type="default" r:id="rId28"/>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BC461" w14:textId="77777777" w:rsidR="00502A3C" w:rsidRDefault="00502A3C" w:rsidP="006C4394">
      <w:r>
        <w:separator/>
      </w:r>
    </w:p>
  </w:endnote>
  <w:endnote w:type="continuationSeparator" w:id="0">
    <w:p w14:paraId="7F0A8DE0" w14:textId="77777777" w:rsidR="00502A3C" w:rsidRDefault="00502A3C" w:rsidP="006C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B13B6" w14:textId="57833757" w:rsidR="006C4394" w:rsidRPr="00FD6155" w:rsidRDefault="006C4394" w:rsidP="006C4394">
    <w:pPr>
      <w:pStyle w:val="Footer"/>
      <w:jc w:val="center"/>
      <w:rPr>
        <w:sz w:val="20"/>
        <w:szCs w:val="20"/>
      </w:rPr>
    </w:pPr>
    <w:r w:rsidRPr="00FD6155">
      <w:rPr>
        <w:bCs/>
        <w:sz w:val="20"/>
        <w:szCs w:val="20"/>
      </w:rPr>
      <w:fldChar w:fldCharType="begin"/>
    </w:r>
    <w:r w:rsidRPr="00FD6155">
      <w:rPr>
        <w:bCs/>
        <w:sz w:val="20"/>
        <w:szCs w:val="20"/>
      </w:rPr>
      <w:instrText xml:space="preserve"> PAGE </w:instrText>
    </w:r>
    <w:r w:rsidRPr="00FD6155">
      <w:rPr>
        <w:bCs/>
        <w:sz w:val="20"/>
        <w:szCs w:val="20"/>
      </w:rPr>
      <w:fldChar w:fldCharType="separate"/>
    </w:r>
    <w:r w:rsidRPr="00FD6155">
      <w:rPr>
        <w:bCs/>
        <w:sz w:val="20"/>
        <w:szCs w:val="20"/>
      </w:rPr>
      <w:t>1</w:t>
    </w:r>
    <w:r w:rsidRPr="00FD6155">
      <w:rPr>
        <w:bCs/>
        <w:sz w:val="20"/>
        <w:szCs w:val="20"/>
      </w:rPr>
      <w:fldChar w:fldCharType="end"/>
    </w:r>
    <w:r w:rsidRPr="00FD6155">
      <w:rPr>
        <w:sz w:val="20"/>
        <w:szCs w:val="20"/>
      </w:rPr>
      <w:t xml:space="preserve"> no </w:t>
    </w:r>
    <w:r w:rsidRPr="00FD6155">
      <w:rPr>
        <w:bCs/>
        <w:sz w:val="20"/>
        <w:szCs w:val="20"/>
      </w:rPr>
      <w:fldChar w:fldCharType="begin"/>
    </w:r>
    <w:r w:rsidRPr="00FD6155">
      <w:rPr>
        <w:bCs/>
        <w:sz w:val="20"/>
        <w:szCs w:val="20"/>
      </w:rPr>
      <w:instrText xml:space="preserve"> NUMPAGES  </w:instrText>
    </w:r>
    <w:r w:rsidRPr="00FD6155">
      <w:rPr>
        <w:bCs/>
        <w:sz w:val="20"/>
        <w:szCs w:val="20"/>
      </w:rPr>
      <w:fldChar w:fldCharType="separate"/>
    </w:r>
    <w:r w:rsidRPr="00FD6155">
      <w:rPr>
        <w:bCs/>
        <w:sz w:val="20"/>
        <w:szCs w:val="20"/>
      </w:rPr>
      <w:t>3</w:t>
    </w:r>
    <w:r w:rsidRPr="00FD6155">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FBD53" w14:textId="77777777" w:rsidR="00502A3C" w:rsidRDefault="00502A3C" w:rsidP="006C4394">
      <w:r>
        <w:separator/>
      </w:r>
    </w:p>
  </w:footnote>
  <w:footnote w:type="continuationSeparator" w:id="0">
    <w:p w14:paraId="3C5F84A2" w14:textId="77777777" w:rsidR="00502A3C" w:rsidRDefault="00502A3C" w:rsidP="006C4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FFFFFFFF"/>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1E781F0D"/>
    <w:multiLevelType w:val="multilevel"/>
    <w:tmpl w:val="BABA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F60CF"/>
    <w:multiLevelType w:val="hybridMultilevel"/>
    <w:tmpl w:val="C1009ADA"/>
    <w:lvl w:ilvl="0" w:tplc="2CB221B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636303140">
    <w:abstractNumId w:val="0"/>
  </w:num>
  <w:num w:numId="2" w16cid:durableId="639188930">
    <w:abstractNumId w:val="1"/>
  </w:num>
  <w:num w:numId="3" w16cid:durableId="500851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49"/>
    <w:rsid w:val="00004887"/>
    <w:rsid w:val="00006545"/>
    <w:rsid w:val="00011D66"/>
    <w:rsid w:val="0001387A"/>
    <w:rsid w:val="00016CBA"/>
    <w:rsid w:val="00020755"/>
    <w:rsid w:val="000228B9"/>
    <w:rsid w:val="00024EAC"/>
    <w:rsid w:val="00031887"/>
    <w:rsid w:val="00034092"/>
    <w:rsid w:val="00034B0B"/>
    <w:rsid w:val="00050973"/>
    <w:rsid w:val="000517AC"/>
    <w:rsid w:val="000551DC"/>
    <w:rsid w:val="0007135E"/>
    <w:rsid w:val="00076DDA"/>
    <w:rsid w:val="00080E5F"/>
    <w:rsid w:val="0008677B"/>
    <w:rsid w:val="00087531"/>
    <w:rsid w:val="000A6A30"/>
    <w:rsid w:val="000B111D"/>
    <w:rsid w:val="000B77FD"/>
    <w:rsid w:val="000C19AF"/>
    <w:rsid w:val="000C5187"/>
    <w:rsid w:val="000C5292"/>
    <w:rsid w:val="000E4B46"/>
    <w:rsid w:val="000F00FC"/>
    <w:rsid w:val="000F5FD3"/>
    <w:rsid w:val="000F6058"/>
    <w:rsid w:val="000F6B50"/>
    <w:rsid w:val="00104459"/>
    <w:rsid w:val="00105554"/>
    <w:rsid w:val="0010691F"/>
    <w:rsid w:val="00107BEE"/>
    <w:rsid w:val="0011194B"/>
    <w:rsid w:val="00113B6A"/>
    <w:rsid w:val="00113CB7"/>
    <w:rsid w:val="001147BF"/>
    <w:rsid w:val="00116036"/>
    <w:rsid w:val="0012586F"/>
    <w:rsid w:val="0013526A"/>
    <w:rsid w:val="001430E6"/>
    <w:rsid w:val="00144406"/>
    <w:rsid w:val="0014776E"/>
    <w:rsid w:val="00153CA2"/>
    <w:rsid w:val="00154975"/>
    <w:rsid w:val="001608D9"/>
    <w:rsid w:val="00165B84"/>
    <w:rsid w:val="001709DC"/>
    <w:rsid w:val="00172EB1"/>
    <w:rsid w:val="00181BDF"/>
    <w:rsid w:val="00182598"/>
    <w:rsid w:val="00183D4B"/>
    <w:rsid w:val="00185511"/>
    <w:rsid w:val="00187E48"/>
    <w:rsid w:val="00191270"/>
    <w:rsid w:val="0019129B"/>
    <w:rsid w:val="001948AD"/>
    <w:rsid w:val="001970F7"/>
    <w:rsid w:val="00197FFE"/>
    <w:rsid w:val="001A120A"/>
    <w:rsid w:val="001B5308"/>
    <w:rsid w:val="001B6C7A"/>
    <w:rsid w:val="001C5008"/>
    <w:rsid w:val="001C7881"/>
    <w:rsid w:val="001D2560"/>
    <w:rsid w:val="001D402E"/>
    <w:rsid w:val="001D4A10"/>
    <w:rsid w:val="001E567C"/>
    <w:rsid w:val="001F0016"/>
    <w:rsid w:val="001F47F7"/>
    <w:rsid w:val="002004F3"/>
    <w:rsid w:val="00202FFA"/>
    <w:rsid w:val="00217791"/>
    <w:rsid w:val="00240CB3"/>
    <w:rsid w:val="0024409D"/>
    <w:rsid w:val="00271EFC"/>
    <w:rsid w:val="00272C72"/>
    <w:rsid w:val="002743F0"/>
    <w:rsid w:val="00286B74"/>
    <w:rsid w:val="002878A0"/>
    <w:rsid w:val="00291E1D"/>
    <w:rsid w:val="00291FF9"/>
    <w:rsid w:val="00294C9A"/>
    <w:rsid w:val="002A0D50"/>
    <w:rsid w:val="002A1B71"/>
    <w:rsid w:val="002B2B8D"/>
    <w:rsid w:val="002B6132"/>
    <w:rsid w:val="002B6AE8"/>
    <w:rsid w:val="002C27F0"/>
    <w:rsid w:val="002C2B29"/>
    <w:rsid w:val="002C5D2F"/>
    <w:rsid w:val="002D2EE5"/>
    <w:rsid w:val="002D54DC"/>
    <w:rsid w:val="002E47BE"/>
    <w:rsid w:val="002F03E3"/>
    <w:rsid w:val="002F0BBF"/>
    <w:rsid w:val="002F0FE9"/>
    <w:rsid w:val="002F7C53"/>
    <w:rsid w:val="0030243A"/>
    <w:rsid w:val="0031043E"/>
    <w:rsid w:val="00310CA8"/>
    <w:rsid w:val="00310FA6"/>
    <w:rsid w:val="003138F7"/>
    <w:rsid w:val="003154CB"/>
    <w:rsid w:val="003179DB"/>
    <w:rsid w:val="00322267"/>
    <w:rsid w:val="00322791"/>
    <w:rsid w:val="0033319F"/>
    <w:rsid w:val="00334ED3"/>
    <w:rsid w:val="0034612F"/>
    <w:rsid w:val="00347039"/>
    <w:rsid w:val="00347A2D"/>
    <w:rsid w:val="00347A8F"/>
    <w:rsid w:val="00352A69"/>
    <w:rsid w:val="00354CC7"/>
    <w:rsid w:val="00360AAA"/>
    <w:rsid w:val="0037011F"/>
    <w:rsid w:val="003709EA"/>
    <w:rsid w:val="00370E3A"/>
    <w:rsid w:val="0037176A"/>
    <w:rsid w:val="0037335E"/>
    <w:rsid w:val="00373FA3"/>
    <w:rsid w:val="00374299"/>
    <w:rsid w:val="0037505E"/>
    <w:rsid w:val="00377780"/>
    <w:rsid w:val="00383F72"/>
    <w:rsid w:val="00384D2B"/>
    <w:rsid w:val="00386306"/>
    <w:rsid w:val="00387D37"/>
    <w:rsid w:val="003917A4"/>
    <w:rsid w:val="00394A14"/>
    <w:rsid w:val="003A37FC"/>
    <w:rsid w:val="003A3D4D"/>
    <w:rsid w:val="003A6289"/>
    <w:rsid w:val="003A6EF0"/>
    <w:rsid w:val="003C1194"/>
    <w:rsid w:val="003C3CF8"/>
    <w:rsid w:val="003D5521"/>
    <w:rsid w:val="003E1064"/>
    <w:rsid w:val="003E5982"/>
    <w:rsid w:val="003E7807"/>
    <w:rsid w:val="003F0F9F"/>
    <w:rsid w:val="003F28BC"/>
    <w:rsid w:val="003F2CA0"/>
    <w:rsid w:val="003F43D3"/>
    <w:rsid w:val="003F4A42"/>
    <w:rsid w:val="004014AB"/>
    <w:rsid w:val="0040546F"/>
    <w:rsid w:val="004077C7"/>
    <w:rsid w:val="00410FB4"/>
    <w:rsid w:val="0042023C"/>
    <w:rsid w:val="00425279"/>
    <w:rsid w:val="00430625"/>
    <w:rsid w:val="004363F0"/>
    <w:rsid w:val="00442774"/>
    <w:rsid w:val="00462397"/>
    <w:rsid w:val="00475D54"/>
    <w:rsid w:val="00476F77"/>
    <w:rsid w:val="00481EF3"/>
    <w:rsid w:val="00482B13"/>
    <w:rsid w:val="004878B6"/>
    <w:rsid w:val="0049076F"/>
    <w:rsid w:val="00493DC1"/>
    <w:rsid w:val="004A5F78"/>
    <w:rsid w:val="004B676F"/>
    <w:rsid w:val="004C1755"/>
    <w:rsid w:val="004C3CFA"/>
    <w:rsid w:val="004D3D7D"/>
    <w:rsid w:val="004D4572"/>
    <w:rsid w:val="004D5C5E"/>
    <w:rsid w:val="004D670C"/>
    <w:rsid w:val="004F2A57"/>
    <w:rsid w:val="004F2B16"/>
    <w:rsid w:val="004F6B35"/>
    <w:rsid w:val="004F6B43"/>
    <w:rsid w:val="004F7D6E"/>
    <w:rsid w:val="00502A3C"/>
    <w:rsid w:val="0050302E"/>
    <w:rsid w:val="005143A7"/>
    <w:rsid w:val="00521807"/>
    <w:rsid w:val="00524AFF"/>
    <w:rsid w:val="00525910"/>
    <w:rsid w:val="00544ADF"/>
    <w:rsid w:val="005466B1"/>
    <w:rsid w:val="00547096"/>
    <w:rsid w:val="00561E55"/>
    <w:rsid w:val="00563A1F"/>
    <w:rsid w:val="00573CC5"/>
    <w:rsid w:val="00577708"/>
    <w:rsid w:val="0058278D"/>
    <w:rsid w:val="00585973"/>
    <w:rsid w:val="00591BF7"/>
    <w:rsid w:val="005968D3"/>
    <w:rsid w:val="005A45B3"/>
    <w:rsid w:val="005A54E6"/>
    <w:rsid w:val="005B0921"/>
    <w:rsid w:val="005B72B5"/>
    <w:rsid w:val="005C20B7"/>
    <w:rsid w:val="005C46E8"/>
    <w:rsid w:val="005C4C58"/>
    <w:rsid w:val="005D098F"/>
    <w:rsid w:val="005D2DFD"/>
    <w:rsid w:val="005D32C8"/>
    <w:rsid w:val="005E004A"/>
    <w:rsid w:val="005E322D"/>
    <w:rsid w:val="005F37B8"/>
    <w:rsid w:val="005F73F4"/>
    <w:rsid w:val="005F760B"/>
    <w:rsid w:val="00602AB4"/>
    <w:rsid w:val="00621B4B"/>
    <w:rsid w:val="00622AE4"/>
    <w:rsid w:val="00626C92"/>
    <w:rsid w:val="00627887"/>
    <w:rsid w:val="00634ED8"/>
    <w:rsid w:val="006453D6"/>
    <w:rsid w:val="00646A1F"/>
    <w:rsid w:val="00647150"/>
    <w:rsid w:val="006522B7"/>
    <w:rsid w:val="006540C3"/>
    <w:rsid w:val="00657A50"/>
    <w:rsid w:val="00662842"/>
    <w:rsid w:val="00672A33"/>
    <w:rsid w:val="00676F90"/>
    <w:rsid w:val="00685DC5"/>
    <w:rsid w:val="00690430"/>
    <w:rsid w:val="0069271A"/>
    <w:rsid w:val="006A36E3"/>
    <w:rsid w:val="006A6F71"/>
    <w:rsid w:val="006B4FC6"/>
    <w:rsid w:val="006C4394"/>
    <w:rsid w:val="006C5475"/>
    <w:rsid w:val="006C5D0C"/>
    <w:rsid w:val="006C7AF6"/>
    <w:rsid w:val="006D44D3"/>
    <w:rsid w:val="006D5BA1"/>
    <w:rsid w:val="006D7C17"/>
    <w:rsid w:val="006E3BEC"/>
    <w:rsid w:val="006F1CB0"/>
    <w:rsid w:val="006F3120"/>
    <w:rsid w:val="006F3BE7"/>
    <w:rsid w:val="006F4554"/>
    <w:rsid w:val="00712110"/>
    <w:rsid w:val="00712E48"/>
    <w:rsid w:val="007155D5"/>
    <w:rsid w:val="007323F8"/>
    <w:rsid w:val="00735E96"/>
    <w:rsid w:val="00736998"/>
    <w:rsid w:val="0074158F"/>
    <w:rsid w:val="00743F7D"/>
    <w:rsid w:val="0075212E"/>
    <w:rsid w:val="00755E63"/>
    <w:rsid w:val="00757365"/>
    <w:rsid w:val="00760ED0"/>
    <w:rsid w:val="007614A1"/>
    <w:rsid w:val="0077098F"/>
    <w:rsid w:val="00771F21"/>
    <w:rsid w:val="007747FD"/>
    <w:rsid w:val="00774F77"/>
    <w:rsid w:val="007857F6"/>
    <w:rsid w:val="00790EDF"/>
    <w:rsid w:val="007A2AB2"/>
    <w:rsid w:val="007A2B58"/>
    <w:rsid w:val="007A301A"/>
    <w:rsid w:val="007B7DB0"/>
    <w:rsid w:val="007C50DE"/>
    <w:rsid w:val="007D176A"/>
    <w:rsid w:val="007D54CF"/>
    <w:rsid w:val="007E165F"/>
    <w:rsid w:val="007E5E82"/>
    <w:rsid w:val="007F27D8"/>
    <w:rsid w:val="007F3A4B"/>
    <w:rsid w:val="007F7AAB"/>
    <w:rsid w:val="00801AFC"/>
    <w:rsid w:val="008100F6"/>
    <w:rsid w:val="0081450D"/>
    <w:rsid w:val="00823EDA"/>
    <w:rsid w:val="00824567"/>
    <w:rsid w:val="00825D49"/>
    <w:rsid w:val="00825D52"/>
    <w:rsid w:val="0083024A"/>
    <w:rsid w:val="008342B5"/>
    <w:rsid w:val="00843857"/>
    <w:rsid w:val="00847B8E"/>
    <w:rsid w:val="00847CAB"/>
    <w:rsid w:val="00860795"/>
    <w:rsid w:val="008668AC"/>
    <w:rsid w:val="008729B5"/>
    <w:rsid w:val="008804F9"/>
    <w:rsid w:val="00886B6E"/>
    <w:rsid w:val="00890D05"/>
    <w:rsid w:val="008953AF"/>
    <w:rsid w:val="008A020E"/>
    <w:rsid w:val="008A3BFE"/>
    <w:rsid w:val="008C0EFC"/>
    <w:rsid w:val="008C4893"/>
    <w:rsid w:val="008C7110"/>
    <w:rsid w:val="008D1551"/>
    <w:rsid w:val="008E2FD7"/>
    <w:rsid w:val="008E312A"/>
    <w:rsid w:val="008F703A"/>
    <w:rsid w:val="00902258"/>
    <w:rsid w:val="00905111"/>
    <w:rsid w:val="00905F60"/>
    <w:rsid w:val="00906EA4"/>
    <w:rsid w:val="0091261E"/>
    <w:rsid w:val="0091427F"/>
    <w:rsid w:val="00917927"/>
    <w:rsid w:val="00922B6E"/>
    <w:rsid w:val="00925D23"/>
    <w:rsid w:val="00926F9B"/>
    <w:rsid w:val="009273AB"/>
    <w:rsid w:val="00936105"/>
    <w:rsid w:val="0093744A"/>
    <w:rsid w:val="00944506"/>
    <w:rsid w:val="009527BF"/>
    <w:rsid w:val="009550D1"/>
    <w:rsid w:val="00961A03"/>
    <w:rsid w:val="0096770D"/>
    <w:rsid w:val="00976681"/>
    <w:rsid w:val="00983A5D"/>
    <w:rsid w:val="00987F1A"/>
    <w:rsid w:val="00991FA6"/>
    <w:rsid w:val="00993DEC"/>
    <w:rsid w:val="009978A5"/>
    <w:rsid w:val="009A100E"/>
    <w:rsid w:val="009A1C48"/>
    <w:rsid w:val="009A2826"/>
    <w:rsid w:val="009A72A2"/>
    <w:rsid w:val="009B19B1"/>
    <w:rsid w:val="009C2BCE"/>
    <w:rsid w:val="009C6E78"/>
    <w:rsid w:val="009D48B1"/>
    <w:rsid w:val="009D7AC6"/>
    <w:rsid w:val="009F0776"/>
    <w:rsid w:val="009F1330"/>
    <w:rsid w:val="009F3C70"/>
    <w:rsid w:val="00A01105"/>
    <w:rsid w:val="00A049F4"/>
    <w:rsid w:val="00A12A14"/>
    <w:rsid w:val="00A22307"/>
    <w:rsid w:val="00A2404C"/>
    <w:rsid w:val="00A249A3"/>
    <w:rsid w:val="00A249D0"/>
    <w:rsid w:val="00A24A21"/>
    <w:rsid w:val="00A26D24"/>
    <w:rsid w:val="00A31630"/>
    <w:rsid w:val="00A316EE"/>
    <w:rsid w:val="00A36445"/>
    <w:rsid w:val="00A45241"/>
    <w:rsid w:val="00A551C4"/>
    <w:rsid w:val="00A5622B"/>
    <w:rsid w:val="00A72463"/>
    <w:rsid w:val="00A72ED8"/>
    <w:rsid w:val="00A74D9A"/>
    <w:rsid w:val="00A80059"/>
    <w:rsid w:val="00A86E55"/>
    <w:rsid w:val="00A91B29"/>
    <w:rsid w:val="00A93D0A"/>
    <w:rsid w:val="00AA3C98"/>
    <w:rsid w:val="00AA59BC"/>
    <w:rsid w:val="00AB26EE"/>
    <w:rsid w:val="00AB2930"/>
    <w:rsid w:val="00AB6DC6"/>
    <w:rsid w:val="00AC0001"/>
    <w:rsid w:val="00AC0809"/>
    <w:rsid w:val="00AC58D4"/>
    <w:rsid w:val="00AD6AE3"/>
    <w:rsid w:val="00AE0D6E"/>
    <w:rsid w:val="00AE50AA"/>
    <w:rsid w:val="00AE58D0"/>
    <w:rsid w:val="00AE7091"/>
    <w:rsid w:val="00AE7CDD"/>
    <w:rsid w:val="00AF0276"/>
    <w:rsid w:val="00AF6E64"/>
    <w:rsid w:val="00AF71D4"/>
    <w:rsid w:val="00B0562A"/>
    <w:rsid w:val="00B101FD"/>
    <w:rsid w:val="00B105D2"/>
    <w:rsid w:val="00B14D4C"/>
    <w:rsid w:val="00B15C44"/>
    <w:rsid w:val="00B36D98"/>
    <w:rsid w:val="00B4068B"/>
    <w:rsid w:val="00B4734D"/>
    <w:rsid w:val="00B61CC1"/>
    <w:rsid w:val="00B739D8"/>
    <w:rsid w:val="00B73FAD"/>
    <w:rsid w:val="00B9157F"/>
    <w:rsid w:val="00B956F0"/>
    <w:rsid w:val="00B97A8C"/>
    <w:rsid w:val="00BB001F"/>
    <w:rsid w:val="00BB1068"/>
    <w:rsid w:val="00BC0867"/>
    <w:rsid w:val="00BC1F83"/>
    <w:rsid w:val="00BC2291"/>
    <w:rsid w:val="00BC4032"/>
    <w:rsid w:val="00BC4514"/>
    <w:rsid w:val="00BC5CF2"/>
    <w:rsid w:val="00BD1151"/>
    <w:rsid w:val="00BD3ABA"/>
    <w:rsid w:val="00BD5E3A"/>
    <w:rsid w:val="00BE571F"/>
    <w:rsid w:val="00BE5FC4"/>
    <w:rsid w:val="00BE7900"/>
    <w:rsid w:val="00BF3A9C"/>
    <w:rsid w:val="00C04B3B"/>
    <w:rsid w:val="00C07B11"/>
    <w:rsid w:val="00C25AB5"/>
    <w:rsid w:val="00C3732B"/>
    <w:rsid w:val="00C40619"/>
    <w:rsid w:val="00C4207F"/>
    <w:rsid w:val="00C540C2"/>
    <w:rsid w:val="00C718DB"/>
    <w:rsid w:val="00C72E6E"/>
    <w:rsid w:val="00C80D24"/>
    <w:rsid w:val="00C826B0"/>
    <w:rsid w:val="00C85D9F"/>
    <w:rsid w:val="00C922F7"/>
    <w:rsid w:val="00C9355F"/>
    <w:rsid w:val="00C97736"/>
    <w:rsid w:val="00CA5995"/>
    <w:rsid w:val="00CA770B"/>
    <w:rsid w:val="00CB1B3E"/>
    <w:rsid w:val="00CB7DA8"/>
    <w:rsid w:val="00CC3E18"/>
    <w:rsid w:val="00CD31DF"/>
    <w:rsid w:val="00CE7843"/>
    <w:rsid w:val="00CF04E8"/>
    <w:rsid w:val="00CF3231"/>
    <w:rsid w:val="00D07505"/>
    <w:rsid w:val="00D0780C"/>
    <w:rsid w:val="00D07F20"/>
    <w:rsid w:val="00D14C13"/>
    <w:rsid w:val="00D240E9"/>
    <w:rsid w:val="00D3524D"/>
    <w:rsid w:val="00D37C57"/>
    <w:rsid w:val="00D431BC"/>
    <w:rsid w:val="00D554F8"/>
    <w:rsid w:val="00D63349"/>
    <w:rsid w:val="00D63CB6"/>
    <w:rsid w:val="00D640EE"/>
    <w:rsid w:val="00D64B41"/>
    <w:rsid w:val="00D67577"/>
    <w:rsid w:val="00D72AAD"/>
    <w:rsid w:val="00D74178"/>
    <w:rsid w:val="00D823BA"/>
    <w:rsid w:val="00D829B2"/>
    <w:rsid w:val="00D96043"/>
    <w:rsid w:val="00D9670F"/>
    <w:rsid w:val="00D96F96"/>
    <w:rsid w:val="00DA16B3"/>
    <w:rsid w:val="00DA5197"/>
    <w:rsid w:val="00DB4332"/>
    <w:rsid w:val="00DB6E3F"/>
    <w:rsid w:val="00DD04DA"/>
    <w:rsid w:val="00DD0F63"/>
    <w:rsid w:val="00DD41CD"/>
    <w:rsid w:val="00DD63D8"/>
    <w:rsid w:val="00DE031E"/>
    <w:rsid w:val="00DE168F"/>
    <w:rsid w:val="00DE1EE0"/>
    <w:rsid w:val="00DF156A"/>
    <w:rsid w:val="00DF55F6"/>
    <w:rsid w:val="00E151D1"/>
    <w:rsid w:val="00E177AD"/>
    <w:rsid w:val="00E2084C"/>
    <w:rsid w:val="00E232ED"/>
    <w:rsid w:val="00E3042D"/>
    <w:rsid w:val="00E325F4"/>
    <w:rsid w:val="00E45EDE"/>
    <w:rsid w:val="00E4730A"/>
    <w:rsid w:val="00E5053D"/>
    <w:rsid w:val="00E550CC"/>
    <w:rsid w:val="00E671C9"/>
    <w:rsid w:val="00E67B17"/>
    <w:rsid w:val="00E76D44"/>
    <w:rsid w:val="00E8073E"/>
    <w:rsid w:val="00E844F4"/>
    <w:rsid w:val="00EA3394"/>
    <w:rsid w:val="00EA672E"/>
    <w:rsid w:val="00EB0CDB"/>
    <w:rsid w:val="00EB53D6"/>
    <w:rsid w:val="00EB554D"/>
    <w:rsid w:val="00EB5CF6"/>
    <w:rsid w:val="00EB663E"/>
    <w:rsid w:val="00EB6AB5"/>
    <w:rsid w:val="00EC481F"/>
    <w:rsid w:val="00EC6AE6"/>
    <w:rsid w:val="00ED1290"/>
    <w:rsid w:val="00ED2E0E"/>
    <w:rsid w:val="00ED2FEE"/>
    <w:rsid w:val="00ED69E0"/>
    <w:rsid w:val="00EE08AD"/>
    <w:rsid w:val="00EE1750"/>
    <w:rsid w:val="00EE294B"/>
    <w:rsid w:val="00EE3D96"/>
    <w:rsid w:val="00EF4A4C"/>
    <w:rsid w:val="00F040AB"/>
    <w:rsid w:val="00F05EAF"/>
    <w:rsid w:val="00F0719C"/>
    <w:rsid w:val="00F07D04"/>
    <w:rsid w:val="00F07D6C"/>
    <w:rsid w:val="00F11C96"/>
    <w:rsid w:val="00F138A2"/>
    <w:rsid w:val="00F14A59"/>
    <w:rsid w:val="00F15638"/>
    <w:rsid w:val="00F254F2"/>
    <w:rsid w:val="00F3221B"/>
    <w:rsid w:val="00F348BA"/>
    <w:rsid w:val="00F405D3"/>
    <w:rsid w:val="00F40B1C"/>
    <w:rsid w:val="00F43F80"/>
    <w:rsid w:val="00F46CC2"/>
    <w:rsid w:val="00F53576"/>
    <w:rsid w:val="00F53893"/>
    <w:rsid w:val="00F5437A"/>
    <w:rsid w:val="00F557F8"/>
    <w:rsid w:val="00F630FE"/>
    <w:rsid w:val="00F72429"/>
    <w:rsid w:val="00F74A2E"/>
    <w:rsid w:val="00F750F5"/>
    <w:rsid w:val="00F7640E"/>
    <w:rsid w:val="00F82B65"/>
    <w:rsid w:val="00F92B6A"/>
    <w:rsid w:val="00F94C0C"/>
    <w:rsid w:val="00FB4766"/>
    <w:rsid w:val="00FB762C"/>
    <w:rsid w:val="00FC0CEB"/>
    <w:rsid w:val="00FC0DDF"/>
    <w:rsid w:val="00FC1510"/>
    <w:rsid w:val="00FC527A"/>
    <w:rsid w:val="00FD3CD1"/>
    <w:rsid w:val="00FD4A14"/>
    <w:rsid w:val="00FD6155"/>
    <w:rsid w:val="00FE2CCE"/>
    <w:rsid w:val="00FE6A53"/>
    <w:rsid w:val="00FF7A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5D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4B"/>
    <w:pPr>
      <w:spacing w:after="0" w:line="240" w:lineRule="auto"/>
    </w:pPr>
    <w:rPr>
      <w:rFonts w:eastAsia="Times New Roman" w:cs="Times New Roman"/>
      <w:szCs w:val="24"/>
      <w:lang w:val="lv-LV" w:eastAsia="ru-RU"/>
    </w:rPr>
  </w:style>
  <w:style w:type="paragraph" w:styleId="Heading3">
    <w:name w:val="heading 3"/>
    <w:basedOn w:val="Normal"/>
    <w:next w:val="Normal"/>
    <w:link w:val="Heading3Char"/>
    <w:uiPriority w:val="9"/>
    <w:semiHidden/>
    <w:unhideWhenUsed/>
    <w:qFormat/>
    <w:rsid w:val="00AB29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E312A"/>
    <w:pPr>
      <w:spacing w:after="120" w:line="480" w:lineRule="auto"/>
    </w:pPr>
    <w:rPr>
      <w:lang w:val="x-none"/>
    </w:rPr>
  </w:style>
  <w:style w:type="character" w:customStyle="1" w:styleId="BodyText2Char">
    <w:name w:val="Body Text 2 Char"/>
    <w:basedOn w:val="DefaultParagraphFont"/>
    <w:link w:val="BodyText2"/>
    <w:rsid w:val="008E312A"/>
    <w:rPr>
      <w:rFonts w:eastAsia="Times New Roman" w:cs="Times New Roman"/>
      <w:szCs w:val="24"/>
      <w:lang w:val="x-none" w:eastAsia="ru-RU"/>
    </w:rPr>
  </w:style>
  <w:style w:type="paragraph" w:customStyle="1" w:styleId="ATpamatteksts">
    <w:name w:val="AT pamatteksts"/>
    <w:basedOn w:val="BodyText2"/>
    <w:link w:val="ATpamattekstsChar"/>
    <w:qFormat/>
    <w:rsid w:val="008E312A"/>
    <w:pPr>
      <w:spacing w:after="0" w:line="276" w:lineRule="auto"/>
      <w:ind w:firstLine="567"/>
      <w:jc w:val="both"/>
    </w:pPr>
  </w:style>
  <w:style w:type="character" w:customStyle="1" w:styleId="ATpamattekstsChar">
    <w:name w:val="AT pamatteksts Char"/>
    <w:basedOn w:val="BodyText2Char"/>
    <w:link w:val="ATpamatteksts"/>
    <w:rsid w:val="008E312A"/>
    <w:rPr>
      <w:rFonts w:eastAsia="Times New Roman" w:cs="Times New Roman"/>
      <w:szCs w:val="24"/>
      <w:lang w:val="x-none" w:eastAsia="ru-RU"/>
    </w:rPr>
  </w:style>
  <w:style w:type="paragraph" w:styleId="NoSpacing">
    <w:name w:val="No Spacing"/>
    <w:uiPriority w:val="1"/>
    <w:qFormat/>
    <w:rsid w:val="008E312A"/>
    <w:pPr>
      <w:spacing w:after="0" w:line="240" w:lineRule="auto"/>
    </w:pPr>
  </w:style>
  <w:style w:type="character" w:styleId="PageNumber">
    <w:name w:val="page number"/>
    <w:basedOn w:val="DefaultParagraphFont"/>
    <w:rsid w:val="008E312A"/>
  </w:style>
  <w:style w:type="paragraph" w:styleId="Header">
    <w:name w:val="header"/>
    <w:basedOn w:val="Normal"/>
    <w:link w:val="HeaderChar"/>
    <w:uiPriority w:val="99"/>
    <w:unhideWhenUsed/>
    <w:rsid w:val="006C4394"/>
    <w:pPr>
      <w:tabs>
        <w:tab w:val="center" w:pos="4680"/>
        <w:tab w:val="right" w:pos="9360"/>
      </w:tabs>
    </w:pPr>
  </w:style>
  <w:style w:type="character" w:customStyle="1" w:styleId="HeaderChar">
    <w:name w:val="Header Char"/>
    <w:basedOn w:val="DefaultParagraphFont"/>
    <w:link w:val="Header"/>
    <w:uiPriority w:val="99"/>
    <w:rsid w:val="006C4394"/>
    <w:rPr>
      <w:rFonts w:eastAsia="Times New Roman" w:cs="Times New Roman"/>
      <w:szCs w:val="24"/>
      <w:lang w:val="lv-LV" w:eastAsia="ru-RU"/>
    </w:rPr>
  </w:style>
  <w:style w:type="paragraph" w:styleId="Footer">
    <w:name w:val="footer"/>
    <w:basedOn w:val="Normal"/>
    <w:link w:val="FooterChar"/>
    <w:uiPriority w:val="99"/>
    <w:unhideWhenUsed/>
    <w:rsid w:val="006C4394"/>
    <w:pPr>
      <w:tabs>
        <w:tab w:val="center" w:pos="4680"/>
        <w:tab w:val="right" w:pos="9360"/>
      </w:tabs>
    </w:pPr>
  </w:style>
  <w:style w:type="character" w:customStyle="1" w:styleId="FooterChar">
    <w:name w:val="Footer Char"/>
    <w:basedOn w:val="DefaultParagraphFont"/>
    <w:link w:val="Footer"/>
    <w:uiPriority w:val="99"/>
    <w:rsid w:val="006C4394"/>
    <w:rPr>
      <w:rFonts w:eastAsia="Times New Roman" w:cs="Times New Roman"/>
      <w:szCs w:val="24"/>
      <w:lang w:val="lv-LV" w:eastAsia="ru-RU"/>
    </w:rPr>
  </w:style>
  <w:style w:type="table" w:styleId="TableGrid">
    <w:name w:val="Table Grid"/>
    <w:basedOn w:val="TableNormal"/>
    <w:uiPriority w:val="39"/>
    <w:rsid w:val="00011D66"/>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locked/>
    <w:rsid w:val="007F3A4B"/>
    <w:rPr>
      <w:rFonts w:cs="Times New Roman"/>
      <w:shd w:val="clear" w:color="auto" w:fill="FFFFFF"/>
    </w:rPr>
  </w:style>
  <w:style w:type="paragraph" w:customStyle="1" w:styleId="Bodytext21">
    <w:name w:val="Body text (2)"/>
    <w:basedOn w:val="Normal"/>
    <w:link w:val="Bodytext20"/>
    <w:uiPriority w:val="99"/>
    <w:rsid w:val="007F3A4B"/>
    <w:pPr>
      <w:widowControl w:val="0"/>
      <w:shd w:val="clear" w:color="auto" w:fill="FFFFFF"/>
      <w:spacing w:after="240" w:line="274" w:lineRule="exact"/>
      <w:jc w:val="right"/>
    </w:pPr>
    <w:rPr>
      <w:rFonts w:eastAsiaTheme="minorHAnsi"/>
      <w:szCs w:val="22"/>
      <w:lang w:val="en-US" w:eastAsia="en-US"/>
    </w:rPr>
  </w:style>
  <w:style w:type="character" w:styleId="Hyperlink">
    <w:name w:val="Hyperlink"/>
    <w:basedOn w:val="DefaultParagraphFont"/>
    <w:uiPriority w:val="99"/>
    <w:unhideWhenUsed/>
    <w:rsid w:val="005B72B5"/>
    <w:rPr>
      <w:color w:val="0563C1" w:themeColor="hyperlink"/>
      <w:u w:val="single"/>
    </w:rPr>
  </w:style>
  <w:style w:type="character" w:styleId="UnresolvedMention">
    <w:name w:val="Unresolved Mention"/>
    <w:basedOn w:val="DefaultParagraphFont"/>
    <w:uiPriority w:val="99"/>
    <w:semiHidden/>
    <w:unhideWhenUsed/>
    <w:rsid w:val="005B72B5"/>
    <w:rPr>
      <w:color w:val="605E5C"/>
      <w:shd w:val="clear" w:color="auto" w:fill="E1DFDD"/>
    </w:rPr>
  </w:style>
  <w:style w:type="character" w:customStyle="1" w:styleId="ATvirsrakstsChar">
    <w:name w:val="AT virsraksts Char"/>
    <w:basedOn w:val="DefaultParagraphFont"/>
    <w:link w:val="ATvirsraksts"/>
    <w:locked/>
    <w:rsid w:val="00C826B0"/>
    <w:rPr>
      <w:rFonts w:eastAsia="Times New Roman" w:cs="Times New Roman"/>
      <w:b/>
      <w:szCs w:val="24"/>
      <w:lang w:val="lv-LV" w:eastAsia="ru-RU"/>
    </w:rPr>
  </w:style>
  <w:style w:type="paragraph" w:customStyle="1" w:styleId="ATvirsraksts">
    <w:name w:val="AT virsraksts"/>
    <w:basedOn w:val="Normal"/>
    <w:link w:val="ATvirsrakstsChar"/>
    <w:qFormat/>
    <w:rsid w:val="00C826B0"/>
    <w:pPr>
      <w:spacing w:line="276" w:lineRule="auto"/>
      <w:jc w:val="center"/>
      <w:outlineLvl w:val="0"/>
    </w:pPr>
    <w:rPr>
      <w:b/>
    </w:rPr>
  </w:style>
  <w:style w:type="paragraph" w:customStyle="1" w:styleId="Default">
    <w:name w:val="Default"/>
    <w:rsid w:val="00771F21"/>
    <w:pPr>
      <w:autoSpaceDE w:val="0"/>
      <w:autoSpaceDN w:val="0"/>
      <w:adjustRightInd w:val="0"/>
      <w:spacing w:after="0" w:line="240" w:lineRule="auto"/>
    </w:pPr>
    <w:rPr>
      <w:rFonts w:cs="Times New Roman"/>
      <w:color w:val="000000"/>
      <w:szCs w:val="24"/>
      <w:lang w:val="lv-LV"/>
    </w:rPr>
  </w:style>
  <w:style w:type="character" w:styleId="CommentReference">
    <w:name w:val="annotation reference"/>
    <w:basedOn w:val="DefaultParagraphFont"/>
    <w:uiPriority w:val="99"/>
    <w:semiHidden/>
    <w:unhideWhenUsed/>
    <w:rsid w:val="005D098F"/>
    <w:rPr>
      <w:sz w:val="16"/>
      <w:szCs w:val="16"/>
    </w:rPr>
  </w:style>
  <w:style w:type="paragraph" w:styleId="CommentText">
    <w:name w:val="annotation text"/>
    <w:basedOn w:val="Normal"/>
    <w:link w:val="CommentTextChar"/>
    <w:uiPriority w:val="99"/>
    <w:semiHidden/>
    <w:unhideWhenUsed/>
    <w:rsid w:val="005D098F"/>
    <w:rPr>
      <w:sz w:val="20"/>
      <w:szCs w:val="20"/>
    </w:rPr>
  </w:style>
  <w:style w:type="character" w:customStyle="1" w:styleId="CommentTextChar">
    <w:name w:val="Comment Text Char"/>
    <w:basedOn w:val="DefaultParagraphFont"/>
    <w:link w:val="CommentText"/>
    <w:uiPriority w:val="99"/>
    <w:semiHidden/>
    <w:rsid w:val="005D098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D098F"/>
    <w:rPr>
      <w:b/>
      <w:bCs/>
    </w:rPr>
  </w:style>
  <w:style w:type="character" w:customStyle="1" w:styleId="CommentSubjectChar">
    <w:name w:val="Comment Subject Char"/>
    <w:basedOn w:val="CommentTextChar"/>
    <w:link w:val="CommentSubject"/>
    <w:uiPriority w:val="99"/>
    <w:semiHidden/>
    <w:rsid w:val="005D098F"/>
    <w:rPr>
      <w:rFonts w:eastAsia="Times New Roman" w:cs="Times New Roman"/>
      <w:b/>
      <w:bCs/>
      <w:sz w:val="20"/>
      <w:szCs w:val="20"/>
      <w:lang w:val="lv-LV" w:eastAsia="ru-RU"/>
    </w:rPr>
  </w:style>
  <w:style w:type="paragraph" w:customStyle="1" w:styleId="tv213">
    <w:name w:val="tv213"/>
    <w:basedOn w:val="Normal"/>
    <w:rsid w:val="0012586F"/>
    <w:pPr>
      <w:spacing w:before="100" w:beforeAutospacing="1" w:after="100" w:afterAutospacing="1"/>
    </w:pPr>
    <w:rPr>
      <w:lang w:eastAsia="lv-LV"/>
    </w:rPr>
  </w:style>
  <w:style w:type="paragraph" w:customStyle="1" w:styleId="c01pointaltn">
    <w:name w:val="c01pointaltn"/>
    <w:basedOn w:val="Normal"/>
    <w:rsid w:val="00847B8E"/>
    <w:pPr>
      <w:spacing w:before="100" w:beforeAutospacing="1" w:after="100" w:afterAutospacing="1"/>
    </w:pPr>
    <w:rPr>
      <w:lang w:eastAsia="lv-LV"/>
    </w:rPr>
  </w:style>
  <w:style w:type="paragraph" w:customStyle="1" w:styleId="labojumupamats">
    <w:name w:val="labojumu_pamats"/>
    <w:basedOn w:val="Normal"/>
    <w:rsid w:val="00C922F7"/>
    <w:pPr>
      <w:spacing w:before="100" w:beforeAutospacing="1" w:after="100" w:afterAutospacing="1"/>
    </w:pPr>
    <w:rPr>
      <w:lang w:eastAsia="lv-LV"/>
    </w:rPr>
  </w:style>
  <w:style w:type="paragraph" w:styleId="NormalWeb">
    <w:name w:val="Normal (Web)"/>
    <w:basedOn w:val="Normal"/>
    <w:uiPriority w:val="99"/>
    <w:unhideWhenUsed/>
    <w:rsid w:val="000E4B46"/>
    <w:pPr>
      <w:spacing w:before="100" w:beforeAutospacing="1" w:after="100" w:afterAutospacing="1"/>
    </w:pPr>
    <w:rPr>
      <w:lang w:eastAsia="lv-LV"/>
    </w:rPr>
  </w:style>
  <w:style w:type="paragraph" w:styleId="FootnoteText">
    <w:name w:val="footnote text"/>
    <w:basedOn w:val="Normal"/>
    <w:link w:val="FootnoteTextChar"/>
    <w:uiPriority w:val="99"/>
    <w:semiHidden/>
    <w:unhideWhenUsed/>
    <w:rsid w:val="00006545"/>
    <w:rPr>
      <w:rFonts w:eastAsia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006545"/>
    <w:rPr>
      <w:kern w:val="2"/>
      <w:sz w:val="20"/>
      <w:szCs w:val="20"/>
      <w:lang w:val="lv-LV"/>
      <w14:ligatures w14:val="standardContextual"/>
    </w:rPr>
  </w:style>
  <w:style w:type="character" w:styleId="FootnoteReference">
    <w:name w:val="footnote reference"/>
    <w:basedOn w:val="DefaultParagraphFont"/>
    <w:uiPriority w:val="99"/>
    <w:semiHidden/>
    <w:unhideWhenUsed/>
    <w:rsid w:val="00006545"/>
    <w:rPr>
      <w:vertAlign w:val="superscript"/>
    </w:rPr>
  </w:style>
  <w:style w:type="paragraph" w:styleId="ListParagraph">
    <w:name w:val="List Paragraph"/>
    <w:basedOn w:val="Normal"/>
    <w:uiPriority w:val="34"/>
    <w:qFormat/>
    <w:rsid w:val="00AB2930"/>
    <w:pPr>
      <w:spacing w:after="160" w:line="259" w:lineRule="auto"/>
      <w:ind w:left="720"/>
      <w:contextualSpacing/>
    </w:pPr>
    <w:rPr>
      <w:rFonts w:eastAsiaTheme="minorHAnsi" w:cstheme="minorBidi"/>
      <w:kern w:val="2"/>
      <w:szCs w:val="22"/>
      <w:lang w:eastAsia="en-US"/>
      <w14:ligatures w14:val="standardContextual"/>
    </w:rPr>
  </w:style>
  <w:style w:type="paragraph" w:customStyle="1" w:styleId="Stils4">
    <w:name w:val="Stils4"/>
    <w:basedOn w:val="Heading3"/>
    <w:link w:val="Stils4Rakstz"/>
    <w:qFormat/>
    <w:rsid w:val="00AB2930"/>
    <w:pPr>
      <w:spacing w:line="259" w:lineRule="auto"/>
    </w:pPr>
    <w:rPr>
      <w:i/>
      <w:kern w:val="2"/>
      <w14:ligatures w14:val="standardContextual"/>
    </w:rPr>
  </w:style>
  <w:style w:type="character" w:customStyle="1" w:styleId="Stils4Rakstz">
    <w:name w:val="Stils4 Rakstz."/>
    <w:basedOn w:val="Heading3Char"/>
    <w:link w:val="Stils4"/>
    <w:rsid w:val="00AB2930"/>
    <w:rPr>
      <w:rFonts w:asciiTheme="majorHAnsi" w:eastAsiaTheme="majorEastAsia" w:hAnsiTheme="majorHAnsi" w:cstheme="majorBidi"/>
      <w:i/>
      <w:color w:val="1F3763" w:themeColor="accent1" w:themeShade="7F"/>
      <w:kern w:val="2"/>
      <w:szCs w:val="24"/>
      <w:lang w:val="lv-LV" w:eastAsia="ru-RU"/>
      <w14:ligatures w14:val="standardContextual"/>
    </w:rPr>
  </w:style>
  <w:style w:type="character" w:customStyle="1" w:styleId="Heading3Char">
    <w:name w:val="Heading 3 Char"/>
    <w:basedOn w:val="DefaultParagraphFont"/>
    <w:link w:val="Heading3"/>
    <w:uiPriority w:val="9"/>
    <w:semiHidden/>
    <w:rsid w:val="00AB2930"/>
    <w:rPr>
      <w:rFonts w:asciiTheme="majorHAnsi" w:eastAsiaTheme="majorEastAsia" w:hAnsiTheme="majorHAnsi" w:cstheme="majorBidi"/>
      <w:color w:val="1F3763" w:themeColor="accent1" w:themeShade="7F"/>
      <w:szCs w:val="24"/>
      <w:lang w:val="lv-LV" w:eastAsia="ru-RU"/>
    </w:rPr>
  </w:style>
  <w:style w:type="paragraph" w:customStyle="1" w:styleId="c02alineaalta">
    <w:name w:val="c02alineaalta"/>
    <w:basedOn w:val="Normal"/>
    <w:rsid w:val="006D7C17"/>
    <w:pPr>
      <w:spacing w:before="100" w:beforeAutospacing="1" w:after="100" w:afterAutospacing="1"/>
    </w:pPr>
    <w:rPr>
      <w:lang w:eastAsia="lv-LV"/>
    </w:rPr>
  </w:style>
  <w:style w:type="paragraph" w:customStyle="1" w:styleId="text-align-justify">
    <w:name w:val="text-align-justify"/>
    <w:basedOn w:val="Normal"/>
    <w:rsid w:val="00886B6E"/>
    <w:pPr>
      <w:spacing w:before="100" w:beforeAutospacing="1" w:after="100" w:afterAutospacing="1"/>
    </w:pPr>
    <w:rPr>
      <w:lang w:eastAsia="lv-LV"/>
    </w:rPr>
  </w:style>
  <w:style w:type="paragraph" w:customStyle="1" w:styleId="c01pointnumerotealtn">
    <w:name w:val="c01pointnumerotealtn"/>
    <w:basedOn w:val="Normal"/>
    <w:rsid w:val="001147BF"/>
    <w:pPr>
      <w:spacing w:before="100" w:beforeAutospacing="1" w:after="100" w:afterAutospacing="1"/>
    </w:pPr>
    <w:rPr>
      <w:lang w:eastAsia="lv-LV"/>
    </w:rPr>
  </w:style>
  <w:style w:type="character" w:customStyle="1" w:styleId="cf01">
    <w:name w:val="cf01"/>
    <w:basedOn w:val="DefaultParagraphFont"/>
    <w:rsid w:val="00A2230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15349">
      <w:bodyDiv w:val="1"/>
      <w:marLeft w:val="0"/>
      <w:marRight w:val="0"/>
      <w:marTop w:val="0"/>
      <w:marBottom w:val="0"/>
      <w:divBdr>
        <w:top w:val="none" w:sz="0" w:space="0" w:color="auto"/>
        <w:left w:val="none" w:sz="0" w:space="0" w:color="auto"/>
        <w:bottom w:val="none" w:sz="0" w:space="0" w:color="auto"/>
        <w:right w:val="none" w:sz="0" w:space="0" w:color="auto"/>
      </w:divBdr>
    </w:div>
    <w:div w:id="238755236">
      <w:bodyDiv w:val="1"/>
      <w:marLeft w:val="0"/>
      <w:marRight w:val="0"/>
      <w:marTop w:val="0"/>
      <w:marBottom w:val="0"/>
      <w:divBdr>
        <w:top w:val="none" w:sz="0" w:space="0" w:color="auto"/>
        <w:left w:val="none" w:sz="0" w:space="0" w:color="auto"/>
        <w:bottom w:val="none" w:sz="0" w:space="0" w:color="auto"/>
        <w:right w:val="none" w:sz="0" w:space="0" w:color="auto"/>
      </w:divBdr>
      <w:divsChild>
        <w:div w:id="1326081799">
          <w:marLeft w:val="300"/>
          <w:marRight w:val="0"/>
          <w:marTop w:val="0"/>
          <w:marBottom w:val="0"/>
          <w:divBdr>
            <w:top w:val="none" w:sz="0" w:space="0" w:color="auto"/>
            <w:left w:val="none" w:sz="0" w:space="0" w:color="auto"/>
            <w:bottom w:val="none" w:sz="0" w:space="0" w:color="auto"/>
            <w:right w:val="none" w:sz="0" w:space="0" w:color="auto"/>
          </w:divBdr>
        </w:div>
      </w:divsChild>
    </w:div>
    <w:div w:id="245772105">
      <w:bodyDiv w:val="1"/>
      <w:marLeft w:val="0"/>
      <w:marRight w:val="0"/>
      <w:marTop w:val="0"/>
      <w:marBottom w:val="0"/>
      <w:divBdr>
        <w:top w:val="none" w:sz="0" w:space="0" w:color="auto"/>
        <w:left w:val="none" w:sz="0" w:space="0" w:color="auto"/>
        <w:bottom w:val="none" w:sz="0" w:space="0" w:color="auto"/>
        <w:right w:val="none" w:sz="0" w:space="0" w:color="auto"/>
      </w:divBdr>
    </w:div>
    <w:div w:id="295918132">
      <w:bodyDiv w:val="1"/>
      <w:marLeft w:val="0"/>
      <w:marRight w:val="0"/>
      <w:marTop w:val="0"/>
      <w:marBottom w:val="0"/>
      <w:divBdr>
        <w:top w:val="none" w:sz="0" w:space="0" w:color="auto"/>
        <w:left w:val="none" w:sz="0" w:space="0" w:color="auto"/>
        <w:bottom w:val="none" w:sz="0" w:space="0" w:color="auto"/>
        <w:right w:val="none" w:sz="0" w:space="0" w:color="auto"/>
      </w:divBdr>
    </w:div>
    <w:div w:id="439419963">
      <w:bodyDiv w:val="1"/>
      <w:marLeft w:val="0"/>
      <w:marRight w:val="0"/>
      <w:marTop w:val="0"/>
      <w:marBottom w:val="0"/>
      <w:divBdr>
        <w:top w:val="none" w:sz="0" w:space="0" w:color="auto"/>
        <w:left w:val="none" w:sz="0" w:space="0" w:color="auto"/>
        <w:bottom w:val="none" w:sz="0" w:space="0" w:color="auto"/>
        <w:right w:val="none" w:sz="0" w:space="0" w:color="auto"/>
      </w:divBdr>
    </w:div>
    <w:div w:id="874318242">
      <w:bodyDiv w:val="1"/>
      <w:marLeft w:val="0"/>
      <w:marRight w:val="0"/>
      <w:marTop w:val="0"/>
      <w:marBottom w:val="0"/>
      <w:divBdr>
        <w:top w:val="none" w:sz="0" w:space="0" w:color="auto"/>
        <w:left w:val="none" w:sz="0" w:space="0" w:color="auto"/>
        <w:bottom w:val="none" w:sz="0" w:space="0" w:color="auto"/>
        <w:right w:val="none" w:sz="0" w:space="0" w:color="auto"/>
      </w:divBdr>
    </w:div>
    <w:div w:id="950092466">
      <w:bodyDiv w:val="1"/>
      <w:marLeft w:val="0"/>
      <w:marRight w:val="0"/>
      <w:marTop w:val="0"/>
      <w:marBottom w:val="0"/>
      <w:divBdr>
        <w:top w:val="none" w:sz="0" w:space="0" w:color="auto"/>
        <w:left w:val="none" w:sz="0" w:space="0" w:color="auto"/>
        <w:bottom w:val="none" w:sz="0" w:space="0" w:color="auto"/>
        <w:right w:val="none" w:sz="0" w:space="0" w:color="auto"/>
      </w:divBdr>
    </w:div>
    <w:div w:id="968780641">
      <w:bodyDiv w:val="1"/>
      <w:marLeft w:val="0"/>
      <w:marRight w:val="0"/>
      <w:marTop w:val="0"/>
      <w:marBottom w:val="0"/>
      <w:divBdr>
        <w:top w:val="none" w:sz="0" w:space="0" w:color="auto"/>
        <w:left w:val="none" w:sz="0" w:space="0" w:color="auto"/>
        <w:bottom w:val="none" w:sz="0" w:space="0" w:color="auto"/>
        <w:right w:val="none" w:sz="0" w:space="0" w:color="auto"/>
      </w:divBdr>
    </w:div>
    <w:div w:id="1051156486">
      <w:bodyDiv w:val="1"/>
      <w:marLeft w:val="0"/>
      <w:marRight w:val="0"/>
      <w:marTop w:val="0"/>
      <w:marBottom w:val="0"/>
      <w:divBdr>
        <w:top w:val="none" w:sz="0" w:space="0" w:color="auto"/>
        <w:left w:val="none" w:sz="0" w:space="0" w:color="auto"/>
        <w:bottom w:val="none" w:sz="0" w:space="0" w:color="auto"/>
        <w:right w:val="none" w:sz="0" w:space="0" w:color="auto"/>
      </w:divBdr>
    </w:div>
    <w:div w:id="1069306602">
      <w:bodyDiv w:val="1"/>
      <w:marLeft w:val="0"/>
      <w:marRight w:val="0"/>
      <w:marTop w:val="0"/>
      <w:marBottom w:val="0"/>
      <w:divBdr>
        <w:top w:val="none" w:sz="0" w:space="0" w:color="auto"/>
        <w:left w:val="none" w:sz="0" w:space="0" w:color="auto"/>
        <w:bottom w:val="none" w:sz="0" w:space="0" w:color="auto"/>
        <w:right w:val="none" w:sz="0" w:space="0" w:color="auto"/>
      </w:divBdr>
    </w:div>
    <w:div w:id="1216503191">
      <w:bodyDiv w:val="1"/>
      <w:marLeft w:val="0"/>
      <w:marRight w:val="0"/>
      <w:marTop w:val="0"/>
      <w:marBottom w:val="0"/>
      <w:divBdr>
        <w:top w:val="none" w:sz="0" w:space="0" w:color="auto"/>
        <w:left w:val="none" w:sz="0" w:space="0" w:color="auto"/>
        <w:bottom w:val="none" w:sz="0" w:space="0" w:color="auto"/>
        <w:right w:val="none" w:sz="0" w:space="0" w:color="auto"/>
      </w:divBdr>
    </w:div>
    <w:div w:id="1220435501">
      <w:bodyDiv w:val="1"/>
      <w:marLeft w:val="0"/>
      <w:marRight w:val="0"/>
      <w:marTop w:val="0"/>
      <w:marBottom w:val="0"/>
      <w:divBdr>
        <w:top w:val="none" w:sz="0" w:space="0" w:color="auto"/>
        <w:left w:val="none" w:sz="0" w:space="0" w:color="auto"/>
        <w:bottom w:val="none" w:sz="0" w:space="0" w:color="auto"/>
        <w:right w:val="none" w:sz="0" w:space="0" w:color="auto"/>
      </w:divBdr>
    </w:div>
    <w:div w:id="1278948023">
      <w:bodyDiv w:val="1"/>
      <w:marLeft w:val="0"/>
      <w:marRight w:val="0"/>
      <w:marTop w:val="0"/>
      <w:marBottom w:val="0"/>
      <w:divBdr>
        <w:top w:val="none" w:sz="0" w:space="0" w:color="auto"/>
        <w:left w:val="none" w:sz="0" w:space="0" w:color="auto"/>
        <w:bottom w:val="none" w:sz="0" w:space="0" w:color="auto"/>
        <w:right w:val="none" w:sz="0" w:space="0" w:color="auto"/>
      </w:divBdr>
    </w:div>
    <w:div w:id="1390686808">
      <w:bodyDiv w:val="1"/>
      <w:marLeft w:val="0"/>
      <w:marRight w:val="0"/>
      <w:marTop w:val="0"/>
      <w:marBottom w:val="0"/>
      <w:divBdr>
        <w:top w:val="none" w:sz="0" w:space="0" w:color="auto"/>
        <w:left w:val="none" w:sz="0" w:space="0" w:color="auto"/>
        <w:bottom w:val="none" w:sz="0" w:space="0" w:color="auto"/>
        <w:right w:val="none" w:sz="0" w:space="0" w:color="auto"/>
      </w:divBdr>
    </w:div>
    <w:div w:id="1464731049">
      <w:bodyDiv w:val="1"/>
      <w:marLeft w:val="0"/>
      <w:marRight w:val="0"/>
      <w:marTop w:val="0"/>
      <w:marBottom w:val="0"/>
      <w:divBdr>
        <w:top w:val="none" w:sz="0" w:space="0" w:color="auto"/>
        <w:left w:val="none" w:sz="0" w:space="0" w:color="auto"/>
        <w:bottom w:val="none" w:sz="0" w:space="0" w:color="auto"/>
        <w:right w:val="none" w:sz="0" w:space="0" w:color="auto"/>
      </w:divBdr>
    </w:div>
    <w:div w:id="1593051337">
      <w:bodyDiv w:val="1"/>
      <w:marLeft w:val="0"/>
      <w:marRight w:val="0"/>
      <w:marTop w:val="0"/>
      <w:marBottom w:val="0"/>
      <w:divBdr>
        <w:top w:val="none" w:sz="0" w:space="0" w:color="auto"/>
        <w:left w:val="none" w:sz="0" w:space="0" w:color="auto"/>
        <w:bottom w:val="none" w:sz="0" w:space="0" w:color="auto"/>
        <w:right w:val="none" w:sz="0" w:space="0" w:color="auto"/>
      </w:divBdr>
    </w:div>
    <w:div w:id="1662656738">
      <w:bodyDiv w:val="1"/>
      <w:marLeft w:val="0"/>
      <w:marRight w:val="0"/>
      <w:marTop w:val="0"/>
      <w:marBottom w:val="0"/>
      <w:divBdr>
        <w:top w:val="none" w:sz="0" w:space="0" w:color="auto"/>
        <w:left w:val="none" w:sz="0" w:space="0" w:color="auto"/>
        <w:bottom w:val="none" w:sz="0" w:space="0" w:color="auto"/>
        <w:right w:val="none" w:sz="0" w:space="0" w:color="auto"/>
      </w:divBdr>
    </w:div>
    <w:div w:id="1782606474">
      <w:bodyDiv w:val="1"/>
      <w:marLeft w:val="0"/>
      <w:marRight w:val="0"/>
      <w:marTop w:val="0"/>
      <w:marBottom w:val="0"/>
      <w:divBdr>
        <w:top w:val="none" w:sz="0" w:space="0" w:color="auto"/>
        <w:left w:val="none" w:sz="0" w:space="0" w:color="auto"/>
        <w:bottom w:val="none" w:sz="0" w:space="0" w:color="auto"/>
        <w:right w:val="none" w:sz="0" w:space="0" w:color="auto"/>
      </w:divBdr>
    </w:div>
    <w:div w:id="1884095551">
      <w:bodyDiv w:val="1"/>
      <w:marLeft w:val="0"/>
      <w:marRight w:val="0"/>
      <w:marTop w:val="0"/>
      <w:marBottom w:val="0"/>
      <w:divBdr>
        <w:top w:val="none" w:sz="0" w:space="0" w:color="auto"/>
        <w:left w:val="none" w:sz="0" w:space="0" w:color="auto"/>
        <w:bottom w:val="none" w:sz="0" w:space="0" w:color="auto"/>
        <w:right w:val="none" w:sz="0" w:space="0" w:color="auto"/>
      </w:divBdr>
    </w:div>
    <w:div w:id="1932544337">
      <w:bodyDiv w:val="1"/>
      <w:marLeft w:val="0"/>
      <w:marRight w:val="0"/>
      <w:marTop w:val="0"/>
      <w:marBottom w:val="0"/>
      <w:divBdr>
        <w:top w:val="none" w:sz="0" w:space="0" w:color="auto"/>
        <w:left w:val="none" w:sz="0" w:space="0" w:color="auto"/>
        <w:bottom w:val="none" w:sz="0" w:space="0" w:color="auto"/>
        <w:right w:val="none" w:sz="0" w:space="0" w:color="auto"/>
      </w:divBdr>
    </w:div>
    <w:div w:id="2093433977">
      <w:bodyDiv w:val="1"/>
      <w:marLeft w:val="0"/>
      <w:marRight w:val="0"/>
      <w:marTop w:val="0"/>
      <w:marBottom w:val="0"/>
      <w:divBdr>
        <w:top w:val="none" w:sz="0" w:space="0" w:color="auto"/>
        <w:left w:val="none" w:sz="0" w:space="0" w:color="auto"/>
        <w:bottom w:val="none" w:sz="0" w:space="0" w:color="auto"/>
        <w:right w:val="none" w:sz="0" w:space="0" w:color="auto"/>
      </w:divBdr>
    </w:div>
    <w:div w:id="211478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5722.pdf" TargetMode="External"/><Relationship Id="rId13" Type="http://schemas.openxmlformats.org/officeDocument/2006/relationships/hyperlink" Target="https://curia.europa.eu/juris/document/document.jsf?text=&amp;docid=200017&amp;pageIndex=0&amp;doclang=lv&amp;mode=lst&amp;dir=&amp;occ=first&amp;part=1&amp;cid=53555" TargetMode="External"/><Relationship Id="rId18" Type="http://schemas.openxmlformats.org/officeDocument/2006/relationships/hyperlink" Target="https://curia.europa.eu/juris/document/document.jsf?text=&amp;docid=83785&amp;pageIndex=0&amp;doclang=LV&amp;mode=req&amp;dir=&amp;occ=first&amp;part=1&amp;cid=362684" TargetMode="External"/><Relationship Id="rId26" Type="http://schemas.openxmlformats.org/officeDocument/2006/relationships/hyperlink" Target="https://curia.europa.eu/juris/document/document.jsf?mode=DOC&amp;pageIndex=0&amp;docid=247052&amp;part=1&amp;doclang=LV&amp;text=&amp;dir=&amp;occ=first&amp;cid=2607491" TargetMode="External"/><Relationship Id="rId3" Type="http://schemas.openxmlformats.org/officeDocument/2006/relationships/styles" Target="styles.xml"/><Relationship Id="rId21" Type="http://schemas.openxmlformats.org/officeDocument/2006/relationships/hyperlink" Target="https://manas.tiesas.lv/eTiesasMvc/nolemumi/pdf/288797.pdf" TargetMode="External"/><Relationship Id="rId7" Type="http://schemas.openxmlformats.org/officeDocument/2006/relationships/endnotes" Target="endnotes.xml"/><Relationship Id="rId12" Type="http://schemas.openxmlformats.org/officeDocument/2006/relationships/hyperlink" Target="https://curia.europa.eu/juris/document/document.jsf?text=&amp;docid=80426&amp;pageIndex=0&amp;doclang=LV&amp;mode=req&amp;dir=&amp;occ=first&amp;part=1&amp;cid=360239" TargetMode="External"/><Relationship Id="rId17" Type="http://schemas.openxmlformats.org/officeDocument/2006/relationships/hyperlink" Target="https://curia.europa.eu/juris/document/document.jsf?text=&amp;docid=274649&amp;pageIndex=0&amp;doclang=LV&amp;mode=req&amp;dir=&amp;occ=first&amp;part=1&amp;cid=362684" TargetMode="External"/><Relationship Id="rId25" Type="http://schemas.openxmlformats.org/officeDocument/2006/relationships/hyperlink" Target="https://curia.europa.eu/juris/document/document.jsf?text=&amp;docid=76078&amp;pageIndex=0&amp;doclang=LV&amp;mode=lst&amp;dir=&amp;occ=first&amp;part=1&amp;cid=3712180" TargetMode="External"/><Relationship Id="rId2" Type="http://schemas.openxmlformats.org/officeDocument/2006/relationships/numbering" Target="numbering.xml"/><Relationship Id="rId16" Type="http://schemas.openxmlformats.org/officeDocument/2006/relationships/hyperlink" Target="https://curia.europa.eu/juris/document/document.jsf?text=&amp;docid=173688&amp;pageIndex=0&amp;doclang=LV&amp;mode=lst&amp;dir=&amp;occ=first&amp;part=1&amp;cid=60266" TargetMode="External"/><Relationship Id="rId20" Type="http://schemas.openxmlformats.org/officeDocument/2006/relationships/hyperlink" Target="https://curia.europa.eu/juris/document/document.jsf?mode=LST&amp;pageIndex=0&amp;docid=47013&amp;part=1&amp;doclang=LV&amp;text=&amp;occ=first&amp;cid=7887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260986&amp;pageIndex=0&amp;doclang=lv&amp;mode=lst&amp;dir=&amp;occ=first&amp;part=1&amp;cid=704414" TargetMode="External"/><Relationship Id="rId24" Type="http://schemas.openxmlformats.org/officeDocument/2006/relationships/hyperlink" Target="https://curia.europa.eu/juris/document/document.jsf?text=&amp;docid=247052&amp;pageIndex=0&amp;doclang=lv&amp;mode=lst&amp;dir=&amp;occ=first&amp;part=1&amp;cid=171717" TargetMode="External"/><Relationship Id="rId5" Type="http://schemas.openxmlformats.org/officeDocument/2006/relationships/webSettings" Target="webSettings.xml"/><Relationship Id="rId15" Type="http://schemas.openxmlformats.org/officeDocument/2006/relationships/hyperlink" Target="https://curia.europa.eu/juris/document/document.jsf?mode=LST&amp;pageIndex=0&amp;docid=265548&amp;part=1&amp;doclang=LV&amp;text=&amp;occ=first&amp;cid=360712" TargetMode="External"/><Relationship Id="rId23" Type="http://schemas.openxmlformats.org/officeDocument/2006/relationships/hyperlink" Target="https://manas.tiesas.lv/eTiesasMvc/eclinolemumi/ECLI:LV:AT:2019:0510.A420148815.2.S" TargetMode="External"/><Relationship Id="rId28" Type="http://schemas.openxmlformats.org/officeDocument/2006/relationships/footer" Target="footer1.xml"/><Relationship Id="rId10" Type="http://schemas.openxmlformats.org/officeDocument/2006/relationships/hyperlink" Target="https://curia.europa.eu/juris/document/document.jsf?text=&amp;docid=268436&amp;pageIndex=0&amp;doclang=LV&amp;mode=req&amp;dir=&amp;occ=first&amp;part=1&amp;cid=358780" TargetMode="External"/><Relationship Id="rId19" Type="http://schemas.openxmlformats.org/officeDocument/2006/relationships/hyperlink" Target="https://hudoc.echr.coe.int/eng?i=001-217963" TargetMode="External"/><Relationship Id="rId4" Type="http://schemas.openxmlformats.org/officeDocument/2006/relationships/settings" Target="settings.xml"/><Relationship Id="rId9" Type="http://schemas.openxmlformats.org/officeDocument/2006/relationships/hyperlink" Target="https://curia.europa.eu/juris/document/document.jsf?text=&amp;docid=47013&amp;pageIndex=0&amp;doclang=LV&amp;mode=lst&amp;dir=&amp;occ=first&amp;part=1&amp;cid=9335723" TargetMode="External"/><Relationship Id="rId14" Type="http://schemas.openxmlformats.org/officeDocument/2006/relationships/hyperlink" Target="https://curia.europa.eu/juris/document/document.jsf?text=&amp;docid=262421&amp;pageIndex=0&amp;doclang=LV&amp;mode=req&amp;dir=&amp;occ=first&amp;part=1&amp;cid=360712" TargetMode="External"/><Relationship Id="rId22" Type="http://schemas.openxmlformats.org/officeDocument/2006/relationships/hyperlink" Target="https://titania.saeima.lv/LIVS11/SaeimaLIVS11.nsf/0/B2AAE3A7C14DA569C2257A400044B9E7?OpenDocument" TargetMode="External"/><Relationship Id="rId27" Type="http://schemas.openxmlformats.org/officeDocument/2006/relationships/hyperlink" Target="https://curia.europa.eu/juris/document/document.jsf?text=&amp;docid=268436&amp;pageIndex=0&amp;doclang=lv&amp;mode=lst&amp;dir=&amp;occ=first&amp;part=1&amp;cid=370514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DD7D-215F-49BE-B858-C7CC2B95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29926</Words>
  <Characters>17058</Characters>
  <Application>Microsoft Office Word</Application>
  <DocSecurity>0</DocSecurity>
  <Lines>142</Lines>
  <Paragraphs>93</Paragraphs>
  <ScaleCrop>false</ScaleCrop>
  <Company/>
  <LinksUpToDate>false</LinksUpToDate>
  <CharactersWithSpaces>46891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2024-07-16T07:21:00Z</dcterms:created>
  <dcterms:modified xsi:type="dcterms:W3CDTF">2024-07-16T07:21:00Z</dcterms:modified>
</cp:coreProperties>
</file>