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1DAC3" w14:textId="1CEDA8D2" w:rsidR="00010315" w:rsidRDefault="00010315" w:rsidP="002947A5">
      <w:pPr>
        <w:autoSpaceDE w:val="0"/>
        <w:autoSpaceDN w:val="0"/>
        <w:spacing w:line="276" w:lineRule="auto"/>
        <w:jc w:val="both"/>
        <w:rPr>
          <w:rFonts w:ascii="TimesNewRomanPSMT" w:hAnsi="TimesNewRomanPSMT"/>
          <w:b/>
          <w:bCs/>
          <w:color w:val="FF0000"/>
          <w:lang w:eastAsia="lv-LV"/>
        </w:rPr>
      </w:pPr>
      <w:r w:rsidRPr="00010315">
        <w:rPr>
          <w:rFonts w:ascii="TimesNewRomanPSMT" w:hAnsi="TimesNewRomanPSMT"/>
          <w:b/>
          <w:bCs/>
        </w:rPr>
        <w:t>Kompensējamo medikamentu pieejamība</w:t>
      </w:r>
    </w:p>
    <w:p w14:paraId="6032183F" w14:textId="77777777" w:rsidR="00010315" w:rsidRDefault="00010315" w:rsidP="002947A5">
      <w:pPr>
        <w:autoSpaceDE w:val="0"/>
        <w:autoSpaceDN w:val="0"/>
        <w:spacing w:line="276" w:lineRule="auto"/>
        <w:jc w:val="both"/>
        <w:rPr>
          <w:rFonts w:ascii="TimesNewRomanPSMT" w:hAnsi="TimesNewRomanPSMT"/>
          <w:sz w:val="22"/>
          <w:szCs w:val="22"/>
        </w:rPr>
      </w:pPr>
      <w:r>
        <w:rPr>
          <w:rFonts w:ascii="TimesNewRomanPSMT" w:hAnsi="TimesNewRomanPSMT"/>
        </w:rPr>
        <w:t xml:space="preserve">No tiesībām uz veselību un dzīvību neizriet valsts pienākums nodrošināt ikvienam nepieciešamās zāles bez maksas. Veselības aprūpei atvēlētie resursi ir jāizmanto efektīvi un taisnīgi, nodrošinot veselības aprūpes pieejamību pēc iespējas lielākai sabiedrības daļai. Tas savukārt nozīmē, ka valstij vispārīgi ir tiesības noteikt ierobežotu kārtību medikamentu kompensēšanā no valsts budžeta līdzekļiem, liedzot kompensāciju kādai personu grupai, ja tādējādi tiek nodrošināts taisnīgs līdzsvars veselības aprūpei atvēlēto resursu sadalē un kompensējamo medikamentu pieejamība iespējami plašākam personu lokam. </w:t>
      </w:r>
    </w:p>
    <w:p w14:paraId="7CD90592" w14:textId="6D3F5E2A" w:rsidR="00010315" w:rsidRDefault="00010315" w:rsidP="002947A5">
      <w:pPr>
        <w:autoSpaceDE w:val="0"/>
        <w:autoSpaceDN w:val="0"/>
        <w:spacing w:line="276" w:lineRule="auto"/>
        <w:jc w:val="both"/>
        <w:rPr>
          <w:rFonts w:ascii="TimesNewRomanPSMT" w:hAnsi="TimesNewRomanPSMT"/>
        </w:rPr>
      </w:pPr>
      <w:r>
        <w:rPr>
          <w:rFonts w:ascii="TimesNewRomanPSMT" w:hAnsi="TimesNewRomanPSMT"/>
        </w:rPr>
        <w:t>Valsts, domājot par kompensējamo medikamentu pieejamību iespējami plašākam personu lokam un meklējot līdzsvaru veselības aprūpei atvēlēto resursu sadalē starp vispārējo kompensācijas kārtību un individuālās kompensācijas kārtību, līdz ar 2012.</w:t>
      </w:r>
      <w:r w:rsidR="006559C0">
        <w:rPr>
          <w:rFonts w:ascii="TimesNewRomanPSMT" w:hAnsi="TimesNewRomanPSMT"/>
        </w:rPr>
        <w:t> </w:t>
      </w:r>
      <w:r>
        <w:rPr>
          <w:rFonts w:ascii="TimesNewRomanPSMT" w:hAnsi="TimesNewRomanPSMT"/>
        </w:rPr>
        <w:t>gada 9.</w:t>
      </w:r>
      <w:r w:rsidR="006559C0">
        <w:rPr>
          <w:rFonts w:ascii="TimesNewRomanPSMT" w:hAnsi="TimesNewRomanPSMT"/>
        </w:rPr>
        <w:t> </w:t>
      </w:r>
      <w:r>
        <w:rPr>
          <w:rFonts w:ascii="TimesNewRomanPSMT" w:hAnsi="TimesNewRomanPSMT"/>
        </w:rPr>
        <w:t>oktobra grozījumiem Ministru kabineta 2006.</w:t>
      </w:r>
      <w:r w:rsidR="006559C0">
        <w:rPr>
          <w:rFonts w:ascii="TimesNewRomanPSMT" w:hAnsi="TimesNewRomanPSMT"/>
        </w:rPr>
        <w:t> </w:t>
      </w:r>
      <w:r>
        <w:rPr>
          <w:rFonts w:ascii="TimesNewRomanPSMT" w:hAnsi="TimesNewRomanPSMT"/>
        </w:rPr>
        <w:t>gada 31.</w:t>
      </w:r>
      <w:r w:rsidR="006559C0">
        <w:rPr>
          <w:rFonts w:ascii="TimesNewRomanPSMT" w:hAnsi="TimesNewRomanPSMT"/>
        </w:rPr>
        <w:t> </w:t>
      </w:r>
      <w:r>
        <w:rPr>
          <w:rFonts w:ascii="TimesNewRomanPSMT" w:hAnsi="TimesNewRomanPSMT"/>
        </w:rPr>
        <w:t>oktobra noteikumu Nr.</w:t>
      </w:r>
      <w:r w:rsidR="006559C0">
        <w:rPr>
          <w:rFonts w:ascii="TimesNewRomanPSMT" w:hAnsi="TimesNewRomanPSMT"/>
        </w:rPr>
        <w:t> </w:t>
      </w:r>
      <w:r>
        <w:rPr>
          <w:rFonts w:ascii="TimesNewRomanPSMT" w:hAnsi="TimesNewRomanPSMT"/>
        </w:rPr>
        <w:t>899 „Ambulatorajai ārstēšanai paredzēto zāļu un medicīnisko ierīču iegādes izdevumu kompensācijas kārtība” 92.2.</w:t>
      </w:r>
      <w:r w:rsidR="006559C0">
        <w:rPr>
          <w:rFonts w:ascii="TimesNewRomanPSMT" w:hAnsi="TimesNewRomanPSMT"/>
        </w:rPr>
        <w:t> </w:t>
      </w:r>
      <w:r>
        <w:rPr>
          <w:rFonts w:ascii="TimesNewRomanPSMT" w:hAnsi="TimesNewRomanPSMT"/>
        </w:rPr>
        <w:t>apakšpunktā, apzināti atkāpusies no tāda zāļu iegādes izdevumu kompensācijas mehānisma individuālā kārtībā, kad zāļu iegādes izdevumi personai tiek kompensēti, ja tai nav piemērotas nevienas no kompensējamo zāļu sarakstā iekļautajām zālēm.</w:t>
      </w:r>
    </w:p>
    <w:p w14:paraId="0C5B5507" w14:textId="3CFAFE21" w:rsidR="00010315" w:rsidRDefault="00010315" w:rsidP="002947A5">
      <w:pPr>
        <w:autoSpaceDE w:val="0"/>
        <w:autoSpaceDN w:val="0"/>
        <w:spacing w:line="276" w:lineRule="auto"/>
        <w:jc w:val="both"/>
        <w:rPr>
          <w:rFonts w:ascii="TimesNewRomanPSMT" w:hAnsi="TimesNewRomanPSMT"/>
        </w:rPr>
      </w:pPr>
      <w:r>
        <w:rPr>
          <w:rFonts w:ascii="TimesNewRomanPSMT" w:hAnsi="TimesNewRomanPSMT"/>
        </w:rPr>
        <w:t>Valsts, atkāpjoties no iepriekš nodibinātās individuālās kompensācijas kārtības, ir apzinājusies, ka var izveidoties situācijas, kad personai nav piemērotas kompensējamās zāles un ierobežoto resursu dēļ valsts nevar kompensēt šai personai citu zāļu iegādes izdevumus, tāpēc var būt gadījumi, kad var nākties atteikt zāļu iegādes izdevumu kompensāciju. Iespējamais risinājums šīs situācijas uzlabošanai ir, ja izvēlēto zāļu lietošanas izmaksas būs samērojamas ar kompensācijai piešķirtajiem līdzekļiem, tās tiks iekļautas kompensējamo zāļu sarakstā.</w:t>
      </w:r>
    </w:p>
    <w:p w14:paraId="46093BEE" w14:textId="77777777" w:rsidR="00010315" w:rsidRPr="00010315" w:rsidRDefault="00010315" w:rsidP="002947A5">
      <w:pPr>
        <w:autoSpaceDE w:val="0"/>
        <w:autoSpaceDN w:val="0"/>
        <w:spacing w:line="276" w:lineRule="auto"/>
        <w:jc w:val="both"/>
        <w:rPr>
          <w:rFonts w:ascii="TimesNewRomanPSMT" w:hAnsi="TimesNewRomanPSMT"/>
        </w:rPr>
      </w:pPr>
    </w:p>
    <w:p w14:paraId="1E75D07D" w14:textId="77777777" w:rsidR="00010315" w:rsidRPr="007C3D04" w:rsidRDefault="00010315" w:rsidP="002947A5">
      <w:pPr>
        <w:spacing w:line="276" w:lineRule="auto"/>
        <w:contextualSpacing/>
        <w:jc w:val="center"/>
        <w:rPr>
          <w:b/>
        </w:rPr>
      </w:pPr>
      <w:r w:rsidRPr="007C3D04">
        <w:rPr>
          <w:b/>
        </w:rPr>
        <w:t>Latvijas Republikas Senāta</w:t>
      </w:r>
    </w:p>
    <w:p w14:paraId="28CC1CEF" w14:textId="77777777" w:rsidR="00010315" w:rsidRPr="007C3D04" w:rsidRDefault="00010315" w:rsidP="002947A5">
      <w:pPr>
        <w:spacing w:line="276" w:lineRule="auto"/>
        <w:contextualSpacing/>
        <w:jc w:val="center"/>
        <w:rPr>
          <w:b/>
        </w:rPr>
      </w:pPr>
      <w:r w:rsidRPr="007C3D04">
        <w:rPr>
          <w:b/>
        </w:rPr>
        <w:t>Administratīvo lietu departamenta</w:t>
      </w:r>
    </w:p>
    <w:p w14:paraId="397EC847" w14:textId="5D8CB27D" w:rsidR="00010315" w:rsidRPr="007C3D04" w:rsidRDefault="00010315" w:rsidP="002947A5">
      <w:pPr>
        <w:spacing w:line="276" w:lineRule="auto"/>
        <w:ind w:right="-141"/>
        <w:jc w:val="center"/>
        <w:rPr>
          <w:b/>
        </w:rPr>
      </w:pPr>
      <w:r w:rsidRPr="007C3D04">
        <w:rPr>
          <w:b/>
        </w:rPr>
        <w:t>202</w:t>
      </w:r>
      <w:r>
        <w:rPr>
          <w:b/>
        </w:rPr>
        <w:t>4</w:t>
      </w:r>
      <w:r w:rsidRPr="007C3D04">
        <w:rPr>
          <w:b/>
        </w:rPr>
        <w:t>.gada [..]</w:t>
      </w:r>
    </w:p>
    <w:p w14:paraId="4FD62242" w14:textId="77777777" w:rsidR="00010315" w:rsidRPr="007C3D04" w:rsidRDefault="00010315" w:rsidP="002947A5">
      <w:pPr>
        <w:spacing w:line="276" w:lineRule="auto"/>
        <w:contextualSpacing/>
        <w:jc w:val="center"/>
        <w:rPr>
          <w:b/>
        </w:rPr>
      </w:pPr>
      <w:r w:rsidRPr="007C3D04">
        <w:rPr>
          <w:b/>
        </w:rPr>
        <w:t>SPRIEDUMS</w:t>
      </w:r>
      <w:r w:rsidRPr="00010315">
        <w:rPr>
          <w:rStyle w:val="FootnoteReference"/>
          <w:b/>
          <w:vertAlign w:val="superscript"/>
        </w:rPr>
        <w:footnoteReference w:id="1"/>
      </w:r>
    </w:p>
    <w:p w14:paraId="64ED2F57" w14:textId="49FC3962" w:rsidR="00010315" w:rsidRPr="007C3D04" w:rsidRDefault="00010315" w:rsidP="006559C0">
      <w:pPr>
        <w:spacing w:line="276" w:lineRule="auto"/>
        <w:jc w:val="center"/>
        <w:rPr>
          <w:b/>
        </w:rPr>
      </w:pPr>
      <w:r w:rsidRPr="007C3D04">
        <w:rPr>
          <w:b/>
        </w:rPr>
        <w:t>Lieta Nr. [..], SKA- [A]/202</w:t>
      </w:r>
      <w:r>
        <w:rPr>
          <w:b/>
        </w:rPr>
        <w:t>4</w:t>
      </w:r>
    </w:p>
    <w:p w14:paraId="7A3E15FC" w14:textId="4AF6193A" w:rsidR="00010315" w:rsidRPr="007C3D04" w:rsidRDefault="00010315" w:rsidP="006559C0">
      <w:pPr>
        <w:spacing w:line="276" w:lineRule="auto"/>
        <w:jc w:val="center"/>
      </w:pPr>
      <w:r w:rsidRPr="007C3D04">
        <w:t>ECLI:AT:202</w:t>
      </w:r>
      <w:r>
        <w:t>4</w:t>
      </w:r>
      <w:r w:rsidRPr="007C3D04">
        <w:t>:[..]</w:t>
      </w:r>
    </w:p>
    <w:p w14:paraId="2C99CD48" w14:textId="77777777" w:rsidR="00B956F7" w:rsidRDefault="00B956F7" w:rsidP="002947A5">
      <w:pPr>
        <w:spacing w:line="276" w:lineRule="auto"/>
        <w:jc w:val="center"/>
      </w:pPr>
    </w:p>
    <w:p w14:paraId="66FF52C5" w14:textId="70B85F9D" w:rsidR="00793346" w:rsidRPr="00793346" w:rsidRDefault="00447EE6" w:rsidP="002947A5">
      <w:pPr>
        <w:spacing w:line="276" w:lineRule="auto"/>
        <w:ind w:firstLine="720"/>
        <w:jc w:val="both"/>
      </w:pPr>
      <w:r>
        <w:t xml:space="preserve">Senāts </w:t>
      </w:r>
      <w:r w:rsidRPr="00011547">
        <w:t>šādā sastāvā</w:t>
      </w:r>
      <w:r>
        <w:t>:</w:t>
      </w:r>
      <w:r w:rsidR="00793346">
        <w:t xml:space="preserve"> </w:t>
      </w:r>
      <w:r w:rsidR="00793346" w:rsidRPr="00793346">
        <w:t xml:space="preserve">senatore referente Diāna Makarova, senatores </w:t>
      </w:r>
      <w:r w:rsidR="00403152">
        <w:t>Ilze</w:t>
      </w:r>
      <w:r w:rsidR="00793346" w:rsidRPr="00793346">
        <w:t xml:space="preserve"> </w:t>
      </w:r>
      <w:r w:rsidR="00403152">
        <w:t>Freimane</w:t>
      </w:r>
      <w:r w:rsidR="00793346" w:rsidRPr="00793346">
        <w:t xml:space="preserve"> un V</w:t>
      </w:r>
      <w:r w:rsidR="00403152">
        <w:t>ēsma</w:t>
      </w:r>
      <w:r w:rsidR="00793346" w:rsidRPr="00793346">
        <w:t xml:space="preserve"> K</w:t>
      </w:r>
      <w:r w:rsidR="00403152">
        <w:t>akste</w:t>
      </w:r>
    </w:p>
    <w:p w14:paraId="12EEC9B3" w14:textId="66ABBC6F" w:rsidR="00447EE6" w:rsidRDefault="00447EE6" w:rsidP="002947A5">
      <w:pPr>
        <w:spacing w:line="276" w:lineRule="auto"/>
        <w:ind w:firstLine="720"/>
        <w:jc w:val="both"/>
        <w:rPr>
          <w:lang w:eastAsia="lv-LV"/>
        </w:rPr>
      </w:pPr>
    </w:p>
    <w:p w14:paraId="7115937F" w14:textId="74FA3ED4" w:rsidR="002E49B2" w:rsidRPr="00F859FB" w:rsidRDefault="00A763DA" w:rsidP="002947A5">
      <w:pPr>
        <w:spacing w:line="276" w:lineRule="auto"/>
        <w:ind w:firstLine="720"/>
        <w:jc w:val="both"/>
      </w:pPr>
      <w:r>
        <w:t xml:space="preserve">rakstveida procesā izskatīja administratīvo lietu, </w:t>
      </w:r>
      <w:r w:rsidRPr="0088446A">
        <w:t>kas ierosināta</w:t>
      </w:r>
      <w:r>
        <w:t xml:space="preserve">, pamatojoties uz </w:t>
      </w:r>
      <w:bookmarkStart w:id="0" w:name="_Hlk145679988"/>
      <w:bookmarkStart w:id="1" w:name="_Hlk66721699"/>
      <w:r w:rsidR="00010315">
        <w:t xml:space="preserve">[pers. A] </w:t>
      </w:r>
      <w:r w:rsidR="00403152" w:rsidRPr="00403152">
        <w:t>pieteikum</w:t>
      </w:r>
      <w:r w:rsidR="00EB1F24">
        <w:t>u</w:t>
      </w:r>
      <w:r w:rsidR="00403152" w:rsidRPr="00403152">
        <w:t xml:space="preserve"> par labvēlīg</w:t>
      </w:r>
      <w:r w:rsidR="008B67D2">
        <w:t>a</w:t>
      </w:r>
      <w:r w:rsidR="00403152" w:rsidRPr="00403152">
        <w:t xml:space="preserve"> administratīv</w:t>
      </w:r>
      <w:r w:rsidR="008B67D2">
        <w:t>ā</w:t>
      </w:r>
      <w:r w:rsidR="00403152" w:rsidRPr="00403152">
        <w:t xml:space="preserve"> ak</w:t>
      </w:r>
      <w:r w:rsidR="008B67D2">
        <w:t xml:space="preserve">ta izdošanu, </w:t>
      </w:r>
      <w:bookmarkEnd w:id="0"/>
      <w:bookmarkEnd w:id="1"/>
      <w:r w:rsidR="002E49B2" w:rsidRPr="00F859FB">
        <w:t xml:space="preserve">sakarā ar </w:t>
      </w:r>
      <w:bookmarkStart w:id="2" w:name="_Hlk95216261"/>
      <w:bookmarkStart w:id="3" w:name="_Hlk102026800"/>
      <w:bookmarkStart w:id="4" w:name="_Hlk100299517"/>
      <w:r w:rsidR="00403152" w:rsidRPr="00403152">
        <w:t xml:space="preserve">Veselības ministrijas kasācijas sūdzību par Administratīvās apgabaltiesas </w:t>
      </w:r>
      <w:bookmarkStart w:id="5" w:name="_Hlk156906010"/>
      <w:bookmarkEnd w:id="2"/>
      <w:r w:rsidR="00403152" w:rsidRPr="00403152">
        <w:t xml:space="preserve">2021.gada </w:t>
      </w:r>
      <w:bookmarkEnd w:id="3"/>
      <w:bookmarkEnd w:id="5"/>
      <w:r w:rsidR="00010315">
        <w:t xml:space="preserve">[..] </w:t>
      </w:r>
      <w:r w:rsidR="00403152" w:rsidRPr="00403152">
        <w:t>spriedumu</w:t>
      </w:r>
      <w:bookmarkEnd w:id="4"/>
      <w:r w:rsidR="002E49B2" w:rsidRPr="00F859FB">
        <w:t>.</w:t>
      </w:r>
    </w:p>
    <w:p w14:paraId="0AD60069" w14:textId="77777777" w:rsidR="008F79A9" w:rsidRPr="008F79A9" w:rsidRDefault="008F79A9" w:rsidP="002947A5">
      <w:pPr>
        <w:spacing w:before="360" w:after="360" w:line="276" w:lineRule="auto"/>
        <w:jc w:val="center"/>
        <w:rPr>
          <w:noProof/>
        </w:rPr>
      </w:pPr>
      <w:r w:rsidRPr="008F79A9">
        <w:rPr>
          <w:b/>
          <w:shd w:val="clear" w:color="auto" w:fill="FFFFFF"/>
        </w:rPr>
        <w:lastRenderedPageBreak/>
        <w:t>Aprakstošā</w:t>
      </w:r>
      <w:r w:rsidRPr="008F79A9">
        <w:rPr>
          <w:noProof/>
        </w:rPr>
        <w:t xml:space="preserve"> </w:t>
      </w:r>
      <w:r w:rsidRPr="008F79A9">
        <w:rPr>
          <w:b/>
          <w:shd w:val="clear" w:color="auto" w:fill="FFFFFF"/>
        </w:rPr>
        <w:t>daļa</w:t>
      </w:r>
    </w:p>
    <w:p w14:paraId="713CCC5B" w14:textId="09CBFDD6" w:rsidR="00E24DAE" w:rsidRDefault="00447EE6" w:rsidP="002947A5">
      <w:pPr>
        <w:spacing w:line="276" w:lineRule="auto"/>
        <w:ind w:firstLine="720"/>
        <w:jc w:val="both"/>
        <w:rPr>
          <w:color w:val="000000" w:themeColor="text1"/>
        </w:rPr>
      </w:pPr>
      <w:r w:rsidRPr="00B66CF3">
        <w:rPr>
          <w:shd w:val="clear" w:color="auto" w:fill="FFFFFF"/>
        </w:rPr>
        <w:t>[1]</w:t>
      </w:r>
      <w:r w:rsidR="00793346" w:rsidRPr="00793346">
        <w:t> </w:t>
      </w:r>
      <w:r w:rsidR="00DC72B0">
        <w:t>Pieteicēja</w:t>
      </w:r>
      <w:r w:rsidR="006A5B3B">
        <w:t>i</w:t>
      </w:r>
      <w:r w:rsidR="00DC72B0" w:rsidRPr="00DC72B0">
        <w:t xml:space="preserve"> </w:t>
      </w:r>
      <w:r w:rsidR="00010315">
        <w:t xml:space="preserve">[pers. A] </w:t>
      </w:r>
      <w:r w:rsidR="00DC72B0">
        <w:t>sastādīts ārstu konsilija lēmums</w:t>
      </w:r>
      <w:r w:rsidR="008221F8">
        <w:t>. Taj</w:t>
      </w:r>
      <w:r w:rsidR="00DC72B0">
        <w:t xml:space="preserve">ā </w:t>
      </w:r>
      <w:r w:rsidR="0036673F">
        <w:t xml:space="preserve">norādīts, ka pieteicējai 2020.gada </w:t>
      </w:r>
      <w:r w:rsidR="00010315">
        <w:t xml:space="preserve">[..] </w:t>
      </w:r>
      <w:r w:rsidR="00B956F7">
        <w:t>noteikta</w:t>
      </w:r>
      <w:r w:rsidR="0036673F">
        <w:t xml:space="preserve"> diagnoze</w:t>
      </w:r>
      <w:r w:rsidR="00455C9C">
        <w:t xml:space="preserve"> </w:t>
      </w:r>
      <w:bookmarkStart w:id="6" w:name="_Hlk158185643"/>
      <w:r w:rsidR="008221F8">
        <w:t xml:space="preserve">– </w:t>
      </w:r>
      <w:bookmarkEnd w:id="6"/>
      <w:r w:rsidR="00010315">
        <w:t xml:space="preserve">[diagnozes nosaukums] </w:t>
      </w:r>
      <w:r w:rsidR="00455C9C" w:rsidRPr="00455C9C">
        <w:t>(</w:t>
      </w:r>
      <w:r w:rsidR="00010315">
        <w:rPr>
          <w:i/>
          <w:iCs/>
        </w:rPr>
        <w:t>[diagnozes nosaukums]</w:t>
      </w:r>
      <w:r w:rsidR="00455C9C" w:rsidRPr="00455C9C">
        <w:t>)</w:t>
      </w:r>
      <w:r w:rsidR="00226ACC" w:rsidRPr="00226ACC">
        <w:t xml:space="preserve">, </w:t>
      </w:r>
      <w:r w:rsidR="003A6E43">
        <w:t>t</w:t>
      </w:r>
      <w:r w:rsidR="008221F8">
        <w:t xml:space="preserve">erapija ar </w:t>
      </w:r>
      <w:r w:rsidR="00010315">
        <w:rPr>
          <w:i/>
          <w:iCs/>
          <w:color w:val="000000" w:themeColor="text1"/>
        </w:rPr>
        <w:t xml:space="preserve">[aktīvā viela A] </w:t>
      </w:r>
      <w:r w:rsidR="008221F8">
        <w:rPr>
          <w:color w:val="000000" w:themeColor="text1"/>
        </w:rPr>
        <w:t>nav izvēles terapija,</w:t>
      </w:r>
      <w:r w:rsidR="003A6E43">
        <w:rPr>
          <w:color w:val="000000" w:themeColor="text1"/>
        </w:rPr>
        <w:t xml:space="preserve"> i</w:t>
      </w:r>
      <w:r w:rsidR="008221F8">
        <w:rPr>
          <w:color w:val="000000" w:themeColor="text1"/>
        </w:rPr>
        <w:t>zvēles terapija būtu turpināt</w:t>
      </w:r>
      <w:r w:rsidR="00010315">
        <w:rPr>
          <w:i/>
          <w:iCs/>
          <w:color w:val="000000" w:themeColor="text1"/>
        </w:rPr>
        <w:t xml:space="preserve"> [aktīvā viela B]</w:t>
      </w:r>
      <w:r w:rsidR="008221F8">
        <w:rPr>
          <w:color w:val="000000" w:themeColor="text1"/>
        </w:rPr>
        <w:t>, kas nav pieejams, vai</w:t>
      </w:r>
      <w:r w:rsidR="00010315">
        <w:rPr>
          <w:i/>
          <w:iCs/>
          <w:color w:val="000000" w:themeColor="text1"/>
        </w:rPr>
        <w:t xml:space="preserve"> [aktīvā viela C]</w:t>
      </w:r>
      <w:r w:rsidR="00226ACC" w:rsidRPr="006344FE">
        <w:rPr>
          <w:color w:val="000000" w:themeColor="text1"/>
        </w:rPr>
        <w:t>, zāļu nosaukums</w:t>
      </w:r>
      <w:r w:rsidR="00010315">
        <w:rPr>
          <w:color w:val="000000" w:themeColor="text1"/>
        </w:rPr>
        <w:t xml:space="preserve"> </w:t>
      </w:r>
      <w:r w:rsidR="00010315">
        <w:rPr>
          <w:i/>
          <w:iCs/>
          <w:color w:val="000000" w:themeColor="text1"/>
        </w:rPr>
        <w:t>[Nosaukums]</w:t>
      </w:r>
      <w:r w:rsidR="00E24DAE">
        <w:rPr>
          <w:color w:val="000000" w:themeColor="text1"/>
        </w:rPr>
        <w:t>.</w:t>
      </w:r>
    </w:p>
    <w:p w14:paraId="7878F02E" w14:textId="28BF7E3F" w:rsidR="00DC72B0" w:rsidRDefault="00DC72B0" w:rsidP="002947A5">
      <w:pPr>
        <w:spacing w:line="276" w:lineRule="auto"/>
        <w:ind w:firstLine="720"/>
        <w:jc w:val="both"/>
      </w:pPr>
      <w:r>
        <w:t>Pamatojoties uz minēto ārstu konsilija lēmumu, pieteicēj</w:t>
      </w:r>
      <w:r w:rsidR="006A5B3B">
        <w:t>a</w:t>
      </w:r>
      <w:r>
        <w:t xml:space="preserve"> lūdza Nacionālajam veselības dienestam kompensēt zāļu </w:t>
      </w:r>
      <w:r w:rsidR="00010315">
        <w:rPr>
          <w:i/>
          <w:iCs/>
          <w:color w:val="000000" w:themeColor="text1"/>
        </w:rPr>
        <w:t xml:space="preserve">[aktīvā viela C] </w:t>
      </w:r>
      <w:r>
        <w:t>iegādes izdevumus.</w:t>
      </w:r>
    </w:p>
    <w:p w14:paraId="685DF3CB" w14:textId="677D8FA1" w:rsidR="006321FB" w:rsidRDefault="00E24DAE" w:rsidP="002947A5">
      <w:pPr>
        <w:spacing w:line="276" w:lineRule="auto"/>
        <w:ind w:firstLine="720"/>
        <w:jc w:val="both"/>
      </w:pPr>
      <w:r>
        <w:t>Nacionālais veselības d</w:t>
      </w:r>
      <w:r w:rsidR="00B94390" w:rsidRPr="00B94390">
        <w:t xml:space="preserve">ienests </w:t>
      </w:r>
      <w:r>
        <w:t xml:space="preserve">ar 2020.gada </w:t>
      </w:r>
      <w:r w:rsidR="00010315">
        <w:t xml:space="preserve">[..] </w:t>
      </w:r>
      <w:r>
        <w:t xml:space="preserve">lēmumu </w:t>
      </w:r>
      <w:r w:rsidR="00B94390" w:rsidRPr="00B94390">
        <w:t>kompensāciju atteica</w:t>
      </w:r>
      <w:r>
        <w:t xml:space="preserve">. Lēmumā norādīts, ka </w:t>
      </w:r>
      <w:r w:rsidR="006A5B3B">
        <w:t xml:space="preserve">neizpildās </w:t>
      </w:r>
      <w:r w:rsidR="006A5B3B" w:rsidRPr="006A5B3B">
        <w:t xml:space="preserve">Ministru kabineta 2006.gada 31.oktobra noteikumu Nr. 899 „Ambulatorajai ārstēšanai paredzēto zāļu un medicīnisko ierīču iegādes izdevumu kompensācijas kārtība” (turpmāk – </w:t>
      </w:r>
      <w:r>
        <w:t xml:space="preserve">Kompensācijas </w:t>
      </w:r>
      <w:r w:rsidR="006A5B3B" w:rsidRPr="006A5B3B">
        <w:t>noteikumi)</w:t>
      </w:r>
      <w:r w:rsidR="006A5B3B">
        <w:t xml:space="preserve"> </w:t>
      </w:r>
      <w:r w:rsidR="006A5B3B" w:rsidRPr="004C47C9">
        <w:t>92.punkta nosacījumi</w:t>
      </w:r>
      <w:r w:rsidR="00CC0845">
        <w:t xml:space="preserve">. Proti, </w:t>
      </w:r>
      <w:r w:rsidR="006A5B3B" w:rsidRPr="006A5B3B">
        <w:t>pieteicējai noteiktajai diagnozei</w:t>
      </w:r>
      <w:r>
        <w:t>, kas iekļauta</w:t>
      </w:r>
      <w:r w:rsidR="006A5B3B" w:rsidRPr="006A5B3B">
        <w:t xml:space="preserve"> </w:t>
      </w:r>
      <w:r>
        <w:t xml:space="preserve">Kompensācijas </w:t>
      </w:r>
      <w:r w:rsidR="00CC0845" w:rsidRPr="006A5B3B">
        <w:t>noteikum</w:t>
      </w:r>
      <w:r w:rsidR="00CC0845">
        <w:t>u</w:t>
      </w:r>
      <w:r w:rsidR="00CC0845" w:rsidRPr="006A5B3B">
        <w:t xml:space="preserve"> </w:t>
      </w:r>
      <w:r w:rsidR="006A5B3B">
        <w:t>1.</w:t>
      </w:r>
      <w:r w:rsidR="006A5B3B" w:rsidRPr="006A5B3B">
        <w:t>pielikumā</w:t>
      </w:r>
      <w:r>
        <w:t>,</w:t>
      </w:r>
      <w:r w:rsidR="006A5B3B" w:rsidRPr="006A5B3B">
        <w:t xml:space="preserve"> tiek kompensēti 26</w:t>
      </w:r>
      <w:r w:rsidR="006A5B3B">
        <w:t> </w:t>
      </w:r>
      <w:r w:rsidR="006A5B3B" w:rsidRPr="006A5B3B">
        <w:t>medikamenti</w:t>
      </w:r>
      <w:r w:rsidR="006A5B3B">
        <w:t>, līdz ar to p</w:t>
      </w:r>
      <w:r w:rsidR="006A5B3B" w:rsidRPr="006A5B3B">
        <w:t xml:space="preserve">ieteicējai nav subjektīvu tiesību prasīt </w:t>
      </w:r>
      <w:r>
        <w:t xml:space="preserve">kompensēt </w:t>
      </w:r>
      <w:r w:rsidR="006A5B3B" w:rsidRPr="006A5B3B">
        <w:t>zāļu</w:t>
      </w:r>
      <w:r w:rsidR="009E364D">
        <w:t xml:space="preserve"> </w:t>
      </w:r>
      <w:r w:rsidR="00010315">
        <w:rPr>
          <w:i/>
          <w:iCs/>
        </w:rPr>
        <w:t xml:space="preserve">[Nosaukums] </w:t>
      </w:r>
      <w:r w:rsidR="009E364D" w:rsidRPr="006344FE">
        <w:t>(</w:t>
      </w:r>
      <w:r w:rsidR="00010315">
        <w:rPr>
          <w:i/>
          <w:iCs/>
          <w:color w:val="000000" w:themeColor="text1"/>
        </w:rPr>
        <w:t>[aktīvā viela C]</w:t>
      </w:r>
      <w:r w:rsidR="009E364D" w:rsidRPr="006344FE">
        <w:t>)</w:t>
      </w:r>
      <w:r w:rsidR="006A5B3B" w:rsidRPr="006A5B3B">
        <w:t xml:space="preserve"> iegādes izdevumu</w:t>
      </w:r>
      <w:r>
        <w:t>s</w:t>
      </w:r>
      <w:r w:rsidR="006A5B3B">
        <w:t>.</w:t>
      </w:r>
    </w:p>
    <w:p w14:paraId="6055E687" w14:textId="093A0E13" w:rsidR="006A5B3B" w:rsidRDefault="006A5B3B" w:rsidP="002947A5">
      <w:pPr>
        <w:spacing w:line="276" w:lineRule="auto"/>
        <w:ind w:firstLine="720"/>
        <w:jc w:val="both"/>
      </w:pPr>
      <w:r w:rsidRPr="006A5B3B">
        <w:t xml:space="preserve">Ar Veselības ministrijas 2021.gada </w:t>
      </w:r>
      <w:r w:rsidR="00010315">
        <w:t xml:space="preserve">[..] </w:t>
      </w:r>
      <w:r w:rsidRPr="006A5B3B">
        <w:t>lēmumu Nr. </w:t>
      </w:r>
      <w:r w:rsidR="00010315">
        <w:t>[..]</w:t>
      </w:r>
      <w:r w:rsidRPr="006A5B3B">
        <w:t xml:space="preserve"> </w:t>
      </w:r>
      <w:r w:rsidR="00E24DAE">
        <w:t xml:space="preserve">Nacionālā veselības </w:t>
      </w:r>
      <w:r w:rsidRPr="006A5B3B">
        <w:t>dienesta lēmums atstāts negrozīts.</w:t>
      </w:r>
    </w:p>
    <w:p w14:paraId="196B609E" w14:textId="0E01BAD5" w:rsidR="007A09ED" w:rsidRDefault="007A09ED" w:rsidP="002947A5">
      <w:pPr>
        <w:spacing w:line="276" w:lineRule="auto"/>
        <w:ind w:firstLine="720"/>
        <w:jc w:val="both"/>
      </w:pPr>
      <w:r>
        <w:rPr>
          <w:lang w:eastAsia="lv-LV"/>
        </w:rPr>
        <w:t xml:space="preserve">Pieteicēja </w:t>
      </w:r>
      <w:r w:rsidR="006321FB">
        <w:rPr>
          <w:lang w:eastAsia="lv-LV"/>
        </w:rPr>
        <w:t xml:space="preserve">vērsās </w:t>
      </w:r>
      <w:r w:rsidR="00E24DAE">
        <w:rPr>
          <w:lang w:eastAsia="lv-LV"/>
        </w:rPr>
        <w:t xml:space="preserve">administratīvajā </w:t>
      </w:r>
      <w:r>
        <w:rPr>
          <w:lang w:eastAsia="lv-LV"/>
        </w:rPr>
        <w:t>tiesā</w:t>
      </w:r>
      <w:r w:rsidR="006321FB">
        <w:rPr>
          <w:lang w:eastAsia="lv-LV"/>
        </w:rPr>
        <w:t xml:space="preserve"> ar pieteikumu par labvēlīga administratīvā akta izdošanu</w:t>
      </w:r>
      <w:r>
        <w:rPr>
          <w:lang w:eastAsia="lv-LV"/>
        </w:rPr>
        <w:t>.</w:t>
      </w:r>
    </w:p>
    <w:p w14:paraId="389D415F" w14:textId="326C12D9" w:rsidR="007A09ED" w:rsidRDefault="007A09ED" w:rsidP="002947A5">
      <w:pPr>
        <w:spacing w:line="276" w:lineRule="auto"/>
        <w:ind w:firstLine="720"/>
        <w:jc w:val="both"/>
      </w:pPr>
    </w:p>
    <w:p w14:paraId="03EA007C" w14:textId="2E6EE850" w:rsidR="007A09ED" w:rsidRPr="007A09ED" w:rsidRDefault="007A09ED" w:rsidP="002947A5">
      <w:pPr>
        <w:spacing w:line="276" w:lineRule="auto"/>
        <w:ind w:firstLine="720"/>
        <w:jc w:val="both"/>
      </w:pPr>
      <w:r>
        <w:t>[</w:t>
      </w:r>
      <w:r w:rsidR="00CC0845">
        <w:t>2</w:t>
      </w:r>
      <w:r>
        <w:t>] </w:t>
      </w:r>
      <w:r w:rsidRPr="007A09ED">
        <w:t>Administratīvā apgabaltiesa</w:t>
      </w:r>
      <w:r w:rsidR="00527BED">
        <w:t xml:space="preserve"> </w:t>
      </w:r>
      <w:r w:rsidRPr="007A09ED">
        <w:t>ar 202</w:t>
      </w:r>
      <w:r w:rsidR="00527BED">
        <w:t>1</w:t>
      </w:r>
      <w:r w:rsidRPr="007A09ED">
        <w:t xml:space="preserve">.gada </w:t>
      </w:r>
      <w:r w:rsidR="00010315">
        <w:t xml:space="preserve">[..] </w:t>
      </w:r>
      <w:r w:rsidRPr="007A09ED">
        <w:t xml:space="preserve">spriedumu pieteikumu </w:t>
      </w:r>
      <w:r w:rsidR="00527BED">
        <w:t>apmierināja</w:t>
      </w:r>
      <w:r w:rsidR="00E24DAE">
        <w:t xml:space="preserve"> un atzina par prettiesisku pārsūdzēto Veselības ministrijas lēmumu. Spriedums pamatots ar </w:t>
      </w:r>
      <w:r w:rsidRPr="007A09ED">
        <w:t>turpmāk minētajiem argumentiem.</w:t>
      </w:r>
    </w:p>
    <w:p w14:paraId="2A6FDF1B" w14:textId="6DA1D329" w:rsidR="0009708B" w:rsidRDefault="007A09ED" w:rsidP="002947A5">
      <w:pPr>
        <w:spacing w:line="276" w:lineRule="auto"/>
        <w:ind w:firstLine="720"/>
        <w:jc w:val="both"/>
      </w:pPr>
      <w:r w:rsidRPr="007A09ED">
        <w:t>[2</w:t>
      </w:r>
      <w:r w:rsidR="006321FB">
        <w:t>.1</w:t>
      </w:r>
      <w:r w:rsidR="00FA74FC">
        <w:t>] </w:t>
      </w:r>
      <w:r w:rsidR="009B5DE0">
        <w:t>Atbilstoši Kompensācijas n</w:t>
      </w:r>
      <w:r w:rsidR="0009708B" w:rsidRPr="0009708B">
        <w:t>oteikumu 92.2.apakšpunkt</w:t>
      </w:r>
      <w:r w:rsidR="009B5DE0">
        <w:t xml:space="preserve">am zāļu iegādes izdevumi individuālā kārtībā tiek kompensēti, ja </w:t>
      </w:r>
      <w:r w:rsidR="0009708B" w:rsidRPr="0009708B">
        <w:t>diagnoze ir iekļauta šo noteikumu 1.pielikumā, bet kompensējamo zāļu sarakstā nav iekļautas nevienas zāles un medicīniskās ierīces attiecīgās diagnozes ārstēšanai</w:t>
      </w:r>
      <w:r w:rsidR="00B637DE">
        <w:t>.</w:t>
      </w:r>
    </w:p>
    <w:p w14:paraId="6B860F4C" w14:textId="49B57E22" w:rsidR="006321FB" w:rsidRDefault="006321FB" w:rsidP="002947A5">
      <w:pPr>
        <w:spacing w:line="276" w:lineRule="auto"/>
        <w:ind w:firstLine="720"/>
        <w:jc w:val="both"/>
      </w:pPr>
      <w:r>
        <w:rPr>
          <w:color w:val="000000" w:themeColor="text1"/>
        </w:rPr>
        <w:t>D</w:t>
      </w:r>
      <w:r w:rsidRPr="00D9582D">
        <w:rPr>
          <w:color w:val="000000" w:themeColor="text1"/>
        </w:rPr>
        <w:t>iagnoz</w:t>
      </w:r>
      <w:r>
        <w:rPr>
          <w:color w:val="000000" w:themeColor="text1"/>
        </w:rPr>
        <w:t>e</w:t>
      </w:r>
      <w:r w:rsidRPr="005A5D5E">
        <w:rPr>
          <w:color w:val="000000" w:themeColor="text1"/>
        </w:rPr>
        <w:t xml:space="preserve"> </w:t>
      </w:r>
      <w:r w:rsidR="00010315">
        <w:t xml:space="preserve">[diagnozes nosaukums] </w:t>
      </w:r>
      <w:r>
        <w:t>ir iekļauta</w:t>
      </w:r>
      <w:r w:rsidRPr="00455C9C">
        <w:t xml:space="preserve"> </w:t>
      </w:r>
      <w:r>
        <w:rPr>
          <w:color w:val="000000" w:themeColor="text1"/>
        </w:rPr>
        <w:t>Kompensācijas n</w:t>
      </w:r>
      <w:r w:rsidRPr="00D9582D">
        <w:rPr>
          <w:color w:val="000000" w:themeColor="text1"/>
        </w:rPr>
        <w:t>oteikumu 1.pielikumā</w:t>
      </w:r>
      <w:r>
        <w:rPr>
          <w:color w:val="000000" w:themeColor="text1"/>
        </w:rPr>
        <w:t xml:space="preserve">. Zāļu iegādes izdevumi šīs diagnozes ārstēšanai tiek kompensēti 100 procentu apmērā. Zāles </w:t>
      </w:r>
      <w:r w:rsidR="00010315">
        <w:rPr>
          <w:i/>
          <w:iCs/>
          <w:color w:val="000000" w:themeColor="text1"/>
        </w:rPr>
        <w:t>[Nosaukums]</w:t>
      </w:r>
      <w:r w:rsidRPr="00392DEE">
        <w:rPr>
          <w:color w:val="000000" w:themeColor="text1"/>
        </w:rPr>
        <w:t xml:space="preserve"> </w:t>
      </w:r>
      <w:r>
        <w:rPr>
          <w:color w:val="000000" w:themeColor="text1"/>
        </w:rPr>
        <w:t>nav iekļautas kompensējamo zāļu sarakstā, taču šajā sarakstā pieteicējas diagnozei ir iekļauti citi 26 medikamenti.</w:t>
      </w:r>
    </w:p>
    <w:p w14:paraId="4C04A7BD" w14:textId="467C0E24" w:rsidR="00C8169C" w:rsidRPr="00D13CF6" w:rsidRDefault="00B637DE" w:rsidP="002947A5">
      <w:pPr>
        <w:spacing w:line="276" w:lineRule="auto"/>
        <w:ind w:firstLine="720"/>
        <w:jc w:val="both"/>
        <w:rPr>
          <w:color w:val="000000" w:themeColor="text1"/>
        </w:rPr>
      </w:pPr>
      <w:r>
        <w:t>[2.</w:t>
      </w:r>
      <w:r w:rsidR="004C20AC">
        <w:t>2</w:t>
      </w:r>
      <w:r>
        <w:t>] </w:t>
      </w:r>
      <w:bookmarkStart w:id="7" w:name="_Hlk158018399"/>
      <w:r w:rsidR="00CC0845">
        <w:t>Ā</w:t>
      </w:r>
      <w:r w:rsidR="003874D6">
        <w:t>rstu konsilija lēmumā par zāļu iegādes izdevumu kompensāciju</w:t>
      </w:r>
      <w:r w:rsidR="009B5DE0">
        <w:t xml:space="preserve"> </w:t>
      </w:r>
      <w:r w:rsidR="003A6E43">
        <w:t>norādīts</w:t>
      </w:r>
      <w:r w:rsidR="003874D6">
        <w:t xml:space="preserve">, </w:t>
      </w:r>
      <w:r w:rsidR="003874D6" w:rsidRPr="00D13CF6">
        <w:t xml:space="preserve">ka </w:t>
      </w:r>
      <w:r w:rsidR="009B5DE0">
        <w:t xml:space="preserve">pieteicēja </w:t>
      </w:r>
      <w:r w:rsidR="00C8169C" w:rsidRPr="00D13CF6">
        <w:t>līdz šim specifisku terapiju nav saņēmusi. P</w:t>
      </w:r>
      <w:r w:rsidR="009B5DE0">
        <w:t xml:space="preserve">ieteicēja </w:t>
      </w:r>
      <w:r w:rsidR="00C8169C" w:rsidRPr="00C8169C">
        <w:t xml:space="preserve">ir gados jauna, fertilā vecumā, tādēļ terapija ar </w:t>
      </w:r>
      <w:r w:rsidR="00D64DF2">
        <w:rPr>
          <w:i/>
          <w:iCs/>
          <w:color w:val="000000" w:themeColor="text1"/>
        </w:rPr>
        <w:t xml:space="preserve">[aktīvā viela A] </w:t>
      </w:r>
      <w:r w:rsidR="00C8169C" w:rsidRPr="00C8169C">
        <w:t>nav izvēles terapija, tas nav ieteicams pacientiem, jaunākiem par 40</w:t>
      </w:r>
      <w:r w:rsidR="00C8169C">
        <w:t> </w:t>
      </w:r>
      <w:r w:rsidR="00C8169C" w:rsidRPr="00C8169C">
        <w:t xml:space="preserve">gadiem savas </w:t>
      </w:r>
      <w:r w:rsidR="00C8169C" w:rsidRPr="00D13CF6">
        <w:rPr>
          <w:color w:val="000000" w:themeColor="text1"/>
        </w:rPr>
        <w:t>leikemogēnās darbības dēļ. Izvēles terapija būtu turpināt</w:t>
      </w:r>
      <w:r w:rsidR="00D64DF2">
        <w:rPr>
          <w:i/>
          <w:iCs/>
          <w:color w:val="000000" w:themeColor="text1"/>
        </w:rPr>
        <w:t xml:space="preserve"> [aktīvā viela b]</w:t>
      </w:r>
      <w:r w:rsidR="00C8169C" w:rsidRPr="00D13CF6">
        <w:rPr>
          <w:color w:val="000000" w:themeColor="text1"/>
        </w:rPr>
        <w:t>, kas nav pieejams, vai</w:t>
      </w:r>
      <w:r w:rsidR="00D64DF2">
        <w:rPr>
          <w:i/>
          <w:iCs/>
          <w:color w:val="000000" w:themeColor="text1"/>
        </w:rPr>
        <w:t xml:space="preserve"> [aktīvā viela C]</w:t>
      </w:r>
      <w:r w:rsidR="009B5DE0">
        <w:rPr>
          <w:color w:val="000000" w:themeColor="text1"/>
        </w:rPr>
        <w:t xml:space="preserve">. </w:t>
      </w:r>
      <w:r w:rsidR="00C8169C" w:rsidRPr="00D13CF6">
        <w:rPr>
          <w:color w:val="000000" w:themeColor="text1"/>
        </w:rPr>
        <w:t>Ārstēšanas kursa ilgums</w:t>
      </w:r>
      <w:r w:rsidR="009B5DE0">
        <w:rPr>
          <w:color w:val="000000" w:themeColor="text1"/>
        </w:rPr>
        <w:t xml:space="preserve"> viens </w:t>
      </w:r>
      <w:r w:rsidR="00C8169C" w:rsidRPr="00D13CF6">
        <w:rPr>
          <w:color w:val="000000" w:themeColor="text1"/>
        </w:rPr>
        <w:t>gads. Nelietojot specifisku terapiju, p</w:t>
      </w:r>
      <w:r w:rsidR="009B5DE0">
        <w:rPr>
          <w:color w:val="000000" w:themeColor="text1"/>
        </w:rPr>
        <w:t xml:space="preserve">ieteicējas </w:t>
      </w:r>
      <w:r w:rsidR="00C8169C" w:rsidRPr="00D13CF6">
        <w:rPr>
          <w:color w:val="000000" w:themeColor="text1"/>
        </w:rPr>
        <w:t xml:space="preserve">dzīvības funkcijas ir apdraudētas, ir augsts trombožu un dzīvībai svarīgu orgānu asiņošanas risks, kā arī ir varbūtība, ka </w:t>
      </w:r>
      <w:r w:rsidR="00D64DF2">
        <w:rPr>
          <w:color w:val="000000" w:themeColor="text1"/>
        </w:rPr>
        <w:t xml:space="preserve">[diagnozes nosaukums] </w:t>
      </w:r>
      <w:r w:rsidR="00C8169C" w:rsidRPr="00D13CF6">
        <w:rPr>
          <w:color w:val="000000" w:themeColor="text1"/>
        </w:rPr>
        <w:t xml:space="preserve">transformēsies akūtā leikozē vai </w:t>
      </w:r>
      <w:proofErr w:type="spellStart"/>
      <w:r w:rsidR="00C8169C" w:rsidRPr="00D13CF6">
        <w:rPr>
          <w:color w:val="000000" w:themeColor="text1"/>
        </w:rPr>
        <w:t>mielofibrozē</w:t>
      </w:r>
      <w:proofErr w:type="spellEnd"/>
      <w:r w:rsidR="00C8169C" w:rsidRPr="00D13CF6">
        <w:rPr>
          <w:color w:val="000000" w:themeColor="text1"/>
        </w:rPr>
        <w:t>.</w:t>
      </w:r>
      <w:bookmarkEnd w:id="7"/>
    </w:p>
    <w:p w14:paraId="21847EB5" w14:textId="26D95DC0" w:rsidR="009E37DA" w:rsidRDefault="00FA74FC" w:rsidP="002947A5">
      <w:pPr>
        <w:spacing w:line="276" w:lineRule="auto"/>
        <w:ind w:firstLine="720"/>
        <w:jc w:val="both"/>
      </w:pPr>
      <w:r w:rsidRPr="00D13CF6">
        <w:rPr>
          <w:color w:val="000000" w:themeColor="text1"/>
        </w:rPr>
        <w:t>[</w:t>
      </w:r>
      <w:r w:rsidR="00C049CD" w:rsidRPr="00D13CF6">
        <w:rPr>
          <w:color w:val="000000" w:themeColor="text1"/>
        </w:rPr>
        <w:t>2.</w:t>
      </w:r>
      <w:r w:rsidR="004C20AC">
        <w:rPr>
          <w:color w:val="000000" w:themeColor="text1"/>
        </w:rPr>
        <w:t>3</w:t>
      </w:r>
      <w:r w:rsidRPr="00D13CF6">
        <w:rPr>
          <w:color w:val="000000" w:themeColor="text1"/>
        </w:rPr>
        <w:t>]</w:t>
      </w:r>
      <w:r w:rsidR="00AA3B1E" w:rsidRPr="00D13CF6">
        <w:rPr>
          <w:color w:val="000000" w:themeColor="text1"/>
        </w:rPr>
        <w:t> </w:t>
      </w:r>
      <w:r w:rsidR="009B5DE0">
        <w:rPr>
          <w:color w:val="000000" w:themeColor="text1"/>
        </w:rPr>
        <w:t>Kopš</w:t>
      </w:r>
      <w:r w:rsidR="00AA3B1E" w:rsidRPr="00D13CF6">
        <w:rPr>
          <w:color w:val="000000" w:themeColor="text1"/>
        </w:rPr>
        <w:t xml:space="preserve"> 2021.gada 18.maija kompensējamo zāļu sarakstā ietvert</w:t>
      </w:r>
      <w:r w:rsidR="009E37DA" w:rsidRPr="00D13CF6">
        <w:rPr>
          <w:color w:val="000000" w:themeColor="text1"/>
        </w:rPr>
        <w:t>ais</w:t>
      </w:r>
      <w:r w:rsidR="00AA3B1E" w:rsidRPr="00D13CF6">
        <w:rPr>
          <w:color w:val="000000" w:themeColor="text1"/>
        </w:rPr>
        <w:t xml:space="preserve"> vienīgais</w:t>
      </w:r>
      <w:r w:rsidR="00AA3B1E">
        <w:t xml:space="preserve"> medikaments pieteicējai apstiprinātās diagnozes ārstēšana</w:t>
      </w:r>
      <w:r w:rsidR="00B956F7">
        <w:t>i</w:t>
      </w:r>
      <w:r w:rsidR="009B5DE0">
        <w:t xml:space="preserve"> –</w:t>
      </w:r>
      <w:r w:rsidR="00D64DF2">
        <w:rPr>
          <w:i/>
          <w:iCs/>
          <w:color w:val="000000" w:themeColor="text1"/>
        </w:rPr>
        <w:t>[aktīvā viela A]</w:t>
      </w:r>
      <w:r w:rsidR="003A6E43">
        <w:rPr>
          <w:i/>
          <w:iCs/>
          <w:color w:val="000000" w:themeColor="text1"/>
        </w:rPr>
        <w:t> </w:t>
      </w:r>
      <w:r w:rsidR="009B5DE0">
        <w:t xml:space="preserve">– </w:t>
      </w:r>
      <w:r w:rsidR="00AA3B1E">
        <w:t>konsilija lēmumā atzīts par nepiemērojamu pieteicējai savas leikemogēnās darbības dēļ</w:t>
      </w:r>
      <w:r w:rsidR="0083583D">
        <w:t>. A</w:t>
      </w:r>
      <w:r w:rsidR="009E37DA">
        <w:t xml:space="preserve">tbilstoši </w:t>
      </w:r>
      <w:r w:rsidR="000D2C9E">
        <w:lastRenderedPageBreak/>
        <w:t xml:space="preserve">valsts </w:t>
      </w:r>
      <w:r w:rsidR="009E37DA">
        <w:t>SIA „</w:t>
      </w:r>
      <w:r w:rsidR="00D64DF2">
        <w:t>[Slimnīcas nosaukums]</w:t>
      </w:r>
      <w:r w:rsidR="009E37DA">
        <w:t>” ārsta hematologa atzinumā norādītajam pacientiem, kuri ilgstoši lieto</w:t>
      </w:r>
      <w:r w:rsidR="00D64DF2">
        <w:rPr>
          <w:i/>
          <w:iCs/>
          <w:color w:val="000000" w:themeColor="text1"/>
        </w:rPr>
        <w:t xml:space="preserve"> [aktīvā viela A]</w:t>
      </w:r>
      <w:r w:rsidR="009E37DA">
        <w:t xml:space="preserve">, ir risks saslimt ar </w:t>
      </w:r>
      <w:r w:rsidR="009E37DA" w:rsidRPr="000D4BAE">
        <w:rPr>
          <w:color w:val="000000" w:themeColor="text1"/>
        </w:rPr>
        <w:t xml:space="preserve">mieloleikozi un </w:t>
      </w:r>
      <w:r w:rsidR="009E37DA" w:rsidRPr="00E77A99">
        <w:rPr>
          <w:color w:val="000000" w:themeColor="text1"/>
        </w:rPr>
        <w:t>mielodisplastisku</w:t>
      </w:r>
      <w:r w:rsidR="009E37DA" w:rsidRPr="000D4BAE">
        <w:rPr>
          <w:color w:val="000000" w:themeColor="text1"/>
        </w:rPr>
        <w:t xml:space="preserve"> sin</w:t>
      </w:r>
      <w:r w:rsidR="009E37DA">
        <w:t xml:space="preserve">dromu. Tādējādi </w:t>
      </w:r>
      <w:r w:rsidR="009E37DA" w:rsidRPr="009E37DA">
        <w:t>pašreiz kompensējamo zāļu sarakstā pieteicējai</w:t>
      </w:r>
      <w:r w:rsidR="0083583D">
        <w:t xml:space="preserve"> noteiktās diagnozes ā</w:t>
      </w:r>
      <w:r w:rsidR="009E37DA" w:rsidRPr="009E37DA">
        <w:t>rstēšanai nav ietverts neviens medikaments, kura lietošana neapdraudētu pieteicējas veselības stāvokli</w:t>
      </w:r>
      <w:r w:rsidR="0083583D">
        <w:t>. L</w:t>
      </w:r>
      <w:r w:rsidR="009E37DA" w:rsidRPr="009E37DA">
        <w:t xml:space="preserve">īdz ar to faktiski izpildās </w:t>
      </w:r>
      <w:r w:rsidR="0083583D">
        <w:t xml:space="preserve">Kompensācijas </w:t>
      </w:r>
      <w:r w:rsidR="009E37DA" w:rsidRPr="009E37DA">
        <w:t xml:space="preserve">noteikumu 92.2.apakšpunkta </w:t>
      </w:r>
      <w:r w:rsidR="0083583D">
        <w:t>kritēriji</w:t>
      </w:r>
      <w:r w:rsidR="009E37DA">
        <w:t>.</w:t>
      </w:r>
      <w:r w:rsidR="00D13CF6">
        <w:t xml:space="preserve"> </w:t>
      </w:r>
      <w:r w:rsidR="001C3038">
        <w:t>Līdzīga</w:t>
      </w:r>
      <w:r w:rsidR="001C3038" w:rsidRPr="001C3038">
        <w:t xml:space="preserve"> situācija bija arī konsilija lēmuma pieņemšanas brīdī, jo </w:t>
      </w:r>
      <w:r w:rsidR="00E77A99">
        <w:t xml:space="preserve">kopš </w:t>
      </w:r>
      <w:r w:rsidR="001C3038" w:rsidRPr="001C3038">
        <w:t>2020.gada septembr</w:t>
      </w:r>
      <w:r w:rsidR="00E77A99">
        <w:t>a</w:t>
      </w:r>
      <w:r w:rsidR="001C3038" w:rsidRPr="001C3038">
        <w:t xml:space="preserve"> medikaments </w:t>
      </w:r>
      <w:r w:rsidR="00D64DF2">
        <w:rPr>
          <w:i/>
          <w:iCs/>
          <w:color w:val="000000" w:themeColor="text1"/>
        </w:rPr>
        <w:t xml:space="preserve">[aktīvā viela C] </w:t>
      </w:r>
      <w:r w:rsidR="001C3038" w:rsidRPr="001C3038">
        <w:t>vairs nebija pieejams izsniegšanai pacientiem</w:t>
      </w:r>
      <w:r w:rsidR="001C3038">
        <w:t>.</w:t>
      </w:r>
    </w:p>
    <w:p w14:paraId="6876B04A" w14:textId="67ACF473" w:rsidR="000D2C9E" w:rsidRDefault="001C3038" w:rsidP="002947A5">
      <w:pPr>
        <w:spacing w:line="276" w:lineRule="auto"/>
        <w:ind w:firstLine="720"/>
        <w:jc w:val="both"/>
      </w:pPr>
      <w:r>
        <w:t>[</w:t>
      </w:r>
      <w:r w:rsidR="000D4BAE">
        <w:t>2.</w:t>
      </w:r>
      <w:r w:rsidR="004C20AC">
        <w:t>4</w:t>
      </w:r>
      <w:r>
        <w:t>] </w:t>
      </w:r>
      <w:r w:rsidR="000A4BD0">
        <w:t>N</w:t>
      </w:r>
      <w:r w:rsidR="00574CCA">
        <w:t xml:space="preserve">av pietiekami </w:t>
      </w:r>
      <w:r w:rsidR="0083583D">
        <w:t xml:space="preserve">Kompensācijas </w:t>
      </w:r>
      <w:r w:rsidR="002D3736" w:rsidRPr="002D3736">
        <w:t>noteikumu 92.2.apakšpunkt</w:t>
      </w:r>
      <w:r w:rsidR="00574CCA">
        <w:t>u tulkot</w:t>
      </w:r>
      <w:r w:rsidR="000A4BD0">
        <w:t xml:space="preserve"> </w:t>
      </w:r>
      <w:r w:rsidR="002D3736" w:rsidRPr="002D3736">
        <w:t>gramatisk</w:t>
      </w:r>
      <w:r w:rsidR="000A4BD0">
        <w:t xml:space="preserve">i </w:t>
      </w:r>
      <w:r w:rsidR="002D3736" w:rsidRPr="002D3736">
        <w:t>formāl</w:t>
      </w:r>
      <w:r w:rsidR="00E41F3F">
        <w:t>i</w:t>
      </w:r>
      <w:r w:rsidR="0083583D">
        <w:t xml:space="preserve"> situācij</w:t>
      </w:r>
      <w:r w:rsidR="003A6E43">
        <w:t>ā</w:t>
      </w:r>
      <w:r w:rsidR="0083583D">
        <w:t xml:space="preserve">, kad </w:t>
      </w:r>
      <w:r w:rsidR="002D3736" w:rsidRPr="002D3736">
        <w:t>pēc būtības tiek liegtas iespējas saņemt slimības ārstēšanai vitāli nepieciešamos medikamentus</w:t>
      </w:r>
      <w:r w:rsidR="0083583D">
        <w:t xml:space="preserve">. </w:t>
      </w:r>
      <w:r w:rsidR="006F1F27" w:rsidRPr="006F1F27">
        <w:t xml:space="preserve">Ja </w:t>
      </w:r>
      <w:r w:rsidR="00E41F3F" w:rsidRPr="00E41F3F">
        <w:t>kompensējamo zāļu sarakstā ietvert</w:t>
      </w:r>
      <w:r w:rsidR="00E41F3F">
        <w:t xml:space="preserve">ā </w:t>
      </w:r>
      <w:r w:rsidR="006F1F27" w:rsidRPr="000D2C9E">
        <w:t>pieteicējai pieejamā</w:t>
      </w:r>
      <w:r w:rsidR="006F1F27" w:rsidRPr="006F1F27">
        <w:t xml:space="preserve"> medikamenta lietošanas rezultātā būtiski palielinās risks saslimt ar mieloleikozi un mielodisplastisku sindromu, </w:t>
      </w:r>
      <w:r w:rsidR="006F1F27" w:rsidRPr="000D2C9E">
        <w:rPr>
          <w:color w:val="000000" w:themeColor="text1"/>
        </w:rPr>
        <w:t xml:space="preserve">uz ko ir norādīts arī </w:t>
      </w:r>
      <w:r w:rsidR="00E41F3F" w:rsidRPr="000D2C9E">
        <w:rPr>
          <w:color w:val="000000" w:themeColor="text1"/>
        </w:rPr>
        <w:t xml:space="preserve">valsts </w:t>
      </w:r>
      <w:r w:rsidR="006F1F27" w:rsidRPr="000D2C9E">
        <w:rPr>
          <w:color w:val="000000" w:themeColor="text1"/>
        </w:rPr>
        <w:t>SIA</w:t>
      </w:r>
      <w:r w:rsidR="00E41F3F" w:rsidRPr="000D2C9E">
        <w:rPr>
          <w:color w:val="000000" w:themeColor="text1"/>
        </w:rPr>
        <w:t> </w:t>
      </w:r>
      <w:r w:rsidR="006F1F27" w:rsidRPr="000D2C9E">
        <w:rPr>
          <w:color w:val="000000" w:themeColor="text1"/>
        </w:rPr>
        <w:t>„</w:t>
      </w:r>
      <w:r w:rsidR="00D64DF2">
        <w:rPr>
          <w:color w:val="000000" w:themeColor="text1"/>
        </w:rPr>
        <w:t>[Slimnīcas nosaukums]</w:t>
      </w:r>
      <w:r w:rsidR="006F1F27" w:rsidRPr="000D2C9E">
        <w:rPr>
          <w:color w:val="000000" w:themeColor="text1"/>
        </w:rPr>
        <w:t xml:space="preserve">” ārsta hematologa 2021.gada </w:t>
      </w:r>
      <w:r w:rsidR="00D64DF2">
        <w:rPr>
          <w:color w:val="000000" w:themeColor="text1"/>
        </w:rPr>
        <w:t xml:space="preserve">[..] </w:t>
      </w:r>
      <w:r w:rsidR="006F1F27" w:rsidRPr="000D2C9E">
        <w:rPr>
          <w:color w:val="000000" w:themeColor="text1"/>
        </w:rPr>
        <w:t xml:space="preserve">atzinumā, </w:t>
      </w:r>
      <w:r w:rsidR="006F1F27" w:rsidRPr="006F1F27">
        <w:t xml:space="preserve">savukārt, nelietojot pieteicējai diagnosticētās saslimšanas ārstēšanai specifisku terapiju, pieteicējas dzīvības funkcijas ir apdraudētas, ir augsts trombožu un dzīvībai svarīgu orgānu asiņošanas risks, kā arī ir varbūtība, </w:t>
      </w:r>
      <w:r w:rsidR="006F1F27" w:rsidRPr="000D2C9E">
        <w:rPr>
          <w:color w:val="000000" w:themeColor="text1"/>
        </w:rPr>
        <w:t xml:space="preserve">ka </w:t>
      </w:r>
      <w:r w:rsidR="000D2C9E" w:rsidRPr="000D2C9E">
        <w:rPr>
          <w:color w:val="000000" w:themeColor="text1"/>
        </w:rPr>
        <w:t>diagnoze</w:t>
      </w:r>
      <w:r w:rsidR="006F1F27" w:rsidRPr="000D2C9E">
        <w:rPr>
          <w:color w:val="000000" w:themeColor="text1"/>
        </w:rPr>
        <w:t xml:space="preserve"> transformēsies </w:t>
      </w:r>
      <w:r w:rsidR="006F1F27" w:rsidRPr="006F1F27">
        <w:t>akūtā leikozē vai mielofibrozē, tad pieteicēja, atsakot viņai iespēju saņemt nepieciešamo medikamentu kompensāciju, tiek nostādīta bezcerīgā situācijā, kurā zūd ārstniecības procesa jēga</w:t>
      </w:r>
      <w:r w:rsidR="0083583D">
        <w:t>.</w:t>
      </w:r>
    </w:p>
    <w:p w14:paraId="2A75F9D1" w14:textId="55DDC630" w:rsidR="00A97E3D" w:rsidRDefault="003A6E43" w:rsidP="002947A5">
      <w:pPr>
        <w:spacing w:line="276" w:lineRule="auto"/>
        <w:ind w:firstLine="720"/>
        <w:jc w:val="both"/>
      </w:pPr>
      <w:r>
        <w:t>[</w:t>
      </w:r>
      <w:r w:rsidR="004C20AC">
        <w:t>2.5</w:t>
      </w:r>
      <w:r>
        <w:t>] </w:t>
      </w:r>
      <w:r w:rsidR="000D2C9E">
        <w:t>Situācija</w:t>
      </w:r>
      <w:r w:rsidR="0083583D">
        <w:t xml:space="preserve"> </w:t>
      </w:r>
      <w:r w:rsidR="006F1F27" w:rsidRPr="006F1F27">
        <w:t>nav netipisk</w:t>
      </w:r>
      <w:r w:rsidR="000D2C9E">
        <w:t>a</w:t>
      </w:r>
      <w:r w:rsidR="006F1F27" w:rsidRPr="006F1F27">
        <w:t>, jo no 600</w:t>
      </w:r>
      <w:r w:rsidR="002C1476">
        <w:t> </w:t>
      </w:r>
      <w:r w:rsidR="006F1F27" w:rsidRPr="006F1F27">
        <w:t xml:space="preserve">pacientiem, kuriem Latvijā ir diagnosticēta </w:t>
      </w:r>
      <w:r w:rsidR="003340B9" w:rsidRPr="003340B9">
        <w:t>īstā policitēmija</w:t>
      </w:r>
      <w:r w:rsidR="006F1F27" w:rsidRPr="006F1F27">
        <w:t>, noteikti ir gados jaunas sievietes,</w:t>
      </w:r>
      <w:r w:rsidR="000D2C9E">
        <w:t xml:space="preserve"> kurām ir pieteicējas gadījumam </w:t>
      </w:r>
      <w:r w:rsidR="006F1F27" w:rsidRPr="006F1F27">
        <w:t>līdzīgas problēmas</w:t>
      </w:r>
      <w:r>
        <w:t>. T</w:t>
      </w:r>
      <w:r w:rsidR="006F1F27" w:rsidRPr="006F1F27">
        <w:t xml:space="preserve">omēr </w:t>
      </w:r>
      <w:r>
        <w:t xml:space="preserve">uz pieteicējas situāciju jāraugās kā uz īpašu un jāpiemēro tāda pati tiesiskā kārtība, kā netipisku situāciju gadījumā. </w:t>
      </w:r>
      <w:r w:rsidR="000D2C9E">
        <w:t>N</w:t>
      </w:r>
      <w:r w:rsidR="00A97E3D" w:rsidRPr="00A97E3D">
        <w:t>etipiskā situācijā iespējams atkāpties no likumdevēja noteiktajiem kritērijiem</w:t>
      </w:r>
      <w:r w:rsidR="0083583D">
        <w:t>. Tas jo īpaši</w:t>
      </w:r>
      <w:r w:rsidR="00A811FE" w:rsidRPr="00A811FE">
        <w:t xml:space="preserve"> nepieciešam</w:t>
      </w:r>
      <w:r w:rsidR="0083583D">
        <w:t xml:space="preserve">s </w:t>
      </w:r>
      <w:r w:rsidR="00A811FE" w:rsidRPr="00A811FE">
        <w:t>gadījumos, ja ar administratīvo aktu tiek ierobežotas personas pamattiesības</w:t>
      </w:r>
      <w:r w:rsidR="00A811FE">
        <w:t>.</w:t>
      </w:r>
    </w:p>
    <w:p w14:paraId="68B496C3" w14:textId="0BD45552" w:rsidR="006F1F27" w:rsidRDefault="0083583D" w:rsidP="002947A5">
      <w:pPr>
        <w:spacing w:line="276" w:lineRule="auto"/>
        <w:ind w:firstLine="720"/>
        <w:jc w:val="both"/>
      </w:pPr>
      <w:r>
        <w:t xml:space="preserve">Saskaņā ar </w:t>
      </w:r>
      <w:r w:rsidR="00A811FE" w:rsidRPr="00A811FE">
        <w:t xml:space="preserve">Latvijas Republikas Satversmes </w:t>
      </w:r>
      <w:r w:rsidR="0061677A">
        <w:t xml:space="preserve">(turpmāk – Satversme) </w:t>
      </w:r>
      <w:r w:rsidR="00A811FE" w:rsidRPr="00A811FE">
        <w:t>111.pant</w:t>
      </w:r>
      <w:r>
        <w:t>u</w:t>
      </w:r>
      <w:r w:rsidR="00A811FE" w:rsidRPr="00A811FE">
        <w:t xml:space="preserve"> valsts aizsargā cilvēku veselību un garantē ikvienam medicīniskās palīdzības minimumu</w:t>
      </w:r>
      <w:r w:rsidR="00A811FE">
        <w:t>.</w:t>
      </w:r>
      <w:r>
        <w:t xml:space="preserve"> </w:t>
      </w:r>
      <w:r w:rsidR="00A811FE">
        <w:t>P</w:t>
      </w:r>
      <w:r w:rsidR="00A811FE" w:rsidRPr="00A811FE">
        <w:t xml:space="preserve">ieteicējas veselība, nelietojot ārstu konsilija noteikto medikamentu, būtiski tiek apdraudēta, līdz ar to tiek ierobežotas pieteicējas pamattiesības, un iestāžu atteikums kompensēt medikamenta </w:t>
      </w:r>
      <w:r w:rsidR="00D64DF2">
        <w:rPr>
          <w:i/>
          <w:iCs/>
          <w:color w:val="000000" w:themeColor="text1"/>
        </w:rPr>
        <w:t xml:space="preserve">[aktīvā viela C] </w:t>
      </w:r>
      <w:r w:rsidR="00A811FE" w:rsidRPr="00A811FE">
        <w:t>iegādes izdevumus piešķirto līdzekļu ietvaros nav uzskatāms par samērīgu</w:t>
      </w:r>
      <w:r w:rsidR="00A811FE">
        <w:t xml:space="preserve">. </w:t>
      </w:r>
      <w:r w:rsidR="0001455C">
        <w:t>Tā kā p</w:t>
      </w:r>
      <w:r w:rsidR="00A811FE">
        <w:t xml:space="preserve">ēc </w:t>
      </w:r>
      <w:r w:rsidR="00A811FE" w:rsidRPr="00A811FE">
        <w:t xml:space="preserve">būtības bija izpildījušies </w:t>
      </w:r>
      <w:r w:rsidR="0001455C">
        <w:t xml:space="preserve">Kompensācijas </w:t>
      </w:r>
      <w:r w:rsidR="00A811FE" w:rsidRPr="00A811FE">
        <w:t>noteikumu 92.2.apakšpunktā minētie priekšnoteikumi, lai izdotu pieteicējas pieprasīto administratīvo aktu</w:t>
      </w:r>
      <w:r w:rsidR="0001455C">
        <w:t xml:space="preserve">, iestādes </w:t>
      </w:r>
      <w:r w:rsidR="00A811FE" w:rsidRPr="00A811FE">
        <w:t xml:space="preserve">atteikums </w:t>
      </w:r>
      <w:r w:rsidR="0001455C">
        <w:t xml:space="preserve">kompensēt </w:t>
      </w:r>
      <w:r w:rsidR="00A811FE" w:rsidRPr="00A811FE">
        <w:t>pieteicējai kā individuālam pacientam</w:t>
      </w:r>
      <w:r w:rsidR="0001455C">
        <w:t xml:space="preserve"> </w:t>
      </w:r>
      <w:r w:rsidR="00A811FE" w:rsidRPr="00A811FE">
        <w:t xml:space="preserve">zāļu </w:t>
      </w:r>
      <w:r w:rsidR="00D64DF2">
        <w:rPr>
          <w:i/>
          <w:iCs/>
          <w:color w:val="000000" w:themeColor="text1"/>
        </w:rPr>
        <w:t xml:space="preserve">[aktīvā viela C] </w:t>
      </w:r>
      <w:r w:rsidR="00A811FE" w:rsidRPr="00A811FE">
        <w:t>iegādes izdevumu</w:t>
      </w:r>
      <w:r w:rsidR="0001455C">
        <w:t>s</w:t>
      </w:r>
      <w:r w:rsidR="00A811FE" w:rsidRPr="00A811FE">
        <w:t xml:space="preserve"> piešķirto līdzekļu ietvaros nav atbilstošs pieteicējas situācijai</w:t>
      </w:r>
      <w:r w:rsidR="00A811FE">
        <w:t>.</w:t>
      </w:r>
    </w:p>
    <w:p w14:paraId="21AF8AD6" w14:textId="577EA718" w:rsidR="00E77A99" w:rsidRDefault="00A811FE" w:rsidP="002947A5">
      <w:pPr>
        <w:spacing w:line="276" w:lineRule="auto"/>
        <w:ind w:firstLine="720"/>
        <w:jc w:val="both"/>
      </w:pPr>
      <w:r>
        <w:t>[</w:t>
      </w:r>
      <w:r w:rsidR="000D4BAE">
        <w:t>2.</w:t>
      </w:r>
      <w:r w:rsidR="004C20AC">
        <w:t>6</w:t>
      </w:r>
      <w:r>
        <w:t>] </w:t>
      </w:r>
      <w:bookmarkStart w:id="8" w:name="_Hlk158929006"/>
      <w:r w:rsidR="0001455C">
        <w:t>Lai atbilstoši Kompensācijas n</w:t>
      </w:r>
      <w:r w:rsidR="00E77A99" w:rsidRPr="00E77A99">
        <w:t>oteikumu 92.2.apakšpunkta</w:t>
      </w:r>
      <w:r w:rsidR="0001455C">
        <w:t xml:space="preserve">m varētu pieņemt lēmumu par zāļu iegādes izdevumu kompensāciju individuālam pacientam, ir nepieciešams konsilija lēmums. </w:t>
      </w:r>
      <w:r w:rsidR="00A77B98">
        <w:t>L</w:t>
      </w:r>
      <w:r w:rsidR="00A77B98" w:rsidRPr="00E77A99">
        <w:t>ietas izskatīšanas laikā apgabaltiesā ir beidzies konsilija lēmumā noteiktais termiņš</w:t>
      </w:r>
      <w:r w:rsidR="00A77B98">
        <w:t>, līdz ar to nav pamata lemt par administratīvā akta izdošanu, bet</w:t>
      </w:r>
      <w:r w:rsidR="0001455C">
        <w:t>, ņemot vērā iepriekš norādītos apsvērumus,</w:t>
      </w:r>
      <w:r w:rsidR="00A77B98">
        <w:t xml:space="preserve"> </w:t>
      </w:r>
      <w:r w:rsidR="00A77B98" w:rsidRPr="00A77B98">
        <w:t>atteikum</w:t>
      </w:r>
      <w:r w:rsidR="006C29D9">
        <w:t>s</w:t>
      </w:r>
      <w:r w:rsidR="00A77B98" w:rsidRPr="00A77B98">
        <w:t xml:space="preserve"> kompensēt pieteicējai medikamenta </w:t>
      </w:r>
      <w:r w:rsidR="00D64DF2">
        <w:rPr>
          <w:i/>
          <w:iCs/>
          <w:color w:val="000000" w:themeColor="text1"/>
        </w:rPr>
        <w:t xml:space="preserve">[aktīvā viela C] </w:t>
      </w:r>
      <w:r w:rsidR="00A77B98" w:rsidRPr="00A77B98">
        <w:t>iegādes izdevumus piešķirto līdzekļu ietvaros</w:t>
      </w:r>
      <w:r w:rsidR="006C29D9">
        <w:t xml:space="preserve"> ir atzīstams par prettiesisku</w:t>
      </w:r>
      <w:r w:rsidR="00A77B98">
        <w:t>.</w:t>
      </w:r>
    </w:p>
    <w:p w14:paraId="434CD3B0" w14:textId="77777777" w:rsidR="00A77B98" w:rsidRDefault="00A77B98" w:rsidP="002947A5">
      <w:pPr>
        <w:spacing w:line="276" w:lineRule="auto"/>
        <w:ind w:firstLine="720"/>
        <w:jc w:val="both"/>
      </w:pPr>
      <w:bookmarkStart w:id="9" w:name="_Hlk128625159"/>
      <w:bookmarkEnd w:id="8"/>
    </w:p>
    <w:p w14:paraId="482D2AEA" w14:textId="77777777" w:rsidR="0001455C" w:rsidRDefault="00B522E2" w:rsidP="002947A5">
      <w:pPr>
        <w:spacing w:line="276" w:lineRule="auto"/>
        <w:ind w:firstLine="720"/>
        <w:jc w:val="both"/>
        <w:rPr>
          <w:shd w:val="clear" w:color="auto" w:fill="FFFFFF"/>
        </w:rPr>
      </w:pPr>
      <w:r w:rsidRPr="00055DB3">
        <w:t>[3]</w:t>
      </w:r>
      <w:r w:rsidR="00873DBC">
        <w:t> </w:t>
      </w:r>
      <w:r w:rsidR="0001455C">
        <w:t>Veselības m</w:t>
      </w:r>
      <w:r w:rsidR="006F1F27">
        <w:t>inistrija</w:t>
      </w:r>
      <w:r w:rsidRPr="00055DB3">
        <w:t xml:space="preserve"> par apgabaltiesas spriedumu iesniedza kasācijas sūdzību</w:t>
      </w:r>
      <w:r w:rsidR="0001455C">
        <w:t xml:space="preserve">, norādot </w:t>
      </w:r>
      <w:r w:rsidRPr="00055DB3">
        <w:rPr>
          <w:shd w:val="clear" w:color="auto" w:fill="FFFFFF"/>
        </w:rPr>
        <w:t>turpmāk minēt</w:t>
      </w:r>
      <w:r w:rsidR="0001455C">
        <w:rPr>
          <w:shd w:val="clear" w:color="auto" w:fill="FFFFFF"/>
        </w:rPr>
        <w:t>os argumentus.</w:t>
      </w:r>
    </w:p>
    <w:p w14:paraId="7A27D706" w14:textId="5492FF6F" w:rsidR="0001455C" w:rsidRDefault="00AF40EF" w:rsidP="002947A5">
      <w:pPr>
        <w:spacing w:line="276" w:lineRule="auto"/>
        <w:ind w:firstLine="720"/>
        <w:jc w:val="both"/>
        <w:rPr>
          <w:shd w:val="clear" w:color="auto" w:fill="FFFFFF"/>
        </w:rPr>
      </w:pPr>
      <w:r>
        <w:rPr>
          <w:shd w:val="clear" w:color="auto" w:fill="FFFFFF"/>
        </w:rPr>
        <w:lastRenderedPageBreak/>
        <w:t>[</w:t>
      </w:r>
      <w:r w:rsidR="00873DBC">
        <w:rPr>
          <w:shd w:val="clear" w:color="auto" w:fill="FFFFFF"/>
        </w:rPr>
        <w:t>3.1</w:t>
      </w:r>
      <w:r>
        <w:rPr>
          <w:shd w:val="clear" w:color="auto" w:fill="FFFFFF"/>
        </w:rPr>
        <w:t>] </w:t>
      </w:r>
      <w:r w:rsidR="003D4D35" w:rsidRPr="003D4D35">
        <w:rPr>
          <w:shd w:val="clear" w:color="auto" w:fill="FFFFFF"/>
        </w:rPr>
        <w:t>Apgabaltiesas spriedums</w:t>
      </w:r>
      <w:r w:rsidR="000D2C9E">
        <w:rPr>
          <w:shd w:val="clear" w:color="auto" w:fill="FFFFFF"/>
        </w:rPr>
        <w:t xml:space="preserve"> </w:t>
      </w:r>
      <w:r w:rsidR="003D4D35" w:rsidRPr="003D4D35">
        <w:rPr>
          <w:shd w:val="clear" w:color="auto" w:fill="FFFFFF"/>
        </w:rPr>
        <w:t>maina līdzšinējo tiesu praksi un ir vērtējams kā bīstams precedents zāļu kompensācijas sistēmas turpmākai normālai funkcionēšanai</w:t>
      </w:r>
      <w:r w:rsidR="003D4D35">
        <w:rPr>
          <w:shd w:val="clear" w:color="auto" w:fill="FFFFFF"/>
        </w:rPr>
        <w:t>.</w:t>
      </w:r>
    </w:p>
    <w:p w14:paraId="7E98BE24" w14:textId="78282FE6" w:rsidR="00172B15" w:rsidRDefault="0001455C" w:rsidP="002947A5">
      <w:pPr>
        <w:spacing w:line="276" w:lineRule="auto"/>
        <w:ind w:firstLine="720"/>
        <w:jc w:val="both"/>
      </w:pPr>
      <w:r>
        <w:rPr>
          <w:shd w:val="clear" w:color="auto" w:fill="FFFFFF"/>
        </w:rPr>
        <w:t>[</w:t>
      </w:r>
      <w:r w:rsidR="004C20AC">
        <w:rPr>
          <w:shd w:val="clear" w:color="auto" w:fill="FFFFFF"/>
        </w:rPr>
        <w:t>3.2]</w:t>
      </w:r>
      <w:r>
        <w:rPr>
          <w:shd w:val="clear" w:color="auto" w:fill="FFFFFF"/>
        </w:rPr>
        <w:t> Lietas faktiskajiem apstākļiem neatbilst tiesas s</w:t>
      </w:r>
      <w:r w:rsidR="000D2C9E">
        <w:rPr>
          <w:shd w:val="clear" w:color="auto" w:fill="FFFFFF"/>
        </w:rPr>
        <w:t xml:space="preserve">ecinājums, ka </w:t>
      </w:r>
      <w:r w:rsidR="003D4D35" w:rsidRPr="003D4D35">
        <w:t xml:space="preserve">pašreiz </w:t>
      </w:r>
      <w:r w:rsidR="003D4D35">
        <w:t>k</w:t>
      </w:r>
      <w:r w:rsidR="003D4D35" w:rsidRPr="003D4D35">
        <w:t xml:space="preserve">ompensējamo zāļu sarakstā </w:t>
      </w:r>
      <w:r w:rsidR="003D4D35">
        <w:t>p</w:t>
      </w:r>
      <w:r w:rsidR="003D4D35" w:rsidRPr="003D4D35">
        <w:t>ieteicējai</w:t>
      </w:r>
      <w:r>
        <w:t xml:space="preserve"> noteiktās diagnozes </w:t>
      </w:r>
      <w:r w:rsidR="003D4D35" w:rsidRPr="003D4D35">
        <w:t>ārstēšanai n</w:t>
      </w:r>
      <w:r>
        <w:t>av</w:t>
      </w:r>
      <w:r w:rsidR="003D4D35" w:rsidRPr="003D4D35">
        <w:t xml:space="preserve"> ietverts neviens medikaments, kura lietošana neapdraudētu </w:t>
      </w:r>
      <w:r w:rsidR="003D4D35">
        <w:t>p</w:t>
      </w:r>
      <w:r w:rsidR="003D4D35" w:rsidRPr="003D4D35">
        <w:t>ieteicējas veselības stāvokli</w:t>
      </w:r>
      <w:r>
        <w:t xml:space="preserve">. </w:t>
      </w:r>
      <w:r w:rsidR="003D4D35" w:rsidRPr="003D4D35">
        <w:t xml:space="preserve">Kompensējamo zāļu sarakstā līdz šīs kasācijas sūdzības sastādīšanas brīdim ir iekļautas </w:t>
      </w:r>
      <w:r>
        <w:t xml:space="preserve">vairākas </w:t>
      </w:r>
      <w:r w:rsidR="003D4D35" w:rsidRPr="003D4D35">
        <w:t xml:space="preserve">zāles </w:t>
      </w:r>
      <w:r>
        <w:t xml:space="preserve">pieteicējai noteiktās </w:t>
      </w:r>
      <w:r w:rsidR="003D4D35" w:rsidRPr="003D4D35">
        <w:t>diagnozes ārstēšanai.</w:t>
      </w:r>
      <w:r w:rsidR="00BB5C0E">
        <w:t xml:space="preserve"> </w:t>
      </w:r>
      <w:r w:rsidR="00BB5C0E" w:rsidRPr="00BB5C0E">
        <w:t xml:space="preserve">Pieteicējai konstatētā diagnoze un arī visi pārējie lietas apstākļi nav vērtējami kā </w:t>
      </w:r>
      <w:r w:rsidR="00BB5C0E">
        <w:t>netipiski</w:t>
      </w:r>
      <w:r>
        <w:t xml:space="preserve">, ko ir atzinusi arī tiesa. </w:t>
      </w:r>
      <w:r w:rsidR="00BB5C0E" w:rsidRPr="00BB5C0E">
        <w:t>Tieši tāda pati diagnoze ir aptuveni 600</w:t>
      </w:r>
      <w:r w:rsidR="006C29D9">
        <w:t> </w:t>
      </w:r>
      <w:r w:rsidR="00BB5C0E" w:rsidRPr="00BB5C0E">
        <w:t xml:space="preserve">pacientiem, </w:t>
      </w:r>
      <w:r w:rsidR="00BB5C0E">
        <w:t>kuri lieto</w:t>
      </w:r>
      <w:r>
        <w:t xml:space="preserve"> kompensējamās</w:t>
      </w:r>
      <w:r w:rsidR="00BB5C0E">
        <w:t xml:space="preserve"> zāles</w:t>
      </w:r>
      <w:r w:rsidR="00D64DF2">
        <w:rPr>
          <w:i/>
          <w:iCs/>
          <w:color w:val="000000" w:themeColor="text1"/>
        </w:rPr>
        <w:t xml:space="preserve"> [aktīvā viela A]</w:t>
      </w:r>
      <w:r w:rsidR="00BB5C0E">
        <w:t>.</w:t>
      </w:r>
      <w:r w:rsidR="00CB6AAA">
        <w:rPr>
          <w:shd w:val="clear" w:color="auto" w:fill="FFFFFF"/>
        </w:rPr>
        <w:t xml:space="preserve"> </w:t>
      </w:r>
      <w:r w:rsidR="00CB6AAA">
        <w:t xml:space="preserve">Lai šādu spriedumu izpildītu, </w:t>
      </w:r>
      <w:r w:rsidR="00544F58" w:rsidRPr="00544F58">
        <w:rPr>
          <w:iCs/>
        </w:rPr>
        <w:t>zāļu kompensācijas sistēmai būtu pilnībā vai daļēji jāatsakās, piemēram, no zāļu apmaksas kardioloģijas pacientiem vai cukura diabēta pacientiem. Tas pilnībā neatbilstu līdzšinējai tiesu praksei un Satversmes tiesas atziņām, kā arī apdraud</w:t>
      </w:r>
      <w:r>
        <w:rPr>
          <w:iCs/>
        </w:rPr>
        <w:t>ētu</w:t>
      </w:r>
      <w:r w:rsidR="00544F58" w:rsidRPr="00544F58">
        <w:rPr>
          <w:iCs/>
        </w:rPr>
        <w:t xml:space="preserve"> </w:t>
      </w:r>
      <w:r>
        <w:rPr>
          <w:iCs/>
        </w:rPr>
        <w:t>personu</w:t>
      </w:r>
      <w:r w:rsidR="00544F58" w:rsidRPr="00544F58">
        <w:rPr>
          <w:iCs/>
        </w:rPr>
        <w:t xml:space="preserve"> Satversmes 111.pantā noteiktās tiesības uz medicīniskās palīdzības minimumu</w:t>
      </w:r>
      <w:r w:rsidR="00544F58">
        <w:rPr>
          <w:iCs/>
        </w:rPr>
        <w:t>.</w:t>
      </w:r>
      <w:r w:rsidR="00A81FB6">
        <w:t xml:space="preserve"> Ja apgabaltiesas spriedums stāsies spēkā, </w:t>
      </w:r>
      <w:r w:rsidR="009204C3">
        <w:t>v</w:t>
      </w:r>
      <w:r w:rsidR="00172B15" w:rsidRPr="00172B15">
        <w:t>alsts ar zāļu kompensāciju varēs palīdzēt</w:t>
      </w:r>
      <w:r w:rsidR="00172B15">
        <w:t xml:space="preserve"> </w:t>
      </w:r>
      <w:r w:rsidR="00172B15" w:rsidRPr="00172B15">
        <w:t xml:space="preserve">būtiski mazākai iedzīvotāju daļai, nekā līdz šim. </w:t>
      </w:r>
      <w:r w:rsidR="00A81FB6">
        <w:t xml:space="preserve">Apgabaltiesas </w:t>
      </w:r>
      <w:r w:rsidR="00172B15" w:rsidRPr="00172B15">
        <w:t xml:space="preserve">spriedums nonāk pretrunā ar vienlīdzības, tiesību normu saprātīgas piemērošanas, likuma atrunas </w:t>
      </w:r>
      <w:r w:rsidR="00A81FB6">
        <w:t>un p</w:t>
      </w:r>
      <w:r w:rsidR="00172B15" w:rsidRPr="00172B15">
        <w:t>rocesuālā taisnīguma principu</w:t>
      </w:r>
      <w:r w:rsidR="00172B15">
        <w:t>.</w:t>
      </w:r>
    </w:p>
    <w:p w14:paraId="1B5A8FC3" w14:textId="632FF999" w:rsidR="00354E97" w:rsidRDefault="00172B15" w:rsidP="002947A5">
      <w:pPr>
        <w:spacing w:line="276" w:lineRule="auto"/>
        <w:ind w:firstLine="720"/>
        <w:jc w:val="both"/>
      </w:pPr>
      <w:r>
        <w:t>[</w:t>
      </w:r>
      <w:r w:rsidR="000D4BAE">
        <w:t>3.3</w:t>
      </w:r>
      <w:r>
        <w:t>] </w:t>
      </w:r>
      <w:r w:rsidR="00A81FB6">
        <w:t>No lietas materiāliem izriet, ka p</w:t>
      </w:r>
      <w:r w:rsidR="00F87969">
        <w:t xml:space="preserve">ieteicēja zāles </w:t>
      </w:r>
      <w:r w:rsidR="00D64DF2">
        <w:rPr>
          <w:i/>
          <w:iCs/>
          <w:color w:val="000000" w:themeColor="text1"/>
        </w:rPr>
        <w:t xml:space="preserve">[aktīvā viela A] </w:t>
      </w:r>
      <w:r w:rsidR="00F87969">
        <w:t>nav lietojusi</w:t>
      </w:r>
      <w:r w:rsidR="00A81FB6">
        <w:t xml:space="preserve">. Lietā nav ziņu, ka zāļu </w:t>
      </w:r>
      <w:r w:rsidR="00D64DF2">
        <w:rPr>
          <w:i/>
          <w:iCs/>
          <w:color w:val="000000" w:themeColor="text1"/>
        </w:rPr>
        <w:t xml:space="preserve">[aktīvā viela A] </w:t>
      </w:r>
      <w:r w:rsidR="00F87969" w:rsidRPr="00F87969">
        <w:t xml:space="preserve">lietošanās rezultātā </w:t>
      </w:r>
      <w:r w:rsidR="00F87969">
        <w:t>p</w:t>
      </w:r>
      <w:r w:rsidR="00F87969" w:rsidRPr="00F87969">
        <w:t>ieteicējai būtu konstatēta kāda kaitīga ietekme vai zāļu lietošanas rezultātā radies kaitējums veselībai</w:t>
      </w:r>
      <w:r w:rsidR="00A81FB6">
        <w:t>. L</w:t>
      </w:r>
      <w:r w:rsidR="00F87969">
        <w:t xml:space="preserve">īdz ar to nevar </w:t>
      </w:r>
      <w:r w:rsidR="00F87969" w:rsidRPr="00F87969">
        <w:t xml:space="preserve">apgalvot, ka zāļu </w:t>
      </w:r>
      <w:r w:rsidR="00D64DF2">
        <w:rPr>
          <w:i/>
          <w:iCs/>
          <w:color w:val="000000" w:themeColor="text1"/>
        </w:rPr>
        <w:t xml:space="preserve">[aktīvā viela A] </w:t>
      </w:r>
      <w:r w:rsidR="00F87969" w:rsidRPr="00F87969">
        <w:t xml:space="preserve">lietošana rada risku </w:t>
      </w:r>
      <w:r w:rsidR="00F87969">
        <w:t>p</w:t>
      </w:r>
      <w:r w:rsidR="00F87969" w:rsidRPr="00F87969">
        <w:t>ieteicējas veselībai</w:t>
      </w:r>
      <w:r w:rsidR="00F87969">
        <w:t>.</w:t>
      </w:r>
    </w:p>
    <w:p w14:paraId="1D976A5A" w14:textId="7C2C8F12" w:rsidR="0089317B" w:rsidRDefault="00F87969" w:rsidP="002947A5">
      <w:pPr>
        <w:spacing w:line="276" w:lineRule="auto"/>
        <w:ind w:firstLine="720"/>
        <w:jc w:val="both"/>
      </w:pPr>
      <w:r>
        <w:t>[</w:t>
      </w:r>
      <w:r w:rsidR="0089317B">
        <w:t>3.4</w:t>
      </w:r>
      <w:r>
        <w:t>] </w:t>
      </w:r>
      <w:r w:rsidR="00A81FB6">
        <w:t>Kļūdains ir a</w:t>
      </w:r>
      <w:r>
        <w:t xml:space="preserve">pgabaltiesas secinājums par zāļu </w:t>
      </w:r>
      <w:r w:rsidR="00D64DF2">
        <w:rPr>
          <w:i/>
          <w:iCs/>
          <w:color w:val="000000" w:themeColor="text1"/>
        </w:rPr>
        <w:t xml:space="preserve">[aktīvā viela A] </w:t>
      </w:r>
      <w:r w:rsidR="00A81FB6">
        <w:t>ne</w:t>
      </w:r>
      <w:r>
        <w:t>piemērotību</w:t>
      </w:r>
      <w:r w:rsidR="006C29D9">
        <w:t xml:space="preserve"> pieteicējai</w:t>
      </w:r>
      <w:r w:rsidR="00354E97">
        <w:t>, jo tikai vienā</w:t>
      </w:r>
      <w:r w:rsidR="00E319C5">
        <w:t>s</w:t>
      </w:r>
      <w:r w:rsidR="00354E97">
        <w:t xml:space="preserve"> no trim </w:t>
      </w:r>
      <w:r w:rsidR="00354E97" w:rsidRPr="00354E97">
        <w:t>konsilija lēmumā norādīt</w:t>
      </w:r>
      <w:r w:rsidR="00354E97">
        <w:t>a</w:t>
      </w:r>
      <w:r w:rsidR="00E319C5">
        <w:t>jām vadlīnijām</w:t>
      </w:r>
      <w:r w:rsidR="00354E97">
        <w:t xml:space="preserve"> </w:t>
      </w:r>
      <w:r w:rsidR="00A81FB6">
        <w:t>minēts</w:t>
      </w:r>
      <w:r w:rsidR="00354E97">
        <w:t xml:space="preserve">, ka </w:t>
      </w:r>
      <w:r w:rsidR="00354E97" w:rsidRPr="00354E97">
        <w:t>pacientiem, kas jaunāki par 40</w:t>
      </w:r>
      <w:r w:rsidR="00354E97">
        <w:t> </w:t>
      </w:r>
      <w:r w:rsidR="00354E97" w:rsidRPr="00354E97">
        <w:t>gadiem, nav ieteicams lietot zāles</w:t>
      </w:r>
      <w:r w:rsidR="00D64DF2">
        <w:rPr>
          <w:i/>
          <w:iCs/>
          <w:color w:val="000000" w:themeColor="text1"/>
        </w:rPr>
        <w:t xml:space="preserve"> [aktīvā viela A]</w:t>
      </w:r>
      <w:r w:rsidR="00A81FB6">
        <w:t>. A</w:t>
      </w:r>
      <w:r w:rsidR="00354E97">
        <w:t xml:space="preserve">rī </w:t>
      </w:r>
      <w:r w:rsidR="00A81FB6">
        <w:t xml:space="preserve">šo </w:t>
      </w:r>
      <w:r>
        <w:t>zāļu aprakstā nav norādes par zāļu lietošanas ierobežo</w:t>
      </w:r>
      <w:r w:rsidR="00354E97">
        <w:t xml:space="preserve">jumu </w:t>
      </w:r>
      <w:r>
        <w:t>saistībā ar pacienta vecumu</w:t>
      </w:r>
      <w:r w:rsidR="00354E97">
        <w:t>.</w:t>
      </w:r>
      <w:r w:rsidR="0089317B">
        <w:t xml:space="preserve"> </w:t>
      </w:r>
      <w:r w:rsidR="00A81FB6">
        <w:t>K</w:t>
      </w:r>
      <w:r w:rsidR="0089317B">
        <w:t xml:space="preserve">ļūdains </w:t>
      </w:r>
      <w:r w:rsidR="00A81FB6">
        <w:t xml:space="preserve">ir </w:t>
      </w:r>
      <w:r w:rsidR="0089317B">
        <w:t>arī a</w:t>
      </w:r>
      <w:r w:rsidR="00354E97">
        <w:t>pgabaltiesa</w:t>
      </w:r>
      <w:r w:rsidR="0089317B">
        <w:t>s secinājums</w:t>
      </w:r>
      <w:r w:rsidR="0089317B" w:rsidRPr="0089317B">
        <w:t xml:space="preserve">, ka tikai zāles </w:t>
      </w:r>
      <w:r w:rsidR="00D64DF2">
        <w:rPr>
          <w:i/>
          <w:iCs/>
          <w:color w:val="000000" w:themeColor="text1"/>
        </w:rPr>
        <w:t xml:space="preserve">[aktīvā viela A] </w:t>
      </w:r>
      <w:r w:rsidR="0089317B" w:rsidRPr="0089317B">
        <w:t xml:space="preserve">ir citoreduktīvs līdzeklis, bet citas zāles nav citoreduktīvas un ir ārstējošas un </w:t>
      </w:r>
      <w:r w:rsidR="0014093B">
        <w:t>k</w:t>
      </w:r>
      <w:r w:rsidR="0089317B" w:rsidRPr="0089317B">
        <w:t>ompensējamo zāļu sarakstā nav neviena piemērota medikamenta</w:t>
      </w:r>
      <w:r w:rsidR="0089317B">
        <w:t>.</w:t>
      </w:r>
    </w:p>
    <w:p w14:paraId="1694234A" w14:textId="77777777" w:rsidR="001D24A1" w:rsidRDefault="001D24A1" w:rsidP="002947A5">
      <w:pPr>
        <w:spacing w:line="276" w:lineRule="auto"/>
        <w:ind w:firstLine="720"/>
        <w:jc w:val="both"/>
      </w:pPr>
    </w:p>
    <w:p w14:paraId="2B556318" w14:textId="347F11BD" w:rsidR="001D24A1" w:rsidRPr="00AF1546" w:rsidRDefault="001D24A1" w:rsidP="002947A5">
      <w:pPr>
        <w:spacing w:line="276" w:lineRule="auto"/>
        <w:ind w:firstLine="720"/>
        <w:jc w:val="both"/>
      </w:pPr>
      <w:r>
        <w:t>[</w:t>
      </w:r>
      <w:r w:rsidR="00197394">
        <w:t>4</w:t>
      </w:r>
      <w:r>
        <w:t>] </w:t>
      </w:r>
      <w:r w:rsidR="00197394" w:rsidRPr="00197394">
        <w:t xml:space="preserve">Pieteicēja par </w:t>
      </w:r>
      <w:r w:rsidR="00197394">
        <w:t>Veselības ministrijas</w:t>
      </w:r>
      <w:r w:rsidR="00197394" w:rsidRPr="00197394">
        <w:t xml:space="preserve"> kasācijas sūdzību iesniegtajos paskaidrojumos norādīj</w:t>
      </w:r>
      <w:r w:rsidR="006C29D9">
        <w:t>a</w:t>
      </w:r>
      <w:r w:rsidR="00197394" w:rsidRPr="00197394">
        <w:t>, ka tiesas spriedums ir pareizs un pamatots</w:t>
      </w:r>
      <w:r w:rsidR="00197394">
        <w:t>, savukārt kasācijas sūdzība ir nepamatota un noraidāma.</w:t>
      </w:r>
    </w:p>
    <w:bookmarkEnd w:id="9"/>
    <w:p w14:paraId="4BE967E8" w14:textId="77777777" w:rsidR="008F79A9" w:rsidRPr="008F79A9" w:rsidRDefault="008F79A9" w:rsidP="002947A5">
      <w:pPr>
        <w:spacing w:before="360" w:after="360" w:line="276" w:lineRule="auto"/>
        <w:jc w:val="center"/>
        <w:rPr>
          <w:b/>
          <w:shd w:val="clear" w:color="auto" w:fill="FFFFFF"/>
        </w:rPr>
      </w:pPr>
      <w:r w:rsidRPr="008F79A9">
        <w:rPr>
          <w:b/>
          <w:shd w:val="clear" w:color="auto" w:fill="FFFFFF"/>
        </w:rPr>
        <w:t>Motīvu daļa</w:t>
      </w:r>
    </w:p>
    <w:p w14:paraId="6E7756AF" w14:textId="79BFC7D6" w:rsidR="006F3500" w:rsidRPr="006E2B83" w:rsidRDefault="006F3500" w:rsidP="002947A5">
      <w:pPr>
        <w:spacing w:line="276" w:lineRule="auto"/>
        <w:ind w:firstLine="720"/>
        <w:jc w:val="both"/>
      </w:pPr>
      <w:r>
        <w:rPr>
          <w:color w:val="000000" w:themeColor="text1"/>
        </w:rPr>
        <w:t>[</w:t>
      </w:r>
      <w:r w:rsidR="004C20AC">
        <w:rPr>
          <w:color w:val="000000" w:themeColor="text1"/>
        </w:rPr>
        <w:t>5</w:t>
      </w:r>
      <w:r>
        <w:rPr>
          <w:color w:val="000000" w:themeColor="text1"/>
        </w:rPr>
        <w:t xml:space="preserve">] Senātam jāatbild uz jautājumu, vai apgabaltiesa, atzīstot, ka pieteicējai ir </w:t>
      </w:r>
      <w:r w:rsidRPr="006E2B83">
        <w:t>kompensējami zāļu iegādes izdevumi individuālā kārtībā, ir pareizi interpretējusi Kompensācijas noteikumu 92.2.apakšpunktu.</w:t>
      </w:r>
    </w:p>
    <w:p w14:paraId="382FB803" w14:textId="77777777" w:rsidR="006F3500" w:rsidRPr="006E2B83" w:rsidRDefault="006F3500" w:rsidP="002947A5">
      <w:pPr>
        <w:spacing w:line="276" w:lineRule="auto"/>
        <w:ind w:firstLine="720"/>
        <w:jc w:val="both"/>
      </w:pPr>
    </w:p>
    <w:p w14:paraId="7B79F8DB" w14:textId="4D6264D0" w:rsidR="006F3500" w:rsidRPr="006F3500" w:rsidRDefault="006F3500" w:rsidP="002947A5">
      <w:pPr>
        <w:spacing w:line="276" w:lineRule="auto"/>
        <w:ind w:firstLine="720"/>
        <w:jc w:val="both"/>
        <w:rPr>
          <w:lang w:eastAsia="lv-LV"/>
        </w:rPr>
      </w:pPr>
      <w:r w:rsidRPr="006E2B83">
        <w:t>[</w:t>
      </w:r>
      <w:r w:rsidR="004C20AC">
        <w:t>6</w:t>
      </w:r>
      <w:r w:rsidRPr="006E2B83">
        <w:t>] Kompensācijas noteikumu</w:t>
      </w:r>
      <w:r w:rsidR="006E2B83">
        <w:t xml:space="preserve"> </w:t>
      </w:r>
      <w:r w:rsidRPr="006E2B83">
        <w:t xml:space="preserve">92.2.apakšpunkts </w:t>
      </w:r>
      <w:r w:rsidR="00CB36B2" w:rsidRPr="006E2B83">
        <w:t>paredz</w:t>
      </w:r>
      <w:r w:rsidRPr="006E2B83">
        <w:t xml:space="preserve">, ka </w:t>
      </w:r>
      <w:r w:rsidRPr="006F3500">
        <w:rPr>
          <w:lang w:eastAsia="lv-LV"/>
        </w:rPr>
        <w:t>Nacionālais veselības dienests, pamatojoties uz personas iesniegumu, kam pievienots attiecīgās ārstniecības nozares ārstu konsilija lēmums, ir tiesīg</w:t>
      </w:r>
      <w:r w:rsidR="006C29D9">
        <w:rPr>
          <w:lang w:eastAsia="lv-LV"/>
        </w:rPr>
        <w:t>s</w:t>
      </w:r>
      <w:r w:rsidRPr="006F3500">
        <w:rPr>
          <w:lang w:eastAsia="lv-LV"/>
        </w:rPr>
        <w:t xml:space="preserve"> pieņemt lēmumu par zāļu un medicīnisko ierīču </w:t>
      </w:r>
      <w:r w:rsidRPr="006F3500">
        <w:rPr>
          <w:lang w:eastAsia="lv-LV"/>
        </w:rPr>
        <w:lastRenderedPageBreak/>
        <w:t>iegādes izdevumu kompensāciju individuāliem pacientiem. Minētos izdevumus kompensē zāļu iegādes izdevumu kompensācijai piešķirto līdzekļu ietvaros</w:t>
      </w:r>
      <w:r w:rsidRPr="006E2B83">
        <w:rPr>
          <w:lang w:eastAsia="lv-LV"/>
        </w:rPr>
        <w:t xml:space="preserve">, ja </w:t>
      </w:r>
      <w:r w:rsidRPr="006F3500">
        <w:rPr>
          <w:lang w:eastAsia="lv-LV"/>
        </w:rPr>
        <w:t>diagnoze ir iekļauta šo noteikumu</w:t>
      </w:r>
      <w:r w:rsidRPr="006E2B83">
        <w:rPr>
          <w:lang w:eastAsia="lv-LV"/>
        </w:rPr>
        <w:t xml:space="preserve"> </w:t>
      </w:r>
      <w:hyperlink r:id="rId7" w:anchor="piel1" w:history="1">
        <w:r w:rsidRPr="00B956F7">
          <w:rPr>
            <w:lang w:eastAsia="lv-LV"/>
          </w:rPr>
          <w:t>1.pielikumā</w:t>
        </w:r>
      </w:hyperlink>
      <w:r w:rsidRPr="006F3500">
        <w:rPr>
          <w:lang w:eastAsia="lv-LV"/>
        </w:rPr>
        <w:t>, bet kompensējamo zāļu sarakstā nav iekļautas nevienas zāles un medicīniskās ierīces attiecīgās diagnozes ārstēšanai.</w:t>
      </w:r>
    </w:p>
    <w:p w14:paraId="0FD2F9D5" w14:textId="21F54C7D" w:rsidR="006F3500" w:rsidRPr="006E2B83" w:rsidRDefault="006F3500" w:rsidP="002947A5">
      <w:pPr>
        <w:spacing w:line="276" w:lineRule="auto"/>
        <w:ind w:firstLine="720"/>
        <w:jc w:val="both"/>
      </w:pPr>
      <w:r w:rsidRPr="006E2B83">
        <w:t>Tātad, lai atbilstoši šai tiesību normai zāļu iegādes izdevumus kompensētu individuālā kārtībā, jāizpildās diviem kritērijiem: pirmkārt, diagnoze ir iekļauta Kompensācijas noteikumu 1.pielikumā, otrkārt, kompensējamo zāļu sarakstā nav iekļautas nevienas zāles attiecīgās diagnozes ārstēšanai. Tikai tad, ja izpildās abi kritēriji, zāļu iegādes izdevumi ir kompensējami individuālā kārtībā.</w:t>
      </w:r>
    </w:p>
    <w:p w14:paraId="4C6E4552" w14:textId="5D40E475" w:rsidR="006F3500" w:rsidRPr="006E2B83" w:rsidRDefault="006F3500" w:rsidP="002947A5">
      <w:pPr>
        <w:spacing w:line="276" w:lineRule="auto"/>
        <w:ind w:firstLine="720"/>
        <w:jc w:val="both"/>
      </w:pPr>
      <w:r w:rsidRPr="006E2B83">
        <w:t>Lietā nav strīda, ka pieteicējai noteiktā diagnoze ir iekļauta Kompensācijas noteikumu 1.pielikumā. Tātad viens no likumdevēja noteikt</w:t>
      </w:r>
      <w:r w:rsidR="00B07278">
        <w:t>aj</w:t>
      </w:r>
      <w:r w:rsidRPr="006E2B83">
        <w:t>iem kritērijiem izpildās. Nav arī strīda, ka kompensējamo zāļu sarakstā ir iekļauti 26 medikamenti, no kuriem atbilstoši Nacionālā veselības dienesta skaidrotajam viens (</w:t>
      </w:r>
      <w:r w:rsidR="00D64DF2">
        <w:rPr>
          <w:i/>
          <w:iCs/>
          <w:color w:val="000000" w:themeColor="text1"/>
        </w:rPr>
        <w:t>[aktīvā viela A]</w:t>
      </w:r>
      <w:r w:rsidRPr="006E2B83">
        <w:t>) ir paredzēts konkrētās diagnozes ārstēšanai. Tas savukārt nozīmē, ka neizpildās otrs tiesību normā paredzētais kritērijs</w:t>
      </w:r>
      <w:r w:rsidR="00B41668">
        <w:t>. Līdz ar to neiestājas pamats Kompensācijas noteikumu 92.2.apakšpunkta piemērošanai.</w:t>
      </w:r>
    </w:p>
    <w:p w14:paraId="1CCC5A3F" w14:textId="77777777" w:rsidR="00B41668" w:rsidRDefault="00B41668" w:rsidP="002947A5">
      <w:pPr>
        <w:spacing w:line="276" w:lineRule="auto"/>
        <w:ind w:firstLine="720"/>
        <w:jc w:val="both"/>
      </w:pPr>
    </w:p>
    <w:p w14:paraId="7FE06323" w14:textId="52C25402" w:rsidR="00E9672A" w:rsidRDefault="00B41668" w:rsidP="002947A5">
      <w:pPr>
        <w:spacing w:line="276" w:lineRule="auto"/>
        <w:ind w:firstLine="720"/>
        <w:jc w:val="both"/>
      </w:pPr>
      <w:r>
        <w:t>[</w:t>
      </w:r>
      <w:r w:rsidR="004C20AC">
        <w:t>7</w:t>
      </w:r>
      <w:r>
        <w:t>] </w:t>
      </w:r>
      <w:r w:rsidR="0096562A" w:rsidRPr="006E2B83">
        <w:t>Apgabaltiesas spriedumā nav apšaubīts, ka kompensējamo zāļu sarakstā ir iekļautas pieteicējas diagnozes ārstēšanai paredzēt</w:t>
      </w:r>
      <w:r w:rsidR="006E2B83">
        <w:t>ā</w:t>
      </w:r>
      <w:r w:rsidR="0096562A" w:rsidRPr="006E2B83">
        <w:t xml:space="preserve">s zāles. Neskatoties uz minēto, apgabaltiesa atzinusi, ka Kompensācijas noteikumu </w:t>
      </w:r>
      <w:r w:rsidR="0096562A">
        <w:t xml:space="preserve">92.2.apakšpunkta norma izskatāmajā gadījumā ir piemērojama. Šādu secinājumu apgabaltiesa pamatojusi ar to, ka kompensējamo zāļu sarakstā iekļautās zāles </w:t>
      </w:r>
      <w:r w:rsidR="00E9672A">
        <w:t>pieteicējai nav piemērotas un sarakstā nav citu zāļu pieteicējas diagnozes ārstēšanai, tātad kompensējamo zāļu sarakstā nav iekļautas nevienas zāles pieteicējas diagnozes ārstēšanai.</w:t>
      </w:r>
    </w:p>
    <w:p w14:paraId="7E58DCAE" w14:textId="61E49F9C" w:rsidR="00E9672A" w:rsidRDefault="00E9672A" w:rsidP="002947A5">
      <w:pPr>
        <w:spacing w:line="276" w:lineRule="auto"/>
        <w:ind w:firstLine="720"/>
        <w:jc w:val="both"/>
      </w:pPr>
      <w:r>
        <w:t>Senāts turpmāk minēto apsvērumu šādu tiesību norm</w:t>
      </w:r>
      <w:r w:rsidR="006E2B83">
        <w:t>as</w:t>
      </w:r>
      <w:r>
        <w:t xml:space="preserve"> interpretāciju atzīst par nepareizu.</w:t>
      </w:r>
    </w:p>
    <w:p w14:paraId="47183ED8" w14:textId="77777777" w:rsidR="006F3500" w:rsidRDefault="006F3500" w:rsidP="002947A5">
      <w:pPr>
        <w:spacing w:line="276" w:lineRule="auto"/>
        <w:ind w:firstLine="720"/>
        <w:jc w:val="both"/>
        <w:rPr>
          <w:color w:val="000000" w:themeColor="text1"/>
        </w:rPr>
      </w:pPr>
    </w:p>
    <w:p w14:paraId="3FDAAC09" w14:textId="7F79019D" w:rsidR="007C083E" w:rsidRDefault="007C083E" w:rsidP="002947A5">
      <w:pPr>
        <w:spacing w:line="276" w:lineRule="auto"/>
        <w:ind w:firstLine="720"/>
        <w:jc w:val="both"/>
        <w:rPr>
          <w:color w:val="000000" w:themeColor="text1"/>
        </w:rPr>
      </w:pPr>
      <w:r>
        <w:rPr>
          <w:color w:val="000000" w:themeColor="text1"/>
        </w:rPr>
        <w:t>[</w:t>
      </w:r>
      <w:r w:rsidR="004C20AC">
        <w:rPr>
          <w:color w:val="000000" w:themeColor="text1"/>
        </w:rPr>
        <w:t>8</w:t>
      </w:r>
      <w:r>
        <w:rPr>
          <w:color w:val="000000" w:themeColor="text1"/>
        </w:rPr>
        <w:t>] </w:t>
      </w:r>
      <w:r w:rsidRPr="00B61EB2">
        <w:rPr>
          <w:color w:val="000000" w:themeColor="text1"/>
        </w:rPr>
        <w:t>Satversmes 111.pants</w:t>
      </w:r>
      <w:r>
        <w:rPr>
          <w:color w:val="000000" w:themeColor="text1"/>
        </w:rPr>
        <w:t xml:space="preserve"> noteic, ka v</w:t>
      </w:r>
      <w:r w:rsidRPr="00B61EB2">
        <w:rPr>
          <w:color w:val="000000" w:themeColor="text1"/>
        </w:rPr>
        <w:t>alsts aizsargā cilvēku veselību un garantē ikvienam medicīniskās palīdzības minimumu</w:t>
      </w:r>
      <w:r>
        <w:rPr>
          <w:color w:val="000000" w:themeColor="text1"/>
        </w:rPr>
        <w:t>.</w:t>
      </w:r>
    </w:p>
    <w:p w14:paraId="62DBA663" w14:textId="3F3499E4" w:rsidR="001B02E8" w:rsidRPr="00024ADD" w:rsidRDefault="007C083E" w:rsidP="002947A5">
      <w:pPr>
        <w:spacing w:line="276" w:lineRule="auto"/>
        <w:ind w:firstLine="720"/>
        <w:jc w:val="both"/>
        <w:rPr>
          <w:i/>
          <w:iCs/>
          <w:color w:val="000000" w:themeColor="text1"/>
        </w:rPr>
      </w:pPr>
      <w:r w:rsidRPr="009229DC">
        <w:rPr>
          <w:color w:val="000000" w:themeColor="text1"/>
        </w:rPr>
        <w:t>Satversmes tiesa ir atzinusi, ka no Satversmes 111.panta izriet valsts pienākums nodrošināt zāļu pieejamību</w:t>
      </w:r>
      <w:r w:rsidRPr="007C083E">
        <w:rPr>
          <w:color w:val="000000" w:themeColor="text1"/>
        </w:rPr>
        <w:t xml:space="preserve"> </w:t>
      </w:r>
      <w:r>
        <w:rPr>
          <w:color w:val="000000" w:themeColor="text1"/>
        </w:rPr>
        <w:t>(</w:t>
      </w:r>
      <w:r w:rsidRPr="00B956F7">
        <w:rPr>
          <w:i/>
          <w:iCs/>
          <w:color w:val="000000" w:themeColor="text1"/>
        </w:rPr>
        <w:t xml:space="preserve">Satversmes tiesas 2013.gada 9.aprīļa sprieduma lietā </w:t>
      </w:r>
      <w:r w:rsidRPr="00B07278">
        <w:rPr>
          <w:i/>
          <w:iCs/>
          <w:color w:val="000000" w:themeColor="text1"/>
        </w:rPr>
        <w:t>Nr. </w:t>
      </w:r>
      <w:hyperlink r:id="rId8" w:history="1">
        <w:r w:rsidRPr="00B07278">
          <w:rPr>
            <w:rStyle w:val="Hyperlink"/>
            <w:i/>
            <w:iCs/>
          </w:rPr>
          <w:t>2012-14-03</w:t>
        </w:r>
      </w:hyperlink>
      <w:r w:rsidRPr="00B956F7">
        <w:rPr>
          <w:i/>
          <w:iCs/>
          <w:color w:val="000000" w:themeColor="text1"/>
        </w:rPr>
        <w:t xml:space="preserve"> </w:t>
      </w:r>
      <w:r w:rsidRPr="00B07278">
        <w:rPr>
          <w:i/>
          <w:iCs/>
          <w:color w:val="000000" w:themeColor="text1"/>
        </w:rPr>
        <w:t>12.punkts</w:t>
      </w:r>
      <w:r w:rsidRPr="00B956F7">
        <w:rPr>
          <w:i/>
          <w:iCs/>
          <w:color w:val="000000" w:themeColor="text1"/>
        </w:rPr>
        <w:t xml:space="preserve"> un tajā minētie nolēmumi</w:t>
      </w:r>
      <w:r>
        <w:rPr>
          <w:color w:val="000000" w:themeColor="text1"/>
        </w:rPr>
        <w:t xml:space="preserve">). </w:t>
      </w:r>
      <w:r w:rsidR="00C25641">
        <w:rPr>
          <w:color w:val="000000" w:themeColor="text1"/>
        </w:rPr>
        <w:t xml:space="preserve">Vienlaikus </w:t>
      </w:r>
      <w:r w:rsidR="00C25641">
        <w:t xml:space="preserve">Satversmes tiesa </w:t>
      </w:r>
      <w:r w:rsidR="00850E8F">
        <w:t xml:space="preserve">ir </w:t>
      </w:r>
      <w:r w:rsidR="00C25641">
        <w:t>atzinusi, ka no tiesībām uz veselību valstij neizriet pienākums nodrošināt ikvienam nepieciešamās zāles bez maksas. Šāds pienākums neizriet arī no tiesībām uz dzīvību un tiesībām uz privāto dzīvi (</w:t>
      </w:r>
      <w:r w:rsidR="00C25641" w:rsidRPr="0061677A">
        <w:rPr>
          <w:i/>
          <w:iCs/>
        </w:rPr>
        <w:t>Satversmes tiesas 2008.gada 29.septembra sprieduma lietā Nr.</w:t>
      </w:r>
      <w:r w:rsidR="0061677A">
        <w:rPr>
          <w:i/>
          <w:iCs/>
        </w:rPr>
        <w:t> </w:t>
      </w:r>
      <w:hyperlink r:id="rId9" w:history="1">
        <w:r w:rsidR="00C25641" w:rsidRPr="00024ADD">
          <w:rPr>
            <w:rStyle w:val="Hyperlink"/>
            <w:i/>
            <w:iCs/>
          </w:rPr>
          <w:t>2008-37-03</w:t>
        </w:r>
      </w:hyperlink>
      <w:r w:rsidR="00C25641" w:rsidRPr="0061677A">
        <w:rPr>
          <w:i/>
          <w:iCs/>
        </w:rPr>
        <w:t xml:space="preserve"> 12.1.1.punkt</w:t>
      </w:r>
      <w:r w:rsidR="0061677A">
        <w:rPr>
          <w:i/>
          <w:iCs/>
        </w:rPr>
        <w:t>s</w:t>
      </w:r>
      <w:r w:rsidR="00C25641">
        <w:t xml:space="preserve">). </w:t>
      </w:r>
      <w:r w:rsidR="00C25641">
        <w:rPr>
          <w:color w:val="000000" w:themeColor="text1"/>
        </w:rPr>
        <w:t xml:space="preserve">Satversmē iekļauto tiesību </w:t>
      </w:r>
      <w:r w:rsidR="00C25641">
        <w:t>īstenošanas apjoms var būt atkarīgs no valsts rīcībā esošajiem resursiem. Tāpēc v</w:t>
      </w:r>
      <w:r w:rsidR="00C25641" w:rsidRPr="009229DC">
        <w:rPr>
          <w:color w:val="000000" w:themeColor="text1"/>
        </w:rPr>
        <w:t>alstij ir uzdevums sadalīt resursus un līdz ar to noteikt, kam, kādos apstākļos un kāda veida ārstēšana tiks apmaksāta. Nav universālu kritēriju, pēc kuriem šajā ziņā varētu noteikt prioritātes, tāpēc valstij ir plaša rīcības brīvība šo jautājumu izlemšanā</w:t>
      </w:r>
      <w:r w:rsidR="00C25641">
        <w:rPr>
          <w:color w:val="000000" w:themeColor="text1"/>
        </w:rPr>
        <w:t xml:space="preserve"> (</w:t>
      </w:r>
      <w:r w:rsidR="00C25641" w:rsidRPr="0061677A">
        <w:rPr>
          <w:i/>
          <w:iCs/>
          <w:color w:val="000000" w:themeColor="text1"/>
        </w:rPr>
        <w:t>Satversmes tiesas 2013.gada 9.aprīļa sprieduma lietā</w:t>
      </w:r>
      <w:r w:rsidR="00C25641">
        <w:rPr>
          <w:color w:val="000000" w:themeColor="text1"/>
        </w:rPr>
        <w:t xml:space="preserve"> </w:t>
      </w:r>
      <w:r w:rsidR="00C25641" w:rsidRPr="00617951">
        <w:rPr>
          <w:i/>
          <w:iCs/>
          <w:color w:val="000000" w:themeColor="text1"/>
        </w:rPr>
        <w:t>Nr. </w:t>
      </w:r>
      <w:hyperlink r:id="rId10" w:history="1">
        <w:r w:rsidR="00C25641" w:rsidRPr="00617951">
          <w:rPr>
            <w:rStyle w:val="Hyperlink"/>
            <w:i/>
            <w:iCs/>
          </w:rPr>
          <w:t>2012-14-03</w:t>
        </w:r>
      </w:hyperlink>
      <w:r w:rsidR="00C25641" w:rsidRPr="00617951">
        <w:rPr>
          <w:color w:val="000000" w:themeColor="text1"/>
        </w:rPr>
        <w:t xml:space="preserve"> </w:t>
      </w:r>
      <w:r w:rsidR="00C25641" w:rsidRPr="00617951">
        <w:rPr>
          <w:i/>
          <w:iCs/>
          <w:color w:val="000000" w:themeColor="text1"/>
        </w:rPr>
        <w:t>1</w:t>
      </w:r>
      <w:r w:rsidR="00C25641">
        <w:rPr>
          <w:i/>
          <w:iCs/>
          <w:color w:val="000000" w:themeColor="text1"/>
        </w:rPr>
        <w:t>2</w:t>
      </w:r>
      <w:r w:rsidR="00C25641" w:rsidRPr="00617951">
        <w:rPr>
          <w:i/>
          <w:iCs/>
          <w:color w:val="000000" w:themeColor="text1"/>
        </w:rPr>
        <w:t>.punkts</w:t>
      </w:r>
      <w:r w:rsidR="00C25641">
        <w:rPr>
          <w:color w:val="000000" w:themeColor="text1"/>
        </w:rPr>
        <w:t xml:space="preserve"> </w:t>
      </w:r>
      <w:r w:rsidR="00C25641" w:rsidRPr="00B956F7">
        <w:rPr>
          <w:i/>
          <w:iCs/>
          <w:color w:val="000000" w:themeColor="text1"/>
        </w:rPr>
        <w:t>un tajā minētie nolēmumi</w:t>
      </w:r>
      <w:r w:rsidR="00C25641">
        <w:rPr>
          <w:color w:val="000000" w:themeColor="text1"/>
        </w:rPr>
        <w:t>)</w:t>
      </w:r>
      <w:r w:rsidR="007D236D">
        <w:rPr>
          <w:color w:val="000000" w:themeColor="text1"/>
        </w:rPr>
        <w:t>.</w:t>
      </w:r>
      <w:r w:rsidR="00C25641">
        <w:rPr>
          <w:color w:val="000000" w:themeColor="text1"/>
        </w:rPr>
        <w:t xml:space="preserve"> Arī Eiropas Cilvēktiesību ties</w:t>
      </w:r>
      <w:r w:rsidR="006C29D9">
        <w:rPr>
          <w:color w:val="000000" w:themeColor="text1"/>
        </w:rPr>
        <w:t>a</w:t>
      </w:r>
      <w:r w:rsidR="00C25641">
        <w:rPr>
          <w:color w:val="000000" w:themeColor="text1"/>
        </w:rPr>
        <w:t xml:space="preserve"> </w:t>
      </w:r>
      <w:r w:rsidR="007D236D">
        <w:rPr>
          <w:color w:val="000000" w:themeColor="text1"/>
        </w:rPr>
        <w:t xml:space="preserve">ir </w:t>
      </w:r>
      <w:r w:rsidR="00C25641">
        <w:rPr>
          <w:color w:val="000000" w:themeColor="text1"/>
        </w:rPr>
        <w:t xml:space="preserve">atzinusi, ka, lemjot par ierobežota </w:t>
      </w:r>
      <w:r w:rsidR="00C25641">
        <w:rPr>
          <w:color w:val="000000" w:themeColor="text1"/>
        </w:rPr>
        <w:lastRenderedPageBreak/>
        <w:t>apjoma resursu sadali, valst</w:t>
      </w:r>
      <w:r w:rsidR="0061677A">
        <w:rPr>
          <w:color w:val="000000" w:themeColor="text1"/>
        </w:rPr>
        <w:t>s</w:t>
      </w:r>
      <w:r w:rsidR="00C25641">
        <w:rPr>
          <w:color w:val="000000" w:themeColor="text1"/>
        </w:rPr>
        <w:t xml:space="preserve"> bauda plašu rīcības brīvību (</w:t>
      </w:r>
      <w:r w:rsidR="001B02E8">
        <w:rPr>
          <w:color w:val="000000" w:themeColor="text1"/>
        </w:rPr>
        <w:t xml:space="preserve">piemēram, </w:t>
      </w:r>
      <w:r w:rsidR="001B02E8" w:rsidRPr="00024ADD">
        <w:rPr>
          <w:i/>
          <w:iCs/>
          <w:color w:val="000000" w:themeColor="text1"/>
        </w:rPr>
        <w:t xml:space="preserve">Eiropas Cilvēktiesību tiesas 2002.gada 21.marta lēmums lietā </w:t>
      </w:r>
      <w:r w:rsidR="00FF1A00" w:rsidRPr="00024ADD">
        <w:rPr>
          <w:i/>
          <w:iCs/>
          <w:color w:val="000000" w:themeColor="text1"/>
        </w:rPr>
        <w:t>„</w:t>
      </w:r>
      <w:r w:rsidR="00FF1A00" w:rsidRPr="00024ADD">
        <w:rPr>
          <w:rFonts w:eastAsia="Calibri" w:cs="Arial"/>
          <w:i/>
          <w:iCs/>
          <w:color w:val="000000" w:themeColor="text1"/>
          <w:kern w:val="2"/>
          <w:szCs w:val="22"/>
          <w:lang w:eastAsia="en-US"/>
          <w14:ligatures w14:val="standardContextual"/>
        </w:rPr>
        <w:t>Nitecki</w:t>
      </w:r>
      <w:r w:rsidR="001B02E8" w:rsidRPr="00024ADD">
        <w:rPr>
          <w:i/>
          <w:iCs/>
          <w:color w:val="000000" w:themeColor="text1"/>
        </w:rPr>
        <w:t xml:space="preserve"> pret Poliju</w:t>
      </w:r>
      <w:r w:rsidR="00FF1A00" w:rsidRPr="00024ADD">
        <w:rPr>
          <w:i/>
          <w:iCs/>
          <w:color w:val="000000" w:themeColor="text1"/>
        </w:rPr>
        <w:t>”, iesnieguma Nr. 6</w:t>
      </w:r>
      <w:r w:rsidR="00FF1A00" w:rsidRPr="00FF1A00">
        <w:rPr>
          <w:i/>
          <w:iCs/>
        </w:rPr>
        <w:t>5653/01</w:t>
      </w:r>
      <w:r w:rsidR="001B02E8">
        <w:t>).</w:t>
      </w:r>
    </w:p>
    <w:p w14:paraId="735F12CC" w14:textId="59BF2A70" w:rsidR="00E9672A" w:rsidRPr="00CB36B2" w:rsidRDefault="002A2E4C" w:rsidP="002947A5">
      <w:pPr>
        <w:spacing w:line="276" w:lineRule="auto"/>
        <w:ind w:firstLine="720"/>
        <w:jc w:val="both"/>
      </w:pPr>
      <w:r>
        <w:rPr>
          <w:color w:val="000000" w:themeColor="text1"/>
        </w:rPr>
        <w:t xml:space="preserve">Vienlaikus </w:t>
      </w:r>
      <w:r w:rsidR="00111747">
        <w:rPr>
          <w:color w:val="000000" w:themeColor="text1"/>
        </w:rPr>
        <w:t xml:space="preserve">Satversmes tiesa </w:t>
      </w:r>
      <w:r w:rsidR="0061677A">
        <w:rPr>
          <w:color w:val="000000" w:themeColor="text1"/>
        </w:rPr>
        <w:t xml:space="preserve">ir </w:t>
      </w:r>
      <w:r w:rsidR="00111747">
        <w:rPr>
          <w:color w:val="000000" w:themeColor="text1"/>
        </w:rPr>
        <w:t>atzinusi, ka v</w:t>
      </w:r>
      <w:r w:rsidR="00C25641">
        <w:t>alstij ir pienākums nodrošināt efektīvu resursu izmantošanu un panākt taisnīgu līdzsvaru veselības aprūpei atvēlēto finanšu resursu sadalē, ievērojot atsevišķu pacientu nepieciešamību saņemt dārgus veselības aprūpes pakalpojumus un vispārējo nepieciešamību nodrošināt veselības aprūpes pieejamību pēc iespējas lielākai sabiedrības daļai (</w:t>
      </w:r>
      <w:r w:rsidR="00C25641" w:rsidRPr="0061677A">
        <w:rPr>
          <w:i/>
          <w:iCs/>
        </w:rPr>
        <w:t>Satversmes tiesas 2010.gada 7.janvāra sprieduma lietā Nr.</w:t>
      </w:r>
      <w:r w:rsidR="0061677A">
        <w:rPr>
          <w:i/>
          <w:iCs/>
        </w:rPr>
        <w:t> </w:t>
      </w:r>
      <w:hyperlink r:id="rId11" w:anchor="search=" w:history="1">
        <w:r w:rsidR="00C25641" w:rsidRPr="00024ADD">
          <w:rPr>
            <w:rStyle w:val="Hyperlink"/>
            <w:i/>
            <w:iCs/>
          </w:rPr>
          <w:t>2009-12-03</w:t>
        </w:r>
      </w:hyperlink>
      <w:r w:rsidR="00C25641" w:rsidRPr="0061677A">
        <w:rPr>
          <w:i/>
          <w:iCs/>
        </w:rPr>
        <w:t xml:space="preserve"> 17.punkt</w:t>
      </w:r>
      <w:r w:rsidR="00E9672A" w:rsidRPr="0061677A">
        <w:rPr>
          <w:i/>
          <w:iCs/>
        </w:rPr>
        <w:t>s</w:t>
      </w:r>
      <w:r w:rsidR="00C25641">
        <w:t xml:space="preserve">). Satversmes tiesa arī atzinusi, ka situācijā, kad valsts ir apņēmusies apmaksāt konkrētu slimību ārstēšanai nepieciešamos medikamentus, tai ir tiesības noteikt šo medikamentu iegādes izdevumu </w:t>
      </w:r>
      <w:r w:rsidR="00C25641" w:rsidRPr="00CB36B2">
        <w:t>kompensācijas kārtību (</w:t>
      </w:r>
      <w:r w:rsidR="00C25641" w:rsidRPr="0061677A">
        <w:rPr>
          <w:i/>
          <w:iCs/>
        </w:rPr>
        <w:t>Satversmes tiesas 2013.gada 9.aprīļa sprieduma lietā Nr.</w:t>
      </w:r>
      <w:r w:rsidR="0061677A" w:rsidRPr="0061677A">
        <w:rPr>
          <w:i/>
          <w:iCs/>
        </w:rPr>
        <w:t> </w:t>
      </w:r>
      <w:hyperlink r:id="rId12" w:history="1">
        <w:r w:rsidR="00024ADD" w:rsidRPr="00024ADD">
          <w:rPr>
            <w:rStyle w:val="Hyperlink"/>
            <w:i/>
            <w:iCs/>
          </w:rPr>
          <w:t>2012-14-03</w:t>
        </w:r>
      </w:hyperlink>
      <w:r w:rsidR="00C25641" w:rsidRPr="0061677A">
        <w:rPr>
          <w:i/>
          <w:iCs/>
        </w:rPr>
        <w:t xml:space="preserve"> 15.1.punkt</w:t>
      </w:r>
      <w:r w:rsidR="00E9672A" w:rsidRPr="0061677A">
        <w:rPr>
          <w:i/>
          <w:iCs/>
        </w:rPr>
        <w:t>s</w:t>
      </w:r>
      <w:r w:rsidR="00C25641" w:rsidRPr="00CB36B2">
        <w:t>). Visbeidzot Satversmes tiesa atzinusi, ka</w:t>
      </w:r>
      <w:r w:rsidR="0061677A">
        <w:t>, tā kā</w:t>
      </w:r>
      <w:r w:rsidR="00C25641" w:rsidRPr="00CB36B2">
        <w:t xml:space="preserve"> valstij ir pienākums nodrošināt zāļu pieejamību, regulējuma, kas vērsts uz kompensējamo medikamentu pieejamību iespējami plašākam personu lokam, atšķirīgai attieksmei ir leģitīms mērķis – aizsargāt citu personu tiesības uz veselību (</w:t>
      </w:r>
      <w:r w:rsidR="00C25641" w:rsidRPr="0061677A">
        <w:rPr>
          <w:i/>
          <w:iCs/>
        </w:rPr>
        <w:t>Satversmes tiesas 2008.gada 29.septembra sprieduma lietā Nr.</w:t>
      </w:r>
      <w:r w:rsidR="0061677A">
        <w:rPr>
          <w:i/>
          <w:iCs/>
        </w:rPr>
        <w:t> </w:t>
      </w:r>
      <w:hyperlink r:id="rId13" w:history="1">
        <w:r w:rsidR="00024ADD" w:rsidRPr="00024ADD">
          <w:rPr>
            <w:rStyle w:val="Hyperlink"/>
            <w:i/>
            <w:iCs/>
          </w:rPr>
          <w:t>2008-37-03</w:t>
        </w:r>
      </w:hyperlink>
      <w:r w:rsidR="00C25641" w:rsidRPr="0061677A">
        <w:rPr>
          <w:i/>
          <w:iCs/>
        </w:rPr>
        <w:t xml:space="preserve"> 11.3.punkt</w:t>
      </w:r>
      <w:r w:rsidR="0061677A">
        <w:rPr>
          <w:i/>
          <w:iCs/>
        </w:rPr>
        <w:t>s</w:t>
      </w:r>
      <w:r w:rsidR="00C25641" w:rsidRPr="00CB36B2">
        <w:t>).</w:t>
      </w:r>
    </w:p>
    <w:p w14:paraId="44A93794" w14:textId="1440CAC1" w:rsidR="00C25641" w:rsidRDefault="00E9672A" w:rsidP="002947A5">
      <w:pPr>
        <w:spacing w:line="276" w:lineRule="auto"/>
        <w:ind w:firstLine="720"/>
        <w:jc w:val="both"/>
      </w:pPr>
      <w:r w:rsidRPr="00CB36B2">
        <w:t xml:space="preserve">Tātad atbilstoši Satversmes tiesas un Eiropas Cilvēktiesību tiesas atzītajam no tiesībām uz veselību un dzīvību neizriet valsts pienākums nodrošināt ikvienam nepieciešamās zāles bez maksas. </w:t>
      </w:r>
      <w:r w:rsidR="00CB36B2" w:rsidRPr="00CB36B2">
        <w:t>Veselības aprūpei atvēlētie resursi ir jāizmanto efektīvi un taisnīgi, nodrošin</w:t>
      </w:r>
      <w:r w:rsidR="00CB36B2">
        <w:t>o</w:t>
      </w:r>
      <w:r w:rsidR="00CB36B2" w:rsidRPr="00CB36B2">
        <w:t xml:space="preserve">t veselības aprūpes pieejamību pēc iespējas lielākai sabiedrības daļai. Tas savukārt nozīmē, ka valstij </w:t>
      </w:r>
      <w:r w:rsidR="00C25641" w:rsidRPr="00CB36B2">
        <w:t>vispārīgi ir tiesības noteikt ierobežotu kārtību medikamentu kompensēšanā no valsts budžeta līdzekļiem, liedzot kompensāciju kādai personu grupai, ja tādējādi tiek nodrošināts taisnīgs līdzsvars veselības aprūpei atvēlēto resursu sadalē un kompensējamo medikamentu pieejamība iespējami plašākam personu lokam (</w:t>
      </w:r>
      <w:r w:rsidR="00444380">
        <w:t>sal. </w:t>
      </w:r>
      <w:r w:rsidR="00444380" w:rsidRPr="00444380">
        <w:rPr>
          <w:i/>
          <w:iCs/>
        </w:rPr>
        <w:t>Senāta 2016.gada 1.novembra lēmuma lietā Nr. SKA-854/2016, A420362614, 6.punkts</w:t>
      </w:r>
      <w:r w:rsidR="00444380">
        <w:t>)</w:t>
      </w:r>
      <w:r w:rsidR="00C25641" w:rsidRPr="00CB36B2">
        <w:t>.</w:t>
      </w:r>
    </w:p>
    <w:p w14:paraId="07C3B87A" w14:textId="77777777" w:rsidR="00C25641" w:rsidRDefault="00C25641" w:rsidP="002947A5">
      <w:pPr>
        <w:spacing w:line="276" w:lineRule="auto"/>
        <w:ind w:firstLine="720"/>
        <w:jc w:val="both"/>
      </w:pPr>
    </w:p>
    <w:p w14:paraId="232247FF" w14:textId="603FE403" w:rsidR="00DF6DC5" w:rsidRDefault="00BA6529" w:rsidP="002947A5">
      <w:pPr>
        <w:spacing w:line="276" w:lineRule="auto"/>
        <w:ind w:firstLine="720"/>
        <w:jc w:val="both"/>
        <w:rPr>
          <w:shd w:val="clear" w:color="auto" w:fill="FFFFFF"/>
        </w:rPr>
      </w:pPr>
      <w:r>
        <w:t>[</w:t>
      </w:r>
      <w:r w:rsidR="004C20AC">
        <w:t>9</w:t>
      </w:r>
      <w:r>
        <w:t>] </w:t>
      </w:r>
      <w:r w:rsidR="00DF6DC5">
        <w:t xml:space="preserve">Paredzot Kompensācijas noteikumos </w:t>
      </w:r>
      <w:r>
        <w:t xml:space="preserve">ambulatorai ārstēšanai </w:t>
      </w:r>
      <w:r w:rsidR="00DF6DC5">
        <w:t>nepieciešamo</w:t>
      </w:r>
      <w:r>
        <w:t xml:space="preserve"> zāļu iegādes izdevumu</w:t>
      </w:r>
      <w:r w:rsidR="00DF6DC5">
        <w:t xml:space="preserve"> kompensācij</w:t>
      </w:r>
      <w:r w:rsidR="00444380">
        <w:t>u vispārīgā un individuālā</w:t>
      </w:r>
      <w:r w:rsidR="00DF6DC5">
        <w:t xml:space="preserve"> kārtīb</w:t>
      </w:r>
      <w:r w:rsidR="00444380">
        <w:t>ā</w:t>
      </w:r>
      <w:r w:rsidR="00DF6DC5">
        <w:t xml:space="preserve">, likumdevējs noteikumu </w:t>
      </w:r>
      <w:r w:rsidR="00CB36B2">
        <w:t>92.2.apakšpunkt</w:t>
      </w:r>
      <w:r w:rsidR="00DF6DC5">
        <w:t xml:space="preserve">ā </w:t>
      </w:r>
      <w:r w:rsidR="00CB36B2">
        <w:t>tā sākotnējā redakcijā</w:t>
      </w:r>
      <w:r w:rsidR="00DF6DC5">
        <w:t xml:space="preserve"> (</w:t>
      </w:r>
      <w:r>
        <w:t>stājās spēkā 2006.gada 15.novembrī</w:t>
      </w:r>
      <w:r w:rsidR="00DF6DC5">
        <w:t>)</w:t>
      </w:r>
      <w:r w:rsidR="00CB36B2">
        <w:t xml:space="preserve"> </w:t>
      </w:r>
      <w:r>
        <w:t xml:space="preserve">noteica, </w:t>
      </w:r>
      <w:r w:rsidRPr="00BA6529">
        <w:t>ka zāļu iegādes izdevumi</w:t>
      </w:r>
      <w:r w:rsidR="00444380">
        <w:t xml:space="preserve"> individuālā kārtībā</w:t>
      </w:r>
      <w:r w:rsidRPr="00BA6529">
        <w:t xml:space="preserve"> tiek kompensēti, ja d</w:t>
      </w:r>
      <w:r w:rsidR="00CB36B2" w:rsidRPr="00BA6529">
        <w:rPr>
          <w:shd w:val="clear" w:color="auto" w:fill="FFFFFF"/>
        </w:rPr>
        <w:t>iagnoze iekļauta šo noteikumu 1.pielikumā un dzīvības funkciju uzturēšanai nav piemērotas nevienas no kompensējamām zālēm un medicīniskajām ierīcēm (nepieciešama tādu zāļu un medicīnisko ierīču lietošana, kas nav iekļautas kompensējamo zāļu sarakstā attiecīgajai diagnozei).</w:t>
      </w:r>
    </w:p>
    <w:p w14:paraId="6C19887E" w14:textId="3F342D6E" w:rsidR="002666CD" w:rsidRDefault="00BA6529" w:rsidP="002947A5">
      <w:pPr>
        <w:spacing w:line="276" w:lineRule="auto"/>
        <w:ind w:firstLine="720"/>
        <w:jc w:val="both"/>
        <w:rPr>
          <w:shd w:val="clear" w:color="auto" w:fill="FFFFFF"/>
        </w:rPr>
      </w:pPr>
      <w:r>
        <w:rPr>
          <w:shd w:val="clear" w:color="auto" w:fill="FFFFFF"/>
        </w:rPr>
        <w:t>2012.gada 9.oktobrī Kompensācijas noteikumu 92.2.apakšpunkt</w:t>
      </w:r>
      <w:r w:rsidR="006E2B83">
        <w:rPr>
          <w:shd w:val="clear" w:color="auto" w:fill="FFFFFF"/>
        </w:rPr>
        <w:t xml:space="preserve">s </w:t>
      </w:r>
      <w:r>
        <w:rPr>
          <w:shd w:val="clear" w:color="auto" w:fill="FFFFFF"/>
        </w:rPr>
        <w:t>tika grozīt</w:t>
      </w:r>
      <w:r w:rsidR="006E2B83">
        <w:rPr>
          <w:shd w:val="clear" w:color="auto" w:fill="FFFFFF"/>
        </w:rPr>
        <w:t>s</w:t>
      </w:r>
      <w:r>
        <w:rPr>
          <w:shd w:val="clear" w:color="auto" w:fill="FFFFFF"/>
        </w:rPr>
        <w:t xml:space="preserve"> un izteikt</w:t>
      </w:r>
      <w:r w:rsidR="006E2B83">
        <w:rPr>
          <w:shd w:val="clear" w:color="auto" w:fill="FFFFFF"/>
        </w:rPr>
        <w:t>s</w:t>
      </w:r>
      <w:r>
        <w:rPr>
          <w:shd w:val="clear" w:color="auto" w:fill="FFFFFF"/>
        </w:rPr>
        <w:t xml:space="preserve"> šobrīd spēkā esošajā redakcijā</w:t>
      </w:r>
      <w:r w:rsidR="00DF6DC5">
        <w:rPr>
          <w:shd w:val="clear" w:color="auto" w:fill="FFFFFF"/>
        </w:rPr>
        <w:t xml:space="preserve"> (</w:t>
      </w:r>
      <w:r>
        <w:rPr>
          <w:shd w:val="clear" w:color="auto" w:fill="FFFFFF"/>
        </w:rPr>
        <w:t>spēkā kopš 2013.gada 1.janvār</w:t>
      </w:r>
      <w:r w:rsidR="00DF6DC5">
        <w:rPr>
          <w:shd w:val="clear" w:color="auto" w:fill="FFFFFF"/>
        </w:rPr>
        <w:t>a)</w:t>
      </w:r>
      <w:r w:rsidR="00B41668">
        <w:rPr>
          <w:shd w:val="clear" w:color="auto" w:fill="FFFFFF"/>
        </w:rPr>
        <w:t>. Kā minēts jau iepriekš</w:t>
      </w:r>
      <w:r w:rsidR="002666CD">
        <w:rPr>
          <w:shd w:val="clear" w:color="auto" w:fill="FFFFFF"/>
        </w:rPr>
        <w:t xml:space="preserve">, </w:t>
      </w:r>
      <w:r w:rsidR="00B41668">
        <w:rPr>
          <w:shd w:val="clear" w:color="auto" w:fill="FFFFFF"/>
        </w:rPr>
        <w:t xml:space="preserve">šobrīd spēkā esošā norma </w:t>
      </w:r>
      <w:r w:rsidR="00E749D3">
        <w:rPr>
          <w:shd w:val="clear" w:color="auto" w:fill="FFFFFF"/>
        </w:rPr>
        <w:t>kā</w:t>
      </w:r>
      <w:r w:rsidR="002666CD">
        <w:rPr>
          <w:shd w:val="clear" w:color="auto" w:fill="FFFFFF"/>
        </w:rPr>
        <w:t xml:space="preserve"> priekšnoteikum</w:t>
      </w:r>
      <w:r w:rsidR="00E749D3">
        <w:rPr>
          <w:shd w:val="clear" w:color="auto" w:fill="FFFFFF"/>
        </w:rPr>
        <w:t>u</w:t>
      </w:r>
      <w:r w:rsidR="002666CD">
        <w:rPr>
          <w:shd w:val="clear" w:color="auto" w:fill="FFFFFF"/>
        </w:rPr>
        <w:t xml:space="preserve"> zāļu iegādes izdevumu kompensācijai individuālā kārtībā </w:t>
      </w:r>
      <w:r w:rsidR="00E749D3">
        <w:rPr>
          <w:shd w:val="clear" w:color="auto" w:fill="FFFFFF"/>
        </w:rPr>
        <w:t xml:space="preserve">paredz </w:t>
      </w:r>
      <w:r w:rsidR="002666CD">
        <w:rPr>
          <w:shd w:val="clear" w:color="auto" w:fill="FFFFFF"/>
        </w:rPr>
        <w:t>konkrētās diagnozes ārstēšanai nepieciešamo zāļu neesīb</w:t>
      </w:r>
      <w:r w:rsidR="00E749D3">
        <w:rPr>
          <w:shd w:val="clear" w:color="auto" w:fill="FFFFFF"/>
        </w:rPr>
        <w:t>u</w:t>
      </w:r>
      <w:r w:rsidR="002666CD">
        <w:rPr>
          <w:shd w:val="clear" w:color="auto" w:fill="FFFFFF"/>
        </w:rPr>
        <w:t xml:space="preserve"> kompensējamo zāļu sarakstā</w:t>
      </w:r>
      <w:r w:rsidR="00B41668">
        <w:rPr>
          <w:shd w:val="clear" w:color="auto" w:fill="FFFFFF"/>
        </w:rPr>
        <w:t xml:space="preserve"> (nevis nepiemērotību konkrētajam pacientam)</w:t>
      </w:r>
      <w:r>
        <w:rPr>
          <w:shd w:val="clear" w:color="auto" w:fill="FFFFFF"/>
        </w:rPr>
        <w:t>.</w:t>
      </w:r>
    </w:p>
    <w:p w14:paraId="121D9EE4" w14:textId="5720FAAD" w:rsidR="00E749D3" w:rsidRPr="00E70ABB" w:rsidRDefault="00E749D3" w:rsidP="002947A5">
      <w:pPr>
        <w:spacing w:line="276" w:lineRule="auto"/>
        <w:ind w:firstLine="720"/>
        <w:jc w:val="both"/>
      </w:pPr>
      <w:r>
        <w:rPr>
          <w:shd w:val="clear" w:color="auto" w:fill="FFFFFF"/>
        </w:rPr>
        <w:t xml:space="preserve">Atbilstoši </w:t>
      </w:r>
      <w:r w:rsidRPr="00C72D80">
        <w:t>Ministru kabineta 2012.gada 9.oktobra noteikum</w:t>
      </w:r>
      <w:r>
        <w:t>u</w:t>
      </w:r>
      <w:r w:rsidRPr="00C72D80">
        <w:t xml:space="preserve"> Nr. 701 „Grozījumi Ministru kabineta 2006.gada 31.oktobra noteikumos Nr.</w:t>
      </w:r>
      <w:r w:rsidR="004B0384">
        <w:t> </w:t>
      </w:r>
      <w:r w:rsidRPr="00C72D80">
        <w:t>899 „Ambulatorajai ārstēšanai paredzēto zāļu un medicīnisko ierīču iegādes izdevumu kompensācijas kārtība””</w:t>
      </w:r>
      <w:r>
        <w:t xml:space="preserve">, ar ko grozīts Kompensācijas noteikumu </w:t>
      </w:r>
      <w:r w:rsidRPr="00C72D80">
        <w:t>92.2.apakšpunkts</w:t>
      </w:r>
      <w:r>
        <w:t xml:space="preserve">, anotācijā norādītajam </w:t>
      </w:r>
      <w:r w:rsidRPr="00C72D80">
        <w:t xml:space="preserve">individuālās kompensācijas mehānisms radīja situāciju, kad arvien vairāk ārstu konsiliji lūdz kompensēt </w:t>
      </w:r>
      <w:r w:rsidRPr="00C72D80">
        <w:lastRenderedPageBreak/>
        <w:t xml:space="preserve">zāles, par kurām ir pieņemti </w:t>
      </w:r>
      <w:r>
        <w:t xml:space="preserve">negatīvi lēmumi klīniskās vai izmaksu efektivitātes pierādījumu trūkuma dēļ, un zāļu ražotāji brīvprātīgi nav ieinteresēti pieteikt zāles izvērtēšanai un iekļaušanai kompensējamo zāļu sarakstā, bet atbalsta zāļu kompensāciju individuālā kārtībā bez izvērtēšanas. Tas radīja nozīmīgu slogu valsts budžetam, tāpēc Ministru kabinets uzskatīja par nepieciešamu palielināt zāļu ražotāju finansiālo līdzdalību zāļu un medicīnisko ierīču iegādes izdevumu kompensācijas sistēmā. </w:t>
      </w:r>
      <w:r w:rsidRPr="00347B87">
        <w:t>Kompensācijas noteikumu 92.2.apakšpunkts tika izteikts jaunā redakcijā, lai izslēgtu iespēju apiet vispārējās kompensācijas kārtību, kas paredz zālēm stingru izmaksu efektivitātes analīzi, piedāvāto</w:t>
      </w:r>
      <w:r>
        <w:t xml:space="preserve"> cenu izvērtēšanu. Proti, lai novērstu situāciju, ka ražotājiem izdevīgāk ir nesniegt iesniegumus zāļu iekļaušanai kompensējamo zāļu sarakstā. Tāpēc jaunās tiesību normas redakcijas mērķis bija nodrošināt valsts budžeta līdzekļu maksimāli efektīvu izlietošanu un sekmēt vēlmi sniegt iesniegumus zāļu iekļaušanai kompensējamo zāļu sarakstā, nodrošinot pacientu vajadzību apmierināšanas sabalansēšanu ar valsts piešķirto finansējumu. Ministru kabinets uzskatīja, ka pretējā gadījumā turpinātu attīstīties netaisnīga, nevienlīdzīga un nesamērīga valsts attieksme pret pārējiem pacientiem. Proti, nebūtu iespējams apmierināt to pacientu vajadzības, kuriem zāļu iegādes izdevumu kompensācija nepieciešama saskaņā ar kompensējamo zāļu sarakstu, kurā iekļautajām zālēm ir novērtēta zāļu izmaksu efektivitāte un ietekme uz budžetu, jo veselības aprūpes budžeta līdzekļi jau būtu izlietoti, kompensējot zāļu iegādes izdevumus individuālām personām, kur netiek vērtēta zāļu izmaksu efektivitāte un ietekme uz kompensācijai piešķirtajiem līdzekļiem.</w:t>
      </w:r>
      <w:r w:rsidRPr="004D26A4">
        <w:t xml:space="preserve"> </w:t>
      </w:r>
      <w:r w:rsidRPr="003A425D">
        <w:rPr>
          <w:rFonts w:eastAsia="Calibri"/>
          <w:color w:val="000000"/>
        </w:rPr>
        <w:t>Valstij ir pienākums nodrošināt efektīvu resursu izmantošanu un panākt taisnīgu līdzsvaru veselības aprūpei atvēlēto finanšu resursu sadalē, ievērojot atsevišķu pacientu nepieciešamību saņemt dārgus veselības aprūpes pakalpojumus un vispārējo nepieciešamību nodrošināt veselības aprūpes pieejamību pēc iespējas lielākai sabiedrības daļai</w:t>
      </w:r>
      <w:r>
        <w:rPr>
          <w:rFonts w:eastAsia="Calibri"/>
          <w:color w:val="000000"/>
        </w:rPr>
        <w:t>.</w:t>
      </w:r>
      <w:r w:rsidRPr="00FB4877">
        <w:t xml:space="preserve"> </w:t>
      </w:r>
      <w:r>
        <w:t>Anotācijā arī skaidrots, ka gadījumā, ja netiktu veikti ierobežojošie pasākumi, tad, ņemot vērā finansējuma samazinājumu, būtu pilnībā jāatsakās no individuālās kompensācijas, kas darbojas papildus vispārējai kompensācijas kārtībai (</w:t>
      </w:r>
      <w:r w:rsidR="00E70ABB" w:rsidRPr="00E70ABB">
        <w:rPr>
          <w:i/>
          <w:iCs/>
        </w:rPr>
        <w:t xml:space="preserve">Tiesību akta projekta </w:t>
      </w:r>
      <w:r w:rsidR="00E70ABB">
        <w:rPr>
          <w:i/>
          <w:iCs/>
        </w:rPr>
        <w:t xml:space="preserve">dok. </w:t>
      </w:r>
      <w:r w:rsidR="00E70ABB" w:rsidRPr="00E70ABB">
        <w:rPr>
          <w:i/>
          <w:iCs/>
        </w:rPr>
        <w:t xml:space="preserve">Nr. VSS-692, TA-2325 </w:t>
      </w:r>
      <w:r w:rsidR="006F050B" w:rsidRPr="00E70ABB">
        <w:rPr>
          <w:i/>
          <w:iCs/>
        </w:rPr>
        <w:t>„Grozījumi</w:t>
      </w:r>
      <w:r w:rsidR="006F050B" w:rsidRPr="006F050B">
        <w:rPr>
          <w:i/>
          <w:iCs/>
        </w:rPr>
        <w:t xml:space="preserve"> Ministru kabineta 2006.gada 31.oktobra noteikumos Nr.</w:t>
      </w:r>
      <w:r w:rsidR="004B0384">
        <w:rPr>
          <w:i/>
          <w:iCs/>
        </w:rPr>
        <w:t> </w:t>
      </w:r>
      <w:r w:rsidR="006F050B" w:rsidRPr="006F050B">
        <w:rPr>
          <w:i/>
          <w:iCs/>
        </w:rPr>
        <w:t xml:space="preserve">899 </w:t>
      </w:r>
      <w:r w:rsidR="004B0384">
        <w:rPr>
          <w:i/>
          <w:iCs/>
        </w:rPr>
        <w:t>„</w:t>
      </w:r>
      <w:r w:rsidR="006F050B" w:rsidRPr="006F050B">
        <w:rPr>
          <w:i/>
          <w:iCs/>
        </w:rPr>
        <w:t xml:space="preserve">Ambulatorajai ārstēšanai paredzēto zāļu un medicīnisko ierīču iegādes izdevumu kompensācijas kārtība”” </w:t>
      </w:r>
      <w:hyperlink r:id="rId14" w:history="1">
        <w:r w:rsidR="006F050B" w:rsidRPr="006F050B">
          <w:rPr>
            <w:rStyle w:val="Hyperlink"/>
            <w:i/>
            <w:iCs/>
          </w:rPr>
          <w:t>anotācija</w:t>
        </w:r>
      </w:hyperlink>
      <w:r>
        <w:rPr>
          <w:rFonts w:eastAsia="Calibri"/>
          <w:color w:val="000000"/>
        </w:rPr>
        <w:t>).</w:t>
      </w:r>
    </w:p>
    <w:p w14:paraId="66143FBA" w14:textId="3A601050" w:rsidR="00621CA3" w:rsidRDefault="00621CA3" w:rsidP="002947A5">
      <w:pPr>
        <w:spacing w:line="276" w:lineRule="auto"/>
        <w:ind w:firstLine="720"/>
        <w:jc w:val="both"/>
        <w:rPr>
          <w:shd w:val="clear" w:color="auto" w:fill="FFFFFF"/>
        </w:rPr>
      </w:pPr>
      <w:r>
        <w:t xml:space="preserve">Tātad valsts, domājot par kompensējamo medikamentu pieejamību iespējami plašākam personu lokam un meklējot līdzsvaru veselības aprūpei atvēlēto resursu sadalē starp vispārējo kompensācijas kārtību un individuālās kompensācijas kārtību, līdz ar 2012.gada 9.oktobra grozījumiem apzināti atkāpusies no tāda zāļu iegādes izdevumu kompensācijas mehānisma individuālā kārtībā, kad zāļu iegādes izdevumi personai tiek kompensēti, ja tai nav piemērotas nevienas no kompensējamo zāļu sarakstā iekļautajām zālēm. </w:t>
      </w:r>
      <w:r>
        <w:rPr>
          <w:shd w:val="clear" w:color="auto" w:fill="FFFFFF"/>
        </w:rPr>
        <w:t>Tā kā apgabaltiesa atzinusi, ka pieteicējai zāļu iegādes izdevumi kompensējami individuālā kārtībā, jo kompensējamo zāļu sarakstā esošās zāles pieteicējai nav piemērotas, ir pamatots Veselības ministrijas arguments, ka apgabaltiesa būtībā ir piemērojusi tādu kompensācijas mehānismu individuālā kārtībā, kāds tas bija spēkā līdz 2013.gada 1.janvārim</w:t>
      </w:r>
      <w:r w:rsidR="00B41668">
        <w:rPr>
          <w:shd w:val="clear" w:color="auto" w:fill="FFFFFF"/>
        </w:rPr>
        <w:t>,</w:t>
      </w:r>
      <w:r>
        <w:rPr>
          <w:shd w:val="clear" w:color="auto" w:fill="FFFFFF"/>
        </w:rPr>
        <w:t xml:space="preserve"> un ir rīkojusies pretēji </w:t>
      </w:r>
      <w:r w:rsidR="001A54B7">
        <w:rPr>
          <w:shd w:val="clear" w:color="auto" w:fill="FFFFFF"/>
        </w:rPr>
        <w:t>valsts s</w:t>
      </w:r>
      <w:r>
        <w:rPr>
          <w:shd w:val="clear" w:color="auto" w:fill="FFFFFF"/>
        </w:rPr>
        <w:t>kaidri norādītajai gribai atkāpties no šāda mehānisma, lai nodrošinātu medikamentu pieejamību iespējami plašākam personu lokam.</w:t>
      </w:r>
    </w:p>
    <w:p w14:paraId="65012E51" w14:textId="77777777" w:rsidR="008D66D5" w:rsidRDefault="008D66D5" w:rsidP="002947A5">
      <w:pPr>
        <w:spacing w:line="276" w:lineRule="auto"/>
        <w:ind w:firstLine="720"/>
        <w:jc w:val="both"/>
        <w:rPr>
          <w:shd w:val="clear" w:color="auto" w:fill="FFFFFF"/>
        </w:rPr>
      </w:pPr>
    </w:p>
    <w:p w14:paraId="2BAF7A6E" w14:textId="432F8C19" w:rsidR="008D66D5" w:rsidRDefault="008D66D5" w:rsidP="002947A5">
      <w:pPr>
        <w:spacing w:line="276" w:lineRule="auto"/>
        <w:ind w:firstLine="720"/>
        <w:jc w:val="both"/>
        <w:rPr>
          <w:shd w:val="clear" w:color="auto" w:fill="FFFFFF"/>
        </w:rPr>
      </w:pPr>
      <w:r>
        <w:rPr>
          <w:shd w:val="clear" w:color="auto" w:fill="FFFFFF"/>
        </w:rPr>
        <w:lastRenderedPageBreak/>
        <w:t>[</w:t>
      </w:r>
      <w:r w:rsidR="004C20AC">
        <w:rPr>
          <w:shd w:val="clear" w:color="auto" w:fill="FFFFFF"/>
        </w:rPr>
        <w:t>10</w:t>
      </w:r>
      <w:r>
        <w:rPr>
          <w:shd w:val="clear" w:color="auto" w:fill="FFFFFF"/>
        </w:rPr>
        <w:t xml:space="preserve">] No apgabaltiesas sprieduma izriet, ka apgabaltiesa šādi rīkojusies, jo atzinusi, ka, lai arī konkrētais gadījums nav netipisks, tomēr uz to ir jāraugās kā uz </w:t>
      </w:r>
      <w:r w:rsidR="00E749D3">
        <w:rPr>
          <w:shd w:val="clear" w:color="auto" w:fill="FFFFFF"/>
        </w:rPr>
        <w:t>īpašu</w:t>
      </w:r>
      <w:r>
        <w:rPr>
          <w:shd w:val="clear" w:color="auto" w:fill="FFFFFF"/>
        </w:rPr>
        <w:t xml:space="preserve"> gadījum</w:t>
      </w:r>
      <w:r w:rsidR="00AE5999">
        <w:rPr>
          <w:shd w:val="clear" w:color="auto" w:fill="FFFFFF"/>
        </w:rPr>
        <w:t>u</w:t>
      </w:r>
      <w:r>
        <w:rPr>
          <w:shd w:val="clear" w:color="auto" w:fill="FFFFFF"/>
        </w:rPr>
        <w:t xml:space="preserve"> tieši tā iemesla dēļ, ka kompensējamo zāļu sarakstā iekļautās zāles pieteicējai nav piemērotas.</w:t>
      </w:r>
    </w:p>
    <w:p w14:paraId="06E34A97" w14:textId="716C42E1" w:rsidR="002666CD" w:rsidRDefault="00B860B3" w:rsidP="002947A5">
      <w:pPr>
        <w:spacing w:line="276" w:lineRule="auto"/>
        <w:ind w:firstLine="720"/>
        <w:jc w:val="both"/>
      </w:pPr>
      <w:r>
        <w:rPr>
          <w:rFonts w:eastAsia="Calibri"/>
          <w:color w:val="000000"/>
        </w:rPr>
        <w:t>Šajā sakarā jāņem vērā, ka n</w:t>
      </w:r>
      <w:r w:rsidR="002666CD">
        <w:rPr>
          <w:rFonts w:eastAsia="Calibri"/>
          <w:color w:val="000000"/>
        </w:rPr>
        <w:t xml:space="preserve">o </w:t>
      </w:r>
      <w:r w:rsidR="00621CA3">
        <w:rPr>
          <w:rFonts w:eastAsia="Calibri"/>
          <w:color w:val="000000"/>
        </w:rPr>
        <w:t xml:space="preserve">iepriekš norādīto grozījumu </w:t>
      </w:r>
      <w:r w:rsidR="002666CD">
        <w:rPr>
          <w:rFonts w:eastAsia="Calibri"/>
          <w:color w:val="000000"/>
        </w:rPr>
        <w:t xml:space="preserve">anotācijas izriet, ka </w:t>
      </w:r>
      <w:r w:rsidR="00621CA3">
        <w:rPr>
          <w:rFonts w:eastAsia="Calibri"/>
          <w:color w:val="000000"/>
        </w:rPr>
        <w:t>valsts</w:t>
      </w:r>
      <w:r w:rsidR="00621CA3">
        <w:t xml:space="preserve"> </w:t>
      </w:r>
      <w:r w:rsidR="002666CD">
        <w:t xml:space="preserve">ir </w:t>
      </w:r>
      <w:r>
        <w:t>apzinājusies</w:t>
      </w:r>
      <w:r w:rsidR="002666CD">
        <w:t xml:space="preserve">, ka nav iespējams izvairīties no gadījumiem, kad ne tikai kompensējamās zāles, bet vispār Latvijā pieejamās zāles nav piemērotas pacienta dzīvības funkciju uzturēšanai. Šajā sakarā </w:t>
      </w:r>
      <w:r w:rsidR="00621CA3">
        <w:t>anotācijā</w:t>
      </w:r>
      <w:r w:rsidR="002666CD">
        <w:t xml:space="preserve"> ir skaidro</w:t>
      </w:r>
      <w:r w:rsidR="00B41668">
        <w:t>t</w:t>
      </w:r>
      <w:r w:rsidR="002666CD">
        <w:t>s, ka valsts finanšu resursi ir ierobežoti, tā nevar apmaksāt ikvienam iedzīvotājam visas nepieciešamās zāles, tāpēc valstij nākas sadalīt resursus un līdz ar to noteikt, kāda ārstēšana tiek apmaksāta</w:t>
      </w:r>
      <w:r w:rsidR="00621CA3">
        <w:t>. I</w:t>
      </w:r>
      <w:r w:rsidR="00621CA3" w:rsidRPr="003A425D">
        <w:rPr>
          <w:rFonts w:eastAsia="Calibri"/>
          <w:color w:val="000000"/>
        </w:rPr>
        <w:t xml:space="preserve">erobežota budžeta apstākļos atsevišķos gadījumos iespējama situācija, ka pacientam dzīvības funkciju uzturēšanai </w:t>
      </w:r>
      <w:r w:rsidR="00621CA3">
        <w:rPr>
          <w:rFonts w:eastAsia="Calibri"/>
          <w:color w:val="000000"/>
        </w:rPr>
        <w:t xml:space="preserve">kompensējamo zāļu sarakstā </w:t>
      </w:r>
      <w:r w:rsidR="00621CA3" w:rsidRPr="003A425D">
        <w:rPr>
          <w:rFonts w:eastAsia="Calibri"/>
          <w:color w:val="000000"/>
        </w:rPr>
        <w:t>iekļautās zāles nebūs piemērotas. Šādos gadījumos, ja izvēlēto zāļu</w:t>
      </w:r>
      <w:r w:rsidR="00B956F7">
        <w:rPr>
          <w:rFonts w:eastAsia="Calibri"/>
          <w:color w:val="000000"/>
        </w:rPr>
        <w:t xml:space="preserve"> lietošanas </w:t>
      </w:r>
      <w:r w:rsidR="00621CA3" w:rsidRPr="003A425D">
        <w:rPr>
          <w:rFonts w:eastAsia="Calibri"/>
          <w:color w:val="000000"/>
        </w:rPr>
        <w:t xml:space="preserve">izmaksas būs samērojamas ar kompensācijai piešķirtajiem līdzekļiem, tās tiks iekļautas </w:t>
      </w:r>
      <w:r w:rsidR="00621CA3">
        <w:rPr>
          <w:rFonts w:eastAsia="Calibri"/>
          <w:color w:val="000000"/>
        </w:rPr>
        <w:t>kompensējamo zāļu sarakstā</w:t>
      </w:r>
      <w:r w:rsidR="00621CA3" w:rsidRPr="003A425D">
        <w:rPr>
          <w:rFonts w:eastAsia="Calibri"/>
          <w:color w:val="000000"/>
        </w:rPr>
        <w:t xml:space="preserve">. Taču, ja budžeta līdzekļi nebūs pietiekami, lai </w:t>
      </w:r>
      <w:r w:rsidR="00621CA3">
        <w:rPr>
          <w:rFonts w:eastAsia="Calibri"/>
          <w:color w:val="000000"/>
        </w:rPr>
        <w:t>kompensējamo zāļu sarakstā</w:t>
      </w:r>
      <w:r w:rsidR="00621CA3" w:rsidRPr="003A425D">
        <w:rPr>
          <w:rFonts w:eastAsia="Calibri"/>
          <w:color w:val="000000"/>
        </w:rPr>
        <w:t xml:space="preserve"> papildinātu ar jaunām zālēm, tad zāļu kompensāciju no valsts budžeta līdzekļiem pacientam nāksies atteikt</w:t>
      </w:r>
      <w:r w:rsidR="00B41668">
        <w:rPr>
          <w:rFonts w:eastAsia="Calibri"/>
          <w:color w:val="000000"/>
        </w:rPr>
        <w:t>. T</w:t>
      </w:r>
      <w:r w:rsidR="00621CA3" w:rsidRPr="003A425D">
        <w:rPr>
          <w:rFonts w:eastAsia="Calibri"/>
          <w:color w:val="000000"/>
        </w:rPr>
        <w:t>omēr saskaņā ar Nacionālā veselības dienesta sniegto informāciju zāļu ražotāji, kuru pārstāvēto zāļu efektivitāte nav vērtēta, ir izteikuši apņēmību piedalīties kompensācijas nodrošināšanā līdz to zāļu efektivitātes pierādījumu iegūšanai</w:t>
      </w:r>
      <w:r w:rsidR="00621CA3">
        <w:rPr>
          <w:rFonts w:eastAsia="Calibri"/>
          <w:color w:val="000000"/>
        </w:rPr>
        <w:t xml:space="preserve"> </w:t>
      </w:r>
      <w:r w:rsidR="002666CD">
        <w:t>(</w:t>
      </w:r>
      <w:r w:rsidR="002666CD" w:rsidRPr="00240CBD">
        <w:rPr>
          <w:i/>
          <w:iCs/>
        </w:rPr>
        <w:t>turpat</w:t>
      </w:r>
      <w:r w:rsidR="002666CD">
        <w:t>).</w:t>
      </w:r>
    </w:p>
    <w:p w14:paraId="298D0346" w14:textId="167CF3D9" w:rsidR="00AE5999" w:rsidRDefault="00B41668" w:rsidP="002947A5">
      <w:pPr>
        <w:spacing w:line="276" w:lineRule="auto"/>
        <w:ind w:firstLine="720"/>
        <w:jc w:val="both"/>
        <w:rPr>
          <w:rFonts w:eastAsia="Calibri"/>
          <w:color w:val="000000"/>
        </w:rPr>
      </w:pPr>
      <w:r>
        <w:t>No minēt</w:t>
      </w:r>
      <w:r w:rsidR="00E70ABB">
        <w:t>ā</w:t>
      </w:r>
      <w:r>
        <w:t xml:space="preserve"> izriet, ka </w:t>
      </w:r>
      <w:r w:rsidR="00B860B3">
        <w:t>valst</w:t>
      </w:r>
      <w:r w:rsidR="00AE5999">
        <w:t xml:space="preserve">s, atkāpjoties no </w:t>
      </w:r>
      <w:r w:rsidR="00621CA3">
        <w:t xml:space="preserve">iepriekš nodibinātās </w:t>
      </w:r>
      <w:r w:rsidR="00B860B3">
        <w:t xml:space="preserve">individuālās </w:t>
      </w:r>
      <w:r w:rsidR="00621CA3">
        <w:t xml:space="preserve">kompensācijas </w:t>
      </w:r>
      <w:r w:rsidR="00B860B3">
        <w:t>kārtības,</w:t>
      </w:r>
      <w:r w:rsidR="00AE5999">
        <w:t xml:space="preserve"> ir apzināj</w:t>
      </w:r>
      <w:r w:rsidR="00B860B3">
        <w:t>us</w:t>
      </w:r>
      <w:r w:rsidR="00AE5999">
        <w:t>ies, ka var izveidoties situācija</w:t>
      </w:r>
      <w:r w:rsidR="00B860B3">
        <w:t>s</w:t>
      </w:r>
      <w:r w:rsidR="00AE5999">
        <w:t>, kad personai nav piemērotas kompensējamās zāle</w:t>
      </w:r>
      <w:r w:rsidR="00D30498">
        <w:t>s</w:t>
      </w:r>
      <w:r w:rsidR="00AE5999">
        <w:t xml:space="preserve"> un ierobežoto resursu dēļ valsts nevar kompensēt šai personai citu zāļu iegādes izdevumus</w:t>
      </w:r>
      <w:r w:rsidR="00B860B3">
        <w:t xml:space="preserve">, tāpēc var būt gadījumi, kad var nākties atteikt zāļu iegādes izdevumu kompensāciju. Vienlaikus anotācijā arī norādīts iespējamais risinājums situācijas uzlabošanai – </w:t>
      </w:r>
      <w:r w:rsidR="00B860B3" w:rsidRPr="003A425D">
        <w:rPr>
          <w:rFonts w:eastAsia="Calibri"/>
          <w:color w:val="000000"/>
        </w:rPr>
        <w:t xml:space="preserve">ja izvēlēto zāļu lietošanas izmaksas būs samērojamas ar kompensācijai piešķirtajiem līdzekļiem, tās tiks iekļautas </w:t>
      </w:r>
      <w:r w:rsidR="00B860B3">
        <w:rPr>
          <w:rFonts w:eastAsia="Calibri"/>
          <w:color w:val="000000"/>
        </w:rPr>
        <w:t xml:space="preserve">kompensējamo zāļu sarakstā. Kā izriet no publiski pieejamās informācijas, šobrīd zāles </w:t>
      </w:r>
      <w:r w:rsidR="002947A5">
        <w:rPr>
          <w:i/>
          <w:iCs/>
          <w:color w:val="000000" w:themeColor="text1"/>
        </w:rPr>
        <w:t xml:space="preserve">[aktīvā viela C] </w:t>
      </w:r>
      <w:r w:rsidR="00B860B3">
        <w:rPr>
          <w:color w:val="000000" w:themeColor="text1"/>
        </w:rPr>
        <w:t>(</w:t>
      </w:r>
      <w:r w:rsidR="002947A5">
        <w:rPr>
          <w:i/>
          <w:iCs/>
          <w:color w:val="000000" w:themeColor="text1"/>
        </w:rPr>
        <w:t>[Zāļu nosaukums]</w:t>
      </w:r>
      <w:r w:rsidR="00B860B3">
        <w:rPr>
          <w:color w:val="000000" w:themeColor="text1"/>
        </w:rPr>
        <w:t>) ir iekļautas kompensējamo zāļu sarakstā</w:t>
      </w:r>
      <w:r w:rsidR="00B860B3">
        <w:rPr>
          <w:rFonts w:eastAsia="Calibri"/>
          <w:color w:val="000000"/>
        </w:rPr>
        <w:t xml:space="preserve"> (</w:t>
      </w:r>
      <w:hyperlink r:id="rId15" w:history="1">
        <w:r w:rsidR="00B860B3" w:rsidRPr="00B860B3">
          <w:rPr>
            <w:rStyle w:val="Hyperlink"/>
            <w:rFonts w:eastAsia="Calibri"/>
            <w:i/>
            <w:iCs/>
          </w:rPr>
          <w:t>https://www.vmnvd.gov.lv/lv/kompensejamo-zalu-saraksti</w:t>
        </w:r>
      </w:hyperlink>
      <w:r w:rsidR="00B860B3">
        <w:rPr>
          <w:rFonts w:eastAsia="Calibri"/>
          <w:color w:val="000000"/>
        </w:rPr>
        <w:t>).</w:t>
      </w:r>
    </w:p>
    <w:p w14:paraId="644D10C8" w14:textId="77777777" w:rsidR="00B860B3" w:rsidRDefault="00B860B3" w:rsidP="002947A5">
      <w:pPr>
        <w:spacing w:line="276" w:lineRule="auto"/>
        <w:ind w:firstLine="720"/>
        <w:jc w:val="both"/>
      </w:pPr>
    </w:p>
    <w:p w14:paraId="3D1B5A7E" w14:textId="323CDC4E" w:rsidR="00B860B3" w:rsidRPr="00F93469" w:rsidRDefault="00B860B3" w:rsidP="002947A5">
      <w:pPr>
        <w:spacing w:line="276" w:lineRule="auto"/>
        <w:ind w:firstLine="720"/>
        <w:jc w:val="both"/>
      </w:pPr>
      <w:r>
        <w:t>[</w:t>
      </w:r>
      <w:r w:rsidR="004C20AC">
        <w:t>11</w:t>
      </w:r>
      <w:r>
        <w:t>] Ņemot vērā iepriekš norādīto, Senāts atzīst, ka</w:t>
      </w:r>
      <w:r w:rsidR="00B41668">
        <w:t>, tā kā</w:t>
      </w:r>
      <w:r>
        <w:t xml:space="preserve"> </w:t>
      </w:r>
      <w:r w:rsidRPr="00F93469">
        <w:t xml:space="preserve">apgabaltiesa ir nepareizi interpretējusi </w:t>
      </w:r>
      <w:r>
        <w:t xml:space="preserve">un piemērojusi </w:t>
      </w:r>
      <w:r w:rsidRPr="00F93469">
        <w:t>Kompensācijas noteikumu 92.2.apakšpunktu, apgabaltiesas spriedums ir atceļams</w:t>
      </w:r>
      <w:r w:rsidR="00E70ABB">
        <w:t>,</w:t>
      </w:r>
      <w:r w:rsidRPr="00F93469">
        <w:t xml:space="preserve"> un lieta no</w:t>
      </w:r>
      <w:r>
        <w:t xml:space="preserve">sūtāma </w:t>
      </w:r>
      <w:r w:rsidRPr="00F93469">
        <w:t>jaunai izskatīšanai.</w:t>
      </w:r>
    </w:p>
    <w:p w14:paraId="7D4D7239" w14:textId="77777777" w:rsidR="00B860B3" w:rsidRDefault="00B860B3" w:rsidP="002947A5">
      <w:pPr>
        <w:spacing w:line="276" w:lineRule="auto"/>
        <w:ind w:firstLine="720"/>
        <w:jc w:val="both"/>
      </w:pPr>
    </w:p>
    <w:p w14:paraId="783639FB" w14:textId="39F4A1BD" w:rsidR="00B860B3" w:rsidRDefault="000F7582" w:rsidP="002947A5">
      <w:pPr>
        <w:spacing w:line="276" w:lineRule="auto"/>
        <w:ind w:firstLine="720"/>
        <w:jc w:val="both"/>
      </w:pPr>
      <w:r>
        <w:t>[</w:t>
      </w:r>
      <w:r w:rsidR="004C20AC">
        <w:t>12</w:t>
      </w:r>
      <w:r>
        <w:t>] </w:t>
      </w:r>
      <w:r w:rsidR="00140BAB">
        <w:t xml:space="preserve">Vienlaikus </w:t>
      </w:r>
      <w:r w:rsidR="00B860B3">
        <w:t>Senāts norāda turpmāk minēto.</w:t>
      </w:r>
    </w:p>
    <w:p w14:paraId="6CFB000F" w14:textId="65520BA1" w:rsidR="00CA1753" w:rsidRDefault="000F7582" w:rsidP="002947A5">
      <w:pPr>
        <w:spacing w:line="276" w:lineRule="auto"/>
        <w:ind w:firstLine="720"/>
        <w:jc w:val="both"/>
      </w:pPr>
      <w:r>
        <w:t>Apgabaltiesa</w:t>
      </w:r>
      <w:r w:rsidR="00B860B3">
        <w:t xml:space="preserve">, atzīstot, ka zāles </w:t>
      </w:r>
      <w:r w:rsidR="002947A5">
        <w:rPr>
          <w:i/>
          <w:iCs/>
          <w:color w:val="000000" w:themeColor="text1"/>
        </w:rPr>
        <w:t xml:space="preserve">[aktīvā viela A] </w:t>
      </w:r>
      <w:r w:rsidR="00B860B3">
        <w:t xml:space="preserve">pieteicējai nav piemērotas, </w:t>
      </w:r>
      <w:r>
        <w:t>spriedumā norādī</w:t>
      </w:r>
      <w:r w:rsidR="00B860B3">
        <w:t>jusi</w:t>
      </w:r>
      <w:r>
        <w:t xml:space="preserve">, ka </w:t>
      </w:r>
      <w:r w:rsidR="00DE6DB7">
        <w:t xml:space="preserve">kompensējamo zāļu sarakstā pieteicējai diagnosticētās slimības ārstēšanai nav ietverts neviens medikaments, kura lietošana neapdraudētu pieteicējas veselības stāvokli. </w:t>
      </w:r>
    </w:p>
    <w:p w14:paraId="0BAA0933" w14:textId="33BAF1D8" w:rsidR="00DE6DB7" w:rsidRDefault="00DE6DB7" w:rsidP="002947A5">
      <w:pPr>
        <w:spacing w:line="276" w:lineRule="auto"/>
        <w:ind w:firstLine="720"/>
        <w:jc w:val="both"/>
      </w:pPr>
      <w:r>
        <w:t>Šādu secinājumu apgabaltiesa pamatojusi ar konsilija</w:t>
      </w:r>
      <w:r w:rsidR="00B860B3">
        <w:t xml:space="preserve"> lēmumu</w:t>
      </w:r>
      <w:r w:rsidR="00C34FD7">
        <w:t>.</w:t>
      </w:r>
      <w:r w:rsidR="00CA1753">
        <w:t xml:space="preserve"> Tajā minēts</w:t>
      </w:r>
      <w:r w:rsidR="006E63FE">
        <w:t xml:space="preserve">, ka pieteicēja ir gados jauna, fertilā vecumā, tādēļ terapija ar </w:t>
      </w:r>
      <w:r w:rsidR="002947A5">
        <w:rPr>
          <w:i/>
          <w:iCs/>
          <w:color w:val="000000" w:themeColor="text1"/>
        </w:rPr>
        <w:t xml:space="preserve">[aktīvā viela A] </w:t>
      </w:r>
      <w:r w:rsidR="006E63FE">
        <w:t>nav izvēles terapija, t</w:t>
      </w:r>
      <w:r w:rsidR="00140BAB">
        <w:t>ā</w:t>
      </w:r>
      <w:r w:rsidR="006E63FE">
        <w:t>s nav ieteicam</w:t>
      </w:r>
      <w:r w:rsidR="00140BAB">
        <w:t>a</w:t>
      </w:r>
      <w:r w:rsidR="006E63FE">
        <w:t>s pacientiem jaunākiem par 40 gadiem savas leik</w:t>
      </w:r>
      <w:r w:rsidR="001A54B7">
        <w:t>e</w:t>
      </w:r>
      <w:r w:rsidR="006E63FE">
        <w:t>mogēnās darbības dēļ. Izvēles terapija būtu turpināt</w:t>
      </w:r>
      <w:r w:rsidR="002947A5">
        <w:rPr>
          <w:i/>
          <w:iCs/>
        </w:rPr>
        <w:t xml:space="preserve"> </w:t>
      </w:r>
      <w:r w:rsidR="002947A5">
        <w:rPr>
          <w:i/>
          <w:iCs/>
          <w:color w:val="000000" w:themeColor="text1"/>
        </w:rPr>
        <w:t>[aktīvā viela B]</w:t>
      </w:r>
      <w:r w:rsidR="006E63FE">
        <w:t>, kas nav pieejams, vai</w:t>
      </w:r>
      <w:r w:rsidR="002947A5">
        <w:t xml:space="preserve"> </w:t>
      </w:r>
      <w:r w:rsidR="002947A5">
        <w:rPr>
          <w:i/>
          <w:iCs/>
          <w:color w:val="000000" w:themeColor="text1"/>
        </w:rPr>
        <w:t>[aktīvā viela C]</w:t>
      </w:r>
      <w:r w:rsidR="006E63FE">
        <w:t xml:space="preserve">, pēdējā medikamenta priekšrocības ir samazināts blakņu skaits, retākas ievades reizes un augsta </w:t>
      </w:r>
      <w:r w:rsidR="006E63FE">
        <w:lastRenderedPageBreak/>
        <w:t>hematoloģiskās remisijas sasniegšanas iespēja, kas samazina transformāciju akūtā leikozē un sekundārā mielofibrozē.</w:t>
      </w:r>
    </w:p>
    <w:p w14:paraId="0315BE63" w14:textId="4F927907" w:rsidR="00C34FD7" w:rsidRDefault="00C34FD7" w:rsidP="002947A5">
      <w:pPr>
        <w:spacing w:line="276" w:lineRule="auto"/>
        <w:ind w:firstLine="720"/>
        <w:jc w:val="both"/>
      </w:pPr>
      <w:r>
        <w:t xml:space="preserve">Tātad konsilija </w:t>
      </w:r>
      <w:r w:rsidR="00CA1753">
        <w:t>lēmum</w:t>
      </w:r>
      <w:r>
        <w:t xml:space="preserve">ā norādīts, ka kompensējamo zāļu sarakstā iekļautās zāles </w:t>
      </w:r>
      <w:r w:rsidR="002947A5">
        <w:rPr>
          <w:i/>
          <w:iCs/>
          <w:color w:val="000000" w:themeColor="text1"/>
        </w:rPr>
        <w:t xml:space="preserve">[aktīvā viela A]  </w:t>
      </w:r>
      <w:r>
        <w:t>pieteicējai nav ieteicamas, un paskaidrots, kāpēc būtu lietojamas zāles</w:t>
      </w:r>
      <w:r w:rsidR="002947A5">
        <w:rPr>
          <w:i/>
          <w:iCs/>
        </w:rPr>
        <w:t xml:space="preserve"> </w:t>
      </w:r>
      <w:r w:rsidR="002947A5">
        <w:rPr>
          <w:i/>
          <w:iCs/>
          <w:color w:val="000000" w:themeColor="text1"/>
        </w:rPr>
        <w:t>[aktīvā viela C]</w:t>
      </w:r>
      <w:r>
        <w:t xml:space="preserve">. </w:t>
      </w:r>
      <w:r w:rsidR="001A54B7">
        <w:t xml:space="preserve">Apgabaltiesas spriedumā nav norādīts, no kādiem </w:t>
      </w:r>
      <w:r>
        <w:t>konsilija slēdzien</w:t>
      </w:r>
      <w:r w:rsidR="001A54B7">
        <w:t xml:space="preserve">ā minētajiem apstākļiem </w:t>
      </w:r>
      <w:r>
        <w:t xml:space="preserve">izriet apgabaltiesas secinātais, ka tieši kompensējamo zāļu </w:t>
      </w:r>
      <w:r w:rsidR="002947A5">
        <w:rPr>
          <w:i/>
          <w:iCs/>
          <w:color w:val="000000" w:themeColor="text1"/>
        </w:rPr>
        <w:t xml:space="preserve">[aktīvā viela A] </w:t>
      </w:r>
      <w:r>
        <w:t xml:space="preserve">lietošana (nevis, piemēram, pati slimība vai jebkādas terapijas neesība) apdraud pieteicējas veselības stāvokli. Apgabaltiesas spriedumā norādīts, ka atbilstoši konsilija </w:t>
      </w:r>
      <w:r w:rsidR="00CA1753">
        <w:t>lēmuma</w:t>
      </w:r>
      <w:r>
        <w:t xml:space="preserve">m, ja pieteicēja nelietos specifisku terapiju, pieteicējas dzīvības funkcijas tiks apdraudētas. </w:t>
      </w:r>
      <w:r w:rsidR="007B41BA">
        <w:t xml:space="preserve">Konsilija slēdzienā patiešām ir norādīts, ka, nelietojot specifisku terapiju, pieteicējas dzīvības funkcijas ir apdraudētas, ir augsts trombožu un dzīvībai svarīgu orgānu asiņošanas risks, kā arī varbūtība, ka pieteicējas slimība transformēsies akūtā leikozē vai mielofibrozē. Taču apgabaltiesa nav skaidrojusi, vai konsilija slēdzienā norādītā specifiskā terapija izslēdz kompensējamo zāļu </w:t>
      </w:r>
      <w:r w:rsidR="002947A5">
        <w:rPr>
          <w:i/>
          <w:iCs/>
          <w:color w:val="000000" w:themeColor="text1"/>
        </w:rPr>
        <w:t xml:space="preserve">[aktīvā viela A] </w:t>
      </w:r>
      <w:r w:rsidR="007B41BA">
        <w:t xml:space="preserve"> lietošanu. Šajā sakarā </w:t>
      </w:r>
      <w:r w:rsidR="00140BAB">
        <w:t xml:space="preserve">arī </w:t>
      </w:r>
      <w:r w:rsidR="001A54B7">
        <w:t>konstatējams</w:t>
      </w:r>
      <w:r>
        <w:t xml:space="preserve">, ka konsilija slēdzienā ir </w:t>
      </w:r>
      <w:r w:rsidR="00140BAB">
        <w:t>minēti</w:t>
      </w:r>
      <w:r>
        <w:t xml:space="preserve"> trīs medicīniskās informācijas avoti, uz ko konsilijs atsaucies, taču apgabaltiesa nav vērtējusi tajos norādīto informāciju par kompensējamo zāļu </w:t>
      </w:r>
      <w:r w:rsidR="002947A5">
        <w:rPr>
          <w:i/>
          <w:iCs/>
          <w:color w:val="000000" w:themeColor="text1"/>
        </w:rPr>
        <w:t xml:space="preserve">[aktīvā viela A] </w:t>
      </w:r>
      <w:r>
        <w:t>lietošanas iespējamo ietekmi uz pieteicējas veselības stāvokli un iespējamām sekām.</w:t>
      </w:r>
    </w:p>
    <w:p w14:paraId="629B0551" w14:textId="0ADC33DA" w:rsidR="005073BD" w:rsidRDefault="00C34FD7" w:rsidP="002947A5">
      <w:pPr>
        <w:spacing w:line="276" w:lineRule="auto"/>
        <w:ind w:firstLine="720"/>
        <w:jc w:val="both"/>
      </w:pPr>
      <w:r>
        <w:t>Apgabaltiesa</w:t>
      </w:r>
      <w:r w:rsidRPr="00C34FD7">
        <w:t xml:space="preserve"> </w:t>
      </w:r>
      <w:r>
        <w:t xml:space="preserve">spriedumā </w:t>
      </w:r>
      <w:r w:rsidR="001A54B7">
        <w:t xml:space="preserve">ir atsaukusies </w:t>
      </w:r>
      <w:r w:rsidR="00CA1753">
        <w:t xml:space="preserve">arī </w:t>
      </w:r>
      <w:r w:rsidR="001A54B7">
        <w:t xml:space="preserve">uz </w:t>
      </w:r>
      <w:r>
        <w:t>valsts SIA </w:t>
      </w:r>
      <w:r w:rsidR="00140BAB" w:rsidRPr="006A5B3B">
        <w:t>„</w:t>
      </w:r>
      <w:r w:rsidR="00D64DF2">
        <w:t xml:space="preserve">[Slimnīcas </w:t>
      </w:r>
      <w:proofErr w:type="spellStart"/>
      <w:r w:rsidR="00D64DF2">
        <w:t>noaukums</w:t>
      </w:r>
      <w:proofErr w:type="spellEnd"/>
      <w:r w:rsidR="00D64DF2">
        <w:t>]</w:t>
      </w:r>
      <w:r>
        <w:t xml:space="preserve">” ārsta hematologa 2021.gada </w:t>
      </w:r>
      <w:r w:rsidR="00D64DF2">
        <w:t xml:space="preserve">[Slimnīcas nosaukums] </w:t>
      </w:r>
      <w:r>
        <w:t>atzinum</w:t>
      </w:r>
      <w:r w:rsidR="001A54B7">
        <w:t xml:space="preserve">u, kas būtībā ir ārsta viedoklis jeb skaidrojums par </w:t>
      </w:r>
      <w:r w:rsidR="00D64DF2">
        <w:rPr>
          <w:i/>
          <w:iCs/>
          <w:color w:val="000000" w:themeColor="text1"/>
        </w:rPr>
        <w:t xml:space="preserve">[aktīvā viela A] </w:t>
      </w:r>
      <w:r w:rsidR="001A54B7">
        <w:t xml:space="preserve">lietošanu jaunu pacientu gadījumos. Apgabaltiesa </w:t>
      </w:r>
      <w:r w:rsidR="00CA1753">
        <w:t xml:space="preserve">vispārīgi </w:t>
      </w:r>
      <w:r w:rsidR="001A54B7">
        <w:t xml:space="preserve">norādījusi, ka </w:t>
      </w:r>
      <w:r w:rsidR="00CA1753">
        <w:t xml:space="preserve">no </w:t>
      </w:r>
      <w:r w:rsidR="001A54B7">
        <w:t>tā izriet</w:t>
      </w:r>
      <w:r>
        <w:t>, ka pacientiem, kuri ilgstoši lieto</w:t>
      </w:r>
      <w:r w:rsidR="00D64DF2">
        <w:t xml:space="preserve"> </w:t>
      </w:r>
      <w:r w:rsidR="00D64DF2">
        <w:rPr>
          <w:i/>
          <w:iCs/>
          <w:color w:val="000000" w:themeColor="text1"/>
        </w:rPr>
        <w:t>[aktīvā viela A]</w:t>
      </w:r>
      <w:r>
        <w:t>, ir risks saslimt ar mieloleikozi un mielodisplastisku sindromu.</w:t>
      </w:r>
      <w:r w:rsidR="005073BD">
        <w:t xml:space="preserve"> </w:t>
      </w:r>
      <w:r w:rsidR="00CA1753">
        <w:t>Taču a</w:t>
      </w:r>
      <w:r w:rsidR="005073BD">
        <w:t xml:space="preserve">pgabaltiesa, ņemot vērā konkrētās lietas apstākļus, nav vērtējusi, vai šāds risks ir attiecināms arī uz pieteicēju. Šajā sakarā apgabaltiesa arī nav ņēmusi vērā medicīniskās informācijas avotus, tostarp vadlīnijas, uz ko ārsts hematologs ir atsaucies, sniedzot skaidrojumu par </w:t>
      </w:r>
      <w:bookmarkStart w:id="10" w:name="_Hlk161045138"/>
      <w:r w:rsidR="00D64DF2">
        <w:rPr>
          <w:i/>
          <w:iCs/>
          <w:color w:val="000000" w:themeColor="text1"/>
        </w:rPr>
        <w:t xml:space="preserve">[aktīvā viela A] </w:t>
      </w:r>
      <w:r w:rsidR="005073BD">
        <w:t>lietošanu</w:t>
      </w:r>
      <w:bookmarkEnd w:id="10"/>
      <w:r w:rsidR="005073BD">
        <w:t>.</w:t>
      </w:r>
    </w:p>
    <w:p w14:paraId="5500BC2E" w14:textId="5AEA571F" w:rsidR="00F33951" w:rsidRDefault="005073BD" w:rsidP="002947A5">
      <w:pPr>
        <w:spacing w:line="276" w:lineRule="auto"/>
        <w:ind w:firstLine="720"/>
        <w:jc w:val="both"/>
      </w:pPr>
      <w:r>
        <w:t xml:space="preserve">Apkopojot minēto, secināms, ka no apgabaltiesas spriedumā norādītā neizriet </w:t>
      </w:r>
      <w:r w:rsidR="006E63FE">
        <w:t xml:space="preserve">tādi apstākļi, kuru dēļ </w:t>
      </w:r>
      <w:r w:rsidR="00140BAB">
        <w:t xml:space="preserve">pieteicēja nedrīkst (ir </w:t>
      </w:r>
      <w:r w:rsidR="00CA1753">
        <w:t>aizliegts</w:t>
      </w:r>
      <w:r w:rsidR="00140BAB">
        <w:t xml:space="preserve">) lietot </w:t>
      </w:r>
      <w:r w:rsidR="006E63FE">
        <w:t>kompensējam</w:t>
      </w:r>
      <w:r w:rsidR="00140BAB">
        <w:t>ās</w:t>
      </w:r>
      <w:r w:rsidR="006E63FE">
        <w:t xml:space="preserve"> zā</w:t>
      </w:r>
      <w:r w:rsidR="00140BAB">
        <w:t>les</w:t>
      </w:r>
      <w:r w:rsidR="006E63FE">
        <w:t xml:space="preserve"> </w:t>
      </w:r>
      <w:r w:rsidR="00D64DF2">
        <w:rPr>
          <w:i/>
          <w:iCs/>
          <w:color w:val="000000" w:themeColor="text1"/>
        </w:rPr>
        <w:t xml:space="preserve">[aktīvā viela A] </w:t>
      </w:r>
      <w:r w:rsidR="00CA1753">
        <w:t>(</w:t>
      </w:r>
      <w:r w:rsidR="006E63FE">
        <w:t>piemēram, tās lietojot, iestās</w:t>
      </w:r>
      <w:r w:rsidR="00140BAB">
        <w:t>ies</w:t>
      </w:r>
      <w:r w:rsidR="006E63FE">
        <w:t xml:space="preserve"> anafilakse vai arī tieši pieteicējai </w:t>
      </w:r>
      <w:r w:rsidR="00C23395">
        <w:t xml:space="preserve">papildus </w:t>
      </w:r>
      <w:r w:rsidR="006E63FE">
        <w:t xml:space="preserve">ir </w:t>
      </w:r>
      <w:r w:rsidR="00CA1753">
        <w:t xml:space="preserve">diagnosticēta </w:t>
      </w:r>
      <w:r w:rsidR="00C23395">
        <w:t xml:space="preserve">arī </w:t>
      </w:r>
      <w:r w:rsidR="006E63FE">
        <w:t>tāda slimība, kuras dēļ konkrētās zāles lietot aizliegts</w:t>
      </w:r>
      <w:r w:rsidR="00DE6DB7">
        <w:t>,</w:t>
      </w:r>
      <w:r w:rsidR="006E63FE">
        <w:t xml:space="preserve"> u.tml</w:t>
      </w:r>
      <w:r w:rsidR="00CA1753">
        <w:t>.)</w:t>
      </w:r>
      <w:r w:rsidR="006E63FE">
        <w:t>. Minētajam ir būtiska nozīme</w:t>
      </w:r>
      <w:r w:rsidR="00AD7F1E">
        <w:t xml:space="preserve">, </w:t>
      </w:r>
      <w:r w:rsidR="00716B18">
        <w:t>apsverot</w:t>
      </w:r>
      <w:r w:rsidR="00F33951">
        <w:t>, vai tiek ievērots Satversmes 91.pantā nostiprinātais vienlīdzības princips. Proti, vai persona, kurai ir noteikta diagnoze, kuras ārstēšanai nepieciešamās zāles valsts ir apņēmusies kompensēt</w:t>
      </w:r>
      <w:r w:rsidR="00140BAB">
        <w:t xml:space="preserve"> un kompensējamo zāļu sarakstā ir iekļāvusi zāles šīs diagnozes ārstēšanai</w:t>
      </w:r>
      <w:r w:rsidR="00F33951">
        <w:t xml:space="preserve">, bet šī persona nedrīkst lietot kompensējamo zāļu sarakstā iekļautās zāles, atrodas vienlīdzīgos apstākļos ar personu, kurai </w:t>
      </w:r>
      <w:r w:rsidR="00140BAB">
        <w:t xml:space="preserve">arī </w:t>
      </w:r>
      <w:r w:rsidR="00F33951">
        <w:t xml:space="preserve">ir noteikta </w:t>
      </w:r>
      <w:r w:rsidR="00140BAB">
        <w:t xml:space="preserve">tāda </w:t>
      </w:r>
      <w:r w:rsidR="00F33951">
        <w:t>diagnoze, kuras ārstēšanai nepieciešamās zāles valsts ir apņēmusies kompensēt, bet kompensējamo zāļu sarakstā nav iekļ</w:t>
      </w:r>
      <w:r w:rsidR="006B24A5">
        <w:t xml:space="preserve">āvusi </w:t>
      </w:r>
      <w:r w:rsidR="00F33951">
        <w:t>ne</w:t>
      </w:r>
      <w:r w:rsidR="00140BAB">
        <w:t xml:space="preserve">vienas </w:t>
      </w:r>
      <w:r w:rsidR="00F33951">
        <w:t>zāles.</w:t>
      </w:r>
    </w:p>
    <w:p w14:paraId="048A79A0" w14:textId="77777777" w:rsidR="00F93469" w:rsidRPr="00F93469" w:rsidRDefault="00F93469" w:rsidP="002947A5">
      <w:pPr>
        <w:spacing w:line="276" w:lineRule="auto"/>
        <w:ind w:firstLine="720"/>
        <w:jc w:val="both"/>
      </w:pPr>
    </w:p>
    <w:p w14:paraId="0DDC6267" w14:textId="25B9DC49" w:rsidR="001F0F6B" w:rsidRPr="00F93469" w:rsidRDefault="008F79A9" w:rsidP="002947A5">
      <w:pPr>
        <w:shd w:val="clear" w:color="auto" w:fill="FFFFFF"/>
        <w:spacing w:line="276" w:lineRule="auto"/>
        <w:jc w:val="center"/>
        <w:rPr>
          <w:b/>
          <w:shd w:val="clear" w:color="auto" w:fill="FFFFFF"/>
        </w:rPr>
      </w:pPr>
      <w:r w:rsidRPr="00F93469">
        <w:rPr>
          <w:b/>
          <w:shd w:val="clear" w:color="auto" w:fill="FFFFFF"/>
        </w:rPr>
        <w:t>Rezolutīvā daļa</w:t>
      </w:r>
    </w:p>
    <w:p w14:paraId="7D779100" w14:textId="77777777" w:rsidR="00F93469" w:rsidRPr="00F93469" w:rsidRDefault="00F93469" w:rsidP="002947A5">
      <w:pPr>
        <w:shd w:val="clear" w:color="auto" w:fill="FFFFFF"/>
        <w:spacing w:line="276" w:lineRule="auto"/>
        <w:jc w:val="center"/>
        <w:rPr>
          <w:bCs/>
          <w:shd w:val="clear" w:color="auto" w:fill="FFFFFF"/>
        </w:rPr>
      </w:pPr>
    </w:p>
    <w:p w14:paraId="588E9F8F" w14:textId="66CBAD48" w:rsidR="00447EE6" w:rsidRPr="00F93469" w:rsidRDefault="00447EE6" w:rsidP="002947A5">
      <w:pPr>
        <w:shd w:val="clear" w:color="auto" w:fill="FFFFFF"/>
        <w:spacing w:line="276" w:lineRule="auto"/>
        <w:ind w:firstLine="720"/>
        <w:jc w:val="both"/>
      </w:pPr>
      <w:r w:rsidRPr="00F93469">
        <w:t xml:space="preserve">Pamatojoties uz </w:t>
      </w:r>
      <w:r w:rsidR="00793346" w:rsidRPr="00F93469">
        <w:t xml:space="preserve">Administratīvā procesa likuma 348.panta pirmās daļas </w:t>
      </w:r>
      <w:r w:rsidR="00144D8E" w:rsidRPr="00F93469">
        <w:t>1</w:t>
      </w:r>
      <w:r w:rsidR="00793346" w:rsidRPr="00F93469">
        <w:t xml:space="preserve">.punktu un 351.pantu, </w:t>
      </w:r>
      <w:r w:rsidRPr="00F93469">
        <w:t>Senāts</w:t>
      </w:r>
    </w:p>
    <w:p w14:paraId="53DE1FAB" w14:textId="77777777" w:rsidR="00F93469" w:rsidRPr="00F93469" w:rsidRDefault="00F93469" w:rsidP="002947A5">
      <w:pPr>
        <w:shd w:val="clear" w:color="auto" w:fill="FFFFFF"/>
        <w:spacing w:line="276" w:lineRule="auto"/>
        <w:ind w:firstLine="720"/>
        <w:jc w:val="both"/>
      </w:pPr>
    </w:p>
    <w:p w14:paraId="1A2D0253" w14:textId="503E4AD6" w:rsidR="00447EE6" w:rsidRPr="00F93469" w:rsidRDefault="00F93469" w:rsidP="002947A5">
      <w:pPr>
        <w:shd w:val="clear" w:color="auto" w:fill="FFFFFF"/>
        <w:spacing w:line="276" w:lineRule="auto"/>
        <w:jc w:val="center"/>
        <w:rPr>
          <w:b/>
        </w:rPr>
      </w:pPr>
      <w:r>
        <w:rPr>
          <w:b/>
        </w:rPr>
        <w:lastRenderedPageBreak/>
        <w:t>n</w:t>
      </w:r>
      <w:r w:rsidR="00447EE6" w:rsidRPr="00F93469">
        <w:rPr>
          <w:b/>
        </w:rPr>
        <w:t>osprieda</w:t>
      </w:r>
    </w:p>
    <w:p w14:paraId="2902D1A8" w14:textId="77777777" w:rsidR="00F93469" w:rsidRPr="00F93469" w:rsidRDefault="00F93469" w:rsidP="002947A5">
      <w:pPr>
        <w:shd w:val="clear" w:color="auto" w:fill="FFFFFF"/>
        <w:spacing w:line="276" w:lineRule="auto"/>
        <w:jc w:val="center"/>
        <w:rPr>
          <w:bCs/>
        </w:rPr>
      </w:pPr>
    </w:p>
    <w:p w14:paraId="671B1487" w14:textId="26CCE490" w:rsidR="005B1538" w:rsidRPr="005B1538" w:rsidRDefault="005B1538" w:rsidP="002947A5">
      <w:pPr>
        <w:spacing w:line="276" w:lineRule="auto"/>
        <w:ind w:firstLine="720"/>
        <w:jc w:val="both"/>
      </w:pPr>
      <w:r w:rsidRPr="00F93469">
        <w:t>atcelt Administratīvās apgabaltiesas 2021.gada</w:t>
      </w:r>
      <w:r w:rsidRPr="005B1538">
        <w:t xml:space="preserve"> </w:t>
      </w:r>
      <w:r w:rsidR="00D64DF2">
        <w:t xml:space="preserve">[..] </w:t>
      </w:r>
      <w:r w:rsidRPr="005B1538">
        <w:t>spriedumu un nosūtīt lietu jaunai izskatīšanai Administratīvajai apgabaltiesai;</w:t>
      </w:r>
    </w:p>
    <w:p w14:paraId="1E345E92" w14:textId="66749E21" w:rsidR="005B1538" w:rsidRPr="00793346" w:rsidRDefault="005B1538" w:rsidP="002947A5">
      <w:pPr>
        <w:spacing w:line="276" w:lineRule="auto"/>
        <w:ind w:firstLine="720"/>
        <w:jc w:val="both"/>
      </w:pPr>
      <w:r w:rsidRPr="005B1538">
        <w:t xml:space="preserve">atmaksāt </w:t>
      </w:r>
      <w:r>
        <w:t>Veselības ministrijai</w:t>
      </w:r>
      <w:r w:rsidRPr="005B1538">
        <w:t xml:space="preserve"> drošības naudu 70 </w:t>
      </w:r>
      <w:r w:rsidRPr="005B1538">
        <w:rPr>
          <w:i/>
          <w:iCs/>
        </w:rPr>
        <w:t>euro</w:t>
      </w:r>
      <w:r w:rsidRPr="005B1538">
        <w:t>.</w:t>
      </w:r>
    </w:p>
    <w:p w14:paraId="2E9515A2" w14:textId="77777777" w:rsidR="00793346" w:rsidRPr="00793346" w:rsidRDefault="00793346" w:rsidP="002947A5">
      <w:pPr>
        <w:spacing w:line="276" w:lineRule="auto"/>
        <w:ind w:firstLine="720"/>
        <w:jc w:val="both"/>
        <w:rPr>
          <w:bCs/>
        </w:rPr>
      </w:pPr>
    </w:p>
    <w:p w14:paraId="4EDC0F97" w14:textId="38E2DBAA" w:rsidR="00B54F4B" w:rsidRPr="006559C0" w:rsidRDefault="00793346" w:rsidP="006559C0">
      <w:pPr>
        <w:spacing w:line="276" w:lineRule="auto"/>
        <w:ind w:firstLine="720"/>
        <w:rPr>
          <w:bCs/>
        </w:rPr>
      </w:pPr>
      <w:r w:rsidRPr="00793346">
        <w:rPr>
          <w:bCs/>
        </w:rPr>
        <w:t>Spriedums nav pārsūdzams.</w:t>
      </w:r>
    </w:p>
    <w:sectPr w:rsidR="00B54F4B" w:rsidRPr="006559C0" w:rsidSect="006718B0">
      <w:footerReference w:type="default" r:id="rId16"/>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2D1B0" w14:textId="77777777" w:rsidR="00040B91" w:rsidRDefault="00040B91" w:rsidP="00BF3E5E">
      <w:r>
        <w:separator/>
      </w:r>
    </w:p>
  </w:endnote>
  <w:endnote w:type="continuationSeparator" w:id="0">
    <w:p w14:paraId="1B906696" w14:textId="77777777" w:rsidR="00040B91" w:rsidRDefault="00040B91" w:rsidP="00BF3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1031066"/>
      <w:docPartObj>
        <w:docPartGallery w:val="Page Numbers (Bottom of Page)"/>
        <w:docPartUnique/>
      </w:docPartObj>
    </w:sdtPr>
    <w:sdtEndPr>
      <w:rPr>
        <w:noProof/>
        <w:sz w:val="20"/>
        <w:szCs w:val="20"/>
      </w:rPr>
    </w:sdtEndPr>
    <w:sdtContent>
      <w:p w14:paraId="3D21393B" w14:textId="5268FED3" w:rsidR="00BF3E5E" w:rsidRPr="00BF3E5E" w:rsidRDefault="00BF3E5E" w:rsidP="00BF3E5E">
        <w:pPr>
          <w:pStyle w:val="Footer"/>
          <w:jc w:val="center"/>
          <w:rPr>
            <w:sz w:val="20"/>
            <w:szCs w:val="20"/>
          </w:rPr>
        </w:pPr>
        <w:r w:rsidRPr="00BF3E5E">
          <w:rPr>
            <w:sz w:val="20"/>
            <w:szCs w:val="20"/>
          </w:rPr>
          <w:fldChar w:fldCharType="begin"/>
        </w:r>
        <w:r w:rsidRPr="00BF3E5E">
          <w:rPr>
            <w:sz w:val="20"/>
            <w:szCs w:val="20"/>
          </w:rPr>
          <w:instrText xml:space="preserve"> PAGE   \* MERGEFORMAT </w:instrText>
        </w:r>
        <w:r w:rsidRPr="00BF3E5E">
          <w:rPr>
            <w:sz w:val="20"/>
            <w:szCs w:val="20"/>
          </w:rPr>
          <w:fldChar w:fldCharType="separate"/>
        </w:r>
        <w:r w:rsidRPr="00BF3E5E">
          <w:rPr>
            <w:noProof/>
            <w:sz w:val="20"/>
            <w:szCs w:val="20"/>
          </w:rPr>
          <w:t>2</w:t>
        </w:r>
        <w:r w:rsidRPr="00BF3E5E">
          <w:rPr>
            <w:noProof/>
            <w:sz w:val="20"/>
            <w:szCs w:val="20"/>
          </w:rPr>
          <w:fldChar w:fldCharType="end"/>
        </w:r>
        <w:r w:rsidRPr="00BF3E5E">
          <w:rPr>
            <w:noProof/>
            <w:sz w:val="20"/>
            <w:szCs w:val="20"/>
          </w:rPr>
          <w:t xml:space="preserve"> no </w:t>
        </w:r>
        <w:r w:rsidR="00140BAB">
          <w:rPr>
            <w:noProof/>
            <w:sz w:val="20"/>
            <w:szCs w:val="20"/>
          </w:rPr>
          <w:t>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A6437" w14:textId="77777777" w:rsidR="00040B91" w:rsidRDefault="00040B91" w:rsidP="00BF3E5E">
      <w:r>
        <w:separator/>
      </w:r>
    </w:p>
  </w:footnote>
  <w:footnote w:type="continuationSeparator" w:id="0">
    <w:p w14:paraId="4E1D8D8B" w14:textId="77777777" w:rsidR="00040B91" w:rsidRDefault="00040B91" w:rsidP="00BF3E5E">
      <w:r>
        <w:continuationSeparator/>
      </w:r>
    </w:p>
  </w:footnote>
  <w:footnote w:id="1">
    <w:p w14:paraId="3ADE6EA4" w14:textId="77777777" w:rsidR="00010315" w:rsidRDefault="00010315" w:rsidP="00010315">
      <w:pPr>
        <w:spacing w:line="276" w:lineRule="auto"/>
        <w:contextualSpacing/>
        <w:rPr>
          <w:rFonts w:eastAsiaTheme="minorEastAsia"/>
          <w:lang w:eastAsia="en-US"/>
        </w:rPr>
      </w:pPr>
      <w:r>
        <w:rPr>
          <w:rStyle w:val="FootnoteReference"/>
        </w:rPr>
        <w:footnoteRef/>
      </w:r>
      <w:r>
        <w:t xml:space="preserve"> </w:t>
      </w:r>
      <w:r w:rsidRPr="007C3D04">
        <w:rPr>
          <w:rFonts w:eastAsiaTheme="minorEastAsia"/>
          <w:sz w:val="20"/>
          <w:szCs w:val="20"/>
          <w:lang w:eastAsia="en-US"/>
        </w:rPr>
        <w:t>Slēgtas lietas statuss</w:t>
      </w:r>
    </w:p>
    <w:p w14:paraId="02475A6E" w14:textId="77777777" w:rsidR="00010315" w:rsidRDefault="00010315" w:rsidP="0001031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87600"/>
    <w:multiLevelType w:val="multilevel"/>
    <w:tmpl w:val="6D6C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2" w15:restartNumberingAfterBreak="0">
    <w:nsid w:val="25F15479"/>
    <w:multiLevelType w:val="multilevel"/>
    <w:tmpl w:val="D2BC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28669D"/>
    <w:multiLevelType w:val="multilevel"/>
    <w:tmpl w:val="C250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E33131"/>
    <w:multiLevelType w:val="multilevel"/>
    <w:tmpl w:val="C25A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5695882">
    <w:abstractNumId w:val="1"/>
  </w:num>
  <w:num w:numId="2" w16cid:durableId="1097600991">
    <w:abstractNumId w:val="4"/>
  </w:num>
  <w:num w:numId="3" w16cid:durableId="1851023150">
    <w:abstractNumId w:val="0"/>
  </w:num>
  <w:num w:numId="4" w16cid:durableId="300426612">
    <w:abstractNumId w:val="2"/>
  </w:num>
  <w:num w:numId="5" w16cid:durableId="13945041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117D"/>
    <w:rsid w:val="00001B83"/>
    <w:rsid w:val="00001C46"/>
    <w:rsid w:val="00003662"/>
    <w:rsid w:val="00010315"/>
    <w:rsid w:val="0001147E"/>
    <w:rsid w:val="00011EC9"/>
    <w:rsid w:val="0001455C"/>
    <w:rsid w:val="00015233"/>
    <w:rsid w:val="00016E29"/>
    <w:rsid w:val="0001712E"/>
    <w:rsid w:val="000209A4"/>
    <w:rsid w:val="00020CA1"/>
    <w:rsid w:val="00021251"/>
    <w:rsid w:val="000218DE"/>
    <w:rsid w:val="000249DA"/>
    <w:rsid w:val="00024ADD"/>
    <w:rsid w:val="00024F49"/>
    <w:rsid w:val="0002600A"/>
    <w:rsid w:val="00026856"/>
    <w:rsid w:val="00026F60"/>
    <w:rsid w:val="000310D1"/>
    <w:rsid w:val="0003165C"/>
    <w:rsid w:val="000326DA"/>
    <w:rsid w:val="0003356F"/>
    <w:rsid w:val="000342D0"/>
    <w:rsid w:val="00034D97"/>
    <w:rsid w:val="00035E30"/>
    <w:rsid w:val="0004009C"/>
    <w:rsid w:val="00040B91"/>
    <w:rsid w:val="000417B4"/>
    <w:rsid w:val="00042572"/>
    <w:rsid w:val="00043C47"/>
    <w:rsid w:val="0004675F"/>
    <w:rsid w:val="00053DF1"/>
    <w:rsid w:val="00054C56"/>
    <w:rsid w:val="0005773E"/>
    <w:rsid w:val="00062678"/>
    <w:rsid w:val="00062F95"/>
    <w:rsid w:val="000657E9"/>
    <w:rsid w:val="00066779"/>
    <w:rsid w:val="00073524"/>
    <w:rsid w:val="00073AE7"/>
    <w:rsid w:val="0007619F"/>
    <w:rsid w:val="0008242D"/>
    <w:rsid w:val="00085447"/>
    <w:rsid w:val="00086434"/>
    <w:rsid w:val="000962F2"/>
    <w:rsid w:val="0009708B"/>
    <w:rsid w:val="000A2D07"/>
    <w:rsid w:val="000A4BD0"/>
    <w:rsid w:val="000A5767"/>
    <w:rsid w:val="000A58BD"/>
    <w:rsid w:val="000B00F9"/>
    <w:rsid w:val="000B22AF"/>
    <w:rsid w:val="000B3B71"/>
    <w:rsid w:val="000B3C3E"/>
    <w:rsid w:val="000B56C6"/>
    <w:rsid w:val="000B5FC2"/>
    <w:rsid w:val="000B759B"/>
    <w:rsid w:val="000C067F"/>
    <w:rsid w:val="000C3D6C"/>
    <w:rsid w:val="000C6C62"/>
    <w:rsid w:val="000D16CB"/>
    <w:rsid w:val="000D196C"/>
    <w:rsid w:val="000D2C9E"/>
    <w:rsid w:val="000D435E"/>
    <w:rsid w:val="000D4BAE"/>
    <w:rsid w:val="000D6B8F"/>
    <w:rsid w:val="000E2735"/>
    <w:rsid w:val="000E3D29"/>
    <w:rsid w:val="000E7D84"/>
    <w:rsid w:val="000F1146"/>
    <w:rsid w:val="000F7582"/>
    <w:rsid w:val="000F7777"/>
    <w:rsid w:val="001018F1"/>
    <w:rsid w:val="00103F2C"/>
    <w:rsid w:val="00104C10"/>
    <w:rsid w:val="00107362"/>
    <w:rsid w:val="00110700"/>
    <w:rsid w:val="00111629"/>
    <w:rsid w:val="00111747"/>
    <w:rsid w:val="00111CA5"/>
    <w:rsid w:val="00112439"/>
    <w:rsid w:val="00114168"/>
    <w:rsid w:val="00116C32"/>
    <w:rsid w:val="00117D90"/>
    <w:rsid w:val="00117F98"/>
    <w:rsid w:val="0012006F"/>
    <w:rsid w:val="00121ABF"/>
    <w:rsid w:val="00122EA0"/>
    <w:rsid w:val="001242FC"/>
    <w:rsid w:val="001244CA"/>
    <w:rsid w:val="001246D0"/>
    <w:rsid w:val="00124836"/>
    <w:rsid w:val="0012537C"/>
    <w:rsid w:val="00125B15"/>
    <w:rsid w:val="00130FAC"/>
    <w:rsid w:val="0013267A"/>
    <w:rsid w:val="0013353C"/>
    <w:rsid w:val="00133D1F"/>
    <w:rsid w:val="00135D6D"/>
    <w:rsid w:val="001408FB"/>
    <w:rsid w:val="0014093B"/>
    <w:rsid w:val="00140BAB"/>
    <w:rsid w:val="00141013"/>
    <w:rsid w:val="00141B0D"/>
    <w:rsid w:val="00144D8E"/>
    <w:rsid w:val="001456EB"/>
    <w:rsid w:val="001507C8"/>
    <w:rsid w:val="001539BB"/>
    <w:rsid w:val="00155BC8"/>
    <w:rsid w:val="001634A8"/>
    <w:rsid w:val="00165EBD"/>
    <w:rsid w:val="00167EE6"/>
    <w:rsid w:val="00170D06"/>
    <w:rsid w:val="00172B15"/>
    <w:rsid w:val="0017539D"/>
    <w:rsid w:val="00175D8F"/>
    <w:rsid w:val="001808AE"/>
    <w:rsid w:val="00181CD5"/>
    <w:rsid w:val="001824BC"/>
    <w:rsid w:val="001835E8"/>
    <w:rsid w:val="00183E2A"/>
    <w:rsid w:val="0018510E"/>
    <w:rsid w:val="00185AE9"/>
    <w:rsid w:val="001934D1"/>
    <w:rsid w:val="0019546B"/>
    <w:rsid w:val="001962BE"/>
    <w:rsid w:val="00197394"/>
    <w:rsid w:val="00197515"/>
    <w:rsid w:val="001A21AA"/>
    <w:rsid w:val="001A2895"/>
    <w:rsid w:val="001A373B"/>
    <w:rsid w:val="001A54B7"/>
    <w:rsid w:val="001A5B61"/>
    <w:rsid w:val="001A5E4A"/>
    <w:rsid w:val="001A7FED"/>
    <w:rsid w:val="001B02E8"/>
    <w:rsid w:val="001B1B63"/>
    <w:rsid w:val="001B28C8"/>
    <w:rsid w:val="001B3991"/>
    <w:rsid w:val="001B3EB3"/>
    <w:rsid w:val="001B45EC"/>
    <w:rsid w:val="001B49C5"/>
    <w:rsid w:val="001B51FD"/>
    <w:rsid w:val="001B6C13"/>
    <w:rsid w:val="001B7A17"/>
    <w:rsid w:val="001C3038"/>
    <w:rsid w:val="001C3115"/>
    <w:rsid w:val="001D24A1"/>
    <w:rsid w:val="001D49C8"/>
    <w:rsid w:val="001D5BF7"/>
    <w:rsid w:val="001D656B"/>
    <w:rsid w:val="001D7D7E"/>
    <w:rsid w:val="001E4403"/>
    <w:rsid w:val="001E7B3B"/>
    <w:rsid w:val="001F0B65"/>
    <w:rsid w:val="001F0B8D"/>
    <w:rsid w:val="001F0F6B"/>
    <w:rsid w:val="001F2E7B"/>
    <w:rsid w:val="001F42B6"/>
    <w:rsid w:val="001F456F"/>
    <w:rsid w:val="001F4C84"/>
    <w:rsid w:val="001F6275"/>
    <w:rsid w:val="0020011B"/>
    <w:rsid w:val="00200D7C"/>
    <w:rsid w:val="002014E7"/>
    <w:rsid w:val="00202886"/>
    <w:rsid w:val="002054DD"/>
    <w:rsid w:val="00205AAB"/>
    <w:rsid w:val="00210B9B"/>
    <w:rsid w:val="00211549"/>
    <w:rsid w:val="002141AD"/>
    <w:rsid w:val="00221A5B"/>
    <w:rsid w:val="0022215B"/>
    <w:rsid w:val="00224279"/>
    <w:rsid w:val="00224D3D"/>
    <w:rsid w:val="0022676B"/>
    <w:rsid w:val="00226ACC"/>
    <w:rsid w:val="00231A22"/>
    <w:rsid w:val="00234C14"/>
    <w:rsid w:val="0023759C"/>
    <w:rsid w:val="002401F1"/>
    <w:rsid w:val="00240CBD"/>
    <w:rsid w:val="00241BED"/>
    <w:rsid w:val="00242060"/>
    <w:rsid w:val="00244326"/>
    <w:rsid w:val="0024438B"/>
    <w:rsid w:val="00246166"/>
    <w:rsid w:val="00254B24"/>
    <w:rsid w:val="0025589B"/>
    <w:rsid w:val="0025607B"/>
    <w:rsid w:val="00257C4C"/>
    <w:rsid w:val="00257F6A"/>
    <w:rsid w:val="00261E52"/>
    <w:rsid w:val="002666CD"/>
    <w:rsid w:val="00266B10"/>
    <w:rsid w:val="002814BC"/>
    <w:rsid w:val="00285583"/>
    <w:rsid w:val="00292135"/>
    <w:rsid w:val="002947A5"/>
    <w:rsid w:val="00296DFF"/>
    <w:rsid w:val="0029757E"/>
    <w:rsid w:val="002A0013"/>
    <w:rsid w:val="002A07C1"/>
    <w:rsid w:val="002A2E4C"/>
    <w:rsid w:val="002A6EB9"/>
    <w:rsid w:val="002A7607"/>
    <w:rsid w:val="002B086C"/>
    <w:rsid w:val="002B0B0F"/>
    <w:rsid w:val="002B4B2C"/>
    <w:rsid w:val="002C0A98"/>
    <w:rsid w:val="002C1476"/>
    <w:rsid w:val="002C148C"/>
    <w:rsid w:val="002C2199"/>
    <w:rsid w:val="002C2FD9"/>
    <w:rsid w:val="002D3736"/>
    <w:rsid w:val="002D376F"/>
    <w:rsid w:val="002D3AA3"/>
    <w:rsid w:val="002D56B8"/>
    <w:rsid w:val="002D671A"/>
    <w:rsid w:val="002D67F6"/>
    <w:rsid w:val="002E1A5F"/>
    <w:rsid w:val="002E49B2"/>
    <w:rsid w:val="002E7D29"/>
    <w:rsid w:val="002F006F"/>
    <w:rsid w:val="002F05EA"/>
    <w:rsid w:val="002F060C"/>
    <w:rsid w:val="002F0D09"/>
    <w:rsid w:val="002F2B90"/>
    <w:rsid w:val="002F3AA5"/>
    <w:rsid w:val="002F3CE7"/>
    <w:rsid w:val="002F6157"/>
    <w:rsid w:val="002F620F"/>
    <w:rsid w:val="002F7E27"/>
    <w:rsid w:val="00301523"/>
    <w:rsid w:val="00310E82"/>
    <w:rsid w:val="003145F5"/>
    <w:rsid w:val="00315177"/>
    <w:rsid w:val="0032109A"/>
    <w:rsid w:val="00323E83"/>
    <w:rsid w:val="003249F9"/>
    <w:rsid w:val="0032736C"/>
    <w:rsid w:val="003326F6"/>
    <w:rsid w:val="003340B9"/>
    <w:rsid w:val="0033410F"/>
    <w:rsid w:val="0033545C"/>
    <w:rsid w:val="003359B5"/>
    <w:rsid w:val="00337CE2"/>
    <w:rsid w:val="003417A3"/>
    <w:rsid w:val="00347B87"/>
    <w:rsid w:val="003532D2"/>
    <w:rsid w:val="0035343A"/>
    <w:rsid w:val="0035469F"/>
    <w:rsid w:val="003547A4"/>
    <w:rsid w:val="00354E97"/>
    <w:rsid w:val="0035566A"/>
    <w:rsid w:val="00355770"/>
    <w:rsid w:val="0035584D"/>
    <w:rsid w:val="0035626E"/>
    <w:rsid w:val="00356834"/>
    <w:rsid w:val="003575F8"/>
    <w:rsid w:val="003656A5"/>
    <w:rsid w:val="003656E2"/>
    <w:rsid w:val="00365A74"/>
    <w:rsid w:val="0036673F"/>
    <w:rsid w:val="00370C6A"/>
    <w:rsid w:val="00370EE4"/>
    <w:rsid w:val="00384630"/>
    <w:rsid w:val="0038464B"/>
    <w:rsid w:val="003860B7"/>
    <w:rsid w:val="003874D6"/>
    <w:rsid w:val="00390A80"/>
    <w:rsid w:val="00390D5B"/>
    <w:rsid w:val="00392DEE"/>
    <w:rsid w:val="003932D8"/>
    <w:rsid w:val="003948D6"/>
    <w:rsid w:val="003949E7"/>
    <w:rsid w:val="003A2067"/>
    <w:rsid w:val="003A39A1"/>
    <w:rsid w:val="003A6D21"/>
    <w:rsid w:val="003A6E43"/>
    <w:rsid w:val="003B3CE8"/>
    <w:rsid w:val="003C3594"/>
    <w:rsid w:val="003C55F4"/>
    <w:rsid w:val="003C5A6B"/>
    <w:rsid w:val="003C6599"/>
    <w:rsid w:val="003C6ED1"/>
    <w:rsid w:val="003D1409"/>
    <w:rsid w:val="003D1F6F"/>
    <w:rsid w:val="003D4D35"/>
    <w:rsid w:val="003D518D"/>
    <w:rsid w:val="003D6BEC"/>
    <w:rsid w:val="003E1268"/>
    <w:rsid w:val="003E1686"/>
    <w:rsid w:val="003E26C9"/>
    <w:rsid w:val="003E6449"/>
    <w:rsid w:val="003E7853"/>
    <w:rsid w:val="003F0E0F"/>
    <w:rsid w:val="003F0FA2"/>
    <w:rsid w:val="003F39FB"/>
    <w:rsid w:val="003F56CB"/>
    <w:rsid w:val="003F6561"/>
    <w:rsid w:val="004003D0"/>
    <w:rsid w:val="00400C9A"/>
    <w:rsid w:val="0040219A"/>
    <w:rsid w:val="00403152"/>
    <w:rsid w:val="00403310"/>
    <w:rsid w:val="00403C99"/>
    <w:rsid w:val="0040491B"/>
    <w:rsid w:val="004053BC"/>
    <w:rsid w:val="00407677"/>
    <w:rsid w:val="00415AEE"/>
    <w:rsid w:val="004177AE"/>
    <w:rsid w:val="00417821"/>
    <w:rsid w:val="00417DDA"/>
    <w:rsid w:val="0042067F"/>
    <w:rsid w:val="00422753"/>
    <w:rsid w:val="00424C67"/>
    <w:rsid w:val="00427C88"/>
    <w:rsid w:val="004329F6"/>
    <w:rsid w:val="00433718"/>
    <w:rsid w:val="0043502D"/>
    <w:rsid w:val="00437D66"/>
    <w:rsid w:val="00440B7F"/>
    <w:rsid w:val="00441954"/>
    <w:rsid w:val="00441CA2"/>
    <w:rsid w:val="00444380"/>
    <w:rsid w:val="00445752"/>
    <w:rsid w:val="00446B00"/>
    <w:rsid w:val="00447EE6"/>
    <w:rsid w:val="00450E9A"/>
    <w:rsid w:val="00452D91"/>
    <w:rsid w:val="00453BB9"/>
    <w:rsid w:val="00455014"/>
    <w:rsid w:val="00455C9C"/>
    <w:rsid w:val="00457443"/>
    <w:rsid w:val="00457D29"/>
    <w:rsid w:val="00460C52"/>
    <w:rsid w:val="004622F2"/>
    <w:rsid w:val="00463B8F"/>
    <w:rsid w:val="004753BC"/>
    <w:rsid w:val="00477F88"/>
    <w:rsid w:val="00484CE7"/>
    <w:rsid w:val="00486BC9"/>
    <w:rsid w:val="004877A2"/>
    <w:rsid w:val="004961FC"/>
    <w:rsid w:val="004A3145"/>
    <w:rsid w:val="004A6A57"/>
    <w:rsid w:val="004A712A"/>
    <w:rsid w:val="004A7621"/>
    <w:rsid w:val="004A7CD3"/>
    <w:rsid w:val="004A7E90"/>
    <w:rsid w:val="004B0384"/>
    <w:rsid w:val="004B0926"/>
    <w:rsid w:val="004B1DDA"/>
    <w:rsid w:val="004B1F0A"/>
    <w:rsid w:val="004B2A94"/>
    <w:rsid w:val="004B3721"/>
    <w:rsid w:val="004B3D8A"/>
    <w:rsid w:val="004B442D"/>
    <w:rsid w:val="004B63C9"/>
    <w:rsid w:val="004B75FF"/>
    <w:rsid w:val="004C0B3E"/>
    <w:rsid w:val="004C20AC"/>
    <w:rsid w:val="004C4536"/>
    <w:rsid w:val="004C6568"/>
    <w:rsid w:val="004D1A2E"/>
    <w:rsid w:val="004D1D5C"/>
    <w:rsid w:val="004D26A4"/>
    <w:rsid w:val="004D327B"/>
    <w:rsid w:val="004D3A5A"/>
    <w:rsid w:val="004E1D28"/>
    <w:rsid w:val="004E24C0"/>
    <w:rsid w:val="004E4CFB"/>
    <w:rsid w:val="004E4F0A"/>
    <w:rsid w:val="004E58B7"/>
    <w:rsid w:val="004E6471"/>
    <w:rsid w:val="004E6B5C"/>
    <w:rsid w:val="004E7715"/>
    <w:rsid w:val="004F1220"/>
    <w:rsid w:val="004F2DCF"/>
    <w:rsid w:val="004F60F0"/>
    <w:rsid w:val="004F6A6B"/>
    <w:rsid w:val="00503130"/>
    <w:rsid w:val="005073BD"/>
    <w:rsid w:val="005110FA"/>
    <w:rsid w:val="00515BFE"/>
    <w:rsid w:val="00516705"/>
    <w:rsid w:val="00520AD4"/>
    <w:rsid w:val="00521DFE"/>
    <w:rsid w:val="0052233B"/>
    <w:rsid w:val="00523CD8"/>
    <w:rsid w:val="00524C90"/>
    <w:rsid w:val="00527BED"/>
    <w:rsid w:val="00527D34"/>
    <w:rsid w:val="0054275C"/>
    <w:rsid w:val="00544D50"/>
    <w:rsid w:val="00544F58"/>
    <w:rsid w:val="00547C02"/>
    <w:rsid w:val="00552AF8"/>
    <w:rsid w:val="005568C7"/>
    <w:rsid w:val="00563C21"/>
    <w:rsid w:val="00564A6F"/>
    <w:rsid w:val="00565D60"/>
    <w:rsid w:val="00566062"/>
    <w:rsid w:val="00566474"/>
    <w:rsid w:val="00574AA4"/>
    <w:rsid w:val="00574CCA"/>
    <w:rsid w:val="00576FD7"/>
    <w:rsid w:val="005826CF"/>
    <w:rsid w:val="005855A6"/>
    <w:rsid w:val="005864AB"/>
    <w:rsid w:val="00586A04"/>
    <w:rsid w:val="00587342"/>
    <w:rsid w:val="005902BF"/>
    <w:rsid w:val="0059288E"/>
    <w:rsid w:val="00593174"/>
    <w:rsid w:val="0059602F"/>
    <w:rsid w:val="005A0306"/>
    <w:rsid w:val="005A1122"/>
    <w:rsid w:val="005A1C26"/>
    <w:rsid w:val="005A31C4"/>
    <w:rsid w:val="005A3A9D"/>
    <w:rsid w:val="005A4198"/>
    <w:rsid w:val="005A5D5E"/>
    <w:rsid w:val="005B0726"/>
    <w:rsid w:val="005B1538"/>
    <w:rsid w:val="005B1E28"/>
    <w:rsid w:val="005B2EF5"/>
    <w:rsid w:val="005B73FA"/>
    <w:rsid w:val="005C12B5"/>
    <w:rsid w:val="005C13E8"/>
    <w:rsid w:val="005C216B"/>
    <w:rsid w:val="005D3500"/>
    <w:rsid w:val="005D390E"/>
    <w:rsid w:val="005D564E"/>
    <w:rsid w:val="005E19F6"/>
    <w:rsid w:val="005E1CC5"/>
    <w:rsid w:val="005E5775"/>
    <w:rsid w:val="005E6197"/>
    <w:rsid w:val="005F555A"/>
    <w:rsid w:val="005F6690"/>
    <w:rsid w:val="005F70C9"/>
    <w:rsid w:val="006015E3"/>
    <w:rsid w:val="006021F3"/>
    <w:rsid w:val="00602DC9"/>
    <w:rsid w:val="00605E27"/>
    <w:rsid w:val="00606E39"/>
    <w:rsid w:val="0060726C"/>
    <w:rsid w:val="006121E3"/>
    <w:rsid w:val="00616760"/>
    <w:rsid w:val="0061677A"/>
    <w:rsid w:val="0061730F"/>
    <w:rsid w:val="00617951"/>
    <w:rsid w:val="00620AF9"/>
    <w:rsid w:val="00621CA3"/>
    <w:rsid w:val="00622B84"/>
    <w:rsid w:val="006239FD"/>
    <w:rsid w:val="00625A56"/>
    <w:rsid w:val="006266C1"/>
    <w:rsid w:val="006321FB"/>
    <w:rsid w:val="006344FE"/>
    <w:rsid w:val="006345B6"/>
    <w:rsid w:val="00636F0D"/>
    <w:rsid w:val="0063787A"/>
    <w:rsid w:val="006517CE"/>
    <w:rsid w:val="00651CE0"/>
    <w:rsid w:val="006559C0"/>
    <w:rsid w:val="00656548"/>
    <w:rsid w:val="00662AD8"/>
    <w:rsid w:val="00663F36"/>
    <w:rsid w:val="006650EA"/>
    <w:rsid w:val="00665C0C"/>
    <w:rsid w:val="00666E93"/>
    <w:rsid w:val="00670E89"/>
    <w:rsid w:val="006718B0"/>
    <w:rsid w:val="00672F00"/>
    <w:rsid w:val="00673B2D"/>
    <w:rsid w:val="0067450F"/>
    <w:rsid w:val="006750C2"/>
    <w:rsid w:val="006754C9"/>
    <w:rsid w:val="00677DA4"/>
    <w:rsid w:val="0068120F"/>
    <w:rsid w:val="00681797"/>
    <w:rsid w:val="00682ADB"/>
    <w:rsid w:val="00683418"/>
    <w:rsid w:val="006839F4"/>
    <w:rsid w:val="00687103"/>
    <w:rsid w:val="006945CF"/>
    <w:rsid w:val="00694A8F"/>
    <w:rsid w:val="00695DC3"/>
    <w:rsid w:val="00697129"/>
    <w:rsid w:val="00697D0F"/>
    <w:rsid w:val="00697F15"/>
    <w:rsid w:val="00697FFA"/>
    <w:rsid w:val="006A18A3"/>
    <w:rsid w:val="006A1DDE"/>
    <w:rsid w:val="006A5274"/>
    <w:rsid w:val="006A5B3B"/>
    <w:rsid w:val="006A7B1B"/>
    <w:rsid w:val="006B13F9"/>
    <w:rsid w:val="006B24A5"/>
    <w:rsid w:val="006B3A92"/>
    <w:rsid w:val="006B4004"/>
    <w:rsid w:val="006B4CB5"/>
    <w:rsid w:val="006B54BB"/>
    <w:rsid w:val="006C29D9"/>
    <w:rsid w:val="006C68CD"/>
    <w:rsid w:val="006C74B9"/>
    <w:rsid w:val="006D282B"/>
    <w:rsid w:val="006D2C0A"/>
    <w:rsid w:val="006E12BA"/>
    <w:rsid w:val="006E1EC3"/>
    <w:rsid w:val="006E2B83"/>
    <w:rsid w:val="006E6375"/>
    <w:rsid w:val="006E63FE"/>
    <w:rsid w:val="006E72EC"/>
    <w:rsid w:val="006F050B"/>
    <w:rsid w:val="006F0CED"/>
    <w:rsid w:val="006F1DAB"/>
    <w:rsid w:val="006F1F27"/>
    <w:rsid w:val="006F2C13"/>
    <w:rsid w:val="006F3500"/>
    <w:rsid w:val="006F3B06"/>
    <w:rsid w:val="006F557A"/>
    <w:rsid w:val="006F68D2"/>
    <w:rsid w:val="006F6CF9"/>
    <w:rsid w:val="00703D8E"/>
    <w:rsid w:val="00711875"/>
    <w:rsid w:val="0071196C"/>
    <w:rsid w:val="007138E0"/>
    <w:rsid w:val="00713A09"/>
    <w:rsid w:val="0071623A"/>
    <w:rsid w:val="00716B18"/>
    <w:rsid w:val="007207B5"/>
    <w:rsid w:val="007248AB"/>
    <w:rsid w:val="00724955"/>
    <w:rsid w:val="007250FA"/>
    <w:rsid w:val="007265EF"/>
    <w:rsid w:val="00731CD7"/>
    <w:rsid w:val="00732D91"/>
    <w:rsid w:val="007330CC"/>
    <w:rsid w:val="007371E3"/>
    <w:rsid w:val="00740062"/>
    <w:rsid w:val="0074299F"/>
    <w:rsid w:val="0074598C"/>
    <w:rsid w:val="007469A1"/>
    <w:rsid w:val="00747936"/>
    <w:rsid w:val="00750749"/>
    <w:rsid w:val="007509AC"/>
    <w:rsid w:val="00751CD7"/>
    <w:rsid w:val="00752C45"/>
    <w:rsid w:val="0075318F"/>
    <w:rsid w:val="00754B4F"/>
    <w:rsid w:val="00755860"/>
    <w:rsid w:val="00756197"/>
    <w:rsid w:val="00756583"/>
    <w:rsid w:val="00756826"/>
    <w:rsid w:val="00761158"/>
    <w:rsid w:val="00763B39"/>
    <w:rsid w:val="00764BC3"/>
    <w:rsid w:val="00766DBF"/>
    <w:rsid w:val="00773167"/>
    <w:rsid w:val="0077365A"/>
    <w:rsid w:val="00774138"/>
    <w:rsid w:val="007744A7"/>
    <w:rsid w:val="0077520B"/>
    <w:rsid w:val="007805EE"/>
    <w:rsid w:val="00784A83"/>
    <w:rsid w:val="00793346"/>
    <w:rsid w:val="00793734"/>
    <w:rsid w:val="00793A59"/>
    <w:rsid w:val="00795144"/>
    <w:rsid w:val="0079730C"/>
    <w:rsid w:val="0079796A"/>
    <w:rsid w:val="007A031D"/>
    <w:rsid w:val="007A09ED"/>
    <w:rsid w:val="007A1BCB"/>
    <w:rsid w:val="007A5052"/>
    <w:rsid w:val="007A77DB"/>
    <w:rsid w:val="007B2397"/>
    <w:rsid w:val="007B2E04"/>
    <w:rsid w:val="007B41BA"/>
    <w:rsid w:val="007C083E"/>
    <w:rsid w:val="007C1407"/>
    <w:rsid w:val="007C31D3"/>
    <w:rsid w:val="007C3327"/>
    <w:rsid w:val="007C3C39"/>
    <w:rsid w:val="007D236D"/>
    <w:rsid w:val="007D4E18"/>
    <w:rsid w:val="007D6CFD"/>
    <w:rsid w:val="007D74E3"/>
    <w:rsid w:val="007E0130"/>
    <w:rsid w:val="007E0282"/>
    <w:rsid w:val="007E151E"/>
    <w:rsid w:val="007E15A1"/>
    <w:rsid w:val="007E34D9"/>
    <w:rsid w:val="007E45EE"/>
    <w:rsid w:val="007E5769"/>
    <w:rsid w:val="007E5962"/>
    <w:rsid w:val="007E62B7"/>
    <w:rsid w:val="007E6C52"/>
    <w:rsid w:val="007E7A21"/>
    <w:rsid w:val="007F17FC"/>
    <w:rsid w:val="007F3D2E"/>
    <w:rsid w:val="007F4C0C"/>
    <w:rsid w:val="007F6F08"/>
    <w:rsid w:val="00804C59"/>
    <w:rsid w:val="00806C55"/>
    <w:rsid w:val="008078D8"/>
    <w:rsid w:val="00811519"/>
    <w:rsid w:val="0081248B"/>
    <w:rsid w:val="00813B06"/>
    <w:rsid w:val="008150EE"/>
    <w:rsid w:val="00817628"/>
    <w:rsid w:val="008179F2"/>
    <w:rsid w:val="00817F4B"/>
    <w:rsid w:val="00817FF8"/>
    <w:rsid w:val="0082001D"/>
    <w:rsid w:val="008221F8"/>
    <w:rsid w:val="00822CD9"/>
    <w:rsid w:val="00823959"/>
    <w:rsid w:val="00823F6A"/>
    <w:rsid w:val="00824BC1"/>
    <w:rsid w:val="00827336"/>
    <w:rsid w:val="0083099F"/>
    <w:rsid w:val="00830C70"/>
    <w:rsid w:val="00833086"/>
    <w:rsid w:val="008341B1"/>
    <w:rsid w:val="00834570"/>
    <w:rsid w:val="0083583D"/>
    <w:rsid w:val="00842F6B"/>
    <w:rsid w:val="00843CF6"/>
    <w:rsid w:val="00846944"/>
    <w:rsid w:val="00847D1B"/>
    <w:rsid w:val="00850738"/>
    <w:rsid w:val="00850E8F"/>
    <w:rsid w:val="00851F22"/>
    <w:rsid w:val="0085309F"/>
    <w:rsid w:val="00854D42"/>
    <w:rsid w:val="00857924"/>
    <w:rsid w:val="00860BC6"/>
    <w:rsid w:val="00862318"/>
    <w:rsid w:val="008633B0"/>
    <w:rsid w:val="008633B3"/>
    <w:rsid w:val="00863728"/>
    <w:rsid w:val="008642F6"/>
    <w:rsid w:val="0086501B"/>
    <w:rsid w:val="00865C58"/>
    <w:rsid w:val="00871644"/>
    <w:rsid w:val="00871835"/>
    <w:rsid w:val="00873DBC"/>
    <w:rsid w:val="00874CD6"/>
    <w:rsid w:val="00877273"/>
    <w:rsid w:val="00877F48"/>
    <w:rsid w:val="00881C9F"/>
    <w:rsid w:val="0088671C"/>
    <w:rsid w:val="00887679"/>
    <w:rsid w:val="00891333"/>
    <w:rsid w:val="00892580"/>
    <w:rsid w:val="0089270D"/>
    <w:rsid w:val="008930E6"/>
    <w:rsid w:val="0089317B"/>
    <w:rsid w:val="008945E7"/>
    <w:rsid w:val="0089654D"/>
    <w:rsid w:val="008A1026"/>
    <w:rsid w:val="008A293A"/>
    <w:rsid w:val="008A46A3"/>
    <w:rsid w:val="008A5A50"/>
    <w:rsid w:val="008A5FAA"/>
    <w:rsid w:val="008B1F38"/>
    <w:rsid w:val="008B3FE3"/>
    <w:rsid w:val="008B49E4"/>
    <w:rsid w:val="008B53A3"/>
    <w:rsid w:val="008B59A5"/>
    <w:rsid w:val="008B67D2"/>
    <w:rsid w:val="008B7A51"/>
    <w:rsid w:val="008C1747"/>
    <w:rsid w:val="008C4C7E"/>
    <w:rsid w:val="008C7D30"/>
    <w:rsid w:val="008C7F2C"/>
    <w:rsid w:val="008D571F"/>
    <w:rsid w:val="008D5893"/>
    <w:rsid w:val="008D66D5"/>
    <w:rsid w:val="008E2139"/>
    <w:rsid w:val="008E6436"/>
    <w:rsid w:val="008E6538"/>
    <w:rsid w:val="008E7890"/>
    <w:rsid w:val="008F0317"/>
    <w:rsid w:val="008F25EF"/>
    <w:rsid w:val="008F287A"/>
    <w:rsid w:val="008F4E85"/>
    <w:rsid w:val="008F5C41"/>
    <w:rsid w:val="008F5C49"/>
    <w:rsid w:val="008F6350"/>
    <w:rsid w:val="008F6C5C"/>
    <w:rsid w:val="008F79A9"/>
    <w:rsid w:val="00904F80"/>
    <w:rsid w:val="00905B32"/>
    <w:rsid w:val="009107A2"/>
    <w:rsid w:val="009108BE"/>
    <w:rsid w:val="00912F3C"/>
    <w:rsid w:val="00914150"/>
    <w:rsid w:val="009157DE"/>
    <w:rsid w:val="009162F7"/>
    <w:rsid w:val="0091739E"/>
    <w:rsid w:val="009204C3"/>
    <w:rsid w:val="009222B9"/>
    <w:rsid w:val="009229DC"/>
    <w:rsid w:val="0092357F"/>
    <w:rsid w:val="00924D36"/>
    <w:rsid w:val="0092667F"/>
    <w:rsid w:val="00934653"/>
    <w:rsid w:val="00936034"/>
    <w:rsid w:val="00936F30"/>
    <w:rsid w:val="00937E9C"/>
    <w:rsid w:val="00940B0B"/>
    <w:rsid w:val="00941924"/>
    <w:rsid w:val="0095005C"/>
    <w:rsid w:val="00954402"/>
    <w:rsid w:val="00956873"/>
    <w:rsid w:val="00956E13"/>
    <w:rsid w:val="00961A38"/>
    <w:rsid w:val="00964208"/>
    <w:rsid w:val="0096562A"/>
    <w:rsid w:val="00965C2A"/>
    <w:rsid w:val="00974D7A"/>
    <w:rsid w:val="00975139"/>
    <w:rsid w:val="00976E5E"/>
    <w:rsid w:val="00980F76"/>
    <w:rsid w:val="00984314"/>
    <w:rsid w:val="00993389"/>
    <w:rsid w:val="009973D7"/>
    <w:rsid w:val="009A01A6"/>
    <w:rsid w:val="009A0EA3"/>
    <w:rsid w:val="009A19C9"/>
    <w:rsid w:val="009A390D"/>
    <w:rsid w:val="009A41F6"/>
    <w:rsid w:val="009A4902"/>
    <w:rsid w:val="009A4AD5"/>
    <w:rsid w:val="009A57FA"/>
    <w:rsid w:val="009B00FE"/>
    <w:rsid w:val="009B0455"/>
    <w:rsid w:val="009B100D"/>
    <w:rsid w:val="009B47AD"/>
    <w:rsid w:val="009B5BB0"/>
    <w:rsid w:val="009B5DE0"/>
    <w:rsid w:val="009B6522"/>
    <w:rsid w:val="009C0FDE"/>
    <w:rsid w:val="009C24F4"/>
    <w:rsid w:val="009C2835"/>
    <w:rsid w:val="009C30FA"/>
    <w:rsid w:val="009C6CB1"/>
    <w:rsid w:val="009C78EB"/>
    <w:rsid w:val="009D040C"/>
    <w:rsid w:val="009D21E5"/>
    <w:rsid w:val="009D28D9"/>
    <w:rsid w:val="009D2B57"/>
    <w:rsid w:val="009D3716"/>
    <w:rsid w:val="009D3B9B"/>
    <w:rsid w:val="009D508B"/>
    <w:rsid w:val="009E1820"/>
    <w:rsid w:val="009E1A68"/>
    <w:rsid w:val="009E277D"/>
    <w:rsid w:val="009E364D"/>
    <w:rsid w:val="009E37DA"/>
    <w:rsid w:val="009E414A"/>
    <w:rsid w:val="009E57DC"/>
    <w:rsid w:val="009E5A96"/>
    <w:rsid w:val="009F077C"/>
    <w:rsid w:val="009F3454"/>
    <w:rsid w:val="009F3963"/>
    <w:rsid w:val="009F56B3"/>
    <w:rsid w:val="009F59B5"/>
    <w:rsid w:val="00A1065C"/>
    <w:rsid w:val="00A11089"/>
    <w:rsid w:val="00A11813"/>
    <w:rsid w:val="00A11EF9"/>
    <w:rsid w:val="00A12865"/>
    <w:rsid w:val="00A13C9C"/>
    <w:rsid w:val="00A15B26"/>
    <w:rsid w:val="00A1761D"/>
    <w:rsid w:val="00A17D2A"/>
    <w:rsid w:val="00A21539"/>
    <w:rsid w:val="00A21769"/>
    <w:rsid w:val="00A244BD"/>
    <w:rsid w:val="00A259CD"/>
    <w:rsid w:val="00A330D4"/>
    <w:rsid w:val="00A33836"/>
    <w:rsid w:val="00A40203"/>
    <w:rsid w:val="00A41962"/>
    <w:rsid w:val="00A41B24"/>
    <w:rsid w:val="00A4394C"/>
    <w:rsid w:val="00A45326"/>
    <w:rsid w:val="00A502BA"/>
    <w:rsid w:val="00A505FC"/>
    <w:rsid w:val="00A517F7"/>
    <w:rsid w:val="00A52DD9"/>
    <w:rsid w:val="00A5374E"/>
    <w:rsid w:val="00A5413E"/>
    <w:rsid w:val="00A5497E"/>
    <w:rsid w:val="00A57612"/>
    <w:rsid w:val="00A57679"/>
    <w:rsid w:val="00A616B1"/>
    <w:rsid w:val="00A6287A"/>
    <w:rsid w:val="00A63BE1"/>
    <w:rsid w:val="00A662DE"/>
    <w:rsid w:val="00A66475"/>
    <w:rsid w:val="00A66DE7"/>
    <w:rsid w:val="00A7091A"/>
    <w:rsid w:val="00A710EA"/>
    <w:rsid w:val="00A71F09"/>
    <w:rsid w:val="00A750B7"/>
    <w:rsid w:val="00A763DA"/>
    <w:rsid w:val="00A76F2A"/>
    <w:rsid w:val="00A770DB"/>
    <w:rsid w:val="00A77B98"/>
    <w:rsid w:val="00A811FE"/>
    <w:rsid w:val="00A81B79"/>
    <w:rsid w:val="00A81FB6"/>
    <w:rsid w:val="00A8622B"/>
    <w:rsid w:val="00A9004B"/>
    <w:rsid w:val="00A92A77"/>
    <w:rsid w:val="00A94B3E"/>
    <w:rsid w:val="00A96630"/>
    <w:rsid w:val="00A977C7"/>
    <w:rsid w:val="00A97A98"/>
    <w:rsid w:val="00A97E3D"/>
    <w:rsid w:val="00AA206F"/>
    <w:rsid w:val="00AA3220"/>
    <w:rsid w:val="00AA3B1E"/>
    <w:rsid w:val="00AA4044"/>
    <w:rsid w:val="00AA4674"/>
    <w:rsid w:val="00AA4BB0"/>
    <w:rsid w:val="00AA4FB8"/>
    <w:rsid w:val="00AA50C1"/>
    <w:rsid w:val="00AA580A"/>
    <w:rsid w:val="00AA6DAF"/>
    <w:rsid w:val="00AB1A32"/>
    <w:rsid w:val="00AB4416"/>
    <w:rsid w:val="00AB6175"/>
    <w:rsid w:val="00AB628F"/>
    <w:rsid w:val="00AC4CDA"/>
    <w:rsid w:val="00AD0C3F"/>
    <w:rsid w:val="00AD0FA5"/>
    <w:rsid w:val="00AD1D81"/>
    <w:rsid w:val="00AD3812"/>
    <w:rsid w:val="00AD4CC1"/>
    <w:rsid w:val="00AD4EE9"/>
    <w:rsid w:val="00AD77C6"/>
    <w:rsid w:val="00AD7F1E"/>
    <w:rsid w:val="00AE0A56"/>
    <w:rsid w:val="00AE0BA5"/>
    <w:rsid w:val="00AE298C"/>
    <w:rsid w:val="00AE317A"/>
    <w:rsid w:val="00AE3B9C"/>
    <w:rsid w:val="00AE4220"/>
    <w:rsid w:val="00AE4F73"/>
    <w:rsid w:val="00AE5999"/>
    <w:rsid w:val="00AE5B43"/>
    <w:rsid w:val="00AE7F42"/>
    <w:rsid w:val="00AF064F"/>
    <w:rsid w:val="00AF1546"/>
    <w:rsid w:val="00AF261E"/>
    <w:rsid w:val="00AF40EF"/>
    <w:rsid w:val="00AF506F"/>
    <w:rsid w:val="00B02707"/>
    <w:rsid w:val="00B0296E"/>
    <w:rsid w:val="00B057D8"/>
    <w:rsid w:val="00B07278"/>
    <w:rsid w:val="00B12462"/>
    <w:rsid w:val="00B131B1"/>
    <w:rsid w:val="00B143DC"/>
    <w:rsid w:val="00B20861"/>
    <w:rsid w:val="00B216D5"/>
    <w:rsid w:val="00B31FB1"/>
    <w:rsid w:val="00B33E8A"/>
    <w:rsid w:val="00B35D1F"/>
    <w:rsid w:val="00B37CBB"/>
    <w:rsid w:val="00B37E3E"/>
    <w:rsid w:val="00B4143E"/>
    <w:rsid w:val="00B41668"/>
    <w:rsid w:val="00B42343"/>
    <w:rsid w:val="00B425C6"/>
    <w:rsid w:val="00B4268A"/>
    <w:rsid w:val="00B46446"/>
    <w:rsid w:val="00B47AE3"/>
    <w:rsid w:val="00B5013E"/>
    <w:rsid w:val="00B51CD7"/>
    <w:rsid w:val="00B522E2"/>
    <w:rsid w:val="00B5499D"/>
    <w:rsid w:val="00B54F4B"/>
    <w:rsid w:val="00B56CC8"/>
    <w:rsid w:val="00B57102"/>
    <w:rsid w:val="00B61EB2"/>
    <w:rsid w:val="00B63504"/>
    <w:rsid w:val="00B637DE"/>
    <w:rsid w:val="00B712D7"/>
    <w:rsid w:val="00B7130F"/>
    <w:rsid w:val="00B724E0"/>
    <w:rsid w:val="00B72819"/>
    <w:rsid w:val="00B74CB5"/>
    <w:rsid w:val="00B74FB4"/>
    <w:rsid w:val="00B804A9"/>
    <w:rsid w:val="00B80F21"/>
    <w:rsid w:val="00B81222"/>
    <w:rsid w:val="00B82BC9"/>
    <w:rsid w:val="00B83B42"/>
    <w:rsid w:val="00B860B3"/>
    <w:rsid w:val="00B90D7D"/>
    <w:rsid w:val="00B91F86"/>
    <w:rsid w:val="00B93888"/>
    <w:rsid w:val="00B93D17"/>
    <w:rsid w:val="00B94390"/>
    <w:rsid w:val="00B956F1"/>
    <w:rsid w:val="00B956F7"/>
    <w:rsid w:val="00B9665C"/>
    <w:rsid w:val="00B96B9C"/>
    <w:rsid w:val="00B973B1"/>
    <w:rsid w:val="00B97442"/>
    <w:rsid w:val="00BA13EC"/>
    <w:rsid w:val="00BA1DD7"/>
    <w:rsid w:val="00BA2CE9"/>
    <w:rsid w:val="00BA6124"/>
    <w:rsid w:val="00BA6529"/>
    <w:rsid w:val="00BB1ADA"/>
    <w:rsid w:val="00BB2E9B"/>
    <w:rsid w:val="00BB422F"/>
    <w:rsid w:val="00BB5C0E"/>
    <w:rsid w:val="00BC0BD3"/>
    <w:rsid w:val="00BC238C"/>
    <w:rsid w:val="00BC2B1D"/>
    <w:rsid w:val="00BC2EE9"/>
    <w:rsid w:val="00BC3D42"/>
    <w:rsid w:val="00BD00A9"/>
    <w:rsid w:val="00BD0247"/>
    <w:rsid w:val="00BD0F57"/>
    <w:rsid w:val="00BD66AE"/>
    <w:rsid w:val="00BD7078"/>
    <w:rsid w:val="00BD7274"/>
    <w:rsid w:val="00BE233B"/>
    <w:rsid w:val="00BE42E3"/>
    <w:rsid w:val="00BE5402"/>
    <w:rsid w:val="00BE6293"/>
    <w:rsid w:val="00BE6C26"/>
    <w:rsid w:val="00BF3E5E"/>
    <w:rsid w:val="00BF4C52"/>
    <w:rsid w:val="00BF6796"/>
    <w:rsid w:val="00BF70E0"/>
    <w:rsid w:val="00BF76B6"/>
    <w:rsid w:val="00C02133"/>
    <w:rsid w:val="00C04524"/>
    <w:rsid w:val="00C049CD"/>
    <w:rsid w:val="00C05489"/>
    <w:rsid w:val="00C06D38"/>
    <w:rsid w:val="00C100FA"/>
    <w:rsid w:val="00C1167C"/>
    <w:rsid w:val="00C129EE"/>
    <w:rsid w:val="00C1357D"/>
    <w:rsid w:val="00C13F1E"/>
    <w:rsid w:val="00C145DC"/>
    <w:rsid w:val="00C15CD2"/>
    <w:rsid w:val="00C16201"/>
    <w:rsid w:val="00C165F5"/>
    <w:rsid w:val="00C1795F"/>
    <w:rsid w:val="00C23395"/>
    <w:rsid w:val="00C2528B"/>
    <w:rsid w:val="00C25641"/>
    <w:rsid w:val="00C257EC"/>
    <w:rsid w:val="00C25A29"/>
    <w:rsid w:val="00C267E7"/>
    <w:rsid w:val="00C34FD7"/>
    <w:rsid w:val="00C36902"/>
    <w:rsid w:val="00C372BB"/>
    <w:rsid w:val="00C37D25"/>
    <w:rsid w:val="00C402C3"/>
    <w:rsid w:val="00C42D06"/>
    <w:rsid w:val="00C43C17"/>
    <w:rsid w:val="00C45E6C"/>
    <w:rsid w:val="00C47FE3"/>
    <w:rsid w:val="00C5023B"/>
    <w:rsid w:val="00C504D4"/>
    <w:rsid w:val="00C52865"/>
    <w:rsid w:val="00C53356"/>
    <w:rsid w:val="00C54A1F"/>
    <w:rsid w:val="00C574B9"/>
    <w:rsid w:val="00C60229"/>
    <w:rsid w:val="00C61505"/>
    <w:rsid w:val="00C62DDE"/>
    <w:rsid w:val="00C64400"/>
    <w:rsid w:val="00C64761"/>
    <w:rsid w:val="00C66F00"/>
    <w:rsid w:val="00C702CB"/>
    <w:rsid w:val="00C704D8"/>
    <w:rsid w:val="00C710AB"/>
    <w:rsid w:val="00C72D80"/>
    <w:rsid w:val="00C740F0"/>
    <w:rsid w:val="00C771AE"/>
    <w:rsid w:val="00C77B29"/>
    <w:rsid w:val="00C8083F"/>
    <w:rsid w:val="00C8169C"/>
    <w:rsid w:val="00C81EC8"/>
    <w:rsid w:val="00C824DA"/>
    <w:rsid w:val="00C84453"/>
    <w:rsid w:val="00C85252"/>
    <w:rsid w:val="00C87D60"/>
    <w:rsid w:val="00C87EBF"/>
    <w:rsid w:val="00C92A29"/>
    <w:rsid w:val="00C93C1A"/>
    <w:rsid w:val="00C93E94"/>
    <w:rsid w:val="00C95424"/>
    <w:rsid w:val="00C957FE"/>
    <w:rsid w:val="00C97A96"/>
    <w:rsid w:val="00CA1753"/>
    <w:rsid w:val="00CA6083"/>
    <w:rsid w:val="00CA7472"/>
    <w:rsid w:val="00CB185D"/>
    <w:rsid w:val="00CB36B2"/>
    <w:rsid w:val="00CB41FD"/>
    <w:rsid w:val="00CB45B6"/>
    <w:rsid w:val="00CB53FD"/>
    <w:rsid w:val="00CB54E0"/>
    <w:rsid w:val="00CB65B2"/>
    <w:rsid w:val="00CB6AAA"/>
    <w:rsid w:val="00CC0410"/>
    <w:rsid w:val="00CC0845"/>
    <w:rsid w:val="00CC1870"/>
    <w:rsid w:val="00CC1CD3"/>
    <w:rsid w:val="00CC2CFE"/>
    <w:rsid w:val="00CC32F5"/>
    <w:rsid w:val="00CC5289"/>
    <w:rsid w:val="00CC7AF8"/>
    <w:rsid w:val="00CD047B"/>
    <w:rsid w:val="00CD0BB1"/>
    <w:rsid w:val="00CD53EE"/>
    <w:rsid w:val="00CE2234"/>
    <w:rsid w:val="00CE40E4"/>
    <w:rsid w:val="00CE7B9F"/>
    <w:rsid w:val="00CF38D8"/>
    <w:rsid w:val="00CF4BD4"/>
    <w:rsid w:val="00CF6987"/>
    <w:rsid w:val="00CF7422"/>
    <w:rsid w:val="00CF7550"/>
    <w:rsid w:val="00D003A9"/>
    <w:rsid w:val="00D005AA"/>
    <w:rsid w:val="00D02050"/>
    <w:rsid w:val="00D0408F"/>
    <w:rsid w:val="00D06565"/>
    <w:rsid w:val="00D06C9C"/>
    <w:rsid w:val="00D1163A"/>
    <w:rsid w:val="00D13CF6"/>
    <w:rsid w:val="00D147C9"/>
    <w:rsid w:val="00D14D1A"/>
    <w:rsid w:val="00D20F2A"/>
    <w:rsid w:val="00D21109"/>
    <w:rsid w:val="00D2467E"/>
    <w:rsid w:val="00D25D96"/>
    <w:rsid w:val="00D26582"/>
    <w:rsid w:val="00D2780D"/>
    <w:rsid w:val="00D30498"/>
    <w:rsid w:val="00D32092"/>
    <w:rsid w:val="00D3248D"/>
    <w:rsid w:val="00D33640"/>
    <w:rsid w:val="00D36146"/>
    <w:rsid w:val="00D36178"/>
    <w:rsid w:val="00D37E17"/>
    <w:rsid w:val="00D41E89"/>
    <w:rsid w:val="00D449F0"/>
    <w:rsid w:val="00D463BD"/>
    <w:rsid w:val="00D466D9"/>
    <w:rsid w:val="00D46721"/>
    <w:rsid w:val="00D50250"/>
    <w:rsid w:val="00D55313"/>
    <w:rsid w:val="00D57A58"/>
    <w:rsid w:val="00D603D3"/>
    <w:rsid w:val="00D61FEB"/>
    <w:rsid w:val="00D624FB"/>
    <w:rsid w:val="00D64DF2"/>
    <w:rsid w:val="00D663FD"/>
    <w:rsid w:val="00D673E8"/>
    <w:rsid w:val="00D716F7"/>
    <w:rsid w:val="00D717CC"/>
    <w:rsid w:val="00D73979"/>
    <w:rsid w:val="00D749EB"/>
    <w:rsid w:val="00D81A63"/>
    <w:rsid w:val="00D82724"/>
    <w:rsid w:val="00D847F6"/>
    <w:rsid w:val="00D853C6"/>
    <w:rsid w:val="00D87B4A"/>
    <w:rsid w:val="00D92E98"/>
    <w:rsid w:val="00D94901"/>
    <w:rsid w:val="00D9582D"/>
    <w:rsid w:val="00D977BD"/>
    <w:rsid w:val="00DA4B51"/>
    <w:rsid w:val="00DA4DBB"/>
    <w:rsid w:val="00DA5448"/>
    <w:rsid w:val="00DA7BD9"/>
    <w:rsid w:val="00DB02F3"/>
    <w:rsid w:val="00DB5A91"/>
    <w:rsid w:val="00DB6FB8"/>
    <w:rsid w:val="00DC1FF3"/>
    <w:rsid w:val="00DC4E35"/>
    <w:rsid w:val="00DC72B0"/>
    <w:rsid w:val="00DC7E18"/>
    <w:rsid w:val="00DD6B47"/>
    <w:rsid w:val="00DD6D94"/>
    <w:rsid w:val="00DE2CD1"/>
    <w:rsid w:val="00DE38E0"/>
    <w:rsid w:val="00DE3EEC"/>
    <w:rsid w:val="00DE612B"/>
    <w:rsid w:val="00DE6DB7"/>
    <w:rsid w:val="00DE7DA9"/>
    <w:rsid w:val="00DF23E8"/>
    <w:rsid w:val="00DF49FF"/>
    <w:rsid w:val="00DF525D"/>
    <w:rsid w:val="00DF5E95"/>
    <w:rsid w:val="00DF6DC5"/>
    <w:rsid w:val="00E0111A"/>
    <w:rsid w:val="00E0206C"/>
    <w:rsid w:val="00E04612"/>
    <w:rsid w:val="00E050D2"/>
    <w:rsid w:val="00E06B3A"/>
    <w:rsid w:val="00E06EDB"/>
    <w:rsid w:val="00E1022D"/>
    <w:rsid w:val="00E10A8E"/>
    <w:rsid w:val="00E13476"/>
    <w:rsid w:val="00E14F9C"/>
    <w:rsid w:val="00E16DDE"/>
    <w:rsid w:val="00E24279"/>
    <w:rsid w:val="00E24DAE"/>
    <w:rsid w:val="00E25210"/>
    <w:rsid w:val="00E2664F"/>
    <w:rsid w:val="00E26B0E"/>
    <w:rsid w:val="00E277D5"/>
    <w:rsid w:val="00E319C5"/>
    <w:rsid w:val="00E32D6F"/>
    <w:rsid w:val="00E3408F"/>
    <w:rsid w:val="00E34E48"/>
    <w:rsid w:val="00E40EE6"/>
    <w:rsid w:val="00E41F3F"/>
    <w:rsid w:val="00E43525"/>
    <w:rsid w:val="00E43D7E"/>
    <w:rsid w:val="00E4421B"/>
    <w:rsid w:val="00E444CE"/>
    <w:rsid w:val="00E4568C"/>
    <w:rsid w:val="00E458B9"/>
    <w:rsid w:val="00E45EAD"/>
    <w:rsid w:val="00E45EF4"/>
    <w:rsid w:val="00E5144F"/>
    <w:rsid w:val="00E5692E"/>
    <w:rsid w:val="00E61B94"/>
    <w:rsid w:val="00E61CDC"/>
    <w:rsid w:val="00E624C2"/>
    <w:rsid w:val="00E6385C"/>
    <w:rsid w:val="00E6423E"/>
    <w:rsid w:val="00E6553C"/>
    <w:rsid w:val="00E66194"/>
    <w:rsid w:val="00E7022A"/>
    <w:rsid w:val="00E705F7"/>
    <w:rsid w:val="00E70ABB"/>
    <w:rsid w:val="00E721A3"/>
    <w:rsid w:val="00E72B61"/>
    <w:rsid w:val="00E7433E"/>
    <w:rsid w:val="00E749D3"/>
    <w:rsid w:val="00E7592B"/>
    <w:rsid w:val="00E765D3"/>
    <w:rsid w:val="00E77A99"/>
    <w:rsid w:val="00E77AC8"/>
    <w:rsid w:val="00E81099"/>
    <w:rsid w:val="00E81F8F"/>
    <w:rsid w:val="00E823F3"/>
    <w:rsid w:val="00E83E7E"/>
    <w:rsid w:val="00E85528"/>
    <w:rsid w:val="00E86027"/>
    <w:rsid w:val="00E863C9"/>
    <w:rsid w:val="00E9281A"/>
    <w:rsid w:val="00E92C44"/>
    <w:rsid w:val="00E93BF2"/>
    <w:rsid w:val="00E94D05"/>
    <w:rsid w:val="00E9672A"/>
    <w:rsid w:val="00E96D89"/>
    <w:rsid w:val="00EA0C03"/>
    <w:rsid w:val="00EA2820"/>
    <w:rsid w:val="00EA34DA"/>
    <w:rsid w:val="00EA4949"/>
    <w:rsid w:val="00EA6FE3"/>
    <w:rsid w:val="00EB17A3"/>
    <w:rsid w:val="00EB1F24"/>
    <w:rsid w:val="00EB1F5E"/>
    <w:rsid w:val="00EB20DC"/>
    <w:rsid w:val="00EB73DD"/>
    <w:rsid w:val="00EC2471"/>
    <w:rsid w:val="00EC2D8F"/>
    <w:rsid w:val="00EC5A67"/>
    <w:rsid w:val="00EC6AA2"/>
    <w:rsid w:val="00ED451F"/>
    <w:rsid w:val="00EE6C89"/>
    <w:rsid w:val="00EF1AD7"/>
    <w:rsid w:val="00EF2A45"/>
    <w:rsid w:val="00EF3D97"/>
    <w:rsid w:val="00EF535C"/>
    <w:rsid w:val="00EF7D41"/>
    <w:rsid w:val="00F0147A"/>
    <w:rsid w:val="00F02826"/>
    <w:rsid w:val="00F033C3"/>
    <w:rsid w:val="00F0403D"/>
    <w:rsid w:val="00F04D91"/>
    <w:rsid w:val="00F12CD1"/>
    <w:rsid w:val="00F130DC"/>
    <w:rsid w:val="00F20E8C"/>
    <w:rsid w:val="00F22FC2"/>
    <w:rsid w:val="00F2716E"/>
    <w:rsid w:val="00F3215C"/>
    <w:rsid w:val="00F32B93"/>
    <w:rsid w:val="00F32C6C"/>
    <w:rsid w:val="00F3332F"/>
    <w:rsid w:val="00F33951"/>
    <w:rsid w:val="00F35AD4"/>
    <w:rsid w:val="00F41C33"/>
    <w:rsid w:val="00F41DBC"/>
    <w:rsid w:val="00F42046"/>
    <w:rsid w:val="00F42209"/>
    <w:rsid w:val="00F4305F"/>
    <w:rsid w:val="00F432B0"/>
    <w:rsid w:val="00F437E6"/>
    <w:rsid w:val="00F440AC"/>
    <w:rsid w:val="00F45B3D"/>
    <w:rsid w:val="00F510B1"/>
    <w:rsid w:val="00F547D7"/>
    <w:rsid w:val="00F601AE"/>
    <w:rsid w:val="00F603D1"/>
    <w:rsid w:val="00F62139"/>
    <w:rsid w:val="00F640BB"/>
    <w:rsid w:val="00F64E47"/>
    <w:rsid w:val="00F65477"/>
    <w:rsid w:val="00F66D7A"/>
    <w:rsid w:val="00F71153"/>
    <w:rsid w:val="00F74EA7"/>
    <w:rsid w:val="00F7695B"/>
    <w:rsid w:val="00F76B12"/>
    <w:rsid w:val="00F81944"/>
    <w:rsid w:val="00F8294A"/>
    <w:rsid w:val="00F82A56"/>
    <w:rsid w:val="00F83134"/>
    <w:rsid w:val="00F8432C"/>
    <w:rsid w:val="00F86A91"/>
    <w:rsid w:val="00F86BA6"/>
    <w:rsid w:val="00F87969"/>
    <w:rsid w:val="00F93469"/>
    <w:rsid w:val="00F95E80"/>
    <w:rsid w:val="00F966F2"/>
    <w:rsid w:val="00F9713B"/>
    <w:rsid w:val="00F973AA"/>
    <w:rsid w:val="00F97B8B"/>
    <w:rsid w:val="00F97FF3"/>
    <w:rsid w:val="00FA106A"/>
    <w:rsid w:val="00FA3E7B"/>
    <w:rsid w:val="00FA48A1"/>
    <w:rsid w:val="00FA5E50"/>
    <w:rsid w:val="00FA74FC"/>
    <w:rsid w:val="00FB0FBC"/>
    <w:rsid w:val="00FB4877"/>
    <w:rsid w:val="00FB6690"/>
    <w:rsid w:val="00FC0F83"/>
    <w:rsid w:val="00FC2E8E"/>
    <w:rsid w:val="00FC579D"/>
    <w:rsid w:val="00FD16A0"/>
    <w:rsid w:val="00FD4FC6"/>
    <w:rsid w:val="00FE0B79"/>
    <w:rsid w:val="00FE11A1"/>
    <w:rsid w:val="00FE30FE"/>
    <w:rsid w:val="00FE3DAB"/>
    <w:rsid w:val="00FE3F52"/>
    <w:rsid w:val="00FE6AAF"/>
    <w:rsid w:val="00FF1A00"/>
    <w:rsid w:val="00FF1CB1"/>
    <w:rsid w:val="00FF304E"/>
    <w:rsid w:val="00FF4C77"/>
    <w:rsid w:val="00FF72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4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8DE"/>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paragraph" w:styleId="Heading2">
    <w:name w:val="heading 2"/>
    <w:basedOn w:val="Normal"/>
    <w:next w:val="Normal"/>
    <w:link w:val="Heading2Char"/>
    <w:uiPriority w:val="9"/>
    <w:semiHidden/>
    <w:unhideWhenUsed/>
    <w:qFormat/>
    <w:rsid w:val="00205AA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8510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Revision">
    <w:name w:val="Revision"/>
    <w:hidden/>
    <w:uiPriority w:val="99"/>
    <w:semiHidden/>
    <w:rsid w:val="00672F00"/>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03356F"/>
    <w:rPr>
      <w:sz w:val="16"/>
      <w:szCs w:val="16"/>
    </w:rPr>
  </w:style>
  <w:style w:type="paragraph" w:styleId="CommentText">
    <w:name w:val="annotation text"/>
    <w:basedOn w:val="Normal"/>
    <w:link w:val="CommentTextChar"/>
    <w:uiPriority w:val="99"/>
    <w:unhideWhenUsed/>
    <w:rsid w:val="0003356F"/>
    <w:rPr>
      <w:sz w:val="20"/>
      <w:szCs w:val="20"/>
    </w:rPr>
  </w:style>
  <w:style w:type="character" w:customStyle="1" w:styleId="CommentTextChar">
    <w:name w:val="Comment Text Char"/>
    <w:basedOn w:val="DefaultParagraphFont"/>
    <w:link w:val="CommentText"/>
    <w:uiPriority w:val="99"/>
    <w:rsid w:val="0003356F"/>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3356F"/>
    <w:rPr>
      <w:b/>
      <w:bCs/>
    </w:rPr>
  </w:style>
  <w:style w:type="character" w:customStyle="1" w:styleId="CommentSubjectChar">
    <w:name w:val="Comment Subject Char"/>
    <w:basedOn w:val="CommentTextChar"/>
    <w:link w:val="CommentSubject"/>
    <w:uiPriority w:val="99"/>
    <w:semiHidden/>
    <w:rsid w:val="0003356F"/>
    <w:rPr>
      <w:rFonts w:eastAsia="Times New Roman" w:cs="Times New Roman"/>
      <w:b/>
      <w:bCs/>
      <w:sz w:val="20"/>
      <w:szCs w:val="20"/>
      <w:lang w:val="lv-LV" w:eastAsia="ru-RU"/>
    </w:rPr>
  </w:style>
  <w:style w:type="character" w:styleId="FootnoteReference">
    <w:name w:val="footnote reference"/>
    <w:basedOn w:val="DefaultParagraphFont"/>
    <w:uiPriority w:val="99"/>
    <w:semiHidden/>
    <w:unhideWhenUsed/>
    <w:rsid w:val="0061730F"/>
  </w:style>
  <w:style w:type="paragraph" w:customStyle="1" w:styleId="tv213">
    <w:name w:val="tv213"/>
    <w:basedOn w:val="Normal"/>
    <w:rsid w:val="00CC5289"/>
    <w:pPr>
      <w:spacing w:before="100" w:beforeAutospacing="1" w:after="100" w:afterAutospacing="1"/>
    </w:pPr>
    <w:rPr>
      <w:lang w:eastAsia="lv-LV"/>
    </w:rPr>
  </w:style>
  <w:style w:type="character" w:styleId="Hyperlink">
    <w:name w:val="Hyperlink"/>
    <w:basedOn w:val="DefaultParagraphFont"/>
    <w:uiPriority w:val="99"/>
    <w:unhideWhenUsed/>
    <w:rsid w:val="00CC5289"/>
    <w:rPr>
      <w:color w:val="0000FF"/>
      <w:u w:val="single"/>
    </w:rPr>
  </w:style>
  <w:style w:type="paragraph" w:customStyle="1" w:styleId="naisf">
    <w:name w:val="naisf"/>
    <w:basedOn w:val="Normal"/>
    <w:rsid w:val="00B96B9C"/>
    <w:pPr>
      <w:spacing w:before="100" w:beforeAutospacing="1" w:after="100" w:afterAutospacing="1"/>
    </w:pPr>
    <w:rPr>
      <w:lang w:eastAsia="lv-LV"/>
    </w:rPr>
  </w:style>
  <w:style w:type="paragraph" w:customStyle="1" w:styleId="labojumupamats">
    <w:name w:val="labojumu_pamats"/>
    <w:basedOn w:val="Normal"/>
    <w:rsid w:val="006F6CF9"/>
    <w:pPr>
      <w:spacing w:before="100" w:beforeAutospacing="1" w:after="100" w:afterAutospacing="1"/>
    </w:pPr>
    <w:rPr>
      <w:lang w:eastAsia="lv-LV"/>
    </w:rPr>
  </w:style>
  <w:style w:type="character" w:styleId="Strong">
    <w:name w:val="Strong"/>
    <w:basedOn w:val="DefaultParagraphFont"/>
    <w:uiPriority w:val="22"/>
    <w:qFormat/>
    <w:rsid w:val="00FD16A0"/>
    <w:rPr>
      <w:b/>
      <w:bCs/>
    </w:rPr>
  </w:style>
  <w:style w:type="character" w:styleId="UnresolvedMention">
    <w:name w:val="Unresolved Mention"/>
    <w:basedOn w:val="DefaultParagraphFont"/>
    <w:uiPriority w:val="99"/>
    <w:semiHidden/>
    <w:unhideWhenUsed/>
    <w:rsid w:val="00940B0B"/>
    <w:rPr>
      <w:color w:val="605E5C"/>
      <w:shd w:val="clear" w:color="auto" w:fill="E1DFDD"/>
    </w:rPr>
  </w:style>
  <w:style w:type="paragraph" w:styleId="Header">
    <w:name w:val="header"/>
    <w:basedOn w:val="Normal"/>
    <w:link w:val="HeaderChar"/>
    <w:uiPriority w:val="99"/>
    <w:unhideWhenUsed/>
    <w:rsid w:val="00BF3E5E"/>
    <w:pPr>
      <w:tabs>
        <w:tab w:val="center" w:pos="4513"/>
        <w:tab w:val="right" w:pos="9026"/>
      </w:tabs>
    </w:pPr>
  </w:style>
  <w:style w:type="character" w:customStyle="1" w:styleId="HeaderChar">
    <w:name w:val="Header Char"/>
    <w:basedOn w:val="DefaultParagraphFont"/>
    <w:link w:val="Header"/>
    <w:uiPriority w:val="99"/>
    <w:rsid w:val="00BF3E5E"/>
    <w:rPr>
      <w:rFonts w:eastAsia="Times New Roman" w:cs="Times New Roman"/>
      <w:szCs w:val="24"/>
      <w:lang w:val="lv-LV" w:eastAsia="ru-RU"/>
    </w:rPr>
  </w:style>
  <w:style w:type="paragraph" w:styleId="Footer">
    <w:name w:val="footer"/>
    <w:basedOn w:val="Normal"/>
    <w:link w:val="FooterChar"/>
    <w:uiPriority w:val="99"/>
    <w:unhideWhenUsed/>
    <w:rsid w:val="00BF3E5E"/>
    <w:pPr>
      <w:tabs>
        <w:tab w:val="center" w:pos="4513"/>
        <w:tab w:val="right" w:pos="9026"/>
      </w:tabs>
    </w:pPr>
  </w:style>
  <w:style w:type="character" w:customStyle="1" w:styleId="FooterChar">
    <w:name w:val="Footer Char"/>
    <w:basedOn w:val="DefaultParagraphFont"/>
    <w:link w:val="Footer"/>
    <w:uiPriority w:val="99"/>
    <w:rsid w:val="00BF3E5E"/>
    <w:rPr>
      <w:rFonts w:eastAsia="Times New Roman" w:cs="Times New Roman"/>
      <w:szCs w:val="24"/>
      <w:lang w:val="lv-LV" w:eastAsia="ru-RU"/>
    </w:rPr>
  </w:style>
  <w:style w:type="character" w:customStyle="1" w:styleId="Heading2Char">
    <w:name w:val="Heading 2 Char"/>
    <w:basedOn w:val="DefaultParagraphFont"/>
    <w:link w:val="Heading2"/>
    <w:uiPriority w:val="9"/>
    <w:semiHidden/>
    <w:rsid w:val="00205AAB"/>
    <w:rPr>
      <w:rFonts w:asciiTheme="majorHAnsi" w:eastAsiaTheme="majorEastAsia" w:hAnsiTheme="majorHAnsi" w:cstheme="majorBidi"/>
      <w:color w:val="2E74B5" w:themeColor="accent1" w:themeShade="BF"/>
      <w:sz w:val="26"/>
      <w:szCs w:val="26"/>
      <w:lang w:val="lv-LV" w:eastAsia="ru-RU"/>
    </w:rPr>
  </w:style>
  <w:style w:type="character" w:customStyle="1" w:styleId="Heading3Char">
    <w:name w:val="Heading 3 Char"/>
    <w:basedOn w:val="DefaultParagraphFont"/>
    <w:link w:val="Heading3"/>
    <w:uiPriority w:val="9"/>
    <w:semiHidden/>
    <w:rsid w:val="0018510E"/>
    <w:rPr>
      <w:rFonts w:asciiTheme="majorHAnsi" w:eastAsiaTheme="majorEastAsia" w:hAnsiTheme="majorHAnsi" w:cstheme="majorBidi"/>
      <w:color w:val="1F4D78" w:themeColor="accent1" w:themeShade="7F"/>
      <w:szCs w:val="24"/>
      <w:lang w:val="lv-LV" w:eastAsia="ru-RU"/>
    </w:rPr>
  </w:style>
  <w:style w:type="character" w:styleId="FollowedHyperlink">
    <w:name w:val="FollowedHyperlink"/>
    <w:basedOn w:val="DefaultParagraphFont"/>
    <w:uiPriority w:val="99"/>
    <w:semiHidden/>
    <w:unhideWhenUsed/>
    <w:rsid w:val="00CB65B2"/>
    <w:rPr>
      <w:color w:val="954F72" w:themeColor="followedHyperlink"/>
      <w:u w:val="single"/>
    </w:rPr>
  </w:style>
  <w:style w:type="paragraph" w:styleId="ListParagraph">
    <w:name w:val="List Paragraph"/>
    <w:basedOn w:val="Normal"/>
    <w:uiPriority w:val="34"/>
    <w:qFormat/>
    <w:rsid w:val="00524C90"/>
    <w:pPr>
      <w:ind w:left="720"/>
      <w:contextualSpacing/>
    </w:pPr>
  </w:style>
  <w:style w:type="paragraph" w:styleId="FootnoteText">
    <w:name w:val="footnote text"/>
    <w:basedOn w:val="Normal"/>
    <w:link w:val="FootnoteTextChar"/>
    <w:uiPriority w:val="99"/>
    <w:semiHidden/>
    <w:unhideWhenUsed/>
    <w:rsid w:val="00010315"/>
    <w:rPr>
      <w:sz w:val="20"/>
      <w:szCs w:val="20"/>
    </w:rPr>
  </w:style>
  <w:style w:type="character" w:customStyle="1" w:styleId="FootnoteTextChar">
    <w:name w:val="Footnote Text Char"/>
    <w:basedOn w:val="DefaultParagraphFont"/>
    <w:link w:val="FootnoteText"/>
    <w:uiPriority w:val="99"/>
    <w:semiHidden/>
    <w:rsid w:val="00010315"/>
    <w:rPr>
      <w:rFonts w:eastAsia="Times New Roman" w:cs="Times New Roman"/>
      <w:sz w:val="20"/>
      <w:szCs w:val="20"/>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14944">
      <w:bodyDiv w:val="1"/>
      <w:marLeft w:val="0"/>
      <w:marRight w:val="0"/>
      <w:marTop w:val="0"/>
      <w:marBottom w:val="0"/>
      <w:divBdr>
        <w:top w:val="none" w:sz="0" w:space="0" w:color="auto"/>
        <w:left w:val="none" w:sz="0" w:space="0" w:color="auto"/>
        <w:bottom w:val="none" w:sz="0" w:space="0" w:color="auto"/>
        <w:right w:val="none" w:sz="0" w:space="0" w:color="auto"/>
      </w:divBdr>
    </w:div>
    <w:div w:id="30955905">
      <w:bodyDiv w:val="1"/>
      <w:marLeft w:val="0"/>
      <w:marRight w:val="0"/>
      <w:marTop w:val="0"/>
      <w:marBottom w:val="0"/>
      <w:divBdr>
        <w:top w:val="none" w:sz="0" w:space="0" w:color="auto"/>
        <w:left w:val="none" w:sz="0" w:space="0" w:color="auto"/>
        <w:bottom w:val="none" w:sz="0" w:space="0" w:color="auto"/>
        <w:right w:val="none" w:sz="0" w:space="0" w:color="auto"/>
      </w:divBdr>
    </w:div>
    <w:div w:id="49227523">
      <w:bodyDiv w:val="1"/>
      <w:marLeft w:val="0"/>
      <w:marRight w:val="0"/>
      <w:marTop w:val="0"/>
      <w:marBottom w:val="0"/>
      <w:divBdr>
        <w:top w:val="none" w:sz="0" w:space="0" w:color="auto"/>
        <w:left w:val="none" w:sz="0" w:space="0" w:color="auto"/>
        <w:bottom w:val="none" w:sz="0" w:space="0" w:color="auto"/>
        <w:right w:val="none" w:sz="0" w:space="0" w:color="auto"/>
      </w:divBdr>
      <w:divsChild>
        <w:div w:id="152993374">
          <w:marLeft w:val="0"/>
          <w:marRight w:val="0"/>
          <w:marTop w:val="0"/>
          <w:marBottom w:val="0"/>
          <w:divBdr>
            <w:top w:val="none" w:sz="0" w:space="0" w:color="auto"/>
            <w:left w:val="none" w:sz="0" w:space="0" w:color="auto"/>
            <w:bottom w:val="none" w:sz="0" w:space="0" w:color="auto"/>
            <w:right w:val="none" w:sz="0" w:space="0" w:color="auto"/>
          </w:divBdr>
          <w:divsChild>
            <w:div w:id="1803038573">
              <w:marLeft w:val="0"/>
              <w:marRight w:val="0"/>
              <w:marTop w:val="0"/>
              <w:marBottom w:val="0"/>
              <w:divBdr>
                <w:top w:val="none" w:sz="0" w:space="0" w:color="auto"/>
                <w:left w:val="none" w:sz="0" w:space="0" w:color="auto"/>
                <w:bottom w:val="none" w:sz="0" w:space="0" w:color="auto"/>
                <w:right w:val="none" w:sz="0" w:space="0" w:color="auto"/>
              </w:divBdr>
              <w:divsChild>
                <w:div w:id="44997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6565">
      <w:bodyDiv w:val="1"/>
      <w:marLeft w:val="0"/>
      <w:marRight w:val="0"/>
      <w:marTop w:val="0"/>
      <w:marBottom w:val="0"/>
      <w:divBdr>
        <w:top w:val="none" w:sz="0" w:space="0" w:color="auto"/>
        <w:left w:val="none" w:sz="0" w:space="0" w:color="auto"/>
        <w:bottom w:val="none" w:sz="0" w:space="0" w:color="auto"/>
        <w:right w:val="none" w:sz="0" w:space="0" w:color="auto"/>
      </w:divBdr>
    </w:div>
    <w:div w:id="97067204">
      <w:bodyDiv w:val="1"/>
      <w:marLeft w:val="0"/>
      <w:marRight w:val="0"/>
      <w:marTop w:val="0"/>
      <w:marBottom w:val="0"/>
      <w:divBdr>
        <w:top w:val="none" w:sz="0" w:space="0" w:color="auto"/>
        <w:left w:val="none" w:sz="0" w:space="0" w:color="auto"/>
        <w:bottom w:val="none" w:sz="0" w:space="0" w:color="auto"/>
        <w:right w:val="none" w:sz="0" w:space="0" w:color="auto"/>
      </w:divBdr>
    </w:div>
    <w:div w:id="115103393">
      <w:bodyDiv w:val="1"/>
      <w:marLeft w:val="0"/>
      <w:marRight w:val="0"/>
      <w:marTop w:val="0"/>
      <w:marBottom w:val="0"/>
      <w:divBdr>
        <w:top w:val="none" w:sz="0" w:space="0" w:color="auto"/>
        <w:left w:val="none" w:sz="0" w:space="0" w:color="auto"/>
        <w:bottom w:val="none" w:sz="0" w:space="0" w:color="auto"/>
        <w:right w:val="none" w:sz="0" w:space="0" w:color="auto"/>
      </w:divBdr>
      <w:divsChild>
        <w:div w:id="655302842">
          <w:marLeft w:val="0"/>
          <w:marRight w:val="0"/>
          <w:marTop w:val="15"/>
          <w:marBottom w:val="0"/>
          <w:divBdr>
            <w:top w:val="single" w:sz="48" w:space="0" w:color="auto"/>
            <w:left w:val="single" w:sz="48" w:space="0" w:color="auto"/>
            <w:bottom w:val="single" w:sz="48" w:space="0" w:color="auto"/>
            <w:right w:val="single" w:sz="48" w:space="0" w:color="auto"/>
          </w:divBdr>
          <w:divsChild>
            <w:div w:id="113795387">
              <w:marLeft w:val="0"/>
              <w:marRight w:val="0"/>
              <w:marTop w:val="0"/>
              <w:marBottom w:val="0"/>
              <w:divBdr>
                <w:top w:val="none" w:sz="0" w:space="0" w:color="auto"/>
                <w:left w:val="none" w:sz="0" w:space="0" w:color="auto"/>
                <w:bottom w:val="none" w:sz="0" w:space="0" w:color="auto"/>
                <w:right w:val="none" w:sz="0" w:space="0" w:color="auto"/>
              </w:divBdr>
            </w:div>
          </w:divsChild>
        </w:div>
        <w:div w:id="1743796038">
          <w:marLeft w:val="0"/>
          <w:marRight w:val="0"/>
          <w:marTop w:val="15"/>
          <w:marBottom w:val="0"/>
          <w:divBdr>
            <w:top w:val="single" w:sz="48" w:space="0" w:color="auto"/>
            <w:left w:val="single" w:sz="48" w:space="0" w:color="auto"/>
            <w:bottom w:val="single" w:sz="48" w:space="0" w:color="auto"/>
            <w:right w:val="single" w:sz="48" w:space="0" w:color="auto"/>
          </w:divBdr>
          <w:divsChild>
            <w:div w:id="188340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1140">
      <w:bodyDiv w:val="1"/>
      <w:marLeft w:val="0"/>
      <w:marRight w:val="0"/>
      <w:marTop w:val="0"/>
      <w:marBottom w:val="0"/>
      <w:divBdr>
        <w:top w:val="none" w:sz="0" w:space="0" w:color="auto"/>
        <w:left w:val="none" w:sz="0" w:space="0" w:color="auto"/>
        <w:bottom w:val="none" w:sz="0" w:space="0" w:color="auto"/>
        <w:right w:val="none" w:sz="0" w:space="0" w:color="auto"/>
      </w:divBdr>
      <w:divsChild>
        <w:div w:id="937447500">
          <w:marLeft w:val="0"/>
          <w:marRight w:val="0"/>
          <w:marTop w:val="15"/>
          <w:marBottom w:val="0"/>
          <w:divBdr>
            <w:top w:val="single" w:sz="48" w:space="0" w:color="auto"/>
            <w:left w:val="single" w:sz="48" w:space="0" w:color="auto"/>
            <w:bottom w:val="single" w:sz="48" w:space="0" w:color="auto"/>
            <w:right w:val="single" w:sz="48" w:space="0" w:color="auto"/>
          </w:divBdr>
          <w:divsChild>
            <w:div w:id="1565489992">
              <w:marLeft w:val="0"/>
              <w:marRight w:val="0"/>
              <w:marTop w:val="0"/>
              <w:marBottom w:val="0"/>
              <w:divBdr>
                <w:top w:val="none" w:sz="0" w:space="0" w:color="auto"/>
                <w:left w:val="none" w:sz="0" w:space="0" w:color="auto"/>
                <w:bottom w:val="none" w:sz="0" w:space="0" w:color="auto"/>
                <w:right w:val="none" w:sz="0" w:space="0" w:color="auto"/>
              </w:divBdr>
            </w:div>
          </w:divsChild>
        </w:div>
        <w:div w:id="965114497">
          <w:marLeft w:val="0"/>
          <w:marRight w:val="0"/>
          <w:marTop w:val="15"/>
          <w:marBottom w:val="0"/>
          <w:divBdr>
            <w:top w:val="single" w:sz="48" w:space="0" w:color="auto"/>
            <w:left w:val="single" w:sz="48" w:space="0" w:color="auto"/>
            <w:bottom w:val="single" w:sz="48" w:space="0" w:color="auto"/>
            <w:right w:val="single" w:sz="48" w:space="0" w:color="auto"/>
          </w:divBdr>
          <w:divsChild>
            <w:div w:id="126360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7421">
      <w:bodyDiv w:val="1"/>
      <w:marLeft w:val="0"/>
      <w:marRight w:val="0"/>
      <w:marTop w:val="0"/>
      <w:marBottom w:val="0"/>
      <w:divBdr>
        <w:top w:val="none" w:sz="0" w:space="0" w:color="auto"/>
        <w:left w:val="none" w:sz="0" w:space="0" w:color="auto"/>
        <w:bottom w:val="none" w:sz="0" w:space="0" w:color="auto"/>
        <w:right w:val="none" w:sz="0" w:space="0" w:color="auto"/>
      </w:divBdr>
    </w:div>
    <w:div w:id="215971311">
      <w:bodyDiv w:val="1"/>
      <w:marLeft w:val="0"/>
      <w:marRight w:val="0"/>
      <w:marTop w:val="0"/>
      <w:marBottom w:val="0"/>
      <w:divBdr>
        <w:top w:val="none" w:sz="0" w:space="0" w:color="auto"/>
        <w:left w:val="none" w:sz="0" w:space="0" w:color="auto"/>
        <w:bottom w:val="none" w:sz="0" w:space="0" w:color="auto"/>
        <w:right w:val="none" w:sz="0" w:space="0" w:color="auto"/>
      </w:divBdr>
    </w:div>
    <w:div w:id="221060508">
      <w:bodyDiv w:val="1"/>
      <w:marLeft w:val="0"/>
      <w:marRight w:val="0"/>
      <w:marTop w:val="0"/>
      <w:marBottom w:val="0"/>
      <w:divBdr>
        <w:top w:val="none" w:sz="0" w:space="0" w:color="auto"/>
        <w:left w:val="none" w:sz="0" w:space="0" w:color="auto"/>
        <w:bottom w:val="none" w:sz="0" w:space="0" w:color="auto"/>
        <w:right w:val="none" w:sz="0" w:space="0" w:color="auto"/>
      </w:divBdr>
    </w:div>
    <w:div w:id="221406348">
      <w:bodyDiv w:val="1"/>
      <w:marLeft w:val="0"/>
      <w:marRight w:val="0"/>
      <w:marTop w:val="0"/>
      <w:marBottom w:val="0"/>
      <w:divBdr>
        <w:top w:val="none" w:sz="0" w:space="0" w:color="auto"/>
        <w:left w:val="none" w:sz="0" w:space="0" w:color="auto"/>
        <w:bottom w:val="none" w:sz="0" w:space="0" w:color="auto"/>
        <w:right w:val="none" w:sz="0" w:space="0" w:color="auto"/>
      </w:divBdr>
    </w:div>
    <w:div w:id="248778168">
      <w:bodyDiv w:val="1"/>
      <w:marLeft w:val="0"/>
      <w:marRight w:val="0"/>
      <w:marTop w:val="0"/>
      <w:marBottom w:val="0"/>
      <w:divBdr>
        <w:top w:val="none" w:sz="0" w:space="0" w:color="auto"/>
        <w:left w:val="none" w:sz="0" w:space="0" w:color="auto"/>
        <w:bottom w:val="none" w:sz="0" w:space="0" w:color="auto"/>
        <w:right w:val="none" w:sz="0" w:space="0" w:color="auto"/>
      </w:divBdr>
    </w:div>
    <w:div w:id="299770303">
      <w:bodyDiv w:val="1"/>
      <w:marLeft w:val="0"/>
      <w:marRight w:val="0"/>
      <w:marTop w:val="0"/>
      <w:marBottom w:val="0"/>
      <w:divBdr>
        <w:top w:val="none" w:sz="0" w:space="0" w:color="auto"/>
        <w:left w:val="none" w:sz="0" w:space="0" w:color="auto"/>
        <w:bottom w:val="none" w:sz="0" w:space="0" w:color="auto"/>
        <w:right w:val="none" w:sz="0" w:space="0" w:color="auto"/>
      </w:divBdr>
    </w:div>
    <w:div w:id="324016783">
      <w:bodyDiv w:val="1"/>
      <w:marLeft w:val="0"/>
      <w:marRight w:val="0"/>
      <w:marTop w:val="0"/>
      <w:marBottom w:val="0"/>
      <w:divBdr>
        <w:top w:val="none" w:sz="0" w:space="0" w:color="auto"/>
        <w:left w:val="none" w:sz="0" w:space="0" w:color="auto"/>
        <w:bottom w:val="none" w:sz="0" w:space="0" w:color="auto"/>
        <w:right w:val="none" w:sz="0" w:space="0" w:color="auto"/>
      </w:divBdr>
    </w:div>
    <w:div w:id="325940033">
      <w:bodyDiv w:val="1"/>
      <w:marLeft w:val="0"/>
      <w:marRight w:val="0"/>
      <w:marTop w:val="0"/>
      <w:marBottom w:val="0"/>
      <w:divBdr>
        <w:top w:val="none" w:sz="0" w:space="0" w:color="auto"/>
        <w:left w:val="none" w:sz="0" w:space="0" w:color="auto"/>
        <w:bottom w:val="none" w:sz="0" w:space="0" w:color="auto"/>
        <w:right w:val="none" w:sz="0" w:space="0" w:color="auto"/>
      </w:divBdr>
    </w:div>
    <w:div w:id="347946887">
      <w:bodyDiv w:val="1"/>
      <w:marLeft w:val="0"/>
      <w:marRight w:val="0"/>
      <w:marTop w:val="0"/>
      <w:marBottom w:val="0"/>
      <w:divBdr>
        <w:top w:val="none" w:sz="0" w:space="0" w:color="auto"/>
        <w:left w:val="none" w:sz="0" w:space="0" w:color="auto"/>
        <w:bottom w:val="none" w:sz="0" w:space="0" w:color="auto"/>
        <w:right w:val="none" w:sz="0" w:space="0" w:color="auto"/>
      </w:divBdr>
    </w:div>
    <w:div w:id="371618770">
      <w:bodyDiv w:val="1"/>
      <w:marLeft w:val="0"/>
      <w:marRight w:val="0"/>
      <w:marTop w:val="0"/>
      <w:marBottom w:val="0"/>
      <w:divBdr>
        <w:top w:val="none" w:sz="0" w:space="0" w:color="auto"/>
        <w:left w:val="none" w:sz="0" w:space="0" w:color="auto"/>
        <w:bottom w:val="none" w:sz="0" w:space="0" w:color="auto"/>
        <w:right w:val="none" w:sz="0" w:space="0" w:color="auto"/>
      </w:divBdr>
    </w:div>
    <w:div w:id="410935438">
      <w:bodyDiv w:val="1"/>
      <w:marLeft w:val="0"/>
      <w:marRight w:val="0"/>
      <w:marTop w:val="0"/>
      <w:marBottom w:val="0"/>
      <w:divBdr>
        <w:top w:val="none" w:sz="0" w:space="0" w:color="auto"/>
        <w:left w:val="none" w:sz="0" w:space="0" w:color="auto"/>
        <w:bottom w:val="none" w:sz="0" w:space="0" w:color="auto"/>
        <w:right w:val="none" w:sz="0" w:space="0" w:color="auto"/>
      </w:divBdr>
    </w:div>
    <w:div w:id="440220038">
      <w:bodyDiv w:val="1"/>
      <w:marLeft w:val="0"/>
      <w:marRight w:val="0"/>
      <w:marTop w:val="0"/>
      <w:marBottom w:val="0"/>
      <w:divBdr>
        <w:top w:val="none" w:sz="0" w:space="0" w:color="auto"/>
        <w:left w:val="none" w:sz="0" w:space="0" w:color="auto"/>
        <w:bottom w:val="none" w:sz="0" w:space="0" w:color="auto"/>
        <w:right w:val="none" w:sz="0" w:space="0" w:color="auto"/>
      </w:divBdr>
    </w:div>
    <w:div w:id="501815723">
      <w:bodyDiv w:val="1"/>
      <w:marLeft w:val="0"/>
      <w:marRight w:val="0"/>
      <w:marTop w:val="0"/>
      <w:marBottom w:val="0"/>
      <w:divBdr>
        <w:top w:val="none" w:sz="0" w:space="0" w:color="auto"/>
        <w:left w:val="none" w:sz="0" w:space="0" w:color="auto"/>
        <w:bottom w:val="none" w:sz="0" w:space="0" w:color="auto"/>
        <w:right w:val="none" w:sz="0" w:space="0" w:color="auto"/>
      </w:divBdr>
    </w:div>
    <w:div w:id="556892140">
      <w:bodyDiv w:val="1"/>
      <w:marLeft w:val="0"/>
      <w:marRight w:val="0"/>
      <w:marTop w:val="0"/>
      <w:marBottom w:val="0"/>
      <w:divBdr>
        <w:top w:val="none" w:sz="0" w:space="0" w:color="auto"/>
        <w:left w:val="none" w:sz="0" w:space="0" w:color="auto"/>
        <w:bottom w:val="none" w:sz="0" w:space="0" w:color="auto"/>
        <w:right w:val="none" w:sz="0" w:space="0" w:color="auto"/>
      </w:divBdr>
      <w:divsChild>
        <w:div w:id="782770321">
          <w:marLeft w:val="0"/>
          <w:marRight w:val="0"/>
          <w:marTop w:val="0"/>
          <w:marBottom w:val="0"/>
          <w:divBdr>
            <w:top w:val="none" w:sz="0" w:space="0" w:color="auto"/>
            <w:left w:val="none" w:sz="0" w:space="0" w:color="auto"/>
            <w:bottom w:val="none" w:sz="0" w:space="0" w:color="auto"/>
            <w:right w:val="none" w:sz="0" w:space="0" w:color="auto"/>
          </w:divBdr>
        </w:div>
        <w:div w:id="1500850777">
          <w:marLeft w:val="0"/>
          <w:marRight w:val="0"/>
          <w:marTop w:val="0"/>
          <w:marBottom w:val="0"/>
          <w:divBdr>
            <w:top w:val="none" w:sz="0" w:space="0" w:color="auto"/>
            <w:left w:val="none" w:sz="0" w:space="0" w:color="auto"/>
            <w:bottom w:val="none" w:sz="0" w:space="0" w:color="auto"/>
            <w:right w:val="none" w:sz="0" w:space="0" w:color="auto"/>
          </w:divBdr>
        </w:div>
      </w:divsChild>
    </w:div>
    <w:div w:id="675233390">
      <w:bodyDiv w:val="1"/>
      <w:marLeft w:val="0"/>
      <w:marRight w:val="0"/>
      <w:marTop w:val="0"/>
      <w:marBottom w:val="0"/>
      <w:divBdr>
        <w:top w:val="none" w:sz="0" w:space="0" w:color="auto"/>
        <w:left w:val="none" w:sz="0" w:space="0" w:color="auto"/>
        <w:bottom w:val="none" w:sz="0" w:space="0" w:color="auto"/>
        <w:right w:val="none" w:sz="0" w:space="0" w:color="auto"/>
      </w:divBdr>
    </w:div>
    <w:div w:id="695691129">
      <w:bodyDiv w:val="1"/>
      <w:marLeft w:val="0"/>
      <w:marRight w:val="0"/>
      <w:marTop w:val="0"/>
      <w:marBottom w:val="0"/>
      <w:divBdr>
        <w:top w:val="none" w:sz="0" w:space="0" w:color="auto"/>
        <w:left w:val="none" w:sz="0" w:space="0" w:color="auto"/>
        <w:bottom w:val="none" w:sz="0" w:space="0" w:color="auto"/>
        <w:right w:val="none" w:sz="0" w:space="0" w:color="auto"/>
      </w:divBdr>
    </w:div>
    <w:div w:id="698118955">
      <w:bodyDiv w:val="1"/>
      <w:marLeft w:val="0"/>
      <w:marRight w:val="0"/>
      <w:marTop w:val="0"/>
      <w:marBottom w:val="0"/>
      <w:divBdr>
        <w:top w:val="none" w:sz="0" w:space="0" w:color="auto"/>
        <w:left w:val="none" w:sz="0" w:space="0" w:color="auto"/>
        <w:bottom w:val="none" w:sz="0" w:space="0" w:color="auto"/>
        <w:right w:val="none" w:sz="0" w:space="0" w:color="auto"/>
      </w:divBdr>
    </w:div>
    <w:div w:id="723258904">
      <w:bodyDiv w:val="1"/>
      <w:marLeft w:val="0"/>
      <w:marRight w:val="0"/>
      <w:marTop w:val="0"/>
      <w:marBottom w:val="0"/>
      <w:divBdr>
        <w:top w:val="none" w:sz="0" w:space="0" w:color="auto"/>
        <w:left w:val="none" w:sz="0" w:space="0" w:color="auto"/>
        <w:bottom w:val="none" w:sz="0" w:space="0" w:color="auto"/>
        <w:right w:val="none" w:sz="0" w:space="0" w:color="auto"/>
      </w:divBdr>
    </w:div>
    <w:div w:id="733046712">
      <w:bodyDiv w:val="1"/>
      <w:marLeft w:val="0"/>
      <w:marRight w:val="0"/>
      <w:marTop w:val="0"/>
      <w:marBottom w:val="0"/>
      <w:divBdr>
        <w:top w:val="none" w:sz="0" w:space="0" w:color="auto"/>
        <w:left w:val="none" w:sz="0" w:space="0" w:color="auto"/>
        <w:bottom w:val="none" w:sz="0" w:space="0" w:color="auto"/>
        <w:right w:val="none" w:sz="0" w:space="0" w:color="auto"/>
      </w:divBdr>
    </w:div>
    <w:div w:id="760180290">
      <w:bodyDiv w:val="1"/>
      <w:marLeft w:val="0"/>
      <w:marRight w:val="0"/>
      <w:marTop w:val="0"/>
      <w:marBottom w:val="0"/>
      <w:divBdr>
        <w:top w:val="none" w:sz="0" w:space="0" w:color="auto"/>
        <w:left w:val="none" w:sz="0" w:space="0" w:color="auto"/>
        <w:bottom w:val="none" w:sz="0" w:space="0" w:color="auto"/>
        <w:right w:val="none" w:sz="0" w:space="0" w:color="auto"/>
      </w:divBdr>
    </w:div>
    <w:div w:id="894120317">
      <w:bodyDiv w:val="1"/>
      <w:marLeft w:val="0"/>
      <w:marRight w:val="0"/>
      <w:marTop w:val="0"/>
      <w:marBottom w:val="0"/>
      <w:divBdr>
        <w:top w:val="none" w:sz="0" w:space="0" w:color="auto"/>
        <w:left w:val="none" w:sz="0" w:space="0" w:color="auto"/>
        <w:bottom w:val="none" w:sz="0" w:space="0" w:color="auto"/>
        <w:right w:val="none" w:sz="0" w:space="0" w:color="auto"/>
      </w:divBdr>
    </w:div>
    <w:div w:id="898705909">
      <w:bodyDiv w:val="1"/>
      <w:marLeft w:val="0"/>
      <w:marRight w:val="0"/>
      <w:marTop w:val="0"/>
      <w:marBottom w:val="0"/>
      <w:divBdr>
        <w:top w:val="none" w:sz="0" w:space="0" w:color="auto"/>
        <w:left w:val="none" w:sz="0" w:space="0" w:color="auto"/>
        <w:bottom w:val="none" w:sz="0" w:space="0" w:color="auto"/>
        <w:right w:val="none" w:sz="0" w:space="0" w:color="auto"/>
      </w:divBdr>
    </w:div>
    <w:div w:id="906649328">
      <w:bodyDiv w:val="1"/>
      <w:marLeft w:val="0"/>
      <w:marRight w:val="0"/>
      <w:marTop w:val="0"/>
      <w:marBottom w:val="0"/>
      <w:divBdr>
        <w:top w:val="none" w:sz="0" w:space="0" w:color="auto"/>
        <w:left w:val="none" w:sz="0" w:space="0" w:color="auto"/>
        <w:bottom w:val="none" w:sz="0" w:space="0" w:color="auto"/>
        <w:right w:val="none" w:sz="0" w:space="0" w:color="auto"/>
      </w:divBdr>
    </w:div>
    <w:div w:id="938636901">
      <w:bodyDiv w:val="1"/>
      <w:marLeft w:val="0"/>
      <w:marRight w:val="0"/>
      <w:marTop w:val="0"/>
      <w:marBottom w:val="0"/>
      <w:divBdr>
        <w:top w:val="none" w:sz="0" w:space="0" w:color="auto"/>
        <w:left w:val="none" w:sz="0" w:space="0" w:color="auto"/>
        <w:bottom w:val="none" w:sz="0" w:space="0" w:color="auto"/>
        <w:right w:val="none" w:sz="0" w:space="0" w:color="auto"/>
      </w:divBdr>
    </w:div>
    <w:div w:id="951278643">
      <w:bodyDiv w:val="1"/>
      <w:marLeft w:val="0"/>
      <w:marRight w:val="0"/>
      <w:marTop w:val="0"/>
      <w:marBottom w:val="0"/>
      <w:divBdr>
        <w:top w:val="none" w:sz="0" w:space="0" w:color="auto"/>
        <w:left w:val="none" w:sz="0" w:space="0" w:color="auto"/>
        <w:bottom w:val="none" w:sz="0" w:space="0" w:color="auto"/>
        <w:right w:val="none" w:sz="0" w:space="0" w:color="auto"/>
      </w:divBdr>
    </w:div>
    <w:div w:id="967005339">
      <w:bodyDiv w:val="1"/>
      <w:marLeft w:val="0"/>
      <w:marRight w:val="0"/>
      <w:marTop w:val="0"/>
      <w:marBottom w:val="0"/>
      <w:divBdr>
        <w:top w:val="none" w:sz="0" w:space="0" w:color="auto"/>
        <w:left w:val="none" w:sz="0" w:space="0" w:color="auto"/>
        <w:bottom w:val="none" w:sz="0" w:space="0" w:color="auto"/>
        <w:right w:val="none" w:sz="0" w:space="0" w:color="auto"/>
      </w:divBdr>
    </w:div>
    <w:div w:id="1000960080">
      <w:bodyDiv w:val="1"/>
      <w:marLeft w:val="0"/>
      <w:marRight w:val="0"/>
      <w:marTop w:val="0"/>
      <w:marBottom w:val="0"/>
      <w:divBdr>
        <w:top w:val="none" w:sz="0" w:space="0" w:color="auto"/>
        <w:left w:val="none" w:sz="0" w:space="0" w:color="auto"/>
        <w:bottom w:val="none" w:sz="0" w:space="0" w:color="auto"/>
        <w:right w:val="none" w:sz="0" w:space="0" w:color="auto"/>
      </w:divBdr>
    </w:div>
    <w:div w:id="1011420008">
      <w:bodyDiv w:val="1"/>
      <w:marLeft w:val="0"/>
      <w:marRight w:val="0"/>
      <w:marTop w:val="0"/>
      <w:marBottom w:val="0"/>
      <w:divBdr>
        <w:top w:val="none" w:sz="0" w:space="0" w:color="auto"/>
        <w:left w:val="none" w:sz="0" w:space="0" w:color="auto"/>
        <w:bottom w:val="none" w:sz="0" w:space="0" w:color="auto"/>
        <w:right w:val="none" w:sz="0" w:space="0" w:color="auto"/>
      </w:divBdr>
      <w:divsChild>
        <w:div w:id="587732258">
          <w:marLeft w:val="0"/>
          <w:marRight w:val="0"/>
          <w:marTop w:val="15"/>
          <w:marBottom w:val="0"/>
          <w:divBdr>
            <w:top w:val="single" w:sz="48" w:space="0" w:color="auto"/>
            <w:left w:val="single" w:sz="48" w:space="0" w:color="auto"/>
            <w:bottom w:val="single" w:sz="48" w:space="0" w:color="auto"/>
            <w:right w:val="single" w:sz="48" w:space="0" w:color="auto"/>
          </w:divBdr>
          <w:divsChild>
            <w:div w:id="1192260550">
              <w:marLeft w:val="0"/>
              <w:marRight w:val="0"/>
              <w:marTop w:val="0"/>
              <w:marBottom w:val="0"/>
              <w:divBdr>
                <w:top w:val="none" w:sz="0" w:space="0" w:color="auto"/>
                <w:left w:val="none" w:sz="0" w:space="0" w:color="auto"/>
                <w:bottom w:val="none" w:sz="0" w:space="0" w:color="auto"/>
                <w:right w:val="none" w:sz="0" w:space="0" w:color="auto"/>
              </w:divBdr>
            </w:div>
          </w:divsChild>
        </w:div>
        <w:div w:id="1093353635">
          <w:marLeft w:val="0"/>
          <w:marRight w:val="0"/>
          <w:marTop w:val="15"/>
          <w:marBottom w:val="0"/>
          <w:divBdr>
            <w:top w:val="single" w:sz="48" w:space="0" w:color="auto"/>
            <w:left w:val="single" w:sz="48" w:space="0" w:color="auto"/>
            <w:bottom w:val="single" w:sz="48" w:space="0" w:color="auto"/>
            <w:right w:val="single" w:sz="48" w:space="0" w:color="auto"/>
          </w:divBdr>
          <w:divsChild>
            <w:div w:id="9473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433191">
      <w:bodyDiv w:val="1"/>
      <w:marLeft w:val="0"/>
      <w:marRight w:val="0"/>
      <w:marTop w:val="0"/>
      <w:marBottom w:val="0"/>
      <w:divBdr>
        <w:top w:val="none" w:sz="0" w:space="0" w:color="auto"/>
        <w:left w:val="none" w:sz="0" w:space="0" w:color="auto"/>
        <w:bottom w:val="none" w:sz="0" w:space="0" w:color="auto"/>
        <w:right w:val="none" w:sz="0" w:space="0" w:color="auto"/>
      </w:divBdr>
    </w:div>
    <w:div w:id="1113473064">
      <w:bodyDiv w:val="1"/>
      <w:marLeft w:val="0"/>
      <w:marRight w:val="0"/>
      <w:marTop w:val="0"/>
      <w:marBottom w:val="0"/>
      <w:divBdr>
        <w:top w:val="none" w:sz="0" w:space="0" w:color="auto"/>
        <w:left w:val="none" w:sz="0" w:space="0" w:color="auto"/>
        <w:bottom w:val="none" w:sz="0" w:space="0" w:color="auto"/>
        <w:right w:val="none" w:sz="0" w:space="0" w:color="auto"/>
      </w:divBdr>
    </w:div>
    <w:div w:id="1139030395">
      <w:bodyDiv w:val="1"/>
      <w:marLeft w:val="0"/>
      <w:marRight w:val="0"/>
      <w:marTop w:val="0"/>
      <w:marBottom w:val="0"/>
      <w:divBdr>
        <w:top w:val="none" w:sz="0" w:space="0" w:color="auto"/>
        <w:left w:val="none" w:sz="0" w:space="0" w:color="auto"/>
        <w:bottom w:val="none" w:sz="0" w:space="0" w:color="auto"/>
        <w:right w:val="none" w:sz="0" w:space="0" w:color="auto"/>
      </w:divBdr>
    </w:div>
    <w:div w:id="1139420541">
      <w:bodyDiv w:val="1"/>
      <w:marLeft w:val="0"/>
      <w:marRight w:val="0"/>
      <w:marTop w:val="0"/>
      <w:marBottom w:val="0"/>
      <w:divBdr>
        <w:top w:val="none" w:sz="0" w:space="0" w:color="auto"/>
        <w:left w:val="none" w:sz="0" w:space="0" w:color="auto"/>
        <w:bottom w:val="none" w:sz="0" w:space="0" w:color="auto"/>
        <w:right w:val="none" w:sz="0" w:space="0" w:color="auto"/>
      </w:divBdr>
    </w:div>
    <w:div w:id="1152067096">
      <w:bodyDiv w:val="1"/>
      <w:marLeft w:val="0"/>
      <w:marRight w:val="0"/>
      <w:marTop w:val="0"/>
      <w:marBottom w:val="0"/>
      <w:divBdr>
        <w:top w:val="none" w:sz="0" w:space="0" w:color="auto"/>
        <w:left w:val="none" w:sz="0" w:space="0" w:color="auto"/>
        <w:bottom w:val="none" w:sz="0" w:space="0" w:color="auto"/>
        <w:right w:val="none" w:sz="0" w:space="0" w:color="auto"/>
      </w:divBdr>
    </w:div>
    <w:div w:id="1184629858">
      <w:bodyDiv w:val="1"/>
      <w:marLeft w:val="0"/>
      <w:marRight w:val="0"/>
      <w:marTop w:val="0"/>
      <w:marBottom w:val="0"/>
      <w:divBdr>
        <w:top w:val="none" w:sz="0" w:space="0" w:color="auto"/>
        <w:left w:val="none" w:sz="0" w:space="0" w:color="auto"/>
        <w:bottom w:val="none" w:sz="0" w:space="0" w:color="auto"/>
        <w:right w:val="none" w:sz="0" w:space="0" w:color="auto"/>
      </w:divBdr>
    </w:div>
    <w:div w:id="1196768898">
      <w:bodyDiv w:val="1"/>
      <w:marLeft w:val="0"/>
      <w:marRight w:val="0"/>
      <w:marTop w:val="0"/>
      <w:marBottom w:val="0"/>
      <w:divBdr>
        <w:top w:val="none" w:sz="0" w:space="0" w:color="auto"/>
        <w:left w:val="none" w:sz="0" w:space="0" w:color="auto"/>
        <w:bottom w:val="none" w:sz="0" w:space="0" w:color="auto"/>
        <w:right w:val="none" w:sz="0" w:space="0" w:color="auto"/>
      </w:divBdr>
    </w:div>
    <w:div w:id="1217278506">
      <w:bodyDiv w:val="1"/>
      <w:marLeft w:val="0"/>
      <w:marRight w:val="0"/>
      <w:marTop w:val="0"/>
      <w:marBottom w:val="0"/>
      <w:divBdr>
        <w:top w:val="none" w:sz="0" w:space="0" w:color="auto"/>
        <w:left w:val="none" w:sz="0" w:space="0" w:color="auto"/>
        <w:bottom w:val="none" w:sz="0" w:space="0" w:color="auto"/>
        <w:right w:val="none" w:sz="0" w:space="0" w:color="auto"/>
      </w:divBdr>
    </w:div>
    <w:div w:id="1229076139">
      <w:bodyDiv w:val="1"/>
      <w:marLeft w:val="0"/>
      <w:marRight w:val="0"/>
      <w:marTop w:val="0"/>
      <w:marBottom w:val="0"/>
      <w:divBdr>
        <w:top w:val="none" w:sz="0" w:space="0" w:color="auto"/>
        <w:left w:val="none" w:sz="0" w:space="0" w:color="auto"/>
        <w:bottom w:val="none" w:sz="0" w:space="0" w:color="auto"/>
        <w:right w:val="none" w:sz="0" w:space="0" w:color="auto"/>
      </w:divBdr>
    </w:div>
    <w:div w:id="1266885828">
      <w:bodyDiv w:val="1"/>
      <w:marLeft w:val="0"/>
      <w:marRight w:val="0"/>
      <w:marTop w:val="0"/>
      <w:marBottom w:val="0"/>
      <w:divBdr>
        <w:top w:val="none" w:sz="0" w:space="0" w:color="auto"/>
        <w:left w:val="none" w:sz="0" w:space="0" w:color="auto"/>
        <w:bottom w:val="none" w:sz="0" w:space="0" w:color="auto"/>
        <w:right w:val="none" w:sz="0" w:space="0" w:color="auto"/>
      </w:divBdr>
    </w:div>
    <w:div w:id="1267348193">
      <w:bodyDiv w:val="1"/>
      <w:marLeft w:val="0"/>
      <w:marRight w:val="0"/>
      <w:marTop w:val="0"/>
      <w:marBottom w:val="0"/>
      <w:divBdr>
        <w:top w:val="none" w:sz="0" w:space="0" w:color="auto"/>
        <w:left w:val="none" w:sz="0" w:space="0" w:color="auto"/>
        <w:bottom w:val="none" w:sz="0" w:space="0" w:color="auto"/>
        <w:right w:val="none" w:sz="0" w:space="0" w:color="auto"/>
      </w:divBdr>
    </w:div>
    <w:div w:id="1271207129">
      <w:bodyDiv w:val="1"/>
      <w:marLeft w:val="0"/>
      <w:marRight w:val="0"/>
      <w:marTop w:val="0"/>
      <w:marBottom w:val="0"/>
      <w:divBdr>
        <w:top w:val="none" w:sz="0" w:space="0" w:color="auto"/>
        <w:left w:val="none" w:sz="0" w:space="0" w:color="auto"/>
        <w:bottom w:val="none" w:sz="0" w:space="0" w:color="auto"/>
        <w:right w:val="none" w:sz="0" w:space="0" w:color="auto"/>
      </w:divBdr>
    </w:div>
    <w:div w:id="1310014530">
      <w:bodyDiv w:val="1"/>
      <w:marLeft w:val="0"/>
      <w:marRight w:val="0"/>
      <w:marTop w:val="0"/>
      <w:marBottom w:val="0"/>
      <w:divBdr>
        <w:top w:val="none" w:sz="0" w:space="0" w:color="auto"/>
        <w:left w:val="none" w:sz="0" w:space="0" w:color="auto"/>
        <w:bottom w:val="none" w:sz="0" w:space="0" w:color="auto"/>
        <w:right w:val="none" w:sz="0" w:space="0" w:color="auto"/>
      </w:divBdr>
      <w:divsChild>
        <w:div w:id="876506873">
          <w:marLeft w:val="0"/>
          <w:marRight w:val="0"/>
          <w:marTop w:val="0"/>
          <w:marBottom w:val="0"/>
          <w:divBdr>
            <w:top w:val="none" w:sz="0" w:space="0" w:color="auto"/>
            <w:left w:val="none" w:sz="0" w:space="0" w:color="auto"/>
            <w:bottom w:val="none" w:sz="0" w:space="0" w:color="auto"/>
            <w:right w:val="none" w:sz="0" w:space="0" w:color="auto"/>
          </w:divBdr>
        </w:div>
        <w:div w:id="1867522626">
          <w:marLeft w:val="0"/>
          <w:marRight w:val="0"/>
          <w:marTop w:val="0"/>
          <w:marBottom w:val="0"/>
          <w:divBdr>
            <w:top w:val="none" w:sz="0" w:space="0" w:color="auto"/>
            <w:left w:val="none" w:sz="0" w:space="0" w:color="auto"/>
            <w:bottom w:val="none" w:sz="0" w:space="0" w:color="auto"/>
            <w:right w:val="none" w:sz="0" w:space="0" w:color="auto"/>
          </w:divBdr>
        </w:div>
      </w:divsChild>
    </w:div>
    <w:div w:id="1320113731">
      <w:bodyDiv w:val="1"/>
      <w:marLeft w:val="0"/>
      <w:marRight w:val="0"/>
      <w:marTop w:val="0"/>
      <w:marBottom w:val="0"/>
      <w:divBdr>
        <w:top w:val="none" w:sz="0" w:space="0" w:color="auto"/>
        <w:left w:val="none" w:sz="0" w:space="0" w:color="auto"/>
        <w:bottom w:val="none" w:sz="0" w:space="0" w:color="auto"/>
        <w:right w:val="none" w:sz="0" w:space="0" w:color="auto"/>
      </w:divBdr>
    </w:div>
    <w:div w:id="1321344799">
      <w:bodyDiv w:val="1"/>
      <w:marLeft w:val="0"/>
      <w:marRight w:val="0"/>
      <w:marTop w:val="0"/>
      <w:marBottom w:val="0"/>
      <w:divBdr>
        <w:top w:val="none" w:sz="0" w:space="0" w:color="auto"/>
        <w:left w:val="none" w:sz="0" w:space="0" w:color="auto"/>
        <w:bottom w:val="none" w:sz="0" w:space="0" w:color="auto"/>
        <w:right w:val="none" w:sz="0" w:space="0" w:color="auto"/>
      </w:divBdr>
    </w:div>
    <w:div w:id="1364284473">
      <w:bodyDiv w:val="1"/>
      <w:marLeft w:val="0"/>
      <w:marRight w:val="0"/>
      <w:marTop w:val="0"/>
      <w:marBottom w:val="0"/>
      <w:divBdr>
        <w:top w:val="none" w:sz="0" w:space="0" w:color="auto"/>
        <w:left w:val="none" w:sz="0" w:space="0" w:color="auto"/>
        <w:bottom w:val="none" w:sz="0" w:space="0" w:color="auto"/>
        <w:right w:val="none" w:sz="0" w:space="0" w:color="auto"/>
      </w:divBdr>
    </w:div>
    <w:div w:id="1409498673">
      <w:bodyDiv w:val="1"/>
      <w:marLeft w:val="0"/>
      <w:marRight w:val="0"/>
      <w:marTop w:val="0"/>
      <w:marBottom w:val="0"/>
      <w:divBdr>
        <w:top w:val="none" w:sz="0" w:space="0" w:color="auto"/>
        <w:left w:val="none" w:sz="0" w:space="0" w:color="auto"/>
        <w:bottom w:val="none" w:sz="0" w:space="0" w:color="auto"/>
        <w:right w:val="none" w:sz="0" w:space="0" w:color="auto"/>
      </w:divBdr>
    </w:div>
    <w:div w:id="1412196546">
      <w:bodyDiv w:val="1"/>
      <w:marLeft w:val="0"/>
      <w:marRight w:val="0"/>
      <w:marTop w:val="0"/>
      <w:marBottom w:val="0"/>
      <w:divBdr>
        <w:top w:val="none" w:sz="0" w:space="0" w:color="auto"/>
        <w:left w:val="none" w:sz="0" w:space="0" w:color="auto"/>
        <w:bottom w:val="none" w:sz="0" w:space="0" w:color="auto"/>
        <w:right w:val="none" w:sz="0" w:space="0" w:color="auto"/>
      </w:divBdr>
    </w:div>
    <w:div w:id="1415006972">
      <w:bodyDiv w:val="1"/>
      <w:marLeft w:val="0"/>
      <w:marRight w:val="0"/>
      <w:marTop w:val="0"/>
      <w:marBottom w:val="0"/>
      <w:divBdr>
        <w:top w:val="none" w:sz="0" w:space="0" w:color="auto"/>
        <w:left w:val="none" w:sz="0" w:space="0" w:color="auto"/>
        <w:bottom w:val="none" w:sz="0" w:space="0" w:color="auto"/>
        <w:right w:val="none" w:sz="0" w:space="0" w:color="auto"/>
      </w:divBdr>
    </w:div>
    <w:div w:id="1440488508">
      <w:bodyDiv w:val="1"/>
      <w:marLeft w:val="0"/>
      <w:marRight w:val="0"/>
      <w:marTop w:val="0"/>
      <w:marBottom w:val="0"/>
      <w:divBdr>
        <w:top w:val="none" w:sz="0" w:space="0" w:color="auto"/>
        <w:left w:val="none" w:sz="0" w:space="0" w:color="auto"/>
        <w:bottom w:val="none" w:sz="0" w:space="0" w:color="auto"/>
        <w:right w:val="none" w:sz="0" w:space="0" w:color="auto"/>
      </w:divBdr>
      <w:divsChild>
        <w:div w:id="261688990">
          <w:marLeft w:val="0"/>
          <w:marRight w:val="0"/>
          <w:marTop w:val="0"/>
          <w:marBottom w:val="0"/>
          <w:divBdr>
            <w:top w:val="none" w:sz="0" w:space="0" w:color="auto"/>
            <w:left w:val="none" w:sz="0" w:space="0" w:color="auto"/>
            <w:bottom w:val="none" w:sz="0" w:space="0" w:color="auto"/>
            <w:right w:val="none" w:sz="0" w:space="0" w:color="auto"/>
          </w:divBdr>
        </w:div>
        <w:div w:id="1132598059">
          <w:marLeft w:val="0"/>
          <w:marRight w:val="0"/>
          <w:marTop w:val="0"/>
          <w:marBottom w:val="0"/>
          <w:divBdr>
            <w:top w:val="none" w:sz="0" w:space="0" w:color="auto"/>
            <w:left w:val="none" w:sz="0" w:space="0" w:color="auto"/>
            <w:bottom w:val="none" w:sz="0" w:space="0" w:color="auto"/>
            <w:right w:val="none" w:sz="0" w:space="0" w:color="auto"/>
          </w:divBdr>
        </w:div>
      </w:divsChild>
    </w:div>
    <w:div w:id="1456370532">
      <w:bodyDiv w:val="1"/>
      <w:marLeft w:val="0"/>
      <w:marRight w:val="0"/>
      <w:marTop w:val="0"/>
      <w:marBottom w:val="0"/>
      <w:divBdr>
        <w:top w:val="none" w:sz="0" w:space="0" w:color="auto"/>
        <w:left w:val="none" w:sz="0" w:space="0" w:color="auto"/>
        <w:bottom w:val="none" w:sz="0" w:space="0" w:color="auto"/>
        <w:right w:val="none" w:sz="0" w:space="0" w:color="auto"/>
      </w:divBdr>
    </w:div>
    <w:div w:id="1484538762">
      <w:bodyDiv w:val="1"/>
      <w:marLeft w:val="0"/>
      <w:marRight w:val="0"/>
      <w:marTop w:val="0"/>
      <w:marBottom w:val="0"/>
      <w:divBdr>
        <w:top w:val="none" w:sz="0" w:space="0" w:color="auto"/>
        <w:left w:val="none" w:sz="0" w:space="0" w:color="auto"/>
        <w:bottom w:val="none" w:sz="0" w:space="0" w:color="auto"/>
        <w:right w:val="none" w:sz="0" w:space="0" w:color="auto"/>
      </w:divBdr>
      <w:divsChild>
        <w:div w:id="338436451">
          <w:marLeft w:val="0"/>
          <w:marRight w:val="0"/>
          <w:marTop w:val="15"/>
          <w:marBottom w:val="0"/>
          <w:divBdr>
            <w:top w:val="single" w:sz="48" w:space="0" w:color="auto"/>
            <w:left w:val="single" w:sz="48" w:space="0" w:color="auto"/>
            <w:bottom w:val="single" w:sz="48" w:space="0" w:color="auto"/>
            <w:right w:val="single" w:sz="48" w:space="0" w:color="auto"/>
          </w:divBdr>
          <w:divsChild>
            <w:div w:id="1738357818">
              <w:marLeft w:val="0"/>
              <w:marRight w:val="0"/>
              <w:marTop w:val="0"/>
              <w:marBottom w:val="0"/>
              <w:divBdr>
                <w:top w:val="none" w:sz="0" w:space="0" w:color="auto"/>
                <w:left w:val="none" w:sz="0" w:space="0" w:color="auto"/>
                <w:bottom w:val="none" w:sz="0" w:space="0" w:color="auto"/>
                <w:right w:val="none" w:sz="0" w:space="0" w:color="auto"/>
              </w:divBdr>
            </w:div>
          </w:divsChild>
        </w:div>
        <w:div w:id="595942676">
          <w:marLeft w:val="0"/>
          <w:marRight w:val="0"/>
          <w:marTop w:val="15"/>
          <w:marBottom w:val="0"/>
          <w:divBdr>
            <w:top w:val="single" w:sz="48" w:space="0" w:color="auto"/>
            <w:left w:val="single" w:sz="48" w:space="0" w:color="auto"/>
            <w:bottom w:val="single" w:sz="48" w:space="0" w:color="auto"/>
            <w:right w:val="single" w:sz="48" w:space="0" w:color="auto"/>
          </w:divBdr>
          <w:divsChild>
            <w:div w:id="15839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98572">
      <w:bodyDiv w:val="1"/>
      <w:marLeft w:val="0"/>
      <w:marRight w:val="0"/>
      <w:marTop w:val="0"/>
      <w:marBottom w:val="0"/>
      <w:divBdr>
        <w:top w:val="none" w:sz="0" w:space="0" w:color="auto"/>
        <w:left w:val="none" w:sz="0" w:space="0" w:color="auto"/>
        <w:bottom w:val="none" w:sz="0" w:space="0" w:color="auto"/>
        <w:right w:val="none" w:sz="0" w:space="0" w:color="auto"/>
      </w:divBdr>
    </w:div>
    <w:div w:id="1570187757">
      <w:bodyDiv w:val="1"/>
      <w:marLeft w:val="0"/>
      <w:marRight w:val="0"/>
      <w:marTop w:val="0"/>
      <w:marBottom w:val="0"/>
      <w:divBdr>
        <w:top w:val="none" w:sz="0" w:space="0" w:color="auto"/>
        <w:left w:val="none" w:sz="0" w:space="0" w:color="auto"/>
        <w:bottom w:val="none" w:sz="0" w:space="0" w:color="auto"/>
        <w:right w:val="none" w:sz="0" w:space="0" w:color="auto"/>
      </w:divBdr>
    </w:div>
    <w:div w:id="1593586838">
      <w:bodyDiv w:val="1"/>
      <w:marLeft w:val="0"/>
      <w:marRight w:val="0"/>
      <w:marTop w:val="0"/>
      <w:marBottom w:val="0"/>
      <w:divBdr>
        <w:top w:val="none" w:sz="0" w:space="0" w:color="auto"/>
        <w:left w:val="none" w:sz="0" w:space="0" w:color="auto"/>
        <w:bottom w:val="none" w:sz="0" w:space="0" w:color="auto"/>
        <w:right w:val="none" w:sz="0" w:space="0" w:color="auto"/>
      </w:divBdr>
    </w:div>
    <w:div w:id="1642076214">
      <w:bodyDiv w:val="1"/>
      <w:marLeft w:val="0"/>
      <w:marRight w:val="0"/>
      <w:marTop w:val="0"/>
      <w:marBottom w:val="0"/>
      <w:divBdr>
        <w:top w:val="none" w:sz="0" w:space="0" w:color="auto"/>
        <w:left w:val="none" w:sz="0" w:space="0" w:color="auto"/>
        <w:bottom w:val="none" w:sz="0" w:space="0" w:color="auto"/>
        <w:right w:val="none" w:sz="0" w:space="0" w:color="auto"/>
      </w:divBdr>
    </w:div>
    <w:div w:id="1743215442">
      <w:bodyDiv w:val="1"/>
      <w:marLeft w:val="0"/>
      <w:marRight w:val="0"/>
      <w:marTop w:val="0"/>
      <w:marBottom w:val="0"/>
      <w:divBdr>
        <w:top w:val="none" w:sz="0" w:space="0" w:color="auto"/>
        <w:left w:val="none" w:sz="0" w:space="0" w:color="auto"/>
        <w:bottom w:val="none" w:sz="0" w:space="0" w:color="auto"/>
        <w:right w:val="none" w:sz="0" w:space="0" w:color="auto"/>
      </w:divBdr>
    </w:div>
    <w:div w:id="1822886429">
      <w:bodyDiv w:val="1"/>
      <w:marLeft w:val="0"/>
      <w:marRight w:val="0"/>
      <w:marTop w:val="0"/>
      <w:marBottom w:val="0"/>
      <w:divBdr>
        <w:top w:val="none" w:sz="0" w:space="0" w:color="auto"/>
        <w:left w:val="none" w:sz="0" w:space="0" w:color="auto"/>
        <w:bottom w:val="none" w:sz="0" w:space="0" w:color="auto"/>
        <w:right w:val="none" w:sz="0" w:space="0" w:color="auto"/>
      </w:divBdr>
    </w:div>
    <w:div w:id="1854569173">
      <w:bodyDiv w:val="1"/>
      <w:marLeft w:val="0"/>
      <w:marRight w:val="0"/>
      <w:marTop w:val="0"/>
      <w:marBottom w:val="0"/>
      <w:divBdr>
        <w:top w:val="none" w:sz="0" w:space="0" w:color="auto"/>
        <w:left w:val="none" w:sz="0" w:space="0" w:color="auto"/>
        <w:bottom w:val="none" w:sz="0" w:space="0" w:color="auto"/>
        <w:right w:val="none" w:sz="0" w:space="0" w:color="auto"/>
      </w:divBdr>
    </w:div>
    <w:div w:id="1951234365">
      <w:bodyDiv w:val="1"/>
      <w:marLeft w:val="0"/>
      <w:marRight w:val="0"/>
      <w:marTop w:val="0"/>
      <w:marBottom w:val="0"/>
      <w:divBdr>
        <w:top w:val="none" w:sz="0" w:space="0" w:color="auto"/>
        <w:left w:val="none" w:sz="0" w:space="0" w:color="auto"/>
        <w:bottom w:val="none" w:sz="0" w:space="0" w:color="auto"/>
        <w:right w:val="none" w:sz="0" w:space="0" w:color="auto"/>
      </w:divBdr>
    </w:div>
    <w:div w:id="2011563414">
      <w:bodyDiv w:val="1"/>
      <w:marLeft w:val="0"/>
      <w:marRight w:val="0"/>
      <w:marTop w:val="0"/>
      <w:marBottom w:val="0"/>
      <w:divBdr>
        <w:top w:val="none" w:sz="0" w:space="0" w:color="auto"/>
        <w:left w:val="none" w:sz="0" w:space="0" w:color="auto"/>
        <w:bottom w:val="none" w:sz="0" w:space="0" w:color="auto"/>
        <w:right w:val="none" w:sz="0" w:space="0" w:color="auto"/>
      </w:divBdr>
    </w:div>
    <w:div w:id="2044792519">
      <w:bodyDiv w:val="1"/>
      <w:marLeft w:val="0"/>
      <w:marRight w:val="0"/>
      <w:marTop w:val="0"/>
      <w:marBottom w:val="0"/>
      <w:divBdr>
        <w:top w:val="none" w:sz="0" w:space="0" w:color="auto"/>
        <w:left w:val="none" w:sz="0" w:space="0" w:color="auto"/>
        <w:bottom w:val="none" w:sz="0" w:space="0" w:color="auto"/>
        <w:right w:val="none" w:sz="0" w:space="0" w:color="auto"/>
      </w:divBdr>
      <w:divsChild>
        <w:div w:id="1236159551">
          <w:marLeft w:val="0"/>
          <w:marRight w:val="0"/>
          <w:marTop w:val="15"/>
          <w:marBottom w:val="0"/>
          <w:divBdr>
            <w:top w:val="single" w:sz="48" w:space="0" w:color="auto"/>
            <w:left w:val="single" w:sz="48" w:space="0" w:color="auto"/>
            <w:bottom w:val="single" w:sz="48" w:space="0" w:color="auto"/>
            <w:right w:val="single" w:sz="48" w:space="0" w:color="auto"/>
          </w:divBdr>
          <w:divsChild>
            <w:div w:id="1169060891">
              <w:marLeft w:val="0"/>
              <w:marRight w:val="0"/>
              <w:marTop w:val="0"/>
              <w:marBottom w:val="0"/>
              <w:divBdr>
                <w:top w:val="none" w:sz="0" w:space="0" w:color="auto"/>
                <w:left w:val="none" w:sz="0" w:space="0" w:color="auto"/>
                <w:bottom w:val="none" w:sz="0" w:space="0" w:color="auto"/>
                <w:right w:val="none" w:sz="0" w:space="0" w:color="auto"/>
              </w:divBdr>
            </w:div>
          </w:divsChild>
        </w:div>
        <w:div w:id="1520503742">
          <w:marLeft w:val="0"/>
          <w:marRight w:val="0"/>
          <w:marTop w:val="15"/>
          <w:marBottom w:val="0"/>
          <w:divBdr>
            <w:top w:val="single" w:sz="48" w:space="0" w:color="auto"/>
            <w:left w:val="single" w:sz="48" w:space="0" w:color="auto"/>
            <w:bottom w:val="single" w:sz="48" w:space="0" w:color="auto"/>
            <w:right w:val="single" w:sz="48" w:space="0" w:color="auto"/>
          </w:divBdr>
          <w:divsChild>
            <w:div w:id="42187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007279">
      <w:bodyDiv w:val="1"/>
      <w:marLeft w:val="0"/>
      <w:marRight w:val="0"/>
      <w:marTop w:val="0"/>
      <w:marBottom w:val="0"/>
      <w:divBdr>
        <w:top w:val="none" w:sz="0" w:space="0" w:color="auto"/>
        <w:left w:val="none" w:sz="0" w:space="0" w:color="auto"/>
        <w:bottom w:val="none" w:sz="0" w:space="0" w:color="auto"/>
        <w:right w:val="none" w:sz="0" w:space="0" w:color="auto"/>
      </w:divBdr>
    </w:div>
    <w:div w:id="2065253128">
      <w:bodyDiv w:val="1"/>
      <w:marLeft w:val="0"/>
      <w:marRight w:val="0"/>
      <w:marTop w:val="0"/>
      <w:marBottom w:val="0"/>
      <w:divBdr>
        <w:top w:val="none" w:sz="0" w:space="0" w:color="auto"/>
        <w:left w:val="none" w:sz="0" w:space="0" w:color="auto"/>
        <w:bottom w:val="none" w:sz="0" w:space="0" w:color="auto"/>
        <w:right w:val="none" w:sz="0" w:space="0" w:color="auto"/>
      </w:divBdr>
    </w:div>
    <w:div w:id="2097287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atv.tiesa.gov.lv/wp-content/uploads/2016/02/2012-14-03_Spriedums.pdf" TargetMode="External"/><Relationship Id="rId13" Type="http://schemas.openxmlformats.org/officeDocument/2006/relationships/hyperlink" Target="https://www.satv.tiesa.gov.lv/wp-content/uploads/2016/02/2008-37-03_Spriedums.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147522" TargetMode="External"/><Relationship Id="rId12" Type="http://schemas.openxmlformats.org/officeDocument/2006/relationships/hyperlink" Target="https://www.satv.tiesa.gov.lv/wp-content/uploads/2016/02/2012-14-03_Spriedums.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tv.tiesa.gov.lv/web/viewer.html?file=/wp-content/uploads/2016/02/2009-12-03_Spriedums.pdf" TargetMode="External"/><Relationship Id="rId5" Type="http://schemas.openxmlformats.org/officeDocument/2006/relationships/footnotes" Target="footnotes.xml"/><Relationship Id="rId15" Type="http://schemas.openxmlformats.org/officeDocument/2006/relationships/hyperlink" Target="https://www.vmnvd.gov.lv/lv/kompensejamo-zalu-saraksti" TargetMode="External"/><Relationship Id="rId10" Type="http://schemas.openxmlformats.org/officeDocument/2006/relationships/hyperlink" Target="https://www.satv.tiesa.gov.lv/wp-content/uploads/2016/02/2012-14-03_Spriedums.pdf" TargetMode="External"/><Relationship Id="rId4" Type="http://schemas.openxmlformats.org/officeDocument/2006/relationships/webSettings" Target="webSettings.xml"/><Relationship Id="rId9" Type="http://schemas.openxmlformats.org/officeDocument/2006/relationships/hyperlink" Target="https://www.satv.tiesa.gov.lv/wp-content/uploads/2016/02/2008-37-03_Spriedums.pdf" TargetMode="External"/><Relationship Id="rId14" Type="http://schemas.openxmlformats.org/officeDocument/2006/relationships/hyperlink" Target="http://tap.mk.gov.lv/doc/2005/VMAnot_041012_ZIKS.2325.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18840</Words>
  <Characters>10739</Characters>
  <Application>Microsoft Office Word</Application>
  <DocSecurity>0</DocSecurity>
  <Lines>89</Lines>
  <Paragraphs>59</Paragraphs>
  <ScaleCrop>false</ScaleCrop>
  <Company/>
  <LinksUpToDate>false</LinksUpToDate>
  <CharactersWithSpaces>29520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2024-07-17T05:10:00Z</dcterms:created>
  <dcterms:modified xsi:type="dcterms:W3CDTF">2024-07-17T05:10:00Z</dcterms:modified>
</cp:coreProperties>
</file>