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3B2CF" w14:textId="77777777" w:rsidR="00F2329F" w:rsidRPr="00F2329F" w:rsidRDefault="00F2329F" w:rsidP="00BE7E70">
      <w:pPr>
        <w:spacing w:line="276" w:lineRule="auto"/>
        <w:jc w:val="both"/>
        <w:rPr>
          <w:b/>
          <w:bCs/>
        </w:rPr>
      </w:pPr>
      <w:r w:rsidRPr="00F2329F">
        <w:rPr>
          <w:b/>
          <w:bCs/>
        </w:rPr>
        <w:t>Īpašā pievienotās vērtības nodokļa piemērošanas režīma lietotām mantām mērķis un šī režīma būtība</w:t>
      </w:r>
    </w:p>
    <w:p w14:paraId="58BF9866" w14:textId="77777777" w:rsidR="00F2329F" w:rsidRPr="00F2329F" w:rsidRDefault="00F2329F" w:rsidP="00BE7E70">
      <w:pPr>
        <w:spacing w:line="276" w:lineRule="auto"/>
        <w:jc w:val="both"/>
      </w:pPr>
      <w:r w:rsidRPr="00F2329F">
        <w:t xml:space="preserve">Pievienotās vērtības nodokļa likuma 138.pantā noteiktā īpašā pievienotās vērtības nodokļa piemērošanas režīma lietotām mantām mērķis ir izvairīties no nodokļu dubultās uzlikšanas un konkurences izkropļojumiem attiecībā uz nodokļa maksātajiem. Minētais īpašais nodokļa piemērošanas režīms ir uzskatāms par atkāpi no vispārējiem pievienotās vērtības nodokļa piemērošanas principiem, līdz ar to tas piemērojams sašaurināti un tā piemērošanai nevajadzētu radīt izvairīšanos no pievienotās vērtības nodokļa nomaksas. </w:t>
      </w:r>
    </w:p>
    <w:p w14:paraId="49465BCB" w14:textId="77777777" w:rsidR="00F2329F" w:rsidRPr="00F2329F" w:rsidRDefault="00F2329F" w:rsidP="00BE7E70">
      <w:pPr>
        <w:spacing w:line="276" w:lineRule="auto"/>
        <w:jc w:val="both"/>
      </w:pPr>
      <w:r w:rsidRPr="00F2329F">
        <w:t>Tāpēc, piemērojot Pievienotās vērtības nodokļa likuma 138.pantā noteikto īpašo nodokļa piemērošanas režīmu, lai sasniegtu tā mērķi, ar pievienotās vērtības nodokli neapliek visu pārdošanas darījuma vērtību, bet tikai starpību starp pārdošanas vērtību (naudas summu), ko tirgotājs ir saņēmis par pircējam piegādātajām lietotām mantām, un iepirkuma vērtību, samazinot šo starpību par aprēķinātā pievienotās vērtības nodokļa vērtību, proti, tiek aplikta tikai peļņas daļa.</w:t>
      </w:r>
    </w:p>
    <w:p w14:paraId="4454F25D" w14:textId="77777777" w:rsidR="00F2329F" w:rsidRPr="00F2329F" w:rsidRDefault="00F2329F" w:rsidP="00BE7E70">
      <w:pPr>
        <w:spacing w:line="276" w:lineRule="auto"/>
        <w:jc w:val="both"/>
      </w:pPr>
    </w:p>
    <w:p w14:paraId="09E2AC82" w14:textId="77777777" w:rsidR="00F2329F" w:rsidRPr="00F2329F" w:rsidRDefault="00F2329F" w:rsidP="00BE7E70">
      <w:pPr>
        <w:spacing w:line="276" w:lineRule="auto"/>
        <w:jc w:val="both"/>
        <w:rPr>
          <w:b/>
          <w:bCs/>
        </w:rPr>
      </w:pPr>
      <w:r w:rsidRPr="00F2329F">
        <w:rPr>
          <w:b/>
          <w:bCs/>
        </w:rPr>
        <w:t>Iekļaujamā vērtība proporcijas aprēķina komponentē „darījumu vērtība bez nodokļa, kuri dod tiesības atskaitīt priekšnodokli”, ja darījumos ar lietotām mantām tiek piemērots īpašais pievienotās vērtības nodokļa piemērošanas režīms</w:t>
      </w:r>
    </w:p>
    <w:p w14:paraId="5800BF15" w14:textId="77777777" w:rsidR="00F2329F" w:rsidRPr="00F2329F" w:rsidRDefault="00F2329F" w:rsidP="00BE7E70">
      <w:pPr>
        <w:spacing w:line="276" w:lineRule="auto"/>
        <w:jc w:val="both"/>
      </w:pPr>
      <w:r w:rsidRPr="00F2329F">
        <w:t xml:space="preserve">Darījumos, kad tiek piemērots īpašais nodokļa piemērošanas režīms saskaņā ar Pievienotās vērtības nodokļa likuma 138.pantu, tirgotājam ir tiesības atskaitīt priekšnodoklī summu, kas ir ne lielāka par aprēķināto pievienotās vērtības nodokli, kas aprēķināts minētā likuma 138.panta desmitās daļas kārtībā. </w:t>
      </w:r>
    </w:p>
    <w:p w14:paraId="2FAF69E3" w14:textId="77777777" w:rsidR="00F2329F" w:rsidRPr="00F2329F" w:rsidRDefault="00F2329F" w:rsidP="00BE7E70">
      <w:pPr>
        <w:spacing w:line="276" w:lineRule="auto"/>
        <w:jc w:val="both"/>
      </w:pPr>
      <w:r w:rsidRPr="00F2329F">
        <w:t>Tātad, ja starp pārdošanas vērtību un iepirkuma vērtību pozitīva starpība neveidojas, bet tā ir nulle vai negatīva, citiem vārdiem sakot, nav radusies peļņas daļa, nerodas arī vērtība, kas ir apliekama ar pievienotās vērtības nodokli. Secīgi nevar arī rasties atskaitāms priekšnodoklis. Līdz ar to šādā gadījumā darījums nerada nodokļa maksātājam tiesības atskaitīt nodokli, jo darījuma rezultātā nav radīta pievienotā vērtība. Tādējādi, arī veicot proporcijas aprēķinu atskaitāmā priekšnodokļa daļas aprēķināšanai saskaņā ar Pievienotās vērtības nodokļa likuma 98.panta otro daļu, šāda darījuma vērtība (starpība starp pārdošanas vērtību un iepirkuma vērtību, no kuras ir atņemts nodoklis) nav iekļaujama proporcijas aprēķinā skaitītāja un saucēja komponentē „darījumu vērtība bez nodokļa, kuri dod tiesības atskaitīt priekšnodokli” atskaitāmās priekšnodokļa daļas noteikšanai.</w:t>
      </w:r>
    </w:p>
    <w:p w14:paraId="36FE6845" w14:textId="77777777" w:rsidR="00F2329F" w:rsidRDefault="00F2329F" w:rsidP="00BE7E70">
      <w:pPr>
        <w:spacing w:line="276" w:lineRule="auto"/>
        <w:jc w:val="both"/>
        <w:rPr>
          <w:b/>
          <w:bCs/>
        </w:rPr>
      </w:pPr>
    </w:p>
    <w:p w14:paraId="3F26F32F" w14:textId="544C2325" w:rsidR="00DD6C74" w:rsidRPr="00DD6C74" w:rsidRDefault="00DD6C74" w:rsidP="00BE7E70">
      <w:pPr>
        <w:spacing w:line="276" w:lineRule="auto"/>
        <w:jc w:val="both"/>
        <w:rPr>
          <w:b/>
          <w:bCs/>
        </w:rPr>
      </w:pPr>
      <w:r w:rsidRPr="00F2329F">
        <w:rPr>
          <w:b/>
          <w:bCs/>
        </w:rPr>
        <w:t>Nodokļu maksātāja apstrīdēšanas procesa ietvaros neizteikto iebildumu</w:t>
      </w:r>
      <w:r w:rsidRPr="00DD6C74">
        <w:rPr>
          <w:b/>
          <w:bCs/>
        </w:rPr>
        <w:t xml:space="preserve"> pārbaude</w:t>
      </w:r>
      <w:r w:rsidRPr="00F2329F">
        <w:rPr>
          <w:b/>
          <w:bCs/>
        </w:rPr>
        <w:t xml:space="preserve"> tiesā</w:t>
      </w:r>
    </w:p>
    <w:p w14:paraId="7A554432" w14:textId="77777777" w:rsidR="00F2329F" w:rsidRPr="00F2329F" w:rsidRDefault="00F2329F" w:rsidP="00BE7E70">
      <w:pPr>
        <w:spacing w:line="276" w:lineRule="auto"/>
        <w:jc w:val="both"/>
      </w:pPr>
      <w:r w:rsidRPr="00F2329F">
        <w:t xml:space="preserve">Ja nodokļu maksātājs apstrīdēšanas procesa ietvaros nav paudis nodokļu administrācijai savus iebildumus par konkrēto nodokļu revīziju kādā tās daļā un konkrētu summu aprēķinu, bet ar jauniem iebildumiem vēršas vien tiesā, uz minēto ir jālūkojas kā uz lietas iepriekšējās </w:t>
      </w:r>
      <w:proofErr w:type="spellStart"/>
      <w:r w:rsidRPr="00F2329F">
        <w:t>ārpustiesas</w:t>
      </w:r>
      <w:proofErr w:type="spellEnd"/>
      <w:r w:rsidRPr="00F2329F">
        <w:t xml:space="preserve"> izskatīšanas kārtības neievērošanu attiecībā uz konkrēto strīdus jautājumu.</w:t>
      </w:r>
    </w:p>
    <w:p w14:paraId="4DACF901" w14:textId="18F31558" w:rsidR="00BC2C9C" w:rsidRDefault="00F2329F" w:rsidP="00BE7E70">
      <w:pPr>
        <w:spacing w:line="276" w:lineRule="auto"/>
        <w:jc w:val="both"/>
      </w:pPr>
      <w:r w:rsidRPr="00F2329F">
        <w:t xml:space="preserve">Lietas iepriekšējās </w:t>
      </w:r>
      <w:proofErr w:type="spellStart"/>
      <w:r w:rsidRPr="00F2329F">
        <w:t>ārpustiesas</w:t>
      </w:r>
      <w:proofErr w:type="spellEnd"/>
      <w:r w:rsidRPr="00F2329F">
        <w:t xml:space="preserve"> izskatīšanas kārtības ievērošana kā priekšnoteikums pieteikuma izskatīšanai tiesā nav pašmērķīgs – tā ir vērsta uz to, lai zemāku iestāžu rīcība un lēmumi tiktu sākotnēji pārbaudīti pašas pārvaldes iekšienē un kļūdas, ja tādas ir, novērstas ātrāk un efektīvāk. </w:t>
      </w:r>
    </w:p>
    <w:p w14:paraId="463D4EF3" w14:textId="77777777" w:rsidR="00BE7E70" w:rsidRDefault="00BE7E70" w:rsidP="00BE7E70">
      <w:pPr>
        <w:spacing w:line="276" w:lineRule="auto"/>
        <w:jc w:val="both"/>
      </w:pPr>
    </w:p>
    <w:p w14:paraId="031E0064" w14:textId="77777777" w:rsidR="00F2329F" w:rsidRPr="00F2329F" w:rsidRDefault="00F2329F" w:rsidP="00BE7E70">
      <w:pPr>
        <w:spacing w:line="276" w:lineRule="auto"/>
        <w:jc w:val="both"/>
      </w:pPr>
    </w:p>
    <w:p w14:paraId="7FD98C94" w14:textId="5A43AE77" w:rsidR="00BC2C9C" w:rsidRDefault="00BC2C9C" w:rsidP="00BE7E70">
      <w:pPr>
        <w:spacing w:line="276" w:lineRule="auto"/>
        <w:jc w:val="center"/>
        <w:rPr>
          <w:b/>
          <w:lang w:eastAsia="ru-RU"/>
        </w:rPr>
      </w:pPr>
      <w:r w:rsidRPr="00D45AED">
        <w:rPr>
          <w:b/>
          <w:lang w:eastAsia="ru-RU"/>
        </w:rPr>
        <w:lastRenderedPageBreak/>
        <w:t>Latvijas Republikas Senāt</w:t>
      </w:r>
      <w:r w:rsidR="00F2329F">
        <w:rPr>
          <w:b/>
          <w:lang w:eastAsia="ru-RU"/>
        </w:rPr>
        <w:t>a</w:t>
      </w:r>
    </w:p>
    <w:p w14:paraId="2F778ACB" w14:textId="757D41F6" w:rsidR="00F2329F" w:rsidRPr="00D45AED" w:rsidRDefault="00F2329F" w:rsidP="00BE7E70">
      <w:pPr>
        <w:spacing w:line="276" w:lineRule="auto"/>
        <w:jc w:val="center"/>
        <w:rPr>
          <w:b/>
          <w:lang w:eastAsia="ru-RU"/>
        </w:rPr>
      </w:pPr>
      <w:r>
        <w:rPr>
          <w:b/>
          <w:lang w:eastAsia="ru-RU"/>
        </w:rPr>
        <w:t xml:space="preserve">Administratīvo lietu departamenta </w:t>
      </w:r>
      <w:r>
        <w:rPr>
          <w:b/>
          <w:lang w:eastAsia="ru-RU"/>
        </w:rPr>
        <w:br/>
        <w:t>2024.gada 5.jūnija</w:t>
      </w:r>
    </w:p>
    <w:p w14:paraId="57F2F536" w14:textId="77777777" w:rsidR="00BC2C9C" w:rsidRDefault="00BC2C9C" w:rsidP="00BE7E70">
      <w:pPr>
        <w:spacing w:line="276" w:lineRule="auto"/>
        <w:jc w:val="center"/>
        <w:rPr>
          <w:b/>
          <w:lang w:eastAsia="ru-RU"/>
        </w:rPr>
      </w:pPr>
      <w:r w:rsidRPr="00D45AED">
        <w:rPr>
          <w:b/>
          <w:lang w:eastAsia="ru-RU"/>
        </w:rPr>
        <w:t>SPRIEDUMS</w:t>
      </w:r>
    </w:p>
    <w:p w14:paraId="54EDE6A4" w14:textId="73EACD7A" w:rsidR="00F2329F" w:rsidRPr="00F2329F" w:rsidRDefault="00F2329F" w:rsidP="00BE7E70">
      <w:pPr>
        <w:spacing w:line="276" w:lineRule="auto"/>
        <w:jc w:val="center"/>
        <w:rPr>
          <w:b/>
          <w:bCs/>
        </w:rPr>
      </w:pPr>
      <w:r w:rsidRPr="00F2329F">
        <w:rPr>
          <w:b/>
          <w:bCs/>
        </w:rPr>
        <w:t>Lietā Nr. A420145418, SKA</w:t>
      </w:r>
      <w:bookmarkStart w:id="0" w:name="_Hlk129772518"/>
      <w:r w:rsidRPr="00F2329F">
        <w:rPr>
          <w:b/>
          <w:bCs/>
        </w:rPr>
        <w:noBreakHyphen/>
      </w:r>
      <w:bookmarkEnd w:id="0"/>
      <w:r w:rsidRPr="00F2329F">
        <w:rPr>
          <w:b/>
          <w:bCs/>
        </w:rPr>
        <w:t>103/2024</w:t>
      </w:r>
    </w:p>
    <w:p w14:paraId="2B040984" w14:textId="0E5E5276" w:rsidR="00F2329F" w:rsidRPr="00D45AED" w:rsidRDefault="00DD6C74" w:rsidP="00BE7E70">
      <w:pPr>
        <w:spacing w:line="276" w:lineRule="auto"/>
        <w:jc w:val="center"/>
        <w:rPr>
          <w:lang w:eastAsia="ru-RU"/>
        </w:rPr>
      </w:pPr>
      <w:hyperlink r:id="rId7" w:history="1">
        <w:r w:rsidR="00F2329F" w:rsidRPr="00F2329F">
          <w:rPr>
            <w:rStyle w:val="Hyperlink"/>
            <w:lang w:eastAsia="ru-RU"/>
          </w:rPr>
          <w:t>ECLI:LV:AT:2024:0605.A420145418.29.S</w:t>
        </w:r>
      </w:hyperlink>
      <w:r w:rsidR="00F2329F">
        <w:rPr>
          <w:lang w:eastAsia="ru-RU"/>
        </w:rPr>
        <w:t xml:space="preserve"> </w:t>
      </w:r>
    </w:p>
    <w:p w14:paraId="47E0A49F" w14:textId="77777777" w:rsidR="00BC2C9C" w:rsidRDefault="00BC2C9C" w:rsidP="00BE7E70">
      <w:pPr>
        <w:spacing w:line="276" w:lineRule="auto"/>
        <w:ind w:firstLine="720"/>
        <w:jc w:val="both"/>
      </w:pPr>
    </w:p>
    <w:p w14:paraId="10183910" w14:textId="560EC9B1" w:rsidR="00BC2C9C" w:rsidRDefault="00BC2C9C" w:rsidP="00BE7E70">
      <w:pPr>
        <w:spacing w:line="276" w:lineRule="auto"/>
        <w:ind w:firstLine="720"/>
        <w:jc w:val="both"/>
      </w:pPr>
      <w:r>
        <w:t xml:space="preserve">Senāts šādā sastāvā: senatore referente Rudīte Vīduša, </w:t>
      </w:r>
      <w:r w:rsidRPr="009650AC">
        <w:t>senatori Ermīns</w:t>
      </w:r>
      <w:r>
        <w:t> </w:t>
      </w:r>
      <w:r w:rsidRPr="009650AC">
        <w:t>Darapoļskis un Anita Kovaļevska</w:t>
      </w:r>
    </w:p>
    <w:p w14:paraId="0C51D15D" w14:textId="77777777" w:rsidR="00BC2C9C" w:rsidRDefault="00BC2C9C" w:rsidP="00BE7E70">
      <w:pPr>
        <w:tabs>
          <w:tab w:val="left" w:pos="2700"/>
        </w:tabs>
        <w:spacing w:line="276" w:lineRule="auto"/>
        <w:ind w:firstLine="720"/>
        <w:jc w:val="both"/>
      </w:pPr>
    </w:p>
    <w:p w14:paraId="39D99941" w14:textId="6F59A9B2" w:rsidR="00BC2C9C" w:rsidRDefault="00BC2C9C" w:rsidP="00BE7E70">
      <w:pPr>
        <w:autoSpaceDE w:val="0"/>
        <w:autoSpaceDN w:val="0"/>
        <w:adjustRightInd w:val="0"/>
        <w:spacing w:line="276" w:lineRule="auto"/>
        <w:ind w:firstLine="720"/>
        <w:jc w:val="both"/>
      </w:pPr>
      <w:r>
        <w:rPr>
          <w:lang w:eastAsia="en-US"/>
        </w:rPr>
        <w:t xml:space="preserve">rakstveida procesā izskatīja administratīvo lietu, </w:t>
      </w:r>
      <w:r>
        <w:t xml:space="preserve">kas ierosināta, pamatojoties uz </w:t>
      </w:r>
      <w:r w:rsidR="00287E4C">
        <w:rPr>
          <w:color w:val="000000"/>
          <w:shd w:val="clear" w:color="auto" w:fill="FFFFFF"/>
        </w:rPr>
        <w:t>AS</w:t>
      </w:r>
      <w:r>
        <w:rPr>
          <w:color w:val="000000"/>
          <w:shd w:val="clear" w:color="auto" w:fill="FFFFFF"/>
        </w:rPr>
        <w:t> </w:t>
      </w:r>
      <w:r w:rsidR="00BC5387">
        <w:rPr>
          <w:color w:val="000000"/>
          <w:shd w:val="clear" w:color="auto" w:fill="FFFFFF"/>
        </w:rPr>
        <w:t>„</w:t>
      </w:r>
      <w:r w:rsidR="00287E4C">
        <w:rPr>
          <w:color w:val="000000"/>
          <w:shd w:val="clear" w:color="auto" w:fill="FFFFFF"/>
        </w:rPr>
        <w:t>mogo</w:t>
      </w:r>
      <w:r>
        <w:rPr>
          <w:color w:val="000000"/>
          <w:shd w:val="clear" w:color="auto" w:fill="FFFFFF"/>
        </w:rPr>
        <w:t>”</w:t>
      </w:r>
      <w:r>
        <w:t xml:space="preserve"> pieteikumu par Valsts ieņēmumu dienesta 20</w:t>
      </w:r>
      <w:r w:rsidR="00287E4C">
        <w:t>17</w:t>
      </w:r>
      <w:r>
        <w:t xml:space="preserve">.gada </w:t>
      </w:r>
      <w:r w:rsidR="00287E4C">
        <w:t>11</w:t>
      </w:r>
      <w:r>
        <w:t>.</w:t>
      </w:r>
      <w:r w:rsidR="00287E4C">
        <w:t>decemb</w:t>
      </w:r>
      <w:r>
        <w:t>ra lēmuma Nr. 30.</w:t>
      </w:r>
      <w:r w:rsidR="00287E4C">
        <w:t>2</w:t>
      </w:r>
      <w:r>
        <w:t>-22.13/</w:t>
      </w:r>
      <w:r w:rsidR="00287E4C">
        <w:t>6364 un 2018.gada 4.janvāra lēmuma Nr.</w:t>
      </w:r>
      <w:r w:rsidR="002E78BF">
        <w:t> </w:t>
      </w:r>
      <w:r w:rsidR="00287E4C">
        <w:t>30.2-22.13/39</w:t>
      </w:r>
      <w:r>
        <w:t xml:space="preserve"> atcelšanu</w:t>
      </w:r>
      <w:r>
        <w:rPr>
          <w:lang w:eastAsia="en-US"/>
        </w:rPr>
        <w:t xml:space="preserve">, sakarā ar </w:t>
      </w:r>
      <w:r w:rsidR="00287E4C">
        <w:rPr>
          <w:color w:val="000000"/>
          <w:shd w:val="clear" w:color="auto" w:fill="FFFFFF"/>
        </w:rPr>
        <w:t>AS</w:t>
      </w:r>
      <w:r>
        <w:rPr>
          <w:color w:val="000000"/>
          <w:shd w:val="clear" w:color="auto" w:fill="FFFFFF"/>
        </w:rPr>
        <w:t> </w:t>
      </w:r>
      <w:r w:rsidR="00BC5387">
        <w:rPr>
          <w:color w:val="000000"/>
          <w:shd w:val="clear" w:color="auto" w:fill="FFFFFF"/>
        </w:rPr>
        <w:t>„</w:t>
      </w:r>
      <w:r w:rsidR="00287E4C">
        <w:rPr>
          <w:color w:val="000000"/>
          <w:shd w:val="clear" w:color="auto" w:fill="FFFFFF"/>
        </w:rPr>
        <w:t>mogo</w:t>
      </w:r>
      <w:r>
        <w:rPr>
          <w:color w:val="000000"/>
          <w:shd w:val="clear" w:color="auto" w:fill="FFFFFF"/>
        </w:rPr>
        <w:t>”</w:t>
      </w:r>
      <w:r>
        <w:t xml:space="preserve"> kasācijas sūdzību par Administratīvās apgabaltiesas 20</w:t>
      </w:r>
      <w:r w:rsidR="00287E4C">
        <w:t>22</w:t>
      </w:r>
      <w:r>
        <w:t xml:space="preserve">.gada </w:t>
      </w:r>
      <w:r w:rsidR="00287E4C">
        <w:t>3</w:t>
      </w:r>
      <w:r>
        <w:t>.j</w:t>
      </w:r>
      <w:r w:rsidR="00287E4C">
        <w:t>ūnija</w:t>
      </w:r>
      <w:r>
        <w:t xml:space="preserve"> spriedumu.</w:t>
      </w:r>
    </w:p>
    <w:p w14:paraId="6BD91C7D" w14:textId="77777777" w:rsidR="00BC2C9C" w:rsidRDefault="00BC2C9C" w:rsidP="00BE7E70">
      <w:pPr>
        <w:autoSpaceDE w:val="0"/>
        <w:autoSpaceDN w:val="0"/>
        <w:adjustRightInd w:val="0"/>
        <w:spacing w:line="276" w:lineRule="auto"/>
        <w:ind w:firstLine="720"/>
        <w:jc w:val="both"/>
      </w:pPr>
    </w:p>
    <w:p w14:paraId="0326EB5D" w14:textId="77777777" w:rsidR="00BC2C9C" w:rsidRDefault="00BC2C9C" w:rsidP="00BE7E70">
      <w:pPr>
        <w:spacing w:line="276" w:lineRule="auto"/>
        <w:jc w:val="center"/>
        <w:rPr>
          <w:b/>
        </w:rPr>
      </w:pPr>
      <w:r w:rsidRPr="0083065B">
        <w:rPr>
          <w:b/>
        </w:rPr>
        <w:t>Aprakstošā daļa</w:t>
      </w:r>
    </w:p>
    <w:p w14:paraId="071FFD52" w14:textId="77777777" w:rsidR="00BC2C9C" w:rsidRPr="00A207A0" w:rsidRDefault="00BC2C9C" w:rsidP="00BE7E70">
      <w:pPr>
        <w:spacing w:line="276" w:lineRule="auto"/>
        <w:ind w:firstLine="720"/>
        <w:jc w:val="center"/>
        <w:rPr>
          <w:bCs/>
        </w:rPr>
      </w:pPr>
    </w:p>
    <w:p w14:paraId="7145DE8C" w14:textId="201295D7" w:rsidR="00BC2C9C" w:rsidRPr="00A207A0" w:rsidRDefault="00BC2C9C" w:rsidP="00BE7E70">
      <w:pPr>
        <w:widowControl w:val="0"/>
        <w:spacing w:line="276" w:lineRule="auto"/>
        <w:ind w:firstLine="720"/>
        <w:jc w:val="both"/>
        <w:rPr>
          <w:i/>
          <w:iCs/>
        </w:rPr>
      </w:pPr>
      <w:r w:rsidRPr="00A207A0">
        <w:rPr>
          <w:i/>
          <w:iCs/>
        </w:rPr>
        <w:t>Lietas apstākļi</w:t>
      </w:r>
    </w:p>
    <w:p w14:paraId="5EE88DB8" w14:textId="5C64E3C4" w:rsidR="00AD0C3B" w:rsidRDefault="00BC2C9C" w:rsidP="00BE7E70">
      <w:pPr>
        <w:spacing w:line="276" w:lineRule="auto"/>
        <w:ind w:firstLine="720"/>
        <w:jc w:val="both"/>
      </w:pPr>
      <w:r w:rsidRPr="0083065B">
        <w:t>[1]</w:t>
      </w:r>
      <w:r>
        <w:t xml:space="preserve"> </w:t>
      </w:r>
      <w:r w:rsidRPr="0083065B">
        <w:t>Valsts ieņēmumu dienest</w:t>
      </w:r>
      <w:r w:rsidR="00B5649F">
        <w:t xml:space="preserve">a Nodokļu kontroles pārvalde veica pieteicējas </w:t>
      </w:r>
      <w:r w:rsidR="00AD0C3B">
        <w:t>AS </w:t>
      </w:r>
      <w:r w:rsidR="00BC5387">
        <w:rPr>
          <w:color w:val="000000"/>
          <w:shd w:val="clear" w:color="auto" w:fill="FFFFFF"/>
        </w:rPr>
        <w:t>„</w:t>
      </w:r>
      <w:r w:rsidR="00AD0C3B">
        <w:rPr>
          <w:color w:val="000000"/>
          <w:shd w:val="clear" w:color="auto" w:fill="FFFFFF"/>
        </w:rPr>
        <w:t xml:space="preserve">mogo” </w:t>
      </w:r>
      <w:r w:rsidR="00AD0C3B">
        <w:t>pievienotās vērtības nodokļa</w:t>
      </w:r>
      <w:r w:rsidR="00B5649F">
        <w:t xml:space="preserve"> auditu</w:t>
      </w:r>
      <w:r w:rsidR="00AD0C3B">
        <w:t>s</w:t>
      </w:r>
      <w:r w:rsidR="00B5649F">
        <w:t xml:space="preserve"> par laika posmu no 2014.gada janvāra līdz 2015.gada</w:t>
      </w:r>
      <w:r w:rsidR="00AD0C3B">
        <w:t> </w:t>
      </w:r>
      <w:r w:rsidR="00B5649F">
        <w:t>decembrim</w:t>
      </w:r>
      <w:r w:rsidR="002E78BF">
        <w:t xml:space="preserve"> un</w:t>
      </w:r>
      <w:r w:rsidR="00B5649F">
        <w:t xml:space="preserve"> par 2016.gad</w:t>
      </w:r>
      <w:r w:rsidR="002E78BF">
        <w:t>u</w:t>
      </w:r>
      <w:r w:rsidR="00AD0C3B">
        <w:t>.</w:t>
      </w:r>
    </w:p>
    <w:p w14:paraId="6FEAA4A8" w14:textId="48D58D44" w:rsidR="00D443FA" w:rsidRDefault="00E53C7E" w:rsidP="00BE7E70">
      <w:pPr>
        <w:spacing w:line="276" w:lineRule="auto"/>
        <w:ind w:firstLine="720"/>
        <w:jc w:val="both"/>
      </w:pPr>
      <w:r>
        <w:t>Audit</w:t>
      </w:r>
      <w:r w:rsidR="00D443FA">
        <w:t>os</w:t>
      </w:r>
      <w:r>
        <w:t xml:space="preserve"> secināts, ka pieteicēja, sniedzot klientiem nomas pirkuma pakalpojumus (līzingu) lietotu transportlīdzekļu iegādei, </w:t>
      </w:r>
      <w:r w:rsidR="00D443FA">
        <w:t>proporcijas aprēķinā priekšnodokļa atskaitāmās daļas noteikšanai nepamatoti iekļāvusi</w:t>
      </w:r>
      <w:r>
        <w:t xml:space="preserve"> </w:t>
      </w:r>
      <w:r w:rsidR="00D443FA">
        <w:t xml:space="preserve">to </w:t>
      </w:r>
      <w:r>
        <w:t xml:space="preserve">darījumu vērtības summu, </w:t>
      </w:r>
      <w:r w:rsidR="002E78BF">
        <w:t>uz kur attiecas</w:t>
      </w:r>
      <w:r>
        <w:t xml:space="preserve"> Pievienotās vērtības nodokļa likuma 138.pantā noteiktā īpašā pievienotās vērtības nodokļa piemērošanas kārtīb</w:t>
      </w:r>
      <w:r w:rsidR="000829DE">
        <w:t>a</w:t>
      </w:r>
      <w:r w:rsidR="00D443FA">
        <w:t>, neskatoties uz to, ka</w:t>
      </w:r>
      <w:r>
        <w:t xml:space="preserve"> starpība starp pirkšanas un pārdošanas vērtību ir nulle vai negatīvs skaitlis. </w:t>
      </w:r>
    </w:p>
    <w:p w14:paraId="2F50E1E8" w14:textId="199428FB" w:rsidR="00ED7610" w:rsidRDefault="002D1013" w:rsidP="00BE7E70">
      <w:pPr>
        <w:spacing w:line="276" w:lineRule="auto"/>
        <w:ind w:firstLine="720"/>
        <w:jc w:val="both"/>
        <w:rPr>
          <w:i/>
          <w:iCs/>
        </w:rPr>
      </w:pPr>
      <w:r>
        <w:t xml:space="preserve">Tā rezultātā </w:t>
      </w:r>
      <w:r w:rsidR="00AD0C3B">
        <w:t>ar pārvaldes 2017.gada 10.jūlija lēmumu Nr.</w:t>
      </w:r>
      <w:r w:rsidR="000829DE">
        <w:t> </w:t>
      </w:r>
      <w:r w:rsidR="00AD0C3B">
        <w:t>30.2-23.9/29307 (ar 2017.gada 6.decembra lēmuma Nr.</w:t>
      </w:r>
      <w:r w:rsidR="000829DE">
        <w:t> </w:t>
      </w:r>
      <w:r w:rsidR="00AD0C3B">
        <w:t>30.2-23.9/46802 labojumiem) un 2017.gada 5.septembra lēmumu Nr.</w:t>
      </w:r>
      <w:r w:rsidR="000829DE">
        <w:t> </w:t>
      </w:r>
      <w:r w:rsidR="00AD0C3B">
        <w:t xml:space="preserve">30.2-23.9/35193 pieteicējai citstarp aprēķināts pievienotās vērtības nodoklis, nokavējuma nauda un soda nauda, samazināts no budžeta atmaksājamais pievienotās vērtības nodoklis un saistībā ar to aprēķināta soda nauda, </w:t>
      </w:r>
      <w:r w:rsidR="009900C8">
        <w:t>kā arī</w:t>
      </w:r>
      <w:r w:rsidR="00AD0C3B">
        <w:t xml:space="preserve"> at</w:t>
      </w:r>
      <w:r w:rsidR="009900C8">
        <w:t>teikts</w:t>
      </w:r>
      <w:r w:rsidR="00AD0C3B">
        <w:t xml:space="preserve"> </w:t>
      </w:r>
      <w:r>
        <w:t>apstiprināt</w:t>
      </w:r>
      <w:r w:rsidR="00AD0C3B">
        <w:t xml:space="preserve"> pārmaksāt</w:t>
      </w:r>
      <w:r>
        <w:t>o</w:t>
      </w:r>
      <w:r w:rsidR="00AD0C3B">
        <w:t xml:space="preserve"> </w:t>
      </w:r>
      <w:r w:rsidR="009900C8">
        <w:t>pievienotās vērtības nodokli</w:t>
      </w:r>
      <w:r w:rsidR="00AD0C3B">
        <w:t xml:space="preserve"> par </w:t>
      </w:r>
      <w:r w:rsidR="009900C8">
        <w:t>2014.gadu</w:t>
      </w:r>
      <w:r>
        <w:t>,</w:t>
      </w:r>
      <w:r w:rsidR="009900C8">
        <w:t> 2015.gadu un 2016.gada martu</w:t>
      </w:r>
      <w:r w:rsidR="00ED7610">
        <w:t>–decembri</w:t>
      </w:r>
      <w:r w:rsidR="009900C8">
        <w:rPr>
          <w:i/>
          <w:iCs/>
        </w:rPr>
        <w:t>.</w:t>
      </w:r>
    </w:p>
    <w:p w14:paraId="368CB572" w14:textId="28FAB662" w:rsidR="009900C8" w:rsidRPr="009900C8" w:rsidRDefault="009900C8" w:rsidP="00BE7E70">
      <w:pPr>
        <w:spacing w:line="276" w:lineRule="auto"/>
        <w:ind w:firstLine="720"/>
        <w:jc w:val="both"/>
      </w:pPr>
      <w:r>
        <w:t>Pieteicēja</w:t>
      </w:r>
      <w:r w:rsidR="005463F0">
        <w:t xml:space="preserve"> pārvaldes lēmum</w:t>
      </w:r>
      <w:r w:rsidR="00D443FA">
        <w:t>u</w:t>
      </w:r>
      <w:r w:rsidR="005463F0">
        <w:t xml:space="preserve">s tai nelabvēlīgajās daļās apstrīdēja. </w:t>
      </w:r>
    </w:p>
    <w:p w14:paraId="771F6761" w14:textId="439937A1" w:rsidR="00E44A99" w:rsidRDefault="00E44A99" w:rsidP="00BE7E70">
      <w:pPr>
        <w:spacing w:line="276" w:lineRule="auto"/>
        <w:ind w:firstLine="720"/>
        <w:jc w:val="both"/>
      </w:pPr>
      <w:bookmarkStart w:id="1" w:name="_Hlk164168032"/>
      <w:r>
        <w:t xml:space="preserve">Ar </w:t>
      </w:r>
      <w:r w:rsidR="000829DE">
        <w:t xml:space="preserve">Valsts ieņēmumu </w:t>
      </w:r>
      <w:r>
        <w:t>dienesta 2017.gada 11.decembra lēmumu Nr.</w:t>
      </w:r>
      <w:r w:rsidR="000829DE">
        <w:t> </w:t>
      </w:r>
      <w:r>
        <w:t>30.2-22.13/6364 un 2018.gada 4.janvāra lēmumu Nr.</w:t>
      </w:r>
      <w:r w:rsidR="002E78BF">
        <w:t> </w:t>
      </w:r>
      <w:r>
        <w:t xml:space="preserve">30.2-22.13/39 apstrīdētie </w:t>
      </w:r>
      <w:r w:rsidRPr="0069499E">
        <w:t>lēmumi atstāti negrozīti</w:t>
      </w:r>
      <w:r>
        <w:t>.</w:t>
      </w:r>
      <w:r w:rsidRPr="0069499E">
        <w:t xml:space="preserve"> </w:t>
      </w:r>
    </w:p>
    <w:p w14:paraId="0ACDE05D" w14:textId="77777777" w:rsidR="00E44A99" w:rsidRDefault="00E44A99" w:rsidP="00BE7E70">
      <w:pPr>
        <w:spacing w:line="276" w:lineRule="auto"/>
        <w:ind w:firstLine="720"/>
        <w:jc w:val="both"/>
      </w:pPr>
      <w:r>
        <w:t xml:space="preserve">Pieteicēja dienesta galīgos lēmumus pārsūdzēja tiesā. </w:t>
      </w:r>
    </w:p>
    <w:bookmarkEnd w:id="1"/>
    <w:p w14:paraId="5CA9545C" w14:textId="77777777" w:rsidR="00BC2C9C" w:rsidRDefault="00BC2C9C" w:rsidP="00BE7E70">
      <w:pPr>
        <w:spacing w:line="276" w:lineRule="auto"/>
        <w:ind w:firstLine="720"/>
        <w:jc w:val="both"/>
      </w:pPr>
    </w:p>
    <w:p w14:paraId="671626BC" w14:textId="67F7F1BB" w:rsidR="00BC2C9C" w:rsidRPr="00A207A0" w:rsidRDefault="00BC2C9C" w:rsidP="00BE7E70">
      <w:pPr>
        <w:widowControl w:val="0"/>
        <w:spacing w:line="276" w:lineRule="auto"/>
        <w:ind w:firstLine="720"/>
        <w:jc w:val="both"/>
        <w:rPr>
          <w:i/>
          <w:iCs/>
        </w:rPr>
      </w:pPr>
      <w:r w:rsidRPr="00A207A0">
        <w:rPr>
          <w:i/>
          <w:iCs/>
        </w:rPr>
        <w:t>Apelācijas instances tiesas spriedums</w:t>
      </w:r>
    </w:p>
    <w:p w14:paraId="7408796F" w14:textId="086F4334" w:rsidR="005C33E3" w:rsidRPr="005940FC" w:rsidRDefault="00BC2C9C" w:rsidP="00BE7E70">
      <w:pPr>
        <w:autoSpaceDE w:val="0"/>
        <w:autoSpaceDN w:val="0"/>
        <w:adjustRightInd w:val="0"/>
        <w:spacing w:line="276" w:lineRule="auto"/>
        <w:ind w:firstLine="720"/>
        <w:jc w:val="both"/>
        <w:rPr>
          <w:rFonts w:asciiTheme="majorBidi" w:hAnsiTheme="majorBidi" w:cstheme="majorBidi"/>
        </w:rPr>
      </w:pPr>
      <w:r w:rsidRPr="0083065B">
        <w:t>[</w:t>
      </w:r>
      <w:r w:rsidR="00E44A99">
        <w:t>2</w:t>
      </w:r>
      <w:r w:rsidRPr="0083065B">
        <w:t>]</w:t>
      </w:r>
      <w:r>
        <w:t xml:space="preserve"> </w:t>
      </w:r>
      <w:r w:rsidRPr="005940FC">
        <w:rPr>
          <w:rFonts w:asciiTheme="majorBidi" w:hAnsiTheme="majorBidi" w:cstheme="majorBidi"/>
        </w:rPr>
        <w:t>Ar Administratīvās apgabaltiesas 202</w:t>
      </w:r>
      <w:r w:rsidR="00417E12" w:rsidRPr="005940FC">
        <w:rPr>
          <w:rFonts w:asciiTheme="majorBidi" w:hAnsiTheme="majorBidi" w:cstheme="majorBidi"/>
        </w:rPr>
        <w:t>2</w:t>
      </w:r>
      <w:r w:rsidRPr="005940FC">
        <w:rPr>
          <w:rFonts w:asciiTheme="majorBidi" w:hAnsiTheme="majorBidi" w:cstheme="majorBidi"/>
        </w:rPr>
        <w:t xml:space="preserve">.gada </w:t>
      </w:r>
      <w:r w:rsidR="00417E12" w:rsidRPr="005940FC">
        <w:rPr>
          <w:rFonts w:asciiTheme="majorBidi" w:hAnsiTheme="majorBidi" w:cstheme="majorBidi"/>
        </w:rPr>
        <w:t>3</w:t>
      </w:r>
      <w:r w:rsidRPr="005940FC">
        <w:rPr>
          <w:rFonts w:asciiTheme="majorBidi" w:hAnsiTheme="majorBidi" w:cstheme="majorBidi"/>
        </w:rPr>
        <w:t>.</w:t>
      </w:r>
      <w:r w:rsidR="00417E12" w:rsidRPr="005940FC">
        <w:rPr>
          <w:rFonts w:asciiTheme="majorBidi" w:hAnsiTheme="majorBidi" w:cstheme="majorBidi"/>
        </w:rPr>
        <w:t>jūnija</w:t>
      </w:r>
      <w:r w:rsidRPr="005940FC">
        <w:rPr>
          <w:rFonts w:asciiTheme="majorBidi" w:hAnsiTheme="majorBidi" w:cstheme="majorBidi"/>
        </w:rPr>
        <w:t xml:space="preserve"> spriedumu pieteicējas pieteikums noraidīts. Apgabaltiesa pievienojās </w:t>
      </w:r>
      <w:r w:rsidRPr="005940FC">
        <w:rPr>
          <w:rFonts w:asciiTheme="majorBidi" w:hAnsiTheme="majorBidi" w:cstheme="majorBidi"/>
          <w:lang w:eastAsia="en-US"/>
        </w:rPr>
        <w:t>pirmās instances</w:t>
      </w:r>
      <w:r w:rsidRPr="005940FC">
        <w:rPr>
          <w:rFonts w:asciiTheme="majorBidi" w:hAnsiTheme="majorBidi" w:cstheme="majorBidi"/>
        </w:rPr>
        <w:t xml:space="preserve"> tiesas sprieduma motivācijai</w:t>
      </w:r>
      <w:r w:rsidR="005940FC">
        <w:rPr>
          <w:rFonts w:asciiTheme="majorBidi" w:hAnsiTheme="majorBidi" w:cstheme="majorBidi"/>
        </w:rPr>
        <w:t xml:space="preserve"> un secinātajam,</w:t>
      </w:r>
      <w:r w:rsidR="005C33E3" w:rsidRPr="005940FC">
        <w:rPr>
          <w:rFonts w:asciiTheme="majorBidi" w:hAnsiTheme="majorBidi" w:cstheme="majorBidi"/>
        </w:rPr>
        <w:t xml:space="preserve"> ka </w:t>
      </w:r>
      <w:r w:rsidR="000829DE">
        <w:rPr>
          <w:rFonts w:asciiTheme="majorBidi" w:hAnsiTheme="majorBidi" w:cstheme="majorBidi"/>
        </w:rPr>
        <w:t xml:space="preserve">Valsts ieņēmumu </w:t>
      </w:r>
      <w:r w:rsidR="005940FC" w:rsidRPr="005940FC">
        <w:rPr>
          <w:rFonts w:asciiTheme="majorBidi" w:hAnsiTheme="majorBidi" w:cstheme="majorBidi"/>
        </w:rPr>
        <w:t>dienests ir pamatoti noteicis priekšnodokļa</w:t>
      </w:r>
      <w:r w:rsidR="005940FC">
        <w:rPr>
          <w:rFonts w:asciiTheme="majorBidi" w:hAnsiTheme="majorBidi" w:cstheme="majorBidi"/>
        </w:rPr>
        <w:t xml:space="preserve"> </w:t>
      </w:r>
      <w:r w:rsidR="005940FC" w:rsidRPr="005940FC">
        <w:rPr>
          <w:rFonts w:asciiTheme="majorBidi" w:hAnsiTheme="majorBidi" w:cstheme="majorBidi"/>
        </w:rPr>
        <w:t>atskaitāmās daļas noteikšanai aprēķināmajā proporcijā izmantojamos vienumus</w:t>
      </w:r>
      <w:r w:rsidR="005940FC">
        <w:rPr>
          <w:rFonts w:asciiTheme="majorBidi" w:hAnsiTheme="majorBidi" w:cstheme="majorBidi"/>
        </w:rPr>
        <w:t xml:space="preserve"> un </w:t>
      </w:r>
      <w:r w:rsidR="005940FC" w:rsidRPr="005940FC">
        <w:rPr>
          <w:rFonts w:asciiTheme="majorBidi" w:hAnsiTheme="majorBidi" w:cstheme="majorBidi"/>
        </w:rPr>
        <w:t>ka dienesta priekšnodokļa aprēķinā ievērots pieteicējas</w:t>
      </w:r>
      <w:r w:rsidR="005940FC">
        <w:rPr>
          <w:rFonts w:asciiTheme="majorBidi" w:hAnsiTheme="majorBidi" w:cstheme="majorBidi"/>
        </w:rPr>
        <w:t xml:space="preserve"> </w:t>
      </w:r>
      <w:r w:rsidR="005940FC" w:rsidRPr="005940FC">
        <w:rPr>
          <w:rFonts w:asciiTheme="majorBidi" w:hAnsiTheme="majorBidi" w:cstheme="majorBidi"/>
        </w:rPr>
        <w:t xml:space="preserve">metodikā un </w:t>
      </w:r>
      <w:r w:rsidR="005940FC" w:rsidRPr="005940FC">
        <w:rPr>
          <w:rFonts w:asciiTheme="majorBidi" w:hAnsiTheme="majorBidi" w:cstheme="majorBidi"/>
        </w:rPr>
        <w:lastRenderedPageBreak/>
        <w:t>pieteicējas kontu plānā noteiktais. Darījumi, kuriem piemērots īpašais</w:t>
      </w:r>
      <w:r w:rsidR="005940FC">
        <w:rPr>
          <w:rFonts w:asciiTheme="majorBidi" w:hAnsiTheme="majorBidi" w:cstheme="majorBidi"/>
        </w:rPr>
        <w:t xml:space="preserve"> pievienotās vērtības nodokļa</w:t>
      </w:r>
      <w:r w:rsidR="005940FC" w:rsidRPr="005940FC">
        <w:rPr>
          <w:rFonts w:asciiTheme="majorBidi" w:hAnsiTheme="majorBidi" w:cstheme="majorBidi"/>
        </w:rPr>
        <w:t xml:space="preserve"> piemērošanas režīms darījumos ar lietotām mantām un kuros ar </w:t>
      </w:r>
      <w:r w:rsidR="005940FC">
        <w:rPr>
          <w:rFonts w:asciiTheme="majorBidi" w:hAnsiTheme="majorBidi" w:cstheme="majorBidi"/>
        </w:rPr>
        <w:t xml:space="preserve">pievienotās vērtības nodokli </w:t>
      </w:r>
      <w:r w:rsidR="005940FC" w:rsidRPr="005940FC">
        <w:rPr>
          <w:rFonts w:asciiTheme="majorBidi" w:hAnsiTheme="majorBidi" w:cstheme="majorBidi"/>
        </w:rPr>
        <w:t>aprēķinātajos darījumos starpība starp pirkšanas un pārdošanas vērtību ir nulle vai</w:t>
      </w:r>
      <w:r w:rsidR="005940FC">
        <w:rPr>
          <w:rFonts w:asciiTheme="majorBidi" w:hAnsiTheme="majorBidi" w:cstheme="majorBidi"/>
        </w:rPr>
        <w:t xml:space="preserve"> </w:t>
      </w:r>
      <w:r w:rsidR="005940FC" w:rsidRPr="005940FC">
        <w:rPr>
          <w:rFonts w:asciiTheme="majorBidi" w:hAnsiTheme="majorBidi" w:cstheme="majorBidi"/>
        </w:rPr>
        <w:t>negatīvs skaitlis, nedod pieteicējai tiesības atskaitīt priekšnodokli, tāpēc šādu</w:t>
      </w:r>
      <w:r w:rsidR="005940FC">
        <w:rPr>
          <w:rFonts w:asciiTheme="majorBidi" w:hAnsiTheme="majorBidi" w:cstheme="majorBidi"/>
        </w:rPr>
        <w:t xml:space="preserve"> </w:t>
      </w:r>
      <w:r w:rsidR="005940FC" w:rsidRPr="005940FC">
        <w:rPr>
          <w:rFonts w:asciiTheme="majorBidi" w:hAnsiTheme="majorBidi" w:cstheme="majorBidi"/>
        </w:rPr>
        <w:t xml:space="preserve">darījumu vērtība proporcijas skaitītājā un saucējā pie </w:t>
      </w:r>
      <w:r w:rsidR="00D443FA">
        <w:rPr>
          <w:rFonts w:asciiTheme="majorBidi" w:hAnsiTheme="majorBidi" w:cstheme="majorBidi"/>
        </w:rPr>
        <w:t>„</w:t>
      </w:r>
      <w:r w:rsidR="005940FC" w:rsidRPr="000829DE">
        <w:rPr>
          <w:rFonts w:asciiTheme="majorBidi" w:hAnsiTheme="majorBidi" w:cstheme="majorBidi"/>
        </w:rPr>
        <w:t>taksācijas periodā veikto darījumu vērtības bez nodokļa, kuri dod tiesības atskaitīt priekšnodokli”</w:t>
      </w:r>
      <w:r w:rsidR="005940FC" w:rsidRPr="005940FC">
        <w:rPr>
          <w:rFonts w:asciiTheme="majorBidi" w:hAnsiTheme="majorBidi" w:cstheme="majorBidi"/>
        </w:rPr>
        <w:t xml:space="preserve"> nav</w:t>
      </w:r>
      <w:r w:rsidR="005940FC">
        <w:rPr>
          <w:rFonts w:asciiTheme="majorBidi" w:hAnsiTheme="majorBidi" w:cstheme="majorBidi"/>
        </w:rPr>
        <w:t xml:space="preserve"> </w:t>
      </w:r>
      <w:r w:rsidR="005940FC" w:rsidRPr="005940FC">
        <w:rPr>
          <w:rFonts w:asciiTheme="majorBidi" w:eastAsiaTheme="minorHAnsi" w:hAnsiTheme="majorBidi" w:cstheme="majorBidi"/>
          <w:lang w:eastAsia="en-US"/>
          <w14:ligatures w14:val="standardContextual"/>
        </w:rPr>
        <w:t>ietverama.</w:t>
      </w:r>
    </w:p>
    <w:p w14:paraId="57D8E7EA" w14:textId="283D2260" w:rsidR="00BC2C9C" w:rsidRDefault="005940FC" w:rsidP="00BE7E70">
      <w:pPr>
        <w:spacing w:line="276" w:lineRule="auto"/>
        <w:ind w:firstLine="720"/>
        <w:jc w:val="both"/>
      </w:pPr>
      <w:r>
        <w:t>Papildus apgabaltiesa, atbildot uz apelācijas sūdzībā norādītajiem pieteicējas argumentiem,</w:t>
      </w:r>
      <w:r w:rsidR="00BC2C9C" w:rsidRPr="00521FE1">
        <w:t xml:space="preserve"> norādīj</w:t>
      </w:r>
      <w:r>
        <w:t>usi</w:t>
      </w:r>
      <w:r w:rsidR="00BC2C9C" w:rsidRPr="00521FE1">
        <w:t xml:space="preserve"> turpmāk minēto</w:t>
      </w:r>
      <w:r w:rsidR="00BC2C9C">
        <w:t>.</w:t>
      </w:r>
    </w:p>
    <w:p w14:paraId="61BDC02B" w14:textId="6CC3D7F4" w:rsidR="00E44A99" w:rsidRPr="00417E12" w:rsidRDefault="00E44A99" w:rsidP="00BE7E70">
      <w:pPr>
        <w:spacing w:line="276" w:lineRule="auto"/>
        <w:ind w:firstLine="720"/>
        <w:jc w:val="both"/>
        <w:rPr>
          <w:rFonts w:asciiTheme="majorBidi" w:eastAsiaTheme="minorHAnsi" w:hAnsiTheme="majorBidi" w:cstheme="majorBidi"/>
          <w:lang w:eastAsia="en-US"/>
          <w14:ligatures w14:val="standardContextual"/>
        </w:rPr>
      </w:pPr>
      <w:r w:rsidRPr="0083065B">
        <w:rPr>
          <w:lang w:eastAsia="en-US"/>
        </w:rPr>
        <w:t>[</w:t>
      </w:r>
      <w:r>
        <w:rPr>
          <w:lang w:eastAsia="en-US"/>
        </w:rPr>
        <w:t>2.1</w:t>
      </w:r>
      <w:r w:rsidRPr="0083065B">
        <w:rPr>
          <w:lang w:eastAsia="en-US"/>
        </w:rPr>
        <w:t>]</w:t>
      </w:r>
      <w:r>
        <w:rPr>
          <w:lang w:eastAsia="en-US"/>
        </w:rPr>
        <w:t xml:space="preserve"> </w:t>
      </w:r>
      <w:r>
        <w:rPr>
          <w:rFonts w:asciiTheme="majorBidi" w:eastAsiaTheme="minorHAnsi" w:hAnsiTheme="majorBidi" w:cstheme="majorBidi"/>
          <w:lang w:eastAsia="en-US"/>
          <w14:ligatures w14:val="standardContextual"/>
        </w:rPr>
        <w:t>Pieteicēja</w:t>
      </w:r>
      <w:r w:rsidRPr="00417E12">
        <w:rPr>
          <w:rFonts w:asciiTheme="majorBidi" w:eastAsiaTheme="minorHAnsi" w:hAnsiTheme="majorBidi" w:cstheme="majorBidi"/>
          <w:lang w:eastAsia="en-US"/>
          <w14:ligatures w14:val="standardContextual"/>
        </w:rPr>
        <w:t xml:space="preserve"> nedz sākotnēji audita laikā, nedz</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apstrīdēšanas iesniegumā n</w:t>
      </w:r>
      <w:r>
        <w:rPr>
          <w:rFonts w:asciiTheme="majorBidi" w:eastAsiaTheme="minorHAnsi" w:hAnsiTheme="majorBidi" w:cstheme="majorBidi"/>
          <w:lang w:eastAsia="en-US"/>
          <w14:ligatures w14:val="standardContextual"/>
        </w:rPr>
        <w:t>e</w:t>
      </w:r>
      <w:r w:rsidRPr="00417E12">
        <w:rPr>
          <w:rFonts w:asciiTheme="majorBidi" w:eastAsiaTheme="minorHAnsi" w:hAnsiTheme="majorBidi" w:cstheme="majorBidi"/>
          <w:lang w:eastAsia="en-US"/>
          <w14:ligatures w14:val="standardContextual"/>
        </w:rPr>
        <w:t>iztei</w:t>
      </w:r>
      <w:r>
        <w:rPr>
          <w:rFonts w:asciiTheme="majorBidi" w:eastAsiaTheme="minorHAnsi" w:hAnsiTheme="majorBidi" w:cstheme="majorBidi"/>
          <w:lang w:eastAsia="en-US"/>
          <w14:ligatures w14:val="standardContextual"/>
        </w:rPr>
        <w:t>ca</w:t>
      </w:r>
      <w:r w:rsidRPr="00417E12">
        <w:rPr>
          <w:rFonts w:asciiTheme="majorBidi" w:eastAsiaTheme="minorHAnsi" w:hAnsiTheme="majorBidi" w:cstheme="majorBidi"/>
          <w:lang w:eastAsia="en-US"/>
          <w14:ligatures w14:val="standardContextual"/>
        </w:rPr>
        <w:t xml:space="preserve"> iebildumus par dienesta veiktajiem</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aprēķiniem un n</w:t>
      </w:r>
      <w:r>
        <w:rPr>
          <w:rFonts w:asciiTheme="majorBidi" w:eastAsiaTheme="minorHAnsi" w:hAnsiTheme="majorBidi" w:cstheme="majorBidi"/>
          <w:lang w:eastAsia="en-US"/>
          <w14:ligatures w14:val="standardContextual"/>
        </w:rPr>
        <w:t>eiesniedza</w:t>
      </w:r>
      <w:r w:rsidRPr="00417E12">
        <w:rPr>
          <w:rFonts w:asciiTheme="majorBidi" w:eastAsiaTheme="minorHAnsi" w:hAnsiTheme="majorBidi" w:cstheme="majorBidi"/>
          <w:lang w:eastAsia="en-US"/>
          <w14:ligatures w14:val="standardContextual"/>
        </w:rPr>
        <w:t xml:space="preserve"> pierādījumus, kas pamatotu tās viedokli par dienesta</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aprēķinu</w:t>
      </w:r>
      <w:r>
        <w:rPr>
          <w:rFonts w:asciiTheme="majorBidi" w:eastAsiaTheme="minorHAnsi" w:hAnsiTheme="majorBidi" w:cstheme="majorBidi"/>
          <w:lang w:eastAsia="en-US"/>
          <w14:ligatures w14:val="standardContextual"/>
        </w:rPr>
        <w:t>, piemērojot pievienotās vērtības nodokļa proporciju pievienotās vērtības nodokļa bāzei par laiku no 2016.gada janvāra līdz oktobrim</w:t>
      </w:r>
      <w:r w:rsidRPr="00417E12">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 xml:space="preserve"> Savukārt </w:t>
      </w:r>
      <w:r w:rsidRPr="00417E12">
        <w:rPr>
          <w:rFonts w:asciiTheme="majorBidi" w:eastAsiaTheme="minorHAnsi" w:hAnsiTheme="majorBidi" w:cstheme="majorBidi"/>
          <w:lang w:eastAsia="en-US"/>
          <w14:ligatures w14:val="standardContextual"/>
        </w:rPr>
        <w:t>dienests, piemērojot</w:t>
      </w:r>
      <w:r>
        <w:rPr>
          <w:rFonts w:asciiTheme="majorBidi" w:eastAsiaTheme="minorHAnsi" w:hAnsiTheme="majorBidi" w:cstheme="majorBidi"/>
          <w:lang w:eastAsia="en-US"/>
          <w14:ligatures w14:val="standardContextual"/>
        </w:rPr>
        <w:t xml:space="preserve"> pievienotās vērtības nodokļa</w:t>
      </w:r>
      <w:r w:rsidRPr="00417E12">
        <w:rPr>
          <w:rFonts w:asciiTheme="majorBidi" w:eastAsiaTheme="minorHAnsi" w:hAnsiTheme="majorBidi" w:cstheme="majorBidi"/>
          <w:lang w:eastAsia="en-US"/>
          <w14:ligatures w14:val="standardContextual"/>
        </w:rPr>
        <w:t xml:space="preserve"> proporciju un nosakot pieteicējai budžetā maksājamo </w:t>
      </w:r>
      <w:r>
        <w:rPr>
          <w:rFonts w:asciiTheme="majorBidi" w:eastAsiaTheme="minorHAnsi" w:hAnsiTheme="majorBidi" w:cstheme="majorBidi"/>
          <w:lang w:eastAsia="en-US"/>
          <w14:ligatures w14:val="standardContextual"/>
        </w:rPr>
        <w:t>nodokli</w:t>
      </w:r>
      <w:r w:rsidRPr="00417E12">
        <w:rPr>
          <w:rFonts w:asciiTheme="majorBidi" w:eastAsiaTheme="minorHAnsi" w:hAnsiTheme="majorBidi" w:cstheme="majorBidi"/>
          <w:lang w:eastAsia="en-US"/>
          <w14:ligatures w14:val="standardContextual"/>
        </w:rPr>
        <w:t>, n</w:t>
      </w:r>
      <w:r>
        <w:rPr>
          <w:rFonts w:asciiTheme="majorBidi" w:eastAsiaTheme="minorHAnsi" w:hAnsiTheme="majorBidi" w:cstheme="majorBidi"/>
          <w:lang w:eastAsia="en-US"/>
          <w14:ligatures w14:val="standardContextual"/>
        </w:rPr>
        <w:t>ebija</w:t>
      </w:r>
      <w:r w:rsidRPr="00417E12">
        <w:rPr>
          <w:rFonts w:asciiTheme="majorBidi" w:eastAsiaTheme="minorHAnsi" w:hAnsiTheme="majorBidi" w:cstheme="majorBidi"/>
          <w:lang w:eastAsia="en-US"/>
          <w14:ligatures w14:val="standardContextual"/>
        </w:rPr>
        <w:t xml:space="preserve"> pieļāvis kļūdas.</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 xml:space="preserve">Tieši pieteicējai kā privātpersonai </w:t>
      </w:r>
      <w:r>
        <w:rPr>
          <w:rFonts w:asciiTheme="majorBidi" w:eastAsiaTheme="minorHAnsi" w:hAnsiTheme="majorBidi" w:cstheme="majorBidi"/>
          <w:lang w:eastAsia="en-US"/>
          <w14:ligatures w14:val="standardContextual"/>
        </w:rPr>
        <w:t>bija</w:t>
      </w:r>
      <w:r w:rsidRPr="00417E12">
        <w:rPr>
          <w:rFonts w:asciiTheme="majorBidi" w:eastAsiaTheme="minorHAnsi" w:hAnsiTheme="majorBidi" w:cstheme="majorBidi"/>
          <w:lang w:eastAsia="en-US"/>
          <w14:ligatures w14:val="standardContextual"/>
        </w:rPr>
        <w:t xml:space="preserve"> pienākums aprēķināt budžetā maksājamo </w:t>
      </w:r>
      <w:r>
        <w:rPr>
          <w:rFonts w:asciiTheme="majorBidi" w:eastAsiaTheme="minorHAnsi" w:hAnsiTheme="majorBidi" w:cstheme="majorBidi"/>
          <w:lang w:eastAsia="en-US"/>
          <w14:ligatures w14:val="standardContextual"/>
        </w:rPr>
        <w:t xml:space="preserve">pievienotās vērtības nodokli </w:t>
      </w:r>
      <w:r w:rsidRPr="00417E12">
        <w:rPr>
          <w:rFonts w:asciiTheme="majorBidi" w:eastAsiaTheme="minorHAnsi" w:hAnsiTheme="majorBidi" w:cstheme="majorBidi"/>
          <w:lang w:eastAsia="en-US"/>
          <w14:ligatures w14:val="standardContextual"/>
        </w:rPr>
        <w:t>un iesnie</w:t>
      </w:r>
      <w:r>
        <w:rPr>
          <w:rFonts w:asciiTheme="majorBidi" w:eastAsiaTheme="minorHAnsi" w:hAnsiTheme="majorBidi" w:cstheme="majorBidi"/>
          <w:lang w:eastAsia="en-US"/>
          <w14:ligatures w14:val="standardContextual"/>
        </w:rPr>
        <w:t>gt</w:t>
      </w:r>
      <w:r w:rsidRPr="00417E12">
        <w:rPr>
          <w:rFonts w:asciiTheme="majorBidi" w:eastAsiaTheme="minorHAnsi" w:hAnsiTheme="majorBidi" w:cstheme="majorBidi"/>
          <w:lang w:eastAsia="en-US"/>
          <w14:ligatures w14:val="standardContextual"/>
        </w:rPr>
        <w:t xml:space="preserve"> dienestā precīzus datus, kurus dienests</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un citas kompetentas personas var</w:t>
      </w:r>
      <w:r>
        <w:rPr>
          <w:rFonts w:asciiTheme="majorBidi" w:eastAsiaTheme="minorHAnsi" w:hAnsiTheme="majorBidi" w:cstheme="majorBidi"/>
          <w:lang w:eastAsia="en-US"/>
          <w14:ligatures w14:val="standardContextual"/>
        </w:rPr>
        <w:t>ētu</w:t>
      </w:r>
      <w:r w:rsidRPr="00417E12">
        <w:rPr>
          <w:rFonts w:asciiTheme="majorBidi" w:eastAsiaTheme="minorHAnsi" w:hAnsiTheme="majorBidi" w:cstheme="majorBidi"/>
          <w:lang w:eastAsia="en-US"/>
          <w14:ligatures w14:val="standardContextual"/>
        </w:rPr>
        <w:t xml:space="preserve"> pārbaudīt</w:t>
      </w:r>
      <w:r>
        <w:rPr>
          <w:rFonts w:asciiTheme="majorBidi" w:eastAsiaTheme="minorHAnsi" w:hAnsiTheme="majorBidi" w:cstheme="majorBidi"/>
          <w:lang w:eastAsia="en-US"/>
          <w14:ligatures w14:val="standardContextual"/>
        </w:rPr>
        <w:t>, kā arī</w:t>
      </w:r>
      <w:r w:rsidRPr="00417E1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bija jāpamato</w:t>
      </w:r>
      <w:r w:rsidRPr="00417E12">
        <w:rPr>
          <w:rFonts w:asciiTheme="majorBidi" w:eastAsiaTheme="minorHAnsi" w:hAnsiTheme="majorBidi" w:cstheme="majorBidi"/>
          <w:lang w:eastAsia="en-US"/>
          <w14:ligatures w14:val="standardContextual"/>
        </w:rPr>
        <w:t xml:space="preserve"> tās maksājamais </w:t>
      </w:r>
      <w:r>
        <w:rPr>
          <w:rFonts w:asciiTheme="majorBidi" w:eastAsiaTheme="minorHAnsi" w:hAnsiTheme="majorBidi" w:cstheme="majorBidi"/>
          <w:lang w:eastAsia="en-US"/>
          <w14:ligatures w14:val="standardContextual"/>
        </w:rPr>
        <w:t>pievienotās vērtības nodoklis</w:t>
      </w:r>
      <w:r w:rsidRPr="00417E12">
        <w:rPr>
          <w:rFonts w:asciiTheme="majorBidi" w:eastAsiaTheme="minorHAnsi" w:hAnsiTheme="majorBidi" w:cstheme="majorBidi"/>
          <w:lang w:eastAsia="en-US"/>
          <w14:ligatures w14:val="standardContextual"/>
        </w:rPr>
        <w:t xml:space="preserve"> ar darījumu apliecinošiem dokumentiem, </w:t>
      </w:r>
      <w:r>
        <w:rPr>
          <w:rFonts w:asciiTheme="majorBidi" w:eastAsiaTheme="minorHAnsi" w:hAnsiTheme="majorBidi" w:cstheme="majorBidi"/>
          <w:lang w:eastAsia="en-US"/>
          <w14:ligatures w14:val="standardContextual"/>
        </w:rPr>
        <w:t>nodokļa</w:t>
      </w:r>
      <w:r w:rsidRPr="00417E12">
        <w:rPr>
          <w:rFonts w:asciiTheme="majorBidi" w:eastAsiaTheme="minorHAnsi" w:hAnsiTheme="majorBidi" w:cstheme="majorBidi"/>
          <w:lang w:eastAsia="en-US"/>
          <w14:ligatures w14:val="standardContextual"/>
        </w:rPr>
        <w:t xml:space="preserve"> rēķiniem un tiem atbilstošiem</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grāmatvedības reģistriem, korekti atspoguļojot maksājam</w:t>
      </w:r>
      <w:r w:rsidR="002E78BF">
        <w:rPr>
          <w:rFonts w:asciiTheme="majorBidi" w:eastAsiaTheme="minorHAnsi" w:hAnsiTheme="majorBidi" w:cstheme="majorBidi"/>
          <w:lang w:eastAsia="en-US"/>
          <w14:ligatures w14:val="standardContextual"/>
        </w:rPr>
        <w:t>o</w:t>
      </w:r>
      <w:r w:rsidRPr="00417E1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pievienotās vērtības nodok</w:t>
      </w:r>
      <w:r w:rsidR="002E78BF">
        <w:rPr>
          <w:rFonts w:asciiTheme="majorBidi" w:eastAsiaTheme="minorHAnsi" w:hAnsiTheme="majorBidi" w:cstheme="majorBidi"/>
          <w:lang w:eastAsia="en-US"/>
          <w14:ligatures w14:val="standardContextual"/>
        </w:rPr>
        <w:t>li</w:t>
      </w:r>
      <w:r w:rsidRPr="00417E12">
        <w:rPr>
          <w:rFonts w:asciiTheme="majorBidi" w:eastAsiaTheme="minorHAnsi" w:hAnsiTheme="majorBidi" w:cstheme="majorBidi"/>
          <w:lang w:eastAsia="en-US"/>
          <w14:ligatures w14:val="standardContextual"/>
        </w:rPr>
        <w:t xml:space="preserve"> un iespējamās</w:t>
      </w:r>
      <w:r>
        <w:rPr>
          <w:rFonts w:asciiTheme="majorBidi" w:eastAsiaTheme="minorHAnsi" w:hAnsiTheme="majorBidi" w:cstheme="majorBidi"/>
          <w:lang w:eastAsia="en-US"/>
          <w14:ligatures w14:val="standardContextual"/>
        </w:rPr>
        <w:t xml:space="preserve"> tā pārmaksas</w:t>
      </w:r>
      <w:r w:rsidRPr="00417E12">
        <w:rPr>
          <w:rFonts w:asciiTheme="majorBidi" w:eastAsiaTheme="minorHAnsi" w:hAnsiTheme="majorBidi" w:cstheme="majorBidi"/>
          <w:lang w:eastAsia="en-US"/>
          <w14:ligatures w14:val="standardContextual"/>
        </w:rPr>
        <w:t xml:space="preserve"> pieteicējas </w:t>
      </w:r>
      <w:r>
        <w:rPr>
          <w:rFonts w:asciiTheme="majorBidi" w:eastAsiaTheme="minorHAnsi" w:hAnsiTheme="majorBidi" w:cstheme="majorBidi"/>
          <w:lang w:eastAsia="en-US"/>
          <w14:ligatures w14:val="standardContextual"/>
        </w:rPr>
        <w:t xml:space="preserve">pievienotās vērtības nodokļa </w:t>
      </w:r>
      <w:r w:rsidRPr="00417E12">
        <w:rPr>
          <w:rFonts w:asciiTheme="majorBidi" w:eastAsiaTheme="minorHAnsi" w:hAnsiTheme="majorBidi" w:cstheme="majorBidi"/>
          <w:lang w:eastAsia="en-US"/>
          <w14:ligatures w14:val="standardContextual"/>
        </w:rPr>
        <w:t xml:space="preserve">deklarācijās. </w:t>
      </w:r>
    </w:p>
    <w:p w14:paraId="47822948" w14:textId="2E3D5BF9" w:rsidR="00E44A99" w:rsidRPr="00417E12" w:rsidRDefault="00E44A99" w:rsidP="00BE7E7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417E12">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2.2</w:t>
      </w:r>
      <w:r w:rsidRPr="00417E12">
        <w:rPr>
          <w:rFonts w:asciiTheme="majorBidi" w:eastAsiaTheme="minorHAnsi" w:hAnsiTheme="majorBidi" w:cstheme="majorBidi"/>
          <w:lang w:eastAsia="en-US"/>
          <w14:ligatures w14:val="standardContextual"/>
        </w:rPr>
        <w:t>] Administratīvā apgabaltiesa atz</w:t>
      </w:r>
      <w:r>
        <w:rPr>
          <w:rFonts w:asciiTheme="majorBidi" w:eastAsiaTheme="minorHAnsi" w:hAnsiTheme="majorBidi" w:cstheme="majorBidi"/>
          <w:lang w:eastAsia="en-US"/>
          <w14:ligatures w14:val="standardContextual"/>
        </w:rPr>
        <w:t>ina</w:t>
      </w:r>
      <w:r w:rsidRPr="00417E12">
        <w:rPr>
          <w:rFonts w:asciiTheme="majorBidi" w:eastAsiaTheme="minorHAnsi" w:hAnsiTheme="majorBidi" w:cstheme="majorBidi"/>
          <w:lang w:eastAsia="en-US"/>
          <w14:ligatures w14:val="standardContextual"/>
        </w:rPr>
        <w:t>, ka pirmās instances tiesa pamatoti</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 xml:space="preserve">novērtēja Eiropas Savienības Tiesas judikatūrā </w:t>
      </w:r>
      <w:r w:rsidRPr="000829DE">
        <w:rPr>
          <w:rFonts w:asciiTheme="majorBidi" w:eastAsiaTheme="minorHAnsi" w:hAnsiTheme="majorBidi" w:cstheme="majorBidi"/>
          <w:lang w:eastAsia="en-US"/>
          <w14:ligatures w14:val="standardContextual"/>
        </w:rPr>
        <w:t>(</w:t>
      </w:r>
      <w:r>
        <w:rPr>
          <w:rFonts w:asciiTheme="majorBidi" w:eastAsiaTheme="minorHAnsi" w:hAnsiTheme="majorBidi" w:cstheme="majorBidi"/>
          <w:i/>
          <w:iCs/>
          <w:lang w:eastAsia="en-US"/>
          <w14:ligatures w14:val="standardContextual"/>
        </w:rPr>
        <w:t xml:space="preserve">Eiropas Savienības Tiesas </w:t>
      </w:r>
      <w:r w:rsidRPr="004A5947">
        <w:rPr>
          <w:rFonts w:asciiTheme="majorBidi" w:eastAsiaTheme="minorHAnsi" w:hAnsiTheme="majorBidi" w:cstheme="majorBidi"/>
          <w:i/>
          <w:iCs/>
          <w:lang w:eastAsia="en-US"/>
          <w14:ligatures w14:val="standardContextual"/>
        </w:rPr>
        <w:t>2014.gada</w:t>
      </w:r>
      <w:r>
        <w:rPr>
          <w:rFonts w:asciiTheme="majorBidi" w:eastAsiaTheme="minorHAnsi" w:hAnsiTheme="majorBidi" w:cstheme="majorBidi"/>
          <w:i/>
          <w:iCs/>
          <w:lang w:eastAsia="en-US"/>
          <w14:ligatures w14:val="standardContextual"/>
        </w:rPr>
        <w:t> </w:t>
      </w:r>
      <w:r w:rsidRPr="004A5947">
        <w:rPr>
          <w:rFonts w:asciiTheme="majorBidi" w:eastAsiaTheme="minorHAnsi" w:hAnsiTheme="majorBidi" w:cstheme="majorBidi"/>
          <w:i/>
          <w:iCs/>
          <w:lang w:eastAsia="en-US"/>
          <w14:ligatures w14:val="standardContextual"/>
        </w:rPr>
        <w:t>10.jūlija spriedum</w:t>
      </w:r>
      <w:r>
        <w:rPr>
          <w:rFonts w:asciiTheme="majorBidi" w:eastAsiaTheme="minorHAnsi" w:hAnsiTheme="majorBidi" w:cstheme="majorBidi"/>
          <w:i/>
          <w:iCs/>
          <w:lang w:eastAsia="en-US"/>
          <w14:ligatures w14:val="standardContextual"/>
        </w:rPr>
        <w:t>a</w:t>
      </w:r>
      <w:r w:rsidRPr="004A5947">
        <w:rPr>
          <w:rFonts w:asciiTheme="majorBidi" w:eastAsiaTheme="minorHAnsi" w:hAnsiTheme="majorBidi" w:cstheme="majorBidi"/>
          <w:i/>
          <w:iCs/>
          <w:lang w:eastAsia="en-US"/>
          <w14:ligatures w14:val="standardContextual"/>
        </w:rPr>
        <w:t xml:space="preserve"> lietā</w:t>
      </w:r>
      <w:r>
        <w:rPr>
          <w:rFonts w:asciiTheme="majorBidi" w:eastAsiaTheme="minorHAnsi" w:hAnsiTheme="majorBidi" w:cstheme="majorBidi"/>
          <w:i/>
          <w:iCs/>
          <w:lang w:eastAsia="en-US"/>
          <w14:ligatures w14:val="standardContextual"/>
        </w:rPr>
        <w:t xml:space="preserve"> „Banco Mais”,</w:t>
      </w:r>
      <w:r w:rsidRPr="004A5947">
        <w:rPr>
          <w:rFonts w:asciiTheme="majorBidi" w:eastAsiaTheme="minorHAnsi" w:hAnsiTheme="majorBidi" w:cstheme="majorBidi"/>
          <w:i/>
          <w:iCs/>
          <w:lang w:eastAsia="en-US"/>
          <w14:ligatures w14:val="standardContextual"/>
        </w:rPr>
        <w:t xml:space="preserve"> C-183/13</w:t>
      </w:r>
      <w:r>
        <w:rPr>
          <w:rFonts w:asciiTheme="majorBidi" w:eastAsiaTheme="minorHAnsi" w:hAnsiTheme="majorBidi" w:cstheme="majorBidi"/>
          <w:i/>
          <w:iCs/>
          <w:lang w:eastAsia="en-US"/>
          <w14:ligatures w14:val="standardContextual"/>
        </w:rPr>
        <w:t xml:space="preserve">, </w:t>
      </w:r>
      <w:hyperlink r:id="rId8" w:history="1">
        <w:r w:rsidRPr="00FE1D19">
          <w:rPr>
            <w:rStyle w:val="Hyperlink"/>
            <w:rFonts w:asciiTheme="majorBidi" w:eastAsiaTheme="minorHAnsi" w:hAnsiTheme="majorBidi" w:cstheme="majorBidi"/>
            <w:i/>
            <w:iCs/>
            <w:lang w:eastAsia="en-US"/>
            <w14:ligatures w14:val="standardContextual"/>
          </w:rPr>
          <w:t>ECLI:EU:C:2014:2056</w:t>
        </w:r>
      </w:hyperlink>
      <w:r>
        <w:rPr>
          <w:rFonts w:asciiTheme="majorBidi" w:hAnsiTheme="majorBidi" w:cstheme="majorBidi"/>
          <w:i/>
          <w:iCs/>
          <w:shd w:val="clear" w:color="auto" w:fill="FFFFFF"/>
        </w:rPr>
        <w:t xml:space="preserve">, </w:t>
      </w:r>
      <w:r w:rsidRPr="00417E12">
        <w:rPr>
          <w:rFonts w:asciiTheme="majorBidi" w:eastAsiaTheme="minorHAnsi" w:hAnsiTheme="majorBidi" w:cstheme="majorBidi"/>
          <w:i/>
          <w:iCs/>
          <w:lang w:eastAsia="en-US"/>
          <w14:ligatures w14:val="standardContextual"/>
        </w:rPr>
        <w:t>30.un 31.punkt</w:t>
      </w:r>
      <w:r>
        <w:rPr>
          <w:rFonts w:asciiTheme="majorBidi" w:eastAsiaTheme="minorHAnsi" w:hAnsiTheme="majorBidi" w:cstheme="majorBidi"/>
          <w:i/>
          <w:iCs/>
          <w:lang w:eastAsia="en-US"/>
          <w14:ligatures w14:val="standardContextual"/>
        </w:rPr>
        <w:t>s</w:t>
      </w:r>
      <w:r w:rsidR="000829DE">
        <w:rPr>
          <w:rFonts w:asciiTheme="majorBidi" w:eastAsiaTheme="minorHAnsi" w:hAnsiTheme="majorBidi" w:cstheme="majorBidi"/>
          <w:i/>
          <w:iCs/>
          <w:lang w:eastAsia="en-US"/>
          <w14:ligatures w14:val="standardContextual"/>
        </w:rPr>
        <w:t>,</w:t>
      </w:r>
      <w:r w:rsidRPr="006E5C45">
        <w:rPr>
          <w:rFonts w:asciiTheme="majorBidi" w:eastAsiaTheme="minorHAnsi" w:hAnsiTheme="majorBidi" w:cstheme="majorBidi"/>
          <w:i/>
          <w:iCs/>
          <w:lang w:eastAsia="en-US"/>
          <w14:ligatures w14:val="standardContextual"/>
        </w:rPr>
        <w:t xml:space="preserve"> </w:t>
      </w:r>
      <w:r w:rsidRPr="004A5947">
        <w:rPr>
          <w:rFonts w:asciiTheme="majorBidi" w:eastAsiaTheme="minorHAnsi" w:hAnsiTheme="majorBidi" w:cstheme="majorBidi"/>
          <w:i/>
          <w:iCs/>
          <w:lang w:eastAsia="en-US"/>
          <w14:ligatures w14:val="standardContextual"/>
        </w:rPr>
        <w:t>un</w:t>
      </w:r>
      <w:r>
        <w:rPr>
          <w:rFonts w:asciiTheme="majorBidi" w:eastAsiaTheme="minorHAnsi" w:hAnsiTheme="majorBidi" w:cstheme="majorBidi"/>
          <w:i/>
          <w:iCs/>
          <w:lang w:eastAsia="en-US"/>
          <w14:ligatures w14:val="standardContextual"/>
        </w:rPr>
        <w:t xml:space="preserve"> </w:t>
      </w:r>
      <w:r w:rsidRPr="004A5947">
        <w:rPr>
          <w:rFonts w:asciiTheme="majorBidi" w:eastAsiaTheme="minorHAnsi" w:hAnsiTheme="majorBidi" w:cstheme="majorBidi"/>
          <w:i/>
          <w:iCs/>
          <w:lang w:eastAsia="en-US"/>
          <w14:ligatures w14:val="standardContextual"/>
        </w:rPr>
        <w:t>2018.gada</w:t>
      </w:r>
      <w:r>
        <w:rPr>
          <w:rFonts w:asciiTheme="majorBidi" w:eastAsiaTheme="minorHAnsi" w:hAnsiTheme="majorBidi" w:cstheme="majorBidi"/>
          <w:i/>
          <w:iCs/>
          <w:lang w:eastAsia="en-US"/>
          <w14:ligatures w14:val="standardContextual"/>
        </w:rPr>
        <w:t> </w:t>
      </w:r>
      <w:r w:rsidRPr="004A5947">
        <w:rPr>
          <w:rFonts w:asciiTheme="majorBidi" w:eastAsiaTheme="minorHAnsi" w:hAnsiTheme="majorBidi" w:cstheme="majorBidi"/>
          <w:i/>
          <w:iCs/>
          <w:lang w:eastAsia="en-US"/>
          <w14:ligatures w14:val="standardContextual"/>
        </w:rPr>
        <w:t>18.oktobra spriedum</w:t>
      </w:r>
      <w:r>
        <w:rPr>
          <w:rFonts w:asciiTheme="majorBidi" w:eastAsiaTheme="minorHAnsi" w:hAnsiTheme="majorBidi" w:cstheme="majorBidi"/>
          <w:i/>
          <w:iCs/>
          <w:lang w:eastAsia="en-US"/>
          <w14:ligatures w14:val="standardContextual"/>
        </w:rPr>
        <w:t>s</w:t>
      </w:r>
      <w:r w:rsidRPr="004A5947">
        <w:rPr>
          <w:rFonts w:asciiTheme="majorBidi" w:eastAsiaTheme="minorHAnsi" w:hAnsiTheme="majorBidi" w:cstheme="majorBidi"/>
          <w:i/>
          <w:iCs/>
          <w:lang w:eastAsia="en-US"/>
          <w14:ligatures w14:val="standardContextual"/>
        </w:rPr>
        <w:t xml:space="preserve"> lietā</w:t>
      </w:r>
      <w:r>
        <w:rPr>
          <w:rFonts w:asciiTheme="majorBidi" w:eastAsiaTheme="minorHAnsi" w:hAnsiTheme="majorBidi" w:cstheme="majorBidi"/>
          <w:i/>
          <w:iCs/>
          <w:lang w:eastAsia="en-US"/>
          <w14:ligatures w14:val="standardContextual"/>
        </w:rPr>
        <w:t xml:space="preserve"> „Volkswagen Financial Services (UK)”,</w:t>
      </w:r>
      <w:r w:rsidRPr="004A5947">
        <w:rPr>
          <w:rFonts w:asciiTheme="majorBidi" w:eastAsiaTheme="minorHAnsi" w:hAnsiTheme="majorBidi" w:cstheme="majorBidi"/>
          <w:i/>
          <w:iCs/>
          <w:lang w:eastAsia="en-US"/>
          <w14:ligatures w14:val="standardContextual"/>
        </w:rPr>
        <w:t xml:space="preserve"> C-153/17</w:t>
      </w:r>
      <w:r>
        <w:rPr>
          <w:rFonts w:asciiTheme="majorBidi" w:eastAsiaTheme="minorHAnsi" w:hAnsiTheme="majorBidi" w:cstheme="majorBidi"/>
          <w:i/>
          <w:iCs/>
          <w:lang w:eastAsia="en-US"/>
          <w14:ligatures w14:val="standardContextual"/>
        </w:rPr>
        <w:t>,</w:t>
      </w:r>
      <w:r w:rsidRPr="004A5947">
        <w:rPr>
          <w:rFonts w:asciiTheme="majorBidi" w:eastAsiaTheme="minorHAnsi" w:hAnsiTheme="majorBidi" w:cstheme="majorBidi"/>
          <w:i/>
          <w:iCs/>
          <w:lang w:eastAsia="en-US"/>
          <w14:ligatures w14:val="standardContextual"/>
        </w:rPr>
        <w:t xml:space="preserve"> </w:t>
      </w:r>
      <w:hyperlink r:id="rId9" w:history="1">
        <w:r w:rsidRPr="00FE1D19">
          <w:rPr>
            <w:rStyle w:val="Hyperlink"/>
            <w:rFonts w:asciiTheme="majorBidi" w:hAnsiTheme="majorBidi" w:cstheme="majorBidi"/>
            <w:i/>
            <w:iCs/>
            <w:shd w:val="clear" w:color="auto" w:fill="FFFFFF"/>
          </w:rPr>
          <w:t>ECLI:EU:C:2018:845</w:t>
        </w:r>
      </w:hyperlink>
      <w:r w:rsidRPr="000829DE">
        <w:rPr>
          <w:rFonts w:asciiTheme="majorBidi" w:eastAsiaTheme="minorHAnsi" w:hAnsiTheme="majorBidi" w:cstheme="majorBidi"/>
          <w:lang w:eastAsia="en-US"/>
          <w14:ligatures w14:val="standardContextual"/>
        </w:rPr>
        <w:t>)</w:t>
      </w:r>
      <w:r w:rsidRPr="00417E12">
        <w:rPr>
          <w:rFonts w:asciiTheme="majorBidi" w:eastAsiaTheme="minorHAnsi" w:hAnsiTheme="majorBidi" w:cstheme="majorBidi"/>
          <w:lang w:eastAsia="en-US"/>
          <w14:ligatures w14:val="standardContextual"/>
        </w:rPr>
        <w:t xml:space="preserve"> pausto atziņu</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attiecināmību uz izskatāmās lietas apstākļiem</w:t>
      </w:r>
      <w:r>
        <w:rPr>
          <w:rFonts w:asciiTheme="majorBidi" w:eastAsiaTheme="minorHAnsi" w:hAnsiTheme="majorBidi" w:cstheme="majorBidi"/>
          <w:lang w:eastAsia="en-US"/>
          <w14:ligatures w14:val="standardContextual"/>
        </w:rPr>
        <w:t xml:space="preserve">. Tādējādi </w:t>
      </w:r>
      <w:r w:rsidRPr="00417E12">
        <w:rPr>
          <w:rFonts w:asciiTheme="majorBidi" w:eastAsiaTheme="minorHAnsi" w:hAnsiTheme="majorBidi" w:cstheme="majorBidi"/>
          <w:lang w:eastAsia="en-US"/>
          <w14:ligatures w14:val="standardContextual"/>
        </w:rPr>
        <w:t xml:space="preserve">pamatoti </w:t>
      </w:r>
      <w:r>
        <w:rPr>
          <w:rFonts w:asciiTheme="majorBidi" w:eastAsiaTheme="minorHAnsi" w:hAnsiTheme="majorBidi" w:cstheme="majorBidi"/>
          <w:lang w:eastAsia="en-US"/>
          <w14:ligatures w14:val="standardContextual"/>
        </w:rPr>
        <w:t xml:space="preserve">tika </w:t>
      </w:r>
      <w:r w:rsidRPr="00417E12">
        <w:rPr>
          <w:rFonts w:asciiTheme="majorBidi" w:eastAsiaTheme="minorHAnsi" w:hAnsiTheme="majorBidi" w:cstheme="majorBidi"/>
          <w:lang w:eastAsia="en-US"/>
          <w14:ligatures w14:val="standardContextual"/>
        </w:rPr>
        <w:t>ņ</w:t>
      </w:r>
      <w:r>
        <w:rPr>
          <w:rFonts w:asciiTheme="majorBidi" w:eastAsiaTheme="minorHAnsi" w:hAnsiTheme="majorBidi" w:cstheme="majorBidi"/>
          <w:lang w:eastAsia="en-US"/>
          <w14:ligatures w14:val="standardContextual"/>
        </w:rPr>
        <w:t>e</w:t>
      </w:r>
      <w:r w:rsidRPr="00417E12">
        <w:rPr>
          <w:rFonts w:asciiTheme="majorBidi" w:eastAsiaTheme="minorHAnsi" w:hAnsiTheme="majorBidi" w:cstheme="majorBidi"/>
          <w:lang w:eastAsia="en-US"/>
          <w14:ligatures w14:val="standardContextual"/>
        </w:rPr>
        <w:t>m</w:t>
      </w:r>
      <w:r>
        <w:rPr>
          <w:rFonts w:asciiTheme="majorBidi" w:eastAsiaTheme="minorHAnsi" w:hAnsiTheme="majorBidi" w:cstheme="majorBidi"/>
          <w:lang w:eastAsia="en-US"/>
          <w14:ligatures w14:val="standardContextual"/>
        </w:rPr>
        <w:t>ts</w:t>
      </w:r>
      <w:r w:rsidRPr="00417E12">
        <w:rPr>
          <w:rFonts w:asciiTheme="majorBidi" w:eastAsiaTheme="minorHAnsi" w:hAnsiTheme="majorBidi" w:cstheme="majorBidi"/>
          <w:lang w:eastAsia="en-US"/>
          <w14:ligatures w14:val="standardContextual"/>
        </w:rPr>
        <w:t xml:space="preserve"> vērā Eiropas</w:t>
      </w:r>
      <w:r>
        <w:rPr>
          <w:rFonts w:asciiTheme="majorBidi" w:eastAsiaTheme="minorHAnsi" w:hAnsiTheme="majorBidi" w:cstheme="majorBidi"/>
          <w:lang w:eastAsia="en-US"/>
          <w14:ligatures w14:val="standardContextual"/>
        </w:rPr>
        <w:t> </w:t>
      </w:r>
      <w:r w:rsidRPr="00417E12">
        <w:rPr>
          <w:rFonts w:asciiTheme="majorBidi" w:eastAsiaTheme="minorHAnsi" w:hAnsiTheme="majorBidi" w:cstheme="majorBidi"/>
          <w:lang w:eastAsia="en-US"/>
          <w14:ligatures w14:val="standardContextual"/>
        </w:rPr>
        <w:t>Savienības Tiesas secināt</w:t>
      </w:r>
      <w:r>
        <w:rPr>
          <w:rFonts w:asciiTheme="majorBidi" w:eastAsiaTheme="minorHAnsi" w:hAnsiTheme="majorBidi" w:cstheme="majorBidi"/>
          <w:lang w:eastAsia="en-US"/>
          <w14:ligatures w14:val="standardContextual"/>
        </w:rPr>
        <w:t>ais</w:t>
      </w:r>
      <w:r w:rsidRPr="00417E12">
        <w:rPr>
          <w:rFonts w:asciiTheme="majorBidi" w:eastAsiaTheme="minorHAnsi" w:hAnsiTheme="majorBidi" w:cstheme="majorBidi"/>
          <w:lang w:eastAsia="en-US"/>
          <w14:ligatures w14:val="standardContextual"/>
        </w:rPr>
        <w:t>, ka atskaitīšanas tiesību aprēķināšanas metodes ar</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 xml:space="preserve">visaugstāko precizitāti ļauj konstatēt to daļu no </w:t>
      </w:r>
      <w:r>
        <w:rPr>
          <w:rFonts w:asciiTheme="majorBidi" w:eastAsiaTheme="minorHAnsi" w:hAnsiTheme="majorBidi" w:cstheme="majorBidi"/>
          <w:lang w:eastAsia="en-US"/>
          <w14:ligatures w14:val="standardContextual"/>
        </w:rPr>
        <w:t>pievienotās vērtības nodokļa</w:t>
      </w:r>
      <w:r w:rsidRPr="00417E12">
        <w:rPr>
          <w:rFonts w:asciiTheme="majorBidi" w:eastAsiaTheme="minorHAnsi" w:hAnsiTheme="majorBidi" w:cstheme="majorBidi"/>
          <w:lang w:eastAsia="en-US"/>
          <w14:ligatures w14:val="standardContextual"/>
        </w:rPr>
        <w:t>, kas attiecas uz darījumiem, kuri</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dod tiesības uz atskaitījumu. Līdz ar to, lai atskaitāmā nodokļa summas</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aprēķināšanas noteikumi objektīvi atspoguļotu to izdevumu par jaukta veida</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darījumos izmantojamām precēm un pakalpojumiem faktisko daļu, kas ir saistīti ar</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darījumiem, no kuriem var atskaitīt nodokli, arī pieteicējai attiecībā uz aprēķinā iekļaujamām darījumu vērtībām bija jānodrošina pēc iespējas</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precīzāka atskaitāmā priekšnodokļa summa.</w:t>
      </w:r>
    </w:p>
    <w:p w14:paraId="67768C11" w14:textId="7F574F05" w:rsidR="00E44A99" w:rsidRPr="00417E12" w:rsidRDefault="00E44A99" w:rsidP="00BE7E70">
      <w:pPr>
        <w:autoSpaceDE w:val="0"/>
        <w:autoSpaceDN w:val="0"/>
        <w:adjustRightInd w:val="0"/>
        <w:spacing w:line="276" w:lineRule="auto"/>
        <w:ind w:firstLine="720"/>
        <w:jc w:val="both"/>
        <w:rPr>
          <w:rFonts w:asciiTheme="majorBidi" w:hAnsiTheme="majorBidi" w:cstheme="majorBidi"/>
          <w:lang w:eastAsia="en-US"/>
        </w:rPr>
      </w:pPr>
      <w:r w:rsidRPr="00417E12">
        <w:rPr>
          <w:rFonts w:asciiTheme="majorBidi" w:eastAsiaTheme="minorHAnsi" w:hAnsiTheme="majorBidi" w:cstheme="majorBidi"/>
          <w:lang w:eastAsia="en-US"/>
          <w14:ligatures w14:val="standardContextual"/>
        </w:rPr>
        <w:t>[</w:t>
      </w:r>
      <w:r>
        <w:rPr>
          <w:rFonts w:asciiTheme="majorBidi" w:eastAsiaTheme="minorHAnsi" w:hAnsiTheme="majorBidi" w:cstheme="majorBidi"/>
          <w:lang w:eastAsia="en-US"/>
          <w14:ligatures w14:val="standardContextual"/>
        </w:rPr>
        <w:t>2.3</w:t>
      </w:r>
      <w:r w:rsidRPr="00417E1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Apgabaltiesa secināja, ka p</w:t>
      </w:r>
      <w:r w:rsidRPr="00417E12">
        <w:rPr>
          <w:rFonts w:asciiTheme="majorBidi" w:eastAsiaTheme="minorHAnsi" w:hAnsiTheme="majorBidi" w:cstheme="majorBidi"/>
          <w:lang w:eastAsia="en-US"/>
          <w14:ligatures w14:val="standardContextual"/>
        </w:rPr>
        <w:t>ieteicēja</w:t>
      </w:r>
      <w:r>
        <w:rPr>
          <w:rFonts w:asciiTheme="majorBidi" w:eastAsiaTheme="minorHAnsi" w:hAnsiTheme="majorBidi" w:cstheme="majorBidi"/>
          <w:lang w:eastAsia="en-US"/>
          <w14:ligatures w14:val="standardContextual"/>
        </w:rPr>
        <w:t>s</w:t>
      </w:r>
      <w:r w:rsidRPr="00417E12">
        <w:rPr>
          <w:rFonts w:asciiTheme="majorBidi" w:eastAsiaTheme="minorHAnsi" w:hAnsiTheme="majorBidi" w:cstheme="majorBidi"/>
          <w:lang w:eastAsia="en-US"/>
          <w14:ligatures w14:val="standardContextual"/>
        </w:rPr>
        <w:t xml:space="preserve"> iebil</w:t>
      </w:r>
      <w:r>
        <w:rPr>
          <w:rFonts w:asciiTheme="majorBidi" w:eastAsiaTheme="minorHAnsi" w:hAnsiTheme="majorBidi" w:cstheme="majorBidi"/>
          <w:lang w:eastAsia="en-US"/>
          <w14:ligatures w14:val="standardContextual"/>
        </w:rPr>
        <w:t>dums par</w:t>
      </w:r>
      <w:r w:rsidRPr="00417E12">
        <w:rPr>
          <w:rFonts w:asciiTheme="majorBidi" w:eastAsiaTheme="minorHAnsi" w:hAnsiTheme="majorBidi" w:cstheme="majorBidi"/>
          <w:lang w:eastAsia="en-US"/>
          <w14:ligatures w14:val="standardContextual"/>
        </w:rPr>
        <w:t xml:space="preserve"> nokavējuma naudas aprēķin</w:t>
      </w:r>
      <w:r>
        <w:rPr>
          <w:rFonts w:asciiTheme="majorBidi" w:eastAsiaTheme="minorHAnsi" w:hAnsiTheme="majorBidi" w:cstheme="majorBidi"/>
          <w:lang w:eastAsia="en-US"/>
          <w14:ligatures w14:val="standardContextual"/>
        </w:rPr>
        <w:t>u ir nepamatots, jo</w:t>
      </w:r>
      <w:r w:rsidRPr="00417E1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p</w:t>
      </w:r>
      <w:r w:rsidRPr="00417E12">
        <w:rPr>
          <w:rFonts w:asciiTheme="majorBidi" w:eastAsiaTheme="minorHAnsi" w:hAnsiTheme="majorBidi" w:cstheme="majorBidi"/>
          <w:lang w:eastAsia="en-US"/>
          <w14:ligatures w14:val="standardContextual"/>
        </w:rPr>
        <w:t>ieteicēja līdz audit</w:t>
      </w:r>
      <w:r w:rsidR="002E78BF">
        <w:rPr>
          <w:rFonts w:asciiTheme="majorBidi" w:eastAsiaTheme="minorHAnsi" w:hAnsiTheme="majorBidi" w:cstheme="majorBidi"/>
          <w:lang w:eastAsia="en-US"/>
          <w14:ligatures w14:val="standardContextual"/>
        </w:rPr>
        <w:t>a</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uzsākšanas dienai, attiecīgi 2017.gada 29.martā un 2017.gada</w:t>
      </w:r>
      <w:r>
        <w:rPr>
          <w:rFonts w:asciiTheme="majorBidi" w:eastAsiaTheme="minorHAnsi" w:hAnsiTheme="majorBidi" w:cstheme="majorBidi"/>
          <w:lang w:eastAsia="en-US"/>
          <w14:ligatures w14:val="standardContextual"/>
        </w:rPr>
        <w:t> </w:t>
      </w:r>
      <w:r w:rsidRPr="00417E12">
        <w:rPr>
          <w:rFonts w:asciiTheme="majorBidi" w:eastAsiaTheme="minorHAnsi" w:hAnsiTheme="majorBidi" w:cstheme="majorBidi"/>
          <w:lang w:eastAsia="en-US"/>
          <w14:ligatures w14:val="standardContextual"/>
        </w:rPr>
        <w:t>17.jūnijā, ne</w:t>
      </w:r>
      <w:r>
        <w:rPr>
          <w:rFonts w:asciiTheme="majorBidi" w:eastAsiaTheme="minorHAnsi" w:hAnsiTheme="majorBidi" w:cstheme="majorBidi"/>
          <w:lang w:eastAsia="en-US"/>
          <w14:ligatures w14:val="standardContextual"/>
        </w:rPr>
        <w:t xml:space="preserve">bija </w:t>
      </w:r>
      <w:r w:rsidR="000829DE">
        <w:rPr>
          <w:rFonts w:asciiTheme="majorBidi" w:eastAsiaTheme="minorHAnsi" w:hAnsiTheme="majorBidi" w:cstheme="majorBidi"/>
          <w:lang w:eastAsia="en-US"/>
          <w14:ligatures w14:val="standardContextual"/>
        </w:rPr>
        <w:t>precizējusi</w:t>
      </w:r>
      <w:r w:rsidRPr="00417E12">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 xml:space="preserve">pievienotās vērtības nodokļa </w:t>
      </w:r>
      <w:r w:rsidRPr="00417E12">
        <w:rPr>
          <w:rFonts w:asciiTheme="majorBidi" w:eastAsiaTheme="minorHAnsi" w:hAnsiTheme="majorBidi" w:cstheme="majorBidi"/>
          <w:lang w:eastAsia="en-US"/>
          <w14:ligatures w14:val="standardContextual"/>
        </w:rPr>
        <w:t>deklarācij</w:t>
      </w:r>
      <w:r w:rsidR="000829DE">
        <w:rPr>
          <w:rFonts w:asciiTheme="majorBidi" w:eastAsiaTheme="minorHAnsi" w:hAnsiTheme="majorBidi" w:cstheme="majorBidi"/>
          <w:lang w:eastAsia="en-US"/>
          <w14:ligatures w14:val="standardContextual"/>
        </w:rPr>
        <w:t>as</w:t>
      </w:r>
      <w:r w:rsidRPr="00417E12">
        <w:rPr>
          <w:rFonts w:asciiTheme="majorBidi" w:eastAsiaTheme="minorHAnsi" w:hAnsiTheme="majorBidi" w:cstheme="majorBidi"/>
          <w:lang w:eastAsia="en-US"/>
          <w14:ligatures w14:val="standardContextual"/>
        </w:rPr>
        <w:t xml:space="preserve"> par </w:t>
      </w:r>
      <w:r>
        <w:rPr>
          <w:rFonts w:asciiTheme="majorBidi" w:eastAsiaTheme="minorHAnsi" w:hAnsiTheme="majorBidi" w:cstheme="majorBidi"/>
          <w:lang w:eastAsia="en-US"/>
          <w14:ligatures w14:val="standardContextual"/>
        </w:rPr>
        <w:t>nodokļa</w:t>
      </w:r>
      <w:r w:rsidRPr="00417E12">
        <w:rPr>
          <w:rFonts w:asciiTheme="majorBidi" w:eastAsiaTheme="minorHAnsi" w:hAnsiTheme="majorBidi" w:cstheme="majorBidi"/>
          <w:lang w:eastAsia="en-US"/>
          <w14:ligatures w14:val="standardContextual"/>
        </w:rPr>
        <w:t xml:space="preserve"> summām, kas nav atskaitām</w:t>
      </w:r>
      <w:r>
        <w:rPr>
          <w:rFonts w:asciiTheme="majorBidi" w:eastAsiaTheme="minorHAnsi" w:hAnsiTheme="majorBidi" w:cstheme="majorBidi"/>
          <w:lang w:eastAsia="en-US"/>
          <w14:ligatures w14:val="standardContextual"/>
        </w:rPr>
        <w:t>a</w:t>
      </w:r>
      <w:r w:rsidRPr="00417E12">
        <w:rPr>
          <w:rFonts w:asciiTheme="majorBidi" w:eastAsiaTheme="minorHAnsi" w:hAnsiTheme="majorBidi" w:cstheme="majorBidi"/>
          <w:lang w:eastAsia="en-US"/>
          <w14:ligatures w14:val="standardContextual"/>
        </w:rPr>
        <w:t>s kā priekšnodoklis, kā</w:t>
      </w:r>
      <w:r>
        <w:rPr>
          <w:rFonts w:asciiTheme="majorBidi" w:eastAsiaTheme="minorHAnsi" w:hAnsiTheme="majorBidi" w:cstheme="majorBidi"/>
          <w:lang w:eastAsia="en-US"/>
          <w14:ligatures w14:val="standardContextual"/>
        </w:rPr>
        <w:t xml:space="preserve"> </w:t>
      </w:r>
      <w:r w:rsidRPr="00417E12">
        <w:rPr>
          <w:rFonts w:asciiTheme="majorBidi" w:eastAsiaTheme="minorHAnsi" w:hAnsiTheme="majorBidi" w:cstheme="majorBidi"/>
          <w:lang w:eastAsia="en-US"/>
          <w14:ligatures w14:val="standardContextual"/>
        </w:rPr>
        <w:t xml:space="preserve">arī </w:t>
      </w:r>
      <w:r>
        <w:rPr>
          <w:rFonts w:asciiTheme="majorBidi" w:eastAsiaTheme="minorHAnsi" w:hAnsiTheme="majorBidi" w:cstheme="majorBidi"/>
          <w:lang w:eastAsia="en-US"/>
          <w14:ligatures w14:val="standardContextual"/>
        </w:rPr>
        <w:t xml:space="preserve">bija </w:t>
      </w:r>
      <w:r w:rsidRPr="00417E12">
        <w:rPr>
          <w:rFonts w:asciiTheme="majorBidi" w:eastAsiaTheme="minorHAnsi" w:hAnsiTheme="majorBidi" w:cstheme="majorBidi"/>
          <w:lang w:eastAsia="en-US"/>
          <w14:ligatures w14:val="standardContextual"/>
        </w:rPr>
        <w:t>nepamatoti samazināj</w:t>
      </w:r>
      <w:r>
        <w:rPr>
          <w:rFonts w:asciiTheme="majorBidi" w:eastAsiaTheme="minorHAnsi" w:hAnsiTheme="majorBidi" w:cstheme="majorBidi"/>
          <w:lang w:eastAsia="en-US"/>
          <w14:ligatures w14:val="standardContextual"/>
        </w:rPr>
        <w:t>usi</w:t>
      </w:r>
      <w:r w:rsidRPr="00417E12">
        <w:rPr>
          <w:rFonts w:asciiTheme="majorBidi" w:eastAsiaTheme="minorHAnsi" w:hAnsiTheme="majorBidi" w:cstheme="majorBidi"/>
          <w:lang w:eastAsia="en-US"/>
          <w14:ligatures w14:val="standardContextual"/>
        </w:rPr>
        <w:t xml:space="preserve"> budžetā maksājamā nodokļa apmēru.</w:t>
      </w:r>
      <w:r>
        <w:rPr>
          <w:rFonts w:asciiTheme="majorBidi" w:eastAsiaTheme="minorHAnsi" w:hAnsiTheme="majorBidi" w:cstheme="majorBidi"/>
          <w:lang w:eastAsia="en-US"/>
          <w14:ligatures w14:val="standardContextual"/>
        </w:rPr>
        <w:t xml:space="preserve"> </w:t>
      </w:r>
    </w:p>
    <w:p w14:paraId="40ABA21C" w14:textId="77777777" w:rsidR="00BC2C9C" w:rsidRPr="008A135C" w:rsidRDefault="00BC2C9C" w:rsidP="00BE7E70">
      <w:pPr>
        <w:spacing w:line="276" w:lineRule="auto"/>
        <w:ind w:firstLine="720"/>
        <w:jc w:val="both"/>
      </w:pPr>
    </w:p>
    <w:p w14:paraId="1376EA36" w14:textId="537F762A" w:rsidR="00BC2C9C" w:rsidRPr="00A207A0" w:rsidRDefault="00BC2C9C" w:rsidP="00BE7E70">
      <w:pPr>
        <w:spacing w:line="276" w:lineRule="auto"/>
        <w:ind w:firstLine="720"/>
        <w:jc w:val="both"/>
        <w:rPr>
          <w:i/>
          <w:iCs/>
        </w:rPr>
      </w:pPr>
      <w:r w:rsidRPr="00A207A0">
        <w:rPr>
          <w:i/>
          <w:iCs/>
        </w:rPr>
        <w:t>Pieteicējas kasācijas sūdzība</w:t>
      </w:r>
    </w:p>
    <w:p w14:paraId="5403CB85" w14:textId="4A422C18" w:rsidR="00BC2C9C" w:rsidRPr="00C06771" w:rsidRDefault="00BC2C9C" w:rsidP="00BE7E70">
      <w:pPr>
        <w:autoSpaceDE w:val="0"/>
        <w:autoSpaceDN w:val="0"/>
        <w:adjustRightInd w:val="0"/>
        <w:spacing w:line="276" w:lineRule="auto"/>
        <w:ind w:firstLine="720"/>
        <w:jc w:val="both"/>
        <w:rPr>
          <w:rFonts w:eastAsia="Calibri"/>
          <w:lang w:eastAsia="en-US"/>
        </w:rPr>
      </w:pPr>
      <w:r w:rsidRPr="0083065B">
        <w:t>[</w:t>
      </w:r>
      <w:r>
        <w:t>3</w:t>
      </w:r>
      <w:r w:rsidRPr="0083065B">
        <w:t>]</w:t>
      </w:r>
      <w:r>
        <w:t xml:space="preserve"> </w:t>
      </w:r>
      <w:r w:rsidRPr="00C06771">
        <w:t xml:space="preserve">Pieteicēja par </w:t>
      </w:r>
      <w:r w:rsidR="00C65C8E">
        <w:t xml:space="preserve">Administratīvās </w:t>
      </w:r>
      <w:r w:rsidRPr="00C06771">
        <w:t xml:space="preserve">apgabaltiesas spriedumu iesniedza kasācijas sūdzību, </w:t>
      </w:r>
      <w:r w:rsidRPr="00C06771">
        <w:rPr>
          <w:rFonts w:eastAsia="Calibri"/>
          <w:lang w:eastAsia="en-US"/>
        </w:rPr>
        <w:t>izvirzot turpmāk minētos pamatus sprieduma atcelšanai.</w:t>
      </w:r>
    </w:p>
    <w:p w14:paraId="17898104" w14:textId="77777777" w:rsidR="00E44A99" w:rsidRDefault="00E44A99" w:rsidP="00BE7E70">
      <w:pPr>
        <w:spacing w:line="276" w:lineRule="auto"/>
        <w:ind w:firstLine="720"/>
        <w:jc w:val="both"/>
      </w:pPr>
      <w:bookmarkStart w:id="2" w:name="_Hlk98934771"/>
      <w:r w:rsidRPr="0083065B">
        <w:t>[</w:t>
      </w:r>
      <w:r>
        <w:t>3</w:t>
      </w:r>
      <w:r w:rsidRPr="0083065B">
        <w:t>.1]</w:t>
      </w:r>
      <w:r>
        <w:t xml:space="preserve"> Kā pirmo pamatu pieteicēja norāda, ka apgabaltiesa, pievienojoties pirmās instances tiesas spriedumam, nepareizi interpretējusi tiesību normās noteikto kārtību pievienotās vērtības nodokļa proporcijas aprēķinam priekšnodokļa daļas noteikšanai, kā rezultātā pieteicējai ir liegtas tiesības uz priekšnodokli. </w:t>
      </w:r>
    </w:p>
    <w:p w14:paraId="11272C54" w14:textId="7E1BCC13" w:rsidR="00E44A99" w:rsidRDefault="00E44A99" w:rsidP="00BE7E70">
      <w:pPr>
        <w:autoSpaceDE w:val="0"/>
        <w:autoSpaceDN w:val="0"/>
        <w:adjustRightInd w:val="0"/>
        <w:spacing w:line="276" w:lineRule="auto"/>
        <w:ind w:firstLine="720"/>
        <w:jc w:val="both"/>
      </w:pPr>
      <w:r w:rsidRPr="00A048BB">
        <w:lastRenderedPageBreak/>
        <w:t>Pieteicēj</w:t>
      </w:r>
      <w:r>
        <w:t>a</w:t>
      </w:r>
      <w:r w:rsidRPr="00A048BB">
        <w:t xml:space="preserve"> norād</w:t>
      </w:r>
      <w:r>
        <w:t>a</w:t>
      </w:r>
      <w:r w:rsidRPr="00A048BB">
        <w:t>, ka Pievienotās vērtības nodokļa likuma 138.panta divdesmit pirmā daļ</w:t>
      </w:r>
      <w:r>
        <w:t>a</w:t>
      </w:r>
      <w:r w:rsidRPr="00A048BB">
        <w:t xml:space="preserve"> </w:t>
      </w:r>
      <w:r>
        <w:t>noteic</w:t>
      </w:r>
      <w:r w:rsidRPr="00A048BB">
        <w:t xml:space="preserve"> priekšnodokļa atskaitīšanu konkrētam lietotas mantas iegādes un piegādes darījumam, bet</w:t>
      </w:r>
      <w:r>
        <w:t xml:space="preserve"> </w:t>
      </w:r>
      <w:r w:rsidRPr="00A048BB">
        <w:t>ne priekšnodokļa atskaitīšanu par administratīvajiem izdevumiem, kas saistīti ar šo darījumu</w:t>
      </w:r>
      <w:r>
        <w:t>,</w:t>
      </w:r>
      <w:r w:rsidRPr="00A048BB">
        <w:t xml:space="preserve"> ja, piegādājot preci saskaņā ar Pievienotās vērtības</w:t>
      </w:r>
      <w:r>
        <w:t xml:space="preserve"> </w:t>
      </w:r>
      <w:r w:rsidRPr="00A048BB">
        <w:t>nodokļa likuma 138.pantu, neveidojas valsts budžetā maksājamais nodoklis.</w:t>
      </w:r>
    </w:p>
    <w:p w14:paraId="26DC5CFF" w14:textId="0777DE8F" w:rsidR="00E44A99" w:rsidRDefault="00E44A99" w:rsidP="00BE7E70">
      <w:pPr>
        <w:autoSpaceDE w:val="0"/>
        <w:autoSpaceDN w:val="0"/>
        <w:adjustRightInd w:val="0"/>
        <w:spacing w:line="276" w:lineRule="auto"/>
        <w:ind w:firstLine="720"/>
        <w:jc w:val="both"/>
      </w:pPr>
      <w:r w:rsidRPr="001C6156">
        <w:t>Visi darījumi</w:t>
      </w:r>
      <w:r>
        <w:t xml:space="preserve"> (izņemot </w:t>
      </w:r>
      <w:r w:rsidRPr="001C6156">
        <w:t>Pievienotās</w:t>
      </w:r>
      <w:r>
        <w:t> </w:t>
      </w:r>
      <w:r w:rsidRPr="001C6156">
        <w:t>vērtības nodokļa likuma 52.pantā</w:t>
      </w:r>
      <w:r>
        <w:t xml:space="preserve"> noteikt</w:t>
      </w:r>
      <w:r w:rsidR="004469CE">
        <w:t>os</w:t>
      </w:r>
      <w:r>
        <w:t>)</w:t>
      </w:r>
      <w:r w:rsidRPr="001C6156">
        <w:t>, kas veikti saimnieciskās darbības ietvaros, t.sk. preču piegāde un pakalpojumu</w:t>
      </w:r>
      <w:r>
        <w:t xml:space="preserve"> </w:t>
      </w:r>
      <w:r w:rsidRPr="001C6156">
        <w:t>sniegšana par atlīdzību, ir apliekami darījumi (Pievienotās vērtības nodokļa likuma 5.panta pirmā daļa),</w:t>
      </w:r>
      <w:r>
        <w:t xml:space="preserve"> </w:t>
      </w:r>
      <w:r w:rsidRPr="001C6156">
        <w:t xml:space="preserve">ja vien konkrētajai preču piegādei netiek piemērots atbrīvojums. </w:t>
      </w:r>
      <w:r>
        <w:t>T</w:t>
      </w:r>
      <w:r w:rsidRPr="001C6156">
        <w:t>ransportlīdzekļu piegādes,</w:t>
      </w:r>
      <w:r>
        <w:t xml:space="preserve"> </w:t>
      </w:r>
      <w:r w:rsidRPr="001C6156">
        <w:t xml:space="preserve">tostarp, lietotu </w:t>
      </w:r>
      <w:r w:rsidR="004469CE">
        <w:t xml:space="preserve">transportlīdzekļu </w:t>
      </w:r>
      <w:r>
        <w:t>piegāde</w:t>
      </w:r>
      <w:r w:rsidRPr="001C6156">
        <w:t xml:space="preserve"> </w:t>
      </w:r>
      <w:r w:rsidR="004469CE" w:rsidRPr="001C6156">
        <w:t>uz līzinga nosacījumiem</w:t>
      </w:r>
      <w:r w:rsidR="004469CE">
        <w:t xml:space="preserve"> </w:t>
      </w:r>
      <w:r w:rsidRPr="001C6156">
        <w:t xml:space="preserve">nav neapliekams darījums. </w:t>
      </w:r>
      <w:r>
        <w:t>Tādēļ š</w:t>
      </w:r>
      <w:r w:rsidRPr="001C6156">
        <w:t>ie darījum</w:t>
      </w:r>
      <w:r w:rsidR="002E78BF">
        <w:t>i</w:t>
      </w:r>
      <w:r w:rsidRPr="001C6156">
        <w:t xml:space="preserve"> atbilstoši Pievienotās</w:t>
      </w:r>
      <w:r>
        <w:t xml:space="preserve"> </w:t>
      </w:r>
      <w:r w:rsidRPr="001C6156">
        <w:t xml:space="preserve">vērtības nodokļa likuma regulējumam ir iekļaujami </w:t>
      </w:r>
      <w:r>
        <w:t>pievienotās vērtības nodokļa</w:t>
      </w:r>
      <w:r w:rsidRPr="001C6156">
        <w:t xml:space="preserve"> proporcijas aprēķinā.</w:t>
      </w:r>
      <w:r>
        <w:t xml:space="preserve"> Pieteicēja uzskata, ka </w:t>
      </w:r>
      <w:r w:rsidRPr="001C6156">
        <w:t xml:space="preserve">proporcijas aprēķinā nedrīkst iekļaut </w:t>
      </w:r>
      <w:r>
        <w:t xml:space="preserve">vien </w:t>
      </w:r>
      <w:r w:rsidRPr="001C6156">
        <w:t>darījumus</w:t>
      </w:r>
      <w:r>
        <w:t xml:space="preserve">, kas noteikti Pievienotās vērtības nodokļa likuma </w:t>
      </w:r>
      <w:r w:rsidRPr="001C6156">
        <w:t>98.panta</w:t>
      </w:r>
      <w:r>
        <w:t> </w:t>
      </w:r>
      <w:r w:rsidRPr="001C6156">
        <w:t>treš</w:t>
      </w:r>
      <w:r>
        <w:t>ajā un ceturtajā</w:t>
      </w:r>
      <w:r w:rsidRPr="001C6156">
        <w:t xml:space="preserve"> daļ</w:t>
      </w:r>
      <w:r>
        <w:t>ā, savukārt v</w:t>
      </w:r>
      <w:r w:rsidRPr="001C6156">
        <w:t>is</w:t>
      </w:r>
      <w:r>
        <w:t>u</w:t>
      </w:r>
      <w:r w:rsidRPr="001C6156">
        <w:t xml:space="preserve"> pārējo darījumu, kuri ir Pievienotās</w:t>
      </w:r>
      <w:r>
        <w:t> </w:t>
      </w:r>
      <w:r w:rsidRPr="001C6156">
        <w:t>vērtības nodokļa likuma tvērumā, vērtības ir</w:t>
      </w:r>
      <w:r>
        <w:t xml:space="preserve"> </w:t>
      </w:r>
      <w:r w:rsidRPr="001C6156">
        <w:t>iekļaujamas proporcijas aprēķinā</w:t>
      </w:r>
      <w:r>
        <w:t>, tostarp</w:t>
      </w:r>
      <w:r w:rsidRPr="00A22011">
        <w:t xml:space="preserve"> </w:t>
      </w:r>
      <w:r>
        <w:t>tādu darījumu vērtību, kas veikti saskaņā ar Pievienotās vērtības nodokļa likuma 138.pantā noteikto īpašo nodokļa piemērošanas režīmu un kuru rezultātā neveidojas valsts budžetā maksājamais pievienotās vērtības nodoklis.</w:t>
      </w:r>
      <w:r w:rsidRPr="001C6156">
        <w:t xml:space="preserve"> </w:t>
      </w:r>
    </w:p>
    <w:p w14:paraId="6EE86B3D" w14:textId="15108166" w:rsidR="00E44A99" w:rsidRDefault="00E44A99" w:rsidP="00BE7E70">
      <w:pPr>
        <w:autoSpaceDE w:val="0"/>
        <w:autoSpaceDN w:val="0"/>
        <w:adjustRightInd w:val="0"/>
        <w:spacing w:line="276" w:lineRule="auto"/>
        <w:ind w:firstLine="720"/>
        <w:jc w:val="both"/>
      </w:pPr>
      <w:r>
        <w:t>Pieteicēja uzskata, ka no Pievienotās vērtības nodokļa likuma un Padomes 2006.gada 28.novembra direktīvas 2006/112/EK par kopējo pievienotās vērtības nodokļa sistēmu (turpmāk – Pievienotās vērtības nodokļa direktīva)</w:t>
      </w:r>
      <w:r w:rsidRPr="00DA70D1">
        <w:t xml:space="preserve"> 323.panta</w:t>
      </w:r>
      <w:r>
        <w:t xml:space="preserve"> </w:t>
      </w:r>
      <w:r w:rsidRPr="00DA70D1">
        <w:t>izriet, ka priekšnodoklis</w:t>
      </w:r>
      <w:r>
        <w:t xml:space="preserve"> </w:t>
      </w:r>
      <w:r w:rsidRPr="00DA70D1">
        <w:t>nav atskaitāms tikai un vienīgi par pašu preču</w:t>
      </w:r>
      <w:r w:rsidR="002E78BF">
        <w:t>,</w:t>
      </w:r>
      <w:r w:rsidRPr="00DA70D1">
        <w:t xml:space="preserve"> kas vēlāk tiek pārdota</w:t>
      </w:r>
      <w:r w:rsidR="002E78BF">
        <w:t>s</w:t>
      </w:r>
      <w:r w:rsidR="002E78BF" w:rsidRPr="00DA70D1">
        <w:t xml:space="preserve">, </w:t>
      </w:r>
      <w:r w:rsidRPr="00DA70D1">
        <w:t>izmantojot īpašo</w:t>
      </w:r>
      <w:r>
        <w:t xml:space="preserve"> nodokļa</w:t>
      </w:r>
      <w:r w:rsidRPr="00DA70D1">
        <w:t xml:space="preserve"> režīmu lietotām mantām</w:t>
      </w:r>
      <w:r w:rsidR="002E78BF">
        <w:t>,</w:t>
      </w:r>
      <w:r w:rsidR="002E78BF" w:rsidRPr="002E78BF">
        <w:t xml:space="preserve"> </w:t>
      </w:r>
      <w:r w:rsidR="002E78BF" w:rsidRPr="00DA70D1">
        <w:t>iegādi (importu)</w:t>
      </w:r>
      <w:r w:rsidRPr="00DA70D1">
        <w:t xml:space="preserve">. </w:t>
      </w:r>
      <w:r w:rsidR="004469CE">
        <w:t>P</w:t>
      </w:r>
      <w:r w:rsidRPr="00DA70D1">
        <w:t>ar citiem</w:t>
      </w:r>
      <w:r>
        <w:t xml:space="preserve"> </w:t>
      </w:r>
      <w:r w:rsidRPr="00DA70D1">
        <w:t xml:space="preserve">izdevumiem, kas rodas nodokļa maksātājam, kas preču piegādēm izmanto īpašo </w:t>
      </w:r>
      <w:r>
        <w:t>nodokļa</w:t>
      </w:r>
      <w:r w:rsidRPr="00DA70D1">
        <w:t xml:space="preserve"> režīmu lietotu</w:t>
      </w:r>
      <w:r>
        <w:t xml:space="preserve"> </w:t>
      </w:r>
      <w:r w:rsidRPr="00DA70D1">
        <w:t>mantu tirdzniecībā, priekšnodoklis atskaitāms, ievērojot vispārējos priekšnodokļa atskaitīšanas principus.</w:t>
      </w:r>
      <w:r>
        <w:t xml:space="preserve"> </w:t>
      </w:r>
    </w:p>
    <w:p w14:paraId="656703BC" w14:textId="05D6A7B9" w:rsidR="00E44A99" w:rsidRDefault="00E44A99" w:rsidP="00BE7E70">
      <w:pPr>
        <w:spacing w:line="276" w:lineRule="auto"/>
        <w:ind w:firstLine="720"/>
        <w:jc w:val="both"/>
      </w:pPr>
      <w:r w:rsidRPr="00071E31">
        <w:t xml:space="preserve">[3.2] Kā otro pamatu pieteicēja norāda </w:t>
      </w:r>
      <w:r>
        <w:t xml:space="preserve">uz audita laikā dienesta pieļautām kļūdām, piemērojot pievienotās vērtības nodokļa proporciju arī pievienotās vērtības nodokļa bāzei. </w:t>
      </w:r>
      <w:r w:rsidR="004469CE">
        <w:t>P</w:t>
      </w:r>
      <w:r>
        <w:t>ieteicēja atzīst, ka iebildumus par dienesta veiktā aprēķina pareizību tā cēlusi vien tiesā, savukārt apstrīdēšanas procesā iestādē pieteicēja aprēķina nepareizību nav pamanījusi un attiecīgi tādēļ nav iesniegusi pierādījumus, kas pamatotu tās viedokli.</w:t>
      </w:r>
      <w:r w:rsidRPr="00004C5F">
        <w:t xml:space="preserve"> </w:t>
      </w:r>
      <w:r w:rsidR="004469CE">
        <w:t>Tomēr p</w:t>
      </w:r>
      <w:r>
        <w:t>ieteicēja uzskata, ka</w:t>
      </w:r>
      <w:r w:rsidR="004469CE">
        <w:t>,</w:t>
      </w:r>
      <w:r>
        <w:t xml:space="preserve"> tā kā viņa tiesvedības laikā vērsa tiesas uzmanību uz konkrēto apstākļu esību un iesniedza tiesai dokumentus, tad apgabaltiesas pienākums tiesvedības procesā bija labot dienesta pieļauto kļūdu. Tā kā Administratīvā apgabaltiesa nav izvērtējusi pieteicējas iesniegtos pierādījumus, kas apstiprina dienesta pieļauto kļūdu, </w:t>
      </w:r>
      <w:r w:rsidR="004469CE">
        <w:t>tā</w:t>
      </w:r>
      <w:r>
        <w:t xml:space="preserve"> ir pieļāvusi Administratīvā procesa likuma 154.panta pirmās daļas pārkāpumu.</w:t>
      </w:r>
    </w:p>
    <w:p w14:paraId="3C0737D0" w14:textId="77777777" w:rsidR="00E44A99" w:rsidRDefault="00E44A99" w:rsidP="00BE7E70">
      <w:pPr>
        <w:pStyle w:val="tv213"/>
        <w:shd w:val="clear" w:color="auto" w:fill="FFFFFF"/>
        <w:spacing w:before="0" w:beforeAutospacing="0" w:after="0" w:afterAutospacing="0" w:line="276" w:lineRule="auto"/>
        <w:ind w:firstLine="720"/>
        <w:jc w:val="both"/>
        <w:rPr>
          <w:lang w:val="lv-LV"/>
        </w:rPr>
      </w:pPr>
      <w:r w:rsidRPr="001011B6">
        <w:rPr>
          <w:rFonts w:asciiTheme="majorBidi" w:hAnsiTheme="majorBidi" w:cstheme="majorBidi"/>
          <w:lang w:val="lv-LV"/>
        </w:rPr>
        <w:t xml:space="preserve">[3.3] Kā trešo pamatu pieteicēja norāda </w:t>
      </w:r>
      <w:r>
        <w:rPr>
          <w:rFonts w:asciiTheme="majorBidi" w:hAnsiTheme="majorBidi" w:cstheme="majorBidi"/>
          <w:lang w:val="lv-LV"/>
        </w:rPr>
        <w:t xml:space="preserve">uz dienesta nepamatoti audita </w:t>
      </w:r>
      <w:r w:rsidRPr="001011B6">
        <w:rPr>
          <w:lang w:val="lv-LV"/>
        </w:rPr>
        <w:t>rezultātā aprēķināt</w:t>
      </w:r>
      <w:r>
        <w:rPr>
          <w:lang w:val="lv-LV"/>
        </w:rPr>
        <w:t>o</w:t>
      </w:r>
      <w:r w:rsidRPr="001011B6">
        <w:rPr>
          <w:lang w:val="lv-LV"/>
        </w:rPr>
        <w:t xml:space="preserve"> nokavējuma naud</w:t>
      </w:r>
      <w:r>
        <w:rPr>
          <w:lang w:val="lv-LV"/>
        </w:rPr>
        <w:t>u.</w:t>
      </w:r>
    </w:p>
    <w:p w14:paraId="7BF4EB58" w14:textId="40FFE488" w:rsidR="00E44A99" w:rsidRPr="006B357D" w:rsidRDefault="00E44A99" w:rsidP="00BE7E7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1011B6">
        <w:rPr>
          <w:rFonts w:asciiTheme="majorBidi" w:hAnsiTheme="majorBidi" w:cstheme="majorBidi"/>
          <w:lang w:eastAsia="en-US"/>
        </w:rPr>
        <w:t xml:space="preserve">Tā kā </w:t>
      </w:r>
      <w:r>
        <w:rPr>
          <w:rFonts w:asciiTheme="majorBidi" w:hAnsiTheme="majorBidi" w:cstheme="majorBidi"/>
        </w:rPr>
        <w:t>p</w:t>
      </w:r>
      <w:r w:rsidRPr="001011B6">
        <w:rPr>
          <w:rFonts w:asciiTheme="majorBidi" w:hAnsiTheme="majorBidi" w:cstheme="majorBidi"/>
          <w:lang w:eastAsia="en-US"/>
        </w:rPr>
        <w:t xml:space="preserve">ieteicēja nodokli bija samaksājusi jau sākotnēji, iesniedzot </w:t>
      </w:r>
      <w:r>
        <w:rPr>
          <w:rFonts w:asciiTheme="majorBidi" w:hAnsiTheme="majorBidi" w:cstheme="majorBidi"/>
        </w:rPr>
        <w:t xml:space="preserve">pievienotās vērtības nodokļa </w:t>
      </w:r>
      <w:r w:rsidRPr="001011B6">
        <w:rPr>
          <w:rFonts w:asciiTheme="majorBidi" w:hAnsiTheme="majorBidi" w:cstheme="majorBidi"/>
          <w:lang w:eastAsia="en-US"/>
        </w:rPr>
        <w:t xml:space="preserve">deklarācijas pirmo reizi, un pēc deklarāciju precizējumiem nodoklis </w:t>
      </w:r>
      <w:r>
        <w:rPr>
          <w:rFonts w:asciiTheme="majorBidi" w:hAnsiTheme="majorBidi" w:cstheme="majorBidi"/>
        </w:rPr>
        <w:t>p</w:t>
      </w:r>
      <w:r w:rsidRPr="001011B6">
        <w:rPr>
          <w:rFonts w:asciiTheme="majorBidi" w:hAnsiTheme="majorBidi" w:cstheme="majorBidi"/>
          <w:lang w:eastAsia="en-US"/>
        </w:rPr>
        <w:t xml:space="preserve">ieteicējai netika atmaksāts, </w:t>
      </w:r>
      <w:r>
        <w:rPr>
          <w:rFonts w:asciiTheme="majorBidi" w:hAnsiTheme="majorBidi" w:cstheme="majorBidi"/>
        </w:rPr>
        <w:t xml:space="preserve">pievienotās vērtības </w:t>
      </w:r>
      <w:r w:rsidRPr="001011B6">
        <w:rPr>
          <w:rFonts w:asciiTheme="majorBidi" w:hAnsiTheme="majorBidi" w:cstheme="majorBidi"/>
          <w:lang w:eastAsia="en-US"/>
        </w:rPr>
        <w:t xml:space="preserve">nodoklis </w:t>
      </w:r>
      <w:r>
        <w:rPr>
          <w:rFonts w:asciiTheme="majorBidi" w:hAnsiTheme="majorBidi" w:cstheme="majorBidi"/>
        </w:rPr>
        <w:t>p</w:t>
      </w:r>
      <w:r w:rsidRPr="001011B6">
        <w:rPr>
          <w:rFonts w:asciiTheme="majorBidi" w:hAnsiTheme="majorBidi" w:cstheme="majorBidi"/>
          <w:lang w:eastAsia="en-US"/>
        </w:rPr>
        <w:t xml:space="preserve">ieteicējai pēc </w:t>
      </w:r>
      <w:r w:rsidRPr="006B357D">
        <w:rPr>
          <w:rFonts w:asciiTheme="majorBidi" w:eastAsiaTheme="minorHAnsi" w:hAnsiTheme="majorBidi" w:cstheme="majorBidi"/>
          <w:lang w:eastAsia="en-US"/>
          <w14:ligatures w14:val="standardContextual"/>
        </w:rPr>
        <w:t xml:space="preserve">dienesta audita lēmumu saņemšanas valsts budžetā nebija jāmaksā, jo pieteicējai </w:t>
      </w:r>
      <w:r w:rsidR="004469CE">
        <w:rPr>
          <w:rFonts w:asciiTheme="majorBidi" w:eastAsiaTheme="minorHAnsi" w:hAnsiTheme="majorBidi" w:cstheme="majorBidi"/>
          <w:lang w:eastAsia="en-US"/>
          <w14:ligatures w14:val="standardContextual"/>
        </w:rPr>
        <w:t xml:space="preserve">faktiski </w:t>
      </w:r>
      <w:r w:rsidRPr="006B357D">
        <w:rPr>
          <w:rFonts w:asciiTheme="majorBidi" w:eastAsiaTheme="minorHAnsi" w:hAnsiTheme="majorBidi" w:cstheme="majorBidi"/>
          <w:lang w:eastAsia="en-US"/>
          <w14:ligatures w14:val="standardContextual"/>
        </w:rPr>
        <w:t>nebija nodokļu parād</w:t>
      </w:r>
      <w:r w:rsidR="004469CE">
        <w:rPr>
          <w:rFonts w:asciiTheme="majorBidi" w:eastAsiaTheme="minorHAnsi" w:hAnsiTheme="majorBidi" w:cstheme="majorBidi"/>
          <w:lang w:eastAsia="en-US"/>
          <w14:ligatures w14:val="standardContextual"/>
        </w:rPr>
        <w:t>a</w:t>
      </w:r>
      <w:r w:rsidRPr="006B357D">
        <w:rPr>
          <w:rFonts w:asciiTheme="majorBidi" w:eastAsiaTheme="minorHAnsi" w:hAnsiTheme="majorBidi" w:cstheme="majorBidi"/>
          <w:lang w:eastAsia="en-US"/>
          <w14:ligatures w14:val="standardContextual"/>
        </w:rPr>
        <w:t>. Dienesta veikto auditu rezultātā aprēķinātais valsts budžetā maksājamais pievienotās vērtības nodoklis jau bija iemaksāts (atradās) valsts budžetā</w:t>
      </w:r>
      <w:r w:rsidR="004469CE">
        <w:rPr>
          <w:rFonts w:asciiTheme="majorBidi" w:eastAsiaTheme="minorHAnsi" w:hAnsiTheme="majorBidi" w:cstheme="majorBidi"/>
          <w:lang w:eastAsia="en-US"/>
          <w14:ligatures w14:val="standardContextual"/>
        </w:rPr>
        <w:t xml:space="preserve"> un v</w:t>
      </w:r>
      <w:r w:rsidRPr="006B357D">
        <w:rPr>
          <w:rFonts w:asciiTheme="majorBidi" w:eastAsiaTheme="minorHAnsi" w:hAnsiTheme="majorBidi" w:cstheme="majorBidi"/>
          <w:lang w:eastAsia="en-US"/>
          <w14:ligatures w14:val="standardContextual"/>
        </w:rPr>
        <w:t>alstij bija iespējams auditu</w:t>
      </w:r>
      <w:r>
        <w:rPr>
          <w:rFonts w:asciiTheme="majorBidi" w:eastAsiaTheme="minorHAnsi" w:hAnsiTheme="majorBidi" w:cstheme="majorBidi"/>
          <w:lang w:eastAsia="en-US"/>
          <w14:ligatures w14:val="standardContextual"/>
        </w:rPr>
        <w:t xml:space="preserve"> </w:t>
      </w:r>
      <w:r w:rsidRPr="006B357D">
        <w:rPr>
          <w:rFonts w:asciiTheme="majorBidi" w:eastAsiaTheme="minorHAnsi" w:hAnsiTheme="majorBidi" w:cstheme="majorBidi"/>
          <w:lang w:eastAsia="en-US"/>
          <w14:ligatures w14:val="standardContextual"/>
        </w:rPr>
        <w:t xml:space="preserve">rezultātā papildus aprēķinātos nodokļus lietot jeb </w:t>
      </w:r>
      <w:r>
        <w:t>„</w:t>
      </w:r>
      <w:r w:rsidRPr="006B357D">
        <w:rPr>
          <w:rFonts w:asciiTheme="majorBidi" w:eastAsiaTheme="minorHAnsi" w:hAnsiTheme="majorBidi" w:cstheme="majorBidi"/>
          <w:lang w:eastAsia="en-US"/>
          <w14:ligatures w14:val="standardContextual"/>
        </w:rPr>
        <w:t>apsaimniekot”.</w:t>
      </w:r>
    </w:p>
    <w:p w14:paraId="7DF5856D" w14:textId="1041FAE2" w:rsidR="00E44A99" w:rsidRPr="00D83175" w:rsidRDefault="00E44A99" w:rsidP="00BE7E70">
      <w:pPr>
        <w:autoSpaceDE w:val="0"/>
        <w:autoSpaceDN w:val="0"/>
        <w:adjustRightInd w:val="0"/>
        <w:spacing w:line="276" w:lineRule="auto"/>
        <w:ind w:firstLine="720"/>
        <w:jc w:val="both"/>
        <w:rPr>
          <w:rFonts w:asciiTheme="majorBidi" w:hAnsiTheme="majorBidi" w:cstheme="majorBidi"/>
          <w:lang w:eastAsia="en-US"/>
        </w:rPr>
      </w:pPr>
      <w:r w:rsidRPr="006B357D">
        <w:rPr>
          <w:rFonts w:asciiTheme="majorBidi" w:eastAsiaTheme="minorHAnsi" w:hAnsiTheme="majorBidi" w:cstheme="majorBidi"/>
          <w:lang w:eastAsia="en-US"/>
          <w14:ligatures w14:val="standardContextual"/>
        </w:rPr>
        <w:lastRenderedPageBreak/>
        <w:t>Pieteicēja uzskata, ka apgabaltiesa minētos apstākļus nav ņēmusi v</w:t>
      </w:r>
      <w:r w:rsidRPr="001011B6">
        <w:rPr>
          <w:rFonts w:asciiTheme="majorBidi" w:hAnsiTheme="majorBidi" w:cstheme="majorBidi"/>
          <w:lang w:eastAsia="en-US"/>
        </w:rPr>
        <w:t>ērā</w:t>
      </w:r>
      <w:r>
        <w:rPr>
          <w:rFonts w:asciiTheme="majorBidi" w:hAnsiTheme="majorBidi" w:cstheme="majorBidi"/>
          <w:lang w:eastAsia="en-US"/>
        </w:rPr>
        <w:t xml:space="preserve">, pārkāpjot </w:t>
      </w:r>
      <w:r w:rsidRPr="006B357D">
        <w:rPr>
          <w:rFonts w:asciiTheme="majorBidi" w:hAnsiTheme="majorBidi" w:cstheme="majorBidi"/>
          <w:lang w:eastAsia="en-US"/>
        </w:rPr>
        <w:t>Administratīvā procesa likuma 154.pantu pirmo daļu</w:t>
      </w:r>
      <w:r>
        <w:rPr>
          <w:rFonts w:asciiTheme="majorBidi" w:hAnsiTheme="majorBidi" w:cstheme="majorBidi"/>
          <w:lang w:eastAsia="en-US"/>
        </w:rPr>
        <w:t>,</w:t>
      </w:r>
      <w:r w:rsidRPr="006B357D">
        <w:rPr>
          <w:rFonts w:asciiTheme="majorBidi" w:hAnsiTheme="majorBidi" w:cstheme="majorBidi"/>
          <w:lang w:eastAsia="en-US"/>
        </w:rPr>
        <w:t xml:space="preserve"> un izšķīrusi strīdu, pamatojoties uz faktu, kas n</w:t>
      </w:r>
      <w:r>
        <w:rPr>
          <w:rFonts w:asciiTheme="majorBidi" w:hAnsiTheme="majorBidi" w:cstheme="majorBidi"/>
          <w:lang w:eastAsia="en-US"/>
        </w:rPr>
        <w:t>ebija</w:t>
      </w:r>
      <w:r w:rsidRPr="006B357D">
        <w:rPr>
          <w:rFonts w:asciiTheme="majorBidi" w:hAnsiTheme="majorBidi" w:cstheme="majorBidi"/>
          <w:lang w:eastAsia="en-US"/>
        </w:rPr>
        <w:t xml:space="preserve"> pārbaudīts.</w:t>
      </w:r>
      <w:r w:rsidR="002E78BF">
        <w:rPr>
          <w:rFonts w:asciiTheme="majorBidi" w:hAnsiTheme="majorBidi" w:cstheme="majorBidi"/>
          <w:lang w:eastAsia="en-US"/>
        </w:rPr>
        <w:t xml:space="preserve"> </w:t>
      </w:r>
    </w:p>
    <w:p w14:paraId="59080E33" w14:textId="77777777" w:rsidR="00D6165A" w:rsidRPr="00D83175" w:rsidRDefault="00D6165A" w:rsidP="00BE7E70">
      <w:pPr>
        <w:spacing w:line="276" w:lineRule="auto"/>
        <w:ind w:firstLine="720"/>
        <w:jc w:val="both"/>
        <w:rPr>
          <w:rFonts w:asciiTheme="majorBidi" w:hAnsiTheme="majorBidi" w:cstheme="majorBidi"/>
          <w:lang w:eastAsia="en-US"/>
        </w:rPr>
      </w:pPr>
    </w:p>
    <w:p w14:paraId="7EBFF368" w14:textId="17E55A0A" w:rsidR="00BC2C9C" w:rsidRPr="002B6EEE" w:rsidRDefault="00BC2C9C" w:rsidP="00BE7E70">
      <w:pPr>
        <w:spacing w:line="276" w:lineRule="auto"/>
        <w:ind w:firstLine="720"/>
        <w:jc w:val="both"/>
        <w:rPr>
          <w:i/>
          <w:iCs/>
          <w:shd w:val="clear" w:color="auto" w:fill="FFFFFF"/>
        </w:rPr>
      </w:pPr>
      <w:r w:rsidRPr="002B6EEE">
        <w:rPr>
          <w:i/>
          <w:iCs/>
          <w:shd w:val="clear" w:color="auto" w:fill="FFFFFF"/>
        </w:rPr>
        <w:t>Valsts ieņēmumu dienesta paskaidrojumi</w:t>
      </w:r>
    </w:p>
    <w:bookmarkEnd w:id="2"/>
    <w:p w14:paraId="15B41345" w14:textId="63C1B695" w:rsidR="001C4FFA" w:rsidRPr="00E11B99" w:rsidRDefault="001C4FFA" w:rsidP="00BE7E70">
      <w:pPr>
        <w:spacing w:line="276" w:lineRule="auto"/>
        <w:ind w:firstLine="720"/>
        <w:jc w:val="both"/>
      </w:pPr>
      <w:r w:rsidRPr="002C620D">
        <w:t>[4] Valsts ieņēmumu dienesta paskaidrojumos par kasācijas sūdzību norādīts, ka tā ir nepamatota un noraidāma</w:t>
      </w:r>
      <w:r w:rsidR="004469CE">
        <w:t xml:space="preserve">, jo </w:t>
      </w:r>
      <w:r>
        <w:t>apgabaltiesa</w:t>
      </w:r>
      <w:r w:rsidR="004469CE">
        <w:t xml:space="preserve"> pareizi piemērojusi</w:t>
      </w:r>
      <w:r>
        <w:t xml:space="preserve"> </w:t>
      </w:r>
      <w:r w:rsidRPr="00E11B99">
        <w:t>Pievienotās vērtības nodokļa likuma 138.</w:t>
      </w:r>
      <w:r w:rsidR="004469CE">
        <w:t>pantu</w:t>
      </w:r>
      <w:r w:rsidRPr="00E11B99">
        <w:t xml:space="preserve"> kopsakar</w:t>
      </w:r>
      <w:r>
        <w:t>ībā</w:t>
      </w:r>
      <w:r w:rsidRPr="00E11B99">
        <w:t xml:space="preserve"> ar 98.pantu</w:t>
      </w:r>
      <w:r w:rsidR="004469CE">
        <w:t xml:space="preserve">, kā arī pareizi izvērtējusi jautājumu par </w:t>
      </w:r>
      <w:r w:rsidRPr="00E11B99">
        <w:t>nodokļa bāzi par periodu no 2016.gada janvāra līdz oktobrim</w:t>
      </w:r>
      <w:r w:rsidR="004469CE">
        <w:t xml:space="preserve"> un par </w:t>
      </w:r>
      <w:r>
        <w:t xml:space="preserve">nokavējuma naudas aprēķina tiesiskumu. </w:t>
      </w:r>
      <w:r w:rsidR="004469CE">
        <w:t>Attiecībā uz nokavējuma naudas aprēķinu dienests norāda, ka p</w:t>
      </w:r>
      <w:r w:rsidRPr="00E11B99">
        <w:t>ieteicēja</w:t>
      </w:r>
      <w:r>
        <w:t>i</w:t>
      </w:r>
      <w:r w:rsidRPr="00E11B99">
        <w:t xml:space="preserve"> visos auditējamos mēnešos deklar</w:t>
      </w:r>
      <w:r>
        <w:t>ētās</w:t>
      </w:r>
      <w:r w:rsidRPr="00E11B99">
        <w:t xml:space="preserve"> </w:t>
      </w:r>
      <w:r>
        <w:t xml:space="preserve">pievienotās vērtības nodokļa </w:t>
      </w:r>
      <w:r w:rsidRPr="00E11B99">
        <w:t>pārmaksas</w:t>
      </w:r>
      <w:r>
        <w:t xml:space="preserve"> atzīstamas par </w:t>
      </w:r>
      <w:r w:rsidRPr="00E11B99">
        <w:t>nodokļa iemaks</w:t>
      </w:r>
      <w:r>
        <w:t>ām, kas</w:t>
      </w:r>
      <w:r w:rsidRPr="00E11B99">
        <w:t xml:space="preserve"> valsts budžetā faktiski nebija veicamas</w:t>
      </w:r>
      <w:r>
        <w:t>.</w:t>
      </w:r>
      <w:r w:rsidRPr="00E11B99">
        <w:t xml:space="preserve"> </w:t>
      </w:r>
      <w:r>
        <w:t>Tādēļ</w:t>
      </w:r>
      <w:r w:rsidRPr="00E11B99">
        <w:t xml:space="preserve"> iemaksātās summas uzskatāmas par kļūdaini iemaksātām, nevis par iemaksāto nodokli, kura atmaksa uz kontu notiktu Pievienotās vērtības nodokļa likumā noteiktajā kārtībā. </w:t>
      </w:r>
      <w:r>
        <w:t>Tā kā dienests</w:t>
      </w:r>
      <w:r w:rsidRPr="00E11B99">
        <w:t xml:space="preserve"> konstatēja, ka </w:t>
      </w:r>
      <w:r>
        <w:t xml:space="preserve">pieteicējas </w:t>
      </w:r>
      <w:r w:rsidRPr="00E11B99">
        <w:t xml:space="preserve">deklarētās pārmaksas ir nepamatotas, </w:t>
      </w:r>
      <w:r>
        <w:t>pieteicējai</w:t>
      </w:r>
      <w:r w:rsidRPr="00E11B99">
        <w:t xml:space="preserve"> tika aprēķināts budžetā maksājamais </w:t>
      </w:r>
      <w:r>
        <w:t>pievienotās vērtības nodoklis</w:t>
      </w:r>
      <w:r w:rsidRPr="00E11B99">
        <w:t xml:space="preserve">. </w:t>
      </w:r>
      <w:r>
        <w:t>Līdz ar to</w:t>
      </w:r>
      <w:r w:rsidRPr="00E11B99">
        <w:t xml:space="preserve"> </w:t>
      </w:r>
      <w:r>
        <w:t xml:space="preserve">pieteicējai </w:t>
      </w:r>
      <w:r w:rsidR="004F41F7" w:rsidRPr="00E11B99">
        <w:t xml:space="preserve">pamatoti </w:t>
      </w:r>
      <w:r>
        <w:t xml:space="preserve">tika </w:t>
      </w:r>
      <w:r w:rsidRPr="00E11B99">
        <w:t>aprēķinā</w:t>
      </w:r>
      <w:r w:rsidR="004F41F7">
        <w:t>t</w:t>
      </w:r>
      <w:r w:rsidRPr="00E11B99">
        <w:t xml:space="preserve">a nokavējuma naudu par </w:t>
      </w:r>
      <w:r w:rsidR="004F41F7" w:rsidRPr="00E11B99">
        <w:t xml:space="preserve">budžetā </w:t>
      </w:r>
      <w:r w:rsidRPr="00E11B99">
        <w:t>lai</w:t>
      </w:r>
      <w:r w:rsidR="004F41F7">
        <w:t>kus</w:t>
      </w:r>
      <w:r w:rsidRPr="00E11B99">
        <w:t xml:space="preserve"> neieskaitīto nodokli. </w:t>
      </w:r>
    </w:p>
    <w:p w14:paraId="78522C74" w14:textId="77777777" w:rsidR="00BC2C9C" w:rsidRPr="008C4A18" w:rsidRDefault="00BC2C9C" w:rsidP="00BE7E70">
      <w:pPr>
        <w:spacing w:line="276" w:lineRule="auto"/>
        <w:ind w:firstLine="720"/>
        <w:jc w:val="both"/>
      </w:pPr>
    </w:p>
    <w:p w14:paraId="03804B51" w14:textId="77777777" w:rsidR="00BC2C9C" w:rsidRDefault="00BC2C9C" w:rsidP="00BE7E70">
      <w:pPr>
        <w:spacing w:line="276" w:lineRule="auto"/>
        <w:jc w:val="center"/>
        <w:rPr>
          <w:b/>
        </w:rPr>
      </w:pPr>
      <w:r w:rsidRPr="0083065B">
        <w:rPr>
          <w:b/>
        </w:rPr>
        <w:t>Motīvu daļa</w:t>
      </w:r>
    </w:p>
    <w:p w14:paraId="6BD60890" w14:textId="77777777" w:rsidR="00BC2C9C" w:rsidRDefault="00BC2C9C" w:rsidP="00BE7E70">
      <w:pPr>
        <w:spacing w:line="276" w:lineRule="auto"/>
        <w:jc w:val="center"/>
        <w:rPr>
          <w:bCs/>
        </w:rPr>
      </w:pPr>
    </w:p>
    <w:p w14:paraId="2E4AB018" w14:textId="0EBCC5EC" w:rsidR="004417EC" w:rsidRDefault="004417EC" w:rsidP="00BE7E70">
      <w:pPr>
        <w:spacing w:line="276" w:lineRule="auto"/>
        <w:ind w:firstLine="720"/>
        <w:jc w:val="both"/>
        <w:rPr>
          <w:i/>
          <w:iCs/>
        </w:rPr>
      </w:pPr>
      <w:r>
        <w:rPr>
          <w:i/>
          <w:iCs/>
        </w:rPr>
        <w:t>Par pievienotās vērtības nodokļa proporcijas aprēķina kārtību atskaitāmās priekšnodokļa daļas noteikšanai</w:t>
      </w:r>
      <w:r w:rsidR="004B4DA9">
        <w:rPr>
          <w:i/>
          <w:iCs/>
        </w:rPr>
        <w:t>.</w:t>
      </w:r>
    </w:p>
    <w:p w14:paraId="28FD6719" w14:textId="3F36464A" w:rsidR="00BC2C9C" w:rsidRDefault="00BC2C9C" w:rsidP="00BE7E70">
      <w:pPr>
        <w:spacing w:line="276" w:lineRule="auto"/>
        <w:ind w:firstLine="720"/>
        <w:jc w:val="both"/>
      </w:pPr>
      <w:r>
        <w:t>[5]</w:t>
      </w:r>
      <w:r w:rsidR="00BB21FA">
        <w:t xml:space="preserve"> Lietā ir izšķirams jautājums, vai Pievienotās vērtības nodokļa likums atļauj nodokļa proporcijas aprēķinā iekļaut tādu darījumu vērtību, </w:t>
      </w:r>
      <w:r w:rsidR="002E78BF">
        <w:t>uz kuriem attiecas</w:t>
      </w:r>
      <w:r w:rsidR="00BB21FA">
        <w:t xml:space="preserve"> Pievienotās vērtības nodokļa likuma 138.pantā noteiktais īpašais nodokļa piemērošanas režīms, ja darījumā netiek piemērots uzcenojums</w:t>
      </w:r>
      <w:r w:rsidR="00532416">
        <w:t xml:space="preserve"> un neveidojas valsts budžetā maksājamais pievienotās vērtības nodoklis</w:t>
      </w:r>
      <w:r w:rsidR="00BB21FA">
        <w:t>.</w:t>
      </w:r>
      <w:r w:rsidR="002E78BF">
        <w:t xml:space="preserve"> </w:t>
      </w:r>
    </w:p>
    <w:p w14:paraId="0B48D853" w14:textId="0AAA02A5" w:rsidR="00BB21FA" w:rsidRDefault="00BB21FA" w:rsidP="00BE7E70">
      <w:pPr>
        <w:spacing w:line="276" w:lineRule="auto"/>
        <w:ind w:firstLine="720"/>
        <w:jc w:val="both"/>
      </w:pPr>
    </w:p>
    <w:p w14:paraId="10322A19" w14:textId="37FCE199" w:rsidR="00532416" w:rsidRDefault="00532416" w:rsidP="00BE7E70">
      <w:pPr>
        <w:spacing w:line="276" w:lineRule="auto"/>
        <w:ind w:firstLine="720"/>
        <w:jc w:val="both"/>
      </w:pPr>
      <w:r>
        <w:t>[6] Kā izriet no lietas apstākļiem, pieteicēja</w:t>
      </w:r>
      <w:r w:rsidR="00DD0F78">
        <w:t>s</w:t>
      </w:r>
      <w:r>
        <w:t xml:space="preserve"> saimnieciskā darbība </w:t>
      </w:r>
      <w:r w:rsidR="00210ECA">
        <w:t xml:space="preserve">pamatā </w:t>
      </w:r>
      <w:r>
        <w:t>izpau</w:t>
      </w:r>
      <w:r w:rsidR="000C39B8">
        <w:t>dās</w:t>
      </w:r>
      <w:r>
        <w:t xml:space="preserve"> kā </w:t>
      </w:r>
      <w:r w:rsidR="00210ECA">
        <w:t xml:space="preserve">kreditēšanas pakalpojumu sniegšana klientiem lietotu transportlīdzekļu iegādei. Pakalpojuma nodrošināšanai pieteicēja klienta interesēs </w:t>
      </w:r>
      <w:r>
        <w:t>no fizisk</w:t>
      </w:r>
      <w:r w:rsidR="009C007B">
        <w:t>ā</w:t>
      </w:r>
      <w:r w:rsidR="00210ECA">
        <w:t>s</w:t>
      </w:r>
      <w:r>
        <w:t xml:space="preserve"> </w:t>
      </w:r>
      <w:r w:rsidR="00210ECA">
        <w:t>vai</w:t>
      </w:r>
      <w:r>
        <w:t xml:space="preserve"> juridisk</w:t>
      </w:r>
      <w:r w:rsidR="009C007B">
        <w:t>ā</w:t>
      </w:r>
      <w:r w:rsidR="00210ECA">
        <w:t>s</w:t>
      </w:r>
      <w:r>
        <w:t xml:space="preserve"> person</w:t>
      </w:r>
      <w:r w:rsidR="00210ECA">
        <w:t>as</w:t>
      </w:r>
      <w:r>
        <w:t xml:space="preserve"> </w:t>
      </w:r>
      <w:r w:rsidR="00DA584B">
        <w:t xml:space="preserve">iegādājās </w:t>
      </w:r>
      <w:r w:rsidR="00210ECA">
        <w:t xml:space="preserve">lietotu transportlīdzekli </w:t>
      </w:r>
      <w:r>
        <w:t>un to</w:t>
      </w:r>
      <w:r w:rsidR="004B4DA9">
        <w:t xml:space="preserve"> </w:t>
      </w:r>
      <w:r>
        <w:t>bez uzcenojuma</w:t>
      </w:r>
      <w:r w:rsidR="00210ECA">
        <w:t xml:space="preserve"> piegādāja klientam.</w:t>
      </w:r>
      <w:r>
        <w:t xml:space="preserve"> </w:t>
      </w:r>
      <w:r w:rsidR="00210ECA">
        <w:t>Pakalpojuma īstenošanai starp pieteicēju un klientu tika slēgts</w:t>
      </w:r>
      <w:r>
        <w:t xml:space="preserve"> </w:t>
      </w:r>
      <w:r w:rsidR="00210ECA">
        <w:t>n</w:t>
      </w:r>
      <w:r>
        <w:t>oma</w:t>
      </w:r>
      <w:r w:rsidR="000617B4">
        <w:t>ksas</w:t>
      </w:r>
      <w:r>
        <w:t xml:space="preserve"> pirkuma </w:t>
      </w:r>
      <w:r w:rsidR="00210ECA">
        <w:t xml:space="preserve">(līzinga) </w:t>
      </w:r>
      <w:r>
        <w:t>līgum</w:t>
      </w:r>
      <w:r w:rsidR="00210ECA">
        <w:t>s, kura</w:t>
      </w:r>
      <w:r>
        <w:t xml:space="preserve"> nosacījumi paredzēja pieteicēja</w:t>
      </w:r>
      <w:r w:rsidR="00210ECA">
        <w:t>i</w:t>
      </w:r>
      <w:r>
        <w:t xml:space="preserve"> tiesības paturēt īpašumā pārdoto transportlīdzekli līdz pilnīgai </w:t>
      </w:r>
      <w:r w:rsidR="00210ECA">
        <w:t xml:space="preserve">transportlīdzekļa </w:t>
      </w:r>
      <w:r>
        <w:t>pirkuma</w:t>
      </w:r>
      <w:r w:rsidR="00210ECA">
        <w:t xml:space="preserve"> summas</w:t>
      </w:r>
      <w:r>
        <w:t xml:space="preserve"> samaksai. Tātad pieteicēja </w:t>
      </w:r>
      <w:r w:rsidR="004B4DA9">
        <w:t xml:space="preserve">ar klientiem </w:t>
      </w:r>
      <w:r>
        <w:t>slē</w:t>
      </w:r>
      <w:r w:rsidR="000C39B8">
        <w:t>dza</w:t>
      </w:r>
      <w:r>
        <w:t xml:space="preserve"> nomas pirkuma (līzinga) darījumus</w:t>
      </w:r>
      <w:r w:rsidR="000C39B8">
        <w:t xml:space="preserve">, kas </w:t>
      </w:r>
      <w:r w:rsidR="003050FE">
        <w:t xml:space="preserve">faktiski </w:t>
      </w:r>
      <w:r w:rsidR="000C39B8">
        <w:t>sastāvēja no transportlīdzekļa piegādes</w:t>
      </w:r>
      <w:r w:rsidR="00DA584B">
        <w:t xml:space="preserve"> pakalpojuma</w:t>
      </w:r>
      <w:r w:rsidR="00760AF0">
        <w:t>, par ko netika gūti ienākumi</w:t>
      </w:r>
      <w:r w:rsidR="004B4DA9">
        <w:t>, jo netika piemērots uzcenojums,</w:t>
      </w:r>
      <w:r w:rsidR="000C39B8">
        <w:t xml:space="preserve"> un </w:t>
      </w:r>
      <w:r w:rsidR="003050FE">
        <w:t xml:space="preserve">pircēja </w:t>
      </w:r>
      <w:r w:rsidR="000C39B8">
        <w:t>kreditēšanas</w:t>
      </w:r>
      <w:r w:rsidR="00BF082C">
        <w:t xml:space="preserve"> </w:t>
      </w:r>
      <w:r w:rsidR="00DA584B">
        <w:t xml:space="preserve">pakalpojuma </w:t>
      </w:r>
      <w:r w:rsidR="004B4DA9">
        <w:t>transportlīdzekļa iegādei</w:t>
      </w:r>
      <w:r w:rsidR="00760AF0">
        <w:t>, kas savukārt veidoja ienākumus no procentu maksājumiem</w:t>
      </w:r>
      <w:r w:rsidR="009961E3">
        <w:t xml:space="preserve"> par piegādātās preces finansēšanu</w:t>
      </w:r>
      <w:r>
        <w:t>.</w:t>
      </w:r>
      <w:r w:rsidR="000617B4">
        <w:t xml:space="preserve"> </w:t>
      </w:r>
    </w:p>
    <w:p w14:paraId="394BCCA5" w14:textId="7B392CFE" w:rsidR="000C39B8" w:rsidRDefault="003050FE" w:rsidP="00BE7E70">
      <w:pPr>
        <w:spacing w:line="276" w:lineRule="auto"/>
        <w:ind w:firstLine="720"/>
        <w:jc w:val="both"/>
      </w:pPr>
      <w:r w:rsidRPr="003050FE">
        <w:t>Atbilstoši Pievienotās vērtības</w:t>
      </w:r>
      <w:r w:rsidR="00E465A9">
        <w:t xml:space="preserve"> nodokļa</w:t>
      </w:r>
      <w:r w:rsidRPr="003050FE">
        <w:t xml:space="preserve"> likuma 1.panta 13.punktam nomaksas pirkums ir preču piegāde, kurā preces piegādātājs saskaņā ar noslēgto nomaksas pirkuma līgumu piegādā konkrētu preci, kas līgumā noteiktajā termiņā pēc visu līgumā noteikto maksājumu izdarīšanas pāriet preces saņēmēja īpašumā</w:t>
      </w:r>
      <w:r w:rsidR="006531B3">
        <w:t>. Saskaņā ar</w:t>
      </w:r>
      <w:r>
        <w:t xml:space="preserve"> </w:t>
      </w:r>
      <w:r w:rsidR="006531B3" w:rsidRPr="003050FE">
        <w:t xml:space="preserve">Pievienotās vērtības </w:t>
      </w:r>
      <w:r w:rsidR="00E465A9">
        <w:t xml:space="preserve">nodokļa </w:t>
      </w:r>
      <w:r w:rsidR="006531B3" w:rsidRPr="003050FE">
        <w:t xml:space="preserve">likuma </w:t>
      </w:r>
      <w:r>
        <w:t>34.panta astot</w:t>
      </w:r>
      <w:r w:rsidR="006531B3">
        <w:t>o daļu</w:t>
      </w:r>
      <w:r>
        <w:t xml:space="preserve"> preču piegāde ir ar pievienotās vērtības nodokli apliekams darījums, bet atbilstoši </w:t>
      </w:r>
      <w:r w:rsidR="006531B3">
        <w:t xml:space="preserve">minētā likuma </w:t>
      </w:r>
      <w:r>
        <w:t xml:space="preserve">52.panta pirmās daļas 21.punkta </w:t>
      </w:r>
      <w:r w:rsidR="009C007B">
        <w:lastRenderedPageBreak/>
        <w:t>„</w:t>
      </w:r>
      <w:r w:rsidR="006531B3">
        <w:rPr>
          <w:rFonts w:asciiTheme="majorBidi" w:hAnsiTheme="majorBidi" w:cstheme="majorBidi"/>
        </w:rPr>
        <w:t>a”</w:t>
      </w:r>
      <w:r w:rsidR="00C21676">
        <w:rPr>
          <w:rFonts w:asciiTheme="majorBidi" w:hAnsiTheme="majorBidi" w:cstheme="majorBidi"/>
        </w:rPr>
        <w:t> </w:t>
      </w:r>
      <w:r w:rsidR="006531B3">
        <w:rPr>
          <w:rFonts w:asciiTheme="majorBidi" w:hAnsiTheme="majorBidi" w:cstheme="majorBidi"/>
        </w:rPr>
        <w:t>apakšpunkt</w:t>
      </w:r>
      <w:r w:rsidR="001F34ED">
        <w:rPr>
          <w:rFonts w:asciiTheme="majorBidi" w:hAnsiTheme="majorBidi" w:cstheme="majorBidi"/>
        </w:rPr>
        <w:t xml:space="preserve">am ar pievienotās vērtības nodokli </w:t>
      </w:r>
      <w:r w:rsidR="001F34ED" w:rsidRPr="001F34ED">
        <w:t>nea</w:t>
      </w:r>
      <w:r w:rsidR="00C21676">
        <w:t>p</w:t>
      </w:r>
      <w:r w:rsidR="001F34ED" w:rsidRPr="001F34ED">
        <w:t>liek kreditēšanu un naudas aizdevumu piešķiršanu (ieskaitot starpniecību), kā arī kredīta pārvaldi, ko veic kredīta piešķīrējs</w:t>
      </w:r>
      <w:r w:rsidR="001F34ED">
        <w:t>.</w:t>
      </w:r>
    </w:p>
    <w:p w14:paraId="4917AFC6" w14:textId="1B13ACB5" w:rsidR="000617B4" w:rsidRDefault="001E30B0" w:rsidP="00BE7E70">
      <w:pPr>
        <w:spacing w:line="276" w:lineRule="auto"/>
        <w:ind w:firstLine="720"/>
        <w:jc w:val="both"/>
      </w:pPr>
      <w:r>
        <w:t xml:space="preserve">Tātad vispārīgi pieteicējas noslēgto nomas pirkuma darījumu ietvaros tika sniegti gan ar </w:t>
      </w:r>
      <w:r w:rsidR="000762FF">
        <w:t xml:space="preserve">pievienotās vērtības </w:t>
      </w:r>
      <w:r>
        <w:t>nodokli apliekami</w:t>
      </w:r>
      <w:r w:rsidR="00D2170F">
        <w:t xml:space="preserve"> </w:t>
      </w:r>
      <w:r w:rsidR="009C007B">
        <w:t xml:space="preserve">darījumi </w:t>
      </w:r>
      <w:r w:rsidR="00D2170F">
        <w:t>(lietotu transportlīdzekļu piegāde)</w:t>
      </w:r>
      <w:r w:rsidR="000762FF">
        <w:t>,</w:t>
      </w:r>
      <w:r>
        <w:t xml:space="preserve"> gan neapliekami darījumi</w:t>
      </w:r>
      <w:r w:rsidR="00D2170F">
        <w:t xml:space="preserve"> (kreditēšanas pakalpojumi)</w:t>
      </w:r>
      <w:r>
        <w:t>.</w:t>
      </w:r>
      <w:r w:rsidR="000617B4">
        <w:t xml:space="preserve"> </w:t>
      </w:r>
      <w:r w:rsidR="00C6491C">
        <w:t>Savukārt lielākā daļa pieteicējas preču un pakalpojumu iegādes darījumu tika izmantoti gan apliekamo, gan neapliekamo darījumu nodrošināšanai.</w:t>
      </w:r>
    </w:p>
    <w:p w14:paraId="0176A472" w14:textId="77777777" w:rsidR="009961E3" w:rsidRDefault="009961E3" w:rsidP="00BE7E70">
      <w:pPr>
        <w:spacing w:line="276" w:lineRule="auto"/>
        <w:ind w:firstLine="720"/>
        <w:jc w:val="both"/>
      </w:pPr>
    </w:p>
    <w:p w14:paraId="30313E54" w14:textId="3BC36095" w:rsidR="009961E3" w:rsidRDefault="009961E3" w:rsidP="00BE7E70">
      <w:pPr>
        <w:spacing w:line="276" w:lineRule="auto"/>
        <w:ind w:firstLine="720"/>
        <w:jc w:val="both"/>
      </w:pPr>
      <w:r>
        <w:t>[7] Pievienotās vērtības</w:t>
      </w:r>
      <w:r w:rsidR="00E465A9">
        <w:t xml:space="preserve"> nodokļa</w:t>
      </w:r>
      <w:r>
        <w:t xml:space="preserve"> likuma 92.panta ceturtā daļa paredz r</w:t>
      </w:r>
      <w:r w:rsidRPr="005753CF">
        <w:t xml:space="preserve">eģistrētam nodokļa maksātājam tiesības priekšnodokli atskaitīt no valsts budžetā maksājamās nodokļa summas, </w:t>
      </w:r>
      <w:r w:rsidRPr="000762FF">
        <w:t>ja šajā likumā nav noteikts citādi</w:t>
      </w:r>
      <w:r>
        <w:t xml:space="preserve">. </w:t>
      </w:r>
    </w:p>
    <w:p w14:paraId="6C30F29B" w14:textId="77777777" w:rsidR="009961E3" w:rsidRPr="00876F99" w:rsidRDefault="009961E3" w:rsidP="00BE7E70">
      <w:pPr>
        <w:pStyle w:val="tv213"/>
        <w:shd w:val="clear" w:color="auto" w:fill="FFFFFF"/>
        <w:spacing w:before="0" w:beforeAutospacing="0" w:after="0" w:afterAutospacing="0" w:line="276" w:lineRule="auto"/>
        <w:ind w:firstLine="710"/>
        <w:jc w:val="both"/>
        <w:rPr>
          <w:rFonts w:eastAsiaTheme="minorHAnsi" w:cstheme="minorBidi"/>
          <w:kern w:val="2"/>
          <w:szCs w:val="22"/>
          <w:lang w:val="lv-LV"/>
          <w14:ligatures w14:val="standardContextual"/>
        </w:rPr>
      </w:pPr>
      <w:r w:rsidRPr="000762FF">
        <w:rPr>
          <w:lang w:val="lv-LV"/>
        </w:rPr>
        <w:t xml:space="preserve">Savukārt </w:t>
      </w:r>
      <w:r>
        <w:rPr>
          <w:lang w:val="lv-LV"/>
        </w:rPr>
        <w:t xml:space="preserve">minētā likuma 98.panta pirmā daļa noteic, ka </w:t>
      </w:r>
      <w:r>
        <w:rPr>
          <w:rFonts w:eastAsiaTheme="minorHAnsi" w:cstheme="minorBidi"/>
          <w:kern w:val="2"/>
          <w:szCs w:val="22"/>
          <w:lang w:val="lv-LV"/>
          <w14:ligatures w14:val="standardContextual"/>
        </w:rPr>
        <w:t>r</w:t>
      </w:r>
      <w:r w:rsidRPr="00876F99">
        <w:rPr>
          <w:rFonts w:eastAsiaTheme="minorHAnsi" w:cstheme="minorBidi"/>
          <w:kern w:val="2"/>
          <w:szCs w:val="22"/>
          <w:lang w:val="lv-LV"/>
          <w14:ligatures w14:val="standardContextual"/>
        </w:rPr>
        <w:t>eģistrēts nodokļa maksātājs priekšnodokļa atskaitīšanas vajadzībām nodrošina atsevišķu to preču un pakalpojumu uzskaiti, kas izmantoti tikai tādu darījumu nodrošināšanai, kas dod tiesības atskaitīt priekšnodokli, vai tikai tādu darījumu nodrošināšanai, kas nedod tiesības atskaitīt priekšnodokli.</w:t>
      </w:r>
    </w:p>
    <w:p w14:paraId="3B256D1D" w14:textId="77777777" w:rsidR="00A71A2D" w:rsidRPr="00876F99" w:rsidRDefault="00A71A2D" w:rsidP="00BE7E70">
      <w:pPr>
        <w:pStyle w:val="tv213"/>
        <w:shd w:val="clear" w:color="auto" w:fill="FFFFFF"/>
        <w:spacing w:before="0" w:beforeAutospacing="0" w:after="0" w:afterAutospacing="0" w:line="276" w:lineRule="auto"/>
        <w:ind w:firstLine="600"/>
        <w:jc w:val="both"/>
        <w:rPr>
          <w:rFonts w:eastAsiaTheme="minorHAnsi" w:cstheme="minorBidi"/>
          <w:kern w:val="2"/>
          <w:szCs w:val="22"/>
          <w:lang w:val="lv-LV"/>
          <w14:ligatures w14:val="standardContextual"/>
        </w:rPr>
      </w:pPr>
      <w:r>
        <w:rPr>
          <w:rFonts w:eastAsiaTheme="minorHAnsi" w:cstheme="minorBidi"/>
          <w:kern w:val="2"/>
          <w:szCs w:val="22"/>
          <w:lang w:val="lv-LV"/>
          <w14:ligatures w14:val="standardContextual"/>
        </w:rPr>
        <w:t xml:space="preserve">Atbilstoši Pievienotās vērtības nodokļa likuma 98.panta otrajai daļai </w:t>
      </w:r>
      <w:r w:rsidRPr="004646D1">
        <w:rPr>
          <w:rFonts w:eastAsiaTheme="minorHAnsi" w:cstheme="minorBidi"/>
          <w:kern w:val="2"/>
          <w:szCs w:val="22"/>
          <w:lang w:val="lv-LV"/>
          <w14:ligatures w14:val="standardContextual"/>
        </w:rPr>
        <w:t>gadījumā, ja iegādātās preces un saņemtos pakalpojumus izmanto gan tādu darījumu nodrošināšanai,</w:t>
      </w:r>
      <w:r w:rsidRPr="00876F99">
        <w:rPr>
          <w:rFonts w:eastAsiaTheme="minorHAnsi" w:cstheme="minorBidi"/>
          <w:kern w:val="2"/>
          <w:szCs w:val="22"/>
          <w:lang w:val="lv-LV"/>
          <w14:ligatures w14:val="standardContextual"/>
        </w:rPr>
        <w:t xml:space="preserve"> kas dod tiesības atskaitīt priekšnodokli, gan tādu darījumu nodrošināšanai, kas nedod tiesības atskaitīt priekšnodokli, un nav iespējams nodrošināt to atsevišķu uzskaiti saskaņā ar šā panta pirmajā daļā noteikto kārtību, jo tālākas detalizētas izmaksu attiecināšanas nodrošināšanai reģistrēta nodokļa maksātāja resursu izlietojums būtu nesamērīgs, tad reģistrēts nodokļa maksātājs taksācijas periodā atskaitāmā priekšnodokļa summu aprēķina, izmantojot šādu proporciju:</w:t>
      </w:r>
    </w:p>
    <w:p w14:paraId="794B7AC9" w14:textId="76E03DF7" w:rsidR="009961E3" w:rsidRPr="00876F99" w:rsidRDefault="009961E3" w:rsidP="00BE7E70">
      <w:pPr>
        <w:pStyle w:val="tv213"/>
        <w:shd w:val="clear" w:color="auto" w:fill="FFFFFF"/>
        <w:spacing w:before="0" w:beforeAutospacing="0" w:after="0" w:afterAutospacing="0" w:line="276" w:lineRule="auto"/>
        <w:ind w:left="600"/>
        <w:jc w:val="both"/>
        <w:rPr>
          <w:rFonts w:eastAsiaTheme="minorHAnsi" w:cstheme="minorBidi"/>
          <w:kern w:val="2"/>
          <w:szCs w:val="22"/>
          <w:lang w:val="lv-LV"/>
          <w14:ligatures w14:val="standardContextual"/>
        </w:rPr>
      </w:pPr>
      <w:r w:rsidRPr="00876F99">
        <w:rPr>
          <w:rFonts w:eastAsiaTheme="minorHAnsi" w:cstheme="minorBidi"/>
          <w:kern w:val="2"/>
          <w:szCs w:val="22"/>
          <w:lang w:val="lv-LV"/>
          <w14:ligatures w14:val="standardContextual"/>
        </w:rPr>
        <w:t xml:space="preserve">1) skaitītājā </w:t>
      </w:r>
      <w:r w:rsidR="009C007B">
        <w:rPr>
          <w:rFonts w:eastAsiaTheme="minorHAnsi" w:cstheme="minorBidi"/>
          <w:kern w:val="2"/>
          <w:szCs w:val="22"/>
          <w:lang w:val="lv-LV"/>
          <w14:ligatures w14:val="standardContextual"/>
        </w:rPr>
        <w:t>–</w:t>
      </w:r>
      <w:r w:rsidRPr="00876F99">
        <w:rPr>
          <w:rFonts w:eastAsiaTheme="minorHAnsi" w:cstheme="minorBidi"/>
          <w:kern w:val="2"/>
          <w:szCs w:val="22"/>
          <w:lang w:val="lv-LV"/>
          <w14:ligatures w14:val="standardContextual"/>
        </w:rPr>
        <w:t xml:space="preserve"> to taksācijas periodā veikto darījumu vērtība </w:t>
      </w:r>
      <w:r w:rsidRPr="000762FF">
        <w:rPr>
          <w:rFonts w:eastAsiaTheme="minorHAnsi" w:cstheme="minorBidi"/>
          <w:kern w:val="2"/>
          <w:szCs w:val="22"/>
          <w:lang w:val="lv-LV"/>
          <w14:ligatures w14:val="standardContextual"/>
        </w:rPr>
        <w:t>bez nodokļa</w:t>
      </w:r>
      <w:r w:rsidRPr="00876F99">
        <w:rPr>
          <w:rFonts w:eastAsiaTheme="minorHAnsi" w:cstheme="minorBidi"/>
          <w:kern w:val="2"/>
          <w:szCs w:val="22"/>
          <w:lang w:val="lv-LV"/>
          <w14:ligatures w14:val="standardContextual"/>
        </w:rPr>
        <w:t>, kuri dod</w:t>
      </w:r>
      <w:r>
        <w:rPr>
          <w:rFonts w:eastAsiaTheme="minorHAnsi" w:cstheme="minorBidi"/>
          <w:kern w:val="2"/>
          <w:szCs w:val="22"/>
          <w:lang w:val="lv-LV"/>
          <w14:ligatures w14:val="standardContextual"/>
        </w:rPr>
        <w:t xml:space="preserve"> </w:t>
      </w:r>
      <w:r w:rsidRPr="00876F99">
        <w:rPr>
          <w:rFonts w:eastAsiaTheme="minorHAnsi" w:cstheme="minorBidi"/>
          <w:kern w:val="2"/>
          <w:szCs w:val="22"/>
          <w:lang w:val="lv-LV"/>
          <w14:ligatures w14:val="standardContextual"/>
        </w:rPr>
        <w:t>tiesības atskaitīt priekšnodokli;</w:t>
      </w:r>
    </w:p>
    <w:p w14:paraId="5FB2793D" w14:textId="2AC9C61A" w:rsidR="009961E3" w:rsidRDefault="009961E3" w:rsidP="00BE7E70">
      <w:pPr>
        <w:pStyle w:val="tv213"/>
        <w:shd w:val="clear" w:color="auto" w:fill="FFFFFF"/>
        <w:spacing w:before="0" w:beforeAutospacing="0" w:after="0" w:afterAutospacing="0" w:line="276" w:lineRule="auto"/>
        <w:ind w:left="600"/>
        <w:jc w:val="both"/>
        <w:rPr>
          <w:rFonts w:eastAsiaTheme="minorHAnsi" w:cstheme="minorBidi"/>
          <w:kern w:val="2"/>
          <w:szCs w:val="22"/>
          <w:lang w:val="lv-LV"/>
          <w14:ligatures w14:val="standardContextual"/>
        </w:rPr>
      </w:pPr>
      <w:r w:rsidRPr="00876F99">
        <w:rPr>
          <w:rFonts w:eastAsiaTheme="minorHAnsi" w:cstheme="minorBidi"/>
          <w:kern w:val="2"/>
          <w:szCs w:val="22"/>
          <w:lang w:val="lv-LV"/>
          <w14:ligatures w14:val="standardContextual"/>
        </w:rPr>
        <w:t xml:space="preserve">2) saucējā </w:t>
      </w:r>
      <w:r w:rsidR="009C007B">
        <w:rPr>
          <w:rFonts w:eastAsiaTheme="minorHAnsi" w:cstheme="minorBidi"/>
          <w:kern w:val="2"/>
          <w:szCs w:val="22"/>
          <w:lang w:val="lv-LV"/>
          <w14:ligatures w14:val="standardContextual"/>
        </w:rPr>
        <w:t>–</w:t>
      </w:r>
      <w:r w:rsidRPr="00876F99">
        <w:rPr>
          <w:rFonts w:eastAsiaTheme="minorHAnsi" w:cstheme="minorBidi"/>
          <w:kern w:val="2"/>
          <w:szCs w:val="22"/>
          <w:lang w:val="lv-LV"/>
          <w14:ligatures w14:val="standardContextual"/>
        </w:rPr>
        <w:t xml:space="preserve"> taksācijas periodā veikto darījumu kopējā vērtība </w:t>
      </w:r>
      <w:r w:rsidRPr="000762FF">
        <w:rPr>
          <w:rFonts w:eastAsiaTheme="minorHAnsi" w:cstheme="minorBidi"/>
          <w:kern w:val="2"/>
          <w:szCs w:val="22"/>
          <w:lang w:val="lv-LV"/>
          <w14:ligatures w14:val="standardContextual"/>
        </w:rPr>
        <w:t>bez nodokļa</w:t>
      </w:r>
      <w:r w:rsidRPr="00876F99">
        <w:rPr>
          <w:rFonts w:eastAsiaTheme="minorHAnsi" w:cstheme="minorBidi"/>
          <w:kern w:val="2"/>
          <w:szCs w:val="22"/>
          <w:lang w:val="lv-LV"/>
          <w14:ligatures w14:val="standardContextual"/>
        </w:rPr>
        <w:t xml:space="preserve"> (skaitītājā ietverto darījumu vērtība, kas dod tiesības atskaitīt priekšnodokli, un to darījumu vērtība, kas nedod tiesības atskaitīt priekšnodokli).</w:t>
      </w:r>
    </w:p>
    <w:p w14:paraId="780BACED" w14:textId="19C1AC8A" w:rsidR="00692C23" w:rsidRDefault="00692C23" w:rsidP="00BE7E70">
      <w:pPr>
        <w:pStyle w:val="tv213"/>
        <w:shd w:val="clear" w:color="auto" w:fill="FFFFFF"/>
        <w:spacing w:before="0" w:beforeAutospacing="0" w:after="0" w:afterAutospacing="0" w:line="276" w:lineRule="auto"/>
        <w:ind w:firstLine="600"/>
        <w:jc w:val="both"/>
        <w:rPr>
          <w:rFonts w:eastAsiaTheme="minorHAnsi" w:cstheme="minorBidi"/>
          <w:kern w:val="2"/>
          <w:szCs w:val="22"/>
          <w:lang w:val="lv-LV"/>
          <w14:ligatures w14:val="standardContextual"/>
        </w:rPr>
      </w:pPr>
      <w:r>
        <w:rPr>
          <w:rFonts w:eastAsiaTheme="minorHAnsi" w:cstheme="minorBidi"/>
          <w:kern w:val="2"/>
          <w:szCs w:val="22"/>
          <w:lang w:val="lv-LV"/>
          <w14:ligatures w14:val="standardContextual"/>
        </w:rPr>
        <w:t xml:space="preserve">Tā kā pieteicēja </w:t>
      </w:r>
      <w:r w:rsidR="00BF082C">
        <w:rPr>
          <w:rFonts w:eastAsiaTheme="minorHAnsi" w:cstheme="minorBidi"/>
          <w:kern w:val="2"/>
          <w:szCs w:val="22"/>
          <w:lang w:val="lv-LV"/>
          <w14:ligatures w14:val="standardContextual"/>
        </w:rPr>
        <w:t xml:space="preserve">iegādāto preču un pakalpojumu iegādes darījumus izmantoja </w:t>
      </w:r>
      <w:r w:rsidR="00BF082C" w:rsidRPr="00BF082C">
        <w:rPr>
          <w:lang w:val="lv-LV"/>
        </w:rPr>
        <w:t>gan ar pievienotās vērtības nodokli apliekam</w:t>
      </w:r>
      <w:r w:rsidR="00BF082C">
        <w:rPr>
          <w:lang w:val="lv-LV"/>
        </w:rPr>
        <w:t>u</w:t>
      </w:r>
      <w:r w:rsidR="00BF082C" w:rsidRPr="00BF082C">
        <w:rPr>
          <w:lang w:val="lv-LV"/>
        </w:rPr>
        <w:t>, gan</w:t>
      </w:r>
      <w:r w:rsidR="00BF082C">
        <w:rPr>
          <w:lang w:val="lv-LV"/>
        </w:rPr>
        <w:t xml:space="preserve"> ar nodokli</w:t>
      </w:r>
      <w:r w:rsidR="00BF082C" w:rsidRPr="00BF082C">
        <w:rPr>
          <w:lang w:val="lv-LV"/>
        </w:rPr>
        <w:t xml:space="preserve"> neapliekam</w:t>
      </w:r>
      <w:r w:rsidR="00BF082C">
        <w:rPr>
          <w:lang w:val="lv-LV"/>
        </w:rPr>
        <w:t>u</w:t>
      </w:r>
      <w:r w:rsidR="00BF082C" w:rsidRPr="00BF082C">
        <w:rPr>
          <w:lang w:val="lv-LV"/>
        </w:rPr>
        <w:t xml:space="preserve"> darījum</w:t>
      </w:r>
      <w:r w:rsidR="00BF082C">
        <w:rPr>
          <w:lang w:val="lv-LV"/>
        </w:rPr>
        <w:t>u</w:t>
      </w:r>
      <w:r w:rsidR="00BF082C" w:rsidRPr="00BF082C">
        <w:rPr>
          <w:lang w:val="lv-LV"/>
        </w:rPr>
        <w:t xml:space="preserve"> </w:t>
      </w:r>
      <w:r w:rsidR="00BF082C">
        <w:rPr>
          <w:lang w:val="lv-LV"/>
        </w:rPr>
        <w:t xml:space="preserve">nodrošināšanai un </w:t>
      </w:r>
      <w:r w:rsidR="00BF082C" w:rsidRPr="00876F99">
        <w:rPr>
          <w:rFonts w:eastAsiaTheme="minorHAnsi" w:cstheme="minorBidi"/>
          <w:kern w:val="2"/>
          <w:szCs w:val="22"/>
          <w:lang w:val="lv-LV"/>
          <w14:ligatures w14:val="standardContextual"/>
        </w:rPr>
        <w:t xml:space="preserve">atsevišķu </w:t>
      </w:r>
      <w:r w:rsidR="00BF082C">
        <w:rPr>
          <w:rFonts w:eastAsiaTheme="minorHAnsi" w:cstheme="minorBidi"/>
          <w:kern w:val="2"/>
          <w:szCs w:val="22"/>
          <w:lang w:val="lv-LV"/>
          <w14:ligatures w14:val="standardContextual"/>
        </w:rPr>
        <w:t>darījumu</w:t>
      </w:r>
      <w:r w:rsidR="00BF082C" w:rsidRPr="00876F99">
        <w:rPr>
          <w:rFonts w:eastAsiaTheme="minorHAnsi" w:cstheme="minorBidi"/>
          <w:kern w:val="2"/>
          <w:szCs w:val="22"/>
          <w:lang w:val="lv-LV"/>
          <w14:ligatures w14:val="standardContextual"/>
        </w:rPr>
        <w:t xml:space="preserve"> uzskait</w:t>
      </w:r>
      <w:r w:rsidR="00BF082C">
        <w:rPr>
          <w:rFonts w:eastAsiaTheme="minorHAnsi" w:cstheme="minorBidi"/>
          <w:kern w:val="2"/>
          <w:szCs w:val="22"/>
          <w:lang w:val="lv-LV"/>
          <w14:ligatures w14:val="standardContextual"/>
        </w:rPr>
        <w:t>e atbilstoši Pievienotās vērtības</w:t>
      </w:r>
      <w:r w:rsidR="00E465A9">
        <w:rPr>
          <w:rFonts w:eastAsiaTheme="minorHAnsi" w:cstheme="minorBidi"/>
          <w:kern w:val="2"/>
          <w:szCs w:val="22"/>
          <w:lang w:val="lv-LV"/>
          <w14:ligatures w14:val="standardContextual"/>
        </w:rPr>
        <w:t xml:space="preserve"> nodokļa</w:t>
      </w:r>
      <w:r w:rsidR="00BF082C">
        <w:rPr>
          <w:rFonts w:eastAsiaTheme="minorHAnsi" w:cstheme="minorBidi"/>
          <w:kern w:val="2"/>
          <w:szCs w:val="22"/>
          <w:lang w:val="lv-LV"/>
          <w14:ligatures w14:val="standardContextual"/>
        </w:rPr>
        <w:t> </w:t>
      </w:r>
      <w:r w:rsidR="00BF082C">
        <w:rPr>
          <w:lang w:val="lv-LV"/>
        </w:rPr>
        <w:t xml:space="preserve">likuma 98.panta pirmajai daļai nebija iespējama, pieteicēja priekšnodokļa atskaitīšanas vajadzībām izmantoja </w:t>
      </w:r>
      <w:r w:rsidR="00BF082C">
        <w:rPr>
          <w:rFonts w:eastAsiaTheme="minorHAnsi" w:cstheme="minorBidi"/>
          <w:kern w:val="2"/>
          <w:szCs w:val="22"/>
          <w:lang w:val="lv-LV"/>
          <w14:ligatures w14:val="standardContextual"/>
        </w:rPr>
        <w:t>Pievienotās vērtības</w:t>
      </w:r>
      <w:r w:rsidR="00E465A9">
        <w:rPr>
          <w:rFonts w:eastAsiaTheme="minorHAnsi" w:cstheme="minorBidi"/>
          <w:kern w:val="2"/>
          <w:szCs w:val="22"/>
          <w:lang w:val="lv-LV"/>
          <w14:ligatures w14:val="standardContextual"/>
        </w:rPr>
        <w:t xml:space="preserve"> nodokļa</w:t>
      </w:r>
      <w:r w:rsidR="00BF082C">
        <w:rPr>
          <w:rFonts w:eastAsiaTheme="minorHAnsi" w:cstheme="minorBidi"/>
          <w:kern w:val="2"/>
          <w:szCs w:val="22"/>
          <w:lang w:val="lv-LV"/>
          <w14:ligatures w14:val="standardContextual"/>
        </w:rPr>
        <w:t xml:space="preserve"> likuma 98.panta</w:t>
      </w:r>
      <w:r w:rsidR="00285EAC">
        <w:rPr>
          <w:rFonts w:eastAsiaTheme="minorHAnsi" w:cstheme="minorBidi"/>
          <w:kern w:val="2"/>
          <w:szCs w:val="22"/>
          <w:lang w:val="lv-LV"/>
          <w14:ligatures w14:val="standardContextual"/>
        </w:rPr>
        <w:t xml:space="preserve"> </w:t>
      </w:r>
      <w:r w:rsidR="00BF082C">
        <w:rPr>
          <w:rFonts w:eastAsiaTheme="minorHAnsi" w:cstheme="minorBidi"/>
          <w:kern w:val="2"/>
          <w:szCs w:val="22"/>
          <w:lang w:val="lv-LV"/>
          <w14:ligatures w14:val="standardContextual"/>
        </w:rPr>
        <w:t>otr</w:t>
      </w:r>
      <w:r w:rsidR="00285EAC">
        <w:rPr>
          <w:rFonts w:eastAsiaTheme="minorHAnsi" w:cstheme="minorBidi"/>
          <w:kern w:val="2"/>
          <w:szCs w:val="22"/>
          <w:lang w:val="lv-LV"/>
          <w14:ligatures w14:val="standardContextual"/>
        </w:rPr>
        <w:t>aj</w:t>
      </w:r>
      <w:r w:rsidR="00BF082C">
        <w:rPr>
          <w:rFonts w:eastAsiaTheme="minorHAnsi" w:cstheme="minorBidi"/>
          <w:kern w:val="2"/>
          <w:szCs w:val="22"/>
          <w:lang w:val="lv-LV"/>
          <w14:ligatures w14:val="standardContextual"/>
        </w:rPr>
        <w:t>ā daļ</w:t>
      </w:r>
      <w:r w:rsidR="00285EAC">
        <w:rPr>
          <w:rFonts w:eastAsiaTheme="minorHAnsi" w:cstheme="minorBidi"/>
          <w:kern w:val="2"/>
          <w:szCs w:val="22"/>
          <w:lang w:val="lv-LV"/>
          <w14:ligatures w14:val="standardContextual"/>
        </w:rPr>
        <w:t>ā noteikto proporciju.</w:t>
      </w:r>
    </w:p>
    <w:p w14:paraId="53A95C5E" w14:textId="7198317A" w:rsidR="00E465A9" w:rsidRDefault="00E465A9" w:rsidP="00BE7E70">
      <w:pPr>
        <w:spacing w:line="276" w:lineRule="auto"/>
        <w:ind w:firstLine="720"/>
        <w:jc w:val="both"/>
      </w:pPr>
      <w:r>
        <w:t>Kā izriet no strīda būtības, lietā ir noskaidrojams jautājums, kāda vērtība ir iekļaujama proporcijas aprēķinā</w:t>
      </w:r>
      <w:r w:rsidR="00FD7F98">
        <w:t xml:space="preserve"> </w:t>
      </w:r>
      <w:r w:rsidR="00FD7F98">
        <w:rPr>
          <w:rFonts w:eastAsiaTheme="minorHAnsi" w:cstheme="minorBidi"/>
          <w:kern w:val="2"/>
          <w:szCs w:val="22"/>
          <w14:ligatures w14:val="standardContextual"/>
        </w:rPr>
        <w:t>komponent</w:t>
      </w:r>
      <w:r w:rsidR="00BB3C80">
        <w:rPr>
          <w:rFonts w:eastAsiaTheme="minorHAnsi" w:cstheme="minorBidi"/>
          <w:kern w:val="2"/>
          <w:szCs w:val="22"/>
          <w14:ligatures w14:val="standardContextual"/>
        </w:rPr>
        <w:t>ē</w:t>
      </w:r>
      <w:r w:rsidR="00FD7F98">
        <w:rPr>
          <w:rFonts w:eastAsiaTheme="minorHAnsi" w:cstheme="minorBidi"/>
          <w:kern w:val="2"/>
          <w:szCs w:val="22"/>
          <w14:ligatures w14:val="standardContextual"/>
        </w:rPr>
        <w:t xml:space="preserve"> </w:t>
      </w:r>
      <w:r w:rsidR="009C007B">
        <w:rPr>
          <w:rFonts w:eastAsiaTheme="minorHAnsi" w:cstheme="minorBidi"/>
          <w:kern w:val="2"/>
          <w:szCs w:val="22"/>
          <w14:ligatures w14:val="standardContextual"/>
        </w:rPr>
        <w:t>„</w:t>
      </w:r>
      <w:r w:rsidR="00FD7F98" w:rsidRPr="00C21676">
        <w:rPr>
          <w:rFonts w:eastAsiaTheme="minorHAnsi" w:cstheme="minorBidi"/>
          <w:kern w:val="2"/>
          <w:szCs w:val="22"/>
          <w14:ligatures w14:val="standardContextual"/>
        </w:rPr>
        <w:t>darījumu vērtība bez nodokļa, kuri dod tiesības atskaitīt priekšnodokli”</w:t>
      </w:r>
      <w:r>
        <w:t>, ja darījumos ar lietotām mantām tiek piemērots Pievienotās vērtības nodokļa likuma 138.pantā noteiktais īpašais pievienotās vērtības piemērošanas režīms.</w:t>
      </w:r>
      <w:r w:rsidR="002E78BF">
        <w:t xml:space="preserve"> </w:t>
      </w:r>
    </w:p>
    <w:p w14:paraId="3FA1F82A" w14:textId="77777777" w:rsidR="007F32BC" w:rsidRDefault="007F32BC" w:rsidP="00BE7E70">
      <w:pPr>
        <w:spacing w:line="276" w:lineRule="auto"/>
        <w:ind w:firstLine="720"/>
        <w:jc w:val="both"/>
      </w:pPr>
    </w:p>
    <w:p w14:paraId="7DDC8748" w14:textId="1191027A" w:rsidR="00D2170F" w:rsidRDefault="007F32BC" w:rsidP="00BE7E70">
      <w:pPr>
        <w:spacing w:line="276" w:lineRule="auto"/>
        <w:ind w:firstLine="720"/>
        <w:jc w:val="both"/>
      </w:pPr>
      <w:r>
        <w:t>[</w:t>
      </w:r>
      <w:r w:rsidR="00FD7F98">
        <w:t>8</w:t>
      </w:r>
      <w:r>
        <w:t xml:space="preserve">] </w:t>
      </w:r>
      <w:r w:rsidR="00D2170F">
        <w:t>Lietā nav strīda, ka</w:t>
      </w:r>
      <w:r>
        <w:t xml:space="preserve"> pieteicēja</w:t>
      </w:r>
      <w:r w:rsidR="00D2170F">
        <w:t xml:space="preserve"> attiecībā uz lietotu transportlīdzekļu piegādes darījumiem </w:t>
      </w:r>
      <w:r>
        <w:t>bija izvēlējusies piemērot Pievienotās vērtības</w:t>
      </w:r>
      <w:r w:rsidR="00E465A9">
        <w:t xml:space="preserve"> nodokļa</w:t>
      </w:r>
      <w:r>
        <w:t xml:space="preserve"> likuma 138.pantā noteikto īpašo pievienotās vērtības piemērošanas režīmu, uz ko pieteicējai bija tiesības. </w:t>
      </w:r>
    </w:p>
    <w:p w14:paraId="31D6E29C" w14:textId="362A03CE" w:rsidR="00FD7F98" w:rsidRDefault="00FD7F98" w:rsidP="00BE7E70">
      <w:pPr>
        <w:spacing w:line="276" w:lineRule="auto"/>
        <w:ind w:firstLine="720"/>
        <w:jc w:val="both"/>
      </w:pPr>
      <w:r>
        <w:t>Saskaņā ar Pievienotās vērtības nodokļa likuma 138.panta desmito daļu,</w:t>
      </w:r>
      <w:r w:rsidR="002E78BF">
        <w:t xml:space="preserve"> </w:t>
      </w:r>
      <w:r>
        <w:t>p</w:t>
      </w:r>
      <w:r w:rsidRPr="008D59F8">
        <w:t xml:space="preserve">iemērojot šajā pantā noteikto īpašo nodokļa piemērošanas režīmu, ar nodokli </w:t>
      </w:r>
      <w:r w:rsidRPr="008D59F8">
        <w:rPr>
          <w:i/>
          <w:iCs/>
        </w:rPr>
        <w:lastRenderedPageBreak/>
        <w:t>apliek</w:t>
      </w:r>
      <w:r w:rsidR="00DC637A">
        <w:rPr>
          <w:i/>
          <w:iCs/>
        </w:rPr>
        <w:t> </w:t>
      </w:r>
      <w:r w:rsidRPr="008D59F8">
        <w:rPr>
          <w:i/>
          <w:iCs/>
        </w:rPr>
        <w:t>starpību</w:t>
      </w:r>
      <w:r w:rsidRPr="008D59F8">
        <w:t xml:space="preserve"> starp </w:t>
      </w:r>
      <w:r w:rsidRPr="008D59F8">
        <w:rPr>
          <w:i/>
          <w:iCs/>
        </w:rPr>
        <w:t>pārdošanas vērtību</w:t>
      </w:r>
      <w:r w:rsidRPr="008D59F8">
        <w:t xml:space="preserve"> (naudas summu), ko tirgotājs ir saņēmis par pircējam piegādātajām lietotām mantām, un </w:t>
      </w:r>
      <w:r w:rsidRPr="008D59F8">
        <w:rPr>
          <w:i/>
          <w:iCs/>
        </w:rPr>
        <w:t>iepirkuma vērtību</w:t>
      </w:r>
      <w:r w:rsidRPr="008D59F8">
        <w:t xml:space="preserve">, </w:t>
      </w:r>
      <w:r w:rsidRPr="008D59F8">
        <w:rPr>
          <w:i/>
          <w:iCs/>
        </w:rPr>
        <w:t>samazinot šo starpību par aprēķinātā nodokļa vērtību</w:t>
      </w:r>
      <w:r w:rsidRPr="008D59F8">
        <w:t>.</w:t>
      </w:r>
      <w:r>
        <w:t xml:space="preserve"> </w:t>
      </w:r>
    </w:p>
    <w:p w14:paraId="79EC6D79" w14:textId="515CF95D" w:rsidR="00A71A2D" w:rsidRDefault="007F32BC" w:rsidP="00BE7E70">
      <w:pPr>
        <w:spacing w:line="276" w:lineRule="auto"/>
        <w:ind w:firstLine="720"/>
        <w:jc w:val="both"/>
      </w:pPr>
      <w:r>
        <w:t xml:space="preserve">Kā </w:t>
      </w:r>
      <w:r w:rsidR="00364A41">
        <w:t xml:space="preserve">pareizi </w:t>
      </w:r>
      <w:r>
        <w:t>savā spriedumā norādījusi pirmās instances tiesa</w:t>
      </w:r>
      <w:r w:rsidR="00364A41">
        <w:t>, kuras argumentiem</w:t>
      </w:r>
      <w:r>
        <w:t xml:space="preserve"> pievienojusies apgabaltiesa, </w:t>
      </w:r>
      <w:r w:rsidR="00364A41">
        <w:t>Pievienotās vērtīb</w:t>
      </w:r>
      <w:r w:rsidR="000D60F9">
        <w:t>a</w:t>
      </w:r>
      <w:r w:rsidR="00364A41">
        <w:t>s</w:t>
      </w:r>
      <w:r w:rsidR="000D60F9">
        <w:t> nodokļa</w:t>
      </w:r>
      <w:r w:rsidR="00364A41">
        <w:t xml:space="preserve"> likumā, tostarp likuma 183.pantā, pārņemtas </w:t>
      </w:r>
      <w:r w:rsidR="006A53C8">
        <w:t>Pievienotās vērtības nodokļa d</w:t>
      </w:r>
      <w:r>
        <w:t>irektīvas</w:t>
      </w:r>
      <w:r w:rsidR="00364A41">
        <w:t xml:space="preserve"> normas.</w:t>
      </w:r>
      <w:r>
        <w:t xml:space="preserve"> </w:t>
      </w:r>
      <w:r w:rsidR="00BC5387">
        <w:t>Pievienotās vērtības nodokļa d</w:t>
      </w:r>
      <w:r w:rsidR="00364A41">
        <w:t>irektīvas ievada</w:t>
      </w:r>
      <w:r>
        <w:t xml:space="preserve"> 51.apsvērum</w:t>
      </w:r>
      <w:r w:rsidR="00BB3C80">
        <w:t xml:space="preserve">ā atklājas </w:t>
      </w:r>
      <w:r>
        <w:t>īpašā pievienotās vērtības nodokļa piemērošanas režīma lietotām precēm mērķis</w:t>
      </w:r>
      <w:r w:rsidR="00BB3C80">
        <w:t>, proti,</w:t>
      </w:r>
      <w:r>
        <w:t xml:space="preserve"> izvairīties no nodokļu dubultās uzlikšanas un konkurences izkropļojumiem attiecībā uz nodokļa maksātajiem. </w:t>
      </w:r>
    </w:p>
    <w:p w14:paraId="40DFEE21" w14:textId="407D66A8" w:rsidR="00A71A2D" w:rsidRPr="002621EE" w:rsidRDefault="00A71A2D" w:rsidP="00BE7E70">
      <w:pPr>
        <w:spacing w:line="276" w:lineRule="auto"/>
        <w:ind w:firstLine="720"/>
        <w:jc w:val="both"/>
        <w:rPr>
          <w:rFonts w:asciiTheme="majorBidi" w:hAnsiTheme="majorBidi" w:cstheme="majorBidi"/>
          <w:i/>
          <w:iCs/>
          <w:color w:val="000000"/>
        </w:rPr>
      </w:pPr>
      <w:r>
        <w:t>P</w:t>
      </w:r>
      <w:r w:rsidRPr="00DD2B53">
        <w:rPr>
          <w:rFonts w:asciiTheme="majorBidi" w:hAnsiTheme="majorBidi" w:cstheme="majorBidi"/>
          <w:color w:val="000000"/>
        </w:rPr>
        <w:t xml:space="preserve">ašreizējais vispārējais </w:t>
      </w:r>
      <w:r>
        <w:rPr>
          <w:rFonts w:asciiTheme="majorBidi" w:hAnsiTheme="majorBidi" w:cstheme="majorBidi"/>
          <w:color w:val="000000"/>
        </w:rPr>
        <w:t>pievienotās vērtības nodokļa</w:t>
      </w:r>
      <w:r w:rsidRPr="00DD2B53">
        <w:rPr>
          <w:rFonts w:asciiTheme="majorBidi" w:hAnsiTheme="majorBidi" w:cstheme="majorBidi"/>
          <w:color w:val="000000"/>
        </w:rPr>
        <w:t xml:space="preserve"> režīms ar atskaitījumu sistēmas palīdzību </w:t>
      </w:r>
      <w:r w:rsidRPr="003355AB">
        <w:rPr>
          <w:rFonts w:asciiTheme="majorBidi" w:hAnsiTheme="majorBidi" w:cstheme="majorBidi"/>
          <w:color w:val="000000"/>
        </w:rPr>
        <w:t>nodrošina pilnīgu pievienotās vērtības nodokļa neitralitāti saimnieciskās darbības subjektiem</w:t>
      </w:r>
      <w:r w:rsidRPr="00EC704B">
        <w:rPr>
          <w:rFonts w:asciiTheme="majorBidi" w:hAnsiTheme="majorBidi" w:cstheme="majorBidi"/>
          <w:color w:val="000000"/>
        </w:rPr>
        <w:t xml:space="preserve">, kas uzņemas pienākumu veikt saistībā ar savu saimniecisko darbību iekasētā </w:t>
      </w:r>
      <w:r>
        <w:rPr>
          <w:rFonts w:asciiTheme="majorBidi" w:hAnsiTheme="majorBidi" w:cstheme="majorBidi"/>
          <w:color w:val="000000"/>
        </w:rPr>
        <w:t>pievienotās vērtības nodokļa</w:t>
      </w:r>
      <w:r w:rsidRPr="00EC704B">
        <w:rPr>
          <w:rFonts w:asciiTheme="majorBidi" w:hAnsiTheme="majorBidi" w:cstheme="majorBidi"/>
          <w:color w:val="000000"/>
        </w:rPr>
        <w:t xml:space="preserve"> pārskaitīšanu. </w:t>
      </w:r>
      <w:r w:rsidRPr="003355AB">
        <w:rPr>
          <w:rFonts w:asciiTheme="majorBidi" w:hAnsiTheme="majorBidi" w:cstheme="majorBidi"/>
          <w:color w:val="000000"/>
        </w:rPr>
        <w:t xml:space="preserve">Tādējādi saimnieciskās darbības subjekts, kas ir </w:t>
      </w:r>
      <w:r>
        <w:rPr>
          <w:rFonts w:asciiTheme="majorBidi" w:hAnsiTheme="majorBidi" w:cstheme="majorBidi"/>
          <w:color w:val="000000"/>
        </w:rPr>
        <w:t>pievienotās vērtības nodokļa</w:t>
      </w:r>
      <w:r w:rsidRPr="003355AB">
        <w:rPr>
          <w:rFonts w:asciiTheme="majorBidi" w:hAnsiTheme="majorBidi" w:cstheme="majorBidi"/>
          <w:color w:val="000000"/>
        </w:rPr>
        <w:t xml:space="preserve"> maksātājs, par katru saimniecisko darbību no </w:t>
      </w:r>
      <w:r>
        <w:rPr>
          <w:rFonts w:asciiTheme="majorBidi" w:hAnsiTheme="majorBidi" w:cstheme="majorBidi"/>
          <w:color w:val="000000"/>
        </w:rPr>
        <w:t>pievienotās vērtības nodokļa</w:t>
      </w:r>
      <w:r w:rsidRPr="003355AB">
        <w:rPr>
          <w:rFonts w:asciiTheme="majorBidi" w:hAnsiTheme="majorBidi" w:cstheme="majorBidi"/>
          <w:color w:val="000000"/>
        </w:rPr>
        <w:t xml:space="preserve"> summas, kas iekasēta par preču pārdošanu, var atskaitīt </w:t>
      </w:r>
      <w:r>
        <w:rPr>
          <w:rFonts w:asciiTheme="majorBidi" w:hAnsiTheme="majorBidi" w:cstheme="majorBidi"/>
          <w:color w:val="000000"/>
        </w:rPr>
        <w:t>pievienotās vērtības nodokļa</w:t>
      </w:r>
      <w:r w:rsidRPr="003355AB">
        <w:rPr>
          <w:rFonts w:asciiTheme="majorBidi" w:hAnsiTheme="majorBidi" w:cstheme="majorBidi"/>
          <w:color w:val="000000"/>
        </w:rPr>
        <w:t xml:space="preserve"> summu, ko tas samaksājis kā priekšnodokli par savai komercdarbībai paredzētu pirkumu. Šī</w:t>
      </w:r>
      <w:r w:rsidRPr="00EC704B">
        <w:rPr>
          <w:rFonts w:asciiTheme="majorBidi" w:hAnsiTheme="majorBidi" w:cstheme="majorBidi"/>
          <w:color w:val="000000"/>
        </w:rPr>
        <w:t xml:space="preserve"> atskaitīšanas sistēma ļauj nodrošināt, ka </w:t>
      </w:r>
      <w:r>
        <w:rPr>
          <w:rFonts w:asciiTheme="majorBidi" w:hAnsiTheme="majorBidi" w:cstheme="majorBidi"/>
          <w:color w:val="000000"/>
        </w:rPr>
        <w:t>pievienotās vērtības nodoklis</w:t>
      </w:r>
      <w:r w:rsidRPr="00EC704B">
        <w:rPr>
          <w:rFonts w:asciiTheme="majorBidi" w:hAnsiTheme="majorBidi" w:cstheme="majorBidi"/>
          <w:color w:val="000000"/>
        </w:rPr>
        <w:t xml:space="preserve"> ir </w:t>
      </w:r>
      <w:r>
        <w:rPr>
          <w:rFonts w:asciiTheme="majorBidi" w:hAnsiTheme="majorBidi" w:cstheme="majorBidi"/>
          <w:color w:val="000000"/>
        </w:rPr>
        <w:t xml:space="preserve">pievienotās vērtības nodoklis </w:t>
      </w:r>
      <w:r w:rsidRPr="00EC704B">
        <w:rPr>
          <w:rFonts w:asciiTheme="majorBidi" w:hAnsiTheme="majorBidi" w:cstheme="majorBidi"/>
          <w:color w:val="000000"/>
        </w:rPr>
        <w:t>par preci, nevis par saimnieciskās darbības subjektu apgrozījumu</w:t>
      </w:r>
      <w:r w:rsidR="00C21676">
        <w:rPr>
          <w:rFonts w:asciiTheme="majorBidi" w:hAnsiTheme="majorBidi" w:cstheme="majorBidi"/>
          <w:color w:val="000000"/>
        </w:rPr>
        <w:t>,</w:t>
      </w:r>
      <w:r w:rsidRPr="00EC704B">
        <w:rPr>
          <w:rFonts w:asciiTheme="majorBidi" w:hAnsiTheme="majorBidi" w:cstheme="majorBidi"/>
          <w:color w:val="000000"/>
        </w:rPr>
        <w:t xml:space="preserve"> un ka tas ir jāmaksā tikai galapatērētājam.</w:t>
      </w:r>
      <w:r>
        <w:rPr>
          <w:rFonts w:asciiTheme="majorBidi" w:hAnsiTheme="majorBidi" w:cstheme="majorBidi"/>
          <w:color w:val="000000"/>
        </w:rPr>
        <w:t xml:space="preserve"> </w:t>
      </w:r>
      <w:r w:rsidRPr="00EC704B">
        <w:rPr>
          <w:rFonts w:asciiTheme="majorBidi" w:hAnsiTheme="majorBidi" w:cstheme="majorBidi"/>
          <w:color w:val="000000"/>
        </w:rPr>
        <w:t xml:space="preserve">Tā kā privātpersonas neveic saimniecisko darbību, tās nav </w:t>
      </w:r>
      <w:r>
        <w:rPr>
          <w:rFonts w:asciiTheme="majorBidi" w:hAnsiTheme="majorBidi" w:cstheme="majorBidi"/>
          <w:color w:val="000000"/>
        </w:rPr>
        <w:t>pievienotās vērtības nodokļa</w:t>
      </w:r>
      <w:r w:rsidRPr="00EC704B">
        <w:rPr>
          <w:rFonts w:asciiTheme="majorBidi" w:hAnsiTheme="majorBidi" w:cstheme="majorBidi"/>
          <w:color w:val="000000"/>
        </w:rPr>
        <w:t xml:space="preserve"> maksātājas. Tāpēc, kad tās pārdod lietotu preci citai privātpersonai vai nodokļa maksātājam, darījums nav apliekams ar </w:t>
      </w:r>
      <w:r>
        <w:rPr>
          <w:rFonts w:asciiTheme="majorBidi" w:hAnsiTheme="majorBidi" w:cstheme="majorBidi"/>
          <w:color w:val="000000"/>
        </w:rPr>
        <w:t>pievienotās vērtības nodokli</w:t>
      </w:r>
      <w:r w:rsidRPr="00EC704B">
        <w:rPr>
          <w:rFonts w:asciiTheme="majorBidi" w:hAnsiTheme="majorBidi" w:cstheme="majorBidi"/>
          <w:color w:val="000000"/>
        </w:rPr>
        <w:t>. Tātad grūtības rodas tad, ja pircējs ir tirgotājs, kas ir nodokļa maksātājs</w:t>
      </w:r>
      <w:r w:rsidRPr="002621EE">
        <w:rPr>
          <w:rFonts w:asciiTheme="majorBidi" w:hAnsiTheme="majorBidi" w:cstheme="majorBidi"/>
          <w:color w:val="000000"/>
        </w:rPr>
        <w:t xml:space="preserve">. Proti, tā kā prece atkal tiek laista tirdzniecībā, tirgotājam, kas ir nodokļa maksātājs, ir jāmaksā </w:t>
      </w:r>
      <w:r>
        <w:rPr>
          <w:rFonts w:asciiTheme="majorBidi" w:hAnsiTheme="majorBidi" w:cstheme="majorBidi"/>
          <w:color w:val="000000"/>
        </w:rPr>
        <w:t>pievienotās vērtības nodoklis</w:t>
      </w:r>
      <w:r w:rsidRPr="002621EE">
        <w:rPr>
          <w:rFonts w:asciiTheme="majorBidi" w:hAnsiTheme="majorBidi" w:cstheme="majorBidi"/>
          <w:color w:val="000000"/>
        </w:rPr>
        <w:t xml:space="preserve"> gadījumā, ja tas preci pārdod tālāk. Tomēr, tā kā </w:t>
      </w:r>
      <w:r>
        <w:rPr>
          <w:rFonts w:asciiTheme="majorBidi" w:hAnsiTheme="majorBidi" w:cstheme="majorBidi"/>
          <w:color w:val="000000"/>
        </w:rPr>
        <w:t>pievienotās vērtības nodoklis</w:t>
      </w:r>
      <w:r w:rsidRPr="002621EE">
        <w:rPr>
          <w:rFonts w:asciiTheme="majorBidi" w:hAnsiTheme="majorBidi" w:cstheme="majorBidi"/>
          <w:color w:val="000000"/>
        </w:rPr>
        <w:t xml:space="preserve"> netika maksāts brīdī, kad lietota prece tika nopirkta no privātpersonas, kas nav nodokļa maksātāja, to nevar atskaitīt no valstij maksājamās summas, ko veido tikai iekasētais </w:t>
      </w:r>
      <w:r>
        <w:rPr>
          <w:rFonts w:asciiTheme="majorBidi" w:hAnsiTheme="majorBidi" w:cstheme="majorBidi"/>
          <w:color w:val="000000"/>
        </w:rPr>
        <w:t>pievienotās vērtības nodoklis</w:t>
      </w:r>
      <w:r w:rsidRPr="002621EE">
        <w:rPr>
          <w:rFonts w:asciiTheme="majorBidi" w:hAnsiTheme="majorBidi" w:cstheme="majorBidi"/>
          <w:color w:val="000000"/>
        </w:rPr>
        <w:t xml:space="preserve"> par šīs preces tālākpārdošanu</w:t>
      </w:r>
      <w:r w:rsidRPr="00EC704B">
        <w:rPr>
          <w:rFonts w:asciiTheme="majorBidi" w:hAnsiTheme="majorBidi" w:cstheme="majorBidi"/>
          <w:color w:val="000000"/>
        </w:rPr>
        <w:t xml:space="preserve">. No tā </w:t>
      </w:r>
      <w:r w:rsidR="00C21676">
        <w:rPr>
          <w:rFonts w:asciiTheme="majorBidi" w:hAnsiTheme="majorBidi" w:cstheme="majorBidi"/>
          <w:color w:val="000000"/>
        </w:rPr>
        <w:t>rodas</w:t>
      </w:r>
      <w:r w:rsidRPr="00EC704B">
        <w:rPr>
          <w:rFonts w:asciiTheme="majorBidi" w:hAnsiTheme="majorBidi" w:cstheme="majorBidi"/>
          <w:color w:val="000000"/>
        </w:rPr>
        <w:t xml:space="preserve"> </w:t>
      </w:r>
      <w:r>
        <w:rPr>
          <w:rFonts w:asciiTheme="majorBidi" w:hAnsiTheme="majorBidi" w:cstheme="majorBidi"/>
          <w:color w:val="000000"/>
        </w:rPr>
        <w:t>pievienotās vērtības nodokļa</w:t>
      </w:r>
      <w:r w:rsidRPr="00EC704B">
        <w:rPr>
          <w:rFonts w:asciiTheme="majorBidi" w:hAnsiTheme="majorBidi" w:cstheme="majorBidi"/>
          <w:color w:val="000000"/>
        </w:rPr>
        <w:t xml:space="preserve"> neitralitātes izjaukšana un nodokļu dubulta uzlikšana minētajai precei.</w:t>
      </w:r>
      <w:r>
        <w:rPr>
          <w:rFonts w:asciiTheme="majorBidi" w:hAnsiTheme="majorBidi" w:cstheme="majorBidi"/>
          <w:color w:val="000000"/>
        </w:rPr>
        <w:t xml:space="preserve"> </w:t>
      </w:r>
      <w:r w:rsidRPr="00EC704B">
        <w:rPr>
          <w:rFonts w:asciiTheme="majorBidi" w:hAnsiTheme="majorBidi" w:cstheme="majorBidi"/>
          <w:color w:val="000000"/>
        </w:rPr>
        <w:t>Peļņas daļas režīms, kas izveidots ar</w:t>
      </w:r>
      <w:r>
        <w:rPr>
          <w:rFonts w:asciiTheme="majorBidi" w:hAnsiTheme="majorBidi" w:cstheme="majorBidi"/>
          <w:color w:val="000000"/>
        </w:rPr>
        <w:t xml:space="preserve"> </w:t>
      </w:r>
      <w:r w:rsidRPr="00B808E4">
        <w:rPr>
          <w:rFonts w:asciiTheme="majorBidi" w:hAnsiTheme="majorBidi" w:cstheme="majorBidi"/>
          <w:color w:val="000000"/>
        </w:rPr>
        <w:t xml:space="preserve">Padomes 1994.gada 14.februāra Direktīvu 94/5/EK, kas papildina kopējo pievienotās vērtības nodokļa sistēmu un groza Direktīvu 77/388/EEK </w:t>
      </w:r>
      <w:r w:rsidR="00C21676">
        <w:rPr>
          <w:rFonts w:asciiTheme="majorBidi" w:hAnsiTheme="majorBidi" w:cstheme="majorBidi"/>
          <w:color w:val="000000"/>
        </w:rPr>
        <w:t>–</w:t>
      </w:r>
      <w:r w:rsidRPr="00B808E4">
        <w:rPr>
          <w:rFonts w:asciiTheme="majorBidi" w:hAnsiTheme="majorBidi" w:cstheme="majorBidi"/>
          <w:color w:val="000000"/>
        </w:rPr>
        <w:t xml:space="preserve"> Īpašs režīms, ko piemēro lietotām mantām, mākslas</w:t>
      </w:r>
      <w:r w:rsidR="00916BA6">
        <w:rPr>
          <w:rFonts w:asciiTheme="majorBidi" w:hAnsiTheme="majorBidi" w:cstheme="majorBidi"/>
          <w:color w:val="000000"/>
        </w:rPr>
        <w:t xml:space="preserve"> </w:t>
      </w:r>
      <w:r w:rsidRPr="00B808E4">
        <w:rPr>
          <w:rFonts w:asciiTheme="majorBidi" w:hAnsiTheme="majorBidi" w:cstheme="majorBidi"/>
          <w:color w:val="000000"/>
        </w:rPr>
        <w:t>darbiem, kolekciju priekšmetiem un senlietām</w:t>
      </w:r>
      <w:r w:rsidR="00C21676">
        <w:rPr>
          <w:rFonts w:asciiTheme="majorBidi" w:hAnsiTheme="majorBidi" w:cstheme="majorBidi"/>
          <w:color w:val="000000"/>
        </w:rPr>
        <w:t>,</w:t>
      </w:r>
      <w:r w:rsidRPr="00EC704B">
        <w:rPr>
          <w:rFonts w:asciiTheme="majorBidi" w:hAnsiTheme="majorBidi" w:cstheme="majorBidi"/>
          <w:color w:val="000000"/>
        </w:rPr>
        <w:t xml:space="preserve"> un </w:t>
      </w:r>
      <w:r w:rsidR="00C21676">
        <w:rPr>
          <w:rFonts w:asciiTheme="majorBidi" w:hAnsiTheme="majorBidi" w:cstheme="majorBidi"/>
          <w:color w:val="000000"/>
        </w:rPr>
        <w:t xml:space="preserve">kas šobrīd ir </w:t>
      </w:r>
      <w:r w:rsidRPr="00EC704B">
        <w:rPr>
          <w:rFonts w:asciiTheme="majorBidi" w:hAnsiTheme="majorBidi" w:cstheme="majorBidi"/>
          <w:color w:val="000000"/>
        </w:rPr>
        <w:t xml:space="preserve">iekļauts </w:t>
      </w:r>
      <w:r>
        <w:t>Pievienotās vērtības nodokļa direktīvas</w:t>
      </w:r>
      <w:r w:rsidRPr="00EC704B">
        <w:rPr>
          <w:rFonts w:asciiTheme="majorBidi" w:hAnsiTheme="majorBidi" w:cstheme="majorBidi"/>
          <w:color w:val="000000"/>
        </w:rPr>
        <w:t xml:space="preserve"> 311.–343.pantā, tika noteikts, lai mazinātu šīs grūtības. Pirmkārt, tā mērķis ir saskaņot režīmus, kas ir piemērojami jaunām ar </w:t>
      </w:r>
      <w:r>
        <w:rPr>
          <w:rFonts w:asciiTheme="majorBidi" w:hAnsiTheme="majorBidi" w:cstheme="majorBidi"/>
          <w:color w:val="000000"/>
        </w:rPr>
        <w:t>pievienotās vērtības</w:t>
      </w:r>
      <w:r w:rsidRPr="00EC704B">
        <w:rPr>
          <w:rFonts w:asciiTheme="majorBidi" w:hAnsiTheme="majorBidi" w:cstheme="majorBidi"/>
          <w:color w:val="000000"/>
        </w:rPr>
        <w:t xml:space="preserve"> nodokli apliekamām precēm, kuras vēlāk tiek pārdotas tālāk kā lietotas preces, un, otrkārt, novērst nodokļu dubultu uzlikšanu, kā arī konkurences izkropļojumus attiecībā uz nodokļa maksātājiem lietotu preču jomā</w:t>
      </w:r>
      <w:r>
        <w:rPr>
          <w:rFonts w:asciiTheme="majorBidi" w:hAnsiTheme="majorBidi" w:cstheme="majorBidi"/>
          <w:color w:val="000000"/>
        </w:rPr>
        <w:t xml:space="preserve"> </w:t>
      </w:r>
      <w:r w:rsidRPr="00C21676">
        <w:rPr>
          <w:rFonts w:asciiTheme="majorBidi" w:hAnsiTheme="majorBidi" w:cstheme="majorBidi"/>
          <w:color w:val="000000"/>
        </w:rPr>
        <w:t>(sk.</w:t>
      </w:r>
      <w:r>
        <w:rPr>
          <w:rFonts w:asciiTheme="majorBidi" w:hAnsiTheme="majorBidi" w:cstheme="majorBidi"/>
          <w:i/>
          <w:iCs/>
          <w:color w:val="000000"/>
        </w:rPr>
        <w:t> </w:t>
      </w:r>
      <w:r w:rsidRPr="00B808E4">
        <w:rPr>
          <w:i/>
          <w:iCs/>
        </w:rPr>
        <w:t>Eiropas Savienības Tiesas ģenerāladvokāta</w:t>
      </w:r>
      <w:r w:rsidR="002E78BF">
        <w:rPr>
          <w:i/>
          <w:iCs/>
        </w:rPr>
        <w:t xml:space="preserve"> </w:t>
      </w:r>
      <w:r w:rsidRPr="00B808E4">
        <w:rPr>
          <w:i/>
          <w:iCs/>
        </w:rPr>
        <w:t>Ī.Bot</w:t>
      </w:r>
      <w:r>
        <w:rPr>
          <w:i/>
          <w:iCs/>
        </w:rPr>
        <w:t>a</w:t>
      </w:r>
      <w:r w:rsidRPr="00B808E4">
        <w:rPr>
          <w:i/>
          <w:iCs/>
        </w:rPr>
        <w:t xml:space="preserve"> (Y.Bot) 2016.gada 22.septembra </w:t>
      </w:r>
      <w:r w:rsidR="0003319F">
        <w:rPr>
          <w:i/>
          <w:iCs/>
        </w:rPr>
        <w:t>secinājumu</w:t>
      </w:r>
      <w:r w:rsidRPr="00B808E4">
        <w:rPr>
          <w:i/>
          <w:iCs/>
        </w:rPr>
        <w:t xml:space="preserve"> </w:t>
      </w:r>
      <w:r w:rsidRPr="00B808E4">
        <w:rPr>
          <w:rFonts w:asciiTheme="majorBidi" w:hAnsiTheme="majorBidi" w:cstheme="majorBidi"/>
          <w:i/>
          <w:iCs/>
          <w:color w:val="000000"/>
        </w:rPr>
        <w:t xml:space="preserve">lietā „Sjelle Autogenburg”, C-47/15, </w:t>
      </w:r>
      <w:hyperlink r:id="rId10" w:history="1">
        <w:r w:rsidRPr="00B808E4">
          <w:rPr>
            <w:rStyle w:val="Hyperlink"/>
            <w:rFonts w:asciiTheme="majorBidi" w:hAnsiTheme="majorBidi" w:cstheme="majorBidi"/>
            <w:i/>
            <w:iCs/>
          </w:rPr>
          <w:t>ECLI:EU:C:2016:724</w:t>
        </w:r>
      </w:hyperlink>
      <w:r>
        <w:rPr>
          <w:rFonts w:asciiTheme="majorBidi" w:hAnsiTheme="majorBidi" w:cstheme="majorBidi"/>
          <w:i/>
          <w:iCs/>
          <w:color w:val="000000"/>
        </w:rPr>
        <w:t xml:space="preserve">, 24.–27.punktu un </w:t>
      </w:r>
      <w:r w:rsidRPr="00B808E4">
        <w:rPr>
          <w:i/>
          <w:iCs/>
        </w:rPr>
        <w:t>tajā minēt</w:t>
      </w:r>
      <w:r>
        <w:rPr>
          <w:i/>
          <w:iCs/>
        </w:rPr>
        <w:t>o</w:t>
      </w:r>
      <w:r w:rsidRPr="00B808E4">
        <w:rPr>
          <w:i/>
          <w:iCs/>
        </w:rPr>
        <w:t xml:space="preserve"> judikatūr</w:t>
      </w:r>
      <w:r>
        <w:rPr>
          <w:i/>
          <w:iCs/>
        </w:rPr>
        <w:t>u</w:t>
      </w:r>
      <w:r w:rsidRPr="0003319F">
        <w:rPr>
          <w:rFonts w:asciiTheme="majorBidi" w:hAnsiTheme="majorBidi" w:cstheme="majorBidi"/>
          <w:color w:val="000000"/>
        </w:rPr>
        <w:t>).</w:t>
      </w:r>
    </w:p>
    <w:p w14:paraId="750CC518" w14:textId="4733B6E6" w:rsidR="00A71A2D" w:rsidRDefault="00A71A2D" w:rsidP="00BE7E70">
      <w:pPr>
        <w:spacing w:line="276" w:lineRule="auto"/>
        <w:ind w:firstLine="720"/>
        <w:jc w:val="both"/>
      </w:pPr>
      <w:r>
        <w:t>Tādējādi ī</w:t>
      </w:r>
      <w:r w:rsidR="007F32BC">
        <w:t xml:space="preserve">pašais pievienotās vērtības nodokļa piemērošanas režīms ir uzskatāms par atkāpi no vispārējiem pievienotās vērtības nodokļa piemērošanas principiem, līdz ar to tas piemērojams sašaurināti un </w:t>
      </w:r>
      <w:r w:rsidR="0003319F">
        <w:t>tā piemērošanai nevajadzētu radīt</w:t>
      </w:r>
      <w:r w:rsidR="007F32BC">
        <w:t xml:space="preserve"> izvairī</w:t>
      </w:r>
      <w:r w:rsidR="0003319F">
        <w:t>šanos</w:t>
      </w:r>
      <w:r w:rsidR="007F32BC">
        <w:t xml:space="preserve"> no pievienotās vērtības nodokļa nomaksas. </w:t>
      </w:r>
    </w:p>
    <w:p w14:paraId="0F50D398" w14:textId="1FB18ACF" w:rsidR="0034678A" w:rsidRDefault="00A71A2D" w:rsidP="00BE7E70">
      <w:pPr>
        <w:spacing w:line="276" w:lineRule="auto"/>
        <w:ind w:firstLine="720"/>
        <w:jc w:val="both"/>
      </w:pPr>
      <w:r>
        <w:t>Līdz ar to, p</w:t>
      </w:r>
      <w:r w:rsidR="007F32BC">
        <w:t xml:space="preserve">iemērojot Pievienotās vērtības nodokļa likuma 138.pantā noteikto īpašo nodokļa piemērošanas režīmu, lai sasniegtu tā mērķi, ar pievienotās vērtības nodokli neapliek visu </w:t>
      </w:r>
      <w:r w:rsidR="00E610CF">
        <w:t xml:space="preserve">pārdošanas </w:t>
      </w:r>
      <w:r w:rsidR="007F32BC">
        <w:t xml:space="preserve">darījuma vērtību, bet tikai starpību starp pārdošanas </w:t>
      </w:r>
      <w:r w:rsidR="007F32BC">
        <w:lastRenderedPageBreak/>
        <w:t xml:space="preserve">vērtību (naudas summu), ko tirgotājs ir saņēmis par pircējam piegādātajām lietotām mantām, un iepirkuma vērtību, </w:t>
      </w:r>
      <w:r w:rsidR="007F32BC" w:rsidRPr="00FD7F98">
        <w:t>samazinot šo starpību par aprēķinātā pievienotās vērtības nodokļa vērtību.</w:t>
      </w:r>
      <w:r w:rsidR="007F32BC">
        <w:t xml:space="preserve"> </w:t>
      </w:r>
      <w:r w:rsidR="00E610CF">
        <w:t xml:space="preserve">Proti, saskaņā ar Pievienotās vērtības nodokļa likuma 138.panta desmito daļu </w:t>
      </w:r>
      <w:r w:rsidR="0034678A">
        <w:t>ar pievienotās vērtības nodokli apliekamā vērtība ir starpība starp pārdošanas vērtību un iepirkuma</w:t>
      </w:r>
      <w:r w:rsidR="00C6491C">
        <w:t xml:space="preserve"> vērtību</w:t>
      </w:r>
      <w:r w:rsidR="0034678A">
        <w:t>, no kur</w:t>
      </w:r>
      <w:r w:rsidR="00EA17BE">
        <w:t>as</w:t>
      </w:r>
      <w:r w:rsidR="0034678A">
        <w:t xml:space="preserve"> </w:t>
      </w:r>
      <w:r w:rsidR="00E610CF">
        <w:t>vienlai</w:t>
      </w:r>
      <w:r w:rsidR="00BC5387">
        <w:t>kus</w:t>
      </w:r>
      <w:r w:rsidR="0034678A">
        <w:t xml:space="preserve"> ir atņemts</w:t>
      </w:r>
      <w:r w:rsidR="00EA17BE">
        <w:t xml:space="preserve"> nodoklis</w:t>
      </w:r>
      <w:r w:rsidR="00C6491C">
        <w:t xml:space="preserve">, tas ir, tiek </w:t>
      </w:r>
      <w:r w:rsidR="001F25ED">
        <w:t>aplikta tikai peļņas daļa.</w:t>
      </w:r>
    </w:p>
    <w:p w14:paraId="70046478" w14:textId="7B678AC9" w:rsidR="008B5F09" w:rsidRDefault="00AA1D85" w:rsidP="00BE7E70">
      <w:pPr>
        <w:spacing w:line="276" w:lineRule="auto"/>
        <w:ind w:firstLine="720"/>
        <w:jc w:val="both"/>
      </w:pPr>
      <w:r>
        <w:t>Tā</w:t>
      </w:r>
      <w:r w:rsidR="00A71A2D">
        <w:t>tad</w:t>
      </w:r>
      <w:r w:rsidR="00727AA1">
        <w:t xml:space="preserve">, ja nodokļu maksātājs ir veicis </w:t>
      </w:r>
      <w:r w:rsidR="00727AA1">
        <w:rPr>
          <w:rFonts w:eastAsiaTheme="minorHAnsi" w:cstheme="minorBidi"/>
          <w:kern w:val="2"/>
          <w:szCs w:val="22"/>
          <w14:ligatures w14:val="standardContextual"/>
        </w:rPr>
        <w:t xml:space="preserve">darījumus, piemērojot </w:t>
      </w:r>
      <w:r w:rsidR="00727AA1">
        <w:t>Pievienotās vērtības nodokļa likuma 138.pantu, tad</w:t>
      </w:r>
      <w:r w:rsidR="00727AA1">
        <w:rPr>
          <w:rFonts w:eastAsiaTheme="minorHAnsi" w:cstheme="minorBidi"/>
          <w:kern w:val="2"/>
          <w:szCs w:val="22"/>
          <w14:ligatures w14:val="standardContextual"/>
        </w:rPr>
        <w:t xml:space="preserve"> </w:t>
      </w:r>
      <w:r>
        <w:rPr>
          <w:rFonts w:eastAsiaTheme="minorHAnsi" w:cstheme="minorBidi"/>
          <w:kern w:val="2"/>
          <w:szCs w:val="22"/>
          <w14:ligatures w14:val="standardContextual"/>
        </w:rPr>
        <w:t xml:space="preserve">Pievienotās vērtības nodokļa likuma 98.panta otrā daļā noteiktajā proporcijas aprēķinā </w:t>
      </w:r>
      <w:r w:rsidR="00C8659B">
        <w:rPr>
          <w:rFonts w:eastAsiaTheme="minorHAnsi" w:cstheme="minorBidi"/>
          <w:kern w:val="2"/>
          <w:szCs w:val="22"/>
          <w14:ligatures w14:val="standardContextual"/>
        </w:rPr>
        <w:t xml:space="preserve">skaitītājā un saucējā </w:t>
      </w:r>
      <w:r w:rsidR="00E610CF">
        <w:rPr>
          <w:rFonts w:eastAsiaTheme="minorHAnsi" w:cstheme="minorBidi"/>
          <w:kern w:val="2"/>
          <w:szCs w:val="22"/>
          <w14:ligatures w14:val="standardContextual"/>
        </w:rPr>
        <w:t xml:space="preserve">komponentē </w:t>
      </w:r>
      <w:r w:rsidR="00BC5387" w:rsidRPr="0003319F">
        <w:rPr>
          <w:rFonts w:asciiTheme="majorBidi" w:hAnsiTheme="majorBidi" w:cstheme="majorBidi"/>
        </w:rPr>
        <w:t>„</w:t>
      </w:r>
      <w:r w:rsidR="00E610CF" w:rsidRPr="0003319F">
        <w:rPr>
          <w:rFonts w:eastAsiaTheme="minorHAnsi" w:cstheme="minorBidi"/>
          <w:kern w:val="2"/>
          <w:szCs w:val="22"/>
          <w14:ligatures w14:val="standardContextual"/>
        </w:rPr>
        <w:t>darījumu vērtība bez nodokļa, kuri dod tiesības atskaitīt priekšnodokli”</w:t>
      </w:r>
      <w:r w:rsidR="00727AA1">
        <w:rPr>
          <w:rFonts w:eastAsiaTheme="minorHAnsi" w:cstheme="minorBidi"/>
          <w:kern w:val="2"/>
          <w:szCs w:val="22"/>
          <w14:ligatures w14:val="standardContextual"/>
        </w:rPr>
        <w:t xml:space="preserve"> </w:t>
      </w:r>
      <w:r w:rsidR="00C8659B">
        <w:rPr>
          <w:rFonts w:eastAsiaTheme="minorHAnsi" w:cstheme="minorBidi"/>
          <w:kern w:val="2"/>
          <w:szCs w:val="22"/>
          <w14:ligatures w14:val="standardContextual"/>
        </w:rPr>
        <w:t xml:space="preserve">vispārīgi </w:t>
      </w:r>
      <w:r w:rsidR="00727AA1">
        <w:t>ir iekļaujama</w:t>
      </w:r>
      <w:r w:rsidR="00727AA1" w:rsidRPr="00727AA1">
        <w:t xml:space="preserve"> </w:t>
      </w:r>
      <w:r w:rsidR="00727AA1">
        <w:t>vērtība</w:t>
      </w:r>
      <w:r w:rsidR="001F25ED">
        <w:t xml:space="preserve"> (peļņas daļa)</w:t>
      </w:r>
      <w:r w:rsidR="00727AA1">
        <w:t xml:space="preserve"> bez nodokļa, kas aprēķināta </w:t>
      </w:r>
      <w:r w:rsidR="00727AA1">
        <w:rPr>
          <w:rFonts w:eastAsiaTheme="minorHAnsi" w:cstheme="minorBidi"/>
          <w:kern w:val="2"/>
          <w:szCs w:val="22"/>
          <w14:ligatures w14:val="standardContextual"/>
        </w:rPr>
        <w:t xml:space="preserve">saskaņā ar </w:t>
      </w:r>
      <w:r w:rsidR="00727AA1">
        <w:t>Pievienotās vērtības nodokļa likuma 138.panta desmito daļu</w:t>
      </w:r>
      <w:r w:rsidR="004C4A68">
        <w:t>, proti, pozitīvā starpība starp pārdošanas vērtību un iepirkuma vērtību, no kuras vienlai</w:t>
      </w:r>
      <w:r w:rsidR="008B5F09">
        <w:t>kus</w:t>
      </w:r>
      <w:r w:rsidR="004C4A68">
        <w:t xml:space="preserve"> ir atņemts nodoklis</w:t>
      </w:r>
      <w:r w:rsidR="00727AA1">
        <w:t>, nevis</w:t>
      </w:r>
      <w:r w:rsidR="004C4A68">
        <w:t>, kā uzskata pieteicēja,</w:t>
      </w:r>
      <w:r w:rsidR="00727AA1">
        <w:t xml:space="preserve"> </w:t>
      </w:r>
      <w:r w:rsidR="001F25ED">
        <w:t xml:space="preserve">visa </w:t>
      </w:r>
      <w:r w:rsidR="00727AA1">
        <w:t>pārdošanas vērtība.</w:t>
      </w:r>
    </w:p>
    <w:p w14:paraId="3F365C56" w14:textId="77777777" w:rsidR="00727AA1" w:rsidRDefault="00727AA1" w:rsidP="00BE7E70">
      <w:pPr>
        <w:spacing w:line="276" w:lineRule="auto"/>
        <w:ind w:firstLine="720"/>
        <w:jc w:val="both"/>
      </w:pPr>
    </w:p>
    <w:p w14:paraId="29261F38" w14:textId="7B2D3242" w:rsidR="009E0E00" w:rsidRDefault="00C8659B" w:rsidP="00BE7E70">
      <w:pPr>
        <w:spacing w:line="276" w:lineRule="auto"/>
        <w:ind w:firstLine="720"/>
        <w:jc w:val="both"/>
      </w:pPr>
      <w:r>
        <w:t>[9] Vienlai</w:t>
      </w:r>
      <w:r w:rsidR="008B5F09">
        <w:t>kus</w:t>
      </w:r>
      <w:r>
        <w:t xml:space="preserve"> ņemams vērā, ka s</w:t>
      </w:r>
      <w:r w:rsidR="009E0E00">
        <w:t xml:space="preserve">askaņā ar </w:t>
      </w:r>
      <w:r w:rsidR="00AB2EEE">
        <w:t>Pievienotās vērtības nodokļa likuma 138.panta divdesmit pirmo daļu, j</w:t>
      </w:r>
      <w:r w:rsidR="009E0E00" w:rsidRPr="009E0E00">
        <w:t xml:space="preserve">a darījumam piemēro šajā pantā noteikto īpašo nodokļa piemērošanas režīmu </w:t>
      </w:r>
      <w:r w:rsidR="009E0E00" w:rsidRPr="00373A7B">
        <w:t>un priekšnodokļa vērtība ir lielāka nekā aprēķinātā nodokļa vērtība,</w:t>
      </w:r>
      <w:r w:rsidR="009E0E00" w:rsidRPr="009E0E00">
        <w:t xml:space="preserve"> tirgotājam ir tiesības atskaitīt no valsts budžetā maksājamās nodokļa summas priekšnodokļa daļu, kas nepārsniedz aprēķinātā nodokļa vērtību.</w:t>
      </w:r>
    </w:p>
    <w:p w14:paraId="26BDB902" w14:textId="50233861" w:rsidR="00896A27" w:rsidRDefault="00373A7B" w:rsidP="00BE7E70">
      <w:pPr>
        <w:spacing w:line="276" w:lineRule="auto"/>
        <w:ind w:firstLine="720"/>
        <w:jc w:val="both"/>
      </w:pPr>
      <w:r>
        <w:t>Līdz ar to</w:t>
      </w:r>
      <w:r w:rsidR="00C74C74" w:rsidRPr="0055398C">
        <w:t xml:space="preserve"> darījumos, kad tiek piemērots īpašais nodokļa piemērošanas režīms saskaņā ar Pievienotās vērtības</w:t>
      </w:r>
      <w:r w:rsidR="00E465A9">
        <w:t xml:space="preserve"> nodokļa</w:t>
      </w:r>
      <w:r w:rsidR="00C74C74" w:rsidRPr="0055398C">
        <w:t xml:space="preserve"> likuma 138.pantu, tirgotājam ir tiesības atskaitīt priekšnodokl</w:t>
      </w:r>
      <w:r w:rsidR="006E3F79">
        <w:t>ī summu, kas ir</w:t>
      </w:r>
      <w:r w:rsidR="00C74C74" w:rsidRPr="0055398C">
        <w:t xml:space="preserve"> </w:t>
      </w:r>
      <w:r w:rsidR="006E3F79">
        <w:t>ne lielāka par aprēķināto pievienotās vērtības nodokli, kas</w:t>
      </w:r>
      <w:r w:rsidR="002E78BF">
        <w:t xml:space="preserve"> </w:t>
      </w:r>
      <w:r w:rsidR="001A6344">
        <w:t>aprēķināt</w:t>
      </w:r>
      <w:r>
        <w:t>s</w:t>
      </w:r>
      <w:r w:rsidR="001A6344">
        <w:t xml:space="preserve"> </w:t>
      </w:r>
      <w:r>
        <w:t>Pievienotās vērtības nodokļa likuma 138.panta desmitās daļas kārtībā</w:t>
      </w:r>
      <w:r w:rsidR="001A6344">
        <w:t>.</w:t>
      </w:r>
      <w:r w:rsidR="00C74C74">
        <w:t xml:space="preserve"> </w:t>
      </w:r>
      <w:r w:rsidR="001A6344">
        <w:t>Tātad, ja star</w:t>
      </w:r>
      <w:r w:rsidR="00896A27">
        <w:t>p</w:t>
      </w:r>
      <w:r w:rsidR="00C74C74">
        <w:t xml:space="preserve"> </w:t>
      </w:r>
      <w:r w:rsidR="004B3272">
        <w:t>pārdošanas vērtību un iepirkuma vērtību</w:t>
      </w:r>
      <w:r w:rsidR="00B42614">
        <w:t xml:space="preserve"> pozitīva starpība neveidojas</w:t>
      </w:r>
      <w:r>
        <w:t>, bet tā ir nulle vai negatīva</w:t>
      </w:r>
      <w:r w:rsidR="001F25ED">
        <w:t xml:space="preserve">, citiem vārdiem sakot, </w:t>
      </w:r>
      <w:r w:rsidR="00686D64">
        <w:t xml:space="preserve">nav </w:t>
      </w:r>
      <w:r w:rsidR="001F25ED">
        <w:t>r</w:t>
      </w:r>
      <w:r w:rsidR="00686D64">
        <w:t>a</w:t>
      </w:r>
      <w:r w:rsidR="001F25ED">
        <w:t>d</w:t>
      </w:r>
      <w:r w:rsidR="00686D64">
        <w:t>usie</w:t>
      </w:r>
      <w:r w:rsidR="001F25ED">
        <w:t>s peļņas daļa</w:t>
      </w:r>
      <w:r w:rsidR="00B42614">
        <w:t xml:space="preserve">, nerodas arī vērtība, kas </w:t>
      </w:r>
      <w:r w:rsidR="00896A27">
        <w:t xml:space="preserve">ir </w:t>
      </w:r>
      <w:r w:rsidR="00B42614">
        <w:t>apliekama ar pievienotās</w:t>
      </w:r>
      <w:r w:rsidR="00896A27">
        <w:t xml:space="preserve"> vērtības nodokli. Secīgi nevar </w:t>
      </w:r>
      <w:r>
        <w:t xml:space="preserve">arī </w:t>
      </w:r>
      <w:r w:rsidR="00896A27">
        <w:t>rasties atskaitāms priekšnodoklis</w:t>
      </w:r>
      <w:r w:rsidR="004961BA">
        <w:t xml:space="preserve">. </w:t>
      </w:r>
      <w:r w:rsidR="00686D64">
        <w:t>Līdz ar to</w:t>
      </w:r>
      <w:r w:rsidR="004961BA">
        <w:t xml:space="preserve"> šādā gadījumā darījums nerada nodokļa maksātājam tiesības atskaitīt nodokli</w:t>
      </w:r>
      <w:r w:rsidR="00686D64">
        <w:t>, jo darījuma rezultātā nav radīta pievienotā vērtība</w:t>
      </w:r>
      <w:r w:rsidR="004961BA">
        <w:t xml:space="preserve">. </w:t>
      </w:r>
      <w:r w:rsidR="0003319F">
        <w:t>Tādējādi</w:t>
      </w:r>
      <w:r>
        <w:t>,</w:t>
      </w:r>
      <w:r w:rsidR="004961BA">
        <w:t xml:space="preserve"> </w:t>
      </w:r>
      <w:r w:rsidR="0003319F">
        <w:t xml:space="preserve">arī </w:t>
      </w:r>
      <w:r w:rsidR="004961BA">
        <w:rPr>
          <w:rFonts w:eastAsiaTheme="minorHAnsi" w:cstheme="minorBidi"/>
          <w:kern w:val="2"/>
          <w:szCs w:val="22"/>
          <w14:ligatures w14:val="standardContextual"/>
        </w:rPr>
        <w:t xml:space="preserve">veicot proporcijas aprēķinu atskaitāmā priekšnodokļa daļas aprēķināšanai </w:t>
      </w:r>
      <w:r w:rsidR="0087629C">
        <w:t xml:space="preserve">saskaņā ar </w:t>
      </w:r>
      <w:r w:rsidR="0087629C">
        <w:rPr>
          <w:rFonts w:eastAsiaTheme="minorHAnsi" w:cstheme="minorBidi"/>
          <w:kern w:val="2"/>
          <w:szCs w:val="22"/>
          <w14:ligatures w14:val="standardContextual"/>
        </w:rPr>
        <w:t xml:space="preserve">Pievienotās vērtības nodokļa likuma 98.panta otro daļu, </w:t>
      </w:r>
      <w:r w:rsidR="004961BA">
        <w:t>šād</w:t>
      </w:r>
      <w:r w:rsidR="0087629C">
        <w:t>a</w:t>
      </w:r>
      <w:r w:rsidR="004961BA">
        <w:t xml:space="preserve"> darījum</w:t>
      </w:r>
      <w:r w:rsidR="0087629C">
        <w:t>a vērtība (starpība starp pārdošanas vērtību un iepirkuma</w:t>
      </w:r>
      <w:r w:rsidR="004C4A68">
        <w:t xml:space="preserve"> vērtību</w:t>
      </w:r>
      <w:r w:rsidR="0087629C">
        <w:t>, no kuras ir atņemts nodoklis)</w:t>
      </w:r>
      <w:r w:rsidR="002E78BF">
        <w:t xml:space="preserve"> </w:t>
      </w:r>
      <w:r w:rsidR="004961BA">
        <w:t xml:space="preserve">nav </w:t>
      </w:r>
      <w:r w:rsidR="0087629C">
        <w:t xml:space="preserve">iekļaujama </w:t>
      </w:r>
      <w:r w:rsidR="004961BA">
        <w:rPr>
          <w:rFonts w:eastAsiaTheme="minorHAnsi" w:cstheme="minorBidi"/>
          <w:kern w:val="2"/>
          <w:szCs w:val="22"/>
          <w14:ligatures w14:val="standardContextual"/>
        </w:rPr>
        <w:t xml:space="preserve">proporcijas aprēķinā skaitītāja un saucēja </w:t>
      </w:r>
      <w:r w:rsidR="004961BA" w:rsidRPr="0003319F">
        <w:rPr>
          <w:rFonts w:eastAsiaTheme="minorHAnsi" w:cstheme="minorBidi"/>
          <w:kern w:val="2"/>
          <w:szCs w:val="22"/>
          <w14:ligatures w14:val="standardContextual"/>
        </w:rPr>
        <w:t xml:space="preserve">komponentē </w:t>
      </w:r>
      <w:r w:rsidR="00BC5387" w:rsidRPr="0003319F">
        <w:rPr>
          <w:rFonts w:asciiTheme="majorBidi" w:hAnsiTheme="majorBidi" w:cstheme="majorBidi"/>
        </w:rPr>
        <w:t>„</w:t>
      </w:r>
      <w:r w:rsidR="004961BA" w:rsidRPr="0003319F">
        <w:rPr>
          <w:rFonts w:eastAsiaTheme="minorHAnsi" w:cstheme="minorBidi"/>
          <w:kern w:val="2"/>
          <w:szCs w:val="22"/>
          <w14:ligatures w14:val="standardContextual"/>
        </w:rPr>
        <w:t>darījumu vērtība bez nodokļa, kuri dod tiesības atskaitīt priekšnodokli”</w:t>
      </w:r>
      <w:r w:rsidR="004C4A68" w:rsidRPr="004C4A68">
        <w:rPr>
          <w:i/>
          <w:iCs/>
        </w:rPr>
        <w:t xml:space="preserve"> </w:t>
      </w:r>
      <w:r w:rsidR="004C4A68" w:rsidRPr="004C4A68">
        <w:t>atskaitāmās priekšnodokļa daļas noteikšanai</w:t>
      </w:r>
      <w:r w:rsidR="0087629C" w:rsidRPr="0087629C">
        <w:rPr>
          <w:rFonts w:eastAsiaTheme="minorHAnsi" w:cstheme="minorBidi"/>
          <w:kern w:val="2"/>
          <w:szCs w:val="22"/>
          <w14:ligatures w14:val="standardContextual"/>
        </w:rPr>
        <w:t>.</w:t>
      </w:r>
      <w:r w:rsidR="004961BA">
        <w:t xml:space="preserve"> </w:t>
      </w:r>
    </w:p>
    <w:p w14:paraId="76FF8AC6" w14:textId="0AC0A27E" w:rsidR="00C462AC" w:rsidRDefault="00C462AC" w:rsidP="00BE7E70">
      <w:pPr>
        <w:spacing w:line="276" w:lineRule="auto"/>
        <w:ind w:firstLine="720"/>
        <w:jc w:val="both"/>
      </w:pPr>
      <w:r>
        <w:t xml:space="preserve">Tādējādi </w:t>
      </w:r>
      <w:r w:rsidR="00740751">
        <w:rPr>
          <w:rFonts w:eastAsiaTheme="minorHAnsi" w:cstheme="minorBidi"/>
          <w:kern w:val="2"/>
          <w:szCs w:val="22"/>
          <w14:ligatures w14:val="standardContextual"/>
        </w:rPr>
        <w:t>apgabaltiesa</w:t>
      </w:r>
      <w:r>
        <w:t xml:space="preserve"> pareizi interpretējusi </w:t>
      </w:r>
      <w:r>
        <w:rPr>
          <w:rFonts w:eastAsiaTheme="minorHAnsi" w:cstheme="minorBidi"/>
          <w:kern w:val="2"/>
          <w:szCs w:val="22"/>
          <w14:ligatures w14:val="standardContextual"/>
        </w:rPr>
        <w:t xml:space="preserve">Pievienotās vērtības nodokļa likuma 98.panta otro daļu kopsakarā ar </w:t>
      </w:r>
      <w:r w:rsidR="00740751">
        <w:rPr>
          <w:rFonts w:eastAsiaTheme="minorHAnsi" w:cstheme="minorBidi"/>
          <w:kern w:val="2"/>
          <w:szCs w:val="22"/>
          <w14:ligatures w14:val="standardContextual"/>
        </w:rPr>
        <w:t>138.pantu, nonākot pie pareiza rezultāta.</w:t>
      </w:r>
    </w:p>
    <w:p w14:paraId="7CE30A92" w14:textId="77777777" w:rsidR="004C4A68" w:rsidRDefault="004C4A68" w:rsidP="00BE7E70">
      <w:pPr>
        <w:spacing w:line="276" w:lineRule="auto"/>
        <w:ind w:firstLine="720"/>
        <w:jc w:val="both"/>
      </w:pPr>
    </w:p>
    <w:p w14:paraId="66D79B9E" w14:textId="1B2668A8" w:rsidR="00366ADF" w:rsidRDefault="00FA76E7" w:rsidP="00BE7E70">
      <w:pPr>
        <w:pStyle w:val="tv213"/>
        <w:shd w:val="clear" w:color="auto" w:fill="FFFFFF"/>
        <w:spacing w:before="0" w:beforeAutospacing="0" w:after="0" w:afterAutospacing="0" w:line="276" w:lineRule="auto"/>
        <w:ind w:firstLine="600"/>
        <w:jc w:val="both"/>
        <w:rPr>
          <w:i/>
          <w:iCs/>
          <w:lang w:val="lv-LV"/>
        </w:rPr>
      </w:pPr>
      <w:r>
        <w:rPr>
          <w:i/>
          <w:iCs/>
          <w:lang w:val="lv-LV"/>
        </w:rPr>
        <w:t>Par p</w:t>
      </w:r>
      <w:r w:rsidR="00604AE6">
        <w:rPr>
          <w:i/>
          <w:iCs/>
          <w:lang w:val="lv-LV"/>
        </w:rPr>
        <w:t>ievienotās vērtības nodokļa</w:t>
      </w:r>
      <w:r w:rsidR="00F334BD">
        <w:rPr>
          <w:i/>
          <w:iCs/>
          <w:lang w:val="lv-LV"/>
        </w:rPr>
        <w:t xml:space="preserve"> bāz</w:t>
      </w:r>
      <w:r w:rsidR="00366ADF">
        <w:rPr>
          <w:i/>
          <w:iCs/>
          <w:lang w:val="lv-LV"/>
        </w:rPr>
        <w:t>i</w:t>
      </w:r>
      <w:r w:rsidR="00F334BD">
        <w:rPr>
          <w:i/>
          <w:iCs/>
          <w:lang w:val="lv-LV"/>
        </w:rPr>
        <w:t xml:space="preserve"> par </w:t>
      </w:r>
      <w:r w:rsidR="008B5F09">
        <w:rPr>
          <w:i/>
          <w:iCs/>
          <w:lang w:val="lv-LV"/>
        </w:rPr>
        <w:t>laiku</w:t>
      </w:r>
      <w:r w:rsidR="00F334BD">
        <w:rPr>
          <w:i/>
          <w:iCs/>
          <w:lang w:val="lv-LV"/>
        </w:rPr>
        <w:t xml:space="preserve"> no 2016.gada janvāra līdz oktobrim </w:t>
      </w:r>
    </w:p>
    <w:p w14:paraId="17FB43D4" w14:textId="01DE3E67" w:rsidR="00BD22D6" w:rsidRDefault="004C4A68" w:rsidP="00BE7E70">
      <w:pPr>
        <w:spacing w:line="276" w:lineRule="auto"/>
        <w:ind w:firstLine="720"/>
        <w:jc w:val="both"/>
      </w:pPr>
      <w:r>
        <w:t>[10]</w:t>
      </w:r>
      <w:r w:rsidR="00366ADF">
        <w:t xml:space="preserve"> </w:t>
      </w:r>
      <w:bookmarkStart w:id="3" w:name="_Hlk161840573"/>
      <w:r w:rsidR="0016225A">
        <w:t>K</w:t>
      </w:r>
      <w:r w:rsidR="00BD22D6">
        <w:t>asācijas sūdzīb</w:t>
      </w:r>
      <w:r w:rsidR="0016225A">
        <w:t>ā</w:t>
      </w:r>
      <w:r w:rsidR="00BD22D6">
        <w:t xml:space="preserve"> pieteicēja </w:t>
      </w:r>
      <w:r w:rsidR="0016225A">
        <w:t>norādījusi</w:t>
      </w:r>
      <w:r w:rsidR="00BD22D6">
        <w:t>, ka dienests audita laikā pieļāvis kļūdu aprēķinos, piemērojot pievienotās vērtības</w:t>
      </w:r>
      <w:r w:rsidR="0016225A">
        <w:t xml:space="preserve"> nodokļa</w:t>
      </w:r>
      <w:r w:rsidR="00BD22D6">
        <w:t xml:space="preserve"> proporciju</w:t>
      </w:r>
      <w:r w:rsidR="00FA76E7">
        <w:t xml:space="preserve"> pievienotās vērtības </w:t>
      </w:r>
      <w:r w:rsidR="0016225A">
        <w:t xml:space="preserve">nodokļa </w:t>
      </w:r>
      <w:r w:rsidR="00FA76E7" w:rsidRPr="0016225A">
        <w:t>bāzei</w:t>
      </w:r>
      <w:r w:rsidR="0016225A" w:rsidRPr="0016225A">
        <w:t xml:space="preserve"> par </w:t>
      </w:r>
      <w:r w:rsidR="008B5F09">
        <w:t>laiku</w:t>
      </w:r>
      <w:r w:rsidR="0016225A" w:rsidRPr="0016225A">
        <w:t xml:space="preserve"> no 2016.gada janvāra līdz oktobrim</w:t>
      </w:r>
      <w:r w:rsidR="00FA76E7">
        <w:t xml:space="preserve">, kas </w:t>
      </w:r>
      <w:r w:rsidR="0016225A">
        <w:t>bija</w:t>
      </w:r>
      <w:r w:rsidR="00FA76E7">
        <w:t xml:space="preserve"> atskaitāma pilnībā</w:t>
      </w:r>
      <w:r w:rsidR="00BD22D6">
        <w:t xml:space="preserve">. </w:t>
      </w:r>
      <w:r w:rsidR="003E6C18">
        <w:t>Vienlai</w:t>
      </w:r>
      <w:r w:rsidR="008B5F09">
        <w:t>kus</w:t>
      </w:r>
      <w:r w:rsidR="003E6C18">
        <w:t xml:space="preserve"> pieteicēja kasācijas sūdzībā atzīst, ka p</w:t>
      </w:r>
      <w:r w:rsidR="00BD22D6">
        <w:t xml:space="preserve">ar </w:t>
      </w:r>
      <w:r w:rsidR="0016225A">
        <w:t xml:space="preserve">dienesta veikto </w:t>
      </w:r>
      <w:r w:rsidR="00983FE3">
        <w:t xml:space="preserve">aprēķinu nepareizību </w:t>
      </w:r>
      <w:r w:rsidR="003E6C18">
        <w:t>tā</w:t>
      </w:r>
      <w:r w:rsidR="00BD22D6">
        <w:t xml:space="preserve"> apstrīdēšanas procesā iestādē iebildumus n</w:t>
      </w:r>
      <w:r w:rsidR="0016225A">
        <w:t>ebija</w:t>
      </w:r>
      <w:r w:rsidR="00BD22D6">
        <w:t xml:space="preserve"> cēlusi, jo</w:t>
      </w:r>
      <w:r w:rsidR="00983FE3">
        <w:t>, kā pati norāda,</w:t>
      </w:r>
      <w:r w:rsidR="00BD22D6">
        <w:t xml:space="preserve"> kļūdu pamanījusi vien procesā tiesā</w:t>
      </w:r>
      <w:r w:rsidR="00C02ACB">
        <w:t xml:space="preserve"> pirmajā instancē</w:t>
      </w:r>
      <w:r w:rsidR="00983FE3">
        <w:t xml:space="preserve">. Līdz ar to pierādījumus dienestam </w:t>
      </w:r>
      <w:r w:rsidR="00A4034A">
        <w:t xml:space="preserve">par minēto </w:t>
      </w:r>
      <w:r w:rsidR="00983FE3">
        <w:t>arī nebija sniegusi.</w:t>
      </w:r>
    </w:p>
    <w:p w14:paraId="6DB2C738" w14:textId="0B9DCA24" w:rsidR="0016225A" w:rsidRDefault="0016225A" w:rsidP="00BE7E70">
      <w:pPr>
        <w:pStyle w:val="tv213"/>
        <w:shd w:val="clear" w:color="auto" w:fill="FFFFFF"/>
        <w:spacing w:before="0" w:beforeAutospacing="0" w:after="0" w:afterAutospacing="0" w:line="276" w:lineRule="auto"/>
        <w:ind w:firstLine="720"/>
        <w:jc w:val="both"/>
        <w:rPr>
          <w:lang w:val="lv-LV" w:eastAsia="lv-LV"/>
        </w:rPr>
      </w:pPr>
      <w:r w:rsidRPr="0016225A">
        <w:rPr>
          <w:lang w:val="lv-LV" w:eastAsia="lv-LV"/>
        </w:rPr>
        <w:lastRenderedPageBreak/>
        <w:t xml:space="preserve">Likuma </w:t>
      </w:r>
      <w:r w:rsidR="008B5F09">
        <w:rPr>
          <w:lang w:val="lv-LV" w:eastAsia="lv-LV"/>
        </w:rPr>
        <w:t>„</w:t>
      </w:r>
      <w:r w:rsidRPr="0016225A">
        <w:rPr>
          <w:lang w:val="lv-LV" w:eastAsia="lv-LV"/>
        </w:rPr>
        <w:t>Par nodokļiem un nodevām”</w:t>
      </w:r>
      <w:r>
        <w:rPr>
          <w:lang w:val="lv-LV" w:eastAsia="lv-LV"/>
        </w:rPr>
        <w:t xml:space="preserve"> </w:t>
      </w:r>
      <w:r w:rsidRPr="0016225A">
        <w:rPr>
          <w:lang w:val="lv-LV" w:eastAsia="lv-LV"/>
        </w:rPr>
        <w:t xml:space="preserve">37.panta pirmā daļa noteic, ka </w:t>
      </w:r>
      <w:r>
        <w:rPr>
          <w:lang w:val="lv-LV" w:eastAsia="lv-LV"/>
        </w:rPr>
        <w:t>n</w:t>
      </w:r>
      <w:r w:rsidRPr="0016225A">
        <w:rPr>
          <w:lang w:val="lv-LV" w:eastAsia="lv-LV"/>
        </w:rPr>
        <w:t>odokļu maksātājam, kurš saņēmis dienesta amatpersonas nodokļu administrācijas pārbaudes rezultātā pieņemto lēmumu par pārmaksāto nodokļu summu atmaksāšanu, viena mēneša laikā no tā spēkā stāšanās dienas ir tiesības apstrīdēt dienesta ģenerāldirektoram.</w:t>
      </w:r>
      <w:r>
        <w:rPr>
          <w:lang w:val="lv-LV" w:eastAsia="lv-LV"/>
        </w:rPr>
        <w:t xml:space="preserve"> Savukārt panta otrās daļas 1.punkts noteic, ka n</w:t>
      </w:r>
      <w:r w:rsidRPr="0016225A">
        <w:rPr>
          <w:lang w:val="lv-LV" w:eastAsia="lv-LV"/>
        </w:rPr>
        <w:t>odokļu maksātājs, apstrīdot lēmumu, ir tiesīgs</w:t>
      </w:r>
      <w:r>
        <w:rPr>
          <w:lang w:val="lv-LV" w:eastAsia="lv-LV"/>
        </w:rPr>
        <w:t xml:space="preserve"> </w:t>
      </w:r>
      <w:r w:rsidRPr="0016225A">
        <w:rPr>
          <w:lang w:val="lv-LV" w:eastAsia="lv-LV"/>
        </w:rPr>
        <w:t>prasīt atcelt lēmumu pilnīgi vai kādā tā daļā</w:t>
      </w:r>
      <w:r>
        <w:rPr>
          <w:lang w:val="lv-LV" w:eastAsia="lv-LV"/>
        </w:rPr>
        <w:t>.</w:t>
      </w:r>
    </w:p>
    <w:p w14:paraId="1A4B475E" w14:textId="11B824B4" w:rsidR="00A4034A" w:rsidRDefault="00A4034A" w:rsidP="00BE7E70">
      <w:pPr>
        <w:spacing w:line="276" w:lineRule="auto"/>
        <w:ind w:firstLine="720"/>
        <w:jc w:val="both"/>
      </w:pPr>
      <w:r>
        <w:t>Kā izriet no lieta</w:t>
      </w:r>
      <w:r w:rsidR="00C45A93">
        <w:t>s</w:t>
      </w:r>
      <w:r>
        <w:t xml:space="preserve">, </w:t>
      </w:r>
      <w:r w:rsidR="00C45A93">
        <w:t xml:space="preserve">pieteicējai veikto auditu rezultātā aprēķināts </w:t>
      </w:r>
      <w:r>
        <w:t>papildus valsts budžetā maksājamais pievienotās vērtības nodoklis, kā arī atteikts apstiprināt no budžeta atmaksājam</w:t>
      </w:r>
      <w:r w:rsidR="008B5F09">
        <w:t>o</w:t>
      </w:r>
      <w:r>
        <w:t xml:space="preserve"> pievienotās vērtības nodokli. Līdz ar to pieteicējai atbilstoši minētajam tiesiskajam regulējumam bija tiesības iebilst par audita lēmumu daļā, kas attiecās </w:t>
      </w:r>
      <w:r w:rsidR="008B5F09">
        <w:t>uz</w:t>
      </w:r>
      <w:r>
        <w:t xml:space="preserve"> zemākas iestādes pieļautajām kļūdām aprēķinos, iesniedzot </w:t>
      </w:r>
      <w:r w:rsidR="001820B2">
        <w:t xml:space="preserve">augstākai </w:t>
      </w:r>
      <w:r>
        <w:t>iestādei papildu pierādījumus</w:t>
      </w:r>
      <w:r w:rsidR="007716CF">
        <w:t xml:space="preserve"> un</w:t>
      </w:r>
      <w:r>
        <w:t xml:space="preserve"> </w:t>
      </w:r>
      <w:r w:rsidR="007716CF">
        <w:t>t</w:t>
      </w:r>
      <w:r>
        <w:t xml:space="preserve">ādējādi ļaujot augstākai iestādei pārbaudīt </w:t>
      </w:r>
      <w:r w:rsidR="000863FE">
        <w:t>zemākas iestādes secinājumu</w:t>
      </w:r>
      <w:r w:rsidR="001820B2">
        <w:t xml:space="preserve"> (aprēķinu) pareizību</w:t>
      </w:r>
      <w:r>
        <w:t>.</w:t>
      </w:r>
      <w:r w:rsidR="000863FE">
        <w:t xml:space="preserve"> Tomēr konkrētajā lietā </w:t>
      </w:r>
      <w:r>
        <w:t>pieteicēja to nav darījusi.</w:t>
      </w:r>
      <w:r w:rsidR="0082627A">
        <w:t xml:space="preserve"> Tas, vai, piemērojot pievienotās vērtības nodokļa proporciju, ir pareizi noteikta bāzes summa, ir atsevišķs jautājums, kas konkrēti ietekmē arī gala aprēķinu. Ja pieteicējai pret to bija iebildumi, tie bija norādāmi jau apstrīdēšanas iesniegumā.</w:t>
      </w:r>
    </w:p>
    <w:p w14:paraId="6499AD8B" w14:textId="214BA9F8" w:rsidR="007716CF" w:rsidRDefault="0003319F" w:rsidP="00BE7E70">
      <w:pPr>
        <w:pStyle w:val="NormalWeb"/>
        <w:tabs>
          <w:tab w:val="left" w:pos="1134"/>
        </w:tabs>
        <w:spacing w:line="276" w:lineRule="auto"/>
        <w:ind w:firstLine="794"/>
        <w:jc w:val="both"/>
        <w:rPr>
          <w:color w:val="000000"/>
        </w:rPr>
      </w:pPr>
      <w:r>
        <w:t>J</w:t>
      </w:r>
      <w:r w:rsidR="007716CF">
        <w:rPr>
          <w:color w:val="000000"/>
        </w:rPr>
        <w:t>a nodokļu maksātājs apstrīdēšanas procesa ietvaros nav paudis nodokļu administrācijai savu</w:t>
      </w:r>
      <w:r>
        <w:rPr>
          <w:color w:val="000000"/>
        </w:rPr>
        <w:t>s</w:t>
      </w:r>
      <w:r w:rsidR="007716CF">
        <w:rPr>
          <w:color w:val="000000"/>
        </w:rPr>
        <w:t xml:space="preserve"> </w:t>
      </w:r>
      <w:r>
        <w:rPr>
          <w:color w:val="000000"/>
        </w:rPr>
        <w:t xml:space="preserve">iebildumus </w:t>
      </w:r>
      <w:r w:rsidR="007716CF">
        <w:rPr>
          <w:color w:val="000000"/>
        </w:rPr>
        <w:t>par konkrēto nodokļu revīziju</w:t>
      </w:r>
      <w:r>
        <w:rPr>
          <w:color w:val="000000"/>
        </w:rPr>
        <w:t xml:space="preserve"> kādā tās daļā un konkrētu summu aprēķinu</w:t>
      </w:r>
      <w:r w:rsidR="007716CF">
        <w:rPr>
          <w:color w:val="000000"/>
        </w:rPr>
        <w:t xml:space="preserve">, </w:t>
      </w:r>
      <w:r>
        <w:rPr>
          <w:color w:val="000000"/>
        </w:rPr>
        <w:t>bet</w:t>
      </w:r>
      <w:r w:rsidR="007716CF">
        <w:rPr>
          <w:color w:val="000000"/>
        </w:rPr>
        <w:t xml:space="preserve"> ar jauniem iebildumiem vēršas vien tiesā, uz minēto ir jālūkojas kā uz </w:t>
      </w:r>
      <w:r w:rsidR="004845B3">
        <w:rPr>
          <w:color w:val="000000"/>
        </w:rPr>
        <w:t xml:space="preserve">lietas iepriekšējās </w:t>
      </w:r>
      <w:r w:rsidR="007716CF">
        <w:rPr>
          <w:color w:val="000000"/>
        </w:rPr>
        <w:t xml:space="preserve">ārpustiesas </w:t>
      </w:r>
      <w:r w:rsidR="004845B3">
        <w:rPr>
          <w:color w:val="000000"/>
        </w:rPr>
        <w:t xml:space="preserve">izskatīšanas </w:t>
      </w:r>
      <w:r w:rsidR="007716CF">
        <w:rPr>
          <w:color w:val="000000"/>
        </w:rPr>
        <w:t xml:space="preserve">kārtības neievērošanu attiecībā uz konkrēto strīdus jautājumu. </w:t>
      </w:r>
    </w:p>
    <w:p w14:paraId="62231EB3" w14:textId="1297ECB6" w:rsidR="00841476" w:rsidRDefault="0003319F" w:rsidP="00BE7E70">
      <w:pPr>
        <w:spacing w:line="276" w:lineRule="auto"/>
        <w:ind w:firstLine="720"/>
        <w:jc w:val="both"/>
      </w:pPr>
      <w:r>
        <w:t>L</w:t>
      </w:r>
      <w:r w:rsidR="00841476" w:rsidRPr="00611F19">
        <w:rPr>
          <w:color w:val="000000"/>
        </w:rPr>
        <w:t xml:space="preserve">ietas iepriekšējās ārpustiesas izskatīšanas kārtības ievērošana kā priekšnoteikums pieteikuma izskatīšanai tiesā nav pašmērķīgs – </w:t>
      </w:r>
      <w:r w:rsidR="00841476" w:rsidRPr="00611F19">
        <w:t xml:space="preserve">tā ir vērsta uz to, lai zemāku iestāžu rīcība un lēmumi tiktu sākotnēji pārbaudīti pašas pārvaldes iekšienē un kļūdas, ja tādas ir, novērstas ātrāk un efektīvāk </w:t>
      </w:r>
      <w:r w:rsidR="007716CF" w:rsidRPr="00611F19">
        <w:rPr>
          <w:color w:val="000000"/>
        </w:rPr>
        <w:t>(</w:t>
      </w:r>
      <w:r w:rsidR="007716CF" w:rsidRPr="00611F19">
        <w:rPr>
          <w:i/>
          <w:iCs/>
          <w:color w:val="000000"/>
        </w:rPr>
        <w:t>Senāta 2019.gada 18.oktobra lēmuma lietā Nr. SKA-1533/2019 (</w:t>
      </w:r>
      <w:hyperlink r:id="rId11" w:history="1">
        <w:r w:rsidR="007716CF" w:rsidRPr="00611F19">
          <w:rPr>
            <w:rStyle w:val="Hyperlink"/>
            <w:i/>
            <w:iCs/>
          </w:rPr>
          <w:t>ECLI:LV:AT:2019:1018.A420255418.13.L</w:t>
        </w:r>
      </w:hyperlink>
      <w:r w:rsidR="007716CF" w:rsidRPr="00611F19">
        <w:rPr>
          <w:i/>
          <w:iCs/>
          <w:color w:val="000000"/>
        </w:rPr>
        <w:t>) 18.punkts, 2021.gada 18.jūnija lēmuma lietā Nr. SKA-969/2021 (</w:t>
      </w:r>
      <w:hyperlink r:id="rId12" w:history="1">
        <w:r w:rsidR="007716CF" w:rsidRPr="00611F19">
          <w:rPr>
            <w:rStyle w:val="Hyperlink"/>
            <w:i/>
            <w:iCs/>
          </w:rPr>
          <w:t>ECLI:LV:AT:2021:0618.SKA096921.4.L</w:t>
        </w:r>
      </w:hyperlink>
      <w:r w:rsidR="007716CF" w:rsidRPr="00611F19">
        <w:rPr>
          <w:i/>
          <w:iCs/>
        </w:rPr>
        <w:t xml:space="preserve">) </w:t>
      </w:r>
      <w:r w:rsidR="007716CF" w:rsidRPr="00611F19">
        <w:rPr>
          <w:i/>
          <w:iCs/>
          <w:color w:val="000000"/>
        </w:rPr>
        <w:t>6.punkts</w:t>
      </w:r>
      <w:r w:rsidR="007716CF" w:rsidRPr="00611F19">
        <w:rPr>
          <w:color w:val="000000"/>
        </w:rPr>
        <w:t>)</w:t>
      </w:r>
      <w:r w:rsidR="00841476" w:rsidRPr="00611F19">
        <w:rPr>
          <w:color w:val="000000"/>
        </w:rPr>
        <w:t>.</w:t>
      </w:r>
    </w:p>
    <w:p w14:paraId="17001283" w14:textId="732E2588" w:rsidR="003E6C18" w:rsidRDefault="003E6C18" w:rsidP="00BE7E70">
      <w:pPr>
        <w:spacing w:line="276" w:lineRule="auto"/>
        <w:ind w:firstLine="720"/>
        <w:jc w:val="both"/>
      </w:pPr>
      <w:r>
        <w:t xml:space="preserve">Tādējādi nepamatots ir pieteicējas uzskats, ka </w:t>
      </w:r>
      <w:r w:rsidR="00F334BD">
        <w:t>tiesas pienākums</w:t>
      </w:r>
      <w:r>
        <w:t xml:space="preserve"> bija</w:t>
      </w:r>
      <w:r w:rsidR="00F334BD">
        <w:t xml:space="preserve"> tiesvedības procesā labot</w:t>
      </w:r>
      <w:r>
        <w:t>, pieteicējas ieskatā,</w:t>
      </w:r>
      <w:r w:rsidR="00F334BD">
        <w:t xml:space="preserve"> dienesta pieļauto kļūdu</w:t>
      </w:r>
      <w:r w:rsidR="0003319F">
        <w:t>. P</w:t>
      </w:r>
      <w:r>
        <w:t>ieteicēja faktiski vēlas, lai tiesa veic attiecīgo nodokļu aprēķina pareizības pārbaudi</w:t>
      </w:r>
      <w:r w:rsidR="0003319F">
        <w:t xml:space="preserve"> tajā lēmumā daļā, kas netika apstrīdēta un pārbaudīta lietas iepriekšējā ārpustiesas izskatīšanā</w:t>
      </w:r>
      <w:r>
        <w:t xml:space="preserve">, nevis pārbauda iestādes </w:t>
      </w:r>
      <w:r w:rsidR="00BC5387">
        <w:t xml:space="preserve">iepriekš </w:t>
      </w:r>
      <w:r>
        <w:t>izdarīto secinājumu pareizību</w:t>
      </w:r>
      <w:r w:rsidR="00200E4B">
        <w:t xml:space="preserve"> tajā lēmuma daļā, kas tika apstrīdēta</w:t>
      </w:r>
      <w:r>
        <w:t>.</w:t>
      </w:r>
    </w:p>
    <w:bookmarkEnd w:id="3"/>
    <w:p w14:paraId="3D2EF37D" w14:textId="2A9410E7" w:rsidR="000762FF" w:rsidRDefault="000762FF" w:rsidP="00BE7E70">
      <w:pPr>
        <w:spacing w:line="276" w:lineRule="auto"/>
        <w:ind w:firstLine="720"/>
        <w:jc w:val="both"/>
      </w:pPr>
    </w:p>
    <w:p w14:paraId="496D0505" w14:textId="6EC444F7" w:rsidR="002B16BF" w:rsidRPr="00D07B5E" w:rsidRDefault="00D07B5E" w:rsidP="00BE7E70">
      <w:pPr>
        <w:spacing w:line="276" w:lineRule="auto"/>
        <w:ind w:firstLine="720"/>
        <w:jc w:val="both"/>
        <w:rPr>
          <w:i/>
          <w:iCs/>
        </w:rPr>
      </w:pPr>
      <w:r w:rsidRPr="00D07B5E">
        <w:rPr>
          <w:i/>
          <w:iCs/>
        </w:rPr>
        <w:t>Par audita rezultātā aprēķinātās nokavējuma naudas piemērošanu</w:t>
      </w:r>
    </w:p>
    <w:p w14:paraId="2D95D66B" w14:textId="38C7038E" w:rsidR="002B11F2" w:rsidRDefault="00D07B5E" w:rsidP="00BE7E70">
      <w:pPr>
        <w:spacing w:line="276" w:lineRule="auto"/>
        <w:ind w:firstLine="720"/>
        <w:jc w:val="both"/>
      </w:pPr>
      <w:r>
        <w:t xml:space="preserve">[11] </w:t>
      </w:r>
      <w:r w:rsidR="002B11F2">
        <w:t xml:space="preserve">No lietas apstākļiem izriet, ka pieteicēja sagatavoja nodokļa deklarācijas un iemaksāja valsts budžetā aprēķināto pievienotās vērtības nodokli. Savukārt vēlāk pieteicēja nodokļa deklarācijas precizēja, kā rezultātā </w:t>
      </w:r>
      <w:r w:rsidR="00200E4B">
        <w:t>valsts budžetā atradās lielāka naudas summa, nekā pieteicējai bija pienākums iemaksāt atbilstoši deklarācijām</w:t>
      </w:r>
      <w:r w:rsidR="002B11F2">
        <w:t xml:space="preserve">. </w:t>
      </w:r>
      <w:r w:rsidR="002F3164">
        <w:t>Savukārt vēl pēc tam Valsts ieņēmumu d</w:t>
      </w:r>
      <w:r w:rsidR="002B11F2">
        <w:t>ienests nodokļa audita rezultātā secināja, ka pieteicēja ir nepamatoti veikusi nodokļa deklarācijas precizēšanu un tādējādi nepamatoti aprēķinājusi atskaitāmo priekšnodokli. Līdz ar to dienests aprēķināja pieteicējai nokavējuma naudu par nodokļa samaksas kavējumu.</w:t>
      </w:r>
    </w:p>
    <w:p w14:paraId="19D1353B" w14:textId="3B62C107" w:rsidR="00AD3340" w:rsidRDefault="002B11F2" w:rsidP="00BE7E70">
      <w:pPr>
        <w:spacing w:line="276" w:lineRule="auto"/>
        <w:ind w:firstLine="720"/>
        <w:jc w:val="both"/>
      </w:pPr>
      <w:r>
        <w:t xml:space="preserve">Pieteicēja uzskata, ka, tā kā nodoklis jau bija iemaksāts valsts budžetā pilnā apmērā pirms nodokļu deklarācijas precizēšanas un pēc nodokļa deklarācijas precizēšanas tas netika atskaitīts pieteicējai, proti, tas joprojām bija valsts rīcībā, tad nevar </w:t>
      </w:r>
      <w:r>
        <w:lastRenderedPageBreak/>
        <w:t>uzskatīt, ka pieteicēja bija kavējusi nodokļa samaksas termiņu. Secīgi dienests nevarēja aprēķināt pieteicēja</w:t>
      </w:r>
      <w:r w:rsidR="002F3164">
        <w:t>i</w:t>
      </w:r>
      <w:r>
        <w:t xml:space="preserve"> nokavējuma naudu.</w:t>
      </w:r>
      <w:r w:rsidR="002E78BF">
        <w:t xml:space="preserve"> </w:t>
      </w:r>
    </w:p>
    <w:p w14:paraId="684F8BF4" w14:textId="36316593" w:rsidR="002B11F2" w:rsidRDefault="00AD3340" w:rsidP="00BE7E70">
      <w:pPr>
        <w:spacing w:line="276" w:lineRule="auto"/>
        <w:ind w:firstLine="720"/>
        <w:jc w:val="both"/>
      </w:pPr>
      <w:r>
        <w:t xml:space="preserve">Tādējādi šajā lietā ir atbildams uz jautājumu, vai nodokļu maksātāja </w:t>
      </w:r>
      <w:r w:rsidR="005C2E45">
        <w:t xml:space="preserve">lielākā apmērā </w:t>
      </w:r>
      <w:r>
        <w:t>iemaksāti</w:t>
      </w:r>
      <w:r w:rsidR="005C2E45">
        <w:t>e</w:t>
      </w:r>
      <w:r>
        <w:t xml:space="preserve"> naudas līdzekļi valsts budžetā </w:t>
      </w:r>
      <w:r w:rsidR="005C2E45">
        <w:t xml:space="preserve">vēlāk </w:t>
      </w:r>
      <w:r>
        <w:t>izslēdz nodokļa parāda esību nodokļa maksātājam ieskaitīto naudas līdzekļu apmērā.</w:t>
      </w:r>
      <w:r w:rsidR="002E78BF">
        <w:t xml:space="preserve"> </w:t>
      </w:r>
      <w:r w:rsidR="002B11F2">
        <w:t xml:space="preserve"> </w:t>
      </w:r>
    </w:p>
    <w:p w14:paraId="78EDBEC9" w14:textId="77777777" w:rsidR="002B11F2" w:rsidRDefault="002B11F2" w:rsidP="00BE7E70">
      <w:pPr>
        <w:spacing w:line="276" w:lineRule="auto"/>
        <w:ind w:firstLine="720"/>
        <w:jc w:val="both"/>
      </w:pPr>
    </w:p>
    <w:p w14:paraId="6D87FD8E" w14:textId="6B714DC1" w:rsidR="00596A18" w:rsidRDefault="002B11F2" w:rsidP="00BE7E70">
      <w:pPr>
        <w:spacing w:line="276" w:lineRule="auto"/>
        <w:ind w:firstLine="720"/>
        <w:jc w:val="both"/>
      </w:pPr>
      <w:r>
        <w:t xml:space="preserve">[12] </w:t>
      </w:r>
      <w:r w:rsidR="00D07B5E">
        <w:t xml:space="preserve">Saskaņā ar likumu </w:t>
      </w:r>
      <w:bookmarkStart w:id="4" w:name="_Hlk161842421"/>
      <w:r w:rsidR="00D07B5E">
        <w:t>„</w:t>
      </w:r>
      <w:bookmarkEnd w:id="4"/>
      <w:r w:rsidR="00D07B5E">
        <w:t>Par nodokļiem un nodevām</w:t>
      </w:r>
      <w:r w:rsidR="00D07B5E" w:rsidRPr="0012354C">
        <w:t>”</w:t>
      </w:r>
      <w:r w:rsidR="00D07B5E">
        <w:t xml:space="preserve"> 1.panta 22.punktu </w:t>
      </w:r>
      <w:r w:rsidR="00D07B5E" w:rsidRPr="00797B03">
        <w:t>nokavējuma nauda </w:t>
      </w:r>
      <w:r w:rsidR="00D07B5E">
        <w:t xml:space="preserve">ir </w:t>
      </w:r>
      <w:r w:rsidR="00D07B5E" w:rsidRPr="00797B03">
        <w:t>procentu maksājums par nodokļu, nodevu samaksas termiņa nokavējumu</w:t>
      </w:r>
      <w:r w:rsidR="00D07B5E">
        <w:t>.</w:t>
      </w:r>
      <w:r w:rsidR="00596A18">
        <w:t xml:space="preserve"> Tātad apgabaltiesai bija jāpārbauda, vai bija nodokļu samaksas termiņa kavējums, un tas ir atkarīgs no tā, vai naudas līdzekļus, kuri pēc nodokļu deklarāciju precizēšanas izrādījās iemaksāti budžetā nepamatoti, bija uzskatāmi par laikus iemaksātiem budžetā atbilstoši Valsts ieņēmumu dienesta veiktajam aprēķinam.</w:t>
      </w:r>
    </w:p>
    <w:p w14:paraId="2774E2D0" w14:textId="62B40F9D" w:rsidR="00596A18" w:rsidRDefault="00596A18" w:rsidP="00BE7E70">
      <w:pPr>
        <w:spacing w:line="276" w:lineRule="auto"/>
        <w:ind w:firstLine="720"/>
        <w:jc w:val="both"/>
      </w:pPr>
      <w:r>
        <w:t>Pieteicēja kasācijas sūdzībā nav norādījusi tiesību normas, kas liktu domāt, ka laikā pēc deklarāciju precizēšanas Valsts ieņēmumu dienests būtu varējis uzskatīt budžetā iemaksātās naudas summas par tādām, kas ir samaksātas kā konkrēts nodokļu maksājums. Vienīgais pamats, kādēļ pieteicēja uzskata, ka nevar konstatēt nodokļu samaksas kavējumu, ir tas, ka pēc deklarāciju precizēšanas attiecīgās naudas summas netika atmaksātas. Taču Senāts nepiekrīt, ka pēc deklarāciju precizēšanas Valsts ieņēmumu dienestam būtu jebkāds pamats šīs naudas summas izmantot kā nodokļu maksājumus, vēl jo vairāk – uzskat</w:t>
      </w:r>
      <w:r w:rsidR="00C6491C">
        <w:t>ī</w:t>
      </w:r>
      <w:r>
        <w:t>t tās par tādām, kas samaksātas kā konkrēta nodokļa maksājums konkrētā laikposmā, par ko vēlāk tika veikts papildu nodokļu aprēķins. Tas būtu pretrunā ar pašas pieteicējas iesniegtajām un precizētajām deklarācijām, kuras turpināja būt valsts budžetā iemaksājamo summu pamatojums līdz pat brīdim, kad Valsts ieņēmumu dienests audita rezultātā konstatēja aprēķinu nepareizību.</w:t>
      </w:r>
    </w:p>
    <w:p w14:paraId="76317EB9" w14:textId="7274123D" w:rsidR="004B0F44" w:rsidRDefault="002E2E1B" w:rsidP="00BE7E70">
      <w:pPr>
        <w:spacing w:line="276" w:lineRule="auto"/>
        <w:ind w:firstLine="720"/>
        <w:jc w:val="both"/>
      </w:pPr>
      <w:r>
        <w:t xml:space="preserve">Tā kā pieteicēja līdz lēmuma par nodokļa auditu uzsākšanas dienai nebija veikusi pareizu valsts budžetā maksājamā pievienotās vērtības nodokļa aprēķinu, secīgi nebija veikusi konkrētā nodokļa samaksu, </w:t>
      </w:r>
      <w:r w:rsidR="004B0F44">
        <w:t>apgabaltiesa pamatoti secināja, ka pieteicēja</w:t>
      </w:r>
      <w:r>
        <w:t xml:space="preserve">i bija radies nodokļa parāds un tādējādi </w:t>
      </w:r>
      <w:r w:rsidR="004B0F44">
        <w:t>pamatoti</w:t>
      </w:r>
      <w:r>
        <w:t xml:space="preserve"> </w:t>
      </w:r>
      <w:r w:rsidR="00D03AE6">
        <w:t>saskaņā ar likuma</w:t>
      </w:r>
      <w:r w:rsidR="00C86F20">
        <w:t xml:space="preserve"> </w:t>
      </w:r>
      <w:r w:rsidR="00BC5387">
        <w:rPr>
          <w:rFonts w:asciiTheme="majorBidi" w:hAnsiTheme="majorBidi" w:cstheme="majorBidi"/>
        </w:rPr>
        <w:t>„</w:t>
      </w:r>
      <w:r w:rsidR="00D03AE6" w:rsidRPr="00E11B99">
        <w:t>Par</w:t>
      </w:r>
      <w:r w:rsidR="00C86F20">
        <w:t> </w:t>
      </w:r>
      <w:r w:rsidR="00D03AE6" w:rsidRPr="00E11B99">
        <w:t xml:space="preserve">nodokļiem un nodevām” </w:t>
      </w:r>
      <w:r w:rsidR="00D03AE6">
        <w:t xml:space="preserve">29.panta otro daļu un </w:t>
      </w:r>
      <w:r w:rsidR="00D03AE6" w:rsidRPr="00E11B99">
        <w:t>32.panta pirmo daļu</w:t>
      </w:r>
      <w:r w:rsidR="00D03AE6">
        <w:t xml:space="preserve"> </w:t>
      </w:r>
      <w:r>
        <w:t>tika</w:t>
      </w:r>
      <w:r w:rsidR="004B0F44">
        <w:t xml:space="preserve"> aprēķināta nokavējuma nauda. </w:t>
      </w:r>
    </w:p>
    <w:p w14:paraId="06D8C7E7" w14:textId="77777777" w:rsidR="00BC2C9C" w:rsidRDefault="00BC2C9C" w:rsidP="00BE7E70">
      <w:pPr>
        <w:spacing w:line="276" w:lineRule="auto"/>
        <w:ind w:firstLine="720"/>
        <w:jc w:val="both"/>
      </w:pPr>
    </w:p>
    <w:p w14:paraId="03B70730" w14:textId="11606EAB" w:rsidR="00BC2C9C" w:rsidRDefault="00BC2C9C" w:rsidP="00BE7E70">
      <w:pPr>
        <w:autoSpaceDE w:val="0"/>
        <w:autoSpaceDN w:val="0"/>
        <w:adjustRightInd w:val="0"/>
        <w:spacing w:line="276" w:lineRule="auto"/>
        <w:ind w:firstLine="720"/>
        <w:jc w:val="both"/>
        <w:rPr>
          <w:color w:val="000000"/>
        </w:rPr>
      </w:pPr>
      <w:r>
        <w:rPr>
          <w:color w:val="000000"/>
        </w:rPr>
        <w:t>[1</w:t>
      </w:r>
      <w:r w:rsidR="001C4FFA">
        <w:rPr>
          <w:color w:val="000000"/>
        </w:rPr>
        <w:t>3</w:t>
      </w:r>
      <w:r>
        <w:rPr>
          <w:color w:val="000000"/>
        </w:rPr>
        <w:t xml:space="preserve">] Apkopojot </w:t>
      </w:r>
      <w:r w:rsidR="00D07B5E">
        <w:rPr>
          <w:color w:val="000000"/>
        </w:rPr>
        <w:t xml:space="preserve">iepriekš </w:t>
      </w:r>
      <w:r>
        <w:rPr>
          <w:color w:val="000000"/>
        </w:rPr>
        <w:t xml:space="preserve">minēto, apgabaltiesas spriedums atstājams negrozīts, bet </w:t>
      </w:r>
      <w:r>
        <w:t>pieteicējas kasācijas sūdzība ir noraidāma</w:t>
      </w:r>
      <w:r>
        <w:rPr>
          <w:color w:val="000000"/>
        </w:rPr>
        <w:t>.</w:t>
      </w:r>
    </w:p>
    <w:p w14:paraId="1F9B61D4" w14:textId="77777777" w:rsidR="00BC2C9C" w:rsidRDefault="00BC2C9C" w:rsidP="00BE7E70">
      <w:pPr>
        <w:autoSpaceDE w:val="0"/>
        <w:autoSpaceDN w:val="0"/>
        <w:adjustRightInd w:val="0"/>
        <w:spacing w:line="276" w:lineRule="auto"/>
        <w:jc w:val="both"/>
      </w:pPr>
    </w:p>
    <w:p w14:paraId="2704CDFF" w14:textId="77777777" w:rsidR="00BC2C9C" w:rsidRPr="0083065B" w:rsidRDefault="00BC2C9C" w:rsidP="00BE7E70">
      <w:pPr>
        <w:spacing w:line="276" w:lineRule="auto"/>
        <w:jc w:val="center"/>
        <w:rPr>
          <w:b/>
        </w:rPr>
      </w:pPr>
      <w:r w:rsidRPr="0083065B">
        <w:rPr>
          <w:b/>
        </w:rPr>
        <w:t>Rezolutīvā daļa</w:t>
      </w:r>
    </w:p>
    <w:p w14:paraId="7E5F6A27" w14:textId="77777777" w:rsidR="00BC2C9C" w:rsidRPr="0083065B" w:rsidRDefault="00BC2C9C" w:rsidP="00BE7E70">
      <w:pPr>
        <w:spacing w:line="276" w:lineRule="auto"/>
        <w:ind w:firstLine="720"/>
        <w:jc w:val="both"/>
      </w:pPr>
    </w:p>
    <w:p w14:paraId="2D78550D" w14:textId="77777777" w:rsidR="00BC2C9C" w:rsidRPr="0083065B" w:rsidRDefault="00BC2C9C" w:rsidP="00BE7E70">
      <w:pPr>
        <w:spacing w:line="276" w:lineRule="auto"/>
        <w:ind w:firstLine="720"/>
        <w:jc w:val="both"/>
      </w:pPr>
      <w:r w:rsidRPr="0083065B">
        <w:t xml:space="preserve">Pamatojoties uz </w:t>
      </w:r>
      <w:r w:rsidRPr="0083065B">
        <w:rPr>
          <w:rFonts w:eastAsia="Calibri"/>
          <w:lang w:eastAsia="en-US"/>
        </w:rPr>
        <w:t>Administratīvā procesa likuma 348.panta pirmās daļas 1.punktu un 351.pantu</w:t>
      </w:r>
      <w:r w:rsidRPr="0083065B">
        <w:t>, Senāts</w:t>
      </w:r>
    </w:p>
    <w:p w14:paraId="7C63A95D" w14:textId="77777777" w:rsidR="00BC2C9C" w:rsidRPr="0083065B" w:rsidRDefault="00BC2C9C" w:rsidP="00BE7E70">
      <w:pPr>
        <w:spacing w:line="276" w:lineRule="auto"/>
        <w:ind w:firstLine="720"/>
        <w:jc w:val="both"/>
        <w:rPr>
          <w:strike/>
        </w:rPr>
      </w:pPr>
    </w:p>
    <w:p w14:paraId="1665463B" w14:textId="77777777" w:rsidR="00BC2C9C" w:rsidRPr="0083065B" w:rsidRDefault="00BC2C9C" w:rsidP="00BE7E70">
      <w:pPr>
        <w:spacing w:line="276" w:lineRule="auto"/>
        <w:jc w:val="center"/>
        <w:rPr>
          <w:b/>
        </w:rPr>
      </w:pPr>
      <w:r w:rsidRPr="0083065B">
        <w:rPr>
          <w:b/>
        </w:rPr>
        <w:t>nosprieda</w:t>
      </w:r>
    </w:p>
    <w:p w14:paraId="4643F936" w14:textId="77777777" w:rsidR="00BC2C9C" w:rsidRPr="0083065B" w:rsidRDefault="00BC2C9C" w:rsidP="00BE7E70">
      <w:pPr>
        <w:spacing w:line="276" w:lineRule="auto"/>
        <w:ind w:firstLine="720"/>
        <w:jc w:val="center"/>
        <w:rPr>
          <w:b/>
        </w:rPr>
      </w:pPr>
    </w:p>
    <w:p w14:paraId="38BC53CD" w14:textId="390F2A57" w:rsidR="00BC2C9C" w:rsidRPr="0083065B" w:rsidRDefault="00BC2C9C" w:rsidP="00BE7E70">
      <w:pPr>
        <w:spacing w:line="276" w:lineRule="auto"/>
        <w:ind w:firstLine="720"/>
        <w:jc w:val="both"/>
      </w:pPr>
      <w:r>
        <w:t>a</w:t>
      </w:r>
      <w:r w:rsidRPr="0083065B">
        <w:t xml:space="preserve">tstāt negrozītu Administratīvās apgabaltiesas </w:t>
      </w:r>
      <w:r>
        <w:t xml:space="preserve">2022.gada 3.jūnija </w:t>
      </w:r>
      <w:r w:rsidRPr="0083065B">
        <w:t xml:space="preserve">spriedumu, bet </w:t>
      </w:r>
      <w:r>
        <w:rPr>
          <w:color w:val="000000"/>
          <w:shd w:val="clear" w:color="auto" w:fill="FFFFFF"/>
        </w:rPr>
        <w:t>SIA </w:t>
      </w:r>
      <w:r w:rsidR="00BC5387">
        <w:rPr>
          <w:color w:val="000000"/>
          <w:shd w:val="clear" w:color="auto" w:fill="FFFFFF"/>
        </w:rPr>
        <w:t>„</w:t>
      </w:r>
      <w:r>
        <w:rPr>
          <w:color w:val="000000"/>
          <w:shd w:val="clear" w:color="auto" w:fill="FFFFFF"/>
        </w:rPr>
        <w:t>mogo”</w:t>
      </w:r>
      <w:r>
        <w:t xml:space="preserve"> </w:t>
      </w:r>
      <w:r w:rsidRPr="0083065B">
        <w:t>kasācijas sūdzīb</w:t>
      </w:r>
      <w:r>
        <w:t>u</w:t>
      </w:r>
      <w:r w:rsidRPr="0083065B">
        <w:t xml:space="preserve"> noraidīt.</w:t>
      </w:r>
    </w:p>
    <w:p w14:paraId="2BE7A861" w14:textId="77777777" w:rsidR="00BC2C9C" w:rsidRDefault="00BC2C9C" w:rsidP="00BE7E70">
      <w:pPr>
        <w:spacing w:line="276" w:lineRule="auto"/>
        <w:ind w:firstLine="720"/>
        <w:jc w:val="both"/>
      </w:pPr>
    </w:p>
    <w:p w14:paraId="713360F6" w14:textId="77777777" w:rsidR="00BC2C9C" w:rsidRDefault="00BC2C9C" w:rsidP="00BE7E70">
      <w:pPr>
        <w:spacing w:line="276" w:lineRule="auto"/>
        <w:ind w:firstLine="720"/>
        <w:jc w:val="both"/>
      </w:pPr>
      <w:r>
        <w:t>Spriedums nav pārsūdzams.</w:t>
      </w:r>
    </w:p>
    <w:p w14:paraId="5B1BA165" w14:textId="77777777" w:rsidR="00BC2C9C" w:rsidRDefault="00BC2C9C" w:rsidP="00BC2C9C">
      <w:pPr>
        <w:spacing w:line="276" w:lineRule="auto"/>
        <w:ind w:firstLine="720"/>
        <w:jc w:val="both"/>
        <w:rPr>
          <w:bCs/>
          <w:color w:val="FFFFFF"/>
        </w:rPr>
      </w:pPr>
    </w:p>
    <w:p w14:paraId="3AD05642" w14:textId="77777777" w:rsidR="00BC2C9C" w:rsidRPr="0083065B" w:rsidRDefault="00BC2C9C" w:rsidP="00BC2C9C">
      <w:pPr>
        <w:jc w:val="both"/>
        <w:rPr>
          <w:color w:val="000000"/>
        </w:rPr>
      </w:pPr>
    </w:p>
    <w:p w14:paraId="171D0556" w14:textId="77777777" w:rsidR="002718AC" w:rsidRDefault="002718AC"/>
    <w:sectPr w:rsidR="002718AC" w:rsidSect="003512D0">
      <w:footerReference w:type="even" r:id="rId13"/>
      <w:footerReference w:type="default" r:id="rId14"/>
      <w:pgSz w:w="11906" w:h="16838" w:code="9"/>
      <w:pgMar w:top="993"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5FEE2" w14:textId="77777777" w:rsidR="00DC1881" w:rsidRDefault="00DC1881">
      <w:r>
        <w:separator/>
      </w:r>
    </w:p>
  </w:endnote>
  <w:endnote w:type="continuationSeparator" w:id="0">
    <w:p w14:paraId="195D0AFA" w14:textId="77777777" w:rsidR="00DC1881" w:rsidRDefault="00DC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E1CE4" w14:textId="77777777" w:rsidR="00E578E5" w:rsidRDefault="00934CAD"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722F5" w14:textId="77777777" w:rsidR="00E578E5" w:rsidRDefault="00E5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75025" w14:textId="77777777" w:rsidR="00E578E5" w:rsidRDefault="00934CAD" w:rsidP="00EA27D5">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DA56" w14:textId="77777777" w:rsidR="00DC1881" w:rsidRDefault="00DC1881">
      <w:r>
        <w:separator/>
      </w:r>
    </w:p>
  </w:footnote>
  <w:footnote w:type="continuationSeparator" w:id="0">
    <w:p w14:paraId="4F004190" w14:textId="77777777" w:rsidR="00DC1881" w:rsidRDefault="00DC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 w15:restartNumberingAfterBreak="0">
    <w:nsid w:val="3514702E"/>
    <w:multiLevelType w:val="hybridMultilevel"/>
    <w:tmpl w:val="A41EC12A"/>
    <w:lvl w:ilvl="0" w:tplc="B3BA6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891D99"/>
    <w:multiLevelType w:val="hybridMultilevel"/>
    <w:tmpl w:val="BFCC9AB4"/>
    <w:lvl w:ilvl="0" w:tplc="B588CEC8">
      <w:start w:val="1"/>
      <w:numFmt w:val="decimal"/>
      <w:lvlText w:val="%1."/>
      <w:lvlJc w:val="left"/>
      <w:pPr>
        <w:ind w:left="1429" w:hanging="360"/>
      </w:pPr>
    </w:lvl>
    <w:lvl w:ilvl="1" w:tplc="892E2612" w:tentative="1">
      <w:start w:val="1"/>
      <w:numFmt w:val="lowerLetter"/>
      <w:lvlText w:val="%2."/>
      <w:lvlJc w:val="left"/>
      <w:pPr>
        <w:ind w:left="2149" w:hanging="360"/>
      </w:pPr>
    </w:lvl>
    <w:lvl w:ilvl="2" w:tplc="E96694EE" w:tentative="1">
      <w:start w:val="1"/>
      <w:numFmt w:val="lowerRoman"/>
      <w:lvlText w:val="%3."/>
      <w:lvlJc w:val="right"/>
      <w:pPr>
        <w:ind w:left="2869" w:hanging="180"/>
      </w:pPr>
    </w:lvl>
    <w:lvl w:ilvl="3" w:tplc="07186F42" w:tentative="1">
      <w:start w:val="1"/>
      <w:numFmt w:val="decimal"/>
      <w:lvlText w:val="%4."/>
      <w:lvlJc w:val="left"/>
      <w:pPr>
        <w:ind w:left="3589" w:hanging="360"/>
      </w:pPr>
    </w:lvl>
    <w:lvl w:ilvl="4" w:tplc="D6C264E2" w:tentative="1">
      <w:start w:val="1"/>
      <w:numFmt w:val="lowerLetter"/>
      <w:lvlText w:val="%5."/>
      <w:lvlJc w:val="left"/>
      <w:pPr>
        <w:ind w:left="4309" w:hanging="360"/>
      </w:pPr>
    </w:lvl>
    <w:lvl w:ilvl="5" w:tplc="C478AC7C" w:tentative="1">
      <w:start w:val="1"/>
      <w:numFmt w:val="lowerRoman"/>
      <w:lvlText w:val="%6."/>
      <w:lvlJc w:val="right"/>
      <w:pPr>
        <w:ind w:left="5029" w:hanging="180"/>
      </w:pPr>
    </w:lvl>
    <w:lvl w:ilvl="6" w:tplc="95101C28" w:tentative="1">
      <w:start w:val="1"/>
      <w:numFmt w:val="decimal"/>
      <w:lvlText w:val="%7."/>
      <w:lvlJc w:val="left"/>
      <w:pPr>
        <w:ind w:left="5749" w:hanging="360"/>
      </w:pPr>
    </w:lvl>
    <w:lvl w:ilvl="7" w:tplc="A34C142A" w:tentative="1">
      <w:start w:val="1"/>
      <w:numFmt w:val="lowerLetter"/>
      <w:lvlText w:val="%8."/>
      <w:lvlJc w:val="left"/>
      <w:pPr>
        <w:ind w:left="6469" w:hanging="360"/>
      </w:pPr>
    </w:lvl>
    <w:lvl w:ilvl="8" w:tplc="F9525A90" w:tentative="1">
      <w:start w:val="1"/>
      <w:numFmt w:val="lowerRoman"/>
      <w:lvlText w:val="%9."/>
      <w:lvlJc w:val="right"/>
      <w:pPr>
        <w:ind w:left="7189" w:hanging="180"/>
      </w:pPr>
    </w:lvl>
  </w:abstractNum>
  <w:abstractNum w:abstractNumId="3" w15:restartNumberingAfterBreak="0">
    <w:nsid w:val="4FDB5A60"/>
    <w:multiLevelType w:val="hybridMultilevel"/>
    <w:tmpl w:val="C7D8249C"/>
    <w:lvl w:ilvl="0" w:tplc="CE24E026">
      <w:start w:val="1"/>
      <w:numFmt w:val="decimal"/>
      <w:lvlText w:val="%1)"/>
      <w:lvlJc w:val="left"/>
      <w:pPr>
        <w:ind w:left="1020" w:hanging="360"/>
      </w:pPr>
    </w:lvl>
    <w:lvl w:ilvl="1" w:tplc="B420BD40">
      <w:start w:val="1"/>
      <w:numFmt w:val="decimal"/>
      <w:lvlText w:val="%2)"/>
      <w:lvlJc w:val="left"/>
      <w:pPr>
        <w:ind w:left="1020" w:hanging="360"/>
      </w:pPr>
    </w:lvl>
    <w:lvl w:ilvl="2" w:tplc="B25E6480">
      <w:start w:val="1"/>
      <w:numFmt w:val="decimal"/>
      <w:lvlText w:val="%3)"/>
      <w:lvlJc w:val="left"/>
      <w:pPr>
        <w:ind w:left="1020" w:hanging="360"/>
      </w:pPr>
    </w:lvl>
    <w:lvl w:ilvl="3" w:tplc="11B824E8">
      <w:start w:val="1"/>
      <w:numFmt w:val="decimal"/>
      <w:lvlText w:val="%4)"/>
      <w:lvlJc w:val="left"/>
      <w:pPr>
        <w:ind w:left="1020" w:hanging="360"/>
      </w:pPr>
    </w:lvl>
    <w:lvl w:ilvl="4" w:tplc="5B508914">
      <w:start w:val="1"/>
      <w:numFmt w:val="decimal"/>
      <w:lvlText w:val="%5)"/>
      <w:lvlJc w:val="left"/>
      <w:pPr>
        <w:ind w:left="1020" w:hanging="360"/>
      </w:pPr>
    </w:lvl>
    <w:lvl w:ilvl="5" w:tplc="352EB65A">
      <w:start w:val="1"/>
      <w:numFmt w:val="decimal"/>
      <w:lvlText w:val="%6)"/>
      <w:lvlJc w:val="left"/>
      <w:pPr>
        <w:ind w:left="1020" w:hanging="360"/>
      </w:pPr>
    </w:lvl>
    <w:lvl w:ilvl="6" w:tplc="50041496">
      <w:start w:val="1"/>
      <w:numFmt w:val="decimal"/>
      <w:lvlText w:val="%7)"/>
      <w:lvlJc w:val="left"/>
      <w:pPr>
        <w:ind w:left="1020" w:hanging="360"/>
      </w:pPr>
    </w:lvl>
    <w:lvl w:ilvl="7" w:tplc="16205074">
      <w:start w:val="1"/>
      <w:numFmt w:val="decimal"/>
      <w:lvlText w:val="%8)"/>
      <w:lvlJc w:val="left"/>
      <w:pPr>
        <w:ind w:left="1020" w:hanging="360"/>
      </w:pPr>
    </w:lvl>
    <w:lvl w:ilvl="8" w:tplc="DDEEABA0">
      <w:start w:val="1"/>
      <w:numFmt w:val="decimal"/>
      <w:lvlText w:val="%9)"/>
      <w:lvlJc w:val="left"/>
      <w:pPr>
        <w:ind w:left="1020" w:hanging="360"/>
      </w:pPr>
    </w:lvl>
  </w:abstractNum>
  <w:num w:numId="1" w16cid:durableId="855579389">
    <w:abstractNumId w:val="3"/>
  </w:num>
  <w:num w:numId="2" w16cid:durableId="1768840527">
    <w:abstractNumId w:val="1"/>
  </w:num>
  <w:num w:numId="3" w16cid:durableId="1122764930">
    <w:abstractNumId w:val="2"/>
  </w:num>
  <w:num w:numId="4" w16cid:durableId="84790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9C"/>
    <w:rsid w:val="000310C1"/>
    <w:rsid w:val="00032409"/>
    <w:rsid w:val="0003319F"/>
    <w:rsid w:val="000617B4"/>
    <w:rsid w:val="00073D05"/>
    <w:rsid w:val="000762FF"/>
    <w:rsid w:val="000829DE"/>
    <w:rsid w:val="000863FE"/>
    <w:rsid w:val="0009200D"/>
    <w:rsid w:val="000A53EC"/>
    <w:rsid w:val="000C39B8"/>
    <w:rsid w:val="000D60F9"/>
    <w:rsid w:val="001011B6"/>
    <w:rsid w:val="00113077"/>
    <w:rsid w:val="00121165"/>
    <w:rsid w:val="0016225A"/>
    <w:rsid w:val="001820B2"/>
    <w:rsid w:val="001A6344"/>
    <w:rsid w:val="001C1113"/>
    <w:rsid w:val="001C4FFA"/>
    <w:rsid w:val="001C6156"/>
    <w:rsid w:val="001E30B0"/>
    <w:rsid w:val="001F25ED"/>
    <w:rsid w:val="001F34ED"/>
    <w:rsid w:val="00200E4B"/>
    <w:rsid w:val="00210ECA"/>
    <w:rsid w:val="00212074"/>
    <w:rsid w:val="00213D0C"/>
    <w:rsid w:val="0022532C"/>
    <w:rsid w:val="00263462"/>
    <w:rsid w:val="002718AC"/>
    <w:rsid w:val="00285EAC"/>
    <w:rsid w:val="00287E4C"/>
    <w:rsid w:val="002A3A32"/>
    <w:rsid w:val="002B11F2"/>
    <w:rsid w:val="002B16BF"/>
    <w:rsid w:val="002D1013"/>
    <w:rsid w:val="002D75CA"/>
    <w:rsid w:val="002E2E1B"/>
    <w:rsid w:val="002E3C06"/>
    <w:rsid w:val="002E78BF"/>
    <w:rsid w:val="002F3164"/>
    <w:rsid w:val="002F7D24"/>
    <w:rsid w:val="003050FE"/>
    <w:rsid w:val="003205CE"/>
    <w:rsid w:val="0034678A"/>
    <w:rsid w:val="003512D0"/>
    <w:rsid w:val="00364A41"/>
    <w:rsid w:val="00366ADF"/>
    <w:rsid w:val="00373A7B"/>
    <w:rsid w:val="003A23BE"/>
    <w:rsid w:val="003B3339"/>
    <w:rsid w:val="003B7856"/>
    <w:rsid w:val="003E6C18"/>
    <w:rsid w:val="00406DB7"/>
    <w:rsid w:val="00407478"/>
    <w:rsid w:val="00417E12"/>
    <w:rsid w:val="004417EC"/>
    <w:rsid w:val="004469CE"/>
    <w:rsid w:val="004705C2"/>
    <w:rsid w:val="004845B3"/>
    <w:rsid w:val="004961BA"/>
    <w:rsid w:val="004A5947"/>
    <w:rsid w:val="004B0F44"/>
    <w:rsid w:val="004B3272"/>
    <w:rsid w:val="004B4DA9"/>
    <w:rsid w:val="004C4A68"/>
    <w:rsid w:val="004D2F58"/>
    <w:rsid w:val="004F41F7"/>
    <w:rsid w:val="005061C9"/>
    <w:rsid w:val="0052508E"/>
    <w:rsid w:val="00532416"/>
    <w:rsid w:val="005463F0"/>
    <w:rsid w:val="0055398C"/>
    <w:rsid w:val="0056741D"/>
    <w:rsid w:val="005940FC"/>
    <w:rsid w:val="00596A18"/>
    <w:rsid w:val="005C2E45"/>
    <w:rsid w:val="005C33E3"/>
    <w:rsid w:val="00604AE6"/>
    <w:rsid w:val="006531B3"/>
    <w:rsid w:val="00670560"/>
    <w:rsid w:val="00686D64"/>
    <w:rsid w:val="00692277"/>
    <w:rsid w:val="00692C23"/>
    <w:rsid w:val="0069499E"/>
    <w:rsid w:val="006A53C8"/>
    <w:rsid w:val="006B357D"/>
    <w:rsid w:val="006E3F79"/>
    <w:rsid w:val="007006D3"/>
    <w:rsid w:val="00727AA1"/>
    <w:rsid w:val="00740751"/>
    <w:rsid w:val="00752290"/>
    <w:rsid w:val="00760AF0"/>
    <w:rsid w:val="007716CF"/>
    <w:rsid w:val="007C2D5D"/>
    <w:rsid w:val="007D2DFB"/>
    <w:rsid w:val="007F32BC"/>
    <w:rsid w:val="0080739B"/>
    <w:rsid w:val="0082627A"/>
    <w:rsid w:val="00841476"/>
    <w:rsid w:val="0087629C"/>
    <w:rsid w:val="00885887"/>
    <w:rsid w:val="00896A27"/>
    <w:rsid w:val="008A7B89"/>
    <w:rsid w:val="008B5F09"/>
    <w:rsid w:val="008C4723"/>
    <w:rsid w:val="008D3971"/>
    <w:rsid w:val="0090546F"/>
    <w:rsid w:val="00907727"/>
    <w:rsid w:val="00916BA6"/>
    <w:rsid w:val="00934CAD"/>
    <w:rsid w:val="00960154"/>
    <w:rsid w:val="00983FE3"/>
    <w:rsid w:val="0098707C"/>
    <w:rsid w:val="009900C8"/>
    <w:rsid w:val="009961E3"/>
    <w:rsid w:val="009C007B"/>
    <w:rsid w:val="009C1E3E"/>
    <w:rsid w:val="009E0521"/>
    <w:rsid w:val="009E0E00"/>
    <w:rsid w:val="009E6498"/>
    <w:rsid w:val="00A048BB"/>
    <w:rsid w:val="00A17DA3"/>
    <w:rsid w:val="00A22011"/>
    <w:rsid w:val="00A4034A"/>
    <w:rsid w:val="00A71A2D"/>
    <w:rsid w:val="00AA1D85"/>
    <w:rsid w:val="00AB2EEE"/>
    <w:rsid w:val="00AC30E3"/>
    <w:rsid w:val="00AD0C3B"/>
    <w:rsid w:val="00AD3340"/>
    <w:rsid w:val="00AD649D"/>
    <w:rsid w:val="00AD7E90"/>
    <w:rsid w:val="00B01673"/>
    <w:rsid w:val="00B35091"/>
    <w:rsid w:val="00B42614"/>
    <w:rsid w:val="00B45657"/>
    <w:rsid w:val="00B5649F"/>
    <w:rsid w:val="00B87A60"/>
    <w:rsid w:val="00B97024"/>
    <w:rsid w:val="00BA71AD"/>
    <w:rsid w:val="00BB21FA"/>
    <w:rsid w:val="00BB3C80"/>
    <w:rsid w:val="00BC2C9C"/>
    <w:rsid w:val="00BC5387"/>
    <w:rsid w:val="00BD22D6"/>
    <w:rsid w:val="00BE41CC"/>
    <w:rsid w:val="00BE5267"/>
    <w:rsid w:val="00BE7E70"/>
    <w:rsid w:val="00BF082C"/>
    <w:rsid w:val="00C02ACB"/>
    <w:rsid w:val="00C21676"/>
    <w:rsid w:val="00C303E5"/>
    <w:rsid w:val="00C405C4"/>
    <w:rsid w:val="00C45A93"/>
    <w:rsid w:val="00C462AC"/>
    <w:rsid w:val="00C63112"/>
    <w:rsid w:val="00C6491C"/>
    <w:rsid w:val="00C65C8E"/>
    <w:rsid w:val="00C705B3"/>
    <w:rsid w:val="00C74C74"/>
    <w:rsid w:val="00C81903"/>
    <w:rsid w:val="00C8659B"/>
    <w:rsid w:val="00C86F20"/>
    <w:rsid w:val="00C90EC7"/>
    <w:rsid w:val="00CB08B2"/>
    <w:rsid w:val="00CF1417"/>
    <w:rsid w:val="00D03AE6"/>
    <w:rsid w:val="00D07B5E"/>
    <w:rsid w:val="00D17DF8"/>
    <w:rsid w:val="00D2170F"/>
    <w:rsid w:val="00D418F6"/>
    <w:rsid w:val="00D443FA"/>
    <w:rsid w:val="00D6165A"/>
    <w:rsid w:val="00D83175"/>
    <w:rsid w:val="00DA584B"/>
    <w:rsid w:val="00DA70D1"/>
    <w:rsid w:val="00DA7E52"/>
    <w:rsid w:val="00DC1881"/>
    <w:rsid w:val="00DC637A"/>
    <w:rsid w:val="00DD0F78"/>
    <w:rsid w:val="00DD6C74"/>
    <w:rsid w:val="00E11B99"/>
    <w:rsid w:val="00E44A99"/>
    <w:rsid w:val="00E465A9"/>
    <w:rsid w:val="00E53C7E"/>
    <w:rsid w:val="00E578E5"/>
    <w:rsid w:val="00E610CF"/>
    <w:rsid w:val="00E86AEC"/>
    <w:rsid w:val="00EA17BE"/>
    <w:rsid w:val="00EC1376"/>
    <w:rsid w:val="00ED7610"/>
    <w:rsid w:val="00F2329F"/>
    <w:rsid w:val="00F334BD"/>
    <w:rsid w:val="00F409D4"/>
    <w:rsid w:val="00F57A10"/>
    <w:rsid w:val="00F73042"/>
    <w:rsid w:val="00F76840"/>
    <w:rsid w:val="00F768A6"/>
    <w:rsid w:val="00F76B56"/>
    <w:rsid w:val="00F86E91"/>
    <w:rsid w:val="00FA657A"/>
    <w:rsid w:val="00FA76E7"/>
    <w:rsid w:val="00FB3206"/>
    <w:rsid w:val="00FD622A"/>
    <w:rsid w:val="00FD7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81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9C"/>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2C9C"/>
    <w:pPr>
      <w:tabs>
        <w:tab w:val="center" w:pos="4153"/>
        <w:tab w:val="right" w:pos="8306"/>
      </w:tabs>
    </w:pPr>
  </w:style>
  <w:style w:type="character" w:customStyle="1" w:styleId="FooterChar">
    <w:name w:val="Footer Char"/>
    <w:basedOn w:val="DefaultParagraphFont"/>
    <w:link w:val="Footer"/>
    <w:uiPriority w:val="99"/>
    <w:rsid w:val="00BC2C9C"/>
    <w:rPr>
      <w:rFonts w:eastAsia="Times New Roman" w:cs="Times New Roman"/>
      <w:kern w:val="0"/>
      <w:szCs w:val="24"/>
      <w:lang w:val="lv-LV" w:eastAsia="lv-LV"/>
      <w14:ligatures w14:val="none"/>
    </w:rPr>
  </w:style>
  <w:style w:type="character" w:styleId="PageNumber">
    <w:name w:val="page number"/>
    <w:basedOn w:val="DefaultParagraphFont"/>
    <w:rsid w:val="00BC2C9C"/>
  </w:style>
  <w:style w:type="paragraph" w:styleId="Header">
    <w:name w:val="header"/>
    <w:basedOn w:val="Normal"/>
    <w:link w:val="HeaderChar"/>
    <w:rsid w:val="00BC2C9C"/>
    <w:pPr>
      <w:tabs>
        <w:tab w:val="center" w:pos="4153"/>
        <w:tab w:val="right" w:pos="8306"/>
      </w:tabs>
    </w:pPr>
  </w:style>
  <w:style w:type="character" w:customStyle="1" w:styleId="HeaderChar">
    <w:name w:val="Header Char"/>
    <w:basedOn w:val="DefaultParagraphFont"/>
    <w:link w:val="Header"/>
    <w:rsid w:val="00BC2C9C"/>
    <w:rPr>
      <w:rFonts w:eastAsia="Times New Roman" w:cs="Times New Roman"/>
      <w:kern w:val="0"/>
      <w:szCs w:val="24"/>
      <w:lang w:val="lv-LV" w:eastAsia="lv-LV"/>
      <w14:ligatures w14:val="none"/>
    </w:rPr>
  </w:style>
  <w:style w:type="character" w:styleId="CommentReference">
    <w:name w:val="annotation reference"/>
    <w:rsid w:val="00BC2C9C"/>
    <w:rPr>
      <w:sz w:val="16"/>
      <w:szCs w:val="16"/>
    </w:rPr>
  </w:style>
  <w:style w:type="paragraph" w:styleId="CommentText">
    <w:name w:val="annotation text"/>
    <w:basedOn w:val="Normal"/>
    <w:link w:val="CommentTextChar"/>
    <w:rsid w:val="00BC2C9C"/>
    <w:rPr>
      <w:sz w:val="20"/>
      <w:szCs w:val="20"/>
    </w:rPr>
  </w:style>
  <w:style w:type="character" w:customStyle="1" w:styleId="CommentTextChar">
    <w:name w:val="Comment Text Char"/>
    <w:basedOn w:val="DefaultParagraphFont"/>
    <w:link w:val="CommentText"/>
    <w:rsid w:val="00BC2C9C"/>
    <w:rPr>
      <w:rFonts w:eastAsia="Times New Roman" w:cs="Times New Roman"/>
      <w:kern w:val="0"/>
      <w:sz w:val="20"/>
      <w:szCs w:val="20"/>
      <w:lang w:val="lv-LV" w:eastAsia="lv-LV"/>
      <w14:ligatures w14:val="none"/>
    </w:rPr>
  </w:style>
  <w:style w:type="character" w:styleId="Hyperlink">
    <w:name w:val="Hyperlink"/>
    <w:uiPriority w:val="99"/>
    <w:unhideWhenUsed/>
    <w:rsid w:val="00BC2C9C"/>
    <w:rPr>
      <w:color w:val="0000FF"/>
      <w:u w:val="single"/>
    </w:rPr>
  </w:style>
  <w:style w:type="paragraph" w:customStyle="1" w:styleId="tv213">
    <w:name w:val="tv213"/>
    <w:basedOn w:val="Normal"/>
    <w:rsid w:val="00BC2C9C"/>
    <w:pPr>
      <w:spacing w:before="100" w:beforeAutospacing="1" w:after="100" w:afterAutospacing="1"/>
    </w:pPr>
    <w:rPr>
      <w:lang w:val="en-US" w:eastAsia="en-US"/>
    </w:rPr>
  </w:style>
  <w:style w:type="paragraph" w:styleId="ListParagraph">
    <w:name w:val="List Paragraph"/>
    <w:basedOn w:val="Normal"/>
    <w:uiPriority w:val="34"/>
    <w:qFormat/>
    <w:rsid w:val="00D6165A"/>
    <w:pPr>
      <w:spacing w:after="160" w:line="259" w:lineRule="auto"/>
      <w:ind w:left="720"/>
      <w:contextualSpacing/>
    </w:pPr>
    <w:rPr>
      <w:rFonts w:eastAsiaTheme="minorHAnsi" w:cstheme="minorBidi"/>
      <w:kern w:val="2"/>
      <w:szCs w:val="22"/>
      <w:lang w:val="en-US" w:eastAsia="en-US"/>
      <w14:ligatures w14:val="standardContextual"/>
    </w:rPr>
  </w:style>
  <w:style w:type="paragraph" w:styleId="NormalWeb">
    <w:name w:val="Normal (Web)"/>
    <w:basedOn w:val="Normal"/>
    <w:unhideWhenUsed/>
    <w:rsid w:val="000863FE"/>
  </w:style>
  <w:style w:type="character" w:styleId="UnresolvedMention">
    <w:name w:val="Unresolved Mention"/>
    <w:basedOn w:val="DefaultParagraphFont"/>
    <w:uiPriority w:val="99"/>
    <w:semiHidden/>
    <w:unhideWhenUsed/>
    <w:rsid w:val="00F86E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43FA"/>
    <w:rPr>
      <w:b/>
      <w:bCs/>
    </w:rPr>
  </w:style>
  <w:style w:type="character" w:customStyle="1" w:styleId="CommentSubjectChar">
    <w:name w:val="Comment Subject Char"/>
    <w:basedOn w:val="CommentTextChar"/>
    <w:link w:val="CommentSubject"/>
    <w:uiPriority w:val="99"/>
    <w:semiHidden/>
    <w:rsid w:val="00D443FA"/>
    <w:rPr>
      <w:rFonts w:eastAsia="Times New Roman" w:cs="Times New Roman"/>
      <w:b/>
      <w:bCs/>
      <w:kern w:val="0"/>
      <w:sz w:val="20"/>
      <w:szCs w:val="20"/>
      <w:lang w:val="lv-LV" w:eastAsia="lv-LV"/>
      <w14:ligatures w14:val="none"/>
    </w:rPr>
  </w:style>
  <w:style w:type="character" w:styleId="FollowedHyperlink">
    <w:name w:val="FollowedHyperlink"/>
    <w:basedOn w:val="DefaultParagraphFont"/>
    <w:uiPriority w:val="99"/>
    <w:semiHidden/>
    <w:unhideWhenUsed/>
    <w:rsid w:val="00CF1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636">
      <w:bodyDiv w:val="1"/>
      <w:marLeft w:val="0"/>
      <w:marRight w:val="0"/>
      <w:marTop w:val="0"/>
      <w:marBottom w:val="0"/>
      <w:divBdr>
        <w:top w:val="none" w:sz="0" w:space="0" w:color="auto"/>
        <w:left w:val="none" w:sz="0" w:space="0" w:color="auto"/>
        <w:bottom w:val="none" w:sz="0" w:space="0" w:color="auto"/>
        <w:right w:val="none" w:sz="0" w:space="0" w:color="auto"/>
      </w:divBdr>
    </w:div>
    <w:div w:id="1019116991">
      <w:bodyDiv w:val="1"/>
      <w:marLeft w:val="0"/>
      <w:marRight w:val="0"/>
      <w:marTop w:val="0"/>
      <w:marBottom w:val="0"/>
      <w:divBdr>
        <w:top w:val="none" w:sz="0" w:space="0" w:color="auto"/>
        <w:left w:val="none" w:sz="0" w:space="0" w:color="auto"/>
        <w:bottom w:val="none" w:sz="0" w:space="0" w:color="auto"/>
        <w:right w:val="none" w:sz="0" w:space="0" w:color="auto"/>
      </w:divBdr>
    </w:div>
    <w:div w:id="19451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62013CJ018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3349.pdf" TargetMode="External"/><Relationship Id="rId12" Type="http://schemas.openxmlformats.org/officeDocument/2006/relationships/hyperlink" Target="https://manas.tiesas.lv/eTiesasMvc/eclinolemumi/ECLI:LV:AT:2021:0618.SKA096921.4.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9:1018.A420255418.13.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lex.europa.eu/legal-content/LV/TXT/?uri=CELEX:62015CC0471" TargetMode="External"/><Relationship Id="rId4" Type="http://schemas.openxmlformats.org/officeDocument/2006/relationships/webSettings" Target="webSettings.xml"/><Relationship Id="rId9" Type="http://schemas.openxmlformats.org/officeDocument/2006/relationships/hyperlink" Target="https://eur-lex.europa.eu/legal-content/LV/TXT/?uri=CELEX:62017CJ015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21386</Words>
  <Characters>12191</Characters>
  <Application>Microsoft Office Word</Application>
  <DocSecurity>0</DocSecurity>
  <Lines>101</Lines>
  <Paragraphs>67</Paragraphs>
  <ScaleCrop>false</ScaleCrop>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2024-08-07T11:49:00Z</dcterms:created>
  <dcterms:modified xsi:type="dcterms:W3CDTF">2024-08-07T13:18:00Z</dcterms:modified>
</cp:coreProperties>
</file>