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403D8" w14:textId="77777777" w:rsidR="00EF3973" w:rsidRDefault="00EF3973" w:rsidP="00F87276">
      <w:pPr>
        <w:autoSpaceDE w:val="0"/>
        <w:autoSpaceDN w:val="0"/>
        <w:spacing w:line="276" w:lineRule="auto"/>
        <w:jc w:val="both"/>
        <w:rPr>
          <w:rFonts w:ascii="TimesNewRomanPSMT" w:hAnsi="TimesNewRomanPSMT"/>
          <w:b/>
          <w:bCs/>
          <w:lang w:eastAsia="lv-LV"/>
        </w:rPr>
      </w:pPr>
      <w:r>
        <w:rPr>
          <w:rFonts w:ascii="TimesNewRomanPSMT" w:hAnsi="TimesNewRomanPSMT"/>
          <w:b/>
          <w:bCs/>
        </w:rPr>
        <w:t xml:space="preserve">Disciplināratbildības piemērošana neizslēdz kriminālatbildības piemērošanu </w:t>
      </w:r>
    </w:p>
    <w:p w14:paraId="7F74230F" w14:textId="77777777" w:rsidR="00EF3973" w:rsidRDefault="00EF3973" w:rsidP="00F87276">
      <w:pPr>
        <w:autoSpaceDE w:val="0"/>
        <w:autoSpaceDN w:val="0"/>
        <w:spacing w:line="276" w:lineRule="auto"/>
        <w:jc w:val="both"/>
        <w:rPr>
          <w:rFonts w:ascii="TimesNewRomanPSMT" w:hAnsi="TimesNewRomanPSMT"/>
          <w:sz w:val="22"/>
          <w:szCs w:val="22"/>
        </w:rPr>
      </w:pPr>
      <w:proofErr w:type="spellStart"/>
      <w:r>
        <w:rPr>
          <w:rFonts w:ascii="TimesNewRomanPSMT" w:hAnsi="TimesNewRomanPSMT"/>
        </w:rPr>
        <w:t>Disciplinārpārkāpuma</w:t>
      </w:r>
      <w:proofErr w:type="spellEnd"/>
      <w:r>
        <w:rPr>
          <w:rFonts w:ascii="TimesNewRomanPSMT" w:hAnsi="TimesNewRomanPSMT"/>
        </w:rPr>
        <w:t xml:space="preserve"> objekts (aizsargājamā interese) ir dienesta pienākumu izpilde. Disciplinārsods ir </w:t>
      </w:r>
      <w:proofErr w:type="spellStart"/>
      <w:r>
        <w:rPr>
          <w:rFonts w:ascii="TimesNewRomanPSMT" w:hAnsi="TimesNewRomanPSMT"/>
        </w:rPr>
        <w:t>disciplinārpārkāpuma</w:t>
      </w:r>
      <w:proofErr w:type="spellEnd"/>
      <w:r>
        <w:rPr>
          <w:rFonts w:ascii="TimesNewRomanPSMT" w:hAnsi="TimesNewRomanPSMT"/>
        </w:rPr>
        <w:t xml:space="preserve"> sekas. Disciplinārsoda piemērošanas gadījumā tiek samazinātas no dienesta attiecībām izrietošās tiesības, iespējams, pat pārtrauktas dienesta attiecības. Savukārt ja persona tiek saukta pie kriminālatbildības, personai tiek noteikts sods (pienākums), kura izpilde tiek nodrošināta ar piespiedu līdzekļiem. Tādējādi disciplinārsoda, arī atbrīvošanas no amata, smaguma pakāpe neiegūst krimināltiesisku raksturu.</w:t>
      </w:r>
    </w:p>
    <w:p w14:paraId="47831501" w14:textId="1D48EBDF" w:rsidR="00D9076E" w:rsidRDefault="00EF3973" w:rsidP="00F87276">
      <w:pPr>
        <w:autoSpaceDE w:val="0"/>
        <w:autoSpaceDN w:val="0"/>
        <w:spacing w:line="276" w:lineRule="auto"/>
        <w:jc w:val="both"/>
        <w:rPr>
          <w:rFonts w:ascii="TimesNewRomanPSMT" w:hAnsi="TimesNewRomanPSMT"/>
        </w:rPr>
      </w:pPr>
      <w:r>
        <w:rPr>
          <w:rFonts w:ascii="TimesNewRomanPSMT" w:hAnsi="TimesNewRomanPSMT"/>
        </w:rPr>
        <w:t xml:space="preserve">Tāpēc disciplināratbildības piemērošana par konkrētu darbību (bezdarbību) neizslēdz kriminālatbildības piemērošanu par šo pašu darbību (bezdarbību). Apstāklis, ka par to pašu darbību (bezdarbību) uzsākts kriminālprocess, nav šķērslis amatpersonai piemērot disciplinārsodu pirms attiecīgo kriminālprocesu noslēdzošā nolēmuma spēkā stāšanās. Tas arī nav atzīstams par dubultās sodīšanas nepieļaujamības principa pārkāpumu Eiropas Cilvēka tiesību un pamatbrīvību aizsardzības konvencijas Septītā protokola 4.panta un Latvijas Republikas Satversmes 92.panta izpratnē. </w:t>
      </w:r>
    </w:p>
    <w:p w14:paraId="0069842B" w14:textId="77777777" w:rsidR="00F87276" w:rsidRPr="00F87276" w:rsidRDefault="00F87276" w:rsidP="00F87276">
      <w:pPr>
        <w:autoSpaceDE w:val="0"/>
        <w:autoSpaceDN w:val="0"/>
        <w:spacing w:line="276" w:lineRule="auto"/>
        <w:jc w:val="both"/>
        <w:rPr>
          <w:rFonts w:ascii="TimesNewRomanPSMT" w:hAnsi="TimesNewRomanPSMT"/>
        </w:rPr>
      </w:pPr>
    </w:p>
    <w:p w14:paraId="073B51F2" w14:textId="03A92520" w:rsidR="008D790A" w:rsidRDefault="008D790A" w:rsidP="00F87276">
      <w:pPr>
        <w:pStyle w:val="BodyText2"/>
        <w:spacing w:after="0" w:line="276" w:lineRule="auto"/>
        <w:jc w:val="center"/>
        <w:rPr>
          <w:b/>
          <w:lang w:val="lv-LV"/>
        </w:rPr>
      </w:pPr>
      <w:r w:rsidRPr="00F44442">
        <w:rPr>
          <w:b/>
          <w:lang w:val="lv-LV"/>
        </w:rPr>
        <w:t>Latvijas Republikas Senāt</w:t>
      </w:r>
      <w:r w:rsidR="00F87276">
        <w:rPr>
          <w:b/>
          <w:lang w:val="lv-LV"/>
        </w:rPr>
        <w:t>a</w:t>
      </w:r>
    </w:p>
    <w:p w14:paraId="662B12AF" w14:textId="2FC100EC" w:rsidR="00F87276" w:rsidRPr="00F44442" w:rsidRDefault="00F87276" w:rsidP="00F87276">
      <w:pPr>
        <w:pStyle w:val="BodyText2"/>
        <w:bidi/>
        <w:spacing w:after="0" w:line="276" w:lineRule="auto"/>
        <w:jc w:val="center"/>
        <w:rPr>
          <w:b/>
          <w:lang w:val="lv-LV"/>
        </w:rPr>
      </w:pPr>
      <w:r>
        <w:rPr>
          <w:b/>
          <w:lang w:val="lv-LV"/>
        </w:rPr>
        <w:t>Administratīvo lietu departamenta</w:t>
      </w:r>
      <w:r>
        <w:rPr>
          <w:b/>
          <w:lang w:val="lv-LV"/>
        </w:rPr>
        <w:br/>
        <w:t>2024.gada 11.jūnija</w:t>
      </w:r>
    </w:p>
    <w:p w14:paraId="09C363A5" w14:textId="77777777" w:rsidR="008D790A" w:rsidRDefault="008D790A" w:rsidP="00F87276">
      <w:pPr>
        <w:spacing w:line="276" w:lineRule="auto"/>
        <w:jc w:val="center"/>
        <w:rPr>
          <w:b/>
        </w:rPr>
      </w:pPr>
      <w:r w:rsidRPr="00F37E90">
        <w:rPr>
          <w:b/>
        </w:rPr>
        <w:t>RĪCĪBAS SĒDES LĒMUMS</w:t>
      </w:r>
    </w:p>
    <w:p w14:paraId="06F9D792" w14:textId="77777777" w:rsidR="00F87276" w:rsidRPr="00F87276" w:rsidRDefault="00F87276" w:rsidP="00F87276">
      <w:pPr>
        <w:spacing w:line="276" w:lineRule="auto"/>
        <w:jc w:val="center"/>
        <w:rPr>
          <w:b/>
          <w:bCs/>
        </w:rPr>
      </w:pPr>
      <w:r w:rsidRPr="00F87276">
        <w:rPr>
          <w:b/>
          <w:bCs/>
        </w:rPr>
        <w:t>Lieta Nr. A420286021, SKA</w:t>
      </w:r>
      <w:r w:rsidRPr="00F87276">
        <w:rPr>
          <w:b/>
          <w:bCs/>
        </w:rPr>
        <w:noBreakHyphen/>
        <w:t>181/2024</w:t>
      </w:r>
    </w:p>
    <w:p w14:paraId="7B12454F" w14:textId="10E02B6D" w:rsidR="00F87276" w:rsidRPr="00F37E90" w:rsidRDefault="00F87276" w:rsidP="00F87276">
      <w:pPr>
        <w:spacing w:line="276" w:lineRule="auto"/>
        <w:jc w:val="center"/>
        <w:rPr>
          <w:b/>
        </w:rPr>
      </w:pPr>
      <w:hyperlink r:id="rId7" w:history="1">
        <w:r w:rsidRPr="00F87276">
          <w:rPr>
            <w:rStyle w:val="Hyperlink"/>
            <w:rFonts w:ascii="TimesNewRomanPSMT" w:eastAsiaTheme="minorHAnsi" w:hAnsi="TimesNewRomanPSMT" w:cs="TimesNewRomanPSMT"/>
            <w:lang w:eastAsia="en-US"/>
          </w:rPr>
          <w:t>ECLI:LV:AT:2024:0611.A420286021.9.L</w:t>
        </w:r>
      </w:hyperlink>
    </w:p>
    <w:p w14:paraId="4D38107B" w14:textId="77777777" w:rsidR="008D790A" w:rsidRPr="00B17B0C" w:rsidRDefault="008D790A" w:rsidP="00F87276">
      <w:pPr>
        <w:spacing w:line="276" w:lineRule="auto"/>
        <w:jc w:val="center"/>
      </w:pPr>
    </w:p>
    <w:p w14:paraId="6C601921" w14:textId="3EEE9CDC" w:rsidR="003D0941" w:rsidRDefault="008D790A" w:rsidP="00F87276">
      <w:pPr>
        <w:spacing w:line="276" w:lineRule="auto"/>
        <w:ind w:firstLine="720"/>
        <w:jc w:val="both"/>
      </w:pPr>
      <w:r>
        <w:t>[1] </w:t>
      </w:r>
      <w:r w:rsidRPr="006008BC">
        <w:t>Senātā saņemta pieteicēja</w:t>
      </w:r>
      <w:r w:rsidR="00A60DA6">
        <w:t>s</w:t>
      </w:r>
      <w:r w:rsidRPr="006008BC">
        <w:t xml:space="preserve"> </w:t>
      </w:r>
      <w:r w:rsidR="00F87276">
        <w:t xml:space="preserve">[pers. A] </w:t>
      </w:r>
      <w:r w:rsidRPr="006008BC">
        <w:t xml:space="preserve">kasācijas sūdzība par Administratīvās </w:t>
      </w:r>
      <w:r w:rsidR="001677C5">
        <w:t>apgabaltiesas</w:t>
      </w:r>
      <w:r w:rsidRPr="006008BC">
        <w:t xml:space="preserve"> 202</w:t>
      </w:r>
      <w:r w:rsidR="001677C5">
        <w:t>3</w:t>
      </w:r>
      <w:r w:rsidRPr="006008BC">
        <w:t xml:space="preserve">.gada </w:t>
      </w:r>
      <w:r w:rsidR="003D0941">
        <w:t>20.janvāra</w:t>
      </w:r>
      <w:r w:rsidRPr="006008BC">
        <w:t xml:space="preserve"> spriedumu</w:t>
      </w:r>
      <w:r w:rsidR="0037465C">
        <w:t>.</w:t>
      </w:r>
      <w:r w:rsidRPr="006008BC">
        <w:t xml:space="preserve"> </w:t>
      </w:r>
      <w:r w:rsidR="0037465C">
        <w:t>A</w:t>
      </w:r>
      <w:r w:rsidR="003D0941">
        <w:t xml:space="preserve">r </w:t>
      </w:r>
      <w:r w:rsidR="0037465C">
        <w:t xml:space="preserve">šo spriedumu </w:t>
      </w:r>
      <w:r w:rsidR="003D0941">
        <w:t>noraidīts pieteicējas pieteikum</w:t>
      </w:r>
      <w:r w:rsidR="002F6F44">
        <w:t>s</w:t>
      </w:r>
      <w:r w:rsidR="003D0941">
        <w:t xml:space="preserve"> par Finanšu ministrijas 2021.gada 4.novembra lēmuma Nr. 1.1</w:t>
      </w:r>
      <w:r w:rsidR="00C60CBD">
        <w:noBreakHyphen/>
      </w:r>
      <w:r w:rsidR="003D0941">
        <w:t>7/12</w:t>
      </w:r>
      <w:r w:rsidR="00C60CBD">
        <w:noBreakHyphen/>
      </w:r>
      <w:r w:rsidR="003D0941">
        <w:t>166 atcelšanu un zaudējumu atlīdzināšanu.</w:t>
      </w:r>
    </w:p>
    <w:p w14:paraId="70928AAC" w14:textId="3DFA5BD2" w:rsidR="00480B39" w:rsidRDefault="00480B39" w:rsidP="00F87276">
      <w:pPr>
        <w:spacing w:line="276" w:lineRule="auto"/>
        <w:ind w:firstLine="720"/>
        <w:jc w:val="both"/>
      </w:pPr>
      <w:r>
        <w:t>Ar Valsts ieņēmumu dienesta 2020.gada 4.decembra lēmumu Nr. 9.5</w:t>
      </w:r>
      <w:r w:rsidR="000F54D8">
        <w:noBreakHyphen/>
      </w:r>
      <w:r>
        <w:t>8.8/</w:t>
      </w:r>
      <w:r w:rsidR="000F54D8">
        <w:t xml:space="preserve">491 </w:t>
      </w:r>
      <w:r>
        <w:t xml:space="preserve">pieteicējai piemērots disciplinārsods – atbrīvošana no amata. Ar </w:t>
      </w:r>
      <w:r w:rsidR="00482DC7">
        <w:t xml:space="preserve">pārsūdzēto </w:t>
      </w:r>
      <w:r w:rsidR="00410A2E">
        <w:t xml:space="preserve">Finanšu ministrijas </w:t>
      </w:r>
      <w:r w:rsidR="00482DC7">
        <w:t xml:space="preserve">lēmumu </w:t>
      </w:r>
      <w:r>
        <w:t>sākotnējais lēmums atstāts negrozīts.</w:t>
      </w:r>
      <w:r w:rsidR="0037465C">
        <w:t xml:space="preserve"> Disciplinārsods piemērots par Valsts civildienesta ierēdņu disciplināratbildības likuma 37.panta otrajā daļā paredzēt</w:t>
      </w:r>
      <w:r w:rsidR="008C070F">
        <w:t>ā</w:t>
      </w:r>
      <w:r w:rsidR="0037465C">
        <w:t xml:space="preserve"> disciplinārpārkāpuma (darbības, kas pārsniedz amata pilnvaru robežas, ja </w:t>
      </w:r>
      <w:r w:rsidR="008C070F">
        <w:t xml:space="preserve">to </w:t>
      </w:r>
      <w:r w:rsidR="0037465C">
        <w:t>dēļ valsts interesēm nodarīts būtisks kaitējums) izdarīšanu.</w:t>
      </w:r>
      <w:r w:rsidR="0068519C">
        <w:t xml:space="preserve"> Pārsūdzētajā lēmumā tika konstatēta, ka pieteicēja</w:t>
      </w:r>
      <w:r w:rsidR="008C070F">
        <w:t>:</w:t>
      </w:r>
      <w:r w:rsidR="0068519C">
        <w:t xml:space="preserve"> 1) pēc trešās personas lūguma, izmantojot darba datoru, no </w:t>
      </w:r>
      <w:r w:rsidR="0068519C" w:rsidRPr="00ED74DA">
        <w:rPr>
          <w:i/>
          <w:iCs/>
        </w:rPr>
        <w:t>USB</w:t>
      </w:r>
      <w:r w:rsidR="0068519C">
        <w:t xml:space="preserve"> zibatmiņas izdrukāja uz Nelegāli iegūtu līdzekļu legalizācijas novēršanas pārvaldes veidlapas dokumenta projektu, kas adresēts Nodokļu un muitas policijas pārvaldei saistībā ar SIA</w:t>
      </w:r>
      <w:r w:rsidR="00EE5786">
        <w:t> </w:t>
      </w:r>
      <w:r w:rsidR="0068519C">
        <w:t>,,</w:t>
      </w:r>
      <w:r w:rsidR="00F87276">
        <w:t>[Nosaukums]</w:t>
      </w:r>
      <w:r w:rsidR="0068519C">
        <w:t>”, un nodeva to trešajai personai; 2) savā dzīvesvietā glabāja dienesta un komersantu ierobežotas pieejamības dokumentus lielā apjomā, kas sagatavoti laikā no 2011. līdz 2019.gadam; dokumenti atradās trešajām personām pieejamās vietās, neierobežojot tiem piekļuvi.</w:t>
      </w:r>
    </w:p>
    <w:p w14:paraId="16BEB9EF" w14:textId="2F65D26A" w:rsidR="00EE5786" w:rsidRPr="00B6445D" w:rsidRDefault="00A25A2E" w:rsidP="00F87276">
      <w:pPr>
        <w:spacing w:line="276" w:lineRule="auto"/>
        <w:ind w:firstLine="720"/>
        <w:jc w:val="both"/>
      </w:pPr>
      <w:r>
        <w:t>Administratīvā apgabaltiesa pievienoj</w:t>
      </w:r>
      <w:r w:rsidR="003559F9">
        <w:t>ā</w:t>
      </w:r>
      <w:r>
        <w:t>s rajona tiesas sprieduma</w:t>
      </w:r>
      <w:r w:rsidR="003559F9">
        <w:t xml:space="preserve"> motivācijai un</w:t>
      </w:r>
      <w:r>
        <w:t xml:space="preserve"> </w:t>
      </w:r>
      <w:r w:rsidRPr="00B6445D">
        <w:t>atzina, ka</w:t>
      </w:r>
      <w:r w:rsidR="00373825" w:rsidRPr="00B6445D">
        <w:t xml:space="preserve"> lietā ir pierādīt</w:t>
      </w:r>
      <w:r w:rsidR="00EE5786" w:rsidRPr="00B6445D">
        <w:t>a</w:t>
      </w:r>
      <w:r w:rsidR="00373825" w:rsidRPr="00B6445D">
        <w:t>s</w:t>
      </w:r>
      <w:r w:rsidR="00EE5786" w:rsidRPr="00B6445D">
        <w:t xml:space="preserve"> pārsūdzētajā lēmumā norādītās pieteicējas darbības, par kurām </w:t>
      </w:r>
      <w:r w:rsidR="00EE5786" w:rsidRPr="00B6445D">
        <w:lastRenderedPageBreak/>
        <w:t>pieteicēja saukta pie disciplināratbildības. Apgabaltiesa nekonstatēja dubultās sodīšanas nepieļaujamības principa pārkāpumu vai kļūdas pierādījumu pieļaujamībā un novērtējumā.</w:t>
      </w:r>
    </w:p>
    <w:p w14:paraId="62A7197E" w14:textId="77777777" w:rsidR="00EE5786" w:rsidRPr="00B6445D" w:rsidRDefault="00EE5786" w:rsidP="00F87276">
      <w:pPr>
        <w:spacing w:line="276" w:lineRule="auto"/>
        <w:ind w:firstLine="720"/>
        <w:jc w:val="both"/>
      </w:pPr>
    </w:p>
    <w:p w14:paraId="7591B154" w14:textId="56480F8F" w:rsidR="009A3EC3" w:rsidRDefault="00E14B53" w:rsidP="00F87276">
      <w:pPr>
        <w:spacing w:line="276" w:lineRule="auto"/>
        <w:ind w:firstLine="720"/>
        <w:jc w:val="both"/>
      </w:pPr>
      <w:r w:rsidRPr="00B6445D">
        <w:t>[</w:t>
      </w:r>
      <w:r w:rsidR="00DD7623" w:rsidRPr="00B6445D">
        <w:t>2</w:t>
      </w:r>
      <w:r w:rsidRPr="00B6445D">
        <w:t>] </w:t>
      </w:r>
      <w:r w:rsidR="008C070F">
        <w:t>Pēc p</w:t>
      </w:r>
      <w:r w:rsidR="00B6445D" w:rsidRPr="00B6445D">
        <w:t xml:space="preserve">ieteicējas </w:t>
      </w:r>
      <w:r w:rsidR="008C070F" w:rsidRPr="00B6445D">
        <w:t>ieskat</w:t>
      </w:r>
      <w:r w:rsidR="008C070F">
        <w:t>a</w:t>
      </w:r>
      <w:r w:rsidR="003D5007" w:rsidRPr="00B6445D">
        <w:t>,</w:t>
      </w:r>
      <w:r w:rsidR="007E3B0B" w:rsidRPr="00B6445D">
        <w:t xml:space="preserve"> </w:t>
      </w:r>
      <w:r w:rsidR="00DD7623" w:rsidRPr="00B6445D">
        <w:t xml:space="preserve">piemērojot disciplinārsodu – atbrīvošanu no </w:t>
      </w:r>
      <w:r w:rsidR="003D5007" w:rsidRPr="00B6445D">
        <w:t>amata –</w:t>
      </w:r>
      <w:r w:rsidR="007E3B0B" w:rsidRPr="00B6445D">
        <w:t>, tika pārkāpts</w:t>
      </w:r>
      <w:r w:rsidR="007E3B0B" w:rsidRPr="007E3B0B">
        <w:t xml:space="preserve"> dubultās sodīšanas nepieļaujamības (</w:t>
      </w:r>
      <w:r w:rsidR="007E3B0B" w:rsidRPr="007E3B0B">
        <w:rPr>
          <w:i/>
          <w:iCs/>
        </w:rPr>
        <w:t>ne</w:t>
      </w:r>
      <w:r w:rsidR="00875BE6">
        <w:rPr>
          <w:i/>
          <w:iCs/>
        </w:rPr>
        <w:t> </w:t>
      </w:r>
      <w:r w:rsidR="007E3B0B" w:rsidRPr="007E3B0B">
        <w:rPr>
          <w:i/>
          <w:iCs/>
        </w:rPr>
        <w:t>bis</w:t>
      </w:r>
      <w:r w:rsidR="00875BE6">
        <w:rPr>
          <w:i/>
          <w:iCs/>
        </w:rPr>
        <w:t> </w:t>
      </w:r>
      <w:r w:rsidR="007E3B0B" w:rsidRPr="007E3B0B">
        <w:rPr>
          <w:i/>
          <w:iCs/>
        </w:rPr>
        <w:t>in</w:t>
      </w:r>
      <w:r w:rsidR="00875BE6">
        <w:rPr>
          <w:i/>
          <w:iCs/>
        </w:rPr>
        <w:t> </w:t>
      </w:r>
      <w:r w:rsidR="007E3B0B" w:rsidRPr="007E3B0B">
        <w:rPr>
          <w:i/>
          <w:iCs/>
        </w:rPr>
        <w:t>idem</w:t>
      </w:r>
      <w:r w:rsidR="007E3B0B" w:rsidRPr="007E3B0B">
        <w:t xml:space="preserve">) princips. </w:t>
      </w:r>
      <w:r w:rsidR="007E3B0B">
        <w:t>Pieteicējas vaina</w:t>
      </w:r>
      <w:r w:rsidR="007E3B0B" w:rsidRPr="007E3B0B">
        <w:t xml:space="preserve"> kriminālprocesā nav pierādīta, jo nav stājies spēkā tiesas nolēmums. </w:t>
      </w:r>
      <w:r w:rsidR="00B6445D">
        <w:t xml:space="preserve">Kasācijas sūdzībā apgalvots, ka tiesa minēto apstākli nav vērtējusi. </w:t>
      </w:r>
    </w:p>
    <w:p w14:paraId="4870A895" w14:textId="77777777" w:rsidR="00832615" w:rsidRDefault="00B6445D" w:rsidP="00F87276">
      <w:pPr>
        <w:spacing w:line="276" w:lineRule="auto"/>
        <w:ind w:firstLine="720"/>
        <w:jc w:val="both"/>
      </w:pPr>
      <w:r>
        <w:t xml:space="preserve">Senatoru kolēģija konstatē, ka </w:t>
      </w:r>
      <w:r w:rsidR="000C224C">
        <w:t>apgabaltiesa spriedumā</w:t>
      </w:r>
      <w:r w:rsidR="0038649F">
        <w:t xml:space="preserve"> (</w:t>
      </w:r>
      <w:r w:rsidR="0038649F" w:rsidRPr="0038649F">
        <w:rPr>
          <w:i/>
          <w:iCs/>
        </w:rPr>
        <w:t>pārsūdzētā sprieduma 16.punkts</w:t>
      </w:r>
      <w:r w:rsidR="0038649F">
        <w:t>)</w:t>
      </w:r>
      <w:r w:rsidR="000C224C">
        <w:t xml:space="preserve"> ir </w:t>
      </w:r>
      <w:r>
        <w:t>vērtējusi minēto apstākli un atzinusi,</w:t>
      </w:r>
      <w:r w:rsidR="000C224C">
        <w:t xml:space="preserve"> ka administratīvais process un kriminālprocess ir divi patstāvīgi procesi ar atšķirīgu mērķi.</w:t>
      </w:r>
      <w:r w:rsidR="00503206">
        <w:t xml:space="preserve"> </w:t>
      </w:r>
      <w:r w:rsidR="000D7499">
        <w:t>A</w:t>
      </w:r>
      <w:r w:rsidR="00E57AA1">
        <w:t>pstāklis, ka par minētajām darbībām ir ierosināts arī kriminālprocess, nav šķērslis disciplinārsoda piemērošanai.</w:t>
      </w:r>
      <w:r w:rsidR="00832615">
        <w:t xml:space="preserve"> Senatoru kolēģija piekrīt apgabaltiesas secinājumam.</w:t>
      </w:r>
    </w:p>
    <w:p w14:paraId="5753CF50" w14:textId="60BFE496" w:rsidR="000871A7" w:rsidRDefault="000871A7" w:rsidP="00F87276">
      <w:pPr>
        <w:spacing w:line="276" w:lineRule="auto"/>
        <w:ind w:firstLine="720"/>
        <w:jc w:val="both"/>
      </w:pPr>
      <w:r>
        <w:t>Dubultās sodīšanas nepieļaujamības princips ir formulēts Eiropas Cilvēka tiesību un pamatbrīvību aizsardzības konvencijas Septītā protokola 4.pantā. Minētais pants nosaka: nevienu nedrīkst no jauna tiesāt vai sodīt kriminālprocesā tās pašas valsts jurisdikcijā par noziegumu, par kuru viņš jau ir ticis galīgi attaisnots vai notiesāts saskaņā ar šīs valsts likumu un soda izciešanas noteikumiem. Kā atzinusi Satversmes tiesa</w:t>
      </w:r>
      <w:r w:rsidR="00863B08">
        <w:t>,</w:t>
      </w:r>
      <w:r>
        <w:t xml:space="preserve"> š</w:t>
      </w:r>
      <w:r w:rsidR="00863B08">
        <w:t>is</w:t>
      </w:r>
      <w:r>
        <w:t xml:space="preserve"> princips izriet arī no Latvijas Republikas Satversmes 92.panta </w:t>
      </w:r>
      <w:r w:rsidR="00863B08">
        <w:t xml:space="preserve">pirmā teikuma (ikviens var aizstāvēt savas tiesības un likumiskās intereses taisnīgā tiesā) un attiecas uz krimināltiesību jomu. </w:t>
      </w:r>
      <w:r w:rsidR="001F459E">
        <w:t>Viens no kritērijiem, kas jānosaka, izvērtējot</w:t>
      </w:r>
      <w:r>
        <w:t xml:space="preserve">, vai sodam piemīt krimināltiesisks raksturs, </w:t>
      </w:r>
      <w:r w:rsidR="001F459E">
        <w:t xml:space="preserve">ir </w:t>
      </w:r>
      <w:r>
        <w:t xml:space="preserve">sankcijas atbilstība vai neatbilstība krimināltiesībām pēc tās veida vai smaguma </w:t>
      </w:r>
      <w:r w:rsidR="00863B08">
        <w:t>(</w:t>
      </w:r>
      <w:r w:rsidR="00863B08" w:rsidRPr="00875BE6">
        <w:rPr>
          <w:i/>
          <w:iCs/>
        </w:rPr>
        <w:t>Satversmes tiesas 2012.gada 18.oktobra sprieduma lietā Nr. </w:t>
      </w:r>
      <w:hyperlink r:id="rId8" w:anchor="search=2012-02-0106" w:history="1">
        <w:r w:rsidR="00863B08" w:rsidRPr="00D465D3">
          <w:rPr>
            <w:rStyle w:val="Hyperlink"/>
            <w:i/>
            <w:iCs/>
          </w:rPr>
          <w:t>2012-02-0106</w:t>
        </w:r>
      </w:hyperlink>
      <w:r w:rsidR="00863B08" w:rsidRPr="00875BE6">
        <w:rPr>
          <w:i/>
          <w:iCs/>
        </w:rPr>
        <w:t xml:space="preserve"> 1</w:t>
      </w:r>
      <w:r w:rsidR="00863B08">
        <w:rPr>
          <w:i/>
          <w:iCs/>
        </w:rPr>
        <w:t>1</w:t>
      </w:r>
      <w:r w:rsidR="00863B08" w:rsidRPr="00875BE6">
        <w:rPr>
          <w:i/>
          <w:iCs/>
        </w:rPr>
        <w:t>.</w:t>
      </w:r>
      <w:r w:rsidR="00863B08">
        <w:rPr>
          <w:i/>
          <w:iCs/>
        </w:rPr>
        <w:t>2. un 13.</w:t>
      </w:r>
      <w:r w:rsidR="00863B08" w:rsidRPr="00875BE6">
        <w:rPr>
          <w:i/>
          <w:iCs/>
        </w:rPr>
        <w:t>punkts</w:t>
      </w:r>
      <w:r w:rsidRPr="00863B08">
        <w:rPr>
          <w:i/>
          <w:iCs/>
        </w:rPr>
        <w:t xml:space="preserve"> </w:t>
      </w:r>
      <w:r w:rsidRPr="00ED74DA">
        <w:t>un tajā norādītā judikatūra</w:t>
      </w:r>
      <w:r>
        <w:t>)</w:t>
      </w:r>
      <w:r w:rsidR="006728B7">
        <w:t xml:space="preserve">. </w:t>
      </w:r>
    </w:p>
    <w:p w14:paraId="3A18F1FA" w14:textId="48CF9E3C" w:rsidR="00E463A3" w:rsidRDefault="009A4854" w:rsidP="00F87276">
      <w:pPr>
        <w:spacing w:line="276" w:lineRule="auto"/>
        <w:ind w:firstLine="720"/>
        <w:jc w:val="both"/>
      </w:pPr>
      <w:r>
        <w:t>Disc</w:t>
      </w:r>
      <w:r w:rsidR="00FA5823">
        <w:t>i</w:t>
      </w:r>
      <w:r>
        <w:t xml:space="preserve">plinārpārkāpuma objekts (aizsargājamā interese) ir dienesta pienākumu izpilde. </w:t>
      </w:r>
      <w:r w:rsidR="00FA5823">
        <w:t xml:space="preserve">Disciplinārsods </w:t>
      </w:r>
      <w:r w:rsidR="00D0032F">
        <w:t>ir disciplinārpārkāpuma sekas</w:t>
      </w:r>
      <w:r w:rsidR="0083118E">
        <w:t xml:space="preserve">. </w:t>
      </w:r>
      <w:r w:rsidR="009B5A2D">
        <w:t>Disciplinārsoda piemērošanas gadījumā</w:t>
      </w:r>
      <w:r w:rsidR="006B7B98">
        <w:t xml:space="preserve"> tiek samazinātas no dienesta attiecībām izrietošās tiesības</w:t>
      </w:r>
      <w:r w:rsidR="00E463A3">
        <w:t xml:space="preserve"> vai</w:t>
      </w:r>
      <w:r w:rsidR="00D0032F">
        <w:t>,</w:t>
      </w:r>
      <w:r w:rsidR="00E463A3">
        <w:t xml:space="preserve"> kā izskatāmajā gadījumā</w:t>
      </w:r>
      <w:r w:rsidR="00D0032F">
        <w:t>,</w:t>
      </w:r>
      <w:r w:rsidR="00E463A3">
        <w:t xml:space="preserve"> tiek pārtrauktas dienesta attiecības</w:t>
      </w:r>
      <w:r w:rsidR="006B7B98">
        <w:t xml:space="preserve">. </w:t>
      </w:r>
      <w:r>
        <w:t>Savukārt j</w:t>
      </w:r>
      <w:r w:rsidR="00FE21D2">
        <w:t xml:space="preserve">a </w:t>
      </w:r>
      <w:r w:rsidR="00E463A3">
        <w:t>person</w:t>
      </w:r>
      <w:r w:rsidR="00FE21D2">
        <w:t>a tiek saukta</w:t>
      </w:r>
      <w:r w:rsidR="00E463A3">
        <w:t xml:space="preserve"> pie kriminālatbildības, personai tiek </w:t>
      </w:r>
      <w:r w:rsidR="00FE21D2">
        <w:t xml:space="preserve">noteikts sods (pienākums), kura izpilde </w:t>
      </w:r>
      <w:r w:rsidR="00D0032F">
        <w:t xml:space="preserve">tiek nodrošināta </w:t>
      </w:r>
      <w:r w:rsidR="00FE21D2">
        <w:t>ar piespiedu līdzekļiem</w:t>
      </w:r>
      <w:r w:rsidR="00E463A3">
        <w:t>.</w:t>
      </w:r>
      <w:r w:rsidR="00FE21D2">
        <w:t xml:space="preserve"> </w:t>
      </w:r>
      <w:r w:rsidR="00D323D9">
        <w:t xml:space="preserve">Tādējādi </w:t>
      </w:r>
      <w:r w:rsidR="00D0032F">
        <w:t xml:space="preserve">disciplinārsoda, arī atbrīvošanas no amata, </w:t>
      </w:r>
      <w:r w:rsidR="00D323D9">
        <w:t xml:space="preserve">smaguma pakāpe neiegūst krimināltiesisku raksturu. </w:t>
      </w:r>
      <w:r w:rsidR="00D0032F">
        <w:t xml:space="preserve">Tāpēc </w:t>
      </w:r>
      <w:r w:rsidR="00D323D9">
        <w:t>disciplināratbildības piemērošana par konkrētu darbību (bezdarbību) neizslēdz kriminālatbildības piemērošan</w:t>
      </w:r>
      <w:r>
        <w:t>u</w:t>
      </w:r>
      <w:r w:rsidR="00D323D9">
        <w:t xml:space="preserve"> par šo pašu darbību (bezdarbību).</w:t>
      </w:r>
      <w:r w:rsidR="009B4050">
        <w:t xml:space="preserve"> </w:t>
      </w:r>
      <w:r w:rsidR="006C15F0">
        <w:t>A</w:t>
      </w:r>
      <w:r w:rsidR="009B5A2D">
        <w:t xml:space="preserve">pstāklis, ka par to pašu darbību (bezdarbību) </w:t>
      </w:r>
      <w:r w:rsidR="00AC6965">
        <w:t>uzsākts kriminālprocess</w:t>
      </w:r>
      <w:r w:rsidR="009B5A2D">
        <w:t xml:space="preserve">, nav šķērslis </w:t>
      </w:r>
      <w:r w:rsidR="00DC494E">
        <w:t>amatpersonai piemērot disciplinārsodu</w:t>
      </w:r>
      <w:r w:rsidR="00AC6965">
        <w:t xml:space="preserve"> pirms </w:t>
      </w:r>
      <w:r w:rsidR="00751FAA">
        <w:t xml:space="preserve">attiecīgo kriminālprocesu </w:t>
      </w:r>
      <w:r w:rsidR="00AC6965">
        <w:t>noslēdzošā nolēmuma spēkā stāšanās</w:t>
      </w:r>
      <w:r w:rsidR="00DC494E">
        <w:t xml:space="preserve">. </w:t>
      </w:r>
      <w:r w:rsidR="006C15F0">
        <w:t xml:space="preserve">Tas arī nav atzīstams par </w:t>
      </w:r>
      <w:r w:rsidR="009B4050">
        <w:t>dubultās sodīšanas nepieļaujamības principa pārkāpum</w:t>
      </w:r>
      <w:r w:rsidR="006C15F0">
        <w:t>u</w:t>
      </w:r>
      <w:r w:rsidR="00DA714E">
        <w:t xml:space="preserve"> (</w:t>
      </w:r>
      <w:r w:rsidR="00DC2A9F">
        <w:t>s</w:t>
      </w:r>
      <w:r w:rsidR="00F37DBA">
        <w:t>al.</w:t>
      </w:r>
      <w:r w:rsidR="00DC2A9F">
        <w:t xml:space="preserve"> </w:t>
      </w:r>
      <w:r w:rsidR="00DA714E" w:rsidRPr="00005297">
        <w:rPr>
          <w:i/>
          <w:iCs/>
        </w:rPr>
        <w:t>Eiropas Cilvēktiesību tiesas 2005.gada 18.oktobra lēmums lietā „Banfield v. the United Kingdom”, iesnieguma Nr. </w:t>
      </w:r>
      <w:hyperlink r:id="rId9" w:history="1">
        <w:r w:rsidR="00DA714E" w:rsidRPr="00005297">
          <w:rPr>
            <w:rStyle w:val="Hyperlink"/>
            <w:i/>
            <w:iCs/>
          </w:rPr>
          <w:t>6223/04</w:t>
        </w:r>
      </w:hyperlink>
      <w:r w:rsidR="00005297" w:rsidRPr="00835263">
        <w:rPr>
          <w:rStyle w:val="Hyperlink"/>
          <w:color w:val="auto"/>
          <w:u w:val="none"/>
        </w:rPr>
        <w:t xml:space="preserve">; </w:t>
      </w:r>
      <w:r w:rsidR="00005297" w:rsidRPr="00005297">
        <w:rPr>
          <w:i/>
          <w:iCs/>
        </w:rPr>
        <w:t xml:space="preserve">Senāta 2023.gada 17.maija lēmuma lietā Nr. SKK-40/2023, </w:t>
      </w:r>
      <w:hyperlink r:id="rId10" w:history="1">
        <w:r w:rsidR="00005297" w:rsidRPr="006F4EFD">
          <w:rPr>
            <w:rStyle w:val="Hyperlink"/>
            <w:i/>
            <w:iCs/>
          </w:rPr>
          <w:t>ECLI:LV:AT:2023:0517.16870001412.8.L</w:t>
        </w:r>
      </w:hyperlink>
      <w:r w:rsidR="00DC2A9F">
        <w:rPr>
          <w:i/>
          <w:iCs/>
        </w:rPr>
        <w:t>,</w:t>
      </w:r>
      <w:r w:rsidR="00005297" w:rsidRPr="00005297">
        <w:rPr>
          <w:i/>
          <w:iCs/>
        </w:rPr>
        <w:t xml:space="preserve"> 14. punkts</w:t>
      </w:r>
      <w:r w:rsidR="00DC2A9F">
        <w:rPr>
          <w:i/>
          <w:iCs/>
        </w:rPr>
        <w:t>,</w:t>
      </w:r>
      <w:r w:rsidR="00005297" w:rsidRPr="00005297">
        <w:rPr>
          <w:i/>
          <w:iCs/>
        </w:rPr>
        <w:t xml:space="preserve"> 2020.gada 30. marta rīcības sēdes lēmuma lietā </w:t>
      </w:r>
      <w:r w:rsidR="00005297" w:rsidRPr="00806AAE">
        <w:rPr>
          <w:i/>
          <w:iCs/>
        </w:rPr>
        <w:t>Nr. SKA-925/2020</w:t>
      </w:r>
      <w:r w:rsidR="00DC2A9F" w:rsidRPr="00806AAE">
        <w:rPr>
          <w:i/>
          <w:iCs/>
        </w:rPr>
        <w:t>,</w:t>
      </w:r>
      <w:r w:rsidR="00005297" w:rsidRPr="00806AAE">
        <w:rPr>
          <w:i/>
          <w:iCs/>
        </w:rPr>
        <w:t xml:space="preserve"> ECLI:LV:AT:2020:0330.A420165419.9.L</w:t>
      </w:r>
      <w:r w:rsidR="00DC2A9F">
        <w:rPr>
          <w:i/>
          <w:iCs/>
        </w:rPr>
        <w:t>,</w:t>
      </w:r>
      <w:r w:rsidR="00005297" w:rsidRPr="00005297">
        <w:rPr>
          <w:i/>
          <w:iCs/>
        </w:rPr>
        <w:t xml:space="preserve"> 4. punkts, 2015.gada 14.decembra rīcības sēdes lēmuma lietā </w:t>
      </w:r>
      <w:r w:rsidR="00005297" w:rsidRPr="00806AAE">
        <w:rPr>
          <w:i/>
          <w:iCs/>
        </w:rPr>
        <w:t>Nr. SKA-1092/2015</w:t>
      </w:r>
      <w:r w:rsidR="00DC2A9F" w:rsidRPr="00806AAE">
        <w:rPr>
          <w:i/>
          <w:iCs/>
        </w:rPr>
        <w:t>,</w:t>
      </w:r>
      <w:r w:rsidR="00005297" w:rsidRPr="00806AAE">
        <w:rPr>
          <w:i/>
          <w:iCs/>
        </w:rPr>
        <w:t xml:space="preserve"> A420601012</w:t>
      </w:r>
      <w:r w:rsidR="00DC2A9F">
        <w:rPr>
          <w:i/>
          <w:iCs/>
        </w:rPr>
        <w:t>,</w:t>
      </w:r>
      <w:r w:rsidR="00005297" w:rsidRPr="00005297">
        <w:rPr>
          <w:i/>
          <w:iCs/>
        </w:rPr>
        <w:t xml:space="preserve"> 7.–8. punkts</w:t>
      </w:r>
      <w:r w:rsidR="00005297">
        <w:t>).</w:t>
      </w:r>
    </w:p>
    <w:p w14:paraId="48EC83CB" w14:textId="77777777" w:rsidR="00E463A3" w:rsidRDefault="00E463A3" w:rsidP="00F87276">
      <w:pPr>
        <w:spacing w:line="276" w:lineRule="auto"/>
        <w:ind w:firstLine="720"/>
        <w:jc w:val="both"/>
      </w:pPr>
    </w:p>
    <w:p w14:paraId="111F25D9" w14:textId="30A2EE61" w:rsidR="00594C79" w:rsidRDefault="00594C79" w:rsidP="00F87276">
      <w:pPr>
        <w:spacing w:line="276" w:lineRule="auto"/>
        <w:ind w:firstLine="720"/>
        <w:jc w:val="both"/>
      </w:pPr>
      <w:r w:rsidRPr="009031CC">
        <w:lastRenderedPageBreak/>
        <w:t>[</w:t>
      </w:r>
      <w:r w:rsidR="006C15F0">
        <w:t>3</w:t>
      </w:r>
      <w:r w:rsidRPr="009031CC">
        <w:t>] </w:t>
      </w:r>
      <w:r w:rsidR="00A36927" w:rsidRPr="009031CC">
        <w:t>Pieteicēj</w:t>
      </w:r>
      <w:r w:rsidR="00BC61B9">
        <w:t xml:space="preserve">a </w:t>
      </w:r>
      <w:r w:rsidR="00E50E37">
        <w:t>kasācijas sūdzībā apšauba kriminālprocesā vēl nepārbaudītu dokumentu izmantošanu tiesas sprieduma pamatošanai izskatāmajā lietā</w:t>
      </w:r>
      <w:r w:rsidR="00D25054">
        <w:t xml:space="preserve">. </w:t>
      </w:r>
    </w:p>
    <w:p w14:paraId="0F8BCFA5" w14:textId="28E493ED" w:rsidR="00AE48D9" w:rsidRDefault="00577EDA" w:rsidP="00F87276">
      <w:pPr>
        <w:spacing w:line="276" w:lineRule="auto"/>
        <w:ind w:firstLine="720"/>
        <w:jc w:val="both"/>
      </w:pPr>
      <w:r>
        <w:t xml:space="preserve">Šāds pieteicējas viedoklis nav pamatots. </w:t>
      </w:r>
      <w:r w:rsidR="00C503EE">
        <w:t>A</w:t>
      </w:r>
      <w:r w:rsidR="000C224C">
        <w:t xml:space="preserve">pstāklis, ka kriminālprocesā iegūtie pierādījumi vēl nav pārbaudīti tiesā Kriminālprocesa likumā noteiktajā kārtībā, nav šķērslis šo pierādījumu pieļaujamībai administratīvajā lietā. Tiesa pati administratīvajā procesā izvērtē minēto pierādījumu nozīmi būtisko faktu pierādīšanā administratīvajā lietā neatkarīgi no kriminālprocesa virzības, jo abi procesi (kriminālprocess un administratīvais process) ir patstāvīgi un nav atkarīgi viens no otra, tostarp attiecībā uz iegūto pierādījumu novērtējumu </w:t>
      </w:r>
      <w:r w:rsidR="000C224C" w:rsidRPr="00FB4721">
        <w:t>(</w:t>
      </w:r>
      <w:r w:rsidR="000C224C" w:rsidRPr="006C15F0">
        <w:t>piemēram,</w:t>
      </w:r>
      <w:r w:rsidR="000C224C" w:rsidRPr="00FB4721">
        <w:rPr>
          <w:i/>
          <w:iCs/>
        </w:rPr>
        <w:t xml:space="preserve"> Senāta 2018.gada 10.jūlija sprieduma lietā Nr.</w:t>
      </w:r>
      <w:r w:rsidR="00C3141E">
        <w:rPr>
          <w:i/>
          <w:iCs/>
        </w:rPr>
        <w:t> </w:t>
      </w:r>
      <w:r w:rsidR="000C224C" w:rsidRPr="00FB4721">
        <w:rPr>
          <w:i/>
          <w:iCs/>
        </w:rPr>
        <w:t>SKA-51/2018</w:t>
      </w:r>
      <w:r w:rsidR="00DC2A9F">
        <w:rPr>
          <w:i/>
          <w:iCs/>
        </w:rPr>
        <w:t>,</w:t>
      </w:r>
      <w:r w:rsidR="000C224C" w:rsidRPr="00FB4721">
        <w:rPr>
          <w:i/>
          <w:iCs/>
        </w:rPr>
        <w:t xml:space="preserve"> </w:t>
      </w:r>
      <w:hyperlink r:id="rId11" w:history="1">
        <w:r w:rsidR="00FB4721" w:rsidRPr="00FB4721">
          <w:rPr>
            <w:rStyle w:val="Hyperlink"/>
            <w:i/>
            <w:iCs/>
          </w:rPr>
          <w:t>ECLI:LV:AT:2018:0710.A420599211.2.S</w:t>
        </w:r>
      </w:hyperlink>
      <w:r w:rsidR="00C81FFE">
        <w:rPr>
          <w:rStyle w:val="Hyperlink"/>
          <w:color w:val="auto"/>
          <w:u w:val="none"/>
        </w:rPr>
        <w:t>,</w:t>
      </w:r>
      <w:r w:rsidR="000C224C" w:rsidRPr="00FB4721">
        <w:rPr>
          <w:i/>
          <w:iCs/>
        </w:rPr>
        <w:t xml:space="preserve"> 7.punkts</w:t>
      </w:r>
      <w:r w:rsidR="000C224C" w:rsidRPr="00FB4721">
        <w:t>).</w:t>
      </w:r>
      <w:r w:rsidR="00AE48D9">
        <w:t xml:space="preserve"> </w:t>
      </w:r>
    </w:p>
    <w:p w14:paraId="374C8F2A" w14:textId="77777777" w:rsidR="00635E41" w:rsidRDefault="00635E41" w:rsidP="00F87276">
      <w:pPr>
        <w:spacing w:line="276" w:lineRule="auto"/>
        <w:ind w:firstLine="720"/>
        <w:jc w:val="both"/>
      </w:pPr>
    </w:p>
    <w:p w14:paraId="1AD482EA" w14:textId="00C20983" w:rsidR="000561A4" w:rsidRDefault="00A0662B" w:rsidP="00F87276">
      <w:pPr>
        <w:spacing w:line="276" w:lineRule="auto"/>
        <w:ind w:firstLine="720"/>
        <w:jc w:val="both"/>
      </w:pPr>
      <w:r>
        <w:t>[</w:t>
      </w:r>
      <w:r w:rsidR="00E50E37">
        <w:t>4</w:t>
      </w:r>
      <w:r>
        <w:t>] </w:t>
      </w:r>
      <w:r w:rsidR="000561A4">
        <w:t xml:space="preserve">Kasācijas sūdzībā arī norādīts, ka </w:t>
      </w:r>
      <w:r w:rsidR="000561A4" w:rsidRPr="00B934EF">
        <w:t>tiesa</w:t>
      </w:r>
      <w:r w:rsidR="000561A4">
        <w:t xml:space="preserve"> nav izlēmusi visus </w:t>
      </w:r>
      <w:r w:rsidR="00B572DA">
        <w:t>pieteiktos</w:t>
      </w:r>
      <w:r w:rsidR="000561A4">
        <w:t xml:space="preserve"> lūgumus, kā arī nav</w:t>
      </w:r>
      <w:r w:rsidR="000561A4" w:rsidRPr="00B934EF">
        <w:t xml:space="preserve"> individuāli analizē</w:t>
      </w:r>
      <w:r w:rsidR="000561A4">
        <w:t>jusi</w:t>
      </w:r>
      <w:r w:rsidR="000561A4" w:rsidRPr="00B934EF">
        <w:t xml:space="preserve"> un vērtē</w:t>
      </w:r>
      <w:r w:rsidR="000561A4">
        <w:t>jusi</w:t>
      </w:r>
      <w:r w:rsidR="000561A4" w:rsidRPr="00B934EF">
        <w:t xml:space="preserve"> pierādījumus lietā.</w:t>
      </w:r>
      <w:r w:rsidR="000561A4">
        <w:t xml:space="preserve"> </w:t>
      </w:r>
      <w:r w:rsidR="008C070F">
        <w:t>Pēc p</w:t>
      </w:r>
      <w:r w:rsidR="000561A4">
        <w:t xml:space="preserve">ieteicējas </w:t>
      </w:r>
      <w:r w:rsidR="008C070F">
        <w:t xml:space="preserve">ieskata, </w:t>
      </w:r>
      <w:r w:rsidR="000561A4">
        <w:t>tiesa lietā nav vērtējusi arī lielāko daļu pieteicējas izteikto argumentu, tādā veidā pārkāpjot objektīvās izmeklēšanas un procesuālā taisnīguma principus. Tāpat pieteicēja kasācijas sūdzībā ir uzskaitījusi virkni administratīvā procesa principu, kurus</w:t>
      </w:r>
      <w:r w:rsidR="00634350">
        <w:t>,</w:t>
      </w:r>
      <w:r w:rsidR="000561A4">
        <w:t xml:space="preserve"> </w:t>
      </w:r>
      <w:r w:rsidR="00634350">
        <w:t xml:space="preserve">pēc </w:t>
      </w:r>
      <w:r w:rsidR="000561A4">
        <w:t>pieteicējas ieskat</w:t>
      </w:r>
      <w:r w:rsidR="00634350">
        <w:t xml:space="preserve">a, </w:t>
      </w:r>
      <w:r w:rsidR="000561A4">
        <w:t xml:space="preserve">tiesa </w:t>
      </w:r>
      <w:r w:rsidR="00B721BE">
        <w:t xml:space="preserve">ir </w:t>
      </w:r>
      <w:r w:rsidR="000561A4">
        <w:t>pārkāpusi.</w:t>
      </w:r>
    </w:p>
    <w:p w14:paraId="76E8F85D" w14:textId="41AD6982" w:rsidR="00577EDA" w:rsidRDefault="00577EDA" w:rsidP="00F87276">
      <w:pPr>
        <w:spacing w:line="276" w:lineRule="auto"/>
        <w:ind w:firstLine="720"/>
        <w:jc w:val="both"/>
      </w:pPr>
      <w:r>
        <w:t xml:space="preserve">Kasācijas sūdzībā nav norādīts nedz tas, kādus lūgumus tiesa nav izlēmusi, nedz arī kādi pierādījumi nav vērtēti. Šādus vispārīgus apgalvojumus nav iespējams pārbaudīt un novērtēt, </w:t>
      </w:r>
      <w:r w:rsidR="009870E0">
        <w:t xml:space="preserve">un </w:t>
      </w:r>
      <w:r>
        <w:t xml:space="preserve">tie neliecina par tiesas pieļautu tiesību normu pārkāpumu un nerada pamatu kasācijas tiesvedības ierosināšanai. Šādu pamatu nerada arī pieteicējas vispārīgi uzskaitītie </w:t>
      </w:r>
      <w:r w:rsidR="00042C4C">
        <w:t xml:space="preserve">administratīvā procesa </w:t>
      </w:r>
      <w:r>
        <w:t>principu pārkāpumi</w:t>
      </w:r>
      <w:r w:rsidR="00B721BE">
        <w:t xml:space="preserve"> </w:t>
      </w:r>
      <w:r w:rsidR="00634350">
        <w:t xml:space="preserve">bez </w:t>
      </w:r>
      <w:r w:rsidR="00B721BE">
        <w:t xml:space="preserve">to </w:t>
      </w:r>
      <w:r w:rsidR="00634350">
        <w:t xml:space="preserve">saistības </w:t>
      </w:r>
      <w:r w:rsidR="00B721BE">
        <w:t>ar konkrēt</w:t>
      </w:r>
      <w:r w:rsidR="00F814FF">
        <w:t>iem apgabaltiesas sprieduma secinājumiem</w:t>
      </w:r>
      <w:r>
        <w:t xml:space="preserve">. </w:t>
      </w:r>
    </w:p>
    <w:p w14:paraId="0253ABC7" w14:textId="41B02480" w:rsidR="005C6A76" w:rsidRDefault="005C6A76" w:rsidP="00F87276">
      <w:pPr>
        <w:spacing w:line="276" w:lineRule="auto"/>
        <w:ind w:firstLine="720"/>
        <w:jc w:val="both"/>
      </w:pPr>
      <w:r>
        <w:t>Senatoru kolēģija arī norāda: kasācijas instances tiesas kompetencē ir pārbaudīt apelācijas instances tiesas sprieduma tiesiskumu</w:t>
      </w:r>
      <w:r w:rsidR="00F814FF">
        <w:t>.</w:t>
      </w:r>
      <w:r>
        <w:t xml:space="preserve"> </w:t>
      </w:r>
      <w:r w:rsidR="00F814FF">
        <w:t>T</w:t>
      </w:r>
      <w:r>
        <w:t>āpēc senatoru kolēģija nevērtē kasācijas sūdzībā izteiktos iebildumus par pirmās instances tiesas sprieduma pamatotību.</w:t>
      </w:r>
    </w:p>
    <w:p w14:paraId="65AF1676" w14:textId="5EF1A2AB" w:rsidR="000561A4" w:rsidRDefault="000561A4" w:rsidP="00F87276">
      <w:pPr>
        <w:spacing w:line="276" w:lineRule="auto"/>
        <w:ind w:firstLine="720"/>
        <w:jc w:val="both"/>
      </w:pPr>
    </w:p>
    <w:p w14:paraId="03457181" w14:textId="4CCDA371" w:rsidR="0044453D" w:rsidRDefault="003E4B36" w:rsidP="00F87276">
      <w:pPr>
        <w:spacing w:line="276" w:lineRule="auto"/>
        <w:ind w:firstLine="720"/>
        <w:jc w:val="both"/>
      </w:pPr>
      <w:r>
        <w:t>[5] </w:t>
      </w:r>
      <w:r w:rsidR="003540FF">
        <w:t>Pieteicēja kasācijas sūdzībā skaidro lietas faktiskos apstākļus un apšauba apelācijas instances tiesas secinājumus par lietā esošajiem pierādījumiem. Senatoru kolēģija atgādina, ka lietas faktisko apstākļu un pierādījumu vērtēšana atbilstoši Administratīvā procesa likuma 325.pantam neietilpst kasācijas instances tiesas kompetencē. Līdz ar to argumenti, kas vērsti uz lietas apstākļu un pierādījumu pārvērtēšanu, kasācijas instances tiesā nav pieļaujami un nerada pamatu kasācijas tiesvedības ierosināšanai (</w:t>
      </w:r>
      <w:r w:rsidR="00A8658C">
        <w:t xml:space="preserve">piemēram, </w:t>
      </w:r>
      <w:r w:rsidR="003540FF" w:rsidRPr="00ED74DA">
        <w:rPr>
          <w:i/>
          <w:iCs/>
        </w:rPr>
        <w:t>Senāta 2018.gada 13.februāra sprieduma lietā Nr.</w:t>
      </w:r>
      <w:r w:rsidR="00A8658C" w:rsidRPr="00ED74DA">
        <w:rPr>
          <w:i/>
          <w:iCs/>
        </w:rPr>
        <w:t> </w:t>
      </w:r>
      <w:r w:rsidR="003540FF" w:rsidRPr="00ED74DA">
        <w:rPr>
          <w:i/>
          <w:iCs/>
        </w:rPr>
        <w:t xml:space="preserve">SKA-92/2018, </w:t>
      </w:r>
      <w:hyperlink r:id="rId12" w:history="1">
        <w:r w:rsidR="003540FF" w:rsidRPr="002F5B09">
          <w:rPr>
            <w:rStyle w:val="Hyperlink"/>
            <w:i/>
            <w:iCs/>
          </w:rPr>
          <w:t>ECLI:LV:AT:2018:0213.A420433513.2.S</w:t>
        </w:r>
      </w:hyperlink>
      <w:r w:rsidR="003540FF" w:rsidRPr="00ED74DA">
        <w:rPr>
          <w:i/>
          <w:iCs/>
        </w:rPr>
        <w:t>, 7.punkts</w:t>
      </w:r>
      <w:r w:rsidR="003540FF">
        <w:t xml:space="preserve"> un tajā norādītie nolēmumi).</w:t>
      </w:r>
    </w:p>
    <w:p w14:paraId="2B138DA3" w14:textId="77777777" w:rsidR="000D0DF2" w:rsidRDefault="000D0DF2" w:rsidP="00F87276">
      <w:pPr>
        <w:spacing w:line="276" w:lineRule="auto"/>
        <w:jc w:val="both"/>
      </w:pPr>
    </w:p>
    <w:p w14:paraId="7F4424F9" w14:textId="69D45702" w:rsidR="00E817E6" w:rsidRDefault="00E817E6" w:rsidP="00F87276">
      <w:pPr>
        <w:spacing w:line="276" w:lineRule="auto"/>
        <w:ind w:firstLine="720"/>
        <w:jc w:val="both"/>
      </w:pPr>
      <w:r>
        <w:t>[</w:t>
      </w:r>
      <w:r w:rsidR="00A8658C">
        <w:t>6</w:t>
      </w:r>
      <w:r>
        <w:t xml:space="preserve">] Kasācijas sūdzībā norādīts, ka tiesa pārkāpusi patvaļas aizlieguma principu, jo nepamatoti noraidīja lūgumu par lietas izskatīšanu mutvārdu procesā. </w:t>
      </w:r>
      <w:r w:rsidR="00634350">
        <w:t>Pēc p</w:t>
      </w:r>
      <w:r>
        <w:t>ieteicējas ieskat</w:t>
      </w:r>
      <w:r w:rsidR="00634350">
        <w:t xml:space="preserve">a, </w:t>
      </w:r>
      <w:r>
        <w:t>k</w:t>
      </w:r>
      <w:r w:rsidRPr="00E8581C">
        <w:t xml:space="preserve">atru iesniegto dokumentu </w:t>
      </w:r>
      <w:r>
        <w:t xml:space="preserve">bija nepieciešams </w:t>
      </w:r>
      <w:r w:rsidRPr="00E8581C">
        <w:t xml:space="preserve">pārbaudīt tiesas sēdē, </w:t>
      </w:r>
      <w:r>
        <w:t xml:space="preserve">lai pieteicēja varētu </w:t>
      </w:r>
      <w:r w:rsidRPr="0011492A">
        <w:t xml:space="preserve">atkārtoti vērst tiesas uzmanību </w:t>
      </w:r>
      <w:r>
        <w:t xml:space="preserve">uz kriminālprocesu, kas vēl nav noslēdzies, </w:t>
      </w:r>
      <w:r w:rsidRPr="0011492A">
        <w:t>un izteikties par katru liet</w:t>
      </w:r>
      <w:r>
        <w:t>ā</w:t>
      </w:r>
      <w:r w:rsidRPr="0011492A">
        <w:t xml:space="preserve"> esošo pierādījumu</w:t>
      </w:r>
      <w:r>
        <w:t>.</w:t>
      </w:r>
    </w:p>
    <w:p w14:paraId="744B687B" w14:textId="3BC377BC" w:rsidR="00E817E6" w:rsidRDefault="00E817E6" w:rsidP="00F87276">
      <w:pPr>
        <w:spacing w:line="276" w:lineRule="auto"/>
        <w:ind w:firstLine="720"/>
        <w:jc w:val="both"/>
      </w:pPr>
      <w:r>
        <w:lastRenderedPageBreak/>
        <w:t>Senatoru kolēģija norāda, ka tiesas objektivitāte un nolēmuma pamatotība nekādā gadījumā nav atkarīga no lietas izskatīšanas veida. Rakstveida procesā</w:t>
      </w:r>
      <w:r w:rsidR="00251F8D">
        <w:t xml:space="preserve">, </w:t>
      </w:r>
      <w:r w:rsidR="00B76121">
        <w:t xml:space="preserve">tieši </w:t>
      </w:r>
      <w:r w:rsidR="00251F8D">
        <w:t>tāpat kā mutvārdu procesā,</w:t>
      </w:r>
      <w:r>
        <w:t xml:space="preserve"> procesa dalībniekiem nav ierobežotas iespējas izteikties par pierādījumu pieļaujamību, ticamību un attiecināmību. Kasācijas sūdzībā nav vērsta uzmanība uz kādiem konkrētiem būtiskiem apstākļiem, par kuriem pieteicēja nav varējusi izteikties rakstveidā</w:t>
      </w:r>
      <w:r w:rsidR="00FA4845">
        <w:t>,</w:t>
      </w:r>
      <w:r>
        <w:t xml:space="preserve"> </w:t>
      </w:r>
      <w:r w:rsidR="00D80AF1">
        <w:t>vai uz</w:t>
      </w:r>
      <w:r w:rsidR="00FA4845">
        <w:t xml:space="preserve"> iespējamiem pārkāpumiem rakstveida procesā, </w:t>
      </w:r>
      <w:r>
        <w:t>kas tieši viņai liedza izteikt papildu iebildumus.</w:t>
      </w:r>
    </w:p>
    <w:p w14:paraId="01C1B4DD" w14:textId="77777777" w:rsidR="00E817E6" w:rsidRPr="001915E0" w:rsidRDefault="00E817E6" w:rsidP="00F87276">
      <w:pPr>
        <w:spacing w:line="276" w:lineRule="auto"/>
        <w:jc w:val="both"/>
      </w:pPr>
    </w:p>
    <w:p w14:paraId="52CCB8B3" w14:textId="64AFD8EC" w:rsidR="00663ECD" w:rsidRPr="00D52737" w:rsidRDefault="00663ECD" w:rsidP="00F87276">
      <w:pPr>
        <w:spacing w:line="276" w:lineRule="auto"/>
        <w:ind w:firstLine="720"/>
        <w:jc w:val="both"/>
      </w:pPr>
      <w:r>
        <w:t>[</w:t>
      </w:r>
      <w:r w:rsidR="00A8658C">
        <w:t>7</w:t>
      </w:r>
      <w:r>
        <w:t>]</w:t>
      </w:r>
      <w:r w:rsidR="00E817E6">
        <w:t> Saskaņā ar Administratīvā procesa likuma 338.</w:t>
      </w:r>
      <w:r w:rsidR="00E817E6" w:rsidRPr="00E817E6">
        <w:rPr>
          <w:vertAlign w:val="superscript"/>
        </w:rPr>
        <w:t>1</w:t>
      </w:r>
      <w:r w:rsidR="00E817E6">
        <w:t>panta otrās daļas 2.punktu senatoru kolēģija var atteikties ierosināt kasācijas tiesvedību, ja, izvērtējot kasācijas sūdzībā minētos argumentus, nerodas šaubas par pārsūdzētā sprieduma tiesiskumu un izskatāmajai lietai nav nozīmes judikatūras veidošanā. Iepazīstoties ar kasācijas sūdzības argumentiem, senatoru kolēģijai nerodas šaubas par apgabaltiesas sprieduma tiesiskumu</w:t>
      </w:r>
      <w:r w:rsidR="00634350">
        <w:t>,</w:t>
      </w:r>
      <w:r w:rsidR="00E817E6">
        <w:t xml:space="preserve"> un lietā nav risināmi tādi tiesību jautājumi, kam ir nozīme judikatūras veidošanā. Līdz ar to kasācijas tiesvedības ierosināšanai lietā nav pamata un tiesvedība šajā lietā ir noslēgusies.</w:t>
      </w:r>
    </w:p>
    <w:p w14:paraId="50D99CD4" w14:textId="77777777" w:rsidR="00975225" w:rsidRDefault="00975225" w:rsidP="00F87276">
      <w:pPr>
        <w:spacing w:line="276" w:lineRule="auto"/>
        <w:ind w:firstLine="720"/>
        <w:jc w:val="both"/>
      </w:pPr>
    </w:p>
    <w:p w14:paraId="12D6908F" w14:textId="6903C641" w:rsidR="00663ECD" w:rsidRPr="00D52737" w:rsidRDefault="00663ECD" w:rsidP="00F87276">
      <w:pPr>
        <w:spacing w:line="276" w:lineRule="auto"/>
        <w:ind w:firstLine="720"/>
        <w:jc w:val="both"/>
      </w:pPr>
      <w:r w:rsidRPr="00D52737">
        <w:t>Pamatojoties uz Administratīvā procesa likuma 338.panta otro daļu un 338.</w:t>
      </w:r>
      <w:r w:rsidRPr="00D52737">
        <w:rPr>
          <w:vertAlign w:val="superscript"/>
        </w:rPr>
        <w:t>1</w:t>
      </w:r>
      <w:r w:rsidRPr="00D52737">
        <w:t>panta otrās daļas 2.punktu, senatoru kolēģija</w:t>
      </w:r>
    </w:p>
    <w:p w14:paraId="6571EC02" w14:textId="77777777" w:rsidR="00B6564B" w:rsidRDefault="00B6564B" w:rsidP="00F87276">
      <w:pPr>
        <w:spacing w:line="276" w:lineRule="auto"/>
        <w:ind w:firstLine="720"/>
        <w:jc w:val="both"/>
        <w:rPr>
          <w:rFonts w:asciiTheme="majorBidi" w:hAnsiTheme="majorBidi" w:cstheme="majorBidi"/>
        </w:rPr>
      </w:pPr>
    </w:p>
    <w:p w14:paraId="2395F4C5" w14:textId="77777777" w:rsidR="008D790A" w:rsidRPr="00AE48F4" w:rsidRDefault="008D790A" w:rsidP="00F87276">
      <w:pPr>
        <w:spacing w:line="276" w:lineRule="auto"/>
        <w:jc w:val="center"/>
        <w:rPr>
          <w:b/>
        </w:rPr>
      </w:pPr>
      <w:r w:rsidRPr="00AE48F4">
        <w:rPr>
          <w:b/>
        </w:rPr>
        <w:t>nolēma</w:t>
      </w:r>
    </w:p>
    <w:p w14:paraId="4ADBF565" w14:textId="77777777" w:rsidR="008D790A" w:rsidRPr="00AE48F4" w:rsidRDefault="008D790A" w:rsidP="00F87276">
      <w:pPr>
        <w:spacing w:line="276" w:lineRule="auto"/>
        <w:jc w:val="center"/>
        <w:rPr>
          <w:b/>
        </w:rPr>
      </w:pPr>
    </w:p>
    <w:p w14:paraId="7361F6A2" w14:textId="35CF0B94" w:rsidR="008D790A" w:rsidRDefault="008D790A" w:rsidP="00F87276">
      <w:pPr>
        <w:spacing w:line="276" w:lineRule="auto"/>
        <w:ind w:firstLine="720"/>
        <w:jc w:val="both"/>
      </w:pPr>
      <w:r>
        <w:t xml:space="preserve">atteikt ierosināt kasācijas tiesvedību </w:t>
      </w:r>
      <w:r w:rsidRPr="00AE48F4">
        <w:t xml:space="preserve">sakarā ar </w:t>
      </w:r>
      <w:r w:rsidR="00F87276">
        <w:t xml:space="preserve">[pers. A] </w:t>
      </w:r>
      <w:r w:rsidR="00A01CC2" w:rsidRPr="006008BC">
        <w:t>kasācijas sūdzīb</w:t>
      </w:r>
      <w:r w:rsidR="00A01CC2">
        <w:t>u</w:t>
      </w:r>
      <w:r w:rsidR="00A01CC2" w:rsidRPr="006008BC">
        <w:t xml:space="preserve"> par </w:t>
      </w:r>
      <w:r w:rsidR="00A60DA6" w:rsidRPr="006008BC">
        <w:t xml:space="preserve">Administratīvās </w:t>
      </w:r>
      <w:r w:rsidR="00A60DA6">
        <w:t>apgabaltiesas</w:t>
      </w:r>
      <w:r w:rsidR="00A60DA6" w:rsidRPr="006008BC">
        <w:t xml:space="preserve"> 202</w:t>
      </w:r>
      <w:r w:rsidR="00A60DA6">
        <w:t>3</w:t>
      </w:r>
      <w:r w:rsidR="00A60DA6" w:rsidRPr="006008BC">
        <w:t xml:space="preserve">.gada </w:t>
      </w:r>
      <w:r w:rsidR="00A60DA6">
        <w:t>20.janvāra spriedumu</w:t>
      </w:r>
      <w:r w:rsidRPr="00247639">
        <w:t>.</w:t>
      </w:r>
    </w:p>
    <w:p w14:paraId="103FA7FB" w14:textId="77777777" w:rsidR="008D790A" w:rsidRDefault="008D790A" w:rsidP="00F87276">
      <w:pPr>
        <w:spacing w:line="276" w:lineRule="auto"/>
        <w:ind w:firstLine="567"/>
        <w:jc w:val="both"/>
      </w:pPr>
    </w:p>
    <w:p w14:paraId="751BF6DC" w14:textId="77777777" w:rsidR="008D790A" w:rsidRDefault="008D790A" w:rsidP="00F87276">
      <w:pPr>
        <w:spacing w:line="276" w:lineRule="auto"/>
        <w:ind w:firstLine="720"/>
        <w:jc w:val="both"/>
      </w:pPr>
      <w:r w:rsidRPr="00247639">
        <w:t>Lēmums nav pārsūdzams.</w:t>
      </w:r>
    </w:p>
    <w:p w14:paraId="4CDA5C58" w14:textId="77777777" w:rsidR="008D790A" w:rsidRDefault="008D790A" w:rsidP="00F87276">
      <w:pPr>
        <w:spacing w:line="276" w:lineRule="auto"/>
        <w:ind w:firstLine="720"/>
        <w:jc w:val="both"/>
      </w:pPr>
    </w:p>
    <w:p w14:paraId="3457F76B" w14:textId="77777777" w:rsidR="00411B0E" w:rsidRDefault="00411B0E" w:rsidP="00F87276">
      <w:pPr>
        <w:spacing w:line="276" w:lineRule="auto"/>
        <w:ind w:firstLine="720"/>
        <w:jc w:val="both"/>
      </w:pPr>
    </w:p>
    <w:p w14:paraId="0191E0AB" w14:textId="67088FAD" w:rsidR="008D790A" w:rsidRDefault="008D790A" w:rsidP="00F87276">
      <w:pPr>
        <w:spacing w:line="276" w:lineRule="auto"/>
        <w:ind w:firstLine="720"/>
        <w:jc w:val="both"/>
      </w:pPr>
    </w:p>
    <w:p w14:paraId="4E7CD170" w14:textId="77777777" w:rsidR="00EF2B57" w:rsidRPr="00247639" w:rsidRDefault="00EF2B57" w:rsidP="00F87276">
      <w:pPr>
        <w:spacing w:line="276" w:lineRule="auto"/>
        <w:ind w:firstLine="720"/>
        <w:jc w:val="both"/>
      </w:pP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544"/>
        <w:gridCol w:w="2410"/>
      </w:tblGrid>
      <w:tr w:rsidR="008D790A" w14:paraId="5296B09F" w14:textId="77777777" w:rsidTr="00305595">
        <w:tc>
          <w:tcPr>
            <w:tcW w:w="2977" w:type="dxa"/>
          </w:tcPr>
          <w:p w14:paraId="5464BEFC" w14:textId="77777777" w:rsidR="008D790A" w:rsidRPr="00B126EF" w:rsidRDefault="008D790A" w:rsidP="00F87276">
            <w:pPr>
              <w:spacing w:line="276" w:lineRule="auto"/>
              <w:jc w:val="both"/>
              <w:rPr>
                <w:rFonts w:asciiTheme="majorBidi" w:hAnsiTheme="majorBidi" w:cstheme="majorBidi"/>
              </w:rPr>
            </w:pPr>
            <w:r w:rsidRPr="00B126EF">
              <w:rPr>
                <w:rFonts w:asciiTheme="majorBidi" w:hAnsiTheme="majorBidi" w:cstheme="majorBidi"/>
              </w:rPr>
              <w:t>Senatore V. Krūmiņa</w:t>
            </w:r>
          </w:p>
        </w:tc>
        <w:tc>
          <w:tcPr>
            <w:tcW w:w="3544" w:type="dxa"/>
          </w:tcPr>
          <w:p w14:paraId="37FFB299" w14:textId="240DAD56" w:rsidR="008D790A" w:rsidRPr="00A25C38" w:rsidRDefault="007937EC" w:rsidP="00F87276">
            <w:pPr>
              <w:spacing w:line="276" w:lineRule="auto"/>
              <w:rPr>
                <w:rFonts w:asciiTheme="majorBidi" w:hAnsiTheme="majorBidi" w:cstheme="majorBidi"/>
              </w:rPr>
            </w:pPr>
            <w:r>
              <w:rPr>
                <w:rFonts w:asciiTheme="majorBidi" w:hAnsiTheme="majorBidi" w:cstheme="majorBidi"/>
              </w:rPr>
              <w:t xml:space="preserve">        </w:t>
            </w:r>
            <w:r w:rsidR="008D790A" w:rsidRPr="00A25C38">
              <w:rPr>
                <w:rFonts w:asciiTheme="majorBidi" w:hAnsiTheme="majorBidi" w:cstheme="majorBidi"/>
              </w:rPr>
              <w:t>Senator</w:t>
            </w:r>
            <w:r w:rsidR="006C15F0">
              <w:rPr>
                <w:rFonts w:asciiTheme="majorBidi" w:hAnsiTheme="majorBidi" w:cstheme="majorBidi"/>
              </w:rPr>
              <w:t>s</w:t>
            </w:r>
            <w:r w:rsidR="008D790A" w:rsidRPr="00A25C38">
              <w:rPr>
                <w:rFonts w:asciiTheme="majorBidi" w:hAnsiTheme="majorBidi" w:cstheme="majorBidi"/>
              </w:rPr>
              <w:t xml:space="preserve"> </w:t>
            </w:r>
            <w:r w:rsidR="006C15F0">
              <w:rPr>
                <w:rFonts w:asciiTheme="majorBidi" w:hAnsiTheme="majorBidi" w:cstheme="majorBidi"/>
              </w:rPr>
              <w:t>J</w:t>
            </w:r>
            <w:r w:rsidR="008D790A" w:rsidRPr="00A25C38">
              <w:rPr>
                <w:rFonts w:asciiTheme="majorBidi" w:hAnsiTheme="majorBidi" w:cstheme="majorBidi"/>
              </w:rPr>
              <w:t>. </w:t>
            </w:r>
            <w:r w:rsidR="006C15F0">
              <w:rPr>
                <w:rFonts w:asciiTheme="majorBidi" w:hAnsiTheme="majorBidi" w:cstheme="majorBidi"/>
              </w:rPr>
              <w:t>Pleps</w:t>
            </w:r>
          </w:p>
        </w:tc>
        <w:tc>
          <w:tcPr>
            <w:tcW w:w="2410" w:type="dxa"/>
          </w:tcPr>
          <w:p w14:paraId="67736FD8" w14:textId="232DC2B0" w:rsidR="008D790A" w:rsidRPr="00A25C38" w:rsidRDefault="008D790A" w:rsidP="00F87276">
            <w:pPr>
              <w:spacing w:line="276" w:lineRule="auto"/>
              <w:ind w:right="-104"/>
              <w:jc w:val="both"/>
              <w:rPr>
                <w:rFonts w:asciiTheme="majorBidi" w:hAnsiTheme="majorBidi" w:cstheme="majorBidi"/>
              </w:rPr>
            </w:pPr>
            <w:r w:rsidRPr="00A25C38">
              <w:rPr>
                <w:rFonts w:asciiTheme="majorBidi" w:hAnsiTheme="majorBidi" w:cstheme="majorBidi"/>
              </w:rPr>
              <w:t xml:space="preserve">Senatore </w:t>
            </w:r>
            <w:r w:rsidR="006C15F0">
              <w:rPr>
                <w:rFonts w:asciiTheme="majorBidi" w:hAnsiTheme="majorBidi" w:cstheme="majorBidi"/>
              </w:rPr>
              <w:t>L</w:t>
            </w:r>
            <w:r w:rsidR="005D431D" w:rsidRPr="00A25C38">
              <w:rPr>
                <w:rFonts w:asciiTheme="majorBidi" w:hAnsiTheme="majorBidi" w:cstheme="majorBidi"/>
              </w:rPr>
              <w:t>.</w:t>
            </w:r>
            <w:r w:rsidR="00A25C38" w:rsidRPr="00A25C38">
              <w:rPr>
                <w:rFonts w:asciiTheme="majorBidi" w:hAnsiTheme="majorBidi" w:cstheme="majorBidi"/>
              </w:rPr>
              <w:t> </w:t>
            </w:r>
            <w:r w:rsidR="006C15F0">
              <w:rPr>
                <w:rFonts w:asciiTheme="majorBidi" w:hAnsiTheme="majorBidi" w:cstheme="majorBidi"/>
              </w:rPr>
              <w:t>Slica</w:t>
            </w:r>
          </w:p>
        </w:tc>
      </w:tr>
    </w:tbl>
    <w:p w14:paraId="7A02A6F7" w14:textId="77777777" w:rsidR="008D790A" w:rsidRDefault="008D790A" w:rsidP="00A87FF1">
      <w:pPr>
        <w:spacing w:line="276" w:lineRule="auto"/>
        <w:jc w:val="both"/>
      </w:pPr>
    </w:p>
    <w:p w14:paraId="031A0B3D" w14:textId="77777777" w:rsidR="006C15F0" w:rsidRDefault="006C15F0" w:rsidP="00A87FF1">
      <w:pPr>
        <w:spacing w:line="276" w:lineRule="auto"/>
        <w:jc w:val="both"/>
      </w:pPr>
    </w:p>
    <w:sectPr w:rsidR="006C15F0" w:rsidSect="00597A67">
      <w:footerReference w:type="default" r:id="rId13"/>
      <w:pgSz w:w="12240" w:h="15840"/>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C1BE2" w14:textId="77777777" w:rsidR="00750EA6" w:rsidRDefault="00750EA6" w:rsidP="00A24F1F">
      <w:r>
        <w:separator/>
      </w:r>
    </w:p>
  </w:endnote>
  <w:endnote w:type="continuationSeparator" w:id="0">
    <w:p w14:paraId="0136ACEF" w14:textId="77777777" w:rsidR="00750EA6" w:rsidRDefault="00750EA6" w:rsidP="00A24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charset w:val="00"/>
    <w:family w:val="auto"/>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4B48A" w14:textId="61E7874F" w:rsidR="00A24F1F" w:rsidRPr="00EF2B57" w:rsidRDefault="000444EA" w:rsidP="00A24F1F">
    <w:pPr>
      <w:pStyle w:val="Footer"/>
      <w:jc w:val="center"/>
      <w:rPr>
        <w:sz w:val="20"/>
        <w:szCs w:val="20"/>
      </w:rPr>
    </w:pPr>
    <w:sdt>
      <w:sdtPr>
        <w:rPr>
          <w:sz w:val="20"/>
          <w:szCs w:val="20"/>
        </w:rPr>
        <w:id w:val="1728636285"/>
        <w:docPartObj>
          <w:docPartGallery w:val="Page Numbers (Top of Page)"/>
          <w:docPartUnique/>
        </w:docPartObj>
      </w:sdtPr>
      <w:sdtEndPr/>
      <w:sdtContent>
        <w:r w:rsidR="00A24F1F" w:rsidRPr="00EF2B57">
          <w:rPr>
            <w:sz w:val="20"/>
            <w:szCs w:val="20"/>
          </w:rPr>
          <w:fldChar w:fldCharType="begin"/>
        </w:r>
        <w:r w:rsidR="00A24F1F" w:rsidRPr="00EF2B57">
          <w:rPr>
            <w:sz w:val="20"/>
            <w:szCs w:val="20"/>
          </w:rPr>
          <w:instrText xml:space="preserve"> PAGE </w:instrText>
        </w:r>
        <w:r w:rsidR="00A24F1F" w:rsidRPr="00EF2B57">
          <w:rPr>
            <w:sz w:val="20"/>
            <w:szCs w:val="20"/>
          </w:rPr>
          <w:fldChar w:fldCharType="separate"/>
        </w:r>
        <w:r w:rsidR="00A24F1F" w:rsidRPr="00EF2B57">
          <w:rPr>
            <w:sz w:val="20"/>
            <w:szCs w:val="20"/>
          </w:rPr>
          <w:t>3</w:t>
        </w:r>
        <w:r w:rsidR="00A24F1F" w:rsidRPr="00EF2B57">
          <w:rPr>
            <w:sz w:val="20"/>
            <w:szCs w:val="20"/>
          </w:rPr>
          <w:fldChar w:fldCharType="end"/>
        </w:r>
        <w:r w:rsidR="00A24F1F" w:rsidRPr="00EF2B57">
          <w:rPr>
            <w:sz w:val="20"/>
            <w:szCs w:val="20"/>
          </w:rPr>
          <w:t xml:space="preserve"> no </w:t>
        </w:r>
        <w:r w:rsidR="004E5801" w:rsidRPr="00EF2B57">
          <w:rPr>
            <w:sz w:val="20"/>
            <w:szCs w:val="20"/>
          </w:rPr>
          <w:fldChar w:fldCharType="begin"/>
        </w:r>
        <w:r w:rsidR="004E5801" w:rsidRPr="00EF2B57">
          <w:rPr>
            <w:sz w:val="20"/>
            <w:szCs w:val="20"/>
          </w:rPr>
          <w:instrText xml:space="preserve"> NUMPAGES  </w:instrText>
        </w:r>
        <w:r w:rsidR="004E5801" w:rsidRPr="00EF2B57">
          <w:rPr>
            <w:sz w:val="20"/>
            <w:szCs w:val="20"/>
          </w:rPr>
          <w:fldChar w:fldCharType="separate"/>
        </w:r>
        <w:r w:rsidR="00A24F1F" w:rsidRPr="00EF2B57">
          <w:rPr>
            <w:sz w:val="20"/>
            <w:szCs w:val="20"/>
          </w:rPr>
          <w:t>4</w:t>
        </w:r>
        <w:r w:rsidR="004E5801" w:rsidRPr="00EF2B57">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824424" w14:textId="77777777" w:rsidR="00750EA6" w:rsidRDefault="00750EA6" w:rsidP="00A24F1F">
      <w:r>
        <w:separator/>
      </w:r>
    </w:p>
  </w:footnote>
  <w:footnote w:type="continuationSeparator" w:id="0">
    <w:p w14:paraId="2643C145" w14:textId="77777777" w:rsidR="00750EA6" w:rsidRDefault="00750EA6" w:rsidP="00A24F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575"/>
    <w:rsid w:val="00001282"/>
    <w:rsid w:val="00001B64"/>
    <w:rsid w:val="00001EEE"/>
    <w:rsid w:val="00005297"/>
    <w:rsid w:val="00016239"/>
    <w:rsid w:val="00016820"/>
    <w:rsid w:val="000220E5"/>
    <w:rsid w:val="000228B9"/>
    <w:rsid w:val="00023060"/>
    <w:rsid w:val="00023C7F"/>
    <w:rsid w:val="00027BF7"/>
    <w:rsid w:val="00030BF0"/>
    <w:rsid w:val="00032BDD"/>
    <w:rsid w:val="0003309E"/>
    <w:rsid w:val="00033774"/>
    <w:rsid w:val="00040758"/>
    <w:rsid w:val="0004114B"/>
    <w:rsid w:val="00042C4C"/>
    <w:rsid w:val="000444EA"/>
    <w:rsid w:val="00047C77"/>
    <w:rsid w:val="00050435"/>
    <w:rsid w:val="00051E57"/>
    <w:rsid w:val="000561A4"/>
    <w:rsid w:val="00063049"/>
    <w:rsid w:val="00067EBC"/>
    <w:rsid w:val="0007087F"/>
    <w:rsid w:val="00075799"/>
    <w:rsid w:val="00076974"/>
    <w:rsid w:val="00080D3D"/>
    <w:rsid w:val="00080E39"/>
    <w:rsid w:val="00080EE5"/>
    <w:rsid w:val="000840FB"/>
    <w:rsid w:val="0008489C"/>
    <w:rsid w:val="000871A7"/>
    <w:rsid w:val="00087793"/>
    <w:rsid w:val="000908DF"/>
    <w:rsid w:val="00090A7B"/>
    <w:rsid w:val="00092053"/>
    <w:rsid w:val="00095339"/>
    <w:rsid w:val="000973CC"/>
    <w:rsid w:val="00097A13"/>
    <w:rsid w:val="000A2FE4"/>
    <w:rsid w:val="000A6526"/>
    <w:rsid w:val="000A7E52"/>
    <w:rsid w:val="000B117C"/>
    <w:rsid w:val="000B41FC"/>
    <w:rsid w:val="000B60B6"/>
    <w:rsid w:val="000C1BD0"/>
    <w:rsid w:val="000C224C"/>
    <w:rsid w:val="000D0DF2"/>
    <w:rsid w:val="000D7499"/>
    <w:rsid w:val="000E1040"/>
    <w:rsid w:val="000E766B"/>
    <w:rsid w:val="000F161E"/>
    <w:rsid w:val="000F179C"/>
    <w:rsid w:val="000F4011"/>
    <w:rsid w:val="000F407C"/>
    <w:rsid w:val="000F54D8"/>
    <w:rsid w:val="0010414D"/>
    <w:rsid w:val="0010415B"/>
    <w:rsid w:val="00105DDB"/>
    <w:rsid w:val="001064F0"/>
    <w:rsid w:val="0011109D"/>
    <w:rsid w:val="00111509"/>
    <w:rsid w:val="00114650"/>
    <w:rsid w:val="0011492A"/>
    <w:rsid w:val="00114A38"/>
    <w:rsid w:val="0011713C"/>
    <w:rsid w:val="0011779C"/>
    <w:rsid w:val="00125018"/>
    <w:rsid w:val="00125A53"/>
    <w:rsid w:val="00127582"/>
    <w:rsid w:val="0014215B"/>
    <w:rsid w:val="001458F5"/>
    <w:rsid w:val="00146ADA"/>
    <w:rsid w:val="00147C37"/>
    <w:rsid w:val="00150195"/>
    <w:rsid w:val="00151045"/>
    <w:rsid w:val="00162217"/>
    <w:rsid w:val="001677C5"/>
    <w:rsid w:val="0017122A"/>
    <w:rsid w:val="00175887"/>
    <w:rsid w:val="00181BAF"/>
    <w:rsid w:val="00183E96"/>
    <w:rsid w:val="00185E0D"/>
    <w:rsid w:val="00187EA0"/>
    <w:rsid w:val="001915E0"/>
    <w:rsid w:val="00196667"/>
    <w:rsid w:val="0019675B"/>
    <w:rsid w:val="001A1766"/>
    <w:rsid w:val="001A2AE8"/>
    <w:rsid w:val="001A3BB8"/>
    <w:rsid w:val="001A78E0"/>
    <w:rsid w:val="001B34EA"/>
    <w:rsid w:val="001B55D7"/>
    <w:rsid w:val="001C5D58"/>
    <w:rsid w:val="001C79B0"/>
    <w:rsid w:val="001D1F8D"/>
    <w:rsid w:val="001D5661"/>
    <w:rsid w:val="001E11B1"/>
    <w:rsid w:val="001E2721"/>
    <w:rsid w:val="001E41DE"/>
    <w:rsid w:val="001E6BC1"/>
    <w:rsid w:val="001E7D7C"/>
    <w:rsid w:val="001F1E59"/>
    <w:rsid w:val="001F459E"/>
    <w:rsid w:val="001F495D"/>
    <w:rsid w:val="001F7D8E"/>
    <w:rsid w:val="00200E12"/>
    <w:rsid w:val="002052A1"/>
    <w:rsid w:val="0020538A"/>
    <w:rsid w:val="002101E9"/>
    <w:rsid w:val="00212395"/>
    <w:rsid w:val="00213580"/>
    <w:rsid w:val="002159C6"/>
    <w:rsid w:val="00215DBF"/>
    <w:rsid w:val="00222471"/>
    <w:rsid w:val="00223D51"/>
    <w:rsid w:val="002263E8"/>
    <w:rsid w:val="0022752D"/>
    <w:rsid w:val="00231B4D"/>
    <w:rsid w:val="002331B4"/>
    <w:rsid w:val="00236B1E"/>
    <w:rsid w:val="00237300"/>
    <w:rsid w:val="00240264"/>
    <w:rsid w:val="002422ED"/>
    <w:rsid w:val="002464B2"/>
    <w:rsid w:val="00251F8D"/>
    <w:rsid w:val="00252E21"/>
    <w:rsid w:val="00254A0B"/>
    <w:rsid w:val="00256200"/>
    <w:rsid w:val="00261664"/>
    <w:rsid w:val="00264048"/>
    <w:rsid w:val="002642DE"/>
    <w:rsid w:val="00265FAE"/>
    <w:rsid w:val="00267B04"/>
    <w:rsid w:val="00274C6F"/>
    <w:rsid w:val="002779F9"/>
    <w:rsid w:val="00280F16"/>
    <w:rsid w:val="002810E4"/>
    <w:rsid w:val="00281C7D"/>
    <w:rsid w:val="0028488F"/>
    <w:rsid w:val="00286D48"/>
    <w:rsid w:val="002877D4"/>
    <w:rsid w:val="00290FCE"/>
    <w:rsid w:val="00293939"/>
    <w:rsid w:val="00295101"/>
    <w:rsid w:val="00297430"/>
    <w:rsid w:val="00297F9F"/>
    <w:rsid w:val="002A017B"/>
    <w:rsid w:val="002A4765"/>
    <w:rsid w:val="002B0C5A"/>
    <w:rsid w:val="002B1D94"/>
    <w:rsid w:val="002C4240"/>
    <w:rsid w:val="002D0514"/>
    <w:rsid w:val="002D1495"/>
    <w:rsid w:val="002D37B6"/>
    <w:rsid w:val="002D7B07"/>
    <w:rsid w:val="002E413E"/>
    <w:rsid w:val="002E675A"/>
    <w:rsid w:val="002E6EE2"/>
    <w:rsid w:val="002F5B09"/>
    <w:rsid w:val="002F6F44"/>
    <w:rsid w:val="002F78A6"/>
    <w:rsid w:val="00306A1B"/>
    <w:rsid w:val="0031042A"/>
    <w:rsid w:val="00313CDC"/>
    <w:rsid w:val="0031547D"/>
    <w:rsid w:val="0031734E"/>
    <w:rsid w:val="00317666"/>
    <w:rsid w:val="00317CC9"/>
    <w:rsid w:val="00320FDB"/>
    <w:rsid w:val="003215C6"/>
    <w:rsid w:val="00327505"/>
    <w:rsid w:val="00327B7B"/>
    <w:rsid w:val="00331F14"/>
    <w:rsid w:val="0033324C"/>
    <w:rsid w:val="0034055D"/>
    <w:rsid w:val="003450E5"/>
    <w:rsid w:val="00345AD5"/>
    <w:rsid w:val="00345D83"/>
    <w:rsid w:val="00346643"/>
    <w:rsid w:val="003540FF"/>
    <w:rsid w:val="00354FBC"/>
    <w:rsid w:val="00355311"/>
    <w:rsid w:val="003559F9"/>
    <w:rsid w:val="003563FB"/>
    <w:rsid w:val="00357159"/>
    <w:rsid w:val="00361A6A"/>
    <w:rsid w:val="003654DD"/>
    <w:rsid w:val="00370A5E"/>
    <w:rsid w:val="00370C84"/>
    <w:rsid w:val="00373310"/>
    <w:rsid w:val="00373825"/>
    <w:rsid w:val="0037465C"/>
    <w:rsid w:val="00375F1A"/>
    <w:rsid w:val="00384577"/>
    <w:rsid w:val="00385E29"/>
    <w:rsid w:val="0038649F"/>
    <w:rsid w:val="0038726C"/>
    <w:rsid w:val="003901FC"/>
    <w:rsid w:val="0039032D"/>
    <w:rsid w:val="00391664"/>
    <w:rsid w:val="00392601"/>
    <w:rsid w:val="00393685"/>
    <w:rsid w:val="003976F7"/>
    <w:rsid w:val="003A0B2E"/>
    <w:rsid w:val="003A287D"/>
    <w:rsid w:val="003A2ADC"/>
    <w:rsid w:val="003A389D"/>
    <w:rsid w:val="003A7BCC"/>
    <w:rsid w:val="003B03D0"/>
    <w:rsid w:val="003B6EE6"/>
    <w:rsid w:val="003C2671"/>
    <w:rsid w:val="003D0941"/>
    <w:rsid w:val="003D5007"/>
    <w:rsid w:val="003D54E9"/>
    <w:rsid w:val="003D6466"/>
    <w:rsid w:val="003E3853"/>
    <w:rsid w:val="003E3F32"/>
    <w:rsid w:val="003E4B36"/>
    <w:rsid w:val="003E664B"/>
    <w:rsid w:val="003E7304"/>
    <w:rsid w:val="003F04AA"/>
    <w:rsid w:val="003F3007"/>
    <w:rsid w:val="003F36CC"/>
    <w:rsid w:val="003F3E69"/>
    <w:rsid w:val="003F41C1"/>
    <w:rsid w:val="004004FE"/>
    <w:rsid w:val="004016BD"/>
    <w:rsid w:val="00404E66"/>
    <w:rsid w:val="00405A0D"/>
    <w:rsid w:val="00410A2E"/>
    <w:rsid w:val="00411B0E"/>
    <w:rsid w:val="00411CC6"/>
    <w:rsid w:val="004125E1"/>
    <w:rsid w:val="00414E3D"/>
    <w:rsid w:val="00415608"/>
    <w:rsid w:val="0042188C"/>
    <w:rsid w:val="00422475"/>
    <w:rsid w:val="004229D0"/>
    <w:rsid w:val="00422F33"/>
    <w:rsid w:val="004230D8"/>
    <w:rsid w:val="004230F2"/>
    <w:rsid w:val="00435A37"/>
    <w:rsid w:val="00440346"/>
    <w:rsid w:val="004427FD"/>
    <w:rsid w:val="0044453D"/>
    <w:rsid w:val="0044556F"/>
    <w:rsid w:val="00445D68"/>
    <w:rsid w:val="00451792"/>
    <w:rsid w:val="00451BE2"/>
    <w:rsid w:val="0045539C"/>
    <w:rsid w:val="00457069"/>
    <w:rsid w:val="00457AEF"/>
    <w:rsid w:val="004605A0"/>
    <w:rsid w:val="00460B5F"/>
    <w:rsid w:val="004641DE"/>
    <w:rsid w:val="004646AA"/>
    <w:rsid w:val="00466BBA"/>
    <w:rsid w:val="00471B15"/>
    <w:rsid w:val="0047318B"/>
    <w:rsid w:val="00477466"/>
    <w:rsid w:val="004807E9"/>
    <w:rsid w:val="00480B39"/>
    <w:rsid w:val="004817DA"/>
    <w:rsid w:val="004818DA"/>
    <w:rsid w:val="00482878"/>
    <w:rsid w:val="00482DC7"/>
    <w:rsid w:val="00483C5D"/>
    <w:rsid w:val="00484B04"/>
    <w:rsid w:val="004877BC"/>
    <w:rsid w:val="00490C7E"/>
    <w:rsid w:val="0049579F"/>
    <w:rsid w:val="004A2D39"/>
    <w:rsid w:val="004A4EA9"/>
    <w:rsid w:val="004A4FE6"/>
    <w:rsid w:val="004A5182"/>
    <w:rsid w:val="004B6243"/>
    <w:rsid w:val="004B69C1"/>
    <w:rsid w:val="004B7730"/>
    <w:rsid w:val="004C0B8C"/>
    <w:rsid w:val="004C46FC"/>
    <w:rsid w:val="004C5F5D"/>
    <w:rsid w:val="004D0E1E"/>
    <w:rsid w:val="004D275C"/>
    <w:rsid w:val="004D2A1D"/>
    <w:rsid w:val="004D6504"/>
    <w:rsid w:val="004E03E5"/>
    <w:rsid w:val="004E2F45"/>
    <w:rsid w:val="004E4858"/>
    <w:rsid w:val="004E5801"/>
    <w:rsid w:val="004E6429"/>
    <w:rsid w:val="00503206"/>
    <w:rsid w:val="00504682"/>
    <w:rsid w:val="0050565F"/>
    <w:rsid w:val="00507F0A"/>
    <w:rsid w:val="0051583C"/>
    <w:rsid w:val="005160C9"/>
    <w:rsid w:val="0052155F"/>
    <w:rsid w:val="005218F7"/>
    <w:rsid w:val="00533041"/>
    <w:rsid w:val="0053323F"/>
    <w:rsid w:val="00534454"/>
    <w:rsid w:val="00536A41"/>
    <w:rsid w:val="00540852"/>
    <w:rsid w:val="005410C5"/>
    <w:rsid w:val="005457D6"/>
    <w:rsid w:val="005533AC"/>
    <w:rsid w:val="005537AA"/>
    <w:rsid w:val="00553D2A"/>
    <w:rsid w:val="00561738"/>
    <w:rsid w:val="005647F0"/>
    <w:rsid w:val="00564E5D"/>
    <w:rsid w:val="005707BC"/>
    <w:rsid w:val="00573AE1"/>
    <w:rsid w:val="0057483F"/>
    <w:rsid w:val="005749F0"/>
    <w:rsid w:val="00577EDA"/>
    <w:rsid w:val="00582026"/>
    <w:rsid w:val="00584E32"/>
    <w:rsid w:val="00587A43"/>
    <w:rsid w:val="00587F62"/>
    <w:rsid w:val="005908F2"/>
    <w:rsid w:val="00590988"/>
    <w:rsid w:val="0059119C"/>
    <w:rsid w:val="00593B20"/>
    <w:rsid w:val="00594C79"/>
    <w:rsid w:val="00597A67"/>
    <w:rsid w:val="005A2886"/>
    <w:rsid w:val="005A79FF"/>
    <w:rsid w:val="005B4E57"/>
    <w:rsid w:val="005C0CFD"/>
    <w:rsid w:val="005C3C8A"/>
    <w:rsid w:val="005C5E58"/>
    <w:rsid w:val="005C66EB"/>
    <w:rsid w:val="005C6A76"/>
    <w:rsid w:val="005D431D"/>
    <w:rsid w:val="005D4A4D"/>
    <w:rsid w:val="005D6084"/>
    <w:rsid w:val="005D7598"/>
    <w:rsid w:val="005D7A0B"/>
    <w:rsid w:val="005E0D64"/>
    <w:rsid w:val="005E0DAF"/>
    <w:rsid w:val="005E52C6"/>
    <w:rsid w:val="005E6138"/>
    <w:rsid w:val="005E7048"/>
    <w:rsid w:val="005F4A88"/>
    <w:rsid w:val="005F5930"/>
    <w:rsid w:val="00600FFF"/>
    <w:rsid w:val="0060127B"/>
    <w:rsid w:val="0060308D"/>
    <w:rsid w:val="006037AD"/>
    <w:rsid w:val="00603B3E"/>
    <w:rsid w:val="00604BDA"/>
    <w:rsid w:val="00604F37"/>
    <w:rsid w:val="00605337"/>
    <w:rsid w:val="00605A91"/>
    <w:rsid w:val="00605DC9"/>
    <w:rsid w:val="00610B6C"/>
    <w:rsid w:val="00610F90"/>
    <w:rsid w:val="006116B8"/>
    <w:rsid w:val="00613A3A"/>
    <w:rsid w:val="006208CE"/>
    <w:rsid w:val="00621FB5"/>
    <w:rsid w:val="0062587D"/>
    <w:rsid w:val="00625E1D"/>
    <w:rsid w:val="006265CD"/>
    <w:rsid w:val="00634350"/>
    <w:rsid w:val="00635E41"/>
    <w:rsid w:val="006372D6"/>
    <w:rsid w:val="006378CB"/>
    <w:rsid w:val="00642DF4"/>
    <w:rsid w:val="006464B6"/>
    <w:rsid w:val="00647698"/>
    <w:rsid w:val="006478D4"/>
    <w:rsid w:val="00650CEC"/>
    <w:rsid w:val="00650E9C"/>
    <w:rsid w:val="006528C7"/>
    <w:rsid w:val="00653456"/>
    <w:rsid w:val="00657DF1"/>
    <w:rsid w:val="00660B8E"/>
    <w:rsid w:val="00661015"/>
    <w:rsid w:val="00663ECD"/>
    <w:rsid w:val="006728B7"/>
    <w:rsid w:val="00675049"/>
    <w:rsid w:val="0068519C"/>
    <w:rsid w:val="00686AF7"/>
    <w:rsid w:val="00691867"/>
    <w:rsid w:val="006979B3"/>
    <w:rsid w:val="00697ABA"/>
    <w:rsid w:val="006B3516"/>
    <w:rsid w:val="006B3C29"/>
    <w:rsid w:val="006B5DF2"/>
    <w:rsid w:val="006B7B98"/>
    <w:rsid w:val="006C1072"/>
    <w:rsid w:val="006C15F0"/>
    <w:rsid w:val="006C3D4A"/>
    <w:rsid w:val="006C4FC0"/>
    <w:rsid w:val="006C529A"/>
    <w:rsid w:val="006C6203"/>
    <w:rsid w:val="006C7A17"/>
    <w:rsid w:val="006D2E7A"/>
    <w:rsid w:val="006D4B25"/>
    <w:rsid w:val="006D52EB"/>
    <w:rsid w:val="006E33B9"/>
    <w:rsid w:val="006F26E4"/>
    <w:rsid w:val="006F4EFD"/>
    <w:rsid w:val="006F73F9"/>
    <w:rsid w:val="006F792D"/>
    <w:rsid w:val="007010CC"/>
    <w:rsid w:val="00703F9B"/>
    <w:rsid w:val="007057FE"/>
    <w:rsid w:val="00705883"/>
    <w:rsid w:val="00710024"/>
    <w:rsid w:val="007155D5"/>
    <w:rsid w:val="0072002A"/>
    <w:rsid w:val="00722FAE"/>
    <w:rsid w:val="00727A96"/>
    <w:rsid w:val="00727BC0"/>
    <w:rsid w:val="007317C4"/>
    <w:rsid w:val="00736E30"/>
    <w:rsid w:val="00740093"/>
    <w:rsid w:val="00742177"/>
    <w:rsid w:val="00742322"/>
    <w:rsid w:val="00742793"/>
    <w:rsid w:val="0074376B"/>
    <w:rsid w:val="00745BB3"/>
    <w:rsid w:val="00750EA6"/>
    <w:rsid w:val="00751FAA"/>
    <w:rsid w:val="00753885"/>
    <w:rsid w:val="0075696B"/>
    <w:rsid w:val="0075754C"/>
    <w:rsid w:val="007600F0"/>
    <w:rsid w:val="00760291"/>
    <w:rsid w:val="00761A61"/>
    <w:rsid w:val="00761CB5"/>
    <w:rsid w:val="00765F2E"/>
    <w:rsid w:val="00772847"/>
    <w:rsid w:val="00772882"/>
    <w:rsid w:val="00776562"/>
    <w:rsid w:val="00776F80"/>
    <w:rsid w:val="0078086D"/>
    <w:rsid w:val="00781197"/>
    <w:rsid w:val="007815F1"/>
    <w:rsid w:val="00781863"/>
    <w:rsid w:val="00782227"/>
    <w:rsid w:val="007847F5"/>
    <w:rsid w:val="00785F62"/>
    <w:rsid w:val="00793039"/>
    <w:rsid w:val="007937EC"/>
    <w:rsid w:val="007965F7"/>
    <w:rsid w:val="00797DDB"/>
    <w:rsid w:val="007A02A1"/>
    <w:rsid w:val="007A0B22"/>
    <w:rsid w:val="007A1E03"/>
    <w:rsid w:val="007A25EF"/>
    <w:rsid w:val="007B344C"/>
    <w:rsid w:val="007C1660"/>
    <w:rsid w:val="007C255D"/>
    <w:rsid w:val="007C30B5"/>
    <w:rsid w:val="007D034C"/>
    <w:rsid w:val="007D0DB9"/>
    <w:rsid w:val="007D2E61"/>
    <w:rsid w:val="007D5706"/>
    <w:rsid w:val="007E3B0B"/>
    <w:rsid w:val="007E5D65"/>
    <w:rsid w:val="007E78D2"/>
    <w:rsid w:val="007F19C3"/>
    <w:rsid w:val="007F7566"/>
    <w:rsid w:val="00806AAE"/>
    <w:rsid w:val="00810DB3"/>
    <w:rsid w:val="00810EEA"/>
    <w:rsid w:val="0081203B"/>
    <w:rsid w:val="0081542E"/>
    <w:rsid w:val="00817C9F"/>
    <w:rsid w:val="00820DC6"/>
    <w:rsid w:val="00827312"/>
    <w:rsid w:val="00827670"/>
    <w:rsid w:val="008277CB"/>
    <w:rsid w:val="0083118E"/>
    <w:rsid w:val="008322D6"/>
    <w:rsid w:val="00832615"/>
    <w:rsid w:val="0083340E"/>
    <w:rsid w:val="0083455B"/>
    <w:rsid w:val="00834B04"/>
    <w:rsid w:val="00834B09"/>
    <w:rsid w:val="00835263"/>
    <w:rsid w:val="00837E99"/>
    <w:rsid w:val="00840500"/>
    <w:rsid w:val="00842F6C"/>
    <w:rsid w:val="008466D8"/>
    <w:rsid w:val="00851527"/>
    <w:rsid w:val="00851B17"/>
    <w:rsid w:val="00851C42"/>
    <w:rsid w:val="0085326D"/>
    <w:rsid w:val="008538D6"/>
    <w:rsid w:val="0085390E"/>
    <w:rsid w:val="00854703"/>
    <w:rsid w:val="00855772"/>
    <w:rsid w:val="008562F1"/>
    <w:rsid w:val="0086295E"/>
    <w:rsid w:val="00863B08"/>
    <w:rsid w:val="00863B43"/>
    <w:rsid w:val="00864843"/>
    <w:rsid w:val="0087176C"/>
    <w:rsid w:val="00874345"/>
    <w:rsid w:val="008755B2"/>
    <w:rsid w:val="00875BE6"/>
    <w:rsid w:val="00876C43"/>
    <w:rsid w:val="00877AE5"/>
    <w:rsid w:val="00885DD4"/>
    <w:rsid w:val="008860C4"/>
    <w:rsid w:val="00886F34"/>
    <w:rsid w:val="00887EF6"/>
    <w:rsid w:val="00893DF5"/>
    <w:rsid w:val="008968F5"/>
    <w:rsid w:val="00896936"/>
    <w:rsid w:val="0089743C"/>
    <w:rsid w:val="008A1853"/>
    <w:rsid w:val="008A1C17"/>
    <w:rsid w:val="008A2BB4"/>
    <w:rsid w:val="008A3A96"/>
    <w:rsid w:val="008A779B"/>
    <w:rsid w:val="008B1226"/>
    <w:rsid w:val="008B28E7"/>
    <w:rsid w:val="008B760F"/>
    <w:rsid w:val="008C070F"/>
    <w:rsid w:val="008C0E1E"/>
    <w:rsid w:val="008C298B"/>
    <w:rsid w:val="008C6328"/>
    <w:rsid w:val="008C64A6"/>
    <w:rsid w:val="008D026A"/>
    <w:rsid w:val="008D06B0"/>
    <w:rsid w:val="008D3093"/>
    <w:rsid w:val="008D42D4"/>
    <w:rsid w:val="008D5E70"/>
    <w:rsid w:val="008D790A"/>
    <w:rsid w:val="008E046D"/>
    <w:rsid w:val="008E462B"/>
    <w:rsid w:val="008E4A86"/>
    <w:rsid w:val="008E5C3A"/>
    <w:rsid w:val="008F19F3"/>
    <w:rsid w:val="008F229D"/>
    <w:rsid w:val="008F23F5"/>
    <w:rsid w:val="008F2F58"/>
    <w:rsid w:val="009031CC"/>
    <w:rsid w:val="00905076"/>
    <w:rsid w:val="009050DC"/>
    <w:rsid w:val="00906C71"/>
    <w:rsid w:val="00910D8A"/>
    <w:rsid w:val="00913348"/>
    <w:rsid w:val="00916FF8"/>
    <w:rsid w:val="009209F0"/>
    <w:rsid w:val="00922A0C"/>
    <w:rsid w:val="00923A4C"/>
    <w:rsid w:val="00927FF1"/>
    <w:rsid w:val="00931F61"/>
    <w:rsid w:val="00932DE3"/>
    <w:rsid w:val="00943D26"/>
    <w:rsid w:val="00945605"/>
    <w:rsid w:val="00946C21"/>
    <w:rsid w:val="00950040"/>
    <w:rsid w:val="00952989"/>
    <w:rsid w:val="00952B95"/>
    <w:rsid w:val="00952C80"/>
    <w:rsid w:val="00952E12"/>
    <w:rsid w:val="009559C7"/>
    <w:rsid w:val="00956ABE"/>
    <w:rsid w:val="00960FEF"/>
    <w:rsid w:val="0097013E"/>
    <w:rsid w:val="009703B9"/>
    <w:rsid w:val="00970A2F"/>
    <w:rsid w:val="00970EE4"/>
    <w:rsid w:val="00971AA0"/>
    <w:rsid w:val="00972D70"/>
    <w:rsid w:val="009744FE"/>
    <w:rsid w:val="00975225"/>
    <w:rsid w:val="009808A2"/>
    <w:rsid w:val="00982E89"/>
    <w:rsid w:val="00983A41"/>
    <w:rsid w:val="00983E30"/>
    <w:rsid w:val="009870E0"/>
    <w:rsid w:val="00990A7D"/>
    <w:rsid w:val="00991685"/>
    <w:rsid w:val="009952D1"/>
    <w:rsid w:val="00995475"/>
    <w:rsid w:val="009A3EC3"/>
    <w:rsid w:val="009A4854"/>
    <w:rsid w:val="009A4C19"/>
    <w:rsid w:val="009A7351"/>
    <w:rsid w:val="009B0B5E"/>
    <w:rsid w:val="009B2E76"/>
    <w:rsid w:val="009B4050"/>
    <w:rsid w:val="009B4D23"/>
    <w:rsid w:val="009B5A2D"/>
    <w:rsid w:val="009B7ABB"/>
    <w:rsid w:val="009C0B55"/>
    <w:rsid w:val="009C3AB4"/>
    <w:rsid w:val="009C55AA"/>
    <w:rsid w:val="009C6944"/>
    <w:rsid w:val="009D0AEA"/>
    <w:rsid w:val="009D2240"/>
    <w:rsid w:val="009D28F4"/>
    <w:rsid w:val="009E0913"/>
    <w:rsid w:val="009E139D"/>
    <w:rsid w:val="009E2FFF"/>
    <w:rsid w:val="009E314E"/>
    <w:rsid w:val="009E3DA1"/>
    <w:rsid w:val="009E6323"/>
    <w:rsid w:val="009F21ED"/>
    <w:rsid w:val="009F55F9"/>
    <w:rsid w:val="009F561B"/>
    <w:rsid w:val="009F5FAD"/>
    <w:rsid w:val="00A01CC2"/>
    <w:rsid w:val="00A0537F"/>
    <w:rsid w:val="00A0662B"/>
    <w:rsid w:val="00A1408B"/>
    <w:rsid w:val="00A22319"/>
    <w:rsid w:val="00A23B49"/>
    <w:rsid w:val="00A241FA"/>
    <w:rsid w:val="00A24F1F"/>
    <w:rsid w:val="00A25887"/>
    <w:rsid w:val="00A25A2E"/>
    <w:rsid w:val="00A25C38"/>
    <w:rsid w:val="00A260B6"/>
    <w:rsid w:val="00A3165F"/>
    <w:rsid w:val="00A33A82"/>
    <w:rsid w:val="00A3607D"/>
    <w:rsid w:val="00A36927"/>
    <w:rsid w:val="00A40B69"/>
    <w:rsid w:val="00A425CE"/>
    <w:rsid w:val="00A4600F"/>
    <w:rsid w:val="00A47C6F"/>
    <w:rsid w:val="00A51B9C"/>
    <w:rsid w:val="00A51E3D"/>
    <w:rsid w:val="00A56670"/>
    <w:rsid w:val="00A60DA6"/>
    <w:rsid w:val="00A63D4C"/>
    <w:rsid w:val="00A63D5D"/>
    <w:rsid w:val="00A6488D"/>
    <w:rsid w:val="00A65B1B"/>
    <w:rsid w:val="00A66C02"/>
    <w:rsid w:val="00A67580"/>
    <w:rsid w:val="00A71D05"/>
    <w:rsid w:val="00A72ACB"/>
    <w:rsid w:val="00A73752"/>
    <w:rsid w:val="00A73B77"/>
    <w:rsid w:val="00A819E2"/>
    <w:rsid w:val="00A82E89"/>
    <w:rsid w:val="00A8348C"/>
    <w:rsid w:val="00A84A61"/>
    <w:rsid w:val="00A8658C"/>
    <w:rsid w:val="00A8668E"/>
    <w:rsid w:val="00A87FF1"/>
    <w:rsid w:val="00A90670"/>
    <w:rsid w:val="00A9661E"/>
    <w:rsid w:val="00AA4B4A"/>
    <w:rsid w:val="00AB5961"/>
    <w:rsid w:val="00AB65F1"/>
    <w:rsid w:val="00AC3663"/>
    <w:rsid w:val="00AC54D4"/>
    <w:rsid w:val="00AC5B55"/>
    <w:rsid w:val="00AC6965"/>
    <w:rsid w:val="00AD0140"/>
    <w:rsid w:val="00AD3334"/>
    <w:rsid w:val="00AD48B7"/>
    <w:rsid w:val="00AD511E"/>
    <w:rsid w:val="00AD7B22"/>
    <w:rsid w:val="00AE16D6"/>
    <w:rsid w:val="00AE48D9"/>
    <w:rsid w:val="00AE7F87"/>
    <w:rsid w:val="00AF012C"/>
    <w:rsid w:val="00AF73BD"/>
    <w:rsid w:val="00B058CD"/>
    <w:rsid w:val="00B05A75"/>
    <w:rsid w:val="00B11883"/>
    <w:rsid w:val="00B23049"/>
    <w:rsid w:val="00B264DE"/>
    <w:rsid w:val="00B2673B"/>
    <w:rsid w:val="00B3079C"/>
    <w:rsid w:val="00B314C6"/>
    <w:rsid w:val="00B31C98"/>
    <w:rsid w:val="00B329A2"/>
    <w:rsid w:val="00B32CC5"/>
    <w:rsid w:val="00B33787"/>
    <w:rsid w:val="00B35C49"/>
    <w:rsid w:val="00B36297"/>
    <w:rsid w:val="00B400A5"/>
    <w:rsid w:val="00B425E1"/>
    <w:rsid w:val="00B43D49"/>
    <w:rsid w:val="00B45D9A"/>
    <w:rsid w:val="00B50B19"/>
    <w:rsid w:val="00B5328D"/>
    <w:rsid w:val="00B533B0"/>
    <w:rsid w:val="00B54405"/>
    <w:rsid w:val="00B56516"/>
    <w:rsid w:val="00B572DA"/>
    <w:rsid w:val="00B579FB"/>
    <w:rsid w:val="00B61F89"/>
    <w:rsid w:val="00B6445D"/>
    <w:rsid w:val="00B6564B"/>
    <w:rsid w:val="00B721BE"/>
    <w:rsid w:val="00B7247F"/>
    <w:rsid w:val="00B72656"/>
    <w:rsid w:val="00B7296D"/>
    <w:rsid w:val="00B76121"/>
    <w:rsid w:val="00B76B6A"/>
    <w:rsid w:val="00B77CFB"/>
    <w:rsid w:val="00B80423"/>
    <w:rsid w:val="00B934EF"/>
    <w:rsid w:val="00B97DAF"/>
    <w:rsid w:val="00BC12D8"/>
    <w:rsid w:val="00BC1B61"/>
    <w:rsid w:val="00BC54CE"/>
    <w:rsid w:val="00BC551D"/>
    <w:rsid w:val="00BC61B9"/>
    <w:rsid w:val="00BD1181"/>
    <w:rsid w:val="00BD1366"/>
    <w:rsid w:val="00BD34BF"/>
    <w:rsid w:val="00BD57D0"/>
    <w:rsid w:val="00BD6FEC"/>
    <w:rsid w:val="00BD7BB5"/>
    <w:rsid w:val="00BE03DF"/>
    <w:rsid w:val="00BE07C6"/>
    <w:rsid w:val="00BE3CE2"/>
    <w:rsid w:val="00BE6428"/>
    <w:rsid w:val="00BF3C69"/>
    <w:rsid w:val="00BF3E57"/>
    <w:rsid w:val="00BF4C0A"/>
    <w:rsid w:val="00BF5939"/>
    <w:rsid w:val="00BF7211"/>
    <w:rsid w:val="00BF7544"/>
    <w:rsid w:val="00C029F3"/>
    <w:rsid w:val="00C04E86"/>
    <w:rsid w:val="00C059BA"/>
    <w:rsid w:val="00C216C8"/>
    <w:rsid w:val="00C23A4F"/>
    <w:rsid w:val="00C25098"/>
    <w:rsid w:val="00C272DD"/>
    <w:rsid w:val="00C272F3"/>
    <w:rsid w:val="00C27DA8"/>
    <w:rsid w:val="00C302F5"/>
    <w:rsid w:val="00C3141E"/>
    <w:rsid w:val="00C31A81"/>
    <w:rsid w:val="00C3352A"/>
    <w:rsid w:val="00C35A00"/>
    <w:rsid w:val="00C368FC"/>
    <w:rsid w:val="00C373E4"/>
    <w:rsid w:val="00C374DF"/>
    <w:rsid w:val="00C375DD"/>
    <w:rsid w:val="00C42CE2"/>
    <w:rsid w:val="00C467C5"/>
    <w:rsid w:val="00C47D22"/>
    <w:rsid w:val="00C50316"/>
    <w:rsid w:val="00C50378"/>
    <w:rsid w:val="00C503EE"/>
    <w:rsid w:val="00C50B99"/>
    <w:rsid w:val="00C51002"/>
    <w:rsid w:val="00C559FB"/>
    <w:rsid w:val="00C60412"/>
    <w:rsid w:val="00C60CBD"/>
    <w:rsid w:val="00C64695"/>
    <w:rsid w:val="00C71B3C"/>
    <w:rsid w:val="00C738D1"/>
    <w:rsid w:val="00C77AA5"/>
    <w:rsid w:val="00C81FFE"/>
    <w:rsid w:val="00C83725"/>
    <w:rsid w:val="00C85F0B"/>
    <w:rsid w:val="00C8744A"/>
    <w:rsid w:val="00C90A55"/>
    <w:rsid w:val="00C954D2"/>
    <w:rsid w:val="00C9597B"/>
    <w:rsid w:val="00CA042F"/>
    <w:rsid w:val="00CA4904"/>
    <w:rsid w:val="00CB07D7"/>
    <w:rsid w:val="00CB2441"/>
    <w:rsid w:val="00CB4079"/>
    <w:rsid w:val="00CB4C42"/>
    <w:rsid w:val="00CB570F"/>
    <w:rsid w:val="00CB7C17"/>
    <w:rsid w:val="00CC2DFE"/>
    <w:rsid w:val="00CD1E05"/>
    <w:rsid w:val="00CD4C0B"/>
    <w:rsid w:val="00CD56B1"/>
    <w:rsid w:val="00CD6F96"/>
    <w:rsid w:val="00CE122D"/>
    <w:rsid w:val="00CE7376"/>
    <w:rsid w:val="00CF033B"/>
    <w:rsid w:val="00CF1F3A"/>
    <w:rsid w:val="00CF3E15"/>
    <w:rsid w:val="00CF7F48"/>
    <w:rsid w:val="00D0032F"/>
    <w:rsid w:val="00D052C3"/>
    <w:rsid w:val="00D07F46"/>
    <w:rsid w:val="00D11EF5"/>
    <w:rsid w:val="00D1223F"/>
    <w:rsid w:val="00D2216F"/>
    <w:rsid w:val="00D25054"/>
    <w:rsid w:val="00D25576"/>
    <w:rsid w:val="00D2729C"/>
    <w:rsid w:val="00D323D9"/>
    <w:rsid w:val="00D3307F"/>
    <w:rsid w:val="00D366B1"/>
    <w:rsid w:val="00D4194D"/>
    <w:rsid w:val="00D43B0E"/>
    <w:rsid w:val="00D44081"/>
    <w:rsid w:val="00D44A33"/>
    <w:rsid w:val="00D465D3"/>
    <w:rsid w:val="00D50CC1"/>
    <w:rsid w:val="00D5136D"/>
    <w:rsid w:val="00D55882"/>
    <w:rsid w:val="00D62701"/>
    <w:rsid w:val="00D6434B"/>
    <w:rsid w:val="00D72D63"/>
    <w:rsid w:val="00D762A7"/>
    <w:rsid w:val="00D7799C"/>
    <w:rsid w:val="00D808DD"/>
    <w:rsid w:val="00D80AF1"/>
    <w:rsid w:val="00D84413"/>
    <w:rsid w:val="00D85266"/>
    <w:rsid w:val="00D8756D"/>
    <w:rsid w:val="00D9034C"/>
    <w:rsid w:val="00D9076E"/>
    <w:rsid w:val="00D91489"/>
    <w:rsid w:val="00D92971"/>
    <w:rsid w:val="00D92FA1"/>
    <w:rsid w:val="00D934A4"/>
    <w:rsid w:val="00D94632"/>
    <w:rsid w:val="00DA0848"/>
    <w:rsid w:val="00DA26A5"/>
    <w:rsid w:val="00DA714E"/>
    <w:rsid w:val="00DB2575"/>
    <w:rsid w:val="00DB40C9"/>
    <w:rsid w:val="00DB40F2"/>
    <w:rsid w:val="00DB5CEB"/>
    <w:rsid w:val="00DB64BC"/>
    <w:rsid w:val="00DC023E"/>
    <w:rsid w:val="00DC2A9F"/>
    <w:rsid w:val="00DC3507"/>
    <w:rsid w:val="00DC370A"/>
    <w:rsid w:val="00DC494E"/>
    <w:rsid w:val="00DC6195"/>
    <w:rsid w:val="00DD282B"/>
    <w:rsid w:val="00DD63D8"/>
    <w:rsid w:val="00DD71B7"/>
    <w:rsid w:val="00DD7623"/>
    <w:rsid w:val="00DE1F59"/>
    <w:rsid w:val="00DE6D2A"/>
    <w:rsid w:val="00DF44EF"/>
    <w:rsid w:val="00E019A0"/>
    <w:rsid w:val="00E030A3"/>
    <w:rsid w:val="00E05514"/>
    <w:rsid w:val="00E064A8"/>
    <w:rsid w:val="00E10372"/>
    <w:rsid w:val="00E107F3"/>
    <w:rsid w:val="00E13588"/>
    <w:rsid w:val="00E14B53"/>
    <w:rsid w:val="00E14D8D"/>
    <w:rsid w:val="00E212A2"/>
    <w:rsid w:val="00E21391"/>
    <w:rsid w:val="00E252D1"/>
    <w:rsid w:val="00E31E49"/>
    <w:rsid w:val="00E3243B"/>
    <w:rsid w:val="00E34553"/>
    <w:rsid w:val="00E34B9F"/>
    <w:rsid w:val="00E4136F"/>
    <w:rsid w:val="00E4372C"/>
    <w:rsid w:val="00E45B0A"/>
    <w:rsid w:val="00E463A3"/>
    <w:rsid w:val="00E50E37"/>
    <w:rsid w:val="00E51F18"/>
    <w:rsid w:val="00E52466"/>
    <w:rsid w:val="00E57AA1"/>
    <w:rsid w:val="00E614F9"/>
    <w:rsid w:val="00E61E59"/>
    <w:rsid w:val="00E62A87"/>
    <w:rsid w:val="00E62B4A"/>
    <w:rsid w:val="00E64258"/>
    <w:rsid w:val="00E6455A"/>
    <w:rsid w:val="00E66832"/>
    <w:rsid w:val="00E67217"/>
    <w:rsid w:val="00E6746E"/>
    <w:rsid w:val="00E70CDC"/>
    <w:rsid w:val="00E75F70"/>
    <w:rsid w:val="00E760AE"/>
    <w:rsid w:val="00E817E6"/>
    <w:rsid w:val="00E81FC7"/>
    <w:rsid w:val="00E83183"/>
    <w:rsid w:val="00E8581C"/>
    <w:rsid w:val="00E921F8"/>
    <w:rsid w:val="00E92687"/>
    <w:rsid w:val="00E950B1"/>
    <w:rsid w:val="00E96111"/>
    <w:rsid w:val="00E96F87"/>
    <w:rsid w:val="00E97BE0"/>
    <w:rsid w:val="00EA03A1"/>
    <w:rsid w:val="00EA5F63"/>
    <w:rsid w:val="00EB1AFF"/>
    <w:rsid w:val="00EB1D05"/>
    <w:rsid w:val="00EB25ED"/>
    <w:rsid w:val="00EB2809"/>
    <w:rsid w:val="00EB3508"/>
    <w:rsid w:val="00EB3E20"/>
    <w:rsid w:val="00EB6198"/>
    <w:rsid w:val="00EB6C23"/>
    <w:rsid w:val="00EB6F18"/>
    <w:rsid w:val="00EC6373"/>
    <w:rsid w:val="00ED3464"/>
    <w:rsid w:val="00ED5A1E"/>
    <w:rsid w:val="00ED608B"/>
    <w:rsid w:val="00ED6A35"/>
    <w:rsid w:val="00ED74DA"/>
    <w:rsid w:val="00EE09EF"/>
    <w:rsid w:val="00EE4E18"/>
    <w:rsid w:val="00EE5786"/>
    <w:rsid w:val="00EF2B57"/>
    <w:rsid w:val="00EF3973"/>
    <w:rsid w:val="00EF586B"/>
    <w:rsid w:val="00EF593B"/>
    <w:rsid w:val="00F040AB"/>
    <w:rsid w:val="00F050D2"/>
    <w:rsid w:val="00F06F9A"/>
    <w:rsid w:val="00F07362"/>
    <w:rsid w:val="00F16C45"/>
    <w:rsid w:val="00F17BF7"/>
    <w:rsid w:val="00F23859"/>
    <w:rsid w:val="00F273CC"/>
    <w:rsid w:val="00F3333A"/>
    <w:rsid w:val="00F33AC9"/>
    <w:rsid w:val="00F3641D"/>
    <w:rsid w:val="00F37DBA"/>
    <w:rsid w:val="00F42383"/>
    <w:rsid w:val="00F44442"/>
    <w:rsid w:val="00F4446B"/>
    <w:rsid w:val="00F4558F"/>
    <w:rsid w:val="00F502F7"/>
    <w:rsid w:val="00F537D4"/>
    <w:rsid w:val="00F57D65"/>
    <w:rsid w:val="00F60768"/>
    <w:rsid w:val="00F642DC"/>
    <w:rsid w:val="00F64AD3"/>
    <w:rsid w:val="00F65174"/>
    <w:rsid w:val="00F6573D"/>
    <w:rsid w:val="00F65D2F"/>
    <w:rsid w:val="00F66CCF"/>
    <w:rsid w:val="00F73D2C"/>
    <w:rsid w:val="00F75CAE"/>
    <w:rsid w:val="00F80136"/>
    <w:rsid w:val="00F814FF"/>
    <w:rsid w:val="00F81C9D"/>
    <w:rsid w:val="00F83DAF"/>
    <w:rsid w:val="00F8604A"/>
    <w:rsid w:val="00F87276"/>
    <w:rsid w:val="00F941C6"/>
    <w:rsid w:val="00FA3224"/>
    <w:rsid w:val="00FA37BE"/>
    <w:rsid w:val="00FA3820"/>
    <w:rsid w:val="00FA4845"/>
    <w:rsid w:val="00FA5823"/>
    <w:rsid w:val="00FA7A6B"/>
    <w:rsid w:val="00FB0DD7"/>
    <w:rsid w:val="00FB1B06"/>
    <w:rsid w:val="00FB4721"/>
    <w:rsid w:val="00FB56A4"/>
    <w:rsid w:val="00FB63CF"/>
    <w:rsid w:val="00FB6A0B"/>
    <w:rsid w:val="00FB78A9"/>
    <w:rsid w:val="00FC3E53"/>
    <w:rsid w:val="00FC7CDA"/>
    <w:rsid w:val="00FD073B"/>
    <w:rsid w:val="00FD23D1"/>
    <w:rsid w:val="00FD2A78"/>
    <w:rsid w:val="00FE21D2"/>
    <w:rsid w:val="00FE6BEE"/>
    <w:rsid w:val="00FE71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EE4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575"/>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DB2575"/>
    <w:pPr>
      <w:spacing w:after="120" w:line="480" w:lineRule="auto"/>
    </w:pPr>
    <w:rPr>
      <w:lang w:val="x-none"/>
    </w:rPr>
  </w:style>
  <w:style w:type="character" w:customStyle="1" w:styleId="BodyText2Char">
    <w:name w:val="Body Text 2 Char"/>
    <w:basedOn w:val="DefaultParagraphFont"/>
    <w:link w:val="BodyText2"/>
    <w:rsid w:val="00DB2575"/>
    <w:rPr>
      <w:rFonts w:ascii="Times New Roman" w:eastAsia="Times New Roman" w:hAnsi="Times New Roman" w:cs="Times New Roman"/>
      <w:sz w:val="24"/>
      <w:szCs w:val="24"/>
      <w:lang w:val="x-none" w:eastAsia="ru-RU"/>
    </w:rPr>
  </w:style>
  <w:style w:type="table" w:styleId="TableGrid">
    <w:name w:val="Table Grid"/>
    <w:basedOn w:val="TableNormal"/>
    <w:uiPriority w:val="39"/>
    <w:rsid w:val="00983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4F1F"/>
    <w:pPr>
      <w:tabs>
        <w:tab w:val="center" w:pos="4513"/>
        <w:tab w:val="right" w:pos="9026"/>
      </w:tabs>
    </w:pPr>
  </w:style>
  <w:style w:type="character" w:customStyle="1" w:styleId="HeaderChar">
    <w:name w:val="Header Char"/>
    <w:basedOn w:val="DefaultParagraphFont"/>
    <w:link w:val="Header"/>
    <w:uiPriority w:val="99"/>
    <w:rsid w:val="00A24F1F"/>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A24F1F"/>
    <w:pPr>
      <w:tabs>
        <w:tab w:val="center" w:pos="4513"/>
        <w:tab w:val="right" w:pos="9026"/>
      </w:tabs>
    </w:pPr>
  </w:style>
  <w:style w:type="character" w:customStyle="1" w:styleId="FooterChar">
    <w:name w:val="Footer Char"/>
    <w:basedOn w:val="DefaultParagraphFont"/>
    <w:link w:val="Footer"/>
    <w:uiPriority w:val="99"/>
    <w:rsid w:val="00A24F1F"/>
    <w:rPr>
      <w:rFonts w:ascii="Times New Roman" w:eastAsia="Times New Roman" w:hAnsi="Times New Roman" w:cs="Times New Roman"/>
      <w:sz w:val="24"/>
      <w:szCs w:val="24"/>
      <w:lang w:eastAsia="ru-RU"/>
    </w:rPr>
  </w:style>
  <w:style w:type="paragraph" w:styleId="Revision">
    <w:name w:val="Revision"/>
    <w:hidden/>
    <w:uiPriority w:val="99"/>
    <w:semiHidden/>
    <w:rsid w:val="002B0C5A"/>
    <w:pPr>
      <w:spacing w:after="0" w:line="240" w:lineRule="auto"/>
    </w:pPr>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2B0C5A"/>
    <w:rPr>
      <w:sz w:val="16"/>
      <w:szCs w:val="16"/>
    </w:rPr>
  </w:style>
  <w:style w:type="paragraph" w:styleId="CommentText">
    <w:name w:val="annotation text"/>
    <w:basedOn w:val="Normal"/>
    <w:link w:val="CommentTextChar"/>
    <w:uiPriority w:val="99"/>
    <w:semiHidden/>
    <w:unhideWhenUsed/>
    <w:rsid w:val="002B0C5A"/>
    <w:rPr>
      <w:sz w:val="20"/>
      <w:szCs w:val="20"/>
    </w:rPr>
  </w:style>
  <w:style w:type="character" w:customStyle="1" w:styleId="CommentTextChar">
    <w:name w:val="Comment Text Char"/>
    <w:basedOn w:val="DefaultParagraphFont"/>
    <w:link w:val="CommentText"/>
    <w:uiPriority w:val="99"/>
    <w:semiHidden/>
    <w:rsid w:val="002B0C5A"/>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2B0C5A"/>
    <w:rPr>
      <w:b/>
      <w:bCs/>
    </w:rPr>
  </w:style>
  <w:style w:type="character" w:customStyle="1" w:styleId="CommentSubjectChar">
    <w:name w:val="Comment Subject Char"/>
    <w:basedOn w:val="CommentTextChar"/>
    <w:link w:val="CommentSubject"/>
    <w:uiPriority w:val="99"/>
    <w:semiHidden/>
    <w:rsid w:val="002B0C5A"/>
    <w:rPr>
      <w:rFonts w:ascii="Times New Roman" w:eastAsia="Times New Roman" w:hAnsi="Times New Roman" w:cs="Times New Roman"/>
      <w:b/>
      <w:bCs/>
      <w:sz w:val="20"/>
      <w:szCs w:val="20"/>
      <w:lang w:eastAsia="ru-RU"/>
    </w:rPr>
  </w:style>
  <w:style w:type="character" w:styleId="Hyperlink">
    <w:name w:val="Hyperlink"/>
    <w:basedOn w:val="DefaultParagraphFont"/>
    <w:uiPriority w:val="99"/>
    <w:unhideWhenUsed/>
    <w:rsid w:val="00127582"/>
    <w:rPr>
      <w:color w:val="0563C1" w:themeColor="hyperlink"/>
      <w:u w:val="single"/>
    </w:rPr>
  </w:style>
  <w:style w:type="character" w:styleId="UnresolvedMention">
    <w:name w:val="Unresolved Mention"/>
    <w:basedOn w:val="DefaultParagraphFont"/>
    <w:uiPriority w:val="99"/>
    <w:semiHidden/>
    <w:unhideWhenUsed/>
    <w:rsid w:val="00127582"/>
    <w:rPr>
      <w:color w:val="605E5C"/>
      <w:shd w:val="clear" w:color="auto" w:fill="E1DFDD"/>
    </w:rPr>
  </w:style>
  <w:style w:type="character" w:styleId="FollowedHyperlink">
    <w:name w:val="FollowedHyperlink"/>
    <w:basedOn w:val="DefaultParagraphFont"/>
    <w:uiPriority w:val="99"/>
    <w:semiHidden/>
    <w:unhideWhenUsed/>
    <w:rsid w:val="001275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99962">
      <w:bodyDiv w:val="1"/>
      <w:marLeft w:val="0"/>
      <w:marRight w:val="0"/>
      <w:marTop w:val="0"/>
      <w:marBottom w:val="0"/>
      <w:divBdr>
        <w:top w:val="none" w:sz="0" w:space="0" w:color="auto"/>
        <w:left w:val="none" w:sz="0" w:space="0" w:color="auto"/>
        <w:bottom w:val="none" w:sz="0" w:space="0" w:color="auto"/>
        <w:right w:val="none" w:sz="0" w:space="0" w:color="auto"/>
      </w:divBdr>
    </w:div>
    <w:div w:id="137184411">
      <w:bodyDiv w:val="1"/>
      <w:marLeft w:val="0"/>
      <w:marRight w:val="0"/>
      <w:marTop w:val="0"/>
      <w:marBottom w:val="0"/>
      <w:divBdr>
        <w:top w:val="none" w:sz="0" w:space="0" w:color="auto"/>
        <w:left w:val="none" w:sz="0" w:space="0" w:color="auto"/>
        <w:bottom w:val="none" w:sz="0" w:space="0" w:color="auto"/>
        <w:right w:val="none" w:sz="0" w:space="0" w:color="auto"/>
      </w:divBdr>
    </w:div>
    <w:div w:id="593515667">
      <w:bodyDiv w:val="1"/>
      <w:marLeft w:val="0"/>
      <w:marRight w:val="0"/>
      <w:marTop w:val="0"/>
      <w:marBottom w:val="0"/>
      <w:divBdr>
        <w:top w:val="none" w:sz="0" w:space="0" w:color="auto"/>
        <w:left w:val="none" w:sz="0" w:space="0" w:color="auto"/>
        <w:bottom w:val="none" w:sz="0" w:space="0" w:color="auto"/>
        <w:right w:val="none" w:sz="0" w:space="0" w:color="auto"/>
      </w:divBdr>
    </w:div>
    <w:div w:id="977224859">
      <w:bodyDiv w:val="1"/>
      <w:marLeft w:val="0"/>
      <w:marRight w:val="0"/>
      <w:marTop w:val="0"/>
      <w:marBottom w:val="0"/>
      <w:divBdr>
        <w:top w:val="none" w:sz="0" w:space="0" w:color="auto"/>
        <w:left w:val="none" w:sz="0" w:space="0" w:color="auto"/>
        <w:bottom w:val="none" w:sz="0" w:space="0" w:color="auto"/>
        <w:right w:val="none" w:sz="0" w:space="0" w:color="auto"/>
      </w:divBdr>
      <w:divsChild>
        <w:div w:id="1841042092">
          <w:marLeft w:val="0"/>
          <w:marRight w:val="0"/>
          <w:marTop w:val="0"/>
          <w:marBottom w:val="0"/>
          <w:divBdr>
            <w:top w:val="none" w:sz="0" w:space="0" w:color="auto"/>
            <w:left w:val="none" w:sz="0" w:space="0" w:color="auto"/>
            <w:bottom w:val="none" w:sz="0" w:space="0" w:color="auto"/>
            <w:right w:val="none" w:sz="0" w:space="0" w:color="auto"/>
          </w:divBdr>
        </w:div>
      </w:divsChild>
    </w:div>
    <w:div w:id="1322272934">
      <w:bodyDiv w:val="1"/>
      <w:marLeft w:val="0"/>
      <w:marRight w:val="0"/>
      <w:marTop w:val="0"/>
      <w:marBottom w:val="0"/>
      <w:divBdr>
        <w:top w:val="none" w:sz="0" w:space="0" w:color="auto"/>
        <w:left w:val="none" w:sz="0" w:space="0" w:color="auto"/>
        <w:bottom w:val="none" w:sz="0" w:space="0" w:color="auto"/>
        <w:right w:val="none" w:sz="0" w:space="0" w:color="auto"/>
      </w:divBdr>
    </w:div>
    <w:div w:id="1588880236">
      <w:bodyDiv w:val="1"/>
      <w:marLeft w:val="0"/>
      <w:marRight w:val="0"/>
      <w:marTop w:val="0"/>
      <w:marBottom w:val="0"/>
      <w:divBdr>
        <w:top w:val="none" w:sz="0" w:space="0" w:color="auto"/>
        <w:left w:val="none" w:sz="0" w:space="0" w:color="auto"/>
        <w:bottom w:val="none" w:sz="0" w:space="0" w:color="auto"/>
        <w:right w:val="none" w:sz="0" w:space="0" w:color="auto"/>
      </w:divBdr>
      <w:divsChild>
        <w:div w:id="674499305">
          <w:marLeft w:val="0"/>
          <w:marRight w:val="0"/>
          <w:marTop w:val="0"/>
          <w:marBottom w:val="0"/>
          <w:divBdr>
            <w:top w:val="none" w:sz="0" w:space="0" w:color="auto"/>
            <w:left w:val="none" w:sz="0" w:space="0" w:color="auto"/>
            <w:bottom w:val="none" w:sz="0" w:space="0" w:color="auto"/>
            <w:right w:val="none" w:sz="0" w:space="0" w:color="auto"/>
          </w:divBdr>
        </w:div>
      </w:divsChild>
    </w:div>
    <w:div w:id="166593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tv.tiesa.gov.lv/web/viewer.html?file=/wp-content/uploads/2012/01/2012-02-0106_Spriedums.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533942.pdf" TargetMode="External"/><Relationship Id="rId12" Type="http://schemas.openxmlformats.org/officeDocument/2006/relationships/hyperlink" Target="C://Users/AmandaKarlsone/Downloads/Anonimizets_nolemums_345649.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anas.tiesas.lv/eTiesasMvc/eclinolemumi/ECLI:LV:AT:2018:0710.A420599211.2.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anas.tiesas.lv/eTiesasMvc/nolemumi/pdf/506578.pdf" TargetMode="External"/><Relationship Id="rId4" Type="http://schemas.openxmlformats.org/officeDocument/2006/relationships/webSettings" Target="webSettings.xml"/><Relationship Id="rId9" Type="http://schemas.openxmlformats.org/officeDocument/2006/relationships/hyperlink" Target="https://hudoc.echr.coe.int/eng?i=001-7102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36502-4351-4420-B35D-5F3B1B225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7119</Words>
  <Characters>4059</Characters>
  <Application>Microsoft Office Word</Application>
  <DocSecurity>0</DocSecurity>
  <Lines>33</Lines>
  <Paragraphs>22</Paragraphs>
  <ScaleCrop>false</ScaleCrop>
  <Company/>
  <LinksUpToDate>false</LinksUpToDate>
  <CharactersWithSpaces>11156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2024-08-08T11:50:00Z</dcterms:created>
  <dcterms:modified xsi:type="dcterms:W3CDTF">2024-08-08T11:50:00Z</dcterms:modified>
</cp:coreProperties>
</file>