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C0413" w14:textId="77777777" w:rsidR="00E40EDC" w:rsidRPr="00E40EDC" w:rsidRDefault="00E40EDC" w:rsidP="00C83310">
      <w:pPr>
        <w:spacing w:line="276" w:lineRule="auto"/>
        <w:rPr>
          <w:rFonts w:asciiTheme="majorBidi" w:hAnsiTheme="majorBidi" w:cstheme="majorBidi"/>
          <w:b/>
          <w:bCs/>
        </w:rPr>
      </w:pPr>
      <w:r w:rsidRPr="00E40EDC">
        <w:rPr>
          <w:rFonts w:asciiTheme="majorBidi" w:hAnsiTheme="majorBidi" w:cstheme="majorBidi"/>
          <w:b/>
          <w:bCs/>
        </w:rPr>
        <w:t xml:space="preserve">Apbedīšanas pabalsta piešķiršana </w:t>
      </w:r>
    </w:p>
    <w:p w14:paraId="4D55052C" w14:textId="77777777" w:rsidR="00E40EDC" w:rsidRPr="00E40EDC" w:rsidRDefault="00E40EDC" w:rsidP="00C83310">
      <w:pPr>
        <w:spacing w:line="276" w:lineRule="auto"/>
        <w:jc w:val="both"/>
        <w:rPr>
          <w:rFonts w:asciiTheme="majorBidi" w:hAnsiTheme="majorBidi" w:cstheme="majorBidi"/>
          <w:bCs/>
        </w:rPr>
      </w:pPr>
      <w:r w:rsidRPr="00E40EDC">
        <w:rPr>
          <w:rFonts w:asciiTheme="majorBidi" w:hAnsiTheme="majorBidi" w:cstheme="majorBidi"/>
          <w:bCs/>
        </w:rPr>
        <w:t xml:space="preserve">Apbedīšanas pabalsts tiek piešķirts ar noteiktu mērķi – sniegt finansiālu atbalstu mirušās personas apbedīšanai. </w:t>
      </w:r>
    </w:p>
    <w:p w14:paraId="51B452A2" w14:textId="77777777" w:rsidR="00E40EDC" w:rsidRPr="00E40EDC" w:rsidRDefault="00E40EDC" w:rsidP="00C83310">
      <w:pPr>
        <w:spacing w:line="276" w:lineRule="auto"/>
        <w:jc w:val="both"/>
        <w:rPr>
          <w:rFonts w:asciiTheme="majorBidi" w:hAnsiTheme="majorBidi" w:cstheme="majorBidi"/>
          <w:bCs/>
        </w:rPr>
      </w:pPr>
      <w:r w:rsidRPr="00E40EDC">
        <w:rPr>
          <w:rFonts w:asciiTheme="majorBidi" w:hAnsiTheme="majorBidi" w:cstheme="majorBidi"/>
          <w:bCs/>
        </w:rPr>
        <w:t>Tiesību normas nenoteic pienākumu pierādīt, ka tieši pabalsta pieprasītājs ir uzņēmies apbedīšanu, kā arī nenoteic pienākumu iestādei pēc tam pārbaudīt, vai persona šo pabalstu ir izmantojusi attiecīgā pabalsta mērķim. Proti, ja iestāde saņem iesniegumu apbedīšanas pabalsta piešķiršanai no personas, kurai ir tiesības uz šādu pabalstu, un nolemj pabalstu piešķirt un izmaksāt, tad tai nav pamata šādu pabalstu vēlreiz piešķirt arī citiem mirušās personas tuviniekiem. Strīdu par to, ka izmaksātais pabalsts nav izlietots tam paredzētajam mērķim – apbedīšanas izdevumu segšanai –, ģimenes locekļi var risināt savā starpā civiltiesiskā kārtībā.</w:t>
      </w:r>
    </w:p>
    <w:p w14:paraId="2D468BCD" w14:textId="77777777" w:rsidR="00E40EDC" w:rsidRDefault="00E40EDC" w:rsidP="00C83310">
      <w:pPr>
        <w:spacing w:line="276" w:lineRule="auto"/>
        <w:jc w:val="center"/>
        <w:rPr>
          <w:rFonts w:asciiTheme="majorBidi" w:hAnsiTheme="majorBidi" w:cstheme="majorBidi"/>
          <w:b/>
        </w:rPr>
      </w:pPr>
    </w:p>
    <w:p w14:paraId="1B5712E8" w14:textId="77777777" w:rsidR="00E40EDC" w:rsidRDefault="00E40EDC" w:rsidP="00C83310">
      <w:pPr>
        <w:spacing w:line="276" w:lineRule="auto"/>
        <w:jc w:val="center"/>
        <w:rPr>
          <w:rFonts w:asciiTheme="majorBidi" w:hAnsiTheme="majorBidi" w:cstheme="majorBidi"/>
          <w:b/>
        </w:rPr>
      </w:pPr>
    </w:p>
    <w:p w14:paraId="4ADDD57B" w14:textId="1419650E" w:rsidR="00E40EDC" w:rsidRPr="003F5DE9" w:rsidRDefault="00E40EDC" w:rsidP="00C83310">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3B53A76D" w14:textId="77777777" w:rsidR="00E40EDC" w:rsidRPr="003F5DE9" w:rsidRDefault="00E40EDC" w:rsidP="00C83310">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134ACEFA" w14:textId="4017E60D" w:rsidR="00E40EDC" w:rsidRPr="003F5DE9" w:rsidRDefault="00E40EDC" w:rsidP="00C83310">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27</w:t>
      </w:r>
      <w:r w:rsidRPr="003F5DE9">
        <w:rPr>
          <w:rFonts w:asciiTheme="majorBidi" w:hAnsiTheme="majorBidi" w:cstheme="majorBidi"/>
          <w:b/>
        </w:rPr>
        <w:t>. </w:t>
      </w:r>
      <w:r>
        <w:rPr>
          <w:rFonts w:asciiTheme="majorBidi" w:hAnsiTheme="majorBidi" w:cstheme="majorBidi"/>
          <w:b/>
        </w:rPr>
        <w:t>marta</w:t>
      </w:r>
    </w:p>
    <w:p w14:paraId="37F30026" w14:textId="70AF8649" w:rsidR="00E40EDC" w:rsidRPr="003F5DE9" w:rsidRDefault="00E40EDC" w:rsidP="00C83310">
      <w:pPr>
        <w:spacing w:line="276" w:lineRule="auto"/>
        <w:jc w:val="center"/>
        <w:rPr>
          <w:rFonts w:asciiTheme="majorBidi" w:hAnsiTheme="majorBidi" w:cstheme="majorBidi"/>
          <w:b/>
        </w:rPr>
      </w:pPr>
      <w:r>
        <w:rPr>
          <w:rFonts w:asciiTheme="majorBidi" w:hAnsiTheme="majorBidi" w:cstheme="majorBidi"/>
          <w:b/>
        </w:rPr>
        <w:t>RĪCĪBAS SĒDES LĒMUMS</w:t>
      </w:r>
    </w:p>
    <w:p w14:paraId="0059758B" w14:textId="1D5822F0" w:rsidR="00E40EDC" w:rsidRDefault="00E40EDC" w:rsidP="00C83310">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sidR="00414A3A">
        <w:rPr>
          <w:rFonts w:asciiTheme="majorBidi" w:hAnsiTheme="majorBidi" w:cstheme="majorBidi"/>
          <w:b/>
          <w:iCs/>
        </w:rPr>
        <w:t>A</w:t>
      </w:r>
      <w:r>
        <w:rPr>
          <w:rFonts w:asciiTheme="majorBidi" w:hAnsiTheme="majorBidi" w:cstheme="majorBidi"/>
          <w:b/>
          <w:iCs/>
        </w:rPr>
        <w:t>420218022</w:t>
      </w:r>
      <w:r w:rsidRPr="002F554F">
        <w:rPr>
          <w:rFonts w:asciiTheme="majorBidi" w:hAnsiTheme="majorBidi" w:cstheme="majorBidi"/>
          <w:b/>
          <w:iCs/>
        </w:rPr>
        <w:t>, SKA</w:t>
      </w:r>
      <w:r w:rsidRPr="003F5DE9">
        <w:rPr>
          <w:rFonts w:asciiTheme="majorBidi" w:hAnsiTheme="majorBidi" w:cstheme="majorBidi"/>
          <w:b/>
        </w:rPr>
        <w:t>-</w:t>
      </w:r>
      <w:r>
        <w:rPr>
          <w:rFonts w:asciiTheme="majorBidi" w:hAnsiTheme="majorBidi" w:cstheme="majorBidi"/>
          <w:b/>
        </w:rPr>
        <w:t>301/2024</w:t>
      </w:r>
    </w:p>
    <w:p w14:paraId="02FF10C5" w14:textId="7950DF50" w:rsidR="00E40EDC" w:rsidRPr="002F554F" w:rsidRDefault="00CA5207" w:rsidP="00C83310">
      <w:pPr>
        <w:spacing w:line="276" w:lineRule="auto"/>
        <w:jc w:val="center"/>
        <w:rPr>
          <w:rStyle w:val="Hyperlink"/>
          <w:shd w:val="clear" w:color="auto" w:fill="FFFFFF"/>
        </w:rPr>
      </w:pPr>
      <w:hyperlink r:id="rId8" w:history="1">
        <w:r w:rsidR="00E40EDC" w:rsidRPr="00E40EDC">
          <w:rPr>
            <w:rStyle w:val="Hyperlink"/>
            <w:shd w:val="clear" w:color="auto" w:fill="FFFFFF"/>
          </w:rPr>
          <w:t>ECLI:LV:AT:2024:0327.A420218022.9.L</w:t>
        </w:r>
      </w:hyperlink>
    </w:p>
    <w:p w14:paraId="296853F3" w14:textId="77777777" w:rsidR="00E40EDC" w:rsidRDefault="00E40EDC" w:rsidP="00C83310">
      <w:pPr>
        <w:tabs>
          <w:tab w:val="left" w:pos="540"/>
          <w:tab w:val="left" w:pos="720"/>
        </w:tabs>
        <w:spacing w:line="276" w:lineRule="auto"/>
        <w:ind w:firstLine="720"/>
        <w:jc w:val="both"/>
        <w:rPr>
          <w:rFonts w:asciiTheme="majorBidi" w:hAnsiTheme="majorBidi" w:cstheme="majorBidi"/>
        </w:rPr>
      </w:pPr>
    </w:p>
    <w:p w14:paraId="32018E52" w14:textId="50CAF3A4" w:rsidR="00940F8F" w:rsidRDefault="007F0E08" w:rsidP="00C83310">
      <w:pPr>
        <w:tabs>
          <w:tab w:val="left" w:pos="540"/>
          <w:tab w:val="left" w:pos="720"/>
        </w:tabs>
        <w:spacing w:line="276" w:lineRule="auto"/>
        <w:ind w:firstLine="720"/>
        <w:jc w:val="both"/>
      </w:pPr>
      <w:r w:rsidRPr="00C37AF7">
        <w:rPr>
          <w:rFonts w:asciiTheme="majorBidi" w:hAnsiTheme="majorBidi" w:cstheme="majorBidi"/>
        </w:rPr>
        <w:t>[1]</w:t>
      </w:r>
      <w:r w:rsidR="00940F8F">
        <w:rPr>
          <w:rFonts w:asciiTheme="majorBidi" w:hAnsiTheme="majorBidi" w:cstheme="majorBidi"/>
        </w:rPr>
        <w:t> </w:t>
      </w:r>
      <w:r w:rsidR="00940F8F" w:rsidRPr="00A601A8">
        <w:rPr>
          <w:rFonts w:asciiTheme="majorBidi" w:hAnsiTheme="majorBidi" w:cstheme="majorBidi"/>
        </w:rPr>
        <w:t xml:space="preserve">Pieteicēja </w:t>
      </w:r>
      <w:r w:rsidR="002A29BC">
        <w:rPr>
          <w:rFonts w:asciiTheme="majorBidi" w:hAnsiTheme="majorBidi" w:cstheme="majorBidi"/>
        </w:rPr>
        <w:t>[pers. A]</w:t>
      </w:r>
      <w:r w:rsidR="00940F8F" w:rsidRPr="00A601A8">
        <w:rPr>
          <w:rFonts w:asciiTheme="majorBidi" w:hAnsiTheme="majorBidi" w:cstheme="majorBidi"/>
        </w:rPr>
        <w:t xml:space="preserve"> ir iesniegusi kasācijas sūdzību par Administratīvās apgabaltiesas 2023.gada </w:t>
      </w:r>
      <w:r w:rsidR="001408BE">
        <w:rPr>
          <w:rFonts w:asciiTheme="majorBidi" w:hAnsiTheme="majorBidi" w:cstheme="majorBidi"/>
        </w:rPr>
        <w:t>15.augusta</w:t>
      </w:r>
      <w:r w:rsidR="00940F8F" w:rsidRPr="00A601A8">
        <w:rPr>
          <w:rFonts w:asciiTheme="majorBidi" w:hAnsiTheme="majorBidi" w:cstheme="majorBidi"/>
        </w:rPr>
        <w:t xml:space="preserve"> spriedumu, ar kuru noraidīts pieteicējas pieteikums par </w:t>
      </w:r>
      <w:r w:rsidR="00992F29">
        <w:t>labvēlīga administratīvā akta izdošanu – apbedīšanas pabalsta piešķiršanu.</w:t>
      </w:r>
    </w:p>
    <w:p w14:paraId="06CB725B" w14:textId="63EB7C44" w:rsidR="001408BE" w:rsidRPr="00992F29" w:rsidRDefault="00846529" w:rsidP="00C83310">
      <w:pPr>
        <w:tabs>
          <w:tab w:val="left" w:pos="540"/>
          <w:tab w:val="left" w:pos="720"/>
        </w:tabs>
        <w:spacing w:line="276" w:lineRule="auto"/>
        <w:ind w:firstLine="720"/>
        <w:jc w:val="both"/>
      </w:pPr>
      <w:r>
        <w:t>Valsts sociālās apdrošināšanas aģentūra</w:t>
      </w:r>
      <w:r w:rsidR="00992F29">
        <w:t xml:space="preserve"> atteica piešķirt </w:t>
      </w:r>
      <w:r>
        <w:t xml:space="preserve">pieteicējai </w:t>
      </w:r>
      <w:r w:rsidR="00992F29">
        <w:t>apbedīšanas pabalstu, jo konstatēja, ka šāds pabalsts par</w:t>
      </w:r>
      <w:r w:rsidR="00B529C4">
        <w:t xml:space="preserve"> </w:t>
      </w:r>
      <w:r w:rsidR="00992F29">
        <w:t>mirušo personu jau piešķirts cita</w:t>
      </w:r>
      <w:r w:rsidR="00B529C4">
        <w:t>m ģimenes loceklim.</w:t>
      </w:r>
    </w:p>
    <w:p w14:paraId="6D6D5F84" w14:textId="1142F618" w:rsidR="000B0CD7" w:rsidRDefault="00DB311C" w:rsidP="00C83310">
      <w:pPr>
        <w:tabs>
          <w:tab w:val="left" w:pos="540"/>
          <w:tab w:val="left" w:pos="720"/>
        </w:tabs>
        <w:spacing w:line="276" w:lineRule="auto"/>
        <w:ind w:firstLine="720"/>
        <w:jc w:val="both"/>
        <w:rPr>
          <w:rFonts w:asciiTheme="majorBidi" w:hAnsiTheme="majorBidi" w:cstheme="majorBidi"/>
        </w:rPr>
      </w:pPr>
      <w:r>
        <w:t>Apgabaltiesa spriedumā vērtēja, vai pieteicējai ir tiesības uz labvēlīga administratīvā akta izdošanu – apbedīšanas pabalsta piešķiršanu saistībā ar pieteicējas radinieces nāvi – apstākļos, kuros pieteicējai bijuši izdevumi par mirušās personas apbedīšanu, bet apbedīšanas pabalsts saistībā ar šīs personas nāvi iepriekš ticis izmaksāts citai personai – pieteicējas māsai.</w:t>
      </w:r>
      <w:r>
        <w:rPr>
          <w:rFonts w:asciiTheme="majorBidi" w:hAnsiTheme="majorBidi" w:cstheme="majorBidi"/>
        </w:rPr>
        <w:t xml:space="preserve"> Vērtējuma rezultātā a</w:t>
      </w:r>
      <w:r w:rsidR="006E4A71">
        <w:rPr>
          <w:rFonts w:asciiTheme="majorBidi" w:hAnsiTheme="majorBidi" w:cstheme="majorBidi"/>
        </w:rPr>
        <w:t>pgabalt</w:t>
      </w:r>
      <w:r w:rsidR="008A7E48" w:rsidRPr="000F1281">
        <w:rPr>
          <w:rFonts w:asciiTheme="majorBidi" w:hAnsiTheme="majorBidi" w:cstheme="majorBidi"/>
        </w:rPr>
        <w:t xml:space="preserve">iesa </w:t>
      </w:r>
      <w:r w:rsidR="00992F29">
        <w:rPr>
          <w:rFonts w:asciiTheme="majorBidi" w:hAnsiTheme="majorBidi" w:cstheme="majorBidi"/>
        </w:rPr>
        <w:t xml:space="preserve">atzina, ka </w:t>
      </w:r>
      <w:r w:rsidR="000B0CD7">
        <w:t xml:space="preserve">likuma </w:t>
      </w:r>
      <w:r w:rsidR="000B0CD7">
        <w:br/>
        <w:t>„Par valsts pensijām” 37.panta otrā daļa konkrētās lietas kontekstā, proti, attiecībā uz mirušas personas tuviniekiem, ir interpretējama tādējādi, ka tā paredz personai tiesības uz vienu reizi izmaksājamu pabalstu tuvinieka nāves gadījumā, un šā pabalsta mērķis ir noteiktā apmērā segt izdevumus, kas var rasties saistībā ar mirušā tuvinieka apbedīšanu. Šī norma pabalsta piešķiršanu personas tuviniekam nesaista ar citu kritēriju izpildi, tostarp tā neparedz, ka personai būtu tiesības uz apbedīšanas pabalsta saņemšanu tikai tādā gadījumā, ja šī persona faktiski attiecīgos līdzekļus izmanto apbedīšanas izmaksu segšanai, vai tikai dokumentāri pierādītu apbedīšanas izdevumu segšanai.</w:t>
      </w:r>
      <w:r w:rsidR="005539D0">
        <w:t xml:space="preserve"> Ja </w:t>
      </w:r>
      <w:r w:rsidR="00846529">
        <w:t xml:space="preserve">iestāde </w:t>
      </w:r>
      <w:r w:rsidR="005539D0">
        <w:t>saņem iesniegumu apbedīšanas pabalsta piešķiršanai no personas, kurai ir tiesības uz šādu pabalstu, un nolemj pabalstu piešķirt un izmaksāt, tad</w:t>
      </w:r>
      <w:r w:rsidR="00846529">
        <w:t xml:space="preserve"> </w:t>
      </w:r>
      <w:r w:rsidR="005539D0">
        <w:t>tai nav pamata šādu pabalstu vēlreiz piešķirt arī citiem mirušās personas tuviniekiem. Jautājums par to, kurš no mirušā tuviniekiem un kādā apmērā apmaksājis apbedīšanas izdevumus un attiecīgi vai un kā mirušā tuvinieku starpā būtu sadalāms izmaksātais apbedīšanas pabalsts, risināms šo personu starpā privāttiesiskā kārtībā.</w:t>
      </w:r>
    </w:p>
    <w:p w14:paraId="05F5BEBE" w14:textId="77777777" w:rsidR="001408BE" w:rsidRDefault="001408BE" w:rsidP="00C83310">
      <w:pPr>
        <w:tabs>
          <w:tab w:val="left" w:pos="540"/>
          <w:tab w:val="left" w:pos="720"/>
        </w:tabs>
        <w:spacing w:line="276" w:lineRule="auto"/>
        <w:jc w:val="both"/>
        <w:rPr>
          <w:rFonts w:asciiTheme="majorBidi" w:hAnsiTheme="majorBidi" w:cstheme="majorBidi"/>
        </w:rPr>
      </w:pPr>
    </w:p>
    <w:p w14:paraId="60570C9F" w14:textId="06DDCC5D" w:rsidR="00C752B4" w:rsidRPr="00BC77FF" w:rsidRDefault="00C752B4" w:rsidP="00C83310">
      <w:pPr>
        <w:tabs>
          <w:tab w:val="left" w:pos="540"/>
          <w:tab w:val="left" w:pos="720"/>
        </w:tabs>
        <w:spacing w:line="276" w:lineRule="auto"/>
        <w:ind w:firstLine="720"/>
        <w:jc w:val="both"/>
        <w:rPr>
          <w:rFonts w:asciiTheme="majorBidi" w:hAnsiTheme="majorBidi" w:cstheme="majorBidi"/>
        </w:rPr>
      </w:pPr>
      <w:r>
        <w:rPr>
          <w:rFonts w:asciiTheme="majorBidi" w:hAnsiTheme="majorBidi" w:cstheme="majorBidi"/>
        </w:rPr>
        <w:t>[2] </w:t>
      </w:r>
      <w:r w:rsidRPr="007620AA">
        <w:rPr>
          <w:rFonts w:asciiTheme="majorBidi" w:hAnsiTheme="majorBidi" w:cstheme="majorBidi"/>
        </w:rPr>
        <w:t>Saskaņā ar Administratīvā procesa likuma 338.</w:t>
      </w:r>
      <w:r w:rsidRPr="007620AA">
        <w:rPr>
          <w:rFonts w:asciiTheme="majorBidi" w:hAnsiTheme="majorBidi" w:cstheme="majorBidi"/>
          <w:vertAlign w:val="superscript"/>
        </w:rPr>
        <w:t>1</w:t>
      </w:r>
      <w:r w:rsidRPr="007620AA">
        <w:rPr>
          <w:rFonts w:asciiTheme="majorBidi" w:hAnsiTheme="majorBidi" w:cstheme="majorBidi"/>
        </w:rPr>
        <w:t xml:space="preserve">panta otrās daļas 2.punktu tiesnešu kolēģija var atteikties ierosināt kasācijas tiesvedību, ja, izvērtējot kasācijas sūdzībā minētos argumentus, nerodas šaubas par pārsūdzētā sprieduma tiesiskumu un izskatāmajai lietai nav nozīmes judikatūras veidošanā. </w:t>
      </w:r>
    </w:p>
    <w:p w14:paraId="5687F1DE" w14:textId="3DFCDB60" w:rsidR="005539D0" w:rsidRPr="00C37AF7" w:rsidRDefault="00C752B4" w:rsidP="00C83310">
      <w:pPr>
        <w:tabs>
          <w:tab w:val="left" w:pos="540"/>
          <w:tab w:val="left" w:pos="720"/>
        </w:tabs>
        <w:spacing w:line="276" w:lineRule="auto"/>
        <w:ind w:firstLine="720"/>
        <w:jc w:val="both"/>
        <w:rPr>
          <w:rFonts w:asciiTheme="majorBidi" w:hAnsiTheme="majorBidi" w:cstheme="majorBidi"/>
        </w:rPr>
      </w:pPr>
      <w:r w:rsidRPr="007620AA">
        <w:rPr>
          <w:rFonts w:asciiTheme="majorBidi" w:hAnsiTheme="majorBidi" w:cstheme="majorBidi"/>
        </w:rPr>
        <w:t>Izvērtējusi iesniegto kasācijas sūdzību, senatoru kolēģija atzīst, ka tajā norādītie iebildumi nerada šaubas par sprieduma tiesiskumu.</w:t>
      </w:r>
    </w:p>
    <w:p w14:paraId="727283C9" w14:textId="247BF99B" w:rsidR="006F0DD2" w:rsidRPr="00BB3021" w:rsidRDefault="00ED169B" w:rsidP="00C83310">
      <w:pPr>
        <w:tabs>
          <w:tab w:val="left" w:pos="540"/>
          <w:tab w:val="left" w:pos="720"/>
        </w:tabs>
        <w:spacing w:line="276" w:lineRule="auto"/>
        <w:ind w:firstLine="720"/>
        <w:jc w:val="both"/>
        <w:rPr>
          <w:rFonts w:asciiTheme="majorBidi" w:hAnsiTheme="majorBidi" w:cstheme="majorBidi"/>
        </w:rPr>
      </w:pPr>
      <w:r w:rsidRPr="00C37AF7">
        <w:rPr>
          <w:rFonts w:asciiTheme="majorBidi" w:hAnsiTheme="majorBidi" w:cstheme="majorBidi"/>
        </w:rPr>
        <w:t>[</w:t>
      </w:r>
      <w:r w:rsidR="00EA2809">
        <w:rPr>
          <w:rFonts w:asciiTheme="majorBidi" w:hAnsiTheme="majorBidi" w:cstheme="majorBidi"/>
        </w:rPr>
        <w:t>3</w:t>
      </w:r>
      <w:r w:rsidRPr="00C37AF7">
        <w:rPr>
          <w:rFonts w:asciiTheme="majorBidi" w:hAnsiTheme="majorBidi" w:cstheme="majorBidi"/>
        </w:rPr>
        <w:t>]</w:t>
      </w:r>
      <w:r w:rsidR="007859B3">
        <w:rPr>
          <w:rFonts w:asciiTheme="majorBidi" w:hAnsiTheme="majorBidi" w:cstheme="majorBidi"/>
        </w:rPr>
        <w:t> </w:t>
      </w:r>
      <w:r w:rsidR="00534A79" w:rsidRPr="007F7A81">
        <w:t xml:space="preserve">Kasācijas sūdzībā pieteicēja atkārto </w:t>
      </w:r>
      <w:r w:rsidR="00534A79" w:rsidRPr="007F7A81">
        <w:rPr>
          <w:rFonts w:asciiTheme="majorBidi" w:hAnsiTheme="majorBidi" w:cstheme="majorBidi"/>
        </w:rPr>
        <w:t>tiesvedības gaitā izteiktos</w:t>
      </w:r>
      <w:r w:rsidR="00534A79" w:rsidRPr="007F7A81">
        <w:t xml:space="preserve"> apsvērumus</w:t>
      </w:r>
      <w:r w:rsidR="00E33B07">
        <w:rPr>
          <w:rFonts w:asciiTheme="majorBidi" w:hAnsiTheme="majorBidi" w:cstheme="majorBidi"/>
        </w:rPr>
        <w:t>,</w:t>
      </w:r>
      <w:r w:rsidR="004726F8">
        <w:rPr>
          <w:rFonts w:asciiTheme="majorBidi" w:hAnsiTheme="majorBidi" w:cstheme="majorBidi"/>
        </w:rPr>
        <w:t xml:space="preserve"> </w:t>
      </w:r>
      <w:r w:rsidR="00846529">
        <w:rPr>
          <w:rFonts w:asciiTheme="majorBidi" w:hAnsiTheme="majorBidi" w:cstheme="majorBidi"/>
        </w:rPr>
        <w:br/>
      </w:r>
      <w:r w:rsidR="00912DC5">
        <w:rPr>
          <w:rFonts w:asciiTheme="majorBidi" w:hAnsiTheme="majorBidi" w:cstheme="majorBidi"/>
        </w:rPr>
        <w:t xml:space="preserve">ka tiesa ir nepareizi interpretējusi </w:t>
      </w:r>
      <w:r w:rsidR="00912DC5">
        <w:t>likuma „Par valsts pensijām” 37.panta otro daļu.</w:t>
      </w:r>
      <w:r w:rsidR="00BB3021">
        <w:rPr>
          <w:rFonts w:asciiTheme="majorBidi" w:hAnsiTheme="majorBidi" w:cstheme="majorBidi"/>
        </w:rPr>
        <w:t xml:space="preserve"> </w:t>
      </w:r>
      <w:r w:rsidR="00846529">
        <w:rPr>
          <w:rFonts w:asciiTheme="majorBidi" w:hAnsiTheme="majorBidi" w:cstheme="majorBidi"/>
        </w:rPr>
        <w:t xml:space="preserve">Pieteicēja norāda, ka </w:t>
      </w:r>
      <w:r w:rsidR="004726F8">
        <w:rPr>
          <w:rFonts w:asciiTheme="majorBidi" w:hAnsiTheme="majorBidi" w:cstheme="majorBidi"/>
        </w:rPr>
        <w:t xml:space="preserve">tieši </w:t>
      </w:r>
      <w:r w:rsidR="00846529">
        <w:rPr>
          <w:rFonts w:asciiTheme="majorBidi" w:hAnsiTheme="majorBidi" w:cstheme="majorBidi"/>
        </w:rPr>
        <w:t>viņa</w:t>
      </w:r>
      <w:r w:rsidR="004726F8">
        <w:rPr>
          <w:rFonts w:asciiTheme="majorBidi" w:hAnsiTheme="majorBidi" w:cstheme="majorBidi"/>
        </w:rPr>
        <w:t xml:space="preserve"> ir tā </w:t>
      </w:r>
      <w:r w:rsidR="004726F8">
        <w:t xml:space="preserve">persona, kas uzņēmusies un arī faktiski veikusi darbības saistībā ar mirušās personas apbedīšanu, tāpēc </w:t>
      </w:r>
      <w:r w:rsidR="00846529">
        <w:t>arī tieši viņai</w:t>
      </w:r>
      <w:r w:rsidR="004726F8">
        <w:t xml:space="preserve"> ir tiesības saņemt apbedīšanas pabalstu.</w:t>
      </w:r>
      <w:r w:rsidR="006F0DD2">
        <w:t xml:space="preserve"> Pieteicēja uztur viedokli, ka iestādei bija jānoskaidro, vai šī cita persona, kurai apbedīšanas pabalsts izmaksāts, patiešām to izmantoj</w:t>
      </w:r>
      <w:r w:rsidR="00BB3021">
        <w:t>a</w:t>
      </w:r>
      <w:r w:rsidR="00846529">
        <w:t xml:space="preserve"> atbilstoši normas mērķim –</w:t>
      </w:r>
      <w:r w:rsidR="006F0DD2">
        <w:t xml:space="preserve"> personas apbedīšanai.</w:t>
      </w:r>
    </w:p>
    <w:p w14:paraId="1FB2D299" w14:textId="53AB7FB7" w:rsidR="007859B3" w:rsidRPr="007859B3" w:rsidRDefault="007859B3" w:rsidP="00C83310">
      <w:pPr>
        <w:tabs>
          <w:tab w:val="left" w:pos="540"/>
          <w:tab w:val="left" w:pos="720"/>
        </w:tabs>
        <w:spacing w:line="276" w:lineRule="auto"/>
        <w:ind w:firstLine="720"/>
        <w:jc w:val="both"/>
        <w:rPr>
          <w:rFonts w:asciiTheme="majorBidi" w:hAnsiTheme="majorBidi" w:cstheme="majorBidi"/>
        </w:rPr>
      </w:pPr>
      <w:r>
        <w:t>Minētais nav pamatots.</w:t>
      </w:r>
    </w:p>
    <w:p w14:paraId="59FC57BA" w14:textId="77777777" w:rsidR="007859B3" w:rsidRDefault="007859B3" w:rsidP="00C83310">
      <w:pPr>
        <w:tabs>
          <w:tab w:val="left" w:pos="540"/>
          <w:tab w:val="left" w:pos="720"/>
        </w:tabs>
        <w:spacing w:line="276" w:lineRule="auto"/>
        <w:ind w:firstLine="720"/>
        <w:jc w:val="both"/>
      </w:pPr>
    </w:p>
    <w:p w14:paraId="64539C04" w14:textId="3D57566C" w:rsidR="007859B3" w:rsidRPr="00846529" w:rsidRDefault="007859B3" w:rsidP="00C83310">
      <w:pPr>
        <w:tabs>
          <w:tab w:val="left" w:pos="540"/>
          <w:tab w:val="left" w:pos="720"/>
        </w:tabs>
        <w:spacing w:line="276" w:lineRule="auto"/>
        <w:ind w:firstLine="720"/>
        <w:jc w:val="both"/>
        <w:rPr>
          <w:rFonts w:asciiTheme="majorBidi" w:hAnsiTheme="majorBidi" w:cstheme="majorBidi"/>
        </w:rPr>
      </w:pPr>
      <w:r>
        <w:t xml:space="preserve">[4] Likuma „Par valsts pensijām” 37.panta </w:t>
      </w:r>
      <w:r w:rsidRPr="00846529">
        <w:rPr>
          <w:rFonts w:asciiTheme="majorBidi" w:hAnsiTheme="majorBidi" w:cstheme="majorBidi"/>
        </w:rPr>
        <w:t>otrā daļa noteic, ka pensijas saņēmēja nāves gadījumā viņa ģimenei vai personai, kas uzņēmusies apbedīšanu, izmaksā apbedīšanas pabalstu divu mēnešu pensijas apmērā.</w:t>
      </w:r>
      <w:r w:rsidR="00846529" w:rsidRPr="00846529">
        <w:rPr>
          <w:rFonts w:asciiTheme="majorBidi" w:hAnsiTheme="majorBidi" w:cstheme="majorBidi"/>
        </w:rPr>
        <w:t xml:space="preserve"> </w:t>
      </w:r>
      <w:r w:rsidR="00846529" w:rsidRPr="00846529">
        <w:rPr>
          <w:rFonts w:asciiTheme="majorBidi" w:hAnsiTheme="majorBidi" w:cstheme="majorBidi"/>
          <w:shd w:val="clear" w:color="auto" w:fill="FFFFFF"/>
        </w:rPr>
        <w:t>Tiesības uz pabalstu ir, ja tas pieprasīts sešu mēnešu laikā no pensijas saņēmēja nāves dienas.</w:t>
      </w:r>
    </w:p>
    <w:p w14:paraId="0BFC538E" w14:textId="28A43268" w:rsidR="00846529" w:rsidRDefault="006F0DD2" w:rsidP="00C83310">
      <w:pPr>
        <w:tabs>
          <w:tab w:val="left" w:pos="540"/>
          <w:tab w:val="left" w:pos="720"/>
        </w:tabs>
        <w:spacing w:line="276" w:lineRule="auto"/>
        <w:ind w:firstLine="720"/>
        <w:jc w:val="both"/>
      </w:pPr>
      <w:r w:rsidRPr="00846529">
        <w:rPr>
          <w:rFonts w:asciiTheme="majorBidi" w:hAnsiTheme="majorBidi" w:cstheme="majorBidi"/>
        </w:rPr>
        <w:t>Senatoru kolēģija piekrīt pieteicējai, ka apbedīšanas pabalsts tiek piešķirts ar noteiktu mērķi – sniegt finansiālu atbalstu mirušās personas apbedīšanai. Tomēr</w:t>
      </w:r>
      <w:r w:rsidR="001D1C01" w:rsidRPr="00846529">
        <w:rPr>
          <w:rFonts w:asciiTheme="majorBidi" w:hAnsiTheme="majorBidi" w:cstheme="majorBidi"/>
        </w:rPr>
        <w:t>, lai atzītu personas tiesības saņemt apbedīšanas pabalstu, nozīme jāpiešķir</w:t>
      </w:r>
      <w:r w:rsidR="001D1C01" w:rsidRPr="00846529">
        <w:t xml:space="preserve"> </w:t>
      </w:r>
      <w:r w:rsidR="001D1C01">
        <w:t>tam, vai ir iestājušies tiesību normā</w:t>
      </w:r>
      <w:r w:rsidR="00822CF3">
        <w:t>s</w:t>
      </w:r>
      <w:r w:rsidR="001D1C01">
        <w:t xml:space="preserve"> noteiktie priekšnoteikumi šāda pabalsta saņemšanai.</w:t>
      </w:r>
      <w:r w:rsidR="005539D0">
        <w:t xml:space="preserve"> </w:t>
      </w:r>
    </w:p>
    <w:p w14:paraId="25920E89" w14:textId="449B7FA2" w:rsidR="006D4D9B" w:rsidRDefault="005539D0" w:rsidP="00C83310">
      <w:pPr>
        <w:tabs>
          <w:tab w:val="left" w:pos="540"/>
          <w:tab w:val="left" w:pos="720"/>
        </w:tabs>
        <w:spacing w:line="276" w:lineRule="auto"/>
        <w:ind w:firstLine="720"/>
        <w:jc w:val="both"/>
      </w:pPr>
      <w:r>
        <w:t xml:space="preserve">No </w:t>
      </w:r>
      <w:r w:rsidR="00846529">
        <w:t>strīdus</w:t>
      </w:r>
      <w:r w:rsidR="00AC6F5B">
        <w:t xml:space="preserve"> tiesību normas</w:t>
      </w:r>
      <w:r>
        <w:t xml:space="preserve"> izriet, ka tiesības uz </w:t>
      </w:r>
      <w:r w:rsidR="00846529">
        <w:t>apbedīšanas</w:t>
      </w:r>
      <w:r>
        <w:t xml:space="preserve"> pabalstu ir mirušās personas ģimenei vai personai, kas uzņēmusies apbedīšanu, un ka par mirušo personu šāds pabalsts piešķirams</w:t>
      </w:r>
      <w:r w:rsidR="00AC6F5B">
        <w:t xml:space="preserve"> vienu reizi</w:t>
      </w:r>
      <w:r>
        <w:t xml:space="preserve">. </w:t>
      </w:r>
      <w:r w:rsidR="006D4D9B">
        <w:t xml:space="preserve">Senatoru kolēģija </w:t>
      </w:r>
      <w:r w:rsidR="00912DC5">
        <w:t>konstatē</w:t>
      </w:r>
      <w:r w:rsidR="006D4D9B">
        <w:t xml:space="preserve">, </w:t>
      </w:r>
      <w:r>
        <w:t>ka tiesību normas nenoteic pienākumu</w:t>
      </w:r>
      <w:r w:rsidR="00BB3021">
        <w:t xml:space="preserve"> pierādīt, ka tieši pabalsta pieprasītājs ir uzņēmies apbedīšanu</w:t>
      </w:r>
      <w:r w:rsidR="00AC6F5B">
        <w:t xml:space="preserve">, kā arī nenoteic pienākumu </w:t>
      </w:r>
      <w:r>
        <w:t xml:space="preserve">iestādei </w:t>
      </w:r>
      <w:r w:rsidR="00AC6F5B">
        <w:t xml:space="preserve">pēc tam </w:t>
      </w:r>
      <w:r>
        <w:t xml:space="preserve">pārbaudīt, vai persona </w:t>
      </w:r>
      <w:r w:rsidR="00912DC5">
        <w:t>šo</w:t>
      </w:r>
      <w:r>
        <w:t xml:space="preserve"> pabalstu ir izmantojusi attiecīgā pabalsta mērķim.</w:t>
      </w:r>
      <w:r w:rsidR="00846529">
        <w:t xml:space="preserve"> </w:t>
      </w:r>
      <w:r w:rsidR="00BB3021">
        <w:t>L</w:t>
      </w:r>
      <w:r w:rsidR="00912DC5">
        <w:t xml:space="preserve">ietā nav strīda, ka </w:t>
      </w:r>
      <w:r w:rsidR="00BB3021">
        <w:t xml:space="preserve">apbedīšanas </w:t>
      </w:r>
      <w:r w:rsidR="00912DC5">
        <w:t xml:space="preserve">pabalsts tika izmaksāts ģimenes loceklim. Savukārt </w:t>
      </w:r>
      <w:r w:rsidR="006D4D9B">
        <w:t>strīd</w:t>
      </w:r>
      <w:r w:rsidR="00F61F9C">
        <w:t>u</w:t>
      </w:r>
      <w:r w:rsidR="00912DC5">
        <w:t xml:space="preserve"> par to, ka izmaksāt</w:t>
      </w:r>
      <w:r w:rsidR="00F61F9C">
        <w:t>ais</w:t>
      </w:r>
      <w:r w:rsidR="00912DC5">
        <w:t xml:space="preserve"> pabalst</w:t>
      </w:r>
      <w:r w:rsidR="00F61F9C">
        <w:t xml:space="preserve">s </w:t>
      </w:r>
      <w:r w:rsidR="00912DC5">
        <w:t>nav izlieto</w:t>
      </w:r>
      <w:r w:rsidR="00F61F9C">
        <w:t xml:space="preserve">ts tam </w:t>
      </w:r>
      <w:r w:rsidR="00912DC5">
        <w:t>paredzētajam mērķim – apbedīšanas izdevumu segšanai –,</w:t>
      </w:r>
      <w:r w:rsidR="006D4D9B">
        <w:t xml:space="preserve"> ģimenes locek</w:t>
      </w:r>
      <w:r w:rsidR="00912DC5">
        <w:t>ļi var</w:t>
      </w:r>
      <w:r w:rsidR="006D4D9B">
        <w:t xml:space="preserve"> </w:t>
      </w:r>
      <w:r w:rsidR="00912DC5">
        <w:t xml:space="preserve">risināt savā starpā </w:t>
      </w:r>
      <w:r w:rsidR="006D4D9B">
        <w:t>civiltiesiskā kārtībā.</w:t>
      </w:r>
    </w:p>
    <w:p w14:paraId="05906AEE" w14:textId="77777777" w:rsidR="006D4D9B" w:rsidRDefault="006D4D9B" w:rsidP="00C83310">
      <w:pPr>
        <w:tabs>
          <w:tab w:val="left" w:pos="540"/>
          <w:tab w:val="left" w:pos="720"/>
        </w:tabs>
        <w:spacing w:line="276" w:lineRule="auto"/>
        <w:ind w:firstLine="720"/>
        <w:jc w:val="both"/>
      </w:pPr>
    </w:p>
    <w:p w14:paraId="3445E78D" w14:textId="06B91F38" w:rsidR="001408BE" w:rsidRPr="006D4D9B" w:rsidRDefault="006D4D9B" w:rsidP="00C83310">
      <w:pPr>
        <w:tabs>
          <w:tab w:val="left" w:pos="540"/>
          <w:tab w:val="left" w:pos="720"/>
        </w:tabs>
        <w:spacing w:line="276" w:lineRule="auto"/>
        <w:ind w:firstLine="720"/>
        <w:jc w:val="both"/>
      </w:pPr>
      <w:r>
        <w:t xml:space="preserve">[5] Pieteicēja kasācijas sūdzībā neizvirza jaunus argumentus, bet atkārto </w:t>
      </w:r>
      <w:r w:rsidR="00BB3021">
        <w:t>tiesvedības gaitā</w:t>
      </w:r>
      <w:r>
        <w:t xml:space="preserve"> norādītos iebildumus</w:t>
      </w:r>
      <w:r w:rsidR="00BB3021">
        <w:t xml:space="preserve">, kurus </w:t>
      </w:r>
      <w:r w:rsidR="00480406" w:rsidRPr="007F7A81">
        <w:t xml:space="preserve">apgabaltiesa, tostarp </w:t>
      </w:r>
      <w:r w:rsidR="006E4A71">
        <w:t>pievienojoties</w:t>
      </w:r>
      <w:r w:rsidR="00480406" w:rsidRPr="007F7A81">
        <w:t xml:space="preserve"> rajona tiesas sprieduma motivācij</w:t>
      </w:r>
      <w:r w:rsidR="006E4A71">
        <w:t>ai</w:t>
      </w:r>
      <w:r w:rsidR="00480406" w:rsidRPr="007F7A81">
        <w:t>, jau ir vispusīgi izvērtējusi</w:t>
      </w:r>
      <w:r w:rsidR="00534A79">
        <w:t xml:space="preserve"> un pienācīgi pamatojusi, kāpēc tie nav pamatoti</w:t>
      </w:r>
      <w:r w:rsidR="00480406" w:rsidRPr="007F7A81">
        <w:t xml:space="preserve">. </w:t>
      </w:r>
      <w:r w:rsidR="00534A79">
        <w:t>Kasācijas sūdzībā nav norādīti tiesas iepriekš neizvērtēti argumenti, kas liktu apšaubīt tiesas secinājumu</w:t>
      </w:r>
      <w:r w:rsidR="006A55D4">
        <w:t xml:space="preserve"> pareizību</w:t>
      </w:r>
      <w:r w:rsidR="00534A79">
        <w:t xml:space="preserve">. </w:t>
      </w:r>
      <w:r w:rsidR="006A55D4">
        <w:t>Savukārt p</w:t>
      </w:r>
      <w:r w:rsidR="00480406">
        <w:t xml:space="preserve">ieteicējas atšķirīgs viedoklis par to, kādus citādus secinājumus tiesai vajadzēja izdarīt, pats par sevi nevar būt pamats tiesas sprieduma </w:t>
      </w:r>
      <w:r w:rsidR="00534A79">
        <w:t>pārskatīšanai kasācijas kārtībā.</w:t>
      </w:r>
    </w:p>
    <w:p w14:paraId="5586776C" w14:textId="77777777" w:rsidR="001408BE" w:rsidRDefault="001408BE" w:rsidP="00C83310">
      <w:pPr>
        <w:tabs>
          <w:tab w:val="left" w:pos="540"/>
          <w:tab w:val="left" w:pos="720"/>
        </w:tabs>
        <w:spacing w:line="276" w:lineRule="auto"/>
        <w:ind w:firstLine="720"/>
        <w:jc w:val="both"/>
        <w:rPr>
          <w:rFonts w:asciiTheme="majorBidi" w:hAnsiTheme="majorBidi" w:cstheme="majorBidi"/>
        </w:rPr>
      </w:pPr>
    </w:p>
    <w:p w14:paraId="0032355B" w14:textId="1AE16FB0" w:rsidR="00A148F9" w:rsidRPr="00DA0773" w:rsidRDefault="00A148F9" w:rsidP="00C83310">
      <w:pPr>
        <w:tabs>
          <w:tab w:val="left" w:pos="540"/>
          <w:tab w:val="left" w:pos="720"/>
        </w:tabs>
        <w:spacing w:line="276" w:lineRule="auto"/>
        <w:ind w:firstLine="720"/>
        <w:jc w:val="both"/>
        <w:rPr>
          <w:rFonts w:asciiTheme="majorBidi" w:hAnsiTheme="majorBidi" w:cstheme="majorBidi"/>
        </w:rPr>
      </w:pPr>
      <w:r w:rsidRPr="00C37AF7">
        <w:rPr>
          <w:rFonts w:asciiTheme="majorBidi" w:hAnsiTheme="majorBidi" w:cstheme="majorBidi"/>
        </w:rPr>
        <w:t>[</w:t>
      </w:r>
      <w:r w:rsidR="00534A79">
        <w:rPr>
          <w:rFonts w:asciiTheme="majorBidi" w:hAnsiTheme="majorBidi" w:cstheme="majorBidi"/>
        </w:rPr>
        <w:t>6</w:t>
      </w:r>
      <w:r w:rsidRPr="00C37AF7">
        <w:rPr>
          <w:rFonts w:asciiTheme="majorBidi" w:hAnsiTheme="majorBidi" w:cstheme="majorBidi"/>
        </w:rPr>
        <w:t>]</w:t>
      </w:r>
      <w:r w:rsidR="00DA0773">
        <w:rPr>
          <w:rFonts w:asciiTheme="majorBidi" w:hAnsiTheme="majorBidi" w:cstheme="majorBidi"/>
        </w:rPr>
        <w:t> </w:t>
      </w:r>
      <w:r w:rsidR="00397BDF">
        <w:t>Ievērojot minēto, senatoru kolēģija atzīst, ka kasācijas sūdzībā minētie argumenti nerada šaubas par apgabaltiesas sprieduma tiesiskumu</w:t>
      </w:r>
      <w:r w:rsidR="00534A79">
        <w:t>.</w:t>
      </w:r>
      <w:r w:rsidR="00397BDF">
        <w:t xml:space="preserve"> Lietā nav arī risināmi </w:t>
      </w:r>
      <w:r w:rsidR="00397BDF">
        <w:lastRenderedPageBreak/>
        <w:t>sarežģīti tiesību jautājumi, kuru dēļ kasācijas tiesvedībai būtu nozīme judikatūras veidošanā. Līdz ar to kasācijas tiesvedības ierosināšana ir atsakāma.</w:t>
      </w:r>
    </w:p>
    <w:p w14:paraId="1EB4F0F7" w14:textId="77777777" w:rsidR="00A148F9" w:rsidRPr="00C37AF7" w:rsidRDefault="00A148F9" w:rsidP="00C83310">
      <w:pPr>
        <w:spacing w:line="276" w:lineRule="auto"/>
        <w:jc w:val="both"/>
        <w:rPr>
          <w:rFonts w:asciiTheme="majorBidi" w:hAnsiTheme="majorBidi" w:cstheme="majorBidi"/>
        </w:rPr>
      </w:pPr>
    </w:p>
    <w:p w14:paraId="05BE65D0" w14:textId="4C12C5D3" w:rsidR="007F0E08" w:rsidRPr="00C37AF7" w:rsidRDefault="007F0E08" w:rsidP="00C83310">
      <w:pPr>
        <w:spacing w:line="276" w:lineRule="auto"/>
        <w:ind w:firstLine="720"/>
        <w:jc w:val="both"/>
        <w:rPr>
          <w:rFonts w:asciiTheme="majorBidi" w:hAnsiTheme="majorBidi" w:cstheme="majorBidi"/>
        </w:rPr>
      </w:pPr>
      <w:r w:rsidRPr="00C37AF7">
        <w:rPr>
          <w:rFonts w:asciiTheme="majorBidi" w:hAnsiTheme="majorBidi" w:cstheme="majorBidi"/>
        </w:rPr>
        <w:t>Pamatojoties uz Administratīvā procesa likuma 338.panta otro daļu un 338.</w:t>
      </w:r>
      <w:r w:rsidRPr="00C37AF7">
        <w:rPr>
          <w:rFonts w:asciiTheme="majorBidi" w:hAnsiTheme="majorBidi" w:cstheme="majorBidi"/>
          <w:vertAlign w:val="superscript"/>
        </w:rPr>
        <w:t>1</w:t>
      </w:r>
      <w:r w:rsidRPr="00C37AF7">
        <w:rPr>
          <w:rFonts w:asciiTheme="majorBidi" w:hAnsiTheme="majorBidi" w:cstheme="majorBidi"/>
        </w:rPr>
        <w:t>panta</w:t>
      </w:r>
      <w:r w:rsidR="00534A79">
        <w:rPr>
          <w:rFonts w:asciiTheme="majorBidi" w:hAnsiTheme="majorBidi" w:cstheme="majorBidi"/>
        </w:rPr>
        <w:t xml:space="preserve"> </w:t>
      </w:r>
      <w:r w:rsidRPr="00C37AF7">
        <w:rPr>
          <w:rFonts w:asciiTheme="majorBidi" w:hAnsiTheme="majorBidi" w:cstheme="majorBidi"/>
        </w:rPr>
        <w:t>otrās daļas 2.punktu, senatoru kolēģija</w:t>
      </w:r>
    </w:p>
    <w:p w14:paraId="74548E16" w14:textId="77777777" w:rsidR="007F0E08" w:rsidRPr="00C37AF7" w:rsidRDefault="007F0E08" w:rsidP="00C83310">
      <w:pPr>
        <w:spacing w:line="276" w:lineRule="auto"/>
        <w:ind w:firstLine="567"/>
        <w:jc w:val="both"/>
        <w:rPr>
          <w:rFonts w:asciiTheme="majorBidi" w:hAnsiTheme="majorBidi" w:cstheme="majorBidi"/>
        </w:rPr>
      </w:pPr>
    </w:p>
    <w:p w14:paraId="6ADBE4AA" w14:textId="77777777" w:rsidR="007F0E08" w:rsidRPr="00C37AF7" w:rsidRDefault="007F0E08" w:rsidP="00C83310">
      <w:pPr>
        <w:keepNext/>
        <w:spacing w:line="276" w:lineRule="auto"/>
        <w:jc w:val="center"/>
        <w:rPr>
          <w:rFonts w:asciiTheme="majorBidi" w:hAnsiTheme="majorBidi" w:cstheme="majorBidi"/>
          <w:b/>
        </w:rPr>
      </w:pPr>
      <w:r w:rsidRPr="00C37AF7">
        <w:rPr>
          <w:rFonts w:asciiTheme="majorBidi" w:hAnsiTheme="majorBidi" w:cstheme="majorBidi"/>
          <w:b/>
        </w:rPr>
        <w:t>nolēma</w:t>
      </w:r>
    </w:p>
    <w:p w14:paraId="10E04592" w14:textId="77777777" w:rsidR="007F0E08" w:rsidRPr="00C37AF7" w:rsidRDefault="007F0E08" w:rsidP="00C83310">
      <w:pPr>
        <w:keepNext/>
        <w:spacing w:line="276" w:lineRule="auto"/>
        <w:jc w:val="center"/>
        <w:rPr>
          <w:rFonts w:asciiTheme="majorBidi" w:hAnsiTheme="majorBidi" w:cstheme="majorBidi"/>
          <w:b/>
        </w:rPr>
      </w:pPr>
    </w:p>
    <w:p w14:paraId="30C24559" w14:textId="4A6F13E2" w:rsidR="000F1281" w:rsidRPr="00DA0773" w:rsidRDefault="00494F1C" w:rsidP="00C83310">
      <w:pPr>
        <w:tabs>
          <w:tab w:val="left" w:pos="540"/>
          <w:tab w:val="left" w:pos="720"/>
        </w:tabs>
        <w:spacing w:line="276" w:lineRule="auto"/>
        <w:jc w:val="both"/>
        <w:rPr>
          <w:rFonts w:asciiTheme="majorBidi" w:hAnsiTheme="majorBidi" w:cstheme="majorBidi"/>
          <w:shd w:val="clear" w:color="auto" w:fill="FFFFFF"/>
        </w:rPr>
      </w:pPr>
      <w:r w:rsidRPr="00C37AF7">
        <w:rPr>
          <w:rFonts w:asciiTheme="majorBidi" w:eastAsiaTheme="minorEastAsia" w:hAnsiTheme="majorBidi" w:cstheme="majorBidi"/>
          <w:lang w:eastAsia="en-US"/>
        </w:rPr>
        <w:tab/>
      </w:r>
      <w:r w:rsidRPr="00C37AF7">
        <w:rPr>
          <w:rFonts w:asciiTheme="majorBidi" w:eastAsiaTheme="minorEastAsia" w:hAnsiTheme="majorBidi" w:cstheme="majorBidi"/>
          <w:lang w:eastAsia="en-US"/>
        </w:rPr>
        <w:tab/>
      </w:r>
      <w:r w:rsidR="007F0E08" w:rsidRPr="00C37AF7">
        <w:rPr>
          <w:rFonts w:asciiTheme="majorBidi" w:eastAsiaTheme="minorEastAsia" w:hAnsiTheme="majorBidi" w:cstheme="majorBidi"/>
          <w:lang w:eastAsia="en-US"/>
        </w:rPr>
        <w:t xml:space="preserve">atteikt ierosināt kasācijas tiesvedību sakarā ar </w:t>
      </w:r>
      <w:r w:rsidR="002A29BC">
        <w:rPr>
          <w:rFonts w:asciiTheme="majorBidi" w:hAnsiTheme="majorBidi" w:cstheme="majorBidi"/>
        </w:rPr>
        <w:t>[pers. A]</w:t>
      </w:r>
      <w:r w:rsidR="00114F74" w:rsidRPr="00C37AF7">
        <w:rPr>
          <w:rFonts w:asciiTheme="majorBidi" w:hAnsiTheme="majorBidi" w:cstheme="majorBidi"/>
        </w:rPr>
        <w:t xml:space="preserve"> </w:t>
      </w:r>
      <w:r w:rsidR="00AB3A60" w:rsidRPr="00C37AF7">
        <w:rPr>
          <w:rFonts w:asciiTheme="majorBidi" w:hAnsiTheme="majorBidi" w:cstheme="majorBidi"/>
        </w:rPr>
        <w:t xml:space="preserve">kasācijas sūdzību </w:t>
      </w:r>
      <w:r w:rsidR="007F0E08" w:rsidRPr="00C37AF7">
        <w:rPr>
          <w:rFonts w:asciiTheme="majorBidi" w:hAnsiTheme="majorBidi" w:cstheme="majorBidi"/>
        </w:rPr>
        <w:t xml:space="preserve">par </w:t>
      </w:r>
      <w:r w:rsidR="00AB3A60" w:rsidRPr="00C37AF7">
        <w:rPr>
          <w:rFonts w:asciiTheme="majorBidi" w:hAnsiTheme="majorBidi" w:cstheme="majorBidi"/>
        </w:rPr>
        <w:t xml:space="preserve">Administratīvās </w:t>
      </w:r>
      <w:r w:rsidR="00725F14" w:rsidRPr="00C37AF7">
        <w:rPr>
          <w:rFonts w:asciiTheme="majorBidi" w:hAnsiTheme="majorBidi" w:cstheme="majorBidi"/>
        </w:rPr>
        <w:t>apgabaltiesas 202</w:t>
      </w:r>
      <w:r w:rsidR="00333667" w:rsidRPr="00C37AF7">
        <w:rPr>
          <w:rFonts w:asciiTheme="majorBidi" w:hAnsiTheme="majorBidi" w:cstheme="majorBidi"/>
        </w:rPr>
        <w:t>3</w:t>
      </w:r>
      <w:r w:rsidR="00725F14" w:rsidRPr="00C37AF7">
        <w:rPr>
          <w:rFonts w:asciiTheme="majorBidi" w:hAnsiTheme="majorBidi" w:cstheme="majorBidi"/>
        </w:rPr>
        <w:t xml:space="preserve">.gada </w:t>
      </w:r>
      <w:r w:rsidR="001408BE">
        <w:rPr>
          <w:rFonts w:asciiTheme="majorBidi" w:hAnsiTheme="majorBidi" w:cstheme="majorBidi"/>
        </w:rPr>
        <w:t>15.augusta</w:t>
      </w:r>
      <w:r w:rsidR="00725F14" w:rsidRPr="00C37AF7">
        <w:rPr>
          <w:rFonts w:asciiTheme="majorBidi" w:hAnsiTheme="majorBidi" w:cstheme="majorBidi"/>
        </w:rPr>
        <w:t xml:space="preserve"> spriedumu.</w:t>
      </w:r>
    </w:p>
    <w:p w14:paraId="2DE01757" w14:textId="77777777" w:rsidR="000F1281" w:rsidRPr="00C37AF7" w:rsidRDefault="000F1281" w:rsidP="00C83310">
      <w:pPr>
        <w:spacing w:line="276" w:lineRule="auto"/>
        <w:ind w:firstLine="720"/>
        <w:jc w:val="both"/>
        <w:rPr>
          <w:rFonts w:asciiTheme="majorBidi" w:hAnsiTheme="majorBidi" w:cstheme="majorBidi"/>
          <w:lang w:eastAsia="lv-LV"/>
        </w:rPr>
      </w:pPr>
    </w:p>
    <w:p w14:paraId="035C5B99" w14:textId="2FAC7BF0" w:rsidR="007F0E08" w:rsidRPr="00C37AF7" w:rsidRDefault="007F0E08" w:rsidP="00C83310">
      <w:pPr>
        <w:spacing w:line="276" w:lineRule="auto"/>
        <w:ind w:firstLine="720"/>
        <w:jc w:val="both"/>
        <w:rPr>
          <w:rFonts w:asciiTheme="majorBidi" w:hAnsiTheme="majorBidi" w:cstheme="majorBidi"/>
          <w:lang w:eastAsia="lv-LV"/>
        </w:rPr>
      </w:pPr>
      <w:r w:rsidRPr="00C37AF7">
        <w:rPr>
          <w:rFonts w:asciiTheme="majorBidi" w:hAnsiTheme="majorBidi" w:cstheme="majorBidi"/>
          <w:lang w:eastAsia="lv-LV"/>
        </w:rPr>
        <w:t>Lēmums nav pārsūdzams</w:t>
      </w:r>
      <w:r w:rsidR="001C2ACB" w:rsidRPr="00C37AF7">
        <w:rPr>
          <w:rFonts w:asciiTheme="majorBidi" w:hAnsiTheme="majorBidi" w:cstheme="majorBidi"/>
          <w:lang w:eastAsia="lv-LV"/>
        </w:rPr>
        <w:t>.</w:t>
      </w:r>
    </w:p>
    <w:sectPr w:rsidR="007F0E08" w:rsidRPr="00C37AF7" w:rsidSect="007B568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A9160" w14:textId="77777777" w:rsidR="001D21BB" w:rsidRDefault="001D21BB">
      <w:r>
        <w:separator/>
      </w:r>
    </w:p>
  </w:endnote>
  <w:endnote w:type="continuationSeparator" w:id="0">
    <w:p w14:paraId="4BF5DAE0" w14:textId="77777777" w:rsidR="001D21BB" w:rsidRDefault="001D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46589" w14:textId="4A6748FC" w:rsidR="00626B4E" w:rsidRPr="00D74CD2" w:rsidRDefault="00206731" w:rsidP="00626B4E">
    <w:pPr>
      <w:pStyle w:val="Footer"/>
      <w:jc w:val="center"/>
      <w:rPr>
        <w:sz w:val="20"/>
        <w:szCs w:val="20"/>
      </w:rPr>
    </w:pPr>
    <w:r w:rsidRPr="00D74CD2">
      <w:rPr>
        <w:sz w:val="20"/>
        <w:szCs w:val="20"/>
      </w:rPr>
      <w:fldChar w:fldCharType="begin"/>
    </w:r>
    <w:r w:rsidRPr="00D74CD2">
      <w:rPr>
        <w:sz w:val="20"/>
        <w:szCs w:val="20"/>
      </w:rPr>
      <w:instrText>PAGE</w:instrText>
    </w:r>
    <w:r w:rsidRPr="00D74CD2">
      <w:rPr>
        <w:sz w:val="20"/>
        <w:szCs w:val="20"/>
      </w:rPr>
      <w:fldChar w:fldCharType="separate"/>
    </w:r>
    <w:r w:rsidRPr="00D74CD2">
      <w:rPr>
        <w:sz w:val="20"/>
        <w:szCs w:val="20"/>
      </w:rPr>
      <w:t>1</w:t>
    </w:r>
    <w:r w:rsidRPr="00D74CD2">
      <w:rPr>
        <w:sz w:val="20"/>
        <w:szCs w:val="20"/>
      </w:rPr>
      <w:fldChar w:fldCharType="end"/>
    </w:r>
    <w:r w:rsidRPr="00D74CD2">
      <w:rPr>
        <w:rStyle w:val="PageNumber"/>
        <w:sz w:val="20"/>
        <w:szCs w:val="20"/>
      </w:rPr>
      <w:t xml:space="preserve"> no </w:t>
    </w:r>
    <w:r w:rsidRPr="00D74CD2">
      <w:rPr>
        <w:noProof/>
        <w:sz w:val="20"/>
        <w:szCs w:val="20"/>
      </w:rPr>
      <w:fldChar w:fldCharType="begin"/>
    </w:r>
    <w:r w:rsidRPr="00D74CD2">
      <w:rPr>
        <w:noProof/>
        <w:sz w:val="20"/>
        <w:szCs w:val="20"/>
      </w:rPr>
      <w:instrText>SECTIONPAGES   \* MERGEFORMAT</w:instrText>
    </w:r>
    <w:r w:rsidRPr="00D74CD2">
      <w:rPr>
        <w:noProof/>
        <w:sz w:val="20"/>
        <w:szCs w:val="20"/>
      </w:rPr>
      <w:fldChar w:fldCharType="separate"/>
    </w:r>
    <w:r w:rsidR="00CA5207">
      <w:rPr>
        <w:noProof/>
        <w:sz w:val="20"/>
        <w:szCs w:val="20"/>
      </w:rPr>
      <w:t>3</w:t>
    </w:r>
    <w:r w:rsidRPr="00D74CD2">
      <w:rPr>
        <w:noProof/>
        <w:sz w:val="20"/>
        <w:szCs w:val="20"/>
      </w:rPr>
      <w:fldChar w:fldCharType="end"/>
    </w:r>
    <w:bookmarkStart w:id="0" w:name="__Fieldmark__171_3260321367"/>
    <w:bookmarkStart w:id="1" w:name="__Fieldmark__667_1373986896"/>
    <w:bookmarkStart w:id="2" w:name="__Fieldmark__363_2235992191"/>
    <w:bookmarkEnd w:id="0"/>
    <w:bookmarkEnd w:id="1"/>
    <w:bookmarkEnd w:id="2"/>
  </w:p>
  <w:p w14:paraId="04B7F77D" w14:textId="77777777" w:rsidR="00626B4E" w:rsidRDefault="0062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09D19" w14:textId="77777777" w:rsidR="001D21BB" w:rsidRDefault="001D21BB">
      <w:r>
        <w:separator/>
      </w:r>
    </w:p>
  </w:footnote>
  <w:footnote w:type="continuationSeparator" w:id="0">
    <w:p w14:paraId="46C824A6" w14:textId="77777777" w:rsidR="001D21BB" w:rsidRDefault="001D2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5F9A"/>
    <w:multiLevelType w:val="multilevel"/>
    <w:tmpl w:val="A0C2AF72"/>
    <w:styleLink w:val="WWNum26"/>
    <w:lvl w:ilvl="0">
      <w:start w:val="1"/>
      <w:numFmt w:val="lowerLetter"/>
      <w:lvlText w:val="%1."/>
      <w:lvlJc w:val="left"/>
      <w:pPr>
        <w:ind w:left="1440" w:hanging="360"/>
      </w:pPr>
      <w:rPr>
        <w:sz w:val="21"/>
        <w:szCs w:val="21"/>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B706F93"/>
    <w:multiLevelType w:val="multilevel"/>
    <w:tmpl w:val="73CCC20E"/>
    <w:styleLink w:val="WWNum2"/>
    <w:lvl w:ilvl="0">
      <w:start w:val="1"/>
      <w:numFmt w:val="decimal"/>
      <w:lvlText w:val="%1."/>
      <w:lvlJc w:val="right"/>
      <w:pPr>
        <w:ind w:left="720" w:hanging="360"/>
      </w:pPr>
      <w:rPr>
        <w:b w:val="0"/>
        <w:sz w:val="18"/>
        <w:szCs w:val="18"/>
      </w:rPr>
    </w:lvl>
    <w:lvl w:ilvl="1">
      <w:start w:val="1"/>
      <w:numFmt w:val="lowerLetter"/>
      <w:lvlText w:val="%2."/>
      <w:lvlJc w:val="left"/>
      <w:pPr>
        <w:ind w:left="1440" w:hanging="360"/>
      </w:pPr>
      <w:rPr>
        <w:sz w:val="21"/>
        <w:szCs w:val="21"/>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B2D37B2"/>
    <w:multiLevelType w:val="hybridMultilevel"/>
    <w:tmpl w:val="F2A67256"/>
    <w:lvl w:ilvl="0" w:tplc="DB6E92EE">
      <w:start w:val="1"/>
      <w:numFmt w:val="decimal"/>
      <w:lvlText w:val="%1)"/>
      <w:lvlJc w:val="left"/>
      <w:pPr>
        <w:ind w:left="720" w:hanging="360"/>
      </w:pPr>
      <w:rPr>
        <w:rFonts w:eastAsiaTheme="minorHAnsi" w:cstheme="minorBidi"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C77CDA"/>
    <w:multiLevelType w:val="hybridMultilevel"/>
    <w:tmpl w:val="F5020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B010A"/>
    <w:multiLevelType w:val="multilevel"/>
    <w:tmpl w:val="A2F63E4E"/>
    <w:lvl w:ilvl="0">
      <w:start w:val="1"/>
      <w:numFmt w:val="decimal"/>
      <w:lvlText w:val="%1."/>
      <w:lvlJc w:val="left"/>
      <w:pPr>
        <w:ind w:left="360" w:hanging="360"/>
      </w:pPr>
      <w:rPr>
        <w:rFonts w:hint="default"/>
      </w:rPr>
    </w:lvl>
    <w:lvl w:ilvl="1">
      <w:start w:val="1"/>
      <w:numFmt w:val="decimal"/>
      <w:lvlText w:val="%1.%2."/>
      <w:lvlJc w:val="left"/>
      <w:pPr>
        <w:ind w:left="574"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870066"/>
    <w:multiLevelType w:val="hybridMultilevel"/>
    <w:tmpl w:val="4A726EA6"/>
    <w:lvl w:ilvl="0" w:tplc="4D6A6B20">
      <w:start w:val="1"/>
      <w:numFmt w:val="decimal"/>
      <w:lvlText w:val="%1."/>
      <w:lvlJc w:val="right"/>
      <w:pPr>
        <w:ind w:left="720" w:hanging="360"/>
      </w:pPr>
      <w:rPr>
        <w:b w:val="0"/>
        <w:sz w:val="18"/>
        <w:szCs w:val="18"/>
      </w:rPr>
    </w:lvl>
    <w:lvl w:ilvl="1" w:tplc="AACE2CD8">
      <w:start w:val="1"/>
      <w:numFmt w:val="lowerLetter"/>
      <w:lvlText w:val="%2."/>
      <w:lvlJc w:val="left"/>
      <w:pPr>
        <w:ind w:left="1440" w:hanging="360"/>
      </w:pPr>
      <w:rPr>
        <w:sz w:val="21"/>
        <w:szCs w:val="21"/>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28999639">
    <w:abstractNumId w:val="1"/>
  </w:num>
  <w:num w:numId="2" w16cid:durableId="547424518">
    <w:abstractNumId w:val="0"/>
  </w:num>
  <w:num w:numId="3" w16cid:durableId="678429887">
    <w:abstractNumId w:val="0"/>
    <w:lvlOverride w:ilvl="0">
      <w:startOverride w:val="1"/>
    </w:lvlOverride>
  </w:num>
  <w:num w:numId="4" w16cid:durableId="1837722477">
    <w:abstractNumId w:val="5"/>
  </w:num>
  <w:num w:numId="5" w16cid:durableId="183062853">
    <w:abstractNumId w:val="2"/>
  </w:num>
  <w:num w:numId="6" w16cid:durableId="1404059197">
    <w:abstractNumId w:val="4"/>
  </w:num>
  <w:num w:numId="7" w16cid:durableId="949975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08"/>
    <w:rsid w:val="00003716"/>
    <w:rsid w:val="000045D4"/>
    <w:rsid w:val="0000598B"/>
    <w:rsid w:val="0001138B"/>
    <w:rsid w:val="00022C88"/>
    <w:rsid w:val="000230B8"/>
    <w:rsid w:val="000239FF"/>
    <w:rsid w:val="00024C88"/>
    <w:rsid w:val="00026506"/>
    <w:rsid w:val="00027A2B"/>
    <w:rsid w:val="00032267"/>
    <w:rsid w:val="00032FA9"/>
    <w:rsid w:val="00037928"/>
    <w:rsid w:val="00040B9B"/>
    <w:rsid w:val="00041ED6"/>
    <w:rsid w:val="00043A9D"/>
    <w:rsid w:val="0004448C"/>
    <w:rsid w:val="000511B7"/>
    <w:rsid w:val="00064282"/>
    <w:rsid w:val="00070780"/>
    <w:rsid w:val="00077185"/>
    <w:rsid w:val="00077CBD"/>
    <w:rsid w:val="00081D8C"/>
    <w:rsid w:val="00083731"/>
    <w:rsid w:val="00086642"/>
    <w:rsid w:val="0009085E"/>
    <w:rsid w:val="000941C1"/>
    <w:rsid w:val="00095104"/>
    <w:rsid w:val="00095A6B"/>
    <w:rsid w:val="000A057A"/>
    <w:rsid w:val="000A19E2"/>
    <w:rsid w:val="000A343F"/>
    <w:rsid w:val="000A531B"/>
    <w:rsid w:val="000B0CD7"/>
    <w:rsid w:val="000B4A70"/>
    <w:rsid w:val="000B6D40"/>
    <w:rsid w:val="000B70C8"/>
    <w:rsid w:val="000C0706"/>
    <w:rsid w:val="000D283F"/>
    <w:rsid w:val="000E1D51"/>
    <w:rsid w:val="000E241D"/>
    <w:rsid w:val="000F053B"/>
    <w:rsid w:val="000F1281"/>
    <w:rsid w:val="000F2B9B"/>
    <w:rsid w:val="00100392"/>
    <w:rsid w:val="00111271"/>
    <w:rsid w:val="001138BA"/>
    <w:rsid w:val="00114F74"/>
    <w:rsid w:val="00127DEC"/>
    <w:rsid w:val="00131A3C"/>
    <w:rsid w:val="00132869"/>
    <w:rsid w:val="0013480E"/>
    <w:rsid w:val="00136B0B"/>
    <w:rsid w:val="00137764"/>
    <w:rsid w:val="001408BE"/>
    <w:rsid w:val="00145447"/>
    <w:rsid w:val="0014551F"/>
    <w:rsid w:val="00151BD8"/>
    <w:rsid w:val="00153A36"/>
    <w:rsid w:val="001607CD"/>
    <w:rsid w:val="0016276D"/>
    <w:rsid w:val="0016283F"/>
    <w:rsid w:val="00164477"/>
    <w:rsid w:val="001777C3"/>
    <w:rsid w:val="00185D0D"/>
    <w:rsid w:val="00190275"/>
    <w:rsid w:val="00192073"/>
    <w:rsid w:val="00192669"/>
    <w:rsid w:val="00194ADB"/>
    <w:rsid w:val="00196A74"/>
    <w:rsid w:val="001A0DED"/>
    <w:rsid w:val="001A5373"/>
    <w:rsid w:val="001A549D"/>
    <w:rsid w:val="001A76EC"/>
    <w:rsid w:val="001B35CC"/>
    <w:rsid w:val="001B699C"/>
    <w:rsid w:val="001C2ACB"/>
    <w:rsid w:val="001C6B1E"/>
    <w:rsid w:val="001C7F5D"/>
    <w:rsid w:val="001D07A0"/>
    <w:rsid w:val="001D1C01"/>
    <w:rsid w:val="001D21BB"/>
    <w:rsid w:val="001D3232"/>
    <w:rsid w:val="001D4FBB"/>
    <w:rsid w:val="001E00F5"/>
    <w:rsid w:val="001E1105"/>
    <w:rsid w:val="001F2728"/>
    <w:rsid w:val="00200BFF"/>
    <w:rsid w:val="00201D93"/>
    <w:rsid w:val="002023A1"/>
    <w:rsid w:val="0020247D"/>
    <w:rsid w:val="00206731"/>
    <w:rsid w:val="0021163F"/>
    <w:rsid w:val="00214E4D"/>
    <w:rsid w:val="00216E8D"/>
    <w:rsid w:val="0022358C"/>
    <w:rsid w:val="0022554D"/>
    <w:rsid w:val="00232221"/>
    <w:rsid w:val="00233173"/>
    <w:rsid w:val="00240AB2"/>
    <w:rsid w:val="002410A4"/>
    <w:rsid w:val="002435F4"/>
    <w:rsid w:val="00246459"/>
    <w:rsid w:val="00251023"/>
    <w:rsid w:val="0025648E"/>
    <w:rsid w:val="00260F62"/>
    <w:rsid w:val="00261FA3"/>
    <w:rsid w:val="00264773"/>
    <w:rsid w:val="00265757"/>
    <w:rsid w:val="00266EC9"/>
    <w:rsid w:val="0026722C"/>
    <w:rsid w:val="0027005F"/>
    <w:rsid w:val="00270BEB"/>
    <w:rsid w:val="00272AB7"/>
    <w:rsid w:val="00274661"/>
    <w:rsid w:val="00281976"/>
    <w:rsid w:val="00282972"/>
    <w:rsid w:val="00285EC4"/>
    <w:rsid w:val="00286D86"/>
    <w:rsid w:val="00296FC4"/>
    <w:rsid w:val="002979AB"/>
    <w:rsid w:val="002A29BC"/>
    <w:rsid w:val="002B67D8"/>
    <w:rsid w:val="002B6E03"/>
    <w:rsid w:val="002C2FA4"/>
    <w:rsid w:val="002C3428"/>
    <w:rsid w:val="002C42B1"/>
    <w:rsid w:val="002C43C5"/>
    <w:rsid w:val="002C514A"/>
    <w:rsid w:val="002C7D4F"/>
    <w:rsid w:val="002D08A8"/>
    <w:rsid w:val="002D238F"/>
    <w:rsid w:val="002D3607"/>
    <w:rsid w:val="002E1B38"/>
    <w:rsid w:val="002E370B"/>
    <w:rsid w:val="002E412F"/>
    <w:rsid w:val="002E672C"/>
    <w:rsid w:val="002F0172"/>
    <w:rsid w:val="002F0C95"/>
    <w:rsid w:val="00300219"/>
    <w:rsid w:val="00300D77"/>
    <w:rsid w:val="00310687"/>
    <w:rsid w:val="00321B4C"/>
    <w:rsid w:val="003258C8"/>
    <w:rsid w:val="00330363"/>
    <w:rsid w:val="00333667"/>
    <w:rsid w:val="00333C93"/>
    <w:rsid w:val="00334139"/>
    <w:rsid w:val="00335D67"/>
    <w:rsid w:val="00337DF8"/>
    <w:rsid w:val="003423D4"/>
    <w:rsid w:val="003445FB"/>
    <w:rsid w:val="00344940"/>
    <w:rsid w:val="003479E8"/>
    <w:rsid w:val="00350465"/>
    <w:rsid w:val="0035394C"/>
    <w:rsid w:val="00356989"/>
    <w:rsid w:val="003674F4"/>
    <w:rsid w:val="00367CE6"/>
    <w:rsid w:val="00370723"/>
    <w:rsid w:val="00372A12"/>
    <w:rsid w:val="003745FD"/>
    <w:rsid w:val="00376157"/>
    <w:rsid w:val="00381F6F"/>
    <w:rsid w:val="00383906"/>
    <w:rsid w:val="00383D7D"/>
    <w:rsid w:val="00385447"/>
    <w:rsid w:val="00390FED"/>
    <w:rsid w:val="00391E45"/>
    <w:rsid w:val="0039717B"/>
    <w:rsid w:val="00397BDF"/>
    <w:rsid w:val="003A155C"/>
    <w:rsid w:val="003A37F9"/>
    <w:rsid w:val="003A3E04"/>
    <w:rsid w:val="003A7389"/>
    <w:rsid w:val="003B058B"/>
    <w:rsid w:val="003B3CED"/>
    <w:rsid w:val="003B447B"/>
    <w:rsid w:val="003B4665"/>
    <w:rsid w:val="003B7E30"/>
    <w:rsid w:val="003C1A20"/>
    <w:rsid w:val="003C1B66"/>
    <w:rsid w:val="003C2273"/>
    <w:rsid w:val="003C2B01"/>
    <w:rsid w:val="003C6D18"/>
    <w:rsid w:val="003D02F0"/>
    <w:rsid w:val="003D19B2"/>
    <w:rsid w:val="003D409D"/>
    <w:rsid w:val="003E35C4"/>
    <w:rsid w:val="003E3E43"/>
    <w:rsid w:val="003E440A"/>
    <w:rsid w:val="003E6BE5"/>
    <w:rsid w:val="003F00B8"/>
    <w:rsid w:val="003F1B08"/>
    <w:rsid w:val="003F30CB"/>
    <w:rsid w:val="003F3D0A"/>
    <w:rsid w:val="003F7E42"/>
    <w:rsid w:val="00400076"/>
    <w:rsid w:val="0040068B"/>
    <w:rsid w:val="004036BD"/>
    <w:rsid w:val="00403E2D"/>
    <w:rsid w:val="00406D8D"/>
    <w:rsid w:val="00407AC4"/>
    <w:rsid w:val="0041263E"/>
    <w:rsid w:val="0041405F"/>
    <w:rsid w:val="00414A3A"/>
    <w:rsid w:val="004214B3"/>
    <w:rsid w:val="00424812"/>
    <w:rsid w:val="00424F0D"/>
    <w:rsid w:val="004341FF"/>
    <w:rsid w:val="00434D4A"/>
    <w:rsid w:val="004351DB"/>
    <w:rsid w:val="0043795B"/>
    <w:rsid w:val="00443E66"/>
    <w:rsid w:val="00451346"/>
    <w:rsid w:val="00456B4D"/>
    <w:rsid w:val="0045776C"/>
    <w:rsid w:val="004617C3"/>
    <w:rsid w:val="00461A08"/>
    <w:rsid w:val="00463334"/>
    <w:rsid w:val="00467D1A"/>
    <w:rsid w:val="004726F8"/>
    <w:rsid w:val="00474198"/>
    <w:rsid w:val="004753ED"/>
    <w:rsid w:val="004756B3"/>
    <w:rsid w:val="004762B6"/>
    <w:rsid w:val="00480406"/>
    <w:rsid w:val="00480855"/>
    <w:rsid w:val="0048377E"/>
    <w:rsid w:val="00484D04"/>
    <w:rsid w:val="00486476"/>
    <w:rsid w:val="00494F1C"/>
    <w:rsid w:val="00494FBC"/>
    <w:rsid w:val="004A4CF0"/>
    <w:rsid w:val="004A4ECB"/>
    <w:rsid w:val="004A58F1"/>
    <w:rsid w:val="004B0BCC"/>
    <w:rsid w:val="004B1919"/>
    <w:rsid w:val="004B5C2F"/>
    <w:rsid w:val="004B7B60"/>
    <w:rsid w:val="004C0E6D"/>
    <w:rsid w:val="004C3413"/>
    <w:rsid w:val="004D0DF0"/>
    <w:rsid w:val="004D7939"/>
    <w:rsid w:val="004E6C52"/>
    <w:rsid w:val="004F1D91"/>
    <w:rsid w:val="004F2F14"/>
    <w:rsid w:val="005014E4"/>
    <w:rsid w:val="005025D5"/>
    <w:rsid w:val="00510DEB"/>
    <w:rsid w:val="00513518"/>
    <w:rsid w:val="00517107"/>
    <w:rsid w:val="005218B5"/>
    <w:rsid w:val="005223DA"/>
    <w:rsid w:val="00523786"/>
    <w:rsid w:val="00523F02"/>
    <w:rsid w:val="0052793D"/>
    <w:rsid w:val="00534A79"/>
    <w:rsid w:val="005364B7"/>
    <w:rsid w:val="00536866"/>
    <w:rsid w:val="00540B2C"/>
    <w:rsid w:val="00541C3C"/>
    <w:rsid w:val="00543222"/>
    <w:rsid w:val="00543A6F"/>
    <w:rsid w:val="00543B6B"/>
    <w:rsid w:val="0055039A"/>
    <w:rsid w:val="00551A54"/>
    <w:rsid w:val="005539D0"/>
    <w:rsid w:val="00556305"/>
    <w:rsid w:val="005601EC"/>
    <w:rsid w:val="00560C71"/>
    <w:rsid w:val="005613EA"/>
    <w:rsid w:val="005623D6"/>
    <w:rsid w:val="00563633"/>
    <w:rsid w:val="00577823"/>
    <w:rsid w:val="0058047E"/>
    <w:rsid w:val="005817BB"/>
    <w:rsid w:val="00583972"/>
    <w:rsid w:val="0058504E"/>
    <w:rsid w:val="005852F1"/>
    <w:rsid w:val="00585C11"/>
    <w:rsid w:val="00586341"/>
    <w:rsid w:val="00592149"/>
    <w:rsid w:val="00594A69"/>
    <w:rsid w:val="00596D58"/>
    <w:rsid w:val="005A1790"/>
    <w:rsid w:val="005A3ACA"/>
    <w:rsid w:val="005A5FD1"/>
    <w:rsid w:val="005A77E7"/>
    <w:rsid w:val="005B1B1B"/>
    <w:rsid w:val="005B1BA9"/>
    <w:rsid w:val="005B28C7"/>
    <w:rsid w:val="005C4D6A"/>
    <w:rsid w:val="005D1778"/>
    <w:rsid w:val="005D63B2"/>
    <w:rsid w:val="005E0ADE"/>
    <w:rsid w:val="005E18D6"/>
    <w:rsid w:val="005E3DFA"/>
    <w:rsid w:val="005E5CFD"/>
    <w:rsid w:val="005F3C61"/>
    <w:rsid w:val="005F7CB3"/>
    <w:rsid w:val="006107B0"/>
    <w:rsid w:val="00611FB3"/>
    <w:rsid w:val="00616062"/>
    <w:rsid w:val="006160E1"/>
    <w:rsid w:val="006161E2"/>
    <w:rsid w:val="00626B4E"/>
    <w:rsid w:val="006271C1"/>
    <w:rsid w:val="006310DF"/>
    <w:rsid w:val="00631AF9"/>
    <w:rsid w:val="00631EAB"/>
    <w:rsid w:val="006431CE"/>
    <w:rsid w:val="00644285"/>
    <w:rsid w:val="00646A81"/>
    <w:rsid w:val="00650F02"/>
    <w:rsid w:val="00653608"/>
    <w:rsid w:val="00660CEB"/>
    <w:rsid w:val="00662BB2"/>
    <w:rsid w:val="006652BF"/>
    <w:rsid w:val="00667066"/>
    <w:rsid w:val="006733DF"/>
    <w:rsid w:val="006770DD"/>
    <w:rsid w:val="00680830"/>
    <w:rsid w:val="006913E2"/>
    <w:rsid w:val="00694BDC"/>
    <w:rsid w:val="006961D0"/>
    <w:rsid w:val="006A1CC4"/>
    <w:rsid w:val="006A55D4"/>
    <w:rsid w:val="006B087B"/>
    <w:rsid w:val="006B0C92"/>
    <w:rsid w:val="006B13E1"/>
    <w:rsid w:val="006B6731"/>
    <w:rsid w:val="006B7DB6"/>
    <w:rsid w:val="006C337A"/>
    <w:rsid w:val="006C502E"/>
    <w:rsid w:val="006C5938"/>
    <w:rsid w:val="006C6428"/>
    <w:rsid w:val="006D3661"/>
    <w:rsid w:val="006D484E"/>
    <w:rsid w:val="006D4D9B"/>
    <w:rsid w:val="006E4A71"/>
    <w:rsid w:val="006F0DD2"/>
    <w:rsid w:val="006F7367"/>
    <w:rsid w:val="00703756"/>
    <w:rsid w:val="00706C36"/>
    <w:rsid w:val="0070769F"/>
    <w:rsid w:val="0071426E"/>
    <w:rsid w:val="00720164"/>
    <w:rsid w:val="00720BF9"/>
    <w:rsid w:val="007243A3"/>
    <w:rsid w:val="00725B6D"/>
    <w:rsid w:val="00725F14"/>
    <w:rsid w:val="0073101C"/>
    <w:rsid w:val="00735DB7"/>
    <w:rsid w:val="00737B24"/>
    <w:rsid w:val="007404F7"/>
    <w:rsid w:val="00745650"/>
    <w:rsid w:val="00745D67"/>
    <w:rsid w:val="00746FDF"/>
    <w:rsid w:val="00751626"/>
    <w:rsid w:val="0075191C"/>
    <w:rsid w:val="00752AB8"/>
    <w:rsid w:val="0075787C"/>
    <w:rsid w:val="00762831"/>
    <w:rsid w:val="00773F8F"/>
    <w:rsid w:val="00775215"/>
    <w:rsid w:val="00780A32"/>
    <w:rsid w:val="00780F9B"/>
    <w:rsid w:val="007828D9"/>
    <w:rsid w:val="00783232"/>
    <w:rsid w:val="0078408C"/>
    <w:rsid w:val="007842A4"/>
    <w:rsid w:val="007850D3"/>
    <w:rsid w:val="007859B3"/>
    <w:rsid w:val="00785B7B"/>
    <w:rsid w:val="00790C6A"/>
    <w:rsid w:val="00795982"/>
    <w:rsid w:val="00796828"/>
    <w:rsid w:val="00797141"/>
    <w:rsid w:val="007A3DBE"/>
    <w:rsid w:val="007A4F39"/>
    <w:rsid w:val="007A6565"/>
    <w:rsid w:val="007B19F6"/>
    <w:rsid w:val="007B1AF1"/>
    <w:rsid w:val="007B241E"/>
    <w:rsid w:val="007B36A3"/>
    <w:rsid w:val="007B5684"/>
    <w:rsid w:val="007C1193"/>
    <w:rsid w:val="007C136D"/>
    <w:rsid w:val="007C3551"/>
    <w:rsid w:val="007D4CDE"/>
    <w:rsid w:val="007D596B"/>
    <w:rsid w:val="007E5206"/>
    <w:rsid w:val="007F0422"/>
    <w:rsid w:val="007F0CFB"/>
    <w:rsid w:val="007F0E08"/>
    <w:rsid w:val="007F7A81"/>
    <w:rsid w:val="008016DD"/>
    <w:rsid w:val="00802014"/>
    <w:rsid w:val="00813633"/>
    <w:rsid w:val="00817C0B"/>
    <w:rsid w:val="00822CF3"/>
    <w:rsid w:val="00824DB0"/>
    <w:rsid w:val="0083249C"/>
    <w:rsid w:val="008360A9"/>
    <w:rsid w:val="00846529"/>
    <w:rsid w:val="00847EE3"/>
    <w:rsid w:val="008502CD"/>
    <w:rsid w:val="0085769E"/>
    <w:rsid w:val="00864ED3"/>
    <w:rsid w:val="00865200"/>
    <w:rsid w:val="00865AA4"/>
    <w:rsid w:val="00870CB7"/>
    <w:rsid w:val="0087630D"/>
    <w:rsid w:val="00880D05"/>
    <w:rsid w:val="0088471F"/>
    <w:rsid w:val="00891CF2"/>
    <w:rsid w:val="008920A0"/>
    <w:rsid w:val="008A1C99"/>
    <w:rsid w:val="008A4B9D"/>
    <w:rsid w:val="008A508B"/>
    <w:rsid w:val="008A5EC0"/>
    <w:rsid w:val="008A6E8E"/>
    <w:rsid w:val="008A7E48"/>
    <w:rsid w:val="008B079B"/>
    <w:rsid w:val="008B4D6D"/>
    <w:rsid w:val="008C1404"/>
    <w:rsid w:val="008C1780"/>
    <w:rsid w:val="008C1DE8"/>
    <w:rsid w:val="008C60B6"/>
    <w:rsid w:val="008C7E1E"/>
    <w:rsid w:val="008D2D28"/>
    <w:rsid w:val="008D467D"/>
    <w:rsid w:val="008D6859"/>
    <w:rsid w:val="008F080C"/>
    <w:rsid w:val="008F362A"/>
    <w:rsid w:val="009025E5"/>
    <w:rsid w:val="00904038"/>
    <w:rsid w:val="00907A6D"/>
    <w:rsid w:val="00910AE3"/>
    <w:rsid w:val="00912DC5"/>
    <w:rsid w:val="00915EC4"/>
    <w:rsid w:val="00923D2F"/>
    <w:rsid w:val="00940F8F"/>
    <w:rsid w:val="00941917"/>
    <w:rsid w:val="00946A39"/>
    <w:rsid w:val="00946B7C"/>
    <w:rsid w:val="00947DC6"/>
    <w:rsid w:val="0095582F"/>
    <w:rsid w:val="00960BFE"/>
    <w:rsid w:val="0096361B"/>
    <w:rsid w:val="00967573"/>
    <w:rsid w:val="00971756"/>
    <w:rsid w:val="00974141"/>
    <w:rsid w:val="009807FF"/>
    <w:rsid w:val="00980F36"/>
    <w:rsid w:val="00981B40"/>
    <w:rsid w:val="00985962"/>
    <w:rsid w:val="00986060"/>
    <w:rsid w:val="00986D45"/>
    <w:rsid w:val="00991328"/>
    <w:rsid w:val="00992F29"/>
    <w:rsid w:val="00997B2B"/>
    <w:rsid w:val="009A093C"/>
    <w:rsid w:val="009A1E7D"/>
    <w:rsid w:val="009A4A0A"/>
    <w:rsid w:val="009B23D1"/>
    <w:rsid w:val="009B2FE6"/>
    <w:rsid w:val="009B4BDD"/>
    <w:rsid w:val="009B678F"/>
    <w:rsid w:val="009C13DC"/>
    <w:rsid w:val="009C76B8"/>
    <w:rsid w:val="009D1D10"/>
    <w:rsid w:val="009D23C4"/>
    <w:rsid w:val="009D68EE"/>
    <w:rsid w:val="009E0339"/>
    <w:rsid w:val="009E6BC7"/>
    <w:rsid w:val="009E7563"/>
    <w:rsid w:val="009F3A98"/>
    <w:rsid w:val="00A00E88"/>
    <w:rsid w:val="00A04D0E"/>
    <w:rsid w:val="00A04DA3"/>
    <w:rsid w:val="00A10679"/>
    <w:rsid w:val="00A12915"/>
    <w:rsid w:val="00A135D5"/>
    <w:rsid w:val="00A148F9"/>
    <w:rsid w:val="00A17424"/>
    <w:rsid w:val="00A20CB0"/>
    <w:rsid w:val="00A23813"/>
    <w:rsid w:val="00A304A4"/>
    <w:rsid w:val="00A321A3"/>
    <w:rsid w:val="00A36381"/>
    <w:rsid w:val="00A4495B"/>
    <w:rsid w:val="00A570ED"/>
    <w:rsid w:val="00A57866"/>
    <w:rsid w:val="00A6018E"/>
    <w:rsid w:val="00A603CB"/>
    <w:rsid w:val="00A60FE3"/>
    <w:rsid w:val="00A63D3F"/>
    <w:rsid w:val="00A70B37"/>
    <w:rsid w:val="00A71CF9"/>
    <w:rsid w:val="00A806A8"/>
    <w:rsid w:val="00A807B3"/>
    <w:rsid w:val="00A85AB1"/>
    <w:rsid w:val="00A935DE"/>
    <w:rsid w:val="00A94BA1"/>
    <w:rsid w:val="00A95908"/>
    <w:rsid w:val="00A97A5E"/>
    <w:rsid w:val="00AA3486"/>
    <w:rsid w:val="00AA4661"/>
    <w:rsid w:val="00AA7B6A"/>
    <w:rsid w:val="00AB0DB8"/>
    <w:rsid w:val="00AB290B"/>
    <w:rsid w:val="00AB31FC"/>
    <w:rsid w:val="00AB3A60"/>
    <w:rsid w:val="00AB4C08"/>
    <w:rsid w:val="00AB612A"/>
    <w:rsid w:val="00AB7A38"/>
    <w:rsid w:val="00AC1580"/>
    <w:rsid w:val="00AC5965"/>
    <w:rsid w:val="00AC6F5B"/>
    <w:rsid w:val="00AD027C"/>
    <w:rsid w:val="00AD0BBF"/>
    <w:rsid w:val="00AE13F6"/>
    <w:rsid w:val="00AE1F2C"/>
    <w:rsid w:val="00AE2302"/>
    <w:rsid w:val="00AF1F0E"/>
    <w:rsid w:val="00AF7E08"/>
    <w:rsid w:val="00B035FD"/>
    <w:rsid w:val="00B05FEC"/>
    <w:rsid w:val="00B06BBE"/>
    <w:rsid w:val="00B12149"/>
    <w:rsid w:val="00B20474"/>
    <w:rsid w:val="00B234DD"/>
    <w:rsid w:val="00B25167"/>
    <w:rsid w:val="00B257D0"/>
    <w:rsid w:val="00B27FF6"/>
    <w:rsid w:val="00B310D6"/>
    <w:rsid w:val="00B373DD"/>
    <w:rsid w:val="00B4325F"/>
    <w:rsid w:val="00B507C5"/>
    <w:rsid w:val="00B529C4"/>
    <w:rsid w:val="00B53C12"/>
    <w:rsid w:val="00B55875"/>
    <w:rsid w:val="00B6201C"/>
    <w:rsid w:val="00B624D7"/>
    <w:rsid w:val="00B6320C"/>
    <w:rsid w:val="00B64534"/>
    <w:rsid w:val="00B6578F"/>
    <w:rsid w:val="00B66828"/>
    <w:rsid w:val="00B70731"/>
    <w:rsid w:val="00B73EA3"/>
    <w:rsid w:val="00B7500F"/>
    <w:rsid w:val="00B77E41"/>
    <w:rsid w:val="00B82730"/>
    <w:rsid w:val="00B8532C"/>
    <w:rsid w:val="00B90259"/>
    <w:rsid w:val="00B907E7"/>
    <w:rsid w:val="00B91573"/>
    <w:rsid w:val="00B96FC3"/>
    <w:rsid w:val="00B9778C"/>
    <w:rsid w:val="00BA1E24"/>
    <w:rsid w:val="00BA24C0"/>
    <w:rsid w:val="00BB3021"/>
    <w:rsid w:val="00BB6471"/>
    <w:rsid w:val="00BC08F4"/>
    <w:rsid w:val="00BC4F57"/>
    <w:rsid w:val="00BC5504"/>
    <w:rsid w:val="00BC5DE2"/>
    <w:rsid w:val="00BD569A"/>
    <w:rsid w:val="00BD7314"/>
    <w:rsid w:val="00C2092B"/>
    <w:rsid w:val="00C24296"/>
    <w:rsid w:val="00C329A8"/>
    <w:rsid w:val="00C33133"/>
    <w:rsid w:val="00C34137"/>
    <w:rsid w:val="00C34D70"/>
    <w:rsid w:val="00C36229"/>
    <w:rsid w:val="00C36C0B"/>
    <w:rsid w:val="00C37AF7"/>
    <w:rsid w:val="00C37BAC"/>
    <w:rsid w:val="00C4220E"/>
    <w:rsid w:val="00C51C15"/>
    <w:rsid w:val="00C60091"/>
    <w:rsid w:val="00C6647E"/>
    <w:rsid w:val="00C66EE0"/>
    <w:rsid w:val="00C71A02"/>
    <w:rsid w:val="00C731D7"/>
    <w:rsid w:val="00C74ECF"/>
    <w:rsid w:val="00C752B4"/>
    <w:rsid w:val="00C76386"/>
    <w:rsid w:val="00C803EE"/>
    <w:rsid w:val="00C80D3C"/>
    <w:rsid w:val="00C81A9A"/>
    <w:rsid w:val="00C8219F"/>
    <w:rsid w:val="00C82FC1"/>
    <w:rsid w:val="00C83310"/>
    <w:rsid w:val="00C853D6"/>
    <w:rsid w:val="00C86ACF"/>
    <w:rsid w:val="00C9601E"/>
    <w:rsid w:val="00CA5207"/>
    <w:rsid w:val="00CA6E86"/>
    <w:rsid w:val="00CB4AA4"/>
    <w:rsid w:val="00CC0D54"/>
    <w:rsid w:val="00CC278A"/>
    <w:rsid w:val="00CC3F8C"/>
    <w:rsid w:val="00CC6C5D"/>
    <w:rsid w:val="00CD0E8F"/>
    <w:rsid w:val="00CD2603"/>
    <w:rsid w:val="00CD2DC2"/>
    <w:rsid w:val="00CD3B63"/>
    <w:rsid w:val="00CD7B87"/>
    <w:rsid w:val="00CE1EDF"/>
    <w:rsid w:val="00CE3BB8"/>
    <w:rsid w:val="00CE4970"/>
    <w:rsid w:val="00CE615C"/>
    <w:rsid w:val="00CF41D8"/>
    <w:rsid w:val="00CF5EEB"/>
    <w:rsid w:val="00D06591"/>
    <w:rsid w:val="00D11CEA"/>
    <w:rsid w:val="00D14CC6"/>
    <w:rsid w:val="00D1795B"/>
    <w:rsid w:val="00D2358A"/>
    <w:rsid w:val="00D235F6"/>
    <w:rsid w:val="00D25B1F"/>
    <w:rsid w:val="00D31891"/>
    <w:rsid w:val="00D41606"/>
    <w:rsid w:val="00D5399F"/>
    <w:rsid w:val="00D626D0"/>
    <w:rsid w:val="00D629DE"/>
    <w:rsid w:val="00D652C5"/>
    <w:rsid w:val="00D67708"/>
    <w:rsid w:val="00D74CD2"/>
    <w:rsid w:val="00D76E6C"/>
    <w:rsid w:val="00D77271"/>
    <w:rsid w:val="00D80067"/>
    <w:rsid w:val="00D86C86"/>
    <w:rsid w:val="00D90755"/>
    <w:rsid w:val="00DA0773"/>
    <w:rsid w:val="00DA53CF"/>
    <w:rsid w:val="00DA663D"/>
    <w:rsid w:val="00DB311C"/>
    <w:rsid w:val="00DB7C21"/>
    <w:rsid w:val="00DC095E"/>
    <w:rsid w:val="00DC258D"/>
    <w:rsid w:val="00DC599A"/>
    <w:rsid w:val="00DD289F"/>
    <w:rsid w:val="00DD3CFF"/>
    <w:rsid w:val="00DE0A9F"/>
    <w:rsid w:val="00DE20C8"/>
    <w:rsid w:val="00DF07C8"/>
    <w:rsid w:val="00DF143C"/>
    <w:rsid w:val="00DF151E"/>
    <w:rsid w:val="00DF1B55"/>
    <w:rsid w:val="00E00B73"/>
    <w:rsid w:val="00E0752C"/>
    <w:rsid w:val="00E17915"/>
    <w:rsid w:val="00E22980"/>
    <w:rsid w:val="00E334A0"/>
    <w:rsid w:val="00E33B07"/>
    <w:rsid w:val="00E33FC6"/>
    <w:rsid w:val="00E40511"/>
    <w:rsid w:val="00E40EDC"/>
    <w:rsid w:val="00E43001"/>
    <w:rsid w:val="00E43036"/>
    <w:rsid w:val="00E44C34"/>
    <w:rsid w:val="00E456BC"/>
    <w:rsid w:val="00E45D6E"/>
    <w:rsid w:val="00E52526"/>
    <w:rsid w:val="00E53824"/>
    <w:rsid w:val="00E57496"/>
    <w:rsid w:val="00E7169A"/>
    <w:rsid w:val="00E7179F"/>
    <w:rsid w:val="00E75D0B"/>
    <w:rsid w:val="00E80F99"/>
    <w:rsid w:val="00E8636B"/>
    <w:rsid w:val="00E93048"/>
    <w:rsid w:val="00EA2809"/>
    <w:rsid w:val="00EA58F8"/>
    <w:rsid w:val="00EB410B"/>
    <w:rsid w:val="00EC24E5"/>
    <w:rsid w:val="00EC5EE0"/>
    <w:rsid w:val="00ED169B"/>
    <w:rsid w:val="00ED21D4"/>
    <w:rsid w:val="00ED2F55"/>
    <w:rsid w:val="00EE2EB3"/>
    <w:rsid w:val="00EE71DE"/>
    <w:rsid w:val="00EE7369"/>
    <w:rsid w:val="00EE7BD4"/>
    <w:rsid w:val="00EF1E2D"/>
    <w:rsid w:val="00EF5AE7"/>
    <w:rsid w:val="00EF6B1C"/>
    <w:rsid w:val="00EF6CA3"/>
    <w:rsid w:val="00F01154"/>
    <w:rsid w:val="00F01495"/>
    <w:rsid w:val="00F060BA"/>
    <w:rsid w:val="00F13308"/>
    <w:rsid w:val="00F139A0"/>
    <w:rsid w:val="00F16FFA"/>
    <w:rsid w:val="00F314A7"/>
    <w:rsid w:val="00F33B83"/>
    <w:rsid w:val="00F357BB"/>
    <w:rsid w:val="00F43AF1"/>
    <w:rsid w:val="00F44343"/>
    <w:rsid w:val="00F554D5"/>
    <w:rsid w:val="00F556DC"/>
    <w:rsid w:val="00F57829"/>
    <w:rsid w:val="00F612A6"/>
    <w:rsid w:val="00F61F9C"/>
    <w:rsid w:val="00F64981"/>
    <w:rsid w:val="00F65307"/>
    <w:rsid w:val="00F66B3F"/>
    <w:rsid w:val="00F6704C"/>
    <w:rsid w:val="00F7263D"/>
    <w:rsid w:val="00F74435"/>
    <w:rsid w:val="00F75D2E"/>
    <w:rsid w:val="00F80382"/>
    <w:rsid w:val="00F829DA"/>
    <w:rsid w:val="00F852E7"/>
    <w:rsid w:val="00F86A26"/>
    <w:rsid w:val="00F90208"/>
    <w:rsid w:val="00F924C8"/>
    <w:rsid w:val="00F941D1"/>
    <w:rsid w:val="00F960AF"/>
    <w:rsid w:val="00FA2B40"/>
    <w:rsid w:val="00FA49D6"/>
    <w:rsid w:val="00FA6C09"/>
    <w:rsid w:val="00FB2124"/>
    <w:rsid w:val="00FB2A02"/>
    <w:rsid w:val="00FB48C0"/>
    <w:rsid w:val="00FC0419"/>
    <w:rsid w:val="00FC0BF2"/>
    <w:rsid w:val="00FC3CC8"/>
    <w:rsid w:val="00FD4FC3"/>
    <w:rsid w:val="00FD5A3F"/>
    <w:rsid w:val="00FE0599"/>
    <w:rsid w:val="00FE0665"/>
    <w:rsid w:val="00FE27E3"/>
    <w:rsid w:val="00FE33DE"/>
    <w:rsid w:val="00FE4D68"/>
    <w:rsid w:val="00FE5D62"/>
    <w:rsid w:val="00FE69F5"/>
    <w:rsid w:val="00FE6BC3"/>
    <w:rsid w:val="00FE7A06"/>
    <w:rsid w:val="00FF0908"/>
    <w:rsid w:val="00FF0A02"/>
    <w:rsid w:val="00FF169B"/>
    <w:rsid w:val="00FF34F2"/>
    <w:rsid w:val="00FF6908"/>
    <w:rsid w:val="00FF7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F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0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F0E08"/>
    <w:pPr>
      <w:spacing w:after="120" w:line="480" w:lineRule="auto"/>
    </w:pPr>
    <w:rPr>
      <w:lang w:val="x-none"/>
    </w:rPr>
  </w:style>
  <w:style w:type="character" w:customStyle="1" w:styleId="BodyText2Char">
    <w:name w:val="Body Text 2 Char"/>
    <w:basedOn w:val="DefaultParagraphFont"/>
    <w:link w:val="BodyText2"/>
    <w:rsid w:val="007F0E08"/>
    <w:rPr>
      <w:rFonts w:eastAsia="Times New Roman" w:cs="Times New Roman"/>
      <w:szCs w:val="24"/>
      <w:lang w:val="x-none" w:eastAsia="ru-RU"/>
    </w:rPr>
  </w:style>
  <w:style w:type="paragraph" w:styleId="Footer">
    <w:name w:val="footer"/>
    <w:basedOn w:val="Normal"/>
    <w:link w:val="FooterChar"/>
    <w:uiPriority w:val="99"/>
    <w:unhideWhenUsed/>
    <w:rsid w:val="007F0E08"/>
    <w:pPr>
      <w:tabs>
        <w:tab w:val="center" w:pos="4513"/>
        <w:tab w:val="right" w:pos="9026"/>
      </w:tabs>
    </w:pPr>
  </w:style>
  <w:style w:type="character" w:customStyle="1" w:styleId="FooterChar">
    <w:name w:val="Footer Char"/>
    <w:basedOn w:val="DefaultParagraphFont"/>
    <w:link w:val="Footer"/>
    <w:uiPriority w:val="99"/>
    <w:qFormat/>
    <w:rsid w:val="007F0E08"/>
    <w:rPr>
      <w:rFonts w:eastAsia="Times New Roman" w:cs="Times New Roman"/>
      <w:szCs w:val="24"/>
      <w:lang w:val="lv-LV" w:eastAsia="ru-RU"/>
    </w:rPr>
  </w:style>
  <w:style w:type="character" w:styleId="PageNumber">
    <w:name w:val="page number"/>
    <w:basedOn w:val="DefaultParagraphFont"/>
    <w:qFormat/>
    <w:rsid w:val="007F0E08"/>
  </w:style>
  <w:style w:type="paragraph" w:customStyle="1" w:styleId="tv213">
    <w:name w:val="tv213"/>
    <w:basedOn w:val="Normal"/>
    <w:rsid w:val="009E6BC7"/>
    <w:pPr>
      <w:spacing w:before="100" w:beforeAutospacing="1" w:after="100" w:afterAutospacing="1"/>
    </w:pPr>
    <w:rPr>
      <w:lang w:eastAsia="lv-LV"/>
    </w:rPr>
  </w:style>
  <w:style w:type="character" w:styleId="Emphasis">
    <w:name w:val="Emphasis"/>
    <w:basedOn w:val="DefaultParagraphFont"/>
    <w:uiPriority w:val="20"/>
    <w:qFormat/>
    <w:rsid w:val="00B907E7"/>
    <w:rPr>
      <w:i/>
      <w:iCs/>
    </w:rPr>
  </w:style>
  <w:style w:type="paragraph" w:customStyle="1" w:styleId="Standard">
    <w:name w:val="Standard"/>
    <w:rsid w:val="00196A74"/>
    <w:pPr>
      <w:suppressAutoHyphens/>
      <w:autoSpaceDN w:val="0"/>
      <w:spacing w:after="120" w:line="240" w:lineRule="auto"/>
      <w:textAlignment w:val="baseline"/>
    </w:pPr>
    <w:rPr>
      <w:rFonts w:ascii="Arial" w:eastAsia="Arial Unicode MS" w:hAnsi="Arial" w:cs="Calibri"/>
      <w:kern w:val="3"/>
      <w:sz w:val="21"/>
    </w:rPr>
  </w:style>
  <w:style w:type="paragraph" w:styleId="ListParagraph">
    <w:name w:val="List Paragraph"/>
    <w:basedOn w:val="Standard"/>
    <w:uiPriority w:val="34"/>
    <w:qFormat/>
    <w:rsid w:val="00196A74"/>
    <w:pPr>
      <w:ind w:left="720"/>
    </w:pPr>
  </w:style>
  <w:style w:type="numbering" w:customStyle="1" w:styleId="WWNum2">
    <w:name w:val="WWNum2"/>
    <w:basedOn w:val="NoList"/>
    <w:rsid w:val="00196A74"/>
    <w:pPr>
      <w:numPr>
        <w:numId w:val="1"/>
      </w:numPr>
    </w:pPr>
  </w:style>
  <w:style w:type="numbering" w:customStyle="1" w:styleId="WWNum26">
    <w:name w:val="WWNum26"/>
    <w:basedOn w:val="NoList"/>
    <w:rsid w:val="00196A74"/>
    <w:pPr>
      <w:numPr>
        <w:numId w:val="2"/>
      </w:numPr>
    </w:pPr>
  </w:style>
  <w:style w:type="character" w:styleId="CommentReference">
    <w:name w:val="annotation reference"/>
    <w:basedOn w:val="DefaultParagraphFont"/>
    <w:uiPriority w:val="99"/>
    <w:semiHidden/>
    <w:unhideWhenUsed/>
    <w:rsid w:val="004756B3"/>
    <w:rPr>
      <w:sz w:val="16"/>
      <w:szCs w:val="16"/>
    </w:rPr>
  </w:style>
  <w:style w:type="paragraph" w:styleId="CommentText">
    <w:name w:val="annotation text"/>
    <w:basedOn w:val="Normal"/>
    <w:link w:val="CommentTextChar"/>
    <w:uiPriority w:val="99"/>
    <w:unhideWhenUsed/>
    <w:rsid w:val="004756B3"/>
    <w:rPr>
      <w:sz w:val="20"/>
      <w:szCs w:val="20"/>
    </w:rPr>
  </w:style>
  <w:style w:type="character" w:customStyle="1" w:styleId="CommentTextChar">
    <w:name w:val="Comment Text Char"/>
    <w:basedOn w:val="DefaultParagraphFont"/>
    <w:link w:val="CommentText"/>
    <w:uiPriority w:val="99"/>
    <w:rsid w:val="004756B3"/>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756B3"/>
    <w:rPr>
      <w:b/>
      <w:bCs/>
    </w:rPr>
  </w:style>
  <w:style w:type="character" w:customStyle="1" w:styleId="CommentSubjectChar">
    <w:name w:val="Comment Subject Char"/>
    <w:basedOn w:val="CommentTextChar"/>
    <w:link w:val="CommentSubject"/>
    <w:uiPriority w:val="99"/>
    <w:semiHidden/>
    <w:rsid w:val="004756B3"/>
    <w:rPr>
      <w:rFonts w:eastAsia="Times New Roman" w:cs="Times New Roman"/>
      <w:b/>
      <w:bCs/>
      <w:sz w:val="20"/>
      <w:szCs w:val="20"/>
      <w:lang w:val="lv-LV" w:eastAsia="ru-RU"/>
    </w:rPr>
  </w:style>
  <w:style w:type="character" w:styleId="Hyperlink">
    <w:name w:val="Hyperlink"/>
    <w:basedOn w:val="DefaultParagraphFont"/>
    <w:uiPriority w:val="99"/>
    <w:unhideWhenUsed/>
    <w:rsid w:val="0016283F"/>
    <w:rPr>
      <w:color w:val="0563C1" w:themeColor="hyperlink"/>
      <w:u w:val="single"/>
    </w:rPr>
  </w:style>
  <w:style w:type="character" w:styleId="UnresolvedMention">
    <w:name w:val="Unresolved Mention"/>
    <w:basedOn w:val="DefaultParagraphFont"/>
    <w:uiPriority w:val="99"/>
    <w:semiHidden/>
    <w:unhideWhenUsed/>
    <w:rsid w:val="0016283F"/>
    <w:rPr>
      <w:color w:val="605E5C"/>
      <w:shd w:val="clear" w:color="auto" w:fill="E1DFDD"/>
    </w:rPr>
  </w:style>
  <w:style w:type="paragraph" w:styleId="Header">
    <w:name w:val="header"/>
    <w:basedOn w:val="Normal"/>
    <w:link w:val="HeaderChar"/>
    <w:uiPriority w:val="99"/>
    <w:unhideWhenUsed/>
    <w:rsid w:val="00D74CD2"/>
    <w:pPr>
      <w:tabs>
        <w:tab w:val="center" w:pos="4513"/>
        <w:tab w:val="right" w:pos="9026"/>
      </w:tabs>
    </w:pPr>
  </w:style>
  <w:style w:type="character" w:customStyle="1" w:styleId="HeaderChar">
    <w:name w:val="Header Char"/>
    <w:basedOn w:val="DefaultParagraphFont"/>
    <w:link w:val="Header"/>
    <w:uiPriority w:val="99"/>
    <w:rsid w:val="00D74CD2"/>
    <w:rPr>
      <w:rFonts w:eastAsia="Times New Roman" w:cs="Times New Roman"/>
      <w:szCs w:val="24"/>
      <w:lang w:val="lv-LV" w:eastAsia="ru-RU"/>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nhideWhenUsed/>
    <w:rsid w:val="00E22980"/>
    <w:rPr>
      <w:rFonts w:asciiTheme="minorHAnsi" w:eastAsiaTheme="minorHAnsi" w:hAnsiTheme="minorHAnsi" w:cstheme="minorBidi"/>
      <w:sz w:val="20"/>
      <w:szCs w:val="20"/>
      <w:lang w:eastAsia="en-US"/>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rsid w:val="00E22980"/>
    <w:rPr>
      <w:rFonts w:asciiTheme="minorHAnsi" w:hAnsiTheme="minorHAnsi"/>
      <w:sz w:val="20"/>
      <w:szCs w:val="20"/>
      <w:lang w:val="lv-LV"/>
    </w:rPr>
  </w:style>
  <w:style w:type="character" w:styleId="FootnoteReference">
    <w:name w:val="footnote reference"/>
    <w:aliases w:val="Footnote Reference Number,SUPERS"/>
    <w:basedOn w:val="DefaultParagraphFont"/>
    <w:uiPriority w:val="99"/>
    <w:unhideWhenUsed/>
    <w:rsid w:val="00E22980"/>
    <w:rPr>
      <w:vertAlign w:val="superscript"/>
    </w:rPr>
  </w:style>
  <w:style w:type="character" w:styleId="FollowedHyperlink">
    <w:name w:val="FollowedHyperlink"/>
    <w:basedOn w:val="DefaultParagraphFont"/>
    <w:uiPriority w:val="99"/>
    <w:semiHidden/>
    <w:unhideWhenUsed/>
    <w:rsid w:val="008A5EC0"/>
    <w:rPr>
      <w:color w:val="954F72" w:themeColor="followedHyperlink"/>
      <w:u w:val="single"/>
    </w:rPr>
  </w:style>
  <w:style w:type="paragraph" w:customStyle="1" w:styleId="Default">
    <w:name w:val="Default"/>
    <w:rsid w:val="00B96FC3"/>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FE5D62"/>
    <w:pPr>
      <w:spacing w:after="0" w:line="240" w:lineRule="auto"/>
    </w:pPr>
    <w:rPr>
      <w:rFonts w:eastAsia="Times New Roman" w:cs="Times New Roman"/>
      <w:szCs w:val="24"/>
      <w:lang w:val="lv-LV" w:eastAsia="ru-RU"/>
    </w:rPr>
  </w:style>
  <w:style w:type="paragraph" w:styleId="NoSpacing">
    <w:name w:val="No Spacing"/>
    <w:uiPriority w:val="1"/>
    <w:qFormat/>
    <w:rsid w:val="0014551F"/>
    <w:pPr>
      <w:spacing w:after="0" w:line="240" w:lineRule="auto"/>
    </w:pPr>
    <w:rPr>
      <w:rFonts w:asciiTheme="minorHAnsi" w:hAnsiTheme="minorHAns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0827">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627274911">
      <w:bodyDiv w:val="1"/>
      <w:marLeft w:val="0"/>
      <w:marRight w:val="0"/>
      <w:marTop w:val="0"/>
      <w:marBottom w:val="0"/>
      <w:divBdr>
        <w:top w:val="none" w:sz="0" w:space="0" w:color="auto"/>
        <w:left w:val="none" w:sz="0" w:space="0" w:color="auto"/>
        <w:bottom w:val="none" w:sz="0" w:space="0" w:color="auto"/>
        <w:right w:val="none" w:sz="0" w:space="0" w:color="auto"/>
      </w:divBdr>
    </w:div>
    <w:div w:id="810756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56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BD7E-8221-4318-B4DC-0A143FAF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2024-09-18T12:58:00Z</dcterms:created>
  <dcterms:modified xsi:type="dcterms:W3CDTF">2024-09-18T12:58:00Z</dcterms:modified>
</cp:coreProperties>
</file>