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C168A" w14:textId="77777777" w:rsidR="0092446E" w:rsidRDefault="0092446E" w:rsidP="0092446E">
      <w:pPr>
        <w:spacing w:line="276" w:lineRule="auto"/>
        <w:jc w:val="both"/>
        <w:rPr>
          <w:b/>
          <w:bCs/>
          <w:lang w:eastAsia="lv-LV"/>
        </w:rPr>
      </w:pPr>
      <w:r>
        <w:rPr>
          <w:b/>
          <w:bCs/>
        </w:rPr>
        <w:t>Bāriņtiesas kompetence atlīdzības noteikšanā mantojuma aizgādnim par viņa pienākumu pildīšanu</w:t>
      </w:r>
    </w:p>
    <w:p w14:paraId="12A9593E" w14:textId="77777777" w:rsidR="0092446E" w:rsidRDefault="0092446E" w:rsidP="0092446E">
      <w:pPr>
        <w:spacing w:line="276" w:lineRule="auto"/>
        <w:jc w:val="both"/>
      </w:pPr>
      <w:r>
        <w:t xml:space="preserve">No Civillikuma un Bāriņtiesu likuma normām izriet, ka likumdevējs kompetenci noteikt mantojuma aizgādnim pienākošos atlīdzību par viņa pienākumu pildīšanu ir paredzējis bāriņtiesai. </w:t>
      </w:r>
    </w:p>
    <w:p w14:paraId="05D16057" w14:textId="069C445E" w:rsidR="0092446E" w:rsidRDefault="0092446E" w:rsidP="0092446E">
      <w:pPr>
        <w:spacing w:line="276" w:lineRule="auto"/>
        <w:jc w:val="both"/>
        <w:rPr>
          <w:color w:val="FF0000"/>
        </w:rPr>
      </w:pPr>
      <w:r w:rsidRPr="0092446E">
        <w:t>Ja bāriņtiesas noteiktā atlīdzība mantojuma aizgādnim nepārsniedz 426 </w:t>
      </w:r>
      <w:proofErr w:type="spellStart"/>
      <w:r w:rsidRPr="0092446E">
        <w:rPr>
          <w:i/>
          <w:iCs/>
        </w:rPr>
        <w:t>euro</w:t>
      </w:r>
      <w:proofErr w:type="spellEnd"/>
      <w:r w:rsidRPr="0092446E">
        <w:t>, bāriņtiesas lēmumam par atlīdzības noteikšanu ir galīga noregulējuma raksturs, un tas ir pārsūdzams Administratīvajā rajona tiesā Administratīvā procesa likumā noteiktajā kārtībā.</w:t>
      </w:r>
    </w:p>
    <w:p w14:paraId="2CF457E8" w14:textId="64A34E5A" w:rsidR="003047F5" w:rsidRPr="000F6065" w:rsidRDefault="003047F5" w:rsidP="0092446E">
      <w:pPr>
        <w:pStyle w:val="BodyText2"/>
        <w:spacing w:after="0" w:line="276" w:lineRule="auto"/>
      </w:pPr>
    </w:p>
    <w:p w14:paraId="765AF8A4" w14:textId="709D71E0" w:rsidR="006F5D3B" w:rsidRDefault="006F5D3B" w:rsidP="0092446E">
      <w:pPr>
        <w:spacing w:line="276" w:lineRule="auto"/>
        <w:jc w:val="center"/>
        <w:rPr>
          <w:b/>
        </w:rPr>
      </w:pPr>
      <w:r w:rsidRPr="00C24583">
        <w:rPr>
          <w:b/>
        </w:rPr>
        <w:t xml:space="preserve">Latvijas Republikas </w:t>
      </w:r>
      <w:r w:rsidR="0015480A" w:rsidRPr="00C24583">
        <w:rPr>
          <w:b/>
        </w:rPr>
        <w:t>Senāt</w:t>
      </w:r>
      <w:r w:rsidR="0092446E">
        <w:rPr>
          <w:b/>
        </w:rPr>
        <w:t>a</w:t>
      </w:r>
    </w:p>
    <w:p w14:paraId="05DAE2E9" w14:textId="0B0E6002" w:rsidR="0092446E" w:rsidRPr="00C24583" w:rsidRDefault="0092446E" w:rsidP="0092446E">
      <w:pPr>
        <w:spacing w:line="276" w:lineRule="auto"/>
        <w:jc w:val="center"/>
        <w:rPr>
          <w:b/>
        </w:rPr>
      </w:pPr>
      <w:r>
        <w:rPr>
          <w:b/>
        </w:rPr>
        <w:t xml:space="preserve">Administratīvo lietu departamenta </w:t>
      </w:r>
      <w:r>
        <w:rPr>
          <w:b/>
        </w:rPr>
        <w:br/>
        <w:t>2024.gada 2.jūlija</w:t>
      </w:r>
    </w:p>
    <w:p w14:paraId="1B019AD9" w14:textId="7791D851" w:rsidR="003047F5" w:rsidRDefault="003047F5" w:rsidP="0092446E">
      <w:pPr>
        <w:spacing w:line="276" w:lineRule="auto"/>
        <w:jc w:val="center"/>
        <w:rPr>
          <w:b/>
        </w:rPr>
      </w:pPr>
      <w:r w:rsidRPr="00C24583">
        <w:rPr>
          <w:b/>
        </w:rPr>
        <w:t>LĒMUMS</w:t>
      </w:r>
    </w:p>
    <w:p w14:paraId="144E9BA1" w14:textId="77777777" w:rsidR="0092446E" w:rsidRPr="0092446E" w:rsidRDefault="0092446E" w:rsidP="0092446E">
      <w:pPr>
        <w:spacing w:line="276" w:lineRule="auto"/>
        <w:jc w:val="center"/>
        <w:rPr>
          <w:b/>
          <w:bCs/>
        </w:rPr>
      </w:pPr>
      <w:r w:rsidRPr="0092446E">
        <w:rPr>
          <w:b/>
          <w:bCs/>
        </w:rPr>
        <w:t>Lieta Nr.</w:t>
      </w:r>
      <w:r w:rsidRPr="0092446E">
        <w:rPr>
          <w:b/>
          <w:bCs/>
          <w:lang w:eastAsia="lv-LV"/>
        </w:rPr>
        <w:t xml:space="preserve"> 670007724, </w:t>
      </w:r>
      <w:r w:rsidRPr="0092446E">
        <w:rPr>
          <w:b/>
          <w:bCs/>
        </w:rPr>
        <w:t>SKA-676/2024</w:t>
      </w:r>
    </w:p>
    <w:p w14:paraId="51D5259E" w14:textId="50973080" w:rsidR="0092446E" w:rsidRPr="00C24583" w:rsidRDefault="0092446E" w:rsidP="0092446E">
      <w:pPr>
        <w:spacing w:line="276" w:lineRule="auto"/>
        <w:jc w:val="center"/>
        <w:rPr>
          <w:b/>
        </w:rPr>
      </w:pPr>
      <w:hyperlink r:id="rId7" w:history="1">
        <w:r w:rsidRPr="0092446E">
          <w:rPr>
            <w:rStyle w:val="Hyperlink"/>
            <w:rFonts w:ascii="TimesNewRomanPSMT" w:eastAsiaTheme="minorHAnsi" w:hAnsi="TimesNewRomanPSMT" w:cs="TimesNewRomanPSMT"/>
            <w:lang w:eastAsia="en-US"/>
          </w:rPr>
          <w:t>ECLI:LV:AT:2024:0702.SKA067624.5.L</w:t>
        </w:r>
      </w:hyperlink>
    </w:p>
    <w:p w14:paraId="7E08797B" w14:textId="77777777" w:rsidR="003047F5" w:rsidRPr="00F902DB" w:rsidRDefault="003047F5" w:rsidP="0092446E">
      <w:pPr>
        <w:spacing w:line="276" w:lineRule="auto"/>
        <w:jc w:val="center"/>
      </w:pPr>
    </w:p>
    <w:p w14:paraId="26297293" w14:textId="3D114B25" w:rsidR="00A6596A" w:rsidRDefault="00AA6E95" w:rsidP="0092446E">
      <w:pPr>
        <w:spacing w:line="276" w:lineRule="auto"/>
        <w:ind w:firstLine="720"/>
        <w:jc w:val="both"/>
      </w:pPr>
      <w:r w:rsidRPr="00265312">
        <w:t xml:space="preserve">Senāts </w:t>
      </w:r>
      <w:r w:rsidR="0015480A" w:rsidRPr="00265312">
        <w:t>šādā sastāvā: senator</w:t>
      </w:r>
      <w:r w:rsidR="009F6F33" w:rsidRPr="00265312">
        <w:t>e</w:t>
      </w:r>
      <w:r w:rsidRPr="00265312">
        <w:t xml:space="preserve"> referente</w:t>
      </w:r>
      <w:r w:rsidR="00B6234F" w:rsidRPr="00265312">
        <w:t xml:space="preserve"> Ieva Višķere</w:t>
      </w:r>
      <w:r w:rsidR="0015480A" w:rsidRPr="00265312">
        <w:t xml:space="preserve">, </w:t>
      </w:r>
      <w:r w:rsidRPr="00265312">
        <w:t xml:space="preserve">senatores </w:t>
      </w:r>
      <w:r w:rsidR="00B6234F" w:rsidRPr="00265312">
        <w:t>Dzintra Amerika</w:t>
      </w:r>
      <w:r w:rsidRPr="00265312">
        <w:t xml:space="preserve"> </w:t>
      </w:r>
      <w:r w:rsidR="00B6234F" w:rsidRPr="00265312">
        <w:t>un Indra Meldere</w:t>
      </w:r>
    </w:p>
    <w:p w14:paraId="2807957F" w14:textId="77777777" w:rsidR="003047F5" w:rsidRPr="00F902DB" w:rsidRDefault="003047F5" w:rsidP="0092446E">
      <w:pPr>
        <w:spacing w:line="276" w:lineRule="auto"/>
        <w:ind w:firstLine="720"/>
        <w:jc w:val="both"/>
      </w:pPr>
    </w:p>
    <w:p w14:paraId="45FEDFF2" w14:textId="6C73F09C" w:rsidR="003047F5" w:rsidRDefault="009F6F33" w:rsidP="0092446E">
      <w:pPr>
        <w:spacing w:line="276" w:lineRule="auto"/>
        <w:ind w:firstLine="720"/>
        <w:jc w:val="both"/>
      </w:pPr>
      <w:r>
        <w:t xml:space="preserve">rakstveida procesā izskatīja </w:t>
      </w:r>
      <w:r w:rsidR="0092446E">
        <w:t xml:space="preserve">[pers. A] </w:t>
      </w:r>
      <w:r w:rsidR="001F40A0">
        <w:t xml:space="preserve">blakus sūdzību par </w:t>
      </w:r>
      <w:r w:rsidR="003135C6">
        <w:t xml:space="preserve">Administratīvās </w:t>
      </w:r>
      <w:r w:rsidR="00532CCE">
        <w:t>rajona tiesas tiesneša 2024.gada 29.maija</w:t>
      </w:r>
      <w:r w:rsidR="001F40A0">
        <w:t xml:space="preserve"> lēmumu</w:t>
      </w:r>
      <w:r w:rsidR="00D10538">
        <w:t>, ar kuru</w:t>
      </w:r>
      <w:r w:rsidR="001F40A0">
        <w:t xml:space="preserve"> </w:t>
      </w:r>
      <w:r w:rsidR="00532CCE">
        <w:t xml:space="preserve">atteikts pieņemt </w:t>
      </w:r>
      <w:r w:rsidR="0092446E">
        <w:t xml:space="preserve">[pers. A] </w:t>
      </w:r>
      <w:r w:rsidR="00532CCE">
        <w:t>pieteikumu.</w:t>
      </w:r>
    </w:p>
    <w:p w14:paraId="5DE22EF3" w14:textId="77777777" w:rsidR="00A6596A" w:rsidRDefault="00A6596A" w:rsidP="0092446E">
      <w:pPr>
        <w:spacing w:line="276" w:lineRule="auto"/>
        <w:ind w:firstLine="567"/>
        <w:jc w:val="both"/>
      </w:pPr>
    </w:p>
    <w:p w14:paraId="49301551" w14:textId="77777777" w:rsidR="003047F5" w:rsidRPr="009D6594" w:rsidRDefault="003047F5" w:rsidP="0092446E">
      <w:pPr>
        <w:spacing w:line="276" w:lineRule="auto"/>
        <w:jc w:val="center"/>
        <w:rPr>
          <w:b/>
        </w:rPr>
      </w:pPr>
      <w:r w:rsidRPr="009D6594">
        <w:rPr>
          <w:b/>
        </w:rPr>
        <w:t>Aprakstošā daļa</w:t>
      </w:r>
    </w:p>
    <w:p w14:paraId="54AE93A0" w14:textId="77777777" w:rsidR="003047F5" w:rsidRDefault="003047F5" w:rsidP="0092446E">
      <w:pPr>
        <w:spacing w:line="276" w:lineRule="auto"/>
        <w:ind w:firstLine="567"/>
        <w:jc w:val="both"/>
      </w:pPr>
    </w:p>
    <w:p w14:paraId="48623ABD" w14:textId="07E107B3" w:rsidR="003047F5" w:rsidRDefault="003047F5" w:rsidP="0092446E">
      <w:pPr>
        <w:spacing w:line="276" w:lineRule="auto"/>
        <w:ind w:firstLine="720"/>
        <w:jc w:val="both"/>
      </w:pPr>
      <w:r>
        <w:t>[1]</w:t>
      </w:r>
      <w:r w:rsidR="00235494">
        <w:t xml:space="preserve"> Rīgas bāriņtiesa (šobrīd – Rīgas valstspilsētas pašvaldības bāriņtiesa; turpmāk – bāriņtiesa) ar 2023.gada 20.jūnija lēmumu </w:t>
      </w:r>
      <w:r w:rsidR="00050487">
        <w:t xml:space="preserve">pieteicēju </w:t>
      </w:r>
      <w:r w:rsidR="0092446E">
        <w:t xml:space="preserve">[pers. A] </w:t>
      </w:r>
      <w:r w:rsidR="00050487">
        <w:t xml:space="preserve">iecēla par aizgādni 2021.gada 7.martā mirušā </w:t>
      </w:r>
      <w:r w:rsidR="0092446E">
        <w:t xml:space="preserve">[pers. </w:t>
      </w:r>
      <w:r w:rsidR="0092446E">
        <w:t>B</w:t>
      </w:r>
      <w:r w:rsidR="0092446E">
        <w:t xml:space="preserve">] </w:t>
      </w:r>
      <w:r w:rsidR="00050487">
        <w:t>atstātajam mantojumam.</w:t>
      </w:r>
    </w:p>
    <w:p w14:paraId="25761117" w14:textId="794B1546" w:rsidR="00050487" w:rsidRDefault="00050487" w:rsidP="0092446E">
      <w:pPr>
        <w:spacing w:line="276" w:lineRule="auto"/>
        <w:ind w:firstLine="720"/>
        <w:jc w:val="both"/>
      </w:pPr>
      <w:r>
        <w:t>2024.gada 16.februārī pieteicējs vērsās bāriņtiesā ar iesniegumu, kurā lūdza viņu atbrīvot no</w:t>
      </w:r>
      <w:r w:rsidR="0092446E">
        <w:t xml:space="preserve">[pers. B] </w:t>
      </w:r>
      <w:r>
        <w:t>mantojuma aizgādņa pienākumu pildīšana</w:t>
      </w:r>
      <w:r w:rsidR="00A40761">
        <w:t xml:space="preserve">s, jo mantojuma lieta ir izbeigta. Vienlaikus pieteicējs </w:t>
      </w:r>
      <w:r>
        <w:t xml:space="preserve">saskaņā ar Civillikuma 307.pantu </w:t>
      </w:r>
      <w:r w:rsidR="00A40761">
        <w:t xml:space="preserve">lūdza </w:t>
      </w:r>
      <w:r>
        <w:t>viņam noteikt vienreizēju atlīdzību 425 </w:t>
      </w:r>
      <w:r w:rsidRPr="00050487">
        <w:rPr>
          <w:i/>
          <w:iCs/>
        </w:rPr>
        <w:t>euro</w:t>
      </w:r>
      <w:r>
        <w:t xml:space="preserve"> par </w:t>
      </w:r>
      <w:r w:rsidR="00A40761">
        <w:t xml:space="preserve">mantojuma </w:t>
      </w:r>
      <w:r>
        <w:t>aizgādņa pienākumu pildīšanu.</w:t>
      </w:r>
      <w:r w:rsidR="00DA70A7">
        <w:t xml:space="preserve"> </w:t>
      </w:r>
    </w:p>
    <w:p w14:paraId="02B85E83" w14:textId="789CEC55" w:rsidR="00DA70A7" w:rsidRDefault="0080591C" w:rsidP="0092446E">
      <w:pPr>
        <w:spacing w:line="276" w:lineRule="auto"/>
        <w:ind w:firstLine="720"/>
        <w:jc w:val="both"/>
      </w:pPr>
      <w:r>
        <w:t xml:space="preserve">Bāriņtiesa ar 2024.gada 19.marta lēmumu Nr. 1.3./623 lietā Nr. 8.5./21-2023 atbrīvoja pieteicēju no </w:t>
      </w:r>
      <w:r w:rsidR="0092446E">
        <w:t xml:space="preserve">[pers. B] </w:t>
      </w:r>
      <w:r>
        <w:t xml:space="preserve">mantojuma aizgādņa pienākuma pildīšanas, taču atteica pieteicējam noteikt </w:t>
      </w:r>
      <w:r w:rsidR="00D666F1">
        <w:t xml:space="preserve">viņa lūgto </w:t>
      </w:r>
      <w:r>
        <w:t>atlīdzību par</w:t>
      </w:r>
      <w:r w:rsidR="00740F65">
        <w:t xml:space="preserve"> </w:t>
      </w:r>
      <w:r w:rsidR="00FF2AE1">
        <w:t>attiecīgo</w:t>
      </w:r>
      <w:r>
        <w:t xml:space="preserve"> pienākumu pildīšanu.</w:t>
      </w:r>
    </w:p>
    <w:p w14:paraId="772CFD1E" w14:textId="0317B46D" w:rsidR="00D666F1" w:rsidRDefault="00BA727F" w:rsidP="0092446E">
      <w:pPr>
        <w:spacing w:line="276" w:lineRule="auto"/>
        <w:ind w:firstLine="720"/>
        <w:jc w:val="both"/>
      </w:pPr>
      <w:r>
        <w:t xml:space="preserve">Nepiekrītot minētajam lēmumam daļā, kurā pieteicējam atteikts noteikt atlīdzību par mantojuma aizgādņa pienākumu pildīšanu, pieteicējs </w:t>
      </w:r>
      <w:r w:rsidR="00862E79">
        <w:t xml:space="preserve">ar pieteikumu </w:t>
      </w:r>
      <w:r>
        <w:t>vērsās Administratīvajā rajona tiesā</w:t>
      </w:r>
      <w:r w:rsidR="00862E79">
        <w:t>.</w:t>
      </w:r>
    </w:p>
    <w:p w14:paraId="51D5FABC" w14:textId="77777777" w:rsidR="003047F5" w:rsidRDefault="003047F5" w:rsidP="0092446E">
      <w:pPr>
        <w:spacing w:line="276" w:lineRule="auto"/>
        <w:ind w:firstLine="720"/>
        <w:jc w:val="both"/>
      </w:pPr>
    </w:p>
    <w:p w14:paraId="0A5BD171" w14:textId="2218FE9E" w:rsidR="005570EB" w:rsidRPr="00691AA7" w:rsidRDefault="008607E9" w:rsidP="0092446E">
      <w:pPr>
        <w:spacing w:line="276" w:lineRule="auto"/>
        <w:ind w:firstLine="720"/>
        <w:jc w:val="both"/>
      </w:pPr>
      <w:r>
        <w:t>[</w:t>
      </w:r>
      <w:r w:rsidR="009352A3">
        <w:t>2</w:t>
      </w:r>
      <w:r>
        <w:t>] </w:t>
      </w:r>
      <w:r w:rsidR="00337CD2">
        <w:t>Administratīvās rajona tiesas tiesnesis ar 2024.gada 29.maija lēmumu atteica pieņemt pieteicēja pieteikumu</w:t>
      </w:r>
      <w:r w:rsidR="005570EB">
        <w:t xml:space="preserve">, </w:t>
      </w:r>
      <w:r w:rsidR="005570EB" w:rsidRPr="00691AA7">
        <w:t xml:space="preserve">pamatojoties uz Administratīvā procesa likuma 191.panta pirmās daļas 1.punktu (paredz, ka tiesnesis pieteikumu atsaka pieņemt, ja lieta nav izskatāma administratīvā procesa kārtībā). </w:t>
      </w:r>
    </w:p>
    <w:p w14:paraId="7419EA56" w14:textId="2F1B883B" w:rsidR="00691AA7" w:rsidRPr="00691AA7" w:rsidRDefault="00691AA7" w:rsidP="0092446E">
      <w:pPr>
        <w:spacing w:line="276" w:lineRule="auto"/>
        <w:ind w:firstLine="720"/>
        <w:jc w:val="both"/>
      </w:pPr>
      <w:r>
        <w:t xml:space="preserve">Tiesnesis atzina, ka saskaņā ar Civillikuma un Bāriņtiesu likuma normām, nosakot mantojuma aizgādnim atlīdzību </w:t>
      </w:r>
      <w:r w:rsidR="00246C63">
        <w:t>tādā apmērā, kas nepārsniedz</w:t>
      </w:r>
      <w:r>
        <w:t xml:space="preserve"> 426 </w:t>
      </w:r>
      <w:r w:rsidRPr="00691AA7">
        <w:rPr>
          <w:i/>
          <w:iCs/>
        </w:rPr>
        <w:t>euro</w:t>
      </w:r>
      <w:r>
        <w:t xml:space="preserve">, par atlīdzības noteikšanu ir atbildīga bāriņtiesa, kas pieņem attiecīgu lēmumu. Savukārt gadījumā, ja atlīdzības summa ir lielāka, tad bāriņtiesai ir jāvēršas vispārējās jurisdikcijas tiesā </w:t>
      </w:r>
      <w:r>
        <w:lastRenderedPageBreak/>
        <w:t>konkrētās summas apstiprināšanai. Abos gadījumos bāriņtiesai atlīdzības pamatojums un apmērs ir jāizvērtē, pamatojoties uz vieniem un tiem pašiem Civillikumā noteiktajiem kritērijiem, un likumdevējs nav paredzējis īpašu pārsūdzības kārtību šādam bāriņtiesas lēmumam. Līdz ar to n</w:t>
      </w:r>
      <w:r w:rsidR="005570EB">
        <w:t>eesot</w:t>
      </w:r>
      <w:r>
        <w:t xml:space="preserve"> pamata secināt, ka bāriņtiesas lēmums par atlīdzības noteikšanu mantojuma aizgādnim par </w:t>
      </w:r>
      <w:r w:rsidR="00396CBB">
        <w:t>viņa</w:t>
      </w:r>
      <w:r>
        <w:t xml:space="preserve"> pienākuma pildīšanu būtu pārsūdzams Administratīvajā rajona tiesā</w:t>
      </w:r>
      <w:r w:rsidR="00246C63">
        <w:t xml:space="preserve">. </w:t>
      </w:r>
    </w:p>
    <w:p w14:paraId="7458FC49" w14:textId="77777777" w:rsidR="00337CD2" w:rsidRDefault="00337CD2" w:rsidP="0092446E">
      <w:pPr>
        <w:spacing w:line="276" w:lineRule="auto"/>
        <w:ind w:firstLine="720"/>
        <w:jc w:val="both"/>
      </w:pPr>
    </w:p>
    <w:p w14:paraId="1BC3515D" w14:textId="73B5D1CB" w:rsidR="00337CD2" w:rsidRDefault="00337CD2" w:rsidP="0092446E">
      <w:pPr>
        <w:spacing w:line="276" w:lineRule="auto"/>
        <w:ind w:firstLine="720"/>
        <w:jc w:val="both"/>
      </w:pPr>
      <w:r>
        <w:t>[</w:t>
      </w:r>
      <w:r w:rsidR="00691AA7">
        <w:t>3</w:t>
      </w:r>
      <w:r>
        <w:t xml:space="preserve">] Pieteicējs par minēto lēmumu iesniedza blakus sūdzību, norādot, ka bāriņtiesas lēmumi, ar kuriem nodibinātas vai atteikts nodibināt publiski tiesiskas attiecības, ir pārsūdzami Administratīvā procesa likumā noteiktajā kārtībā. Civilprocesa likuma normas neparedz </w:t>
      </w:r>
      <w:r w:rsidR="0077082F">
        <w:t xml:space="preserve">prasību par šādiem bāriņtiesas lēmumiem </w:t>
      </w:r>
      <w:r w:rsidR="009F49EE">
        <w:t xml:space="preserve">iesniegšanu </w:t>
      </w:r>
      <w:r w:rsidR="0077082F">
        <w:t>vispārējās jurisdikcijas tiesā.</w:t>
      </w:r>
    </w:p>
    <w:p w14:paraId="62D568FD" w14:textId="77777777" w:rsidR="00337CD2" w:rsidRDefault="00337CD2" w:rsidP="0092446E">
      <w:pPr>
        <w:spacing w:line="276" w:lineRule="auto"/>
        <w:ind w:firstLine="720"/>
        <w:jc w:val="both"/>
      </w:pPr>
    </w:p>
    <w:p w14:paraId="1900DA50" w14:textId="77777777" w:rsidR="003047F5" w:rsidRDefault="003047F5" w:rsidP="0092446E">
      <w:pPr>
        <w:spacing w:line="276" w:lineRule="auto"/>
        <w:jc w:val="center"/>
        <w:rPr>
          <w:b/>
        </w:rPr>
      </w:pPr>
      <w:r>
        <w:rPr>
          <w:b/>
        </w:rPr>
        <w:t>Motīvu daļa</w:t>
      </w:r>
    </w:p>
    <w:p w14:paraId="101A8E84" w14:textId="77777777" w:rsidR="00107474" w:rsidRDefault="00107474" w:rsidP="0092446E">
      <w:pPr>
        <w:spacing w:line="276" w:lineRule="auto"/>
        <w:jc w:val="both"/>
      </w:pPr>
    </w:p>
    <w:p w14:paraId="1F5E1A9E" w14:textId="7E1066C5" w:rsidR="003E1B8E" w:rsidRDefault="00107474" w:rsidP="0092446E">
      <w:pPr>
        <w:spacing w:line="276" w:lineRule="auto"/>
        <w:ind w:firstLine="720"/>
        <w:jc w:val="both"/>
      </w:pPr>
      <w:r>
        <w:t>[</w:t>
      </w:r>
      <w:r w:rsidR="00691AA7">
        <w:t>4</w:t>
      </w:r>
      <w:r>
        <w:t>]</w:t>
      </w:r>
      <w:r w:rsidR="003E704F">
        <w:t> </w:t>
      </w:r>
      <w:r w:rsidR="003E1B8E">
        <w:t>Senāts jau iepriekš ir atzinis, ka</w:t>
      </w:r>
      <w:r w:rsidR="006F67DC">
        <w:t xml:space="preserve"> atbilstoši Bāriņtiesu</w:t>
      </w:r>
      <w:r w:rsidR="007F3285">
        <w:t xml:space="preserve"> likuma</w:t>
      </w:r>
      <w:r w:rsidR="009E2FA4">
        <w:t xml:space="preserve"> normām</w:t>
      </w:r>
      <w:r w:rsidR="003E1B8E">
        <w:t xml:space="preserve"> bāriņtiesas kompetencē ir mantojuma aizgādņa iecelšana, </w:t>
      </w:r>
      <w:r w:rsidR="009F49EE">
        <w:t>viņa</w:t>
      </w:r>
      <w:r w:rsidR="003E1B8E">
        <w:t xml:space="preserve"> darbības uzraudzība, dodot nepieciešamos norādījumus, kā arī atbrīvošana no mantojuma aizgādņa pienākumu pildīšanas</w:t>
      </w:r>
      <w:r w:rsidR="006F67DC">
        <w:t>, un bāriņtiesa, pildot minētos uzdevumus, rīkojas publisko tiesību jomā (</w:t>
      </w:r>
      <w:r w:rsidR="009E2FA4" w:rsidRPr="009E2FA4">
        <w:rPr>
          <w:i/>
          <w:iCs/>
        </w:rPr>
        <w:t xml:space="preserve">Senāta 2024.gada 31.maija lēmuma lietā Nr. SKA-561/2024, </w:t>
      </w:r>
      <w:hyperlink r:id="rId8" w:history="1">
        <w:r w:rsidR="00820CF5" w:rsidRPr="00820CF5">
          <w:rPr>
            <w:rStyle w:val="Hyperlink"/>
            <w:i/>
            <w:iCs/>
          </w:rPr>
          <w:t>ECLI:LV:AT:2024:0531.A420248922.13.L</w:t>
        </w:r>
      </w:hyperlink>
      <w:r w:rsidR="009E2FA4" w:rsidRPr="009E2FA4">
        <w:rPr>
          <w:i/>
          <w:iCs/>
        </w:rPr>
        <w:t>, 7.punkts</w:t>
      </w:r>
      <w:r w:rsidR="009E2FA4">
        <w:t>)</w:t>
      </w:r>
      <w:r w:rsidR="007F5B28">
        <w:t>.</w:t>
      </w:r>
    </w:p>
    <w:p w14:paraId="6791DA4B" w14:textId="23CDDF82" w:rsidR="00943DC1" w:rsidRDefault="00943DC1" w:rsidP="0092446E">
      <w:pPr>
        <w:spacing w:line="276" w:lineRule="auto"/>
        <w:ind w:firstLine="720"/>
        <w:jc w:val="both"/>
      </w:pPr>
      <w:r>
        <w:t xml:space="preserve">Savukārt šīs blakus sūdzības tiesvedības ietvaros izvērtējama bāriņtiesas kompetence atlīdzības noteikšanā mantojuma aizgādnim par </w:t>
      </w:r>
      <w:r w:rsidR="0069484E">
        <w:t>viņa</w:t>
      </w:r>
      <w:r>
        <w:t xml:space="preserve"> pienākumu pildīšanu.</w:t>
      </w:r>
    </w:p>
    <w:p w14:paraId="0CBC1622" w14:textId="77777777" w:rsidR="00DF60C8" w:rsidRDefault="00DF60C8" w:rsidP="0092446E">
      <w:pPr>
        <w:spacing w:line="276" w:lineRule="auto"/>
        <w:ind w:firstLine="720"/>
        <w:jc w:val="both"/>
      </w:pPr>
    </w:p>
    <w:p w14:paraId="6448DEDF" w14:textId="34BDCF8B" w:rsidR="005908C0" w:rsidRDefault="00DF60C8" w:rsidP="0092446E">
      <w:pPr>
        <w:spacing w:line="276" w:lineRule="auto"/>
        <w:ind w:firstLine="720"/>
        <w:jc w:val="both"/>
      </w:pPr>
      <w:r>
        <w:t>[</w:t>
      </w:r>
      <w:r w:rsidR="00691AA7">
        <w:t>5</w:t>
      </w:r>
      <w:r>
        <w:t>]</w:t>
      </w:r>
      <w:r w:rsidR="007F58E8">
        <w:t> Saskaņā ar Civillikuma 664.pantu atlīdzība aizgādņiem par viņu pūlēm nosakāma pēc 307.panta.</w:t>
      </w:r>
    </w:p>
    <w:p w14:paraId="7EEC71E8" w14:textId="1E4CF044" w:rsidR="00CC2D34" w:rsidRDefault="00EC24F5" w:rsidP="0092446E">
      <w:pPr>
        <w:spacing w:line="276" w:lineRule="auto"/>
        <w:ind w:firstLine="720"/>
        <w:jc w:val="both"/>
      </w:pPr>
      <w:r>
        <w:t xml:space="preserve">Civillikuma </w:t>
      </w:r>
      <w:r w:rsidR="009F424E">
        <w:t>307.</w:t>
      </w:r>
      <w:r>
        <w:t>pants paredz, ka b</w:t>
      </w:r>
      <w:r w:rsidRPr="00EC24F5">
        <w:t>āriņtiesa noteic aizbildnim taisnīgu un aizbilstamā mantai samērīgu atlīdzību, bet ne augstāku par pieciem procentiem no tīrā ienākuma pēc ikgadējā norēķina apstiprināšanas.</w:t>
      </w:r>
      <w:r>
        <w:t xml:space="preserve"> </w:t>
      </w:r>
      <w:r w:rsidRPr="00EC24F5">
        <w:t>Raugoties pēc apstākļiem, bāriņtiesa ikgadējas atlīdzības vietā var noteikt aizbildnim vienreizēju atlīdzību pēc aizbildnības nobeigšanas, aizbildņa pārskatu caurlūkošanas, pieņemšanas un galīgās norēķināšanās ar aizbildni. Šī atlīdzība nevar pārsniegt 7114 </w:t>
      </w:r>
      <w:r w:rsidRPr="00EC24F5">
        <w:rPr>
          <w:i/>
          <w:iCs/>
        </w:rPr>
        <w:t>euro</w:t>
      </w:r>
      <w:r w:rsidRPr="00EC24F5">
        <w:t>.</w:t>
      </w:r>
      <w:r w:rsidR="005E39F1">
        <w:t xml:space="preserve"> </w:t>
      </w:r>
      <w:r w:rsidR="009F424E">
        <w:t xml:space="preserve">Savukārt </w:t>
      </w:r>
      <w:r w:rsidR="005E39F1">
        <w:t>Civillikuma 307.panta piezīmē precizēts, ka gadījumā, ja aizbildņa atlīdzība pārsniedz 426 </w:t>
      </w:r>
      <w:r w:rsidR="005E39F1" w:rsidRPr="005E39F1">
        <w:rPr>
          <w:i/>
          <w:iCs/>
        </w:rPr>
        <w:t>euro</w:t>
      </w:r>
      <w:r w:rsidR="005E39F1">
        <w:t>, bāriņtiesas lēmumi iesniedzami tiesai apstiprināšanai.</w:t>
      </w:r>
    </w:p>
    <w:p w14:paraId="5A45A8FD" w14:textId="086D6AB8" w:rsidR="00B23892" w:rsidRDefault="00B23892" w:rsidP="0092446E">
      <w:pPr>
        <w:spacing w:line="276" w:lineRule="auto"/>
        <w:ind w:firstLine="720"/>
        <w:jc w:val="both"/>
      </w:pPr>
      <w:r>
        <w:t>Saskanīgi ar minētajām Civillikuma normām arī Bāriņtiesu likumā noteikts, ka aizgādnis saņem atlīdzību no mantiniekiem vai no mantas bāriņtiesas noteiktajā apmērā (Bāriņtiesu likuma 89.panta otrā daļa), un gadījumā, ja noteiktā atlīdzība pārsniedz 426 </w:t>
      </w:r>
      <w:r w:rsidRPr="001428EC">
        <w:rPr>
          <w:i/>
          <w:iCs/>
        </w:rPr>
        <w:t>euro</w:t>
      </w:r>
      <w:r>
        <w:t xml:space="preserve">, </w:t>
      </w:r>
      <w:r w:rsidR="00EE59C1">
        <w:t xml:space="preserve">attiecīgais </w:t>
      </w:r>
      <w:r>
        <w:t>bāriņtiesa</w:t>
      </w:r>
      <w:r w:rsidR="00EE59C1">
        <w:t>s</w:t>
      </w:r>
      <w:r>
        <w:t xml:space="preserve"> lēmum</w:t>
      </w:r>
      <w:r w:rsidR="00EE59C1">
        <w:t>s</w:t>
      </w:r>
      <w:r>
        <w:t xml:space="preserve"> par atlīdzības noteikšanu iesniedz</w:t>
      </w:r>
      <w:r w:rsidR="00EE59C1">
        <w:t>ams</w:t>
      </w:r>
      <w:r w:rsidR="001428EC">
        <w:t xml:space="preserve"> </w:t>
      </w:r>
      <w:r>
        <w:t xml:space="preserve">tiesā apstiprināšanai (Bāriņtiesu likuma 51.panta </w:t>
      </w:r>
      <w:r w:rsidR="001A16DD">
        <w:t>2.punkts</w:t>
      </w:r>
      <w:r>
        <w:t>).</w:t>
      </w:r>
    </w:p>
    <w:p w14:paraId="529284B8" w14:textId="2574C2F4" w:rsidR="00266F32" w:rsidRDefault="00EE59C1" w:rsidP="0092446E">
      <w:pPr>
        <w:spacing w:line="276" w:lineRule="auto"/>
        <w:ind w:firstLine="720"/>
        <w:jc w:val="both"/>
      </w:pPr>
      <w:r>
        <w:t>Tādējādi, kā skaidri izriet no minētajām Civillikuma</w:t>
      </w:r>
      <w:r w:rsidR="00F65E5B">
        <w:t xml:space="preserve"> un </w:t>
      </w:r>
      <w:r>
        <w:t>Bāriņtiesu likuma normām, likumdevējs</w:t>
      </w:r>
      <w:r w:rsidR="002B3019">
        <w:t xml:space="preserve"> kompetenci noteikt mantojuma aizgādnim </w:t>
      </w:r>
      <w:r w:rsidR="001527E6">
        <w:t xml:space="preserve">pienākošos </w:t>
      </w:r>
      <w:r w:rsidR="002B3019">
        <w:t>atlīdzību par viņa pienākumu pildīšanu ir paredzējis bāriņtiesai. Turklāt jautājumā par tādas atlīdzības noteikšanu mantojuma aizgādnim, kas nepārsniedz 426 </w:t>
      </w:r>
      <w:r w:rsidR="002B3019" w:rsidRPr="002D50FF">
        <w:rPr>
          <w:i/>
          <w:iCs/>
        </w:rPr>
        <w:t>euro</w:t>
      </w:r>
      <w:r w:rsidR="002B3019">
        <w:t xml:space="preserve">, bāriņtiesas pieņemtajam lēmumam ir galīga noregulējuma raksturs, jo tas, atšķirībā no lēmumiem par </w:t>
      </w:r>
      <w:r w:rsidR="00CA582A">
        <w:t>atlīdzību</w:t>
      </w:r>
      <w:r w:rsidR="002B3019">
        <w:t>, kas pārsniedz 426</w:t>
      </w:r>
      <w:r w:rsidR="002B3019" w:rsidRPr="002D50FF">
        <w:rPr>
          <w:i/>
          <w:iCs/>
        </w:rPr>
        <w:t> euro</w:t>
      </w:r>
      <w:r w:rsidR="002B3019">
        <w:t>, nav jāiesniedz tiesā apstiprināšanai.</w:t>
      </w:r>
    </w:p>
    <w:p w14:paraId="4B7FB594" w14:textId="457277C0" w:rsidR="002B3019" w:rsidRDefault="00266F32" w:rsidP="0092446E">
      <w:pPr>
        <w:spacing w:line="276" w:lineRule="auto"/>
        <w:ind w:firstLine="720"/>
        <w:jc w:val="both"/>
      </w:pPr>
      <w:r>
        <w:lastRenderedPageBreak/>
        <w:t xml:space="preserve">Minētais ir pamats atzīt, ka </w:t>
      </w:r>
      <w:r w:rsidR="00DD21D5">
        <w:t xml:space="preserve">bāriņtiesa, lemjot par </w:t>
      </w:r>
      <w:r w:rsidR="00D75E54">
        <w:t>atlīdzības noteikšanu mantojuma aizgādnim par tā pienākumu pildīšanu apmērā līdz 426 </w:t>
      </w:r>
      <w:r w:rsidR="00D75E54" w:rsidRPr="00D75E54">
        <w:rPr>
          <w:i/>
          <w:iCs/>
        </w:rPr>
        <w:t>euro</w:t>
      </w:r>
      <w:r w:rsidR="00D75E54">
        <w:t xml:space="preserve">, īsteno tai ar likumu piešķirtu </w:t>
      </w:r>
      <w:r w:rsidR="001527E6">
        <w:t>varu</w:t>
      </w:r>
      <w:r w:rsidR="00D75E54">
        <w:t xml:space="preserve">, un šādam bāriņtiesas lēmumam ir galīgi saistošs raksturs. </w:t>
      </w:r>
      <w:r w:rsidR="00CD6A42">
        <w:t xml:space="preserve">Līdz ar to, pretēji pārsūdzētajā tiesneša lēmumā atzītajam, nav nekāda pamata uzskatīt, ka </w:t>
      </w:r>
      <w:r w:rsidR="00446716">
        <w:t>šāds bāriņtiesas lēmums nav pārsūdzams Administratīvajā rajona tiesā Administratīvā procesa likumā noteiktajā kārtībā.</w:t>
      </w:r>
    </w:p>
    <w:p w14:paraId="1C8D16F8" w14:textId="77777777" w:rsidR="00446716" w:rsidRDefault="00446716" w:rsidP="0092446E">
      <w:pPr>
        <w:spacing w:line="276" w:lineRule="auto"/>
        <w:ind w:firstLine="720"/>
        <w:jc w:val="both"/>
      </w:pPr>
    </w:p>
    <w:p w14:paraId="1B69B52E" w14:textId="5B113869" w:rsidR="00446716" w:rsidRDefault="00446716" w:rsidP="0092446E">
      <w:pPr>
        <w:spacing w:line="276" w:lineRule="auto"/>
        <w:ind w:firstLine="720"/>
        <w:jc w:val="both"/>
      </w:pPr>
      <w:r>
        <w:t>[</w:t>
      </w:r>
      <w:r w:rsidR="00691AA7">
        <w:t>6</w:t>
      </w:r>
      <w:r>
        <w:t>] To, ka bāriņtiesas pieņemtais lēmums jautājumā par atlīdzības noteikšanu mantojuma aizgādnim apmērā līdz 426 </w:t>
      </w:r>
      <w:r w:rsidRPr="00446716">
        <w:rPr>
          <w:i/>
          <w:iCs/>
        </w:rPr>
        <w:t>euro</w:t>
      </w:r>
      <w:r>
        <w:t xml:space="preserve"> ir pārsūdzams Administratīvajā rajona tiesā, apstiprina arī Bāriņtiesu likumā ietvertais regulējums par bāriņtiesas lēmumu pārsūdzību.</w:t>
      </w:r>
    </w:p>
    <w:p w14:paraId="68A041CB" w14:textId="1B362365" w:rsidR="00446716" w:rsidRDefault="00446716" w:rsidP="0092446E">
      <w:pPr>
        <w:spacing w:line="276" w:lineRule="auto"/>
        <w:ind w:firstLine="720"/>
        <w:jc w:val="both"/>
      </w:pPr>
      <w:r>
        <w:t xml:space="preserve">Proti, </w:t>
      </w:r>
      <w:r w:rsidR="00FA64A4">
        <w:t>atbilstoši Bāriņtiesu likuma 49.panta otrajai daļai bāriņtiesas lēmumu</w:t>
      </w:r>
      <w:r w:rsidR="001527E6">
        <w:t xml:space="preserve"> </w:t>
      </w:r>
      <w:r w:rsidR="00FA64A4" w:rsidRPr="00FA64A4">
        <w:t>ieinteresētā persona var pārsūdzēt tiesā</w:t>
      </w:r>
      <w:r w:rsidR="00FA64A4">
        <w:t xml:space="preserve"> </w:t>
      </w:r>
      <w:r w:rsidR="00FA64A4" w:rsidRPr="00FA64A4">
        <w:t>Administratīvā procesa likumā</w:t>
      </w:r>
      <w:r w:rsidR="00FA64A4">
        <w:t xml:space="preserve"> </w:t>
      </w:r>
      <w:r w:rsidR="00FA64A4" w:rsidRPr="00FA64A4">
        <w:t>noteiktajā kārtībā.</w:t>
      </w:r>
      <w:r w:rsidR="0008319C">
        <w:t xml:space="preserve"> Savukārt saskaņā ar minētā panta trešo daļu p</w:t>
      </w:r>
      <w:r w:rsidR="0008319C" w:rsidRPr="0008319C">
        <w:t>ar administratīviem aktiem nav uzskatāmi un nav pārsūdzami tiesā vai apstrīdami augstākā iestādē lēmumi, kas pieņemti saskaņā ar šā likuma</w:t>
      </w:r>
      <w:r w:rsidR="0008319C">
        <w:t xml:space="preserve"> </w:t>
      </w:r>
      <w:r w:rsidR="0008319C" w:rsidRPr="0008319C">
        <w:t>22.panta</w:t>
      </w:r>
      <w:r w:rsidR="0008319C">
        <w:t xml:space="preserve"> </w:t>
      </w:r>
      <w:r w:rsidR="0008319C" w:rsidRPr="0008319C">
        <w:t>ceturto daļu,</w:t>
      </w:r>
      <w:r w:rsidR="0008319C">
        <w:t xml:space="preserve"> </w:t>
      </w:r>
      <w:r w:rsidR="0008319C" w:rsidRPr="0008319C">
        <w:t>29.panta</w:t>
      </w:r>
      <w:r w:rsidR="0008319C">
        <w:t xml:space="preserve"> </w:t>
      </w:r>
      <w:r w:rsidR="0008319C" w:rsidRPr="0008319C">
        <w:t>ceturto daļu,</w:t>
      </w:r>
      <w:r w:rsidR="0008319C">
        <w:t xml:space="preserve"> </w:t>
      </w:r>
      <w:r w:rsidR="0008319C" w:rsidRPr="0008319C">
        <w:t>50.,</w:t>
      </w:r>
      <w:r w:rsidR="0008319C">
        <w:t xml:space="preserve"> </w:t>
      </w:r>
      <w:r w:rsidR="0008319C" w:rsidRPr="0008319C">
        <w:t>51.</w:t>
      </w:r>
      <w:r w:rsidR="0008319C">
        <w:t xml:space="preserve"> </w:t>
      </w:r>
      <w:r w:rsidR="0008319C" w:rsidRPr="0008319C">
        <w:t>un</w:t>
      </w:r>
      <w:r w:rsidR="0008319C">
        <w:t xml:space="preserve"> </w:t>
      </w:r>
      <w:r w:rsidR="0008319C" w:rsidRPr="0008319C">
        <w:t>52.pantu, kā arī lēmumi, ar kuriem tiek izšķirtas aizgādnībā esošas personas un aizgādņa domstarpības.</w:t>
      </w:r>
    </w:p>
    <w:p w14:paraId="4AA34972" w14:textId="73AB19C3" w:rsidR="00915988" w:rsidRDefault="00915988" w:rsidP="0092446E">
      <w:pPr>
        <w:spacing w:line="276" w:lineRule="auto"/>
        <w:ind w:firstLine="720"/>
        <w:jc w:val="both"/>
      </w:pPr>
      <w:r>
        <w:t>Bāriņtiesas lēmums, ar kuru izlemts jautājums par atlīdzības noteikšanu mantojuma aizgādnim apmērā līdz 426 </w:t>
      </w:r>
      <w:r w:rsidRPr="00915988">
        <w:rPr>
          <w:i/>
          <w:iCs/>
        </w:rPr>
        <w:t>euro</w:t>
      </w:r>
      <w:r>
        <w:t xml:space="preserve"> neatbilst nevienam no Bāriņtiesu likuma 49.panta trešajā daļā minētajiem lēmumiem, kas nav uzskatāmi par administratīvajiem aktiem un</w:t>
      </w:r>
      <w:r w:rsidR="002E315E">
        <w:t xml:space="preserve"> līdz ar to arī</w:t>
      </w:r>
      <w:r>
        <w:t xml:space="preserve"> nav pārsūdzami</w:t>
      </w:r>
      <w:r w:rsidR="002E315E">
        <w:t xml:space="preserve"> </w:t>
      </w:r>
      <w:r>
        <w:t xml:space="preserve">tiesā. </w:t>
      </w:r>
      <w:r w:rsidR="002E315E">
        <w:t>Tālab</w:t>
      </w:r>
      <w:r>
        <w:t xml:space="preserve"> atbilstoši minētā panta otrajai daļai šāds lēmums ir pārsūdzams Administratīvajā rajona tiesā</w:t>
      </w:r>
      <w:r w:rsidR="00307B23">
        <w:t xml:space="preserve"> </w:t>
      </w:r>
      <w:r>
        <w:t>Administratīvā procesa likumā noteiktajā kārtībā.</w:t>
      </w:r>
    </w:p>
    <w:p w14:paraId="674AF761" w14:textId="77777777" w:rsidR="00606D0C" w:rsidRDefault="00606D0C" w:rsidP="0092446E">
      <w:pPr>
        <w:spacing w:line="276" w:lineRule="auto"/>
        <w:ind w:firstLine="720"/>
        <w:jc w:val="both"/>
      </w:pPr>
    </w:p>
    <w:p w14:paraId="5174DE36" w14:textId="700D7CB3" w:rsidR="00606D0C" w:rsidRDefault="00606D0C" w:rsidP="0092446E">
      <w:pPr>
        <w:spacing w:line="276" w:lineRule="auto"/>
        <w:ind w:firstLine="720"/>
        <w:jc w:val="both"/>
      </w:pPr>
      <w:r>
        <w:t>[</w:t>
      </w:r>
      <w:r w:rsidR="00691AA7">
        <w:t>7</w:t>
      </w:r>
      <w:r>
        <w:t>] Pie citāda secinājuma neliek nonākt arī pārsūdzētajā tiesneša lēmumā norādītais, ka gan situācijā, kad bāriņtiesa lemj par atlīdzības noteikšanu mantojuma aizgādnim</w:t>
      </w:r>
      <w:r w:rsidR="00DE164F">
        <w:t xml:space="preserve"> apmērā līdz </w:t>
      </w:r>
      <w:r>
        <w:t>426 </w:t>
      </w:r>
      <w:r w:rsidRPr="00606D0C">
        <w:rPr>
          <w:i/>
          <w:iCs/>
        </w:rPr>
        <w:t>euro</w:t>
      </w:r>
      <w:r>
        <w:t xml:space="preserve">, gan </w:t>
      </w:r>
      <w:r w:rsidR="00DE164F">
        <w:t xml:space="preserve">arī </w:t>
      </w:r>
      <w:r>
        <w:t xml:space="preserve">situācijā, kad tā lemj par </w:t>
      </w:r>
      <w:r w:rsidR="00DE164F">
        <w:t>lielāka apmēra atlīdzības noteikšanu,</w:t>
      </w:r>
      <w:r>
        <w:t xml:space="preserve"> bāriņtiesai saskaņā ar Civillikuma 307.pantu ir jāņem vērā vieni un tie paši atlīdzības noteikšanas kritēriji</w:t>
      </w:r>
      <w:r w:rsidR="001527E6">
        <w:t xml:space="preserve"> (proti, atlīdzība jānosaka taisnīgi un samērīgi)</w:t>
      </w:r>
      <w:r>
        <w:t xml:space="preserve">. </w:t>
      </w:r>
      <w:r w:rsidR="00ED68AA">
        <w:t>Šāds apstāklis ne</w:t>
      </w:r>
      <w:r w:rsidR="001527E6">
        <w:t>maina</w:t>
      </w:r>
      <w:r w:rsidR="00ED68AA">
        <w:t xml:space="preserve"> to, ka bāriņtiesa</w:t>
      </w:r>
      <w:r w:rsidR="001527E6">
        <w:t xml:space="preserve">, </w:t>
      </w:r>
      <w:r w:rsidR="00ED68AA">
        <w:t>pieņem</w:t>
      </w:r>
      <w:r w:rsidR="001527E6">
        <w:t>ot</w:t>
      </w:r>
      <w:r w:rsidR="00ED68AA">
        <w:t xml:space="preserve"> lēmum</w:t>
      </w:r>
      <w:r w:rsidR="001527E6">
        <w:t>u</w:t>
      </w:r>
      <w:r w:rsidR="00ED68AA">
        <w:t xml:space="preserve"> jautājum</w:t>
      </w:r>
      <w:r w:rsidR="00DE164F">
        <w:t>ā</w:t>
      </w:r>
      <w:r w:rsidR="00ED68AA">
        <w:t xml:space="preserve"> par atlīdzības noteikšanu mantojuma aizgādnim apmērā līdz 426 </w:t>
      </w:r>
      <w:r w:rsidR="00ED68AA" w:rsidRPr="00915988">
        <w:rPr>
          <w:i/>
          <w:iCs/>
        </w:rPr>
        <w:t>euro</w:t>
      </w:r>
      <w:r w:rsidR="001527E6" w:rsidRPr="001527E6">
        <w:t xml:space="preserve">, </w:t>
      </w:r>
      <w:r w:rsidR="001527E6">
        <w:t>īsteno ar likumu piešķirto publisko varu un galīgi noteic aizgādnim pienākošās atlīdzības apmēru</w:t>
      </w:r>
      <w:r w:rsidR="00D07488">
        <w:t>.</w:t>
      </w:r>
    </w:p>
    <w:p w14:paraId="603E68A2" w14:textId="77777777" w:rsidR="00D07488" w:rsidRDefault="00D07488" w:rsidP="0092446E">
      <w:pPr>
        <w:spacing w:line="276" w:lineRule="auto"/>
        <w:ind w:firstLine="720"/>
        <w:jc w:val="both"/>
      </w:pPr>
    </w:p>
    <w:p w14:paraId="6A1A39A3" w14:textId="23BDDB1E" w:rsidR="00820479" w:rsidRPr="003039CE" w:rsidRDefault="00D07488" w:rsidP="0092446E">
      <w:pPr>
        <w:spacing w:line="276" w:lineRule="auto"/>
        <w:ind w:firstLine="720"/>
        <w:jc w:val="both"/>
      </w:pPr>
      <w:r>
        <w:t>[</w:t>
      </w:r>
      <w:r w:rsidR="00691AA7">
        <w:t>8</w:t>
      </w:r>
      <w:r>
        <w:t>] </w:t>
      </w:r>
      <w:r w:rsidR="006E1F18">
        <w:t xml:space="preserve">Rezumējot minēto, atzīstams, ka tiesnesis pārsūdzētajā lēmumā nepamatoti atzinis, ka </w:t>
      </w:r>
      <w:r w:rsidR="00943DC1">
        <w:t>bāriņtiesas atteikums pieteicējam noteikt vienreizēju atlīdzību 425 </w:t>
      </w:r>
      <w:r w:rsidR="00943DC1" w:rsidRPr="00552E3C">
        <w:rPr>
          <w:i/>
          <w:iCs/>
        </w:rPr>
        <w:t>euro</w:t>
      </w:r>
      <w:r w:rsidR="00943DC1">
        <w:t xml:space="preserve"> apmērā par mantojuma aizgādņa pienākuma pildīšanu nav pārsūdzams Administratīvajā rajona tiesā.</w:t>
      </w:r>
      <w:r w:rsidR="00820479">
        <w:t xml:space="preserve"> Līdz ar to pārsūdzētais tiesneša lēmums ir atceļams un jautājums par pieteikuma virzību ir nododams Administratīvajai rajona tiesai jaunai izskatīšanai.</w:t>
      </w:r>
    </w:p>
    <w:p w14:paraId="15F3E08F" w14:textId="77777777" w:rsidR="007D48CC" w:rsidRPr="00207638" w:rsidRDefault="007D48CC" w:rsidP="0092446E">
      <w:pPr>
        <w:spacing w:line="276" w:lineRule="auto"/>
        <w:ind w:firstLine="567"/>
        <w:jc w:val="both"/>
      </w:pPr>
    </w:p>
    <w:p w14:paraId="7F133DF8" w14:textId="77777777" w:rsidR="003047F5" w:rsidRPr="00E44582" w:rsidRDefault="003047F5" w:rsidP="0092446E">
      <w:pPr>
        <w:spacing w:line="276" w:lineRule="auto"/>
        <w:jc w:val="center"/>
        <w:rPr>
          <w:b/>
        </w:rPr>
      </w:pPr>
      <w:r>
        <w:rPr>
          <w:b/>
        </w:rPr>
        <w:t>Rezolutīvā daļa</w:t>
      </w:r>
    </w:p>
    <w:p w14:paraId="203D55B2" w14:textId="77777777" w:rsidR="003047F5" w:rsidRDefault="003047F5" w:rsidP="0092446E">
      <w:pPr>
        <w:spacing w:line="276" w:lineRule="auto"/>
        <w:ind w:firstLine="567"/>
        <w:jc w:val="both"/>
        <w:rPr>
          <w:bCs/>
          <w:spacing w:val="70"/>
        </w:rPr>
      </w:pPr>
    </w:p>
    <w:p w14:paraId="56FE2BEB" w14:textId="00FF98F2" w:rsidR="003047F5" w:rsidRDefault="003047F5" w:rsidP="0092446E">
      <w:pPr>
        <w:spacing w:line="276" w:lineRule="auto"/>
        <w:ind w:firstLine="720"/>
        <w:jc w:val="both"/>
      </w:pPr>
      <w:r w:rsidRPr="00294FC5">
        <w:t xml:space="preserve">Pamatojoties uz </w:t>
      </w:r>
      <w:r w:rsidR="001F40A0" w:rsidRPr="00294FC5">
        <w:t>Administratīvā procesa likuma 129.</w:t>
      </w:r>
      <w:r w:rsidR="001F40A0" w:rsidRPr="00294FC5">
        <w:rPr>
          <w:vertAlign w:val="superscript"/>
        </w:rPr>
        <w:t>1</w:t>
      </w:r>
      <w:r w:rsidR="00247BA2" w:rsidRPr="00294FC5">
        <w:t>panta pirmās daļas 1.punktu</w:t>
      </w:r>
      <w:r w:rsidR="001F40A0" w:rsidRPr="00294FC5">
        <w:t xml:space="preserve">, 323.panta pirmās daļas </w:t>
      </w:r>
      <w:r w:rsidR="00294FC5" w:rsidRPr="00294FC5">
        <w:t xml:space="preserve">2.punktu </w:t>
      </w:r>
      <w:r w:rsidR="001F40A0" w:rsidRPr="00294FC5">
        <w:t xml:space="preserve">un 324.panta pirmo daļu, </w:t>
      </w:r>
      <w:r w:rsidR="0015480A" w:rsidRPr="00294FC5">
        <w:t>Senāts</w:t>
      </w:r>
    </w:p>
    <w:p w14:paraId="5AB6F69F" w14:textId="77777777" w:rsidR="001F40A0" w:rsidRDefault="001F40A0" w:rsidP="0092446E">
      <w:pPr>
        <w:spacing w:line="276" w:lineRule="auto"/>
        <w:ind w:firstLine="567"/>
        <w:jc w:val="both"/>
      </w:pPr>
    </w:p>
    <w:p w14:paraId="6FE7AC9C" w14:textId="300CCC17" w:rsidR="003047F5" w:rsidRPr="001F40A0" w:rsidRDefault="003047F5" w:rsidP="0092446E">
      <w:pPr>
        <w:spacing w:line="276" w:lineRule="auto"/>
        <w:jc w:val="center"/>
        <w:rPr>
          <w:b/>
        </w:rPr>
      </w:pPr>
      <w:r w:rsidRPr="001F40A0">
        <w:rPr>
          <w:b/>
        </w:rPr>
        <w:t>nolēma</w:t>
      </w:r>
    </w:p>
    <w:p w14:paraId="61325061" w14:textId="77777777" w:rsidR="00271F5D" w:rsidRDefault="00271F5D" w:rsidP="0092446E">
      <w:pPr>
        <w:spacing w:line="276" w:lineRule="auto"/>
        <w:jc w:val="both"/>
      </w:pPr>
    </w:p>
    <w:p w14:paraId="30A16205" w14:textId="4C4518BB" w:rsidR="00FC5963" w:rsidRDefault="00AA6E95" w:rsidP="0092446E">
      <w:pPr>
        <w:spacing w:line="276" w:lineRule="auto"/>
        <w:ind w:firstLine="720"/>
        <w:jc w:val="both"/>
      </w:pPr>
      <w:r>
        <w:lastRenderedPageBreak/>
        <w:t>a</w:t>
      </w:r>
      <w:r w:rsidR="00FC5963">
        <w:t xml:space="preserve">tcelt Administratīvās </w:t>
      </w:r>
      <w:r w:rsidR="00A913C2">
        <w:t xml:space="preserve">rajona tiesas tiesneša 2024.gada 29.maija </w:t>
      </w:r>
      <w:r w:rsidR="00FC5963">
        <w:t xml:space="preserve">lēmumu un nodot jautājumu par </w:t>
      </w:r>
      <w:r w:rsidR="00A913C2">
        <w:t xml:space="preserve">pieteikuma </w:t>
      </w:r>
      <w:r w:rsidR="00FC5963">
        <w:t xml:space="preserve">virzību jaunai izskatīšanai Administratīvajai </w:t>
      </w:r>
      <w:r w:rsidR="00A913C2">
        <w:t>rajona tiesai;</w:t>
      </w:r>
    </w:p>
    <w:p w14:paraId="23F2670D" w14:textId="76A251D9" w:rsidR="00FC5963" w:rsidRDefault="00AA6E95" w:rsidP="0092446E">
      <w:pPr>
        <w:spacing w:line="276" w:lineRule="auto"/>
        <w:ind w:firstLine="720"/>
        <w:jc w:val="both"/>
      </w:pPr>
      <w:r w:rsidRPr="003442C2">
        <w:t>a</w:t>
      </w:r>
      <w:r w:rsidR="00FC5963" w:rsidRPr="003442C2">
        <w:t xml:space="preserve">tmaksāt </w:t>
      </w:r>
      <w:r w:rsidR="0092446E">
        <w:t xml:space="preserve">[pers. A] </w:t>
      </w:r>
      <w:r w:rsidR="00FC5963" w:rsidRPr="003442C2">
        <w:t>drošības naudu 15 </w:t>
      </w:r>
      <w:proofErr w:type="spellStart"/>
      <w:r w:rsidR="00FC5963" w:rsidRPr="003442C2">
        <w:rPr>
          <w:i/>
        </w:rPr>
        <w:t>euro</w:t>
      </w:r>
      <w:proofErr w:type="spellEnd"/>
      <w:r w:rsidR="00FC5963" w:rsidRPr="003442C2">
        <w:t>.</w:t>
      </w:r>
    </w:p>
    <w:p w14:paraId="2E909118" w14:textId="77777777" w:rsidR="00AA6E95" w:rsidRDefault="00AA6E95" w:rsidP="0092446E">
      <w:pPr>
        <w:spacing w:line="276" w:lineRule="auto"/>
        <w:ind w:firstLine="720"/>
        <w:jc w:val="both"/>
      </w:pPr>
    </w:p>
    <w:p w14:paraId="1F119425" w14:textId="5B353800" w:rsidR="00FC5963" w:rsidRPr="001F40A0" w:rsidRDefault="00FC5963" w:rsidP="0092446E">
      <w:pPr>
        <w:spacing w:line="276" w:lineRule="auto"/>
        <w:ind w:firstLine="720"/>
        <w:jc w:val="both"/>
      </w:pPr>
      <w:r>
        <w:t>Lēmums nav pārsūdzams.</w:t>
      </w:r>
    </w:p>
    <w:p w14:paraId="0A61D3E6" w14:textId="77777777" w:rsidR="00A6596A" w:rsidRDefault="00A6596A" w:rsidP="00B63D9D">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7F37890E" w14:textId="77777777" w:rsidR="00256D56" w:rsidRPr="00A6596A" w:rsidRDefault="00256D56" w:rsidP="00B63D9D">
      <w:pPr>
        <w:spacing w:line="276" w:lineRule="auto"/>
        <w:ind w:firstLine="567"/>
        <w:jc w:val="both"/>
        <w:rPr>
          <w:bCs/>
        </w:rPr>
      </w:pPr>
    </w:p>
    <w:p w14:paraId="5B8C0CE8" w14:textId="2F8AF0FB" w:rsidR="00A905BA" w:rsidRDefault="00A905BA" w:rsidP="00A905BA">
      <w:pPr>
        <w:tabs>
          <w:tab w:val="center" w:pos="1276"/>
          <w:tab w:val="center" w:pos="4678"/>
          <w:tab w:val="center" w:pos="8080"/>
        </w:tabs>
        <w:spacing w:line="276" w:lineRule="auto"/>
        <w:jc w:val="both"/>
        <w:rPr>
          <w:color w:val="000000"/>
        </w:rPr>
      </w:pPr>
      <w:r>
        <w:rPr>
          <w:color w:val="000000"/>
        </w:rPr>
        <w:tab/>
      </w:r>
    </w:p>
    <w:p w14:paraId="4D6BFB4E" w14:textId="0C99C352" w:rsidR="00F43FAD" w:rsidRPr="0015480A" w:rsidRDefault="00A905BA" w:rsidP="0092446E">
      <w:pPr>
        <w:tabs>
          <w:tab w:val="center" w:pos="1276"/>
          <w:tab w:val="center" w:pos="4678"/>
          <w:tab w:val="center" w:pos="8080"/>
        </w:tabs>
        <w:spacing w:line="276" w:lineRule="auto"/>
        <w:jc w:val="both"/>
        <w:rPr>
          <w:color w:val="000000"/>
        </w:rPr>
      </w:pPr>
      <w:r>
        <w:rPr>
          <w:color w:val="000000"/>
        </w:rPr>
        <w:tab/>
      </w: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6D3A4" w14:textId="77777777" w:rsidR="00C27325" w:rsidRDefault="00C27325" w:rsidP="003047F5">
      <w:r>
        <w:separator/>
      </w:r>
    </w:p>
  </w:endnote>
  <w:endnote w:type="continuationSeparator" w:id="0">
    <w:p w14:paraId="3A44DB11" w14:textId="77777777" w:rsidR="00C27325" w:rsidRDefault="00C2732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1275E214"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2D17F0">
      <w:rPr>
        <w:rStyle w:val="PageNumber"/>
        <w:noProof/>
        <w:sz w:val="20"/>
        <w:szCs w:val="20"/>
      </w:rPr>
      <w:t>4</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F5DC0" w14:textId="77777777" w:rsidR="00C27325" w:rsidRDefault="00C27325" w:rsidP="003047F5">
      <w:r>
        <w:separator/>
      </w:r>
    </w:p>
  </w:footnote>
  <w:footnote w:type="continuationSeparator" w:id="0">
    <w:p w14:paraId="4AB02D14" w14:textId="77777777" w:rsidR="00C27325" w:rsidRDefault="00C2732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118A"/>
    <w:rsid w:val="00050487"/>
    <w:rsid w:val="00051861"/>
    <w:rsid w:val="0008319C"/>
    <w:rsid w:val="00094BBB"/>
    <w:rsid w:val="000A07F8"/>
    <w:rsid w:val="000B0A3A"/>
    <w:rsid w:val="000C551E"/>
    <w:rsid w:val="000D0865"/>
    <w:rsid w:val="000F135A"/>
    <w:rsid w:val="000F5984"/>
    <w:rsid w:val="00107474"/>
    <w:rsid w:val="001108D8"/>
    <w:rsid w:val="00134C88"/>
    <w:rsid w:val="001428EC"/>
    <w:rsid w:val="001443B7"/>
    <w:rsid w:val="001527E6"/>
    <w:rsid w:val="0015480A"/>
    <w:rsid w:val="001646E9"/>
    <w:rsid w:val="00177096"/>
    <w:rsid w:val="0019238A"/>
    <w:rsid w:val="001A0495"/>
    <w:rsid w:val="001A16DD"/>
    <w:rsid w:val="001A2A87"/>
    <w:rsid w:val="001C3BD9"/>
    <w:rsid w:val="001E3A09"/>
    <w:rsid w:val="001F40A0"/>
    <w:rsid w:val="00216940"/>
    <w:rsid w:val="002309A7"/>
    <w:rsid w:val="00235494"/>
    <w:rsid w:val="00237F92"/>
    <w:rsid w:val="00246C63"/>
    <w:rsid w:val="00247BA2"/>
    <w:rsid w:val="00256D56"/>
    <w:rsid w:val="00265312"/>
    <w:rsid w:val="00266F32"/>
    <w:rsid w:val="0026785C"/>
    <w:rsid w:val="00271F5D"/>
    <w:rsid w:val="0027469B"/>
    <w:rsid w:val="00284837"/>
    <w:rsid w:val="0028494F"/>
    <w:rsid w:val="00293462"/>
    <w:rsid w:val="00294A2A"/>
    <w:rsid w:val="00294FC5"/>
    <w:rsid w:val="002B3019"/>
    <w:rsid w:val="002C67B7"/>
    <w:rsid w:val="002D17F0"/>
    <w:rsid w:val="002D50FF"/>
    <w:rsid w:val="002E315E"/>
    <w:rsid w:val="00301A51"/>
    <w:rsid w:val="003047F5"/>
    <w:rsid w:val="00307B23"/>
    <w:rsid w:val="003135C6"/>
    <w:rsid w:val="00315C4A"/>
    <w:rsid w:val="00327933"/>
    <w:rsid w:val="00337CD2"/>
    <w:rsid w:val="003442C2"/>
    <w:rsid w:val="0035346E"/>
    <w:rsid w:val="0036338C"/>
    <w:rsid w:val="00396CBB"/>
    <w:rsid w:val="00397C7E"/>
    <w:rsid w:val="003B578F"/>
    <w:rsid w:val="003C405A"/>
    <w:rsid w:val="003E1B8E"/>
    <w:rsid w:val="003E3F31"/>
    <w:rsid w:val="003E704F"/>
    <w:rsid w:val="003E73F4"/>
    <w:rsid w:val="003F3DDE"/>
    <w:rsid w:val="0040584F"/>
    <w:rsid w:val="0042202E"/>
    <w:rsid w:val="00424B84"/>
    <w:rsid w:val="0043182C"/>
    <w:rsid w:val="004464F3"/>
    <w:rsid w:val="00446716"/>
    <w:rsid w:val="00454DDD"/>
    <w:rsid w:val="004636F6"/>
    <w:rsid w:val="00482F60"/>
    <w:rsid w:val="00491DEC"/>
    <w:rsid w:val="004A4903"/>
    <w:rsid w:val="00521A02"/>
    <w:rsid w:val="00532CCE"/>
    <w:rsid w:val="00533105"/>
    <w:rsid w:val="00543E46"/>
    <w:rsid w:val="00543FAE"/>
    <w:rsid w:val="00552E3C"/>
    <w:rsid w:val="00554408"/>
    <w:rsid w:val="005570EB"/>
    <w:rsid w:val="005612FD"/>
    <w:rsid w:val="005908C0"/>
    <w:rsid w:val="00597136"/>
    <w:rsid w:val="005D2395"/>
    <w:rsid w:val="005E39F1"/>
    <w:rsid w:val="005F1028"/>
    <w:rsid w:val="005F396E"/>
    <w:rsid w:val="00603D44"/>
    <w:rsid w:val="006042E4"/>
    <w:rsid w:val="00606D0C"/>
    <w:rsid w:val="00632735"/>
    <w:rsid w:val="00691AA7"/>
    <w:rsid w:val="0069484E"/>
    <w:rsid w:val="006A6AC5"/>
    <w:rsid w:val="006E1F18"/>
    <w:rsid w:val="006F5D3B"/>
    <w:rsid w:val="006F67DC"/>
    <w:rsid w:val="007062BB"/>
    <w:rsid w:val="00720479"/>
    <w:rsid w:val="00733535"/>
    <w:rsid w:val="00740F65"/>
    <w:rsid w:val="00746B01"/>
    <w:rsid w:val="007509E2"/>
    <w:rsid w:val="0077082F"/>
    <w:rsid w:val="007A4AD0"/>
    <w:rsid w:val="007B6094"/>
    <w:rsid w:val="007C3CD3"/>
    <w:rsid w:val="007D098D"/>
    <w:rsid w:val="007D48CC"/>
    <w:rsid w:val="007F029C"/>
    <w:rsid w:val="007F3285"/>
    <w:rsid w:val="007F58E8"/>
    <w:rsid w:val="007F5B28"/>
    <w:rsid w:val="00800814"/>
    <w:rsid w:val="0080591C"/>
    <w:rsid w:val="00813F26"/>
    <w:rsid w:val="00820479"/>
    <w:rsid w:val="00820CF5"/>
    <w:rsid w:val="00837E90"/>
    <w:rsid w:val="00852023"/>
    <w:rsid w:val="00853DCF"/>
    <w:rsid w:val="008607E9"/>
    <w:rsid w:val="00860C1F"/>
    <w:rsid w:val="00862E79"/>
    <w:rsid w:val="00864073"/>
    <w:rsid w:val="008905DC"/>
    <w:rsid w:val="008A01AA"/>
    <w:rsid w:val="008D2ED2"/>
    <w:rsid w:val="008F5ADC"/>
    <w:rsid w:val="008F5CE6"/>
    <w:rsid w:val="00902E6A"/>
    <w:rsid w:val="0090320F"/>
    <w:rsid w:val="00905C97"/>
    <w:rsid w:val="00915988"/>
    <w:rsid w:val="009229FE"/>
    <w:rsid w:val="0092446E"/>
    <w:rsid w:val="00927916"/>
    <w:rsid w:val="009352A3"/>
    <w:rsid w:val="009373A4"/>
    <w:rsid w:val="00943DC1"/>
    <w:rsid w:val="009639F7"/>
    <w:rsid w:val="00976A19"/>
    <w:rsid w:val="00984AC1"/>
    <w:rsid w:val="0098596F"/>
    <w:rsid w:val="00993FB6"/>
    <w:rsid w:val="009C4B3C"/>
    <w:rsid w:val="009E2FA4"/>
    <w:rsid w:val="009F424E"/>
    <w:rsid w:val="009F49EE"/>
    <w:rsid w:val="009F6F33"/>
    <w:rsid w:val="009F705A"/>
    <w:rsid w:val="00A00062"/>
    <w:rsid w:val="00A25BC6"/>
    <w:rsid w:val="00A40761"/>
    <w:rsid w:val="00A63F6A"/>
    <w:rsid w:val="00A6596A"/>
    <w:rsid w:val="00A831F1"/>
    <w:rsid w:val="00A840AB"/>
    <w:rsid w:val="00A8744B"/>
    <w:rsid w:val="00A905BA"/>
    <w:rsid w:val="00A913C2"/>
    <w:rsid w:val="00AA6E95"/>
    <w:rsid w:val="00AE6741"/>
    <w:rsid w:val="00B1369B"/>
    <w:rsid w:val="00B23330"/>
    <w:rsid w:val="00B23892"/>
    <w:rsid w:val="00B3577F"/>
    <w:rsid w:val="00B454FE"/>
    <w:rsid w:val="00B455D5"/>
    <w:rsid w:val="00B508A0"/>
    <w:rsid w:val="00B51BE2"/>
    <w:rsid w:val="00B60439"/>
    <w:rsid w:val="00B6234F"/>
    <w:rsid w:val="00B63D9D"/>
    <w:rsid w:val="00B66996"/>
    <w:rsid w:val="00B81698"/>
    <w:rsid w:val="00B94110"/>
    <w:rsid w:val="00BA1EA4"/>
    <w:rsid w:val="00BA727F"/>
    <w:rsid w:val="00BB3A36"/>
    <w:rsid w:val="00BB4182"/>
    <w:rsid w:val="00BC520E"/>
    <w:rsid w:val="00C05798"/>
    <w:rsid w:val="00C24583"/>
    <w:rsid w:val="00C27325"/>
    <w:rsid w:val="00C40AF0"/>
    <w:rsid w:val="00CA280A"/>
    <w:rsid w:val="00CA582A"/>
    <w:rsid w:val="00CC2D34"/>
    <w:rsid w:val="00CC38BC"/>
    <w:rsid w:val="00CC619E"/>
    <w:rsid w:val="00CD6A42"/>
    <w:rsid w:val="00CF3A50"/>
    <w:rsid w:val="00D03032"/>
    <w:rsid w:val="00D07488"/>
    <w:rsid w:val="00D10538"/>
    <w:rsid w:val="00D143EC"/>
    <w:rsid w:val="00D3210B"/>
    <w:rsid w:val="00D666F1"/>
    <w:rsid w:val="00D7028E"/>
    <w:rsid w:val="00D75E54"/>
    <w:rsid w:val="00DA70A7"/>
    <w:rsid w:val="00DB15E9"/>
    <w:rsid w:val="00DC6229"/>
    <w:rsid w:val="00DD21D5"/>
    <w:rsid w:val="00DD6D8C"/>
    <w:rsid w:val="00DE164F"/>
    <w:rsid w:val="00DE7176"/>
    <w:rsid w:val="00DF17BB"/>
    <w:rsid w:val="00DF5B2B"/>
    <w:rsid w:val="00DF60C8"/>
    <w:rsid w:val="00E11862"/>
    <w:rsid w:val="00E2045F"/>
    <w:rsid w:val="00E330B8"/>
    <w:rsid w:val="00E624B8"/>
    <w:rsid w:val="00E66256"/>
    <w:rsid w:val="00EB4B18"/>
    <w:rsid w:val="00EC24F5"/>
    <w:rsid w:val="00ED68AA"/>
    <w:rsid w:val="00EE4F18"/>
    <w:rsid w:val="00EE59C1"/>
    <w:rsid w:val="00EE683F"/>
    <w:rsid w:val="00EF34D2"/>
    <w:rsid w:val="00F43FAD"/>
    <w:rsid w:val="00F51E09"/>
    <w:rsid w:val="00F65DBE"/>
    <w:rsid w:val="00F65E5B"/>
    <w:rsid w:val="00F6765D"/>
    <w:rsid w:val="00F76BA5"/>
    <w:rsid w:val="00F814AC"/>
    <w:rsid w:val="00FA64A4"/>
    <w:rsid w:val="00FC5963"/>
    <w:rsid w:val="00FC5AE2"/>
    <w:rsid w:val="00FF2AE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42E4"/>
    <w:rPr>
      <w:color w:val="0563C1" w:themeColor="hyperlink"/>
      <w:u w:val="single"/>
    </w:rPr>
  </w:style>
  <w:style w:type="character" w:styleId="UnresolvedMention">
    <w:name w:val="Unresolved Mention"/>
    <w:basedOn w:val="DefaultParagraphFont"/>
    <w:uiPriority w:val="99"/>
    <w:semiHidden/>
    <w:unhideWhenUsed/>
    <w:rsid w:val="006042E4"/>
    <w:rPr>
      <w:color w:val="605E5C"/>
      <w:shd w:val="clear" w:color="auto" w:fill="E1DFDD"/>
    </w:rPr>
  </w:style>
  <w:style w:type="paragraph" w:styleId="Revision">
    <w:name w:val="Revision"/>
    <w:hidden/>
    <w:uiPriority w:val="99"/>
    <w:semiHidden/>
    <w:rsid w:val="00B60439"/>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33742">
      <w:bodyDiv w:val="1"/>
      <w:marLeft w:val="0"/>
      <w:marRight w:val="0"/>
      <w:marTop w:val="0"/>
      <w:marBottom w:val="0"/>
      <w:divBdr>
        <w:top w:val="none" w:sz="0" w:space="0" w:color="auto"/>
        <w:left w:val="none" w:sz="0" w:space="0" w:color="auto"/>
        <w:bottom w:val="none" w:sz="0" w:space="0" w:color="auto"/>
        <w:right w:val="none" w:sz="0" w:space="0" w:color="auto"/>
      </w:divBdr>
    </w:div>
    <w:div w:id="1951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4:0531.A420248922.13.L" TargetMode="External"/><Relationship Id="rId3" Type="http://schemas.openxmlformats.org/officeDocument/2006/relationships/settings" Target="settings.xml"/><Relationship Id="rId7" Type="http://schemas.openxmlformats.org/officeDocument/2006/relationships/hyperlink" Target="https://manas.tiesas.lv/eTiesasMvc/nolemumi/pdf/53543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1748-8BAE-47D0-AD12-58404B3A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5670</Words>
  <Characters>3233</Characters>
  <Application>Microsoft Office Word</Application>
  <DocSecurity>0</DocSecurity>
  <Lines>26</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2024-10-08T13:55:00Z</dcterms:created>
  <dcterms:modified xsi:type="dcterms:W3CDTF">2024-10-08T13:55:00Z</dcterms:modified>
</cp:coreProperties>
</file>