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2441B3" w14:textId="77777777" w:rsidR="00031DCA" w:rsidRDefault="00031DCA" w:rsidP="00031DCA">
      <w:pPr>
        <w:spacing w:line="276" w:lineRule="auto"/>
        <w:jc w:val="both"/>
        <w:rPr>
          <w:b/>
          <w:bCs/>
          <w:lang w:eastAsia="en-US"/>
        </w:rPr>
      </w:pPr>
      <w:r>
        <w:rPr>
          <w:b/>
          <w:bCs/>
        </w:rPr>
        <w:t>Pieteikuma izbeigt Uzturlīdzekļu garantiju fonda piedziņas pasākumus un dzēst parādu pakļautība administratīvajai tiesai</w:t>
      </w:r>
    </w:p>
    <w:p w14:paraId="4588F563" w14:textId="58CEE593" w:rsidR="00031DCA" w:rsidRPr="00031DCA" w:rsidRDefault="00031DCA" w:rsidP="00031DCA">
      <w:pPr>
        <w:spacing w:line="276" w:lineRule="auto"/>
        <w:jc w:val="both"/>
      </w:pPr>
      <w:r>
        <w:t xml:space="preserve">1. Ar Uzturlīdzekļu garantiju fonda likuma 11.panta (Uzturlīdzekļu saņemšana administratīvā procesa ietvaros) kārtībā pieņemtu lēmumu ne tikai tiek nolemts izmaksāt uzturlīdzekļus bērna uzturam, bet arī konkrētam vecākam tiek noteikts  parādnieka statuss un attiecīgi arī pienākums atmaksāt fondam izmaksāto uzturlīdzekļu summu ar likumiskajiem procentiem. Tas nozīmē, ka šādam Uzturlīdzekļu garantiju fonda administrācijas lēmumam ir divējāda iedarbība: no vienas puses, vienam vecākam (iesniedzējam) tiek piešķirtas tiesības saņemt uzturlīdzekļu maksājumus no fonda, bet, no otras puses, otram vecākam tiek noteikts parādnieka statuss un uzlikts pienākums atmaksāt fondam iesniedzējam izmaksātos uzturlīdzekļus. Attiecīgi ar šādu lēmumu noteikts parādnieka statuss starp Uzturlīdzekļu garantiju fonda administrāciju un konkrēto personu rada publiski tiesiskas attiecības. </w:t>
      </w:r>
    </w:p>
    <w:p w14:paraId="323AB946" w14:textId="77777777" w:rsidR="00031DCA" w:rsidRDefault="00031DCA" w:rsidP="00031DCA">
      <w:pPr>
        <w:spacing w:line="276" w:lineRule="auto"/>
        <w:jc w:val="both"/>
      </w:pPr>
      <w:r>
        <w:t>2. Jautājums par to, vai personai attiecībās ar Uzturlīdzekļu garantiju fonda administrāciju saglabājams parādnieka statuss (un ar to saistītais pienākums atmaksāt fondam otram vecākam izmaksātos uzturlīdzekļus) situācijā, kad ar tiesas spriedumu civillietā konstatēts, ka konkrētā persona tomēr nav bērna vecāks un ieraksts bērna dzimšanas reģistrā par attiecīgo personu kā bērna vecāku atzīts par spēkā neesošu no tā izdarīšanas dienas (proti, atzīts, ka konkrētajai personai vispār nebūtu jārūpējas par bērna uzturu), ir pakļauts izskatīšanai administratīvā procesa kārtībā. Šāda strīda risināšanai ir iespējams izmantot administratīvā procesa uzsākšanas no jauna institūtu.</w:t>
      </w:r>
    </w:p>
    <w:p w14:paraId="7A8ADC3B" w14:textId="1CF22AC6" w:rsidR="00295AAE" w:rsidRPr="00160B52" w:rsidRDefault="00295AAE" w:rsidP="00031DCA">
      <w:pPr>
        <w:pStyle w:val="BodyText2"/>
        <w:spacing w:after="0" w:line="276" w:lineRule="auto"/>
        <w:rPr>
          <w:lang w:val="lv-LV"/>
        </w:rPr>
      </w:pPr>
    </w:p>
    <w:p w14:paraId="3C2FBC12" w14:textId="7C45BDAA" w:rsidR="00295AAE" w:rsidRPr="00160B52" w:rsidRDefault="00295AAE" w:rsidP="00031DCA">
      <w:pPr>
        <w:spacing w:line="276" w:lineRule="auto"/>
        <w:jc w:val="center"/>
        <w:rPr>
          <w:b/>
        </w:rPr>
      </w:pPr>
      <w:r w:rsidRPr="00160B52">
        <w:rPr>
          <w:b/>
        </w:rPr>
        <w:t>Latvijas Republikas Senāt</w:t>
      </w:r>
      <w:r w:rsidR="00031DCA">
        <w:rPr>
          <w:b/>
        </w:rPr>
        <w:t>a</w:t>
      </w:r>
      <w:r w:rsidR="00031DCA">
        <w:rPr>
          <w:b/>
        </w:rPr>
        <w:br/>
        <w:t>Administratīvo lietu departamenta</w:t>
      </w:r>
      <w:r w:rsidR="00031DCA">
        <w:rPr>
          <w:b/>
        </w:rPr>
        <w:br/>
        <w:t>2024.gada 20.septembra</w:t>
      </w:r>
    </w:p>
    <w:p w14:paraId="0E4EC31A" w14:textId="77777777" w:rsidR="00295AAE" w:rsidRPr="00031DCA" w:rsidRDefault="00295AAE" w:rsidP="00031DCA">
      <w:pPr>
        <w:spacing w:line="276" w:lineRule="auto"/>
        <w:jc w:val="center"/>
        <w:rPr>
          <w:b/>
          <w:bCs/>
        </w:rPr>
      </w:pPr>
      <w:r w:rsidRPr="00160B52">
        <w:rPr>
          <w:b/>
        </w:rPr>
        <w:t>LĒMUMS</w:t>
      </w:r>
    </w:p>
    <w:p w14:paraId="2600C9C9" w14:textId="5FE15E07" w:rsidR="00031DCA" w:rsidRPr="00031DCA" w:rsidRDefault="00031DCA" w:rsidP="00031DCA">
      <w:pPr>
        <w:spacing w:line="276" w:lineRule="auto"/>
        <w:jc w:val="center"/>
        <w:rPr>
          <w:b/>
          <w:bCs/>
        </w:rPr>
      </w:pPr>
      <w:r w:rsidRPr="00031DCA">
        <w:rPr>
          <w:b/>
          <w:bCs/>
        </w:rPr>
        <w:t>Lieta Nr. A420141924, SKA-833/2024</w:t>
      </w:r>
    </w:p>
    <w:p w14:paraId="3039884E" w14:textId="09823144" w:rsidR="00031DCA" w:rsidRPr="00160B52" w:rsidRDefault="00031DCA" w:rsidP="00031DCA">
      <w:pPr>
        <w:spacing w:line="276" w:lineRule="auto"/>
        <w:jc w:val="center"/>
        <w:rPr>
          <w:b/>
        </w:rPr>
      </w:pPr>
      <w:hyperlink r:id="rId6" w:history="1">
        <w:r w:rsidRPr="00031DCA">
          <w:rPr>
            <w:rStyle w:val="Hyperlink"/>
          </w:rPr>
          <w:t xml:space="preserve"> </w:t>
        </w:r>
        <w:r w:rsidRPr="00031DCA">
          <w:rPr>
            <w:rStyle w:val="Hyperlink"/>
            <w:sz w:val="23"/>
            <w:szCs w:val="23"/>
          </w:rPr>
          <w:t>ECLI:LV:AT:2024:0920.A420141924.10.L</w:t>
        </w:r>
      </w:hyperlink>
    </w:p>
    <w:p w14:paraId="46BD9516" w14:textId="77777777" w:rsidR="00295AAE" w:rsidRPr="00160B52" w:rsidRDefault="00295AAE" w:rsidP="00031DCA">
      <w:pPr>
        <w:spacing w:line="276" w:lineRule="auto"/>
        <w:jc w:val="center"/>
      </w:pPr>
    </w:p>
    <w:p w14:paraId="720D43FB" w14:textId="77777777" w:rsidR="00295AAE" w:rsidRPr="00160B52" w:rsidRDefault="00295AAE" w:rsidP="00031DCA">
      <w:pPr>
        <w:spacing w:line="276" w:lineRule="auto"/>
        <w:ind w:firstLine="720"/>
        <w:jc w:val="both"/>
      </w:pPr>
      <w:r w:rsidRPr="00160B52">
        <w:t>Senāts šādā sastāvā: senatore referente Ieva Višķere, senatores Dzintra Amerika un Indra Meldere</w:t>
      </w:r>
    </w:p>
    <w:p w14:paraId="01F5EFF8" w14:textId="77777777" w:rsidR="00295AAE" w:rsidRPr="00160B52" w:rsidRDefault="00295AAE" w:rsidP="00031DCA">
      <w:pPr>
        <w:spacing w:line="276" w:lineRule="auto"/>
        <w:ind w:firstLine="720"/>
        <w:jc w:val="both"/>
      </w:pPr>
    </w:p>
    <w:p w14:paraId="5303B344" w14:textId="7F120028" w:rsidR="00295AAE" w:rsidRPr="00160B52" w:rsidRDefault="00295AAE" w:rsidP="00031DCA">
      <w:pPr>
        <w:spacing w:line="276" w:lineRule="auto"/>
        <w:ind w:firstLine="720"/>
        <w:jc w:val="both"/>
      </w:pPr>
      <w:r w:rsidRPr="00160B52">
        <w:t xml:space="preserve">rakstveida procesā izskatīja </w:t>
      </w:r>
      <w:r w:rsidR="00031DCA">
        <w:t xml:space="preserve">[pers. A] </w:t>
      </w:r>
      <w:r w:rsidRPr="00160B52">
        <w:t xml:space="preserve">blakus sūdzību par Administratīvās rajona tiesas 2024.gada </w:t>
      </w:r>
      <w:r w:rsidR="00304BED" w:rsidRPr="00160B52">
        <w:t>5</w:t>
      </w:r>
      <w:r w:rsidRPr="00160B52">
        <w:t>.</w:t>
      </w:r>
      <w:r w:rsidR="00304BED" w:rsidRPr="00160B52">
        <w:t>augusta</w:t>
      </w:r>
      <w:r w:rsidRPr="00160B52">
        <w:t xml:space="preserve"> lēmumu</w:t>
      </w:r>
      <w:r w:rsidR="00C544FC" w:rsidRPr="00160B52">
        <w:t xml:space="preserve"> par tiesvedības izbeigšanu</w:t>
      </w:r>
      <w:r w:rsidRPr="00160B52">
        <w:t>.</w:t>
      </w:r>
    </w:p>
    <w:p w14:paraId="50011E0F" w14:textId="77777777" w:rsidR="00295AAE" w:rsidRPr="00160B52" w:rsidRDefault="00295AAE" w:rsidP="00031DCA">
      <w:pPr>
        <w:spacing w:line="276" w:lineRule="auto"/>
        <w:ind w:firstLine="567"/>
        <w:jc w:val="both"/>
      </w:pPr>
    </w:p>
    <w:p w14:paraId="55EAF493" w14:textId="77777777" w:rsidR="00295AAE" w:rsidRPr="00160B52" w:rsidRDefault="00295AAE" w:rsidP="00031DCA">
      <w:pPr>
        <w:spacing w:line="276" w:lineRule="auto"/>
        <w:jc w:val="center"/>
        <w:rPr>
          <w:b/>
        </w:rPr>
      </w:pPr>
      <w:r w:rsidRPr="00160B52">
        <w:rPr>
          <w:b/>
        </w:rPr>
        <w:t>Aprakstošā daļa</w:t>
      </w:r>
    </w:p>
    <w:p w14:paraId="31B57E0D" w14:textId="77777777" w:rsidR="00295AAE" w:rsidRPr="00160B52" w:rsidRDefault="00295AAE" w:rsidP="00031DCA">
      <w:pPr>
        <w:spacing w:line="276" w:lineRule="auto"/>
        <w:ind w:firstLine="567"/>
        <w:jc w:val="both"/>
      </w:pPr>
    </w:p>
    <w:p w14:paraId="1AC79373" w14:textId="00D85B4E" w:rsidR="00554C99" w:rsidRPr="00160B52" w:rsidRDefault="00295AAE" w:rsidP="00031DCA">
      <w:pPr>
        <w:spacing w:line="276" w:lineRule="auto"/>
        <w:ind w:firstLine="720"/>
        <w:jc w:val="both"/>
      </w:pPr>
      <w:r w:rsidRPr="00160B52">
        <w:t>[1] </w:t>
      </w:r>
      <w:r w:rsidR="00554C99" w:rsidRPr="00160B52">
        <w:t xml:space="preserve">2017.gadā, reģistrējot </w:t>
      </w:r>
      <w:r w:rsidR="00031DCA">
        <w:t xml:space="preserve">[pers. B] </w:t>
      </w:r>
      <w:r w:rsidR="00441BFA" w:rsidRPr="00160B52">
        <w:t>(pēc tam uzvārds mainīts uz</w:t>
      </w:r>
      <w:r w:rsidR="00031DCA">
        <w:t xml:space="preserve"> [Uzvārds]</w:t>
      </w:r>
      <w:r w:rsidR="00441BFA" w:rsidRPr="00160B52">
        <w:t xml:space="preserve">, turpmāk </w:t>
      </w:r>
      <w:r w:rsidR="00337DBB">
        <w:t>–</w:t>
      </w:r>
      <w:r w:rsidR="00441BFA" w:rsidRPr="00160B52">
        <w:t xml:space="preserve"> bērna</w:t>
      </w:r>
      <w:r w:rsidR="00337DBB">
        <w:t xml:space="preserve"> </w:t>
      </w:r>
      <w:r w:rsidR="00441BFA" w:rsidRPr="00160B52">
        <w:t xml:space="preserve">māte) </w:t>
      </w:r>
      <w:r w:rsidR="00554C99" w:rsidRPr="00160B52">
        <w:t xml:space="preserve">bērna piedzimšanu, pieteicējs </w:t>
      </w:r>
      <w:r w:rsidR="00031DCA">
        <w:t xml:space="preserve">[pers. A] </w:t>
      </w:r>
      <w:r w:rsidR="007628DC" w:rsidRPr="00160B52">
        <w:t xml:space="preserve">tika </w:t>
      </w:r>
      <w:r w:rsidR="00554C99" w:rsidRPr="00160B52">
        <w:t xml:space="preserve">norādīts kā bērna tēvs. Pamatojies uz </w:t>
      </w:r>
      <w:r w:rsidR="00441BFA" w:rsidRPr="00160B52">
        <w:t xml:space="preserve">bērna mātes </w:t>
      </w:r>
      <w:r w:rsidR="00C87FF3" w:rsidRPr="00160B52">
        <w:t>iesniegumu, Uzturlīdzekļu garantiju fond</w:t>
      </w:r>
      <w:r w:rsidR="00D64881">
        <w:t>a administrācija</w:t>
      </w:r>
      <w:r w:rsidR="00C87FF3" w:rsidRPr="00160B52">
        <w:t xml:space="preserve"> (turpmāk – Fond</w:t>
      </w:r>
      <w:r w:rsidR="00C94E6E">
        <w:t>a administrācija</w:t>
      </w:r>
      <w:r w:rsidR="00C87FF3" w:rsidRPr="00160B52">
        <w:t xml:space="preserve">) ar 2017.gada 25.septembra lēmumu </w:t>
      </w:r>
      <w:r w:rsidR="008D1157">
        <w:t xml:space="preserve">(turpmāk – 2017.gada lēmums) </w:t>
      </w:r>
      <w:r w:rsidR="00C87FF3" w:rsidRPr="00160B52">
        <w:t>noteica, ka pieteicējam ir pienākums maksāt bērnam uzturlīdzekļus</w:t>
      </w:r>
      <w:r w:rsidR="0056199C" w:rsidRPr="00160B52">
        <w:t xml:space="preserve"> un</w:t>
      </w:r>
      <w:r w:rsidR="00C87FF3" w:rsidRPr="00160B52">
        <w:t xml:space="preserve"> Fond</w:t>
      </w:r>
      <w:r w:rsidR="00C94E6E">
        <w:t>a administrācija</w:t>
      </w:r>
      <w:r w:rsidR="00C87FF3" w:rsidRPr="00160B52">
        <w:t xml:space="preserve"> uzsāk uzturlīdzekļu izmaksu pieteicēja vietā, savukārt pieteicējam ir pienākums atmaksāt </w:t>
      </w:r>
      <w:r w:rsidR="00C94E6E">
        <w:t>f</w:t>
      </w:r>
      <w:r w:rsidR="00C87FF3" w:rsidRPr="00160B52">
        <w:t>ondam viņa vietā izmaksātos uzturlīdzekļus.</w:t>
      </w:r>
    </w:p>
    <w:p w14:paraId="5D6D0783" w14:textId="2A71A90D" w:rsidR="00C87FF3" w:rsidRPr="00160B52" w:rsidRDefault="00C87FF3" w:rsidP="00031DCA">
      <w:pPr>
        <w:spacing w:line="276" w:lineRule="auto"/>
        <w:ind w:firstLine="720"/>
        <w:jc w:val="both"/>
      </w:pPr>
      <w:r w:rsidRPr="00160B52">
        <w:t xml:space="preserve">Ar </w:t>
      </w:r>
      <w:r w:rsidRPr="00C87FF3">
        <w:t>Zemgales rajona tiesas 2024.gada 17.janvāra spriedumu civillietā</w:t>
      </w:r>
      <w:r w:rsidRPr="00160B52">
        <w:t xml:space="preserve"> </w:t>
      </w:r>
      <w:r w:rsidRPr="00C87FF3">
        <w:t>Nr.</w:t>
      </w:r>
      <w:r w:rsidR="00293B8A">
        <w:t> </w:t>
      </w:r>
      <w:r w:rsidRPr="00C87FF3">
        <w:t xml:space="preserve">C73412023 </w:t>
      </w:r>
      <w:r w:rsidR="007628DC" w:rsidRPr="00160B52">
        <w:t xml:space="preserve">(turpmāk – civillietas spriedums) </w:t>
      </w:r>
      <w:r w:rsidRPr="00160B52">
        <w:t xml:space="preserve">atzīts, ka pieteicējs nav bērna tēvs un </w:t>
      </w:r>
      <w:r w:rsidRPr="00160B52">
        <w:lastRenderedPageBreak/>
        <w:t>ieraksts bērna dzimšanas reģistrā par pieteicēju kā bērna tēvu tiek atzīts par spēkā neesošu no tā izdarīšanas dienas. Pamatojoties uz minēto spriedumu</w:t>
      </w:r>
      <w:r w:rsidR="007628DC" w:rsidRPr="00160B52">
        <w:t>, Fond</w:t>
      </w:r>
      <w:r w:rsidR="00C94E6E">
        <w:t>a administrācija</w:t>
      </w:r>
      <w:r w:rsidR="007628DC" w:rsidRPr="00160B52">
        <w:t xml:space="preserve"> nolēma izbeigt uzturlīdzekļu izmaksu bērna mātei pieteicēja vietā.</w:t>
      </w:r>
    </w:p>
    <w:p w14:paraId="53D42930" w14:textId="75135D6E" w:rsidR="007628DC" w:rsidRPr="00160B52" w:rsidRDefault="007628DC" w:rsidP="00031DCA">
      <w:pPr>
        <w:spacing w:line="276" w:lineRule="auto"/>
        <w:ind w:firstLine="720"/>
        <w:jc w:val="both"/>
      </w:pPr>
      <w:r w:rsidRPr="00160B52">
        <w:t xml:space="preserve">Pieteicējs, uzskatot, ka civillietas spriedums ir pamats ne tikai uzturlīdzekļu izmaksas izbeigšanai, bet arī pieteicēja parādnieka statusa izbeigšanai, vērsās </w:t>
      </w:r>
      <w:r w:rsidR="003F3510" w:rsidRPr="00160B52">
        <w:t xml:space="preserve">Tieslietu ministrijā </w:t>
      </w:r>
      <w:r w:rsidRPr="00160B52">
        <w:t xml:space="preserve">ar </w:t>
      </w:r>
      <w:r w:rsidR="003F3510" w:rsidRPr="00160B52">
        <w:t>apstrīdēšanas iesniegumu</w:t>
      </w:r>
      <w:r w:rsidR="00337DBB">
        <w:t>. Pieteicējs lūdza</w:t>
      </w:r>
      <w:r w:rsidRPr="00160B52">
        <w:t xml:space="preserve"> attiecībā pret </w:t>
      </w:r>
      <w:r w:rsidR="00337DBB">
        <w:t>viņu</w:t>
      </w:r>
      <w:r w:rsidRPr="00160B52">
        <w:t xml:space="preserve"> dzēst parādu, kas uzkrājies par laiku, kad Fond</w:t>
      </w:r>
      <w:r w:rsidR="001F2100">
        <w:t>a administrācija</w:t>
      </w:r>
      <w:r w:rsidRPr="00160B52">
        <w:t xml:space="preserve"> bērna mātei izmaksāja uzturlīdzekļus</w:t>
      </w:r>
      <w:r w:rsidR="003F3510" w:rsidRPr="00160B52">
        <w:t>, u</w:t>
      </w:r>
      <w:r w:rsidR="00441BFA" w:rsidRPr="00160B52">
        <w:t>n</w:t>
      </w:r>
      <w:r w:rsidR="003F3510" w:rsidRPr="00160B52">
        <w:t xml:space="preserve"> izbeigt piedziņas pasākumus pret pieteicēju. Ar Tieslietu ministrijas 2024.gada 15.marta lēmumu Nr.</w:t>
      </w:r>
      <w:r w:rsidR="00293B8A">
        <w:t> </w:t>
      </w:r>
      <w:r w:rsidR="003F3510" w:rsidRPr="00160B52">
        <w:t>1-4.1/29 atzīts, ka Fond</w:t>
      </w:r>
      <w:r w:rsidR="001F2100">
        <w:t>a administrācija</w:t>
      </w:r>
      <w:r w:rsidR="003F3510" w:rsidRPr="00160B52">
        <w:t xml:space="preserve"> pamatoti lēma tikai par uzturlīdzekļu izmaksas izbeigšanu un Fonda</w:t>
      </w:r>
      <w:r w:rsidR="001F2100">
        <w:t xml:space="preserve"> administrācijai </w:t>
      </w:r>
      <w:r w:rsidR="003F3510" w:rsidRPr="00160B52">
        <w:t>neesot pamata lemt par pieteicēja parāda dzēšanu.</w:t>
      </w:r>
    </w:p>
    <w:p w14:paraId="5B8DD596" w14:textId="628C2603" w:rsidR="003F3510" w:rsidRPr="00160B52" w:rsidRDefault="003F3510" w:rsidP="00031DCA">
      <w:pPr>
        <w:spacing w:line="276" w:lineRule="auto"/>
        <w:ind w:firstLine="720"/>
        <w:jc w:val="both"/>
      </w:pPr>
      <w:r w:rsidRPr="00160B52">
        <w:t>Pieteicējs vērsās administratīvajā tiesā</w:t>
      </w:r>
      <w:r w:rsidR="0056199C" w:rsidRPr="00160B52">
        <w:t>,</w:t>
      </w:r>
      <w:r w:rsidRPr="00160B52">
        <w:t xml:space="preserve"> un tika ierosināta lieta par labvēlīga administratīvā akta izdošanu, ar kuru </w:t>
      </w:r>
      <w:r w:rsidR="0056199C" w:rsidRPr="00160B52">
        <w:t xml:space="preserve">attiecībā pret pieteicēju </w:t>
      </w:r>
      <w:r w:rsidRPr="00160B52">
        <w:t xml:space="preserve">tiktu dzēsts </w:t>
      </w:r>
      <w:r w:rsidR="0056199C" w:rsidRPr="00160B52">
        <w:t>Fonda</w:t>
      </w:r>
      <w:r w:rsidR="001F2100">
        <w:t xml:space="preserve"> administrācijas </w:t>
      </w:r>
      <w:r w:rsidRPr="003F3510">
        <w:t>izmaksāto uzturlīdzekļu parād</w:t>
      </w:r>
      <w:r w:rsidR="0056199C" w:rsidRPr="00160B52">
        <w:t xml:space="preserve">s un izbeigta </w:t>
      </w:r>
      <w:r w:rsidRPr="003F3510">
        <w:t>uzturlīdzekļu parāda piedziņa</w:t>
      </w:r>
      <w:r w:rsidR="0056199C" w:rsidRPr="00160B52">
        <w:t xml:space="preserve"> no pieteicēja.</w:t>
      </w:r>
    </w:p>
    <w:p w14:paraId="2213D087" w14:textId="77777777" w:rsidR="00295AAE" w:rsidRPr="00160B52" w:rsidRDefault="00295AAE" w:rsidP="00031DCA">
      <w:pPr>
        <w:spacing w:line="276" w:lineRule="auto"/>
        <w:ind w:firstLine="720"/>
        <w:jc w:val="both"/>
      </w:pPr>
    </w:p>
    <w:p w14:paraId="1FE32CBD" w14:textId="3FAEE8E1" w:rsidR="0056199C" w:rsidRPr="00160B52" w:rsidRDefault="0056199C" w:rsidP="00031DCA">
      <w:pPr>
        <w:spacing w:line="276" w:lineRule="auto"/>
        <w:ind w:firstLine="720"/>
        <w:jc w:val="both"/>
      </w:pPr>
      <w:r w:rsidRPr="00160B52">
        <w:t>[2] Ar Administratīvās rajona tiesas 2024.gada 5.augusta lēmumu tiesvedība lietā izbeigta, pamatojoties uz Administratīvā procesa likuma 282.pa</w:t>
      </w:r>
      <w:r w:rsidR="00337DBB">
        <w:t>n</w:t>
      </w:r>
      <w:r w:rsidRPr="00160B52">
        <w:t>ta 1.punktu (lieta nav izskatāma administratīvā procesa kārtībā)</w:t>
      </w:r>
      <w:r w:rsidR="00D53403">
        <w:t xml:space="preserve"> un norādot, ka pieteicējam savu tiesību aizsardzībai jāvēršas civilprocesuālā kārtībā pret bērna māti</w:t>
      </w:r>
      <w:r w:rsidRPr="00160B52">
        <w:t>. Tiesas lēmums motivēts ar turpmāk norādītajiem argumentiem.</w:t>
      </w:r>
    </w:p>
    <w:p w14:paraId="59FF99D9" w14:textId="4CD9AD8B" w:rsidR="0056199C" w:rsidRPr="00160B52" w:rsidRDefault="0056199C" w:rsidP="00031DCA">
      <w:pPr>
        <w:spacing w:line="276" w:lineRule="auto"/>
        <w:ind w:firstLine="720"/>
        <w:jc w:val="both"/>
      </w:pPr>
      <w:r w:rsidRPr="00160B52">
        <w:t xml:space="preserve">[2.1] </w:t>
      </w:r>
      <w:r w:rsidR="00441BFA" w:rsidRPr="00160B52">
        <w:t xml:space="preserve">Ņemot vērā, ka </w:t>
      </w:r>
      <w:r w:rsidR="00BD6085" w:rsidRPr="00160B52">
        <w:t>2017.gada lēmum</w:t>
      </w:r>
      <w:r w:rsidR="008D1157">
        <w:t xml:space="preserve">a pieņemšanas laikā </w:t>
      </w:r>
      <w:r w:rsidR="00BD6085" w:rsidRPr="00160B52">
        <w:t xml:space="preserve">pieteicējs bērna dzimšanas reģistrā bija norādīts kā bērna tēvs, </w:t>
      </w:r>
      <w:r w:rsidR="001F2100">
        <w:t>f</w:t>
      </w:r>
      <w:r w:rsidR="00441BFA" w:rsidRPr="00160B52">
        <w:t>onda līdzekļi, kurus bērna māte saņēma no Fonda</w:t>
      </w:r>
      <w:r w:rsidR="001F2100">
        <w:t xml:space="preserve"> administrācijas</w:t>
      </w:r>
      <w:r w:rsidR="00441BFA" w:rsidRPr="00160B52">
        <w:t xml:space="preserve">, </w:t>
      </w:r>
      <w:r w:rsidR="00441BFA" w:rsidRPr="00441BFA">
        <w:t>tika maksāti pieteicēja vietā</w:t>
      </w:r>
      <w:r w:rsidR="00BD6085" w:rsidRPr="00160B52">
        <w:t>. P</w:t>
      </w:r>
      <w:r w:rsidR="00441BFA" w:rsidRPr="00441BFA">
        <w:t>arād</w:t>
      </w:r>
      <w:r w:rsidR="00337DBB">
        <w:t>s</w:t>
      </w:r>
      <w:r w:rsidR="00BD6085" w:rsidRPr="00160B52">
        <w:t xml:space="preserve"> </w:t>
      </w:r>
      <w:r w:rsidR="00441BFA" w:rsidRPr="00441BFA">
        <w:t xml:space="preserve">pieteicējam radās un uzkrājās laika posmā, kad </w:t>
      </w:r>
      <w:r w:rsidR="00BD6085" w:rsidRPr="00160B52">
        <w:t>Fonda</w:t>
      </w:r>
      <w:r w:rsidR="001F2100">
        <w:t xml:space="preserve"> administrācijai</w:t>
      </w:r>
      <w:r w:rsidR="00BD6085" w:rsidRPr="00160B52">
        <w:t xml:space="preserve"> nebija informācijas, ka </w:t>
      </w:r>
      <w:r w:rsidR="00441BFA" w:rsidRPr="00160B52">
        <w:t xml:space="preserve">pieteicējs </w:t>
      </w:r>
      <w:r w:rsidR="00BD6085" w:rsidRPr="00160B52">
        <w:t xml:space="preserve">tomēr </w:t>
      </w:r>
      <w:r w:rsidR="00441BFA" w:rsidRPr="00160B52">
        <w:t>nav bērna tēvs. Tiesa šajā lietā nevar pārskatīt 2017.gada lēmum</w:t>
      </w:r>
      <w:r w:rsidR="008A74CB" w:rsidRPr="00160B52">
        <w:t>a tiesiskumu</w:t>
      </w:r>
      <w:r w:rsidR="00441BFA" w:rsidRPr="00160B52">
        <w:t>.</w:t>
      </w:r>
    </w:p>
    <w:p w14:paraId="3A239D43" w14:textId="223BE536" w:rsidR="00BD6085" w:rsidRPr="00160B52" w:rsidRDefault="00BD6085" w:rsidP="00031DCA">
      <w:pPr>
        <w:spacing w:line="276" w:lineRule="auto"/>
        <w:ind w:firstLine="720"/>
        <w:jc w:val="both"/>
      </w:pPr>
      <w:r w:rsidRPr="00160B52">
        <w:t>[2.2] Tiesību normas neparedz, ka Fond</w:t>
      </w:r>
      <w:r w:rsidR="001F2100">
        <w:t>a administrācija</w:t>
      </w:r>
      <w:r w:rsidRPr="00160B52">
        <w:t xml:space="preserve"> varētu dzēst parādus.</w:t>
      </w:r>
    </w:p>
    <w:p w14:paraId="3632947D" w14:textId="315474B9" w:rsidR="008A74CB" w:rsidRPr="00160B52" w:rsidRDefault="008A74CB" w:rsidP="00031DCA">
      <w:pPr>
        <w:spacing w:line="276" w:lineRule="auto"/>
        <w:ind w:firstLine="720"/>
        <w:jc w:val="both"/>
      </w:pPr>
      <w:r w:rsidRPr="00160B52">
        <w:t>[2.3] 2017.gada lēmums primāri vērsts uz bērna interesēm. Nav strīd</w:t>
      </w:r>
      <w:r w:rsidR="00337DBB">
        <w:t>a</w:t>
      </w:r>
      <w:r w:rsidRPr="00160B52">
        <w:t xml:space="preserve">, ka, pamatojoties uz šo lēmumu, bērna mātei uzturlīdzekļi tika izmaksāti. Viens no Administratīvā procesa likuma 87.panta otrās daļas obligātajiem </w:t>
      </w:r>
      <w:r w:rsidRPr="008A74CB">
        <w:t>priekšnoteikumiem jautājuma pārskatīšanai ir tāds, ka administratīvā akta adresāts vēl nav</w:t>
      </w:r>
      <w:r w:rsidRPr="00160B52">
        <w:t xml:space="preserve"> </w:t>
      </w:r>
      <w:r w:rsidRPr="008A74CB">
        <w:t>izmantojis tiesības, ko administratīvais akts piešķir. T</w:t>
      </w:r>
      <w:r w:rsidRPr="00160B52">
        <w:t>ā kā ar 2017.gada lēmumu</w:t>
      </w:r>
      <w:r w:rsidRPr="008A74CB">
        <w:t xml:space="preserve"> naudas līdzekļi </w:t>
      </w:r>
      <w:r w:rsidRPr="00160B52">
        <w:t>tika</w:t>
      </w:r>
      <w:r w:rsidRPr="008A74CB">
        <w:t xml:space="preserve"> piešķirti un izmantoti bērna vajadzībām, nav</w:t>
      </w:r>
      <w:r w:rsidRPr="00160B52">
        <w:t xml:space="preserve"> </w:t>
      </w:r>
      <w:r w:rsidRPr="008A74CB">
        <w:t xml:space="preserve">iespējama tāda lēmuma pieņemšana, kas Fonda </w:t>
      </w:r>
      <w:r w:rsidR="001F2100">
        <w:t xml:space="preserve">administrācijas </w:t>
      </w:r>
      <w:r w:rsidR="00FF0297">
        <w:t xml:space="preserve">iepriekšējās </w:t>
      </w:r>
      <w:r w:rsidRPr="008A74CB">
        <w:t>darbības atceltu vai mainītu.</w:t>
      </w:r>
      <w:r w:rsidRPr="00160B52">
        <w:t xml:space="preserve"> Līdz ar to nav konstatējami administratīvā procesa instrumenti, ar kuriem Fond</w:t>
      </w:r>
      <w:r w:rsidR="001F2100">
        <w:t>a administrācija</w:t>
      </w:r>
      <w:r w:rsidRPr="00160B52">
        <w:t xml:space="preserve"> tagad varētu pārskatīt </w:t>
      </w:r>
      <w:r w:rsidRPr="008A74CB">
        <w:t>2017.gada lēmumu</w:t>
      </w:r>
      <w:r w:rsidRPr="00160B52">
        <w:t xml:space="preserve">. Līdzīgu atziņu 2020.gada 27.augusta lēmumā </w:t>
      </w:r>
      <w:r w:rsidR="00DE1DEC" w:rsidRPr="00160B52">
        <w:t xml:space="preserve">lietā Nr. SKA-1314/2020 </w:t>
      </w:r>
      <w:r w:rsidR="001C2C88">
        <w:t>(</w:t>
      </w:r>
      <w:hyperlink r:id="rId7" w:history="1">
        <w:r w:rsidR="001C2C88" w:rsidRPr="000A2B63">
          <w:rPr>
            <w:rStyle w:val="Hyperlink"/>
          </w:rPr>
          <w:t>ECLI:LV:AT:2020:0827.SKA131420.3.L</w:t>
        </w:r>
      </w:hyperlink>
      <w:r w:rsidR="001C2C88">
        <w:t xml:space="preserve">) </w:t>
      </w:r>
      <w:r w:rsidRPr="00160B52">
        <w:t>izteicis Senāts.</w:t>
      </w:r>
    </w:p>
    <w:p w14:paraId="4251F7F0" w14:textId="7A9DDBAA" w:rsidR="00DE1DEC" w:rsidRPr="00160B52" w:rsidRDefault="008A74CB" w:rsidP="00031DCA">
      <w:pPr>
        <w:spacing w:line="276" w:lineRule="auto"/>
        <w:ind w:firstLine="720"/>
        <w:jc w:val="both"/>
      </w:pPr>
      <w:r w:rsidRPr="00160B52">
        <w:t xml:space="preserve">[2.4] Izskatāmajā gadījumā ir pamatoti atsaukties arī uz Senāta departamentu priekšsēdētāju 2019.gada 28.novembra </w:t>
      </w:r>
      <w:hyperlink r:id="rId8" w:history="1">
        <w:r w:rsidRPr="00D25C26">
          <w:rPr>
            <w:rStyle w:val="Hyperlink"/>
          </w:rPr>
          <w:t>lēmumu</w:t>
        </w:r>
      </w:hyperlink>
      <w:r w:rsidRPr="00160B52">
        <w:t xml:space="preserve">, kurā atzīts, ka </w:t>
      </w:r>
      <w:r w:rsidR="00772E8A" w:rsidRPr="00160B52">
        <w:t>nevar pieļaut personas vēr</w:t>
      </w:r>
      <w:r w:rsidR="00DE1DEC" w:rsidRPr="00160B52">
        <w:t>šanos</w:t>
      </w:r>
      <w:r w:rsidR="00772E8A" w:rsidRPr="00160B52">
        <w:t xml:space="preserve"> pret Fond</w:t>
      </w:r>
      <w:r w:rsidR="001F2100">
        <w:t>a administrāciju</w:t>
      </w:r>
      <w:r w:rsidR="00772E8A" w:rsidRPr="00160B52">
        <w:t xml:space="preserve"> </w:t>
      </w:r>
      <w:r w:rsidR="00772E8A" w:rsidRPr="00772E8A">
        <w:t>par piedzīto uzturlīdzekļu atmaksu administratīvā proces</w:t>
      </w:r>
      <w:r w:rsidR="00FF0297">
        <w:t>a</w:t>
      </w:r>
      <w:r w:rsidR="00772E8A" w:rsidRPr="00772E8A">
        <w:t xml:space="preserve"> kārtībā, </w:t>
      </w:r>
      <w:r w:rsidR="00772E8A" w:rsidRPr="00160B52">
        <w:t xml:space="preserve">jo tādējādi </w:t>
      </w:r>
      <w:r w:rsidR="001F2100">
        <w:t>f</w:t>
      </w:r>
      <w:r w:rsidR="00772E8A" w:rsidRPr="00160B52">
        <w:t>onda līdzekļi tiktu izmantoti nevis uzturlīdzekļu izmaks</w:t>
      </w:r>
      <w:r w:rsidR="00DE1DEC" w:rsidRPr="00160B52">
        <w:t>ām</w:t>
      </w:r>
      <w:r w:rsidR="00772E8A" w:rsidRPr="00160B52">
        <w:t xml:space="preserve"> bērnu vajadzībām, bet gan </w:t>
      </w:r>
      <w:r w:rsidR="00772E8A" w:rsidRPr="00772E8A">
        <w:t>parādnieka tiesīb</w:t>
      </w:r>
      <w:r w:rsidR="00772E8A" w:rsidRPr="00160B52">
        <w:t>u</w:t>
      </w:r>
      <w:r w:rsidR="00772E8A" w:rsidRPr="00772E8A">
        <w:t xml:space="preserve"> </w:t>
      </w:r>
      <w:r w:rsidR="00772E8A" w:rsidRPr="00160B52">
        <w:t>nodrošināšanai</w:t>
      </w:r>
      <w:r w:rsidR="00772E8A" w:rsidRPr="00772E8A">
        <w:t>.</w:t>
      </w:r>
      <w:r w:rsidR="00772E8A" w:rsidRPr="00160B52">
        <w:t xml:space="preserve"> Personai ar prasījumu par piedzīto uzturlīdzekļu atmaksu jāvērš</w:t>
      </w:r>
      <w:r w:rsidR="00DE1DEC" w:rsidRPr="00160B52">
        <w:t xml:space="preserve">as civilprocesuālā kārtībā </w:t>
      </w:r>
      <w:r w:rsidR="00772E8A" w:rsidRPr="00160B52">
        <w:t xml:space="preserve">pret personu, kura ir saņēmusi </w:t>
      </w:r>
      <w:r w:rsidR="001F2100">
        <w:t>f</w:t>
      </w:r>
      <w:r w:rsidR="00772E8A" w:rsidRPr="00160B52">
        <w:t>onda līdzekļus, nevis pret Fond</w:t>
      </w:r>
      <w:r w:rsidR="001F2100">
        <w:t>a administrāciju</w:t>
      </w:r>
      <w:r w:rsidR="00772E8A" w:rsidRPr="00160B52">
        <w:t xml:space="preserve">. </w:t>
      </w:r>
    </w:p>
    <w:p w14:paraId="6F20E79A" w14:textId="697977DA" w:rsidR="0056199C" w:rsidRPr="00160B52" w:rsidRDefault="00772E8A" w:rsidP="00031DCA">
      <w:pPr>
        <w:spacing w:line="276" w:lineRule="auto"/>
        <w:ind w:firstLine="720"/>
        <w:jc w:val="both"/>
      </w:pPr>
      <w:r w:rsidRPr="00772E8A">
        <w:lastRenderedPageBreak/>
        <w:t xml:space="preserve">Tas izriet arī no kārtības, kādā </w:t>
      </w:r>
      <w:r w:rsidR="00FF0297">
        <w:t>norisinās</w:t>
      </w:r>
      <w:r w:rsidR="00293B8A" w:rsidRPr="00160B52">
        <w:t xml:space="preserve"> </w:t>
      </w:r>
      <w:r w:rsidRPr="00772E8A">
        <w:t>parāda piedziņa, proti, piedziņa šād</w:t>
      </w:r>
      <w:r w:rsidR="008D1157">
        <w:t>o</w:t>
      </w:r>
      <w:r w:rsidRPr="00772E8A">
        <w:t>s gadījumos tiek veikta civilprocesuālā kārtībā, nevis ar</w:t>
      </w:r>
      <w:r w:rsidR="00DE1DEC" w:rsidRPr="00160B52">
        <w:t xml:space="preserve"> </w:t>
      </w:r>
      <w:r w:rsidRPr="00772E8A">
        <w:t xml:space="preserve">administratīvā akta izpildes procesu. </w:t>
      </w:r>
    </w:p>
    <w:p w14:paraId="492D7B0E" w14:textId="77777777" w:rsidR="00DE1DEC" w:rsidRPr="00160B52" w:rsidRDefault="00DE1DEC" w:rsidP="00031DCA">
      <w:pPr>
        <w:spacing w:line="276" w:lineRule="auto"/>
        <w:ind w:firstLine="720"/>
        <w:jc w:val="both"/>
      </w:pPr>
    </w:p>
    <w:p w14:paraId="09C9C84E" w14:textId="73F7DADB" w:rsidR="00DE1DEC" w:rsidRPr="00160B52" w:rsidRDefault="00DE1DEC" w:rsidP="00031DCA">
      <w:pPr>
        <w:spacing w:line="276" w:lineRule="auto"/>
        <w:ind w:firstLine="720"/>
        <w:jc w:val="both"/>
      </w:pPr>
      <w:r w:rsidRPr="00160B52">
        <w:t>[3] Pieteicējs par tiesas lēmumu iesniedza blakus sūdzību, kas pamatota ar turpmāk izklāstītajiem argumentiem.</w:t>
      </w:r>
    </w:p>
    <w:p w14:paraId="60F5AB58" w14:textId="0693FCA6" w:rsidR="00891B61" w:rsidRPr="00160B52" w:rsidRDefault="00891B61" w:rsidP="00031DCA">
      <w:pPr>
        <w:spacing w:line="276" w:lineRule="auto"/>
        <w:ind w:firstLine="720"/>
        <w:jc w:val="both"/>
        <w:rPr>
          <w:color w:val="000000" w:themeColor="text1"/>
        </w:rPr>
      </w:pPr>
      <w:r w:rsidRPr="00160B52">
        <w:t>[3.1] Senāta departamentu priekšsēdētāju 2019.gada 28.novembra lēmuma atziņas konkrētajā gadījumā nav piemērojamas, jo atšķiras faktiskie apstākļi. Pieteicējs līdz šim nav maksājis Fonda</w:t>
      </w:r>
      <w:r w:rsidR="001F2100">
        <w:t xml:space="preserve"> administrācijai</w:t>
      </w:r>
      <w:r w:rsidRPr="00160B52">
        <w:t xml:space="preserve">, proti, no pieteicēja par labu </w:t>
      </w:r>
      <w:r w:rsidR="001F2100">
        <w:t>f</w:t>
      </w:r>
      <w:r w:rsidRPr="00160B52">
        <w:t>ondam nekas vēl nav piedzīts. Līdz ar to pieteicējs nevēršas pret Fond</w:t>
      </w:r>
      <w:r w:rsidR="00FF0297">
        <w:t>a</w:t>
      </w:r>
      <w:r w:rsidRPr="00160B52">
        <w:t xml:space="preserve"> </w:t>
      </w:r>
      <w:r w:rsidR="001F2100">
        <w:t xml:space="preserve">administrāciju </w:t>
      </w:r>
      <w:r w:rsidRPr="00160B52">
        <w:t xml:space="preserve">ar prasījumu, lai </w:t>
      </w:r>
      <w:r w:rsidR="001F2100">
        <w:t>tā</w:t>
      </w:r>
      <w:r w:rsidRPr="00160B52">
        <w:t xml:space="preserve"> pieteicējam kaut ko atmaksā</w:t>
      </w:r>
      <w:r w:rsidR="003C6472" w:rsidRPr="00160B52">
        <w:t>,</w:t>
      </w:r>
      <w:r w:rsidRPr="00160B52">
        <w:t xml:space="preserve"> un attiecīgi Fonda</w:t>
      </w:r>
      <w:r w:rsidR="001F2100">
        <w:t xml:space="preserve"> administrācijai</w:t>
      </w:r>
      <w:r w:rsidRPr="00160B52">
        <w:t xml:space="preserve"> saistībā ar pieteicēja prasījumu </w:t>
      </w:r>
      <w:r w:rsidRPr="00160B52">
        <w:rPr>
          <w:color w:val="000000" w:themeColor="text1"/>
        </w:rPr>
        <w:t xml:space="preserve">nenāktos šķirties no naudas līdzekļiem, ko varētu novirzīt citiem bērniem. </w:t>
      </w:r>
    </w:p>
    <w:p w14:paraId="41DE40A0" w14:textId="72C6A6B6" w:rsidR="003C6472" w:rsidRPr="00160B52" w:rsidRDefault="00891B61" w:rsidP="00031DCA">
      <w:pPr>
        <w:spacing w:line="276" w:lineRule="auto"/>
        <w:ind w:firstLine="720"/>
        <w:jc w:val="both"/>
        <w:rPr>
          <w:color w:val="000000" w:themeColor="text1"/>
        </w:rPr>
      </w:pPr>
      <w:r w:rsidRPr="00160B52">
        <w:rPr>
          <w:color w:val="000000" w:themeColor="text1"/>
        </w:rPr>
        <w:t>[3.2]</w:t>
      </w:r>
      <w:r w:rsidR="00F30A25" w:rsidRPr="00160B52">
        <w:rPr>
          <w:color w:val="000000" w:themeColor="text1"/>
        </w:rPr>
        <w:t xml:space="preserve"> Pieteicējam ir veselības problēmas, kas apgrūtina uztveri. Bērna māte to izmantoja, radot situāciju, ka pieteicējs tika reģistrēts kā bērna tēvs un Fond</w:t>
      </w:r>
      <w:r w:rsidR="001F2100">
        <w:rPr>
          <w:color w:val="000000" w:themeColor="text1"/>
        </w:rPr>
        <w:t>a administrācija</w:t>
      </w:r>
      <w:r w:rsidR="00F30A25" w:rsidRPr="00160B52">
        <w:rPr>
          <w:color w:val="000000" w:themeColor="text1"/>
        </w:rPr>
        <w:t xml:space="preserve"> uzsāka uzturlīdzekļu izmaksu it kā pieteicēja vietā, lai arī pieteicējs nav bērna tēvs un ilgu laiku arī nezināja par bērna eksistenci. </w:t>
      </w:r>
      <w:r w:rsidR="002106F7" w:rsidRPr="00160B52">
        <w:rPr>
          <w:color w:val="000000" w:themeColor="text1"/>
        </w:rPr>
        <w:t xml:space="preserve">Civillietas spriedumā ir atzīts, ka ieraksts bērna dzimšanas reģistrā par pieteicēju kā bērna tēvu tiek dzēsts no ieraksta izdarīšanas brīža. </w:t>
      </w:r>
      <w:r w:rsidR="00F30A25" w:rsidRPr="00160B52">
        <w:rPr>
          <w:color w:val="000000" w:themeColor="text1"/>
        </w:rPr>
        <w:t>Šādos apstākļos</w:t>
      </w:r>
      <w:r w:rsidR="007E2F58" w:rsidRPr="00160B52">
        <w:rPr>
          <w:color w:val="000000" w:themeColor="text1"/>
        </w:rPr>
        <w:t xml:space="preserve">, kad valsts apzinās, ka pieteicējs nav bērna tēvs, </w:t>
      </w:r>
      <w:r w:rsidR="00F30A25" w:rsidRPr="00160B52">
        <w:rPr>
          <w:color w:val="000000" w:themeColor="text1"/>
        </w:rPr>
        <w:t xml:space="preserve">nav taisnīgi, ka </w:t>
      </w:r>
      <w:r w:rsidR="002106F7" w:rsidRPr="00160B52">
        <w:rPr>
          <w:color w:val="000000" w:themeColor="text1"/>
        </w:rPr>
        <w:t xml:space="preserve">valsts pienākumu atmaksāt </w:t>
      </w:r>
      <w:r w:rsidR="001F2100">
        <w:rPr>
          <w:color w:val="000000" w:themeColor="text1"/>
        </w:rPr>
        <w:t>f</w:t>
      </w:r>
      <w:r w:rsidR="002106F7" w:rsidRPr="00160B52">
        <w:rPr>
          <w:color w:val="000000" w:themeColor="text1"/>
        </w:rPr>
        <w:t>ond</w:t>
      </w:r>
      <w:r w:rsidR="00061131">
        <w:rPr>
          <w:color w:val="000000" w:themeColor="text1"/>
        </w:rPr>
        <w:t>am</w:t>
      </w:r>
      <w:r w:rsidR="002106F7" w:rsidRPr="00160B52">
        <w:rPr>
          <w:color w:val="000000" w:themeColor="text1"/>
        </w:rPr>
        <w:t xml:space="preserve"> </w:t>
      </w:r>
      <w:r w:rsidR="00F30A25" w:rsidRPr="00160B52">
        <w:rPr>
          <w:color w:val="000000" w:themeColor="text1"/>
        </w:rPr>
        <w:t xml:space="preserve">bērna mātei izmaksātos uzturlīdzekļus </w:t>
      </w:r>
      <w:r w:rsidR="007E2F58" w:rsidRPr="00160B52">
        <w:rPr>
          <w:color w:val="000000" w:themeColor="text1"/>
        </w:rPr>
        <w:t xml:space="preserve">tomēr uzliek </w:t>
      </w:r>
      <w:r w:rsidR="002106F7" w:rsidRPr="00160B52">
        <w:rPr>
          <w:color w:val="000000" w:themeColor="text1"/>
        </w:rPr>
        <w:t xml:space="preserve">pieteicējam, </w:t>
      </w:r>
      <w:r w:rsidR="007E2F58" w:rsidRPr="00160B52">
        <w:rPr>
          <w:color w:val="000000" w:themeColor="text1"/>
        </w:rPr>
        <w:t xml:space="preserve">vien </w:t>
      </w:r>
      <w:r w:rsidR="002106F7" w:rsidRPr="00160B52">
        <w:rPr>
          <w:color w:val="000000" w:themeColor="text1"/>
        </w:rPr>
        <w:t>norādot, lai pieteicējs pēc tam tērē resursus un atgūst no viņa nepamatoti piedzītos līdzekļus, tiesājoties ar bērna māti. Valstij ir jālemj ne tikai bērna interesēs, bet arī personu ar invaliditāti interesēs.</w:t>
      </w:r>
      <w:r w:rsidR="007E2F58" w:rsidRPr="00160B52">
        <w:rPr>
          <w:color w:val="000000" w:themeColor="text1"/>
        </w:rPr>
        <w:t xml:space="preserve"> Nenoliedzot bērna labklājīb</w:t>
      </w:r>
      <w:r w:rsidR="001F2100">
        <w:rPr>
          <w:color w:val="000000" w:themeColor="text1"/>
        </w:rPr>
        <w:t>as intereses</w:t>
      </w:r>
      <w:r w:rsidR="007E2F58" w:rsidRPr="00160B52">
        <w:rPr>
          <w:color w:val="000000" w:themeColor="text1"/>
        </w:rPr>
        <w:t>, Fond</w:t>
      </w:r>
      <w:r w:rsidR="001F2100">
        <w:rPr>
          <w:color w:val="000000" w:themeColor="text1"/>
        </w:rPr>
        <w:t>a administrācija</w:t>
      </w:r>
      <w:r w:rsidR="007E2F58" w:rsidRPr="00160B52">
        <w:rPr>
          <w:color w:val="000000" w:themeColor="text1"/>
        </w:rPr>
        <w:t xml:space="preserve"> tomēr nevar ignorēt citu cilvēku labklājību un rīkoties pretēji citu cilvēku cilvēktiesībām. Šādā situācijā, lai arī tiesiskais regulējums tieši neparedz iespēju attiecībā pret pieteicēju dzēst parādu, tiesai jārod taisnīgs risinājums.</w:t>
      </w:r>
      <w:r w:rsidR="003C6472" w:rsidRPr="00160B52">
        <w:rPr>
          <w:color w:val="000000" w:themeColor="text1"/>
        </w:rPr>
        <w:t xml:space="preserve"> </w:t>
      </w:r>
    </w:p>
    <w:p w14:paraId="52277376" w14:textId="367484B6" w:rsidR="00891B61" w:rsidRPr="00160B52" w:rsidRDefault="003C6472" w:rsidP="00031DCA">
      <w:pPr>
        <w:spacing w:line="276" w:lineRule="auto"/>
        <w:ind w:firstLine="720"/>
        <w:jc w:val="both"/>
        <w:rPr>
          <w:color w:val="000000" w:themeColor="text1"/>
        </w:rPr>
      </w:pPr>
      <w:r w:rsidRPr="00160B52">
        <w:rPr>
          <w:color w:val="000000" w:themeColor="text1"/>
        </w:rPr>
        <w:t xml:space="preserve">[3.3] Fonda </w:t>
      </w:r>
      <w:r w:rsidR="001F2100">
        <w:rPr>
          <w:color w:val="000000" w:themeColor="text1"/>
        </w:rPr>
        <w:t xml:space="preserve">administrācijas </w:t>
      </w:r>
      <w:r w:rsidRPr="00160B52">
        <w:rPr>
          <w:color w:val="000000" w:themeColor="text1"/>
        </w:rPr>
        <w:t>darbība – fonda līdzekļu izmaksa kāda vecāka vietā un vēlāka piedziņa no parādnieka – tiek veikta publisko tiesību jomā, līdz ar to publisko tiesību jomā jārisina arī jautājums par pieteicēja atbrīvošanu no strīdus parāda.</w:t>
      </w:r>
    </w:p>
    <w:p w14:paraId="77A32185" w14:textId="77777777" w:rsidR="00B41CE2" w:rsidRPr="00160B52" w:rsidRDefault="00B41CE2" w:rsidP="00031DCA">
      <w:pPr>
        <w:spacing w:line="276" w:lineRule="auto"/>
        <w:ind w:firstLine="720"/>
        <w:jc w:val="both"/>
      </w:pPr>
    </w:p>
    <w:p w14:paraId="6D3392AC" w14:textId="77777777" w:rsidR="00295AAE" w:rsidRPr="00160B52" w:rsidRDefault="00295AAE" w:rsidP="00031DCA">
      <w:pPr>
        <w:spacing w:line="276" w:lineRule="auto"/>
        <w:jc w:val="center"/>
        <w:rPr>
          <w:b/>
        </w:rPr>
      </w:pPr>
      <w:r w:rsidRPr="00160B52">
        <w:rPr>
          <w:b/>
        </w:rPr>
        <w:t>Motīvu daļa</w:t>
      </w:r>
    </w:p>
    <w:p w14:paraId="6E8EC332" w14:textId="77777777" w:rsidR="00295AAE" w:rsidRPr="00160B52" w:rsidRDefault="00295AAE" w:rsidP="00031DCA">
      <w:pPr>
        <w:spacing w:line="276" w:lineRule="auto"/>
        <w:ind w:firstLine="567"/>
        <w:jc w:val="both"/>
      </w:pPr>
    </w:p>
    <w:p w14:paraId="621FD714" w14:textId="2FDA9252" w:rsidR="00D60C27" w:rsidRPr="00160B52" w:rsidRDefault="00295AAE" w:rsidP="00031DCA">
      <w:pPr>
        <w:spacing w:line="276" w:lineRule="auto"/>
        <w:ind w:firstLine="720"/>
        <w:jc w:val="both"/>
      </w:pPr>
      <w:r w:rsidRPr="00160B52">
        <w:t>[</w:t>
      </w:r>
      <w:r w:rsidR="008D5C04">
        <w:t>4</w:t>
      </w:r>
      <w:r w:rsidRPr="00160B52">
        <w:t>]</w:t>
      </w:r>
      <w:r w:rsidR="00D60C27" w:rsidRPr="00160B52">
        <w:t xml:space="preserve"> Pieteicējs ir vērsies tiesā, jo uzskata, ka apstākļos, kad valstij (Fonda</w:t>
      </w:r>
      <w:r w:rsidR="007C0F5E">
        <w:t xml:space="preserve"> administrācijai</w:t>
      </w:r>
      <w:r w:rsidR="00D60C27" w:rsidRPr="00160B52">
        <w:t xml:space="preserve">) ir tapis zināms, ka pieteicējs nav bērna tēvs, nav taisnīgi, ka valsts turpina pret pieteicēju attiekties kā pret parādnieku un piedzen bērna uzturam izmaksātos līdzekļus no pieteicēja. Tādējādi pieteicēja prasījuma mērķis ir panākt, lai valsts šādos apstākļos vairs neuzlūko pieteicēju kā parādnieku un attiecīgi nepiedzen no pieteicēja bērna mātei izmaksātos uzturlīdzekļus. </w:t>
      </w:r>
    </w:p>
    <w:p w14:paraId="58B9B5FC" w14:textId="16054F02" w:rsidR="00D60C27" w:rsidRPr="00160B52" w:rsidRDefault="00295AAE" w:rsidP="00031DCA">
      <w:pPr>
        <w:spacing w:line="276" w:lineRule="auto"/>
        <w:ind w:firstLine="720"/>
        <w:jc w:val="both"/>
      </w:pPr>
      <w:r w:rsidRPr="00160B52">
        <w:t xml:space="preserve">Senātam blakus sūdzības tiesvedības ietvaros jāizšķir, vai </w:t>
      </w:r>
      <w:r w:rsidR="00D60C27" w:rsidRPr="00160B52">
        <w:t>šād</w:t>
      </w:r>
      <w:r w:rsidR="008D1157">
        <w:t>s</w:t>
      </w:r>
      <w:r w:rsidR="004963C8" w:rsidRPr="00160B52">
        <w:t xml:space="preserve"> prasījum</w:t>
      </w:r>
      <w:r w:rsidR="008D1157">
        <w:t>s</w:t>
      </w:r>
      <w:r w:rsidR="004963C8" w:rsidRPr="00160B52">
        <w:t xml:space="preserve"> ir </w:t>
      </w:r>
      <w:r w:rsidR="00D60C27" w:rsidRPr="00160B52">
        <w:t>pakļaut</w:t>
      </w:r>
      <w:r w:rsidR="008D1157">
        <w:t>s</w:t>
      </w:r>
      <w:r w:rsidR="00D60C27" w:rsidRPr="00160B52">
        <w:t xml:space="preserve"> izskatīšanai administratīvajā tiesā.</w:t>
      </w:r>
    </w:p>
    <w:p w14:paraId="5EFA7403" w14:textId="77777777" w:rsidR="00D60C27" w:rsidRPr="00160B52" w:rsidRDefault="00D60C27" w:rsidP="00031DCA">
      <w:pPr>
        <w:spacing w:line="276" w:lineRule="auto"/>
        <w:ind w:firstLine="720"/>
        <w:jc w:val="both"/>
      </w:pPr>
    </w:p>
    <w:p w14:paraId="21A9A636" w14:textId="4481DCC1" w:rsidR="00BD6CA1" w:rsidRDefault="00D60C27" w:rsidP="00031DCA">
      <w:pPr>
        <w:shd w:val="clear" w:color="auto" w:fill="FFFFFF"/>
        <w:spacing w:line="276" w:lineRule="auto"/>
        <w:ind w:firstLine="720"/>
        <w:jc w:val="both"/>
      </w:pPr>
      <w:r w:rsidRPr="00160B52">
        <w:t>[</w:t>
      </w:r>
      <w:r w:rsidR="008D5C04">
        <w:t>5</w:t>
      </w:r>
      <w:r w:rsidRPr="00160B52">
        <w:t xml:space="preserve">] </w:t>
      </w:r>
      <w:r w:rsidR="00BD6CA1">
        <w:t xml:space="preserve">Senāta judikatūrā attiecībā uz </w:t>
      </w:r>
      <w:r w:rsidR="007C0F5E">
        <w:t>Uzturlīdzekļu garantiju f</w:t>
      </w:r>
      <w:r w:rsidR="00BD6CA1">
        <w:t>ond</w:t>
      </w:r>
      <w:r w:rsidR="007C0F5E">
        <w:t>u</w:t>
      </w:r>
      <w:r w:rsidR="00BD6CA1">
        <w:t xml:space="preserve"> jau atzīts: </w:t>
      </w:r>
      <w:r w:rsidR="00D64881">
        <w:t>likumdevējs nolūkā nodrošināt no Latvijas Republikas Satversmes 109.panta un 110.panta izrietošo bērna tiesību aizsardzību, tostarp bērna tiesību uz sociālo nodrošinājumu aizsardzību</w:t>
      </w:r>
      <w:r w:rsidR="004D299F">
        <w:t>,</w:t>
      </w:r>
      <w:r w:rsidR="00D64881">
        <w:t xml:space="preserve"> ir izveidojis </w:t>
      </w:r>
      <w:r w:rsidR="007C0F5E">
        <w:t>šo</w:t>
      </w:r>
      <w:r w:rsidR="00D64881">
        <w:t xml:space="preserve"> fondu, kura mērķis ir uz laiku sniegt bērnam materiālu atbalstu uzturlīdzekļu izmaksas veidā, ja šos līdzekļus bērnam nenodrošina vecāks. Tādējādi likumdevējs </w:t>
      </w:r>
      <w:r w:rsidR="00BF59AD">
        <w:t>ar mērķi</w:t>
      </w:r>
      <w:r w:rsidR="00D64881">
        <w:t xml:space="preserve"> nodrošināt bērna sociālo aizsardzību ir atzinis par </w:t>
      </w:r>
      <w:r w:rsidR="00D64881">
        <w:lastRenderedPageBreak/>
        <w:t>nepieciešamu valstij noteiktos gadījumos iejaukties civiltiesiska rakstura attiecībās (ģimenes attiecībās), kas pastāv starp bērnu un vecāku, pašai valstij no tās budžeta pamatlīdzekļiem izmaksājot bērnam uzturlīdzekļus</w:t>
      </w:r>
      <w:r w:rsidR="00BD6CA1" w:rsidRPr="0089150C">
        <w:t xml:space="preserve"> (</w:t>
      </w:r>
      <w:r w:rsidR="00BD6CA1" w:rsidRPr="0089150C">
        <w:rPr>
          <w:i/>
          <w:iCs/>
        </w:rPr>
        <w:t>Senāta 2023.gada 29.jūnija spriedum</w:t>
      </w:r>
      <w:r w:rsidR="00BD6CA1">
        <w:rPr>
          <w:i/>
          <w:iCs/>
        </w:rPr>
        <w:t>a</w:t>
      </w:r>
      <w:r w:rsidR="00BD6CA1" w:rsidRPr="0089150C">
        <w:rPr>
          <w:i/>
          <w:iCs/>
        </w:rPr>
        <w:t xml:space="preserve"> </w:t>
      </w:r>
      <w:r w:rsidR="00D64881">
        <w:rPr>
          <w:i/>
          <w:iCs/>
        </w:rPr>
        <w:t xml:space="preserve">lietā </w:t>
      </w:r>
      <w:r w:rsidR="00BD6CA1" w:rsidRPr="0089150C">
        <w:rPr>
          <w:i/>
          <w:iCs/>
        </w:rPr>
        <w:t xml:space="preserve">Nr. SKA-602/2023, </w:t>
      </w:r>
      <w:hyperlink r:id="rId9" w:history="1">
        <w:r w:rsidR="00BD6CA1" w:rsidRPr="00034D23">
          <w:rPr>
            <w:rStyle w:val="Hyperlink"/>
            <w:i/>
            <w:iCs/>
          </w:rPr>
          <w:t>ECLI:LV:AT:2023:0629.A420164621.17.S</w:t>
        </w:r>
      </w:hyperlink>
      <w:r w:rsidR="00BD6CA1" w:rsidRPr="0089150C">
        <w:rPr>
          <w:i/>
          <w:iCs/>
        </w:rPr>
        <w:t xml:space="preserve">, </w:t>
      </w:r>
      <w:r w:rsidR="00BF59AD">
        <w:rPr>
          <w:i/>
          <w:iCs/>
        </w:rPr>
        <w:t xml:space="preserve">8.punkts </w:t>
      </w:r>
      <w:r w:rsidR="00BF59AD" w:rsidRPr="00795720">
        <w:t>un tajā norādītā judikatūra</w:t>
      </w:r>
      <w:r w:rsidR="00BD6CA1" w:rsidRPr="0089150C">
        <w:t xml:space="preserve">). </w:t>
      </w:r>
    </w:p>
    <w:p w14:paraId="62FD99F9" w14:textId="2C0F5801" w:rsidR="00BD6CA1" w:rsidRDefault="004D299F" w:rsidP="00031DCA">
      <w:pPr>
        <w:shd w:val="clear" w:color="auto" w:fill="FFFFFF"/>
        <w:spacing w:line="276" w:lineRule="auto"/>
        <w:ind w:firstLine="720"/>
        <w:jc w:val="both"/>
      </w:pPr>
      <w:r>
        <w:t>Ievērojot minēto mērķi, likumdevējs ir Fonda</w:t>
      </w:r>
      <w:r w:rsidR="007C0F5E">
        <w:t xml:space="preserve"> administrācijai</w:t>
      </w:r>
      <w:r>
        <w:t xml:space="preserve"> piešķīris kompetenci lemt par uzturlīdzekļu izmaksu un gādāt par izmaksāto uzturlīdzekļu piedziņu no parādniekiem. Šī funkcija ir publiski tiesiska, jo ar to valsts pilda savu pienākumu rūpēties par bērnu sociāl</w:t>
      </w:r>
      <w:r w:rsidR="00F62F67">
        <w:t>o</w:t>
      </w:r>
      <w:r>
        <w:t xml:space="preserve"> aizsardzību un</w:t>
      </w:r>
      <w:r w:rsidR="00F62F67">
        <w:t>, izmantojot publisko varu, piešķir privātpersonām konkrētas tiesības un noteic konkrētus pienākumus.</w:t>
      </w:r>
    </w:p>
    <w:p w14:paraId="63A386D7" w14:textId="77777777" w:rsidR="00F62F67" w:rsidRDefault="00F62F67" w:rsidP="00031DCA">
      <w:pPr>
        <w:shd w:val="clear" w:color="auto" w:fill="FFFFFF"/>
        <w:spacing w:line="276" w:lineRule="auto"/>
        <w:ind w:firstLine="720"/>
        <w:jc w:val="both"/>
      </w:pPr>
    </w:p>
    <w:p w14:paraId="11838CEF" w14:textId="48E43DD4" w:rsidR="00295AAE" w:rsidRDefault="00F62F67" w:rsidP="00031DCA">
      <w:pPr>
        <w:spacing w:line="276" w:lineRule="auto"/>
        <w:ind w:firstLine="720"/>
        <w:jc w:val="both"/>
      </w:pPr>
      <w:r>
        <w:t>[</w:t>
      </w:r>
      <w:r w:rsidR="008D5C04">
        <w:t>6</w:t>
      </w:r>
      <w:r>
        <w:t xml:space="preserve">] </w:t>
      </w:r>
      <w:r w:rsidR="00955FA7" w:rsidRPr="00160B52">
        <w:t>Atbilstoši Uzturlīdzekļu garantiju fonda likuma (turpmāk – Fonda likums)</w:t>
      </w:r>
      <w:r w:rsidR="00DE17B1" w:rsidRPr="00160B52">
        <w:t xml:space="preserve"> 1.panta 2.punktam parādnieks ir vecāks, kuram ar </w:t>
      </w:r>
      <w:r w:rsidR="008D1157">
        <w:t>Fonda</w:t>
      </w:r>
      <w:r w:rsidR="00DE17B1" w:rsidRPr="00160B52">
        <w:t xml:space="preserve"> </w:t>
      </w:r>
      <w:r w:rsidR="007C0F5E">
        <w:t xml:space="preserve">administrācijas </w:t>
      </w:r>
      <w:r w:rsidR="00DE17B1" w:rsidRPr="00160B52">
        <w:t xml:space="preserve">lēmumu, tiesas nolēmumu vai notariālo aktu, kas ietver vienošanos par uzturlīdzekļu maksājumiem un izpildāms tiesas spriedumu izpildes kārtībā, noteikts pienākums maksāt uzturlīdzekļus bērna uzturam un kura vietā uzturlīdzekļi tiek izmaksāti no Uzturlīdzekļu garantiju fonda. </w:t>
      </w:r>
    </w:p>
    <w:p w14:paraId="185E76A6" w14:textId="0A47FA73" w:rsidR="00953232" w:rsidRDefault="0055015E" w:rsidP="00031DCA">
      <w:pPr>
        <w:spacing w:line="276" w:lineRule="auto"/>
        <w:ind w:firstLine="720"/>
        <w:jc w:val="both"/>
      </w:pPr>
      <w:r>
        <w:t>Vienlaikus Fonda likuma 5.panta otrās daļas 1.punkts noteic, ka Fonda</w:t>
      </w:r>
      <w:r w:rsidR="00953232">
        <w:t xml:space="preserve"> administrācijai</w:t>
      </w:r>
      <w:r>
        <w:t xml:space="preserve"> ir pienākums </w:t>
      </w:r>
      <w:r w:rsidRPr="0055015E">
        <w:t xml:space="preserve">piedzīt no parādnieka uzturlīdzekļus, kurus parādniekam saskaņā ar Fonda </w:t>
      </w:r>
      <w:r w:rsidR="00953232">
        <w:t xml:space="preserve">administrācijas </w:t>
      </w:r>
      <w:r w:rsidRPr="0055015E">
        <w:t xml:space="preserve">lēmumu ir </w:t>
      </w:r>
      <w:r>
        <w:t>jāmaksā</w:t>
      </w:r>
      <w:r w:rsidRPr="0055015E">
        <w:t xml:space="preserve"> bērna uzturam un kuri viņa vietā </w:t>
      </w:r>
      <w:r>
        <w:t xml:space="preserve">tiek </w:t>
      </w:r>
      <w:r w:rsidRPr="0055015E">
        <w:t xml:space="preserve">izmaksāti no </w:t>
      </w:r>
      <w:r w:rsidR="00953232">
        <w:t>fonda</w:t>
      </w:r>
      <w:r>
        <w:t xml:space="preserve">. </w:t>
      </w:r>
      <w:r w:rsidR="00777E49">
        <w:t xml:space="preserve">Savukārt 11.panta </w:t>
      </w:r>
      <w:r w:rsidR="00953232">
        <w:t xml:space="preserve">septītās </w:t>
      </w:r>
      <w:r w:rsidR="0016398B">
        <w:t xml:space="preserve">daļas </w:t>
      </w:r>
      <w:r w:rsidR="00953232">
        <w:t xml:space="preserve">2.punkts un </w:t>
      </w:r>
      <w:r w:rsidR="00777E49">
        <w:t xml:space="preserve">astotā daļa paredz, ka </w:t>
      </w:r>
      <w:r w:rsidR="00953232">
        <w:t xml:space="preserve">ar Fonda administrācijas lēmumu parādnieks tiek brīdināts par administratīvā akta piespiedu izpildi un </w:t>
      </w:r>
      <w:r w:rsidR="00777E49">
        <w:t xml:space="preserve">piedziņas īstenošanai </w:t>
      </w:r>
      <w:r w:rsidR="00777E49" w:rsidRPr="00777E49">
        <w:t>Fond</w:t>
      </w:r>
      <w:r w:rsidR="00953232">
        <w:t>a administrācija</w:t>
      </w:r>
      <w:r w:rsidR="00777E49" w:rsidRPr="00777E49">
        <w:t xml:space="preserve"> </w:t>
      </w:r>
      <w:r w:rsidR="00777E49">
        <w:t xml:space="preserve">Administratīvā procesa likumā </w:t>
      </w:r>
      <w:r w:rsidR="00777E49" w:rsidRPr="00777E49">
        <w:t>noteiktajā kārtībā sagatavo izpildrīkojumu un iesniedz to izpildei zvērinātam tiesu izpildītājam</w:t>
      </w:r>
      <w:r w:rsidR="00286F9C">
        <w:t xml:space="preserve"> (minētais norāda uz to, ka kļūdains ir tiesas lēmumā apgalvotais, ka </w:t>
      </w:r>
      <w:r w:rsidR="00286F9C" w:rsidRPr="00772E8A">
        <w:t>parāda piedziņa</w:t>
      </w:r>
      <w:r w:rsidR="00286F9C">
        <w:t xml:space="preserve"> </w:t>
      </w:r>
      <w:r w:rsidR="00953232">
        <w:t>nenotiek administratīvā akta izpildes ietvaros</w:t>
      </w:r>
      <w:r w:rsidR="00286F9C">
        <w:t>)</w:t>
      </w:r>
      <w:r w:rsidR="00777E49">
        <w:t xml:space="preserve">. </w:t>
      </w:r>
      <w:r>
        <w:t>Papildus tam Fonda</w:t>
      </w:r>
      <w:r w:rsidR="00953232">
        <w:t xml:space="preserve"> administrācijai</w:t>
      </w:r>
      <w:r>
        <w:t xml:space="preserve"> ir piešķirta kompetence </w:t>
      </w:r>
      <w:r w:rsidR="00EA79EB">
        <w:t xml:space="preserve">noteikt parādniekam dažāda veida tiesību ierobežojumus, piemēram, lemt par </w:t>
      </w:r>
      <w:r w:rsidR="00EA79EB" w:rsidRPr="00EA79EB">
        <w:t>transportlīdzekļu un kuģošanas līdzekļu vadīšanas tiesību izmantošanas aizliegumu</w:t>
      </w:r>
      <w:r w:rsidR="00EA79EB">
        <w:t xml:space="preserve"> (7.pants), šaujamieroča atļaujas darbības apturēšanu (7.</w:t>
      </w:r>
      <w:r w:rsidR="00EA79EB" w:rsidRPr="00EA79EB">
        <w:rPr>
          <w:vertAlign w:val="superscript"/>
        </w:rPr>
        <w:t>1</w:t>
      </w:r>
      <w:r w:rsidR="00EA79EB">
        <w:t>pants)</w:t>
      </w:r>
      <w:r w:rsidR="004975CB">
        <w:t>, aizliegumu cedēt prasījumus (7.</w:t>
      </w:r>
      <w:r w:rsidR="004975CB" w:rsidRPr="004975CB">
        <w:rPr>
          <w:vertAlign w:val="superscript"/>
        </w:rPr>
        <w:t>3</w:t>
      </w:r>
      <w:r w:rsidR="004975CB">
        <w:t>pants).</w:t>
      </w:r>
      <w:r w:rsidR="00546C42">
        <w:t xml:space="preserve"> Turklāt atbilstoši likuma 6.pantam informācija par parādnieku, proti, to, ka konkrētai personai ir parāds </w:t>
      </w:r>
      <w:r w:rsidR="00953232">
        <w:t>Uzturlīdzekļu garantiju f</w:t>
      </w:r>
      <w:r w:rsidR="00546C42">
        <w:t xml:space="preserve">ondam, ir publiski pieejama. </w:t>
      </w:r>
    </w:p>
    <w:p w14:paraId="04789C8E" w14:textId="6EC7E459" w:rsidR="005E128D" w:rsidRDefault="00546C42" w:rsidP="00031DCA">
      <w:pPr>
        <w:spacing w:line="276" w:lineRule="auto"/>
        <w:ind w:firstLine="720"/>
        <w:jc w:val="both"/>
      </w:pPr>
      <w:r>
        <w:t>No minētā izriet</w:t>
      </w:r>
      <w:r w:rsidR="00953232">
        <w:t>,</w:t>
      </w:r>
      <w:r>
        <w:t xml:space="preserve"> ka parādnieka statuss </w:t>
      </w:r>
      <w:r w:rsidR="00F62F67">
        <w:t xml:space="preserve">personu </w:t>
      </w:r>
      <w:r>
        <w:t xml:space="preserve">ietekmē dažādos veidos, proti, tas rada </w:t>
      </w:r>
      <w:r w:rsidR="00953232">
        <w:t xml:space="preserve">šai personai </w:t>
      </w:r>
      <w:r>
        <w:t xml:space="preserve">pienākumu atmaksāt </w:t>
      </w:r>
      <w:r w:rsidR="00953232">
        <w:t>f</w:t>
      </w:r>
      <w:r>
        <w:t xml:space="preserve">ondam bērna uzturēšanai izmaksātos līdzekļus </w:t>
      </w:r>
      <w:r w:rsidR="00953232">
        <w:t>(</w:t>
      </w:r>
      <w:r>
        <w:t>un Fonda administrācijai pienākumu piedzīt no parādnieka šos maksājumus</w:t>
      </w:r>
      <w:r w:rsidR="00953232">
        <w:t>)</w:t>
      </w:r>
      <w:r>
        <w:t xml:space="preserve">, </w:t>
      </w:r>
      <w:r w:rsidR="00953232">
        <w:t>kā</w:t>
      </w:r>
      <w:r>
        <w:t xml:space="preserve"> arī informācija par konkrētas personas parādnieka statusu ir publiski pieejama un Fond</w:t>
      </w:r>
      <w:r w:rsidR="00953232">
        <w:t>a administrācija</w:t>
      </w:r>
      <w:r>
        <w:t xml:space="preserve"> var šai personai piemērot </w:t>
      </w:r>
      <w:r w:rsidR="005E128D">
        <w:t>tiesību ierobežojumus</w:t>
      </w:r>
      <w:r>
        <w:t>.</w:t>
      </w:r>
      <w:r w:rsidR="00953232">
        <w:t xml:space="preserve"> Ievērojot minēto, kā arī jau iepriekš norādīto, ka Fonda administrācija, pildot Fonda likumā noteiktos pienākumus, darbojas publisko tiesību jomā, secināms, ka f</w:t>
      </w:r>
      <w:r w:rsidR="005E128D">
        <w:t>onda parādnieka statuss</w:t>
      </w:r>
      <w:r w:rsidR="00F62F67">
        <w:t xml:space="preserve"> starp Fond</w:t>
      </w:r>
      <w:r w:rsidR="00953232">
        <w:t>a administrāciju</w:t>
      </w:r>
      <w:r w:rsidR="00F62F67">
        <w:t xml:space="preserve"> un konkrēto personu rada publiski tiesiskas attiecības.</w:t>
      </w:r>
    </w:p>
    <w:p w14:paraId="4558AA6F" w14:textId="77777777" w:rsidR="00546C42" w:rsidRPr="00160B52" w:rsidRDefault="00546C42" w:rsidP="00031DCA">
      <w:pPr>
        <w:spacing w:line="276" w:lineRule="auto"/>
        <w:ind w:firstLine="720"/>
        <w:jc w:val="both"/>
      </w:pPr>
    </w:p>
    <w:p w14:paraId="31D51FBD" w14:textId="22E04FC1" w:rsidR="00C94E6E" w:rsidRDefault="0055015E" w:rsidP="00031DCA">
      <w:pPr>
        <w:spacing w:line="276" w:lineRule="auto"/>
        <w:ind w:firstLine="720"/>
        <w:jc w:val="both"/>
      </w:pPr>
      <w:r>
        <w:t>[</w:t>
      </w:r>
      <w:r w:rsidR="008D5C04">
        <w:t>7</w:t>
      </w:r>
      <w:r>
        <w:t xml:space="preserve">] </w:t>
      </w:r>
      <w:r w:rsidR="00C94E6E">
        <w:t>Atbilstoši Fonda likumam bērna uzturlīdzekļi no Uzturlīdzekļu garantiju fonda tiek izmaksāti tad</w:t>
      </w:r>
      <w:r w:rsidR="00C94E6E" w:rsidRPr="00160B52">
        <w:t>, ja: 1)</w:t>
      </w:r>
      <w:r w:rsidR="00C94E6E">
        <w:t> </w:t>
      </w:r>
      <w:r w:rsidR="00C94E6E" w:rsidRPr="00160B52">
        <w:t xml:space="preserve">uzturlīdzekļu maksāšanas pienākums ir atzīts ar tiesas spriedumu </w:t>
      </w:r>
      <w:r w:rsidR="00953232">
        <w:t>v</w:t>
      </w:r>
      <w:r w:rsidR="00C94E6E" w:rsidRPr="00160B52">
        <w:t>ai izriet no vecāku noslēgtas vienošanās par uzturlīdzekļiem, bet netiek pildīts; 2)</w:t>
      </w:r>
      <w:r w:rsidR="00C94E6E">
        <w:t> </w:t>
      </w:r>
      <w:r w:rsidR="00C94E6E" w:rsidRPr="00160B52">
        <w:t xml:space="preserve">uzturlīdzekļu maksāšanas pienākums tiek noteikts ar Fonda </w:t>
      </w:r>
      <w:r w:rsidR="00953232">
        <w:t xml:space="preserve">administrācijas </w:t>
      </w:r>
      <w:r w:rsidR="00C94E6E" w:rsidRPr="00160B52">
        <w:t>lēmumu</w:t>
      </w:r>
      <w:r w:rsidR="00C94E6E">
        <w:t xml:space="preserve"> (likuma </w:t>
      </w:r>
      <w:r w:rsidR="00C94E6E" w:rsidRPr="00160B52">
        <w:t>3.panta pirmā daļa</w:t>
      </w:r>
      <w:r w:rsidR="00C94E6E">
        <w:t>, 11. un 12.pants).</w:t>
      </w:r>
    </w:p>
    <w:p w14:paraId="732F87F9" w14:textId="1E68E34C" w:rsidR="00160B52" w:rsidRDefault="00D22DAA" w:rsidP="00031DCA">
      <w:pPr>
        <w:spacing w:line="276" w:lineRule="auto"/>
        <w:ind w:firstLine="720"/>
        <w:jc w:val="both"/>
      </w:pPr>
      <w:r w:rsidRPr="00160B52">
        <w:lastRenderedPageBreak/>
        <w:t>Izskatāmajā gadījumā pieteicēja</w:t>
      </w:r>
      <w:r w:rsidR="00953232">
        <w:t>m</w:t>
      </w:r>
      <w:r w:rsidRPr="00160B52">
        <w:t xml:space="preserve"> uzturlīdzekļu maksāšanas pienākums tika noteikts ar Fonda </w:t>
      </w:r>
      <w:r w:rsidR="00953232">
        <w:t xml:space="preserve">administrācijas </w:t>
      </w:r>
      <w:r w:rsidRPr="00160B52">
        <w:t>2017.gada lēmumu</w:t>
      </w:r>
      <w:r w:rsidR="00160B52" w:rsidRPr="00160B52">
        <w:t xml:space="preserve">, proti, </w:t>
      </w:r>
      <w:r w:rsidRPr="00160B52">
        <w:t>atbilstoši Fonda likuma 11.pantam</w:t>
      </w:r>
      <w:r w:rsidR="00160B52" w:rsidRPr="00160B52">
        <w:t xml:space="preserve"> (Uzturlīdzekļu saņemšana administratīvā procesa ietvaros)</w:t>
      </w:r>
      <w:r w:rsidRPr="00160B52">
        <w:t>.</w:t>
      </w:r>
      <w:r w:rsidR="0055015E">
        <w:t xml:space="preserve"> </w:t>
      </w:r>
      <w:r w:rsidR="00160B52" w:rsidRPr="00160B52">
        <w:t xml:space="preserve">Saskaņā ar šā panta normām, ja vecākam nav ar tiesas nolēmumu par uzturlīdzekļu piedziņu vai vienošanos par uzturlīdzekļiem noteikts pienākums maksāt uzturlīdzekļus un vecāks nenodrošina bērnam uzturlīdzekļus vismaz </w:t>
      </w:r>
      <w:r w:rsidR="00160B52">
        <w:t>likumā noteiktajā apmērā</w:t>
      </w:r>
      <w:r w:rsidR="00160B52" w:rsidRPr="00160B52">
        <w:t xml:space="preserve">, iesniedzējam ir tiesības iesniegt Fonda administrācijai iesniegumu par uzturlīdzekļu izmaksu no </w:t>
      </w:r>
      <w:r w:rsidR="00953232">
        <w:t>f</w:t>
      </w:r>
      <w:r w:rsidR="00160B52" w:rsidRPr="00160B52">
        <w:t>onda</w:t>
      </w:r>
      <w:r w:rsidR="00160B52">
        <w:t xml:space="preserve"> (panta pirmā daļa)</w:t>
      </w:r>
      <w:r w:rsidR="00160B52" w:rsidRPr="00160B52">
        <w:t>.</w:t>
      </w:r>
      <w:r w:rsidR="00160B52">
        <w:t xml:space="preserve"> Fonda administrācija šāda iesnieguma izskatīšanai uzklausa </w:t>
      </w:r>
      <w:r w:rsidR="00160B52" w:rsidRPr="00160B52">
        <w:t>vecāk</w:t>
      </w:r>
      <w:r w:rsidR="00160B52">
        <w:t>u</w:t>
      </w:r>
      <w:r w:rsidR="00160B52" w:rsidRPr="00160B52">
        <w:t xml:space="preserve">, no kura iesniedzējs vēlas saņemt uzturlīdzekļus, </w:t>
      </w:r>
      <w:r w:rsidR="00160B52">
        <w:t>un izvērtē šā vecāka sniegto paskaidrojumu un iesniegtos pierādījumus (panta otrā un trešā daļa).</w:t>
      </w:r>
      <w:r w:rsidR="00B605C7">
        <w:t xml:space="preserve"> </w:t>
      </w:r>
      <w:r w:rsidR="00160B52" w:rsidRPr="00160B52">
        <w:t xml:space="preserve">Fonda administrācija, pieņemot lēmumu par uzturlīdzekļu izmaksu no </w:t>
      </w:r>
      <w:r w:rsidR="00953232">
        <w:t>f</w:t>
      </w:r>
      <w:r w:rsidR="00160B52" w:rsidRPr="00160B52">
        <w:t>onda, vienlaikus:</w:t>
      </w:r>
      <w:r w:rsidR="00B605C7">
        <w:t xml:space="preserve"> </w:t>
      </w:r>
      <w:r w:rsidR="00160B52" w:rsidRPr="00160B52">
        <w:t>1)</w:t>
      </w:r>
      <w:r w:rsidR="00953232">
        <w:t> </w:t>
      </w:r>
      <w:r w:rsidR="00160B52" w:rsidRPr="00160B52">
        <w:t xml:space="preserve">uzliek pienākumu parādniekam veikt uzturlīdzekļu un likumisko procentu maksājumus </w:t>
      </w:r>
      <w:r w:rsidR="00953232">
        <w:t>f</w:t>
      </w:r>
      <w:r w:rsidR="00160B52" w:rsidRPr="00160B52">
        <w:t>ondā;</w:t>
      </w:r>
      <w:r w:rsidR="00B605C7">
        <w:t xml:space="preserve"> </w:t>
      </w:r>
      <w:r w:rsidR="00160B52" w:rsidRPr="00160B52">
        <w:t>2)</w:t>
      </w:r>
      <w:r w:rsidR="0016398B">
        <w:t> </w:t>
      </w:r>
      <w:r w:rsidR="00160B52" w:rsidRPr="00160B52">
        <w:t>brīdina parādnieku par administratīvā akta piespiedu izpildi;</w:t>
      </w:r>
      <w:r w:rsidR="00B605C7">
        <w:t xml:space="preserve"> </w:t>
      </w:r>
      <w:r w:rsidR="00160B52" w:rsidRPr="00160B52">
        <w:t>3)</w:t>
      </w:r>
      <w:r w:rsidR="00953232">
        <w:t> </w:t>
      </w:r>
      <w:r w:rsidR="00160B52" w:rsidRPr="00160B52">
        <w:t>informē parādnieku par iespēju noslēgt ar Fonda administrāciju vienošanos par kārtību, kādā viņš veic uzturlīdzekļu un par tiem aprēķināto likumisko procentu maksājumus Fonda administrācijai</w:t>
      </w:r>
      <w:r w:rsidR="00B605C7">
        <w:t xml:space="preserve"> (panta septītā daļa)</w:t>
      </w:r>
      <w:r w:rsidR="00160B52" w:rsidRPr="00160B52">
        <w:t>.</w:t>
      </w:r>
    </w:p>
    <w:p w14:paraId="40A0D25C" w14:textId="77777777" w:rsidR="0016398B" w:rsidRDefault="000A1C6A" w:rsidP="00031DCA">
      <w:pPr>
        <w:spacing w:line="276" w:lineRule="auto"/>
        <w:ind w:firstLine="720"/>
        <w:jc w:val="both"/>
      </w:pPr>
      <w:r>
        <w:t xml:space="preserve">Tādējādi </w:t>
      </w:r>
      <w:r w:rsidR="00B605C7">
        <w:t xml:space="preserve">ar </w:t>
      </w:r>
      <w:r w:rsidR="0055015E">
        <w:t xml:space="preserve">Fonda likuma 11.panta kārtībā pieņemtu lēmumu </w:t>
      </w:r>
      <w:r w:rsidR="007D343B">
        <w:t xml:space="preserve">ne tikai tiek nolemts izmaksāt uzturlīdzekļus bērna uzturam, bet arī konkrētam vecākam tiek </w:t>
      </w:r>
      <w:r w:rsidR="0016398B">
        <w:t xml:space="preserve">noteikts </w:t>
      </w:r>
      <w:r w:rsidR="007D343B">
        <w:t xml:space="preserve"> parādnieka statuss un attiecīgi </w:t>
      </w:r>
      <w:r w:rsidR="0016398B">
        <w:t xml:space="preserve">arī </w:t>
      </w:r>
      <w:r w:rsidR="007D343B">
        <w:t xml:space="preserve">pienākums atmaksāt </w:t>
      </w:r>
      <w:r w:rsidR="0016398B">
        <w:t>f</w:t>
      </w:r>
      <w:r w:rsidR="007D343B">
        <w:t xml:space="preserve">ondam izmaksāto uzturlīdzekļu summu ar likumiskajiem procentiem. </w:t>
      </w:r>
    </w:p>
    <w:p w14:paraId="00F1B0FE" w14:textId="7519C8E2" w:rsidR="00B605C7" w:rsidRDefault="007D343B" w:rsidP="00031DCA">
      <w:pPr>
        <w:spacing w:line="276" w:lineRule="auto"/>
        <w:ind w:firstLine="720"/>
        <w:jc w:val="both"/>
      </w:pPr>
      <w:r>
        <w:t>T</w:t>
      </w:r>
      <w:r w:rsidR="005D1A68">
        <w:t>as nozīmē, ka</w:t>
      </w:r>
      <w:r>
        <w:t xml:space="preserve"> šād</w:t>
      </w:r>
      <w:r w:rsidR="00DF6832">
        <w:t>am</w:t>
      </w:r>
      <w:r>
        <w:t xml:space="preserve"> </w:t>
      </w:r>
      <w:r w:rsidR="0016398B">
        <w:t xml:space="preserve">Fonda administrācijas </w:t>
      </w:r>
      <w:r>
        <w:t xml:space="preserve">lēmumam ir divējāda iedarbība: no vienas puses, iesniedzējam tiek </w:t>
      </w:r>
      <w:r w:rsidR="00DF6832">
        <w:t xml:space="preserve">piešķirtas </w:t>
      </w:r>
      <w:r>
        <w:t xml:space="preserve">tiesības saņemt uzturlīdzekļu maksājumus no </w:t>
      </w:r>
      <w:r w:rsidR="0016398B">
        <w:t>f</w:t>
      </w:r>
      <w:r>
        <w:t xml:space="preserve">onda, bet, no otras puses, konkrētam vecākam tiek noteikts parādnieka statuss un uzlikts pienākums atmaksāt </w:t>
      </w:r>
      <w:r w:rsidR="0016398B">
        <w:t>f</w:t>
      </w:r>
      <w:r>
        <w:t xml:space="preserve">ondam </w:t>
      </w:r>
      <w:r w:rsidR="0016398B">
        <w:t xml:space="preserve">iesniedzējam </w:t>
      </w:r>
      <w:r>
        <w:t>izmaksātos uzturlīdzekļus.</w:t>
      </w:r>
      <w:r w:rsidR="00DF6832">
        <w:t xml:space="preserve"> Attiecīgi arī šāda lēmuma adresāti ir divi – ne tikai iesniedzējs, bet arī parādnieks</w:t>
      </w:r>
      <w:r w:rsidR="0055015E">
        <w:t>, un katram no tiem radītās tiesiskās sekas ir savstarpēji nodalāmas</w:t>
      </w:r>
      <w:r w:rsidR="00DF6832">
        <w:t>.</w:t>
      </w:r>
    </w:p>
    <w:p w14:paraId="11CB6203" w14:textId="2FC837EB" w:rsidR="0055015E" w:rsidRDefault="0055015E" w:rsidP="00031DCA">
      <w:pPr>
        <w:spacing w:line="276" w:lineRule="auto"/>
        <w:ind w:firstLine="720"/>
        <w:jc w:val="both"/>
      </w:pPr>
      <w:r>
        <w:t>K</w:t>
      </w:r>
      <w:r w:rsidR="0016398B">
        <w:t>ā jau minēts, k</w:t>
      </w:r>
      <w:r>
        <w:t>onkrētajā gadījumā pieteicējs vēlas, lai Fond</w:t>
      </w:r>
      <w:r w:rsidR="0016398B">
        <w:t>a administrācija</w:t>
      </w:r>
      <w:r>
        <w:t xml:space="preserve"> pret viņu vairs neizturas kā pret parādnieku un nepiedzen</w:t>
      </w:r>
      <w:r w:rsidR="005D1A68">
        <w:t xml:space="preserve"> no viņa to summu, kas kā parāds veidojies, izmaksājot uzturlīdzekļus bērna mātei.</w:t>
      </w:r>
      <w:r w:rsidR="009F5BF4">
        <w:t xml:space="preserve"> Proti, pieteicējs būtībā vēla</w:t>
      </w:r>
      <w:r w:rsidR="00BE0D1E">
        <w:t>s</w:t>
      </w:r>
      <w:r w:rsidR="009F5BF4">
        <w:t xml:space="preserve">, lai viņam ar 2017.gada </w:t>
      </w:r>
      <w:r w:rsidR="007B2CF2">
        <w:t>lēmumu</w:t>
      </w:r>
      <w:r w:rsidR="00BE0D1E">
        <w:t xml:space="preserve"> noteiktais parādnieka statuss tiktu atcelts un viņam attiecīgi vairs nebūtu pienākuma atmaksāt </w:t>
      </w:r>
      <w:r w:rsidR="0016398B">
        <w:t>fondam</w:t>
      </w:r>
      <w:r w:rsidR="00BE0D1E">
        <w:t xml:space="preserve"> bērna mātei izmaksātos uzturlīdzekļus, savukārt Fonda</w:t>
      </w:r>
      <w:r w:rsidR="0016398B">
        <w:t xml:space="preserve"> administrācijai</w:t>
      </w:r>
      <w:r w:rsidR="00BE0D1E">
        <w:t xml:space="preserve"> vairs nebūtu tiesību tos no pieteicēja piedzīt.</w:t>
      </w:r>
    </w:p>
    <w:p w14:paraId="06B64B92" w14:textId="77777777" w:rsidR="0055015E" w:rsidRDefault="0055015E" w:rsidP="00031DCA">
      <w:pPr>
        <w:spacing w:line="276" w:lineRule="auto"/>
        <w:ind w:firstLine="720"/>
        <w:jc w:val="both"/>
      </w:pPr>
    </w:p>
    <w:p w14:paraId="4F26464F" w14:textId="79C8AF72" w:rsidR="0055015E" w:rsidRDefault="0055015E" w:rsidP="00031DCA">
      <w:pPr>
        <w:spacing w:line="276" w:lineRule="auto"/>
        <w:ind w:firstLine="720"/>
        <w:jc w:val="both"/>
      </w:pPr>
      <w:r>
        <w:t>[</w:t>
      </w:r>
      <w:r w:rsidR="008D5C04">
        <w:t>8</w:t>
      </w:r>
      <w:r>
        <w:t xml:space="preserve">] Rajona tiesa ir norādījusi, ka izskatāmajā gadījumā civillietas spriedums nevar būt iemesls, lai atjaunotu administratīvo procesu 2017.gada lēmuma radīto tiesisko seku pārskatīšanai, jo atbilstoši Administratīvā procesa likuma 87.panta otrās daļas 2.punktam </w:t>
      </w:r>
      <w:r w:rsidRPr="0055015E">
        <w:t>administratīvo procesu var uzsākt no jauna uz trešās personas iesnieguma pamata</w:t>
      </w:r>
      <w:r>
        <w:t xml:space="preserve"> tad, ja </w:t>
      </w:r>
      <w:r w:rsidRPr="0055015E">
        <w:t>adresāts vēl nav izmantojis tiesības, kuras viņam ar attiecīgo administratīvo aktu piešķirtas vai apstiprinātas.</w:t>
      </w:r>
    </w:p>
    <w:p w14:paraId="3FDB79F4" w14:textId="034F5497" w:rsidR="0055015E" w:rsidRDefault="0055015E" w:rsidP="00031DCA">
      <w:pPr>
        <w:spacing w:line="276" w:lineRule="auto"/>
        <w:ind w:firstLine="720"/>
        <w:jc w:val="both"/>
      </w:pPr>
      <w:r>
        <w:t>Senāts turpmāk norādīto apsvērumu dēļ atzīst, ka minētā tiesību norma nevar būt šķērslis izskatīt pieteicēja pieteikumu administratīvā procesa kārtībā.</w:t>
      </w:r>
    </w:p>
    <w:p w14:paraId="7E4F5967" w14:textId="77777777" w:rsidR="0055015E" w:rsidRPr="0055015E" w:rsidRDefault="0055015E" w:rsidP="00031DCA">
      <w:pPr>
        <w:spacing w:line="276" w:lineRule="auto"/>
        <w:ind w:firstLine="720"/>
        <w:jc w:val="both"/>
      </w:pPr>
    </w:p>
    <w:p w14:paraId="70033AD3" w14:textId="7239A258" w:rsidR="005C3C09" w:rsidRDefault="006579FB" w:rsidP="00031DCA">
      <w:pPr>
        <w:spacing w:line="276" w:lineRule="auto"/>
        <w:ind w:firstLine="720"/>
        <w:jc w:val="both"/>
      </w:pPr>
      <w:r>
        <w:t>[</w:t>
      </w:r>
      <w:r w:rsidR="008D5C04">
        <w:t>9</w:t>
      </w:r>
      <w:r>
        <w:t xml:space="preserve">] </w:t>
      </w:r>
      <w:r w:rsidR="00140549">
        <w:t xml:space="preserve">Administratīvā procesa likuma 87.panta otrā daļa </w:t>
      </w:r>
      <w:r>
        <w:t>regulē, kuros gadījumos ir pieļaujams uzsākt procesu no jauna, pamatojoties uz trešās personas, nevis akta adresāta iesniegumu. Kā jau minēts, pieteicējs attiecībā uz viņam noteikto parādnieka statusu un ar to saistītajām tiesiskajām sekām ir 2017.gada lēmuma adresāts, nevis trešā persona.</w:t>
      </w:r>
      <w:r w:rsidR="009F5BF4">
        <w:t xml:space="preserve"> Ar </w:t>
      </w:r>
      <w:r w:rsidR="009F5BF4">
        <w:lastRenderedPageBreak/>
        <w:t>šo lēmumu attiecībā pret pieteicēju radītās tiesiskās sekas joprojām turpinās, jo Fond</w:t>
      </w:r>
      <w:r w:rsidR="0016398B">
        <w:t>a administrācija</w:t>
      </w:r>
      <w:r w:rsidR="009F5BF4">
        <w:t xml:space="preserve"> </w:t>
      </w:r>
      <w:r w:rsidR="0016398B">
        <w:t xml:space="preserve">pieteicēju </w:t>
      </w:r>
      <w:r w:rsidR="009F5BF4">
        <w:t>joprojām uzlūko kā parādnieku un nav attei</w:t>
      </w:r>
      <w:r w:rsidR="0016398B">
        <w:t>kusies</w:t>
      </w:r>
      <w:r w:rsidR="009F5BF4">
        <w:t xml:space="preserve"> no nolūka piedzīt no pieteicēja bērna mātei izmaksātos uzturlīdzekļus. </w:t>
      </w:r>
      <w:r w:rsidR="004A57AC">
        <w:t>Līdz ar to tas vien, ka ar 2017.gada lēmumu piešķirt</w:t>
      </w:r>
      <w:r w:rsidR="0016398B">
        <w:t>ā</w:t>
      </w:r>
      <w:r w:rsidR="004A57AC">
        <w:t xml:space="preserve">s uzturlīdzekļu maksājumu saņemšanas tiesības jau ir izmantotas (bērna māte ir saņēmusi maksājumus </w:t>
      </w:r>
      <w:r w:rsidR="0016398B">
        <w:t xml:space="preserve">no fonda </w:t>
      </w:r>
      <w:r w:rsidR="004A57AC">
        <w:t xml:space="preserve">un izlietojusi tos bērna uzturam), nevar būt pietiekams iemesls liegt administratīvā procesa uzsākšanu no jauna attiecībā uz to </w:t>
      </w:r>
      <w:r w:rsidR="0016398B">
        <w:t xml:space="preserve">2017.gada lēmuma </w:t>
      </w:r>
      <w:r w:rsidR="004A57AC">
        <w:t xml:space="preserve">daļu, kas adresēta tieši pieteicējam (parādnieka statusa piešķiršana un pienākuma maksāt </w:t>
      </w:r>
      <w:r w:rsidR="0016398B">
        <w:t>f</w:t>
      </w:r>
      <w:r w:rsidR="004A57AC">
        <w:t xml:space="preserve">ondam izmaksātos uzturlīdzekļus noteikšana). </w:t>
      </w:r>
    </w:p>
    <w:p w14:paraId="05C00C18" w14:textId="77777777" w:rsidR="00F71276" w:rsidRDefault="004A57AC" w:rsidP="00031DCA">
      <w:pPr>
        <w:spacing w:line="276" w:lineRule="auto"/>
        <w:ind w:firstLine="720"/>
        <w:jc w:val="both"/>
      </w:pPr>
      <w:r>
        <w:t>Administratīvā procesa likuma 87.panta pirmā daļa noteic: ja</w:t>
      </w:r>
      <w:r w:rsidRPr="004A57AC">
        <w:t xml:space="preserve"> administratīvais akts ir kļuvis neapstrīdams, tajā pašā lietā administratīvo procesu var uzsākt no jauna uz adresāta iesnieguma pamata, ja ir mainījušies lietas faktiskie apstākļi, kuri bija par pamatu lēmuma pieņemšanai</w:t>
      </w:r>
      <w:r>
        <w:t xml:space="preserve"> vai arī </w:t>
      </w:r>
      <w:r w:rsidRPr="004A57AC">
        <w:t xml:space="preserve">adresātam kļuvuši zināmi vai ir pieejami jauni pierādījumi, kas nebija tā rīcībā līdz sākotnējā administratīvā akta izdošanai un kas varētu būt par pamatu adresātam labvēlīgāka administratīvā akta izdošanai </w:t>
      </w:r>
      <w:r>
        <w:t>(1. un 3.punkts)</w:t>
      </w:r>
      <w:r w:rsidRPr="004A57AC">
        <w:t>.</w:t>
      </w:r>
      <w:r w:rsidR="009F5BF4">
        <w:t xml:space="preserve"> </w:t>
      </w:r>
      <w:r w:rsidR="005C3C09">
        <w:t>2017.gada lēmums tika pieņemts, balstoties uz faktu, ka atbilstoši dzimšanas reģistra ierakstu publiskai ticamībai pieteicējs tika uzskatīts par bērna tēvu. Līdz ar to f</w:t>
      </w:r>
      <w:r w:rsidR="009F5BF4">
        <w:t xml:space="preserve">akts, ka ar civillietas spriedumu ir atzīts, ka pieteicējs nav bērna tēvs un </w:t>
      </w:r>
      <w:r w:rsidR="009F5BF4" w:rsidRPr="00160B52">
        <w:t xml:space="preserve">ieraksts bērna dzimšanas reģistrā par pieteicēju kā bērna tēvu </w:t>
      </w:r>
      <w:r w:rsidR="009F5BF4">
        <w:t xml:space="preserve">ir </w:t>
      </w:r>
      <w:r w:rsidR="009F5BF4" w:rsidRPr="00160B52">
        <w:t>spēkā neesoš</w:t>
      </w:r>
      <w:r w:rsidR="009F5BF4">
        <w:t xml:space="preserve">s no ieraksta </w:t>
      </w:r>
      <w:r w:rsidR="009F5BF4" w:rsidRPr="00160B52">
        <w:t>izdarīšanas dienas</w:t>
      </w:r>
      <w:r w:rsidR="005C3C09">
        <w:t xml:space="preserve">, pēc būtības ir tāds apstāklis, kas </w:t>
      </w:r>
      <w:r w:rsidR="008B3181">
        <w:t>skar 2017.gada lēmuma pamatu</w:t>
      </w:r>
      <w:r w:rsidR="009F5BF4">
        <w:t>.</w:t>
      </w:r>
    </w:p>
    <w:p w14:paraId="7AA3A72B" w14:textId="77777777" w:rsidR="00F71276" w:rsidRPr="004A57AC" w:rsidRDefault="00F71276" w:rsidP="00031DCA">
      <w:pPr>
        <w:spacing w:line="276" w:lineRule="auto"/>
        <w:ind w:firstLine="720"/>
        <w:jc w:val="both"/>
      </w:pPr>
      <w:r>
        <w:t>Tādējādi kļūdains ir tiesas uzskats, ka konkrētajā gadījumā nav iespējami administratīvā procesa instrumenti, ar kuriem varētu risināt jautājumu par parādnieka statusu.</w:t>
      </w:r>
    </w:p>
    <w:p w14:paraId="3DB1C30B" w14:textId="15CA1CD0" w:rsidR="007B2CF2" w:rsidRDefault="008B3181" w:rsidP="00031DCA">
      <w:pPr>
        <w:spacing w:line="276" w:lineRule="auto"/>
        <w:ind w:firstLine="720"/>
        <w:jc w:val="both"/>
      </w:pPr>
      <w:r>
        <w:t xml:space="preserve"> </w:t>
      </w:r>
    </w:p>
    <w:p w14:paraId="62CC9F7A" w14:textId="2F8B1ACF" w:rsidR="00F71276" w:rsidRDefault="00F71276" w:rsidP="00031DCA">
      <w:pPr>
        <w:spacing w:line="276" w:lineRule="auto"/>
        <w:ind w:firstLine="720"/>
        <w:jc w:val="both"/>
      </w:pPr>
      <w:r>
        <w:t>[</w:t>
      </w:r>
      <w:r w:rsidR="008D5C04">
        <w:t>10</w:t>
      </w:r>
      <w:r>
        <w:t xml:space="preserve">] </w:t>
      </w:r>
      <w:r w:rsidR="007B2CF2">
        <w:t xml:space="preserve">Tiesa lēmumā citstarp atsaukusies uz Senāta </w:t>
      </w:r>
      <w:r w:rsidR="007B2CF2" w:rsidRPr="00160B52">
        <w:t>2020.gada 27.augusta lēmumā lietā Nr. SKA-1314/2020</w:t>
      </w:r>
      <w:r w:rsidR="004D4E99">
        <w:t xml:space="preserve"> </w:t>
      </w:r>
      <w:r w:rsidR="007B2CF2">
        <w:t xml:space="preserve">atzīto, ka </w:t>
      </w:r>
      <w:r w:rsidR="000546FF">
        <w:t xml:space="preserve">Fonda </w:t>
      </w:r>
      <w:r w:rsidR="0016398B">
        <w:t xml:space="preserve">administrācijas </w:t>
      </w:r>
      <w:r w:rsidR="007B2CF2" w:rsidRPr="007B2CF2">
        <w:t>lēmuma atcelšana nav pieļaujama, aizskarot tās tiesiskās attiecības, kas jau izveidojušās lēmuma spēkā esības laikā</w:t>
      </w:r>
      <w:r w:rsidR="0016398B">
        <w:t>, jo fondam</w:t>
      </w:r>
      <w:r w:rsidR="007B2CF2" w:rsidRPr="007B2CF2">
        <w:t xml:space="preserve"> nav jāuzņemas finansiālais risks, kas rastos, vispirms vienai personai</w:t>
      </w:r>
      <w:r w:rsidR="000546FF">
        <w:t xml:space="preserve"> </w:t>
      </w:r>
      <w:r w:rsidR="007B2CF2" w:rsidRPr="007B2CF2">
        <w:t>izmaksājot uzturlīdzekļus, bet pēc tam risinot strīdu par to, vai šāda izmaksa</w:t>
      </w:r>
      <w:r w:rsidR="000546FF">
        <w:t xml:space="preserve"> </w:t>
      </w:r>
      <w:r w:rsidR="007B2CF2" w:rsidRPr="007B2CF2">
        <w:t>iepriekš bijusi pamatota, ievērojot iesniedzēja un parādnieka savstarpējās civiltiesiskās attiecības.</w:t>
      </w:r>
      <w:r w:rsidR="000546FF">
        <w:t xml:space="preserve"> </w:t>
      </w:r>
      <w:r w:rsidR="007B2CF2" w:rsidRPr="007B2CF2">
        <w:t>Tādēļ administratīvā procesa uzsākšana no jauna ir pieļaujama, tikai pārskatot lēmuma darbību</w:t>
      </w:r>
      <w:r w:rsidR="000546FF">
        <w:t xml:space="preserve"> </w:t>
      </w:r>
      <w:r w:rsidR="007B2CF2" w:rsidRPr="007B2CF2">
        <w:t>nākotnē, nevis ietekmējot tiesiskās attiecības par iepriekšējo laiku, kurā veikta uzturlīdzekļu</w:t>
      </w:r>
      <w:r w:rsidR="000546FF">
        <w:t xml:space="preserve"> </w:t>
      </w:r>
      <w:r w:rsidR="007B2CF2" w:rsidRPr="007B2CF2">
        <w:t>izmaksa</w:t>
      </w:r>
      <w:r w:rsidR="000546FF">
        <w:t xml:space="preserve"> (</w:t>
      </w:r>
      <w:r w:rsidR="000546FF" w:rsidRPr="000546FF">
        <w:rPr>
          <w:i/>
          <w:iCs/>
        </w:rPr>
        <w:t>minētā Senāta lēmuma 9.punkts</w:t>
      </w:r>
      <w:r w:rsidR="000546FF">
        <w:t>)</w:t>
      </w:r>
      <w:r w:rsidR="007B2CF2" w:rsidRPr="007B2CF2">
        <w:t>.</w:t>
      </w:r>
      <w:r w:rsidR="00D70F53">
        <w:t xml:space="preserve"> </w:t>
      </w:r>
    </w:p>
    <w:p w14:paraId="4DC0FB9A" w14:textId="32C1C744" w:rsidR="00F71276" w:rsidRDefault="00D70F53" w:rsidP="00031DCA">
      <w:pPr>
        <w:spacing w:line="276" w:lineRule="auto"/>
        <w:ind w:firstLine="720"/>
        <w:jc w:val="both"/>
      </w:pPr>
      <w:r>
        <w:t>Senāts norāda, ka minētā atziņa izteikta lietā, kurā bija atšķirīgi apstākļi no izskatāmās lietas. Proti, attiecīgajā lietā pieteicējs bija vērsies pie Fonda</w:t>
      </w:r>
      <w:r w:rsidR="00F71276">
        <w:t xml:space="preserve"> administrācijas</w:t>
      </w:r>
      <w:r>
        <w:t xml:space="preserve">, prasot, lai viņam atmaksā no pieteicēja kā parādnieka jau piedzītos uzturlīdzekļu maksājumus (nevis tikai dzēš vēl nepiedzīto parādu). Tieši tāpēc Senāts lietā bija izmantojis arī </w:t>
      </w:r>
      <w:r w:rsidRPr="00160B52">
        <w:t xml:space="preserve">Senāta departamentu priekšsēdētāju 2019.gada 28.novembra </w:t>
      </w:r>
      <w:r w:rsidRPr="00D25C26">
        <w:t>lēmuma</w:t>
      </w:r>
      <w:r>
        <w:t xml:space="preserve"> atziņas, kuras attiec</w:t>
      </w:r>
      <w:r w:rsidR="00F71276">
        <w:t>a</w:t>
      </w:r>
      <w:r>
        <w:t>s uz situāciju, kad persona prasa, lai Fond</w:t>
      </w:r>
      <w:r w:rsidR="00F71276">
        <w:t>a administrācija</w:t>
      </w:r>
      <w:r>
        <w:t xml:space="preserve"> atmaksā </w:t>
      </w:r>
      <w:r w:rsidR="00F71276">
        <w:t xml:space="preserve">parādniekam </w:t>
      </w:r>
      <w:r>
        <w:t>iepriekš piedzīto.</w:t>
      </w:r>
      <w:r w:rsidR="0064150C">
        <w:t xml:space="preserve"> Turklāt minētajā lietā pamats, kāpēc pieteicējs </w:t>
      </w:r>
      <w:r w:rsidR="00E4107F">
        <w:t xml:space="preserve">uzskatīja, ka uzturlīdzekļi no viņa piedzīti nepamatoti, nebija saistīts ar to, ka pieteicējs nebūtu bērna vecāks (proti, persona, kurai vispār nebūtu jārūpējas par bērna uzturu), bet gan ar </w:t>
      </w:r>
      <w:r w:rsidR="00F71276">
        <w:t xml:space="preserve">to, ka </w:t>
      </w:r>
      <w:r w:rsidR="00E4107F">
        <w:t xml:space="preserve">vecāku starpā </w:t>
      </w:r>
      <w:r w:rsidR="00F71276">
        <w:t xml:space="preserve">bija </w:t>
      </w:r>
      <w:r w:rsidR="00E4107F">
        <w:t>noslēgt</w:t>
      </w:r>
      <w:r w:rsidR="00F71276">
        <w:t>a</w:t>
      </w:r>
      <w:r w:rsidR="00E4107F">
        <w:t xml:space="preserve"> civiltiesisk</w:t>
      </w:r>
      <w:r w:rsidR="00F71276">
        <w:t>a</w:t>
      </w:r>
      <w:r w:rsidR="00E4107F">
        <w:t xml:space="preserve"> vienošan</w:t>
      </w:r>
      <w:r w:rsidR="00F71276">
        <w:t>ās</w:t>
      </w:r>
      <w:r w:rsidR="00E4107F">
        <w:t xml:space="preserve"> par to, kā maksājami uzturlīdzekļi. </w:t>
      </w:r>
    </w:p>
    <w:p w14:paraId="319C659A" w14:textId="61712C65" w:rsidR="007B2CF2" w:rsidRDefault="00E4107F" w:rsidP="00031DCA">
      <w:pPr>
        <w:spacing w:line="276" w:lineRule="auto"/>
        <w:ind w:firstLine="720"/>
        <w:jc w:val="both"/>
      </w:pPr>
      <w:r>
        <w:t xml:space="preserve">Līdz ar to Senāta </w:t>
      </w:r>
      <w:r w:rsidRPr="00160B52">
        <w:t>2020.gada 27.augusta lēmumā lietā Nr. SKA-1314/2020</w:t>
      </w:r>
      <w:r>
        <w:t xml:space="preserve"> izteiktās atziņas nav pamata attiecināt uz izskatāmo gadījumu, k</w:t>
      </w:r>
      <w:r w:rsidR="00F71276">
        <w:t xml:space="preserve">urā </w:t>
      </w:r>
      <w:r>
        <w:t xml:space="preserve">pieteicējs neprasa, lai </w:t>
      </w:r>
      <w:r>
        <w:lastRenderedPageBreak/>
        <w:t>Fond</w:t>
      </w:r>
      <w:r w:rsidR="00F71276">
        <w:t>a administrācija</w:t>
      </w:r>
      <w:r>
        <w:t xml:space="preserve"> viņam kaut ko atmaksātu, un </w:t>
      </w:r>
      <w:r w:rsidR="00F71276">
        <w:t xml:space="preserve">pieteicēja prasījuma </w:t>
      </w:r>
      <w:r>
        <w:t>pamatā ir apstāklis, ka pieteicējs nav bērna tēvs.</w:t>
      </w:r>
    </w:p>
    <w:p w14:paraId="02D15ACC" w14:textId="58211CD5" w:rsidR="0055015E" w:rsidRDefault="0055015E" w:rsidP="00031DCA">
      <w:pPr>
        <w:spacing w:line="276" w:lineRule="auto"/>
        <w:ind w:firstLine="720"/>
        <w:jc w:val="both"/>
      </w:pPr>
    </w:p>
    <w:p w14:paraId="40C9649D" w14:textId="1090508D" w:rsidR="00F71276" w:rsidRDefault="006F4D98" w:rsidP="00031DCA">
      <w:pPr>
        <w:spacing w:line="276" w:lineRule="auto"/>
        <w:ind w:firstLine="720"/>
        <w:jc w:val="both"/>
      </w:pPr>
      <w:r>
        <w:t>[</w:t>
      </w:r>
      <w:r w:rsidR="008D5C04">
        <w:t>11</w:t>
      </w:r>
      <w:r>
        <w:t xml:space="preserve">] Tāpat izskatāmajā gadījumā nav pamata atsaukties uz </w:t>
      </w:r>
      <w:r w:rsidRPr="00160B52">
        <w:t>Senāta departamentu priekšsēdētāju 2019.gada 28.novembra lēmum</w:t>
      </w:r>
      <w:r>
        <w:t xml:space="preserve">a atziņām. </w:t>
      </w:r>
      <w:r w:rsidR="0069077B">
        <w:t>Šis lēmums tika pieņemts attiecībā uz lietu, kurā parādnieks bija vērsies Fond</w:t>
      </w:r>
      <w:r w:rsidR="00F71276">
        <w:t>a administrācij</w:t>
      </w:r>
      <w:r w:rsidR="0069077B">
        <w:t xml:space="preserve">ā ar prasījumu, lai </w:t>
      </w:r>
      <w:r w:rsidR="00F71276">
        <w:t>no fonda</w:t>
      </w:r>
      <w:r w:rsidR="0069077B">
        <w:t xml:space="preserve"> atmaksā no parādnieka jau piedzītos līdzekļus</w:t>
      </w:r>
      <w:r w:rsidR="00267E52">
        <w:t>,</w:t>
      </w:r>
      <w:r w:rsidR="0069077B">
        <w:t xml:space="preserve"> un Senāta departamenta priekšsēdētāju sēdē tika apsvērts tas, kādā procesā </w:t>
      </w:r>
      <w:r w:rsidR="0069077B" w:rsidRPr="00267E52">
        <w:t xml:space="preserve">risināms jautājums par jau piedzīto līdzekļu atmaksu. </w:t>
      </w:r>
      <w:r w:rsidR="00267E52" w:rsidRPr="00267E52">
        <w:t xml:space="preserve">Šajā sakarā Senāta departamentu priekšsēdētāju </w:t>
      </w:r>
      <w:r w:rsidR="00F71276">
        <w:t>lēmumā</w:t>
      </w:r>
      <w:r w:rsidR="00267E52" w:rsidRPr="00267E52">
        <w:t xml:space="preserve"> tika atzīts</w:t>
      </w:r>
      <w:r w:rsidR="00267E52">
        <w:t>: g</w:t>
      </w:r>
      <w:r w:rsidR="00267E52" w:rsidRPr="00267E52">
        <w:t>adījumā, ja tiktu pieļautas p</w:t>
      </w:r>
      <w:r w:rsidR="00F71276">
        <w:t>ersonas</w:t>
      </w:r>
      <w:r w:rsidR="00267E52" w:rsidRPr="00267E52">
        <w:t xml:space="preserve"> tiesības vērsties pret </w:t>
      </w:r>
      <w:r w:rsidR="00F71276">
        <w:t>Fonda</w:t>
      </w:r>
      <w:r w:rsidR="00267E52">
        <w:t xml:space="preserve"> </w:t>
      </w:r>
      <w:r w:rsidR="00267E52" w:rsidRPr="00267E52">
        <w:t>administrāciju par piedzīto uzturlīdzekļu atmaksu administratīvā proces</w:t>
      </w:r>
      <w:r w:rsidR="00FF0297">
        <w:t>a</w:t>
      </w:r>
      <w:r w:rsidR="00267E52" w:rsidRPr="00267E52">
        <w:t xml:space="preserve"> kārtībā, </w:t>
      </w:r>
      <w:r w:rsidR="00F71276">
        <w:t>F</w:t>
      </w:r>
      <w:r w:rsidR="00267E52" w:rsidRPr="00267E52">
        <w:t>onda administrācija, iespējams, būtu spiesta izmaksāt līdzekļus no fonda</w:t>
      </w:r>
      <w:r w:rsidR="00267E52">
        <w:t xml:space="preserve"> </w:t>
      </w:r>
      <w:r w:rsidR="00267E52" w:rsidRPr="00267E52">
        <w:t>un pēc tam regresa kārtībā vērsties pret iesniedzēju. Šādā gadījumā fonda līdzekļi tiktu izmantoti</w:t>
      </w:r>
      <w:r w:rsidR="00267E52">
        <w:t xml:space="preserve"> </w:t>
      </w:r>
      <w:r w:rsidR="00267E52" w:rsidRPr="00267E52">
        <w:t>arī tam, lai nodrošinātu parādnieka tiesības</w:t>
      </w:r>
      <w:r w:rsidR="00F71276">
        <w:t>, s</w:t>
      </w:r>
      <w:r w:rsidR="00267E52" w:rsidRPr="00267E52">
        <w:t>avukārt</w:t>
      </w:r>
      <w:r w:rsidR="00267E52">
        <w:t xml:space="preserve"> </w:t>
      </w:r>
      <w:r w:rsidR="00267E52" w:rsidRPr="00267E52">
        <w:t>šādam mērķim fonds nav izveidots. Piedzīto uzturlīdzekļu atmaksa no fonda samazinātu fonda</w:t>
      </w:r>
      <w:r w:rsidR="00267E52">
        <w:t xml:space="preserve"> </w:t>
      </w:r>
      <w:r w:rsidR="00267E52" w:rsidRPr="00267E52">
        <w:t>rīcībā esošos līdzekļus, kas varētu tikt izlietoti citu bērnu tiesību nodrošināšanai</w:t>
      </w:r>
      <w:r w:rsidR="00267E52">
        <w:t xml:space="preserve"> (</w:t>
      </w:r>
      <w:r w:rsidR="00267E52" w:rsidRPr="00267E52">
        <w:rPr>
          <w:i/>
          <w:iCs/>
        </w:rPr>
        <w:t>6.punkt</w:t>
      </w:r>
      <w:r w:rsidR="00267E52">
        <w:rPr>
          <w:i/>
          <w:iCs/>
        </w:rPr>
        <w:t>s</w:t>
      </w:r>
      <w:r w:rsidR="00267E52" w:rsidRPr="00267E52">
        <w:t>)</w:t>
      </w:r>
      <w:r w:rsidR="00267E52">
        <w:t xml:space="preserve">. </w:t>
      </w:r>
    </w:p>
    <w:p w14:paraId="10B781C7" w14:textId="637A7CA5" w:rsidR="00DF6832" w:rsidRDefault="00267E52" w:rsidP="00031DCA">
      <w:pPr>
        <w:spacing w:line="276" w:lineRule="auto"/>
        <w:ind w:firstLine="720"/>
        <w:jc w:val="both"/>
      </w:pPr>
      <w:r>
        <w:t xml:space="preserve">Minētais bija izšķirošais arguments, kāpēc Senāta departamentu priekšsēdētāju sēdē tika secināts, ka jautājums par </w:t>
      </w:r>
      <w:r w:rsidR="00F71276">
        <w:t xml:space="preserve">fonda labā </w:t>
      </w:r>
      <w:r>
        <w:t>jau piedzīto uzturlīdzekļu atmaksu ir risināms civilprocesuālā kārtībā, vecākam, no kura parāds piedzīts, vēršoties pret vecāku, kuram Fond</w:t>
      </w:r>
      <w:r w:rsidR="00F71276">
        <w:t>a administrācija</w:t>
      </w:r>
      <w:r>
        <w:t xml:space="preserve"> izmaksāj</w:t>
      </w:r>
      <w:r w:rsidR="00F71276">
        <w:t>usi</w:t>
      </w:r>
      <w:r>
        <w:t xml:space="preserve"> uzturlīdzekļus.</w:t>
      </w:r>
      <w:r w:rsidR="0069077B">
        <w:t xml:space="preserve"> Savukārt izskatāmajā gadījumā, k</w:t>
      </w:r>
      <w:r>
        <w:t>ā</w:t>
      </w:r>
      <w:r w:rsidR="0069077B">
        <w:t xml:space="preserve"> jau minēts, pieteicējs nav prasījis, lai Fond</w:t>
      </w:r>
      <w:r w:rsidR="00F71276">
        <w:t>a administrācija</w:t>
      </w:r>
      <w:r w:rsidR="0069077B">
        <w:t xml:space="preserve"> viņam izmaksā kādus finanšu līdzekļus; pieteicējs vēlas</w:t>
      </w:r>
      <w:r>
        <w:t>, lai tiktu pārskatīts jautājums par viņa parādniek</w:t>
      </w:r>
      <w:r w:rsidR="00AC71A7">
        <w:t>a</w:t>
      </w:r>
      <w:r>
        <w:t xml:space="preserve"> statusu, proti, lai Fond</w:t>
      </w:r>
      <w:r w:rsidR="00F71276">
        <w:t>a administrācija</w:t>
      </w:r>
      <w:r>
        <w:t xml:space="preserve"> vairs neuzskatītu pieteicēju par parādnieku un attiecīgi nepiedzītu no viņa bērna mātei izmaksātos uzturlīdzekļus.</w:t>
      </w:r>
    </w:p>
    <w:p w14:paraId="12E84DF6" w14:textId="77777777" w:rsidR="00267E52" w:rsidRDefault="00267E52" w:rsidP="00031DCA">
      <w:pPr>
        <w:spacing w:line="276" w:lineRule="auto"/>
        <w:ind w:firstLine="720"/>
        <w:jc w:val="both"/>
      </w:pPr>
    </w:p>
    <w:p w14:paraId="245D883C" w14:textId="1978B9B8" w:rsidR="00295AAE" w:rsidRPr="00160B52" w:rsidRDefault="00295AAE" w:rsidP="00031DCA">
      <w:pPr>
        <w:spacing w:line="276" w:lineRule="auto"/>
        <w:ind w:firstLine="720"/>
        <w:jc w:val="both"/>
      </w:pPr>
      <w:r w:rsidRPr="00160B52">
        <w:t>[</w:t>
      </w:r>
      <w:r w:rsidR="008D5C04">
        <w:t>12</w:t>
      </w:r>
      <w:r w:rsidRPr="00160B52">
        <w:t>] Rezumējot minēto, atzīstams, ka ties</w:t>
      </w:r>
      <w:r w:rsidR="00D042D4">
        <w:t>a</w:t>
      </w:r>
      <w:r w:rsidRPr="00160B52">
        <w:t xml:space="preserve"> pārsūdzētajā lēmumā ir nepamatoti secināj</w:t>
      </w:r>
      <w:r w:rsidR="00D042D4">
        <w:t>usi</w:t>
      </w:r>
      <w:r w:rsidRPr="00160B52">
        <w:t xml:space="preserve">, ka </w:t>
      </w:r>
      <w:r w:rsidR="00267E52">
        <w:t>jautājums par to, vai pieteicējam attiecībās ar Fond</w:t>
      </w:r>
      <w:r w:rsidR="00F71276">
        <w:t>a administrāciju</w:t>
      </w:r>
      <w:r w:rsidR="00267E52">
        <w:t xml:space="preserve"> saglabājams parādnieka statuss (un ar to saistītais pienākums atmaksāt </w:t>
      </w:r>
      <w:r w:rsidR="00F71276">
        <w:t>f</w:t>
      </w:r>
      <w:r w:rsidR="00267E52">
        <w:t xml:space="preserve">ondam bērna mātei izmaksātos uzturlīdzekļus), nav pakļauts izskatīšanai administratīvā procesa kārtībā. Kā jau minēts, Fonda </w:t>
      </w:r>
      <w:r w:rsidR="00F71276">
        <w:t xml:space="preserve">administrācijas </w:t>
      </w:r>
      <w:r w:rsidR="00267E52">
        <w:t>un parādnieka starpā ir publiski tiesiskas attiecības, un konkrētā strīda risināšanai ir iespējams izmantot administratīvā procesa uzsākšanas no jauna institūtu. Savukārt tas, vai tā rezultātā būtu atceļams pieteicējam ar 2017.gada lēmumu noteiktais parādnieka statuss, ir jautājums, kas jāizspriež, izskatot lietu pēc būtības.</w:t>
      </w:r>
    </w:p>
    <w:p w14:paraId="33402DE1" w14:textId="77777777" w:rsidR="00295AAE" w:rsidRPr="00160B52" w:rsidRDefault="00295AAE" w:rsidP="00031DCA">
      <w:pPr>
        <w:spacing w:line="276" w:lineRule="auto"/>
        <w:ind w:firstLine="720"/>
        <w:jc w:val="both"/>
      </w:pPr>
    </w:p>
    <w:p w14:paraId="769C1C82" w14:textId="77777777" w:rsidR="00295AAE" w:rsidRPr="00160B52" w:rsidRDefault="00295AAE" w:rsidP="00031DCA">
      <w:pPr>
        <w:spacing w:line="276" w:lineRule="auto"/>
        <w:jc w:val="center"/>
        <w:rPr>
          <w:b/>
        </w:rPr>
      </w:pPr>
      <w:r w:rsidRPr="00160B52">
        <w:rPr>
          <w:b/>
        </w:rPr>
        <w:t>Rezolutīvā daļa</w:t>
      </w:r>
    </w:p>
    <w:p w14:paraId="5DFE9046" w14:textId="77777777" w:rsidR="00295AAE" w:rsidRPr="00160B52" w:rsidRDefault="00295AAE" w:rsidP="00031DCA">
      <w:pPr>
        <w:spacing w:line="276" w:lineRule="auto"/>
        <w:ind w:firstLine="567"/>
        <w:jc w:val="both"/>
        <w:rPr>
          <w:bCs/>
          <w:spacing w:val="70"/>
        </w:rPr>
      </w:pPr>
    </w:p>
    <w:p w14:paraId="09F1C0BF" w14:textId="0314D22B" w:rsidR="00295AAE" w:rsidRPr="00160B52" w:rsidRDefault="00295AAE" w:rsidP="00031DCA">
      <w:pPr>
        <w:spacing w:line="276" w:lineRule="auto"/>
        <w:ind w:firstLine="720"/>
        <w:jc w:val="both"/>
      </w:pPr>
      <w:r w:rsidRPr="00160B52">
        <w:t>Pamatojoties uz Administratīvā procesa likuma 323.panta pirmās daļas 2.punktu un 324.panta pirmo daļu, Senāts</w:t>
      </w:r>
    </w:p>
    <w:p w14:paraId="1A7C27C5" w14:textId="77777777" w:rsidR="00295AAE" w:rsidRPr="00160B52" w:rsidRDefault="00295AAE" w:rsidP="00031DCA">
      <w:pPr>
        <w:spacing w:line="276" w:lineRule="auto"/>
        <w:ind w:firstLine="567"/>
        <w:jc w:val="both"/>
      </w:pPr>
    </w:p>
    <w:p w14:paraId="280E75E0" w14:textId="77777777" w:rsidR="00295AAE" w:rsidRPr="00160B52" w:rsidRDefault="00295AAE" w:rsidP="00031DCA">
      <w:pPr>
        <w:spacing w:line="276" w:lineRule="auto"/>
        <w:jc w:val="center"/>
        <w:rPr>
          <w:b/>
        </w:rPr>
      </w:pPr>
      <w:r w:rsidRPr="00160B52">
        <w:rPr>
          <w:b/>
        </w:rPr>
        <w:t>nolēma</w:t>
      </w:r>
    </w:p>
    <w:p w14:paraId="4DCCECE3" w14:textId="77777777" w:rsidR="00295AAE" w:rsidRPr="00160B52" w:rsidRDefault="00295AAE" w:rsidP="00031DCA">
      <w:pPr>
        <w:spacing w:line="276" w:lineRule="auto"/>
        <w:ind w:firstLine="720"/>
        <w:jc w:val="both"/>
      </w:pPr>
    </w:p>
    <w:p w14:paraId="49A8AA7D" w14:textId="267F92EF" w:rsidR="00295AAE" w:rsidRPr="00160B52" w:rsidRDefault="00295AAE" w:rsidP="00031DCA">
      <w:pPr>
        <w:spacing w:line="276" w:lineRule="auto"/>
        <w:ind w:firstLine="720"/>
        <w:jc w:val="both"/>
      </w:pPr>
      <w:r w:rsidRPr="00160B52">
        <w:t xml:space="preserve">atcelt Administratīvās rajona tiesas 2024.gada </w:t>
      </w:r>
      <w:r w:rsidR="00BE0D1E">
        <w:t>5.augusta</w:t>
      </w:r>
      <w:r w:rsidRPr="00160B52">
        <w:t xml:space="preserve"> lēmumu un nodot </w:t>
      </w:r>
      <w:r w:rsidR="00795720">
        <w:t>lietu</w:t>
      </w:r>
      <w:r w:rsidRPr="00160B52">
        <w:t xml:space="preserve"> izskatīšanai Administratīvajai rajona tiesai</w:t>
      </w:r>
      <w:r w:rsidR="009B16F4">
        <w:t>.</w:t>
      </w:r>
    </w:p>
    <w:p w14:paraId="56BCA280" w14:textId="77777777" w:rsidR="00295AAE" w:rsidRPr="00160B52" w:rsidRDefault="00295AAE" w:rsidP="00031DCA">
      <w:pPr>
        <w:spacing w:line="276" w:lineRule="auto"/>
        <w:ind w:firstLine="720"/>
        <w:jc w:val="both"/>
      </w:pPr>
    </w:p>
    <w:p w14:paraId="3AA1FA59" w14:textId="740F9008" w:rsidR="003A62BD" w:rsidRPr="00160B52" w:rsidRDefault="00295AAE" w:rsidP="008C12C2">
      <w:pPr>
        <w:spacing w:line="276" w:lineRule="auto"/>
        <w:ind w:firstLine="720"/>
        <w:jc w:val="both"/>
      </w:pPr>
      <w:r w:rsidRPr="00160B52">
        <w:t>Lēmums nav pārsūdzams.</w:t>
      </w:r>
    </w:p>
    <w:sectPr w:rsidR="003A62BD" w:rsidRPr="00160B52" w:rsidSect="008D5C04">
      <w:footerReference w:type="default" r:id="rId10"/>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DFF035" w14:textId="77777777" w:rsidR="00EF1A94" w:rsidRDefault="00EF1A94">
      <w:r>
        <w:separator/>
      </w:r>
    </w:p>
  </w:endnote>
  <w:endnote w:type="continuationSeparator" w:id="0">
    <w:p w14:paraId="24DA15D4" w14:textId="77777777" w:rsidR="00EF1A94" w:rsidRDefault="00EF1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6A3C2" w14:textId="16B88909" w:rsidR="001E5DCE" w:rsidRPr="00B81698" w:rsidRDefault="001E5DCE" w:rsidP="00F43FAD">
    <w:pPr>
      <w:pStyle w:val="Footer"/>
      <w:tabs>
        <w:tab w:val="clear" w:pos="4153"/>
        <w:tab w:val="clear" w:pos="8306"/>
      </w:tabs>
      <w:jc w:val="center"/>
      <w:rPr>
        <w:sz w:val="20"/>
        <w:szCs w:val="20"/>
      </w:rPr>
    </w:pPr>
    <w:r w:rsidRPr="00B81698">
      <w:rPr>
        <w:rStyle w:val="PageNumber"/>
        <w:sz w:val="20"/>
        <w:szCs w:val="20"/>
      </w:rPr>
      <w:fldChar w:fldCharType="begin"/>
    </w:r>
    <w:r w:rsidRPr="00B81698">
      <w:rPr>
        <w:rStyle w:val="PageNumber"/>
        <w:sz w:val="20"/>
        <w:szCs w:val="20"/>
      </w:rPr>
      <w:instrText xml:space="preserve">PAGE  </w:instrText>
    </w:r>
    <w:r w:rsidRPr="00B81698">
      <w:rPr>
        <w:rStyle w:val="PageNumber"/>
        <w:sz w:val="20"/>
        <w:szCs w:val="20"/>
      </w:rPr>
      <w:fldChar w:fldCharType="separate"/>
    </w:r>
    <w:r w:rsidRPr="00B81698">
      <w:rPr>
        <w:rStyle w:val="PageNumber"/>
        <w:noProof/>
        <w:sz w:val="20"/>
        <w:szCs w:val="20"/>
      </w:rPr>
      <w:t>2</w:t>
    </w:r>
    <w:r w:rsidRPr="00B81698">
      <w:rPr>
        <w:rStyle w:val="PageNumber"/>
        <w:sz w:val="20"/>
        <w:szCs w:val="20"/>
      </w:rPr>
      <w:fldChar w:fldCharType="end"/>
    </w:r>
    <w:r w:rsidRPr="00B81698">
      <w:rPr>
        <w:rStyle w:val="PageNumber"/>
        <w:sz w:val="20"/>
        <w:szCs w:val="20"/>
      </w:rPr>
      <w:t xml:space="preserve"> no </w:t>
    </w:r>
    <w:r w:rsidRPr="00B81698">
      <w:rPr>
        <w:rStyle w:val="PageNumber"/>
        <w:noProof/>
        <w:sz w:val="20"/>
        <w:szCs w:val="20"/>
      </w:rPr>
      <w:fldChar w:fldCharType="begin"/>
    </w:r>
    <w:r w:rsidRPr="00B81698">
      <w:rPr>
        <w:rStyle w:val="PageNumber"/>
        <w:noProof/>
        <w:sz w:val="20"/>
        <w:szCs w:val="20"/>
      </w:rPr>
      <w:instrText xml:space="preserve"> SECTIONPAGES   \* MERGEFORMAT </w:instrText>
    </w:r>
    <w:r w:rsidRPr="00B81698">
      <w:rPr>
        <w:rStyle w:val="PageNumber"/>
        <w:noProof/>
        <w:sz w:val="20"/>
        <w:szCs w:val="20"/>
      </w:rPr>
      <w:fldChar w:fldCharType="separate"/>
    </w:r>
    <w:r w:rsidR="00030B47">
      <w:rPr>
        <w:rStyle w:val="PageNumber"/>
        <w:noProof/>
        <w:sz w:val="20"/>
        <w:szCs w:val="20"/>
      </w:rPr>
      <w:t>7</w:t>
    </w:r>
    <w:r w:rsidRPr="00B81698">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F1587B" w14:textId="77777777" w:rsidR="00EF1A94" w:rsidRDefault="00EF1A94">
      <w:r>
        <w:separator/>
      </w:r>
    </w:p>
  </w:footnote>
  <w:footnote w:type="continuationSeparator" w:id="0">
    <w:p w14:paraId="7BA3FAD7" w14:textId="77777777" w:rsidR="00EF1A94" w:rsidRDefault="00EF1A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activeWritingStyle w:appName="MSWord" w:lang="fr-FR" w:vendorID="64" w:dllVersion="4096" w:nlCheck="1" w:checkStyle="0"/>
  <w:activeWritingStyle w:appName="MSWord" w:lang="en-US" w:vendorID="64" w:dllVersion="4096"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AAE"/>
    <w:rsid w:val="000008C7"/>
    <w:rsid w:val="000121B3"/>
    <w:rsid w:val="00030B47"/>
    <w:rsid w:val="00031BE1"/>
    <w:rsid w:val="00031DCA"/>
    <w:rsid w:val="00053640"/>
    <w:rsid w:val="000546FF"/>
    <w:rsid w:val="00060452"/>
    <w:rsid w:val="00061131"/>
    <w:rsid w:val="00074427"/>
    <w:rsid w:val="00084B24"/>
    <w:rsid w:val="00086456"/>
    <w:rsid w:val="000A1C6A"/>
    <w:rsid w:val="000A2B63"/>
    <w:rsid w:val="000A2D02"/>
    <w:rsid w:val="000C6A65"/>
    <w:rsid w:val="000D272D"/>
    <w:rsid w:val="000D63E5"/>
    <w:rsid w:val="000E2C0B"/>
    <w:rsid w:val="00106854"/>
    <w:rsid w:val="0011642D"/>
    <w:rsid w:val="001206A5"/>
    <w:rsid w:val="0012467B"/>
    <w:rsid w:val="00140549"/>
    <w:rsid w:val="00151455"/>
    <w:rsid w:val="00160B52"/>
    <w:rsid w:val="00162AF9"/>
    <w:rsid w:val="0016398B"/>
    <w:rsid w:val="00166837"/>
    <w:rsid w:val="00193594"/>
    <w:rsid w:val="001971CE"/>
    <w:rsid w:val="001A68A3"/>
    <w:rsid w:val="001B1122"/>
    <w:rsid w:val="001B1243"/>
    <w:rsid w:val="001C2C88"/>
    <w:rsid w:val="001E5DCE"/>
    <w:rsid w:val="001F2100"/>
    <w:rsid w:val="002011E0"/>
    <w:rsid w:val="002106F7"/>
    <w:rsid w:val="00211EBA"/>
    <w:rsid w:val="00246DF3"/>
    <w:rsid w:val="002534AF"/>
    <w:rsid w:val="00267E52"/>
    <w:rsid w:val="00275CBC"/>
    <w:rsid w:val="00286F9C"/>
    <w:rsid w:val="0029195F"/>
    <w:rsid w:val="00293B8A"/>
    <w:rsid w:val="00295AAE"/>
    <w:rsid w:val="00295B71"/>
    <w:rsid w:val="002D5992"/>
    <w:rsid w:val="002F1D3C"/>
    <w:rsid w:val="002F3980"/>
    <w:rsid w:val="00304BED"/>
    <w:rsid w:val="00310A21"/>
    <w:rsid w:val="00316757"/>
    <w:rsid w:val="00337DBB"/>
    <w:rsid w:val="003458A9"/>
    <w:rsid w:val="00350024"/>
    <w:rsid w:val="00363A42"/>
    <w:rsid w:val="00395266"/>
    <w:rsid w:val="00395F9C"/>
    <w:rsid w:val="003A120A"/>
    <w:rsid w:val="003A42FC"/>
    <w:rsid w:val="003A62BD"/>
    <w:rsid w:val="003C0BF4"/>
    <w:rsid w:val="003C6472"/>
    <w:rsid w:val="003D6D83"/>
    <w:rsid w:val="003E5F7F"/>
    <w:rsid w:val="003E6B73"/>
    <w:rsid w:val="003F3510"/>
    <w:rsid w:val="003F562C"/>
    <w:rsid w:val="00440DA6"/>
    <w:rsid w:val="00441BFA"/>
    <w:rsid w:val="00467A01"/>
    <w:rsid w:val="004963C8"/>
    <w:rsid w:val="004975CB"/>
    <w:rsid w:val="004A1487"/>
    <w:rsid w:val="004A57AC"/>
    <w:rsid w:val="004A7A55"/>
    <w:rsid w:val="004C7B4C"/>
    <w:rsid w:val="004D299F"/>
    <w:rsid w:val="004D4E99"/>
    <w:rsid w:val="004E4459"/>
    <w:rsid w:val="004F0D9F"/>
    <w:rsid w:val="004F1A61"/>
    <w:rsid w:val="004F6B64"/>
    <w:rsid w:val="00500E3E"/>
    <w:rsid w:val="00502A51"/>
    <w:rsid w:val="00517B32"/>
    <w:rsid w:val="00521A67"/>
    <w:rsid w:val="00534898"/>
    <w:rsid w:val="00546C42"/>
    <w:rsid w:val="0055015E"/>
    <w:rsid w:val="00554C99"/>
    <w:rsid w:val="0056199C"/>
    <w:rsid w:val="00570602"/>
    <w:rsid w:val="005900B5"/>
    <w:rsid w:val="00596D32"/>
    <w:rsid w:val="005B5D12"/>
    <w:rsid w:val="005B70C4"/>
    <w:rsid w:val="005C3C09"/>
    <w:rsid w:val="005C4766"/>
    <w:rsid w:val="005D1A68"/>
    <w:rsid w:val="005E128D"/>
    <w:rsid w:val="005E3E86"/>
    <w:rsid w:val="005F1857"/>
    <w:rsid w:val="005F26D9"/>
    <w:rsid w:val="0061024E"/>
    <w:rsid w:val="00623291"/>
    <w:rsid w:val="00630D27"/>
    <w:rsid w:val="00635EA5"/>
    <w:rsid w:val="0064150C"/>
    <w:rsid w:val="0064272D"/>
    <w:rsid w:val="006579FB"/>
    <w:rsid w:val="00676866"/>
    <w:rsid w:val="00681355"/>
    <w:rsid w:val="00686F25"/>
    <w:rsid w:val="0069077B"/>
    <w:rsid w:val="00694F88"/>
    <w:rsid w:val="006974F1"/>
    <w:rsid w:val="006B5207"/>
    <w:rsid w:val="006C1816"/>
    <w:rsid w:val="006D38D2"/>
    <w:rsid w:val="006E5DD9"/>
    <w:rsid w:val="006F2B11"/>
    <w:rsid w:val="006F4D98"/>
    <w:rsid w:val="00733DA3"/>
    <w:rsid w:val="0073639F"/>
    <w:rsid w:val="00744022"/>
    <w:rsid w:val="007628DC"/>
    <w:rsid w:val="007714F2"/>
    <w:rsid w:val="00772E8A"/>
    <w:rsid w:val="00773085"/>
    <w:rsid w:val="00777E49"/>
    <w:rsid w:val="00792B45"/>
    <w:rsid w:val="00793CF5"/>
    <w:rsid w:val="00795720"/>
    <w:rsid w:val="007A2E8B"/>
    <w:rsid w:val="007B2CF2"/>
    <w:rsid w:val="007B602D"/>
    <w:rsid w:val="007C0F5E"/>
    <w:rsid w:val="007C5759"/>
    <w:rsid w:val="007D343B"/>
    <w:rsid w:val="007D4473"/>
    <w:rsid w:val="007D53E6"/>
    <w:rsid w:val="007E2F58"/>
    <w:rsid w:val="007F05B1"/>
    <w:rsid w:val="007F165B"/>
    <w:rsid w:val="00810D3B"/>
    <w:rsid w:val="00831577"/>
    <w:rsid w:val="00835D35"/>
    <w:rsid w:val="00841CFA"/>
    <w:rsid w:val="00846F99"/>
    <w:rsid w:val="0085148D"/>
    <w:rsid w:val="00851C72"/>
    <w:rsid w:val="00875C91"/>
    <w:rsid w:val="0087600F"/>
    <w:rsid w:val="00891284"/>
    <w:rsid w:val="00891B61"/>
    <w:rsid w:val="008946CF"/>
    <w:rsid w:val="00896635"/>
    <w:rsid w:val="008A56D6"/>
    <w:rsid w:val="008A74CB"/>
    <w:rsid w:val="008B3181"/>
    <w:rsid w:val="008C12C2"/>
    <w:rsid w:val="008D1157"/>
    <w:rsid w:val="008D2107"/>
    <w:rsid w:val="008D5C04"/>
    <w:rsid w:val="008F456D"/>
    <w:rsid w:val="008F50B0"/>
    <w:rsid w:val="008F65ED"/>
    <w:rsid w:val="00904ED9"/>
    <w:rsid w:val="00905001"/>
    <w:rsid w:val="00905C97"/>
    <w:rsid w:val="00910D4F"/>
    <w:rsid w:val="00932A7F"/>
    <w:rsid w:val="00932EB8"/>
    <w:rsid w:val="00934B56"/>
    <w:rsid w:val="00937368"/>
    <w:rsid w:val="00953232"/>
    <w:rsid w:val="0095381A"/>
    <w:rsid w:val="00955FA7"/>
    <w:rsid w:val="009650E4"/>
    <w:rsid w:val="00991BE2"/>
    <w:rsid w:val="009A24C1"/>
    <w:rsid w:val="009B16F4"/>
    <w:rsid w:val="009B3655"/>
    <w:rsid w:val="009C486D"/>
    <w:rsid w:val="009D7F6E"/>
    <w:rsid w:val="009E0962"/>
    <w:rsid w:val="009E65B4"/>
    <w:rsid w:val="009F3BD2"/>
    <w:rsid w:val="009F562C"/>
    <w:rsid w:val="009F5BF4"/>
    <w:rsid w:val="00A059D4"/>
    <w:rsid w:val="00A4120A"/>
    <w:rsid w:val="00A50BE3"/>
    <w:rsid w:val="00A619C5"/>
    <w:rsid w:val="00A67B56"/>
    <w:rsid w:val="00A70D0B"/>
    <w:rsid w:val="00A734B6"/>
    <w:rsid w:val="00A76D4B"/>
    <w:rsid w:val="00A87800"/>
    <w:rsid w:val="00A90DDC"/>
    <w:rsid w:val="00A92D54"/>
    <w:rsid w:val="00A95D8C"/>
    <w:rsid w:val="00AA3F16"/>
    <w:rsid w:val="00AB46FF"/>
    <w:rsid w:val="00AB61CD"/>
    <w:rsid w:val="00AC71A7"/>
    <w:rsid w:val="00AE084F"/>
    <w:rsid w:val="00AE52C8"/>
    <w:rsid w:val="00AE5E9E"/>
    <w:rsid w:val="00AF0A91"/>
    <w:rsid w:val="00AF1433"/>
    <w:rsid w:val="00B01F04"/>
    <w:rsid w:val="00B07A9C"/>
    <w:rsid w:val="00B24F2D"/>
    <w:rsid w:val="00B30710"/>
    <w:rsid w:val="00B41CE2"/>
    <w:rsid w:val="00B46875"/>
    <w:rsid w:val="00B605C7"/>
    <w:rsid w:val="00B62D1D"/>
    <w:rsid w:val="00B94110"/>
    <w:rsid w:val="00BA1CFC"/>
    <w:rsid w:val="00BA26B9"/>
    <w:rsid w:val="00BC7D49"/>
    <w:rsid w:val="00BD1836"/>
    <w:rsid w:val="00BD3842"/>
    <w:rsid w:val="00BD6085"/>
    <w:rsid w:val="00BD6CA1"/>
    <w:rsid w:val="00BE0D1E"/>
    <w:rsid w:val="00BE1F08"/>
    <w:rsid w:val="00BF59AD"/>
    <w:rsid w:val="00C11543"/>
    <w:rsid w:val="00C1517E"/>
    <w:rsid w:val="00C27114"/>
    <w:rsid w:val="00C278FE"/>
    <w:rsid w:val="00C31141"/>
    <w:rsid w:val="00C41244"/>
    <w:rsid w:val="00C47E37"/>
    <w:rsid w:val="00C544FC"/>
    <w:rsid w:val="00C55D98"/>
    <w:rsid w:val="00C61ACF"/>
    <w:rsid w:val="00C8431A"/>
    <w:rsid w:val="00C87FF3"/>
    <w:rsid w:val="00C91495"/>
    <w:rsid w:val="00C94E6E"/>
    <w:rsid w:val="00C9651A"/>
    <w:rsid w:val="00CB6D52"/>
    <w:rsid w:val="00CC1958"/>
    <w:rsid w:val="00CC4D35"/>
    <w:rsid w:val="00CD10A9"/>
    <w:rsid w:val="00CD2D32"/>
    <w:rsid w:val="00CD43ED"/>
    <w:rsid w:val="00CF571D"/>
    <w:rsid w:val="00D042D4"/>
    <w:rsid w:val="00D16280"/>
    <w:rsid w:val="00D1777D"/>
    <w:rsid w:val="00D22DAA"/>
    <w:rsid w:val="00D243E2"/>
    <w:rsid w:val="00D25C26"/>
    <w:rsid w:val="00D26B22"/>
    <w:rsid w:val="00D5112C"/>
    <w:rsid w:val="00D53403"/>
    <w:rsid w:val="00D540A4"/>
    <w:rsid w:val="00D60C27"/>
    <w:rsid w:val="00D64881"/>
    <w:rsid w:val="00D709D3"/>
    <w:rsid w:val="00D70F53"/>
    <w:rsid w:val="00D776F9"/>
    <w:rsid w:val="00D813D6"/>
    <w:rsid w:val="00DC2A81"/>
    <w:rsid w:val="00DC49D0"/>
    <w:rsid w:val="00DC4DD7"/>
    <w:rsid w:val="00DD0AC7"/>
    <w:rsid w:val="00DD4ED3"/>
    <w:rsid w:val="00DE09D7"/>
    <w:rsid w:val="00DE17B1"/>
    <w:rsid w:val="00DE1DEC"/>
    <w:rsid w:val="00DF6832"/>
    <w:rsid w:val="00E01C3C"/>
    <w:rsid w:val="00E03A29"/>
    <w:rsid w:val="00E10C62"/>
    <w:rsid w:val="00E10F6C"/>
    <w:rsid w:val="00E16FDF"/>
    <w:rsid w:val="00E4107F"/>
    <w:rsid w:val="00E6682D"/>
    <w:rsid w:val="00EA79EB"/>
    <w:rsid w:val="00EE1963"/>
    <w:rsid w:val="00EE1B56"/>
    <w:rsid w:val="00EF1A94"/>
    <w:rsid w:val="00EF70C2"/>
    <w:rsid w:val="00EF7A14"/>
    <w:rsid w:val="00F01428"/>
    <w:rsid w:val="00F306FD"/>
    <w:rsid w:val="00F30A25"/>
    <w:rsid w:val="00F34FB5"/>
    <w:rsid w:val="00F46594"/>
    <w:rsid w:val="00F62F67"/>
    <w:rsid w:val="00F70BE8"/>
    <w:rsid w:val="00F71276"/>
    <w:rsid w:val="00F73CBD"/>
    <w:rsid w:val="00F80DC3"/>
    <w:rsid w:val="00F82B1E"/>
    <w:rsid w:val="00FC0BB3"/>
    <w:rsid w:val="00FC45F4"/>
    <w:rsid w:val="00FC5578"/>
    <w:rsid w:val="00FD7FB9"/>
    <w:rsid w:val="00FE32A3"/>
    <w:rsid w:val="00FF02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1A59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AAE"/>
    <w:pPr>
      <w:spacing w:after="0" w:line="240" w:lineRule="auto"/>
    </w:pPr>
    <w:rPr>
      <w:rFonts w:eastAsia="Times New Roman" w:cs="Times New Roman"/>
      <w:kern w:val="0"/>
      <w:szCs w:val="24"/>
      <w:lang w:val="lv-LV"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95AAE"/>
    <w:pPr>
      <w:spacing w:after="120" w:line="480" w:lineRule="auto"/>
    </w:pPr>
    <w:rPr>
      <w:lang w:val="x-none"/>
    </w:rPr>
  </w:style>
  <w:style w:type="character" w:customStyle="1" w:styleId="BodyText2Char">
    <w:name w:val="Body Text 2 Char"/>
    <w:basedOn w:val="DefaultParagraphFont"/>
    <w:link w:val="BodyText2"/>
    <w:rsid w:val="00295AAE"/>
    <w:rPr>
      <w:rFonts w:eastAsia="Times New Roman" w:cs="Times New Roman"/>
      <w:kern w:val="0"/>
      <w:szCs w:val="24"/>
      <w:lang w:val="x-none" w:eastAsia="ru-RU"/>
      <w14:ligatures w14:val="none"/>
    </w:rPr>
  </w:style>
  <w:style w:type="paragraph" w:styleId="Footer">
    <w:name w:val="footer"/>
    <w:basedOn w:val="Normal"/>
    <w:link w:val="FooterChar"/>
    <w:unhideWhenUsed/>
    <w:rsid w:val="00295AAE"/>
    <w:pPr>
      <w:tabs>
        <w:tab w:val="center" w:pos="4153"/>
        <w:tab w:val="right" w:pos="8306"/>
      </w:tabs>
    </w:pPr>
  </w:style>
  <w:style w:type="character" w:customStyle="1" w:styleId="FooterChar">
    <w:name w:val="Footer Char"/>
    <w:basedOn w:val="DefaultParagraphFont"/>
    <w:link w:val="Footer"/>
    <w:rsid w:val="00295AAE"/>
    <w:rPr>
      <w:rFonts w:eastAsia="Times New Roman" w:cs="Times New Roman"/>
      <w:kern w:val="0"/>
      <w:szCs w:val="24"/>
      <w:lang w:val="lv-LV" w:eastAsia="ru-RU"/>
      <w14:ligatures w14:val="none"/>
    </w:rPr>
  </w:style>
  <w:style w:type="character" w:styleId="PageNumber">
    <w:name w:val="page number"/>
    <w:basedOn w:val="DefaultParagraphFont"/>
    <w:rsid w:val="00295AAE"/>
  </w:style>
  <w:style w:type="character" w:styleId="Hyperlink">
    <w:name w:val="Hyperlink"/>
    <w:basedOn w:val="DefaultParagraphFont"/>
    <w:uiPriority w:val="99"/>
    <w:unhideWhenUsed/>
    <w:rsid w:val="00295AAE"/>
    <w:rPr>
      <w:color w:val="0563C1" w:themeColor="hyperlink"/>
      <w:u w:val="single"/>
    </w:rPr>
  </w:style>
  <w:style w:type="character" w:styleId="UnresolvedMention">
    <w:name w:val="Unresolved Mention"/>
    <w:basedOn w:val="DefaultParagraphFont"/>
    <w:uiPriority w:val="99"/>
    <w:semiHidden/>
    <w:unhideWhenUsed/>
    <w:rsid w:val="00160B52"/>
    <w:rPr>
      <w:color w:val="605E5C"/>
      <w:shd w:val="clear" w:color="auto" w:fill="E1DFDD"/>
    </w:rPr>
  </w:style>
  <w:style w:type="paragraph" w:styleId="Revision">
    <w:name w:val="Revision"/>
    <w:hidden/>
    <w:uiPriority w:val="99"/>
    <w:semiHidden/>
    <w:rsid w:val="00293B8A"/>
    <w:pPr>
      <w:spacing w:after="0" w:line="240" w:lineRule="auto"/>
    </w:pPr>
    <w:rPr>
      <w:rFonts w:eastAsia="Times New Roman" w:cs="Times New Roman"/>
      <w:kern w:val="0"/>
      <w:szCs w:val="24"/>
      <w:lang w:val="lv-LV" w:eastAsia="ru-RU"/>
      <w14:ligatures w14:val="none"/>
    </w:rPr>
  </w:style>
  <w:style w:type="character" w:styleId="CommentReference">
    <w:name w:val="annotation reference"/>
    <w:basedOn w:val="DefaultParagraphFont"/>
    <w:uiPriority w:val="99"/>
    <w:semiHidden/>
    <w:unhideWhenUsed/>
    <w:rsid w:val="00293B8A"/>
    <w:rPr>
      <w:sz w:val="16"/>
      <w:szCs w:val="16"/>
    </w:rPr>
  </w:style>
  <w:style w:type="paragraph" w:styleId="CommentText">
    <w:name w:val="annotation text"/>
    <w:basedOn w:val="Normal"/>
    <w:link w:val="CommentTextChar"/>
    <w:uiPriority w:val="99"/>
    <w:unhideWhenUsed/>
    <w:rsid w:val="00293B8A"/>
    <w:rPr>
      <w:sz w:val="20"/>
      <w:szCs w:val="20"/>
    </w:rPr>
  </w:style>
  <w:style w:type="character" w:customStyle="1" w:styleId="CommentTextChar">
    <w:name w:val="Comment Text Char"/>
    <w:basedOn w:val="DefaultParagraphFont"/>
    <w:link w:val="CommentText"/>
    <w:uiPriority w:val="99"/>
    <w:rsid w:val="00293B8A"/>
    <w:rPr>
      <w:rFonts w:eastAsia="Times New Roman" w:cs="Times New Roman"/>
      <w:kern w:val="0"/>
      <w:sz w:val="20"/>
      <w:szCs w:val="20"/>
      <w:lang w:val="lv-LV" w:eastAsia="ru-RU"/>
      <w14:ligatures w14:val="none"/>
    </w:rPr>
  </w:style>
  <w:style w:type="paragraph" w:styleId="CommentSubject">
    <w:name w:val="annotation subject"/>
    <w:basedOn w:val="CommentText"/>
    <w:next w:val="CommentText"/>
    <w:link w:val="CommentSubjectChar"/>
    <w:uiPriority w:val="99"/>
    <w:semiHidden/>
    <w:unhideWhenUsed/>
    <w:rsid w:val="00293B8A"/>
    <w:rPr>
      <w:b/>
      <w:bCs/>
    </w:rPr>
  </w:style>
  <w:style w:type="character" w:customStyle="1" w:styleId="CommentSubjectChar">
    <w:name w:val="Comment Subject Char"/>
    <w:basedOn w:val="CommentTextChar"/>
    <w:link w:val="CommentSubject"/>
    <w:uiPriority w:val="99"/>
    <w:semiHidden/>
    <w:rsid w:val="00293B8A"/>
    <w:rPr>
      <w:rFonts w:eastAsia="Times New Roman" w:cs="Times New Roman"/>
      <w:b/>
      <w:bCs/>
      <w:kern w:val="0"/>
      <w:sz w:val="20"/>
      <w:szCs w:val="20"/>
      <w:lang w:val="lv-LV" w:eastAsia="ru-RU"/>
      <w14:ligatures w14:val="none"/>
    </w:rPr>
  </w:style>
  <w:style w:type="paragraph" w:customStyle="1" w:styleId="Default">
    <w:name w:val="Default"/>
    <w:rsid w:val="00031DCA"/>
    <w:pPr>
      <w:autoSpaceDE w:val="0"/>
      <w:autoSpaceDN w:val="0"/>
      <w:adjustRightInd w:val="0"/>
      <w:spacing w:after="0" w:line="240" w:lineRule="auto"/>
    </w:pPr>
    <w:rPr>
      <w:rFonts w:cs="Times New Roman"/>
      <w:color w:val="000000"/>
      <w:kern w:val="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075523">
      <w:bodyDiv w:val="1"/>
      <w:marLeft w:val="0"/>
      <w:marRight w:val="0"/>
      <w:marTop w:val="0"/>
      <w:marBottom w:val="0"/>
      <w:divBdr>
        <w:top w:val="none" w:sz="0" w:space="0" w:color="auto"/>
        <w:left w:val="none" w:sz="0" w:space="0" w:color="auto"/>
        <w:bottom w:val="none" w:sz="0" w:space="0" w:color="auto"/>
        <w:right w:val="none" w:sz="0" w:space="0" w:color="auto"/>
      </w:divBdr>
    </w:div>
    <w:div w:id="168912557">
      <w:bodyDiv w:val="1"/>
      <w:marLeft w:val="0"/>
      <w:marRight w:val="0"/>
      <w:marTop w:val="0"/>
      <w:marBottom w:val="0"/>
      <w:divBdr>
        <w:top w:val="none" w:sz="0" w:space="0" w:color="auto"/>
        <w:left w:val="none" w:sz="0" w:space="0" w:color="auto"/>
        <w:bottom w:val="none" w:sz="0" w:space="0" w:color="auto"/>
        <w:right w:val="none" w:sz="0" w:space="0" w:color="auto"/>
      </w:divBdr>
    </w:div>
    <w:div w:id="617833665">
      <w:bodyDiv w:val="1"/>
      <w:marLeft w:val="0"/>
      <w:marRight w:val="0"/>
      <w:marTop w:val="0"/>
      <w:marBottom w:val="0"/>
      <w:divBdr>
        <w:top w:val="none" w:sz="0" w:space="0" w:color="auto"/>
        <w:left w:val="none" w:sz="0" w:space="0" w:color="auto"/>
        <w:bottom w:val="none" w:sz="0" w:space="0" w:color="auto"/>
        <w:right w:val="none" w:sz="0" w:space="0" w:color="auto"/>
      </w:divBdr>
      <w:divsChild>
        <w:div w:id="2103528876">
          <w:marLeft w:val="0"/>
          <w:marRight w:val="0"/>
          <w:marTop w:val="0"/>
          <w:marBottom w:val="0"/>
          <w:divBdr>
            <w:top w:val="none" w:sz="0" w:space="0" w:color="auto"/>
            <w:left w:val="none" w:sz="0" w:space="0" w:color="auto"/>
            <w:bottom w:val="none" w:sz="0" w:space="0" w:color="auto"/>
            <w:right w:val="none" w:sz="0" w:space="0" w:color="auto"/>
          </w:divBdr>
        </w:div>
      </w:divsChild>
    </w:div>
    <w:div w:id="707293500">
      <w:bodyDiv w:val="1"/>
      <w:marLeft w:val="0"/>
      <w:marRight w:val="0"/>
      <w:marTop w:val="0"/>
      <w:marBottom w:val="0"/>
      <w:divBdr>
        <w:top w:val="none" w:sz="0" w:space="0" w:color="auto"/>
        <w:left w:val="none" w:sz="0" w:space="0" w:color="auto"/>
        <w:bottom w:val="none" w:sz="0" w:space="0" w:color="auto"/>
        <w:right w:val="none" w:sz="0" w:space="0" w:color="auto"/>
      </w:divBdr>
    </w:div>
    <w:div w:id="1149440347">
      <w:bodyDiv w:val="1"/>
      <w:marLeft w:val="0"/>
      <w:marRight w:val="0"/>
      <w:marTop w:val="0"/>
      <w:marBottom w:val="0"/>
      <w:divBdr>
        <w:top w:val="none" w:sz="0" w:space="0" w:color="auto"/>
        <w:left w:val="none" w:sz="0" w:space="0" w:color="auto"/>
        <w:bottom w:val="none" w:sz="0" w:space="0" w:color="auto"/>
        <w:right w:val="none" w:sz="0" w:space="0" w:color="auto"/>
      </w:divBdr>
    </w:div>
    <w:div w:id="1361514928">
      <w:bodyDiv w:val="1"/>
      <w:marLeft w:val="0"/>
      <w:marRight w:val="0"/>
      <w:marTop w:val="0"/>
      <w:marBottom w:val="0"/>
      <w:divBdr>
        <w:top w:val="none" w:sz="0" w:space="0" w:color="auto"/>
        <w:left w:val="none" w:sz="0" w:space="0" w:color="auto"/>
        <w:bottom w:val="none" w:sz="0" w:space="0" w:color="auto"/>
        <w:right w:val="none" w:sz="0" w:space="0" w:color="auto"/>
      </w:divBdr>
      <w:divsChild>
        <w:div w:id="615989666">
          <w:marLeft w:val="0"/>
          <w:marRight w:val="0"/>
          <w:marTop w:val="0"/>
          <w:marBottom w:val="0"/>
          <w:divBdr>
            <w:top w:val="none" w:sz="0" w:space="0" w:color="auto"/>
            <w:left w:val="none" w:sz="0" w:space="0" w:color="auto"/>
            <w:bottom w:val="none" w:sz="0" w:space="0" w:color="auto"/>
            <w:right w:val="none" w:sz="0" w:space="0" w:color="auto"/>
          </w:divBdr>
        </w:div>
      </w:divsChild>
    </w:div>
    <w:div w:id="1419403433">
      <w:bodyDiv w:val="1"/>
      <w:marLeft w:val="0"/>
      <w:marRight w:val="0"/>
      <w:marTop w:val="0"/>
      <w:marBottom w:val="0"/>
      <w:divBdr>
        <w:top w:val="none" w:sz="0" w:space="0" w:color="auto"/>
        <w:left w:val="none" w:sz="0" w:space="0" w:color="auto"/>
        <w:bottom w:val="none" w:sz="0" w:space="0" w:color="auto"/>
        <w:right w:val="none" w:sz="0" w:space="0" w:color="auto"/>
      </w:divBdr>
    </w:div>
    <w:div w:id="1804229476">
      <w:bodyDiv w:val="1"/>
      <w:marLeft w:val="0"/>
      <w:marRight w:val="0"/>
      <w:marTop w:val="0"/>
      <w:marBottom w:val="0"/>
      <w:divBdr>
        <w:top w:val="none" w:sz="0" w:space="0" w:color="auto"/>
        <w:left w:val="none" w:sz="0" w:space="0" w:color="auto"/>
        <w:bottom w:val="none" w:sz="0" w:space="0" w:color="auto"/>
        <w:right w:val="none" w:sz="0" w:space="0" w:color="auto"/>
      </w:divBdr>
    </w:div>
    <w:div w:id="185985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files/uploads/files/6_Judikatura/Senata_prieksedetaju_sedes_lemumi/Dep_prieks_sede_28_11_2019%20(1).docx" TargetMode="External"/><Relationship Id="rId3" Type="http://schemas.openxmlformats.org/officeDocument/2006/relationships/webSettings" Target="webSettings.xml"/><Relationship Id="rId7" Type="http://schemas.openxmlformats.org/officeDocument/2006/relationships/hyperlink" Target="https://manas.tiesas.lv/eTiesasMvc/eclinolemumi/ECLI:LV:AT:2020:0827.SKA131420.3.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539576.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manas.tiesas.lv/eTiesasMvc/eclinolemumi/ECLI:LV:AT:2023:0629.A420164621.17.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14823</Words>
  <Characters>8450</Characters>
  <Application>Microsoft Office Word</Application>
  <DocSecurity>0</DocSecurity>
  <Lines>70</Lines>
  <Paragraphs>46</Paragraphs>
  <ScaleCrop>false</ScaleCrop>
  <Company/>
  <LinksUpToDate>false</LinksUpToDate>
  <CharactersWithSpaces>23227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2024-10-07T10:30:00Z</dcterms:created>
  <dcterms:modified xsi:type="dcterms:W3CDTF">2024-10-07T10:30:00Z</dcterms:modified>
</cp:coreProperties>
</file>