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A94C" w14:textId="77777777" w:rsidR="000E6AC1" w:rsidRDefault="000E6AC1" w:rsidP="0045148A">
      <w:pPr>
        <w:spacing w:line="276" w:lineRule="auto"/>
        <w:rPr>
          <w:b/>
          <w:bCs/>
          <w:szCs w:val="22"/>
          <w:lang w:eastAsia="en-US"/>
        </w:rPr>
      </w:pPr>
      <w:r>
        <w:rPr>
          <w:b/>
          <w:bCs/>
        </w:rPr>
        <w:t>Aritmētisku kļūdu labošana pretendenta iesniegtajā publiskā iepirkuma piedāvājumā</w:t>
      </w:r>
    </w:p>
    <w:p w14:paraId="565E9F73" w14:textId="77777777" w:rsidR="000E6AC1" w:rsidRDefault="000E6AC1" w:rsidP="0045148A">
      <w:pPr>
        <w:spacing w:line="276" w:lineRule="auto"/>
        <w:jc w:val="both"/>
      </w:pPr>
      <w:r>
        <w:t>1. Pasūtītāja tiesības labot aritmētiskas kļūdas pretendentu iesniegtajos piedāvājumos ir aplūkojamas kopsakarā ar regulējumu, kas iepirkuma procedūrā pieļauj piedāvājuma papildināšanu vai precizēšanu, ciktāl šāda papildināšana vai precizēšana negroza piedāvājumu pēc būtības.</w:t>
      </w:r>
    </w:p>
    <w:p w14:paraId="0717ECA0" w14:textId="77777777" w:rsidR="000E6AC1" w:rsidRDefault="000E6AC1" w:rsidP="0045148A">
      <w:pPr>
        <w:spacing w:line="276" w:lineRule="auto"/>
        <w:jc w:val="both"/>
      </w:pPr>
      <w:r>
        <w:t>Minētais regulējums ļauj izvairīties no situācijas, kad pasūtītājam kāds pretendents ir jāizslēdz no dalības iepirkuma procedūrā vienīgi formālu iemeslu dēļ, kas novestu pie konkurences samazināšanās konkrētajā iepirkumā un līdz ar to – arī pie lielākas iespējas, ka valsts (vai pašvaldības) līdzekļi netiek izmantoti iespējami visefektīvākajā veidā. Vienlaikus šāds regulējums ir vērsts arī uz to, lai vienlīdzīgas attieksmes pret pretendentiem nodrošināšanas nolūkā neviens pretendents netiktu nostādīts labvēlīgākā situācijā attiecībā pret citiem pretendentiem, ļaujot tam izskaidrot vai papildināt piedāvājumu tādā veidā, kas var ietekmēt konkurenci un radīt šaubas par pasūtītāja favorītismu pret konkrēto pretendentu vai patvaļību. Līdz ar to šāds regulējums būtībā ir kompromisu rezultāts, ar to cenšoties panākt pēc iespējas taisnīgāko līdzsvaru starp dažādajiem visu publisko iepirkumu procedūru caurvijošajiem pamatprincipiem.</w:t>
      </w:r>
    </w:p>
    <w:p w14:paraId="2EF4BCDC" w14:textId="696E0DB1" w:rsidR="00447EE6" w:rsidRPr="00011547" w:rsidRDefault="000E6AC1" w:rsidP="0045148A">
      <w:pPr>
        <w:spacing w:line="276" w:lineRule="auto"/>
        <w:jc w:val="both"/>
      </w:pPr>
      <w:r>
        <w:t xml:space="preserve">2. Vērtējot, vai konkrētā situācijā ir pieļaujama piedāvājuma papildināšana (precizēšana), izšķiroša nozīme ir piešķirama tam, vai šāda papildināšana ir pretrunā ar iepirkuma procedūras pamatprincipiem, jo īpaši vienlīdzīgas attieksmes pret pretendentiem principu un </w:t>
      </w:r>
      <w:proofErr w:type="spellStart"/>
      <w:r>
        <w:t>pārredzamības</w:t>
      </w:r>
      <w:proofErr w:type="spellEnd"/>
      <w:r>
        <w:t xml:space="preserve"> principu. Ja nekādas pretrunas ar šiem principiem nav konstatējamas, būtu pārlieku formāli un pretēji piedāvājuma papildināšanas (precizēšanas) institūta būtībai uzskatīt, ka attiecīgais piedāvājums nevar tikt papildināts vai precizēts.</w:t>
      </w:r>
    </w:p>
    <w:p w14:paraId="7DFE14B1" w14:textId="062990C1" w:rsidR="00447EE6" w:rsidRPr="00011547" w:rsidRDefault="00447EE6" w:rsidP="0045148A">
      <w:pPr>
        <w:spacing w:before="240" w:line="276" w:lineRule="auto"/>
        <w:jc w:val="center"/>
        <w:rPr>
          <w:b/>
        </w:rPr>
      </w:pPr>
      <w:r w:rsidRPr="00011547">
        <w:rPr>
          <w:b/>
        </w:rPr>
        <w:t>Latvijas Republikas Senāt</w:t>
      </w:r>
      <w:r w:rsidR="000E6AC1">
        <w:rPr>
          <w:b/>
        </w:rPr>
        <w:t>a</w:t>
      </w:r>
      <w:r w:rsidR="000E6AC1">
        <w:rPr>
          <w:b/>
        </w:rPr>
        <w:br/>
        <w:t>Administratīvo lietu departamenta</w:t>
      </w:r>
      <w:r w:rsidR="000E6AC1">
        <w:rPr>
          <w:b/>
        </w:rPr>
        <w:br/>
        <w:t>2024.gada 20.septembra</w:t>
      </w:r>
    </w:p>
    <w:p w14:paraId="176CC32A" w14:textId="77777777" w:rsidR="00447EE6" w:rsidRDefault="00447EE6" w:rsidP="0045148A">
      <w:pPr>
        <w:spacing w:line="276" w:lineRule="auto"/>
        <w:jc w:val="center"/>
        <w:rPr>
          <w:b/>
        </w:rPr>
      </w:pPr>
      <w:r w:rsidRPr="00D160F6">
        <w:rPr>
          <w:b/>
        </w:rPr>
        <w:t>SPRIEDUMS</w:t>
      </w:r>
      <w:r w:rsidDel="000D5B2A">
        <w:rPr>
          <w:b/>
        </w:rPr>
        <w:t xml:space="preserve"> </w:t>
      </w:r>
    </w:p>
    <w:p w14:paraId="42B15CD9" w14:textId="3BF2E158" w:rsidR="000E6AC1" w:rsidRPr="000E6AC1" w:rsidRDefault="000E6AC1" w:rsidP="0045148A">
      <w:pPr>
        <w:spacing w:line="276" w:lineRule="auto"/>
        <w:jc w:val="center"/>
        <w:rPr>
          <w:b/>
          <w:bCs/>
        </w:rPr>
      </w:pPr>
      <w:r w:rsidRPr="000E6AC1">
        <w:rPr>
          <w:b/>
          <w:bCs/>
        </w:rPr>
        <w:t>Lieta Nr. A420219620</w:t>
      </w:r>
      <w:r w:rsidRPr="000E6AC1">
        <w:rPr>
          <w:b/>
          <w:bCs/>
          <w:lang w:eastAsia="lv-LV"/>
        </w:rPr>
        <w:t xml:space="preserve">, </w:t>
      </w:r>
      <w:r w:rsidRPr="000E6AC1">
        <w:rPr>
          <w:b/>
          <w:bCs/>
        </w:rPr>
        <w:t>SKA-117/2024</w:t>
      </w:r>
    </w:p>
    <w:p w14:paraId="6EF8157A" w14:textId="26E90B13" w:rsidR="000E6AC1" w:rsidRDefault="000E6AC1" w:rsidP="0045148A">
      <w:pPr>
        <w:spacing w:line="276" w:lineRule="auto"/>
        <w:jc w:val="center"/>
      </w:pPr>
      <w:hyperlink r:id="rId8" w:history="1">
        <w:r w:rsidRPr="000E6AC1">
          <w:rPr>
            <w:rStyle w:val="Hyperlink"/>
          </w:rPr>
          <w:t xml:space="preserve"> </w:t>
        </w:r>
        <w:r w:rsidRPr="000E6AC1">
          <w:rPr>
            <w:rStyle w:val="Hyperlink"/>
            <w:sz w:val="23"/>
            <w:szCs w:val="23"/>
          </w:rPr>
          <w:t>ECLI:LV:AT:2024:0920.A4202196</w:t>
        </w:r>
        <w:r w:rsidRPr="000E6AC1">
          <w:rPr>
            <w:rStyle w:val="Hyperlink"/>
            <w:sz w:val="23"/>
            <w:szCs w:val="23"/>
          </w:rPr>
          <w:t>20.14.S</w:t>
        </w:r>
      </w:hyperlink>
    </w:p>
    <w:p w14:paraId="700E1FBE" w14:textId="77777777" w:rsidR="00411CD0" w:rsidRPr="00011547" w:rsidRDefault="00411CD0" w:rsidP="0045148A">
      <w:pPr>
        <w:spacing w:line="276" w:lineRule="auto"/>
        <w:ind w:firstLine="720"/>
        <w:jc w:val="center"/>
      </w:pPr>
    </w:p>
    <w:p w14:paraId="68E4AE23" w14:textId="0AE2D2BE" w:rsidR="00447EE6" w:rsidRPr="00B930C8" w:rsidRDefault="00447EE6" w:rsidP="0045148A">
      <w:pPr>
        <w:spacing w:line="276" w:lineRule="auto"/>
        <w:ind w:firstLine="720"/>
        <w:jc w:val="both"/>
      </w:pPr>
      <w:r w:rsidRPr="00B930C8">
        <w:t>Senāts šādā sastāvā:</w:t>
      </w:r>
      <w:r w:rsidR="00D25D87" w:rsidRPr="00B930C8">
        <w:t xml:space="preserve"> senatore referente </w:t>
      </w:r>
      <w:r w:rsidR="00B930C8" w:rsidRPr="00B930C8">
        <w:t>Ieva Višķere</w:t>
      </w:r>
      <w:r w:rsidR="00D25D87" w:rsidRPr="00B930C8">
        <w:t xml:space="preserve">, senatores </w:t>
      </w:r>
      <w:r w:rsidR="00B930C8" w:rsidRPr="00B930C8">
        <w:t>Dzintra Amerika</w:t>
      </w:r>
      <w:r w:rsidR="00D25D87" w:rsidRPr="00B930C8">
        <w:t xml:space="preserve"> un </w:t>
      </w:r>
      <w:r w:rsidR="00B930C8" w:rsidRPr="00B930C8">
        <w:t>Indra Meldere</w:t>
      </w:r>
    </w:p>
    <w:p w14:paraId="27F96722" w14:textId="77777777" w:rsidR="00A11873" w:rsidRPr="00B930C8" w:rsidRDefault="00A11873" w:rsidP="0045148A">
      <w:pPr>
        <w:spacing w:line="276" w:lineRule="auto"/>
        <w:ind w:firstLine="720"/>
        <w:jc w:val="both"/>
      </w:pPr>
    </w:p>
    <w:p w14:paraId="25F644D7" w14:textId="563EEB5E" w:rsidR="00A11873" w:rsidRDefault="00A11873" w:rsidP="0045148A">
      <w:pPr>
        <w:spacing w:line="276" w:lineRule="auto"/>
        <w:ind w:firstLine="720"/>
        <w:jc w:val="both"/>
      </w:pPr>
      <w:r w:rsidRPr="00B930C8">
        <w:t>rakstveida procesā izskatīja administratīvo</w:t>
      </w:r>
      <w:r w:rsidRPr="0082381C">
        <w:t xml:space="preserve"> lietu, kas ierosināta, pamatojoties uz </w:t>
      </w:r>
      <w:r w:rsidR="00330F39">
        <w:t>SIA </w:t>
      </w:r>
      <w:r w:rsidR="00B930C8">
        <w:t>„PANKŪKAS.LV”</w:t>
      </w:r>
      <w:r w:rsidR="005140BB">
        <w:t xml:space="preserve"> pieteikumu par </w:t>
      </w:r>
      <w:r w:rsidR="005140BB" w:rsidRPr="00B00B46">
        <w:t>Iepirkumu uzraudzības biroja 2020.gada 20.jūlija lēmuma Nr. 4-1.3/1537</w:t>
      </w:r>
      <w:r w:rsidR="005140BB">
        <w:t xml:space="preserve"> atzīšanu par prettiesisku un zaudējumu un nemantiskā kaitējuma atlīdzinājumu</w:t>
      </w:r>
      <w:r w:rsidRPr="0082381C">
        <w:t>, s</w:t>
      </w:r>
      <w:r>
        <w:t>a</w:t>
      </w:r>
      <w:r w:rsidRPr="0082381C">
        <w:t xml:space="preserve">karā ar </w:t>
      </w:r>
      <w:r w:rsidR="00904FC3">
        <w:t>Iepirkumu uzraudzības biroja</w:t>
      </w:r>
      <w:r w:rsidR="005140BB">
        <w:t xml:space="preserve"> </w:t>
      </w:r>
      <w:r w:rsidRPr="0082381C">
        <w:t xml:space="preserve">kasācijas sūdzību par </w:t>
      </w:r>
      <w:r>
        <w:t xml:space="preserve">Administratīvās </w:t>
      </w:r>
      <w:r w:rsidR="005140BB">
        <w:t xml:space="preserve">rajona tiesas 2022.gada 17.jūnija </w:t>
      </w:r>
      <w:r w:rsidRPr="0082381C">
        <w:t>spriedumu</w:t>
      </w:r>
      <w:r w:rsidR="00904FC3">
        <w:t xml:space="preserve"> daļā</w:t>
      </w:r>
      <w:r w:rsidRPr="0082381C">
        <w:t>.</w:t>
      </w:r>
    </w:p>
    <w:p w14:paraId="73BBBC80" w14:textId="77777777" w:rsidR="00411CD0" w:rsidRDefault="00411CD0" w:rsidP="0045148A">
      <w:pPr>
        <w:spacing w:line="276" w:lineRule="auto"/>
        <w:ind w:firstLine="720"/>
        <w:jc w:val="both"/>
      </w:pPr>
    </w:p>
    <w:p w14:paraId="043B76E3" w14:textId="77777777" w:rsidR="00447EE6" w:rsidRDefault="00447EE6" w:rsidP="0045148A">
      <w:pPr>
        <w:spacing w:line="276" w:lineRule="auto"/>
        <w:jc w:val="center"/>
        <w:rPr>
          <w:b/>
          <w:shd w:val="clear" w:color="auto" w:fill="FFFFFF"/>
        </w:rPr>
      </w:pPr>
      <w:r w:rsidRPr="00011547">
        <w:rPr>
          <w:b/>
          <w:shd w:val="clear" w:color="auto" w:fill="FFFFFF"/>
        </w:rPr>
        <w:t>Aprakstošā daļa</w:t>
      </w:r>
    </w:p>
    <w:p w14:paraId="784C83A8" w14:textId="77777777" w:rsidR="00411CD0" w:rsidRPr="00011547" w:rsidRDefault="00411CD0" w:rsidP="0045148A">
      <w:pPr>
        <w:spacing w:line="276" w:lineRule="auto"/>
        <w:jc w:val="center"/>
        <w:rPr>
          <w:shd w:val="clear" w:color="auto" w:fill="FFFFFF"/>
        </w:rPr>
      </w:pPr>
    </w:p>
    <w:p w14:paraId="6F79B5C7" w14:textId="21A9FF65" w:rsidR="00813C79" w:rsidRDefault="00447EE6" w:rsidP="0045148A">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lastRenderedPageBreak/>
        <w:t>[1]</w:t>
      </w:r>
      <w:r w:rsidR="002F6991">
        <w:rPr>
          <w:shd w:val="clear" w:color="auto" w:fill="FFFFFF"/>
        </w:rPr>
        <w:t xml:space="preserve"> Pasūtītājs Valsts asinsdonoru centrs </w:t>
      </w:r>
      <w:r w:rsidR="00127898">
        <w:rPr>
          <w:shd w:val="clear" w:color="auto" w:fill="FFFFFF"/>
        </w:rPr>
        <w:t>2020.gada 27.martā izsludināja atklātu konkursu „Donoru uzkodu komplektu piegāde”</w:t>
      </w:r>
      <w:r w:rsidR="00AC1912">
        <w:rPr>
          <w:shd w:val="clear" w:color="auto" w:fill="FFFFFF"/>
        </w:rPr>
        <w:t xml:space="preserve"> (id. Nr. VADC 2020/15)</w:t>
      </w:r>
      <w:r w:rsidR="00CF7790">
        <w:rPr>
          <w:shd w:val="clear" w:color="auto" w:fill="FFFFFF"/>
        </w:rPr>
        <w:t xml:space="preserve">, </w:t>
      </w:r>
      <w:r w:rsidR="00701FEA">
        <w:rPr>
          <w:shd w:val="clear" w:color="auto" w:fill="FFFFFF"/>
        </w:rPr>
        <w:t xml:space="preserve">iepirkuma nolikumā </w:t>
      </w:r>
      <w:r w:rsidR="0048261B">
        <w:rPr>
          <w:shd w:val="clear" w:color="auto" w:fill="FFFFFF"/>
        </w:rPr>
        <w:t xml:space="preserve">paredzot, ka iegādāsies </w:t>
      </w:r>
      <w:r w:rsidR="00AC51E6">
        <w:rPr>
          <w:shd w:val="clear" w:color="auto" w:fill="FFFFFF"/>
        </w:rPr>
        <w:t xml:space="preserve">kopumā </w:t>
      </w:r>
      <w:r w:rsidR="0048261B">
        <w:rPr>
          <w:shd w:val="clear" w:color="auto" w:fill="FFFFFF"/>
        </w:rPr>
        <w:t xml:space="preserve">50 000 vienības </w:t>
      </w:r>
      <w:r w:rsidR="00942198">
        <w:rPr>
          <w:shd w:val="clear" w:color="auto" w:fill="FFFFFF"/>
        </w:rPr>
        <w:t>uzkodu</w:t>
      </w:r>
      <w:r w:rsidR="0048261B">
        <w:rPr>
          <w:shd w:val="clear" w:color="auto" w:fill="FFFFFF"/>
        </w:rPr>
        <w:t xml:space="preserve"> komplektu.</w:t>
      </w:r>
    </w:p>
    <w:p w14:paraId="6252B914" w14:textId="5807CE25" w:rsidR="00B634EF" w:rsidRDefault="00094533"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Atbilstoši Ministru kabineta 2005.gada 27.decembra noteikumu Nr. 1037 „</w:t>
      </w:r>
      <w:r w:rsidRPr="009C2CC4">
        <w:rPr>
          <w:shd w:val="clear" w:color="auto" w:fill="FFFFFF"/>
        </w:rPr>
        <w:t>Noteikumi par cilvēka asiņu un asins komponentu savākšanas, testēšanas, apstrādes, uzglabāšanas un izplatīšanas kvalitātes un drošības standartiem, ievešanas un izvešanas nosacījumiem, kā arī kompensāciju par izdevumiem zaudētā asins apjoma atjaunošanai</w:t>
      </w:r>
      <w:r>
        <w:rPr>
          <w:shd w:val="clear" w:color="auto" w:fill="FFFFFF"/>
        </w:rPr>
        <w:t xml:space="preserve">” </w:t>
      </w:r>
      <w:r w:rsidR="00782D6F">
        <w:rPr>
          <w:shd w:val="clear" w:color="auto" w:fill="FFFFFF"/>
        </w:rPr>
        <w:t xml:space="preserve">(turpmāk – noteikumi Nr. 1037) </w:t>
      </w:r>
      <w:r>
        <w:rPr>
          <w:shd w:val="clear" w:color="auto" w:fill="FFFFFF"/>
        </w:rPr>
        <w:t>17.11.7.</w:t>
      </w:r>
      <w:r w:rsidR="00EC3CDF">
        <w:rPr>
          <w:shd w:val="clear" w:color="auto" w:fill="FFFFFF"/>
        </w:rPr>
        <w:t>apakš</w:t>
      </w:r>
      <w:r>
        <w:rPr>
          <w:shd w:val="clear" w:color="auto" w:fill="FFFFFF"/>
        </w:rPr>
        <w:t>punktam</w:t>
      </w:r>
      <w:r w:rsidR="00A42DCA">
        <w:rPr>
          <w:shd w:val="clear" w:color="auto" w:fill="FFFFFF"/>
        </w:rPr>
        <w:t xml:space="preserve"> (noteic</w:t>
      </w:r>
      <w:r>
        <w:rPr>
          <w:shd w:val="clear" w:color="auto" w:fill="FFFFFF"/>
        </w:rPr>
        <w:t>, ka Valsts asinsdonoru centrs nodrošina katram donoram bezmaksas maltīti 1,42 </w:t>
      </w:r>
      <w:r w:rsidRPr="0006499B">
        <w:rPr>
          <w:i/>
          <w:iCs/>
          <w:shd w:val="clear" w:color="auto" w:fill="FFFFFF"/>
        </w:rPr>
        <w:t>euro</w:t>
      </w:r>
      <w:r>
        <w:rPr>
          <w:shd w:val="clear" w:color="auto" w:fill="FFFFFF"/>
        </w:rPr>
        <w:t xml:space="preserve"> vērtībā</w:t>
      </w:r>
      <w:r w:rsidR="00A42DCA">
        <w:rPr>
          <w:shd w:val="clear" w:color="auto" w:fill="FFFFFF"/>
        </w:rPr>
        <w:t>)</w:t>
      </w:r>
      <w:r>
        <w:rPr>
          <w:shd w:val="clear" w:color="auto" w:fill="FFFFFF"/>
        </w:rPr>
        <w:t xml:space="preserve"> iepirkuma nolikums paredzēja, ka viena uzkodu komplekta vērtība (cena) ir 1,42 </w:t>
      </w:r>
      <w:r w:rsidRPr="00775FD4">
        <w:rPr>
          <w:i/>
          <w:iCs/>
          <w:shd w:val="clear" w:color="auto" w:fill="FFFFFF"/>
        </w:rPr>
        <w:t>euro</w:t>
      </w:r>
      <w:r>
        <w:rPr>
          <w:shd w:val="clear" w:color="auto" w:fill="FFFFFF"/>
        </w:rPr>
        <w:t xml:space="preserve">, </w:t>
      </w:r>
      <w:r w:rsidR="00561C47">
        <w:rPr>
          <w:shd w:val="clear" w:color="auto" w:fill="FFFFFF"/>
        </w:rPr>
        <w:t>un attiecīgi</w:t>
      </w:r>
      <w:r w:rsidR="00584673">
        <w:rPr>
          <w:shd w:val="clear" w:color="auto" w:fill="FFFFFF"/>
        </w:rPr>
        <w:t>, ka</w:t>
      </w:r>
      <w:r>
        <w:rPr>
          <w:shd w:val="clear" w:color="auto" w:fill="FFFFFF"/>
        </w:rPr>
        <w:t xml:space="preserve"> iepirkuma kopējā paredzamā </w:t>
      </w:r>
      <w:r w:rsidR="00E31DE9">
        <w:rPr>
          <w:shd w:val="clear" w:color="auto" w:fill="FFFFFF"/>
        </w:rPr>
        <w:t xml:space="preserve">līgumcena </w:t>
      </w:r>
      <w:r w:rsidR="00B634EF">
        <w:rPr>
          <w:shd w:val="clear" w:color="auto" w:fill="FFFFFF"/>
        </w:rPr>
        <w:t xml:space="preserve">ir </w:t>
      </w:r>
      <w:r w:rsidR="003D527B">
        <w:rPr>
          <w:shd w:val="clear" w:color="auto" w:fill="FFFFFF"/>
        </w:rPr>
        <w:t>58 677,69 </w:t>
      </w:r>
      <w:r w:rsidR="003D527B" w:rsidRPr="00775FD4">
        <w:rPr>
          <w:i/>
          <w:iCs/>
          <w:shd w:val="clear" w:color="auto" w:fill="FFFFFF"/>
        </w:rPr>
        <w:t>euro</w:t>
      </w:r>
      <w:r w:rsidR="003D527B">
        <w:rPr>
          <w:shd w:val="clear" w:color="auto" w:fill="FFFFFF"/>
        </w:rPr>
        <w:t xml:space="preserve"> bez pievienotās vērtības nodokļa (</w:t>
      </w:r>
      <w:r>
        <w:rPr>
          <w:shd w:val="clear" w:color="auto" w:fill="FFFFFF"/>
        </w:rPr>
        <w:t>71 000 </w:t>
      </w:r>
      <w:r w:rsidRPr="00775FD4">
        <w:rPr>
          <w:i/>
          <w:iCs/>
          <w:shd w:val="clear" w:color="auto" w:fill="FFFFFF"/>
        </w:rPr>
        <w:t xml:space="preserve">euro </w:t>
      </w:r>
      <w:r>
        <w:rPr>
          <w:shd w:val="clear" w:color="auto" w:fill="FFFFFF"/>
        </w:rPr>
        <w:t xml:space="preserve">ar </w:t>
      </w:r>
      <w:r w:rsidR="00701FEA">
        <w:rPr>
          <w:shd w:val="clear" w:color="auto" w:fill="FFFFFF"/>
        </w:rPr>
        <w:t>pievienotās vērtības nodokli</w:t>
      </w:r>
      <w:r w:rsidR="00B634EF">
        <w:rPr>
          <w:shd w:val="clear" w:color="auto" w:fill="FFFFFF"/>
        </w:rPr>
        <w:t>).</w:t>
      </w:r>
    </w:p>
    <w:p w14:paraId="345B9523" w14:textId="3AD801FD" w:rsidR="006D1926" w:rsidRDefault="009A6322"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Iepirkuma konkursā piedāvājumus iesniedza četras komercsabiedrības, tostarp pieteicēja </w:t>
      </w:r>
      <w:r w:rsidR="00807619">
        <w:rPr>
          <w:shd w:val="clear" w:color="auto" w:fill="FFFFFF"/>
        </w:rPr>
        <w:t>SIA </w:t>
      </w:r>
      <w:r>
        <w:rPr>
          <w:shd w:val="clear" w:color="auto" w:fill="FFFFFF"/>
        </w:rPr>
        <w:t xml:space="preserve">„PANKŪKAS.LV” un </w:t>
      </w:r>
      <w:r w:rsidR="00807619">
        <w:rPr>
          <w:shd w:val="clear" w:color="auto" w:fill="FFFFFF"/>
        </w:rPr>
        <w:t>SIA </w:t>
      </w:r>
      <w:r w:rsidR="00B634EF">
        <w:rPr>
          <w:shd w:val="clear" w:color="auto" w:fill="FFFFFF"/>
        </w:rPr>
        <w:t xml:space="preserve">„Giline for life”, kura savā piedāvājumā kā viena uzkodu komplekta </w:t>
      </w:r>
      <w:r w:rsidR="00AF0633">
        <w:rPr>
          <w:shd w:val="clear" w:color="auto" w:fill="FFFFFF"/>
        </w:rPr>
        <w:t xml:space="preserve">cenu </w:t>
      </w:r>
      <w:r w:rsidR="00B634EF">
        <w:rPr>
          <w:shd w:val="clear" w:color="auto" w:fill="FFFFFF"/>
        </w:rPr>
        <w:t>bija norādījusi 1,4157 </w:t>
      </w:r>
      <w:r w:rsidR="00B634EF" w:rsidRPr="00251E98">
        <w:rPr>
          <w:i/>
          <w:iCs/>
          <w:shd w:val="clear" w:color="auto" w:fill="FFFFFF"/>
        </w:rPr>
        <w:t>euro</w:t>
      </w:r>
      <w:r w:rsidR="008C5AB7">
        <w:rPr>
          <w:shd w:val="clear" w:color="auto" w:fill="FFFFFF"/>
        </w:rPr>
        <w:t xml:space="preserve"> un attiecīgi kopējo cenu – 58 500 </w:t>
      </w:r>
      <w:r w:rsidR="008C5AB7" w:rsidRPr="008C5AB7">
        <w:rPr>
          <w:i/>
          <w:iCs/>
          <w:shd w:val="clear" w:color="auto" w:fill="FFFFFF"/>
        </w:rPr>
        <w:t>euro</w:t>
      </w:r>
      <w:r w:rsidR="008C5AB7">
        <w:rPr>
          <w:shd w:val="clear" w:color="auto" w:fill="FFFFFF"/>
        </w:rPr>
        <w:t xml:space="preserve"> bez pievienotās vērtības nodokļa.</w:t>
      </w:r>
    </w:p>
    <w:p w14:paraId="75A9D46D" w14:textId="18BE95A9" w:rsidR="00BA688E" w:rsidRDefault="00AF0633"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Pasūtītāja iepirkumu komisija ar 2020.gada 18.maija lēmumu par konkursa uzvarētāju atzina pieteicēju, bet </w:t>
      </w:r>
      <w:r w:rsidR="00807619">
        <w:rPr>
          <w:shd w:val="clear" w:color="auto" w:fill="FFFFFF"/>
        </w:rPr>
        <w:t>SIA </w:t>
      </w:r>
      <w:r>
        <w:rPr>
          <w:shd w:val="clear" w:color="auto" w:fill="FFFFFF"/>
        </w:rPr>
        <w:t>„Giline for life” piedāvājumu noraidīja,</w:t>
      </w:r>
      <w:r w:rsidR="00984E30">
        <w:rPr>
          <w:shd w:val="clear" w:color="auto" w:fill="FFFFFF"/>
        </w:rPr>
        <w:t xml:space="preserve"> to</w:t>
      </w:r>
      <w:r w:rsidR="00DF449E">
        <w:rPr>
          <w:shd w:val="clear" w:color="auto" w:fill="FFFFFF"/>
        </w:rPr>
        <w:t xml:space="preserve"> atzīstot par neatbilstošu iepirkuma nolikuma prasībām.</w:t>
      </w:r>
      <w:r w:rsidR="00C12480">
        <w:rPr>
          <w:shd w:val="clear" w:color="auto" w:fill="FFFFFF"/>
        </w:rPr>
        <w:t xml:space="preserve"> Iepirkumu uzraudzības birojs ar 2020.gada 29.jūnija lēmumu minēto</w:t>
      </w:r>
      <w:r w:rsidR="00670BC4">
        <w:rPr>
          <w:shd w:val="clear" w:color="auto" w:fill="FFFFFF"/>
        </w:rPr>
        <w:t xml:space="preserve"> pasūtītāja iepirkumu komisijas</w:t>
      </w:r>
      <w:r w:rsidR="00C12480">
        <w:rPr>
          <w:shd w:val="clear" w:color="auto" w:fill="FFFFFF"/>
        </w:rPr>
        <w:t xml:space="preserve"> lēmumu atcēla un uzdeva pasūtītājam atkārtoti izvērtēt iesniegtos piedāvājumus.</w:t>
      </w:r>
    </w:p>
    <w:p w14:paraId="074A5DE7" w14:textId="756A1188" w:rsidR="00C12480" w:rsidRDefault="00C12480"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Pasūtītāja iepirkumu komisija, atkārtoti izvērtējusi visu</w:t>
      </w:r>
      <w:r w:rsidR="002C1143">
        <w:rPr>
          <w:shd w:val="clear" w:color="auto" w:fill="FFFFFF"/>
        </w:rPr>
        <w:t xml:space="preserve">s </w:t>
      </w:r>
      <w:r>
        <w:rPr>
          <w:shd w:val="clear" w:color="auto" w:fill="FFFFFF"/>
        </w:rPr>
        <w:t xml:space="preserve">piedāvājumus, </w:t>
      </w:r>
      <w:r w:rsidR="00984E30">
        <w:rPr>
          <w:shd w:val="clear" w:color="auto" w:fill="FFFFFF"/>
        </w:rPr>
        <w:t xml:space="preserve">ar 2020.gada 7.jūlija lēmumu </w:t>
      </w:r>
      <w:r>
        <w:rPr>
          <w:shd w:val="clear" w:color="auto" w:fill="FFFFFF"/>
        </w:rPr>
        <w:t xml:space="preserve">par konkursa uzvarētāju atzina </w:t>
      </w:r>
      <w:r w:rsidR="00E25915">
        <w:rPr>
          <w:shd w:val="clear" w:color="auto" w:fill="FFFFFF"/>
        </w:rPr>
        <w:t>SIA </w:t>
      </w:r>
      <w:r>
        <w:rPr>
          <w:shd w:val="clear" w:color="auto" w:fill="FFFFFF"/>
        </w:rPr>
        <w:t>„Giline for life”</w:t>
      </w:r>
      <w:r w:rsidR="00071B76">
        <w:rPr>
          <w:shd w:val="clear" w:color="auto" w:fill="FFFFFF"/>
        </w:rPr>
        <w:t>.</w:t>
      </w:r>
    </w:p>
    <w:p w14:paraId="27405618" w14:textId="2A28843A" w:rsidR="00DD2491" w:rsidRDefault="00984E30"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Nepiekrītot minētajam lēmumam, pieteicēja </w:t>
      </w:r>
      <w:r w:rsidR="00DE4A54">
        <w:rPr>
          <w:shd w:val="clear" w:color="auto" w:fill="FFFFFF"/>
        </w:rPr>
        <w:t>vērsās</w:t>
      </w:r>
      <w:r>
        <w:rPr>
          <w:shd w:val="clear" w:color="auto" w:fill="FFFFFF"/>
        </w:rPr>
        <w:t xml:space="preserve"> Iepirkumu uzraudzības biro</w:t>
      </w:r>
      <w:r w:rsidR="00DE4A54">
        <w:rPr>
          <w:shd w:val="clear" w:color="auto" w:fill="FFFFFF"/>
        </w:rPr>
        <w:t>jā. Birojs</w:t>
      </w:r>
      <w:r>
        <w:rPr>
          <w:shd w:val="clear" w:color="auto" w:fill="FFFFFF"/>
        </w:rPr>
        <w:t xml:space="preserve"> ar 2020.gada 20.jūlija lēmumu Nr. 4-1.3/1537</w:t>
      </w:r>
      <w:r w:rsidR="00903522">
        <w:rPr>
          <w:shd w:val="clear" w:color="auto" w:fill="FFFFFF"/>
        </w:rPr>
        <w:t xml:space="preserve"> </w:t>
      </w:r>
      <w:r w:rsidR="00DE4A54">
        <w:rPr>
          <w:shd w:val="clear" w:color="auto" w:fill="FFFFFF"/>
        </w:rPr>
        <w:t xml:space="preserve">pieteicējas iesniegto sūdzību </w:t>
      </w:r>
      <w:r w:rsidR="002254B6">
        <w:rPr>
          <w:shd w:val="clear" w:color="auto" w:fill="FFFFFF"/>
        </w:rPr>
        <w:t>atstāja bez izskatīšanas</w:t>
      </w:r>
      <w:r w:rsidR="00DE4A54">
        <w:rPr>
          <w:shd w:val="clear" w:color="auto" w:fill="FFFFFF"/>
        </w:rPr>
        <w:t xml:space="preserve">, norādot, ka jautājums par </w:t>
      </w:r>
      <w:r w:rsidR="00E25915">
        <w:rPr>
          <w:shd w:val="clear" w:color="auto" w:fill="FFFFFF"/>
        </w:rPr>
        <w:t>SIA </w:t>
      </w:r>
      <w:r w:rsidR="00DE4A54">
        <w:rPr>
          <w:shd w:val="clear" w:color="auto" w:fill="FFFFFF"/>
        </w:rPr>
        <w:t xml:space="preserve">„Giline for life” piedāvājuma atbilstību iepirkuma nolikuma prasībām </w:t>
      </w:r>
      <w:r w:rsidR="005C76AA">
        <w:rPr>
          <w:shd w:val="clear" w:color="auto" w:fill="FFFFFF"/>
        </w:rPr>
        <w:t>birojā jau ir izvērtēts</w:t>
      </w:r>
      <w:r w:rsidR="008C0528">
        <w:rPr>
          <w:shd w:val="clear" w:color="auto" w:fill="FFFFFF"/>
        </w:rPr>
        <w:t xml:space="preserve"> iepriekš.</w:t>
      </w:r>
    </w:p>
    <w:p w14:paraId="50EB19A1" w14:textId="77777777" w:rsidR="00BB5E58" w:rsidRDefault="00BB5E58" w:rsidP="0045148A">
      <w:pPr>
        <w:pStyle w:val="NormalWeb"/>
        <w:shd w:val="clear" w:color="auto" w:fill="FFFFFF"/>
        <w:spacing w:before="0" w:beforeAutospacing="0" w:after="0" w:afterAutospacing="0" w:line="276" w:lineRule="auto"/>
        <w:ind w:firstLine="720"/>
        <w:jc w:val="both"/>
        <w:rPr>
          <w:shd w:val="clear" w:color="auto" w:fill="FFFFFF"/>
        </w:rPr>
      </w:pPr>
    </w:p>
    <w:p w14:paraId="346598BE" w14:textId="4E91E485" w:rsidR="00F4772E" w:rsidRDefault="00BB5E58"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 </w:t>
      </w:r>
      <w:r w:rsidR="00071193">
        <w:rPr>
          <w:shd w:val="clear" w:color="auto" w:fill="FFFFFF"/>
        </w:rPr>
        <w:t xml:space="preserve">Pieteicēja vērsās tiesā ar prasījumu par </w:t>
      </w:r>
      <w:r w:rsidR="00F4772E">
        <w:rPr>
          <w:shd w:val="clear" w:color="auto" w:fill="FFFFFF"/>
        </w:rPr>
        <w:t>Iepirkumu uzraudzības biroja 2020.gada 20.jūlija lēmuma Nr. 4-1.3/1537</w:t>
      </w:r>
      <w:r w:rsidR="00681090">
        <w:rPr>
          <w:shd w:val="clear" w:color="auto" w:fill="FFFFFF"/>
        </w:rPr>
        <w:t xml:space="preserve"> atzīšanu par prettiesisku. </w:t>
      </w:r>
      <w:r w:rsidR="00D908C3">
        <w:rPr>
          <w:shd w:val="clear" w:color="auto" w:fill="FFFFFF"/>
        </w:rPr>
        <w:t xml:space="preserve">Ievērojot to, ka </w:t>
      </w:r>
      <w:r w:rsidR="00681090">
        <w:rPr>
          <w:shd w:val="clear" w:color="auto" w:fill="FFFFFF"/>
        </w:rPr>
        <w:t xml:space="preserve">ar minēto lēmumu pieteicējas </w:t>
      </w:r>
      <w:r w:rsidR="00DF3334">
        <w:rPr>
          <w:shd w:val="clear" w:color="auto" w:fill="FFFFFF"/>
        </w:rPr>
        <w:t>iesniegtā sūdzība netika izskatīta</w:t>
      </w:r>
      <w:r w:rsidR="00A92E5B">
        <w:rPr>
          <w:shd w:val="clear" w:color="auto" w:fill="FFFFFF"/>
        </w:rPr>
        <w:t xml:space="preserve"> pēc būtības</w:t>
      </w:r>
      <w:r w:rsidR="00681090">
        <w:rPr>
          <w:shd w:val="clear" w:color="auto" w:fill="FFFFFF"/>
        </w:rPr>
        <w:t xml:space="preserve">, lietā izspriežamais prasījums precizēts kā prasījums par </w:t>
      </w:r>
      <w:r w:rsidR="00E27EE6">
        <w:t>pasūtītāja</w:t>
      </w:r>
      <w:r w:rsidR="00681090">
        <w:t xml:space="preserve"> iepirkumu komisijas 2020.gada 7.jūlija lēmuma, ar kuru par konkursa uzvarētāju atzīta </w:t>
      </w:r>
      <w:r w:rsidR="00E27EE6">
        <w:t>SIA </w:t>
      </w:r>
      <w:r w:rsidR="00681090">
        <w:t xml:space="preserve">„Giline for life”, atzīšanu par prettiesisku. </w:t>
      </w:r>
    </w:p>
    <w:p w14:paraId="62FEF3A1" w14:textId="6AD8B7D2" w:rsidR="00BB5E58" w:rsidRDefault="00CA68E0"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Pieteicēja tiesvedības gaitā arī iesniedza pieteikuma papildinājumus, lūdzot atlīdzināt zaudējumus</w:t>
      </w:r>
      <w:r w:rsidR="003E71D8">
        <w:rPr>
          <w:shd w:val="clear" w:color="auto" w:fill="FFFFFF"/>
        </w:rPr>
        <w:t xml:space="preserve"> </w:t>
      </w:r>
      <w:r w:rsidR="005A38C3">
        <w:rPr>
          <w:shd w:val="clear" w:color="auto" w:fill="FFFFFF"/>
        </w:rPr>
        <w:t>(neiegūt</w:t>
      </w:r>
      <w:r w:rsidR="003E71D8">
        <w:rPr>
          <w:shd w:val="clear" w:color="auto" w:fill="FFFFFF"/>
        </w:rPr>
        <w:t>o</w:t>
      </w:r>
      <w:r w:rsidR="005A38C3">
        <w:rPr>
          <w:shd w:val="clear" w:color="auto" w:fill="FFFFFF"/>
        </w:rPr>
        <w:t xml:space="preserve"> peļņ</w:t>
      </w:r>
      <w:r w:rsidR="003E71D8">
        <w:rPr>
          <w:shd w:val="clear" w:color="auto" w:fill="FFFFFF"/>
        </w:rPr>
        <w:t>u</w:t>
      </w:r>
      <w:r w:rsidR="005A38C3">
        <w:rPr>
          <w:shd w:val="clear" w:color="auto" w:fill="FFFFFF"/>
        </w:rPr>
        <w:t xml:space="preserve"> un izdevumu</w:t>
      </w:r>
      <w:r w:rsidR="003E71D8">
        <w:rPr>
          <w:shd w:val="clear" w:color="auto" w:fill="FFFFFF"/>
        </w:rPr>
        <w:t>s</w:t>
      </w:r>
      <w:r w:rsidR="005A38C3">
        <w:rPr>
          <w:shd w:val="clear" w:color="auto" w:fill="FFFFFF"/>
        </w:rPr>
        <w:t xml:space="preserve"> par juridisko palīdzību)</w:t>
      </w:r>
      <w:r w:rsidR="003E71D8">
        <w:rPr>
          <w:shd w:val="clear" w:color="auto" w:fill="FFFFFF"/>
        </w:rPr>
        <w:t xml:space="preserve"> un kaitējumu, kas tai nodarīts ar prettiesisko </w:t>
      </w:r>
      <w:r w:rsidR="00E27EE6">
        <w:rPr>
          <w:shd w:val="clear" w:color="auto" w:fill="FFFFFF"/>
        </w:rPr>
        <w:t>pasūtītāja</w:t>
      </w:r>
      <w:r w:rsidR="003E71D8">
        <w:rPr>
          <w:shd w:val="clear" w:color="auto" w:fill="FFFFFF"/>
        </w:rPr>
        <w:t xml:space="preserve"> iepirkumu komisijas lēmumu.</w:t>
      </w:r>
    </w:p>
    <w:p w14:paraId="5191196A" w14:textId="77777777" w:rsidR="005F5DDD" w:rsidRDefault="005F5DDD" w:rsidP="0045148A">
      <w:pPr>
        <w:pStyle w:val="NormalWeb"/>
        <w:shd w:val="clear" w:color="auto" w:fill="FFFFFF"/>
        <w:spacing w:before="0" w:beforeAutospacing="0" w:after="0" w:afterAutospacing="0" w:line="276" w:lineRule="auto"/>
        <w:ind w:firstLine="720"/>
        <w:jc w:val="both"/>
        <w:rPr>
          <w:shd w:val="clear" w:color="auto" w:fill="FFFFFF"/>
        </w:rPr>
      </w:pPr>
    </w:p>
    <w:p w14:paraId="23E4CC44" w14:textId="5344F6EB" w:rsidR="000574CC" w:rsidRDefault="005F5DDD" w:rsidP="0045148A">
      <w:pPr>
        <w:pStyle w:val="NormalWeb"/>
        <w:shd w:val="clear" w:color="auto" w:fill="FFFFFF"/>
        <w:spacing w:before="0" w:beforeAutospacing="0" w:after="0" w:afterAutospacing="0" w:line="276" w:lineRule="auto"/>
        <w:ind w:firstLine="720"/>
        <w:jc w:val="both"/>
      </w:pPr>
      <w:r>
        <w:rPr>
          <w:shd w:val="clear" w:color="auto" w:fill="FFFFFF"/>
        </w:rPr>
        <w:t>[3]</w:t>
      </w:r>
      <w:r>
        <w:t> </w:t>
      </w:r>
      <w:r w:rsidR="00E60796">
        <w:t xml:space="preserve">Administratīvā rajona tiesa ar 2022.gada 17.jūnija spriedumu pieteikumu </w:t>
      </w:r>
      <w:r w:rsidR="00175D06">
        <w:t>daļēji apmierināja</w:t>
      </w:r>
      <w:r w:rsidR="00075F5C">
        <w:t xml:space="preserve">. Tiesa </w:t>
      </w:r>
      <w:r w:rsidR="000574CC">
        <w:t xml:space="preserve">atzina par prettiesisku </w:t>
      </w:r>
      <w:r w:rsidR="00494FDC">
        <w:t>pasūtītāja</w:t>
      </w:r>
      <w:r w:rsidR="000574CC">
        <w:t xml:space="preserve"> iepirkumu komisijas 2020.gada 7.jūlija lēmumu</w:t>
      </w:r>
      <w:r w:rsidR="00A92E5B">
        <w:t xml:space="preserve"> </w:t>
      </w:r>
      <w:r w:rsidR="000574CC">
        <w:t>un</w:t>
      </w:r>
      <w:r w:rsidR="0028337C">
        <w:t xml:space="preserve"> </w:t>
      </w:r>
      <w:r w:rsidR="000574CC">
        <w:t>noteica</w:t>
      </w:r>
      <w:r w:rsidR="0028337C">
        <w:t xml:space="preserve"> pieteicējai</w:t>
      </w:r>
      <w:r w:rsidR="000574CC">
        <w:t xml:space="preserve"> zaudējumu 24 137,72 </w:t>
      </w:r>
      <w:r w:rsidR="000574CC" w:rsidRPr="000574CC">
        <w:rPr>
          <w:i/>
          <w:iCs/>
        </w:rPr>
        <w:t>euro</w:t>
      </w:r>
      <w:r w:rsidR="000574CC">
        <w:t xml:space="preserve"> atlīdzinājumu.</w:t>
      </w:r>
      <w:r w:rsidR="0005218B">
        <w:t xml:space="preserve"> Pārējā daļā pieteikums noraidīts.</w:t>
      </w:r>
    </w:p>
    <w:p w14:paraId="568CA33C" w14:textId="710B6BEA" w:rsidR="005F5DDD" w:rsidRDefault="00E60796" w:rsidP="0045148A">
      <w:pPr>
        <w:pStyle w:val="NormalWeb"/>
        <w:shd w:val="clear" w:color="auto" w:fill="FFFFFF"/>
        <w:spacing w:before="0" w:beforeAutospacing="0" w:after="0" w:afterAutospacing="0" w:line="276" w:lineRule="auto"/>
        <w:ind w:firstLine="720"/>
        <w:jc w:val="both"/>
      </w:pPr>
      <w:r>
        <w:lastRenderedPageBreak/>
        <w:t xml:space="preserve">Spriedums </w:t>
      </w:r>
      <w:r w:rsidR="0005218B">
        <w:t xml:space="preserve">pieteikuma apmierinātajā daļā </w:t>
      </w:r>
      <w:r>
        <w:t>pamatots ar turpmāk izklāstītajiem argumentiem.</w:t>
      </w:r>
    </w:p>
    <w:p w14:paraId="1F77C336" w14:textId="77777777" w:rsidR="00782D6F" w:rsidRDefault="001A7F81" w:rsidP="0045148A">
      <w:pPr>
        <w:pStyle w:val="NormalWeb"/>
        <w:shd w:val="clear" w:color="auto" w:fill="FFFFFF"/>
        <w:spacing w:before="0" w:beforeAutospacing="0" w:after="0" w:afterAutospacing="0" w:line="276" w:lineRule="auto"/>
        <w:ind w:firstLine="720"/>
        <w:jc w:val="both"/>
        <w:rPr>
          <w:shd w:val="clear" w:color="auto" w:fill="FFFFFF"/>
        </w:rPr>
      </w:pPr>
      <w:r>
        <w:t>[3.1]</w:t>
      </w:r>
      <w:r w:rsidR="00EA23F4">
        <w:t xml:space="preserve"> Pasūtītājs, pamatojoties uz Publisko iepirkumu likuma 41.panta devīto daļu, kas paredz, ka pasūtītājam piedāvājumu vērtēšanas laikā jāpārbauda, vai piedāvājumā nav aritmētisku kļūdu, un šādu kļūdu konstatēšanas gadījumā tās jāizlabo, SIA „Giline for life” piedāvājumā norādīto viena uzkodu komplekta cenu </w:t>
      </w:r>
      <w:r w:rsidR="00EA23F4">
        <w:rPr>
          <w:shd w:val="clear" w:color="auto" w:fill="FFFFFF"/>
        </w:rPr>
        <w:t>1,4157 </w:t>
      </w:r>
      <w:r w:rsidR="00EA23F4" w:rsidRPr="00251E98">
        <w:rPr>
          <w:i/>
          <w:iCs/>
          <w:shd w:val="clear" w:color="auto" w:fill="FFFFFF"/>
        </w:rPr>
        <w:t>euro</w:t>
      </w:r>
      <w:r w:rsidR="00E51F52">
        <w:rPr>
          <w:i/>
          <w:iCs/>
          <w:shd w:val="clear" w:color="auto" w:fill="FFFFFF"/>
        </w:rPr>
        <w:t xml:space="preserve"> </w:t>
      </w:r>
      <w:r w:rsidR="00505899">
        <w:rPr>
          <w:shd w:val="clear" w:color="auto" w:fill="FFFFFF"/>
        </w:rPr>
        <w:t>noapaļoja uz skaitli ar</w:t>
      </w:r>
      <w:r w:rsidR="00BF324B">
        <w:rPr>
          <w:shd w:val="clear" w:color="auto" w:fill="FFFFFF"/>
        </w:rPr>
        <w:t xml:space="preserve"> diviem cipariem aiz komata</w:t>
      </w:r>
      <w:r w:rsidR="00F61501">
        <w:rPr>
          <w:shd w:val="clear" w:color="auto" w:fill="FFFFFF"/>
        </w:rPr>
        <w:t>, tā rezultātā iegūstot cenu</w:t>
      </w:r>
      <w:r w:rsidR="00505899">
        <w:rPr>
          <w:shd w:val="clear" w:color="auto" w:fill="FFFFFF"/>
        </w:rPr>
        <w:t xml:space="preserve"> 1,42 </w:t>
      </w:r>
      <w:r w:rsidR="00505899" w:rsidRPr="00505899">
        <w:rPr>
          <w:i/>
          <w:iCs/>
          <w:shd w:val="clear" w:color="auto" w:fill="FFFFFF"/>
        </w:rPr>
        <w:t>euro</w:t>
      </w:r>
      <w:r w:rsidR="00505899">
        <w:rPr>
          <w:shd w:val="clear" w:color="auto" w:fill="FFFFFF"/>
        </w:rPr>
        <w:t>.</w:t>
      </w:r>
    </w:p>
    <w:p w14:paraId="21521F95" w14:textId="483B2142" w:rsidR="00E766B7" w:rsidRDefault="00E766B7"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Lietā noskaidrojams, vai šāda pasūtītāja veikta kļūdas labošana faktiski nav novedusi pie </w:t>
      </w:r>
      <w:r w:rsidR="002C34A1">
        <w:rPr>
          <w:shd w:val="clear" w:color="auto" w:fill="FFFFFF"/>
        </w:rPr>
        <w:t>SIA „Giline for life” piedāvājuma grozīšanas.</w:t>
      </w:r>
    </w:p>
    <w:p w14:paraId="656B8719" w14:textId="4401BA05" w:rsidR="002C34A1" w:rsidRDefault="002C34A1"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[3.2]</w:t>
      </w:r>
      <w:r w:rsidR="00782D6F">
        <w:rPr>
          <w:shd w:val="clear" w:color="auto" w:fill="FFFFFF"/>
        </w:rPr>
        <w:t xml:space="preserve"> Aplūkojot iepirkuma nolikuma normas kopsakarā ar </w:t>
      </w:r>
      <w:r w:rsidR="00936B78">
        <w:rPr>
          <w:shd w:val="clear" w:color="auto" w:fill="FFFFFF"/>
        </w:rPr>
        <w:t>noteikumu Nr. 1037 17.11.7.</w:t>
      </w:r>
      <w:r w:rsidR="00EC3CDF">
        <w:rPr>
          <w:shd w:val="clear" w:color="auto" w:fill="FFFFFF"/>
        </w:rPr>
        <w:t>apakš</w:t>
      </w:r>
      <w:r w:rsidR="00936B78">
        <w:rPr>
          <w:shd w:val="clear" w:color="auto" w:fill="FFFFFF"/>
        </w:rPr>
        <w:t>punktu,</w:t>
      </w:r>
      <w:r w:rsidR="009A7A19">
        <w:rPr>
          <w:shd w:val="clear" w:color="auto" w:fill="FFFFFF"/>
        </w:rPr>
        <w:t xml:space="preserve"> ir acīmredzami skaidrs, ka pretendentiem </w:t>
      </w:r>
      <w:r w:rsidR="00B1384F">
        <w:rPr>
          <w:shd w:val="clear" w:color="auto" w:fill="FFFFFF"/>
        </w:rPr>
        <w:t xml:space="preserve">iepirkumā </w:t>
      </w:r>
      <w:r w:rsidR="009A7A19">
        <w:rPr>
          <w:shd w:val="clear" w:color="auto" w:fill="FFFFFF"/>
        </w:rPr>
        <w:t>bija jākonkurē ar kvalitatīvāko uzkodu komplekta piedāvājumu konstantas cenas – 1,42 </w:t>
      </w:r>
      <w:r w:rsidR="009A7A19" w:rsidRPr="009A7A19">
        <w:rPr>
          <w:i/>
          <w:iCs/>
          <w:shd w:val="clear" w:color="auto" w:fill="FFFFFF"/>
        </w:rPr>
        <w:t>euro</w:t>
      </w:r>
      <w:r w:rsidR="009A7A19">
        <w:rPr>
          <w:shd w:val="clear" w:color="auto" w:fill="FFFFFF"/>
        </w:rPr>
        <w:t xml:space="preserve"> – ietvaros, </w:t>
      </w:r>
      <w:r w:rsidR="00B1384F">
        <w:rPr>
          <w:shd w:val="clear" w:color="auto" w:fill="FFFFFF"/>
        </w:rPr>
        <w:t xml:space="preserve">un atkāpes no šīs cenas nebija pieļaujamas. </w:t>
      </w:r>
      <w:r w:rsidR="00536124">
        <w:rPr>
          <w:shd w:val="clear" w:color="auto" w:fill="FFFFFF"/>
        </w:rPr>
        <w:t>Tomēr SIA „Giline for life” savā piedāvājumā, nepareizi izprotot nolikuma prasības, apzināti norādīja citu cenu par vienu uzkodu komplektu</w:t>
      </w:r>
      <w:r w:rsidR="002A47BD">
        <w:rPr>
          <w:shd w:val="clear" w:color="auto" w:fill="FFFFFF"/>
        </w:rPr>
        <w:t>, un tā rezultātā minētā</w:t>
      </w:r>
      <w:r w:rsidR="002940EC">
        <w:rPr>
          <w:shd w:val="clear" w:color="auto" w:fill="FFFFFF"/>
        </w:rPr>
        <w:t xml:space="preserve"> pretendenta piedāvājumā norādītā kopējā cena par 50 000 uzkodu komplektiem no paredzamās līgumcenas atšķīrās jau tik ievērojami, ka nevarēja tikt labota aritmētisku darbību veikšanas (noapaļošanas) rezultātā.</w:t>
      </w:r>
      <w:r w:rsidR="005A30C6">
        <w:rPr>
          <w:shd w:val="clear" w:color="auto" w:fill="FFFFFF"/>
        </w:rPr>
        <w:t xml:space="preserve"> Līdz ar to pasūtītājs nebija tiesīgs labot SIA „Giline for life” piedāvājumā norādīto cenu par vienu uzkodu komplektu, jo tas faktiski noveda pie piedāvājuma grozīšanas.</w:t>
      </w:r>
    </w:p>
    <w:p w14:paraId="13706118" w14:textId="08FF0AB8" w:rsidR="00211184" w:rsidRDefault="005A30C6"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[3.3] </w:t>
      </w:r>
      <w:r w:rsidR="00211184">
        <w:rPr>
          <w:shd w:val="clear" w:color="auto" w:fill="FFFFFF"/>
        </w:rPr>
        <w:t xml:space="preserve">Tā kā </w:t>
      </w:r>
      <w:r w:rsidR="00211184">
        <w:t>pasūtītāja iepirkumu komisijas 2020.gada 7.jūlija lēmums, ar kuru par konkursa uzvarētāju atzīta SIA „Giline for life”, ir prettiesisks, pieteicējai ir atlīdzināmi zaudējumi neiegūtās peļņas un izdevumu par juridisko palīdzību veidā.</w:t>
      </w:r>
    </w:p>
    <w:p w14:paraId="492DFD48" w14:textId="04146B95" w:rsidR="001A7F81" w:rsidRDefault="00211184" w:rsidP="0045148A">
      <w:pPr>
        <w:pStyle w:val="NormalWeb"/>
        <w:shd w:val="clear" w:color="auto" w:fill="FFFFFF"/>
        <w:spacing w:before="0" w:beforeAutospacing="0" w:after="0" w:afterAutospacing="0" w:line="276" w:lineRule="auto"/>
        <w:ind w:firstLine="720"/>
        <w:jc w:val="both"/>
      </w:pPr>
      <w:r>
        <w:rPr>
          <w:shd w:val="clear" w:color="auto" w:fill="FFFFFF"/>
        </w:rPr>
        <w:t xml:space="preserve"> </w:t>
      </w:r>
    </w:p>
    <w:p w14:paraId="608D62E0" w14:textId="4ABFCE35" w:rsidR="00263F52" w:rsidRDefault="001A7F81" w:rsidP="0045148A">
      <w:pPr>
        <w:pStyle w:val="NormalWeb"/>
        <w:shd w:val="clear" w:color="auto" w:fill="FFFFFF"/>
        <w:spacing w:before="0" w:beforeAutospacing="0" w:after="0" w:afterAutospacing="0" w:line="276" w:lineRule="auto"/>
        <w:ind w:firstLine="720"/>
        <w:jc w:val="both"/>
      </w:pPr>
      <w:r>
        <w:t>[4]</w:t>
      </w:r>
      <w:r w:rsidR="00DC02E8">
        <w:t xml:space="preserve"> Iepirkumu uzraudzības birojs </w:t>
      </w:r>
      <w:r w:rsidR="009D232B">
        <w:t>par Administratīvās rajona tiesas spriedumu daļā, kurā apmierināts pieteicējas pieteikums</w:t>
      </w:r>
      <w:r w:rsidR="00E26306">
        <w:t xml:space="preserve">, iesniedza kasācijas sūdzību. Kasācijas sūdzībā </w:t>
      </w:r>
      <w:r w:rsidR="00772890">
        <w:t>iebilsts pret tiesas secinājumu,</w:t>
      </w:r>
      <w:r w:rsidR="00E26306">
        <w:t xml:space="preserve"> ka pasūtītājs nebija tiesīgs labot SIA „Giline for life” </w:t>
      </w:r>
      <w:r w:rsidR="008E6B2C">
        <w:t xml:space="preserve">iesniegtajā piedāvājumā norādīto cenu par vienu uzkodu komplektu. </w:t>
      </w:r>
      <w:r w:rsidR="00772890">
        <w:t>Šajā sakarā birojs uzvēris: t</w:t>
      </w:r>
      <w:r w:rsidR="008E6B2C">
        <w:t xml:space="preserve">ā kā strīdus iepirkuma nolikuma normas paredzēja, ka pretendenti savstarpēji konkurē ar to piedāvājumos norādītajām uzkodu komplekta kvalitatīvajām īpašībām, nevis cenu, tad pasūtītāja veiktie viena uzkodu komplekta cenas labojumi SIA „Giline for life” </w:t>
      </w:r>
      <w:r w:rsidR="00772890">
        <w:t xml:space="preserve">piedāvājumā minētajam pretendentam </w:t>
      </w:r>
      <w:r w:rsidR="00E26306">
        <w:t xml:space="preserve">neradīja nekādas priekšrocības </w:t>
      </w:r>
      <w:r w:rsidR="008E6B2C">
        <w:t>attiecībā pret</w:t>
      </w:r>
      <w:r w:rsidR="00E26306">
        <w:t xml:space="preserve"> citiem pretendentiem un </w:t>
      </w:r>
      <w:r w:rsidR="00050D49">
        <w:t xml:space="preserve">līdz ar to </w:t>
      </w:r>
      <w:r w:rsidR="00893D3B">
        <w:t xml:space="preserve">arī </w:t>
      </w:r>
      <w:r w:rsidR="00E26306">
        <w:t>nevarēja ietekmēt iepirkuma konkursa rezultātu</w:t>
      </w:r>
      <w:r w:rsidR="008E6B2C">
        <w:t>.</w:t>
      </w:r>
    </w:p>
    <w:p w14:paraId="0975C535" w14:textId="47955AFE" w:rsidR="002F155D" w:rsidRDefault="002F155D" w:rsidP="0045148A">
      <w:pPr>
        <w:pStyle w:val="NormalWeb"/>
        <w:shd w:val="clear" w:color="auto" w:fill="FFFFFF"/>
        <w:spacing w:before="0" w:beforeAutospacing="0" w:after="0" w:afterAutospacing="0" w:line="276" w:lineRule="auto"/>
        <w:ind w:firstLine="720"/>
        <w:jc w:val="both"/>
      </w:pPr>
      <w:r>
        <w:t>Tāpat kasācijas sūdzībā norādīti iebildumi pret tiesas secinājumiem par zaudējumu atlīdzināšanu pieteicējai.</w:t>
      </w:r>
    </w:p>
    <w:p w14:paraId="0332725B" w14:textId="77777777" w:rsidR="00263F52" w:rsidRDefault="00263F52" w:rsidP="0045148A">
      <w:pPr>
        <w:pStyle w:val="NormalWeb"/>
        <w:shd w:val="clear" w:color="auto" w:fill="FFFFFF"/>
        <w:spacing w:before="0" w:beforeAutospacing="0" w:after="0" w:afterAutospacing="0" w:line="276" w:lineRule="auto"/>
        <w:jc w:val="both"/>
        <w:rPr>
          <w:shd w:val="clear" w:color="auto" w:fill="FFFFFF"/>
        </w:rPr>
      </w:pPr>
    </w:p>
    <w:p w14:paraId="24F37157" w14:textId="2B0EBDB6" w:rsidR="00FE29C9" w:rsidRDefault="000D6E57"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w:t>
      </w:r>
      <w:r w:rsidR="00AB3FF2">
        <w:rPr>
          <w:shd w:val="clear" w:color="auto" w:fill="FFFFFF"/>
        </w:rPr>
        <w:t> </w:t>
      </w:r>
      <w:r w:rsidR="00470F55">
        <w:rPr>
          <w:shd w:val="clear" w:color="auto" w:fill="FFFFFF"/>
        </w:rPr>
        <w:t>Pasūtītājs</w:t>
      </w:r>
      <w:r w:rsidR="00AB3FF2">
        <w:rPr>
          <w:shd w:val="clear" w:color="auto" w:fill="FFFFFF"/>
        </w:rPr>
        <w:t xml:space="preserve"> iesniedza paskaidrojumus par kasācijas sūdzību, norādot, ka piekrīt tajā minētajiem argumentiem.</w:t>
      </w:r>
    </w:p>
    <w:p w14:paraId="1EBD1291" w14:textId="43619D3B" w:rsidR="00FE29C9" w:rsidRDefault="00FE29C9" w:rsidP="004514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Pieteicēja paskaidrojumu</w:t>
      </w:r>
      <w:r w:rsidR="00957A8A">
        <w:rPr>
          <w:shd w:val="clear" w:color="auto" w:fill="FFFFFF"/>
        </w:rPr>
        <w:t>s</w:t>
      </w:r>
      <w:r>
        <w:rPr>
          <w:shd w:val="clear" w:color="auto" w:fill="FFFFFF"/>
        </w:rPr>
        <w:t xml:space="preserve"> par kasācijas sūdzību nav iesniegusi.</w:t>
      </w:r>
    </w:p>
    <w:p w14:paraId="66E1FA3E" w14:textId="77777777" w:rsidR="00AB3FF2" w:rsidRDefault="00AB3FF2" w:rsidP="0045148A">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Default="00447EE6" w:rsidP="0045148A">
      <w:pPr>
        <w:shd w:val="clear" w:color="auto" w:fill="FFFFFF"/>
        <w:spacing w:line="276" w:lineRule="auto"/>
        <w:jc w:val="center"/>
        <w:rPr>
          <w:b/>
        </w:rPr>
      </w:pPr>
      <w:r w:rsidRPr="00011547">
        <w:rPr>
          <w:b/>
        </w:rPr>
        <w:t>Motīvu daļa</w:t>
      </w:r>
    </w:p>
    <w:p w14:paraId="7B7D277A" w14:textId="77777777" w:rsidR="00411CD0" w:rsidRPr="00011547" w:rsidRDefault="00411CD0" w:rsidP="0045148A">
      <w:pPr>
        <w:shd w:val="clear" w:color="auto" w:fill="FFFFFF"/>
        <w:spacing w:line="276" w:lineRule="auto"/>
        <w:jc w:val="center"/>
      </w:pPr>
    </w:p>
    <w:p w14:paraId="52F11917" w14:textId="21D88881" w:rsidR="00D761B8" w:rsidRDefault="00447EE6" w:rsidP="0045148A">
      <w:pPr>
        <w:shd w:val="clear" w:color="auto" w:fill="FFFFFF"/>
        <w:spacing w:line="276" w:lineRule="auto"/>
        <w:ind w:firstLine="720"/>
        <w:jc w:val="both"/>
        <w:rPr>
          <w:rFonts w:asciiTheme="majorBidi" w:hAnsiTheme="majorBidi" w:cstheme="majorBidi"/>
          <w:bCs/>
        </w:rPr>
      </w:pPr>
      <w:r w:rsidRPr="00011547">
        <w:lastRenderedPageBreak/>
        <w:t>[</w:t>
      </w:r>
      <w:r w:rsidR="000D6E57">
        <w:t>6</w:t>
      </w:r>
      <w:r w:rsidRPr="00011547">
        <w:t>]</w:t>
      </w:r>
      <w:r w:rsidR="007C2CA6">
        <w:rPr>
          <w:rFonts w:asciiTheme="majorBidi" w:hAnsiTheme="majorBidi" w:cstheme="majorBidi"/>
          <w:bCs/>
        </w:rPr>
        <w:t> Kasācijas tiesvedībā</w:t>
      </w:r>
      <w:r w:rsidR="00AB0BE1">
        <w:rPr>
          <w:rFonts w:asciiTheme="majorBidi" w:hAnsiTheme="majorBidi" w:cstheme="majorBidi"/>
          <w:bCs/>
        </w:rPr>
        <w:t xml:space="preserve"> </w:t>
      </w:r>
      <w:r w:rsidR="008F66F6">
        <w:rPr>
          <w:rFonts w:asciiTheme="majorBidi" w:hAnsiTheme="majorBidi" w:cstheme="majorBidi"/>
          <w:bCs/>
        </w:rPr>
        <w:t xml:space="preserve">vispirms </w:t>
      </w:r>
      <w:r w:rsidR="0057773A">
        <w:rPr>
          <w:rFonts w:asciiTheme="majorBidi" w:hAnsiTheme="majorBidi" w:cstheme="majorBidi"/>
          <w:bCs/>
        </w:rPr>
        <w:t xml:space="preserve">izšķirams, vai tiesa ir pieļāvusi kasācijas sūdzībā norādītos tiesību normu pārkāpumus, </w:t>
      </w:r>
      <w:r w:rsidR="00B071EA">
        <w:rPr>
          <w:rFonts w:asciiTheme="majorBidi" w:hAnsiTheme="majorBidi" w:cstheme="majorBidi"/>
          <w:bCs/>
        </w:rPr>
        <w:t>atzīstot, ka pasūtītājs nebija tiesīgs labot SIA „Giline for life” piedāvājumā konstatētās aritmētiskās kļūd</w:t>
      </w:r>
      <w:r w:rsidR="004D4BEE">
        <w:rPr>
          <w:rFonts w:asciiTheme="majorBidi" w:hAnsiTheme="majorBidi" w:cstheme="majorBidi"/>
          <w:bCs/>
        </w:rPr>
        <w:t>as</w:t>
      </w:r>
      <w:r w:rsidR="00D761B8">
        <w:rPr>
          <w:rFonts w:asciiTheme="majorBidi" w:hAnsiTheme="majorBidi" w:cstheme="majorBidi"/>
          <w:bCs/>
        </w:rPr>
        <w:t>.</w:t>
      </w:r>
      <w:r w:rsidR="00431649">
        <w:rPr>
          <w:rFonts w:asciiTheme="majorBidi" w:hAnsiTheme="majorBidi" w:cstheme="majorBidi"/>
          <w:bCs/>
        </w:rPr>
        <w:t xml:space="preserve"> </w:t>
      </w:r>
      <w:r w:rsidR="00A96043">
        <w:rPr>
          <w:rFonts w:asciiTheme="majorBidi" w:hAnsiTheme="majorBidi" w:cstheme="majorBidi"/>
          <w:bCs/>
        </w:rPr>
        <w:t xml:space="preserve">No atbildes uz šo jautājumu atkarīgs, vai </w:t>
      </w:r>
      <w:r w:rsidR="00B72191">
        <w:rPr>
          <w:rFonts w:asciiTheme="majorBidi" w:hAnsiTheme="majorBidi" w:cstheme="majorBidi"/>
          <w:bCs/>
        </w:rPr>
        <w:t xml:space="preserve">ir vērtējami arī kasācijas sūdzības argumenti </w:t>
      </w:r>
      <w:r w:rsidR="00854F3E">
        <w:rPr>
          <w:rFonts w:asciiTheme="majorBidi" w:hAnsiTheme="majorBidi" w:cstheme="majorBidi"/>
          <w:bCs/>
        </w:rPr>
        <w:t>par</w:t>
      </w:r>
      <w:r w:rsidR="00B72191">
        <w:rPr>
          <w:rFonts w:asciiTheme="majorBidi" w:hAnsiTheme="majorBidi" w:cstheme="majorBidi"/>
          <w:bCs/>
        </w:rPr>
        <w:t xml:space="preserve"> tiesas secinājumiem </w:t>
      </w:r>
      <w:r w:rsidR="00854F3E">
        <w:rPr>
          <w:rFonts w:asciiTheme="majorBidi" w:hAnsiTheme="majorBidi" w:cstheme="majorBidi"/>
          <w:bCs/>
        </w:rPr>
        <w:t xml:space="preserve">saistībā ar </w:t>
      </w:r>
      <w:r w:rsidR="00B72191">
        <w:rPr>
          <w:rFonts w:asciiTheme="majorBidi" w:hAnsiTheme="majorBidi" w:cstheme="majorBidi"/>
          <w:bCs/>
        </w:rPr>
        <w:t>zaudējumu atlīdzību pieteicējai</w:t>
      </w:r>
      <w:r w:rsidR="00860EF4">
        <w:rPr>
          <w:rFonts w:asciiTheme="majorBidi" w:hAnsiTheme="majorBidi" w:cstheme="majorBidi"/>
          <w:bCs/>
        </w:rPr>
        <w:t>, k</w:t>
      </w:r>
      <w:r w:rsidR="009E70BE">
        <w:rPr>
          <w:rFonts w:asciiTheme="majorBidi" w:hAnsiTheme="majorBidi" w:cstheme="majorBidi"/>
          <w:bCs/>
        </w:rPr>
        <w:t>urus</w:t>
      </w:r>
      <w:r w:rsidR="001E325B">
        <w:rPr>
          <w:rFonts w:asciiTheme="majorBidi" w:hAnsiTheme="majorBidi" w:cstheme="majorBidi"/>
          <w:bCs/>
        </w:rPr>
        <w:t>,</w:t>
      </w:r>
      <w:r w:rsidR="00FB2140">
        <w:rPr>
          <w:rFonts w:asciiTheme="majorBidi" w:hAnsiTheme="majorBidi" w:cstheme="majorBidi"/>
          <w:bCs/>
        </w:rPr>
        <w:t xml:space="preserve"> pieteicējas ieskatā,</w:t>
      </w:r>
      <w:r w:rsidR="00860EF4">
        <w:rPr>
          <w:rFonts w:asciiTheme="majorBidi" w:hAnsiTheme="majorBidi" w:cstheme="majorBidi"/>
          <w:bCs/>
        </w:rPr>
        <w:t xml:space="preserve"> tai radījis SIA „Giline for life” piedāvājuma labošanas rezultātā pieņemtais pasūtītāja lēmums</w:t>
      </w:r>
      <w:r w:rsidR="002A47BD">
        <w:rPr>
          <w:rFonts w:asciiTheme="majorBidi" w:hAnsiTheme="majorBidi" w:cstheme="majorBidi"/>
          <w:bCs/>
        </w:rPr>
        <w:t xml:space="preserve">. </w:t>
      </w:r>
    </w:p>
    <w:p w14:paraId="67DCAD25" w14:textId="77777777" w:rsidR="004E798D" w:rsidRDefault="004E798D" w:rsidP="0045148A">
      <w:pPr>
        <w:shd w:val="clear" w:color="auto" w:fill="FFFFFF"/>
        <w:spacing w:line="276" w:lineRule="auto"/>
        <w:ind w:firstLine="720"/>
        <w:jc w:val="both"/>
        <w:rPr>
          <w:rFonts w:asciiTheme="majorBidi" w:hAnsiTheme="majorBidi" w:cstheme="majorBidi"/>
          <w:bCs/>
        </w:rPr>
      </w:pPr>
    </w:p>
    <w:p w14:paraId="4BF67E67" w14:textId="6A30D872" w:rsidR="004E798D" w:rsidRDefault="004E798D"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[7] </w:t>
      </w:r>
      <w:r w:rsidR="0063389B">
        <w:rPr>
          <w:rFonts w:asciiTheme="majorBidi" w:hAnsiTheme="majorBidi" w:cstheme="majorBidi"/>
          <w:bCs/>
        </w:rPr>
        <w:t>Jautājums par aritmētisku kļūdu labošanu pretendenta iesniegtajā piedāvājumā regulēts Publisko iepirkumu likuma 41.panta devītajā daļā.</w:t>
      </w:r>
    </w:p>
    <w:p w14:paraId="33FEB6AA" w14:textId="65771466" w:rsidR="0063389B" w:rsidRDefault="0063389B"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Atbilstoši minētajai tiesību normai </w:t>
      </w:r>
      <w:r w:rsidR="005B3F8D">
        <w:rPr>
          <w:rFonts w:asciiTheme="majorBidi" w:hAnsiTheme="majorBidi" w:cstheme="majorBidi"/>
          <w:bCs/>
        </w:rPr>
        <w:t xml:space="preserve">pasūtītājs </w:t>
      </w:r>
      <w:r>
        <w:rPr>
          <w:rFonts w:asciiTheme="majorBidi" w:hAnsiTheme="majorBidi" w:cstheme="majorBidi"/>
          <w:bCs/>
        </w:rPr>
        <w:t>piedāvājumu vērtēšanas laikā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0961FC6C" w14:textId="503516EF" w:rsidR="00BD15E0" w:rsidRPr="000965F4" w:rsidRDefault="0089402F"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Kā pārsūdzētajā spriedumā vispārīgi pareizi ir norādījusi tiesa</w:t>
      </w:r>
      <w:r w:rsidR="005B3F8D">
        <w:rPr>
          <w:rFonts w:asciiTheme="majorBidi" w:hAnsiTheme="majorBidi" w:cstheme="majorBidi"/>
          <w:bCs/>
        </w:rPr>
        <w:t xml:space="preserve">, </w:t>
      </w:r>
      <w:r w:rsidR="004A5C94">
        <w:rPr>
          <w:rFonts w:asciiTheme="majorBidi" w:hAnsiTheme="majorBidi" w:cstheme="majorBidi"/>
          <w:bCs/>
        </w:rPr>
        <w:t>minētajā tiesību normā noteiktās pasūtītāja tiesības</w:t>
      </w:r>
      <w:r w:rsidR="00461E27">
        <w:rPr>
          <w:rFonts w:asciiTheme="majorBidi" w:hAnsiTheme="majorBidi" w:cstheme="majorBidi"/>
          <w:bCs/>
        </w:rPr>
        <w:t xml:space="preserve"> labot kļūdas pretendentu iesniegtajos piedāvājumos ir </w:t>
      </w:r>
      <w:r w:rsidR="00B1342C">
        <w:rPr>
          <w:rFonts w:asciiTheme="majorBidi" w:hAnsiTheme="majorBidi" w:cstheme="majorBidi"/>
          <w:bCs/>
        </w:rPr>
        <w:t xml:space="preserve">aplūkojamas </w:t>
      </w:r>
      <w:r w:rsidR="00461E27">
        <w:rPr>
          <w:rFonts w:asciiTheme="majorBidi" w:hAnsiTheme="majorBidi" w:cstheme="majorBidi"/>
          <w:bCs/>
        </w:rPr>
        <w:t xml:space="preserve">kopsakarā </w:t>
      </w:r>
      <w:r w:rsidR="003A28A1">
        <w:rPr>
          <w:rFonts w:asciiTheme="majorBidi" w:hAnsiTheme="majorBidi" w:cstheme="majorBidi"/>
          <w:bCs/>
        </w:rPr>
        <w:t>ar regulējumu</w:t>
      </w:r>
      <w:r w:rsidR="00D236A6">
        <w:rPr>
          <w:rFonts w:asciiTheme="majorBidi" w:hAnsiTheme="majorBidi" w:cstheme="majorBidi"/>
          <w:bCs/>
        </w:rPr>
        <w:t>, kas iepirkuma procedūrā pieļauj</w:t>
      </w:r>
      <w:r w:rsidR="003A28A1">
        <w:rPr>
          <w:rFonts w:asciiTheme="majorBidi" w:hAnsiTheme="majorBidi" w:cstheme="majorBidi"/>
          <w:bCs/>
        </w:rPr>
        <w:t xml:space="preserve"> piedāvājuma </w:t>
      </w:r>
      <w:r w:rsidR="002D75B0">
        <w:rPr>
          <w:rFonts w:asciiTheme="majorBidi" w:hAnsiTheme="majorBidi" w:cstheme="majorBidi"/>
          <w:bCs/>
        </w:rPr>
        <w:t xml:space="preserve">papildināšanu vai </w:t>
      </w:r>
      <w:r w:rsidR="003A28A1">
        <w:rPr>
          <w:rFonts w:asciiTheme="majorBidi" w:hAnsiTheme="majorBidi" w:cstheme="majorBidi"/>
          <w:bCs/>
        </w:rPr>
        <w:t>precizēšanu</w:t>
      </w:r>
      <w:r w:rsidR="002D75B0">
        <w:rPr>
          <w:rFonts w:asciiTheme="majorBidi" w:hAnsiTheme="majorBidi" w:cstheme="majorBidi"/>
          <w:bCs/>
        </w:rPr>
        <w:t xml:space="preserve">, ciktāl </w:t>
      </w:r>
      <w:r w:rsidR="002C473F">
        <w:rPr>
          <w:rFonts w:asciiTheme="majorBidi" w:hAnsiTheme="majorBidi" w:cstheme="majorBidi"/>
          <w:bCs/>
        </w:rPr>
        <w:t>šāda papildināšana vai precizēšana</w:t>
      </w:r>
      <w:r w:rsidR="00D011D5">
        <w:rPr>
          <w:rFonts w:asciiTheme="majorBidi" w:hAnsiTheme="majorBidi" w:cstheme="majorBidi"/>
          <w:bCs/>
        </w:rPr>
        <w:t xml:space="preserve"> </w:t>
      </w:r>
      <w:r w:rsidR="00747655">
        <w:rPr>
          <w:rFonts w:asciiTheme="majorBidi" w:hAnsiTheme="majorBidi" w:cstheme="majorBidi"/>
          <w:bCs/>
        </w:rPr>
        <w:t>negroza</w:t>
      </w:r>
      <w:r w:rsidR="00345F84">
        <w:rPr>
          <w:rFonts w:asciiTheme="majorBidi" w:hAnsiTheme="majorBidi" w:cstheme="majorBidi"/>
          <w:bCs/>
        </w:rPr>
        <w:t xml:space="preserve"> piedāvājumu pēc būtības.</w:t>
      </w:r>
      <w:r w:rsidR="00D011D5">
        <w:rPr>
          <w:rFonts w:asciiTheme="majorBidi" w:hAnsiTheme="majorBidi" w:cstheme="majorBidi"/>
          <w:bCs/>
        </w:rPr>
        <w:t xml:space="preserve"> </w:t>
      </w:r>
      <w:r w:rsidR="004959D2">
        <w:rPr>
          <w:rFonts w:asciiTheme="majorBidi" w:hAnsiTheme="majorBidi" w:cstheme="majorBidi"/>
          <w:bCs/>
        </w:rPr>
        <w:t xml:space="preserve">Proti, </w:t>
      </w:r>
      <w:r w:rsidR="00BD15E0">
        <w:rPr>
          <w:rFonts w:asciiTheme="majorBidi" w:hAnsiTheme="majorBidi" w:cstheme="majorBidi"/>
          <w:bCs/>
        </w:rPr>
        <w:t>pasūtītājs konkrētu pretendenta pieļautu kļūdu piedāvājumā</w:t>
      </w:r>
      <w:r w:rsidR="0033190C">
        <w:rPr>
          <w:rFonts w:asciiTheme="majorBidi" w:hAnsiTheme="majorBidi" w:cstheme="majorBidi"/>
          <w:bCs/>
        </w:rPr>
        <w:t xml:space="preserve"> </w:t>
      </w:r>
      <w:r w:rsidR="00D05C06">
        <w:rPr>
          <w:rFonts w:asciiTheme="majorBidi" w:hAnsiTheme="majorBidi" w:cstheme="majorBidi"/>
          <w:bCs/>
        </w:rPr>
        <w:t>ir tiesīgs labot tikai tad, ja</w:t>
      </w:r>
      <w:r w:rsidR="00CA503E">
        <w:rPr>
          <w:rFonts w:asciiTheme="majorBidi" w:hAnsiTheme="majorBidi" w:cstheme="majorBidi"/>
          <w:bCs/>
        </w:rPr>
        <w:t xml:space="preserve"> </w:t>
      </w:r>
      <w:r w:rsidR="00CD513F">
        <w:rPr>
          <w:rFonts w:asciiTheme="majorBidi" w:hAnsiTheme="majorBidi" w:cstheme="majorBidi"/>
          <w:bCs/>
        </w:rPr>
        <w:t xml:space="preserve">tas </w:t>
      </w:r>
      <w:r w:rsidR="00C80259">
        <w:rPr>
          <w:rFonts w:asciiTheme="majorBidi" w:hAnsiTheme="majorBidi" w:cstheme="majorBidi"/>
          <w:bCs/>
        </w:rPr>
        <w:t xml:space="preserve">neizmaina iesniegto piedāvājumu tādā veidā, ka </w:t>
      </w:r>
      <w:r w:rsidR="00747655">
        <w:rPr>
          <w:rFonts w:asciiTheme="majorBidi" w:hAnsiTheme="majorBidi" w:cstheme="majorBidi"/>
          <w:bCs/>
        </w:rPr>
        <w:t xml:space="preserve">tas faktiski ir vērtējams kā </w:t>
      </w:r>
      <w:r w:rsidR="00FC418E">
        <w:rPr>
          <w:rFonts w:asciiTheme="majorBidi" w:hAnsiTheme="majorBidi" w:cstheme="majorBidi"/>
          <w:bCs/>
        </w:rPr>
        <w:t xml:space="preserve">jauns piedāvājums </w:t>
      </w:r>
      <w:r w:rsidR="004842C7">
        <w:rPr>
          <w:rFonts w:asciiTheme="majorBidi" w:hAnsiTheme="majorBidi" w:cstheme="majorBidi"/>
          <w:bCs/>
        </w:rPr>
        <w:t>(</w:t>
      </w:r>
      <w:r w:rsidR="004842C7" w:rsidRPr="007910BD">
        <w:rPr>
          <w:rFonts w:asciiTheme="majorBidi" w:hAnsiTheme="majorBidi" w:cstheme="majorBidi"/>
          <w:bCs/>
        </w:rPr>
        <w:t xml:space="preserve">plašāk par piedāvājuma papildināšanas </w:t>
      </w:r>
      <w:r w:rsidR="00FC418E" w:rsidRPr="007910BD">
        <w:rPr>
          <w:rFonts w:asciiTheme="majorBidi" w:hAnsiTheme="majorBidi" w:cstheme="majorBidi"/>
          <w:bCs/>
        </w:rPr>
        <w:t xml:space="preserve">(precizēšanas) </w:t>
      </w:r>
      <w:r w:rsidR="004842C7" w:rsidRPr="007910BD">
        <w:rPr>
          <w:rFonts w:asciiTheme="majorBidi" w:hAnsiTheme="majorBidi" w:cstheme="majorBidi"/>
          <w:bCs/>
        </w:rPr>
        <w:t>robežām sk., piemēram,</w:t>
      </w:r>
      <w:r w:rsidR="004842C7" w:rsidRPr="000965F4">
        <w:rPr>
          <w:rFonts w:asciiTheme="majorBidi" w:hAnsiTheme="majorBidi" w:cstheme="majorBidi"/>
          <w:bCs/>
          <w:i/>
          <w:iCs/>
        </w:rPr>
        <w:t xml:space="preserve"> Senāta </w:t>
      </w:r>
      <w:r w:rsidR="000965F4" w:rsidRPr="000965F4">
        <w:rPr>
          <w:rFonts w:asciiTheme="majorBidi" w:hAnsiTheme="majorBidi" w:cstheme="majorBidi"/>
          <w:bCs/>
          <w:i/>
          <w:iCs/>
        </w:rPr>
        <w:t>2021.gada 18.jūnija sprieduma lietā Nr. SKA-176/2021</w:t>
      </w:r>
      <w:r w:rsidR="008C1CC7">
        <w:rPr>
          <w:rFonts w:asciiTheme="majorBidi" w:hAnsiTheme="majorBidi" w:cstheme="majorBidi"/>
          <w:bCs/>
        </w:rPr>
        <w:t xml:space="preserve">, </w:t>
      </w:r>
      <w:hyperlink r:id="rId9" w:history="1">
        <w:r w:rsidR="000965F4" w:rsidRPr="00B90255">
          <w:rPr>
            <w:rStyle w:val="Hyperlink"/>
            <w:rFonts w:asciiTheme="majorBidi" w:hAnsiTheme="majorBidi" w:cstheme="majorBidi"/>
            <w:bCs/>
            <w:i/>
            <w:iCs/>
          </w:rPr>
          <w:t>ECLI:LV:AT:2021:0618.A420293918.11.S</w:t>
        </w:r>
      </w:hyperlink>
      <w:r w:rsidR="008C1CC7">
        <w:rPr>
          <w:rFonts w:asciiTheme="majorBidi" w:hAnsiTheme="majorBidi" w:cstheme="majorBidi"/>
          <w:bCs/>
          <w:i/>
          <w:iCs/>
        </w:rPr>
        <w:t xml:space="preserve">, </w:t>
      </w:r>
      <w:r w:rsidR="000965F4">
        <w:rPr>
          <w:rFonts w:asciiTheme="majorBidi" w:hAnsiTheme="majorBidi" w:cstheme="majorBidi"/>
          <w:bCs/>
          <w:i/>
          <w:iCs/>
        </w:rPr>
        <w:t xml:space="preserve">7.–10.punktu </w:t>
      </w:r>
      <w:r w:rsidR="000965F4" w:rsidRPr="007910BD">
        <w:rPr>
          <w:rFonts w:asciiTheme="majorBidi" w:hAnsiTheme="majorBidi" w:cstheme="majorBidi"/>
          <w:bCs/>
        </w:rPr>
        <w:t xml:space="preserve">un </w:t>
      </w:r>
      <w:r w:rsidR="00C404B9">
        <w:rPr>
          <w:rFonts w:asciiTheme="majorBidi" w:hAnsiTheme="majorBidi" w:cstheme="majorBidi"/>
          <w:bCs/>
        </w:rPr>
        <w:t>tajos minēto</w:t>
      </w:r>
      <w:r w:rsidR="000965F4" w:rsidRPr="007910BD">
        <w:rPr>
          <w:rFonts w:asciiTheme="majorBidi" w:hAnsiTheme="majorBidi" w:cstheme="majorBidi"/>
          <w:bCs/>
        </w:rPr>
        <w:t xml:space="preserve"> Senāta un Eiropas Savienības Tiesas judikatūru</w:t>
      </w:r>
      <w:r w:rsidR="000965F4">
        <w:rPr>
          <w:rFonts w:asciiTheme="majorBidi" w:hAnsiTheme="majorBidi" w:cstheme="majorBidi"/>
          <w:bCs/>
        </w:rPr>
        <w:t>).</w:t>
      </w:r>
    </w:p>
    <w:p w14:paraId="67107B47" w14:textId="3926F060" w:rsidR="00806A7B" w:rsidRDefault="00806A7B"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Tomēr Senāts atzīst, ka </w:t>
      </w:r>
      <w:r w:rsidR="008966F3">
        <w:rPr>
          <w:rFonts w:asciiTheme="majorBidi" w:hAnsiTheme="majorBidi" w:cstheme="majorBidi"/>
          <w:bCs/>
        </w:rPr>
        <w:t xml:space="preserve">tālākie </w:t>
      </w:r>
      <w:r w:rsidR="009D47AF">
        <w:rPr>
          <w:rFonts w:asciiTheme="majorBidi" w:hAnsiTheme="majorBidi" w:cstheme="majorBidi"/>
          <w:bCs/>
        </w:rPr>
        <w:t xml:space="preserve">tiesas </w:t>
      </w:r>
      <w:r w:rsidR="008966F3">
        <w:rPr>
          <w:rFonts w:asciiTheme="majorBidi" w:hAnsiTheme="majorBidi" w:cstheme="majorBidi"/>
          <w:bCs/>
        </w:rPr>
        <w:t>secinājumi spriedumā ir izdarīti</w:t>
      </w:r>
      <w:r w:rsidR="00E87283">
        <w:rPr>
          <w:rFonts w:asciiTheme="majorBidi" w:hAnsiTheme="majorBidi" w:cstheme="majorBidi"/>
          <w:bCs/>
        </w:rPr>
        <w:t xml:space="preserve">, </w:t>
      </w:r>
      <w:r w:rsidR="000660EA">
        <w:rPr>
          <w:rFonts w:asciiTheme="majorBidi" w:hAnsiTheme="majorBidi" w:cstheme="majorBidi"/>
          <w:bCs/>
        </w:rPr>
        <w:t>pienācīgi neizvērtējot</w:t>
      </w:r>
      <w:r w:rsidR="00E87283">
        <w:rPr>
          <w:rFonts w:asciiTheme="majorBidi" w:hAnsiTheme="majorBidi" w:cstheme="majorBidi"/>
          <w:bCs/>
        </w:rPr>
        <w:t xml:space="preserve"> </w:t>
      </w:r>
      <w:r w:rsidR="003E35CD">
        <w:rPr>
          <w:rFonts w:asciiTheme="majorBidi" w:hAnsiTheme="majorBidi" w:cstheme="majorBidi"/>
          <w:bCs/>
        </w:rPr>
        <w:t xml:space="preserve">regulējuma par </w:t>
      </w:r>
      <w:r w:rsidR="008F67F5">
        <w:rPr>
          <w:rFonts w:asciiTheme="majorBidi" w:hAnsiTheme="majorBidi" w:cstheme="majorBidi"/>
          <w:bCs/>
        </w:rPr>
        <w:t xml:space="preserve">pretendenta iesniegta </w:t>
      </w:r>
      <w:r w:rsidR="003E35CD">
        <w:rPr>
          <w:rFonts w:asciiTheme="majorBidi" w:hAnsiTheme="majorBidi" w:cstheme="majorBidi"/>
          <w:bCs/>
        </w:rPr>
        <w:t>piedāvājuma</w:t>
      </w:r>
      <w:r w:rsidR="00BC034B">
        <w:rPr>
          <w:rFonts w:asciiTheme="majorBidi" w:hAnsiTheme="majorBidi" w:cstheme="majorBidi"/>
          <w:bCs/>
        </w:rPr>
        <w:t xml:space="preserve"> papildināšanu</w:t>
      </w:r>
      <w:r w:rsidR="003E35CD">
        <w:rPr>
          <w:rFonts w:asciiTheme="majorBidi" w:hAnsiTheme="majorBidi" w:cstheme="majorBidi"/>
          <w:bCs/>
        </w:rPr>
        <w:t xml:space="preserve"> </w:t>
      </w:r>
      <w:r w:rsidR="00BC034B">
        <w:rPr>
          <w:rFonts w:asciiTheme="majorBidi" w:hAnsiTheme="majorBidi" w:cstheme="majorBidi"/>
          <w:bCs/>
        </w:rPr>
        <w:t>(</w:t>
      </w:r>
      <w:r w:rsidR="003E35CD">
        <w:rPr>
          <w:rFonts w:asciiTheme="majorBidi" w:hAnsiTheme="majorBidi" w:cstheme="majorBidi"/>
          <w:bCs/>
        </w:rPr>
        <w:t>precizēšanu</w:t>
      </w:r>
      <w:r w:rsidR="00BC034B">
        <w:rPr>
          <w:rFonts w:asciiTheme="majorBidi" w:hAnsiTheme="majorBidi" w:cstheme="majorBidi"/>
          <w:bCs/>
        </w:rPr>
        <w:t>)</w:t>
      </w:r>
      <w:r w:rsidR="003E35CD">
        <w:rPr>
          <w:rFonts w:asciiTheme="majorBidi" w:hAnsiTheme="majorBidi" w:cstheme="majorBidi"/>
          <w:bCs/>
        </w:rPr>
        <w:t xml:space="preserve"> </w:t>
      </w:r>
      <w:r w:rsidR="00ED0EB5">
        <w:rPr>
          <w:rFonts w:asciiTheme="majorBidi" w:hAnsiTheme="majorBidi" w:cstheme="majorBidi"/>
          <w:bCs/>
        </w:rPr>
        <w:t>būtību un jēgu</w:t>
      </w:r>
      <w:r w:rsidR="003E35CD">
        <w:rPr>
          <w:rFonts w:asciiTheme="majorBidi" w:hAnsiTheme="majorBidi" w:cstheme="majorBidi"/>
          <w:bCs/>
        </w:rPr>
        <w:t xml:space="preserve">, </w:t>
      </w:r>
      <w:r w:rsidR="00735692">
        <w:rPr>
          <w:rFonts w:asciiTheme="majorBidi" w:hAnsiTheme="majorBidi" w:cstheme="majorBidi"/>
          <w:bCs/>
        </w:rPr>
        <w:t xml:space="preserve">un līdz ar to ir </w:t>
      </w:r>
      <w:r w:rsidR="00D73D07">
        <w:rPr>
          <w:rFonts w:asciiTheme="majorBidi" w:hAnsiTheme="majorBidi" w:cstheme="majorBidi"/>
          <w:bCs/>
        </w:rPr>
        <w:t>kļūdaini.</w:t>
      </w:r>
    </w:p>
    <w:p w14:paraId="1009C724" w14:textId="77777777" w:rsidR="003E35CD" w:rsidRDefault="003E35CD" w:rsidP="0045148A">
      <w:pPr>
        <w:shd w:val="clear" w:color="auto" w:fill="FFFFFF"/>
        <w:spacing w:line="276" w:lineRule="auto"/>
        <w:ind w:firstLine="720"/>
        <w:jc w:val="both"/>
        <w:rPr>
          <w:rFonts w:asciiTheme="majorBidi" w:hAnsiTheme="majorBidi" w:cstheme="majorBidi"/>
          <w:bCs/>
        </w:rPr>
      </w:pPr>
    </w:p>
    <w:p w14:paraId="185BF2A0" w14:textId="0AF98972" w:rsidR="003E35CD" w:rsidRDefault="003E35CD"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[8]</w:t>
      </w:r>
      <w:r w:rsidR="005A5D25">
        <w:rPr>
          <w:rFonts w:asciiTheme="majorBidi" w:hAnsiTheme="majorBidi" w:cstheme="majorBidi"/>
          <w:bCs/>
        </w:rPr>
        <w:t> Pretendenta iesniegta piedāvājuma</w:t>
      </w:r>
      <w:r w:rsidR="00A12A19">
        <w:rPr>
          <w:rFonts w:asciiTheme="majorBidi" w:hAnsiTheme="majorBidi" w:cstheme="majorBidi"/>
          <w:bCs/>
        </w:rPr>
        <w:t xml:space="preserve"> </w:t>
      </w:r>
      <w:r w:rsidR="00D86E24">
        <w:rPr>
          <w:rFonts w:asciiTheme="majorBidi" w:hAnsiTheme="majorBidi" w:cstheme="majorBidi"/>
          <w:bCs/>
        </w:rPr>
        <w:t>papildināšanas (precizēšanas)</w:t>
      </w:r>
      <w:r w:rsidR="00A12A19">
        <w:rPr>
          <w:rFonts w:asciiTheme="majorBidi" w:hAnsiTheme="majorBidi" w:cstheme="majorBidi"/>
          <w:bCs/>
        </w:rPr>
        <w:t xml:space="preserve"> </w:t>
      </w:r>
      <w:r w:rsidR="005A5D25">
        <w:rPr>
          <w:rFonts w:asciiTheme="majorBidi" w:hAnsiTheme="majorBidi" w:cstheme="majorBidi"/>
          <w:bCs/>
        </w:rPr>
        <w:t>iespēja paredzēta Publisko iepirkumu likuma 41.panta sestajā daļā</w:t>
      </w:r>
      <w:r w:rsidR="00B90560">
        <w:rPr>
          <w:rFonts w:asciiTheme="majorBidi" w:hAnsiTheme="majorBidi" w:cstheme="majorBidi"/>
          <w:bCs/>
        </w:rPr>
        <w:t xml:space="preserve">, kurā ietvertais regulējums pēc būtības pārņemts no Eiropas Parlamenta un Padomes 2014.gada 26.februāra Direktīvas 2014/24/ES par publisko iepirkumu un ar ko atceļ Direktīvu 2004/18/EK </w:t>
      </w:r>
      <w:r w:rsidR="001B2B49">
        <w:rPr>
          <w:rFonts w:asciiTheme="majorBidi" w:hAnsiTheme="majorBidi" w:cstheme="majorBidi"/>
          <w:bCs/>
        </w:rPr>
        <w:t xml:space="preserve"> (turpmāk – </w:t>
      </w:r>
      <w:r w:rsidR="00EA1E82">
        <w:rPr>
          <w:rFonts w:asciiTheme="majorBidi" w:hAnsiTheme="majorBidi" w:cstheme="majorBidi"/>
          <w:bCs/>
        </w:rPr>
        <w:t>d</w:t>
      </w:r>
      <w:r w:rsidR="001B2B49">
        <w:rPr>
          <w:rFonts w:asciiTheme="majorBidi" w:hAnsiTheme="majorBidi" w:cstheme="majorBidi"/>
          <w:bCs/>
        </w:rPr>
        <w:t xml:space="preserve">irektīva 2014/24/ES) </w:t>
      </w:r>
      <w:r w:rsidR="00B90560">
        <w:rPr>
          <w:rFonts w:asciiTheme="majorBidi" w:hAnsiTheme="majorBidi" w:cstheme="majorBidi"/>
          <w:bCs/>
        </w:rPr>
        <w:t xml:space="preserve">56.panta 3.punkta. Minētā </w:t>
      </w:r>
      <w:r w:rsidR="00B0575D">
        <w:rPr>
          <w:rFonts w:asciiTheme="majorBidi" w:hAnsiTheme="majorBidi" w:cstheme="majorBidi"/>
          <w:bCs/>
        </w:rPr>
        <w:t>d</w:t>
      </w:r>
      <w:r w:rsidR="00B90560">
        <w:rPr>
          <w:rFonts w:asciiTheme="majorBidi" w:hAnsiTheme="majorBidi" w:cstheme="majorBidi"/>
          <w:bCs/>
        </w:rPr>
        <w:t xml:space="preserve">irektīvas norma paredz, ka </w:t>
      </w:r>
      <w:r w:rsidR="00D33552">
        <w:rPr>
          <w:rFonts w:asciiTheme="majorBidi" w:hAnsiTheme="majorBidi" w:cstheme="majorBidi"/>
          <w:bCs/>
        </w:rPr>
        <w:t>gadījumā, ja informācija vai dokumentācija, kas jāiesniedz ekonomikas dalībniekiem, ir vai šķiet nepilnīga vai kļūdaina, vai ja trūkst konkrētu dokumentu, līgumslēdzējas iestādes var lūgt attiecīgos ekonomikas dalībniekus iesniegt, papildināt, precizēt vai pabeigt attiecīgo informāciju vai dokumentāciju, ar noteikumu, ka šādi lūgumi tiek izdarīti, pilnībā ievērojot vienlīdzīgas attieksmes un pārredzamības principus.</w:t>
      </w:r>
    </w:p>
    <w:p w14:paraId="739CC90D" w14:textId="66291814" w:rsidR="00771C82" w:rsidRDefault="001D1109"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Lai </w:t>
      </w:r>
      <w:r w:rsidR="00402DC9">
        <w:rPr>
          <w:rFonts w:asciiTheme="majorBidi" w:hAnsiTheme="majorBidi" w:cstheme="majorBidi"/>
          <w:bCs/>
        </w:rPr>
        <w:t>gan</w:t>
      </w:r>
      <w:r>
        <w:rPr>
          <w:rFonts w:asciiTheme="majorBidi" w:hAnsiTheme="majorBidi" w:cstheme="majorBidi"/>
          <w:bCs/>
        </w:rPr>
        <w:t xml:space="preserve"> </w:t>
      </w:r>
      <w:r w:rsidR="000F03AB">
        <w:rPr>
          <w:rFonts w:asciiTheme="majorBidi" w:hAnsiTheme="majorBidi" w:cstheme="majorBidi"/>
          <w:bCs/>
        </w:rPr>
        <w:t>d</w:t>
      </w:r>
      <w:r>
        <w:rPr>
          <w:rFonts w:asciiTheme="majorBidi" w:hAnsiTheme="majorBidi" w:cstheme="majorBidi"/>
          <w:bCs/>
        </w:rPr>
        <w:t xml:space="preserve">irektīvas 2014/24/ES 56.panta 3.punktam analoģiska norma nebija iekļauta pirms minētās direktīvas </w:t>
      </w:r>
      <w:r w:rsidR="00F46EFD">
        <w:rPr>
          <w:rFonts w:asciiTheme="majorBidi" w:hAnsiTheme="majorBidi" w:cstheme="majorBidi"/>
          <w:bCs/>
        </w:rPr>
        <w:t xml:space="preserve">spēkā stāšanās </w:t>
      </w:r>
      <w:r>
        <w:rPr>
          <w:rFonts w:asciiTheme="majorBidi" w:hAnsiTheme="majorBidi" w:cstheme="majorBidi"/>
          <w:bCs/>
        </w:rPr>
        <w:t xml:space="preserve">iepriekš </w:t>
      </w:r>
      <w:r w:rsidR="00A11934">
        <w:rPr>
          <w:rFonts w:asciiTheme="majorBidi" w:hAnsiTheme="majorBidi" w:cstheme="majorBidi"/>
          <w:bCs/>
        </w:rPr>
        <w:t>publiskos iepirkumus regulējošajā</w:t>
      </w:r>
      <w:r w:rsidR="00402DC9">
        <w:rPr>
          <w:rFonts w:asciiTheme="majorBidi" w:hAnsiTheme="majorBidi" w:cstheme="majorBidi"/>
          <w:bCs/>
        </w:rPr>
        <w:t xml:space="preserve"> direktīvā (proti,</w:t>
      </w:r>
      <w:r>
        <w:rPr>
          <w:rFonts w:asciiTheme="majorBidi" w:hAnsiTheme="majorBidi" w:cstheme="majorBidi"/>
          <w:bCs/>
        </w:rPr>
        <w:t xml:space="preserve"> Eiropas Parlamenta un Padomes 2004.gada 31.marta Direktīvā 2004/18/EK par to, kā koordinēt būvdarbu valsts līgumu, piegādes valsts līgumu un pakalpojumu valsts līgumu slēgšanas tiesību piešķiršanas procedūru</w:t>
      </w:r>
      <w:r w:rsidR="00402DC9">
        <w:rPr>
          <w:rFonts w:asciiTheme="majorBidi" w:hAnsiTheme="majorBidi" w:cstheme="majorBidi"/>
          <w:bCs/>
        </w:rPr>
        <w:t>)</w:t>
      </w:r>
      <w:r w:rsidR="00A11934">
        <w:rPr>
          <w:rFonts w:asciiTheme="majorBidi" w:hAnsiTheme="majorBidi" w:cstheme="majorBidi"/>
          <w:bCs/>
        </w:rPr>
        <w:t xml:space="preserve">, gan Senāts, gan Eiropas Savienības Tiesa ir </w:t>
      </w:r>
      <w:r w:rsidR="00A11934">
        <w:rPr>
          <w:rFonts w:asciiTheme="majorBidi" w:hAnsiTheme="majorBidi" w:cstheme="majorBidi"/>
          <w:bCs/>
        </w:rPr>
        <w:lastRenderedPageBreak/>
        <w:t xml:space="preserve">atzinuši, ka </w:t>
      </w:r>
      <w:r w:rsidR="00A33047">
        <w:rPr>
          <w:rFonts w:asciiTheme="majorBidi" w:hAnsiTheme="majorBidi" w:cstheme="majorBidi"/>
          <w:bCs/>
        </w:rPr>
        <w:t xml:space="preserve">iespēja </w:t>
      </w:r>
      <w:r w:rsidR="00A54A55">
        <w:rPr>
          <w:rFonts w:asciiTheme="majorBidi" w:hAnsiTheme="majorBidi" w:cstheme="majorBidi"/>
          <w:bCs/>
        </w:rPr>
        <w:t>papildināt vai precizēt</w:t>
      </w:r>
      <w:r w:rsidR="00A33047">
        <w:rPr>
          <w:rFonts w:asciiTheme="majorBidi" w:hAnsiTheme="majorBidi" w:cstheme="majorBidi"/>
          <w:bCs/>
        </w:rPr>
        <w:t xml:space="preserve"> piedāvājumu ir saistīta ar tiem pašiem principiem, kas arī agrāk ir bijuši pamats Eiropas Savienības Tiesai interpretēt direktīvu</w:t>
      </w:r>
      <w:r w:rsidR="00991A28">
        <w:rPr>
          <w:rFonts w:asciiTheme="majorBidi" w:hAnsiTheme="majorBidi" w:cstheme="majorBidi"/>
          <w:bCs/>
        </w:rPr>
        <w:t xml:space="preserve"> </w:t>
      </w:r>
      <w:r w:rsidR="00FC5002">
        <w:rPr>
          <w:rFonts w:asciiTheme="majorBidi" w:hAnsiTheme="majorBidi" w:cstheme="majorBidi"/>
          <w:bCs/>
        </w:rPr>
        <w:t>minētajā</w:t>
      </w:r>
      <w:r w:rsidR="00991A28">
        <w:rPr>
          <w:rFonts w:asciiTheme="majorBidi" w:hAnsiTheme="majorBidi" w:cstheme="majorBidi"/>
          <w:bCs/>
        </w:rPr>
        <w:t xml:space="preserve"> jautājumā</w:t>
      </w:r>
      <w:r w:rsidR="00A33047">
        <w:rPr>
          <w:rFonts w:asciiTheme="majorBidi" w:hAnsiTheme="majorBidi" w:cstheme="majorBidi"/>
          <w:bCs/>
        </w:rPr>
        <w:t xml:space="preserve"> (</w:t>
      </w:r>
      <w:r w:rsidR="00A33047" w:rsidRPr="00B90255">
        <w:rPr>
          <w:rFonts w:asciiTheme="majorBidi" w:hAnsiTheme="majorBidi" w:cstheme="majorBidi"/>
          <w:bCs/>
          <w:i/>
          <w:iCs/>
        </w:rPr>
        <w:t>Senāta 2021.gada 18.jūnija sprieduma lietā Nr. SKA-176/2021</w:t>
      </w:r>
      <w:r w:rsidR="003A0526">
        <w:rPr>
          <w:rFonts w:asciiTheme="majorBidi" w:hAnsiTheme="majorBidi" w:cstheme="majorBidi"/>
          <w:bCs/>
          <w:i/>
          <w:iCs/>
        </w:rPr>
        <w:t xml:space="preserve">, </w:t>
      </w:r>
      <w:hyperlink r:id="rId10" w:history="1">
        <w:r w:rsidR="00B90255" w:rsidRPr="00B90255">
          <w:rPr>
            <w:rStyle w:val="Hyperlink"/>
            <w:rFonts w:asciiTheme="majorBidi" w:hAnsiTheme="majorBidi" w:cstheme="majorBidi"/>
            <w:bCs/>
            <w:i/>
            <w:iCs/>
          </w:rPr>
          <w:t>ECLI:LV:AT:2021:0618.A420293918.11.S</w:t>
        </w:r>
      </w:hyperlink>
      <w:r w:rsidR="003A0526">
        <w:rPr>
          <w:rFonts w:asciiTheme="majorBidi" w:hAnsiTheme="majorBidi" w:cstheme="majorBidi"/>
          <w:bCs/>
          <w:i/>
          <w:iCs/>
        </w:rPr>
        <w:t>,</w:t>
      </w:r>
      <w:r w:rsidR="00A33047" w:rsidRPr="00B90255">
        <w:rPr>
          <w:rFonts w:asciiTheme="majorBidi" w:hAnsiTheme="majorBidi" w:cstheme="majorBidi"/>
          <w:bCs/>
          <w:i/>
          <w:iCs/>
        </w:rPr>
        <w:t xml:space="preserve"> 8.punkts, </w:t>
      </w:r>
      <w:r w:rsidR="00C81A35" w:rsidRPr="00B90255">
        <w:rPr>
          <w:rFonts w:asciiTheme="majorBidi" w:hAnsiTheme="majorBidi" w:cstheme="majorBidi"/>
          <w:bCs/>
          <w:i/>
          <w:iCs/>
        </w:rPr>
        <w:t xml:space="preserve">Eiropas Savienības Tiesas 2021.gada 7.septembra </w:t>
      </w:r>
      <w:r w:rsidR="001F7DB8" w:rsidRPr="00B90255">
        <w:rPr>
          <w:rFonts w:asciiTheme="majorBidi" w:hAnsiTheme="majorBidi" w:cstheme="majorBidi"/>
          <w:bCs/>
          <w:i/>
          <w:iCs/>
        </w:rPr>
        <w:t>sprieduma</w:t>
      </w:r>
      <w:r w:rsidR="00EA7B3F" w:rsidRPr="00B90255">
        <w:rPr>
          <w:rFonts w:asciiTheme="majorBidi" w:hAnsiTheme="majorBidi" w:cstheme="majorBidi"/>
          <w:bCs/>
          <w:i/>
          <w:iCs/>
        </w:rPr>
        <w:t xml:space="preserve"> lietā</w:t>
      </w:r>
      <w:r w:rsidR="001F7DB8" w:rsidRPr="00B90255">
        <w:rPr>
          <w:rFonts w:asciiTheme="majorBidi" w:hAnsiTheme="majorBidi" w:cstheme="majorBidi"/>
          <w:bCs/>
          <w:i/>
          <w:iCs/>
        </w:rPr>
        <w:t xml:space="preserve"> „</w:t>
      </w:r>
      <w:r w:rsidR="001F7DB8" w:rsidRPr="00B90255">
        <w:rPr>
          <w:rFonts w:asciiTheme="majorBidi" w:hAnsiTheme="majorBidi" w:cstheme="majorBidi"/>
          <w:i/>
          <w:iCs/>
        </w:rPr>
        <w:t>Klaipėdos regiono atliekų tvarkymo centras</w:t>
      </w:r>
      <w:r w:rsidR="001F7DB8" w:rsidRPr="00B90255">
        <w:rPr>
          <w:rFonts w:asciiTheme="majorBidi" w:hAnsiTheme="majorBidi" w:cstheme="majorBidi"/>
          <w:bCs/>
          <w:i/>
          <w:iCs/>
        </w:rPr>
        <w:t>”</w:t>
      </w:r>
      <w:r w:rsidR="00EA7B3F" w:rsidRPr="00B90255">
        <w:rPr>
          <w:rFonts w:asciiTheme="majorBidi" w:hAnsiTheme="majorBidi" w:cstheme="majorBidi"/>
          <w:bCs/>
          <w:i/>
          <w:iCs/>
        </w:rPr>
        <w:t xml:space="preserve">, C-927/19, </w:t>
      </w:r>
      <w:hyperlink r:id="rId11" w:history="1">
        <w:r w:rsidR="00EA7B3F" w:rsidRPr="00B90255">
          <w:rPr>
            <w:rStyle w:val="Hyperlink"/>
            <w:rFonts w:asciiTheme="majorBidi" w:hAnsiTheme="majorBidi" w:cstheme="majorBidi"/>
            <w:bCs/>
            <w:i/>
            <w:iCs/>
          </w:rPr>
          <w:t>ECLI:EU:C:2021:700</w:t>
        </w:r>
      </w:hyperlink>
      <w:r w:rsidR="00EA7B3F" w:rsidRPr="00B90255">
        <w:rPr>
          <w:rFonts w:asciiTheme="majorBidi" w:hAnsiTheme="majorBidi" w:cstheme="majorBidi"/>
          <w:bCs/>
          <w:i/>
          <w:iCs/>
        </w:rPr>
        <w:t xml:space="preserve">, </w:t>
      </w:r>
      <w:r w:rsidR="00B90255" w:rsidRPr="00B90255">
        <w:rPr>
          <w:rFonts w:asciiTheme="majorBidi" w:hAnsiTheme="majorBidi" w:cstheme="majorBidi"/>
          <w:bCs/>
          <w:i/>
          <w:iCs/>
        </w:rPr>
        <w:t>93.punkts</w:t>
      </w:r>
      <w:r w:rsidR="00B90255">
        <w:rPr>
          <w:rFonts w:asciiTheme="majorBidi" w:hAnsiTheme="majorBidi" w:cstheme="majorBidi"/>
          <w:bCs/>
        </w:rPr>
        <w:t>).</w:t>
      </w:r>
      <w:r w:rsidR="00FB2140">
        <w:rPr>
          <w:rFonts w:asciiTheme="majorBidi" w:hAnsiTheme="majorBidi" w:cstheme="majorBidi"/>
          <w:bCs/>
        </w:rPr>
        <w:t xml:space="preserve"> Proti, piedāvājumā norādīt</w:t>
      </w:r>
      <w:r w:rsidR="00535EA0">
        <w:rPr>
          <w:rFonts w:asciiTheme="majorBidi" w:hAnsiTheme="majorBidi" w:cstheme="majorBidi"/>
          <w:bCs/>
        </w:rPr>
        <w:t xml:space="preserve">ās </w:t>
      </w:r>
      <w:r w:rsidR="00FB2140">
        <w:rPr>
          <w:rFonts w:asciiTheme="majorBidi" w:hAnsiTheme="majorBidi" w:cstheme="majorBidi"/>
          <w:bCs/>
        </w:rPr>
        <w:t>informācij</w:t>
      </w:r>
      <w:r w:rsidR="00535EA0">
        <w:rPr>
          <w:rFonts w:asciiTheme="majorBidi" w:hAnsiTheme="majorBidi" w:cstheme="majorBidi"/>
          <w:bCs/>
        </w:rPr>
        <w:t>as precizēšanas pieļaujamība</w:t>
      </w:r>
      <w:r w:rsidR="00FB2140">
        <w:rPr>
          <w:rFonts w:asciiTheme="majorBidi" w:hAnsiTheme="majorBidi" w:cstheme="majorBidi"/>
          <w:bCs/>
        </w:rPr>
        <w:t xml:space="preserve">, </w:t>
      </w:r>
      <w:r w:rsidR="00271304">
        <w:rPr>
          <w:rFonts w:asciiTheme="majorBidi" w:hAnsiTheme="majorBidi" w:cstheme="majorBidi"/>
          <w:bCs/>
        </w:rPr>
        <w:t xml:space="preserve">ciktāl tas nenoved pie piedāvājuma grozīšanas, </w:t>
      </w:r>
      <w:r w:rsidR="007D3BEA">
        <w:rPr>
          <w:rFonts w:asciiTheme="majorBidi" w:hAnsiTheme="majorBidi" w:cstheme="majorBidi"/>
          <w:bCs/>
        </w:rPr>
        <w:t xml:space="preserve">vispirms </w:t>
      </w:r>
      <w:r w:rsidR="00F52A59">
        <w:rPr>
          <w:rFonts w:asciiTheme="majorBidi" w:hAnsiTheme="majorBidi" w:cstheme="majorBidi"/>
          <w:bCs/>
        </w:rPr>
        <w:t xml:space="preserve">izriet </w:t>
      </w:r>
      <w:r w:rsidR="007D3BEA">
        <w:rPr>
          <w:rFonts w:asciiTheme="majorBidi" w:hAnsiTheme="majorBidi" w:cstheme="majorBidi"/>
          <w:bCs/>
        </w:rPr>
        <w:t xml:space="preserve">jau no pašiem </w:t>
      </w:r>
      <w:r w:rsidR="00F52A59">
        <w:rPr>
          <w:rFonts w:asciiTheme="majorBidi" w:hAnsiTheme="majorBidi" w:cstheme="majorBidi"/>
          <w:bCs/>
        </w:rPr>
        <w:t>publiskā iepirkuma procedūras pamatprincipiem</w:t>
      </w:r>
      <w:r w:rsidR="005B167A">
        <w:rPr>
          <w:rFonts w:asciiTheme="majorBidi" w:hAnsiTheme="majorBidi" w:cstheme="majorBidi"/>
          <w:bCs/>
        </w:rPr>
        <w:t xml:space="preserve"> </w:t>
      </w:r>
      <w:r w:rsidR="00CE4A5D">
        <w:rPr>
          <w:rFonts w:asciiTheme="majorBidi" w:hAnsiTheme="majorBidi" w:cstheme="majorBidi"/>
          <w:bCs/>
        </w:rPr>
        <w:t>– iepirkuma procedūras</w:t>
      </w:r>
      <w:r w:rsidR="00CE4A5D" w:rsidRPr="00CE4A5D">
        <w:rPr>
          <w:rFonts w:eastAsiaTheme="minorHAnsi" w:cstheme="minorBidi"/>
          <w:szCs w:val="22"/>
          <w:lang w:eastAsia="en-US"/>
        </w:rPr>
        <w:t xml:space="preserve"> </w:t>
      </w:r>
      <w:r w:rsidR="00CE4A5D" w:rsidRPr="00CE4A5D">
        <w:rPr>
          <w:rFonts w:asciiTheme="majorBidi" w:hAnsiTheme="majorBidi" w:cstheme="majorBidi"/>
          <w:bCs/>
        </w:rPr>
        <w:t>atklātum</w:t>
      </w:r>
      <w:r w:rsidR="00CE4A5D">
        <w:rPr>
          <w:rFonts w:asciiTheme="majorBidi" w:hAnsiTheme="majorBidi" w:cstheme="majorBidi"/>
          <w:bCs/>
        </w:rPr>
        <w:t>a</w:t>
      </w:r>
      <w:r w:rsidR="00CE4A5D" w:rsidRPr="00CE4A5D">
        <w:rPr>
          <w:rFonts w:asciiTheme="majorBidi" w:hAnsiTheme="majorBidi" w:cstheme="majorBidi"/>
          <w:bCs/>
        </w:rPr>
        <w:t>, piegādātāju brīva</w:t>
      </w:r>
      <w:r w:rsidR="00CE4A5D">
        <w:rPr>
          <w:rFonts w:asciiTheme="majorBidi" w:hAnsiTheme="majorBidi" w:cstheme="majorBidi"/>
          <w:bCs/>
        </w:rPr>
        <w:t>s</w:t>
      </w:r>
      <w:r w:rsidR="00CE4A5D" w:rsidRPr="00CE4A5D">
        <w:rPr>
          <w:rFonts w:asciiTheme="majorBidi" w:hAnsiTheme="majorBidi" w:cstheme="majorBidi"/>
          <w:bCs/>
        </w:rPr>
        <w:t xml:space="preserve"> konkurence</w:t>
      </w:r>
      <w:r w:rsidR="00CE4A5D">
        <w:rPr>
          <w:rFonts w:asciiTheme="majorBidi" w:hAnsiTheme="majorBidi" w:cstheme="majorBidi"/>
          <w:bCs/>
        </w:rPr>
        <w:t>s</w:t>
      </w:r>
      <w:r w:rsidR="00CE4A5D" w:rsidRPr="00CE4A5D">
        <w:rPr>
          <w:rFonts w:asciiTheme="majorBidi" w:hAnsiTheme="majorBidi" w:cstheme="majorBidi"/>
          <w:bCs/>
        </w:rPr>
        <w:t xml:space="preserve"> un vienlīdzīga</w:t>
      </w:r>
      <w:r w:rsidR="00CE4A5D">
        <w:rPr>
          <w:rFonts w:asciiTheme="majorBidi" w:hAnsiTheme="majorBidi" w:cstheme="majorBidi"/>
          <w:bCs/>
        </w:rPr>
        <w:t>s</w:t>
      </w:r>
      <w:r w:rsidR="00CE4A5D" w:rsidRPr="00CE4A5D">
        <w:rPr>
          <w:rFonts w:asciiTheme="majorBidi" w:hAnsiTheme="majorBidi" w:cstheme="majorBidi"/>
          <w:bCs/>
        </w:rPr>
        <w:t xml:space="preserve"> attieksme</w:t>
      </w:r>
      <w:r w:rsidR="00CE4A5D">
        <w:rPr>
          <w:rFonts w:asciiTheme="majorBidi" w:hAnsiTheme="majorBidi" w:cstheme="majorBidi"/>
          <w:bCs/>
        </w:rPr>
        <w:t>s</w:t>
      </w:r>
      <w:r w:rsidR="00CE4A5D" w:rsidRPr="00CE4A5D">
        <w:rPr>
          <w:rFonts w:asciiTheme="majorBidi" w:hAnsiTheme="majorBidi" w:cstheme="majorBidi"/>
          <w:bCs/>
        </w:rPr>
        <w:t xml:space="preserve"> pret tiem, kā arī valsts un pašvaldību līdzekļu efektīva</w:t>
      </w:r>
      <w:r w:rsidR="00CE4A5D">
        <w:rPr>
          <w:rFonts w:asciiTheme="majorBidi" w:hAnsiTheme="majorBidi" w:cstheme="majorBidi"/>
          <w:bCs/>
        </w:rPr>
        <w:t>s</w:t>
      </w:r>
      <w:r w:rsidR="00CE4A5D" w:rsidRPr="00CE4A5D">
        <w:rPr>
          <w:rFonts w:asciiTheme="majorBidi" w:hAnsiTheme="majorBidi" w:cstheme="majorBidi"/>
          <w:bCs/>
        </w:rPr>
        <w:t xml:space="preserve"> izmantošana</w:t>
      </w:r>
      <w:r w:rsidR="00CE4A5D">
        <w:rPr>
          <w:rFonts w:asciiTheme="majorBidi" w:hAnsiTheme="majorBidi" w:cstheme="majorBidi"/>
          <w:bCs/>
        </w:rPr>
        <w:t>s (</w:t>
      </w:r>
      <w:r w:rsidR="00416A90" w:rsidRPr="00416A90">
        <w:rPr>
          <w:rFonts w:asciiTheme="majorBidi" w:hAnsiTheme="majorBidi" w:cstheme="majorBidi"/>
          <w:bCs/>
          <w:i/>
          <w:iCs/>
        </w:rPr>
        <w:t xml:space="preserve">Senāta </w:t>
      </w:r>
      <w:r w:rsidR="00A861E0">
        <w:rPr>
          <w:rFonts w:asciiTheme="majorBidi" w:hAnsiTheme="majorBidi" w:cstheme="majorBidi"/>
          <w:bCs/>
          <w:i/>
          <w:iCs/>
        </w:rPr>
        <w:t xml:space="preserve">2021.gada 2.jūlija rīcības sēdes lēmuma lietā Nr. SKA-873/2021, </w:t>
      </w:r>
      <w:hyperlink r:id="rId12" w:history="1">
        <w:r w:rsidR="00A861E0" w:rsidRPr="00A861E0">
          <w:rPr>
            <w:rStyle w:val="Hyperlink"/>
            <w:rFonts w:asciiTheme="majorBidi" w:hAnsiTheme="majorBidi" w:cstheme="majorBidi"/>
            <w:bCs/>
            <w:i/>
            <w:iCs/>
          </w:rPr>
          <w:t>ECLI:LV:AT:2021:0702.A420191720.8.L</w:t>
        </w:r>
      </w:hyperlink>
      <w:r w:rsidR="00A861E0">
        <w:rPr>
          <w:rFonts w:asciiTheme="majorBidi" w:hAnsiTheme="majorBidi" w:cstheme="majorBidi"/>
          <w:bCs/>
          <w:i/>
          <w:iCs/>
        </w:rPr>
        <w:t>, 4.punkts</w:t>
      </w:r>
      <w:r w:rsidR="00B52813">
        <w:rPr>
          <w:rFonts w:asciiTheme="majorBidi" w:hAnsiTheme="majorBidi" w:cstheme="majorBidi"/>
          <w:bCs/>
        </w:rPr>
        <w:t>).</w:t>
      </w:r>
      <w:r w:rsidR="00F63299">
        <w:rPr>
          <w:rFonts w:asciiTheme="majorBidi" w:hAnsiTheme="majorBidi" w:cstheme="majorBidi"/>
          <w:bCs/>
        </w:rPr>
        <w:t xml:space="preserve"> </w:t>
      </w:r>
      <w:r w:rsidR="00E828D8">
        <w:rPr>
          <w:rFonts w:asciiTheme="majorBidi" w:hAnsiTheme="majorBidi" w:cstheme="majorBidi"/>
          <w:bCs/>
        </w:rPr>
        <w:t xml:space="preserve">Vienlaikus kā principi, kuri jo īpaši ir saistīti ar piedāvājuma papildināšanas (precizēšanas) institūtu, Eiropas Savienības Tiesas praksē </w:t>
      </w:r>
      <w:r w:rsidR="00A32A99">
        <w:rPr>
          <w:rFonts w:asciiTheme="majorBidi" w:hAnsiTheme="majorBidi" w:cstheme="majorBidi"/>
          <w:bCs/>
        </w:rPr>
        <w:t xml:space="preserve">ir </w:t>
      </w:r>
      <w:r w:rsidR="00E828D8">
        <w:rPr>
          <w:rFonts w:asciiTheme="majorBidi" w:hAnsiTheme="majorBidi" w:cstheme="majorBidi"/>
          <w:bCs/>
        </w:rPr>
        <w:t xml:space="preserve">uzsvērti </w:t>
      </w:r>
      <w:r w:rsidR="00A32A99">
        <w:rPr>
          <w:rFonts w:asciiTheme="majorBidi" w:hAnsiTheme="majorBidi" w:cstheme="majorBidi"/>
          <w:bCs/>
        </w:rPr>
        <w:t xml:space="preserve">tie </w:t>
      </w:r>
      <w:r w:rsidR="00E828D8">
        <w:rPr>
          <w:rFonts w:asciiTheme="majorBidi" w:hAnsiTheme="majorBidi" w:cstheme="majorBidi"/>
          <w:bCs/>
        </w:rPr>
        <w:t xml:space="preserve">principi, kas </w:t>
      </w:r>
      <w:r w:rsidR="009D5DEC">
        <w:rPr>
          <w:rFonts w:asciiTheme="majorBidi" w:hAnsiTheme="majorBidi" w:cstheme="majorBidi"/>
          <w:bCs/>
        </w:rPr>
        <w:t xml:space="preserve">ir </w:t>
      </w:r>
      <w:r w:rsidR="00E828D8">
        <w:rPr>
          <w:rFonts w:asciiTheme="majorBidi" w:hAnsiTheme="majorBidi" w:cstheme="majorBidi"/>
          <w:bCs/>
        </w:rPr>
        <w:t xml:space="preserve">tieši norādīti </w:t>
      </w:r>
      <w:r w:rsidR="000F03AB">
        <w:rPr>
          <w:rFonts w:asciiTheme="majorBidi" w:hAnsiTheme="majorBidi" w:cstheme="majorBidi"/>
          <w:bCs/>
        </w:rPr>
        <w:t>d</w:t>
      </w:r>
      <w:r w:rsidR="00E828D8">
        <w:rPr>
          <w:rFonts w:asciiTheme="majorBidi" w:hAnsiTheme="majorBidi" w:cstheme="majorBidi"/>
          <w:bCs/>
        </w:rPr>
        <w:t>irektīvas 2014/24/ES 56.panta 3.punktā</w:t>
      </w:r>
      <w:r w:rsidR="000F03AB">
        <w:rPr>
          <w:rFonts w:asciiTheme="majorBidi" w:hAnsiTheme="majorBidi" w:cstheme="majorBidi"/>
          <w:bCs/>
        </w:rPr>
        <w:t>,</w:t>
      </w:r>
      <w:r w:rsidR="0090619B">
        <w:rPr>
          <w:rFonts w:asciiTheme="majorBidi" w:hAnsiTheme="majorBidi" w:cstheme="majorBidi"/>
          <w:bCs/>
        </w:rPr>
        <w:t xml:space="preserve"> </w:t>
      </w:r>
      <w:r w:rsidR="00E828D8">
        <w:rPr>
          <w:rFonts w:asciiTheme="majorBidi" w:hAnsiTheme="majorBidi" w:cstheme="majorBidi"/>
          <w:bCs/>
        </w:rPr>
        <w:t>proti, vienlīdzīgas attieksmes princips un no tā izrietošais pārredzamības princips</w:t>
      </w:r>
      <w:r w:rsidR="00A23C2A">
        <w:rPr>
          <w:rFonts w:asciiTheme="majorBidi" w:hAnsiTheme="majorBidi" w:cstheme="majorBidi"/>
          <w:bCs/>
        </w:rPr>
        <w:t xml:space="preserve"> (</w:t>
      </w:r>
      <w:r w:rsidR="0035066B">
        <w:rPr>
          <w:rFonts w:asciiTheme="majorBidi" w:hAnsiTheme="majorBidi" w:cstheme="majorBidi"/>
          <w:bCs/>
        </w:rPr>
        <w:t>piemēram</w:t>
      </w:r>
      <w:r w:rsidR="0035066B" w:rsidRPr="007910BD">
        <w:rPr>
          <w:rFonts w:asciiTheme="majorBidi" w:hAnsiTheme="majorBidi" w:cstheme="majorBidi"/>
          <w:bCs/>
        </w:rPr>
        <w:t>,</w:t>
      </w:r>
      <w:r w:rsidR="0035066B" w:rsidRPr="007910BD">
        <w:rPr>
          <w:rFonts w:asciiTheme="majorBidi" w:hAnsiTheme="majorBidi" w:cstheme="majorBidi"/>
          <w:bCs/>
          <w:i/>
          <w:iCs/>
        </w:rPr>
        <w:t xml:space="preserve"> </w:t>
      </w:r>
      <w:r w:rsidR="00746BDF" w:rsidRPr="007910BD">
        <w:rPr>
          <w:rFonts w:asciiTheme="majorBidi" w:hAnsiTheme="majorBidi" w:cstheme="majorBidi"/>
          <w:bCs/>
          <w:i/>
          <w:iCs/>
        </w:rPr>
        <w:t xml:space="preserve">Eiropas Savienības Tiesas </w:t>
      </w:r>
      <w:r w:rsidR="00480DED" w:rsidRPr="007910BD">
        <w:rPr>
          <w:rFonts w:asciiTheme="majorBidi" w:hAnsiTheme="majorBidi" w:cstheme="majorBidi"/>
          <w:bCs/>
          <w:i/>
          <w:iCs/>
        </w:rPr>
        <w:t xml:space="preserve">2017.gada 4.maija sprieduma lietā „Esaprojekt”, C-387/14, </w:t>
      </w:r>
      <w:hyperlink r:id="rId13" w:history="1">
        <w:r w:rsidR="00480DED" w:rsidRPr="007910BD">
          <w:rPr>
            <w:rStyle w:val="Hyperlink"/>
            <w:rFonts w:asciiTheme="majorBidi" w:hAnsiTheme="majorBidi" w:cstheme="majorBidi"/>
            <w:bCs/>
            <w:i/>
            <w:iCs/>
          </w:rPr>
          <w:t>ECLI:EU:C:2017:338</w:t>
        </w:r>
      </w:hyperlink>
      <w:r w:rsidR="00480DED" w:rsidRPr="007910BD">
        <w:rPr>
          <w:rFonts w:asciiTheme="majorBidi" w:hAnsiTheme="majorBidi" w:cstheme="majorBidi"/>
          <w:bCs/>
          <w:i/>
          <w:iCs/>
        </w:rPr>
        <w:t>, 37.punkts</w:t>
      </w:r>
      <w:r w:rsidR="007910BD" w:rsidRPr="007910BD">
        <w:rPr>
          <w:rFonts w:asciiTheme="majorBidi" w:hAnsiTheme="majorBidi" w:cstheme="majorBidi"/>
          <w:bCs/>
          <w:i/>
          <w:iCs/>
        </w:rPr>
        <w:t xml:space="preserve">, 2021.gada 3.jūnija sprieduma lietā „Rad Service u.c.”, C-210/20, </w:t>
      </w:r>
      <w:hyperlink r:id="rId14" w:history="1">
        <w:r w:rsidR="007910BD" w:rsidRPr="007910BD">
          <w:rPr>
            <w:rStyle w:val="Hyperlink"/>
            <w:rFonts w:asciiTheme="majorBidi" w:hAnsiTheme="majorBidi" w:cstheme="majorBidi"/>
            <w:bCs/>
            <w:i/>
            <w:iCs/>
          </w:rPr>
          <w:t>ECLI:EU:C:2021:445</w:t>
        </w:r>
      </w:hyperlink>
      <w:r w:rsidR="007910BD" w:rsidRPr="007910BD">
        <w:rPr>
          <w:rFonts w:asciiTheme="majorBidi" w:hAnsiTheme="majorBidi" w:cstheme="majorBidi"/>
          <w:bCs/>
          <w:i/>
          <w:iCs/>
        </w:rPr>
        <w:t xml:space="preserve">, 43.punkts </w:t>
      </w:r>
      <w:r w:rsidR="007910BD" w:rsidRPr="007910BD">
        <w:rPr>
          <w:rFonts w:asciiTheme="majorBidi" w:hAnsiTheme="majorBidi" w:cstheme="majorBidi"/>
          <w:bCs/>
        </w:rPr>
        <w:t>un tajos minētā judikatūra</w:t>
      </w:r>
      <w:r w:rsidR="007910BD">
        <w:rPr>
          <w:rFonts w:asciiTheme="majorBidi" w:hAnsiTheme="majorBidi" w:cstheme="majorBidi"/>
          <w:bCs/>
        </w:rPr>
        <w:t>).</w:t>
      </w:r>
    </w:p>
    <w:p w14:paraId="57C07138" w14:textId="4D2BA8F6" w:rsidR="001C0886" w:rsidRDefault="00A12B96"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Tādējādi</w:t>
      </w:r>
      <w:r w:rsidR="001D6BA5">
        <w:rPr>
          <w:rFonts w:asciiTheme="majorBidi" w:hAnsiTheme="majorBidi" w:cstheme="majorBidi"/>
          <w:bCs/>
        </w:rPr>
        <w:t xml:space="preserve"> pretendenta iesniegta piedāvājuma papildināšanas (precizēšanas) iespēja </w:t>
      </w:r>
      <w:r w:rsidR="00921C3D">
        <w:rPr>
          <w:rFonts w:asciiTheme="majorBidi" w:hAnsiTheme="majorBidi" w:cstheme="majorBidi"/>
          <w:bCs/>
        </w:rPr>
        <w:t>vienmēr ir aplūkojama</w:t>
      </w:r>
      <w:r w:rsidR="009B3EEB">
        <w:rPr>
          <w:rFonts w:asciiTheme="majorBidi" w:hAnsiTheme="majorBidi" w:cstheme="majorBidi"/>
          <w:bCs/>
        </w:rPr>
        <w:t xml:space="preserve"> kontekstā ar</w:t>
      </w:r>
      <w:r w:rsidR="00921C3D">
        <w:rPr>
          <w:rFonts w:asciiTheme="majorBidi" w:hAnsiTheme="majorBidi" w:cstheme="majorBidi"/>
          <w:bCs/>
        </w:rPr>
        <w:t xml:space="preserve"> </w:t>
      </w:r>
      <w:r w:rsidR="00875954">
        <w:rPr>
          <w:rFonts w:asciiTheme="majorBidi" w:hAnsiTheme="majorBidi" w:cstheme="majorBidi"/>
          <w:bCs/>
        </w:rPr>
        <w:t>t</w:t>
      </w:r>
      <w:r w:rsidR="009B3EEB">
        <w:rPr>
          <w:rFonts w:asciiTheme="majorBidi" w:hAnsiTheme="majorBidi" w:cstheme="majorBidi"/>
          <w:bCs/>
        </w:rPr>
        <w:t>iem</w:t>
      </w:r>
      <w:r w:rsidR="00875954">
        <w:rPr>
          <w:rFonts w:asciiTheme="majorBidi" w:hAnsiTheme="majorBidi" w:cstheme="majorBidi"/>
          <w:bCs/>
        </w:rPr>
        <w:t xml:space="preserve"> publisko iepirkumu procedūru caurvijoš</w:t>
      </w:r>
      <w:r w:rsidR="009B3EEB">
        <w:rPr>
          <w:rFonts w:asciiTheme="majorBidi" w:hAnsiTheme="majorBidi" w:cstheme="majorBidi"/>
          <w:bCs/>
        </w:rPr>
        <w:t xml:space="preserve">ajiem principiem, </w:t>
      </w:r>
      <w:r w:rsidR="00C81960">
        <w:rPr>
          <w:rFonts w:asciiTheme="majorBidi" w:hAnsiTheme="majorBidi" w:cstheme="majorBidi"/>
          <w:bCs/>
        </w:rPr>
        <w:t>kas ir</w:t>
      </w:r>
      <w:r w:rsidR="00193DB3">
        <w:rPr>
          <w:rFonts w:asciiTheme="majorBidi" w:hAnsiTheme="majorBidi" w:cstheme="majorBidi"/>
          <w:bCs/>
        </w:rPr>
        <w:t xml:space="preserve"> </w:t>
      </w:r>
      <w:r w:rsidR="005E4141">
        <w:rPr>
          <w:rFonts w:asciiTheme="majorBidi" w:hAnsiTheme="majorBidi" w:cstheme="majorBidi"/>
          <w:bCs/>
        </w:rPr>
        <w:t>šā iepirkuma procedūras</w:t>
      </w:r>
      <w:r w:rsidR="00EB0A08">
        <w:rPr>
          <w:rFonts w:asciiTheme="majorBidi" w:hAnsiTheme="majorBidi" w:cstheme="majorBidi"/>
          <w:bCs/>
        </w:rPr>
        <w:t xml:space="preserve"> institūt</w:t>
      </w:r>
      <w:r w:rsidR="00C81960">
        <w:rPr>
          <w:rFonts w:asciiTheme="majorBidi" w:hAnsiTheme="majorBidi" w:cstheme="majorBidi"/>
          <w:bCs/>
        </w:rPr>
        <w:t>a pamatā</w:t>
      </w:r>
      <w:r w:rsidR="00193DB3">
        <w:rPr>
          <w:rFonts w:asciiTheme="majorBidi" w:hAnsiTheme="majorBidi" w:cstheme="majorBidi"/>
          <w:bCs/>
        </w:rPr>
        <w:t xml:space="preserve">. </w:t>
      </w:r>
      <w:r w:rsidR="00B7456A">
        <w:rPr>
          <w:rFonts w:asciiTheme="majorBidi" w:hAnsiTheme="majorBidi" w:cstheme="majorBidi"/>
          <w:bCs/>
        </w:rPr>
        <w:t xml:space="preserve">Proti, ņemams vērā, ka šāda regulējuma mērķis ir izvairīties no pārmērīga formālisma, </w:t>
      </w:r>
      <w:r w:rsidR="006962CD">
        <w:rPr>
          <w:rFonts w:asciiTheme="majorBidi" w:hAnsiTheme="majorBidi" w:cstheme="majorBidi"/>
          <w:bCs/>
        </w:rPr>
        <w:t xml:space="preserve">jo tas vispārīgi pieļauj, ka noteiktos apstākļos – piemēram, tādos apstākļos, kad </w:t>
      </w:r>
      <w:r w:rsidR="00211F32">
        <w:rPr>
          <w:rFonts w:asciiTheme="majorBidi" w:hAnsiTheme="majorBidi" w:cstheme="majorBidi"/>
          <w:bCs/>
        </w:rPr>
        <w:t xml:space="preserve">ir </w:t>
      </w:r>
      <w:r w:rsidR="006962CD">
        <w:rPr>
          <w:rFonts w:asciiTheme="majorBidi" w:hAnsiTheme="majorBidi" w:cstheme="majorBidi"/>
          <w:bCs/>
        </w:rPr>
        <w:t>pieļauta acīmredzama pārrakstīšanās vai aritmētiska kļūda – pretendenta iesniegtais piedāvājums var tikt izskaidrots vai papildināts</w:t>
      </w:r>
      <w:r w:rsidR="00670A6C">
        <w:rPr>
          <w:rFonts w:asciiTheme="majorBidi" w:hAnsiTheme="majorBidi" w:cstheme="majorBidi"/>
          <w:bCs/>
        </w:rPr>
        <w:t xml:space="preserve"> (sal. </w:t>
      </w:r>
      <w:r w:rsidR="00670A6C" w:rsidRPr="00325017">
        <w:rPr>
          <w:rFonts w:asciiTheme="majorBidi" w:hAnsiTheme="majorBidi" w:cstheme="majorBidi"/>
          <w:bCs/>
          <w:i/>
          <w:iCs/>
        </w:rPr>
        <w:t xml:space="preserve">Eiropas Savienības Tiesas ģenerāladvokāta M. Bobeka (M. Bobek) 2016.gada 24.novembra secinājumu lietā „Esaprojekt”, C-387/14, </w:t>
      </w:r>
      <w:hyperlink r:id="rId15" w:history="1">
        <w:r w:rsidR="00670A6C" w:rsidRPr="00325017">
          <w:rPr>
            <w:rStyle w:val="Hyperlink"/>
            <w:rFonts w:asciiTheme="majorBidi" w:hAnsiTheme="majorBidi" w:cstheme="majorBidi"/>
            <w:bCs/>
            <w:i/>
            <w:iCs/>
          </w:rPr>
          <w:t>ECLI:EU:C:2016:899</w:t>
        </w:r>
      </w:hyperlink>
      <w:r w:rsidR="00670A6C" w:rsidRPr="00325017">
        <w:rPr>
          <w:rFonts w:asciiTheme="majorBidi" w:hAnsiTheme="majorBidi" w:cstheme="majorBidi"/>
          <w:bCs/>
          <w:i/>
          <w:iCs/>
        </w:rPr>
        <w:t>, 26.punkts</w:t>
      </w:r>
      <w:r w:rsidR="00670A6C">
        <w:rPr>
          <w:rFonts w:asciiTheme="majorBidi" w:hAnsiTheme="majorBidi" w:cstheme="majorBidi"/>
          <w:bCs/>
        </w:rPr>
        <w:t>).</w:t>
      </w:r>
      <w:r w:rsidR="00FA3167">
        <w:rPr>
          <w:rFonts w:asciiTheme="majorBidi" w:hAnsiTheme="majorBidi" w:cstheme="majorBidi"/>
          <w:bCs/>
        </w:rPr>
        <w:t xml:space="preserve"> </w:t>
      </w:r>
      <w:r w:rsidR="004852DA">
        <w:rPr>
          <w:rFonts w:asciiTheme="majorBidi" w:hAnsiTheme="majorBidi" w:cstheme="majorBidi"/>
          <w:bCs/>
        </w:rPr>
        <w:t xml:space="preserve">Tas </w:t>
      </w:r>
      <w:r w:rsidR="00A94BF9">
        <w:rPr>
          <w:rFonts w:asciiTheme="majorBidi" w:hAnsiTheme="majorBidi" w:cstheme="majorBidi"/>
          <w:bCs/>
        </w:rPr>
        <w:t xml:space="preserve">savukārt </w:t>
      </w:r>
      <w:r w:rsidR="004852DA">
        <w:rPr>
          <w:rFonts w:asciiTheme="majorBidi" w:hAnsiTheme="majorBidi" w:cstheme="majorBidi"/>
          <w:bCs/>
        </w:rPr>
        <w:t xml:space="preserve">ļauj izvairīties no </w:t>
      </w:r>
      <w:r w:rsidR="00FA0765">
        <w:rPr>
          <w:rFonts w:asciiTheme="majorBidi" w:hAnsiTheme="majorBidi" w:cstheme="majorBidi"/>
          <w:bCs/>
        </w:rPr>
        <w:t xml:space="preserve">situācijas, kad pasūtītājam kāds pretendents ir jāizslēdz no dalības iepirkuma procedūrā </w:t>
      </w:r>
      <w:r w:rsidR="004852DA">
        <w:rPr>
          <w:rFonts w:asciiTheme="majorBidi" w:hAnsiTheme="majorBidi" w:cstheme="majorBidi"/>
          <w:bCs/>
        </w:rPr>
        <w:t>vienīgi formālu iemeslu dēļ</w:t>
      </w:r>
      <w:r w:rsidR="0045675D">
        <w:rPr>
          <w:rFonts w:asciiTheme="majorBidi" w:hAnsiTheme="majorBidi" w:cstheme="majorBidi"/>
          <w:bCs/>
        </w:rPr>
        <w:t xml:space="preserve">, kas </w:t>
      </w:r>
      <w:r w:rsidR="00851403">
        <w:rPr>
          <w:rFonts w:asciiTheme="majorBidi" w:hAnsiTheme="majorBidi" w:cstheme="majorBidi"/>
          <w:bCs/>
        </w:rPr>
        <w:t>novestu</w:t>
      </w:r>
      <w:r w:rsidR="004852DA">
        <w:rPr>
          <w:rFonts w:asciiTheme="majorBidi" w:hAnsiTheme="majorBidi" w:cstheme="majorBidi"/>
          <w:bCs/>
        </w:rPr>
        <w:t xml:space="preserve"> pie konkurences samazināšanās konkrētajā iepirkum</w:t>
      </w:r>
      <w:r w:rsidR="00421856">
        <w:rPr>
          <w:rFonts w:asciiTheme="majorBidi" w:hAnsiTheme="majorBidi" w:cstheme="majorBidi"/>
          <w:bCs/>
        </w:rPr>
        <w:t xml:space="preserve">ā </w:t>
      </w:r>
      <w:r w:rsidR="004852DA">
        <w:rPr>
          <w:rFonts w:asciiTheme="majorBidi" w:hAnsiTheme="majorBidi" w:cstheme="majorBidi"/>
          <w:bCs/>
        </w:rPr>
        <w:t xml:space="preserve">un </w:t>
      </w:r>
      <w:r w:rsidR="0045675D">
        <w:rPr>
          <w:rFonts w:asciiTheme="majorBidi" w:hAnsiTheme="majorBidi" w:cstheme="majorBidi"/>
          <w:bCs/>
        </w:rPr>
        <w:t>līdz ar to</w:t>
      </w:r>
      <w:r w:rsidR="004852DA">
        <w:rPr>
          <w:rFonts w:asciiTheme="majorBidi" w:hAnsiTheme="majorBidi" w:cstheme="majorBidi"/>
          <w:bCs/>
        </w:rPr>
        <w:t xml:space="preserve"> – </w:t>
      </w:r>
      <w:r w:rsidR="0045675D">
        <w:rPr>
          <w:rFonts w:asciiTheme="majorBidi" w:hAnsiTheme="majorBidi" w:cstheme="majorBidi"/>
          <w:bCs/>
        </w:rPr>
        <w:t xml:space="preserve">arī </w:t>
      </w:r>
      <w:r w:rsidR="004852DA">
        <w:rPr>
          <w:rFonts w:asciiTheme="majorBidi" w:hAnsiTheme="majorBidi" w:cstheme="majorBidi"/>
          <w:bCs/>
        </w:rPr>
        <w:t xml:space="preserve">pie lielākas iespējas, ka valsts (vai pašvaldības) līdzekļi netiek izmantoti iespējami visefektīvākajā veidā. </w:t>
      </w:r>
      <w:r w:rsidR="001C1798">
        <w:rPr>
          <w:rFonts w:asciiTheme="majorBidi" w:hAnsiTheme="majorBidi" w:cstheme="majorBidi"/>
          <w:bCs/>
        </w:rPr>
        <w:t xml:space="preserve">Vienlaikus šāds regulējums ir vērsts uz to, lai </w:t>
      </w:r>
      <w:r w:rsidR="00341C6A">
        <w:rPr>
          <w:rFonts w:asciiTheme="majorBidi" w:hAnsiTheme="majorBidi" w:cstheme="majorBidi"/>
          <w:bCs/>
        </w:rPr>
        <w:t xml:space="preserve">vienlīdzīgas attieksmes pret pretendentiem nodrošināšanas nolūkā </w:t>
      </w:r>
      <w:r w:rsidR="005C3F0D">
        <w:rPr>
          <w:rFonts w:asciiTheme="majorBidi" w:hAnsiTheme="majorBidi" w:cstheme="majorBidi"/>
          <w:bCs/>
        </w:rPr>
        <w:t xml:space="preserve">neviens pretendents netiktu nostādīts labvēlīgākā </w:t>
      </w:r>
      <w:r w:rsidR="00DA1004">
        <w:rPr>
          <w:rFonts w:asciiTheme="majorBidi" w:hAnsiTheme="majorBidi" w:cstheme="majorBidi"/>
          <w:bCs/>
        </w:rPr>
        <w:t>situācijā</w:t>
      </w:r>
      <w:r w:rsidR="005C3F0D">
        <w:rPr>
          <w:rFonts w:asciiTheme="majorBidi" w:hAnsiTheme="majorBidi" w:cstheme="majorBidi"/>
          <w:bCs/>
        </w:rPr>
        <w:t xml:space="preserve"> attiecībā pret citiem pretendentiem, ļaujot </w:t>
      </w:r>
      <w:r w:rsidR="004A65FA">
        <w:rPr>
          <w:rFonts w:asciiTheme="majorBidi" w:hAnsiTheme="majorBidi" w:cstheme="majorBidi"/>
          <w:bCs/>
        </w:rPr>
        <w:t xml:space="preserve">tam izskaidrot vai papildināt </w:t>
      </w:r>
      <w:r w:rsidR="00386370">
        <w:rPr>
          <w:rFonts w:asciiTheme="majorBidi" w:hAnsiTheme="majorBidi" w:cstheme="majorBidi"/>
          <w:bCs/>
        </w:rPr>
        <w:t xml:space="preserve">piedāvājumu tādā veidā, kas </w:t>
      </w:r>
      <w:r w:rsidR="00903000">
        <w:rPr>
          <w:rFonts w:asciiTheme="majorBidi" w:hAnsiTheme="majorBidi" w:cstheme="majorBidi"/>
          <w:bCs/>
        </w:rPr>
        <w:t>var ietekmēt konkurenci un radīt šaubas par pasūtītāja favorītismu pret konkrēto pretendentu</w:t>
      </w:r>
      <w:r w:rsidR="008B202E">
        <w:rPr>
          <w:rFonts w:asciiTheme="majorBidi" w:hAnsiTheme="majorBidi" w:cstheme="majorBidi"/>
          <w:bCs/>
        </w:rPr>
        <w:t xml:space="preserve"> vai patvaļību</w:t>
      </w:r>
      <w:r w:rsidR="00903000">
        <w:rPr>
          <w:rFonts w:asciiTheme="majorBidi" w:hAnsiTheme="majorBidi" w:cstheme="majorBidi"/>
          <w:bCs/>
        </w:rPr>
        <w:t xml:space="preserve"> </w:t>
      </w:r>
      <w:r w:rsidR="00386370">
        <w:rPr>
          <w:rFonts w:asciiTheme="majorBidi" w:hAnsiTheme="majorBidi" w:cstheme="majorBidi"/>
          <w:bCs/>
        </w:rPr>
        <w:t xml:space="preserve">(sal. </w:t>
      </w:r>
      <w:r w:rsidR="00386370" w:rsidRPr="007910BD">
        <w:rPr>
          <w:rFonts w:asciiTheme="majorBidi" w:hAnsiTheme="majorBidi" w:cstheme="majorBidi"/>
          <w:bCs/>
          <w:i/>
          <w:iCs/>
        </w:rPr>
        <w:t xml:space="preserve">Eiropas Savienības Tiesas 2017.gada 4.maija sprieduma lietā „Esaprojekt”, C-387/14, </w:t>
      </w:r>
      <w:hyperlink r:id="rId16" w:history="1">
        <w:r w:rsidR="00386370" w:rsidRPr="007910BD">
          <w:rPr>
            <w:rStyle w:val="Hyperlink"/>
            <w:rFonts w:asciiTheme="majorBidi" w:hAnsiTheme="majorBidi" w:cstheme="majorBidi"/>
            <w:bCs/>
            <w:i/>
            <w:iCs/>
          </w:rPr>
          <w:t>ECLI:EU:C:2017:338</w:t>
        </w:r>
      </w:hyperlink>
      <w:r w:rsidR="00386370" w:rsidRPr="007910BD">
        <w:rPr>
          <w:rFonts w:asciiTheme="majorBidi" w:hAnsiTheme="majorBidi" w:cstheme="majorBidi"/>
          <w:bCs/>
          <w:i/>
          <w:iCs/>
        </w:rPr>
        <w:t>, 3</w:t>
      </w:r>
      <w:r w:rsidR="00386370">
        <w:rPr>
          <w:rFonts w:asciiTheme="majorBidi" w:hAnsiTheme="majorBidi" w:cstheme="majorBidi"/>
          <w:bCs/>
          <w:i/>
          <w:iCs/>
        </w:rPr>
        <w:t>6</w:t>
      </w:r>
      <w:r w:rsidR="00386370" w:rsidRPr="007910BD">
        <w:rPr>
          <w:rFonts w:asciiTheme="majorBidi" w:hAnsiTheme="majorBidi" w:cstheme="majorBidi"/>
          <w:bCs/>
          <w:i/>
          <w:iCs/>
        </w:rPr>
        <w:t>.</w:t>
      </w:r>
      <w:r w:rsidR="00386370">
        <w:rPr>
          <w:rFonts w:asciiTheme="majorBidi" w:hAnsiTheme="majorBidi" w:cstheme="majorBidi"/>
          <w:bCs/>
          <w:i/>
          <w:iCs/>
        </w:rPr>
        <w:t>–40.punkts</w:t>
      </w:r>
      <w:r w:rsidR="00386370">
        <w:rPr>
          <w:rFonts w:asciiTheme="majorBidi" w:hAnsiTheme="majorBidi" w:cstheme="majorBidi"/>
          <w:bCs/>
        </w:rPr>
        <w:t>).</w:t>
      </w:r>
      <w:r w:rsidR="003E4D67">
        <w:rPr>
          <w:rFonts w:asciiTheme="majorBidi" w:hAnsiTheme="majorBidi" w:cstheme="majorBidi"/>
          <w:bCs/>
        </w:rPr>
        <w:t xml:space="preserve"> Līdz ar to </w:t>
      </w:r>
      <w:r w:rsidR="00B85FF0">
        <w:rPr>
          <w:rFonts w:asciiTheme="majorBidi" w:hAnsiTheme="majorBidi" w:cstheme="majorBidi"/>
          <w:bCs/>
        </w:rPr>
        <w:t>šāds regulējums būtībā ir kompromisu</w:t>
      </w:r>
      <w:r w:rsidR="00F43CF6">
        <w:rPr>
          <w:rFonts w:asciiTheme="majorBidi" w:hAnsiTheme="majorBidi" w:cstheme="majorBidi"/>
          <w:bCs/>
        </w:rPr>
        <w:t xml:space="preserve"> rezultāts, ar to </w:t>
      </w:r>
      <w:r w:rsidR="003A53F5">
        <w:rPr>
          <w:rFonts w:asciiTheme="majorBidi" w:hAnsiTheme="majorBidi" w:cstheme="majorBidi"/>
          <w:bCs/>
        </w:rPr>
        <w:t xml:space="preserve">cenšoties panākt </w:t>
      </w:r>
      <w:r w:rsidR="00F43CF6">
        <w:rPr>
          <w:rFonts w:asciiTheme="majorBidi" w:hAnsiTheme="majorBidi" w:cstheme="majorBidi"/>
          <w:bCs/>
        </w:rPr>
        <w:t xml:space="preserve">pēc iespējas taisnīgāko līdzsvaru starp </w:t>
      </w:r>
      <w:r w:rsidR="001C0886">
        <w:rPr>
          <w:rFonts w:asciiTheme="majorBidi" w:hAnsiTheme="majorBidi" w:cstheme="majorBidi"/>
          <w:bCs/>
        </w:rPr>
        <w:t>dažādajiem visu publisko iepirkumu procedūru caurvijošajiem pamatprincipiem.</w:t>
      </w:r>
    </w:p>
    <w:p w14:paraId="0DE51551" w14:textId="35CF58AD" w:rsidR="002F610B" w:rsidRDefault="00A25B9C"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Minētais </w:t>
      </w:r>
      <w:r w:rsidR="00ED6398">
        <w:rPr>
          <w:rFonts w:asciiTheme="majorBidi" w:hAnsiTheme="majorBidi" w:cstheme="majorBidi"/>
          <w:bCs/>
        </w:rPr>
        <w:t xml:space="preserve">attiecīgi nozīmē, ka, </w:t>
      </w:r>
      <w:r w:rsidR="00B45877">
        <w:rPr>
          <w:rFonts w:asciiTheme="majorBidi" w:hAnsiTheme="majorBidi" w:cstheme="majorBidi"/>
          <w:bCs/>
        </w:rPr>
        <w:t xml:space="preserve">vērtējot, vai konkrētā situācijā ir pieļaujama piedāvājuma papildināšana (precizēšana), </w:t>
      </w:r>
      <w:r w:rsidR="00AA77DB">
        <w:rPr>
          <w:rFonts w:asciiTheme="majorBidi" w:hAnsiTheme="majorBidi" w:cstheme="majorBidi"/>
          <w:bCs/>
        </w:rPr>
        <w:t>izšķiroša nozīme ir</w:t>
      </w:r>
      <w:r w:rsidR="00C517DB">
        <w:rPr>
          <w:rFonts w:asciiTheme="majorBidi" w:hAnsiTheme="majorBidi" w:cstheme="majorBidi"/>
          <w:bCs/>
        </w:rPr>
        <w:t xml:space="preserve"> piešķirama tam</w:t>
      </w:r>
      <w:r w:rsidR="00AA77DB">
        <w:rPr>
          <w:rFonts w:asciiTheme="majorBidi" w:hAnsiTheme="majorBidi" w:cstheme="majorBidi"/>
          <w:bCs/>
        </w:rPr>
        <w:t xml:space="preserve">, </w:t>
      </w:r>
      <w:r w:rsidR="00A07B49">
        <w:rPr>
          <w:rFonts w:asciiTheme="majorBidi" w:hAnsiTheme="majorBidi" w:cstheme="majorBidi"/>
          <w:bCs/>
        </w:rPr>
        <w:t xml:space="preserve">vai šāda papildināšana </w:t>
      </w:r>
      <w:r w:rsidR="00A403A3">
        <w:rPr>
          <w:rFonts w:asciiTheme="majorBidi" w:hAnsiTheme="majorBidi" w:cstheme="majorBidi"/>
          <w:bCs/>
        </w:rPr>
        <w:t>ir pretrunā ar iepirkuma</w:t>
      </w:r>
      <w:r w:rsidR="00A07B49">
        <w:rPr>
          <w:rFonts w:asciiTheme="majorBidi" w:hAnsiTheme="majorBidi" w:cstheme="majorBidi"/>
          <w:bCs/>
        </w:rPr>
        <w:t xml:space="preserve"> procedūras pamatprinci</w:t>
      </w:r>
      <w:r w:rsidR="00A403A3">
        <w:rPr>
          <w:rFonts w:asciiTheme="majorBidi" w:hAnsiTheme="majorBidi" w:cstheme="majorBidi"/>
          <w:bCs/>
        </w:rPr>
        <w:t>piem</w:t>
      </w:r>
      <w:r w:rsidR="00A07B49">
        <w:rPr>
          <w:rFonts w:asciiTheme="majorBidi" w:hAnsiTheme="majorBidi" w:cstheme="majorBidi"/>
          <w:bCs/>
        </w:rPr>
        <w:t xml:space="preserve">, jo īpaši vienlīdzīgas attieksmes pret pretendentiem </w:t>
      </w:r>
      <w:r w:rsidR="00A403A3">
        <w:rPr>
          <w:rFonts w:asciiTheme="majorBidi" w:hAnsiTheme="majorBidi" w:cstheme="majorBidi"/>
          <w:bCs/>
        </w:rPr>
        <w:t xml:space="preserve">principu </w:t>
      </w:r>
      <w:r w:rsidR="00A07B49">
        <w:rPr>
          <w:rFonts w:asciiTheme="majorBidi" w:hAnsiTheme="majorBidi" w:cstheme="majorBidi"/>
          <w:bCs/>
        </w:rPr>
        <w:t>un pārredzamības princip</w:t>
      </w:r>
      <w:r w:rsidR="00A403A3">
        <w:rPr>
          <w:rFonts w:asciiTheme="majorBidi" w:hAnsiTheme="majorBidi" w:cstheme="majorBidi"/>
          <w:bCs/>
        </w:rPr>
        <w:t>u.</w:t>
      </w:r>
      <w:r w:rsidR="005D5C8A">
        <w:rPr>
          <w:rFonts w:asciiTheme="majorBidi" w:hAnsiTheme="majorBidi" w:cstheme="majorBidi"/>
          <w:bCs/>
        </w:rPr>
        <w:t xml:space="preserve"> Ja</w:t>
      </w:r>
      <w:r w:rsidR="00770A20">
        <w:rPr>
          <w:rFonts w:asciiTheme="majorBidi" w:hAnsiTheme="majorBidi" w:cstheme="majorBidi"/>
          <w:bCs/>
        </w:rPr>
        <w:t xml:space="preserve"> nekādas pretrunas ar </w:t>
      </w:r>
      <w:r w:rsidR="00770A20">
        <w:rPr>
          <w:rFonts w:asciiTheme="majorBidi" w:hAnsiTheme="majorBidi" w:cstheme="majorBidi"/>
          <w:bCs/>
        </w:rPr>
        <w:lastRenderedPageBreak/>
        <w:t xml:space="preserve">šiem principiem nav konstatējamas, būtu pārlieku formāli un pretēji piedāvājuma papildināšanas (precizēšanas) institūta būtībai </w:t>
      </w:r>
      <w:r w:rsidR="00413C17">
        <w:rPr>
          <w:rFonts w:asciiTheme="majorBidi" w:hAnsiTheme="majorBidi" w:cstheme="majorBidi"/>
          <w:bCs/>
        </w:rPr>
        <w:t xml:space="preserve">uzskatīt, ka </w:t>
      </w:r>
      <w:r w:rsidR="009E6AE3">
        <w:rPr>
          <w:rFonts w:asciiTheme="majorBidi" w:hAnsiTheme="majorBidi" w:cstheme="majorBidi"/>
          <w:bCs/>
        </w:rPr>
        <w:t xml:space="preserve">attiecīgais </w:t>
      </w:r>
      <w:r w:rsidR="007261A6">
        <w:rPr>
          <w:rFonts w:asciiTheme="majorBidi" w:hAnsiTheme="majorBidi" w:cstheme="majorBidi"/>
          <w:bCs/>
        </w:rPr>
        <w:t xml:space="preserve">piedāvājums nevar tikt papildināts </w:t>
      </w:r>
      <w:r w:rsidR="00BA17EC">
        <w:rPr>
          <w:rFonts w:asciiTheme="majorBidi" w:hAnsiTheme="majorBidi" w:cstheme="majorBidi"/>
          <w:bCs/>
        </w:rPr>
        <w:t>vai precizēts.</w:t>
      </w:r>
    </w:p>
    <w:p w14:paraId="504C4DD9" w14:textId="77777777" w:rsidR="008A0B00" w:rsidRDefault="008A0B00" w:rsidP="0045148A">
      <w:pPr>
        <w:shd w:val="clear" w:color="auto" w:fill="FFFFFF"/>
        <w:spacing w:line="276" w:lineRule="auto"/>
        <w:ind w:firstLine="720"/>
        <w:jc w:val="both"/>
        <w:rPr>
          <w:rFonts w:asciiTheme="majorBidi" w:hAnsiTheme="majorBidi" w:cstheme="majorBidi"/>
          <w:bCs/>
        </w:rPr>
      </w:pPr>
    </w:p>
    <w:p w14:paraId="63659905" w14:textId="72067077" w:rsidR="00B00082" w:rsidRDefault="008A0B00" w:rsidP="0045148A">
      <w:pPr>
        <w:shd w:val="clear" w:color="auto" w:fill="FFFFFF"/>
        <w:spacing w:line="276" w:lineRule="auto"/>
        <w:ind w:firstLine="720"/>
        <w:jc w:val="both"/>
        <w:rPr>
          <w:shd w:val="clear" w:color="auto" w:fill="FFFFFF"/>
        </w:rPr>
      </w:pPr>
      <w:r>
        <w:rPr>
          <w:rFonts w:asciiTheme="majorBidi" w:hAnsiTheme="majorBidi" w:cstheme="majorBidi"/>
          <w:bCs/>
        </w:rPr>
        <w:t>[9] </w:t>
      </w:r>
      <w:r w:rsidR="00425305">
        <w:rPr>
          <w:rFonts w:asciiTheme="majorBidi" w:hAnsiTheme="majorBidi" w:cstheme="majorBidi"/>
          <w:bCs/>
        </w:rPr>
        <w:t xml:space="preserve">Kā pārsūdzētajā spriedumā </w:t>
      </w:r>
      <w:r w:rsidR="00FB2311">
        <w:rPr>
          <w:rFonts w:asciiTheme="majorBidi" w:hAnsiTheme="majorBidi" w:cstheme="majorBidi"/>
          <w:bCs/>
        </w:rPr>
        <w:t xml:space="preserve">ir </w:t>
      </w:r>
      <w:r w:rsidR="00425305">
        <w:rPr>
          <w:rFonts w:asciiTheme="majorBidi" w:hAnsiTheme="majorBidi" w:cstheme="majorBidi"/>
          <w:bCs/>
        </w:rPr>
        <w:t xml:space="preserve">konstatējusi tiesa, </w:t>
      </w:r>
      <w:r w:rsidR="002F1F6B">
        <w:rPr>
          <w:rFonts w:asciiTheme="majorBidi" w:hAnsiTheme="majorBidi" w:cstheme="majorBidi"/>
          <w:bCs/>
        </w:rPr>
        <w:t xml:space="preserve">no </w:t>
      </w:r>
      <w:r w:rsidR="005C64DB">
        <w:rPr>
          <w:rFonts w:asciiTheme="majorBidi" w:hAnsiTheme="majorBidi" w:cstheme="majorBidi"/>
          <w:bCs/>
        </w:rPr>
        <w:t>strīdus iepirkuma nolikuma norm</w:t>
      </w:r>
      <w:r w:rsidR="002F1F6B">
        <w:rPr>
          <w:rFonts w:asciiTheme="majorBidi" w:hAnsiTheme="majorBidi" w:cstheme="majorBidi"/>
          <w:bCs/>
        </w:rPr>
        <w:t>ām</w:t>
      </w:r>
      <w:r w:rsidR="005C64DB">
        <w:rPr>
          <w:rFonts w:asciiTheme="majorBidi" w:hAnsiTheme="majorBidi" w:cstheme="majorBidi"/>
          <w:bCs/>
        </w:rPr>
        <w:t xml:space="preserve"> kopsakarā ar </w:t>
      </w:r>
      <w:r w:rsidR="005C64DB">
        <w:rPr>
          <w:shd w:val="clear" w:color="auto" w:fill="FFFFFF"/>
        </w:rPr>
        <w:t>noteikumu Nr. 1037 17.11.7.</w:t>
      </w:r>
      <w:r w:rsidR="000F03AB">
        <w:rPr>
          <w:shd w:val="clear" w:color="auto" w:fill="FFFFFF"/>
        </w:rPr>
        <w:t>apakš</w:t>
      </w:r>
      <w:r w:rsidR="005C64DB">
        <w:rPr>
          <w:shd w:val="clear" w:color="auto" w:fill="FFFFFF"/>
        </w:rPr>
        <w:t>punkt</w:t>
      </w:r>
      <w:r w:rsidR="00D81FEE">
        <w:rPr>
          <w:shd w:val="clear" w:color="auto" w:fill="FFFFFF"/>
        </w:rPr>
        <w:t xml:space="preserve">u </w:t>
      </w:r>
      <w:r w:rsidR="00FB2311">
        <w:rPr>
          <w:shd w:val="clear" w:color="auto" w:fill="FFFFFF"/>
        </w:rPr>
        <w:t xml:space="preserve">skaidri </w:t>
      </w:r>
      <w:r w:rsidR="002F1F6B">
        <w:rPr>
          <w:shd w:val="clear" w:color="auto" w:fill="FFFFFF"/>
        </w:rPr>
        <w:t>izriet, ka</w:t>
      </w:r>
      <w:r w:rsidR="007C3511">
        <w:rPr>
          <w:shd w:val="clear" w:color="auto" w:fill="FFFFFF"/>
        </w:rPr>
        <w:t xml:space="preserve"> iepirkumā iesniegtie pretendentu piedāvājumi tiek vērtēti, pamatojoties uz deviņiem donoru uzkodu komplektu kvalitāti raksturojošiem kritērijiem (piemēram, </w:t>
      </w:r>
      <w:r w:rsidR="00DC5738">
        <w:rPr>
          <w:shd w:val="clear" w:color="auto" w:fill="FFFFFF"/>
        </w:rPr>
        <w:t>svaru, olbaltumvielu, šķiedrvielu un cukura daudzumu, riekstu saturu un daudzveidību maisījumā, u.c. kritērijiem)</w:t>
      </w:r>
      <w:r w:rsidR="004C210B">
        <w:rPr>
          <w:shd w:val="clear" w:color="auto" w:fill="FFFFFF"/>
        </w:rPr>
        <w:t>, kādus pretendenti var piedāvāt par noteikumos Nr. 1037 un attiecīgi arī iepirkuma nolikumā norādīto cenu 1,42 </w:t>
      </w:r>
      <w:r w:rsidR="004C210B" w:rsidRPr="004C210B">
        <w:rPr>
          <w:i/>
          <w:iCs/>
          <w:shd w:val="clear" w:color="auto" w:fill="FFFFFF"/>
        </w:rPr>
        <w:t>euro</w:t>
      </w:r>
      <w:r w:rsidR="004C210B">
        <w:rPr>
          <w:shd w:val="clear" w:color="auto" w:fill="FFFFFF"/>
        </w:rPr>
        <w:t>.</w:t>
      </w:r>
      <w:r w:rsidR="003A1EC0">
        <w:rPr>
          <w:shd w:val="clear" w:color="auto" w:fill="FFFFFF"/>
        </w:rPr>
        <w:t xml:space="preserve"> Tādējādi </w:t>
      </w:r>
      <w:r w:rsidR="003744F1">
        <w:rPr>
          <w:shd w:val="clear" w:color="auto" w:fill="FFFFFF"/>
        </w:rPr>
        <w:t xml:space="preserve">iepirkuma nolikums veidots, paredzot, ka </w:t>
      </w:r>
      <w:r w:rsidR="003333FA">
        <w:rPr>
          <w:shd w:val="clear" w:color="auto" w:fill="FFFFFF"/>
        </w:rPr>
        <w:t>pretendenti iepirkumā savstarpēji konkurē ar to piedāvājum</w:t>
      </w:r>
      <w:r w:rsidR="001F3AAB">
        <w:rPr>
          <w:shd w:val="clear" w:color="auto" w:fill="FFFFFF"/>
        </w:rPr>
        <w:t>os</w:t>
      </w:r>
      <w:r w:rsidR="003333FA">
        <w:rPr>
          <w:shd w:val="clear" w:color="auto" w:fill="FFFFFF"/>
        </w:rPr>
        <w:t xml:space="preserve"> norādītajām uzkodu komplektu kvalitatīvajām īpašībām, bet ne </w:t>
      </w:r>
      <w:r w:rsidR="00535EA0">
        <w:rPr>
          <w:shd w:val="clear" w:color="auto" w:fill="FFFFFF"/>
        </w:rPr>
        <w:t xml:space="preserve">ar </w:t>
      </w:r>
      <w:r w:rsidR="003333FA">
        <w:rPr>
          <w:shd w:val="clear" w:color="auto" w:fill="FFFFFF"/>
        </w:rPr>
        <w:t>cenu, jo</w:t>
      </w:r>
      <w:r w:rsidR="0022084F">
        <w:rPr>
          <w:shd w:val="clear" w:color="auto" w:fill="FFFFFF"/>
        </w:rPr>
        <w:t xml:space="preserve"> visiem pretendentiem uzkodu komplekti pasūtītājam ir jāpiegādā par vienu</w:t>
      </w:r>
      <w:r w:rsidR="001F2064">
        <w:rPr>
          <w:shd w:val="clear" w:color="auto" w:fill="FFFFFF"/>
        </w:rPr>
        <w:t xml:space="preserve"> un to pašu</w:t>
      </w:r>
      <w:r w:rsidR="0022084F">
        <w:rPr>
          <w:shd w:val="clear" w:color="auto" w:fill="FFFFFF"/>
        </w:rPr>
        <w:t xml:space="preserve"> </w:t>
      </w:r>
      <w:r w:rsidR="00535EA0">
        <w:rPr>
          <w:shd w:val="clear" w:color="auto" w:fill="FFFFFF"/>
        </w:rPr>
        <w:t xml:space="preserve">noteikumos Nr. 1037 noteikto </w:t>
      </w:r>
      <w:r w:rsidR="0022084F">
        <w:rPr>
          <w:shd w:val="clear" w:color="auto" w:fill="FFFFFF"/>
        </w:rPr>
        <w:t>cenu.</w:t>
      </w:r>
      <w:r w:rsidR="009C347D">
        <w:rPr>
          <w:shd w:val="clear" w:color="auto" w:fill="FFFFFF"/>
        </w:rPr>
        <w:t xml:space="preserve"> </w:t>
      </w:r>
      <w:r w:rsidR="00B00082">
        <w:rPr>
          <w:shd w:val="clear" w:color="auto" w:fill="FFFFFF"/>
        </w:rPr>
        <w:t>Tomēr</w:t>
      </w:r>
      <w:r w:rsidR="009347B9">
        <w:rPr>
          <w:shd w:val="clear" w:color="auto" w:fill="FFFFFF"/>
        </w:rPr>
        <w:t xml:space="preserve"> tiesa minēto apstākli nav uzskatījusi par tādu, kas liktu atzīt, ka pasūtītājs SIA „Giline for life” piedāvājumā norādīto cenu 1,4157 </w:t>
      </w:r>
      <w:r w:rsidR="009347B9" w:rsidRPr="001F1F24">
        <w:rPr>
          <w:i/>
          <w:iCs/>
          <w:shd w:val="clear" w:color="auto" w:fill="FFFFFF"/>
        </w:rPr>
        <w:t>euro</w:t>
      </w:r>
      <w:r w:rsidR="009347B9">
        <w:rPr>
          <w:shd w:val="clear" w:color="auto" w:fill="FFFFFF"/>
        </w:rPr>
        <w:t xml:space="preserve"> noapaļošanas līdz diviem cipariem aiz komata rezultātā bija tiesīgs labot uz 1,42 </w:t>
      </w:r>
      <w:r w:rsidR="009347B9" w:rsidRPr="009711C4">
        <w:rPr>
          <w:i/>
          <w:iCs/>
          <w:shd w:val="clear" w:color="auto" w:fill="FFFFFF"/>
        </w:rPr>
        <w:t>euro</w:t>
      </w:r>
      <w:r w:rsidR="002F64B3">
        <w:rPr>
          <w:shd w:val="clear" w:color="auto" w:fill="FFFFFF"/>
        </w:rPr>
        <w:t xml:space="preserve">, jo </w:t>
      </w:r>
      <w:r w:rsidR="003E64FC">
        <w:rPr>
          <w:shd w:val="clear" w:color="auto" w:fill="FFFFFF"/>
        </w:rPr>
        <w:t>kā izšķirošu ir ņēmusi vērā apstākli</w:t>
      </w:r>
      <w:r w:rsidR="00683024">
        <w:rPr>
          <w:shd w:val="clear" w:color="auto" w:fill="FFFFFF"/>
        </w:rPr>
        <w:t>, ka minētais pretendents attiecīgo cenu piedāvājumā esot norādījis apzināti, nepareizi izprotot iepirkuma nolikuma prasības.</w:t>
      </w:r>
    </w:p>
    <w:p w14:paraId="475D8FE9" w14:textId="2F989109" w:rsidR="001E1B79" w:rsidRDefault="00BF5AAF" w:rsidP="0045148A">
      <w:pPr>
        <w:shd w:val="clear" w:color="auto" w:fill="FFFFFF"/>
        <w:spacing w:line="276" w:lineRule="auto"/>
        <w:ind w:firstLine="720"/>
        <w:jc w:val="both"/>
        <w:rPr>
          <w:shd w:val="clear" w:color="auto" w:fill="FFFFFF"/>
        </w:rPr>
      </w:pPr>
      <w:r>
        <w:rPr>
          <w:shd w:val="clear" w:color="auto" w:fill="FFFFFF"/>
        </w:rPr>
        <w:t xml:space="preserve">Senāts </w:t>
      </w:r>
      <w:r w:rsidR="00CD2F20">
        <w:rPr>
          <w:shd w:val="clear" w:color="auto" w:fill="FFFFFF"/>
        </w:rPr>
        <w:t xml:space="preserve">atzīst, ka šāda tiesas pieeja neatbilst šā sprieduma iepriekšējā punktā </w:t>
      </w:r>
      <w:r w:rsidR="00405D39">
        <w:rPr>
          <w:shd w:val="clear" w:color="auto" w:fill="FFFFFF"/>
        </w:rPr>
        <w:t xml:space="preserve">norādītajai piedāvājuma papildināšanas (precizēšanas) institūta būtībai un principiem, kas ir šā institūta pamatā. </w:t>
      </w:r>
      <w:r w:rsidR="00535EA0">
        <w:rPr>
          <w:shd w:val="clear" w:color="auto" w:fill="FFFFFF"/>
        </w:rPr>
        <w:t>T</w:t>
      </w:r>
      <w:r w:rsidR="00C96C6A">
        <w:rPr>
          <w:shd w:val="clear" w:color="auto" w:fill="FFFFFF"/>
        </w:rPr>
        <w:t xml:space="preserve">iesa, </w:t>
      </w:r>
      <w:r w:rsidR="00D2291D">
        <w:rPr>
          <w:shd w:val="clear" w:color="auto" w:fill="FFFFFF"/>
        </w:rPr>
        <w:t>fokusēj</w:t>
      </w:r>
      <w:r w:rsidR="009E1A4B">
        <w:rPr>
          <w:shd w:val="clear" w:color="auto" w:fill="FFFFFF"/>
        </w:rPr>
        <w:t>oties</w:t>
      </w:r>
      <w:r w:rsidR="00D2291D">
        <w:rPr>
          <w:shd w:val="clear" w:color="auto" w:fill="FFFFFF"/>
        </w:rPr>
        <w:t xml:space="preserve"> uz apstākļiem</w:t>
      </w:r>
      <w:r w:rsidR="00A3032E">
        <w:rPr>
          <w:shd w:val="clear" w:color="auto" w:fill="FFFFFF"/>
        </w:rPr>
        <w:t xml:space="preserve">, kas </w:t>
      </w:r>
      <w:r w:rsidR="00C96C6A">
        <w:rPr>
          <w:shd w:val="clear" w:color="auto" w:fill="FFFFFF"/>
        </w:rPr>
        <w:t>tās</w:t>
      </w:r>
      <w:r w:rsidR="00A3032E">
        <w:rPr>
          <w:shd w:val="clear" w:color="auto" w:fill="FFFFFF"/>
        </w:rPr>
        <w:t xml:space="preserve"> ieskatā liecina</w:t>
      </w:r>
      <w:r w:rsidR="007F54A5">
        <w:rPr>
          <w:shd w:val="clear" w:color="auto" w:fill="FFFFFF"/>
        </w:rPr>
        <w:t xml:space="preserve"> par to</w:t>
      </w:r>
      <w:r w:rsidR="00E42322">
        <w:rPr>
          <w:shd w:val="clear" w:color="auto" w:fill="FFFFFF"/>
        </w:rPr>
        <w:t>, ka SIA „Giline for life”</w:t>
      </w:r>
      <w:r w:rsidR="00A3032E">
        <w:rPr>
          <w:shd w:val="clear" w:color="auto" w:fill="FFFFFF"/>
        </w:rPr>
        <w:t xml:space="preserve"> savā piedāvājumā viena uzkodu komplekta cenu 1,4157</w:t>
      </w:r>
      <w:r w:rsidR="00A3032E" w:rsidRPr="00A3032E">
        <w:rPr>
          <w:i/>
          <w:iCs/>
          <w:shd w:val="clear" w:color="auto" w:fill="FFFFFF"/>
        </w:rPr>
        <w:t> euro</w:t>
      </w:r>
      <w:r w:rsidR="00A3032E">
        <w:rPr>
          <w:shd w:val="clear" w:color="auto" w:fill="FFFFFF"/>
        </w:rPr>
        <w:t xml:space="preserve"> ir norādījusi apzināti, </w:t>
      </w:r>
      <w:r w:rsidR="00BC69EB">
        <w:rPr>
          <w:shd w:val="clear" w:color="auto" w:fill="FFFFFF"/>
        </w:rPr>
        <w:t>nav izvērtējusi, k</w:t>
      </w:r>
      <w:r w:rsidR="00444253">
        <w:rPr>
          <w:shd w:val="clear" w:color="auto" w:fill="FFFFFF"/>
        </w:rPr>
        <w:t xml:space="preserve">ādu ietekmi </w:t>
      </w:r>
      <w:r w:rsidR="006C2CD8">
        <w:rPr>
          <w:shd w:val="clear" w:color="auto" w:fill="FFFFFF"/>
        </w:rPr>
        <w:t>šāda rīcība, pat ja</w:t>
      </w:r>
      <w:r w:rsidR="004A2080">
        <w:rPr>
          <w:shd w:val="clear" w:color="auto" w:fill="FFFFFF"/>
        </w:rPr>
        <w:t xml:space="preserve"> pieņemtu, ka</w:t>
      </w:r>
      <w:r w:rsidR="006C2CD8">
        <w:rPr>
          <w:shd w:val="clear" w:color="auto" w:fill="FFFFFF"/>
        </w:rPr>
        <w:t xml:space="preserve"> tā bijusi apzināta, ir </w:t>
      </w:r>
      <w:r w:rsidR="004A2080">
        <w:rPr>
          <w:shd w:val="clear" w:color="auto" w:fill="FFFFFF"/>
        </w:rPr>
        <w:t xml:space="preserve">atstājusi </w:t>
      </w:r>
      <w:r w:rsidR="00535EA0">
        <w:rPr>
          <w:shd w:val="clear" w:color="auto" w:fill="FFFFFF"/>
        </w:rPr>
        <w:t xml:space="preserve">(varēja atstāt) </w:t>
      </w:r>
      <w:r w:rsidR="004A2080">
        <w:rPr>
          <w:shd w:val="clear" w:color="auto" w:fill="FFFFFF"/>
        </w:rPr>
        <w:t>uz pretendentu brīvu konkurenci</w:t>
      </w:r>
      <w:r w:rsidR="00C257A2">
        <w:rPr>
          <w:shd w:val="clear" w:color="auto" w:fill="FFFFFF"/>
        </w:rPr>
        <w:t xml:space="preserve"> un vienlīdzību</w:t>
      </w:r>
      <w:r w:rsidR="004A2080">
        <w:rPr>
          <w:shd w:val="clear" w:color="auto" w:fill="FFFFFF"/>
        </w:rPr>
        <w:t xml:space="preserve"> konkrētajā iepirkumā. </w:t>
      </w:r>
      <w:r w:rsidR="00902651">
        <w:rPr>
          <w:shd w:val="clear" w:color="auto" w:fill="FFFFFF"/>
        </w:rPr>
        <w:t>Šajā sakarā ir būtiski ņemt vērā, ka strīdus iepirkuma nolikuma normas, kā jau minēts, n</w:t>
      </w:r>
      <w:r w:rsidR="00F3678E">
        <w:rPr>
          <w:shd w:val="clear" w:color="auto" w:fill="FFFFFF"/>
        </w:rPr>
        <w:t>e</w:t>
      </w:r>
      <w:r w:rsidR="00902651">
        <w:rPr>
          <w:shd w:val="clear" w:color="auto" w:fill="FFFFFF"/>
        </w:rPr>
        <w:t xml:space="preserve">paredz </w:t>
      </w:r>
      <w:r w:rsidR="00F3678E">
        <w:rPr>
          <w:shd w:val="clear" w:color="auto" w:fill="FFFFFF"/>
        </w:rPr>
        <w:t>pretendentu iesniegto piedāvājumu</w:t>
      </w:r>
      <w:r w:rsidR="00CB0131">
        <w:rPr>
          <w:shd w:val="clear" w:color="auto" w:fill="FFFFFF"/>
        </w:rPr>
        <w:t xml:space="preserve"> savstarpēju konkurēšanu ar cenu, bet vienīgi ar iepirkuma priekšmeta kvalitatīvajām īpašībām. </w:t>
      </w:r>
      <w:r w:rsidR="00AB53E5">
        <w:rPr>
          <w:shd w:val="clear" w:color="auto" w:fill="FFFFFF"/>
        </w:rPr>
        <w:t xml:space="preserve">Tāpēc neatkarīgi no iemesla, kāds ir bijis pamatā </w:t>
      </w:r>
      <w:r w:rsidR="00994951">
        <w:rPr>
          <w:shd w:val="clear" w:color="auto" w:fill="FFFFFF"/>
        </w:rPr>
        <w:t>1,4157 </w:t>
      </w:r>
      <w:r w:rsidR="00994951" w:rsidRPr="00994951">
        <w:rPr>
          <w:i/>
          <w:iCs/>
          <w:shd w:val="clear" w:color="auto" w:fill="FFFFFF"/>
        </w:rPr>
        <w:t>euro</w:t>
      </w:r>
      <w:r w:rsidR="00994951">
        <w:rPr>
          <w:shd w:val="clear" w:color="auto" w:fill="FFFFFF"/>
        </w:rPr>
        <w:t xml:space="preserve"> </w:t>
      </w:r>
      <w:r w:rsidR="00AB53E5">
        <w:rPr>
          <w:shd w:val="clear" w:color="auto" w:fill="FFFFFF"/>
        </w:rPr>
        <w:t xml:space="preserve">cenas </w:t>
      </w:r>
      <w:r w:rsidR="009B4236">
        <w:rPr>
          <w:shd w:val="clear" w:color="auto" w:fill="FFFFFF"/>
        </w:rPr>
        <w:t xml:space="preserve">par vienu uzkodu komplektu </w:t>
      </w:r>
      <w:r w:rsidR="00AB53E5">
        <w:rPr>
          <w:shd w:val="clear" w:color="auto" w:fill="FFFFFF"/>
        </w:rPr>
        <w:t xml:space="preserve">norādīšanai SIA „Giline for life” piedāvājumā, </w:t>
      </w:r>
      <w:r w:rsidR="00E87BCE">
        <w:rPr>
          <w:shd w:val="clear" w:color="auto" w:fill="FFFFFF"/>
        </w:rPr>
        <w:t>attiecīgās cenas labošana</w:t>
      </w:r>
      <w:r w:rsidR="00535EA0">
        <w:rPr>
          <w:shd w:val="clear" w:color="auto" w:fill="FFFFFF"/>
        </w:rPr>
        <w:t xml:space="preserve">, matemātiski noapaļojot, </w:t>
      </w:r>
      <w:r w:rsidR="00FD0560">
        <w:rPr>
          <w:shd w:val="clear" w:color="auto" w:fill="FFFFFF"/>
        </w:rPr>
        <w:t xml:space="preserve">nekādā veidā neietekmē ne pretendentu brīvu konkurenci, ne vienlīdzību iepirkuma procedūrā, jo </w:t>
      </w:r>
      <w:r w:rsidR="009B0941">
        <w:rPr>
          <w:shd w:val="clear" w:color="auto" w:fill="FFFFFF"/>
        </w:rPr>
        <w:t xml:space="preserve">saskaņā ar iepirkuma nolikuma normām </w:t>
      </w:r>
      <w:r w:rsidR="00FD0560">
        <w:rPr>
          <w:shd w:val="clear" w:color="auto" w:fill="FFFFFF"/>
        </w:rPr>
        <w:t xml:space="preserve">iepirkuma uzvarētājs </w:t>
      </w:r>
      <w:r w:rsidR="00D20781">
        <w:rPr>
          <w:shd w:val="clear" w:color="auto" w:fill="FFFFFF"/>
        </w:rPr>
        <w:t xml:space="preserve">tiek noskaidrots, vērtējot </w:t>
      </w:r>
      <w:r w:rsidR="00175F2B">
        <w:rPr>
          <w:shd w:val="clear" w:color="auto" w:fill="FFFFFF"/>
        </w:rPr>
        <w:t>ar uzkodu komplekta cenu nesaistītus kritērijus.</w:t>
      </w:r>
      <w:r w:rsidR="00C06345">
        <w:rPr>
          <w:shd w:val="clear" w:color="auto" w:fill="FFFFFF"/>
        </w:rPr>
        <w:t xml:space="preserve"> </w:t>
      </w:r>
    </w:p>
    <w:p w14:paraId="4CAC12CB" w14:textId="3C611887" w:rsidR="009B0941" w:rsidRDefault="00C33B2B" w:rsidP="0045148A">
      <w:pPr>
        <w:shd w:val="clear" w:color="auto" w:fill="FFFFFF"/>
        <w:spacing w:line="276" w:lineRule="auto"/>
        <w:ind w:firstLine="720"/>
        <w:jc w:val="both"/>
        <w:rPr>
          <w:shd w:val="clear" w:color="auto" w:fill="FFFFFF"/>
        </w:rPr>
      </w:pPr>
      <w:r>
        <w:rPr>
          <w:shd w:val="clear" w:color="auto" w:fill="FFFFFF"/>
        </w:rPr>
        <w:t xml:space="preserve">Ievērojot minēto, tiesas fokusēšanās uz to, ka </w:t>
      </w:r>
      <w:r w:rsidR="000F3584">
        <w:rPr>
          <w:shd w:val="clear" w:color="auto" w:fill="FFFFFF"/>
        </w:rPr>
        <w:t xml:space="preserve">strīdus cena par vienu uzkodu komplektu </w:t>
      </w:r>
      <w:r>
        <w:rPr>
          <w:shd w:val="clear" w:color="auto" w:fill="FFFFFF"/>
        </w:rPr>
        <w:t xml:space="preserve">SIA „Giline for life” piedāvājumā ir tikusi norādīta apzināti, </w:t>
      </w:r>
      <w:r w:rsidR="00980304">
        <w:rPr>
          <w:shd w:val="clear" w:color="auto" w:fill="FFFFFF"/>
        </w:rPr>
        <w:t xml:space="preserve">konkrētajā situācijā ir </w:t>
      </w:r>
      <w:r w:rsidR="00201B3B">
        <w:rPr>
          <w:shd w:val="clear" w:color="auto" w:fill="FFFFFF"/>
        </w:rPr>
        <w:t xml:space="preserve">balstīta </w:t>
      </w:r>
      <w:r w:rsidR="00B60805">
        <w:rPr>
          <w:shd w:val="clear" w:color="auto" w:fill="FFFFFF"/>
        </w:rPr>
        <w:t>uz pārmērīg</w:t>
      </w:r>
      <w:r w:rsidR="001F4E4F">
        <w:rPr>
          <w:shd w:val="clear" w:color="auto" w:fill="FFFFFF"/>
        </w:rPr>
        <w:t>i formālu piedāvājuma papildināšanas (precizēšanas) institūta izpratni</w:t>
      </w:r>
      <w:r w:rsidR="006F1425">
        <w:rPr>
          <w:shd w:val="clear" w:color="auto" w:fill="FFFFFF"/>
        </w:rPr>
        <w:t xml:space="preserve"> un ir pretēja šā institūta pamatā esošajiem principiem. </w:t>
      </w:r>
    </w:p>
    <w:p w14:paraId="6FFBE8B5" w14:textId="77777777" w:rsidR="002734B2" w:rsidRDefault="002734B2" w:rsidP="0045148A">
      <w:pPr>
        <w:shd w:val="clear" w:color="auto" w:fill="FFFFFF"/>
        <w:spacing w:line="276" w:lineRule="auto"/>
        <w:ind w:firstLine="720"/>
        <w:jc w:val="both"/>
        <w:rPr>
          <w:shd w:val="clear" w:color="auto" w:fill="FFFFFF"/>
        </w:rPr>
      </w:pPr>
    </w:p>
    <w:p w14:paraId="49C17F92" w14:textId="393E1F64" w:rsidR="003C168E" w:rsidRDefault="00765942" w:rsidP="0045148A">
      <w:pPr>
        <w:shd w:val="clear" w:color="auto" w:fill="FFFFFF"/>
        <w:spacing w:line="276" w:lineRule="auto"/>
        <w:ind w:firstLine="720"/>
        <w:jc w:val="both"/>
        <w:rPr>
          <w:shd w:val="clear" w:color="auto" w:fill="FFFFFF"/>
        </w:rPr>
      </w:pPr>
      <w:r>
        <w:rPr>
          <w:shd w:val="clear" w:color="auto" w:fill="FFFFFF"/>
        </w:rPr>
        <w:t>[10] </w:t>
      </w:r>
      <w:r w:rsidR="0040074F">
        <w:rPr>
          <w:shd w:val="clear" w:color="auto" w:fill="FFFFFF"/>
        </w:rPr>
        <w:t xml:space="preserve">Turklāt </w:t>
      </w:r>
      <w:r w:rsidR="00D84175">
        <w:rPr>
          <w:shd w:val="clear" w:color="auto" w:fill="FFFFFF"/>
        </w:rPr>
        <w:t xml:space="preserve">Senāts arī uzskata, ka tiesa pārsūdzētajā spriedumā ir nepamatoti piešķīrusi nozīmi tam, kāda cena </w:t>
      </w:r>
      <w:r w:rsidR="00582FD7">
        <w:rPr>
          <w:shd w:val="clear" w:color="auto" w:fill="FFFFFF"/>
        </w:rPr>
        <w:t>SIA „Giline for life” piedāvājumā ir norādīta par visiem 50 000 iepirkuma rezultātā piegādājamiem uzkodu komplektiem</w:t>
      </w:r>
      <w:r w:rsidR="0040074F">
        <w:rPr>
          <w:shd w:val="clear" w:color="auto" w:fill="FFFFFF"/>
        </w:rPr>
        <w:t xml:space="preserve">. </w:t>
      </w:r>
      <w:r w:rsidR="00C512CD">
        <w:rPr>
          <w:shd w:val="clear" w:color="auto" w:fill="FFFFFF"/>
        </w:rPr>
        <w:t>Ir tikai pašsaprotami, ka</w:t>
      </w:r>
      <w:r w:rsidR="00E130EA">
        <w:rPr>
          <w:shd w:val="clear" w:color="auto" w:fill="FFFFFF"/>
        </w:rPr>
        <w:t xml:space="preserve"> piedāvājumā pieļauta aritmētiska kļūda vienai iepirkuma priekšmeta vienības cenai var </w:t>
      </w:r>
      <w:r w:rsidR="00E130EA">
        <w:rPr>
          <w:shd w:val="clear" w:color="auto" w:fill="FFFFFF"/>
        </w:rPr>
        <w:lastRenderedPageBreak/>
        <w:t xml:space="preserve">ietekmēt </w:t>
      </w:r>
      <w:r w:rsidR="00535EA0">
        <w:rPr>
          <w:shd w:val="clear" w:color="auto" w:fill="FFFFFF"/>
        </w:rPr>
        <w:t>kopējo summu</w:t>
      </w:r>
      <w:r w:rsidR="00E130EA">
        <w:rPr>
          <w:shd w:val="clear" w:color="auto" w:fill="FFFFFF"/>
        </w:rPr>
        <w:t xml:space="preserve">, kas norādīta par visām iepirkuma rezultātā piegādājamām vienībām. </w:t>
      </w:r>
      <w:r w:rsidR="002205DE">
        <w:rPr>
          <w:shd w:val="clear" w:color="auto" w:fill="FFFFFF"/>
        </w:rPr>
        <w:t xml:space="preserve">Līdz ar to tas vien, ka </w:t>
      </w:r>
      <w:r w:rsidR="00535EA0">
        <w:rPr>
          <w:shd w:val="clear" w:color="auto" w:fill="FFFFFF"/>
        </w:rPr>
        <w:t>piedāvājumā norādīt</w:t>
      </w:r>
      <w:r w:rsidR="00390440">
        <w:rPr>
          <w:shd w:val="clear" w:color="auto" w:fill="FFFFFF"/>
        </w:rPr>
        <w:t>ā</w:t>
      </w:r>
      <w:r w:rsidR="002205DE">
        <w:rPr>
          <w:shd w:val="clear" w:color="auto" w:fill="FFFFFF"/>
        </w:rPr>
        <w:t xml:space="preserve"> </w:t>
      </w:r>
      <w:r w:rsidR="00390440">
        <w:rPr>
          <w:shd w:val="clear" w:color="auto" w:fill="FFFFFF"/>
        </w:rPr>
        <w:t xml:space="preserve">kopējā </w:t>
      </w:r>
      <w:r w:rsidR="00535EA0">
        <w:rPr>
          <w:shd w:val="clear" w:color="auto" w:fill="FFFFFF"/>
        </w:rPr>
        <w:t>summa</w:t>
      </w:r>
      <w:r w:rsidR="002205DE">
        <w:rPr>
          <w:shd w:val="clear" w:color="auto" w:fill="FFFFFF"/>
        </w:rPr>
        <w:t xml:space="preserve"> </w:t>
      </w:r>
      <w:r w:rsidR="008156D2">
        <w:rPr>
          <w:shd w:val="clear" w:color="auto" w:fill="FFFFFF"/>
        </w:rPr>
        <w:t xml:space="preserve">atšķiras no paredzamās līgumcenas, pats par sevi nevar </w:t>
      </w:r>
      <w:r w:rsidR="00535EA0">
        <w:rPr>
          <w:shd w:val="clear" w:color="auto" w:fill="FFFFFF"/>
        </w:rPr>
        <w:t>liegt labot</w:t>
      </w:r>
      <w:r w:rsidR="008156D2">
        <w:rPr>
          <w:shd w:val="clear" w:color="auto" w:fill="FFFFFF"/>
        </w:rPr>
        <w:t xml:space="preserve"> </w:t>
      </w:r>
      <w:r w:rsidR="00196754">
        <w:rPr>
          <w:shd w:val="clear" w:color="auto" w:fill="FFFFFF"/>
        </w:rPr>
        <w:t xml:space="preserve">piedāvājumā </w:t>
      </w:r>
      <w:r w:rsidR="00535EA0">
        <w:rPr>
          <w:shd w:val="clear" w:color="auto" w:fill="FFFFFF"/>
        </w:rPr>
        <w:t>ietverto cenas norādīšanas kļūdu</w:t>
      </w:r>
      <w:r w:rsidR="00EA1E82">
        <w:rPr>
          <w:shd w:val="clear" w:color="auto" w:fill="FFFFFF"/>
        </w:rPr>
        <w:t>, noapaļojot piedāvājumā norādīto cenu līdz diviem cipariem aiz komata</w:t>
      </w:r>
      <w:r w:rsidR="00535EA0">
        <w:rPr>
          <w:shd w:val="clear" w:color="auto" w:fill="FFFFFF"/>
        </w:rPr>
        <w:t xml:space="preserve"> un t</w:t>
      </w:r>
      <w:r w:rsidR="00EA1E82">
        <w:rPr>
          <w:shd w:val="clear" w:color="auto" w:fill="FFFFFF"/>
        </w:rPr>
        <w:t xml:space="preserve">ādējādi pārliecinoties, ka </w:t>
      </w:r>
      <w:r w:rsidR="00535EA0">
        <w:rPr>
          <w:shd w:val="clear" w:color="auto" w:fill="FFFFFF"/>
        </w:rPr>
        <w:t xml:space="preserve">būtībā </w:t>
      </w:r>
      <w:r w:rsidR="00EA1E82">
        <w:rPr>
          <w:shd w:val="clear" w:color="auto" w:fill="FFFFFF"/>
        </w:rPr>
        <w:t>cena atbilst noteikumu Nr. 1037 17.11.7.</w:t>
      </w:r>
      <w:r w:rsidR="00CA5CBE">
        <w:rPr>
          <w:shd w:val="clear" w:color="auto" w:fill="FFFFFF"/>
        </w:rPr>
        <w:t>apakš</w:t>
      </w:r>
      <w:r w:rsidR="00EA1E82">
        <w:rPr>
          <w:shd w:val="clear" w:color="auto" w:fill="FFFFFF"/>
        </w:rPr>
        <w:t>punktā noteiktajai fiksētajai cenai, par kādu pasūtītāj</w:t>
      </w:r>
      <w:r w:rsidR="00535EA0">
        <w:rPr>
          <w:shd w:val="clear" w:color="auto" w:fill="FFFFFF"/>
        </w:rPr>
        <w:t>am</w:t>
      </w:r>
      <w:r w:rsidR="00EA1E82">
        <w:rPr>
          <w:shd w:val="clear" w:color="auto" w:fill="FFFFFF"/>
        </w:rPr>
        <w:t xml:space="preserve"> jāiepērk uzkodu komplekti</w:t>
      </w:r>
      <w:r w:rsidR="00196754">
        <w:rPr>
          <w:shd w:val="clear" w:color="auto" w:fill="FFFFFF"/>
        </w:rPr>
        <w:t xml:space="preserve">. </w:t>
      </w:r>
    </w:p>
    <w:p w14:paraId="0E888A5D" w14:textId="77777777" w:rsidR="00B00082" w:rsidRDefault="00B00082" w:rsidP="0045148A">
      <w:pPr>
        <w:shd w:val="clear" w:color="auto" w:fill="FFFFFF"/>
        <w:spacing w:line="276" w:lineRule="auto"/>
        <w:ind w:firstLine="720"/>
        <w:jc w:val="both"/>
        <w:rPr>
          <w:shd w:val="clear" w:color="auto" w:fill="FFFFFF"/>
        </w:rPr>
      </w:pPr>
    </w:p>
    <w:p w14:paraId="366A944B" w14:textId="57CC5B00" w:rsidR="005D5C8A" w:rsidRDefault="00B00082" w:rsidP="0045148A">
      <w:pPr>
        <w:shd w:val="clear" w:color="auto" w:fill="FFFFFF"/>
        <w:spacing w:line="276" w:lineRule="auto"/>
        <w:ind w:firstLine="720"/>
        <w:jc w:val="both"/>
        <w:rPr>
          <w:rFonts w:asciiTheme="majorBidi" w:hAnsiTheme="majorBidi" w:cstheme="majorBidi"/>
          <w:bCs/>
        </w:rPr>
      </w:pPr>
      <w:r>
        <w:rPr>
          <w:shd w:val="clear" w:color="auto" w:fill="FFFFFF"/>
        </w:rPr>
        <w:t>[</w:t>
      </w:r>
      <w:r w:rsidR="00765942">
        <w:rPr>
          <w:shd w:val="clear" w:color="auto" w:fill="FFFFFF"/>
        </w:rPr>
        <w:t>11</w:t>
      </w:r>
      <w:r>
        <w:rPr>
          <w:shd w:val="clear" w:color="auto" w:fill="FFFFFF"/>
        </w:rPr>
        <w:t>]</w:t>
      </w:r>
      <w:r w:rsidR="008E1B10">
        <w:rPr>
          <w:shd w:val="clear" w:color="auto" w:fill="FFFFFF"/>
        </w:rPr>
        <w:t xml:space="preserve"> Rezumējot minēto, Senāts atzīst, ka Iepirkumu uzraudzības biroja kasācijas sūdzība par pārsūdzēto spriedumu daļā, kurā tiesa ir atzinusi, ka </w:t>
      </w:r>
      <w:r w:rsidR="008E1B10">
        <w:rPr>
          <w:rFonts w:asciiTheme="majorBidi" w:hAnsiTheme="majorBidi" w:cstheme="majorBidi"/>
          <w:bCs/>
        </w:rPr>
        <w:t>pasūtītājs nebija tiesīgs labot SIA „Giline for life” piedāvājumā konstatētās aritmētiskās kļūdas</w:t>
      </w:r>
      <w:r w:rsidR="00D57C12">
        <w:rPr>
          <w:rFonts w:asciiTheme="majorBidi" w:hAnsiTheme="majorBidi" w:cstheme="majorBidi"/>
          <w:bCs/>
        </w:rPr>
        <w:t>, ir pamatota. Tāpēc pārsūdzētais spriedums minētajā daļā ir atceļams, un lieta attiecīgajā daļā nododama jaunai izskatīšanai pirmās instances tiesai.</w:t>
      </w:r>
    </w:p>
    <w:p w14:paraId="0CFD8AC7" w14:textId="62F8C9D6" w:rsidR="00D57C12" w:rsidRDefault="00D57C12" w:rsidP="0045148A">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Tā kā jautājums par zaudējumu atlīdzināšanu pieteicējai ir pakārtots pirmās instances tiesā no jauna izskatāmajam jautājumam par SIA „Giline for life” piedāvājuma labošanas rezultātā pieņemt</w:t>
      </w:r>
      <w:r w:rsidR="00B00B46">
        <w:rPr>
          <w:rFonts w:asciiTheme="majorBidi" w:hAnsiTheme="majorBidi" w:cstheme="majorBidi"/>
          <w:bCs/>
        </w:rPr>
        <w:t>ā</w:t>
      </w:r>
      <w:r>
        <w:rPr>
          <w:rFonts w:asciiTheme="majorBidi" w:hAnsiTheme="majorBidi" w:cstheme="majorBidi"/>
          <w:bCs/>
        </w:rPr>
        <w:t xml:space="preserve"> pasūtītāja lēmum</w:t>
      </w:r>
      <w:r w:rsidR="00B00B46">
        <w:rPr>
          <w:rFonts w:asciiTheme="majorBidi" w:hAnsiTheme="majorBidi" w:cstheme="majorBidi"/>
          <w:bCs/>
        </w:rPr>
        <w:t>a</w:t>
      </w:r>
      <w:r>
        <w:rPr>
          <w:rFonts w:asciiTheme="majorBidi" w:hAnsiTheme="majorBidi" w:cstheme="majorBidi"/>
          <w:bCs/>
        </w:rPr>
        <w:t xml:space="preserve"> par iepirkuma līguma tiesību piešķiršanu minētaja</w:t>
      </w:r>
      <w:r w:rsidR="006C19C6">
        <w:rPr>
          <w:rFonts w:asciiTheme="majorBidi" w:hAnsiTheme="majorBidi" w:cstheme="majorBidi"/>
          <w:bCs/>
        </w:rPr>
        <w:t>m</w:t>
      </w:r>
      <w:r>
        <w:rPr>
          <w:rFonts w:asciiTheme="majorBidi" w:hAnsiTheme="majorBidi" w:cstheme="majorBidi"/>
          <w:bCs/>
        </w:rPr>
        <w:t xml:space="preserve"> </w:t>
      </w:r>
      <w:r w:rsidR="006C19C6">
        <w:rPr>
          <w:rFonts w:asciiTheme="majorBidi" w:hAnsiTheme="majorBidi" w:cstheme="majorBidi"/>
          <w:bCs/>
        </w:rPr>
        <w:t xml:space="preserve">pretendentam </w:t>
      </w:r>
      <w:r w:rsidR="00B00B46">
        <w:rPr>
          <w:rFonts w:asciiTheme="majorBidi" w:hAnsiTheme="majorBidi" w:cstheme="majorBidi"/>
          <w:bCs/>
        </w:rPr>
        <w:t>tiesiskumu, pārsūdzētais spriedums ir atceļams arī daļā par zaudējumu atlīdzinājumu, nevērtējot kasācijas sūdzībā norādītos argumentus par spriedumu minētajā daļā.</w:t>
      </w:r>
    </w:p>
    <w:p w14:paraId="532DE3B6" w14:textId="77777777" w:rsidR="00411CD0" w:rsidRDefault="00411CD0" w:rsidP="0045148A">
      <w:pPr>
        <w:shd w:val="clear" w:color="auto" w:fill="FFFFFF"/>
        <w:spacing w:line="276" w:lineRule="auto"/>
        <w:ind w:firstLine="720"/>
        <w:jc w:val="both"/>
      </w:pPr>
    </w:p>
    <w:p w14:paraId="2285B0BC" w14:textId="77777777" w:rsidR="00447EE6" w:rsidRDefault="00447EE6" w:rsidP="0045148A">
      <w:pPr>
        <w:shd w:val="clear" w:color="auto" w:fill="FFFFFF"/>
        <w:spacing w:line="276" w:lineRule="auto"/>
        <w:jc w:val="center"/>
        <w:rPr>
          <w:b/>
        </w:rPr>
      </w:pPr>
      <w:r w:rsidRPr="00847F44">
        <w:rPr>
          <w:b/>
        </w:rPr>
        <w:t xml:space="preserve">Rezolutīvā daļa </w:t>
      </w:r>
    </w:p>
    <w:p w14:paraId="7DD9DA2F" w14:textId="77777777" w:rsidR="00411CD0" w:rsidRPr="00847F44" w:rsidRDefault="00411CD0" w:rsidP="0045148A">
      <w:pPr>
        <w:shd w:val="clear" w:color="auto" w:fill="FFFFFF"/>
        <w:spacing w:line="276" w:lineRule="auto"/>
        <w:jc w:val="center"/>
        <w:rPr>
          <w:b/>
        </w:rPr>
      </w:pPr>
    </w:p>
    <w:p w14:paraId="29943EA0" w14:textId="15139D8A" w:rsidR="00447EE6" w:rsidRPr="003657E7" w:rsidRDefault="00447EE6" w:rsidP="0045148A">
      <w:pPr>
        <w:shd w:val="clear" w:color="auto" w:fill="FFFFFF"/>
        <w:spacing w:line="276" w:lineRule="auto"/>
        <w:ind w:firstLine="720"/>
        <w:jc w:val="both"/>
      </w:pPr>
      <w:r w:rsidRPr="003657E7">
        <w:t xml:space="preserve">Pamatojoties uz </w:t>
      </w:r>
      <w:r w:rsidR="000A65CA" w:rsidRPr="003657E7">
        <w:rPr>
          <w:rFonts w:eastAsiaTheme="minorHAnsi"/>
          <w:lang w:eastAsia="en-US"/>
        </w:rPr>
        <w:t>Administratīvā procesa likuma 129.</w:t>
      </w:r>
      <w:r w:rsidR="000A65CA" w:rsidRPr="003657E7">
        <w:rPr>
          <w:rFonts w:eastAsiaTheme="minorHAnsi"/>
          <w:vertAlign w:val="superscript"/>
          <w:lang w:eastAsia="en-US"/>
        </w:rPr>
        <w:t>1</w:t>
      </w:r>
      <w:r w:rsidR="000A65CA" w:rsidRPr="003657E7">
        <w:rPr>
          <w:rFonts w:eastAsiaTheme="minorHAnsi"/>
          <w:lang w:eastAsia="en-US"/>
        </w:rPr>
        <w:t xml:space="preserve">panta pirmās daļas 1.punktu, 348.panta pirmās daļas </w:t>
      </w:r>
      <w:r w:rsidR="003657E7" w:rsidRPr="003657E7">
        <w:rPr>
          <w:rFonts w:eastAsiaTheme="minorHAnsi"/>
          <w:lang w:eastAsia="en-US"/>
        </w:rPr>
        <w:t>2</w:t>
      </w:r>
      <w:r w:rsidR="000A65CA" w:rsidRPr="003657E7">
        <w:rPr>
          <w:rFonts w:eastAsiaTheme="minorHAnsi"/>
          <w:lang w:eastAsia="en-US"/>
        </w:rPr>
        <w:t>.punktu un 351.pantu</w:t>
      </w:r>
      <w:r w:rsidR="000A65CA" w:rsidRPr="003657E7">
        <w:t xml:space="preserve">, </w:t>
      </w:r>
      <w:r w:rsidRPr="003657E7">
        <w:t>Senāts</w:t>
      </w:r>
    </w:p>
    <w:p w14:paraId="37335C36" w14:textId="77777777" w:rsidR="00411CD0" w:rsidRPr="003657E7" w:rsidRDefault="00411CD0" w:rsidP="0045148A">
      <w:pPr>
        <w:shd w:val="clear" w:color="auto" w:fill="FFFFFF"/>
        <w:spacing w:line="276" w:lineRule="auto"/>
        <w:ind w:firstLine="720"/>
        <w:jc w:val="both"/>
      </w:pPr>
    </w:p>
    <w:p w14:paraId="48656686" w14:textId="77777777" w:rsidR="00447EE6" w:rsidRPr="003657E7" w:rsidRDefault="00411CD0" w:rsidP="0045148A">
      <w:pPr>
        <w:shd w:val="clear" w:color="auto" w:fill="FFFFFF"/>
        <w:spacing w:line="276" w:lineRule="auto"/>
        <w:jc w:val="center"/>
        <w:rPr>
          <w:b/>
        </w:rPr>
      </w:pPr>
      <w:r w:rsidRPr="003657E7">
        <w:rPr>
          <w:b/>
        </w:rPr>
        <w:t>n</w:t>
      </w:r>
      <w:r w:rsidR="00447EE6" w:rsidRPr="003657E7">
        <w:rPr>
          <w:b/>
        </w:rPr>
        <w:t>osprieda</w:t>
      </w:r>
    </w:p>
    <w:p w14:paraId="751AF386" w14:textId="77777777" w:rsidR="00411CD0" w:rsidRPr="003657E7" w:rsidRDefault="00411CD0" w:rsidP="0045148A">
      <w:pPr>
        <w:shd w:val="clear" w:color="auto" w:fill="FFFFFF"/>
        <w:spacing w:line="276" w:lineRule="auto"/>
        <w:jc w:val="center"/>
        <w:rPr>
          <w:b/>
        </w:rPr>
      </w:pPr>
    </w:p>
    <w:p w14:paraId="0E010CCA" w14:textId="3AB50147" w:rsidR="00BF21E2" w:rsidRPr="003657E7" w:rsidRDefault="007F57CA" w:rsidP="0045148A">
      <w:pPr>
        <w:spacing w:line="276" w:lineRule="auto"/>
        <w:ind w:firstLine="720"/>
        <w:jc w:val="both"/>
      </w:pPr>
      <w:r w:rsidRPr="003657E7">
        <w:t>a</w:t>
      </w:r>
      <w:r w:rsidR="00BF21E2" w:rsidRPr="003657E7">
        <w:t xml:space="preserve">tcelt Administratīvās rajona tiesas </w:t>
      </w:r>
      <w:r w:rsidR="003657E7" w:rsidRPr="003657E7">
        <w:t>2022.gada 17.jūnija</w:t>
      </w:r>
      <w:r w:rsidR="00BF21E2" w:rsidRPr="003657E7">
        <w:t xml:space="preserve"> spriedumu daļā, kurā </w:t>
      </w:r>
      <w:r w:rsidR="003657E7" w:rsidRPr="003657E7">
        <w:t>apmierināts SIA „PANKŪKAS.LV” pieteikums</w:t>
      </w:r>
      <w:r w:rsidR="00BF21E2" w:rsidRPr="003657E7">
        <w:t>, un nodot lietu šajā daļā jaunai izskatīšanai Administratīvajai rajona tiesai</w:t>
      </w:r>
      <w:r w:rsidRPr="003657E7">
        <w:t>;</w:t>
      </w:r>
    </w:p>
    <w:p w14:paraId="1464E0CB" w14:textId="31FCBE76" w:rsidR="00BF21E2" w:rsidRPr="003657E7" w:rsidRDefault="007F57CA" w:rsidP="0045148A">
      <w:pPr>
        <w:spacing w:line="276" w:lineRule="auto"/>
        <w:ind w:firstLine="720"/>
        <w:jc w:val="both"/>
      </w:pPr>
      <w:r w:rsidRPr="003657E7">
        <w:t>a</w:t>
      </w:r>
      <w:r w:rsidR="00BF21E2" w:rsidRPr="003657E7">
        <w:t xml:space="preserve">tmaksāt </w:t>
      </w:r>
      <w:r w:rsidR="003657E7" w:rsidRPr="003657E7">
        <w:t xml:space="preserve">Iepirkumu uzraudzības birojam </w:t>
      </w:r>
      <w:r w:rsidR="00BF21E2" w:rsidRPr="003657E7">
        <w:t>drošības naudu 70 </w:t>
      </w:r>
      <w:r w:rsidR="00BF21E2" w:rsidRPr="003657E7">
        <w:rPr>
          <w:i/>
        </w:rPr>
        <w:t>euro</w:t>
      </w:r>
      <w:r w:rsidR="00BF21E2" w:rsidRPr="003657E7">
        <w:t>.</w:t>
      </w:r>
    </w:p>
    <w:p w14:paraId="1FBD5BBE" w14:textId="77777777" w:rsidR="00BF21E2" w:rsidRPr="003657E7" w:rsidRDefault="00BF21E2" w:rsidP="00CE126D">
      <w:pPr>
        <w:spacing w:line="276" w:lineRule="auto"/>
        <w:ind w:firstLine="720"/>
        <w:jc w:val="both"/>
        <w:rPr>
          <w:bCs/>
        </w:rPr>
      </w:pPr>
    </w:p>
    <w:p w14:paraId="3E754AA3" w14:textId="77777777" w:rsidR="00BF21E2" w:rsidRPr="003657E7" w:rsidRDefault="00BF21E2" w:rsidP="00BF21E2">
      <w:pPr>
        <w:spacing w:line="276" w:lineRule="auto"/>
        <w:ind w:firstLine="567"/>
        <w:jc w:val="both"/>
        <w:rPr>
          <w:bCs/>
        </w:rPr>
      </w:pPr>
    </w:p>
    <w:p w14:paraId="34BD150D" w14:textId="77777777" w:rsidR="00273A50" w:rsidRPr="003657E7" w:rsidRDefault="00273A50" w:rsidP="00BF21E2">
      <w:pPr>
        <w:spacing w:line="276" w:lineRule="auto"/>
        <w:ind w:firstLine="567"/>
        <w:jc w:val="both"/>
        <w:rPr>
          <w:bCs/>
        </w:rPr>
      </w:pPr>
    </w:p>
    <w:p w14:paraId="49AAAE0F" w14:textId="77777777" w:rsidR="00BF21E2" w:rsidRPr="003657E7" w:rsidRDefault="00BF21E2" w:rsidP="003657E7">
      <w:pPr>
        <w:spacing w:line="276" w:lineRule="auto"/>
        <w:jc w:val="both"/>
        <w:rPr>
          <w:bCs/>
        </w:rPr>
      </w:pPr>
    </w:p>
    <w:p w14:paraId="33E452BC" w14:textId="088AA76B" w:rsidR="00273A50" w:rsidRPr="001D4837" w:rsidRDefault="00273A50" w:rsidP="00273A50">
      <w:pPr>
        <w:tabs>
          <w:tab w:val="center" w:pos="1276"/>
          <w:tab w:val="center" w:pos="4678"/>
          <w:tab w:val="center" w:pos="8080"/>
        </w:tabs>
        <w:spacing w:line="276" w:lineRule="auto"/>
        <w:jc w:val="both"/>
        <w:rPr>
          <w:smallCaps/>
          <w:color w:val="000000"/>
        </w:rPr>
      </w:pPr>
      <w:r w:rsidRPr="003657E7">
        <w:rPr>
          <w:color w:val="000000"/>
        </w:rPr>
        <w:tab/>
      </w:r>
    </w:p>
    <w:p w14:paraId="0D7D76F3" w14:textId="77777777" w:rsidR="00B54F4B" w:rsidRDefault="00B54F4B"/>
    <w:sectPr w:rsidR="00B54F4B" w:rsidSect="00D25D87">
      <w:footerReference w:type="default" r:id="rId17"/>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2A5A7" w14:textId="77777777" w:rsidR="00376DDB" w:rsidRDefault="00376DDB" w:rsidP="009F7ACE">
      <w:r>
        <w:separator/>
      </w:r>
    </w:p>
  </w:endnote>
  <w:endnote w:type="continuationSeparator" w:id="0">
    <w:p w14:paraId="04959941" w14:textId="77777777" w:rsidR="00376DDB" w:rsidRDefault="00376DDB"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EBE9" w14:textId="42E42AB8"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1C10FD">
      <w:rPr>
        <w:rStyle w:val="PageNumber"/>
        <w:noProof/>
        <w:sz w:val="20"/>
        <w:szCs w:val="20"/>
      </w:rPr>
      <w:t>7</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F2F2" w14:textId="77777777" w:rsidR="00376DDB" w:rsidRDefault="00376DDB" w:rsidP="009F7ACE">
      <w:r>
        <w:separator/>
      </w:r>
    </w:p>
  </w:footnote>
  <w:footnote w:type="continuationSeparator" w:id="0">
    <w:p w14:paraId="7365A305" w14:textId="77777777" w:rsidR="00376DDB" w:rsidRDefault="00376DDB"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A49"/>
    <w:rsid w:val="0000795E"/>
    <w:rsid w:val="000178AC"/>
    <w:rsid w:val="0002415A"/>
    <w:rsid w:val="00024A22"/>
    <w:rsid w:val="00035AD3"/>
    <w:rsid w:val="00036E0F"/>
    <w:rsid w:val="00040BBA"/>
    <w:rsid w:val="00043F55"/>
    <w:rsid w:val="00050D49"/>
    <w:rsid w:val="0005218B"/>
    <w:rsid w:val="000574CC"/>
    <w:rsid w:val="0006499B"/>
    <w:rsid w:val="000660EA"/>
    <w:rsid w:val="00071193"/>
    <w:rsid w:val="00071B76"/>
    <w:rsid w:val="00075F5C"/>
    <w:rsid w:val="00093086"/>
    <w:rsid w:val="00094533"/>
    <w:rsid w:val="000965F4"/>
    <w:rsid w:val="000A5376"/>
    <w:rsid w:val="000A65CA"/>
    <w:rsid w:val="000B5F27"/>
    <w:rsid w:val="000D34AE"/>
    <w:rsid w:val="000D6E57"/>
    <w:rsid w:val="000E26D5"/>
    <w:rsid w:val="000E30C4"/>
    <w:rsid w:val="000E5115"/>
    <w:rsid w:val="000E6AC1"/>
    <w:rsid w:val="000F03AB"/>
    <w:rsid w:val="000F31F2"/>
    <w:rsid w:val="000F3584"/>
    <w:rsid w:val="000F419D"/>
    <w:rsid w:val="00102355"/>
    <w:rsid w:val="00104CFA"/>
    <w:rsid w:val="00115B94"/>
    <w:rsid w:val="00123209"/>
    <w:rsid w:val="00127898"/>
    <w:rsid w:val="00127A3B"/>
    <w:rsid w:val="00130F71"/>
    <w:rsid w:val="00133844"/>
    <w:rsid w:val="00137C47"/>
    <w:rsid w:val="00140A3F"/>
    <w:rsid w:val="00147A6D"/>
    <w:rsid w:val="001501CD"/>
    <w:rsid w:val="0015347D"/>
    <w:rsid w:val="001578D6"/>
    <w:rsid w:val="00163360"/>
    <w:rsid w:val="0016421F"/>
    <w:rsid w:val="00175D06"/>
    <w:rsid w:val="00175F2B"/>
    <w:rsid w:val="00176C18"/>
    <w:rsid w:val="00181C18"/>
    <w:rsid w:val="00193DB3"/>
    <w:rsid w:val="00196754"/>
    <w:rsid w:val="001969EF"/>
    <w:rsid w:val="001A204A"/>
    <w:rsid w:val="001A49B7"/>
    <w:rsid w:val="001A7F81"/>
    <w:rsid w:val="001B2B49"/>
    <w:rsid w:val="001C0886"/>
    <w:rsid w:val="001C10FD"/>
    <w:rsid w:val="001C1798"/>
    <w:rsid w:val="001C4B37"/>
    <w:rsid w:val="001D0CA2"/>
    <w:rsid w:val="001D1109"/>
    <w:rsid w:val="001D1401"/>
    <w:rsid w:val="001D4693"/>
    <w:rsid w:val="001D5FA9"/>
    <w:rsid w:val="001D6BA5"/>
    <w:rsid w:val="001E1B79"/>
    <w:rsid w:val="001E325B"/>
    <w:rsid w:val="001F1F24"/>
    <w:rsid w:val="001F2064"/>
    <w:rsid w:val="001F2AC1"/>
    <w:rsid w:val="001F2C26"/>
    <w:rsid w:val="001F2CC1"/>
    <w:rsid w:val="001F3AAB"/>
    <w:rsid w:val="001F4E4F"/>
    <w:rsid w:val="001F56CD"/>
    <w:rsid w:val="001F7DB8"/>
    <w:rsid w:val="00201B3B"/>
    <w:rsid w:val="00211184"/>
    <w:rsid w:val="00211787"/>
    <w:rsid w:val="00211F32"/>
    <w:rsid w:val="002205DE"/>
    <w:rsid w:val="0022084F"/>
    <w:rsid w:val="00220FA8"/>
    <w:rsid w:val="002254B6"/>
    <w:rsid w:val="00251E98"/>
    <w:rsid w:val="00252D63"/>
    <w:rsid w:val="00262B04"/>
    <w:rsid w:val="00263F52"/>
    <w:rsid w:val="00271304"/>
    <w:rsid w:val="002734B2"/>
    <w:rsid w:val="00273A50"/>
    <w:rsid w:val="00283091"/>
    <w:rsid w:val="0028337C"/>
    <w:rsid w:val="002940EC"/>
    <w:rsid w:val="002944D3"/>
    <w:rsid w:val="002A12E6"/>
    <w:rsid w:val="002A47BD"/>
    <w:rsid w:val="002A7452"/>
    <w:rsid w:val="002B4ED2"/>
    <w:rsid w:val="002B54F0"/>
    <w:rsid w:val="002C0403"/>
    <w:rsid w:val="002C0CC9"/>
    <w:rsid w:val="002C1143"/>
    <w:rsid w:val="002C34A1"/>
    <w:rsid w:val="002C473F"/>
    <w:rsid w:val="002D2D83"/>
    <w:rsid w:val="002D75B0"/>
    <w:rsid w:val="002E495D"/>
    <w:rsid w:val="002E661D"/>
    <w:rsid w:val="002F155D"/>
    <w:rsid w:val="002F1F6B"/>
    <w:rsid w:val="002F2AE9"/>
    <w:rsid w:val="002F610B"/>
    <w:rsid w:val="002F62E5"/>
    <w:rsid w:val="002F64B3"/>
    <w:rsid w:val="002F6991"/>
    <w:rsid w:val="003001A1"/>
    <w:rsid w:val="00307B8A"/>
    <w:rsid w:val="00325017"/>
    <w:rsid w:val="00330F39"/>
    <w:rsid w:val="0033190C"/>
    <w:rsid w:val="003333FA"/>
    <w:rsid w:val="00336835"/>
    <w:rsid w:val="00341C6A"/>
    <w:rsid w:val="00344453"/>
    <w:rsid w:val="00345F84"/>
    <w:rsid w:val="0035066B"/>
    <w:rsid w:val="003657E7"/>
    <w:rsid w:val="00367AF2"/>
    <w:rsid w:val="003721F7"/>
    <w:rsid w:val="00373B82"/>
    <w:rsid w:val="003744F1"/>
    <w:rsid w:val="00376C54"/>
    <w:rsid w:val="00376DDB"/>
    <w:rsid w:val="00377046"/>
    <w:rsid w:val="00386370"/>
    <w:rsid w:val="00386A30"/>
    <w:rsid w:val="00390440"/>
    <w:rsid w:val="003A0526"/>
    <w:rsid w:val="003A1942"/>
    <w:rsid w:val="003A1EC0"/>
    <w:rsid w:val="003A28A1"/>
    <w:rsid w:val="003A4EA6"/>
    <w:rsid w:val="003A53F5"/>
    <w:rsid w:val="003B1283"/>
    <w:rsid w:val="003B6CC3"/>
    <w:rsid w:val="003C168E"/>
    <w:rsid w:val="003C671B"/>
    <w:rsid w:val="003D527B"/>
    <w:rsid w:val="003D6244"/>
    <w:rsid w:val="003E2EF2"/>
    <w:rsid w:val="003E35CD"/>
    <w:rsid w:val="003E4D67"/>
    <w:rsid w:val="003E64FC"/>
    <w:rsid w:val="003E71D8"/>
    <w:rsid w:val="003F2854"/>
    <w:rsid w:val="003F34BE"/>
    <w:rsid w:val="003F6E54"/>
    <w:rsid w:val="0040074F"/>
    <w:rsid w:val="00400AF4"/>
    <w:rsid w:val="00402DC9"/>
    <w:rsid w:val="00403652"/>
    <w:rsid w:val="00405D39"/>
    <w:rsid w:val="00411CD0"/>
    <w:rsid w:val="00413C17"/>
    <w:rsid w:val="00416A90"/>
    <w:rsid w:val="00421607"/>
    <w:rsid w:val="00421856"/>
    <w:rsid w:val="004234E3"/>
    <w:rsid w:val="00425305"/>
    <w:rsid w:val="00431649"/>
    <w:rsid w:val="00437A10"/>
    <w:rsid w:val="00440DBC"/>
    <w:rsid w:val="00444253"/>
    <w:rsid w:val="004458B2"/>
    <w:rsid w:val="004479A6"/>
    <w:rsid w:val="00447EE6"/>
    <w:rsid w:val="0045148A"/>
    <w:rsid w:val="0045675D"/>
    <w:rsid w:val="00461E27"/>
    <w:rsid w:val="00464A7C"/>
    <w:rsid w:val="00470F55"/>
    <w:rsid w:val="0047784B"/>
    <w:rsid w:val="00477894"/>
    <w:rsid w:val="004806B5"/>
    <w:rsid w:val="00480DED"/>
    <w:rsid w:val="0048261B"/>
    <w:rsid w:val="004842C7"/>
    <w:rsid w:val="004852DA"/>
    <w:rsid w:val="00485BA9"/>
    <w:rsid w:val="00486BED"/>
    <w:rsid w:val="00492C17"/>
    <w:rsid w:val="00494FDC"/>
    <w:rsid w:val="004959D2"/>
    <w:rsid w:val="004A2080"/>
    <w:rsid w:val="004A5C94"/>
    <w:rsid w:val="004A65FA"/>
    <w:rsid w:val="004B1001"/>
    <w:rsid w:val="004B1747"/>
    <w:rsid w:val="004B2147"/>
    <w:rsid w:val="004B2A94"/>
    <w:rsid w:val="004B69E8"/>
    <w:rsid w:val="004C210B"/>
    <w:rsid w:val="004D0BF3"/>
    <w:rsid w:val="004D172D"/>
    <w:rsid w:val="004D4BEE"/>
    <w:rsid w:val="004E5B69"/>
    <w:rsid w:val="004E798D"/>
    <w:rsid w:val="00505899"/>
    <w:rsid w:val="005140BB"/>
    <w:rsid w:val="00514B91"/>
    <w:rsid w:val="00520837"/>
    <w:rsid w:val="00520D89"/>
    <w:rsid w:val="00522616"/>
    <w:rsid w:val="00535EA0"/>
    <w:rsid w:val="00536124"/>
    <w:rsid w:val="00544D45"/>
    <w:rsid w:val="00545A86"/>
    <w:rsid w:val="00547C02"/>
    <w:rsid w:val="00550056"/>
    <w:rsid w:val="00552EF6"/>
    <w:rsid w:val="00561C47"/>
    <w:rsid w:val="005769CA"/>
    <w:rsid w:val="0057773A"/>
    <w:rsid w:val="00577C52"/>
    <w:rsid w:val="00582FD7"/>
    <w:rsid w:val="00584673"/>
    <w:rsid w:val="00591A31"/>
    <w:rsid w:val="005A30C6"/>
    <w:rsid w:val="005A38C3"/>
    <w:rsid w:val="005A5D25"/>
    <w:rsid w:val="005A74C1"/>
    <w:rsid w:val="005B167A"/>
    <w:rsid w:val="005B3F8D"/>
    <w:rsid w:val="005C35A6"/>
    <w:rsid w:val="005C3F0D"/>
    <w:rsid w:val="005C64DB"/>
    <w:rsid w:val="005C6993"/>
    <w:rsid w:val="005C76AA"/>
    <w:rsid w:val="005D5C8A"/>
    <w:rsid w:val="005E1EB3"/>
    <w:rsid w:val="005E4141"/>
    <w:rsid w:val="005F0445"/>
    <w:rsid w:val="005F5DDD"/>
    <w:rsid w:val="006049C6"/>
    <w:rsid w:val="00616B75"/>
    <w:rsid w:val="006259C2"/>
    <w:rsid w:val="006266C1"/>
    <w:rsid w:val="00626883"/>
    <w:rsid w:val="00626EC0"/>
    <w:rsid w:val="006313BE"/>
    <w:rsid w:val="0063389B"/>
    <w:rsid w:val="00637048"/>
    <w:rsid w:val="00651771"/>
    <w:rsid w:val="00651EF1"/>
    <w:rsid w:val="00661086"/>
    <w:rsid w:val="00664DF1"/>
    <w:rsid w:val="006658EE"/>
    <w:rsid w:val="006660F8"/>
    <w:rsid w:val="00670A6C"/>
    <w:rsid w:val="00670BC4"/>
    <w:rsid w:val="00670D29"/>
    <w:rsid w:val="00681090"/>
    <w:rsid w:val="00682773"/>
    <w:rsid w:val="00683024"/>
    <w:rsid w:val="00692A8C"/>
    <w:rsid w:val="006962CD"/>
    <w:rsid w:val="006A3A9B"/>
    <w:rsid w:val="006C19C6"/>
    <w:rsid w:val="006C2CD8"/>
    <w:rsid w:val="006D1926"/>
    <w:rsid w:val="006E2326"/>
    <w:rsid w:val="006E530D"/>
    <w:rsid w:val="006F0130"/>
    <w:rsid w:val="006F12E5"/>
    <w:rsid w:val="006F1425"/>
    <w:rsid w:val="006F32BC"/>
    <w:rsid w:val="006F558B"/>
    <w:rsid w:val="00701C75"/>
    <w:rsid w:val="00701FEA"/>
    <w:rsid w:val="007064F5"/>
    <w:rsid w:val="007111D5"/>
    <w:rsid w:val="00725684"/>
    <w:rsid w:val="007261A6"/>
    <w:rsid w:val="00735692"/>
    <w:rsid w:val="00746BDF"/>
    <w:rsid w:val="00747655"/>
    <w:rsid w:val="00751DB5"/>
    <w:rsid w:val="0075589C"/>
    <w:rsid w:val="007653E8"/>
    <w:rsid w:val="00765942"/>
    <w:rsid w:val="00767E63"/>
    <w:rsid w:val="00770A20"/>
    <w:rsid w:val="00771C82"/>
    <w:rsid w:val="0077279E"/>
    <w:rsid w:val="00772890"/>
    <w:rsid w:val="007739C0"/>
    <w:rsid w:val="00775FD4"/>
    <w:rsid w:val="00780455"/>
    <w:rsid w:val="00782D6F"/>
    <w:rsid w:val="007857FB"/>
    <w:rsid w:val="007872D7"/>
    <w:rsid w:val="007910BD"/>
    <w:rsid w:val="0079377A"/>
    <w:rsid w:val="007A3AF3"/>
    <w:rsid w:val="007A5BDD"/>
    <w:rsid w:val="007C2CA6"/>
    <w:rsid w:val="007C32C8"/>
    <w:rsid w:val="007C3511"/>
    <w:rsid w:val="007D0496"/>
    <w:rsid w:val="007D1F69"/>
    <w:rsid w:val="007D3BEA"/>
    <w:rsid w:val="007E643D"/>
    <w:rsid w:val="007F54A5"/>
    <w:rsid w:val="007F57CA"/>
    <w:rsid w:val="00802DA5"/>
    <w:rsid w:val="00806A7B"/>
    <w:rsid w:val="00807619"/>
    <w:rsid w:val="00813C79"/>
    <w:rsid w:val="008156D2"/>
    <w:rsid w:val="0081655C"/>
    <w:rsid w:val="00827F42"/>
    <w:rsid w:val="00830449"/>
    <w:rsid w:val="0083720C"/>
    <w:rsid w:val="00837647"/>
    <w:rsid w:val="00840E19"/>
    <w:rsid w:val="00845D6A"/>
    <w:rsid w:val="00851403"/>
    <w:rsid w:val="00854F3E"/>
    <w:rsid w:val="00860EF4"/>
    <w:rsid w:val="008654D4"/>
    <w:rsid w:val="00875954"/>
    <w:rsid w:val="008865D1"/>
    <w:rsid w:val="00892BD2"/>
    <w:rsid w:val="00893D3B"/>
    <w:rsid w:val="0089402F"/>
    <w:rsid w:val="008966F3"/>
    <w:rsid w:val="008A0B00"/>
    <w:rsid w:val="008A2217"/>
    <w:rsid w:val="008B202E"/>
    <w:rsid w:val="008B22CF"/>
    <w:rsid w:val="008C0528"/>
    <w:rsid w:val="008C1CC7"/>
    <w:rsid w:val="008C5AB7"/>
    <w:rsid w:val="008C73F8"/>
    <w:rsid w:val="008D2747"/>
    <w:rsid w:val="008D31D7"/>
    <w:rsid w:val="008E1B10"/>
    <w:rsid w:val="008E372C"/>
    <w:rsid w:val="008E6B2C"/>
    <w:rsid w:val="008F0317"/>
    <w:rsid w:val="008F4A09"/>
    <w:rsid w:val="008F51A5"/>
    <w:rsid w:val="008F66F6"/>
    <w:rsid w:val="008F67F5"/>
    <w:rsid w:val="0090076C"/>
    <w:rsid w:val="00902651"/>
    <w:rsid w:val="00903000"/>
    <w:rsid w:val="00903522"/>
    <w:rsid w:val="00903ADF"/>
    <w:rsid w:val="00904FC3"/>
    <w:rsid w:val="00905B15"/>
    <w:rsid w:val="0090619B"/>
    <w:rsid w:val="00921C3D"/>
    <w:rsid w:val="009347B9"/>
    <w:rsid w:val="00936B78"/>
    <w:rsid w:val="00942198"/>
    <w:rsid w:val="00956862"/>
    <w:rsid w:val="0095756C"/>
    <w:rsid w:val="00957A8A"/>
    <w:rsid w:val="00960D5A"/>
    <w:rsid w:val="009669DE"/>
    <w:rsid w:val="00967606"/>
    <w:rsid w:val="009711C4"/>
    <w:rsid w:val="009770E9"/>
    <w:rsid w:val="00980304"/>
    <w:rsid w:val="00984998"/>
    <w:rsid w:val="00984E30"/>
    <w:rsid w:val="00990AF9"/>
    <w:rsid w:val="00991A28"/>
    <w:rsid w:val="00994951"/>
    <w:rsid w:val="00997C08"/>
    <w:rsid w:val="009A4AD5"/>
    <w:rsid w:val="009A6322"/>
    <w:rsid w:val="009A688C"/>
    <w:rsid w:val="009A7A19"/>
    <w:rsid w:val="009B0941"/>
    <w:rsid w:val="009B2AE5"/>
    <w:rsid w:val="009B2F45"/>
    <w:rsid w:val="009B3655"/>
    <w:rsid w:val="009B3EEB"/>
    <w:rsid w:val="009B4236"/>
    <w:rsid w:val="009C2CC4"/>
    <w:rsid w:val="009C347D"/>
    <w:rsid w:val="009C5B13"/>
    <w:rsid w:val="009D0C97"/>
    <w:rsid w:val="009D232B"/>
    <w:rsid w:val="009D47AF"/>
    <w:rsid w:val="009D5DEC"/>
    <w:rsid w:val="009E1A4B"/>
    <w:rsid w:val="009E295F"/>
    <w:rsid w:val="009E6AE3"/>
    <w:rsid w:val="009E6EAD"/>
    <w:rsid w:val="009E70BE"/>
    <w:rsid w:val="009F7ACE"/>
    <w:rsid w:val="00A024C1"/>
    <w:rsid w:val="00A0583F"/>
    <w:rsid w:val="00A07B49"/>
    <w:rsid w:val="00A11873"/>
    <w:rsid w:val="00A11934"/>
    <w:rsid w:val="00A12A19"/>
    <w:rsid w:val="00A12B96"/>
    <w:rsid w:val="00A20578"/>
    <w:rsid w:val="00A23C2A"/>
    <w:rsid w:val="00A25B9C"/>
    <w:rsid w:val="00A3032E"/>
    <w:rsid w:val="00A326D3"/>
    <w:rsid w:val="00A32A99"/>
    <w:rsid w:val="00A33047"/>
    <w:rsid w:val="00A403A3"/>
    <w:rsid w:val="00A42DCA"/>
    <w:rsid w:val="00A47C46"/>
    <w:rsid w:val="00A54A55"/>
    <w:rsid w:val="00A6011D"/>
    <w:rsid w:val="00A676D8"/>
    <w:rsid w:val="00A808B8"/>
    <w:rsid w:val="00A861E0"/>
    <w:rsid w:val="00A92E5B"/>
    <w:rsid w:val="00A94BF9"/>
    <w:rsid w:val="00A96043"/>
    <w:rsid w:val="00AA77DB"/>
    <w:rsid w:val="00AB0BE1"/>
    <w:rsid w:val="00AB3FF2"/>
    <w:rsid w:val="00AB53E5"/>
    <w:rsid w:val="00AC1912"/>
    <w:rsid w:val="00AC19EA"/>
    <w:rsid w:val="00AC51E6"/>
    <w:rsid w:val="00AD0014"/>
    <w:rsid w:val="00AD24F0"/>
    <w:rsid w:val="00AE1960"/>
    <w:rsid w:val="00AE68B7"/>
    <w:rsid w:val="00AF0131"/>
    <w:rsid w:val="00AF0633"/>
    <w:rsid w:val="00AF2BD6"/>
    <w:rsid w:val="00AF6B98"/>
    <w:rsid w:val="00B00082"/>
    <w:rsid w:val="00B00B46"/>
    <w:rsid w:val="00B0575D"/>
    <w:rsid w:val="00B06DFE"/>
    <w:rsid w:val="00B071EA"/>
    <w:rsid w:val="00B1342C"/>
    <w:rsid w:val="00B1384F"/>
    <w:rsid w:val="00B16ACB"/>
    <w:rsid w:val="00B30AB6"/>
    <w:rsid w:val="00B34553"/>
    <w:rsid w:val="00B404C6"/>
    <w:rsid w:val="00B409CA"/>
    <w:rsid w:val="00B42979"/>
    <w:rsid w:val="00B45877"/>
    <w:rsid w:val="00B52813"/>
    <w:rsid w:val="00B54F4B"/>
    <w:rsid w:val="00B60805"/>
    <w:rsid w:val="00B6249F"/>
    <w:rsid w:val="00B634EF"/>
    <w:rsid w:val="00B72191"/>
    <w:rsid w:val="00B7456A"/>
    <w:rsid w:val="00B85FF0"/>
    <w:rsid w:val="00B90255"/>
    <w:rsid w:val="00B90560"/>
    <w:rsid w:val="00B909C7"/>
    <w:rsid w:val="00B930C8"/>
    <w:rsid w:val="00B9541F"/>
    <w:rsid w:val="00BA17EC"/>
    <w:rsid w:val="00BA1C99"/>
    <w:rsid w:val="00BA688E"/>
    <w:rsid w:val="00BB5E58"/>
    <w:rsid w:val="00BC034B"/>
    <w:rsid w:val="00BC5249"/>
    <w:rsid w:val="00BC5544"/>
    <w:rsid w:val="00BC69EB"/>
    <w:rsid w:val="00BD15E0"/>
    <w:rsid w:val="00BE4510"/>
    <w:rsid w:val="00BF0093"/>
    <w:rsid w:val="00BF21E2"/>
    <w:rsid w:val="00BF324B"/>
    <w:rsid w:val="00BF3FA8"/>
    <w:rsid w:val="00BF5AAF"/>
    <w:rsid w:val="00C05569"/>
    <w:rsid w:val="00C06345"/>
    <w:rsid w:val="00C1216A"/>
    <w:rsid w:val="00C12480"/>
    <w:rsid w:val="00C16EB4"/>
    <w:rsid w:val="00C2505C"/>
    <w:rsid w:val="00C25501"/>
    <w:rsid w:val="00C257A2"/>
    <w:rsid w:val="00C3355E"/>
    <w:rsid w:val="00C33878"/>
    <w:rsid w:val="00C33B2B"/>
    <w:rsid w:val="00C369F4"/>
    <w:rsid w:val="00C404B9"/>
    <w:rsid w:val="00C45B16"/>
    <w:rsid w:val="00C5023B"/>
    <w:rsid w:val="00C512CD"/>
    <w:rsid w:val="00C517DB"/>
    <w:rsid w:val="00C53F3E"/>
    <w:rsid w:val="00C56A32"/>
    <w:rsid w:val="00C57590"/>
    <w:rsid w:val="00C61837"/>
    <w:rsid w:val="00C80259"/>
    <w:rsid w:val="00C81960"/>
    <w:rsid w:val="00C81A35"/>
    <w:rsid w:val="00C868CA"/>
    <w:rsid w:val="00C96C6A"/>
    <w:rsid w:val="00CA23DD"/>
    <w:rsid w:val="00CA3AE3"/>
    <w:rsid w:val="00CA503E"/>
    <w:rsid w:val="00CA536A"/>
    <w:rsid w:val="00CA5CBE"/>
    <w:rsid w:val="00CA68E0"/>
    <w:rsid w:val="00CB0131"/>
    <w:rsid w:val="00CB4DCB"/>
    <w:rsid w:val="00CB5A11"/>
    <w:rsid w:val="00CC55F6"/>
    <w:rsid w:val="00CD2F20"/>
    <w:rsid w:val="00CD3FDF"/>
    <w:rsid w:val="00CD4845"/>
    <w:rsid w:val="00CD513F"/>
    <w:rsid w:val="00CD55B2"/>
    <w:rsid w:val="00CE126D"/>
    <w:rsid w:val="00CE4A5D"/>
    <w:rsid w:val="00CE5EEB"/>
    <w:rsid w:val="00CF3BE9"/>
    <w:rsid w:val="00CF7790"/>
    <w:rsid w:val="00D011D5"/>
    <w:rsid w:val="00D035F6"/>
    <w:rsid w:val="00D05C06"/>
    <w:rsid w:val="00D20781"/>
    <w:rsid w:val="00D2291D"/>
    <w:rsid w:val="00D236A6"/>
    <w:rsid w:val="00D23A65"/>
    <w:rsid w:val="00D25D87"/>
    <w:rsid w:val="00D33552"/>
    <w:rsid w:val="00D363A1"/>
    <w:rsid w:val="00D37701"/>
    <w:rsid w:val="00D37C0D"/>
    <w:rsid w:val="00D42286"/>
    <w:rsid w:val="00D52346"/>
    <w:rsid w:val="00D54224"/>
    <w:rsid w:val="00D57C12"/>
    <w:rsid w:val="00D614F1"/>
    <w:rsid w:val="00D653D3"/>
    <w:rsid w:val="00D65C8B"/>
    <w:rsid w:val="00D7104D"/>
    <w:rsid w:val="00D72266"/>
    <w:rsid w:val="00D73D07"/>
    <w:rsid w:val="00D761B8"/>
    <w:rsid w:val="00D76BF0"/>
    <w:rsid w:val="00D8063D"/>
    <w:rsid w:val="00D81ED6"/>
    <w:rsid w:val="00D81FEE"/>
    <w:rsid w:val="00D84175"/>
    <w:rsid w:val="00D86E24"/>
    <w:rsid w:val="00D908C3"/>
    <w:rsid w:val="00D91E2B"/>
    <w:rsid w:val="00D95590"/>
    <w:rsid w:val="00DA1004"/>
    <w:rsid w:val="00DA6B4B"/>
    <w:rsid w:val="00DB11EC"/>
    <w:rsid w:val="00DC02E8"/>
    <w:rsid w:val="00DC29A6"/>
    <w:rsid w:val="00DC4F19"/>
    <w:rsid w:val="00DC5738"/>
    <w:rsid w:val="00DC723F"/>
    <w:rsid w:val="00DD2491"/>
    <w:rsid w:val="00DD285A"/>
    <w:rsid w:val="00DD50CE"/>
    <w:rsid w:val="00DD6D43"/>
    <w:rsid w:val="00DE10C4"/>
    <w:rsid w:val="00DE3AF8"/>
    <w:rsid w:val="00DE414F"/>
    <w:rsid w:val="00DE4A54"/>
    <w:rsid w:val="00DF3334"/>
    <w:rsid w:val="00DF3774"/>
    <w:rsid w:val="00DF449E"/>
    <w:rsid w:val="00E01F5F"/>
    <w:rsid w:val="00E06FA8"/>
    <w:rsid w:val="00E130EA"/>
    <w:rsid w:val="00E25915"/>
    <w:rsid w:val="00E261BF"/>
    <w:rsid w:val="00E26306"/>
    <w:rsid w:val="00E27EE6"/>
    <w:rsid w:val="00E310F1"/>
    <w:rsid w:val="00E31DE9"/>
    <w:rsid w:val="00E33DAF"/>
    <w:rsid w:val="00E42322"/>
    <w:rsid w:val="00E47BA5"/>
    <w:rsid w:val="00E51F52"/>
    <w:rsid w:val="00E5643F"/>
    <w:rsid w:val="00E60796"/>
    <w:rsid w:val="00E708EA"/>
    <w:rsid w:val="00E766B7"/>
    <w:rsid w:val="00E828D8"/>
    <w:rsid w:val="00E87283"/>
    <w:rsid w:val="00E87BCE"/>
    <w:rsid w:val="00E9646E"/>
    <w:rsid w:val="00E969C4"/>
    <w:rsid w:val="00EA1E82"/>
    <w:rsid w:val="00EA23F4"/>
    <w:rsid w:val="00EA7B3F"/>
    <w:rsid w:val="00EB0A08"/>
    <w:rsid w:val="00EB39D4"/>
    <w:rsid w:val="00EB461E"/>
    <w:rsid w:val="00EC0220"/>
    <w:rsid w:val="00EC1308"/>
    <w:rsid w:val="00EC3CDF"/>
    <w:rsid w:val="00ED0EB5"/>
    <w:rsid w:val="00ED50FB"/>
    <w:rsid w:val="00ED6398"/>
    <w:rsid w:val="00EF28B3"/>
    <w:rsid w:val="00F16359"/>
    <w:rsid w:val="00F27433"/>
    <w:rsid w:val="00F30F70"/>
    <w:rsid w:val="00F3678E"/>
    <w:rsid w:val="00F43CF6"/>
    <w:rsid w:val="00F45D2D"/>
    <w:rsid w:val="00F46EFD"/>
    <w:rsid w:val="00F4772E"/>
    <w:rsid w:val="00F52A59"/>
    <w:rsid w:val="00F53BEF"/>
    <w:rsid w:val="00F563AD"/>
    <w:rsid w:val="00F61501"/>
    <w:rsid w:val="00F63299"/>
    <w:rsid w:val="00F6486C"/>
    <w:rsid w:val="00F80978"/>
    <w:rsid w:val="00F94E2A"/>
    <w:rsid w:val="00FA0765"/>
    <w:rsid w:val="00FA0E46"/>
    <w:rsid w:val="00FA3167"/>
    <w:rsid w:val="00FB2140"/>
    <w:rsid w:val="00FB2311"/>
    <w:rsid w:val="00FC418E"/>
    <w:rsid w:val="00FC5002"/>
    <w:rsid w:val="00FC7932"/>
    <w:rsid w:val="00FD0560"/>
    <w:rsid w:val="00FD0D64"/>
    <w:rsid w:val="00FD6D4C"/>
    <w:rsid w:val="00FE23AB"/>
    <w:rsid w:val="00FE29C9"/>
    <w:rsid w:val="00FF3558"/>
    <w:rsid w:val="00FF72EF"/>
    <w:rsid w:val="00FF7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CommentReference">
    <w:name w:val="annotation reference"/>
    <w:basedOn w:val="DefaultParagraphFont"/>
    <w:uiPriority w:val="99"/>
    <w:semiHidden/>
    <w:unhideWhenUsed/>
    <w:rsid w:val="00AF2BD6"/>
    <w:rPr>
      <w:sz w:val="16"/>
      <w:szCs w:val="16"/>
    </w:rPr>
  </w:style>
  <w:style w:type="paragraph" w:styleId="CommentText">
    <w:name w:val="annotation text"/>
    <w:basedOn w:val="Normal"/>
    <w:link w:val="CommentTextChar"/>
    <w:uiPriority w:val="99"/>
    <w:unhideWhenUsed/>
    <w:rsid w:val="00AF2BD6"/>
    <w:rPr>
      <w:sz w:val="20"/>
      <w:szCs w:val="20"/>
    </w:rPr>
  </w:style>
  <w:style w:type="character" w:customStyle="1" w:styleId="CommentTextChar">
    <w:name w:val="Comment Text Char"/>
    <w:basedOn w:val="DefaultParagraphFont"/>
    <w:link w:val="CommentText"/>
    <w:uiPriority w:val="99"/>
    <w:rsid w:val="00AF2BD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F2BD6"/>
    <w:rPr>
      <w:b/>
      <w:bCs/>
    </w:rPr>
  </w:style>
  <w:style w:type="character" w:customStyle="1" w:styleId="CommentSubjectChar">
    <w:name w:val="Comment Subject Char"/>
    <w:basedOn w:val="CommentTextChar"/>
    <w:link w:val="CommentSubject"/>
    <w:uiPriority w:val="99"/>
    <w:semiHidden/>
    <w:rsid w:val="00AF2BD6"/>
    <w:rPr>
      <w:rFonts w:eastAsia="Times New Roman" w:cs="Times New Roman"/>
      <w:b/>
      <w:bCs/>
      <w:sz w:val="20"/>
      <w:szCs w:val="20"/>
      <w:lang w:val="lv-LV" w:eastAsia="ru-RU"/>
    </w:rPr>
  </w:style>
  <w:style w:type="character" w:styleId="Hyperlink">
    <w:name w:val="Hyperlink"/>
    <w:basedOn w:val="DefaultParagraphFont"/>
    <w:uiPriority w:val="99"/>
    <w:unhideWhenUsed/>
    <w:rsid w:val="00EA7B3F"/>
    <w:rPr>
      <w:color w:val="0563C1" w:themeColor="hyperlink"/>
      <w:u w:val="single"/>
    </w:rPr>
  </w:style>
  <w:style w:type="character" w:styleId="UnresolvedMention">
    <w:name w:val="Unresolved Mention"/>
    <w:basedOn w:val="DefaultParagraphFont"/>
    <w:uiPriority w:val="99"/>
    <w:semiHidden/>
    <w:unhideWhenUsed/>
    <w:rsid w:val="00EA7B3F"/>
    <w:rPr>
      <w:color w:val="605E5C"/>
      <w:shd w:val="clear" w:color="auto" w:fill="E1DFDD"/>
    </w:rPr>
  </w:style>
  <w:style w:type="character" w:styleId="FollowedHyperlink">
    <w:name w:val="FollowedHyperlink"/>
    <w:basedOn w:val="DefaultParagraphFont"/>
    <w:uiPriority w:val="99"/>
    <w:semiHidden/>
    <w:unhideWhenUsed/>
    <w:rsid w:val="00FA3167"/>
    <w:rPr>
      <w:color w:val="954F72" w:themeColor="followedHyperlink"/>
      <w:u w:val="single"/>
    </w:rPr>
  </w:style>
  <w:style w:type="paragraph" w:styleId="Revision">
    <w:name w:val="Revision"/>
    <w:hidden/>
    <w:uiPriority w:val="99"/>
    <w:semiHidden/>
    <w:rsid w:val="00A42DCA"/>
    <w:pPr>
      <w:spacing w:after="0" w:line="240" w:lineRule="auto"/>
    </w:pPr>
    <w:rPr>
      <w:rFonts w:eastAsia="Times New Roman" w:cs="Times New Roman"/>
      <w:szCs w:val="24"/>
      <w:lang w:val="lv-LV" w:eastAsia="ru-RU"/>
    </w:rPr>
  </w:style>
  <w:style w:type="paragraph" w:customStyle="1" w:styleId="Default">
    <w:name w:val="Default"/>
    <w:rsid w:val="000E6AC1"/>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52181">
      <w:bodyDiv w:val="1"/>
      <w:marLeft w:val="0"/>
      <w:marRight w:val="0"/>
      <w:marTop w:val="0"/>
      <w:marBottom w:val="0"/>
      <w:divBdr>
        <w:top w:val="none" w:sz="0" w:space="0" w:color="auto"/>
        <w:left w:val="none" w:sz="0" w:space="0" w:color="auto"/>
        <w:bottom w:val="none" w:sz="0" w:space="0" w:color="auto"/>
        <w:right w:val="none" w:sz="0" w:space="0" w:color="auto"/>
      </w:divBdr>
    </w:div>
    <w:div w:id="1436248961">
      <w:bodyDiv w:val="1"/>
      <w:marLeft w:val="0"/>
      <w:marRight w:val="0"/>
      <w:marTop w:val="0"/>
      <w:marBottom w:val="0"/>
      <w:divBdr>
        <w:top w:val="none" w:sz="0" w:space="0" w:color="auto"/>
        <w:left w:val="none" w:sz="0" w:space="0" w:color="auto"/>
        <w:bottom w:val="none" w:sz="0" w:space="0" w:color="auto"/>
        <w:right w:val="none" w:sz="0" w:space="0" w:color="auto"/>
      </w:divBdr>
    </w:div>
    <w:div w:id="1810779305">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9271.pdf" TargetMode="External"/><Relationship Id="rId13" Type="http://schemas.openxmlformats.org/officeDocument/2006/relationships/hyperlink" Target="https://curia.europa.eu/juris/document/document.jsf?text=&amp;docid=190329&amp;pageIndex=0&amp;doclang=LV&amp;mode=lst&amp;dir=&amp;occ=first&amp;part=1&amp;cid=16538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1:0702.A420191720.8.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uria.europa.eu/juris/document/document.jsf?text=&amp;docid=190329&amp;pageIndex=0&amp;doclang=LV&amp;mode=lst&amp;dir=&amp;occ=first&amp;part=1&amp;cid=1653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245661&amp;pageIndex=0&amp;doclang=LV&amp;mode=lst&amp;dir=&amp;occ=first&amp;part=1&amp;cid=1587777"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185574&amp;pageIndex=0&amp;doclang=LV&amp;mode=lst&amp;dir=&amp;occ=first&amp;part=1&amp;cid=2087814" TargetMode="External"/><Relationship Id="rId10" Type="http://schemas.openxmlformats.org/officeDocument/2006/relationships/hyperlink" Target="https://manas.tiesas.lv/eTiesasMvc/eclinolemumi/ECLI:LV:AT:2021:0618.A420293918.11.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nas.tiesas.lv/eTiesasMvc/eclinolemumi/ECLI:LV:AT:2021:0618.A420293918.11.S" TargetMode="External"/><Relationship Id="rId14" Type="http://schemas.openxmlformats.org/officeDocument/2006/relationships/hyperlink" Target="https://curia.europa.eu/juris/document/document.jsf?text=&amp;docid=242035&amp;pageIndex=0&amp;doclang=LV&amp;mode=lst&amp;dir=&amp;occ=first&amp;part=1&amp;cid=1655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1F1C-9B61-4508-A215-DF33D83E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13652</Words>
  <Characters>7783</Characters>
  <Application>Microsoft Office Word</Application>
  <DocSecurity>0</DocSecurity>
  <Lines>64</Lines>
  <Paragraphs>42</Paragraphs>
  <ScaleCrop>false</ScaleCrop>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2024-10-11T12:04:00Z</dcterms:created>
  <dcterms:modified xsi:type="dcterms:W3CDTF">2024-10-11T12:05:00Z</dcterms:modified>
</cp:coreProperties>
</file>