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6B432" w14:textId="4D33EEB6" w:rsidR="0045479F" w:rsidRDefault="00C93606" w:rsidP="00C93606">
      <w:pPr>
        <w:spacing w:line="276" w:lineRule="auto"/>
        <w:jc w:val="both"/>
        <w:rPr>
          <w:b/>
          <w:bCs/>
        </w:rPr>
      </w:pPr>
      <w:r w:rsidRPr="00C93606">
        <w:rPr>
          <w:b/>
          <w:bCs/>
        </w:rPr>
        <w:t>Darījumam, kas noslēgts par ļaunu kreditoram</w:t>
      </w:r>
      <w:r w:rsidRPr="00C93606">
        <w:rPr>
          <w:b/>
          <w:bCs/>
          <w:i/>
          <w:iCs/>
        </w:rPr>
        <w:t xml:space="preserve"> (</w:t>
      </w:r>
      <w:proofErr w:type="spellStart"/>
      <w:r w:rsidRPr="00C93606">
        <w:rPr>
          <w:b/>
          <w:bCs/>
          <w:i/>
          <w:iCs/>
        </w:rPr>
        <w:t>actio</w:t>
      </w:r>
      <w:proofErr w:type="spellEnd"/>
      <w:r w:rsidRPr="00C93606">
        <w:rPr>
          <w:b/>
          <w:bCs/>
          <w:i/>
          <w:iCs/>
        </w:rPr>
        <w:t xml:space="preserve"> </w:t>
      </w:r>
      <w:proofErr w:type="spellStart"/>
      <w:r w:rsidRPr="00C93606">
        <w:rPr>
          <w:b/>
          <w:bCs/>
          <w:i/>
          <w:iCs/>
        </w:rPr>
        <w:t>pauliana</w:t>
      </w:r>
      <w:proofErr w:type="spellEnd"/>
      <w:r w:rsidRPr="00C93606">
        <w:rPr>
          <w:b/>
          <w:bCs/>
          <w:i/>
          <w:iCs/>
        </w:rPr>
        <w:t>),</w:t>
      </w:r>
      <w:r w:rsidRPr="00C93606">
        <w:rPr>
          <w:b/>
          <w:bCs/>
        </w:rPr>
        <w:t xml:space="preserve"> piemērojamie tiesību</w:t>
      </w:r>
      <w:r w:rsidRPr="00C93606">
        <w:rPr>
          <w:b/>
          <w:bCs/>
        </w:rPr>
        <w:t xml:space="preserve"> akti</w:t>
      </w:r>
    </w:p>
    <w:p w14:paraId="18FA75F3" w14:textId="77777777" w:rsidR="004C2294" w:rsidRPr="00895293" w:rsidRDefault="004C2294" w:rsidP="004C2294">
      <w:pPr>
        <w:spacing w:line="276" w:lineRule="auto"/>
        <w:jc w:val="both"/>
      </w:pPr>
      <w:r>
        <w:t>Ja pr</w:t>
      </w:r>
      <w:r w:rsidRPr="00895293">
        <w:t>asībai, ko kreditors</w:t>
      </w:r>
      <w:r>
        <w:t xml:space="preserve"> </w:t>
      </w:r>
      <w:r w:rsidRPr="00895293">
        <w:t>cēlis Latvijas tiesā pret personu, kurai tā parādnieks nodevis mantu, tādējādi kaitējot kreditora tiesībām (</w:t>
      </w:r>
      <w:proofErr w:type="spellStart"/>
      <w:r w:rsidRPr="00895293">
        <w:rPr>
          <w:i/>
          <w:iCs/>
        </w:rPr>
        <w:t>actio</w:t>
      </w:r>
      <w:proofErr w:type="spellEnd"/>
      <w:r w:rsidRPr="00895293">
        <w:rPr>
          <w:i/>
          <w:iCs/>
        </w:rPr>
        <w:t xml:space="preserve"> </w:t>
      </w:r>
      <w:proofErr w:type="spellStart"/>
      <w:r w:rsidRPr="00895293">
        <w:rPr>
          <w:i/>
          <w:iCs/>
        </w:rPr>
        <w:t>pauliana</w:t>
      </w:r>
      <w:proofErr w:type="spellEnd"/>
      <w:r w:rsidRPr="00895293">
        <w:t>),</w:t>
      </w:r>
      <w:r>
        <w:t xml:space="preserve"> ir ārvalstu elements,</w:t>
      </w:r>
      <w:r w:rsidRPr="00895293">
        <w:t xml:space="preserve"> piemērojamie tiesību akti nosakāmi saskaņā ar Eiropas Parlamenta un Padomes 2008. gada 17. jūnija Regul</w:t>
      </w:r>
      <w:r>
        <w:t>as</w:t>
      </w:r>
      <w:r w:rsidRPr="00895293">
        <w:t xml:space="preserve"> (EK) Nr. 593/2008 par tiesību aktiem, kas piemērojami līgumsaistībām (Roma I) normām.</w:t>
      </w:r>
    </w:p>
    <w:p w14:paraId="5B8BB621" w14:textId="77777777" w:rsidR="004C2294" w:rsidRPr="00895293" w:rsidRDefault="004C2294" w:rsidP="004C2294">
      <w:pPr>
        <w:spacing w:line="276" w:lineRule="auto"/>
        <w:jc w:val="both"/>
      </w:pPr>
      <w:r w:rsidRPr="00895293">
        <w:t>Neraugoties uz to, ka starp prasītāju un atbildētāju nav līgumsaistību, šāda prasība ir atzīstama par prasību „lietās, kas attiecas uz līgumiem”, un tāpēc tās izskatīšanā piemērojami tie tiesību akti, par kuru piemērošanu apstrīdētajam līgumam vienojies mantas atsavinātājs (prasītāja parādnieks) un ieguvējs (atbildētājs).</w:t>
      </w:r>
    </w:p>
    <w:p w14:paraId="17A20250" w14:textId="77777777" w:rsidR="0045479F" w:rsidRPr="0018516E" w:rsidRDefault="0045479F" w:rsidP="0018516E">
      <w:pPr>
        <w:spacing w:line="276" w:lineRule="auto"/>
        <w:ind w:hanging="284"/>
        <w:jc w:val="right"/>
        <w:rPr>
          <w:rFonts w:asciiTheme="majorBidi" w:hAnsiTheme="majorBidi" w:cstheme="majorBidi"/>
        </w:rPr>
      </w:pPr>
    </w:p>
    <w:p w14:paraId="5DB9C743" w14:textId="657C310E" w:rsidR="0045479F" w:rsidRPr="0018516E" w:rsidRDefault="0045479F" w:rsidP="0018516E">
      <w:pPr>
        <w:tabs>
          <w:tab w:val="left" w:pos="0"/>
        </w:tabs>
        <w:spacing w:line="276" w:lineRule="auto"/>
        <w:jc w:val="center"/>
        <w:rPr>
          <w:rFonts w:asciiTheme="majorBidi" w:hAnsiTheme="majorBidi" w:cstheme="majorBidi"/>
          <w:b/>
        </w:rPr>
      </w:pPr>
      <w:r w:rsidRPr="0018516E">
        <w:rPr>
          <w:rFonts w:asciiTheme="majorBidi" w:hAnsiTheme="majorBidi" w:cstheme="majorBidi"/>
          <w:b/>
        </w:rPr>
        <w:t>Latvijas Republikas Senāt</w:t>
      </w:r>
      <w:r w:rsidR="00504B74" w:rsidRPr="0018516E">
        <w:rPr>
          <w:rFonts w:asciiTheme="majorBidi" w:hAnsiTheme="majorBidi" w:cstheme="majorBidi"/>
          <w:b/>
        </w:rPr>
        <w:t>a</w:t>
      </w:r>
    </w:p>
    <w:p w14:paraId="15D7D1A9" w14:textId="5BA1E8CC" w:rsidR="00504B74" w:rsidRPr="0018516E" w:rsidRDefault="00504B74" w:rsidP="0018516E">
      <w:pPr>
        <w:tabs>
          <w:tab w:val="left" w:pos="0"/>
        </w:tabs>
        <w:spacing w:line="276" w:lineRule="auto"/>
        <w:jc w:val="center"/>
        <w:rPr>
          <w:rFonts w:asciiTheme="majorBidi" w:hAnsiTheme="majorBidi" w:cstheme="majorBidi"/>
          <w:b/>
        </w:rPr>
      </w:pPr>
      <w:r w:rsidRPr="0018516E">
        <w:rPr>
          <w:rFonts w:asciiTheme="majorBidi" w:hAnsiTheme="majorBidi" w:cstheme="majorBidi"/>
          <w:b/>
        </w:rPr>
        <w:t>Civillietu departamenta</w:t>
      </w:r>
    </w:p>
    <w:p w14:paraId="7DADA98B" w14:textId="53B5AA69" w:rsidR="00504B74" w:rsidRPr="0018516E" w:rsidRDefault="00504B74" w:rsidP="0018516E">
      <w:pPr>
        <w:tabs>
          <w:tab w:val="left" w:pos="0"/>
        </w:tabs>
        <w:spacing w:line="276" w:lineRule="auto"/>
        <w:jc w:val="center"/>
        <w:rPr>
          <w:rFonts w:asciiTheme="majorBidi" w:hAnsiTheme="majorBidi" w:cstheme="majorBidi"/>
          <w:b/>
        </w:rPr>
      </w:pPr>
      <w:r w:rsidRPr="0018516E">
        <w:rPr>
          <w:rFonts w:asciiTheme="majorBidi" w:hAnsiTheme="majorBidi" w:cstheme="majorBidi"/>
          <w:b/>
        </w:rPr>
        <w:t>2024. gada 8. oktobra</w:t>
      </w:r>
    </w:p>
    <w:p w14:paraId="3B1E4283" w14:textId="77777777" w:rsidR="0045479F" w:rsidRPr="0018516E" w:rsidRDefault="0045479F" w:rsidP="0018516E">
      <w:pPr>
        <w:tabs>
          <w:tab w:val="left" w:pos="0"/>
        </w:tabs>
        <w:spacing w:line="276" w:lineRule="auto"/>
        <w:jc w:val="center"/>
        <w:rPr>
          <w:rFonts w:asciiTheme="majorBidi" w:hAnsiTheme="majorBidi" w:cstheme="majorBidi"/>
          <w:b/>
        </w:rPr>
      </w:pPr>
      <w:r w:rsidRPr="0018516E">
        <w:rPr>
          <w:rFonts w:asciiTheme="majorBidi" w:hAnsiTheme="majorBidi" w:cstheme="majorBidi"/>
          <w:b/>
        </w:rPr>
        <w:t>RĪCĪBAS SĒDES LĒMUMS</w:t>
      </w:r>
    </w:p>
    <w:p w14:paraId="2257D9E6" w14:textId="77777777" w:rsidR="00504B74" w:rsidRPr="0018516E" w:rsidRDefault="00504B74" w:rsidP="0018516E">
      <w:pPr>
        <w:tabs>
          <w:tab w:val="left" w:pos="0"/>
        </w:tabs>
        <w:spacing w:line="276" w:lineRule="auto"/>
        <w:jc w:val="center"/>
        <w:rPr>
          <w:rFonts w:asciiTheme="majorBidi" w:hAnsiTheme="majorBidi" w:cstheme="majorBidi"/>
          <w:b/>
        </w:rPr>
      </w:pPr>
      <w:r w:rsidRPr="0018516E">
        <w:rPr>
          <w:rFonts w:asciiTheme="majorBidi" w:hAnsiTheme="majorBidi" w:cstheme="majorBidi"/>
          <w:b/>
        </w:rPr>
        <w:t>Lieta Nr. C29414519, SKC-606/2024</w:t>
      </w:r>
    </w:p>
    <w:p w14:paraId="3980EDE0" w14:textId="733DA4B8" w:rsidR="00504B74" w:rsidRPr="0018516E" w:rsidRDefault="0018516E" w:rsidP="0018516E">
      <w:pPr>
        <w:tabs>
          <w:tab w:val="left" w:pos="0"/>
        </w:tabs>
        <w:spacing w:line="276" w:lineRule="auto"/>
        <w:jc w:val="center"/>
        <w:rPr>
          <w:rFonts w:asciiTheme="majorBidi" w:hAnsiTheme="majorBidi" w:cstheme="majorBidi"/>
          <w:bCs/>
        </w:rPr>
      </w:pPr>
      <w:hyperlink r:id="rId8" w:history="1">
        <w:r w:rsidRPr="0018516E">
          <w:rPr>
            <w:rStyle w:val="Hyperlink"/>
            <w:rFonts w:asciiTheme="majorBidi" w:hAnsiTheme="majorBidi" w:cstheme="majorBidi"/>
            <w:bCs/>
          </w:rPr>
          <w:t>ECLI:LV:AT:2024:1008.C29414519.38.L</w:t>
        </w:r>
      </w:hyperlink>
    </w:p>
    <w:p w14:paraId="45A545C8" w14:textId="77777777" w:rsidR="0045479F" w:rsidRPr="0018516E" w:rsidRDefault="0045479F" w:rsidP="0018516E">
      <w:pPr>
        <w:spacing w:line="276" w:lineRule="auto"/>
        <w:jc w:val="center"/>
        <w:rPr>
          <w:rFonts w:asciiTheme="majorBidi" w:hAnsiTheme="majorBidi" w:cstheme="majorBidi"/>
        </w:rPr>
      </w:pPr>
    </w:p>
    <w:p w14:paraId="2DED8B76" w14:textId="705525D4" w:rsidR="0045479F" w:rsidRPr="0018516E" w:rsidRDefault="00D943A1" w:rsidP="0018516E">
      <w:pPr>
        <w:spacing w:line="276" w:lineRule="auto"/>
        <w:ind w:firstLine="709"/>
        <w:jc w:val="both"/>
        <w:rPr>
          <w:rFonts w:asciiTheme="majorBidi" w:hAnsiTheme="majorBidi" w:cstheme="majorBidi"/>
        </w:rPr>
      </w:pPr>
      <w:r w:rsidRPr="0018516E">
        <w:rPr>
          <w:rFonts w:asciiTheme="majorBidi" w:hAnsiTheme="majorBidi" w:cstheme="majorBidi"/>
        </w:rPr>
        <w:t>Senāta s</w:t>
      </w:r>
      <w:r w:rsidR="0045479F" w:rsidRPr="0018516E">
        <w:rPr>
          <w:rFonts w:asciiTheme="majorBidi" w:hAnsiTheme="majorBidi" w:cstheme="majorBidi"/>
        </w:rPr>
        <w:t>enatoru kolēģija šādā sast</w:t>
      </w:r>
      <w:r w:rsidR="00811CEA" w:rsidRPr="0018516E">
        <w:rPr>
          <w:rFonts w:asciiTheme="majorBidi" w:hAnsiTheme="majorBidi" w:cstheme="majorBidi"/>
        </w:rPr>
        <w:t xml:space="preserve">āvā: </w:t>
      </w:r>
      <w:r w:rsidR="0045479F" w:rsidRPr="0018516E">
        <w:rPr>
          <w:rFonts w:asciiTheme="majorBidi" w:hAnsiTheme="majorBidi" w:cstheme="majorBidi"/>
        </w:rPr>
        <w:t>senators</w:t>
      </w:r>
      <w:r w:rsidR="00811CEA" w:rsidRPr="0018516E">
        <w:rPr>
          <w:rFonts w:asciiTheme="majorBidi" w:hAnsiTheme="majorBidi" w:cstheme="majorBidi"/>
        </w:rPr>
        <w:t xml:space="preserve"> referents</w:t>
      </w:r>
      <w:r w:rsidR="0045479F" w:rsidRPr="0018516E">
        <w:rPr>
          <w:rFonts w:asciiTheme="majorBidi" w:hAnsiTheme="majorBidi" w:cstheme="majorBidi"/>
        </w:rPr>
        <w:t xml:space="preserve"> Kaspars Balodis,</w:t>
      </w:r>
      <w:r w:rsidR="00811CEA" w:rsidRPr="0018516E">
        <w:rPr>
          <w:rFonts w:asciiTheme="majorBidi" w:hAnsiTheme="majorBidi" w:cstheme="majorBidi"/>
        </w:rPr>
        <w:t xml:space="preserve"> </w:t>
      </w:r>
      <w:r w:rsidR="0045479F" w:rsidRPr="0018516E">
        <w:rPr>
          <w:rFonts w:asciiTheme="majorBidi" w:hAnsiTheme="majorBidi" w:cstheme="majorBidi"/>
        </w:rPr>
        <w:t>senator</w:t>
      </w:r>
      <w:r w:rsidR="00E46FAF" w:rsidRPr="0018516E">
        <w:rPr>
          <w:rFonts w:asciiTheme="majorBidi" w:hAnsiTheme="majorBidi" w:cstheme="majorBidi"/>
        </w:rPr>
        <w:t>i</w:t>
      </w:r>
      <w:r w:rsidR="0045479F" w:rsidRPr="0018516E">
        <w:rPr>
          <w:rFonts w:asciiTheme="majorBidi" w:hAnsiTheme="majorBidi" w:cstheme="majorBidi"/>
        </w:rPr>
        <w:t xml:space="preserve"> </w:t>
      </w:r>
      <w:r w:rsidR="00704359" w:rsidRPr="0018516E">
        <w:rPr>
          <w:rFonts w:asciiTheme="majorBidi" w:hAnsiTheme="majorBidi" w:cstheme="majorBidi"/>
        </w:rPr>
        <w:t>Intars Bisters un Erlens Kalniņš</w:t>
      </w:r>
    </w:p>
    <w:p w14:paraId="152151BC" w14:textId="77777777" w:rsidR="004605AE" w:rsidRPr="0018516E" w:rsidRDefault="004605AE" w:rsidP="0018516E">
      <w:pPr>
        <w:spacing w:line="276" w:lineRule="auto"/>
        <w:ind w:firstLine="709"/>
        <w:jc w:val="both"/>
        <w:rPr>
          <w:rFonts w:asciiTheme="majorBidi" w:hAnsiTheme="majorBidi" w:cstheme="majorBidi"/>
        </w:rPr>
      </w:pPr>
    </w:p>
    <w:p w14:paraId="3C5A6688" w14:textId="228A70EF" w:rsidR="00856FA5" w:rsidRPr="0018516E" w:rsidRDefault="001D12E4" w:rsidP="0018516E">
      <w:pPr>
        <w:spacing w:line="276" w:lineRule="auto"/>
        <w:ind w:firstLine="709"/>
        <w:jc w:val="both"/>
        <w:rPr>
          <w:rFonts w:asciiTheme="majorBidi" w:hAnsiTheme="majorBidi" w:cstheme="majorBidi"/>
        </w:rPr>
      </w:pPr>
      <w:r w:rsidRPr="0018516E">
        <w:rPr>
          <w:rFonts w:asciiTheme="majorBidi" w:hAnsiTheme="majorBidi" w:cstheme="majorBidi"/>
        </w:rPr>
        <w:t>rīcības sēdē izskatīja</w:t>
      </w:r>
      <w:bookmarkStart w:id="0" w:name="_Hlk137114934"/>
      <w:r w:rsidR="00A56D71" w:rsidRPr="0018516E">
        <w:rPr>
          <w:rFonts w:asciiTheme="majorBidi" w:hAnsiTheme="majorBidi" w:cstheme="majorBidi"/>
        </w:rPr>
        <w:t xml:space="preserve"> Latvijā reģistrēt</w:t>
      </w:r>
      <w:r w:rsidR="00C84FEA" w:rsidRPr="0018516E">
        <w:rPr>
          <w:rFonts w:asciiTheme="majorBidi" w:hAnsiTheme="majorBidi" w:cstheme="majorBidi"/>
        </w:rPr>
        <w:t>ā</w:t>
      </w:r>
      <w:r w:rsidR="00A56D71" w:rsidRPr="0018516E">
        <w:rPr>
          <w:rFonts w:asciiTheme="majorBidi" w:hAnsiTheme="majorBidi" w:cstheme="majorBidi"/>
        </w:rPr>
        <w:t>s sabiedrības ar ierobežotu atbildību (SIA)</w:t>
      </w:r>
      <w:r w:rsidR="0040264A" w:rsidRPr="0018516E">
        <w:rPr>
          <w:rFonts w:asciiTheme="majorBidi" w:hAnsiTheme="majorBidi" w:cstheme="majorBidi"/>
        </w:rPr>
        <w:t> </w:t>
      </w:r>
      <w:r w:rsidR="009C1B4E" w:rsidRPr="0018516E">
        <w:rPr>
          <w:rFonts w:asciiTheme="majorBidi" w:hAnsiTheme="majorBidi" w:cstheme="majorBidi"/>
        </w:rPr>
        <w:t>„</w:t>
      </w:r>
      <w:r w:rsidR="00704359" w:rsidRPr="0018516E">
        <w:rPr>
          <w:rFonts w:asciiTheme="majorBidi" w:hAnsiTheme="majorBidi" w:cstheme="majorBidi"/>
        </w:rPr>
        <w:t>PNB</w:t>
      </w:r>
      <w:r w:rsidR="00EB3746" w:rsidRPr="0018516E">
        <w:rPr>
          <w:rFonts w:asciiTheme="majorBidi" w:hAnsiTheme="majorBidi" w:cstheme="majorBidi"/>
        </w:rPr>
        <w:t> </w:t>
      </w:r>
      <w:r w:rsidR="00704359" w:rsidRPr="0018516E">
        <w:rPr>
          <w:rFonts w:asciiTheme="majorBidi" w:hAnsiTheme="majorBidi" w:cstheme="majorBidi"/>
        </w:rPr>
        <w:t>Assets”</w:t>
      </w:r>
      <w:r w:rsidR="0080204C" w:rsidRPr="0018516E">
        <w:rPr>
          <w:rFonts w:asciiTheme="majorBidi" w:hAnsiTheme="majorBidi" w:cstheme="majorBidi"/>
        </w:rPr>
        <w:t xml:space="preserve"> </w:t>
      </w:r>
      <w:r w:rsidR="00C628F8" w:rsidRPr="0018516E">
        <w:rPr>
          <w:rFonts w:asciiTheme="majorBidi" w:hAnsiTheme="majorBidi" w:cstheme="majorBidi"/>
        </w:rPr>
        <w:t>kasācijas sūdzīb</w:t>
      </w:r>
      <w:r w:rsidR="0080204C" w:rsidRPr="0018516E">
        <w:rPr>
          <w:rFonts w:asciiTheme="majorBidi" w:hAnsiTheme="majorBidi" w:cstheme="majorBidi"/>
        </w:rPr>
        <w:t>u</w:t>
      </w:r>
      <w:r w:rsidR="00C628F8" w:rsidRPr="0018516E">
        <w:rPr>
          <w:rFonts w:asciiTheme="majorBidi" w:hAnsiTheme="majorBidi" w:cstheme="majorBidi"/>
        </w:rPr>
        <w:t xml:space="preserve"> par </w:t>
      </w:r>
      <w:r w:rsidR="009C1B4E" w:rsidRPr="0018516E">
        <w:rPr>
          <w:rFonts w:asciiTheme="majorBidi" w:hAnsiTheme="majorBidi" w:cstheme="majorBidi"/>
        </w:rPr>
        <w:t>Rīgas</w:t>
      </w:r>
      <w:r w:rsidR="00BC3487" w:rsidRPr="0018516E">
        <w:rPr>
          <w:rFonts w:asciiTheme="majorBidi" w:hAnsiTheme="majorBidi" w:cstheme="majorBidi"/>
        </w:rPr>
        <w:t xml:space="preserve"> apgabaltiesas</w:t>
      </w:r>
      <w:r w:rsidR="00F879F6" w:rsidRPr="0018516E">
        <w:rPr>
          <w:rFonts w:asciiTheme="majorBidi" w:hAnsiTheme="majorBidi" w:cstheme="majorBidi"/>
        </w:rPr>
        <w:t xml:space="preserve"> </w:t>
      </w:r>
      <w:r w:rsidR="00C628F8" w:rsidRPr="0018516E">
        <w:rPr>
          <w:rFonts w:asciiTheme="majorBidi" w:hAnsiTheme="majorBidi" w:cstheme="majorBidi"/>
        </w:rPr>
        <w:t>202</w:t>
      </w:r>
      <w:r w:rsidR="00704359" w:rsidRPr="0018516E">
        <w:rPr>
          <w:rFonts w:asciiTheme="majorBidi" w:hAnsiTheme="majorBidi" w:cstheme="majorBidi"/>
        </w:rPr>
        <w:t>4</w:t>
      </w:r>
      <w:r w:rsidR="00C628F8" w:rsidRPr="0018516E">
        <w:rPr>
          <w:rFonts w:asciiTheme="majorBidi" w:hAnsiTheme="majorBidi" w:cstheme="majorBidi"/>
        </w:rPr>
        <w:t>.</w:t>
      </w:r>
      <w:r w:rsidR="00F879F6" w:rsidRPr="0018516E">
        <w:rPr>
          <w:rFonts w:asciiTheme="majorBidi" w:hAnsiTheme="majorBidi" w:cstheme="majorBidi"/>
        </w:rPr>
        <w:t> </w:t>
      </w:r>
      <w:r w:rsidR="00C628F8" w:rsidRPr="0018516E">
        <w:rPr>
          <w:rFonts w:asciiTheme="majorBidi" w:hAnsiTheme="majorBidi" w:cstheme="majorBidi"/>
        </w:rPr>
        <w:t xml:space="preserve">gada </w:t>
      </w:r>
      <w:r w:rsidR="009C1B4E" w:rsidRPr="0018516E">
        <w:rPr>
          <w:rFonts w:asciiTheme="majorBidi" w:hAnsiTheme="majorBidi" w:cstheme="majorBidi"/>
        </w:rPr>
        <w:t>1</w:t>
      </w:r>
      <w:r w:rsidR="00704359" w:rsidRPr="0018516E">
        <w:rPr>
          <w:rFonts w:asciiTheme="majorBidi" w:hAnsiTheme="majorBidi" w:cstheme="majorBidi"/>
        </w:rPr>
        <w:t>2. marta</w:t>
      </w:r>
      <w:r w:rsidR="00C628F8" w:rsidRPr="0018516E">
        <w:rPr>
          <w:rFonts w:asciiTheme="majorBidi" w:hAnsiTheme="majorBidi" w:cstheme="majorBidi"/>
        </w:rPr>
        <w:t xml:space="preserve"> spriedumu</w:t>
      </w:r>
      <w:bookmarkEnd w:id="0"/>
      <w:r w:rsidR="00F879F6" w:rsidRPr="0018516E">
        <w:rPr>
          <w:rFonts w:asciiTheme="majorBidi" w:hAnsiTheme="majorBidi" w:cstheme="majorBidi"/>
        </w:rPr>
        <w:t xml:space="preserve"> </w:t>
      </w:r>
      <w:r w:rsidR="003A66B6" w:rsidRPr="0018516E">
        <w:rPr>
          <w:rFonts w:asciiTheme="majorBidi" w:hAnsiTheme="majorBidi" w:cstheme="majorBidi"/>
        </w:rPr>
        <w:t>civillietā</w:t>
      </w:r>
      <w:r w:rsidR="009C1B4E" w:rsidRPr="0018516E">
        <w:rPr>
          <w:rFonts w:asciiTheme="majorBidi" w:hAnsiTheme="majorBidi" w:cstheme="majorBidi"/>
        </w:rPr>
        <w:t xml:space="preserve"> </w:t>
      </w:r>
      <w:r w:rsidR="00704359" w:rsidRPr="0018516E">
        <w:rPr>
          <w:rFonts w:asciiTheme="majorBidi" w:hAnsiTheme="majorBidi" w:cstheme="majorBidi"/>
        </w:rPr>
        <w:t>Igaunijā reģistrēt</w:t>
      </w:r>
      <w:r w:rsidR="00C84FEA" w:rsidRPr="0018516E">
        <w:rPr>
          <w:rFonts w:asciiTheme="majorBidi" w:hAnsiTheme="majorBidi" w:cstheme="majorBidi"/>
        </w:rPr>
        <w:t>ā</w:t>
      </w:r>
      <w:r w:rsidR="00704359" w:rsidRPr="0018516E">
        <w:rPr>
          <w:rFonts w:asciiTheme="majorBidi" w:hAnsiTheme="majorBidi" w:cstheme="majorBidi"/>
        </w:rPr>
        <w:t>s sabiedrības ar ierobežotu atbildību (OÜ)</w:t>
      </w:r>
      <w:r w:rsidR="00EB3746" w:rsidRPr="0018516E">
        <w:rPr>
          <w:rFonts w:asciiTheme="majorBidi" w:hAnsiTheme="majorBidi" w:cstheme="majorBidi"/>
        </w:rPr>
        <w:t> </w:t>
      </w:r>
      <w:r w:rsidR="00704359" w:rsidRPr="0018516E">
        <w:rPr>
          <w:rFonts w:asciiTheme="majorBidi" w:hAnsiTheme="majorBidi" w:cstheme="majorBidi"/>
        </w:rPr>
        <w:t>„</w:t>
      </w:r>
      <w:proofErr w:type="spellStart"/>
      <w:r w:rsidR="00704359" w:rsidRPr="0018516E">
        <w:rPr>
          <w:rFonts w:asciiTheme="majorBidi" w:hAnsiTheme="majorBidi" w:cstheme="majorBidi"/>
        </w:rPr>
        <w:t>Spring</w:t>
      </w:r>
      <w:proofErr w:type="spellEnd"/>
      <w:r w:rsidR="00EB3746" w:rsidRPr="0018516E">
        <w:rPr>
          <w:rFonts w:asciiTheme="majorBidi" w:hAnsiTheme="majorBidi" w:cstheme="majorBidi"/>
        </w:rPr>
        <w:t> </w:t>
      </w:r>
      <w:proofErr w:type="spellStart"/>
      <w:r w:rsidR="00704359" w:rsidRPr="0018516E">
        <w:rPr>
          <w:rFonts w:asciiTheme="majorBidi" w:hAnsiTheme="majorBidi" w:cstheme="majorBidi"/>
        </w:rPr>
        <w:t>Capital</w:t>
      </w:r>
      <w:proofErr w:type="spellEnd"/>
      <w:r w:rsidR="00704359" w:rsidRPr="0018516E">
        <w:rPr>
          <w:rFonts w:asciiTheme="majorBidi" w:hAnsiTheme="majorBidi" w:cstheme="majorBidi"/>
        </w:rPr>
        <w:t>” prasībā pret Latvijā reģistrēt</w:t>
      </w:r>
      <w:r w:rsidR="00C84FEA" w:rsidRPr="0018516E">
        <w:rPr>
          <w:rFonts w:asciiTheme="majorBidi" w:hAnsiTheme="majorBidi" w:cstheme="majorBidi"/>
        </w:rPr>
        <w:t>o</w:t>
      </w:r>
      <w:r w:rsidR="00704359" w:rsidRPr="0018516E">
        <w:rPr>
          <w:rFonts w:asciiTheme="majorBidi" w:hAnsiTheme="majorBidi" w:cstheme="majorBidi"/>
        </w:rPr>
        <w:t xml:space="preserve"> sabiedrību ar ierobežotu atbildību (SIA)</w:t>
      </w:r>
      <w:r w:rsidR="00EB3746" w:rsidRPr="0018516E">
        <w:rPr>
          <w:rFonts w:asciiTheme="majorBidi" w:hAnsiTheme="majorBidi" w:cstheme="majorBidi"/>
        </w:rPr>
        <w:t> </w:t>
      </w:r>
      <w:r w:rsidR="00704359" w:rsidRPr="0018516E">
        <w:rPr>
          <w:rFonts w:asciiTheme="majorBidi" w:hAnsiTheme="majorBidi" w:cstheme="majorBidi"/>
        </w:rPr>
        <w:t>„PNB</w:t>
      </w:r>
      <w:r w:rsidR="00EB3746" w:rsidRPr="0018516E">
        <w:rPr>
          <w:rFonts w:asciiTheme="majorBidi" w:hAnsiTheme="majorBidi" w:cstheme="majorBidi"/>
        </w:rPr>
        <w:t> </w:t>
      </w:r>
      <w:r w:rsidR="00704359" w:rsidRPr="0018516E">
        <w:rPr>
          <w:rFonts w:asciiTheme="majorBidi" w:hAnsiTheme="majorBidi" w:cstheme="majorBidi"/>
        </w:rPr>
        <w:t xml:space="preserve">Assets” par </w:t>
      </w:r>
      <w:r w:rsidR="00970C10" w:rsidRPr="0018516E">
        <w:rPr>
          <w:rFonts w:asciiTheme="majorBidi" w:hAnsiTheme="majorBidi" w:cstheme="majorBidi"/>
        </w:rPr>
        <w:t xml:space="preserve">kapitāla </w:t>
      </w:r>
      <w:r w:rsidR="00704359" w:rsidRPr="0018516E">
        <w:rPr>
          <w:rFonts w:asciiTheme="majorBidi" w:hAnsiTheme="majorBidi" w:cstheme="majorBidi"/>
        </w:rPr>
        <w:t xml:space="preserve">daļu nodošanas atzīšanu par dāvinājumu un piedziņas vēršanu uz dāvināto mantu. </w:t>
      </w:r>
    </w:p>
    <w:p w14:paraId="787947FC" w14:textId="77777777" w:rsidR="00856FA5" w:rsidRPr="0018516E" w:rsidRDefault="00856FA5" w:rsidP="0018516E">
      <w:pPr>
        <w:spacing w:line="276" w:lineRule="auto"/>
        <w:ind w:firstLine="709"/>
        <w:jc w:val="both"/>
        <w:rPr>
          <w:rFonts w:asciiTheme="majorBidi" w:hAnsiTheme="majorBidi" w:cstheme="majorBidi"/>
        </w:rPr>
      </w:pPr>
    </w:p>
    <w:p w14:paraId="67EA8F5D" w14:textId="77777777" w:rsidR="00856FA5" w:rsidRPr="0018516E" w:rsidRDefault="00856FA5" w:rsidP="0018516E">
      <w:pPr>
        <w:spacing w:line="276" w:lineRule="auto"/>
        <w:jc w:val="center"/>
        <w:rPr>
          <w:rFonts w:asciiTheme="majorBidi" w:hAnsiTheme="majorBidi" w:cstheme="majorBidi"/>
          <w:b/>
        </w:rPr>
      </w:pPr>
      <w:r w:rsidRPr="0018516E">
        <w:rPr>
          <w:rFonts w:asciiTheme="majorBidi" w:hAnsiTheme="majorBidi" w:cstheme="majorBidi"/>
          <w:b/>
        </w:rPr>
        <w:t>Aprakstošā daļa</w:t>
      </w:r>
    </w:p>
    <w:p w14:paraId="2C8ADCEB" w14:textId="77777777" w:rsidR="00856FA5" w:rsidRPr="0018516E" w:rsidRDefault="00856FA5" w:rsidP="0018516E">
      <w:pPr>
        <w:spacing w:line="276" w:lineRule="auto"/>
        <w:rPr>
          <w:rFonts w:asciiTheme="majorBidi" w:hAnsiTheme="majorBidi" w:cstheme="majorBidi"/>
          <w:bCs/>
        </w:rPr>
      </w:pPr>
    </w:p>
    <w:p w14:paraId="664A000E" w14:textId="4E693D63" w:rsidR="00856FA5" w:rsidRPr="0018516E" w:rsidRDefault="00856FA5" w:rsidP="0018516E">
      <w:pPr>
        <w:spacing w:line="276" w:lineRule="auto"/>
        <w:ind w:firstLine="709"/>
        <w:jc w:val="both"/>
        <w:rPr>
          <w:rFonts w:asciiTheme="majorBidi" w:hAnsiTheme="majorBidi" w:cstheme="majorBidi"/>
        </w:rPr>
      </w:pPr>
      <w:r w:rsidRPr="0018516E">
        <w:rPr>
          <w:rFonts w:asciiTheme="majorBidi" w:hAnsiTheme="majorBidi" w:cstheme="majorBidi"/>
          <w:bCs/>
        </w:rPr>
        <w:t xml:space="preserve">[1] Rīgas apgabaltiesa </w:t>
      </w:r>
      <w:r w:rsidR="002A3269" w:rsidRPr="0018516E">
        <w:rPr>
          <w:rFonts w:asciiTheme="majorBidi" w:hAnsiTheme="majorBidi" w:cstheme="majorBidi"/>
        </w:rPr>
        <w:t>202</w:t>
      </w:r>
      <w:r w:rsidR="00704359" w:rsidRPr="0018516E">
        <w:rPr>
          <w:rFonts w:asciiTheme="majorBidi" w:hAnsiTheme="majorBidi" w:cstheme="majorBidi"/>
        </w:rPr>
        <w:t>4</w:t>
      </w:r>
      <w:r w:rsidR="002A3269" w:rsidRPr="0018516E">
        <w:rPr>
          <w:rFonts w:asciiTheme="majorBidi" w:hAnsiTheme="majorBidi" w:cstheme="majorBidi"/>
        </w:rPr>
        <w:t>. gada 1</w:t>
      </w:r>
      <w:r w:rsidR="00704359" w:rsidRPr="0018516E">
        <w:rPr>
          <w:rFonts w:asciiTheme="majorBidi" w:hAnsiTheme="majorBidi" w:cstheme="majorBidi"/>
        </w:rPr>
        <w:t>2</w:t>
      </w:r>
      <w:r w:rsidR="002A3269" w:rsidRPr="0018516E">
        <w:rPr>
          <w:rFonts w:asciiTheme="majorBidi" w:hAnsiTheme="majorBidi" w:cstheme="majorBidi"/>
        </w:rPr>
        <w:t>.</w:t>
      </w:r>
      <w:r w:rsidR="00704359" w:rsidRPr="0018516E">
        <w:rPr>
          <w:rFonts w:asciiTheme="majorBidi" w:hAnsiTheme="majorBidi" w:cstheme="majorBidi"/>
        </w:rPr>
        <w:t> martā izskatīja Igaunijā reģistrēt</w:t>
      </w:r>
      <w:r w:rsidR="00C84FEA" w:rsidRPr="0018516E">
        <w:rPr>
          <w:rFonts w:asciiTheme="majorBidi" w:hAnsiTheme="majorBidi" w:cstheme="majorBidi"/>
        </w:rPr>
        <w:t>ā</w:t>
      </w:r>
      <w:r w:rsidR="00704359" w:rsidRPr="0018516E">
        <w:rPr>
          <w:rFonts w:asciiTheme="majorBidi" w:hAnsiTheme="majorBidi" w:cstheme="majorBidi"/>
        </w:rPr>
        <w:t>s sabiedrības ar ierobežotu atbildību (OÜ)</w:t>
      </w:r>
      <w:r w:rsidR="00BF0D4F" w:rsidRPr="0018516E">
        <w:rPr>
          <w:rFonts w:asciiTheme="majorBidi" w:hAnsiTheme="majorBidi" w:cstheme="majorBidi"/>
        </w:rPr>
        <w:t> </w:t>
      </w:r>
      <w:r w:rsidR="00704359" w:rsidRPr="0018516E">
        <w:rPr>
          <w:rFonts w:asciiTheme="majorBidi" w:hAnsiTheme="majorBidi" w:cstheme="majorBidi"/>
        </w:rPr>
        <w:t>„</w:t>
      </w:r>
      <w:proofErr w:type="spellStart"/>
      <w:r w:rsidR="00704359" w:rsidRPr="0018516E">
        <w:rPr>
          <w:rFonts w:asciiTheme="majorBidi" w:hAnsiTheme="majorBidi" w:cstheme="majorBidi"/>
        </w:rPr>
        <w:t>Spring</w:t>
      </w:r>
      <w:proofErr w:type="spellEnd"/>
      <w:r w:rsidR="00F8280C" w:rsidRPr="0018516E">
        <w:rPr>
          <w:rFonts w:asciiTheme="majorBidi" w:hAnsiTheme="majorBidi" w:cstheme="majorBidi"/>
        </w:rPr>
        <w:t> </w:t>
      </w:r>
      <w:proofErr w:type="spellStart"/>
      <w:r w:rsidR="00704359" w:rsidRPr="0018516E">
        <w:rPr>
          <w:rFonts w:asciiTheme="majorBidi" w:hAnsiTheme="majorBidi" w:cstheme="majorBidi"/>
        </w:rPr>
        <w:t>Capital</w:t>
      </w:r>
      <w:proofErr w:type="spellEnd"/>
      <w:r w:rsidR="00704359" w:rsidRPr="0018516E">
        <w:rPr>
          <w:rFonts w:asciiTheme="majorBidi" w:hAnsiTheme="majorBidi" w:cstheme="majorBidi"/>
        </w:rPr>
        <w:t>” prasību pret Latvijā reģistrēt</w:t>
      </w:r>
      <w:r w:rsidR="00C84FEA" w:rsidRPr="0018516E">
        <w:rPr>
          <w:rFonts w:asciiTheme="majorBidi" w:hAnsiTheme="majorBidi" w:cstheme="majorBidi"/>
        </w:rPr>
        <w:t>o</w:t>
      </w:r>
      <w:r w:rsidR="00704359" w:rsidRPr="0018516E">
        <w:rPr>
          <w:rFonts w:asciiTheme="majorBidi" w:hAnsiTheme="majorBidi" w:cstheme="majorBidi"/>
        </w:rPr>
        <w:t xml:space="preserve"> sabiedrību ar ierobežotu atbildību (SIA)</w:t>
      </w:r>
      <w:r w:rsidR="00BF0D4F" w:rsidRPr="0018516E">
        <w:rPr>
          <w:rFonts w:asciiTheme="majorBidi" w:hAnsiTheme="majorBidi" w:cstheme="majorBidi"/>
        </w:rPr>
        <w:t> </w:t>
      </w:r>
      <w:r w:rsidR="00704359" w:rsidRPr="0018516E">
        <w:rPr>
          <w:rFonts w:asciiTheme="majorBidi" w:hAnsiTheme="majorBidi" w:cstheme="majorBidi"/>
        </w:rPr>
        <w:t>„PNB</w:t>
      </w:r>
      <w:r w:rsidR="00F8280C" w:rsidRPr="0018516E">
        <w:rPr>
          <w:rFonts w:asciiTheme="majorBidi" w:hAnsiTheme="majorBidi" w:cstheme="majorBidi"/>
        </w:rPr>
        <w:t> </w:t>
      </w:r>
      <w:r w:rsidR="00704359" w:rsidRPr="0018516E">
        <w:rPr>
          <w:rFonts w:asciiTheme="majorBidi" w:hAnsiTheme="majorBidi" w:cstheme="majorBidi"/>
        </w:rPr>
        <w:t xml:space="preserve">Assets” par </w:t>
      </w:r>
      <w:r w:rsidR="00970C10" w:rsidRPr="0018516E">
        <w:rPr>
          <w:rFonts w:asciiTheme="majorBidi" w:hAnsiTheme="majorBidi" w:cstheme="majorBidi"/>
        </w:rPr>
        <w:t xml:space="preserve">kapitāla </w:t>
      </w:r>
      <w:r w:rsidR="00704359" w:rsidRPr="0018516E">
        <w:rPr>
          <w:rFonts w:asciiTheme="majorBidi" w:hAnsiTheme="majorBidi" w:cstheme="majorBidi"/>
        </w:rPr>
        <w:t>daļu nodošanas atzīšanu par dāvinājumu un piedziņas vēršanu uz atdāvināto mantu</w:t>
      </w:r>
      <w:r w:rsidRPr="0018516E">
        <w:rPr>
          <w:rFonts w:asciiTheme="majorBidi" w:hAnsiTheme="majorBidi" w:cstheme="majorBidi"/>
        </w:rPr>
        <w:t>. Ar Rīgas apgabaltiesas 20</w:t>
      </w:r>
      <w:r w:rsidR="00704359" w:rsidRPr="0018516E">
        <w:rPr>
          <w:rFonts w:asciiTheme="majorBidi" w:hAnsiTheme="majorBidi" w:cstheme="majorBidi"/>
        </w:rPr>
        <w:t>24</w:t>
      </w:r>
      <w:r w:rsidRPr="0018516E">
        <w:rPr>
          <w:rFonts w:asciiTheme="majorBidi" w:hAnsiTheme="majorBidi" w:cstheme="majorBidi"/>
        </w:rPr>
        <w:t>.</w:t>
      </w:r>
      <w:r w:rsidR="00192D8D" w:rsidRPr="0018516E">
        <w:rPr>
          <w:rFonts w:asciiTheme="majorBidi" w:hAnsiTheme="majorBidi" w:cstheme="majorBidi"/>
        </w:rPr>
        <w:t> </w:t>
      </w:r>
      <w:r w:rsidRPr="0018516E">
        <w:rPr>
          <w:rFonts w:asciiTheme="majorBidi" w:hAnsiTheme="majorBidi" w:cstheme="majorBidi"/>
        </w:rPr>
        <w:t>gada 1</w:t>
      </w:r>
      <w:r w:rsidR="00704359" w:rsidRPr="0018516E">
        <w:rPr>
          <w:rFonts w:asciiTheme="majorBidi" w:hAnsiTheme="majorBidi" w:cstheme="majorBidi"/>
        </w:rPr>
        <w:t>2. marta</w:t>
      </w:r>
      <w:r w:rsidRPr="0018516E">
        <w:rPr>
          <w:rFonts w:asciiTheme="majorBidi" w:hAnsiTheme="majorBidi" w:cstheme="majorBidi"/>
        </w:rPr>
        <w:t xml:space="preserve"> spriedumu prasība apmierināta. </w:t>
      </w:r>
      <w:r w:rsidRPr="0018516E">
        <w:rPr>
          <w:rFonts w:asciiTheme="majorBidi" w:hAnsiTheme="majorBidi" w:cstheme="majorBidi"/>
          <w:bCs/>
        </w:rPr>
        <w:t>Par minēto spriedumu</w:t>
      </w:r>
      <w:r w:rsidR="00704359" w:rsidRPr="0018516E">
        <w:rPr>
          <w:rFonts w:asciiTheme="majorBidi" w:hAnsiTheme="majorBidi" w:cstheme="majorBidi"/>
        </w:rPr>
        <w:t xml:space="preserve"> sabiedrīb</w:t>
      </w:r>
      <w:r w:rsidR="00003AE9" w:rsidRPr="0018516E">
        <w:rPr>
          <w:rFonts w:asciiTheme="majorBidi" w:hAnsiTheme="majorBidi" w:cstheme="majorBidi"/>
        </w:rPr>
        <w:t>a</w:t>
      </w:r>
      <w:r w:rsidR="00704359" w:rsidRPr="0018516E">
        <w:rPr>
          <w:rFonts w:asciiTheme="majorBidi" w:hAnsiTheme="majorBidi" w:cstheme="majorBidi"/>
        </w:rPr>
        <w:t xml:space="preserve"> ar ierobežotu atbildību</w:t>
      </w:r>
      <w:r w:rsidR="00BF0D4F" w:rsidRPr="0018516E">
        <w:rPr>
          <w:rFonts w:asciiTheme="majorBidi" w:hAnsiTheme="majorBidi" w:cstheme="majorBidi"/>
        </w:rPr>
        <w:t> </w:t>
      </w:r>
      <w:r w:rsidR="00704359" w:rsidRPr="0018516E">
        <w:rPr>
          <w:rFonts w:asciiTheme="majorBidi" w:hAnsiTheme="majorBidi" w:cstheme="majorBidi"/>
        </w:rPr>
        <w:t>„PNB</w:t>
      </w:r>
      <w:r w:rsidR="00F8280C" w:rsidRPr="0018516E">
        <w:rPr>
          <w:rFonts w:asciiTheme="majorBidi" w:hAnsiTheme="majorBidi" w:cstheme="majorBidi"/>
        </w:rPr>
        <w:t> </w:t>
      </w:r>
      <w:r w:rsidR="00704359" w:rsidRPr="0018516E">
        <w:rPr>
          <w:rFonts w:asciiTheme="majorBidi" w:hAnsiTheme="majorBidi" w:cstheme="majorBidi"/>
        </w:rPr>
        <w:t xml:space="preserve">Assets” iesniegusi kasācijas sūdzību, lūdzot spriedumu atcelt un nodot </w:t>
      </w:r>
      <w:r w:rsidR="00003AE9" w:rsidRPr="0018516E">
        <w:rPr>
          <w:rFonts w:asciiTheme="majorBidi" w:hAnsiTheme="majorBidi" w:cstheme="majorBidi"/>
        </w:rPr>
        <w:t>l</w:t>
      </w:r>
      <w:r w:rsidR="00704359" w:rsidRPr="0018516E">
        <w:rPr>
          <w:rFonts w:asciiTheme="majorBidi" w:hAnsiTheme="majorBidi" w:cstheme="majorBidi"/>
        </w:rPr>
        <w:t xml:space="preserve">ietu jaunai izskatīšanai pirmās instances tiesā, kā arī </w:t>
      </w:r>
      <w:r w:rsidR="00003AE9" w:rsidRPr="0018516E">
        <w:rPr>
          <w:rFonts w:asciiTheme="majorBidi" w:hAnsiTheme="majorBidi" w:cstheme="majorBidi"/>
        </w:rPr>
        <w:t xml:space="preserve">apturēt tiesvedību un </w:t>
      </w:r>
      <w:r w:rsidR="00704359" w:rsidRPr="0018516E">
        <w:rPr>
          <w:rFonts w:asciiTheme="majorBidi" w:hAnsiTheme="majorBidi" w:cstheme="majorBidi"/>
        </w:rPr>
        <w:t>pie</w:t>
      </w:r>
      <w:r w:rsidR="00003AE9" w:rsidRPr="0018516E">
        <w:rPr>
          <w:rFonts w:asciiTheme="majorBidi" w:hAnsiTheme="majorBidi" w:cstheme="majorBidi"/>
        </w:rPr>
        <w:t>ņ</w:t>
      </w:r>
      <w:r w:rsidR="00704359" w:rsidRPr="0018516E">
        <w:rPr>
          <w:rFonts w:asciiTheme="majorBidi" w:hAnsiTheme="majorBidi" w:cstheme="majorBidi"/>
        </w:rPr>
        <w:t xml:space="preserve">emt lēmumu par jautājuma uzdošanu Eiropas Savienības Tiesai </w:t>
      </w:r>
      <w:r w:rsidR="00003AE9" w:rsidRPr="0018516E">
        <w:rPr>
          <w:rFonts w:asciiTheme="majorBidi" w:hAnsiTheme="majorBidi" w:cstheme="majorBidi"/>
        </w:rPr>
        <w:t>prejudiciāla nolēmuma pieņemšanai</w:t>
      </w:r>
      <w:r w:rsidRPr="0018516E">
        <w:rPr>
          <w:rFonts w:asciiTheme="majorBidi" w:hAnsiTheme="majorBidi" w:cstheme="majorBidi"/>
        </w:rPr>
        <w:t>.</w:t>
      </w:r>
    </w:p>
    <w:p w14:paraId="3FF10D60" w14:textId="77777777" w:rsidR="00856FA5" w:rsidRPr="0018516E" w:rsidRDefault="00856FA5" w:rsidP="0018516E">
      <w:pPr>
        <w:spacing w:line="276" w:lineRule="auto"/>
        <w:jc w:val="both"/>
        <w:rPr>
          <w:rFonts w:asciiTheme="majorBidi" w:hAnsiTheme="majorBidi" w:cstheme="majorBidi"/>
          <w:bCs/>
        </w:rPr>
      </w:pPr>
    </w:p>
    <w:p w14:paraId="1D9AF21F" w14:textId="77777777" w:rsidR="00856FA5" w:rsidRPr="0018516E" w:rsidRDefault="00856FA5" w:rsidP="0018516E">
      <w:pPr>
        <w:spacing w:line="276" w:lineRule="auto"/>
        <w:jc w:val="center"/>
        <w:rPr>
          <w:rFonts w:asciiTheme="majorBidi" w:hAnsiTheme="majorBidi" w:cstheme="majorBidi"/>
          <w:b/>
          <w:bCs/>
        </w:rPr>
      </w:pPr>
      <w:r w:rsidRPr="0018516E">
        <w:rPr>
          <w:rFonts w:asciiTheme="majorBidi" w:hAnsiTheme="majorBidi" w:cstheme="majorBidi"/>
          <w:b/>
          <w:bCs/>
        </w:rPr>
        <w:t>Motīvu daļa</w:t>
      </w:r>
    </w:p>
    <w:p w14:paraId="4E9920C7" w14:textId="77777777" w:rsidR="00D816E4" w:rsidRPr="0018516E" w:rsidRDefault="00D816E4" w:rsidP="0018516E">
      <w:pPr>
        <w:spacing w:line="276" w:lineRule="auto"/>
        <w:jc w:val="both"/>
        <w:rPr>
          <w:rFonts w:asciiTheme="majorBidi" w:hAnsiTheme="majorBidi" w:cstheme="majorBidi"/>
        </w:rPr>
      </w:pPr>
    </w:p>
    <w:p w14:paraId="45F52AAC" w14:textId="7FD348F3" w:rsidR="00C628F8" w:rsidRPr="0018516E" w:rsidRDefault="007D5531" w:rsidP="0018516E">
      <w:pPr>
        <w:spacing w:line="276" w:lineRule="auto"/>
        <w:ind w:firstLine="709"/>
        <w:jc w:val="both"/>
        <w:rPr>
          <w:rFonts w:asciiTheme="majorBidi" w:hAnsiTheme="majorBidi" w:cstheme="majorBidi"/>
        </w:rPr>
      </w:pPr>
      <w:r w:rsidRPr="0018516E">
        <w:rPr>
          <w:rFonts w:asciiTheme="majorBidi" w:hAnsiTheme="majorBidi" w:cstheme="majorBidi"/>
          <w:b/>
          <w:bCs/>
        </w:rPr>
        <w:tab/>
      </w:r>
      <w:r w:rsidRPr="0018516E">
        <w:rPr>
          <w:rFonts w:asciiTheme="majorBidi" w:hAnsiTheme="majorBidi" w:cstheme="majorBidi"/>
        </w:rPr>
        <w:t>[</w:t>
      </w:r>
      <w:r w:rsidR="002A3269" w:rsidRPr="0018516E">
        <w:rPr>
          <w:rFonts w:asciiTheme="majorBidi" w:hAnsiTheme="majorBidi" w:cstheme="majorBidi"/>
        </w:rPr>
        <w:t>2</w:t>
      </w:r>
      <w:r w:rsidRPr="0018516E">
        <w:rPr>
          <w:rFonts w:asciiTheme="majorBidi" w:hAnsiTheme="majorBidi" w:cstheme="majorBidi"/>
        </w:rPr>
        <w:t>]</w:t>
      </w:r>
      <w:r w:rsidR="003A66B6" w:rsidRPr="0018516E">
        <w:rPr>
          <w:rFonts w:asciiTheme="majorBidi" w:hAnsiTheme="majorBidi" w:cstheme="majorBidi"/>
        </w:rPr>
        <w:t> </w:t>
      </w:r>
      <w:r w:rsidR="00C628F8" w:rsidRPr="0018516E">
        <w:rPr>
          <w:rFonts w:asciiTheme="majorBidi" w:hAnsiTheme="majorBidi" w:cstheme="majorBidi"/>
        </w:rPr>
        <w:t>Senatoru kolēģija konstatē, ka, lai gan kasācijas sūdzīb</w:t>
      </w:r>
      <w:r w:rsidR="0080204C" w:rsidRPr="0018516E">
        <w:rPr>
          <w:rFonts w:asciiTheme="majorBidi" w:hAnsiTheme="majorBidi" w:cstheme="majorBidi"/>
        </w:rPr>
        <w:t>a</w:t>
      </w:r>
      <w:r w:rsidR="00C628F8" w:rsidRPr="0018516E">
        <w:rPr>
          <w:rFonts w:asciiTheme="majorBidi" w:hAnsiTheme="majorBidi" w:cstheme="majorBidi"/>
        </w:rPr>
        <w:t xml:space="preserve"> formāli atbilst Civilprocesa likuma</w:t>
      </w:r>
      <w:r w:rsidR="007264AC" w:rsidRPr="0018516E">
        <w:rPr>
          <w:rFonts w:asciiTheme="majorBidi" w:hAnsiTheme="majorBidi" w:cstheme="majorBidi"/>
          <w:b/>
        </w:rPr>
        <w:t> </w:t>
      </w:r>
      <w:r w:rsidR="00C628F8" w:rsidRPr="0018516E">
        <w:rPr>
          <w:rFonts w:asciiTheme="majorBidi" w:hAnsiTheme="majorBidi" w:cstheme="majorBidi"/>
        </w:rPr>
        <w:t>450.</w:t>
      </w:r>
      <w:r w:rsidR="00845E99" w:rsidRPr="0018516E">
        <w:rPr>
          <w:rFonts w:asciiTheme="majorBidi" w:hAnsiTheme="majorBidi" w:cstheme="majorBidi"/>
        </w:rPr>
        <w:t>–</w:t>
      </w:r>
      <w:r w:rsidR="00C628F8" w:rsidRPr="0018516E">
        <w:rPr>
          <w:rFonts w:asciiTheme="majorBidi" w:hAnsiTheme="majorBidi" w:cstheme="majorBidi"/>
        </w:rPr>
        <w:t>454. panta prasībām, tomēr ir Civilprocesa likuma</w:t>
      </w:r>
      <w:r w:rsidR="007264AC" w:rsidRPr="0018516E">
        <w:rPr>
          <w:rFonts w:asciiTheme="majorBidi" w:hAnsiTheme="majorBidi" w:cstheme="majorBidi"/>
        </w:rPr>
        <w:t> </w:t>
      </w:r>
      <w:r w:rsidR="00C628F8" w:rsidRPr="0018516E">
        <w:rPr>
          <w:rFonts w:asciiTheme="majorBidi" w:hAnsiTheme="majorBidi" w:cstheme="majorBidi"/>
        </w:rPr>
        <w:t>464.</w:t>
      </w:r>
      <w:r w:rsidR="00C628F8" w:rsidRPr="0018516E">
        <w:rPr>
          <w:rFonts w:asciiTheme="majorBidi" w:hAnsiTheme="majorBidi" w:cstheme="majorBidi"/>
          <w:vertAlign w:val="superscript"/>
        </w:rPr>
        <w:t>1</w:t>
      </w:r>
      <w:r w:rsidR="00C628F8" w:rsidRPr="0018516E">
        <w:rPr>
          <w:rFonts w:asciiTheme="majorBidi" w:hAnsiTheme="majorBidi" w:cstheme="majorBidi"/>
        </w:rPr>
        <w:t xml:space="preserve"> panta otrās daļas 2. punktā norādītais pamats atteikumam ierosināt kasācijas tiesvedību. </w:t>
      </w:r>
      <w:r w:rsidR="00C628F8" w:rsidRPr="0018516E">
        <w:rPr>
          <w:rFonts w:asciiTheme="majorBidi" w:hAnsiTheme="majorBidi" w:cstheme="majorBidi"/>
        </w:rPr>
        <w:lastRenderedPageBreak/>
        <w:t xml:space="preserve">Izvērtējot kasācijas sūdzībā minētos argumentus, senatoru kolēģijai nav acīmredzama pamata uzskatīt, ka pārsūdzētajā spriedumā ietvertais lietas iznākums ir nepareizs. Izskatāmajai lietai nav būtiskas nozīmes vienotas tiesu prakses nodrošināšanā vai tiesību </w:t>
      </w:r>
      <w:proofErr w:type="spellStart"/>
      <w:r w:rsidR="00C628F8" w:rsidRPr="0018516E">
        <w:rPr>
          <w:rFonts w:asciiTheme="majorBidi" w:hAnsiTheme="majorBidi" w:cstheme="majorBidi"/>
        </w:rPr>
        <w:t>tālākveidošanā</w:t>
      </w:r>
      <w:proofErr w:type="spellEnd"/>
      <w:r w:rsidR="00C628F8" w:rsidRPr="0018516E">
        <w:rPr>
          <w:rFonts w:asciiTheme="majorBidi" w:hAnsiTheme="majorBidi" w:cstheme="majorBidi"/>
        </w:rPr>
        <w:t xml:space="preserve">. </w:t>
      </w:r>
    </w:p>
    <w:p w14:paraId="5F09B410" w14:textId="77777777" w:rsidR="007D5531" w:rsidRPr="0018516E" w:rsidRDefault="007D5531" w:rsidP="0018516E">
      <w:pPr>
        <w:spacing w:line="276" w:lineRule="auto"/>
        <w:ind w:firstLine="709"/>
        <w:jc w:val="both"/>
        <w:rPr>
          <w:rFonts w:asciiTheme="majorBidi" w:hAnsiTheme="majorBidi" w:cstheme="majorBidi"/>
        </w:rPr>
      </w:pPr>
    </w:p>
    <w:p w14:paraId="4B670DFE" w14:textId="3A9F544C" w:rsidR="00E72B45" w:rsidRPr="0018516E" w:rsidRDefault="00855661" w:rsidP="0018516E">
      <w:pPr>
        <w:spacing w:line="276" w:lineRule="auto"/>
        <w:ind w:firstLine="709"/>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w:t>
      </w:r>
      <w:r w:rsidR="002A3269" w:rsidRPr="0018516E">
        <w:rPr>
          <w:rFonts w:asciiTheme="majorBidi" w:eastAsia="Calibri" w:hAnsiTheme="majorBidi" w:cstheme="majorBidi"/>
          <w14:ligatures w14:val="standardContextual"/>
        </w:rPr>
        <w:t>3</w:t>
      </w:r>
      <w:r w:rsidRPr="0018516E">
        <w:rPr>
          <w:rFonts w:asciiTheme="majorBidi" w:eastAsia="Calibri" w:hAnsiTheme="majorBidi" w:cstheme="majorBidi"/>
          <w14:ligatures w14:val="standardContextual"/>
        </w:rPr>
        <w:t>] </w:t>
      </w:r>
      <w:r w:rsidR="002247BD" w:rsidRPr="0018516E">
        <w:rPr>
          <w:rFonts w:asciiTheme="majorBidi" w:eastAsia="Calibri" w:hAnsiTheme="majorBidi" w:cstheme="majorBidi"/>
          <w14:ligatures w14:val="standardContextual"/>
        </w:rPr>
        <w:t>Pēc k</w:t>
      </w:r>
      <w:r w:rsidR="003D6819" w:rsidRPr="0018516E">
        <w:rPr>
          <w:rFonts w:asciiTheme="majorBidi" w:eastAsia="Calibri" w:hAnsiTheme="majorBidi" w:cstheme="majorBidi"/>
          <w14:ligatures w14:val="standardContextual"/>
        </w:rPr>
        <w:t>asācijas sūdzības iesniedzēja</w:t>
      </w:r>
      <w:r w:rsidR="002247BD" w:rsidRPr="0018516E">
        <w:rPr>
          <w:rFonts w:asciiTheme="majorBidi" w:eastAsia="Calibri" w:hAnsiTheme="majorBidi" w:cstheme="majorBidi"/>
          <w14:ligatures w14:val="standardContextual"/>
        </w:rPr>
        <w:t>s</w:t>
      </w:r>
      <w:r w:rsidR="003D6819" w:rsidRPr="0018516E">
        <w:rPr>
          <w:rFonts w:asciiTheme="majorBidi" w:eastAsia="Calibri" w:hAnsiTheme="majorBidi" w:cstheme="majorBidi"/>
          <w14:ligatures w14:val="standardContextual"/>
        </w:rPr>
        <w:t xml:space="preserve"> </w:t>
      </w:r>
      <w:r w:rsidR="002247BD" w:rsidRPr="0018516E">
        <w:rPr>
          <w:rFonts w:asciiTheme="majorBidi" w:eastAsia="Calibri" w:hAnsiTheme="majorBidi" w:cstheme="majorBidi"/>
          <w14:ligatures w14:val="standardContextual"/>
        </w:rPr>
        <w:t xml:space="preserve">domām </w:t>
      </w:r>
      <w:r w:rsidR="00B02FB3" w:rsidRPr="0018516E">
        <w:rPr>
          <w:rFonts w:asciiTheme="majorBidi" w:eastAsia="Calibri" w:hAnsiTheme="majorBidi" w:cstheme="majorBidi"/>
          <w14:ligatures w14:val="standardContextual"/>
        </w:rPr>
        <w:t>apelācijas instances</w:t>
      </w:r>
      <w:r w:rsidR="003D6819" w:rsidRPr="0018516E">
        <w:rPr>
          <w:rFonts w:asciiTheme="majorBidi" w:eastAsia="Calibri" w:hAnsiTheme="majorBidi" w:cstheme="majorBidi"/>
          <w14:ligatures w14:val="standardContextual"/>
        </w:rPr>
        <w:t xml:space="preserve"> tiesa ir </w:t>
      </w:r>
      <w:r w:rsidR="00B02FB3" w:rsidRPr="0018516E">
        <w:rPr>
          <w:rFonts w:asciiTheme="majorBidi" w:eastAsia="Calibri" w:hAnsiTheme="majorBidi" w:cstheme="majorBidi"/>
          <w14:ligatures w14:val="standardContextual"/>
        </w:rPr>
        <w:t xml:space="preserve">kļūdījusies, nosakot </w:t>
      </w:r>
      <w:r w:rsidR="003D6819" w:rsidRPr="0018516E">
        <w:rPr>
          <w:rFonts w:asciiTheme="majorBidi" w:eastAsia="Calibri" w:hAnsiTheme="majorBidi" w:cstheme="majorBidi"/>
          <w14:ligatures w14:val="standardContextual"/>
        </w:rPr>
        <w:t>prasītājas apstrīdētajam kapitāla daļu pirkuma līgumam</w:t>
      </w:r>
      <w:r w:rsidR="00F95E82" w:rsidRPr="0018516E">
        <w:rPr>
          <w:rFonts w:asciiTheme="majorBidi" w:eastAsia="Calibri" w:hAnsiTheme="majorBidi" w:cstheme="majorBidi"/>
          <w14:ligatures w14:val="standardContextual"/>
        </w:rPr>
        <w:t xml:space="preserve"> piemērojam</w:t>
      </w:r>
      <w:r w:rsidR="00C84FEA" w:rsidRPr="0018516E">
        <w:rPr>
          <w:rFonts w:asciiTheme="majorBidi" w:eastAsia="Calibri" w:hAnsiTheme="majorBidi" w:cstheme="majorBidi"/>
          <w14:ligatures w14:val="standardContextual"/>
        </w:rPr>
        <w:t>os</w:t>
      </w:r>
      <w:r w:rsidR="00F95E82" w:rsidRPr="0018516E">
        <w:rPr>
          <w:rFonts w:asciiTheme="majorBidi" w:eastAsia="Calibri" w:hAnsiTheme="majorBidi" w:cstheme="majorBidi"/>
          <w14:ligatures w14:val="standardContextual"/>
        </w:rPr>
        <w:t xml:space="preserve"> tiesīb</w:t>
      </w:r>
      <w:r w:rsidR="00C84FEA" w:rsidRPr="0018516E">
        <w:rPr>
          <w:rFonts w:asciiTheme="majorBidi" w:eastAsia="Calibri" w:hAnsiTheme="majorBidi" w:cstheme="majorBidi"/>
          <w14:ligatures w14:val="standardContextual"/>
        </w:rPr>
        <w:t>u aktus</w:t>
      </w:r>
      <w:r w:rsidR="00A6797C" w:rsidRPr="0018516E">
        <w:rPr>
          <w:rFonts w:asciiTheme="majorBidi" w:eastAsia="Calibri" w:hAnsiTheme="majorBidi" w:cstheme="majorBidi"/>
          <w14:ligatures w14:val="standardContextual"/>
        </w:rPr>
        <w:t xml:space="preserve"> jeb piemērojamo likumu</w:t>
      </w:r>
      <w:r w:rsidR="003D6819" w:rsidRPr="0018516E">
        <w:rPr>
          <w:rFonts w:asciiTheme="majorBidi" w:eastAsia="Calibri" w:hAnsiTheme="majorBidi" w:cstheme="majorBidi"/>
          <w14:ligatures w14:val="standardContextual"/>
        </w:rPr>
        <w:t xml:space="preserve">. </w:t>
      </w:r>
    </w:p>
    <w:p w14:paraId="1E1189A8" w14:textId="0D84C734" w:rsidR="003D6819" w:rsidRPr="0018516E" w:rsidRDefault="00B02FB3" w:rsidP="0018516E">
      <w:pPr>
        <w:spacing w:line="276" w:lineRule="auto"/>
        <w:ind w:firstLine="709"/>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 xml:space="preserve">Tiesa </w:t>
      </w:r>
      <w:r w:rsidR="00F62066" w:rsidRPr="0018516E">
        <w:rPr>
          <w:rFonts w:asciiTheme="majorBidi" w:eastAsia="Calibri" w:hAnsiTheme="majorBidi" w:cstheme="majorBidi"/>
          <w14:ligatures w14:val="standardContextual"/>
        </w:rPr>
        <w:t>konstatējusi</w:t>
      </w:r>
      <w:r w:rsidR="003D6819" w:rsidRPr="0018516E">
        <w:rPr>
          <w:rFonts w:asciiTheme="majorBidi" w:eastAsia="Calibri" w:hAnsiTheme="majorBidi" w:cstheme="majorBidi"/>
          <w14:ligatures w14:val="standardContextual"/>
        </w:rPr>
        <w:t>, ka izskatāmajā lietā ir pārrobežu elements, jo</w:t>
      </w:r>
      <w:r w:rsidR="009047A4" w:rsidRPr="0018516E">
        <w:rPr>
          <w:rFonts w:asciiTheme="majorBidi" w:eastAsia="Calibri" w:hAnsiTheme="majorBidi" w:cstheme="majorBidi"/>
          <w14:ligatures w14:val="standardContextual"/>
        </w:rPr>
        <w:t xml:space="preserve"> pastāv</w:t>
      </w:r>
      <w:r w:rsidR="003D6819" w:rsidRPr="0018516E">
        <w:rPr>
          <w:rFonts w:asciiTheme="majorBidi" w:eastAsia="Calibri" w:hAnsiTheme="majorBidi" w:cstheme="majorBidi"/>
          <w14:ligatures w14:val="standardContextual"/>
        </w:rPr>
        <w:t xml:space="preserve"> strīds starp divām kapitālsabiedrībām, no kurām prasītāja reģistrēta Igaunijā, bet atbildētāja – Latvijā. </w:t>
      </w:r>
      <w:r w:rsidR="004C2D6F" w:rsidRPr="0018516E">
        <w:rPr>
          <w:rFonts w:asciiTheme="majorBidi" w:eastAsia="Calibri" w:hAnsiTheme="majorBidi" w:cstheme="majorBidi"/>
          <w14:ligatures w14:val="standardContextual"/>
        </w:rPr>
        <w:t>Tāpat t</w:t>
      </w:r>
      <w:r w:rsidR="003D6819" w:rsidRPr="0018516E">
        <w:rPr>
          <w:rFonts w:asciiTheme="majorBidi" w:eastAsia="Calibri" w:hAnsiTheme="majorBidi" w:cstheme="majorBidi"/>
          <w14:ligatures w14:val="standardContextual"/>
        </w:rPr>
        <w:t xml:space="preserve">iesa </w:t>
      </w:r>
      <w:r w:rsidR="003D6387" w:rsidRPr="0018516E">
        <w:rPr>
          <w:rFonts w:asciiTheme="majorBidi" w:eastAsia="Calibri" w:hAnsiTheme="majorBidi" w:cstheme="majorBidi"/>
          <w14:ligatures w14:val="standardContextual"/>
        </w:rPr>
        <w:t>konstatējusi</w:t>
      </w:r>
      <w:r w:rsidR="003D6819" w:rsidRPr="0018516E">
        <w:rPr>
          <w:rFonts w:asciiTheme="majorBidi" w:eastAsia="Calibri" w:hAnsiTheme="majorBidi" w:cstheme="majorBidi"/>
          <w14:ligatures w14:val="standardContextual"/>
        </w:rPr>
        <w:t xml:space="preserve">, ka </w:t>
      </w:r>
      <w:r w:rsidR="003D6387" w:rsidRPr="0018516E">
        <w:rPr>
          <w:rFonts w:asciiTheme="majorBidi" w:eastAsia="Calibri" w:hAnsiTheme="majorBidi" w:cstheme="majorBidi"/>
          <w14:ligatures w14:val="standardContextual"/>
        </w:rPr>
        <w:t xml:space="preserve">prasītāju, kura prasa atzīt par dāvinājumu kapitāla daļu pirkuma līgumu starp prasītāju un atbildētāju, </w:t>
      </w:r>
      <w:r w:rsidR="003D6819" w:rsidRPr="0018516E">
        <w:rPr>
          <w:rFonts w:asciiTheme="majorBidi" w:eastAsia="Calibri" w:hAnsiTheme="majorBidi" w:cstheme="majorBidi"/>
          <w14:ligatures w14:val="standardContextual"/>
        </w:rPr>
        <w:t>nesaista līgumattiecība</w:t>
      </w:r>
      <w:r w:rsidR="003D6387" w:rsidRPr="0018516E">
        <w:rPr>
          <w:rFonts w:asciiTheme="majorBidi" w:eastAsia="Calibri" w:hAnsiTheme="majorBidi" w:cstheme="majorBidi"/>
          <w14:ligatures w14:val="standardContextual"/>
        </w:rPr>
        <w:t xml:space="preserve">s ar atbildētāju. </w:t>
      </w:r>
      <w:r w:rsidRPr="0018516E">
        <w:rPr>
          <w:rFonts w:asciiTheme="majorBidi" w:eastAsia="Calibri" w:hAnsiTheme="majorBidi" w:cstheme="majorBidi"/>
          <w14:ligatures w14:val="standardContextual"/>
        </w:rPr>
        <w:t xml:space="preserve">Spriedumā </w:t>
      </w:r>
      <w:r w:rsidR="00F62066" w:rsidRPr="0018516E">
        <w:rPr>
          <w:rFonts w:asciiTheme="majorBidi" w:eastAsia="Calibri" w:hAnsiTheme="majorBidi" w:cstheme="majorBidi"/>
          <w14:ligatures w14:val="standardContextual"/>
        </w:rPr>
        <w:t>norādīts</w:t>
      </w:r>
      <w:r w:rsidR="003D6387" w:rsidRPr="0018516E">
        <w:rPr>
          <w:rFonts w:asciiTheme="majorBidi" w:eastAsia="Calibri" w:hAnsiTheme="majorBidi" w:cstheme="majorBidi"/>
          <w14:ligatures w14:val="standardContextual"/>
        </w:rPr>
        <w:t>, ka tiesiskajai attiecībai starp prasītāju un atbildētāju, kura ieguvusi kapitāla daļas, piemērojam</w:t>
      </w:r>
      <w:r w:rsidR="002247BD" w:rsidRPr="0018516E">
        <w:rPr>
          <w:rFonts w:asciiTheme="majorBidi" w:eastAsia="Calibri" w:hAnsiTheme="majorBidi" w:cstheme="majorBidi"/>
          <w14:ligatures w14:val="standardContextual"/>
        </w:rPr>
        <w:t>s</w:t>
      </w:r>
      <w:r w:rsidR="003D6387" w:rsidRPr="0018516E">
        <w:rPr>
          <w:rFonts w:asciiTheme="majorBidi" w:eastAsia="Calibri" w:hAnsiTheme="majorBidi" w:cstheme="majorBidi"/>
          <w14:ligatures w14:val="standardContextual"/>
        </w:rPr>
        <w:t xml:space="preserve"> </w:t>
      </w:r>
      <w:r w:rsidR="00F95E82" w:rsidRPr="0018516E">
        <w:rPr>
          <w:rFonts w:asciiTheme="majorBidi" w:hAnsiTheme="majorBidi" w:cstheme="majorBidi"/>
          <w:lang w:eastAsia="lv-LV"/>
        </w:rPr>
        <w:t>Eiropas Parlamenta un Padomes regula</w:t>
      </w:r>
      <w:r w:rsidR="00F62066" w:rsidRPr="0018516E">
        <w:rPr>
          <w:rFonts w:asciiTheme="majorBidi" w:hAnsiTheme="majorBidi" w:cstheme="majorBidi"/>
          <w:lang w:eastAsia="lv-LV"/>
        </w:rPr>
        <w:t>s</w:t>
      </w:r>
      <w:r w:rsidR="00F95E82" w:rsidRPr="0018516E">
        <w:rPr>
          <w:rFonts w:asciiTheme="majorBidi" w:hAnsiTheme="majorBidi" w:cstheme="majorBidi"/>
          <w:lang w:eastAsia="lv-LV"/>
        </w:rPr>
        <w:t xml:space="preserve"> (EK) Nr. 864/2007 par tiesību aktiem, kas piemērojami </w:t>
      </w:r>
      <w:proofErr w:type="spellStart"/>
      <w:r w:rsidR="00F95E82" w:rsidRPr="0018516E">
        <w:rPr>
          <w:rFonts w:asciiTheme="majorBidi" w:hAnsiTheme="majorBidi" w:cstheme="majorBidi"/>
          <w:lang w:eastAsia="lv-LV"/>
        </w:rPr>
        <w:t>ārpuslīgumiskām</w:t>
      </w:r>
      <w:proofErr w:type="spellEnd"/>
      <w:r w:rsidR="00F95E82" w:rsidRPr="0018516E">
        <w:rPr>
          <w:rFonts w:asciiTheme="majorBidi" w:hAnsiTheme="majorBidi" w:cstheme="majorBidi"/>
          <w:lang w:eastAsia="lv-LV"/>
        </w:rPr>
        <w:t xml:space="preserve"> saistībām (turpmāk arī  – Roma</w:t>
      </w:r>
      <w:r w:rsidR="00707F9A" w:rsidRPr="0018516E">
        <w:rPr>
          <w:rFonts w:asciiTheme="majorBidi" w:hAnsiTheme="majorBidi" w:cstheme="majorBidi"/>
          <w:lang w:eastAsia="lv-LV"/>
        </w:rPr>
        <w:t> </w:t>
      </w:r>
      <w:r w:rsidR="00F95E82" w:rsidRPr="0018516E">
        <w:rPr>
          <w:rFonts w:asciiTheme="majorBidi" w:hAnsiTheme="majorBidi" w:cstheme="majorBidi"/>
          <w:lang w:eastAsia="lv-LV"/>
        </w:rPr>
        <w:t>II regula)</w:t>
      </w:r>
      <w:r w:rsidRPr="0018516E">
        <w:rPr>
          <w:rFonts w:asciiTheme="majorBidi" w:hAnsiTheme="majorBidi" w:cstheme="majorBidi"/>
          <w:lang w:eastAsia="lv-LV"/>
        </w:rPr>
        <w:t>, </w:t>
      </w:r>
      <w:r w:rsidR="003D6387" w:rsidRPr="0018516E">
        <w:rPr>
          <w:rFonts w:asciiTheme="majorBidi" w:eastAsia="Calibri" w:hAnsiTheme="majorBidi" w:cstheme="majorBidi"/>
          <w14:ligatures w14:val="standardContextual"/>
        </w:rPr>
        <w:t xml:space="preserve">4. panta 1. punkts. Kā </w:t>
      </w:r>
      <w:r w:rsidR="00F62066" w:rsidRPr="0018516E">
        <w:rPr>
          <w:rFonts w:asciiTheme="majorBidi" w:eastAsia="Calibri" w:hAnsiTheme="majorBidi" w:cstheme="majorBidi"/>
          <w14:ligatures w14:val="standardContextual"/>
        </w:rPr>
        <w:t>atzinusi</w:t>
      </w:r>
      <w:r w:rsidR="003D6387" w:rsidRPr="0018516E">
        <w:rPr>
          <w:rFonts w:asciiTheme="majorBidi" w:eastAsia="Calibri" w:hAnsiTheme="majorBidi" w:cstheme="majorBidi"/>
          <w14:ligatures w14:val="standardContextual"/>
        </w:rPr>
        <w:t xml:space="preserve"> tiesa, tad</w:t>
      </w:r>
      <w:r w:rsidR="00F95E82" w:rsidRPr="0018516E">
        <w:rPr>
          <w:rFonts w:asciiTheme="majorBidi" w:eastAsia="Calibri" w:hAnsiTheme="majorBidi" w:cstheme="majorBidi"/>
          <w14:ligatures w14:val="standardContextual"/>
        </w:rPr>
        <w:t xml:space="preserve"> </w:t>
      </w:r>
      <w:r w:rsidR="003D6387" w:rsidRPr="0018516E">
        <w:rPr>
          <w:rFonts w:asciiTheme="majorBidi" w:eastAsia="Calibri" w:hAnsiTheme="majorBidi" w:cstheme="majorBidi"/>
          <w14:ligatures w14:val="standardContextual"/>
        </w:rPr>
        <w:t>Roma</w:t>
      </w:r>
      <w:r w:rsidR="00707F9A" w:rsidRPr="0018516E">
        <w:rPr>
          <w:rFonts w:asciiTheme="majorBidi" w:eastAsia="Calibri" w:hAnsiTheme="majorBidi" w:cstheme="majorBidi"/>
          <w14:ligatures w14:val="standardContextual"/>
        </w:rPr>
        <w:t> </w:t>
      </w:r>
      <w:r w:rsidR="003D6387" w:rsidRPr="0018516E">
        <w:rPr>
          <w:rFonts w:asciiTheme="majorBidi" w:eastAsia="Calibri" w:hAnsiTheme="majorBidi" w:cstheme="majorBidi"/>
          <w14:ligatures w14:val="standardContextual"/>
        </w:rPr>
        <w:t xml:space="preserve">II regulas normas izpratnē vieta, kurā prasītājai radies kaitējums, ir Latvija, jo dāvana atrodas un ir dāvināta Latvijā, </w:t>
      </w:r>
      <w:r w:rsidR="00F95E82" w:rsidRPr="0018516E">
        <w:rPr>
          <w:rFonts w:asciiTheme="majorBidi" w:eastAsia="Calibri" w:hAnsiTheme="majorBidi" w:cstheme="majorBidi"/>
          <w14:ligatures w14:val="standardContextual"/>
        </w:rPr>
        <w:t>tādēļ</w:t>
      </w:r>
      <w:r w:rsidR="003D6387" w:rsidRPr="0018516E">
        <w:rPr>
          <w:rFonts w:asciiTheme="majorBidi" w:eastAsia="Calibri" w:hAnsiTheme="majorBidi" w:cstheme="majorBidi"/>
          <w14:ligatures w14:val="standardContextual"/>
        </w:rPr>
        <w:t xml:space="preserve"> jautājumus par atbildētājas pienākumu apmierināt prasītājas prasījumus regulē Latvijas likum</w:t>
      </w:r>
      <w:r w:rsidR="00487044" w:rsidRPr="0018516E">
        <w:rPr>
          <w:rFonts w:asciiTheme="majorBidi" w:eastAsia="Calibri" w:hAnsiTheme="majorBidi" w:cstheme="majorBidi"/>
          <w14:ligatures w14:val="standardContextual"/>
        </w:rPr>
        <w:t>s</w:t>
      </w:r>
      <w:r w:rsidR="003D6387" w:rsidRPr="0018516E">
        <w:rPr>
          <w:rFonts w:asciiTheme="majorBidi" w:eastAsia="Calibri" w:hAnsiTheme="majorBidi" w:cstheme="majorBidi"/>
          <w14:ligatures w14:val="standardContextual"/>
        </w:rPr>
        <w:t xml:space="preserve">. </w:t>
      </w:r>
    </w:p>
    <w:p w14:paraId="6086D278" w14:textId="0D99267D" w:rsidR="00E72B45" w:rsidRPr="0018516E" w:rsidRDefault="002247BD" w:rsidP="0018516E">
      <w:pPr>
        <w:spacing w:line="276" w:lineRule="auto"/>
        <w:ind w:firstLine="709"/>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Savukārt k</w:t>
      </w:r>
      <w:r w:rsidR="00AC104E" w:rsidRPr="0018516E">
        <w:rPr>
          <w:rFonts w:asciiTheme="majorBidi" w:eastAsia="Calibri" w:hAnsiTheme="majorBidi" w:cstheme="majorBidi"/>
          <w14:ligatures w14:val="standardContextual"/>
        </w:rPr>
        <w:t xml:space="preserve">asācijas sūdzības iesniedzējas ieskatā </w:t>
      </w:r>
      <w:r w:rsidR="009047A4" w:rsidRPr="0018516E">
        <w:rPr>
          <w:rFonts w:asciiTheme="majorBidi" w:eastAsia="Calibri" w:hAnsiTheme="majorBidi" w:cstheme="majorBidi"/>
          <w14:ligatures w14:val="standardContextual"/>
        </w:rPr>
        <w:t xml:space="preserve">prasība acīmredzami attiecas uz līgumsaistībām, ja reiz prasītāja ar tiesas starpniecību faktiski lūdz pirkuma līgumu atzīt par dāvinājumu. Pēc kasācijas sūdzības iesniedzējas domām </w:t>
      </w:r>
      <w:r w:rsidR="00E72B45" w:rsidRPr="0018516E">
        <w:rPr>
          <w:rFonts w:asciiTheme="majorBidi" w:eastAsia="Calibri" w:hAnsiTheme="majorBidi" w:cstheme="majorBidi"/>
          <w14:ligatures w14:val="standardContextual"/>
        </w:rPr>
        <w:t>2016. gada 8. septembrī Rīgā noslēgtajam līgumam saskaņā ar</w:t>
      </w:r>
      <w:r w:rsidR="00B02FB3" w:rsidRPr="0018516E">
        <w:rPr>
          <w:rFonts w:asciiTheme="majorBidi" w:eastAsia="Calibri" w:hAnsiTheme="majorBidi" w:cstheme="majorBidi"/>
          <w14:ligatures w14:val="standardContextual"/>
        </w:rPr>
        <w:t xml:space="preserve"> Eiropas Parlamenta un Padomes Regulas (EK) Nr. 593/2008 par tiesību aktiem, kas piemērojami līgumsaistībām (turpmāk – Roma</w:t>
      </w:r>
      <w:r w:rsidR="00707F9A" w:rsidRPr="0018516E">
        <w:rPr>
          <w:rFonts w:asciiTheme="majorBidi" w:eastAsia="Calibri" w:hAnsiTheme="majorBidi" w:cstheme="majorBidi"/>
          <w14:ligatures w14:val="standardContextual"/>
        </w:rPr>
        <w:t> </w:t>
      </w:r>
      <w:r w:rsidR="00B02FB3" w:rsidRPr="0018516E">
        <w:rPr>
          <w:rFonts w:asciiTheme="majorBidi" w:eastAsia="Calibri" w:hAnsiTheme="majorBidi" w:cstheme="majorBidi"/>
          <w14:ligatures w14:val="standardContextual"/>
        </w:rPr>
        <w:t>I regula), </w:t>
      </w:r>
      <w:r w:rsidR="00E72B45" w:rsidRPr="0018516E">
        <w:rPr>
          <w:rFonts w:asciiTheme="majorBidi" w:eastAsia="Calibri" w:hAnsiTheme="majorBidi" w:cstheme="majorBidi"/>
          <w14:ligatures w14:val="standardContextual"/>
        </w:rPr>
        <w:t xml:space="preserve">4. panta 2. punktu </w:t>
      </w:r>
      <w:r w:rsidR="00970C10" w:rsidRPr="0018516E">
        <w:rPr>
          <w:rFonts w:asciiTheme="majorBidi" w:eastAsia="Calibri" w:hAnsiTheme="majorBidi" w:cstheme="majorBidi"/>
          <w14:ligatures w14:val="standardContextual"/>
        </w:rPr>
        <w:t xml:space="preserve">esot </w:t>
      </w:r>
      <w:r w:rsidR="00E72B45" w:rsidRPr="0018516E">
        <w:rPr>
          <w:rFonts w:asciiTheme="majorBidi" w:eastAsia="Calibri" w:hAnsiTheme="majorBidi" w:cstheme="majorBidi"/>
          <w14:ligatures w14:val="standardContextual"/>
        </w:rPr>
        <w:t>bijis jāpiemēro Apvienotās Karalistes likums, jo kapitāla daļu pārdevēja</w:t>
      </w:r>
      <w:r w:rsidR="00F35552" w:rsidRPr="0018516E">
        <w:rPr>
          <w:rFonts w:asciiTheme="majorBidi" w:eastAsia="Calibri" w:hAnsiTheme="majorBidi" w:cstheme="majorBidi"/>
          <w14:ligatures w14:val="standardContextual"/>
        </w:rPr>
        <w:t>s</w:t>
      </w:r>
      <w:r w:rsidR="00707F9A" w:rsidRPr="0018516E">
        <w:rPr>
          <w:rFonts w:asciiTheme="majorBidi" w:eastAsia="Calibri" w:hAnsiTheme="majorBidi" w:cstheme="majorBidi"/>
          <w14:ligatures w14:val="standardContextual"/>
        </w:rPr>
        <w:t>,</w:t>
      </w:r>
      <w:r w:rsidR="00F35552" w:rsidRPr="0018516E">
        <w:rPr>
          <w:rFonts w:asciiTheme="majorBidi" w:eastAsia="Calibri" w:hAnsiTheme="majorBidi" w:cstheme="majorBidi"/>
          <w14:ligatures w14:val="standardContextual"/>
        </w:rPr>
        <w:t xml:space="preserve"> proti, sabiedrības,</w:t>
      </w:r>
      <w:r w:rsidR="00707F9A" w:rsidRPr="0018516E">
        <w:rPr>
          <w:rFonts w:asciiTheme="majorBidi" w:eastAsia="Calibri" w:hAnsiTheme="majorBidi" w:cstheme="majorBidi"/>
          <w14:ligatures w14:val="standardContextual"/>
        </w:rPr>
        <w:t xml:space="preserve"> </w:t>
      </w:r>
      <w:r w:rsidR="002A4BA3" w:rsidRPr="0018516E">
        <w:rPr>
          <w:rFonts w:asciiTheme="majorBidi" w:eastAsia="Calibri" w:hAnsiTheme="majorBidi" w:cstheme="majorBidi"/>
          <w14:ligatures w14:val="standardContextual"/>
        </w:rPr>
        <w:t>kura</w:t>
      </w:r>
      <w:r w:rsidR="00707F9A" w:rsidRPr="0018516E">
        <w:rPr>
          <w:rFonts w:asciiTheme="majorBidi" w:eastAsia="Calibri" w:hAnsiTheme="majorBidi" w:cstheme="majorBidi"/>
          <w14:ligatures w14:val="standardContextual"/>
        </w:rPr>
        <w:t xml:space="preserve"> vei</w:t>
      </w:r>
      <w:r w:rsidR="00F35552" w:rsidRPr="0018516E">
        <w:rPr>
          <w:rFonts w:asciiTheme="majorBidi" w:eastAsia="Calibri" w:hAnsiTheme="majorBidi" w:cstheme="majorBidi"/>
          <w14:ligatures w14:val="standardContextual"/>
        </w:rPr>
        <w:t>kusi</w:t>
      </w:r>
      <w:r w:rsidR="00707F9A" w:rsidRPr="0018516E">
        <w:rPr>
          <w:rFonts w:asciiTheme="majorBidi" w:eastAsia="Calibri" w:hAnsiTheme="majorBidi" w:cstheme="majorBidi"/>
          <w14:ligatures w14:val="standardContextual"/>
        </w:rPr>
        <w:t xml:space="preserve"> līgumam raksturīgo izpildījumu,</w:t>
      </w:r>
      <w:r w:rsidR="00E72B45" w:rsidRPr="0018516E">
        <w:rPr>
          <w:rFonts w:asciiTheme="majorBidi" w:eastAsia="Calibri" w:hAnsiTheme="majorBidi" w:cstheme="majorBidi"/>
          <w14:ligatures w14:val="standardContextual"/>
        </w:rPr>
        <w:t xml:space="preserve"> pastāvīgā mītnesvieta ir Britu Virdžīnu salas. Ja </w:t>
      </w:r>
      <w:r w:rsidR="009047A4" w:rsidRPr="0018516E">
        <w:rPr>
          <w:rFonts w:asciiTheme="majorBidi" w:eastAsia="Calibri" w:hAnsiTheme="majorBidi" w:cstheme="majorBidi"/>
          <w14:ligatures w14:val="standardContextual"/>
        </w:rPr>
        <w:t>savukārt</w:t>
      </w:r>
      <w:r w:rsidR="00E72B45" w:rsidRPr="0018516E">
        <w:rPr>
          <w:rFonts w:asciiTheme="majorBidi" w:eastAsia="Calibri" w:hAnsiTheme="majorBidi" w:cstheme="majorBidi"/>
          <w14:ligatures w14:val="standardContextual"/>
        </w:rPr>
        <w:t xml:space="preserve"> pieņemtu, ka lietā piemērojamais likums nosakāms atbilstoši Roma</w:t>
      </w:r>
      <w:r w:rsidR="00707F9A" w:rsidRPr="0018516E">
        <w:rPr>
          <w:rFonts w:asciiTheme="majorBidi" w:eastAsia="Calibri" w:hAnsiTheme="majorBidi" w:cstheme="majorBidi"/>
          <w14:ligatures w14:val="standardContextual"/>
        </w:rPr>
        <w:t> </w:t>
      </w:r>
      <w:r w:rsidR="00E72B45" w:rsidRPr="0018516E">
        <w:rPr>
          <w:rFonts w:asciiTheme="majorBidi" w:eastAsia="Calibri" w:hAnsiTheme="majorBidi" w:cstheme="majorBidi"/>
          <w14:ligatures w14:val="standardContextual"/>
        </w:rPr>
        <w:t>II regulai, tiesai</w:t>
      </w:r>
      <w:r w:rsidR="009047A4" w:rsidRPr="0018516E">
        <w:rPr>
          <w:rFonts w:asciiTheme="majorBidi" w:eastAsia="Calibri" w:hAnsiTheme="majorBidi" w:cstheme="majorBidi"/>
          <w14:ligatures w14:val="standardContextual"/>
        </w:rPr>
        <w:t xml:space="preserve">, kā norādīts </w:t>
      </w:r>
      <w:r w:rsidR="00E72B45" w:rsidRPr="0018516E">
        <w:rPr>
          <w:rFonts w:asciiTheme="majorBidi" w:eastAsia="Calibri" w:hAnsiTheme="majorBidi" w:cstheme="majorBidi"/>
          <w14:ligatures w14:val="standardContextual"/>
        </w:rPr>
        <w:t>kasācijas s</w:t>
      </w:r>
      <w:r w:rsidR="009047A4" w:rsidRPr="0018516E">
        <w:rPr>
          <w:rFonts w:asciiTheme="majorBidi" w:eastAsia="Calibri" w:hAnsiTheme="majorBidi" w:cstheme="majorBidi"/>
          <w14:ligatures w14:val="standardContextual"/>
        </w:rPr>
        <w:t>ūdzībā,</w:t>
      </w:r>
      <w:r w:rsidR="00E72B45" w:rsidRPr="0018516E">
        <w:rPr>
          <w:rFonts w:asciiTheme="majorBidi" w:eastAsia="Calibri" w:hAnsiTheme="majorBidi" w:cstheme="majorBidi"/>
          <w14:ligatures w14:val="standardContextual"/>
        </w:rPr>
        <w:t xml:space="preserve"> saskaņā ar minētās regulas 4. panta 1. punktu </w:t>
      </w:r>
      <w:r w:rsidR="002A4BA3" w:rsidRPr="0018516E">
        <w:rPr>
          <w:rFonts w:asciiTheme="majorBidi" w:eastAsia="Calibri" w:hAnsiTheme="majorBidi" w:cstheme="majorBidi"/>
          <w14:ligatures w14:val="standardContextual"/>
        </w:rPr>
        <w:t>bija jāpiemēro</w:t>
      </w:r>
      <w:r w:rsidR="00E72B45" w:rsidRPr="0018516E">
        <w:rPr>
          <w:rFonts w:asciiTheme="majorBidi" w:eastAsia="Calibri" w:hAnsiTheme="majorBidi" w:cstheme="majorBidi"/>
          <w14:ligatures w14:val="standardContextual"/>
        </w:rPr>
        <w:t xml:space="preserve"> Igaunijas likum</w:t>
      </w:r>
      <w:r w:rsidR="00970C10" w:rsidRPr="0018516E">
        <w:rPr>
          <w:rFonts w:asciiTheme="majorBidi" w:eastAsia="Calibri" w:hAnsiTheme="majorBidi" w:cstheme="majorBidi"/>
          <w14:ligatures w14:val="standardContextual"/>
        </w:rPr>
        <w:t>s</w:t>
      </w:r>
      <w:r w:rsidR="00E72B45" w:rsidRPr="0018516E">
        <w:rPr>
          <w:rFonts w:asciiTheme="majorBidi" w:eastAsia="Calibri" w:hAnsiTheme="majorBidi" w:cstheme="majorBidi"/>
          <w14:ligatures w14:val="standardContextual"/>
        </w:rPr>
        <w:t xml:space="preserve">, jo </w:t>
      </w:r>
      <w:r w:rsidR="003D6819" w:rsidRPr="0018516E">
        <w:rPr>
          <w:rFonts w:asciiTheme="majorBidi" w:eastAsia="Calibri" w:hAnsiTheme="majorBidi" w:cstheme="majorBidi"/>
          <w14:ligatures w14:val="standardContextual"/>
        </w:rPr>
        <w:t>prasītāja</w:t>
      </w:r>
      <w:r w:rsidR="002A4BA3" w:rsidRPr="0018516E">
        <w:rPr>
          <w:rFonts w:asciiTheme="majorBidi" w:eastAsia="Calibri" w:hAnsiTheme="majorBidi" w:cstheme="majorBidi"/>
          <w14:ligatures w14:val="standardContextual"/>
        </w:rPr>
        <w:t>s</w:t>
      </w:r>
      <w:r w:rsidR="003D6819" w:rsidRPr="0018516E">
        <w:rPr>
          <w:rFonts w:asciiTheme="majorBidi" w:eastAsia="Calibri" w:hAnsiTheme="majorBidi" w:cstheme="majorBidi"/>
          <w14:ligatures w14:val="standardContextual"/>
        </w:rPr>
        <w:t xml:space="preserve"> kā </w:t>
      </w:r>
      <w:r w:rsidR="00C10757" w:rsidRPr="0018516E">
        <w:rPr>
          <w:rFonts w:asciiTheme="majorBidi" w:eastAsia="Calibri" w:hAnsiTheme="majorBidi" w:cstheme="majorBidi"/>
          <w14:ligatures w14:val="standardContextual"/>
        </w:rPr>
        <w:t>minētajā Eiropas Savienības dalībvalstī</w:t>
      </w:r>
      <w:r w:rsidR="003D6819" w:rsidRPr="0018516E">
        <w:rPr>
          <w:rFonts w:asciiTheme="majorBidi" w:eastAsia="Calibri" w:hAnsiTheme="majorBidi" w:cstheme="majorBidi"/>
          <w14:ligatures w14:val="standardContextual"/>
        </w:rPr>
        <w:t xml:space="preserve"> reģistrēta komersanta mantas apmērs, nespējot saņemt sava prasījuma apmierinājumu, varējis sarukt tikai Igaunijā. </w:t>
      </w:r>
    </w:p>
    <w:p w14:paraId="3A877A84" w14:textId="09D845A3" w:rsidR="00E72B45" w:rsidRPr="0018516E" w:rsidRDefault="003D6387" w:rsidP="0018516E">
      <w:pPr>
        <w:spacing w:line="276" w:lineRule="auto"/>
        <w:ind w:firstLine="709"/>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 xml:space="preserve">Tātad </w:t>
      </w:r>
      <w:r w:rsidR="002247BD" w:rsidRPr="0018516E">
        <w:rPr>
          <w:rFonts w:asciiTheme="majorBidi" w:eastAsia="Calibri" w:hAnsiTheme="majorBidi" w:cstheme="majorBidi"/>
          <w14:ligatures w14:val="standardContextual"/>
        </w:rPr>
        <w:t xml:space="preserve">kasācijas sūdzības iesniedzēja lietu uzskata par izspriestu nepareizi tādēļ, ka tiesa </w:t>
      </w:r>
      <w:r w:rsidR="000B0C99" w:rsidRPr="0018516E">
        <w:rPr>
          <w:rFonts w:asciiTheme="majorBidi" w:eastAsia="Calibri" w:hAnsiTheme="majorBidi" w:cstheme="majorBidi"/>
          <w14:ligatures w14:val="standardContextual"/>
        </w:rPr>
        <w:t xml:space="preserve">izskatāmajā lietā </w:t>
      </w:r>
      <w:r w:rsidR="002247BD" w:rsidRPr="0018516E">
        <w:rPr>
          <w:rFonts w:asciiTheme="majorBidi" w:eastAsia="Calibri" w:hAnsiTheme="majorBidi" w:cstheme="majorBidi"/>
          <w14:ligatures w14:val="standardContextual"/>
        </w:rPr>
        <w:t xml:space="preserve">piemērojusi Latvijas </w:t>
      </w:r>
      <w:r w:rsidR="009047A4" w:rsidRPr="0018516E">
        <w:rPr>
          <w:rFonts w:asciiTheme="majorBidi" w:eastAsia="Calibri" w:hAnsiTheme="majorBidi" w:cstheme="majorBidi"/>
          <w14:ligatures w14:val="standardContextual"/>
        </w:rPr>
        <w:t>likumu</w:t>
      </w:r>
      <w:r w:rsidR="00A53368" w:rsidRPr="0018516E">
        <w:rPr>
          <w:rFonts w:asciiTheme="majorBidi" w:eastAsia="Calibri" w:hAnsiTheme="majorBidi" w:cstheme="majorBidi"/>
          <w14:ligatures w14:val="standardContextual"/>
        </w:rPr>
        <w:t xml:space="preserve">. </w:t>
      </w:r>
    </w:p>
    <w:p w14:paraId="55AD2102" w14:textId="77777777" w:rsidR="00AC104E" w:rsidRPr="0018516E" w:rsidRDefault="00AC104E" w:rsidP="0018516E">
      <w:pPr>
        <w:spacing w:line="276" w:lineRule="auto"/>
        <w:jc w:val="both"/>
        <w:rPr>
          <w:rFonts w:asciiTheme="majorBidi" w:eastAsia="Calibri" w:hAnsiTheme="majorBidi" w:cstheme="majorBidi"/>
          <w14:ligatures w14:val="standardContextual"/>
        </w:rPr>
      </w:pPr>
    </w:p>
    <w:p w14:paraId="13C726D0" w14:textId="10C39430" w:rsidR="00AB158F" w:rsidRPr="0018516E" w:rsidRDefault="00F95E82" w:rsidP="0018516E">
      <w:pPr>
        <w:spacing w:line="276" w:lineRule="auto"/>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ab/>
        <w:t>[</w:t>
      </w:r>
      <w:r w:rsidR="00A53368" w:rsidRPr="0018516E">
        <w:rPr>
          <w:rFonts w:asciiTheme="majorBidi" w:eastAsia="Calibri" w:hAnsiTheme="majorBidi" w:cstheme="majorBidi"/>
          <w14:ligatures w14:val="standardContextual"/>
        </w:rPr>
        <w:t>4</w:t>
      </w:r>
      <w:r w:rsidRPr="0018516E">
        <w:rPr>
          <w:rFonts w:asciiTheme="majorBidi" w:eastAsia="Calibri" w:hAnsiTheme="majorBidi" w:cstheme="majorBidi"/>
          <w14:ligatures w14:val="standardContextual"/>
        </w:rPr>
        <w:t>]</w:t>
      </w:r>
      <w:r w:rsidR="00A56D71" w:rsidRPr="0018516E">
        <w:rPr>
          <w:rFonts w:asciiTheme="majorBidi" w:eastAsia="Calibri" w:hAnsiTheme="majorBidi" w:cstheme="majorBidi"/>
          <w14:ligatures w14:val="standardContextual"/>
        </w:rPr>
        <w:t> </w:t>
      </w:r>
      <w:r w:rsidR="009047A4" w:rsidRPr="0018516E">
        <w:rPr>
          <w:rFonts w:asciiTheme="majorBidi" w:eastAsia="Calibri" w:hAnsiTheme="majorBidi" w:cstheme="majorBidi"/>
          <w14:ligatures w14:val="standardContextual"/>
        </w:rPr>
        <w:t>Vispārīgi var piekrist tam, ka lietas dalībnieka pastāvīgā mītnesvieta citur Eiropas Savienībā vai arī konkrēt</w:t>
      </w:r>
      <w:r w:rsidR="003F7497" w:rsidRPr="0018516E">
        <w:rPr>
          <w:rFonts w:asciiTheme="majorBidi" w:eastAsia="Calibri" w:hAnsiTheme="majorBidi" w:cstheme="majorBidi"/>
          <w14:ligatures w14:val="standardContextual"/>
        </w:rPr>
        <w:t>a</w:t>
      </w:r>
      <w:r w:rsidR="009047A4" w:rsidRPr="0018516E">
        <w:rPr>
          <w:rFonts w:asciiTheme="majorBidi" w:eastAsia="Calibri" w:hAnsiTheme="majorBidi" w:cstheme="majorBidi"/>
          <w14:ligatures w14:val="standardContextual"/>
        </w:rPr>
        <w:t xml:space="preserve"> dalībvalst</w:t>
      </w:r>
      <w:r w:rsidR="003F7497" w:rsidRPr="0018516E">
        <w:rPr>
          <w:rFonts w:asciiTheme="majorBidi" w:eastAsia="Calibri" w:hAnsiTheme="majorBidi" w:cstheme="majorBidi"/>
          <w14:ligatures w14:val="standardContextual"/>
        </w:rPr>
        <w:t>s kā kaitējuma rašanās vieta</w:t>
      </w:r>
      <w:r w:rsidR="009047A4" w:rsidRPr="0018516E">
        <w:rPr>
          <w:rFonts w:asciiTheme="majorBidi" w:eastAsia="Calibri" w:hAnsiTheme="majorBidi" w:cstheme="majorBidi"/>
          <w14:ligatures w14:val="standardContextual"/>
        </w:rPr>
        <w:t xml:space="preserve"> var būt faktori, kam ir nozīme, tiesai nosakot lietā piemērojam</w:t>
      </w:r>
      <w:r w:rsidR="003F7497" w:rsidRPr="0018516E">
        <w:rPr>
          <w:rFonts w:asciiTheme="majorBidi" w:eastAsia="Calibri" w:hAnsiTheme="majorBidi" w:cstheme="majorBidi"/>
          <w14:ligatures w14:val="standardContextual"/>
        </w:rPr>
        <w:t>os</w:t>
      </w:r>
      <w:r w:rsidR="009047A4" w:rsidRPr="0018516E">
        <w:rPr>
          <w:rFonts w:asciiTheme="majorBidi" w:eastAsia="Calibri" w:hAnsiTheme="majorBidi" w:cstheme="majorBidi"/>
          <w14:ligatures w14:val="standardContextual"/>
        </w:rPr>
        <w:t xml:space="preserve"> tiesīb</w:t>
      </w:r>
      <w:r w:rsidR="003F7497" w:rsidRPr="0018516E">
        <w:rPr>
          <w:rFonts w:asciiTheme="majorBidi" w:eastAsia="Calibri" w:hAnsiTheme="majorBidi" w:cstheme="majorBidi"/>
          <w14:ligatures w14:val="standardContextual"/>
        </w:rPr>
        <w:t>u aktus</w:t>
      </w:r>
      <w:r w:rsidR="009047A4" w:rsidRPr="0018516E">
        <w:rPr>
          <w:rFonts w:asciiTheme="majorBidi" w:eastAsia="Calibri" w:hAnsiTheme="majorBidi" w:cstheme="majorBidi"/>
          <w14:ligatures w14:val="standardContextual"/>
        </w:rPr>
        <w:t xml:space="preserve">. </w:t>
      </w:r>
      <w:r w:rsidR="00A53368" w:rsidRPr="0018516E">
        <w:rPr>
          <w:rFonts w:asciiTheme="majorBidi" w:eastAsia="Calibri" w:hAnsiTheme="majorBidi" w:cstheme="majorBidi"/>
          <w14:ligatures w14:val="standardContextual"/>
        </w:rPr>
        <w:t>Senatoru kolēģija turpmāk norādīto iemeslu dēļu atzīst, ka izskatāmās lietas tiesiskajos un faktiskajos apstākļos līgumsaistību neesība starp pusēm, uz kuru norādījusi tiesa, nav šķērslis tam, lai lietā piemērojamo likumu noteiktu saskaņā ar tiesību aktiem, kas attiecas uz līgumsaistībām.</w:t>
      </w:r>
      <w:r w:rsidR="00432FF5" w:rsidRPr="0018516E">
        <w:rPr>
          <w:rFonts w:asciiTheme="majorBidi" w:eastAsia="Calibri" w:hAnsiTheme="majorBidi" w:cstheme="majorBidi"/>
          <w14:ligatures w14:val="standardContextual"/>
        </w:rPr>
        <w:t xml:space="preserve"> </w:t>
      </w:r>
    </w:p>
    <w:p w14:paraId="4A160824" w14:textId="47662F40" w:rsidR="0089487B" w:rsidRPr="0018516E" w:rsidRDefault="003E795B"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[4.1]</w:t>
      </w:r>
      <w:r w:rsidR="00970C10" w:rsidRPr="0018516E">
        <w:rPr>
          <w:rFonts w:asciiTheme="majorBidi" w:eastAsia="Calibri" w:hAnsiTheme="majorBidi" w:cstheme="majorBidi"/>
          <w14:ligatures w14:val="standardContextual"/>
        </w:rPr>
        <w:t> </w:t>
      </w:r>
      <w:r w:rsidR="00A87082" w:rsidRPr="0018516E">
        <w:rPr>
          <w:rFonts w:asciiTheme="majorBidi" w:eastAsia="Calibri" w:hAnsiTheme="majorBidi" w:cstheme="majorBidi"/>
          <w14:ligatures w14:val="standardContextual"/>
        </w:rPr>
        <w:t xml:space="preserve">Raksturojot darījumus, kas noslēgti par ļaunu kreditoriem, Senāts ir </w:t>
      </w:r>
      <w:r w:rsidR="00755F9E" w:rsidRPr="0018516E">
        <w:rPr>
          <w:rFonts w:asciiTheme="majorBidi" w:eastAsia="Calibri" w:hAnsiTheme="majorBidi" w:cstheme="majorBidi"/>
          <w14:ligatures w14:val="standardContextual"/>
        </w:rPr>
        <w:t>uzsvēris</w:t>
      </w:r>
      <w:r w:rsidR="00A87082" w:rsidRPr="0018516E">
        <w:rPr>
          <w:rFonts w:asciiTheme="majorBidi" w:eastAsia="Calibri" w:hAnsiTheme="majorBidi" w:cstheme="majorBidi"/>
          <w14:ligatures w14:val="standardContextual"/>
        </w:rPr>
        <w:t>, ka strīdos par izvairīšanos no saistību izpildes apstrīdēto darījumu dalībnieku mērķis ir tieši ietekmēt nākotnē paredzamu tiesisko seku iestāšanos, pēc iespējas apgrūtinot vai pat padarot par neiespējamu kreditora prasījumu apmierināšanu no parādnieka mantas (sk. </w:t>
      </w:r>
      <w:r w:rsidR="00A87082" w:rsidRPr="0018516E">
        <w:rPr>
          <w:rFonts w:asciiTheme="majorBidi" w:eastAsia="Calibri" w:hAnsiTheme="majorBidi" w:cstheme="majorBidi"/>
          <w:i/>
          <w:iCs/>
          <w14:ligatures w14:val="standardContextual"/>
        </w:rPr>
        <w:t>Senāta 2018. gada 28. maija sprieduma lietā Nr. SKC-82/2018, ECLI:LV:AT:2018:0528.C04219514.1.S, 7.1. punktu</w:t>
      </w:r>
      <w:r w:rsidR="00A87082" w:rsidRPr="0018516E">
        <w:rPr>
          <w:rFonts w:asciiTheme="majorBidi" w:eastAsia="Calibri" w:hAnsiTheme="majorBidi" w:cstheme="majorBidi"/>
          <w14:ligatures w14:val="standardContextual"/>
        </w:rPr>
        <w:t xml:space="preserve">). </w:t>
      </w:r>
    </w:p>
    <w:p w14:paraId="301B21CC" w14:textId="12FCFA48" w:rsidR="007F1EF8" w:rsidRPr="0018516E" w:rsidRDefault="007F1EF8"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lastRenderedPageBreak/>
        <w:t>Izskatāmajā lietā prasītāja apstrīdējusi</w:t>
      </w:r>
      <w:r w:rsidR="00E95695" w:rsidRPr="0018516E">
        <w:rPr>
          <w:rFonts w:asciiTheme="majorBidi" w:eastAsia="Calibri" w:hAnsiTheme="majorBidi" w:cstheme="majorBidi"/>
          <w14:ligatures w14:val="standardContextual"/>
        </w:rPr>
        <w:t xml:space="preserve"> kapitāla daļu</w:t>
      </w:r>
      <w:r w:rsidRPr="0018516E">
        <w:rPr>
          <w:rFonts w:asciiTheme="majorBidi" w:eastAsia="Calibri" w:hAnsiTheme="majorBidi" w:cstheme="majorBidi"/>
          <w14:ligatures w14:val="standardContextual"/>
        </w:rPr>
        <w:t xml:space="preserve"> pirkuma līgumu</w:t>
      </w:r>
      <w:r w:rsidR="00E95695" w:rsidRPr="0018516E">
        <w:rPr>
          <w:rFonts w:asciiTheme="majorBidi" w:eastAsia="Calibri" w:hAnsiTheme="majorBidi" w:cstheme="majorBidi"/>
          <w14:ligatures w14:val="standardContextual"/>
        </w:rPr>
        <w:t xml:space="preserve">, </w:t>
      </w:r>
      <w:r w:rsidRPr="0018516E">
        <w:rPr>
          <w:rFonts w:asciiTheme="majorBidi" w:eastAsia="Calibri" w:hAnsiTheme="majorBidi" w:cstheme="majorBidi"/>
          <w14:ligatures w14:val="standardContextual"/>
        </w:rPr>
        <w:t>uzskat</w:t>
      </w:r>
      <w:r w:rsidR="00DB74B3" w:rsidRPr="0018516E">
        <w:rPr>
          <w:rFonts w:asciiTheme="majorBidi" w:eastAsia="Calibri" w:hAnsiTheme="majorBidi" w:cstheme="majorBidi"/>
          <w14:ligatures w14:val="standardContextual"/>
        </w:rPr>
        <w:t>īdama</w:t>
      </w:r>
      <w:r w:rsidRPr="0018516E">
        <w:rPr>
          <w:rFonts w:asciiTheme="majorBidi" w:eastAsia="Calibri" w:hAnsiTheme="majorBidi" w:cstheme="majorBidi"/>
          <w14:ligatures w14:val="standardContextual"/>
        </w:rPr>
        <w:t>, ka</w:t>
      </w:r>
      <w:r w:rsidR="00E95695" w:rsidRPr="0018516E">
        <w:rPr>
          <w:rFonts w:asciiTheme="majorBidi" w:eastAsia="Calibri" w:hAnsiTheme="majorBidi" w:cstheme="majorBidi"/>
          <w14:ligatures w14:val="standardContextual"/>
        </w:rPr>
        <w:t xml:space="preserve"> aiz </w:t>
      </w:r>
      <w:r w:rsidR="00B83854" w:rsidRPr="0018516E">
        <w:rPr>
          <w:rFonts w:asciiTheme="majorBidi" w:eastAsia="Calibri" w:hAnsiTheme="majorBidi" w:cstheme="majorBidi"/>
          <w14:ligatures w14:val="standardContextual"/>
        </w:rPr>
        <w:t xml:space="preserve">tā </w:t>
      </w:r>
      <w:r w:rsidR="00E95695" w:rsidRPr="0018516E">
        <w:rPr>
          <w:rFonts w:asciiTheme="majorBidi" w:eastAsia="Calibri" w:hAnsiTheme="majorBidi" w:cstheme="majorBidi"/>
          <w14:ligatures w14:val="standardContextual"/>
        </w:rPr>
        <w:t xml:space="preserve">apslēpts prasītājai par ļaunu noslēgts dāvinājuma līgums, </w:t>
      </w:r>
      <w:r w:rsidR="006804F9" w:rsidRPr="0018516E">
        <w:rPr>
          <w:rFonts w:asciiTheme="majorBidi" w:eastAsia="Calibri" w:hAnsiTheme="majorBidi" w:cstheme="majorBidi"/>
          <w14:ligatures w14:val="standardContextual"/>
        </w:rPr>
        <w:t>uz kura pamata</w:t>
      </w:r>
      <w:r w:rsidR="00E95695" w:rsidRPr="0018516E">
        <w:rPr>
          <w:rFonts w:asciiTheme="majorBidi" w:eastAsia="Calibri" w:hAnsiTheme="majorBidi" w:cstheme="majorBidi"/>
          <w14:ligatures w14:val="standardContextual"/>
        </w:rPr>
        <w:t xml:space="preserve"> atbildētāja minētās daļas ieguvusi no prasītājas parādnieces. </w:t>
      </w:r>
      <w:r w:rsidRPr="0018516E">
        <w:rPr>
          <w:rFonts w:asciiTheme="majorBidi" w:eastAsia="Calibri" w:hAnsiTheme="majorBidi" w:cstheme="majorBidi"/>
          <w14:ligatures w14:val="standardContextual"/>
        </w:rPr>
        <w:t xml:space="preserve">Turklāt ar Stokholmas Tirdzniecības palātas šķīrējtiesas institūta spriedumu atzītās prasījuma tiesības, kas prasītājai ir pret </w:t>
      </w:r>
      <w:r w:rsidR="006804F9" w:rsidRPr="0018516E">
        <w:rPr>
          <w:rFonts w:asciiTheme="majorBidi" w:eastAsia="Calibri" w:hAnsiTheme="majorBidi" w:cstheme="majorBidi"/>
          <w14:ligatures w14:val="standardContextual"/>
        </w:rPr>
        <w:t xml:space="preserve">tās </w:t>
      </w:r>
      <w:r w:rsidRPr="0018516E">
        <w:rPr>
          <w:rFonts w:asciiTheme="majorBidi" w:eastAsia="Calibri" w:hAnsiTheme="majorBidi" w:cstheme="majorBidi"/>
          <w14:ligatures w14:val="standardContextual"/>
        </w:rPr>
        <w:t xml:space="preserve">parādnieci, izriet no viņu abu savstarpēji noslēgta līguma. </w:t>
      </w:r>
    </w:p>
    <w:p w14:paraId="0BAA8F36" w14:textId="184F7630" w:rsidR="00E0068B" w:rsidRPr="0018516E" w:rsidRDefault="00CA404B"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[4.2]</w:t>
      </w:r>
      <w:r w:rsidR="00970C10" w:rsidRPr="0018516E">
        <w:rPr>
          <w:rFonts w:asciiTheme="majorBidi" w:eastAsia="Calibri" w:hAnsiTheme="majorBidi" w:cstheme="majorBidi"/>
          <w14:ligatures w14:val="standardContextual"/>
        </w:rPr>
        <w:t> </w:t>
      </w:r>
      <w:r w:rsidR="00387216" w:rsidRPr="0018516E">
        <w:rPr>
          <w:rFonts w:asciiTheme="majorBidi" w:eastAsia="Calibri" w:hAnsiTheme="majorBidi" w:cstheme="majorBidi"/>
          <w14:ligatures w14:val="standardContextual"/>
        </w:rPr>
        <w:t xml:space="preserve">Ievērojot to, ka Eiropas Savienības dalībvalstīs nepastāv vienota līgumisko un </w:t>
      </w:r>
      <w:proofErr w:type="spellStart"/>
      <w:r w:rsidR="00387216" w:rsidRPr="0018516E">
        <w:rPr>
          <w:rFonts w:asciiTheme="majorBidi" w:eastAsia="Calibri" w:hAnsiTheme="majorBidi" w:cstheme="majorBidi"/>
          <w14:ligatures w14:val="standardContextual"/>
        </w:rPr>
        <w:t>ārpuslīgumisko</w:t>
      </w:r>
      <w:proofErr w:type="spellEnd"/>
      <w:r w:rsidR="00387216" w:rsidRPr="0018516E">
        <w:rPr>
          <w:rFonts w:asciiTheme="majorBidi" w:eastAsia="Calibri" w:hAnsiTheme="majorBidi" w:cstheme="majorBidi"/>
          <w14:ligatures w14:val="standardContextual"/>
        </w:rPr>
        <w:t xml:space="preserve"> saistību jēdzienu izpratne, Roma</w:t>
      </w:r>
      <w:r w:rsidR="00970C10" w:rsidRPr="0018516E">
        <w:rPr>
          <w:rFonts w:asciiTheme="majorBidi" w:eastAsia="Calibri" w:hAnsiTheme="majorBidi" w:cstheme="majorBidi"/>
          <w14:ligatures w14:val="standardContextual"/>
        </w:rPr>
        <w:t> </w:t>
      </w:r>
      <w:r w:rsidR="00387216" w:rsidRPr="0018516E">
        <w:rPr>
          <w:rFonts w:asciiTheme="majorBidi" w:eastAsia="Calibri" w:hAnsiTheme="majorBidi" w:cstheme="majorBidi"/>
          <w14:ligatures w14:val="standardContextual"/>
        </w:rPr>
        <w:t>I regulā un Roma</w:t>
      </w:r>
      <w:r w:rsidR="00970C10" w:rsidRPr="0018516E">
        <w:rPr>
          <w:rFonts w:asciiTheme="majorBidi" w:eastAsia="Calibri" w:hAnsiTheme="majorBidi" w:cstheme="majorBidi"/>
          <w14:ligatures w14:val="standardContextual"/>
        </w:rPr>
        <w:t> </w:t>
      </w:r>
      <w:r w:rsidR="00387216" w:rsidRPr="0018516E">
        <w:rPr>
          <w:rFonts w:asciiTheme="majorBidi" w:eastAsia="Calibri" w:hAnsiTheme="majorBidi" w:cstheme="majorBidi"/>
          <w14:ligatures w14:val="standardContextual"/>
        </w:rPr>
        <w:t>II regulā ietvertie jēdzieni „līgumsaistības” un „</w:t>
      </w:r>
      <w:proofErr w:type="spellStart"/>
      <w:r w:rsidR="00387216" w:rsidRPr="0018516E">
        <w:rPr>
          <w:rFonts w:asciiTheme="majorBidi" w:eastAsia="Calibri" w:hAnsiTheme="majorBidi" w:cstheme="majorBidi"/>
          <w14:ligatures w14:val="standardContextual"/>
        </w:rPr>
        <w:t>ārpuslīgumiskas</w:t>
      </w:r>
      <w:proofErr w:type="spellEnd"/>
      <w:r w:rsidR="00387216" w:rsidRPr="0018516E">
        <w:rPr>
          <w:rFonts w:asciiTheme="majorBidi" w:eastAsia="Calibri" w:hAnsiTheme="majorBidi" w:cstheme="majorBidi"/>
          <w14:ligatures w14:val="standardContextual"/>
        </w:rPr>
        <w:t xml:space="preserve"> saistības” ir jāinterpretē autonomi, pamatā atsaucoties uz šo regulu sistēmu un mērķiem (sk. </w:t>
      </w:r>
      <w:r w:rsidR="00387216" w:rsidRPr="0018516E">
        <w:rPr>
          <w:rFonts w:asciiTheme="majorBidi" w:eastAsia="Calibri" w:hAnsiTheme="majorBidi" w:cstheme="majorBidi"/>
          <w:i/>
          <w:iCs/>
          <w14:ligatures w14:val="standardContextual"/>
        </w:rPr>
        <w:t>Eiropas Savienības Tiesas 2016.</w:t>
      </w:r>
      <w:r w:rsidR="00970C10" w:rsidRPr="0018516E">
        <w:rPr>
          <w:rFonts w:asciiTheme="majorBidi" w:eastAsia="Calibri" w:hAnsiTheme="majorBidi" w:cstheme="majorBidi"/>
          <w:i/>
          <w:iCs/>
          <w14:ligatures w14:val="standardContextual"/>
        </w:rPr>
        <w:t> </w:t>
      </w:r>
      <w:r w:rsidR="00387216" w:rsidRPr="0018516E">
        <w:rPr>
          <w:rFonts w:asciiTheme="majorBidi" w:eastAsia="Calibri" w:hAnsiTheme="majorBidi" w:cstheme="majorBidi"/>
          <w:i/>
          <w:iCs/>
          <w14:ligatures w14:val="standardContextual"/>
        </w:rPr>
        <w:t>gada 28.</w:t>
      </w:r>
      <w:r w:rsidR="00970C10" w:rsidRPr="0018516E">
        <w:rPr>
          <w:rFonts w:asciiTheme="majorBidi" w:eastAsia="Calibri" w:hAnsiTheme="majorBidi" w:cstheme="majorBidi"/>
          <w:i/>
          <w:iCs/>
          <w14:ligatures w14:val="standardContextual"/>
        </w:rPr>
        <w:t> </w:t>
      </w:r>
      <w:r w:rsidR="00387216" w:rsidRPr="0018516E">
        <w:rPr>
          <w:rFonts w:asciiTheme="majorBidi" w:eastAsia="Calibri" w:hAnsiTheme="majorBidi" w:cstheme="majorBidi"/>
          <w:i/>
          <w:iCs/>
          <w14:ligatures w14:val="standardContextual"/>
        </w:rPr>
        <w:t>jūlija sprieduma lietā „</w:t>
      </w:r>
      <w:proofErr w:type="spellStart"/>
      <w:r w:rsidR="00387216" w:rsidRPr="0018516E">
        <w:rPr>
          <w:rFonts w:asciiTheme="majorBidi" w:eastAsia="Calibri" w:hAnsiTheme="majorBidi" w:cstheme="majorBidi"/>
          <w:i/>
          <w:iCs/>
          <w14:ligatures w14:val="standardContextual"/>
        </w:rPr>
        <w:t>Verein</w:t>
      </w:r>
      <w:proofErr w:type="spellEnd"/>
      <w:r w:rsidR="00387216" w:rsidRPr="0018516E">
        <w:rPr>
          <w:rFonts w:asciiTheme="majorBidi" w:eastAsia="Calibri" w:hAnsiTheme="majorBidi" w:cstheme="majorBidi"/>
          <w:i/>
          <w:iCs/>
          <w14:ligatures w14:val="standardContextual"/>
        </w:rPr>
        <w:t xml:space="preserve"> </w:t>
      </w:r>
      <w:proofErr w:type="spellStart"/>
      <w:r w:rsidR="00387216" w:rsidRPr="0018516E">
        <w:rPr>
          <w:rFonts w:asciiTheme="majorBidi" w:eastAsia="Calibri" w:hAnsiTheme="majorBidi" w:cstheme="majorBidi"/>
          <w:i/>
          <w:iCs/>
          <w14:ligatures w14:val="standardContextual"/>
        </w:rPr>
        <w:t>für</w:t>
      </w:r>
      <w:proofErr w:type="spellEnd"/>
      <w:r w:rsidR="00387216" w:rsidRPr="0018516E">
        <w:rPr>
          <w:rFonts w:asciiTheme="majorBidi" w:eastAsia="Calibri" w:hAnsiTheme="majorBidi" w:cstheme="majorBidi"/>
          <w:i/>
          <w:iCs/>
          <w14:ligatures w14:val="standardContextual"/>
        </w:rPr>
        <w:t xml:space="preserve"> </w:t>
      </w:r>
      <w:proofErr w:type="spellStart"/>
      <w:r w:rsidR="00387216" w:rsidRPr="0018516E">
        <w:rPr>
          <w:rFonts w:asciiTheme="majorBidi" w:eastAsia="Calibri" w:hAnsiTheme="majorBidi" w:cstheme="majorBidi"/>
          <w:i/>
          <w:iCs/>
          <w14:ligatures w14:val="standardContextual"/>
        </w:rPr>
        <w:t>Konsumenteninformation</w:t>
      </w:r>
      <w:proofErr w:type="spellEnd"/>
      <w:r w:rsidR="00387216" w:rsidRPr="0018516E">
        <w:rPr>
          <w:rFonts w:asciiTheme="majorBidi" w:eastAsia="Calibri" w:hAnsiTheme="majorBidi" w:cstheme="majorBidi"/>
          <w:i/>
          <w:iCs/>
          <w14:ligatures w14:val="standardContextual"/>
        </w:rPr>
        <w:t>”, C-191/15, ECLI:EU:C:2016:612, 36. punktu</w:t>
      </w:r>
      <w:r w:rsidR="00387216" w:rsidRPr="0018516E">
        <w:rPr>
          <w:rFonts w:asciiTheme="majorBidi" w:eastAsia="Calibri" w:hAnsiTheme="majorBidi" w:cstheme="majorBidi"/>
          <w14:ligatures w14:val="standardContextual"/>
        </w:rPr>
        <w:t>).</w:t>
      </w:r>
    </w:p>
    <w:p w14:paraId="1D2C8B6B" w14:textId="6E9637FB" w:rsidR="00387216" w:rsidRPr="0018516E" w:rsidRDefault="00E0068B"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G</w:t>
      </w:r>
      <w:r w:rsidR="00387216" w:rsidRPr="0018516E">
        <w:rPr>
          <w:rFonts w:asciiTheme="majorBidi" w:eastAsia="Calibri" w:hAnsiTheme="majorBidi" w:cstheme="majorBidi"/>
          <w14:ligatures w14:val="standardContextual"/>
        </w:rPr>
        <w:t>an Roma I regulas preambulas 7. apsvērumā, gan Roma II regulas preambulas 7. apsvērumā</w:t>
      </w:r>
      <w:r w:rsidRPr="0018516E">
        <w:rPr>
          <w:rFonts w:asciiTheme="majorBidi" w:eastAsia="Calibri" w:hAnsiTheme="majorBidi" w:cstheme="majorBidi"/>
          <w14:ligatures w14:val="standardContextual"/>
        </w:rPr>
        <w:t xml:space="preserve"> norādīts</w:t>
      </w:r>
      <w:r w:rsidR="00387216" w:rsidRPr="0018516E">
        <w:rPr>
          <w:rFonts w:asciiTheme="majorBidi" w:eastAsia="Calibri" w:hAnsiTheme="majorBidi" w:cstheme="majorBidi"/>
          <w14:ligatures w14:val="standardContextual"/>
        </w:rPr>
        <w:t>,</w:t>
      </w:r>
      <w:r w:rsidRPr="0018516E">
        <w:rPr>
          <w:rFonts w:asciiTheme="majorBidi" w:eastAsia="Calibri" w:hAnsiTheme="majorBidi" w:cstheme="majorBidi"/>
          <w14:ligatures w14:val="standardContextual"/>
        </w:rPr>
        <w:t xml:space="preserve"> ka</w:t>
      </w:r>
      <w:r w:rsidR="00387216" w:rsidRPr="0018516E">
        <w:rPr>
          <w:rFonts w:asciiTheme="majorBidi" w:eastAsia="Calibri" w:hAnsiTheme="majorBidi" w:cstheme="majorBidi"/>
          <w14:ligatures w14:val="standardContextual"/>
        </w:rPr>
        <w:t xml:space="preserve"> šo regulu </w:t>
      </w:r>
      <w:proofErr w:type="spellStart"/>
      <w:r w:rsidR="00387216" w:rsidRPr="0018516E">
        <w:rPr>
          <w:rFonts w:asciiTheme="majorBidi" w:eastAsia="Calibri" w:hAnsiTheme="majorBidi" w:cstheme="majorBidi"/>
          <w14:ligatures w14:val="standardContextual"/>
        </w:rPr>
        <w:t>materiāltiesiskajai</w:t>
      </w:r>
      <w:proofErr w:type="spellEnd"/>
      <w:r w:rsidR="00387216" w:rsidRPr="0018516E">
        <w:rPr>
          <w:rFonts w:asciiTheme="majorBidi" w:eastAsia="Calibri" w:hAnsiTheme="majorBidi" w:cstheme="majorBidi"/>
          <w14:ligatures w14:val="standardContextual"/>
        </w:rPr>
        <w:t xml:space="preserve"> darbības jomai un noteikumiem vajadzētu būt saskanīgiem ar regulām par jurisdikcijas noteikšanu. Tas uzsvērts arī Eiropas Savienības Tiesas judikatūrā (sk. </w:t>
      </w:r>
      <w:r w:rsidR="00387216" w:rsidRPr="0018516E">
        <w:rPr>
          <w:rFonts w:asciiTheme="majorBidi" w:eastAsia="Calibri" w:hAnsiTheme="majorBidi" w:cstheme="majorBidi"/>
          <w:i/>
          <w:iCs/>
          <w14:ligatures w14:val="standardContextual"/>
        </w:rPr>
        <w:t>Eiropas Savienības Tiesas 2022.</w:t>
      </w:r>
      <w:r w:rsidR="00282E5C" w:rsidRPr="0018516E">
        <w:rPr>
          <w:rFonts w:asciiTheme="majorBidi" w:eastAsia="Calibri" w:hAnsiTheme="majorBidi" w:cstheme="majorBidi"/>
          <w:i/>
          <w:iCs/>
          <w14:ligatures w14:val="standardContextual"/>
        </w:rPr>
        <w:t> </w:t>
      </w:r>
      <w:r w:rsidR="00387216" w:rsidRPr="0018516E">
        <w:rPr>
          <w:rFonts w:asciiTheme="majorBidi" w:eastAsia="Calibri" w:hAnsiTheme="majorBidi" w:cstheme="majorBidi"/>
          <w:i/>
          <w:iCs/>
          <w14:ligatures w14:val="standardContextual"/>
        </w:rPr>
        <w:t xml:space="preserve">gada </w:t>
      </w:r>
      <w:r w:rsidR="00A56D71" w:rsidRPr="0018516E">
        <w:rPr>
          <w:rFonts w:asciiTheme="majorBidi" w:eastAsia="Calibri" w:hAnsiTheme="majorBidi" w:cstheme="majorBidi"/>
          <w:i/>
          <w:iCs/>
          <w14:ligatures w14:val="standardContextual"/>
        </w:rPr>
        <w:t>1</w:t>
      </w:r>
      <w:r w:rsidR="00387216" w:rsidRPr="0018516E">
        <w:rPr>
          <w:rFonts w:asciiTheme="majorBidi" w:eastAsia="Calibri" w:hAnsiTheme="majorBidi" w:cstheme="majorBidi"/>
          <w:i/>
          <w:iCs/>
          <w14:ligatures w14:val="standardContextual"/>
        </w:rPr>
        <w:t>0.</w:t>
      </w:r>
      <w:r w:rsidR="00282E5C" w:rsidRPr="0018516E">
        <w:rPr>
          <w:rFonts w:asciiTheme="majorBidi" w:eastAsia="Calibri" w:hAnsiTheme="majorBidi" w:cstheme="majorBidi"/>
          <w:i/>
          <w:iCs/>
          <w14:ligatures w14:val="standardContextual"/>
        </w:rPr>
        <w:t> </w:t>
      </w:r>
      <w:r w:rsidR="00387216" w:rsidRPr="0018516E">
        <w:rPr>
          <w:rFonts w:asciiTheme="majorBidi" w:eastAsia="Calibri" w:hAnsiTheme="majorBidi" w:cstheme="majorBidi"/>
          <w:i/>
          <w:iCs/>
          <w14:ligatures w14:val="standardContextual"/>
        </w:rPr>
        <w:t>februāra sprieduma lietā „</w:t>
      </w:r>
      <w:proofErr w:type="spellStart"/>
      <w:r w:rsidR="00387216" w:rsidRPr="0018516E">
        <w:rPr>
          <w:rFonts w:asciiTheme="majorBidi" w:eastAsia="Calibri" w:hAnsiTheme="majorBidi" w:cstheme="majorBidi"/>
          <w:i/>
          <w:iCs/>
          <w14:ligatures w14:val="standardContextual"/>
        </w:rPr>
        <w:t>ShareWood</w:t>
      </w:r>
      <w:proofErr w:type="spellEnd"/>
      <w:r w:rsidR="00387216" w:rsidRPr="0018516E">
        <w:rPr>
          <w:rFonts w:asciiTheme="majorBidi" w:eastAsia="Calibri" w:hAnsiTheme="majorBidi" w:cstheme="majorBidi"/>
          <w:i/>
          <w:iCs/>
          <w14:ligatures w14:val="standardContextual"/>
        </w:rPr>
        <w:t xml:space="preserve"> </w:t>
      </w:r>
      <w:proofErr w:type="spellStart"/>
      <w:r w:rsidR="00387216" w:rsidRPr="0018516E">
        <w:rPr>
          <w:rFonts w:asciiTheme="majorBidi" w:eastAsia="Calibri" w:hAnsiTheme="majorBidi" w:cstheme="majorBidi"/>
          <w:i/>
          <w:iCs/>
          <w14:ligatures w14:val="standardContextual"/>
        </w:rPr>
        <w:t>Switzerland</w:t>
      </w:r>
      <w:proofErr w:type="spellEnd"/>
      <w:r w:rsidR="00387216" w:rsidRPr="0018516E">
        <w:rPr>
          <w:rFonts w:asciiTheme="majorBidi" w:eastAsia="Calibri" w:hAnsiTheme="majorBidi" w:cstheme="majorBidi"/>
          <w:i/>
          <w:iCs/>
          <w14:ligatures w14:val="standardContextual"/>
        </w:rPr>
        <w:t>”, C-595/20, ECLI:EU:C:2022:86, 34.</w:t>
      </w:r>
      <w:r w:rsidR="00C94569" w:rsidRPr="0018516E">
        <w:rPr>
          <w:rFonts w:asciiTheme="majorBidi" w:eastAsia="Calibri" w:hAnsiTheme="majorBidi" w:cstheme="majorBidi"/>
          <w:i/>
          <w:iCs/>
          <w14:ligatures w14:val="standardContextual"/>
        </w:rPr>
        <w:t> </w:t>
      </w:r>
      <w:r w:rsidR="00387216" w:rsidRPr="0018516E">
        <w:rPr>
          <w:rFonts w:asciiTheme="majorBidi" w:eastAsia="Calibri" w:hAnsiTheme="majorBidi" w:cstheme="majorBidi"/>
          <w:i/>
          <w:iCs/>
          <w14:ligatures w14:val="standardContextual"/>
        </w:rPr>
        <w:t>punktu</w:t>
      </w:r>
      <w:r w:rsidR="00387216" w:rsidRPr="0018516E">
        <w:rPr>
          <w:rFonts w:asciiTheme="majorBidi" w:eastAsia="Calibri" w:hAnsiTheme="majorBidi" w:cstheme="majorBidi"/>
          <w14:ligatures w14:val="standardContextual"/>
        </w:rPr>
        <w:t xml:space="preserve">). </w:t>
      </w:r>
    </w:p>
    <w:p w14:paraId="03F20DF7" w14:textId="13EE78FE" w:rsidR="000618CA" w:rsidRPr="0018516E" w:rsidRDefault="000618CA"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 xml:space="preserve">Eiropas Savienības Tiesa </w:t>
      </w:r>
      <w:r w:rsidR="00956A21" w:rsidRPr="0018516E">
        <w:rPr>
          <w:rFonts w:asciiTheme="majorBidi" w:eastAsia="Calibri" w:hAnsiTheme="majorBidi" w:cstheme="majorBidi"/>
          <w14:ligatures w14:val="standardContextual"/>
        </w:rPr>
        <w:t xml:space="preserve">ir </w:t>
      </w:r>
      <w:r w:rsidRPr="0018516E">
        <w:rPr>
          <w:rFonts w:asciiTheme="majorBidi" w:eastAsia="Calibri" w:hAnsiTheme="majorBidi" w:cstheme="majorBidi"/>
          <w14:ligatures w14:val="standardContextual"/>
        </w:rPr>
        <w:t xml:space="preserve">atzinusi, ka </w:t>
      </w:r>
      <w:proofErr w:type="spellStart"/>
      <w:r w:rsidR="003D0BAC" w:rsidRPr="0018516E">
        <w:rPr>
          <w:rFonts w:asciiTheme="majorBidi" w:eastAsia="Calibri" w:hAnsiTheme="majorBidi" w:cstheme="majorBidi"/>
          <w:i/>
          <w:iCs/>
          <w14:ligatures w14:val="standardContextual"/>
        </w:rPr>
        <w:t>actio</w:t>
      </w:r>
      <w:proofErr w:type="spellEnd"/>
      <w:r w:rsidR="003D0BAC" w:rsidRPr="0018516E">
        <w:rPr>
          <w:rFonts w:asciiTheme="majorBidi" w:eastAsia="Calibri" w:hAnsiTheme="majorBidi" w:cstheme="majorBidi"/>
          <w:i/>
          <w:iCs/>
          <w14:ligatures w14:val="standardContextual"/>
        </w:rPr>
        <w:t xml:space="preserve"> </w:t>
      </w:r>
      <w:proofErr w:type="spellStart"/>
      <w:r w:rsidR="003D0BAC" w:rsidRPr="0018516E">
        <w:rPr>
          <w:rFonts w:asciiTheme="majorBidi" w:eastAsia="Calibri" w:hAnsiTheme="majorBidi" w:cstheme="majorBidi"/>
          <w:i/>
          <w:iCs/>
          <w14:ligatures w14:val="standardContextual"/>
        </w:rPr>
        <w:t>pauliana</w:t>
      </w:r>
      <w:proofErr w:type="spellEnd"/>
      <w:r w:rsidR="003D0BAC" w:rsidRPr="0018516E">
        <w:rPr>
          <w:rFonts w:asciiTheme="majorBidi" w:eastAsia="Calibri" w:hAnsiTheme="majorBidi" w:cstheme="majorBidi"/>
          <w14:ligatures w14:val="standardContextual"/>
        </w:rPr>
        <w:t xml:space="preserve">, </w:t>
      </w:r>
      <w:r w:rsidR="00956A21" w:rsidRPr="0018516E">
        <w:rPr>
          <w:rFonts w:asciiTheme="majorBidi" w:eastAsia="Calibri" w:hAnsiTheme="majorBidi" w:cstheme="majorBidi"/>
          <w14:ligatures w14:val="standardContextual"/>
        </w:rPr>
        <w:t>ja kreditors to cēlis pret atbildētāju, kuram parādnieks</w:t>
      </w:r>
      <w:r w:rsidR="00A53368" w:rsidRPr="0018516E">
        <w:rPr>
          <w:rFonts w:asciiTheme="majorBidi" w:eastAsia="Calibri" w:hAnsiTheme="majorBidi" w:cstheme="majorBidi"/>
          <w14:ligatures w14:val="standardContextual"/>
        </w:rPr>
        <w:t xml:space="preserve"> uz apstrīdētā līguma pamata</w:t>
      </w:r>
      <w:r w:rsidR="00956A21" w:rsidRPr="0018516E">
        <w:rPr>
          <w:rFonts w:asciiTheme="majorBidi" w:eastAsia="Calibri" w:hAnsiTheme="majorBidi" w:cstheme="majorBidi"/>
          <w14:ligatures w14:val="standardContextual"/>
        </w:rPr>
        <w:t xml:space="preserve"> nodevis mantu, </w:t>
      </w:r>
      <w:r w:rsidR="00AB5FB5" w:rsidRPr="0018516E">
        <w:rPr>
          <w:rFonts w:asciiTheme="majorBidi" w:eastAsia="Calibri" w:hAnsiTheme="majorBidi" w:cstheme="majorBidi"/>
          <w14:ligatures w14:val="standardContextual"/>
        </w:rPr>
        <w:t xml:space="preserve">tādējādi </w:t>
      </w:r>
      <w:r w:rsidR="00956A21" w:rsidRPr="0018516E">
        <w:rPr>
          <w:rFonts w:asciiTheme="majorBidi" w:eastAsia="Calibri" w:hAnsiTheme="majorBidi" w:cstheme="majorBidi"/>
          <w14:ligatures w14:val="standardContextual"/>
        </w:rPr>
        <w:t>kaitējot</w:t>
      </w:r>
      <w:r w:rsidR="00D10BAC" w:rsidRPr="0018516E">
        <w:rPr>
          <w:rFonts w:asciiTheme="majorBidi" w:eastAsia="Calibri" w:hAnsiTheme="majorBidi" w:cstheme="majorBidi"/>
          <w14:ligatures w14:val="standardContextual"/>
        </w:rPr>
        <w:t xml:space="preserve"> citā, proti,</w:t>
      </w:r>
      <w:r w:rsidR="00AB5FB5" w:rsidRPr="0018516E">
        <w:rPr>
          <w:rFonts w:asciiTheme="majorBidi" w:eastAsia="Calibri" w:hAnsiTheme="majorBidi" w:cstheme="majorBidi"/>
          <w14:ligatures w14:val="standardContextual"/>
        </w:rPr>
        <w:t xml:space="preserve"> parādnieka un kreditora </w:t>
      </w:r>
      <w:r w:rsidR="00D10BAC" w:rsidRPr="0018516E">
        <w:rPr>
          <w:rFonts w:asciiTheme="majorBidi" w:eastAsia="Calibri" w:hAnsiTheme="majorBidi" w:cstheme="majorBidi"/>
          <w14:ligatures w14:val="standardContextual"/>
        </w:rPr>
        <w:t>noslēgtā līgumā,</w:t>
      </w:r>
      <w:r w:rsidR="00AB5FB5" w:rsidRPr="0018516E">
        <w:rPr>
          <w:rFonts w:asciiTheme="majorBidi" w:eastAsia="Calibri" w:hAnsiTheme="majorBidi" w:cstheme="majorBidi"/>
          <w14:ligatures w14:val="standardContextual"/>
        </w:rPr>
        <w:t xml:space="preserve"> noteiktajām</w:t>
      </w:r>
      <w:r w:rsidR="00956A21" w:rsidRPr="0018516E">
        <w:rPr>
          <w:rFonts w:asciiTheme="majorBidi" w:eastAsia="Calibri" w:hAnsiTheme="majorBidi" w:cstheme="majorBidi"/>
          <w14:ligatures w14:val="standardContextual"/>
        </w:rPr>
        <w:t xml:space="preserve"> kreditora tiesībām</w:t>
      </w:r>
      <w:r w:rsidR="00AB5FB5" w:rsidRPr="0018516E">
        <w:rPr>
          <w:rFonts w:asciiTheme="majorBidi" w:eastAsia="Calibri" w:hAnsiTheme="majorBidi" w:cstheme="majorBidi"/>
          <w14:ligatures w14:val="standardContextual"/>
        </w:rPr>
        <w:t>,</w:t>
      </w:r>
      <w:r w:rsidRPr="0018516E">
        <w:rPr>
          <w:rFonts w:asciiTheme="majorBidi" w:eastAsia="Calibri" w:hAnsiTheme="majorBidi" w:cstheme="majorBidi"/>
          <w14:ligatures w14:val="standardContextual"/>
        </w:rPr>
        <w:t xml:space="preserve"> ir atzīstama par prasību „lietās, kas attiecas uz līgumiem” Eiropas Parlamenta un Padomes 2012. gada 12. decembra Regulā (ES) Nr. 1215/2012 par jurisdikciju un spriedumu atzīšanu un izpildi civillietās un komerclietās 7. panta 1. punkta „a” apakšpunkta izpratnē (sk.</w:t>
      </w:r>
      <w:r w:rsidR="00282E5C" w:rsidRPr="0018516E">
        <w:rPr>
          <w:rFonts w:asciiTheme="majorBidi" w:eastAsia="Calibri" w:hAnsiTheme="majorBidi" w:cstheme="majorBidi"/>
          <w14:ligatures w14:val="standardContextual"/>
        </w:rPr>
        <w:t xml:space="preserve"> </w:t>
      </w:r>
      <w:r w:rsidRPr="0018516E">
        <w:rPr>
          <w:rFonts w:asciiTheme="majorBidi" w:eastAsia="Calibri" w:hAnsiTheme="majorBidi" w:cstheme="majorBidi"/>
          <w:i/>
          <w:iCs/>
          <w14:ligatures w14:val="standardContextual"/>
        </w:rPr>
        <w:t>Eiropas Savienības Tiesas 2018. gada 4. oktobra sprieduma lietā „</w:t>
      </w:r>
      <w:proofErr w:type="spellStart"/>
      <w:r w:rsidRPr="0018516E">
        <w:rPr>
          <w:rFonts w:asciiTheme="majorBidi" w:eastAsia="Calibri" w:hAnsiTheme="majorBidi" w:cstheme="majorBidi"/>
          <w:i/>
          <w:iCs/>
          <w14:ligatures w14:val="standardContextual"/>
        </w:rPr>
        <w:t>Feniks</w:t>
      </w:r>
      <w:proofErr w:type="spellEnd"/>
      <w:r w:rsidRPr="0018516E">
        <w:rPr>
          <w:rFonts w:asciiTheme="majorBidi" w:eastAsia="Calibri" w:hAnsiTheme="majorBidi" w:cstheme="majorBidi"/>
          <w:i/>
          <w:iCs/>
          <w14:ligatures w14:val="standardContextual"/>
        </w:rPr>
        <w:t>”, C-337/17, ECLI:EU:C:2018:805,</w:t>
      </w:r>
      <w:r w:rsidR="00F81C24" w:rsidRPr="0018516E">
        <w:rPr>
          <w:rFonts w:asciiTheme="majorBidi" w:eastAsia="Calibri" w:hAnsiTheme="majorBidi" w:cstheme="majorBidi"/>
          <w:i/>
          <w:iCs/>
          <w14:ligatures w14:val="standardContextual"/>
        </w:rPr>
        <w:t xml:space="preserve"> 42.–</w:t>
      </w:r>
      <w:r w:rsidRPr="0018516E">
        <w:rPr>
          <w:rFonts w:asciiTheme="majorBidi" w:eastAsia="Calibri" w:hAnsiTheme="majorBidi" w:cstheme="majorBidi"/>
          <w:i/>
          <w:iCs/>
          <w14:ligatures w14:val="standardContextual"/>
        </w:rPr>
        <w:t>49. punktu</w:t>
      </w:r>
      <w:r w:rsidRPr="0018516E">
        <w:rPr>
          <w:rFonts w:asciiTheme="majorBidi" w:eastAsia="Calibri" w:hAnsiTheme="majorBidi" w:cstheme="majorBidi"/>
          <w14:ligatures w14:val="standardContextual"/>
        </w:rPr>
        <w:t xml:space="preserve">). </w:t>
      </w:r>
    </w:p>
    <w:p w14:paraId="4CC15FCF" w14:textId="0300E084" w:rsidR="00E64095" w:rsidRPr="0018516E" w:rsidRDefault="00E64095"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Senatoru kolēģija ņem vērā arī tiesību doktrīnā</w:t>
      </w:r>
      <w:r w:rsidR="00C8429E" w:rsidRPr="0018516E">
        <w:rPr>
          <w:rFonts w:asciiTheme="majorBidi" w:eastAsia="Calibri" w:hAnsiTheme="majorBidi" w:cstheme="majorBidi"/>
          <w14:ligatures w14:val="standardContextual"/>
        </w:rPr>
        <w:t xml:space="preserve"> attiecībā uz Roma I un Roma II</w:t>
      </w:r>
      <w:r w:rsidRPr="0018516E">
        <w:rPr>
          <w:rFonts w:asciiTheme="majorBidi" w:eastAsia="Calibri" w:hAnsiTheme="majorBidi" w:cstheme="majorBidi"/>
          <w14:ligatures w14:val="standardContextual"/>
        </w:rPr>
        <w:t xml:space="preserve"> </w:t>
      </w:r>
      <w:r w:rsidR="00C8429E" w:rsidRPr="0018516E">
        <w:rPr>
          <w:rFonts w:asciiTheme="majorBidi" w:eastAsia="Calibri" w:hAnsiTheme="majorBidi" w:cstheme="majorBidi"/>
          <w14:ligatures w14:val="standardContextual"/>
        </w:rPr>
        <w:t xml:space="preserve">regulām </w:t>
      </w:r>
      <w:r w:rsidRPr="0018516E">
        <w:rPr>
          <w:rFonts w:asciiTheme="majorBidi" w:eastAsia="Calibri" w:hAnsiTheme="majorBidi" w:cstheme="majorBidi"/>
          <w14:ligatures w14:val="standardContextual"/>
        </w:rPr>
        <w:t>izteikt</w:t>
      </w:r>
      <w:r w:rsidR="00C8429E" w:rsidRPr="0018516E">
        <w:rPr>
          <w:rFonts w:asciiTheme="majorBidi" w:eastAsia="Calibri" w:hAnsiTheme="majorBidi" w:cstheme="majorBidi"/>
          <w14:ligatures w14:val="standardContextual"/>
        </w:rPr>
        <w:t>ās</w:t>
      </w:r>
      <w:r w:rsidRPr="0018516E">
        <w:rPr>
          <w:rFonts w:asciiTheme="majorBidi" w:eastAsia="Calibri" w:hAnsiTheme="majorBidi" w:cstheme="majorBidi"/>
          <w14:ligatures w14:val="standardContextual"/>
        </w:rPr>
        <w:t xml:space="preserve"> atziņ</w:t>
      </w:r>
      <w:r w:rsidR="00C8429E" w:rsidRPr="0018516E">
        <w:rPr>
          <w:rFonts w:asciiTheme="majorBidi" w:eastAsia="Calibri" w:hAnsiTheme="majorBidi" w:cstheme="majorBidi"/>
          <w14:ligatures w14:val="standardContextual"/>
        </w:rPr>
        <w:t>as</w:t>
      </w:r>
      <w:r w:rsidRPr="0018516E">
        <w:rPr>
          <w:rFonts w:asciiTheme="majorBidi" w:eastAsia="Calibri" w:hAnsiTheme="majorBidi" w:cstheme="majorBidi"/>
          <w14:ligatures w14:val="standardContextual"/>
        </w:rPr>
        <w:t xml:space="preserve">, ka piemērojamie tiesību akti </w:t>
      </w:r>
      <w:proofErr w:type="spellStart"/>
      <w:r w:rsidRPr="0018516E">
        <w:rPr>
          <w:rFonts w:asciiTheme="majorBidi" w:eastAsia="Calibri" w:hAnsiTheme="majorBidi" w:cstheme="majorBidi"/>
          <w:i/>
          <w:iCs/>
          <w14:ligatures w14:val="standardContextual"/>
        </w:rPr>
        <w:t>actio</w:t>
      </w:r>
      <w:proofErr w:type="spellEnd"/>
      <w:r w:rsidRPr="0018516E">
        <w:rPr>
          <w:rFonts w:asciiTheme="majorBidi" w:eastAsia="Calibri" w:hAnsiTheme="majorBidi" w:cstheme="majorBidi"/>
          <w:i/>
          <w:iCs/>
          <w14:ligatures w14:val="standardContextual"/>
        </w:rPr>
        <w:t xml:space="preserve"> </w:t>
      </w:r>
      <w:proofErr w:type="spellStart"/>
      <w:r w:rsidRPr="0018516E">
        <w:rPr>
          <w:rFonts w:asciiTheme="majorBidi" w:eastAsia="Calibri" w:hAnsiTheme="majorBidi" w:cstheme="majorBidi"/>
          <w:i/>
          <w:iCs/>
          <w14:ligatures w14:val="standardContextual"/>
        </w:rPr>
        <w:t>pauliana</w:t>
      </w:r>
      <w:proofErr w:type="spellEnd"/>
      <w:r w:rsidRPr="0018516E">
        <w:rPr>
          <w:rFonts w:asciiTheme="majorBidi" w:eastAsia="Calibri" w:hAnsiTheme="majorBidi" w:cstheme="majorBidi"/>
          <w14:ligatures w14:val="standardContextual"/>
        </w:rPr>
        <w:t xml:space="preserve"> gadījumā nav nosakāmi saskaņā ar Roma II regulas noteikumiem un </w:t>
      </w:r>
      <w:r w:rsidR="00473943" w:rsidRPr="0018516E">
        <w:rPr>
          <w:rFonts w:asciiTheme="majorBidi" w:eastAsia="Calibri" w:hAnsiTheme="majorBidi" w:cstheme="majorBidi"/>
          <w14:ligatures w14:val="standardContextual"/>
        </w:rPr>
        <w:t>par piemērotāk</w:t>
      </w:r>
      <w:r w:rsidR="00AF1349" w:rsidRPr="0018516E">
        <w:rPr>
          <w:rFonts w:asciiTheme="majorBidi" w:eastAsia="Calibri" w:hAnsiTheme="majorBidi" w:cstheme="majorBidi"/>
          <w14:ligatures w14:val="standardContextual"/>
        </w:rPr>
        <w:t>u</w:t>
      </w:r>
      <w:r w:rsidR="00473943" w:rsidRPr="0018516E">
        <w:rPr>
          <w:rFonts w:asciiTheme="majorBidi" w:eastAsia="Calibri" w:hAnsiTheme="majorBidi" w:cstheme="majorBidi"/>
          <w14:ligatures w14:val="standardContextual"/>
        </w:rPr>
        <w:t xml:space="preserve"> </w:t>
      </w:r>
      <w:r w:rsidR="00282E5C" w:rsidRPr="0018516E">
        <w:rPr>
          <w:rFonts w:asciiTheme="majorBidi" w:eastAsia="Calibri" w:hAnsiTheme="majorBidi" w:cstheme="majorBidi"/>
          <w14:ligatures w14:val="standardContextual"/>
        </w:rPr>
        <w:t xml:space="preserve">šādām </w:t>
      </w:r>
      <w:r w:rsidR="00473943" w:rsidRPr="0018516E">
        <w:rPr>
          <w:rFonts w:asciiTheme="majorBidi" w:eastAsia="Calibri" w:hAnsiTheme="majorBidi" w:cstheme="majorBidi"/>
          <w14:ligatures w14:val="standardContextual"/>
        </w:rPr>
        <w:t xml:space="preserve">prasībām uzskatāma to </w:t>
      </w:r>
      <w:r w:rsidR="00AF1349" w:rsidRPr="0018516E">
        <w:rPr>
          <w:rFonts w:asciiTheme="majorBidi" w:eastAsia="Calibri" w:hAnsiTheme="majorBidi" w:cstheme="majorBidi"/>
          <w14:ligatures w14:val="standardContextual"/>
        </w:rPr>
        <w:t xml:space="preserve">līgumiska </w:t>
      </w:r>
      <w:r w:rsidR="001904C2" w:rsidRPr="0018516E">
        <w:rPr>
          <w:rFonts w:asciiTheme="majorBidi" w:eastAsia="Calibri" w:hAnsiTheme="majorBidi" w:cstheme="majorBidi"/>
          <w14:ligatures w14:val="standardContextual"/>
        </w:rPr>
        <w:t>kvalifikācija (</w:t>
      </w:r>
      <w:r w:rsidR="00202B72" w:rsidRPr="0018516E">
        <w:rPr>
          <w:rFonts w:asciiTheme="majorBidi" w:eastAsia="Calibri" w:hAnsiTheme="majorBidi" w:cstheme="majorBidi"/>
          <w14:ligatures w14:val="standardContextual"/>
        </w:rPr>
        <w:t>sk.</w:t>
      </w:r>
      <w:r w:rsidR="00282E5C" w:rsidRPr="0018516E">
        <w:rPr>
          <w:rFonts w:asciiTheme="majorBidi" w:eastAsia="Calibri" w:hAnsiTheme="majorBidi" w:cstheme="majorBidi"/>
          <w14:ligatures w14:val="standardContextual"/>
        </w:rPr>
        <w:t xml:space="preserve"> </w:t>
      </w:r>
      <w:r w:rsidR="00212C1E" w:rsidRPr="0018516E">
        <w:rPr>
          <w:rFonts w:asciiTheme="majorBidi" w:eastAsia="Calibri" w:hAnsiTheme="majorBidi" w:cstheme="majorBidi"/>
          <w:i/>
          <w:iCs/>
          <w14:ligatures w14:val="standardContextual"/>
        </w:rPr>
        <w:t xml:space="preserve">Junker A. </w:t>
      </w:r>
      <w:proofErr w:type="spellStart"/>
      <w:r w:rsidR="009A6BF4" w:rsidRPr="0018516E">
        <w:rPr>
          <w:rFonts w:asciiTheme="majorBidi" w:eastAsia="Calibri" w:hAnsiTheme="majorBidi" w:cstheme="majorBidi"/>
          <w:i/>
          <w:iCs/>
          <w14:ligatures w14:val="standardContextual"/>
        </w:rPr>
        <w:t>in</w:t>
      </w:r>
      <w:proofErr w:type="spellEnd"/>
      <w:r w:rsidR="009A6BF4" w:rsidRPr="0018516E">
        <w:rPr>
          <w:rFonts w:asciiTheme="majorBidi" w:eastAsia="Calibri" w:hAnsiTheme="majorBidi" w:cstheme="majorBidi"/>
          <w:i/>
          <w:iCs/>
          <w14:ligatures w14:val="standardContextual"/>
        </w:rPr>
        <w:t>:</w:t>
      </w:r>
      <w:r w:rsidR="00C96C8F" w:rsidRPr="0018516E">
        <w:rPr>
          <w:rFonts w:asciiTheme="majorBidi" w:eastAsia="Calibri" w:hAnsiTheme="majorBidi" w:cstheme="majorBidi"/>
          <w:i/>
          <w:iCs/>
          <w14:ligatures w14:val="standardContextual"/>
        </w:rPr>
        <w:t xml:space="preserve"> </w:t>
      </w:r>
      <w:proofErr w:type="spellStart"/>
      <w:r w:rsidR="009A6BF4" w:rsidRPr="0018516E">
        <w:rPr>
          <w:rFonts w:asciiTheme="majorBidi" w:eastAsia="Calibri" w:hAnsiTheme="majorBidi" w:cstheme="majorBidi"/>
          <w:i/>
          <w:iCs/>
          <w14:ligatures w14:val="standardContextual"/>
        </w:rPr>
        <w:t>Münchener</w:t>
      </w:r>
      <w:proofErr w:type="spellEnd"/>
      <w:r w:rsidR="009A6BF4" w:rsidRPr="0018516E">
        <w:rPr>
          <w:rFonts w:asciiTheme="majorBidi" w:eastAsia="Calibri" w:hAnsiTheme="majorBidi" w:cstheme="majorBidi"/>
          <w:i/>
          <w:iCs/>
          <w14:ligatures w14:val="standardContextual"/>
        </w:rPr>
        <w:t xml:space="preserve"> </w:t>
      </w:r>
      <w:proofErr w:type="spellStart"/>
      <w:r w:rsidR="009A6BF4" w:rsidRPr="0018516E">
        <w:rPr>
          <w:rFonts w:asciiTheme="majorBidi" w:eastAsia="Calibri" w:hAnsiTheme="majorBidi" w:cstheme="majorBidi"/>
          <w:i/>
          <w:iCs/>
          <w14:ligatures w14:val="standardContextual"/>
        </w:rPr>
        <w:t>Kommentar</w:t>
      </w:r>
      <w:proofErr w:type="spellEnd"/>
      <w:r w:rsidR="009A6BF4" w:rsidRPr="0018516E">
        <w:rPr>
          <w:rFonts w:asciiTheme="majorBidi" w:eastAsia="Calibri" w:hAnsiTheme="majorBidi" w:cstheme="majorBidi"/>
          <w:i/>
          <w:iCs/>
          <w14:ligatures w14:val="standardContextual"/>
        </w:rPr>
        <w:t xml:space="preserve"> </w:t>
      </w:r>
      <w:r w:rsidR="00C96C8F" w:rsidRPr="0018516E">
        <w:rPr>
          <w:rFonts w:asciiTheme="majorBidi" w:eastAsia="Calibri" w:hAnsiTheme="majorBidi" w:cstheme="majorBidi"/>
          <w:i/>
          <w:iCs/>
          <w14:ligatures w14:val="standardContextual"/>
        </w:rPr>
        <w:t xml:space="preserve">zum </w:t>
      </w:r>
      <w:r w:rsidR="009A6BF4" w:rsidRPr="0018516E">
        <w:rPr>
          <w:rFonts w:asciiTheme="majorBidi" w:eastAsia="Calibri" w:hAnsiTheme="majorBidi" w:cstheme="majorBidi"/>
          <w:i/>
          <w:iCs/>
          <w14:ligatures w14:val="standardContextual"/>
        </w:rPr>
        <w:t>BGB</w:t>
      </w:r>
      <w:r w:rsidR="00F240D0" w:rsidRPr="0018516E">
        <w:rPr>
          <w:rFonts w:asciiTheme="majorBidi" w:eastAsia="Calibri" w:hAnsiTheme="majorBidi" w:cstheme="majorBidi"/>
          <w:i/>
          <w:iCs/>
          <w14:ligatures w14:val="standardContextual"/>
        </w:rPr>
        <w:t>.</w:t>
      </w:r>
      <w:r w:rsidR="00CA4A5C" w:rsidRPr="0018516E">
        <w:rPr>
          <w:rFonts w:asciiTheme="majorBidi" w:eastAsia="Calibri" w:hAnsiTheme="majorBidi" w:cstheme="majorBidi"/>
          <w:i/>
          <w:iCs/>
          <w14:ligatures w14:val="standardContextual"/>
        </w:rPr>
        <w:t xml:space="preserve"> </w:t>
      </w:r>
      <w:proofErr w:type="spellStart"/>
      <w:r w:rsidR="00C96C8F" w:rsidRPr="0018516E">
        <w:rPr>
          <w:rFonts w:asciiTheme="majorBidi" w:eastAsia="Calibri" w:hAnsiTheme="majorBidi" w:cstheme="majorBidi"/>
          <w:i/>
          <w:iCs/>
          <w14:ligatures w14:val="standardContextual"/>
        </w:rPr>
        <w:t>Band</w:t>
      </w:r>
      <w:proofErr w:type="spellEnd"/>
      <w:r w:rsidR="00C96C8F" w:rsidRPr="0018516E">
        <w:rPr>
          <w:rFonts w:asciiTheme="majorBidi" w:eastAsia="Calibri" w:hAnsiTheme="majorBidi" w:cstheme="majorBidi"/>
          <w:i/>
          <w:iCs/>
          <w14:ligatures w14:val="standardContextual"/>
        </w:rPr>
        <w:t> 13. 8. </w:t>
      </w:r>
      <w:proofErr w:type="spellStart"/>
      <w:r w:rsidR="00C96C8F" w:rsidRPr="0018516E">
        <w:rPr>
          <w:rFonts w:asciiTheme="majorBidi" w:eastAsia="Calibri" w:hAnsiTheme="majorBidi" w:cstheme="majorBidi"/>
          <w:i/>
          <w:iCs/>
          <w14:ligatures w14:val="standardContextual"/>
        </w:rPr>
        <w:t>Auflage</w:t>
      </w:r>
      <w:proofErr w:type="spellEnd"/>
      <w:r w:rsidR="00C96C8F" w:rsidRPr="0018516E">
        <w:rPr>
          <w:rFonts w:asciiTheme="majorBidi" w:eastAsia="Calibri" w:hAnsiTheme="majorBidi" w:cstheme="majorBidi"/>
          <w:i/>
          <w:iCs/>
          <w14:ligatures w14:val="standardContextual"/>
        </w:rPr>
        <w:t xml:space="preserve">. </w:t>
      </w:r>
      <w:r w:rsidR="00CA4A5C" w:rsidRPr="0018516E">
        <w:rPr>
          <w:rFonts w:asciiTheme="majorBidi" w:eastAsia="Calibri" w:hAnsiTheme="majorBidi" w:cstheme="majorBidi"/>
          <w:i/>
          <w:iCs/>
          <w14:ligatures w14:val="standardContextual"/>
        </w:rPr>
        <w:t>M</w:t>
      </w:r>
      <w:proofErr w:type="spellStart"/>
      <w:r w:rsidR="00CA4A5C" w:rsidRPr="0018516E">
        <w:rPr>
          <w:rFonts w:asciiTheme="majorBidi" w:eastAsia="Calibri" w:hAnsiTheme="majorBidi" w:cstheme="majorBidi"/>
          <w:i/>
          <w:iCs/>
          <w:lang w:val="de-DE"/>
          <w14:ligatures w14:val="standardContextual"/>
        </w:rPr>
        <w:t>ünchen</w:t>
      </w:r>
      <w:proofErr w:type="spellEnd"/>
      <w:r w:rsidR="00CA4A5C" w:rsidRPr="0018516E">
        <w:rPr>
          <w:rFonts w:asciiTheme="majorBidi" w:eastAsia="Calibri" w:hAnsiTheme="majorBidi" w:cstheme="majorBidi"/>
          <w:i/>
          <w:iCs/>
          <w:lang w:val="de-DE"/>
          <w14:ligatures w14:val="standardContextual"/>
        </w:rPr>
        <w:t xml:space="preserve">: Verlag </w:t>
      </w:r>
      <w:r w:rsidR="00793C0C" w:rsidRPr="0018516E">
        <w:rPr>
          <w:rFonts w:asciiTheme="majorBidi" w:eastAsia="Calibri" w:hAnsiTheme="majorBidi" w:cstheme="majorBidi"/>
          <w:i/>
          <w:iCs/>
          <w:lang w:val="de-DE"/>
          <w14:ligatures w14:val="standardContextual"/>
        </w:rPr>
        <w:t>C.H.</w:t>
      </w:r>
      <w:r w:rsidR="00C96C8F" w:rsidRPr="0018516E">
        <w:rPr>
          <w:rFonts w:asciiTheme="majorBidi" w:eastAsia="Calibri" w:hAnsiTheme="majorBidi" w:cstheme="majorBidi"/>
          <w:i/>
          <w:iCs/>
          <w:lang w:val="de-DE"/>
          <w14:ligatures w14:val="standardContextual"/>
        </w:rPr>
        <w:t> </w:t>
      </w:r>
      <w:r w:rsidR="00793C0C" w:rsidRPr="0018516E">
        <w:rPr>
          <w:rFonts w:asciiTheme="majorBidi" w:eastAsia="Calibri" w:hAnsiTheme="majorBidi" w:cstheme="majorBidi"/>
          <w:i/>
          <w:iCs/>
          <w:lang w:val="de-DE"/>
          <w14:ligatures w14:val="standardContextual"/>
        </w:rPr>
        <w:t>Beck,</w:t>
      </w:r>
      <w:r w:rsidR="00F240D0" w:rsidRPr="0018516E">
        <w:rPr>
          <w:rFonts w:asciiTheme="majorBidi" w:eastAsia="Calibri" w:hAnsiTheme="majorBidi" w:cstheme="majorBidi"/>
          <w:i/>
          <w:iCs/>
          <w14:ligatures w14:val="standardContextual"/>
        </w:rPr>
        <w:t xml:space="preserve"> 2021, Rom</w:t>
      </w:r>
      <w:r w:rsidR="00C96C8F" w:rsidRPr="0018516E">
        <w:rPr>
          <w:rFonts w:asciiTheme="majorBidi" w:eastAsia="Calibri" w:hAnsiTheme="majorBidi" w:cstheme="majorBidi"/>
          <w:i/>
          <w:iCs/>
          <w14:ligatures w14:val="standardContextual"/>
        </w:rPr>
        <w:t> </w:t>
      </w:r>
      <w:r w:rsidR="00F240D0" w:rsidRPr="0018516E">
        <w:rPr>
          <w:rFonts w:asciiTheme="majorBidi" w:eastAsia="Calibri" w:hAnsiTheme="majorBidi" w:cstheme="majorBidi"/>
          <w:i/>
          <w:iCs/>
          <w14:ligatures w14:val="standardContextual"/>
        </w:rPr>
        <w:t>II-</w:t>
      </w:r>
      <w:proofErr w:type="spellStart"/>
      <w:r w:rsidR="00F240D0" w:rsidRPr="0018516E">
        <w:rPr>
          <w:rFonts w:asciiTheme="majorBidi" w:eastAsia="Calibri" w:hAnsiTheme="majorBidi" w:cstheme="majorBidi"/>
          <w:i/>
          <w:iCs/>
          <w14:ligatures w14:val="standardContextual"/>
        </w:rPr>
        <w:t>Verordnung</w:t>
      </w:r>
      <w:proofErr w:type="spellEnd"/>
      <w:r w:rsidR="00F240D0" w:rsidRPr="0018516E">
        <w:rPr>
          <w:rFonts w:asciiTheme="majorBidi" w:eastAsia="Calibri" w:hAnsiTheme="majorBidi" w:cstheme="majorBidi"/>
          <w:i/>
          <w:iCs/>
          <w14:ligatures w14:val="standardContextual"/>
        </w:rPr>
        <w:t xml:space="preserve"> Art.</w:t>
      </w:r>
      <w:r w:rsidR="00C8429E" w:rsidRPr="0018516E">
        <w:rPr>
          <w:rFonts w:asciiTheme="majorBidi" w:eastAsia="Calibri" w:hAnsiTheme="majorBidi" w:cstheme="majorBidi"/>
          <w:i/>
          <w:iCs/>
          <w14:ligatures w14:val="standardContextual"/>
        </w:rPr>
        <w:t> </w:t>
      </w:r>
      <w:r w:rsidR="00F240D0" w:rsidRPr="0018516E">
        <w:rPr>
          <w:rFonts w:asciiTheme="majorBidi" w:eastAsia="Calibri" w:hAnsiTheme="majorBidi" w:cstheme="majorBidi"/>
          <w:i/>
          <w:iCs/>
          <w14:ligatures w14:val="standardContextual"/>
        </w:rPr>
        <w:t xml:space="preserve">1 </w:t>
      </w:r>
      <w:proofErr w:type="spellStart"/>
      <w:r w:rsidR="00F240D0" w:rsidRPr="0018516E">
        <w:rPr>
          <w:rFonts w:asciiTheme="majorBidi" w:eastAsia="Calibri" w:hAnsiTheme="majorBidi" w:cstheme="majorBidi"/>
          <w:i/>
          <w:iCs/>
          <w14:ligatures w14:val="standardContextual"/>
        </w:rPr>
        <w:t>Rn</w:t>
      </w:r>
      <w:proofErr w:type="spellEnd"/>
      <w:r w:rsidR="00F240D0" w:rsidRPr="0018516E">
        <w:rPr>
          <w:rFonts w:asciiTheme="majorBidi" w:eastAsia="Calibri" w:hAnsiTheme="majorBidi" w:cstheme="majorBidi"/>
          <w:i/>
          <w:iCs/>
          <w14:ligatures w14:val="standardContextual"/>
        </w:rPr>
        <w:t>.</w:t>
      </w:r>
      <w:r w:rsidR="00C8429E" w:rsidRPr="0018516E">
        <w:rPr>
          <w:rFonts w:asciiTheme="majorBidi" w:eastAsia="Calibri" w:hAnsiTheme="majorBidi" w:cstheme="majorBidi"/>
          <w:i/>
          <w:iCs/>
          <w14:ligatures w14:val="standardContextual"/>
        </w:rPr>
        <w:t> </w:t>
      </w:r>
      <w:r w:rsidR="00F240D0" w:rsidRPr="0018516E">
        <w:rPr>
          <w:rFonts w:asciiTheme="majorBidi" w:eastAsia="Calibri" w:hAnsiTheme="majorBidi" w:cstheme="majorBidi"/>
          <w:i/>
          <w:iCs/>
          <w14:ligatures w14:val="standardContextual"/>
        </w:rPr>
        <w:t>19, 20</w:t>
      </w:r>
      <w:r w:rsidR="00C8429E" w:rsidRPr="0018516E">
        <w:rPr>
          <w:rFonts w:asciiTheme="majorBidi" w:eastAsia="Calibri" w:hAnsiTheme="majorBidi" w:cstheme="majorBidi"/>
          <w:i/>
          <w:iCs/>
          <w14:ligatures w14:val="standardContextual"/>
        </w:rPr>
        <w:t xml:space="preserve">; </w:t>
      </w:r>
      <w:proofErr w:type="spellStart"/>
      <w:r w:rsidR="00C8429E" w:rsidRPr="0018516E">
        <w:rPr>
          <w:rFonts w:asciiTheme="majorBidi" w:eastAsia="Calibri" w:hAnsiTheme="majorBidi" w:cstheme="majorBidi"/>
          <w:i/>
          <w:iCs/>
          <w14:ligatures w14:val="standardContextual"/>
        </w:rPr>
        <w:t>Martiny</w:t>
      </w:r>
      <w:proofErr w:type="spellEnd"/>
      <w:r w:rsidR="00C8429E" w:rsidRPr="0018516E">
        <w:rPr>
          <w:rFonts w:asciiTheme="majorBidi" w:eastAsia="Calibri" w:hAnsiTheme="majorBidi" w:cstheme="majorBidi"/>
          <w:i/>
          <w:iCs/>
          <w14:ligatures w14:val="standardContextual"/>
        </w:rPr>
        <w:t> D.</w:t>
      </w:r>
      <w:r w:rsidR="00C96C8F" w:rsidRPr="0018516E">
        <w:rPr>
          <w:rFonts w:asciiTheme="majorBidi" w:eastAsia="Calibri" w:hAnsiTheme="majorBidi" w:cstheme="majorBidi"/>
          <w:i/>
          <w:iCs/>
          <w14:ligatures w14:val="standardContextual"/>
        </w:rPr>
        <w:t xml:space="preserve"> </w:t>
      </w:r>
      <w:proofErr w:type="spellStart"/>
      <w:r w:rsidR="00C8429E" w:rsidRPr="0018516E">
        <w:rPr>
          <w:rFonts w:asciiTheme="majorBidi" w:eastAsia="Calibri" w:hAnsiTheme="majorBidi" w:cstheme="majorBidi"/>
          <w:i/>
          <w:iCs/>
          <w14:ligatures w14:val="standardContextual"/>
        </w:rPr>
        <w:t>in</w:t>
      </w:r>
      <w:proofErr w:type="spellEnd"/>
      <w:r w:rsidR="00C8429E" w:rsidRPr="0018516E">
        <w:rPr>
          <w:rFonts w:asciiTheme="majorBidi" w:eastAsia="Calibri" w:hAnsiTheme="majorBidi" w:cstheme="majorBidi"/>
          <w:i/>
          <w:iCs/>
          <w14:ligatures w14:val="standardContextual"/>
        </w:rPr>
        <w:t xml:space="preserve">: </w:t>
      </w:r>
      <w:proofErr w:type="spellStart"/>
      <w:r w:rsidR="00C8429E" w:rsidRPr="0018516E">
        <w:rPr>
          <w:rFonts w:asciiTheme="majorBidi" w:eastAsia="Calibri" w:hAnsiTheme="majorBidi" w:cstheme="majorBidi"/>
          <w:i/>
          <w:iCs/>
          <w14:ligatures w14:val="standardContextual"/>
        </w:rPr>
        <w:t>Münchener</w:t>
      </w:r>
      <w:proofErr w:type="spellEnd"/>
      <w:r w:rsidR="00C8429E" w:rsidRPr="0018516E">
        <w:rPr>
          <w:rFonts w:asciiTheme="majorBidi" w:eastAsia="Calibri" w:hAnsiTheme="majorBidi" w:cstheme="majorBidi"/>
          <w:i/>
          <w:iCs/>
          <w14:ligatures w14:val="standardContextual"/>
        </w:rPr>
        <w:t xml:space="preserve"> </w:t>
      </w:r>
      <w:proofErr w:type="spellStart"/>
      <w:r w:rsidR="00C8429E" w:rsidRPr="0018516E">
        <w:rPr>
          <w:rFonts w:asciiTheme="majorBidi" w:eastAsia="Calibri" w:hAnsiTheme="majorBidi" w:cstheme="majorBidi"/>
          <w:i/>
          <w:iCs/>
          <w14:ligatures w14:val="standardContextual"/>
        </w:rPr>
        <w:t>Kommentar</w:t>
      </w:r>
      <w:proofErr w:type="spellEnd"/>
      <w:r w:rsidR="00C8429E" w:rsidRPr="0018516E">
        <w:rPr>
          <w:rFonts w:asciiTheme="majorBidi" w:eastAsia="Calibri" w:hAnsiTheme="majorBidi" w:cstheme="majorBidi"/>
          <w:i/>
          <w:iCs/>
          <w14:ligatures w14:val="standardContextual"/>
        </w:rPr>
        <w:t xml:space="preserve"> </w:t>
      </w:r>
      <w:r w:rsidR="00C96C8F" w:rsidRPr="0018516E">
        <w:rPr>
          <w:rFonts w:asciiTheme="majorBidi" w:eastAsia="Calibri" w:hAnsiTheme="majorBidi" w:cstheme="majorBidi"/>
          <w:i/>
          <w:iCs/>
          <w14:ligatures w14:val="standardContextual"/>
        </w:rPr>
        <w:t xml:space="preserve">zum </w:t>
      </w:r>
      <w:r w:rsidR="00C8429E" w:rsidRPr="0018516E">
        <w:rPr>
          <w:rFonts w:asciiTheme="majorBidi" w:eastAsia="Calibri" w:hAnsiTheme="majorBidi" w:cstheme="majorBidi"/>
          <w:i/>
          <w:iCs/>
          <w14:ligatures w14:val="standardContextual"/>
        </w:rPr>
        <w:t xml:space="preserve">BGB. </w:t>
      </w:r>
      <w:proofErr w:type="spellStart"/>
      <w:r w:rsidR="00C96C8F" w:rsidRPr="0018516E">
        <w:rPr>
          <w:rFonts w:asciiTheme="majorBidi" w:eastAsia="Calibri" w:hAnsiTheme="majorBidi" w:cstheme="majorBidi"/>
          <w:i/>
          <w:iCs/>
          <w14:ligatures w14:val="standardContextual"/>
        </w:rPr>
        <w:t>Band</w:t>
      </w:r>
      <w:proofErr w:type="spellEnd"/>
      <w:r w:rsidR="00C96C8F" w:rsidRPr="0018516E">
        <w:rPr>
          <w:rFonts w:asciiTheme="majorBidi" w:eastAsia="Calibri" w:hAnsiTheme="majorBidi" w:cstheme="majorBidi"/>
          <w:i/>
          <w:iCs/>
          <w14:ligatures w14:val="standardContextual"/>
        </w:rPr>
        <w:t> 13. 8. </w:t>
      </w:r>
      <w:proofErr w:type="spellStart"/>
      <w:r w:rsidR="00C96C8F" w:rsidRPr="0018516E">
        <w:rPr>
          <w:rFonts w:asciiTheme="majorBidi" w:eastAsia="Calibri" w:hAnsiTheme="majorBidi" w:cstheme="majorBidi"/>
          <w:i/>
          <w:iCs/>
          <w14:ligatures w14:val="standardContextual"/>
        </w:rPr>
        <w:t>Auflage</w:t>
      </w:r>
      <w:proofErr w:type="spellEnd"/>
      <w:r w:rsidR="00C96C8F" w:rsidRPr="0018516E">
        <w:rPr>
          <w:rFonts w:asciiTheme="majorBidi" w:eastAsia="Calibri" w:hAnsiTheme="majorBidi" w:cstheme="majorBidi"/>
          <w:i/>
          <w:iCs/>
          <w14:ligatures w14:val="standardContextual"/>
        </w:rPr>
        <w:t xml:space="preserve">. </w:t>
      </w:r>
      <w:proofErr w:type="spellStart"/>
      <w:r w:rsidR="00C8429E" w:rsidRPr="0018516E">
        <w:rPr>
          <w:rFonts w:asciiTheme="majorBidi" w:eastAsia="Calibri" w:hAnsiTheme="majorBidi" w:cstheme="majorBidi"/>
          <w:i/>
          <w:iCs/>
          <w14:ligatures w14:val="standardContextual"/>
        </w:rPr>
        <w:t>München</w:t>
      </w:r>
      <w:proofErr w:type="spellEnd"/>
      <w:r w:rsidR="00C8429E" w:rsidRPr="0018516E">
        <w:rPr>
          <w:rFonts w:asciiTheme="majorBidi" w:eastAsia="Calibri" w:hAnsiTheme="majorBidi" w:cstheme="majorBidi"/>
          <w:i/>
          <w:iCs/>
          <w14:ligatures w14:val="standardContextual"/>
        </w:rPr>
        <w:t xml:space="preserve">: </w:t>
      </w:r>
      <w:proofErr w:type="spellStart"/>
      <w:r w:rsidR="00C8429E" w:rsidRPr="0018516E">
        <w:rPr>
          <w:rFonts w:asciiTheme="majorBidi" w:eastAsia="Calibri" w:hAnsiTheme="majorBidi" w:cstheme="majorBidi"/>
          <w:i/>
          <w:iCs/>
          <w14:ligatures w14:val="standardContextual"/>
        </w:rPr>
        <w:t>Verlag</w:t>
      </w:r>
      <w:proofErr w:type="spellEnd"/>
      <w:r w:rsidR="00C8429E" w:rsidRPr="0018516E">
        <w:rPr>
          <w:rFonts w:asciiTheme="majorBidi" w:eastAsia="Calibri" w:hAnsiTheme="majorBidi" w:cstheme="majorBidi"/>
          <w:i/>
          <w:iCs/>
          <w14:ligatures w14:val="standardContextual"/>
        </w:rPr>
        <w:t xml:space="preserve"> C.H.</w:t>
      </w:r>
      <w:r w:rsidR="00C96C8F" w:rsidRPr="0018516E">
        <w:rPr>
          <w:rFonts w:asciiTheme="majorBidi" w:eastAsia="Calibri" w:hAnsiTheme="majorBidi" w:cstheme="majorBidi"/>
          <w:i/>
          <w:iCs/>
          <w14:ligatures w14:val="standardContextual"/>
        </w:rPr>
        <w:t> </w:t>
      </w:r>
      <w:proofErr w:type="spellStart"/>
      <w:r w:rsidR="00C8429E" w:rsidRPr="0018516E">
        <w:rPr>
          <w:rFonts w:asciiTheme="majorBidi" w:eastAsia="Calibri" w:hAnsiTheme="majorBidi" w:cstheme="majorBidi"/>
          <w:i/>
          <w:iCs/>
          <w14:ligatures w14:val="standardContextual"/>
        </w:rPr>
        <w:t>Beck</w:t>
      </w:r>
      <w:proofErr w:type="spellEnd"/>
      <w:r w:rsidR="00C8429E" w:rsidRPr="0018516E">
        <w:rPr>
          <w:rFonts w:asciiTheme="majorBidi" w:eastAsia="Calibri" w:hAnsiTheme="majorBidi" w:cstheme="majorBidi"/>
          <w:i/>
          <w:iCs/>
          <w14:ligatures w14:val="standardContextual"/>
        </w:rPr>
        <w:t>, 2021, Rom</w:t>
      </w:r>
      <w:r w:rsidR="00C96C8F" w:rsidRPr="0018516E">
        <w:rPr>
          <w:rFonts w:asciiTheme="majorBidi" w:eastAsia="Calibri" w:hAnsiTheme="majorBidi" w:cstheme="majorBidi"/>
          <w:i/>
          <w:iCs/>
          <w14:ligatures w14:val="standardContextual"/>
        </w:rPr>
        <w:t> </w:t>
      </w:r>
      <w:r w:rsidR="00C8429E" w:rsidRPr="0018516E">
        <w:rPr>
          <w:rFonts w:asciiTheme="majorBidi" w:eastAsia="Calibri" w:hAnsiTheme="majorBidi" w:cstheme="majorBidi"/>
          <w:i/>
          <w:iCs/>
          <w14:ligatures w14:val="standardContextual"/>
        </w:rPr>
        <w:t>I-</w:t>
      </w:r>
      <w:proofErr w:type="spellStart"/>
      <w:r w:rsidR="00C8429E" w:rsidRPr="0018516E">
        <w:rPr>
          <w:rFonts w:asciiTheme="majorBidi" w:eastAsia="Calibri" w:hAnsiTheme="majorBidi" w:cstheme="majorBidi"/>
          <w:i/>
          <w:iCs/>
          <w14:ligatures w14:val="standardContextual"/>
        </w:rPr>
        <w:t>Verordnung</w:t>
      </w:r>
      <w:proofErr w:type="spellEnd"/>
      <w:r w:rsidR="00C8429E" w:rsidRPr="0018516E">
        <w:rPr>
          <w:rFonts w:asciiTheme="majorBidi" w:eastAsia="Calibri" w:hAnsiTheme="majorBidi" w:cstheme="majorBidi"/>
          <w:i/>
          <w:iCs/>
          <w14:ligatures w14:val="standardContextual"/>
        </w:rPr>
        <w:t xml:space="preserve"> Art. 1 </w:t>
      </w:r>
      <w:proofErr w:type="spellStart"/>
      <w:r w:rsidR="00C8429E" w:rsidRPr="0018516E">
        <w:rPr>
          <w:rFonts w:asciiTheme="majorBidi" w:eastAsia="Calibri" w:hAnsiTheme="majorBidi" w:cstheme="majorBidi"/>
          <w:i/>
          <w:iCs/>
          <w14:ligatures w14:val="standardContextual"/>
        </w:rPr>
        <w:t>Rn</w:t>
      </w:r>
      <w:proofErr w:type="spellEnd"/>
      <w:r w:rsidR="00C8429E" w:rsidRPr="0018516E">
        <w:rPr>
          <w:rFonts w:asciiTheme="majorBidi" w:eastAsia="Calibri" w:hAnsiTheme="majorBidi" w:cstheme="majorBidi"/>
          <w:i/>
          <w:iCs/>
          <w14:ligatures w14:val="standardContextual"/>
        </w:rPr>
        <w:t>. 20</w:t>
      </w:r>
      <w:r w:rsidR="00F240D0" w:rsidRPr="0018516E">
        <w:rPr>
          <w:rFonts w:asciiTheme="majorBidi" w:eastAsia="Calibri" w:hAnsiTheme="majorBidi" w:cstheme="majorBidi"/>
          <w14:ligatures w14:val="standardContextual"/>
        </w:rPr>
        <w:t>).</w:t>
      </w:r>
    </w:p>
    <w:p w14:paraId="075AF75B" w14:textId="104A4BD1" w:rsidR="00252C30" w:rsidRPr="0018516E" w:rsidRDefault="00AB5E7A"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 xml:space="preserve">Ievērojot </w:t>
      </w:r>
      <w:r w:rsidR="00252C30" w:rsidRPr="0018516E">
        <w:rPr>
          <w:rFonts w:asciiTheme="majorBidi" w:eastAsia="Calibri" w:hAnsiTheme="majorBidi" w:cstheme="majorBidi"/>
          <w14:ligatures w14:val="standardContextual"/>
        </w:rPr>
        <w:t xml:space="preserve">Eiropas Savienības </w:t>
      </w:r>
      <w:r w:rsidR="009B189B" w:rsidRPr="0018516E">
        <w:rPr>
          <w:rFonts w:asciiTheme="majorBidi" w:eastAsia="Calibri" w:hAnsiTheme="majorBidi" w:cstheme="majorBidi"/>
          <w14:ligatures w14:val="standardContextual"/>
        </w:rPr>
        <w:t>T</w:t>
      </w:r>
      <w:r w:rsidR="00252C30" w:rsidRPr="0018516E">
        <w:rPr>
          <w:rFonts w:asciiTheme="majorBidi" w:eastAsia="Calibri" w:hAnsiTheme="majorBidi" w:cstheme="majorBidi"/>
          <w14:ligatures w14:val="standardContextual"/>
        </w:rPr>
        <w:t>iesas</w:t>
      </w:r>
      <w:r w:rsidR="009B189B" w:rsidRPr="0018516E">
        <w:rPr>
          <w:rFonts w:asciiTheme="majorBidi" w:eastAsia="Calibri" w:hAnsiTheme="majorBidi" w:cstheme="majorBidi"/>
          <w14:ligatures w14:val="standardContextual"/>
        </w:rPr>
        <w:t xml:space="preserve"> judika</w:t>
      </w:r>
      <w:r w:rsidRPr="0018516E">
        <w:rPr>
          <w:rFonts w:asciiTheme="majorBidi" w:eastAsia="Calibri" w:hAnsiTheme="majorBidi" w:cstheme="majorBidi"/>
          <w14:ligatures w14:val="standardContextual"/>
        </w:rPr>
        <w:t>tūru attiecībā uz jurisdikcijas noteikšanu, Roma</w:t>
      </w:r>
      <w:r w:rsidR="00C96C8F" w:rsidRPr="0018516E">
        <w:rPr>
          <w:rFonts w:asciiTheme="majorBidi" w:eastAsia="Calibri" w:hAnsiTheme="majorBidi" w:cstheme="majorBidi"/>
          <w14:ligatures w14:val="standardContextual"/>
        </w:rPr>
        <w:t> </w:t>
      </w:r>
      <w:r w:rsidRPr="0018516E">
        <w:rPr>
          <w:rFonts w:asciiTheme="majorBidi" w:eastAsia="Calibri" w:hAnsiTheme="majorBidi" w:cstheme="majorBidi"/>
          <w14:ligatures w14:val="standardContextual"/>
        </w:rPr>
        <w:t>I</w:t>
      </w:r>
      <w:r w:rsidR="00C96C8F" w:rsidRPr="0018516E">
        <w:rPr>
          <w:rFonts w:asciiTheme="majorBidi" w:eastAsia="Calibri" w:hAnsiTheme="majorBidi" w:cstheme="majorBidi"/>
          <w14:ligatures w14:val="standardContextual"/>
        </w:rPr>
        <w:t xml:space="preserve"> </w:t>
      </w:r>
      <w:r w:rsidRPr="0018516E">
        <w:rPr>
          <w:rFonts w:asciiTheme="majorBidi" w:eastAsia="Calibri" w:hAnsiTheme="majorBidi" w:cstheme="majorBidi"/>
          <w14:ligatures w14:val="standardContextual"/>
        </w:rPr>
        <w:t>un Roma</w:t>
      </w:r>
      <w:r w:rsidR="00C96C8F" w:rsidRPr="0018516E">
        <w:rPr>
          <w:rFonts w:asciiTheme="majorBidi" w:eastAsia="Calibri" w:hAnsiTheme="majorBidi" w:cstheme="majorBidi"/>
          <w14:ligatures w14:val="standardContextual"/>
        </w:rPr>
        <w:t> </w:t>
      </w:r>
      <w:r w:rsidRPr="0018516E">
        <w:rPr>
          <w:rFonts w:asciiTheme="majorBidi" w:eastAsia="Calibri" w:hAnsiTheme="majorBidi" w:cstheme="majorBidi"/>
          <w14:ligatures w14:val="standardContextual"/>
        </w:rPr>
        <w:t xml:space="preserve">II regulu apsvērumus par saderības nodrošināšanu starp </w:t>
      </w:r>
      <w:r w:rsidR="00CA404B" w:rsidRPr="0018516E">
        <w:rPr>
          <w:rFonts w:asciiTheme="majorBidi" w:eastAsia="Calibri" w:hAnsiTheme="majorBidi" w:cstheme="majorBidi"/>
          <w14:ligatures w14:val="standardContextual"/>
        </w:rPr>
        <w:t>šo</w:t>
      </w:r>
      <w:r w:rsidRPr="0018516E">
        <w:rPr>
          <w:rFonts w:asciiTheme="majorBidi" w:eastAsia="Calibri" w:hAnsiTheme="majorBidi" w:cstheme="majorBidi"/>
          <w14:ligatures w14:val="standardContextual"/>
        </w:rPr>
        <w:t xml:space="preserve"> regulu </w:t>
      </w:r>
      <w:proofErr w:type="spellStart"/>
      <w:r w:rsidRPr="0018516E">
        <w:rPr>
          <w:rFonts w:asciiTheme="majorBidi" w:eastAsia="Calibri" w:hAnsiTheme="majorBidi" w:cstheme="majorBidi"/>
          <w14:ligatures w14:val="standardContextual"/>
        </w:rPr>
        <w:t>materiāltiesisko</w:t>
      </w:r>
      <w:proofErr w:type="spellEnd"/>
      <w:r w:rsidRPr="0018516E">
        <w:rPr>
          <w:rFonts w:asciiTheme="majorBidi" w:eastAsia="Calibri" w:hAnsiTheme="majorBidi" w:cstheme="majorBidi"/>
          <w14:ligatures w14:val="standardContextual"/>
        </w:rPr>
        <w:t xml:space="preserve"> darbības jomu un regulējumu, kas attiecas uz jurisdikcijas noteikšanu,</w:t>
      </w:r>
      <w:r w:rsidR="00CA404B" w:rsidRPr="0018516E">
        <w:rPr>
          <w:rFonts w:asciiTheme="majorBidi" w:eastAsia="Calibri" w:hAnsiTheme="majorBidi" w:cstheme="majorBidi"/>
          <w14:ligatures w14:val="standardContextual"/>
        </w:rPr>
        <w:t xml:space="preserve"> </w:t>
      </w:r>
      <w:r w:rsidR="0045415C" w:rsidRPr="0018516E">
        <w:rPr>
          <w:rFonts w:asciiTheme="majorBidi" w:eastAsia="Calibri" w:hAnsiTheme="majorBidi" w:cstheme="majorBidi"/>
          <w14:ligatures w14:val="standardContextual"/>
        </w:rPr>
        <w:t>kā arī, pamatojoties uz</w:t>
      </w:r>
      <w:r w:rsidR="00CA404B" w:rsidRPr="0018516E">
        <w:rPr>
          <w:rFonts w:asciiTheme="majorBidi" w:eastAsia="Calibri" w:hAnsiTheme="majorBidi" w:cstheme="majorBidi"/>
          <w14:ligatures w14:val="standardContextual"/>
        </w:rPr>
        <w:t xml:space="preserve"> tiesību doktrīnas atziņ</w:t>
      </w:r>
      <w:r w:rsidR="0045415C" w:rsidRPr="0018516E">
        <w:rPr>
          <w:rFonts w:asciiTheme="majorBidi" w:eastAsia="Calibri" w:hAnsiTheme="majorBidi" w:cstheme="majorBidi"/>
          <w14:ligatures w14:val="standardContextual"/>
        </w:rPr>
        <w:t>ām</w:t>
      </w:r>
      <w:r w:rsidR="00CA404B" w:rsidRPr="0018516E">
        <w:rPr>
          <w:rFonts w:asciiTheme="majorBidi" w:eastAsia="Calibri" w:hAnsiTheme="majorBidi" w:cstheme="majorBidi"/>
          <w14:ligatures w14:val="standardContextual"/>
        </w:rPr>
        <w:t>,</w:t>
      </w:r>
      <w:r w:rsidRPr="0018516E">
        <w:rPr>
          <w:rFonts w:asciiTheme="majorBidi" w:eastAsia="Calibri" w:hAnsiTheme="majorBidi" w:cstheme="majorBidi"/>
          <w14:ligatures w14:val="standardContextual"/>
        </w:rPr>
        <w:t xml:space="preserve"> secināms</w:t>
      </w:r>
      <w:r w:rsidR="00252C30" w:rsidRPr="0018516E">
        <w:rPr>
          <w:rFonts w:asciiTheme="majorBidi" w:eastAsia="Calibri" w:hAnsiTheme="majorBidi" w:cstheme="majorBidi"/>
          <w14:ligatures w14:val="standardContextual"/>
        </w:rPr>
        <w:t xml:space="preserve">, ka </w:t>
      </w:r>
      <w:r w:rsidR="009621CD" w:rsidRPr="0018516E">
        <w:rPr>
          <w:rFonts w:asciiTheme="majorBidi" w:eastAsia="Calibri" w:hAnsiTheme="majorBidi" w:cstheme="majorBidi"/>
          <w14:ligatures w14:val="standardContextual"/>
        </w:rPr>
        <w:t>prasība, kas celta izskatāmajā lietā,</w:t>
      </w:r>
      <w:r w:rsidR="00252C30" w:rsidRPr="0018516E">
        <w:rPr>
          <w:rFonts w:asciiTheme="majorBidi" w:eastAsia="Calibri" w:hAnsiTheme="majorBidi" w:cstheme="majorBidi"/>
          <w14:ligatures w14:val="standardContextual"/>
        </w:rPr>
        <w:t xml:space="preserve"> attiecas </w:t>
      </w:r>
      <w:r w:rsidR="009621CD" w:rsidRPr="0018516E">
        <w:rPr>
          <w:rFonts w:asciiTheme="majorBidi" w:eastAsia="Calibri" w:hAnsiTheme="majorBidi" w:cstheme="majorBidi"/>
          <w14:ligatures w14:val="standardContextual"/>
        </w:rPr>
        <w:t>uz līgumsaistībām.</w:t>
      </w:r>
      <w:r w:rsidR="008C4D8D" w:rsidRPr="0018516E">
        <w:rPr>
          <w:rFonts w:asciiTheme="majorBidi" w:eastAsia="Calibri" w:hAnsiTheme="majorBidi" w:cstheme="majorBidi"/>
          <w14:ligatures w14:val="standardContextual"/>
        </w:rPr>
        <w:t xml:space="preserve"> </w:t>
      </w:r>
    </w:p>
    <w:p w14:paraId="49CCE1EF" w14:textId="4C17FE86" w:rsidR="002D4AE7" w:rsidRPr="0018516E" w:rsidRDefault="003E795B"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[4.</w:t>
      </w:r>
      <w:r w:rsidR="00312D8F" w:rsidRPr="0018516E">
        <w:rPr>
          <w:rFonts w:asciiTheme="majorBidi" w:eastAsia="Calibri" w:hAnsiTheme="majorBidi" w:cstheme="majorBidi"/>
          <w14:ligatures w14:val="standardContextual"/>
        </w:rPr>
        <w:t>3</w:t>
      </w:r>
      <w:r w:rsidRPr="0018516E">
        <w:rPr>
          <w:rFonts w:asciiTheme="majorBidi" w:eastAsia="Calibri" w:hAnsiTheme="majorBidi" w:cstheme="majorBidi"/>
          <w14:ligatures w14:val="standardContextual"/>
        </w:rPr>
        <w:t>]</w:t>
      </w:r>
      <w:r w:rsidR="00D34749" w:rsidRPr="0018516E">
        <w:rPr>
          <w:rFonts w:asciiTheme="majorBidi" w:eastAsia="Calibri" w:hAnsiTheme="majorBidi" w:cstheme="majorBidi"/>
          <w14:ligatures w14:val="standardContextual"/>
        </w:rPr>
        <w:t> </w:t>
      </w:r>
      <w:r w:rsidR="002D4AE7" w:rsidRPr="0018516E">
        <w:rPr>
          <w:rFonts w:asciiTheme="majorBidi" w:eastAsia="Calibri" w:hAnsiTheme="majorBidi" w:cstheme="majorBidi"/>
          <w14:ligatures w14:val="standardContextual"/>
        </w:rPr>
        <w:t>Roma I regulas 3. panta 1. punkt</w:t>
      </w:r>
      <w:r w:rsidR="0090499B" w:rsidRPr="0018516E">
        <w:rPr>
          <w:rFonts w:asciiTheme="majorBidi" w:eastAsia="Calibri" w:hAnsiTheme="majorBidi" w:cstheme="majorBidi"/>
          <w14:ligatures w14:val="standardContextual"/>
        </w:rPr>
        <w:t>a pirmajā teikumā</w:t>
      </w:r>
      <w:r w:rsidR="002D4AE7" w:rsidRPr="0018516E">
        <w:rPr>
          <w:rFonts w:asciiTheme="majorBidi" w:eastAsia="Calibri" w:hAnsiTheme="majorBidi" w:cstheme="majorBidi"/>
          <w14:ligatures w14:val="standardContextual"/>
        </w:rPr>
        <w:t xml:space="preserve"> no</w:t>
      </w:r>
      <w:r w:rsidR="0090499B" w:rsidRPr="0018516E">
        <w:rPr>
          <w:rFonts w:asciiTheme="majorBidi" w:eastAsia="Calibri" w:hAnsiTheme="majorBidi" w:cstheme="majorBidi"/>
          <w14:ligatures w14:val="standardContextual"/>
        </w:rPr>
        <w:t>rādīts</w:t>
      </w:r>
      <w:r w:rsidR="002D4AE7" w:rsidRPr="0018516E">
        <w:rPr>
          <w:rFonts w:asciiTheme="majorBidi" w:eastAsia="Calibri" w:hAnsiTheme="majorBidi" w:cstheme="majorBidi"/>
          <w14:ligatures w14:val="standardContextual"/>
        </w:rPr>
        <w:t xml:space="preserve">, ka līgumu reglamentē tie tiesību akti, kurus izvēlas puses. </w:t>
      </w:r>
    </w:p>
    <w:p w14:paraId="5BD788B5" w14:textId="3F98E394" w:rsidR="00C16A88" w:rsidRPr="0018516E" w:rsidRDefault="00465F92"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I</w:t>
      </w:r>
      <w:r w:rsidR="00C16A88" w:rsidRPr="0018516E">
        <w:rPr>
          <w:rFonts w:asciiTheme="majorBidi" w:eastAsia="Calibri" w:hAnsiTheme="majorBidi" w:cstheme="majorBidi"/>
          <w14:ligatures w14:val="standardContextual"/>
        </w:rPr>
        <w:t>zskatāmajā lietā celto prasību</w:t>
      </w:r>
      <w:r w:rsidRPr="0018516E">
        <w:rPr>
          <w:rFonts w:asciiTheme="majorBidi" w:eastAsia="Calibri" w:hAnsiTheme="majorBidi" w:cstheme="majorBidi"/>
          <w14:ligatures w14:val="standardContextual"/>
        </w:rPr>
        <w:t xml:space="preserve"> kasācijas sūdzības iesniedzēja</w:t>
      </w:r>
      <w:r w:rsidR="0045415C" w:rsidRPr="0018516E">
        <w:rPr>
          <w:rFonts w:asciiTheme="majorBidi" w:eastAsia="Calibri" w:hAnsiTheme="majorBidi" w:cstheme="majorBidi"/>
          <w14:ligatures w14:val="standardContextual"/>
        </w:rPr>
        <w:t xml:space="preserve">, no vienas puses, </w:t>
      </w:r>
      <w:r w:rsidR="00C16A88" w:rsidRPr="0018516E">
        <w:rPr>
          <w:rFonts w:asciiTheme="majorBidi" w:eastAsia="Calibri" w:hAnsiTheme="majorBidi" w:cstheme="majorBidi"/>
          <w14:ligatures w14:val="standardContextual"/>
        </w:rPr>
        <w:t xml:space="preserve"> atzīst par tādu, kas attiecas uz līgumsaistībām. No otras puses, kasācijas sūdzībā pausts viedoklis, ka</w:t>
      </w:r>
      <w:r w:rsidR="00D61B66" w:rsidRPr="0018516E">
        <w:rPr>
          <w:rFonts w:asciiTheme="majorBidi" w:eastAsia="Calibri" w:hAnsiTheme="majorBidi" w:cstheme="majorBidi"/>
          <w14:ligatures w14:val="standardContextual"/>
        </w:rPr>
        <w:t xml:space="preserve"> </w:t>
      </w:r>
      <w:r w:rsidR="00C16A88" w:rsidRPr="0018516E">
        <w:rPr>
          <w:rFonts w:asciiTheme="majorBidi" w:eastAsia="Calibri" w:hAnsiTheme="majorBidi" w:cstheme="majorBidi"/>
          <w14:ligatures w14:val="standardContextual"/>
        </w:rPr>
        <w:t xml:space="preserve">apstrīdētajā līgumā ietvertā </w:t>
      </w:r>
      <w:r w:rsidR="00594AD6" w:rsidRPr="0018516E">
        <w:rPr>
          <w:rFonts w:asciiTheme="majorBidi" w:eastAsia="Calibri" w:hAnsiTheme="majorBidi" w:cstheme="majorBidi"/>
          <w14:ligatures w14:val="standardContextual"/>
        </w:rPr>
        <w:t xml:space="preserve">pušu </w:t>
      </w:r>
      <w:r w:rsidR="00C16A88" w:rsidRPr="0018516E">
        <w:rPr>
          <w:rFonts w:asciiTheme="majorBidi" w:eastAsia="Calibri" w:hAnsiTheme="majorBidi" w:cstheme="majorBidi"/>
          <w14:ligatures w14:val="standardContextual"/>
        </w:rPr>
        <w:t>vienošanās par piemērojam</w:t>
      </w:r>
      <w:r w:rsidR="00D61B66" w:rsidRPr="0018516E">
        <w:rPr>
          <w:rFonts w:asciiTheme="majorBidi" w:eastAsia="Calibri" w:hAnsiTheme="majorBidi" w:cstheme="majorBidi"/>
          <w14:ligatures w14:val="standardContextual"/>
        </w:rPr>
        <w:t>ām tiesībām, proti, Latvijas</w:t>
      </w:r>
      <w:r w:rsidR="00247E3C" w:rsidRPr="0018516E">
        <w:rPr>
          <w:rFonts w:asciiTheme="majorBidi" w:eastAsia="Calibri" w:hAnsiTheme="majorBidi" w:cstheme="majorBidi"/>
          <w14:ligatures w14:val="standardContextual"/>
        </w:rPr>
        <w:t xml:space="preserve"> Republikas</w:t>
      </w:r>
      <w:r w:rsidR="00D61B66" w:rsidRPr="0018516E">
        <w:rPr>
          <w:rFonts w:asciiTheme="majorBidi" w:eastAsia="Calibri" w:hAnsiTheme="majorBidi" w:cstheme="majorBidi"/>
          <w14:ligatures w14:val="standardContextual"/>
        </w:rPr>
        <w:t xml:space="preserve"> likum</w:t>
      </w:r>
      <w:r w:rsidR="00820D70" w:rsidRPr="0018516E">
        <w:rPr>
          <w:rFonts w:asciiTheme="majorBidi" w:eastAsia="Calibri" w:hAnsiTheme="majorBidi" w:cstheme="majorBidi"/>
          <w14:ligatures w14:val="standardContextual"/>
        </w:rPr>
        <w:t>iem</w:t>
      </w:r>
      <w:r w:rsidR="00D61B66" w:rsidRPr="0018516E">
        <w:rPr>
          <w:rFonts w:asciiTheme="majorBidi" w:eastAsia="Calibri" w:hAnsiTheme="majorBidi" w:cstheme="majorBidi"/>
          <w14:ligatures w14:val="standardContextual"/>
        </w:rPr>
        <w:t>,</w:t>
      </w:r>
      <w:r w:rsidR="00C16A88" w:rsidRPr="0018516E">
        <w:rPr>
          <w:rFonts w:asciiTheme="majorBidi" w:eastAsia="Calibri" w:hAnsiTheme="majorBidi" w:cstheme="majorBidi"/>
          <w14:ligatures w14:val="standardContextual"/>
        </w:rPr>
        <w:t xml:space="preserve"> nav saistoša prasītājai un atbildētājai, starp kurām nav līgumsaistību. Šajā </w:t>
      </w:r>
      <w:r w:rsidR="00C96C8F" w:rsidRPr="0018516E">
        <w:rPr>
          <w:rFonts w:asciiTheme="majorBidi" w:eastAsia="Calibri" w:hAnsiTheme="majorBidi" w:cstheme="majorBidi"/>
          <w14:ligatures w14:val="standardContextual"/>
        </w:rPr>
        <w:t xml:space="preserve">ziņā </w:t>
      </w:r>
      <w:r w:rsidR="00C16A88" w:rsidRPr="0018516E">
        <w:rPr>
          <w:rFonts w:asciiTheme="majorBidi" w:eastAsia="Calibri" w:hAnsiTheme="majorBidi" w:cstheme="majorBidi"/>
          <w14:ligatures w14:val="standardContextual"/>
        </w:rPr>
        <w:t xml:space="preserve">senatoru kolēģija norāda, ka </w:t>
      </w:r>
      <w:r w:rsidR="00D61B66" w:rsidRPr="0018516E">
        <w:rPr>
          <w:rFonts w:asciiTheme="majorBidi" w:eastAsia="Calibri" w:hAnsiTheme="majorBidi" w:cstheme="majorBidi"/>
          <w14:ligatures w14:val="standardContextual"/>
        </w:rPr>
        <w:t>saskaņā ar Roma I regulas 12. panta 1.</w:t>
      </w:r>
      <w:r w:rsidR="00C96C8F" w:rsidRPr="0018516E">
        <w:rPr>
          <w:rFonts w:asciiTheme="majorBidi" w:eastAsia="Calibri" w:hAnsiTheme="majorBidi" w:cstheme="majorBidi"/>
          <w14:ligatures w14:val="standardContextual"/>
        </w:rPr>
        <w:t> </w:t>
      </w:r>
      <w:r w:rsidR="00D61B66" w:rsidRPr="0018516E">
        <w:rPr>
          <w:rFonts w:asciiTheme="majorBidi" w:eastAsia="Calibri" w:hAnsiTheme="majorBidi" w:cstheme="majorBidi"/>
          <w14:ligatures w14:val="standardContextual"/>
        </w:rPr>
        <w:t>punkt</w:t>
      </w:r>
      <w:r w:rsidR="00820D70" w:rsidRPr="0018516E">
        <w:rPr>
          <w:rFonts w:asciiTheme="majorBidi" w:eastAsia="Calibri" w:hAnsiTheme="majorBidi" w:cstheme="majorBidi"/>
          <w14:ligatures w14:val="standardContextual"/>
        </w:rPr>
        <w:t xml:space="preserve">a </w:t>
      </w:r>
      <w:r w:rsidR="00B2169C" w:rsidRPr="0018516E">
        <w:rPr>
          <w:rFonts w:asciiTheme="majorBidi" w:eastAsia="Calibri" w:hAnsiTheme="majorBidi" w:cstheme="majorBidi"/>
          <w14:ligatures w14:val="standardContextual"/>
        </w:rPr>
        <w:t>„</w:t>
      </w:r>
      <w:r w:rsidR="00820D70" w:rsidRPr="0018516E">
        <w:rPr>
          <w:rFonts w:asciiTheme="majorBidi" w:eastAsia="Calibri" w:hAnsiTheme="majorBidi" w:cstheme="majorBidi"/>
          <w14:ligatures w14:val="standardContextual"/>
        </w:rPr>
        <w:t>e</w:t>
      </w:r>
      <w:r w:rsidR="00B2169C" w:rsidRPr="0018516E">
        <w:rPr>
          <w:rFonts w:asciiTheme="majorBidi" w:eastAsia="Calibri" w:hAnsiTheme="majorBidi" w:cstheme="majorBidi"/>
          <w14:ligatures w14:val="standardContextual"/>
        </w:rPr>
        <w:t>”</w:t>
      </w:r>
      <w:r w:rsidR="00C96C8F" w:rsidRPr="0018516E">
        <w:rPr>
          <w:rFonts w:asciiTheme="majorBidi" w:eastAsia="Calibri" w:hAnsiTheme="majorBidi" w:cstheme="majorBidi"/>
          <w14:ligatures w14:val="standardContextual"/>
        </w:rPr>
        <w:t> </w:t>
      </w:r>
      <w:r w:rsidR="00820D70" w:rsidRPr="0018516E">
        <w:rPr>
          <w:rFonts w:asciiTheme="majorBidi" w:eastAsia="Calibri" w:hAnsiTheme="majorBidi" w:cstheme="majorBidi"/>
          <w14:ligatures w14:val="standardContextual"/>
        </w:rPr>
        <w:t>apakšpunktu</w:t>
      </w:r>
      <w:r w:rsidR="00D61B66" w:rsidRPr="0018516E">
        <w:rPr>
          <w:rFonts w:asciiTheme="majorBidi" w:eastAsia="Calibri" w:hAnsiTheme="majorBidi" w:cstheme="majorBidi"/>
          <w14:ligatures w14:val="standardContextual"/>
        </w:rPr>
        <w:t xml:space="preserve"> tiesību akti, ko saskaņā </w:t>
      </w:r>
      <w:r w:rsidR="00820D70" w:rsidRPr="0018516E">
        <w:rPr>
          <w:rFonts w:asciiTheme="majorBidi" w:eastAsia="Calibri" w:hAnsiTheme="majorBidi" w:cstheme="majorBidi"/>
          <w14:ligatures w14:val="standardContextual"/>
        </w:rPr>
        <w:t xml:space="preserve">ar šo regulu piemēro līgumam, jo īpaši reglamentē arī līguma spēkā neesības sekas. Konkrētajā gadījumā </w:t>
      </w:r>
      <w:r w:rsidR="00820D70" w:rsidRPr="0018516E">
        <w:rPr>
          <w:rFonts w:asciiTheme="majorBidi" w:eastAsia="Calibri" w:hAnsiTheme="majorBidi" w:cstheme="majorBidi"/>
          <w14:ligatures w14:val="standardContextual"/>
        </w:rPr>
        <w:lastRenderedPageBreak/>
        <w:t>,,tiesību akti, ko saskaņā ar šo regulu piemēro līgumam” ir Latvijas likum</w:t>
      </w:r>
      <w:r w:rsidR="00247E3C" w:rsidRPr="0018516E">
        <w:rPr>
          <w:rFonts w:asciiTheme="majorBidi" w:eastAsia="Calibri" w:hAnsiTheme="majorBidi" w:cstheme="majorBidi"/>
          <w14:ligatures w14:val="standardContextual"/>
        </w:rPr>
        <w:t>s</w:t>
      </w:r>
      <w:r w:rsidR="00820D70" w:rsidRPr="0018516E">
        <w:rPr>
          <w:rFonts w:asciiTheme="majorBidi" w:eastAsia="Calibri" w:hAnsiTheme="majorBidi" w:cstheme="majorBidi"/>
          <w14:ligatures w14:val="standardContextual"/>
        </w:rPr>
        <w:t>, par kur</w:t>
      </w:r>
      <w:r w:rsidR="00247E3C" w:rsidRPr="0018516E">
        <w:rPr>
          <w:rFonts w:asciiTheme="majorBidi" w:eastAsia="Calibri" w:hAnsiTheme="majorBidi" w:cstheme="majorBidi"/>
          <w14:ligatures w14:val="standardContextual"/>
        </w:rPr>
        <w:t>a</w:t>
      </w:r>
      <w:r w:rsidR="00820D70" w:rsidRPr="0018516E">
        <w:rPr>
          <w:rFonts w:asciiTheme="majorBidi" w:eastAsia="Calibri" w:hAnsiTheme="majorBidi" w:cstheme="majorBidi"/>
          <w14:ligatures w14:val="standardContextual"/>
        </w:rPr>
        <w:t xml:space="preserve"> piemērošanu </w:t>
      </w:r>
      <w:r w:rsidR="00465F56" w:rsidRPr="0018516E">
        <w:rPr>
          <w:rFonts w:asciiTheme="majorBidi" w:eastAsia="Calibri" w:hAnsiTheme="majorBidi" w:cstheme="majorBidi"/>
          <w14:ligatures w14:val="standardContextual"/>
        </w:rPr>
        <w:t>vienojušās apstrīdētā līguma puses</w:t>
      </w:r>
      <w:r w:rsidR="00820D70" w:rsidRPr="0018516E">
        <w:rPr>
          <w:rFonts w:asciiTheme="majorBidi" w:eastAsia="Calibri" w:hAnsiTheme="majorBidi" w:cstheme="majorBidi"/>
          <w14:ligatures w14:val="standardContextual"/>
        </w:rPr>
        <w:t xml:space="preserve">. </w:t>
      </w:r>
    </w:p>
    <w:p w14:paraId="33FBD049" w14:textId="48C91FB1" w:rsidR="008C4D8D" w:rsidRPr="0018516E" w:rsidRDefault="008C4D8D"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Latvijas likuma piemērošana izskatāmajā lietā respektē pušu brīvību izvēlēties piemērojamos tiesību aktus. Kā norādīts Roma</w:t>
      </w:r>
      <w:r w:rsidR="00795A46" w:rsidRPr="0018516E">
        <w:rPr>
          <w:rFonts w:asciiTheme="majorBidi" w:eastAsia="Calibri" w:hAnsiTheme="majorBidi" w:cstheme="majorBidi"/>
          <w14:ligatures w14:val="standardContextual"/>
        </w:rPr>
        <w:t> </w:t>
      </w:r>
      <w:r w:rsidRPr="0018516E">
        <w:rPr>
          <w:rFonts w:asciiTheme="majorBidi" w:eastAsia="Calibri" w:hAnsiTheme="majorBidi" w:cstheme="majorBidi"/>
          <w14:ligatures w14:val="standardContextual"/>
        </w:rPr>
        <w:t>I regulas preambulas 11.</w:t>
      </w:r>
      <w:r w:rsidR="00795A46" w:rsidRPr="0018516E">
        <w:rPr>
          <w:rFonts w:asciiTheme="majorBidi" w:eastAsia="Calibri" w:hAnsiTheme="majorBidi" w:cstheme="majorBidi"/>
          <w14:ligatures w14:val="standardContextual"/>
        </w:rPr>
        <w:t> </w:t>
      </w:r>
      <w:r w:rsidRPr="0018516E">
        <w:rPr>
          <w:rFonts w:asciiTheme="majorBidi" w:eastAsia="Calibri" w:hAnsiTheme="majorBidi" w:cstheme="majorBidi"/>
          <w14:ligatures w14:val="standardContextual"/>
        </w:rPr>
        <w:t>apsvērumā, līgumsaistību jomā pušu brīvībai izvēlēties piemērojamos tiesību aktus vajadzētu būt vien</w:t>
      </w:r>
      <w:r w:rsidR="00D34749" w:rsidRPr="0018516E">
        <w:rPr>
          <w:rFonts w:asciiTheme="majorBidi" w:eastAsia="Calibri" w:hAnsiTheme="majorBidi" w:cstheme="majorBidi"/>
          <w14:ligatures w14:val="standardContextual"/>
        </w:rPr>
        <w:t>ai</w:t>
      </w:r>
      <w:r w:rsidRPr="0018516E">
        <w:rPr>
          <w:rFonts w:asciiTheme="majorBidi" w:eastAsia="Calibri" w:hAnsiTheme="majorBidi" w:cstheme="majorBidi"/>
          <w14:ligatures w14:val="standardContextual"/>
        </w:rPr>
        <w:t xml:space="preserve"> no kolīziju normu sistēmas balstiem. </w:t>
      </w:r>
    </w:p>
    <w:p w14:paraId="3E9DA31C" w14:textId="0A0EE6EB" w:rsidR="00D40C09" w:rsidRPr="0018516E" w:rsidRDefault="008C4D8D"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Tātad</w:t>
      </w:r>
      <w:r w:rsidR="00EC2974" w:rsidRPr="0018516E">
        <w:rPr>
          <w:rFonts w:asciiTheme="majorBidi" w:eastAsia="Calibri" w:hAnsiTheme="majorBidi" w:cstheme="majorBidi"/>
          <w14:ligatures w14:val="standardContextual"/>
        </w:rPr>
        <w:t xml:space="preserve"> </w:t>
      </w:r>
      <w:r w:rsidR="0053764B" w:rsidRPr="0018516E">
        <w:rPr>
          <w:rFonts w:asciiTheme="majorBidi" w:eastAsia="Calibri" w:hAnsiTheme="majorBidi" w:cstheme="majorBidi"/>
          <w14:ligatures w14:val="standardContextual"/>
        </w:rPr>
        <w:t xml:space="preserve">puses apstrīdētajā līgumā ir vienojušās par strīdu izšķiršanu saskaņā ar Latvijas tiesību aktiem, </w:t>
      </w:r>
      <w:r w:rsidR="00EC2974" w:rsidRPr="0018516E">
        <w:rPr>
          <w:rFonts w:asciiTheme="majorBidi" w:eastAsia="Calibri" w:hAnsiTheme="majorBidi" w:cstheme="majorBidi"/>
          <w14:ligatures w14:val="standardContextual"/>
        </w:rPr>
        <w:t xml:space="preserve">un </w:t>
      </w:r>
      <w:r w:rsidR="0053764B" w:rsidRPr="0018516E">
        <w:rPr>
          <w:rFonts w:asciiTheme="majorBidi" w:eastAsia="Calibri" w:hAnsiTheme="majorBidi" w:cstheme="majorBidi"/>
          <w14:ligatures w14:val="standardContextual"/>
        </w:rPr>
        <w:t xml:space="preserve">izskatāmajā lietā </w:t>
      </w:r>
      <w:r w:rsidR="00EC2974" w:rsidRPr="0018516E">
        <w:rPr>
          <w:rFonts w:asciiTheme="majorBidi" w:eastAsia="Calibri" w:hAnsiTheme="majorBidi" w:cstheme="majorBidi"/>
          <w14:ligatures w14:val="standardContextual"/>
        </w:rPr>
        <w:t xml:space="preserve">ir </w:t>
      </w:r>
      <w:r w:rsidR="0053764B" w:rsidRPr="0018516E">
        <w:rPr>
          <w:rFonts w:asciiTheme="majorBidi" w:eastAsia="Calibri" w:hAnsiTheme="majorBidi" w:cstheme="majorBidi"/>
          <w14:ligatures w14:val="standardContextual"/>
        </w:rPr>
        <w:t xml:space="preserve">piemērojams Latvijas likums. </w:t>
      </w:r>
    </w:p>
    <w:p w14:paraId="53DBF5AB" w14:textId="09BF08E2" w:rsidR="009A267D" w:rsidRPr="0018516E" w:rsidRDefault="006D4E0C" w:rsidP="0018516E">
      <w:pPr>
        <w:spacing w:line="276" w:lineRule="auto"/>
        <w:ind w:firstLine="720"/>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[4.</w:t>
      </w:r>
      <w:r w:rsidR="00DE2185" w:rsidRPr="0018516E">
        <w:rPr>
          <w:rFonts w:asciiTheme="majorBidi" w:eastAsia="Calibri" w:hAnsiTheme="majorBidi" w:cstheme="majorBidi"/>
          <w14:ligatures w14:val="standardContextual"/>
        </w:rPr>
        <w:t>4</w:t>
      </w:r>
      <w:r w:rsidRPr="0018516E">
        <w:rPr>
          <w:rFonts w:asciiTheme="majorBidi" w:eastAsia="Calibri" w:hAnsiTheme="majorBidi" w:cstheme="majorBidi"/>
          <w14:ligatures w14:val="standardContextual"/>
        </w:rPr>
        <w:t>]</w:t>
      </w:r>
      <w:r w:rsidR="00D34749" w:rsidRPr="0018516E">
        <w:rPr>
          <w:rFonts w:asciiTheme="majorBidi" w:eastAsia="Calibri" w:hAnsiTheme="majorBidi" w:cstheme="majorBidi"/>
          <w14:ligatures w14:val="standardContextual"/>
        </w:rPr>
        <w:t> </w:t>
      </w:r>
      <w:r w:rsidR="001E45D8" w:rsidRPr="0018516E">
        <w:rPr>
          <w:rFonts w:asciiTheme="majorBidi" w:eastAsia="Calibri" w:hAnsiTheme="majorBidi" w:cstheme="majorBidi"/>
          <w14:ligatures w14:val="standardContextual"/>
        </w:rPr>
        <w:t>Kaut arī</w:t>
      </w:r>
      <w:r w:rsidR="009A267D" w:rsidRPr="0018516E">
        <w:rPr>
          <w:rFonts w:asciiTheme="majorBidi" w:eastAsia="Calibri" w:hAnsiTheme="majorBidi" w:cstheme="majorBidi"/>
          <w14:ligatures w14:val="standardContextual"/>
        </w:rPr>
        <w:t xml:space="preserve"> </w:t>
      </w:r>
      <w:r w:rsidR="00795A46" w:rsidRPr="0018516E">
        <w:rPr>
          <w:rFonts w:asciiTheme="majorBidi" w:eastAsia="Calibri" w:hAnsiTheme="majorBidi" w:cstheme="majorBidi"/>
          <w14:ligatures w14:val="standardContextual"/>
        </w:rPr>
        <w:t xml:space="preserve">apelācijas instances tiesa </w:t>
      </w:r>
      <w:r w:rsidR="00D40C09" w:rsidRPr="0018516E">
        <w:rPr>
          <w:rFonts w:asciiTheme="majorBidi" w:eastAsia="Calibri" w:hAnsiTheme="majorBidi" w:cstheme="majorBidi"/>
          <w14:ligatures w14:val="standardContextual"/>
        </w:rPr>
        <w:t>kļūdījus</w:t>
      </w:r>
      <w:r w:rsidR="009A267D" w:rsidRPr="0018516E">
        <w:rPr>
          <w:rFonts w:asciiTheme="majorBidi" w:eastAsia="Calibri" w:hAnsiTheme="majorBidi" w:cstheme="majorBidi"/>
          <w14:ligatures w14:val="standardContextual"/>
        </w:rPr>
        <w:t>ies</w:t>
      </w:r>
      <w:r w:rsidR="00D40C09" w:rsidRPr="0018516E">
        <w:rPr>
          <w:rFonts w:asciiTheme="majorBidi" w:eastAsia="Calibri" w:hAnsiTheme="majorBidi" w:cstheme="majorBidi"/>
          <w14:ligatures w14:val="standardContextual"/>
        </w:rPr>
        <w:t>,</w:t>
      </w:r>
      <w:r w:rsidR="009A267D" w:rsidRPr="0018516E">
        <w:rPr>
          <w:rFonts w:asciiTheme="majorBidi" w:eastAsia="Calibri" w:hAnsiTheme="majorBidi" w:cstheme="majorBidi"/>
          <w14:ligatures w14:val="standardContextual"/>
        </w:rPr>
        <w:t xml:space="preserve"> atzīstot,</w:t>
      </w:r>
      <w:r w:rsidR="00D40C09" w:rsidRPr="0018516E">
        <w:rPr>
          <w:rFonts w:asciiTheme="majorBidi" w:eastAsia="Calibri" w:hAnsiTheme="majorBidi" w:cstheme="majorBidi"/>
          <w14:ligatures w14:val="standardContextual"/>
        </w:rPr>
        <w:t xml:space="preserve"> ka lietā celtajai prasībai piemērojamie tiesību akti nosakāmi saskaņā ar Roma</w:t>
      </w:r>
      <w:r w:rsidR="00795A46" w:rsidRPr="0018516E">
        <w:rPr>
          <w:rFonts w:asciiTheme="majorBidi" w:eastAsia="Calibri" w:hAnsiTheme="majorBidi" w:cstheme="majorBidi"/>
          <w14:ligatures w14:val="standardContextual"/>
        </w:rPr>
        <w:t> </w:t>
      </w:r>
      <w:r w:rsidR="00D40C09" w:rsidRPr="0018516E">
        <w:rPr>
          <w:rFonts w:asciiTheme="majorBidi" w:eastAsia="Calibri" w:hAnsiTheme="majorBidi" w:cstheme="majorBidi"/>
          <w14:ligatures w14:val="standardContextual"/>
        </w:rPr>
        <w:t>II regulas normām,</w:t>
      </w:r>
      <w:r w:rsidR="009A267D" w:rsidRPr="0018516E">
        <w:rPr>
          <w:rFonts w:asciiTheme="majorBidi" w:eastAsia="Calibri" w:hAnsiTheme="majorBidi" w:cstheme="majorBidi"/>
          <w14:ligatures w14:val="standardContextual"/>
        </w:rPr>
        <w:t xml:space="preserve"> tā izdarījusi pareizu secinājumu par Latvijas tiesīb</w:t>
      </w:r>
      <w:r w:rsidR="00B2169C" w:rsidRPr="0018516E">
        <w:rPr>
          <w:rFonts w:asciiTheme="majorBidi" w:eastAsia="Calibri" w:hAnsiTheme="majorBidi" w:cstheme="majorBidi"/>
          <w14:ligatures w14:val="standardContextual"/>
        </w:rPr>
        <w:t>u aktiem</w:t>
      </w:r>
      <w:r w:rsidR="009A267D" w:rsidRPr="0018516E">
        <w:rPr>
          <w:rFonts w:asciiTheme="majorBidi" w:eastAsia="Calibri" w:hAnsiTheme="majorBidi" w:cstheme="majorBidi"/>
          <w14:ligatures w14:val="standardContextual"/>
        </w:rPr>
        <w:t xml:space="preserve"> kā piemērojam</w:t>
      </w:r>
      <w:r w:rsidR="00A6797C" w:rsidRPr="0018516E">
        <w:rPr>
          <w:rFonts w:asciiTheme="majorBidi" w:eastAsia="Calibri" w:hAnsiTheme="majorBidi" w:cstheme="majorBidi"/>
          <w14:ligatures w14:val="standardContextual"/>
        </w:rPr>
        <w:t>o likumu</w:t>
      </w:r>
      <w:r w:rsidR="00795A46" w:rsidRPr="0018516E">
        <w:rPr>
          <w:rFonts w:asciiTheme="majorBidi" w:eastAsia="Calibri" w:hAnsiTheme="majorBidi" w:cstheme="majorBidi"/>
          <w14:ligatures w14:val="standardContextual"/>
        </w:rPr>
        <w:t>,</w:t>
      </w:r>
      <w:r w:rsidR="009A267D" w:rsidRPr="0018516E">
        <w:rPr>
          <w:rFonts w:asciiTheme="majorBidi" w:eastAsia="Calibri" w:hAnsiTheme="majorBidi" w:cstheme="majorBidi"/>
          <w14:ligatures w14:val="standardContextual"/>
        </w:rPr>
        <w:t xml:space="preserve"> un pārsūdzētajā spriedumā ietvert</w:t>
      </w:r>
      <w:r w:rsidR="00795A46" w:rsidRPr="0018516E">
        <w:rPr>
          <w:rFonts w:asciiTheme="majorBidi" w:eastAsia="Calibri" w:hAnsiTheme="majorBidi" w:cstheme="majorBidi"/>
          <w14:ligatures w14:val="standardContextual"/>
        </w:rPr>
        <w:t>ā</w:t>
      </w:r>
      <w:r w:rsidR="009A267D" w:rsidRPr="0018516E">
        <w:rPr>
          <w:rFonts w:asciiTheme="majorBidi" w:eastAsia="Calibri" w:hAnsiTheme="majorBidi" w:cstheme="majorBidi"/>
          <w14:ligatures w14:val="standardContextual"/>
        </w:rPr>
        <w:t xml:space="preserve"> lietas iznākum</w:t>
      </w:r>
      <w:r w:rsidR="00795A46" w:rsidRPr="0018516E">
        <w:rPr>
          <w:rFonts w:asciiTheme="majorBidi" w:eastAsia="Calibri" w:hAnsiTheme="majorBidi" w:cstheme="majorBidi"/>
          <w14:ligatures w14:val="standardContextual"/>
        </w:rPr>
        <w:t>a pareizību</w:t>
      </w:r>
      <w:r w:rsidR="009A267D" w:rsidRPr="0018516E">
        <w:rPr>
          <w:rFonts w:asciiTheme="majorBidi" w:eastAsia="Calibri" w:hAnsiTheme="majorBidi" w:cstheme="majorBidi"/>
          <w14:ligatures w14:val="standardContextual"/>
        </w:rPr>
        <w:t xml:space="preserve"> senatoru kolēģijai nav pamata apšaubīt. </w:t>
      </w:r>
    </w:p>
    <w:p w14:paraId="7AB4FE8E" w14:textId="7A6F82FF" w:rsidR="00F95E82" w:rsidRPr="0018516E" w:rsidRDefault="00614F7E" w:rsidP="0018516E">
      <w:pPr>
        <w:spacing w:line="276" w:lineRule="auto"/>
        <w:jc w:val="both"/>
        <w:rPr>
          <w:rFonts w:asciiTheme="majorBidi" w:eastAsia="Calibri" w:hAnsiTheme="majorBidi" w:cstheme="majorBidi"/>
          <w14:ligatures w14:val="standardContextual"/>
        </w:rPr>
      </w:pPr>
      <w:r w:rsidRPr="0018516E">
        <w:rPr>
          <w:rFonts w:asciiTheme="majorBidi" w:eastAsia="Calibri" w:hAnsiTheme="majorBidi" w:cstheme="majorBidi"/>
          <w14:ligatures w14:val="standardContextual"/>
        </w:rPr>
        <w:tab/>
      </w:r>
    </w:p>
    <w:p w14:paraId="3F5E775F" w14:textId="3794350F" w:rsidR="00614F7E" w:rsidRPr="0018516E" w:rsidRDefault="00614F7E" w:rsidP="0018516E">
      <w:pPr>
        <w:spacing w:line="276" w:lineRule="auto"/>
        <w:ind w:firstLine="720"/>
        <w:jc w:val="both"/>
        <w:rPr>
          <w:rFonts w:asciiTheme="majorBidi" w:eastAsiaTheme="minorEastAsia" w:hAnsiTheme="majorBidi" w:cstheme="majorBidi"/>
          <w:kern w:val="2"/>
          <w:lang w:eastAsia="zh-CN"/>
          <w14:ligatures w14:val="standardContextual"/>
        </w:rPr>
      </w:pPr>
      <w:bookmarkStart w:id="1" w:name="_Hlk178584642"/>
      <w:r w:rsidRPr="0018516E">
        <w:rPr>
          <w:rFonts w:asciiTheme="majorBidi" w:eastAsiaTheme="minorEastAsia" w:hAnsiTheme="majorBidi" w:cstheme="majorBidi"/>
          <w:kern w:val="2"/>
          <w:lang w:eastAsia="zh-CN"/>
          <w14:ligatures w14:val="standardContextual"/>
        </w:rPr>
        <w:t>[5] Kasācijas sūdzībā ietverts lūgums uzdot Eiropas Savienības Tiesai jautājumus prejudiciāla nolēmuma pieņemšanai par Roma</w:t>
      </w:r>
      <w:r w:rsidR="00795A46" w:rsidRPr="0018516E">
        <w:rPr>
          <w:rFonts w:asciiTheme="majorBidi" w:eastAsiaTheme="minorEastAsia" w:hAnsiTheme="majorBidi" w:cstheme="majorBidi"/>
          <w:kern w:val="2"/>
          <w:lang w:eastAsia="zh-CN"/>
          <w14:ligatures w14:val="standardContextual"/>
        </w:rPr>
        <w:t> </w:t>
      </w:r>
      <w:r w:rsidRPr="0018516E">
        <w:rPr>
          <w:rFonts w:asciiTheme="majorBidi" w:eastAsiaTheme="minorEastAsia" w:hAnsiTheme="majorBidi" w:cstheme="majorBidi"/>
          <w:kern w:val="2"/>
          <w:lang w:eastAsia="zh-CN"/>
          <w14:ligatures w14:val="standardContextual"/>
        </w:rPr>
        <w:t>II</w:t>
      </w:r>
      <w:r w:rsidR="00795A46" w:rsidRPr="0018516E">
        <w:rPr>
          <w:rFonts w:asciiTheme="majorBidi" w:eastAsiaTheme="minorEastAsia" w:hAnsiTheme="majorBidi" w:cstheme="majorBidi"/>
          <w:kern w:val="2"/>
          <w:lang w:eastAsia="zh-CN"/>
          <w14:ligatures w14:val="standardContextual"/>
        </w:rPr>
        <w:t xml:space="preserve"> </w:t>
      </w:r>
      <w:r w:rsidRPr="0018516E">
        <w:rPr>
          <w:rFonts w:asciiTheme="majorBidi" w:eastAsiaTheme="minorEastAsia" w:hAnsiTheme="majorBidi" w:cstheme="majorBidi"/>
          <w:kern w:val="2"/>
          <w:lang w:eastAsia="zh-CN"/>
          <w14:ligatures w14:val="standardContextual"/>
        </w:rPr>
        <w:t xml:space="preserve">regulas </w:t>
      </w:r>
      <w:r w:rsidR="00090AA3" w:rsidRPr="0018516E">
        <w:rPr>
          <w:rFonts w:asciiTheme="majorBidi" w:eastAsiaTheme="minorEastAsia" w:hAnsiTheme="majorBidi" w:cstheme="majorBidi"/>
          <w:kern w:val="2"/>
          <w:lang w:eastAsia="zh-CN"/>
          <w14:ligatures w14:val="standardContextual"/>
        </w:rPr>
        <w:t>darbības jomu</w:t>
      </w:r>
      <w:r w:rsidRPr="0018516E">
        <w:rPr>
          <w:rFonts w:asciiTheme="majorBidi" w:eastAsiaTheme="minorEastAsia" w:hAnsiTheme="majorBidi" w:cstheme="majorBidi"/>
          <w:kern w:val="2"/>
          <w:lang w:eastAsia="zh-CN"/>
          <w14:ligatures w14:val="standardContextual"/>
        </w:rPr>
        <w:t>.</w:t>
      </w:r>
      <w:r w:rsidR="00DD46C3" w:rsidRPr="0018516E">
        <w:rPr>
          <w:rFonts w:asciiTheme="majorBidi" w:eastAsiaTheme="minorEastAsia" w:hAnsiTheme="majorBidi" w:cstheme="majorBidi"/>
          <w:kern w:val="2"/>
          <w:lang w:eastAsia="zh-CN"/>
          <w14:ligatures w14:val="standardContextual"/>
        </w:rPr>
        <w:t xml:space="preserve"> </w:t>
      </w:r>
    </w:p>
    <w:p w14:paraId="2E0AC937" w14:textId="45804318" w:rsidR="007C3026" w:rsidRPr="0018516E" w:rsidRDefault="00C91929" w:rsidP="0018516E">
      <w:pPr>
        <w:spacing w:line="276" w:lineRule="auto"/>
        <w:ind w:firstLine="720"/>
        <w:jc w:val="both"/>
        <w:rPr>
          <w:rFonts w:asciiTheme="majorBidi" w:eastAsiaTheme="minorEastAsia" w:hAnsiTheme="majorBidi" w:cstheme="majorBidi"/>
          <w:kern w:val="2"/>
          <w:lang w:eastAsia="zh-CN"/>
          <w14:ligatures w14:val="standardContextual"/>
        </w:rPr>
      </w:pPr>
      <w:r w:rsidRPr="0018516E">
        <w:rPr>
          <w:rFonts w:asciiTheme="majorBidi" w:eastAsiaTheme="minorEastAsia" w:hAnsiTheme="majorBidi" w:cstheme="majorBidi"/>
          <w:kern w:val="2"/>
          <w:lang w:eastAsia="zh-CN"/>
          <w14:ligatures w14:val="standardContextual"/>
        </w:rPr>
        <w:t>Atbilstoši Civilprocesa likuma 5.</w:t>
      </w:r>
      <w:r w:rsidRPr="0018516E">
        <w:rPr>
          <w:rFonts w:asciiTheme="majorBidi" w:eastAsiaTheme="minorEastAsia" w:hAnsiTheme="majorBidi" w:cstheme="majorBidi"/>
          <w:kern w:val="2"/>
          <w:vertAlign w:val="superscript"/>
          <w:lang w:eastAsia="zh-CN"/>
          <w14:ligatures w14:val="standardContextual"/>
        </w:rPr>
        <w:t>1</w:t>
      </w:r>
      <w:r w:rsidRPr="0018516E">
        <w:rPr>
          <w:rFonts w:asciiTheme="majorBidi" w:eastAsiaTheme="minorEastAsia" w:hAnsiTheme="majorBidi" w:cstheme="majorBidi"/>
          <w:kern w:val="2"/>
          <w:lang w:eastAsia="zh-CN"/>
          <w14:ligatures w14:val="standardContextual"/>
        </w:rPr>
        <w:t> pantam tiesa saskaņā ar Eiropas Savienības tiesību normām uzdod Eiropas Savienības Tiesai jautājumu par Eiropas Savienības tiesību normu iztulkošanu vai spēkā esamību prejudiciāla nolēmuma pieņemšanai.</w:t>
      </w:r>
      <w:r w:rsidR="007C3026" w:rsidRPr="0018516E">
        <w:rPr>
          <w:rFonts w:asciiTheme="majorBidi" w:eastAsiaTheme="minorEastAsia" w:hAnsiTheme="majorBidi" w:cstheme="majorBidi"/>
          <w:kern w:val="2"/>
          <w:lang w:eastAsia="zh-CN"/>
          <w14:ligatures w14:val="standardContextual"/>
        </w:rPr>
        <w:t xml:space="preserve"> Saskaņā ar Līguma par Eiropas Savienības darbību (</w:t>
      </w:r>
      <w:r w:rsidR="00795A46" w:rsidRPr="0018516E">
        <w:rPr>
          <w:rFonts w:asciiTheme="majorBidi" w:eastAsiaTheme="minorEastAsia" w:hAnsiTheme="majorBidi" w:cstheme="majorBidi"/>
          <w:kern w:val="2"/>
          <w:lang w:eastAsia="zh-CN"/>
          <w14:ligatures w14:val="standardContextual"/>
        </w:rPr>
        <w:t xml:space="preserve">turpmāk – </w:t>
      </w:r>
      <w:r w:rsidR="007C3026" w:rsidRPr="0018516E">
        <w:rPr>
          <w:rFonts w:asciiTheme="majorBidi" w:eastAsiaTheme="minorEastAsia" w:hAnsiTheme="majorBidi" w:cstheme="majorBidi"/>
          <w:kern w:val="2"/>
          <w:lang w:eastAsia="zh-CN"/>
          <w14:ligatures w14:val="standardContextual"/>
        </w:rPr>
        <w:t xml:space="preserve">LESD) 267. panta noteikumiem, ja jautājumu par Savienības iestāžu vai struktūru tiesību aktu spēkā esamību un interpretāciju ierosina kādas dalībvalsts tiesā, šī tiesa, ja tā uzskata, ka tai, lai taisītu spriedumu, ir vajadzīgs Eiropas Savienības Tiesas lēmums par šo jautājumu, var lūgt, lai Eiropas Savienības Tiesa sniedz nolēmumu par šo jautājumu. Ja minēto jautājumu ierosina par lietu, ko izskata dalībvalsts tiesa, kuras lēmumus saskaņā ar attiecīgās valsts tiesību aktiem nevar pārsūdzēt, tad šai dalībvalsts tiesai atbilstoši LESD 267. pantā noteiktajam jāgriežas Eiropas Savienības Tiesā. </w:t>
      </w:r>
    </w:p>
    <w:p w14:paraId="26164211" w14:textId="1778D284" w:rsidR="00614F7E" w:rsidRPr="0018516E" w:rsidRDefault="00614F7E" w:rsidP="0018516E">
      <w:pPr>
        <w:spacing w:line="276" w:lineRule="auto"/>
        <w:ind w:firstLine="720"/>
        <w:jc w:val="both"/>
        <w:rPr>
          <w:rFonts w:asciiTheme="majorBidi" w:eastAsiaTheme="minorEastAsia" w:hAnsiTheme="majorBidi" w:cstheme="majorBidi"/>
          <w:kern w:val="2"/>
          <w:lang w:eastAsia="zh-CN"/>
          <w14:ligatures w14:val="standardContextual"/>
        </w:rPr>
      </w:pPr>
      <w:r w:rsidRPr="0018516E">
        <w:rPr>
          <w:rFonts w:asciiTheme="majorBidi" w:eastAsiaTheme="minorEastAsia" w:hAnsiTheme="majorBidi" w:cstheme="majorBidi"/>
          <w:kern w:val="2"/>
          <w:lang w:eastAsia="zh-CN"/>
          <w14:ligatures w14:val="standardContextual"/>
        </w:rPr>
        <w:t xml:space="preserve">Pamats prejudiciāla jautājuma uzdošanai ir nevis iespēja saņemt konsultatīvus viedokļus par vispārīgiem vai hipotētiskiem jautājumiem, bet vajadzība faktiski iztiesāt prāvu (sk. </w:t>
      </w:r>
      <w:r w:rsidRPr="0018516E">
        <w:rPr>
          <w:rFonts w:asciiTheme="majorBidi" w:hAnsiTheme="majorBidi" w:cstheme="majorBidi"/>
          <w:i/>
          <w:kern w:val="2"/>
          <w:lang w:eastAsia="zh-CN"/>
          <w14:ligatures w14:val="standardContextual"/>
        </w:rPr>
        <w:t>Eiropas Savienības Tiesas 2006. gada 15. jūnija sprieduma lietā „</w:t>
      </w:r>
      <w:proofErr w:type="spellStart"/>
      <w:r w:rsidRPr="0018516E">
        <w:rPr>
          <w:rFonts w:asciiTheme="majorBidi" w:hAnsiTheme="majorBidi" w:cstheme="majorBidi"/>
          <w:i/>
          <w:kern w:val="2"/>
          <w:lang w:eastAsia="zh-CN"/>
          <w14:ligatures w14:val="standardContextual"/>
        </w:rPr>
        <w:t>Acereda</w:t>
      </w:r>
      <w:proofErr w:type="spellEnd"/>
      <w:r w:rsidRPr="0018516E">
        <w:rPr>
          <w:rFonts w:asciiTheme="majorBidi" w:hAnsiTheme="majorBidi" w:cstheme="majorBidi"/>
          <w:i/>
          <w:kern w:val="2"/>
          <w:lang w:eastAsia="zh-CN"/>
          <w14:ligatures w14:val="standardContextual"/>
        </w:rPr>
        <w:t xml:space="preserve"> </w:t>
      </w:r>
      <w:proofErr w:type="spellStart"/>
      <w:r w:rsidRPr="0018516E">
        <w:rPr>
          <w:rFonts w:asciiTheme="majorBidi" w:hAnsiTheme="majorBidi" w:cstheme="majorBidi"/>
          <w:i/>
          <w:kern w:val="2"/>
          <w:lang w:eastAsia="zh-CN"/>
          <w14:ligatures w14:val="standardContextual"/>
        </w:rPr>
        <w:t>Herrera</w:t>
      </w:r>
      <w:proofErr w:type="spellEnd"/>
      <w:r w:rsidRPr="0018516E">
        <w:rPr>
          <w:rFonts w:asciiTheme="majorBidi" w:hAnsiTheme="majorBidi" w:cstheme="majorBidi"/>
          <w:i/>
          <w:kern w:val="2"/>
          <w:lang w:eastAsia="zh-CN"/>
          <w14:ligatures w14:val="standardContextual"/>
        </w:rPr>
        <w:t xml:space="preserve">”, C-466/04, </w:t>
      </w:r>
      <w:hyperlink r:id="rId9">
        <w:r w:rsidRPr="0018516E">
          <w:rPr>
            <w:rFonts w:asciiTheme="majorBidi" w:hAnsiTheme="majorBidi" w:cstheme="majorBidi"/>
            <w:i/>
            <w:kern w:val="2"/>
            <w:lang w:eastAsia="zh-CN"/>
            <w14:ligatures w14:val="standardContextual"/>
          </w:rPr>
          <w:t>ECLI:EU:C:2006:405,</w:t>
        </w:r>
      </w:hyperlink>
      <w:hyperlink r:id="rId10">
        <w:r w:rsidRPr="0018516E">
          <w:rPr>
            <w:rFonts w:asciiTheme="majorBidi" w:hAnsiTheme="majorBidi" w:cstheme="majorBidi"/>
            <w:i/>
            <w:kern w:val="2"/>
            <w:lang w:eastAsia="zh-CN"/>
            <w14:ligatures w14:val="standardContextual"/>
          </w:rPr>
          <w:t xml:space="preserve"> </w:t>
        </w:r>
      </w:hyperlink>
      <w:r w:rsidRPr="0018516E">
        <w:rPr>
          <w:rFonts w:asciiTheme="majorBidi" w:hAnsiTheme="majorBidi" w:cstheme="majorBidi"/>
          <w:i/>
          <w:kern w:val="2"/>
          <w:lang w:eastAsia="zh-CN"/>
          <w14:ligatures w14:val="standardContextual"/>
        </w:rPr>
        <w:t>49.</w:t>
      </w:r>
      <w:r w:rsidR="00450951" w:rsidRPr="0018516E">
        <w:rPr>
          <w:rFonts w:asciiTheme="majorBidi" w:hAnsiTheme="majorBidi" w:cstheme="majorBidi"/>
          <w:i/>
          <w:kern w:val="2"/>
          <w:lang w:eastAsia="zh-CN"/>
          <w14:ligatures w14:val="standardContextual"/>
        </w:rPr>
        <w:t> </w:t>
      </w:r>
      <w:r w:rsidRPr="0018516E">
        <w:rPr>
          <w:rFonts w:asciiTheme="majorBidi" w:hAnsiTheme="majorBidi" w:cstheme="majorBidi"/>
          <w:i/>
          <w:kern w:val="2"/>
          <w:lang w:eastAsia="zh-CN"/>
          <w14:ligatures w14:val="standardContextual"/>
        </w:rPr>
        <w:t>punktu</w:t>
      </w:r>
      <w:r w:rsidRPr="0018516E">
        <w:rPr>
          <w:rFonts w:asciiTheme="majorBidi" w:eastAsiaTheme="minorEastAsia" w:hAnsiTheme="majorBidi" w:cstheme="majorBidi"/>
          <w:kern w:val="2"/>
          <w:lang w:eastAsia="zh-CN"/>
          <w14:ligatures w14:val="standardContextual"/>
        </w:rPr>
        <w:t xml:space="preserve">). Turklāt dalībvalsts tiesai nav pienākuma vērsties ar prejudiciālajiem jautājumiem arī gadījumā, ja Eiropas Savienības Tiesa jau ir interpretējusi izskatāmo tiesību normu vai ja par pareizu Eiropas Savienības tiesību normu piemērošanu nevar būt nekādu pamatotu šaubu (sk. </w:t>
      </w:r>
      <w:r w:rsidRPr="0018516E">
        <w:rPr>
          <w:rFonts w:asciiTheme="majorBidi" w:hAnsiTheme="majorBidi" w:cstheme="majorBidi"/>
          <w:i/>
          <w:kern w:val="2"/>
          <w:lang w:eastAsia="zh-CN"/>
          <w14:ligatures w14:val="standardContextual"/>
        </w:rPr>
        <w:t xml:space="preserve">Eiropas Savienības Tiesas 1982. gada 6. oktobra sprieduma lietā „CILFIT u. c.”, C-283/81, </w:t>
      </w:r>
      <w:hyperlink r:id="rId11">
        <w:r w:rsidRPr="0018516E">
          <w:rPr>
            <w:rFonts w:asciiTheme="majorBidi" w:hAnsiTheme="majorBidi" w:cstheme="majorBidi"/>
            <w:i/>
            <w:kern w:val="2"/>
            <w:lang w:eastAsia="zh-CN"/>
            <w14:ligatures w14:val="standardContextual"/>
          </w:rPr>
          <w:t>ECLI:EU:C:1982:335,</w:t>
        </w:r>
      </w:hyperlink>
      <w:hyperlink r:id="rId12">
        <w:r w:rsidRPr="0018516E">
          <w:rPr>
            <w:rFonts w:asciiTheme="majorBidi" w:hAnsiTheme="majorBidi" w:cstheme="majorBidi"/>
            <w:i/>
            <w:kern w:val="2"/>
            <w:lang w:eastAsia="zh-CN"/>
            <w14:ligatures w14:val="standardContextual"/>
          </w:rPr>
          <w:t xml:space="preserve"> </w:t>
        </w:r>
      </w:hyperlink>
      <w:r w:rsidRPr="0018516E">
        <w:rPr>
          <w:rFonts w:asciiTheme="majorBidi" w:hAnsiTheme="majorBidi" w:cstheme="majorBidi"/>
          <w:i/>
          <w:kern w:val="2"/>
          <w:lang w:eastAsia="zh-CN"/>
          <w14:ligatures w14:val="standardContextual"/>
        </w:rPr>
        <w:t>21. punktu</w:t>
      </w:r>
      <w:r w:rsidRPr="0018516E">
        <w:rPr>
          <w:rFonts w:asciiTheme="majorBidi" w:eastAsiaTheme="minorEastAsia" w:hAnsiTheme="majorBidi" w:cstheme="majorBidi"/>
          <w:kern w:val="2"/>
          <w:lang w:eastAsia="zh-CN"/>
          <w14:ligatures w14:val="standardContextual"/>
        </w:rPr>
        <w:t>).</w:t>
      </w:r>
    </w:p>
    <w:p w14:paraId="016D22B4" w14:textId="60C26C88" w:rsidR="00BB549E" w:rsidRPr="0018516E" w:rsidRDefault="00614F7E" w:rsidP="0018516E">
      <w:pPr>
        <w:spacing w:line="276" w:lineRule="auto"/>
        <w:ind w:firstLine="709"/>
        <w:jc w:val="both"/>
        <w:rPr>
          <w:rFonts w:asciiTheme="majorBidi" w:eastAsiaTheme="minorEastAsia" w:hAnsiTheme="majorBidi" w:cstheme="majorBidi"/>
          <w:kern w:val="2"/>
          <w:lang w:eastAsia="zh-CN"/>
          <w14:ligatures w14:val="standardContextual"/>
        </w:rPr>
      </w:pPr>
      <w:r w:rsidRPr="0018516E">
        <w:rPr>
          <w:rFonts w:asciiTheme="majorBidi" w:eastAsiaTheme="minorEastAsia" w:hAnsiTheme="majorBidi" w:cstheme="majorBidi"/>
          <w:kern w:val="2"/>
          <w:lang w:eastAsia="zh-CN"/>
          <w14:ligatures w14:val="standardContextual"/>
        </w:rPr>
        <w:t>Konkrētajā gadījumā senatoru kolēģija nekonstatē nepieciešamību uzdot jautājumus prejudiciāla nolēmuma pieņemšanai, jo šā lēmuma 4. punktā norādītais ļauj secināt, ka Eiropas Savienības Tiesas judikatūrā jau ir rodama atbilde uz kas</w:t>
      </w:r>
      <w:r w:rsidR="00090AA3" w:rsidRPr="0018516E">
        <w:rPr>
          <w:rFonts w:asciiTheme="majorBidi" w:eastAsiaTheme="minorEastAsia" w:hAnsiTheme="majorBidi" w:cstheme="majorBidi"/>
          <w:kern w:val="2"/>
          <w:lang w:eastAsia="zh-CN"/>
          <w14:ligatures w14:val="standardContextual"/>
        </w:rPr>
        <w:t>ācijas sūdzības iesniedzējas</w:t>
      </w:r>
      <w:r w:rsidRPr="0018516E">
        <w:rPr>
          <w:rFonts w:asciiTheme="majorBidi" w:eastAsiaTheme="minorEastAsia" w:hAnsiTheme="majorBidi" w:cstheme="majorBidi"/>
          <w:kern w:val="2"/>
          <w:lang w:eastAsia="zh-CN"/>
          <w14:ligatures w14:val="standardContextual"/>
        </w:rPr>
        <w:t xml:space="preserve"> norādītajiem jautājumiem (</w:t>
      </w:r>
      <w:bookmarkStart w:id="2" w:name="_Hlk178789156"/>
      <w:proofErr w:type="spellStart"/>
      <w:r w:rsidRPr="0018516E">
        <w:rPr>
          <w:rFonts w:asciiTheme="majorBidi" w:eastAsiaTheme="minorEastAsia" w:hAnsiTheme="majorBidi" w:cstheme="majorBidi"/>
          <w:i/>
          <w:iCs/>
          <w:kern w:val="2"/>
          <w:lang w:eastAsia="zh-CN"/>
          <w14:ligatures w14:val="standardContextual"/>
        </w:rPr>
        <w:t>acte</w:t>
      </w:r>
      <w:proofErr w:type="spellEnd"/>
      <w:r w:rsidRPr="0018516E">
        <w:rPr>
          <w:rFonts w:asciiTheme="majorBidi" w:eastAsiaTheme="minorEastAsia" w:hAnsiTheme="majorBidi" w:cstheme="majorBidi"/>
          <w:i/>
          <w:iCs/>
          <w:kern w:val="2"/>
          <w:lang w:eastAsia="zh-CN"/>
          <w14:ligatures w14:val="standardContextual"/>
        </w:rPr>
        <w:t xml:space="preserve"> </w:t>
      </w:r>
      <w:proofErr w:type="spellStart"/>
      <w:r w:rsidRPr="0018516E">
        <w:rPr>
          <w:rFonts w:asciiTheme="majorBidi" w:eastAsiaTheme="minorEastAsia" w:hAnsiTheme="majorBidi" w:cstheme="majorBidi"/>
          <w:i/>
          <w:iCs/>
          <w:kern w:val="2"/>
          <w:lang w:eastAsia="zh-CN"/>
          <w14:ligatures w14:val="standardContextual"/>
        </w:rPr>
        <w:t>éclairé</w:t>
      </w:r>
      <w:proofErr w:type="spellEnd"/>
      <w:r w:rsidRPr="0018516E">
        <w:rPr>
          <w:rFonts w:asciiTheme="majorBidi" w:eastAsiaTheme="minorEastAsia" w:hAnsiTheme="majorBidi" w:cstheme="majorBidi"/>
          <w:kern w:val="2"/>
          <w:lang w:eastAsia="zh-CN"/>
          <w14:ligatures w14:val="standardContextual"/>
        </w:rPr>
        <w:t xml:space="preserve"> </w:t>
      </w:r>
      <w:bookmarkEnd w:id="2"/>
      <w:r w:rsidRPr="0018516E">
        <w:rPr>
          <w:rFonts w:asciiTheme="majorBidi" w:eastAsiaTheme="minorEastAsia" w:hAnsiTheme="majorBidi" w:cstheme="majorBidi"/>
          <w:kern w:val="2"/>
          <w:lang w:eastAsia="zh-CN"/>
          <w14:ligatures w14:val="standardContextual"/>
        </w:rPr>
        <w:t>gadījums).</w:t>
      </w:r>
      <w:bookmarkEnd w:id="1"/>
      <w:r w:rsidRPr="0018516E">
        <w:rPr>
          <w:rFonts w:asciiTheme="majorBidi" w:eastAsiaTheme="minorEastAsia" w:hAnsiTheme="majorBidi" w:cstheme="majorBidi"/>
          <w:kern w:val="2"/>
          <w:lang w:eastAsia="zh-CN"/>
          <w14:ligatures w14:val="standardContextual"/>
        </w:rPr>
        <w:t xml:space="preserve"> </w:t>
      </w:r>
    </w:p>
    <w:p w14:paraId="7C25786C" w14:textId="77777777" w:rsidR="0074497D" w:rsidRPr="0018516E" w:rsidRDefault="0074497D" w:rsidP="0018516E">
      <w:pPr>
        <w:spacing w:line="276" w:lineRule="auto"/>
        <w:jc w:val="center"/>
        <w:rPr>
          <w:rFonts w:asciiTheme="majorBidi" w:eastAsia="Calibri" w:hAnsiTheme="majorBidi" w:cstheme="majorBidi"/>
          <w:b/>
        </w:rPr>
      </w:pPr>
    </w:p>
    <w:p w14:paraId="33381EC3" w14:textId="52D91148" w:rsidR="00844646" w:rsidRPr="0018516E" w:rsidRDefault="00844646" w:rsidP="0018516E">
      <w:pPr>
        <w:spacing w:line="276" w:lineRule="auto"/>
        <w:jc w:val="center"/>
        <w:rPr>
          <w:rFonts w:asciiTheme="majorBidi" w:eastAsia="Calibri" w:hAnsiTheme="majorBidi" w:cstheme="majorBidi"/>
          <w:b/>
        </w:rPr>
      </w:pPr>
      <w:r w:rsidRPr="0018516E">
        <w:rPr>
          <w:rFonts w:asciiTheme="majorBidi" w:eastAsia="Calibri" w:hAnsiTheme="majorBidi" w:cstheme="majorBidi"/>
          <w:b/>
        </w:rPr>
        <w:t>Rezolutīvā daļa</w:t>
      </w:r>
    </w:p>
    <w:p w14:paraId="30E7014D" w14:textId="77777777" w:rsidR="00D816E4" w:rsidRPr="0018516E" w:rsidRDefault="00D816E4" w:rsidP="0018516E">
      <w:pPr>
        <w:spacing w:line="276" w:lineRule="auto"/>
        <w:jc w:val="both"/>
        <w:rPr>
          <w:rFonts w:asciiTheme="majorBidi" w:hAnsiTheme="majorBidi" w:cstheme="majorBidi"/>
        </w:rPr>
      </w:pPr>
    </w:p>
    <w:p w14:paraId="67E10656" w14:textId="03FFCA85" w:rsidR="00D34749" w:rsidRPr="0018516E" w:rsidRDefault="006F684D" w:rsidP="0018516E">
      <w:pPr>
        <w:spacing w:line="276" w:lineRule="auto"/>
        <w:ind w:firstLine="709"/>
        <w:jc w:val="both"/>
        <w:rPr>
          <w:rFonts w:asciiTheme="majorBidi" w:hAnsiTheme="majorBidi" w:cstheme="majorBidi"/>
        </w:rPr>
      </w:pPr>
      <w:r w:rsidRPr="0018516E">
        <w:rPr>
          <w:rFonts w:asciiTheme="majorBidi" w:hAnsiTheme="majorBidi" w:cstheme="majorBidi"/>
        </w:rPr>
        <w:t>Pamatojoties uz Civilprocesa likuma 464.</w:t>
      </w:r>
      <w:r w:rsidR="00855661" w:rsidRPr="0018516E">
        <w:rPr>
          <w:rFonts w:asciiTheme="majorBidi" w:hAnsiTheme="majorBidi" w:cstheme="majorBidi"/>
        </w:rPr>
        <w:t> </w:t>
      </w:r>
      <w:r w:rsidRPr="0018516E">
        <w:rPr>
          <w:rFonts w:asciiTheme="majorBidi" w:hAnsiTheme="majorBidi" w:cstheme="majorBidi"/>
        </w:rPr>
        <w:t>panta trešo daļu, 464.</w:t>
      </w:r>
      <w:r w:rsidRPr="0018516E">
        <w:rPr>
          <w:rFonts w:asciiTheme="majorBidi" w:hAnsiTheme="majorBidi" w:cstheme="majorBidi"/>
          <w:vertAlign w:val="superscript"/>
        </w:rPr>
        <w:t>1</w:t>
      </w:r>
      <w:r w:rsidRPr="0018516E">
        <w:rPr>
          <w:rFonts w:asciiTheme="majorBidi" w:hAnsiTheme="majorBidi" w:cstheme="majorBidi"/>
        </w:rPr>
        <w:t> panta otrās daļas 2. punktu, senatoru kolēģija</w:t>
      </w:r>
    </w:p>
    <w:p w14:paraId="670FC05D" w14:textId="77777777" w:rsidR="008D62D0" w:rsidRPr="0018516E" w:rsidRDefault="008D62D0" w:rsidP="0018516E">
      <w:pPr>
        <w:spacing w:line="276" w:lineRule="auto"/>
        <w:ind w:firstLine="709"/>
        <w:jc w:val="both"/>
        <w:rPr>
          <w:rFonts w:asciiTheme="majorBidi" w:hAnsiTheme="majorBidi" w:cstheme="majorBidi"/>
        </w:rPr>
      </w:pPr>
    </w:p>
    <w:p w14:paraId="693DFAA8" w14:textId="77777777" w:rsidR="006F684D" w:rsidRPr="0018516E" w:rsidRDefault="006F684D" w:rsidP="0018516E">
      <w:pPr>
        <w:spacing w:line="276" w:lineRule="auto"/>
        <w:jc w:val="center"/>
        <w:rPr>
          <w:rFonts w:asciiTheme="majorBidi" w:hAnsiTheme="majorBidi" w:cstheme="majorBidi"/>
          <w:b/>
          <w:bCs/>
        </w:rPr>
      </w:pPr>
      <w:r w:rsidRPr="0018516E">
        <w:rPr>
          <w:rFonts w:asciiTheme="majorBidi" w:hAnsiTheme="majorBidi" w:cstheme="majorBidi"/>
          <w:b/>
          <w:bCs/>
        </w:rPr>
        <w:lastRenderedPageBreak/>
        <w:t>nolēma</w:t>
      </w:r>
    </w:p>
    <w:p w14:paraId="09C5FC9D" w14:textId="77777777" w:rsidR="006F684D" w:rsidRPr="0018516E" w:rsidRDefault="006F684D" w:rsidP="0018516E">
      <w:pPr>
        <w:spacing w:line="276" w:lineRule="auto"/>
        <w:jc w:val="center"/>
        <w:rPr>
          <w:rFonts w:asciiTheme="majorBidi" w:hAnsiTheme="majorBidi" w:cstheme="majorBidi"/>
        </w:rPr>
      </w:pPr>
    </w:p>
    <w:p w14:paraId="0AC5F94D" w14:textId="44ACF490" w:rsidR="006F684D" w:rsidRPr="0018516E" w:rsidRDefault="006F684D" w:rsidP="0018516E">
      <w:pPr>
        <w:spacing w:line="276" w:lineRule="auto"/>
        <w:ind w:firstLine="709"/>
        <w:jc w:val="both"/>
        <w:rPr>
          <w:rFonts w:asciiTheme="majorBidi" w:hAnsiTheme="majorBidi" w:cstheme="majorBidi"/>
        </w:rPr>
      </w:pPr>
      <w:r w:rsidRPr="0018516E">
        <w:rPr>
          <w:rFonts w:asciiTheme="majorBidi" w:hAnsiTheme="majorBidi" w:cstheme="majorBidi"/>
          <w:color w:val="000000"/>
        </w:rPr>
        <w:t>atteikt ierosināt kasācijas tiesvedību sakarā ar</w:t>
      </w:r>
      <w:r w:rsidRPr="0018516E">
        <w:rPr>
          <w:rFonts w:asciiTheme="majorBidi" w:hAnsiTheme="majorBidi" w:cstheme="majorBidi"/>
        </w:rPr>
        <w:t xml:space="preserve"> </w:t>
      </w:r>
      <w:r w:rsidR="00D34749" w:rsidRPr="0018516E">
        <w:rPr>
          <w:rFonts w:asciiTheme="majorBidi" w:hAnsiTheme="majorBidi" w:cstheme="majorBidi"/>
        </w:rPr>
        <w:t xml:space="preserve">sabiedrības ar ierobežotu atbildību </w:t>
      </w:r>
      <w:r w:rsidR="00003AE9" w:rsidRPr="0018516E">
        <w:rPr>
          <w:rFonts w:asciiTheme="majorBidi" w:hAnsiTheme="majorBidi" w:cstheme="majorBidi"/>
        </w:rPr>
        <w:t>„PNB Assets” kasācijas sūdzību par Rīgas apgabaltiesas 2024. gada 12. marta spriedumu.</w:t>
      </w:r>
    </w:p>
    <w:p w14:paraId="44A4C7F1" w14:textId="77777777" w:rsidR="00AD7433" w:rsidRPr="0018516E" w:rsidRDefault="00AD7433" w:rsidP="0018516E">
      <w:pPr>
        <w:spacing w:line="276" w:lineRule="auto"/>
        <w:ind w:firstLine="709"/>
        <w:jc w:val="both"/>
        <w:rPr>
          <w:rFonts w:asciiTheme="majorBidi" w:hAnsiTheme="majorBidi" w:cstheme="majorBidi"/>
        </w:rPr>
      </w:pPr>
    </w:p>
    <w:p w14:paraId="35DCC4D0" w14:textId="77777777" w:rsidR="006F684D" w:rsidRPr="0018516E" w:rsidRDefault="006F684D" w:rsidP="0018516E">
      <w:pPr>
        <w:spacing w:line="276" w:lineRule="auto"/>
        <w:ind w:firstLine="709"/>
        <w:jc w:val="both"/>
        <w:rPr>
          <w:rFonts w:asciiTheme="majorBidi" w:hAnsiTheme="majorBidi" w:cstheme="majorBidi"/>
        </w:rPr>
      </w:pPr>
      <w:r w:rsidRPr="0018516E">
        <w:rPr>
          <w:rFonts w:asciiTheme="majorBidi" w:hAnsiTheme="majorBidi" w:cstheme="majorBidi"/>
        </w:rPr>
        <w:t xml:space="preserve">Lēmums nav pārsūdzams. </w:t>
      </w:r>
    </w:p>
    <w:sectPr w:rsidR="006F684D" w:rsidRPr="0018516E" w:rsidSect="0018516E">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E42D9" w14:textId="77777777" w:rsidR="00B36C43" w:rsidRDefault="00B36C43">
      <w:r>
        <w:separator/>
      </w:r>
    </w:p>
  </w:endnote>
  <w:endnote w:type="continuationSeparator" w:id="0">
    <w:p w14:paraId="390360A4" w14:textId="77777777" w:rsidR="00B36C43" w:rsidRDefault="00B3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92CAB" w14:textId="77777777" w:rsidR="00B36C43" w:rsidRDefault="00B36C43">
      <w:r>
        <w:separator/>
      </w:r>
    </w:p>
  </w:footnote>
  <w:footnote w:type="continuationSeparator" w:id="0">
    <w:p w14:paraId="679FDC02" w14:textId="77777777" w:rsidR="00B36C43" w:rsidRDefault="00B3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B22E8E"/>
    <w:lvl w:ilvl="0">
      <w:start w:val="1"/>
      <w:numFmt w:val="bullet"/>
      <w:pStyle w:val="ListBullet"/>
      <w:lvlText w:val=""/>
      <w:lvlJc w:val="left"/>
      <w:pPr>
        <w:tabs>
          <w:tab w:val="num" w:pos="360"/>
        </w:tabs>
        <w:ind w:left="360" w:hanging="360"/>
      </w:pPr>
      <w:rPr>
        <w:rFonts w:ascii="Symbol" w:hAnsi="Symbol" w:hint="default"/>
      </w:rPr>
    </w:lvl>
  </w:abstractNum>
  <w:num w:numId="1" w16cid:durableId="123909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9F"/>
    <w:rsid w:val="00003AE9"/>
    <w:rsid w:val="00016590"/>
    <w:rsid w:val="00017925"/>
    <w:rsid w:val="000214EC"/>
    <w:rsid w:val="00022B6F"/>
    <w:rsid w:val="0004531B"/>
    <w:rsid w:val="00050847"/>
    <w:rsid w:val="000618CA"/>
    <w:rsid w:val="00065F97"/>
    <w:rsid w:val="0006735F"/>
    <w:rsid w:val="00087D41"/>
    <w:rsid w:val="00090AA3"/>
    <w:rsid w:val="000B0C99"/>
    <w:rsid w:val="00100BFE"/>
    <w:rsid w:val="001065C2"/>
    <w:rsid w:val="00136EDD"/>
    <w:rsid w:val="00141A74"/>
    <w:rsid w:val="0014602F"/>
    <w:rsid w:val="00146732"/>
    <w:rsid w:val="00156E59"/>
    <w:rsid w:val="00162BCA"/>
    <w:rsid w:val="00167830"/>
    <w:rsid w:val="00172C7B"/>
    <w:rsid w:val="00175124"/>
    <w:rsid w:val="0018516E"/>
    <w:rsid w:val="001904C2"/>
    <w:rsid w:val="00192D8D"/>
    <w:rsid w:val="0019342F"/>
    <w:rsid w:val="00195D56"/>
    <w:rsid w:val="001968EC"/>
    <w:rsid w:val="001B2F88"/>
    <w:rsid w:val="001B3F38"/>
    <w:rsid w:val="001B61DD"/>
    <w:rsid w:val="001D12E4"/>
    <w:rsid w:val="001D7223"/>
    <w:rsid w:val="001E31BE"/>
    <w:rsid w:val="001E45D8"/>
    <w:rsid w:val="001E65E2"/>
    <w:rsid w:val="001E7869"/>
    <w:rsid w:val="0020065F"/>
    <w:rsid w:val="00202B72"/>
    <w:rsid w:val="00206888"/>
    <w:rsid w:val="00212C1E"/>
    <w:rsid w:val="002247BD"/>
    <w:rsid w:val="00226531"/>
    <w:rsid w:val="00231D2C"/>
    <w:rsid w:val="00247E3C"/>
    <w:rsid w:val="00252C30"/>
    <w:rsid w:val="00272B9A"/>
    <w:rsid w:val="00282E5C"/>
    <w:rsid w:val="002850FE"/>
    <w:rsid w:val="002A3269"/>
    <w:rsid w:val="002A4BA3"/>
    <w:rsid w:val="002A4EE9"/>
    <w:rsid w:val="002B2287"/>
    <w:rsid w:val="002B2B82"/>
    <w:rsid w:val="002C0954"/>
    <w:rsid w:val="002C1426"/>
    <w:rsid w:val="002D4AE7"/>
    <w:rsid w:val="002E1B41"/>
    <w:rsid w:val="002E32B7"/>
    <w:rsid w:val="002F175A"/>
    <w:rsid w:val="00300C5F"/>
    <w:rsid w:val="00307242"/>
    <w:rsid w:val="00312D8F"/>
    <w:rsid w:val="0032546D"/>
    <w:rsid w:val="003435D4"/>
    <w:rsid w:val="00352EB3"/>
    <w:rsid w:val="00355B28"/>
    <w:rsid w:val="00361C92"/>
    <w:rsid w:val="00386ABB"/>
    <w:rsid w:val="00386B93"/>
    <w:rsid w:val="00387216"/>
    <w:rsid w:val="00396490"/>
    <w:rsid w:val="003A4415"/>
    <w:rsid w:val="003A66B6"/>
    <w:rsid w:val="003D0BAC"/>
    <w:rsid w:val="003D6387"/>
    <w:rsid w:val="003D6819"/>
    <w:rsid w:val="003E464F"/>
    <w:rsid w:val="003E795B"/>
    <w:rsid w:val="003F3EE3"/>
    <w:rsid w:val="003F7497"/>
    <w:rsid w:val="0040264A"/>
    <w:rsid w:val="004212CF"/>
    <w:rsid w:val="00432FF5"/>
    <w:rsid w:val="00436B75"/>
    <w:rsid w:val="00440319"/>
    <w:rsid w:val="00450951"/>
    <w:rsid w:val="0045415C"/>
    <w:rsid w:val="0045479F"/>
    <w:rsid w:val="004605AE"/>
    <w:rsid w:val="00465F56"/>
    <w:rsid w:val="00465F92"/>
    <w:rsid w:val="00466021"/>
    <w:rsid w:val="00473943"/>
    <w:rsid w:val="00487044"/>
    <w:rsid w:val="004A076B"/>
    <w:rsid w:val="004B6AC5"/>
    <w:rsid w:val="004C2294"/>
    <w:rsid w:val="004C2D6F"/>
    <w:rsid w:val="004F13CD"/>
    <w:rsid w:val="004F194E"/>
    <w:rsid w:val="005047F4"/>
    <w:rsid w:val="00504B74"/>
    <w:rsid w:val="005077CF"/>
    <w:rsid w:val="0052430E"/>
    <w:rsid w:val="00527BA7"/>
    <w:rsid w:val="0053764B"/>
    <w:rsid w:val="00557485"/>
    <w:rsid w:val="00560121"/>
    <w:rsid w:val="0056135C"/>
    <w:rsid w:val="0056397D"/>
    <w:rsid w:val="005676FD"/>
    <w:rsid w:val="005831F6"/>
    <w:rsid w:val="00585D06"/>
    <w:rsid w:val="005877C4"/>
    <w:rsid w:val="00594AD6"/>
    <w:rsid w:val="00596549"/>
    <w:rsid w:val="005D35F5"/>
    <w:rsid w:val="005F471C"/>
    <w:rsid w:val="00603CE7"/>
    <w:rsid w:val="00614F7E"/>
    <w:rsid w:val="00622EEC"/>
    <w:rsid w:val="0063247D"/>
    <w:rsid w:val="00655974"/>
    <w:rsid w:val="00655DC2"/>
    <w:rsid w:val="006667A4"/>
    <w:rsid w:val="006804F9"/>
    <w:rsid w:val="006946F9"/>
    <w:rsid w:val="006A7A29"/>
    <w:rsid w:val="006C5BE3"/>
    <w:rsid w:val="006D2593"/>
    <w:rsid w:val="006D4E0C"/>
    <w:rsid w:val="006F684D"/>
    <w:rsid w:val="00704359"/>
    <w:rsid w:val="00707F9A"/>
    <w:rsid w:val="007159E4"/>
    <w:rsid w:val="007264AC"/>
    <w:rsid w:val="007275E3"/>
    <w:rsid w:val="0074497D"/>
    <w:rsid w:val="00755F9E"/>
    <w:rsid w:val="00761D92"/>
    <w:rsid w:val="00773AF2"/>
    <w:rsid w:val="00774EB5"/>
    <w:rsid w:val="0078086D"/>
    <w:rsid w:val="00793C0C"/>
    <w:rsid w:val="00795A46"/>
    <w:rsid w:val="007A0A7A"/>
    <w:rsid w:val="007C3026"/>
    <w:rsid w:val="007C3F81"/>
    <w:rsid w:val="007C5844"/>
    <w:rsid w:val="007D5531"/>
    <w:rsid w:val="007F1EF8"/>
    <w:rsid w:val="00801D9F"/>
    <w:rsid w:val="0080204C"/>
    <w:rsid w:val="00811CEA"/>
    <w:rsid w:val="00820D70"/>
    <w:rsid w:val="0083238B"/>
    <w:rsid w:val="008379CA"/>
    <w:rsid w:val="00844646"/>
    <w:rsid w:val="00845E99"/>
    <w:rsid w:val="00852B7F"/>
    <w:rsid w:val="00855661"/>
    <w:rsid w:val="00856875"/>
    <w:rsid w:val="00856FA5"/>
    <w:rsid w:val="00866292"/>
    <w:rsid w:val="00886000"/>
    <w:rsid w:val="0089487B"/>
    <w:rsid w:val="008952CC"/>
    <w:rsid w:val="008B4FFF"/>
    <w:rsid w:val="008C4D8D"/>
    <w:rsid w:val="008D62D0"/>
    <w:rsid w:val="008E1934"/>
    <w:rsid w:val="008F0B8A"/>
    <w:rsid w:val="008F2EAE"/>
    <w:rsid w:val="008F6B85"/>
    <w:rsid w:val="009047A4"/>
    <w:rsid w:val="0090499B"/>
    <w:rsid w:val="00911ECC"/>
    <w:rsid w:val="00922167"/>
    <w:rsid w:val="00925139"/>
    <w:rsid w:val="00925F20"/>
    <w:rsid w:val="0095478D"/>
    <w:rsid w:val="00956A21"/>
    <w:rsid w:val="009621CD"/>
    <w:rsid w:val="00964583"/>
    <w:rsid w:val="0097070B"/>
    <w:rsid w:val="00970C10"/>
    <w:rsid w:val="00972FD8"/>
    <w:rsid w:val="00985365"/>
    <w:rsid w:val="0098639F"/>
    <w:rsid w:val="009907C4"/>
    <w:rsid w:val="009A267D"/>
    <w:rsid w:val="009A2C54"/>
    <w:rsid w:val="009A6BF4"/>
    <w:rsid w:val="009B189B"/>
    <w:rsid w:val="009C1B4E"/>
    <w:rsid w:val="009D793B"/>
    <w:rsid w:val="009E0CDB"/>
    <w:rsid w:val="00A0468A"/>
    <w:rsid w:val="00A34DFC"/>
    <w:rsid w:val="00A520D9"/>
    <w:rsid w:val="00A53368"/>
    <w:rsid w:val="00A56D71"/>
    <w:rsid w:val="00A6797C"/>
    <w:rsid w:val="00A71F46"/>
    <w:rsid w:val="00A73C99"/>
    <w:rsid w:val="00A73F7D"/>
    <w:rsid w:val="00A763A9"/>
    <w:rsid w:val="00A779E1"/>
    <w:rsid w:val="00A80C07"/>
    <w:rsid w:val="00A87082"/>
    <w:rsid w:val="00AB158F"/>
    <w:rsid w:val="00AB5E7A"/>
    <w:rsid w:val="00AB5FB5"/>
    <w:rsid w:val="00AB6F34"/>
    <w:rsid w:val="00AC104E"/>
    <w:rsid w:val="00AD127F"/>
    <w:rsid w:val="00AD32F9"/>
    <w:rsid w:val="00AD3FF0"/>
    <w:rsid w:val="00AD7433"/>
    <w:rsid w:val="00AE0011"/>
    <w:rsid w:val="00AE1A45"/>
    <w:rsid w:val="00AF1349"/>
    <w:rsid w:val="00AF4041"/>
    <w:rsid w:val="00B02FB3"/>
    <w:rsid w:val="00B03C79"/>
    <w:rsid w:val="00B03E26"/>
    <w:rsid w:val="00B11330"/>
    <w:rsid w:val="00B12BDA"/>
    <w:rsid w:val="00B13ECE"/>
    <w:rsid w:val="00B15DCA"/>
    <w:rsid w:val="00B2169C"/>
    <w:rsid w:val="00B23846"/>
    <w:rsid w:val="00B308F8"/>
    <w:rsid w:val="00B36C43"/>
    <w:rsid w:val="00B44924"/>
    <w:rsid w:val="00B518C5"/>
    <w:rsid w:val="00B56EA4"/>
    <w:rsid w:val="00B70E3F"/>
    <w:rsid w:val="00B83854"/>
    <w:rsid w:val="00B91BB1"/>
    <w:rsid w:val="00B93756"/>
    <w:rsid w:val="00B97DD3"/>
    <w:rsid w:val="00BB549E"/>
    <w:rsid w:val="00BC3487"/>
    <w:rsid w:val="00BF0D4F"/>
    <w:rsid w:val="00C05B44"/>
    <w:rsid w:val="00C0672D"/>
    <w:rsid w:val="00C10757"/>
    <w:rsid w:val="00C16A88"/>
    <w:rsid w:val="00C22150"/>
    <w:rsid w:val="00C44D65"/>
    <w:rsid w:val="00C54119"/>
    <w:rsid w:val="00C628F8"/>
    <w:rsid w:val="00C772A9"/>
    <w:rsid w:val="00C8429E"/>
    <w:rsid w:val="00C84FEA"/>
    <w:rsid w:val="00C91929"/>
    <w:rsid w:val="00C93606"/>
    <w:rsid w:val="00C94569"/>
    <w:rsid w:val="00C96C8F"/>
    <w:rsid w:val="00CA404B"/>
    <w:rsid w:val="00CA4279"/>
    <w:rsid w:val="00CA4A5C"/>
    <w:rsid w:val="00CA6D90"/>
    <w:rsid w:val="00CC4FFE"/>
    <w:rsid w:val="00CD352E"/>
    <w:rsid w:val="00CD3E8D"/>
    <w:rsid w:val="00CE14B0"/>
    <w:rsid w:val="00CE4062"/>
    <w:rsid w:val="00CF20BA"/>
    <w:rsid w:val="00CF4C29"/>
    <w:rsid w:val="00D045CC"/>
    <w:rsid w:val="00D061DE"/>
    <w:rsid w:val="00D10BAC"/>
    <w:rsid w:val="00D14791"/>
    <w:rsid w:val="00D269A3"/>
    <w:rsid w:val="00D2783E"/>
    <w:rsid w:val="00D34749"/>
    <w:rsid w:val="00D348B8"/>
    <w:rsid w:val="00D40C09"/>
    <w:rsid w:val="00D448FB"/>
    <w:rsid w:val="00D61B66"/>
    <w:rsid w:val="00D6469B"/>
    <w:rsid w:val="00D66105"/>
    <w:rsid w:val="00D70111"/>
    <w:rsid w:val="00D816E4"/>
    <w:rsid w:val="00D82A29"/>
    <w:rsid w:val="00D943A1"/>
    <w:rsid w:val="00DB0F9C"/>
    <w:rsid w:val="00DB74B3"/>
    <w:rsid w:val="00DC7B64"/>
    <w:rsid w:val="00DD12A7"/>
    <w:rsid w:val="00DD46C3"/>
    <w:rsid w:val="00DD5BA9"/>
    <w:rsid w:val="00DE1B5A"/>
    <w:rsid w:val="00DE2185"/>
    <w:rsid w:val="00DF2067"/>
    <w:rsid w:val="00E0068B"/>
    <w:rsid w:val="00E037A9"/>
    <w:rsid w:val="00E175B6"/>
    <w:rsid w:val="00E27717"/>
    <w:rsid w:val="00E4292E"/>
    <w:rsid w:val="00E46FAF"/>
    <w:rsid w:val="00E63D08"/>
    <w:rsid w:val="00E64095"/>
    <w:rsid w:val="00E65DDC"/>
    <w:rsid w:val="00E66D30"/>
    <w:rsid w:val="00E72B45"/>
    <w:rsid w:val="00E82A47"/>
    <w:rsid w:val="00E87290"/>
    <w:rsid w:val="00E95695"/>
    <w:rsid w:val="00E968A1"/>
    <w:rsid w:val="00EB3746"/>
    <w:rsid w:val="00EB42F8"/>
    <w:rsid w:val="00EC1FC4"/>
    <w:rsid w:val="00EC2974"/>
    <w:rsid w:val="00ED2307"/>
    <w:rsid w:val="00F053A8"/>
    <w:rsid w:val="00F109E8"/>
    <w:rsid w:val="00F12FEF"/>
    <w:rsid w:val="00F21F61"/>
    <w:rsid w:val="00F240D0"/>
    <w:rsid w:val="00F250D8"/>
    <w:rsid w:val="00F35552"/>
    <w:rsid w:val="00F5409C"/>
    <w:rsid w:val="00F5506E"/>
    <w:rsid w:val="00F62066"/>
    <w:rsid w:val="00F65406"/>
    <w:rsid w:val="00F81C24"/>
    <w:rsid w:val="00F8280C"/>
    <w:rsid w:val="00F83F06"/>
    <w:rsid w:val="00F879F6"/>
    <w:rsid w:val="00F92D82"/>
    <w:rsid w:val="00F9476C"/>
    <w:rsid w:val="00F95AA8"/>
    <w:rsid w:val="00F95E82"/>
    <w:rsid w:val="00FB49DB"/>
    <w:rsid w:val="00FD0D05"/>
    <w:rsid w:val="00FD1D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BED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9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479F"/>
    <w:pPr>
      <w:tabs>
        <w:tab w:val="center" w:pos="4153"/>
        <w:tab w:val="right" w:pos="8306"/>
      </w:tabs>
    </w:pPr>
    <w:rPr>
      <w:lang w:eastAsia="x-none"/>
    </w:rPr>
  </w:style>
  <w:style w:type="character" w:customStyle="1" w:styleId="FooterChar">
    <w:name w:val="Footer Char"/>
    <w:basedOn w:val="DefaultParagraphFont"/>
    <w:link w:val="Footer"/>
    <w:uiPriority w:val="99"/>
    <w:rsid w:val="0045479F"/>
    <w:rPr>
      <w:rFonts w:eastAsia="Times New Roman" w:cs="Times New Roman"/>
      <w:szCs w:val="24"/>
      <w:lang w:eastAsia="x-none"/>
    </w:rPr>
  </w:style>
  <w:style w:type="character" w:styleId="PageNumber">
    <w:name w:val="page number"/>
    <w:basedOn w:val="DefaultParagraphFont"/>
    <w:rsid w:val="0045479F"/>
  </w:style>
  <w:style w:type="character" w:styleId="CommentReference">
    <w:name w:val="annotation reference"/>
    <w:basedOn w:val="DefaultParagraphFont"/>
    <w:uiPriority w:val="99"/>
    <w:semiHidden/>
    <w:unhideWhenUsed/>
    <w:rsid w:val="00811CEA"/>
    <w:rPr>
      <w:sz w:val="16"/>
      <w:szCs w:val="16"/>
    </w:rPr>
  </w:style>
  <w:style w:type="paragraph" w:styleId="CommentText">
    <w:name w:val="annotation text"/>
    <w:basedOn w:val="Normal"/>
    <w:link w:val="CommentTextChar"/>
    <w:uiPriority w:val="99"/>
    <w:semiHidden/>
    <w:unhideWhenUsed/>
    <w:rsid w:val="00811CEA"/>
    <w:rPr>
      <w:sz w:val="20"/>
      <w:szCs w:val="20"/>
    </w:rPr>
  </w:style>
  <w:style w:type="character" w:customStyle="1" w:styleId="CommentTextChar">
    <w:name w:val="Comment Text Char"/>
    <w:basedOn w:val="DefaultParagraphFont"/>
    <w:link w:val="CommentText"/>
    <w:uiPriority w:val="99"/>
    <w:semiHidden/>
    <w:rsid w:val="00811CE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CEA"/>
    <w:rPr>
      <w:b/>
      <w:bCs/>
    </w:rPr>
  </w:style>
  <w:style w:type="character" w:customStyle="1" w:styleId="CommentSubjectChar">
    <w:name w:val="Comment Subject Char"/>
    <w:basedOn w:val="CommentTextChar"/>
    <w:link w:val="CommentSubject"/>
    <w:uiPriority w:val="99"/>
    <w:semiHidden/>
    <w:rsid w:val="00811CEA"/>
    <w:rPr>
      <w:rFonts w:eastAsia="Times New Roman" w:cs="Times New Roman"/>
      <w:b/>
      <w:bCs/>
      <w:sz w:val="20"/>
      <w:szCs w:val="20"/>
    </w:rPr>
  </w:style>
  <w:style w:type="paragraph" w:styleId="Header">
    <w:name w:val="header"/>
    <w:basedOn w:val="Normal"/>
    <w:link w:val="HeaderChar"/>
    <w:uiPriority w:val="99"/>
    <w:unhideWhenUsed/>
    <w:rsid w:val="00B13ECE"/>
    <w:pPr>
      <w:tabs>
        <w:tab w:val="center" w:pos="4513"/>
        <w:tab w:val="right" w:pos="9026"/>
      </w:tabs>
    </w:pPr>
  </w:style>
  <w:style w:type="character" w:customStyle="1" w:styleId="HeaderChar">
    <w:name w:val="Header Char"/>
    <w:basedOn w:val="DefaultParagraphFont"/>
    <w:link w:val="Header"/>
    <w:uiPriority w:val="99"/>
    <w:rsid w:val="00B13ECE"/>
    <w:rPr>
      <w:rFonts w:eastAsia="Times New Roman" w:cs="Times New Roman"/>
      <w:szCs w:val="24"/>
    </w:rPr>
  </w:style>
  <w:style w:type="paragraph" w:styleId="Revision">
    <w:name w:val="Revision"/>
    <w:hidden/>
    <w:uiPriority w:val="99"/>
    <w:semiHidden/>
    <w:rsid w:val="00EB42F8"/>
    <w:pPr>
      <w:spacing w:after="0" w:line="240" w:lineRule="auto"/>
    </w:pPr>
    <w:rPr>
      <w:rFonts w:eastAsia="Times New Roman" w:cs="Times New Roman"/>
      <w:szCs w:val="24"/>
    </w:rPr>
  </w:style>
  <w:style w:type="character" w:styleId="Hyperlink">
    <w:name w:val="Hyperlink"/>
    <w:basedOn w:val="DefaultParagraphFont"/>
    <w:uiPriority w:val="99"/>
    <w:unhideWhenUsed/>
    <w:rsid w:val="002A3269"/>
    <w:rPr>
      <w:color w:val="0000FF"/>
      <w:u w:val="single"/>
    </w:rPr>
  </w:style>
  <w:style w:type="character" w:styleId="UnresolvedMention">
    <w:name w:val="Unresolved Mention"/>
    <w:basedOn w:val="DefaultParagraphFont"/>
    <w:uiPriority w:val="99"/>
    <w:semiHidden/>
    <w:unhideWhenUsed/>
    <w:rsid w:val="002D4AE7"/>
    <w:rPr>
      <w:color w:val="605E5C"/>
      <w:shd w:val="clear" w:color="auto" w:fill="E1DFDD"/>
    </w:rPr>
  </w:style>
  <w:style w:type="paragraph" w:styleId="ListBullet">
    <w:name w:val="List Bullet"/>
    <w:basedOn w:val="Normal"/>
    <w:uiPriority w:val="99"/>
    <w:unhideWhenUsed/>
    <w:rsid w:val="00212C1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1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065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EU:C:1982:3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1982:335," TargetMode="External"/><Relationship Id="rId5" Type="http://schemas.openxmlformats.org/officeDocument/2006/relationships/webSettings" Target="webSettings.xml"/><Relationship Id="rId10" Type="http://schemas.openxmlformats.org/officeDocument/2006/relationships/hyperlink" Target="https://manas.tiesas.lv/eTiesasMvc/eclinolemumi/ECLI:EU:C:2006:405," TargetMode="External"/><Relationship Id="rId4" Type="http://schemas.openxmlformats.org/officeDocument/2006/relationships/settings" Target="settings.xml"/><Relationship Id="rId9" Type="http://schemas.openxmlformats.org/officeDocument/2006/relationships/hyperlink" Target="https://manas.tiesas.lv/eTiesasMvc/eclinolemumi/ECLI:EU:C:2006:4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D3F95-F532-4B1C-A335-995618E8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8506</Words>
  <Characters>4849</Characters>
  <Application>Microsoft Office Word</Application>
  <DocSecurity>0</DocSecurity>
  <Lines>40</Lines>
  <Paragraphs>26</Paragraphs>
  <ScaleCrop>false</ScaleCrop>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2024-10-30T08:48:00Z</dcterms:created>
  <dcterms:modified xsi:type="dcterms:W3CDTF">2024-10-30T10:53:00Z</dcterms:modified>
</cp:coreProperties>
</file>