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70DD9" w14:textId="77777777" w:rsidR="008412C7" w:rsidRPr="00DF7CCC" w:rsidRDefault="008412C7" w:rsidP="008412C7">
      <w:pPr>
        <w:autoSpaceDE w:val="0"/>
        <w:autoSpaceDN w:val="0"/>
        <w:spacing w:line="276" w:lineRule="auto"/>
        <w:jc w:val="both"/>
        <w:rPr>
          <w:b/>
          <w:bCs/>
          <w:color w:val="000000"/>
          <w:lang w:eastAsia="lv-LV"/>
          <w14:ligatures w14:val="standardContextual"/>
        </w:rPr>
      </w:pPr>
      <w:r w:rsidRPr="00DF7CCC">
        <w:rPr>
          <w:b/>
          <w:bCs/>
          <w:color w:val="000000"/>
          <w14:ligatures w14:val="standardContextual"/>
        </w:rPr>
        <w:t xml:space="preserve">Individualizēts azartspēļu rīkošanas vietas izvērtējums </w:t>
      </w:r>
    </w:p>
    <w:p w14:paraId="3D6B13DA" w14:textId="77777777" w:rsidR="008412C7" w:rsidRDefault="008412C7" w:rsidP="008412C7">
      <w:pPr>
        <w:autoSpaceDE w:val="0"/>
        <w:autoSpaceDN w:val="0"/>
        <w:spacing w:line="276" w:lineRule="auto"/>
        <w:jc w:val="both"/>
        <w:rPr>
          <w:color w:val="000000"/>
          <w14:ligatures w14:val="standardContextual"/>
        </w:rPr>
      </w:pPr>
      <w:r>
        <w:rPr>
          <w:color w:val="000000"/>
          <w14:ligatures w14:val="standardContextual"/>
        </w:rPr>
        <w:t xml:space="preserve">Gadījumā, ja pašvaldības teritorijas plānojumā noteiktais funkcionālais zonējums kā atļauto izmantošanas veidu vispārīgi pieļauj komercdarbības veikšanu, tostarp azartspēļu organizēšanu, pašvaldībai ir jāveic individuāls katras vietas izvērtējums, pirms tā pieņem lēmumu par azartspēļu organizēšanas aizliegumu konkrētā vietā un anulē komersantam izsniegto atļauju. </w:t>
      </w:r>
    </w:p>
    <w:p w14:paraId="4FE559C0" w14:textId="77777777" w:rsidR="008412C7" w:rsidRDefault="008412C7" w:rsidP="008412C7">
      <w:pPr>
        <w:autoSpaceDE w:val="0"/>
        <w:autoSpaceDN w:val="0"/>
        <w:spacing w:line="276" w:lineRule="auto"/>
        <w:jc w:val="both"/>
        <w:rPr>
          <w:color w:val="000000"/>
          <w14:ligatures w14:val="standardContextual"/>
        </w:rPr>
      </w:pPr>
      <w:r>
        <w:rPr>
          <w:color w:val="000000"/>
          <w14:ligatures w14:val="standardContextual"/>
        </w:rPr>
        <w:t>Azartspēles ir brīvas konkurences apstākļos pastāvošs, legāls komercdarbības veids. Tādējādi aizliegums organizēt azartspēles nevar tikt pamatots ar vispārīgiem apsvērumiem par azartspēļu kaitīgumu vai vispārīgām norādēm uz sabiedrības interesēm. Aizlieguma apsvērumiem ir jābūt konkrētās vietas apstākļos pietiekami precīzi pamatotiem. Tādēļ katra azartspēļu organizēšanas vieta ir izvērtējama atsevišķi, ņemot vērā konkrētās vietas vai teritorijas specifiskās īpašības un samērojot konkrētās vietas ietekmi uz iedzīvotāju interesēm ar Azartspēļu un izložu likuma mērķu sasniegšanu. Tikai šādā veidā ir iespējams nonākt pie secinājuma, vai konkrētā vieta ir azartspēļu organizēšanai nepiemērota.</w:t>
      </w:r>
    </w:p>
    <w:p w14:paraId="2EF4BCDC" w14:textId="2A4977DA" w:rsidR="00447EE6" w:rsidRPr="008412C7" w:rsidRDefault="008412C7" w:rsidP="008412C7">
      <w:pPr>
        <w:autoSpaceDE w:val="0"/>
        <w:autoSpaceDN w:val="0"/>
        <w:spacing w:line="276" w:lineRule="auto"/>
        <w:jc w:val="both"/>
        <w:rPr>
          <w:b/>
          <w:bCs/>
          <w:color w:val="000000"/>
          <w14:ligatures w14:val="standardContextual"/>
        </w:rPr>
      </w:pPr>
      <w:r>
        <w:rPr>
          <w:color w:val="000000"/>
          <w14:ligatures w14:val="standardContextual"/>
        </w:rPr>
        <w:t xml:space="preserve">Apsvērums, ka spēļu zāle atrodas netālu no teritorijas, kurā saskaņā ar pašvaldības saistošajiem noteikumiem par teritorijas plānojumu azartspēļu organizēšana ir aizliegta, ir pārāk vispārīgs, lai pamatotu, kādēļ strīdus spēļu zāles atrašanās vieta, kurā saskaņā ar teritorijas plānojumu šāda veida komercdarbība nav liegta, uzskatāma par azartspēļu organizēšanai nepiemērotu. </w:t>
      </w:r>
    </w:p>
    <w:p w14:paraId="7DFE14B1" w14:textId="7106B287" w:rsidR="00447EE6" w:rsidRPr="00011547" w:rsidRDefault="00447EE6" w:rsidP="008412C7">
      <w:pPr>
        <w:spacing w:before="240" w:line="276" w:lineRule="auto"/>
        <w:jc w:val="center"/>
        <w:rPr>
          <w:b/>
        </w:rPr>
      </w:pPr>
      <w:r w:rsidRPr="00011547">
        <w:rPr>
          <w:b/>
        </w:rPr>
        <w:t>Latvijas Republikas Senāt</w:t>
      </w:r>
      <w:r w:rsidR="008412C7">
        <w:rPr>
          <w:b/>
        </w:rPr>
        <w:t>a</w:t>
      </w:r>
      <w:r w:rsidR="008412C7">
        <w:rPr>
          <w:b/>
        </w:rPr>
        <w:br/>
        <w:t>Administratīvo lietu departamenta</w:t>
      </w:r>
      <w:r w:rsidR="008412C7">
        <w:rPr>
          <w:b/>
        </w:rPr>
        <w:br/>
        <w:t xml:space="preserve">2024.gada 31.oktobra </w:t>
      </w:r>
    </w:p>
    <w:p w14:paraId="176CC32A" w14:textId="77777777" w:rsidR="00447EE6" w:rsidRDefault="00447EE6" w:rsidP="008412C7">
      <w:pPr>
        <w:spacing w:line="276" w:lineRule="auto"/>
        <w:jc w:val="center"/>
        <w:rPr>
          <w:b/>
        </w:rPr>
      </w:pPr>
      <w:r w:rsidRPr="00D160F6">
        <w:rPr>
          <w:b/>
        </w:rPr>
        <w:t>SPRIEDUMS</w:t>
      </w:r>
      <w:r w:rsidDel="000D5B2A">
        <w:rPr>
          <w:b/>
        </w:rPr>
        <w:t xml:space="preserve"> </w:t>
      </w:r>
    </w:p>
    <w:p w14:paraId="2C95579A" w14:textId="7C7F98F0" w:rsidR="008412C7" w:rsidRPr="008412C7" w:rsidRDefault="008412C7" w:rsidP="008412C7">
      <w:pPr>
        <w:spacing w:line="276" w:lineRule="auto"/>
        <w:jc w:val="center"/>
        <w:rPr>
          <w:b/>
          <w:bCs/>
        </w:rPr>
      </w:pPr>
      <w:r w:rsidRPr="008412C7">
        <w:rPr>
          <w:b/>
          <w:bCs/>
        </w:rPr>
        <w:t>Lieta Nr. A420149121</w:t>
      </w:r>
      <w:r w:rsidRPr="008412C7">
        <w:rPr>
          <w:b/>
          <w:bCs/>
          <w:lang w:eastAsia="lv-LV"/>
        </w:rPr>
        <w:t xml:space="preserve">, </w:t>
      </w:r>
      <w:r w:rsidRPr="008412C7">
        <w:rPr>
          <w:b/>
          <w:bCs/>
        </w:rPr>
        <w:t>SKA-147/2024</w:t>
      </w:r>
    </w:p>
    <w:p w14:paraId="323656EF" w14:textId="52D604B4" w:rsidR="008412C7" w:rsidRDefault="008412C7" w:rsidP="008412C7">
      <w:pPr>
        <w:spacing w:line="276" w:lineRule="auto"/>
        <w:jc w:val="center"/>
      </w:pPr>
      <w:r>
        <w:t xml:space="preserve"> </w:t>
      </w:r>
      <w:hyperlink r:id="rId8" w:history="1">
        <w:r w:rsidRPr="008412C7">
          <w:rPr>
            <w:rStyle w:val="Hyperlink"/>
            <w:sz w:val="23"/>
            <w:szCs w:val="23"/>
          </w:rPr>
          <w:t>ECLI:LV:AT:2024:1031.A420149121.10.S</w:t>
        </w:r>
      </w:hyperlink>
    </w:p>
    <w:p w14:paraId="700E1FBE" w14:textId="77777777" w:rsidR="00411CD0" w:rsidRPr="00011547" w:rsidRDefault="00411CD0" w:rsidP="008412C7">
      <w:pPr>
        <w:spacing w:line="276" w:lineRule="auto"/>
        <w:ind w:firstLine="720"/>
      </w:pPr>
    </w:p>
    <w:p w14:paraId="68E4AE23" w14:textId="6348240F" w:rsidR="00447EE6" w:rsidRPr="008A7D68" w:rsidRDefault="00447EE6" w:rsidP="008412C7">
      <w:pPr>
        <w:spacing w:line="276" w:lineRule="auto"/>
        <w:ind w:firstLine="720"/>
        <w:jc w:val="both"/>
      </w:pPr>
      <w:r w:rsidRPr="008A7D68">
        <w:t>Senāts šādā sastāvā:</w:t>
      </w:r>
      <w:r w:rsidR="00D25D87" w:rsidRPr="008A7D68">
        <w:t xml:space="preserve"> senatore referente </w:t>
      </w:r>
      <w:r w:rsidR="008A7D68" w:rsidRPr="008A7D68">
        <w:t>Ieva Višķere</w:t>
      </w:r>
      <w:r w:rsidR="00D25D87" w:rsidRPr="008A7D68">
        <w:t xml:space="preserve">, senatores </w:t>
      </w:r>
      <w:r w:rsidR="008A7D68" w:rsidRPr="008A7D68">
        <w:t xml:space="preserve">Dzintra Amerika </w:t>
      </w:r>
      <w:r w:rsidR="00D25D87" w:rsidRPr="008A7D68">
        <w:t xml:space="preserve">un </w:t>
      </w:r>
      <w:r w:rsidR="008A7D68" w:rsidRPr="008A7D68">
        <w:t>Indra Meldere</w:t>
      </w:r>
    </w:p>
    <w:p w14:paraId="27F96722" w14:textId="77777777" w:rsidR="00A11873" w:rsidRPr="008A7D68" w:rsidRDefault="00A11873" w:rsidP="008412C7">
      <w:pPr>
        <w:spacing w:line="276" w:lineRule="auto"/>
        <w:ind w:firstLine="720"/>
        <w:jc w:val="both"/>
      </w:pPr>
    </w:p>
    <w:p w14:paraId="25F644D7" w14:textId="735D1911" w:rsidR="00A11873" w:rsidRDefault="00A11873" w:rsidP="008412C7">
      <w:pPr>
        <w:spacing w:line="276" w:lineRule="auto"/>
        <w:ind w:firstLine="720"/>
        <w:jc w:val="both"/>
      </w:pPr>
      <w:r w:rsidRPr="008A7D68">
        <w:t xml:space="preserve">rakstveida procesā izskatīja administratīvo lietu, kas ierosināta, pamatojoties uz </w:t>
      </w:r>
      <w:r w:rsidR="008A7D68" w:rsidRPr="008A7D68">
        <w:t>SIA „ALFOR” pieteikumu par Rīgas domes 2021.gada 24.februāra lēmuma Nr. 388 (prot.</w:t>
      </w:r>
      <w:r w:rsidR="00411CA8">
        <w:t> </w:t>
      </w:r>
      <w:r w:rsidR="008A7D68" w:rsidRPr="008A7D68">
        <w:t>Nr.</w:t>
      </w:r>
      <w:r w:rsidR="00411CA8">
        <w:t> </w:t>
      </w:r>
      <w:r w:rsidR="008A7D68" w:rsidRPr="008A7D68">
        <w:t>12, 8.§) atcelšanu</w:t>
      </w:r>
      <w:r w:rsidRPr="008A7D68">
        <w:t xml:space="preserve">, sakarā ar </w:t>
      </w:r>
      <w:r w:rsidR="008A7D68" w:rsidRPr="008A7D68">
        <w:t xml:space="preserve">SIA „ALFOR” </w:t>
      </w:r>
      <w:r w:rsidRPr="008A7D68">
        <w:t>kasācijas sūdzību par Administratīvās apgabaltiesas</w:t>
      </w:r>
      <w:r w:rsidR="008A7D68" w:rsidRPr="008A7D68">
        <w:t xml:space="preserve"> 2022.gada 18.oktobra</w:t>
      </w:r>
      <w:r w:rsidRPr="008A7D68">
        <w:t xml:space="preserve"> spriedumu.</w:t>
      </w:r>
    </w:p>
    <w:p w14:paraId="73BBBC80" w14:textId="77777777" w:rsidR="00411CD0" w:rsidRDefault="00411CD0" w:rsidP="008412C7">
      <w:pPr>
        <w:spacing w:line="276" w:lineRule="auto"/>
        <w:ind w:firstLine="720"/>
        <w:jc w:val="both"/>
      </w:pPr>
    </w:p>
    <w:p w14:paraId="043B76E3" w14:textId="77777777" w:rsidR="00447EE6" w:rsidRDefault="00447EE6" w:rsidP="008412C7">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8412C7">
      <w:pPr>
        <w:spacing w:line="276" w:lineRule="auto"/>
        <w:jc w:val="center"/>
        <w:rPr>
          <w:shd w:val="clear" w:color="auto" w:fill="FFFFFF"/>
        </w:rPr>
      </w:pPr>
    </w:p>
    <w:p w14:paraId="2A63AFC8" w14:textId="36DB6DE7" w:rsidR="00447EE6" w:rsidRDefault="00447EE6" w:rsidP="008412C7">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FC4C4C">
        <w:rPr>
          <w:shd w:val="clear" w:color="auto" w:fill="FFFFFF"/>
        </w:rPr>
        <w:t> Rīgas domes Uzņēmējdarbības koordinācijas centrs 2006.gada 2.maijā izsniedza pieteicējai SIA „ALFOR” atļauju Nr. UKC-06-18-apa spēļu zāles atvēršanai</w:t>
      </w:r>
      <w:r w:rsidR="008412C7">
        <w:rPr>
          <w:shd w:val="clear" w:color="auto" w:fill="FFFFFF"/>
        </w:rPr>
        <w:t xml:space="preserve"> [adrese]</w:t>
      </w:r>
      <w:r w:rsidR="00FC4C4C">
        <w:rPr>
          <w:shd w:val="clear" w:color="auto" w:fill="FFFFFF"/>
        </w:rPr>
        <w:t>.</w:t>
      </w:r>
    </w:p>
    <w:p w14:paraId="267D45DD" w14:textId="5379BE24" w:rsidR="009F37FA" w:rsidRDefault="009F37FA" w:rsidP="008412C7">
      <w:pPr>
        <w:pStyle w:val="NormalWeb"/>
        <w:shd w:val="clear" w:color="auto" w:fill="FFFFFF"/>
        <w:spacing w:before="0" w:beforeAutospacing="0" w:after="0" w:afterAutospacing="0" w:line="276" w:lineRule="auto"/>
        <w:ind w:firstLine="720"/>
        <w:jc w:val="both"/>
      </w:pPr>
      <w:r>
        <w:rPr>
          <w:shd w:val="clear" w:color="auto" w:fill="FFFFFF"/>
        </w:rPr>
        <w:t xml:space="preserve">Ar Rīgas domes 2021.gada 24.februāra lēmumu Nr. 388 </w:t>
      </w:r>
      <w:r w:rsidRPr="008A7D68">
        <w:t>(prot. Nr. 12, 8.§)</w:t>
      </w:r>
      <w:r w:rsidR="00641386">
        <w:t xml:space="preserve"> </w:t>
      </w:r>
      <w:r w:rsidR="00453A57">
        <w:t xml:space="preserve">(turpmāk – pārsūdzētais lēmums) </w:t>
      </w:r>
      <w:r w:rsidR="00641386">
        <w:t>minētā atļauja atcelta.</w:t>
      </w:r>
    </w:p>
    <w:p w14:paraId="1418595B" w14:textId="39835BBE" w:rsidR="0043329F" w:rsidRDefault="00033CC4" w:rsidP="008412C7">
      <w:pPr>
        <w:pStyle w:val="NormalWeb"/>
        <w:shd w:val="clear" w:color="auto" w:fill="FFFFFF"/>
        <w:spacing w:before="0" w:beforeAutospacing="0" w:after="0" w:afterAutospacing="0" w:line="276" w:lineRule="auto"/>
        <w:ind w:firstLine="720"/>
        <w:jc w:val="both"/>
        <w:rPr>
          <w:shd w:val="clear" w:color="auto" w:fill="FFFFFF"/>
        </w:rPr>
      </w:pPr>
      <w:r>
        <w:t>Pieteicēja</w:t>
      </w:r>
      <w:r w:rsidR="00A9010E">
        <w:t xml:space="preserve"> vērsās administratīvajā tiesā ar pieteikumu</w:t>
      </w:r>
      <w:r w:rsidR="0052173E">
        <w:t xml:space="preserve"> par pārsūdzētā lēmuma atcelšanu.</w:t>
      </w:r>
    </w:p>
    <w:p w14:paraId="4D5B46ED" w14:textId="77777777" w:rsidR="000A65CA" w:rsidRDefault="000A65CA" w:rsidP="008412C7">
      <w:pPr>
        <w:pStyle w:val="NormalWeb"/>
        <w:shd w:val="clear" w:color="auto" w:fill="FFFFFF"/>
        <w:spacing w:before="0" w:beforeAutospacing="0" w:after="0" w:afterAutospacing="0" w:line="276" w:lineRule="auto"/>
        <w:ind w:firstLine="720"/>
        <w:jc w:val="both"/>
        <w:rPr>
          <w:shd w:val="clear" w:color="auto" w:fill="FFFFFF"/>
        </w:rPr>
      </w:pPr>
    </w:p>
    <w:p w14:paraId="41BCBF93" w14:textId="1B165822" w:rsidR="000A65CA" w:rsidRDefault="000A65CA" w:rsidP="008412C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A9010E">
        <w:rPr>
          <w:shd w:val="clear" w:color="auto" w:fill="FFFFFF"/>
        </w:rPr>
        <w:t> Administratīvā apgabaltiesa, izskatījusi lietu apelācijas kārtībā, ar 2022.gada 18.oktobra spriedumu p</w:t>
      </w:r>
      <w:r w:rsidR="0052173E">
        <w:rPr>
          <w:shd w:val="clear" w:color="auto" w:fill="FFFFFF"/>
        </w:rPr>
        <w:t>ieteikumu noraidīja.</w:t>
      </w:r>
      <w:r w:rsidR="00FF4048">
        <w:rPr>
          <w:shd w:val="clear" w:color="auto" w:fill="FFFFFF"/>
        </w:rPr>
        <w:t xml:space="preserve"> Spriedums, </w:t>
      </w:r>
      <w:r w:rsidR="006D5F05">
        <w:rPr>
          <w:shd w:val="clear" w:color="auto" w:fill="FFFFFF"/>
        </w:rPr>
        <w:t>ņemot vērā arī</w:t>
      </w:r>
      <w:r w:rsidR="00FF4048">
        <w:rPr>
          <w:shd w:val="clear" w:color="auto" w:fill="FFFFFF"/>
        </w:rPr>
        <w:t xml:space="preserve"> pievienošanos pirmās instances tiesas sprieduma motivācijai, </w:t>
      </w:r>
      <w:r w:rsidR="003E7090">
        <w:rPr>
          <w:shd w:val="clear" w:color="auto" w:fill="FFFFFF"/>
        </w:rPr>
        <w:t>pamatots ar turpmāk norādītajiem argumentiem.</w:t>
      </w:r>
    </w:p>
    <w:p w14:paraId="3AB9A470" w14:textId="5A441F9F" w:rsidR="00A11F93" w:rsidRDefault="003E7090" w:rsidP="008412C7">
      <w:pPr>
        <w:shd w:val="clear" w:color="auto" w:fill="FFFFFF"/>
        <w:spacing w:line="276" w:lineRule="auto"/>
        <w:ind w:firstLine="720"/>
        <w:jc w:val="both"/>
      </w:pPr>
      <w:r>
        <w:rPr>
          <w:shd w:val="clear" w:color="auto" w:fill="FFFFFF"/>
        </w:rPr>
        <w:t>[2.1]</w:t>
      </w:r>
      <w:r w:rsidR="00D42E31">
        <w:rPr>
          <w:shd w:val="clear" w:color="auto" w:fill="FFFFFF"/>
        </w:rPr>
        <w:t> </w:t>
      </w:r>
      <w:r w:rsidR="00D24D40">
        <w:rPr>
          <w:shd w:val="clear" w:color="auto" w:fill="FFFFFF"/>
        </w:rPr>
        <w:t xml:space="preserve">Saskaņā ar teritorijas plānojumu, kas izstrādāts Rīgas vēsturiskajam centram un tā aizsardzības zonai, proti, </w:t>
      </w:r>
      <w:r w:rsidR="00D24D40">
        <w:t>Rīgas domes 2006.gada 7.februāra saistošajiem noteikumiem Nr. 38 „</w:t>
      </w:r>
      <w:r w:rsidR="00D24D40" w:rsidRPr="00333A25">
        <w:t>Rīgas vēsturiskā centra un tā aizsardzības zonas teritorijas izmantošanas un apbūves noteikumi</w:t>
      </w:r>
      <w:r w:rsidR="00D24D40">
        <w:t>” (turpmāk – saistošie noteikumi Nr. 38),</w:t>
      </w:r>
      <w:r w:rsidR="00332752">
        <w:t xml:space="preserve"> strīdus spēļu zāle atrodas vēsturiskā centra aizsardzības zonas dzīvojamās apbūves teritorijā</w:t>
      </w:r>
      <w:r w:rsidR="00D257E8">
        <w:t xml:space="preserve"> (Dz)</w:t>
      </w:r>
      <w:r w:rsidR="00332752">
        <w:t>. Tā ir teritorija, kurā atbilstoši minēt</w:t>
      </w:r>
      <w:r w:rsidR="002D250B">
        <w:t>o</w:t>
      </w:r>
      <w:r w:rsidR="00332752">
        <w:t xml:space="preserve"> saistoš</w:t>
      </w:r>
      <w:r w:rsidR="002D250B">
        <w:t>o</w:t>
      </w:r>
      <w:r w:rsidR="00332752">
        <w:t xml:space="preserve"> noteikum</w:t>
      </w:r>
      <w:r w:rsidR="002D250B">
        <w:t>u normām</w:t>
      </w:r>
      <w:r w:rsidR="00332752">
        <w:t xml:space="preserve"> vispārīgi nav aizliegta azartspēļu organizēšanas vietu ierīkošana. </w:t>
      </w:r>
      <w:r w:rsidR="007230DC">
        <w:t xml:space="preserve">Tomēr ņemams vērā, ka </w:t>
      </w:r>
      <w:r w:rsidR="00717829">
        <w:t xml:space="preserve">strīdus spēļu zāle atrodas trīs kvartālus no Rīgas vēsturiskā centra </w:t>
      </w:r>
      <w:r w:rsidR="001C4A72">
        <w:t xml:space="preserve">robežām </w:t>
      </w:r>
      <w:r w:rsidR="00717829">
        <w:t xml:space="preserve">tā aizsardzības zonā un tai blakus ir jauktas apbūves teritorijas </w:t>
      </w:r>
      <w:r w:rsidR="008F4688">
        <w:t xml:space="preserve">(J) </w:t>
      </w:r>
      <w:r w:rsidR="00717829">
        <w:t>un publiskās apbūves teritorijas</w:t>
      </w:r>
      <w:r w:rsidR="008F4688">
        <w:t xml:space="preserve"> (P)</w:t>
      </w:r>
      <w:r w:rsidR="00717829">
        <w:t xml:space="preserve">, kurās azartspēļu rīkošana ir aizliegta. </w:t>
      </w:r>
      <w:r w:rsidR="00D60629">
        <w:t>Turklāt</w:t>
      </w:r>
      <w:r w:rsidR="00D23810">
        <w:t xml:space="preserve"> </w:t>
      </w:r>
      <w:r w:rsidR="004A69FE">
        <w:t>Rīgas vēsturiskā centra aizsardzības zona ir kultūras mantojuma vērtība, kas pelna tādu pašu aizsardzību kā vēsturiskais centrs,</w:t>
      </w:r>
      <w:r w:rsidR="00B261E1">
        <w:t xml:space="preserve"> </w:t>
      </w:r>
      <w:r w:rsidR="00D60629">
        <w:t>jo no kultūrvēsturiskā mantojuma saglabāšanas viedokļa vēsturiskais centrs un tā aizsardzības zona ir uztverami kā vienots veselums.</w:t>
      </w:r>
      <w:r w:rsidR="00E858ED">
        <w:t xml:space="preserve"> </w:t>
      </w:r>
      <w:r w:rsidR="00BB7C1E">
        <w:t xml:space="preserve">Līdz ar to Rīgas dome, izvērtējot individuālos konkrēto spēļu zāles atrašanās vietu raksturojošos apstākļus, ir pamatoti atzinusi, ka </w:t>
      </w:r>
      <w:r w:rsidR="00E858ED">
        <w:t>spēļu zāles darbība konkrētajā vietā nav saderīga ar Rīgas vēsturiskā centra un tā aizsardzības zonas kultūrvēsturiskajām vērtībām un traucē to uztveri.</w:t>
      </w:r>
    </w:p>
    <w:p w14:paraId="64E1B470" w14:textId="77BBD5F0" w:rsidR="009B4F27" w:rsidRDefault="00E858ED" w:rsidP="008412C7">
      <w:pPr>
        <w:shd w:val="clear" w:color="auto" w:fill="FFFFFF"/>
        <w:spacing w:line="276" w:lineRule="auto"/>
        <w:ind w:firstLine="720"/>
        <w:jc w:val="both"/>
      </w:pPr>
      <w:r>
        <w:t xml:space="preserve">[2.2] Pārejas perioda termiņš spēļu zāles slēgšanai – pieci gadi – ļauj komersantiem samazināt nelabvēlīgās īpašuma tiesību ierobežojuma sekas un respektē </w:t>
      </w:r>
      <w:r w:rsidR="009D3848">
        <w:t>komersantu</w:t>
      </w:r>
      <w:r>
        <w:t xml:space="preserve"> tiesisko paļāvību</w:t>
      </w:r>
      <w:r w:rsidR="00BD3A45">
        <w:t xml:space="preserve">, </w:t>
      </w:r>
      <w:r>
        <w:t>un līdz ar to ir samērīgs.</w:t>
      </w:r>
    </w:p>
    <w:p w14:paraId="1AB45E4E" w14:textId="77777777" w:rsidR="00BD3A45" w:rsidRPr="00BD3A45" w:rsidRDefault="00BD3A45" w:rsidP="008412C7">
      <w:pPr>
        <w:shd w:val="clear" w:color="auto" w:fill="FFFFFF"/>
        <w:spacing w:line="276" w:lineRule="auto"/>
        <w:ind w:firstLine="720"/>
        <w:jc w:val="both"/>
      </w:pPr>
    </w:p>
    <w:p w14:paraId="010E3D34" w14:textId="12EA4035" w:rsidR="00BF21E2" w:rsidRDefault="003E7090" w:rsidP="008412C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Pieteicēja par minēto apgabaltiesas spriedumu iesniedza kasācijas sūdzību, </w:t>
      </w:r>
      <w:r w:rsidR="00B9289E">
        <w:rPr>
          <w:shd w:val="clear" w:color="auto" w:fill="FFFFFF"/>
        </w:rPr>
        <w:t xml:space="preserve">uzsverot, ka spriedumā </w:t>
      </w:r>
      <w:r w:rsidR="009F1C79">
        <w:rPr>
          <w:shd w:val="clear" w:color="auto" w:fill="FFFFFF"/>
        </w:rPr>
        <w:t xml:space="preserve">ir </w:t>
      </w:r>
      <w:r w:rsidR="00B9289E">
        <w:rPr>
          <w:shd w:val="clear" w:color="auto" w:fill="FFFFFF"/>
        </w:rPr>
        <w:t xml:space="preserve">izdarīts nepamatots secinājums, ka pašvaldība, pieņemot pārsūdzēto lēmumu, ir veikusi </w:t>
      </w:r>
      <w:r w:rsidR="009F1C79">
        <w:rPr>
          <w:shd w:val="clear" w:color="auto" w:fill="FFFFFF"/>
        </w:rPr>
        <w:t xml:space="preserve">individuālu strīdus spēļu zāles atrašanās vietas izvērtējumu, kas līdz ar to atbilst </w:t>
      </w:r>
      <w:r w:rsidR="00B9289E">
        <w:rPr>
          <w:shd w:val="clear" w:color="auto" w:fill="FFFFFF"/>
        </w:rPr>
        <w:t>Azartspēļu un izložu likuma 42.panta prasībām</w:t>
      </w:r>
      <w:r w:rsidR="009F1C79">
        <w:rPr>
          <w:shd w:val="clear" w:color="auto" w:fill="FFFFFF"/>
        </w:rPr>
        <w:t xml:space="preserve">. </w:t>
      </w:r>
      <w:r w:rsidR="00FE23E8">
        <w:rPr>
          <w:shd w:val="clear" w:color="auto" w:fill="FFFFFF"/>
        </w:rPr>
        <w:t>Tāpat kasācijas sūdzībā norādīti argumenti par tiesas secinājumiem saistībā ar pārejas perioda termiņu spēļu zāles slēgšanai.</w:t>
      </w:r>
    </w:p>
    <w:p w14:paraId="4B1C324F" w14:textId="77777777" w:rsidR="003E7090" w:rsidRDefault="003E7090" w:rsidP="008412C7">
      <w:pPr>
        <w:pStyle w:val="NormalWeb"/>
        <w:shd w:val="clear" w:color="auto" w:fill="FFFFFF"/>
        <w:spacing w:before="0" w:beforeAutospacing="0" w:after="0" w:afterAutospacing="0" w:line="276" w:lineRule="auto"/>
        <w:ind w:firstLine="720"/>
        <w:jc w:val="both"/>
        <w:rPr>
          <w:shd w:val="clear" w:color="auto" w:fill="FFFFFF"/>
        </w:rPr>
      </w:pPr>
    </w:p>
    <w:p w14:paraId="54D105D5" w14:textId="3FDDFD7B" w:rsidR="00BF21E2" w:rsidRDefault="003E7090" w:rsidP="008412C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 Rīgas dome paskaidrojumos par kasācijas sūdzību</w:t>
      </w:r>
      <w:r w:rsidR="00F6652E">
        <w:rPr>
          <w:shd w:val="clear" w:color="auto" w:fill="FFFFFF"/>
        </w:rPr>
        <w:t xml:space="preserve"> norādījusi, ka tā ir nepamatota.</w:t>
      </w:r>
    </w:p>
    <w:p w14:paraId="71D99940" w14:textId="77777777" w:rsidR="00411CD0" w:rsidRDefault="00411CD0" w:rsidP="008412C7">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8412C7">
      <w:pPr>
        <w:shd w:val="clear" w:color="auto" w:fill="FFFFFF"/>
        <w:spacing w:line="276" w:lineRule="auto"/>
        <w:jc w:val="center"/>
        <w:rPr>
          <w:b/>
        </w:rPr>
      </w:pPr>
      <w:r w:rsidRPr="00011547">
        <w:rPr>
          <w:b/>
        </w:rPr>
        <w:t>Motīvu daļa</w:t>
      </w:r>
    </w:p>
    <w:p w14:paraId="7B7D277A" w14:textId="77777777" w:rsidR="00411CD0" w:rsidRPr="00011547" w:rsidRDefault="00411CD0" w:rsidP="008412C7">
      <w:pPr>
        <w:shd w:val="clear" w:color="auto" w:fill="FFFFFF"/>
        <w:spacing w:line="276" w:lineRule="auto"/>
        <w:jc w:val="center"/>
      </w:pPr>
    </w:p>
    <w:p w14:paraId="28151D25" w14:textId="77B7E6FA" w:rsidR="00C94C56" w:rsidRDefault="003E7090" w:rsidP="008412C7">
      <w:pPr>
        <w:shd w:val="clear" w:color="auto" w:fill="FFFFFF"/>
        <w:spacing w:line="276" w:lineRule="auto"/>
        <w:ind w:firstLine="720"/>
        <w:jc w:val="both"/>
      </w:pPr>
      <w:r>
        <w:t>[5] </w:t>
      </w:r>
      <w:r w:rsidR="00762F62">
        <w:t xml:space="preserve">Saskaņā ar Azartspēļu un izložu likuma 42.panta sesto daļu, ja </w:t>
      </w:r>
      <w:r w:rsidR="00762F62" w:rsidRPr="00762F62">
        <w:t>azartspēļu organizēšana konkrētajā vietā rada būtisku valsts un attiecīgās administratīvās teritorijas iedzīvotāju interešu aizskārumu, pašvaldības dome ar motivētu lēmumu ir tiesīga atcelt izsniegto atļauju atvērt kazino, spēļu zāli, bingo zāli, totalizatoru vai derību likmju pieņemšanas vietu un organizēt attiecīgās azartspēles konkrētajās telpās.</w:t>
      </w:r>
    </w:p>
    <w:p w14:paraId="18E61EB0" w14:textId="7839ECA7" w:rsidR="009A1448" w:rsidRDefault="008616E8" w:rsidP="008412C7">
      <w:pPr>
        <w:shd w:val="clear" w:color="auto" w:fill="FFFFFF"/>
        <w:spacing w:line="276" w:lineRule="auto"/>
        <w:ind w:firstLine="720"/>
        <w:jc w:val="both"/>
      </w:pPr>
      <w:r>
        <w:t xml:space="preserve">Satversmes tiesa, interpretējot minēto tiesību normu, </w:t>
      </w:r>
      <w:r w:rsidR="00463DBD">
        <w:t xml:space="preserve">ir </w:t>
      </w:r>
      <w:r>
        <w:t xml:space="preserve">atzinusi, ka pašvaldība, lemjot par atļaujas spēļu zāles darbībai atcelšanu, var rīkoties divējādi – noteikt konkrētus ierobežojumus azartspēļu organizēšanai teritorijas plānojumā (kura pieņemšanā attiecīgi jau </w:t>
      </w:r>
      <w:r>
        <w:lastRenderedPageBreak/>
        <w:t>ir izsvērtas dažādas iesaistītās intereses) un individuālo lēmumu par atļaujas atcelšanu pamatot ar attiecīgo teritorijas plānojumu vai, ja attiecīgais jautājums nav noregulēts teritorijas plānojumā, izvērtēt azartspēļu organizēšanas pieļaujamību personas iecerētajā vietā katrā konkrētā gadījumā atsevišķi un individuālo lēmumu pamatot ar konkrētās vietas individuālo izvērtējumu (</w:t>
      </w:r>
      <w:r w:rsidRPr="002B1715">
        <w:rPr>
          <w:i/>
          <w:iCs/>
        </w:rPr>
        <w:t>Satversmes tiesas 2019.gada 16.maija sprieduma lietā Nr. </w:t>
      </w:r>
      <w:hyperlink r:id="rId9" w:history="1">
        <w:r w:rsidRPr="00417706">
          <w:rPr>
            <w:rStyle w:val="Hyperlink"/>
            <w:i/>
            <w:iCs/>
          </w:rPr>
          <w:t>2018-17-03</w:t>
        </w:r>
      </w:hyperlink>
      <w:r w:rsidRPr="002B1715">
        <w:rPr>
          <w:i/>
          <w:iCs/>
        </w:rPr>
        <w:t xml:space="preserve"> 18.5. un 20.2.3.punkts</w:t>
      </w:r>
      <w:r>
        <w:t>).</w:t>
      </w:r>
      <w:r w:rsidR="00D07442">
        <w:t xml:space="preserve"> </w:t>
      </w:r>
      <w:r w:rsidR="002959B0">
        <w:t xml:space="preserve">Tādējādi </w:t>
      </w:r>
      <w:r w:rsidR="007B3448">
        <w:t xml:space="preserve">gadījumā, ja </w:t>
      </w:r>
      <w:r w:rsidR="005D6B8C">
        <w:t xml:space="preserve">teritorijas plānojumā noteiktais funkcionālais zonējums kā atļauto izmantošanas veidu vispārīgi pieļauj komercdarbības veikšanu, tostarp azartspēļu organizēšanu, pašvaldībai ir jāveic individuāls katras vietas izvērtējums </w:t>
      </w:r>
      <w:r w:rsidR="00A10CF0">
        <w:t xml:space="preserve">(sal. </w:t>
      </w:r>
      <w:r w:rsidR="00A10CF0" w:rsidRPr="00885231">
        <w:rPr>
          <w:i/>
          <w:iCs/>
        </w:rPr>
        <w:t>Satversmes tiesas 2023.gada 2</w:t>
      </w:r>
      <w:r w:rsidR="00504B34">
        <w:rPr>
          <w:i/>
          <w:iCs/>
        </w:rPr>
        <w:t>0</w:t>
      </w:r>
      <w:r w:rsidR="00A10CF0" w:rsidRPr="00885231">
        <w:rPr>
          <w:i/>
          <w:iCs/>
        </w:rPr>
        <w:t>.aprīļa sprieduma lietā Nr. </w:t>
      </w:r>
      <w:hyperlink r:id="rId10" w:history="1">
        <w:r w:rsidR="00A10CF0" w:rsidRPr="00417706">
          <w:rPr>
            <w:rStyle w:val="Hyperlink"/>
            <w:i/>
            <w:iCs/>
          </w:rPr>
          <w:t>2022-13-05</w:t>
        </w:r>
      </w:hyperlink>
      <w:r w:rsidR="00A10CF0" w:rsidRPr="00885231">
        <w:rPr>
          <w:i/>
          <w:iCs/>
        </w:rPr>
        <w:t xml:space="preserve"> 20.punkts</w:t>
      </w:r>
      <w:r w:rsidR="00A10CF0">
        <w:t>).</w:t>
      </w:r>
    </w:p>
    <w:p w14:paraId="5CBD5C15" w14:textId="0E3DD7E3" w:rsidR="00706F48" w:rsidRDefault="00C073BA" w:rsidP="008412C7">
      <w:pPr>
        <w:shd w:val="clear" w:color="auto" w:fill="FFFFFF"/>
        <w:spacing w:line="276" w:lineRule="auto"/>
        <w:ind w:firstLine="720"/>
        <w:jc w:val="both"/>
      </w:pPr>
      <w:r>
        <w:t>Kasācijas tiesvedībā, ņemot vērā pieteicējas kasācijas sūdzības argumentu būtību, noskaidrojams, vai apgabaltiesa</w:t>
      </w:r>
      <w:r w:rsidR="00706F48">
        <w:t xml:space="preserve"> ir </w:t>
      </w:r>
      <w:r w:rsidR="00273A9A">
        <w:t xml:space="preserve">pamatoti atzinusi, ka pašvaldības </w:t>
      </w:r>
      <w:r w:rsidR="00C20CBD">
        <w:t>strīdus spēļu zāles atrašanās vietas</w:t>
      </w:r>
      <w:r w:rsidR="00273A9A">
        <w:t xml:space="preserve"> izvērtējums atbilst no Azartspēļu un izložu likuma 42.panta sestās daļas izrietošajām individuālā izvērtējuma prasībām.</w:t>
      </w:r>
    </w:p>
    <w:p w14:paraId="241B688E" w14:textId="77777777" w:rsidR="00706F48" w:rsidRDefault="00706F48" w:rsidP="008412C7">
      <w:pPr>
        <w:shd w:val="clear" w:color="auto" w:fill="FFFFFF"/>
        <w:spacing w:line="276" w:lineRule="auto"/>
        <w:ind w:firstLine="720"/>
        <w:jc w:val="both"/>
      </w:pPr>
    </w:p>
    <w:p w14:paraId="6DBFB5B2" w14:textId="645900E9" w:rsidR="0069629F" w:rsidRDefault="00524082" w:rsidP="008412C7">
      <w:pPr>
        <w:shd w:val="clear" w:color="auto" w:fill="FFFFFF"/>
        <w:spacing w:line="276" w:lineRule="auto"/>
        <w:ind w:firstLine="720"/>
        <w:jc w:val="both"/>
      </w:pPr>
      <w:r>
        <w:t>[6] </w:t>
      </w:r>
      <w:r w:rsidR="004464EC">
        <w:t xml:space="preserve">Senāta praksē, tostarp ņemot vērā </w:t>
      </w:r>
      <w:r w:rsidR="00FE6D22">
        <w:t>Satversmes tiesas</w:t>
      </w:r>
      <w:r w:rsidR="0069629F">
        <w:t xml:space="preserve"> spriedumos lietās Nr. </w:t>
      </w:r>
      <w:hyperlink r:id="rId11" w:history="1">
        <w:r w:rsidR="0069629F" w:rsidRPr="00806A1C">
          <w:rPr>
            <w:rStyle w:val="Hyperlink"/>
          </w:rPr>
          <w:t>2018-17-03</w:t>
        </w:r>
      </w:hyperlink>
      <w:r w:rsidR="0069629F">
        <w:t xml:space="preserve"> un Nr. </w:t>
      </w:r>
      <w:hyperlink r:id="rId12" w:history="1">
        <w:r w:rsidR="0069629F" w:rsidRPr="00806A1C">
          <w:rPr>
            <w:rStyle w:val="Hyperlink"/>
          </w:rPr>
          <w:t>2022-13-05</w:t>
        </w:r>
      </w:hyperlink>
      <w:r w:rsidR="0069629F">
        <w:t xml:space="preserve"> ietvertās atziņas, jau iepriekš sniegtas vadlīnijas attiecībā uz to, kā veicams individuāls katras vietas izvērtējums Azartspēļu un izložu likuma 42.panta sestās daļas izpratnē.</w:t>
      </w:r>
    </w:p>
    <w:p w14:paraId="58CF56A0" w14:textId="3BB56F62" w:rsidR="00226FED" w:rsidRDefault="0095079F" w:rsidP="008412C7">
      <w:pPr>
        <w:shd w:val="clear" w:color="auto" w:fill="FFFFFF"/>
        <w:spacing w:line="276" w:lineRule="auto"/>
        <w:ind w:firstLine="720"/>
        <w:jc w:val="both"/>
      </w:pPr>
      <w:r>
        <w:t xml:space="preserve">Šāda izvērtējuma kontekstā ņemams vērā, ka azartspēles ir brīvas konkurences apstākļos pastāvošs, legāls komercdarbības veids. </w:t>
      </w:r>
      <w:r w:rsidR="00EA115A">
        <w:t xml:space="preserve">Tādēļ, nosakot azartspēļu organizēšanas ierobežojumus, pašvaldībai ir jānodrošina līdzsvars starp azartspēļu organizēšanu un sabiedrības interesēm. </w:t>
      </w:r>
      <w:r w:rsidR="00DF32A0">
        <w:t xml:space="preserve">Minētais attiecīgi nozīmē, ka aizliegums organizēt azartspēles </w:t>
      </w:r>
      <w:r w:rsidR="00735969">
        <w:t>nevar tikt pamatots</w:t>
      </w:r>
      <w:r w:rsidR="00DF32A0">
        <w:t xml:space="preserve"> ar vispārīgiem apsvērumiem par azartspēļu kaitīgumu </w:t>
      </w:r>
      <w:r w:rsidR="0082523A">
        <w:t xml:space="preserve">vai </w:t>
      </w:r>
      <w:r w:rsidR="004B5E15">
        <w:t>vispārīg</w:t>
      </w:r>
      <w:r w:rsidR="00C26E23">
        <w:t>ām</w:t>
      </w:r>
      <w:r w:rsidR="004B5E15">
        <w:t xml:space="preserve"> </w:t>
      </w:r>
      <w:r w:rsidR="00DF32A0">
        <w:t>norād</w:t>
      </w:r>
      <w:r w:rsidR="00C26E23">
        <w:t>ēm</w:t>
      </w:r>
      <w:r w:rsidR="00DF32A0">
        <w:t xml:space="preserve"> uz sabiedrības interesēm</w:t>
      </w:r>
      <w:r w:rsidR="00EC7A5D">
        <w:t xml:space="preserve">. Aizlieguma apsvērumiem ir jābūt konkrētās vietas apstākļos pietiekami precīzi pamatotiem. </w:t>
      </w:r>
      <w:r w:rsidR="002F11AE">
        <w:t>Tādēļ</w:t>
      </w:r>
      <w:r w:rsidR="00A815E4">
        <w:t xml:space="preserve"> katra azartspēļu organizēšanas vieta ir izvērtējama atsevišķi, ņemot vērā konkrētās vietas vai teritorijas specifiskās īpašības un samērojot konkrētās vietas ietekmi uz iedzīvotāju interesēm ar Azartspēļu un izložu likuma mērķu sasniegšanu</w:t>
      </w:r>
      <w:r w:rsidR="002F11AE">
        <w:t>.</w:t>
      </w:r>
      <w:r w:rsidR="00F72AF1">
        <w:t xml:space="preserve"> Tikai šādā veidā </w:t>
      </w:r>
      <w:r w:rsidR="00DF4402">
        <w:t xml:space="preserve">ir iespējams nonākt pie secinājuma, </w:t>
      </w:r>
      <w:r w:rsidR="00BD7DD8">
        <w:t>vai</w:t>
      </w:r>
      <w:r w:rsidR="00DF4402">
        <w:t xml:space="preserve"> konkrētā vieta ir azartspēļu organizēšanai nepiemērota (sk.</w:t>
      </w:r>
      <w:r w:rsidR="00ED69F9">
        <w:t>, piemēram</w:t>
      </w:r>
      <w:r w:rsidR="00ED69F9" w:rsidRPr="00116910">
        <w:rPr>
          <w:i/>
          <w:iCs/>
        </w:rPr>
        <w:t xml:space="preserve">, Senāta 2023.gada 23.maija sprieduma lietā Nr. SKA-111/2023, </w:t>
      </w:r>
      <w:hyperlink r:id="rId13" w:history="1">
        <w:r w:rsidR="00585C67" w:rsidRPr="00585C67">
          <w:rPr>
            <w:rStyle w:val="Hyperlink"/>
            <w:i/>
            <w:iCs/>
          </w:rPr>
          <w:t>ECLI:LV:AT:2023:0523.A420308918.9.S</w:t>
        </w:r>
      </w:hyperlink>
      <w:r w:rsidR="00585C67">
        <w:rPr>
          <w:i/>
          <w:iCs/>
        </w:rPr>
        <w:t xml:space="preserve">, </w:t>
      </w:r>
      <w:r w:rsidR="00ED69F9" w:rsidRPr="00116910">
        <w:rPr>
          <w:i/>
          <w:iCs/>
        </w:rPr>
        <w:t xml:space="preserve">8.punktu, 2023.gada 28.jūlija rīcības sēdes lēmuma lietā Nr. SKA-538/2023, </w:t>
      </w:r>
      <w:hyperlink r:id="rId14" w:history="1">
        <w:r w:rsidR="00585C67" w:rsidRPr="00585C67">
          <w:rPr>
            <w:rStyle w:val="Hyperlink"/>
            <w:i/>
            <w:iCs/>
          </w:rPr>
          <w:t>ECLI:LV:AT:2023:0728.A420151021.10.L</w:t>
        </w:r>
      </w:hyperlink>
      <w:r w:rsidR="00585C67">
        <w:rPr>
          <w:i/>
          <w:iCs/>
        </w:rPr>
        <w:t xml:space="preserve">, </w:t>
      </w:r>
      <w:r w:rsidR="00ED69F9" w:rsidRPr="00116910">
        <w:rPr>
          <w:i/>
          <w:iCs/>
        </w:rPr>
        <w:t>4.punktu</w:t>
      </w:r>
      <w:r w:rsidR="00ED69F9">
        <w:t xml:space="preserve"> un tajos norādīto judikatūru).</w:t>
      </w:r>
    </w:p>
    <w:p w14:paraId="73BFE568" w14:textId="77777777" w:rsidR="00BF6C08" w:rsidRDefault="00BF6C08" w:rsidP="008412C7">
      <w:pPr>
        <w:shd w:val="clear" w:color="auto" w:fill="FFFFFF"/>
        <w:spacing w:line="276" w:lineRule="auto"/>
        <w:ind w:firstLine="720"/>
        <w:jc w:val="both"/>
      </w:pPr>
    </w:p>
    <w:p w14:paraId="6D16DFE0" w14:textId="54970F86" w:rsidR="002801DD" w:rsidRDefault="00BF6C08" w:rsidP="008412C7">
      <w:pPr>
        <w:shd w:val="clear" w:color="auto" w:fill="FFFFFF"/>
        <w:spacing w:line="276" w:lineRule="auto"/>
        <w:ind w:firstLine="720"/>
        <w:jc w:val="both"/>
      </w:pPr>
      <w:r>
        <w:t>[7]</w:t>
      </w:r>
      <w:r w:rsidR="002176E5">
        <w:t> </w:t>
      </w:r>
      <w:r w:rsidR="00C96D1D">
        <w:t xml:space="preserve">Konkrētajā gadījumā apgabaltiesa ir piekritusi pašvaldībai, ka strīdus spēļu zāles atrašanās vieta ir uzskatāma par nepiemērotu azartspēļu organizēšanai tā iemesla dēļ, ka </w:t>
      </w:r>
      <w:r w:rsidR="00A63597">
        <w:t>tā atrodas Rīgas vēsturiskā centra aizsardzības zonā</w:t>
      </w:r>
      <w:r w:rsidR="00236885">
        <w:t>,</w:t>
      </w:r>
      <w:r w:rsidR="003B4C6B">
        <w:t xml:space="preserve"> proti,</w:t>
      </w:r>
      <w:r w:rsidR="00734E5E">
        <w:t xml:space="preserve"> </w:t>
      </w:r>
      <w:r w:rsidR="00FB7059">
        <w:t xml:space="preserve">tādā </w:t>
      </w:r>
      <w:r w:rsidR="00734E5E">
        <w:t xml:space="preserve">vietā, kas kopā ar vēsturisko centru veidojot vienotu, aizsargājamu kultūrvēsturiskā mantojuma vērtību. </w:t>
      </w:r>
      <w:r w:rsidR="00620D82">
        <w:t xml:space="preserve">Turklāt </w:t>
      </w:r>
      <w:r w:rsidR="00ED7163">
        <w:t xml:space="preserve">vērā ņemams esot arī tas, ka </w:t>
      </w:r>
      <w:r w:rsidR="00620D82">
        <w:t xml:space="preserve">strīdus spēļu zāle </w:t>
      </w:r>
      <w:r w:rsidR="00ED7163">
        <w:t>atrodas</w:t>
      </w:r>
      <w:r w:rsidR="00620D82">
        <w:t xml:space="preserve"> blakus tādām vēsturiskā centra un tā aizsardzības zonas funkcionālajām zonām, kurās azartspēļu organizēšana ir aizliegta.</w:t>
      </w:r>
    </w:p>
    <w:p w14:paraId="35F97EC7" w14:textId="7A751B46" w:rsidR="0057724A" w:rsidRDefault="0057724A" w:rsidP="008412C7">
      <w:pPr>
        <w:shd w:val="clear" w:color="auto" w:fill="FFFFFF"/>
        <w:spacing w:line="276" w:lineRule="auto"/>
        <w:ind w:firstLine="720"/>
        <w:jc w:val="both"/>
      </w:pPr>
      <w:r>
        <w:lastRenderedPageBreak/>
        <w:t>Senāts piekrīt kasācijas sūdzībā paustajam uzskatam, ka šāds izvērtējums ir pārāk vispārīgs un neatbilst no Azartspēļu un izložu likuma 42.panta sestās daļas izrietošajām individuālā izvērtējuma prasībām.</w:t>
      </w:r>
    </w:p>
    <w:p w14:paraId="38D2DA14" w14:textId="7C9A2BA8" w:rsidR="005473F3" w:rsidRDefault="00C33E06" w:rsidP="008412C7">
      <w:pPr>
        <w:shd w:val="clear" w:color="auto" w:fill="FFFFFF"/>
        <w:spacing w:line="276" w:lineRule="auto"/>
        <w:ind w:firstLine="720"/>
        <w:jc w:val="both"/>
      </w:pPr>
      <w:r>
        <w:t>Jāņem vērā, ka</w:t>
      </w:r>
      <w:r w:rsidR="002949C6">
        <w:t xml:space="preserve"> </w:t>
      </w:r>
      <w:r w:rsidR="00610691">
        <w:t xml:space="preserve">Rīgas vēsturiskā centra un tā aizsardzības zonas </w:t>
      </w:r>
      <w:r w:rsidR="002949C6">
        <w:t xml:space="preserve">kā kultūrvēsturiskā mantojuma </w:t>
      </w:r>
      <w:r w:rsidR="00610691">
        <w:t>mērķi</w:t>
      </w:r>
      <w:r w:rsidR="00B5263A">
        <w:t xml:space="preserve"> </w:t>
      </w:r>
      <w:r>
        <w:t>ir apsvērti jau</w:t>
      </w:r>
      <w:r w:rsidR="00B5263A">
        <w:t xml:space="preserve"> </w:t>
      </w:r>
      <w:r w:rsidR="00610691">
        <w:t xml:space="preserve">teritorijas plānošanas procesā, </w:t>
      </w:r>
      <w:r w:rsidR="00EB2E15">
        <w:t>pašvaldībai saistošajos noteikumos Nr. 38 izšķiroties aizliegt azartspēļu organizēšanu nevis visā vēsturiskā centra un tā aizsardzības zonas teritorijā, bet gan noteiktās funkcionālajās zonās –</w:t>
      </w:r>
      <w:r w:rsidR="00236885">
        <w:t xml:space="preserve"> </w:t>
      </w:r>
      <w:r w:rsidR="00FB7D68">
        <w:t>centru apbūves teritorij</w:t>
      </w:r>
      <w:r w:rsidR="00EB2E15">
        <w:t>ā</w:t>
      </w:r>
      <w:r w:rsidR="00FB7D68">
        <w:t>s (JC) (459.punkts kopsakarā ar 456.punktu), jauktas apbūves teritorij</w:t>
      </w:r>
      <w:r w:rsidR="00EB2E15">
        <w:t>ā</w:t>
      </w:r>
      <w:r w:rsidR="00FB7D68">
        <w:t>s (J) (465.punkts) un publiskās apbūves teritorij</w:t>
      </w:r>
      <w:r w:rsidR="00EB2E15">
        <w:t>ā</w:t>
      </w:r>
      <w:r w:rsidR="00FB7D68">
        <w:t>s (P) (478.punkts).</w:t>
      </w:r>
      <w:r w:rsidR="00396208">
        <w:t xml:space="preserve"> </w:t>
      </w:r>
      <w:r w:rsidR="005473F3">
        <w:t xml:space="preserve">Teritorijas plānojumā nav paredzēts ierobežojums ierīkot azartspēļu organizēšanas vietas </w:t>
      </w:r>
      <w:r w:rsidR="0088176D">
        <w:t>funkcionālajā zonā, kurā atrodas strīdus spēļu zāle</w:t>
      </w:r>
      <w:r w:rsidR="00236885">
        <w:t>,</w:t>
      </w:r>
      <w:r w:rsidR="0088176D">
        <w:t xml:space="preserve"> proti, </w:t>
      </w:r>
      <w:r w:rsidR="005473F3">
        <w:t>dzīvojamās apbūves teritorijā (Dz).</w:t>
      </w:r>
      <w:r w:rsidR="00E4170B">
        <w:t xml:space="preserve"> Tādējādi ar atsaukšanos uz vēsturiskajā centrā un tā aizsardzības zonā aizsargājamām kultūrvēsturiskajām vērtībām vien nav pietiekami, lai pamatotu atļaujas spēļu zāles darbībai atcelšanu tieši konkrētajā vietā. </w:t>
      </w:r>
      <w:r w:rsidR="00D81503">
        <w:t xml:space="preserve">Arī norāde, ka blakus strīdus spēļu zāles atrašanās vietai atrodas </w:t>
      </w:r>
      <w:r w:rsidR="005B7534">
        <w:t xml:space="preserve">tādas </w:t>
      </w:r>
      <w:r w:rsidR="00D81503">
        <w:t>funkcionālās zonas, kurās azartspēļu organizēšana ir aizliegta, ir pārāk vispārīga, lai to uzskatītu par individualizētu konkrētās vietas izvērtējumu</w:t>
      </w:r>
      <w:r w:rsidR="00C158EF">
        <w:t xml:space="preserve"> azartspēļu organizēšanas pieļaujamības kontekstā. </w:t>
      </w:r>
      <w:r w:rsidR="00AF7B73">
        <w:t xml:space="preserve">Kā jau minēts, pašvaldība teritorijas plānošanas procesā ir </w:t>
      </w:r>
      <w:r w:rsidR="005B7534">
        <w:t>veikusi konkrētu funkcionālo zonu izvērtējumu, noteiktās funkcionālās zonās izšķiroties azartspēļu organizēšanu aizliegt</w:t>
      </w:r>
      <w:r w:rsidR="00654057">
        <w:t xml:space="preserve">, tomēr citās funkcionālajās zonās šādu vispārīgu aizliegumu neparedzot. </w:t>
      </w:r>
      <w:r w:rsidR="0087071C">
        <w:t xml:space="preserve">Tātad pašvaldība, pieņemot teritorijas plānojumu un izsverot iesaistītās intereses, dažādās teritorijās ir noteikusi dažādus ierobežojumus. </w:t>
      </w:r>
      <w:r w:rsidR="000E3681">
        <w:t>Strīdus spēļu zāles atrašanās vieta tieši nerobežojas ne ar vienu funkcionālo zonu, kurā azartspēļu organizēšana ir aizliegta</w:t>
      </w:r>
      <w:r w:rsidR="003C3D31">
        <w:t>. T</w:t>
      </w:r>
      <w:r w:rsidR="00BD2C34">
        <w:t xml:space="preserve">urklāt </w:t>
      </w:r>
      <w:r w:rsidR="0045137F">
        <w:t>nevar arī neņemt vērā, ka</w:t>
      </w:r>
      <w:r w:rsidR="00BD2C34">
        <w:t xml:space="preserve"> </w:t>
      </w:r>
      <w:r w:rsidR="0045137F">
        <w:t>Rīgas vēsturiskā centra un tā aizsardzības zonas specifika blīvās apbūves</w:t>
      </w:r>
      <w:r w:rsidR="00145274">
        <w:t xml:space="preserve"> un dažādu vēsturiski izveidojušos apstākļu</w:t>
      </w:r>
      <w:r w:rsidR="0045137F">
        <w:t xml:space="preserve"> dēļ</w:t>
      </w:r>
      <w:r w:rsidR="00145274">
        <w:t xml:space="preserve"> ir tāda, ka </w:t>
      </w:r>
      <w:r w:rsidR="00B61551">
        <w:t xml:space="preserve">teritorijas ar dažādiem funkcionālajiem zonējumiem atrodas salīdzinoši netālu viena no otras. </w:t>
      </w:r>
      <w:r w:rsidR="007B19F8">
        <w:t xml:space="preserve">Līdz ar to apsvērums, ka </w:t>
      </w:r>
      <w:r w:rsidR="00DA11F5">
        <w:t xml:space="preserve">netālu no </w:t>
      </w:r>
      <w:r w:rsidR="00911E4D">
        <w:t>strīdus spēļu zāles atrašanās vieta</w:t>
      </w:r>
      <w:r w:rsidR="00DA11F5">
        <w:t xml:space="preserve">s atrodas tādas teritorijas, kurās azartspēļu organizēšana ir aizliegta, </w:t>
      </w:r>
      <w:r w:rsidR="00D06BCA">
        <w:t>ir pārāk vispārīgs, lai pamatotu, kādēļ konkrētā teritorija uzskatāma par azartspēļu organizēšanai nepiemērotu</w:t>
      </w:r>
      <w:r w:rsidR="005E5EF1">
        <w:t xml:space="preserve"> (sal. arī </w:t>
      </w:r>
      <w:r w:rsidR="005E5EF1" w:rsidRPr="00C34B95">
        <w:rPr>
          <w:i/>
          <w:iCs/>
        </w:rPr>
        <w:t xml:space="preserve">Senāta </w:t>
      </w:r>
      <w:r w:rsidR="005E5EF1" w:rsidRPr="00116910">
        <w:rPr>
          <w:i/>
          <w:iCs/>
        </w:rPr>
        <w:t>2023.gada 28.jūlija rīcības sēdes lēmum</w:t>
      </w:r>
      <w:r w:rsidR="005E5EF1">
        <w:rPr>
          <w:i/>
          <w:iCs/>
        </w:rPr>
        <w:t>s</w:t>
      </w:r>
      <w:r w:rsidR="005E5EF1" w:rsidRPr="00116910">
        <w:rPr>
          <w:i/>
          <w:iCs/>
        </w:rPr>
        <w:t xml:space="preserve"> lietā Nr. SKA-538/2023, </w:t>
      </w:r>
      <w:hyperlink r:id="rId15" w:history="1">
        <w:r w:rsidR="00ED2331" w:rsidRPr="00585C67">
          <w:rPr>
            <w:rStyle w:val="Hyperlink"/>
            <w:i/>
            <w:iCs/>
          </w:rPr>
          <w:t>ECLI:LV:AT:2023:0728.A420151021.10.L</w:t>
        </w:r>
      </w:hyperlink>
      <w:r w:rsidR="005E5EF1" w:rsidRPr="005E5EF1">
        <w:t>).</w:t>
      </w:r>
    </w:p>
    <w:p w14:paraId="768D1C7D" w14:textId="528D0552" w:rsidR="00507E08" w:rsidRPr="00507E08" w:rsidRDefault="00507E08" w:rsidP="008412C7">
      <w:pPr>
        <w:shd w:val="clear" w:color="auto" w:fill="FFFFFF"/>
        <w:spacing w:line="276" w:lineRule="auto"/>
        <w:ind w:firstLine="720"/>
        <w:jc w:val="both"/>
      </w:pPr>
      <w:r>
        <w:t>I</w:t>
      </w:r>
      <w:r w:rsidRPr="00507E08">
        <w:t>evērojot minēto, apgabaltiesas vērtētie apstākļi nevar kalpot par pamatu secinājumam, ka Rīgas dome pārsūdzēto lēmumu ir pamatojusi atbilstoši Azartspēļu un izložu likuma 42.panta sestajā daļā izvirzītajām individuālā izvērtējuma prasībām.</w:t>
      </w:r>
    </w:p>
    <w:p w14:paraId="5822F2E8" w14:textId="5BB932E2" w:rsidR="00740951" w:rsidRDefault="00740951" w:rsidP="008412C7">
      <w:pPr>
        <w:shd w:val="clear" w:color="auto" w:fill="FFFFFF"/>
        <w:spacing w:line="276" w:lineRule="auto"/>
        <w:ind w:firstLine="720"/>
        <w:jc w:val="both"/>
      </w:pPr>
      <w:r w:rsidRPr="00740951">
        <w:t xml:space="preserve">Tā kā tas ir pietiekams pamats </w:t>
      </w:r>
      <w:r>
        <w:t xml:space="preserve">pārsūdzētā apgabaltiesas </w:t>
      </w:r>
      <w:r w:rsidRPr="00740951">
        <w:t>sprieduma atcelšanai</w:t>
      </w:r>
      <w:r>
        <w:t xml:space="preserve"> un lietas nosūtīšanai jaunai izskatīšanai apelācijas instances tiesai</w:t>
      </w:r>
      <w:r w:rsidRPr="00740951">
        <w:t>, Senāts, ievērojot procesuālās ekonomijas principu, neanalizēs pārējos kasācijas sūdzības argumentus</w:t>
      </w:r>
      <w:r>
        <w:t>.</w:t>
      </w:r>
    </w:p>
    <w:p w14:paraId="3F4AB1BF" w14:textId="77777777" w:rsidR="009F6E85" w:rsidRDefault="009F6E85" w:rsidP="008412C7">
      <w:pPr>
        <w:shd w:val="clear" w:color="auto" w:fill="FFFFFF"/>
        <w:spacing w:line="276" w:lineRule="auto"/>
        <w:ind w:firstLine="720"/>
        <w:jc w:val="both"/>
      </w:pPr>
    </w:p>
    <w:p w14:paraId="2285B0BC" w14:textId="77777777" w:rsidR="00447EE6" w:rsidRPr="005D2B29" w:rsidRDefault="00447EE6" w:rsidP="008412C7">
      <w:pPr>
        <w:shd w:val="clear" w:color="auto" w:fill="FFFFFF"/>
        <w:spacing w:line="276" w:lineRule="auto"/>
        <w:jc w:val="center"/>
        <w:rPr>
          <w:b/>
        </w:rPr>
      </w:pPr>
      <w:r w:rsidRPr="005D2B29">
        <w:rPr>
          <w:b/>
        </w:rPr>
        <w:t xml:space="preserve">Rezolutīvā daļa </w:t>
      </w:r>
    </w:p>
    <w:p w14:paraId="7DD9DA2F" w14:textId="77777777" w:rsidR="00411CD0" w:rsidRPr="005D2B29" w:rsidRDefault="00411CD0" w:rsidP="008412C7">
      <w:pPr>
        <w:shd w:val="clear" w:color="auto" w:fill="FFFFFF"/>
        <w:spacing w:line="276" w:lineRule="auto"/>
        <w:jc w:val="center"/>
        <w:rPr>
          <w:b/>
        </w:rPr>
      </w:pPr>
    </w:p>
    <w:p w14:paraId="29943EA0" w14:textId="1F1CBB57" w:rsidR="00447EE6" w:rsidRPr="005D2B29" w:rsidRDefault="00447EE6" w:rsidP="008412C7">
      <w:pPr>
        <w:shd w:val="clear" w:color="auto" w:fill="FFFFFF"/>
        <w:spacing w:line="276" w:lineRule="auto"/>
        <w:ind w:firstLine="720"/>
        <w:jc w:val="both"/>
      </w:pPr>
      <w:r w:rsidRPr="005D2B29">
        <w:t xml:space="preserve">Pamatojoties uz </w:t>
      </w:r>
      <w:r w:rsidR="000A65CA" w:rsidRPr="005D2B29">
        <w:rPr>
          <w:rFonts w:eastAsiaTheme="minorHAnsi"/>
          <w:lang w:eastAsia="en-US"/>
        </w:rPr>
        <w:t>Administratīvā procesa likuma 129.</w:t>
      </w:r>
      <w:r w:rsidR="000A65CA" w:rsidRPr="005D2B29">
        <w:rPr>
          <w:rFonts w:eastAsiaTheme="minorHAnsi"/>
          <w:vertAlign w:val="superscript"/>
          <w:lang w:eastAsia="en-US"/>
        </w:rPr>
        <w:t>1</w:t>
      </w:r>
      <w:r w:rsidR="000A65CA" w:rsidRPr="005D2B29">
        <w:rPr>
          <w:rFonts w:eastAsiaTheme="minorHAnsi"/>
          <w:lang w:eastAsia="en-US"/>
        </w:rPr>
        <w:t xml:space="preserve">panta pirmās daļas 1.punktu, 348.panta pirmās daļas </w:t>
      </w:r>
      <w:r w:rsidR="005D2B29" w:rsidRPr="005D2B29">
        <w:rPr>
          <w:rFonts w:eastAsiaTheme="minorHAnsi"/>
          <w:lang w:eastAsia="en-US"/>
        </w:rPr>
        <w:t>2</w:t>
      </w:r>
      <w:r w:rsidR="000A65CA" w:rsidRPr="005D2B29">
        <w:rPr>
          <w:rFonts w:eastAsiaTheme="minorHAnsi"/>
          <w:lang w:eastAsia="en-US"/>
        </w:rPr>
        <w:t>.punktu un 351.pantu</w:t>
      </w:r>
      <w:r w:rsidR="000A65CA" w:rsidRPr="005D2B29">
        <w:t xml:space="preserve">, </w:t>
      </w:r>
      <w:r w:rsidRPr="005D2B29">
        <w:t>Senāts</w:t>
      </w:r>
    </w:p>
    <w:p w14:paraId="37335C36" w14:textId="77777777" w:rsidR="00411CD0" w:rsidRPr="005D2B29" w:rsidRDefault="00411CD0" w:rsidP="008412C7">
      <w:pPr>
        <w:shd w:val="clear" w:color="auto" w:fill="FFFFFF"/>
        <w:spacing w:line="276" w:lineRule="auto"/>
        <w:ind w:firstLine="720"/>
        <w:jc w:val="both"/>
      </w:pPr>
    </w:p>
    <w:p w14:paraId="48656686" w14:textId="77777777" w:rsidR="00447EE6" w:rsidRPr="005D2B29" w:rsidRDefault="00411CD0" w:rsidP="008412C7">
      <w:pPr>
        <w:shd w:val="clear" w:color="auto" w:fill="FFFFFF"/>
        <w:spacing w:line="276" w:lineRule="auto"/>
        <w:jc w:val="center"/>
        <w:rPr>
          <w:b/>
        </w:rPr>
      </w:pPr>
      <w:r w:rsidRPr="005D2B29">
        <w:rPr>
          <w:b/>
        </w:rPr>
        <w:t>n</w:t>
      </w:r>
      <w:r w:rsidR="00447EE6" w:rsidRPr="005D2B29">
        <w:rPr>
          <w:b/>
        </w:rPr>
        <w:t>osprieda</w:t>
      </w:r>
    </w:p>
    <w:p w14:paraId="11425D71" w14:textId="77777777" w:rsidR="00BF21E2" w:rsidRPr="005D2B29" w:rsidRDefault="00BF21E2" w:rsidP="008412C7">
      <w:pPr>
        <w:spacing w:line="276" w:lineRule="auto"/>
        <w:jc w:val="both"/>
      </w:pPr>
    </w:p>
    <w:p w14:paraId="3A07665B" w14:textId="5100F8EF" w:rsidR="00BF21E2" w:rsidRPr="005D2B29" w:rsidRDefault="007F57CA" w:rsidP="008412C7">
      <w:pPr>
        <w:spacing w:line="276" w:lineRule="auto"/>
        <w:ind w:firstLine="720"/>
        <w:jc w:val="both"/>
      </w:pPr>
      <w:r w:rsidRPr="005D2B29">
        <w:t>a</w:t>
      </w:r>
      <w:r w:rsidR="00BF21E2" w:rsidRPr="005D2B29">
        <w:t xml:space="preserve">tcelt Administratīvās apgabaltiesas </w:t>
      </w:r>
      <w:r w:rsidR="005D2B29" w:rsidRPr="005D2B29">
        <w:t xml:space="preserve">2022.gada 18.oktobra </w:t>
      </w:r>
      <w:r w:rsidR="00BF21E2" w:rsidRPr="005D2B29">
        <w:t>spriedumu un nodot lietu jaunai izskatīšanai Administratīvajai apgabaltiesai</w:t>
      </w:r>
      <w:r w:rsidRPr="005D2B29">
        <w:t>;</w:t>
      </w:r>
    </w:p>
    <w:p w14:paraId="48EE94A3" w14:textId="7DBEA7C9" w:rsidR="00BF21E2" w:rsidRPr="005D2B29" w:rsidRDefault="007F57CA" w:rsidP="008412C7">
      <w:pPr>
        <w:spacing w:line="276" w:lineRule="auto"/>
        <w:ind w:firstLine="720"/>
        <w:jc w:val="both"/>
      </w:pPr>
      <w:r w:rsidRPr="005D2B29">
        <w:t>a</w:t>
      </w:r>
      <w:r w:rsidR="00BF21E2" w:rsidRPr="005D2B29">
        <w:t xml:space="preserve">tmaksāt </w:t>
      </w:r>
      <w:r w:rsidR="005D2B29" w:rsidRPr="005D2B29">
        <w:t xml:space="preserve">SIA „ALFOR” </w:t>
      </w:r>
      <w:r w:rsidR="00BF21E2" w:rsidRPr="005D2B29">
        <w:t>drošības naudu 70 </w:t>
      </w:r>
      <w:r w:rsidR="00BF21E2" w:rsidRPr="005D2B29">
        <w:rPr>
          <w:i/>
        </w:rPr>
        <w:t>euro</w:t>
      </w:r>
      <w:r w:rsidR="00BF21E2" w:rsidRPr="005D2B29">
        <w:t>.</w:t>
      </w:r>
    </w:p>
    <w:p w14:paraId="03C91A6B" w14:textId="77777777" w:rsidR="007F57CA" w:rsidRPr="005D2B29" w:rsidRDefault="007F57CA" w:rsidP="008412C7">
      <w:pPr>
        <w:spacing w:line="276" w:lineRule="auto"/>
        <w:ind w:firstLine="720"/>
        <w:jc w:val="both"/>
      </w:pPr>
    </w:p>
    <w:p w14:paraId="1FBD5BBE" w14:textId="46589109" w:rsidR="00BF21E2" w:rsidRPr="005D2B29" w:rsidRDefault="00BF21E2" w:rsidP="008412C7">
      <w:pPr>
        <w:spacing w:line="276" w:lineRule="auto"/>
        <w:ind w:firstLine="720"/>
        <w:jc w:val="both"/>
      </w:pPr>
      <w:r w:rsidRPr="005D2B29">
        <w:t>Spriedums nav pārsūdzams.</w:t>
      </w:r>
    </w:p>
    <w:p w14:paraId="3E754AA3" w14:textId="77777777" w:rsidR="00BF21E2" w:rsidRPr="005D2B29" w:rsidRDefault="00BF21E2" w:rsidP="00BF21E2">
      <w:pPr>
        <w:spacing w:line="276" w:lineRule="auto"/>
        <w:ind w:firstLine="567"/>
        <w:jc w:val="both"/>
        <w:rPr>
          <w:bCs/>
        </w:rPr>
      </w:pPr>
    </w:p>
    <w:p w14:paraId="34BD150D" w14:textId="77777777" w:rsidR="00273A50" w:rsidRPr="005D2B29" w:rsidRDefault="00273A50" w:rsidP="00BF21E2">
      <w:pPr>
        <w:spacing w:line="276" w:lineRule="auto"/>
        <w:ind w:firstLine="567"/>
        <w:jc w:val="both"/>
        <w:rPr>
          <w:bCs/>
        </w:rPr>
      </w:pPr>
    </w:p>
    <w:p w14:paraId="54DD5249" w14:textId="77777777" w:rsidR="00273A50" w:rsidRPr="005D2B29" w:rsidRDefault="00273A50" w:rsidP="00BF21E2">
      <w:pPr>
        <w:spacing w:line="276" w:lineRule="auto"/>
        <w:ind w:firstLine="567"/>
        <w:jc w:val="both"/>
        <w:rPr>
          <w:bCs/>
        </w:rPr>
      </w:pPr>
    </w:p>
    <w:p w14:paraId="49AAAE0F" w14:textId="77777777" w:rsidR="00BF21E2" w:rsidRPr="005D2B29" w:rsidRDefault="00BF21E2" w:rsidP="00BF21E2">
      <w:pPr>
        <w:spacing w:line="276" w:lineRule="auto"/>
        <w:ind w:firstLine="567"/>
        <w:jc w:val="both"/>
        <w:rPr>
          <w:bCs/>
        </w:rPr>
      </w:pPr>
    </w:p>
    <w:p w14:paraId="0D7D76F3" w14:textId="7E336AFB" w:rsidR="00B54F4B" w:rsidRPr="00B47DE1" w:rsidRDefault="00273A50" w:rsidP="00B47DE1">
      <w:pPr>
        <w:tabs>
          <w:tab w:val="center" w:pos="1276"/>
          <w:tab w:val="center" w:pos="4678"/>
          <w:tab w:val="center" w:pos="8080"/>
        </w:tabs>
        <w:spacing w:line="276" w:lineRule="auto"/>
        <w:jc w:val="both"/>
        <w:rPr>
          <w:smallCaps/>
          <w:color w:val="000000"/>
        </w:rPr>
      </w:pPr>
      <w:r w:rsidRPr="005D2B29">
        <w:rPr>
          <w:color w:val="000000"/>
        </w:rPr>
        <w:tab/>
      </w:r>
    </w:p>
    <w:sectPr w:rsidR="00B54F4B" w:rsidRPr="00B47DE1" w:rsidSect="00D25D87">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2A612" w14:textId="77777777" w:rsidR="00E50875" w:rsidRDefault="00E50875" w:rsidP="009F7ACE">
      <w:r>
        <w:separator/>
      </w:r>
    </w:p>
  </w:endnote>
  <w:endnote w:type="continuationSeparator" w:id="0">
    <w:p w14:paraId="5242B13C" w14:textId="77777777" w:rsidR="00E50875" w:rsidRDefault="00E50875"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EBE9" w14:textId="55CBBBED"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540DB">
      <w:rPr>
        <w:rStyle w:val="PageNumber"/>
        <w:noProof/>
        <w:sz w:val="20"/>
        <w:szCs w:val="20"/>
      </w:rPr>
      <w:t>5</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ADDF5" w14:textId="77777777" w:rsidR="00E50875" w:rsidRDefault="00E50875" w:rsidP="009F7ACE">
      <w:r>
        <w:separator/>
      </w:r>
    </w:p>
  </w:footnote>
  <w:footnote w:type="continuationSeparator" w:id="0">
    <w:p w14:paraId="1546E810" w14:textId="77777777" w:rsidR="00E50875" w:rsidRDefault="00E50875"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577C"/>
    <w:rsid w:val="00007A0B"/>
    <w:rsid w:val="00023666"/>
    <w:rsid w:val="00033CC4"/>
    <w:rsid w:val="00045663"/>
    <w:rsid w:val="00093086"/>
    <w:rsid w:val="000A5376"/>
    <w:rsid w:val="000A65CA"/>
    <w:rsid w:val="000C0144"/>
    <w:rsid w:val="000C3BC9"/>
    <w:rsid w:val="000D70B8"/>
    <w:rsid w:val="000E3681"/>
    <w:rsid w:val="000F5F0E"/>
    <w:rsid w:val="000F70C1"/>
    <w:rsid w:val="0010511F"/>
    <w:rsid w:val="001132EF"/>
    <w:rsid w:val="00116910"/>
    <w:rsid w:val="00123060"/>
    <w:rsid w:val="00125439"/>
    <w:rsid w:val="00131B27"/>
    <w:rsid w:val="00136E3F"/>
    <w:rsid w:val="00145274"/>
    <w:rsid w:val="001651E9"/>
    <w:rsid w:val="001659BB"/>
    <w:rsid w:val="00180F4B"/>
    <w:rsid w:val="001901BE"/>
    <w:rsid w:val="001A1513"/>
    <w:rsid w:val="001A16EF"/>
    <w:rsid w:val="001B2D91"/>
    <w:rsid w:val="001C060F"/>
    <w:rsid w:val="001C4A72"/>
    <w:rsid w:val="001D287F"/>
    <w:rsid w:val="001D30EA"/>
    <w:rsid w:val="001E2E3F"/>
    <w:rsid w:val="001E71BD"/>
    <w:rsid w:val="001F02E0"/>
    <w:rsid w:val="002077D2"/>
    <w:rsid w:val="00215689"/>
    <w:rsid w:val="00217467"/>
    <w:rsid w:val="002176E5"/>
    <w:rsid w:val="00226FED"/>
    <w:rsid w:val="00236885"/>
    <w:rsid w:val="00237985"/>
    <w:rsid w:val="002511EC"/>
    <w:rsid w:val="00260937"/>
    <w:rsid w:val="00273A50"/>
    <w:rsid w:val="00273A9A"/>
    <w:rsid w:val="002766AE"/>
    <w:rsid w:val="002801DD"/>
    <w:rsid w:val="00290AAA"/>
    <w:rsid w:val="002949C6"/>
    <w:rsid w:val="002959B0"/>
    <w:rsid w:val="00295EAE"/>
    <w:rsid w:val="002B1715"/>
    <w:rsid w:val="002C294D"/>
    <w:rsid w:val="002D250B"/>
    <w:rsid w:val="002D6D80"/>
    <w:rsid w:val="002F11AE"/>
    <w:rsid w:val="002F2ACE"/>
    <w:rsid w:val="002F5BD6"/>
    <w:rsid w:val="0030131C"/>
    <w:rsid w:val="003021B2"/>
    <w:rsid w:val="00305B03"/>
    <w:rsid w:val="00307B8A"/>
    <w:rsid w:val="00311D3B"/>
    <w:rsid w:val="00332752"/>
    <w:rsid w:val="003336FD"/>
    <w:rsid w:val="003340CA"/>
    <w:rsid w:val="003378C2"/>
    <w:rsid w:val="003675C2"/>
    <w:rsid w:val="003959DB"/>
    <w:rsid w:val="00396208"/>
    <w:rsid w:val="0039631B"/>
    <w:rsid w:val="003B1119"/>
    <w:rsid w:val="003B4C6B"/>
    <w:rsid w:val="003C3D31"/>
    <w:rsid w:val="003D323B"/>
    <w:rsid w:val="003D5346"/>
    <w:rsid w:val="003D6244"/>
    <w:rsid w:val="003E7090"/>
    <w:rsid w:val="00402582"/>
    <w:rsid w:val="00411CA8"/>
    <w:rsid w:val="00411CD0"/>
    <w:rsid w:val="00414FDE"/>
    <w:rsid w:val="00417706"/>
    <w:rsid w:val="0043329F"/>
    <w:rsid w:val="00440DBC"/>
    <w:rsid w:val="004464EC"/>
    <w:rsid w:val="00447EE6"/>
    <w:rsid w:val="00450B57"/>
    <w:rsid w:val="0045137F"/>
    <w:rsid w:val="00453A57"/>
    <w:rsid w:val="004540DB"/>
    <w:rsid w:val="00463DBD"/>
    <w:rsid w:val="0047497C"/>
    <w:rsid w:val="004A69FE"/>
    <w:rsid w:val="004B11C6"/>
    <w:rsid w:val="004B22B5"/>
    <w:rsid w:val="004B2A94"/>
    <w:rsid w:val="004B5E15"/>
    <w:rsid w:val="004C6BBD"/>
    <w:rsid w:val="004C75CD"/>
    <w:rsid w:val="004E1AF0"/>
    <w:rsid w:val="004F0F5E"/>
    <w:rsid w:val="00504B34"/>
    <w:rsid w:val="00507E08"/>
    <w:rsid w:val="005148C7"/>
    <w:rsid w:val="0052173E"/>
    <w:rsid w:val="00524082"/>
    <w:rsid w:val="00527E85"/>
    <w:rsid w:val="005301E6"/>
    <w:rsid w:val="005365D8"/>
    <w:rsid w:val="005473F3"/>
    <w:rsid w:val="00547C02"/>
    <w:rsid w:val="005513E6"/>
    <w:rsid w:val="00554EE4"/>
    <w:rsid w:val="005562CB"/>
    <w:rsid w:val="0055727D"/>
    <w:rsid w:val="00562B69"/>
    <w:rsid w:val="0057724A"/>
    <w:rsid w:val="0058060C"/>
    <w:rsid w:val="00585C67"/>
    <w:rsid w:val="00595A99"/>
    <w:rsid w:val="005A4A58"/>
    <w:rsid w:val="005A5995"/>
    <w:rsid w:val="005B7534"/>
    <w:rsid w:val="005D05F1"/>
    <w:rsid w:val="005D2B29"/>
    <w:rsid w:val="005D6B8C"/>
    <w:rsid w:val="005E5EF1"/>
    <w:rsid w:val="005F30DD"/>
    <w:rsid w:val="00610691"/>
    <w:rsid w:val="00610D26"/>
    <w:rsid w:val="00620D82"/>
    <w:rsid w:val="006266C1"/>
    <w:rsid w:val="00630024"/>
    <w:rsid w:val="00640A3E"/>
    <w:rsid w:val="00641386"/>
    <w:rsid w:val="00653903"/>
    <w:rsid w:val="00654057"/>
    <w:rsid w:val="00663773"/>
    <w:rsid w:val="00663E18"/>
    <w:rsid w:val="0067570D"/>
    <w:rsid w:val="00682D7E"/>
    <w:rsid w:val="00687AF0"/>
    <w:rsid w:val="0069629F"/>
    <w:rsid w:val="006A3372"/>
    <w:rsid w:val="006D5F05"/>
    <w:rsid w:val="006E1B70"/>
    <w:rsid w:val="006E373E"/>
    <w:rsid w:val="006E40C5"/>
    <w:rsid w:val="006E63D4"/>
    <w:rsid w:val="0070287C"/>
    <w:rsid w:val="00706F48"/>
    <w:rsid w:val="00717829"/>
    <w:rsid w:val="00721CA1"/>
    <w:rsid w:val="007230DC"/>
    <w:rsid w:val="007316C1"/>
    <w:rsid w:val="00734E5E"/>
    <w:rsid w:val="00735969"/>
    <w:rsid w:val="007406A9"/>
    <w:rsid w:val="00740951"/>
    <w:rsid w:val="0074569D"/>
    <w:rsid w:val="00745BF3"/>
    <w:rsid w:val="00754548"/>
    <w:rsid w:val="00760C3B"/>
    <w:rsid w:val="00762F62"/>
    <w:rsid w:val="00770184"/>
    <w:rsid w:val="007805CD"/>
    <w:rsid w:val="00780774"/>
    <w:rsid w:val="007949EF"/>
    <w:rsid w:val="007978DF"/>
    <w:rsid w:val="007B19F8"/>
    <w:rsid w:val="007B3448"/>
    <w:rsid w:val="007B42E6"/>
    <w:rsid w:val="007C32C8"/>
    <w:rsid w:val="007D2A04"/>
    <w:rsid w:val="007D58CD"/>
    <w:rsid w:val="007E70B7"/>
    <w:rsid w:val="007E7E0D"/>
    <w:rsid w:val="007F2B06"/>
    <w:rsid w:val="007F57CA"/>
    <w:rsid w:val="007F7670"/>
    <w:rsid w:val="00806A1C"/>
    <w:rsid w:val="00820674"/>
    <w:rsid w:val="008212C6"/>
    <w:rsid w:val="0082523A"/>
    <w:rsid w:val="00827B2A"/>
    <w:rsid w:val="00827FBE"/>
    <w:rsid w:val="00830F3E"/>
    <w:rsid w:val="00832381"/>
    <w:rsid w:val="008412C7"/>
    <w:rsid w:val="0084524D"/>
    <w:rsid w:val="00852D32"/>
    <w:rsid w:val="00857424"/>
    <w:rsid w:val="00860422"/>
    <w:rsid w:val="008616E8"/>
    <w:rsid w:val="0087071C"/>
    <w:rsid w:val="0088176D"/>
    <w:rsid w:val="00885231"/>
    <w:rsid w:val="00890F9E"/>
    <w:rsid w:val="008946BA"/>
    <w:rsid w:val="008A7D68"/>
    <w:rsid w:val="008B2D70"/>
    <w:rsid w:val="008B7990"/>
    <w:rsid w:val="008C2B01"/>
    <w:rsid w:val="008C72F9"/>
    <w:rsid w:val="008D3FD4"/>
    <w:rsid w:val="008E5ED0"/>
    <w:rsid w:val="008F0317"/>
    <w:rsid w:val="008F4341"/>
    <w:rsid w:val="008F4688"/>
    <w:rsid w:val="00911E4D"/>
    <w:rsid w:val="00924752"/>
    <w:rsid w:val="009421C6"/>
    <w:rsid w:val="0095079F"/>
    <w:rsid w:val="00962DDC"/>
    <w:rsid w:val="009933B8"/>
    <w:rsid w:val="00993C3D"/>
    <w:rsid w:val="009A1448"/>
    <w:rsid w:val="009A4AD5"/>
    <w:rsid w:val="009B4F27"/>
    <w:rsid w:val="009C0DB2"/>
    <w:rsid w:val="009D358B"/>
    <w:rsid w:val="009D3848"/>
    <w:rsid w:val="009F1C79"/>
    <w:rsid w:val="009F37FA"/>
    <w:rsid w:val="009F6E85"/>
    <w:rsid w:val="009F7ACE"/>
    <w:rsid w:val="00A10CF0"/>
    <w:rsid w:val="00A11873"/>
    <w:rsid w:val="00A11F93"/>
    <w:rsid w:val="00A22152"/>
    <w:rsid w:val="00A42F78"/>
    <w:rsid w:val="00A518B4"/>
    <w:rsid w:val="00A63597"/>
    <w:rsid w:val="00A815E4"/>
    <w:rsid w:val="00A9010E"/>
    <w:rsid w:val="00A95F0D"/>
    <w:rsid w:val="00A966AB"/>
    <w:rsid w:val="00AB3D0F"/>
    <w:rsid w:val="00AE653D"/>
    <w:rsid w:val="00AE6F14"/>
    <w:rsid w:val="00AF23B8"/>
    <w:rsid w:val="00AF7B73"/>
    <w:rsid w:val="00B13943"/>
    <w:rsid w:val="00B17C82"/>
    <w:rsid w:val="00B261E1"/>
    <w:rsid w:val="00B27D1A"/>
    <w:rsid w:val="00B30E87"/>
    <w:rsid w:val="00B329A7"/>
    <w:rsid w:val="00B33BCA"/>
    <w:rsid w:val="00B42116"/>
    <w:rsid w:val="00B47DE1"/>
    <w:rsid w:val="00B5263A"/>
    <w:rsid w:val="00B54F4B"/>
    <w:rsid w:val="00B61551"/>
    <w:rsid w:val="00B663B3"/>
    <w:rsid w:val="00B9289E"/>
    <w:rsid w:val="00B92C7A"/>
    <w:rsid w:val="00BB7C1E"/>
    <w:rsid w:val="00BC69B7"/>
    <w:rsid w:val="00BD2C34"/>
    <w:rsid w:val="00BD3A45"/>
    <w:rsid w:val="00BD7DD8"/>
    <w:rsid w:val="00BF21E2"/>
    <w:rsid w:val="00BF3ECE"/>
    <w:rsid w:val="00BF6C08"/>
    <w:rsid w:val="00C00A42"/>
    <w:rsid w:val="00C0354B"/>
    <w:rsid w:val="00C073BA"/>
    <w:rsid w:val="00C158EF"/>
    <w:rsid w:val="00C20CBD"/>
    <w:rsid w:val="00C2224E"/>
    <w:rsid w:val="00C24C54"/>
    <w:rsid w:val="00C255C1"/>
    <w:rsid w:val="00C26E23"/>
    <w:rsid w:val="00C33136"/>
    <w:rsid w:val="00C33E06"/>
    <w:rsid w:val="00C34B95"/>
    <w:rsid w:val="00C4063E"/>
    <w:rsid w:val="00C5023B"/>
    <w:rsid w:val="00C5685F"/>
    <w:rsid w:val="00C719B8"/>
    <w:rsid w:val="00C76B30"/>
    <w:rsid w:val="00C77020"/>
    <w:rsid w:val="00C940D2"/>
    <w:rsid w:val="00C947C4"/>
    <w:rsid w:val="00C94C56"/>
    <w:rsid w:val="00C94D73"/>
    <w:rsid w:val="00C94EE3"/>
    <w:rsid w:val="00C96D1D"/>
    <w:rsid w:val="00CA40CA"/>
    <w:rsid w:val="00CA5D9F"/>
    <w:rsid w:val="00CB512D"/>
    <w:rsid w:val="00CE046B"/>
    <w:rsid w:val="00CE071D"/>
    <w:rsid w:val="00CE0C3D"/>
    <w:rsid w:val="00CE126D"/>
    <w:rsid w:val="00CE75F0"/>
    <w:rsid w:val="00CE7C8C"/>
    <w:rsid w:val="00CF05CF"/>
    <w:rsid w:val="00D06BCA"/>
    <w:rsid w:val="00D07442"/>
    <w:rsid w:val="00D113E4"/>
    <w:rsid w:val="00D23810"/>
    <w:rsid w:val="00D24D40"/>
    <w:rsid w:val="00D257E8"/>
    <w:rsid w:val="00D25D87"/>
    <w:rsid w:val="00D3470B"/>
    <w:rsid w:val="00D42E31"/>
    <w:rsid w:val="00D447D4"/>
    <w:rsid w:val="00D51BC2"/>
    <w:rsid w:val="00D60629"/>
    <w:rsid w:val="00D66B67"/>
    <w:rsid w:val="00D7046C"/>
    <w:rsid w:val="00D81503"/>
    <w:rsid w:val="00D96281"/>
    <w:rsid w:val="00DA11F5"/>
    <w:rsid w:val="00DB11A8"/>
    <w:rsid w:val="00DB430B"/>
    <w:rsid w:val="00DC12CA"/>
    <w:rsid w:val="00DD3CF9"/>
    <w:rsid w:val="00DE6370"/>
    <w:rsid w:val="00DF0D14"/>
    <w:rsid w:val="00DF32A0"/>
    <w:rsid w:val="00DF4402"/>
    <w:rsid w:val="00DF7CCC"/>
    <w:rsid w:val="00E05AC7"/>
    <w:rsid w:val="00E063BA"/>
    <w:rsid w:val="00E14AE0"/>
    <w:rsid w:val="00E352C0"/>
    <w:rsid w:val="00E36EA4"/>
    <w:rsid w:val="00E4170B"/>
    <w:rsid w:val="00E47101"/>
    <w:rsid w:val="00E50875"/>
    <w:rsid w:val="00E51BA5"/>
    <w:rsid w:val="00E520AA"/>
    <w:rsid w:val="00E72102"/>
    <w:rsid w:val="00E76AED"/>
    <w:rsid w:val="00E858ED"/>
    <w:rsid w:val="00E92F0E"/>
    <w:rsid w:val="00EA115A"/>
    <w:rsid w:val="00EB2E15"/>
    <w:rsid w:val="00EC7A5D"/>
    <w:rsid w:val="00ED2331"/>
    <w:rsid w:val="00ED69F9"/>
    <w:rsid w:val="00ED6D02"/>
    <w:rsid w:val="00ED7163"/>
    <w:rsid w:val="00F2234E"/>
    <w:rsid w:val="00F27433"/>
    <w:rsid w:val="00F3175A"/>
    <w:rsid w:val="00F3530C"/>
    <w:rsid w:val="00F52416"/>
    <w:rsid w:val="00F66187"/>
    <w:rsid w:val="00F6652E"/>
    <w:rsid w:val="00F72AF1"/>
    <w:rsid w:val="00F84A8D"/>
    <w:rsid w:val="00F90DF7"/>
    <w:rsid w:val="00FB54C8"/>
    <w:rsid w:val="00FB7059"/>
    <w:rsid w:val="00FB769B"/>
    <w:rsid w:val="00FB7D68"/>
    <w:rsid w:val="00FC4C4C"/>
    <w:rsid w:val="00FC75EC"/>
    <w:rsid w:val="00FD21B2"/>
    <w:rsid w:val="00FE23E8"/>
    <w:rsid w:val="00FE5A4D"/>
    <w:rsid w:val="00FE6497"/>
    <w:rsid w:val="00FE6D22"/>
    <w:rsid w:val="00FF39C1"/>
    <w:rsid w:val="00FF4048"/>
    <w:rsid w:val="00FF6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9F6E85"/>
    <w:rPr>
      <w:color w:val="0563C1" w:themeColor="hyperlink"/>
      <w:u w:val="single"/>
    </w:rPr>
  </w:style>
  <w:style w:type="character" w:styleId="UnresolvedMention">
    <w:name w:val="Unresolved Mention"/>
    <w:basedOn w:val="DefaultParagraphFont"/>
    <w:uiPriority w:val="99"/>
    <w:semiHidden/>
    <w:unhideWhenUsed/>
    <w:rsid w:val="00417706"/>
    <w:rPr>
      <w:color w:val="605E5C"/>
      <w:shd w:val="clear" w:color="auto" w:fill="E1DFDD"/>
    </w:rPr>
  </w:style>
  <w:style w:type="paragraph" w:styleId="Revision">
    <w:name w:val="Revision"/>
    <w:hidden/>
    <w:uiPriority w:val="99"/>
    <w:semiHidden/>
    <w:rsid w:val="0023688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2D6D80"/>
    <w:rPr>
      <w:sz w:val="16"/>
      <w:szCs w:val="16"/>
    </w:rPr>
  </w:style>
  <w:style w:type="paragraph" w:styleId="CommentText">
    <w:name w:val="annotation text"/>
    <w:basedOn w:val="Normal"/>
    <w:link w:val="CommentTextChar"/>
    <w:uiPriority w:val="99"/>
    <w:unhideWhenUsed/>
    <w:rsid w:val="002D6D80"/>
    <w:rPr>
      <w:sz w:val="20"/>
      <w:szCs w:val="20"/>
    </w:rPr>
  </w:style>
  <w:style w:type="character" w:customStyle="1" w:styleId="CommentTextChar">
    <w:name w:val="Comment Text Char"/>
    <w:basedOn w:val="DefaultParagraphFont"/>
    <w:link w:val="CommentText"/>
    <w:uiPriority w:val="99"/>
    <w:rsid w:val="002D6D8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D6D80"/>
    <w:rPr>
      <w:b/>
      <w:bCs/>
    </w:rPr>
  </w:style>
  <w:style w:type="character" w:customStyle="1" w:styleId="CommentSubjectChar">
    <w:name w:val="Comment Subject Char"/>
    <w:basedOn w:val="CommentTextChar"/>
    <w:link w:val="CommentSubject"/>
    <w:uiPriority w:val="99"/>
    <w:semiHidden/>
    <w:rsid w:val="002D6D80"/>
    <w:rPr>
      <w:rFonts w:eastAsia="Times New Roman" w:cs="Times New Roman"/>
      <w:b/>
      <w:bCs/>
      <w:sz w:val="20"/>
      <w:szCs w:val="20"/>
      <w:lang w:val="lv-LV" w:eastAsia="ru-RU"/>
    </w:rPr>
  </w:style>
  <w:style w:type="paragraph" w:customStyle="1" w:styleId="Default">
    <w:name w:val="Default"/>
    <w:rsid w:val="008412C7"/>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341852">
      <w:bodyDiv w:val="1"/>
      <w:marLeft w:val="0"/>
      <w:marRight w:val="0"/>
      <w:marTop w:val="0"/>
      <w:marBottom w:val="0"/>
      <w:divBdr>
        <w:top w:val="none" w:sz="0" w:space="0" w:color="auto"/>
        <w:left w:val="none" w:sz="0" w:space="0" w:color="auto"/>
        <w:bottom w:val="none" w:sz="0" w:space="0" w:color="auto"/>
        <w:right w:val="none" w:sz="0" w:space="0" w:color="auto"/>
      </w:divBdr>
    </w:div>
    <w:div w:id="1062294020">
      <w:bodyDiv w:val="1"/>
      <w:marLeft w:val="0"/>
      <w:marRight w:val="0"/>
      <w:marTop w:val="0"/>
      <w:marBottom w:val="0"/>
      <w:divBdr>
        <w:top w:val="none" w:sz="0" w:space="0" w:color="auto"/>
        <w:left w:val="none" w:sz="0" w:space="0" w:color="auto"/>
        <w:bottom w:val="none" w:sz="0" w:space="0" w:color="auto"/>
        <w:right w:val="none" w:sz="0" w:space="0" w:color="auto"/>
      </w:divBdr>
    </w:div>
    <w:div w:id="1648321834">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2543.pdf" TargetMode="External"/><Relationship Id="rId13" Type="http://schemas.openxmlformats.org/officeDocument/2006/relationships/hyperlink" Target="https://manas.tiesas.lv/eTiesasMvc/eclinolemumi/ECLI:LV:AT:2023:0523.A420308918.9.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1333-par-vides-aizsardzibas-un-regionalas-attistibas-ministra-2021-gada-21-decembra-rikojuma-nr-1-2-11040-par-kekavas-novada-domes-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6926-par-rigas-domes-2006-gada-7-februara-saistoso-noteikumu-nr-38-rigas-vesturiska-centra-un-ta-aizsardzibas-zonas-teritorijas-izma..."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3:0728.A420151021.10.L" TargetMode="External"/><Relationship Id="rId10" Type="http://schemas.openxmlformats.org/officeDocument/2006/relationships/hyperlink" Target="https://likumi.lv/ta/id/341333-par-vides-aizsardzibas-un-regionalas-attistibas-ministra-2021-gada-21-decembra-rikojuma-nr-1-2-11040-par-kekavas-novada-domes-2..." TargetMode="External"/><Relationship Id="rId4" Type="http://schemas.openxmlformats.org/officeDocument/2006/relationships/settings" Target="settings.xml"/><Relationship Id="rId9" Type="http://schemas.openxmlformats.org/officeDocument/2006/relationships/hyperlink" Target="https://likumi.lv/ta/id/306926-par-rigas-domes-2006-gada-7-februara-saistoso-noteikumu-nr-38-rigas-vesturiska-centra-un-ta-aizsardzibas-zonas-teritorijas-izma..." TargetMode="External"/><Relationship Id="rId14" Type="http://schemas.openxmlformats.org/officeDocument/2006/relationships/hyperlink" Target="https://manas.tiesas.lv/eTiesasMvc/eclinolemumi/ECLI:LV:AT:2023:0728.A420151021.1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85A63-6535-4DF2-903A-93D544BB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8356</Words>
  <Characters>4764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2024-12-04T13:47:00Z</dcterms:created>
  <dcterms:modified xsi:type="dcterms:W3CDTF">2024-12-04T13:48:00Z</dcterms:modified>
</cp:coreProperties>
</file>