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440CE" w14:textId="77777777" w:rsidR="00285171" w:rsidRDefault="00285171" w:rsidP="00285171">
      <w:pPr>
        <w:spacing w:line="276" w:lineRule="auto"/>
        <w:jc w:val="both"/>
        <w:rPr>
          <w:b/>
          <w:bCs/>
          <w:szCs w:val="22"/>
          <w:lang w:eastAsia="lv-LV"/>
        </w:rPr>
      </w:pPr>
      <w:r>
        <w:rPr>
          <w:b/>
          <w:bCs/>
        </w:rPr>
        <w:t xml:space="preserve">Personas vakcinācijas statuss </w:t>
      </w:r>
    </w:p>
    <w:p w14:paraId="00E6E3B3" w14:textId="77777777" w:rsidR="00285171" w:rsidRDefault="00285171" w:rsidP="00285171">
      <w:pPr>
        <w:spacing w:line="276" w:lineRule="auto"/>
        <w:jc w:val="both"/>
      </w:pPr>
      <w:r>
        <w:t xml:space="preserve">Personas vakcinācijas statuss nav uzskatāms par kādu no diskriminācijas aizliegumā iekļautajiem kritērijiem. </w:t>
      </w:r>
    </w:p>
    <w:p w14:paraId="321D2B89" w14:textId="74DD0D28" w:rsidR="00447EE6" w:rsidRDefault="00285171" w:rsidP="00285171">
      <w:pPr>
        <w:spacing w:line="276" w:lineRule="auto"/>
        <w:jc w:val="both"/>
      </w:pPr>
      <w:r>
        <w:t>Ministru kabineta 2021.gada 9.oktobra rīkojuma Nr. 720 „Par ārkārtējās situācijas izsludināšanu” 5.2. un 5.3.apakšpunkts nav uzskatāms par diskriminējošu un tas neparedz tādu atšķirīgu attieksmi, kura nebūtu attaisnojama.</w:t>
      </w:r>
    </w:p>
    <w:p w14:paraId="3AAA70A9" w14:textId="77777777" w:rsidR="00285171" w:rsidRPr="008F4E50" w:rsidRDefault="00285171" w:rsidP="00285171">
      <w:pPr>
        <w:spacing w:line="276" w:lineRule="auto"/>
        <w:jc w:val="both"/>
      </w:pPr>
    </w:p>
    <w:p w14:paraId="241BEA35" w14:textId="24F9B580" w:rsidR="00447EE6" w:rsidRPr="00285171" w:rsidRDefault="00447EE6" w:rsidP="00285171">
      <w:pPr>
        <w:spacing w:before="120" w:line="276" w:lineRule="auto"/>
        <w:jc w:val="center"/>
        <w:rPr>
          <w:b/>
        </w:rPr>
      </w:pPr>
      <w:r w:rsidRPr="00285171">
        <w:rPr>
          <w:b/>
        </w:rPr>
        <w:t>Latvijas Republikas Senāt</w:t>
      </w:r>
      <w:r w:rsidR="00285171" w:rsidRPr="00285171">
        <w:rPr>
          <w:b/>
        </w:rPr>
        <w:t>a</w:t>
      </w:r>
      <w:r w:rsidR="00285171" w:rsidRPr="00285171">
        <w:rPr>
          <w:b/>
        </w:rPr>
        <w:br/>
        <w:t xml:space="preserve">Administratīvo lietu departamenta </w:t>
      </w:r>
      <w:r w:rsidR="00285171" w:rsidRPr="00285171">
        <w:rPr>
          <w:b/>
        </w:rPr>
        <w:br/>
        <w:t>2024.gada 11.decembra</w:t>
      </w:r>
    </w:p>
    <w:p w14:paraId="5DF4B903" w14:textId="77777777" w:rsidR="00447EE6" w:rsidRPr="00285171" w:rsidRDefault="000E008F" w:rsidP="00285171">
      <w:pPr>
        <w:spacing w:line="276" w:lineRule="auto"/>
        <w:jc w:val="center"/>
        <w:rPr>
          <w:b/>
        </w:rPr>
      </w:pPr>
      <w:r w:rsidRPr="00285171">
        <w:rPr>
          <w:b/>
        </w:rPr>
        <w:t>RĪCĪBAS SĒDES LĒMUMS</w:t>
      </w:r>
    </w:p>
    <w:p w14:paraId="22F4D152" w14:textId="198BF2F6" w:rsidR="00285171" w:rsidRPr="00285171" w:rsidRDefault="00285171" w:rsidP="00285171">
      <w:pPr>
        <w:spacing w:line="276" w:lineRule="auto"/>
        <w:jc w:val="center"/>
        <w:rPr>
          <w:b/>
          <w:bCs/>
        </w:rPr>
      </w:pPr>
      <w:r w:rsidRPr="00285171">
        <w:rPr>
          <w:b/>
          <w:bCs/>
        </w:rPr>
        <w:t>Lieta Nr. A420168622</w:t>
      </w:r>
      <w:r w:rsidRPr="00285171">
        <w:rPr>
          <w:b/>
          <w:bCs/>
          <w:lang w:eastAsia="lv-LV"/>
        </w:rPr>
        <w:t xml:space="preserve">, </w:t>
      </w:r>
      <w:r w:rsidRPr="00285171">
        <w:rPr>
          <w:b/>
          <w:bCs/>
        </w:rPr>
        <w:t>SKA-914/2024</w:t>
      </w:r>
    </w:p>
    <w:p w14:paraId="23F2E79F" w14:textId="4864D894" w:rsidR="00285171" w:rsidRPr="00285171" w:rsidRDefault="00285171" w:rsidP="00285171">
      <w:pPr>
        <w:spacing w:line="276" w:lineRule="auto"/>
        <w:jc w:val="center"/>
      </w:pPr>
      <w:hyperlink r:id="rId8" w:history="1">
        <w:r w:rsidRPr="00285171">
          <w:rPr>
            <w:rStyle w:val="Hyperlink"/>
          </w:rPr>
          <w:t xml:space="preserve"> ECLI:LV:AT:2024:1211.A420168622.11.L</w:t>
        </w:r>
      </w:hyperlink>
    </w:p>
    <w:p w14:paraId="61A57205" w14:textId="77777777" w:rsidR="00411CD0" w:rsidRPr="008F4E50" w:rsidRDefault="00411CD0" w:rsidP="00285171">
      <w:pPr>
        <w:spacing w:line="276" w:lineRule="auto"/>
        <w:ind w:firstLine="720"/>
        <w:jc w:val="both"/>
      </w:pPr>
    </w:p>
    <w:p w14:paraId="231406BB" w14:textId="5848187E" w:rsidR="00A50150" w:rsidRPr="008F4E50" w:rsidRDefault="00A50150" w:rsidP="00285171">
      <w:pPr>
        <w:spacing w:line="276" w:lineRule="auto"/>
        <w:ind w:firstLine="720"/>
        <w:jc w:val="both"/>
        <w:rPr>
          <w:rFonts w:asciiTheme="majorBidi" w:hAnsiTheme="majorBidi" w:cstheme="majorBidi"/>
        </w:rPr>
      </w:pPr>
      <w:r w:rsidRPr="008F4E50">
        <w:rPr>
          <w:rFonts w:asciiTheme="majorBidi" w:hAnsiTheme="majorBidi" w:cstheme="majorBidi"/>
        </w:rPr>
        <w:t>[1]</w:t>
      </w:r>
      <w:r w:rsidR="009556D7" w:rsidRPr="008F4E50">
        <w:rPr>
          <w:rFonts w:asciiTheme="majorBidi" w:hAnsiTheme="majorBidi" w:cstheme="majorBidi"/>
        </w:rPr>
        <w:t> </w:t>
      </w:r>
      <w:r w:rsidRPr="008F4E50">
        <w:rPr>
          <w:rFonts w:asciiTheme="majorBidi" w:hAnsiTheme="majorBidi" w:cstheme="majorBidi"/>
        </w:rPr>
        <w:t xml:space="preserve">Senātā saņemta </w:t>
      </w:r>
      <w:r w:rsidR="009556D7" w:rsidRPr="008F4E50">
        <w:rPr>
          <w:rFonts w:asciiTheme="majorBidi" w:hAnsiTheme="majorBidi" w:cstheme="majorBidi"/>
        </w:rPr>
        <w:t>pieteicēj</w:t>
      </w:r>
      <w:r w:rsidR="00923A93" w:rsidRPr="008F4E50">
        <w:rPr>
          <w:rFonts w:asciiTheme="majorBidi" w:hAnsiTheme="majorBidi" w:cstheme="majorBidi"/>
        </w:rPr>
        <w:t>u</w:t>
      </w:r>
      <w:r w:rsidR="009556D7" w:rsidRPr="008F4E50">
        <w:rPr>
          <w:rFonts w:asciiTheme="majorBidi" w:hAnsiTheme="majorBidi" w:cstheme="majorBidi"/>
        </w:rPr>
        <w:t xml:space="preserve"> </w:t>
      </w:r>
      <w:r w:rsidR="00285171">
        <w:rPr>
          <w:rFonts w:asciiTheme="majorBidi" w:hAnsiTheme="majorBidi" w:cstheme="majorBidi"/>
        </w:rPr>
        <w:t xml:space="preserve">[pers. A] </w:t>
      </w:r>
      <w:r w:rsidR="00923A93" w:rsidRPr="008F4E50">
        <w:rPr>
          <w:rFonts w:asciiTheme="majorBidi" w:hAnsiTheme="majorBidi" w:cstheme="majorBidi"/>
        </w:rPr>
        <w:t xml:space="preserve">un </w:t>
      </w:r>
      <w:r w:rsidR="00285171">
        <w:rPr>
          <w:rFonts w:asciiTheme="majorBidi" w:hAnsiTheme="majorBidi" w:cstheme="majorBidi"/>
        </w:rPr>
        <w:t xml:space="preserve">[pers. B] </w:t>
      </w:r>
      <w:r w:rsidRPr="008F4E50">
        <w:rPr>
          <w:rFonts w:asciiTheme="majorBidi" w:hAnsiTheme="majorBidi" w:cstheme="majorBidi"/>
        </w:rPr>
        <w:t xml:space="preserve">kasācijas sūdzība par Administratīvās </w:t>
      </w:r>
      <w:r w:rsidR="009556D7" w:rsidRPr="008F4E50">
        <w:rPr>
          <w:rFonts w:asciiTheme="majorBidi" w:hAnsiTheme="majorBidi" w:cstheme="majorBidi"/>
        </w:rPr>
        <w:t>apgabaltiesas 202</w:t>
      </w:r>
      <w:r w:rsidR="00A26FF3" w:rsidRPr="008F4E50">
        <w:rPr>
          <w:rFonts w:asciiTheme="majorBidi" w:hAnsiTheme="majorBidi" w:cstheme="majorBidi"/>
        </w:rPr>
        <w:t>4</w:t>
      </w:r>
      <w:r w:rsidR="009556D7" w:rsidRPr="008F4E50">
        <w:rPr>
          <w:rFonts w:asciiTheme="majorBidi" w:hAnsiTheme="majorBidi" w:cstheme="majorBidi"/>
        </w:rPr>
        <w:t xml:space="preserve">.gada </w:t>
      </w:r>
      <w:r w:rsidR="00923A93" w:rsidRPr="008F4E50">
        <w:rPr>
          <w:rFonts w:asciiTheme="majorBidi" w:hAnsiTheme="majorBidi" w:cstheme="majorBidi"/>
        </w:rPr>
        <w:t>2</w:t>
      </w:r>
      <w:r w:rsidR="009601C5" w:rsidRPr="008F4E50">
        <w:rPr>
          <w:rFonts w:asciiTheme="majorBidi" w:hAnsiTheme="majorBidi" w:cstheme="majorBidi"/>
        </w:rPr>
        <w:t>5</w:t>
      </w:r>
      <w:r w:rsidR="009556D7" w:rsidRPr="008F4E50">
        <w:rPr>
          <w:rFonts w:asciiTheme="majorBidi" w:hAnsiTheme="majorBidi" w:cstheme="majorBidi"/>
        </w:rPr>
        <w:t>.</w:t>
      </w:r>
      <w:r w:rsidR="00923A93" w:rsidRPr="008F4E50">
        <w:rPr>
          <w:rFonts w:asciiTheme="majorBidi" w:hAnsiTheme="majorBidi" w:cstheme="majorBidi"/>
        </w:rPr>
        <w:t>septembra</w:t>
      </w:r>
      <w:r w:rsidRPr="008F4E50">
        <w:rPr>
          <w:rFonts w:asciiTheme="majorBidi" w:hAnsiTheme="majorBidi" w:cstheme="majorBidi"/>
        </w:rPr>
        <w:t xml:space="preserve"> spriedumu, ar kuru </w:t>
      </w:r>
      <w:r w:rsidR="00DE0719" w:rsidRPr="008F4E50">
        <w:rPr>
          <w:rFonts w:asciiTheme="majorBidi" w:hAnsiTheme="majorBidi" w:cstheme="majorBidi"/>
        </w:rPr>
        <w:t>noraidīts</w:t>
      </w:r>
      <w:r w:rsidR="00555DD4" w:rsidRPr="008F4E50">
        <w:rPr>
          <w:rFonts w:asciiTheme="majorBidi" w:hAnsiTheme="majorBidi" w:cstheme="majorBidi"/>
        </w:rPr>
        <w:t xml:space="preserve"> </w:t>
      </w:r>
      <w:r w:rsidR="00B54791" w:rsidRPr="008F4E50">
        <w:rPr>
          <w:rFonts w:asciiTheme="majorBidi" w:hAnsiTheme="majorBidi" w:cstheme="majorBidi"/>
        </w:rPr>
        <w:t>pieteicēj</w:t>
      </w:r>
      <w:r w:rsidR="00923A93" w:rsidRPr="008F4E50">
        <w:rPr>
          <w:rFonts w:asciiTheme="majorBidi" w:hAnsiTheme="majorBidi" w:cstheme="majorBidi"/>
        </w:rPr>
        <w:t>u</w:t>
      </w:r>
      <w:r w:rsidR="001668F6" w:rsidRPr="008F4E50">
        <w:rPr>
          <w:rFonts w:asciiTheme="majorBidi" w:hAnsiTheme="majorBidi" w:cstheme="majorBidi"/>
        </w:rPr>
        <w:t xml:space="preserve"> </w:t>
      </w:r>
      <w:r w:rsidR="00555DD4" w:rsidRPr="008F4E50">
        <w:rPr>
          <w:rFonts w:asciiTheme="majorBidi" w:hAnsiTheme="majorBidi" w:cstheme="majorBidi"/>
        </w:rPr>
        <w:t xml:space="preserve">pieteikums par </w:t>
      </w:r>
      <w:r w:rsidR="001668F6" w:rsidRPr="008F4E50">
        <w:t xml:space="preserve">Ministru kabineta 2021.gada 9.oktobra rīkojuma Nr. 720 </w:t>
      </w:r>
      <w:r w:rsidR="00D50DFB">
        <w:t>„</w:t>
      </w:r>
      <w:r w:rsidR="001668F6" w:rsidRPr="008F4E50">
        <w:t>Par ārkārtējās situācijas izsludināšanu” (turpmāk –</w:t>
      </w:r>
      <w:r w:rsidR="002A6445" w:rsidRPr="008F4E50">
        <w:t xml:space="preserve"> </w:t>
      </w:r>
      <w:r w:rsidR="001668F6" w:rsidRPr="008F4E50">
        <w:t xml:space="preserve">rīkojums) </w:t>
      </w:r>
      <w:r w:rsidR="009601C5" w:rsidRPr="008F4E50">
        <w:t xml:space="preserve">5.2. </w:t>
      </w:r>
      <w:r w:rsidR="00923A93" w:rsidRPr="008F4E50">
        <w:t xml:space="preserve">un </w:t>
      </w:r>
      <w:r w:rsidR="009601C5" w:rsidRPr="008F4E50">
        <w:t>5.3.apakšpunkta atzīšanu par prettiesisku attiecībā uz vi</w:t>
      </w:r>
      <w:r w:rsidR="00146C72">
        <w:t>ņiem</w:t>
      </w:r>
      <w:r w:rsidR="009601C5" w:rsidRPr="008F4E50">
        <w:t xml:space="preserve">, kā arī zaudējumu </w:t>
      </w:r>
      <w:r w:rsidR="001668F6" w:rsidRPr="008F4E50">
        <w:t>atlīdzināšanu.</w:t>
      </w:r>
    </w:p>
    <w:p w14:paraId="5D66C0E3" w14:textId="69E7FC4C" w:rsidR="00B61420" w:rsidRPr="008F4E50" w:rsidRDefault="00B61420" w:rsidP="00285171">
      <w:pPr>
        <w:spacing w:line="276" w:lineRule="auto"/>
        <w:ind w:firstLine="720"/>
        <w:jc w:val="both"/>
      </w:pPr>
      <w:r w:rsidRPr="008F4E50">
        <w:rPr>
          <w:rFonts w:asciiTheme="majorBidi" w:hAnsiTheme="majorBidi" w:cstheme="majorBidi"/>
        </w:rPr>
        <w:t xml:space="preserve">Administratīvā apgabaltiesa pievienojās pirmās instances tiesas sprieduma motivācijai un atzina, ka no rīkojuma </w:t>
      </w:r>
      <w:r w:rsidRPr="008F4E50">
        <w:t>5.3.apakšpunkta izrietošais darbinieka pienākums darba pienākumu veikšanai noteiktā termiņā uzsākt un pabeigt vakcināciju pret Covid</w:t>
      </w:r>
      <w:r w:rsidR="002A6445" w:rsidRPr="008F4E50">
        <w:noBreakHyphen/>
      </w:r>
      <w:r w:rsidRPr="008F4E50">
        <w:t>19 ir noteikts saskaņā ar likumu, tam ir leģitīms mērķis</w:t>
      </w:r>
      <w:r w:rsidR="00C4762D" w:rsidRPr="008F4E50">
        <w:t xml:space="preserve"> un</w:t>
      </w:r>
      <w:r w:rsidRPr="008F4E50">
        <w:t xml:space="preserve"> tas ir samērīgs attiecībā uz pieteicēj</w:t>
      </w:r>
      <w:r w:rsidR="00146C72">
        <w:t>iem</w:t>
      </w:r>
      <w:r w:rsidR="0058558B" w:rsidRPr="008F4E50">
        <w:t xml:space="preserve">, </w:t>
      </w:r>
      <w:r w:rsidR="00D3728F" w:rsidRPr="008F4E50">
        <w:t xml:space="preserve">kā arī </w:t>
      </w:r>
      <w:r w:rsidR="0058558B" w:rsidRPr="008F4E50">
        <w:t>pieteicēj</w:t>
      </w:r>
      <w:r w:rsidR="00923A93" w:rsidRPr="008F4E50">
        <w:t>iem</w:t>
      </w:r>
      <w:r w:rsidR="0058558B" w:rsidRPr="008F4E50">
        <w:t xml:space="preserve"> nav nodarīti zaudējumi, kas būtu atlīdzināmi</w:t>
      </w:r>
      <w:r w:rsidRPr="008F4E50">
        <w:t>.</w:t>
      </w:r>
      <w:r w:rsidR="0074796E" w:rsidRPr="008F4E50">
        <w:t xml:space="preserve"> Ievērojot, ka rīkojuma 5.3.apakšpunktā noteiktais pienākums atzīstams par tiesisku, pieteicēj</w:t>
      </w:r>
      <w:r w:rsidR="00923A93" w:rsidRPr="008F4E50">
        <w:t>u</w:t>
      </w:r>
      <w:r w:rsidR="0074796E" w:rsidRPr="008F4E50">
        <w:t xml:space="preserve"> darba devējam nebija 5.2.apakšpunktā paredzētā rīcības brīvība, </w:t>
      </w:r>
      <w:r w:rsidR="00923A93" w:rsidRPr="008F4E50">
        <w:t>l</w:t>
      </w:r>
      <w:r w:rsidR="0074796E" w:rsidRPr="008F4E50">
        <w:t>īdz ar to arī ši</w:t>
      </w:r>
      <w:r w:rsidR="00923A93" w:rsidRPr="008F4E50">
        <w:t>s</w:t>
      </w:r>
      <w:r w:rsidR="0074796E" w:rsidRPr="008F4E50">
        <w:t xml:space="preserve"> </w:t>
      </w:r>
      <w:r w:rsidR="008A43C2" w:rsidRPr="008F4E50">
        <w:t xml:space="preserve">rīkojuma </w:t>
      </w:r>
      <w:r w:rsidR="0074796E" w:rsidRPr="008F4E50">
        <w:t>apakšpunkt</w:t>
      </w:r>
      <w:r w:rsidR="00923A93" w:rsidRPr="008F4E50">
        <w:t>s</w:t>
      </w:r>
      <w:r w:rsidR="0074796E" w:rsidRPr="008F4E50">
        <w:t xml:space="preserve"> nepārkāpj pieteicēj</w:t>
      </w:r>
      <w:r w:rsidR="00923A93" w:rsidRPr="008F4E50">
        <w:t>u</w:t>
      </w:r>
      <w:r w:rsidR="0074796E" w:rsidRPr="008F4E50">
        <w:t xml:space="preserve"> tiesības un nav atzīstam</w:t>
      </w:r>
      <w:r w:rsidR="00146C72">
        <w:t>s</w:t>
      </w:r>
      <w:r w:rsidR="0074796E" w:rsidRPr="008F4E50">
        <w:t xml:space="preserve"> par prettiesisk</w:t>
      </w:r>
      <w:r w:rsidR="00146C72">
        <w:t>u</w:t>
      </w:r>
      <w:r w:rsidR="0074796E" w:rsidRPr="008F4E50">
        <w:t xml:space="preserve"> attiecībā uz pieteicēj</w:t>
      </w:r>
      <w:r w:rsidR="00923A93" w:rsidRPr="008F4E50">
        <w:t>iem</w:t>
      </w:r>
      <w:r w:rsidR="0074796E" w:rsidRPr="008F4E50">
        <w:t>.</w:t>
      </w:r>
    </w:p>
    <w:p w14:paraId="693D238A" w14:textId="77777777" w:rsidR="00623C76" w:rsidRPr="008F4E50" w:rsidRDefault="00623C76" w:rsidP="00285171">
      <w:pPr>
        <w:spacing w:line="276" w:lineRule="auto"/>
        <w:ind w:firstLine="720"/>
        <w:jc w:val="both"/>
      </w:pPr>
    </w:p>
    <w:p w14:paraId="18F8E47B" w14:textId="572FF2F5" w:rsidR="00B3123D" w:rsidRDefault="00623C76" w:rsidP="00285171">
      <w:pPr>
        <w:spacing w:line="276" w:lineRule="auto"/>
        <w:ind w:firstLine="720"/>
        <w:jc w:val="both"/>
        <w:rPr>
          <w:rFonts w:asciiTheme="majorBidi" w:hAnsiTheme="majorBidi" w:cstheme="majorBidi"/>
        </w:rPr>
      </w:pPr>
      <w:r w:rsidRPr="008F4E50">
        <w:t>[2] </w:t>
      </w:r>
      <w:r w:rsidR="008D0CF5" w:rsidRPr="008F4E50">
        <w:rPr>
          <w:rFonts w:asciiTheme="majorBidi" w:hAnsiTheme="majorBidi" w:cstheme="majorBidi"/>
        </w:rPr>
        <w:t>Pieteicēj</w:t>
      </w:r>
      <w:r w:rsidR="00EE4F2C" w:rsidRPr="008F4E50">
        <w:rPr>
          <w:rFonts w:asciiTheme="majorBidi" w:hAnsiTheme="majorBidi" w:cstheme="majorBidi"/>
        </w:rPr>
        <w:t xml:space="preserve">i kasācijas sūdzībā norāda, ka tiesa </w:t>
      </w:r>
      <w:r w:rsidR="00FA4806">
        <w:rPr>
          <w:rFonts w:asciiTheme="majorBidi" w:hAnsiTheme="majorBidi" w:cstheme="majorBidi"/>
        </w:rPr>
        <w:t>n</w:t>
      </w:r>
      <w:r w:rsidR="00EE4F2C" w:rsidRPr="008F4E50">
        <w:rPr>
          <w:rFonts w:asciiTheme="majorBidi" w:hAnsiTheme="majorBidi" w:cstheme="majorBidi"/>
        </w:rPr>
        <w:t>av piemērojusi Līguma par Eiropas Savienības darbību 168.panta 7.punktu</w:t>
      </w:r>
      <w:r w:rsidR="006A5D98">
        <w:rPr>
          <w:rFonts w:asciiTheme="majorBidi" w:hAnsiTheme="majorBidi" w:cstheme="majorBidi"/>
        </w:rPr>
        <w:t xml:space="preserve"> (</w:t>
      </w:r>
      <w:r w:rsidR="006A5D98" w:rsidRPr="006A5D98">
        <w:rPr>
          <w:rFonts w:asciiTheme="majorBidi" w:hAnsiTheme="majorBidi" w:cstheme="majorBidi"/>
          <w:i/>
          <w:iCs/>
        </w:rPr>
        <w:t>Savienības rīcība respektē dalībvalstu atbildību par savas veselības politikas noteikšanu un veselības aprūpes pakalpojumu un medicīniskās aprūpes organizēšanu un sniegšanu. Pie dalībvalstu pienākumiem pieder veselības aprūpes pakalpojumu un medicīniskās aprūpes vadība un šīm nozarēm atvēlēto resursu sadale. Šā panta 4. punkta a) apakšpunktā minētie pasākumi neietekmē valstu noteikumus par orgānu un asiņu ziedošanu vai izmantošanu medicīnā</w:t>
      </w:r>
      <w:r w:rsidR="006A5D98">
        <w:rPr>
          <w:rFonts w:asciiTheme="majorBidi" w:hAnsiTheme="majorBidi" w:cstheme="majorBidi"/>
        </w:rPr>
        <w:t>)</w:t>
      </w:r>
      <w:r w:rsidR="00EE4F2C" w:rsidRPr="008F4E50">
        <w:rPr>
          <w:rFonts w:asciiTheme="majorBidi" w:hAnsiTheme="majorBidi" w:cstheme="majorBidi"/>
        </w:rPr>
        <w:t>.</w:t>
      </w:r>
      <w:r w:rsidR="00867BB0" w:rsidRPr="008F4E50">
        <w:rPr>
          <w:rFonts w:asciiTheme="majorBidi" w:hAnsiTheme="majorBidi" w:cstheme="majorBidi"/>
        </w:rPr>
        <w:t xml:space="preserve"> Tiesa nav ņēmusi vērā Darba likuma 9.panta pirmo daļu</w:t>
      </w:r>
      <w:r w:rsidR="006A5D98">
        <w:rPr>
          <w:rFonts w:asciiTheme="majorBidi" w:hAnsiTheme="majorBidi" w:cstheme="majorBidi"/>
        </w:rPr>
        <w:t xml:space="preserve"> (</w:t>
      </w:r>
      <w:r w:rsidR="006A5D98" w:rsidRPr="006A5D98">
        <w:rPr>
          <w:rFonts w:asciiTheme="majorBidi" w:hAnsiTheme="majorBidi" w:cstheme="majorBidi"/>
          <w:i/>
          <w:iCs/>
        </w:rPr>
        <w:t>Aizliegts sodīt darbinieku vai citādi tieši vai netieši radīt viņam nelabvēlīgas sekas tāpēc, ka darbinieks darba tiesisko attiecību ietvaros pieļaujamā veidā izmanto savas tiesības, kā arī tad, ja viņš informē kompetentās iestādes vai amatpersonas par aizdomām par noziedzīga nodarījuma vai administratīva pārkāpuma izdarīšanu darbavietā</w:t>
      </w:r>
      <w:r w:rsidR="006A5D98">
        <w:rPr>
          <w:rFonts w:asciiTheme="majorBidi" w:hAnsiTheme="majorBidi" w:cstheme="majorBidi"/>
        </w:rPr>
        <w:t>).</w:t>
      </w:r>
      <w:r w:rsidR="00867BB0" w:rsidRPr="008F4E50">
        <w:rPr>
          <w:rFonts w:asciiTheme="majorBidi" w:hAnsiTheme="majorBidi" w:cstheme="majorBidi"/>
        </w:rPr>
        <w:t xml:space="preserve"> Tiesa nav ņēmusi vērā, ka Ministru kabinets</w:t>
      </w:r>
      <w:r w:rsidR="00B4278C" w:rsidRPr="008F4E50">
        <w:rPr>
          <w:rFonts w:asciiTheme="majorBidi" w:hAnsiTheme="majorBidi" w:cstheme="majorBidi"/>
        </w:rPr>
        <w:t>,</w:t>
      </w:r>
      <w:r w:rsidR="00867BB0" w:rsidRPr="008F4E50">
        <w:rPr>
          <w:rFonts w:asciiTheme="majorBidi" w:hAnsiTheme="majorBidi" w:cstheme="majorBidi"/>
        </w:rPr>
        <w:t xml:space="preserve"> izdodot rīkojumu, nav ievērojis Ārstniecības likumā norādīto, ka ar ārstniecību atļauts nodarboties ārstniecības personām, tādējādi Ministru kabinets rīkojies </w:t>
      </w:r>
      <w:r w:rsidR="00867BB0" w:rsidRPr="008F4E50">
        <w:rPr>
          <w:rFonts w:asciiTheme="majorBidi" w:hAnsiTheme="majorBidi" w:cstheme="majorBidi"/>
          <w:i/>
          <w:iCs/>
        </w:rPr>
        <w:t>ultra vires</w:t>
      </w:r>
      <w:r w:rsidR="00867BB0" w:rsidRPr="008F4E50">
        <w:rPr>
          <w:rFonts w:asciiTheme="majorBidi" w:hAnsiTheme="majorBidi" w:cstheme="majorBidi"/>
        </w:rPr>
        <w:t>.</w:t>
      </w:r>
    </w:p>
    <w:p w14:paraId="19A461D6" w14:textId="04C9C1FF" w:rsidR="00EA2E4C" w:rsidRDefault="001E486D" w:rsidP="00285171">
      <w:pPr>
        <w:spacing w:line="276" w:lineRule="auto"/>
        <w:ind w:firstLine="720"/>
        <w:jc w:val="both"/>
      </w:pPr>
      <w:r>
        <w:lastRenderedPageBreak/>
        <w:t xml:space="preserve">Senatoru kolēģija vērš uzmanību, ka </w:t>
      </w:r>
      <w:r w:rsidRPr="003C2526">
        <w:t>ne pieteikumā, ne apelācijas sūdzībā šād</w:t>
      </w:r>
      <w:r>
        <w:t>i</w:t>
      </w:r>
      <w:r w:rsidRPr="003C2526">
        <w:t xml:space="preserve"> argument</w:t>
      </w:r>
      <w:r>
        <w:t>i</w:t>
      </w:r>
      <w:r w:rsidRPr="003C2526">
        <w:t xml:space="preserve"> nebija norādīt</w:t>
      </w:r>
      <w:r>
        <w:t>i</w:t>
      </w:r>
      <w:r w:rsidRPr="003C2526">
        <w:t>,</w:t>
      </w:r>
      <w:r>
        <w:t xml:space="preserve"> līdz ar to ir nepamatoti pārmest </w:t>
      </w:r>
      <w:r w:rsidR="00FA4806">
        <w:t>apelācijas instances tiesai, ka</w:t>
      </w:r>
      <w:r>
        <w:t xml:space="preserve"> tā </w:t>
      </w:r>
      <w:r w:rsidR="00FA4806">
        <w:t>minēto</w:t>
      </w:r>
      <w:r>
        <w:t xml:space="preserve"> nav izvērtēju</w:t>
      </w:r>
      <w:r w:rsidR="00FA4806">
        <w:t>si</w:t>
      </w:r>
      <w:r>
        <w:t>. Tā kā ši</w:t>
      </w:r>
      <w:r w:rsidR="00FA4806">
        <w:t>e</w:t>
      </w:r>
      <w:r>
        <w:t xml:space="preserve"> argument</w:t>
      </w:r>
      <w:r w:rsidR="00FA4806">
        <w:t>i</w:t>
      </w:r>
      <w:r>
        <w:t xml:space="preserve"> pirmo reizi izteikt</w:t>
      </w:r>
      <w:r w:rsidR="00FA4806">
        <w:t>i</w:t>
      </w:r>
      <w:r>
        <w:t xml:space="preserve"> tikai kasācijas sūdzībā, tas nevar radīt šaubas par pārsūdzētā sprieduma tiesiskumu un līdz ar to nevar būt pamats kasācijas tiesvedības ierosināšanai.</w:t>
      </w:r>
    </w:p>
    <w:p w14:paraId="4F1FA9D6" w14:textId="77777777" w:rsidR="001E486D" w:rsidRPr="008F4E50" w:rsidRDefault="001E486D" w:rsidP="00285171">
      <w:pPr>
        <w:spacing w:line="276" w:lineRule="auto"/>
        <w:ind w:firstLine="720"/>
        <w:jc w:val="both"/>
      </w:pPr>
    </w:p>
    <w:p w14:paraId="6261857F" w14:textId="7C070554" w:rsidR="00BE0D73" w:rsidRPr="008F4E50" w:rsidRDefault="00EA2E4C" w:rsidP="00285171">
      <w:pPr>
        <w:spacing w:line="276" w:lineRule="auto"/>
        <w:ind w:firstLine="720"/>
        <w:jc w:val="both"/>
      </w:pPr>
      <w:r w:rsidRPr="008F4E50">
        <w:t>[</w:t>
      </w:r>
      <w:r w:rsidR="00EE34CA" w:rsidRPr="008F4E50">
        <w:t>3</w:t>
      </w:r>
      <w:r w:rsidRPr="008F4E50">
        <w:t>] </w:t>
      </w:r>
      <w:r w:rsidR="00FA4806">
        <w:t>Pieteicēji kasācijas sūdzībā norāda, ka t</w:t>
      </w:r>
      <w:r w:rsidR="00BE0D73" w:rsidRPr="008F4E50">
        <w:t>iesa nav pietiekami izvērtējusi rīkojuma leģitīmo mērķi</w:t>
      </w:r>
      <w:r w:rsidR="007A0557" w:rsidRPr="008F4E50">
        <w:t xml:space="preserve">, jo vakcinācija nepiešķir imunitāti, bet gan </w:t>
      </w:r>
      <w:r w:rsidR="00123900">
        <w:t xml:space="preserve">ir </w:t>
      </w:r>
      <w:r w:rsidR="007A0557" w:rsidRPr="008F4E50">
        <w:t>līdzeklis, kas, iespējams, var mazināt slimības simptomu smagumu.</w:t>
      </w:r>
      <w:r w:rsidR="00B4278C" w:rsidRPr="008F4E50">
        <w:t xml:space="preserve"> Attiecībā uz pieteicējiem leģitīmo mērķi varēja sasniegt ar indivīda tiesības mazāk ierobežojošiem līdzekļiem.</w:t>
      </w:r>
    </w:p>
    <w:p w14:paraId="04F27911" w14:textId="3859D059" w:rsidR="00CC2508" w:rsidRPr="008F4E50" w:rsidRDefault="00CC2508" w:rsidP="00285171">
      <w:pPr>
        <w:spacing w:line="276" w:lineRule="auto"/>
        <w:ind w:firstLine="720"/>
        <w:jc w:val="both"/>
      </w:pPr>
      <w:r w:rsidRPr="008F4E50">
        <w:rPr>
          <w:rFonts w:asciiTheme="majorBidi" w:hAnsiTheme="majorBidi" w:cstheme="majorBidi"/>
        </w:rPr>
        <w:t xml:space="preserve">Pretēji pieteicēju apgalvotajam </w:t>
      </w:r>
      <w:r w:rsidR="00FA4806">
        <w:rPr>
          <w:rFonts w:asciiTheme="majorBidi" w:hAnsiTheme="majorBidi" w:cstheme="majorBidi"/>
        </w:rPr>
        <w:t>tiesa</w:t>
      </w:r>
      <w:r w:rsidRPr="008F4E50">
        <w:rPr>
          <w:rFonts w:asciiTheme="majorBidi" w:hAnsiTheme="majorBidi" w:cstheme="majorBidi"/>
        </w:rPr>
        <w:t xml:space="preserve"> ir izvērtējusi tieši ar pieteicēju individuālo gadījumu saistītos apstākļus, pārbaudot pieteicēju pamattiesību ierobežojumu. Tostarp tiesa ir izvērtējusi ar pieteicēj</w:t>
      </w:r>
      <w:r w:rsidR="00747154">
        <w:rPr>
          <w:rFonts w:asciiTheme="majorBidi" w:hAnsiTheme="majorBidi" w:cstheme="majorBidi"/>
        </w:rPr>
        <w:t>u</w:t>
      </w:r>
      <w:r w:rsidRPr="008F4E50">
        <w:rPr>
          <w:rFonts w:asciiTheme="majorBidi" w:hAnsiTheme="majorBidi" w:cstheme="majorBidi"/>
        </w:rPr>
        <w:t xml:space="preserve"> kā </w:t>
      </w:r>
      <w:r w:rsidR="00747154">
        <w:rPr>
          <w:rFonts w:asciiTheme="majorBidi" w:hAnsiTheme="majorBidi" w:cstheme="majorBidi"/>
        </w:rPr>
        <w:t>mūzikas skolas pedagog</w:t>
      </w:r>
      <w:r w:rsidR="00FA4806">
        <w:rPr>
          <w:rFonts w:asciiTheme="majorBidi" w:hAnsiTheme="majorBidi" w:cstheme="majorBidi"/>
        </w:rPr>
        <w:t>u</w:t>
      </w:r>
      <w:r w:rsidR="00747154">
        <w:rPr>
          <w:rFonts w:asciiTheme="majorBidi" w:hAnsiTheme="majorBidi" w:cstheme="majorBidi"/>
        </w:rPr>
        <w:t xml:space="preserve"> amat</w:t>
      </w:r>
      <w:r w:rsidR="001E08D8">
        <w:rPr>
          <w:rFonts w:asciiTheme="majorBidi" w:hAnsiTheme="majorBidi" w:cstheme="majorBidi"/>
        </w:rPr>
        <w:t>u</w:t>
      </w:r>
      <w:r w:rsidRPr="008F4E50">
        <w:rPr>
          <w:rFonts w:asciiTheme="majorBidi" w:hAnsiTheme="majorBidi" w:cstheme="majorBidi"/>
        </w:rPr>
        <w:t xml:space="preserve"> saistītos apstākļus. </w:t>
      </w:r>
      <w:r w:rsidRPr="008F4E50">
        <w:t>Tāpat tiesa ir vērtējusi ar rīkojumu noteiktā pamattiesību ierobežojuma leģitīmo mērķi aptvertās tiesības un intereses, tostarp uz sabiedrības veselības un labklājības aizsardzību, kā arī ierobežojuma samērīgumu.</w:t>
      </w:r>
    </w:p>
    <w:p w14:paraId="6BDFAF7D" w14:textId="66C6D95D" w:rsidR="00CC2508" w:rsidRPr="008F4E50" w:rsidRDefault="00CC2508" w:rsidP="00285171">
      <w:pPr>
        <w:spacing w:line="276" w:lineRule="auto"/>
        <w:ind w:firstLine="720"/>
        <w:jc w:val="both"/>
        <w:rPr>
          <w:rFonts w:asciiTheme="majorBidi" w:hAnsiTheme="majorBidi" w:cstheme="majorBidi"/>
        </w:rPr>
      </w:pPr>
      <w:r w:rsidRPr="008F4E50">
        <w:t>Tādējādi secināms, ka pieteicēj</w:t>
      </w:r>
      <w:r w:rsidR="005126A1" w:rsidRPr="008F4E50">
        <w:t>u</w:t>
      </w:r>
      <w:r w:rsidRPr="008F4E50">
        <w:t xml:space="preserve"> minētie argumenti nevar būt par pamatu kasācijas tiesvedības ierosināšanai.</w:t>
      </w:r>
    </w:p>
    <w:p w14:paraId="751AE9FC" w14:textId="77777777" w:rsidR="00BE0D73" w:rsidRPr="008F4E50" w:rsidRDefault="00BE0D73" w:rsidP="00285171">
      <w:pPr>
        <w:spacing w:line="276" w:lineRule="auto"/>
        <w:ind w:firstLine="720"/>
        <w:jc w:val="both"/>
      </w:pPr>
    </w:p>
    <w:p w14:paraId="374999E3" w14:textId="2A28E6D2" w:rsidR="00B151BC" w:rsidRDefault="00BE0D73" w:rsidP="00285171">
      <w:pPr>
        <w:spacing w:line="276" w:lineRule="auto"/>
        <w:ind w:firstLine="720"/>
        <w:jc w:val="both"/>
      </w:pPr>
      <w:r w:rsidRPr="008F4E50">
        <w:t>[4] </w:t>
      </w:r>
      <w:r w:rsidR="00B151BC" w:rsidRPr="008F4E50">
        <w:t>Pieteicēj</w:t>
      </w:r>
      <w:r w:rsidR="00931E74" w:rsidRPr="008F4E50">
        <w:t>i</w:t>
      </w:r>
      <w:r w:rsidR="00B151BC" w:rsidRPr="008F4E50">
        <w:t xml:space="preserve"> kasācijas sūdzībā norāda, ka </w:t>
      </w:r>
      <w:r w:rsidR="00931E74" w:rsidRPr="008F4E50">
        <w:t>apgabaltiesa, ne</w:t>
      </w:r>
      <w:r w:rsidR="001E08D8">
        <w:t>veicot</w:t>
      </w:r>
      <w:r w:rsidR="00931E74" w:rsidRPr="008F4E50">
        <w:t xml:space="preserve"> kontroli pār rīkojuma 5.3.apakšpunktu, ir pieļāvusi medicīnisku diktatūru. Nav pieļaujams, ka cilvēka pamattiesības var ierobežot, pamatojoties uz pieņēmumiem par nākotni. Pieņemot rīkojuma 5.2. un 5.3.apakšpunktu</w:t>
      </w:r>
      <w:r w:rsidR="00216695">
        <w:t>,</w:t>
      </w:r>
      <w:r w:rsidR="00931E74" w:rsidRPr="008F4E50">
        <w:t xml:space="preserve"> tika pieļauta dehumanizācija, eksperimentēšana ar cilvēku organismiem, kā arī tika īstenots spiediens piekrist medicīniskām procedūrām.</w:t>
      </w:r>
      <w:r w:rsidR="00F75FF3" w:rsidRPr="008F4E50">
        <w:t xml:space="preserve"> </w:t>
      </w:r>
      <w:r w:rsidR="007A0557" w:rsidRPr="008F4E50">
        <w:t>Tāpat tiesa ir pārkāpusi Eiropas Sociālās hartas 11.pant</w:t>
      </w:r>
      <w:r w:rsidR="00DA77BA">
        <w:t>u</w:t>
      </w:r>
      <w:r w:rsidR="007A0557" w:rsidRPr="008F4E50">
        <w:t>, kas noteic, ka ikvienai personai ir tiesības izmantot jebkurus pasākumus, kas ļauj tai uzturēt iespējami augstāku veselības līmeni. Vakcīnas viena no blakusparādībām ir nāve, līdz ar to ar rīkojumu tiek veicināta cilvēku veselības pasliktināšan</w:t>
      </w:r>
      <w:r w:rsidR="00156813">
        <w:t>ā</w:t>
      </w:r>
      <w:r w:rsidR="007A0557" w:rsidRPr="008F4E50">
        <w:t xml:space="preserve">s, kas ir pretrunā </w:t>
      </w:r>
      <w:r w:rsidR="001E08D8" w:rsidRPr="008F4E50">
        <w:t xml:space="preserve">Latvijas Republikas </w:t>
      </w:r>
      <w:r w:rsidR="007A0557" w:rsidRPr="008F4E50">
        <w:t>Satversmes</w:t>
      </w:r>
      <w:r w:rsidR="001E08D8">
        <w:t xml:space="preserve"> (turpmāk – Satversme)</w:t>
      </w:r>
      <w:r w:rsidR="007A0557" w:rsidRPr="008F4E50">
        <w:t xml:space="preserve"> 1</w:t>
      </w:r>
      <w:r w:rsidR="00216695">
        <w:t>1</w:t>
      </w:r>
      <w:r w:rsidR="007A0557" w:rsidRPr="008F4E50">
        <w:t>1.pantā ietvertajam valsts pienākumam ievērot, aizsargāt un nodrošināt personas tiesības uz veselību.</w:t>
      </w:r>
    </w:p>
    <w:p w14:paraId="21B29E2F" w14:textId="7B5C4BC5" w:rsidR="00D20CB2" w:rsidRPr="008F4E50" w:rsidRDefault="00DA77BA" w:rsidP="00285171">
      <w:pPr>
        <w:spacing w:line="276" w:lineRule="auto"/>
        <w:ind w:firstLine="720"/>
        <w:jc w:val="both"/>
      </w:pPr>
      <w:r>
        <w:rPr>
          <w:rFonts w:asciiTheme="majorBidi" w:hAnsiTheme="majorBidi" w:cstheme="majorBidi"/>
        </w:rPr>
        <w:t>Senatoru kolēģija konstatē, ka vairums pieteicēju argumentu ir par vakcīnu drošumu, taču norādāms, ka t</w:t>
      </w:r>
      <w:r w:rsidR="00D20CB2" w:rsidRPr="008F4E50">
        <w:rPr>
          <w:rFonts w:asciiTheme="majorBidi" w:hAnsiTheme="majorBidi" w:cstheme="majorBidi"/>
        </w:rPr>
        <w:t xml:space="preserve">iesai ir pienākums vērtēt ar rīkojuma 5.2. un </w:t>
      </w:r>
      <w:r w:rsidR="00D20CB2" w:rsidRPr="008F4E50">
        <w:t xml:space="preserve">5.3.apakšpunktu uzliktā pienākuma vakcinēties tiesiskumu, nevis vakcīnu drošumu. Senāts jau ir atzinis, ka tiesai, izskatot lietas par rīkojumā ietverto vispārīgo administratīvo aktu tiesiskumu, jāvērtē epidemioloģiskā situācija un zinātnes atziņas, kas pastāvēja rīkojuma izdošanas laikā. Tiesas kompetencē nav lemt par tādiem jautājumiem, kas ir strīdīgi no zinātniskā viedokļa, bet gan lemt, vai Ministru kabinets rīkojās pareizi atbilstoši tajā brīdī pieejamai informācijai un tajā brīdī esošo zinātnisko pasaules uzskatu ietvaros. Ņemot vērā, ka no zinātniskā viedokļa vakcinācija tika atzīta par visefektīvāko veidu, kā apkarot epidēmiju, jo tajā brīdī nebija citas alternatīvas, apgabaltiesa ir pareizi secinājusi, ka Ministru kabinets pamatoti izvēlējās šo kā atbilstošāko līdzekli, kā vismazāk ierobežot indivīda pamattiesības un samērot tās ar citu cilvēku tiesībām uz veselību (sal. </w:t>
      </w:r>
      <w:r w:rsidR="00762C83" w:rsidRPr="00995182">
        <w:rPr>
          <w:i/>
          <w:iCs/>
        </w:rPr>
        <w:t xml:space="preserve">Senāta 2023.gada 31.maija sprieduma lietā </w:t>
      </w:r>
      <w:r w:rsidR="00762C83" w:rsidRPr="00995182">
        <w:rPr>
          <w:i/>
          <w:iCs/>
        </w:rPr>
        <w:lastRenderedPageBreak/>
        <w:t>Nr. SKA</w:t>
      </w:r>
      <w:r w:rsidR="00762C83">
        <w:rPr>
          <w:i/>
          <w:iCs/>
        </w:rPr>
        <w:noBreakHyphen/>
      </w:r>
      <w:r w:rsidR="00762C83" w:rsidRPr="00995182">
        <w:rPr>
          <w:i/>
          <w:iCs/>
        </w:rPr>
        <w:t>364/2023</w:t>
      </w:r>
      <w:r w:rsidR="00762C83">
        <w:rPr>
          <w:i/>
          <w:iCs/>
        </w:rPr>
        <w:t>,</w:t>
      </w:r>
      <w:r w:rsidR="00762C83" w:rsidRPr="00995182">
        <w:rPr>
          <w:i/>
          <w:iCs/>
        </w:rPr>
        <w:t xml:space="preserve"> </w:t>
      </w:r>
      <w:hyperlink r:id="rId9" w:history="1">
        <w:r w:rsidR="00762C83" w:rsidRPr="00995182">
          <w:rPr>
            <w:i/>
            <w:iCs/>
            <w:color w:val="0563C1"/>
            <w:u w:val="single"/>
          </w:rPr>
          <w:t>ECLI:LV:AT:2023:0531.A420247221.20.S</w:t>
        </w:r>
      </w:hyperlink>
      <w:r w:rsidR="00D20CB2" w:rsidRPr="008F4E50">
        <w:rPr>
          <w:i/>
          <w:iCs/>
        </w:rPr>
        <w:t>, 25., 26.punkts un tajos ietvertās atsauces</w:t>
      </w:r>
      <w:r w:rsidR="00D20CB2" w:rsidRPr="008F4E50">
        <w:t>).</w:t>
      </w:r>
    </w:p>
    <w:p w14:paraId="044F084B" w14:textId="08A83A70" w:rsidR="006817B5" w:rsidRDefault="006817B5" w:rsidP="00285171">
      <w:pPr>
        <w:pStyle w:val="tv213"/>
        <w:shd w:val="clear" w:color="auto" w:fill="FFFFFF"/>
        <w:spacing w:before="0" w:beforeAutospacing="0" w:after="0" w:afterAutospacing="0" w:line="276" w:lineRule="auto"/>
        <w:ind w:firstLine="720"/>
        <w:jc w:val="both"/>
      </w:pPr>
      <w:r w:rsidRPr="008F4E50">
        <w:t>Arī izskatāmajā lietā tiesa ir vērtējusi lietā esošo un arī publiski pieejamo informāciju, kas balstīta uz rīkojuma izdošanas brīd</w:t>
      </w:r>
      <w:r w:rsidR="00156813">
        <w:t>ī</w:t>
      </w:r>
      <w:r w:rsidRPr="008F4E50">
        <w:t xml:space="preserve"> pieejam</w:t>
      </w:r>
      <w:r w:rsidR="001E08D8">
        <w:t>iem</w:t>
      </w:r>
      <w:r w:rsidRPr="008F4E50">
        <w:t xml:space="preserve"> zinātniskaj</w:t>
      </w:r>
      <w:r w:rsidR="001E08D8">
        <w:t>iem</w:t>
      </w:r>
      <w:r w:rsidRPr="008F4E50">
        <w:t xml:space="preserve"> dat</w:t>
      </w:r>
      <w:r w:rsidR="001E08D8">
        <w:t>iem</w:t>
      </w:r>
      <w:r w:rsidRPr="008F4E50">
        <w:t>, un atzinusi, ka nav ziņu par to, ka rīkojuma spēkā esības laikā būtu bijis par vakcināciju efektīvāks veids, kā apturēt Covid</w:t>
      </w:r>
      <w:r w:rsidRPr="008F4E50">
        <w:noBreakHyphen/>
        <w:t>19 infekcijas izplatīšanos. Tiesa ir arī ņēmusi vērā pieteicēju bažas par vakcīnu drošumu un iespējamām blakusparādībām.</w:t>
      </w:r>
    </w:p>
    <w:p w14:paraId="1FBDCC3F" w14:textId="7B8D27A7" w:rsidR="00216695" w:rsidRDefault="00216695" w:rsidP="00285171">
      <w:pPr>
        <w:spacing w:line="276" w:lineRule="auto"/>
        <w:ind w:firstLine="720"/>
        <w:jc w:val="both"/>
      </w:pPr>
      <w:r>
        <w:t xml:space="preserve">Tas vien, ka ar rīkojumu bija noteikts pienākums vakcinēties, lai varētu veikt savus darba pienākumus, nav pamats, lai konstatētu, ka ir noticis Satversmes 111.pantā garantēto tiesību pārkāpums. Senatoru kolēģija norāda, ka ar rīkojumu nebija noteikta obligāta vakcinācija, līdz ar to pieteicēji varēja izvēlēties nevakcinēties, ja pieteicējiem bija bažas par vakcīnu drošumu un savu dzīvību. Taču jāņem vērā, ka </w:t>
      </w:r>
      <w:r w:rsidRPr="00D26958">
        <w:t xml:space="preserve">šādas izvēles gadījumā </w:t>
      </w:r>
      <w:r>
        <w:t>bija jā</w:t>
      </w:r>
      <w:r w:rsidRPr="00D26958">
        <w:t>rēķin</w:t>
      </w:r>
      <w:r>
        <w:t>ā</w:t>
      </w:r>
      <w:r w:rsidRPr="00D26958">
        <w:t>s ar tiesiskajām sekām – ierobežojumu no 2021.gada 15.novembra veikt darba pienākumus valsts vai pašvaldības iestādē.</w:t>
      </w:r>
      <w:r>
        <w:t xml:space="preserve"> Tāpat no lietas materiāliem neizriet, ka pieteicēji būtu aktīvi rīkojušies, lai atbilstoši </w:t>
      </w:r>
      <w:r w:rsidRPr="004C12BD">
        <w:rPr>
          <w:rFonts w:asciiTheme="majorBidi" w:hAnsiTheme="majorBidi" w:cstheme="majorBidi"/>
        </w:rPr>
        <w:t>Ministru kabineta 2021.gada 28.septembra noteikum</w:t>
      </w:r>
      <w:r>
        <w:rPr>
          <w:rFonts w:asciiTheme="majorBidi" w:hAnsiTheme="majorBidi" w:cstheme="majorBidi"/>
        </w:rPr>
        <w:t>u</w:t>
      </w:r>
      <w:r w:rsidRPr="004C12BD">
        <w:rPr>
          <w:rFonts w:asciiTheme="majorBidi" w:hAnsiTheme="majorBidi" w:cstheme="majorBidi"/>
        </w:rPr>
        <w:t xml:space="preserve"> „Epidemioloģiskās drošības pasākumi Covid</w:t>
      </w:r>
      <w:r>
        <w:rPr>
          <w:rFonts w:asciiTheme="majorBidi" w:hAnsiTheme="majorBidi" w:cstheme="majorBidi"/>
        </w:rPr>
        <w:noBreakHyphen/>
      </w:r>
      <w:r w:rsidRPr="004C12BD">
        <w:rPr>
          <w:rFonts w:asciiTheme="majorBidi" w:hAnsiTheme="majorBidi" w:cstheme="majorBidi"/>
        </w:rPr>
        <w:t>19 infekcijas izplatības ierobežošanai” Nr.</w:t>
      </w:r>
      <w:r>
        <w:rPr>
          <w:rFonts w:asciiTheme="majorBidi" w:hAnsiTheme="majorBidi" w:cstheme="majorBidi"/>
        </w:rPr>
        <w:t> </w:t>
      </w:r>
      <w:r w:rsidRPr="004C12BD">
        <w:rPr>
          <w:rFonts w:asciiTheme="majorBidi" w:hAnsiTheme="majorBidi" w:cstheme="majorBidi"/>
        </w:rPr>
        <w:t>662</w:t>
      </w:r>
      <w:r>
        <w:rPr>
          <w:rFonts w:asciiTheme="majorBidi" w:hAnsiTheme="majorBidi" w:cstheme="majorBidi"/>
        </w:rPr>
        <w:t xml:space="preserve"> </w:t>
      </w:r>
      <w:r>
        <w:t>219.punktā noteiktajam objektīvu ar veselību saistītu iemeslu dēļ atliktu vakcināciju uz noteiktu laiku, ja pieteicējiem bija pamatotas bažas par savu veselību un dzīvību.</w:t>
      </w:r>
    </w:p>
    <w:p w14:paraId="6EDFC0B3" w14:textId="69B09E0B" w:rsidR="00762C83" w:rsidRDefault="00762C83" w:rsidP="00285171">
      <w:pPr>
        <w:spacing w:line="276" w:lineRule="auto"/>
        <w:ind w:firstLine="720"/>
        <w:jc w:val="both"/>
      </w:pPr>
      <w:r>
        <w:t>Tādējādi minētie argumenti nevar būt par pamatu kasācijas tiesvedības ierosināšanai.</w:t>
      </w:r>
    </w:p>
    <w:p w14:paraId="4537A1B4" w14:textId="77777777" w:rsidR="00B0792A" w:rsidRPr="008F4E50" w:rsidRDefault="00B0792A" w:rsidP="00285171">
      <w:pPr>
        <w:spacing w:line="276" w:lineRule="auto"/>
        <w:ind w:firstLine="720"/>
        <w:jc w:val="both"/>
      </w:pPr>
    </w:p>
    <w:p w14:paraId="238501EE" w14:textId="17EE261C" w:rsidR="00B0792A" w:rsidRPr="008F4E50" w:rsidRDefault="00B0792A" w:rsidP="00285171">
      <w:pPr>
        <w:spacing w:line="276" w:lineRule="auto"/>
        <w:ind w:firstLine="720"/>
        <w:jc w:val="both"/>
      </w:pPr>
      <w:r w:rsidRPr="008F4E50">
        <w:t>[</w:t>
      </w:r>
      <w:r w:rsidR="00BE0D73" w:rsidRPr="008F4E50">
        <w:t>5</w:t>
      </w:r>
      <w:r w:rsidRPr="008F4E50">
        <w:t xml:space="preserve">] Kasācijas sūdzībā norādīts, ka tiesa kļūdaini secinājusi, ka nepastāv diskriminācija starp vakcinētajiem un nevakcinētajiem, jo </w:t>
      </w:r>
      <w:r w:rsidR="00216695">
        <w:t>p</w:t>
      </w:r>
      <w:r w:rsidR="00216695" w:rsidRPr="008F4E50">
        <w:t>ret cilvēkiem, kuri atteicās vakcinēties tika īstenota atšķirīga attieksme, ko aizliedz starptautiskie cilvēktiesību instrumenti.</w:t>
      </w:r>
    </w:p>
    <w:p w14:paraId="700095E1" w14:textId="34E35146" w:rsidR="00F17D9B" w:rsidRPr="008F4E50" w:rsidRDefault="00F17D9B" w:rsidP="00285171">
      <w:pPr>
        <w:spacing w:line="276" w:lineRule="auto"/>
        <w:ind w:firstLine="720"/>
        <w:jc w:val="both"/>
      </w:pPr>
      <w:r w:rsidRPr="008F4E50">
        <w:t xml:space="preserve">Senatoru kolēģija norāda, ka personas vakcinācijas statuss nav uzskatāms par kādu no diskriminācijas aizliegumā iekļautajiem kritērijiem (sal. </w:t>
      </w:r>
      <w:r w:rsidRPr="008F4E50">
        <w:rPr>
          <w:i/>
          <w:iCs/>
        </w:rPr>
        <w:t>Senāta 2024.gada 7.marta rīcības sēdes lēmuma lietā Nr. SKA</w:t>
      </w:r>
      <w:r w:rsidRPr="008F4E50">
        <w:rPr>
          <w:i/>
          <w:iCs/>
        </w:rPr>
        <w:noBreakHyphen/>
        <w:t xml:space="preserve">254/2024, </w:t>
      </w:r>
      <w:hyperlink r:id="rId10" w:history="1">
        <w:r w:rsidRPr="00747154">
          <w:rPr>
            <w:rStyle w:val="Hyperlink"/>
            <w:i/>
            <w:iCs/>
            <w:color w:val="2E74B5" w:themeColor="accent1" w:themeShade="BF"/>
          </w:rPr>
          <w:t>ECLI:LV:AT:2024:0307.A420267221.21.L</w:t>
        </w:r>
      </w:hyperlink>
      <w:r w:rsidRPr="008F4E50">
        <w:rPr>
          <w:i/>
          <w:iCs/>
        </w:rPr>
        <w:t>, 6.punkts</w:t>
      </w:r>
      <w:r w:rsidRPr="008F4E50">
        <w:t xml:space="preserve">), tādējādi ar rīkojuma 5.2. </w:t>
      </w:r>
      <w:r w:rsidR="00CC2508" w:rsidRPr="008F4E50">
        <w:t xml:space="preserve">un </w:t>
      </w:r>
      <w:r w:rsidRPr="008F4E50">
        <w:t>5.3.apakšpunktu nav aizskarts Satversmes 91.pantā ietvertais diskriminācijas aizliegums. Pieteicēj</w:t>
      </w:r>
      <w:r w:rsidR="005126A1" w:rsidRPr="008F4E50">
        <w:t>u</w:t>
      </w:r>
      <w:r w:rsidRPr="008F4E50">
        <w:t xml:space="preserve"> subjektīva attieksme pret rīkojumā noteikto, to nepieņemot un neatzīstot par pareizu, nenozīmē, ka pārsūdzētaj</w:t>
      </w:r>
      <w:r w:rsidR="00EE34CA" w:rsidRPr="008F4E50">
        <w:t>o</w:t>
      </w:r>
      <w:r w:rsidRPr="008F4E50">
        <w:t>s rīkojuma apakšpunktos noteiktais būtu diskriminējošs vai paredzētu tādu atšķirīgu attieksmi, kura nebūtu attaisnojama.</w:t>
      </w:r>
    </w:p>
    <w:p w14:paraId="3E0A6335" w14:textId="77777777" w:rsidR="00BE0D73" w:rsidRPr="008F4E50" w:rsidRDefault="00BE0D73" w:rsidP="00285171">
      <w:pPr>
        <w:spacing w:line="276" w:lineRule="auto"/>
        <w:ind w:firstLine="720"/>
        <w:jc w:val="both"/>
      </w:pPr>
    </w:p>
    <w:p w14:paraId="33C73F2E" w14:textId="65C66986" w:rsidR="0082113A" w:rsidRPr="008F4E50" w:rsidRDefault="00BE0D73" w:rsidP="00285171">
      <w:pPr>
        <w:spacing w:line="276" w:lineRule="auto"/>
        <w:ind w:firstLine="720"/>
        <w:jc w:val="both"/>
        <w:rPr>
          <w:rFonts w:asciiTheme="majorBidi" w:hAnsiTheme="majorBidi" w:cstheme="majorBidi"/>
        </w:rPr>
      </w:pPr>
      <w:r w:rsidRPr="008F4E50">
        <w:t>[6] </w:t>
      </w:r>
      <w:r w:rsidR="0082113A" w:rsidRPr="008F4E50">
        <w:rPr>
          <w:rFonts w:asciiTheme="majorBidi" w:hAnsiTheme="majorBidi" w:cstheme="majorBidi"/>
        </w:rPr>
        <w:t>Ņemot vērā minēto, senatoru kolēģija atzīst, ka kasācijas sūdzības argumenti nerada šaubas par apgabaltiesas sprieduma tiesiskumu. Lietā nav risināmi sarežģīti tiesību jautājumi, kuru dēļ kasācijas tiesvedībai būtu nozīme judikatūras veidošanā. Ievērojot minēto, kasācijas tiesvedības ierosināšana ir atsakāma.</w:t>
      </w:r>
    </w:p>
    <w:p w14:paraId="38CCC671" w14:textId="77777777" w:rsidR="00A50150" w:rsidRPr="008F4E50" w:rsidRDefault="00A50150" w:rsidP="00285171">
      <w:pPr>
        <w:spacing w:line="276" w:lineRule="auto"/>
        <w:ind w:firstLine="720"/>
        <w:jc w:val="both"/>
        <w:rPr>
          <w:rFonts w:asciiTheme="majorBidi" w:hAnsiTheme="majorBidi" w:cstheme="majorBidi"/>
        </w:rPr>
      </w:pPr>
    </w:p>
    <w:p w14:paraId="22E5B192" w14:textId="65BC4834" w:rsidR="00A50150" w:rsidRPr="008F4E50" w:rsidRDefault="00A50150" w:rsidP="00285171">
      <w:pPr>
        <w:spacing w:line="276" w:lineRule="auto"/>
        <w:ind w:firstLine="720"/>
        <w:jc w:val="both"/>
        <w:rPr>
          <w:rFonts w:asciiTheme="majorBidi" w:hAnsiTheme="majorBidi" w:cstheme="majorBidi"/>
          <w:strike/>
        </w:rPr>
      </w:pPr>
      <w:r w:rsidRPr="008F4E50">
        <w:rPr>
          <w:rFonts w:asciiTheme="majorBidi" w:hAnsiTheme="majorBidi" w:cstheme="majorBidi"/>
        </w:rPr>
        <w:t>Pamatojoties uz Administratīvā procesa likuma 338.panta otro daļu un 338.</w:t>
      </w:r>
      <w:r w:rsidRPr="008F4E50">
        <w:rPr>
          <w:rFonts w:asciiTheme="majorBidi" w:hAnsiTheme="majorBidi" w:cstheme="majorBidi"/>
          <w:vertAlign w:val="superscript"/>
        </w:rPr>
        <w:t>1</w:t>
      </w:r>
      <w:r w:rsidRPr="008F4E50">
        <w:rPr>
          <w:rFonts w:asciiTheme="majorBidi" w:hAnsiTheme="majorBidi" w:cstheme="majorBidi"/>
        </w:rPr>
        <w:t xml:space="preserve">panta </w:t>
      </w:r>
      <w:r w:rsidR="00B72E47" w:rsidRPr="008F4E50">
        <w:rPr>
          <w:rFonts w:asciiTheme="majorBidi" w:hAnsiTheme="majorBidi" w:cstheme="majorBidi"/>
        </w:rPr>
        <w:t>otrās daļas 2.punktu,</w:t>
      </w:r>
      <w:r w:rsidRPr="008F4E50">
        <w:rPr>
          <w:rFonts w:asciiTheme="majorBidi" w:hAnsiTheme="majorBidi" w:cstheme="majorBidi"/>
        </w:rPr>
        <w:t xml:space="preserve"> senatoru kolēģija</w:t>
      </w:r>
    </w:p>
    <w:p w14:paraId="52432008" w14:textId="77777777" w:rsidR="00A50150" w:rsidRPr="008F4E50" w:rsidRDefault="00A50150" w:rsidP="00285171">
      <w:pPr>
        <w:spacing w:line="276" w:lineRule="auto"/>
        <w:ind w:firstLine="720"/>
        <w:jc w:val="both"/>
        <w:rPr>
          <w:strike/>
        </w:rPr>
      </w:pPr>
    </w:p>
    <w:p w14:paraId="7430AB52" w14:textId="77777777" w:rsidR="00A50150" w:rsidRPr="008F4E50" w:rsidRDefault="00A50150" w:rsidP="00285171">
      <w:pPr>
        <w:keepNext/>
        <w:spacing w:line="276" w:lineRule="auto"/>
        <w:jc w:val="center"/>
        <w:rPr>
          <w:b/>
        </w:rPr>
      </w:pPr>
      <w:r w:rsidRPr="008F4E50">
        <w:rPr>
          <w:b/>
        </w:rPr>
        <w:lastRenderedPageBreak/>
        <w:t>nolēma</w:t>
      </w:r>
    </w:p>
    <w:p w14:paraId="0A294F85" w14:textId="77777777" w:rsidR="00A50150" w:rsidRPr="008F4E50" w:rsidRDefault="00A50150" w:rsidP="00285171">
      <w:pPr>
        <w:keepNext/>
        <w:spacing w:line="276" w:lineRule="auto"/>
        <w:jc w:val="center"/>
        <w:rPr>
          <w:bCs/>
        </w:rPr>
      </w:pPr>
    </w:p>
    <w:p w14:paraId="6DDC55FD" w14:textId="6C13875F" w:rsidR="00A50150" w:rsidRPr="008F4E50" w:rsidRDefault="00A50150" w:rsidP="00285171">
      <w:pPr>
        <w:keepNext/>
        <w:spacing w:line="276" w:lineRule="auto"/>
        <w:ind w:firstLine="720"/>
        <w:jc w:val="both"/>
      </w:pPr>
      <w:r w:rsidRPr="008F4E50">
        <w:t xml:space="preserve">atteikt ierosināt kasācijas tiesvedību sakarā ar </w:t>
      </w:r>
      <w:r w:rsidR="00285171">
        <w:t xml:space="preserve">[pers. A] </w:t>
      </w:r>
      <w:r w:rsidR="0019119C" w:rsidRPr="008F4E50">
        <w:t xml:space="preserve">un </w:t>
      </w:r>
      <w:r w:rsidR="00285171">
        <w:t xml:space="preserve">[pers. B] </w:t>
      </w:r>
      <w:r w:rsidRPr="008F4E50">
        <w:t xml:space="preserve">kasācijas sūdzību par Administratīvās </w:t>
      </w:r>
      <w:r w:rsidR="00F809DF" w:rsidRPr="008F4E50">
        <w:t xml:space="preserve">apgabaltiesas </w:t>
      </w:r>
      <w:r w:rsidR="007E3B63" w:rsidRPr="008F4E50">
        <w:rPr>
          <w:rFonts w:asciiTheme="majorBidi" w:hAnsiTheme="majorBidi" w:cstheme="majorBidi"/>
        </w:rPr>
        <w:t xml:space="preserve">2024.gada </w:t>
      </w:r>
      <w:r w:rsidR="00EE4F2C" w:rsidRPr="008F4E50">
        <w:rPr>
          <w:rFonts w:asciiTheme="majorBidi" w:hAnsiTheme="majorBidi" w:cstheme="majorBidi"/>
        </w:rPr>
        <w:t>2</w:t>
      </w:r>
      <w:r w:rsidR="009601C5" w:rsidRPr="008F4E50">
        <w:rPr>
          <w:rFonts w:asciiTheme="majorBidi" w:hAnsiTheme="majorBidi" w:cstheme="majorBidi"/>
        </w:rPr>
        <w:t>5</w:t>
      </w:r>
      <w:r w:rsidR="007E3B63" w:rsidRPr="008F4E50">
        <w:rPr>
          <w:rFonts w:asciiTheme="majorBidi" w:hAnsiTheme="majorBidi" w:cstheme="majorBidi"/>
        </w:rPr>
        <w:t>.</w:t>
      </w:r>
      <w:r w:rsidR="00EE4F2C" w:rsidRPr="008F4E50">
        <w:rPr>
          <w:rFonts w:asciiTheme="majorBidi" w:hAnsiTheme="majorBidi" w:cstheme="majorBidi"/>
        </w:rPr>
        <w:t>septembra</w:t>
      </w:r>
      <w:r w:rsidR="007E3B63" w:rsidRPr="008F4E50">
        <w:rPr>
          <w:rFonts w:asciiTheme="majorBidi" w:hAnsiTheme="majorBidi" w:cstheme="majorBidi"/>
        </w:rPr>
        <w:t xml:space="preserve"> </w:t>
      </w:r>
      <w:r w:rsidRPr="008F4E50">
        <w:t>spriedumu.</w:t>
      </w:r>
    </w:p>
    <w:p w14:paraId="37525BCF" w14:textId="77777777" w:rsidR="0082113A" w:rsidRPr="008F4E50" w:rsidRDefault="0082113A" w:rsidP="00285171">
      <w:pPr>
        <w:spacing w:line="276" w:lineRule="auto"/>
        <w:ind w:firstLine="709"/>
        <w:jc w:val="both"/>
        <w:rPr>
          <w:rFonts w:asciiTheme="majorBidi" w:hAnsiTheme="majorBidi" w:cstheme="majorBidi"/>
        </w:rPr>
      </w:pPr>
    </w:p>
    <w:p w14:paraId="6D98F647" w14:textId="77777777" w:rsidR="0082113A" w:rsidRPr="008F4E50" w:rsidRDefault="0082113A" w:rsidP="00285171">
      <w:pPr>
        <w:spacing w:line="276" w:lineRule="auto"/>
        <w:ind w:firstLine="709"/>
        <w:jc w:val="both"/>
        <w:rPr>
          <w:rFonts w:asciiTheme="majorBidi" w:hAnsiTheme="majorBidi" w:cstheme="majorBidi"/>
        </w:rPr>
      </w:pPr>
      <w:r w:rsidRPr="008F4E50">
        <w:rPr>
          <w:rFonts w:asciiTheme="majorBidi" w:hAnsiTheme="majorBidi" w:cstheme="majorBidi"/>
        </w:rPr>
        <w:t>Lēmums nav pārsūdzams.</w:t>
      </w:r>
    </w:p>
    <w:p w14:paraId="092A281A" w14:textId="77777777" w:rsidR="0082113A" w:rsidRPr="008F4E50" w:rsidRDefault="0082113A" w:rsidP="00285171">
      <w:pPr>
        <w:spacing w:line="276" w:lineRule="auto"/>
        <w:ind w:firstLine="709"/>
        <w:jc w:val="both"/>
        <w:rPr>
          <w:rFonts w:asciiTheme="majorBidi" w:hAnsiTheme="majorBidi" w:cstheme="majorBidi"/>
        </w:rPr>
      </w:pPr>
    </w:p>
    <w:p w14:paraId="6E130787" w14:textId="77777777" w:rsidR="006619F0" w:rsidRPr="008F4E50" w:rsidRDefault="006619F0" w:rsidP="00285171">
      <w:pPr>
        <w:spacing w:line="276" w:lineRule="auto"/>
        <w:ind w:firstLine="709"/>
        <w:jc w:val="both"/>
        <w:rPr>
          <w:rFonts w:asciiTheme="majorBidi" w:hAnsiTheme="majorBidi" w:cstheme="majorBidi"/>
        </w:rPr>
      </w:pPr>
    </w:p>
    <w:p w14:paraId="54DA07C5" w14:textId="77777777" w:rsidR="006619F0" w:rsidRPr="00747154" w:rsidRDefault="006619F0" w:rsidP="00285171">
      <w:pPr>
        <w:spacing w:line="276" w:lineRule="auto"/>
        <w:ind w:firstLine="709"/>
        <w:jc w:val="both"/>
        <w:rPr>
          <w:rFonts w:asciiTheme="majorBidi" w:hAnsiTheme="majorBidi" w:cstheme="majorBidi"/>
          <w:sz w:val="14"/>
          <w:szCs w:val="14"/>
        </w:rPr>
      </w:pPr>
    </w:p>
    <w:p w14:paraId="25C49046" w14:textId="77777777" w:rsidR="00E6166D" w:rsidRPr="008F4E50" w:rsidRDefault="00E6166D" w:rsidP="00285171">
      <w:pPr>
        <w:spacing w:line="276" w:lineRule="auto"/>
        <w:ind w:firstLine="709"/>
        <w:jc w:val="both"/>
        <w:rPr>
          <w:rFonts w:asciiTheme="majorBidi" w:hAnsiTheme="majorBidi" w:cstheme="majorBidi"/>
        </w:rPr>
      </w:pPr>
    </w:p>
    <w:tbl>
      <w:tblPr>
        <w:tblStyle w:val="TableGrid"/>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82113A" w:rsidRPr="008F4E50" w14:paraId="6F45B82C" w14:textId="77777777" w:rsidTr="0082113A">
        <w:tc>
          <w:tcPr>
            <w:tcW w:w="3020" w:type="dxa"/>
            <w:hideMark/>
          </w:tcPr>
          <w:p w14:paraId="3151359A" w14:textId="77777777" w:rsidR="0082113A" w:rsidRPr="008F4E50" w:rsidRDefault="0082113A" w:rsidP="00285171">
            <w:pPr>
              <w:tabs>
                <w:tab w:val="left" w:pos="2700"/>
                <w:tab w:val="left" w:pos="6660"/>
              </w:tabs>
              <w:spacing w:line="276" w:lineRule="auto"/>
              <w:jc w:val="center"/>
              <w:rPr>
                <w:rFonts w:asciiTheme="majorBidi" w:hAnsiTheme="majorBidi" w:cstheme="majorBidi"/>
                <w:sz w:val="24"/>
                <w:szCs w:val="32"/>
              </w:rPr>
            </w:pPr>
            <w:r w:rsidRPr="008F4E50">
              <w:rPr>
                <w:rFonts w:asciiTheme="majorBidi" w:hAnsiTheme="majorBidi" w:cstheme="majorBidi"/>
                <w:sz w:val="24"/>
                <w:szCs w:val="32"/>
              </w:rPr>
              <w:t>Senatore L. Slica</w:t>
            </w:r>
          </w:p>
        </w:tc>
        <w:tc>
          <w:tcPr>
            <w:tcW w:w="3020" w:type="dxa"/>
            <w:hideMark/>
          </w:tcPr>
          <w:p w14:paraId="13822BB7" w14:textId="3C05AD11" w:rsidR="0082113A" w:rsidRPr="008F4E50" w:rsidRDefault="0082113A" w:rsidP="00285171">
            <w:pPr>
              <w:tabs>
                <w:tab w:val="left" w:pos="2700"/>
                <w:tab w:val="left" w:pos="6660"/>
              </w:tabs>
              <w:spacing w:line="276" w:lineRule="auto"/>
              <w:jc w:val="center"/>
              <w:rPr>
                <w:rFonts w:asciiTheme="majorBidi" w:hAnsiTheme="majorBidi" w:cstheme="majorBidi"/>
                <w:sz w:val="24"/>
                <w:szCs w:val="32"/>
              </w:rPr>
            </w:pPr>
            <w:r w:rsidRPr="008F4E50">
              <w:rPr>
                <w:rFonts w:asciiTheme="majorBidi" w:hAnsiTheme="majorBidi" w:cstheme="majorBidi"/>
                <w:sz w:val="24"/>
                <w:szCs w:val="32"/>
              </w:rPr>
              <w:t>Senator</w:t>
            </w:r>
            <w:r w:rsidR="009601C5" w:rsidRPr="008F4E50">
              <w:rPr>
                <w:rFonts w:asciiTheme="majorBidi" w:hAnsiTheme="majorBidi" w:cstheme="majorBidi"/>
                <w:sz w:val="24"/>
                <w:szCs w:val="32"/>
              </w:rPr>
              <w:t>s E</w:t>
            </w:r>
            <w:r w:rsidRPr="008F4E50">
              <w:rPr>
                <w:rFonts w:asciiTheme="majorBidi" w:hAnsiTheme="majorBidi" w:cstheme="majorBidi"/>
                <w:sz w:val="24"/>
                <w:szCs w:val="32"/>
              </w:rPr>
              <w:t>. </w:t>
            </w:r>
            <w:r w:rsidR="009601C5" w:rsidRPr="008F4E50">
              <w:rPr>
                <w:rFonts w:asciiTheme="majorBidi" w:hAnsiTheme="majorBidi" w:cstheme="majorBidi"/>
                <w:sz w:val="24"/>
                <w:szCs w:val="32"/>
              </w:rPr>
              <w:t>Darapoļskis</w:t>
            </w:r>
          </w:p>
        </w:tc>
        <w:tc>
          <w:tcPr>
            <w:tcW w:w="3020" w:type="dxa"/>
            <w:hideMark/>
          </w:tcPr>
          <w:p w14:paraId="03D3CBFF" w14:textId="7B1EA311" w:rsidR="0082113A" w:rsidRPr="008F4E50" w:rsidRDefault="0082113A" w:rsidP="00285171">
            <w:pPr>
              <w:tabs>
                <w:tab w:val="left" w:pos="2700"/>
                <w:tab w:val="left" w:pos="6660"/>
              </w:tabs>
              <w:spacing w:line="276" w:lineRule="auto"/>
              <w:jc w:val="center"/>
              <w:rPr>
                <w:rFonts w:asciiTheme="majorBidi" w:hAnsiTheme="majorBidi" w:cstheme="majorBidi"/>
                <w:sz w:val="24"/>
                <w:szCs w:val="32"/>
              </w:rPr>
            </w:pPr>
            <w:r w:rsidRPr="008F4E50">
              <w:rPr>
                <w:rFonts w:asciiTheme="majorBidi" w:hAnsiTheme="majorBidi" w:cstheme="majorBidi"/>
                <w:sz w:val="24"/>
                <w:szCs w:val="32"/>
              </w:rPr>
              <w:t>Senator</w:t>
            </w:r>
            <w:r w:rsidR="003C6454" w:rsidRPr="008F4E50">
              <w:rPr>
                <w:rFonts w:asciiTheme="majorBidi" w:hAnsiTheme="majorBidi" w:cstheme="majorBidi"/>
                <w:sz w:val="24"/>
                <w:szCs w:val="32"/>
              </w:rPr>
              <w:t>e</w:t>
            </w:r>
            <w:r w:rsidRPr="008F4E50">
              <w:rPr>
                <w:rFonts w:asciiTheme="majorBidi" w:hAnsiTheme="majorBidi" w:cstheme="majorBidi"/>
                <w:sz w:val="24"/>
                <w:szCs w:val="32"/>
              </w:rPr>
              <w:t xml:space="preserve"> </w:t>
            </w:r>
            <w:r w:rsidR="009601C5" w:rsidRPr="008F4E50">
              <w:rPr>
                <w:rFonts w:asciiTheme="majorBidi" w:hAnsiTheme="majorBidi" w:cstheme="majorBidi"/>
                <w:sz w:val="24"/>
                <w:szCs w:val="32"/>
              </w:rPr>
              <w:t>R</w:t>
            </w:r>
            <w:r w:rsidRPr="008F4E50">
              <w:rPr>
                <w:rFonts w:asciiTheme="majorBidi" w:hAnsiTheme="majorBidi" w:cstheme="majorBidi"/>
                <w:sz w:val="24"/>
                <w:szCs w:val="32"/>
              </w:rPr>
              <w:t>. </w:t>
            </w:r>
            <w:r w:rsidR="003C6454" w:rsidRPr="008F4E50">
              <w:rPr>
                <w:rFonts w:asciiTheme="majorBidi" w:hAnsiTheme="majorBidi" w:cstheme="majorBidi"/>
                <w:sz w:val="24"/>
                <w:szCs w:val="32"/>
              </w:rPr>
              <w:t>V</w:t>
            </w:r>
            <w:r w:rsidR="009601C5" w:rsidRPr="008F4E50">
              <w:rPr>
                <w:rFonts w:asciiTheme="majorBidi" w:hAnsiTheme="majorBidi" w:cstheme="majorBidi"/>
                <w:sz w:val="24"/>
                <w:szCs w:val="32"/>
              </w:rPr>
              <w:t>īduša</w:t>
            </w:r>
          </w:p>
        </w:tc>
      </w:tr>
    </w:tbl>
    <w:p w14:paraId="60B75536" w14:textId="77777777" w:rsidR="0082113A" w:rsidRPr="008F4E50" w:rsidRDefault="0082113A" w:rsidP="00285171">
      <w:pPr>
        <w:autoSpaceDE w:val="0"/>
        <w:autoSpaceDN w:val="0"/>
        <w:adjustRightInd w:val="0"/>
        <w:spacing w:line="276" w:lineRule="auto"/>
        <w:jc w:val="both"/>
        <w:rPr>
          <w:rFonts w:asciiTheme="majorBidi" w:eastAsiaTheme="minorHAnsi" w:hAnsiTheme="majorBidi" w:cstheme="majorBidi"/>
          <w:sz w:val="2"/>
          <w:szCs w:val="2"/>
          <w:lang w:eastAsia="en-US"/>
        </w:rPr>
      </w:pPr>
    </w:p>
    <w:sectPr w:rsidR="0082113A" w:rsidRPr="008F4E50" w:rsidSect="00600FCD">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59662" w14:textId="77777777" w:rsidR="00723B56" w:rsidRDefault="00723B56" w:rsidP="009F7ACE">
      <w:r>
        <w:separator/>
      </w:r>
    </w:p>
  </w:endnote>
  <w:endnote w:type="continuationSeparator" w:id="0">
    <w:p w14:paraId="5E894135" w14:textId="77777777" w:rsidR="00723B56" w:rsidRDefault="00723B56"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B11BA" w14:textId="7D73EFE0"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F40DCC">
      <w:rPr>
        <w:rStyle w:val="PageNumber"/>
        <w:noProof/>
        <w:sz w:val="20"/>
        <w:szCs w:val="20"/>
      </w:rPr>
      <w:t>4</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90204" w14:textId="77777777" w:rsidR="00723B56" w:rsidRDefault="00723B56" w:rsidP="009F7ACE">
      <w:r>
        <w:separator/>
      </w:r>
    </w:p>
  </w:footnote>
  <w:footnote w:type="continuationSeparator" w:id="0">
    <w:p w14:paraId="25BFBABF" w14:textId="77777777" w:rsidR="00723B56" w:rsidRDefault="00723B56"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21080"/>
    <w:rsid w:val="00025BAF"/>
    <w:rsid w:val="00026E3E"/>
    <w:rsid w:val="00040D89"/>
    <w:rsid w:val="00047C4B"/>
    <w:rsid w:val="00050621"/>
    <w:rsid w:val="00050669"/>
    <w:rsid w:val="00050DC4"/>
    <w:rsid w:val="0006437D"/>
    <w:rsid w:val="00065480"/>
    <w:rsid w:val="000655DE"/>
    <w:rsid w:val="00075452"/>
    <w:rsid w:val="000757FB"/>
    <w:rsid w:val="0008145E"/>
    <w:rsid w:val="000830EE"/>
    <w:rsid w:val="00083A03"/>
    <w:rsid w:val="00090B0A"/>
    <w:rsid w:val="00093086"/>
    <w:rsid w:val="000A4648"/>
    <w:rsid w:val="000A65CA"/>
    <w:rsid w:val="000A739E"/>
    <w:rsid w:val="000B4703"/>
    <w:rsid w:val="000B4B6F"/>
    <w:rsid w:val="000B78CA"/>
    <w:rsid w:val="000C76B8"/>
    <w:rsid w:val="000C7A8A"/>
    <w:rsid w:val="000D1BFD"/>
    <w:rsid w:val="000E008F"/>
    <w:rsid w:val="000E299B"/>
    <w:rsid w:val="000E29C4"/>
    <w:rsid w:val="00101F12"/>
    <w:rsid w:val="00106F41"/>
    <w:rsid w:val="0011101F"/>
    <w:rsid w:val="00115504"/>
    <w:rsid w:val="00123900"/>
    <w:rsid w:val="00146C72"/>
    <w:rsid w:val="0015097E"/>
    <w:rsid w:val="00156813"/>
    <w:rsid w:val="00163E25"/>
    <w:rsid w:val="00164A98"/>
    <w:rsid w:val="001668F6"/>
    <w:rsid w:val="00182E7C"/>
    <w:rsid w:val="0019119C"/>
    <w:rsid w:val="00196694"/>
    <w:rsid w:val="001A3400"/>
    <w:rsid w:val="001A37B1"/>
    <w:rsid w:val="001A49FD"/>
    <w:rsid w:val="001C0AD2"/>
    <w:rsid w:val="001C2D43"/>
    <w:rsid w:val="001C6A5E"/>
    <w:rsid w:val="001D21A6"/>
    <w:rsid w:val="001D4DF4"/>
    <w:rsid w:val="001E08D8"/>
    <w:rsid w:val="001E3690"/>
    <w:rsid w:val="001E486D"/>
    <w:rsid w:val="001E61D0"/>
    <w:rsid w:val="001F6596"/>
    <w:rsid w:val="001F67FC"/>
    <w:rsid w:val="00201724"/>
    <w:rsid w:val="00201E96"/>
    <w:rsid w:val="00203A5C"/>
    <w:rsid w:val="00205C39"/>
    <w:rsid w:val="00206A73"/>
    <w:rsid w:val="00206B8E"/>
    <w:rsid w:val="00216695"/>
    <w:rsid w:val="00223CD1"/>
    <w:rsid w:val="00227A10"/>
    <w:rsid w:val="00231C32"/>
    <w:rsid w:val="00243B3A"/>
    <w:rsid w:val="002454FE"/>
    <w:rsid w:val="00246C5C"/>
    <w:rsid w:val="0025657B"/>
    <w:rsid w:val="00261740"/>
    <w:rsid w:val="002622B1"/>
    <w:rsid w:val="0026562B"/>
    <w:rsid w:val="00273A50"/>
    <w:rsid w:val="00275F7A"/>
    <w:rsid w:val="002772D5"/>
    <w:rsid w:val="002833D2"/>
    <w:rsid w:val="00285171"/>
    <w:rsid w:val="002972BF"/>
    <w:rsid w:val="002A42EC"/>
    <w:rsid w:val="002A6445"/>
    <w:rsid w:val="002B1446"/>
    <w:rsid w:val="002C7346"/>
    <w:rsid w:val="002E152B"/>
    <w:rsid w:val="002E2DEC"/>
    <w:rsid w:val="002F3A0E"/>
    <w:rsid w:val="002F796C"/>
    <w:rsid w:val="00307B8A"/>
    <w:rsid w:val="00310D1F"/>
    <w:rsid w:val="00323655"/>
    <w:rsid w:val="00330FA6"/>
    <w:rsid w:val="003322D8"/>
    <w:rsid w:val="00334B4E"/>
    <w:rsid w:val="00343B79"/>
    <w:rsid w:val="00347EA7"/>
    <w:rsid w:val="003573B6"/>
    <w:rsid w:val="0036040B"/>
    <w:rsid w:val="0036328A"/>
    <w:rsid w:val="0038568C"/>
    <w:rsid w:val="003928E2"/>
    <w:rsid w:val="003A069B"/>
    <w:rsid w:val="003A0E8B"/>
    <w:rsid w:val="003B09B6"/>
    <w:rsid w:val="003B66AF"/>
    <w:rsid w:val="003B66C1"/>
    <w:rsid w:val="003C01F9"/>
    <w:rsid w:val="003C6454"/>
    <w:rsid w:val="003D13B3"/>
    <w:rsid w:val="003D1D15"/>
    <w:rsid w:val="003D6244"/>
    <w:rsid w:val="003D7AFC"/>
    <w:rsid w:val="003E1EAD"/>
    <w:rsid w:val="003F21FC"/>
    <w:rsid w:val="003F23F0"/>
    <w:rsid w:val="003F56B5"/>
    <w:rsid w:val="003F6B7E"/>
    <w:rsid w:val="003F6EAE"/>
    <w:rsid w:val="003F70F6"/>
    <w:rsid w:val="00411CD0"/>
    <w:rsid w:val="00423BFD"/>
    <w:rsid w:val="00427B9E"/>
    <w:rsid w:val="004312EE"/>
    <w:rsid w:val="00434817"/>
    <w:rsid w:val="00445235"/>
    <w:rsid w:val="00447EE6"/>
    <w:rsid w:val="0045187D"/>
    <w:rsid w:val="00454227"/>
    <w:rsid w:val="004559A2"/>
    <w:rsid w:val="00464104"/>
    <w:rsid w:val="004705D9"/>
    <w:rsid w:val="00471104"/>
    <w:rsid w:val="00471AFD"/>
    <w:rsid w:val="00476707"/>
    <w:rsid w:val="004A466B"/>
    <w:rsid w:val="004B2A94"/>
    <w:rsid w:val="004B5494"/>
    <w:rsid w:val="004C12BD"/>
    <w:rsid w:val="004C23A4"/>
    <w:rsid w:val="004C2CB7"/>
    <w:rsid w:val="004C4B5D"/>
    <w:rsid w:val="004D261B"/>
    <w:rsid w:val="004E3832"/>
    <w:rsid w:val="004F224D"/>
    <w:rsid w:val="00500A0D"/>
    <w:rsid w:val="00510385"/>
    <w:rsid w:val="00510F23"/>
    <w:rsid w:val="005126A1"/>
    <w:rsid w:val="00517BFA"/>
    <w:rsid w:val="00530ACD"/>
    <w:rsid w:val="005468EB"/>
    <w:rsid w:val="00547C02"/>
    <w:rsid w:val="0055006F"/>
    <w:rsid w:val="00555DD4"/>
    <w:rsid w:val="00566E18"/>
    <w:rsid w:val="0058558B"/>
    <w:rsid w:val="005874F7"/>
    <w:rsid w:val="005A632C"/>
    <w:rsid w:val="005B3BEC"/>
    <w:rsid w:val="005B4B5D"/>
    <w:rsid w:val="005B5940"/>
    <w:rsid w:val="005C1232"/>
    <w:rsid w:val="005F6B94"/>
    <w:rsid w:val="005F6BB4"/>
    <w:rsid w:val="00600FCD"/>
    <w:rsid w:val="00616086"/>
    <w:rsid w:val="006223B8"/>
    <w:rsid w:val="00623C76"/>
    <w:rsid w:val="00623DCB"/>
    <w:rsid w:val="00625157"/>
    <w:rsid w:val="006266C1"/>
    <w:rsid w:val="00627178"/>
    <w:rsid w:val="006317CC"/>
    <w:rsid w:val="006359AD"/>
    <w:rsid w:val="0064130C"/>
    <w:rsid w:val="00641746"/>
    <w:rsid w:val="00644C35"/>
    <w:rsid w:val="00651B7F"/>
    <w:rsid w:val="006619F0"/>
    <w:rsid w:val="006630DD"/>
    <w:rsid w:val="00664503"/>
    <w:rsid w:val="00675834"/>
    <w:rsid w:val="006817B5"/>
    <w:rsid w:val="00685232"/>
    <w:rsid w:val="00687FEC"/>
    <w:rsid w:val="006A2DF0"/>
    <w:rsid w:val="006A4FCF"/>
    <w:rsid w:val="006A5D98"/>
    <w:rsid w:val="006B0029"/>
    <w:rsid w:val="006B7DEA"/>
    <w:rsid w:val="006D433A"/>
    <w:rsid w:val="006E155E"/>
    <w:rsid w:val="006E1B85"/>
    <w:rsid w:val="006E52C5"/>
    <w:rsid w:val="006F039C"/>
    <w:rsid w:val="006F67A6"/>
    <w:rsid w:val="00704381"/>
    <w:rsid w:val="00713E0A"/>
    <w:rsid w:val="00723B56"/>
    <w:rsid w:val="007252C9"/>
    <w:rsid w:val="00732660"/>
    <w:rsid w:val="007427D4"/>
    <w:rsid w:val="0074569A"/>
    <w:rsid w:val="007467A5"/>
    <w:rsid w:val="00747154"/>
    <w:rsid w:val="0074796E"/>
    <w:rsid w:val="007512C4"/>
    <w:rsid w:val="007605B3"/>
    <w:rsid w:val="007619A0"/>
    <w:rsid w:val="00762B87"/>
    <w:rsid w:val="00762C83"/>
    <w:rsid w:val="007634BC"/>
    <w:rsid w:val="00765034"/>
    <w:rsid w:val="0077155F"/>
    <w:rsid w:val="0078675E"/>
    <w:rsid w:val="00793E33"/>
    <w:rsid w:val="007A0557"/>
    <w:rsid w:val="007A3CE8"/>
    <w:rsid w:val="007A5D10"/>
    <w:rsid w:val="007C32C8"/>
    <w:rsid w:val="007C7DF6"/>
    <w:rsid w:val="007D759C"/>
    <w:rsid w:val="007E3B63"/>
    <w:rsid w:val="007E6E89"/>
    <w:rsid w:val="007F57CA"/>
    <w:rsid w:val="007F5F1B"/>
    <w:rsid w:val="008001D0"/>
    <w:rsid w:val="00800539"/>
    <w:rsid w:val="0080211A"/>
    <w:rsid w:val="00805718"/>
    <w:rsid w:val="00805D18"/>
    <w:rsid w:val="008134AA"/>
    <w:rsid w:val="0082113A"/>
    <w:rsid w:val="008214BE"/>
    <w:rsid w:val="00823ECD"/>
    <w:rsid w:val="00832D45"/>
    <w:rsid w:val="00835A39"/>
    <w:rsid w:val="0084085E"/>
    <w:rsid w:val="0084092B"/>
    <w:rsid w:val="00847988"/>
    <w:rsid w:val="00853E8E"/>
    <w:rsid w:val="00862D87"/>
    <w:rsid w:val="00866E11"/>
    <w:rsid w:val="00867BB0"/>
    <w:rsid w:val="0087082D"/>
    <w:rsid w:val="008903F5"/>
    <w:rsid w:val="008A43C2"/>
    <w:rsid w:val="008B18E9"/>
    <w:rsid w:val="008B1CEF"/>
    <w:rsid w:val="008B7C62"/>
    <w:rsid w:val="008D0CF5"/>
    <w:rsid w:val="008D101E"/>
    <w:rsid w:val="008D25D7"/>
    <w:rsid w:val="008D3A0C"/>
    <w:rsid w:val="008F0317"/>
    <w:rsid w:val="008F0BE3"/>
    <w:rsid w:val="008F440E"/>
    <w:rsid w:val="008F4E50"/>
    <w:rsid w:val="00911006"/>
    <w:rsid w:val="00923A93"/>
    <w:rsid w:val="0093081C"/>
    <w:rsid w:val="00931E74"/>
    <w:rsid w:val="0093549F"/>
    <w:rsid w:val="0094324A"/>
    <w:rsid w:val="00946EB7"/>
    <w:rsid w:val="009556D7"/>
    <w:rsid w:val="009601C5"/>
    <w:rsid w:val="0097413A"/>
    <w:rsid w:val="00974A43"/>
    <w:rsid w:val="00976E64"/>
    <w:rsid w:val="0098275A"/>
    <w:rsid w:val="00983953"/>
    <w:rsid w:val="009873A7"/>
    <w:rsid w:val="00991C52"/>
    <w:rsid w:val="009A4AD5"/>
    <w:rsid w:val="009A56D3"/>
    <w:rsid w:val="009B2B7E"/>
    <w:rsid w:val="009B501C"/>
    <w:rsid w:val="009C0AC8"/>
    <w:rsid w:val="009C4357"/>
    <w:rsid w:val="009C558F"/>
    <w:rsid w:val="009E0140"/>
    <w:rsid w:val="009E135F"/>
    <w:rsid w:val="009E71EF"/>
    <w:rsid w:val="009F7ACE"/>
    <w:rsid w:val="00A056E7"/>
    <w:rsid w:val="00A11873"/>
    <w:rsid w:val="00A26FF3"/>
    <w:rsid w:val="00A30047"/>
    <w:rsid w:val="00A4252A"/>
    <w:rsid w:val="00A42744"/>
    <w:rsid w:val="00A438F5"/>
    <w:rsid w:val="00A50150"/>
    <w:rsid w:val="00A56FA3"/>
    <w:rsid w:val="00A706B1"/>
    <w:rsid w:val="00A74541"/>
    <w:rsid w:val="00A74DFF"/>
    <w:rsid w:val="00A75D50"/>
    <w:rsid w:val="00A81DE0"/>
    <w:rsid w:val="00A8382E"/>
    <w:rsid w:val="00A92991"/>
    <w:rsid w:val="00AB60E8"/>
    <w:rsid w:val="00AC02ED"/>
    <w:rsid w:val="00AE1AFE"/>
    <w:rsid w:val="00AE1BF8"/>
    <w:rsid w:val="00B0792A"/>
    <w:rsid w:val="00B11A37"/>
    <w:rsid w:val="00B151BC"/>
    <w:rsid w:val="00B1540C"/>
    <w:rsid w:val="00B3123D"/>
    <w:rsid w:val="00B34F84"/>
    <w:rsid w:val="00B4278C"/>
    <w:rsid w:val="00B4457F"/>
    <w:rsid w:val="00B50831"/>
    <w:rsid w:val="00B52B0A"/>
    <w:rsid w:val="00B54791"/>
    <w:rsid w:val="00B54F4B"/>
    <w:rsid w:val="00B569BC"/>
    <w:rsid w:val="00B61420"/>
    <w:rsid w:val="00B67563"/>
    <w:rsid w:val="00B72E47"/>
    <w:rsid w:val="00B74AC2"/>
    <w:rsid w:val="00B7628C"/>
    <w:rsid w:val="00B8345C"/>
    <w:rsid w:val="00B914A7"/>
    <w:rsid w:val="00B91B9F"/>
    <w:rsid w:val="00B979A6"/>
    <w:rsid w:val="00BA41A3"/>
    <w:rsid w:val="00BB0721"/>
    <w:rsid w:val="00BB40EA"/>
    <w:rsid w:val="00BB4C09"/>
    <w:rsid w:val="00BB65A2"/>
    <w:rsid w:val="00BC26C1"/>
    <w:rsid w:val="00BC6EB5"/>
    <w:rsid w:val="00BD3583"/>
    <w:rsid w:val="00BE0D73"/>
    <w:rsid w:val="00BE30DB"/>
    <w:rsid w:val="00BE562D"/>
    <w:rsid w:val="00BE6FDF"/>
    <w:rsid w:val="00BF1A85"/>
    <w:rsid w:val="00BF21E2"/>
    <w:rsid w:val="00BF5CC6"/>
    <w:rsid w:val="00C1458D"/>
    <w:rsid w:val="00C14BD0"/>
    <w:rsid w:val="00C16014"/>
    <w:rsid w:val="00C16CD0"/>
    <w:rsid w:val="00C16D1A"/>
    <w:rsid w:val="00C1763C"/>
    <w:rsid w:val="00C226B8"/>
    <w:rsid w:val="00C277A4"/>
    <w:rsid w:val="00C4762D"/>
    <w:rsid w:val="00C5023B"/>
    <w:rsid w:val="00C51AD6"/>
    <w:rsid w:val="00C557BF"/>
    <w:rsid w:val="00C565E3"/>
    <w:rsid w:val="00C56678"/>
    <w:rsid w:val="00C5678B"/>
    <w:rsid w:val="00C60962"/>
    <w:rsid w:val="00C728DD"/>
    <w:rsid w:val="00C76919"/>
    <w:rsid w:val="00C849A6"/>
    <w:rsid w:val="00C85896"/>
    <w:rsid w:val="00CC2257"/>
    <w:rsid w:val="00CC2508"/>
    <w:rsid w:val="00CC31BB"/>
    <w:rsid w:val="00CD1B5D"/>
    <w:rsid w:val="00CD56BB"/>
    <w:rsid w:val="00CE126D"/>
    <w:rsid w:val="00CF100A"/>
    <w:rsid w:val="00CF16EA"/>
    <w:rsid w:val="00CF1DF9"/>
    <w:rsid w:val="00CF7B55"/>
    <w:rsid w:val="00D076B6"/>
    <w:rsid w:val="00D10800"/>
    <w:rsid w:val="00D1187B"/>
    <w:rsid w:val="00D20CB2"/>
    <w:rsid w:val="00D25D87"/>
    <w:rsid w:val="00D30A97"/>
    <w:rsid w:val="00D3728F"/>
    <w:rsid w:val="00D45EB8"/>
    <w:rsid w:val="00D504D1"/>
    <w:rsid w:val="00D50DFB"/>
    <w:rsid w:val="00D52F74"/>
    <w:rsid w:val="00D53F6C"/>
    <w:rsid w:val="00D54F7A"/>
    <w:rsid w:val="00D76A54"/>
    <w:rsid w:val="00D84335"/>
    <w:rsid w:val="00D855CD"/>
    <w:rsid w:val="00D9113C"/>
    <w:rsid w:val="00DA14A1"/>
    <w:rsid w:val="00DA3756"/>
    <w:rsid w:val="00DA72C5"/>
    <w:rsid w:val="00DA77BA"/>
    <w:rsid w:val="00DC021F"/>
    <w:rsid w:val="00DC2BF3"/>
    <w:rsid w:val="00DC2F55"/>
    <w:rsid w:val="00DC51D7"/>
    <w:rsid w:val="00DD2399"/>
    <w:rsid w:val="00DE0719"/>
    <w:rsid w:val="00DE5F5F"/>
    <w:rsid w:val="00DF264C"/>
    <w:rsid w:val="00DF3E7B"/>
    <w:rsid w:val="00DF77C7"/>
    <w:rsid w:val="00E01722"/>
    <w:rsid w:val="00E12A61"/>
    <w:rsid w:val="00E16604"/>
    <w:rsid w:val="00E27F96"/>
    <w:rsid w:val="00E447E1"/>
    <w:rsid w:val="00E51001"/>
    <w:rsid w:val="00E52014"/>
    <w:rsid w:val="00E5264B"/>
    <w:rsid w:val="00E5362F"/>
    <w:rsid w:val="00E53AFA"/>
    <w:rsid w:val="00E54C00"/>
    <w:rsid w:val="00E54D1F"/>
    <w:rsid w:val="00E562BA"/>
    <w:rsid w:val="00E56DE3"/>
    <w:rsid w:val="00E60010"/>
    <w:rsid w:val="00E60246"/>
    <w:rsid w:val="00E6166D"/>
    <w:rsid w:val="00E64BC3"/>
    <w:rsid w:val="00E74A1F"/>
    <w:rsid w:val="00E802AE"/>
    <w:rsid w:val="00E924FC"/>
    <w:rsid w:val="00E954A7"/>
    <w:rsid w:val="00EA102B"/>
    <w:rsid w:val="00EA2E4C"/>
    <w:rsid w:val="00EA401F"/>
    <w:rsid w:val="00EB3560"/>
    <w:rsid w:val="00EB7B7F"/>
    <w:rsid w:val="00EC11EC"/>
    <w:rsid w:val="00EE0C14"/>
    <w:rsid w:val="00EE34CA"/>
    <w:rsid w:val="00EE3711"/>
    <w:rsid w:val="00EE39C6"/>
    <w:rsid w:val="00EE4F2C"/>
    <w:rsid w:val="00EF2F9C"/>
    <w:rsid w:val="00F0031C"/>
    <w:rsid w:val="00F11E2F"/>
    <w:rsid w:val="00F141CE"/>
    <w:rsid w:val="00F17D9B"/>
    <w:rsid w:val="00F20616"/>
    <w:rsid w:val="00F27433"/>
    <w:rsid w:val="00F36659"/>
    <w:rsid w:val="00F40DCC"/>
    <w:rsid w:val="00F430A0"/>
    <w:rsid w:val="00F44C8D"/>
    <w:rsid w:val="00F506A3"/>
    <w:rsid w:val="00F527F1"/>
    <w:rsid w:val="00F61BE4"/>
    <w:rsid w:val="00F75FF3"/>
    <w:rsid w:val="00F809DF"/>
    <w:rsid w:val="00F82BA5"/>
    <w:rsid w:val="00FA4806"/>
    <w:rsid w:val="00FC15B4"/>
    <w:rsid w:val="00FD6377"/>
    <w:rsid w:val="00FF5381"/>
    <w:rsid w:val="00FF6AB1"/>
    <w:rsid w:val="00FF7930"/>
    <w:rsid w:val="00FF7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A2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2F3A0E"/>
    <w:rPr>
      <w:color w:val="0563C1" w:themeColor="hyperlink"/>
      <w:u w:val="single"/>
    </w:rPr>
  </w:style>
  <w:style w:type="character" w:styleId="UnresolvedMention">
    <w:name w:val="Unresolved Mention"/>
    <w:basedOn w:val="DefaultParagraphFont"/>
    <w:uiPriority w:val="99"/>
    <w:semiHidden/>
    <w:unhideWhenUsed/>
    <w:rsid w:val="008001D0"/>
    <w:rPr>
      <w:color w:val="605E5C"/>
      <w:shd w:val="clear" w:color="auto" w:fill="E1DFDD"/>
    </w:rPr>
  </w:style>
  <w:style w:type="paragraph" w:styleId="Revision">
    <w:name w:val="Revision"/>
    <w:hidden/>
    <w:uiPriority w:val="99"/>
    <w:semiHidden/>
    <w:rsid w:val="00675834"/>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675834"/>
    <w:rPr>
      <w:sz w:val="16"/>
      <w:szCs w:val="16"/>
    </w:rPr>
  </w:style>
  <w:style w:type="paragraph" w:styleId="CommentText">
    <w:name w:val="annotation text"/>
    <w:basedOn w:val="Normal"/>
    <w:link w:val="CommentTextChar"/>
    <w:uiPriority w:val="99"/>
    <w:semiHidden/>
    <w:unhideWhenUsed/>
    <w:rsid w:val="00675834"/>
    <w:rPr>
      <w:sz w:val="20"/>
      <w:szCs w:val="20"/>
    </w:rPr>
  </w:style>
  <w:style w:type="character" w:customStyle="1" w:styleId="CommentTextChar">
    <w:name w:val="Comment Text Char"/>
    <w:basedOn w:val="DefaultParagraphFont"/>
    <w:link w:val="CommentText"/>
    <w:uiPriority w:val="99"/>
    <w:semiHidden/>
    <w:rsid w:val="0067583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675834"/>
    <w:rPr>
      <w:b/>
      <w:bCs/>
    </w:rPr>
  </w:style>
  <w:style w:type="character" w:customStyle="1" w:styleId="CommentSubjectChar">
    <w:name w:val="Comment Subject Char"/>
    <w:basedOn w:val="CommentTextChar"/>
    <w:link w:val="CommentSubject"/>
    <w:uiPriority w:val="99"/>
    <w:semiHidden/>
    <w:rsid w:val="00675834"/>
    <w:rPr>
      <w:rFonts w:eastAsia="Times New Roman" w:cs="Times New Roman"/>
      <w:b/>
      <w:bCs/>
      <w:sz w:val="20"/>
      <w:szCs w:val="20"/>
      <w:lang w:val="lv-LV" w:eastAsia="ru-RU"/>
    </w:rPr>
  </w:style>
  <w:style w:type="paragraph" w:customStyle="1" w:styleId="tv213">
    <w:name w:val="tv213"/>
    <w:basedOn w:val="Normal"/>
    <w:rsid w:val="003F6EAE"/>
    <w:pPr>
      <w:spacing w:before="100" w:beforeAutospacing="1" w:after="100" w:afterAutospacing="1"/>
    </w:pPr>
    <w:rPr>
      <w:lang w:eastAsia="lv-LV"/>
    </w:rPr>
  </w:style>
  <w:style w:type="character" w:customStyle="1" w:styleId="cf01">
    <w:name w:val="cf01"/>
    <w:basedOn w:val="DefaultParagraphFont"/>
    <w:rsid w:val="00974A43"/>
    <w:rPr>
      <w:rFonts w:ascii="Segoe UI" w:hAnsi="Segoe UI" w:cs="Segoe UI" w:hint="default"/>
      <w:sz w:val="18"/>
      <w:szCs w:val="18"/>
    </w:rPr>
  </w:style>
  <w:style w:type="paragraph" w:customStyle="1" w:styleId="Default">
    <w:name w:val="Default"/>
    <w:rsid w:val="00285171"/>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9446">
      <w:bodyDiv w:val="1"/>
      <w:marLeft w:val="0"/>
      <w:marRight w:val="0"/>
      <w:marTop w:val="0"/>
      <w:marBottom w:val="0"/>
      <w:divBdr>
        <w:top w:val="none" w:sz="0" w:space="0" w:color="auto"/>
        <w:left w:val="none" w:sz="0" w:space="0" w:color="auto"/>
        <w:bottom w:val="none" w:sz="0" w:space="0" w:color="auto"/>
        <w:right w:val="none" w:sz="0" w:space="0" w:color="auto"/>
      </w:divBdr>
    </w:div>
    <w:div w:id="202594794">
      <w:bodyDiv w:val="1"/>
      <w:marLeft w:val="0"/>
      <w:marRight w:val="0"/>
      <w:marTop w:val="0"/>
      <w:marBottom w:val="0"/>
      <w:divBdr>
        <w:top w:val="none" w:sz="0" w:space="0" w:color="auto"/>
        <w:left w:val="none" w:sz="0" w:space="0" w:color="auto"/>
        <w:bottom w:val="none" w:sz="0" w:space="0" w:color="auto"/>
        <w:right w:val="none" w:sz="0" w:space="0" w:color="auto"/>
      </w:divBdr>
    </w:div>
    <w:div w:id="726950294">
      <w:bodyDiv w:val="1"/>
      <w:marLeft w:val="0"/>
      <w:marRight w:val="0"/>
      <w:marTop w:val="0"/>
      <w:marBottom w:val="0"/>
      <w:divBdr>
        <w:top w:val="none" w:sz="0" w:space="0" w:color="auto"/>
        <w:left w:val="none" w:sz="0" w:space="0" w:color="auto"/>
        <w:bottom w:val="none" w:sz="0" w:space="0" w:color="auto"/>
        <w:right w:val="none" w:sz="0" w:space="0" w:color="auto"/>
      </w:divBdr>
    </w:div>
    <w:div w:id="728261848">
      <w:bodyDiv w:val="1"/>
      <w:marLeft w:val="0"/>
      <w:marRight w:val="0"/>
      <w:marTop w:val="0"/>
      <w:marBottom w:val="0"/>
      <w:divBdr>
        <w:top w:val="none" w:sz="0" w:space="0" w:color="auto"/>
        <w:left w:val="none" w:sz="0" w:space="0" w:color="auto"/>
        <w:bottom w:val="none" w:sz="0" w:space="0" w:color="auto"/>
        <w:right w:val="none" w:sz="0" w:space="0" w:color="auto"/>
      </w:divBdr>
    </w:div>
    <w:div w:id="814220637">
      <w:bodyDiv w:val="1"/>
      <w:marLeft w:val="0"/>
      <w:marRight w:val="0"/>
      <w:marTop w:val="0"/>
      <w:marBottom w:val="0"/>
      <w:divBdr>
        <w:top w:val="none" w:sz="0" w:space="0" w:color="auto"/>
        <w:left w:val="none" w:sz="0" w:space="0" w:color="auto"/>
        <w:bottom w:val="none" w:sz="0" w:space="0" w:color="auto"/>
        <w:right w:val="none" w:sz="0" w:space="0" w:color="auto"/>
      </w:divBdr>
    </w:div>
    <w:div w:id="957641163">
      <w:bodyDiv w:val="1"/>
      <w:marLeft w:val="0"/>
      <w:marRight w:val="0"/>
      <w:marTop w:val="0"/>
      <w:marBottom w:val="0"/>
      <w:divBdr>
        <w:top w:val="none" w:sz="0" w:space="0" w:color="auto"/>
        <w:left w:val="none" w:sz="0" w:space="0" w:color="auto"/>
        <w:bottom w:val="none" w:sz="0" w:space="0" w:color="auto"/>
        <w:right w:val="none" w:sz="0" w:space="0" w:color="auto"/>
      </w:divBdr>
    </w:div>
    <w:div w:id="1058747004">
      <w:bodyDiv w:val="1"/>
      <w:marLeft w:val="0"/>
      <w:marRight w:val="0"/>
      <w:marTop w:val="0"/>
      <w:marBottom w:val="0"/>
      <w:divBdr>
        <w:top w:val="none" w:sz="0" w:space="0" w:color="auto"/>
        <w:left w:val="none" w:sz="0" w:space="0" w:color="auto"/>
        <w:bottom w:val="none" w:sz="0" w:space="0" w:color="auto"/>
        <w:right w:val="none" w:sz="0" w:space="0" w:color="auto"/>
      </w:divBdr>
    </w:div>
    <w:div w:id="1256130600">
      <w:bodyDiv w:val="1"/>
      <w:marLeft w:val="0"/>
      <w:marRight w:val="0"/>
      <w:marTop w:val="0"/>
      <w:marBottom w:val="0"/>
      <w:divBdr>
        <w:top w:val="none" w:sz="0" w:space="0" w:color="auto"/>
        <w:left w:val="none" w:sz="0" w:space="0" w:color="auto"/>
        <w:bottom w:val="none" w:sz="0" w:space="0" w:color="auto"/>
        <w:right w:val="none" w:sz="0" w:space="0" w:color="auto"/>
      </w:divBdr>
    </w:div>
    <w:div w:id="1261379910">
      <w:bodyDiv w:val="1"/>
      <w:marLeft w:val="0"/>
      <w:marRight w:val="0"/>
      <w:marTop w:val="0"/>
      <w:marBottom w:val="0"/>
      <w:divBdr>
        <w:top w:val="none" w:sz="0" w:space="0" w:color="auto"/>
        <w:left w:val="none" w:sz="0" w:space="0" w:color="auto"/>
        <w:bottom w:val="none" w:sz="0" w:space="0" w:color="auto"/>
        <w:right w:val="none" w:sz="0" w:space="0" w:color="auto"/>
      </w:divBdr>
    </w:div>
    <w:div w:id="1319844602">
      <w:bodyDiv w:val="1"/>
      <w:marLeft w:val="0"/>
      <w:marRight w:val="0"/>
      <w:marTop w:val="0"/>
      <w:marBottom w:val="0"/>
      <w:divBdr>
        <w:top w:val="none" w:sz="0" w:space="0" w:color="auto"/>
        <w:left w:val="none" w:sz="0" w:space="0" w:color="auto"/>
        <w:bottom w:val="none" w:sz="0" w:space="0" w:color="auto"/>
        <w:right w:val="none" w:sz="0" w:space="0" w:color="auto"/>
      </w:divBdr>
    </w:div>
    <w:div w:id="1323974284">
      <w:bodyDiv w:val="1"/>
      <w:marLeft w:val="0"/>
      <w:marRight w:val="0"/>
      <w:marTop w:val="0"/>
      <w:marBottom w:val="0"/>
      <w:divBdr>
        <w:top w:val="none" w:sz="0" w:space="0" w:color="auto"/>
        <w:left w:val="none" w:sz="0" w:space="0" w:color="auto"/>
        <w:bottom w:val="none" w:sz="0" w:space="0" w:color="auto"/>
        <w:right w:val="none" w:sz="0" w:space="0" w:color="auto"/>
      </w:divBdr>
    </w:div>
    <w:div w:id="1426538069">
      <w:bodyDiv w:val="1"/>
      <w:marLeft w:val="0"/>
      <w:marRight w:val="0"/>
      <w:marTop w:val="0"/>
      <w:marBottom w:val="0"/>
      <w:divBdr>
        <w:top w:val="none" w:sz="0" w:space="0" w:color="auto"/>
        <w:left w:val="none" w:sz="0" w:space="0" w:color="auto"/>
        <w:bottom w:val="none" w:sz="0" w:space="0" w:color="auto"/>
        <w:right w:val="none" w:sz="0" w:space="0" w:color="auto"/>
      </w:divBdr>
    </w:div>
    <w:div w:id="1494641396">
      <w:bodyDiv w:val="1"/>
      <w:marLeft w:val="0"/>
      <w:marRight w:val="0"/>
      <w:marTop w:val="0"/>
      <w:marBottom w:val="0"/>
      <w:divBdr>
        <w:top w:val="none" w:sz="0" w:space="0" w:color="auto"/>
        <w:left w:val="none" w:sz="0" w:space="0" w:color="auto"/>
        <w:bottom w:val="none" w:sz="0" w:space="0" w:color="auto"/>
        <w:right w:val="none" w:sz="0" w:space="0" w:color="auto"/>
      </w:divBdr>
    </w:div>
    <w:div w:id="1704019395">
      <w:bodyDiv w:val="1"/>
      <w:marLeft w:val="0"/>
      <w:marRight w:val="0"/>
      <w:marTop w:val="0"/>
      <w:marBottom w:val="0"/>
      <w:divBdr>
        <w:top w:val="none" w:sz="0" w:space="0" w:color="auto"/>
        <w:left w:val="none" w:sz="0" w:space="0" w:color="auto"/>
        <w:bottom w:val="none" w:sz="0" w:space="0" w:color="auto"/>
        <w:right w:val="none" w:sz="0" w:space="0" w:color="auto"/>
      </w:divBdr>
    </w:div>
    <w:div w:id="1727754432">
      <w:bodyDiv w:val="1"/>
      <w:marLeft w:val="0"/>
      <w:marRight w:val="0"/>
      <w:marTop w:val="0"/>
      <w:marBottom w:val="0"/>
      <w:divBdr>
        <w:top w:val="none" w:sz="0" w:space="0" w:color="auto"/>
        <w:left w:val="none" w:sz="0" w:space="0" w:color="auto"/>
        <w:bottom w:val="none" w:sz="0" w:space="0" w:color="auto"/>
        <w:right w:val="none" w:sz="0" w:space="0" w:color="auto"/>
      </w:divBdr>
    </w:div>
    <w:div w:id="1902713135">
      <w:bodyDiv w:val="1"/>
      <w:marLeft w:val="0"/>
      <w:marRight w:val="0"/>
      <w:marTop w:val="0"/>
      <w:marBottom w:val="0"/>
      <w:divBdr>
        <w:top w:val="none" w:sz="0" w:space="0" w:color="auto"/>
        <w:left w:val="none" w:sz="0" w:space="0" w:color="auto"/>
        <w:bottom w:val="none" w:sz="0" w:space="0" w:color="auto"/>
        <w:right w:val="none" w:sz="0" w:space="0" w:color="auto"/>
      </w:divBdr>
    </w:div>
    <w:div w:id="1972975348">
      <w:bodyDiv w:val="1"/>
      <w:marLeft w:val="0"/>
      <w:marRight w:val="0"/>
      <w:marTop w:val="0"/>
      <w:marBottom w:val="0"/>
      <w:divBdr>
        <w:top w:val="none" w:sz="0" w:space="0" w:color="auto"/>
        <w:left w:val="none" w:sz="0" w:space="0" w:color="auto"/>
        <w:bottom w:val="none" w:sz="0" w:space="0" w:color="auto"/>
        <w:right w:val="none" w:sz="0" w:space="0" w:color="auto"/>
      </w:divBdr>
    </w:div>
    <w:div w:id="2003506684">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73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4:0307.A420267221.21.L" TargetMode="External"/><Relationship Id="rId4" Type="http://schemas.openxmlformats.org/officeDocument/2006/relationships/settings" Target="settings.xml"/><Relationship Id="rId9" Type="http://schemas.openxmlformats.org/officeDocument/2006/relationships/hyperlink" Target="https://manas.tiesas.lv/eTiesasMvc/eclinolemumi/ECLI:LV:AT:2023:0531.A420247221.2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D5800-7891-412D-A215-C2B91CC2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6078</Words>
  <Characters>3466</Characters>
  <Application>Microsoft Office Word</Application>
  <DocSecurity>0</DocSecurity>
  <Lines>28</Lines>
  <Paragraphs>19</Paragraphs>
  <ScaleCrop>false</ScaleCrop>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2024-12-17T19:32:00Z</dcterms:created>
  <dcterms:modified xsi:type="dcterms:W3CDTF">2024-12-17T19:32:00Z</dcterms:modified>
</cp:coreProperties>
</file>