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3973A" w14:textId="626C254F" w:rsidR="00A81DB1" w:rsidRPr="00A81DB1" w:rsidRDefault="00A81DB1" w:rsidP="00A81DB1">
      <w:pPr>
        <w:spacing w:line="276" w:lineRule="auto"/>
        <w:jc w:val="both"/>
        <w:rPr>
          <w:rFonts w:asciiTheme="majorBidi" w:hAnsiTheme="majorBidi" w:cstheme="majorBidi"/>
          <w:b/>
          <w:szCs w:val="24"/>
        </w:rPr>
      </w:pPr>
      <w:r w:rsidRPr="00A81DB1">
        <w:rPr>
          <w:rFonts w:asciiTheme="majorBidi" w:eastAsia="Calibri" w:hAnsiTheme="majorBidi" w:cstheme="majorBidi"/>
          <w:b/>
          <w:bCs/>
          <w:szCs w:val="24"/>
        </w:rPr>
        <w:t>Pierādījumu vērtēšana prasībā atzīt par mantinieku personu, kura noteiktajā termiņā nav atsaukusies uz sludinājumu par mantojuma</w:t>
      </w:r>
      <w:r w:rsidRPr="00A81DB1">
        <w:rPr>
          <w:rFonts w:asciiTheme="majorBidi" w:eastAsia="Calibri" w:hAnsiTheme="majorBidi" w:cstheme="majorBidi"/>
          <w:b/>
          <w:bCs/>
          <w:szCs w:val="24"/>
        </w:rPr>
        <w:t xml:space="preserve"> atklāšanos</w:t>
      </w:r>
    </w:p>
    <w:p w14:paraId="3B42A232" w14:textId="77777777" w:rsidR="00A81DB1" w:rsidRPr="00A81DB1" w:rsidRDefault="00A81DB1" w:rsidP="00A81DB1">
      <w:pPr>
        <w:spacing w:line="276" w:lineRule="auto"/>
        <w:ind w:firstLine="567"/>
        <w:jc w:val="center"/>
        <w:rPr>
          <w:rFonts w:asciiTheme="majorBidi" w:hAnsiTheme="majorBidi" w:cstheme="majorBidi"/>
          <w:b/>
          <w:szCs w:val="24"/>
        </w:rPr>
      </w:pPr>
    </w:p>
    <w:p w14:paraId="232CC66C" w14:textId="3E4D6C5B" w:rsidR="002260F3" w:rsidRPr="00A81DB1" w:rsidRDefault="002260F3" w:rsidP="00A81DB1">
      <w:pPr>
        <w:spacing w:line="276" w:lineRule="auto"/>
        <w:ind w:firstLine="567"/>
        <w:jc w:val="center"/>
        <w:rPr>
          <w:rFonts w:asciiTheme="majorBidi" w:hAnsiTheme="majorBidi" w:cstheme="majorBidi"/>
          <w:b/>
          <w:szCs w:val="24"/>
        </w:rPr>
      </w:pPr>
      <w:r w:rsidRPr="00A81DB1">
        <w:rPr>
          <w:rFonts w:asciiTheme="majorBidi" w:hAnsiTheme="majorBidi" w:cstheme="majorBidi"/>
          <w:b/>
          <w:szCs w:val="24"/>
        </w:rPr>
        <w:t>Latvijas Republikas Senāt</w:t>
      </w:r>
      <w:r w:rsidR="0006458D" w:rsidRPr="00A81DB1">
        <w:rPr>
          <w:rFonts w:asciiTheme="majorBidi" w:hAnsiTheme="majorBidi" w:cstheme="majorBidi"/>
          <w:b/>
          <w:szCs w:val="24"/>
        </w:rPr>
        <w:t>a</w:t>
      </w:r>
    </w:p>
    <w:p w14:paraId="2A2D1797" w14:textId="4BCDDC3B" w:rsidR="0006458D" w:rsidRPr="00A81DB1" w:rsidRDefault="0006458D" w:rsidP="00A81DB1">
      <w:pPr>
        <w:spacing w:line="276" w:lineRule="auto"/>
        <w:ind w:firstLine="568"/>
        <w:jc w:val="center"/>
        <w:rPr>
          <w:rFonts w:asciiTheme="majorBidi" w:hAnsiTheme="majorBidi" w:cstheme="majorBidi"/>
          <w:b/>
          <w:bCs/>
          <w:szCs w:val="24"/>
        </w:rPr>
      </w:pPr>
      <w:r w:rsidRPr="00A81DB1">
        <w:rPr>
          <w:rFonts w:asciiTheme="majorBidi" w:hAnsiTheme="majorBidi" w:cstheme="majorBidi"/>
          <w:b/>
          <w:bCs/>
          <w:szCs w:val="24"/>
        </w:rPr>
        <w:t>Civillietu departamenta</w:t>
      </w:r>
    </w:p>
    <w:p w14:paraId="62EC2E2B" w14:textId="26328A56" w:rsidR="0006458D" w:rsidRPr="00A81DB1" w:rsidRDefault="0006458D" w:rsidP="00A81DB1">
      <w:pPr>
        <w:spacing w:line="276" w:lineRule="auto"/>
        <w:ind w:firstLine="567"/>
        <w:jc w:val="center"/>
        <w:rPr>
          <w:rStyle w:val="SubtleEmphasis"/>
          <w:rFonts w:asciiTheme="majorBidi" w:hAnsiTheme="majorBidi" w:cstheme="majorBidi"/>
          <w:b/>
          <w:bCs/>
          <w:i w:val="0"/>
          <w:iCs w:val="0"/>
          <w:szCs w:val="24"/>
        </w:rPr>
      </w:pPr>
      <w:r w:rsidRPr="00A81DB1">
        <w:rPr>
          <w:rFonts w:asciiTheme="majorBidi" w:hAnsiTheme="majorBidi" w:cstheme="majorBidi"/>
          <w:b/>
          <w:bCs/>
          <w:szCs w:val="24"/>
        </w:rPr>
        <w:t>2024. gada 12. decembra</w:t>
      </w:r>
    </w:p>
    <w:p w14:paraId="07C4EA57" w14:textId="77777777" w:rsidR="002260F3" w:rsidRPr="00A81DB1" w:rsidRDefault="002260F3" w:rsidP="00A81DB1">
      <w:pPr>
        <w:shd w:val="clear" w:color="auto" w:fill="FFFFFF"/>
        <w:spacing w:line="276" w:lineRule="auto"/>
        <w:ind w:firstLine="568"/>
        <w:jc w:val="center"/>
        <w:rPr>
          <w:rFonts w:asciiTheme="majorBidi" w:hAnsiTheme="majorBidi" w:cstheme="majorBidi"/>
          <w:b/>
          <w:bCs/>
          <w:color w:val="000000"/>
          <w:spacing w:val="30"/>
          <w:szCs w:val="24"/>
        </w:rPr>
      </w:pPr>
      <w:r w:rsidRPr="00A81DB1">
        <w:rPr>
          <w:rFonts w:asciiTheme="majorBidi" w:hAnsiTheme="majorBidi" w:cstheme="majorBidi"/>
          <w:b/>
          <w:bCs/>
          <w:color w:val="000000"/>
          <w:spacing w:val="30"/>
          <w:szCs w:val="24"/>
        </w:rPr>
        <w:t>SPRIEDUMS</w:t>
      </w:r>
    </w:p>
    <w:p w14:paraId="1D21FB8C" w14:textId="77777777" w:rsidR="0006458D" w:rsidRPr="00A81DB1" w:rsidRDefault="0006458D" w:rsidP="00A81DB1">
      <w:pPr>
        <w:spacing w:line="276" w:lineRule="auto"/>
        <w:ind w:firstLine="568"/>
        <w:jc w:val="center"/>
        <w:rPr>
          <w:rFonts w:asciiTheme="majorBidi" w:hAnsiTheme="majorBidi" w:cstheme="majorBidi"/>
          <w:b/>
          <w:bCs/>
          <w:szCs w:val="24"/>
        </w:rPr>
      </w:pPr>
      <w:r w:rsidRPr="00A81DB1">
        <w:rPr>
          <w:rFonts w:asciiTheme="majorBidi" w:hAnsiTheme="majorBidi" w:cstheme="majorBidi"/>
          <w:b/>
          <w:bCs/>
          <w:szCs w:val="24"/>
        </w:rPr>
        <w:t>Lieta Nr. C68400421, SKC-55/2024</w:t>
      </w:r>
    </w:p>
    <w:p w14:paraId="3BBBE534" w14:textId="778EDA88" w:rsidR="0006458D" w:rsidRPr="00A81DB1" w:rsidRDefault="0006458D" w:rsidP="00A81DB1">
      <w:pPr>
        <w:spacing w:line="276" w:lineRule="auto"/>
        <w:ind w:firstLine="568"/>
        <w:jc w:val="center"/>
        <w:rPr>
          <w:rFonts w:asciiTheme="majorBidi" w:hAnsiTheme="majorBidi" w:cstheme="majorBidi"/>
          <w:noProof/>
          <w:szCs w:val="24"/>
        </w:rPr>
      </w:pPr>
      <w:hyperlink r:id="rId8" w:history="1">
        <w:r w:rsidRPr="00A81DB1">
          <w:rPr>
            <w:rStyle w:val="Hyperlink"/>
            <w:rFonts w:asciiTheme="majorBidi" w:hAnsiTheme="majorBidi" w:cstheme="majorBidi"/>
            <w:szCs w:val="24"/>
          </w:rPr>
          <w:t>ECLI:LV:AT:2024:1212.C68400421.10.S</w:t>
        </w:r>
      </w:hyperlink>
    </w:p>
    <w:p w14:paraId="285EBB90" w14:textId="1C950D0A" w:rsidR="002260F3" w:rsidRPr="00A81DB1" w:rsidRDefault="002260F3" w:rsidP="00A81DB1">
      <w:pPr>
        <w:spacing w:line="276" w:lineRule="auto"/>
        <w:ind w:firstLine="568"/>
        <w:jc w:val="center"/>
        <w:rPr>
          <w:rFonts w:asciiTheme="majorBidi" w:hAnsiTheme="majorBidi" w:cstheme="majorBidi"/>
          <w:szCs w:val="24"/>
        </w:rPr>
      </w:pPr>
    </w:p>
    <w:p w14:paraId="3608A480" w14:textId="20099F43"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Senāts šādā sastāvā: senatore referente Kristīne Zīle, senatori Normunds Salenieks</w:t>
      </w:r>
      <w:r w:rsidR="009034A7" w:rsidRPr="00A81DB1">
        <w:rPr>
          <w:rFonts w:asciiTheme="majorBidi" w:hAnsiTheme="majorBidi" w:cstheme="majorBidi"/>
          <w:szCs w:val="24"/>
        </w:rPr>
        <w:t xml:space="preserve"> un Marika Senkāne</w:t>
      </w:r>
    </w:p>
    <w:p w14:paraId="049BA57C"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p>
    <w:p w14:paraId="6228377F" w14:textId="51D11E28"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rakstveida procesā izskatīja civillietu sakarā ar </w:t>
      </w:r>
      <w:r w:rsidR="0006458D" w:rsidRPr="00A81DB1">
        <w:rPr>
          <w:rFonts w:asciiTheme="majorBidi" w:hAnsiTheme="majorBidi" w:cstheme="majorBidi"/>
          <w:szCs w:val="24"/>
        </w:rPr>
        <w:t>[pers. A]</w:t>
      </w:r>
      <w:r w:rsidRPr="00A81DB1">
        <w:rPr>
          <w:rFonts w:asciiTheme="majorBidi" w:hAnsiTheme="majorBidi" w:cstheme="majorBidi"/>
          <w:szCs w:val="24"/>
        </w:rPr>
        <w:t xml:space="preserve"> kasācijas sūdzību par Rīgas apgabaltiesas 2022. gada 29. novembra spriedumu </w:t>
      </w:r>
      <w:r w:rsidR="0006458D" w:rsidRPr="00A81DB1">
        <w:rPr>
          <w:rFonts w:asciiTheme="majorBidi" w:hAnsiTheme="majorBidi" w:cstheme="majorBidi"/>
          <w:szCs w:val="24"/>
        </w:rPr>
        <w:t xml:space="preserve">[pers. B] </w:t>
      </w:r>
      <w:r w:rsidRPr="00A81DB1">
        <w:rPr>
          <w:rFonts w:asciiTheme="majorBidi" w:hAnsiTheme="majorBidi" w:cstheme="majorBidi"/>
          <w:szCs w:val="24"/>
        </w:rPr>
        <w:t xml:space="preserve">prasībā pret </w:t>
      </w:r>
      <w:r w:rsidR="0006458D" w:rsidRPr="00A81DB1">
        <w:rPr>
          <w:rFonts w:asciiTheme="majorBidi" w:hAnsiTheme="majorBidi" w:cstheme="majorBidi"/>
          <w:szCs w:val="24"/>
        </w:rPr>
        <w:t xml:space="preserve">[pers. A] </w:t>
      </w:r>
      <w:r w:rsidRPr="00A81DB1">
        <w:rPr>
          <w:rFonts w:asciiTheme="majorBidi" w:hAnsiTheme="majorBidi" w:cstheme="majorBidi"/>
          <w:szCs w:val="24"/>
        </w:rPr>
        <w:t>par mantojuma apliecības atzīšanu par spēkā neesošu un īpašuma tiesību atzīšanu.</w:t>
      </w:r>
    </w:p>
    <w:p w14:paraId="5BAAF2F3" w14:textId="77777777" w:rsidR="006E5E0C" w:rsidRPr="00A81DB1" w:rsidRDefault="006E5E0C" w:rsidP="00A81DB1">
      <w:pPr>
        <w:spacing w:line="276" w:lineRule="auto"/>
        <w:jc w:val="center"/>
        <w:rPr>
          <w:rFonts w:asciiTheme="majorBidi" w:hAnsiTheme="majorBidi" w:cstheme="majorBidi"/>
          <w:b/>
          <w:szCs w:val="24"/>
        </w:rPr>
      </w:pPr>
    </w:p>
    <w:p w14:paraId="3BE5FED8" w14:textId="37AF505E" w:rsidR="002260F3" w:rsidRPr="00A81DB1" w:rsidRDefault="002260F3" w:rsidP="00A81DB1">
      <w:pPr>
        <w:spacing w:line="276" w:lineRule="auto"/>
        <w:jc w:val="center"/>
        <w:rPr>
          <w:rFonts w:asciiTheme="majorBidi" w:hAnsiTheme="majorBidi" w:cstheme="majorBidi"/>
          <w:b/>
          <w:szCs w:val="24"/>
        </w:rPr>
      </w:pPr>
      <w:r w:rsidRPr="00A81DB1">
        <w:rPr>
          <w:rFonts w:asciiTheme="majorBidi" w:hAnsiTheme="majorBidi" w:cstheme="majorBidi"/>
          <w:b/>
          <w:szCs w:val="24"/>
        </w:rPr>
        <w:t>Aprakstošā daļa</w:t>
      </w:r>
    </w:p>
    <w:p w14:paraId="016E7A0A" w14:textId="77777777" w:rsidR="002260F3" w:rsidRPr="00A81DB1" w:rsidRDefault="002260F3" w:rsidP="00A81DB1">
      <w:pPr>
        <w:spacing w:line="276" w:lineRule="auto"/>
        <w:jc w:val="center"/>
        <w:rPr>
          <w:rFonts w:asciiTheme="majorBidi" w:hAnsiTheme="majorBidi" w:cstheme="majorBidi"/>
          <w:b/>
          <w:szCs w:val="24"/>
        </w:rPr>
      </w:pPr>
    </w:p>
    <w:p w14:paraId="064C95BF" w14:textId="7A800E00"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A81DB1">
        <w:rPr>
          <w:rFonts w:asciiTheme="majorBidi" w:hAnsiTheme="majorBidi" w:cstheme="majorBidi"/>
          <w:szCs w:val="24"/>
        </w:rPr>
        <w:t>[1] </w:t>
      </w:r>
      <w:r w:rsidR="0006458D" w:rsidRPr="00A81DB1">
        <w:rPr>
          <w:rFonts w:asciiTheme="majorBidi" w:hAnsiTheme="majorBidi" w:cstheme="majorBidi"/>
          <w:szCs w:val="24"/>
        </w:rPr>
        <w:t xml:space="preserve">[Pers. B] </w:t>
      </w:r>
      <w:r w:rsidRPr="00A81DB1">
        <w:rPr>
          <w:rFonts w:asciiTheme="majorBidi" w:eastAsiaTheme="minorHAnsi" w:hAnsiTheme="majorBidi" w:cstheme="majorBidi"/>
          <w:szCs w:val="24"/>
          <w:lang w:eastAsia="en-US"/>
        </w:rPr>
        <w:t xml:space="preserve">cēlis tiesā prasību pret </w:t>
      </w:r>
      <w:r w:rsidR="0006458D" w:rsidRPr="00A81DB1">
        <w:rPr>
          <w:rFonts w:asciiTheme="majorBidi" w:hAnsiTheme="majorBidi" w:cstheme="majorBidi"/>
          <w:szCs w:val="24"/>
        </w:rPr>
        <w:t>[pers. A]</w:t>
      </w:r>
      <w:r w:rsidRPr="00A81DB1">
        <w:rPr>
          <w:rFonts w:asciiTheme="majorBidi" w:eastAsiaTheme="minorHAnsi" w:hAnsiTheme="majorBidi" w:cstheme="majorBidi"/>
          <w:szCs w:val="24"/>
          <w:lang w:eastAsia="en-US"/>
        </w:rPr>
        <w:t>, kurā lūdzis atzīt:</w:t>
      </w:r>
    </w:p>
    <w:p w14:paraId="43197822"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1) prasītāju par mantojuma atstājēja pirmās šķiras mantinieku; </w:t>
      </w:r>
    </w:p>
    <w:p w14:paraId="43229B15" w14:textId="5731908B"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2) prasītāja tiesības uz pusi no tēva atstātā mantojuma, izdodot viņam </w:t>
      </w:r>
      <w:r w:rsidRPr="00A81DB1">
        <w:rPr>
          <w:rFonts w:asciiTheme="majorBidi" w:hAnsiTheme="majorBidi" w:cstheme="majorBidi"/>
          <w:szCs w:val="24"/>
        </w:rPr>
        <w:br/>
        <w:t xml:space="preserve">½ domājamo daļu no dzīvokļa īpašuma </w:t>
      </w:r>
      <w:r w:rsidR="006E5E0C" w:rsidRPr="00A81DB1">
        <w:rPr>
          <w:rFonts w:asciiTheme="majorBidi" w:hAnsiTheme="majorBidi" w:cstheme="majorBidi"/>
          <w:szCs w:val="24"/>
        </w:rPr>
        <w:t>[adrese]</w:t>
      </w:r>
      <w:r w:rsidRPr="00A81DB1">
        <w:rPr>
          <w:rFonts w:asciiTheme="majorBidi" w:hAnsiTheme="majorBidi" w:cstheme="majorBidi"/>
          <w:szCs w:val="24"/>
        </w:rPr>
        <w:t xml:space="preserve">; </w:t>
      </w:r>
    </w:p>
    <w:p w14:paraId="21A45058"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3) par spēkā neesošu 2019. gada 14. oktobrī atbildētājai izdoto mantojuma apliecību daļā, ar kuru viņa apstiprināta mantojuma tiesībās uz visu mantojumu, atzīstot prasītāja īpašuma tiesības uz ½ domājamo daļu no dzīvokļa, dzēšot zemesgrāmatā attiecīgu ierakstu par atbildētājas īpašuma tiesībām.</w:t>
      </w:r>
    </w:p>
    <w:p w14:paraId="37AB0009"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Prasība pamatota ar šādiem apstākļiem.</w:t>
      </w:r>
    </w:p>
    <w:p w14:paraId="362D185C" w14:textId="052BDBFA"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[1.1] Prasītāja tēva </w:t>
      </w:r>
      <w:r w:rsidR="0006458D" w:rsidRPr="00A81DB1">
        <w:rPr>
          <w:rFonts w:asciiTheme="majorBidi" w:hAnsiTheme="majorBidi" w:cstheme="majorBidi"/>
          <w:szCs w:val="24"/>
        </w:rPr>
        <w:t xml:space="preserve">[pers. C] </w:t>
      </w:r>
      <w:r w:rsidRPr="00A81DB1">
        <w:rPr>
          <w:rFonts w:asciiTheme="majorBidi" w:hAnsiTheme="majorBidi" w:cstheme="majorBidi"/>
          <w:szCs w:val="24"/>
        </w:rPr>
        <w:t xml:space="preserve">mantojums atklājies </w:t>
      </w:r>
      <w:r w:rsidR="006E5E0C" w:rsidRPr="00A81DB1">
        <w:rPr>
          <w:rFonts w:asciiTheme="majorBidi" w:hAnsiTheme="majorBidi" w:cstheme="majorBidi"/>
          <w:szCs w:val="24"/>
        </w:rPr>
        <w:t>[datums]</w:t>
      </w:r>
      <w:r w:rsidRPr="00A81DB1">
        <w:rPr>
          <w:rFonts w:asciiTheme="majorBidi" w:hAnsiTheme="majorBidi" w:cstheme="majorBidi"/>
          <w:szCs w:val="24"/>
        </w:rPr>
        <w:t xml:space="preserve">, un mantojuma masā ietilpa dzīvokļa īpašums </w:t>
      </w:r>
      <w:r w:rsidR="006E5E0C" w:rsidRPr="00A81DB1">
        <w:rPr>
          <w:rFonts w:asciiTheme="majorBidi" w:hAnsiTheme="majorBidi" w:cstheme="majorBidi"/>
          <w:szCs w:val="24"/>
        </w:rPr>
        <w:t>[adrese]</w:t>
      </w:r>
      <w:r w:rsidRPr="00A81DB1">
        <w:rPr>
          <w:rFonts w:asciiTheme="majorBidi" w:hAnsiTheme="majorBidi" w:cstheme="majorBidi"/>
          <w:szCs w:val="24"/>
        </w:rPr>
        <w:t xml:space="preserve">, kā arī naudas līdzekļi bankas norēķinu kontā 0,23 </w:t>
      </w:r>
      <w:r w:rsidRPr="00A81DB1">
        <w:rPr>
          <w:rFonts w:asciiTheme="majorBidi" w:hAnsiTheme="majorBidi" w:cstheme="majorBidi"/>
          <w:i/>
          <w:iCs/>
          <w:szCs w:val="24"/>
        </w:rPr>
        <w:t>euro</w:t>
      </w:r>
      <w:r w:rsidRPr="00A81DB1">
        <w:rPr>
          <w:rFonts w:asciiTheme="majorBidi" w:hAnsiTheme="majorBidi" w:cstheme="majorBidi"/>
          <w:szCs w:val="24"/>
        </w:rPr>
        <w:t xml:space="preserve">. </w:t>
      </w:r>
    </w:p>
    <w:p w14:paraId="7B0C5903" w14:textId="55C04843"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Mantojuma tiesībās uz visu </w:t>
      </w:r>
      <w:r w:rsidR="0006458D" w:rsidRPr="00A81DB1">
        <w:rPr>
          <w:rFonts w:asciiTheme="majorBidi" w:hAnsiTheme="majorBidi" w:cstheme="majorBidi"/>
          <w:szCs w:val="24"/>
        </w:rPr>
        <w:t xml:space="preserve">[pers. C] </w:t>
      </w:r>
      <w:r w:rsidRPr="00A81DB1">
        <w:rPr>
          <w:rFonts w:asciiTheme="majorBidi" w:hAnsiTheme="majorBidi" w:cstheme="majorBidi"/>
          <w:szCs w:val="24"/>
        </w:rPr>
        <w:t xml:space="preserve">atstāto mantojumu 2019. gada 14. oktobrī apstiprināta viņa pārdzīvojusī laulātā (atbildētāja). Par tēva nāvi prasītājam kļuvis zināms 2021. gada aprīlī. Vēršoties pie zvērināta notāra, prasītājs noskaidrojis, ka mantojuma lieta ir pabeigta. </w:t>
      </w:r>
    </w:p>
    <w:p w14:paraId="23BFAEE5" w14:textId="645F81F4"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[1.2] Atbildētāja 2018. gada 4. decembra iesniegumā par mantojuma pieņemšanu un apstiprināšanos mantojuma tiesībās norādījusi, ka mantojuma atstājējam ir dēls, kura atrašanās vieta </w:t>
      </w:r>
      <w:r w:rsidR="006C6124" w:rsidRPr="00A81DB1">
        <w:rPr>
          <w:rFonts w:asciiTheme="majorBidi" w:hAnsiTheme="majorBidi" w:cstheme="majorBidi"/>
          <w:szCs w:val="24"/>
        </w:rPr>
        <w:t xml:space="preserve">viņai </w:t>
      </w:r>
      <w:r w:rsidRPr="00A81DB1">
        <w:rPr>
          <w:rFonts w:asciiTheme="majorBidi" w:hAnsiTheme="majorBidi" w:cstheme="majorBidi"/>
          <w:szCs w:val="24"/>
        </w:rPr>
        <w:t>nav zināma. Atbildētājai bijis pieejams prasītāja tālruņa numurs, tāpat ziņas par prasītāja deklarēto dzīvesvietu</w:t>
      </w:r>
      <w:r w:rsidR="006C6124" w:rsidRPr="00A81DB1">
        <w:rPr>
          <w:rFonts w:asciiTheme="majorBidi" w:hAnsiTheme="majorBidi" w:cstheme="majorBidi"/>
          <w:szCs w:val="24"/>
        </w:rPr>
        <w:t xml:space="preserve"> ir atrodamas iedzīvotāju reģistrā</w:t>
      </w:r>
      <w:r w:rsidRPr="00A81DB1">
        <w:rPr>
          <w:rFonts w:asciiTheme="majorBidi" w:hAnsiTheme="majorBidi" w:cstheme="majorBidi"/>
          <w:szCs w:val="24"/>
        </w:rPr>
        <w:t xml:space="preserve">. Nenorādot iespējamo veidu, kādā būtu meklējams līdzmantinieks, atbildētāja vēlējusies iegūt visu mantojumu slepenībā no prasītāja. </w:t>
      </w:r>
    </w:p>
    <w:p w14:paraId="0BA542C3"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Mantojuma atstājējs nebija sastādījis nedz testamentu, nedz noslēdzis mantojuma līgumu, tādējādi prasītājs ir atzīstams par pirmās šķiras mantinieku un līdzmantinieku, kā arī ir tiesīgs prasīt izdot viņam pienākošos mantojuma daļu, kuru atbildētāja ir ieguvusi prettiesiski.</w:t>
      </w:r>
    </w:p>
    <w:p w14:paraId="5DFEF5D3" w14:textId="77777777" w:rsidR="002260F3" w:rsidRPr="00A81DB1" w:rsidRDefault="002260F3" w:rsidP="00A81DB1">
      <w:pPr>
        <w:autoSpaceDE w:val="0"/>
        <w:autoSpaceDN w:val="0"/>
        <w:adjustRightInd w:val="0"/>
        <w:spacing w:line="276" w:lineRule="auto"/>
        <w:ind w:firstLine="709"/>
        <w:rPr>
          <w:rFonts w:asciiTheme="majorBidi" w:hAnsiTheme="majorBidi" w:cstheme="majorBidi"/>
          <w:szCs w:val="24"/>
        </w:rPr>
      </w:pPr>
    </w:p>
    <w:p w14:paraId="19298854" w14:textId="77777777" w:rsidR="002260F3" w:rsidRPr="00A81DB1" w:rsidRDefault="002260F3" w:rsidP="00A81DB1">
      <w:pPr>
        <w:autoSpaceDE w:val="0"/>
        <w:autoSpaceDN w:val="0"/>
        <w:adjustRightInd w:val="0"/>
        <w:spacing w:line="276" w:lineRule="auto"/>
        <w:ind w:firstLine="709"/>
        <w:jc w:val="both"/>
        <w:rPr>
          <w:rFonts w:asciiTheme="majorBidi" w:hAnsiTheme="majorBidi" w:cstheme="majorBidi"/>
          <w:szCs w:val="24"/>
        </w:rPr>
      </w:pPr>
      <w:bookmarkStart w:id="0" w:name="_Hlk183178378"/>
      <w:r w:rsidRPr="00A81DB1">
        <w:rPr>
          <w:rFonts w:asciiTheme="majorBidi" w:hAnsiTheme="majorBidi" w:cstheme="majorBidi"/>
          <w:szCs w:val="24"/>
        </w:rPr>
        <w:lastRenderedPageBreak/>
        <w:t>[2] Ar Rīgas pilsētas Pārdaugavas tiesas 2022. gada 30. jūnija spriedumu prasība noraidīta, jo prasītājs ir nokavējis uzaicinājumā nolikto termiņu pieņemt viņam piekritušo mantojumu, nav izteicis noteiktā termiņā savu gribu to pieņemt, tādējādi atzīstams, ka prasītājs mantojumu ir atraidījis.</w:t>
      </w:r>
    </w:p>
    <w:bookmarkEnd w:id="0"/>
    <w:p w14:paraId="695FCED6" w14:textId="77777777" w:rsidR="002260F3" w:rsidRPr="00A81DB1" w:rsidRDefault="002260F3" w:rsidP="00A81DB1">
      <w:pPr>
        <w:pStyle w:val="ListParagraph"/>
        <w:autoSpaceDE w:val="0"/>
        <w:autoSpaceDN w:val="0"/>
        <w:adjustRightInd w:val="0"/>
        <w:spacing w:after="0" w:line="276" w:lineRule="auto"/>
        <w:ind w:left="0" w:firstLine="709"/>
        <w:jc w:val="both"/>
        <w:rPr>
          <w:rFonts w:asciiTheme="majorBidi" w:eastAsia="Times New Roman" w:hAnsiTheme="majorBidi" w:cstheme="majorBidi"/>
          <w:szCs w:val="24"/>
          <w:lang w:eastAsia="lv-LV"/>
        </w:rPr>
      </w:pPr>
    </w:p>
    <w:p w14:paraId="1B8EDD28" w14:textId="095247C2"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eastAsiaTheme="minorHAnsi" w:hAnsiTheme="majorBidi" w:cstheme="majorBidi"/>
          <w:color w:val="000000"/>
          <w:szCs w:val="24"/>
          <w:lang w:eastAsia="en-US"/>
        </w:rPr>
        <w:t xml:space="preserve">[3] Izskatījusi lietu sakarā ar </w:t>
      </w:r>
      <w:r w:rsidR="0006458D" w:rsidRPr="00A81DB1">
        <w:rPr>
          <w:rFonts w:asciiTheme="majorBidi" w:hAnsiTheme="majorBidi" w:cstheme="majorBidi"/>
          <w:szCs w:val="24"/>
        </w:rPr>
        <w:t xml:space="preserve">[pers. B] </w:t>
      </w:r>
      <w:r w:rsidRPr="00A81DB1">
        <w:rPr>
          <w:rFonts w:asciiTheme="majorBidi" w:eastAsiaTheme="minorHAnsi" w:hAnsiTheme="majorBidi" w:cstheme="majorBidi"/>
          <w:color w:val="000000"/>
          <w:szCs w:val="24"/>
          <w:lang w:eastAsia="en-US"/>
        </w:rPr>
        <w:t>apelācijas sūdzību Rīgas apgabaltiesa ar 2022. gada 29. novembra spriedumu prasību apmierinājusi.</w:t>
      </w:r>
    </w:p>
    <w:p w14:paraId="52C71335" w14:textId="0301C5B1" w:rsidR="002260F3" w:rsidRPr="00A81DB1" w:rsidRDefault="0006458D"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hAnsiTheme="majorBidi" w:cstheme="majorBidi"/>
          <w:szCs w:val="24"/>
        </w:rPr>
        <w:t xml:space="preserve">[Pers. B] </w:t>
      </w:r>
      <w:r w:rsidR="002260F3" w:rsidRPr="00A81DB1">
        <w:rPr>
          <w:rFonts w:asciiTheme="majorBidi" w:eastAsiaTheme="minorHAnsi" w:hAnsiTheme="majorBidi" w:cstheme="majorBidi"/>
          <w:color w:val="000000"/>
          <w:szCs w:val="24"/>
          <w:lang w:eastAsia="en-US"/>
        </w:rPr>
        <w:t xml:space="preserve">atzīts par </w:t>
      </w:r>
      <w:r w:rsidRPr="00A81DB1">
        <w:rPr>
          <w:rFonts w:asciiTheme="majorBidi" w:hAnsiTheme="majorBidi" w:cstheme="majorBidi"/>
          <w:szCs w:val="24"/>
        </w:rPr>
        <w:t xml:space="preserve">[pers. C] </w:t>
      </w:r>
      <w:r w:rsidR="002260F3" w:rsidRPr="00A81DB1">
        <w:rPr>
          <w:rFonts w:asciiTheme="majorBidi" w:eastAsiaTheme="minorHAnsi" w:hAnsiTheme="majorBidi" w:cstheme="majorBidi"/>
          <w:color w:val="000000"/>
          <w:szCs w:val="24"/>
          <w:lang w:eastAsia="en-US"/>
        </w:rPr>
        <w:t xml:space="preserve">pirmās šķiras mantinieku, apstiprinot viņu mantojuma tiesībās uz pusi no </w:t>
      </w:r>
      <w:r w:rsidRPr="00A81DB1">
        <w:rPr>
          <w:rFonts w:asciiTheme="majorBidi" w:hAnsiTheme="majorBidi" w:cstheme="majorBidi"/>
          <w:szCs w:val="24"/>
        </w:rPr>
        <w:t xml:space="preserve">[pers. C] </w:t>
      </w:r>
      <w:r w:rsidR="002260F3" w:rsidRPr="00A81DB1">
        <w:rPr>
          <w:rFonts w:asciiTheme="majorBidi" w:eastAsiaTheme="minorHAnsi" w:hAnsiTheme="majorBidi" w:cstheme="majorBidi"/>
          <w:color w:val="000000"/>
          <w:szCs w:val="24"/>
          <w:lang w:eastAsia="en-US"/>
        </w:rPr>
        <w:t xml:space="preserve">atstātā mantojuma un izdodot viņam pienākošos mantojuma daļu – ½ domājamo daļu no dzīvokļa </w:t>
      </w:r>
      <w:r w:rsidR="006E5E0C" w:rsidRPr="00A81DB1">
        <w:rPr>
          <w:rFonts w:asciiTheme="majorBidi" w:eastAsiaTheme="minorHAnsi" w:hAnsiTheme="majorBidi" w:cstheme="majorBidi"/>
          <w:color w:val="000000"/>
          <w:szCs w:val="24"/>
          <w:lang w:eastAsia="en-US"/>
        </w:rPr>
        <w:t>[adrese]</w:t>
      </w:r>
      <w:r w:rsidR="002260F3" w:rsidRPr="00A81DB1">
        <w:rPr>
          <w:rFonts w:asciiTheme="majorBidi" w:eastAsiaTheme="minorHAnsi" w:hAnsiTheme="majorBidi" w:cstheme="majorBidi"/>
          <w:color w:val="000000"/>
          <w:szCs w:val="24"/>
          <w:lang w:eastAsia="en-US"/>
        </w:rPr>
        <w:t>.</w:t>
      </w:r>
    </w:p>
    <w:p w14:paraId="3A38C3A0" w14:textId="72CA548B"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eastAsiaTheme="minorHAnsi" w:hAnsiTheme="majorBidi" w:cstheme="majorBidi"/>
          <w:color w:val="000000"/>
          <w:szCs w:val="24"/>
          <w:lang w:eastAsia="en-US"/>
        </w:rPr>
        <w:t xml:space="preserve">Atzīta par spēkā neesošu daļā 2019. gada 14. oktobra mantojuma apliecība, ar kuru mantojuma tiesībās uz visu </w:t>
      </w:r>
      <w:r w:rsidR="0006458D" w:rsidRPr="00A81DB1">
        <w:rPr>
          <w:rFonts w:asciiTheme="majorBidi" w:hAnsiTheme="majorBidi" w:cstheme="majorBidi"/>
          <w:szCs w:val="24"/>
        </w:rPr>
        <w:t xml:space="preserve">[pers. C] </w:t>
      </w:r>
      <w:r w:rsidRPr="00A81DB1">
        <w:rPr>
          <w:rFonts w:asciiTheme="majorBidi" w:eastAsiaTheme="minorHAnsi" w:hAnsiTheme="majorBidi" w:cstheme="majorBidi"/>
          <w:color w:val="000000"/>
          <w:szCs w:val="24"/>
          <w:lang w:eastAsia="en-US"/>
        </w:rPr>
        <w:t xml:space="preserve">atstāto mantojumu apstiprināta </w:t>
      </w:r>
      <w:r w:rsidR="0006458D" w:rsidRPr="00A81DB1">
        <w:rPr>
          <w:rFonts w:asciiTheme="majorBidi" w:hAnsiTheme="majorBidi" w:cstheme="majorBidi"/>
          <w:szCs w:val="24"/>
        </w:rPr>
        <w:t>[pers. A]</w:t>
      </w:r>
      <w:r w:rsidRPr="00A81DB1">
        <w:rPr>
          <w:rFonts w:asciiTheme="majorBidi" w:eastAsiaTheme="minorHAnsi" w:hAnsiTheme="majorBidi" w:cstheme="majorBidi"/>
          <w:color w:val="000000"/>
          <w:szCs w:val="24"/>
          <w:lang w:eastAsia="en-US"/>
        </w:rPr>
        <w:t xml:space="preserve">, vienlaikus atzīstot </w:t>
      </w:r>
      <w:r w:rsidR="0006458D" w:rsidRPr="00A81DB1">
        <w:rPr>
          <w:rFonts w:asciiTheme="majorBidi" w:hAnsiTheme="majorBidi" w:cstheme="majorBidi"/>
          <w:szCs w:val="24"/>
        </w:rPr>
        <w:t xml:space="preserve">[pers. B] </w:t>
      </w:r>
      <w:r w:rsidRPr="00A81DB1">
        <w:rPr>
          <w:rFonts w:asciiTheme="majorBidi" w:eastAsiaTheme="minorHAnsi" w:hAnsiTheme="majorBidi" w:cstheme="majorBidi"/>
          <w:color w:val="000000"/>
          <w:szCs w:val="24"/>
          <w:lang w:eastAsia="en-US"/>
        </w:rPr>
        <w:t xml:space="preserve">īpašuma tiesības uz ½ domājamo daļu no dzīvokļa īpašuma, dzēšot zemesgrāmatā ierakstu par </w:t>
      </w:r>
      <w:r w:rsidR="0006458D" w:rsidRPr="00A81DB1">
        <w:rPr>
          <w:rFonts w:asciiTheme="majorBidi" w:hAnsiTheme="majorBidi" w:cstheme="majorBidi"/>
          <w:szCs w:val="24"/>
        </w:rPr>
        <w:t xml:space="preserve">[pers. A] </w:t>
      </w:r>
      <w:r w:rsidRPr="00A81DB1">
        <w:rPr>
          <w:rFonts w:asciiTheme="majorBidi" w:eastAsiaTheme="minorHAnsi" w:hAnsiTheme="majorBidi" w:cstheme="majorBidi"/>
          <w:color w:val="000000"/>
          <w:szCs w:val="24"/>
          <w:lang w:eastAsia="en-US"/>
        </w:rPr>
        <w:t>īpašuma tiesībām uz ½ domājamo daļu.</w:t>
      </w:r>
    </w:p>
    <w:p w14:paraId="2EB5B621" w14:textId="77777777"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A81DB1">
        <w:rPr>
          <w:rFonts w:asciiTheme="majorBidi" w:eastAsiaTheme="minorHAnsi" w:hAnsiTheme="majorBidi" w:cstheme="majorBidi"/>
          <w:szCs w:val="24"/>
          <w:lang w:eastAsia="en-US"/>
        </w:rPr>
        <w:t>Spriedums pamatots ar šādiem motīviem.</w:t>
      </w:r>
    </w:p>
    <w:p w14:paraId="0C18E423" w14:textId="68AA536D"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A81DB1">
        <w:rPr>
          <w:rFonts w:asciiTheme="majorBidi" w:eastAsiaTheme="minorHAnsi" w:hAnsiTheme="majorBidi" w:cstheme="majorBidi"/>
          <w:color w:val="000000"/>
          <w:szCs w:val="24"/>
          <w:lang w:eastAsia="en-US"/>
        </w:rPr>
        <w:t>[3.1] </w:t>
      </w:r>
      <w:r w:rsidRPr="00A81DB1">
        <w:rPr>
          <w:rFonts w:asciiTheme="majorBidi" w:eastAsiaTheme="minorHAnsi" w:hAnsiTheme="majorBidi" w:cstheme="majorBidi"/>
          <w:szCs w:val="24"/>
          <w:lang w:eastAsia="en-US"/>
        </w:rPr>
        <w:t xml:space="preserve">Civillikuma 693. pants noteic mantojuma pieņemšanu un termiņus, kā arī </w:t>
      </w:r>
      <w:r w:rsidR="00CA6436" w:rsidRPr="00A81DB1">
        <w:rPr>
          <w:rFonts w:asciiTheme="majorBidi" w:eastAsiaTheme="minorHAnsi" w:hAnsiTheme="majorBidi" w:cstheme="majorBidi"/>
          <w:szCs w:val="24"/>
          <w:lang w:eastAsia="en-US"/>
        </w:rPr>
        <w:t xml:space="preserve">paredz, ka mantojuma </w:t>
      </w:r>
      <w:r w:rsidR="005336E8" w:rsidRPr="00A81DB1">
        <w:rPr>
          <w:rFonts w:asciiTheme="majorBidi" w:eastAsiaTheme="minorHAnsi" w:hAnsiTheme="majorBidi" w:cstheme="majorBidi"/>
          <w:szCs w:val="24"/>
          <w:lang w:eastAsia="en-US"/>
        </w:rPr>
        <w:t xml:space="preserve">atklāšanās </w:t>
      </w:r>
      <w:r w:rsidR="00CA6436" w:rsidRPr="00A81DB1">
        <w:rPr>
          <w:rFonts w:asciiTheme="majorBidi" w:eastAsiaTheme="minorHAnsi" w:hAnsiTheme="majorBidi" w:cstheme="majorBidi"/>
          <w:szCs w:val="24"/>
          <w:lang w:eastAsia="en-US"/>
        </w:rPr>
        <w:t>ir izsludinām</w:t>
      </w:r>
      <w:r w:rsidR="005336E8" w:rsidRPr="00A81DB1">
        <w:rPr>
          <w:rFonts w:asciiTheme="majorBidi" w:eastAsiaTheme="minorHAnsi" w:hAnsiTheme="majorBidi" w:cstheme="majorBidi"/>
          <w:szCs w:val="24"/>
          <w:lang w:eastAsia="en-US"/>
        </w:rPr>
        <w:t>a</w:t>
      </w:r>
      <w:r w:rsidR="00CA6436" w:rsidRPr="00A81DB1">
        <w:rPr>
          <w:rFonts w:asciiTheme="majorBidi" w:eastAsiaTheme="minorHAnsi" w:hAnsiTheme="majorBidi" w:cstheme="majorBidi"/>
          <w:szCs w:val="24"/>
          <w:lang w:eastAsia="en-US"/>
        </w:rPr>
        <w:t>, ja mantinieki nav zināmi.</w:t>
      </w:r>
      <w:r w:rsidRPr="00A81DB1">
        <w:rPr>
          <w:rFonts w:asciiTheme="majorBidi" w:eastAsiaTheme="minorHAnsi" w:hAnsiTheme="majorBidi" w:cstheme="majorBidi"/>
          <w:szCs w:val="24"/>
          <w:lang w:eastAsia="en-US"/>
        </w:rPr>
        <w:t xml:space="preserve"> Lūdzot izsludināt mantojuma atklāšanos, atbilstoši Notariāla likuma 296. panta 2. punktam iesniegumā notāram atbildētājai bija jānorāda lietā ieinteresētās personas, kas pieteicējai zināmas, un šo personu dzīvesvieta, ko atbildētāja nav pienācīgi izpildījusi.</w:t>
      </w:r>
    </w:p>
    <w:p w14:paraId="31F4C584" w14:textId="73FD81B3"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A81DB1">
        <w:rPr>
          <w:rFonts w:asciiTheme="majorBidi" w:eastAsiaTheme="minorHAnsi" w:hAnsiTheme="majorBidi" w:cstheme="majorBidi"/>
          <w:szCs w:val="24"/>
          <w:lang w:eastAsia="en-US"/>
        </w:rPr>
        <w:t xml:space="preserve">Lai gan oficiālajā izdevumā „Latvijas Vēstnesis” publikācijā noteiktais termiņš mantiniekiem paust savu gribu bija gandrīz 10 mēneši (līdz 2019. gada </w:t>
      </w:r>
      <w:r w:rsidR="006E5E0C" w:rsidRPr="00A81DB1">
        <w:rPr>
          <w:rFonts w:asciiTheme="majorBidi" w:eastAsiaTheme="minorHAnsi" w:hAnsiTheme="majorBidi" w:cstheme="majorBidi"/>
          <w:szCs w:val="24"/>
          <w:lang w:eastAsia="en-US"/>
        </w:rPr>
        <w:t>[..]</w:t>
      </w:r>
      <w:r w:rsidRPr="00A81DB1">
        <w:rPr>
          <w:rFonts w:asciiTheme="majorBidi" w:eastAsiaTheme="minorHAnsi" w:hAnsiTheme="majorBidi" w:cstheme="majorBidi"/>
          <w:szCs w:val="24"/>
          <w:lang w:eastAsia="en-US"/>
        </w:rPr>
        <w:t>), nav veiktas visas saprātīgi sagaidāmās darbības, lai apzinātu mantinieku loku un noskaidrotu viņu attieksmi pret mantojumu, tā pieņemšanu vai atraidīšanu. Sludinājuma publicēšana oficiālajā izdevumā ir likuma prasību izpilde, taču minētajam apstāklim nevar piešķirt izšķirošu nozīmi, vērtējot prasītāja kā likumiskā mantinieka tiesību aizskārumu.</w:t>
      </w:r>
    </w:p>
    <w:p w14:paraId="164A38A4" w14:textId="01D906D4"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eastAsiaTheme="minorHAnsi" w:hAnsiTheme="majorBidi" w:cstheme="majorBidi"/>
          <w:szCs w:val="24"/>
          <w:lang w:eastAsia="en-US"/>
        </w:rPr>
        <w:t xml:space="preserve">[3.2] Atbilstoši Civillikuma 1. pantam tiesības izlietojamas un pienākumi pildāmi pēc labas ticības. No lietas materiālos esošajiem paskaidrojumiem izriet, ka atbildētājai bijis zināms par mantojuma atstājēja dēlu, kura telefona numurs </w:t>
      </w:r>
      <w:r w:rsidR="004774E2" w:rsidRPr="00A81DB1">
        <w:rPr>
          <w:rFonts w:asciiTheme="majorBidi" w:eastAsiaTheme="minorHAnsi" w:hAnsiTheme="majorBidi" w:cstheme="majorBidi"/>
          <w:szCs w:val="24"/>
          <w:lang w:eastAsia="en-US"/>
        </w:rPr>
        <w:t>bija saglabāts</w:t>
      </w:r>
      <w:r w:rsidRPr="00A81DB1">
        <w:rPr>
          <w:rFonts w:asciiTheme="majorBidi" w:eastAsiaTheme="minorHAnsi" w:hAnsiTheme="majorBidi" w:cstheme="majorBidi"/>
          <w:szCs w:val="24"/>
          <w:lang w:eastAsia="en-US"/>
        </w:rPr>
        <w:t xml:space="preserve"> viņas </w:t>
      </w:r>
      <w:r w:rsidR="004774E2" w:rsidRPr="00A81DB1">
        <w:rPr>
          <w:rFonts w:asciiTheme="majorBidi" w:eastAsiaTheme="minorHAnsi" w:hAnsiTheme="majorBidi" w:cstheme="majorBidi"/>
          <w:szCs w:val="24"/>
          <w:lang w:eastAsia="en-US"/>
        </w:rPr>
        <w:t xml:space="preserve">mirušā </w:t>
      </w:r>
      <w:r w:rsidRPr="00A81DB1">
        <w:rPr>
          <w:rFonts w:asciiTheme="majorBidi" w:eastAsiaTheme="minorHAnsi" w:hAnsiTheme="majorBidi" w:cstheme="majorBidi"/>
          <w:szCs w:val="24"/>
          <w:lang w:eastAsia="en-US"/>
        </w:rPr>
        <w:t>vīra telefon</w:t>
      </w:r>
      <w:r w:rsidR="004774E2" w:rsidRPr="00A81DB1">
        <w:rPr>
          <w:rFonts w:asciiTheme="majorBidi" w:eastAsiaTheme="minorHAnsi" w:hAnsiTheme="majorBidi" w:cstheme="majorBidi"/>
          <w:szCs w:val="24"/>
          <w:lang w:eastAsia="en-US"/>
        </w:rPr>
        <w:t>a kontaktos</w:t>
      </w:r>
      <w:r w:rsidRPr="00A81DB1">
        <w:rPr>
          <w:rFonts w:asciiTheme="majorBidi" w:eastAsiaTheme="minorHAnsi" w:hAnsiTheme="majorBidi" w:cstheme="majorBidi"/>
          <w:szCs w:val="24"/>
          <w:lang w:eastAsia="en-US"/>
        </w:rPr>
        <w:t xml:space="preserve">. </w:t>
      </w:r>
      <w:r w:rsidRPr="00A81DB1">
        <w:rPr>
          <w:rFonts w:asciiTheme="majorBidi" w:eastAsiaTheme="minorHAnsi" w:hAnsiTheme="majorBidi" w:cstheme="majorBidi"/>
          <w:color w:val="000000"/>
          <w:szCs w:val="24"/>
          <w:lang w:eastAsia="en-US"/>
        </w:rPr>
        <w:t>Neatkarīgi no radinieku savstarpējām attiecībām, no atbildētājas saprātīgi sagaidāmas darbības, kas saistītas ar radinieku informēšanu par tuvinieka nāvi, piemēram, to aicināšanu uz bērēm, informēšanu par apbedīšanas vietu u.c..</w:t>
      </w:r>
    </w:p>
    <w:p w14:paraId="386B9D55" w14:textId="1786292D"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eastAsiaTheme="minorHAnsi" w:hAnsiTheme="majorBidi" w:cstheme="majorBidi"/>
          <w:szCs w:val="24"/>
          <w:lang w:eastAsia="en-US"/>
        </w:rPr>
        <w:t>[3.3] </w:t>
      </w:r>
      <w:r w:rsidRPr="00A81DB1">
        <w:rPr>
          <w:rFonts w:asciiTheme="majorBidi" w:eastAsiaTheme="minorHAnsi" w:hAnsiTheme="majorBidi" w:cstheme="majorBidi"/>
          <w:color w:val="000000"/>
          <w:szCs w:val="24"/>
          <w:lang w:eastAsia="en-US"/>
        </w:rPr>
        <w:t>Ievērojot mantojuma atstājēja cienījamo vecumu (</w:t>
      </w:r>
      <w:r w:rsidR="006E5E0C" w:rsidRPr="00A81DB1">
        <w:rPr>
          <w:rFonts w:asciiTheme="majorBidi" w:eastAsiaTheme="minorHAnsi" w:hAnsiTheme="majorBidi" w:cstheme="majorBidi"/>
          <w:color w:val="000000"/>
          <w:szCs w:val="24"/>
          <w:lang w:eastAsia="en-US"/>
        </w:rPr>
        <w:t>[..]</w:t>
      </w:r>
      <w:r w:rsidRPr="00A81DB1">
        <w:rPr>
          <w:rFonts w:asciiTheme="majorBidi" w:eastAsiaTheme="minorHAnsi" w:hAnsiTheme="majorBidi" w:cstheme="majorBidi"/>
          <w:color w:val="000000"/>
          <w:szCs w:val="24"/>
          <w:lang w:eastAsia="en-US"/>
        </w:rPr>
        <w:t xml:space="preserve"> gadi), maz ticams, ka viņa tālrunī bijuši uzstādījumi, kas lieguši atbildētājai piekļuvi tā saturam, kā arī, ka atbildētāja nav zinājusi vīra dēla vārdu. Bez ievērības nav atstājams, ka tēvam un dēlam ir viens uzvārds, turklāt gana rets un Latvijā maz izplatīts. </w:t>
      </w:r>
      <w:r w:rsidR="008D16B6" w:rsidRPr="00A81DB1">
        <w:rPr>
          <w:rFonts w:asciiTheme="majorBidi" w:eastAsiaTheme="minorHAnsi" w:hAnsiTheme="majorBidi" w:cstheme="majorBidi"/>
          <w:color w:val="000000"/>
          <w:szCs w:val="24"/>
          <w:lang w:eastAsia="en-US"/>
        </w:rPr>
        <w:t>Tomēr minētajam faktam</w:t>
      </w:r>
      <w:r w:rsidRPr="00A81DB1">
        <w:rPr>
          <w:rFonts w:asciiTheme="majorBidi" w:eastAsiaTheme="minorHAnsi" w:hAnsiTheme="majorBidi" w:cstheme="majorBidi"/>
          <w:color w:val="000000"/>
          <w:szCs w:val="24"/>
          <w:lang w:eastAsia="en-US"/>
        </w:rPr>
        <w:t xml:space="preserve"> nav izšķirošas nozīmes, jo dēla datus, ja vien ir vēlme, ir iespējams noskaidrot. </w:t>
      </w:r>
    </w:p>
    <w:p w14:paraId="137F90BC" w14:textId="335CD75E"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eastAsiaTheme="minorHAnsi" w:hAnsiTheme="majorBidi" w:cstheme="majorBidi"/>
          <w:color w:val="000000"/>
          <w:szCs w:val="24"/>
          <w:lang w:eastAsia="en-US"/>
        </w:rPr>
        <w:t xml:space="preserve">[3.4] Nepilnīgas informācijas sniegšana vai apzināta noklusēšana par citiem zināmajiem mantiniekiem var liecināt par atbildētājas </w:t>
      </w:r>
      <w:proofErr w:type="spellStart"/>
      <w:r w:rsidRPr="00A81DB1">
        <w:rPr>
          <w:rFonts w:asciiTheme="majorBidi" w:eastAsiaTheme="minorHAnsi" w:hAnsiTheme="majorBidi" w:cstheme="majorBidi"/>
          <w:color w:val="000000"/>
          <w:szCs w:val="24"/>
          <w:lang w:eastAsia="en-US"/>
        </w:rPr>
        <w:t>negodprātību</w:t>
      </w:r>
      <w:proofErr w:type="spellEnd"/>
      <w:r w:rsidRPr="00A81DB1">
        <w:rPr>
          <w:rFonts w:asciiTheme="majorBidi" w:eastAsiaTheme="minorHAnsi" w:hAnsiTheme="majorBidi" w:cstheme="majorBidi"/>
          <w:color w:val="000000"/>
          <w:szCs w:val="24"/>
          <w:lang w:eastAsia="en-US"/>
        </w:rPr>
        <w:t>. No pušu paskaidrojumiem izriet, ka tēvs nav vēlējies īpašu, regulāru un biežu uzmanību no dēla puses, kas ticis respektēts. Taču minētais nedod pamatu atbildētājai neziņot par vīra nāvi viņa dēlam, kā arī aprobežoties tikai ar mantojuma izsludināšanu oficiālajā izdevumā.</w:t>
      </w:r>
    </w:p>
    <w:p w14:paraId="1FE04162" w14:textId="77777777"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eastAsiaTheme="minorHAnsi" w:hAnsiTheme="majorBidi" w:cstheme="majorBidi"/>
          <w:color w:val="000000"/>
          <w:szCs w:val="24"/>
          <w:lang w:eastAsia="en-US"/>
        </w:rPr>
        <w:t>Lietā nav apstiprinājies, ka konkrētais gadījums atbilstu kādam no Notariāta likuma 293. panta noteikumiem, jo faktiski bijis zināms, ka mantojuma atstājējam ir pirmās šķiras mantinieks – dēls.</w:t>
      </w:r>
    </w:p>
    <w:p w14:paraId="79391235"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p>
    <w:p w14:paraId="1D7C71A5" w14:textId="156EFD0D"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[4] Par minēto spriedumu </w:t>
      </w:r>
      <w:r w:rsidR="0006458D" w:rsidRPr="00A81DB1">
        <w:rPr>
          <w:rFonts w:asciiTheme="majorBidi" w:hAnsiTheme="majorBidi" w:cstheme="majorBidi"/>
          <w:szCs w:val="24"/>
        </w:rPr>
        <w:t xml:space="preserve">[pers. A] </w:t>
      </w:r>
      <w:r w:rsidRPr="00A81DB1">
        <w:rPr>
          <w:rFonts w:asciiTheme="majorBidi" w:hAnsiTheme="majorBidi" w:cstheme="majorBidi"/>
          <w:szCs w:val="24"/>
        </w:rPr>
        <w:t>iesniegusi kasācijas sūdzību, kurā lūgusi spriedumu atcelt.</w:t>
      </w:r>
    </w:p>
    <w:p w14:paraId="4A207A1E" w14:textId="77777777"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A81DB1">
        <w:rPr>
          <w:rFonts w:asciiTheme="majorBidi" w:hAnsiTheme="majorBidi" w:cstheme="majorBidi"/>
          <w:szCs w:val="24"/>
        </w:rPr>
        <w:t xml:space="preserve">Kasācijas </w:t>
      </w:r>
      <w:r w:rsidRPr="00A81DB1">
        <w:rPr>
          <w:rFonts w:asciiTheme="majorBidi" w:eastAsiaTheme="minorHAnsi" w:hAnsiTheme="majorBidi" w:cstheme="majorBidi"/>
          <w:szCs w:val="24"/>
          <w:lang w:eastAsia="en-US"/>
        </w:rPr>
        <w:t>sūdzība pamatota ar tālāk norādītajiem argumentiem.</w:t>
      </w:r>
    </w:p>
    <w:p w14:paraId="5AF9AD0F" w14:textId="732481E9"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[4.1] Tiesa ir pārkāpusi Civilprocesa likuma 8., 97., 190. un 430. pantu, jo</w:t>
      </w:r>
      <w:r w:rsidR="008D16B6" w:rsidRPr="00A81DB1">
        <w:rPr>
          <w:rFonts w:asciiTheme="majorBidi" w:hAnsiTheme="majorBidi" w:cstheme="majorBidi"/>
          <w:szCs w:val="24"/>
        </w:rPr>
        <w:t>,</w:t>
      </w:r>
      <w:r w:rsidRPr="00A81DB1">
        <w:rPr>
          <w:rFonts w:asciiTheme="majorBidi" w:hAnsiTheme="majorBidi" w:cstheme="majorBidi"/>
          <w:szCs w:val="24"/>
        </w:rPr>
        <w:t xml:space="preserve"> izdarot pierādījumiem pretējus secinājumus, nav objektīvi un vispusīgi vērtējusi lietas apstākļus.</w:t>
      </w:r>
    </w:p>
    <w:p w14:paraId="37710253" w14:textId="451B571B"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Atbildētāja </w:t>
      </w:r>
      <w:r w:rsidR="004774E2" w:rsidRPr="00A81DB1">
        <w:rPr>
          <w:rFonts w:asciiTheme="majorBidi" w:hAnsiTheme="majorBidi" w:cstheme="majorBidi"/>
          <w:szCs w:val="24"/>
        </w:rPr>
        <w:t xml:space="preserve">zvērinātam </w:t>
      </w:r>
      <w:r w:rsidRPr="00A81DB1">
        <w:rPr>
          <w:rFonts w:asciiTheme="majorBidi" w:hAnsiTheme="majorBidi" w:cstheme="majorBidi"/>
          <w:szCs w:val="24"/>
        </w:rPr>
        <w:t xml:space="preserve">notāram norādījusi, ka mantojuma atstājējam ir dēls, kura atrašanās vieta viņai nav zināma. Turklāt no iesnieguma par mantojuma pieņemšanu un apstiprināšanos mantojuma tiesībās izriet, ka atbildētāja apmaksājusi izdevumus par ieskatīšanos Iedzīvotāju reģistrā, publikāciju oficiālajā izdevumā „Latvijas Vēstnesis”, paziņojuma nosūtīšanu un pasta pakalpojumiem. Minētais apstiprina gan atbildētājas, gan </w:t>
      </w:r>
      <w:r w:rsidR="004774E2" w:rsidRPr="00A81DB1">
        <w:rPr>
          <w:rFonts w:asciiTheme="majorBidi" w:hAnsiTheme="majorBidi" w:cstheme="majorBidi"/>
          <w:szCs w:val="24"/>
        </w:rPr>
        <w:t xml:space="preserve">zvērināta </w:t>
      </w:r>
      <w:r w:rsidRPr="00A81DB1">
        <w:rPr>
          <w:rFonts w:asciiTheme="majorBidi" w:hAnsiTheme="majorBidi" w:cstheme="majorBidi"/>
          <w:szCs w:val="24"/>
        </w:rPr>
        <w:t xml:space="preserve">notāra godprātību likuma prasību izpildē, lai apzinātu mantinieku loku un noskaidrotu viņu attieksmi pret mantojumu.  </w:t>
      </w:r>
    </w:p>
    <w:p w14:paraId="0572F6E2" w14:textId="097FEBD1"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Lietā nav konstatēti tiesas norādītie apstākļi saistībā ar prasītāja telefona numura </w:t>
      </w:r>
      <w:r w:rsidR="008D16B6" w:rsidRPr="00A81DB1">
        <w:rPr>
          <w:rFonts w:asciiTheme="majorBidi" w:hAnsiTheme="majorBidi" w:cstheme="majorBidi"/>
          <w:szCs w:val="24"/>
        </w:rPr>
        <w:t xml:space="preserve">fiksēšanu </w:t>
      </w:r>
      <w:r w:rsidRPr="00A81DB1">
        <w:rPr>
          <w:rFonts w:asciiTheme="majorBidi" w:hAnsiTheme="majorBidi" w:cstheme="majorBidi"/>
          <w:szCs w:val="24"/>
        </w:rPr>
        <w:t xml:space="preserve">mantojuma atstājēja </w:t>
      </w:r>
      <w:r w:rsidR="008D16B6" w:rsidRPr="00A81DB1">
        <w:rPr>
          <w:rFonts w:asciiTheme="majorBidi" w:hAnsiTheme="majorBidi" w:cstheme="majorBidi"/>
          <w:szCs w:val="24"/>
        </w:rPr>
        <w:t xml:space="preserve">telefona kontaktos </w:t>
      </w:r>
      <w:r w:rsidRPr="00A81DB1">
        <w:rPr>
          <w:rFonts w:asciiTheme="majorBidi" w:hAnsiTheme="majorBidi" w:cstheme="majorBidi"/>
          <w:szCs w:val="24"/>
        </w:rPr>
        <w:t xml:space="preserve">un atbildētājas piekļuvi šim saturam. Atbildētāja ar vīra dēlu nekad nav tikusies un nebija pazīstama, viņš zvanījis tēvam uz stacionāro telefonu 2015. gadā uz 90 gadu jubileju, taču savu vārdu nebija nosaucis. Otrā telefonsaruna ar prasītāju notika 2021. gadā, kad viņš zvanījis uz atbildētājas mobilo tālruni (numuru iedevis </w:t>
      </w:r>
      <w:r w:rsidR="004774E2" w:rsidRPr="00A81DB1">
        <w:rPr>
          <w:rFonts w:asciiTheme="majorBidi" w:hAnsiTheme="majorBidi" w:cstheme="majorBidi"/>
          <w:szCs w:val="24"/>
        </w:rPr>
        <w:t xml:space="preserve">zvērināts </w:t>
      </w:r>
      <w:r w:rsidRPr="00A81DB1">
        <w:rPr>
          <w:rFonts w:asciiTheme="majorBidi" w:hAnsiTheme="majorBidi" w:cstheme="majorBidi"/>
          <w:szCs w:val="24"/>
        </w:rPr>
        <w:t xml:space="preserve">notārs). </w:t>
      </w:r>
    </w:p>
    <w:p w14:paraId="2675EF94" w14:textId="77777777" w:rsidR="002260F3" w:rsidRPr="00A81DB1" w:rsidRDefault="002260F3" w:rsidP="00A81DB1">
      <w:pPr>
        <w:spacing w:line="276" w:lineRule="auto"/>
        <w:ind w:firstLine="709"/>
        <w:jc w:val="both"/>
        <w:rPr>
          <w:rFonts w:asciiTheme="majorBidi" w:hAnsiTheme="majorBidi" w:cstheme="majorBidi"/>
          <w:szCs w:val="24"/>
        </w:rPr>
      </w:pPr>
      <w:r w:rsidRPr="00A81DB1">
        <w:rPr>
          <w:rFonts w:asciiTheme="majorBidi" w:hAnsiTheme="majorBidi" w:cstheme="majorBidi"/>
          <w:szCs w:val="24"/>
        </w:rPr>
        <w:t xml:space="preserve">[4.2] Atbilstoši Oficiālo publikāciju un tiesiskās informācijas likuma 2. panta pirmās un otrās daļas noteikumiem „Latvijas Vēstnesis” ir valsts oficiālais izdevums, un tajā publicētā informācija ir publiski ticama un saistoša. </w:t>
      </w:r>
    </w:p>
    <w:p w14:paraId="1574D271" w14:textId="4F6B5E00" w:rsidR="002260F3" w:rsidRPr="00A81DB1" w:rsidRDefault="002260F3" w:rsidP="00A81DB1">
      <w:pPr>
        <w:spacing w:line="276" w:lineRule="auto"/>
        <w:ind w:firstLine="709"/>
        <w:jc w:val="both"/>
        <w:rPr>
          <w:rFonts w:asciiTheme="majorBidi" w:hAnsiTheme="majorBidi" w:cstheme="majorBidi"/>
          <w:szCs w:val="24"/>
        </w:rPr>
      </w:pPr>
      <w:r w:rsidRPr="00A81DB1">
        <w:rPr>
          <w:rFonts w:asciiTheme="majorBidi" w:hAnsiTheme="majorBidi" w:cstheme="majorBidi"/>
          <w:szCs w:val="24"/>
        </w:rPr>
        <w:t>Secinot, ka konkrētais gadījums neatbilst kādam no Notariāta likuma 293. panta noteikumiem, tiesa sašaurināti tulkojusi minēto tiesību normu. Atbildētāja nav slēpusi mantojuma atstājēja dēla esības faktu, kā arī saistībā ar minēto lūgusi</w:t>
      </w:r>
      <w:r w:rsidR="004774E2" w:rsidRPr="00A81DB1">
        <w:rPr>
          <w:rFonts w:asciiTheme="majorBidi" w:hAnsiTheme="majorBidi" w:cstheme="majorBidi"/>
          <w:szCs w:val="24"/>
        </w:rPr>
        <w:t xml:space="preserve"> zvērinātam </w:t>
      </w:r>
      <w:r w:rsidRPr="00A81DB1">
        <w:rPr>
          <w:rFonts w:asciiTheme="majorBidi" w:hAnsiTheme="majorBidi" w:cstheme="majorBidi"/>
          <w:szCs w:val="24"/>
        </w:rPr>
        <w:t>notāram izsludināt mantojuma atklāšanos un uzaicināt pieteikties visus, kam uz mantojumu ir kādas tiesības. Tas, ka prasītājs palaidis termiņu gribas izteikumam mantojumu pieņemt, liecina, ka viņš mantojumu ir atraidījis (Civillikuma 694. pants). Lietā nav konstatēti šķēršļi, kuru dēļ prasītājam bijis liegts īstenot savas tiesības likumā noteiktajā termiņā.</w:t>
      </w:r>
    </w:p>
    <w:p w14:paraId="3DB9EC14" w14:textId="77777777" w:rsidR="002260F3" w:rsidRPr="00A81DB1" w:rsidRDefault="002260F3" w:rsidP="00A81DB1">
      <w:pPr>
        <w:autoSpaceDE w:val="0"/>
        <w:autoSpaceDN w:val="0"/>
        <w:adjustRightInd w:val="0"/>
        <w:spacing w:line="276" w:lineRule="auto"/>
        <w:jc w:val="center"/>
        <w:rPr>
          <w:rFonts w:asciiTheme="majorBidi" w:hAnsiTheme="majorBidi" w:cstheme="majorBidi"/>
          <w:b/>
          <w:szCs w:val="24"/>
        </w:rPr>
      </w:pPr>
    </w:p>
    <w:p w14:paraId="20A2897E" w14:textId="77777777" w:rsidR="002260F3" w:rsidRPr="00A81DB1" w:rsidRDefault="002260F3" w:rsidP="00A81DB1">
      <w:pPr>
        <w:autoSpaceDE w:val="0"/>
        <w:autoSpaceDN w:val="0"/>
        <w:adjustRightInd w:val="0"/>
        <w:spacing w:line="276" w:lineRule="auto"/>
        <w:jc w:val="center"/>
        <w:rPr>
          <w:rFonts w:asciiTheme="majorBidi" w:hAnsiTheme="majorBidi" w:cstheme="majorBidi"/>
          <w:b/>
          <w:szCs w:val="24"/>
        </w:rPr>
      </w:pPr>
      <w:r w:rsidRPr="00A81DB1">
        <w:rPr>
          <w:rFonts w:asciiTheme="majorBidi" w:hAnsiTheme="majorBidi" w:cstheme="majorBidi"/>
          <w:b/>
          <w:szCs w:val="24"/>
        </w:rPr>
        <w:t>Motīvu daļa</w:t>
      </w:r>
    </w:p>
    <w:p w14:paraId="16817287" w14:textId="77777777" w:rsidR="002260F3" w:rsidRPr="00A81DB1" w:rsidRDefault="002260F3" w:rsidP="00A81DB1">
      <w:pPr>
        <w:autoSpaceDE w:val="0"/>
        <w:autoSpaceDN w:val="0"/>
        <w:adjustRightInd w:val="0"/>
        <w:spacing w:line="276" w:lineRule="auto"/>
        <w:jc w:val="center"/>
        <w:rPr>
          <w:rFonts w:asciiTheme="majorBidi" w:hAnsiTheme="majorBidi" w:cstheme="majorBidi"/>
          <w:b/>
          <w:szCs w:val="24"/>
        </w:rPr>
      </w:pPr>
    </w:p>
    <w:p w14:paraId="7F137104" w14:textId="5D290FDB"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[5] Pārbaudījis sprieduma likumību attiecībā uz personu, k</w:t>
      </w:r>
      <w:r w:rsidR="004774E2" w:rsidRPr="00A81DB1">
        <w:rPr>
          <w:rFonts w:asciiTheme="majorBidi" w:hAnsiTheme="majorBidi" w:cstheme="majorBidi"/>
          <w:szCs w:val="24"/>
        </w:rPr>
        <w:t>ura</w:t>
      </w:r>
      <w:r w:rsidRPr="00A81DB1">
        <w:rPr>
          <w:rFonts w:asciiTheme="majorBidi" w:hAnsiTheme="majorBidi" w:cstheme="majorBidi"/>
          <w:szCs w:val="24"/>
        </w:rPr>
        <w:t xml:space="preserve"> to pārsūdzējusi, un argumentiem, kas minēti kasācijas sūdzībā, kā to noteic Civilprocesa likuma 473. panta pirmā daļa, Senāts atzīst, ka pārsūdzētais spriedums ir atceļams.</w:t>
      </w:r>
    </w:p>
    <w:p w14:paraId="27E3ADB3"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p>
    <w:p w14:paraId="648B809F" w14:textId="77777777" w:rsidR="002260F3" w:rsidRPr="00A81DB1" w:rsidRDefault="002260F3" w:rsidP="00A81DB1">
      <w:pPr>
        <w:autoSpaceDE w:val="0"/>
        <w:autoSpaceDN w:val="0"/>
        <w:adjustRightInd w:val="0"/>
        <w:spacing w:line="276" w:lineRule="auto"/>
        <w:ind w:firstLine="709"/>
        <w:jc w:val="both"/>
        <w:rPr>
          <w:rFonts w:asciiTheme="majorBidi" w:eastAsia="Calibri" w:hAnsiTheme="majorBidi" w:cstheme="majorBidi"/>
          <w:szCs w:val="24"/>
          <w:lang w:eastAsia="en-US"/>
        </w:rPr>
      </w:pPr>
      <w:r w:rsidRPr="00A81DB1">
        <w:rPr>
          <w:rFonts w:asciiTheme="majorBidi" w:hAnsiTheme="majorBidi" w:cstheme="majorBidi"/>
          <w:szCs w:val="24"/>
        </w:rPr>
        <w:t>[6] </w:t>
      </w:r>
      <w:r w:rsidRPr="00A81DB1">
        <w:rPr>
          <w:rFonts w:asciiTheme="majorBidi" w:eastAsia="Calibri" w:hAnsiTheme="majorBidi" w:cstheme="majorBidi"/>
          <w:szCs w:val="24"/>
          <w:lang w:eastAsia="en-US"/>
        </w:rPr>
        <w:t>Civilprocesa likuma 189. panta trešā daļa noteic, ka spriedumam jābūt likumīgam un pamatotam. Proti, taisot spriedumu, tiesa vadās pēc materiālo un procesuālo tiesību normām (190. panta pirmā daļa), un tiesa spriedumu pamato uz apstākļiem, kas nodibināti ar pierādījumiem lietā (190. panta otrā daļa).</w:t>
      </w:r>
    </w:p>
    <w:p w14:paraId="56D2305F" w14:textId="2EA3DF75" w:rsidR="002260F3" w:rsidRPr="00A81DB1" w:rsidRDefault="002260F3" w:rsidP="00A81DB1">
      <w:pPr>
        <w:pStyle w:val="NoSpacing"/>
        <w:spacing w:line="276" w:lineRule="auto"/>
        <w:ind w:firstLine="720"/>
        <w:jc w:val="both"/>
        <w:rPr>
          <w:rFonts w:asciiTheme="majorBidi" w:eastAsiaTheme="minorHAnsi" w:hAnsiTheme="majorBidi" w:cstheme="majorBidi"/>
          <w:i/>
          <w:iCs/>
          <w:szCs w:val="24"/>
          <w:lang w:eastAsia="en-US"/>
        </w:rPr>
      </w:pPr>
      <w:r w:rsidRPr="00A81DB1">
        <w:rPr>
          <w:rFonts w:asciiTheme="majorBidi" w:eastAsiaTheme="minorHAnsi" w:hAnsiTheme="majorBidi" w:cstheme="majorBidi"/>
          <w:szCs w:val="24"/>
          <w:lang w:eastAsia="en-US"/>
        </w:rPr>
        <w:t xml:space="preserve">Iztulkojot Civilprocesa likuma 97. panta normas, Senāts daudzkārt norādījis, ka šīs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w:t>
      </w:r>
      <w:r w:rsidRPr="00A81DB1">
        <w:rPr>
          <w:rFonts w:asciiTheme="majorBidi" w:eastAsiaTheme="minorHAnsi" w:hAnsiTheme="majorBidi" w:cstheme="majorBidi"/>
          <w:szCs w:val="24"/>
          <w:lang w:eastAsia="en-US"/>
        </w:rPr>
        <w:lastRenderedPageBreak/>
        <w:t>pierādījuma būtībā, salīdzinot to ar citiem, un gadījumā, ja konstatētas pretrunas, jānorāda pamatojums, kādēļ vienam pierādījumam dota priekšroka</w:t>
      </w:r>
      <w:r w:rsidR="00184BB2" w:rsidRPr="00A81DB1">
        <w:rPr>
          <w:rFonts w:asciiTheme="majorBidi" w:eastAsiaTheme="minorHAnsi" w:hAnsiTheme="majorBidi" w:cstheme="majorBidi"/>
          <w:szCs w:val="24"/>
          <w:lang w:eastAsia="en-US"/>
        </w:rPr>
        <w:t xml:space="preserve"> (</w:t>
      </w:r>
      <w:r w:rsidR="00184BB2" w:rsidRPr="00A81DB1">
        <w:rPr>
          <w:rFonts w:asciiTheme="majorBidi" w:eastAsia="Calibri" w:hAnsiTheme="majorBidi" w:cstheme="majorBidi"/>
          <w:szCs w:val="24"/>
          <w:lang w:eastAsia="en-US"/>
        </w:rPr>
        <w:t>sk.</w:t>
      </w:r>
      <w:r w:rsidR="00184BB2" w:rsidRPr="00A81DB1">
        <w:rPr>
          <w:rFonts w:asciiTheme="majorBidi" w:eastAsia="Calibri" w:hAnsiTheme="majorBidi" w:cstheme="majorBidi"/>
          <w:i/>
          <w:iCs/>
          <w:szCs w:val="24"/>
          <w:lang w:eastAsia="en-US"/>
        </w:rPr>
        <w:t xml:space="preserve"> Senāta 2016. gada 31. oktobra sprieduma lietā </w:t>
      </w:r>
      <w:r w:rsidR="00C06D30" w:rsidRPr="00A81DB1">
        <w:rPr>
          <w:rFonts w:asciiTheme="majorBidi" w:eastAsia="Calibri" w:hAnsiTheme="majorBidi" w:cstheme="majorBidi"/>
          <w:i/>
          <w:iCs/>
          <w:szCs w:val="24"/>
          <w:lang w:eastAsia="en-US"/>
        </w:rPr>
        <w:t>Nr. </w:t>
      </w:r>
      <w:r w:rsidR="00184BB2" w:rsidRPr="00A81DB1">
        <w:rPr>
          <w:rFonts w:asciiTheme="majorBidi" w:eastAsia="Calibri" w:hAnsiTheme="majorBidi" w:cstheme="majorBidi"/>
          <w:i/>
          <w:iCs/>
          <w:szCs w:val="24"/>
          <w:lang w:eastAsia="en-US"/>
        </w:rPr>
        <w:t>SKC-340/2016 (C16045513) 6.1.</w:t>
      </w:r>
      <w:r w:rsidR="008D03B9" w:rsidRPr="00A81DB1">
        <w:rPr>
          <w:rFonts w:asciiTheme="majorBidi" w:eastAsia="Calibri" w:hAnsiTheme="majorBidi" w:cstheme="majorBidi"/>
          <w:i/>
          <w:iCs/>
          <w:szCs w:val="24"/>
          <w:lang w:eastAsia="en-US"/>
        </w:rPr>
        <w:t> </w:t>
      </w:r>
      <w:r w:rsidR="00184BB2" w:rsidRPr="00A81DB1">
        <w:rPr>
          <w:rFonts w:asciiTheme="majorBidi" w:eastAsia="Calibri" w:hAnsiTheme="majorBidi" w:cstheme="majorBidi"/>
          <w:i/>
          <w:iCs/>
          <w:szCs w:val="24"/>
          <w:lang w:eastAsia="en-US"/>
        </w:rPr>
        <w:t>punktu</w:t>
      </w:r>
      <w:r w:rsidR="008D03B9" w:rsidRPr="00A81DB1">
        <w:rPr>
          <w:rFonts w:asciiTheme="majorBidi" w:eastAsia="Calibri" w:hAnsiTheme="majorBidi" w:cstheme="majorBidi"/>
          <w:i/>
          <w:iCs/>
          <w:szCs w:val="24"/>
          <w:lang w:eastAsia="en-US"/>
        </w:rPr>
        <w:t xml:space="preserve">, Senāta </w:t>
      </w:r>
      <w:r w:rsidR="008D03B9" w:rsidRPr="00A81DB1">
        <w:rPr>
          <w:rFonts w:asciiTheme="majorBidi" w:hAnsiTheme="majorBidi" w:cstheme="majorBidi"/>
          <w:i/>
          <w:iCs/>
          <w:szCs w:val="24"/>
        </w:rPr>
        <w:t>2021. gada 10. septembr</w:t>
      </w:r>
      <w:r w:rsidR="00C06D30" w:rsidRPr="00A81DB1">
        <w:rPr>
          <w:rFonts w:asciiTheme="majorBidi" w:hAnsiTheme="majorBidi" w:cstheme="majorBidi"/>
          <w:i/>
          <w:iCs/>
          <w:szCs w:val="24"/>
        </w:rPr>
        <w:t>a</w:t>
      </w:r>
      <w:r w:rsidR="008D03B9" w:rsidRPr="00A81DB1">
        <w:rPr>
          <w:rFonts w:asciiTheme="majorBidi" w:hAnsiTheme="majorBidi" w:cstheme="majorBidi"/>
          <w:i/>
          <w:iCs/>
          <w:szCs w:val="24"/>
        </w:rPr>
        <w:t xml:space="preserve"> </w:t>
      </w:r>
      <w:r w:rsidR="00C06D30" w:rsidRPr="00A81DB1">
        <w:rPr>
          <w:rFonts w:asciiTheme="majorBidi" w:hAnsiTheme="majorBidi" w:cstheme="majorBidi"/>
          <w:i/>
          <w:iCs/>
          <w:szCs w:val="24"/>
        </w:rPr>
        <w:t>sprieduma lietā Nr. </w:t>
      </w:r>
      <w:r w:rsidR="008D03B9" w:rsidRPr="00A81DB1">
        <w:rPr>
          <w:rFonts w:asciiTheme="majorBidi" w:hAnsiTheme="majorBidi" w:cstheme="majorBidi"/>
          <w:i/>
          <w:iCs/>
          <w:szCs w:val="24"/>
        </w:rPr>
        <w:t>SKC-91/2021</w:t>
      </w:r>
      <w:r w:rsidR="00C06D30" w:rsidRPr="00A81DB1">
        <w:rPr>
          <w:rFonts w:asciiTheme="majorBidi" w:hAnsiTheme="majorBidi" w:cstheme="majorBidi"/>
          <w:i/>
          <w:iCs/>
          <w:szCs w:val="24"/>
        </w:rPr>
        <w:t xml:space="preserve">, (ECLI:LV:AT:2021:0910.C30640718.10.S) </w:t>
      </w:r>
      <w:r w:rsidR="008D03B9" w:rsidRPr="00A81DB1">
        <w:rPr>
          <w:rFonts w:asciiTheme="majorBidi" w:eastAsia="Calibri" w:hAnsiTheme="majorBidi" w:cstheme="majorBidi"/>
          <w:i/>
          <w:iCs/>
          <w:szCs w:val="24"/>
          <w:lang w:eastAsia="en-US"/>
        </w:rPr>
        <w:t>7. punktu, Senāta 2022. gada 31. janvāra sprieduma lieta Nr.</w:t>
      </w:r>
      <w:r w:rsidR="00C06D30" w:rsidRPr="00A81DB1">
        <w:rPr>
          <w:rFonts w:asciiTheme="majorBidi" w:eastAsia="Calibri" w:hAnsiTheme="majorBidi" w:cstheme="majorBidi"/>
          <w:i/>
          <w:iCs/>
          <w:szCs w:val="24"/>
          <w:lang w:eastAsia="en-US"/>
        </w:rPr>
        <w:t> </w:t>
      </w:r>
      <w:r w:rsidR="008D03B9" w:rsidRPr="00A81DB1">
        <w:rPr>
          <w:rFonts w:asciiTheme="majorBidi" w:eastAsia="Calibri" w:hAnsiTheme="majorBidi" w:cstheme="majorBidi"/>
          <w:i/>
          <w:iCs/>
          <w:szCs w:val="24"/>
          <w:lang w:eastAsia="en-US"/>
        </w:rPr>
        <w:t xml:space="preserve">SKC-133/2022 </w:t>
      </w:r>
      <w:r w:rsidR="005336E8" w:rsidRPr="00A81DB1">
        <w:rPr>
          <w:rFonts w:asciiTheme="majorBidi" w:eastAsia="Calibri" w:hAnsiTheme="majorBidi" w:cstheme="majorBidi"/>
          <w:i/>
          <w:iCs/>
          <w:szCs w:val="24"/>
          <w:lang w:eastAsia="en-US"/>
        </w:rPr>
        <w:t>(</w:t>
      </w:r>
      <w:r w:rsidR="008D03B9" w:rsidRPr="00A81DB1">
        <w:rPr>
          <w:rFonts w:asciiTheme="majorBidi" w:eastAsia="Calibri" w:hAnsiTheme="majorBidi" w:cstheme="majorBidi"/>
          <w:i/>
          <w:iCs/>
          <w:szCs w:val="24"/>
          <w:lang w:eastAsia="en-US"/>
        </w:rPr>
        <w:t>ECLI:LV:AT:2022:0131.C29707615.18.S</w:t>
      </w:r>
      <w:r w:rsidR="005336E8" w:rsidRPr="00A81DB1">
        <w:rPr>
          <w:rFonts w:asciiTheme="majorBidi" w:eastAsia="Calibri" w:hAnsiTheme="majorBidi" w:cstheme="majorBidi"/>
          <w:i/>
          <w:iCs/>
          <w:szCs w:val="24"/>
          <w:lang w:eastAsia="en-US"/>
        </w:rPr>
        <w:t>)</w:t>
      </w:r>
      <w:r w:rsidR="008D03B9" w:rsidRPr="00A81DB1">
        <w:rPr>
          <w:rFonts w:asciiTheme="majorBidi" w:eastAsia="Calibri" w:hAnsiTheme="majorBidi" w:cstheme="majorBidi"/>
          <w:i/>
          <w:iCs/>
          <w:szCs w:val="24"/>
          <w:lang w:eastAsia="en-US"/>
        </w:rPr>
        <w:t xml:space="preserve"> 10. punktu</w:t>
      </w:r>
      <w:r w:rsidR="00184BB2" w:rsidRPr="00A81DB1">
        <w:rPr>
          <w:rFonts w:asciiTheme="majorBidi" w:eastAsiaTheme="minorHAnsi" w:hAnsiTheme="majorBidi" w:cstheme="majorBidi"/>
          <w:szCs w:val="24"/>
          <w:lang w:eastAsia="en-US"/>
        </w:rPr>
        <w:t>)</w:t>
      </w:r>
      <w:r w:rsidRPr="00A81DB1">
        <w:rPr>
          <w:rFonts w:asciiTheme="majorBidi" w:eastAsiaTheme="minorHAnsi" w:hAnsiTheme="majorBidi" w:cstheme="majorBidi"/>
          <w:i/>
          <w:iCs/>
          <w:szCs w:val="24"/>
          <w:lang w:eastAsia="en-US"/>
        </w:rPr>
        <w:t>.</w:t>
      </w:r>
    </w:p>
    <w:p w14:paraId="589699D5" w14:textId="6A7BA8AB" w:rsidR="002260F3" w:rsidRPr="00A81DB1" w:rsidRDefault="002260F3" w:rsidP="00A81DB1">
      <w:pPr>
        <w:pStyle w:val="NoSpacing"/>
        <w:spacing w:line="276" w:lineRule="auto"/>
        <w:ind w:firstLine="720"/>
        <w:jc w:val="both"/>
        <w:rPr>
          <w:rFonts w:asciiTheme="majorBidi" w:eastAsiaTheme="minorHAnsi" w:hAnsiTheme="majorBidi" w:cstheme="majorBidi"/>
          <w:szCs w:val="24"/>
          <w:lang w:eastAsia="en-US"/>
        </w:rPr>
      </w:pPr>
      <w:r w:rsidRPr="00A81DB1">
        <w:rPr>
          <w:rFonts w:asciiTheme="majorBidi" w:eastAsiaTheme="minorHAnsi" w:hAnsiTheme="majorBidi" w:cstheme="majorBidi"/>
          <w:szCs w:val="24"/>
          <w:lang w:eastAsia="en-US"/>
        </w:rPr>
        <w:t xml:space="preserve">Ievērojot minēto, Senāts piekrīt kasācijas sūdzības iesniedzējas argumentiem, kuros apstrīdēta apelācijas instances tiesas sprieduma atbilstība Civilprocesa likuma 97., 190. pantam un iepriekš minētajām pamatojuma prasībām, jo tajā izdarīto slēdzienu </w:t>
      </w:r>
      <w:r w:rsidRPr="00A81DB1">
        <w:rPr>
          <w:rFonts w:asciiTheme="majorBidi" w:hAnsiTheme="majorBidi" w:cstheme="majorBidi"/>
          <w:szCs w:val="24"/>
        </w:rPr>
        <w:t xml:space="preserve">saistībā ar atbildētājas </w:t>
      </w:r>
      <w:r w:rsidR="004774E2" w:rsidRPr="00A81DB1">
        <w:rPr>
          <w:rFonts w:asciiTheme="majorBidi" w:hAnsiTheme="majorBidi" w:cstheme="majorBidi"/>
          <w:szCs w:val="24"/>
        </w:rPr>
        <w:t xml:space="preserve">zvērinātam </w:t>
      </w:r>
      <w:r w:rsidRPr="00A81DB1">
        <w:rPr>
          <w:rFonts w:asciiTheme="majorBidi" w:hAnsiTheme="majorBidi" w:cstheme="majorBidi"/>
          <w:szCs w:val="24"/>
        </w:rPr>
        <w:t xml:space="preserve">notāram sniegto informāciju par mantojuma atstājēja dēlu un prasītāja telefona numura </w:t>
      </w:r>
      <w:r w:rsidR="008D16B6" w:rsidRPr="00A81DB1">
        <w:rPr>
          <w:rFonts w:asciiTheme="majorBidi" w:hAnsiTheme="majorBidi" w:cstheme="majorBidi"/>
          <w:szCs w:val="24"/>
        </w:rPr>
        <w:t xml:space="preserve">fiksāciju </w:t>
      </w:r>
      <w:r w:rsidRPr="00A81DB1">
        <w:rPr>
          <w:rFonts w:asciiTheme="majorBidi" w:hAnsiTheme="majorBidi" w:cstheme="majorBidi"/>
          <w:szCs w:val="24"/>
        </w:rPr>
        <w:t xml:space="preserve">mantojuma atstājēja </w:t>
      </w:r>
      <w:r w:rsidR="008D16B6" w:rsidRPr="00A81DB1">
        <w:rPr>
          <w:rFonts w:asciiTheme="majorBidi" w:hAnsiTheme="majorBidi" w:cstheme="majorBidi"/>
          <w:szCs w:val="24"/>
        </w:rPr>
        <w:t>telefona kontaktos</w:t>
      </w:r>
      <w:r w:rsidRPr="00A81DB1">
        <w:rPr>
          <w:rFonts w:asciiTheme="majorBidi" w:hAnsiTheme="majorBidi" w:cstheme="majorBidi"/>
          <w:szCs w:val="24"/>
        </w:rPr>
        <w:t xml:space="preserve">, kā arī atbildētājas piekļuvi šim saturam, </w:t>
      </w:r>
      <w:r w:rsidRPr="00A81DB1">
        <w:rPr>
          <w:rFonts w:asciiTheme="majorBidi" w:eastAsiaTheme="minorHAnsi" w:hAnsiTheme="majorBidi" w:cstheme="majorBidi"/>
          <w:szCs w:val="24"/>
          <w:lang w:eastAsia="en-US"/>
        </w:rPr>
        <w:t xml:space="preserve">nevar uzskatīt par tādu, kas balstīts uz pierādīšanas priekšmetā ietilpstošo apstākļu vispusīgu pārbaudi un pierādījumu objektīvu izvērtējumu. </w:t>
      </w:r>
    </w:p>
    <w:p w14:paraId="24985ABF"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p>
    <w:p w14:paraId="03DE071D" w14:textId="0A4C1B92"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[7] Atbilstoši Civillikuma 687. pantam, lai iegūtu mantojumu, kā likumiskiem, tā arī testamentāriem un līgumiskiem mantiniekiem jāpiedzīvo tā atklāšanās un reizē ar to aicinājums mantot. Ar aicinājumu mantot nodibinās vienīgi iespēja kļūt par mantinieku. Mantojuma iegūšanai vēl vajadzīgs, lai aicinātais izteiktu savu gribu pieņemt viņam piekritušo mantojumu (Civillikuma 688. pants) Civillikuma 693.</w:t>
      </w:r>
      <w:r w:rsidR="000550DB" w:rsidRPr="00A81DB1">
        <w:rPr>
          <w:rFonts w:asciiTheme="majorBidi" w:hAnsiTheme="majorBidi" w:cstheme="majorBidi"/>
          <w:szCs w:val="24"/>
        </w:rPr>
        <w:t> </w:t>
      </w:r>
      <w:r w:rsidRPr="00A81DB1">
        <w:rPr>
          <w:rFonts w:asciiTheme="majorBidi" w:hAnsiTheme="majorBidi" w:cstheme="majorBidi"/>
          <w:szCs w:val="24"/>
        </w:rPr>
        <w:t xml:space="preserve">pantā noteiktajos termiņos. </w:t>
      </w:r>
    </w:p>
    <w:p w14:paraId="77C3A013"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Gribu pieņemt mantojumu var izsacīt, vai nu noteikti, mutiski vai rakstiski, vai arī klusējot, ar tādu darbību, kuru attiecīgos apstākļos var iztulkot vienīgi tā, ka zināma persona atzīst sevi par mantinieku (Civillikuma 691. pants). Kad aicinātais mantojumu jau pieņēmis, viņš to vairs nevar atraidīt. Kas reiz atraidījis viņam piekritušo mantojumu, tas vairs nevar to pieņemt vēlāk (Civillikuma 781. pants). Mantinieka gribas izteikumam pieņemt vai atraidīt mantojumu ir neatgriezenisks spēks.</w:t>
      </w:r>
    </w:p>
    <w:p w14:paraId="26E0F01D" w14:textId="7777777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 xml:space="preserve">Civillikuma 693. pants strikti reglamentē mantojuma pieņemšanas termiņus, proti, ja mantojuma pieņemšanai mantojuma atstājējs noteicis zināmu termiņu, tad ieceltam mantiniekam tas jāievēro. Atbilstoši minētajai tiesību normai, ja mantojuma pieņemšanai mantojuma atstājējs noteicis zināmu termiņu, tad ieceltam mantiniekam tas jāievēro. Ja tāds termiņš nav noteikts, bet mantinieki ir uzaicināti, tad mantot aicinātam sava griba par mantojuma pieņemšanu jāizteic līdz uzaicinājumā noliktam termiņam, bet, ja uzaicinājuma nav bijis, tad sava griba pieņemt mantojumu mantiniekam jāizsaka gada laikā, skaitot šo termiņu no mantojuma atklāšanās dienas, ja mantojums atrodas viņa faktiskā valdījumā (Civillikuma 692. panta otrā daļa), bet pretējā gadījumā – no ziņu saņemšanas laika par to, ka mantojums atklājies. </w:t>
      </w:r>
    </w:p>
    <w:p w14:paraId="1E686214" w14:textId="6F1CFF41"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Šie termiņi pantā ir sakārtoti prioritārā jeb izslēdzošā secībā. Ja mantojuma atstājējs ir noteicis termiņu mantojuma pieņemšanai, ir jāņem vērā šis termiņš</w:t>
      </w:r>
      <w:r w:rsidR="004774E2" w:rsidRPr="00A81DB1">
        <w:rPr>
          <w:rFonts w:asciiTheme="majorBidi" w:hAnsiTheme="majorBidi" w:cstheme="majorBidi"/>
          <w:szCs w:val="24"/>
        </w:rPr>
        <w:t>,</w:t>
      </w:r>
      <w:r w:rsidRPr="00A81DB1">
        <w:rPr>
          <w:rFonts w:asciiTheme="majorBidi" w:hAnsiTheme="majorBidi" w:cstheme="majorBidi"/>
          <w:szCs w:val="24"/>
        </w:rPr>
        <w:t xml:space="preserve"> savukārt, ja šāds termiņš nav noteikts, tad ir jāņem vērā pārējie Civillikuma noteikumi par mantojuma pieņemšanas termiņu, t.i., šī panta otrā un trešā daļa. Tas nozīmē, ka līdz brīdim, kamēr nav izdarīts uzaicinājums, ikvienam mantiniekam ir tiesības un pienākums gada laikā no mantojuma atklāšanās izteikt gribu par mantojuma pieņemšanu (sk. </w:t>
      </w:r>
      <w:r w:rsidRPr="00A81DB1">
        <w:rPr>
          <w:rFonts w:asciiTheme="majorBidi" w:hAnsiTheme="majorBidi" w:cstheme="majorBidi"/>
          <w:i/>
          <w:iCs/>
          <w:szCs w:val="24"/>
        </w:rPr>
        <w:t>Senāta 2019. gada 30. maija sprieduma lietā Nr. SKC-178/2019 (</w:t>
      </w:r>
      <w:r w:rsidR="005336E8" w:rsidRPr="00A81DB1">
        <w:rPr>
          <w:rFonts w:asciiTheme="majorBidi" w:hAnsiTheme="majorBidi" w:cstheme="majorBidi"/>
          <w:i/>
          <w:iCs/>
          <w:szCs w:val="24"/>
        </w:rPr>
        <w:t>ECLI:LV:AT:2019:0530.C32184016.6.S</w:t>
      </w:r>
      <w:r w:rsidRPr="00A81DB1">
        <w:rPr>
          <w:rFonts w:asciiTheme="majorBidi" w:hAnsiTheme="majorBidi" w:cstheme="majorBidi"/>
          <w:i/>
          <w:iCs/>
          <w:szCs w:val="24"/>
        </w:rPr>
        <w:t>) 7.2. punktu</w:t>
      </w:r>
      <w:r w:rsidRPr="00A81DB1">
        <w:rPr>
          <w:rFonts w:asciiTheme="majorBidi" w:hAnsiTheme="majorBidi" w:cstheme="majorBidi"/>
          <w:szCs w:val="24"/>
        </w:rPr>
        <w:t xml:space="preserve">). </w:t>
      </w:r>
    </w:p>
    <w:p w14:paraId="25874F11" w14:textId="30B48197"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lastRenderedPageBreak/>
        <w:t>Savukārt, ja ir izdarīts uzaicinājums (sludinājums par mantojuma atklāšanos), tad nav strīda, ka ir iestājušies C</w:t>
      </w:r>
      <w:r w:rsidR="002155FE" w:rsidRPr="00A81DB1">
        <w:rPr>
          <w:rFonts w:asciiTheme="majorBidi" w:hAnsiTheme="majorBidi" w:cstheme="majorBidi"/>
          <w:szCs w:val="24"/>
        </w:rPr>
        <w:t>ivillikuma</w:t>
      </w:r>
      <w:r w:rsidRPr="00A81DB1">
        <w:rPr>
          <w:rFonts w:asciiTheme="majorBidi" w:hAnsiTheme="majorBidi" w:cstheme="majorBidi"/>
          <w:szCs w:val="24"/>
        </w:rPr>
        <w:t xml:space="preserve"> 693.</w:t>
      </w:r>
      <w:r w:rsidR="002155FE" w:rsidRPr="00A81DB1">
        <w:rPr>
          <w:rFonts w:asciiTheme="majorBidi" w:hAnsiTheme="majorBidi" w:cstheme="majorBidi"/>
          <w:szCs w:val="24"/>
        </w:rPr>
        <w:t> </w:t>
      </w:r>
      <w:r w:rsidRPr="00A81DB1">
        <w:rPr>
          <w:rFonts w:asciiTheme="majorBidi" w:hAnsiTheme="majorBidi" w:cstheme="majorBidi"/>
          <w:szCs w:val="24"/>
        </w:rPr>
        <w:t>panta otrajā daļā minētie apstākļi, un ir piemērojamas arī šī panta daļā noteiktās tiesiskās sekas –</w:t>
      </w:r>
      <w:r w:rsidR="002155FE" w:rsidRPr="00A81DB1">
        <w:rPr>
          <w:rFonts w:asciiTheme="majorBidi" w:hAnsiTheme="majorBidi" w:cstheme="majorBidi"/>
          <w:szCs w:val="24"/>
        </w:rPr>
        <w:t> </w:t>
      </w:r>
      <w:r w:rsidRPr="00A81DB1">
        <w:rPr>
          <w:rFonts w:asciiTheme="majorBidi" w:hAnsiTheme="majorBidi" w:cstheme="majorBidi"/>
          <w:szCs w:val="24"/>
        </w:rPr>
        <w:t xml:space="preserve">mantot aicinātajam sava griba par mantojuma pieņemšanu jāizteic līdz </w:t>
      </w:r>
      <w:r w:rsidR="004774E2" w:rsidRPr="00A81DB1">
        <w:rPr>
          <w:rFonts w:asciiTheme="majorBidi" w:hAnsiTheme="majorBidi" w:cstheme="majorBidi"/>
          <w:szCs w:val="24"/>
        </w:rPr>
        <w:t xml:space="preserve">zvērināta </w:t>
      </w:r>
      <w:r w:rsidRPr="00A81DB1">
        <w:rPr>
          <w:rFonts w:asciiTheme="majorBidi" w:hAnsiTheme="majorBidi" w:cstheme="majorBidi"/>
          <w:szCs w:val="24"/>
        </w:rPr>
        <w:t>notāra uzaicinājumā noliktam termiņam</w:t>
      </w:r>
      <w:r w:rsidR="002155FE" w:rsidRPr="00A81DB1">
        <w:rPr>
          <w:rFonts w:asciiTheme="majorBidi" w:hAnsiTheme="majorBidi" w:cstheme="majorBidi"/>
          <w:szCs w:val="24"/>
        </w:rPr>
        <w:t>.</w:t>
      </w:r>
    </w:p>
    <w:p w14:paraId="52F102AF" w14:textId="2ECE4B4C"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hAnsiTheme="majorBidi" w:cstheme="majorBidi"/>
          <w:szCs w:val="24"/>
        </w:rPr>
        <w:t>Saskaņā ar C</w:t>
      </w:r>
      <w:r w:rsidR="002155FE" w:rsidRPr="00A81DB1">
        <w:rPr>
          <w:rFonts w:asciiTheme="majorBidi" w:hAnsiTheme="majorBidi" w:cstheme="majorBidi"/>
          <w:szCs w:val="24"/>
        </w:rPr>
        <w:t>ivillikuma</w:t>
      </w:r>
      <w:r w:rsidRPr="00A81DB1">
        <w:rPr>
          <w:rFonts w:asciiTheme="majorBidi" w:hAnsiTheme="majorBidi" w:cstheme="majorBidi"/>
          <w:szCs w:val="24"/>
        </w:rPr>
        <w:t xml:space="preserve"> 705.</w:t>
      </w:r>
      <w:r w:rsidR="002155FE" w:rsidRPr="00A81DB1">
        <w:rPr>
          <w:rFonts w:asciiTheme="majorBidi" w:hAnsiTheme="majorBidi" w:cstheme="majorBidi"/>
          <w:szCs w:val="24"/>
        </w:rPr>
        <w:t> </w:t>
      </w:r>
      <w:r w:rsidRPr="00A81DB1">
        <w:rPr>
          <w:rFonts w:asciiTheme="majorBidi" w:hAnsiTheme="majorBidi" w:cstheme="majorBidi"/>
          <w:szCs w:val="24"/>
        </w:rPr>
        <w:t xml:space="preserve">panta </w:t>
      </w:r>
      <w:r w:rsidR="002155FE" w:rsidRPr="00A81DB1">
        <w:rPr>
          <w:rFonts w:asciiTheme="majorBidi" w:hAnsiTheme="majorBidi" w:cstheme="majorBidi"/>
          <w:szCs w:val="24"/>
        </w:rPr>
        <w:t>otro</w:t>
      </w:r>
      <w:r w:rsidRPr="00A81DB1">
        <w:rPr>
          <w:rFonts w:asciiTheme="majorBidi" w:hAnsiTheme="majorBidi" w:cstheme="majorBidi"/>
          <w:szCs w:val="24"/>
        </w:rPr>
        <w:t xml:space="preserve"> daļu uzaicinājumā (sludinājumā par mantojuma atklāšanos) norādītajā termiņā nepieteiktās kreditoru pretenzijas dzēš, izdodot mantojuma apliecību vai Eiropas mantošanas apliecību vai taisot aktu par mantojuma lietas izbeigšanu. Uzaicinājuma sludinājums ir tiesību instruments, ar kura palīdzību cita starpā noskaidro gan nezināmus mantiniekus, gan zināmu mantinieku gribu pieņemt mantojumu (sk.</w:t>
      </w:r>
      <w:r w:rsidR="002155FE" w:rsidRPr="00A81DB1">
        <w:rPr>
          <w:rFonts w:asciiTheme="majorBidi" w:hAnsiTheme="majorBidi" w:cstheme="majorBidi"/>
          <w:szCs w:val="24"/>
        </w:rPr>
        <w:t xml:space="preserve"> </w:t>
      </w:r>
      <w:r w:rsidR="002155FE" w:rsidRPr="00A81DB1">
        <w:rPr>
          <w:rFonts w:asciiTheme="majorBidi" w:hAnsiTheme="majorBidi" w:cstheme="majorBidi"/>
          <w:i/>
          <w:iCs/>
          <w:szCs w:val="24"/>
        </w:rPr>
        <w:t>Senāta</w:t>
      </w:r>
      <w:r w:rsidRPr="00A81DB1">
        <w:rPr>
          <w:rFonts w:asciiTheme="majorBidi" w:hAnsiTheme="majorBidi" w:cstheme="majorBidi"/>
          <w:i/>
          <w:iCs/>
          <w:szCs w:val="24"/>
        </w:rPr>
        <w:t xml:space="preserve"> 2014.</w:t>
      </w:r>
      <w:r w:rsidR="002155FE" w:rsidRPr="00A81DB1">
        <w:rPr>
          <w:rFonts w:asciiTheme="majorBidi" w:hAnsiTheme="majorBidi" w:cstheme="majorBidi"/>
          <w:i/>
          <w:iCs/>
          <w:szCs w:val="24"/>
        </w:rPr>
        <w:t> </w:t>
      </w:r>
      <w:r w:rsidRPr="00A81DB1">
        <w:rPr>
          <w:rFonts w:asciiTheme="majorBidi" w:hAnsiTheme="majorBidi" w:cstheme="majorBidi"/>
          <w:i/>
          <w:iCs/>
          <w:szCs w:val="24"/>
        </w:rPr>
        <w:t>gada 7.</w:t>
      </w:r>
      <w:r w:rsidR="002155FE" w:rsidRPr="00A81DB1">
        <w:rPr>
          <w:rFonts w:asciiTheme="majorBidi" w:hAnsiTheme="majorBidi" w:cstheme="majorBidi"/>
          <w:i/>
          <w:iCs/>
          <w:szCs w:val="24"/>
        </w:rPr>
        <w:t> </w:t>
      </w:r>
      <w:r w:rsidRPr="00A81DB1">
        <w:rPr>
          <w:rFonts w:asciiTheme="majorBidi" w:hAnsiTheme="majorBidi" w:cstheme="majorBidi"/>
          <w:i/>
          <w:iCs/>
          <w:szCs w:val="24"/>
        </w:rPr>
        <w:t>novembra spriedum</w:t>
      </w:r>
      <w:r w:rsidR="004C75DE" w:rsidRPr="00A81DB1">
        <w:rPr>
          <w:rFonts w:asciiTheme="majorBidi" w:hAnsiTheme="majorBidi" w:cstheme="majorBidi"/>
          <w:i/>
          <w:iCs/>
          <w:szCs w:val="24"/>
        </w:rPr>
        <w:t>a</w:t>
      </w:r>
      <w:r w:rsidRPr="00A81DB1">
        <w:rPr>
          <w:rFonts w:asciiTheme="majorBidi" w:hAnsiTheme="majorBidi" w:cstheme="majorBidi"/>
          <w:i/>
          <w:iCs/>
          <w:szCs w:val="24"/>
        </w:rPr>
        <w:t xml:space="preserve"> lietā Nr.</w:t>
      </w:r>
      <w:r w:rsidR="002155FE" w:rsidRPr="00A81DB1">
        <w:rPr>
          <w:rFonts w:asciiTheme="majorBidi" w:hAnsiTheme="majorBidi" w:cstheme="majorBidi"/>
          <w:i/>
          <w:iCs/>
          <w:szCs w:val="24"/>
        </w:rPr>
        <w:t> SKC-</w:t>
      </w:r>
      <w:r w:rsidR="007D43B2" w:rsidRPr="00A81DB1">
        <w:rPr>
          <w:rFonts w:asciiTheme="majorBidi" w:hAnsiTheme="majorBidi" w:cstheme="majorBidi"/>
          <w:i/>
          <w:iCs/>
          <w:szCs w:val="24"/>
        </w:rPr>
        <w:t>188</w:t>
      </w:r>
      <w:r w:rsidR="002155FE" w:rsidRPr="00A81DB1">
        <w:rPr>
          <w:rFonts w:asciiTheme="majorBidi" w:hAnsiTheme="majorBidi" w:cstheme="majorBidi"/>
          <w:i/>
          <w:iCs/>
          <w:szCs w:val="24"/>
        </w:rPr>
        <w:t>/201</w:t>
      </w:r>
      <w:r w:rsidR="007D43B2" w:rsidRPr="00A81DB1">
        <w:rPr>
          <w:rFonts w:asciiTheme="majorBidi" w:hAnsiTheme="majorBidi" w:cstheme="majorBidi"/>
          <w:i/>
          <w:iCs/>
          <w:szCs w:val="24"/>
        </w:rPr>
        <w:t>4</w:t>
      </w:r>
      <w:r w:rsidR="002155FE" w:rsidRPr="00A81DB1">
        <w:rPr>
          <w:rFonts w:asciiTheme="majorBidi" w:hAnsiTheme="majorBidi" w:cstheme="majorBidi"/>
          <w:i/>
          <w:iCs/>
          <w:szCs w:val="24"/>
        </w:rPr>
        <w:t xml:space="preserve"> (</w:t>
      </w:r>
      <w:r w:rsidRPr="00A81DB1">
        <w:rPr>
          <w:rFonts w:asciiTheme="majorBidi" w:hAnsiTheme="majorBidi" w:cstheme="majorBidi"/>
          <w:i/>
          <w:iCs/>
          <w:szCs w:val="24"/>
        </w:rPr>
        <w:t>C39062911</w:t>
      </w:r>
      <w:r w:rsidR="002155FE" w:rsidRPr="00A81DB1">
        <w:rPr>
          <w:rFonts w:asciiTheme="majorBidi" w:hAnsiTheme="majorBidi" w:cstheme="majorBidi"/>
          <w:i/>
          <w:iCs/>
          <w:szCs w:val="24"/>
        </w:rPr>
        <w:t>)</w:t>
      </w:r>
      <w:r w:rsidR="00C50E63" w:rsidRPr="00A81DB1">
        <w:rPr>
          <w:rFonts w:asciiTheme="majorBidi" w:hAnsiTheme="majorBidi" w:cstheme="majorBidi"/>
          <w:i/>
          <w:iCs/>
          <w:szCs w:val="24"/>
        </w:rPr>
        <w:t xml:space="preserve"> 9.2. punktu</w:t>
      </w:r>
      <w:r w:rsidRPr="00A81DB1">
        <w:rPr>
          <w:rFonts w:asciiTheme="majorBidi" w:hAnsiTheme="majorBidi" w:cstheme="majorBidi"/>
          <w:szCs w:val="24"/>
        </w:rPr>
        <w:t xml:space="preserve">). </w:t>
      </w:r>
    </w:p>
    <w:p w14:paraId="0300E6AB" w14:textId="77777777" w:rsidR="002260F3" w:rsidRPr="00A81DB1" w:rsidRDefault="002260F3" w:rsidP="00A81DB1">
      <w:pPr>
        <w:pStyle w:val="tv213"/>
        <w:shd w:val="clear" w:color="auto" w:fill="FFFFFF"/>
        <w:spacing w:before="0" w:beforeAutospacing="0" w:after="0" w:afterAutospacing="0" w:line="276" w:lineRule="auto"/>
        <w:ind w:firstLine="709"/>
        <w:jc w:val="both"/>
        <w:rPr>
          <w:rFonts w:asciiTheme="majorBidi" w:hAnsiTheme="majorBidi" w:cstheme="majorBidi"/>
        </w:rPr>
      </w:pPr>
    </w:p>
    <w:p w14:paraId="549DE199" w14:textId="68496FE9" w:rsidR="002260F3" w:rsidRPr="00A81DB1" w:rsidRDefault="002260F3" w:rsidP="00A81DB1">
      <w:pPr>
        <w:pStyle w:val="tv213"/>
        <w:shd w:val="clear" w:color="auto" w:fill="FFFFFF"/>
        <w:spacing w:before="0" w:beforeAutospacing="0" w:after="0" w:afterAutospacing="0" w:line="276" w:lineRule="auto"/>
        <w:ind w:firstLine="709"/>
        <w:jc w:val="both"/>
        <w:rPr>
          <w:rFonts w:asciiTheme="majorBidi" w:hAnsiTheme="majorBidi" w:cstheme="majorBidi"/>
        </w:rPr>
      </w:pPr>
      <w:r w:rsidRPr="00A81DB1">
        <w:rPr>
          <w:rFonts w:asciiTheme="majorBidi" w:hAnsiTheme="majorBidi" w:cstheme="majorBidi"/>
        </w:rPr>
        <w:t>[8]</w:t>
      </w:r>
      <w:r w:rsidR="00E555F3" w:rsidRPr="00A81DB1">
        <w:rPr>
          <w:rFonts w:asciiTheme="majorBidi" w:hAnsiTheme="majorBidi" w:cstheme="majorBidi"/>
        </w:rPr>
        <w:t> </w:t>
      </w:r>
      <w:r w:rsidRPr="00A81DB1">
        <w:rPr>
          <w:rFonts w:asciiTheme="majorBidi" w:hAnsiTheme="majorBidi" w:cstheme="majorBidi"/>
        </w:rPr>
        <w:t xml:space="preserve">Tādējādi konkrētajā gadījumā apelācijas instances tiesas pienākums bija noskaidrot, vai prasītājs likumā noteiktajā kārtībā un termiņā bija izteicis gribu pieņemt tēva atstāto mantojumu, kā arī to, vai mantojums ir atradies prasītāja faktiskajā valdījumā. Taču šiem lietas pamata apstākļiem apelācijas instances tiesa spriedumā vispār nav pievērsusies, bet to nenoskaidrošana liedza tiesai pārliecināties par Civillikuma 688., 693. un 694. panta prasību izpildi no prasītāja puses, kas savukārt šo normu piemērošanas kontekstā var būtiski ietekmēt lietas iznākumu. </w:t>
      </w:r>
    </w:p>
    <w:p w14:paraId="47E47C42" w14:textId="77777777"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hAnsiTheme="majorBidi" w:cstheme="majorBidi"/>
          <w:szCs w:val="24"/>
        </w:rPr>
        <w:t>Tā vietā, balstoties uz pieņēmumiem, nevis lietā pārbaudītiem un novērtētiem pierādījumiem, tiesa izteikusi pārmetumus atbildētājai par n</w:t>
      </w:r>
      <w:r w:rsidRPr="00A81DB1">
        <w:rPr>
          <w:rFonts w:asciiTheme="majorBidi" w:eastAsiaTheme="minorHAnsi" w:hAnsiTheme="majorBidi" w:cstheme="majorBidi"/>
          <w:color w:val="000000"/>
          <w:szCs w:val="24"/>
          <w:lang w:eastAsia="en-US"/>
        </w:rPr>
        <w:t xml:space="preserve">epilnīgas informācijas sniegšanu vai apzinātu noklusēšanu par citiem zināmajiem mantiniekiem, norādot uz viņas </w:t>
      </w:r>
      <w:proofErr w:type="spellStart"/>
      <w:r w:rsidRPr="00A81DB1">
        <w:rPr>
          <w:rFonts w:asciiTheme="majorBidi" w:eastAsiaTheme="minorHAnsi" w:hAnsiTheme="majorBidi" w:cstheme="majorBidi"/>
          <w:color w:val="000000"/>
          <w:szCs w:val="24"/>
          <w:lang w:eastAsia="en-US"/>
        </w:rPr>
        <w:t>negodprātību</w:t>
      </w:r>
      <w:proofErr w:type="spellEnd"/>
      <w:r w:rsidRPr="00A81DB1">
        <w:rPr>
          <w:rFonts w:asciiTheme="majorBidi" w:eastAsiaTheme="minorHAnsi" w:hAnsiTheme="majorBidi" w:cstheme="majorBidi"/>
          <w:color w:val="000000"/>
          <w:szCs w:val="24"/>
          <w:lang w:eastAsia="en-US"/>
        </w:rPr>
        <w:t xml:space="preserve">. </w:t>
      </w:r>
    </w:p>
    <w:p w14:paraId="237FBA02" w14:textId="3CA67995" w:rsidR="002260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eastAsiaTheme="minorHAnsi" w:hAnsiTheme="majorBidi" w:cstheme="majorBidi"/>
          <w:color w:val="000000"/>
          <w:szCs w:val="24"/>
          <w:lang w:eastAsia="en-US"/>
        </w:rPr>
        <w:t>[8.1]</w:t>
      </w:r>
      <w:r w:rsidR="00E555F3" w:rsidRPr="00A81DB1">
        <w:rPr>
          <w:rFonts w:asciiTheme="majorBidi" w:eastAsiaTheme="minorHAnsi" w:hAnsiTheme="majorBidi" w:cstheme="majorBidi"/>
          <w:color w:val="000000"/>
          <w:szCs w:val="24"/>
          <w:lang w:eastAsia="en-US"/>
        </w:rPr>
        <w:t> </w:t>
      </w:r>
      <w:r w:rsidRPr="00A81DB1">
        <w:rPr>
          <w:rFonts w:asciiTheme="majorBidi" w:eastAsiaTheme="minorHAnsi" w:hAnsiTheme="majorBidi" w:cstheme="majorBidi"/>
          <w:color w:val="000000"/>
          <w:szCs w:val="24"/>
          <w:lang w:eastAsia="en-US"/>
        </w:rPr>
        <w:t xml:space="preserve">Piemēram, norādot, ka </w:t>
      </w:r>
      <w:r w:rsidR="00E555F3" w:rsidRPr="00A81DB1">
        <w:rPr>
          <w:rFonts w:asciiTheme="majorBidi" w:eastAsiaTheme="minorHAnsi" w:hAnsiTheme="majorBidi" w:cstheme="majorBidi"/>
          <w:color w:val="000000"/>
          <w:szCs w:val="24"/>
          <w:lang w:eastAsia="en-US"/>
        </w:rPr>
        <w:t>„</w:t>
      </w:r>
      <w:r w:rsidRPr="00A81DB1">
        <w:rPr>
          <w:rFonts w:asciiTheme="majorBidi" w:eastAsiaTheme="minorHAnsi" w:hAnsiTheme="majorBidi" w:cstheme="majorBidi"/>
          <w:color w:val="000000"/>
          <w:szCs w:val="24"/>
          <w:lang w:eastAsia="en-US"/>
        </w:rPr>
        <w:t xml:space="preserve">zvērinātam notāram ir iespēja ieskatīties reģistros, bet tas ir maksas pakalpojums” (sk. </w:t>
      </w:r>
      <w:r w:rsidR="00E555F3" w:rsidRPr="00A81DB1">
        <w:rPr>
          <w:rFonts w:asciiTheme="majorBidi" w:eastAsiaTheme="minorHAnsi" w:hAnsiTheme="majorBidi" w:cstheme="majorBidi"/>
          <w:i/>
          <w:iCs/>
          <w:color w:val="000000"/>
          <w:szCs w:val="24"/>
          <w:lang w:eastAsia="en-US"/>
        </w:rPr>
        <w:t xml:space="preserve">pārbaudāmā </w:t>
      </w:r>
      <w:r w:rsidRPr="00A81DB1">
        <w:rPr>
          <w:rFonts w:asciiTheme="majorBidi" w:eastAsiaTheme="minorHAnsi" w:hAnsiTheme="majorBidi" w:cstheme="majorBidi"/>
          <w:i/>
          <w:iCs/>
          <w:color w:val="000000"/>
          <w:szCs w:val="24"/>
          <w:lang w:eastAsia="en-US"/>
        </w:rPr>
        <w:t>sprieduma 7.3.</w:t>
      </w:r>
      <w:r w:rsidR="00E555F3" w:rsidRPr="00A81DB1">
        <w:rPr>
          <w:rFonts w:asciiTheme="majorBidi" w:eastAsiaTheme="minorHAnsi" w:hAnsiTheme="majorBidi" w:cstheme="majorBidi"/>
          <w:i/>
          <w:iCs/>
          <w:color w:val="000000"/>
          <w:szCs w:val="24"/>
          <w:lang w:eastAsia="en-US"/>
        </w:rPr>
        <w:t> </w:t>
      </w:r>
      <w:r w:rsidRPr="00A81DB1">
        <w:rPr>
          <w:rFonts w:asciiTheme="majorBidi" w:eastAsiaTheme="minorHAnsi" w:hAnsiTheme="majorBidi" w:cstheme="majorBidi"/>
          <w:i/>
          <w:iCs/>
          <w:color w:val="000000"/>
          <w:szCs w:val="24"/>
          <w:lang w:eastAsia="en-US"/>
        </w:rPr>
        <w:t>punkt</w:t>
      </w:r>
      <w:r w:rsidR="00E555F3" w:rsidRPr="00A81DB1">
        <w:rPr>
          <w:rFonts w:asciiTheme="majorBidi" w:eastAsiaTheme="minorHAnsi" w:hAnsiTheme="majorBidi" w:cstheme="majorBidi"/>
          <w:i/>
          <w:iCs/>
          <w:color w:val="000000"/>
          <w:szCs w:val="24"/>
          <w:lang w:eastAsia="en-US"/>
        </w:rPr>
        <w:t>u</w:t>
      </w:r>
      <w:r w:rsidRPr="00A81DB1">
        <w:rPr>
          <w:rFonts w:asciiTheme="majorBidi" w:eastAsiaTheme="minorHAnsi" w:hAnsiTheme="majorBidi" w:cstheme="majorBidi"/>
          <w:color w:val="000000"/>
          <w:szCs w:val="24"/>
          <w:lang w:eastAsia="en-US"/>
        </w:rPr>
        <w:t>), tiesa nav ņēmusi vērā lietas materiālos esošo Mantošanas iesniegumu (</w:t>
      </w:r>
      <w:r w:rsidR="00E555F3" w:rsidRPr="00A81DB1">
        <w:rPr>
          <w:rFonts w:asciiTheme="majorBidi" w:eastAsiaTheme="minorHAnsi" w:hAnsiTheme="majorBidi" w:cstheme="majorBidi"/>
          <w:color w:val="000000"/>
          <w:szCs w:val="24"/>
          <w:lang w:eastAsia="en-US"/>
        </w:rPr>
        <w:t xml:space="preserve">sk. </w:t>
      </w:r>
      <w:r w:rsidRPr="00A81DB1">
        <w:rPr>
          <w:rFonts w:asciiTheme="majorBidi" w:eastAsiaTheme="minorHAnsi" w:hAnsiTheme="majorBidi" w:cstheme="majorBidi"/>
          <w:i/>
          <w:iCs/>
          <w:color w:val="000000"/>
          <w:szCs w:val="24"/>
          <w:lang w:eastAsia="en-US"/>
        </w:rPr>
        <w:t>lietas 20.-21.</w:t>
      </w:r>
      <w:r w:rsidR="00E555F3" w:rsidRPr="00A81DB1">
        <w:rPr>
          <w:rFonts w:asciiTheme="majorBidi" w:eastAsiaTheme="minorHAnsi" w:hAnsiTheme="majorBidi" w:cstheme="majorBidi"/>
          <w:i/>
          <w:iCs/>
          <w:color w:val="000000"/>
          <w:szCs w:val="24"/>
          <w:lang w:eastAsia="en-US"/>
        </w:rPr>
        <w:t> lapu</w:t>
      </w:r>
      <w:r w:rsidRPr="00A81DB1">
        <w:rPr>
          <w:rFonts w:asciiTheme="majorBidi" w:eastAsiaTheme="minorHAnsi" w:hAnsiTheme="majorBidi" w:cstheme="majorBidi"/>
          <w:color w:val="000000"/>
          <w:szCs w:val="24"/>
          <w:lang w:eastAsia="en-US"/>
        </w:rPr>
        <w:t>), kuru zvērinātam notāram iesniegusi atbildētāja un kurā ir arī uzskaitīti visi tie izdevumi, k</w:t>
      </w:r>
      <w:r w:rsidR="00E555F3" w:rsidRPr="00A81DB1">
        <w:rPr>
          <w:rFonts w:asciiTheme="majorBidi" w:eastAsiaTheme="minorHAnsi" w:hAnsiTheme="majorBidi" w:cstheme="majorBidi"/>
          <w:color w:val="000000"/>
          <w:szCs w:val="24"/>
          <w:lang w:eastAsia="en-US"/>
        </w:rPr>
        <w:t>as</w:t>
      </w:r>
      <w:r w:rsidRPr="00A81DB1">
        <w:rPr>
          <w:rFonts w:asciiTheme="majorBidi" w:eastAsiaTheme="minorHAnsi" w:hAnsiTheme="majorBidi" w:cstheme="majorBidi"/>
          <w:color w:val="000000"/>
          <w:szCs w:val="24"/>
          <w:lang w:eastAsia="en-US"/>
        </w:rPr>
        <w:t xml:space="preserve"> radušies Mantošanas iesnieguma sagatavošanā atbildētājai, tai skaitā, izdevumi par ieskatīšanos Iedzīvotāju reģistra centrālajā datu bāzē (18,81 </w:t>
      </w:r>
      <w:r w:rsidRPr="00A81DB1">
        <w:rPr>
          <w:rFonts w:asciiTheme="majorBidi" w:eastAsiaTheme="minorHAnsi" w:hAnsiTheme="majorBidi" w:cstheme="majorBidi"/>
          <w:i/>
          <w:iCs/>
          <w:color w:val="000000"/>
          <w:szCs w:val="24"/>
          <w:lang w:eastAsia="en-US"/>
        </w:rPr>
        <w:t>euro</w:t>
      </w:r>
      <w:r w:rsidRPr="00A81DB1">
        <w:rPr>
          <w:rFonts w:asciiTheme="majorBidi" w:eastAsiaTheme="minorHAnsi" w:hAnsiTheme="majorBidi" w:cstheme="majorBidi"/>
          <w:color w:val="000000"/>
          <w:szCs w:val="24"/>
          <w:lang w:eastAsia="en-US"/>
        </w:rPr>
        <w:t xml:space="preserve">). Tāds pats ieraksts izdevumiem par ieskatīšanos Iedzīvotāju reģistra centrālajā datu bāzē (6,27 </w:t>
      </w:r>
      <w:r w:rsidRPr="00A81DB1">
        <w:rPr>
          <w:rFonts w:asciiTheme="majorBidi" w:eastAsiaTheme="minorHAnsi" w:hAnsiTheme="majorBidi" w:cstheme="majorBidi"/>
          <w:i/>
          <w:iCs/>
          <w:color w:val="000000"/>
          <w:szCs w:val="24"/>
          <w:lang w:eastAsia="en-US"/>
        </w:rPr>
        <w:t>euro</w:t>
      </w:r>
      <w:r w:rsidRPr="00A81DB1">
        <w:rPr>
          <w:rFonts w:asciiTheme="majorBidi" w:eastAsiaTheme="minorHAnsi" w:hAnsiTheme="majorBidi" w:cstheme="majorBidi"/>
          <w:color w:val="000000"/>
          <w:szCs w:val="24"/>
          <w:lang w:eastAsia="en-US"/>
        </w:rPr>
        <w:t>) atrodams arī atbildētājai izsniegtajā Mantojuma apliecībā (</w:t>
      </w:r>
      <w:r w:rsidR="00E555F3" w:rsidRPr="00A81DB1">
        <w:rPr>
          <w:rFonts w:asciiTheme="majorBidi" w:eastAsiaTheme="minorHAnsi" w:hAnsiTheme="majorBidi" w:cstheme="majorBidi"/>
          <w:color w:val="000000"/>
          <w:szCs w:val="24"/>
          <w:lang w:eastAsia="en-US"/>
        </w:rPr>
        <w:t xml:space="preserve">sk. </w:t>
      </w:r>
      <w:r w:rsidRPr="00A81DB1">
        <w:rPr>
          <w:rFonts w:asciiTheme="majorBidi" w:eastAsiaTheme="minorHAnsi" w:hAnsiTheme="majorBidi" w:cstheme="majorBidi"/>
          <w:i/>
          <w:iCs/>
          <w:color w:val="000000"/>
          <w:szCs w:val="24"/>
          <w:lang w:eastAsia="en-US"/>
        </w:rPr>
        <w:t>lietas 23.</w:t>
      </w:r>
      <w:r w:rsidR="00E555F3" w:rsidRPr="00A81DB1">
        <w:rPr>
          <w:rFonts w:asciiTheme="majorBidi" w:eastAsiaTheme="minorHAnsi" w:hAnsiTheme="majorBidi" w:cstheme="majorBidi"/>
          <w:i/>
          <w:iCs/>
          <w:color w:val="000000"/>
          <w:szCs w:val="24"/>
          <w:lang w:eastAsia="en-US"/>
        </w:rPr>
        <w:t> lapu</w:t>
      </w:r>
      <w:r w:rsidRPr="00A81DB1">
        <w:rPr>
          <w:rFonts w:asciiTheme="majorBidi" w:eastAsiaTheme="minorHAnsi" w:hAnsiTheme="majorBidi" w:cstheme="majorBidi"/>
          <w:color w:val="000000"/>
          <w:szCs w:val="24"/>
          <w:lang w:eastAsia="en-US"/>
        </w:rPr>
        <w:t>). No pār</w:t>
      </w:r>
      <w:r w:rsidR="00E555F3" w:rsidRPr="00A81DB1">
        <w:rPr>
          <w:rFonts w:asciiTheme="majorBidi" w:eastAsiaTheme="minorHAnsi" w:hAnsiTheme="majorBidi" w:cstheme="majorBidi"/>
          <w:color w:val="000000"/>
          <w:szCs w:val="24"/>
          <w:lang w:eastAsia="en-US"/>
        </w:rPr>
        <w:t>baudāmā</w:t>
      </w:r>
      <w:r w:rsidRPr="00A81DB1">
        <w:rPr>
          <w:rFonts w:asciiTheme="majorBidi" w:eastAsiaTheme="minorHAnsi" w:hAnsiTheme="majorBidi" w:cstheme="majorBidi"/>
          <w:color w:val="000000"/>
          <w:szCs w:val="24"/>
          <w:lang w:eastAsia="en-US"/>
        </w:rPr>
        <w:t xml:space="preserve"> sprieduma </w:t>
      </w:r>
      <w:r w:rsidR="00E555F3" w:rsidRPr="00A81DB1">
        <w:rPr>
          <w:rFonts w:asciiTheme="majorBidi" w:eastAsiaTheme="minorHAnsi" w:hAnsiTheme="majorBidi" w:cstheme="majorBidi"/>
          <w:color w:val="000000"/>
          <w:szCs w:val="24"/>
          <w:lang w:eastAsia="en-US"/>
        </w:rPr>
        <w:t>neizriet</w:t>
      </w:r>
      <w:r w:rsidRPr="00A81DB1">
        <w:rPr>
          <w:rFonts w:asciiTheme="majorBidi" w:eastAsiaTheme="minorHAnsi" w:hAnsiTheme="majorBidi" w:cstheme="majorBidi"/>
          <w:color w:val="000000"/>
          <w:szCs w:val="24"/>
          <w:lang w:eastAsia="en-US"/>
        </w:rPr>
        <w:t>, ka tiesa vispār šos ierakstus būtu vērtējusi, turklāt kopsakarā ar atbildētāj</w:t>
      </w:r>
      <w:r w:rsidR="00E555F3" w:rsidRPr="00A81DB1">
        <w:rPr>
          <w:rFonts w:asciiTheme="majorBidi" w:eastAsiaTheme="minorHAnsi" w:hAnsiTheme="majorBidi" w:cstheme="majorBidi"/>
          <w:color w:val="000000"/>
          <w:szCs w:val="24"/>
          <w:lang w:eastAsia="en-US"/>
        </w:rPr>
        <w:t>a</w:t>
      </w:r>
      <w:r w:rsidRPr="00A81DB1">
        <w:rPr>
          <w:rFonts w:asciiTheme="majorBidi" w:eastAsiaTheme="minorHAnsi" w:hAnsiTheme="majorBidi" w:cstheme="majorBidi"/>
          <w:color w:val="000000"/>
          <w:szCs w:val="24"/>
          <w:lang w:eastAsia="en-US"/>
        </w:rPr>
        <w:t xml:space="preserve">s paskaidrojumiem un citiem lietā esošajiem pierādījumiem. </w:t>
      </w:r>
    </w:p>
    <w:p w14:paraId="3F4F4CF0" w14:textId="599319FA" w:rsidR="00E555F3" w:rsidRPr="00A81DB1" w:rsidRDefault="002260F3" w:rsidP="00A81DB1">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A81DB1">
        <w:rPr>
          <w:rFonts w:asciiTheme="majorBidi" w:eastAsiaTheme="minorHAnsi" w:hAnsiTheme="majorBidi" w:cstheme="majorBidi"/>
          <w:color w:val="000000"/>
          <w:szCs w:val="24"/>
          <w:lang w:eastAsia="en-US"/>
        </w:rPr>
        <w:t>[8.2]</w:t>
      </w:r>
      <w:r w:rsidR="00E555F3" w:rsidRPr="00A81DB1">
        <w:rPr>
          <w:rFonts w:asciiTheme="majorBidi" w:eastAsiaTheme="minorHAnsi" w:hAnsiTheme="majorBidi" w:cstheme="majorBidi"/>
          <w:color w:val="000000"/>
          <w:szCs w:val="24"/>
          <w:lang w:eastAsia="en-US"/>
        </w:rPr>
        <w:t> </w:t>
      </w:r>
      <w:r w:rsidRPr="00A81DB1">
        <w:rPr>
          <w:rFonts w:asciiTheme="majorBidi" w:eastAsiaTheme="minorHAnsi" w:hAnsiTheme="majorBidi" w:cstheme="majorBidi"/>
          <w:color w:val="000000"/>
          <w:szCs w:val="24"/>
          <w:lang w:eastAsia="en-US"/>
        </w:rPr>
        <w:t xml:space="preserve">Tāpat tiesa bez jebkāda pamata nonākusi pie slēdziena, ka </w:t>
      </w:r>
      <w:r w:rsidR="00E555F3" w:rsidRPr="00A81DB1">
        <w:rPr>
          <w:rFonts w:asciiTheme="majorBidi" w:eastAsiaTheme="minorHAnsi" w:hAnsiTheme="majorBidi" w:cstheme="majorBidi"/>
          <w:color w:val="000000"/>
          <w:szCs w:val="24"/>
          <w:lang w:eastAsia="en-US"/>
        </w:rPr>
        <w:t>„</w:t>
      </w:r>
      <w:r w:rsidRPr="00A81DB1">
        <w:rPr>
          <w:rFonts w:asciiTheme="majorBidi" w:eastAsiaTheme="minorHAnsi" w:hAnsiTheme="majorBidi" w:cstheme="majorBidi"/>
          <w:color w:val="000000"/>
          <w:szCs w:val="24"/>
          <w:lang w:eastAsia="en-US"/>
        </w:rPr>
        <w:t xml:space="preserve">maz ticams, ka 92 gadīgā mantojuma atstājēja tālrunī bija uzstādījumi, kas liedza viņa sievai piekļuvi tā saturam, kā arī maz ticams, ka mantojuma atstājēja sieva nezināja, kā sauc viņas vīra dēlu” (sk. </w:t>
      </w:r>
      <w:r w:rsidRPr="00A81DB1">
        <w:rPr>
          <w:rFonts w:asciiTheme="majorBidi" w:eastAsiaTheme="minorHAnsi" w:hAnsiTheme="majorBidi" w:cstheme="majorBidi"/>
          <w:i/>
          <w:iCs/>
          <w:color w:val="000000"/>
          <w:szCs w:val="24"/>
          <w:lang w:eastAsia="en-US"/>
        </w:rPr>
        <w:t>pār</w:t>
      </w:r>
      <w:r w:rsidR="00E555F3" w:rsidRPr="00A81DB1">
        <w:rPr>
          <w:rFonts w:asciiTheme="majorBidi" w:eastAsiaTheme="minorHAnsi" w:hAnsiTheme="majorBidi" w:cstheme="majorBidi"/>
          <w:i/>
          <w:iCs/>
          <w:color w:val="000000"/>
          <w:szCs w:val="24"/>
          <w:lang w:eastAsia="en-US"/>
        </w:rPr>
        <w:t xml:space="preserve">baudāmā </w:t>
      </w:r>
      <w:r w:rsidRPr="00A81DB1">
        <w:rPr>
          <w:rFonts w:asciiTheme="majorBidi" w:eastAsiaTheme="minorHAnsi" w:hAnsiTheme="majorBidi" w:cstheme="majorBidi"/>
          <w:i/>
          <w:iCs/>
          <w:color w:val="000000"/>
          <w:szCs w:val="24"/>
          <w:lang w:eastAsia="en-US"/>
        </w:rPr>
        <w:t>sprieduma 7.3.</w:t>
      </w:r>
      <w:r w:rsidR="000B3E20" w:rsidRPr="00A81DB1">
        <w:rPr>
          <w:rFonts w:asciiTheme="majorBidi" w:eastAsiaTheme="minorHAnsi" w:hAnsiTheme="majorBidi" w:cstheme="majorBidi"/>
          <w:i/>
          <w:iCs/>
          <w:color w:val="000000"/>
          <w:szCs w:val="24"/>
          <w:lang w:eastAsia="en-US"/>
        </w:rPr>
        <w:t> </w:t>
      </w:r>
      <w:r w:rsidRPr="00A81DB1">
        <w:rPr>
          <w:rFonts w:asciiTheme="majorBidi" w:eastAsiaTheme="minorHAnsi" w:hAnsiTheme="majorBidi" w:cstheme="majorBidi"/>
          <w:i/>
          <w:iCs/>
          <w:color w:val="000000"/>
          <w:szCs w:val="24"/>
          <w:lang w:eastAsia="en-US"/>
        </w:rPr>
        <w:t>punkt</w:t>
      </w:r>
      <w:r w:rsidR="00E555F3" w:rsidRPr="00A81DB1">
        <w:rPr>
          <w:rFonts w:asciiTheme="majorBidi" w:eastAsiaTheme="minorHAnsi" w:hAnsiTheme="majorBidi" w:cstheme="majorBidi"/>
          <w:i/>
          <w:iCs/>
          <w:color w:val="000000"/>
          <w:szCs w:val="24"/>
          <w:lang w:eastAsia="en-US"/>
        </w:rPr>
        <w:t>u</w:t>
      </w:r>
      <w:r w:rsidRPr="00A81DB1">
        <w:rPr>
          <w:rFonts w:asciiTheme="majorBidi" w:eastAsiaTheme="minorHAnsi" w:hAnsiTheme="majorBidi" w:cstheme="majorBidi"/>
          <w:color w:val="000000"/>
          <w:szCs w:val="24"/>
          <w:lang w:eastAsia="en-US"/>
        </w:rPr>
        <w:t xml:space="preserve">). </w:t>
      </w:r>
    </w:p>
    <w:p w14:paraId="760FA3E2" w14:textId="06E41C2C" w:rsidR="002260F3" w:rsidRPr="00A81DB1" w:rsidRDefault="002260F3" w:rsidP="00A81DB1">
      <w:pPr>
        <w:autoSpaceDE w:val="0"/>
        <w:autoSpaceDN w:val="0"/>
        <w:adjustRightInd w:val="0"/>
        <w:spacing w:line="276" w:lineRule="auto"/>
        <w:ind w:firstLine="720"/>
        <w:jc w:val="both"/>
        <w:rPr>
          <w:rFonts w:asciiTheme="majorBidi" w:hAnsiTheme="majorBidi" w:cstheme="majorBidi"/>
          <w:szCs w:val="24"/>
        </w:rPr>
      </w:pPr>
      <w:r w:rsidRPr="00A81DB1">
        <w:rPr>
          <w:rFonts w:asciiTheme="majorBidi" w:eastAsiaTheme="minorHAnsi" w:hAnsiTheme="majorBidi" w:cstheme="majorBidi"/>
          <w:color w:val="000000"/>
          <w:szCs w:val="24"/>
          <w:lang w:eastAsia="en-US"/>
        </w:rPr>
        <w:t xml:space="preserve">Pirmkārt, tiesa nav ņēmusi vērā, ka </w:t>
      </w:r>
      <w:r w:rsidR="00E555F3" w:rsidRPr="00A81DB1">
        <w:rPr>
          <w:rFonts w:asciiTheme="majorBidi" w:eastAsiaTheme="minorHAnsi" w:hAnsiTheme="majorBidi" w:cstheme="majorBidi"/>
          <w:color w:val="000000"/>
          <w:szCs w:val="24"/>
          <w:lang w:eastAsia="en-US"/>
        </w:rPr>
        <w:t>pirmās</w:t>
      </w:r>
      <w:r w:rsidRPr="00A81DB1">
        <w:rPr>
          <w:rFonts w:asciiTheme="majorBidi" w:eastAsiaTheme="minorHAnsi" w:hAnsiTheme="majorBidi" w:cstheme="majorBidi"/>
          <w:color w:val="000000"/>
          <w:szCs w:val="24"/>
          <w:lang w:eastAsia="en-US"/>
        </w:rPr>
        <w:t xml:space="preserve"> instances </w:t>
      </w:r>
      <w:r w:rsidR="004774E2" w:rsidRPr="00A81DB1">
        <w:rPr>
          <w:rFonts w:asciiTheme="majorBidi" w:eastAsiaTheme="minorHAnsi" w:hAnsiTheme="majorBidi" w:cstheme="majorBidi"/>
          <w:color w:val="000000"/>
          <w:szCs w:val="24"/>
          <w:lang w:eastAsia="en-US"/>
        </w:rPr>
        <w:t xml:space="preserve">tiesas </w:t>
      </w:r>
      <w:r w:rsidR="00E555F3" w:rsidRPr="00A81DB1">
        <w:rPr>
          <w:rFonts w:asciiTheme="majorBidi" w:eastAsiaTheme="minorHAnsi" w:hAnsiTheme="majorBidi" w:cstheme="majorBidi"/>
          <w:color w:val="000000"/>
          <w:szCs w:val="24"/>
          <w:lang w:eastAsia="en-US"/>
        </w:rPr>
        <w:t xml:space="preserve">2022. gada 30. maija </w:t>
      </w:r>
      <w:r w:rsidRPr="00A81DB1">
        <w:rPr>
          <w:rFonts w:asciiTheme="majorBidi" w:eastAsiaTheme="minorHAnsi" w:hAnsiTheme="majorBidi" w:cstheme="majorBidi"/>
          <w:color w:val="000000"/>
          <w:szCs w:val="24"/>
          <w:lang w:eastAsia="en-US"/>
        </w:rPr>
        <w:t xml:space="preserve">tiesas sēdē atbildētājas pārstāve paskaidroja, ka prasītājs tēvam uz </w:t>
      </w:r>
      <w:r w:rsidR="006E5E0C" w:rsidRPr="00A81DB1">
        <w:rPr>
          <w:rFonts w:asciiTheme="majorBidi" w:eastAsiaTheme="minorHAnsi" w:hAnsiTheme="majorBidi" w:cstheme="majorBidi"/>
          <w:color w:val="000000"/>
          <w:szCs w:val="24"/>
          <w:lang w:eastAsia="en-US"/>
        </w:rPr>
        <w:t>[..]</w:t>
      </w:r>
      <w:r w:rsidRPr="00A81DB1">
        <w:rPr>
          <w:rFonts w:asciiTheme="majorBidi" w:eastAsiaTheme="minorHAnsi" w:hAnsiTheme="majorBidi" w:cstheme="majorBidi"/>
          <w:color w:val="000000"/>
          <w:szCs w:val="24"/>
          <w:lang w:eastAsia="en-US"/>
        </w:rPr>
        <w:t xml:space="preserve"> gadu jubileju zvanījis uz mājas stacionāro tālruni</w:t>
      </w:r>
      <w:r w:rsidR="008706E0" w:rsidRPr="00A81DB1">
        <w:rPr>
          <w:rFonts w:asciiTheme="majorBidi" w:eastAsiaTheme="minorHAnsi" w:hAnsiTheme="majorBidi" w:cstheme="majorBidi"/>
          <w:color w:val="000000"/>
          <w:szCs w:val="24"/>
          <w:lang w:eastAsia="en-US"/>
        </w:rPr>
        <w:t xml:space="preserve"> (</w:t>
      </w:r>
      <w:r w:rsidR="008706E0" w:rsidRPr="00A81DB1">
        <w:rPr>
          <w:rFonts w:asciiTheme="majorBidi" w:eastAsiaTheme="minorHAnsi" w:hAnsiTheme="majorBidi" w:cstheme="majorBidi"/>
          <w:i/>
          <w:iCs/>
          <w:color w:val="000000"/>
          <w:szCs w:val="24"/>
          <w:lang w:eastAsia="en-US"/>
        </w:rPr>
        <w:t>skaņu ieraksts [00:13:16]</w:t>
      </w:r>
      <w:r w:rsidR="008706E0" w:rsidRPr="00A81DB1">
        <w:rPr>
          <w:rFonts w:asciiTheme="majorBidi" w:eastAsiaTheme="minorHAnsi" w:hAnsiTheme="majorBidi" w:cstheme="majorBidi"/>
          <w:color w:val="000000"/>
          <w:szCs w:val="24"/>
          <w:lang w:eastAsia="en-US"/>
        </w:rPr>
        <w:t>)</w:t>
      </w:r>
      <w:r w:rsidRPr="00A81DB1">
        <w:rPr>
          <w:rFonts w:asciiTheme="majorBidi" w:eastAsiaTheme="minorHAnsi" w:hAnsiTheme="majorBidi" w:cstheme="majorBidi"/>
          <w:color w:val="000000"/>
          <w:szCs w:val="24"/>
          <w:lang w:eastAsia="en-US"/>
        </w:rPr>
        <w:t xml:space="preserve">. Lietas materiālos nav citu pierādījumu par to, kāds tālrunis ir bijis mantojuma atstājējam </w:t>
      </w:r>
      <w:r w:rsidR="0006458D" w:rsidRPr="00A81DB1">
        <w:rPr>
          <w:rFonts w:asciiTheme="majorBidi" w:hAnsiTheme="majorBidi" w:cstheme="majorBidi"/>
          <w:szCs w:val="24"/>
        </w:rPr>
        <w:t>[pers. C]</w:t>
      </w:r>
      <w:r w:rsidRPr="00A81DB1">
        <w:rPr>
          <w:rFonts w:asciiTheme="majorBidi" w:eastAsiaTheme="minorHAnsi" w:hAnsiTheme="majorBidi" w:cstheme="majorBidi"/>
          <w:color w:val="000000"/>
          <w:szCs w:val="24"/>
          <w:lang w:eastAsia="en-US"/>
        </w:rPr>
        <w:t xml:space="preserve">. Otrkārt, tiesa nav ņēmusi vērā atbildētājas paskaidrojumos </w:t>
      </w:r>
      <w:r w:rsidR="00E555F3" w:rsidRPr="00A81DB1">
        <w:rPr>
          <w:rFonts w:asciiTheme="majorBidi" w:eastAsiaTheme="minorHAnsi" w:hAnsiTheme="majorBidi" w:cstheme="majorBidi"/>
          <w:color w:val="000000"/>
          <w:szCs w:val="24"/>
          <w:lang w:eastAsia="en-US"/>
        </w:rPr>
        <w:t>par</w:t>
      </w:r>
      <w:r w:rsidRPr="00A81DB1">
        <w:rPr>
          <w:rFonts w:asciiTheme="majorBidi" w:eastAsiaTheme="minorHAnsi" w:hAnsiTheme="majorBidi" w:cstheme="majorBidi"/>
          <w:color w:val="000000"/>
          <w:szCs w:val="24"/>
          <w:lang w:eastAsia="en-US"/>
        </w:rPr>
        <w:t xml:space="preserve"> prasību un apelācijas sūdzību (</w:t>
      </w:r>
      <w:r w:rsidR="00E555F3" w:rsidRPr="00A81DB1">
        <w:rPr>
          <w:rFonts w:asciiTheme="majorBidi" w:eastAsiaTheme="minorHAnsi" w:hAnsiTheme="majorBidi" w:cstheme="majorBidi"/>
          <w:color w:val="000000"/>
          <w:szCs w:val="24"/>
          <w:lang w:eastAsia="en-US"/>
        </w:rPr>
        <w:t xml:space="preserve">sk. </w:t>
      </w:r>
      <w:r w:rsidRPr="00A81DB1">
        <w:rPr>
          <w:rFonts w:asciiTheme="majorBidi" w:eastAsiaTheme="minorHAnsi" w:hAnsiTheme="majorBidi" w:cstheme="majorBidi"/>
          <w:i/>
          <w:iCs/>
          <w:color w:val="000000"/>
          <w:szCs w:val="24"/>
          <w:lang w:eastAsia="en-US"/>
        </w:rPr>
        <w:t>lietas 41.</w:t>
      </w:r>
      <w:r w:rsidR="00AD7557" w:rsidRPr="00A81DB1">
        <w:rPr>
          <w:rFonts w:asciiTheme="majorBidi" w:eastAsiaTheme="minorHAnsi" w:hAnsiTheme="majorBidi" w:cstheme="majorBidi"/>
          <w:i/>
          <w:iCs/>
          <w:color w:val="000000"/>
          <w:szCs w:val="24"/>
          <w:lang w:eastAsia="en-US"/>
        </w:rPr>
        <w:t>–4</w:t>
      </w:r>
      <w:r w:rsidRPr="00A81DB1">
        <w:rPr>
          <w:rFonts w:asciiTheme="majorBidi" w:eastAsiaTheme="minorHAnsi" w:hAnsiTheme="majorBidi" w:cstheme="majorBidi"/>
          <w:i/>
          <w:iCs/>
          <w:color w:val="000000"/>
          <w:szCs w:val="24"/>
          <w:lang w:eastAsia="en-US"/>
        </w:rPr>
        <w:t>5.</w:t>
      </w:r>
      <w:r w:rsidR="00AD7557" w:rsidRPr="00A81DB1">
        <w:rPr>
          <w:rFonts w:asciiTheme="majorBidi" w:eastAsiaTheme="minorHAnsi" w:hAnsiTheme="majorBidi" w:cstheme="majorBidi"/>
          <w:i/>
          <w:iCs/>
          <w:color w:val="000000"/>
          <w:szCs w:val="24"/>
          <w:lang w:eastAsia="en-US"/>
        </w:rPr>
        <w:t> </w:t>
      </w:r>
      <w:r w:rsidR="00E555F3" w:rsidRPr="00A81DB1">
        <w:rPr>
          <w:rFonts w:asciiTheme="majorBidi" w:eastAsiaTheme="minorHAnsi" w:hAnsiTheme="majorBidi" w:cstheme="majorBidi"/>
          <w:i/>
          <w:iCs/>
          <w:color w:val="000000"/>
          <w:szCs w:val="24"/>
          <w:lang w:eastAsia="en-US"/>
        </w:rPr>
        <w:t>lapu</w:t>
      </w:r>
      <w:r w:rsidRPr="00A81DB1">
        <w:rPr>
          <w:rFonts w:asciiTheme="majorBidi" w:eastAsiaTheme="minorHAnsi" w:hAnsiTheme="majorBidi" w:cstheme="majorBidi"/>
          <w:i/>
          <w:iCs/>
          <w:color w:val="000000"/>
          <w:szCs w:val="24"/>
          <w:lang w:eastAsia="en-US"/>
        </w:rPr>
        <w:t>, 10</w:t>
      </w:r>
      <w:r w:rsidR="000B3E20" w:rsidRPr="00A81DB1">
        <w:rPr>
          <w:rFonts w:asciiTheme="majorBidi" w:eastAsiaTheme="minorHAnsi" w:hAnsiTheme="majorBidi" w:cstheme="majorBidi"/>
          <w:i/>
          <w:iCs/>
          <w:color w:val="000000"/>
          <w:szCs w:val="24"/>
          <w:lang w:eastAsia="en-US"/>
        </w:rPr>
        <w:t>0</w:t>
      </w:r>
      <w:r w:rsidRPr="00A81DB1">
        <w:rPr>
          <w:rFonts w:asciiTheme="majorBidi" w:eastAsiaTheme="minorHAnsi" w:hAnsiTheme="majorBidi" w:cstheme="majorBidi"/>
          <w:i/>
          <w:iCs/>
          <w:color w:val="000000"/>
          <w:szCs w:val="24"/>
          <w:lang w:eastAsia="en-US"/>
        </w:rPr>
        <w:t>.</w:t>
      </w:r>
      <w:r w:rsidR="00AD7557" w:rsidRPr="00A81DB1">
        <w:rPr>
          <w:rFonts w:asciiTheme="majorBidi" w:eastAsiaTheme="minorHAnsi" w:hAnsiTheme="majorBidi" w:cstheme="majorBidi"/>
          <w:i/>
          <w:iCs/>
          <w:color w:val="000000"/>
          <w:szCs w:val="24"/>
          <w:lang w:eastAsia="en-US"/>
        </w:rPr>
        <w:t>–1</w:t>
      </w:r>
      <w:r w:rsidRPr="00A81DB1">
        <w:rPr>
          <w:rFonts w:asciiTheme="majorBidi" w:eastAsiaTheme="minorHAnsi" w:hAnsiTheme="majorBidi" w:cstheme="majorBidi"/>
          <w:i/>
          <w:iCs/>
          <w:color w:val="000000"/>
          <w:szCs w:val="24"/>
          <w:lang w:eastAsia="en-US"/>
        </w:rPr>
        <w:t>03.</w:t>
      </w:r>
      <w:r w:rsidR="00AD7557" w:rsidRPr="00A81DB1">
        <w:rPr>
          <w:rFonts w:asciiTheme="majorBidi" w:eastAsiaTheme="minorHAnsi" w:hAnsiTheme="majorBidi" w:cstheme="majorBidi"/>
          <w:i/>
          <w:iCs/>
          <w:color w:val="000000"/>
          <w:szCs w:val="24"/>
          <w:lang w:eastAsia="en-US"/>
        </w:rPr>
        <w:t> lapu</w:t>
      </w:r>
      <w:r w:rsidRPr="00A81DB1">
        <w:rPr>
          <w:rFonts w:asciiTheme="majorBidi" w:eastAsiaTheme="minorHAnsi" w:hAnsiTheme="majorBidi" w:cstheme="majorBidi"/>
          <w:color w:val="000000"/>
          <w:szCs w:val="24"/>
          <w:lang w:eastAsia="en-US"/>
        </w:rPr>
        <w:t>) minēto, ka viņai nebija zināms ne</w:t>
      </w:r>
      <w:r w:rsidR="00AD7557" w:rsidRPr="00A81DB1">
        <w:rPr>
          <w:rFonts w:asciiTheme="majorBidi" w:eastAsiaTheme="minorHAnsi" w:hAnsiTheme="majorBidi" w:cstheme="majorBidi"/>
          <w:color w:val="000000"/>
          <w:szCs w:val="24"/>
          <w:lang w:eastAsia="en-US"/>
        </w:rPr>
        <w:t>dz</w:t>
      </w:r>
      <w:r w:rsidRPr="00A81DB1">
        <w:rPr>
          <w:rFonts w:asciiTheme="majorBidi" w:eastAsiaTheme="minorHAnsi" w:hAnsiTheme="majorBidi" w:cstheme="majorBidi"/>
          <w:color w:val="000000"/>
          <w:szCs w:val="24"/>
          <w:lang w:eastAsia="en-US"/>
        </w:rPr>
        <w:t xml:space="preserve"> mantojuma atstājēja </w:t>
      </w:r>
      <w:r w:rsidR="0006458D" w:rsidRPr="00A81DB1">
        <w:rPr>
          <w:rFonts w:asciiTheme="majorBidi" w:hAnsiTheme="majorBidi" w:cstheme="majorBidi"/>
          <w:szCs w:val="24"/>
        </w:rPr>
        <w:t xml:space="preserve">[pers. C] </w:t>
      </w:r>
      <w:r w:rsidRPr="00A81DB1">
        <w:rPr>
          <w:rFonts w:asciiTheme="majorBidi" w:eastAsiaTheme="minorHAnsi" w:hAnsiTheme="majorBidi" w:cstheme="majorBidi"/>
          <w:color w:val="000000"/>
          <w:szCs w:val="24"/>
          <w:lang w:eastAsia="en-US"/>
        </w:rPr>
        <w:t>dēla vārds, ne</w:t>
      </w:r>
      <w:r w:rsidR="00AD7557" w:rsidRPr="00A81DB1">
        <w:rPr>
          <w:rFonts w:asciiTheme="majorBidi" w:eastAsiaTheme="minorHAnsi" w:hAnsiTheme="majorBidi" w:cstheme="majorBidi"/>
          <w:color w:val="000000"/>
          <w:szCs w:val="24"/>
          <w:lang w:eastAsia="en-US"/>
        </w:rPr>
        <w:t>dz</w:t>
      </w:r>
      <w:r w:rsidRPr="00A81DB1">
        <w:rPr>
          <w:rFonts w:asciiTheme="majorBidi" w:eastAsiaTheme="minorHAnsi" w:hAnsiTheme="majorBidi" w:cstheme="majorBidi"/>
          <w:color w:val="000000"/>
          <w:szCs w:val="24"/>
          <w:lang w:eastAsia="en-US"/>
        </w:rPr>
        <w:t xml:space="preserve"> kontaktinformācija. Turklāt no pār</w:t>
      </w:r>
      <w:r w:rsidR="00AD7557" w:rsidRPr="00A81DB1">
        <w:rPr>
          <w:rFonts w:asciiTheme="majorBidi" w:eastAsiaTheme="minorHAnsi" w:hAnsiTheme="majorBidi" w:cstheme="majorBidi"/>
          <w:color w:val="000000"/>
          <w:szCs w:val="24"/>
          <w:lang w:eastAsia="en-US"/>
        </w:rPr>
        <w:t>baudāmā</w:t>
      </w:r>
      <w:r w:rsidRPr="00A81DB1">
        <w:rPr>
          <w:rFonts w:asciiTheme="majorBidi" w:eastAsiaTheme="minorHAnsi" w:hAnsiTheme="majorBidi" w:cstheme="majorBidi"/>
          <w:color w:val="000000"/>
          <w:szCs w:val="24"/>
          <w:lang w:eastAsia="en-US"/>
        </w:rPr>
        <w:t xml:space="preserve"> sprieduma </w:t>
      </w:r>
      <w:r w:rsidR="00AD7557" w:rsidRPr="00A81DB1">
        <w:rPr>
          <w:rFonts w:asciiTheme="majorBidi" w:eastAsiaTheme="minorHAnsi" w:hAnsiTheme="majorBidi" w:cstheme="majorBidi"/>
          <w:color w:val="000000"/>
          <w:szCs w:val="24"/>
          <w:lang w:eastAsia="en-US"/>
        </w:rPr>
        <w:t>neizriet</w:t>
      </w:r>
      <w:r w:rsidRPr="00A81DB1">
        <w:rPr>
          <w:rFonts w:asciiTheme="majorBidi" w:eastAsiaTheme="minorHAnsi" w:hAnsiTheme="majorBidi" w:cstheme="majorBidi"/>
          <w:color w:val="000000"/>
          <w:szCs w:val="24"/>
          <w:lang w:eastAsia="en-US"/>
        </w:rPr>
        <w:t xml:space="preserve">, ka tiesa šos paskaidrojumus būtu vērtējusi kopsakarā ar </w:t>
      </w:r>
      <w:r w:rsidR="00AD7557" w:rsidRPr="00A81DB1">
        <w:rPr>
          <w:rFonts w:asciiTheme="majorBidi" w:eastAsiaTheme="minorHAnsi" w:hAnsiTheme="majorBidi" w:cstheme="majorBidi"/>
          <w:color w:val="000000"/>
          <w:szCs w:val="24"/>
          <w:lang w:eastAsia="en-US"/>
        </w:rPr>
        <w:t>pirmās</w:t>
      </w:r>
      <w:r w:rsidRPr="00A81DB1">
        <w:rPr>
          <w:rFonts w:asciiTheme="majorBidi" w:eastAsiaTheme="minorHAnsi" w:hAnsiTheme="majorBidi" w:cstheme="majorBidi"/>
          <w:color w:val="000000"/>
          <w:szCs w:val="24"/>
          <w:lang w:eastAsia="en-US"/>
        </w:rPr>
        <w:t xml:space="preserve"> instances tiesas</w:t>
      </w:r>
      <w:r w:rsidR="00AD7557" w:rsidRPr="00A81DB1">
        <w:rPr>
          <w:rFonts w:asciiTheme="majorBidi" w:eastAsiaTheme="minorHAnsi" w:hAnsiTheme="majorBidi" w:cstheme="majorBidi"/>
          <w:color w:val="000000"/>
          <w:szCs w:val="24"/>
          <w:lang w:eastAsia="en-US"/>
        </w:rPr>
        <w:t xml:space="preserve"> </w:t>
      </w:r>
      <w:r w:rsidR="00AD7557" w:rsidRPr="00A81DB1">
        <w:rPr>
          <w:rFonts w:asciiTheme="majorBidi" w:eastAsiaTheme="minorHAnsi" w:hAnsiTheme="majorBidi" w:cstheme="majorBidi"/>
          <w:color w:val="000000"/>
          <w:szCs w:val="24"/>
          <w:lang w:eastAsia="en-US"/>
        </w:rPr>
        <w:lastRenderedPageBreak/>
        <w:t>2022. gada 30. maija</w:t>
      </w:r>
      <w:r w:rsidRPr="00A81DB1">
        <w:rPr>
          <w:rFonts w:asciiTheme="majorBidi" w:eastAsiaTheme="minorHAnsi" w:hAnsiTheme="majorBidi" w:cstheme="majorBidi"/>
          <w:color w:val="000000"/>
          <w:szCs w:val="24"/>
          <w:lang w:eastAsia="en-US"/>
        </w:rPr>
        <w:t xml:space="preserve"> </w:t>
      </w:r>
      <w:r w:rsidR="00C50E63" w:rsidRPr="00A81DB1">
        <w:rPr>
          <w:rFonts w:asciiTheme="majorBidi" w:eastAsiaTheme="minorHAnsi" w:hAnsiTheme="majorBidi" w:cstheme="majorBidi"/>
          <w:color w:val="000000"/>
          <w:szCs w:val="24"/>
          <w:lang w:eastAsia="en-US"/>
        </w:rPr>
        <w:t>tiesas s</w:t>
      </w:r>
      <w:r w:rsidRPr="00A81DB1">
        <w:rPr>
          <w:rFonts w:asciiTheme="majorBidi" w:eastAsiaTheme="minorHAnsi" w:hAnsiTheme="majorBidi" w:cstheme="majorBidi"/>
          <w:color w:val="000000"/>
          <w:szCs w:val="24"/>
          <w:lang w:eastAsia="en-US"/>
        </w:rPr>
        <w:t xml:space="preserve">ēdē sniegtās liecinieces </w:t>
      </w:r>
      <w:r w:rsidR="0006458D" w:rsidRPr="00A81DB1">
        <w:rPr>
          <w:rFonts w:asciiTheme="majorBidi" w:hAnsiTheme="majorBidi" w:cstheme="majorBidi"/>
          <w:szCs w:val="24"/>
        </w:rPr>
        <w:t xml:space="preserve">[pers. D] </w:t>
      </w:r>
      <w:r w:rsidRPr="00A81DB1">
        <w:rPr>
          <w:rFonts w:asciiTheme="majorBidi" w:eastAsiaTheme="minorHAnsi" w:hAnsiTheme="majorBidi" w:cstheme="majorBidi"/>
          <w:color w:val="000000"/>
          <w:szCs w:val="24"/>
          <w:lang w:eastAsia="en-US"/>
        </w:rPr>
        <w:t>liecību (</w:t>
      </w:r>
      <w:r w:rsidRPr="00A81DB1">
        <w:rPr>
          <w:rFonts w:asciiTheme="majorBidi" w:eastAsiaTheme="minorHAnsi" w:hAnsiTheme="majorBidi" w:cstheme="majorBidi"/>
          <w:i/>
          <w:iCs/>
          <w:color w:val="000000"/>
          <w:szCs w:val="24"/>
          <w:lang w:eastAsia="en-US"/>
        </w:rPr>
        <w:t xml:space="preserve">skaņu ieraksts </w:t>
      </w:r>
      <w:r w:rsidR="00AD7557" w:rsidRPr="00A81DB1">
        <w:rPr>
          <w:rFonts w:asciiTheme="majorBidi" w:eastAsiaTheme="minorHAnsi" w:hAnsiTheme="majorBidi" w:cstheme="majorBidi"/>
          <w:i/>
          <w:iCs/>
          <w:color w:val="000000"/>
          <w:szCs w:val="24"/>
          <w:lang w:eastAsia="en-US"/>
        </w:rPr>
        <w:t>[</w:t>
      </w:r>
      <w:r w:rsidRPr="00A81DB1">
        <w:rPr>
          <w:rFonts w:asciiTheme="majorBidi" w:eastAsiaTheme="minorHAnsi" w:hAnsiTheme="majorBidi" w:cstheme="majorBidi"/>
          <w:i/>
          <w:iCs/>
          <w:color w:val="000000"/>
          <w:szCs w:val="24"/>
          <w:lang w:eastAsia="en-US"/>
        </w:rPr>
        <w:t>00:</w:t>
      </w:r>
      <w:r w:rsidR="008706E0" w:rsidRPr="00A81DB1">
        <w:rPr>
          <w:rFonts w:asciiTheme="majorBidi" w:eastAsiaTheme="minorHAnsi" w:hAnsiTheme="majorBidi" w:cstheme="majorBidi"/>
          <w:i/>
          <w:iCs/>
          <w:color w:val="000000"/>
          <w:szCs w:val="24"/>
          <w:lang w:eastAsia="en-US"/>
        </w:rPr>
        <w:t>19</w:t>
      </w:r>
      <w:r w:rsidRPr="00A81DB1">
        <w:rPr>
          <w:rFonts w:asciiTheme="majorBidi" w:eastAsiaTheme="minorHAnsi" w:hAnsiTheme="majorBidi" w:cstheme="majorBidi"/>
          <w:i/>
          <w:iCs/>
          <w:color w:val="000000"/>
          <w:szCs w:val="24"/>
          <w:lang w:eastAsia="en-US"/>
        </w:rPr>
        <w:t>:</w:t>
      </w:r>
      <w:r w:rsidR="008706E0" w:rsidRPr="00A81DB1">
        <w:rPr>
          <w:rFonts w:asciiTheme="majorBidi" w:eastAsiaTheme="minorHAnsi" w:hAnsiTheme="majorBidi" w:cstheme="majorBidi"/>
          <w:i/>
          <w:iCs/>
          <w:color w:val="000000"/>
          <w:szCs w:val="24"/>
          <w:lang w:eastAsia="en-US"/>
        </w:rPr>
        <w:t>23</w:t>
      </w:r>
      <w:r w:rsidR="00AD7557" w:rsidRPr="00A81DB1">
        <w:rPr>
          <w:rFonts w:asciiTheme="majorBidi" w:eastAsiaTheme="minorHAnsi" w:hAnsiTheme="majorBidi" w:cstheme="majorBidi"/>
          <w:i/>
          <w:iCs/>
          <w:color w:val="000000"/>
          <w:szCs w:val="24"/>
          <w:lang w:eastAsia="en-US"/>
        </w:rPr>
        <w:t>]</w:t>
      </w:r>
      <w:r w:rsidRPr="00A81DB1">
        <w:rPr>
          <w:rFonts w:asciiTheme="majorBidi" w:eastAsiaTheme="minorHAnsi" w:hAnsiTheme="majorBidi" w:cstheme="majorBidi"/>
          <w:color w:val="000000"/>
          <w:szCs w:val="24"/>
          <w:lang w:eastAsia="en-US"/>
        </w:rPr>
        <w:t xml:space="preserve">). </w:t>
      </w:r>
    </w:p>
    <w:p w14:paraId="48B45A0C" w14:textId="12F91527" w:rsidR="002260F3" w:rsidRPr="00A81DB1" w:rsidRDefault="002260F3" w:rsidP="00A81DB1">
      <w:pPr>
        <w:pStyle w:val="tv213"/>
        <w:shd w:val="clear" w:color="auto" w:fill="FFFFFF"/>
        <w:spacing w:before="0" w:beforeAutospacing="0" w:after="0" w:afterAutospacing="0" w:line="276" w:lineRule="auto"/>
        <w:ind w:firstLine="709"/>
        <w:jc w:val="both"/>
        <w:rPr>
          <w:rFonts w:asciiTheme="majorBidi" w:hAnsiTheme="majorBidi" w:cstheme="majorBidi"/>
        </w:rPr>
      </w:pPr>
      <w:r w:rsidRPr="00A81DB1">
        <w:rPr>
          <w:rFonts w:asciiTheme="majorBidi" w:hAnsiTheme="majorBidi" w:cstheme="majorBidi"/>
        </w:rPr>
        <w:t xml:space="preserve">Līdz ar to tiesa, nenoskaidrojot visus lietas izspriešanā būtiskos apstākļus (sk. </w:t>
      </w:r>
      <w:r w:rsidR="00947CF8" w:rsidRPr="00A81DB1">
        <w:rPr>
          <w:rFonts w:asciiTheme="majorBidi" w:hAnsiTheme="majorBidi" w:cstheme="majorBidi"/>
          <w:i/>
          <w:iCs/>
        </w:rPr>
        <w:t xml:space="preserve">šā sprieduma </w:t>
      </w:r>
      <w:r w:rsidRPr="00A81DB1">
        <w:rPr>
          <w:rFonts w:asciiTheme="majorBidi" w:hAnsiTheme="majorBidi" w:cstheme="majorBidi"/>
          <w:i/>
          <w:iCs/>
        </w:rPr>
        <w:t>8.</w:t>
      </w:r>
      <w:r w:rsidR="00947CF8" w:rsidRPr="00A81DB1">
        <w:rPr>
          <w:rFonts w:asciiTheme="majorBidi" w:hAnsiTheme="majorBidi" w:cstheme="majorBidi"/>
          <w:i/>
          <w:iCs/>
        </w:rPr>
        <w:t> </w:t>
      </w:r>
      <w:r w:rsidRPr="00A81DB1">
        <w:rPr>
          <w:rFonts w:asciiTheme="majorBidi" w:hAnsiTheme="majorBidi" w:cstheme="majorBidi"/>
          <w:i/>
          <w:iCs/>
        </w:rPr>
        <w:t>punktu</w:t>
      </w:r>
      <w:r w:rsidRPr="00A81DB1">
        <w:rPr>
          <w:rFonts w:asciiTheme="majorBidi" w:hAnsiTheme="majorBidi" w:cstheme="majorBidi"/>
        </w:rPr>
        <w:t xml:space="preserve">) un izdarot pieņēmumus, kas nav balstīti lietā novērtētos un pārbaudītos pierādījumos, vienlaikus pienācīgi nevērtējot lietas materiālos esošos pierādījumus (sk. </w:t>
      </w:r>
      <w:r w:rsidR="00947CF8" w:rsidRPr="00A81DB1">
        <w:rPr>
          <w:rFonts w:asciiTheme="majorBidi" w:hAnsiTheme="majorBidi" w:cstheme="majorBidi"/>
          <w:i/>
          <w:iCs/>
        </w:rPr>
        <w:t xml:space="preserve">šā sprieduma </w:t>
      </w:r>
      <w:r w:rsidRPr="00A81DB1">
        <w:rPr>
          <w:rFonts w:asciiTheme="majorBidi" w:hAnsiTheme="majorBidi" w:cstheme="majorBidi"/>
          <w:i/>
          <w:iCs/>
        </w:rPr>
        <w:t>8.1. un 8.2.</w:t>
      </w:r>
      <w:r w:rsidR="00947CF8" w:rsidRPr="00A81DB1">
        <w:rPr>
          <w:rFonts w:asciiTheme="majorBidi" w:hAnsiTheme="majorBidi" w:cstheme="majorBidi"/>
          <w:i/>
          <w:iCs/>
        </w:rPr>
        <w:t> </w:t>
      </w:r>
      <w:r w:rsidRPr="00A81DB1">
        <w:rPr>
          <w:rFonts w:asciiTheme="majorBidi" w:hAnsiTheme="majorBidi" w:cstheme="majorBidi"/>
          <w:i/>
          <w:iCs/>
        </w:rPr>
        <w:t>punktu</w:t>
      </w:r>
      <w:r w:rsidRPr="00A81DB1">
        <w:rPr>
          <w:rFonts w:asciiTheme="majorBidi" w:hAnsiTheme="majorBidi" w:cstheme="majorBidi"/>
        </w:rPr>
        <w:t>) to savstarpējā sakarībā un attiecināmībā, ir pārkāpusi Civilprocesa likuma 193.</w:t>
      </w:r>
      <w:r w:rsidR="00947CF8" w:rsidRPr="00A81DB1">
        <w:rPr>
          <w:rFonts w:asciiTheme="majorBidi" w:hAnsiTheme="majorBidi" w:cstheme="majorBidi"/>
        </w:rPr>
        <w:t> </w:t>
      </w:r>
      <w:r w:rsidRPr="00A81DB1">
        <w:rPr>
          <w:rFonts w:asciiTheme="majorBidi" w:hAnsiTheme="majorBidi" w:cstheme="majorBidi"/>
        </w:rPr>
        <w:t xml:space="preserve">panta </w:t>
      </w:r>
      <w:r w:rsidR="00947CF8" w:rsidRPr="00A81DB1">
        <w:rPr>
          <w:rFonts w:asciiTheme="majorBidi" w:hAnsiTheme="majorBidi" w:cstheme="majorBidi"/>
        </w:rPr>
        <w:t>piektās</w:t>
      </w:r>
      <w:r w:rsidRPr="00A81DB1">
        <w:rPr>
          <w:rFonts w:asciiTheme="majorBidi" w:hAnsiTheme="majorBidi" w:cstheme="majorBidi"/>
        </w:rPr>
        <w:t xml:space="preserve"> daļas prasības un taisījusi spriedumu, kuru nevar atzīt par atbilstošu Civilprocesa likuma 190.</w:t>
      </w:r>
      <w:r w:rsidR="00947CF8" w:rsidRPr="00A81DB1">
        <w:rPr>
          <w:rFonts w:asciiTheme="majorBidi" w:hAnsiTheme="majorBidi" w:cstheme="majorBidi"/>
        </w:rPr>
        <w:t> </w:t>
      </w:r>
      <w:r w:rsidRPr="00A81DB1">
        <w:rPr>
          <w:rFonts w:asciiTheme="majorBidi" w:hAnsiTheme="majorBidi" w:cstheme="majorBidi"/>
        </w:rPr>
        <w:t xml:space="preserve">pantam. </w:t>
      </w:r>
    </w:p>
    <w:p w14:paraId="49EF6636" w14:textId="77777777" w:rsidR="002260F3" w:rsidRPr="00A81DB1" w:rsidRDefault="002260F3" w:rsidP="00A81DB1">
      <w:pPr>
        <w:pStyle w:val="tv213"/>
        <w:shd w:val="clear" w:color="auto" w:fill="FFFFFF"/>
        <w:spacing w:before="0" w:beforeAutospacing="0" w:after="0" w:afterAutospacing="0" w:line="276" w:lineRule="auto"/>
        <w:ind w:firstLine="709"/>
        <w:jc w:val="both"/>
        <w:rPr>
          <w:rFonts w:asciiTheme="majorBidi" w:hAnsiTheme="majorBidi" w:cstheme="majorBidi"/>
        </w:rPr>
      </w:pPr>
    </w:p>
    <w:p w14:paraId="0030F605" w14:textId="77777777" w:rsidR="002260F3" w:rsidRPr="00A81DB1" w:rsidRDefault="002260F3" w:rsidP="00A81DB1">
      <w:pPr>
        <w:pStyle w:val="tv213"/>
        <w:shd w:val="clear" w:color="auto" w:fill="FFFFFF"/>
        <w:spacing w:before="0" w:beforeAutospacing="0" w:after="0" w:afterAutospacing="0" w:line="276" w:lineRule="auto"/>
        <w:ind w:firstLine="709"/>
        <w:jc w:val="both"/>
        <w:rPr>
          <w:rFonts w:asciiTheme="majorBidi" w:hAnsiTheme="majorBidi" w:cstheme="majorBidi"/>
        </w:rPr>
      </w:pPr>
      <w:r w:rsidRPr="00A81DB1">
        <w:rPr>
          <w:rFonts w:asciiTheme="majorBidi" w:hAnsiTheme="majorBidi" w:cstheme="majorBidi"/>
        </w:rPr>
        <w:t>[9] Senāts vērš uzmanību uz Ministru kabineta 2008. gada 4. augusta noteikumu Nr. 618 „Noteikumi par mantojuma reģistra un mantojuma lietu vešanu” (turpmāk – Noteikumi Nr. 618) 74. punktā noteikto, ka zvērināts notārs izsludina mantojuma atklāšanos saskaņā ar Notariāta likuma prasībām.</w:t>
      </w:r>
    </w:p>
    <w:p w14:paraId="715ACD78" w14:textId="4FD9AE03" w:rsidR="002260F3" w:rsidRPr="00A81DB1" w:rsidRDefault="002260F3" w:rsidP="00A81DB1">
      <w:pPr>
        <w:pStyle w:val="tv213"/>
        <w:shd w:val="clear" w:color="auto" w:fill="FFFFFF"/>
        <w:spacing w:before="0" w:beforeAutospacing="0" w:after="0" w:afterAutospacing="0" w:line="276" w:lineRule="auto"/>
        <w:ind w:firstLine="709"/>
        <w:jc w:val="both"/>
        <w:rPr>
          <w:rFonts w:asciiTheme="majorBidi" w:hAnsiTheme="majorBidi" w:cstheme="majorBidi"/>
        </w:rPr>
      </w:pPr>
      <w:r w:rsidRPr="00A81DB1">
        <w:rPr>
          <w:rFonts w:asciiTheme="majorBidi" w:hAnsiTheme="majorBidi" w:cstheme="majorBidi"/>
        </w:rPr>
        <w:t xml:space="preserve">Atbilstoši Notariāta likuma 297. pantam sludinājumā zvērināts notārs uzaicina pieteikties visus tos, kuriem kā mantiniekiem, kreditoriem vai kā citādi ir kādas tiesības uz mantojumu. Jau norādīts, ka ar uzaicinājuma sludinājuma palīdzību noskaidro gan nezināmus mantiniekus, gan zināmu mantinieku gribu pieņemt mantojumu (sk. </w:t>
      </w:r>
      <w:r w:rsidR="00273555" w:rsidRPr="00A81DB1">
        <w:rPr>
          <w:rFonts w:asciiTheme="majorBidi" w:hAnsiTheme="majorBidi" w:cstheme="majorBidi"/>
          <w:i/>
          <w:iCs/>
        </w:rPr>
        <w:t xml:space="preserve">šā sprieduma </w:t>
      </w:r>
      <w:r w:rsidRPr="00A81DB1">
        <w:rPr>
          <w:rFonts w:asciiTheme="majorBidi" w:hAnsiTheme="majorBidi" w:cstheme="majorBidi"/>
          <w:i/>
          <w:iCs/>
        </w:rPr>
        <w:t>7.</w:t>
      </w:r>
      <w:r w:rsidR="00947CF8" w:rsidRPr="00A81DB1">
        <w:rPr>
          <w:rFonts w:asciiTheme="majorBidi" w:hAnsiTheme="majorBidi" w:cstheme="majorBidi"/>
          <w:i/>
          <w:iCs/>
        </w:rPr>
        <w:t> </w:t>
      </w:r>
      <w:r w:rsidRPr="00A81DB1">
        <w:rPr>
          <w:rFonts w:asciiTheme="majorBidi" w:hAnsiTheme="majorBidi" w:cstheme="majorBidi"/>
          <w:i/>
          <w:iCs/>
        </w:rPr>
        <w:t>punktu)</w:t>
      </w:r>
      <w:r w:rsidRPr="00A81DB1">
        <w:rPr>
          <w:rFonts w:asciiTheme="majorBidi" w:hAnsiTheme="majorBidi" w:cstheme="majorBidi"/>
        </w:rPr>
        <w:t>. Uzaicinājuma termiņš, ja likumā nav noteikts citādi, nosakāms pēc zvērināta notāra ieskatiem. Tas nedrīkst būt īsāks par trim mēnešiem no uzaicinājuma publicēšanas dienas.</w:t>
      </w:r>
    </w:p>
    <w:p w14:paraId="43896284" w14:textId="2BCECD86" w:rsidR="002260F3" w:rsidRPr="00A81DB1" w:rsidRDefault="002260F3" w:rsidP="00A81DB1">
      <w:pPr>
        <w:pStyle w:val="tv213"/>
        <w:shd w:val="clear" w:color="auto" w:fill="FFFFFF"/>
        <w:spacing w:before="0" w:beforeAutospacing="0" w:after="0" w:afterAutospacing="0" w:line="276" w:lineRule="auto"/>
        <w:ind w:firstLine="709"/>
        <w:jc w:val="both"/>
        <w:rPr>
          <w:rFonts w:asciiTheme="majorBidi" w:hAnsiTheme="majorBidi" w:cstheme="majorBidi"/>
        </w:rPr>
      </w:pPr>
      <w:r w:rsidRPr="00A81DB1">
        <w:rPr>
          <w:rFonts w:asciiTheme="majorBidi" w:hAnsiTheme="majorBidi" w:cstheme="majorBidi"/>
        </w:rPr>
        <w:t xml:space="preserve">Lietā netika apstrīdēts, ka </w:t>
      </w:r>
      <w:r w:rsidR="006E5E0C" w:rsidRPr="00A81DB1">
        <w:rPr>
          <w:rFonts w:asciiTheme="majorBidi" w:hAnsiTheme="majorBidi" w:cstheme="majorBidi"/>
        </w:rPr>
        <w:t>[datums]</w:t>
      </w:r>
      <w:r w:rsidRPr="00A81DB1">
        <w:rPr>
          <w:rFonts w:asciiTheme="majorBidi" w:hAnsiTheme="majorBidi" w:cstheme="majorBidi"/>
        </w:rPr>
        <w:t xml:space="preserve"> zvērināts notārs oficiālajā izdevumā „Latvijas Vēstnesis” publicējis sludinājumu par prasītāja tēva </w:t>
      </w:r>
      <w:r w:rsidR="0006458D" w:rsidRPr="00A81DB1">
        <w:rPr>
          <w:rFonts w:asciiTheme="majorBidi" w:hAnsiTheme="majorBidi" w:cstheme="majorBidi"/>
        </w:rPr>
        <w:t xml:space="preserve">[pers. C] </w:t>
      </w:r>
      <w:r w:rsidRPr="00A81DB1">
        <w:rPr>
          <w:rFonts w:asciiTheme="majorBidi" w:hAnsiTheme="majorBidi" w:cstheme="majorBidi"/>
        </w:rPr>
        <w:t xml:space="preserve">mantojuma atklāšanos, nosakot termiņu mantiniekiem, kreditoriem un citām personām, kurām ir tiesības uz mantojumu paust savu gribu līdz 2019. gada </w:t>
      </w:r>
      <w:r w:rsidR="006E5E0C" w:rsidRPr="00A81DB1">
        <w:rPr>
          <w:rFonts w:asciiTheme="majorBidi" w:hAnsiTheme="majorBidi" w:cstheme="majorBidi"/>
        </w:rPr>
        <w:t>[..]</w:t>
      </w:r>
      <w:r w:rsidRPr="00A81DB1">
        <w:rPr>
          <w:rFonts w:asciiTheme="majorBidi" w:hAnsiTheme="majorBidi" w:cstheme="majorBidi"/>
        </w:rPr>
        <w:t xml:space="preserve"> (gandrīz 10 mēnešus). Ievērojot minēto, Senāts atzīst, ka apelācijas instances tiesa secinājumu, ka nav veiktas visas saprātīgi sagaidāmās darbības, lai apzinātu mantinieku loku un noskaidrotu viņu attieksmi pret mantojumu, tā pieņemšanu vai atraidīšanu, izdarījusi pienācīgi nenovērtējot lietā esošos pierādījumus. Normatīvie akti neuzliek pienākumu mantiniekam pašam meklēt citus mantiniekus, bet gan sniegt zvērinātam notāram, k</w:t>
      </w:r>
      <w:r w:rsidR="004774E2" w:rsidRPr="00A81DB1">
        <w:rPr>
          <w:rFonts w:asciiTheme="majorBidi" w:hAnsiTheme="majorBidi" w:cstheme="majorBidi"/>
        </w:rPr>
        <w:t>urš</w:t>
      </w:r>
      <w:r w:rsidRPr="00A81DB1">
        <w:rPr>
          <w:rFonts w:asciiTheme="majorBidi" w:hAnsiTheme="majorBidi" w:cstheme="majorBidi"/>
        </w:rPr>
        <w:t xml:space="preserve"> ved mantojuma lietu, to informāciju par citiem mantiniekiem, kas viņam ir zināma.</w:t>
      </w:r>
    </w:p>
    <w:p w14:paraId="089535CD" w14:textId="77777777" w:rsidR="002260F3" w:rsidRPr="00A81DB1" w:rsidRDefault="002260F3" w:rsidP="00A81DB1">
      <w:pPr>
        <w:autoSpaceDE w:val="0"/>
        <w:autoSpaceDN w:val="0"/>
        <w:adjustRightInd w:val="0"/>
        <w:spacing w:line="276" w:lineRule="auto"/>
        <w:ind w:firstLine="709"/>
        <w:jc w:val="both"/>
        <w:rPr>
          <w:rFonts w:asciiTheme="majorBidi" w:eastAsia="Calibri" w:hAnsiTheme="majorBidi" w:cstheme="majorBidi"/>
          <w:szCs w:val="24"/>
          <w:lang w:eastAsia="en-US"/>
        </w:rPr>
      </w:pPr>
      <w:r w:rsidRPr="00A81DB1">
        <w:rPr>
          <w:rFonts w:asciiTheme="majorBidi" w:eastAsia="Calibri" w:hAnsiTheme="majorBidi" w:cstheme="majorBidi"/>
          <w:szCs w:val="24"/>
          <w:lang w:eastAsia="en-US"/>
        </w:rPr>
        <w:t xml:space="preserve">Apkopojot norādīto, Senāts atzīst, ka apelācijas instances tiesas spriedumu nevar atzīt par pamatotu un tas atceļams, nododot lietu jaunai izskatīšanai apelācijas instances tiesā. </w:t>
      </w:r>
    </w:p>
    <w:p w14:paraId="5F3DB6C3" w14:textId="77777777" w:rsidR="002260F3" w:rsidRPr="00A81DB1" w:rsidRDefault="002260F3" w:rsidP="00A81DB1">
      <w:pPr>
        <w:pStyle w:val="tv213"/>
        <w:shd w:val="clear" w:color="auto" w:fill="FFFFFF"/>
        <w:spacing w:before="0" w:beforeAutospacing="0" w:after="0" w:afterAutospacing="0" w:line="276" w:lineRule="auto"/>
        <w:ind w:firstLine="709"/>
        <w:jc w:val="both"/>
        <w:rPr>
          <w:rFonts w:asciiTheme="majorBidi" w:eastAsiaTheme="minorHAnsi" w:hAnsiTheme="majorBidi" w:cstheme="majorBidi"/>
          <w:lang w:eastAsia="en-US"/>
        </w:rPr>
      </w:pPr>
    </w:p>
    <w:p w14:paraId="5D994702" w14:textId="77777777" w:rsidR="002260F3" w:rsidRPr="00A81DB1" w:rsidRDefault="002260F3" w:rsidP="00A81DB1">
      <w:pPr>
        <w:pStyle w:val="tv213"/>
        <w:shd w:val="clear" w:color="auto" w:fill="FFFFFF"/>
        <w:spacing w:before="0" w:beforeAutospacing="0" w:after="0" w:afterAutospacing="0" w:line="276" w:lineRule="auto"/>
        <w:ind w:firstLine="709"/>
        <w:jc w:val="both"/>
        <w:rPr>
          <w:rFonts w:asciiTheme="majorBidi" w:eastAsiaTheme="minorHAnsi" w:hAnsiTheme="majorBidi" w:cstheme="majorBidi"/>
          <w:lang w:eastAsia="en-US"/>
        </w:rPr>
      </w:pPr>
      <w:r w:rsidRPr="00A81DB1">
        <w:rPr>
          <w:rFonts w:asciiTheme="majorBidi" w:eastAsiaTheme="minorHAnsi" w:hAnsiTheme="majorBidi" w:cstheme="majorBidi"/>
          <w:lang w:eastAsia="en-US"/>
        </w:rPr>
        <w:t>[10] Tiesāšanās izdevumiem nav patstāvīga rakstura. To atlīdzināšanas apmērs atkarīgs no lietas izskatīšanas rezultāta, tāpēc spriedums atceļams arī šajā daļā.</w:t>
      </w:r>
    </w:p>
    <w:p w14:paraId="5C45EE58" w14:textId="77777777" w:rsidR="002260F3" w:rsidRPr="00A81DB1" w:rsidRDefault="002260F3" w:rsidP="00A81DB1">
      <w:pPr>
        <w:pStyle w:val="NoSpacing"/>
        <w:spacing w:line="276" w:lineRule="auto"/>
        <w:ind w:firstLine="720"/>
        <w:jc w:val="both"/>
        <w:rPr>
          <w:rFonts w:asciiTheme="majorBidi" w:eastAsiaTheme="minorHAnsi" w:hAnsiTheme="majorBidi" w:cstheme="majorBidi"/>
          <w:szCs w:val="24"/>
          <w:lang w:eastAsia="en-US"/>
        </w:rPr>
      </w:pPr>
    </w:p>
    <w:p w14:paraId="01D57EEA" w14:textId="26046821" w:rsidR="00C06D30" w:rsidRPr="00A81DB1" w:rsidRDefault="002260F3" w:rsidP="00A81DB1">
      <w:pPr>
        <w:spacing w:line="276" w:lineRule="auto"/>
        <w:ind w:firstLine="720"/>
        <w:jc w:val="both"/>
        <w:rPr>
          <w:rFonts w:asciiTheme="majorBidi" w:eastAsiaTheme="minorHAnsi" w:hAnsiTheme="majorBidi" w:cstheme="majorBidi"/>
          <w:szCs w:val="24"/>
          <w:lang w:eastAsia="en-US"/>
        </w:rPr>
      </w:pPr>
      <w:r w:rsidRPr="00A81DB1">
        <w:rPr>
          <w:rFonts w:asciiTheme="majorBidi" w:eastAsiaTheme="minorHAnsi" w:hAnsiTheme="majorBidi" w:cstheme="majorBidi"/>
          <w:szCs w:val="24"/>
          <w:lang w:eastAsia="en-US"/>
        </w:rPr>
        <w:t xml:space="preserve">[11] Atceļot spriedumu, saskaņā ar Civilprocesa likuma 458. panta otro daļu, </w:t>
      </w:r>
      <w:r w:rsidR="0006458D" w:rsidRPr="00A81DB1">
        <w:rPr>
          <w:rFonts w:asciiTheme="majorBidi" w:hAnsiTheme="majorBidi" w:cstheme="majorBidi"/>
          <w:szCs w:val="24"/>
        </w:rPr>
        <w:t xml:space="preserve">[pers. E] </w:t>
      </w:r>
      <w:r w:rsidRPr="00A81DB1">
        <w:rPr>
          <w:rFonts w:asciiTheme="majorBidi" w:eastAsiaTheme="minorHAnsi" w:hAnsiTheme="majorBidi" w:cstheme="majorBidi"/>
          <w:szCs w:val="24"/>
          <w:lang w:eastAsia="en-US"/>
        </w:rPr>
        <w:t>atmaksājama drošības nauda 300 </w:t>
      </w:r>
      <w:proofErr w:type="spellStart"/>
      <w:r w:rsidRPr="00A81DB1">
        <w:rPr>
          <w:rFonts w:asciiTheme="majorBidi" w:eastAsiaTheme="minorHAnsi" w:hAnsiTheme="majorBidi" w:cstheme="majorBidi"/>
          <w:i/>
          <w:iCs/>
          <w:szCs w:val="24"/>
          <w:lang w:eastAsia="en-US"/>
        </w:rPr>
        <w:t>euro</w:t>
      </w:r>
      <w:proofErr w:type="spellEnd"/>
      <w:r w:rsidRPr="00A81DB1">
        <w:rPr>
          <w:rFonts w:asciiTheme="majorBidi" w:eastAsiaTheme="minorHAnsi" w:hAnsiTheme="majorBidi" w:cstheme="majorBidi"/>
          <w:szCs w:val="24"/>
          <w:lang w:eastAsia="en-US"/>
        </w:rPr>
        <w:t xml:space="preserve">, kuru viņš iemaksājis </w:t>
      </w:r>
      <w:r w:rsidR="0006458D" w:rsidRPr="00A81DB1">
        <w:rPr>
          <w:rFonts w:asciiTheme="majorBidi" w:hAnsiTheme="majorBidi" w:cstheme="majorBidi"/>
          <w:szCs w:val="24"/>
        </w:rPr>
        <w:t xml:space="preserve">[pers. A] </w:t>
      </w:r>
      <w:r w:rsidRPr="00A81DB1">
        <w:rPr>
          <w:rFonts w:asciiTheme="majorBidi" w:eastAsiaTheme="minorHAnsi" w:hAnsiTheme="majorBidi" w:cstheme="majorBidi"/>
          <w:szCs w:val="24"/>
          <w:lang w:eastAsia="en-US"/>
        </w:rPr>
        <w:t xml:space="preserve">vārdā. </w:t>
      </w:r>
    </w:p>
    <w:p w14:paraId="7D04F1CD" w14:textId="77777777" w:rsidR="00A81DB1" w:rsidRDefault="00A81DB1" w:rsidP="00A81DB1">
      <w:pPr>
        <w:pStyle w:val="Default"/>
        <w:spacing w:line="276" w:lineRule="auto"/>
        <w:jc w:val="center"/>
        <w:rPr>
          <w:rFonts w:asciiTheme="majorBidi" w:hAnsiTheme="majorBidi" w:cstheme="majorBidi"/>
          <w:b/>
        </w:rPr>
      </w:pPr>
    </w:p>
    <w:p w14:paraId="20F5C2B8" w14:textId="0B880A6F" w:rsidR="002260F3" w:rsidRPr="00A81DB1" w:rsidRDefault="002260F3" w:rsidP="00A81DB1">
      <w:pPr>
        <w:pStyle w:val="Default"/>
        <w:spacing w:line="276" w:lineRule="auto"/>
        <w:jc w:val="center"/>
        <w:rPr>
          <w:rFonts w:asciiTheme="majorBidi" w:hAnsiTheme="majorBidi" w:cstheme="majorBidi"/>
          <w:b/>
        </w:rPr>
      </w:pPr>
      <w:r w:rsidRPr="00A81DB1">
        <w:rPr>
          <w:rFonts w:asciiTheme="majorBidi" w:hAnsiTheme="majorBidi" w:cstheme="majorBidi"/>
          <w:b/>
        </w:rPr>
        <w:t>Rezolutīvā daļa</w:t>
      </w:r>
    </w:p>
    <w:p w14:paraId="0F3BC737" w14:textId="77777777" w:rsidR="002260F3" w:rsidRPr="00A81DB1" w:rsidRDefault="002260F3" w:rsidP="00A81DB1">
      <w:pPr>
        <w:pStyle w:val="Default"/>
        <w:spacing w:line="276" w:lineRule="auto"/>
        <w:jc w:val="center"/>
        <w:rPr>
          <w:rFonts w:asciiTheme="majorBidi" w:hAnsiTheme="majorBidi" w:cstheme="majorBidi"/>
          <w:b/>
        </w:rPr>
      </w:pPr>
    </w:p>
    <w:p w14:paraId="38DEAD94" w14:textId="363706A6" w:rsidR="00D32AAE" w:rsidRPr="00A81DB1" w:rsidRDefault="002260F3" w:rsidP="00A81DB1">
      <w:pPr>
        <w:pStyle w:val="Default"/>
        <w:spacing w:line="276" w:lineRule="auto"/>
        <w:ind w:firstLine="720"/>
        <w:jc w:val="both"/>
        <w:rPr>
          <w:rFonts w:asciiTheme="majorBidi" w:hAnsiTheme="majorBidi" w:cstheme="majorBidi"/>
        </w:rPr>
      </w:pPr>
      <w:r w:rsidRPr="00A81DB1">
        <w:rPr>
          <w:rFonts w:asciiTheme="majorBidi" w:hAnsiTheme="majorBidi" w:cstheme="majorBidi"/>
        </w:rPr>
        <w:t>Pamatojoties uz Civilprocesa likuma 474. panta 2. punktu, Senāts</w:t>
      </w:r>
    </w:p>
    <w:p w14:paraId="0F7E95A6" w14:textId="77777777" w:rsidR="009B1EA6" w:rsidRPr="00A81DB1" w:rsidRDefault="009B1EA6" w:rsidP="00A81DB1">
      <w:pPr>
        <w:pStyle w:val="Default"/>
        <w:spacing w:line="276" w:lineRule="auto"/>
        <w:jc w:val="center"/>
        <w:rPr>
          <w:rFonts w:asciiTheme="majorBidi" w:hAnsiTheme="majorBidi" w:cstheme="majorBidi"/>
          <w:b/>
        </w:rPr>
      </w:pPr>
    </w:p>
    <w:p w14:paraId="5B9ADFDB" w14:textId="53E190D8" w:rsidR="002260F3" w:rsidRPr="00A81DB1" w:rsidRDefault="002260F3" w:rsidP="00A81DB1">
      <w:pPr>
        <w:pStyle w:val="Default"/>
        <w:spacing w:line="276" w:lineRule="auto"/>
        <w:jc w:val="center"/>
        <w:rPr>
          <w:rFonts w:asciiTheme="majorBidi" w:hAnsiTheme="majorBidi" w:cstheme="majorBidi"/>
          <w:b/>
        </w:rPr>
      </w:pPr>
      <w:r w:rsidRPr="00A81DB1">
        <w:rPr>
          <w:rFonts w:asciiTheme="majorBidi" w:hAnsiTheme="majorBidi" w:cstheme="majorBidi"/>
          <w:b/>
        </w:rPr>
        <w:t>nosprieda</w:t>
      </w:r>
    </w:p>
    <w:p w14:paraId="5F8AB597" w14:textId="77777777" w:rsidR="002260F3" w:rsidRPr="00A81DB1" w:rsidRDefault="002260F3" w:rsidP="00A81DB1">
      <w:pPr>
        <w:pStyle w:val="Default"/>
        <w:spacing w:line="276" w:lineRule="auto"/>
        <w:jc w:val="center"/>
        <w:rPr>
          <w:rFonts w:asciiTheme="majorBidi" w:hAnsiTheme="majorBidi" w:cstheme="majorBidi"/>
          <w:b/>
        </w:rPr>
      </w:pPr>
    </w:p>
    <w:p w14:paraId="6765444F" w14:textId="77777777" w:rsidR="002260F3" w:rsidRPr="00A81DB1" w:rsidRDefault="002260F3" w:rsidP="00A81DB1">
      <w:pPr>
        <w:pStyle w:val="NoSpacing"/>
        <w:spacing w:line="276" w:lineRule="auto"/>
        <w:ind w:firstLine="720"/>
        <w:jc w:val="both"/>
        <w:rPr>
          <w:rFonts w:asciiTheme="majorBidi" w:eastAsiaTheme="minorHAnsi" w:hAnsiTheme="majorBidi" w:cstheme="majorBidi"/>
          <w:szCs w:val="24"/>
          <w:lang w:eastAsia="en-US"/>
        </w:rPr>
      </w:pPr>
      <w:r w:rsidRPr="00A81DB1">
        <w:rPr>
          <w:rFonts w:asciiTheme="majorBidi" w:eastAsiaTheme="minorHAnsi" w:hAnsiTheme="majorBidi" w:cstheme="majorBidi"/>
          <w:szCs w:val="24"/>
          <w:lang w:eastAsia="en-US"/>
        </w:rPr>
        <w:lastRenderedPageBreak/>
        <w:t>atcelt Rīgas apgabaltiesas 2022. gada 29. novembra spriedumu un nodot lietu jaunai izskatīšanai Rīgas apgabaltiesā;</w:t>
      </w:r>
    </w:p>
    <w:p w14:paraId="32FA7E77" w14:textId="62BC0BA5" w:rsidR="002260F3" w:rsidRPr="00A81DB1" w:rsidRDefault="002260F3" w:rsidP="00A81DB1">
      <w:pPr>
        <w:pStyle w:val="NoSpacing"/>
        <w:spacing w:line="276" w:lineRule="auto"/>
        <w:ind w:firstLine="720"/>
        <w:jc w:val="both"/>
        <w:rPr>
          <w:rFonts w:asciiTheme="majorBidi" w:eastAsiaTheme="minorHAnsi" w:hAnsiTheme="majorBidi" w:cstheme="majorBidi"/>
          <w:szCs w:val="24"/>
          <w:lang w:eastAsia="en-US"/>
        </w:rPr>
      </w:pPr>
      <w:r w:rsidRPr="00A81DB1">
        <w:rPr>
          <w:rFonts w:asciiTheme="majorBidi" w:eastAsiaTheme="minorHAnsi" w:hAnsiTheme="majorBidi" w:cstheme="majorBidi"/>
          <w:szCs w:val="24"/>
          <w:lang w:eastAsia="en-US"/>
        </w:rPr>
        <w:t xml:space="preserve">atmaksāt </w:t>
      </w:r>
      <w:r w:rsidR="006E5E0C" w:rsidRPr="00A81DB1">
        <w:rPr>
          <w:rFonts w:asciiTheme="majorBidi" w:hAnsiTheme="majorBidi" w:cstheme="majorBidi"/>
          <w:szCs w:val="24"/>
        </w:rPr>
        <w:t xml:space="preserve">[pers. E] </w:t>
      </w:r>
      <w:r w:rsidRPr="00A81DB1">
        <w:rPr>
          <w:rFonts w:asciiTheme="majorBidi" w:eastAsiaTheme="minorHAnsi" w:hAnsiTheme="majorBidi" w:cstheme="majorBidi"/>
          <w:szCs w:val="24"/>
          <w:lang w:eastAsia="en-US"/>
        </w:rPr>
        <w:t xml:space="preserve">drošības naudu 300 </w:t>
      </w:r>
      <w:proofErr w:type="spellStart"/>
      <w:r w:rsidRPr="00A81DB1">
        <w:rPr>
          <w:rFonts w:asciiTheme="majorBidi" w:eastAsiaTheme="minorHAnsi" w:hAnsiTheme="majorBidi" w:cstheme="majorBidi"/>
          <w:i/>
          <w:iCs/>
          <w:szCs w:val="24"/>
          <w:lang w:eastAsia="en-US"/>
        </w:rPr>
        <w:t>euro</w:t>
      </w:r>
      <w:proofErr w:type="spellEnd"/>
      <w:r w:rsidRPr="00A81DB1">
        <w:rPr>
          <w:rFonts w:asciiTheme="majorBidi" w:eastAsiaTheme="minorHAnsi" w:hAnsiTheme="majorBidi" w:cstheme="majorBidi"/>
          <w:szCs w:val="24"/>
          <w:lang w:eastAsia="en-US"/>
        </w:rPr>
        <w:t xml:space="preserve">. </w:t>
      </w:r>
    </w:p>
    <w:p w14:paraId="4ED2670F" w14:textId="77777777" w:rsidR="002260F3" w:rsidRPr="00A81DB1" w:rsidRDefault="002260F3" w:rsidP="00A81DB1">
      <w:pPr>
        <w:pStyle w:val="NoSpacing"/>
        <w:spacing w:line="276" w:lineRule="auto"/>
        <w:ind w:firstLine="720"/>
        <w:jc w:val="both"/>
        <w:rPr>
          <w:rFonts w:asciiTheme="majorBidi" w:hAnsiTheme="majorBidi" w:cstheme="majorBidi"/>
          <w:szCs w:val="24"/>
        </w:rPr>
      </w:pPr>
    </w:p>
    <w:p w14:paraId="78C87D64" w14:textId="77777777" w:rsidR="002260F3" w:rsidRPr="00A81DB1" w:rsidRDefault="002260F3" w:rsidP="00A81DB1">
      <w:pPr>
        <w:pStyle w:val="Default"/>
        <w:spacing w:line="276" w:lineRule="auto"/>
        <w:ind w:firstLine="720"/>
        <w:jc w:val="both"/>
        <w:rPr>
          <w:rFonts w:asciiTheme="majorBidi" w:hAnsiTheme="majorBidi" w:cstheme="majorBidi"/>
        </w:rPr>
      </w:pPr>
      <w:r w:rsidRPr="00A81DB1">
        <w:rPr>
          <w:rFonts w:asciiTheme="majorBidi" w:hAnsiTheme="majorBidi" w:cstheme="majorBidi"/>
        </w:rPr>
        <w:t>Spriedums nav pārsūdzams.</w:t>
      </w:r>
    </w:p>
    <w:sectPr w:rsidR="002260F3" w:rsidRPr="00A81DB1" w:rsidSect="00AB250C">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45959" w14:textId="77777777" w:rsidR="00531F7B" w:rsidRDefault="00531F7B" w:rsidP="000E602C">
      <w:r>
        <w:separator/>
      </w:r>
    </w:p>
  </w:endnote>
  <w:endnote w:type="continuationSeparator" w:id="0">
    <w:p w14:paraId="6ED066BD" w14:textId="77777777" w:rsidR="00531F7B" w:rsidRDefault="00531F7B"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7BD3" w14:textId="77777777" w:rsidR="00F62BF4" w:rsidRPr="00BB1C8C" w:rsidRDefault="00000000" w:rsidP="00F62BF4">
    <w:pPr>
      <w:pStyle w:val="Footer"/>
      <w:jc w:val="center"/>
      <w:rPr>
        <w:rFonts w:ascii="Times New Roman" w:hAnsi="Times New Roman"/>
      </w:rPr>
    </w:pPr>
    <w:sdt>
      <w:sdtPr>
        <w:id w:val="1728636285"/>
        <w:docPartObj>
          <w:docPartGallery w:val="Page Numbers (Top of Page)"/>
          <w:docPartUnique/>
        </w:docPartObj>
      </w:sdtPr>
      <w:sdtEndPr>
        <w:rPr>
          <w:rFonts w:ascii="Times New Roman" w:hAnsi="Times New Roman"/>
        </w:rPr>
      </w:sdtEndPr>
      <w:sdtContent>
        <w:r w:rsidR="00F62BF4" w:rsidRPr="00BB1C8C">
          <w:rPr>
            <w:rFonts w:ascii="Times New Roman" w:hAnsi="Times New Roman"/>
            <w:bCs/>
            <w:szCs w:val="24"/>
          </w:rPr>
          <w:fldChar w:fldCharType="begin"/>
        </w:r>
        <w:r w:rsidR="00F62BF4" w:rsidRPr="00BB1C8C">
          <w:rPr>
            <w:rFonts w:ascii="Times New Roman" w:hAnsi="Times New Roman"/>
            <w:bCs/>
          </w:rPr>
          <w:instrText xml:space="preserve"> PAGE </w:instrText>
        </w:r>
        <w:r w:rsidR="00F62BF4" w:rsidRPr="00BB1C8C">
          <w:rPr>
            <w:rFonts w:ascii="Times New Roman" w:hAnsi="Times New Roman"/>
            <w:bCs/>
            <w:szCs w:val="24"/>
          </w:rPr>
          <w:fldChar w:fldCharType="separate"/>
        </w:r>
        <w:r w:rsidR="00F62BF4">
          <w:rPr>
            <w:rFonts w:ascii="Times New Roman" w:hAnsi="Times New Roman"/>
            <w:bCs/>
            <w:szCs w:val="24"/>
          </w:rPr>
          <w:t>1</w:t>
        </w:r>
        <w:r w:rsidR="00F62BF4" w:rsidRPr="00BB1C8C">
          <w:rPr>
            <w:rFonts w:ascii="Times New Roman" w:hAnsi="Times New Roman"/>
            <w:bCs/>
            <w:szCs w:val="24"/>
          </w:rPr>
          <w:fldChar w:fldCharType="end"/>
        </w:r>
        <w:r w:rsidR="00F62BF4" w:rsidRPr="00BB1C8C">
          <w:rPr>
            <w:rFonts w:ascii="Times New Roman" w:hAnsi="Times New Roman"/>
          </w:rPr>
          <w:t xml:space="preserve"> no </w:t>
        </w:r>
        <w:r w:rsidR="00F62BF4" w:rsidRPr="00BB1C8C">
          <w:rPr>
            <w:rFonts w:ascii="Times New Roman" w:hAnsi="Times New Roman"/>
            <w:bCs/>
            <w:szCs w:val="24"/>
          </w:rPr>
          <w:fldChar w:fldCharType="begin"/>
        </w:r>
        <w:r w:rsidR="00F62BF4" w:rsidRPr="00BB1C8C">
          <w:rPr>
            <w:rFonts w:ascii="Times New Roman" w:hAnsi="Times New Roman"/>
            <w:bCs/>
          </w:rPr>
          <w:instrText xml:space="preserve"> NUMPAGES  </w:instrText>
        </w:r>
        <w:r w:rsidR="00F62BF4" w:rsidRPr="00BB1C8C">
          <w:rPr>
            <w:rFonts w:ascii="Times New Roman" w:hAnsi="Times New Roman"/>
            <w:bCs/>
            <w:szCs w:val="24"/>
          </w:rPr>
          <w:fldChar w:fldCharType="separate"/>
        </w:r>
        <w:r w:rsidR="00F62BF4">
          <w:rPr>
            <w:rFonts w:ascii="Times New Roman" w:hAnsi="Times New Roman"/>
            <w:bCs/>
            <w:szCs w:val="24"/>
          </w:rPr>
          <w:t>7</w:t>
        </w:r>
        <w:r w:rsidR="00F62BF4" w:rsidRPr="00BB1C8C">
          <w:rPr>
            <w:rFonts w:ascii="Times New Roman" w:hAnsi="Times New Roman"/>
            <w:bCs/>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E4207" w14:textId="77777777" w:rsidR="00531F7B" w:rsidRDefault="00531F7B" w:rsidP="000E602C">
      <w:r>
        <w:separator/>
      </w:r>
    </w:p>
  </w:footnote>
  <w:footnote w:type="continuationSeparator" w:id="0">
    <w:p w14:paraId="26CAF0E8" w14:textId="77777777" w:rsidR="00531F7B" w:rsidRDefault="00531F7B" w:rsidP="000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72B02991"/>
    <w:multiLevelType w:val="hybridMultilevel"/>
    <w:tmpl w:val="A4BAFC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67936719">
    <w:abstractNumId w:val="1"/>
  </w:num>
  <w:num w:numId="2" w16cid:durableId="1651980808">
    <w:abstractNumId w:val="0"/>
  </w:num>
  <w:num w:numId="3" w16cid:durableId="1085420107">
    <w:abstractNumId w:val="2"/>
  </w:num>
  <w:num w:numId="4" w16cid:durableId="631518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036B"/>
    <w:rsid w:val="00026D1E"/>
    <w:rsid w:val="00030702"/>
    <w:rsid w:val="00042C9D"/>
    <w:rsid w:val="00052D45"/>
    <w:rsid w:val="00053F1C"/>
    <w:rsid w:val="00054D52"/>
    <w:rsid w:val="000550DB"/>
    <w:rsid w:val="00062577"/>
    <w:rsid w:val="0006458D"/>
    <w:rsid w:val="000A220A"/>
    <w:rsid w:val="000A66CC"/>
    <w:rsid w:val="000A6CA1"/>
    <w:rsid w:val="000B303F"/>
    <w:rsid w:val="000B3E20"/>
    <w:rsid w:val="000C4887"/>
    <w:rsid w:val="000C57DD"/>
    <w:rsid w:val="000E0BCC"/>
    <w:rsid w:val="000E602C"/>
    <w:rsid w:val="000F0AD9"/>
    <w:rsid w:val="000F2A57"/>
    <w:rsid w:val="000F69E8"/>
    <w:rsid w:val="001010D0"/>
    <w:rsid w:val="001033B3"/>
    <w:rsid w:val="00104716"/>
    <w:rsid w:val="00112764"/>
    <w:rsid w:val="0011437C"/>
    <w:rsid w:val="00117E9F"/>
    <w:rsid w:val="0012205E"/>
    <w:rsid w:val="00152AD6"/>
    <w:rsid w:val="00165E18"/>
    <w:rsid w:val="0016720F"/>
    <w:rsid w:val="001739CD"/>
    <w:rsid w:val="0017419C"/>
    <w:rsid w:val="00184BB2"/>
    <w:rsid w:val="001A240A"/>
    <w:rsid w:val="001A628D"/>
    <w:rsid w:val="001A7EF4"/>
    <w:rsid w:val="001B063A"/>
    <w:rsid w:val="001B5BD4"/>
    <w:rsid w:val="001C107C"/>
    <w:rsid w:val="001C18D2"/>
    <w:rsid w:val="001C75FA"/>
    <w:rsid w:val="001D21C2"/>
    <w:rsid w:val="001D2556"/>
    <w:rsid w:val="001D496C"/>
    <w:rsid w:val="001E075F"/>
    <w:rsid w:val="001E2769"/>
    <w:rsid w:val="001F0534"/>
    <w:rsid w:val="001F0F5A"/>
    <w:rsid w:val="001F1DF8"/>
    <w:rsid w:val="00204E81"/>
    <w:rsid w:val="002066D8"/>
    <w:rsid w:val="00214861"/>
    <w:rsid w:val="002155FE"/>
    <w:rsid w:val="00217BBB"/>
    <w:rsid w:val="00221869"/>
    <w:rsid w:val="002260F3"/>
    <w:rsid w:val="00233070"/>
    <w:rsid w:val="0023797E"/>
    <w:rsid w:val="00242892"/>
    <w:rsid w:val="0025184F"/>
    <w:rsid w:val="00251E9F"/>
    <w:rsid w:val="0026439E"/>
    <w:rsid w:val="00267A91"/>
    <w:rsid w:val="0027177B"/>
    <w:rsid w:val="0027232F"/>
    <w:rsid w:val="00273555"/>
    <w:rsid w:val="002837E8"/>
    <w:rsid w:val="00290C47"/>
    <w:rsid w:val="00291F9F"/>
    <w:rsid w:val="002954C7"/>
    <w:rsid w:val="0029747F"/>
    <w:rsid w:val="00297FBC"/>
    <w:rsid w:val="002A6A24"/>
    <w:rsid w:val="002B0631"/>
    <w:rsid w:val="002B3EEB"/>
    <w:rsid w:val="002C1073"/>
    <w:rsid w:val="002C1976"/>
    <w:rsid w:val="002D18B8"/>
    <w:rsid w:val="002E574F"/>
    <w:rsid w:val="002E665F"/>
    <w:rsid w:val="002E6E1D"/>
    <w:rsid w:val="002E73C6"/>
    <w:rsid w:val="002F270C"/>
    <w:rsid w:val="002F43A5"/>
    <w:rsid w:val="00311422"/>
    <w:rsid w:val="00320DC9"/>
    <w:rsid w:val="00323AEE"/>
    <w:rsid w:val="00330FE5"/>
    <w:rsid w:val="00333630"/>
    <w:rsid w:val="00342455"/>
    <w:rsid w:val="00364D73"/>
    <w:rsid w:val="00370158"/>
    <w:rsid w:val="003709DD"/>
    <w:rsid w:val="003747D9"/>
    <w:rsid w:val="00380149"/>
    <w:rsid w:val="00380FC5"/>
    <w:rsid w:val="003846D1"/>
    <w:rsid w:val="00385199"/>
    <w:rsid w:val="003856BE"/>
    <w:rsid w:val="00396193"/>
    <w:rsid w:val="00397B1E"/>
    <w:rsid w:val="003A2EF8"/>
    <w:rsid w:val="003A4F7B"/>
    <w:rsid w:val="003B33FF"/>
    <w:rsid w:val="003B444B"/>
    <w:rsid w:val="003C03A6"/>
    <w:rsid w:val="003C3E23"/>
    <w:rsid w:val="003D6EF8"/>
    <w:rsid w:val="003E3BE6"/>
    <w:rsid w:val="003F035B"/>
    <w:rsid w:val="003F4367"/>
    <w:rsid w:val="003F77FC"/>
    <w:rsid w:val="003F7C36"/>
    <w:rsid w:val="004006CF"/>
    <w:rsid w:val="004049D6"/>
    <w:rsid w:val="00413B36"/>
    <w:rsid w:val="00427B4F"/>
    <w:rsid w:val="0043019B"/>
    <w:rsid w:val="004338CC"/>
    <w:rsid w:val="004513F5"/>
    <w:rsid w:val="0045306F"/>
    <w:rsid w:val="00466DEB"/>
    <w:rsid w:val="0047332A"/>
    <w:rsid w:val="00474967"/>
    <w:rsid w:val="00474EDD"/>
    <w:rsid w:val="004758AD"/>
    <w:rsid w:val="004774E2"/>
    <w:rsid w:val="004A3F2B"/>
    <w:rsid w:val="004A644B"/>
    <w:rsid w:val="004B4AD7"/>
    <w:rsid w:val="004B5119"/>
    <w:rsid w:val="004C3212"/>
    <w:rsid w:val="004C4B8D"/>
    <w:rsid w:val="004C75DE"/>
    <w:rsid w:val="004C7F0A"/>
    <w:rsid w:val="004E2C92"/>
    <w:rsid w:val="004F166A"/>
    <w:rsid w:val="00507CFD"/>
    <w:rsid w:val="00520B3A"/>
    <w:rsid w:val="00521C0A"/>
    <w:rsid w:val="00522B85"/>
    <w:rsid w:val="00522DEF"/>
    <w:rsid w:val="0052531B"/>
    <w:rsid w:val="00531F7B"/>
    <w:rsid w:val="005336E8"/>
    <w:rsid w:val="0053726D"/>
    <w:rsid w:val="0054542D"/>
    <w:rsid w:val="00553F62"/>
    <w:rsid w:val="0056017A"/>
    <w:rsid w:val="00560BCA"/>
    <w:rsid w:val="005639F6"/>
    <w:rsid w:val="00567EF1"/>
    <w:rsid w:val="0058078F"/>
    <w:rsid w:val="00580F77"/>
    <w:rsid w:val="00584207"/>
    <w:rsid w:val="0059250E"/>
    <w:rsid w:val="00593548"/>
    <w:rsid w:val="005956F7"/>
    <w:rsid w:val="005A2985"/>
    <w:rsid w:val="005B175A"/>
    <w:rsid w:val="005C2FC9"/>
    <w:rsid w:val="005C36B1"/>
    <w:rsid w:val="005C7DE1"/>
    <w:rsid w:val="005D24D4"/>
    <w:rsid w:val="005D7FF7"/>
    <w:rsid w:val="005E1E34"/>
    <w:rsid w:val="005E2A04"/>
    <w:rsid w:val="005E2B2B"/>
    <w:rsid w:val="005E39B3"/>
    <w:rsid w:val="005E49B9"/>
    <w:rsid w:val="005F376F"/>
    <w:rsid w:val="00603C01"/>
    <w:rsid w:val="00611DE9"/>
    <w:rsid w:val="00624923"/>
    <w:rsid w:val="00625333"/>
    <w:rsid w:val="00627826"/>
    <w:rsid w:val="00627A23"/>
    <w:rsid w:val="00636177"/>
    <w:rsid w:val="0063783E"/>
    <w:rsid w:val="006437C2"/>
    <w:rsid w:val="00644910"/>
    <w:rsid w:val="00647A9C"/>
    <w:rsid w:val="0065776B"/>
    <w:rsid w:val="0066412B"/>
    <w:rsid w:val="00667B76"/>
    <w:rsid w:val="00670066"/>
    <w:rsid w:val="0067677B"/>
    <w:rsid w:val="00687742"/>
    <w:rsid w:val="0069223E"/>
    <w:rsid w:val="006A1ACB"/>
    <w:rsid w:val="006A281B"/>
    <w:rsid w:val="006A4B81"/>
    <w:rsid w:val="006A6293"/>
    <w:rsid w:val="006B7B7C"/>
    <w:rsid w:val="006C6124"/>
    <w:rsid w:val="006C6593"/>
    <w:rsid w:val="006C6BE6"/>
    <w:rsid w:val="006D12FD"/>
    <w:rsid w:val="006D2372"/>
    <w:rsid w:val="006D2B76"/>
    <w:rsid w:val="006D3C95"/>
    <w:rsid w:val="006E24F2"/>
    <w:rsid w:val="006E5E0C"/>
    <w:rsid w:val="006F3D7F"/>
    <w:rsid w:val="0070466D"/>
    <w:rsid w:val="007062BF"/>
    <w:rsid w:val="0073090C"/>
    <w:rsid w:val="0073129D"/>
    <w:rsid w:val="00735A05"/>
    <w:rsid w:val="00751B73"/>
    <w:rsid w:val="00754630"/>
    <w:rsid w:val="00774AD1"/>
    <w:rsid w:val="007845DD"/>
    <w:rsid w:val="00786E4A"/>
    <w:rsid w:val="007A0D46"/>
    <w:rsid w:val="007A1335"/>
    <w:rsid w:val="007A43D3"/>
    <w:rsid w:val="007B628D"/>
    <w:rsid w:val="007B6723"/>
    <w:rsid w:val="007D1DC6"/>
    <w:rsid w:val="007D3F8A"/>
    <w:rsid w:val="007D404D"/>
    <w:rsid w:val="007D43B2"/>
    <w:rsid w:val="007F71B7"/>
    <w:rsid w:val="008012E9"/>
    <w:rsid w:val="008139FE"/>
    <w:rsid w:val="00822B83"/>
    <w:rsid w:val="00830487"/>
    <w:rsid w:val="00845F86"/>
    <w:rsid w:val="00854C3C"/>
    <w:rsid w:val="00857188"/>
    <w:rsid w:val="00865D6D"/>
    <w:rsid w:val="008706E0"/>
    <w:rsid w:val="008707A2"/>
    <w:rsid w:val="00877EE1"/>
    <w:rsid w:val="00885ED6"/>
    <w:rsid w:val="00886A3D"/>
    <w:rsid w:val="0089337F"/>
    <w:rsid w:val="00894346"/>
    <w:rsid w:val="00895F64"/>
    <w:rsid w:val="008A56A2"/>
    <w:rsid w:val="008A5CC0"/>
    <w:rsid w:val="008B3371"/>
    <w:rsid w:val="008B393B"/>
    <w:rsid w:val="008B4255"/>
    <w:rsid w:val="008B4E82"/>
    <w:rsid w:val="008C529F"/>
    <w:rsid w:val="008D03B9"/>
    <w:rsid w:val="008D16B6"/>
    <w:rsid w:val="008D5495"/>
    <w:rsid w:val="008E4447"/>
    <w:rsid w:val="008F15AE"/>
    <w:rsid w:val="008F37E6"/>
    <w:rsid w:val="008F603A"/>
    <w:rsid w:val="00900C30"/>
    <w:rsid w:val="009034A7"/>
    <w:rsid w:val="009100D3"/>
    <w:rsid w:val="00913A4B"/>
    <w:rsid w:val="00913B62"/>
    <w:rsid w:val="00921AB4"/>
    <w:rsid w:val="00925A15"/>
    <w:rsid w:val="00925F42"/>
    <w:rsid w:val="009445DD"/>
    <w:rsid w:val="00945C92"/>
    <w:rsid w:val="00947CF8"/>
    <w:rsid w:val="00951F4A"/>
    <w:rsid w:val="00954B90"/>
    <w:rsid w:val="0095554C"/>
    <w:rsid w:val="00961F56"/>
    <w:rsid w:val="00966AB9"/>
    <w:rsid w:val="0097693E"/>
    <w:rsid w:val="00980222"/>
    <w:rsid w:val="00980A17"/>
    <w:rsid w:val="00982B31"/>
    <w:rsid w:val="00986B95"/>
    <w:rsid w:val="00990930"/>
    <w:rsid w:val="00991028"/>
    <w:rsid w:val="00996E96"/>
    <w:rsid w:val="009A0CDE"/>
    <w:rsid w:val="009B1206"/>
    <w:rsid w:val="009B1EA6"/>
    <w:rsid w:val="009C32D8"/>
    <w:rsid w:val="009C3D98"/>
    <w:rsid w:val="009D1DE8"/>
    <w:rsid w:val="009D35FF"/>
    <w:rsid w:val="009D56D7"/>
    <w:rsid w:val="009D5A49"/>
    <w:rsid w:val="009E4E2E"/>
    <w:rsid w:val="009E6AF6"/>
    <w:rsid w:val="00A05586"/>
    <w:rsid w:val="00A175B6"/>
    <w:rsid w:val="00A33523"/>
    <w:rsid w:val="00A33AE1"/>
    <w:rsid w:val="00A34396"/>
    <w:rsid w:val="00A35E2C"/>
    <w:rsid w:val="00A37645"/>
    <w:rsid w:val="00A41D39"/>
    <w:rsid w:val="00A52809"/>
    <w:rsid w:val="00A61E49"/>
    <w:rsid w:val="00A6662A"/>
    <w:rsid w:val="00A668AB"/>
    <w:rsid w:val="00A72A67"/>
    <w:rsid w:val="00A7378F"/>
    <w:rsid w:val="00A74329"/>
    <w:rsid w:val="00A81DB1"/>
    <w:rsid w:val="00A912F2"/>
    <w:rsid w:val="00A94D7C"/>
    <w:rsid w:val="00AA5B97"/>
    <w:rsid w:val="00AB160B"/>
    <w:rsid w:val="00AB250C"/>
    <w:rsid w:val="00AC08B5"/>
    <w:rsid w:val="00AC1C47"/>
    <w:rsid w:val="00AC2596"/>
    <w:rsid w:val="00AC3CE2"/>
    <w:rsid w:val="00AD43E5"/>
    <w:rsid w:val="00AD5F86"/>
    <w:rsid w:val="00AD7557"/>
    <w:rsid w:val="00AE5EF0"/>
    <w:rsid w:val="00AE5F5B"/>
    <w:rsid w:val="00AE7116"/>
    <w:rsid w:val="00AE7C8A"/>
    <w:rsid w:val="00AF2013"/>
    <w:rsid w:val="00AF27D3"/>
    <w:rsid w:val="00B03D45"/>
    <w:rsid w:val="00B1097D"/>
    <w:rsid w:val="00B16FCB"/>
    <w:rsid w:val="00B276BA"/>
    <w:rsid w:val="00B303FF"/>
    <w:rsid w:val="00B35FE7"/>
    <w:rsid w:val="00B437FA"/>
    <w:rsid w:val="00B441C2"/>
    <w:rsid w:val="00B501DF"/>
    <w:rsid w:val="00B60048"/>
    <w:rsid w:val="00B62CF4"/>
    <w:rsid w:val="00B63153"/>
    <w:rsid w:val="00B67E86"/>
    <w:rsid w:val="00B73A19"/>
    <w:rsid w:val="00B818CF"/>
    <w:rsid w:val="00B864A1"/>
    <w:rsid w:val="00B9702C"/>
    <w:rsid w:val="00B9716C"/>
    <w:rsid w:val="00B975D7"/>
    <w:rsid w:val="00BA2B65"/>
    <w:rsid w:val="00BB0A23"/>
    <w:rsid w:val="00BB7845"/>
    <w:rsid w:val="00BB7846"/>
    <w:rsid w:val="00BC4B86"/>
    <w:rsid w:val="00BC71CF"/>
    <w:rsid w:val="00BD4C03"/>
    <w:rsid w:val="00BD625F"/>
    <w:rsid w:val="00BD6508"/>
    <w:rsid w:val="00BE2E3F"/>
    <w:rsid w:val="00BE333B"/>
    <w:rsid w:val="00BE4321"/>
    <w:rsid w:val="00BF796F"/>
    <w:rsid w:val="00C00E15"/>
    <w:rsid w:val="00C06D30"/>
    <w:rsid w:val="00C10C48"/>
    <w:rsid w:val="00C20934"/>
    <w:rsid w:val="00C241C2"/>
    <w:rsid w:val="00C30B38"/>
    <w:rsid w:val="00C34EFD"/>
    <w:rsid w:val="00C35493"/>
    <w:rsid w:val="00C407FE"/>
    <w:rsid w:val="00C4149B"/>
    <w:rsid w:val="00C424A2"/>
    <w:rsid w:val="00C4310D"/>
    <w:rsid w:val="00C50654"/>
    <w:rsid w:val="00C50E63"/>
    <w:rsid w:val="00C731C6"/>
    <w:rsid w:val="00C7629B"/>
    <w:rsid w:val="00C81A12"/>
    <w:rsid w:val="00C84669"/>
    <w:rsid w:val="00CA3D91"/>
    <w:rsid w:val="00CA6436"/>
    <w:rsid w:val="00CB718A"/>
    <w:rsid w:val="00CB75FE"/>
    <w:rsid w:val="00CC2607"/>
    <w:rsid w:val="00CC34CB"/>
    <w:rsid w:val="00CC3E0D"/>
    <w:rsid w:val="00CC4AC8"/>
    <w:rsid w:val="00CC7E0B"/>
    <w:rsid w:val="00CD5A01"/>
    <w:rsid w:val="00CD6994"/>
    <w:rsid w:val="00CE4291"/>
    <w:rsid w:val="00D008FD"/>
    <w:rsid w:val="00D04D00"/>
    <w:rsid w:val="00D13D8F"/>
    <w:rsid w:val="00D24C74"/>
    <w:rsid w:val="00D26AB5"/>
    <w:rsid w:val="00D3274F"/>
    <w:rsid w:val="00D32AAE"/>
    <w:rsid w:val="00D33818"/>
    <w:rsid w:val="00D4017B"/>
    <w:rsid w:val="00D41A8F"/>
    <w:rsid w:val="00D4790B"/>
    <w:rsid w:val="00D50B8C"/>
    <w:rsid w:val="00D52FA5"/>
    <w:rsid w:val="00D56AF5"/>
    <w:rsid w:val="00D56CD6"/>
    <w:rsid w:val="00D645A9"/>
    <w:rsid w:val="00D71F0C"/>
    <w:rsid w:val="00D811DB"/>
    <w:rsid w:val="00D82DC0"/>
    <w:rsid w:val="00D85C59"/>
    <w:rsid w:val="00D86F54"/>
    <w:rsid w:val="00D87800"/>
    <w:rsid w:val="00D952BE"/>
    <w:rsid w:val="00D97937"/>
    <w:rsid w:val="00DA0925"/>
    <w:rsid w:val="00DA4CC6"/>
    <w:rsid w:val="00DA7A77"/>
    <w:rsid w:val="00DB1169"/>
    <w:rsid w:val="00DB26AA"/>
    <w:rsid w:val="00DB45A6"/>
    <w:rsid w:val="00DC2F7D"/>
    <w:rsid w:val="00DD1048"/>
    <w:rsid w:val="00DD2F61"/>
    <w:rsid w:val="00DD37E8"/>
    <w:rsid w:val="00DD4FD2"/>
    <w:rsid w:val="00DD7D3E"/>
    <w:rsid w:val="00DE40C5"/>
    <w:rsid w:val="00DE677A"/>
    <w:rsid w:val="00DF26A0"/>
    <w:rsid w:val="00DF442F"/>
    <w:rsid w:val="00DF61C0"/>
    <w:rsid w:val="00DF786A"/>
    <w:rsid w:val="00E00AC8"/>
    <w:rsid w:val="00E014FF"/>
    <w:rsid w:val="00E019BE"/>
    <w:rsid w:val="00E0536E"/>
    <w:rsid w:val="00E06FC5"/>
    <w:rsid w:val="00E104F5"/>
    <w:rsid w:val="00E13976"/>
    <w:rsid w:val="00E1552D"/>
    <w:rsid w:val="00E15B96"/>
    <w:rsid w:val="00E36C3C"/>
    <w:rsid w:val="00E44A52"/>
    <w:rsid w:val="00E53CE8"/>
    <w:rsid w:val="00E555F3"/>
    <w:rsid w:val="00E57708"/>
    <w:rsid w:val="00E57C2B"/>
    <w:rsid w:val="00E629A5"/>
    <w:rsid w:val="00E632E5"/>
    <w:rsid w:val="00E63770"/>
    <w:rsid w:val="00E908CA"/>
    <w:rsid w:val="00E934EC"/>
    <w:rsid w:val="00EA0C77"/>
    <w:rsid w:val="00EA3917"/>
    <w:rsid w:val="00EB0C3B"/>
    <w:rsid w:val="00EB7C30"/>
    <w:rsid w:val="00EC1638"/>
    <w:rsid w:val="00EC541F"/>
    <w:rsid w:val="00ED4665"/>
    <w:rsid w:val="00ED4B2B"/>
    <w:rsid w:val="00ED4F69"/>
    <w:rsid w:val="00ED6458"/>
    <w:rsid w:val="00F0319F"/>
    <w:rsid w:val="00F04F25"/>
    <w:rsid w:val="00F05C4A"/>
    <w:rsid w:val="00F07546"/>
    <w:rsid w:val="00F148C1"/>
    <w:rsid w:val="00F156A5"/>
    <w:rsid w:val="00F30577"/>
    <w:rsid w:val="00F3169C"/>
    <w:rsid w:val="00F41070"/>
    <w:rsid w:val="00F60086"/>
    <w:rsid w:val="00F62524"/>
    <w:rsid w:val="00F62BF4"/>
    <w:rsid w:val="00F65076"/>
    <w:rsid w:val="00F84A26"/>
    <w:rsid w:val="00F926BA"/>
    <w:rsid w:val="00F93804"/>
    <w:rsid w:val="00FA03BE"/>
    <w:rsid w:val="00FB2A0A"/>
    <w:rsid w:val="00FB2F43"/>
    <w:rsid w:val="00FB3490"/>
    <w:rsid w:val="00FB4285"/>
    <w:rsid w:val="00FB5302"/>
    <w:rsid w:val="00FB7FDB"/>
    <w:rsid w:val="00FC14D4"/>
    <w:rsid w:val="00FD1495"/>
    <w:rsid w:val="00FD4724"/>
    <w:rsid w:val="00FE1994"/>
    <w:rsid w:val="00FF0A95"/>
    <w:rsid w:val="00FF56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12"/>
    <w:pPr>
      <w:spacing w:after="0" w:line="240" w:lineRule="auto"/>
    </w:pPr>
    <w:rPr>
      <w:rFonts w:ascii="Arial Narrow" w:eastAsia="Times New Roman" w:hAnsi="Arial Narrow" w:cs="Times New Roman"/>
      <w:szCs w:val="20"/>
      <w:lang w:eastAsia="lv-LV"/>
    </w:rPr>
  </w:style>
  <w:style w:type="paragraph" w:styleId="Heading1">
    <w:name w:val="heading 1"/>
    <w:basedOn w:val="Normal"/>
    <w:next w:val="Normal"/>
    <w:link w:val="Heading1Char"/>
    <w:uiPriority w:val="9"/>
    <w:qFormat/>
    <w:rsid w:val="00A35E2C"/>
    <w:pPr>
      <w:keepNext/>
      <w:keepLines/>
      <w:spacing w:before="600" w:after="120"/>
      <w:jc w:val="center"/>
      <w:outlineLvl w:val="0"/>
    </w:pPr>
    <w:rPr>
      <w:rFonts w:ascii="Times New Roman" w:eastAsiaTheme="majorEastAsia" w:hAnsi="Times New Roman" w:cstheme="majorBidi"/>
      <w:b/>
      <w:szCs w:val="32"/>
      <w:u w:val="single"/>
      <w:lang w:eastAsia="en-US"/>
    </w:rPr>
  </w:style>
  <w:style w:type="paragraph" w:styleId="Heading3">
    <w:name w:val="heading 3"/>
    <w:basedOn w:val="Normal"/>
    <w:next w:val="Normal"/>
    <w:link w:val="Heading3Char"/>
    <w:uiPriority w:val="9"/>
    <w:unhideWhenUsed/>
    <w:qFormat/>
    <w:rsid w:val="00380FC5"/>
    <w:pPr>
      <w:keepNext/>
      <w:keepLines/>
      <w:spacing w:before="40" w:line="259" w:lineRule="auto"/>
      <w:outlineLvl w:val="2"/>
    </w:pPr>
    <w:rPr>
      <w:rFonts w:asciiTheme="majorHAnsi" w:eastAsiaTheme="majorEastAsia" w:hAnsiTheme="majorHAnsi" w:cstheme="majorBidi"/>
      <w:color w:val="1F3763"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paragraph" w:customStyle="1" w:styleId="tv213">
    <w:name w:val="tv213"/>
    <w:basedOn w:val="Normal"/>
    <w:rsid w:val="00CE4291"/>
    <w:pPr>
      <w:spacing w:before="100" w:beforeAutospacing="1" w:after="100" w:afterAutospacing="1"/>
    </w:pPr>
    <w:rPr>
      <w:rFonts w:ascii="Times New Roman" w:hAnsi="Times New Roman"/>
      <w:szCs w:val="24"/>
    </w:rPr>
  </w:style>
  <w:style w:type="paragraph" w:styleId="BodyText2">
    <w:name w:val="Body Text 2"/>
    <w:basedOn w:val="Normal"/>
    <w:link w:val="BodyText2Char"/>
    <w:unhideWhenUsed/>
    <w:rsid w:val="000F2A57"/>
    <w:pPr>
      <w:spacing w:after="120" w:line="480" w:lineRule="auto"/>
    </w:pPr>
    <w:rPr>
      <w:rFonts w:ascii="Times New Roman" w:hAnsi="Times New Roman"/>
      <w:szCs w:val="24"/>
      <w:lang w:val="en-GB" w:eastAsia="en-US"/>
    </w:rPr>
  </w:style>
  <w:style w:type="character" w:customStyle="1" w:styleId="BodyText2Char">
    <w:name w:val="Body Text 2 Char"/>
    <w:basedOn w:val="DefaultParagraphFont"/>
    <w:link w:val="BodyText2"/>
    <w:rsid w:val="000F2A57"/>
    <w:rPr>
      <w:rFonts w:eastAsia="Times New Roman" w:cs="Times New Roman"/>
      <w:szCs w:val="24"/>
      <w:lang w:val="en-GB"/>
    </w:rPr>
  </w:style>
  <w:style w:type="paragraph" w:styleId="Revision">
    <w:name w:val="Revision"/>
    <w:hidden/>
    <w:uiPriority w:val="99"/>
    <w:semiHidden/>
    <w:rsid w:val="00EA0C77"/>
    <w:pPr>
      <w:spacing w:after="0" w:line="240" w:lineRule="auto"/>
    </w:pPr>
    <w:rPr>
      <w:rFonts w:ascii="Arial Narrow" w:eastAsia="Times New Roman" w:hAnsi="Arial Narrow" w:cs="Times New Roman"/>
      <w:szCs w:val="20"/>
      <w:lang w:eastAsia="lv-LV"/>
    </w:rPr>
  </w:style>
  <w:style w:type="character" w:styleId="CommentReference">
    <w:name w:val="annotation reference"/>
    <w:basedOn w:val="DefaultParagraphFont"/>
    <w:uiPriority w:val="99"/>
    <w:semiHidden/>
    <w:unhideWhenUsed/>
    <w:rsid w:val="00945C92"/>
    <w:rPr>
      <w:sz w:val="16"/>
      <w:szCs w:val="16"/>
    </w:rPr>
  </w:style>
  <w:style w:type="paragraph" w:styleId="CommentText">
    <w:name w:val="annotation text"/>
    <w:basedOn w:val="Normal"/>
    <w:link w:val="CommentTextChar"/>
    <w:uiPriority w:val="99"/>
    <w:unhideWhenUsed/>
    <w:rsid w:val="00945C92"/>
    <w:rPr>
      <w:sz w:val="20"/>
    </w:rPr>
  </w:style>
  <w:style w:type="character" w:customStyle="1" w:styleId="CommentTextChar">
    <w:name w:val="Comment Text Char"/>
    <w:basedOn w:val="DefaultParagraphFont"/>
    <w:link w:val="CommentText"/>
    <w:uiPriority w:val="99"/>
    <w:rsid w:val="00945C92"/>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45C92"/>
    <w:rPr>
      <w:b/>
      <w:bCs/>
    </w:rPr>
  </w:style>
  <w:style w:type="character" w:customStyle="1" w:styleId="CommentSubjectChar">
    <w:name w:val="Comment Subject Char"/>
    <w:basedOn w:val="CommentTextChar"/>
    <w:link w:val="CommentSubject"/>
    <w:uiPriority w:val="99"/>
    <w:semiHidden/>
    <w:rsid w:val="00945C92"/>
    <w:rPr>
      <w:rFonts w:ascii="Arial Narrow" w:eastAsia="Times New Roman" w:hAnsi="Arial Narrow" w:cs="Times New Roman"/>
      <w:b/>
      <w:bCs/>
      <w:sz w:val="20"/>
      <w:szCs w:val="20"/>
      <w:lang w:eastAsia="lv-LV"/>
    </w:rPr>
  </w:style>
  <w:style w:type="character" w:customStyle="1" w:styleId="Heading1Char">
    <w:name w:val="Heading 1 Char"/>
    <w:basedOn w:val="DefaultParagraphFont"/>
    <w:link w:val="Heading1"/>
    <w:uiPriority w:val="9"/>
    <w:rsid w:val="00A35E2C"/>
    <w:rPr>
      <w:rFonts w:eastAsiaTheme="majorEastAsia" w:cstheme="majorBidi"/>
      <w:b/>
      <w:szCs w:val="32"/>
      <w:u w:val="single"/>
    </w:rPr>
  </w:style>
  <w:style w:type="character" w:customStyle="1" w:styleId="Heading3Char">
    <w:name w:val="Heading 3 Char"/>
    <w:basedOn w:val="DefaultParagraphFont"/>
    <w:link w:val="Heading3"/>
    <w:uiPriority w:val="9"/>
    <w:rsid w:val="00380FC5"/>
    <w:rPr>
      <w:rFonts w:asciiTheme="majorHAnsi" w:eastAsiaTheme="majorEastAsia" w:hAnsiTheme="majorHAnsi" w:cstheme="majorBidi"/>
      <w:color w:val="1F3763" w:themeColor="accent1" w:themeShade="7F"/>
      <w:szCs w:val="24"/>
    </w:rPr>
  </w:style>
  <w:style w:type="character" w:styleId="Strong">
    <w:name w:val="Strong"/>
    <w:uiPriority w:val="22"/>
    <w:qFormat/>
    <w:rsid w:val="000C4887"/>
    <w:rPr>
      <w:b/>
      <w:bCs/>
    </w:rPr>
  </w:style>
  <w:style w:type="character" w:styleId="UnresolvedMention">
    <w:name w:val="Unresolved Mention"/>
    <w:basedOn w:val="DefaultParagraphFont"/>
    <w:uiPriority w:val="99"/>
    <w:semiHidden/>
    <w:unhideWhenUsed/>
    <w:rsid w:val="008D03B9"/>
    <w:rPr>
      <w:color w:val="605E5C"/>
      <w:shd w:val="clear" w:color="auto" w:fill="E1DFDD"/>
    </w:rPr>
  </w:style>
  <w:style w:type="character" w:styleId="FollowedHyperlink">
    <w:name w:val="FollowedHyperlink"/>
    <w:basedOn w:val="DefaultParagraphFont"/>
    <w:uiPriority w:val="99"/>
    <w:semiHidden/>
    <w:unhideWhenUsed/>
    <w:rsid w:val="009B1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95574">
      <w:bodyDiv w:val="1"/>
      <w:marLeft w:val="0"/>
      <w:marRight w:val="0"/>
      <w:marTop w:val="0"/>
      <w:marBottom w:val="0"/>
      <w:divBdr>
        <w:top w:val="none" w:sz="0" w:space="0" w:color="auto"/>
        <w:left w:val="none" w:sz="0" w:space="0" w:color="auto"/>
        <w:bottom w:val="none" w:sz="0" w:space="0" w:color="auto"/>
        <w:right w:val="none" w:sz="0" w:space="0" w:color="auto"/>
      </w:divBdr>
    </w:div>
    <w:div w:id="722560372">
      <w:bodyDiv w:val="1"/>
      <w:marLeft w:val="0"/>
      <w:marRight w:val="0"/>
      <w:marTop w:val="0"/>
      <w:marBottom w:val="0"/>
      <w:divBdr>
        <w:top w:val="none" w:sz="0" w:space="0" w:color="auto"/>
        <w:left w:val="none" w:sz="0" w:space="0" w:color="auto"/>
        <w:bottom w:val="none" w:sz="0" w:space="0" w:color="auto"/>
        <w:right w:val="none" w:sz="0" w:space="0" w:color="auto"/>
      </w:divBdr>
    </w:div>
    <w:div w:id="834028990">
      <w:bodyDiv w:val="1"/>
      <w:marLeft w:val="0"/>
      <w:marRight w:val="0"/>
      <w:marTop w:val="0"/>
      <w:marBottom w:val="0"/>
      <w:divBdr>
        <w:top w:val="none" w:sz="0" w:space="0" w:color="auto"/>
        <w:left w:val="none" w:sz="0" w:space="0" w:color="auto"/>
        <w:bottom w:val="none" w:sz="0" w:space="0" w:color="auto"/>
        <w:right w:val="none" w:sz="0" w:space="0" w:color="auto"/>
      </w:divBdr>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198619976">
      <w:bodyDiv w:val="1"/>
      <w:marLeft w:val="0"/>
      <w:marRight w:val="0"/>
      <w:marTop w:val="0"/>
      <w:marBottom w:val="0"/>
      <w:divBdr>
        <w:top w:val="none" w:sz="0" w:space="0" w:color="auto"/>
        <w:left w:val="none" w:sz="0" w:space="0" w:color="auto"/>
        <w:bottom w:val="none" w:sz="0" w:space="0" w:color="auto"/>
        <w:right w:val="none" w:sz="0" w:space="0" w:color="auto"/>
      </w:divBdr>
    </w:div>
    <w:div w:id="1249002232">
      <w:bodyDiv w:val="1"/>
      <w:marLeft w:val="0"/>
      <w:marRight w:val="0"/>
      <w:marTop w:val="0"/>
      <w:marBottom w:val="0"/>
      <w:divBdr>
        <w:top w:val="none" w:sz="0" w:space="0" w:color="auto"/>
        <w:left w:val="none" w:sz="0" w:space="0" w:color="auto"/>
        <w:bottom w:val="none" w:sz="0" w:space="0" w:color="auto"/>
        <w:right w:val="none" w:sz="0" w:space="0" w:color="auto"/>
      </w:divBdr>
    </w:div>
    <w:div w:id="1388454505">
      <w:bodyDiv w:val="1"/>
      <w:marLeft w:val="0"/>
      <w:marRight w:val="0"/>
      <w:marTop w:val="0"/>
      <w:marBottom w:val="0"/>
      <w:divBdr>
        <w:top w:val="none" w:sz="0" w:space="0" w:color="auto"/>
        <w:left w:val="none" w:sz="0" w:space="0" w:color="auto"/>
        <w:bottom w:val="none" w:sz="0" w:space="0" w:color="auto"/>
        <w:right w:val="none" w:sz="0" w:space="0" w:color="auto"/>
      </w:divBdr>
    </w:div>
    <w:div w:id="1411078246">
      <w:bodyDiv w:val="1"/>
      <w:marLeft w:val="0"/>
      <w:marRight w:val="0"/>
      <w:marTop w:val="0"/>
      <w:marBottom w:val="0"/>
      <w:divBdr>
        <w:top w:val="none" w:sz="0" w:space="0" w:color="auto"/>
        <w:left w:val="none" w:sz="0" w:space="0" w:color="auto"/>
        <w:bottom w:val="none" w:sz="0" w:space="0" w:color="auto"/>
        <w:right w:val="none" w:sz="0" w:space="0" w:color="auto"/>
      </w:divBdr>
    </w:div>
    <w:div w:id="1495335759">
      <w:bodyDiv w:val="1"/>
      <w:marLeft w:val="0"/>
      <w:marRight w:val="0"/>
      <w:marTop w:val="0"/>
      <w:marBottom w:val="0"/>
      <w:divBdr>
        <w:top w:val="none" w:sz="0" w:space="0" w:color="auto"/>
        <w:left w:val="none" w:sz="0" w:space="0" w:color="auto"/>
        <w:bottom w:val="none" w:sz="0" w:space="0" w:color="auto"/>
        <w:right w:val="none" w:sz="0" w:space="0" w:color="auto"/>
      </w:divBdr>
    </w:div>
    <w:div w:id="1535388782">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 w:id="1757097660">
      <w:bodyDiv w:val="1"/>
      <w:marLeft w:val="0"/>
      <w:marRight w:val="0"/>
      <w:marTop w:val="0"/>
      <w:marBottom w:val="0"/>
      <w:divBdr>
        <w:top w:val="none" w:sz="0" w:space="0" w:color="auto"/>
        <w:left w:val="none" w:sz="0" w:space="0" w:color="auto"/>
        <w:bottom w:val="none" w:sz="0" w:space="0" w:color="auto"/>
        <w:right w:val="none" w:sz="0" w:space="0" w:color="auto"/>
      </w:divBdr>
    </w:div>
    <w:div w:id="21383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74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A1D1-8059-483F-B112-910C5F0B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12294</Words>
  <Characters>7008</Characters>
  <Application>Microsoft Office Word</Application>
  <DocSecurity>0</DocSecurity>
  <Lines>58</Lines>
  <Paragraphs>38</Paragraphs>
  <ScaleCrop>false</ScaleCrop>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2024-12-18T12:38:00Z</dcterms:created>
  <dcterms:modified xsi:type="dcterms:W3CDTF">2024-12-18T14:31:00Z</dcterms:modified>
</cp:coreProperties>
</file>