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0F9D9" w14:textId="77777777" w:rsidR="00CA18BF" w:rsidRPr="00ED626E" w:rsidRDefault="00CA18BF" w:rsidP="00ED626E">
      <w:pPr>
        <w:spacing w:line="276" w:lineRule="auto"/>
        <w:jc w:val="both"/>
        <w:rPr>
          <w:b/>
          <w:bCs/>
          <w:lang w:eastAsia="lv-LV"/>
        </w:rPr>
      </w:pPr>
      <w:r w:rsidRPr="00ED626E">
        <w:rPr>
          <w:b/>
          <w:bCs/>
        </w:rPr>
        <w:t>Nekustamajā īpašumā veikto ieguldījumu vērtība kapitāla pieauguma noteikšanā</w:t>
      </w:r>
    </w:p>
    <w:p w14:paraId="19EDD6F8" w14:textId="77777777" w:rsidR="00CA18BF" w:rsidRPr="00ED626E" w:rsidRDefault="00CA18BF" w:rsidP="00ED626E">
      <w:pPr>
        <w:spacing w:line="276" w:lineRule="auto"/>
        <w:jc w:val="both"/>
      </w:pPr>
      <w:r w:rsidRPr="00ED626E">
        <w:t>Atbilstoši likumā „Par iedzīvotāju ienākuma nodokli” noteiktajai vispārīgajai kārtībai ar nodokli apliekamā kapitāla pieauguma aprēķinā tiek ņemti vērā trīs lielumi – nekustamā īpašuma atsavināšanas cena, iegādes vērtība un ieguldījumu vērtība tā turēšanas laikā.</w:t>
      </w:r>
    </w:p>
    <w:p w14:paraId="545CB977" w14:textId="77777777" w:rsidR="00CA18BF" w:rsidRPr="00ED626E" w:rsidRDefault="00CA18BF" w:rsidP="00ED626E">
      <w:pPr>
        <w:spacing w:line="276" w:lineRule="auto"/>
        <w:jc w:val="both"/>
      </w:pPr>
      <w:r w:rsidRPr="00ED626E">
        <w:t>Ministru kabineta 2010.gada 21.septembra noteikumu Nr. 899 „Likuma „Par iedzīvotāju ienākuma nodokli” normu piemērošanas kārtība” 85.</w:t>
      </w:r>
      <w:r w:rsidRPr="00ED626E">
        <w:rPr>
          <w:vertAlign w:val="superscript"/>
        </w:rPr>
        <w:t>1</w:t>
      </w:r>
      <w:r w:rsidRPr="00ED626E">
        <w:t>punkts paredz izņēmumu no vispārīgās kārtības, kas izskatāmajā lietā konstatētajos apstākļos liedz ņemt vērā vienu no minētajiem elementiem – ieguldījumu vērtību.</w:t>
      </w:r>
    </w:p>
    <w:p w14:paraId="0443EE1D" w14:textId="77777777" w:rsidR="00CA18BF" w:rsidRPr="00ED626E" w:rsidRDefault="00CA18BF" w:rsidP="00ED626E">
      <w:pPr>
        <w:spacing w:line="276" w:lineRule="auto"/>
        <w:jc w:val="both"/>
      </w:pPr>
      <w:r w:rsidRPr="00ED626E">
        <w:t>Attiecīgais Ministru kabineta noteikumu punkts neatbilst likumam un līdz ar to nav piemērojams. Ministru kabinetam ir piešķirts pilnvarojums izdot noteikumus, lai reglamentētu ar nodokli apliekamā ienākuma aprēķināšanas kārtību, ievērojot dzīves situāciju dažādību, likumā paredzētos ierobežojumus un dažādus nosacījumus, kuriem ir ietekme uz apliekamā ienākuma apmēru. Ministru kabinets nav pilnvarots nodokļu maksātājam ierobežot vai atņemt likumā paredzētās tiesības kapitāla pieauguma aprēķināšanā ņemt vērā abu izdevumu pozīcijas – nekustamā īpašuma iegādes vērtību un nekustamajā īpašumā veikto ieguldījumu vērtību.</w:t>
      </w:r>
    </w:p>
    <w:p w14:paraId="3D1286E2" w14:textId="77777777" w:rsidR="00CA18BF" w:rsidRPr="00ED626E" w:rsidRDefault="00CA18BF" w:rsidP="00ED626E">
      <w:pPr>
        <w:spacing w:line="276" w:lineRule="auto"/>
        <w:jc w:val="both"/>
        <w:rPr>
          <w:b/>
          <w:bCs/>
        </w:rPr>
      </w:pPr>
    </w:p>
    <w:p w14:paraId="0ACD565C" w14:textId="77777777" w:rsidR="00CA18BF" w:rsidRPr="00ED626E" w:rsidRDefault="00CA18BF" w:rsidP="00ED626E">
      <w:pPr>
        <w:spacing w:line="276" w:lineRule="auto"/>
        <w:jc w:val="both"/>
        <w:rPr>
          <w:b/>
          <w:bCs/>
        </w:rPr>
      </w:pPr>
      <w:r w:rsidRPr="00ED626E">
        <w:rPr>
          <w:b/>
          <w:bCs/>
        </w:rPr>
        <w:t>Ieguldījumu vērtība kapitāla pieauguma noteikšanā nav ņemama vērā, ja par nekustamā īpašuma iegādes vērtību nosaka kadastrālo vērtību un pēc ieguldījumiem aktualizēta nekustamā īpašuma kadastrālā vērtība</w:t>
      </w:r>
    </w:p>
    <w:p w14:paraId="0DDCA283" w14:textId="4AE66F7F" w:rsidR="00447EE6" w:rsidRPr="00ED626E" w:rsidRDefault="00CA18BF" w:rsidP="00ED626E">
      <w:pPr>
        <w:spacing w:line="276" w:lineRule="auto"/>
        <w:jc w:val="both"/>
      </w:pPr>
      <w:r w:rsidRPr="00ED626E">
        <w:t>Nav pieļaujams divas reizes ņemt vērā vienu un to pašu vērtību.</w:t>
      </w:r>
      <w:r w:rsidRPr="00ED626E">
        <w:rPr>
          <w:color w:val="000000"/>
          <w14:ligatures w14:val="standardContextual"/>
        </w:rPr>
        <w:t xml:space="preserve"> </w:t>
      </w:r>
      <w:r w:rsidRPr="00ED626E">
        <w:t>Izskatot lietu par kapitāla pieauguma noteikšanu, jāpārbauda ne vien tas, vai pieteicējs ir pierādījis nekustamajā īpašumā veiktos ieguldījumus un to apmēru, bet arī tas, vai viņš pēc nekustamajā īpašumā veiktajiem ieguldījumiem nav aktualizējis nekustamā īpašuma kadastrālo vērtību. Ja tas tā ir, tad nekustamajā īpašumā veikto ieguldījumu vērtība kapitāla pieauguma noteikšanā nav ņemama vērā.</w:t>
      </w:r>
    </w:p>
    <w:p w14:paraId="645338F4" w14:textId="4BD9AFCE" w:rsidR="00447EE6" w:rsidRPr="00CA18BF" w:rsidRDefault="00447EE6" w:rsidP="00ED626E">
      <w:pPr>
        <w:spacing w:before="240" w:line="276" w:lineRule="auto"/>
        <w:jc w:val="center"/>
        <w:rPr>
          <w:b/>
        </w:rPr>
      </w:pPr>
      <w:r w:rsidRPr="00CA18BF">
        <w:rPr>
          <w:b/>
        </w:rPr>
        <w:t>Latvijas Republikas Senāt</w:t>
      </w:r>
      <w:r w:rsidR="00CA18BF" w:rsidRPr="00CA18BF">
        <w:rPr>
          <w:b/>
        </w:rPr>
        <w:t>a</w:t>
      </w:r>
      <w:r w:rsidR="00CA18BF" w:rsidRPr="00CA18BF">
        <w:rPr>
          <w:b/>
        </w:rPr>
        <w:br/>
        <w:t xml:space="preserve">Administratīvo lietu departamenta </w:t>
      </w:r>
      <w:r w:rsidR="00CA18BF" w:rsidRPr="00CA18BF">
        <w:rPr>
          <w:b/>
        </w:rPr>
        <w:br/>
        <w:t>2024.gada 14.novembra</w:t>
      </w:r>
    </w:p>
    <w:p w14:paraId="67BCDFC6" w14:textId="05CD971A" w:rsidR="00447EE6" w:rsidRPr="00CA18BF" w:rsidRDefault="00793346" w:rsidP="00ED626E">
      <w:pPr>
        <w:spacing w:line="276" w:lineRule="auto"/>
        <w:jc w:val="center"/>
        <w:rPr>
          <w:b/>
        </w:rPr>
      </w:pPr>
      <w:r w:rsidRPr="00CA18BF">
        <w:rPr>
          <w:b/>
        </w:rPr>
        <w:t>SPRIEDUMS</w:t>
      </w:r>
    </w:p>
    <w:p w14:paraId="3F415DE9" w14:textId="642DBE85" w:rsidR="00CA18BF" w:rsidRPr="00CA18BF" w:rsidRDefault="00CA18BF" w:rsidP="00ED626E">
      <w:pPr>
        <w:spacing w:line="276" w:lineRule="auto"/>
        <w:jc w:val="center"/>
        <w:rPr>
          <w:b/>
          <w:bCs/>
        </w:rPr>
      </w:pPr>
      <w:r w:rsidRPr="00CA18BF">
        <w:rPr>
          <w:b/>
          <w:bCs/>
        </w:rPr>
        <w:t>Lieta Nr. A420265320, SKA</w:t>
      </w:r>
      <w:bookmarkStart w:id="0" w:name="_Hlk150346213"/>
      <w:r w:rsidRPr="00CA18BF">
        <w:rPr>
          <w:b/>
          <w:bCs/>
        </w:rPr>
        <w:noBreakHyphen/>
      </w:r>
      <w:bookmarkEnd w:id="0"/>
      <w:r w:rsidRPr="00CA18BF">
        <w:rPr>
          <w:b/>
          <w:bCs/>
        </w:rPr>
        <w:t>152/2024</w:t>
      </w:r>
    </w:p>
    <w:p w14:paraId="709A31AA" w14:textId="3AE4A724" w:rsidR="00CA18BF" w:rsidRPr="00CA18BF" w:rsidRDefault="00CA18BF" w:rsidP="00ED626E">
      <w:pPr>
        <w:spacing w:line="276" w:lineRule="auto"/>
        <w:jc w:val="center"/>
      </w:pPr>
      <w:r w:rsidRPr="00CA18BF">
        <w:t xml:space="preserve"> </w:t>
      </w:r>
      <w:hyperlink r:id="rId7" w:history="1">
        <w:r w:rsidRPr="00CA18BF">
          <w:rPr>
            <w:rStyle w:val="Hyperlink"/>
          </w:rPr>
          <w:t>ECLI:LV:AT:2024:1114.A420265320.10.S</w:t>
        </w:r>
      </w:hyperlink>
    </w:p>
    <w:p w14:paraId="4AF555FC" w14:textId="77777777" w:rsidR="00793346" w:rsidRDefault="00793346" w:rsidP="00ED626E">
      <w:pPr>
        <w:spacing w:line="276" w:lineRule="auto"/>
        <w:jc w:val="both"/>
      </w:pPr>
    </w:p>
    <w:p w14:paraId="66FF52C5" w14:textId="0B68FBEC" w:rsidR="00793346" w:rsidRPr="000B6C5A" w:rsidRDefault="00447EE6" w:rsidP="00ED626E">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7508B2">
        <w:t>i</w:t>
      </w:r>
      <w:r w:rsidR="00793346" w:rsidRPr="000B6C5A">
        <w:t xml:space="preserve"> V</w:t>
      </w:r>
      <w:r w:rsidR="005D7C33" w:rsidRPr="000B6C5A">
        <w:t>ēsma Kakste</w:t>
      </w:r>
      <w:r w:rsidR="000645B1">
        <w:t xml:space="preserve"> un </w:t>
      </w:r>
      <w:r w:rsidR="007508B2">
        <w:t>Jānis Pleps</w:t>
      </w:r>
    </w:p>
    <w:p w14:paraId="12EEC9B3" w14:textId="66ABBC6F" w:rsidR="00447EE6" w:rsidRDefault="00447EE6" w:rsidP="00ED626E">
      <w:pPr>
        <w:spacing w:line="276" w:lineRule="auto"/>
        <w:ind w:firstLine="720"/>
        <w:jc w:val="both"/>
        <w:rPr>
          <w:lang w:eastAsia="lv-LV"/>
        </w:rPr>
      </w:pPr>
    </w:p>
    <w:p w14:paraId="224AF355" w14:textId="0F82D4AA" w:rsidR="000B3B71" w:rsidRDefault="006C785B" w:rsidP="00ED626E">
      <w:pPr>
        <w:spacing w:line="276" w:lineRule="auto"/>
        <w:ind w:firstLine="720"/>
        <w:jc w:val="both"/>
      </w:pPr>
      <w:r w:rsidRPr="006C785B">
        <w:t xml:space="preserve">rakstveida procesā izskatīja administratīvo lietu, kas ierosināta, pamatojoties uz </w:t>
      </w:r>
      <w:bookmarkStart w:id="1" w:name="_Hlk110684524"/>
      <w:bookmarkStart w:id="2" w:name="_Hlk105140648"/>
      <w:r w:rsidR="00ED626E">
        <w:t xml:space="preserve">[pers. A] </w:t>
      </w:r>
      <w:r w:rsidR="00A54E10" w:rsidRPr="00A54E10">
        <w:t>pieteikumu par Valsts ieņēmumu dienesta</w:t>
      </w:r>
      <w:r w:rsidR="0006024F">
        <w:t xml:space="preserve"> 202</w:t>
      </w:r>
      <w:r w:rsidR="00F621AA">
        <w:t>0</w:t>
      </w:r>
      <w:r w:rsidR="0006024F">
        <w:t xml:space="preserve">.gada </w:t>
      </w:r>
      <w:r w:rsidR="009B5A28">
        <w:t>12.oktobra</w:t>
      </w:r>
      <w:r w:rsidR="000645B1">
        <w:t xml:space="preserve"> </w:t>
      </w:r>
      <w:r w:rsidR="0006024F">
        <w:t>lēmuma Nr. 31.1-</w:t>
      </w:r>
      <w:r w:rsidR="009B5A28">
        <w:t>22.10</w:t>
      </w:r>
      <w:r w:rsidR="00F621AA">
        <w:t>/</w:t>
      </w:r>
      <w:r w:rsidR="009B5A28">
        <w:t>4300</w:t>
      </w:r>
      <w:r w:rsidR="0006024F">
        <w:t xml:space="preserve"> atcelšanu, </w:t>
      </w:r>
      <w:bookmarkEnd w:id="1"/>
      <w:bookmarkEnd w:id="2"/>
      <w:r w:rsidRPr="006C785B">
        <w:t>sakarā ar</w:t>
      </w:r>
      <w:r w:rsidR="009F257F">
        <w:t xml:space="preserve"> </w:t>
      </w:r>
      <w:r w:rsidR="00ED626E">
        <w:t xml:space="preserve">[pers. A] </w:t>
      </w:r>
      <w:r w:rsidRPr="006C785B">
        <w:t>kasācijas sūdzīb</w:t>
      </w:r>
      <w:r w:rsidR="007E2536">
        <w:t>u</w:t>
      </w:r>
      <w:r w:rsidRPr="006C785B">
        <w:t xml:space="preserve"> par Administratīvās apgabaltiesas </w:t>
      </w:r>
      <w:r w:rsidR="00A54E10" w:rsidRPr="00A54E10">
        <w:t>202</w:t>
      </w:r>
      <w:r w:rsidR="000645B1">
        <w:t>2</w:t>
      </w:r>
      <w:r w:rsidR="00A54E10" w:rsidRPr="00A54E10">
        <w:t xml:space="preserve">.gada </w:t>
      </w:r>
      <w:r w:rsidR="009B5A28">
        <w:t>9.novembra</w:t>
      </w:r>
      <w:r w:rsidR="0006024F">
        <w:t xml:space="preserve"> </w:t>
      </w:r>
      <w:r w:rsidRPr="006C785B">
        <w:t>spriedumu.</w:t>
      </w:r>
    </w:p>
    <w:p w14:paraId="0AD60069" w14:textId="77777777" w:rsidR="008F79A9" w:rsidRPr="008F79A9" w:rsidRDefault="008F79A9" w:rsidP="00ED626E">
      <w:pPr>
        <w:spacing w:before="360" w:after="360" w:line="276" w:lineRule="auto"/>
        <w:jc w:val="center"/>
        <w:rPr>
          <w:noProof/>
        </w:rPr>
      </w:pPr>
      <w:r w:rsidRPr="008F79A9">
        <w:rPr>
          <w:b/>
          <w:shd w:val="clear" w:color="auto" w:fill="FFFFFF"/>
        </w:rPr>
        <w:lastRenderedPageBreak/>
        <w:t>Aprakstošā</w:t>
      </w:r>
      <w:r w:rsidRPr="008F79A9">
        <w:rPr>
          <w:noProof/>
        </w:rPr>
        <w:t xml:space="preserve"> </w:t>
      </w:r>
      <w:r w:rsidRPr="008F79A9">
        <w:rPr>
          <w:b/>
          <w:shd w:val="clear" w:color="auto" w:fill="FFFFFF"/>
        </w:rPr>
        <w:t>daļa</w:t>
      </w:r>
    </w:p>
    <w:p w14:paraId="5A0CA692" w14:textId="0A15D036" w:rsidR="007508B2" w:rsidRDefault="00447EE6" w:rsidP="00ED626E">
      <w:pPr>
        <w:spacing w:line="276" w:lineRule="auto"/>
        <w:ind w:firstLine="720"/>
        <w:jc w:val="both"/>
      </w:pPr>
      <w:r w:rsidRPr="00B66CF3">
        <w:rPr>
          <w:shd w:val="clear" w:color="auto" w:fill="FFFFFF"/>
        </w:rPr>
        <w:t>[1]</w:t>
      </w:r>
      <w:r w:rsidR="00793346" w:rsidRPr="00793346">
        <w:t> </w:t>
      </w:r>
      <w:r w:rsidR="007508B2">
        <w:t xml:space="preserve">Pieteicējs </w:t>
      </w:r>
      <w:r w:rsidR="00ED626E">
        <w:t xml:space="preserve">[pers. A] </w:t>
      </w:r>
      <w:r w:rsidR="007508B2">
        <w:t>atsavināja dāvinājuma ceļā iegūto nekustamo īpašumu. V</w:t>
      </w:r>
      <w:r w:rsidR="001F1C64">
        <w:t xml:space="preserve">alsts ieņēmumu dienests </w:t>
      </w:r>
      <w:r w:rsidR="007508B2">
        <w:t xml:space="preserve">veica datu atbilstības pārbaudi par šo darījumu un </w:t>
      </w:r>
      <w:r w:rsidR="00612728">
        <w:t>atzina,</w:t>
      </w:r>
      <w:r w:rsidR="007508B2">
        <w:t xml:space="preserve"> ka pieteicējs nekustamā īpašuma atsavināšanas rezultātā ir guvis ar iedzīvotāju ienākuma nodokli apliekamo kapitāla pieaugumu. Tāpēc Valsts ieņēmumu dienests aprēķināja pieteicējam budžetā maksājamo iedzīvotāju ienākuma nodokli un nokavējuma naudu. Administratīvais process iestādē noslēdzās ar Valsts ieņēmumu dienesta 2020.gada 12.oktobra lēmumu Nr. 31.1-22.10/4300.</w:t>
      </w:r>
    </w:p>
    <w:p w14:paraId="73F46203" w14:textId="77777777" w:rsidR="007508B2" w:rsidRDefault="007508B2" w:rsidP="00ED626E">
      <w:pPr>
        <w:spacing w:line="276" w:lineRule="auto"/>
        <w:ind w:firstLine="720"/>
        <w:jc w:val="both"/>
      </w:pPr>
      <w:r>
        <w:t xml:space="preserve">Pieteicējs vērsās </w:t>
      </w:r>
      <w:r w:rsidR="000B6C5A">
        <w:t xml:space="preserve">administratīvajā tiesā ar pieteikumu par </w:t>
      </w:r>
      <w:r>
        <w:t>minētā lēmuma atcelšanu.</w:t>
      </w:r>
    </w:p>
    <w:p w14:paraId="2FAC1AA7" w14:textId="77777777" w:rsidR="00E2257C" w:rsidRDefault="00E2257C" w:rsidP="00ED626E">
      <w:pPr>
        <w:spacing w:line="276" w:lineRule="auto"/>
        <w:ind w:firstLine="720"/>
        <w:jc w:val="both"/>
      </w:pPr>
    </w:p>
    <w:p w14:paraId="776D0551" w14:textId="3462D858" w:rsidR="00E2257C" w:rsidRDefault="00E2257C" w:rsidP="00ED626E">
      <w:pPr>
        <w:spacing w:line="276" w:lineRule="auto"/>
        <w:ind w:firstLine="720"/>
        <w:jc w:val="both"/>
      </w:pPr>
      <w:r>
        <w:t>[</w:t>
      </w:r>
      <w:r w:rsidR="00427F1F">
        <w:t>2</w:t>
      </w:r>
      <w:r>
        <w:t>] </w:t>
      </w:r>
      <w:r w:rsidRPr="00E2257C">
        <w:t xml:space="preserve">Administratīvā apgabaltiesa ar </w:t>
      </w:r>
      <w:r w:rsidR="0068046C" w:rsidRPr="0068046C">
        <w:t>202</w:t>
      </w:r>
      <w:r w:rsidR="001F1C64">
        <w:t>2</w:t>
      </w:r>
      <w:r w:rsidR="0068046C" w:rsidRPr="0068046C">
        <w:t xml:space="preserve">.gada </w:t>
      </w:r>
      <w:r w:rsidR="007508B2">
        <w:t xml:space="preserve">9.novembra </w:t>
      </w:r>
      <w:r w:rsidRPr="00E2257C">
        <w:t xml:space="preserve">spriedumu </w:t>
      </w:r>
      <w:r w:rsidR="001F1C64">
        <w:t xml:space="preserve">pievienojās pirmās instances tiesas sprieduma argumentācijai un noraidīja pieteikumu. </w:t>
      </w:r>
      <w:r w:rsidRPr="00E2257C">
        <w:t>Spriedumā norādīti turpmāk minētie argumenti.</w:t>
      </w:r>
    </w:p>
    <w:p w14:paraId="0E09AE2A" w14:textId="019E9DC9" w:rsidR="00C819FA" w:rsidRDefault="00C819FA" w:rsidP="00ED626E">
      <w:pPr>
        <w:spacing w:line="276" w:lineRule="auto"/>
        <w:ind w:firstLine="720"/>
        <w:jc w:val="both"/>
      </w:pPr>
      <w:bookmarkStart w:id="3" w:name="_Hlk149728679"/>
      <w:r>
        <w:t>[</w:t>
      </w:r>
      <w:r w:rsidR="006A7B64">
        <w:t>2.1</w:t>
      </w:r>
      <w:r>
        <w:t xml:space="preserve">] Pieteicējs nekustamo īpašumu ieguva uz dāvinājuma līguma pamata no pirmās pakāpes radinieces – mātes – un atsavināja to 60 mēnešu laikā pēc tā reģistrācijas zemesgrāmatā uz sava vārda. Savukārt pieteicēja māte savas īpašumtiesības uz šo nekustamo īpašumu zemesgrāmatā bija nostiprinājusi 1998.gada 20.janvārī. Līdz ar to izpildās visi likuma </w:t>
      </w:r>
      <w:r w:rsidR="00612728" w:rsidRPr="006F093E">
        <w:rPr>
          <w:rFonts w:asciiTheme="majorBidi" w:hAnsiTheme="majorBidi" w:cstheme="majorBidi"/>
        </w:rPr>
        <w:t>„</w:t>
      </w:r>
      <w:r>
        <w:t>Par iedzīvotāju ienākuma nodokli” 11.</w:t>
      </w:r>
      <w:r w:rsidRPr="00612728">
        <w:rPr>
          <w:vertAlign w:val="superscript"/>
        </w:rPr>
        <w:t>9</w:t>
      </w:r>
      <w:r>
        <w:t>panta 7.</w:t>
      </w:r>
      <w:r w:rsidRPr="00612728">
        <w:rPr>
          <w:vertAlign w:val="superscript"/>
        </w:rPr>
        <w:t>3</w:t>
      </w:r>
      <w:r>
        <w:t>daļas 3.punktā paredzētie kritēriji</w:t>
      </w:r>
      <w:r w:rsidR="00612728">
        <w:t>. T</w:t>
      </w:r>
      <w:r>
        <w:t xml:space="preserve">as </w:t>
      </w:r>
      <w:r w:rsidR="006A7B64">
        <w:t xml:space="preserve">savukārt </w:t>
      </w:r>
      <w:r>
        <w:t xml:space="preserve">nozīmē, ka par pieteicēja atsavinātā nekustamā īpašuma iegādes vērtību uzskatāma tā aktuālā kadastrālā vērtība nekustamā īpašuma atsavināšanas gadā, to koriģējot </w:t>
      </w:r>
      <w:r w:rsidR="006A7B64">
        <w:t xml:space="preserve">minētajā </w:t>
      </w:r>
      <w:r>
        <w:t>tiesību normā paredzētajā kārtībā.</w:t>
      </w:r>
    </w:p>
    <w:p w14:paraId="2B3BEC26" w14:textId="78C1FE65" w:rsidR="00996CE4" w:rsidRDefault="00C819FA" w:rsidP="00ED626E">
      <w:pPr>
        <w:spacing w:line="276" w:lineRule="auto"/>
        <w:ind w:firstLine="720"/>
        <w:jc w:val="both"/>
      </w:pPr>
      <w:r>
        <w:t>[</w:t>
      </w:r>
      <w:r w:rsidR="006A7B64">
        <w:t>2.2</w:t>
      </w:r>
      <w:r>
        <w:t xml:space="preserve">] Pieteicējs nepamatoti uzskata, ka atbilstoši likuma </w:t>
      </w:r>
      <w:r w:rsidR="00612728" w:rsidRPr="006F093E">
        <w:rPr>
          <w:rFonts w:asciiTheme="majorBidi" w:hAnsiTheme="majorBidi" w:cstheme="majorBidi"/>
        </w:rPr>
        <w:t>„</w:t>
      </w:r>
      <w:r>
        <w:t>Par iedzīvotāju ienākuma nodokli” 11.</w:t>
      </w:r>
      <w:r w:rsidRPr="00612728">
        <w:rPr>
          <w:vertAlign w:val="superscript"/>
        </w:rPr>
        <w:t>9</w:t>
      </w:r>
      <w:r>
        <w:t>panta pirmajai daļai kapitāla pieauguma aprēķinā</w:t>
      </w:r>
      <w:r w:rsidR="00F43EC1">
        <w:t>šanā</w:t>
      </w:r>
      <w:r>
        <w:t xml:space="preserve"> jāņem vērā pieteicēja </w:t>
      </w:r>
      <w:r w:rsidR="00612728">
        <w:t xml:space="preserve">nekustamajā īpašumā </w:t>
      </w:r>
      <w:r>
        <w:t>veikt</w:t>
      </w:r>
      <w:r w:rsidR="00612728">
        <w:t xml:space="preserve">o </w:t>
      </w:r>
      <w:r>
        <w:t>ieguldījum</w:t>
      </w:r>
      <w:r w:rsidR="00612728">
        <w:t xml:space="preserve">u vērtība. </w:t>
      </w:r>
      <w:r w:rsidR="00996CE4">
        <w:t xml:space="preserve">Atbilstoši </w:t>
      </w:r>
      <w:r w:rsidR="0021705B">
        <w:t xml:space="preserve">Ministru kabineta 2010.gada 21.septembra noteikumu Nr. 899 </w:t>
      </w:r>
      <w:r w:rsidR="0021705B" w:rsidRPr="006F093E">
        <w:rPr>
          <w:rFonts w:asciiTheme="majorBidi" w:hAnsiTheme="majorBidi" w:cstheme="majorBidi"/>
        </w:rPr>
        <w:t>„</w:t>
      </w:r>
      <w:r w:rsidR="0021705B">
        <w:t xml:space="preserve">Likuma </w:t>
      </w:r>
      <w:r w:rsidR="0021705B" w:rsidRPr="006F093E">
        <w:rPr>
          <w:rFonts w:asciiTheme="majorBidi" w:hAnsiTheme="majorBidi" w:cstheme="majorBidi"/>
        </w:rPr>
        <w:t>„</w:t>
      </w:r>
      <w:r w:rsidR="0021705B">
        <w:t>Par iedzīvotāju ienākuma nodokli” normu piemērošanas kārtība” (turpmāk – noteikumi Nr. 899) 85.</w:t>
      </w:r>
      <w:r w:rsidR="0021705B" w:rsidRPr="0021705B">
        <w:rPr>
          <w:vertAlign w:val="superscript"/>
        </w:rPr>
        <w:t>1</w:t>
      </w:r>
      <w:r w:rsidR="0021705B">
        <w:t>punkt</w:t>
      </w:r>
      <w:r w:rsidR="00996CE4">
        <w:t>am</w:t>
      </w:r>
      <w:r w:rsidR="0021705B">
        <w:t xml:space="preserve"> kapitāla pieauguma aprēķināšanā netiek ņemti vērā ieguldījumi nekustamajā īpašumā, ja par nekustamā īpašuma iegādes vērtību tiek noteikta nekustamā īpašuma kadastrālā vērtība tā atsavināšanas gadā. </w:t>
      </w:r>
      <w:r w:rsidR="00A5299E">
        <w:t>L</w:t>
      </w:r>
      <w:r w:rsidR="0021705B">
        <w:t xml:space="preserve">ikumdevējs likuma </w:t>
      </w:r>
      <w:r w:rsidR="0021705B" w:rsidRPr="006F093E">
        <w:rPr>
          <w:rFonts w:asciiTheme="majorBidi" w:hAnsiTheme="majorBidi" w:cstheme="majorBidi"/>
        </w:rPr>
        <w:t>„</w:t>
      </w:r>
      <w:r w:rsidR="0021705B">
        <w:rPr>
          <w:rFonts w:asciiTheme="majorBidi" w:hAnsiTheme="majorBidi" w:cstheme="majorBidi"/>
        </w:rPr>
        <w:t xml:space="preserve">Par iedzīvotāju ienākuma nodokli” 39.panta </w:t>
      </w:r>
      <w:r w:rsidR="00996CE4">
        <w:rPr>
          <w:rFonts w:asciiTheme="majorBidi" w:hAnsiTheme="majorBidi" w:cstheme="majorBidi"/>
        </w:rPr>
        <w:t>2.punktā</w:t>
      </w:r>
      <w:r w:rsidR="0021705B">
        <w:t xml:space="preserve"> ir pilnvarojis Ministru kabinetu paredzēt ar nodokli apliekamā ienākuma noteikšanas kārtību</w:t>
      </w:r>
      <w:r w:rsidR="00A5299E">
        <w:t>.</w:t>
      </w:r>
      <w:r w:rsidR="0021705B">
        <w:t xml:space="preserve"> </w:t>
      </w:r>
      <w:r w:rsidR="00A5299E">
        <w:t xml:space="preserve">Ņemot </w:t>
      </w:r>
      <w:r w:rsidR="0021705B">
        <w:t xml:space="preserve">vērā </w:t>
      </w:r>
      <w:r w:rsidR="00A5299E">
        <w:t xml:space="preserve">likumā paredzēto risinājumu, kā noteikt </w:t>
      </w:r>
      <w:r w:rsidR="0021705B">
        <w:t xml:space="preserve">dāvinājumā iegūta </w:t>
      </w:r>
      <w:r w:rsidR="00A5299E">
        <w:t xml:space="preserve">nekustamā </w:t>
      </w:r>
      <w:r w:rsidR="0021705B">
        <w:t>īpašuma iegādes vērtīb</w:t>
      </w:r>
      <w:r w:rsidR="00A5299E">
        <w:t>u</w:t>
      </w:r>
      <w:r w:rsidR="0021705B">
        <w:t>, Ministru kabinets</w:t>
      </w:r>
      <w:r w:rsidR="00EB36D6">
        <w:t xml:space="preserve"> </w:t>
      </w:r>
      <w:r w:rsidR="0021705B">
        <w:t>pamatoti noteikumos Nr. 899 precizēja, ka šādos gadījumos nav pamata ņemt vērā nekustamajā īpašumā veiktos ieguldījumus.</w:t>
      </w:r>
    </w:p>
    <w:p w14:paraId="3E88C4E6" w14:textId="4180787B" w:rsidR="00F43EC1" w:rsidRDefault="00996CE4" w:rsidP="00ED626E">
      <w:pPr>
        <w:spacing w:line="276" w:lineRule="auto"/>
        <w:ind w:firstLine="720"/>
        <w:jc w:val="both"/>
      </w:pPr>
      <w:r>
        <w:t>[</w:t>
      </w:r>
      <w:r w:rsidR="006A7B64">
        <w:t>2.3</w:t>
      </w:r>
      <w:r>
        <w:t>] </w:t>
      </w:r>
      <w:r w:rsidR="00C819FA">
        <w:t>Nekustamā īpašuma kadastrālajā vērtībā lielā mērā iekļaujas arī nekustamajā īpašumā</w:t>
      </w:r>
      <w:r w:rsidR="00612728">
        <w:t xml:space="preserve"> veikti ieguldījumi. </w:t>
      </w:r>
      <w:r w:rsidR="00C819FA">
        <w:t>Tāpēc nebūtu taisnīgi kapitāla pieauguma aprēķināšanā ņemt vērā gan nekustamā īpašuma kadastrālo vērtību, gan ieguldījumus nekustamajā īpašumā.</w:t>
      </w:r>
    </w:p>
    <w:p w14:paraId="7A05EC3C" w14:textId="77777777" w:rsidR="00C819FA" w:rsidRPr="00B06F2D" w:rsidRDefault="00C819FA" w:rsidP="00ED626E">
      <w:pPr>
        <w:spacing w:line="276" w:lineRule="auto"/>
        <w:ind w:firstLine="720"/>
        <w:jc w:val="both"/>
      </w:pPr>
    </w:p>
    <w:bookmarkEnd w:id="3"/>
    <w:p w14:paraId="6F8F8990" w14:textId="1AA48748" w:rsidR="00B7034E" w:rsidRDefault="00793346" w:rsidP="00ED626E">
      <w:pPr>
        <w:spacing w:line="276" w:lineRule="auto"/>
        <w:ind w:firstLine="720"/>
        <w:jc w:val="both"/>
      </w:pPr>
      <w:r w:rsidRPr="00793346">
        <w:t>[</w:t>
      </w:r>
      <w:r w:rsidR="00427F1F">
        <w:t>3</w:t>
      </w:r>
      <w:r w:rsidRPr="00793346">
        <w:t>] </w:t>
      </w:r>
      <w:r w:rsidR="001A6410">
        <w:t>Pieteicēj</w:t>
      </w:r>
      <w:r w:rsidR="005A75FD">
        <w:t>s</w:t>
      </w:r>
      <w:r w:rsidR="001A6410">
        <w:t xml:space="preserve"> </w:t>
      </w:r>
      <w:r w:rsidR="00C86127">
        <w:t xml:space="preserve">par apgabaltiesas </w:t>
      </w:r>
      <w:r w:rsidR="00C86127" w:rsidRPr="00353377">
        <w:t>spriedumu</w:t>
      </w:r>
      <w:r w:rsidR="00C86127">
        <w:t xml:space="preserve"> </w:t>
      </w:r>
      <w:r w:rsidR="00AA7981">
        <w:t>iesniedza kasācijas sūdzību</w:t>
      </w:r>
      <w:r w:rsidR="00AB122E">
        <w:t>.</w:t>
      </w:r>
      <w:r w:rsidR="00874CAB">
        <w:t xml:space="preserve"> Kasācijas sūdzībā norādīti turpmāk minētie argumenti.</w:t>
      </w:r>
    </w:p>
    <w:p w14:paraId="0BC12D63" w14:textId="0F8653E3" w:rsidR="00F43EC1" w:rsidRDefault="008E677E" w:rsidP="00ED626E">
      <w:pPr>
        <w:spacing w:line="276" w:lineRule="auto"/>
        <w:ind w:firstLine="720"/>
        <w:jc w:val="both"/>
      </w:pPr>
      <w:bookmarkStart w:id="4" w:name="_Hlk161743806"/>
      <w:r w:rsidRPr="008E677E">
        <w:t>[</w:t>
      </w:r>
      <w:r w:rsidR="00427F1F">
        <w:t>3.1</w:t>
      </w:r>
      <w:r w:rsidRPr="008E677E">
        <w:t>] </w:t>
      </w:r>
      <w:bookmarkEnd w:id="4"/>
      <w:r w:rsidR="00F43EC1">
        <w:t xml:space="preserve">Apgabaltiesa nav izvērtējusi pieteicēja argumentu, ka, aprēķinot iedzīvotāju ienākuma nodokli tādā veidā, kā to ir darījis Valsts ieņēmumu dienests, tiek pārkāptas </w:t>
      </w:r>
      <w:r w:rsidR="00F43EC1">
        <w:lastRenderedPageBreak/>
        <w:t xml:space="preserve">pieteicēja likuma </w:t>
      </w:r>
      <w:r w:rsidR="00612728" w:rsidRPr="006F093E">
        <w:rPr>
          <w:rFonts w:asciiTheme="majorBidi" w:hAnsiTheme="majorBidi" w:cstheme="majorBidi"/>
        </w:rPr>
        <w:t>„</w:t>
      </w:r>
      <w:r w:rsidR="00F43EC1">
        <w:t>Par iedzīvotāju ienākuma nodokli” 11.</w:t>
      </w:r>
      <w:r w:rsidR="00F43EC1" w:rsidRPr="00612728">
        <w:rPr>
          <w:vertAlign w:val="superscript"/>
        </w:rPr>
        <w:t>9</w:t>
      </w:r>
      <w:r w:rsidR="00F43EC1">
        <w:t>panta pirmajā daļā un 5.</w:t>
      </w:r>
      <w:r w:rsidR="00F43EC1" w:rsidRPr="00612728">
        <w:rPr>
          <w:vertAlign w:val="superscript"/>
        </w:rPr>
        <w:t>1</w:t>
      </w:r>
      <w:r w:rsidR="00F43EC1">
        <w:t>daļā paredzētās tiesības. Valsts ieņēmumu dienesta piemērotā un tiesas akceptētā nodokļa aprēķināšanas principa rezultātā pieteicējs ir spiests maksāt nodokli no neesoša ienākuma.</w:t>
      </w:r>
    </w:p>
    <w:p w14:paraId="081666E5" w14:textId="573B9E08" w:rsidR="002B5C2C" w:rsidRDefault="002B5C2C" w:rsidP="00ED626E">
      <w:pPr>
        <w:spacing w:line="276" w:lineRule="auto"/>
        <w:ind w:firstLine="720"/>
        <w:jc w:val="both"/>
      </w:pPr>
      <w:r>
        <w:t>[</w:t>
      </w:r>
      <w:r w:rsidR="006A7B64">
        <w:t>3.2</w:t>
      </w:r>
      <w:r>
        <w:t>] Ministru kabinets, pieņemot noteikumu Nr. 899 85.</w:t>
      </w:r>
      <w:r w:rsidRPr="00612728">
        <w:rPr>
          <w:vertAlign w:val="superscript"/>
        </w:rPr>
        <w:t>1</w:t>
      </w:r>
      <w:r>
        <w:t>punktu, ir pārkāpis likumdevēja pilnvarojumu. Apgabaltiesa to nav analizējusi.</w:t>
      </w:r>
    </w:p>
    <w:p w14:paraId="6C5BBB18" w14:textId="6F6E77E8" w:rsidR="002B5C2C" w:rsidRDefault="002B5C2C" w:rsidP="00ED626E">
      <w:pPr>
        <w:spacing w:line="276" w:lineRule="auto"/>
        <w:ind w:firstLine="720"/>
        <w:jc w:val="both"/>
      </w:pPr>
      <w:r>
        <w:t>[</w:t>
      </w:r>
      <w:r w:rsidR="006A7B64">
        <w:t>3.3</w:t>
      </w:r>
      <w:r>
        <w:t>] Apgabaltiesa nav piemērojusi samērīguma un vienlīdzības principu, jo nav ņēmusi vērā, ka nodokļa maksātāja tiesības iekļaut kapitāla pieauguma aprēķinā nekustamajā īpašumā veikto ieguldījumu</w:t>
      </w:r>
      <w:r w:rsidR="00612728">
        <w:t xml:space="preserve"> vērtību</w:t>
      </w:r>
      <w:r>
        <w:t xml:space="preserve"> ir atkarīgas no datuma, kad dāvinātājs ir ieguvis nekustamo īpašumu.</w:t>
      </w:r>
    </w:p>
    <w:p w14:paraId="38DF1A47" w14:textId="77777777" w:rsidR="002B5C2C" w:rsidRDefault="002B5C2C" w:rsidP="00ED626E">
      <w:pPr>
        <w:spacing w:line="276" w:lineRule="auto"/>
        <w:ind w:firstLine="720"/>
        <w:jc w:val="both"/>
      </w:pPr>
    </w:p>
    <w:p w14:paraId="2685F480" w14:textId="6CBAA42C" w:rsidR="002B5C2C" w:rsidRDefault="00793346" w:rsidP="00ED626E">
      <w:pPr>
        <w:spacing w:line="276" w:lineRule="auto"/>
        <w:ind w:firstLine="720"/>
        <w:jc w:val="both"/>
      </w:pPr>
      <w:r w:rsidRPr="00793346">
        <w:t>[</w:t>
      </w:r>
      <w:r w:rsidR="00427F1F">
        <w:t>4</w:t>
      </w:r>
      <w:r w:rsidRPr="00793346">
        <w:t>] </w:t>
      </w:r>
      <w:r w:rsidR="001A6410">
        <w:t xml:space="preserve">Valsts ieņēmumu dienests </w:t>
      </w:r>
      <w:r w:rsidR="002B5C2C">
        <w:t>paskaidrojumos norāda, ka pieteicēja kasācijas sūdzība ir nepamatota, jo apgabaltiesa objektīvi izvērtēj</w:t>
      </w:r>
      <w:r w:rsidR="00612728">
        <w:t>a</w:t>
      </w:r>
      <w:r w:rsidR="002B5C2C">
        <w:t xml:space="preserve"> būtiskos lietas apstākļus un pierādījumus.</w:t>
      </w:r>
    </w:p>
    <w:p w14:paraId="4BE967E8" w14:textId="77777777" w:rsidR="008F79A9" w:rsidRPr="008F79A9" w:rsidRDefault="008F79A9" w:rsidP="00ED626E">
      <w:pPr>
        <w:spacing w:before="360" w:after="360" w:line="276" w:lineRule="auto"/>
        <w:jc w:val="center"/>
        <w:rPr>
          <w:b/>
          <w:shd w:val="clear" w:color="auto" w:fill="FFFFFF"/>
        </w:rPr>
      </w:pPr>
      <w:r w:rsidRPr="008F79A9">
        <w:rPr>
          <w:b/>
          <w:shd w:val="clear" w:color="auto" w:fill="FFFFFF"/>
        </w:rPr>
        <w:t>Motīvu daļa</w:t>
      </w:r>
    </w:p>
    <w:p w14:paraId="38E53BE4" w14:textId="7BFAF118" w:rsidR="00CB36E5" w:rsidRDefault="00CB36E5" w:rsidP="00ED626E">
      <w:pPr>
        <w:shd w:val="clear" w:color="auto" w:fill="FFFFFF"/>
        <w:spacing w:line="276" w:lineRule="auto"/>
        <w:ind w:firstLine="720"/>
        <w:jc w:val="both"/>
        <w:rPr>
          <w:bCs/>
        </w:rPr>
      </w:pPr>
      <w:bookmarkStart w:id="5" w:name="_Hlk126135345"/>
      <w:r>
        <w:rPr>
          <w:bCs/>
        </w:rPr>
        <w:t>[</w:t>
      </w:r>
      <w:r w:rsidR="006A7B64">
        <w:rPr>
          <w:bCs/>
        </w:rPr>
        <w:t>5</w:t>
      </w:r>
      <w:r>
        <w:rPr>
          <w:bCs/>
        </w:rPr>
        <w:t>] Kasācijas tiesvedīb</w:t>
      </w:r>
      <w:r w:rsidR="002B5C2C">
        <w:rPr>
          <w:bCs/>
        </w:rPr>
        <w:t>as kārtīb</w:t>
      </w:r>
      <w:r>
        <w:rPr>
          <w:bCs/>
        </w:rPr>
        <w:t>ā jāatbild uz jautājumu, vai</w:t>
      </w:r>
      <w:r w:rsidR="007D4EC1">
        <w:rPr>
          <w:bCs/>
        </w:rPr>
        <w:t xml:space="preserve"> noteikumu Nr. 899 85.</w:t>
      </w:r>
      <w:r w:rsidR="007D4EC1" w:rsidRPr="002B5C2C">
        <w:rPr>
          <w:bCs/>
          <w:vertAlign w:val="superscript"/>
        </w:rPr>
        <w:t>1</w:t>
      </w:r>
      <w:r w:rsidR="007D4EC1">
        <w:rPr>
          <w:bCs/>
        </w:rPr>
        <w:t xml:space="preserve">punkts atbilst likuma </w:t>
      </w:r>
      <w:r w:rsidR="0021705B" w:rsidRPr="009B5A28">
        <w:rPr>
          <w:rFonts w:asciiTheme="majorBidi" w:hAnsiTheme="majorBidi" w:cstheme="majorBidi"/>
        </w:rPr>
        <w:t>„</w:t>
      </w:r>
      <w:r w:rsidR="007D4EC1">
        <w:rPr>
          <w:bCs/>
        </w:rPr>
        <w:t>Par iedzīvotāju ienākuma nodokli” 11.</w:t>
      </w:r>
      <w:r w:rsidR="007D4EC1" w:rsidRPr="0021705B">
        <w:rPr>
          <w:bCs/>
          <w:vertAlign w:val="superscript"/>
        </w:rPr>
        <w:t>9</w:t>
      </w:r>
      <w:r w:rsidR="007D4EC1">
        <w:rPr>
          <w:bCs/>
        </w:rPr>
        <w:t>panta pirmajai daļai</w:t>
      </w:r>
      <w:r>
        <w:rPr>
          <w:bCs/>
        </w:rPr>
        <w:t>.</w:t>
      </w:r>
    </w:p>
    <w:p w14:paraId="606C1AAD" w14:textId="77777777" w:rsidR="00CB36E5" w:rsidRDefault="00CB36E5" w:rsidP="00ED626E">
      <w:pPr>
        <w:shd w:val="clear" w:color="auto" w:fill="FFFFFF"/>
        <w:spacing w:line="276" w:lineRule="auto"/>
        <w:ind w:firstLine="720"/>
        <w:jc w:val="both"/>
        <w:rPr>
          <w:bCs/>
        </w:rPr>
      </w:pPr>
    </w:p>
    <w:p w14:paraId="135B0FF9" w14:textId="6500229F" w:rsidR="006F093E" w:rsidRPr="006A7B64" w:rsidRDefault="006F093E" w:rsidP="00ED626E">
      <w:pPr>
        <w:shd w:val="clear" w:color="auto" w:fill="FFFFFF"/>
        <w:spacing w:line="276" w:lineRule="auto"/>
        <w:ind w:firstLine="720"/>
        <w:jc w:val="both"/>
        <w:rPr>
          <w:rFonts w:asciiTheme="majorBidi" w:hAnsiTheme="majorBidi" w:cstheme="majorBidi"/>
          <w:shd w:val="clear" w:color="auto" w:fill="FFFFFF"/>
        </w:rPr>
      </w:pPr>
      <w:r>
        <w:rPr>
          <w:bCs/>
        </w:rPr>
        <w:t>[</w:t>
      </w:r>
      <w:r w:rsidR="006A7B64">
        <w:rPr>
          <w:bCs/>
        </w:rPr>
        <w:t>6</w:t>
      </w:r>
      <w:r>
        <w:rPr>
          <w:bCs/>
        </w:rPr>
        <w:t>] </w:t>
      </w:r>
      <w:r w:rsidR="007D4EC1">
        <w:rPr>
          <w:bCs/>
        </w:rPr>
        <w:t>L</w:t>
      </w:r>
      <w:r w:rsidRPr="006F093E">
        <w:rPr>
          <w:rFonts w:asciiTheme="majorBidi" w:hAnsiTheme="majorBidi" w:cstheme="majorBidi"/>
          <w:bCs/>
        </w:rPr>
        <w:t xml:space="preserve">ikuma </w:t>
      </w:r>
      <w:r w:rsidRPr="006F093E">
        <w:rPr>
          <w:rFonts w:asciiTheme="majorBidi" w:hAnsiTheme="majorBidi" w:cstheme="majorBidi"/>
        </w:rPr>
        <w:t>„</w:t>
      </w:r>
      <w:r w:rsidRPr="006F093E">
        <w:rPr>
          <w:rFonts w:asciiTheme="majorBidi" w:hAnsiTheme="majorBidi" w:cstheme="majorBidi"/>
          <w:bCs/>
        </w:rPr>
        <w:t>Par iedzīvotāju ienākuma nodokli” 11.</w:t>
      </w:r>
      <w:r w:rsidRPr="0021705B">
        <w:rPr>
          <w:rFonts w:asciiTheme="majorBidi" w:hAnsiTheme="majorBidi" w:cstheme="majorBidi"/>
          <w:bCs/>
          <w:vertAlign w:val="superscript"/>
        </w:rPr>
        <w:t>9</w:t>
      </w:r>
      <w:r w:rsidRPr="006F093E">
        <w:rPr>
          <w:rFonts w:asciiTheme="majorBidi" w:hAnsiTheme="majorBidi" w:cstheme="majorBidi"/>
          <w:bCs/>
        </w:rPr>
        <w:t>panta pirm</w:t>
      </w:r>
      <w:r w:rsidR="007D4EC1">
        <w:rPr>
          <w:rFonts w:asciiTheme="majorBidi" w:hAnsiTheme="majorBidi" w:cstheme="majorBidi"/>
          <w:bCs/>
        </w:rPr>
        <w:t xml:space="preserve">ā daļa paredz, ka </w:t>
      </w:r>
      <w:r w:rsidRPr="006F093E">
        <w:rPr>
          <w:rFonts w:asciiTheme="majorBidi" w:hAnsiTheme="majorBidi" w:cstheme="majorBidi"/>
          <w:bCs/>
        </w:rPr>
        <w:t>kapitāla pieaugumu nosaka, no kapitāla aktīva atsavināšanas cenas atņemot iegādes vērtību un kapitāla aktīvā veikto ieguldījumu vērtību kapitāla aktīva turēšanas laikā. Savukārt noteikumu Nr. 899 85.</w:t>
      </w:r>
      <w:r w:rsidRPr="006F093E">
        <w:rPr>
          <w:rFonts w:asciiTheme="majorBidi" w:hAnsiTheme="majorBidi" w:cstheme="majorBidi"/>
          <w:bCs/>
          <w:vertAlign w:val="superscript"/>
        </w:rPr>
        <w:t>1</w:t>
      </w:r>
      <w:r w:rsidRPr="006F093E">
        <w:rPr>
          <w:rFonts w:asciiTheme="majorBidi" w:hAnsiTheme="majorBidi" w:cstheme="majorBidi"/>
          <w:bCs/>
        </w:rPr>
        <w:t>punkt</w:t>
      </w:r>
      <w:r w:rsidR="007D4EC1">
        <w:rPr>
          <w:rFonts w:asciiTheme="majorBidi" w:hAnsiTheme="majorBidi" w:cstheme="majorBidi"/>
          <w:bCs/>
        </w:rPr>
        <w:t>s paredz, ka</w:t>
      </w:r>
      <w:r w:rsidRPr="006F093E">
        <w:rPr>
          <w:rFonts w:asciiTheme="majorBidi" w:hAnsiTheme="majorBidi" w:cstheme="majorBidi"/>
          <w:bCs/>
        </w:rPr>
        <w:t>, p</w:t>
      </w:r>
      <w:r w:rsidRPr="006F093E">
        <w:rPr>
          <w:rFonts w:asciiTheme="majorBidi" w:hAnsiTheme="majorBidi" w:cstheme="majorBidi"/>
          <w:shd w:val="clear" w:color="auto" w:fill="FFFFFF"/>
        </w:rPr>
        <w:t>iemērojot likuma 11.</w:t>
      </w:r>
      <w:r w:rsidRPr="006F093E">
        <w:rPr>
          <w:rFonts w:asciiTheme="majorBidi" w:hAnsiTheme="majorBidi" w:cstheme="majorBidi"/>
          <w:shd w:val="clear" w:color="auto" w:fill="FFFFFF"/>
          <w:vertAlign w:val="superscript"/>
        </w:rPr>
        <w:t>9</w:t>
      </w:r>
      <w:r w:rsidRPr="006F093E">
        <w:rPr>
          <w:rFonts w:asciiTheme="majorBidi" w:hAnsiTheme="majorBidi" w:cstheme="majorBidi"/>
          <w:shd w:val="clear" w:color="auto" w:fill="FFFFFF"/>
        </w:rPr>
        <w:t xml:space="preserve">panta pirmo daļu, nosakot kapitāla pieaugumu, vērā netiek ņemta kapitāla aktīva turēšanas laikā kapitāla aktīvā veikto </w:t>
      </w:r>
      <w:r w:rsidRPr="005316AE">
        <w:rPr>
          <w:rFonts w:asciiTheme="majorBidi" w:hAnsiTheme="majorBidi" w:cstheme="majorBidi"/>
          <w:shd w:val="clear" w:color="auto" w:fill="FFFFFF"/>
        </w:rPr>
        <w:t>ieguldījumu vērtība, ja, nosakot nekustamā īpašuma iegādes vērtību, tiek ņemta vērā aktuālā nekusta</w:t>
      </w:r>
      <w:r w:rsidRPr="006A7B64">
        <w:rPr>
          <w:rFonts w:asciiTheme="majorBidi" w:hAnsiTheme="majorBidi" w:cstheme="majorBidi"/>
          <w:shd w:val="clear" w:color="auto" w:fill="FFFFFF"/>
        </w:rPr>
        <w:t>mā īpašuma kadastrālā vērtība nekustamā īpašuma atsavināšanas gadā.</w:t>
      </w:r>
    </w:p>
    <w:p w14:paraId="104B6208" w14:textId="513D262C" w:rsidR="005316AE" w:rsidRPr="005316AE" w:rsidRDefault="0021705B" w:rsidP="00ED626E">
      <w:pPr>
        <w:shd w:val="clear" w:color="auto" w:fill="FFFFFF"/>
        <w:spacing w:line="276" w:lineRule="auto"/>
        <w:ind w:firstLine="720"/>
        <w:jc w:val="both"/>
        <w:rPr>
          <w:rFonts w:asciiTheme="majorBidi" w:hAnsiTheme="majorBidi" w:cstheme="majorBidi"/>
          <w:lang w:eastAsia="en-US"/>
        </w:rPr>
      </w:pPr>
      <w:r w:rsidRPr="006A7B64">
        <w:rPr>
          <w:rFonts w:asciiTheme="majorBidi" w:hAnsiTheme="majorBidi" w:cstheme="majorBidi"/>
          <w:shd w:val="clear" w:color="auto" w:fill="FFFFFF"/>
        </w:rPr>
        <w:t>G</w:t>
      </w:r>
      <w:r w:rsidR="00E01871" w:rsidRPr="006A7B64">
        <w:rPr>
          <w:rFonts w:asciiTheme="majorBidi" w:hAnsiTheme="majorBidi" w:cstheme="majorBidi"/>
          <w:shd w:val="clear" w:color="auto" w:fill="FFFFFF"/>
        </w:rPr>
        <w:t>adījum</w:t>
      </w:r>
      <w:r w:rsidRPr="006A7B64">
        <w:rPr>
          <w:rFonts w:asciiTheme="majorBidi" w:hAnsiTheme="majorBidi" w:cstheme="majorBidi"/>
          <w:shd w:val="clear" w:color="auto" w:fill="FFFFFF"/>
        </w:rPr>
        <w:t>s,</w:t>
      </w:r>
      <w:r w:rsidR="00E01871" w:rsidRPr="006A7B64">
        <w:rPr>
          <w:rFonts w:asciiTheme="majorBidi" w:hAnsiTheme="majorBidi" w:cstheme="majorBidi"/>
          <w:shd w:val="clear" w:color="auto" w:fill="FFFFFF"/>
        </w:rPr>
        <w:t xml:space="preserve"> kad </w:t>
      </w:r>
      <w:r w:rsidR="00CB36E5" w:rsidRPr="006A7B64">
        <w:rPr>
          <w:rFonts w:asciiTheme="majorBidi" w:hAnsiTheme="majorBidi" w:cstheme="majorBidi"/>
          <w:shd w:val="clear" w:color="auto" w:fill="FFFFFF"/>
        </w:rPr>
        <w:t>par</w:t>
      </w:r>
      <w:r w:rsidR="00C45089" w:rsidRPr="006A7B64">
        <w:rPr>
          <w:rFonts w:asciiTheme="majorBidi" w:hAnsiTheme="majorBidi" w:cstheme="majorBidi"/>
          <w:shd w:val="clear" w:color="auto" w:fill="FFFFFF"/>
        </w:rPr>
        <w:t xml:space="preserve"> nekustamā īpašuma iegādes vērtīb</w:t>
      </w:r>
      <w:r w:rsidR="00CB36E5" w:rsidRPr="006A7B64">
        <w:rPr>
          <w:rFonts w:asciiTheme="majorBidi" w:hAnsiTheme="majorBidi" w:cstheme="majorBidi"/>
          <w:shd w:val="clear" w:color="auto" w:fill="FFFFFF"/>
        </w:rPr>
        <w:t>u</w:t>
      </w:r>
      <w:r w:rsidR="00C45089" w:rsidRPr="006A7B64">
        <w:rPr>
          <w:rFonts w:asciiTheme="majorBidi" w:hAnsiTheme="majorBidi" w:cstheme="majorBidi"/>
          <w:shd w:val="clear" w:color="auto" w:fill="FFFFFF"/>
        </w:rPr>
        <w:t xml:space="preserve"> tiek noteikta šā nekustamā īpašuma aktuālā kadastrālā vērtība nekustamā īpašuma atsavināšanas gadā, paredzēts likuma </w:t>
      </w:r>
      <w:r w:rsidRPr="006A7B64">
        <w:rPr>
          <w:rFonts w:asciiTheme="majorBidi" w:hAnsiTheme="majorBidi" w:cstheme="majorBidi"/>
        </w:rPr>
        <w:t>„</w:t>
      </w:r>
      <w:r w:rsidR="00EA1F0F" w:rsidRPr="006A7B64">
        <w:rPr>
          <w:rFonts w:asciiTheme="majorBidi" w:hAnsiTheme="majorBidi" w:cstheme="majorBidi"/>
          <w:shd w:val="clear" w:color="auto" w:fill="FFFFFF"/>
        </w:rPr>
        <w:t>Par iedzīvotāju ienākuma nodokli” 11.</w:t>
      </w:r>
      <w:r w:rsidR="00EA1F0F" w:rsidRPr="006A7B64">
        <w:rPr>
          <w:rFonts w:asciiTheme="majorBidi" w:hAnsiTheme="majorBidi" w:cstheme="majorBidi"/>
          <w:shd w:val="clear" w:color="auto" w:fill="FFFFFF"/>
          <w:vertAlign w:val="superscript"/>
        </w:rPr>
        <w:t>9</w:t>
      </w:r>
      <w:r w:rsidR="00EA1F0F" w:rsidRPr="006A7B64">
        <w:rPr>
          <w:rFonts w:asciiTheme="majorBidi" w:hAnsiTheme="majorBidi" w:cstheme="majorBidi"/>
          <w:shd w:val="clear" w:color="auto" w:fill="FFFFFF"/>
        </w:rPr>
        <w:t>panta 7.</w:t>
      </w:r>
      <w:r w:rsidR="00EA1F0F" w:rsidRPr="006A7B64">
        <w:rPr>
          <w:rFonts w:asciiTheme="majorBidi" w:hAnsiTheme="majorBidi" w:cstheme="majorBidi"/>
          <w:shd w:val="clear" w:color="auto" w:fill="FFFFFF"/>
          <w:vertAlign w:val="superscript"/>
        </w:rPr>
        <w:t>3</w:t>
      </w:r>
      <w:r w:rsidR="00EA1F0F" w:rsidRPr="006A7B64">
        <w:rPr>
          <w:rFonts w:asciiTheme="majorBidi" w:hAnsiTheme="majorBidi" w:cstheme="majorBidi"/>
          <w:shd w:val="clear" w:color="auto" w:fill="FFFFFF"/>
        </w:rPr>
        <w:t>daļas 3.punktā</w:t>
      </w:r>
      <w:r w:rsidR="00C45089" w:rsidRPr="006A7B64">
        <w:rPr>
          <w:rFonts w:asciiTheme="majorBidi" w:hAnsiTheme="majorBidi" w:cstheme="majorBidi"/>
          <w:shd w:val="clear" w:color="auto" w:fill="FFFFFF"/>
        </w:rPr>
        <w:t>. T</w:t>
      </w:r>
      <w:r w:rsidR="00EA1F0F" w:rsidRPr="006A7B64">
        <w:rPr>
          <w:rFonts w:asciiTheme="majorBidi" w:hAnsiTheme="majorBidi" w:cstheme="majorBidi"/>
          <w:shd w:val="clear" w:color="auto" w:fill="FFFFFF"/>
        </w:rPr>
        <w:t>as</w:t>
      </w:r>
      <w:r w:rsidR="00C45089" w:rsidRPr="006A7B64">
        <w:rPr>
          <w:rFonts w:asciiTheme="majorBidi" w:hAnsiTheme="majorBidi" w:cstheme="majorBidi"/>
          <w:shd w:val="clear" w:color="auto" w:fill="FFFFFF"/>
        </w:rPr>
        <w:t xml:space="preserve"> noteic:</w:t>
      </w:r>
      <w:r w:rsidR="005316AE" w:rsidRPr="006A7B64">
        <w:rPr>
          <w:rFonts w:asciiTheme="majorBidi" w:hAnsiTheme="majorBidi" w:cstheme="majorBidi"/>
          <w:shd w:val="clear" w:color="auto" w:fill="FFFFFF"/>
        </w:rPr>
        <w:t xml:space="preserve"> j</w:t>
      </w:r>
      <w:r w:rsidR="005316AE" w:rsidRPr="005316AE">
        <w:rPr>
          <w:rFonts w:asciiTheme="majorBidi" w:hAnsiTheme="majorBidi" w:cstheme="majorBidi"/>
          <w:lang w:eastAsia="en-US"/>
        </w:rPr>
        <w:t>a nekustamais īpašums iegūts uz dāvinājuma līguma pamata no fiziskās personas, kuru ar maksātāju saista laulība vai radniecība līdz trešajai pakāpei</w:t>
      </w:r>
      <w:r w:rsidR="005316AE" w:rsidRPr="006A7B64">
        <w:rPr>
          <w:rFonts w:asciiTheme="majorBidi" w:hAnsiTheme="majorBidi" w:cstheme="majorBidi"/>
          <w:lang w:eastAsia="en-US"/>
        </w:rPr>
        <w:t xml:space="preserve"> Civillikuma izp</w:t>
      </w:r>
      <w:r w:rsidR="005316AE" w:rsidRPr="005316AE">
        <w:rPr>
          <w:rFonts w:asciiTheme="majorBidi" w:hAnsiTheme="majorBidi" w:cstheme="majorBidi"/>
          <w:lang w:eastAsia="en-US"/>
        </w:rPr>
        <w:t>ratnē, un nekustamais īpašums tiek atsavināts 60</w:t>
      </w:r>
      <w:r w:rsidR="005316AE" w:rsidRPr="006A7B64">
        <w:rPr>
          <w:rFonts w:asciiTheme="majorBidi" w:hAnsiTheme="majorBidi" w:cstheme="majorBidi"/>
          <w:lang w:eastAsia="en-US"/>
        </w:rPr>
        <w:t> </w:t>
      </w:r>
      <w:r w:rsidR="005316AE" w:rsidRPr="005316AE">
        <w:rPr>
          <w:rFonts w:asciiTheme="majorBidi" w:hAnsiTheme="majorBidi" w:cstheme="majorBidi"/>
          <w:lang w:eastAsia="en-US"/>
        </w:rPr>
        <w:t>mēnešu laikā pēc tā reģistrācijas zemesgrāmatā uz maksātāja vārda, par tā iegādes vērtību uzskata konkrētā nekustamā īpašuma aktuālo kadastrālo vērtību nekustamā īpašuma atsavināšanas gadā, kura koriģēta, kadastrālo vērtību dalot ar Centrālās statistikas pārvaldes noteikto katra gada patēriņa cenu indeksu par pēdējiem 10</w:t>
      </w:r>
      <w:r w:rsidR="00697F9C" w:rsidRPr="006A7B64">
        <w:rPr>
          <w:rFonts w:asciiTheme="majorBidi" w:hAnsiTheme="majorBidi" w:cstheme="majorBidi"/>
          <w:lang w:eastAsia="en-US"/>
        </w:rPr>
        <w:t> </w:t>
      </w:r>
      <w:r w:rsidR="005316AE" w:rsidRPr="005316AE">
        <w:rPr>
          <w:rFonts w:asciiTheme="majorBidi" w:hAnsiTheme="majorBidi" w:cstheme="majorBidi"/>
          <w:lang w:eastAsia="en-US"/>
        </w:rPr>
        <w:t>gadiem pirms nekustamā īpašuma atsavināšanas, ja nekustamo īpašumu dāvinātājs ieguvis līdz 2000.gada 31.decembrim.</w:t>
      </w:r>
    </w:p>
    <w:p w14:paraId="5624DC45" w14:textId="7E717AA7" w:rsidR="00817984" w:rsidRDefault="00EA1F0F" w:rsidP="00ED626E">
      <w:pPr>
        <w:shd w:val="clear" w:color="auto" w:fill="FFFFFF"/>
        <w:spacing w:line="276" w:lineRule="auto"/>
        <w:ind w:firstLine="720"/>
        <w:jc w:val="both"/>
        <w:rPr>
          <w:rFonts w:asciiTheme="majorBidi" w:hAnsiTheme="majorBidi" w:cstheme="majorBidi"/>
          <w:shd w:val="clear" w:color="auto" w:fill="FFFFFF"/>
        </w:rPr>
      </w:pPr>
      <w:r w:rsidRPr="006A7B64">
        <w:rPr>
          <w:rFonts w:asciiTheme="majorBidi" w:hAnsiTheme="majorBidi" w:cstheme="majorBidi"/>
          <w:shd w:val="clear" w:color="auto" w:fill="FFFFFF"/>
        </w:rPr>
        <w:t xml:space="preserve">Lietā nav strīda, ka attiecībā uz pieteicēju izpildās visi </w:t>
      </w:r>
      <w:r w:rsidR="0021705B" w:rsidRPr="006A7B64">
        <w:rPr>
          <w:rFonts w:asciiTheme="majorBidi" w:hAnsiTheme="majorBidi" w:cstheme="majorBidi"/>
          <w:shd w:val="clear" w:color="auto" w:fill="FFFFFF"/>
        </w:rPr>
        <w:t xml:space="preserve">likuma </w:t>
      </w:r>
      <w:r w:rsidR="0021705B" w:rsidRPr="006A7B64">
        <w:rPr>
          <w:rFonts w:asciiTheme="majorBidi" w:hAnsiTheme="majorBidi" w:cstheme="majorBidi"/>
        </w:rPr>
        <w:t>„</w:t>
      </w:r>
      <w:r w:rsidR="0021705B" w:rsidRPr="006A7B64">
        <w:rPr>
          <w:rFonts w:asciiTheme="majorBidi" w:hAnsiTheme="majorBidi" w:cstheme="majorBidi"/>
          <w:shd w:val="clear" w:color="auto" w:fill="FFFFFF"/>
        </w:rPr>
        <w:t>Par iedzīvotāju ienākuma nodokli” 11.</w:t>
      </w:r>
      <w:r w:rsidR="0021705B" w:rsidRPr="006A7B64">
        <w:rPr>
          <w:rFonts w:asciiTheme="majorBidi" w:hAnsiTheme="majorBidi" w:cstheme="majorBidi"/>
          <w:shd w:val="clear" w:color="auto" w:fill="FFFFFF"/>
          <w:vertAlign w:val="superscript"/>
        </w:rPr>
        <w:t>9</w:t>
      </w:r>
      <w:r w:rsidR="0021705B" w:rsidRPr="006A7B64">
        <w:rPr>
          <w:rFonts w:asciiTheme="majorBidi" w:hAnsiTheme="majorBidi" w:cstheme="majorBidi"/>
          <w:shd w:val="clear" w:color="auto" w:fill="FFFFFF"/>
        </w:rPr>
        <w:t>panta 7.</w:t>
      </w:r>
      <w:r w:rsidR="0021705B" w:rsidRPr="006A7B64">
        <w:rPr>
          <w:rFonts w:asciiTheme="majorBidi" w:hAnsiTheme="majorBidi" w:cstheme="majorBidi"/>
          <w:shd w:val="clear" w:color="auto" w:fill="FFFFFF"/>
          <w:vertAlign w:val="superscript"/>
        </w:rPr>
        <w:t>3</w:t>
      </w:r>
      <w:r w:rsidR="0021705B" w:rsidRPr="006A7B64">
        <w:rPr>
          <w:rFonts w:asciiTheme="majorBidi" w:hAnsiTheme="majorBidi" w:cstheme="majorBidi"/>
          <w:shd w:val="clear" w:color="auto" w:fill="FFFFFF"/>
        </w:rPr>
        <w:t xml:space="preserve">daļas 3.punktā </w:t>
      </w:r>
      <w:r w:rsidRPr="006A7B64">
        <w:rPr>
          <w:rFonts w:asciiTheme="majorBidi" w:hAnsiTheme="majorBidi" w:cstheme="majorBidi"/>
          <w:shd w:val="clear" w:color="auto" w:fill="FFFFFF"/>
        </w:rPr>
        <w:t xml:space="preserve">paredzētie kritēriji. Tomēr lietā ir strīds par pieteicēja tiesībām kapitāla pieauguma noteikšanā ņemt vērā </w:t>
      </w:r>
      <w:r w:rsidR="00697F9C" w:rsidRPr="006A7B64">
        <w:rPr>
          <w:rFonts w:asciiTheme="majorBidi" w:hAnsiTheme="majorBidi" w:cstheme="majorBidi"/>
          <w:shd w:val="clear" w:color="auto" w:fill="FFFFFF"/>
        </w:rPr>
        <w:t xml:space="preserve">nekustamajā īpašumā veikto </w:t>
      </w:r>
      <w:r w:rsidR="0066467D" w:rsidRPr="006A7B64">
        <w:rPr>
          <w:rFonts w:asciiTheme="majorBidi" w:hAnsiTheme="majorBidi" w:cstheme="majorBidi"/>
          <w:shd w:val="clear" w:color="auto" w:fill="FFFFFF"/>
        </w:rPr>
        <w:t>ieguldījumu</w:t>
      </w:r>
      <w:r w:rsidR="00697F9C" w:rsidRPr="006A7B64">
        <w:rPr>
          <w:rFonts w:asciiTheme="majorBidi" w:hAnsiTheme="majorBidi" w:cstheme="majorBidi"/>
          <w:shd w:val="clear" w:color="auto" w:fill="FFFFFF"/>
        </w:rPr>
        <w:t xml:space="preserve"> </w:t>
      </w:r>
      <w:r w:rsidR="00D17D08" w:rsidRPr="006A7B64">
        <w:rPr>
          <w:rFonts w:asciiTheme="majorBidi" w:hAnsiTheme="majorBidi" w:cstheme="majorBidi"/>
          <w:shd w:val="clear" w:color="auto" w:fill="FFFFFF"/>
        </w:rPr>
        <w:t>vērtību</w:t>
      </w:r>
      <w:r w:rsidR="0066467D" w:rsidRPr="006A7B64">
        <w:rPr>
          <w:rFonts w:asciiTheme="majorBidi" w:hAnsiTheme="majorBidi" w:cstheme="majorBidi"/>
          <w:shd w:val="clear" w:color="auto" w:fill="FFFFFF"/>
        </w:rPr>
        <w:t xml:space="preserve">. Apgabaltiesa </w:t>
      </w:r>
      <w:r w:rsidR="003E51A8">
        <w:rPr>
          <w:rFonts w:asciiTheme="majorBidi" w:hAnsiTheme="majorBidi" w:cstheme="majorBidi"/>
          <w:shd w:val="clear" w:color="auto" w:fill="FFFFFF"/>
        </w:rPr>
        <w:t xml:space="preserve">ir </w:t>
      </w:r>
      <w:r w:rsidR="0066467D" w:rsidRPr="006A7B64">
        <w:rPr>
          <w:rFonts w:asciiTheme="majorBidi" w:hAnsiTheme="majorBidi" w:cstheme="majorBidi"/>
          <w:shd w:val="clear" w:color="auto" w:fill="FFFFFF"/>
        </w:rPr>
        <w:t>atzinusi, ka</w:t>
      </w:r>
      <w:r w:rsidR="003E51A8">
        <w:rPr>
          <w:rFonts w:asciiTheme="majorBidi" w:hAnsiTheme="majorBidi" w:cstheme="majorBidi"/>
          <w:shd w:val="clear" w:color="auto" w:fill="FFFFFF"/>
        </w:rPr>
        <w:t xml:space="preserve">, tā kā uz pieteicēju ir attiecināms </w:t>
      </w:r>
      <w:r w:rsidR="003E51A8" w:rsidRPr="006A7B64">
        <w:rPr>
          <w:rFonts w:asciiTheme="majorBidi" w:hAnsiTheme="majorBidi" w:cstheme="majorBidi"/>
          <w:shd w:val="clear" w:color="auto" w:fill="FFFFFF"/>
        </w:rPr>
        <w:t xml:space="preserve">likuma </w:t>
      </w:r>
      <w:r w:rsidR="003E51A8" w:rsidRPr="006A7B64">
        <w:rPr>
          <w:rFonts w:asciiTheme="majorBidi" w:hAnsiTheme="majorBidi" w:cstheme="majorBidi"/>
        </w:rPr>
        <w:t>„</w:t>
      </w:r>
      <w:r w:rsidR="003E51A8" w:rsidRPr="006A7B64">
        <w:rPr>
          <w:rFonts w:asciiTheme="majorBidi" w:hAnsiTheme="majorBidi" w:cstheme="majorBidi"/>
          <w:shd w:val="clear" w:color="auto" w:fill="FFFFFF"/>
        </w:rPr>
        <w:t>Par iedzīvotāju ienākuma nodokli” 11.</w:t>
      </w:r>
      <w:r w:rsidR="003E51A8" w:rsidRPr="006A7B64">
        <w:rPr>
          <w:rFonts w:asciiTheme="majorBidi" w:hAnsiTheme="majorBidi" w:cstheme="majorBidi"/>
          <w:shd w:val="clear" w:color="auto" w:fill="FFFFFF"/>
          <w:vertAlign w:val="superscript"/>
        </w:rPr>
        <w:t>9</w:t>
      </w:r>
      <w:r w:rsidR="003E51A8" w:rsidRPr="006A7B64">
        <w:rPr>
          <w:rFonts w:asciiTheme="majorBidi" w:hAnsiTheme="majorBidi" w:cstheme="majorBidi"/>
          <w:shd w:val="clear" w:color="auto" w:fill="FFFFFF"/>
        </w:rPr>
        <w:t>panta 7.</w:t>
      </w:r>
      <w:r w:rsidR="003E51A8" w:rsidRPr="006A7B64">
        <w:rPr>
          <w:rFonts w:asciiTheme="majorBidi" w:hAnsiTheme="majorBidi" w:cstheme="majorBidi"/>
          <w:shd w:val="clear" w:color="auto" w:fill="FFFFFF"/>
          <w:vertAlign w:val="superscript"/>
        </w:rPr>
        <w:t>3</w:t>
      </w:r>
      <w:r w:rsidR="003E51A8" w:rsidRPr="006A7B64">
        <w:rPr>
          <w:rFonts w:asciiTheme="majorBidi" w:hAnsiTheme="majorBidi" w:cstheme="majorBidi"/>
          <w:shd w:val="clear" w:color="auto" w:fill="FFFFFF"/>
        </w:rPr>
        <w:t>daļas 3.punkt</w:t>
      </w:r>
      <w:r w:rsidR="003E51A8">
        <w:rPr>
          <w:rFonts w:asciiTheme="majorBidi" w:hAnsiTheme="majorBidi" w:cstheme="majorBidi"/>
          <w:shd w:val="clear" w:color="auto" w:fill="FFFFFF"/>
        </w:rPr>
        <w:t xml:space="preserve">s, tad pieteicējam kapitāla pieauguma noteikšanā nav tiesību ņemt vērā nekustamajā īpašumā veikto ieguldījumu </w:t>
      </w:r>
      <w:r w:rsidR="003E51A8">
        <w:rPr>
          <w:rFonts w:asciiTheme="majorBidi" w:hAnsiTheme="majorBidi" w:cstheme="majorBidi"/>
          <w:shd w:val="clear" w:color="auto" w:fill="FFFFFF"/>
        </w:rPr>
        <w:lastRenderedPageBreak/>
        <w:t xml:space="preserve">vērtību, jo to liedz </w:t>
      </w:r>
      <w:r w:rsidR="0066467D" w:rsidRPr="006A7B64">
        <w:rPr>
          <w:rFonts w:asciiTheme="majorBidi" w:hAnsiTheme="majorBidi" w:cstheme="majorBidi"/>
          <w:shd w:val="clear" w:color="auto" w:fill="FFFFFF"/>
        </w:rPr>
        <w:t>noteikumu Nr. 899 85.</w:t>
      </w:r>
      <w:r w:rsidR="0066467D" w:rsidRPr="006A7B64">
        <w:rPr>
          <w:rFonts w:asciiTheme="majorBidi" w:hAnsiTheme="majorBidi" w:cstheme="majorBidi"/>
          <w:shd w:val="clear" w:color="auto" w:fill="FFFFFF"/>
          <w:vertAlign w:val="superscript"/>
        </w:rPr>
        <w:t>1</w:t>
      </w:r>
      <w:r w:rsidR="0066467D" w:rsidRPr="006A7B64">
        <w:rPr>
          <w:rFonts w:asciiTheme="majorBidi" w:hAnsiTheme="majorBidi" w:cstheme="majorBidi"/>
          <w:shd w:val="clear" w:color="auto" w:fill="FFFFFF"/>
        </w:rPr>
        <w:t xml:space="preserve">punkts. Turpretim pieteicējs uzskata, ka viņa tiesības kapitāla pieauguma noteikšanā ņemt vērā </w:t>
      </w:r>
      <w:r w:rsidR="00D17D08" w:rsidRPr="006A7B64">
        <w:rPr>
          <w:rFonts w:asciiTheme="majorBidi" w:hAnsiTheme="majorBidi" w:cstheme="majorBidi"/>
          <w:shd w:val="clear" w:color="auto" w:fill="FFFFFF"/>
        </w:rPr>
        <w:t xml:space="preserve">nekustamajā īpašumā veikto ieguldījumu vērtību </w:t>
      </w:r>
      <w:r w:rsidR="006A7B64" w:rsidRPr="006A7B64">
        <w:rPr>
          <w:rFonts w:asciiTheme="majorBidi" w:hAnsiTheme="majorBidi" w:cstheme="majorBidi"/>
          <w:shd w:val="clear" w:color="auto" w:fill="FFFFFF"/>
        </w:rPr>
        <w:t xml:space="preserve">ir </w:t>
      </w:r>
      <w:r w:rsidR="00D17D08" w:rsidRPr="006A7B64">
        <w:rPr>
          <w:rFonts w:asciiTheme="majorBidi" w:hAnsiTheme="majorBidi" w:cstheme="majorBidi"/>
          <w:shd w:val="clear" w:color="auto" w:fill="FFFFFF"/>
        </w:rPr>
        <w:t>pa</w:t>
      </w:r>
      <w:r w:rsidR="00996CE4" w:rsidRPr="006A7B64">
        <w:rPr>
          <w:rFonts w:asciiTheme="majorBidi" w:hAnsiTheme="majorBidi" w:cstheme="majorBidi"/>
          <w:shd w:val="clear" w:color="auto" w:fill="FFFFFF"/>
        </w:rPr>
        <w:t>redzētas</w:t>
      </w:r>
      <w:r w:rsidR="0066467D" w:rsidRPr="006A7B64">
        <w:rPr>
          <w:rFonts w:asciiTheme="majorBidi" w:hAnsiTheme="majorBidi" w:cstheme="majorBidi"/>
          <w:shd w:val="clear" w:color="auto" w:fill="FFFFFF"/>
        </w:rPr>
        <w:t xml:space="preserve"> likuma </w:t>
      </w:r>
      <w:r w:rsidR="00996CE4" w:rsidRPr="006A7B64">
        <w:rPr>
          <w:rFonts w:asciiTheme="majorBidi" w:hAnsiTheme="majorBidi" w:cstheme="majorBidi"/>
        </w:rPr>
        <w:t>„</w:t>
      </w:r>
      <w:r w:rsidR="0066467D" w:rsidRPr="006A7B64">
        <w:rPr>
          <w:rFonts w:asciiTheme="majorBidi" w:hAnsiTheme="majorBidi" w:cstheme="majorBidi"/>
          <w:shd w:val="clear" w:color="auto" w:fill="FFFFFF"/>
        </w:rPr>
        <w:t>Par iedzīvotāju ienākuma nodokli” 11.</w:t>
      </w:r>
      <w:r w:rsidR="0066467D" w:rsidRPr="006A7B64">
        <w:rPr>
          <w:rFonts w:asciiTheme="majorBidi" w:hAnsiTheme="majorBidi" w:cstheme="majorBidi"/>
          <w:shd w:val="clear" w:color="auto" w:fill="FFFFFF"/>
          <w:vertAlign w:val="superscript"/>
        </w:rPr>
        <w:t>9</w:t>
      </w:r>
      <w:r w:rsidR="0066467D" w:rsidRPr="006A7B64">
        <w:rPr>
          <w:rFonts w:asciiTheme="majorBidi" w:hAnsiTheme="majorBidi" w:cstheme="majorBidi"/>
          <w:shd w:val="clear" w:color="auto" w:fill="FFFFFF"/>
        </w:rPr>
        <w:t>panta pirm</w:t>
      </w:r>
      <w:r w:rsidR="00996CE4" w:rsidRPr="006A7B64">
        <w:rPr>
          <w:rFonts w:asciiTheme="majorBidi" w:hAnsiTheme="majorBidi" w:cstheme="majorBidi"/>
          <w:shd w:val="clear" w:color="auto" w:fill="FFFFFF"/>
        </w:rPr>
        <w:t>ajā daļā</w:t>
      </w:r>
      <w:r w:rsidR="0066467D" w:rsidRPr="006A7B64">
        <w:rPr>
          <w:rFonts w:asciiTheme="majorBidi" w:hAnsiTheme="majorBidi" w:cstheme="majorBidi"/>
          <w:shd w:val="clear" w:color="auto" w:fill="FFFFFF"/>
        </w:rPr>
        <w:t>.</w:t>
      </w:r>
    </w:p>
    <w:p w14:paraId="4D357C08" w14:textId="77777777" w:rsidR="0066467D" w:rsidRDefault="0066467D" w:rsidP="00ED626E">
      <w:pPr>
        <w:shd w:val="clear" w:color="auto" w:fill="FFFFFF"/>
        <w:spacing w:line="276" w:lineRule="auto"/>
        <w:ind w:firstLine="720"/>
        <w:jc w:val="both"/>
        <w:rPr>
          <w:rFonts w:asciiTheme="majorBidi" w:hAnsiTheme="majorBidi" w:cstheme="majorBidi"/>
          <w:shd w:val="clear" w:color="auto" w:fill="FFFFFF"/>
        </w:rPr>
      </w:pPr>
    </w:p>
    <w:p w14:paraId="70866752" w14:textId="44A71580" w:rsidR="00801297" w:rsidRDefault="006A7B64" w:rsidP="00ED626E">
      <w:pPr>
        <w:shd w:val="clear" w:color="auto" w:fill="FFFFFF"/>
        <w:spacing w:line="276" w:lineRule="auto"/>
        <w:ind w:firstLine="720"/>
        <w:jc w:val="both"/>
        <w:rPr>
          <w:rFonts w:eastAsiaTheme="minorEastAsia"/>
          <w:color w:val="000000" w:themeColor="text1"/>
          <w:kern w:val="24"/>
        </w:rPr>
      </w:pPr>
      <w:r>
        <w:rPr>
          <w:rFonts w:asciiTheme="majorBidi" w:hAnsiTheme="majorBidi" w:cstheme="majorBidi"/>
          <w:shd w:val="clear" w:color="auto" w:fill="FFFFFF"/>
        </w:rPr>
        <w:t>[7] A</w:t>
      </w:r>
      <w:r w:rsidR="00D17D08">
        <w:rPr>
          <w:rFonts w:asciiTheme="majorBidi" w:hAnsiTheme="majorBidi" w:cstheme="majorBidi"/>
          <w:shd w:val="clear" w:color="auto" w:fill="FFFFFF"/>
        </w:rPr>
        <w:t>tbilstoši l</w:t>
      </w:r>
      <w:r w:rsidR="00817984" w:rsidRPr="006F093E">
        <w:rPr>
          <w:rFonts w:asciiTheme="majorBidi" w:hAnsiTheme="majorBidi" w:cstheme="majorBidi"/>
          <w:bCs/>
        </w:rPr>
        <w:t xml:space="preserve">ikuma </w:t>
      </w:r>
      <w:r w:rsidR="00817984" w:rsidRPr="006F093E">
        <w:rPr>
          <w:rFonts w:asciiTheme="majorBidi" w:hAnsiTheme="majorBidi" w:cstheme="majorBidi"/>
        </w:rPr>
        <w:t>„</w:t>
      </w:r>
      <w:r w:rsidR="00817984" w:rsidRPr="006F093E">
        <w:rPr>
          <w:rFonts w:asciiTheme="majorBidi" w:hAnsiTheme="majorBidi" w:cstheme="majorBidi"/>
          <w:bCs/>
        </w:rPr>
        <w:t>Par iedzīvotāju ienākuma nodokli” 11.</w:t>
      </w:r>
      <w:r w:rsidR="00817984" w:rsidRPr="00996CE4">
        <w:rPr>
          <w:rFonts w:asciiTheme="majorBidi" w:hAnsiTheme="majorBidi" w:cstheme="majorBidi"/>
          <w:bCs/>
          <w:vertAlign w:val="superscript"/>
        </w:rPr>
        <w:t>9</w:t>
      </w:r>
      <w:r w:rsidR="00817984" w:rsidRPr="006F093E">
        <w:rPr>
          <w:rFonts w:asciiTheme="majorBidi" w:hAnsiTheme="majorBidi" w:cstheme="majorBidi"/>
          <w:bCs/>
        </w:rPr>
        <w:t>panta pirm</w:t>
      </w:r>
      <w:r w:rsidR="00E90F09">
        <w:rPr>
          <w:rFonts w:asciiTheme="majorBidi" w:hAnsiTheme="majorBidi" w:cstheme="majorBidi"/>
          <w:bCs/>
        </w:rPr>
        <w:t>aj</w:t>
      </w:r>
      <w:r w:rsidR="00D17D08">
        <w:rPr>
          <w:rFonts w:asciiTheme="majorBidi" w:hAnsiTheme="majorBidi" w:cstheme="majorBidi"/>
          <w:bCs/>
        </w:rPr>
        <w:t xml:space="preserve">ā daļā paredzētajai </w:t>
      </w:r>
      <w:r w:rsidR="00E90F09">
        <w:rPr>
          <w:rFonts w:asciiTheme="majorBidi" w:hAnsiTheme="majorBidi" w:cstheme="majorBidi"/>
          <w:bCs/>
        </w:rPr>
        <w:t>vispārīg</w:t>
      </w:r>
      <w:r w:rsidR="00D17D08">
        <w:rPr>
          <w:rFonts w:asciiTheme="majorBidi" w:hAnsiTheme="majorBidi" w:cstheme="majorBidi"/>
          <w:bCs/>
        </w:rPr>
        <w:t>ajai</w:t>
      </w:r>
      <w:r w:rsidR="00E90F09">
        <w:rPr>
          <w:rFonts w:asciiTheme="majorBidi" w:hAnsiTheme="majorBidi" w:cstheme="majorBidi"/>
          <w:bCs/>
        </w:rPr>
        <w:t xml:space="preserve"> kārtīb</w:t>
      </w:r>
      <w:r w:rsidR="00D17D08">
        <w:rPr>
          <w:rFonts w:asciiTheme="majorBidi" w:hAnsiTheme="majorBidi" w:cstheme="majorBidi"/>
          <w:bCs/>
        </w:rPr>
        <w:t xml:space="preserve">ai </w:t>
      </w:r>
      <w:r w:rsidR="00817984" w:rsidRPr="006F093E">
        <w:rPr>
          <w:rFonts w:eastAsiaTheme="minorEastAsia"/>
          <w:color w:val="000000" w:themeColor="text1"/>
          <w:kern w:val="24"/>
        </w:rPr>
        <w:t xml:space="preserve">ar iedzīvotāju ienākuma nodokli apliekamā kapitāla pieauguma aprēķinā </w:t>
      </w:r>
      <w:r w:rsidR="00817984">
        <w:rPr>
          <w:rFonts w:eastAsiaTheme="minorEastAsia"/>
          <w:color w:val="000000" w:themeColor="text1"/>
          <w:kern w:val="24"/>
        </w:rPr>
        <w:t xml:space="preserve">tiek ņemti vērā </w:t>
      </w:r>
      <w:r w:rsidR="00817984" w:rsidRPr="006F093E">
        <w:rPr>
          <w:rFonts w:eastAsiaTheme="minorEastAsia"/>
          <w:color w:val="000000" w:themeColor="text1"/>
          <w:kern w:val="24"/>
        </w:rPr>
        <w:t>trīs lielumi</w:t>
      </w:r>
      <w:r w:rsidR="00817984">
        <w:rPr>
          <w:rFonts w:eastAsiaTheme="minorEastAsia"/>
          <w:color w:val="000000" w:themeColor="text1"/>
          <w:kern w:val="24"/>
        </w:rPr>
        <w:t xml:space="preserve">, proti, </w:t>
      </w:r>
      <w:r w:rsidR="00817984" w:rsidRPr="006F093E">
        <w:rPr>
          <w:rFonts w:eastAsiaTheme="minorEastAsia"/>
          <w:color w:val="000000" w:themeColor="text1"/>
          <w:kern w:val="24"/>
        </w:rPr>
        <w:t>kapitāla aktīva</w:t>
      </w:r>
      <w:r w:rsidR="00817984">
        <w:rPr>
          <w:rFonts w:eastAsiaTheme="minorEastAsia"/>
          <w:color w:val="000000" w:themeColor="text1"/>
          <w:kern w:val="24"/>
        </w:rPr>
        <w:t xml:space="preserve"> (nekustamā īpašuma) </w:t>
      </w:r>
      <w:r w:rsidR="00817984" w:rsidRPr="006F093E">
        <w:rPr>
          <w:rFonts w:eastAsiaTheme="minorEastAsia"/>
          <w:color w:val="000000" w:themeColor="text1"/>
          <w:kern w:val="24"/>
        </w:rPr>
        <w:t>atsavināšanas cena, iegādes vērtība un</w:t>
      </w:r>
      <w:r w:rsidR="00817984">
        <w:rPr>
          <w:rFonts w:eastAsiaTheme="minorEastAsia"/>
          <w:color w:val="000000" w:themeColor="text1"/>
          <w:kern w:val="24"/>
        </w:rPr>
        <w:t xml:space="preserve"> </w:t>
      </w:r>
      <w:r w:rsidR="00817984" w:rsidRPr="006F093E">
        <w:rPr>
          <w:rFonts w:eastAsiaTheme="minorEastAsia"/>
          <w:color w:val="000000" w:themeColor="text1"/>
          <w:kern w:val="24"/>
        </w:rPr>
        <w:t>tajā veikto ieguldījumu vērtība kapitāla aktīva turēšanas laikā (</w:t>
      </w:r>
      <w:r w:rsidR="00817984" w:rsidRPr="00A55A25">
        <w:rPr>
          <w:rFonts w:eastAsiaTheme="minorEastAsia"/>
          <w:i/>
          <w:iCs/>
          <w:color w:val="000000" w:themeColor="text1"/>
          <w:kern w:val="24"/>
        </w:rPr>
        <w:t xml:space="preserve">Senāta 2020.gada 30.novembra sprieduma lietā Nr. SKA-380/2020, </w:t>
      </w:r>
      <w:hyperlink r:id="rId8" w:history="1">
        <w:r w:rsidR="00817984" w:rsidRPr="002245A9">
          <w:rPr>
            <w:rStyle w:val="Hyperlink"/>
            <w:rFonts w:eastAsiaTheme="minorEastAsia"/>
            <w:i/>
            <w:iCs/>
            <w:color w:val="auto"/>
            <w:kern w:val="24"/>
            <w:u w:val="none"/>
          </w:rPr>
          <w:t>ECLI:LV:AT:2020:1130.A420350216.12.S</w:t>
        </w:r>
      </w:hyperlink>
      <w:r w:rsidR="00817984" w:rsidRPr="0061784A">
        <w:rPr>
          <w:rFonts w:eastAsiaTheme="minorEastAsia"/>
          <w:i/>
          <w:iCs/>
          <w:color w:val="000000" w:themeColor="text1"/>
          <w:kern w:val="24"/>
        </w:rPr>
        <w:t>,</w:t>
      </w:r>
      <w:r w:rsidR="00817984" w:rsidRPr="00A55A25">
        <w:rPr>
          <w:rFonts w:eastAsiaTheme="minorEastAsia"/>
          <w:i/>
          <w:iCs/>
          <w:color w:val="000000" w:themeColor="text1"/>
          <w:kern w:val="24"/>
        </w:rPr>
        <w:t xml:space="preserve"> </w:t>
      </w:r>
      <w:r w:rsidR="003E51A8">
        <w:rPr>
          <w:rFonts w:eastAsiaTheme="minorEastAsia"/>
          <w:i/>
          <w:iCs/>
          <w:color w:val="000000" w:themeColor="text1"/>
          <w:kern w:val="24"/>
        </w:rPr>
        <w:t xml:space="preserve">7.punkts </w:t>
      </w:r>
      <w:r w:rsidR="003E51A8" w:rsidRPr="0061784A">
        <w:rPr>
          <w:rFonts w:eastAsiaTheme="minorEastAsia"/>
          <w:color w:val="000000" w:themeColor="text1"/>
          <w:kern w:val="24"/>
        </w:rPr>
        <w:t>un tajā minētais nolēmums</w:t>
      </w:r>
      <w:r w:rsidR="003E51A8" w:rsidRPr="003E51A8">
        <w:rPr>
          <w:rFonts w:eastAsiaTheme="minorEastAsia"/>
          <w:color w:val="000000" w:themeColor="text1"/>
          <w:kern w:val="24"/>
        </w:rPr>
        <w:t>)</w:t>
      </w:r>
      <w:r w:rsidR="00817984">
        <w:rPr>
          <w:rFonts w:eastAsiaTheme="minorEastAsia"/>
          <w:color w:val="000000" w:themeColor="text1"/>
          <w:kern w:val="24"/>
        </w:rPr>
        <w:t xml:space="preserve">. </w:t>
      </w:r>
      <w:r w:rsidR="00975C32">
        <w:rPr>
          <w:rFonts w:eastAsiaTheme="minorEastAsia"/>
          <w:color w:val="000000" w:themeColor="text1"/>
          <w:kern w:val="24"/>
        </w:rPr>
        <w:t xml:space="preserve">Savukārt </w:t>
      </w:r>
      <w:r>
        <w:rPr>
          <w:rFonts w:eastAsiaTheme="minorEastAsia"/>
          <w:color w:val="000000" w:themeColor="text1"/>
          <w:kern w:val="24"/>
        </w:rPr>
        <w:t xml:space="preserve">atbilstoši </w:t>
      </w:r>
      <w:r w:rsidR="00801297">
        <w:rPr>
          <w:rFonts w:eastAsiaTheme="minorEastAsia"/>
          <w:color w:val="000000" w:themeColor="text1"/>
          <w:kern w:val="24"/>
        </w:rPr>
        <w:t>noteikumu Nr. 899 85.</w:t>
      </w:r>
      <w:r w:rsidR="00801297" w:rsidRPr="00996CE4">
        <w:rPr>
          <w:rFonts w:eastAsiaTheme="minorEastAsia"/>
          <w:color w:val="000000" w:themeColor="text1"/>
          <w:kern w:val="24"/>
          <w:vertAlign w:val="superscript"/>
        </w:rPr>
        <w:t>1</w:t>
      </w:r>
      <w:r w:rsidR="00801297">
        <w:rPr>
          <w:rFonts w:eastAsiaTheme="minorEastAsia"/>
          <w:color w:val="000000" w:themeColor="text1"/>
          <w:kern w:val="24"/>
        </w:rPr>
        <w:t>punkt</w:t>
      </w:r>
      <w:r>
        <w:rPr>
          <w:rFonts w:eastAsiaTheme="minorEastAsia"/>
          <w:color w:val="000000" w:themeColor="text1"/>
          <w:kern w:val="24"/>
        </w:rPr>
        <w:t xml:space="preserve">am </w:t>
      </w:r>
      <w:r w:rsidR="00801297">
        <w:rPr>
          <w:rFonts w:eastAsiaTheme="minorEastAsia"/>
          <w:color w:val="000000" w:themeColor="text1"/>
          <w:kern w:val="24"/>
        </w:rPr>
        <w:t xml:space="preserve">viens no šiem lielumiem, proti, nekustamajā īpašumā </w:t>
      </w:r>
      <w:r w:rsidR="00996CE4">
        <w:rPr>
          <w:rFonts w:eastAsiaTheme="minorEastAsia"/>
          <w:color w:val="000000" w:themeColor="text1"/>
          <w:kern w:val="24"/>
        </w:rPr>
        <w:t xml:space="preserve">veikto ieguldījumu vērtība </w:t>
      </w:r>
      <w:r w:rsidR="00801297">
        <w:rPr>
          <w:rFonts w:eastAsiaTheme="minorEastAsia"/>
          <w:color w:val="000000" w:themeColor="text1"/>
          <w:kern w:val="24"/>
        </w:rPr>
        <w:t>kapitāla pieauguma aprēķināšanā</w:t>
      </w:r>
      <w:r w:rsidR="00EB36D6" w:rsidRPr="00EB36D6">
        <w:rPr>
          <w:rFonts w:asciiTheme="majorBidi" w:hAnsiTheme="majorBidi" w:cstheme="majorBidi"/>
          <w:shd w:val="clear" w:color="auto" w:fill="FFFFFF"/>
        </w:rPr>
        <w:t xml:space="preserve"> </w:t>
      </w:r>
      <w:r w:rsidR="00EB36D6">
        <w:rPr>
          <w:rFonts w:asciiTheme="majorBidi" w:hAnsiTheme="majorBidi" w:cstheme="majorBidi"/>
          <w:shd w:val="clear" w:color="auto" w:fill="FFFFFF"/>
        </w:rPr>
        <w:t>l</w:t>
      </w:r>
      <w:r w:rsidR="00EB36D6" w:rsidRPr="006F093E">
        <w:rPr>
          <w:rFonts w:asciiTheme="majorBidi" w:hAnsiTheme="majorBidi" w:cstheme="majorBidi"/>
          <w:bCs/>
        </w:rPr>
        <w:t xml:space="preserve">ikuma </w:t>
      </w:r>
      <w:r w:rsidR="00EB36D6" w:rsidRPr="006F093E">
        <w:rPr>
          <w:rFonts w:asciiTheme="majorBidi" w:hAnsiTheme="majorBidi" w:cstheme="majorBidi"/>
        </w:rPr>
        <w:t>„</w:t>
      </w:r>
      <w:r w:rsidR="00EB36D6" w:rsidRPr="006F093E">
        <w:rPr>
          <w:rFonts w:asciiTheme="majorBidi" w:hAnsiTheme="majorBidi" w:cstheme="majorBidi"/>
          <w:bCs/>
        </w:rPr>
        <w:t>Par iedzīvotāju ienākuma nodokli” 11.</w:t>
      </w:r>
      <w:r w:rsidR="00EB36D6" w:rsidRPr="00996CE4">
        <w:rPr>
          <w:rFonts w:asciiTheme="majorBidi" w:hAnsiTheme="majorBidi" w:cstheme="majorBidi"/>
          <w:bCs/>
          <w:vertAlign w:val="superscript"/>
        </w:rPr>
        <w:t>9</w:t>
      </w:r>
      <w:r w:rsidR="00EB36D6" w:rsidRPr="006F093E">
        <w:rPr>
          <w:rFonts w:asciiTheme="majorBidi" w:hAnsiTheme="majorBidi" w:cstheme="majorBidi"/>
          <w:bCs/>
        </w:rPr>
        <w:t xml:space="preserve">panta </w:t>
      </w:r>
      <w:r w:rsidR="00EB36D6">
        <w:rPr>
          <w:rFonts w:asciiTheme="majorBidi" w:hAnsiTheme="majorBidi" w:cstheme="majorBidi"/>
          <w:bCs/>
        </w:rPr>
        <w:t>7.</w:t>
      </w:r>
      <w:r w:rsidR="00EB36D6" w:rsidRPr="00EB36D6">
        <w:rPr>
          <w:rFonts w:asciiTheme="majorBidi" w:hAnsiTheme="majorBidi" w:cstheme="majorBidi"/>
          <w:bCs/>
          <w:vertAlign w:val="superscript"/>
        </w:rPr>
        <w:t>3</w:t>
      </w:r>
      <w:r w:rsidR="00EB36D6">
        <w:rPr>
          <w:rFonts w:asciiTheme="majorBidi" w:hAnsiTheme="majorBidi" w:cstheme="majorBidi"/>
          <w:bCs/>
        </w:rPr>
        <w:t>daļas 3.punkta piemērošanas gadījumā</w:t>
      </w:r>
      <w:r w:rsidR="00801297">
        <w:rPr>
          <w:rFonts w:eastAsiaTheme="minorEastAsia"/>
          <w:color w:val="000000" w:themeColor="text1"/>
          <w:kern w:val="24"/>
        </w:rPr>
        <w:t xml:space="preserve"> nav ņemam</w:t>
      </w:r>
      <w:r w:rsidR="00996CE4">
        <w:rPr>
          <w:rFonts w:eastAsiaTheme="minorEastAsia"/>
          <w:color w:val="000000" w:themeColor="text1"/>
          <w:kern w:val="24"/>
        </w:rPr>
        <w:t>a</w:t>
      </w:r>
      <w:r w:rsidR="00801297">
        <w:rPr>
          <w:rFonts w:eastAsiaTheme="minorEastAsia"/>
          <w:color w:val="000000" w:themeColor="text1"/>
          <w:kern w:val="24"/>
        </w:rPr>
        <w:t xml:space="preserve"> vērā.</w:t>
      </w:r>
    </w:p>
    <w:p w14:paraId="54B1B5B6" w14:textId="67D9C2BA" w:rsidR="00975C32" w:rsidRPr="00133CF7" w:rsidRDefault="00975C32" w:rsidP="00ED626E">
      <w:pPr>
        <w:shd w:val="clear" w:color="auto" w:fill="FFFFFF"/>
        <w:spacing w:line="276" w:lineRule="auto"/>
        <w:ind w:firstLine="720"/>
        <w:jc w:val="both"/>
        <w:rPr>
          <w:rFonts w:eastAsiaTheme="minorEastAsia"/>
          <w:color w:val="000000" w:themeColor="text1"/>
          <w:kern w:val="24"/>
        </w:rPr>
      </w:pPr>
      <w:r w:rsidRPr="00133CF7">
        <w:rPr>
          <w:rFonts w:eastAsiaTheme="minorEastAsia"/>
          <w:color w:val="000000" w:themeColor="text1"/>
          <w:kern w:val="24"/>
        </w:rPr>
        <w:t>Noteikumi Nr. 899 i</w:t>
      </w:r>
      <w:r w:rsidR="00F64B1F">
        <w:rPr>
          <w:rFonts w:eastAsiaTheme="minorEastAsia"/>
          <w:color w:val="000000" w:themeColor="text1"/>
          <w:kern w:val="24"/>
        </w:rPr>
        <w:t>r i</w:t>
      </w:r>
      <w:r w:rsidRPr="00133CF7">
        <w:rPr>
          <w:rFonts w:eastAsiaTheme="minorEastAsia"/>
          <w:color w:val="000000" w:themeColor="text1"/>
          <w:kern w:val="24"/>
        </w:rPr>
        <w:t xml:space="preserve">zdoti, pamatojoties citstarp uz likuma </w:t>
      </w:r>
      <w:r w:rsidR="00F64B1F" w:rsidRPr="006F093E">
        <w:rPr>
          <w:rFonts w:asciiTheme="majorBidi" w:hAnsiTheme="majorBidi" w:cstheme="majorBidi"/>
        </w:rPr>
        <w:t>„</w:t>
      </w:r>
      <w:r w:rsidRPr="00133CF7">
        <w:rPr>
          <w:rFonts w:eastAsiaTheme="minorEastAsia"/>
          <w:color w:val="000000" w:themeColor="text1"/>
          <w:kern w:val="24"/>
        </w:rPr>
        <w:t>Par iedzīvotāju ienākuma nodokli” 39.pantu. Atbilstoši šā panta 2.punktam Ministru kabinets nosaka ar nodokli apliekamā ienākuma noteikšanas kārtību, ņemot vērā dažādos apstākļus un likumā atrunātos ierobežojumus un citus nosacījumus, kuri konkrētā situācijā ietekmē apliekamā ienākuma apmēru.</w:t>
      </w:r>
    </w:p>
    <w:p w14:paraId="5F518DBF" w14:textId="3C578801" w:rsidR="007C7C81" w:rsidRDefault="00975C32" w:rsidP="00ED626E">
      <w:pPr>
        <w:shd w:val="clear" w:color="auto" w:fill="FFFFFF"/>
        <w:spacing w:line="276" w:lineRule="auto"/>
        <w:ind w:firstLine="720"/>
        <w:jc w:val="both"/>
        <w:rPr>
          <w:rFonts w:asciiTheme="majorBidi" w:hAnsiTheme="majorBidi" w:cstheme="majorBidi"/>
        </w:rPr>
      </w:pPr>
      <w:r w:rsidRPr="00133CF7">
        <w:rPr>
          <w:rFonts w:eastAsiaTheme="minorEastAsia"/>
          <w:color w:val="000000" w:themeColor="text1"/>
          <w:kern w:val="24"/>
        </w:rPr>
        <w:t>No minētā</w:t>
      </w:r>
      <w:r w:rsidR="003B0B87">
        <w:rPr>
          <w:rFonts w:eastAsiaTheme="minorEastAsia"/>
          <w:color w:val="000000" w:themeColor="text1"/>
          <w:kern w:val="24"/>
        </w:rPr>
        <w:t>s likuma normas</w:t>
      </w:r>
      <w:r w:rsidRPr="00133CF7">
        <w:rPr>
          <w:rFonts w:eastAsiaTheme="minorEastAsia"/>
          <w:color w:val="000000" w:themeColor="text1"/>
          <w:kern w:val="24"/>
        </w:rPr>
        <w:t xml:space="preserve"> izriet, ka Ministru kabinetam ir </w:t>
      </w:r>
      <w:r w:rsidR="00655935">
        <w:rPr>
          <w:rFonts w:eastAsiaTheme="minorEastAsia"/>
          <w:color w:val="000000" w:themeColor="text1"/>
          <w:kern w:val="24"/>
        </w:rPr>
        <w:t xml:space="preserve">piešķirts </w:t>
      </w:r>
      <w:r w:rsidRPr="00133CF7">
        <w:rPr>
          <w:rFonts w:eastAsiaTheme="minorEastAsia"/>
          <w:color w:val="000000" w:themeColor="text1"/>
          <w:kern w:val="24"/>
        </w:rPr>
        <w:t>pilnvarojums izdot noteikumus, lai noteiktu ar nodokli apliekamā ienākuma aprēķināšanas kārtību, ievērojot dzīves situāciju dažādību, likumā paredzētos ierobežojumus un dažādus nosacījumus, kuriem ir ietekme uz apliekamā ienākuma apmēru.</w:t>
      </w:r>
      <w:r>
        <w:rPr>
          <w:rFonts w:eastAsiaTheme="minorEastAsia"/>
          <w:color w:val="000000" w:themeColor="text1"/>
          <w:kern w:val="24"/>
        </w:rPr>
        <w:t xml:space="preserve"> Minētais </w:t>
      </w:r>
      <w:r w:rsidR="00AE0292">
        <w:rPr>
          <w:rFonts w:eastAsiaTheme="minorEastAsia"/>
          <w:color w:val="000000" w:themeColor="text1"/>
          <w:kern w:val="24"/>
        </w:rPr>
        <w:t xml:space="preserve">likumdevēja </w:t>
      </w:r>
      <w:r>
        <w:rPr>
          <w:rFonts w:eastAsiaTheme="minorEastAsia"/>
          <w:color w:val="000000" w:themeColor="text1"/>
          <w:kern w:val="24"/>
        </w:rPr>
        <w:t xml:space="preserve">pilnvarojums ir pietiekami plašs. Tomēr no tā neizriet Ministru kabineta tiesības </w:t>
      </w:r>
      <w:r w:rsidR="001533EC">
        <w:rPr>
          <w:rFonts w:eastAsiaTheme="minorEastAsia"/>
          <w:color w:val="000000" w:themeColor="text1"/>
          <w:kern w:val="24"/>
        </w:rPr>
        <w:t xml:space="preserve">noteikumos </w:t>
      </w:r>
      <w:r>
        <w:rPr>
          <w:rFonts w:eastAsiaTheme="minorEastAsia"/>
          <w:color w:val="000000" w:themeColor="text1"/>
          <w:kern w:val="24"/>
        </w:rPr>
        <w:t xml:space="preserve">ierobežot vai atņemt nodokļa maksātājam </w:t>
      </w:r>
      <w:r w:rsidR="006B19C2">
        <w:rPr>
          <w:rFonts w:eastAsiaTheme="minorEastAsia"/>
          <w:color w:val="000000" w:themeColor="text1"/>
          <w:kern w:val="24"/>
        </w:rPr>
        <w:t xml:space="preserve">jau pašā </w:t>
      </w:r>
      <w:r>
        <w:rPr>
          <w:rFonts w:eastAsiaTheme="minorEastAsia"/>
          <w:color w:val="000000" w:themeColor="text1"/>
          <w:kern w:val="24"/>
        </w:rPr>
        <w:t>likumā paredzētās tiesības, proti, tiesības kapitāla pieauguma aprēķināšanā ņemt vērā abu izdevumu</w:t>
      </w:r>
      <w:r w:rsidR="00D17D08">
        <w:rPr>
          <w:rFonts w:eastAsiaTheme="minorEastAsia"/>
          <w:color w:val="000000" w:themeColor="text1"/>
          <w:kern w:val="24"/>
        </w:rPr>
        <w:t xml:space="preserve"> pozīcijas</w:t>
      </w:r>
      <w:r w:rsidR="00F64B1F">
        <w:rPr>
          <w:rFonts w:eastAsiaTheme="minorEastAsia"/>
          <w:color w:val="000000" w:themeColor="text1"/>
          <w:kern w:val="24"/>
        </w:rPr>
        <w:t> </w:t>
      </w:r>
      <w:r>
        <w:rPr>
          <w:rFonts w:eastAsiaTheme="minorEastAsia"/>
          <w:color w:val="000000" w:themeColor="text1"/>
          <w:kern w:val="24"/>
        </w:rPr>
        <w:t xml:space="preserve">– nekustamā īpašuma iegādes vērtību un nekustamajā īpašumā veikto ieguldījumu vērtību. Likuma </w:t>
      </w:r>
      <w:r w:rsidR="00031EDA" w:rsidRPr="00000803">
        <w:rPr>
          <w:rFonts w:asciiTheme="majorBidi" w:hAnsiTheme="majorBidi" w:cstheme="majorBidi"/>
        </w:rPr>
        <w:t>„</w:t>
      </w:r>
      <w:r w:rsidR="00031EDA" w:rsidRPr="00000803">
        <w:rPr>
          <w:rFonts w:asciiTheme="majorBidi" w:eastAsiaTheme="minorEastAsia" w:hAnsiTheme="majorBidi" w:cstheme="majorBidi"/>
          <w:kern w:val="24"/>
        </w:rPr>
        <w:t>Par iedzīvotāju ienākuma nodokli”</w:t>
      </w:r>
      <w:r w:rsidR="00031EDA">
        <w:rPr>
          <w:rFonts w:asciiTheme="majorBidi" w:eastAsiaTheme="minorEastAsia" w:hAnsiTheme="majorBidi" w:cstheme="majorBidi"/>
          <w:kern w:val="24"/>
        </w:rPr>
        <w:t xml:space="preserve"> </w:t>
      </w:r>
      <w:r>
        <w:rPr>
          <w:rFonts w:eastAsiaTheme="minorEastAsia"/>
          <w:color w:val="000000" w:themeColor="text1"/>
          <w:kern w:val="24"/>
        </w:rPr>
        <w:t>39.panta 2.punktā skaidri norādīts, ka Ministru kabinets nosaka ar nodokli apliekamā ienākuma aprēķināšanas kārtību, ņemot vērā likumā atrunātos ierobežojumus</w:t>
      </w:r>
      <w:r w:rsidR="00F64B1F">
        <w:rPr>
          <w:rFonts w:eastAsiaTheme="minorEastAsia"/>
          <w:color w:val="000000" w:themeColor="text1"/>
          <w:kern w:val="24"/>
        </w:rPr>
        <w:t xml:space="preserve"> un nosacījumus</w:t>
      </w:r>
      <w:r>
        <w:rPr>
          <w:rFonts w:eastAsiaTheme="minorEastAsia"/>
          <w:color w:val="000000" w:themeColor="text1"/>
          <w:kern w:val="24"/>
        </w:rPr>
        <w:t xml:space="preserve">. </w:t>
      </w:r>
      <w:r w:rsidR="00000803" w:rsidRPr="00000803">
        <w:rPr>
          <w:rFonts w:asciiTheme="majorBidi" w:eastAsiaTheme="minorEastAsia" w:hAnsiTheme="majorBidi" w:cstheme="majorBidi"/>
          <w:kern w:val="24"/>
        </w:rPr>
        <w:t>Likum</w:t>
      </w:r>
      <w:r w:rsidR="00000803">
        <w:rPr>
          <w:rFonts w:asciiTheme="majorBidi" w:eastAsiaTheme="minorEastAsia" w:hAnsiTheme="majorBidi" w:cstheme="majorBidi"/>
          <w:kern w:val="24"/>
        </w:rPr>
        <w:t>a</w:t>
      </w:r>
      <w:r w:rsidR="00000803" w:rsidRPr="00000803">
        <w:rPr>
          <w:rFonts w:asciiTheme="majorBidi" w:eastAsiaTheme="minorEastAsia" w:hAnsiTheme="majorBidi" w:cstheme="majorBidi"/>
          <w:kern w:val="24"/>
        </w:rPr>
        <w:t xml:space="preserve"> </w:t>
      </w:r>
      <w:r w:rsidR="00000803" w:rsidRPr="00000803">
        <w:rPr>
          <w:rFonts w:asciiTheme="majorBidi" w:hAnsiTheme="majorBidi" w:cstheme="majorBidi"/>
        </w:rPr>
        <w:t>„</w:t>
      </w:r>
      <w:r w:rsidR="00000803" w:rsidRPr="00000803">
        <w:rPr>
          <w:rFonts w:asciiTheme="majorBidi" w:eastAsiaTheme="minorEastAsia" w:hAnsiTheme="majorBidi" w:cstheme="majorBidi"/>
          <w:kern w:val="24"/>
        </w:rPr>
        <w:t xml:space="preserve">Par iedzīvotāju ienākuma nodokli” </w:t>
      </w:r>
      <w:r w:rsidR="00000803">
        <w:rPr>
          <w:rFonts w:asciiTheme="majorBidi" w:eastAsiaTheme="minorEastAsia" w:hAnsiTheme="majorBidi" w:cstheme="majorBidi"/>
          <w:kern w:val="24"/>
        </w:rPr>
        <w:t>11.</w:t>
      </w:r>
      <w:r w:rsidR="00000803" w:rsidRPr="00000803">
        <w:rPr>
          <w:rFonts w:asciiTheme="majorBidi" w:eastAsiaTheme="minorEastAsia" w:hAnsiTheme="majorBidi" w:cstheme="majorBidi"/>
          <w:kern w:val="24"/>
          <w:vertAlign w:val="superscript"/>
        </w:rPr>
        <w:t>9</w:t>
      </w:r>
      <w:r w:rsidR="00000803">
        <w:rPr>
          <w:rFonts w:asciiTheme="majorBidi" w:eastAsiaTheme="minorEastAsia" w:hAnsiTheme="majorBidi" w:cstheme="majorBidi"/>
          <w:kern w:val="24"/>
        </w:rPr>
        <w:t>panta 5.</w:t>
      </w:r>
      <w:r w:rsidR="00000803" w:rsidRPr="00000803">
        <w:rPr>
          <w:rFonts w:asciiTheme="majorBidi" w:eastAsiaTheme="minorEastAsia" w:hAnsiTheme="majorBidi" w:cstheme="majorBidi"/>
          <w:kern w:val="24"/>
          <w:vertAlign w:val="superscript"/>
        </w:rPr>
        <w:t>1</w:t>
      </w:r>
      <w:r w:rsidR="00000803">
        <w:rPr>
          <w:rFonts w:asciiTheme="majorBidi" w:eastAsiaTheme="minorEastAsia" w:hAnsiTheme="majorBidi" w:cstheme="majorBidi"/>
          <w:kern w:val="24"/>
        </w:rPr>
        <w:t>daļā</w:t>
      </w:r>
      <w:r w:rsidR="00000803" w:rsidRPr="00000803">
        <w:rPr>
          <w:rFonts w:asciiTheme="majorBidi" w:eastAsiaTheme="minorEastAsia" w:hAnsiTheme="majorBidi" w:cstheme="majorBidi"/>
          <w:kern w:val="24"/>
        </w:rPr>
        <w:t xml:space="preserve"> ir skaidrots, kas ir atzīstams par nekustamajā īpašumā veikto ieguldījumu, proti, tie ir </w:t>
      </w:r>
      <w:r w:rsidR="00000803" w:rsidRPr="00000803">
        <w:rPr>
          <w:rFonts w:asciiTheme="majorBidi" w:hAnsiTheme="majorBidi" w:cstheme="majorBidi"/>
          <w:shd w:val="clear" w:color="auto" w:fill="FFFFFF"/>
        </w:rPr>
        <w:t>dokumentāri pierādāmi izdevumi, kas saistīti ar nekustamā īpašuma uzlabošanu un atjaunošanu, ja tie veikti pēc 1993.gada 31.decembra, un šie izdevumi nav atzīti nodokļa maksātāja saimnieciskās darbības izmaksās ne pamatlīdzekļu nolietojuma veidā, ne kārtējos izdevumos.</w:t>
      </w:r>
      <w:r w:rsidR="00000803">
        <w:rPr>
          <w:rFonts w:asciiTheme="majorBidi" w:hAnsiTheme="majorBidi" w:cstheme="majorBidi"/>
          <w:shd w:val="clear" w:color="auto" w:fill="FFFFFF"/>
        </w:rPr>
        <w:t xml:space="preserve"> Tātad likum</w:t>
      </w:r>
      <w:r w:rsidR="00A17DED">
        <w:rPr>
          <w:rFonts w:asciiTheme="majorBidi" w:hAnsiTheme="majorBidi" w:cstheme="majorBidi"/>
          <w:shd w:val="clear" w:color="auto" w:fill="FFFFFF"/>
        </w:rPr>
        <w:t>devējs ir</w:t>
      </w:r>
      <w:r w:rsidR="00000803">
        <w:rPr>
          <w:rFonts w:asciiTheme="majorBidi" w:hAnsiTheme="majorBidi" w:cstheme="majorBidi"/>
          <w:shd w:val="clear" w:color="auto" w:fill="FFFFFF"/>
        </w:rPr>
        <w:t xml:space="preserve"> paredz</w:t>
      </w:r>
      <w:r w:rsidR="00A17DED">
        <w:rPr>
          <w:rFonts w:asciiTheme="majorBidi" w:hAnsiTheme="majorBidi" w:cstheme="majorBidi"/>
          <w:shd w:val="clear" w:color="auto" w:fill="FFFFFF"/>
        </w:rPr>
        <w:t>ējis</w:t>
      </w:r>
      <w:r w:rsidR="00000803">
        <w:rPr>
          <w:rFonts w:asciiTheme="majorBidi" w:hAnsiTheme="majorBidi" w:cstheme="majorBidi"/>
          <w:shd w:val="clear" w:color="auto" w:fill="FFFFFF"/>
        </w:rPr>
        <w:t xml:space="preserve"> nekustamajā īpašumā veikto ieguldījumu atzīšanas nosacījumus. Tomēr ne minētajā tiesību normā, ne kādā citā l</w:t>
      </w:r>
      <w:r>
        <w:rPr>
          <w:rFonts w:eastAsiaTheme="minorEastAsia"/>
          <w:color w:val="000000" w:themeColor="text1"/>
          <w:kern w:val="24"/>
        </w:rPr>
        <w:t>ikum</w:t>
      </w:r>
      <w:r w:rsidR="00000803">
        <w:rPr>
          <w:rFonts w:eastAsiaTheme="minorEastAsia"/>
          <w:color w:val="000000" w:themeColor="text1"/>
          <w:kern w:val="24"/>
        </w:rPr>
        <w:t>a</w:t>
      </w:r>
      <w:r>
        <w:rPr>
          <w:rFonts w:eastAsiaTheme="minorEastAsia"/>
          <w:color w:val="000000" w:themeColor="text1"/>
          <w:kern w:val="24"/>
        </w:rPr>
        <w:t xml:space="preserve"> </w:t>
      </w:r>
      <w:r w:rsidR="00000803" w:rsidRPr="006F093E">
        <w:rPr>
          <w:rFonts w:asciiTheme="majorBidi" w:hAnsiTheme="majorBidi" w:cstheme="majorBidi"/>
        </w:rPr>
        <w:t>„</w:t>
      </w:r>
      <w:r>
        <w:rPr>
          <w:rFonts w:eastAsiaTheme="minorEastAsia"/>
          <w:color w:val="000000" w:themeColor="text1"/>
          <w:kern w:val="24"/>
        </w:rPr>
        <w:t xml:space="preserve">Par iedzīvotāju ienākuma nodokli” </w:t>
      </w:r>
      <w:r w:rsidR="00000803">
        <w:rPr>
          <w:rFonts w:eastAsiaTheme="minorEastAsia"/>
          <w:color w:val="000000" w:themeColor="text1"/>
          <w:kern w:val="24"/>
        </w:rPr>
        <w:t>normā likumdevējs nav paredzējis</w:t>
      </w:r>
      <w:r w:rsidR="0074160A">
        <w:rPr>
          <w:rFonts w:eastAsiaTheme="minorEastAsia"/>
          <w:color w:val="000000" w:themeColor="text1"/>
          <w:kern w:val="24"/>
        </w:rPr>
        <w:t xml:space="preserve">, ka </w:t>
      </w:r>
      <w:r>
        <w:rPr>
          <w:rFonts w:eastAsiaTheme="minorEastAsia"/>
          <w:color w:val="000000" w:themeColor="text1"/>
          <w:kern w:val="24"/>
        </w:rPr>
        <w:t xml:space="preserve">kapitāla pieauguma aprēķināšanā </w:t>
      </w:r>
      <w:r w:rsidRPr="00000803">
        <w:rPr>
          <w:rFonts w:asciiTheme="majorBidi" w:eastAsiaTheme="minorEastAsia" w:hAnsiTheme="majorBidi" w:cstheme="majorBidi"/>
          <w:kern w:val="24"/>
        </w:rPr>
        <w:t>nekustamajā īpašum</w:t>
      </w:r>
      <w:r w:rsidR="00000803" w:rsidRPr="00000803">
        <w:rPr>
          <w:rFonts w:asciiTheme="majorBidi" w:eastAsiaTheme="minorEastAsia" w:hAnsiTheme="majorBidi" w:cstheme="majorBidi"/>
          <w:kern w:val="24"/>
        </w:rPr>
        <w:t>ā</w:t>
      </w:r>
      <w:r w:rsidRPr="00000803">
        <w:rPr>
          <w:rFonts w:asciiTheme="majorBidi" w:eastAsiaTheme="minorEastAsia" w:hAnsiTheme="majorBidi" w:cstheme="majorBidi"/>
          <w:kern w:val="24"/>
        </w:rPr>
        <w:t xml:space="preserve"> veikto ieguldījumu vērtīb</w:t>
      </w:r>
      <w:r w:rsidR="0074160A">
        <w:rPr>
          <w:rFonts w:asciiTheme="majorBidi" w:eastAsiaTheme="minorEastAsia" w:hAnsiTheme="majorBidi" w:cstheme="majorBidi"/>
          <w:kern w:val="24"/>
        </w:rPr>
        <w:t xml:space="preserve">a </w:t>
      </w:r>
      <w:r w:rsidR="006A7B64">
        <w:rPr>
          <w:rFonts w:asciiTheme="majorBidi" w:eastAsiaTheme="minorEastAsia" w:hAnsiTheme="majorBidi" w:cstheme="majorBidi"/>
          <w:kern w:val="24"/>
        </w:rPr>
        <w:t xml:space="preserve">kādā gadījumā </w:t>
      </w:r>
      <w:r w:rsidR="0074160A">
        <w:rPr>
          <w:rFonts w:asciiTheme="majorBidi" w:eastAsiaTheme="minorEastAsia" w:hAnsiTheme="majorBidi" w:cstheme="majorBidi"/>
          <w:kern w:val="24"/>
        </w:rPr>
        <w:t>vispār nebūtu ņemam</w:t>
      </w:r>
      <w:r w:rsidR="00D17D08">
        <w:rPr>
          <w:rFonts w:asciiTheme="majorBidi" w:eastAsiaTheme="minorEastAsia" w:hAnsiTheme="majorBidi" w:cstheme="majorBidi"/>
          <w:kern w:val="24"/>
        </w:rPr>
        <w:t>a</w:t>
      </w:r>
      <w:r w:rsidR="0074160A">
        <w:rPr>
          <w:rFonts w:asciiTheme="majorBidi" w:eastAsiaTheme="minorEastAsia" w:hAnsiTheme="majorBidi" w:cstheme="majorBidi"/>
          <w:kern w:val="24"/>
        </w:rPr>
        <w:t xml:space="preserve"> vērā</w:t>
      </w:r>
      <w:r w:rsidRPr="00000803">
        <w:rPr>
          <w:rFonts w:asciiTheme="majorBidi" w:eastAsiaTheme="minorEastAsia" w:hAnsiTheme="majorBidi" w:cstheme="majorBidi"/>
          <w:kern w:val="24"/>
        </w:rPr>
        <w:t>.</w:t>
      </w:r>
      <w:r w:rsidR="00000803">
        <w:rPr>
          <w:rFonts w:asciiTheme="majorBidi" w:eastAsiaTheme="minorEastAsia" w:hAnsiTheme="majorBidi" w:cstheme="majorBidi"/>
          <w:kern w:val="24"/>
        </w:rPr>
        <w:t xml:space="preserve"> </w:t>
      </w:r>
      <w:r w:rsidR="001B0003">
        <w:rPr>
          <w:rFonts w:asciiTheme="majorBidi" w:eastAsiaTheme="minorEastAsia" w:hAnsiTheme="majorBidi" w:cstheme="majorBidi"/>
          <w:kern w:val="24"/>
        </w:rPr>
        <w:t>Tātad pilnvarojošajā likumā</w:t>
      </w:r>
      <w:r w:rsidR="007C7C81">
        <w:rPr>
          <w:rFonts w:asciiTheme="majorBidi" w:eastAsiaTheme="minorEastAsia" w:hAnsiTheme="majorBidi" w:cstheme="majorBidi"/>
          <w:kern w:val="24"/>
        </w:rPr>
        <w:t xml:space="preserve"> nav paredzēts</w:t>
      </w:r>
      <w:r w:rsidR="001B0003">
        <w:rPr>
          <w:rFonts w:asciiTheme="majorBidi" w:eastAsiaTheme="minorEastAsia" w:hAnsiTheme="majorBidi" w:cstheme="majorBidi"/>
          <w:kern w:val="24"/>
        </w:rPr>
        <w:t xml:space="preserve"> š</w:t>
      </w:r>
      <w:r w:rsidR="00000803">
        <w:rPr>
          <w:rFonts w:asciiTheme="majorBidi" w:eastAsiaTheme="minorEastAsia" w:hAnsiTheme="majorBidi" w:cstheme="majorBidi"/>
          <w:kern w:val="24"/>
        </w:rPr>
        <w:t>āds ierobežojums</w:t>
      </w:r>
      <w:r w:rsidR="007C7C81">
        <w:rPr>
          <w:rFonts w:asciiTheme="majorBidi" w:eastAsiaTheme="minorEastAsia" w:hAnsiTheme="majorBidi" w:cstheme="majorBidi"/>
          <w:kern w:val="24"/>
        </w:rPr>
        <w:t xml:space="preserve">, kura īstenošanu jeb piemērošanas kārtību varētu noteikt Ministru kabinets, ievērojot likuma </w:t>
      </w:r>
      <w:r w:rsidR="007C7C81" w:rsidRPr="006F093E">
        <w:rPr>
          <w:rFonts w:asciiTheme="majorBidi" w:hAnsiTheme="majorBidi" w:cstheme="majorBidi"/>
        </w:rPr>
        <w:t>„</w:t>
      </w:r>
      <w:r w:rsidR="007C7C81">
        <w:rPr>
          <w:rFonts w:asciiTheme="majorBidi" w:hAnsiTheme="majorBidi" w:cstheme="majorBidi"/>
        </w:rPr>
        <w:t>Par iedzīvotāju ienākuma nodokli” 39.panta 2.punktā paredzēto pilnvarojumu.</w:t>
      </w:r>
    </w:p>
    <w:p w14:paraId="2175A0BE" w14:textId="77777777" w:rsidR="007C7C81" w:rsidRDefault="007C7C81" w:rsidP="00ED626E">
      <w:pPr>
        <w:shd w:val="clear" w:color="auto" w:fill="FFFFFF"/>
        <w:spacing w:line="276" w:lineRule="auto"/>
        <w:ind w:firstLine="720"/>
        <w:jc w:val="both"/>
        <w:rPr>
          <w:rFonts w:eastAsiaTheme="minorEastAsia"/>
          <w:color w:val="000000" w:themeColor="text1"/>
          <w:kern w:val="24"/>
        </w:rPr>
      </w:pPr>
    </w:p>
    <w:p w14:paraId="3DAF044B" w14:textId="666FC714" w:rsidR="00F072F7" w:rsidRDefault="007C7C81"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lastRenderedPageBreak/>
        <w:t>[</w:t>
      </w:r>
      <w:r w:rsidR="003E51A8">
        <w:rPr>
          <w:rFonts w:eastAsiaTheme="minorEastAsia"/>
          <w:color w:val="000000" w:themeColor="text1"/>
          <w:kern w:val="24"/>
        </w:rPr>
        <w:t>8</w:t>
      </w:r>
      <w:r>
        <w:rPr>
          <w:rFonts w:eastAsiaTheme="minorEastAsia"/>
          <w:color w:val="000000" w:themeColor="text1"/>
          <w:kern w:val="24"/>
        </w:rPr>
        <w:t>] Senāts nepiekrīt tiesai, ka Ministru kabinets ar noteikumu Nr. 899 85.</w:t>
      </w:r>
      <w:r w:rsidRPr="001B0003">
        <w:rPr>
          <w:rFonts w:eastAsiaTheme="minorEastAsia"/>
          <w:color w:val="000000" w:themeColor="text1"/>
          <w:kern w:val="24"/>
          <w:vertAlign w:val="superscript"/>
        </w:rPr>
        <w:t>1</w:t>
      </w:r>
      <w:r>
        <w:rPr>
          <w:rFonts w:eastAsiaTheme="minorEastAsia"/>
          <w:color w:val="000000" w:themeColor="text1"/>
          <w:kern w:val="24"/>
        </w:rPr>
        <w:t xml:space="preserve">punktu ir tikai precizējis likuma </w:t>
      </w:r>
      <w:r w:rsidRPr="006F093E">
        <w:rPr>
          <w:rFonts w:asciiTheme="majorBidi" w:hAnsiTheme="majorBidi" w:cstheme="majorBidi"/>
        </w:rPr>
        <w:t>„</w:t>
      </w:r>
      <w:r>
        <w:rPr>
          <w:rFonts w:eastAsiaTheme="minorEastAsia"/>
          <w:color w:val="000000" w:themeColor="text1"/>
          <w:kern w:val="24"/>
        </w:rPr>
        <w:t>Par iedzīvotāju ienākuma nodokli” 11.</w:t>
      </w:r>
      <w:r w:rsidRPr="001B0003">
        <w:rPr>
          <w:rFonts w:eastAsiaTheme="minorEastAsia"/>
          <w:color w:val="000000" w:themeColor="text1"/>
          <w:kern w:val="24"/>
          <w:vertAlign w:val="superscript"/>
        </w:rPr>
        <w:t>9</w:t>
      </w:r>
      <w:r>
        <w:rPr>
          <w:rFonts w:eastAsiaTheme="minorEastAsia"/>
          <w:color w:val="000000" w:themeColor="text1"/>
          <w:kern w:val="24"/>
        </w:rPr>
        <w:t>panta pirmo daļu.</w:t>
      </w:r>
    </w:p>
    <w:p w14:paraId="0D00DCA3" w14:textId="7CB1FB55" w:rsidR="007C7C81" w:rsidRDefault="007C7C81"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 xml:space="preserve">Nekustamā īpašuma iegādes vērtība un nekustamajā īpašumā veikto ieguldījumu vērtība ir nodokļa maksātāja izdevumi. Jo lielāki izdevumi, jo mazāks ar iedzīvotāju ienākuma nodokli apliekamais ienākums un </w:t>
      </w:r>
      <w:r w:rsidR="008A77AE">
        <w:rPr>
          <w:rFonts w:eastAsiaTheme="minorEastAsia"/>
          <w:color w:val="000000" w:themeColor="text1"/>
          <w:kern w:val="24"/>
        </w:rPr>
        <w:t xml:space="preserve">attiecīgi arī </w:t>
      </w:r>
      <w:r>
        <w:rPr>
          <w:rFonts w:eastAsiaTheme="minorEastAsia"/>
          <w:color w:val="000000" w:themeColor="text1"/>
          <w:kern w:val="24"/>
        </w:rPr>
        <w:t>budžetā maksājamais nodoklis. Ja kapitāla pieauguma aprēķināšanā netiek ņemt</w:t>
      </w:r>
      <w:r w:rsidR="003E51A8">
        <w:rPr>
          <w:rFonts w:eastAsiaTheme="minorEastAsia"/>
          <w:color w:val="000000" w:themeColor="text1"/>
          <w:kern w:val="24"/>
        </w:rPr>
        <w:t>a</w:t>
      </w:r>
      <w:r>
        <w:rPr>
          <w:rFonts w:eastAsiaTheme="minorEastAsia"/>
          <w:color w:val="000000" w:themeColor="text1"/>
          <w:kern w:val="24"/>
        </w:rPr>
        <w:t xml:space="preserve"> vērā nekustamajā īpašumā</w:t>
      </w:r>
      <w:r w:rsidR="00A17DED">
        <w:rPr>
          <w:rFonts w:eastAsiaTheme="minorEastAsia"/>
          <w:color w:val="000000" w:themeColor="text1"/>
          <w:kern w:val="24"/>
        </w:rPr>
        <w:t xml:space="preserve"> veikto ieguldījumu vērtība</w:t>
      </w:r>
      <w:r>
        <w:rPr>
          <w:rFonts w:eastAsiaTheme="minorEastAsia"/>
          <w:color w:val="000000" w:themeColor="text1"/>
          <w:kern w:val="24"/>
        </w:rPr>
        <w:t>, neapšaubāmi ar iedzīvotāju ienākuma nodokli apliekamā ienākuma un tātad arī budžetā maksājamā nodokļa apmērs ir lielāks, salīdzot ar apmēru, kāds tas būtu, ja kapitāla pieauguma aprēķināšanā tiktu ņemti vērā ieguldījumi nekustamajā īpašumā.</w:t>
      </w:r>
    </w:p>
    <w:p w14:paraId="751D01E6" w14:textId="77777777" w:rsidR="007C7C81" w:rsidRDefault="007C7C81"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 xml:space="preserve">Tātad, ja piemēro likuma </w:t>
      </w:r>
      <w:r w:rsidRPr="009B5A28">
        <w:rPr>
          <w:rFonts w:asciiTheme="majorBidi" w:hAnsiTheme="majorBidi" w:cstheme="majorBidi"/>
        </w:rPr>
        <w:t>„</w:t>
      </w:r>
      <w:r>
        <w:rPr>
          <w:rFonts w:eastAsiaTheme="minorEastAsia"/>
          <w:color w:val="000000" w:themeColor="text1"/>
          <w:kern w:val="24"/>
        </w:rPr>
        <w:t>Par iedzīvotāju ienākuma nodokli” 11.</w:t>
      </w:r>
      <w:r w:rsidRPr="00996CE4">
        <w:rPr>
          <w:rFonts w:eastAsiaTheme="minorEastAsia"/>
          <w:color w:val="000000" w:themeColor="text1"/>
          <w:kern w:val="24"/>
          <w:vertAlign w:val="superscript"/>
        </w:rPr>
        <w:t>9</w:t>
      </w:r>
      <w:r>
        <w:rPr>
          <w:rFonts w:eastAsiaTheme="minorEastAsia"/>
          <w:color w:val="000000" w:themeColor="text1"/>
          <w:kern w:val="24"/>
        </w:rPr>
        <w:t>panta pirmo daļu un attiecīgi ņem vērā abu izdevumu pozīcijas, tad nodokļa maksātājam valsts budžetā jāmaksā mazāks nodokļa apmērs, salīdzinot ar nodokļa apmēru, kāds nodokļa maksātājam jāmaksā, piemērojot noteikumu Nr. 899 85.</w:t>
      </w:r>
      <w:r w:rsidRPr="00996CE4">
        <w:rPr>
          <w:rFonts w:eastAsiaTheme="minorEastAsia"/>
          <w:color w:val="000000" w:themeColor="text1"/>
          <w:kern w:val="24"/>
          <w:vertAlign w:val="superscript"/>
        </w:rPr>
        <w:t>1</w:t>
      </w:r>
      <w:r>
        <w:rPr>
          <w:rFonts w:eastAsiaTheme="minorEastAsia"/>
          <w:color w:val="000000" w:themeColor="text1"/>
          <w:kern w:val="24"/>
        </w:rPr>
        <w:t>punktu un attiecīgi nodokļa aprēķina noteikšanā neņemot vērā ieguldījumus nekustamajā īpašumā. Senāts atzīst, ka ar šādu regulējumu Ministru kabinets ir nevis precizējis likumā noteikto kapitāla pieauguma noteikšanas kārtību, bet gan ir sašaurinājis likumā ietverto materiālo tiesību normu, tādējādi atņemot nodokļa maksātājam likumdevēja noteiktās tiesības.</w:t>
      </w:r>
    </w:p>
    <w:p w14:paraId="3A472131" w14:textId="77777777" w:rsidR="007522F6" w:rsidRDefault="007522F6" w:rsidP="00ED626E">
      <w:pPr>
        <w:shd w:val="clear" w:color="auto" w:fill="FFFFFF"/>
        <w:spacing w:line="276" w:lineRule="auto"/>
        <w:ind w:firstLine="720"/>
        <w:jc w:val="both"/>
        <w:rPr>
          <w:rFonts w:eastAsiaTheme="minorEastAsia"/>
          <w:color w:val="000000" w:themeColor="text1"/>
          <w:kern w:val="24"/>
        </w:rPr>
      </w:pPr>
    </w:p>
    <w:p w14:paraId="198D0332" w14:textId="69352BBF" w:rsidR="007522F6" w:rsidRDefault="007522F6"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w:t>
      </w:r>
      <w:r w:rsidR="003E51A8">
        <w:rPr>
          <w:rFonts w:eastAsiaTheme="minorEastAsia"/>
          <w:color w:val="000000" w:themeColor="text1"/>
          <w:kern w:val="24"/>
        </w:rPr>
        <w:t>9</w:t>
      </w:r>
      <w:r>
        <w:rPr>
          <w:rFonts w:eastAsiaTheme="minorEastAsia"/>
          <w:color w:val="000000" w:themeColor="text1"/>
          <w:kern w:val="24"/>
        </w:rPr>
        <w:t>] Kā atzinusi Satversmes tiesa, likumdevējam skaidri jānorāda, kādus jautājumus un kādā veidā Ministru kabinets ir tiesīgs noregulēt (</w:t>
      </w:r>
      <w:r w:rsidRPr="007B22E7">
        <w:rPr>
          <w:rFonts w:eastAsiaTheme="minorEastAsia"/>
          <w:i/>
          <w:iCs/>
          <w:color w:val="000000" w:themeColor="text1"/>
          <w:kern w:val="24"/>
        </w:rPr>
        <w:t>Satversmes tiesas 2005.gada 21.novembra sprieduma lietā Nr. 2005-03-0306 10.punkts</w:t>
      </w:r>
      <w:r>
        <w:rPr>
          <w:rFonts w:eastAsiaTheme="minorEastAsia"/>
          <w:color w:val="000000" w:themeColor="text1"/>
          <w:kern w:val="24"/>
        </w:rPr>
        <w:t xml:space="preserve">). Jomā, kuru ir regulējusi Saeima, Ministru kabinets var darboties tikai tiktāl, lai attiecīgo likumu īstenotu dzīvē. </w:t>
      </w:r>
      <w:r w:rsidR="007B22E7">
        <w:rPr>
          <w:rFonts w:eastAsiaTheme="minorEastAsia"/>
          <w:color w:val="000000" w:themeColor="text1"/>
          <w:kern w:val="24"/>
        </w:rPr>
        <w:t>Satversmes tiesa ir skaidrojusi, ka p</w:t>
      </w:r>
      <w:r>
        <w:rPr>
          <w:rFonts w:eastAsiaTheme="minorEastAsia"/>
          <w:color w:val="000000" w:themeColor="text1"/>
          <w:kern w:val="24"/>
        </w:rPr>
        <w:t xml:space="preserve">ārvaldes kārtībā izdotie Ministru kabineta noteikumi nevar ietvert tiesību normas, kas bez likumdevēja pilnvarojuma veidotu jaunas, no </w:t>
      </w:r>
      <w:r w:rsidRPr="002E7C67">
        <w:rPr>
          <w:rFonts w:eastAsiaTheme="minorEastAsia"/>
          <w:color w:val="000000" w:themeColor="text1"/>
          <w:kern w:val="24"/>
        </w:rPr>
        <w:t>pilnvarojošā</w:t>
      </w:r>
      <w:r>
        <w:rPr>
          <w:rFonts w:eastAsiaTheme="minorEastAsia"/>
          <w:color w:val="000000" w:themeColor="text1"/>
          <w:kern w:val="24"/>
        </w:rPr>
        <w:t xml:space="preserve"> likuma būtiski atšķirīgas tiesiskās attiecības un ierobežotu pamattiesības (</w:t>
      </w:r>
      <w:r w:rsidRPr="007B22E7">
        <w:rPr>
          <w:rFonts w:eastAsiaTheme="minorEastAsia"/>
          <w:i/>
          <w:iCs/>
          <w:color w:val="000000" w:themeColor="text1"/>
          <w:kern w:val="24"/>
        </w:rPr>
        <w:t>Satversmes tiesas 2007.gada 9.oktobra sprieduma lietā Nr. 2007-04-03 16.punkts, 2011.gada 6.maija sprieduma lietā Nr. 2010-57-03 13.3.punkts</w:t>
      </w:r>
      <w:r>
        <w:rPr>
          <w:rFonts w:eastAsiaTheme="minorEastAsia"/>
          <w:color w:val="000000" w:themeColor="text1"/>
          <w:kern w:val="24"/>
        </w:rPr>
        <w:t>).</w:t>
      </w:r>
    </w:p>
    <w:p w14:paraId="51C051B5" w14:textId="63F569C3" w:rsidR="007522F6" w:rsidRDefault="007522F6"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Ņemot vērā iepriekš norādītos apsvērumus, Senāts atzīst, ka Ministru kabinets, pieņemot noteikumu Nr. 899 85.</w:t>
      </w:r>
      <w:r w:rsidRPr="001B0003">
        <w:rPr>
          <w:rFonts w:eastAsiaTheme="minorEastAsia"/>
          <w:color w:val="000000" w:themeColor="text1"/>
          <w:kern w:val="24"/>
          <w:vertAlign w:val="superscript"/>
        </w:rPr>
        <w:t>1</w:t>
      </w:r>
      <w:r>
        <w:rPr>
          <w:rFonts w:eastAsiaTheme="minorEastAsia"/>
          <w:color w:val="000000" w:themeColor="text1"/>
          <w:kern w:val="24"/>
        </w:rPr>
        <w:t>punktu, ir pārkāpis tam piešķirtā pilnvarojuma robežas</w:t>
      </w:r>
      <w:r w:rsidR="00AE63B6">
        <w:rPr>
          <w:rFonts w:eastAsiaTheme="minorEastAsia"/>
          <w:color w:val="000000" w:themeColor="text1"/>
          <w:kern w:val="24"/>
        </w:rPr>
        <w:t>.</w:t>
      </w:r>
      <w:r>
        <w:rPr>
          <w:rFonts w:eastAsiaTheme="minorEastAsia"/>
          <w:color w:val="000000" w:themeColor="text1"/>
          <w:kern w:val="24"/>
        </w:rPr>
        <w:t xml:space="preserve"> </w:t>
      </w:r>
      <w:r w:rsidR="00AE63B6">
        <w:rPr>
          <w:rFonts w:eastAsiaTheme="minorEastAsia"/>
          <w:color w:val="000000" w:themeColor="text1"/>
          <w:kern w:val="24"/>
        </w:rPr>
        <w:t>Noteikumu Nr. 899 85.</w:t>
      </w:r>
      <w:r w:rsidR="00AE63B6" w:rsidRPr="001B0003">
        <w:rPr>
          <w:rFonts w:eastAsiaTheme="minorEastAsia"/>
          <w:color w:val="000000" w:themeColor="text1"/>
          <w:kern w:val="24"/>
          <w:vertAlign w:val="superscript"/>
        </w:rPr>
        <w:t>1</w:t>
      </w:r>
      <w:r w:rsidR="00AE63B6">
        <w:rPr>
          <w:rFonts w:eastAsiaTheme="minorEastAsia"/>
          <w:color w:val="000000" w:themeColor="text1"/>
          <w:kern w:val="24"/>
        </w:rPr>
        <w:t>punktā</w:t>
      </w:r>
      <w:r w:rsidR="006406C6">
        <w:rPr>
          <w:rFonts w:eastAsiaTheme="minorEastAsia"/>
          <w:color w:val="000000" w:themeColor="text1"/>
          <w:kern w:val="24"/>
        </w:rPr>
        <w:t>,</w:t>
      </w:r>
      <w:r w:rsidR="00AE63B6">
        <w:rPr>
          <w:rFonts w:eastAsiaTheme="minorEastAsia"/>
          <w:color w:val="000000" w:themeColor="text1"/>
          <w:kern w:val="24"/>
        </w:rPr>
        <w:t xml:space="preserve"> sašaurinot </w:t>
      </w:r>
      <w:r>
        <w:rPr>
          <w:rFonts w:eastAsiaTheme="minorEastAsia"/>
          <w:color w:val="000000" w:themeColor="text1"/>
          <w:kern w:val="24"/>
        </w:rPr>
        <w:t xml:space="preserve">likuma </w:t>
      </w:r>
      <w:r w:rsidRPr="006F093E">
        <w:rPr>
          <w:rFonts w:asciiTheme="majorBidi" w:hAnsiTheme="majorBidi" w:cstheme="majorBidi"/>
        </w:rPr>
        <w:t>„</w:t>
      </w:r>
      <w:r>
        <w:rPr>
          <w:rFonts w:eastAsiaTheme="minorEastAsia"/>
          <w:color w:val="000000" w:themeColor="text1"/>
          <w:kern w:val="24"/>
        </w:rPr>
        <w:t>Par iedzīvotāju ienākuma nodokli” 11.</w:t>
      </w:r>
      <w:r w:rsidRPr="001B0003">
        <w:rPr>
          <w:rFonts w:eastAsiaTheme="minorEastAsia"/>
          <w:color w:val="000000" w:themeColor="text1"/>
          <w:kern w:val="24"/>
          <w:vertAlign w:val="superscript"/>
        </w:rPr>
        <w:t>9</w:t>
      </w:r>
      <w:r>
        <w:rPr>
          <w:rFonts w:eastAsiaTheme="minorEastAsia"/>
          <w:color w:val="000000" w:themeColor="text1"/>
          <w:kern w:val="24"/>
        </w:rPr>
        <w:t xml:space="preserve">panta pirmo daļu un atņemot nodokļa maksātājam </w:t>
      </w:r>
      <w:r w:rsidR="003E51A8">
        <w:rPr>
          <w:rFonts w:eastAsiaTheme="minorEastAsia"/>
          <w:color w:val="000000" w:themeColor="text1"/>
          <w:kern w:val="24"/>
        </w:rPr>
        <w:t xml:space="preserve">likumdevēja piešķirtās </w:t>
      </w:r>
      <w:r>
        <w:rPr>
          <w:rFonts w:eastAsiaTheme="minorEastAsia"/>
          <w:color w:val="000000" w:themeColor="text1"/>
          <w:kern w:val="24"/>
        </w:rPr>
        <w:t xml:space="preserve">tiesības kapitāla pieauguma noteikšanā ņemt vērā ieguldījumus nekustamajā īpašumā, </w:t>
      </w:r>
      <w:r w:rsidR="00AE63B6">
        <w:rPr>
          <w:rFonts w:eastAsiaTheme="minorEastAsia"/>
          <w:color w:val="000000" w:themeColor="text1"/>
          <w:kern w:val="24"/>
        </w:rPr>
        <w:t xml:space="preserve">Ministru kabinets </w:t>
      </w:r>
      <w:r>
        <w:rPr>
          <w:rFonts w:eastAsiaTheme="minorEastAsia"/>
          <w:color w:val="000000" w:themeColor="text1"/>
          <w:kern w:val="24"/>
        </w:rPr>
        <w:t>ir noteicis likuma</w:t>
      </w:r>
      <w:r w:rsidR="006406C6">
        <w:rPr>
          <w:rFonts w:eastAsiaTheme="minorEastAsia"/>
          <w:color w:val="000000" w:themeColor="text1"/>
          <w:kern w:val="24"/>
        </w:rPr>
        <w:t xml:space="preserve">m pretēju regulējumu, pārkāpjot </w:t>
      </w:r>
      <w:r w:rsidR="004D4B69">
        <w:rPr>
          <w:rFonts w:eastAsiaTheme="minorEastAsia"/>
          <w:color w:val="000000" w:themeColor="text1"/>
          <w:kern w:val="24"/>
        </w:rPr>
        <w:t xml:space="preserve">arī </w:t>
      </w:r>
      <w:r w:rsidR="006406C6">
        <w:rPr>
          <w:rFonts w:eastAsiaTheme="minorEastAsia"/>
          <w:color w:val="000000" w:themeColor="text1"/>
          <w:kern w:val="24"/>
        </w:rPr>
        <w:t xml:space="preserve">likumdevēja pilnvarojumā ietverto pienākumu </w:t>
      </w:r>
      <w:r w:rsidR="00CA0B15">
        <w:rPr>
          <w:rFonts w:eastAsiaTheme="minorEastAsia"/>
          <w:color w:val="000000" w:themeColor="text1"/>
          <w:kern w:val="24"/>
        </w:rPr>
        <w:t xml:space="preserve">ņemt vērā likumā atrunātos </w:t>
      </w:r>
      <w:r w:rsidR="006406C6">
        <w:rPr>
          <w:rFonts w:eastAsiaTheme="minorEastAsia"/>
          <w:color w:val="000000" w:themeColor="text1"/>
          <w:kern w:val="24"/>
        </w:rPr>
        <w:t>ierobežojumus un nosacījumus</w:t>
      </w:r>
      <w:r>
        <w:rPr>
          <w:rFonts w:eastAsiaTheme="minorEastAsia"/>
          <w:color w:val="000000" w:themeColor="text1"/>
          <w:kern w:val="24"/>
        </w:rPr>
        <w:t>. Līdz ar to noteikumu Nr. 899 85.</w:t>
      </w:r>
      <w:r w:rsidRPr="001B0003">
        <w:rPr>
          <w:rFonts w:eastAsiaTheme="minorEastAsia"/>
          <w:color w:val="000000" w:themeColor="text1"/>
          <w:kern w:val="24"/>
          <w:vertAlign w:val="superscript"/>
        </w:rPr>
        <w:t>1</w:t>
      </w:r>
      <w:r>
        <w:rPr>
          <w:rFonts w:eastAsiaTheme="minorEastAsia"/>
          <w:color w:val="000000" w:themeColor="text1"/>
          <w:kern w:val="24"/>
        </w:rPr>
        <w:t xml:space="preserve">punkts neatbilst likuma </w:t>
      </w:r>
      <w:r w:rsidRPr="006F093E">
        <w:rPr>
          <w:rFonts w:asciiTheme="majorBidi" w:hAnsiTheme="majorBidi" w:cstheme="majorBidi"/>
        </w:rPr>
        <w:t>„</w:t>
      </w:r>
      <w:r>
        <w:rPr>
          <w:rFonts w:eastAsiaTheme="minorEastAsia"/>
          <w:color w:val="000000" w:themeColor="text1"/>
          <w:kern w:val="24"/>
        </w:rPr>
        <w:t>Par iedzīvotāju ienākuma nodokli” 11.</w:t>
      </w:r>
      <w:r w:rsidRPr="001B0003">
        <w:rPr>
          <w:rFonts w:eastAsiaTheme="minorEastAsia"/>
          <w:color w:val="000000" w:themeColor="text1"/>
          <w:kern w:val="24"/>
          <w:vertAlign w:val="superscript"/>
        </w:rPr>
        <w:t>9</w:t>
      </w:r>
      <w:r>
        <w:rPr>
          <w:rFonts w:eastAsiaTheme="minorEastAsia"/>
          <w:color w:val="000000" w:themeColor="text1"/>
          <w:kern w:val="24"/>
        </w:rPr>
        <w:t>panta pirmajai daļai.</w:t>
      </w:r>
      <w:r w:rsidRPr="00945539">
        <w:rPr>
          <w:rFonts w:eastAsiaTheme="minorEastAsia"/>
          <w:color w:val="000000" w:themeColor="text1"/>
          <w:kern w:val="24"/>
        </w:rPr>
        <w:t xml:space="preserve"> </w:t>
      </w:r>
      <w:r>
        <w:rPr>
          <w:rFonts w:eastAsiaTheme="minorEastAsia"/>
          <w:color w:val="000000" w:themeColor="text1"/>
          <w:kern w:val="24"/>
        </w:rPr>
        <w:t>Finanšu ministrija kā nodokļu tiesībpolitikas veidotāja, atsaucoties uz Senāta aicinājumu sniegt viedokli, nav norādījusi apsvērumus, kas apliecinātu noteikumu Nr. 899 85.</w:t>
      </w:r>
      <w:r w:rsidRPr="007522F6">
        <w:rPr>
          <w:rFonts w:eastAsiaTheme="minorEastAsia"/>
          <w:color w:val="000000" w:themeColor="text1"/>
          <w:kern w:val="24"/>
          <w:vertAlign w:val="superscript"/>
        </w:rPr>
        <w:t>1</w:t>
      </w:r>
      <w:r>
        <w:rPr>
          <w:rFonts w:eastAsiaTheme="minorEastAsia"/>
          <w:color w:val="000000" w:themeColor="text1"/>
          <w:kern w:val="24"/>
        </w:rPr>
        <w:t>punkta atbilstību</w:t>
      </w:r>
      <w:r w:rsidRPr="00945539">
        <w:rPr>
          <w:rFonts w:eastAsiaTheme="minorEastAsia"/>
          <w:color w:val="000000" w:themeColor="text1"/>
          <w:kern w:val="24"/>
        </w:rPr>
        <w:t xml:space="preserve"> </w:t>
      </w:r>
      <w:r>
        <w:rPr>
          <w:rFonts w:eastAsiaTheme="minorEastAsia"/>
          <w:color w:val="000000" w:themeColor="text1"/>
          <w:kern w:val="24"/>
        </w:rPr>
        <w:t xml:space="preserve">likuma </w:t>
      </w:r>
      <w:r w:rsidRPr="006F093E">
        <w:rPr>
          <w:rFonts w:asciiTheme="majorBidi" w:hAnsiTheme="majorBidi" w:cstheme="majorBidi"/>
        </w:rPr>
        <w:t>„</w:t>
      </w:r>
      <w:r>
        <w:rPr>
          <w:rFonts w:eastAsiaTheme="minorEastAsia"/>
          <w:color w:val="000000" w:themeColor="text1"/>
          <w:kern w:val="24"/>
        </w:rPr>
        <w:t>Par iedzīvotāju ienākuma nodokli” 11.</w:t>
      </w:r>
      <w:r w:rsidRPr="00146BEF">
        <w:rPr>
          <w:rFonts w:eastAsiaTheme="minorEastAsia"/>
          <w:color w:val="000000" w:themeColor="text1"/>
          <w:kern w:val="24"/>
          <w:vertAlign w:val="superscript"/>
        </w:rPr>
        <w:t>9</w:t>
      </w:r>
      <w:r>
        <w:rPr>
          <w:rFonts w:eastAsiaTheme="minorEastAsia"/>
          <w:color w:val="000000" w:themeColor="text1"/>
          <w:kern w:val="24"/>
        </w:rPr>
        <w:t>panta pirmajai daļai.</w:t>
      </w:r>
    </w:p>
    <w:p w14:paraId="5A0B5D9A" w14:textId="2DD79327" w:rsidR="007522F6" w:rsidRDefault="007522F6"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Administratīvā procesa likuma 104.panta trešā daļa noteic: ja tiesa atzīst, ka Ministru kabineta noteikumi neatbilst likumam, tā attiecīgo tiesību normu nepiemēro. Tādējādi noteikumu Nr. 899 85.</w:t>
      </w:r>
      <w:r w:rsidRPr="001B0003">
        <w:rPr>
          <w:rFonts w:eastAsiaTheme="minorEastAsia"/>
          <w:color w:val="000000" w:themeColor="text1"/>
          <w:kern w:val="24"/>
          <w:vertAlign w:val="superscript"/>
        </w:rPr>
        <w:t>1</w:t>
      </w:r>
      <w:r>
        <w:rPr>
          <w:rFonts w:eastAsiaTheme="minorEastAsia"/>
          <w:color w:val="000000" w:themeColor="text1"/>
          <w:kern w:val="24"/>
        </w:rPr>
        <w:t xml:space="preserve">punkts </w:t>
      </w:r>
      <w:r w:rsidR="00F072CB">
        <w:rPr>
          <w:rFonts w:eastAsiaTheme="minorEastAsia"/>
          <w:color w:val="000000" w:themeColor="text1"/>
          <w:kern w:val="24"/>
        </w:rPr>
        <w:t xml:space="preserve">izskatāmajā gadījumā </w:t>
      </w:r>
      <w:r>
        <w:rPr>
          <w:rFonts w:eastAsiaTheme="minorEastAsia"/>
          <w:color w:val="000000" w:themeColor="text1"/>
          <w:kern w:val="24"/>
        </w:rPr>
        <w:t>nav piemērojams.</w:t>
      </w:r>
    </w:p>
    <w:p w14:paraId="5222BBD7" w14:textId="77777777" w:rsidR="007522F6" w:rsidRDefault="007522F6" w:rsidP="00ED626E">
      <w:pPr>
        <w:shd w:val="clear" w:color="auto" w:fill="FFFFFF"/>
        <w:spacing w:line="276" w:lineRule="auto"/>
        <w:ind w:firstLine="720"/>
        <w:jc w:val="both"/>
        <w:rPr>
          <w:rFonts w:eastAsiaTheme="minorEastAsia"/>
          <w:color w:val="000000" w:themeColor="text1"/>
          <w:kern w:val="24"/>
        </w:rPr>
      </w:pPr>
    </w:p>
    <w:p w14:paraId="4B96504F" w14:textId="6B46340F" w:rsidR="00BA4711" w:rsidRDefault="007C7C81" w:rsidP="00ED626E">
      <w:pPr>
        <w:shd w:val="clear" w:color="auto" w:fill="FFFFFF"/>
        <w:spacing w:line="276" w:lineRule="auto"/>
        <w:ind w:firstLine="720"/>
        <w:jc w:val="both"/>
        <w:rPr>
          <w:rFonts w:asciiTheme="majorBidi" w:hAnsiTheme="majorBidi" w:cstheme="majorBidi"/>
        </w:rPr>
      </w:pPr>
      <w:r>
        <w:rPr>
          <w:rFonts w:asciiTheme="majorBidi" w:eastAsiaTheme="minorEastAsia" w:hAnsiTheme="majorBidi" w:cstheme="majorBidi"/>
          <w:kern w:val="24"/>
        </w:rPr>
        <w:lastRenderedPageBreak/>
        <w:t>[</w:t>
      </w:r>
      <w:r w:rsidR="003E51A8">
        <w:rPr>
          <w:rFonts w:asciiTheme="majorBidi" w:eastAsiaTheme="minorEastAsia" w:hAnsiTheme="majorBidi" w:cstheme="majorBidi"/>
          <w:kern w:val="24"/>
        </w:rPr>
        <w:t>10</w:t>
      </w:r>
      <w:r>
        <w:rPr>
          <w:rFonts w:asciiTheme="majorBidi" w:eastAsiaTheme="minorEastAsia" w:hAnsiTheme="majorBidi" w:cstheme="majorBidi"/>
          <w:kern w:val="24"/>
        </w:rPr>
        <w:t xml:space="preserve">] Senāts </w:t>
      </w:r>
      <w:r w:rsidR="007522F6">
        <w:rPr>
          <w:rFonts w:asciiTheme="majorBidi" w:eastAsiaTheme="minorEastAsia" w:hAnsiTheme="majorBidi" w:cstheme="majorBidi"/>
          <w:kern w:val="24"/>
        </w:rPr>
        <w:t xml:space="preserve">papildus </w:t>
      </w:r>
      <w:r>
        <w:rPr>
          <w:rFonts w:asciiTheme="majorBidi" w:eastAsiaTheme="minorEastAsia" w:hAnsiTheme="majorBidi" w:cstheme="majorBidi"/>
          <w:kern w:val="24"/>
        </w:rPr>
        <w:t xml:space="preserve">ņem vērā, ka kārtību, kādā nosakāms vēl viens </w:t>
      </w:r>
      <w:r>
        <w:rPr>
          <w:rFonts w:eastAsiaTheme="minorEastAsia"/>
          <w:color w:val="000000" w:themeColor="text1"/>
          <w:kern w:val="24"/>
        </w:rPr>
        <w:t xml:space="preserve">likuma </w:t>
      </w:r>
      <w:r w:rsidRPr="006F093E">
        <w:rPr>
          <w:rFonts w:asciiTheme="majorBidi" w:hAnsiTheme="majorBidi" w:cstheme="majorBidi"/>
        </w:rPr>
        <w:t>„</w:t>
      </w:r>
      <w:r>
        <w:rPr>
          <w:rFonts w:eastAsiaTheme="minorEastAsia"/>
          <w:color w:val="000000" w:themeColor="text1"/>
          <w:kern w:val="24"/>
        </w:rPr>
        <w:t>Par iedzīvotāju ienākuma nodokli” 11.</w:t>
      </w:r>
      <w:r w:rsidRPr="001B0003">
        <w:rPr>
          <w:rFonts w:eastAsiaTheme="minorEastAsia"/>
          <w:color w:val="000000" w:themeColor="text1"/>
          <w:kern w:val="24"/>
          <w:vertAlign w:val="superscript"/>
        </w:rPr>
        <w:t>9</w:t>
      </w:r>
      <w:r>
        <w:rPr>
          <w:rFonts w:eastAsiaTheme="minorEastAsia"/>
          <w:color w:val="000000" w:themeColor="text1"/>
          <w:kern w:val="24"/>
        </w:rPr>
        <w:t xml:space="preserve">panta pirmajā daļā paredzētais </w:t>
      </w:r>
      <w:r>
        <w:rPr>
          <w:rFonts w:asciiTheme="majorBidi" w:eastAsiaTheme="minorEastAsia" w:hAnsiTheme="majorBidi" w:cstheme="majorBidi"/>
          <w:kern w:val="24"/>
        </w:rPr>
        <w:t>kapitāla pieauguma aprēķināšanas lielums</w:t>
      </w:r>
      <w:r w:rsidR="007522F6">
        <w:rPr>
          <w:rFonts w:asciiTheme="majorBidi" w:eastAsiaTheme="minorEastAsia" w:hAnsiTheme="majorBidi" w:cstheme="majorBidi"/>
          <w:kern w:val="24"/>
        </w:rPr>
        <w:t xml:space="preserve">, proti, </w:t>
      </w:r>
      <w:r>
        <w:rPr>
          <w:rFonts w:asciiTheme="majorBidi" w:eastAsiaTheme="minorEastAsia" w:hAnsiTheme="majorBidi" w:cstheme="majorBidi"/>
          <w:kern w:val="24"/>
        </w:rPr>
        <w:t>nekustamā īpašuma iegādes vērtība</w:t>
      </w:r>
      <w:r w:rsidR="007522F6">
        <w:rPr>
          <w:rFonts w:asciiTheme="majorBidi" w:eastAsiaTheme="minorEastAsia" w:hAnsiTheme="majorBidi" w:cstheme="majorBidi"/>
          <w:kern w:val="24"/>
        </w:rPr>
        <w:t>,</w:t>
      </w:r>
      <w:r>
        <w:rPr>
          <w:rFonts w:asciiTheme="majorBidi" w:eastAsiaTheme="minorEastAsia" w:hAnsiTheme="majorBidi" w:cstheme="majorBidi"/>
          <w:kern w:val="24"/>
        </w:rPr>
        <w:t xml:space="preserve"> likumdevējs ir noteicis pats</w:t>
      </w:r>
      <w:r w:rsidR="007522F6">
        <w:rPr>
          <w:rFonts w:asciiTheme="majorBidi" w:eastAsiaTheme="minorEastAsia" w:hAnsiTheme="majorBidi" w:cstheme="majorBidi"/>
          <w:kern w:val="24"/>
        </w:rPr>
        <w:t xml:space="preserve">. </w:t>
      </w:r>
      <w:r w:rsidR="00216C3A">
        <w:rPr>
          <w:rFonts w:asciiTheme="majorBidi" w:eastAsiaTheme="minorEastAsia" w:hAnsiTheme="majorBidi" w:cstheme="majorBidi"/>
          <w:kern w:val="24"/>
        </w:rPr>
        <w:t xml:space="preserve">Proti, </w:t>
      </w:r>
      <w:r w:rsidR="007522F6">
        <w:rPr>
          <w:rFonts w:asciiTheme="majorBidi" w:eastAsiaTheme="minorEastAsia" w:hAnsiTheme="majorBidi" w:cstheme="majorBidi"/>
          <w:kern w:val="24"/>
        </w:rPr>
        <w:t xml:space="preserve">kārtību, </w:t>
      </w:r>
      <w:r w:rsidR="006B3D9A">
        <w:rPr>
          <w:rFonts w:eastAsiaTheme="minorEastAsia"/>
          <w:color w:val="000000" w:themeColor="text1"/>
          <w:kern w:val="24"/>
        </w:rPr>
        <w:t xml:space="preserve">kādā nosaka dāvinājuma ceļā iegūtā nekustamā īpašuma iegādes vērtību, likumdevējs ir paredzējis </w:t>
      </w:r>
      <w:r w:rsidR="006B3D9A" w:rsidRPr="001B0003">
        <w:rPr>
          <w:rFonts w:asciiTheme="majorBidi" w:eastAsiaTheme="minorEastAsia" w:hAnsiTheme="majorBidi" w:cstheme="majorBidi"/>
          <w:kern w:val="24"/>
        </w:rPr>
        <w:t>likuma</w:t>
      </w:r>
      <w:r w:rsidR="007522F6">
        <w:rPr>
          <w:rFonts w:asciiTheme="majorBidi" w:eastAsiaTheme="minorEastAsia" w:hAnsiTheme="majorBidi" w:cstheme="majorBidi"/>
          <w:kern w:val="24"/>
        </w:rPr>
        <w:t xml:space="preserve"> </w:t>
      </w:r>
      <w:r w:rsidR="007522F6" w:rsidRPr="006F093E">
        <w:rPr>
          <w:rFonts w:asciiTheme="majorBidi" w:hAnsiTheme="majorBidi" w:cstheme="majorBidi"/>
        </w:rPr>
        <w:t>„</w:t>
      </w:r>
      <w:r w:rsidR="007522F6">
        <w:rPr>
          <w:rFonts w:eastAsiaTheme="minorEastAsia"/>
          <w:color w:val="000000" w:themeColor="text1"/>
          <w:kern w:val="24"/>
        </w:rPr>
        <w:t>Par iedzīvotāju ienākuma nodokli”</w:t>
      </w:r>
      <w:r w:rsidR="006B3D9A" w:rsidRPr="001B0003">
        <w:rPr>
          <w:rFonts w:asciiTheme="majorBidi" w:eastAsiaTheme="minorEastAsia" w:hAnsiTheme="majorBidi" w:cstheme="majorBidi"/>
          <w:kern w:val="24"/>
        </w:rPr>
        <w:t xml:space="preserve"> 11.</w:t>
      </w:r>
      <w:r w:rsidR="006B3D9A" w:rsidRPr="001B0003">
        <w:rPr>
          <w:rFonts w:asciiTheme="majorBidi" w:eastAsiaTheme="minorEastAsia" w:hAnsiTheme="majorBidi" w:cstheme="majorBidi"/>
          <w:kern w:val="24"/>
          <w:vertAlign w:val="superscript"/>
        </w:rPr>
        <w:t>9</w:t>
      </w:r>
      <w:r w:rsidR="006B3D9A" w:rsidRPr="001B0003">
        <w:rPr>
          <w:rFonts w:asciiTheme="majorBidi" w:eastAsiaTheme="minorEastAsia" w:hAnsiTheme="majorBidi" w:cstheme="majorBidi"/>
          <w:kern w:val="24"/>
        </w:rPr>
        <w:t>panta 7.</w:t>
      </w:r>
      <w:r w:rsidR="006B3D9A" w:rsidRPr="001B0003">
        <w:rPr>
          <w:rFonts w:asciiTheme="majorBidi" w:eastAsiaTheme="minorEastAsia" w:hAnsiTheme="majorBidi" w:cstheme="majorBidi"/>
          <w:kern w:val="24"/>
          <w:vertAlign w:val="superscript"/>
        </w:rPr>
        <w:t>3</w:t>
      </w:r>
      <w:r w:rsidR="006B3D9A" w:rsidRPr="001B0003">
        <w:rPr>
          <w:rFonts w:asciiTheme="majorBidi" w:eastAsiaTheme="minorEastAsia" w:hAnsiTheme="majorBidi" w:cstheme="majorBidi"/>
          <w:kern w:val="24"/>
        </w:rPr>
        <w:t>daļas</w:t>
      </w:r>
      <w:r w:rsidR="00677C08">
        <w:rPr>
          <w:rFonts w:asciiTheme="majorBidi" w:eastAsiaTheme="minorEastAsia" w:hAnsiTheme="majorBidi" w:cstheme="majorBidi"/>
          <w:kern w:val="24"/>
        </w:rPr>
        <w:t xml:space="preserve"> 3.punktā, kas ir piemērojams izskatāmajā gadījumā, kā arī šā panta daļas </w:t>
      </w:r>
      <w:r w:rsidR="00A17DED">
        <w:rPr>
          <w:rFonts w:asciiTheme="majorBidi" w:eastAsiaTheme="minorEastAsia" w:hAnsiTheme="majorBidi" w:cstheme="majorBidi"/>
          <w:kern w:val="24"/>
        </w:rPr>
        <w:t xml:space="preserve">1. un </w:t>
      </w:r>
      <w:r w:rsidR="00677C08">
        <w:rPr>
          <w:rFonts w:asciiTheme="majorBidi" w:eastAsiaTheme="minorEastAsia" w:hAnsiTheme="majorBidi" w:cstheme="majorBidi"/>
          <w:kern w:val="24"/>
        </w:rPr>
        <w:t xml:space="preserve">2.punktā. </w:t>
      </w:r>
      <w:r w:rsidR="004B31B0">
        <w:rPr>
          <w:rFonts w:asciiTheme="majorBidi" w:eastAsiaTheme="minorEastAsia" w:hAnsiTheme="majorBidi" w:cstheme="majorBidi"/>
          <w:kern w:val="24"/>
        </w:rPr>
        <w:t>Ja likumdevējs uzskatītu</w:t>
      </w:r>
      <w:r w:rsidR="00A61D05">
        <w:rPr>
          <w:rFonts w:asciiTheme="majorBidi" w:eastAsiaTheme="minorEastAsia" w:hAnsiTheme="majorBidi" w:cstheme="majorBidi"/>
          <w:kern w:val="24"/>
        </w:rPr>
        <w:t xml:space="preserve"> par </w:t>
      </w:r>
      <w:r w:rsidR="004B31B0">
        <w:rPr>
          <w:rFonts w:asciiTheme="majorBidi" w:eastAsiaTheme="minorEastAsia" w:hAnsiTheme="majorBidi" w:cstheme="majorBidi"/>
          <w:kern w:val="24"/>
        </w:rPr>
        <w:t>nepieciešam</w:t>
      </w:r>
      <w:r w:rsidR="00A61D05">
        <w:rPr>
          <w:rFonts w:asciiTheme="majorBidi" w:eastAsiaTheme="minorEastAsia" w:hAnsiTheme="majorBidi" w:cstheme="majorBidi"/>
          <w:kern w:val="24"/>
        </w:rPr>
        <w:t>u</w:t>
      </w:r>
      <w:r w:rsidR="004B31B0">
        <w:rPr>
          <w:rFonts w:asciiTheme="majorBidi" w:eastAsiaTheme="minorEastAsia" w:hAnsiTheme="majorBidi" w:cstheme="majorBidi"/>
          <w:kern w:val="24"/>
        </w:rPr>
        <w:t xml:space="preserve"> </w:t>
      </w:r>
      <w:r w:rsidR="00677C08">
        <w:rPr>
          <w:rFonts w:asciiTheme="majorBidi" w:eastAsiaTheme="minorEastAsia" w:hAnsiTheme="majorBidi" w:cstheme="majorBidi"/>
          <w:kern w:val="24"/>
        </w:rPr>
        <w:t xml:space="preserve">attiecībā uz dāvinājumā saņemtajā nekustamajā īpašumā veiktajiem ieguldījumiem </w:t>
      </w:r>
      <w:r w:rsidR="004B31B0">
        <w:rPr>
          <w:rFonts w:asciiTheme="majorBidi" w:eastAsiaTheme="minorEastAsia" w:hAnsiTheme="majorBidi" w:cstheme="majorBidi"/>
          <w:kern w:val="24"/>
        </w:rPr>
        <w:t>paredzēt īpašu</w:t>
      </w:r>
      <w:r w:rsidR="000504EB">
        <w:rPr>
          <w:rFonts w:asciiTheme="majorBidi" w:eastAsiaTheme="minorEastAsia" w:hAnsiTheme="majorBidi" w:cstheme="majorBidi"/>
          <w:kern w:val="24"/>
        </w:rPr>
        <w:t>,</w:t>
      </w:r>
      <w:r w:rsidR="00A61D05">
        <w:rPr>
          <w:rFonts w:asciiTheme="majorBidi" w:eastAsiaTheme="minorEastAsia" w:hAnsiTheme="majorBidi" w:cstheme="majorBidi"/>
          <w:kern w:val="24"/>
        </w:rPr>
        <w:t xml:space="preserve"> no likuma </w:t>
      </w:r>
      <w:r w:rsidR="00A61D05" w:rsidRPr="006F093E">
        <w:rPr>
          <w:rFonts w:asciiTheme="majorBidi" w:hAnsiTheme="majorBidi" w:cstheme="majorBidi"/>
        </w:rPr>
        <w:t>„</w:t>
      </w:r>
      <w:r w:rsidR="00A61D05">
        <w:rPr>
          <w:rFonts w:eastAsiaTheme="minorEastAsia"/>
          <w:color w:val="000000" w:themeColor="text1"/>
          <w:kern w:val="24"/>
        </w:rPr>
        <w:t>Par iedzīvotāju ienākuma nodokli”</w:t>
      </w:r>
      <w:r w:rsidR="00A61D05" w:rsidRPr="001B0003">
        <w:rPr>
          <w:rFonts w:asciiTheme="majorBidi" w:eastAsiaTheme="minorEastAsia" w:hAnsiTheme="majorBidi" w:cstheme="majorBidi"/>
          <w:kern w:val="24"/>
        </w:rPr>
        <w:t xml:space="preserve"> 11.</w:t>
      </w:r>
      <w:r w:rsidR="00A61D05" w:rsidRPr="001B0003">
        <w:rPr>
          <w:rFonts w:asciiTheme="majorBidi" w:eastAsiaTheme="minorEastAsia" w:hAnsiTheme="majorBidi" w:cstheme="majorBidi"/>
          <w:kern w:val="24"/>
          <w:vertAlign w:val="superscript"/>
        </w:rPr>
        <w:t>9</w:t>
      </w:r>
      <w:r w:rsidR="00A61D05" w:rsidRPr="001B0003">
        <w:rPr>
          <w:rFonts w:asciiTheme="majorBidi" w:eastAsiaTheme="minorEastAsia" w:hAnsiTheme="majorBidi" w:cstheme="majorBidi"/>
          <w:kern w:val="24"/>
        </w:rPr>
        <w:t xml:space="preserve">panta </w:t>
      </w:r>
      <w:r w:rsidR="00A61D05">
        <w:rPr>
          <w:rFonts w:asciiTheme="majorBidi" w:eastAsiaTheme="minorEastAsia" w:hAnsiTheme="majorBidi" w:cstheme="majorBidi"/>
          <w:kern w:val="24"/>
        </w:rPr>
        <w:t xml:space="preserve">pirmajā daļā </w:t>
      </w:r>
      <w:r w:rsidR="005770A1">
        <w:rPr>
          <w:rFonts w:asciiTheme="majorBidi" w:eastAsiaTheme="minorEastAsia" w:hAnsiTheme="majorBidi" w:cstheme="majorBidi"/>
          <w:kern w:val="24"/>
        </w:rPr>
        <w:t>noteiktās</w:t>
      </w:r>
      <w:r w:rsidR="00A61D05">
        <w:rPr>
          <w:rFonts w:asciiTheme="majorBidi" w:eastAsiaTheme="minorEastAsia" w:hAnsiTheme="majorBidi" w:cstheme="majorBidi"/>
          <w:kern w:val="24"/>
        </w:rPr>
        <w:t xml:space="preserve"> </w:t>
      </w:r>
      <w:r w:rsidR="005770A1">
        <w:rPr>
          <w:rFonts w:asciiTheme="majorBidi" w:eastAsiaTheme="minorEastAsia" w:hAnsiTheme="majorBidi" w:cstheme="majorBidi"/>
          <w:kern w:val="24"/>
        </w:rPr>
        <w:t>vispārīgās kārtības atšķirīgu</w:t>
      </w:r>
      <w:r w:rsidR="004B31B0">
        <w:rPr>
          <w:rFonts w:asciiTheme="majorBidi" w:eastAsiaTheme="minorEastAsia" w:hAnsiTheme="majorBidi" w:cstheme="majorBidi"/>
          <w:kern w:val="24"/>
        </w:rPr>
        <w:t xml:space="preserve"> kārtību</w:t>
      </w:r>
      <w:r w:rsidR="00677C08">
        <w:rPr>
          <w:rFonts w:asciiTheme="majorBidi" w:eastAsiaTheme="minorEastAsia" w:hAnsiTheme="majorBidi" w:cstheme="majorBidi"/>
          <w:kern w:val="24"/>
        </w:rPr>
        <w:t xml:space="preserve">, </w:t>
      </w:r>
      <w:r w:rsidR="004B31B0">
        <w:rPr>
          <w:rFonts w:asciiTheme="majorBidi" w:eastAsiaTheme="minorEastAsia" w:hAnsiTheme="majorBidi" w:cstheme="majorBidi"/>
          <w:kern w:val="24"/>
        </w:rPr>
        <w:t xml:space="preserve">tad likumdevējam šis jautājums bija jānoregulē pašam (līdzīgi kā par dāvinājumā saņemtā nekustamā īpašuma iegādes vērtības noteikšanu) vai arī pienācīgi jāpilnvaro Ministru kabinets. </w:t>
      </w:r>
      <w:r w:rsidR="00BA4711">
        <w:rPr>
          <w:rFonts w:asciiTheme="majorBidi" w:eastAsiaTheme="minorEastAsia" w:hAnsiTheme="majorBidi" w:cstheme="majorBidi"/>
          <w:kern w:val="24"/>
        </w:rPr>
        <w:t>Likumdevējs minēto jautājumu pats nav noregulējis un</w:t>
      </w:r>
      <w:r w:rsidR="00A61D05">
        <w:rPr>
          <w:rFonts w:asciiTheme="majorBidi" w:eastAsiaTheme="minorEastAsia" w:hAnsiTheme="majorBidi" w:cstheme="majorBidi"/>
          <w:kern w:val="24"/>
        </w:rPr>
        <w:t>, kā jau minēts,</w:t>
      </w:r>
      <w:r w:rsidR="00BA4711">
        <w:rPr>
          <w:rFonts w:asciiTheme="majorBidi" w:eastAsiaTheme="minorEastAsia" w:hAnsiTheme="majorBidi" w:cstheme="majorBidi"/>
          <w:kern w:val="24"/>
        </w:rPr>
        <w:t xml:space="preserve"> Ministru kabinetu tam </w:t>
      </w:r>
      <w:r w:rsidR="000504EB">
        <w:rPr>
          <w:rFonts w:asciiTheme="majorBidi" w:eastAsiaTheme="minorEastAsia" w:hAnsiTheme="majorBidi" w:cstheme="majorBidi"/>
          <w:kern w:val="24"/>
        </w:rPr>
        <w:t xml:space="preserve">arī </w:t>
      </w:r>
      <w:r w:rsidR="00BA4711">
        <w:rPr>
          <w:rFonts w:asciiTheme="majorBidi" w:eastAsiaTheme="minorEastAsia" w:hAnsiTheme="majorBidi" w:cstheme="majorBidi"/>
          <w:kern w:val="24"/>
        </w:rPr>
        <w:t>nav pilnvarojis.</w:t>
      </w:r>
    </w:p>
    <w:p w14:paraId="0CC8815D" w14:textId="77777777" w:rsidR="006B3D9A" w:rsidRDefault="006B3D9A" w:rsidP="00ED626E">
      <w:pPr>
        <w:shd w:val="clear" w:color="auto" w:fill="FFFFFF"/>
        <w:spacing w:line="276" w:lineRule="auto"/>
        <w:ind w:firstLine="720"/>
        <w:jc w:val="both"/>
        <w:rPr>
          <w:rFonts w:eastAsiaTheme="minorEastAsia"/>
          <w:color w:val="000000" w:themeColor="text1"/>
          <w:kern w:val="24"/>
        </w:rPr>
      </w:pPr>
    </w:p>
    <w:p w14:paraId="093B3456" w14:textId="23337561" w:rsidR="00E55EAD" w:rsidRDefault="00E55EAD"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w:t>
      </w:r>
      <w:r w:rsidR="003E51A8">
        <w:rPr>
          <w:rFonts w:eastAsiaTheme="minorEastAsia"/>
          <w:color w:val="000000" w:themeColor="text1"/>
          <w:kern w:val="24"/>
        </w:rPr>
        <w:t>11</w:t>
      </w:r>
      <w:r>
        <w:rPr>
          <w:rFonts w:eastAsiaTheme="minorEastAsia"/>
          <w:color w:val="000000" w:themeColor="text1"/>
          <w:kern w:val="24"/>
        </w:rPr>
        <w:t>] Finanšu ministrija Senātam sniegtajā viedoklī norādījusi</w:t>
      </w:r>
      <w:r w:rsidR="00DF031E">
        <w:rPr>
          <w:rFonts w:eastAsiaTheme="minorEastAsia"/>
          <w:color w:val="000000" w:themeColor="text1"/>
          <w:kern w:val="24"/>
        </w:rPr>
        <w:t>, ka gadījumā, ja</w:t>
      </w:r>
      <w:r w:rsidR="00AE2291">
        <w:rPr>
          <w:rFonts w:eastAsiaTheme="minorEastAsia"/>
          <w:color w:val="000000" w:themeColor="text1"/>
          <w:kern w:val="24"/>
        </w:rPr>
        <w:t xml:space="preserve">, piemērojot likuma </w:t>
      </w:r>
      <w:r w:rsidR="00AE2291" w:rsidRPr="006F093E">
        <w:rPr>
          <w:rFonts w:asciiTheme="majorBidi" w:hAnsiTheme="majorBidi" w:cstheme="majorBidi"/>
        </w:rPr>
        <w:t>„</w:t>
      </w:r>
      <w:r w:rsidR="00AE2291">
        <w:rPr>
          <w:rFonts w:eastAsiaTheme="minorEastAsia"/>
          <w:color w:val="000000" w:themeColor="text1"/>
          <w:kern w:val="24"/>
        </w:rPr>
        <w:t>Par iedzīvotāju ienākuma nodokli”</w:t>
      </w:r>
      <w:r w:rsidR="00AE2291" w:rsidRPr="001B0003">
        <w:rPr>
          <w:rFonts w:asciiTheme="majorBidi" w:eastAsiaTheme="minorEastAsia" w:hAnsiTheme="majorBidi" w:cstheme="majorBidi"/>
          <w:kern w:val="24"/>
        </w:rPr>
        <w:t xml:space="preserve"> 11.</w:t>
      </w:r>
      <w:r w:rsidR="00AE2291" w:rsidRPr="001B0003">
        <w:rPr>
          <w:rFonts w:asciiTheme="majorBidi" w:eastAsiaTheme="minorEastAsia" w:hAnsiTheme="majorBidi" w:cstheme="majorBidi"/>
          <w:kern w:val="24"/>
          <w:vertAlign w:val="superscript"/>
        </w:rPr>
        <w:t>9</w:t>
      </w:r>
      <w:r w:rsidR="00AE2291" w:rsidRPr="001B0003">
        <w:rPr>
          <w:rFonts w:asciiTheme="majorBidi" w:eastAsiaTheme="minorEastAsia" w:hAnsiTheme="majorBidi" w:cstheme="majorBidi"/>
          <w:kern w:val="24"/>
        </w:rPr>
        <w:t>panta</w:t>
      </w:r>
      <w:r w:rsidR="00AE2291">
        <w:rPr>
          <w:rFonts w:asciiTheme="majorBidi" w:eastAsiaTheme="minorEastAsia" w:hAnsiTheme="majorBidi" w:cstheme="majorBidi"/>
          <w:kern w:val="24"/>
        </w:rPr>
        <w:t xml:space="preserve"> 7.</w:t>
      </w:r>
      <w:r w:rsidR="00AE2291" w:rsidRPr="00DA1096">
        <w:rPr>
          <w:rFonts w:asciiTheme="majorBidi" w:eastAsiaTheme="minorEastAsia" w:hAnsiTheme="majorBidi" w:cstheme="majorBidi"/>
          <w:kern w:val="24"/>
          <w:vertAlign w:val="superscript"/>
        </w:rPr>
        <w:t>3</w:t>
      </w:r>
      <w:r w:rsidR="00AE2291">
        <w:rPr>
          <w:rFonts w:asciiTheme="majorBidi" w:eastAsiaTheme="minorEastAsia" w:hAnsiTheme="majorBidi" w:cstheme="majorBidi"/>
          <w:kern w:val="24"/>
        </w:rPr>
        <w:t>daļas 3.punktu, tiek konstatēts, ka</w:t>
      </w:r>
      <w:r w:rsidR="00DF031E">
        <w:rPr>
          <w:rFonts w:eastAsiaTheme="minorEastAsia"/>
          <w:color w:val="000000" w:themeColor="text1"/>
          <w:kern w:val="24"/>
        </w:rPr>
        <w:t xml:space="preserve"> nodokļa maksātājs ir veicis būtiskus ieguldījumus nekustamajā īpašumā un nodokļa maksātāja rīcībā ir attaisnojuma dokumenti, kas pamato šo ieguldījumu veikšanu, </w:t>
      </w:r>
      <w:r w:rsidR="00AE2291">
        <w:rPr>
          <w:rFonts w:eastAsiaTheme="minorEastAsia"/>
          <w:color w:val="000000" w:themeColor="text1"/>
          <w:kern w:val="24"/>
        </w:rPr>
        <w:t xml:space="preserve">tad </w:t>
      </w:r>
      <w:r w:rsidR="00DF031E">
        <w:rPr>
          <w:rFonts w:eastAsiaTheme="minorEastAsia"/>
          <w:color w:val="000000" w:themeColor="text1"/>
          <w:kern w:val="24"/>
        </w:rPr>
        <w:t>nodokļa maksātājs, aprēķinot kapitāla pieaugumu, var ņemt vērā faktiskos izdevumus par ieguldījumu veikšanu nekustamajā īpašumā, bet š</w:t>
      </w:r>
      <w:r w:rsidR="00AE2291">
        <w:rPr>
          <w:rFonts w:eastAsiaTheme="minorEastAsia"/>
          <w:color w:val="000000" w:themeColor="text1"/>
          <w:kern w:val="24"/>
        </w:rPr>
        <w:t>ād</w:t>
      </w:r>
      <w:r w:rsidR="00DF031E">
        <w:rPr>
          <w:rFonts w:eastAsiaTheme="minorEastAsia"/>
          <w:color w:val="000000" w:themeColor="text1"/>
          <w:kern w:val="24"/>
        </w:rPr>
        <w:t>ā gadījumā nodokļa maksātājs nevar ņemt vērā nosacīto nekustamā īpašuma iegādes vērtību jeb nekustamā īpašuma kadastrālo vērtību</w:t>
      </w:r>
      <w:r w:rsidR="00146BEF">
        <w:rPr>
          <w:rFonts w:eastAsiaTheme="minorEastAsia"/>
          <w:color w:val="000000" w:themeColor="text1"/>
          <w:kern w:val="24"/>
        </w:rPr>
        <w:t>. Citiem vārdiem sakot, Finanšu ministrijas ieskatā</w:t>
      </w:r>
      <w:r w:rsidR="00DF031E">
        <w:rPr>
          <w:rFonts w:eastAsiaTheme="minorEastAsia"/>
          <w:color w:val="000000" w:themeColor="text1"/>
          <w:kern w:val="24"/>
        </w:rPr>
        <w:t xml:space="preserve"> nevar summēt nekustamā īpašuma iegādes vērtību ar faktiskajiem izdevumiem par nekustamajā īpašumā veiktajiem ieguldījumiem.</w:t>
      </w:r>
    </w:p>
    <w:p w14:paraId="6958F082" w14:textId="08A46336" w:rsidR="005316AE" w:rsidRDefault="005770A1"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Senāts šādam viedoklim nepiekrīt, jo šāda ar iedzīvotāju ienākuma nodokli apliekamā kapitāla pieauguma noteikšana</w:t>
      </w:r>
      <w:r w:rsidR="00DA1096">
        <w:rPr>
          <w:rFonts w:eastAsiaTheme="minorEastAsia"/>
          <w:color w:val="000000" w:themeColor="text1"/>
          <w:kern w:val="24"/>
        </w:rPr>
        <w:t>s kārtība</w:t>
      </w:r>
      <w:r>
        <w:rPr>
          <w:rFonts w:eastAsiaTheme="minorEastAsia"/>
          <w:color w:val="000000" w:themeColor="text1"/>
          <w:kern w:val="24"/>
        </w:rPr>
        <w:t xml:space="preserve"> neizriet no likuma </w:t>
      </w:r>
      <w:r w:rsidR="00DA1096" w:rsidRPr="006F093E">
        <w:rPr>
          <w:rFonts w:asciiTheme="majorBidi" w:hAnsiTheme="majorBidi" w:cstheme="majorBidi"/>
        </w:rPr>
        <w:t>„</w:t>
      </w:r>
      <w:r w:rsidR="00DA1096">
        <w:rPr>
          <w:rFonts w:eastAsiaTheme="minorEastAsia"/>
          <w:color w:val="000000" w:themeColor="text1"/>
          <w:kern w:val="24"/>
        </w:rPr>
        <w:t>Par iedzīvotāju ienākuma nodokli”</w:t>
      </w:r>
      <w:r w:rsidR="00DA1096" w:rsidRPr="001B0003">
        <w:rPr>
          <w:rFonts w:asciiTheme="majorBidi" w:eastAsiaTheme="minorEastAsia" w:hAnsiTheme="majorBidi" w:cstheme="majorBidi"/>
          <w:kern w:val="24"/>
        </w:rPr>
        <w:t xml:space="preserve"> 11.</w:t>
      </w:r>
      <w:r w:rsidR="00DA1096" w:rsidRPr="001B0003">
        <w:rPr>
          <w:rFonts w:asciiTheme="majorBidi" w:eastAsiaTheme="minorEastAsia" w:hAnsiTheme="majorBidi" w:cstheme="majorBidi"/>
          <w:kern w:val="24"/>
          <w:vertAlign w:val="superscript"/>
        </w:rPr>
        <w:t>9</w:t>
      </w:r>
      <w:r w:rsidR="00DA1096" w:rsidRPr="001B0003">
        <w:rPr>
          <w:rFonts w:asciiTheme="majorBidi" w:eastAsiaTheme="minorEastAsia" w:hAnsiTheme="majorBidi" w:cstheme="majorBidi"/>
          <w:kern w:val="24"/>
        </w:rPr>
        <w:t>panta</w:t>
      </w:r>
      <w:r w:rsidR="00DA1096">
        <w:rPr>
          <w:rFonts w:asciiTheme="majorBidi" w:eastAsiaTheme="minorEastAsia" w:hAnsiTheme="majorBidi" w:cstheme="majorBidi"/>
          <w:kern w:val="24"/>
        </w:rPr>
        <w:t xml:space="preserve"> normām. I</w:t>
      </w:r>
      <w:r w:rsidR="00146BEF">
        <w:rPr>
          <w:rFonts w:eastAsiaTheme="minorEastAsia"/>
          <w:color w:val="000000" w:themeColor="text1"/>
          <w:kern w:val="24"/>
        </w:rPr>
        <w:t xml:space="preserve">ekams </w:t>
      </w:r>
      <w:r w:rsidR="00945539">
        <w:rPr>
          <w:rFonts w:eastAsiaTheme="minorEastAsia"/>
          <w:color w:val="000000" w:themeColor="text1"/>
          <w:kern w:val="24"/>
        </w:rPr>
        <w:t>ar atbilstošā kārtībā pieņemtu tiesisko regulējumu netiek noregulēts</w:t>
      </w:r>
      <w:r w:rsidR="00DA1096">
        <w:rPr>
          <w:rFonts w:eastAsiaTheme="minorEastAsia"/>
          <w:color w:val="000000" w:themeColor="text1"/>
          <w:kern w:val="24"/>
        </w:rPr>
        <w:t xml:space="preserve">, ka likuma </w:t>
      </w:r>
      <w:r w:rsidR="00DA1096" w:rsidRPr="006F093E">
        <w:rPr>
          <w:rFonts w:asciiTheme="majorBidi" w:hAnsiTheme="majorBidi" w:cstheme="majorBidi"/>
        </w:rPr>
        <w:t>„</w:t>
      </w:r>
      <w:r w:rsidR="00DA1096">
        <w:rPr>
          <w:rFonts w:eastAsiaTheme="minorEastAsia"/>
          <w:color w:val="000000" w:themeColor="text1"/>
          <w:kern w:val="24"/>
        </w:rPr>
        <w:t>Par iedzīvotāju ienākuma nodokli”</w:t>
      </w:r>
      <w:r w:rsidR="00DA1096" w:rsidRPr="001B0003">
        <w:rPr>
          <w:rFonts w:asciiTheme="majorBidi" w:eastAsiaTheme="minorEastAsia" w:hAnsiTheme="majorBidi" w:cstheme="majorBidi"/>
          <w:kern w:val="24"/>
        </w:rPr>
        <w:t xml:space="preserve"> 11.</w:t>
      </w:r>
      <w:r w:rsidR="00DA1096" w:rsidRPr="001B0003">
        <w:rPr>
          <w:rFonts w:asciiTheme="majorBidi" w:eastAsiaTheme="minorEastAsia" w:hAnsiTheme="majorBidi" w:cstheme="majorBidi"/>
          <w:kern w:val="24"/>
          <w:vertAlign w:val="superscript"/>
        </w:rPr>
        <w:t>9</w:t>
      </w:r>
      <w:r w:rsidR="00DA1096" w:rsidRPr="001B0003">
        <w:rPr>
          <w:rFonts w:asciiTheme="majorBidi" w:eastAsiaTheme="minorEastAsia" w:hAnsiTheme="majorBidi" w:cstheme="majorBidi"/>
          <w:kern w:val="24"/>
        </w:rPr>
        <w:t>panta</w:t>
      </w:r>
      <w:r w:rsidR="00DA1096">
        <w:rPr>
          <w:rFonts w:asciiTheme="majorBidi" w:eastAsiaTheme="minorEastAsia" w:hAnsiTheme="majorBidi" w:cstheme="majorBidi"/>
          <w:kern w:val="24"/>
        </w:rPr>
        <w:t xml:space="preserve"> 7.</w:t>
      </w:r>
      <w:r w:rsidR="00DA1096" w:rsidRPr="00DA1096">
        <w:rPr>
          <w:rFonts w:asciiTheme="majorBidi" w:eastAsiaTheme="minorEastAsia" w:hAnsiTheme="majorBidi" w:cstheme="majorBidi"/>
          <w:kern w:val="24"/>
          <w:vertAlign w:val="superscript"/>
        </w:rPr>
        <w:t>3</w:t>
      </w:r>
      <w:r w:rsidR="00DA1096">
        <w:rPr>
          <w:rFonts w:asciiTheme="majorBidi" w:eastAsiaTheme="minorEastAsia" w:hAnsiTheme="majorBidi" w:cstheme="majorBidi"/>
          <w:kern w:val="24"/>
        </w:rPr>
        <w:t>daļas 3.punktā</w:t>
      </w:r>
      <w:r w:rsidR="00677C08">
        <w:rPr>
          <w:rFonts w:asciiTheme="majorBidi" w:eastAsiaTheme="minorEastAsia" w:hAnsiTheme="majorBidi" w:cstheme="majorBidi"/>
          <w:kern w:val="24"/>
        </w:rPr>
        <w:t xml:space="preserve"> </w:t>
      </w:r>
      <w:r w:rsidR="00DA1096">
        <w:rPr>
          <w:rFonts w:asciiTheme="majorBidi" w:eastAsiaTheme="minorEastAsia" w:hAnsiTheme="majorBidi" w:cstheme="majorBidi"/>
          <w:kern w:val="24"/>
        </w:rPr>
        <w:t xml:space="preserve">paredzētajā gadījumā </w:t>
      </w:r>
      <w:r w:rsidR="00146BEF">
        <w:rPr>
          <w:rFonts w:eastAsiaTheme="minorEastAsia"/>
          <w:color w:val="000000" w:themeColor="text1"/>
          <w:kern w:val="24"/>
        </w:rPr>
        <w:t>nekustamajā īpašumā veikto ieguldījumu</w:t>
      </w:r>
      <w:r w:rsidR="00DA1096">
        <w:rPr>
          <w:rFonts w:eastAsiaTheme="minorEastAsia"/>
          <w:color w:val="000000" w:themeColor="text1"/>
          <w:kern w:val="24"/>
        </w:rPr>
        <w:t xml:space="preserve"> vērtība netiek ņemta vērā </w:t>
      </w:r>
      <w:r w:rsidR="00146BEF">
        <w:rPr>
          <w:rFonts w:eastAsiaTheme="minorEastAsia"/>
          <w:color w:val="000000" w:themeColor="text1"/>
          <w:kern w:val="24"/>
        </w:rPr>
        <w:t>kapitāla pieauguma noteikšanā</w:t>
      </w:r>
      <w:r w:rsidR="00DA1096">
        <w:rPr>
          <w:rFonts w:eastAsiaTheme="minorEastAsia"/>
          <w:color w:val="000000" w:themeColor="text1"/>
          <w:kern w:val="24"/>
        </w:rPr>
        <w:t xml:space="preserve">, </w:t>
      </w:r>
      <w:r w:rsidR="00945539">
        <w:rPr>
          <w:rFonts w:eastAsiaTheme="minorEastAsia"/>
          <w:color w:val="000000" w:themeColor="text1"/>
          <w:kern w:val="24"/>
        </w:rPr>
        <w:t>nodokļa maksātājam kapitāla pieauguma noteikšanā ir tiesības ņemt vērā</w:t>
      </w:r>
      <w:r w:rsidR="00DA1096">
        <w:rPr>
          <w:rFonts w:eastAsiaTheme="minorEastAsia"/>
          <w:color w:val="000000" w:themeColor="text1"/>
          <w:kern w:val="24"/>
        </w:rPr>
        <w:t xml:space="preserve"> abas</w:t>
      </w:r>
      <w:r w:rsidR="00945539">
        <w:rPr>
          <w:rFonts w:eastAsiaTheme="minorEastAsia"/>
          <w:color w:val="000000" w:themeColor="text1"/>
          <w:kern w:val="24"/>
        </w:rPr>
        <w:t xml:space="preserve"> </w:t>
      </w:r>
      <w:r w:rsidR="00146BEF">
        <w:rPr>
          <w:rFonts w:eastAsiaTheme="minorEastAsia"/>
          <w:color w:val="000000" w:themeColor="text1"/>
          <w:kern w:val="24"/>
        </w:rPr>
        <w:t xml:space="preserve">likuma </w:t>
      </w:r>
      <w:r w:rsidR="00146BEF" w:rsidRPr="006F093E">
        <w:rPr>
          <w:rFonts w:asciiTheme="majorBidi" w:hAnsiTheme="majorBidi" w:cstheme="majorBidi"/>
        </w:rPr>
        <w:t>„</w:t>
      </w:r>
      <w:r w:rsidR="00146BEF">
        <w:rPr>
          <w:rFonts w:eastAsiaTheme="minorEastAsia"/>
          <w:color w:val="000000" w:themeColor="text1"/>
          <w:kern w:val="24"/>
        </w:rPr>
        <w:t>Par iedzīvotāju ienākuma nodokli” 11.</w:t>
      </w:r>
      <w:r w:rsidR="00146BEF" w:rsidRPr="00146BEF">
        <w:rPr>
          <w:rFonts w:eastAsiaTheme="minorEastAsia"/>
          <w:color w:val="000000" w:themeColor="text1"/>
          <w:kern w:val="24"/>
          <w:vertAlign w:val="superscript"/>
        </w:rPr>
        <w:t>9</w:t>
      </w:r>
      <w:r w:rsidR="00146BEF">
        <w:rPr>
          <w:rFonts w:eastAsiaTheme="minorEastAsia"/>
          <w:color w:val="000000" w:themeColor="text1"/>
          <w:kern w:val="24"/>
        </w:rPr>
        <w:t>panta pirmaj</w:t>
      </w:r>
      <w:r w:rsidR="00945539">
        <w:rPr>
          <w:rFonts w:eastAsiaTheme="minorEastAsia"/>
          <w:color w:val="000000" w:themeColor="text1"/>
          <w:kern w:val="24"/>
        </w:rPr>
        <w:t xml:space="preserve">ā daļā paredzētās izdevumu pozīcijas, proti, gan nekustamā īpašuma iegādes vērtību, gan nekustamajā īpašumā veikto ieguldījumu vērtību, </w:t>
      </w:r>
      <w:r w:rsidR="00DF031E">
        <w:rPr>
          <w:rFonts w:eastAsiaTheme="minorEastAsia"/>
          <w:color w:val="000000" w:themeColor="text1"/>
          <w:kern w:val="24"/>
        </w:rPr>
        <w:t>to</w:t>
      </w:r>
      <w:r w:rsidR="00945539">
        <w:rPr>
          <w:rFonts w:eastAsiaTheme="minorEastAsia"/>
          <w:color w:val="000000" w:themeColor="text1"/>
          <w:kern w:val="24"/>
        </w:rPr>
        <w:t xml:space="preserve"> esību un</w:t>
      </w:r>
      <w:r w:rsidR="00DF031E">
        <w:rPr>
          <w:rFonts w:eastAsiaTheme="minorEastAsia"/>
          <w:color w:val="000000" w:themeColor="text1"/>
          <w:kern w:val="24"/>
        </w:rPr>
        <w:t xml:space="preserve"> apmēru pamatojot un pierādot </w:t>
      </w:r>
      <w:r w:rsidR="00945539">
        <w:rPr>
          <w:rFonts w:eastAsiaTheme="minorEastAsia"/>
          <w:color w:val="000000" w:themeColor="text1"/>
          <w:kern w:val="24"/>
        </w:rPr>
        <w:t xml:space="preserve">likuma </w:t>
      </w:r>
      <w:r w:rsidR="00DF031E">
        <w:rPr>
          <w:rFonts w:eastAsiaTheme="minorEastAsia"/>
          <w:color w:val="000000" w:themeColor="text1"/>
          <w:kern w:val="24"/>
        </w:rPr>
        <w:t>11.</w:t>
      </w:r>
      <w:r w:rsidR="00DF031E" w:rsidRPr="00DA1096">
        <w:rPr>
          <w:rFonts w:eastAsiaTheme="minorEastAsia"/>
          <w:color w:val="000000" w:themeColor="text1"/>
          <w:kern w:val="24"/>
          <w:vertAlign w:val="superscript"/>
        </w:rPr>
        <w:t>9</w:t>
      </w:r>
      <w:r w:rsidR="00DF031E">
        <w:rPr>
          <w:rFonts w:eastAsiaTheme="minorEastAsia"/>
          <w:color w:val="000000" w:themeColor="text1"/>
          <w:kern w:val="24"/>
        </w:rPr>
        <w:t>panta 5.</w:t>
      </w:r>
      <w:r w:rsidR="00DF031E" w:rsidRPr="00DA1096">
        <w:rPr>
          <w:rFonts w:eastAsiaTheme="minorEastAsia"/>
          <w:color w:val="000000" w:themeColor="text1"/>
          <w:kern w:val="24"/>
          <w:vertAlign w:val="superscript"/>
        </w:rPr>
        <w:t>1</w:t>
      </w:r>
      <w:r w:rsidR="00DF031E">
        <w:rPr>
          <w:rFonts w:eastAsiaTheme="minorEastAsia"/>
          <w:color w:val="000000" w:themeColor="text1"/>
          <w:kern w:val="24"/>
        </w:rPr>
        <w:t>daļā noteiktajā kārtībā.</w:t>
      </w:r>
    </w:p>
    <w:p w14:paraId="4E14D6F1" w14:textId="77777777" w:rsidR="00D50EEC" w:rsidRDefault="00D50EEC" w:rsidP="00ED626E">
      <w:pPr>
        <w:shd w:val="clear" w:color="auto" w:fill="FFFFFF"/>
        <w:spacing w:line="276" w:lineRule="auto"/>
        <w:ind w:firstLine="720"/>
        <w:jc w:val="both"/>
        <w:rPr>
          <w:rFonts w:eastAsiaTheme="minorEastAsia"/>
          <w:color w:val="000000" w:themeColor="text1"/>
          <w:kern w:val="24"/>
        </w:rPr>
      </w:pPr>
    </w:p>
    <w:p w14:paraId="1AAD31B8" w14:textId="6FA50EA2" w:rsidR="00D50EEC" w:rsidRDefault="00D50EEC"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w:t>
      </w:r>
      <w:r w:rsidR="003E51A8">
        <w:rPr>
          <w:rFonts w:eastAsiaTheme="minorEastAsia"/>
          <w:color w:val="000000" w:themeColor="text1"/>
          <w:kern w:val="24"/>
        </w:rPr>
        <w:t>12</w:t>
      </w:r>
      <w:r>
        <w:rPr>
          <w:rFonts w:eastAsiaTheme="minorEastAsia"/>
          <w:color w:val="000000" w:themeColor="text1"/>
          <w:kern w:val="24"/>
        </w:rPr>
        <w:t>] </w:t>
      </w:r>
      <w:r w:rsidR="00AE2291">
        <w:rPr>
          <w:rFonts w:eastAsiaTheme="minorEastAsia"/>
          <w:color w:val="000000" w:themeColor="text1"/>
          <w:kern w:val="24"/>
        </w:rPr>
        <w:t>Apkopojot minēto, Senāts atzīts, ka apgabaltiesa nepamatoti piemēroja noteikumu Nr. 899 85.</w:t>
      </w:r>
      <w:r w:rsidR="00AE2291" w:rsidRPr="00AE2291">
        <w:rPr>
          <w:rFonts w:eastAsiaTheme="minorEastAsia"/>
          <w:color w:val="000000" w:themeColor="text1"/>
          <w:kern w:val="24"/>
          <w:vertAlign w:val="superscript"/>
        </w:rPr>
        <w:t>1</w:t>
      </w:r>
      <w:r w:rsidR="00AE2291">
        <w:rPr>
          <w:rFonts w:eastAsiaTheme="minorEastAsia"/>
          <w:color w:val="000000" w:themeColor="text1"/>
          <w:kern w:val="24"/>
        </w:rPr>
        <w:t xml:space="preserve">punktu un liedza pieteicējam kapitāla pieauguma aprēķināšanā ņemt vērā nekustamajā īpašumā veikto ieguldījumu vērtību. Tāpēc </w:t>
      </w:r>
      <w:r w:rsidR="00EE7B05">
        <w:rPr>
          <w:rFonts w:eastAsiaTheme="minorEastAsia"/>
          <w:color w:val="000000" w:themeColor="text1"/>
          <w:kern w:val="24"/>
        </w:rPr>
        <w:t>apgabaltiesa</w:t>
      </w:r>
      <w:r>
        <w:rPr>
          <w:rFonts w:eastAsiaTheme="minorEastAsia"/>
          <w:color w:val="000000" w:themeColor="text1"/>
          <w:kern w:val="24"/>
        </w:rPr>
        <w:t>s spriedums ir atceļams un lieta nododama jaunai izskatīšanai.</w:t>
      </w:r>
    </w:p>
    <w:p w14:paraId="3E3EE07B" w14:textId="77777777" w:rsidR="00DF031E" w:rsidRDefault="00DF031E" w:rsidP="00ED626E">
      <w:pPr>
        <w:shd w:val="clear" w:color="auto" w:fill="FFFFFF"/>
        <w:spacing w:line="276" w:lineRule="auto"/>
        <w:ind w:firstLine="720"/>
        <w:jc w:val="both"/>
        <w:rPr>
          <w:rFonts w:eastAsiaTheme="minorEastAsia"/>
          <w:color w:val="000000" w:themeColor="text1"/>
          <w:kern w:val="24"/>
        </w:rPr>
      </w:pPr>
    </w:p>
    <w:p w14:paraId="58E6885D" w14:textId="7653D0EE" w:rsidR="00130EC2" w:rsidRDefault="00DF031E" w:rsidP="00ED626E">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w:t>
      </w:r>
      <w:r w:rsidR="003E51A8">
        <w:rPr>
          <w:rFonts w:eastAsiaTheme="minorEastAsia"/>
          <w:color w:val="000000" w:themeColor="text1"/>
          <w:kern w:val="24"/>
        </w:rPr>
        <w:t>13</w:t>
      </w:r>
      <w:r>
        <w:rPr>
          <w:rFonts w:eastAsiaTheme="minorEastAsia"/>
          <w:color w:val="000000" w:themeColor="text1"/>
          <w:kern w:val="24"/>
        </w:rPr>
        <w:t>] </w:t>
      </w:r>
      <w:r w:rsidR="00945539">
        <w:rPr>
          <w:rFonts w:eastAsiaTheme="minorEastAsia"/>
          <w:color w:val="000000" w:themeColor="text1"/>
          <w:kern w:val="24"/>
        </w:rPr>
        <w:t>Senāts</w:t>
      </w:r>
      <w:r w:rsidR="00D50EEC">
        <w:rPr>
          <w:rFonts w:eastAsiaTheme="minorEastAsia"/>
          <w:color w:val="000000" w:themeColor="text1"/>
          <w:kern w:val="24"/>
        </w:rPr>
        <w:t xml:space="preserve"> papildus norāda, ka ir pamatots tiesas secinājums, </w:t>
      </w:r>
      <w:r w:rsidR="00945539">
        <w:rPr>
          <w:rFonts w:eastAsiaTheme="minorEastAsia"/>
          <w:color w:val="000000" w:themeColor="text1"/>
          <w:kern w:val="24"/>
        </w:rPr>
        <w:t xml:space="preserve">ka nav pieļaujams, ka nodokļa aprēķināšanā divas reizes tiek ņemta vērā viena un tā pati vērtība. Tomēr </w:t>
      </w:r>
      <w:r w:rsidR="00D50EEC">
        <w:rPr>
          <w:rFonts w:eastAsiaTheme="minorEastAsia"/>
          <w:color w:val="000000" w:themeColor="text1"/>
          <w:kern w:val="24"/>
        </w:rPr>
        <w:t xml:space="preserve">pretēji </w:t>
      </w:r>
      <w:r w:rsidR="00D50EEC">
        <w:rPr>
          <w:rFonts w:eastAsiaTheme="minorEastAsia"/>
          <w:color w:val="000000" w:themeColor="text1"/>
          <w:kern w:val="24"/>
        </w:rPr>
        <w:lastRenderedPageBreak/>
        <w:t xml:space="preserve">tiesas viedoklim </w:t>
      </w:r>
      <w:r w:rsidR="00945539">
        <w:rPr>
          <w:rFonts w:eastAsiaTheme="minorEastAsia"/>
          <w:color w:val="000000" w:themeColor="text1"/>
          <w:kern w:val="24"/>
        </w:rPr>
        <w:t xml:space="preserve">pats par sevi apstāklis, ka kapitāla pieauguma aprēķināšanā tiek ņemta vērā nekustamā īpašuma kadastrālā vērtība, nenozīmē, ka </w:t>
      </w:r>
      <w:r w:rsidR="00EE7B05">
        <w:rPr>
          <w:rFonts w:eastAsiaTheme="minorEastAsia"/>
          <w:color w:val="000000" w:themeColor="text1"/>
          <w:kern w:val="24"/>
        </w:rPr>
        <w:t xml:space="preserve">tādējādi tiek ņemta vērā arī </w:t>
      </w:r>
      <w:r w:rsidR="00945539">
        <w:rPr>
          <w:rFonts w:eastAsiaTheme="minorEastAsia"/>
          <w:color w:val="000000" w:themeColor="text1"/>
          <w:kern w:val="24"/>
        </w:rPr>
        <w:t xml:space="preserve">nekustamajā īpašumā veikto ieguldījumu vērtība. Tā tas </w:t>
      </w:r>
      <w:r w:rsidR="00EE7B05">
        <w:rPr>
          <w:rFonts w:eastAsiaTheme="minorEastAsia"/>
          <w:color w:val="000000" w:themeColor="text1"/>
          <w:kern w:val="24"/>
        </w:rPr>
        <w:t>būtu</w:t>
      </w:r>
      <w:r w:rsidR="00945539">
        <w:rPr>
          <w:rFonts w:eastAsiaTheme="minorEastAsia"/>
          <w:color w:val="000000" w:themeColor="text1"/>
          <w:kern w:val="24"/>
        </w:rPr>
        <w:t>, ja nodokļa maksātājs pēc ieguldījumu veikšanas nekustamajā īpašumā likumā noteiktajā kārtībā aktualizē</w:t>
      </w:r>
      <w:r w:rsidR="00EE7B05">
        <w:rPr>
          <w:rFonts w:eastAsiaTheme="minorEastAsia"/>
          <w:color w:val="000000" w:themeColor="text1"/>
          <w:kern w:val="24"/>
        </w:rPr>
        <w:t>tu</w:t>
      </w:r>
      <w:r w:rsidR="00945539">
        <w:rPr>
          <w:rFonts w:eastAsiaTheme="minorEastAsia"/>
          <w:color w:val="000000" w:themeColor="text1"/>
          <w:kern w:val="24"/>
        </w:rPr>
        <w:t xml:space="preserve"> šā nekustamā īpašuma kadastrālo vērtību. Senāts piekrīt Finanšu ministrijai, ka šādā gadījumā </w:t>
      </w:r>
      <w:r w:rsidR="00D50EEC">
        <w:rPr>
          <w:rFonts w:eastAsiaTheme="minorEastAsia"/>
          <w:color w:val="000000" w:themeColor="text1"/>
          <w:kern w:val="24"/>
        </w:rPr>
        <w:t>nekustamajā īpašumā veikt</w:t>
      </w:r>
      <w:r w:rsidR="00EE7B05">
        <w:rPr>
          <w:rFonts w:eastAsiaTheme="minorEastAsia"/>
          <w:color w:val="000000" w:themeColor="text1"/>
          <w:kern w:val="24"/>
        </w:rPr>
        <w:t>ie</w:t>
      </w:r>
      <w:r w:rsidR="00D50EEC">
        <w:rPr>
          <w:rFonts w:eastAsiaTheme="minorEastAsia"/>
          <w:color w:val="000000" w:themeColor="text1"/>
          <w:kern w:val="24"/>
        </w:rPr>
        <w:t xml:space="preserve"> ieguldījum</w:t>
      </w:r>
      <w:r w:rsidR="00EE7B05">
        <w:rPr>
          <w:rFonts w:eastAsiaTheme="minorEastAsia"/>
          <w:color w:val="000000" w:themeColor="text1"/>
          <w:kern w:val="24"/>
        </w:rPr>
        <w:t xml:space="preserve">i tiktu atspoguļoti </w:t>
      </w:r>
      <w:r w:rsidR="00D50EEC">
        <w:rPr>
          <w:rFonts w:eastAsiaTheme="minorEastAsia"/>
          <w:color w:val="000000" w:themeColor="text1"/>
          <w:kern w:val="24"/>
        </w:rPr>
        <w:t xml:space="preserve">nekustamā īpašuma kadastrālajā vērtībā. </w:t>
      </w:r>
      <w:r w:rsidR="00130EC2">
        <w:rPr>
          <w:rFonts w:eastAsiaTheme="minorEastAsia"/>
          <w:color w:val="000000" w:themeColor="text1"/>
          <w:kern w:val="24"/>
        </w:rPr>
        <w:t xml:space="preserve">Tāpēc apgabaltiesai, izskatot lietu no jauna, jāpārbauda ne vien tas, vai pieteicējs ir pierādījis nekustamajā īpašumā veiktos ieguldījumus un to apmēru, bet arī tas, vai pieteicējs pēc nekustamajā īpašumā veiktajiem ieguldījumiem nav aktualizējis nekustamā īpašuma </w:t>
      </w:r>
      <w:r w:rsidR="00EE7B05">
        <w:rPr>
          <w:rFonts w:eastAsiaTheme="minorEastAsia"/>
          <w:color w:val="000000" w:themeColor="text1"/>
          <w:kern w:val="24"/>
        </w:rPr>
        <w:t xml:space="preserve">kadastrālo </w:t>
      </w:r>
      <w:r w:rsidR="00130EC2">
        <w:rPr>
          <w:rFonts w:eastAsiaTheme="minorEastAsia"/>
          <w:color w:val="000000" w:themeColor="text1"/>
          <w:kern w:val="24"/>
        </w:rPr>
        <w:t xml:space="preserve">vērtību. Ja tas tā ir, tad nekustamajā īpašumā veikto ieguldījumu </w:t>
      </w:r>
      <w:r w:rsidR="00EE7B05">
        <w:rPr>
          <w:rFonts w:eastAsiaTheme="minorEastAsia"/>
          <w:color w:val="000000" w:themeColor="text1"/>
          <w:kern w:val="24"/>
        </w:rPr>
        <w:t>vērtība</w:t>
      </w:r>
      <w:r w:rsidR="00130EC2">
        <w:rPr>
          <w:rFonts w:eastAsiaTheme="minorEastAsia"/>
          <w:color w:val="000000" w:themeColor="text1"/>
          <w:kern w:val="24"/>
        </w:rPr>
        <w:t xml:space="preserve"> kapitāla pieauguma noteikšanā nav ņemam</w:t>
      </w:r>
      <w:r w:rsidR="00AE2291">
        <w:rPr>
          <w:rFonts w:eastAsiaTheme="minorEastAsia"/>
          <w:color w:val="000000" w:themeColor="text1"/>
          <w:kern w:val="24"/>
        </w:rPr>
        <w:t>a</w:t>
      </w:r>
      <w:r w:rsidR="00130EC2">
        <w:rPr>
          <w:rFonts w:eastAsiaTheme="minorEastAsia"/>
          <w:color w:val="000000" w:themeColor="text1"/>
          <w:kern w:val="24"/>
        </w:rPr>
        <w:t xml:space="preserve"> vērā.</w:t>
      </w:r>
    </w:p>
    <w:p w14:paraId="5041252B" w14:textId="77777777" w:rsidR="005F1CB3" w:rsidRDefault="005F1CB3" w:rsidP="00ED626E">
      <w:pPr>
        <w:shd w:val="clear" w:color="auto" w:fill="FFFFFF"/>
        <w:spacing w:line="276" w:lineRule="auto"/>
        <w:ind w:firstLine="720"/>
        <w:jc w:val="both"/>
        <w:rPr>
          <w:rFonts w:eastAsiaTheme="minorEastAsia"/>
          <w:color w:val="000000" w:themeColor="text1"/>
          <w:kern w:val="24"/>
        </w:rPr>
      </w:pPr>
    </w:p>
    <w:p w14:paraId="50A0E30F" w14:textId="77777777" w:rsidR="005F1CB3" w:rsidRDefault="005F1CB3" w:rsidP="00ED626E">
      <w:pPr>
        <w:shd w:val="clear" w:color="auto" w:fill="FFFFFF"/>
        <w:spacing w:line="276" w:lineRule="auto"/>
        <w:jc w:val="center"/>
        <w:rPr>
          <w:b/>
        </w:rPr>
      </w:pPr>
      <w:r w:rsidRPr="00847F44">
        <w:rPr>
          <w:b/>
        </w:rPr>
        <w:t>Rezolutīvā daļa</w:t>
      </w:r>
    </w:p>
    <w:p w14:paraId="473386B3" w14:textId="77777777" w:rsidR="005F1CB3" w:rsidRPr="00052494" w:rsidRDefault="005F1CB3" w:rsidP="00ED626E">
      <w:pPr>
        <w:shd w:val="clear" w:color="auto" w:fill="FFFFFF"/>
        <w:spacing w:line="276" w:lineRule="auto"/>
        <w:ind w:firstLine="720"/>
        <w:rPr>
          <w:bCs/>
        </w:rPr>
      </w:pPr>
    </w:p>
    <w:p w14:paraId="6D273E1D" w14:textId="6B8CB3A7" w:rsidR="005F1CB3" w:rsidRPr="005F1CB3" w:rsidRDefault="005F1CB3" w:rsidP="00ED626E">
      <w:pPr>
        <w:spacing w:line="276" w:lineRule="auto"/>
        <w:ind w:firstLine="720"/>
        <w:jc w:val="both"/>
      </w:pPr>
      <w:r w:rsidRPr="00D83406">
        <w:t xml:space="preserve">Pamatojoties uz Administratīvā procesa likuma </w:t>
      </w:r>
      <w:r w:rsidRPr="00260C6C">
        <w:t>129.</w:t>
      </w:r>
      <w:r w:rsidRPr="00260C6C">
        <w:rPr>
          <w:vertAlign w:val="superscript"/>
        </w:rPr>
        <w:t>1</w:t>
      </w:r>
      <w:r w:rsidRPr="00260C6C">
        <w:t>panta pirmās daļas 1.punktu, 348.panta pirmās daļas 2.punktu un 351.pantu</w:t>
      </w:r>
      <w:r w:rsidRPr="00D83406">
        <w:t>, Senāts</w:t>
      </w:r>
    </w:p>
    <w:p w14:paraId="0F58A397" w14:textId="77777777" w:rsidR="004B0DB9" w:rsidRDefault="004B0DB9" w:rsidP="00ED626E">
      <w:pPr>
        <w:shd w:val="clear" w:color="auto" w:fill="FFFFFF"/>
        <w:spacing w:line="276" w:lineRule="auto"/>
        <w:ind w:firstLine="720"/>
        <w:jc w:val="both"/>
        <w:rPr>
          <w:rFonts w:asciiTheme="majorBidi" w:hAnsiTheme="majorBidi" w:cstheme="majorBidi"/>
        </w:rPr>
      </w:pPr>
    </w:p>
    <w:p w14:paraId="0940F4B7" w14:textId="77777777" w:rsidR="002245A9" w:rsidRPr="009B5A28" w:rsidRDefault="002245A9" w:rsidP="00ED626E">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ED626E">
      <w:pPr>
        <w:shd w:val="clear" w:color="auto" w:fill="FFFFFF"/>
        <w:spacing w:line="276" w:lineRule="auto"/>
        <w:jc w:val="center"/>
        <w:rPr>
          <w:b/>
        </w:rPr>
      </w:pPr>
      <w:r w:rsidRPr="00A53E41">
        <w:rPr>
          <w:b/>
        </w:rPr>
        <w:t>nosprieda</w:t>
      </w:r>
    </w:p>
    <w:p w14:paraId="39A62A31" w14:textId="77777777" w:rsidR="000B259E" w:rsidRDefault="000B259E" w:rsidP="00ED626E">
      <w:pPr>
        <w:spacing w:line="276" w:lineRule="auto"/>
        <w:ind w:firstLine="720"/>
      </w:pPr>
    </w:p>
    <w:p w14:paraId="36AD7A76" w14:textId="65D4D8BB" w:rsidR="000B259E" w:rsidRDefault="000B259E" w:rsidP="00ED626E">
      <w:pPr>
        <w:spacing w:line="276" w:lineRule="auto"/>
        <w:ind w:firstLine="720"/>
        <w:jc w:val="both"/>
      </w:pPr>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Pr>
          <w:rFonts w:asciiTheme="majorBidi" w:hAnsiTheme="majorBidi" w:cstheme="majorBidi"/>
        </w:rPr>
        <w:t>2</w:t>
      </w:r>
      <w:r w:rsidRPr="004D684D">
        <w:rPr>
          <w:rFonts w:asciiTheme="majorBidi" w:hAnsiTheme="majorBidi" w:cstheme="majorBidi"/>
        </w:rPr>
        <w:t xml:space="preserve">.gada </w:t>
      </w:r>
      <w:r w:rsidR="00130EC2">
        <w:rPr>
          <w:rFonts w:asciiTheme="majorBidi" w:hAnsiTheme="majorBidi" w:cstheme="majorBidi"/>
        </w:rPr>
        <w:t xml:space="preserve">9.novembra </w:t>
      </w:r>
      <w:r>
        <w:rPr>
          <w:rFonts w:asciiTheme="majorBidi" w:hAnsiTheme="majorBidi" w:cstheme="majorBidi"/>
        </w:rPr>
        <w:t>s</w:t>
      </w:r>
      <w:r w:rsidRPr="00C81A7E">
        <w:rPr>
          <w:rFonts w:asciiTheme="majorBidi" w:hAnsiTheme="majorBidi" w:cstheme="majorBidi"/>
        </w:rPr>
        <w:t>priedumu</w:t>
      </w:r>
      <w:r w:rsidRPr="00B1413F">
        <w:t xml:space="preserve"> </w:t>
      </w:r>
      <w:r>
        <w:t>un nodot lietu jaunai izskatīšanai Administratīvajai apgabaltiesai;</w:t>
      </w:r>
    </w:p>
    <w:p w14:paraId="383FC07B" w14:textId="3B347321" w:rsidR="000B259E" w:rsidRDefault="000B259E" w:rsidP="00ED626E">
      <w:pPr>
        <w:spacing w:line="276" w:lineRule="auto"/>
        <w:ind w:firstLine="720"/>
        <w:jc w:val="both"/>
      </w:pPr>
      <w:r>
        <w:t xml:space="preserve">atmaksāt </w:t>
      </w:r>
      <w:r w:rsidR="00ED626E">
        <w:t xml:space="preserve">[pers. A] </w:t>
      </w:r>
      <w:r>
        <w:t>drošības naudu 70 </w:t>
      </w:r>
      <w:proofErr w:type="spellStart"/>
      <w:r w:rsidRPr="0011235E">
        <w:rPr>
          <w:i/>
          <w:iCs/>
        </w:rPr>
        <w:t>euro</w:t>
      </w:r>
      <w:proofErr w:type="spellEnd"/>
      <w:r>
        <w:t>.</w:t>
      </w:r>
    </w:p>
    <w:p w14:paraId="00C810B2" w14:textId="77777777" w:rsidR="000B259E" w:rsidRDefault="000B259E" w:rsidP="00ED626E">
      <w:pPr>
        <w:spacing w:line="276" w:lineRule="auto"/>
        <w:ind w:firstLine="720"/>
        <w:jc w:val="both"/>
        <w:rPr>
          <w:bCs/>
        </w:rPr>
      </w:pPr>
    </w:p>
    <w:p w14:paraId="3373A94E" w14:textId="77777777" w:rsidR="002245A9" w:rsidRPr="00793346" w:rsidRDefault="002245A9" w:rsidP="00ED626E">
      <w:pPr>
        <w:spacing w:line="276" w:lineRule="auto"/>
        <w:ind w:firstLine="720"/>
        <w:rPr>
          <w:bCs/>
        </w:rPr>
      </w:pPr>
    </w:p>
    <w:p w14:paraId="16352042" w14:textId="77777777" w:rsidR="000B259E" w:rsidRPr="00793346" w:rsidRDefault="000B259E" w:rsidP="00ED626E">
      <w:pPr>
        <w:spacing w:line="276" w:lineRule="auto"/>
        <w:ind w:firstLine="720"/>
        <w:rPr>
          <w:bCs/>
        </w:rPr>
      </w:pPr>
      <w:r w:rsidRPr="00793346">
        <w:rPr>
          <w:bCs/>
        </w:rPr>
        <w:t>Spriedums nav pārsūdzams.</w:t>
      </w:r>
    </w:p>
    <w:p w14:paraId="0F23422C" w14:textId="77777777" w:rsidR="000B259E" w:rsidRDefault="000B259E" w:rsidP="000B259E"/>
    <w:p w14:paraId="56AE47D2" w14:textId="77777777" w:rsidR="000B259E" w:rsidRDefault="000B259E" w:rsidP="000B259E"/>
    <w:p w14:paraId="77061D76" w14:textId="77777777" w:rsidR="000B259E" w:rsidRDefault="000B259E" w:rsidP="000B259E"/>
    <w:p w14:paraId="40A53C0A" w14:textId="77777777" w:rsidR="000B259E" w:rsidRPr="007B28BC" w:rsidRDefault="000B259E" w:rsidP="000B259E"/>
    <w:bookmarkEnd w:id="5"/>
    <w:p w14:paraId="36E5EFB6" w14:textId="77777777" w:rsidR="000B259E" w:rsidRDefault="000B259E" w:rsidP="007F40E0"/>
    <w:sectPr w:rsidR="000B259E" w:rsidSect="000562A0">
      <w:headerReference w:type="even" r:id="rId9"/>
      <w:headerReference w:type="default" r:id="rId10"/>
      <w:footerReference w:type="even" r:id="rId11"/>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468D9" w14:textId="77777777" w:rsidR="002D17B0" w:rsidRDefault="002D17B0" w:rsidP="0082608C">
      <w:r>
        <w:separator/>
      </w:r>
    </w:p>
  </w:endnote>
  <w:endnote w:type="continuationSeparator" w:id="0">
    <w:p w14:paraId="2F898312" w14:textId="77777777" w:rsidR="002D17B0" w:rsidRDefault="002D17B0"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61687C8E"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BA1C4A">
          <w:rPr>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84B0D" w14:textId="77777777" w:rsidR="002D17B0" w:rsidRDefault="002D17B0" w:rsidP="0082608C">
      <w:r>
        <w:separator/>
      </w:r>
    </w:p>
  </w:footnote>
  <w:footnote w:type="continuationSeparator" w:id="0">
    <w:p w14:paraId="5CCFE6BE" w14:textId="77777777" w:rsidR="002D17B0" w:rsidRDefault="002D17B0"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803"/>
    <w:rsid w:val="00011A37"/>
    <w:rsid w:val="00016405"/>
    <w:rsid w:val="0001676E"/>
    <w:rsid w:val="00016F23"/>
    <w:rsid w:val="0001779C"/>
    <w:rsid w:val="00020293"/>
    <w:rsid w:val="000203CA"/>
    <w:rsid w:val="000219F0"/>
    <w:rsid w:val="00021F46"/>
    <w:rsid w:val="00024EF5"/>
    <w:rsid w:val="00025083"/>
    <w:rsid w:val="00030060"/>
    <w:rsid w:val="00030179"/>
    <w:rsid w:val="000307A0"/>
    <w:rsid w:val="00030FF5"/>
    <w:rsid w:val="0003131F"/>
    <w:rsid w:val="00031347"/>
    <w:rsid w:val="000313B3"/>
    <w:rsid w:val="00031EDA"/>
    <w:rsid w:val="000332FE"/>
    <w:rsid w:val="00035355"/>
    <w:rsid w:val="00037AC1"/>
    <w:rsid w:val="00037BE9"/>
    <w:rsid w:val="000445E5"/>
    <w:rsid w:val="00044A5E"/>
    <w:rsid w:val="0004551A"/>
    <w:rsid w:val="000504EB"/>
    <w:rsid w:val="00050750"/>
    <w:rsid w:val="000509EA"/>
    <w:rsid w:val="00053F03"/>
    <w:rsid w:val="000562A0"/>
    <w:rsid w:val="000575DC"/>
    <w:rsid w:val="00057723"/>
    <w:rsid w:val="00057BC1"/>
    <w:rsid w:val="00057F83"/>
    <w:rsid w:val="00057FAF"/>
    <w:rsid w:val="0006024F"/>
    <w:rsid w:val="0006270A"/>
    <w:rsid w:val="000641BC"/>
    <w:rsid w:val="000645B1"/>
    <w:rsid w:val="00064F9C"/>
    <w:rsid w:val="000701E1"/>
    <w:rsid w:val="00072850"/>
    <w:rsid w:val="00073524"/>
    <w:rsid w:val="00074B50"/>
    <w:rsid w:val="00075759"/>
    <w:rsid w:val="00076247"/>
    <w:rsid w:val="000771EC"/>
    <w:rsid w:val="00077B2B"/>
    <w:rsid w:val="0008043E"/>
    <w:rsid w:val="000805D9"/>
    <w:rsid w:val="0008110A"/>
    <w:rsid w:val="0008195A"/>
    <w:rsid w:val="00081FA4"/>
    <w:rsid w:val="00082752"/>
    <w:rsid w:val="000837FF"/>
    <w:rsid w:val="00083BA9"/>
    <w:rsid w:val="0009282B"/>
    <w:rsid w:val="00094505"/>
    <w:rsid w:val="000948B0"/>
    <w:rsid w:val="00094C31"/>
    <w:rsid w:val="00096F1A"/>
    <w:rsid w:val="000A3BB3"/>
    <w:rsid w:val="000A3C93"/>
    <w:rsid w:val="000A50B2"/>
    <w:rsid w:val="000A5715"/>
    <w:rsid w:val="000A57F2"/>
    <w:rsid w:val="000A6479"/>
    <w:rsid w:val="000B1EB2"/>
    <w:rsid w:val="000B259E"/>
    <w:rsid w:val="000B3B71"/>
    <w:rsid w:val="000B4923"/>
    <w:rsid w:val="000B5EAD"/>
    <w:rsid w:val="000B6B4E"/>
    <w:rsid w:val="000B6C17"/>
    <w:rsid w:val="000B6C5A"/>
    <w:rsid w:val="000B6FCF"/>
    <w:rsid w:val="000B72C7"/>
    <w:rsid w:val="000B75F8"/>
    <w:rsid w:val="000C441E"/>
    <w:rsid w:val="000C53C7"/>
    <w:rsid w:val="000D0A58"/>
    <w:rsid w:val="000D31CE"/>
    <w:rsid w:val="000D5537"/>
    <w:rsid w:val="000D665B"/>
    <w:rsid w:val="000D72AA"/>
    <w:rsid w:val="000E0BE4"/>
    <w:rsid w:val="000E25EC"/>
    <w:rsid w:val="000E275F"/>
    <w:rsid w:val="000E283E"/>
    <w:rsid w:val="000E2E7E"/>
    <w:rsid w:val="000E4039"/>
    <w:rsid w:val="000E4CE2"/>
    <w:rsid w:val="000E4EF4"/>
    <w:rsid w:val="000E658C"/>
    <w:rsid w:val="000E6BDD"/>
    <w:rsid w:val="000F2695"/>
    <w:rsid w:val="000F3111"/>
    <w:rsid w:val="000F44A2"/>
    <w:rsid w:val="000F4BCA"/>
    <w:rsid w:val="0010264B"/>
    <w:rsid w:val="00103B6D"/>
    <w:rsid w:val="00103DE3"/>
    <w:rsid w:val="0010552C"/>
    <w:rsid w:val="001055C5"/>
    <w:rsid w:val="00105EE1"/>
    <w:rsid w:val="00106FB7"/>
    <w:rsid w:val="00107652"/>
    <w:rsid w:val="001100F8"/>
    <w:rsid w:val="0011286F"/>
    <w:rsid w:val="001141B5"/>
    <w:rsid w:val="00114EB7"/>
    <w:rsid w:val="00121B83"/>
    <w:rsid w:val="00123F7F"/>
    <w:rsid w:val="0012610F"/>
    <w:rsid w:val="00126AA3"/>
    <w:rsid w:val="001277EB"/>
    <w:rsid w:val="0013042E"/>
    <w:rsid w:val="00130EC2"/>
    <w:rsid w:val="001319EA"/>
    <w:rsid w:val="00131CE8"/>
    <w:rsid w:val="0013203F"/>
    <w:rsid w:val="0013240B"/>
    <w:rsid w:val="00133144"/>
    <w:rsid w:val="00133CF7"/>
    <w:rsid w:val="00135C29"/>
    <w:rsid w:val="0013715E"/>
    <w:rsid w:val="00142579"/>
    <w:rsid w:val="00143F28"/>
    <w:rsid w:val="00146BEF"/>
    <w:rsid w:val="001476CD"/>
    <w:rsid w:val="00150C18"/>
    <w:rsid w:val="00151882"/>
    <w:rsid w:val="00152927"/>
    <w:rsid w:val="001533EC"/>
    <w:rsid w:val="0015382A"/>
    <w:rsid w:val="00155B03"/>
    <w:rsid w:val="001571E1"/>
    <w:rsid w:val="00160A0D"/>
    <w:rsid w:val="001636B6"/>
    <w:rsid w:val="0016394B"/>
    <w:rsid w:val="00164BF5"/>
    <w:rsid w:val="001677C0"/>
    <w:rsid w:val="001678AF"/>
    <w:rsid w:val="00167B32"/>
    <w:rsid w:val="00170584"/>
    <w:rsid w:val="001706EE"/>
    <w:rsid w:val="001713F3"/>
    <w:rsid w:val="0017192B"/>
    <w:rsid w:val="001728F4"/>
    <w:rsid w:val="00173D09"/>
    <w:rsid w:val="00173D90"/>
    <w:rsid w:val="00175B21"/>
    <w:rsid w:val="00180043"/>
    <w:rsid w:val="0018234B"/>
    <w:rsid w:val="00182940"/>
    <w:rsid w:val="001845D0"/>
    <w:rsid w:val="00184BEF"/>
    <w:rsid w:val="001862EA"/>
    <w:rsid w:val="00186B85"/>
    <w:rsid w:val="0018704C"/>
    <w:rsid w:val="001872ED"/>
    <w:rsid w:val="001904E8"/>
    <w:rsid w:val="0019130E"/>
    <w:rsid w:val="00192854"/>
    <w:rsid w:val="001936CA"/>
    <w:rsid w:val="00193887"/>
    <w:rsid w:val="00193A54"/>
    <w:rsid w:val="00193A85"/>
    <w:rsid w:val="00195617"/>
    <w:rsid w:val="001A01B9"/>
    <w:rsid w:val="001A101C"/>
    <w:rsid w:val="001A2722"/>
    <w:rsid w:val="001A4E26"/>
    <w:rsid w:val="001A5D0A"/>
    <w:rsid w:val="001A61A7"/>
    <w:rsid w:val="001A6387"/>
    <w:rsid w:val="001A6410"/>
    <w:rsid w:val="001A7566"/>
    <w:rsid w:val="001B0003"/>
    <w:rsid w:val="001B26A2"/>
    <w:rsid w:val="001B3B63"/>
    <w:rsid w:val="001B57F9"/>
    <w:rsid w:val="001C2692"/>
    <w:rsid w:val="001C53C2"/>
    <w:rsid w:val="001C56A8"/>
    <w:rsid w:val="001C59DC"/>
    <w:rsid w:val="001C5F37"/>
    <w:rsid w:val="001C65A4"/>
    <w:rsid w:val="001C76D4"/>
    <w:rsid w:val="001D0F36"/>
    <w:rsid w:val="001D1126"/>
    <w:rsid w:val="001D2429"/>
    <w:rsid w:val="001D357B"/>
    <w:rsid w:val="001D3900"/>
    <w:rsid w:val="001D465D"/>
    <w:rsid w:val="001D47AE"/>
    <w:rsid w:val="001D4FF0"/>
    <w:rsid w:val="001D6E16"/>
    <w:rsid w:val="001D797D"/>
    <w:rsid w:val="001E44D4"/>
    <w:rsid w:val="001E4897"/>
    <w:rsid w:val="001E4C74"/>
    <w:rsid w:val="001E7FB1"/>
    <w:rsid w:val="001E7FCA"/>
    <w:rsid w:val="001F09E1"/>
    <w:rsid w:val="001F1C64"/>
    <w:rsid w:val="001F586C"/>
    <w:rsid w:val="001F6D7C"/>
    <w:rsid w:val="001F7A7A"/>
    <w:rsid w:val="00200411"/>
    <w:rsid w:val="00201971"/>
    <w:rsid w:val="00210707"/>
    <w:rsid w:val="002127FD"/>
    <w:rsid w:val="00216C3A"/>
    <w:rsid w:val="0021705B"/>
    <w:rsid w:val="00217C84"/>
    <w:rsid w:val="002211CF"/>
    <w:rsid w:val="002220A8"/>
    <w:rsid w:val="002245A9"/>
    <w:rsid w:val="002258BD"/>
    <w:rsid w:val="00225EDA"/>
    <w:rsid w:val="002268D6"/>
    <w:rsid w:val="00226F0D"/>
    <w:rsid w:val="002271FA"/>
    <w:rsid w:val="00231835"/>
    <w:rsid w:val="00232319"/>
    <w:rsid w:val="00232B8C"/>
    <w:rsid w:val="00234F56"/>
    <w:rsid w:val="0023605E"/>
    <w:rsid w:val="002364AD"/>
    <w:rsid w:val="00237769"/>
    <w:rsid w:val="00237E9E"/>
    <w:rsid w:val="00240A55"/>
    <w:rsid w:val="00242A7A"/>
    <w:rsid w:val="002434C4"/>
    <w:rsid w:val="00243EF1"/>
    <w:rsid w:val="0025003B"/>
    <w:rsid w:val="00250E50"/>
    <w:rsid w:val="002510C8"/>
    <w:rsid w:val="00251408"/>
    <w:rsid w:val="002523E5"/>
    <w:rsid w:val="00253B2F"/>
    <w:rsid w:val="00256FC3"/>
    <w:rsid w:val="00257605"/>
    <w:rsid w:val="0026246F"/>
    <w:rsid w:val="002628C4"/>
    <w:rsid w:val="00262B45"/>
    <w:rsid w:val="00262F08"/>
    <w:rsid w:val="00263471"/>
    <w:rsid w:val="00263D10"/>
    <w:rsid w:val="0026472D"/>
    <w:rsid w:val="0027231C"/>
    <w:rsid w:val="00272482"/>
    <w:rsid w:val="00274227"/>
    <w:rsid w:val="002756D7"/>
    <w:rsid w:val="0027574B"/>
    <w:rsid w:val="00276286"/>
    <w:rsid w:val="0027681A"/>
    <w:rsid w:val="00280507"/>
    <w:rsid w:val="002817D5"/>
    <w:rsid w:val="002854EA"/>
    <w:rsid w:val="00285BE9"/>
    <w:rsid w:val="002867AD"/>
    <w:rsid w:val="00290F0C"/>
    <w:rsid w:val="00292E06"/>
    <w:rsid w:val="00296371"/>
    <w:rsid w:val="00297D7D"/>
    <w:rsid w:val="002A2CE8"/>
    <w:rsid w:val="002A46F7"/>
    <w:rsid w:val="002A4E67"/>
    <w:rsid w:val="002B028D"/>
    <w:rsid w:val="002B0F9B"/>
    <w:rsid w:val="002B194D"/>
    <w:rsid w:val="002B37D6"/>
    <w:rsid w:val="002B395D"/>
    <w:rsid w:val="002B3DB5"/>
    <w:rsid w:val="002B50C1"/>
    <w:rsid w:val="002B5C2C"/>
    <w:rsid w:val="002B641A"/>
    <w:rsid w:val="002C0431"/>
    <w:rsid w:val="002C091E"/>
    <w:rsid w:val="002C1313"/>
    <w:rsid w:val="002C1524"/>
    <w:rsid w:val="002C27C8"/>
    <w:rsid w:val="002C3812"/>
    <w:rsid w:val="002C5490"/>
    <w:rsid w:val="002C5707"/>
    <w:rsid w:val="002C5968"/>
    <w:rsid w:val="002D04A9"/>
    <w:rsid w:val="002D1258"/>
    <w:rsid w:val="002D17B0"/>
    <w:rsid w:val="002D20A9"/>
    <w:rsid w:val="002D40F8"/>
    <w:rsid w:val="002D5D3F"/>
    <w:rsid w:val="002D62FA"/>
    <w:rsid w:val="002D63BC"/>
    <w:rsid w:val="002D655B"/>
    <w:rsid w:val="002D6C27"/>
    <w:rsid w:val="002E2826"/>
    <w:rsid w:val="002E416D"/>
    <w:rsid w:val="002E7C67"/>
    <w:rsid w:val="002F2773"/>
    <w:rsid w:val="002F30C9"/>
    <w:rsid w:val="002F43A9"/>
    <w:rsid w:val="002F43ED"/>
    <w:rsid w:val="002F6055"/>
    <w:rsid w:val="002F6828"/>
    <w:rsid w:val="002F7A2C"/>
    <w:rsid w:val="00300E82"/>
    <w:rsid w:val="00302131"/>
    <w:rsid w:val="00304FF9"/>
    <w:rsid w:val="00310063"/>
    <w:rsid w:val="00310DBA"/>
    <w:rsid w:val="00310FB0"/>
    <w:rsid w:val="00312D5A"/>
    <w:rsid w:val="00312D70"/>
    <w:rsid w:val="003151E6"/>
    <w:rsid w:val="00315F74"/>
    <w:rsid w:val="003160BE"/>
    <w:rsid w:val="00317928"/>
    <w:rsid w:val="0032339A"/>
    <w:rsid w:val="003233AC"/>
    <w:rsid w:val="00325677"/>
    <w:rsid w:val="003268AF"/>
    <w:rsid w:val="0033379E"/>
    <w:rsid w:val="00335E61"/>
    <w:rsid w:val="003376FD"/>
    <w:rsid w:val="00337C16"/>
    <w:rsid w:val="003458CE"/>
    <w:rsid w:val="003469ED"/>
    <w:rsid w:val="003518A7"/>
    <w:rsid w:val="00353377"/>
    <w:rsid w:val="0035367E"/>
    <w:rsid w:val="00353E36"/>
    <w:rsid w:val="00355AE1"/>
    <w:rsid w:val="00356A82"/>
    <w:rsid w:val="00357DAA"/>
    <w:rsid w:val="00360A3D"/>
    <w:rsid w:val="00360C33"/>
    <w:rsid w:val="003623F4"/>
    <w:rsid w:val="003651C3"/>
    <w:rsid w:val="00365622"/>
    <w:rsid w:val="0036655C"/>
    <w:rsid w:val="003667FD"/>
    <w:rsid w:val="003711AA"/>
    <w:rsid w:val="003756D0"/>
    <w:rsid w:val="0038030C"/>
    <w:rsid w:val="003811D5"/>
    <w:rsid w:val="00381AC4"/>
    <w:rsid w:val="00381C67"/>
    <w:rsid w:val="00383578"/>
    <w:rsid w:val="00383E72"/>
    <w:rsid w:val="003856CE"/>
    <w:rsid w:val="00386A64"/>
    <w:rsid w:val="003875BC"/>
    <w:rsid w:val="00387642"/>
    <w:rsid w:val="00387CE1"/>
    <w:rsid w:val="00391DE7"/>
    <w:rsid w:val="0039235D"/>
    <w:rsid w:val="00393298"/>
    <w:rsid w:val="00395277"/>
    <w:rsid w:val="00395538"/>
    <w:rsid w:val="00396E0D"/>
    <w:rsid w:val="003A3A19"/>
    <w:rsid w:val="003A3B9D"/>
    <w:rsid w:val="003A4DF2"/>
    <w:rsid w:val="003A612B"/>
    <w:rsid w:val="003A65E9"/>
    <w:rsid w:val="003B00AF"/>
    <w:rsid w:val="003B0AD4"/>
    <w:rsid w:val="003B0B87"/>
    <w:rsid w:val="003B0BBF"/>
    <w:rsid w:val="003B4F9B"/>
    <w:rsid w:val="003B6FAA"/>
    <w:rsid w:val="003B6FF4"/>
    <w:rsid w:val="003C1CD7"/>
    <w:rsid w:val="003C3043"/>
    <w:rsid w:val="003C3354"/>
    <w:rsid w:val="003C443B"/>
    <w:rsid w:val="003C705C"/>
    <w:rsid w:val="003D0CAB"/>
    <w:rsid w:val="003D317F"/>
    <w:rsid w:val="003D36CB"/>
    <w:rsid w:val="003D3D2B"/>
    <w:rsid w:val="003D45D6"/>
    <w:rsid w:val="003D6B4C"/>
    <w:rsid w:val="003E0097"/>
    <w:rsid w:val="003E0796"/>
    <w:rsid w:val="003E2021"/>
    <w:rsid w:val="003E2483"/>
    <w:rsid w:val="003E51A8"/>
    <w:rsid w:val="003E5A4C"/>
    <w:rsid w:val="003E61CC"/>
    <w:rsid w:val="003E700D"/>
    <w:rsid w:val="003E7FB9"/>
    <w:rsid w:val="003F00C8"/>
    <w:rsid w:val="003F01BE"/>
    <w:rsid w:val="003F22B7"/>
    <w:rsid w:val="003F311C"/>
    <w:rsid w:val="003F57FA"/>
    <w:rsid w:val="003F63FC"/>
    <w:rsid w:val="003F7FE0"/>
    <w:rsid w:val="004008ED"/>
    <w:rsid w:val="004015C7"/>
    <w:rsid w:val="004025E4"/>
    <w:rsid w:val="004028A6"/>
    <w:rsid w:val="00403D0E"/>
    <w:rsid w:val="0040539B"/>
    <w:rsid w:val="00412E4C"/>
    <w:rsid w:val="00413B27"/>
    <w:rsid w:val="004150B8"/>
    <w:rsid w:val="0041539C"/>
    <w:rsid w:val="0041559D"/>
    <w:rsid w:val="00417A8F"/>
    <w:rsid w:val="004219AF"/>
    <w:rsid w:val="004223B3"/>
    <w:rsid w:val="00423C6D"/>
    <w:rsid w:val="0042579F"/>
    <w:rsid w:val="0042687A"/>
    <w:rsid w:val="00427F1F"/>
    <w:rsid w:val="004305E6"/>
    <w:rsid w:val="00430F36"/>
    <w:rsid w:val="00431066"/>
    <w:rsid w:val="00436162"/>
    <w:rsid w:val="0044080B"/>
    <w:rsid w:val="00443031"/>
    <w:rsid w:val="00443B41"/>
    <w:rsid w:val="00445545"/>
    <w:rsid w:val="004459D0"/>
    <w:rsid w:val="004479E7"/>
    <w:rsid w:val="00447EE6"/>
    <w:rsid w:val="0045157D"/>
    <w:rsid w:val="0045269B"/>
    <w:rsid w:val="00461D8F"/>
    <w:rsid w:val="00462359"/>
    <w:rsid w:val="00462D3C"/>
    <w:rsid w:val="00464849"/>
    <w:rsid w:val="00464D33"/>
    <w:rsid w:val="004654E4"/>
    <w:rsid w:val="00465D98"/>
    <w:rsid w:val="00466D03"/>
    <w:rsid w:val="00470589"/>
    <w:rsid w:val="00471863"/>
    <w:rsid w:val="00472201"/>
    <w:rsid w:val="00474233"/>
    <w:rsid w:val="0047662E"/>
    <w:rsid w:val="004777D1"/>
    <w:rsid w:val="00483036"/>
    <w:rsid w:val="00484440"/>
    <w:rsid w:val="0048515D"/>
    <w:rsid w:val="004853EC"/>
    <w:rsid w:val="0048590D"/>
    <w:rsid w:val="00485B75"/>
    <w:rsid w:val="00490B3F"/>
    <w:rsid w:val="00492813"/>
    <w:rsid w:val="00492EB7"/>
    <w:rsid w:val="00493FF9"/>
    <w:rsid w:val="00495845"/>
    <w:rsid w:val="004958BB"/>
    <w:rsid w:val="00495A73"/>
    <w:rsid w:val="00495B57"/>
    <w:rsid w:val="00495CAC"/>
    <w:rsid w:val="00496895"/>
    <w:rsid w:val="004A0887"/>
    <w:rsid w:val="004A1AD3"/>
    <w:rsid w:val="004A3365"/>
    <w:rsid w:val="004A563B"/>
    <w:rsid w:val="004A6C08"/>
    <w:rsid w:val="004B010C"/>
    <w:rsid w:val="004B0DB9"/>
    <w:rsid w:val="004B29DC"/>
    <w:rsid w:val="004B2A94"/>
    <w:rsid w:val="004B31B0"/>
    <w:rsid w:val="004B4B7A"/>
    <w:rsid w:val="004B4F96"/>
    <w:rsid w:val="004B5FC4"/>
    <w:rsid w:val="004C1B8B"/>
    <w:rsid w:val="004C257C"/>
    <w:rsid w:val="004C33A8"/>
    <w:rsid w:val="004C54E7"/>
    <w:rsid w:val="004C5769"/>
    <w:rsid w:val="004D1B52"/>
    <w:rsid w:val="004D3DC0"/>
    <w:rsid w:val="004D4B69"/>
    <w:rsid w:val="004D4F4C"/>
    <w:rsid w:val="004D5B2E"/>
    <w:rsid w:val="004D5B5B"/>
    <w:rsid w:val="004D684D"/>
    <w:rsid w:val="004D6DC1"/>
    <w:rsid w:val="004E12E0"/>
    <w:rsid w:val="004E673B"/>
    <w:rsid w:val="004E7EB9"/>
    <w:rsid w:val="004F60F0"/>
    <w:rsid w:val="00501031"/>
    <w:rsid w:val="00502723"/>
    <w:rsid w:val="00503023"/>
    <w:rsid w:val="00504E4B"/>
    <w:rsid w:val="00505EF9"/>
    <w:rsid w:val="00506B16"/>
    <w:rsid w:val="00506D5B"/>
    <w:rsid w:val="00506FCF"/>
    <w:rsid w:val="00507117"/>
    <w:rsid w:val="0051030C"/>
    <w:rsid w:val="005112C2"/>
    <w:rsid w:val="00511B56"/>
    <w:rsid w:val="00512845"/>
    <w:rsid w:val="005131A1"/>
    <w:rsid w:val="005157B2"/>
    <w:rsid w:val="00515F3A"/>
    <w:rsid w:val="00516BCC"/>
    <w:rsid w:val="00522D68"/>
    <w:rsid w:val="005251A3"/>
    <w:rsid w:val="005254D2"/>
    <w:rsid w:val="00526681"/>
    <w:rsid w:val="005272B6"/>
    <w:rsid w:val="005316AE"/>
    <w:rsid w:val="00531789"/>
    <w:rsid w:val="00531A17"/>
    <w:rsid w:val="00532AC1"/>
    <w:rsid w:val="0053394F"/>
    <w:rsid w:val="0053560B"/>
    <w:rsid w:val="00536CCA"/>
    <w:rsid w:val="00542715"/>
    <w:rsid w:val="00543D8A"/>
    <w:rsid w:val="00543EB6"/>
    <w:rsid w:val="00544D20"/>
    <w:rsid w:val="00544EC0"/>
    <w:rsid w:val="0054513B"/>
    <w:rsid w:val="005452A9"/>
    <w:rsid w:val="005479E8"/>
    <w:rsid w:val="00547C02"/>
    <w:rsid w:val="00547F6E"/>
    <w:rsid w:val="00550E9C"/>
    <w:rsid w:val="0055107F"/>
    <w:rsid w:val="005519DF"/>
    <w:rsid w:val="00552140"/>
    <w:rsid w:val="00552831"/>
    <w:rsid w:val="00552AAE"/>
    <w:rsid w:val="00553346"/>
    <w:rsid w:val="00555A48"/>
    <w:rsid w:val="00555AB6"/>
    <w:rsid w:val="0055607F"/>
    <w:rsid w:val="00557FE6"/>
    <w:rsid w:val="00560724"/>
    <w:rsid w:val="005611AD"/>
    <w:rsid w:val="00561A0F"/>
    <w:rsid w:val="00563D5D"/>
    <w:rsid w:val="005651C4"/>
    <w:rsid w:val="00566C2E"/>
    <w:rsid w:val="0056729E"/>
    <w:rsid w:val="00570AD1"/>
    <w:rsid w:val="005770A1"/>
    <w:rsid w:val="005807AD"/>
    <w:rsid w:val="00580F0B"/>
    <w:rsid w:val="00581F5A"/>
    <w:rsid w:val="00581F98"/>
    <w:rsid w:val="0058464F"/>
    <w:rsid w:val="0058557F"/>
    <w:rsid w:val="00586294"/>
    <w:rsid w:val="0058633A"/>
    <w:rsid w:val="005863F2"/>
    <w:rsid w:val="005867E6"/>
    <w:rsid w:val="005875C0"/>
    <w:rsid w:val="005878CC"/>
    <w:rsid w:val="00590E0A"/>
    <w:rsid w:val="00592F2A"/>
    <w:rsid w:val="00593E5C"/>
    <w:rsid w:val="0059550C"/>
    <w:rsid w:val="00595AFB"/>
    <w:rsid w:val="00595EA4"/>
    <w:rsid w:val="00597EFA"/>
    <w:rsid w:val="005A2F1B"/>
    <w:rsid w:val="005A60B3"/>
    <w:rsid w:val="005A7086"/>
    <w:rsid w:val="005A75FD"/>
    <w:rsid w:val="005B3B75"/>
    <w:rsid w:val="005B3F62"/>
    <w:rsid w:val="005B4E91"/>
    <w:rsid w:val="005B710A"/>
    <w:rsid w:val="005B78FD"/>
    <w:rsid w:val="005C0184"/>
    <w:rsid w:val="005C0CCB"/>
    <w:rsid w:val="005C1577"/>
    <w:rsid w:val="005C36F7"/>
    <w:rsid w:val="005C6F09"/>
    <w:rsid w:val="005D09F1"/>
    <w:rsid w:val="005D3030"/>
    <w:rsid w:val="005D4C93"/>
    <w:rsid w:val="005D579B"/>
    <w:rsid w:val="005D5F25"/>
    <w:rsid w:val="005D7C33"/>
    <w:rsid w:val="005E0209"/>
    <w:rsid w:val="005E4CAD"/>
    <w:rsid w:val="005E5672"/>
    <w:rsid w:val="005E60A8"/>
    <w:rsid w:val="005E6448"/>
    <w:rsid w:val="005E791D"/>
    <w:rsid w:val="005F0852"/>
    <w:rsid w:val="005F1BE1"/>
    <w:rsid w:val="005F1CB3"/>
    <w:rsid w:val="005F378F"/>
    <w:rsid w:val="005F5C55"/>
    <w:rsid w:val="005F65A1"/>
    <w:rsid w:val="005F7A40"/>
    <w:rsid w:val="00601494"/>
    <w:rsid w:val="00603EEB"/>
    <w:rsid w:val="00604FF5"/>
    <w:rsid w:val="0061027D"/>
    <w:rsid w:val="0061239F"/>
    <w:rsid w:val="00612728"/>
    <w:rsid w:val="0061784A"/>
    <w:rsid w:val="006216CF"/>
    <w:rsid w:val="00623310"/>
    <w:rsid w:val="00624E0A"/>
    <w:rsid w:val="006266C1"/>
    <w:rsid w:val="00630877"/>
    <w:rsid w:val="00631A0F"/>
    <w:rsid w:val="00632554"/>
    <w:rsid w:val="0063289D"/>
    <w:rsid w:val="00634541"/>
    <w:rsid w:val="00636CB3"/>
    <w:rsid w:val="006406C6"/>
    <w:rsid w:val="006406D1"/>
    <w:rsid w:val="006415BA"/>
    <w:rsid w:val="006419EA"/>
    <w:rsid w:val="00642058"/>
    <w:rsid w:val="0064297A"/>
    <w:rsid w:val="00642C7B"/>
    <w:rsid w:val="0064565D"/>
    <w:rsid w:val="00646AE3"/>
    <w:rsid w:val="006509C9"/>
    <w:rsid w:val="0065110D"/>
    <w:rsid w:val="006530E1"/>
    <w:rsid w:val="006539E2"/>
    <w:rsid w:val="00654DCD"/>
    <w:rsid w:val="00655935"/>
    <w:rsid w:val="00656C32"/>
    <w:rsid w:val="00656CBE"/>
    <w:rsid w:val="00657152"/>
    <w:rsid w:val="006578C1"/>
    <w:rsid w:val="006610B4"/>
    <w:rsid w:val="006621D1"/>
    <w:rsid w:val="0066467D"/>
    <w:rsid w:val="00665729"/>
    <w:rsid w:val="00665805"/>
    <w:rsid w:val="00666797"/>
    <w:rsid w:val="0066711E"/>
    <w:rsid w:val="006675A4"/>
    <w:rsid w:val="00667B95"/>
    <w:rsid w:val="00670F53"/>
    <w:rsid w:val="006718E1"/>
    <w:rsid w:val="006720D5"/>
    <w:rsid w:val="00672D5E"/>
    <w:rsid w:val="00677C08"/>
    <w:rsid w:val="00677C61"/>
    <w:rsid w:val="00677D86"/>
    <w:rsid w:val="0068046C"/>
    <w:rsid w:val="00680B02"/>
    <w:rsid w:val="00680E52"/>
    <w:rsid w:val="00680E9E"/>
    <w:rsid w:val="00682A81"/>
    <w:rsid w:val="00682CC5"/>
    <w:rsid w:val="00682E50"/>
    <w:rsid w:val="00683FF6"/>
    <w:rsid w:val="00696B61"/>
    <w:rsid w:val="00696DC9"/>
    <w:rsid w:val="00697F9C"/>
    <w:rsid w:val="006A067D"/>
    <w:rsid w:val="006A357F"/>
    <w:rsid w:val="006A6364"/>
    <w:rsid w:val="006A792F"/>
    <w:rsid w:val="006A7B64"/>
    <w:rsid w:val="006B19C2"/>
    <w:rsid w:val="006B378F"/>
    <w:rsid w:val="006B3D9A"/>
    <w:rsid w:val="006B49DE"/>
    <w:rsid w:val="006B64E0"/>
    <w:rsid w:val="006B7519"/>
    <w:rsid w:val="006B7647"/>
    <w:rsid w:val="006B7818"/>
    <w:rsid w:val="006C1FAF"/>
    <w:rsid w:val="006C6650"/>
    <w:rsid w:val="006C6972"/>
    <w:rsid w:val="006C70A0"/>
    <w:rsid w:val="006C785B"/>
    <w:rsid w:val="006C7F22"/>
    <w:rsid w:val="006D02D7"/>
    <w:rsid w:val="006D4FC0"/>
    <w:rsid w:val="006D75DC"/>
    <w:rsid w:val="006E129C"/>
    <w:rsid w:val="006E2066"/>
    <w:rsid w:val="006E2B94"/>
    <w:rsid w:val="006E3BDD"/>
    <w:rsid w:val="006E46AC"/>
    <w:rsid w:val="006E719E"/>
    <w:rsid w:val="006F093E"/>
    <w:rsid w:val="006F16CA"/>
    <w:rsid w:val="006F28C4"/>
    <w:rsid w:val="007009D6"/>
    <w:rsid w:val="0070215D"/>
    <w:rsid w:val="00703415"/>
    <w:rsid w:val="0070676B"/>
    <w:rsid w:val="00710394"/>
    <w:rsid w:val="0071057F"/>
    <w:rsid w:val="007110BF"/>
    <w:rsid w:val="00711873"/>
    <w:rsid w:val="007129E8"/>
    <w:rsid w:val="007130CB"/>
    <w:rsid w:val="00713BEF"/>
    <w:rsid w:val="00716335"/>
    <w:rsid w:val="007167A8"/>
    <w:rsid w:val="0071722E"/>
    <w:rsid w:val="007206FD"/>
    <w:rsid w:val="00721D21"/>
    <w:rsid w:val="007238D9"/>
    <w:rsid w:val="007252C2"/>
    <w:rsid w:val="0072542D"/>
    <w:rsid w:val="007261D5"/>
    <w:rsid w:val="00727B73"/>
    <w:rsid w:val="00731FEF"/>
    <w:rsid w:val="007325D3"/>
    <w:rsid w:val="007341EF"/>
    <w:rsid w:val="00735254"/>
    <w:rsid w:val="00740285"/>
    <w:rsid w:val="0074160A"/>
    <w:rsid w:val="0074229B"/>
    <w:rsid w:val="00744CA1"/>
    <w:rsid w:val="00745EE5"/>
    <w:rsid w:val="00750800"/>
    <w:rsid w:val="007508B2"/>
    <w:rsid w:val="00751EBB"/>
    <w:rsid w:val="007522F6"/>
    <w:rsid w:val="0075365B"/>
    <w:rsid w:val="00757358"/>
    <w:rsid w:val="00757786"/>
    <w:rsid w:val="00757C90"/>
    <w:rsid w:val="00760227"/>
    <w:rsid w:val="0076115D"/>
    <w:rsid w:val="007612AD"/>
    <w:rsid w:val="00763AED"/>
    <w:rsid w:val="007647A2"/>
    <w:rsid w:val="007650E2"/>
    <w:rsid w:val="007656FB"/>
    <w:rsid w:val="007660C5"/>
    <w:rsid w:val="00767BDB"/>
    <w:rsid w:val="00772805"/>
    <w:rsid w:val="00773585"/>
    <w:rsid w:val="00774BF4"/>
    <w:rsid w:val="00775DAF"/>
    <w:rsid w:val="00776E2C"/>
    <w:rsid w:val="00780899"/>
    <w:rsid w:val="00781D55"/>
    <w:rsid w:val="00782258"/>
    <w:rsid w:val="00782A2A"/>
    <w:rsid w:val="00782BF1"/>
    <w:rsid w:val="007837FD"/>
    <w:rsid w:val="00785A52"/>
    <w:rsid w:val="00785D29"/>
    <w:rsid w:val="00786A28"/>
    <w:rsid w:val="007900DD"/>
    <w:rsid w:val="00793346"/>
    <w:rsid w:val="00793701"/>
    <w:rsid w:val="00796A1A"/>
    <w:rsid w:val="007A01DD"/>
    <w:rsid w:val="007A022E"/>
    <w:rsid w:val="007A0E2B"/>
    <w:rsid w:val="007A11CB"/>
    <w:rsid w:val="007A1218"/>
    <w:rsid w:val="007A2173"/>
    <w:rsid w:val="007A3BAF"/>
    <w:rsid w:val="007A546E"/>
    <w:rsid w:val="007A77DB"/>
    <w:rsid w:val="007B22E7"/>
    <w:rsid w:val="007B4B93"/>
    <w:rsid w:val="007B5B5B"/>
    <w:rsid w:val="007C4638"/>
    <w:rsid w:val="007C4ECB"/>
    <w:rsid w:val="007C586A"/>
    <w:rsid w:val="007C5E77"/>
    <w:rsid w:val="007C74DC"/>
    <w:rsid w:val="007C7C81"/>
    <w:rsid w:val="007D060A"/>
    <w:rsid w:val="007D120F"/>
    <w:rsid w:val="007D34A3"/>
    <w:rsid w:val="007D46FD"/>
    <w:rsid w:val="007D4EC1"/>
    <w:rsid w:val="007D4FF6"/>
    <w:rsid w:val="007D5406"/>
    <w:rsid w:val="007D7382"/>
    <w:rsid w:val="007E0423"/>
    <w:rsid w:val="007E11CE"/>
    <w:rsid w:val="007E145E"/>
    <w:rsid w:val="007E1C7A"/>
    <w:rsid w:val="007E2536"/>
    <w:rsid w:val="007E30F3"/>
    <w:rsid w:val="007E412C"/>
    <w:rsid w:val="007E5006"/>
    <w:rsid w:val="007E63F3"/>
    <w:rsid w:val="007E6CA3"/>
    <w:rsid w:val="007F0B3C"/>
    <w:rsid w:val="007F20AF"/>
    <w:rsid w:val="007F280E"/>
    <w:rsid w:val="007F40E0"/>
    <w:rsid w:val="007F5789"/>
    <w:rsid w:val="007F6497"/>
    <w:rsid w:val="007F7744"/>
    <w:rsid w:val="007F7EF8"/>
    <w:rsid w:val="00801297"/>
    <w:rsid w:val="0080142C"/>
    <w:rsid w:val="0080482C"/>
    <w:rsid w:val="00804F95"/>
    <w:rsid w:val="00805EAE"/>
    <w:rsid w:val="00806FDD"/>
    <w:rsid w:val="0081054E"/>
    <w:rsid w:val="008139D4"/>
    <w:rsid w:val="0081421A"/>
    <w:rsid w:val="00814DB0"/>
    <w:rsid w:val="00816866"/>
    <w:rsid w:val="008176EC"/>
    <w:rsid w:val="00817984"/>
    <w:rsid w:val="0082121B"/>
    <w:rsid w:val="008220CC"/>
    <w:rsid w:val="008221FA"/>
    <w:rsid w:val="008242BF"/>
    <w:rsid w:val="008248FC"/>
    <w:rsid w:val="008250BC"/>
    <w:rsid w:val="0082608C"/>
    <w:rsid w:val="00826A95"/>
    <w:rsid w:val="008276AA"/>
    <w:rsid w:val="00832826"/>
    <w:rsid w:val="00832DCB"/>
    <w:rsid w:val="00833A66"/>
    <w:rsid w:val="0083606A"/>
    <w:rsid w:val="00836FFC"/>
    <w:rsid w:val="00840925"/>
    <w:rsid w:val="0084283B"/>
    <w:rsid w:val="008428E9"/>
    <w:rsid w:val="008476A8"/>
    <w:rsid w:val="0085018B"/>
    <w:rsid w:val="008506DB"/>
    <w:rsid w:val="00850AF6"/>
    <w:rsid w:val="00850B75"/>
    <w:rsid w:val="00851BC4"/>
    <w:rsid w:val="00852181"/>
    <w:rsid w:val="00853444"/>
    <w:rsid w:val="008543CB"/>
    <w:rsid w:val="00855C35"/>
    <w:rsid w:val="00855F78"/>
    <w:rsid w:val="008600DC"/>
    <w:rsid w:val="00860251"/>
    <w:rsid w:val="00860983"/>
    <w:rsid w:val="00861EE8"/>
    <w:rsid w:val="00863080"/>
    <w:rsid w:val="00864270"/>
    <w:rsid w:val="008656F8"/>
    <w:rsid w:val="00867A30"/>
    <w:rsid w:val="00867C69"/>
    <w:rsid w:val="00870F57"/>
    <w:rsid w:val="00871821"/>
    <w:rsid w:val="008721F5"/>
    <w:rsid w:val="00874714"/>
    <w:rsid w:val="00874C8D"/>
    <w:rsid w:val="00874CAB"/>
    <w:rsid w:val="00876062"/>
    <w:rsid w:val="00877DCD"/>
    <w:rsid w:val="00880256"/>
    <w:rsid w:val="008841C7"/>
    <w:rsid w:val="00884C0D"/>
    <w:rsid w:val="008857F9"/>
    <w:rsid w:val="0089047A"/>
    <w:rsid w:val="0089248C"/>
    <w:rsid w:val="00896D77"/>
    <w:rsid w:val="00897DBB"/>
    <w:rsid w:val="008A0263"/>
    <w:rsid w:val="008A151D"/>
    <w:rsid w:val="008A326B"/>
    <w:rsid w:val="008A3B5F"/>
    <w:rsid w:val="008A4BAC"/>
    <w:rsid w:val="008A4C00"/>
    <w:rsid w:val="008A513F"/>
    <w:rsid w:val="008A77AE"/>
    <w:rsid w:val="008B0DA0"/>
    <w:rsid w:val="008B1002"/>
    <w:rsid w:val="008B64D8"/>
    <w:rsid w:val="008B6BAB"/>
    <w:rsid w:val="008C130E"/>
    <w:rsid w:val="008C37DC"/>
    <w:rsid w:val="008C4247"/>
    <w:rsid w:val="008C7BF1"/>
    <w:rsid w:val="008D106B"/>
    <w:rsid w:val="008D3079"/>
    <w:rsid w:val="008D4081"/>
    <w:rsid w:val="008D4BA4"/>
    <w:rsid w:val="008D7E04"/>
    <w:rsid w:val="008E1577"/>
    <w:rsid w:val="008E35A0"/>
    <w:rsid w:val="008E4005"/>
    <w:rsid w:val="008E4EA7"/>
    <w:rsid w:val="008E677E"/>
    <w:rsid w:val="008E7617"/>
    <w:rsid w:val="008F0317"/>
    <w:rsid w:val="008F2029"/>
    <w:rsid w:val="008F237F"/>
    <w:rsid w:val="008F4707"/>
    <w:rsid w:val="008F6C5C"/>
    <w:rsid w:val="008F79A9"/>
    <w:rsid w:val="008F7AAE"/>
    <w:rsid w:val="009035B5"/>
    <w:rsid w:val="009057B4"/>
    <w:rsid w:val="00907960"/>
    <w:rsid w:val="00910DD4"/>
    <w:rsid w:val="009134EB"/>
    <w:rsid w:val="009143F0"/>
    <w:rsid w:val="0091464F"/>
    <w:rsid w:val="009167C5"/>
    <w:rsid w:val="00916DB3"/>
    <w:rsid w:val="00923EF6"/>
    <w:rsid w:val="009301B6"/>
    <w:rsid w:val="00933919"/>
    <w:rsid w:val="00933B25"/>
    <w:rsid w:val="00934CDE"/>
    <w:rsid w:val="009353FB"/>
    <w:rsid w:val="009365CA"/>
    <w:rsid w:val="00937C40"/>
    <w:rsid w:val="00937F49"/>
    <w:rsid w:val="00943525"/>
    <w:rsid w:val="00944735"/>
    <w:rsid w:val="00944EEB"/>
    <w:rsid w:val="00945539"/>
    <w:rsid w:val="00946F3B"/>
    <w:rsid w:val="0094734F"/>
    <w:rsid w:val="00952BC2"/>
    <w:rsid w:val="0095431F"/>
    <w:rsid w:val="009559E0"/>
    <w:rsid w:val="009600E3"/>
    <w:rsid w:val="00960D4C"/>
    <w:rsid w:val="0096374A"/>
    <w:rsid w:val="00963859"/>
    <w:rsid w:val="00967D65"/>
    <w:rsid w:val="00971795"/>
    <w:rsid w:val="00971CBD"/>
    <w:rsid w:val="00972596"/>
    <w:rsid w:val="009732B5"/>
    <w:rsid w:val="00973A5E"/>
    <w:rsid w:val="00975C32"/>
    <w:rsid w:val="00981656"/>
    <w:rsid w:val="0098201A"/>
    <w:rsid w:val="00983DD8"/>
    <w:rsid w:val="009847C5"/>
    <w:rsid w:val="009862FA"/>
    <w:rsid w:val="0098649E"/>
    <w:rsid w:val="009864EB"/>
    <w:rsid w:val="00987C9F"/>
    <w:rsid w:val="00991568"/>
    <w:rsid w:val="009919CC"/>
    <w:rsid w:val="00992539"/>
    <w:rsid w:val="00992BB2"/>
    <w:rsid w:val="009948B2"/>
    <w:rsid w:val="00996829"/>
    <w:rsid w:val="00996CE4"/>
    <w:rsid w:val="009A1C5D"/>
    <w:rsid w:val="009A1EE5"/>
    <w:rsid w:val="009A289C"/>
    <w:rsid w:val="009A4869"/>
    <w:rsid w:val="009A4AD5"/>
    <w:rsid w:val="009A6912"/>
    <w:rsid w:val="009A6B9C"/>
    <w:rsid w:val="009A7200"/>
    <w:rsid w:val="009B0D6D"/>
    <w:rsid w:val="009B3798"/>
    <w:rsid w:val="009B4F5F"/>
    <w:rsid w:val="009B5A28"/>
    <w:rsid w:val="009C4968"/>
    <w:rsid w:val="009C527F"/>
    <w:rsid w:val="009D1DEC"/>
    <w:rsid w:val="009D30BB"/>
    <w:rsid w:val="009D3E23"/>
    <w:rsid w:val="009D6402"/>
    <w:rsid w:val="009D682E"/>
    <w:rsid w:val="009E074B"/>
    <w:rsid w:val="009E2B6D"/>
    <w:rsid w:val="009E40EB"/>
    <w:rsid w:val="009E4AC6"/>
    <w:rsid w:val="009E6A87"/>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1985"/>
    <w:rsid w:val="00A12454"/>
    <w:rsid w:val="00A14FAA"/>
    <w:rsid w:val="00A15BA0"/>
    <w:rsid w:val="00A17DED"/>
    <w:rsid w:val="00A26286"/>
    <w:rsid w:val="00A3002B"/>
    <w:rsid w:val="00A33BD3"/>
    <w:rsid w:val="00A35A81"/>
    <w:rsid w:val="00A36381"/>
    <w:rsid w:val="00A3781E"/>
    <w:rsid w:val="00A40916"/>
    <w:rsid w:val="00A40B41"/>
    <w:rsid w:val="00A4134F"/>
    <w:rsid w:val="00A45EAF"/>
    <w:rsid w:val="00A46ED1"/>
    <w:rsid w:val="00A476CE"/>
    <w:rsid w:val="00A50206"/>
    <w:rsid w:val="00A50BCD"/>
    <w:rsid w:val="00A52051"/>
    <w:rsid w:val="00A5299E"/>
    <w:rsid w:val="00A53AD1"/>
    <w:rsid w:val="00A54E10"/>
    <w:rsid w:val="00A55A25"/>
    <w:rsid w:val="00A60E15"/>
    <w:rsid w:val="00A617CB"/>
    <w:rsid w:val="00A61D05"/>
    <w:rsid w:val="00A62B6A"/>
    <w:rsid w:val="00A634F9"/>
    <w:rsid w:val="00A64825"/>
    <w:rsid w:val="00A66226"/>
    <w:rsid w:val="00A667E6"/>
    <w:rsid w:val="00A71E62"/>
    <w:rsid w:val="00A72451"/>
    <w:rsid w:val="00A74010"/>
    <w:rsid w:val="00A75063"/>
    <w:rsid w:val="00A75487"/>
    <w:rsid w:val="00A77241"/>
    <w:rsid w:val="00A77F91"/>
    <w:rsid w:val="00A80D4D"/>
    <w:rsid w:val="00A817B5"/>
    <w:rsid w:val="00A824E7"/>
    <w:rsid w:val="00A8284A"/>
    <w:rsid w:val="00A83997"/>
    <w:rsid w:val="00A83D57"/>
    <w:rsid w:val="00A84127"/>
    <w:rsid w:val="00A91EC2"/>
    <w:rsid w:val="00A9233B"/>
    <w:rsid w:val="00A94830"/>
    <w:rsid w:val="00A94F20"/>
    <w:rsid w:val="00A970BE"/>
    <w:rsid w:val="00A97B0F"/>
    <w:rsid w:val="00AA2C00"/>
    <w:rsid w:val="00AA36B7"/>
    <w:rsid w:val="00AA5D91"/>
    <w:rsid w:val="00AA5FDD"/>
    <w:rsid w:val="00AA69A1"/>
    <w:rsid w:val="00AA7981"/>
    <w:rsid w:val="00AB0815"/>
    <w:rsid w:val="00AB122E"/>
    <w:rsid w:val="00AB5B0F"/>
    <w:rsid w:val="00AB65A7"/>
    <w:rsid w:val="00AB770F"/>
    <w:rsid w:val="00AC21CD"/>
    <w:rsid w:val="00AC2884"/>
    <w:rsid w:val="00AC4A8A"/>
    <w:rsid w:val="00AC4B91"/>
    <w:rsid w:val="00AC5CE5"/>
    <w:rsid w:val="00AC77E2"/>
    <w:rsid w:val="00AD013B"/>
    <w:rsid w:val="00AD0404"/>
    <w:rsid w:val="00AD1653"/>
    <w:rsid w:val="00AD233D"/>
    <w:rsid w:val="00AD479B"/>
    <w:rsid w:val="00AD4D8B"/>
    <w:rsid w:val="00AD6DCF"/>
    <w:rsid w:val="00AD7337"/>
    <w:rsid w:val="00AD76EB"/>
    <w:rsid w:val="00AE0292"/>
    <w:rsid w:val="00AE2291"/>
    <w:rsid w:val="00AE29D9"/>
    <w:rsid w:val="00AE2FE1"/>
    <w:rsid w:val="00AE43B8"/>
    <w:rsid w:val="00AE63B6"/>
    <w:rsid w:val="00AE6F20"/>
    <w:rsid w:val="00AE75CA"/>
    <w:rsid w:val="00AF2A94"/>
    <w:rsid w:val="00AF2ED6"/>
    <w:rsid w:val="00AF4811"/>
    <w:rsid w:val="00AF66E8"/>
    <w:rsid w:val="00AF79FE"/>
    <w:rsid w:val="00B00EC3"/>
    <w:rsid w:val="00B0153E"/>
    <w:rsid w:val="00B0230A"/>
    <w:rsid w:val="00B04CED"/>
    <w:rsid w:val="00B05B40"/>
    <w:rsid w:val="00B0606C"/>
    <w:rsid w:val="00B0684D"/>
    <w:rsid w:val="00B06F2D"/>
    <w:rsid w:val="00B071B8"/>
    <w:rsid w:val="00B1413F"/>
    <w:rsid w:val="00B141A2"/>
    <w:rsid w:val="00B147AA"/>
    <w:rsid w:val="00B17815"/>
    <w:rsid w:val="00B17E19"/>
    <w:rsid w:val="00B21A36"/>
    <w:rsid w:val="00B2233C"/>
    <w:rsid w:val="00B23091"/>
    <w:rsid w:val="00B26B72"/>
    <w:rsid w:val="00B27E12"/>
    <w:rsid w:val="00B300D9"/>
    <w:rsid w:val="00B312DB"/>
    <w:rsid w:val="00B31CF9"/>
    <w:rsid w:val="00B32863"/>
    <w:rsid w:val="00B32A6C"/>
    <w:rsid w:val="00B340E1"/>
    <w:rsid w:val="00B34F81"/>
    <w:rsid w:val="00B359EE"/>
    <w:rsid w:val="00B379D5"/>
    <w:rsid w:val="00B41CE4"/>
    <w:rsid w:val="00B42793"/>
    <w:rsid w:val="00B43FEC"/>
    <w:rsid w:val="00B44D5D"/>
    <w:rsid w:val="00B47A6D"/>
    <w:rsid w:val="00B53A63"/>
    <w:rsid w:val="00B5414B"/>
    <w:rsid w:val="00B5469F"/>
    <w:rsid w:val="00B54F4B"/>
    <w:rsid w:val="00B63060"/>
    <w:rsid w:val="00B64420"/>
    <w:rsid w:val="00B6717A"/>
    <w:rsid w:val="00B7034E"/>
    <w:rsid w:val="00B7143B"/>
    <w:rsid w:val="00B727D1"/>
    <w:rsid w:val="00B73C70"/>
    <w:rsid w:val="00B76476"/>
    <w:rsid w:val="00B77D7A"/>
    <w:rsid w:val="00B77E93"/>
    <w:rsid w:val="00B80A9D"/>
    <w:rsid w:val="00B8106D"/>
    <w:rsid w:val="00B8290F"/>
    <w:rsid w:val="00B82A9E"/>
    <w:rsid w:val="00B83312"/>
    <w:rsid w:val="00B845DD"/>
    <w:rsid w:val="00B91A46"/>
    <w:rsid w:val="00B91EA7"/>
    <w:rsid w:val="00B94EB1"/>
    <w:rsid w:val="00B95CB6"/>
    <w:rsid w:val="00B95CD8"/>
    <w:rsid w:val="00B97C08"/>
    <w:rsid w:val="00BA1006"/>
    <w:rsid w:val="00BA1C4A"/>
    <w:rsid w:val="00BA2BD3"/>
    <w:rsid w:val="00BA3879"/>
    <w:rsid w:val="00BA3ED8"/>
    <w:rsid w:val="00BA4711"/>
    <w:rsid w:val="00BA488B"/>
    <w:rsid w:val="00BA5EEE"/>
    <w:rsid w:val="00BA703E"/>
    <w:rsid w:val="00BA74CA"/>
    <w:rsid w:val="00BB0034"/>
    <w:rsid w:val="00BB1E1C"/>
    <w:rsid w:val="00BB358A"/>
    <w:rsid w:val="00BB657A"/>
    <w:rsid w:val="00BB7CC6"/>
    <w:rsid w:val="00BC0E02"/>
    <w:rsid w:val="00BC391D"/>
    <w:rsid w:val="00BD297C"/>
    <w:rsid w:val="00BD2B70"/>
    <w:rsid w:val="00BD675F"/>
    <w:rsid w:val="00BD73DD"/>
    <w:rsid w:val="00BE072D"/>
    <w:rsid w:val="00BE1455"/>
    <w:rsid w:val="00BE191A"/>
    <w:rsid w:val="00BE2926"/>
    <w:rsid w:val="00BE29D7"/>
    <w:rsid w:val="00BE4CF4"/>
    <w:rsid w:val="00BE597B"/>
    <w:rsid w:val="00BE6E72"/>
    <w:rsid w:val="00BF1B46"/>
    <w:rsid w:val="00BF2726"/>
    <w:rsid w:val="00BF429F"/>
    <w:rsid w:val="00BF49F0"/>
    <w:rsid w:val="00BF4ECA"/>
    <w:rsid w:val="00C0067B"/>
    <w:rsid w:val="00C022F6"/>
    <w:rsid w:val="00C03342"/>
    <w:rsid w:val="00C03673"/>
    <w:rsid w:val="00C03BC2"/>
    <w:rsid w:val="00C064D1"/>
    <w:rsid w:val="00C10F35"/>
    <w:rsid w:val="00C11657"/>
    <w:rsid w:val="00C1180F"/>
    <w:rsid w:val="00C127AE"/>
    <w:rsid w:val="00C12D0F"/>
    <w:rsid w:val="00C1577E"/>
    <w:rsid w:val="00C15C6B"/>
    <w:rsid w:val="00C15EAE"/>
    <w:rsid w:val="00C17EC8"/>
    <w:rsid w:val="00C202C8"/>
    <w:rsid w:val="00C21CC4"/>
    <w:rsid w:val="00C23D69"/>
    <w:rsid w:val="00C30C6D"/>
    <w:rsid w:val="00C31AE9"/>
    <w:rsid w:val="00C324C9"/>
    <w:rsid w:val="00C326D9"/>
    <w:rsid w:val="00C32A91"/>
    <w:rsid w:val="00C3657D"/>
    <w:rsid w:val="00C36D3B"/>
    <w:rsid w:val="00C373BD"/>
    <w:rsid w:val="00C42942"/>
    <w:rsid w:val="00C42E1F"/>
    <w:rsid w:val="00C4303A"/>
    <w:rsid w:val="00C43265"/>
    <w:rsid w:val="00C43A94"/>
    <w:rsid w:val="00C43DF4"/>
    <w:rsid w:val="00C45089"/>
    <w:rsid w:val="00C45347"/>
    <w:rsid w:val="00C47B11"/>
    <w:rsid w:val="00C5023B"/>
    <w:rsid w:val="00C510CB"/>
    <w:rsid w:val="00C51F30"/>
    <w:rsid w:val="00C56E8C"/>
    <w:rsid w:val="00C578A4"/>
    <w:rsid w:val="00C57ED9"/>
    <w:rsid w:val="00C604FD"/>
    <w:rsid w:val="00C6059C"/>
    <w:rsid w:val="00C60A8C"/>
    <w:rsid w:val="00C61CCB"/>
    <w:rsid w:val="00C6293C"/>
    <w:rsid w:val="00C70499"/>
    <w:rsid w:val="00C70D30"/>
    <w:rsid w:val="00C7364D"/>
    <w:rsid w:val="00C7713A"/>
    <w:rsid w:val="00C7724E"/>
    <w:rsid w:val="00C8075E"/>
    <w:rsid w:val="00C819FA"/>
    <w:rsid w:val="00C81A7E"/>
    <w:rsid w:val="00C824DA"/>
    <w:rsid w:val="00C85A96"/>
    <w:rsid w:val="00C86127"/>
    <w:rsid w:val="00C9014D"/>
    <w:rsid w:val="00C908DF"/>
    <w:rsid w:val="00C92D00"/>
    <w:rsid w:val="00C92DA9"/>
    <w:rsid w:val="00C93BE8"/>
    <w:rsid w:val="00C93C1A"/>
    <w:rsid w:val="00C9490C"/>
    <w:rsid w:val="00C9618A"/>
    <w:rsid w:val="00C9748C"/>
    <w:rsid w:val="00C97E94"/>
    <w:rsid w:val="00CA0A77"/>
    <w:rsid w:val="00CA0B15"/>
    <w:rsid w:val="00CA18BF"/>
    <w:rsid w:val="00CA1CC7"/>
    <w:rsid w:val="00CA2860"/>
    <w:rsid w:val="00CA2C82"/>
    <w:rsid w:val="00CA374A"/>
    <w:rsid w:val="00CA3827"/>
    <w:rsid w:val="00CA48A7"/>
    <w:rsid w:val="00CA559B"/>
    <w:rsid w:val="00CA5BE9"/>
    <w:rsid w:val="00CB0879"/>
    <w:rsid w:val="00CB36E5"/>
    <w:rsid w:val="00CB4421"/>
    <w:rsid w:val="00CB5AEB"/>
    <w:rsid w:val="00CB5B8F"/>
    <w:rsid w:val="00CC00B2"/>
    <w:rsid w:val="00CC02B4"/>
    <w:rsid w:val="00CC1637"/>
    <w:rsid w:val="00CC17FF"/>
    <w:rsid w:val="00CC1D19"/>
    <w:rsid w:val="00CC38D9"/>
    <w:rsid w:val="00CC5193"/>
    <w:rsid w:val="00CD01B9"/>
    <w:rsid w:val="00CD1573"/>
    <w:rsid w:val="00CD3A24"/>
    <w:rsid w:val="00CD455B"/>
    <w:rsid w:val="00CD4B8E"/>
    <w:rsid w:val="00CD7E25"/>
    <w:rsid w:val="00CE26D8"/>
    <w:rsid w:val="00CE2860"/>
    <w:rsid w:val="00CE47EA"/>
    <w:rsid w:val="00CE7372"/>
    <w:rsid w:val="00CF1AF3"/>
    <w:rsid w:val="00D00F71"/>
    <w:rsid w:val="00D028E4"/>
    <w:rsid w:val="00D033D3"/>
    <w:rsid w:val="00D04413"/>
    <w:rsid w:val="00D04C21"/>
    <w:rsid w:val="00D1108D"/>
    <w:rsid w:val="00D1180B"/>
    <w:rsid w:val="00D17D08"/>
    <w:rsid w:val="00D17E2D"/>
    <w:rsid w:val="00D200F7"/>
    <w:rsid w:val="00D2258F"/>
    <w:rsid w:val="00D26ABA"/>
    <w:rsid w:val="00D27B59"/>
    <w:rsid w:val="00D32942"/>
    <w:rsid w:val="00D32EB3"/>
    <w:rsid w:val="00D34154"/>
    <w:rsid w:val="00D35183"/>
    <w:rsid w:val="00D35B24"/>
    <w:rsid w:val="00D36C35"/>
    <w:rsid w:val="00D37127"/>
    <w:rsid w:val="00D42064"/>
    <w:rsid w:val="00D44BC2"/>
    <w:rsid w:val="00D44E19"/>
    <w:rsid w:val="00D44F22"/>
    <w:rsid w:val="00D46B28"/>
    <w:rsid w:val="00D47462"/>
    <w:rsid w:val="00D50EEC"/>
    <w:rsid w:val="00D51272"/>
    <w:rsid w:val="00D532C7"/>
    <w:rsid w:val="00D53DE5"/>
    <w:rsid w:val="00D557A9"/>
    <w:rsid w:val="00D55BB2"/>
    <w:rsid w:val="00D571F1"/>
    <w:rsid w:val="00D57A95"/>
    <w:rsid w:val="00D57F77"/>
    <w:rsid w:val="00D6031B"/>
    <w:rsid w:val="00D642A2"/>
    <w:rsid w:val="00D64F1A"/>
    <w:rsid w:val="00D65562"/>
    <w:rsid w:val="00D66230"/>
    <w:rsid w:val="00D66675"/>
    <w:rsid w:val="00D710AC"/>
    <w:rsid w:val="00D75269"/>
    <w:rsid w:val="00D811C8"/>
    <w:rsid w:val="00D83F7E"/>
    <w:rsid w:val="00D845E6"/>
    <w:rsid w:val="00D84D03"/>
    <w:rsid w:val="00D9097E"/>
    <w:rsid w:val="00D91DB8"/>
    <w:rsid w:val="00D92220"/>
    <w:rsid w:val="00D93611"/>
    <w:rsid w:val="00D9431E"/>
    <w:rsid w:val="00D94EB0"/>
    <w:rsid w:val="00D96011"/>
    <w:rsid w:val="00D96853"/>
    <w:rsid w:val="00DA1096"/>
    <w:rsid w:val="00DB1346"/>
    <w:rsid w:val="00DB1992"/>
    <w:rsid w:val="00DB1FDC"/>
    <w:rsid w:val="00DB2A35"/>
    <w:rsid w:val="00DB314F"/>
    <w:rsid w:val="00DB3D79"/>
    <w:rsid w:val="00DB3DD6"/>
    <w:rsid w:val="00DB52C4"/>
    <w:rsid w:val="00DB6479"/>
    <w:rsid w:val="00DB7167"/>
    <w:rsid w:val="00DC0806"/>
    <w:rsid w:val="00DC11C2"/>
    <w:rsid w:val="00DC16E8"/>
    <w:rsid w:val="00DC38D6"/>
    <w:rsid w:val="00DC4D1E"/>
    <w:rsid w:val="00DC76ED"/>
    <w:rsid w:val="00DC796E"/>
    <w:rsid w:val="00DC7E8D"/>
    <w:rsid w:val="00DD52DC"/>
    <w:rsid w:val="00DD6400"/>
    <w:rsid w:val="00DE08AA"/>
    <w:rsid w:val="00DE08CA"/>
    <w:rsid w:val="00DE1D70"/>
    <w:rsid w:val="00DE38E0"/>
    <w:rsid w:val="00DE4C8A"/>
    <w:rsid w:val="00DE53C4"/>
    <w:rsid w:val="00DE6936"/>
    <w:rsid w:val="00DF031E"/>
    <w:rsid w:val="00DF765D"/>
    <w:rsid w:val="00E00935"/>
    <w:rsid w:val="00E01871"/>
    <w:rsid w:val="00E02A35"/>
    <w:rsid w:val="00E02EFC"/>
    <w:rsid w:val="00E041CC"/>
    <w:rsid w:val="00E04EEB"/>
    <w:rsid w:val="00E055C7"/>
    <w:rsid w:val="00E07552"/>
    <w:rsid w:val="00E07C74"/>
    <w:rsid w:val="00E10443"/>
    <w:rsid w:val="00E131F7"/>
    <w:rsid w:val="00E214DF"/>
    <w:rsid w:val="00E21615"/>
    <w:rsid w:val="00E2257C"/>
    <w:rsid w:val="00E2374F"/>
    <w:rsid w:val="00E23CAA"/>
    <w:rsid w:val="00E32304"/>
    <w:rsid w:val="00E3426C"/>
    <w:rsid w:val="00E3484B"/>
    <w:rsid w:val="00E349CE"/>
    <w:rsid w:val="00E3535F"/>
    <w:rsid w:val="00E35961"/>
    <w:rsid w:val="00E3783C"/>
    <w:rsid w:val="00E40EE6"/>
    <w:rsid w:val="00E419A3"/>
    <w:rsid w:val="00E41B22"/>
    <w:rsid w:val="00E45730"/>
    <w:rsid w:val="00E47D39"/>
    <w:rsid w:val="00E50146"/>
    <w:rsid w:val="00E50306"/>
    <w:rsid w:val="00E50C94"/>
    <w:rsid w:val="00E51352"/>
    <w:rsid w:val="00E51F38"/>
    <w:rsid w:val="00E51F94"/>
    <w:rsid w:val="00E52B64"/>
    <w:rsid w:val="00E52FA4"/>
    <w:rsid w:val="00E54A8C"/>
    <w:rsid w:val="00E54B7B"/>
    <w:rsid w:val="00E550B6"/>
    <w:rsid w:val="00E55EAD"/>
    <w:rsid w:val="00E60EE6"/>
    <w:rsid w:val="00E632D8"/>
    <w:rsid w:val="00E64FD5"/>
    <w:rsid w:val="00E662A8"/>
    <w:rsid w:val="00E673EA"/>
    <w:rsid w:val="00E6772F"/>
    <w:rsid w:val="00E70EB5"/>
    <w:rsid w:val="00E71DB9"/>
    <w:rsid w:val="00E71FE6"/>
    <w:rsid w:val="00E73748"/>
    <w:rsid w:val="00E7592B"/>
    <w:rsid w:val="00E7792C"/>
    <w:rsid w:val="00E81EE8"/>
    <w:rsid w:val="00E82765"/>
    <w:rsid w:val="00E8297D"/>
    <w:rsid w:val="00E83597"/>
    <w:rsid w:val="00E83FED"/>
    <w:rsid w:val="00E87D30"/>
    <w:rsid w:val="00E9089B"/>
    <w:rsid w:val="00E90F09"/>
    <w:rsid w:val="00E936BE"/>
    <w:rsid w:val="00E95827"/>
    <w:rsid w:val="00E95EE4"/>
    <w:rsid w:val="00EA1F0F"/>
    <w:rsid w:val="00EA2106"/>
    <w:rsid w:val="00EA3740"/>
    <w:rsid w:val="00EA414E"/>
    <w:rsid w:val="00EA7291"/>
    <w:rsid w:val="00EB1880"/>
    <w:rsid w:val="00EB1B3C"/>
    <w:rsid w:val="00EB1F8A"/>
    <w:rsid w:val="00EB2723"/>
    <w:rsid w:val="00EB2747"/>
    <w:rsid w:val="00EB2D67"/>
    <w:rsid w:val="00EB36D6"/>
    <w:rsid w:val="00EB3F3A"/>
    <w:rsid w:val="00EB6006"/>
    <w:rsid w:val="00EB62F2"/>
    <w:rsid w:val="00EC2BF2"/>
    <w:rsid w:val="00EC38CF"/>
    <w:rsid w:val="00EC5259"/>
    <w:rsid w:val="00ED121F"/>
    <w:rsid w:val="00ED195C"/>
    <w:rsid w:val="00ED389E"/>
    <w:rsid w:val="00ED3C5D"/>
    <w:rsid w:val="00ED626E"/>
    <w:rsid w:val="00ED7FFD"/>
    <w:rsid w:val="00EE0CC0"/>
    <w:rsid w:val="00EE2A77"/>
    <w:rsid w:val="00EE4E35"/>
    <w:rsid w:val="00EE656D"/>
    <w:rsid w:val="00EE69A7"/>
    <w:rsid w:val="00EE78D7"/>
    <w:rsid w:val="00EE7B05"/>
    <w:rsid w:val="00EF1922"/>
    <w:rsid w:val="00EF4BC6"/>
    <w:rsid w:val="00EF6E7E"/>
    <w:rsid w:val="00F028E4"/>
    <w:rsid w:val="00F02CA2"/>
    <w:rsid w:val="00F036D5"/>
    <w:rsid w:val="00F03D26"/>
    <w:rsid w:val="00F04C93"/>
    <w:rsid w:val="00F05094"/>
    <w:rsid w:val="00F05FF0"/>
    <w:rsid w:val="00F06A3F"/>
    <w:rsid w:val="00F06DE0"/>
    <w:rsid w:val="00F072CB"/>
    <w:rsid w:val="00F072F7"/>
    <w:rsid w:val="00F073BD"/>
    <w:rsid w:val="00F101DF"/>
    <w:rsid w:val="00F119E5"/>
    <w:rsid w:val="00F13FE7"/>
    <w:rsid w:val="00F15094"/>
    <w:rsid w:val="00F177A8"/>
    <w:rsid w:val="00F20451"/>
    <w:rsid w:val="00F2749F"/>
    <w:rsid w:val="00F31484"/>
    <w:rsid w:val="00F32522"/>
    <w:rsid w:val="00F333B9"/>
    <w:rsid w:val="00F33B9E"/>
    <w:rsid w:val="00F340AE"/>
    <w:rsid w:val="00F341D3"/>
    <w:rsid w:val="00F3502D"/>
    <w:rsid w:val="00F36648"/>
    <w:rsid w:val="00F36A2A"/>
    <w:rsid w:val="00F41A45"/>
    <w:rsid w:val="00F43EC1"/>
    <w:rsid w:val="00F46C21"/>
    <w:rsid w:val="00F50804"/>
    <w:rsid w:val="00F55240"/>
    <w:rsid w:val="00F55DF2"/>
    <w:rsid w:val="00F60A29"/>
    <w:rsid w:val="00F621AA"/>
    <w:rsid w:val="00F64B1F"/>
    <w:rsid w:val="00F654F5"/>
    <w:rsid w:val="00F66BE2"/>
    <w:rsid w:val="00F67839"/>
    <w:rsid w:val="00F67D86"/>
    <w:rsid w:val="00F70326"/>
    <w:rsid w:val="00F71384"/>
    <w:rsid w:val="00F750CD"/>
    <w:rsid w:val="00F75C55"/>
    <w:rsid w:val="00F81532"/>
    <w:rsid w:val="00F8273A"/>
    <w:rsid w:val="00F83246"/>
    <w:rsid w:val="00F845C9"/>
    <w:rsid w:val="00F85EE4"/>
    <w:rsid w:val="00F906BA"/>
    <w:rsid w:val="00F916F3"/>
    <w:rsid w:val="00F91CDC"/>
    <w:rsid w:val="00F93118"/>
    <w:rsid w:val="00F93C23"/>
    <w:rsid w:val="00F948D1"/>
    <w:rsid w:val="00F94BAD"/>
    <w:rsid w:val="00F94CF3"/>
    <w:rsid w:val="00F94D71"/>
    <w:rsid w:val="00F95E77"/>
    <w:rsid w:val="00F96B02"/>
    <w:rsid w:val="00F97F14"/>
    <w:rsid w:val="00F97F70"/>
    <w:rsid w:val="00FA09FB"/>
    <w:rsid w:val="00FA5C80"/>
    <w:rsid w:val="00FA6438"/>
    <w:rsid w:val="00FA7A05"/>
    <w:rsid w:val="00FB1463"/>
    <w:rsid w:val="00FB2408"/>
    <w:rsid w:val="00FB585E"/>
    <w:rsid w:val="00FB5FFA"/>
    <w:rsid w:val="00FB6DF6"/>
    <w:rsid w:val="00FB70AA"/>
    <w:rsid w:val="00FC0BCE"/>
    <w:rsid w:val="00FC2687"/>
    <w:rsid w:val="00FC456C"/>
    <w:rsid w:val="00FC4793"/>
    <w:rsid w:val="00FC4F8A"/>
    <w:rsid w:val="00FC60BC"/>
    <w:rsid w:val="00FD37EF"/>
    <w:rsid w:val="00FD66F7"/>
    <w:rsid w:val="00FD73A2"/>
    <w:rsid w:val="00FD7B0F"/>
    <w:rsid w:val="00FD7EA1"/>
    <w:rsid w:val="00FE324F"/>
    <w:rsid w:val="00FE37C9"/>
    <w:rsid w:val="00FE4E35"/>
    <w:rsid w:val="00FE5D24"/>
    <w:rsid w:val="00FE6311"/>
    <w:rsid w:val="00FE69AB"/>
    <w:rsid w:val="00FE7D18"/>
    <w:rsid w:val="00FF13ED"/>
    <w:rsid w:val="00FF2403"/>
    <w:rsid w:val="00FF3CA7"/>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paragraph" w:customStyle="1" w:styleId="Default">
    <w:name w:val="Default"/>
    <w:rsid w:val="00CA18BF"/>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42893274">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1256016058">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388648669">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 w:id="934479150">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30.A420350216.12.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43571.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12622</Words>
  <Characters>7196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2024-12-18T21:08:00Z</dcterms:created>
  <dcterms:modified xsi:type="dcterms:W3CDTF">2024-12-19T07:56:00Z</dcterms:modified>
</cp:coreProperties>
</file>