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D3034" w14:textId="77777777" w:rsidR="007754F8" w:rsidRDefault="007754F8" w:rsidP="00607CB5">
      <w:pPr>
        <w:spacing w:line="276" w:lineRule="auto"/>
        <w:rPr>
          <w:b/>
          <w:bCs/>
        </w:rPr>
      </w:pPr>
      <w:r>
        <w:rPr>
          <w:b/>
          <w:bCs/>
        </w:rPr>
        <w:t>Apstrīdēšanas iesniegumā nenorādīta argumenta par tiesību normu piemērošanu pieļaujamība tiesā</w:t>
      </w:r>
    </w:p>
    <w:p w14:paraId="4C7EFCFA" w14:textId="77777777" w:rsidR="007754F8" w:rsidRDefault="007754F8" w:rsidP="00607CB5">
      <w:pPr>
        <w:spacing w:line="276" w:lineRule="auto"/>
        <w:jc w:val="both"/>
        <w:rPr>
          <w:strike/>
        </w:rPr>
      </w:pPr>
      <w:r>
        <w:t xml:space="preserve">Administratīvā procesa likums neliedz pieteicējam pieteikumā un tā papildinājumos izvirzīt tādus argumentus par pārsūdzētajā lēmumā piemērotajām tiesību normām, kas iepriekš nebija izvirzīti apstrīdēšanas iesniegumā iestādei. </w:t>
      </w:r>
    </w:p>
    <w:p w14:paraId="7D20C864" w14:textId="77777777" w:rsidR="007754F8" w:rsidRDefault="007754F8" w:rsidP="00607CB5">
      <w:pPr>
        <w:spacing w:line="276" w:lineRule="auto"/>
        <w:rPr>
          <w:rFonts w:ascii="Calibri" w:hAnsi="Calibri" w:cs="Calibri"/>
          <w:i/>
          <w:iCs/>
        </w:rPr>
      </w:pPr>
    </w:p>
    <w:p w14:paraId="6DB4A0C8" w14:textId="77777777" w:rsidR="007754F8" w:rsidRDefault="007754F8" w:rsidP="00607CB5">
      <w:pPr>
        <w:autoSpaceDE w:val="0"/>
        <w:autoSpaceDN w:val="0"/>
        <w:spacing w:line="276" w:lineRule="auto"/>
        <w:jc w:val="both"/>
        <w:rPr>
          <w:b/>
          <w:bCs/>
          <w:color w:val="000000"/>
        </w:rPr>
      </w:pPr>
      <w:r>
        <w:rPr>
          <w:b/>
          <w:bCs/>
          <w:color w:val="000000"/>
        </w:rPr>
        <w:t>Tiesas pienākums pārbaudīt, vai lietā piemērojamās tiesību normas atbilst augstāka juridiskā spēka normām</w:t>
      </w:r>
    </w:p>
    <w:p w14:paraId="45890D9F" w14:textId="77777777" w:rsidR="007754F8" w:rsidRDefault="007754F8" w:rsidP="00607CB5">
      <w:pPr>
        <w:autoSpaceDE w:val="0"/>
        <w:autoSpaceDN w:val="0"/>
        <w:spacing w:line="276" w:lineRule="auto"/>
        <w:jc w:val="both"/>
        <w:rPr>
          <w:color w:val="000000"/>
        </w:rPr>
      </w:pPr>
      <w:r>
        <w:rPr>
          <w:color w:val="000000"/>
        </w:rPr>
        <w:t xml:space="preserve">Lietā piemēroto tiesību normu izvērtēšana ir tiesas pienākums. Tas, vai pastāv šaubas, ka lietā piemērotā norma atbilst augstāka juridiskā spēka normai, tiesai </w:t>
      </w:r>
      <w:proofErr w:type="spellStart"/>
      <w:r>
        <w:rPr>
          <w:i/>
          <w:iCs/>
          <w:color w:val="000000"/>
        </w:rPr>
        <w:t>ex</w:t>
      </w:r>
      <w:proofErr w:type="spellEnd"/>
      <w:r>
        <w:rPr>
          <w:i/>
          <w:iCs/>
          <w:color w:val="000000"/>
        </w:rPr>
        <w:t xml:space="preserve"> </w:t>
      </w:r>
      <w:proofErr w:type="spellStart"/>
      <w:r>
        <w:rPr>
          <w:i/>
          <w:iCs/>
          <w:color w:val="000000"/>
        </w:rPr>
        <w:t>officio</w:t>
      </w:r>
      <w:proofErr w:type="spellEnd"/>
      <w:r>
        <w:rPr>
          <w:i/>
          <w:iCs/>
          <w:color w:val="000000"/>
        </w:rPr>
        <w:t xml:space="preserve"> </w:t>
      </w:r>
      <w:r>
        <w:rPr>
          <w:color w:val="000000"/>
        </w:rPr>
        <w:t xml:space="preserve">(pašai) ir jāapsver ik katrā lietā. Kaut arī gadījumā, ja tiesai attiecīgas šaubas nerodas, tas parasti nav īpaši jāatrunā tiesas nolēmumā, tiesai tas vispār ir jāapsver. Ja procesa dalībnieks argumentē, kāpēc, viņa ieskatā, lietā piemērotā tiesību norma neatbilst augstāka juridiskā spēka normai, tiesai nevajadzētu šādu argumentu ignorēt. Lai arī procesa dalībnieka viedoklis par tiesību normas neatbilstību augstāka juridiskā spēka normai nav tiesai saistošs, ja šāds arguments ir izvirzīts, tiesai būtu uz to jāatbild, vismaz izskaidrojot, kāpēc attiecīgais arguments tiesai nerada šaubas par piemērotās tiesību normas atbilstību augstāka juridiskā spēka normām. </w:t>
      </w:r>
    </w:p>
    <w:p w14:paraId="60B851E1" w14:textId="77777777" w:rsidR="007754F8" w:rsidRDefault="007754F8" w:rsidP="00607CB5">
      <w:pPr>
        <w:autoSpaceDE w:val="0"/>
        <w:autoSpaceDN w:val="0"/>
        <w:spacing w:line="276" w:lineRule="auto"/>
        <w:jc w:val="both"/>
        <w:rPr>
          <w:b/>
          <w:bCs/>
          <w:color w:val="0070C0"/>
        </w:rPr>
      </w:pPr>
    </w:p>
    <w:p w14:paraId="1A2A0360" w14:textId="77777777" w:rsidR="007754F8" w:rsidRDefault="007754F8" w:rsidP="00607CB5">
      <w:pPr>
        <w:spacing w:line="276" w:lineRule="auto"/>
        <w:jc w:val="both"/>
        <w:rPr>
          <w:b/>
          <w:bCs/>
        </w:rPr>
      </w:pPr>
      <w:r>
        <w:rPr>
          <w:b/>
          <w:bCs/>
        </w:rPr>
        <w:t>Iestādes lēmuma par soda piemērošanu vairāku pārkāpumu gadījumā pamatojums un iestādes tiesības tiesas procesā izvērstāk izskaidrot lēmuma pamatā esošos apsvērumus</w:t>
      </w:r>
    </w:p>
    <w:p w14:paraId="58D03D29" w14:textId="77777777" w:rsidR="007754F8" w:rsidRDefault="007754F8" w:rsidP="00607CB5">
      <w:pPr>
        <w:spacing w:line="276" w:lineRule="auto"/>
        <w:jc w:val="both"/>
      </w:pPr>
      <w:r>
        <w:t>Ja iestādei ir piešķirta rīcības brīvība noteikt privātpersonai par pieļautajiem pārkāpumiem soda veidu un apmēru, līdz ar šo rīcības brīvību nāk arī pienākums pamatot, kā iestāde nonākusi pie secinājuma par konkrētajā gadījumā piemērojamo soda veidu un mēru. Savukārt tiesai, pārbaudot privātpersonai piemēroto sodu, jānoskaidro, vai iestāde ir pareizi izmantojusi tai piešķirto rīcības brīvību. Likums nepiešķir tiesai tiesības pašai noteikt to, kāds būtu piemērotākais sods par privātpersonas pieļautajiem pārkāpumiem. Līdz ar to, ja iestāde privātpersonai par vairākiem pārkāpumiem noteikusi vienu sodu, viena pārkāpuma izslēgšana no konstatēto pārkāpumu loka vispārīgi rada jautājumu, vai attiecīgi tiesisks ir iestādes noteiktais sods. Tāpēc, pārbaudot iestādes piemērotā soda pamatotību šādā situācijā, būtiski ir pārliecināties, vai un kāda ir bijusi iestādes kļūdaini konstatētā pārkāpuma ietekme uz privātpersonai piemēroto soda veidu un apmēru. Šā jautājuma noskaidrošanai tiesa var ņemt vērā ne tikai tos apsvērumus, kurus iestāde atspoguļojusi administratīvajā aktā, bet arī iestādes tiesas procesa gaitā papildus paskaidroto, ciktāl šie papildu paskaidrojumi nenonāk pretrunā ar administratīvajā aktā norādīto pamatojumu, bet gan izvērstāk izskaidro lēmuma pamatā jau esošos apsvērumus.</w:t>
      </w:r>
    </w:p>
    <w:p w14:paraId="09F58776" w14:textId="06C1CC5C" w:rsidR="00956464" w:rsidRPr="0077503B" w:rsidRDefault="00956464" w:rsidP="00607CB5">
      <w:pPr>
        <w:spacing w:line="276" w:lineRule="auto"/>
        <w:rPr>
          <w:rFonts w:asciiTheme="majorBidi" w:hAnsiTheme="majorBidi" w:cstheme="majorBidi"/>
          <w:noProof/>
          <w:color w:val="000000"/>
          <w:lang w:eastAsia="ru-RU"/>
        </w:rPr>
      </w:pPr>
    </w:p>
    <w:p w14:paraId="2B5A71C4" w14:textId="36F64075" w:rsidR="00956464" w:rsidRPr="007754F8" w:rsidRDefault="00956464" w:rsidP="00607CB5">
      <w:pPr>
        <w:spacing w:line="276" w:lineRule="auto"/>
        <w:jc w:val="center"/>
        <w:rPr>
          <w:rFonts w:asciiTheme="majorBidi" w:hAnsiTheme="majorBidi" w:cstheme="majorBidi"/>
          <w:b/>
          <w:lang w:eastAsia="ru-RU"/>
        </w:rPr>
      </w:pPr>
      <w:r w:rsidRPr="007754F8">
        <w:rPr>
          <w:rFonts w:asciiTheme="majorBidi" w:hAnsiTheme="majorBidi" w:cstheme="majorBidi"/>
          <w:b/>
          <w:lang w:eastAsia="ru-RU"/>
        </w:rPr>
        <w:t>Latvijas Republikas Senāt</w:t>
      </w:r>
      <w:r w:rsidR="007754F8" w:rsidRPr="007754F8">
        <w:rPr>
          <w:rFonts w:asciiTheme="majorBidi" w:hAnsiTheme="majorBidi" w:cstheme="majorBidi"/>
          <w:b/>
          <w:lang w:eastAsia="ru-RU"/>
        </w:rPr>
        <w:t>a</w:t>
      </w:r>
      <w:r w:rsidR="007754F8" w:rsidRPr="007754F8">
        <w:rPr>
          <w:rFonts w:asciiTheme="majorBidi" w:hAnsiTheme="majorBidi" w:cstheme="majorBidi"/>
          <w:b/>
          <w:lang w:eastAsia="ru-RU"/>
        </w:rPr>
        <w:br/>
        <w:t xml:space="preserve">Administratīvo lietu departamenta </w:t>
      </w:r>
      <w:r w:rsidR="007754F8" w:rsidRPr="007754F8">
        <w:rPr>
          <w:rFonts w:asciiTheme="majorBidi" w:hAnsiTheme="majorBidi" w:cstheme="majorBidi"/>
          <w:b/>
          <w:lang w:eastAsia="ru-RU"/>
        </w:rPr>
        <w:br/>
        <w:t>2024.gada 26.novembra</w:t>
      </w:r>
    </w:p>
    <w:p w14:paraId="208E1B95" w14:textId="77777777" w:rsidR="007754F8" w:rsidRPr="007754F8" w:rsidRDefault="00956464" w:rsidP="00607CB5">
      <w:pPr>
        <w:spacing w:line="276" w:lineRule="auto"/>
        <w:jc w:val="center"/>
        <w:rPr>
          <w:rFonts w:asciiTheme="majorBidi" w:hAnsiTheme="majorBidi" w:cstheme="majorBidi"/>
          <w:b/>
          <w:lang w:eastAsia="ru-RU"/>
        </w:rPr>
      </w:pPr>
      <w:r w:rsidRPr="007754F8">
        <w:rPr>
          <w:rFonts w:asciiTheme="majorBidi" w:hAnsiTheme="majorBidi" w:cstheme="majorBidi"/>
          <w:b/>
          <w:lang w:eastAsia="ru-RU"/>
        </w:rPr>
        <w:t>SPRIEDUMS</w:t>
      </w:r>
    </w:p>
    <w:p w14:paraId="4AE7ED45" w14:textId="720EA07A" w:rsidR="007754F8" w:rsidRPr="007754F8" w:rsidRDefault="007754F8" w:rsidP="00607CB5">
      <w:pPr>
        <w:spacing w:line="276" w:lineRule="auto"/>
        <w:jc w:val="center"/>
        <w:rPr>
          <w:rFonts w:asciiTheme="majorBidi" w:hAnsiTheme="majorBidi" w:cstheme="majorBidi"/>
          <w:b/>
          <w:bCs/>
          <w:lang w:eastAsia="ru-RU"/>
        </w:rPr>
      </w:pPr>
      <w:r w:rsidRPr="007754F8">
        <w:rPr>
          <w:rFonts w:asciiTheme="majorBidi" w:hAnsiTheme="majorBidi" w:cstheme="majorBidi"/>
          <w:b/>
          <w:bCs/>
        </w:rPr>
        <w:t>Lieta Nr. A420170320, SKA</w:t>
      </w:r>
      <w:bookmarkStart w:id="0" w:name="_Hlk129772518"/>
      <w:r w:rsidRPr="007754F8">
        <w:rPr>
          <w:rFonts w:asciiTheme="majorBidi" w:hAnsiTheme="majorBidi" w:cstheme="majorBidi"/>
          <w:b/>
          <w:bCs/>
        </w:rPr>
        <w:noBreakHyphen/>
      </w:r>
      <w:bookmarkEnd w:id="0"/>
      <w:r w:rsidRPr="007754F8">
        <w:rPr>
          <w:rFonts w:asciiTheme="majorBidi" w:hAnsiTheme="majorBidi" w:cstheme="majorBidi"/>
          <w:b/>
          <w:bCs/>
        </w:rPr>
        <w:t>155/2024</w:t>
      </w:r>
    </w:p>
    <w:p w14:paraId="1CD48B1C" w14:textId="031AFB57" w:rsidR="007754F8" w:rsidRPr="007754F8" w:rsidRDefault="007754F8" w:rsidP="00607CB5">
      <w:pPr>
        <w:spacing w:line="276" w:lineRule="auto"/>
        <w:jc w:val="center"/>
        <w:rPr>
          <w:rFonts w:asciiTheme="majorBidi" w:hAnsiTheme="majorBidi" w:cstheme="majorBidi"/>
          <w:lang w:eastAsia="ru-RU"/>
        </w:rPr>
      </w:pPr>
      <w:r w:rsidRPr="007754F8">
        <w:t xml:space="preserve"> </w:t>
      </w:r>
      <w:hyperlink r:id="rId8" w:history="1">
        <w:r w:rsidRPr="007754F8">
          <w:rPr>
            <w:rStyle w:val="Hyperlink"/>
          </w:rPr>
          <w:t>ECLI:LV:AT:2024:1126.A420170320.10.S</w:t>
        </w:r>
      </w:hyperlink>
    </w:p>
    <w:p w14:paraId="567C9A48" w14:textId="77777777" w:rsidR="00956464" w:rsidRPr="0077503B" w:rsidRDefault="00956464" w:rsidP="00607CB5">
      <w:pPr>
        <w:spacing w:line="276" w:lineRule="auto"/>
        <w:ind w:firstLine="567"/>
        <w:jc w:val="both"/>
        <w:rPr>
          <w:rFonts w:asciiTheme="majorBidi" w:hAnsiTheme="majorBidi" w:cstheme="majorBidi"/>
        </w:rPr>
      </w:pPr>
    </w:p>
    <w:p w14:paraId="05379E51" w14:textId="6F234E3A"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lastRenderedPageBreak/>
        <w:t xml:space="preserve">Senāts šādā sastāvā: senatore referente </w:t>
      </w:r>
      <w:r w:rsidR="004F6C26" w:rsidRPr="0077503B">
        <w:rPr>
          <w:rFonts w:asciiTheme="majorBidi" w:hAnsiTheme="majorBidi" w:cstheme="majorBidi"/>
        </w:rPr>
        <w:t>Ieva Višķere</w:t>
      </w:r>
      <w:r w:rsidRPr="0077503B">
        <w:rPr>
          <w:rFonts w:asciiTheme="majorBidi" w:hAnsiTheme="majorBidi" w:cstheme="majorBidi"/>
        </w:rPr>
        <w:t xml:space="preserve">, senatores Dzintra Amerika un </w:t>
      </w:r>
      <w:r w:rsidR="004F6C26" w:rsidRPr="0077503B">
        <w:rPr>
          <w:rFonts w:asciiTheme="majorBidi" w:hAnsiTheme="majorBidi" w:cstheme="majorBidi"/>
        </w:rPr>
        <w:t>Indra Meldere</w:t>
      </w:r>
    </w:p>
    <w:p w14:paraId="41C13AF4" w14:textId="77777777" w:rsidR="00956464" w:rsidRPr="0077503B" w:rsidRDefault="00956464" w:rsidP="00607CB5">
      <w:pPr>
        <w:tabs>
          <w:tab w:val="left" w:pos="2700"/>
        </w:tabs>
        <w:spacing w:line="276" w:lineRule="auto"/>
        <w:ind w:firstLine="720"/>
        <w:jc w:val="both"/>
        <w:rPr>
          <w:rFonts w:asciiTheme="majorBidi" w:hAnsiTheme="majorBidi" w:cstheme="majorBidi"/>
        </w:rPr>
      </w:pPr>
    </w:p>
    <w:p w14:paraId="2CFF7EF4" w14:textId="1832CBB4" w:rsidR="00956464" w:rsidRDefault="00956464" w:rsidP="00607CB5">
      <w:pPr>
        <w:autoSpaceDE w:val="0"/>
        <w:autoSpaceDN w:val="0"/>
        <w:adjustRightInd w:val="0"/>
        <w:spacing w:line="276" w:lineRule="auto"/>
        <w:ind w:firstLine="720"/>
        <w:jc w:val="both"/>
        <w:rPr>
          <w:rFonts w:asciiTheme="majorBidi" w:hAnsiTheme="majorBidi" w:cstheme="majorBidi"/>
        </w:rPr>
      </w:pPr>
      <w:r w:rsidRPr="0077503B">
        <w:rPr>
          <w:rFonts w:asciiTheme="majorBidi" w:hAnsiTheme="majorBidi" w:cstheme="majorBidi"/>
          <w:lang w:eastAsia="en-US"/>
        </w:rPr>
        <w:t>rakstveida procesā izskatīja administratīvo lietu, kas ierosināta, pamatojoties uz SIA „</w:t>
      </w:r>
      <w:r w:rsidR="004F6C26" w:rsidRPr="0077503B">
        <w:rPr>
          <w:rFonts w:asciiTheme="majorBidi" w:hAnsiTheme="majorBidi" w:cstheme="majorBidi"/>
          <w:lang w:eastAsia="en-US"/>
        </w:rPr>
        <w:t>TK B</w:t>
      </w:r>
      <w:r w:rsidR="002876F6" w:rsidRPr="0077503B">
        <w:rPr>
          <w:rFonts w:asciiTheme="majorBidi" w:hAnsiTheme="majorBidi" w:cstheme="majorBidi"/>
          <w:lang w:eastAsia="en-US"/>
        </w:rPr>
        <w:t>ALT</w:t>
      </w:r>
      <w:r w:rsidRPr="0077503B">
        <w:rPr>
          <w:rFonts w:asciiTheme="majorBidi" w:hAnsiTheme="majorBidi" w:cstheme="majorBidi"/>
          <w:lang w:eastAsia="en-US"/>
        </w:rPr>
        <w:t xml:space="preserve">” pieteikumu par Valsts ieņēmumu dienesta </w:t>
      </w:r>
      <w:r w:rsidR="002876F6" w:rsidRPr="0077503B">
        <w:rPr>
          <w:rFonts w:asciiTheme="majorBidi" w:hAnsiTheme="majorBidi" w:cstheme="majorBidi"/>
        </w:rPr>
        <w:t>2020.gada 20.marta lēmuma Nr.</w:t>
      </w:r>
      <w:r w:rsidR="002C1F46" w:rsidRPr="0077503B">
        <w:rPr>
          <w:rFonts w:asciiTheme="majorBidi" w:hAnsiTheme="majorBidi" w:cstheme="majorBidi"/>
        </w:rPr>
        <w:t> </w:t>
      </w:r>
      <w:r w:rsidR="002876F6" w:rsidRPr="0077503B">
        <w:rPr>
          <w:rFonts w:asciiTheme="majorBidi" w:hAnsiTheme="majorBidi" w:cstheme="majorBidi"/>
        </w:rPr>
        <w:t xml:space="preserve">30.8-22.7/1109 </w:t>
      </w:r>
      <w:r w:rsidRPr="0077503B">
        <w:rPr>
          <w:rFonts w:asciiTheme="majorBidi" w:hAnsiTheme="majorBidi" w:cstheme="majorBidi"/>
        </w:rPr>
        <w:t>atcelšanu</w:t>
      </w:r>
      <w:r w:rsidRPr="0077503B">
        <w:rPr>
          <w:rFonts w:asciiTheme="majorBidi" w:hAnsiTheme="majorBidi" w:cstheme="majorBidi"/>
          <w:lang w:eastAsia="en-US"/>
        </w:rPr>
        <w:t>, sakarā ar SIA „</w:t>
      </w:r>
      <w:r w:rsidR="002876F6" w:rsidRPr="0077503B">
        <w:rPr>
          <w:rFonts w:asciiTheme="majorBidi" w:hAnsiTheme="majorBidi" w:cstheme="majorBidi"/>
          <w:lang w:eastAsia="en-US"/>
        </w:rPr>
        <w:t>TK BALT</w:t>
      </w:r>
      <w:r w:rsidRPr="0077503B">
        <w:rPr>
          <w:rFonts w:asciiTheme="majorBidi" w:hAnsiTheme="majorBidi" w:cstheme="majorBidi"/>
          <w:lang w:eastAsia="en-US"/>
        </w:rPr>
        <w:t>”</w:t>
      </w:r>
      <w:r w:rsidRPr="0077503B">
        <w:rPr>
          <w:rFonts w:asciiTheme="majorBidi" w:hAnsiTheme="majorBidi" w:cstheme="majorBidi"/>
        </w:rPr>
        <w:t xml:space="preserve"> kasācijas sūdzību par Administratīvās apgabaltiesas 202</w:t>
      </w:r>
      <w:r w:rsidR="002876F6" w:rsidRPr="0077503B">
        <w:rPr>
          <w:rFonts w:asciiTheme="majorBidi" w:hAnsiTheme="majorBidi" w:cstheme="majorBidi"/>
        </w:rPr>
        <w:t>2</w:t>
      </w:r>
      <w:r w:rsidRPr="0077503B">
        <w:rPr>
          <w:rFonts w:asciiTheme="majorBidi" w:hAnsiTheme="majorBidi" w:cstheme="majorBidi"/>
        </w:rPr>
        <w:t>.gada 2</w:t>
      </w:r>
      <w:r w:rsidR="002876F6" w:rsidRPr="0077503B">
        <w:rPr>
          <w:rFonts w:asciiTheme="majorBidi" w:hAnsiTheme="majorBidi" w:cstheme="majorBidi"/>
        </w:rPr>
        <w:t>1.novembra</w:t>
      </w:r>
      <w:r w:rsidRPr="0077503B">
        <w:rPr>
          <w:rFonts w:asciiTheme="majorBidi" w:hAnsiTheme="majorBidi" w:cstheme="majorBidi"/>
        </w:rPr>
        <w:t xml:space="preserve"> spriedumu.</w:t>
      </w:r>
    </w:p>
    <w:p w14:paraId="0581942D" w14:textId="77777777" w:rsidR="00A24D55" w:rsidRPr="0077503B" w:rsidRDefault="00A24D55" w:rsidP="00607CB5">
      <w:pPr>
        <w:autoSpaceDE w:val="0"/>
        <w:autoSpaceDN w:val="0"/>
        <w:adjustRightInd w:val="0"/>
        <w:spacing w:line="276" w:lineRule="auto"/>
        <w:ind w:firstLine="567"/>
        <w:jc w:val="both"/>
        <w:rPr>
          <w:rFonts w:asciiTheme="majorBidi" w:hAnsiTheme="majorBidi" w:cstheme="majorBidi"/>
          <w:lang w:eastAsia="en-US"/>
        </w:rPr>
      </w:pPr>
    </w:p>
    <w:p w14:paraId="60B62816" w14:textId="77777777" w:rsidR="00956464" w:rsidRDefault="00956464" w:rsidP="00607CB5">
      <w:pPr>
        <w:spacing w:line="276" w:lineRule="auto"/>
        <w:jc w:val="center"/>
        <w:rPr>
          <w:rFonts w:asciiTheme="majorBidi" w:hAnsiTheme="majorBidi" w:cstheme="majorBidi"/>
          <w:b/>
        </w:rPr>
      </w:pPr>
      <w:r w:rsidRPr="0077503B">
        <w:rPr>
          <w:rFonts w:asciiTheme="majorBidi" w:hAnsiTheme="majorBidi" w:cstheme="majorBidi"/>
          <w:b/>
        </w:rPr>
        <w:t>Aprakstošā daļa</w:t>
      </w:r>
    </w:p>
    <w:p w14:paraId="3D87EB60" w14:textId="77777777" w:rsidR="00A24D55" w:rsidRPr="0077503B" w:rsidRDefault="00A24D55" w:rsidP="00607CB5">
      <w:pPr>
        <w:spacing w:line="276" w:lineRule="auto"/>
        <w:ind w:firstLine="567"/>
        <w:jc w:val="center"/>
        <w:rPr>
          <w:rFonts w:asciiTheme="majorBidi" w:hAnsiTheme="majorBidi" w:cstheme="majorBidi"/>
          <w:b/>
        </w:rPr>
      </w:pPr>
    </w:p>
    <w:p w14:paraId="0D7BECC8" w14:textId="6282D257" w:rsidR="004F6C26"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[1]</w:t>
      </w:r>
      <w:r w:rsidR="00B44E11">
        <w:rPr>
          <w:rFonts w:asciiTheme="majorBidi" w:hAnsiTheme="majorBidi" w:cstheme="majorBidi"/>
        </w:rPr>
        <w:t xml:space="preserve"> </w:t>
      </w:r>
      <w:r w:rsidR="004F6C26" w:rsidRPr="0077503B">
        <w:rPr>
          <w:rFonts w:asciiTheme="majorBidi" w:hAnsiTheme="majorBidi" w:cstheme="majorBidi"/>
        </w:rPr>
        <w:t xml:space="preserve">Pieteicēja SIA „TK BALT” ir reģistrējusies Valsts ieņēmumu dienestā kā Noziedzīgi iegūtu līdzekļu legalizācijas un terorisma un proliferācijas finansēšanas novēršanas likuma (līdz 2019.gada 28.jūnijam – Noziedzīgi iegūtu līdzekļu legalizācijas un terorisma </w:t>
      </w:r>
      <w:r w:rsidR="00C336ED">
        <w:rPr>
          <w:rFonts w:asciiTheme="majorBidi" w:hAnsiTheme="majorBidi" w:cstheme="majorBidi"/>
        </w:rPr>
        <w:t xml:space="preserve">finansēšanas </w:t>
      </w:r>
      <w:r w:rsidR="004F6C26" w:rsidRPr="0077503B">
        <w:rPr>
          <w:rFonts w:asciiTheme="majorBidi" w:hAnsiTheme="majorBidi" w:cstheme="majorBidi"/>
        </w:rPr>
        <w:t>novēršanas likums, turpmāk – Novēršanas likums) subjekts, kas nodarbojas ar transportlīdzekļu tirdzniecību.</w:t>
      </w:r>
    </w:p>
    <w:p w14:paraId="579A2F4B" w14:textId="0C2013E5"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Valsts ieņēmumu dienests</w:t>
      </w:r>
      <w:r w:rsidR="002876F6" w:rsidRPr="0077503B">
        <w:rPr>
          <w:rFonts w:asciiTheme="majorBidi" w:hAnsiTheme="majorBidi" w:cstheme="majorBidi"/>
        </w:rPr>
        <w:t xml:space="preserve"> pieteicējai </w:t>
      </w:r>
      <w:r w:rsidRPr="0077503B">
        <w:rPr>
          <w:rFonts w:asciiTheme="majorBidi" w:hAnsiTheme="majorBidi" w:cstheme="majorBidi"/>
        </w:rPr>
        <w:t>veica Novēršanas likum</w:t>
      </w:r>
      <w:r w:rsidR="004F6C26" w:rsidRPr="0077503B">
        <w:rPr>
          <w:rFonts w:asciiTheme="majorBidi" w:hAnsiTheme="majorBidi" w:cstheme="majorBidi"/>
        </w:rPr>
        <w:t>a</w:t>
      </w:r>
      <w:r w:rsidRPr="0077503B">
        <w:rPr>
          <w:rFonts w:asciiTheme="majorBidi" w:hAnsiTheme="majorBidi" w:cstheme="majorBidi"/>
        </w:rPr>
        <w:t xml:space="preserve"> prasību izpildes pārbaudi</w:t>
      </w:r>
      <w:r w:rsidR="002876F6" w:rsidRPr="0077503B">
        <w:rPr>
          <w:rFonts w:asciiTheme="majorBidi" w:hAnsiTheme="majorBidi" w:cstheme="majorBidi"/>
        </w:rPr>
        <w:t>.</w:t>
      </w:r>
      <w:r w:rsidR="002C1F46" w:rsidRPr="0077503B">
        <w:rPr>
          <w:rFonts w:asciiTheme="majorBidi" w:hAnsiTheme="majorBidi" w:cstheme="majorBidi"/>
        </w:rPr>
        <w:t xml:space="preserve"> </w:t>
      </w:r>
      <w:r w:rsidRPr="0077503B">
        <w:rPr>
          <w:rFonts w:asciiTheme="majorBidi" w:hAnsiTheme="majorBidi" w:cstheme="majorBidi"/>
        </w:rPr>
        <w:t>Pārbaudes rezultātā dienests konstatēja pieteicēja</w:t>
      </w:r>
      <w:r w:rsidR="002C1F46" w:rsidRPr="0077503B">
        <w:rPr>
          <w:rFonts w:asciiTheme="majorBidi" w:hAnsiTheme="majorBidi" w:cstheme="majorBidi"/>
        </w:rPr>
        <w:t>s</w:t>
      </w:r>
      <w:r w:rsidRPr="0077503B">
        <w:rPr>
          <w:rFonts w:asciiTheme="majorBidi" w:hAnsiTheme="majorBidi" w:cstheme="majorBidi"/>
        </w:rPr>
        <w:t xml:space="preserve"> </w:t>
      </w:r>
      <w:r w:rsidR="002C1F46" w:rsidRPr="0077503B">
        <w:rPr>
          <w:rFonts w:asciiTheme="majorBidi" w:hAnsiTheme="majorBidi" w:cstheme="majorBidi"/>
        </w:rPr>
        <w:t>Novēršanas likuma kārtībā izveidotās iekšējās kontroles sistēmas (turpmāk – kontroles sistēma)</w:t>
      </w:r>
      <w:r w:rsidR="00BC6BCB" w:rsidRPr="0077503B">
        <w:rPr>
          <w:rFonts w:asciiTheme="majorBidi" w:hAnsiTheme="majorBidi" w:cstheme="majorBidi"/>
        </w:rPr>
        <w:t xml:space="preserve"> </w:t>
      </w:r>
      <w:r w:rsidR="002C1F46" w:rsidRPr="0077503B">
        <w:rPr>
          <w:rFonts w:asciiTheme="majorBidi" w:hAnsiTheme="majorBidi" w:cstheme="majorBidi"/>
        </w:rPr>
        <w:t xml:space="preserve">nepilnības, </w:t>
      </w:r>
      <w:r w:rsidR="00724D5D" w:rsidRPr="0077503B">
        <w:rPr>
          <w:rFonts w:asciiTheme="majorBidi" w:hAnsiTheme="majorBidi" w:cstheme="majorBidi"/>
        </w:rPr>
        <w:t xml:space="preserve">kā arī to, ka pieteicēja </w:t>
      </w:r>
      <w:r w:rsidR="002C1F46" w:rsidRPr="0077503B">
        <w:rPr>
          <w:rFonts w:asciiTheme="majorBidi" w:hAnsiTheme="majorBidi" w:cstheme="majorBidi"/>
        </w:rPr>
        <w:t xml:space="preserve">nebija </w:t>
      </w:r>
      <w:r w:rsidR="00724D5D" w:rsidRPr="0077503B">
        <w:rPr>
          <w:rFonts w:asciiTheme="majorBidi" w:hAnsiTheme="majorBidi" w:cstheme="majorBidi"/>
        </w:rPr>
        <w:t xml:space="preserve">nodrošinājusi atbilstošu </w:t>
      </w:r>
      <w:r w:rsidR="002C1F46" w:rsidRPr="0077503B">
        <w:rPr>
          <w:rFonts w:asciiTheme="majorBidi" w:hAnsiTheme="majorBidi" w:cstheme="majorBidi"/>
        </w:rPr>
        <w:t>klientu izpēti</w:t>
      </w:r>
      <w:r w:rsidR="00724D5D" w:rsidRPr="0077503B">
        <w:rPr>
          <w:rFonts w:asciiTheme="majorBidi" w:hAnsiTheme="majorBidi" w:cstheme="majorBidi"/>
        </w:rPr>
        <w:t xml:space="preserve"> attiecībā uz </w:t>
      </w:r>
      <w:r w:rsidR="00810470" w:rsidRPr="0077503B">
        <w:rPr>
          <w:rFonts w:asciiTheme="majorBidi" w:hAnsiTheme="majorBidi" w:cstheme="majorBidi"/>
        </w:rPr>
        <w:t xml:space="preserve">atsevišķu </w:t>
      </w:r>
      <w:r w:rsidR="00724D5D" w:rsidRPr="0077503B">
        <w:rPr>
          <w:rFonts w:asciiTheme="majorBidi" w:hAnsiTheme="majorBidi" w:cstheme="majorBidi"/>
        </w:rPr>
        <w:t>klientu patiesā labuma guvēju norādīšanu un</w:t>
      </w:r>
      <w:r w:rsidR="002C1F46" w:rsidRPr="0077503B">
        <w:rPr>
          <w:rFonts w:asciiTheme="majorBidi" w:hAnsiTheme="majorBidi" w:cstheme="majorBidi"/>
        </w:rPr>
        <w:t xml:space="preserve"> nebija ziņojusi kompetentajai iestādei par atsevišķiem skaidras naudas darījumiem, kuru ekvivalents sasniedza 5000</w:t>
      </w:r>
      <w:r w:rsidR="00E00304">
        <w:rPr>
          <w:rFonts w:asciiTheme="majorBidi" w:hAnsiTheme="majorBidi" w:cstheme="majorBidi"/>
        </w:rPr>
        <w:t> </w:t>
      </w:r>
      <w:r w:rsidR="002C1F46" w:rsidRPr="0077503B">
        <w:rPr>
          <w:rFonts w:asciiTheme="majorBidi" w:hAnsiTheme="majorBidi" w:cstheme="majorBidi"/>
          <w:i/>
          <w:iCs/>
        </w:rPr>
        <w:t>euro</w:t>
      </w:r>
      <w:r w:rsidR="002C1F46" w:rsidRPr="0077503B">
        <w:rPr>
          <w:rFonts w:asciiTheme="majorBidi" w:hAnsiTheme="majorBidi" w:cstheme="majorBidi"/>
        </w:rPr>
        <w:t xml:space="preserve">. </w:t>
      </w:r>
      <w:r w:rsidRPr="0077503B">
        <w:rPr>
          <w:rFonts w:asciiTheme="majorBidi" w:hAnsiTheme="majorBidi" w:cstheme="majorBidi"/>
        </w:rPr>
        <w:t xml:space="preserve">Administratīvais process iestādē noslēdzās ar dienesta </w:t>
      </w:r>
      <w:r w:rsidR="002C1F46" w:rsidRPr="0077503B">
        <w:rPr>
          <w:rFonts w:asciiTheme="majorBidi" w:hAnsiTheme="majorBidi" w:cstheme="majorBidi"/>
        </w:rPr>
        <w:t>2020.gada 20.marta lēmum</w:t>
      </w:r>
      <w:r w:rsidR="00810470" w:rsidRPr="0077503B">
        <w:rPr>
          <w:rFonts w:asciiTheme="majorBidi" w:hAnsiTheme="majorBidi" w:cstheme="majorBidi"/>
        </w:rPr>
        <w:t>u</w:t>
      </w:r>
      <w:r w:rsidR="002C1F46" w:rsidRPr="0077503B">
        <w:rPr>
          <w:rFonts w:asciiTheme="majorBidi" w:hAnsiTheme="majorBidi" w:cstheme="majorBidi"/>
        </w:rPr>
        <w:t xml:space="preserve"> Nr. 30.8-22.7/1109</w:t>
      </w:r>
      <w:r w:rsidRPr="0077503B">
        <w:rPr>
          <w:rFonts w:asciiTheme="majorBidi" w:hAnsiTheme="majorBidi" w:cstheme="majorBidi"/>
        </w:rPr>
        <w:t xml:space="preserve">, ar kuru pieteicējai piemērota soda nauda </w:t>
      </w:r>
      <w:r w:rsidR="002C1F46" w:rsidRPr="0077503B">
        <w:rPr>
          <w:rFonts w:asciiTheme="majorBidi" w:hAnsiTheme="majorBidi" w:cstheme="majorBidi"/>
        </w:rPr>
        <w:t>5</w:t>
      </w:r>
      <w:r w:rsidRPr="0077503B">
        <w:rPr>
          <w:rFonts w:asciiTheme="majorBidi" w:hAnsiTheme="majorBidi" w:cstheme="majorBidi"/>
        </w:rPr>
        <w:t>000 </w:t>
      </w:r>
      <w:r w:rsidRPr="0077503B">
        <w:rPr>
          <w:rFonts w:asciiTheme="majorBidi" w:hAnsiTheme="majorBidi" w:cstheme="majorBidi"/>
          <w:i/>
          <w:iCs/>
        </w:rPr>
        <w:t>euro</w:t>
      </w:r>
      <w:r w:rsidRPr="0077503B">
        <w:rPr>
          <w:rFonts w:asciiTheme="majorBidi" w:hAnsiTheme="majorBidi" w:cstheme="majorBidi"/>
        </w:rPr>
        <w:t>.</w:t>
      </w:r>
    </w:p>
    <w:p w14:paraId="511526CA" w14:textId="472AC2B2"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 xml:space="preserve">Pieteicēja minēto lēmumu pārsūdzēja tiesā. </w:t>
      </w:r>
    </w:p>
    <w:p w14:paraId="337DE55B" w14:textId="77777777" w:rsidR="00956464" w:rsidRPr="0077503B" w:rsidRDefault="00956464" w:rsidP="00607CB5">
      <w:pPr>
        <w:spacing w:line="276" w:lineRule="auto"/>
        <w:ind w:firstLine="720"/>
        <w:jc w:val="both"/>
        <w:rPr>
          <w:rFonts w:asciiTheme="majorBidi" w:hAnsiTheme="majorBidi" w:cstheme="majorBidi"/>
        </w:rPr>
      </w:pPr>
    </w:p>
    <w:p w14:paraId="7FD4A2F4" w14:textId="6E9CFE40" w:rsidR="00956464" w:rsidRPr="0077503B" w:rsidRDefault="00956464"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rPr>
        <w:t>[2]</w:t>
      </w:r>
      <w:r w:rsidR="00B44E11">
        <w:rPr>
          <w:rFonts w:asciiTheme="majorBidi" w:hAnsiTheme="majorBidi" w:cstheme="majorBidi"/>
        </w:rPr>
        <w:t xml:space="preserve"> </w:t>
      </w:r>
      <w:r w:rsidRPr="0077503B">
        <w:rPr>
          <w:rFonts w:asciiTheme="majorBidi" w:hAnsiTheme="majorBidi" w:cstheme="majorBidi"/>
          <w:lang w:eastAsia="en-US"/>
        </w:rPr>
        <w:t>Administratīvā apgabaltiesa ar 202</w:t>
      </w:r>
      <w:r w:rsidR="00BC6BCB" w:rsidRPr="0077503B">
        <w:rPr>
          <w:rFonts w:asciiTheme="majorBidi" w:hAnsiTheme="majorBidi" w:cstheme="majorBidi"/>
          <w:lang w:eastAsia="en-US"/>
        </w:rPr>
        <w:t>2</w:t>
      </w:r>
      <w:r w:rsidRPr="0077503B">
        <w:rPr>
          <w:rFonts w:asciiTheme="majorBidi" w:hAnsiTheme="majorBidi" w:cstheme="majorBidi"/>
          <w:lang w:eastAsia="en-US"/>
        </w:rPr>
        <w:t>.gada 2</w:t>
      </w:r>
      <w:r w:rsidR="00BC6BCB" w:rsidRPr="0077503B">
        <w:rPr>
          <w:rFonts w:asciiTheme="majorBidi" w:hAnsiTheme="majorBidi" w:cstheme="majorBidi"/>
          <w:lang w:eastAsia="en-US"/>
        </w:rPr>
        <w:t>1</w:t>
      </w:r>
      <w:r w:rsidRPr="0077503B">
        <w:rPr>
          <w:rFonts w:asciiTheme="majorBidi" w:hAnsiTheme="majorBidi" w:cstheme="majorBidi"/>
          <w:lang w:eastAsia="en-US"/>
        </w:rPr>
        <w:t>.</w:t>
      </w:r>
      <w:r w:rsidR="00BC6BCB" w:rsidRPr="0077503B">
        <w:rPr>
          <w:rFonts w:asciiTheme="majorBidi" w:hAnsiTheme="majorBidi" w:cstheme="majorBidi"/>
          <w:lang w:eastAsia="en-US"/>
        </w:rPr>
        <w:t>novembra</w:t>
      </w:r>
      <w:r w:rsidRPr="0077503B">
        <w:rPr>
          <w:rFonts w:asciiTheme="majorBidi" w:hAnsiTheme="majorBidi" w:cstheme="majorBidi"/>
          <w:lang w:eastAsia="en-US"/>
        </w:rPr>
        <w:t xml:space="preserve"> spriedumu </w:t>
      </w:r>
      <w:r w:rsidRPr="0077503B">
        <w:rPr>
          <w:rFonts w:asciiTheme="majorBidi" w:hAnsiTheme="majorBidi" w:cstheme="majorBidi"/>
          <w:color w:val="000000"/>
        </w:rPr>
        <w:t>pieteikumu noraidīja.</w:t>
      </w:r>
      <w:r w:rsidRPr="0077503B">
        <w:rPr>
          <w:rFonts w:asciiTheme="majorBidi" w:hAnsiTheme="majorBidi" w:cstheme="majorBidi"/>
          <w:lang w:eastAsia="en-US"/>
        </w:rPr>
        <w:t xml:space="preserve"> </w:t>
      </w:r>
      <w:r w:rsidR="00F958F0" w:rsidRPr="0077503B">
        <w:rPr>
          <w:rFonts w:asciiTheme="majorBidi" w:hAnsiTheme="majorBidi" w:cstheme="majorBidi"/>
          <w:lang w:eastAsia="en-US"/>
        </w:rPr>
        <w:t>Ap</w:t>
      </w:r>
      <w:r w:rsidRPr="0077503B">
        <w:rPr>
          <w:rFonts w:asciiTheme="majorBidi" w:hAnsiTheme="majorBidi" w:cstheme="majorBidi"/>
          <w:lang w:eastAsia="en-US"/>
        </w:rPr>
        <w:t>gabaltiesa</w:t>
      </w:r>
      <w:r w:rsidR="00BC6BCB" w:rsidRPr="0077503B">
        <w:rPr>
          <w:rFonts w:asciiTheme="majorBidi" w:hAnsiTheme="majorBidi" w:cstheme="majorBidi"/>
          <w:lang w:eastAsia="en-US"/>
        </w:rPr>
        <w:t xml:space="preserve">, </w:t>
      </w:r>
      <w:r w:rsidRPr="0077503B">
        <w:rPr>
          <w:rFonts w:asciiTheme="majorBidi" w:hAnsiTheme="majorBidi" w:cstheme="majorBidi"/>
          <w:lang w:eastAsia="en-US"/>
        </w:rPr>
        <w:t>pievienoj</w:t>
      </w:r>
      <w:r w:rsidR="00BC6BCB" w:rsidRPr="0077503B">
        <w:rPr>
          <w:rFonts w:asciiTheme="majorBidi" w:hAnsiTheme="majorBidi" w:cstheme="majorBidi"/>
          <w:lang w:eastAsia="en-US"/>
        </w:rPr>
        <w:t xml:space="preserve">oties arī </w:t>
      </w:r>
      <w:r w:rsidRPr="0077503B">
        <w:rPr>
          <w:rFonts w:asciiTheme="majorBidi" w:hAnsiTheme="majorBidi" w:cstheme="majorBidi"/>
          <w:lang w:eastAsia="en-US"/>
        </w:rPr>
        <w:t>pirmās instances tiesas sprieduma motivācijai</w:t>
      </w:r>
      <w:r w:rsidR="00BC6BCB" w:rsidRPr="0077503B">
        <w:rPr>
          <w:rFonts w:asciiTheme="majorBidi" w:hAnsiTheme="majorBidi" w:cstheme="majorBidi"/>
          <w:lang w:eastAsia="en-US"/>
        </w:rPr>
        <w:t xml:space="preserve">, </w:t>
      </w:r>
      <w:r w:rsidR="00F958F0" w:rsidRPr="0077503B">
        <w:rPr>
          <w:rFonts w:asciiTheme="majorBidi" w:hAnsiTheme="majorBidi" w:cstheme="majorBidi"/>
          <w:lang w:eastAsia="en-US"/>
        </w:rPr>
        <w:t xml:space="preserve">spriedumu </w:t>
      </w:r>
      <w:r w:rsidR="00BC6BCB" w:rsidRPr="0077503B">
        <w:rPr>
          <w:rFonts w:asciiTheme="majorBidi" w:hAnsiTheme="majorBidi" w:cstheme="majorBidi"/>
          <w:lang w:eastAsia="en-US"/>
        </w:rPr>
        <w:t xml:space="preserve">pamatoja ar </w:t>
      </w:r>
      <w:r w:rsidRPr="0077503B">
        <w:rPr>
          <w:rFonts w:asciiTheme="majorBidi" w:hAnsiTheme="majorBidi" w:cstheme="majorBidi"/>
          <w:lang w:eastAsia="en-US"/>
        </w:rPr>
        <w:t>turpmāk minēt</w:t>
      </w:r>
      <w:r w:rsidR="00BC6BCB" w:rsidRPr="0077503B">
        <w:rPr>
          <w:rFonts w:asciiTheme="majorBidi" w:hAnsiTheme="majorBidi" w:cstheme="majorBidi"/>
          <w:lang w:eastAsia="en-US"/>
        </w:rPr>
        <w:t xml:space="preserve">ajiem </w:t>
      </w:r>
      <w:r w:rsidRPr="0077503B">
        <w:rPr>
          <w:rFonts w:asciiTheme="majorBidi" w:hAnsiTheme="majorBidi" w:cstheme="majorBidi"/>
          <w:lang w:eastAsia="en-US"/>
        </w:rPr>
        <w:t>argument</w:t>
      </w:r>
      <w:r w:rsidR="00BC6BCB" w:rsidRPr="0077503B">
        <w:rPr>
          <w:rFonts w:asciiTheme="majorBidi" w:hAnsiTheme="majorBidi" w:cstheme="majorBidi"/>
          <w:lang w:eastAsia="en-US"/>
        </w:rPr>
        <w:t>iem</w:t>
      </w:r>
      <w:r w:rsidRPr="0077503B">
        <w:rPr>
          <w:rFonts w:asciiTheme="majorBidi" w:hAnsiTheme="majorBidi" w:cstheme="majorBidi"/>
          <w:lang w:eastAsia="en-US"/>
        </w:rPr>
        <w:t>.</w:t>
      </w:r>
    </w:p>
    <w:p w14:paraId="587DC234" w14:textId="3276691D" w:rsidR="00C37BB2" w:rsidRPr="0077503B" w:rsidRDefault="00956464"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[2.1]</w:t>
      </w:r>
      <w:r w:rsidR="00B44E11">
        <w:rPr>
          <w:rFonts w:asciiTheme="majorBidi" w:hAnsiTheme="majorBidi" w:cstheme="majorBidi"/>
          <w:lang w:eastAsia="en-US"/>
        </w:rPr>
        <w:t xml:space="preserve"> </w:t>
      </w:r>
      <w:r w:rsidR="00C37BB2" w:rsidRPr="0077503B">
        <w:rPr>
          <w:rFonts w:asciiTheme="majorBidi" w:hAnsiTheme="majorBidi" w:cstheme="majorBidi"/>
          <w:lang w:eastAsia="en-US"/>
        </w:rPr>
        <w:t>Tiesību normas neprasa, lai kontroles sistēmā būtu norādīt</w:t>
      </w:r>
      <w:r w:rsidR="00F958F0" w:rsidRPr="0077503B">
        <w:rPr>
          <w:rFonts w:asciiTheme="majorBidi" w:hAnsiTheme="majorBidi" w:cstheme="majorBidi"/>
          <w:lang w:eastAsia="en-US"/>
        </w:rPr>
        <w:t>a kārtība</w:t>
      </w:r>
      <w:r w:rsidR="00C37BB2" w:rsidRPr="0077503B">
        <w:rPr>
          <w:rFonts w:asciiTheme="majorBidi" w:hAnsiTheme="majorBidi" w:cstheme="majorBidi"/>
          <w:lang w:eastAsia="en-US"/>
        </w:rPr>
        <w:t xml:space="preserve">, kādā Valsts ieņēmumu dienestam </w:t>
      </w:r>
      <w:r w:rsidR="00F958F0" w:rsidRPr="0077503B">
        <w:rPr>
          <w:rFonts w:asciiTheme="majorBidi" w:hAnsiTheme="majorBidi" w:cstheme="majorBidi"/>
          <w:lang w:eastAsia="en-US"/>
        </w:rPr>
        <w:t xml:space="preserve">tiek ziņots </w:t>
      </w:r>
      <w:r w:rsidR="00C37BB2" w:rsidRPr="0077503B">
        <w:rPr>
          <w:rFonts w:asciiTheme="majorBidi" w:hAnsiTheme="majorBidi" w:cstheme="majorBidi"/>
          <w:lang w:eastAsia="en-US"/>
        </w:rPr>
        <w:t>par aizdomīgiem darījumiem.</w:t>
      </w:r>
      <w:r w:rsidR="00C1626E" w:rsidRPr="0077503B">
        <w:rPr>
          <w:rFonts w:asciiTheme="majorBidi" w:hAnsiTheme="majorBidi" w:cstheme="majorBidi"/>
          <w:lang w:eastAsia="en-US"/>
        </w:rPr>
        <w:t xml:space="preserve"> Līdz ar to p</w:t>
      </w:r>
      <w:r w:rsidR="00C37BB2" w:rsidRPr="0077503B">
        <w:rPr>
          <w:rFonts w:asciiTheme="majorBidi" w:hAnsiTheme="majorBidi" w:cstheme="majorBidi"/>
          <w:lang w:eastAsia="en-US"/>
        </w:rPr>
        <w:t xml:space="preserve">ārsūdzētajā lēmumā kļūdaini secināts, ka </w:t>
      </w:r>
      <w:r w:rsidR="003927ED" w:rsidRPr="0077503B">
        <w:rPr>
          <w:rFonts w:asciiTheme="majorBidi" w:hAnsiTheme="majorBidi" w:cstheme="majorBidi"/>
          <w:lang w:eastAsia="en-US"/>
        </w:rPr>
        <w:t>tas, ka pieteicējas kontroles sistēmā šāda kārtība nav ietverta, ir atzīstams par nepilnību.</w:t>
      </w:r>
      <w:r w:rsidR="00C37BB2" w:rsidRPr="0077503B">
        <w:rPr>
          <w:rFonts w:asciiTheme="majorBidi" w:hAnsiTheme="majorBidi" w:cstheme="majorBidi"/>
          <w:lang w:eastAsia="en-US"/>
        </w:rPr>
        <w:t xml:space="preserve"> </w:t>
      </w:r>
    </w:p>
    <w:p w14:paraId="324C9A6E" w14:textId="50A41E7F" w:rsidR="00956464" w:rsidRPr="0077503B" w:rsidRDefault="00C1626E"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[2.2] Valsts ieņēmumu dienests pamatoti atzinis, ka pieteicējas kontroles sistēmā ir nepilnība</w:t>
      </w:r>
      <w:r w:rsidR="003927ED" w:rsidRPr="0077503B">
        <w:rPr>
          <w:rFonts w:asciiTheme="majorBidi" w:hAnsiTheme="majorBidi" w:cstheme="majorBidi"/>
          <w:lang w:eastAsia="en-US"/>
        </w:rPr>
        <w:t xml:space="preserve">, jo </w:t>
      </w:r>
      <w:r w:rsidRPr="0077503B">
        <w:rPr>
          <w:rFonts w:asciiTheme="majorBidi" w:hAnsiTheme="majorBidi" w:cstheme="majorBidi"/>
          <w:lang w:eastAsia="en-US"/>
        </w:rPr>
        <w:t>tajā nav norādītas darbinieku tiesības, atbildība, profesionālās kvalifikācijas un atbilstības standarti. Šādas informācijas norādīšan</w:t>
      </w:r>
      <w:r w:rsidR="00F958F0" w:rsidRPr="0077503B">
        <w:rPr>
          <w:rFonts w:asciiTheme="majorBidi" w:hAnsiTheme="majorBidi" w:cstheme="majorBidi"/>
          <w:lang w:eastAsia="en-US"/>
        </w:rPr>
        <w:t>u</w:t>
      </w:r>
      <w:r w:rsidRPr="0077503B">
        <w:rPr>
          <w:rFonts w:asciiTheme="majorBidi" w:hAnsiTheme="majorBidi" w:cstheme="majorBidi"/>
          <w:lang w:eastAsia="en-US"/>
        </w:rPr>
        <w:t xml:space="preserve"> kontroles sistēmā </w:t>
      </w:r>
      <w:r w:rsidR="00F958F0" w:rsidRPr="0077503B">
        <w:rPr>
          <w:rFonts w:asciiTheme="majorBidi" w:hAnsiTheme="majorBidi" w:cstheme="majorBidi"/>
          <w:lang w:eastAsia="en-US"/>
        </w:rPr>
        <w:t>prasa</w:t>
      </w:r>
      <w:r w:rsidRPr="0077503B">
        <w:rPr>
          <w:rFonts w:asciiTheme="majorBidi" w:hAnsiTheme="majorBidi" w:cstheme="majorBidi"/>
          <w:lang w:eastAsia="en-US"/>
        </w:rPr>
        <w:t xml:space="preserve"> Novēršanas likuma 7.panta pirmās daļas 8.punkt</w:t>
      </w:r>
      <w:r w:rsidR="00F958F0" w:rsidRPr="0077503B">
        <w:rPr>
          <w:rFonts w:asciiTheme="majorBidi" w:hAnsiTheme="majorBidi" w:cstheme="majorBidi"/>
          <w:lang w:eastAsia="en-US"/>
        </w:rPr>
        <w:t>s</w:t>
      </w:r>
      <w:r w:rsidRPr="0077503B">
        <w:rPr>
          <w:rFonts w:asciiTheme="majorBidi" w:hAnsiTheme="majorBidi" w:cstheme="majorBidi"/>
          <w:lang w:eastAsia="en-US"/>
        </w:rPr>
        <w:t>.</w:t>
      </w:r>
      <w:r w:rsidR="00263BA2" w:rsidRPr="0077503B">
        <w:rPr>
          <w:rFonts w:asciiTheme="majorBidi" w:hAnsiTheme="majorBidi" w:cstheme="majorBidi"/>
          <w:lang w:eastAsia="en-US"/>
        </w:rPr>
        <w:t xml:space="preserve"> Turklāt tas papildus izskaidrots arī Valsts ieņēmumu dienesta pārbaužu pieejas rokasgrāmatā noziedzīgi iegūtu līdzekļu legalizācijas un terorisma un proliferācijas finansēšanas novēršanas jomā.</w:t>
      </w:r>
    </w:p>
    <w:p w14:paraId="486B047F" w14:textId="05A46806" w:rsidR="00C1626E" w:rsidRPr="0077503B" w:rsidRDefault="00C1626E"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[2.3] </w:t>
      </w:r>
      <w:r w:rsidR="001269DB" w:rsidRPr="0077503B">
        <w:rPr>
          <w:rFonts w:asciiTheme="majorBidi" w:hAnsiTheme="majorBidi" w:cstheme="majorBidi"/>
          <w:lang w:eastAsia="en-US"/>
        </w:rPr>
        <w:t>Pārsūdzētajā lēmumā pamatoti secināts, ka pieteicēja ir pieļāvusi Novēršanas likuma 11.</w:t>
      </w:r>
      <w:r w:rsidR="001269DB" w:rsidRPr="0077503B">
        <w:rPr>
          <w:rFonts w:asciiTheme="majorBidi" w:hAnsiTheme="majorBidi" w:cstheme="majorBidi"/>
          <w:vertAlign w:val="superscript"/>
          <w:lang w:eastAsia="en-US"/>
        </w:rPr>
        <w:t>1</w:t>
      </w:r>
      <w:r w:rsidR="001269DB" w:rsidRPr="0077503B">
        <w:rPr>
          <w:rFonts w:asciiTheme="majorBidi" w:hAnsiTheme="majorBidi" w:cstheme="majorBidi"/>
          <w:lang w:eastAsia="en-US"/>
        </w:rPr>
        <w:t xml:space="preserve">panta pirmās daļas 2.punkta pārkāpumu, jo divu pieteicējas klientu riska novērtējuma anketās nav pienācīgi norādīta informācija par šo klientu patiesā labuma guvējiem. </w:t>
      </w:r>
    </w:p>
    <w:p w14:paraId="7EB318B5" w14:textId="0C56219F" w:rsidR="00B45CC6" w:rsidRDefault="001269D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[2.4] </w:t>
      </w:r>
      <w:r w:rsidR="00122B40" w:rsidRPr="0077503B">
        <w:rPr>
          <w:rFonts w:asciiTheme="majorBidi" w:hAnsiTheme="majorBidi" w:cstheme="majorBidi"/>
          <w:lang w:eastAsia="en-US"/>
        </w:rPr>
        <w:t xml:space="preserve">Pieteicēja argumentējusi, ka Valsts ieņēmumu dienests, atzīstot pieteicējas pārkāpumu saistībā ar neziņošanu par </w:t>
      </w:r>
      <w:r w:rsidR="00D969D1" w:rsidRPr="0077503B">
        <w:rPr>
          <w:rFonts w:asciiTheme="majorBidi" w:hAnsiTheme="majorBidi" w:cstheme="majorBidi"/>
          <w:lang w:eastAsia="en-US"/>
        </w:rPr>
        <w:t>neparastiem</w:t>
      </w:r>
      <w:r w:rsidR="00F958F0" w:rsidRPr="0077503B">
        <w:rPr>
          <w:rFonts w:asciiTheme="majorBidi" w:hAnsiTheme="majorBidi" w:cstheme="majorBidi"/>
          <w:lang w:eastAsia="en-US"/>
        </w:rPr>
        <w:t xml:space="preserve"> </w:t>
      </w:r>
      <w:r w:rsidR="00122B40" w:rsidRPr="0077503B">
        <w:rPr>
          <w:rFonts w:asciiTheme="majorBidi" w:hAnsiTheme="majorBidi" w:cstheme="majorBidi"/>
          <w:lang w:eastAsia="en-US"/>
        </w:rPr>
        <w:t xml:space="preserve">darījumiem, nepamatoti piemērojis Ministru kabineta </w:t>
      </w:r>
      <w:r w:rsidR="009F2BC9">
        <w:rPr>
          <w:rFonts w:asciiTheme="majorBidi" w:hAnsiTheme="majorBidi" w:cstheme="majorBidi"/>
          <w:lang w:eastAsia="en-US"/>
        </w:rPr>
        <w:t xml:space="preserve">2017.gada 14.novembra </w:t>
      </w:r>
      <w:r w:rsidR="00122B40" w:rsidRPr="0077503B">
        <w:rPr>
          <w:rFonts w:asciiTheme="majorBidi" w:hAnsiTheme="majorBidi" w:cstheme="majorBidi"/>
          <w:lang w:eastAsia="en-US"/>
        </w:rPr>
        <w:t>noteikumu Nr.</w:t>
      </w:r>
      <w:r w:rsidR="003B40EF" w:rsidRPr="0077503B">
        <w:rPr>
          <w:rFonts w:asciiTheme="majorBidi" w:hAnsiTheme="majorBidi" w:cstheme="majorBidi"/>
          <w:lang w:eastAsia="en-US"/>
        </w:rPr>
        <w:t> </w:t>
      </w:r>
      <w:r w:rsidR="00122B40" w:rsidRPr="0077503B">
        <w:rPr>
          <w:rFonts w:asciiTheme="majorBidi" w:hAnsiTheme="majorBidi" w:cstheme="majorBidi"/>
          <w:lang w:eastAsia="en-US"/>
        </w:rPr>
        <w:t xml:space="preserve">674 „Noteikumi par neparasta darījuma pazīmju sarakstu un kārtību, kādā sniedzami ziņojumi par neparastiem vai </w:t>
      </w:r>
      <w:r w:rsidR="00122B40" w:rsidRPr="0077503B">
        <w:rPr>
          <w:rFonts w:asciiTheme="majorBidi" w:hAnsiTheme="majorBidi" w:cstheme="majorBidi"/>
          <w:lang w:eastAsia="en-US"/>
        </w:rPr>
        <w:lastRenderedPageBreak/>
        <w:t>aizdomīgiem darījumiem” (turpmāk – noteikumi Nr.</w:t>
      </w:r>
      <w:r w:rsidR="009D7B6C">
        <w:rPr>
          <w:rFonts w:asciiTheme="majorBidi" w:hAnsiTheme="majorBidi" w:cstheme="majorBidi"/>
          <w:lang w:eastAsia="en-US"/>
        </w:rPr>
        <w:t> </w:t>
      </w:r>
      <w:r w:rsidR="00122B40" w:rsidRPr="0077503B">
        <w:rPr>
          <w:rFonts w:asciiTheme="majorBidi" w:hAnsiTheme="majorBidi" w:cstheme="majorBidi"/>
          <w:lang w:eastAsia="en-US"/>
        </w:rPr>
        <w:t>674) 5.2.apakšpunktu</w:t>
      </w:r>
      <w:r w:rsidR="006E73BF" w:rsidRPr="0077503B">
        <w:rPr>
          <w:rFonts w:asciiTheme="majorBidi" w:hAnsiTheme="majorBidi" w:cstheme="majorBidi"/>
          <w:lang w:eastAsia="en-US"/>
        </w:rPr>
        <w:t>. Pieteicēja norādījusi, ka a</w:t>
      </w:r>
      <w:r w:rsidR="003B40EF" w:rsidRPr="0077503B">
        <w:rPr>
          <w:rFonts w:asciiTheme="majorBidi" w:hAnsiTheme="majorBidi" w:cstheme="majorBidi"/>
          <w:lang w:eastAsia="en-US"/>
        </w:rPr>
        <w:t xml:space="preserve">tbilstoši šai normai </w:t>
      </w:r>
      <w:r w:rsidR="00122B40" w:rsidRPr="0077503B">
        <w:rPr>
          <w:rFonts w:asciiTheme="majorBidi" w:hAnsiTheme="majorBidi" w:cstheme="majorBidi"/>
          <w:lang w:eastAsia="en-US"/>
        </w:rPr>
        <w:t>par skaidras naudas darījumiem nebūtu uzskatāmi tādi darījumi, kuros klients skaidru naudu ar bankas starpniecību iemaksā likuma subjekta kontā.</w:t>
      </w:r>
    </w:p>
    <w:p w14:paraId="7F8EDE88" w14:textId="37C7C8AC" w:rsidR="003B40EF" w:rsidRPr="0077503B" w:rsidRDefault="00122B40"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Tomēr, lai arī pieteicēja šādu argumentu bija norādījusi pieteikumā tiesai, tā nebija to norādījusi apstrīdēšanas iesniegumā</w:t>
      </w:r>
      <w:r w:rsidR="00F958F0" w:rsidRPr="0077503B">
        <w:rPr>
          <w:rFonts w:asciiTheme="majorBidi" w:hAnsiTheme="majorBidi" w:cstheme="majorBidi"/>
          <w:lang w:eastAsia="en-US"/>
        </w:rPr>
        <w:t>. Līdz</w:t>
      </w:r>
      <w:r w:rsidRPr="0077503B">
        <w:rPr>
          <w:rFonts w:asciiTheme="majorBidi" w:hAnsiTheme="majorBidi" w:cstheme="majorBidi"/>
          <w:lang w:eastAsia="en-US"/>
        </w:rPr>
        <w:t xml:space="preserve"> ar to tiesai šis arguments, ņemot vērā Administratīvā procesa likuma 78.panta pirmās daļas 2.punktu un Senāta </w:t>
      </w:r>
      <w:r w:rsidR="003B40EF" w:rsidRPr="0077503B">
        <w:rPr>
          <w:rFonts w:asciiTheme="majorBidi" w:hAnsiTheme="majorBidi" w:cstheme="majorBidi"/>
          <w:lang w:eastAsia="en-US"/>
        </w:rPr>
        <w:t xml:space="preserve">2017.gada 28.februāra sprieduma </w:t>
      </w:r>
      <w:r w:rsidR="001B5721" w:rsidRPr="0077503B">
        <w:rPr>
          <w:rFonts w:asciiTheme="majorBidi" w:hAnsiTheme="majorBidi" w:cstheme="majorBidi"/>
          <w:lang w:eastAsia="en-US"/>
        </w:rPr>
        <w:t xml:space="preserve">lietā </w:t>
      </w:r>
      <w:r w:rsidR="003B40EF" w:rsidRPr="0077503B">
        <w:rPr>
          <w:rFonts w:asciiTheme="majorBidi" w:hAnsiTheme="majorBidi" w:cstheme="majorBidi"/>
          <w:lang w:eastAsia="en-US"/>
        </w:rPr>
        <w:t>Nr. SKA-39/2017 atziņas, nav jāvērtē. Nav saskatāms, ka pieteicējai būtu bijuši objektīvi šķēr</w:t>
      </w:r>
      <w:r w:rsidR="005E5FFC" w:rsidRPr="0077503B">
        <w:rPr>
          <w:rFonts w:asciiTheme="majorBidi" w:hAnsiTheme="majorBidi" w:cstheme="majorBidi"/>
          <w:lang w:eastAsia="en-US"/>
        </w:rPr>
        <w:t>šļ</w:t>
      </w:r>
      <w:r w:rsidR="003B40EF" w:rsidRPr="0077503B">
        <w:rPr>
          <w:rFonts w:asciiTheme="majorBidi" w:hAnsiTheme="majorBidi" w:cstheme="majorBidi"/>
          <w:lang w:eastAsia="en-US"/>
        </w:rPr>
        <w:t>i konkrēto argumentu izvirzīt jau apstrīdēšanas iesniegumā.</w:t>
      </w:r>
    </w:p>
    <w:p w14:paraId="2121C648" w14:textId="5F5477DF" w:rsidR="00132951" w:rsidRPr="0077503B" w:rsidRDefault="00263BA2"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Turklāt šis pieteicējas arguments ir arī nepamatots pēc būtības. No Novēršanas likuma 3.panta pirmās daļas 9.punkta izriet, ka likumdevējs par </w:t>
      </w:r>
      <w:r w:rsidR="00F958F0" w:rsidRPr="0077503B">
        <w:rPr>
          <w:rFonts w:asciiTheme="majorBidi" w:hAnsiTheme="majorBidi" w:cstheme="majorBidi"/>
          <w:lang w:eastAsia="en-US"/>
        </w:rPr>
        <w:t>pa</w:t>
      </w:r>
      <w:r w:rsidRPr="0077503B">
        <w:rPr>
          <w:rFonts w:asciiTheme="majorBidi" w:hAnsiTheme="majorBidi" w:cstheme="majorBidi"/>
          <w:lang w:eastAsia="en-US"/>
        </w:rPr>
        <w:t xml:space="preserve">stiprinātai kontrolei pakļautiem atzīst gan klasiskus darījumus skaidrā naudā, gan darījumus, kad skaidra nauda izmantota, iemaksājot to likuma subjekta kontā ar kredītiestādes starpniecību. </w:t>
      </w:r>
      <w:r w:rsidR="00F44AC5" w:rsidRPr="0077503B">
        <w:rPr>
          <w:rFonts w:asciiTheme="majorBidi" w:hAnsiTheme="majorBidi" w:cstheme="majorBidi"/>
          <w:lang w:eastAsia="en-US"/>
        </w:rPr>
        <w:t xml:space="preserve">Interpretējot noteikumu Nr. 674 5.2.apakšpunktu sistēmiski kopsakarā ar minēto likuma normu, secināms, ka ar skaidras naudas darījumiem domāti arī darījumi, kuros skaidra nauda ar kredītiestādes starpniecību </w:t>
      </w:r>
      <w:r w:rsidR="006E73BF" w:rsidRPr="0077503B">
        <w:rPr>
          <w:rFonts w:asciiTheme="majorBidi" w:hAnsiTheme="majorBidi" w:cstheme="majorBidi"/>
          <w:lang w:eastAsia="en-US"/>
        </w:rPr>
        <w:t xml:space="preserve">tiek </w:t>
      </w:r>
      <w:r w:rsidR="00F44AC5" w:rsidRPr="0077503B">
        <w:rPr>
          <w:rFonts w:asciiTheme="majorBidi" w:hAnsiTheme="majorBidi" w:cstheme="majorBidi"/>
          <w:lang w:eastAsia="en-US"/>
        </w:rPr>
        <w:t>iemaksāta likuma subjekta bankas kontā. Ņemot vērā, ka lietā konstatēti vairāki gadījumi, kad klienti pieteicējas bankas kontā iemaksājuši skaidru naudu noteikumu Nr. 674 5.2.apakšpunktā paredzētajā apmērā, Valsts ieņēmumu dienests pamatoti secināj</w:t>
      </w:r>
      <w:r w:rsidR="001F3D0E">
        <w:rPr>
          <w:rFonts w:asciiTheme="majorBidi" w:hAnsiTheme="majorBidi" w:cstheme="majorBidi"/>
          <w:lang w:eastAsia="en-US"/>
        </w:rPr>
        <w:t>is</w:t>
      </w:r>
      <w:r w:rsidR="00F44AC5" w:rsidRPr="0077503B">
        <w:rPr>
          <w:rFonts w:asciiTheme="majorBidi" w:hAnsiTheme="majorBidi" w:cstheme="majorBidi"/>
          <w:lang w:eastAsia="en-US"/>
        </w:rPr>
        <w:t>, ka pieteicēja pieļāvusi pārkāpumu, neziņojot dienestam par šiem darījumiem.</w:t>
      </w:r>
    </w:p>
    <w:p w14:paraId="5A5AB341" w14:textId="25915B2D" w:rsidR="00D969D1" w:rsidRPr="0077503B" w:rsidRDefault="00716CB1"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[2.</w:t>
      </w:r>
      <w:r w:rsidR="005E5FFC" w:rsidRPr="0077503B">
        <w:rPr>
          <w:rFonts w:asciiTheme="majorBidi" w:hAnsiTheme="majorBidi" w:cstheme="majorBidi"/>
          <w:lang w:eastAsia="en-US"/>
        </w:rPr>
        <w:t>5</w:t>
      </w:r>
      <w:r w:rsidRPr="0077503B">
        <w:rPr>
          <w:rFonts w:asciiTheme="majorBidi" w:hAnsiTheme="majorBidi" w:cstheme="majorBidi"/>
          <w:lang w:eastAsia="en-US"/>
        </w:rPr>
        <w:t xml:space="preserve">] </w:t>
      </w:r>
      <w:r w:rsidR="0028609C" w:rsidRPr="0077503B">
        <w:rPr>
          <w:rFonts w:asciiTheme="majorBidi" w:hAnsiTheme="majorBidi" w:cstheme="majorBidi"/>
          <w:lang w:eastAsia="en-US"/>
        </w:rPr>
        <w:t>Situācijā, kurā konstatēts normatīvo aktu pārkāpums noziedzīgi iegūtu līdzekļu legalizācijas un terorisma un proliferācijas finansēšanas novēršanas jomā, Valsts ieņēmumu dienestam</w:t>
      </w:r>
      <w:r w:rsidR="005E5FFC" w:rsidRPr="0077503B">
        <w:rPr>
          <w:rFonts w:asciiTheme="majorBidi" w:hAnsiTheme="majorBidi" w:cstheme="majorBidi"/>
          <w:lang w:eastAsia="en-US"/>
        </w:rPr>
        <w:t>,</w:t>
      </w:r>
      <w:r w:rsidR="0028609C" w:rsidRPr="0077503B">
        <w:rPr>
          <w:rFonts w:asciiTheme="majorBidi" w:hAnsiTheme="majorBidi" w:cstheme="majorBidi"/>
          <w:lang w:eastAsia="en-US"/>
        </w:rPr>
        <w:t xml:space="preserve"> ievērojot pārkāpuma raksturu un citus lietas apstākļus, ir jāizvēlas atbilstoša un samērīga sankcija. Dienests, nosakot pieteicējai piemērojamo soda naudu, ir izvērtējis visus būtiskos apstākļus, kas jāņem vērā, nosakot sodu</w:t>
      </w:r>
      <w:r w:rsidR="00F5378C" w:rsidRPr="0077503B">
        <w:rPr>
          <w:rFonts w:asciiTheme="majorBidi" w:hAnsiTheme="majorBidi" w:cstheme="majorBidi"/>
          <w:lang w:eastAsia="en-US"/>
        </w:rPr>
        <w:t>, kā arī vienlīdzīgas attieksmes nodrošināšanas labad ir ņēmis vērā iekšējās vadlīnijas soda noteikšanai.</w:t>
      </w:r>
      <w:r w:rsidR="0028609C" w:rsidRPr="0077503B">
        <w:rPr>
          <w:rFonts w:asciiTheme="majorBidi" w:hAnsiTheme="majorBidi" w:cstheme="majorBidi"/>
          <w:lang w:eastAsia="en-US"/>
        </w:rPr>
        <w:t xml:space="preserve"> </w:t>
      </w:r>
    </w:p>
    <w:p w14:paraId="34DE7B6A" w14:textId="77777777" w:rsidR="00B45CC6" w:rsidRDefault="0028609C"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Tas, ka dienests kļūdaini saskatīj</w:t>
      </w:r>
      <w:r w:rsidR="005E5FFC" w:rsidRPr="0077503B">
        <w:rPr>
          <w:rFonts w:asciiTheme="majorBidi" w:hAnsiTheme="majorBidi" w:cstheme="majorBidi"/>
          <w:lang w:eastAsia="en-US"/>
        </w:rPr>
        <w:t>a</w:t>
      </w:r>
      <w:r w:rsidRPr="0077503B">
        <w:rPr>
          <w:rFonts w:asciiTheme="majorBidi" w:hAnsiTheme="majorBidi" w:cstheme="majorBidi"/>
          <w:lang w:eastAsia="en-US"/>
        </w:rPr>
        <w:t xml:space="preserve"> nepilnību kontroles sistēmā saistībā ar to, ka</w:t>
      </w:r>
      <w:r w:rsidR="00F5378C" w:rsidRPr="0077503B">
        <w:rPr>
          <w:rFonts w:asciiTheme="majorBidi" w:hAnsiTheme="majorBidi" w:cstheme="majorBidi"/>
          <w:lang w:eastAsia="en-US"/>
        </w:rPr>
        <w:t xml:space="preserve"> pieteicēja tajā nav paredzējusi </w:t>
      </w:r>
      <w:r w:rsidRPr="0077503B">
        <w:rPr>
          <w:rFonts w:asciiTheme="majorBidi" w:hAnsiTheme="majorBidi" w:cstheme="majorBidi"/>
          <w:lang w:eastAsia="en-US"/>
        </w:rPr>
        <w:t>kārtīb</w:t>
      </w:r>
      <w:r w:rsidR="004D3338" w:rsidRPr="0077503B">
        <w:rPr>
          <w:rFonts w:asciiTheme="majorBidi" w:hAnsiTheme="majorBidi" w:cstheme="majorBidi"/>
          <w:lang w:eastAsia="en-US"/>
        </w:rPr>
        <w:t>u</w:t>
      </w:r>
      <w:r w:rsidRPr="0077503B">
        <w:rPr>
          <w:rFonts w:asciiTheme="majorBidi" w:hAnsiTheme="majorBidi" w:cstheme="majorBidi"/>
          <w:lang w:eastAsia="en-US"/>
        </w:rPr>
        <w:t>, kādā jāziņo par</w:t>
      </w:r>
      <w:r w:rsidR="00F5378C" w:rsidRPr="0077503B">
        <w:rPr>
          <w:rFonts w:asciiTheme="majorBidi" w:hAnsiTheme="majorBidi" w:cstheme="majorBidi"/>
          <w:lang w:eastAsia="en-US"/>
        </w:rPr>
        <w:t xml:space="preserve"> </w:t>
      </w:r>
      <w:r w:rsidRPr="0077503B">
        <w:rPr>
          <w:rFonts w:asciiTheme="majorBidi" w:hAnsiTheme="majorBidi" w:cstheme="majorBidi"/>
          <w:lang w:eastAsia="en-US"/>
        </w:rPr>
        <w:t>aizdomīgiem darījumiem</w:t>
      </w:r>
      <w:r w:rsidR="00F5378C" w:rsidRPr="0077503B">
        <w:rPr>
          <w:rFonts w:asciiTheme="majorBidi" w:hAnsiTheme="majorBidi" w:cstheme="majorBidi"/>
          <w:lang w:eastAsia="en-US"/>
        </w:rPr>
        <w:t xml:space="preserve">, konkrētajā gadījumā nav iemesls </w:t>
      </w:r>
      <w:r w:rsidR="004D3338" w:rsidRPr="0077503B">
        <w:rPr>
          <w:rFonts w:asciiTheme="majorBidi" w:hAnsiTheme="majorBidi" w:cstheme="majorBidi"/>
          <w:lang w:eastAsia="en-US"/>
        </w:rPr>
        <w:t xml:space="preserve">atcelt pieteicējai piemēroto </w:t>
      </w:r>
      <w:r w:rsidR="006E73BF" w:rsidRPr="0077503B">
        <w:rPr>
          <w:rFonts w:asciiTheme="majorBidi" w:hAnsiTheme="majorBidi" w:cstheme="majorBidi"/>
          <w:lang w:eastAsia="en-US"/>
        </w:rPr>
        <w:t>soda naudu</w:t>
      </w:r>
      <w:r w:rsidR="004D3338" w:rsidRPr="0077503B">
        <w:rPr>
          <w:rFonts w:asciiTheme="majorBidi" w:hAnsiTheme="majorBidi" w:cstheme="majorBidi"/>
          <w:lang w:eastAsia="en-US"/>
        </w:rPr>
        <w:t>.</w:t>
      </w:r>
      <w:r w:rsidRPr="0077503B">
        <w:rPr>
          <w:rFonts w:asciiTheme="majorBidi" w:hAnsiTheme="majorBidi" w:cstheme="majorBidi"/>
          <w:lang w:eastAsia="en-US"/>
        </w:rPr>
        <w:t xml:space="preserve"> </w:t>
      </w:r>
      <w:r w:rsidR="0036046E" w:rsidRPr="0077503B">
        <w:rPr>
          <w:rFonts w:asciiTheme="majorBidi" w:hAnsiTheme="majorBidi" w:cstheme="majorBidi"/>
          <w:lang w:eastAsia="en-US"/>
        </w:rPr>
        <w:t xml:space="preserve">Lai arī </w:t>
      </w:r>
      <w:r w:rsidR="004D3338" w:rsidRPr="0077503B">
        <w:rPr>
          <w:rFonts w:asciiTheme="majorBidi" w:hAnsiTheme="majorBidi" w:cstheme="majorBidi"/>
          <w:lang w:eastAsia="en-US"/>
        </w:rPr>
        <w:t>v</w:t>
      </w:r>
      <w:r w:rsidR="0036046E" w:rsidRPr="0077503B">
        <w:rPr>
          <w:rFonts w:asciiTheme="majorBidi" w:hAnsiTheme="majorBidi" w:cstheme="majorBidi"/>
          <w:lang w:eastAsia="en-US"/>
        </w:rPr>
        <w:t>ien</w:t>
      </w:r>
      <w:r w:rsidR="004D3338" w:rsidRPr="0077503B">
        <w:rPr>
          <w:rFonts w:asciiTheme="majorBidi" w:hAnsiTheme="majorBidi" w:cstheme="majorBidi"/>
          <w:lang w:eastAsia="en-US"/>
        </w:rPr>
        <w:t>ā aspektā</w:t>
      </w:r>
      <w:r w:rsidR="0036046E" w:rsidRPr="0077503B">
        <w:rPr>
          <w:rFonts w:asciiTheme="majorBidi" w:hAnsiTheme="majorBidi" w:cstheme="majorBidi"/>
          <w:lang w:eastAsia="en-US"/>
        </w:rPr>
        <w:t xml:space="preserve"> saistībā ar pieteicējas kontroles sistēmu dienests bija kļūdījies, tomēr vienlaikus dienests pareizi bija konstatējis citu kontroles sistēmas nepilnību</w:t>
      </w:r>
      <w:r w:rsidR="004D3338" w:rsidRPr="0077503B">
        <w:rPr>
          <w:rFonts w:asciiTheme="majorBidi" w:hAnsiTheme="majorBidi" w:cstheme="majorBidi"/>
          <w:lang w:eastAsia="en-US"/>
        </w:rPr>
        <w:t>. L</w:t>
      </w:r>
      <w:r w:rsidR="00D969D1" w:rsidRPr="0077503B">
        <w:rPr>
          <w:rFonts w:asciiTheme="majorBidi" w:hAnsiTheme="majorBidi" w:cstheme="majorBidi"/>
          <w:lang w:eastAsia="en-US"/>
        </w:rPr>
        <w:t xml:space="preserve">īdz ar to </w:t>
      </w:r>
      <w:r w:rsidR="004D3338" w:rsidRPr="0077503B">
        <w:rPr>
          <w:rFonts w:asciiTheme="majorBidi" w:hAnsiTheme="majorBidi" w:cstheme="majorBidi"/>
          <w:lang w:eastAsia="en-US"/>
        </w:rPr>
        <w:t xml:space="preserve">jebkurā gadījumā </w:t>
      </w:r>
      <w:r w:rsidR="00D969D1" w:rsidRPr="0077503B">
        <w:rPr>
          <w:rFonts w:asciiTheme="majorBidi" w:hAnsiTheme="majorBidi" w:cstheme="majorBidi"/>
          <w:lang w:eastAsia="en-US"/>
        </w:rPr>
        <w:t>dienests pamatoti secinājis, ka kopumā pieteicēja pieļāvusi trīs pārkāpumus: nepilnīb</w:t>
      </w:r>
      <w:r w:rsidR="004D3338" w:rsidRPr="0077503B">
        <w:rPr>
          <w:rFonts w:asciiTheme="majorBidi" w:hAnsiTheme="majorBidi" w:cstheme="majorBidi"/>
          <w:lang w:eastAsia="en-US"/>
        </w:rPr>
        <w:t>u</w:t>
      </w:r>
      <w:r w:rsidR="00D969D1" w:rsidRPr="0077503B">
        <w:rPr>
          <w:rFonts w:asciiTheme="majorBidi" w:hAnsiTheme="majorBidi" w:cstheme="majorBidi"/>
          <w:lang w:eastAsia="en-US"/>
        </w:rPr>
        <w:t xml:space="preserve"> kontroles sistēmā, klientu neatbilstošu izpēti saistībā ar patiesā labuma guvēja noskaidrošanu, kā arī neziņošanu par neparastiem darījumiem. </w:t>
      </w:r>
    </w:p>
    <w:p w14:paraId="3E9FE1A5" w14:textId="77777777" w:rsidR="00B45CC6" w:rsidRDefault="005E5FFC"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Turklāt</w:t>
      </w:r>
      <w:r w:rsidR="004D3338" w:rsidRPr="0077503B">
        <w:rPr>
          <w:rFonts w:asciiTheme="majorBidi" w:hAnsiTheme="majorBidi" w:cstheme="majorBidi"/>
          <w:lang w:eastAsia="en-US"/>
        </w:rPr>
        <w:t xml:space="preserve"> ņ</w:t>
      </w:r>
      <w:r w:rsidR="00D969D1" w:rsidRPr="0077503B">
        <w:rPr>
          <w:rFonts w:asciiTheme="majorBidi" w:hAnsiTheme="majorBidi" w:cstheme="majorBidi"/>
          <w:lang w:eastAsia="en-US"/>
        </w:rPr>
        <w:t xml:space="preserve">emami vērā arī dienesta tiesas procesā sniegtie paskaidrojumi, ka </w:t>
      </w:r>
      <w:r w:rsidR="00741E85" w:rsidRPr="0077503B">
        <w:rPr>
          <w:rFonts w:asciiTheme="majorBidi" w:hAnsiTheme="majorBidi" w:cstheme="majorBidi"/>
          <w:lang w:eastAsia="en-US"/>
        </w:rPr>
        <w:t xml:space="preserve">pieteicējas pieļautās nepilnības kontroles sistēmā nebija izšķirošās, nosakot pieteicējai </w:t>
      </w:r>
      <w:r w:rsidR="00CA59EF" w:rsidRPr="0077503B">
        <w:rPr>
          <w:rFonts w:asciiTheme="majorBidi" w:hAnsiTheme="majorBidi" w:cstheme="majorBidi"/>
          <w:lang w:eastAsia="en-US"/>
        </w:rPr>
        <w:t>soda naudu</w:t>
      </w:r>
      <w:r w:rsidR="004D3338" w:rsidRPr="0077503B">
        <w:rPr>
          <w:rFonts w:asciiTheme="majorBidi" w:hAnsiTheme="majorBidi" w:cstheme="majorBidi"/>
          <w:lang w:eastAsia="en-US"/>
        </w:rPr>
        <w:t xml:space="preserve">. Dienests paskaidrojis, ka tad, ja </w:t>
      </w:r>
      <w:r w:rsidR="008027CE" w:rsidRPr="0077503B">
        <w:rPr>
          <w:rFonts w:asciiTheme="majorBidi" w:hAnsiTheme="majorBidi" w:cstheme="majorBidi"/>
          <w:lang w:eastAsia="en-US"/>
        </w:rPr>
        <w:t>pieteicēja būtu pieļāvusi pārkāpumus tikai saistībā ar nepilnībā</w:t>
      </w:r>
      <w:r w:rsidR="004D3338" w:rsidRPr="0077503B">
        <w:rPr>
          <w:rFonts w:asciiTheme="majorBidi" w:hAnsiTheme="majorBidi" w:cstheme="majorBidi"/>
          <w:lang w:eastAsia="en-US"/>
        </w:rPr>
        <w:t>m</w:t>
      </w:r>
      <w:r w:rsidR="008027CE" w:rsidRPr="0077503B">
        <w:rPr>
          <w:rFonts w:asciiTheme="majorBidi" w:hAnsiTheme="majorBidi" w:cstheme="majorBidi"/>
          <w:lang w:eastAsia="en-US"/>
        </w:rPr>
        <w:t xml:space="preserve"> kontroles sistēmā, varētu būt piemērots </w:t>
      </w:r>
      <w:r w:rsidR="004D3338" w:rsidRPr="0077503B">
        <w:rPr>
          <w:rFonts w:asciiTheme="majorBidi" w:hAnsiTheme="majorBidi" w:cstheme="majorBidi"/>
          <w:lang w:eastAsia="en-US"/>
        </w:rPr>
        <w:t xml:space="preserve">tikai </w:t>
      </w:r>
      <w:r w:rsidR="008027CE" w:rsidRPr="0077503B">
        <w:rPr>
          <w:rFonts w:asciiTheme="majorBidi" w:hAnsiTheme="majorBidi" w:cstheme="majorBidi"/>
          <w:lang w:eastAsia="en-US"/>
        </w:rPr>
        <w:t>brīdinājums</w:t>
      </w:r>
      <w:r w:rsidR="006E73BF" w:rsidRPr="0077503B">
        <w:rPr>
          <w:rFonts w:asciiTheme="majorBidi" w:hAnsiTheme="majorBidi" w:cstheme="majorBidi"/>
          <w:lang w:eastAsia="en-US"/>
        </w:rPr>
        <w:t xml:space="preserve"> </w:t>
      </w:r>
      <w:r w:rsidRPr="0077503B">
        <w:rPr>
          <w:rFonts w:asciiTheme="majorBidi" w:hAnsiTheme="majorBidi" w:cstheme="majorBidi"/>
          <w:lang w:eastAsia="en-US"/>
        </w:rPr>
        <w:t>un</w:t>
      </w:r>
      <w:r w:rsidR="004D3338" w:rsidRPr="0077503B">
        <w:rPr>
          <w:rFonts w:asciiTheme="majorBidi" w:hAnsiTheme="majorBidi" w:cstheme="majorBidi"/>
          <w:lang w:eastAsia="en-US"/>
        </w:rPr>
        <w:t xml:space="preserve"> </w:t>
      </w:r>
      <w:r w:rsidR="00CA59EF" w:rsidRPr="0077503B">
        <w:rPr>
          <w:rFonts w:asciiTheme="majorBidi" w:hAnsiTheme="majorBidi" w:cstheme="majorBidi"/>
          <w:lang w:eastAsia="en-US"/>
        </w:rPr>
        <w:t>soda naudas</w:t>
      </w:r>
      <w:r w:rsidR="008027CE" w:rsidRPr="0077503B">
        <w:rPr>
          <w:rFonts w:asciiTheme="majorBidi" w:hAnsiTheme="majorBidi" w:cstheme="majorBidi"/>
          <w:lang w:eastAsia="en-US"/>
        </w:rPr>
        <w:t xml:space="preserve"> piemērošanas nepieciešamība </w:t>
      </w:r>
      <w:r w:rsidR="004D3338" w:rsidRPr="0077503B">
        <w:rPr>
          <w:rFonts w:asciiTheme="majorBidi" w:hAnsiTheme="majorBidi" w:cstheme="majorBidi"/>
          <w:lang w:eastAsia="en-US"/>
        </w:rPr>
        <w:t xml:space="preserve">bija </w:t>
      </w:r>
      <w:r w:rsidR="008027CE" w:rsidRPr="0077503B">
        <w:rPr>
          <w:rFonts w:asciiTheme="majorBidi" w:hAnsiTheme="majorBidi" w:cstheme="majorBidi"/>
          <w:lang w:eastAsia="en-US"/>
        </w:rPr>
        <w:t>saskatīta tieši saistībā ar pārējiem pieteicējas pārkāpumiem.</w:t>
      </w:r>
      <w:r w:rsidR="00D969D1" w:rsidRPr="0077503B">
        <w:rPr>
          <w:rFonts w:asciiTheme="majorBidi" w:hAnsiTheme="majorBidi" w:cstheme="majorBidi"/>
          <w:lang w:eastAsia="en-US"/>
        </w:rPr>
        <w:t xml:space="preserve"> </w:t>
      </w:r>
    </w:p>
    <w:p w14:paraId="00C76B34" w14:textId="56315BE9" w:rsidR="00F5378C" w:rsidRPr="0077503B" w:rsidRDefault="004D3338"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Līdz ar to tas, ka tiesa atzinusi dienesta kļūdu attiecībā uz vienu no pārsūdzētajā lēmumā konstatētajiem pieteicējas pārkāpumiem, konkrētajā gadījumā nav iemesls secināt, ka pieteicējai piemērotā soda nauda nav pamatota un samērīga.</w:t>
      </w:r>
    </w:p>
    <w:p w14:paraId="59908860" w14:textId="03AB58BA" w:rsidR="001269DB" w:rsidRPr="0077503B" w:rsidRDefault="001269DB" w:rsidP="00607CB5">
      <w:pPr>
        <w:spacing w:line="276" w:lineRule="auto"/>
        <w:ind w:firstLine="720"/>
        <w:jc w:val="both"/>
        <w:rPr>
          <w:rFonts w:asciiTheme="majorBidi" w:hAnsiTheme="majorBidi" w:cstheme="majorBidi"/>
          <w:lang w:eastAsia="en-US"/>
        </w:rPr>
      </w:pPr>
    </w:p>
    <w:p w14:paraId="3FCD4B8C" w14:textId="08717949"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lastRenderedPageBreak/>
        <w:t>[3]</w:t>
      </w:r>
      <w:r w:rsidR="00B44E11">
        <w:rPr>
          <w:rFonts w:asciiTheme="majorBidi" w:hAnsiTheme="majorBidi" w:cstheme="majorBidi"/>
        </w:rPr>
        <w:t xml:space="preserve"> </w:t>
      </w:r>
      <w:r w:rsidRPr="0077503B">
        <w:rPr>
          <w:rFonts w:asciiTheme="majorBidi" w:hAnsiTheme="majorBidi" w:cstheme="majorBidi"/>
        </w:rPr>
        <w:t>Pieteicēja par apgabaltiesas spriedumu iesniedza kasācijas sūdzību, norādot</w:t>
      </w:r>
      <w:bookmarkStart w:id="1" w:name="_Hlk98934771"/>
      <w:r w:rsidRPr="0077503B">
        <w:rPr>
          <w:rFonts w:asciiTheme="majorBidi" w:hAnsiTheme="majorBidi" w:cstheme="majorBidi"/>
        </w:rPr>
        <w:t xml:space="preserve"> turpmāk minētos argumentus.</w:t>
      </w:r>
    </w:p>
    <w:p w14:paraId="3BB0297C" w14:textId="14716805" w:rsidR="000A1985" w:rsidRPr="0077503B" w:rsidRDefault="00A772CE" w:rsidP="00607CB5">
      <w:pPr>
        <w:spacing w:line="276" w:lineRule="auto"/>
        <w:ind w:right="40" w:firstLine="720"/>
        <w:jc w:val="both"/>
        <w:rPr>
          <w:rFonts w:asciiTheme="majorBidi" w:hAnsiTheme="majorBidi" w:cstheme="majorBidi"/>
        </w:rPr>
      </w:pPr>
      <w:r w:rsidRPr="0077503B">
        <w:rPr>
          <w:rFonts w:asciiTheme="majorBidi" w:hAnsiTheme="majorBidi" w:cstheme="majorBidi"/>
        </w:rPr>
        <w:t xml:space="preserve">[3.1] </w:t>
      </w:r>
      <w:r w:rsidR="000A1985" w:rsidRPr="0077503B">
        <w:rPr>
          <w:rFonts w:asciiTheme="majorBidi" w:hAnsiTheme="majorBidi" w:cstheme="majorBidi"/>
        </w:rPr>
        <w:t>Tiesa nepamatoti</w:t>
      </w:r>
      <w:r w:rsidR="004D7104" w:rsidRPr="0077503B">
        <w:rPr>
          <w:rFonts w:asciiTheme="majorBidi" w:hAnsiTheme="majorBidi" w:cstheme="majorBidi"/>
        </w:rPr>
        <w:t xml:space="preserve"> atzina, ka var nevērtēt pieteikumā izteikto argumentu par </w:t>
      </w:r>
      <w:r w:rsidR="004D7104" w:rsidRPr="0077503B">
        <w:rPr>
          <w:rFonts w:asciiTheme="majorBidi" w:hAnsiTheme="majorBidi" w:cstheme="majorBidi"/>
          <w:lang w:eastAsia="en-US"/>
        </w:rPr>
        <w:t>noteikumu Nr. 674 5.2.apakšpunkta interpretāciju</w:t>
      </w:r>
      <w:r w:rsidR="006E73BF" w:rsidRPr="0077503B">
        <w:rPr>
          <w:rFonts w:asciiTheme="majorBidi" w:hAnsiTheme="majorBidi" w:cstheme="majorBidi"/>
          <w:lang w:eastAsia="en-US"/>
        </w:rPr>
        <w:t xml:space="preserve"> tāpēc</w:t>
      </w:r>
      <w:r w:rsidR="004D7104" w:rsidRPr="0077503B">
        <w:rPr>
          <w:rFonts w:asciiTheme="majorBidi" w:hAnsiTheme="majorBidi" w:cstheme="majorBidi"/>
          <w:lang w:eastAsia="en-US"/>
        </w:rPr>
        <w:t xml:space="preserve">, </w:t>
      </w:r>
      <w:r w:rsidR="006E73BF" w:rsidRPr="0077503B">
        <w:rPr>
          <w:rFonts w:asciiTheme="majorBidi" w:hAnsiTheme="majorBidi" w:cstheme="majorBidi"/>
          <w:lang w:eastAsia="en-US"/>
        </w:rPr>
        <w:t>ka</w:t>
      </w:r>
      <w:r w:rsidR="004D7104" w:rsidRPr="0077503B">
        <w:rPr>
          <w:rFonts w:asciiTheme="majorBidi" w:hAnsiTheme="majorBidi" w:cstheme="majorBidi"/>
          <w:lang w:eastAsia="en-US"/>
        </w:rPr>
        <w:t xml:space="preserve"> pieteicēja šādu argumentu nebija izvirzījusi apstrīdēšanas iesniegumā. Tiesa </w:t>
      </w:r>
      <w:r w:rsidR="00DD2E21" w:rsidRPr="0077503B">
        <w:rPr>
          <w:rFonts w:asciiTheme="majorBidi" w:hAnsiTheme="majorBidi" w:cstheme="majorBidi"/>
          <w:lang w:eastAsia="en-US"/>
        </w:rPr>
        <w:t xml:space="preserve">šajā sakarā </w:t>
      </w:r>
      <w:r w:rsidR="004D7104" w:rsidRPr="0077503B">
        <w:rPr>
          <w:rFonts w:asciiTheme="majorBidi" w:hAnsiTheme="majorBidi" w:cstheme="majorBidi"/>
          <w:lang w:eastAsia="en-US"/>
        </w:rPr>
        <w:t>nepamatoti atsau</w:t>
      </w:r>
      <w:r w:rsidR="00DD2E21" w:rsidRPr="0077503B">
        <w:rPr>
          <w:rFonts w:asciiTheme="majorBidi" w:hAnsiTheme="majorBidi" w:cstheme="majorBidi"/>
          <w:lang w:eastAsia="en-US"/>
        </w:rPr>
        <w:t xml:space="preserve">cās uz </w:t>
      </w:r>
      <w:r w:rsidR="004D7104" w:rsidRPr="0077503B">
        <w:rPr>
          <w:rFonts w:asciiTheme="majorBidi" w:hAnsiTheme="majorBidi" w:cstheme="majorBidi"/>
          <w:lang w:eastAsia="en-US"/>
        </w:rPr>
        <w:t>Senāta 2</w:t>
      </w:r>
      <w:r w:rsidR="000A1985" w:rsidRPr="0077503B">
        <w:rPr>
          <w:rFonts w:asciiTheme="majorBidi" w:hAnsiTheme="majorBidi" w:cstheme="majorBidi"/>
        </w:rPr>
        <w:t>017.</w:t>
      </w:r>
      <w:r w:rsidR="004D7104" w:rsidRPr="0077503B">
        <w:rPr>
          <w:rFonts w:asciiTheme="majorBidi" w:hAnsiTheme="majorBidi" w:cstheme="majorBidi"/>
        </w:rPr>
        <w:t xml:space="preserve">gada 28.februāra sprieduma lietā </w:t>
      </w:r>
      <w:r w:rsidR="000A1985" w:rsidRPr="0077503B">
        <w:rPr>
          <w:rFonts w:asciiTheme="majorBidi" w:hAnsiTheme="majorBidi" w:cstheme="majorBidi"/>
        </w:rPr>
        <w:t>Nr.</w:t>
      </w:r>
      <w:r w:rsidR="001B5721" w:rsidRPr="0077503B">
        <w:rPr>
          <w:rFonts w:asciiTheme="majorBidi" w:hAnsiTheme="majorBidi" w:cstheme="majorBidi"/>
        </w:rPr>
        <w:t> </w:t>
      </w:r>
      <w:r w:rsidR="000A1985" w:rsidRPr="0077503B">
        <w:rPr>
          <w:rFonts w:asciiTheme="majorBidi" w:hAnsiTheme="majorBidi" w:cstheme="majorBidi"/>
        </w:rPr>
        <w:t xml:space="preserve">SKA-39/2017 </w:t>
      </w:r>
      <w:r w:rsidR="004D7104" w:rsidRPr="0077503B">
        <w:rPr>
          <w:rFonts w:asciiTheme="majorBidi" w:hAnsiTheme="majorBidi" w:cstheme="majorBidi"/>
        </w:rPr>
        <w:t>at</w:t>
      </w:r>
      <w:r w:rsidR="001B5721" w:rsidRPr="0077503B">
        <w:rPr>
          <w:rFonts w:asciiTheme="majorBidi" w:hAnsiTheme="majorBidi" w:cstheme="majorBidi"/>
        </w:rPr>
        <w:t xml:space="preserve">ziņām, jo </w:t>
      </w:r>
      <w:r w:rsidR="00DD2E21" w:rsidRPr="0077503B">
        <w:rPr>
          <w:rFonts w:asciiTheme="majorBidi" w:hAnsiTheme="majorBidi" w:cstheme="majorBidi"/>
        </w:rPr>
        <w:t xml:space="preserve">izskatāmajā gadījumā pieteicēja pieteikumā norādīja apstrīdēšanas iesniegumā neminētu argumentu par tiesību jautājumu – iestādes piemērotās tiesību normas interpretāciju, nevis izteica jaunus iebildumus pret iestādes konstatētajiem faktiem. </w:t>
      </w:r>
      <w:r w:rsidR="0007216B" w:rsidRPr="0077503B">
        <w:rPr>
          <w:rFonts w:asciiTheme="majorBidi" w:hAnsiTheme="majorBidi" w:cstheme="majorBidi"/>
        </w:rPr>
        <w:t xml:space="preserve">Tiesa nepareizi atzinusi, ka </w:t>
      </w:r>
      <w:r w:rsidR="0034009C" w:rsidRPr="0077503B">
        <w:rPr>
          <w:rFonts w:asciiTheme="majorBidi" w:hAnsiTheme="majorBidi" w:cstheme="majorBidi"/>
        </w:rPr>
        <w:t>procesa dalībniekam ir liegts</w:t>
      </w:r>
      <w:r w:rsidR="0007216B" w:rsidRPr="0077503B">
        <w:rPr>
          <w:rFonts w:asciiTheme="majorBidi" w:hAnsiTheme="majorBidi" w:cstheme="majorBidi"/>
        </w:rPr>
        <w:t xml:space="preserve"> pieteikumā tiesai izvirzīt jaunus – apstrīdēšanas iesniegumā neminētus – argumentus par tiesību jautājumiem.</w:t>
      </w:r>
    </w:p>
    <w:p w14:paraId="70345468" w14:textId="5D13D4C3" w:rsidR="000A1985" w:rsidRPr="0077503B" w:rsidRDefault="00DD2E21" w:rsidP="00607CB5">
      <w:pPr>
        <w:spacing w:line="276" w:lineRule="auto"/>
        <w:ind w:right="40" w:firstLine="720"/>
        <w:jc w:val="both"/>
        <w:rPr>
          <w:rFonts w:asciiTheme="majorBidi" w:hAnsiTheme="majorBidi" w:cstheme="majorBidi"/>
        </w:rPr>
      </w:pPr>
      <w:r w:rsidRPr="0077503B">
        <w:rPr>
          <w:rFonts w:asciiTheme="majorBidi" w:hAnsiTheme="majorBidi" w:cstheme="majorBidi"/>
        </w:rPr>
        <w:t xml:space="preserve">Tiesa </w:t>
      </w:r>
      <w:r w:rsidR="004D4DC0" w:rsidRPr="0077503B">
        <w:rPr>
          <w:rFonts w:asciiTheme="majorBidi" w:hAnsiTheme="majorBidi" w:cstheme="majorBidi"/>
        </w:rPr>
        <w:t xml:space="preserve">arī </w:t>
      </w:r>
      <w:r w:rsidRPr="0077503B">
        <w:rPr>
          <w:rFonts w:asciiTheme="majorBidi" w:hAnsiTheme="majorBidi" w:cstheme="majorBidi"/>
        </w:rPr>
        <w:t xml:space="preserve">rīkojās pretrunīgi: lai arī atzina, ka </w:t>
      </w:r>
      <w:r w:rsidR="0007216B" w:rsidRPr="0077503B">
        <w:rPr>
          <w:rFonts w:asciiTheme="majorBidi" w:hAnsiTheme="majorBidi" w:cstheme="majorBidi"/>
        </w:rPr>
        <w:t xml:space="preserve">pieteicējas </w:t>
      </w:r>
      <w:r w:rsidRPr="0077503B">
        <w:rPr>
          <w:rFonts w:asciiTheme="majorBidi" w:hAnsiTheme="majorBidi" w:cstheme="majorBidi"/>
        </w:rPr>
        <w:t xml:space="preserve">arguments </w:t>
      </w:r>
      <w:r w:rsidR="0007216B" w:rsidRPr="0077503B">
        <w:rPr>
          <w:rFonts w:asciiTheme="majorBidi" w:hAnsiTheme="majorBidi" w:cstheme="majorBidi"/>
        </w:rPr>
        <w:t xml:space="preserve">par </w:t>
      </w:r>
      <w:r w:rsidR="0007216B" w:rsidRPr="0077503B">
        <w:rPr>
          <w:rFonts w:asciiTheme="majorBidi" w:hAnsiTheme="majorBidi" w:cstheme="majorBidi"/>
          <w:lang w:eastAsia="en-US"/>
        </w:rPr>
        <w:t>noteikumu Nr. 674 5.2.apakšpunkta interpretāciju</w:t>
      </w:r>
      <w:r w:rsidR="0007216B" w:rsidRPr="0077503B">
        <w:rPr>
          <w:rFonts w:asciiTheme="majorBidi" w:hAnsiTheme="majorBidi" w:cstheme="majorBidi"/>
        </w:rPr>
        <w:t xml:space="preserve"> </w:t>
      </w:r>
      <w:r w:rsidRPr="0077503B">
        <w:rPr>
          <w:rFonts w:asciiTheme="majorBidi" w:hAnsiTheme="majorBidi" w:cstheme="majorBidi"/>
        </w:rPr>
        <w:t xml:space="preserve">nav jāvērtē, to tomēr izvērtēja. </w:t>
      </w:r>
      <w:r w:rsidR="0007216B" w:rsidRPr="0077503B">
        <w:rPr>
          <w:rFonts w:asciiTheme="majorBidi" w:hAnsiTheme="majorBidi" w:cstheme="majorBidi"/>
        </w:rPr>
        <w:t>Savukārt p</w:t>
      </w:r>
      <w:r w:rsidRPr="0077503B">
        <w:rPr>
          <w:rFonts w:asciiTheme="majorBidi" w:hAnsiTheme="majorBidi" w:cstheme="majorBidi"/>
        </w:rPr>
        <w:t>ieteicēja</w:t>
      </w:r>
      <w:r w:rsidR="0007216B" w:rsidRPr="0077503B">
        <w:rPr>
          <w:rFonts w:asciiTheme="majorBidi" w:hAnsiTheme="majorBidi" w:cstheme="majorBidi"/>
        </w:rPr>
        <w:t>s</w:t>
      </w:r>
      <w:r w:rsidRPr="0077503B">
        <w:rPr>
          <w:rFonts w:asciiTheme="majorBidi" w:hAnsiTheme="majorBidi" w:cstheme="majorBidi"/>
        </w:rPr>
        <w:t xml:space="preserve"> apelācijas sūdzībā </w:t>
      </w:r>
      <w:r w:rsidR="0007216B" w:rsidRPr="0077503B">
        <w:rPr>
          <w:rFonts w:asciiTheme="majorBidi" w:hAnsiTheme="majorBidi" w:cstheme="majorBidi"/>
        </w:rPr>
        <w:t xml:space="preserve">izteikto </w:t>
      </w:r>
      <w:r w:rsidRPr="0077503B">
        <w:rPr>
          <w:rFonts w:asciiTheme="majorBidi" w:hAnsiTheme="majorBidi" w:cstheme="majorBidi"/>
        </w:rPr>
        <w:t xml:space="preserve">argumentu par to, ka </w:t>
      </w:r>
      <w:r w:rsidR="0007216B" w:rsidRPr="0077503B">
        <w:rPr>
          <w:rFonts w:asciiTheme="majorBidi" w:hAnsiTheme="majorBidi" w:cstheme="majorBidi"/>
          <w:lang w:eastAsia="en-US"/>
        </w:rPr>
        <w:t>noteikumu Nr. 674 5.2.apakšpunkt</w:t>
      </w:r>
      <w:r w:rsidR="0064228E" w:rsidRPr="0077503B">
        <w:rPr>
          <w:rFonts w:asciiTheme="majorBidi" w:hAnsiTheme="majorBidi" w:cstheme="majorBidi"/>
          <w:lang w:eastAsia="en-US"/>
        </w:rPr>
        <w:t>s</w:t>
      </w:r>
      <w:r w:rsidR="0007216B" w:rsidRPr="0077503B">
        <w:rPr>
          <w:rFonts w:asciiTheme="majorBidi" w:hAnsiTheme="majorBidi" w:cstheme="majorBidi"/>
          <w:lang w:eastAsia="en-US"/>
        </w:rPr>
        <w:t xml:space="preserve"> neatbilst likuma normai, tiesa vispār nav pieminējusi un nav arī argumentējusi, kāpēc to nevērtē. </w:t>
      </w:r>
    </w:p>
    <w:p w14:paraId="02C88216" w14:textId="204A13AE" w:rsidR="0007216B" w:rsidRPr="0077503B" w:rsidRDefault="0007216B" w:rsidP="00607CB5">
      <w:pPr>
        <w:spacing w:line="276" w:lineRule="auto"/>
        <w:ind w:right="40" w:firstLine="720"/>
        <w:jc w:val="both"/>
        <w:rPr>
          <w:rFonts w:asciiTheme="majorBidi" w:hAnsiTheme="majorBidi" w:cstheme="majorBidi"/>
          <w:spacing w:val="3"/>
        </w:rPr>
      </w:pPr>
      <w:r w:rsidRPr="0077503B">
        <w:rPr>
          <w:rFonts w:asciiTheme="majorBidi" w:hAnsiTheme="majorBidi" w:cstheme="majorBidi"/>
        </w:rPr>
        <w:t>[3.</w:t>
      </w:r>
      <w:r w:rsidR="004D4DC0" w:rsidRPr="0077503B">
        <w:rPr>
          <w:rFonts w:asciiTheme="majorBidi" w:hAnsiTheme="majorBidi" w:cstheme="majorBidi"/>
        </w:rPr>
        <w:t>2</w:t>
      </w:r>
      <w:r w:rsidRPr="0077503B">
        <w:rPr>
          <w:rFonts w:asciiTheme="majorBidi" w:hAnsiTheme="majorBidi" w:cstheme="majorBidi"/>
        </w:rPr>
        <w:t xml:space="preserve">] Tiesa nepareizi atzina, ka </w:t>
      </w:r>
      <w:r w:rsidRPr="0077503B">
        <w:rPr>
          <w:rFonts w:asciiTheme="majorBidi" w:hAnsiTheme="majorBidi" w:cstheme="majorBidi"/>
          <w:lang w:eastAsia="en-US"/>
        </w:rPr>
        <w:t>noteikumu Nr. 674 5.2.apakšpunkt</w:t>
      </w:r>
      <w:r w:rsidR="0064228E" w:rsidRPr="0077503B">
        <w:rPr>
          <w:rFonts w:asciiTheme="majorBidi" w:hAnsiTheme="majorBidi" w:cstheme="majorBidi"/>
          <w:lang w:eastAsia="en-US"/>
        </w:rPr>
        <w:t>s</w:t>
      </w:r>
      <w:r w:rsidRPr="0077503B">
        <w:rPr>
          <w:rFonts w:asciiTheme="majorBidi" w:hAnsiTheme="majorBidi" w:cstheme="majorBidi"/>
          <w:lang w:eastAsia="en-US"/>
        </w:rPr>
        <w:t xml:space="preserve"> attiecas arī uz tādiem darījumiem, kas saistīti ar skaidras naudas iemaksāšanu likuma subjekta kontā ar kredītiestādes starpniecību</w:t>
      </w:r>
      <w:r w:rsidRPr="0077503B">
        <w:rPr>
          <w:rFonts w:asciiTheme="majorBidi" w:hAnsiTheme="majorBidi" w:cstheme="majorBidi"/>
          <w:spacing w:val="3"/>
        </w:rPr>
        <w:t xml:space="preserve">. </w:t>
      </w:r>
      <w:r w:rsidR="0073605F" w:rsidRPr="0077503B">
        <w:rPr>
          <w:rFonts w:asciiTheme="majorBidi" w:hAnsiTheme="majorBidi" w:cstheme="majorBidi"/>
          <w:spacing w:val="3"/>
        </w:rPr>
        <w:t>I</w:t>
      </w:r>
      <w:r w:rsidRPr="0077503B">
        <w:rPr>
          <w:rFonts w:asciiTheme="majorBidi" w:hAnsiTheme="majorBidi" w:cstheme="majorBidi"/>
          <w:spacing w:val="3"/>
        </w:rPr>
        <w:t>r svarīgi ņemt vērā, ka skaidr</w:t>
      </w:r>
      <w:r w:rsidR="0064228E" w:rsidRPr="0077503B">
        <w:rPr>
          <w:rFonts w:asciiTheme="majorBidi" w:hAnsiTheme="majorBidi" w:cstheme="majorBidi"/>
          <w:spacing w:val="3"/>
        </w:rPr>
        <w:t>as</w:t>
      </w:r>
      <w:r w:rsidRPr="0077503B">
        <w:rPr>
          <w:rFonts w:asciiTheme="majorBidi" w:hAnsiTheme="majorBidi" w:cstheme="majorBidi"/>
          <w:spacing w:val="3"/>
        </w:rPr>
        <w:t xml:space="preserve"> naud</w:t>
      </w:r>
      <w:r w:rsidR="004D4DC0" w:rsidRPr="0077503B">
        <w:rPr>
          <w:rFonts w:asciiTheme="majorBidi" w:hAnsiTheme="majorBidi" w:cstheme="majorBidi"/>
          <w:spacing w:val="3"/>
        </w:rPr>
        <w:t>as ieskaitīšanā likuma subjekta kontā ir iesaistītas kredītiestādes</w:t>
      </w:r>
      <w:r w:rsidRPr="0077503B">
        <w:rPr>
          <w:rFonts w:asciiTheme="majorBidi" w:hAnsiTheme="majorBidi" w:cstheme="majorBidi"/>
          <w:spacing w:val="3"/>
        </w:rPr>
        <w:t xml:space="preserve">, kurām arī ir pienākums pārliecināties par naudas izcelsmi. Šādos apstākļos nav pamata prasīt, lai arī likuma subjekts, kurš saņem ar </w:t>
      </w:r>
      <w:r w:rsidR="004D4DC0" w:rsidRPr="0077503B">
        <w:rPr>
          <w:rFonts w:asciiTheme="majorBidi" w:hAnsiTheme="majorBidi" w:cstheme="majorBidi"/>
          <w:spacing w:val="3"/>
        </w:rPr>
        <w:t>kredītiestādes</w:t>
      </w:r>
      <w:r w:rsidRPr="0077503B">
        <w:rPr>
          <w:rFonts w:asciiTheme="majorBidi" w:hAnsiTheme="majorBidi" w:cstheme="majorBidi"/>
          <w:spacing w:val="3"/>
        </w:rPr>
        <w:t xml:space="preserve"> starpniecību samaksāto naudu, ziņo par attiecīgo darījumu kā par skaidras naudas darījumu.</w:t>
      </w:r>
    </w:p>
    <w:p w14:paraId="0A92C6F6" w14:textId="09347F41" w:rsidR="004D4DC0" w:rsidRPr="0077503B" w:rsidRDefault="004D4DC0" w:rsidP="00607CB5">
      <w:pPr>
        <w:spacing w:line="276" w:lineRule="auto"/>
        <w:ind w:right="40" w:firstLine="720"/>
        <w:jc w:val="both"/>
        <w:rPr>
          <w:rFonts w:asciiTheme="majorBidi" w:hAnsiTheme="majorBidi" w:cstheme="majorBidi"/>
          <w:spacing w:val="3"/>
        </w:rPr>
      </w:pPr>
      <w:r w:rsidRPr="0077503B">
        <w:rPr>
          <w:rFonts w:asciiTheme="majorBidi" w:hAnsiTheme="majorBidi" w:cstheme="majorBidi"/>
          <w:spacing w:val="3"/>
        </w:rPr>
        <w:t>[3.3] N</w:t>
      </w:r>
      <w:r w:rsidRPr="0077503B">
        <w:rPr>
          <w:rFonts w:asciiTheme="majorBidi" w:hAnsiTheme="majorBidi" w:cstheme="majorBidi"/>
          <w:lang w:eastAsia="en-US"/>
        </w:rPr>
        <w:t xml:space="preserve">oteikumu Nr. 674 5.2.apakšpunkta norma, ciktāl tā paredz pienākumu Novēršanas likuma 3.panta pirmās daļas 9.punkta subjektam ziņot par tādiem darījumiem, kas sasniedz 5000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slieksni, bet nesasniedz 10 000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ir pretrunā Novēršanas likuma 3.panta pirmās daļas 9.punktam. Minētā likuma norma paredz, ka transportlīdzekļu tirgotājs ir atzīstams par likuma subjektu tikai tad, ja tam ir ar skaidru naudu saistīti darījumi 10 000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apmērā. Norma, kas uzliek šādam likuma subjektam pienākumu ziņot Valsts ieņēmumu dienestam par darījumiem par summu, kas ir mazāka par 10 000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pēc jēgas neatbilst minētajai likuma normai. </w:t>
      </w:r>
    </w:p>
    <w:p w14:paraId="19319E4A" w14:textId="57457C53" w:rsidR="00643168" w:rsidRPr="0077503B" w:rsidRDefault="00643168" w:rsidP="00607CB5">
      <w:pPr>
        <w:spacing w:line="276" w:lineRule="auto"/>
        <w:ind w:right="40" w:firstLine="720"/>
        <w:jc w:val="both"/>
        <w:rPr>
          <w:rFonts w:asciiTheme="majorBidi" w:hAnsiTheme="majorBidi" w:cstheme="majorBidi"/>
          <w:shd w:val="clear" w:color="auto" w:fill="FFFFFF"/>
        </w:rPr>
      </w:pPr>
      <w:r w:rsidRPr="0077503B">
        <w:rPr>
          <w:rFonts w:asciiTheme="majorBidi" w:hAnsiTheme="majorBidi" w:cstheme="majorBidi"/>
        </w:rPr>
        <w:t>[</w:t>
      </w:r>
      <w:r w:rsidR="004D4DC0" w:rsidRPr="0077503B">
        <w:rPr>
          <w:rFonts w:asciiTheme="majorBidi" w:hAnsiTheme="majorBidi" w:cstheme="majorBidi"/>
        </w:rPr>
        <w:t>3.4</w:t>
      </w:r>
      <w:r w:rsidRPr="0077503B">
        <w:rPr>
          <w:rFonts w:asciiTheme="majorBidi" w:hAnsiTheme="majorBidi" w:cstheme="majorBidi"/>
        </w:rPr>
        <w:t xml:space="preserve">] </w:t>
      </w:r>
      <w:r w:rsidR="002B1103" w:rsidRPr="0077503B">
        <w:rPr>
          <w:rFonts w:asciiTheme="majorBidi" w:hAnsiTheme="majorBidi" w:cstheme="majorBidi"/>
        </w:rPr>
        <w:t xml:space="preserve">Tiesa, atzīstot, ka pieteicēja pieļāvusi pārkāpumu, kontroles sistēmā neiekļaujot norādes par </w:t>
      </w:r>
      <w:r w:rsidR="002B1103" w:rsidRPr="0077503B">
        <w:rPr>
          <w:rFonts w:asciiTheme="majorBidi" w:hAnsiTheme="majorBidi" w:cstheme="majorBidi"/>
          <w:lang w:eastAsia="en-US"/>
        </w:rPr>
        <w:t xml:space="preserve">darbinieku tiesībām, atbildību, profesionālās kvalifikācijas un atbilstības standartiem, </w:t>
      </w:r>
      <w:r w:rsidR="002B1103" w:rsidRPr="0077503B">
        <w:rPr>
          <w:rFonts w:asciiTheme="majorBidi" w:hAnsiTheme="majorBidi" w:cstheme="majorBidi"/>
        </w:rPr>
        <w:t>ir nepareizi piemērojusi Novēršanas likuma 7.panta pirmās daļas 8.punktu, jo interpretējusi to pārāk formāli. Tiesa nav ņēmusi vērā, ka d</w:t>
      </w:r>
      <w:r w:rsidR="002B1103" w:rsidRPr="0077503B">
        <w:rPr>
          <w:rFonts w:asciiTheme="majorBidi" w:hAnsiTheme="majorBidi" w:cstheme="majorBidi"/>
          <w:shd w:val="clear" w:color="auto" w:fill="FFFFFF"/>
        </w:rPr>
        <w:t xml:space="preserve">arbinieku tiesības un pienākumi jau izriet no pašas kontroles sistēmas esības un tajā noteiktajām procedūrām. </w:t>
      </w:r>
      <w:r w:rsidRPr="0077503B">
        <w:rPr>
          <w:rFonts w:asciiTheme="majorBidi" w:hAnsiTheme="majorBidi" w:cstheme="majorBidi"/>
          <w:shd w:val="clear" w:color="auto" w:fill="FFFFFF"/>
        </w:rPr>
        <w:t>Ir tikai pašsaprotami</w:t>
      </w:r>
      <w:r w:rsidR="0064228E" w:rsidRPr="0077503B">
        <w:rPr>
          <w:rFonts w:asciiTheme="majorBidi" w:hAnsiTheme="majorBidi" w:cstheme="majorBidi"/>
          <w:shd w:val="clear" w:color="auto" w:fill="FFFFFF"/>
        </w:rPr>
        <w:t>:</w:t>
      </w:r>
      <w:r w:rsidRPr="0077503B">
        <w:rPr>
          <w:rFonts w:asciiTheme="majorBidi" w:hAnsiTheme="majorBidi" w:cstheme="majorBidi"/>
          <w:shd w:val="clear" w:color="auto" w:fill="FFFFFF"/>
        </w:rPr>
        <w:t xml:space="preserve"> ja </w:t>
      </w:r>
      <w:r w:rsidR="0064228E" w:rsidRPr="0077503B">
        <w:rPr>
          <w:rFonts w:asciiTheme="majorBidi" w:hAnsiTheme="majorBidi" w:cstheme="majorBidi"/>
          <w:shd w:val="clear" w:color="auto" w:fill="FFFFFF"/>
        </w:rPr>
        <w:t xml:space="preserve">kontroles sistēmā </w:t>
      </w:r>
      <w:r w:rsidRPr="0077503B">
        <w:rPr>
          <w:rFonts w:asciiTheme="majorBidi" w:hAnsiTheme="majorBidi" w:cstheme="majorBidi"/>
          <w:shd w:val="clear" w:color="auto" w:fill="FFFFFF"/>
        </w:rPr>
        <w:t xml:space="preserve">ir </w:t>
      </w:r>
      <w:r w:rsidR="0064228E" w:rsidRPr="0077503B">
        <w:rPr>
          <w:rFonts w:asciiTheme="majorBidi" w:hAnsiTheme="majorBidi" w:cstheme="majorBidi"/>
          <w:shd w:val="clear" w:color="auto" w:fill="FFFFFF"/>
        </w:rPr>
        <w:t xml:space="preserve">paredzēts </w:t>
      </w:r>
      <w:r w:rsidRPr="0077503B">
        <w:rPr>
          <w:rFonts w:asciiTheme="majorBidi" w:hAnsiTheme="majorBidi" w:cstheme="majorBidi"/>
          <w:shd w:val="clear" w:color="auto" w:fill="FFFFFF"/>
        </w:rPr>
        <w:t xml:space="preserve">īstenot kādas procedūras, tad </w:t>
      </w:r>
      <w:r w:rsidR="0064228E" w:rsidRPr="0077503B">
        <w:rPr>
          <w:rFonts w:asciiTheme="majorBidi" w:hAnsiTheme="majorBidi" w:cstheme="majorBidi"/>
          <w:shd w:val="clear" w:color="auto" w:fill="FFFFFF"/>
        </w:rPr>
        <w:t>darbiniekiem</w:t>
      </w:r>
      <w:r w:rsidRPr="0077503B">
        <w:rPr>
          <w:rFonts w:asciiTheme="majorBidi" w:hAnsiTheme="majorBidi" w:cstheme="majorBidi"/>
          <w:shd w:val="clear" w:color="auto" w:fill="FFFFFF"/>
        </w:rPr>
        <w:t xml:space="preserve"> ir tiesības un pienākums atbilstoši rīkoties. </w:t>
      </w:r>
      <w:r w:rsidR="002B1103" w:rsidRPr="0077503B">
        <w:rPr>
          <w:rFonts w:asciiTheme="majorBidi" w:hAnsiTheme="majorBidi" w:cstheme="majorBidi"/>
          <w:shd w:val="clear" w:color="auto" w:fill="FFFFFF"/>
        </w:rPr>
        <w:t xml:space="preserve">Līdz ar to tiesai vajadzēja vērtēt visu kontroles sistēmu kopumā, un tad tiesa varētu secināt, ka no šīs sistēmas izriet darbinieku tiesības un pienākumi. </w:t>
      </w:r>
    </w:p>
    <w:p w14:paraId="4A5890C7" w14:textId="3000BF5D" w:rsidR="002B1103" w:rsidRPr="0077503B" w:rsidRDefault="00643168" w:rsidP="00607CB5">
      <w:pPr>
        <w:spacing w:line="276" w:lineRule="auto"/>
        <w:ind w:right="40" w:firstLine="720"/>
        <w:jc w:val="both"/>
        <w:rPr>
          <w:rFonts w:asciiTheme="majorBidi" w:hAnsiTheme="majorBidi" w:cstheme="majorBidi"/>
          <w:shd w:val="clear" w:color="auto" w:fill="FFFFFF"/>
        </w:rPr>
      </w:pPr>
      <w:r w:rsidRPr="0077503B">
        <w:rPr>
          <w:rFonts w:asciiTheme="majorBidi" w:hAnsiTheme="majorBidi" w:cstheme="majorBidi"/>
          <w:shd w:val="clear" w:color="auto" w:fill="FFFFFF"/>
        </w:rPr>
        <w:t>Turklāt tiesa atsaukusies uz Valsts ieņēmumu dienesta izstrādātu rokasgrāmatu, bet nav pārliecinājusies, kad tā bija publicēta Valsts ieņēmumu dienesta tīmekļvietnē un vai tāda bija pieejama laikā, par kuru pieteicējai konstatēts pārkāpums.</w:t>
      </w:r>
    </w:p>
    <w:p w14:paraId="35E7546C" w14:textId="3F856B65" w:rsidR="000A1985" w:rsidRPr="0077503B" w:rsidRDefault="000A1985" w:rsidP="00607CB5">
      <w:pPr>
        <w:spacing w:line="276" w:lineRule="auto"/>
        <w:ind w:right="40" w:firstLine="720"/>
        <w:jc w:val="both"/>
        <w:rPr>
          <w:rFonts w:asciiTheme="majorBidi" w:hAnsiTheme="majorBidi" w:cstheme="majorBidi"/>
        </w:rPr>
      </w:pPr>
      <w:r w:rsidRPr="0077503B">
        <w:rPr>
          <w:rFonts w:asciiTheme="majorBidi" w:hAnsiTheme="majorBidi" w:cstheme="majorBidi"/>
          <w:shd w:val="clear" w:color="auto" w:fill="FFFFFF"/>
        </w:rPr>
        <w:t>[</w:t>
      </w:r>
      <w:r w:rsidR="004D4DC0" w:rsidRPr="0077503B">
        <w:rPr>
          <w:rFonts w:asciiTheme="majorBidi" w:hAnsiTheme="majorBidi" w:cstheme="majorBidi"/>
          <w:shd w:val="clear" w:color="auto" w:fill="FFFFFF"/>
        </w:rPr>
        <w:t>3.5</w:t>
      </w:r>
      <w:r w:rsidRPr="0077503B">
        <w:rPr>
          <w:rFonts w:asciiTheme="majorBidi" w:hAnsiTheme="majorBidi" w:cstheme="majorBidi"/>
          <w:shd w:val="clear" w:color="auto" w:fill="FFFFFF"/>
        </w:rPr>
        <w:t>] Tiesa, secinot, ka Valsts ieņēmumu dienest</w:t>
      </w:r>
      <w:r w:rsidR="0064228E" w:rsidRPr="0077503B">
        <w:rPr>
          <w:rFonts w:asciiTheme="majorBidi" w:hAnsiTheme="majorBidi" w:cstheme="majorBidi"/>
          <w:shd w:val="clear" w:color="auto" w:fill="FFFFFF"/>
        </w:rPr>
        <w:t>a</w:t>
      </w:r>
      <w:r w:rsidRPr="0077503B">
        <w:rPr>
          <w:rFonts w:asciiTheme="majorBidi" w:hAnsiTheme="majorBidi" w:cstheme="majorBidi"/>
          <w:shd w:val="clear" w:color="auto" w:fill="FFFFFF"/>
        </w:rPr>
        <w:t xml:space="preserve"> </w:t>
      </w:r>
      <w:r w:rsidR="004D4DC0" w:rsidRPr="0077503B">
        <w:rPr>
          <w:rFonts w:asciiTheme="majorBidi" w:hAnsiTheme="majorBidi" w:cstheme="majorBidi"/>
          <w:shd w:val="clear" w:color="auto" w:fill="FFFFFF"/>
        </w:rPr>
        <w:t>kļūdai</w:t>
      </w:r>
      <w:r w:rsidR="0064228E" w:rsidRPr="0077503B">
        <w:rPr>
          <w:rFonts w:asciiTheme="majorBidi" w:hAnsiTheme="majorBidi" w:cstheme="majorBidi"/>
          <w:shd w:val="clear" w:color="auto" w:fill="FFFFFF"/>
        </w:rPr>
        <w:t xml:space="preserve"> </w:t>
      </w:r>
      <w:r w:rsidRPr="0077503B">
        <w:rPr>
          <w:rFonts w:asciiTheme="majorBidi" w:hAnsiTheme="majorBidi" w:cstheme="majorBidi"/>
          <w:shd w:val="clear" w:color="auto" w:fill="FFFFFF"/>
        </w:rPr>
        <w:t xml:space="preserve">kontroles sistēmas nepilnību </w:t>
      </w:r>
      <w:r w:rsidR="0064228E" w:rsidRPr="0077503B">
        <w:rPr>
          <w:rFonts w:asciiTheme="majorBidi" w:hAnsiTheme="majorBidi" w:cstheme="majorBidi"/>
          <w:shd w:val="clear" w:color="auto" w:fill="FFFFFF"/>
        </w:rPr>
        <w:t>konstatēšanā</w:t>
      </w:r>
      <w:r w:rsidR="007E282C" w:rsidRPr="0077503B">
        <w:rPr>
          <w:rFonts w:asciiTheme="majorBidi" w:hAnsiTheme="majorBidi" w:cstheme="majorBidi"/>
          <w:shd w:val="clear" w:color="auto" w:fill="FFFFFF"/>
        </w:rPr>
        <w:t xml:space="preserve"> </w:t>
      </w:r>
      <w:r w:rsidRPr="0077503B">
        <w:rPr>
          <w:rFonts w:asciiTheme="majorBidi" w:hAnsiTheme="majorBidi" w:cstheme="majorBidi"/>
          <w:shd w:val="clear" w:color="auto" w:fill="FFFFFF"/>
        </w:rPr>
        <w:t>nav ietekmes uz piemērotā soda pamatotību, ir pārkāpusi Administratīvā procesa likuma 250.panta otr</w:t>
      </w:r>
      <w:r w:rsidR="007E282C" w:rsidRPr="0077503B">
        <w:rPr>
          <w:rFonts w:asciiTheme="majorBidi" w:hAnsiTheme="majorBidi" w:cstheme="majorBidi"/>
          <w:shd w:val="clear" w:color="auto" w:fill="FFFFFF"/>
        </w:rPr>
        <w:t xml:space="preserve">o daļu. Minētā tiesību norma liedz </w:t>
      </w:r>
      <w:r w:rsidRPr="0077503B">
        <w:rPr>
          <w:rFonts w:asciiTheme="majorBidi" w:hAnsiTheme="majorBidi" w:cstheme="majorBidi"/>
        </w:rPr>
        <w:t>tiesa</w:t>
      </w:r>
      <w:r w:rsidR="007E282C" w:rsidRPr="0077503B">
        <w:rPr>
          <w:rFonts w:asciiTheme="majorBidi" w:hAnsiTheme="majorBidi" w:cstheme="majorBidi"/>
        </w:rPr>
        <w:t>i</w:t>
      </w:r>
      <w:r w:rsidRPr="0077503B">
        <w:rPr>
          <w:rFonts w:asciiTheme="majorBidi" w:hAnsiTheme="majorBidi" w:cstheme="majorBidi"/>
        </w:rPr>
        <w:t xml:space="preserve">, </w:t>
      </w:r>
      <w:r w:rsidRPr="0077503B">
        <w:rPr>
          <w:rFonts w:asciiTheme="majorBidi" w:hAnsiTheme="majorBidi" w:cstheme="majorBidi"/>
        </w:rPr>
        <w:lastRenderedPageBreak/>
        <w:t>vērtējot administratīvā akta tiesiskumu, ņem</w:t>
      </w:r>
      <w:r w:rsidR="007E282C" w:rsidRPr="0077503B">
        <w:rPr>
          <w:rFonts w:asciiTheme="majorBidi" w:hAnsiTheme="majorBidi" w:cstheme="majorBidi"/>
        </w:rPr>
        <w:t>t</w:t>
      </w:r>
      <w:r w:rsidRPr="0077503B">
        <w:rPr>
          <w:rFonts w:asciiTheme="majorBidi" w:hAnsiTheme="majorBidi" w:cstheme="majorBidi"/>
        </w:rPr>
        <w:t xml:space="preserve"> vērā </w:t>
      </w:r>
      <w:r w:rsidR="007E282C" w:rsidRPr="0077503B">
        <w:rPr>
          <w:rFonts w:asciiTheme="majorBidi" w:hAnsiTheme="majorBidi" w:cstheme="majorBidi"/>
        </w:rPr>
        <w:t>administratīvajā aktā neminētu pamatojumu</w:t>
      </w:r>
      <w:r w:rsidRPr="0077503B">
        <w:rPr>
          <w:rFonts w:asciiTheme="majorBidi" w:hAnsiTheme="majorBidi" w:cstheme="majorBidi"/>
        </w:rPr>
        <w:t xml:space="preserve">. No pārsūdzētā lēmuma neizriet, ka </w:t>
      </w:r>
      <w:r w:rsidR="007E282C" w:rsidRPr="0077503B">
        <w:rPr>
          <w:rFonts w:asciiTheme="majorBidi" w:hAnsiTheme="majorBidi" w:cstheme="majorBidi"/>
        </w:rPr>
        <w:t xml:space="preserve">iestāde </w:t>
      </w:r>
      <w:r w:rsidRPr="0077503B">
        <w:rPr>
          <w:rFonts w:asciiTheme="majorBidi" w:hAnsiTheme="majorBidi" w:cstheme="majorBidi"/>
        </w:rPr>
        <w:t>pārkāpum</w:t>
      </w:r>
      <w:r w:rsidR="007E282C" w:rsidRPr="0077503B">
        <w:rPr>
          <w:rFonts w:asciiTheme="majorBidi" w:hAnsiTheme="majorBidi" w:cstheme="majorBidi"/>
        </w:rPr>
        <w:t>us</w:t>
      </w:r>
      <w:r w:rsidRPr="0077503B">
        <w:rPr>
          <w:rFonts w:asciiTheme="majorBidi" w:hAnsiTheme="majorBidi" w:cstheme="majorBidi"/>
        </w:rPr>
        <w:t xml:space="preserve"> attiecībā uz kontroles sistēmas saturu būtu </w:t>
      </w:r>
      <w:r w:rsidR="007E282C" w:rsidRPr="0077503B">
        <w:rPr>
          <w:rFonts w:asciiTheme="majorBidi" w:hAnsiTheme="majorBidi" w:cstheme="majorBidi"/>
        </w:rPr>
        <w:t xml:space="preserve">vērtējusi kā </w:t>
      </w:r>
      <w:r w:rsidRPr="0077503B">
        <w:rPr>
          <w:rFonts w:asciiTheme="majorBidi" w:hAnsiTheme="majorBidi" w:cstheme="majorBidi"/>
        </w:rPr>
        <w:t>mazāk būtisk</w:t>
      </w:r>
      <w:r w:rsidR="007E282C" w:rsidRPr="0077503B">
        <w:rPr>
          <w:rFonts w:asciiTheme="majorBidi" w:hAnsiTheme="majorBidi" w:cstheme="majorBidi"/>
        </w:rPr>
        <w:t>us</w:t>
      </w:r>
      <w:r w:rsidRPr="0077503B">
        <w:rPr>
          <w:rFonts w:asciiTheme="majorBidi" w:hAnsiTheme="majorBidi" w:cstheme="majorBidi"/>
        </w:rPr>
        <w:t xml:space="preserve">. Argumenti, ka </w:t>
      </w:r>
      <w:r w:rsidR="007E282C" w:rsidRPr="0077503B">
        <w:rPr>
          <w:rFonts w:asciiTheme="majorBidi" w:hAnsiTheme="majorBidi" w:cstheme="majorBidi"/>
        </w:rPr>
        <w:t xml:space="preserve">vieni </w:t>
      </w:r>
      <w:r w:rsidRPr="0077503B">
        <w:rPr>
          <w:rFonts w:asciiTheme="majorBidi" w:hAnsiTheme="majorBidi" w:cstheme="majorBidi"/>
        </w:rPr>
        <w:t>dienesta konstatēt</w:t>
      </w:r>
      <w:r w:rsidR="007E282C" w:rsidRPr="0077503B">
        <w:rPr>
          <w:rFonts w:asciiTheme="majorBidi" w:hAnsiTheme="majorBidi" w:cstheme="majorBidi"/>
        </w:rPr>
        <w:t>ie</w:t>
      </w:r>
      <w:r w:rsidRPr="0077503B">
        <w:rPr>
          <w:rFonts w:asciiTheme="majorBidi" w:hAnsiTheme="majorBidi" w:cstheme="majorBidi"/>
        </w:rPr>
        <w:t xml:space="preserve"> pārkāpumi vērtējami kā būtiskāki, bet citi – kā nebūtisk</w:t>
      </w:r>
      <w:r w:rsidR="007E282C" w:rsidRPr="0077503B">
        <w:rPr>
          <w:rFonts w:asciiTheme="majorBidi" w:hAnsiTheme="majorBidi" w:cstheme="majorBidi"/>
        </w:rPr>
        <w:t>āk</w:t>
      </w:r>
      <w:r w:rsidRPr="0077503B">
        <w:rPr>
          <w:rFonts w:asciiTheme="majorBidi" w:hAnsiTheme="majorBidi" w:cstheme="majorBidi"/>
        </w:rPr>
        <w:t xml:space="preserve">i un galīgo sodu neietekmējoši, parādījās tikai tiesvedības stadijā. </w:t>
      </w:r>
    </w:p>
    <w:p w14:paraId="48AD8B24" w14:textId="77777777" w:rsidR="00A772CE" w:rsidRPr="0077503B" w:rsidRDefault="00A772CE" w:rsidP="00607CB5">
      <w:pPr>
        <w:spacing w:line="276" w:lineRule="auto"/>
        <w:ind w:firstLine="720"/>
        <w:jc w:val="both"/>
        <w:rPr>
          <w:rFonts w:asciiTheme="majorBidi" w:hAnsiTheme="majorBidi" w:cstheme="majorBidi"/>
        </w:rPr>
      </w:pPr>
    </w:p>
    <w:p w14:paraId="4E23C63E" w14:textId="4E5312C2" w:rsidR="00956464" w:rsidRPr="0077503B" w:rsidRDefault="00956464"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rPr>
        <w:t>[4]</w:t>
      </w:r>
      <w:r w:rsidR="00B44E11">
        <w:rPr>
          <w:rFonts w:asciiTheme="majorBidi" w:hAnsiTheme="majorBidi" w:cstheme="majorBidi"/>
        </w:rPr>
        <w:t xml:space="preserve"> </w:t>
      </w:r>
      <w:r w:rsidRPr="0077503B">
        <w:rPr>
          <w:rFonts w:asciiTheme="majorBidi" w:hAnsiTheme="majorBidi" w:cstheme="majorBidi"/>
        </w:rPr>
        <w:t xml:space="preserve">Valsts ieņēmumu dienesta paskaidrojumos par kasācijas sūdzību norādīts, ka tā ir nepamatota un noraidāma. Dienests </w:t>
      </w:r>
      <w:r w:rsidR="000A5367" w:rsidRPr="0077503B">
        <w:rPr>
          <w:rFonts w:asciiTheme="majorBidi" w:hAnsiTheme="majorBidi" w:cstheme="majorBidi"/>
        </w:rPr>
        <w:t xml:space="preserve">papildus paskaidroja, ka noteikumu </w:t>
      </w:r>
      <w:r w:rsidR="000A5367" w:rsidRPr="0077503B">
        <w:rPr>
          <w:rFonts w:asciiTheme="majorBidi" w:hAnsiTheme="majorBidi" w:cstheme="majorBidi"/>
          <w:lang w:eastAsia="en-US"/>
        </w:rPr>
        <w:t>Nr. 674 5.2.apakšpunkta norma nav pretrunā Novēršanas likuma 3.panta pirmās daļas 9.punktam, jo likuma norma nenot</w:t>
      </w:r>
      <w:r w:rsidR="00C96888" w:rsidRPr="0077503B">
        <w:rPr>
          <w:rFonts w:asciiTheme="majorBidi" w:hAnsiTheme="majorBidi" w:cstheme="majorBidi"/>
          <w:lang w:eastAsia="en-US"/>
        </w:rPr>
        <w:t>ei</w:t>
      </w:r>
      <w:r w:rsidR="000A5367" w:rsidRPr="0077503B">
        <w:rPr>
          <w:rFonts w:asciiTheme="majorBidi" w:hAnsiTheme="majorBidi" w:cstheme="majorBidi"/>
          <w:lang w:eastAsia="en-US"/>
        </w:rPr>
        <w:t>c to, kādi ir likuma subjekta pienākumi, bet gan to, kādas personas ir atzīstamas par likuma subjektiem.</w:t>
      </w:r>
      <w:bookmarkEnd w:id="1"/>
      <w:r w:rsidR="00C96888" w:rsidRPr="0077503B">
        <w:rPr>
          <w:rFonts w:asciiTheme="majorBidi" w:hAnsiTheme="majorBidi" w:cstheme="majorBidi"/>
          <w:lang w:eastAsia="en-US"/>
        </w:rPr>
        <w:t xml:space="preserve"> Savukārt noteikumu norma saistībā ar to, kādi ir likuma subjekta pienākumi, definē</w:t>
      </w:r>
      <w:r w:rsidR="0064228E" w:rsidRPr="0077503B">
        <w:rPr>
          <w:rFonts w:asciiTheme="majorBidi" w:hAnsiTheme="majorBidi" w:cstheme="majorBidi"/>
          <w:lang w:eastAsia="en-US"/>
        </w:rPr>
        <w:t>ja</w:t>
      </w:r>
      <w:r w:rsidR="00C96888" w:rsidRPr="0077503B">
        <w:rPr>
          <w:rFonts w:asciiTheme="majorBidi" w:hAnsiTheme="majorBidi" w:cstheme="majorBidi"/>
          <w:lang w:eastAsia="en-US"/>
        </w:rPr>
        <w:t xml:space="preserve"> to, ko uzskata par neparastiem darījumiem.</w:t>
      </w:r>
    </w:p>
    <w:p w14:paraId="78FE4263" w14:textId="77777777" w:rsidR="00285657" w:rsidRPr="0077503B" w:rsidRDefault="00285657" w:rsidP="00607CB5">
      <w:pPr>
        <w:spacing w:line="276" w:lineRule="auto"/>
        <w:ind w:firstLine="567"/>
        <w:jc w:val="both"/>
        <w:rPr>
          <w:rFonts w:asciiTheme="majorBidi" w:hAnsiTheme="majorBidi" w:cstheme="majorBidi"/>
        </w:rPr>
      </w:pPr>
    </w:p>
    <w:p w14:paraId="4D790B8B" w14:textId="77777777" w:rsidR="00956464" w:rsidRPr="0077503B" w:rsidRDefault="00956464" w:rsidP="00607CB5">
      <w:pPr>
        <w:spacing w:line="276" w:lineRule="auto"/>
        <w:jc w:val="center"/>
        <w:rPr>
          <w:rFonts w:asciiTheme="majorBidi" w:hAnsiTheme="majorBidi" w:cstheme="majorBidi"/>
          <w:b/>
        </w:rPr>
      </w:pPr>
      <w:r w:rsidRPr="0077503B">
        <w:rPr>
          <w:rFonts w:asciiTheme="majorBidi" w:hAnsiTheme="majorBidi" w:cstheme="majorBidi"/>
          <w:b/>
        </w:rPr>
        <w:t>Motīvu daļa</w:t>
      </w:r>
    </w:p>
    <w:p w14:paraId="09589E7E" w14:textId="77777777" w:rsidR="00285657" w:rsidRPr="0077503B" w:rsidRDefault="00285657" w:rsidP="00607CB5">
      <w:pPr>
        <w:spacing w:line="276" w:lineRule="auto"/>
        <w:ind w:firstLine="567"/>
        <w:jc w:val="center"/>
        <w:rPr>
          <w:rFonts w:asciiTheme="majorBidi" w:hAnsiTheme="majorBidi" w:cstheme="majorBidi"/>
          <w:b/>
        </w:rPr>
      </w:pPr>
    </w:p>
    <w:p w14:paraId="0A31605D" w14:textId="48C8F2F1" w:rsidR="000A5367" w:rsidRPr="0077503B" w:rsidRDefault="00285657" w:rsidP="00607CB5">
      <w:pPr>
        <w:spacing w:line="276" w:lineRule="auto"/>
        <w:ind w:firstLine="720"/>
        <w:jc w:val="both"/>
        <w:rPr>
          <w:rFonts w:asciiTheme="majorBidi" w:hAnsiTheme="majorBidi" w:cstheme="majorBidi"/>
          <w:bCs/>
        </w:rPr>
      </w:pPr>
      <w:r w:rsidRPr="0077503B">
        <w:rPr>
          <w:rFonts w:asciiTheme="majorBidi" w:hAnsiTheme="majorBidi" w:cstheme="majorBidi"/>
          <w:bCs/>
        </w:rPr>
        <w:t>[5] Ievērojot kasācijas sūdzības argumentus, Senātam izskatāmajā lietā jāsniedz atbilde uz šādiem jautājumiem:</w:t>
      </w:r>
    </w:p>
    <w:p w14:paraId="166F6F65" w14:textId="5F9095A0" w:rsidR="005D4A8B" w:rsidRPr="0077503B" w:rsidRDefault="00285657" w:rsidP="00607CB5">
      <w:pPr>
        <w:spacing w:line="276" w:lineRule="auto"/>
        <w:ind w:firstLine="720"/>
        <w:jc w:val="both"/>
        <w:rPr>
          <w:rFonts w:asciiTheme="majorBidi" w:hAnsiTheme="majorBidi" w:cstheme="majorBidi"/>
          <w:bCs/>
        </w:rPr>
      </w:pPr>
      <w:r w:rsidRPr="0077503B">
        <w:rPr>
          <w:rFonts w:asciiTheme="majorBidi" w:hAnsiTheme="majorBidi" w:cstheme="majorBidi"/>
          <w:bCs/>
        </w:rPr>
        <w:t xml:space="preserve">1) </w:t>
      </w:r>
      <w:r w:rsidR="005D4A8B" w:rsidRPr="0077503B">
        <w:rPr>
          <w:rFonts w:asciiTheme="majorBidi" w:hAnsiTheme="majorBidi" w:cstheme="majorBidi"/>
          <w:bCs/>
        </w:rPr>
        <w:t>vai tiesa var atteikties vērtēt pieteikumā norādītu argumentu par iestādes lēmumā piemērot</w:t>
      </w:r>
      <w:r w:rsidR="005D6D08" w:rsidRPr="0077503B">
        <w:rPr>
          <w:rFonts w:asciiTheme="majorBidi" w:hAnsiTheme="majorBidi" w:cstheme="majorBidi"/>
          <w:bCs/>
        </w:rPr>
        <w:t xml:space="preserve">ajām tiesību </w:t>
      </w:r>
      <w:r w:rsidR="005D4A8B" w:rsidRPr="0077503B">
        <w:rPr>
          <w:rFonts w:asciiTheme="majorBidi" w:hAnsiTheme="majorBidi" w:cstheme="majorBidi"/>
          <w:bCs/>
        </w:rPr>
        <w:t>norm</w:t>
      </w:r>
      <w:r w:rsidR="005D6D08" w:rsidRPr="0077503B">
        <w:rPr>
          <w:rFonts w:asciiTheme="majorBidi" w:hAnsiTheme="majorBidi" w:cstheme="majorBidi"/>
          <w:bCs/>
        </w:rPr>
        <w:t>ām</w:t>
      </w:r>
      <w:r w:rsidR="005D4A8B" w:rsidRPr="0077503B">
        <w:rPr>
          <w:rFonts w:asciiTheme="majorBidi" w:hAnsiTheme="majorBidi" w:cstheme="majorBidi"/>
          <w:bCs/>
        </w:rPr>
        <w:t>, ja pieteicējs šādu argumentu nebija izvirzījis apstrīdēšanas iesniegumā;</w:t>
      </w:r>
    </w:p>
    <w:p w14:paraId="04E9A71A" w14:textId="07AD7574" w:rsidR="005D4A8B" w:rsidRPr="0077503B" w:rsidRDefault="005D4A8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bCs/>
        </w:rPr>
        <w:t xml:space="preserve">2) vai </w:t>
      </w:r>
      <w:r w:rsidRPr="0077503B">
        <w:rPr>
          <w:rFonts w:asciiTheme="majorBidi" w:hAnsiTheme="majorBidi" w:cstheme="majorBidi"/>
          <w:lang w:eastAsia="en-US"/>
        </w:rPr>
        <w:t>noteikumu Nr. 674 5.2.apakšpunkta izpratnē par skaidras naudas darījumiem atzīstami arī tādi darījumi, kuros klients skaidru naudu Novēršanas likuma subjekta kontā ieskaita ar kredītiestādes starpniecību;</w:t>
      </w:r>
    </w:p>
    <w:p w14:paraId="3B6659EE" w14:textId="5F8F541F" w:rsidR="005D4A8B" w:rsidRPr="0077503B" w:rsidRDefault="005D4A8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3) vai ir pamats uzskatīt, ka noteikumu Nr. 674 5.2.apakšpunkta norma, ciktāl tā paredz</w:t>
      </w:r>
      <w:r w:rsidR="004256DA" w:rsidRPr="0077503B">
        <w:rPr>
          <w:rFonts w:asciiTheme="majorBidi" w:hAnsiTheme="majorBidi" w:cstheme="majorBidi"/>
          <w:lang w:eastAsia="en-US"/>
        </w:rPr>
        <w:t>ēja</w:t>
      </w:r>
      <w:r w:rsidRPr="0077503B">
        <w:rPr>
          <w:rFonts w:asciiTheme="majorBidi" w:hAnsiTheme="majorBidi" w:cstheme="majorBidi"/>
          <w:lang w:eastAsia="en-US"/>
        </w:rPr>
        <w:t xml:space="preserve"> pienākumu Novēršanas likuma 3.panta pirmās daļas 9.punkta subjektam ziņot par tādiem darījumiem, kas sasniedz 5000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slieksni, bet nesasniedz 10 000 </w:t>
      </w:r>
      <w:r w:rsidRPr="0077503B">
        <w:rPr>
          <w:rFonts w:asciiTheme="majorBidi" w:hAnsiTheme="majorBidi" w:cstheme="majorBidi"/>
          <w:i/>
          <w:iCs/>
          <w:lang w:eastAsia="en-US"/>
        </w:rPr>
        <w:t>euro</w:t>
      </w:r>
      <w:r w:rsidRPr="0077503B">
        <w:rPr>
          <w:rFonts w:asciiTheme="majorBidi" w:hAnsiTheme="majorBidi" w:cstheme="majorBidi"/>
          <w:lang w:eastAsia="en-US"/>
        </w:rPr>
        <w:t>, ir pretrunā Novēršanas likuma 3.panta pirmās daļas 9.punktam;</w:t>
      </w:r>
    </w:p>
    <w:p w14:paraId="779B3220" w14:textId="73962E89" w:rsidR="005D4A8B" w:rsidRPr="0077503B" w:rsidRDefault="005D4A8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4) </w:t>
      </w:r>
      <w:r w:rsidR="00C7396E" w:rsidRPr="0077503B">
        <w:rPr>
          <w:rFonts w:asciiTheme="majorBidi" w:hAnsiTheme="majorBidi" w:cstheme="majorBidi"/>
          <w:lang w:eastAsia="en-US"/>
        </w:rPr>
        <w:t>vai</w:t>
      </w:r>
      <w:r w:rsidRPr="0077503B">
        <w:rPr>
          <w:rFonts w:asciiTheme="majorBidi" w:hAnsiTheme="majorBidi" w:cstheme="majorBidi"/>
          <w:lang w:eastAsia="en-US"/>
        </w:rPr>
        <w:t xml:space="preserve"> atbilstoši </w:t>
      </w:r>
      <w:r w:rsidRPr="0077503B">
        <w:rPr>
          <w:rFonts w:asciiTheme="majorBidi" w:hAnsiTheme="majorBidi" w:cstheme="majorBidi"/>
        </w:rPr>
        <w:t xml:space="preserve">Novēršanas likuma 7.panta pirmās daļas 8.punktam likuma subjektam kontroles sistēmā </w:t>
      </w:r>
      <w:r w:rsidR="00C7396E" w:rsidRPr="0077503B">
        <w:rPr>
          <w:rFonts w:asciiTheme="majorBidi" w:hAnsiTheme="majorBidi" w:cstheme="majorBidi"/>
        </w:rPr>
        <w:t>konkrēti jānorāda</w:t>
      </w:r>
      <w:r w:rsidRPr="0077503B">
        <w:rPr>
          <w:rFonts w:asciiTheme="majorBidi" w:hAnsiTheme="majorBidi" w:cstheme="majorBidi"/>
        </w:rPr>
        <w:t xml:space="preserve"> </w:t>
      </w:r>
      <w:r w:rsidRPr="0077503B">
        <w:rPr>
          <w:rFonts w:asciiTheme="majorBidi" w:hAnsiTheme="majorBidi" w:cstheme="majorBidi"/>
          <w:lang w:eastAsia="en-US"/>
        </w:rPr>
        <w:t xml:space="preserve">darbinieku tiesības, </w:t>
      </w:r>
      <w:r w:rsidR="00C7396E" w:rsidRPr="0077503B">
        <w:rPr>
          <w:rFonts w:asciiTheme="majorBidi" w:hAnsiTheme="majorBidi" w:cstheme="majorBidi"/>
          <w:lang w:eastAsia="en-US"/>
        </w:rPr>
        <w:t xml:space="preserve">pienākumi, </w:t>
      </w:r>
      <w:r w:rsidRPr="0077503B">
        <w:rPr>
          <w:rFonts w:asciiTheme="majorBidi" w:hAnsiTheme="majorBidi" w:cstheme="majorBidi"/>
          <w:lang w:eastAsia="en-US"/>
        </w:rPr>
        <w:t>atbildīb</w:t>
      </w:r>
      <w:r w:rsidR="00C7396E" w:rsidRPr="0077503B">
        <w:rPr>
          <w:rFonts w:asciiTheme="majorBidi" w:hAnsiTheme="majorBidi" w:cstheme="majorBidi"/>
          <w:lang w:eastAsia="en-US"/>
        </w:rPr>
        <w:t xml:space="preserve">a un </w:t>
      </w:r>
      <w:r w:rsidRPr="0077503B">
        <w:rPr>
          <w:rFonts w:asciiTheme="majorBidi" w:hAnsiTheme="majorBidi" w:cstheme="majorBidi"/>
          <w:lang w:eastAsia="en-US"/>
        </w:rPr>
        <w:t>profesionālās kvalifikācijas un atbilstības standart</w:t>
      </w:r>
      <w:r w:rsidR="00C7396E" w:rsidRPr="0077503B">
        <w:rPr>
          <w:rFonts w:asciiTheme="majorBidi" w:hAnsiTheme="majorBidi" w:cstheme="majorBidi"/>
          <w:lang w:eastAsia="en-US"/>
        </w:rPr>
        <w:t>i</w:t>
      </w:r>
      <w:r w:rsidRPr="0077503B">
        <w:rPr>
          <w:rFonts w:asciiTheme="majorBidi" w:hAnsiTheme="majorBidi" w:cstheme="majorBidi"/>
          <w:lang w:eastAsia="en-US"/>
        </w:rPr>
        <w:t>;</w:t>
      </w:r>
    </w:p>
    <w:p w14:paraId="6B7B936D" w14:textId="6B656AC4" w:rsidR="00B72F13" w:rsidRPr="001454CE" w:rsidRDefault="005D4A8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5) vai tiesa pārsūdzētajā spriedumā pieļāvusi Administratīvā procesa likuma 250.panta otrās daļas pārkāpumu, secinājumu par pieteicējai piemēroto sodu naudu pamatojot ar tiesvedības gait</w:t>
      </w:r>
      <w:r w:rsidR="005B2E79" w:rsidRPr="0077503B">
        <w:rPr>
          <w:rFonts w:asciiTheme="majorBidi" w:hAnsiTheme="majorBidi" w:cstheme="majorBidi"/>
          <w:lang w:eastAsia="en-US"/>
        </w:rPr>
        <w:t>ā</w:t>
      </w:r>
      <w:r w:rsidRPr="0077503B">
        <w:rPr>
          <w:rFonts w:asciiTheme="majorBidi" w:hAnsiTheme="majorBidi" w:cstheme="majorBidi"/>
          <w:lang w:eastAsia="en-US"/>
        </w:rPr>
        <w:t xml:space="preserve"> </w:t>
      </w:r>
      <w:r w:rsidR="00605F3B" w:rsidRPr="0077503B">
        <w:rPr>
          <w:rFonts w:asciiTheme="majorBidi" w:hAnsiTheme="majorBidi" w:cstheme="majorBidi"/>
          <w:lang w:eastAsia="en-US"/>
        </w:rPr>
        <w:t xml:space="preserve">iestādes </w:t>
      </w:r>
      <w:r w:rsidR="005B2E79" w:rsidRPr="0077503B">
        <w:rPr>
          <w:rFonts w:asciiTheme="majorBidi" w:hAnsiTheme="majorBidi" w:cstheme="majorBidi"/>
          <w:lang w:eastAsia="en-US"/>
        </w:rPr>
        <w:t>attīstītiem</w:t>
      </w:r>
      <w:r w:rsidRPr="0077503B">
        <w:rPr>
          <w:rFonts w:asciiTheme="majorBidi" w:hAnsiTheme="majorBidi" w:cstheme="majorBidi"/>
          <w:lang w:eastAsia="en-US"/>
        </w:rPr>
        <w:t xml:space="preserve"> apsvērumiem par to, kuri pieteicējas pieļautie pārkāpumi vērtējami kā būtiskāki un kuri – kā nebūtiskāki</w:t>
      </w:r>
      <w:r w:rsidR="005B2E79" w:rsidRPr="0077503B">
        <w:rPr>
          <w:rFonts w:asciiTheme="majorBidi" w:hAnsiTheme="majorBidi" w:cstheme="majorBidi"/>
          <w:lang w:eastAsia="en-US"/>
        </w:rPr>
        <w:t>.</w:t>
      </w:r>
    </w:p>
    <w:p w14:paraId="645F8069" w14:textId="2FBC7259" w:rsidR="00615846" w:rsidRPr="00615846" w:rsidRDefault="00615846" w:rsidP="00607CB5">
      <w:pPr>
        <w:spacing w:line="276" w:lineRule="auto"/>
        <w:jc w:val="center"/>
        <w:rPr>
          <w:rFonts w:asciiTheme="majorBidi" w:hAnsiTheme="majorBidi" w:cstheme="majorBidi"/>
          <w:b/>
          <w:bCs/>
          <w:lang w:eastAsia="en-US"/>
        </w:rPr>
      </w:pPr>
      <w:r>
        <w:rPr>
          <w:rFonts w:asciiTheme="majorBidi" w:hAnsiTheme="majorBidi" w:cstheme="majorBidi"/>
          <w:b/>
          <w:bCs/>
          <w:lang w:eastAsia="en-US"/>
        </w:rPr>
        <w:t>I</w:t>
      </w:r>
    </w:p>
    <w:p w14:paraId="3721A79B" w14:textId="77777777" w:rsidR="00615846" w:rsidRDefault="00615846" w:rsidP="00607CB5">
      <w:pPr>
        <w:spacing w:line="276" w:lineRule="auto"/>
        <w:ind w:firstLine="567"/>
        <w:jc w:val="both"/>
        <w:rPr>
          <w:rFonts w:asciiTheme="majorBidi" w:hAnsiTheme="majorBidi" w:cstheme="majorBidi"/>
          <w:i/>
          <w:iCs/>
          <w:lang w:eastAsia="en-US"/>
        </w:rPr>
      </w:pPr>
    </w:p>
    <w:p w14:paraId="0E07DD9B" w14:textId="54360319" w:rsidR="004256DA" w:rsidRPr="0077503B" w:rsidRDefault="00664740" w:rsidP="00607CB5">
      <w:pPr>
        <w:spacing w:line="276" w:lineRule="auto"/>
        <w:ind w:firstLine="720"/>
        <w:jc w:val="both"/>
        <w:rPr>
          <w:rFonts w:asciiTheme="majorBidi" w:hAnsiTheme="majorBidi" w:cstheme="majorBidi"/>
          <w:i/>
          <w:iCs/>
          <w:lang w:eastAsia="en-US"/>
        </w:rPr>
      </w:pPr>
      <w:r w:rsidRPr="0077503B">
        <w:rPr>
          <w:rFonts w:asciiTheme="majorBidi" w:hAnsiTheme="majorBidi" w:cstheme="majorBidi"/>
          <w:i/>
          <w:iCs/>
          <w:lang w:eastAsia="en-US"/>
        </w:rPr>
        <w:t>A</w:t>
      </w:r>
      <w:r w:rsidR="004256DA" w:rsidRPr="0077503B">
        <w:rPr>
          <w:rFonts w:asciiTheme="majorBidi" w:hAnsiTheme="majorBidi" w:cstheme="majorBidi"/>
          <w:i/>
          <w:iCs/>
          <w:lang w:eastAsia="en-US"/>
        </w:rPr>
        <w:t>pstrīdēšanas iesniegumā nenorādīt</w:t>
      </w:r>
      <w:r w:rsidR="005D6D08" w:rsidRPr="0077503B">
        <w:rPr>
          <w:rFonts w:asciiTheme="majorBidi" w:hAnsiTheme="majorBidi" w:cstheme="majorBidi"/>
          <w:i/>
          <w:iCs/>
          <w:lang w:eastAsia="en-US"/>
        </w:rPr>
        <w:t>a</w:t>
      </w:r>
      <w:r w:rsidR="004256DA" w:rsidRPr="0077503B">
        <w:rPr>
          <w:rFonts w:asciiTheme="majorBidi" w:hAnsiTheme="majorBidi" w:cstheme="majorBidi"/>
          <w:i/>
          <w:iCs/>
          <w:lang w:eastAsia="en-US"/>
        </w:rPr>
        <w:t xml:space="preserve"> argument</w:t>
      </w:r>
      <w:r w:rsidR="005D6D08" w:rsidRPr="0077503B">
        <w:rPr>
          <w:rFonts w:asciiTheme="majorBidi" w:hAnsiTheme="majorBidi" w:cstheme="majorBidi"/>
          <w:i/>
          <w:iCs/>
          <w:lang w:eastAsia="en-US"/>
        </w:rPr>
        <w:t>a</w:t>
      </w:r>
      <w:r w:rsidR="004256DA" w:rsidRPr="0077503B">
        <w:rPr>
          <w:rFonts w:asciiTheme="majorBidi" w:hAnsiTheme="majorBidi" w:cstheme="majorBidi"/>
          <w:i/>
          <w:iCs/>
          <w:lang w:eastAsia="en-US"/>
        </w:rPr>
        <w:t xml:space="preserve"> </w:t>
      </w:r>
      <w:r w:rsidRPr="0077503B">
        <w:rPr>
          <w:rFonts w:asciiTheme="majorBidi" w:hAnsiTheme="majorBidi" w:cstheme="majorBidi"/>
          <w:i/>
          <w:iCs/>
          <w:lang w:eastAsia="en-US"/>
        </w:rPr>
        <w:t xml:space="preserve">par tiesību normu </w:t>
      </w:r>
      <w:r w:rsidR="0022181E" w:rsidRPr="0077503B">
        <w:rPr>
          <w:rFonts w:asciiTheme="majorBidi" w:hAnsiTheme="majorBidi" w:cstheme="majorBidi"/>
          <w:i/>
          <w:iCs/>
          <w:lang w:eastAsia="en-US"/>
        </w:rPr>
        <w:t xml:space="preserve">piemērošanu </w:t>
      </w:r>
      <w:r w:rsidR="004256DA" w:rsidRPr="0077503B">
        <w:rPr>
          <w:rFonts w:asciiTheme="majorBidi" w:hAnsiTheme="majorBidi" w:cstheme="majorBidi"/>
          <w:i/>
          <w:iCs/>
          <w:lang w:eastAsia="en-US"/>
        </w:rPr>
        <w:t>pieļaujamīb</w:t>
      </w:r>
      <w:r w:rsidRPr="0077503B">
        <w:rPr>
          <w:rFonts w:asciiTheme="majorBidi" w:hAnsiTheme="majorBidi" w:cstheme="majorBidi"/>
          <w:i/>
          <w:iCs/>
          <w:lang w:eastAsia="en-US"/>
        </w:rPr>
        <w:t>a</w:t>
      </w:r>
      <w:r w:rsidR="004256DA" w:rsidRPr="0077503B">
        <w:rPr>
          <w:rFonts w:asciiTheme="majorBidi" w:hAnsiTheme="majorBidi" w:cstheme="majorBidi"/>
          <w:i/>
          <w:iCs/>
          <w:lang w:eastAsia="en-US"/>
        </w:rPr>
        <w:t xml:space="preserve"> tiesas procesā</w:t>
      </w:r>
    </w:p>
    <w:p w14:paraId="626A81A7" w14:textId="77777777" w:rsidR="00965E59" w:rsidRPr="0077503B" w:rsidRDefault="00965E59" w:rsidP="00607CB5">
      <w:pPr>
        <w:spacing w:line="276" w:lineRule="auto"/>
        <w:ind w:firstLine="567"/>
        <w:jc w:val="both"/>
        <w:rPr>
          <w:rFonts w:asciiTheme="majorBidi" w:hAnsiTheme="majorBidi" w:cstheme="majorBidi"/>
          <w:i/>
          <w:iCs/>
          <w:lang w:eastAsia="en-US"/>
        </w:rPr>
      </w:pPr>
    </w:p>
    <w:p w14:paraId="013AA7EB" w14:textId="4B9C2D99" w:rsidR="00ED1BE5" w:rsidRPr="0077503B" w:rsidRDefault="0022181E" w:rsidP="00607CB5">
      <w:pPr>
        <w:spacing w:line="276" w:lineRule="auto"/>
        <w:ind w:firstLine="720"/>
        <w:jc w:val="both"/>
        <w:rPr>
          <w:rFonts w:asciiTheme="majorBidi" w:hAnsiTheme="majorBidi" w:cstheme="majorBidi"/>
        </w:rPr>
      </w:pPr>
      <w:r w:rsidRPr="0077503B">
        <w:rPr>
          <w:rFonts w:asciiTheme="majorBidi" w:hAnsiTheme="majorBidi" w:cstheme="majorBidi"/>
          <w:lang w:eastAsia="en-US"/>
        </w:rPr>
        <w:t xml:space="preserve">[6] </w:t>
      </w:r>
      <w:r w:rsidR="0078452B" w:rsidRPr="0077503B">
        <w:rPr>
          <w:rFonts w:asciiTheme="majorBidi" w:hAnsiTheme="majorBidi" w:cstheme="majorBidi"/>
          <w:lang w:eastAsia="en-US"/>
        </w:rPr>
        <w:t xml:space="preserve">Administratīvā procesa likuma </w:t>
      </w:r>
      <w:r w:rsidR="0078452B" w:rsidRPr="0077503B">
        <w:rPr>
          <w:rFonts w:asciiTheme="majorBidi" w:hAnsiTheme="majorBidi" w:cstheme="majorBidi"/>
          <w:color w:val="000000"/>
        </w:rPr>
        <w:t xml:space="preserve">186.panta otrās daļas 5.punkts noteic, ka pieteicējam pieteikumā ir jānorāda pieteikuma pamats. </w:t>
      </w:r>
    </w:p>
    <w:p w14:paraId="1CA20CF2" w14:textId="6237CC0F" w:rsidR="00916669" w:rsidRPr="0077503B" w:rsidRDefault="00BF0796" w:rsidP="00607CB5">
      <w:pPr>
        <w:autoSpaceDE w:val="0"/>
        <w:autoSpaceDN w:val="0"/>
        <w:adjustRightInd w:val="0"/>
        <w:spacing w:line="276" w:lineRule="auto"/>
        <w:ind w:firstLine="720"/>
        <w:jc w:val="both"/>
        <w:rPr>
          <w:rFonts w:asciiTheme="majorBidi" w:hAnsiTheme="majorBidi" w:cstheme="majorBidi"/>
          <w:b/>
          <w:bCs/>
        </w:rPr>
      </w:pPr>
      <w:r w:rsidRPr="0077503B">
        <w:rPr>
          <w:rFonts w:asciiTheme="majorBidi" w:hAnsiTheme="majorBidi" w:cstheme="majorBidi"/>
          <w:color w:val="000000"/>
        </w:rPr>
        <w:t>Pieteikuma pamatu veido apsvērumi,</w:t>
      </w:r>
      <w:r w:rsidR="00A43785" w:rsidRPr="0077503B">
        <w:rPr>
          <w:rFonts w:asciiTheme="majorBidi" w:hAnsiTheme="majorBidi" w:cstheme="majorBidi"/>
          <w:color w:val="000000"/>
        </w:rPr>
        <w:t xml:space="preserve"> uz kuriem pieteicējs balsta savu pieteikumu, proti, apsvērumi</w:t>
      </w:r>
      <w:r w:rsidR="005D354A" w:rsidRPr="0077503B">
        <w:rPr>
          <w:rFonts w:asciiTheme="majorBidi" w:hAnsiTheme="majorBidi" w:cstheme="majorBidi"/>
          <w:color w:val="000000"/>
        </w:rPr>
        <w:t xml:space="preserve"> par lietas faktiskajiem un tiesiskajiem apstākļiem</w:t>
      </w:r>
      <w:r w:rsidR="00A43785" w:rsidRPr="0077503B">
        <w:rPr>
          <w:rFonts w:asciiTheme="majorBidi" w:hAnsiTheme="majorBidi" w:cstheme="majorBidi"/>
          <w:color w:val="000000"/>
        </w:rPr>
        <w:t>, kuru dēļ pieteicējs uzskata, ka viņa pieteikums būtu apmierināms. Līdz ar to n</w:t>
      </w:r>
      <w:r w:rsidRPr="0077503B">
        <w:rPr>
          <w:rFonts w:asciiTheme="majorBidi" w:hAnsiTheme="majorBidi" w:cstheme="majorBidi"/>
          <w:color w:val="000000"/>
        </w:rPr>
        <w:t xml:space="preserve">o minētās tiesību normas izriet prasība </w:t>
      </w:r>
      <w:r w:rsidR="00916669" w:rsidRPr="0077503B">
        <w:rPr>
          <w:rFonts w:asciiTheme="majorBidi" w:hAnsiTheme="majorBidi" w:cstheme="majorBidi"/>
        </w:rPr>
        <w:t xml:space="preserve">pieteicējam pieteikumā </w:t>
      </w:r>
      <w:r w:rsidRPr="0077503B">
        <w:rPr>
          <w:rFonts w:asciiTheme="majorBidi" w:hAnsiTheme="majorBidi" w:cstheme="majorBidi"/>
        </w:rPr>
        <w:t>norādīt</w:t>
      </w:r>
      <w:r w:rsidR="00916669" w:rsidRPr="0077503B">
        <w:rPr>
          <w:rFonts w:asciiTheme="majorBidi" w:hAnsiTheme="majorBidi" w:cstheme="majorBidi"/>
        </w:rPr>
        <w:t xml:space="preserve"> vis</w:t>
      </w:r>
      <w:r w:rsidRPr="0077503B">
        <w:rPr>
          <w:rFonts w:asciiTheme="majorBidi" w:hAnsiTheme="majorBidi" w:cstheme="majorBidi"/>
        </w:rPr>
        <w:t>us</w:t>
      </w:r>
      <w:r w:rsidR="00916669" w:rsidRPr="0077503B">
        <w:rPr>
          <w:rFonts w:asciiTheme="majorBidi" w:hAnsiTheme="majorBidi" w:cstheme="majorBidi"/>
        </w:rPr>
        <w:t xml:space="preserve"> būtisk</w:t>
      </w:r>
      <w:r w:rsidRPr="0077503B">
        <w:rPr>
          <w:rFonts w:asciiTheme="majorBidi" w:hAnsiTheme="majorBidi" w:cstheme="majorBidi"/>
        </w:rPr>
        <w:t>os</w:t>
      </w:r>
      <w:r w:rsidR="00916669" w:rsidRPr="0077503B">
        <w:rPr>
          <w:rFonts w:asciiTheme="majorBidi" w:hAnsiTheme="majorBidi" w:cstheme="majorBidi"/>
        </w:rPr>
        <w:t xml:space="preserve"> iebildum</w:t>
      </w:r>
      <w:r w:rsidRPr="0077503B">
        <w:rPr>
          <w:rFonts w:asciiTheme="majorBidi" w:hAnsiTheme="majorBidi" w:cstheme="majorBidi"/>
        </w:rPr>
        <w:t xml:space="preserve">us </w:t>
      </w:r>
      <w:r w:rsidR="00916669" w:rsidRPr="0077503B">
        <w:rPr>
          <w:rFonts w:asciiTheme="majorBidi" w:hAnsiTheme="majorBidi" w:cstheme="majorBidi"/>
        </w:rPr>
        <w:t xml:space="preserve">pret </w:t>
      </w:r>
      <w:r w:rsidR="00E30E56" w:rsidRPr="0077503B">
        <w:rPr>
          <w:rFonts w:asciiTheme="majorBidi" w:hAnsiTheme="majorBidi" w:cstheme="majorBidi"/>
        </w:rPr>
        <w:t xml:space="preserve">pārsūdzēto </w:t>
      </w:r>
      <w:r w:rsidR="00916669" w:rsidRPr="0077503B">
        <w:rPr>
          <w:rFonts w:asciiTheme="majorBidi" w:hAnsiTheme="majorBidi" w:cstheme="majorBidi"/>
        </w:rPr>
        <w:t>administratīvo aktu</w:t>
      </w:r>
      <w:r w:rsidRPr="0077503B">
        <w:rPr>
          <w:rFonts w:asciiTheme="majorBidi" w:hAnsiTheme="majorBidi" w:cstheme="majorBidi"/>
        </w:rPr>
        <w:t>.</w:t>
      </w:r>
      <w:r w:rsidR="00E30E56" w:rsidRPr="0077503B">
        <w:rPr>
          <w:rFonts w:asciiTheme="majorBidi" w:hAnsiTheme="majorBidi" w:cstheme="majorBidi"/>
        </w:rPr>
        <w:t xml:space="preserve"> </w:t>
      </w:r>
      <w:r w:rsidR="005D354A" w:rsidRPr="0077503B">
        <w:rPr>
          <w:rFonts w:asciiTheme="majorBidi" w:hAnsiTheme="majorBidi" w:cstheme="majorBidi"/>
        </w:rPr>
        <w:t xml:space="preserve">Savukārt tiesai, lemjot par pārsūdzētā </w:t>
      </w:r>
      <w:r w:rsidR="00916669" w:rsidRPr="0077503B">
        <w:rPr>
          <w:rFonts w:asciiTheme="majorBidi" w:eastAsiaTheme="minorHAnsi" w:hAnsiTheme="majorBidi" w:cstheme="majorBidi"/>
        </w:rPr>
        <w:t xml:space="preserve">administratīvā akta tiesiskumu </w:t>
      </w:r>
      <w:r w:rsidR="000465AE" w:rsidRPr="0077503B">
        <w:rPr>
          <w:rFonts w:asciiTheme="majorBidi" w:eastAsiaTheme="minorHAnsi" w:hAnsiTheme="majorBidi" w:cstheme="majorBidi"/>
        </w:rPr>
        <w:lastRenderedPageBreak/>
        <w:t xml:space="preserve">saskaņā ar </w:t>
      </w:r>
      <w:r w:rsidR="00916669" w:rsidRPr="0077503B">
        <w:rPr>
          <w:rFonts w:asciiTheme="majorBidi" w:eastAsiaTheme="minorHAnsi" w:hAnsiTheme="majorBidi" w:cstheme="majorBidi"/>
        </w:rPr>
        <w:t>Administratīvā procesa likuma 250.panta pirm</w:t>
      </w:r>
      <w:r w:rsidR="000465AE" w:rsidRPr="0077503B">
        <w:rPr>
          <w:rFonts w:asciiTheme="majorBidi" w:eastAsiaTheme="minorHAnsi" w:hAnsiTheme="majorBidi" w:cstheme="majorBidi"/>
        </w:rPr>
        <w:t>o</w:t>
      </w:r>
      <w:r w:rsidR="00916669" w:rsidRPr="0077503B">
        <w:rPr>
          <w:rFonts w:asciiTheme="majorBidi" w:eastAsiaTheme="minorHAnsi" w:hAnsiTheme="majorBidi" w:cstheme="majorBidi"/>
        </w:rPr>
        <w:t xml:space="preserve"> daļ</w:t>
      </w:r>
      <w:r w:rsidR="000465AE" w:rsidRPr="0077503B">
        <w:rPr>
          <w:rFonts w:asciiTheme="majorBidi" w:eastAsiaTheme="minorHAnsi" w:hAnsiTheme="majorBidi" w:cstheme="majorBidi"/>
        </w:rPr>
        <w:t>u,</w:t>
      </w:r>
      <w:r w:rsidR="00916669" w:rsidRPr="0077503B">
        <w:rPr>
          <w:rFonts w:asciiTheme="majorBidi" w:eastAsiaTheme="minorHAnsi" w:hAnsiTheme="majorBidi" w:cstheme="majorBidi"/>
        </w:rPr>
        <w:t xml:space="preserve"> </w:t>
      </w:r>
      <w:r w:rsidR="005D6D08" w:rsidRPr="0077503B">
        <w:rPr>
          <w:rFonts w:asciiTheme="majorBidi" w:eastAsiaTheme="minorHAnsi" w:hAnsiTheme="majorBidi" w:cstheme="majorBidi"/>
        </w:rPr>
        <w:t>pieteikumā norādītie pieteicēja iebildumi ir jāpārbauda</w:t>
      </w:r>
      <w:r w:rsidR="00E30E56" w:rsidRPr="0077503B">
        <w:rPr>
          <w:rFonts w:asciiTheme="majorBidi" w:eastAsiaTheme="minorHAnsi" w:hAnsiTheme="majorBidi" w:cstheme="majorBidi"/>
        </w:rPr>
        <w:t xml:space="preserve"> (</w:t>
      </w:r>
      <w:r w:rsidR="00916669" w:rsidRPr="0077503B">
        <w:rPr>
          <w:rFonts w:asciiTheme="majorBidi" w:eastAsiaTheme="minorHAnsi" w:hAnsiTheme="majorBidi" w:cstheme="majorBidi"/>
          <w:i/>
          <w:iCs/>
        </w:rPr>
        <w:t>Senāta</w:t>
      </w:r>
      <w:r w:rsidR="00E148F3" w:rsidRPr="0077503B">
        <w:rPr>
          <w:rFonts w:asciiTheme="majorBidi" w:eastAsiaTheme="minorHAnsi" w:hAnsiTheme="majorBidi" w:cstheme="majorBidi"/>
          <w:i/>
          <w:iCs/>
        </w:rPr>
        <w:t xml:space="preserve"> 2018.gada 20.jūnija sprieduma lietā Nr. </w:t>
      </w:r>
      <w:r w:rsidR="00E148F3" w:rsidRPr="0077503B">
        <w:rPr>
          <w:rFonts w:asciiTheme="majorBidi" w:hAnsiTheme="majorBidi" w:cstheme="majorBidi"/>
          <w:i/>
          <w:iCs/>
        </w:rPr>
        <w:t xml:space="preserve">SKA-215/2018, </w:t>
      </w:r>
      <w:hyperlink r:id="rId9" w:history="1">
        <w:r w:rsidR="00E148F3" w:rsidRPr="0077503B">
          <w:rPr>
            <w:rStyle w:val="Hyperlink"/>
            <w:rFonts w:asciiTheme="majorBidi" w:hAnsiTheme="majorBidi" w:cstheme="majorBidi"/>
            <w:i/>
            <w:iCs/>
          </w:rPr>
          <w:t>ECLI:LV:AT:2018:0620.A420600011.2.S</w:t>
        </w:r>
      </w:hyperlink>
      <w:r w:rsidR="00E148F3" w:rsidRPr="0077503B">
        <w:rPr>
          <w:rFonts w:asciiTheme="majorBidi" w:hAnsiTheme="majorBidi" w:cstheme="majorBidi"/>
          <w:i/>
          <w:iCs/>
        </w:rPr>
        <w:t xml:space="preserve">, 9.punkts, </w:t>
      </w:r>
      <w:r w:rsidR="00916669" w:rsidRPr="0077503B">
        <w:rPr>
          <w:rFonts w:asciiTheme="majorBidi" w:eastAsiaTheme="minorHAnsi" w:hAnsiTheme="majorBidi" w:cstheme="majorBidi"/>
          <w:i/>
          <w:iCs/>
        </w:rPr>
        <w:t xml:space="preserve">2019.gada 30.septembra sprieduma lietā Nr. SKA-393/2019, </w:t>
      </w:r>
      <w:hyperlink r:id="rId10" w:history="1">
        <w:r w:rsidR="00916669" w:rsidRPr="0077503B">
          <w:rPr>
            <w:rStyle w:val="Hyperlink"/>
            <w:rFonts w:asciiTheme="majorBidi" w:eastAsiaTheme="minorHAnsi" w:hAnsiTheme="majorBidi" w:cstheme="majorBidi"/>
            <w:i/>
            <w:iCs/>
          </w:rPr>
          <w:t>ECLI:LV:AT:2019:0930.A420284816.4.S</w:t>
        </w:r>
      </w:hyperlink>
      <w:r w:rsidR="00916669" w:rsidRPr="0077503B">
        <w:rPr>
          <w:rFonts w:asciiTheme="majorBidi" w:eastAsiaTheme="minorHAnsi" w:hAnsiTheme="majorBidi" w:cstheme="majorBidi"/>
          <w:i/>
          <w:iCs/>
        </w:rPr>
        <w:t>, 16.punkts,</w:t>
      </w:r>
      <w:r w:rsidR="00E148F3" w:rsidRPr="0077503B">
        <w:rPr>
          <w:rFonts w:asciiTheme="majorBidi" w:eastAsiaTheme="minorHAnsi" w:hAnsiTheme="majorBidi" w:cstheme="majorBidi"/>
          <w:i/>
          <w:iCs/>
        </w:rPr>
        <w:t xml:space="preserve"> 2023.gda 6.decembra sprieduma lietā Nr. </w:t>
      </w:r>
      <w:r w:rsidR="00ED1BE5" w:rsidRPr="0077503B">
        <w:rPr>
          <w:rFonts w:asciiTheme="majorBidi" w:hAnsiTheme="majorBidi" w:cstheme="majorBidi"/>
          <w:i/>
          <w:iCs/>
        </w:rPr>
        <w:t>SKA-110/2023</w:t>
      </w:r>
      <w:r w:rsidR="00E148F3" w:rsidRPr="0077503B">
        <w:rPr>
          <w:rFonts w:asciiTheme="majorBidi" w:hAnsiTheme="majorBidi" w:cstheme="majorBidi"/>
          <w:i/>
          <w:iCs/>
        </w:rPr>
        <w:t xml:space="preserve">, </w:t>
      </w:r>
      <w:hyperlink r:id="rId11" w:history="1">
        <w:r w:rsidR="00E148F3" w:rsidRPr="0077503B">
          <w:rPr>
            <w:rStyle w:val="Hyperlink"/>
            <w:rFonts w:asciiTheme="majorBidi" w:hAnsiTheme="majorBidi" w:cstheme="majorBidi"/>
            <w:i/>
            <w:iCs/>
          </w:rPr>
          <w:t>ECLI:LV:AT:2023:1206.A420208019.11.S</w:t>
        </w:r>
      </w:hyperlink>
      <w:r w:rsidR="00E148F3" w:rsidRPr="0077503B">
        <w:rPr>
          <w:rFonts w:asciiTheme="majorBidi" w:hAnsiTheme="majorBidi" w:cstheme="majorBidi"/>
          <w:i/>
          <w:iCs/>
        </w:rPr>
        <w:t>,</w:t>
      </w:r>
      <w:r w:rsidR="00ED1BE5" w:rsidRPr="0077503B">
        <w:rPr>
          <w:rFonts w:asciiTheme="majorBidi" w:hAnsiTheme="majorBidi" w:cstheme="majorBidi"/>
          <w:i/>
          <w:iCs/>
        </w:rPr>
        <w:t xml:space="preserve"> 7.punkts</w:t>
      </w:r>
      <w:r w:rsidR="00916669" w:rsidRPr="0077503B">
        <w:rPr>
          <w:rFonts w:asciiTheme="majorBidi" w:hAnsiTheme="majorBidi" w:cstheme="majorBidi"/>
          <w:i/>
          <w:iCs/>
        </w:rPr>
        <w:t xml:space="preserve">, </w:t>
      </w:r>
      <w:r w:rsidR="00E148F3" w:rsidRPr="0077503B">
        <w:rPr>
          <w:rFonts w:asciiTheme="majorBidi" w:hAnsiTheme="majorBidi" w:cstheme="majorBidi"/>
          <w:i/>
          <w:iCs/>
        </w:rPr>
        <w:t>2024.gada 27.marta sprieduma lietā Nr.</w:t>
      </w:r>
      <w:r w:rsidR="00B72F13">
        <w:rPr>
          <w:rFonts w:asciiTheme="majorBidi" w:hAnsiTheme="majorBidi" w:cstheme="majorBidi"/>
          <w:i/>
          <w:iCs/>
        </w:rPr>
        <w:t> </w:t>
      </w:r>
      <w:r w:rsidR="00E148F3" w:rsidRPr="0077503B">
        <w:rPr>
          <w:rFonts w:asciiTheme="majorBidi" w:hAnsiTheme="majorBidi" w:cstheme="majorBidi"/>
          <w:i/>
          <w:iCs/>
        </w:rPr>
        <w:t xml:space="preserve">SKA-34/2024, </w:t>
      </w:r>
      <w:hyperlink r:id="rId12" w:history="1">
        <w:r w:rsidR="00E148F3" w:rsidRPr="0077503B">
          <w:rPr>
            <w:rStyle w:val="Hyperlink"/>
            <w:rFonts w:asciiTheme="majorBidi" w:hAnsiTheme="majorBidi" w:cstheme="majorBidi"/>
            <w:i/>
            <w:iCs/>
          </w:rPr>
          <w:t>ECLI:LV:AT:2024:0327.A420196419.15.S</w:t>
        </w:r>
      </w:hyperlink>
      <w:r w:rsidR="00E148F3" w:rsidRPr="0077503B">
        <w:rPr>
          <w:rFonts w:asciiTheme="majorBidi" w:hAnsiTheme="majorBidi" w:cstheme="majorBidi"/>
          <w:i/>
          <w:iCs/>
        </w:rPr>
        <w:t xml:space="preserve">, 6.punkts, </w:t>
      </w:r>
      <w:r w:rsidR="00E148F3" w:rsidRPr="00FC5DB2">
        <w:rPr>
          <w:rFonts w:asciiTheme="majorBidi" w:hAnsiTheme="majorBidi" w:cstheme="majorBidi"/>
        </w:rPr>
        <w:t>kā arī</w:t>
      </w:r>
      <w:r w:rsidR="00E148F3" w:rsidRPr="0077503B">
        <w:rPr>
          <w:rFonts w:asciiTheme="majorBidi" w:hAnsiTheme="majorBidi" w:cstheme="majorBidi"/>
          <w:i/>
          <w:iCs/>
        </w:rPr>
        <w:t xml:space="preserve"> 2023.gada 26.oktobra rīcības sēdes lēmuma lietā Nr.</w:t>
      </w:r>
      <w:r w:rsidR="00B72F13">
        <w:rPr>
          <w:rFonts w:asciiTheme="majorBidi" w:hAnsiTheme="majorBidi" w:cstheme="majorBidi"/>
          <w:i/>
          <w:iCs/>
        </w:rPr>
        <w:t> </w:t>
      </w:r>
      <w:r w:rsidR="00916669" w:rsidRPr="0077503B">
        <w:rPr>
          <w:rFonts w:asciiTheme="majorBidi" w:hAnsiTheme="majorBidi" w:cstheme="majorBidi"/>
          <w:i/>
          <w:iCs/>
        </w:rPr>
        <w:t>SKA-674/2023</w:t>
      </w:r>
      <w:r w:rsidR="00E148F3" w:rsidRPr="0077503B">
        <w:rPr>
          <w:rFonts w:asciiTheme="majorBidi" w:hAnsiTheme="majorBidi" w:cstheme="majorBidi"/>
          <w:i/>
          <w:iCs/>
        </w:rPr>
        <w:t xml:space="preserve">, </w:t>
      </w:r>
      <w:hyperlink r:id="rId13" w:history="1">
        <w:r w:rsidR="00E148F3" w:rsidRPr="0077503B">
          <w:rPr>
            <w:rStyle w:val="Hyperlink"/>
            <w:rFonts w:asciiTheme="majorBidi" w:hAnsiTheme="majorBidi" w:cstheme="majorBidi"/>
            <w:i/>
            <w:iCs/>
          </w:rPr>
          <w:t>ECLI:LV:AT:2023:1026.A420169521.10.L</w:t>
        </w:r>
      </w:hyperlink>
      <w:r w:rsidR="00E148F3" w:rsidRPr="0077503B">
        <w:rPr>
          <w:rFonts w:asciiTheme="majorBidi" w:hAnsiTheme="majorBidi" w:cstheme="majorBidi"/>
          <w:i/>
          <w:iCs/>
        </w:rPr>
        <w:t>,</w:t>
      </w:r>
      <w:r w:rsidR="00916669" w:rsidRPr="0077503B">
        <w:rPr>
          <w:rFonts w:asciiTheme="majorBidi" w:hAnsiTheme="majorBidi" w:cstheme="majorBidi"/>
          <w:i/>
          <w:iCs/>
        </w:rPr>
        <w:t xml:space="preserve"> 2.punkts</w:t>
      </w:r>
      <w:r w:rsidR="00E30E56" w:rsidRPr="0077503B">
        <w:rPr>
          <w:rFonts w:asciiTheme="majorBidi" w:hAnsiTheme="majorBidi" w:cstheme="majorBidi"/>
        </w:rPr>
        <w:t>).</w:t>
      </w:r>
    </w:p>
    <w:p w14:paraId="18A0AB5E" w14:textId="6AA15BE6" w:rsidR="00E30E56" w:rsidRPr="0077503B" w:rsidRDefault="00367D4D" w:rsidP="00607CB5">
      <w:pPr>
        <w:autoSpaceDE w:val="0"/>
        <w:autoSpaceDN w:val="0"/>
        <w:adjustRightInd w:val="0"/>
        <w:spacing w:line="276" w:lineRule="auto"/>
        <w:ind w:firstLine="720"/>
        <w:jc w:val="both"/>
        <w:rPr>
          <w:rFonts w:asciiTheme="majorBidi" w:hAnsiTheme="majorBidi" w:cstheme="majorBidi"/>
        </w:rPr>
      </w:pPr>
      <w:r w:rsidRPr="0077503B">
        <w:rPr>
          <w:rFonts w:asciiTheme="majorBidi" w:hAnsiTheme="majorBidi" w:cstheme="majorBidi"/>
        </w:rPr>
        <w:t xml:space="preserve">Likums nenoteic, ka pieteicējs </w:t>
      </w:r>
      <w:r w:rsidR="00664740" w:rsidRPr="0077503B">
        <w:rPr>
          <w:rFonts w:asciiTheme="majorBidi" w:hAnsiTheme="majorBidi" w:cstheme="majorBidi"/>
        </w:rPr>
        <w:t>kā pieteikuma pamatu</w:t>
      </w:r>
      <w:r w:rsidRPr="0077503B">
        <w:rPr>
          <w:rFonts w:asciiTheme="majorBidi" w:hAnsiTheme="majorBidi" w:cstheme="majorBidi"/>
        </w:rPr>
        <w:t xml:space="preserve"> varētu izvirzīt tikai tādus iebildumus</w:t>
      </w:r>
      <w:r w:rsidR="005D354A" w:rsidRPr="0077503B">
        <w:rPr>
          <w:rFonts w:asciiTheme="majorBidi" w:hAnsiTheme="majorBidi" w:cstheme="majorBidi"/>
        </w:rPr>
        <w:t xml:space="preserve"> par tiesību normu piemērošanu</w:t>
      </w:r>
      <w:r w:rsidRPr="0077503B">
        <w:rPr>
          <w:rFonts w:asciiTheme="majorBidi" w:hAnsiTheme="majorBidi" w:cstheme="majorBidi"/>
        </w:rPr>
        <w:t xml:space="preserve">, kurus iepriekš </w:t>
      </w:r>
      <w:r w:rsidR="005D6D08" w:rsidRPr="0077503B">
        <w:rPr>
          <w:rFonts w:asciiTheme="majorBidi" w:hAnsiTheme="majorBidi" w:cstheme="majorBidi"/>
        </w:rPr>
        <w:t xml:space="preserve">jau </w:t>
      </w:r>
      <w:r w:rsidRPr="0077503B">
        <w:rPr>
          <w:rFonts w:asciiTheme="majorBidi" w:hAnsiTheme="majorBidi" w:cstheme="majorBidi"/>
        </w:rPr>
        <w:t xml:space="preserve">bija norādījis apstrīdēšanas iesniegumā. </w:t>
      </w:r>
      <w:r w:rsidR="0073605F" w:rsidRPr="0077503B">
        <w:rPr>
          <w:rFonts w:asciiTheme="majorBidi" w:hAnsiTheme="majorBidi" w:cstheme="majorBidi"/>
        </w:rPr>
        <w:t xml:space="preserve">Tas neizriet ne no apgabaltiesas norādītā Administratīvā procesa likuma 78.panta pirmās daļas 2.punkta (paredz, ka apstrīdēšanas iesniegumā norāda, kā izpaužas apstrīdētā lēmuma nepareizība), ne no jau minētā pieteikuma saturu regulējošā 186.panta. </w:t>
      </w:r>
      <w:r w:rsidR="005D6D08" w:rsidRPr="0077503B">
        <w:rPr>
          <w:rFonts w:asciiTheme="majorBidi" w:hAnsiTheme="majorBidi" w:cstheme="majorBidi"/>
        </w:rPr>
        <w:t>Turklāt</w:t>
      </w:r>
      <w:r w:rsidRPr="0077503B">
        <w:rPr>
          <w:rFonts w:asciiTheme="majorBidi" w:hAnsiTheme="majorBidi" w:cstheme="majorBidi"/>
        </w:rPr>
        <w:t xml:space="preserve"> </w:t>
      </w:r>
      <w:r w:rsidR="00BE7795" w:rsidRPr="0077503B">
        <w:rPr>
          <w:rFonts w:asciiTheme="majorBidi" w:hAnsiTheme="majorBidi" w:cstheme="majorBidi"/>
        </w:rPr>
        <w:t xml:space="preserve">jāņem vērā, ka </w:t>
      </w:r>
      <w:r w:rsidR="00E30E56" w:rsidRPr="0077503B">
        <w:rPr>
          <w:rFonts w:asciiTheme="majorBidi" w:hAnsiTheme="majorBidi" w:cstheme="majorBidi"/>
        </w:rPr>
        <w:t>Administratīvā procesa likuma 145.panta otrās daļas 2.punkts</w:t>
      </w:r>
      <w:r w:rsidR="00CC56DA" w:rsidRPr="0077503B">
        <w:rPr>
          <w:rFonts w:asciiTheme="majorBidi" w:hAnsiTheme="majorBidi" w:cstheme="majorBidi"/>
        </w:rPr>
        <w:t xml:space="preserve"> pat</w:t>
      </w:r>
      <w:r w:rsidR="00E30E56" w:rsidRPr="0077503B">
        <w:rPr>
          <w:rFonts w:asciiTheme="majorBidi" w:hAnsiTheme="majorBidi" w:cstheme="majorBidi"/>
        </w:rPr>
        <w:t xml:space="preserve"> paredz, ka pieteicējam ir tiesības rakstveidā grozīt pieteikuma pamatu, kamēr lietas izskatīšana pēc būtības nav pabeigta. </w:t>
      </w:r>
      <w:r w:rsidR="00664740" w:rsidRPr="0077503B">
        <w:rPr>
          <w:rFonts w:asciiTheme="majorBidi" w:hAnsiTheme="majorBidi" w:cstheme="majorBidi"/>
        </w:rPr>
        <w:t xml:space="preserve">Pieteikuma pamata grozīšana nav pieļaujama vienīgi apelācijas instances tiesā (Administratīvā procesa likuma 294.panta pirmā daļa). </w:t>
      </w:r>
      <w:r w:rsidRPr="0077503B">
        <w:rPr>
          <w:rFonts w:asciiTheme="majorBidi" w:hAnsiTheme="majorBidi" w:cstheme="majorBidi"/>
        </w:rPr>
        <w:t xml:space="preserve">Tādējādi likums </w:t>
      </w:r>
      <w:r w:rsidR="00BE7795" w:rsidRPr="0077503B">
        <w:rPr>
          <w:rFonts w:asciiTheme="majorBidi" w:hAnsiTheme="majorBidi" w:cstheme="majorBidi"/>
        </w:rPr>
        <w:t xml:space="preserve">vispārīgi </w:t>
      </w:r>
      <w:r w:rsidRPr="0077503B">
        <w:rPr>
          <w:rFonts w:asciiTheme="majorBidi" w:hAnsiTheme="majorBidi" w:cstheme="majorBidi"/>
        </w:rPr>
        <w:t xml:space="preserve">pieļauj, ka galīgos </w:t>
      </w:r>
      <w:r w:rsidR="00E30E56" w:rsidRPr="0077503B">
        <w:rPr>
          <w:rFonts w:asciiTheme="majorBidi" w:hAnsiTheme="majorBidi" w:cstheme="majorBidi"/>
        </w:rPr>
        <w:t>apsvērum</w:t>
      </w:r>
      <w:r w:rsidRPr="0077503B">
        <w:rPr>
          <w:rFonts w:asciiTheme="majorBidi" w:hAnsiTheme="majorBidi" w:cstheme="majorBidi"/>
        </w:rPr>
        <w:t>us</w:t>
      </w:r>
      <w:r w:rsidR="00E30E56" w:rsidRPr="0077503B">
        <w:rPr>
          <w:rFonts w:asciiTheme="majorBidi" w:hAnsiTheme="majorBidi" w:cstheme="majorBidi"/>
        </w:rPr>
        <w:t xml:space="preserve">, uz kuru pamata pieteicējs apgalvo, ka </w:t>
      </w:r>
      <w:r w:rsidRPr="0077503B">
        <w:rPr>
          <w:rFonts w:asciiTheme="majorBidi" w:hAnsiTheme="majorBidi" w:cstheme="majorBidi"/>
        </w:rPr>
        <w:t xml:space="preserve">pārsūdzētais administratīvais akts </w:t>
      </w:r>
      <w:r w:rsidR="00E30E56" w:rsidRPr="0077503B">
        <w:rPr>
          <w:rFonts w:asciiTheme="majorBidi" w:hAnsiTheme="majorBidi" w:cstheme="majorBidi"/>
        </w:rPr>
        <w:t>ir prettiesisks</w:t>
      </w:r>
      <w:r w:rsidRPr="0077503B">
        <w:rPr>
          <w:rFonts w:asciiTheme="majorBidi" w:hAnsiTheme="majorBidi" w:cstheme="majorBidi"/>
        </w:rPr>
        <w:t>, pieteicējs pieteikumā var norādīt līdz pat brīdim, kad pirmās instances tiesā pabeigta lietas izskatīšana pēc būtības</w:t>
      </w:r>
      <w:r w:rsidR="00E30E56" w:rsidRPr="0077503B">
        <w:rPr>
          <w:rFonts w:asciiTheme="majorBidi" w:hAnsiTheme="majorBidi" w:cstheme="majorBidi"/>
        </w:rPr>
        <w:t>.</w:t>
      </w:r>
      <w:r w:rsidRPr="0077503B">
        <w:rPr>
          <w:rFonts w:asciiTheme="majorBidi" w:hAnsiTheme="majorBidi" w:cstheme="majorBidi"/>
        </w:rPr>
        <w:t xml:space="preserve"> </w:t>
      </w:r>
    </w:p>
    <w:p w14:paraId="4DB31CF3" w14:textId="1B2FEB1C" w:rsidR="00CC56DA" w:rsidRPr="0077503B" w:rsidRDefault="009D5E45" w:rsidP="00607CB5">
      <w:pPr>
        <w:autoSpaceDE w:val="0"/>
        <w:autoSpaceDN w:val="0"/>
        <w:adjustRightInd w:val="0"/>
        <w:spacing w:line="276" w:lineRule="auto"/>
        <w:ind w:firstLine="720"/>
        <w:jc w:val="both"/>
        <w:rPr>
          <w:rFonts w:asciiTheme="majorBidi" w:hAnsiTheme="majorBidi" w:cstheme="majorBidi"/>
          <w:i/>
          <w:iCs/>
        </w:rPr>
      </w:pPr>
      <w:r w:rsidRPr="0077503B">
        <w:rPr>
          <w:rFonts w:asciiTheme="majorBidi" w:hAnsiTheme="majorBidi" w:cstheme="majorBidi"/>
        </w:rPr>
        <w:t xml:space="preserve">Ievērojot minēto, Senāts atzīst, ka likums neliedz pieteikumā </w:t>
      </w:r>
      <w:r w:rsidR="00837F25" w:rsidRPr="0077503B">
        <w:rPr>
          <w:rFonts w:asciiTheme="majorBidi" w:hAnsiTheme="majorBidi" w:cstheme="majorBidi"/>
        </w:rPr>
        <w:t xml:space="preserve">un tā papildinājumos </w:t>
      </w:r>
      <w:r w:rsidRPr="0077503B">
        <w:rPr>
          <w:rFonts w:asciiTheme="majorBidi" w:hAnsiTheme="majorBidi" w:cstheme="majorBidi"/>
        </w:rPr>
        <w:t xml:space="preserve">izvirzīt tādus argumentus par </w:t>
      </w:r>
      <w:r w:rsidR="00E148F3" w:rsidRPr="0077503B">
        <w:rPr>
          <w:rFonts w:asciiTheme="majorBidi" w:hAnsiTheme="majorBidi" w:cstheme="majorBidi"/>
        </w:rPr>
        <w:t>pārsūdzētajā lēmumā piemērotajām tiesību normām</w:t>
      </w:r>
      <w:r w:rsidRPr="0077503B">
        <w:rPr>
          <w:rFonts w:asciiTheme="majorBidi" w:hAnsiTheme="majorBidi" w:cstheme="majorBidi"/>
        </w:rPr>
        <w:t>, kas iepriekš nebija izvirzīti apstrīdēšanas iesniegumā</w:t>
      </w:r>
      <w:r w:rsidR="00BE7795" w:rsidRPr="0077503B">
        <w:rPr>
          <w:rFonts w:asciiTheme="majorBidi" w:hAnsiTheme="majorBidi" w:cstheme="majorBidi"/>
        </w:rPr>
        <w:t xml:space="preserve">. </w:t>
      </w:r>
      <w:r w:rsidR="00F966F4" w:rsidRPr="0077503B">
        <w:rPr>
          <w:rFonts w:asciiTheme="majorBidi" w:hAnsiTheme="majorBidi" w:cstheme="majorBidi"/>
        </w:rPr>
        <w:t xml:space="preserve">Citādi </w:t>
      </w:r>
      <w:r w:rsidR="00837F25" w:rsidRPr="0077503B">
        <w:rPr>
          <w:rFonts w:asciiTheme="majorBidi" w:hAnsiTheme="majorBidi" w:cstheme="majorBidi"/>
        </w:rPr>
        <w:t xml:space="preserve">raudzīties </w:t>
      </w:r>
      <w:r w:rsidR="00F966F4" w:rsidRPr="0077503B">
        <w:rPr>
          <w:rFonts w:asciiTheme="majorBidi" w:hAnsiTheme="majorBidi" w:cstheme="majorBidi"/>
        </w:rPr>
        <w:t xml:space="preserve">būtu pamats vien tad, ja pieteikumā būtu izvirzīti argumenti attiecībā uz tādu administratīvo aktu (tā daļu), kas </w:t>
      </w:r>
      <w:r w:rsidR="00CB58AF" w:rsidRPr="0077503B">
        <w:rPr>
          <w:rFonts w:asciiTheme="majorBidi" w:hAnsiTheme="majorBidi" w:cstheme="majorBidi"/>
        </w:rPr>
        <w:t xml:space="preserve">vispār </w:t>
      </w:r>
      <w:r w:rsidR="00F966F4" w:rsidRPr="0077503B">
        <w:rPr>
          <w:rFonts w:asciiTheme="majorBidi" w:hAnsiTheme="majorBidi" w:cstheme="majorBidi"/>
        </w:rPr>
        <w:t>nav bij</w:t>
      </w:r>
      <w:r w:rsidR="000465AE" w:rsidRPr="0077503B">
        <w:rPr>
          <w:rFonts w:asciiTheme="majorBidi" w:hAnsiTheme="majorBidi" w:cstheme="majorBidi"/>
        </w:rPr>
        <w:t>is</w:t>
      </w:r>
      <w:r w:rsidR="00F966F4" w:rsidRPr="0077503B">
        <w:rPr>
          <w:rFonts w:asciiTheme="majorBidi" w:hAnsiTheme="majorBidi" w:cstheme="majorBidi"/>
        </w:rPr>
        <w:t xml:space="preserve"> apstrīdēt</w:t>
      </w:r>
      <w:r w:rsidR="000465AE" w:rsidRPr="0077503B">
        <w:rPr>
          <w:rFonts w:asciiTheme="majorBidi" w:hAnsiTheme="majorBidi" w:cstheme="majorBidi"/>
        </w:rPr>
        <w:t>s</w:t>
      </w:r>
      <w:r w:rsidR="00F966F4" w:rsidRPr="0077503B">
        <w:rPr>
          <w:rFonts w:asciiTheme="majorBidi" w:hAnsiTheme="majorBidi" w:cstheme="majorBidi"/>
        </w:rPr>
        <w:t xml:space="preserve"> augstākā iestādē (šādā gadījumā pieteikums par konkrēto prasījumu un ar to saistīto pamatu </w:t>
      </w:r>
      <w:r w:rsidR="00BB216C" w:rsidRPr="0077503B">
        <w:rPr>
          <w:rFonts w:asciiTheme="majorBidi" w:hAnsiTheme="majorBidi" w:cstheme="majorBidi"/>
        </w:rPr>
        <w:t>nav pieļaujams</w:t>
      </w:r>
      <w:r w:rsidR="00F966F4" w:rsidRPr="0077503B">
        <w:rPr>
          <w:rFonts w:asciiTheme="majorBidi" w:hAnsiTheme="majorBidi" w:cstheme="majorBidi"/>
        </w:rPr>
        <w:t>, jo procesa dalībnieks nav ievērojis obligāto ārpustiesas izskatīšanas kārtību).</w:t>
      </w:r>
      <w:r w:rsidR="00CC56DA" w:rsidRPr="0077503B">
        <w:rPr>
          <w:rFonts w:asciiTheme="majorBidi" w:hAnsiTheme="majorBidi" w:cstheme="majorBidi"/>
        </w:rPr>
        <w:t xml:space="preserve"> </w:t>
      </w:r>
      <w:r w:rsidR="00CB58AF" w:rsidRPr="0077503B">
        <w:rPr>
          <w:rFonts w:asciiTheme="majorBidi" w:hAnsiTheme="majorBidi" w:cstheme="majorBidi"/>
        </w:rPr>
        <w:t xml:space="preserve">Proti, ja no apstrīdēšanas iesnieguma skaidri izriet pieteicēja vēlme sākotnējo lēmumu apstrīdēt tikai kādā konkrētā daļā, tad ārpustiesas izskatīšanas kārtības neievērošana būtu šķērslis pieteicējam tiesā pārsūdzēt </w:t>
      </w:r>
      <w:r w:rsidR="000465AE" w:rsidRPr="0077503B">
        <w:rPr>
          <w:rFonts w:asciiTheme="majorBidi" w:hAnsiTheme="majorBidi" w:cstheme="majorBidi"/>
        </w:rPr>
        <w:t xml:space="preserve">augstākā </w:t>
      </w:r>
      <w:r w:rsidR="00CB58AF" w:rsidRPr="0077503B">
        <w:rPr>
          <w:rFonts w:asciiTheme="majorBidi" w:hAnsiTheme="majorBidi" w:cstheme="majorBidi"/>
        </w:rPr>
        <w:t>iestādē neapstrīdēto akta daļu</w:t>
      </w:r>
      <w:r w:rsidR="00645F16" w:rsidRPr="0077503B">
        <w:rPr>
          <w:rFonts w:asciiTheme="majorBidi" w:hAnsiTheme="majorBidi" w:cstheme="majorBidi"/>
        </w:rPr>
        <w:t xml:space="preserve"> (un attiecīgi izvirzīt tiesā </w:t>
      </w:r>
      <w:r w:rsidR="00837F25" w:rsidRPr="0077503B">
        <w:rPr>
          <w:rFonts w:asciiTheme="majorBidi" w:hAnsiTheme="majorBidi" w:cstheme="majorBidi"/>
        </w:rPr>
        <w:t>argumentus par iestādes saistībā ar minēto administratīvā akta daļu piemērotajām tiesību normām</w:t>
      </w:r>
      <w:r w:rsidR="00645F16" w:rsidRPr="0077503B">
        <w:rPr>
          <w:rFonts w:asciiTheme="majorBidi" w:hAnsiTheme="majorBidi" w:cstheme="majorBidi"/>
        </w:rPr>
        <w:t>)</w:t>
      </w:r>
      <w:r w:rsidR="00CB58AF" w:rsidRPr="0077503B">
        <w:rPr>
          <w:rFonts w:asciiTheme="majorBidi" w:hAnsiTheme="majorBidi" w:cstheme="majorBidi"/>
        </w:rPr>
        <w:t xml:space="preserve">. </w:t>
      </w:r>
      <w:r w:rsidR="000465AE" w:rsidRPr="0077503B">
        <w:rPr>
          <w:rFonts w:asciiTheme="majorBidi" w:hAnsiTheme="majorBidi" w:cstheme="majorBidi"/>
        </w:rPr>
        <w:t xml:space="preserve">Savukārt, ja no apstrīdēšanas iesnieguma izriet, ka procesa dalībnieks </w:t>
      </w:r>
      <w:r w:rsidR="006D47FF" w:rsidRPr="0077503B">
        <w:rPr>
          <w:rFonts w:asciiTheme="majorBidi" w:hAnsiTheme="majorBidi" w:cstheme="majorBidi"/>
        </w:rPr>
        <w:t xml:space="preserve">apstrīdējis </w:t>
      </w:r>
      <w:r w:rsidR="000465AE" w:rsidRPr="0077503B">
        <w:rPr>
          <w:rFonts w:asciiTheme="majorBidi" w:hAnsiTheme="majorBidi" w:cstheme="majorBidi"/>
        </w:rPr>
        <w:t xml:space="preserve">administratīvo aktu </w:t>
      </w:r>
      <w:r w:rsidR="00BE7795" w:rsidRPr="0077503B">
        <w:rPr>
          <w:rFonts w:asciiTheme="majorBidi" w:hAnsiTheme="majorBidi" w:cstheme="majorBidi"/>
        </w:rPr>
        <w:t>kopumā</w:t>
      </w:r>
      <w:r w:rsidR="000465AE" w:rsidRPr="0077503B">
        <w:rPr>
          <w:rFonts w:asciiTheme="majorBidi" w:hAnsiTheme="majorBidi" w:cstheme="majorBidi"/>
        </w:rPr>
        <w:t>, tad tiesa</w:t>
      </w:r>
      <w:r w:rsidR="00172D79" w:rsidRPr="0077503B">
        <w:rPr>
          <w:rFonts w:asciiTheme="majorBidi" w:hAnsiTheme="majorBidi" w:cstheme="majorBidi"/>
        </w:rPr>
        <w:t>, izskatot lietu pēc būtības,</w:t>
      </w:r>
      <w:r w:rsidR="000465AE" w:rsidRPr="0077503B">
        <w:rPr>
          <w:rFonts w:asciiTheme="majorBidi" w:hAnsiTheme="majorBidi" w:cstheme="majorBidi"/>
        </w:rPr>
        <w:t xml:space="preserve"> nevar atteikties vērtēt pieteikumā izvirzītos argumentus par iestādes piemēroto tiesību normu interpretāciju tikai tāpēc, ka attiecīgi argumenti nebija norādīti apstrīdēšanas iesniegumā.</w:t>
      </w:r>
      <w:r w:rsidR="00BB216C" w:rsidRPr="0077503B">
        <w:rPr>
          <w:rFonts w:asciiTheme="majorBidi" w:hAnsiTheme="majorBidi" w:cstheme="majorBidi"/>
        </w:rPr>
        <w:t xml:space="preserve"> </w:t>
      </w:r>
    </w:p>
    <w:p w14:paraId="535CC35A" w14:textId="77777777" w:rsidR="000465AE" w:rsidRPr="0077503B" w:rsidRDefault="000465AE" w:rsidP="00607CB5">
      <w:pPr>
        <w:autoSpaceDE w:val="0"/>
        <w:autoSpaceDN w:val="0"/>
        <w:adjustRightInd w:val="0"/>
        <w:spacing w:line="276" w:lineRule="auto"/>
        <w:ind w:firstLine="720"/>
        <w:jc w:val="both"/>
        <w:rPr>
          <w:rFonts w:asciiTheme="majorBidi" w:hAnsiTheme="majorBidi" w:cstheme="majorBidi"/>
        </w:rPr>
      </w:pPr>
    </w:p>
    <w:p w14:paraId="044931ED" w14:textId="681E200A" w:rsidR="00F15B0D" w:rsidRPr="0077503B" w:rsidRDefault="000465AE" w:rsidP="00607CB5">
      <w:pPr>
        <w:spacing w:line="276" w:lineRule="auto"/>
        <w:ind w:firstLine="720"/>
        <w:jc w:val="both"/>
        <w:rPr>
          <w:rFonts w:asciiTheme="majorBidi" w:hAnsiTheme="majorBidi" w:cstheme="majorBidi"/>
        </w:rPr>
      </w:pPr>
      <w:r w:rsidRPr="0077503B">
        <w:rPr>
          <w:rFonts w:asciiTheme="majorBidi" w:hAnsiTheme="majorBidi" w:cstheme="majorBidi"/>
        </w:rPr>
        <w:t xml:space="preserve">[7] </w:t>
      </w:r>
      <w:r w:rsidR="00CB58AF" w:rsidRPr="0077503B">
        <w:rPr>
          <w:rFonts w:asciiTheme="majorBidi" w:hAnsiTheme="majorBidi" w:cstheme="majorBidi"/>
        </w:rPr>
        <w:t xml:space="preserve">Pretējais neizriet arī no tiesas pieminētā </w:t>
      </w:r>
      <w:r w:rsidR="003A2866" w:rsidRPr="0077503B">
        <w:rPr>
          <w:rFonts w:asciiTheme="majorBidi" w:hAnsiTheme="majorBidi" w:cstheme="majorBidi"/>
          <w:lang w:eastAsia="en-US"/>
        </w:rPr>
        <w:t>Senāta 2</w:t>
      </w:r>
      <w:r w:rsidR="003A2866" w:rsidRPr="0077503B">
        <w:rPr>
          <w:rFonts w:asciiTheme="majorBidi" w:hAnsiTheme="majorBidi" w:cstheme="majorBidi"/>
        </w:rPr>
        <w:t>017.gada 28.februāra sprieduma lietā Nr. </w:t>
      </w:r>
      <w:hyperlink r:id="rId14" w:history="1">
        <w:r w:rsidR="003A2866" w:rsidRPr="00614C0F">
          <w:rPr>
            <w:rStyle w:val="Hyperlink"/>
            <w:rFonts w:asciiTheme="majorBidi" w:hAnsiTheme="majorBidi" w:cstheme="majorBidi"/>
          </w:rPr>
          <w:t>SKA-39/2017</w:t>
        </w:r>
      </w:hyperlink>
      <w:r w:rsidR="00614C0F">
        <w:rPr>
          <w:rFonts w:asciiTheme="majorBidi" w:hAnsiTheme="majorBidi" w:cstheme="majorBidi"/>
        </w:rPr>
        <w:t xml:space="preserve"> (A420368712)</w:t>
      </w:r>
      <w:r w:rsidR="00645F16" w:rsidRPr="0077503B">
        <w:rPr>
          <w:rFonts w:asciiTheme="majorBidi" w:hAnsiTheme="majorBidi" w:cstheme="majorBidi"/>
        </w:rPr>
        <w:t xml:space="preserve">. </w:t>
      </w:r>
      <w:r w:rsidR="00F15B0D" w:rsidRPr="0077503B">
        <w:rPr>
          <w:rFonts w:asciiTheme="majorBidi" w:hAnsiTheme="majorBidi" w:cstheme="majorBidi"/>
        </w:rPr>
        <w:t xml:space="preserve">Minētajā </w:t>
      </w:r>
      <w:r w:rsidR="00645F16" w:rsidRPr="0077503B">
        <w:rPr>
          <w:rFonts w:asciiTheme="majorBidi" w:hAnsiTheme="majorBidi" w:cstheme="majorBidi"/>
        </w:rPr>
        <w:t xml:space="preserve">lietā </w:t>
      </w:r>
      <w:r w:rsidR="00F15B0D" w:rsidRPr="0077503B">
        <w:rPr>
          <w:rFonts w:asciiTheme="majorBidi" w:hAnsiTheme="majorBidi" w:cstheme="majorBidi"/>
        </w:rPr>
        <w:t xml:space="preserve">Senāts </w:t>
      </w:r>
      <w:r w:rsidR="00645F16" w:rsidRPr="0077503B">
        <w:rPr>
          <w:rFonts w:asciiTheme="majorBidi" w:hAnsiTheme="majorBidi" w:cstheme="majorBidi"/>
        </w:rPr>
        <w:t xml:space="preserve">vērtēja to, vai pieļaujams tiesvedības procesā izvirzīt jaunus – apstrīdēšanas iesniegumā nenorādītus – iebildumus pret iestādes </w:t>
      </w:r>
      <w:r w:rsidR="006E2BA8" w:rsidRPr="0077503B">
        <w:rPr>
          <w:rFonts w:asciiTheme="majorBidi" w:hAnsiTheme="majorBidi" w:cstheme="majorBidi"/>
        </w:rPr>
        <w:t>lēmuma pamatā norādītajiem faktiskajiem apstākļiem</w:t>
      </w:r>
      <w:r w:rsidR="00645F16" w:rsidRPr="0077503B">
        <w:rPr>
          <w:rFonts w:asciiTheme="majorBidi" w:hAnsiTheme="majorBidi" w:cstheme="majorBidi"/>
        </w:rPr>
        <w:t xml:space="preserve">. </w:t>
      </w:r>
      <w:r w:rsidR="00F15B0D" w:rsidRPr="0077503B">
        <w:rPr>
          <w:rFonts w:asciiTheme="majorBidi" w:hAnsiTheme="majorBidi" w:cstheme="majorBidi"/>
        </w:rPr>
        <w:t>Šajā sakarā Senāts uzsvēra, ka tieši procesa dalībnieks pats vislabāk zina faktiskos apstākļus (ko ir darījis, ko nav, kādus ieņēmumus ir saņēmis, kādus nav)</w:t>
      </w:r>
      <w:r w:rsidR="00B96DB9" w:rsidRPr="0077503B">
        <w:rPr>
          <w:rFonts w:asciiTheme="majorBidi" w:hAnsiTheme="majorBidi" w:cstheme="majorBidi"/>
        </w:rPr>
        <w:t>. L</w:t>
      </w:r>
      <w:r w:rsidR="00F15B0D" w:rsidRPr="0077503B">
        <w:rPr>
          <w:rFonts w:asciiTheme="majorBidi" w:hAnsiTheme="majorBidi" w:cstheme="majorBidi"/>
        </w:rPr>
        <w:t>īdz ar to</w:t>
      </w:r>
      <w:r w:rsidR="00B96DB9" w:rsidRPr="0077503B">
        <w:rPr>
          <w:rFonts w:asciiTheme="majorBidi" w:hAnsiTheme="majorBidi" w:cstheme="majorBidi"/>
        </w:rPr>
        <w:t xml:space="preserve"> procesa dalībnieka līdzdarbības pienākums un pienākums </w:t>
      </w:r>
      <w:r w:rsidR="009F2BC9">
        <w:rPr>
          <w:rFonts w:asciiTheme="majorBidi" w:hAnsiTheme="majorBidi" w:cstheme="majorBidi"/>
        </w:rPr>
        <w:t xml:space="preserve">godprātīgi </w:t>
      </w:r>
      <w:r w:rsidR="00B96DB9" w:rsidRPr="0077503B">
        <w:rPr>
          <w:rFonts w:asciiTheme="majorBidi" w:hAnsiTheme="majorBidi" w:cstheme="majorBidi"/>
        </w:rPr>
        <w:t xml:space="preserve">izmantot apstrīdēšanas </w:t>
      </w:r>
      <w:r w:rsidR="00837F25" w:rsidRPr="0077503B">
        <w:rPr>
          <w:rFonts w:asciiTheme="majorBidi" w:hAnsiTheme="majorBidi" w:cstheme="majorBidi"/>
        </w:rPr>
        <w:t xml:space="preserve">un pārsūdzēšanas </w:t>
      </w:r>
      <w:r w:rsidR="00B96DB9" w:rsidRPr="0077503B">
        <w:rPr>
          <w:rFonts w:asciiTheme="majorBidi" w:hAnsiTheme="majorBidi" w:cstheme="majorBidi"/>
        </w:rPr>
        <w:t>tiesības prasa:</w:t>
      </w:r>
      <w:r w:rsidR="00F15B0D" w:rsidRPr="0077503B">
        <w:rPr>
          <w:rFonts w:asciiTheme="majorBidi" w:hAnsiTheme="majorBidi" w:cstheme="majorBidi"/>
        </w:rPr>
        <w:t xml:space="preserve"> ja iestāde lēmumā norādījusi tādus </w:t>
      </w:r>
      <w:r w:rsidR="006E2BA8" w:rsidRPr="0077503B">
        <w:rPr>
          <w:rFonts w:asciiTheme="majorBidi" w:hAnsiTheme="majorBidi" w:cstheme="majorBidi"/>
        </w:rPr>
        <w:t>faktus</w:t>
      </w:r>
      <w:r w:rsidR="00F15B0D" w:rsidRPr="0077503B">
        <w:rPr>
          <w:rFonts w:asciiTheme="majorBidi" w:hAnsiTheme="majorBidi" w:cstheme="majorBidi"/>
        </w:rPr>
        <w:t xml:space="preserve"> par pieteicēja darbību, kas neatbilst patiesībai, pieteicējam uz to </w:t>
      </w:r>
      <w:r w:rsidR="00865471" w:rsidRPr="0077503B">
        <w:rPr>
          <w:rFonts w:asciiTheme="majorBidi" w:hAnsiTheme="majorBidi" w:cstheme="majorBidi"/>
        </w:rPr>
        <w:t xml:space="preserve">pēc iespējas </w:t>
      </w:r>
      <w:r w:rsidR="00F15B0D" w:rsidRPr="0077503B">
        <w:rPr>
          <w:rFonts w:asciiTheme="majorBidi" w:hAnsiTheme="majorBidi" w:cstheme="majorBidi"/>
        </w:rPr>
        <w:t xml:space="preserve">jānorāda jau apstrīdēšanas </w:t>
      </w:r>
      <w:r w:rsidR="00F15B0D" w:rsidRPr="0077503B">
        <w:rPr>
          <w:rFonts w:asciiTheme="majorBidi" w:hAnsiTheme="majorBidi" w:cstheme="majorBidi"/>
        </w:rPr>
        <w:lastRenderedPageBreak/>
        <w:t xml:space="preserve">iesniegumā. </w:t>
      </w:r>
      <w:r w:rsidR="0034009C" w:rsidRPr="0077503B">
        <w:rPr>
          <w:rFonts w:asciiTheme="majorBidi" w:hAnsiTheme="majorBidi" w:cstheme="majorBidi"/>
        </w:rPr>
        <w:t xml:space="preserve">Šā iemesla dēļ </w:t>
      </w:r>
      <w:r w:rsidR="00F15B0D" w:rsidRPr="0077503B">
        <w:rPr>
          <w:rFonts w:asciiTheme="majorBidi" w:hAnsiTheme="majorBidi" w:cstheme="majorBidi"/>
        </w:rPr>
        <w:t xml:space="preserve">Senāts atzina, ka apstrīdēšanas stadijā neizvirzītu ar lietas faktiskajiem apstākļiem saistītu iebildumu izteikšana tikai tiesā būtu pieļaujama tikai tad, ja būtu pamats uzskatīt, ka apstrīdēšanas stadijas laikā procesa dalībnieks varēja objektīvi nezināt (nesaprast), ka ir pamats iebilst arī pret citiem </w:t>
      </w:r>
      <w:r w:rsidR="00A4773D">
        <w:rPr>
          <w:rFonts w:asciiTheme="majorBidi" w:hAnsiTheme="majorBidi" w:cstheme="majorBidi"/>
        </w:rPr>
        <w:t>iestādes</w:t>
      </w:r>
      <w:r w:rsidR="00F15B0D" w:rsidRPr="0077503B">
        <w:rPr>
          <w:rFonts w:asciiTheme="majorBidi" w:hAnsiTheme="majorBidi" w:cstheme="majorBidi"/>
        </w:rPr>
        <w:t xml:space="preserve"> konstatētajiem apstākļiem (</w:t>
      </w:r>
      <w:r w:rsidR="00F15B0D" w:rsidRPr="0077503B">
        <w:rPr>
          <w:rFonts w:asciiTheme="majorBidi" w:hAnsiTheme="majorBidi" w:cstheme="majorBidi"/>
          <w:i/>
          <w:iCs/>
        </w:rPr>
        <w:t>minētā sprieduma 9.</w:t>
      </w:r>
      <w:r w:rsidR="00B96DB9" w:rsidRPr="0077503B">
        <w:rPr>
          <w:rFonts w:asciiTheme="majorBidi" w:hAnsiTheme="majorBidi" w:cstheme="majorBidi"/>
          <w:i/>
          <w:iCs/>
        </w:rPr>
        <w:t xml:space="preserve"> un 10.</w:t>
      </w:r>
      <w:r w:rsidR="00F15B0D" w:rsidRPr="0077503B">
        <w:rPr>
          <w:rFonts w:asciiTheme="majorBidi" w:hAnsiTheme="majorBidi" w:cstheme="majorBidi"/>
          <w:i/>
          <w:iCs/>
        </w:rPr>
        <w:t>punkts</w:t>
      </w:r>
      <w:r w:rsidR="00F15B0D" w:rsidRPr="0077503B">
        <w:rPr>
          <w:rFonts w:asciiTheme="majorBidi" w:hAnsiTheme="majorBidi" w:cstheme="majorBidi"/>
        </w:rPr>
        <w:t>).</w:t>
      </w:r>
    </w:p>
    <w:p w14:paraId="62F4FB50" w14:textId="22AD68B8" w:rsidR="006E2BA8" w:rsidRPr="0077503B" w:rsidRDefault="00F15B0D" w:rsidP="00607CB5">
      <w:pPr>
        <w:autoSpaceDE w:val="0"/>
        <w:autoSpaceDN w:val="0"/>
        <w:adjustRightInd w:val="0"/>
        <w:spacing w:line="276" w:lineRule="auto"/>
        <w:ind w:firstLine="720"/>
        <w:jc w:val="both"/>
        <w:rPr>
          <w:rFonts w:asciiTheme="majorBidi" w:hAnsiTheme="majorBidi" w:cstheme="majorBidi"/>
        </w:rPr>
      </w:pPr>
      <w:r w:rsidRPr="0077503B">
        <w:rPr>
          <w:rFonts w:asciiTheme="majorBidi" w:hAnsiTheme="majorBidi" w:cstheme="majorBidi"/>
        </w:rPr>
        <w:t>Tādējādi minētajā lietā Senāts vispār nevērtēja to, vai pieteikumā pieļaujams izvirzīt jaunus argumentus par iestādes piemēroto tiesību normu interpretāciju</w:t>
      </w:r>
      <w:r w:rsidR="00865471" w:rsidRPr="0077503B">
        <w:rPr>
          <w:rFonts w:asciiTheme="majorBidi" w:hAnsiTheme="majorBidi" w:cstheme="majorBidi"/>
        </w:rPr>
        <w:t>.</w:t>
      </w:r>
    </w:p>
    <w:p w14:paraId="01FAD8C6" w14:textId="6B5A19FB" w:rsidR="009D5E45" w:rsidRPr="0077503B" w:rsidRDefault="009D5E45" w:rsidP="00607CB5">
      <w:pPr>
        <w:spacing w:line="276" w:lineRule="auto"/>
        <w:ind w:firstLine="720"/>
        <w:jc w:val="both"/>
        <w:rPr>
          <w:rFonts w:asciiTheme="majorBidi" w:hAnsiTheme="majorBidi" w:cstheme="majorBidi"/>
        </w:rPr>
      </w:pPr>
    </w:p>
    <w:p w14:paraId="45614986" w14:textId="5357CA39" w:rsidR="00604613" w:rsidRPr="0077503B" w:rsidRDefault="00C2303D"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w:t>
      </w:r>
      <w:r w:rsidR="006E2BA8" w:rsidRPr="0077503B">
        <w:rPr>
          <w:rFonts w:asciiTheme="majorBidi" w:hAnsiTheme="majorBidi" w:cstheme="majorBidi"/>
          <w:lang w:eastAsia="en-US"/>
        </w:rPr>
        <w:t>8</w:t>
      </w:r>
      <w:r w:rsidRPr="0077503B">
        <w:rPr>
          <w:rFonts w:asciiTheme="majorBidi" w:hAnsiTheme="majorBidi" w:cstheme="majorBidi"/>
          <w:lang w:eastAsia="en-US"/>
        </w:rPr>
        <w:t xml:space="preserve">] Izskatāmajā gadījumā Valsts ieņēmumu dienests </w:t>
      </w:r>
      <w:r w:rsidR="00604613" w:rsidRPr="0077503B">
        <w:rPr>
          <w:rFonts w:asciiTheme="majorBidi" w:hAnsiTheme="majorBidi" w:cstheme="majorBidi"/>
          <w:lang w:eastAsia="en-US"/>
        </w:rPr>
        <w:t xml:space="preserve">citstarp </w:t>
      </w:r>
      <w:r w:rsidRPr="0077503B">
        <w:rPr>
          <w:rFonts w:asciiTheme="majorBidi" w:hAnsiTheme="majorBidi" w:cstheme="majorBidi"/>
          <w:lang w:eastAsia="en-US"/>
        </w:rPr>
        <w:t xml:space="preserve">atzina, ka pieteicēja pieļāvusi pārkāpumu, jo nebija ziņojusi par darījumiem, kuros pieteicēja samaksu par precēm saņēmusi, klientiem skaidru naudu ar kredītiestādes starpniecību iemaksājot pieteicējas kontā. </w:t>
      </w:r>
      <w:r w:rsidR="00BF54C8" w:rsidRPr="0077503B">
        <w:rPr>
          <w:rFonts w:asciiTheme="majorBidi" w:hAnsiTheme="majorBidi" w:cstheme="majorBidi"/>
          <w:lang w:eastAsia="en-US"/>
        </w:rPr>
        <w:t xml:space="preserve">Valsts ieņēmumu dienests norādīja, ka šādi darījumi atbilstoši noteikumu Nr. 674 5.2.apakšpunktam ir uzskatāmi par neparastiem darījumiem, proti, darījumiem, </w:t>
      </w:r>
      <w:r w:rsidR="00782722" w:rsidRPr="0077503B">
        <w:rPr>
          <w:rFonts w:asciiTheme="majorBidi" w:hAnsiTheme="majorBidi" w:cstheme="majorBidi"/>
          <w:lang w:eastAsia="en-US"/>
        </w:rPr>
        <w:t xml:space="preserve">par kuriem </w:t>
      </w:r>
      <w:r w:rsidR="00BF54C8" w:rsidRPr="0077503B">
        <w:rPr>
          <w:rFonts w:asciiTheme="majorBidi" w:hAnsiTheme="majorBidi" w:cstheme="majorBidi"/>
          <w:lang w:eastAsia="en-US"/>
        </w:rPr>
        <w:t>jāziņo.</w:t>
      </w:r>
    </w:p>
    <w:p w14:paraId="33CFCFC4" w14:textId="29737D15" w:rsidR="0034009C" w:rsidRPr="0077503B" w:rsidRDefault="00C2303D"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Pieteicēja dienesta konstatēto, ka ir saņēmusi samaksu no klientiem Valsts ieņēmumu dienesta konstatētajā veidā </w:t>
      </w:r>
      <w:r w:rsidR="001B09EF" w:rsidRPr="0077503B">
        <w:rPr>
          <w:rFonts w:asciiTheme="majorBidi" w:hAnsiTheme="majorBidi" w:cstheme="majorBidi"/>
          <w:lang w:eastAsia="en-US"/>
        </w:rPr>
        <w:t xml:space="preserve">un ka par šiem darījumiem nav ziņojusi, nenoliedz. </w:t>
      </w:r>
      <w:r w:rsidR="006E2BA8" w:rsidRPr="0077503B">
        <w:rPr>
          <w:rFonts w:asciiTheme="majorBidi" w:hAnsiTheme="majorBidi" w:cstheme="majorBidi"/>
          <w:lang w:eastAsia="en-US"/>
        </w:rPr>
        <w:t>Vienlaikus, a</w:t>
      </w:r>
      <w:r w:rsidR="001B09EF" w:rsidRPr="0077503B">
        <w:rPr>
          <w:rFonts w:asciiTheme="majorBidi" w:hAnsiTheme="majorBidi" w:cstheme="majorBidi"/>
          <w:lang w:eastAsia="en-US"/>
        </w:rPr>
        <w:t xml:space="preserve">pstrīdot </w:t>
      </w:r>
      <w:r w:rsidR="006E2BA8" w:rsidRPr="0077503B">
        <w:rPr>
          <w:rFonts w:asciiTheme="majorBidi" w:hAnsiTheme="majorBidi" w:cstheme="majorBidi"/>
          <w:lang w:eastAsia="en-US"/>
        </w:rPr>
        <w:t>dienesta</w:t>
      </w:r>
      <w:r w:rsidR="001B09EF" w:rsidRPr="0077503B">
        <w:rPr>
          <w:rFonts w:asciiTheme="majorBidi" w:hAnsiTheme="majorBidi" w:cstheme="majorBidi"/>
          <w:lang w:eastAsia="en-US"/>
        </w:rPr>
        <w:t xml:space="preserve"> lēmumu, pieteicēja nenorādīja, ka, tās ieskatā, tiesiskais regulējums interpretējams tādējādi, ka par šādiem darījumiem </w:t>
      </w:r>
      <w:r w:rsidR="00172D79" w:rsidRPr="0077503B">
        <w:rPr>
          <w:rFonts w:asciiTheme="majorBidi" w:hAnsiTheme="majorBidi" w:cstheme="majorBidi"/>
          <w:lang w:eastAsia="en-US"/>
        </w:rPr>
        <w:t xml:space="preserve">vispār </w:t>
      </w:r>
      <w:r w:rsidR="001B09EF" w:rsidRPr="0077503B">
        <w:rPr>
          <w:rFonts w:asciiTheme="majorBidi" w:hAnsiTheme="majorBidi" w:cstheme="majorBidi"/>
          <w:lang w:eastAsia="en-US"/>
        </w:rPr>
        <w:t>nav jāziņo.</w:t>
      </w:r>
      <w:r w:rsidRPr="0077503B">
        <w:rPr>
          <w:rFonts w:asciiTheme="majorBidi" w:hAnsiTheme="majorBidi" w:cstheme="majorBidi"/>
          <w:lang w:eastAsia="en-US"/>
        </w:rPr>
        <w:t xml:space="preserve"> </w:t>
      </w:r>
      <w:r w:rsidR="006E2BA8" w:rsidRPr="0077503B">
        <w:rPr>
          <w:rFonts w:asciiTheme="majorBidi" w:hAnsiTheme="majorBidi" w:cstheme="majorBidi"/>
          <w:lang w:eastAsia="en-US"/>
        </w:rPr>
        <w:t>Tomēr</w:t>
      </w:r>
      <w:r w:rsidR="001B09EF" w:rsidRPr="0077503B">
        <w:rPr>
          <w:rFonts w:asciiTheme="majorBidi" w:hAnsiTheme="majorBidi" w:cstheme="majorBidi"/>
          <w:lang w:eastAsia="en-US"/>
        </w:rPr>
        <w:t xml:space="preserve"> šādu argumentu pieteicēja izvirzīja pieteikumā tiesai, </w:t>
      </w:r>
      <w:r w:rsidR="00604613" w:rsidRPr="0077503B">
        <w:rPr>
          <w:rFonts w:asciiTheme="majorBidi" w:hAnsiTheme="majorBidi" w:cstheme="majorBidi"/>
          <w:lang w:eastAsia="en-US"/>
        </w:rPr>
        <w:t>proti, pieteicēja argumentēja</w:t>
      </w:r>
      <w:r w:rsidR="001B09EF" w:rsidRPr="0077503B">
        <w:rPr>
          <w:rFonts w:asciiTheme="majorBidi" w:hAnsiTheme="majorBidi" w:cstheme="majorBidi"/>
          <w:lang w:eastAsia="en-US"/>
        </w:rPr>
        <w:t xml:space="preserve">, ka Valsts ieņēmumu dienests noteikumu Nr. 674 5.2.apakšpunktu nepamatoti attiecinājis uz apstākļiem, kuros klients skaidru naudu iemaksājis pieteicējas kontā. </w:t>
      </w:r>
    </w:p>
    <w:p w14:paraId="49698C7D" w14:textId="69F5D6E1" w:rsidR="00782722" w:rsidRPr="0077503B" w:rsidRDefault="0078452B"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Tādējādi</w:t>
      </w:r>
      <w:r w:rsidR="00782722" w:rsidRPr="0077503B">
        <w:rPr>
          <w:rFonts w:asciiTheme="majorBidi" w:hAnsiTheme="majorBidi" w:cstheme="majorBidi"/>
          <w:lang w:eastAsia="en-US"/>
        </w:rPr>
        <w:t xml:space="preserve"> pieteicēja kā pieteikuma pamatu citstarp norādīja</w:t>
      </w:r>
      <w:r w:rsidR="00604613" w:rsidRPr="0077503B">
        <w:rPr>
          <w:rFonts w:asciiTheme="majorBidi" w:hAnsiTheme="majorBidi" w:cstheme="majorBidi"/>
          <w:lang w:eastAsia="en-US"/>
        </w:rPr>
        <w:t xml:space="preserve"> to, ka Valsts ieņēmumu dienests nepareizi interpretējis noteikumu Nr. 674 5.2.apakšpunktā paredzēto skaidras naudas darījum</w:t>
      </w:r>
      <w:r w:rsidR="00782722" w:rsidRPr="0077503B">
        <w:rPr>
          <w:rFonts w:asciiTheme="majorBidi" w:hAnsiTheme="majorBidi" w:cstheme="majorBidi"/>
          <w:lang w:eastAsia="en-US"/>
        </w:rPr>
        <w:t>a</w:t>
      </w:r>
      <w:r w:rsidR="00604613" w:rsidRPr="0077503B">
        <w:rPr>
          <w:rFonts w:asciiTheme="majorBidi" w:hAnsiTheme="majorBidi" w:cstheme="majorBidi"/>
          <w:lang w:eastAsia="en-US"/>
        </w:rPr>
        <w:t xml:space="preserve"> jēdzienu</w:t>
      </w:r>
      <w:r w:rsidR="00782722" w:rsidRPr="0077503B">
        <w:rPr>
          <w:rFonts w:asciiTheme="majorBidi" w:hAnsiTheme="majorBidi" w:cstheme="majorBidi"/>
          <w:lang w:eastAsia="en-US"/>
        </w:rPr>
        <w:t xml:space="preserve"> un attiecīgi nepareizi piemērojis šo normu. </w:t>
      </w:r>
      <w:r w:rsidR="00BE7795" w:rsidRPr="0077503B">
        <w:rPr>
          <w:rFonts w:asciiTheme="majorBidi" w:hAnsiTheme="majorBidi" w:cstheme="majorBidi"/>
          <w:lang w:eastAsia="en-US"/>
        </w:rPr>
        <w:t xml:space="preserve">Senāts atzīst, ka tas acīmredzami ir arguments par tiesību normu piemērošanu, nevis par faktiskajiem apstākļiem. </w:t>
      </w:r>
      <w:r w:rsidR="006D47FF" w:rsidRPr="0077503B">
        <w:rPr>
          <w:rFonts w:asciiTheme="majorBidi" w:hAnsiTheme="majorBidi" w:cstheme="majorBidi"/>
          <w:lang w:eastAsia="en-US"/>
        </w:rPr>
        <w:t>A</w:t>
      </w:r>
      <w:r w:rsidR="00782722" w:rsidRPr="0077503B">
        <w:rPr>
          <w:rFonts w:asciiTheme="majorBidi" w:hAnsiTheme="majorBidi" w:cstheme="majorBidi"/>
          <w:lang w:eastAsia="en-US"/>
        </w:rPr>
        <w:t xml:space="preserve">r šo argumentu pieteicēja neizvirzīja jaunus, iepriekš neminētus iebildumus pret Valsts ieņēmumu dienesta konstatētajiem faktiskajiem apstākļiem. </w:t>
      </w:r>
    </w:p>
    <w:p w14:paraId="2488043A" w14:textId="6F77C889" w:rsidR="006E2BA8" w:rsidRDefault="0034009C" w:rsidP="00607CB5">
      <w:pPr>
        <w:autoSpaceDE w:val="0"/>
        <w:autoSpaceDN w:val="0"/>
        <w:adjustRightInd w:val="0"/>
        <w:spacing w:line="276" w:lineRule="auto"/>
        <w:ind w:firstLine="720"/>
        <w:jc w:val="both"/>
        <w:rPr>
          <w:rFonts w:asciiTheme="majorBidi" w:hAnsiTheme="majorBidi" w:cstheme="majorBidi"/>
        </w:rPr>
      </w:pPr>
      <w:r w:rsidRPr="0077503B">
        <w:rPr>
          <w:rFonts w:asciiTheme="majorBidi" w:hAnsiTheme="majorBidi" w:cstheme="majorBidi"/>
          <w:lang w:eastAsia="en-US"/>
        </w:rPr>
        <w:t xml:space="preserve">Kā jau iepriekš norādīts, likums neliedz pieteikumā tiesai izvirzīt apstrīdēšanas iesniegumā nenorādītus argumentus par iestādes kļūdām tiesību normu piemērošanā. </w:t>
      </w:r>
      <w:r w:rsidR="00965E59" w:rsidRPr="0077503B">
        <w:rPr>
          <w:rFonts w:asciiTheme="majorBidi" w:hAnsiTheme="majorBidi" w:cstheme="majorBidi"/>
          <w:lang w:eastAsia="en-US"/>
        </w:rPr>
        <w:t xml:space="preserve">Ievērojot minēto, tiesa izskatāmajā lietā nepamatoti atzina, ka </w:t>
      </w:r>
      <w:r w:rsidR="00994DFE" w:rsidRPr="0077503B">
        <w:rPr>
          <w:rFonts w:asciiTheme="majorBidi" w:hAnsiTheme="majorBidi" w:cstheme="majorBidi"/>
          <w:lang w:eastAsia="en-US"/>
        </w:rPr>
        <w:t xml:space="preserve">pieteicējam nav tiesību pieteikumā izvirzīt argumentus par Valsts ieņēmumu dienesta piemērotās tiesību normas – noteikumu Nr. 674 5.2.apakšpunkta – interpretāciju. </w:t>
      </w:r>
      <w:r w:rsidR="006D47FF" w:rsidRPr="0077503B">
        <w:rPr>
          <w:rFonts w:asciiTheme="majorBidi" w:hAnsiTheme="majorBidi" w:cstheme="majorBidi"/>
        </w:rPr>
        <w:t>T</w:t>
      </w:r>
      <w:r w:rsidR="006E2BA8" w:rsidRPr="0077503B">
        <w:rPr>
          <w:rFonts w:asciiTheme="majorBidi" w:hAnsiTheme="majorBidi" w:cstheme="majorBidi"/>
        </w:rPr>
        <w:t xml:space="preserve">iesa </w:t>
      </w:r>
      <w:r w:rsidR="006D47FF" w:rsidRPr="0077503B">
        <w:rPr>
          <w:rFonts w:asciiTheme="majorBidi" w:hAnsiTheme="majorBidi" w:cstheme="majorBidi"/>
        </w:rPr>
        <w:t xml:space="preserve">arī </w:t>
      </w:r>
      <w:r w:rsidR="006E2BA8" w:rsidRPr="0077503B">
        <w:rPr>
          <w:rFonts w:asciiTheme="majorBidi" w:hAnsiTheme="majorBidi" w:cstheme="majorBidi"/>
        </w:rPr>
        <w:t xml:space="preserve">nepamatoti atsaucās uz Senāta </w:t>
      </w:r>
      <w:r w:rsidR="006E2BA8" w:rsidRPr="0077503B">
        <w:rPr>
          <w:rFonts w:asciiTheme="majorBidi" w:hAnsiTheme="majorBidi" w:cstheme="majorBidi"/>
          <w:lang w:eastAsia="en-US"/>
        </w:rPr>
        <w:t>2</w:t>
      </w:r>
      <w:r w:rsidR="006E2BA8" w:rsidRPr="0077503B">
        <w:rPr>
          <w:rFonts w:asciiTheme="majorBidi" w:hAnsiTheme="majorBidi" w:cstheme="majorBidi"/>
        </w:rPr>
        <w:t>017.gada 28.februāra sprieduma lietā Nr. SKA-39/2017 atziņām kā pamatojumu pieteicēja pieteikumā izvirzīt</w:t>
      </w:r>
      <w:r w:rsidR="006F5A11" w:rsidRPr="0077503B">
        <w:rPr>
          <w:rFonts w:asciiTheme="majorBidi" w:hAnsiTheme="majorBidi" w:cstheme="majorBidi"/>
        </w:rPr>
        <w:t>a šāda argumenta nevērtēšanai.</w:t>
      </w:r>
    </w:p>
    <w:p w14:paraId="1FF45292" w14:textId="77777777" w:rsidR="00B45CC6" w:rsidRPr="0077503B" w:rsidRDefault="00B45CC6" w:rsidP="00607CB5">
      <w:pPr>
        <w:autoSpaceDE w:val="0"/>
        <w:autoSpaceDN w:val="0"/>
        <w:adjustRightInd w:val="0"/>
        <w:spacing w:line="276" w:lineRule="auto"/>
        <w:ind w:firstLine="567"/>
        <w:jc w:val="both"/>
        <w:rPr>
          <w:rFonts w:asciiTheme="majorBidi" w:hAnsiTheme="majorBidi" w:cstheme="majorBidi"/>
        </w:rPr>
      </w:pPr>
    </w:p>
    <w:p w14:paraId="7CFC2E9C" w14:textId="08B5B53A" w:rsidR="000A5367" w:rsidRPr="0077503B" w:rsidRDefault="00615846" w:rsidP="00607CB5">
      <w:pPr>
        <w:spacing w:line="276" w:lineRule="auto"/>
        <w:jc w:val="center"/>
        <w:rPr>
          <w:rFonts w:asciiTheme="majorBidi" w:hAnsiTheme="majorBidi" w:cstheme="majorBidi"/>
          <w:b/>
        </w:rPr>
      </w:pPr>
      <w:r>
        <w:rPr>
          <w:rFonts w:asciiTheme="majorBidi" w:hAnsiTheme="majorBidi" w:cstheme="majorBidi"/>
          <w:b/>
        </w:rPr>
        <w:t>II</w:t>
      </w:r>
    </w:p>
    <w:p w14:paraId="19F08E4C" w14:textId="77777777" w:rsidR="00A4773D" w:rsidRDefault="00A4773D" w:rsidP="00607CB5">
      <w:pPr>
        <w:spacing w:line="276" w:lineRule="auto"/>
        <w:ind w:firstLine="567"/>
        <w:rPr>
          <w:rFonts w:asciiTheme="majorBidi" w:hAnsiTheme="majorBidi" w:cstheme="majorBidi"/>
          <w:bCs/>
          <w:i/>
          <w:iCs/>
        </w:rPr>
      </w:pPr>
    </w:p>
    <w:p w14:paraId="1598A1A4" w14:textId="5643D523" w:rsidR="00994DFE" w:rsidRPr="0077503B" w:rsidRDefault="00994DFE" w:rsidP="00607CB5">
      <w:pPr>
        <w:spacing w:line="276" w:lineRule="auto"/>
        <w:ind w:firstLine="720"/>
        <w:rPr>
          <w:rFonts w:asciiTheme="majorBidi" w:hAnsiTheme="majorBidi" w:cstheme="majorBidi"/>
          <w:bCs/>
          <w:i/>
          <w:iCs/>
          <w:lang w:eastAsia="en-US"/>
        </w:rPr>
      </w:pPr>
      <w:r w:rsidRPr="0077503B">
        <w:rPr>
          <w:rFonts w:asciiTheme="majorBidi" w:hAnsiTheme="majorBidi" w:cstheme="majorBidi"/>
          <w:bCs/>
          <w:i/>
          <w:iCs/>
        </w:rPr>
        <w:t>Par skaidr</w:t>
      </w:r>
      <w:r w:rsidR="00AB74A2">
        <w:rPr>
          <w:rFonts w:asciiTheme="majorBidi" w:hAnsiTheme="majorBidi" w:cstheme="majorBidi"/>
          <w:bCs/>
          <w:i/>
          <w:iCs/>
        </w:rPr>
        <w:t>a</w:t>
      </w:r>
      <w:r w:rsidRPr="0077503B">
        <w:rPr>
          <w:rFonts w:asciiTheme="majorBidi" w:hAnsiTheme="majorBidi" w:cstheme="majorBidi"/>
          <w:bCs/>
          <w:i/>
          <w:iCs/>
        </w:rPr>
        <w:t xml:space="preserve">s naudas darījumiem </w:t>
      </w:r>
      <w:r w:rsidRPr="0077503B">
        <w:rPr>
          <w:rFonts w:asciiTheme="majorBidi" w:hAnsiTheme="majorBidi" w:cstheme="majorBidi"/>
          <w:bCs/>
          <w:i/>
          <w:iCs/>
          <w:lang w:eastAsia="en-US"/>
        </w:rPr>
        <w:t>noteikumu Nr. 674 5.2.apakšpunkta izpratnē</w:t>
      </w:r>
    </w:p>
    <w:p w14:paraId="228F12F0" w14:textId="77777777" w:rsidR="00EC2444" w:rsidRPr="0077503B" w:rsidRDefault="00EC2444" w:rsidP="00607CB5">
      <w:pPr>
        <w:spacing w:line="276" w:lineRule="auto"/>
        <w:ind w:firstLine="720"/>
        <w:rPr>
          <w:rFonts w:asciiTheme="majorBidi" w:hAnsiTheme="majorBidi" w:cstheme="majorBidi"/>
          <w:bCs/>
          <w:i/>
          <w:iCs/>
          <w:lang w:eastAsia="en-US"/>
        </w:rPr>
      </w:pPr>
    </w:p>
    <w:p w14:paraId="434659F4" w14:textId="28794623" w:rsidR="00EC2444" w:rsidRPr="0077503B" w:rsidRDefault="00EC2444"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w:t>
      </w:r>
      <w:r w:rsidR="00345A87">
        <w:rPr>
          <w:rFonts w:asciiTheme="majorBidi" w:hAnsiTheme="majorBidi" w:cstheme="majorBidi"/>
          <w:bCs/>
          <w:lang w:eastAsia="en-US"/>
        </w:rPr>
        <w:t>9</w:t>
      </w:r>
      <w:r w:rsidRPr="0077503B">
        <w:rPr>
          <w:rFonts w:asciiTheme="majorBidi" w:hAnsiTheme="majorBidi" w:cstheme="majorBidi"/>
          <w:bCs/>
          <w:lang w:eastAsia="en-US"/>
        </w:rPr>
        <w:t>]</w:t>
      </w:r>
      <w:r w:rsidR="009A3AD9" w:rsidRPr="0077503B">
        <w:rPr>
          <w:rFonts w:asciiTheme="majorBidi" w:hAnsiTheme="majorBidi" w:cstheme="majorBidi"/>
          <w:bCs/>
          <w:lang w:eastAsia="en-US"/>
        </w:rPr>
        <w:t xml:space="preserve"> </w:t>
      </w:r>
      <w:r w:rsidR="00F10559" w:rsidRPr="0077503B">
        <w:rPr>
          <w:rFonts w:asciiTheme="majorBidi" w:hAnsiTheme="majorBidi" w:cstheme="majorBidi"/>
          <w:bCs/>
          <w:lang w:eastAsia="en-US"/>
        </w:rPr>
        <w:t xml:space="preserve">Saskaņā ar </w:t>
      </w:r>
      <w:r w:rsidR="009A3AD9" w:rsidRPr="0077503B">
        <w:rPr>
          <w:rFonts w:asciiTheme="majorBidi" w:hAnsiTheme="majorBidi" w:cstheme="majorBidi"/>
          <w:bCs/>
          <w:lang w:eastAsia="en-US"/>
        </w:rPr>
        <w:t>Novēršanas likuma 30.panta pirm</w:t>
      </w:r>
      <w:r w:rsidR="00F10559" w:rsidRPr="0077503B">
        <w:rPr>
          <w:rFonts w:asciiTheme="majorBidi" w:hAnsiTheme="majorBidi" w:cstheme="majorBidi"/>
          <w:bCs/>
          <w:lang w:eastAsia="en-US"/>
        </w:rPr>
        <w:t>o</w:t>
      </w:r>
      <w:r w:rsidR="009A3AD9" w:rsidRPr="0077503B">
        <w:rPr>
          <w:rFonts w:asciiTheme="majorBidi" w:hAnsiTheme="majorBidi" w:cstheme="majorBidi"/>
          <w:bCs/>
          <w:lang w:eastAsia="en-US"/>
        </w:rPr>
        <w:t xml:space="preserve"> daļ</w:t>
      </w:r>
      <w:r w:rsidR="00F10559" w:rsidRPr="0077503B">
        <w:rPr>
          <w:rFonts w:asciiTheme="majorBidi" w:hAnsiTheme="majorBidi" w:cstheme="majorBidi"/>
          <w:bCs/>
          <w:lang w:eastAsia="en-US"/>
        </w:rPr>
        <w:t>u</w:t>
      </w:r>
      <w:r w:rsidR="009A3AD9" w:rsidRPr="0077503B">
        <w:rPr>
          <w:rFonts w:asciiTheme="majorBidi" w:hAnsiTheme="majorBidi" w:cstheme="majorBidi"/>
          <w:bCs/>
          <w:lang w:eastAsia="en-US"/>
        </w:rPr>
        <w:t xml:space="preserve"> (</w:t>
      </w:r>
      <w:r w:rsidR="009A3AD9" w:rsidRPr="0077503B">
        <w:rPr>
          <w:rFonts w:asciiTheme="majorBidi" w:hAnsiTheme="majorBidi" w:cstheme="majorBidi"/>
          <w:bCs/>
          <w:i/>
          <w:iCs/>
          <w:lang w:eastAsia="en-US"/>
        </w:rPr>
        <w:t>šeit un turpmāk</w:t>
      </w:r>
      <w:r w:rsidR="00A4773D">
        <w:rPr>
          <w:rFonts w:asciiTheme="majorBidi" w:hAnsiTheme="majorBidi" w:cstheme="majorBidi"/>
          <w:bCs/>
          <w:i/>
          <w:iCs/>
          <w:lang w:eastAsia="en-US"/>
        </w:rPr>
        <w:t>, ja vien nav norādīts citādi,</w:t>
      </w:r>
      <w:r w:rsidR="009A3AD9" w:rsidRPr="0077503B">
        <w:rPr>
          <w:rFonts w:asciiTheme="majorBidi" w:hAnsiTheme="majorBidi" w:cstheme="majorBidi"/>
          <w:bCs/>
          <w:i/>
          <w:iCs/>
          <w:lang w:eastAsia="en-US"/>
        </w:rPr>
        <w:t xml:space="preserve"> tiesību normas redakcijā, kas bija spēkā laikā, par kuru pieteicējai konstatēts pārkāpums, proti, redakcijā līdz 2019.gada </w:t>
      </w:r>
      <w:r w:rsidR="000C6A70" w:rsidRPr="0077503B">
        <w:rPr>
          <w:rFonts w:asciiTheme="majorBidi" w:hAnsiTheme="majorBidi" w:cstheme="majorBidi"/>
          <w:bCs/>
          <w:i/>
          <w:iCs/>
          <w:lang w:eastAsia="en-US"/>
        </w:rPr>
        <w:t>2</w:t>
      </w:r>
      <w:r w:rsidR="00C263F2">
        <w:rPr>
          <w:rFonts w:asciiTheme="majorBidi" w:hAnsiTheme="majorBidi" w:cstheme="majorBidi"/>
          <w:bCs/>
          <w:i/>
          <w:iCs/>
          <w:lang w:eastAsia="en-US"/>
        </w:rPr>
        <w:t>8</w:t>
      </w:r>
      <w:r w:rsidR="009A3AD9" w:rsidRPr="0077503B">
        <w:rPr>
          <w:rFonts w:asciiTheme="majorBidi" w:hAnsiTheme="majorBidi" w:cstheme="majorBidi"/>
          <w:bCs/>
          <w:i/>
          <w:iCs/>
          <w:lang w:eastAsia="en-US"/>
        </w:rPr>
        <w:t>.jūnijam</w:t>
      </w:r>
      <w:r w:rsidR="009A3AD9" w:rsidRPr="0077503B">
        <w:rPr>
          <w:rFonts w:asciiTheme="majorBidi" w:hAnsiTheme="majorBidi" w:cstheme="majorBidi"/>
          <w:bCs/>
          <w:lang w:eastAsia="en-US"/>
        </w:rPr>
        <w:t>)</w:t>
      </w:r>
      <w:r w:rsidR="00F10559" w:rsidRPr="0077503B">
        <w:rPr>
          <w:rFonts w:asciiTheme="majorBidi" w:hAnsiTheme="majorBidi" w:cstheme="majorBidi"/>
          <w:bCs/>
          <w:lang w:eastAsia="en-US"/>
        </w:rPr>
        <w:t xml:space="preserve"> likuma subjektam </w:t>
      </w:r>
      <w:r w:rsidR="006A0656" w:rsidRPr="0077503B">
        <w:rPr>
          <w:rFonts w:asciiTheme="majorBidi" w:hAnsiTheme="majorBidi" w:cstheme="majorBidi"/>
          <w:bCs/>
          <w:lang w:eastAsia="en-US"/>
        </w:rPr>
        <w:t xml:space="preserve">bija </w:t>
      </w:r>
      <w:r w:rsidR="00F10559" w:rsidRPr="0077503B">
        <w:rPr>
          <w:rFonts w:asciiTheme="majorBidi" w:hAnsiTheme="majorBidi" w:cstheme="majorBidi"/>
          <w:bCs/>
          <w:lang w:eastAsia="en-US"/>
        </w:rPr>
        <w:t xml:space="preserve">noteikts pienākums ziņot </w:t>
      </w:r>
      <w:r w:rsidR="00B265ED" w:rsidRPr="0077503B">
        <w:rPr>
          <w:rFonts w:asciiTheme="majorBidi" w:hAnsiTheme="majorBidi" w:cstheme="majorBidi"/>
          <w:bCs/>
          <w:lang w:eastAsia="en-US"/>
        </w:rPr>
        <w:t xml:space="preserve">Noziedzīgi iegūtu līdzekļu legalizācijas novēršanas dienestam </w:t>
      </w:r>
      <w:r w:rsidR="00F10559" w:rsidRPr="0077503B">
        <w:rPr>
          <w:rFonts w:asciiTheme="majorBidi" w:hAnsiTheme="majorBidi" w:cstheme="majorBidi"/>
          <w:bCs/>
          <w:lang w:eastAsia="en-US"/>
        </w:rPr>
        <w:t xml:space="preserve">par katru neparastu vai aizdomīgu darījumu. </w:t>
      </w:r>
      <w:r w:rsidR="00352C0E" w:rsidRPr="0077503B">
        <w:rPr>
          <w:rFonts w:asciiTheme="majorBidi" w:hAnsiTheme="majorBidi" w:cstheme="majorBidi"/>
          <w:bCs/>
          <w:lang w:eastAsia="en-US"/>
        </w:rPr>
        <w:t xml:space="preserve">Vienlaikus šā panta otrā daļa paredzēja, ka </w:t>
      </w:r>
      <w:r w:rsidR="006A0656" w:rsidRPr="0077503B">
        <w:rPr>
          <w:rFonts w:asciiTheme="majorBidi" w:hAnsiTheme="majorBidi" w:cstheme="majorBidi"/>
          <w:bCs/>
          <w:lang w:eastAsia="en-US"/>
        </w:rPr>
        <w:t xml:space="preserve">Ministru kabinets izdod noteikumus, kuros apstiprināts neparasta darījuma pazīmju </w:t>
      </w:r>
      <w:r w:rsidR="006A0656" w:rsidRPr="0077503B">
        <w:rPr>
          <w:rFonts w:asciiTheme="majorBidi" w:hAnsiTheme="majorBidi" w:cstheme="majorBidi"/>
          <w:bCs/>
          <w:lang w:eastAsia="en-US"/>
        </w:rPr>
        <w:lastRenderedPageBreak/>
        <w:t xml:space="preserve">saraksts un kārtība, kādā sniedzami ziņojumi par neparastiem darījumiem. </w:t>
      </w:r>
      <w:r w:rsidR="00F10559" w:rsidRPr="0077503B">
        <w:rPr>
          <w:rFonts w:asciiTheme="majorBidi" w:hAnsiTheme="majorBidi" w:cstheme="majorBidi"/>
          <w:bCs/>
          <w:lang w:eastAsia="en-US"/>
        </w:rPr>
        <w:t xml:space="preserve">Savukārt likuma 1.panta 16.punkts </w:t>
      </w:r>
      <w:r w:rsidR="00352C0E" w:rsidRPr="0077503B">
        <w:rPr>
          <w:rFonts w:asciiTheme="majorBidi" w:hAnsiTheme="majorBidi" w:cstheme="majorBidi"/>
          <w:bCs/>
          <w:lang w:eastAsia="en-US"/>
        </w:rPr>
        <w:t>noteica</w:t>
      </w:r>
      <w:r w:rsidR="00F10559" w:rsidRPr="0077503B">
        <w:rPr>
          <w:rFonts w:asciiTheme="majorBidi" w:hAnsiTheme="majorBidi" w:cstheme="majorBidi"/>
          <w:bCs/>
          <w:lang w:eastAsia="en-US"/>
        </w:rPr>
        <w:t>, ka par neparastu uzskatāms ikviens darījums, kas atbilst vismaz vienai no Ministru kabineta apstiprinātajā neparasta darījuma pazīmju sarakstā minētajām pazīmēm.</w:t>
      </w:r>
    </w:p>
    <w:p w14:paraId="77A7714D" w14:textId="6E4EE09C" w:rsidR="006A0656" w:rsidRPr="0077503B" w:rsidRDefault="006A0656"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Pamatojoties uz minēto, Ministru kabinets izdeva noteikumus Nr. 674.</w:t>
      </w:r>
      <w:r w:rsidR="00222A82" w:rsidRPr="0077503B">
        <w:rPr>
          <w:rFonts w:asciiTheme="majorBidi" w:hAnsiTheme="majorBidi" w:cstheme="majorBidi"/>
          <w:bCs/>
          <w:lang w:eastAsia="en-US"/>
        </w:rPr>
        <w:t xml:space="preserve"> Šo noteikumu 5.2.apakšpunkts </w:t>
      </w:r>
      <w:r w:rsidR="00624757" w:rsidRPr="0077503B">
        <w:rPr>
          <w:rFonts w:asciiTheme="majorBidi" w:hAnsiTheme="majorBidi" w:cstheme="majorBidi"/>
          <w:bCs/>
          <w:lang w:eastAsia="en-US"/>
        </w:rPr>
        <w:t xml:space="preserve">(turpmāk arī – strīdus norma) </w:t>
      </w:r>
      <w:r w:rsidR="00222A82" w:rsidRPr="0077503B">
        <w:rPr>
          <w:rFonts w:asciiTheme="majorBidi" w:hAnsiTheme="majorBidi" w:cstheme="majorBidi"/>
          <w:bCs/>
          <w:lang w:eastAsia="en-US"/>
        </w:rPr>
        <w:t>noteica: par neparastu darījumu attiecībā uz likuma subjektiem, kas nodarbojas ar transportlīdzekļu tirdzniecību vai starpniecību, uzskatāms klienta veiktais skaidras naudas darījums, kura apmērs ir ekvivalents 5000 </w:t>
      </w:r>
      <w:r w:rsidR="00222A82" w:rsidRPr="0077503B">
        <w:rPr>
          <w:rFonts w:asciiTheme="majorBidi" w:hAnsiTheme="majorBidi" w:cstheme="majorBidi"/>
          <w:bCs/>
          <w:i/>
          <w:iCs/>
          <w:lang w:eastAsia="en-US"/>
        </w:rPr>
        <w:t>euro</w:t>
      </w:r>
      <w:r w:rsidR="00222A82" w:rsidRPr="0077503B">
        <w:rPr>
          <w:rFonts w:asciiTheme="majorBidi" w:hAnsiTheme="majorBidi" w:cstheme="majorBidi"/>
          <w:bCs/>
          <w:lang w:eastAsia="en-US"/>
        </w:rPr>
        <w:t> vai vairāk.</w:t>
      </w:r>
    </w:p>
    <w:p w14:paraId="024BD037" w14:textId="77777777" w:rsidR="009646C9" w:rsidRPr="0077503B" w:rsidRDefault="009646C9" w:rsidP="00607CB5">
      <w:pPr>
        <w:spacing w:line="276" w:lineRule="auto"/>
        <w:ind w:firstLine="720"/>
        <w:jc w:val="both"/>
        <w:rPr>
          <w:rFonts w:asciiTheme="majorBidi" w:hAnsiTheme="majorBidi" w:cstheme="majorBidi"/>
          <w:bCs/>
          <w:lang w:eastAsia="en-US"/>
        </w:rPr>
      </w:pPr>
    </w:p>
    <w:p w14:paraId="5436AB88" w14:textId="0A03A3D1" w:rsidR="00F31BF6" w:rsidRPr="0077503B" w:rsidRDefault="009646C9"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w:t>
      </w:r>
      <w:r w:rsidR="00B82424" w:rsidRPr="0077503B">
        <w:rPr>
          <w:rFonts w:asciiTheme="majorBidi" w:hAnsiTheme="majorBidi" w:cstheme="majorBidi"/>
          <w:bCs/>
          <w:lang w:eastAsia="en-US"/>
        </w:rPr>
        <w:t>1</w:t>
      </w:r>
      <w:r w:rsidR="00345A87">
        <w:rPr>
          <w:rFonts w:asciiTheme="majorBidi" w:hAnsiTheme="majorBidi" w:cstheme="majorBidi"/>
          <w:bCs/>
          <w:lang w:eastAsia="en-US"/>
        </w:rPr>
        <w:t>0</w:t>
      </w:r>
      <w:r w:rsidRPr="0077503B">
        <w:rPr>
          <w:rFonts w:asciiTheme="majorBidi" w:hAnsiTheme="majorBidi" w:cstheme="majorBidi"/>
          <w:bCs/>
          <w:lang w:eastAsia="en-US"/>
        </w:rPr>
        <w:t xml:space="preserve">] </w:t>
      </w:r>
      <w:r w:rsidR="006F5A11" w:rsidRPr="0077503B">
        <w:rPr>
          <w:rFonts w:asciiTheme="majorBidi" w:hAnsiTheme="majorBidi" w:cstheme="majorBidi"/>
          <w:bCs/>
          <w:lang w:eastAsia="en-US"/>
        </w:rPr>
        <w:t>Apgabaltiesa atzina, ka ar skaidras naudas darījumu šī</w:t>
      </w:r>
      <w:r w:rsidR="000C6A70" w:rsidRPr="0077503B">
        <w:rPr>
          <w:rFonts w:asciiTheme="majorBidi" w:hAnsiTheme="majorBidi" w:cstheme="majorBidi"/>
          <w:bCs/>
          <w:lang w:eastAsia="en-US"/>
        </w:rPr>
        <w:t>s</w:t>
      </w:r>
      <w:r w:rsidR="006F5A11" w:rsidRPr="0077503B">
        <w:rPr>
          <w:rFonts w:asciiTheme="majorBidi" w:hAnsiTheme="majorBidi" w:cstheme="majorBidi"/>
          <w:bCs/>
          <w:lang w:eastAsia="en-US"/>
        </w:rPr>
        <w:t xml:space="preserve"> normas izpratnē saprotam</w:t>
      </w:r>
      <w:r w:rsidR="000C6A70" w:rsidRPr="0077503B">
        <w:rPr>
          <w:rFonts w:asciiTheme="majorBidi" w:hAnsiTheme="majorBidi" w:cstheme="majorBidi"/>
          <w:bCs/>
          <w:lang w:eastAsia="en-US"/>
        </w:rPr>
        <w:t>s</w:t>
      </w:r>
      <w:r w:rsidR="006F5A11" w:rsidRPr="0077503B">
        <w:rPr>
          <w:rFonts w:asciiTheme="majorBidi" w:hAnsiTheme="majorBidi" w:cstheme="majorBidi"/>
          <w:bCs/>
          <w:lang w:eastAsia="en-US"/>
        </w:rPr>
        <w:t xml:space="preserve"> tād</w:t>
      </w:r>
      <w:r w:rsidR="000C6A70" w:rsidRPr="0077503B">
        <w:rPr>
          <w:rFonts w:asciiTheme="majorBidi" w:hAnsiTheme="majorBidi" w:cstheme="majorBidi"/>
          <w:bCs/>
          <w:lang w:eastAsia="en-US"/>
        </w:rPr>
        <w:t>s</w:t>
      </w:r>
      <w:r w:rsidR="006F5A11" w:rsidRPr="0077503B">
        <w:rPr>
          <w:rFonts w:asciiTheme="majorBidi" w:hAnsiTheme="majorBidi" w:cstheme="majorBidi"/>
          <w:bCs/>
          <w:lang w:eastAsia="en-US"/>
        </w:rPr>
        <w:t xml:space="preserve"> darījum</w:t>
      </w:r>
      <w:r w:rsidR="000C6A70" w:rsidRPr="0077503B">
        <w:rPr>
          <w:rFonts w:asciiTheme="majorBidi" w:hAnsiTheme="majorBidi" w:cstheme="majorBidi"/>
          <w:bCs/>
          <w:lang w:eastAsia="en-US"/>
        </w:rPr>
        <w:t>s</w:t>
      </w:r>
      <w:r w:rsidR="006F5A11" w:rsidRPr="0077503B">
        <w:rPr>
          <w:rFonts w:asciiTheme="majorBidi" w:hAnsiTheme="majorBidi" w:cstheme="majorBidi"/>
          <w:bCs/>
          <w:lang w:eastAsia="en-US"/>
        </w:rPr>
        <w:t>, kur</w:t>
      </w:r>
      <w:r w:rsidR="000C6A70" w:rsidRPr="0077503B">
        <w:rPr>
          <w:rFonts w:asciiTheme="majorBidi" w:hAnsiTheme="majorBidi" w:cstheme="majorBidi"/>
          <w:bCs/>
          <w:lang w:eastAsia="en-US"/>
        </w:rPr>
        <w:t>ā</w:t>
      </w:r>
      <w:r w:rsidR="006F5A11" w:rsidRPr="0077503B">
        <w:rPr>
          <w:rFonts w:asciiTheme="majorBidi" w:hAnsiTheme="majorBidi" w:cstheme="majorBidi"/>
          <w:bCs/>
          <w:lang w:eastAsia="en-US"/>
        </w:rPr>
        <w:t xml:space="preserve"> likuma subjekt</w:t>
      </w:r>
      <w:r w:rsidR="000C6A70" w:rsidRPr="0077503B">
        <w:rPr>
          <w:rFonts w:asciiTheme="majorBidi" w:hAnsiTheme="majorBidi" w:cstheme="majorBidi"/>
          <w:bCs/>
          <w:lang w:eastAsia="en-US"/>
        </w:rPr>
        <w:t>a klients</w:t>
      </w:r>
      <w:r w:rsidR="006F5A11" w:rsidRPr="0077503B">
        <w:rPr>
          <w:rFonts w:asciiTheme="majorBidi" w:hAnsiTheme="majorBidi" w:cstheme="majorBidi"/>
          <w:bCs/>
          <w:lang w:eastAsia="en-US"/>
        </w:rPr>
        <w:t xml:space="preserve"> </w:t>
      </w:r>
      <w:r w:rsidR="00993AD6">
        <w:rPr>
          <w:rFonts w:asciiTheme="majorBidi" w:hAnsiTheme="majorBidi" w:cstheme="majorBidi"/>
          <w:bCs/>
          <w:lang w:eastAsia="en-US"/>
        </w:rPr>
        <w:t xml:space="preserve">maksāšanai </w:t>
      </w:r>
      <w:r w:rsidR="006F5A11" w:rsidRPr="0077503B">
        <w:rPr>
          <w:rFonts w:asciiTheme="majorBidi" w:hAnsiTheme="majorBidi" w:cstheme="majorBidi"/>
          <w:bCs/>
          <w:lang w:eastAsia="en-US"/>
        </w:rPr>
        <w:t xml:space="preserve">izmanto skaidru naudu, neatkarīgi no tā, vai skaidro naudu klients likuma subjektam </w:t>
      </w:r>
      <w:r w:rsidRPr="0077503B">
        <w:rPr>
          <w:rFonts w:asciiTheme="majorBidi" w:hAnsiTheme="majorBidi" w:cstheme="majorBidi"/>
          <w:bCs/>
          <w:lang w:eastAsia="en-US"/>
        </w:rPr>
        <w:t xml:space="preserve">nodevis tieši </w:t>
      </w:r>
      <w:r w:rsidR="006F5A11" w:rsidRPr="0077503B">
        <w:rPr>
          <w:rFonts w:asciiTheme="majorBidi" w:hAnsiTheme="majorBidi" w:cstheme="majorBidi"/>
          <w:bCs/>
          <w:lang w:eastAsia="en-US"/>
        </w:rPr>
        <w:t>„rokās” vai ar kredītiestādes starpniecību ieskait</w:t>
      </w:r>
      <w:r w:rsidRPr="0077503B">
        <w:rPr>
          <w:rFonts w:asciiTheme="majorBidi" w:hAnsiTheme="majorBidi" w:cstheme="majorBidi"/>
          <w:bCs/>
          <w:lang w:eastAsia="en-US"/>
        </w:rPr>
        <w:t>ījis</w:t>
      </w:r>
      <w:r w:rsidR="006F5A11" w:rsidRPr="0077503B">
        <w:rPr>
          <w:rFonts w:asciiTheme="majorBidi" w:hAnsiTheme="majorBidi" w:cstheme="majorBidi"/>
          <w:bCs/>
          <w:lang w:eastAsia="en-US"/>
        </w:rPr>
        <w:t xml:space="preserve"> to likuma subjekta kontā.</w:t>
      </w:r>
    </w:p>
    <w:p w14:paraId="27E51C72" w14:textId="0570C009" w:rsidR="00B265ED" w:rsidRPr="0077503B" w:rsidRDefault="00851C0E"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Senāts šo tiesas secinājumu</w:t>
      </w:r>
      <w:r w:rsidR="009646C9" w:rsidRPr="0077503B">
        <w:rPr>
          <w:rFonts w:asciiTheme="majorBidi" w:hAnsiTheme="majorBidi" w:cstheme="majorBidi"/>
          <w:bCs/>
          <w:lang w:eastAsia="en-US"/>
        </w:rPr>
        <w:t xml:space="preserve"> turpmāk norādīto apsvērumu dēļ </w:t>
      </w:r>
      <w:r w:rsidRPr="0077503B">
        <w:rPr>
          <w:rFonts w:asciiTheme="majorBidi" w:hAnsiTheme="majorBidi" w:cstheme="majorBidi"/>
          <w:bCs/>
          <w:lang w:eastAsia="en-US"/>
        </w:rPr>
        <w:t>atzīst par pareizu.</w:t>
      </w:r>
    </w:p>
    <w:p w14:paraId="399A851B" w14:textId="112BE912" w:rsidR="006F5A11" w:rsidRPr="0077503B" w:rsidRDefault="009646C9"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 xml:space="preserve">Likumdevējs Ministru kabinetam bija deleģējis noteikt to, kādus darījumus uzskata par neparastiem, proti, tādiem, par kuriem būtu nepieciešams ziņot Noziedzīgi iegūtu līdzekļu legalizācijas novēršanas dienestam. </w:t>
      </w:r>
      <w:r w:rsidR="00F31BF6" w:rsidRPr="0077503B">
        <w:rPr>
          <w:rFonts w:asciiTheme="majorBidi" w:hAnsiTheme="majorBidi" w:cstheme="majorBidi"/>
          <w:bCs/>
          <w:lang w:eastAsia="en-US"/>
        </w:rPr>
        <w:t>Noteikumu Nr. 674 anotācijā norādīts, ka neparasts darījums pēc būtības ir tāds darījums, kas, lai arī pats par sevi neizraisa aizdomas, ka notiek noziedzīgi iegūtu līdzekļu legalizācija, tomēr ir saistīts ar augstu legalizācijas risku. Tāpēc neparastu darījumu ziņošanas sistēma ir vērsta uz to, lai nodrošinātu nepieciešamo minimālo informācijas kopumu, kas kontroles dienestam ļauj operatīvi veikt noziedzīgi iegūtu līdzekļu legalizēšanas un terorisma finansēšanas novēršanas pasākumus (</w:t>
      </w:r>
      <w:r w:rsidR="000C4FC1" w:rsidRPr="000C4FC1">
        <w:rPr>
          <w:rFonts w:asciiTheme="majorBidi" w:hAnsiTheme="majorBidi" w:cstheme="majorBidi"/>
          <w:bCs/>
          <w:i/>
          <w:iCs/>
          <w:lang w:eastAsia="en-US"/>
        </w:rPr>
        <w:t>Ministru kabineta noteikumu projekta Nr. </w:t>
      </w:r>
      <w:hyperlink r:id="rId15" w:history="1">
        <w:r w:rsidR="000C4FC1" w:rsidRPr="000C4FC1">
          <w:rPr>
            <w:rStyle w:val="Hyperlink"/>
            <w:rFonts w:asciiTheme="majorBidi" w:hAnsiTheme="majorBidi" w:cstheme="majorBidi"/>
            <w:bCs/>
            <w:i/>
            <w:iCs/>
            <w:lang w:eastAsia="en-US"/>
          </w:rPr>
          <w:t>TA-2342</w:t>
        </w:r>
      </w:hyperlink>
      <w:r w:rsidR="000C4FC1" w:rsidRPr="000C4FC1">
        <w:rPr>
          <w:rFonts w:asciiTheme="majorBidi" w:hAnsiTheme="majorBidi" w:cstheme="majorBidi"/>
          <w:bCs/>
          <w:i/>
          <w:iCs/>
          <w:lang w:eastAsia="en-US"/>
        </w:rPr>
        <w:t xml:space="preserve"> „</w:t>
      </w:r>
      <w:r w:rsidR="000C4FC1" w:rsidRPr="000C4FC1">
        <w:rPr>
          <w:rFonts w:asciiTheme="majorBidi" w:hAnsiTheme="majorBidi" w:cstheme="majorBidi"/>
          <w:i/>
          <w:iCs/>
          <w:lang w:eastAsia="en-US"/>
        </w:rPr>
        <w:t>Noteikumi par neparasta darījuma pazīmju sarakstu un kārtību, kādā sniedzami ziņojumi par neparastiem vai aizdomīgiem darījumiem</w:t>
      </w:r>
      <w:r w:rsidR="000C4FC1" w:rsidRPr="000C4FC1">
        <w:rPr>
          <w:rFonts w:asciiTheme="majorBidi" w:hAnsiTheme="majorBidi" w:cstheme="majorBidi"/>
          <w:bCs/>
          <w:i/>
          <w:iCs/>
          <w:lang w:eastAsia="en-US"/>
        </w:rPr>
        <w:t>”</w:t>
      </w:r>
      <w:r w:rsidR="000C4FC1">
        <w:rPr>
          <w:rFonts w:asciiTheme="majorBidi" w:hAnsiTheme="majorBidi" w:cstheme="majorBidi"/>
          <w:bCs/>
          <w:lang w:eastAsia="en-US"/>
        </w:rPr>
        <w:t xml:space="preserve"> </w:t>
      </w:r>
      <w:hyperlink r:id="rId16" w:history="1">
        <w:r w:rsidR="00F31BF6" w:rsidRPr="000C4FC1">
          <w:rPr>
            <w:rStyle w:val="Hyperlink"/>
            <w:rFonts w:asciiTheme="majorBidi" w:hAnsiTheme="majorBidi" w:cstheme="majorBidi"/>
            <w:bCs/>
            <w:i/>
            <w:iCs/>
            <w:lang w:eastAsia="en-US"/>
          </w:rPr>
          <w:t>anotācijas</w:t>
        </w:r>
      </w:hyperlink>
      <w:r w:rsidR="00F31BF6" w:rsidRPr="0077503B">
        <w:rPr>
          <w:rFonts w:asciiTheme="majorBidi" w:hAnsiTheme="majorBidi" w:cstheme="majorBidi"/>
          <w:bCs/>
          <w:i/>
          <w:iCs/>
          <w:lang w:eastAsia="en-US"/>
        </w:rPr>
        <w:t xml:space="preserve"> 10.lapa</w:t>
      </w:r>
      <w:r w:rsidR="00F31BF6" w:rsidRPr="0077503B">
        <w:rPr>
          <w:rFonts w:asciiTheme="majorBidi" w:hAnsiTheme="majorBidi" w:cstheme="majorBidi"/>
          <w:bCs/>
          <w:lang w:eastAsia="en-US"/>
        </w:rPr>
        <w:t xml:space="preserve">). </w:t>
      </w:r>
      <w:r w:rsidR="00B265ED" w:rsidRPr="0077503B">
        <w:rPr>
          <w:rFonts w:asciiTheme="majorBidi" w:hAnsiTheme="majorBidi" w:cstheme="majorBidi"/>
          <w:bCs/>
          <w:lang w:eastAsia="en-US"/>
        </w:rPr>
        <w:t>L</w:t>
      </w:r>
      <w:r w:rsidR="00F31BF6" w:rsidRPr="0077503B">
        <w:rPr>
          <w:rFonts w:asciiTheme="majorBidi" w:hAnsiTheme="majorBidi" w:cstheme="majorBidi"/>
          <w:bCs/>
          <w:lang w:eastAsia="en-US"/>
        </w:rPr>
        <w:t>ielu naudas summu maksāšana skaidrā naudā ir ļoti riskanta saistībā ar nelikumīgi iegūtu līdzekļu legalizēšanu un teroristu finansēšanu. Tāpēc l</w:t>
      </w:r>
      <w:r w:rsidR="00F31BF6" w:rsidRPr="00F31BF6">
        <w:rPr>
          <w:rFonts w:asciiTheme="majorBidi" w:hAnsiTheme="majorBidi" w:cstheme="majorBidi"/>
          <w:bCs/>
          <w:lang w:eastAsia="en-US"/>
        </w:rPr>
        <w:t xml:space="preserve">ikuma subjektam, kas nodarbojas </w:t>
      </w:r>
      <w:r w:rsidR="00F31BF6" w:rsidRPr="0077503B">
        <w:rPr>
          <w:rFonts w:asciiTheme="majorBidi" w:hAnsiTheme="majorBidi" w:cstheme="majorBidi"/>
          <w:bCs/>
          <w:lang w:eastAsia="en-US"/>
        </w:rPr>
        <w:t xml:space="preserve">citstarp </w:t>
      </w:r>
      <w:r w:rsidR="00F31BF6" w:rsidRPr="00F31BF6">
        <w:rPr>
          <w:rFonts w:asciiTheme="majorBidi" w:hAnsiTheme="majorBidi" w:cstheme="majorBidi"/>
          <w:bCs/>
          <w:lang w:eastAsia="en-US"/>
        </w:rPr>
        <w:t xml:space="preserve">ar transportlīdzekļu tirdzniecību, ņemot vērā noziedzīgi iegūtu līdzekļu legalizācijas paaugstinātos riskus </w:t>
      </w:r>
      <w:r w:rsidR="00F31BF6" w:rsidRPr="0077503B">
        <w:rPr>
          <w:rFonts w:asciiTheme="majorBidi" w:hAnsiTheme="majorBidi" w:cstheme="majorBidi"/>
          <w:bCs/>
          <w:lang w:eastAsia="en-US"/>
        </w:rPr>
        <w:t>šajā</w:t>
      </w:r>
      <w:r w:rsidR="00F31BF6" w:rsidRPr="00F31BF6">
        <w:rPr>
          <w:rFonts w:asciiTheme="majorBidi" w:hAnsiTheme="majorBidi" w:cstheme="majorBidi"/>
          <w:bCs/>
          <w:lang w:eastAsia="en-US"/>
        </w:rPr>
        <w:t xml:space="preserve"> jomā, jāsniedz ziņojumi par darījumiem, kuru </w:t>
      </w:r>
      <w:r w:rsidR="00B265ED" w:rsidRPr="0077503B">
        <w:rPr>
          <w:rFonts w:asciiTheme="majorBidi" w:hAnsiTheme="majorBidi" w:cstheme="majorBidi"/>
          <w:bCs/>
          <w:lang w:eastAsia="en-US"/>
        </w:rPr>
        <w:t>a</w:t>
      </w:r>
      <w:r w:rsidR="00F31BF6" w:rsidRPr="00F31BF6">
        <w:rPr>
          <w:rFonts w:asciiTheme="majorBidi" w:hAnsiTheme="majorBidi" w:cstheme="majorBidi"/>
          <w:bCs/>
          <w:lang w:eastAsia="en-US"/>
        </w:rPr>
        <w:t xml:space="preserve">pmērs ir ekvivalents 5000 </w:t>
      </w:r>
      <w:r w:rsidR="00F31BF6" w:rsidRPr="00F31BF6">
        <w:rPr>
          <w:rFonts w:asciiTheme="majorBidi" w:hAnsiTheme="majorBidi" w:cstheme="majorBidi"/>
          <w:bCs/>
          <w:i/>
          <w:lang w:eastAsia="en-US"/>
        </w:rPr>
        <w:t>euro</w:t>
      </w:r>
      <w:r w:rsidR="00F31BF6" w:rsidRPr="00F31BF6">
        <w:rPr>
          <w:rFonts w:asciiTheme="majorBidi" w:hAnsiTheme="majorBidi" w:cstheme="majorBidi"/>
          <w:bCs/>
          <w:lang w:eastAsia="en-US"/>
        </w:rPr>
        <w:t xml:space="preserve"> vai vairāk</w:t>
      </w:r>
      <w:r w:rsidR="00B265ED" w:rsidRPr="0077503B">
        <w:rPr>
          <w:rFonts w:asciiTheme="majorBidi" w:hAnsiTheme="majorBidi" w:cstheme="majorBidi"/>
          <w:bCs/>
          <w:lang w:eastAsia="en-US"/>
        </w:rPr>
        <w:t xml:space="preserve"> </w:t>
      </w:r>
      <w:r w:rsidR="00F31BF6" w:rsidRPr="0077503B">
        <w:rPr>
          <w:rFonts w:asciiTheme="majorBidi" w:hAnsiTheme="majorBidi" w:cstheme="majorBidi"/>
          <w:bCs/>
          <w:lang w:eastAsia="en-US"/>
        </w:rPr>
        <w:t>(</w:t>
      </w:r>
      <w:r w:rsidR="00F31BF6" w:rsidRPr="0077503B">
        <w:rPr>
          <w:rFonts w:asciiTheme="majorBidi" w:hAnsiTheme="majorBidi" w:cstheme="majorBidi"/>
          <w:bCs/>
          <w:i/>
          <w:iCs/>
          <w:lang w:eastAsia="en-US"/>
        </w:rPr>
        <w:t>anotācijas 8.lapa</w:t>
      </w:r>
      <w:r w:rsidR="00F31BF6" w:rsidRPr="0077503B">
        <w:rPr>
          <w:rFonts w:asciiTheme="majorBidi" w:hAnsiTheme="majorBidi" w:cstheme="majorBidi"/>
          <w:bCs/>
          <w:lang w:eastAsia="en-US"/>
        </w:rPr>
        <w:t>)</w:t>
      </w:r>
      <w:r w:rsidR="00B265ED" w:rsidRPr="0077503B">
        <w:rPr>
          <w:rFonts w:asciiTheme="majorBidi" w:hAnsiTheme="majorBidi" w:cstheme="majorBidi"/>
          <w:bCs/>
          <w:lang w:eastAsia="en-US"/>
        </w:rPr>
        <w:t>.</w:t>
      </w:r>
    </w:p>
    <w:p w14:paraId="34C50B77" w14:textId="5183C900" w:rsidR="00DA3223" w:rsidRPr="0077503B" w:rsidRDefault="00B265ED"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 xml:space="preserve">Minētie anotācijā norādītie apsvērumi liecina, ka Ministru kabinets darījumus, kuros ir iesaistīta skaidra nauda, vērtē kā tādus, kuros ir augsts noziedzīgi iegūtu līdzekļu legalizācijas risks, un šā iemesla dēļ Ministru kabinets ir izvēlējies noteikt, ka likuma subjektiem ir jāziņo par darījumiem, kuros likuma subjekta klients </w:t>
      </w:r>
      <w:r w:rsidR="00B82424" w:rsidRPr="0077503B">
        <w:rPr>
          <w:rFonts w:asciiTheme="majorBidi" w:hAnsiTheme="majorBidi" w:cstheme="majorBidi"/>
          <w:bCs/>
          <w:lang w:eastAsia="en-US"/>
        </w:rPr>
        <w:t xml:space="preserve">maksāšanai </w:t>
      </w:r>
      <w:r w:rsidRPr="0077503B">
        <w:rPr>
          <w:rFonts w:asciiTheme="majorBidi" w:hAnsiTheme="majorBidi" w:cstheme="majorBidi"/>
          <w:bCs/>
          <w:lang w:eastAsia="en-US"/>
        </w:rPr>
        <w:t xml:space="preserve">izmanto skaidru naudu. </w:t>
      </w:r>
      <w:r w:rsidR="00130C91" w:rsidRPr="0077503B">
        <w:rPr>
          <w:rFonts w:asciiTheme="majorBidi" w:hAnsiTheme="majorBidi" w:cstheme="majorBidi"/>
          <w:bCs/>
          <w:lang w:eastAsia="en-US"/>
        </w:rPr>
        <w:t>Savukārt s</w:t>
      </w:r>
      <w:r w:rsidRPr="0077503B">
        <w:rPr>
          <w:rFonts w:asciiTheme="majorBidi" w:hAnsiTheme="majorBidi" w:cstheme="majorBidi"/>
          <w:bCs/>
          <w:lang w:eastAsia="en-US"/>
        </w:rPr>
        <w:t xml:space="preserve">kaidras naudas izmantošana var izpausties ne tikai tā, ka nauda tiek faktiski nodota no rokas rokā, – skaidra nauda var tikt arī izmantota, ar kredītiestādes starpniecību to ieskaitot likuma subjekta bankas kontā. </w:t>
      </w:r>
      <w:r w:rsidR="000C6A70" w:rsidRPr="0077503B">
        <w:rPr>
          <w:rFonts w:asciiTheme="majorBidi" w:hAnsiTheme="majorBidi" w:cstheme="majorBidi"/>
          <w:bCs/>
          <w:lang w:eastAsia="en-US"/>
        </w:rPr>
        <w:t>Līdz ar to, t</w:t>
      </w:r>
      <w:r w:rsidR="00130C91" w:rsidRPr="0077503B">
        <w:rPr>
          <w:rFonts w:asciiTheme="majorBidi" w:hAnsiTheme="majorBidi" w:cstheme="majorBidi"/>
          <w:bCs/>
          <w:lang w:eastAsia="en-US"/>
        </w:rPr>
        <w:t>ā kā Ministru kabinets strīdus normā nav noteicis, ka par neparastiem būtu uzskatāmi tikai tādi skaidras naudas darījumi, kuros skaidr</w:t>
      </w:r>
      <w:r w:rsidR="000C6A70" w:rsidRPr="0077503B">
        <w:rPr>
          <w:rFonts w:asciiTheme="majorBidi" w:hAnsiTheme="majorBidi" w:cstheme="majorBidi"/>
          <w:bCs/>
          <w:lang w:eastAsia="en-US"/>
        </w:rPr>
        <w:t>a</w:t>
      </w:r>
      <w:r w:rsidR="00130C91" w:rsidRPr="0077503B">
        <w:rPr>
          <w:rFonts w:asciiTheme="majorBidi" w:hAnsiTheme="majorBidi" w:cstheme="majorBidi"/>
          <w:bCs/>
          <w:lang w:eastAsia="en-US"/>
        </w:rPr>
        <w:t xml:space="preserve"> nauda tiek nodota no rokas rokā, </w:t>
      </w:r>
      <w:r w:rsidRPr="0077503B">
        <w:rPr>
          <w:rFonts w:asciiTheme="majorBidi" w:hAnsiTheme="majorBidi" w:cstheme="majorBidi"/>
          <w:bCs/>
          <w:lang w:eastAsia="en-US"/>
        </w:rPr>
        <w:t xml:space="preserve">ir pamatoti par skaidras naudas darījumiem </w:t>
      </w:r>
      <w:r w:rsidR="00130C91" w:rsidRPr="0077503B">
        <w:rPr>
          <w:rFonts w:asciiTheme="majorBidi" w:hAnsiTheme="majorBidi" w:cstheme="majorBidi"/>
          <w:bCs/>
          <w:lang w:eastAsia="en-US"/>
        </w:rPr>
        <w:t xml:space="preserve">šīs normas izpratnē </w:t>
      </w:r>
      <w:r w:rsidRPr="0077503B">
        <w:rPr>
          <w:rFonts w:asciiTheme="majorBidi" w:hAnsiTheme="majorBidi" w:cstheme="majorBidi"/>
          <w:bCs/>
          <w:lang w:eastAsia="en-US"/>
        </w:rPr>
        <w:t>uzskatīt arī tos darījumus, kuros skaidru naudu klients ieskaitījis likuma subjekta kontā.</w:t>
      </w:r>
    </w:p>
    <w:p w14:paraId="06907028" w14:textId="389B72F2" w:rsidR="00B82424" w:rsidRPr="0077503B" w:rsidRDefault="00B265ED"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Minēto papildus apstiprina arī apgabaltiesas norādīt</w:t>
      </w:r>
      <w:r w:rsidR="00DA3223" w:rsidRPr="0077503B">
        <w:rPr>
          <w:rFonts w:asciiTheme="majorBidi" w:hAnsiTheme="majorBidi" w:cstheme="majorBidi"/>
          <w:bCs/>
          <w:lang w:eastAsia="en-US"/>
        </w:rPr>
        <w:t>ā strīdus normas sistēmisk</w:t>
      </w:r>
      <w:r w:rsidR="00EB4668">
        <w:rPr>
          <w:rFonts w:asciiTheme="majorBidi" w:hAnsiTheme="majorBidi" w:cstheme="majorBidi"/>
          <w:bCs/>
          <w:lang w:eastAsia="en-US"/>
        </w:rPr>
        <w:t>ā</w:t>
      </w:r>
      <w:r w:rsidR="00DA3223" w:rsidRPr="0077503B">
        <w:rPr>
          <w:rFonts w:asciiTheme="majorBidi" w:hAnsiTheme="majorBidi" w:cstheme="majorBidi"/>
          <w:bCs/>
          <w:lang w:eastAsia="en-US"/>
        </w:rPr>
        <w:t xml:space="preserve"> interpretācija kopsakarā ar Novēršanas likuma</w:t>
      </w:r>
      <w:r w:rsidR="005243E0" w:rsidRPr="0077503B">
        <w:rPr>
          <w:rFonts w:asciiTheme="majorBidi" w:hAnsiTheme="majorBidi" w:cstheme="majorBidi"/>
          <w:bCs/>
          <w:lang w:eastAsia="en-US"/>
        </w:rPr>
        <w:t xml:space="preserve"> 3.p</w:t>
      </w:r>
      <w:r w:rsidR="00B82424" w:rsidRPr="0077503B">
        <w:rPr>
          <w:rFonts w:asciiTheme="majorBidi" w:hAnsiTheme="majorBidi" w:cstheme="majorBidi"/>
          <w:bCs/>
          <w:lang w:eastAsia="en-US"/>
        </w:rPr>
        <w:t>a</w:t>
      </w:r>
      <w:r w:rsidR="005243E0" w:rsidRPr="0077503B">
        <w:rPr>
          <w:rFonts w:asciiTheme="majorBidi" w:hAnsiTheme="majorBidi" w:cstheme="majorBidi"/>
          <w:bCs/>
          <w:lang w:eastAsia="en-US"/>
        </w:rPr>
        <w:t xml:space="preserve">nta pirmās daļas 9.punktu, kas noteic, ka transportlīdzekļu tirgotājs par likuma subjektu </w:t>
      </w:r>
      <w:r w:rsidR="00130C91" w:rsidRPr="0077503B">
        <w:rPr>
          <w:rFonts w:asciiTheme="majorBidi" w:hAnsiTheme="majorBidi" w:cstheme="majorBidi"/>
          <w:bCs/>
          <w:lang w:eastAsia="en-US"/>
        </w:rPr>
        <w:t xml:space="preserve">kļūst, ja tā saimnieciskajā darbībā maksājumi tiek veikti skaidrā naudā vai skaidru naudu par šo darījumu iemaksā </w:t>
      </w:r>
      <w:r w:rsidR="00130C91" w:rsidRPr="0077503B">
        <w:rPr>
          <w:rFonts w:asciiTheme="majorBidi" w:hAnsiTheme="majorBidi" w:cstheme="majorBidi"/>
          <w:bCs/>
          <w:lang w:eastAsia="en-US"/>
        </w:rPr>
        <w:lastRenderedPageBreak/>
        <w:t xml:space="preserve">kredītiestādē pārdevēja kontā. Šajā likuma normā likumdevējs </w:t>
      </w:r>
      <w:r w:rsidR="000C6A70" w:rsidRPr="0077503B">
        <w:rPr>
          <w:rFonts w:asciiTheme="majorBidi" w:hAnsiTheme="majorBidi" w:cstheme="majorBidi"/>
          <w:bCs/>
          <w:lang w:eastAsia="en-US"/>
        </w:rPr>
        <w:t>būtībā</w:t>
      </w:r>
      <w:r w:rsidR="00130C91" w:rsidRPr="0077503B">
        <w:rPr>
          <w:rFonts w:asciiTheme="majorBidi" w:hAnsiTheme="majorBidi" w:cstheme="majorBidi"/>
          <w:bCs/>
          <w:lang w:eastAsia="en-US"/>
        </w:rPr>
        <w:t xml:space="preserve"> uzsvēris, ka skaidras naudas izmantošana var izpausties ne tikai tā, ka pārdevējam tiek samaksāts skaidrā naudā tieši, bet arī tā, ka skaidrā nauda tiek iemaksāta pārdevēja bankas kontā, un likumdevējs abus šos skaidras naudas izmantošanas veidus ir atzinis par tādiem, kas rada pamatu pastiprinātai kontrolei.</w:t>
      </w:r>
      <w:r w:rsidR="00B82424" w:rsidRPr="0077503B">
        <w:rPr>
          <w:rFonts w:asciiTheme="majorBidi" w:hAnsiTheme="majorBidi" w:cstheme="majorBidi"/>
          <w:bCs/>
          <w:lang w:eastAsia="en-US"/>
        </w:rPr>
        <w:t xml:space="preserve"> Senāts piekrīt apgabaltiesai, ka minētais apliecina</w:t>
      </w:r>
      <w:r w:rsidR="00993AD6">
        <w:rPr>
          <w:rFonts w:asciiTheme="majorBidi" w:hAnsiTheme="majorBidi" w:cstheme="majorBidi"/>
          <w:bCs/>
          <w:lang w:eastAsia="en-US"/>
        </w:rPr>
        <w:t>:</w:t>
      </w:r>
      <w:r w:rsidR="00B82424" w:rsidRPr="0077503B">
        <w:rPr>
          <w:rFonts w:asciiTheme="majorBidi" w:hAnsiTheme="majorBidi" w:cstheme="majorBidi"/>
          <w:bCs/>
          <w:lang w:eastAsia="en-US"/>
        </w:rPr>
        <w:t xml:space="preserve"> valsts </w:t>
      </w:r>
      <w:r w:rsidR="00334711">
        <w:rPr>
          <w:rFonts w:asciiTheme="majorBidi" w:hAnsiTheme="majorBidi" w:cstheme="majorBidi"/>
          <w:bCs/>
          <w:lang w:eastAsia="en-US"/>
        </w:rPr>
        <w:t xml:space="preserve">neparastu darījumu kontekstā </w:t>
      </w:r>
      <w:r w:rsidR="00B82424" w:rsidRPr="0077503B">
        <w:rPr>
          <w:rFonts w:asciiTheme="majorBidi" w:hAnsiTheme="majorBidi" w:cstheme="majorBidi"/>
          <w:bCs/>
          <w:lang w:eastAsia="en-US"/>
        </w:rPr>
        <w:t>uz skaidras naudas darījumiem skatās plašāk, neaprobežojoties tikai ar tiem darījumiem, kuros skaidra nauda maksāta no rokas rokā.</w:t>
      </w:r>
    </w:p>
    <w:p w14:paraId="127B2B78" w14:textId="77777777" w:rsidR="00B82424" w:rsidRPr="0077503B" w:rsidRDefault="00B82424" w:rsidP="00607CB5">
      <w:pPr>
        <w:spacing w:line="276" w:lineRule="auto"/>
        <w:ind w:firstLine="720"/>
        <w:jc w:val="both"/>
        <w:rPr>
          <w:rFonts w:asciiTheme="majorBidi" w:hAnsiTheme="majorBidi" w:cstheme="majorBidi"/>
          <w:bCs/>
          <w:lang w:eastAsia="en-US"/>
        </w:rPr>
      </w:pPr>
    </w:p>
    <w:p w14:paraId="143B00B8" w14:textId="2DEFD73C" w:rsidR="009F243B" w:rsidRPr="0077503B" w:rsidRDefault="00B82424" w:rsidP="00607CB5">
      <w:pPr>
        <w:spacing w:line="276" w:lineRule="auto"/>
        <w:ind w:firstLine="720"/>
        <w:jc w:val="both"/>
        <w:rPr>
          <w:rFonts w:asciiTheme="majorBidi" w:hAnsiTheme="majorBidi" w:cstheme="majorBidi"/>
          <w:spacing w:val="3"/>
        </w:rPr>
      </w:pPr>
      <w:r w:rsidRPr="0077503B">
        <w:rPr>
          <w:rFonts w:asciiTheme="majorBidi" w:hAnsiTheme="majorBidi" w:cstheme="majorBidi"/>
          <w:bCs/>
          <w:lang w:eastAsia="en-US"/>
        </w:rPr>
        <w:t>[1</w:t>
      </w:r>
      <w:r w:rsidR="00345A87">
        <w:rPr>
          <w:rFonts w:asciiTheme="majorBidi" w:hAnsiTheme="majorBidi" w:cstheme="majorBidi"/>
          <w:bCs/>
          <w:lang w:eastAsia="en-US"/>
        </w:rPr>
        <w:t>1</w:t>
      </w:r>
      <w:r w:rsidRPr="0077503B">
        <w:rPr>
          <w:rFonts w:asciiTheme="majorBidi" w:hAnsiTheme="majorBidi" w:cstheme="majorBidi"/>
          <w:bCs/>
          <w:lang w:eastAsia="en-US"/>
        </w:rPr>
        <w:t xml:space="preserve">] Pieteicēja kasācijas sūdzībā šādai strīdus normas interpretācijai nepiekrīt, balstoties uz to, ka gadījumā, ja klients samaksu par precēm veic, skaidru naudu ar kredītiestādes starpniecību iemaksājot likuma subjekta kontā, </w:t>
      </w:r>
      <w:r w:rsidR="009F243B" w:rsidRPr="0077503B">
        <w:rPr>
          <w:rFonts w:asciiTheme="majorBidi" w:hAnsiTheme="majorBidi" w:cstheme="majorBidi"/>
          <w:bCs/>
          <w:lang w:eastAsia="en-US"/>
        </w:rPr>
        <w:t>jau kredītiestādei (kas arī ir Novēršanas likuma subjekts) esot</w:t>
      </w:r>
      <w:r w:rsidRPr="0077503B">
        <w:rPr>
          <w:rFonts w:asciiTheme="majorBidi" w:hAnsiTheme="majorBidi" w:cstheme="majorBidi"/>
          <w:bCs/>
          <w:lang w:eastAsia="en-US"/>
        </w:rPr>
        <w:t xml:space="preserve"> </w:t>
      </w:r>
      <w:r w:rsidR="009F243B" w:rsidRPr="0077503B">
        <w:rPr>
          <w:rFonts w:asciiTheme="majorBidi" w:hAnsiTheme="majorBidi" w:cstheme="majorBidi"/>
          <w:spacing w:val="3"/>
        </w:rPr>
        <w:t>pienākums pārliecināties par naudas izcelsmi. Tāpēc neesot pamata prasīt, lai arī likuma subjekts, kurš saņem ar kredītiestādes starpniecību samaksāto naudu, ziņo par attiecīgo darījumu kā par skaidras naudas darījumu.</w:t>
      </w:r>
    </w:p>
    <w:p w14:paraId="7525AF01" w14:textId="02DFD33E" w:rsidR="00222A82" w:rsidRDefault="009F243B" w:rsidP="00607CB5">
      <w:pPr>
        <w:spacing w:line="276" w:lineRule="auto"/>
        <w:ind w:firstLine="720"/>
        <w:jc w:val="both"/>
        <w:rPr>
          <w:rFonts w:asciiTheme="majorBidi" w:hAnsiTheme="majorBidi" w:cstheme="majorBidi"/>
          <w:bCs/>
          <w:lang w:eastAsia="en-US"/>
        </w:rPr>
      </w:pPr>
      <w:r w:rsidRPr="0077503B">
        <w:rPr>
          <w:rFonts w:asciiTheme="majorBidi" w:hAnsiTheme="majorBidi" w:cstheme="majorBidi"/>
          <w:spacing w:val="3"/>
        </w:rPr>
        <w:t xml:space="preserve">Tomēr šis pieteicējas arguments liecina vienīgi par to, ka, pieteicējas ieskatā, nav lietderīgi likt likuma subjektam – transportlīdzekļu tirgotājam – ziņot par skaidras naudas darījumiem, kuros iesaistītas kredītiestādes. </w:t>
      </w:r>
      <w:r w:rsidR="000C6A70" w:rsidRPr="0077503B">
        <w:rPr>
          <w:rFonts w:asciiTheme="majorBidi" w:hAnsiTheme="majorBidi" w:cstheme="majorBidi"/>
          <w:spacing w:val="3"/>
        </w:rPr>
        <w:t>Bet t</w:t>
      </w:r>
      <w:r w:rsidRPr="0077503B">
        <w:rPr>
          <w:rFonts w:asciiTheme="majorBidi" w:hAnsiTheme="majorBidi" w:cstheme="majorBidi"/>
          <w:spacing w:val="3"/>
        </w:rPr>
        <w:t>as, kādi instrumenti, tostarp kādi ziņošanas pasākumi, nepieciešami Novēršanas likuma mērķu sasniegšanai, ir likumdevēja ziņā. Tas, ka likuma subjektam likumdevēja izvēlētie instrumenti neliekas lietderīgi,</w:t>
      </w:r>
      <w:r w:rsidR="000C6A70" w:rsidRPr="0077503B">
        <w:rPr>
          <w:rFonts w:asciiTheme="majorBidi" w:hAnsiTheme="majorBidi" w:cstheme="majorBidi"/>
          <w:spacing w:val="3"/>
        </w:rPr>
        <w:t xml:space="preserve"> nevar mainīt tiesību normās paredzēto.</w:t>
      </w:r>
      <w:r w:rsidR="000C6A70" w:rsidRPr="0077503B">
        <w:rPr>
          <w:rFonts w:asciiTheme="majorBidi" w:hAnsiTheme="majorBidi" w:cstheme="majorBidi"/>
          <w:bCs/>
          <w:lang w:eastAsia="en-US"/>
        </w:rPr>
        <w:t xml:space="preserve"> Līdz ar to pieteicējas kasācijas sūdzības arguments nerada šaubas par apgabaltiesas secinājumu attiecībā uz strīd</w:t>
      </w:r>
      <w:r w:rsidR="00334711">
        <w:rPr>
          <w:rFonts w:asciiTheme="majorBidi" w:hAnsiTheme="majorBidi" w:cstheme="majorBidi"/>
          <w:bCs/>
          <w:lang w:eastAsia="en-US"/>
        </w:rPr>
        <w:t>u</w:t>
      </w:r>
      <w:r w:rsidR="000C6A70" w:rsidRPr="0077503B">
        <w:rPr>
          <w:rFonts w:asciiTheme="majorBidi" w:hAnsiTheme="majorBidi" w:cstheme="majorBidi"/>
          <w:bCs/>
          <w:lang w:eastAsia="en-US"/>
        </w:rPr>
        <w:t>s normas interpretāciju pareizību.</w:t>
      </w:r>
    </w:p>
    <w:p w14:paraId="26226802" w14:textId="77777777" w:rsidR="00615846" w:rsidRDefault="00615846" w:rsidP="00607CB5">
      <w:pPr>
        <w:spacing w:line="276" w:lineRule="auto"/>
        <w:ind w:firstLine="720"/>
        <w:jc w:val="both"/>
        <w:rPr>
          <w:rFonts w:asciiTheme="majorBidi" w:hAnsiTheme="majorBidi" w:cstheme="majorBidi"/>
          <w:bCs/>
          <w:lang w:eastAsia="en-US"/>
        </w:rPr>
      </w:pPr>
    </w:p>
    <w:p w14:paraId="508FF6E9" w14:textId="61CDCBD8" w:rsidR="00615846" w:rsidRPr="00615846" w:rsidRDefault="00615846" w:rsidP="00607CB5">
      <w:pPr>
        <w:spacing w:line="276" w:lineRule="auto"/>
        <w:jc w:val="center"/>
        <w:rPr>
          <w:rFonts w:asciiTheme="majorBidi" w:hAnsiTheme="majorBidi" w:cstheme="majorBidi"/>
          <w:b/>
          <w:lang w:eastAsia="en-US"/>
        </w:rPr>
      </w:pPr>
      <w:r w:rsidRPr="00615846">
        <w:rPr>
          <w:rFonts w:asciiTheme="majorBidi" w:hAnsiTheme="majorBidi" w:cstheme="majorBidi"/>
          <w:b/>
          <w:lang w:eastAsia="en-US"/>
        </w:rPr>
        <w:t>III</w:t>
      </w:r>
    </w:p>
    <w:p w14:paraId="77A23A77" w14:textId="77777777" w:rsidR="00EC2444" w:rsidRPr="0077503B" w:rsidRDefault="00EC2444" w:rsidP="00607CB5">
      <w:pPr>
        <w:spacing w:line="276" w:lineRule="auto"/>
        <w:ind w:firstLine="567"/>
        <w:rPr>
          <w:rFonts w:asciiTheme="majorBidi" w:hAnsiTheme="majorBidi" w:cstheme="majorBidi"/>
          <w:bCs/>
          <w:i/>
          <w:iCs/>
          <w:lang w:eastAsia="en-US"/>
        </w:rPr>
      </w:pPr>
    </w:p>
    <w:p w14:paraId="27AAFD18" w14:textId="00C4F170" w:rsidR="00EC2444" w:rsidRPr="0077503B" w:rsidRDefault="00EC2444" w:rsidP="00607CB5">
      <w:pPr>
        <w:spacing w:line="276" w:lineRule="auto"/>
        <w:ind w:firstLine="720"/>
        <w:jc w:val="both"/>
        <w:rPr>
          <w:rFonts w:asciiTheme="majorBidi" w:hAnsiTheme="majorBidi" w:cstheme="majorBidi"/>
          <w:i/>
          <w:iCs/>
          <w:lang w:eastAsia="en-US"/>
        </w:rPr>
      </w:pPr>
      <w:r w:rsidRPr="0077503B">
        <w:rPr>
          <w:rFonts w:asciiTheme="majorBidi" w:hAnsiTheme="majorBidi" w:cstheme="majorBidi"/>
          <w:bCs/>
          <w:i/>
          <w:iCs/>
        </w:rPr>
        <w:t xml:space="preserve">Par </w:t>
      </w:r>
      <w:r w:rsidRPr="0077503B">
        <w:rPr>
          <w:rFonts w:asciiTheme="majorBidi" w:hAnsiTheme="majorBidi" w:cstheme="majorBidi"/>
          <w:bCs/>
          <w:i/>
          <w:iCs/>
          <w:lang w:eastAsia="en-US"/>
        </w:rPr>
        <w:t xml:space="preserve">noteikumu Nr. 674 5.2.apakšpunkta atbilstību </w:t>
      </w:r>
      <w:r w:rsidRPr="0077503B">
        <w:rPr>
          <w:rFonts w:asciiTheme="majorBidi" w:hAnsiTheme="majorBidi" w:cstheme="majorBidi"/>
          <w:i/>
          <w:iCs/>
          <w:lang w:eastAsia="en-US"/>
        </w:rPr>
        <w:t>Novēršanas likuma 3.panta pirmās daļas 9.punktam</w:t>
      </w:r>
    </w:p>
    <w:p w14:paraId="4B7ED687" w14:textId="77777777" w:rsidR="00427037" w:rsidRPr="0077503B" w:rsidRDefault="00427037" w:rsidP="00607CB5">
      <w:pPr>
        <w:spacing w:line="276" w:lineRule="auto"/>
        <w:ind w:firstLine="720"/>
        <w:rPr>
          <w:rFonts w:asciiTheme="majorBidi" w:hAnsiTheme="majorBidi" w:cstheme="majorBidi"/>
          <w:i/>
          <w:iCs/>
          <w:lang w:eastAsia="en-US"/>
        </w:rPr>
      </w:pPr>
    </w:p>
    <w:p w14:paraId="381122D3" w14:textId="49D8B0FE" w:rsidR="00427037" w:rsidRPr="0077503B" w:rsidRDefault="00427037"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w:t>
      </w:r>
      <w:r w:rsidR="000C6A70" w:rsidRPr="0077503B">
        <w:rPr>
          <w:rFonts w:asciiTheme="majorBidi" w:hAnsiTheme="majorBidi" w:cstheme="majorBidi"/>
          <w:lang w:eastAsia="en-US"/>
        </w:rPr>
        <w:t>1</w:t>
      </w:r>
      <w:r w:rsidR="00345A87">
        <w:rPr>
          <w:rFonts w:asciiTheme="majorBidi" w:hAnsiTheme="majorBidi" w:cstheme="majorBidi"/>
          <w:lang w:eastAsia="en-US"/>
        </w:rPr>
        <w:t>2</w:t>
      </w:r>
      <w:r w:rsidRPr="0077503B">
        <w:rPr>
          <w:rFonts w:asciiTheme="majorBidi" w:hAnsiTheme="majorBidi" w:cstheme="majorBidi"/>
          <w:lang w:eastAsia="en-US"/>
        </w:rPr>
        <w:t>] Pieteicēj</w:t>
      </w:r>
      <w:r w:rsidR="000A1888" w:rsidRPr="0077503B">
        <w:rPr>
          <w:rFonts w:asciiTheme="majorBidi" w:hAnsiTheme="majorBidi" w:cstheme="majorBidi"/>
          <w:lang w:eastAsia="en-US"/>
        </w:rPr>
        <w:t>a</w:t>
      </w:r>
      <w:r w:rsidRPr="0077503B">
        <w:rPr>
          <w:rFonts w:asciiTheme="majorBidi" w:hAnsiTheme="majorBidi" w:cstheme="majorBidi"/>
          <w:lang w:eastAsia="en-US"/>
        </w:rPr>
        <w:t xml:space="preserve"> kasācijas sūdzībā argumentēj</w:t>
      </w:r>
      <w:r w:rsidR="000A1888" w:rsidRPr="0077503B">
        <w:rPr>
          <w:rFonts w:asciiTheme="majorBidi" w:hAnsiTheme="majorBidi" w:cstheme="majorBidi"/>
          <w:lang w:eastAsia="en-US"/>
        </w:rPr>
        <w:t>usi</w:t>
      </w:r>
      <w:r w:rsidRPr="0077503B">
        <w:rPr>
          <w:rFonts w:asciiTheme="majorBidi" w:hAnsiTheme="majorBidi" w:cstheme="majorBidi"/>
          <w:lang w:eastAsia="en-US"/>
        </w:rPr>
        <w:t xml:space="preserve">, ka pārkāpuma – neziņošana par neparastiem darījumiem – konstatēšanā piemērotā </w:t>
      </w:r>
      <w:r w:rsidRPr="0077503B">
        <w:rPr>
          <w:rFonts w:asciiTheme="majorBidi" w:hAnsiTheme="majorBidi" w:cstheme="majorBidi"/>
          <w:bCs/>
          <w:lang w:eastAsia="en-US"/>
        </w:rPr>
        <w:t>noteikumu Nr. 674 5.2.apakšpunkta norma</w:t>
      </w:r>
      <w:r w:rsidR="00317ED6" w:rsidRPr="0077503B">
        <w:rPr>
          <w:rFonts w:asciiTheme="majorBidi" w:hAnsiTheme="majorBidi" w:cstheme="majorBidi"/>
          <w:bCs/>
          <w:lang w:eastAsia="en-US"/>
        </w:rPr>
        <w:t xml:space="preserve">, ciktāl tā paredz pienākumu ziņot par darījumiem, </w:t>
      </w:r>
      <w:r w:rsidR="00317ED6" w:rsidRPr="0077503B">
        <w:rPr>
          <w:rFonts w:asciiTheme="majorBidi" w:hAnsiTheme="majorBidi" w:cstheme="majorBidi"/>
          <w:lang w:eastAsia="en-US"/>
        </w:rPr>
        <w:t xml:space="preserve">kas sasniedz 5000 </w:t>
      </w:r>
      <w:r w:rsidR="00317ED6" w:rsidRPr="0077503B">
        <w:rPr>
          <w:rFonts w:asciiTheme="majorBidi" w:hAnsiTheme="majorBidi" w:cstheme="majorBidi"/>
          <w:i/>
          <w:iCs/>
          <w:lang w:eastAsia="en-US"/>
        </w:rPr>
        <w:t>euro</w:t>
      </w:r>
      <w:r w:rsidR="00317ED6" w:rsidRPr="0077503B">
        <w:rPr>
          <w:rFonts w:asciiTheme="majorBidi" w:hAnsiTheme="majorBidi" w:cstheme="majorBidi"/>
          <w:lang w:eastAsia="en-US"/>
        </w:rPr>
        <w:t xml:space="preserve"> slieksni, bet nesasniedz 10 000 </w:t>
      </w:r>
      <w:r w:rsidR="00317ED6" w:rsidRPr="0077503B">
        <w:rPr>
          <w:rFonts w:asciiTheme="majorBidi" w:hAnsiTheme="majorBidi" w:cstheme="majorBidi"/>
          <w:i/>
          <w:iCs/>
          <w:lang w:eastAsia="en-US"/>
        </w:rPr>
        <w:t>euro</w:t>
      </w:r>
      <w:r w:rsidR="00317ED6" w:rsidRPr="0077503B">
        <w:rPr>
          <w:rFonts w:asciiTheme="majorBidi" w:hAnsiTheme="majorBidi" w:cstheme="majorBidi"/>
          <w:lang w:eastAsia="en-US"/>
        </w:rPr>
        <w:t>,</w:t>
      </w:r>
      <w:r w:rsidRPr="0077503B">
        <w:rPr>
          <w:rFonts w:asciiTheme="majorBidi" w:hAnsiTheme="majorBidi" w:cstheme="majorBidi"/>
          <w:bCs/>
          <w:lang w:eastAsia="en-US"/>
        </w:rPr>
        <w:t xml:space="preserve"> neatbilst augstāka juridiskā spēka normai – </w:t>
      </w:r>
      <w:r w:rsidRPr="0077503B">
        <w:rPr>
          <w:rFonts w:asciiTheme="majorBidi" w:hAnsiTheme="majorBidi" w:cstheme="majorBidi"/>
          <w:lang w:eastAsia="en-US"/>
        </w:rPr>
        <w:t>Novēršanas likuma 3.panta pirmās daļas 9.punktam. Pieteicēj</w:t>
      </w:r>
      <w:r w:rsidR="000A1888" w:rsidRPr="0077503B">
        <w:rPr>
          <w:rFonts w:asciiTheme="majorBidi" w:hAnsiTheme="majorBidi" w:cstheme="majorBidi"/>
          <w:lang w:eastAsia="en-US"/>
        </w:rPr>
        <w:t>a</w:t>
      </w:r>
      <w:r w:rsidRPr="0077503B">
        <w:rPr>
          <w:rFonts w:asciiTheme="majorBidi" w:hAnsiTheme="majorBidi" w:cstheme="majorBidi"/>
          <w:lang w:eastAsia="en-US"/>
        </w:rPr>
        <w:t xml:space="preserve"> arī norādīj</w:t>
      </w:r>
      <w:r w:rsidR="000A1888" w:rsidRPr="0077503B">
        <w:rPr>
          <w:rFonts w:asciiTheme="majorBidi" w:hAnsiTheme="majorBidi" w:cstheme="majorBidi"/>
          <w:lang w:eastAsia="en-US"/>
        </w:rPr>
        <w:t>usi</w:t>
      </w:r>
      <w:r w:rsidRPr="0077503B">
        <w:rPr>
          <w:rFonts w:asciiTheme="majorBidi" w:hAnsiTheme="majorBidi" w:cstheme="majorBidi"/>
          <w:lang w:eastAsia="en-US"/>
        </w:rPr>
        <w:t xml:space="preserve">, ka bija uz to </w:t>
      </w:r>
      <w:r w:rsidR="000A1888" w:rsidRPr="0077503B">
        <w:rPr>
          <w:rFonts w:asciiTheme="majorBidi" w:hAnsiTheme="majorBidi" w:cstheme="majorBidi"/>
          <w:lang w:eastAsia="en-US"/>
        </w:rPr>
        <w:t>vērsusi tiesas uzmanību</w:t>
      </w:r>
      <w:r w:rsidRPr="0077503B">
        <w:rPr>
          <w:rFonts w:asciiTheme="majorBidi" w:hAnsiTheme="majorBidi" w:cstheme="majorBidi"/>
          <w:lang w:eastAsia="en-US"/>
        </w:rPr>
        <w:t xml:space="preserve"> apelācijas sūdzīb</w:t>
      </w:r>
      <w:r w:rsidR="000A1888" w:rsidRPr="0077503B">
        <w:rPr>
          <w:rFonts w:asciiTheme="majorBidi" w:hAnsiTheme="majorBidi" w:cstheme="majorBidi"/>
          <w:lang w:eastAsia="en-US"/>
        </w:rPr>
        <w:t>ā</w:t>
      </w:r>
      <w:r w:rsidRPr="0077503B">
        <w:rPr>
          <w:rFonts w:asciiTheme="majorBidi" w:hAnsiTheme="majorBidi" w:cstheme="majorBidi"/>
          <w:lang w:eastAsia="en-US"/>
        </w:rPr>
        <w:t>, tomēr apgabaltiesa uz šo pieteicēja</w:t>
      </w:r>
      <w:r w:rsidR="006840D1">
        <w:rPr>
          <w:rFonts w:asciiTheme="majorBidi" w:hAnsiTheme="majorBidi" w:cstheme="majorBidi"/>
          <w:lang w:eastAsia="en-US"/>
        </w:rPr>
        <w:t>s</w:t>
      </w:r>
      <w:r w:rsidRPr="0077503B">
        <w:rPr>
          <w:rFonts w:asciiTheme="majorBidi" w:hAnsiTheme="majorBidi" w:cstheme="majorBidi"/>
          <w:lang w:eastAsia="en-US"/>
        </w:rPr>
        <w:t xml:space="preserve"> argumentu vispār nav atbildējusi.</w:t>
      </w:r>
    </w:p>
    <w:p w14:paraId="07B5176C" w14:textId="77777777" w:rsidR="00427037" w:rsidRPr="0077503B" w:rsidRDefault="00427037" w:rsidP="00607CB5">
      <w:pPr>
        <w:spacing w:line="276" w:lineRule="auto"/>
        <w:ind w:firstLine="720"/>
        <w:jc w:val="both"/>
        <w:rPr>
          <w:rFonts w:asciiTheme="majorBidi" w:hAnsiTheme="majorBidi" w:cstheme="majorBidi"/>
          <w:lang w:eastAsia="en-US"/>
        </w:rPr>
      </w:pPr>
    </w:p>
    <w:p w14:paraId="58A847F3" w14:textId="1563AF8D" w:rsidR="00537F8F" w:rsidRPr="0077503B" w:rsidRDefault="00427037"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w:t>
      </w:r>
      <w:r w:rsidR="000C6A70" w:rsidRPr="0077503B">
        <w:rPr>
          <w:rFonts w:asciiTheme="majorBidi" w:hAnsiTheme="majorBidi" w:cstheme="majorBidi"/>
          <w:lang w:eastAsia="en-US"/>
        </w:rPr>
        <w:t>1</w:t>
      </w:r>
      <w:r w:rsidR="00345A87">
        <w:rPr>
          <w:rFonts w:asciiTheme="majorBidi" w:hAnsiTheme="majorBidi" w:cstheme="majorBidi"/>
          <w:lang w:eastAsia="en-US"/>
        </w:rPr>
        <w:t>3</w:t>
      </w:r>
      <w:r w:rsidRPr="0077503B">
        <w:rPr>
          <w:rFonts w:asciiTheme="majorBidi" w:hAnsiTheme="majorBidi" w:cstheme="majorBidi"/>
          <w:lang w:eastAsia="en-US"/>
        </w:rPr>
        <w:t xml:space="preserve">] </w:t>
      </w:r>
      <w:r w:rsidR="00537F8F" w:rsidRPr="0077503B">
        <w:rPr>
          <w:rFonts w:asciiTheme="majorBidi" w:hAnsiTheme="majorBidi" w:cstheme="majorBidi"/>
          <w:lang w:eastAsia="en-US"/>
        </w:rPr>
        <w:t>Saistībā ar minēto pieteicēja</w:t>
      </w:r>
      <w:r w:rsidR="009C6734" w:rsidRPr="0077503B">
        <w:rPr>
          <w:rFonts w:asciiTheme="majorBidi" w:hAnsiTheme="majorBidi" w:cstheme="majorBidi"/>
          <w:lang w:eastAsia="en-US"/>
        </w:rPr>
        <w:t>s</w:t>
      </w:r>
      <w:r w:rsidR="00537F8F" w:rsidRPr="0077503B">
        <w:rPr>
          <w:rFonts w:asciiTheme="majorBidi" w:hAnsiTheme="majorBidi" w:cstheme="majorBidi"/>
          <w:lang w:eastAsia="en-US"/>
        </w:rPr>
        <w:t xml:space="preserve"> argument</w:t>
      </w:r>
      <w:r w:rsidR="009C6734" w:rsidRPr="0077503B">
        <w:rPr>
          <w:rFonts w:asciiTheme="majorBidi" w:hAnsiTheme="majorBidi" w:cstheme="majorBidi"/>
          <w:lang w:eastAsia="en-US"/>
        </w:rPr>
        <w:t>u</w:t>
      </w:r>
      <w:r w:rsidR="00537F8F" w:rsidRPr="0077503B">
        <w:rPr>
          <w:rFonts w:asciiTheme="majorBidi" w:hAnsiTheme="majorBidi" w:cstheme="majorBidi"/>
          <w:lang w:eastAsia="en-US"/>
        </w:rPr>
        <w:t xml:space="preserve"> Senāts konstatē, ka apgabaltiesa tiešām sprieduma motīvu daļā uz to nav ne atbildējusi, ne arī paskaidrojusi, kāpēc uzskata par pamatotu </w:t>
      </w:r>
      <w:r w:rsidR="009C6734" w:rsidRPr="0077503B">
        <w:rPr>
          <w:rFonts w:asciiTheme="majorBidi" w:hAnsiTheme="majorBidi" w:cstheme="majorBidi"/>
          <w:lang w:eastAsia="en-US"/>
        </w:rPr>
        <w:t>šo argumentu</w:t>
      </w:r>
      <w:r w:rsidR="00537F8F" w:rsidRPr="0077503B">
        <w:rPr>
          <w:rFonts w:asciiTheme="majorBidi" w:hAnsiTheme="majorBidi" w:cstheme="majorBidi"/>
          <w:lang w:eastAsia="en-US"/>
        </w:rPr>
        <w:t xml:space="preserve"> nevērtēt.</w:t>
      </w:r>
      <w:r w:rsidR="00596851" w:rsidRPr="0077503B">
        <w:rPr>
          <w:rFonts w:asciiTheme="majorBidi" w:hAnsiTheme="majorBidi" w:cstheme="majorBidi"/>
          <w:lang w:eastAsia="en-US"/>
        </w:rPr>
        <w:t xml:space="preserve"> </w:t>
      </w:r>
    </w:p>
    <w:p w14:paraId="2051D91A" w14:textId="2BDF217B" w:rsidR="00596851" w:rsidRPr="0077503B" w:rsidRDefault="00596851" w:rsidP="00607CB5">
      <w:pPr>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Senāts atzīst, ka šāda tiesas rīcība nav pareiza. </w:t>
      </w:r>
    </w:p>
    <w:p w14:paraId="31594A47" w14:textId="60B2EA8D" w:rsidR="009C6734" w:rsidRPr="0077503B" w:rsidRDefault="00596851"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Lietā piemēroto tiesību normu izvērtēšana ir tiesas pienākums. </w:t>
      </w:r>
      <w:r w:rsidR="005F5633" w:rsidRPr="0077503B">
        <w:rPr>
          <w:rFonts w:asciiTheme="majorBidi" w:hAnsiTheme="majorBidi" w:cstheme="majorBidi"/>
          <w:lang w:eastAsia="en-US"/>
        </w:rPr>
        <w:t xml:space="preserve">Tas visupirms izriet no </w:t>
      </w:r>
      <w:r w:rsidR="005F5633" w:rsidRPr="0077503B">
        <w:rPr>
          <w:rFonts w:asciiTheme="majorBidi" w:hAnsiTheme="majorBidi" w:cstheme="majorBidi"/>
        </w:rPr>
        <w:t xml:space="preserve">principa </w:t>
      </w:r>
      <w:r w:rsidR="006840D1">
        <w:rPr>
          <w:rFonts w:asciiTheme="majorBidi" w:hAnsiTheme="majorBidi" w:cstheme="majorBidi"/>
          <w:i/>
          <w:iCs/>
        </w:rPr>
        <w:t>j</w:t>
      </w:r>
      <w:r w:rsidR="005F5633" w:rsidRPr="0077503B">
        <w:rPr>
          <w:rFonts w:asciiTheme="majorBidi" w:hAnsiTheme="majorBidi" w:cstheme="majorBidi"/>
          <w:i/>
          <w:iCs/>
        </w:rPr>
        <w:t>ura novit curia</w:t>
      </w:r>
      <w:r w:rsidR="005F5633" w:rsidRPr="0077503B">
        <w:rPr>
          <w:rFonts w:asciiTheme="majorBidi" w:hAnsiTheme="majorBidi" w:cstheme="majorBidi"/>
        </w:rPr>
        <w:t xml:space="preserve"> (tiesa zina tiesības). </w:t>
      </w:r>
      <w:r w:rsidRPr="0077503B">
        <w:rPr>
          <w:rFonts w:asciiTheme="majorBidi" w:hAnsiTheme="majorBidi" w:cstheme="majorBidi"/>
          <w:lang w:eastAsia="en-US"/>
        </w:rPr>
        <w:t>T</w:t>
      </w:r>
      <w:r w:rsidR="005F5633" w:rsidRPr="0077503B">
        <w:rPr>
          <w:rFonts w:asciiTheme="majorBidi" w:hAnsiTheme="majorBidi" w:cstheme="majorBidi"/>
          <w:lang w:eastAsia="en-US"/>
        </w:rPr>
        <w:t>urklāt t</w:t>
      </w:r>
      <w:r w:rsidRPr="0077503B">
        <w:rPr>
          <w:rFonts w:asciiTheme="majorBidi" w:hAnsiTheme="majorBidi" w:cstheme="majorBidi"/>
          <w:lang w:eastAsia="en-US"/>
        </w:rPr>
        <w:t xml:space="preserve">as, vai </w:t>
      </w:r>
      <w:r w:rsidR="005F5633" w:rsidRPr="0077503B">
        <w:rPr>
          <w:rFonts w:asciiTheme="majorBidi" w:hAnsiTheme="majorBidi" w:cstheme="majorBidi"/>
          <w:lang w:eastAsia="en-US"/>
        </w:rPr>
        <w:t xml:space="preserve">pastāv šaubas, ka lietā piemērotā </w:t>
      </w:r>
      <w:r w:rsidRPr="0077503B">
        <w:rPr>
          <w:rFonts w:asciiTheme="majorBidi" w:hAnsiTheme="majorBidi" w:cstheme="majorBidi"/>
          <w:lang w:eastAsia="en-US"/>
        </w:rPr>
        <w:t>norma atbilst augstāka juridiskā spēka normai</w:t>
      </w:r>
      <w:r w:rsidR="005F5633" w:rsidRPr="0077503B">
        <w:rPr>
          <w:rFonts w:asciiTheme="majorBidi" w:hAnsiTheme="majorBidi" w:cstheme="majorBidi"/>
          <w:lang w:eastAsia="en-US"/>
        </w:rPr>
        <w:t xml:space="preserve">, tiesai </w:t>
      </w:r>
      <w:r w:rsidR="005F5633" w:rsidRPr="0077503B">
        <w:rPr>
          <w:rFonts w:asciiTheme="majorBidi" w:hAnsiTheme="majorBidi" w:cstheme="majorBidi"/>
          <w:i/>
          <w:iCs/>
          <w:lang w:eastAsia="en-US"/>
        </w:rPr>
        <w:t>ex officio</w:t>
      </w:r>
      <w:r w:rsidR="005F5633" w:rsidRPr="0077503B">
        <w:rPr>
          <w:rFonts w:asciiTheme="majorBidi" w:hAnsiTheme="majorBidi" w:cstheme="majorBidi"/>
          <w:lang w:eastAsia="en-US"/>
        </w:rPr>
        <w:t xml:space="preserve"> </w:t>
      </w:r>
      <w:r w:rsidR="007215EB" w:rsidRPr="0077503B">
        <w:rPr>
          <w:rFonts w:asciiTheme="majorBidi" w:hAnsiTheme="majorBidi" w:cstheme="majorBidi"/>
          <w:lang w:eastAsia="en-US"/>
        </w:rPr>
        <w:t xml:space="preserve">(pašai) </w:t>
      </w:r>
      <w:r w:rsidR="005F5633" w:rsidRPr="0077503B">
        <w:rPr>
          <w:rFonts w:asciiTheme="majorBidi" w:hAnsiTheme="majorBidi" w:cstheme="majorBidi"/>
          <w:lang w:eastAsia="en-US"/>
        </w:rPr>
        <w:t xml:space="preserve">ir jāapsver </w:t>
      </w:r>
      <w:r w:rsidR="00D55C14" w:rsidRPr="0077503B">
        <w:rPr>
          <w:rFonts w:asciiTheme="majorBidi" w:hAnsiTheme="majorBidi" w:cstheme="majorBidi"/>
          <w:lang w:eastAsia="en-US"/>
        </w:rPr>
        <w:t xml:space="preserve">ik </w:t>
      </w:r>
      <w:r w:rsidR="005F5633" w:rsidRPr="0077503B">
        <w:rPr>
          <w:rFonts w:asciiTheme="majorBidi" w:hAnsiTheme="majorBidi" w:cstheme="majorBidi"/>
          <w:lang w:eastAsia="en-US"/>
        </w:rPr>
        <w:t xml:space="preserve">katrā lietā (tas izriet arī no Administratīvā procesa likuma 104.panta). </w:t>
      </w:r>
      <w:r w:rsidR="000A197A" w:rsidRPr="0077503B">
        <w:rPr>
          <w:rFonts w:asciiTheme="majorBidi" w:hAnsiTheme="majorBidi" w:cstheme="majorBidi"/>
          <w:lang w:eastAsia="en-US"/>
        </w:rPr>
        <w:t xml:space="preserve">Proti, kaut arī gadījumā, ja tiesai attiecīgas šaubas nerodas, tas </w:t>
      </w:r>
      <w:r w:rsidR="009C6734" w:rsidRPr="0077503B">
        <w:rPr>
          <w:rFonts w:asciiTheme="majorBidi" w:hAnsiTheme="majorBidi" w:cstheme="majorBidi"/>
          <w:lang w:eastAsia="en-US"/>
        </w:rPr>
        <w:t xml:space="preserve">parasti </w:t>
      </w:r>
      <w:r w:rsidR="000A197A" w:rsidRPr="0077503B">
        <w:rPr>
          <w:rFonts w:asciiTheme="majorBidi" w:hAnsiTheme="majorBidi" w:cstheme="majorBidi"/>
          <w:lang w:eastAsia="en-US"/>
        </w:rPr>
        <w:t xml:space="preserve">nav īpaši jāatrunā tiesas nolēmumā, </w:t>
      </w:r>
      <w:r w:rsidR="009C6734" w:rsidRPr="0077503B">
        <w:rPr>
          <w:rFonts w:asciiTheme="majorBidi" w:hAnsiTheme="majorBidi" w:cstheme="majorBidi"/>
          <w:lang w:eastAsia="en-US"/>
        </w:rPr>
        <w:t xml:space="preserve">tiesai tas vispār ir jāapsver. </w:t>
      </w:r>
    </w:p>
    <w:p w14:paraId="648890B3" w14:textId="08F32F62" w:rsidR="00596851" w:rsidRPr="0077503B" w:rsidRDefault="00D55C14"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lastRenderedPageBreak/>
        <w:t>Līdz ar to</w:t>
      </w:r>
      <w:r w:rsidR="009C6734" w:rsidRPr="0077503B">
        <w:rPr>
          <w:rFonts w:asciiTheme="majorBidi" w:hAnsiTheme="majorBidi" w:cstheme="majorBidi"/>
          <w:lang w:eastAsia="en-US"/>
        </w:rPr>
        <w:t xml:space="preserve">, </w:t>
      </w:r>
      <w:r w:rsidR="005F5633" w:rsidRPr="0077503B">
        <w:rPr>
          <w:rFonts w:asciiTheme="majorBidi" w:hAnsiTheme="majorBidi" w:cstheme="majorBidi"/>
          <w:lang w:eastAsia="en-US"/>
        </w:rPr>
        <w:t xml:space="preserve">ja procesa dalībnieks </w:t>
      </w:r>
      <w:r w:rsidR="009C6734" w:rsidRPr="0077503B">
        <w:rPr>
          <w:rFonts w:asciiTheme="majorBidi" w:hAnsiTheme="majorBidi" w:cstheme="majorBidi"/>
          <w:lang w:eastAsia="en-US"/>
        </w:rPr>
        <w:t xml:space="preserve">konkrēti </w:t>
      </w:r>
      <w:r w:rsidR="005F5633" w:rsidRPr="0077503B">
        <w:rPr>
          <w:rFonts w:asciiTheme="majorBidi" w:hAnsiTheme="majorBidi" w:cstheme="majorBidi"/>
          <w:lang w:eastAsia="en-US"/>
        </w:rPr>
        <w:t>argumentē, kāpēc, viņa ieskatā, lietā piemērotā tiesību norma neatbilst augstāka juridisk</w:t>
      </w:r>
      <w:r w:rsidR="00EB4668">
        <w:rPr>
          <w:rFonts w:asciiTheme="majorBidi" w:hAnsiTheme="majorBidi" w:cstheme="majorBidi"/>
          <w:lang w:eastAsia="en-US"/>
        </w:rPr>
        <w:t>ā</w:t>
      </w:r>
      <w:r w:rsidR="005F5633" w:rsidRPr="0077503B">
        <w:rPr>
          <w:rFonts w:asciiTheme="majorBidi" w:hAnsiTheme="majorBidi" w:cstheme="majorBidi"/>
          <w:lang w:eastAsia="en-US"/>
        </w:rPr>
        <w:t xml:space="preserve"> spēka normai, tiesai nevajadzētu šādu argumentu ignorēt. </w:t>
      </w:r>
      <w:r w:rsidR="007215EB" w:rsidRPr="0077503B">
        <w:rPr>
          <w:rFonts w:asciiTheme="majorBidi" w:hAnsiTheme="majorBidi" w:cstheme="majorBidi"/>
          <w:lang w:eastAsia="en-US"/>
        </w:rPr>
        <w:t xml:space="preserve">Turklāt šajā ziņā nav nozīmes tam, </w:t>
      </w:r>
      <w:r w:rsidR="005D1259" w:rsidRPr="0077503B">
        <w:rPr>
          <w:rFonts w:asciiTheme="majorBidi" w:hAnsiTheme="majorBidi" w:cstheme="majorBidi"/>
          <w:lang w:eastAsia="en-US"/>
        </w:rPr>
        <w:t>vai</w:t>
      </w:r>
      <w:r w:rsidR="007215EB" w:rsidRPr="0077503B">
        <w:rPr>
          <w:rFonts w:asciiTheme="majorBidi" w:hAnsiTheme="majorBidi" w:cstheme="majorBidi"/>
          <w:lang w:eastAsia="en-US"/>
        </w:rPr>
        <w:t xml:space="preserve"> procesa dalībnieks attiecīgu argumentu izvirzījis tikai apelācijas sūdzībā, jo pienākums apsvērt lietā piemēroto tiesību normu atbilstību augstāka juridiskā spēka normām ir visu instanču tiesām. </w:t>
      </w:r>
      <w:r w:rsidR="009C6734" w:rsidRPr="0077503B">
        <w:rPr>
          <w:rFonts w:asciiTheme="majorBidi" w:hAnsiTheme="majorBidi" w:cstheme="majorBidi"/>
          <w:lang w:eastAsia="en-US"/>
        </w:rPr>
        <w:t xml:space="preserve">Lai arī procesa dalībnieka viedoklis par tiesību normas neatbilstību augstāka juridiskā spēka normai nav tiesai saistošs, ja šāds arguments ir izvirzīts, tiesai būtu uz to jāatbild, </w:t>
      </w:r>
      <w:r w:rsidR="007215EB" w:rsidRPr="0077503B">
        <w:rPr>
          <w:rFonts w:asciiTheme="majorBidi" w:hAnsiTheme="majorBidi" w:cstheme="majorBidi"/>
          <w:lang w:eastAsia="en-US"/>
        </w:rPr>
        <w:t xml:space="preserve">vismaz </w:t>
      </w:r>
      <w:r w:rsidR="009C6734" w:rsidRPr="0077503B">
        <w:rPr>
          <w:rFonts w:asciiTheme="majorBidi" w:hAnsiTheme="majorBidi" w:cstheme="majorBidi"/>
          <w:lang w:eastAsia="en-US"/>
        </w:rPr>
        <w:t>izskaidrojot, kāpēc attiecīgais arguments tiesai nerada šaubas par piemērotās tiesību normas atbilstību augstāka juridiskā spēka normām.</w:t>
      </w:r>
      <w:r w:rsidR="007215EB" w:rsidRPr="0077503B">
        <w:rPr>
          <w:rFonts w:asciiTheme="majorBidi" w:hAnsiTheme="majorBidi" w:cstheme="majorBidi"/>
          <w:lang w:eastAsia="en-US"/>
        </w:rPr>
        <w:t xml:space="preserve"> </w:t>
      </w:r>
      <w:r w:rsidRPr="0077503B">
        <w:rPr>
          <w:rFonts w:asciiTheme="majorBidi" w:hAnsiTheme="majorBidi" w:cstheme="majorBidi"/>
          <w:lang w:eastAsia="en-US"/>
        </w:rPr>
        <w:t xml:space="preserve">Pretējā gadījumā procesa dalībnieks nevar gūt pārliecību, ka tiesa attiecīgo argumentu </w:t>
      </w:r>
      <w:r w:rsidR="002A4F1A" w:rsidRPr="0077503B">
        <w:rPr>
          <w:rFonts w:asciiTheme="majorBidi" w:hAnsiTheme="majorBidi" w:cstheme="majorBidi"/>
          <w:lang w:eastAsia="en-US"/>
        </w:rPr>
        <w:t xml:space="preserve">vispār </w:t>
      </w:r>
      <w:r w:rsidRPr="0077503B">
        <w:rPr>
          <w:rFonts w:asciiTheme="majorBidi" w:hAnsiTheme="majorBidi" w:cstheme="majorBidi"/>
          <w:lang w:eastAsia="en-US"/>
        </w:rPr>
        <w:t>ir pamanījusi un saistībā ar to pārbaudījusi, vai ir pamats šaubām par normas atbilstību augstāka juridiskā spēka norm</w:t>
      </w:r>
      <w:r w:rsidR="00302019" w:rsidRPr="0077503B">
        <w:rPr>
          <w:rFonts w:asciiTheme="majorBidi" w:hAnsiTheme="majorBidi" w:cstheme="majorBidi"/>
          <w:lang w:eastAsia="en-US"/>
        </w:rPr>
        <w:t>ām</w:t>
      </w:r>
      <w:r w:rsidRPr="0077503B">
        <w:rPr>
          <w:rFonts w:asciiTheme="majorBidi" w:hAnsiTheme="majorBidi" w:cstheme="majorBidi"/>
          <w:lang w:eastAsia="en-US"/>
        </w:rPr>
        <w:t>.</w:t>
      </w:r>
    </w:p>
    <w:p w14:paraId="0D9414C1" w14:textId="77777777" w:rsidR="00B5784F" w:rsidRPr="0077503B" w:rsidRDefault="00B5784F" w:rsidP="00607CB5">
      <w:pPr>
        <w:autoSpaceDE w:val="0"/>
        <w:autoSpaceDN w:val="0"/>
        <w:adjustRightInd w:val="0"/>
        <w:spacing w:line="276" w:lineRule="auto"/>
        <w:ind w:firstLine="720"/>
        <w:jc w:val="both"/>
        <w:rPr>
          <w:rFonts w:asciiTheme="majorBidi" w:hAnsiTheme="majorBidi" w:cstheme="majorBidi"/>
          <w:lang w:eastAsia="en-US"/>
        </w:rPr>
      </w:pPr>
    </w:p>
    <w:p w14:paraId="1067F812" w14:textId="72E212DB" w:rsidR="00B5784F" w:rsidRPr="0077503B" w:rsidRDefault="00B5784F"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w:t>
      </w:r>
      <w:r w:rsidR="000C6A70" w:rsidRPr="0077503B">
        <w:rPr>
          <w:rFonts w:asciiTheme="majorBidi" w:hAnsiTheme="majorBidi" w:cstheme="majorBidi"/>
          <w:lang w:eastAsia="en-US"/>
        </w:rPr>
        <w:t>1</w:t>
      </w:r>
      <w:r w:rsidR="00345A87">
        <w:rPr>
          <w:rFonts w:asciiTheme="majorBidi" w:hAnsiTheme="majorBidi" w:cstheme="majorBidi"/>
          <w:lang w:eastAsia="en-US"/>
        </w:rPr>
        <w:t>4</w:t>
      </w:r>
      <w:r w:rsidRPr="0077503B">
        <w:rPr>
          <w:rFonts w:asciiTheme="majorBidi" w:hAnsiTheme="majorBidi" w:cstheme="majorBidi"/>
          <w:lang w:eastAsia="en-US"/>
        </w:rPr>
        <w:t xml:space="preserve">] </w:t>
      </w:r>
      <w:r w:rsidR="00272828" w:rsidRPr="0077503B">
        <w:rPr>
          <w:rFonts w:asciiTheme="majorBidi" w:hAnsiTheme="majorBidi" w:cstheme="majorBidi"/>
          <w:lang w:eastAsia="en-US"/>
        </w:rPr>
        <w:t xml:space="preserve">Vienlaikus Senāts atzīst, ka pieteicējas apsvērumi par </w:t>
      </w:r>
      <w:r w:rsidR="00272828" w:rsidRPr="0077503B">
        <w:rPr>
          <w:rFonts w:asciiTheme="majorBidi" w:hAnsiTheme="majorBidi" w:cstheme="majorBidi"/>
          <w:bCs/>
          <w:lang w:eastAsia="en-US"/>
        </w:rPr>
        <w:t xml:space="preserve">noteikumu Nr. 674 5.2.apakšpunkta neatbilstību </w:t>
      </w:r>
      <w:r w:rsidR="00272828" w:rsidRPr="0077503B">
        <w:rPr>
          <w:rFonts w:asciiTheme="majorBidi" w:hAnsiTheme="majorBidi" w:cstheme="majorBidi"/>
          <w:lang w:eastAsia="en-US"/>
        </w:rPr>
        <w:t>Novēršanas likuma 3.panta pirmās daļas 9.punktam nav pamatoti.</w:t>
      </w:r>
    </w:p>
    <w:p w14:paraId="0DBD842B" w14:textId="4ADD02C2" w:rsidR="00624757" w:rsidRPr="0077503B" w:rsidRDefault="00624757"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Novēršanas likuma 3.panta pirmās daļas 9.punkts noteic, ka likuma subjekti ir arī tās juridiskās vai fiziskās personas, kas nodarbojas ar transportlīdzekļu tirdzniecību, ja maksājumu veic skaidrā naudā vai skaidru naudu par šo darījumu iemaksā kredītiestādē pārdevēja kontā 10 000 </w:t>
      </w:r>
      <w:r w:rsidRPr="0077503B">
        <w:rPr>
          <w:rFonts w:asciiTheme="majorBidi" w:hAnsiTheme="majorBidi" w:cstheme="majorBidi"/>
          <w:i/>
          <w:iCs/>
          <w:lang w:eastAsia="en-US"/>
        </w:rPr>
        <w:t>euro</w:t>
      </w:r>
      <w:r w:rsidRPr="0077503B">
        <w:rPr>
          <w:rFonts w:asciiTheme="majorBidi" w:hAnsiTheme="majorBidi" w:cstheme="majorBidi"/>
          <w:lang w:eastAsia="en-US"/>
        </w:rPr>
        <w:t> vai lielākā apmērā vai valūtā, kas saskaņā ar grāmatvedībā izmantojamo ārvalstu valūtas kursu darījuma veikšanas dienas sākumā ir ekvivalenta 10</w:t>
      </w:r>
      <w:r w:rsidR="006840D1">
        <w:rPr>
          <w:rFonts w:asciiTheme="majorBidi" w:hAnsiTheme="majorBidi" w:cstheme="majorBidi"/>
          <w:lang w:eastAsia="en-US"/>
        </w:rPr>
        <w:t> </w:t>
      </w:r>
      <w:r w:rsidRPr="0077503B">
        <w:rPr>
          <w:rFonts w:asciiTheme="majorBidi" w:hAnsiTheme="majorBidi" w:cstheme="majorBidi"/>
          <w:lang w:eastAsia="en-US"/>
        </w:rPr>
        <w:t>000 </w:t>
      </w:r>
      <w:r w:rsidRPr="0077503B">
        <w:rPr>
          <w:rFonts w:asciiTheme="majorBidi" w:hAnsiTheme="majorBidi" w:cstheme="majorBidi"/>
          <w:i/>
          <w:iCs/>
          <w:lang w:eastAsia="en-US"/>
        </w:rPr>
        <w:t>euro</w:t>
      </w:r>
      <w:r w:rsidRPr="0077503B">
        <w:rPr>
          <w:rFonts w:asciiTheme="majorBidi" w:hAnsiTheme="majorBidi" w:cstheme="majorBidi"/>
          <w:lang w:eastAsia="en-US"/>
        </w:rPr>
        <w:t> vai pārsniedz šo summu, neatkarīgi no tā, vai šo darījumu veic kā vienu operāciju vai kā vairākas savstarpēji saistītas operācijas.</w:t>
      </w:r>
    </w:p>
    <w:p w14:paraId="1D1C896B" w14:textId="45BA890F" w:rsidR="00624757" w:rsidRPr="0077503B" w:rsidRDefault="00624757"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Pieteicēja strīdus normas neatbilstību minētajai likuma normai saskata tajā, ka likumdevējs ir noteicis, ka transportlīdzekļu tirgotājs par Novēršanas likuma subjektu kļūst, ja tā saimnieciskajā darbībā ir arī tādi darījumi, par kuriem maksājumi, izmantojot skaidru naudu, tiek veikti vismaz 10 000 </w:t>
      </w:r>
      <w:r w:rsidRPr="0077503B">
        <w:rPr>
          <w:rFonts w:asciiTheme="majorBidi" w:hAnsiTheme="majorBidi" w:cstheme="majorBidi"/>
          <w:i/>
          <w:iCs/>
          <w:lang w:eastAsia="en-US"/>
        </w:rPr>
        <w:t>euro</w:t>
      </w:r>
      <w:r w:rsidRPr="0077503B">
        <w:rPr>
          <w:rFonts w:asciiTheme="majorBidi" w:hAnsiTheme="majorBidi" w:cstheme="majorBidi"/>
          <w:lang w:eastAsia="en-US"/>
        </w:rPr>
        <w:t xml:space="preserve"> apmērā.</w:t>
      </w:r>
      <w:r w:rsidR="00FC291B" w:rsidRPr="0077503B">
        <w:rPr>
          <w:rFonts w:asciiTheme="majorBidi" w:hAnsiTheme="majorBidi" w:cstheme="majorBidi"/>
          <w:lang w:eastAsia="en-US"/>
        </w:rPr>
        <w:t xml:space="preserve"> </w:t>
      </w:r>
      <w:r w:rsidR="00317ED6" w:rsidRPr="0077503B">
        <w:rPr>
          <w:rFonts w:asciiTheme="majorBidi" w:hAnsiTheme="majorBidi" w:cstheme="majorBidi"/>
          <w:lang w:eastAsia="en-US"/>
        </w:rPr>
        <w:t xml:space="preserve">Līdz ar to pieteicēja uzskata: ja jau par likuma subjektu transportlīdzekļu tirgotājs kļūst to darījumu dēļ, kas ir vismaz 10 000 </w:t>
      </w:r>
      <w:r w:rsidR="00317ED6" w:rsidRPr="0077503B">
        <w:rPr>
          <w:rFonts w:asciiTheme="majorBidi" w:hAnsiTheme="majorBidi" w:cstheme="majorBidi"/>
          <w:i/>
          <w:iCs/>
          <w:lang w:eastAsia="en-US"/>
        </w:rPr>
        <w:t>euro</w:t>
      </w:r>
      <w:r w:rsidR="00317ED6" w:rsidRPr="0077503B">
        <w:rPr>
          <w:rFonts w:asciiTheme="majorBidi" w:hAnsiTheme="majorBidi" w:cstheme="majorBidi"/>
          <w:lang w:eastAsia="en-US"/>
        </w:rPr>
        <w:t xml:space="preserve"> apmērā, tad arī ziņošana </w:t>
      </w:r>
      <w:r w:rsidR="002A4F1A" w:rsidRPr="0077503B">
        <w:rPr>
          <w:rFonts w:asciiTheme="majorBidi" w:hAnsiTheme="majorBidi" w:cstheme="majorBidi"/>
          <w:lang w:eastAsia="en-US"/>
        </w:rPr>
        <w:t>k</w:t>
      </w:r>
      <w:r w:rsidR="00317ED6" w:rsidRPr="0077503B">
        <w:rPr>
          <w:rFonts w:asciiTheme="majorBidi" w:hAnsiTheme="majorBidi" w:cstheme="majorBidi"/>
          <w:lang w:eastAsia="en-US"/>
        </w:rPr>
        <w:t>ontroles dienestam būtu saistāma ar šāda apmēra darījumiem.</w:t>
      </w:r>
      <w:r w:rsidR="006A792C" w:rsidRPr="0077503B">
        <w:rPr>
          <w:rFonts w:asciiTheme="majorBidi" w:hAnsiTheme="majorBidi" w:cstheme="majorBidi"/>
          <w:lang w:eastAsia="en-US"/>
        </w:rPr>
        <w:t xml:space="preserve"> </w:t>
      </w:r>
    </w:p>
    <w:p w14:paraId="208D01D8" w14:textId="77777777" w:rsidR="00334711" w:rsidRDefault="006A792C" w:rsidP="00607CB5">
      <w:pPr>
        <w:autoSpaceDE w:val="0"/>
        <w:autoSpaceDN w:val="0"/>
        <w:adjustRightInd w:val="0"/>
        <w:spacing w:line="276" w:lineRule="auto"/>
        <w:ind w:firstLine="720"/>
        <w:jc w:val="both"/>
        <w:rPr>
          <w:rFonts w:asciiTheme="majorBidi" w:hAnsiTheme="majorBidi" w:cstheme="majorBidi"/>
          <w:lang w:eastAsia="en-US"/>
        </w:rPr>
      </w:pPr>
      <w:r w:rsidRPr="0077503B">
        <w:rPr>
          <w:rFonts w:asciiTheme="majorBidi" w:hAnsiTheme="majorBidi" w:cstheme="majorBidi"/>
          <w:lang w:eastAsia="en-US"/>
        </w:rPr>
        <w:t xml:space="preserve">Senāts piekrīt, ka pieteicējas domu gājienā ir sava loģika. Tomēr tas vien, ka, pieteicējas ieskatā, būtu loģiskāk, ja likuma subjektiem – transportlīdzekļu tirgotājiem – būtu jāziņo tikai par tāda apmēra darījumiem, kuru dēļ šiem tirgotājiem ir noteikts likuma subjekta statuss, nenozīmē, ka valsts nedrīkst likuma subjektam noteikto ziņošanas pienākumu attiecināt arī uz tādiem darījumiem, kas nesasniedz šo apmēru. Kā to pamatoti uzsvēris Valsts ieņēmumu dienests, Novēršanas likuma 3.panta pirmās daļas 9.punkts nenoteic </w:t>
      </w:r>
      <w:r w:rsidR="00F44B5A" w:rsidRPr="0077503B">
        <w:rPr>
          <w:rFonts w:asciiTheme="majorBidi" w:hAnsiTheme="majorBidi" w:cstheme="majorBidi"/>
          <w:lang w:eastAsia="en-US"/>
        </w:rPr>
        <w:t>ne to</w:t>
      </w:r>
      <w:r w:rsidRPr="0077503B">
        <w:rPr>
          <w:rFonts w:asciiTheme="majorBidi" w:hAnsiTheme="majorBidi" w:cstheme="majorBidi"/>
          <w:lang w:eastAsia="en-US"/>
        </w:rPr>
        <w:t>, kādi ir likuma subjekta pienākumi</w:t>
      </w:r>
      <w:r w:rsidR="00F44B5A" w:rsidRPr="0077503B">
        <w:rPr>
          <w:rFonts w:asciiTheme="majorBidi" w:hAnsiTheme="majorBidi" w:cstheme="majorBidi"/>
          <w:lang w:eastAsia="en-US"/>
        </w:rPr>
        <w:t>, ne arī to, kāda veida pienākumus likuma subjektiem var noteikt.</w:t>
      </w:r>
      <w:r w:rsidRPr="0077503B">
        <w:rPr>
          <w:rFonts w:asciiTheme="majorBidi" w:hAnsiTheme="majorBidi" w:cstheme="majorBidi"/>
          <w:lang w:eastAsia="en-US"/>
        </w:rPr>
        <w:t xml:space="preserve"> Šī norma noteic tikai kritērijus, kuriem atbilstot, persona kļūst par likuma subjektu. </w:t>
      </w:r>
    </w:p>
    <w:p w14:paraId="49625728" w14:textId="5FB792F1" w:rsidR="00DB63ED" w:rsidRPr="0077503B" w:rsidRDefault="00134CF6" w:rsidP="00607CB5">
      <w:pPr>
        <w:autoSpaceDE w:val="0"/>
        <w:autoSpaceDN w:val="0"/>
        <w:adjustRightInd w:val="0"/>
        <w:spacing w:line="276" w:lineRule="auto"/>
        <w:ind w:firstLine="720"/>
        <w:jc w:val="both"/>
        <w:rPr>
          <w:rFonts w:asciiTheme="majorBidi" w:hAnsiTheme="majorBidi" w:cstheme="majorBidi"/>
          <w:bCs/>
          <w:lang w:eastAsia="en-US"/>
        </w:rPr>
      </w:pPr>
      <w:r w:rsidRPr="0077503B">
        <w:rPr>
          <w:rFonts w:asciiTheme="majorBidi" w:hAnsiTheme="majorBidi" w:cstheme="majorBidi"/>
          <w:lang w:eastAsia="en-US"/>
        </w:rPr>
        <w:t>T</w:t>
      </w:r>
      <w:r w:rsidR="006A792C" w:rsidRPr="0077503B">
        <w:rPr>
          <w:rFonts w:asciiTheme="majorBidi" w:hAnsiTheme="majorBidi" w:cstheme="majorBidi"/>
          <w:lang w:eastAsia="en-US"/>
        </w:rPr>
        <w:t xml:space="preserve">o, kādi pienākumi nosakāmi tām personām, kuras ir likuma subjekti, likumdevējs izlemj, apsverot, kādi instrumenti ir nepieciešami, lai sasniegtu Novēršanas likuma mērķus. Tas, vai likuma subjektiem ir lietderīgi ziņot jau par tādiem skaidras naudas darījumiem, kuru apmērs </w:t>
      </w:r>
      <w:r w:rsidR="006A792C" w:rsidRPr="0077503B">
        <w:rPr>
          <w:rFonts w:asciiTheme="majorBidi" w:hAnsiTheme="majorBidi" w:cstheme="majorBidi"/>
          <w:bCs/>
          <w:lang w:eastAsia="en-US"/>
        </w:rPr>
        <w:t>ir ekvivalents 5000 </w:t>
      </w:r>
      <w:r w:rsidR="006A792C" w:rsidRPr="0077503B">
        <w:rPr>
          <w:rFonts w:asciiTheme="majorBidi" w:hAnsiTheme="majorBidi" w:cstheme="majorBidi"/>
          <w:bCs/>
          <w:i/>
          <w:iCs/>
          <w:lang w:eastAsia="en-US"/>
        </w:rPr>
        <w:t>euro</w:t>
      </w:r>
      <w:r w:rsidR="006A792C" w:rsidRPr="0077503B">
        <w:rPr>
          <w:rFonts w:asciiTheme="majorBidi" w:hAnsiTheme="majorBidi" w:cstheme="majorBidi"/>
          <w:bCs/>
          <w:lang w:eastAsia="en-US"/>
        </w:rPr>
        <w:t xml:space="preserve">, ir tiesību normu izdevēja izšķiršanās. </w:t>
      </w:r>
      <w:r w:rsidR="00F44B5A" w:rsidRPr="0077503B">
        <w:rPr>
          <w:rFonts w:asciiTheme="majorBidi" w:hAnsiTheme="majorBidi" w:cstheme="majorBidi"/>
          <w:lang w:eastAsia="en-US"/>
        </w:rPr>
        <w:t>Novēršanas likums neliedz noteikt ziņošanas pienākumu par tāda apmēra darījumiem, kas ir mazāki par to apmēru, kura dēļ konkrēta persona vispirms kļuvusi par likuma subjektu.</w:t>
      </w:r>
      <w:r w:rsidR="006A792C" w:rsidRPr="0077503B">
        <w:rPr>
          <w:rFonts w:asciiTheme="majorBidi" w:hAnsiTheme="majorBidi" w:cstheme="majorBidi"/>
          <w:bCs/>
          <w:lang w:eastAsia="en-US"/>
        </w:rPr>
        <w:t> </w:t>
      </w:r>
    </w:p>
    <w:p w14:paraId="425BA9FF" w14:textId="4A5048CE" w:rsidR="00272828" w:rsidRPr="0077503B" w:rsidRDefault="00F44B5A" w:rsidP="00607CB5">
      <w:pPr>
        <w:autoSpaceDE w:val="0"/>
        <w:autoSpaceDN w:val="0"/>
        <w:adjustRightInd w:val="0"/>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lastRenderedPageBreak/>
        <w:t>Jāpiekrīt pieteicējai, ka līdz ar to veidoj</w:t>
      </w:r>
      <w:r w:rsidR="002A4F1A" w:rsidRPr="0077503B">
        <w:rPr>
          <w:rFonts w:asciiTheme="majorBidi" w:hAnsiTheme="majorBidi" w:cstheme="majorBidi"/>
          <w:bCs/>
          <w:lang w:eastAsia="en-US"/>
        </w:rPr>
        <w:t>ā</w:t>
      </w:r>
      <w:r w:rsidRPr="0077503B">
        <w:rPr>
          <w:rFonts w:asciiTheme="majorBidi" w:hAnsiTheme="majorBidi" w:cstheme="majorBidi"/>
          <w:bCs/>
          <w:lang w:eastAsia="en-US"/>
        </w:rPr>
        <w:t>s situācija, ka tiem transportlīdzekļu tirgotājiem, k</w:t>
      </w:r>
      <w:r w:rsidR="00DB63ED" w:rsidRPr="0077503B">
        <w:rPr>
          <w:rFonts w:asciiTheme="majorBidi" w:hAnsiTheme="majorBidi" w:cstheme="majorBidi"/>
          <w:bCs/>
          <w:lang w:eastAsia="en-US"/>
        </w:rPr>
        <w:t>uri</w:t>
      </w:r>
      <w:r w:rsidRPr="0077503B">
        <w:rPr>
          <w:rFonts w:asciiTheme="majorBidi" w:hAnsiTheme="majorBidi" w:cstheme="majorBidi"/>
          <w:bCs/>
          <w:lang w:eastAsia="en-US"/>
        </w:rPr>
        <w:t xml:space="preserve"> ir likuma subjekti, </w:t>
      </w:r>
      <w:r w:rsidR="00334711">
        <w:rPr>
          <w:rFonts w:asciiTheme="majorBidi" w:hAnsiTheme="majorBidi" w:cstheme="majorBidi"/>
          <w:bCs/>
          <w:lang w:eastAsia="en-US"/>
        </w:rPr>
        <w:t>bija</w:t>
      </w:r>
      <w:r w:rsidR="00DB63ED" w:rsidRPr="0077503B">
        <w:rPr>
          <w:rFonts w:asciiTheme="majorBidi" w:hAnsiTheme="majorBidi" w:cstheme="majorBidi"/>
          <w:bCs/>
          <w:lang w:eastAsia="en-US"/>
        </w:rPr>
        <w:t xml:space="preserve"> jāziņo</w:t>
      </w:r>
      <w:r w:rsidRPr="0077503B">
        <w:rPr>
          <w:rFonts w:asciiTheme="majorBidi" w:hAnsiTheme="majorBidi" w:cstheme="majorBidi"/>
          <w:bCs/>
          <w:lang w:eastAsia="en-US"/>
        </w:rPr>
        <w:t xml:space="preserve"> arī par tiem darījumiem, kas sasniedz 5000</w:t>
      </w:r>
      <w:r w:rsidR="004521D6">
        <w:rPr>
          <w:rFonts w:asciiTheme="majorBidi" w:hAnsiTheme="majorBidi" w:cstheme="majorBidi"/>
          <w:bCs/>
          <w:lang w:eastAsia="en-US"/>
        </w:rPr>
        <w:t> </w:t>
      </w:r>
      <w:r w:rsidRPr="0077503B">
        <w:rPr>
          <w:rFonts w:asciiTheme="majorBidi" w:hAnsiTheme="majorBidi" w:cstheme="majorBidi"/>
          <w:bCs/>
          <w:i/>
          <w:iCs/>
          <w:lang w:eastAsia="en-US"/>
        </w:rPr>
        <w:t>euro</w:t>
      </w:r>
      <w:r w:rsidRPr="0077503B">
        <w:rPr>
          <w:rFonts w:asciiTheme="majorBidi" w:hAnsiTheme="majorBidi" w:cstheme="majorBidi"/>
          <w:bCs/>
          <w:lang w:eastAsia="en-US"/>
        </w:rPr>
        <w:t xml:space="preserve">, kamēr tiem </w:t>
      </w:r>
      <w:r w:rsidR="006A792C" w:rsidRPr="0077503B">
        <w:rPr>
          <w:rFonts w:asciiTheme="majorBidi" w:hAnsiTheme="majorBidi" w:cstheme="majorBidi"/>
          <w:lang w:eastAsia="en-US"/>
        </w:rPr>
        <w:t>transportlīdzekļu tirgotāji</w:t>
      </w:r>
      <w:r w:rsidRPr="0077503B">
        <w:rPr>
          <w:rFonts w:asciiTheme="majorBidi" w:hAnsiTheme="majorBidi" w:cstheme="majorBidi"/>
          <w:lang w:eastAsia="en-US"/>
        </w:rPr>
        <w:t xml:space="preserve">em, kuriem arī </w:t>
      </w:r>
      <w:r w:rsidR="00615ABF" w:rsidRPr="0077503B">
        <w:rPr>
          <w:rFonts w:asciiTheme="majorBidi" w:hAnsiTheme="majorBidi" w:cstheme="majorBidi"/>
          <w:lang w:eastAsia="en-US"/>
        </w:rPr>
        <w:t xml:space="preserve">ir </w:t>
      </w:r>
      <w:r w:rsidRPr="0077503B">
        <w:rPr>
          <w:rFonts w:asciiTheme="majorBidi" w:hAnsiTheme="majorBidi" w:cstheme="majorBidi"/>
          <w:lang w:eastAsia="en-US"/>
        </w:rPr>
        <w:t xml:space="preserve">šāda </w:t>
      </w:r>
      <w:r w:rsidR="008420C6" w:rsidRPr="0077503B">
        <w:rPr>
          <w:rFonts w:asciiTheme="majorBidi" w:hAnsiTheme="majorBidi" w:cstheme="majorBidi"/>
          <w:lang w:eastAsia="en-US"/>
        </w:rPr>
        <w:t xml:space="preserve">apmēra </w:t>
      </w:r>
      <w:r w:rsidRPr="0077503B">
        <w:rPr>
          <w:rFonts w:asciiTheme="majorBidi" w:hAnsiTheme="majorBidi" w:cstheme="majorBidi"/>
          <w:lang w:eastAsia="en-US"/>
        </w:rPr>
        <w:t xml:space="preserve">darījumi, bet kuri nav likuma subjekti, jo viņiem nav </w:t>
      </w:r>
      <w:r w:rsidR="006A792C" w:rsidRPr="0077503B">
        <w:rPr>
          <w:rFonts w:asciiTheme="majorBidi" w:hAnsiTheme="majorBidi" w:cstheme="majorBidi"/>
          <w:lang w:eastAsia="en-US"/>
        </w:rPr>
        <w:t xml:space="preserve">skaidras naudas darījumu </w:t>
      </w:r>
      <w:r w:rsidRPr="0077503B">
        <w:rPr>
          <w:rFonts w:asciiTheme="majorBidi" w:hAnsiTheme="majorBidi" w:cstheme="majorBidi"/>
          <w:lang w:eastAsia="en-US"/>
        </w:rPr>
        <w:t>Novēršanas likuma 3.panta pirmās daļas 9.punktā paredzētajā apmērā, n</w:t>
      </w:r>
      <w:r w:rsidR="00334711">
        <w:rPr>
          <w:rFonts w:asciiTheme="majorBidi" w:hAnsiTheme="majorBidi" w:cstheme="majorBidi"/>
          <w:lang w:eastAsia="en-US"/>
        </w:rPr>
        <w:t>ebija</w:t>
      </w:r>
      <w:r w:rsidRPr="0077503B">
        <w:rPr>
          <w:rFonts w:asciiTheme="majorBidi" w:hAnsiTheme="majorBidi" w:cstheme="majorBidi"/>
          <w:lang w:eastAsia="en-US"/>
        </w:rPr>
        <w:t xml:space="preserve"> jāziņo par šādiem darījumiem. Tomēr šajā sakarā pieteicējas uzmanība vēršama uz to, ka </w:t>
      </w:r>
      <w:r w:rsidR="00615ABF" w:rsidRPr="0077503B">
        <w:rPr>
          <w:rFonts w:asciiTheme="majorBidi" w:hAnsiTheme="majorBidi" w:cstheme="majorBidi"/>
          <w:lang w:eastAsia="en-US"/>
        </w:rPr>
        <w:t xml:space="preserve">tas vien, ka pienākums ziņot par noteikta apmēra darījumiem nav visaptverošs, pats par sevi nenozīmē, ka tātad tas nav pieļaujams. </w:t>
      </w:r>
      <w:r w:rsidRPr="0077503B">
        <w:rPr>
          <w:rFonts w:asciiTheme="majorBidi" w:hAnsiTheme="majorBidi" w:cstheme="majorBidi"/>
          <w:lang w:eastAsia="en-US"/>
        </w:rPr>
        <w:t xml:space="preserve">Novēršanas likuma subjektiem noteiktie pienākumi neapšaubāmi ir </w:t>
      </w:r>
      <w:r w:rsidR="00615ABF" w:rsidRPr="0077503B">
        <w:rPr>
          <w:rFonts w:asciiTheme="majorBidi" w:hAnsiTheme="majorBidi" w:cstheme="majorBidi"/>
          <w:lang w:eastAsia="en-US"/>
        </w:rPr>
        <w:t xml:space="preserve">slogs komersantam, tāpēc tas ir </w:t>
      </w:r>
      <w:r w:rsidR="00DB63ED" w:rsidRPr="0077503B">
        <w:rPr>
          <w:rFonts w:asciiTheme="majorBidi" w:hAnsiTheme="majorBidi" w:cstheme="majorBidi"/>
          <w:lang w:eastAsia="en-US"/>
        </w:rPr>
        <w:t>uzlikts</w:t>
      </w:r>
      <w:r w:rsidR="00615ABF" w:rsidRPr="0077503B">
        <w:rPr>
          <w:rFonts w:asciiTheme="majorBidi" w:hAnsiTheme="majorBidi" w:cstheme="majorBidi"/>
          <w:lang w:eastAsia="en-US"/>
        </w:rPr>
        <w:t xml:space="preserve"> nevis jebkuram komersantam, bet tiem komersantiem, kuru darbības jomā likumdevējs saskatījis visaugstākos noziedzīgi iegūtu līdzekļu legalizācijas riskus</w:t>
      </w:r>
      <w:r w:rsidR="00DB63ED" w:rsidRPr="0077503B">
        <w:rPr>
          <w:rFonts w:asciiTheme="majorBidi" w:hAnsiTheme="majorBidi" w:cstheme="majorBidi"/>
          <w:lang w:eastAsia="en-US"/>
        </w:rPr>
        <w:t xml:space="preserve"> un kuriem līdz ar to noteikts Novēršanas likuma subjekta statuss.</w:t>
      </w:r>
      <w:r w:rsidR="00615ABF" w:rsidRPr="0077503B">
        <w:rPr>
          <w:rFonts w:asciiTheme="majorBidi" w:hAnsiTheme="majorBidi" w:cstheme="majorBidi"/>
          <w:lang w:eastAsia="en-US"/>
        </w:rPr>
        <w:t xml:space="preserve"> </w:t>
      </w:r>
      <w:r w:rsidR="008420C6" w:rsidRPr="0077503B">
        <w:rPr>
          <w:rFonts w:asciiTheme="majorBidi" w:hAnsiTheme="majorBidi" w:cstheme="majorBidi"/>
          <w:lang w:eastAsia="en-US"/>
        </w:rPr>
        <w:t xml:space="preserve">Lai arī līdz ar to netiek nodrošināts, ka </w:t>
      </w:r>
      <w:r w:rsidR="008420C6" w:rsidRPr="0077503B">
        <w:rPr>
          <w:rFonts w:asciiTheme="majorBidi" w:hAnsiTheme="majorBidi" w:cstheme="majorBidi"/>
          <w:bCs/>
          <w:lang w:eastAsia="en-US"/>
        </w:rPr>
        <w:t>Noziedzīgi iegūtu līdzekļu legalizācijas novēršanas dienesta rīcībā nonāk visa informācija par skaidras naudas darījumiem, kas sasniedz 5000</w:t>
      </w:r>
      <w:r w:rsidR="000B6D2D">
        <w:rPr>
          <w:rFonts w:asciiTheme="majorBidi" w:hAnsiTheme="majorBidi" w:cstheme="majorBidi"/>
          <w:bCs/>
          <w:lang w:eastAsia="en-US"/>
        </w:rPr>
        <w:t> </w:t>
      </w:r>
      <w:r w:rsidR="008420C6" w:rsidRPr="0077503B">
        <w:rPr>
          <w:rFonts w:asciiTheme="majorBidi" w:hAnsiTheme="majorBidi" w:cstheme="majorBidi"/>
          <w:bCs/>
          <w:i/>
          <w:iCs/>
          <w:lang w:eastAsia="en-US"/>
        </w:rPr>
        <w:t>euro</w:t>
      </w:r>
      <w:r w:rsidR="008420C6" w:rsidRPr="0077503B">
        <w:rPr>
          <w:rFonts w:asciiTheme="majorBidi" w:hAnsiTheme="majorBidi" w:cstheme="majorBidi"/>
          <w:bCs/>
          <w:lang w:eastAsia="en-US"/>
        </w:rPr>
        <w:t>, informācija tiek saņemta vismaz no likuma subjektiem</w:t>
      </w:r>
      <w:r w:rsidR="00E87461" w:rsidRPr="0077503B">
        <w:rPr>
          <w:rFonts w:asciiTheme="majorBidi" w:hAnsiTheme="majorBidi" w:cstheme="majorBidi"/>
          <w:bCs/>
          <w:lang w:eastAsia="en-US"/>
        </w:rPr>
        <w:t>. Kā jau iepriekš minēts, noteikumu Nr.</w:t>
      </w:r>
      <w:r w:rsidR="00360AF9">
        <w:rPr>
          <w:rFonts w:asciiTheme="majorBidi" w:hAnsiTheme="majorBidi" w:cstheme="majorBidi"/>
          <w:bCs/>
          <w:lang w:eastAsia="en-US"/>
        </w:rPr>
        <w:t> </w:t>
      </w:r>
      <w:r w:rsidR="00E87461" w:rsidRPr="0077503B">
        <w:rPr>
          <w:rFonts w:asciiTheme="majorBidi" w:hAnsiTheme="majorBidi" w:cstheme="majorBidi"/>
          <w:bCs/>
          <w:lang w:eastAsia="en-US"/>
        </w:rPr>
        <w:t>674 anotācijā skaidrots, ka n</w:t>
      </w:r>
      <w:r w:rsidR="00E87461" w:rsidRPr="0077503B">
        <w:rPr>
          <w:rFonts w:asciiTheme="majorBidi" w:hAnsiTheme="majorBidi" w:cstheme="majorBidi"/>
        </w:rPr>
        <w:t xml:space="preserve">eparastu darījumu ziņošanas sistēma vērsta uz to, lai nodrošinātu, ka kontroles dienesta rīcībā nonāk nepieciešamais </w:t>
      </w:r>
      <w:r w:rsidR="00E87461" w:rsidRPr="0077503B">
        <w:rPr>
          <w:rFonts w:asciiTheme="majorBidi" w:hAnsiTheme="majorBidi" w:cstheme="majorBidi"/>
          <w:i/>
          <w:iCs/>
        </w:rPr>
        <w:t xml:space="preserve">minimālais </w:t>
      </w:r>
      <w:r w:rsidR="00E87461" w:rsidRPr="0077503B">
        <w:rPr>
          <w:rFonts w:asciiTheme="majorBidi" w:hAnsiTheme="majorBidi" w:cstheme="majorBidi"/>
        </w:rPr>
        <w:t>informācijas kopums, kas dienestam ļauj operatīvi veikt noziedzīgi iegūtu līdzekļu legalizēšanas un terorisma finansēšanas novēršanas pasākumus (piemēram, darījumu analīzi, informācijas un rekomendāciju sniegšanu citām institūcijām).</w:t>
      </w:r>
      <w:r w:rsidR="00E87461" w:rsidRPr="0077503B">
        <w:rPr>
          <w:rFonts w:asciiTheme="majorBidi" w:hAnsiTheme="majorBidi" w:cstheme="majorBidi"/>
          <w:bCs/>
          <w:lang w:eastAsia="en-US"/>
        </w:rPr>
        <w:t xml:space="preserve"> </w:t>
      </w:r>
    </w:p>
    <w:p w14:paraId="2C81B6EA" w14:textId="2906B008" w:rsidR="002A4F1A" w:rsidRDefault="002A4F1A" w:rsidP="00607CB5">
      <w:pPr>
        <w:autoSpaceDE w:val="0"/>
        <w:autoSpaceDN w:val="0"/>
        <w:adjustRightInd w:val="0"/>
        <w:spacing w:line="276" w:lineRule="auto"/>
        <w:ind w:firstLine="720"/>
        <w:jc w:val="both"/>
        <w:rPr>
          <w:rFonts w:asciiTheme="majorBidi" w:hAnsiTheme="majorBidi" w:cstheme="majorBidi"/>
          <w:bCs/>
          <w:lang w:eastAsia="en-US"/>
        </w:rPr>
      </w:pPr>
      <w:r w:rsidRPr="0077503B">
        <w:rPr>
          <w:rFonts w:asciiTheme="majorBidi" w:hAnsiTheme="majorBidi" w:cstheme="majorBidi"/>
          <w:bCs/>
          <w:lang w:eastAsia="en-US"/>
        </w:rPr>
        <w:t>Apkopojot minēto, Senāts secina, ka pieteicējas apsvērumi nerada šaubas par to, ka strīdus norma neatbilst augstāka juridisk</w:t>
      </w:r>
      <w:r w:rsidR="00EB4668">
        <w:rPr>
          <w:rFonts w:asciiTheme="majorBidi" w:hAnsiTheme="majorBidi" w:cstheme="majorBidi"/>
          <w:bCs/>
          <w:lang w:eastAsia="en-US"/>
        </w:rPr>
        <w:t>ā</w:t>
      </w:r>
      <w:r w:rsidRPr="0077503B">
        <w:rPr>
          <w:rFonts w:asciiTheme="majorBidi" w:hAnsiTheme="majorBidi" w:cstheme="majorBidi"/>
          <w:bCs/>
          <w:lang w:eastAsia="en-US"/>
        </w:rPr>
        <w:t xml:space="preserve"> spēka normai – Novēršanas likuma 3.panta pirmās daļas 9.punktam.</w:t>
      </w:r>
    </w:p>
    <w:p w14:paraId="641D6BC2" w14:textId="77777777" w:rsidR="00615846" w:rsidRDefault="00615846" w:rsidP="00607CB5">
      <w:pPr>
        <w:autoSpaceDE w:val="0"/>
        <w:autoSpaceDN w:val="0"/>
        <w:adjustRightInd w:val="0"/>
        <w:spacing w:line="276" w:lineRule="auto"/>
        <w:jc w:val="both"/>
        <w:rPr>
          <w:rFonts w:asciiTheme="majorBidi" w:hAnsiTheme="majorBidi" w:cstheme="majorBidi"/>
          <w:bCs/>
          <w:lang w:eastAsia="en-US"/>
        </w:rPr>
      </w:pPr>
    </w:p>
    <w:p w14:paraId="5F087F55" w14:textId="429172AD" w:rsidR="00615846" w:rsidRPr="00615846" w:rsidRDefault="00615846" w:rsidP="00607CB5">
      <w:pPr>
        <w:autoSpaceDE w:val="0"/>
        <w:autoSpaceDN w:val="0"/>
        <w:adjustRightInd w:val="0"/>
        <w:spacing w:line="276" w:lineRule="auto"/>
        <w:jc w:val="center"/>
        <w:rPr>
          <w:rFonts w:asciiTheme="majorBidi" w:hAnsiTheme="majorBidi" w:cstheme="majorBidi"/>
          <w:b/>
          <w:lang w:eastAsia="en-US"/>
        </w:rPr>
      </w:pPr>
      <w:r w:rsidRPr="00615846">
        <w:rPr>
          <w:rFonts w:asciiTheme="majorBidi" w:hAnsiTheme="majorBidi" w:cstheme="majorBidi"/>
          <w:b/>
          <w:lang w:eastAsia="en-US"/>
        </w:rPr>
        <w:t>IV</w:t>
      </w:r>
    </w:p>
    <w:p w14:paraId="6C64ADF0" w14:textId="77777777" w:rsidR="00596851" w:rsidRPr="0077503B" w:rsidRDefault="00596851" w:rsidP="00607CB5">
      <w:pPr>
        <w:spacing w:line="276" w:lineRule="auto"/>
        <w:ind w:firstLine="567"/>
        <w:jc w:val="both"/>
        <w:rPr>
          <w:rFonts w:asciiTheme="majorBidi" w:hAnsiTheme="majorBidi" w:cstheme="majorBidi"/>
          <w:lang w:eastAsia="en-US"/>
        </w:rPr>
      </w:pPr>
    </w:p>
    <w:p w14:paraId="425AEF39" w14:textId="476D5A48" w:rsidR="00134CF6" w:rsidRPr="0077503B" w:rsidRDefault="00134CF6" w:rsidP="00607CB5">
      <w:pPr>
        <w:spacing w:line="276" w:lineRule="auto"/>
        <w:ind w:firstLine="720"/>
        <w:jc w:val="both"/>
        <w:rPr>
          <w:rFonts w:asciiTheme="majorBidi" w:hAnsiTheme="majorBidi" w:cstheme="majorBidi"/>
          <w:i/>
          <w:iCs/>
        </w:rPr>
      </w:pPr>
      <w:r w:rsidRPr="0077503B">
        <w:rPr>
          <w:rFonts w:asciiTheme="majorBidi" w:hAnsiTheme="majorBidi" w:cstheme="majorBidi"/>
          <w:i/>
          <w:iCs/>
        </w:rPr>
        <w:t>Par Novēršanas likuma 7.panta pirmās daļas 8.punktā noteiktās prasības izpildi</w:t>
      </w:r>
    </w:p>
    <w:p w14:paraId="68D085C2" w14:textId="77777777" w:rsidR="00134CF6" w:rsidRPr="0077503B" w:rsidRDefault="00134CF6" w:rsidP="00607CB5">
      <w:pPr>
        <w:spacing w:line="276" w:lineRule="auto"/>
        <w:ind w:firstLine="720"/>
        <w:jc w:val="both"/>
        <w:rPr>
          <w:rFonts w:asciiTheme="majorBidi" w:hAnsiTheme="majorBidi" w:cstheme="majorBidi"/>
          <w:i/>
          <w:iCs/>
        </w:rPr>
      </w:pPr>
    </w:p>
    <w:p w14:paraId="2ED734F9" w14:textId="50CFF750" w:rsidR="00134CF6" w:rsidRPr="0077503B" w:rsidRDefault="00134CF6" w:rsidP="00607CB5">
      <w:pPr>
        <w:spacing w:line="276" w:lineRule="auto"/>
        <w:ind w:firstLine="720"/>
        <w:jc w:val="both"/>
        <w:rPr>
          <w:rFonts w:asciiTheme="majorBidi" w:hAnsiTheme="majorBidi" w:cstheme="majorBidi"/>
        </w:rPr>
      </w:pPr>
      <w:r w:rsidRPr="0077503B">
        <w:rPr>
          <w:rFonts w:asciiTheme="majorBidi" w:hAnsiTheme="majorBidi" w:cstheme="majorBidi"/>
        </w:rPr>
        <w:t>[1</w:t>
      </w:r>
      <w:r w:rsidR="00345A87">
        <w:rPr>
          <w:rFonts w:asciiTheme="majorBidi" w:hAnsiTheme="majorBidi" w:cstheme="majorBidi"/>
        </w:rPr>
        <w:t>5</w:t>
      </w:r>
      <w:r w:rsidRPr="0077503B">
        <w:rPr>
          <w:rFonts w:asciiTheme="majorBidi" w:hAnsiTheme="majorBidi" w:cstheme="majorBidi"/>
        </w:rPr>
        <w:t xml:space="preserve">] Novēršanas likuma </w:t>
      </w:r>
      <w:r w:rsidR="00C43693" w:rsidRPr="0077503B">
        <w:rPr>
          <w:rFonts w:asciiTheme="majorBidi" w:hAnsiTheme="majorBidi" w:cstheme="majorBidi"/>
        </w:rPr>
        <w:t>7.pantā noteiktas prasības likuma subjekta izveidotajai kontroles sistēmai.</w:t>
      </w:r>
      <w:r w:rsidRPr="0077503B">
        <w:rPr>
          <w:rFonts w:asciiTheme="majorBidi" w:hAnsiTheme="majorBidi" w:cstheme="majorBidi"/>
        </w:rPr>
        <w:t xml:space="preserve"> </w:t>
      </w:r>
      <w:r w:rsidR="00C43693" w:rsidRPr="0077503B">
        <w:rPr>
          <w:rFonts w:asciiTheme="majorBidi" w:hAnsiTheme="majorBidi" w:cstheme="majorBidi"/>
        </w:rPr>
        <w:t>Šā panta pirmās daļas 8.punkts noteic, ka, izveidojot iekšējās kontroles sistēmu, likuma subjekts paredz vismaz darbinieku tiesības, pienākumus un atbildību, kā arī darbinieku profesionālās kvalifikācijas un atbilstības standartus, pildot šā likuma prasības.</w:t>
      </w:r>
    </w:p>
    <w:p w14:paraId="683E033E" w14:textId="550210F7" w:rsidR="00C43693" w:rsidRPr="0077503B" w:rsidRDefault="00C43693" w:rsidP="00607CB5">
      <w:pPr>
        <w:spacing w:line="276" w:lineRule="auto"/>
        <w:ind w:firstLine="720"/>
        <w:jc w:val="both"/>
        <w:rPr>
          <w:rFonts w:asciiTheme="majorBidi" w:hAnsiTheme="majorBidi" w:cstheme="majorBidi"/>
        </w:rPr>
      </w:pPr>
      <w:r w:rsidRPr="0077503B">
        <w:rPr>
          <w:rFonts w:asciiTheme="majorBidi" w:hAnsiTheme="majorBidi" w:cstheme="majorBidi"/>
        </w:rPr>
        <w:t>Apgabaltiesa atzina par pamatotu Valsts ieņēmumu dienesta secināto, ka pieteicēja ir pieļāvusi minētās normas pārkāpumu, jo tās kontroles sistēmā nav konkrēti norādītas darbinieku tiesības, pienākumi un atbildība, kā arī darbinieku profesionālās kvalifikācijas un atbilstības standart</w:t>
      </w:r>
      <w:r w:rsidR="001937D1" w:rsidRPr="0077503B">
        <w:rPr>
          <w:rFonts w:asciiTheme="majorBidi" w:hAnsiTheme="majorBidi" w:cstheme="majorBidi"/>
        </w:rPr>
        <w:t>i</w:t>
      </w:r>
      <w:r w:rsidRPr="0077503B">
        <w:rPr>
          <w:rFonts w:asciiTheme="majorBidi" w:hAnsiTheme="majorBidi" w:cstheme="majorBidi"/>
        </w:rPr>
        <w:t xml:space="preserve">, pildot šā likuma prasības. Pieteicēja kasācijas sūdzībā argumentējusi, ka apgabaltiesa, minētā apstākļa dēļ atzīstot pieteicējas pieļautu pārkāpumu, attiecīgo normu </w:t>
      </w:r>
      <w:r w:rsidR="001937D1" w:rsidRPr="0077503B">
        <w:rPr>
          <w:rFonts w:asciiTheme="majorBidi" w:hAnsiTheme="majorBidi" w:cstheme="majorBidi"/>
        </w:rPr>
        <w:t>esot interpretējusi pārāk</w:t>
      </w:r>
      <w:r w:rsidRPr="0077503B">
        <w:rPr>
          <w:rFonts w:asciiTheme="majorBidi" w:hAnsiTheme="majorBidi" w:cstheme="majorBidi"/>
        </w:rPr>
        <w:t xml:space="preserve"> formāli. Pieteicējas ieskatā, atbilstoši minētajai normai tas, ka kontroles sistēmā nav konkrēt</w:t>
      </w:r>
      <w:r w:rsidR="001937D1" w:rsidRPr="0077503B">
        <w:rPr>
          <w:rFonts w:asciiTheme="majorBidi" w:hAnsiTheme="majorBidi" w:cstheme="majorBidi"/>
        </w:rPr>
        <w:t>i</w:t>
      </w:r>
      <w:r w:rsidRPr="0077503B">
        <w:rPr>
          <w:rFonts w:asciiTheme="majorBidi" w:hAnsiTheme="majorBidi" w:cstheme="majorBidi"/>
        </w:rPr>
        <w:t xml:space="preserve"> norādītas darbinieku tiesības, pienākumi un atbildība, nav jāvērtē kā kontroles sistēmas nepilnība, jo tas, kādas esot likuma subjektu darbinieku tiesības, pienākumi un atbildība</w:t>
      </w:r>
      <w:r w:rsidR="001937D1" w:rsidRPr="0077503B">
        <w:rPr>
          <w:rFonts w:asciiTheme="majorBidi" w:hAnsiTheme="majorBidi" w:cstheme="majorBidi"/>
        </w:rPr>
        <w:t>,</w:t>
      </w:r>
      <w:r w:rsidRPr="0077503B">
        <w:rPr>
          <w:rFonts w:asciiTheme="majorBidi" w:hAnsiTheme="majorBidi" w:cstheme="majorBidi"/>
        </w:rPr>
        <w:t xml:space="preserve"> izrietot jau no tā, ka kontroles sistēma vispār ir izveidota un tajā ir paredzētas procedūras Novēršanas likuma pienākumu pildīšanai.</w:t>
      </w:r>
    </w:p>
    <w:p w14:paraId="1BC440A9" w14:textId="75FE5988" w:rsidR="006A0F1C" w:rsidRPr="0077503B" w:rsidRDefault="00C43693" w:rsidP="00607CB5">
      <w:pPr>
        <w:spacing w:line="276" w:lineRule="auto"/>
        <w:ind w:firstLine="720"/>
        <w:jc w:val="both"/>
        <w:rPr>
          <w:rFonts w:asciiTheme="majorBidi" w:hAnsiTheme="majorBidi" w:cstheme="majorBidi"/>
        </w:rPr>
      </w:pPr>
      <w:r w:rsidRPr="0077503B">
        <w:rPr>
          <w:rFonts w:asciiTheme="majorBidi" w:hAnsiTheme="majorBidi" w:cstheme="majorBidi"/>
        </w:rPr>
        <w:t xml:space="preserve">Senāts atzīst, ka minētais pieteicējas arguments būtībā </w:t>
      </w:r>
      <w:r w:rsidR="006A0F1C" w:rsidRPr="0077503B">
        <w:rPr>
          <w:rFonts w:asciiTheme="majorBidi" w:hAnsiTheme="majorBidi" w:cstheme="majorBidi"/>
        </w:rPr>
        <w:t xml:space="preserve">norāda nevis </w:t>
      </w:r>
      <w:r w:rsidR="001937D1" w:rsidRPr="0077503B">
        <w:rPr>
          <w:rFonts w:asciiTheme="majorBidi" w:hAnsiTheme="majorBidi" w:cstheme="majorBidi"/>
        </w:rPr>
        <w:t xml:space="preserve">uz </w:t>
      </w:r>
      <w:r w:rsidR="006A0F1C" w:rsidRPr="0077503B">
        <w:rPr>
          <w:rFonts w:asciiTheme="majorBidi" w:hAnsiTheme="majorBidi" w:cstheme="majorBidi"/>
        </w:rPr>
        <w:t xml:space="preserve">to, kā būtu pareizi interpretējams Novēršanas likuma 7.panta pirmās daļas 8.punkts, bet gan </w:t>
      </w:r>
      <w:r w:rsidR="001937D1" w:rsidRPr="0077503B">
        <w:rPr>
          <w:rFonts w:asciiTheme="majorBidi" w:hAnsiTheme="majorBidi" w:cstheme="majorBidi"/>
        </w:rPr>
        <w:t xml:space="preserve">uz </w:t>
      </w:r>
      <w:r w:rsidR="006A0F1C" w:rsidRPr="0077503B">
        <w:rPr>
          <w:rFonts w:asciiTheme="majorBidi" w:hAnsiTheme="majorBidi" w:cstheme="majorBidi"/>
        </w:rPr>
        <w:t xml:space="preserve">to, ka, pieteicējas ieskatā, šī norma paredz nevajadzīgu pienākumu, jo likuma subjekta </w:t>
      </w:r>
      <w:r w:rsidR="006A0F1C" w:rsidRPr="0077503B">
        <w:rPr>
          <w:rFonts w:asciiTheme="majorBidi" w:hAnsiTheme="majorBidi" w:cstheme="majorBidi"/>
        </w:rPr>
        <w:lastRenderedPageBreak/>
        <w:t>darbinieku tiesības, pienākumi un atbildība izriet</w:t>
      </w:r>
      <w:r w:rsidR="00334711">
        <w:rPr>
          <w:rFonts w:asciiTheme="majorBidi" w:hAnsiTheme="majorBidi" w:cstheme="majorBidi"/>
        </w:rPr>
        <w:t>ot</w:t>
      </w:r>
      <w:r w:rsidR="006A0F1C" w:rsidRPr="0077503B">
        <w:rPr>
          <w:rFonts w:asciiTheme="majorBidi" w:hAnsiTheme="majorBidi" w:cstheme="majorBidi"/>
        </w:rPr>
        <w:t xml:space="preserve"> no kontroles esības kopumā un tāpēc nav nepieciešams šajā sistēmā to atsevišķi uzskaitīt. Tomēr tas vien, ka likuma subjekts kādu Novēršanas likumā paredzētu pienākumu uzskata par nelietderīgu, nevajadzīgu vai pārāk formālu, nevar būt iemesls attiecīgo likuma prasību nepildīt. Apgabaltiesa pamatoti atzinusi, ka konkrētā norma izvirza skaidru un nepārprotamu prasību, lai kontroles sistēmā būtu paredzētas vismaz darbinieku tiesības, pienākumi un atbildība, kā arī darbinieku profesionālās kvalifikācijas un atbilstības standarti, pildot šā likuma prasības. Tātad likumdevējs ir uzskatījis par vajadzīgu noteikt, ka darbinieku tiesības, pienākumi un atbildība, kā arī darbinieku profesionālās kvalifikācijas un atbilstības standarti ir norādīt</w:t>
      </w:r>
      <w:r w:rsidR="00D331C1" w:rsidRPr="0077503B">
        <w:rPr>
          <w:rFonts w:asciiTheme="majorBidi" w:hAnsiTheme="majorBidi" w:cstheme="majorBidi"/>
        </w:rPr>
        <w:t>i</w:t>
      </w:r>
      <w:r w:rsidR="006A0F1C" w:rsidRPr="0077503B">
        <w:rPr>
          <w:rFonts w:asciiTheme="majorBidi" w:hAnsiTheme="majorBidi" w:cstheme="majorBidi"/>
        </w:rPr>
        <w:t xml:space="preserve"> kontroles sistēmā, nevis tikai abstrakti izsecinām</w:t>
      </w:r>
      <w:r w:rsidR="00D331C1" w:rsidRPr="0077503B">
        <w:rPr>
          <w:rFonts w:asciiTheme="majorBidi" w:hAnsiTheme="majorBidi" w:cstheme="majorBidi"/>
        </w:rPr>
        <w:t>i</w:t>
      </w:r>
      <w:r w:rsidR="006A0F1C" w:rsidRPr="0077503B">
        <w:rPr>
          <w:rFonts w:asciiTheme="majorBidi" w:hAnsiTheme="majorBidi" w:cstheme="majorBidi"/>
        </w:rPr>
        <w:t xml:space="preserve"> no tā, kas kontroles sistēmā </w:t>
      </w:r>
      <w:r w:rsidR="001937D1" w:rsidRPr="0077503B">
        <w:rPr>
          <w:rFonts w:asciiTheme="majorBidi" w:hAnsiTheme="majorBidi" w:cstheme="majorBidi"/>
        </w:rPr>
        <w:t>noteikts</w:t>
      </w:r>
      <w:r w:rsidR="006A0F1C" w:rsidRPr="0077503B">
        <w:rPr>
          <w:rFonts w:asciiTheme="majorBidi" w:hAnsiTheme="majorBidi" w:cstheme="majorBidi"/>
        </w:rPr>
        <w:t xml:space="preserve"> atbilstoši citām Novēršanas likuma 7.panta pirmās daļas normām.</w:t>
      </w:r>
    </w:p>
    <w:p w14:paraId="0C2E8023" w14:textId="175B2BCA" w:rsidR="001937D1" w:rsidRPr="0077503B" w:rsidRDefault="006A0F1C" w:rsidP="00607CB5">
      <w:pPr>
        <w:spacing w:line="276" w:lineRule="auto"/>
        <w:ind w:firstLine="720"/>
        <w:jc w:val="both"/>
        <w:rPr>
          <w:rFonts w:asciiTheme="majorBidi" w:hAnsiTheme="majorBidi" w:cstheme="majorBidi"/>
          <w:shd w:val="clear" w:color="auto" w:fill="FFFFFF"/>
        </w:rPr>
      </w:pPr>
      <w:r w:rsidRPr="0077503B">
        <w:rPr>
          <w:rFonts w:asciiTheme="majorBidi" w:hAnsiTheme="majorBidi" w:cstheme="majorBidi"/>
        </w:rPr>
        <w:t>Pieteicēja kasācijas sūdzībā norādījusi, ka apgabaltiesai, pārbaudot</w:t>
      </w:r>
      <w:r w:rsidR="001937D1" w:rsidRPr="0077503B">
        <w:rPr>
          <w:rFonts w:asciiTheme="majorBidi" w:hAnsiTheme="majorBidi" w:cstheme="majorBidi"/>
        </w:rPr>
        <w:t xml:space="preserve"> Valsts ieņēmumu dienesta secinājumu par pieteicējas pieļautu Novēršanas likuma 7.panta pirmās daļas 8.punkta pārkāpumu, </w:t>
      </w:r>
      <w:r w:rsidR="001937D1" w:rsidRPr="0077503B">
        <w:rPr>
          <w:rFonts w:asciiTheme="majorBidi" w:hAnsiTheme="majorBidi" w:cstheme="majorBidi"/>
          <w:shd w:val="clear" w:color="auto" w:fill="FFFFFF"/>
        </w:rPr>
        <w:t xml:space="preserve">vajadzēja vērtēt </w:t>
      </w:r>
      <w:r w:rsidR="00885DAE" w:rsidRPr="0077503B">
        <w:rPr>
          <w:rFonts w:asciiTheme="majorBidi" w:hAnsiTheme="majorBidi" w:cstheme="majorBidi"/>
          <w:shd w:val="clear" w:color="auto" w:fill="FFFFFF"/>
        </w:rPr>
        <w:t xml:space="preserve">nevis tikai pieteicējas kontroles sistēmas 8.punktu, bet </w:t>
      </w:r>
      <w:r w:rsidR="001937D1" w:rsidRPr="0077503B">
        <w:rPr>
          <w:rFonts w:asciiTheme="majorBidi" w:hAnsiTheme="majorBidi" w:cstheme="majorBidi"/>
          <w:shd w:val="clear" w:color="auto" w:fill="FFFFFF"/>
        </w:rPr>
        <w:t>visu pieteicējas kontroles sistēmu kopumā, jo tad tiesa varētu secināt, ka no šīs sistēmas izriet darbinieku tiesības un pienākumi. Tomēr pieteicēja kasācijas sūdzībā nav identificējusi, kur tieši pieteicējas kontroles sistēmas dokumentu kopumā ir norādītas pieteicējas darbinieku tiesības, pienākumi un atbildība, ko apgabaltiesa nepamatoti nav ņēmusi vērā. Līdz ar to šāds vispārīgs apgalvojums nevar liecināt par apgabaltiesas pieļautu tiesību normu pārkāpumu.</w:t>
      </w:r>
    </w:p>
    <w:p w14:paraId="0184E0CE" w14:textId="77777777" w:rsidR="00885DAE" w:rsidRPr="0077503B" w:rsidRDefault="00885DAE" w:rsidP="00607CB5">
      <w:pPr>
        <w:spacing w:line="276" w:lineRule="auto"/>
        <w:ind w:firstLine="720"/>
        <w:jc w:val="both"/>
        <w:rPr>
          <w:rFonts w:asciiTheme="majorBidi" w:hAnsiTheme="majorBidi" w:cstheme="majorBidi"/>
          <w:shd w:val="clear" w:color="auto" w:fill="FFFFFF"/>
        </w:rPr>
      </w:pPr>
    </w:p>
    <w:p w14:paraId="3A99F554" w14:textId="600CC219" w:rsidR="00615846" w:rsidRPr="001454CE" w:rsidRDefault="00885DAE" w:rsidP="00607CB5">
      <w:pPr>
        <w:spacing w:line="276" w:lineRule="auto"/>
        <w:ind w:firstLine="720"/>
        <w:jc w:val="both"/>
        <w:rPr>
          <w:rFonts w:asciiTheme="majorBidi" w:hAnsiTheme="majorBidi" w:cstheme="majorBidi"/>
        </w:rPr>
      </w:pPr>
      <w:r w:rsidRPr="0077503B">
        <w:rPr>
          <w:rFonts w:asciiTheme="majorBidi" w:hAnsiTheme="majorBidi" w:cstheme="majorBidi"/>
          <w:shd w:val="clear" w:color="auto" w:fill="FFFFFF"/>
        </w:rPr>
        <w:t>[1</w:t>
      </w:r>
      <w:r w:rsidR="00345A87">
        <w:rPr>
          <w:rFonts w:asciiTheme="majorBidi" w:hAnsiTheme="majorBidi" w:cstheme="majorBidi"/>
          <w:shd w:val="clear" w:color="auto" w:fill="FFFFFF"/>
        </w:rPr>
        <w:t>6</w:t>
      </w:r>
      <w:r w:rsidRPr="0077503B">
        <w:rPr>
          <w:rFonts w:asciiTheme="majorBidi" w:hAnsiTheme="majorBidi" w:cstheme="majorBidi"/>
          <w:shd w:val="clear" w:color="auto" w:fill="FFFFFF"/>
        </w:rPr>
        <w:t>] Pieteicēja kasācijas sūdzībā arī iebildusi</w:t>
      </w:r>
      <w:r w:rsidR="009D12DA">
        <w:rPr>
          <w:rFonts w:asciiTheme="majorBidi" w:hAnsiTheme="majorBidi" w:cstheme="majorBidi"/>
          <w:shd w:val="clear" w:color="auto" w:fill="FFFFFF"/>
        </w:rPr>
        <w:t xml:space="preserve"> pret</w:t>
      </w:r>
      <w:r w:rsidRPr="0077503B">
        <w:rPr>
          <w:rFonts w:asciiTheme="majorBidi" w:hAnsiTheme="majorBidi" w:cstheme="majorBidi"/>
          <w:shd w:val="clear" w:color="auto" w:fill="FFFFFF"/>
        </w:rPr>
        <w:t xml:space="preserve"> apgabaltiesa</w:t>
      </w:r>
      <w:r w:rsidR="000B6D2D">
        <w:rPr>
          <w:rFonts w:asciiTheme="majorBidi" w:hAnsiTheme="majorBidi" w:cstheme="majorBidi"/>
          <w:shd w:val="clear" w:color="auto" w:fill="FFFFFF"/>
        </w:rPr>
        <w:t>s</w:t>
      </w:r>
      <w:r w:rsidRPr="0077503B">
        <w:rPr>
          <w:rFonts w:asciiTheme="majorBidi" w:hAnsiTheme="majorBidi" w:cstheme="majorBidi"/>
          <w:shd w:val="clear" w:color="auto" w:fill="FFFFFF"/>
        </w:rPr>
        <w:t xml:space="preserve"> norād</w:t>
      </w:r>
      <w:r w:rsidR="009D12DA">
        <w:rPr>
          <w:rFonts w:asciiTheme="majorBidi" w:hAnsiTheme="majorBidi" w:cstheme="majorBidi"/>
          <w:shd w:val="clear" w:color="auto" w:fill="FFFFFF"/>
        </w:rPr>
        <w:t>i uz to</w:t>
      </w:r>
      <w:r w:rsidRPr="0077503B">
        <w:rPr>
          <w:rFonts w:asciiTheme="majorBidi" w:hAnsiTheme="majorBidi" w:cstheme="majorBidi"/>
          <w:shd w:val="clear" w:color="auto" w:fill="FFFFFF"/>
        </w:rPr>
        <w:t xml:space="preserve">, ka prasība, lai kontroles sistēmā būtu norādītas arī likuma subjekta darbinieku tiesības, pienākumi un atbildība, </w:t>
      </w:r>
      <w:r w:rsidR="009D12DA">
        <w:rPr>
          <w:rFonts w:asciiTheme="majorBidi" w:hAnsiTheme="majorBidi" w:cstheme="majorBidi"/>
          <w:shd w:val="clear" w:color="auto" w:fill="FFFFFF"/>
        </w:rPr>
        <w:t xml:space="preserve">esot </w:t>
      </w:r>
      <w:r w:rsidRPr="0077503B">
        <w:rPr>
          <w:rFonts w:asciiTheme="majorBidi" w:hAnsiTheme="majorBidi" w:cstheme="majorBidi"/>
          <w:shd w:val="clear" w:color="auto" w:fill="FFFFFF"/>
        </w:rPr>
        <w:t>izskaidrota arī Valsts ieņēmumu dienesta publicētajā rokasgrāmatā. Senāts piekrīt pieteicējai, ka tad, ja tiesa šādā veidā atsaucas uz iestādes izdotu skaidrojošu dokumentu (šajā gadījumā – rokasgrāmatu), tiesai būtu spriedumā jākonkretizē, par kurā datumā izdotu dokumentu ir runa, un jāpārliecinās, vai attiecīg</w:t>
      </w:r>
      <w:r w:rsidR="009D12DA">
        <w:rPr>
          <w:rFonts w:asciiTheme="majorBidi" w:hAnsiTheme="majorBidi" w:cstheme="majorBidi"/>
          <w:shd w:val="clear" w:color="auto" w:fill="FFFFFF"/>
        </w:rPr>
        <w:t>ai</w:t>
      </w:r>
      <w:r w:rsidRPr="0077503B">
        <w:rPr>
          <w:rFonts w:asciiTheme="majorBidi" w:hAnsiTheme="majorBidi" w:cstheme="majorBidi"/>
          <w:shd w:val="clear" w:color="auto" w:fill="FFFFFF"/>
        </w:rPr>
        <w:t xml:space="preserve">s dokuments jau bija publiskots laikā, par kuru lietā ir strīds. Tomēr vienlaikus ņemams vērā, ka apgabaltiesa uz attiecīgo rokasgrāmatu atsaucās tikai papildus, un primāri tiesa balstījās uz tiesību normu – </w:t>
      </w:r>
      <w:r w:rsidRPr="0077503B">
        <w:rPr>
          <w:rFonts w:asciiTheme="majorBidi" w:hAnsiTheme="majorBidi" w:cstheme="majorBidi"/>
        </w:rPr>
        <w:t>Novēršanas likuma 7.panta pirmās daļas 8.punktu. Līdz ar to šis pieteicējas iebildums neliecina par tādu tiesas pieļautu pārkāpumu, kas varēja novest pie lietas nepareizas izspriešanas.</w:t>
      </w:r>
    </w:p>
    <w:p w14:paraId="5940FDD7" w14:textId="6EAA10B2" w:rsidR="00615846" w:rsidRDefault="00615846" w:rsidP="00607CB5">
      <w:pPr>
        <w:spacing w:line="276" w:lineRule="auto"/>
        <w:jc w:val="center"/>
        <w:rPr>
          <w:rFonts w:asciiTheme="majorBidi" w:hAnsiTheme="majorBidi" w:cstheme="majorBidi"/>
          <w:b/>
          <w:bCs/>
        </w:rPr>
      </w:pPr>
      <w:r w:rsidRPr="00615846">
        <w:rPr>
          <w:rFonts w:asciiTheme="majorBidi" w:hAnsiTheme="majorBidi" w:cstheme="majorBidi"/>
          <w:b/>
          <w:bCs/>
        </w:rPr>
        <w:t>V</w:t>
      </w:r>
    </w:p>
    <w:p w14:paraId="3702ADC8" w14:textId="77777777" w:rsidR="00615846" w:rsidRPr="00615846" w:rsidRDefault="00615846" w:rsidP="00607CB5">
      <w:pPr>
        <w:spacing w:line="276" w:lineRule="auto"/>
        <w:ind w:right="40"/>
        <w:jc w:val="center"/>
        <w:rPr>
          <w:rFonts w:asciiTheme="majorBidi" w:hAnsiTheme="majorBidi" w:cstheme="majorBidi"/>
          <w:b/>
          <w:bCs/>
        </w:rPr>
      </w:pPr>
    </w:p>
    <w:p w14:paraId="69382B9E" w14:textId="77777777" w:rsidR="00C7396E" w:rsidRPr="0077503B" w:rsidRDefault="00C7396E" w:rsidP="00607CB5">
      <w:pPr>
        <w:spacing w:line="276" w:lineRule="auto"/>
        <w:ind w:firstLine="720"/>
        <w:jc w:val="both"/>
        <w:rPr>
          <w:rFonts w:asciiTheme="majorBidi" w:hAnsiTheme="majorBidi" w:cstheme="majorBidi"/>
          <w:i/>
          <w:iCs/>
          <w:lang w:eastAsia="en-US"/>
        </w:rPr>
      </w:pPr>
      <w:r w:rsidRPr="0077503B">
        <w:rPr>
          <w:rFonts w:asciiTheme="majorBidi" w:hAnsiTheme="majorBidi" w:cstheme="majorBidi"/>
          <w:i/>
          <w:iCs/>
          <w:lang w:eastAsia="en-US"/>
        </w:rPr>
        <w:t>Par Administratīvā procesa likuma 250.panta otrās daļas ievērošanu, tiesai vērtējot iestādes tiesvedības gaitā sniegtus paskaidrojumus par likuma subjektam piemērotā soda pamatojumu</w:t>
      </w:r>
    </w:p>
    <w:p w14:paraId="134DFE00" w14:textId="77777777" w:rsidR="00C7396E" w:rsidRPr="0077503B" w:rsidRDefault="00C7396E" w:rsidP="00607CB5">
      <w:pPr>
        <w:spacing w:line="276" w:lineRule="auto"/>
        <w:ind w:firstLine="720"/>
        <w:jc w:val="both"/>
        <w:rPr>
          <w:rFonts w:asciiTheme="majorBidi" w:hAnsiTheme="majorBidi" w:cstheme="majorBidi"/>
          <w:lang w:eastAsia="en-US"/>
        </w:rPr>
      </w:pPr>
    </w:p>
    <w:p w14:paraId="0FF3D04A" w14:textId="1EAFA420" w:rsidR="00C7396E" w:rsidRDefault="0077503B" w:rsidP="00607CB5">
      <w:pPr>
        <w:spacing w:line="276" w:lineRule="auto"/>
        <w:ind w:firstLine="720"/>
        <w:jc w:val="both"/>
        <w:rPr>
          <w:rFonts w:asciiTheme="majorBidi" w:hAnsiTheme="majorBidi" w:cstheme="majorBidi"/>
          <w:lang w:eastAsia="en-US"/>
        </w:rPr>
      </w:pPr>
      <w:r>
        <w:rPr>
          <w:rFonts w:asciiTheme="majorBidi" w:hAnsiTheme="majorBidi" w:cstheme="majorBidi"/>
          <w:lang w:eastAsia="en-US"/>
        </w:rPr>
        <w:t>[</w:t>
      </w:r>
      <w:r w:rsidR="00E76181">
        <w:rPr>
          <w:rFonts w:asciiTheme="majorBidi" w:hAnsiTheme="majorBidi" w:cstheme="majorBidi"/>
          <w:lang w:eastAsia="en-US"/>
        </w:rPr>
        <w:t>1</w:t>
      </w:r>
      <w:r w:rsidR="00345A87">
        <w:rPr>
          <w:rFonts w:asciiTheme="majorBidi" w:hAnsiTheme="majorBidi" w:cstheme="majorBidi"/>
          <w:lang w:eastAsia="en-US"/>
        </w:rPr>
        <w:t>7</w:t>
      </w:r>
      <w:r>
        <w:rPr>
          <w:rFonts w:asciiTheme="majorBidi" w:hAnsiTheme="majorBidi" w:cstheme="majorBidi"/>
          <w:lang w:eastAsia="en-US"/>
        </w:rPr>
        <w:t xml:space="preserve">] </w:t>
      </w:r>
      <w:r w:rsidR="000B6D2D">
        <w:rPr>
          <w:rFonts w:asciiTheme="majorBidi" w:hAnsiTheme="majorBidi" w:cstheme="majorBidi"/>
          <w:lang w:eastAsia="en-US"/>
        </w:rPr>
        <w:t>A</w:t>
      </w:r>
      <w:r>
        <w:rPr>
          <w:rFonts w:asciiTheme="majorBidi" w:hAnsiTheme="majorBidi" w:cstheme="majorBidi"/>
          <w:lang w:eastAsia="en-US"/>
        </w:rPr>
        <w:t xml:space="preserve">pgabaltiesa atzina, ka Valsts ieņēmumu dienests kļūdaini saskatījis nepilnību pieteicējas kontroles sistēmā saistībā ar to, ka pieteicēja tajā nebija aprakstījusi kārtību, kādā </w:t>
      </w:r>
      <w:r w:rsidR="00E76181" w:rsidRPr="0077503B">
        <w:rPr>
          <w:rFonts w:asciiTheme="majorBidi" w:hAnsiTheme="majorBidi" w:cstheme="majorBidi"/>
          <w:lang w:eastAsia="en-US"/>
        </w:rPr>
        <w:t>Valsts ieņēmumu dienestam tiek ziņots par aizdomīgiem darījumiem</w:t>
      </w:r>
      <w:r w:rsidR="00E76181">
        <w:rPr>
          <w:rFonts w:asciiTheme="majorBidi" w:hAnsiTheme="majorBidi" w:cstheme="majorBidi"/>
          <w:lang w:eastAsia="en-US"/>
        </w:rPr>
        <w:t xml:space="preserve">. Vienlaikus tiesa </w:t>
      </w:r>
      <w:r w:rsidR="00E93CEE">
        <w:rPr>
          <w:rFonts w:asciiTheme="majorBidi" w:hAnsiTheme="majorBidi" w:cstheme="majorBidi"/>
          <w:lang w:eastAsia="en-US"/>
        </w:rPr>
        <w:t>atzina</w:t>
      </w:r>
      <w:r w:rsidR="00E76181">
        <w:rPr>
          <w:rFonts w:asciiTheme="majorBidi" w:hAnsiTheme="majorBidi" w:cstheme="majorBidi"/>
          <w:lang w:eastAsia="en-US"/>
        </w:rPr>
        <w:t>, ka šis apstāklis nav pamats secināt, ka līdz ar to pieteicējai par tās pieļautajiem pārkāpumiem piemērotā soda nauda nav pamatota un samērīga, jo, ņemot vērā iestādes pārstāves tiesā sniegtos paskaidrojumus, apgabaltiesa secināja, ka iestādes lēmumā par pieteicējai piemērojamo soda naudu pārkāpumiem, kas saistīti ar nepilnībām kontroles sistēmā, nebija izšķirošas nozīmes.</w:t>
      </w:r>
    </w:p>
    <w:p w14:paraId="0DF54E6A" w14:textId="03A01BB5" w:rsidR="00C7396E" w:rsidRDefault="00E76181" w:rsidP="00607CB5">
      <w:pPr>
        <w:spacing w:line="276" w:lineRule="auto"/>
        <w:ind w:firstLine="720"/>
        <w:jc w:val="both"/>
        <w:rPr>
          <w:rFonts w:asciiTheme="majorBidi" w:hAnsiTheme="majorBidi" w:cstheme="majorBidi"/>
          <w:lang w:eastAsia="en-US"/>
        </w:rPr>
      </w:pPr>
      <w:r>
        <w:rPr>
          <w:rFonts w:asciiTheme="majorBidi" w:hAnsiTheme="majorBidi" w:cstheme="majorBidi"/>
          <w:lang w:eastAsia="en-US"/>
        </w:rPr>
        <w:lastRenderedPageBreak/>
        <w:t xml:space="preserve">Pieteicēja kasācijas sūdzībā iebildusi, ka iestāde pārsūdzētajā lēmumā nebija norādījusi, ka soda naudas noteikšanā tiem pārkāpumiem, kas saistīti ar nepilnībām kontroles sistēmā, nav izšķirošas nozīmes. To, ka attiecīgie pārkāpumi, iestādes ieskatā, ir salīdzinoši nebūtiski un līdz ar to tiem nav bijusi ietekme uz pieteicējai noteikto soda naudu, iestāde </w:t>
      </w:r>
      <w:r w:rsidR="005766A8">
        <w:rPr>
          <w:rFonts w:asciiTheme="majorBidi" w:hAnsiTheme="majorBidi" w:cstheme="majorBidi"/>
          <w:lang w:eastAsia="en-US"/>
        </w:rPr>
        <w:t xml:space="preserve">esot </w:t>
      </w:r>
      <w:r>
        <w:rPr>
          <w:rFonts w:asciiTheme="majorBidi" w:hAnsiTheme="majorBidi" w:cstheme="majorBidi"/>
          <w:lang w:eastAsia="en-US"/>
        </w:rPr>
        <w:t xml:space="preserve">norādījusi tikai tiesā. Ņemot vērā šos apsvērumus, tiesa, pieteicējas ieskatā, ir pārkāpusi Administratīvā procesa likuma 250.panta otro daļu. </w:t>
      </w:r>
    </w:p>
    <w:p w14:paraId="76989D87" w14:textId="77777777" w:rsidR="003F7A74" w:rsidRDefault="003F7A74" w:rsidP="00607CB5">
      <w:pPr>
        <w:spacing w:line="276" w:lineRule="auto"/>
        <w:ind w:firstLine="720"/>
        <w:jc w:val="both"/>
        <w:rPr>
          <w:rFonts w:asciiTheme="majorBidi" w:hAnsiTheme="majorBidi" w:cstheme="majorBidi"/>
          <w:lang w:eastAsia="en-US"/>
        </w:rPr>
      </w:pPr>
    </w:p>
    <w:p w14:paraId="513C9B7E" w14:textId="12555D19" w:rsidR="003F7A74" w:rsidRDefault="003F7A74" w:rsidP="00607CB5">
      <w:pPr>
        <w:spacing w:line="276" w:lineRule="auto"/>
        <w:ind w:firstLine="720"/>
        <w:jc w:val="both"/>
        <w:rPr>
          <w:rFonts w:asciiTheme="majorBidi" w:hAnsiTheme="majorBidi" w:cstheme="majorBidi"/>
          <w:lang w:eastAsia="en-US"/>
        </w:rPr>
      </w:pPr>
      <w:r>
        <w:rPr>
          <w:rFonts w:asciiTheme="majorBidi" w:hAnsiTheme="majorBidi" w:cstheme="majorBidi"/>
          <w:lang w:eastAsia="en-US"/>
        </w:rPr>
        <w:t>[1</w:t>
      </w:r>
      <w:r w:rsidR="00345A87">
        <w:rPr>
          <w:rFonts w:asciiTheme="majorBidi" w:hAnsiTheme="majorBidi" w:cstheme="majorBidi"/>
          <w:lang w:eastAsia="en-US"/>
        </w:rPr>
        <w:t>8</w:t>
      </w:r>
      <w:r>
        <w:rPr>
          <w:rFonts w:asciiTheme="majorBidi" w:hAnsiTheme="majorBidi" w:cstheme="majorBidi"/>
          <w:lang w:eastAsia="en-US"/>
        </w:rPr>
        <w:t>] Administratīvā procesa likuma 250.panta otrā daļa noteic, ka t</w:t>
      </w:r>
      <w:r w:rsidRPr="003F7A74">
        <w:rPr>
          <w:rFonts w:asciiTheme="majorBidi" w:hAnsiTheme="majorBidi" w:cstheme="majorBidi"/>
          <w:lang w:eastAsia="en-US"/>
        </w:rPr>
        <w:t>iesa, vērtējot administratīvā akta tiesiskumu, spriedumā ņem vērā tikai to pamatojumu, ko iestāde ietvērusi administratīvajā aktā.</w:t>
      </w:r>
    </w:p>
    <w:p w14:paraId="03A0F3A5" w14:textId="54C11E9C" w:rsidR="005766A8" w:rsidRDefault="003F7A74" w:rsidP="00607CB5">
      <w:pPr>
        <w:spacing w:line="276" w:lineRule="auto"/>
        <w:ind w:firstLine="720"/>
        <w:jc w:val="both"/>
      </w:pPr>
      <w:r w:rsidRPr="009A3CF3">
        <w:t xml:space="preserve">Šī norma ir daļa no tiesiskā regulējuma, kas nošķir iestādes un tiesas kompetenci administratīvajā procesā. </w:t>
      </w:r>
      <w:r w:rsidR="00FC2A95">
        <w:t xml:space="preserve">Proti, </w:t>
      </w:r>
      <w:r w:rsidRPr="009A3CF3">
        <w:t>līdztekus citām normām</w:t>
      </w:r>
      <w:r w:rsidR="00ED2E0E">
        <w:t xml:space="preserve"> (piemēram, Administratīvā procesa likuma 103.panta pirmajai daļai</w:t>
      </w:r>
      <w:r w:rsidR="009D12DA">
        <w:t>, 253.panta trešajai un sestajai daļai</w:t>
      </w:r>
      <w:r w:rsidR="00ED2E0E">
        <w:t>)</w:t>
      </w:r>
      <w:r w:rsidRPr="009A3CF3">
        <w:t xml:space="preserve"> </w:t>
      </w:r>
      <w:r w:rsidR="004F2027">
        <w:t xml:space="preserve">tā </w:t>
      </w:r>
      <w:r w:rsidRPr="009A3CF3">
        <w:t>atspoguļo administratīvā procesa tiesā būtību un tiesas kompetences robežas administratīvā akta tiesiskuma kontrolē,</w:t>
      </w:r>
      <w:r w:rsidR="00FC2A95">
        <w:t xml:space="preserve"> –</w:t>
      </w:r>
      <w:r w:rsidRPr="009A3CF3">
        <w:t xml:space="preserve"> to, ka tiesa īsteno kontroli pār iestādes izdot</w:t>
      </w:r>
      <w:r w:rsidR="00844F30">
        <w:t>u</w:t>
      </w:r>
      <w:r w:rsidRPr="009A3CF3">
        <w:t xml:space="preserve"> </w:t>
      </w:r>
      <w:r w:rsidR="00844E51">
        <w:t xml:space="preserve">privātpersonai nelabvēlīgu </w:t>
      </w:r>
      <w:r w:rsidRPr="009A3CF3">
        <w:t>administratīvo aktu, nevis iestājas iestādes vietā</w:t>
      </w:r>
      <w:r w:rsidR="00844E51">
        <w:t xml:space="preserve"> un pati izdod šādu administratīvo aktu</w:t>
      </w:r>
      <w:r w:rsidRPr="009A3CF3">
        <w:t>.</w:t>
      </w:r>
      <w:r w:rsidR="00EE2777">
        <w:t xml:space="preserve"> </w:t>
      </w:r>
      <w:r w:rsidR="00844E51">
        <w:t>Līdz ar to</w:t>
      </w:r>
      <w:r w:rsidR="004F2027">
        <w:t xml:space="preserve"> </w:t>
      </w:r>
      <w:r w:rsidR="00AC336B">
        <w:t xml:space="preserve">atbilstoši administratīvās tiesas kompetencei </w:t>
      </w:r>
      <w:r w:rsidR="004F2027">
        <w:rPr>
          <w:rFonts w:asciiTheme="majorBidi" w:hAnsiTheme="majorBidi" w:cstheme="majorBidi"/>
          <w:lang w:eastAsia="en-US"/>
        </w:rPr>
        <w:t xml:space="preserve">Administratīvā procesa likuma 250.panta otrā daļa </w:t>
      </w:r>
      <w:r w:rsidR="00EE2777">
        <w:t xml:space="preserve">liedz tiesai </w:t>
      </w:r>
      <w:r w:rsidR="00686E25">
        <w:t xml:space="preserve">spriedumā </w:t>
      </w:r>
      <w:r w:rsidR="003D34C2">
        <w:t>mainīt iestādes lēmuma pamat</w:t>
      </w:r>
      <w:r w:rsidR="00844F30">
        <w:t>ojumu, ar to šīs normas izpratnē saprotot lēmuma pamatu – apstākļus, uz kuriem balstīts iestādes lēmums</w:t>
      </w:r>
      <w:r w:rsidR="00AC336B">
        <w:t xml:space="preserve"> (</w:t>
      </w:r>
      <w:r w:rsidR="00AC336B" w:rsidRPr="00766C70">
        <w:rPr>
          <w:i/>
          <w:iCs/>
        </w:rPr>
        <w:t xml:space="preserve">Senāta 2024.gada 30.septembra sprieduma lietā Nr. SKA-92/2024, </w:t>
      </w:r>
      <w:hyperlink r:id="rId17" w:history="1">
        <w:r w:rsidR="00AC336B" w:rsidRPr="00766C70">
          <w:rPr>
            <w:rStyle w:val="Hyperlink"/>
            <w:i/>
            <w:iCs/>
          </w:rPr>
          <w:t>ECLI:LV:AT:2024:0930.A420269220.12.S</w:t>
        </w:r>
      </w:hyperlink>
      <w:r w:rsidR="00AC336B" w:rsidRPr="00766C70">
        <w:rPr>
          <w:i/>
          <w:iCs/>
        </w:rPr>
        <w:t>, 7.punkts</w:t>
      </w:r>
      <w:r w:rsidR="00AC336B">
        <w:rPr>
          <w:i/>
          <w:iCs/>
        </w:rPr>
        <w:t xml:space="preserve"> </w:t>
      </w:r>
      <w:r w:rsidR="00AC336B" w:rsidRPr="009F2BC9">
        <w:t>un tajā minētā judikatūra)</w:t>
      </w:r>
      <w:r w:rsidR="00AC336B" w:rsidRPr="000436FC">
        <w:t>.</w:t>
      </w:r>
      <w:r w:rsidR="00AC336B">
        <w:t xml:space="preserve"> </w:t>
      </w:r>
    </w:p>
    <w:p w14:paraId="72219F1A" w14:textId="5631D0CB" w:rsidR="00B10BCA" w:rsidRDefault="00FC2A95" w:rsidP="00607CB5">
      <w:pPr>
        <w:spacing w:line="276" w:lineRule="auto"/>
        <w:ind w:firstLine="720"/>
        <w:jc w:val="both"/>
      </w:pPr>
      <w:r>
        <w:t xml:space="preserve">Vienlaikus jāņem vērā, ka šī norma neliedz iestādei tiesvedības procesā izvērstāk izskaidrot, kā </w:t>
      </w:r>
      <w:r w:rsidR="00A47060">
        <w:t>tā</w:t>
      </w:r>
      <w:r>
        <w:t>, ņemot vērā lēmumā norādīto pamatu, nonāca pie lēmuma rezolutīvās daļas.</w:t>
      </w:r>
      <w:r w:rsidR="004F2027">
        <w:t xml:space="preserve"> </w:t>
      </w:r>
      <w:r w:rsidR="00B84178">
        <w:t xml:space="preserve">Minētais izriet no Administratīvā procesa likuma 145.panta pirmās daļas normām, kas citstarp noteic, ka arī atbildētājam tiesā ir tiesības sniegt paskaidrojumus, izteikt savus argumentus un apsvērumus un pat iesniegt papildu pierādījumus. </w:t>
      </w:r>
      <w:r w:rsidR="00A24D55">
        <w:t xml:space="preserve">Tādējādi likumdevējs ir pieļāvis, ka iestāde tiesvedības gaitā sniedz papildu argumentus par pārsūdzētā lēmuma pamatojumu, ciktāl netiek mainīts pamats, uz kuru iestāde balstījusi pārsūdzēto lēmumu. </w:t>
      </w:r>
      <w:r w:rsidR="001D6981">
        <w:t xml:space="preserve">Turklāt </w:t>
      </w:r>
      <w:r w:rsidR="00C37405">
        <w:t xml:space="preserve">Senāts </w:t>
      </w:r>
      <w:r w:rsidR="00A47060">
        <w:t>arī</w:t>
      </w:r>
      <w:r w:rsidR="00C37405">
        <w:t xml:space="preserve"> atzinis, ka tas vien, ka pārsūdzētajā administratīvajā aktā ir pamatojuma trūkumi attiecībā uz iestādes izdarīt</w:t>
      </w:r>
      <w:r w:rsidR="00486997">
        <w:t xml:space="preserve">o lietderības apsvērumu atspoguļošanu </w:t>
      </w:r>
      <w:r w:rsidR="00C37405">
        <w:t xml:space="preserve">administratīvā akta tekstā, pats par sevi nav iemesls administratīvo aktu atcelt. Iestādes izdarīto lietderības apsvērumu pienācīga neatspoguļošana administratīvajā aktā ir procesuāls pārkāpums, kas atzīstams par būtisku tad, ja no administratīvā akta kopumā nevar objektīvi saprast, kāpēc iestāde izdevusi konkrētā satura lēmumu (piemēram, </w:t>
      </w:r>
      <w:r w:rsidR="00C37405" w:rsidRPr="009F2BC9">
        <w:rPr>
          <w:i/>
          <w:iCs/>
        </w:rPr>
        <w:t xml:space="preserve">Senāta </w:t>
      </w:r>
      <w:r w:rsidR="00C37405">
        <w:rPr>
          <w:rFonts w:asciiTheme="majorBidi" w:hAnsiTheme="majorBidi" w:cstheme="majorBidi"/>
          <w:i/>
          <w:iCs/>
        </w:rPr>
        <w:t>2023.gada 6.novembra sprieduma lietā Nr.</w:t>
      </w:r>
      <w:r w:rsidR="00A4773D">
        <w:rPr>
          <w:rFonts w:asciiTheme="majorBidi" w:hAnsiTheme="majorBidi" w:cstheme="majorBidi"/>
          <w:i/>
          <w:iCs/>
        </w:rPr>
        <w:t> </w:t>
      </w:r>
      <w:r w:rsidR="00C37405">
        <w:rPr>
          <w:rFonts w:asciiTheme="majorBidi" w:hAnsiTheme="majorBidi" w:cstheme="majorBidi"/>
          <w:i/>
          <w:iCs/>
        </w:rPr>
        <w:t>SKA-131</w:t>
      </w:r>
      <w:r w:rsidR="00C43395">
        <w:rPr>
          <w:rFonts w:asciiTheme="majorBidi" w:hAnsiTheme="majorBidi" w:cstheme="majorBidi"/>
          <w:i/>
          <w:iCs/>
        </w:rPr>
        <w:t>/2023</w:t>
      </w:r>
      <w:r w:rsidR="00C37405">
        <w:rPr>
          <w:rFonts w:asciiTheme="majorBidi" w:hAnsiTheme="majorBidi" w:cstheme="majorBidi"/>
          <w:i/>
          <w:iCs/>
        </w:rPr>
        <w:t xml:space="preserve">, </w:t>
      </w:r>
      <w:hyperlink r:id="rId18" w:history="1">
        <w:r w:rsidR="00FB44AA" w:rsidRPr="00B10BCA">
          <w:rPr>
            <w:rStyle w:val="Hyperlink"/>
            <w:rFonts w:ascii="TimesNewRomanPSMT" w:hAnsi="TimesNewRomanPSMT" w:cs="TimesNewRomanPSMT"/>
            <w:i/>
            <w:iCs/>
          </w:rPr>
          <w:t>ECLI:LV:AT:2023:1106.A420287419.10.S</w:t>
        </w:r>
      </w:hyperlink>
      <w:r w:rsidR="00C37405">
        <w:rPr>
          <w:rFonts w:asciiTheme="majorBidi" w:hAnsiTheme="majorBidi" w:cstheme="majorBidi"/>
          <w:i/>
          <w:iCs/>
        </w:rPr>
        <w:t>, 13.punkts</w:t>
      </w:r>
      <w:r w:rsidR="00C37405" w:rsidRPr="00C37405">
        <w:rPr>
          <w:rFonts w:asciiTheme="majorBidi" w:hAnsiTheme="majorBidi" w:cstheme="majorBidi"/>
        </w:rPr>
        <w:t>)</w:t>
      </w:r>
      <w:r w:rsidR="00C37405" w:rsidRPr="00C37405">
        <w:t>.</w:t>
      </w:r>
      <w:r w:rsidR="00C37405">
        <w:t xml:space="preserve"> </w:t>
      </w:r>
    </w:p>
    <w:p w14:paraId="1F08ACE0" w14:textId="5E53B46B" w:rsidR="00844E51" w:rsidRDefault="00844E51" w:rsidP="00607CB5">
      <w:pPr>
        <w:spacing w:line="276" w:lineRule="auto"/>
        <w:ind w:firstLine="720"/>
        <w:jc w:val="both"/>
      </w:pPr>
      <w:r>
        <w:t>Līdz ar to tiesai, izskatot lietu, ir jāvērtē arī iestādes sniegtie paskaidrojumi, ciktāl tie neveido jaunu (iepriekš nebijušu) pārsūdzētā administratīvā akta pamatu</w:t>
      </w:r>
      <w:r w:rsidR="00844F30">
        <w:t>. Savukārt iestādes lēmuma pamatojuma izvērstāka izskaidrošana tiesas procesā ir pieļaujama</w:t>
      </w:r>
      <w:r>
        <w:t xml:space="preserve"> (</w:t>
      </w:r>
      <w:r w:rsidRPr="009F2BC9">
        <w:t xml:space="preserve">salīdzinājumam sk. arī </w:t>
      </w:r>
      <w:r w:rsidRPr="0030227D">
        <w:rPr>
          <w:i/>
          <w:iCs/>
        </w:rPr>
        <w:t xml:space="preserve">Senāta </w:t>
      </w:r>
      <w:r w:rsidRPr="0030227D">
        <w:rPr>
          <w:rFonts w:asciiTheme="majorBidi" w:hAnsiTheme="majorBidi" w:cstheme="majorBidi"/>
          <w:i/>
          <w:iCs/>
        </w:rPr>
        <w:t xml:space="preserve">2018.gada 6.februāta sprieduma lietā Nr. SKA-7/2018, </w:t>
      </w:r>
      <w:hyperlink r:id="rId19" w:history="1">
        <w:r w:rsidR="00C43395" w:rsidRPr="00C43395">
          <w:rPr>
            <w:rStyle w:val="Hyperlink"/>
            <w:rFonts w:asciiTheme="majorBidi" w:hAnsiTheme="majorBidi" w:cstheme="majorBidi"/>
            <w:i/>
            <w:iCs/>
          </w:rPr>
          <w:t>ECLI:LV:AT:2018:0206.A43012613.2.S</w:t>
        </w:r>
      </w:hyperlink>
      <w:r w:rsidRPr="0077503B">
        <w:rPr>
          <w:rFonts w:asciiTheme="majorBidi" w:hAnsiTheme="majorBidi" w:cstheme="majorBidi"/>
          <w:i/>
          <w:iCs/>
        </w:rPr>
        <w:t>, 22.punkt</w:t>
      </w:r>
      <w:r>
        <w:rPr>
          <w:rFonts w:asciiTheme="majorBidi" w:hAnsiTheme="majorBidi" w:cstheme="majorBidi"/>
          <w:i/>
          <w:iCs/>
        </w:rPr>
        <w:t>u, 2023.gada 6.novembra sprieduma lietā Nr. SKA-131</w:t>
      </w:r>
      <w:r w:rsidR="00C43395">
        <w:rPr>
          <w:rFonts w:asciiTheme="majorBidi" w:hAnsiTheme="majorBidi" w:cstheme="majorBidi"/>
          <w:i/>
          <w:iCs/>
        </w:rPr>
        <w:t>/2023</w:t>
      </w:r>
      <w:r>
        <w:rPr>
          <w:rFonts w:asciiTheme="majorBidi" w:hAnsiTheme="majorBidi" w:cstheme="majorBidi"/>
          <w:i/>
          <w:iCs/>
        </w:rPr>
        <w:t xml:space="preserve">, </w:t>
      </w:r>
      <w:hyperlink r:id="rId20" w:history="1">
        <w:r w:rsidR="00B10BCA" w:rsidRPr="00B10BCA">
          <w:rPr>
            <w:rStyle w:val="Hyperlink"/>
            <w:rFonts w:ascii="TimesNewRomanPSMT" w:hAnsi="TimesNewRomanPSMT" w:cs="TimesNewRomanPSMT"/>
            <w:i/>
            <w:iCs/>
          </w:rPr>
          <w:t>ECLI:LV:AT:2023:1106.A420287419.10.S</w:t>
        </w:r>
      </w:hyperlink>
      <w:r w:rsidR="00B10BCA">
        <w:rPr>
          <w:rFonts w:ascii="TimesNewRomanPSMT" w:hAnsi="TimesNewRomanPSMT" w:cs="TimesNewRomanPSMT"/>
          <w:color w:val="000081"/>
        </w:rPr>
        <w:t>,</w:t>
      </w:r>
      <w:r>
        <w:rPr>
          <w:rFonts w:asciiTheme="majorBidi" w:hAnsiTheme="majorBidi" w:cstheme="majorBidi"/>
          <w:i/>
          <w:iCs/>
        </w:rPr>
        <w:t xml:space="preserve"> 9.punktu</w:t>
      </w:r>
      <w:r>
        <w:t>).</w:t>
      </w:r>
    </w:p>
    <w:p w14:paraId="3C9ABACC" w14:textId="77777777" w:rsidR="006730AD" w:rsidRDefault="006730AD" w:rsidP="00607CB5">
      <w:pPr>
        <w:spacing w:line="276" w:lineRule="auto"/>
        <w:ind w:firstLine="720"/>
        <w:jc w:val="both"/>
      </w:pPr>
    </w:p>
    <w:p w14:paraId="27DE3763" w14:textId="2A3BB2DE" w:rsidR="00CE3B42" w:rsidRPr="0077503B" w:rsidRDefault="006730AD" w:rsidP="00607CB5">
      <w:pPr>
        <w:spacing w:line="276" w:lineRule="auto"/>
        <w:ind w:firstLine="720"/>
        <w:jc w:val="both"/>
        <w:rPr>
          <w:rFonts w:asciiTheme="majorBidi" w:hAnsiTheme="majorBidi" w:cstheme="majorBidi"/>
          <w:color w:val="000000"/>
        </w:rPr>
      </w:pPr>
      <w:r w:rsidRPr="00AC6215">
        <w:t>[</w:t>
      </w:r>
      <w:r w:rsidR="00345A87">
        <w:t>19</w:t>
      </w:r>
      <w:r w:rsidRPr="00AC6215">
        <w:t>]</w:t>
      </w:r>
      <w:r w:rsidR="00B44E11">
        <w:t xml:space="preserve"> </w:t>
      </w:r>
      <w:r w:rsidR="00CE3B42" w:rsidRPr="0077503B">
        <w:rPr>
          <w:rFonts w:asciiTheme="majorBidi" w:hAnsiTheme="majorBidi" w:cstheme="majorBidi"/>
        </w:rPr>
        <w:t xml:space="preserve">Saskaņā ar </w:t>
      </w:r>
      <w:r w:rsidR="00CE3B42" w:rsidRPr="0077503B">
        <w:rPr>
          <w:rFonts w:asciiTheme="majorBidi" w:hAnsiTheme="majorBidi" w:cstheme="majorBidi"/>
          <w:color w:val="000000"/>
        </w:rPr>
        <w:t xml:space="preserve">Novēršanas likuma </w:t>
      </w:r>
      <w:r w:rsidR="00AC6215">
        <w:rPr>
          <w:rFonts w:asciiTheme="majorBidi" w:hAnsiTheme="majorBidi" w:cstheme="majorBidi"/>
          <w:color w:val="000000"/>
        </w:rPr>
        <w:t>(</w:t>
      </w:r>
      <w:r w:rsidR="00AC6215" w:rsidRPr="00AC6215">
        <w:rPr>
          <w:rFonts w:asciiTheme="majorBidi" w:hAnsiTheme="majorBidi" w:cstheme="majorBidi"/>
          <w:i/>
          <w:iCs/>
          <w:color w:val="000000"/>
        </w:rPr>
        <w:t>redakcijā, kas bija spēkā pārsūdzētā lēmuma izdošanas laikā</w:t>
      </w:r>
      <w:r w:rsidR="00AC6215">
        <w:rPr>
          <w:rFonts w:asciiTheme="majorBidi" w:hAnsiTheme="majorBidi" w:cstheme="majorBidi"/>
          <w:color w:val="000000"/>
        </w:rPr>
        <w:t xml:space="preserve">) </w:t>
      </w:r>
      <w:r w:rsidR="00CE3B42" w:rsidRPr="0077503B">
        <w:rPr>
          <w:rFonts w:asciiTheme="majorBidi" w:hAnsiTheme="majorBidi" w:cstheme="majorBidi"/>
          <w:color w:val="000000"/>
        </w:rPr>
        <w:t xml:space="preserve">77.panta pirmo daļu uzraudzības un kontroles institūcija piemēro šā </w:t>
      </w:r>
      <w:r w:rsidR="00CE3B42" w:rsidRPr="0077503B">
        <w:rPr>
          <w:rFonts w:asciiTheme="majorBidi" w:hAnsiTheme="majorBidi" w:cstheme="majorBidi"/>
          <w:color w:val="000000"/>
        </w:rPr>
        <w:lastRenderedPageBreak/>
        <w:t>likuma 78.pantā noteiktās sankcijas, ja tiek konstatēti normatīvo aktu pārkāpumi noziedzīgi iegūtu līdzekļu legalizācijas un terorisma un proliferācijas finansēšanas novēršanas jomā.</w:t>
      </w:r>
      <w:r w:rsidR="005563B8">
        <w:rPr>
          <w:rFonts w:asciiTheme="majorBidi" w:hAnsiTheme="majorBidi" w:cstheme="majorBidi"/>
          <w:color w:val="000000"/>
        </w:rPr>
        <w:t xml:space="preserve"> Likuma </w:t>
      </w:r>
      <w:r w:rsidR="00CE3B42" w:rsidRPr="0077503B">
        <w:rPr>
          <w:rFonts w:asciiTheme="majorBidi" w:hAnsiTheme="majorBidi" w:cstheme="majorBidi"/>
          <w:color w:val="000000"/>
        </w:rPr>
        <w:t xml:space="preserve">77.panta trešā daļa noteic, ka uzraudzības un kontroles institūcija, atbilstoši šā panta pirmajai daļai </w:t>
      </w:r>
      <w:bookmarkStart w:id="2" w:name="_Hlk146040056"/>
      <w:r w:rsidR="00CE3B42" w:rsidRPr="0077503B">
        <w:rPr>
          <w:rFonts w:asciiTheme="majorBidi" w:hAnsiTheme="majorBidi" w:cstheme="majorBidi"/>
          <w:color w:val="000000"/>
        </w:rPr>
        <w:t>nosakot sankciju vai uzraudzības pasākumu veidu un apmēru</w:t>
      </w:r>
      <w:bookmarkEnd w:id="2"/>
      <w:r w:rsidR="00CE3B42" w:rsidRPr="0077503B">
        <w:rPr>
          <w:rFonts w:asciiTheme="majorBidi" w:hAnsiTheme="majorBidi" w:cstheme="majorBidi"/>
          <w:color w:val="000000"/>
        </w:rPr>
        <w:t>, ņem vērā visus būtiskos apstākļus</w:t>
      </w:r>
      <w:r w:rsidR="005563B8">
        <w:rPr>
          <w:rFonts w:asciiTheme="majorBidi" w:hAnsiTheme="majorBidi" w:cstheme="majorBidi"/>
          <w:color w:val="000000"/>
        </w:rPr>
        <w:t xml:space="preserve">, savukārt </w:t>
      </w:r>
      <w:r w:rsidR="00CE3B42" w:rsidRPr="0077503B">
        <w:rPr>
          <w:rFonts w:asciiTheme="majorBidi" w:hAnsiTheme="majorBidi" w:cstheme="majorBidi"/>
          <w:color w:val="000000"/>
        </w:rPr>
        <w:t xml:space="preserve">78.panta pirmā daļa paredz, </w:t>
      </w:r>
      <w:r w:rsidR="00432DB5">
        <w:rPr>
          <w:rFonts w:asciiTheme="majorBidi" w:hAnsiTheme="majorBidi" w:cstheme="majorBidi"/>
          <w:color w:val="000000"/>
        </w:rPr>
        <w:t xml:space="preserve">kādas sankcijas </w:t>
      </w:r>
      <w:r w:rsidR="00CE3B42" w:rsidRPr="0077503B">
        <w:rPr>
          <w:rFonts w:asciiTheme="majorBidi" w:hAnsiTheme="majorBidi" w:cstheme="majorBidi"/>
          <w:color w:val="000000"/>
        </w:rPr>
        <w:t>likuma subjektam var tikt piemērotas</w:t>
      </w:r>
      <w:r w:rsidR="00432DB5">
        <w:rPr>
          <w:rFonts w:asciiTheme="majorBidi" w:hAnsiTheme="majorBidi" w:cstheme="majorBidi"/>
          <w:color w:val="000000"/>
        </w:rPr>
        <w:t xml:space="preserve">, piemēram, brīdinājums, </w:t>
      </w:r>
      <w:r w:rsidR="00CE3B42" w:rsidRPr="0077503B">
        <w:rPr>
          <w:rFonts w:asciiTheme="majorBidi" w:hAnsiTheme="majorBidi" w:cstheme="majorBidi"/>
          <w:color w:val="000000"/>
        </w:rPr>
        <w:t>publisks paziņojums, norādot par pārkāpumu atbildīgo personu un pārkāpuma būtību</w:t>
      </w:r>
      <w:r w:rsidR="00432DB5">
        <w:rPr>
          <w:rFonts w:asciiTheme="majorBidi" w:hAnsiTheme="majorBidi" w:cstheme="majorBidi"/>
          <w:color w:val="000000"/>
        </w:rPr>
        <w:t xml:space="preserve">, </w:t>
      </w:r>
      <w:r w:rsidR="00CE3B42" w:rsidRPr="0077503B">
        <w:rPr>
          <w:rFonts w:asciiTheme="majorBidi" w:hAnsiTheme="majorBidi" w:cstheme="majorBidi"/>
          <w:color w:val="000000"/>
        </w:rPr>
        <w:t>soda nauda līdz 1 000 000 </w:t>
      </w:r>
      <w:r w:rsidR="00CE3B42" w:rsidRPr="0077503B">
        <w:rPr>
          <w:rFonts w:asciiTheme="majorBidi" w:hAnsiTheme="majorBidi" w:cstheme="majorBidi"/>
          <w:i/>
          <w:iCs/>
          <w:color w:val="000000"/>
        </w:rPr>
        <w:t>euro</w:t>
      </w:r>
      <w:r w:rsidR="00CE3B42" w:rsidRPr="0077503B">
        <w:rPr>
          <w:rFonts w:asciiTheme="majorBidi" w:hAnsiTheme="majorBidi" w:cstheme="majorBidi"/>
          <w:color w:val="000000"/>
        </w:rPr>
        <w:t xml:space="preserve">. </w:t>
      </w:r>
    </w:p>
    <w:p w14:paraId="0400156F" w14:textId="1224A2F8" w:rsidR="006730AD" w:rsidRDefault="00CE3B42" w:rsidP="00607CB5">
      <w:pPr>
        <w:spacing w:line="276" w:lineRule="auto"/>
        <w:ind w:firstLine="720"/>
        <w:jc w:val="both"/>
      </w:pPr>
      <w:r w:rsidRPr="0077503B">
        <w:rPr>
          <w:rFonts w:asciiTheme="majorBidi" w:hAnsiTheme="majorBidi" w:cstheme="majorBidi"/>
          <w:color w:val="000000"/>
        </w:rPr>
        <w:t xml:space="preserve">No minētajām normām izriet, ka iestādei </w:t>
      </w:r>
      <w:r w:rsidR="00486997">
        <w:rPr>
          <w:rFonts w:asciiTheme="majorBidi" w:hAnsiTheme="majorBidi" w:cstheme="majorBidi"/>
          <w:color w:val="000000"/>
        </w:rPr>
        <w:t xml:space="preserve">ir </w:t>
      </w:r>
      <w:r w:rsidRPr="0077503B">
        <w:rPr>
          <w:rFonts w:asciiTheme="majorBidi" w:hAnsiTheme="majorBidi" w:cstheme="majorBidi"/>
          <w:color w:val="000000"/>
        </w:rPr>
        <w:t xml:space="preserve">piešķirta plaša rīcības brīvība par Novēršanas likuma pārkāpumiem katrā konkrētajā gadījumā noteikt likuma subjektam piemērojamo sankciju vai uzraudzības pasākumu veidu un apmēru. </w:t>
      </w:r>
      <w:r w:rsidR="00143908">
        <w:rPr>
          <w:rFonts w:asciiTheme="majorBidi" w:hAnsiTheme="majorBidi" w:cstheme="majorBidi"/>
          <w:color w:val="000000"/>
        </w:rPr>
        <w:t>Līdz ar šo rīcības brīvību nāk arī pienākums pamatot, kā iestāde nonākusi pie secinājuma par konkrētajā gadījumā piemērojamo soda veidu un mēru. Savukārt</w:t>
      </w:r>
      <w:r w:rsidR="005563B8">
        <w:rPr>
          <w:rFonts w:asciiTheme="majorBidi" w:hAnsiTheme="majorBidi" w:cstheme="majorBidi"/>
          <w:color w:val="000000"/>
        </w:rPr>
        <w:t xml:space="preserve"> </w:t>
      </w:r>
      <w:r w:rsidRPr="0077503B">
        <w:rPr>
          <w:rFonts w:asciiTheme="majorBidi" w:hAnsiTheme="majorBidi" w:cstheme="majorBidi"/>
        </w:rPr>
        <w:t>tiesai, p</w:t>
      </w:r>
      <w:r w:rsidR="005563B8">
        <w:rPr>
          <w:rFonts w:asciiTheme="majorBidi" w:hAnsiTheme="majorBidi" w:cstheme="majorBidi"/>
        </w:rPr>
        <w:t>ārbaudot likuma subjektam piemēroto sodu</w:t>
      </w:r>
      <w:r w:rsidRPr="0077503B">
        <w:rPr>
          <w:rFonts w:asciiTheme="majorBidi" w:hAnsiTheme="majorBidi" w:cstheme="majorBidi"/>
        </w:rPr>
        <w:t xml:space="preserve">, jānoskaidro, vai iestāde ir pareizi izmantojusi </w:t>
      </w:r>
      <w:r w:rsidR="00143908">
        <w:rPr>
          <w:rFonts w:asciiTheme="majorBidi" w:hAnsiTheme="majorBidi" w:cstheme="majorBidi"/>
        </w:rPr>
        <w:t xml:space="preserve">tai </w:t>
      </w:r>
      <w:r w:rsidRPr="0077503B">
        <w:rPr>
          <w:rFonts w:asciiTheme="majorBidi" w:hAnsiTheme="majorBidi" w:cstheme="majorBidi"/>
        </w:rPr>
        <w:t>piešķirto rīcības brīvību.</w:t>
      </w:r>
      <w:r>
        <w:rPr>
          <w:rFonts w:asciiTheme="majorBidi" w:hAnsiTheme="majorBidi" w:cstheme="majorBidi"/>
        </w:rPr>
        <w:t xml:space="preserve"> Likums nepiešķir tiesai tiesības pašai noteikt to, kāds būtu piemērotākais sods par privātpersonas pieļautajiem pārkāpumiem.</w:t>
      </w:r>
    </w:p>
    <w:p w14:paraId="5F18322B" w14:textId="77777777" w:rsidR="00A24D55" w:rsidRDefault="00A24D55" w:rsidP="00607CB5">
      <w:pPr>
        <w:spacing w:line="276" w:lineRule="auto"/>
        <w:ind w:firstLine="720"/>
        <w:jc w:val="both"/>
      </w:pPr>
    </w:p>
    <w:p w14:paraId="36CA8D40" w14:textId="47D8ACFC" w:rsidR="00CE3B42" w:rsidRDefault="00A24D55" w:rsidP="00607CB5">
      <w:pPr>
        <w:spacing w:line="276" w:lineRule="auto"/>
        <w:ind w:firstLine="720"/>
        <w:jc w:val="both"/>
      </w:pPr>
      <w:r>
        <w:t>[</w:t>
      </w:r>
      <w:r w:rsidR="00CE3B42">
        <w:t>2</w:t>
      </w:r>
      <w:r w:rsidR="00345A87">
        <w:t>0</w:t>
      </w:r>
      <w:r>
        <w:t xml:space="preserve">] </w:t>
      </w:r>
      <w:r w:rsidR="006730AD">
        <w:t xml:space="preserve">Ja iestāde lēmumā konstatējusi vairākus pārkāpumus un par tiem visiem noteikusi vienu kopīgu sodu, vispārīgi var pieņemt, ka galīgā soda apmēra noteikšanā ietekme ir bijusi visiem pārkāpumiem, kurus iestāde saskatījusi personas rīcībā. </w:t>
      </w:r>
      <w:r w:rsidR="00FA1E7C">
        <w:t xml:space="preserve">Tomēr apstākļos, kad iestādes konstatētie pārkāpumi ir dažādi, nevar arī izslēgt, ka kāds no tiem, ja iestāde to atzīst par nebūtisku, nav izšķiroši ietekmējis galīgo sodu. </w:t>
      </w:r>
    </w:p>
    <w:p w14:paraId="27F76A52" w14:textId="4905C065" w:rsidR="00A24D55" w:rsidRDefault="006730AD" w:rsidP="00607CB5">
      <w:pPr>
        <w:spacing w:line="276" w:lineRule="auto"/>
        <w:ind w:firstLine="720"/>
        <w:jc w:val="both"/>
      </w:pPr>
      <w:r>
        <w:t xml:space="preserve">Līdz ar to, </w:t>
      </w:r>
      <w:r w:rsidR="006E2D20">
        <w:t xml:space="preserve">ja iestāde privātpersonai par vairākiem pārkāpumiem noteikusi vienu sodu, viena pārkāpuma izslēgšana no konstatēto pārkāpumu loka </w:t>
      </w:r>
      <w:r w:rsidR="00CE3B42">
        <w:t xml:space="preserve">vispārīgi </w:t>
      </w:r>
      <w:r w:rsidR="006E2D20">
        <w:t xml:space="preserve">rada jautājumu, vai attiecīgi tiesisks ir iestādes noteiktais sods. </w:t>
      </w:r>
      <w:r>
        <w:t xml:space="preserve">Tāpēc, pārbaudot iestādes piemērotā soda pamatotību </w:t>
      </w:r>
      <w:r w:rsidR="00CE3B42">
        <w:t>šādā s</w:t>
      </w:r>
      <w:r>
        <w:t xml:space="preserve">ituācijā, būtiski ir pārliecināties, vai un kāda ir bijusi </w:t>
      </w:r>
      <w:r w:rsidR="00CE3B42">
        <w:t xml:space="preserve">iestādes </w:t>
      </w:r>
      <w:r>
        <w:t>kļūdaini konstatētā pārkāpuma ietekme uz privātpersonai piemēro</w:t>
      </w:r>
      <w:r w:rsidR="00CE3B42">
        <w:t>to</w:t>
      </w:r>
      <w:r>
        <w:t xml:space="preserve"> soda veidu un apmēru.</w:t>
      </w:r>
      <w:r w:rsidR="005766A8">
        <w:t xml:space="preserve"> </w:t>
      </w:r>
      <w:r>
        <w:t>Tomēr, pretēji pieteicējas uzskatam, šā jautājuma noskaidrošanai var ņemt vērā ne tikai tos apsvērumus, kurus iestāde atspoguļojusi administratīvajā aktā, bet arī iestādes tiesas procesa gaitā papildus paskaidroto, ciktāl šie papildu paskaidrojumi nenonāk pretrunā ar administratīvajā aktā norādīto pamatojumu.</w:t>
      </w:r>
    </w:p>
    <w:p w14:paraId="0F230213" w14:textId="77777777" w:rsidR="00D137EA" w:rsidRDefault="00D137EA" w:rsidP="00607CB5">
      <w:pPr>
        <w:spacing w:line="276" w:lineRule="auto"/>
        <w:ind w:firstLine="720"/>
        <w:jc w:val="both"/>
      </w:pPr>
    </w:p>
    <w:p w14:paraId="018AB0A6" w14:textId="7626F41A" w:rsidR="00060A82" w:rsidRDefault="00D137EA" w:rsidP="00607CB5">
      <w:pPr>
        <w:spacing w:line="276" w:lineRule="auto"/>
        <w:ind w:firstLine="720"/>
        <w:jc w:val="both"/>
      </w:pPr>
      <w:r>
        <w:t>[2</w:t>
      </w:r>
      <w:r w:rsidR="00345A87">
        <w:t>1</w:t>
      </w:r>
      <w:r>
        <w:t xml:space="preserve">] </w:t>
      </w:r>
      <w:r w:rsidR="0075135A">
        <w:t>Pārsūdzētā lēmum</w:t>
      </w:r>
      <w:r w:rsidR="0094388B">
        <w:t>a 15.4.punktā</w:t>
      </w:r>
      <w:r w:rsidR="0075135A">
        <w:t xml:space="preserve">, izvērtējot pieteicējas iebildumu par piemēroto soda veidu un mēru, Valsts ieņēmumu dienests norādījis: </w:t>
      </w:r>
      <w:r w:rsidR="00B91EFA">
        <w:t>„S</w:t>
      </w:r>
      <w:r w:rsidR="0075135A">
        <w:t>oda nauda faktiski piemērota par dažādiem pārkāpumiem – par kontroles sistēmas nepilnībām, kuru rezultātā nav noskaidroti klientu patiesā labuma guvēji un nav noskaidroti aizdomīgie darījumi</w:t>
      </w:r>
      <w:r w:rsidR="00B91EFA">
        <w:t xml:space="preserve"> (</w:t>
      </w:r>
      <w:r w:rsidR="00B91EFA" w:rsidRPr="00B91EFA">
        <w:rPr>
          <w:i/>
          <w:iCs/>
        </w:rPr>
        <w:t>acīmredzot domāts – neparastie</w:t>
      </w:r>
      <w:r w:rsidR="00B91EFA">
        <w:rPr>
          <w:i/>
          <w:iCs/>
        </w:rPr>
        <w:t xml:space="preserve"> darījumi</w:t>
      </w:r>
      <w:r w:rsidR="00B91EFA">
        <w:t>)</w:t>
      </w:r>
      <w:r w:rsidR="0075135A">
        <w:t xml:space="preserve">, par kuriem nav ziņots kontroles dienestam. Noziedzīgi iegūtu līdzekļu legalizācijas un terorisma finansēšanas novēršanai normatīvajos aktos </w:t>
      </w:r>
      <w:r w:rsidR="00B91EFA">
        <w:t>noteiktās kārtības neievērošana uzskatāma par būtisku valsts un sabiedrības interešu aizskārumu, un Novēršanas likuma subjekta kontroles sistēmas atbilstība prasībām ir būtiska noziedzīgi iegūtu līdzekļu legalizācijas un terorisma finansēšanas novēršanas jomas sastāvdaļa. Novēršanas likuma prasību būtiskums, transporta līdzekļu tirgotāja darbības risks (vidējs) un aizdomīgo darījumu (</w:t>
      </w:r>
      <w:r w:rsidR="00B91EFA" w:rsidRPr="00B91EFA">
        <w:rPr>
          <w:i/>
          <w:iCs/>
        </w:rPr>
        <w:t>acīmredzot domāts – neparasto darījumu</w:t>
      </w:r>
      <w:r w:rsidR="00B91EFA">
        <w:t>), par kuriem pieteicējas rīcības dēļ netika ziņots, kopējā vērtība (96 500</w:t>
      </w:r>
      <w:r w:rsidR="00F019BC">
        <w:t> </w:t>
      </w:r>
      <w:r w:rsidR="00B91EFA" w:rsidRPr="00B91EFA">
        <w:rPr>
          <w:i/>
          <w:iCs/>
        </w:rPr>
        <w:t>euro</w:t>
      </w:r>
      <w:r w:rsidR="00B91EFA">
        <w:t xml:space="preserve">) liecina par pārkāpuma būtiskumu. Pārkāpuma būtiskuma kvalifikācija un piemērotais sankcijas veids ir noteikts ar Valsts ieņēmumu dienesta </w:t>
      </w:r>
      <w:r w:rsidR="00B91EFA">
        <w:lastRenderedPageBreak/>
        <w:t>2019.gada 25.janvāra rīkojumu Nr.</w:t>
      </w:r>
      <w:r w:rsidR="00B1288C">
        <w:t> </w:t>
      </w:r>
      <w:r w:rsidR="00B91EFA">
        <w:t>31 apstiprinātajā dokument</w:t>
      </w:r>
      <w:r w:rsidR="00F019BC">
        <w:t>ā</w:t>
      </w:r>
      <w:r w:rsidR="00B91EFA">
        <w:t xml:space="preserve"> „Ieteikumi (vadlīnijas) sankciju par Noziedzīgi iegūtu līdzekļu legalizācijas un terorisma finansēšanas novēršanas likuma pārkāpumiem noteikšanai dienesta uzraudzībā esošajiem subjektiem</w:t>
      </w:r>
      <w:r w:rsidR="00555DB9">
        <w:t>”</w:t>
      </w:r>
      <w:r w:rsidR="00B91EFA">
        <w:t xml:space="preserve"> (turpmāk – vadlīnijas)</w:t>
      </w:r>
      <w:r w:rsidR="002415C4">
        <w:t>. Atbilstoši vadlīnijās norādītajam neziņošana par aizdomīgiem</w:t>
      </w:r>
      <w:r w:rsidR="0094388B">
        <w:t xml:space="preserve"> (</w:t>
      </w:r>
      <w:r w:rsidR="0094388B" w:rsidRPr="0094388B">
        <w:rPr>
          <w:i/>
          <w:iCs/>
        </w:rPr>
        <w:t>acīmredzot domāts – neparastiem</w:t>
      </w:r>
      <w:r w:rsidR="0094388B">
        <w:t>)</w:t>
      </w:r>
      <w:r w:rsidR="00B91EFA">
        <w:t xml:space="preserve"> </w:t>
      </w:r>
      <w:r w:rsidR="0094388B">
        <w:t xml:space="preserve">darījumiem ir atzīstama par būtisku pārkāpumu, par kuru likuma subjektam, kura iepriekšējā pārskata gada neto apgrozījums pārsniedz vienu miljonu </w:t>
      </w:r>
      <w:r w:rsidR="0094388B" w:rsidRPr="0094388B">
        <w:rPr>
          <w:i/>
          <w:iCs/>
        </w:rPr>
        <w:t>euro</w:t>
      </w:r>
      <w:r w:rsidR="0094388B">
        <w:rPr>
          <w:i/>
          <w:iCs/>
        </w:rPr>
        <w:t xml:space="preserve"> </w:t>
      </w:r>
      <w:r w:rsidR="0094388B">
        <w:t xml:space="preserve">(SIA „TK BALT” 2018.gada apgrozījums ir 3 437 234 </w:t>
      </w:r>
      <w:r w:rsidR="0094388B" w:rsidRPr="0094388B">
        <w:rPr>
          <w:i/>
          <w:iCs/>
        </w:rPr>
        <w:t>euro</w:t>
      </w:r>
      <w:r w:rsidR="0094388B">
        <w:t xml:space="preserve">), uzliek naudas sodu līdz pieciem procentiem no iepriekšējā pārskata gada neto apgrozījuma. Tādējādi maksimālā soda nauda par konstatēto SIA „TK BALT” pārkāpumu ir 171 862 </w:t>
      </w:r>
      <w:r w:rsidR="0094388B" w:rsidRPr="0094388B">
        <w:rPr>
          <w:i/>
          <w:iCs/>
        </w:rPr>
        <w:t>euro</w:t>
      </w:r>
      <w:r w:rsidR="0094388B">
        <w:t xml:space="preserve">).”  Tālāk lēmumā Valsts ieņēmumu dienests pamatojis, ka maksimālās soda naudas piemērošana pieteicējai būtu nesamērīga, </w:t>
      </w:r>
      <w:r w:rsidR="00060A82">
        <w:t>tomēr vienlaikus ir ņēmis vērā, ka „pārkāpums ir ilgstošs un sistemātisks (konstatēti 7 aizdomīgi (</w:t>
      </w:r>
      <w:r w:rsidR="00060A82" w:rsidRPr="00060A82">
        <w:rPr>
          <w:i/>
          <w:iCs/>
        </w:rPr>
        <w:t>acīmredzot domāts – neparasti</w:t>
      </w:r>
      <w:r w:rsidR="00060A82">
        <w:t>) darījumi)”, un līdz ar to atzinis, ka ar sākotnējo lēmumu pieteicējai piemērotais sods ir atzīstams par samērīgu.</w:t>
      </w:r>
    </w:p>
    <w:p w14:paraId="23FC1EB5" w14:textId="65BBFEF3" w:rsidR="00500861" w:rsidRDefault="00500861" w:rsidP="00607CB5">
      <w:pPr>
        <w:spacing w:line="276" w:lineRule="auto"/>
        <w:ind w:firstLine="720"/>
        <w:jc w:val="both"/>
      </w:pPr>
      <w:r>
        <w:t xml:space="preserve">Izvērtējot pārsūdzētajā lēmumā izklāstīto pamatojumu, Senāts secina, ka, lai arī iestāde ir vērsusi uzmanību uz to, ka </w:t>
      </w:r>
      <w:r w:rsidR="00A7427E">
        <w:t xml:space="preserve">kontroles sistēmas atbilstība prasībām ir būtiska noziedzīgi iegūtu līdzekļu legalizācijas un terorisma finansēšanas novēršanas jomas sastāvdaļa, galvenais, kas licis nosvērties par labu soda naudai, ir pieteicējas pārkāpums, </w:t>
      </w:r>
      <w:r w:rsidR="000F4327" w:rsidRPr="0077503B">
        <w:rPr>
          <w:rFonts w:asciiTheme="majorBidi" w:hAnsiTheme="majorBidi" w:cstheme="majorBidi"/>
          <w:bCs/>
          <w:lang w:eastAsia="en-US"/>
        </w:rPr>
        <w:t>Noziedzīgi iegūtu līdzekļu legalizācijas novēršanas dienesta</w:t>
      </w:r>
      <w:r w:rsidR="000F4327">
        <w:rPr>
          <w:rFonts w:asciiTheme="majorBidi" w:hAnsiTheme="majorBidi" w:cstheme="majorBidi"/>
          <w:bCs/>
          <w:lang w:eastAsia="en-US"/>
        </w:rPr>
        <w:t>m</w:t>
      </w:r>
      <w:r w:rsidR="000F4327">
        <w:t xml:space="preserve"> </w:t>
      </w:r>
      <w:r w:rsidR="00A7427E">
        <w:t xml:space="preserve">neziņojot par neparastiem darījumiem (iestādes lēmumā, kļūdaini jaucot jēdzienus, tie nosaukti par aizdomīgiem darījumiem). Par to skaidri liecina norādes uz to, par cik darījumiem pieteicēja nebija ziņojusi un kāda ir šo darījumu kopējā vērtība, kā arī norāde, ka pārkāpumu būtiskuma kvalifikācijā ņemtas vērā vadlīnijas, kas noteic, ka būtisks pārkāpums ir neziņošana par darījumiem un </w:t>
      </w:r>
      <w:r w:rsidR="00486997">
        <w:t xml:space="preserve">ka </w:t>
      </w:r>
      <w:r w:rsidR="00A7427E">
        <w:t xml:space="preserve">par šādu pārkāpumu vien maksimālā iespējami piemērojamā soda nauda būtu 171 862 </w:t>
      </w:r>
      <w:r w:rsidR="00A7427E" w:rsidRPr="0094388B">
        <w:rPr>
          <w:i/>
          <w:iCs/>
        </w:rPr>
        <w:t>euro</w:t>
      </w:r>
      <w:r w:rsidR="00A7427E" w:rsidRPr="00A7427E">
        <w:t>.</w:t>
      </w:r>
    </w:p>
    <w:p w14:paraId="30E8F07E" w14:textId="5A8F2CBF" w:rsidR="003E4375" w:rsidRDefault="003E4375" w:rsidP="00607CB5">
      <w:pPr>
        <w:spacing w:line="276" w:lineRule="auto"/>
        <w:ind w:firstLine="720"/>
        <w:jc w:val="both"/>
      </w:pPr>
      <w:r>
        <w:t xml:space="preserve">Šādos apstākļos nav pamata uzskatīt, ka Valsts ieņēmumu dienesta tiesvedības gaitā sniegti papildu paskaidrojumi, </w:t>
      </w:r>
      <w:r w:rsidR="000F4327">
        <w:t>ka pieteicējai piemērotā soda izvēlē strīdus nepilnībai kontroles sistēmā nav bijusi izšķiroša nozīme</w:t>
      </w:r>
      <w:r>
        <w:t xml:space="preserve">, būtu pretrunā </w:t>
      </w:r>
      <w:r w:rsidR="000F4327">
        <w:t xml:space="preserve">ar </w:t>
      </w:r>
      <w:r>
        <w:t>pārsūdzētā administratīvā akta pamatojum</w:t>
      </w:r>
      <w:r w:rsidR="000F4327">
        <w:t>u</w:t>
      </w:r>
      <w:r>
        <w:t>.</w:t>
      </w:r>
      <w:r w:rsidR="000F4327">
        <w:t xml:space="preserve"> </w:t>
      </w:r>
      <w:r w:rsidR="00615846">
        <w:t>Tādējādi tie iestādes paskaidrojumi, uz kuriem spriedum</w:t>
      </w:r>
      <w:r w:rsidR="00B1288C">
        <w:t>ā</w:t>
      </w:r>
      <w:r w:rsidR="00615846">
        <w:t xml:space="preserve"> atsaukusies tiesa, neveido jaunu pārsūdzētā lēmuma pamatojumu, bet gan izvērstāk izskaidro lēmuma pamatā jau esošos apsvērumus. </w:t>
      </w:r>
      <w:r w:rsidR="000F4327">
        <w:t>Pieteicēja kasācijas sūdzībā nepamatoti norāda, ka apsvērumi par to, kuri pārkāpumi ir būtiskāki un kuri – nebūtiskāki, parādījušies tikai tiesvedības gaitā</w:t>
      </w:r>
      <w:r w:rsidR="00615846">
        <w:t>, jo norāde uz to administratīvajā akta sniegta, gan atsaucoties uz vadlīnijām, gan tieši uzsverot, ka neziņošana par neparastiem darījumiem, jo īpaši ņemot vērā nepaziņoto darījumu skaitu un kopējo vērtību, ir būtisks pārkāpums.</w:t>
      </w:r>
    </w:p>
    <w:p w14:paraId="35F52AD1" w14:textId="7F2B298F" w:rsidR="00615846" w:rsidRDefault="00615846" w:rsidP="00607CB5">
      <w:pPr>
        <w:spacing w:line="276" w:lineRule="auto"/>
        <w:ind w:firstLine="720"/>
        <w:jc w:val="both"/>
      </w:pPr>
      <w:r>
        <w:t>Ievērojot minēto, Senāts atzīst, ka apgabaltiesa, ņemot vērā Valsts ieņēmumu dienesta tiesvedības gaitā sniegtos papildu paskaidrojumus par apsvērumiem soda naudas piemērošanā, nav pārkāpusi Administratīvā procesa likuma 250.panta otro daļu.</w:t>
      </w:r>
    </w:p>
    <w:p w14:paraId="51A3E0CB" w14:textId="77777777" w:rsidR="00615846" w:rsidRDefault="00615846" w:rsidP="00607CB5">
      <w:pPr>
        <w:spacing w:line="276" w:lineRule="auto"/>
        <w:ind w:firstLine="720"/>
        <w:jc w:val="both"/>
      </w:pPr>
    </w:p>
    <w:p w14:paraId="1256BCB1" w14:textId="03FF9606" w:rsidR="00615846" w:rsidRDefault="00615846" w:rsidP="00607CB5">
      <w:pPr>
        <w:spacing w:line="276" w:lineRule="auto"/>
        <w:jc w:val="center"/>
        <w:rPr>
          <w:b/>
          <w:bCs/>
        </w:rPr>
      </w:pPr>
      <w:r w:rsidRPr="00615846">
        <w:rPr>
          <w:b/>
          <w:bCs/>
        </w:rPr>
        <w:t>VI</w:t>
      </w:r>
    </w:p>
    <w:p w14:paraId="61EFB732" w14:textId="77777777" w:rsidR="00615846" w:rsidRDefault="00615846" w:rsidP="00607CB5">
      <w:pPr>
        <w:spacing w:line="276" w:lineRule="auto"/>
        <w:jc w:val="center"/>
        <w:rPr>
          <w:b/>
          <w:bCs/>
        </w:rPr>
      </w:pPr>
    </w:p>
    <w:p w14:paraId="1FB0944D" w14:textId="7075E416" w:rsidR="00615846" w:rsidRDefault="00615846" w:rsidP="00607CB5">
      <w:pPr>
        <w:spacing w:line="276" w:lineRule="auto"/>
        <w:ind w:firstLine="720"/>
        <w:jc w:val="both"/>
      </w:pPr>
      <w:r w:rsidRPr="00615846">
        <w:t>[2</w:t>
      </w:r>
      <w:r w:rsidR="00345A87">
        <w:t>2</w:t>
      </w:r>
      <w:r w:rsidRPr="00615846">
        <w:t xml:space="preserve">] </w:t>
      </w:r>
      <w:r>
        <w:t xml:space="preserve">Apkopojot minēto, Senāts atzīst, ka, lai arī atsevišķi apgabaltiesas apsvērumi </w:t>
      </w:r>
      <w:r w:rsidR="00635A86">
        <w:t>nav bijuši pareizi, kasācijas sūdzībā norādītie argumenti nenorāda uz tādām tiesas pieļautām kļūdām, kuru dēļ tiesa varētu būt nonākusi pie nepareiza lietas izskatīšanas rezultāta.</w:t>
      </w:r>
    </w:p>
    <w:p w14:paraId="689CF487" w14:textId="4AFADD1E" w:rsidR="00956464" w:rsidRPr="0077503B" w:rsidRDefault="00635A86" w:rsidP="00607CB5">
      <w:pPr>
        <w:spacing w:line="276" w:lineRule="auto"/>
        <w:ind w:firstLine="720"/>
        <w:jc w:val="both"/>
        <w:rPr>
          <w:rFonts w:asciiTheme="majorBidi" w:hAnsiTheme="majorBidi" w:cstheme="majorBidi"/>
          <w:color w:val="000000"/>
        </w:rPr>
      </w:pPr>
      <w:r>
        <w:lastRenderedPageBreak/>
        <w:t>Līdz ar to pārsūdzētais apgabaltiesas spriedums ir atstājams negrozīts</w:t>
      </w:r>
      <w:r w:rsidR="00956464" w:rsidRPr="0077503B">
        <w:rPr>
          <w:rFonts w:asciiTheme="majorBidi" w:hAnsiTheme="majorBidi" w:cstheme="majorBidi"/>
          <w:color w:val="000000"/>
        </w:rPr>
        <w:t xml:space="preserve">, bet </w:t>
      </w:r>
      <w:r w:rsidR="00956464" w:rsidRPr="0077503B">
        <w:rPr>
          <w:rFonts w:asciiTheme="majorBidi" w:hAnsiTheme="majorBidi" w:cstheme="majorBidi"/>
        </w:rPr>
        <w:t>pieteicējas kasācijas sūdzība ir noraidāma</w:t>
      </w:r>
      <w:r w:rsidR="00956464" w:rsidRPr="0077503B">
        <w:rPr>
          <w:rFonts w:asciiTheme="majorBidi" w:hAnsiTheme="majorBidi" w:cstheme="majorBidi"/>
          <w:color w:val="000000"/>
        </w:rPr>
        <w:t>.</w:t>
      </w:r>
    </w:p>
    <w:p w14:paraId="685DD979" w14:textId="77777777" w:rsidR="00956464" w:rsidRPr="0077503B" w:rsidRDefault="00956464" w:rsidP="00607CB5">
      <w:pPr>
        <w:autoSpaceDE w:val="0"/>
        <w:autoSpaceDN w:val="0"/>
        <w:adjustRightInd w:val="0"/>
        <w:spacing w:line="276" w:lineRule="auto"/>
        <w:ind w:firstLine="567"/>
        <w:jc w:val="both"/>
        <w:rPr>
          <w:rFonts w:asciiTheme="majorBidi" w:hAnsiTheme="majorBidi" w:cstheme="majorBidi"/>
        </w:rPr>
      </w:pPr>
    </w:p>
    <w:p w14:paraId="736CEF84" w14:textId="77777777" w:rsidR="00956464" w:rsidRPr="0077503B" w:rsidRDefault="00956464" w:rsidP="00607CB5">
      <w:pPr>
        <w:spacing w:line="276" w:lineRule="auto"/>
        <w:jc w:val="center"/>
        <w:rPr>
          <w:rFonts w:asciiTheme="majorBidi" w:hAnsiTheme="majorBidi" w:cstheme="majorBidi"/>
          <w:b/>
        </w:rPr>
      </w:pPr>
      <w:r w:rsidRPr="0077503B">
        <w:rPr>
          <w:rFonts w:asciiTheme="majorBidi" w:hAnsiTheme="majorBidi" w:cstheme="majorBidi"/>
          <w:b/>
        </w:rPr>
        <w:t>Rezolutīvā daļa</w:t>
      </w:r>
    </w:p>
    <w:p w14:paraId="352D7EC2" w14:textId="77777777" w:rsidR="00956464" w:rsidRPr="0077503B" w:rsidRDefault="00956464" w:rsidP="00607CB5">
      <w:pPr>
        <w:spacing w:line="276" w:lineRule="auto"/>
        <w:ind w:firstLine="567"/>
        <w:jc w:val="both"/>
        <w:rPr>
          <w:rFonts w:asciiTheme="majorBidi" w:hAnsiTheme="majorBidi" w:cstheme="majorBidi"/>
        </w:rPr>
      </w:pPr>
    </w:p>
    <w:p w14:paraId="2D64B038" w14:textId="77777777"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 xml:space="preserve">Pamatojoties uz </w:t>
      </w:r>
      <w:r w:rsidRPr="0077503B">
        <w:rPr>
          <w:rFonts w:asciiTheme="majorBidi" w:eastAsia="Calibri" w:hAnsiTheme="majorBidi" w:cstheme="majorBidi"/>
          <w:lang w:eastAsia="en-US"/>
        </w:rPr>
        <w:t>Administratīvā procesa likuma 348.panta pirmās daļas 1.punktu un 351.pantu</w:t>
      </w:r>
      <w:r w:rsidRPr="0077503B">
        <w:rPr>
          <w:rFonts w:asciiTheme="majorBidi" w:hAnsiTheme="majorBidi" w:cstheme="majorBidi"/>
        </w:rPr>
        <w:t>, Senāts</w:t>
      </w:r>
    </w:p>
    <w:p w14:paraId="0AC922B9" w14:textId="77777777" w:rsidR="00956464" w:rsidRPr="0077503B" w:rsidRDefault="00956464" w:rsidP="00607CB5">
      <w:pPr>
        <w:spacing w:line="276" w:lineRule="auto"/>
        <w:ind w:firstLine="567"/>
        <w:jc w:val="both"/>
        <w:rPr>
          <w:rFonts w:asciiTheme="majorBidi" w:hAnsiTheme="majorBidi" w:cstheme="majorBidi"/>
          <w:strike/>
        </w:rPr>
      </w:pPr>
    </w:p>
    <w:p w14:paraId="6145C688" w14:textId="77777777" w:rsidR="00956464" w:rsidRPr="0077503B" w:rsidRDefault="00956464" w:rsidP="00607CB5">
      <w:pPr>
        <w:spacing w:line="276" w:lineRule="auto"/>
        <w:jc w:val="center"/>
        <w:rPr>
          <w:rFonts w:asciiTheme="majorBidi" w:hAnsiTheme="majorBidi" w:cstheme="majorBidi"/>
          <w:b/>
        </w:rPr>
      </w:pPr>
      <w:r w:rsidRPr="0077503B">
        <w:rPr>
          <w:rFonts w:asciiTheme="majorBidi" w:hAnsiTheme="majorBidi" w:cstheme="majorBidi"/>
          <w:b/>
        </w:rPr>
        <w:t>nosprieda</w:t>
      </w:r>
    </w:p>
    <w:p w14:paraId="4CDE3981" w14:textId="77777777" w:rsidR="00956464" w:rsidRPr="0077503B" w:rsidRDefault="00956464" w:rsidP="00607CB5">
      <w:pPr>
        <w:spacing w:line="276" w:lineRule="auto"/>
        <w:ind w:firstLine="567"/>
        <w:jc w:val="center"/>
        <w:rPr>
          <w:rFonts w:asciiTheme="majorBidi" w:hAnsiTheme="majorBidi" w:cstheme="majorBidi"/>
          <w:b/>
        </w:rPr>
      </w:pPr>
    </w:p>
    <w:p w14:paraId="0450EB80" w14:textId="0843FE95"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atstāt negrozītu Administratīvās apgabaltiesas 202</w:t>
      </w:r>
      <w:r w:rsidR="00635A86">
        <w:rPr>
          <w:rFonts w:asciiTheme="majorBidi" w:hAnsiTheme="majorBidi" w:cstheme="majorBidi"/>
        </w:rPr>
        <w:t>2</w:t>
      </w:r>
      <w:r w:rsidRPr="0077503B">
        <w:rPr>
          <w:rFonts w:asciiTheme="majorBidi" w:hAnsiTheme="majorBidi" w:cstheme="majorBidi"/>
        </w:rPr>
        <w:t>.gada 2</w:t>
      </w:r>
      <w:r w:rsidR="00635A86">
        <w:rPr>
          <w:rFonts w:asciiTheme="majorBidi" w:hAnsiTheme="majorBidi" w:cstheme="majorBidi"/>
        </w:rPr>
        <w:t>1</w:t>
      </w:r>
      <w:r w:rsidRPr="0077503B">
        <w:rPr>
          <w:rFonts w:asciiTheme="majorBidi" w:hAnsiTheme="majorBidi" w:cstheme="majorBidi"/>
        </w:rPr>
        <w:t>.</w:t>
      </w:r>
      <w:r w:rsidR="00635A86">
        <w:rPr>
          <w:rFonts w:asciiTheme="majorBidi" w:hAnsiTheme="majorBidi" w:cstheme="majorBidi"/>
        </w:rPr>
        <w:t>novembra</w:t>
      </w:r>
      <w:r w:rsidRPr="0077503B">
        <w:rPr>
          <w:rFonts w:asciiTheme="majorBidi" w:hAnsiTheme="majorBidi" w:cstheme="majorBidi"/>
        </w:rPr>
        <w:t xml:space="preserve"> spriedumu, bet </w:t>
      </w:r>
      <w:r w:rsidRPr="0077503B">
        <w:rPr>
          <w:rFonts w:asciiTheme="majorBidi" w:hAnsiTheme="majorBidi" w:cstheme="majorBidi"/>
          <w:lang w:eastAsia="en-US"/>
        </w:rPr>
        <w:t>SIA „</w:t>
      </w:r>
      <w:r w:rsidR="00635A86">
        <w:rPr>
          <w:rFonts w:asciiTheme="majorBidi" w:hAnsiTheme="majorBidi" w:cstheme="majorBidi"/>
          <w:lang w:eastAsia="en-US"/>
        </w:rPr>
        <w:t>TK BALT”</w:t>
      </w:r>
      <w:r w:rsidRPr="0077503B">
        <w:rPr>
          <w:rFonts w:asciiTheme="majorBidi" w:hAnsiTheme="majorBidi" w:cstheme="majorBidi"/>
        </w:rPr>
        <w:t xml:space="preserve"> kasācijas sūdzību noraidīt.</w:t>
      </w:r>
    </w:p>
    <w:p w14:paraId="2F67349D" w14:textId="77777777" w:rsidR="00956464" w:rsidRPr="0077503B" w:rsidRDefault="00956464" w:rsidP="00607CB5">
      <w:pPr>
        <w:spacing w:line="276" w:lineRule="auto"/>
        <w:ind w:firstLine="720"/>
        <w:jc w:val="both"/>
        <w:rPr>
          <w:rFonts w:asciiTheme="majorBidi" w:hAnsiTheme="majorBidi" w:cstheme="majorBidi"/>
        </w:rPr>
      </w:pPr>
    </w:p>
    <w:p w14:paraId="255A3DD5" w14:textId="77777777" w:rsidR="00956464" w:rsidRPr="0077503B" w:rsidRDefault="00956464" w:rsidP="00607CB5">
      <w:pPr>
        <w:spacing w:line="276" w:lineRule="auto"/>
        <w:ind w:firstLine="720"/>
        <w:jc w:val="both"/>
        <w:rPr>
          <w:rFonts w:asciiTheme="majorBidi" w:hAnsiTheme="majorBidi" w:cstheme="majorBidi"/>
        </w:rPr>
      </w:pPr>
      <w:r w:rsidRPr="0077503B">
        <w:rPr>
          <w:rFonts w:asciiTheme="majorBidi" w:hAnsiTheme="majorBidi" w:cstheme="majorBidi"/>
        </w:rPr>
        <w:t>Spriedums nav pārsūdzams.</w:t>
      </w:r>
    </w:p>
    <w:p w14:paraId="1202E335" w14:textId="77777777" w:rsidR="00956464" w:rsidRPr="0077503B" w:rsidRDefault="00956464" w:rsidP="00A24D55">
      <w:pPr>
        <w:spacing w:line="276" w:lineRule="auto"/>
        <w:ind w:firstLine="567"/>
        <w:jc w:val="both"/>
        <w:rPr>
          <w:rFonts w:asciiTheme="majorBidi" w:hAnsiTheme="majorBidi" w:cstheme="majorBidi"/>
          <w:bCs/>
          <w:color w:val="FFFFFF"/>
        </w:rPr>
      </w:pPr>
    </w:p>
    <w:p w14:paraId="13D31F08" w14:textId="77777777" w:rsidR="00956464" w:rsidRPr="0077503B" w:rsidRDefault="00956464" w:rsidP="00A24D55">
      <w:pPr>
        <w:spacing w:line="276" w:lineRule="auto"/>
        <w:ind w:firstLine="567"/>
        <w:jc w:val="both"/>
        <w:rPr>
          <w:rFonts w:asciiTheme="majorBidi" w:hAnsiTheme="majorBidi" w:cstheme="majorBidi"/>
          <w:bCs/>
          <w:color w:val="FFFFFF"/>
        </w:rPr>
      </w:pPr>
    </w:p>
    <w:p w14:paraId="255A20EB" w14:textId="77777777" w:rsidR="00956464" w:rsidRPr="0077503B" w:rsidRDefault="00956464" w:rsidP="00A24D55">
      <w:pPr>
        <w:spacing w:line="276" w:lineRule="auto"/>
        <w:ind w:firstLine="567"/>
        <w:jc w:val="both"/>
        <w:rPr>
          <w:rFonts w:asciiTheme="majorBidi" w:hAnsiTheme="majorBidi" w:cstheme="majorBidi"/>
          <w:bCs/>
          <w:color w:val="FFFFFF"/>
        </w:rPr>
      </w:pPr>
    </w:p>
    <w:p w14:paraId="0DAD94E4" w14:textId="77777777" w:rsidR="00956464" w:rsidRPr="0077503B" w:rsidRDefault="00956464" w:rsidP="00A24D55">
      <w:pPr>
        <w:spacing w:line="276" w:lineRule="auto"/>
        <w:ind w:firstLine="567"/>
        <w:jc w:val="both"/>
        <w:rPr>
          <w:rFonts w:asciiTheme="majorBidi" w:hAnsiTheme="majorBidi" w:cstheme="majorBidi"/>
          <w:bCs/>
          <w:color w:val="FFFFFF"/>
        </w:rPr>
      </w:pPr>
    </w:p>
    <w:p w14:paraId="5701E15C" w14:textId="77777777" w:rsidR="00956464" w:rsidRPr="0077503B" w:rsidRDefault="00956464" w:rsidP="00A24D55">
      <w:pPr>
        <w:spacing w:line="276" w:lineRule="auto"/>
        <w:ind w:firstLine="567"/>
        <w:jc w:val="both"/>
        <w:rPr>
          <w:rFonts w:asciiTheme="majorBidi" w:hAnsiTheme="majorBidi" w:cstheme="majorBidi"/>
          <w:color w:val="000000"/>
        </w:rPr>
      </w:pPr>
    </w:p>
    <w:p w14:paraId="7E2F7C21" w14:textId="77777777" w:rsidR="003A62BD" w:rsidRPr="0077503B" w:rsidRDefault="003A62BD" w:rsidP="00A24D55">
      <w:pPr>
        <w:spacing w:line="276" w:lineRule="auto"/>
        <w:ind w:firstLine="567"/>
        <w:rPr>
          <w:rFonts w:asciiTheme="majorBidi" w:hAnsiTheme="majorBidi" w:cstheme="majorBidi"/>
        </w:rPr>
      </w:pPr>
    </w:p>
    <w:sectPr w:rsidR="003A62BD" w:rsidRPr="0077503B" w:rsidSect="00956464">
      <w:footerReference w:type="even" r:id="rId21"/>
      <w:footerReference w:type="default" r:id="rId22"/>
      <w:pgSz w:w="11906" w:h="16838" w:code="9"/>
      <w:pgMar w:top="1134" w:right="1701" w:bottom="1134" w:left="1701"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AF665E" w14:textId="77777777" w:rsidR="00C939B1" w:rsidRDefault="00C939B1">
      <w:r>
        <w:separator/>
      </w:r>
    </w:p>
  </w:endnote>
  <w:endnote w:type="continuationSeparator" w:id="0">
    <w:p w14:paraId="4097E5D2" w14:textId="77777777" w:rsidR="00C939B1" w:rsidRDefault="00C93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charset w:val="00"/>
    <w:family w:val="auto"/>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60DF8" w14:textId="77777777" w:rsidR="004D7E3F" w:rsidRDefault="004D7E3F"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2A1D0" w14:textId="77777777" w:rsidR="004D7E3F" w:rsidRDefault="004D7E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FD740" w14:textId="77777777" w:rsidR="004D7E3F" w:rsidRPr="00A3531C" w:rsidRDefault="004D7E3F" w:rsidP="00D16833">
    <w:pPr>
      <w:pStyle w:val="Footer"/>
      <w:framePr w:wrap="around" w:vAnchor="text" w:hAnchor="margin" w:xAlign="center" w:y="1"/>
      <w:rPr>
        <w:rStyle w:val="PageNumber"/>
        <w:sz w:val="20"/>
        <w:szCs w:val="20"/>
      </w:rPr>
    </w:pPr>
    <w:r w:rsidRPr="00A3531C">
      <w:rPr>
        <w:rStyle w:val="PageNumber"/>
        <w:sz w:val="20"/>
        <w:szCs w:val="20"/>
      </w:rPr>
      <w:fldChar w:fldCharType="begin"/>
    </w:r>
    <w:r w:rsidRPr="00A3531C">
      <w:rPr>
        <w:rStyle w:val="PageNumber"/>
        <w:sz w:val="20"/>
        <w:szCs w:val="20"/>
      </w:rPr>
      <w:instrText xml:space="preserve">PAGE  </w:instrText>
    </w:r>
    <w:r w:rsidRPr="00A3531C">
      <w:rPr>
        <w:rStyle w:val="PageNumber"/>
        <w:sz w:val="20"/>
        <w:szCs w:val="20"/>
      </w:rPr>
      <w:fldChar w:fldCharType="separate"/>
    </w:r>
    <w:r w:rsidRPr="00A3531C">
      <w:rPr>
        <w:rStyle w:val="PageNumber"/>
        <w:noProof/>
        <w:sz w:val="20"/>
        <w:szCs w:val="20"/>
      </w:rPr>
      <w:t>7</w:t>
    </w:r>
    <w:r w:rsidRPr="00A3531C">
      <w:rPr>
        <w:rStyle w:val="PageNumber"/>
        <w:sz w:val="20"/>
        <w:szCs w:val="20"/>
      </w:rPr>
      <w:fldChar w:fldCharType="end"/>
    </w:r>
    <w:r w:rsidRPr="00A3531C">
      <w:rPr>
        <w:rStyle w:val="PageNumber"/>
        <w:sz w:val="20"/>
        <w:szCs w:val="20"/>
      </w:rPr>
      <w:t xml:space="preserve"> no </w:t>
    </w:r>
    <w:r w:rsidRPr="00A3531C">
      <w:rPr>
        <w:rStyle w:val="PageNumber"/>
        <w:sz w:val="20"/>
        <w:szCs w:val="20"/>
      </w:rPr>
      <w:fldChar w:fldCharType="begin"/>
    </w:r>
    <w:r w:rsidRPr="00A3531C">
      <w:rPr>
        <w:rStyle w:val="PageNumber"/>
        <w:sz w:val="20"/>
        <w:szCs w:val="20"/>
      </w:rPr>
      <w:instrText xml:space="preserve"> NUMPAGES </w:instrText>
    </w:r>
    <w:r w:rsidRPr="00A3531C">
      <w:rPr>
        <w:rStyle w:val="PageNumber"/>
        <w:sz w:val="20"/>
        <w:szCs w:val="20"/>
      </w:rPr>
      <w:fldChar w:fldCharType="separate"/>
    </w:r>
    <w:r w:rsidRPr="00A3531C">
      <w:rPr>
        <w:rStyle w:val="PageNumber"/>
        <w:noProof/>
        <w:sz w:val="20"/>
        <w:szCs w:val="20"/>
      </w:rPr>
      <w:t>7</w:t>
    </w:r>
    <w:r w:rsidRPr="00A3531C">
      <w:rPr>
        <w:rStyle w:val="PageNumber"/>
        <w:sz w:val="20"/>
        <w:szCs w:val="20"/>
      </w:rPr>
      <w:fldChar w:fldCharType="end"/>
    </w:r>
  </w:p>
  <w:p w14:paraId="5E21B932" w14:textId="77777777" w:rsidR="004D7E3F" w:rsidRDefault="004D7E3F" w:rsidP="004276D2">
    <w:pPr>
      <w:pStyle w:val="Footer"/>
      <w:rPr>
        <w:sz w:val="20"/>
        <w:szCs w:val="20"/>
      </w:rPr>
    </w:pPr>
  </w:p>
  <w:p w14:paraId="4ECA923F" w14:textId="77777777" w:rsidR="004D7E3F" w:rsidRPr="00A3531C" w:rsidRDefault="004D7E3F" w:rsidP="004276D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F3A60" w14:textId="77777777" w:rsidR="00C939B1" w:rsidRDefault="00C939B1">
      <w:r>
        <w:separator/>
      </w:r>
    </w:p>
  </w:footnote>
  <w:footnote w:type="continuationSeparator" w:id="0">
    <w:p w14:paraId="21129772" w14:textId="77777777" w:rsidR="00C939B1" w:rsidRDefault="00C939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F04A84"/>
    <w:multiLevelType w:val="hybridMultilevel"/>
    <w:tmpl w:val="FA1E0D2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875704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64"/>
    <w:rsid w:val="000008C7"/>
    <w:rsid w:val="000121B3"/>
    <w:rsid w:val="00031BE1"/>
    <w:rsid w:val="00043623"/>
    <w:rsid w:val="000436FC"/>
    <w:rsid w:val="000465AE"/>
    <w:rsid w:val="00053640"/>
    <w:rsid w:val="00060452"/>
    <w:rsid w:val="00060A82"/>
    <w:rsid w:val="0007216B"/>
    <w:rsid w:val="000A1888"/>
    <w:rsid w:val="000A197A"/>
    <w:rsid w:val="000A1985"/>
    <w:rsid w:val="000A5367"/>
    <w:rsid w:val="000B6D2D"/>
    <w:rsid w:val="000C4FC1"/>
    <w:rsid w:val="000C6A65"/>
    <w:rsid w:val="000C6A70"/>
    <w:rsid w:val="000D272D"/>
    <w:rsid w:val="000D63E5"/>
    <w:rsid w:val="000F4327"/>
    <w:rsid w:val="00104DAA"/>
    <w:rsid w:val="00106854"/>
    <w:rsid w:val="00107AE1"/>
    <w:rsid w:val="0011642D"/>
    <w:rsid w:val="001206A5"/>
    <w:rsid w:val="00122B40"/>
    <w:rsid w:val="0012467B"/>
    <w:rsid w:val="001269DB"/>
    <w:rsid w:val="00130C91"/>
    <w:rsid w:val="00132951"/>
    <w:rsid w:val="001349CF"/>
    <w:rsid w:val="00134CF6"/>
    <w:rsid w:val="00143908"/>
    <w:rsid w:val="001454CE"/>
    <w:rsid w:val="00162AF9"/>
    <w:rsid w:val="00166837"/>
    <w:rsid w:val="00172D79"/>
    <w:rsid w:val="00193594"/>
    <w:rsid w:val="001937D1"/>
    <w:rsid w:val="001A68A3"/>
    <w:rsid w:val="001B09EF"/>
    <w:rsid w:val="001B1243"/>
    <w:rsid w:val="001B5721"/>
    <w:rsid w:val="001D6981"/>
    <w:rsid w:val="001F29B7"/>
    <w:rsid w:val="001F3D0E"/>
    <w:rsid w:val="001F52CC"/>
    <w:rsid w:val="002011E0"/>
    <w:rsid w:val="00211EBA"/>
    <w:rsid w:val="00217021"/>
    <w:rsid w:val="0022181E"/>
    <w:rsid w:val="00222A82"/>
    <w:rsid w:val="0024054C"/>
    <w:rsid w:val="002415C4"/>
    <w:rsid w:val="00244C10"/>
    <w:rsid w:val="00246DF3"/>
    <w:rsid w:val="002534AF"/>
    <w:rsid w:val="00263BA2"/>
    <w:rsid w:val="00272828"/>
    <w:rsid w:val="00275CBC"/>
    <w:rsid w:val="00285657"/>
    <w:rsid w:val="0028609C"/>
    <w:rsid w:val="002876F6"/>
    <w:rsid w:val="0029195F"/>
    <w:rsid w:val="00295B71"/>
    <w:rsid w:val="002A4F1A"/>
    <w:rsid w:val="002B1103"/>
    <w:rsid w:val="002C1F46"/>
    <w:rsid w:val="002D5992"/>
    <w:rsid w:val="002E6E6E"/>
    <w:rsid w:val="002F1D3C"/>
    <w:rsid w:val="002F3980"/>
    <w:rsid w:val="00302019"/>
    <w:rsid w:val="0030227D"/>
    <w:rsid w:val="003041FE"/>
    <w:rsid w:val="00310A21"/>
    <w:rsid w:val="00317ED6"/>
    <w:rsid w:val="00334711"/>
    <w:rsid w:val="0034009C"/>
    <w:rsid w:val="003458A9"/>
    <w:rsid w:val="00345A87"/>
    <w:rsid w:val="00350024"/>
    <w:rsid w:val="00352C0E"/>
    <w:rsid w:val="0036046E"/>
    <w:rsid w:val="00360AF9"/>
    <w:rsid w:val="00363A42"/>
    <w:rsid w:val="00367D4D"/>
    <w:rsid w:val="00370331"/>
    <w:rsid w:val="003911DC"/>
    <w:rsid w:val="003927ED"/>
    <w:rsid w:val="00395266"/>
    <w:rsid w:val="003959D7"/>
    <w:rsid w:val="00395F9C"/>
    <w:rsid w:val="003A120A"/>
    <w:rsid w:val="003A2866"/>
    <w:rsid w:val="003A62BD"/>
    <w:rsid w:val="003B316A"/>
    <w:rsid w:val="003B40EF"/>
    <w:rsid w:val="003D34C2"/>
    <w:rsid w:val="003D6D83"/>
    <w:rsid w:val="003E4375"/>
    <w:rsid w:val="003E5F7F"/>
    <w:rsid w:val="003E6B73"/>
    <w:rsid w:val="003F562C"/>
    <w:rsid w:val="003F72F9"/>
    <w:rsid w:val="003F7A74"/>
    <w:rsid w:val="004110F4"/>
    <w:rsid w:val="004256DA"/>
    <w:rsid w:val="00427037"/>
    <w:rsid w:val="00432DB5"/>
    <w:rsid w:val="00440DA6"/>
    <w:rsid w:val="004521D6"/>
    <w:rsid w:val="00486997"/>
    <w:rsid w:val="00493EA0"/>
    <w:rsid w:val="004A1487"/>
    <w:rsid w:val="004A7A55"/>
    <w:rsid w:val="004C42DB"/>
    <w:rsid w:val="004C720C"/>
    <w:rsid w:val="004C7B4C"/>
    <w:rsid w:val="004D3338"/>
    <w:rsid w:val="004D4DC0"/>
    <w:rsid w:val="004D7104"/>
    <w:rsid w:val="004D7E3F"/>
    <w:rsid w:val="004E4459"/>
    <w:rsid w:val="004F1A61"/>
    <w:rsid w:val="004F2027"/>
    <w:rsid w:val="004F6B64"/>
    <w:rsid w:val="004F6C26"/>
    <w:rsid w:val="00500861"/>
    <w:rsid w:val="00500E3E"/>
    <w:rsid w:val="00502A51"/>
    <w:rsid w:val="00517B32"/>
    <w:rsid w:val="005243E0"/>
    <w:rsid w:val="00534898"/>
    <w:rsid w:val="00537F8F"/>
    <w:rsid w:val="00552223"/>
    <w:rsid w:val="00555DB9"/>
    <w:rsid w:val="005563B8"/>
    <w:rsid w:val="0056497D"/>
    <w:rsid w:val="00570602"/>
    <w:rsid w:val="005766A8"/>
    <w:rsid w:val="005900B5"/>
    <w:rsid w:val="00596851"/>
    <w:rsid w:val="00596D32"/>
    <w:rsid w:val="005B2E79"/>
    <w:rsid w:val="005B5D12"/>
    <w:rsid w:val="005B70C4"/>
    <w:rsid w:val="005C4766"/>
    <w:rsid w:val="005D1259"/>
    <w:rsid w:val="005D354A"/>
    <w:rsid w:val="005D4A8B"/>
    <w:rsid w:val="005D6D08"/>
    <w:rsid w:val="005E3E86"/>
    <w:rsid w:val="005E5FFC"/>
    <w:rsid w:val="005F1857"/>
    <w:rsid w:val="005F26D9"/>
    <w:rsid w:val="005F5633"/>
    <w:rsid w:val="00604613"/>
    <w:rsid w:val="00605F3B"/>
    <w:rsid w:val="006078E7"/>
    <w:rsid w:val="00607CB5"/>
    <w:rsid w:val="0061024E"/>
    <w:rsid w:val="00614C0F"/>
    <w:rsid w:val="00615846"/>
    <w:rsid w:val="00615ABF"/>
    <w:rsid w:val="00623291"/>
    <w:rsid w:val="00624757"/>
    <w:rsid w:val="00630D27"/>
    <w:rsid w:val="006330D3"/>
    <w:rsid w:val="00635A86"/>
    <w:rsid w:val="00635EA5"/>
    <w:rsid w:val="0064228E"/>
    <w:rsid w:val="0064272D"/>
    <w:rsid w:val="00643168"/>
    <w:rsid w:val="00645F16"/>
    <w:rsid w:val="00664740"/>
    <w:rsid w:val="006730AD"/>
    <w:rsid w:val="00676866"/>
    <w:rsid w:val="00681355"/>
    <w:rsid w:val="006840D1"/>
    <w:rsid w:val="00686E25"/>
    <w:rsid w:val="006974F1"/>
    <w:rsid w:val="006A0656"/>
    <w:rsid w:val="006A0F1C"/>
    <w:rsid w:val="006A792C"/>
    <w:rsid w:val="006B46D9"/>
    <w:rsid w:val="006B5207"/>
    <w:rsid w:val="006C1816"/>
    <w:rsid w:val="006D38D2"/>
    <w:rsid w:val="006D47FF"/>
    <w:rsid w:val="006E2BA8"/>
    <w:rsid w:val="006E2D20"/>
    <w:rsid w:val="006E5DD9"/>
    <w:rsid w:val="006E73BF"/>
    <w:rsid w:val="006F2B11"/>
    <w:rsid w:val="006F5A11"/>
    <w:rsid w:val="00716CB1"/>
    <w:rsid w:val="007215EB"/>
    <w:rsid w:val="00724D5D"/>
    <w:rsid w:val="00733DA3"/>
    <w:rsid w:val="0073605F"/>
    <w:rsid w:val="00741E85"/>
    <w:rsid w:val="00744022"/>
    <w:rsid w:val="0075135A"/>
    <w:rsid w:val="00766C70"/>
    <w:rsid w:val="007714F2"/>
    <w:rsid w:val="0077503B"/>
    <w:rsid w:val="007754F8"/>
    <w:rsid w:val="00782722"/>
    <w:rsid w:val="0078452B"/>
    <w:rsid w:val="00792B45"/>
    <w:rsid w:val="00793CF5"/>
    <w:rsid w:val="007A46C5"/>
    <w:rsid w:val="007B602D"/>
    <w:rsid w:val="007C5759"/>
    <w:rsid w:val="007C726D"/>
    <w:rsid w:val="007D4473"/>
    <w:rsid w:val="007D53E6"/>
    <w:rsid w:val="007E282C"/>
    <w:rsid w:val="007F05B1"/>
    <w:rsid w:val="00802032"/>
    <w:rsid w:val="008027CE"/>
    <w:rsid w:val="00802EC6"/>
    <w:rsid w:val="00810470"/>
    <w:rsid w:val="00831577"/>
    <w:rsid w:val="00835D35"/>
    <w:rsid w:val="00837F25"/>
    <w:rsid w:val="00841533"/>
    <w:rsid w:val="00841CFA"/>
    <w:rsid w:val="008420C6"/>
    <w:rsid w:val="00844E51"/>
    <w:rsid w:val="00844F30"/>
    <w:rsid w:val="00846F99"/>
    <w:rsid w:val="0085148D"/>
    <w:rsid w:val="00851C0E"/>
    <w:rsid w:val="00851C72"/>
    <w:rsid w:val="00865471"/>
    <w:rsid w:val="00875584"/>
    <w:rsid w:val="00875C91"/>
    <w:rsid w:val="0087600F"/>
    <w:rsid w:val="00885DAE"/>
    <w:rsid w:val="00891284"/>
    <w:rsid w:val="00896635"/>
    <w:rsid w:val="008A56D6"/>
    <w:rsid w:val="008D2107"/>
    <w:rsid w:val="008F456D"/>
    <w:rsid w:val="008F50B0"/>
    <w:rsid w:val="008F65ED"/>
    <w:rsid w:val="00900E33"/>
    <w:rsid w:val="00904ED9"/>
    <w:rsid w:val="00905001"/>
    <w:rsid w:val="00905C97"/>
    <w:rsid w:val="00910D4F"/>
    <w:rsid w:val="00916669"/>
    <w:rsid w:val="00932A7F"/>
    <w:rsid w:val="00932EB8"/>
    <w:rsid w:val="00934B56"/>
    <w:rsid w:val="00937368"/>
    <w:rsid w:val="0094388B"/>
    <w:rsid w:val="0095381A"/>
    <w:rsid w:val="00956464"/>
    <w:rsid w:val="009646C9"/>
    <w:rsid w:val="009650E4"/>
    <w:rsid w:val="00965E59"/>
    <w:rsid w:val="00991BE2"/>
    <w:rsid w:val="00993AD6"/>
    <w:rsid w:val="00994DFE"/>
    <w:rsid w:val="009A3AD9"/>
    <w:rsid w:val="009C486D"/>
    <w:rsid w:val="009C6734"/>
    <w:rsid w:val="009D12DA"/>
    <w:rsid w:val="009D5E45"/>
    <w:rsid w:val="009D7B6C"/>
    <w:rsid w:val="009D7F6E"/>
    <w:rsid w:val="009E0962"/>
    <w:rsid w:val="009E65B4"/>
    <w:rsid w:val="009F243B"/>
    <w:rsid w:val="009F2BC9"/>
    <w:rsid w:val="009F3BD2"/>
    <w:rsid w:val="009F562C"/>
    <w:rsid w:val="00A059D4"/>
    <w:rsid w:val="00A24D55"/>
    <w:rsid w:val="00A40B09"/>
    <w:rsid w:val="00A4120A"/>
    <w:rsid w:val="00A43785"/>
    <w:rsid w:val="00A47060"/>
    <w:rsid w:val="00A4773D"/>
    <w:rsid w:val="00A50BE3"/>
    <w:rsid w:val="00A619C5"/>
    <w:rsid w:val="00A67B56"/>
    <w:rsid w:val="00A7044C"/>
    <w:rsid w:val="00A70D0B"/>
    <w:rsid w:val="00A734B6"/>
    <w:rsid w:val="00A7427E"/>
    <w:rsid w:val="00A76D4B"/>
    <w:rsid w:val="00A772CE"/>
    <w:rsid w:val="00A84812"/>
    <w:rsid w:val="00A87800"/>
    <w:rsid w:val="00A90DDC"/>
    <w:rsid w:val="00A92D54"/>
    <w:rsid w:val="00A93BB2"/>
    <w:rsid w:val="00A95D8C"/>
    <w:rsid w:val="00AA3F16"/>
    <w:rsid w:val="00AB46FF"/>
    <w:rsid w:val="00AB61CD"/>
    <w:rsid w:val="00AB74A2"/>
    <w:rsid w:val="00AC336B"/>
    <w:rsid w:val="00AC6215"/>
    <w:rsid w:val="00AD76D5"/>
    <w:rsid w:val="00AE084F"/>
    <w:rsid w:val="00AE52C8"/>
    <w:rsid w:val="00AE5E9E"/>
    <w:rsid w:val="00AF0A91"/>
    <w:rsid w:val="00AF1433"/>
    <w:rsid w:val="00B01F04"/>
    <w:rsid w:val="00B07A9C"/>
    <w:rsid w:val="00B10BCA"/>
    <w:rsid w:val="00B1288C"/>
    <w:rsid w:val="00B24F2D"/>
    <w:rsid w:val="00B265ED"/>
    <w:rsid w:val="00B30710"/>
    <w:rsid w:val="00B44E11"/>
    <w:rsid w:val="00B45CC6"/>
    <w:rsid w:val="00B46875"/>
    <w:rsid w:val="00B47388"/>
    <w:rsid w:val="00B47B9F"/>
    <w:rsid w:val="00B5784F"/>
    <w:rsid w:val="00B62D1D"/>
    <w:rsid w:val="00B72F13"/>
    <w:rsid w:val="00B82424"/>
    <w:rsid w:val="00B84178"/>
    <w:rsid w:val="00B91EFA"/>
    <w:rsid w:val="00B94110"/>
    <w:rsid w:val="00B96DB9"/>
    <w:rsid w:val="00BA1CFC"/>
    <w:rsid w:val="00BA26B9"/>
    <w:rsid w:val="00BB12FF"/>
    <w:rsid w:val="00BB216C"/>
    <w:rsid w:val="00BC6BCB"/>
    <w:rsid w:val="00BD1836"/>
    <w:rsid w:val="00BE1F08"/>
    <w:rsid w:val="00BE7795"/>
    <w:rsid w:val="00BF0796"/>
    <w:rsid w:val="00BF54C8"/>
    <w:rsid w:val="00C11543"/>
    <w:rsid w:val="00C12178"/>
    <w:rsid w:val="00C1517E"/>
    <w:rsid w:val="00C1626E"/>
    <w:rsid w:val="00C2303D"/>
    <w:rsid w:val="00C263F2"/>
    <w:rsid w:val="00C27114"/>
    <w:rsid w:val="00C31141"/>
    <w:rsid w:val="00C336ED"/>
    <w:rsid w:val="00C34CE4"/>
    <w:rsid w:val="00C37405"/>
    <w:rsid w:val="00C37832"/>
    <w:rsid w:val="00C37BB2"/>
    <w:rsid w:val="00C43395"/>
    <w:rsid w:val="00C43693"/>
    <w:rsid w:val="00C47E37"/>
    <w:rsid w:val="00C55D98"/>
    <w:rsid w:val="00C61ACF"/>
    <w:rsid w:val="00C7396E"/>
    <w:rsid w:val="00C939B1"/>
    <w:rsid w:val="00C96888"/>
    <w:rsid w:val="00CA59EF"/>
    <w:rsid w:val="00CB58AF"/>
    <w:rsid w:val="00CB6D52"/>
    <w:rsid w:val="00CC1958"/>
    <w:rsid w:val="00CC4D35"/>
    <w:rsid w:val="00CC56DA"/>
    <w:rsid w:val="00CD10A9"/>
    <w:rsid w:val="00CD2D32"/>
    <w:rsid w:val="00CD43ED"/>
    <w:rsid w:val="00CE3B42"/>
    <w:rsid w:val="00CF571D"/>
    <w:rsid w:val="00D137EA"/>
    <w:rsid w:val="00D1777D"/>
    <w:rsid w:val="00D243E2"/>
    <w:rsid w:val="00D331C1"/>
    <w:rsid w:val="00D5112C"/>
    <w:rsid w:val="00D5179B"/>
    <w:rsid w:val="00D540A4"/>
    <w:rsid w:val="00D55C14"/>
    <w:rsid w:val="00D6322C"/>
    <w:rsid w:val="00D709D3"/>
    <w:rsid w:val="00D75980"/>
    <w:rsid w:val="00D776F9"/>
    <w:rsid w:val="00D813D6"/>
    <w:rsid w:val="00D969D1"/>
    <w:rsid w:val="00DA3223"/>
    <w:rsid w:val="00DA62ED"/>
    <w:rsid w:val="00DB63ED"/>
    <w:rsid w:val="00DC2A81"/>
    <w:rsid w:val="00DC49D0"/>
    <w:rsid w:val="00DD2E21"/>
    <w:rsid w:val="00DD3623"/>
    <w:rsid w:val="00DD4ED3"/>
    <w:rsid w:val="00DE09D7"/>
    <w:rsid w:val="00E00304"/>
    <w:rsid w:val="00E01C3C"/>
    <w:rsid w:val="00E03A29"/>
    <w:rsid w:val="00E10C62"/>
    <w:rsid w:val="00E10F6C"/>
    <w:rsid w:val="00E148F3"/>
    <w:rsid w:val="00E15EBB"/>
    <w:rsid w:val="00E16FDF"/>
    <w:rsid w:val="00E30E56"/>
    <w:rsid w:val="00E42CE9"/>
    <w:rsid w:val="00E6682D"/>
    <w:rsid w:val="00E73B77"/>
    <w:rsid w:val="00E76181"/>
    <w:rsid w:val="00E87461"/>
    <w:rsid w:val="00E93CEE"/>
    <w:rsid w:val="00EA0F65"/>
    <w:rsid w:val="00EA22CA"/>
    <w:rsid w:val="00EB4668"/>
    <w:rsid w:val="00EC2444"/>
    <w:rsid w:val="00ED1BE5"/>
    <w:rsid w:val="00ED2E0E"/>
    <w:rsid w:val="00EE1B56"/>
    <w:rsid w:val="00EE2777"/>
    <w:rsid w:val="00EE3BC4"/>
    <w:rsid w:val="00EF70C2"/>
    <w:rsid w:val="00EF7A14"/>
    <w:rsid w:val="00F01428"/>
    <w:rsid w:val="00F019BC"/>
    <w:rsid w:val="00F10559"/>
    <w:rsid w:val="00F15B0D"/>
    <w:rsid w:val="00F306FD"/>
    <w:rsid w:val="00F31BF6"/>
    <w:rsid w:val="00F34FB5"/>
    <w:rsid w:val="00F44AC5"/>
    <w:rsid w:val="00F44B5A"/>
    <w:rsid w:val="00F46594"/>
    <w:rsid w:val="00F5378C"/>
    <w:rsid w:val="00F5443D"/>
    <w:rsid w:val="00F56861"/>
    <w:rsid w:val="00F70BE8"/>
    <w:rsid w:val="00F73CBD"/>
    <w:rsid w:val="00F82B1E"/>
    <w:rsid w:val="00F958F0"/>
    <w:rsid w:val="00F966F4"/>
    <w:rsid w:val="00FA1E7C"/>
    <w:rsid w:val="00FB4286"/>
    <w:rsid w:val="00FB44AA"/>
    <w:rsid w:val="00FC0BB3"/>
    <w:rsid w:val="00FC291B"/>
    <w:rsid w:val="00FC2A95"/>
    <w:rsid w:val="00FC5578"/>
    <w:rsid w:val="00FC5DB2"/>
    <w:rsid w:val="00FC649C"/>
    <w:rsid w:val="00FE32A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E919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464"/>
    <w:pPr>
      <w:spacing w:after="0" w:line="240" w:lineRule="auto"/>
    </w:pPr>
    <w:rPr>
      <w:rFonts w:eastAsia="Times New Roman" w:cs="Times New Roman"/>
      <w:kern w:val="0"/>
      <w:szCs w:val="24"/>
      <w:lang w:val="lv-LV"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56464"/>
    <w:pPr>
      <w:tabs>
        <w:tab w:val="center" w:pos="4153"/>
        <w:tab w:val="right" w:pos="8306"/>
      </w:tabs>
    </w:pPr>
  </w:style>
  <w:style w:type="character" w:customStyle="1" w:styleId="FooterChar">
    <w:name w:val="Footer Char"/>
    <w:basedOn w:val="DefaultParagraphFont"/>
    <w:link w:val="Footer"/>
    <w:rsid w:val="00956464"/>
    <w:rPr>
      <w:rFonts w:eastAsia="Times New Roman" w:cs="Times New Roman"/>
      <w:kern w:val="0"/>
      <w:szCs w:val="24"/>
      <w:lang w:val="lv-LV" w:eastAsia="lv-LV"/>
      <w14:ligatures w14:val="none"/>
    </w:rPr>
  </w:style>
  <w:style w:type="character" w:styleId="PageNumber">
    <w:name w:val="page number"/>
    <w:basedOn w:val="DefaultParagraphFont"/>
    <w:rsid w:val="00956464"/>
  </w:style>
  <w:style w:type="paragraph" w:styleId="Header">
    <w:name w:val="header"/>
    <w:basedOn w:val="Normal"/>
    <w:link w:val="HeaderChar"/>
    <w:rsid w:val="00956464"/>
    <w:pPr>
      <w:tabs>
        <w:tab w:val="center" w:pos="4153"/>
        <w:tab w:val="right" w:pos="8306"/>
      </w:tabs>
    </w:pPr>
  </w:style>
  <w:style w:type="character" w:customStyle="1" w:styleId="HeaderChar">
    <w:name w:val="Header Char"/>
    <w:basedOn w:val="DefaultParagraphFont"/>
    <w:link w:val="Header"/>
    <w:rsid w:val="00956464"/>
    <w:rPr>
      <w:rFonts w:eastAsia="Times New Roman" w:cs="Times New Roman"/>
      <w:kern w:val="0"/>
      <w:szCs w:val="24"/>
      <w:lang w:val="lv-LV" w:eastAsia="lv-LV"/>
      <w14:ligatures w14:val="none"/>
    </w:rPr>
  </w:style>
  <w:style w:type="character" w:styleId="Hyperlink">
    <w:name w:val="Hyperlink"/>
    <w:uiPriority w:val="99"/>
    <w:unhideWhenUsed/>
    <w:rsid w:val="00956464"/>
    <w:rPr>
      <w:color w:val="0000FF"/>
      <w:u w:val="single"/>
    </w:rPr>
  </w:style>
  <w:style w:type="character" w:styleId="CommentReference">
    <w:name w:val="annotation reference"/>
    <w:basedOn w:val="DefaultParagraphFont"/>
    <w:uiPriority w:val="99"/>
    <w:semiHidden/>
    <w:unhideWhenUsed/>
    <w:rsid w:val="002B1103"/>
    <w:rPr>
      <w:sz w:val="16"/>
      <w:szCs w:val="16"/>
    </w:rPr>
  </w:style>
  <w:style w:type="paragraph" w:styleId="CommentText">
    <w:name w:val="annotation text"/>
    <w:basedOn w:val="Normal"/>
    <w:link w:val="CommentTextChar"/>
    <w:uiPriority w:val="99"/>
    <w:unhideWhenUsed/>
    <w:rsid w:val="002B1103"/>
    <w:rPr>
      <w:sz w:val="20"/>
      <w:szCs w:val="20"/>
      <w:lang w:val="ru-RU" w:eastAsia="ru-RU"/>
    </w:rPr>
  </w:style>
  <w:style w:type="character" w:customStyle="1" w:styleId="CommentTextChar">
    <w:name w:val="Comment Text Char"/>
    <w:basedOn w:val="DefaultParagraphFont"/>
    <w:link w:val="CommentText"/>
    <w:uiPriority w:val="99"/>
    <w:rsid w:val="002B1103"/>
    <w:rPr>
      <w:rFonts w:eastAsia="Times New Roman" w:cs="Times New Roman"/>
      <w:kern w:val="0"/>
      <w:sz w:val="20"/>
      <w:szCs w:val="20"/>
      <w:lang w:val="ru-RU" w:eastAsia="ru-RU"/>
      <w14:ligatures w14:val="none"/>
    </w:rPr>
  </w:style>
  <w:style w:type="paragraph" w:styleId="CommentSubject">
    <w:name w:val="annotation subject"/>
    <w:basedOn w:val="CommentText"/>
    <w:next w:val="CommentText"/>
    <w:link w:val="CommentSubjectChar"/>
    <w:uiPriority w:val="99"/>
    <w:semiHidden/>
    <w:unhideWhenUsed/>
    <w:rsid w:val="004D7E3F"/>
    <w:rPr>
      <w:b/>
      <w:bCs/>
      <w:lang w:val="lv-LV" w:eastAsia="lv-LV"/>
    </w:rPr>
  </w:style>
  <w:style w:type="character" w:customStyle="1" w:styleId="CommentSubjectChar">
    <w:name w:val="Comment Subject Char"/>
    <w:basedOn w:val="CommentTextChar"/>
    <w:link w:val="CommentSubject"/>
    <w:uiPriority w:val="99"/>
    <w:semiHidden/>
    <w:rsid w:val="004D7E3F"/>
    <w:rPr>
      <w:rFonts w:eastAsia="Times New Roman" w:cs="Times New Roman"/>
      <w:b/>
      <w:bCs/>
      <w:kern w:val="0"/>
      <w:sz w:val="20"/>
      <w:szCs w:val="20"/>
      <w:lang w:val="lv-LV" w:eastAsia="lv-LV"/>
      <w14:ligatures w14:val="none"/>
    </w:rPr>
  </w:style>
  <w:style w:type="character" w:styleId="UnresolvedMention">
    <w:name w:val="Unresolved Mention"/>
    <w:basedOn w:val="DefaultParagraphFont"/>
    <w:uiPriority w:val="99"/>
    <w:semiHidden/>
    <w:unhideWhenUsed/>
    <w:rsid w:val="00E148F3"/>
    <w:rPr>
      <w:color w:val="605E5C"/>
      <w:shd w:val="clear" w:color="auto" w:fill="E1DFDD"/>
    </w:rPr>
  </w:style>
  <w:style w:type="paragraph" w:styleId="ListParagraph">
    <w:name w:val="List Paragraph"/>
    <w:basedOn w:val="Normal"/>
    <w:uiPriority w:val="34"/>
    <w:qFormat/>
    <w:rsid w:val="00F31BF6"/>
    <w:pPr>
      <w:ind w:left="720"/>
      <w:contextualSpacing/>
    </w:pPr>
  </w:style>
  <w:style w:type="paragraph" w:styleId="Revision">
    <w:name w:val="Revision"/>
    <w:hidden/>
    <w:uiPriority w:val="99"/>
    <w:semiHidden/>
    <w:rsid w:val="009F243B"/>
    <w:pPr>
      <w:spacing w:after="0" w:line="240" w:lineRule="auto"/>
    </w:pPr>
    <w:rPr>
      <w:rFonts w:eastAsia="Times New Roman" w:cs="Times New Roman"/>
      <w:kern w:val="0"/>
      <w:szCs w:val="24"/>
      <w:lang w:val="lv-LV" w:eastAsia="lv-LV"/>
      <w14:ligatures w14:val="none"/>
    </w:rPr>
  </w:style>
  <w:style w:type="paragraph" w:styleId="FootnoteText">
    <w:name w:val="footnote text"/>
    <w:basedOn w:val="Normal"/>
    <w:link w:val="FootnoteTextChar"/>
    <w:uiPriority w:val="99"/>
    <w:semiHidden/>
    <w:unhideWhenUsed/>
    <w:rsid w:val="003F7A74"/>
    <w:rPr>
      <w:rFonts w:eastAsiaTheme="minorHAnsi" w:cstheme="minorBidi"/>
      <w:sz w:val="20"/>
      <w:szCs w:val="20"/>
      <w:lang w:val="en-US" w:eastAsia="en-US"/>
    </w:rPr>
  </w:style>
  <w:style w:type="character" w:customStyle="1" w:styleId="FootnoteTextChar">
    <w:name w:val="Footnote Text Char"/>
    <w:basedOn w:val="DefaultParagraphFont"/>
    <w:link w:val="FootnoteText"/>
    <w:uiPriority w:val="99"/>
    <w:semiHidden/>
    <w:rsid w:val="003F7A74"/>
    <w:rPr>
      <w:kern w:val="0"/>
      <w:sz w:val="20"/>
      <w:szCs w:val="20"/>
      <w14:ligatures w14:val="none"/>
    </w:rPr>
  </w:style>
  <w:style w:type="character" w:styleId="FootnoteReference">
    <w:name w:val="footnote reference"/>
    <w:basedOn w:val="DefaultParagraphFont"/>
    <w:uiPriority w:val="99"/>
    <w:semiHidden/>
    <w:unhideWhenUsed/>
    <w:rsid w:val="003F7A74"/>
    <w:rPr>
      <w:vertAlign w:val="superscript"/>
    </w:rPr>
  </w:style>
  <w:style w:type="character" w:styleId="FollowedHyperlink">
    <w:name w:val="FollowedHyperlink"/>
    <w:basedOn w:val="DefaultParagraphFont"/>
    <w:uiPriority w:val="99"/>
    <w:semiHidden/>
    <w:unhideWhenUsed/>
    <w:rsid w:val="00B72F13"/>
    <w:rPr>
      <w:color w:val="954F72" w:themeColor="followedHyperlink"/>
      <w:u w:val="single"/>
    </w:rPr>
  </w:style>
  <w:style w:type="paragraph" w:customStyle="1" w:styleId="Default">
    <w:name w:val="Default"/>
    <w:rsid w:val="007754F8"/>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480873">
      <w:bodyDiv w:val="1"/>
      <w:marLeft w:val="0"/>
      <w:marRight w:val="0"/>
      <w:marTop w:val="0"/>
      <w:marBottom w:val="0"/>
      <w:divBdr>
        <w:top w:val="none" w:sz="0" w:space="0" w:color="auto"/>
        <w:left w:val="none" w:sz="0" w:space="0" w:color="auto"/>
        <w:bottom w:val="none" w:sz="0" w:space="0" w:color="auto"/>
        <w:right w:val="none" w:sz="0" w:space="0" w:color="auto"/>
      </w:divBdr>
    </w:div>
    <w:div w:id="680275572">
      <w:bodyDiv w:val="1"/>
      <w:marLeft w:val="0"/>
      <w:marRight w:val="0"/>
      <w:marTop w:val="0"/>
      <w:marBottom w:val="0"/>
      <w:divBdr>
        <w:top w:val="none" w:sz="0" w:space="0" w:color="auto"/>
        <w:left w:val="none" w:sz="0" w:space="0" w:color="auto"/>
        <w:bottom w:val="none" w:sz="0" w:space="0" w:color="auto"/>
        <w:right w:val="none" w:sz="0" w:space="0" w:color="auto"/>
      </w:divBdr>
    </w:div>
    <w:div w:id="801195898">
      <w:bodyDiv w:val="1"/>
      <w:marLeft w:val="0"/>
      <w:marRight w:val="0"/>
      <w:marTop w:val="0"/>
      <w:marBottom w:val="0"/>
      <w:divBdr>
        <w:top w:val="none" w:sz="0" w:space="0" w:color="auto"/>
        <w:left w:val="none" w:sz="0" w:space="0" w:color="auto"/>
        <w:bottom w:val="none" w:sz="0" w:space="0" w:color="auto"/>
        <w:right w:val="none" w:sz="0" w:space="0" w:color="auto"/>
      </w:divBdr>
    </w:div>
    <w:div w:id="866405579">
      <w:bodyDiv w:val="1"/>
      <w:marLeft w:val="0"/>
      <w:marRight w:val="0"/>
      <w:marTop w:val="0"/>
      <w:marBottom w:val="0"/>
      <w:divBdr>
        <w:top w:val="none" w:sz="0" w:space="0" w:color="auto"/>
        <w:left w:val="none" w:sz="0" w:space="0" w:color="auto"/>
        <w:bottom w:val="none" w:sz="0" w:space="0" w:color="auto"/>
        <w:right w:val="none" w:sz="0" w:space="0" w:color="auto"/>
      </w:divBdr>
    </w:div>
    <w:div w:id="1052657689">
      <w:bodyDiv w:val="1"/>
      <w:marLeft w:val="0"/>
      <w:marRight w:val="0"/>
      <w:marTop w:val="0"/>
      <w:marBottom w:val="0"/>
      <w:divBdr>
        <w:top w:val="none" w:sz="0" w:space="0" w:color="auto"/>
        <w:left w:val="none" w:sz="0" w:space="0" w:color="auto"/>
        <w:bottom w:val="none" w:sz="0" w:space="0" w:color="auto"/>
        <w:right w:val="none" w:sz="0" w:space="0" w:color="auto"/>
      </w:divBdr>
    </w:div>
    <w:div w:id="1481194699">
      <w:bodyDiv w:val="1"/>
      <w:marLeft w:val="0"/>
      <w:marRight w:val="0"/>
      <w:marTop w:val="0"/>
      <w:marBottom w:val="0"/>
      <w:divBdr>
        <w:top w:val="none" w:sz="0" w:space="0" w:color="auto"/>
        <w:left w:val="none" w:sz="0" w:space="0" w:color="auto"/>
        <w:bottom w:val="none" w:sz="0" w:space="0" w:color="auto"/>
        <w:right w:val="none" w:sz="0" w:space="0" w:color="auto"/>
      </w:divBdr>
    </w:div>
    <w:div w:id="1778021783">
      <w:bodyDiv w:val="1"/>
      <w:marLeft w:val="0"/>
      <w:marRight w:val="0"/>
      <w:marTop w:val="0"/>
      <w:marBottom w:val="0"/>
      <w:divBdr>
        <w:top w:val="none" w:sz="0" w:space="0" w:color="auto"/>
        <w:left w:val="none" w:sz="0" w:space="0" w:color="auto"/>
        <w:bottom w:val="none" w:sz="0" w:space="0" w:color="auto"/>
        <w:right w:val="none" w:sz="0" w:space="0" w:color="auto"/>
      </w:divBdr>
    </w:div>
    <w:div w:id="1796481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4413.pdf" TargetMode="External"/><Relationship Id="rId13" Type="http://schemas.openxmlformats.org/officeDocument/2006/relationships/hyperlink" Target="https://manas.tiesas.lv/eTiesasMvc/nolemumi/pdf/516723.pdf" TargetMode="External"/><Relationship Id="rId18" Type="http://schemas.openxmlformats.org/officeDocument/2006/relationships/hyperlink" Target="https://manas.tiesas.lv/eTiesasMvc/nolemumi/pdf/517368.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manas.tiesas.lv/eTiesasMvc/nolemumi/pdf/528469.pdf" TargetMode="External"/><Relationship Id="rId17" Type="http://schemas.openxmlformats.org/officeDocument/2006/relationships/hyperlink" Target="https://manas.tiesas.lv/eTiesasMvc/nolemumi/pdf/539881.pdf" TargetMode="External"/><Relationship Id="rId2" Type="http://schemas.openxmlformats.org/officeDocument/2006/relationships/numbering" Target="numbering.xml"/><Relationship Id="rId16" Type="http://schemas.openxmlformats.org/officeDocument/2006/relationships/hyperlink" Target="https://tap.mk.gov.lv/doc/2017_11/FMAnot_060917_NDPSK.2342.docx" TargetMode="External"/><Relationship Id="rId20" Type="http://schemas.openxmlformats.org/officeDocument/2006/relationships/hyperlink" Target="https://manas.tiesas.lv/eTiesasMvc/nolemumi/pdf/51736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nolemumi/pdf/519900.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tap.mk.gov.lv/lv/mk/tap/?pid=40433451" TargetMode="External"/><Relationship Id="rId23" Type="http://schemas.openxmlformats.org/officeDocument/2006/relationships/fontTable" Target="fontTable.xml"/><Relationship Id="rId10" Type="http://schemas.openxmlformats.org/officeDocument/2006/relationships/hyperlink" Target="https://manas.tiesas.lv/eTiesasMvc/eclinolemumi/ECLI:LV:AT:2019:0930.A420284816.4.S" TargetMode="External"/><Relationship Id="rId19" Type="http://schemas.openxmlformats.org/officeDocument/2006/relationships/hyperlink" Target="https://manas.tiesas.lv/eTiesasMvc/nolemumi/pdf/343516.pdf" TargetMode="External"/><Relationship Id="rId4" Type="http://schemas.openxmlformats.org/officeDocument/2006/relationships/settings" Target="settings.xml"/><Relationship Id="rId9" Type="http://schemas.openxmlformats.org/officeDocument/2006/relationships/hyperlink" Target="https://manas.tiesas.lv/eTiesasMvc/nolemumi/pdf/357030.pdf" TargetMode="External"/><Relationship Id="rId14" Type="http://schemas.openxmlformats.org/officeDocument/2006/relationships/hyperlink" Target="https://manas.tiesas.lv/eTiesasMvc/nolemumi/pdf/300802.pdf"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4B714-31B1-4E2E-B6A4-2C0449B6C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33045</Words>
  <Characters>18837</Characters>
  <Application>Microsoft Office Word</Application>
  <DocSecurity>0</DocSecurity>
  <Lines>156</Lines>
  <Paragraphs>103</Paragraphs>
  <ScaleCrop>false</ScaleCrop>
  <Company/>
  <LinksUpToDate>false</LinksUpToDate>
  <CharactersWithSpaces>51779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2024-12-18T19:56:00Z</dcterms:created>
  <dcterms:modified xsi:type="dcterms:W3CDTF">2024-12-18T19:57:00Z</dcterms:modified>
</cp:coreProperties>
</file>