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F7A1" w14:textId="77777777" w:rsidR="00806F65" w:rsidRPr="00113860" w:rsidRDefault="00806F65" w:rsidP="00806F65">
      <w:pPr>
        <w:spacing w:after="0" w:line="276" w:lineRule="auto"/>
        <w:rPr>
          <w:b/>
          <w:bCs/>
        </w:rPr>
      </w:pPr>
      <w:bookmarkStart w:id="0" w:name="_Hlk183097378"/>
      <w:r w:rsidRPr="00113860">
        <w:rPr>
          <w:b/>
          <w:bCs/>
        </w:rPr>
        <w:t>Kriminālprocesa likuma būtisks pārkāpums – spriedumā nav norādīti pierādījumi, ar kuriem pamatots tiesas atzinums  </w:t>
      </w:r>
    </w:p>
    <w:p w14:paraId="36CC96C2" w14:textId="77777777" w:rsidR="00806F65" w:rsidRPr="00642860" w:rsidRDefault="00806F65" w:rsidP="00806F65">
      <w:pPr>
        <w:spacing w:after="0" w:line="276" w:lineRule="auto"/>
        <w:jc w:val="both"/>
      </w:pPr>
      <w:r w:rsidRPr="00642860">
        <w:t>Par tiesisku un pamatotu nav atzīstams tiesas nolēmums, kurā atzinumi par apsūdzētā vainīgumu noziedzīgā nodarījuma izdarīšanā nav pamatoti ar pierādījumiem.</w:t>
      </w:r>
    </w:p>
    <w:p w14:paraId="61C05DF3" w14:textId="77777777" w:rsidR="00806F65" w:rsidRDefault="00806F65" w:rsidP="00806F65">
      <w:pPr>
        <w:spacing w:after="0" w:line="276" w:lineRule="auto"/>
        <w:jc w:val="both"/>
      </w:pPr>
      <w:r w:rsidRPr="00642860">
        <w:t>Apelācijas instances tiesa var piemērot Kriminālprocesa likuma 564. panta sestās daļas nosacījumus un pilnībā pievienoties pirmās instances tiesas spriedumā sniegtajam pierādījumu novērtējumam un secinājumiem par apsūdzētā vainīgumu viņam inkriminētā noziedzīgā nodarījuma izdarīšanā tikai tad, ja pirmās instances tiesa</w:t>
      </w:r>
      <w:r w:rsidRPr="00642860">
        <w:rPr>
          <w:i/>
          <w:iCs/>
          <w:color w:val="000000" w:themeColor="text1"/>
        </w:rPr>
        <w:t xml:space="preserve"> </w:t>
      </w:r>
      <w:r w:rsidRPr="00642860">
        <w:rPr>
          <w:color w:val="000000" w:themeColor="text1"/>
        </w:rPr>
        <w:t xml:space="preserve">pierādījumus ir novērtējusi </w:t>
      </w:r>
      <w:r w:rsidRPr="00642860">
        <w:t>atbilstoši Kriminālprocesa likuma 9. nodaļas prasībām</w:t>
      </w:r>
      <w:r w:rsidRPr="00642860">
        <w:rPr>
          <w:color w:val="000000" w:themeColor="text1"/>
        </w:rPr>
        <w:t xml:space="preserve"> un tiesas atzinumi ir pamatoti ar šiem pierādījumiem</w:t>
      </w:r>
      <w:r w:rsidRPr="00642860">
        <w:rPr>
          <w:i/>
          <w:iCs/>
          <w:color w:val="000000" w:themeColor="text1"/>
        </w:rPr>
        <w:t>.</w:t>
      </w:r>
      <w:r w:rsidRPr="00642860">
        <w:t xml:space="preserve"> </w:t>
      </w:r>
    </w:p>
    <w:p w14:paraId="59ABB417" w14:textId="77777777" w:rsidR="00806F65" w:rsidRPr="00642860" w:rsidRDefault="00806F65" w:rsidP="00806F65">
      <w:pPr>
        <w:spacing w:after="0" w:line="276" w:lineRule="auto"/>
      </w:pPr>
    </w:p>
    <w:p w14:paraId="3450A05A" w14:textId="46A644DA" w:rsidR="00B41B52" w:rsidRPr="00367D7D" w:rsidRDefault="00B41B52" w:rsidP="00806F65">
      <w:pPr>
        <w:spacing w:after="0" w:line="276" w:lineRule="auto"/>
        <w:jc w:val="center"/>
        <w:rPr>
          <w:rFonts w:asciiTheme="majorBidi" w:hAnsiTheme="majorBidi" w:cstheme="majorBidi"/>
          <w:b/>
          <w:szCs w:val="24"/>
        </w:rPr>
      </w:pPr>
      <w:r w:rsidRPr="00367D7D">
        <w:rPr>
          <w:rFonts w:asciiTheme="majorBidi" w:hAnsiTheme="majorBidi" w:cstheme="majorBidi"/>
          <w:b/>
          <w:szCs w:val="24"/>
        </w:rPr>
        <w:t>Latvijas Republikas Senāt</w:t>
      </w:r>
      <w:r w:rsidR="009B3986">
        <w:rPr>
          <w:rFonts w:asciiTheme="majorBidi" w:hAnsiTheme="majorBidi" w:cstheme="majorBidi"/>
          <w:b/>
          <w:szCs w:val="24"/>
        </w:rPr>
        <w:t>a</w:t>
      </w:r>
    </w:p>
    <w:p w14:paraId="5A571798" w14:textId="28D4887D" w:rsidR="009B3986" w:rsidRPr="00806F65" w:rsidRDefault="009B3986" w:rsidP="00806F65">
      <w:pPr>
        <w:spacing w:after="0" w:line="276" w:lineRule="auto"/>
        <w:jc w:val="center"/>
        <w:rPr>
          <w:rFonts w:asciiTheme="majorBidi" w:hAnsiTheme="majorBidi" w:cstheme="majorBidi"/>
          <w:b/>
          <w:bCs/>
          <w:szCs w:val="24"/>
        </w:rPr>
      </w:pPr>
      <w:r w:rsidRPr="00806F65">
        <w:rPr>
          <w:rFonts w:asciiTheme="majorBidi" w:hAnsiTheme="majorBidi" w:cstheme="majorBidi"/>
          <w:b/>
          <w:bCs/>
          <w:szCs w:val="24"/>
        </w:rPr>
        <w:t>Krimināllietu departament</w:t>
      </w:r>
      <w:r w:rsidRPr="00806F65">
        <w:rPr>
          <w:rFonts w:asciiTheme="majorBidi" w:hAnsiTheme="majorBidi" w:cstheme="majorBidi"/>
          <w:b/>
          <w:bCs/>
          <w:szCs w:val="24"/>
        </w:rPr>
        <w:t>a</w:t>
      </w:r>
    </w:p>
    <w:p w14:paraId="10BE626C" w14:textId="7FEBA936" w:rsidR="009B3986" w:rsidRPr="00806F65" w:rsidRDefault="009B3986" w:rsidP="00806F65">
      <w:pPr>
        <w:spacing w:after="0" w:line="276" w:lineRule="auto"/>
        <w:jc w:val="center"/>
        <w:rPr>
          <w:rFonts w:asciiTheme="majorBidi" w:hAnsiTheme="majorBidi" w:cstheme="majorBidi"/>
          <w:b/>
          <w:bCs/>
          <w:szCs w:val="24"/>
        </w:rPr>
      </w:pPr>
      <w:r w:rsidRPr="00806F65">
        <w:rPr>
          <w:rFonts w:asciiTheme="majorBidi" w:hAnsiTheme="majorBidi" w:cstheme="majorBidi"/>
          <w:b/>
          <w:bCs/>
          <w:szCs w:val="24"/>
        </w:rPr>
        <w:t>2024. gada 3. decembr</w:t>
      </w:r>
      <w:r w:rsidRPr="00806F65">
        <w:rPr>
          <w:rFonts w:asciiTheme="majorBidi" w:hAnsiTheme="majorBidi" w:cstheme="majorBidi"/>
          <w:b/>
          <w:bCs/>
          <w:szCs w:val="24"/>
        </w:rPr>
        <w:t>a</w:t>
      </w:r>
    </w:p>
    <w:p w14:paraId="1424665A" w14:textId="77777777" w:rsidR="00B41B52" w:rsidRPr="00806F65" w:rsidRDefault="00B41B52" w:rsidP="00806F65">
      <w:pPr>
        <w:spacing w:after="0" w:line="276" w:lineRule="auto"/>
        <w:jc w:val="center"/>
        <w:rPr>
          <w:rFonts w:asciiTheme="majorBidi" w:hAnsiTheme="majorBidi" w:cstheme="majorBidi"/>
          <w:b/>
          <w:bCs/>
          <w:szCs w:val="24"/>
        </w:rPr>
      </w:pPr>
      <w:r w:rsidRPr="00806F65">
        <w:rPr>
          <w:rFonts w:asciiTheme="majorBidi" w:hAnsiTheme="majorBidi" w:cstheme="majorBidi"/>
          <w:b/>
          <w:bCs/>
          <w:szCs w:val="24"/>
        </w:rPr>
        <w:t>LĒMUMS</w:t>
      </w:r>
    </w:p>
    <w:p w14:paraId="56F25017" w14:textId="77777777" w:rsidR="009B3986" w:rsidRPr="00806F65" w:rsidRDefault="009B3986" w:rsidP="00806F65">
      <w:pPr>
        <w:spacing w:after="0" w:line="276" w:lineRule="auto"/>
        <w:jc w:val="center"/>
        <w:rPr>
          <w:rFonts w:asciiTheme="majorBidi" w:hAnsiTheme="majorBidi" w:cstheme="majorBidi"/>
          <w:b/>
          <w:bCs/>
          <w:szCs w:val="24"/>
        </w:rPr>
      </w:pPr>
      <w:r w:rsidRPr="00806F65">
        <w:rPr>
          <w:rFonts w:asciiTheme="majorBidi" w:hAnsiTheme="majorBidi" w:cstheme="majorBidi"/>
          <w:b/>
          <w:bCs/>
          <w:szCs w:val="24"/>
        </w:rPr>
        <w:t>Lieta Nr. 11087048521, SKK-272/2024</w:t>
      </w:r>
    </w:p>
    <w:p w14:paraId="37561C48" w14:textId="722E692E" w:rsidR="009B3986" w:rsidRPr="00367D7D" w:rsidRDefault="009B3986" w:rsidP="00806F65">
      <w:pPr>
        <w:spacing w:after="0" w:line="276" w:lineRule="auto"/>
        <w:jc w:val="center"/>
        <w:rPr>
          <w:rFonts w:asciiTheme="majorBidi" w:hAnsiTheme="majorBidi" w:cstheme="majorBidi"/>
          <w:szCs w:val="24"/>
        </w:rPr>
      </w:pPr>
      <w:hyperlink r:id="rId7" w:history="1">
        <w:r w:rsidRPr="009B3986">
          <w:rPr>
            <w:rStyle w:val="Hyperlink"/>
            <w:rFonts w:asciiTheme="majorBidi" w:hAnsiTheme="majorBidi" w:cstheme="majorBidi"/>
            <w:szCs w:val="24"/>
          </w:rPr>
          <w:t>ECLI:LV:AT:2024:1203.11087048521.4.L</w:t>
        </w:r>
      </w:hyperlink>
    </w:p>
    <w:p w14:paraId="23C66B0F" w14:textId="77777777" w:rsidR="00B41B52" w:rsidRPr="00367D7D" w:rsidRDefault="00B41B52" w:rsidP="00367D7D">
      <w:pPr>
        <w:spacing w:after="0" w:line="276" w:lineRule="auto"/>
        <w:jc w:val="center"/>
        <w:rPr>
          <w:rFonts w:asciiTheme="majorBidi" w:hAnsiTheme="majorBidi" w:cstheme="majorBidi"/>
          <w:szCs w:val="24"/>
        </w:rPr>
      </w:pPr>
    </w:p>
    <w:p w14:paraId="0E05E87B" w14:textId="77777777"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Senāts šādā sastāvā: senatore referente Sandra Kaija, senatori Artūrs Freibergs un Irīna Jansone </w:t>
      </w:r>
    </w:p>
    <w:p w14:paraId="13B47BD8" w14:textId="77777777"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 </w:t>
      </w:r>
    </w:p>
    <w:p w14:paraId="0DFFDA0D" w14:textId="7409CCB8" w:rsidR="00B41B52"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izskatīja rakstveida procesā krimināllietu sakarā ar </w:t>
      </w:r>
      <w:bookmarkStart w:id="1" w:name="_Hlk95996492"/>
      <w:r w:rsidRPr="00367D7D">
        <w:rPr>
          <w:rFonts w:asciiTheme="majorBidi" w:hAnsiTheme="majorBidi" w:cstheme="majorBidi"/>
          <w:szCs w:val="24"/>
        </w:rPr>
        <w:t xml:space="preserve">apsūdzētā </w:t>
      </w:r>
      <w:r w:rsidR="009A08EA">
        <w:rPr>
          <w:rFonts w:asciiTheme="majorBidi" w:hAnsiTheme="majorBidi" w:cstheme="majorBidi"/>
          <w:szCs w:val="24"/>
        </w:rPr>
        <w:t>[pers. A]</w:t>
      </w:r>
      <w:r w:rsidRPr="00367D7D">
        <w:rPr>
          <w:rFonts w:asciiTheme="majorBidi" w:hAnsiTheme="majorBidi" w:cstheme="majorBidi"/>
          <w:szCs w:val="24"/>
        </w:rPr>
        <w:t xml:space="preserve"> un viņa aizstāvja zvērināta advokāta Ivara </w:t>
      </w:r>
      <w:proofErr w:type="spellStart"/>
      <w:r w:rsidRPr="00367D7D">
        <w:rPr>
          <w:rFonts w:asciiTheme="majorBidi" w:hAnsiTheme="majorBidi" w:cstheme="majorBidi"/>
          <w:szCs w:val="24"/>
        </w:rPr>
        <w:t>Rudzika</w:t>
      </w:r>
      <w:proofErr w:type="spellEnd"/>
      <w:r w:rsidRPr="00367D7D">
        <w:rPr>
          <w:rFonts w:asciiTheme="majorBidi" w:hAnsiTheme="majorBidi" w:cstheme="majorBidi"/>
          <w:szCs w:val="24"/>
        </w:rPr>
        <w:t xml:space="preserve"> kasācijas sūdzību </w:t>
      </w:r>
      <w:bookmarkEnd w:id="1"/>
      <w:r w:rsidRPr="00367D7D">
        <w:rPr>
          <w:rFonts w:asciiTheme="majorBidi" w:hAnsiTheme="majorBidi" w:cstheme="majorBidi"/>
          <w:szCs w:val="24"/>
        </w:rPr>
        <w:t xml:space="preserve">par </w:t>
      </w:r>
      <w:bookmarkStart w:id="2" w:name="_Hlk105672983"/>
      <w:bookmarkStart w:id="3" w:name="_Hlk111113532"/>
      <w:r w:rsidRPr="00367D7D">
        <w:rPr>
          <w:rFonts w:asciiTheme="majorBidi" w:hAnsiTheme="majorBidi" w:cstheme="majorBidi"/>
          <w:szCs w:val="24"/>
        </w:rPr>
        <w:t xml:space="preserve">Rīgas apgabaltiesas 2024. gada 24. janvāra </w:t>
      </w:r>
      <w:bookmarkEnd w:id="2"/>
      <w:r w:rsidRPr="00367D7D">
        <w:rPr>
          <w:rFonts w:asciiTheme="majorBidi" w:hAnsiTheme="majorBidi" w:cstheme="majorBidi"/>
          <w:szCs w:val="24"/>
        </w:rPr>
        <w:t>lēmumu.</w:t>
      </w:r>
    </w:p>
    <w:p w14:paraId="3B622CF8" w14:textId="77777777" w:rsidR="00367D7D" w:rsidRPr="00367D7D" w:rsidRDefault="00367D7D" w:rsidP="00367D7D">
      <w:pPr>
        <w:spacing w:after="0" w:line="276" w:lineRule="auto"/>
        <w:ind w:firstLine="720"/>
        <w:jc w:val="both"/>
        <w:rPr>
          <w:rFonts w:asciiTheme="majorBidi" w:hAnsiTheme="majorBidi" w:cstheme="majorBidi"/>
          <w:szCs w:val="24"/>
        </w:rPr>
      </w:pPr>
    </w:p>
    <w:bookmarkEnd w:id="3"/>
    <w:p w14:paraId="2B5CCA43" w14:textId="77777777" w:rsidR="00B41B52" w:rsidRDefault="00B41B52" w:rsidP="00367D7D">
      <w:pPr>
        <w:spacing w:after="0" w:line="276" w:lineRule="auto"/>
        <w:jc w:val="center"/>
        <w:rPr>
          <w:rFonts w:asciiTheme="majorBidi" w:hAnsiTheme="majorBidi" w:cstheme="majorBidi"/>
          <w:b/>
          <w:szCs w:val="24"/>
        </w:rPr>
      </w:pPr>
      <w:r w:rsidRPr="00367D7D">
        <w:rPr>
          <w:rFonts w:asciiTheme="majorBidi" w:hAnsiTheme="majorBidi" w:cstheme="majorBidi"/>
          <w:b/>
          <w:szCs w:val="24"/>
        </w:rPr>
        <w:t>Aprakstošā daļa</w:t>
      </w:r>
    </w:p>
    <w:p w14:paraId="0E6AC959" w14:textId="77777777" w:rsidR="00367D7D" w:rsidRPr="00367D7D" w:rsidRDefault="00367D7D" w:rsidP="00367D7D">
      <w:pPr>
        <w:spacing w:after="0" w:line="276" w:lineRule="auto"/>
        <w:jc w:val="center"/>
        <w:rPr>
          <w:rFonts w:asciiTheme="majorBidi" w:hAnsiTheme="majorBidi" w:cstheme="majorBidi"/>
          <w:b/>
          <w:szCs w:val="24"/>
        </w:rPr>
      </w:pPr>
    </w:p>
    <w:p w14:paraId="21C84642" w14:textId="77777777"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[1] Ar Rīgas pilsētas tiesas 2023. gada 25. janvāra spriedumu</w:t>
      </w:r>
    </w:p>
    <w:p w14:paraId="1B3C0442" w14:textId="0652BC89" w:rsidR="00B41B52" w:rsidRPr="00367D7D" w:rsidRDefault="009A08EA" w:rsidP="00367D7D">
      <w:pPr>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41B52" w:rsidRPr="00367D7D">
        <w:rPr>
          <w:rFonts w:asciiTheme="majorBidi" w:hAnsiTheme="majorBidi" w:cstheme="majorBidi"/>
          <w:szCs w:val="24"/>
        </w:rPr>
        <w:t xml:space="preserve">, personas kods </w:t>
      </w:r>
      <w:r>
        <w:rPr>
          <w:rFonts w:asciiTheme="majorBidi" w:hAnsiTheme="majorBidi" w:cstheme="majorBidi"/>
          <w:szCs w:val="24"/>
        </w:rPr>
        <w:t>[..]</w:t>
      </w:r>
      <w:r w:rsidR="00B41B52" w:rsidRPr="00367D7D">
        <w:rPr>
          <w:rFonts w:asciiTheme="majorBidi" w:hAnsiTheme="majorBidi" w:cstheme="majorBidi"/>
          <w:szCs w:val="24"/>
        </w:rPr>
        <w:t>,</w:t>
      </w:r>
    </w:p>
    <w:p w14:paraId="687C06E1" w14:textId="16F2DA3D"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atzīts par vainīgu Krimināllikuma 168.</w:t>
      </w:r>
      <w:r w:rsidRPr="00367D7D">
        <w:rPr>
          <w:rFonts w:asciiTheme="majorBidi" w:hAnsiTheme="majorBidi" w:cstheme="majorBidi"/>
          <w:szCs w:val="24"/>
          <w:vertAlign w:val="superscript"/>
        </w:rPr>
        <w:t>1</w:t>
      </w:r>
      <w:r w:rsidRPr="00367D7D">
        <w:rPr>
          <w:rFonts w:asciiTheme="majorBidi" w:hAnsiTheme="majorBidi" w:cstheme="majorBidi"/>
          <w:szCs w:val="24"/>
        </w:rPr>
        <w:t> pantā paredzētajā noziedzīgajā nodarījumā un sodīts ar naudas sodu 3</w:t>
      </w:r>
      <w:r w:rsidR="00367D7D">
        <w:rPr>
          <w:rFonts w:asciiTheme="majorBidi" w:hAnsiTheme="majorBidi" w:cstheme="majorBidi"/>
          <w:szCs w:val="24"/>
        </w:rPr>
        <w:t> </w:t>
      </w:r>
      <w:r w:rsidRPr="00367D7D">
        <w:rPr>
          <w:rFonts w:asciiTheme="majorBidi" w:hAnsiTheme="majorBidi" w:cstheme="majorBidi"/>
          <w:szCs w:val="24"/>
        </w:rPr>
        <w:t>Latvijas Republikā noteikto minimālo mēnešalgu apmērā, proti, 1860</w:t>
      </w:r>
      <w:r w:rsidR="00F725DD" w:rsidRPr="00367D7D">
        <w:rPr>
          <w:rFonts w:asciiTheme="majorBidi" w:hAnsiTheme="majorBidi" w:cstheme="majorBidi"/>
          <w:szCs w:val="24"/>
        </w:rPr>
        <w:t> </w:t>
      </w:r>
      <w:r w:rsidRPr="00367D7D">
        <w:rPr>
          <w:rFonts w:asciiTheme="majorBidi" w:hAnsiTheme="majorBidi" w:cstheme="majorBidi"/>
          <w:i/>
          <w:iCs/>
          <w:szCs w:val="24"/>
        </w:rPr>
        <w:t>euro</w:t>
      </w:r>
      <w:r w:rsidRPr="00367D7D">
        <w:rPr>
          <w:rFonts w:asciiTheme="majorBidi" w:hAnsiTheme="majorBidi" w:cstheme="majorBidi"/>
          <w:szCs w:val="24"/>
        </w:rPr>
        <w:t xml:space="preserve">. </w:t>
      </w:r>
    </w:p>
    <w:p w14:paraId="7920DAB3" w14:textId="4B67877F"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Drošības līdzekļi</w:t>
      </w:r>
      <w:r w:rsidR="00367D7D">
        <w:rPr>
          <w:rFonts w:asciiTheme="majorBidi" w:hAnsiTheme="majorBidi" w:cstheme="majorBidi"/>
          <w:szCs w:val="24"/>
        </w:rPr>
        <w:t> </w:t>
      </w:r>
      <w:r w:rsidRPr="00367D7D">
        <w:rPr>
          <w:rFonts w:asciiTheme="majorBidi" w:hAnsiTheme="majorBidi" w:cstheme="majorBidi"/>
          <w:szCs w:val="24"/>
        </w:rPr>
        <w:t>– dzīvesvietas maiņas paziņošana un aizliegums izbraukt no valsts –</w:t>
      </w:r>
      <w:r w:rsidR="00EF2DC4">
        <w:rPr>
          <w:rFonts w:asciiTheme="majorBidi" w:hAnsiTheme="majorBidi" w:cstheme="majorBidi"/>
          <w:szCs w:val="24"/>
        </w:rPr>
        <w:t> </w:t>
      </w:r>
      <w:r w:rsidRPr="00367D7D">
        <w:rPr>
          <w:rFonts w:asciiTheme="majorBidi" w:hAnsiTheme="majorBidi" w:cstheme="majorBidi"/>
          <w:szCs w:val="24"/>
        </w:rPr>
        <w:t xml:space="preserve">atstāti negrozīti. </w:t>
      </w:r>
    </w:p>
    <w:p w14:paraId="7C72F39E" w14:textId="77777777" w:rsidR="00B41B52" w:rsidRPr="00367D7D" w:rsidRDefault="00B41B52" w:rsidP="00367D7D">
      <w:pPr>
        <w:spacing w:after="0" w:line="276" w:lineRule="auto"/>
        <w:ind w:firstLine="720"/>
        <w:jc w:val="both"/>
        <w:rPr>
          <w:rFonts w:asciiTheme="majorBidi" w:hAnsiTheme="majorBidi" w:cstheme="majorBidi"/>
          <w:szCs w:val="24"/>
        </w:rPr>
      </w:pPr>
    </w:p>
    <w:p w14:paraId="60F8F87F" w14:textId="2DE8DB94"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[2] Ar pirmās instances tiesas spriedumu </w:t>
      </w:r>
      <w:r w:rsidR="002779DD">
        <w:rPr>
          <w:rFonts w:asciiTheme="majorBidi" w:hAnsiTheme="majorBidi" w:cstheme="majorBidi"/>
          <w:szCs w:val="24"/>
        </w:rPr>
        <w:t>[pers. A]</w:t>
      </w:r>
      <w:r w:rsidRPr="00367D7D">
        <w:rPr>
          <w:rFonts w:asciiTheme="majorBidi" w:hAnsiTheme="majorBidi" w:cstheme="majorBidi"/>
          <w:szCs w:val="24"/>
        </w:rPr>
        <w:t xml:space="preserve"> atzīts par vainīgu un sodīts par ļaunprātīgu nolēmuma par aizsardzību pret vardarbību nepildīšanu.</w:t>
      </w:r>
    </w:p>
    <w:p w14:paraId="4A6202F8" w14:textId="77777777" w:rsidR="00B41B52" w:rsidRPr="00367D7D" w:rsidRDefault="00B41B52" w:rsidP="00367D7D">
      <w:pPr>
        <w:spacing w:after="0" w:line="276" w:lineRule="auto"/>
        <w:jc w:val="both"/>
        <w:rPr>
          <w:rFonts w:asciiTheme="majorBidi" w:hAnsiTheme="majorBidi" w:cstheme="majorBidi"/>
          <w:szCs w:val="24"/>
        </w:rPr>
      </w:pPr>
    </w:p>
    <w:p w14:paraId="2D18ADF9" w14:textId="7FE13E39"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[3] Ar </w:t>
      </w:r>
      <w:bookmarkStart w:id="4" w:name="_Hlk105673627"/>
      <w:r w:rsidRPr="00367D7D">
        <w:rPr>
          <w:rFonts w:asciiTheme="majorBidi" w:hAnsiTheme="majorBidi" w:cstheme="majorBidi"/>
          <w:szCs w:val="24"/>
        </w:rPr>
        <w:t>Rīgas apgabaltiesas 2024. gada 24. janvāra lēmumu</w:t>
      </w:r>
      <w:bookmarkEnd w:id="4"/>
      <w:r w:rsidRPr="00367D7D">
        <w:rPr>
          <w:rFonts w:asciiTheme="majorBidi" w:hAnsiTheme="majorBidi" w:cstheme="majorBidi"/>
          <w:szCs w:val="24"/>
        </w:rPr>
        <w:t xml:space="preserve">, izskatot krimināllietu apelācijas kārtībā sakarā ar apsūdzētā </w:t>
      </w:r>
      <w:r w:rsidR="002779DD">
        <w:rPr>
          <w:rFonts w:asciiTheme="majorBidi" w:hAnsiTheme="majorBidi" w:cstheme="majorBidi"/>
          <w:szCs w:val="24"/>
        </w:rPr>
        <w:t>[pers. A]</w:t>
      </w:r>
      <w:r w:rsidRPr="00367D7D">
        <w:rPr>
          <w:rFonts w:asciiTheme="majorBidi" w:hAnsiTheme="majorBidi" w:cstheme="majorBidi"/>
          <w:szCs w:val="24"/>
        </w:rPr>
        <w:t xml:space="preserve"> apelācijas sūdzību, Rīgas pilsētas tiesas 2023. gada 25. janvāra spriedums atstāts negrozīts</w:t>
      </w:r>
      <w:r w:rsidR="00F725DD" w:rsidRPr="00367D7D">
        <w:rPr>
          <w:rFonts w:asciiTheme="majorBidi" w:hAnsiTheme="majorBidi" w:cstheme="majorBidi"/>
          <w:szCs w:val="24"/>
        </w:rPr>
        <w:t>.</w:t>
      </w:r>
    </w:p>
    <w:p w14:paraId="26D7070B" w14:textId="77777777" w:rsidR="00B41B52" w:rsidRPr="00367D7D" w:rsidRDefault="00B41B52" w:rsidP="00367D7D">
      <w:pPr>
        <w:spacing w:after="0" w:line="276" w:lineRule="auto"/>
        <w:jc w:val="both"/>
        <w:rPr>
          <w:rFonts w:asciiTheme="majorBidi" w:hAnsiTheme="majorBidi" w:cstheme="majorBidi"/>
          <w:szCs w:val="24"/>
        </w:rPr>
      </w:pPr>
    </w:p>
    <w:p w14:paraId="223605D1" w14:textId="68D788C3" w:rsidR="00B41B52" w:rsidRPr="00367D7D" w:rsidRDefault="00B41B52" w:rsidP="001344E1">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lastRenderedPageBreak/>
        <w:t>[</w:t>
      </w:r>
      <w:r w:rsidR="00F1057B">
        <w:rPr>
          <w:rFonts w:asciiTheme="majorBidi" w:hAnsiTheme="majorBidi" w:cstheme="majorBidi"/>
          <w:szCs w:val="24"/>
        </w:rPr>
        <w:t>4</w:t>
      </w:r>
      <w:r w:rsidRPr="00367D7D">
        <w:rPr>
          <w:rFonts w:asciiTheme="majorBidi" w:hAnsiTheme="majorBidi" w:cstheme="majorBidi"/>
          <w:szCs w:val="24"/>
        </w:rPr>
        <w:t xml:space="preserve">] Par Rīgas apgabaltiesas 2024. gada 24. janvāra lēmumu </w:t>
      </w:r>
      <w:r w:rsidR="00883DE3">
        <w:rPr>
          <w:rFonts w:asciiTheme="majorBidi" w:hAnsiTheme="majorBidi" w:cstheme="majorBidi"/>
          <w:szCs w:val="24"/>
        </w:rPr>
        <w:t>[pers. A]</w:t>
      </w:r>
      <w:r w:rsidRPr="00367D7D">
        <w:rPr>
          <w:rFonts w:asciiTheme="majorBidi" w:hAnsiTheme="majorBidi" w:cstheme="majorBidi"/>
          <w:szCs w:val="24"/>
        </w:rPr>
        <w:t xml:space="preserve"> un viņa aizstāvis I. </w:t>
      </w:r>
      <w:proofErr w:type="spellStart"/>
      <w:r w:rsidRPr="00367D7D">
        <w:rPr>
          <w:rFonts w:asciiTheme="majorBidi" w:hAnsiTheme="majorBidi" w:cstheme="majorBidi"/>
          <w:szCs w:val="24"/>
        </w:rPr>
        <w:t>Rudziks</w:t>
      </w:r>
      <w:proofErr w:type="spellEnd"/>
      <w:r w:rsidRPr="00367D7D">
        <w:rPr>
          <w:rFonts w:asciiTheme="majorBidi" w:hAnsiTheme="majorBidi" w:cstheme="majorBidi"/>
          <w:szCs w:val="24"/>
        </w:rPr>
        <w:t xml:space="preserve"> iesnieguši kasācijas sūdzību, kurā </w:t>
      </w:r>
      <w:bookmarkStart w:id="5" w:name="_Hlk111726192"/>
      <w:bookmarkStart w:id="6" w:name="_Hlk96069706"/>
      <w:bookmarkStart w:id="7" w:name="_Hlk96602006"/>
      <w:r w:rsidRPr="00367D7D">
        <w:rPr>
          <w:rFonts w:asciiTheme="majorBidi" w:hAnsiTheme="majorBidi" w:cstheme="majorBidi"/>
          <w:szCs w:val="24"/>
        </w:rPr>
        <w:t>lū</w:t>
      </w:r>
      <w:r w:rsidR="00E54BF9" w:rsidRPr="00367D7D">
        <w:rPr>
          <w:rFonts w:asciiTheme="majorBidi" w:hAnsiTheme="majorBidi" w:cstheme="majorBidi"/>
          <w:szCs w:val="24"/>
        </w:rPr>
        <w:t>guši</w:t>
      </w:r>
      <w:r w:rsidRPr="00367D7D">
        <w:rPr>
          <w:rFonts w:asciiTheme="majorBidi" w:hAnsiTheme="majorBidi" w:cstheme="majorBidi"/>
          <w:szCs w:val="24"/>
        </w:rPr>
        <w:t xml:space="preserve"> atcelt apelācijas instances tiesas lēmumu un lietu nosūtīt jaunai izskatīšanai, jo apelācijas instances tiesa, atstājot negrozītu pirmās instances tiesas spriedumu, </w:t>
      </w:r>
      <w:r w:rsidR="008A6F23">
        <w:t xml:space="preserve">nepareizi piemērojusi </w:t>
      </w:r>
      <w:r w:rsidRPr="00367D7D">
        <w:rPr>
          <w:rFonts w:asciiTheme="majorBidi" w:hAnsiTheme="majorBidi" w:cstheme="majorBidi"/>
          <w:szCs w:val="24"/>
        </w:rPr>
        <w:t>Krimināllikuma 168.</w:t>
      </w:r>
      <w:r w:rsidRPr="00367D7D">
        <w:rPr>
          <w:rFonts w:asciiTheme="majorBidi" w:hAnsiTheme="majorBidi" w:cstheme="majorBidi"/>
          <w:szCs w:val="24"/>
          <w:vertAlign w:val="superscript"/>
        </w:rPr>
        <w:t>1</w:t>
      </w:r>
      <w:r w:rsidRPr="00367D7D">
        <w:rPr>
          <w:rFonts w:asciiTheme="majorBidi" w:hAnsiTheme="majorBidi" w:cstheme="majorBidi"/>
          <w:szCs w:val="24"/>
        </w:rPr>
        <w:t> pantu un</w:t>
      </w:r>
      <w:r w:rsidR="008A6F23">
        <w:rPr>
          <w:rFonts w:asciiTheme="majorBidi" w:hAnsiTheme="majorBidi" w:cstheme="majorBidi"/>
          <w:szCs w:val="24"/>
        </w:rPr>
        <w:t xml:space="preserve"> pieļāvusi</w:t>
      </w:r>
      <w:r w:rsidRPr="00367D7D">
        <w:rPr>
          <w:rFonts w:asciiTheme="majorBidi" w:hAnsiTheme="majorBidi" w:cstheme="majorBidi"/>
          <w:szCs w:val="24"/>
        </w:rPr>
        <w:t xml:space="preserve"> Kriminālprocesa likuma 511. panta otrās daļas, 512. panta pirmās daļas, 562. panta pirmās </w:t>
      </w:r>
      <w:r w:rsidR="001344E1">
        <w:rPr>
          <w:rFonts w:asciiTheme="majorBidi" w:hAnsiTheme="majorBidi" w:cstheme="majorBidi"/>
          <w:szCs w:val="24"/>
        </w:rPr>
        <w:t>d</w:t>
      </w:r>
      <w:r w:rsidRPr="00367D7D">
        <w:rPr>
          <w:rFonts w:asciiTheme="majorBidi" w:hAnsiTheme="majorBidi" w:cstheme="majorBidi"/>
          <w:szCs w:val="24"/>
        </w:rPr>
        <w:t>aļas, 564. panta ceturtās daļas, 405. panta pirmās daļas un 527. panta pirmās daļas</w:t>
      </w:r>
      <w:r w:rsidR="001344E1">
        <w:rPr>
          <w:rFonts w:asciiTheme="majorBidi" w:hAnsiTheme="majorBidi" w:cstheme="majorBidi"/>
          <w:szCs w:val="24"/>
        </w:rPr>
        <w:t xml:space="preserve"> </w:t>
      </w:r>
      <w:r w:rsidR="001344E1">
        <w:t xml:space="preserve">pārkāpumus, kas </w:t>
      </w:r>
      <w:r w:rsidR="001344E1" w:rsidRPr="00027BA6">
        <w:rPr>
          <w:rFonts w:asciiTheme="majorBidi" w:hAnsiTheme="majorBidi" w:cstheme="majorBidi"/>
          <w:szCs w:val="24"/>
        </w:rPr>
        <w:t>noved</w:t>
      </w:r>
      <w:r w:rsidR="001344E1">
        <w:rPr>
          <w:rFonts w:asciiTheme="majorBidi" w:hAnsiTheme="majorBidi" w:cstheme="majorBidi"/>
          <w:szCs w:val="24"/>
        </w:rPr>
        <w:t>uši</w:t>
      </w:r>
      <w:r w:rsidR="001344E1" w:rsidRPr="00027BA6">
        <w:rPr>
          <w:rFonts w:asciiTheme="majorBidi" w:hAnsiTheme="majorBidi" w:cstheme="majorBidi"/>
          <w:szCs w:val="24"/>
        </w:rPr>
        <w:t xml:space="preserve"> pie nelikumīga tiesas </w:t>
      </w:r>
      <w:r w:rsidR="0069441C">
        <w:rPr>
          <w:rFonts w:asciiTheme="majorBidi" w:hAnsiTheme="majorBidi" w:cstheme="majorBidi"/>
          <w:szCs w:val="24"/>
        </w:rPr>
        <w:t>nolēmuma</w:t>
      </w:r>
      <w:r w:rsidR="001344E1">
        <w:rPr>
          <w:rFonts w:asciiTheme="majorBidi" w:hAnsiTheme="majorBidi" w:cstheme="majorBidi"/>
          <w:szCs w:val="24"/>
        </w:rPr>
        <w:t xml:space="preserve"> un atzīstami par Kriminālprocesa likuma būtiskiem pārkāpumiem šā likuma 575.</w:t>
      </w:r>
      <w:r w:rsidR="002B43E5">
        <w:rPr>
          <w:rFonts w:asciiTheme="majorBidi" w:hAnsiTheme="majorBidi" w:cstheme="majorBidi"/>
          <w:szCs w:val="24"/>
        </w:rPr>
        <w:t> </w:t>
      </w:r>
      <w:r w:rsidR="001344E1">
        <w:rPr>
          <w:rFonts w:asciiTheme="majorBidi" w:hAnsiTheme="majorBidi" w:cstheme="majorBidi"/>
          <w:szCs w:val="24"/>
        </w:rPr>
        <w:t>panta trešās daļas izpratnē.</w:t>
      </w:r>
    </w:p>
    <w:bookmarkEnd w:id="5"/>
    <w:p w14:paraId="0D89EE15" w14:textId="77777777"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Kasācijas sūdzību apsūdzētais un viņa aizstāvis pamatojuši ar šādiem argumentiem. </w:t>
      </w:r>
    </w:p>
    <w:p w14:paraId="7F7F5638" w14:textId="19B32777" w:rsidR="00B41B52" w:rsidRPr="00367D7D" w:rsidRDefault="00B41B52" w:rsidP="00367D7D">
      <w:pPr>
        <w:spacing w:after="0" w:line="276" w:lineRule="auto"/>
        <w:ind w:firstLine="720"/>
        <w:jc w:val="both"/>
        <w:rPr>
          <w:rFonts w:asciiTheme="majorBidi" w:hAnsiTheme="majorBidi" w:cstheme="majorBidi"/>
          <w:szCs w:val="24"/>
        </w:rPr>
      </w:pPr>
      <w:bookmarkStart w:id="8" w:name="_Hlk111713516"/>
      <w:r w:rsidRPr="00367D7D">
        <w:rPr>
          <w:rFonts w:asciiTheme="majorBidi" w:hAnsiTheme="majorBidi" w:cstheme="majorBidi"/>
          <w:szCs w:val="24"/>
        </w:rPr>
        <w:t>[</w:t>
      </w:r>
      <w:r w:rsidR="00F1057B">
        <w:rPr>
          <w:rFonts w:asciiTheme="majorBidi" w:hAnsiTheme="majorBidi" w:cstheme="majorBidi"/>
          <w:szCs w:val="24"/>
        </w:rPr>
        <w:t>4</w:t>
      </w:r>
      <w:r w:rsidRPr="00367D7D">
        <w:rPr>
          <w:rFonts w:asciiTheme="majorBidi" w:hAnsiTheme="majorBidi" w:cstheme="majorBidi"/>
          <w:szCs w:val="24"/>
        </w:rPr>
        <w:t xml:space="preserve">.1] </w:t>
      </w:r>
      <w:bookmarkEnd w:id="8"/>
      <w:r w:rsidRPr="00367D7D">
        <w:rPr>
          <w:rFonts w:asciiTheme="majorBidi" w:hAnsiTheme="majorBidi" w:cstheme="majorBidi"/>
          <w:szCs w:val="24"/>
        </w:rPr>
        <w:t xml:space="preserve">Apelācijas instances tiesa nav izvērtējusi un motivēti pamatojusi apsūdzībā kļūdaini norādīto, ka starp apsūdzēto </w:t>
      </w:r>
      <w:r w:rsidR="00316B09">
        <w:rPr>
          <w:rFonts w:asciiTheme="majorBidi" w:hAnsiTheme="majorBidi" w:cstheme="majorBidi"/>
          <w:szCs w:val="24"/>
        </w:rPr>
        <w:t>[pers. A]</w:t>
      </w:r>
      <w:r w:rsidRPr="00367D7D">
        <w:rPr>
          <w:rFonts w:asciiTheme="majorBidi" w:hAnsiTheme="majorBidi" w:cstheme="majorBidi"/>
          <w:szCs w:val="24"/>
        </w:rPr>
        <w:t xml:space="preserve"> un cietušo </w:t>
      </w:r>
      <w:r w:rsidR="00316B09">
        <w:rPr>
          <w:rFonts w:asciiTheme="majorBidi" w:hAnsiTheme="majorBidi" w:cstheme="majorBidi"/>
          <w:szCs w:val="24"/>
        </w:rPr>
        <w:t>[pers. B]</w:t>
      </w:r>
      <w:r w:rsidRPr="00367D7D">
        <w:rPr>
          <w:rFonts w:asciiTheme="majorBidi" w:hAnsiTheme="majorBidi" w:cstheme="majorBidi"/>
          <w:szCs w:val="24"/>
        </w:rPr>
        <w:t xml:space="preserve"> ir notikusi fiziska saskare. Ne pirmās instances tiesas spriedums, ne apelācijas instances tiesas lēmums nesatur ziņas, kas to pierādītu. </w:t>
      </w:r>
    </w:p>
    <w:p w14:paraId="531BA432" w14:textId="3B8EEF01" w:rsidR="00B41B52" w:rsidRPr="00367D7D" w:rsidRDefault="00B41B52" w:rsidP="00367D7D">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4</w:t>
      </w:r>
      <w:r w:rsidRPr="00367D7D">
        <w:rPr>
          <w:rFonts w:asciiTheme="majorBidi" w:hAnsiTheme="majorBidi" w:cstheme="majorBidi"/>
          <w:szCs w:val="24"/>
        </w:rPr>
        <w:t>.2]</w:t>
      </w:r>
      <w:r w:rsidR="002B43E5">
        <w:rPr>
          <w:rFonts w:asciiTheme="majorBidi" w:hAnsiTheme="majorBidi" w:cstheme="majorBidi"/>
          <w:szCs w:val="24"/>
        </w:rPr>
        <w:t> </w:t>
      </w:r>
      <w:r w:rsidRPr="00367D7D">
        <w:rPr>
          <w:rFonts w:asciiTheme="majorBidi" w:hAnsiTheme="majorBidi" w:cstheme="majorBidi"/>
          <w:szCs w:val="24"/>
        </w:rPr>
        <w:t>Tiesa apsūdzētā darbības nepamatoti kvalificējusi pēc Krimināllikuma 168.</w:t>
      </w:r>
      <w:r w:rsidRPr="00367D7D">
        <w:rPr>
          <w:rFonts w:asciiTheme="majorBidi" w:hAnsiTheme="majorBidi" w:cstheme="majorBidi"/>
          <w:szCs w:val="24"/>
          <w:vertAlign w:val="superscript"/>
        </w:rPr>
        <w:t>1</w:t>
      </w:r>
      <w:r w:rsidRPr="00367D7D">
        <w:rPr>
          <w:rFonts w:asciiTheme="majorBidi" w:hAnsiTheme="majorBidi" w:cstheme="majorBidi"/>
          <w:szCs w:val="24"/>
        </w:rPr>
        <w:t xml:space="preserve"> panta, jo apsūdzētā darbībās nav konstatējama Krimināllikuma </w:t>
      </w:r>
      <w:bookmarkStart w:id="9" w:name="_Hlk179967193"/>
      <w:r w:rsidRPr="00367D7D">
        <w:rPr>
          <w:rFonts w:asciiTheme="majorBidi" w:hAnsiTheme="majorBidi" w:cstheme="majorBidi"/>
          <w:szCs w:val="24"/>
        </w:rPr>
        <w:t>168.</w:t>
      </w:r>
      <w:r w:rsidRPr="00367D7D">
        <w:rPr>
          <w:rFonts w:asciiTheme="majorBidi" w:hAnsiTheme="majorBidi" w:cstheme="majorBidi"/>
          <w:szCs w:val="24"/>
          <w:vertAlign w:val="superscript"/>
        </w:rPr>
        <w:t>1</w:t>
      </w:r>
      <w:r w:rsidRPr="00367D7D">
        <w:rPr>
          <w:rFonts w:asciiTheme="majorBidi" w:hAnsiTheme="majorBidi" w:cstheme="majorBidi"/>
          <w:szCs w:val="24"/>
        </w:rPr>
        <w:t xml:space="preserve"> pantā </w:t>
      </w:r>
      <w:bookmarkEnd w:id="9"/>
      <w:r w:rsidRPr="00367D7D">
        <w:rPr>
          <w:rFonts w:asciiTheme="majorBidi" w:hAnsiTheme="majorBidi" w:cstheme="majorBidi"/>
          <w:szCs w:val="24"/>
        </w:rPr>
        <w:t xml:space="preserve">paredzētā noziedzīgā nodarījuma subjektīvā puse, proti, apsūdzētā nodoms ļaunprātīgi pārkāpt tiesas nolēmumu par pagaidu aizsardzību, uzsākot komunikāciju ar </w:t>
      </w:r>
      <w:r w:rsidR="007C1610">
        <w:rPr>
          <w:rFonts w:asciiTheme="majorBidi" w:hAnsiTheme="majorBidi" w:cstheme="majorBidi"/>
          <w:szCs w:val="24"/>
        </w:rPr>
        <w:t>[pers. B]</w:t>
      </w:r>
      <w:r w:rsidRPr="00367D7D">
        <w:rPr>
          <w:rFonts w:asciiTheme="majorBidi" w:hAnsiTheme="majorBidi" w:cstheme="majorBidi"/>
          <w:szCs w:val="24"/>
        </w:rPr>
        <w:t xml:space="preserve"> pirms </w:t>
      </w:r>
      <w:proofErr w:type="spellStart"/>
      <w:r w:rsidRPr="00367D7D">
        <w:rPr>
          <w:rFonts w:asciiTheme="majorBidi" w:hAnsiTheme="majorBidi" w:cstheme="majorBidi"/>
          <w:szCs w:val="24"/>
        </w:rPr>
        <w:t>mediācijas</w:t>
      </w:r>
      <w:proofErr w:type="spellEnd"/>
      <w:r w:rsidRPr="00367D7D">
        <w:rPr>
          <w:rFonts w:asciiTheme="majorBidi" w:hAnsiTheme="majorBidi" w:cstheme="majorBidi"/>
          <w:szCs w:val="24"/>
        </w:rPr>
        <w:t xml:space="preserve"> procesa. Komunikācija starp apsūdzēto un cietušo notika mediācijas veikšanas vietā un bija saistīta ar mediācijas procesu.</w:t>
      </w:r>
    </w:p>
    <w:p w14:paraId="6676E3C2" w14:textId="77777777" w:rsidR="00B41B52" w:rsidRPr="00367D7D" w:rsidRDefault="00B41B52" w:rsidP="00367D7D">
      <w:pPr>
        <w:spacing w:after="0" w:line="276" w:lineRule="auto"/>
        <w:ind w:firstLine="720"/>
        <w:jc w:val="both"/>
        <w:rPr>
          <w:rFonts w:asciiTheme="majorBidi" w:hAnsiTheme="majorBidi" w:cstheme="majorBidi"/>
          <w:szCs w:val="24"/>
        </w:rPr>
      </w:pPr>
    </w:p>
    <w:p w14:paraId="7A0C8242" w14:textId="77777777" w:rsidR="00B41B52" w:rsidRPr="00367D7D" w:rsidRDefault="00B41B52" w:rsidP="00367D7D">
      <w:pPr>
        <w:spacing w:after="0" w:line="276" w:lineRule="auto"/>
        <w:jc w:val="center"/>
        <w:textAlignment w:val="auto"/>
        <w:rPr>
          <w:rFonts w:asciiTheme="majorBidi" w:hAnsiTheme="majorBidi" w:cstheme="majorBidi"/>
          <w:b/>
          <w:szCs w:val="24"/>
        </w:rPr>
      </w:pPr>
      <w:r w:rsidRPr="00367D7D">
        <w:rPr>
          <w:rFonts w:asciiTheme="majorBidi" w:hAnsiTheme="majorBidi" w:cstheme="majorBidi"/>
          <w:b/>
          <w:szCs w:val="24"/>
        </w:rPr>
        <w:t>Motīvu daļa</w:t>
      </w:r>
    </w:p>
    <w:p w14:paraId="4CEE16B0" w14:textId="77777777" w:rsidR="00B41B52" w:rsidRPr="00367D7D" w:rsidRDefault="00B41B52" w:rsidP="00367D7D">
      <w:pPr>
        <w:spacing w:after="0" w:line="276" w:lineRule="auto"/>
        <w:ind w:firstLine="709"/>
        <w:jc w:val="center"/>
        <w:textAlignment w:val="auto"/>
        <w:rPr>
          <w:rFonts w:asciiTheme="majorBidi" w:hAnsiTheme="majorBidi" w:cstheme="majorBidi"/>
          <w:b/>
          <w:szCs w:val="24"/>
        </w:rPr>
      </w:pPr>
    </w:p>
    <w:p w14:paraId="64E92963" w14:textId="6A6A16E1"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5</w:t>
      </w:r>
      <w:r w:rsidRPr="00367D7D">
        <w:rPr>
          <w:rFonts w:asciiTheme="majorBidi" w:hAnsiTheme="majorBidi" w:cstheme="majorBidi"/>
          <w:szCs w:val="24"/>
        </w:rPr>
        <w:t>]</w:t>
      </w:r>
      <w:r w:rsidR="002B43E5">
        <w:rPr>
          <w:rFonts w:asciiTheme="majorBidi" w:hAnsiTheme="majorBidi" w:cstheme="majorBidi"/>
          <w:szCs w:val="24"/>
        </w:rPr>
        <w:t> </w:t>
      </w:r>
      <w:r w:rsidRPr="00367D7D">
        <w:rPr>
          <w:rFonts w:asciiTheme="majorBidi" w:hAnsiTheme="majorBidi" w:cstheme="majorBidi"/>
          <w:szCs w:val="24"/>
        </w:rPr>
        <w:t xml:space="preserve">Senāts konstatē, ka kasācijas instances tiesas kompetencē vispirms ir sniegt atbildi, vai apelācijas instances tiesas lēmums atzīstams par pamatotu, ja tajā nav norādīti pierādījumi, kas apstiprina apelācijas instances tiesas atzinumu par noziedzīgā nodarījuma aprakstā norādīto nolēmuma par aizsardzību pret vardarbību ļaunprātīgu nepildīšanu, uzturot fizisku saskari ar cietušo. </w:t>
      </w:r>
    </w:p>
    <w:p w14:paraId="0AC8D81E" w14:textId="46728776"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5</w:t>
      </w:r>
      <w:r w:rsidRPr="00367D7D">
        <w:rPr>
          <w:rFonts w:asciiTheme="majorBidi" w:hAnsiTheme="majorBidi" w:cstheme="majorBidi"/>
          <w:szCs w:val="24"/>
        </w:rPr>
        <w:t>.1]</w:t>
      </w:r>
      <w:bookmarkStart w:id="10" w:name="_Hlk128917731"/>
      <w:r w:rsidRPr="00367D7D">
        <w:rPr>
          <w:rFonts w:asciiTheme="majorBidi" w:hAnsiTheme="majorBidi" w:cstheme="majorBidi"/>
          <w:szCs w:val="24"/>
        </w:rPr>
        <w:t xml:space="preserve"> Kriminālprocesa likuma 511. panta otrā daļa noteic, ka spriedumam ir jābūt tiesiskam un pamatotam. Atbilstoši šā likuma 512. panta pirmajai daļai tiesa, taisot spriedumu, pamatojas uz materiālo un procesuālo tiesību normām.</w:t>
      </w:r>
    </w:p>
    <w:p w14:paraId="5617A38E" w14:textId="54B9013D"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Kriminālprocesa likuma 561. panta pirmās daļas otrais teikums noteic, ka lieta apelācijas instances tiesā iztiesājama kārtībā, kāda noteikta krimināllietu iztiesāšanai pirmās instances tiesā, izņemot 53.</w:t>
      </w:r>
      <w:r w:rsidR="00F725DD" w:rsidRPr="00367D7D">
        <w:rPr>
          <w:rFonts w:asciiTheme="majorBidi" w:hAnsiTheme="majorBidi" w:cstheme="majorBidi"/>
          <w:szCs w:val="24"/>
        </w:rPr>
        <w:t> </w:t>
      </w:r>
      <w:r w:rsidRPr="00367D7D">
        <w:rPr>
          <w:rFonts w:asciiTheme="majorBidi" w:hAnsiTheme="majorBidi" w:cstheme="majorBidi"/>
          <w:szCs w:val="24"/>
        </w:rPr>
        <w:t>nodaļā noteikto.</w:t>
      </w:r>
    </w:p>
    <w:p w14:paraId="31CA8E33" w14:textId="38402937"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Kriminālprocesa likuma 527. panta pirmajā daļā norādīts, ka notiesājoša sprieduma aprakstošajā daļā sniedz pierādītā noziedzīga nodarījuma aprakstu un juridisko kvalifikāciju, minot tā izdarīšanas laiku, vietu, izdarīšanas veidu, apsūdzētā vainas formu, motīvus un šā nodarījuma sekas.</w:t>
      </w:r>
      <w:r w:rsidR="00AB6C47" w:rsidRPr="00367D7D">
        <w:rPr>
          <w:rFonts w:asciiTheme="majorBidi" w:hAnsiTheme="majorBidi" w:cstheme="majorBidi"/>
          <w:szCs w:val="24"/>
        </w:rPr>
        <w:t xml:space="preserve"> </w:t>
      </w:r>
      <w:r w:rsidRPr="00367D7D">
        <w:rPr>
          <w:rFonts w:asciiTheme="majorBidi" w:hAnsiTheme="majorBidi" w:cstheme="majorBidi"/>
          <w:szCs w:val="24"/>
        </w:rPr>
        <w:t>Minētā panta otrās daļas 1. punkts noteic, ka notiesājoša sprieduma motīvu daļā norāda pierādījumus, uz kuriem pamatoti tiesas secinājumi.</w:t>
      </w:r>
    </w:p>
    <w:p w14:paraId="42BE0D06" w14:textId="77777777"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 xml:space="preserve">Savukārt prasības apelācijas instances tiesas nolēmuma saturam norādītas Kriminālprocesa likuma 564. pantā. Šā panta ceturtā daļa noteic, ka nolēmuma motīvu daļā norādāms apelācijas instances tiesas atzinums par apelācijas sūdzības vai protesta pamatotību, apstākļi, ko noskaidrojusi apelācijas instances tiesa, pierādījumi, kas apstiprina </w:t>
      </w:r>
      <w:r w:rsidRPr="00367D7D">
        <w:rPr>
          <w:rFonts w:asciiTheme="majorBidi" w:hAnsiTheme="majorBidi" w:cstheme="majorBidi"/>
          <w:szCs w:val="24"/>
        </w:rPr>
        <w:lastRenderedPageBreak/>
        <w:t xml:space="preserve">apelācijas instances tiesas atzinumu, motīvi, kāpēc apelācijas instances tiesa noraida kādus pierādījumus, un likumi, pēc kuriem tā vadās. </w:t>
      </w:r>
    </w:p>
    <w:p w14:paraId="63D96E1A" w14:textId="32C3A504" w:rsidR="00AB6C47" w:rsidRPr="00367D7D" w:rsidRDefault="00B41B52" w:rsidP="00367D7D">
      <w:pPr>
        <w:widowControl w:val="0"/>
        <w:tabs>
          <w:tab w:val="left" w:pos="709"/>
        </w:tabs>
        <w:spacing w:after="0" w:line="276" w:lineRule="auto"/>
        <w:ind w:firstLine="680"/>
        <w:jc w:val="both"/>
        <w:rPr>
          <w:rFonts w:asciiTheme="majorBidi" w:hAnsiTheme="majorBidi" w:cstheme="majorBidi"/>
          <w:bCs/>
          <w:szCs w:val="24"/>
        </w:rPr>
      </w:pPr>
      <w:r w:rsidRPr="00367D7D">
        <w:rPr>
          <w:rFonts w:asciiTheme="majorBidi" w:hAnsiTheme="majorBidi" w:cstheme="majorBidi"/>
          <w:szCs w:val="24"/>
        </w:rPr>
        <w:t xml:space="preserve">Senāts jau vairākkārtēji norādījis, ka </w:t>
      </w:r>
      <w:r w:rsidRPr="00367D7D">
        <w:rPr>
          <w:rFonts w:asciiTheme="majorBidi" w:eastAsia="Times New Roman" w:hAnsiTheme="majorBidi" w:cstheme="majorBidi"/>
          <w:szCs w:val="24"/>
          <w:lang w:eastAsia="lv-LV"/>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367D7D">
        <w:rPr>
          <w:rFonts w:asciiTheme="majorBidi" w:hAnsiTheme="majorBidi" w:cstheme="majorBidi"/>
          <w:i/>
          <w:iCs/>
          <w:szCs w:val="24"/>
        </w:rPr>
        <w:t>Senāta 2017. gada 10. oktobra lēmums lietā Nr. SKK-</w:t>
      </w:r>
      <w:r w:rsidR="00274070" w:rsidRPr="00367D7D">
        <w:rPr>
          <w:rFonts w:asciiTheme="majorBidi" w:hAnsiTheme="majorBidi" w:cstheme="majorBidi"/>
          <w:i/>
          <w:iCs/>
          <w:szCs w:val="24"/>
        </w:rPr>
        <w:t>532</w:t>
      </w:r>
      <w:r w:rsidRPr="00367D7D">
        <w:rPr>
          <w:rFonts w:asciiTheme="majorBidi" w:hAnsiTheme="majorBidi" w:cstheme="majorBidi"/>
          <w:i/>
          <w:iCs/>
          <w:szCs w:val="24"/>
        </w:rPr>
        <w:t xml:space="preserve">/2017, </w:t>
      </w:r>
      <w:hyperlink r:id="rId8" w:history="1">
        <w:r w:rsidRPr="00367D7D">
          <w:rPr>
            <w:rStyle w:val="Hyperlink"/>
            <w:rFonts w:asciiTheme="majorBidi" w:hAnsiTheme="majorBidi" w:cstheme="majorBidi"/>
            <w:bCs/>
            <w:i/>
            <w:iCs/>
            <w:szCs w:val="24"/>
          </w:rPr>
          <w:t>ECLI:LV:AT:2017:1010.15830406610.1.L</w:t>
        </w:r>
      </w:hyperlink>
      <w:r w:rsidRPr="00367D7D">
        <w:rPr>
          <w:rFonts w:asciiTheme="majorBidi" w:hAnsiTheme="majorBidi" w:cstheme="majorBidi"/>
          <w:bCs/>
          <w:szCs w:val="24"/>
        </w:rPr>
        <w:t>).</w:t>
      </w:r>
    </w:p>
    <w:p w14:paraId="200BA81B" w14:textId="0A91828A" w:rsidR="00EC6ABD"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bookmarkStart w:id="11" w:name="_Hlk183098149"/>
      <w:r w:rsidRPr="00367D7D">
        <w:rPr>
          <w:rFonts w:asciiTheme="majorBidi" w:hAnsiTheme="majorBidi" w:cstheme="majorBidi"/>
          <w:szCs w:val="24"/>
        </w:rPr>
        <w:t xml:space="preserve">Senāts </w:t>
      </w:r>
      <w:r w:rsidR="00AB6C47" w:rsidRPr="00367D7D">
        <w:rPr>
          <w:rFonts w:asciiTheme="majorBidi" w:hAnsiTheme="majorBidi" w:cstheme="majorBidi"/>
          <w:szCs w:val="24"/>
        </w:rPr>
        <w:t>atzīst</w:t>
      </w:r>
      <w:r w:rsidRPr="00367D7D">
        <w:rPr>
          <w:rFonts w:asciiTheme="majorBidi" w:hAnsiTheme="majorBidi" w:cstheme="majorBidi"/>
          <w:szCs w:val="24"/>
        </w:rPr>
        <w:t>, ka apelācijas instances tiesa likumā noteikto nav ievērojusi.</w:t>
      </w:r>
      <w:bookmarkEnd w:id="11"/>
    </w:p>
    <w:p w14:paraId="44ACD75E" w14:textId="2D13EDAD" w:rsidR="00AB6C47"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5</w:t>
      </w:r>
      <w:r w:rsidRPr="00367D7D">
        <w:rPr>
          <w:rFonts w:asciiTheme="majorBidi" w:hAnsiTheme="majorBidi" w:cstheme="majorBidi"/>
          <w:szCs w:val="24"/>
        </w:rPr>
        <w:t xml:space="preserve">.2] Senāts konstatē, ka apelācijas instances tiesa, izskatot lietu apelācijas kārtībā, pirmās instances tiesas spriedumu atstājusi negrozītu. </w:t>
      </w:r>
      <w:bookmarkEnd w:id="10"/>
      <w:r w:rsidRPr="00367D7D">
        <w:rPr>
          <w:rFonts w:asciiTheme="majorBidi" w:hAnsiTheme="majorBidi" w:cstheme="majorBidi"/>
          <w:szCs w:val="24"/>
        </w:rPr>
        <w:t xml:space="preserve">Apelācijas instances tiesa 2024. gada 24. janvāra lēmumā atzinusi, ka apsūdzētais </w:t>
      </w:r>
      <w:r w:rsidR="00BE33DD">
        <w:rPr>
          <w:rFonts w:asciiTheme="majorBidi" w:hAnsiTheme="majorBidi" w:cstheme="majorBidi"/>
          <w:szCs w:val="24"/>
        </w:rPr>
        <w:t>[pers. A]</w:t>
      </w:r>
      <w:r w:rsidRPr="00367D7D">
        <w:rPr>
          <w:rFonts w:asciiTheme="majorBidi" w:hAnsiTheme="majorBidi" w:cstheme="majorBidi"/>
          <w:szCs w:val="24"/>
        </w:rPr>
        <w:t xml:space="preserve"> pamatoti atzīts par vainīgu Krimināllikuma 168.</w:t>
      </w:r>
      <w:r w:rsidRPr="00367D7D">
        <w:rPr>
          <w:rFonts w:asciiTheme="majorBidi" w:hAnsiTheme="majorBidi" w:cstheme="majorBidi"/>
          <w:szCs w:val="24"/>
          <w:vertAlign w:val="superscript"/>
        </w:rPr>
        <w:t>1</w:t>
      </w:r>
      <w:r w:rsidRPr="00367D7D">
        <w:rPr>
          <w:rFonts w:asciiTheme="majorBidi" w:hAnsiTheme="majorBidi" w:cstheme="majorBidi"/>
          <w:szCs w:val="24"/>
        </w:rPr>
        <w:t> pantā paredzētajā noziedzīgajā nodarījumā.</w:t>
      </w:r>
      <w:r w:rsidR="00AB6C47" w:rsidRPr="00367D7D">
        <w:rPr>
          <w:rFonts w:asciiTheme="majorBidi" w:hAnsiTheme="majorBidi" w:cstheme="majorBidi"/>
          <w:szCs w:val="24"/>
        </w:rPr>
        <w:t xml:space="preserve"> </w:t>
      </w:r>
      <w:r w:rsidRPr="00367D7D">
        <w:rPr>
          <w:rFonts w:asciiTheme="majorBidi" w:hAnsiTheme="majorBidi" w:cstheme="majorBidi"/>
          <w:szCs w:val="24"/>
        </w:rPr>
        <w:t>Tiesa norādījusi, ka atbilstoši Kriminālprocesa likuma 564.</w:t>
      </w:r>
      <w:r w:rsidR="00367D7D">
        <w:rPr>
          <w:rFonts w:asciiTheme="majorBidi" w:hAnsiTheme="majorBidi" w:cstheme="majorBidi"/>
          <w:szCs w:val="24"/>
        </w:rPr>
        <w:t> </w:t>
      </w:r>
      <w:r w:rsidRPr="00367D7D">
        <w:rPr>
          <w:rFonts w:asciiTheme="majorBidi" w:hAnsiTheme="majorBidi" w:cstheme="majorBidi"/>
          <w:szCs w:val="24"/>
        </w:rPr>
        <w:t xml:space="preserve">panta sestajai daļai tā neatkārtos pirmās instances tiesas spriedumā minētos pierādījumus un atzinumus, ņemot vērā, ka pilnībā pievienojas pirmās instances tiesas spriedumā sniegtajam pierādījumu novērtējumam un secinājumiem par apsūdzētā </w:t>
      </w:r>
      <w:r w:rsidR="00BE33DD">
        <w:rPr>
          <w:rFonts w:asciiTheme="majorBidi" w:hAnsiTheme="majorBidi" w:cstheme="majorBidi"/>
          <w:szCs w:val="24"/>
        </w:rPr>
        <w:t>[pers. A]</w:t>
      </w:r>
      <w:r w:rsidRPr="00367D7D">
        <w:rPr>
          <w:rFonts w:asciiTheme="majorBidi" w:hAnsiTheme="majorBidi" w:cstheme="majorBidi"/>
          <w:szCs w:val="24"/>
        </w:rPr>
        <w:t xml:space="preserve"> vainīgumu viņam inkriminētā noziedzīgā nodarījuma izdarīšanā, un izvērtēs tikai tos apstākļus un argumentus, uz kuriem apsūdzētais norādījis savā apelācijas sūdzībā. </w:t>
      </w:r>
    </w:p>
    <w:p w14:paraId="6C868DBE" w14:textId="515B9B6F" w:rsidR="00AB6C47"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 xml:space="preserve">No apelācijas instances tiesas lēmuma konstatējams, ka tiesa par pierādītām atzinusi arī šādas </w:t>
      </w:r>
      <w:r w:rsidR="00972379">
        <w:rPr>
          <w:rFonts w:asciiTheme="majorBidi" w:hAnsiTheme="majorBidi" w:cstheme="majorBidi"/>
          <w:szCs w:val="24"/>
        </w:rPr>
        <w:t>[pers. A]</w:t>
      </w:r>
      <w:r w:rsidRPr="00367D7D">
        <w:rPr>
          <w:rFonts w:asciiTheme="majorBidi" w:hAnsiTheme="majorBidi" w:cstheme="majorBidi"/>
          <w:szCs w:val="24"/>
        </w:rPr>
        <w:t xml:space="preserve"> prettiesiskas darbības, tas ir, ka viņš pretēji Rīgas pilsētas Pārdaugavas tiesas 2020. gada 13. februāra lēmumā noteiktajam aizliegumam 2021. gada 17. jūnijā uzturēja ar </w:t>
      </w:r>
      <w:r w:rsidR="00371E6A">
        <w:rPr>
          <w:rFonts w:asciiTheme="majorBidi" w:hAnsiTheme="majorBidi" w:cstheme="majorBidi"/>
          <w:szCs w:val="24"/>
        </w:rPr>
        <w:t>[pers. B]</w:t>
      </w:r>
      <w:r w:rsidRPr="00367D7D">
        <w:rPr>
          <w:rFonts w:asciiTheme="majorBidi" w:hAnsiTheme="majorBidi" w:cstheme="majorBidi"/>
          <w:szCs w:val="24"/>
        </w:rPr>
        <w:t xml:space="preserve"> fizisku un vizuālu saskari, tādējādi ļaunprātīgi nepildīja 2020. gada 13. februāra Rīgas pilsētas Pārdaugavas </w:t>
      </w:r>
      <w:bookmarkStart w:id="12" w:name="_Hlk184044727"/>
      <w:r w:rsidRPr="00367D7D">
        <w:rPr>
          <w:rFonts w:asciiTheme="majorBidi" w:hAnsiTheme="majorBidi" w:cstheme="majorBidi"/>
          <w:szCs w:val="24"/>
        </w:rPr>
        <w:t>tiesas nolēmumu par aizsardzību</w:t>
      </w:r>
      <w:bookmarkEnd w:id="12"/>
      <w:r w:rsidR="00932E8F">
        <w:rPr>
          <w:rFonts w:asciiTheme="majorBidi" w:hAnsiTheme="majorBidi" w:cstheme="majorBidi"/>
          <w:szCs w:val="24"/>
        </w:rPr>
        <w:t xml:space="preserve"> pret vardarbību. </w:t>
      </w:r>
    </w:p>
    <w:p w14:paraId="327816DC" w14:textId="108D384D" w:rsidR="008A6F23" w:rsidRDefault="00B41B52" w:rsidP="00367D7D">
      <w:pPr>
        <w:widowControl w:val="0"/>
        <w:tabs>
          <w:tab w:val="left" w:pos="709"/>
        </w:tabs>
        <w:spacing w:after="0" w:line="276" w:lineRule="auto"/>
        <w:ind w:firstLine="680"/>
        <w:jc w:val="both"/>
        <w:rPr>
          <w:rFonts w:asciiTheme="majorBidi" w:hAnsiTheme="majorBidi" w:cstheme="majorBidi"/>
          <w:bCs/>
          <w:szCs w:val="24"/>
        </w:rPr>
      </w:pPr>
      <w:r w:rsidRPr="00367D7D">
        <w:rPr>
          <w:rFonts w:asciiTheme="majorBidi" w:hAnsiTheme="majorBidi" w:cstheme="majorBidi"/>
          <w:bCs/>
          <w:szCs w:val="24"/>
        </w:rPr>
        <w:t xml:space="preserve">Apelācijas instances tiesa lēmumā norādījusi, ka piekrīt pirmās instances tiesas secinātajam, ka apsūdzētā darbības, uzturot ar cietušo fizisku un vizuālu saskari, neņemot vērā cietušās teikto, ka nevēlas saziņu ar apsūdzēto, ir raksturojamas kā ļaunprātīgas, </w:t>
      </w:r>
      <w:r w:rsidR="00EC6ABD">
        <w:rPr>
          <w:rFonts w:asciiTheme="majorBidi" w:hAnsiTheme="majorBidi" w:cstheme="majorBidi"/>
          <w:bCs/>
          <w:szCs w:val="24"/>
        </w:rPr>
        <w:t xml:space="preserve">ka </w:t>
      </w:r>
      <w:r w:rsidRPr="00367D7D">
        <w:rPr>
          <w:rFonts w:asciiTheme="majorBidi" w:hAnsiTheme="majorBidi" w:cstheme="majorBidi"/>
          <w:bCs/>
          <w:szCs w:val="24"/>
        </w:rPr>
        <w:t xml:space="preserve">apsūdzētais skaidri apzinoties, ka pastāv tiesas noteiktais aizliegums šādas darbības veikt, mērķtiecīgi un tīši rīkojās nolūkā pārkāpt aizliegumu. </w:t>
      </w:r>
    </w:p>
    <w:p w14:paraId="68EEAF85" w14:textId="77777777" w:rsidR="008D5A2F" w:rsidRDefault="008D5A2F" w:rsidP="008D5A2F">
      <w:pPr>
        <w:widowControl w:val="0"/>
        <w:tabs>
          <w:tab w:val="left" w:pos="709"/>
        </w:tabs>
        <w:spacing w:after="0" w:line="276" w:lineRule="auto"/>
        <w:ind w:firstLine="680"/>
        <w:jc w:val="both"/>
        <w:rPr>
          <w:rFonts w:asciiTheme="majorBidi" w:hAnsiTheme="majorBidi" w:cstheme="majorBidi"/>
          <w:bCs/>
        </w:rPr>
      </w:pPr>
      <w:r w:rsidRPr="00943396">
        <w:rPr>
          <w:rFonts w:asciiTheme="majorBidi" w:hAnsiTheme="majorBidi" w:cstheme="majorBidi"/>
          <w:bCs/>
        </w:rPr>
        <w:t xml:space="preserve">Senāts norāda, ka apelācijas instances tiesa var piemērot Kriminālprocesa likuma 564. panta sestās daļas nosacījumus tikai </w:t>
      </w:r>
      <w:r>
        <w:rPr>
          <w:rFonts w:asciiTheme="majorBidi" w:hAnsiTheme="majorBidi" w:cstheme="majorBidi"/>
          <w:bCs/>
        </w:rPr>
        <w:t>tad</w:t>
      </w:r>
      <w:r w:rsidRPr="00943396">
        <w:rPr>
          <w:rFonts w:asciiTheme="majorBidi" w:hAnsiTheme="majorBidi" w:cstheme="majorBidi"/>
          <w:bCs/>
        </w:rPr>
        <w:t>, ja pirmās instances tiesa</w:t>
      </w:r>
      <w:r>
        <w:rPr>
          <w:rFonts w:asciiTheme="majorBidi" w:hAnsiTheme="majorBidi" w:cstheme="majorBidi"/>
          <w:bCs/>
        </w:rPr>
        <w:t>s spriedums ir tiesisks un pamatots</w:t>
      </w:r>
      <w:r w:rsidRPr="00943396">
        <w:rPr>
          <w:rFonts w:asciiTheme="majorBidi" w:hAnsiTheme="majorBidi" w:cstheme="majorBidi"/>
          <w:bCs/>
        </w:rPr>
        <w:t>.</w:t>
      </w:r>
    </w:p>
    <w:p w14:paraId="1211F95F" w14:textId="5CAFE9FB" w:rsidR="002B43E5" w:rsidRDefault="00FD695A" w:rsidP="002B43E5">
      <w:pPr>
        <w:widowControl w:val="0"/>
        <w:spacing w:after="0" w:line="276" w:lineRule="auto"/>
        <w:jc w:val="both"/>
        <w:rPr>
          <w:rFonts w:asciiTheme="majorBidi" w:hAnsiTheme="majorBidi" w:cstheme="majorBidi"/>
          <w:szCs w:val="24"/>
        </w:rPr>
      </w:pPr>
      <w:r>
        <w:rPr>
          <w:rFonts w:asciiTheme="majorBidi" w:hAnsiTheme="majorBidi" w:cstheme="majorBidi"/>
          <w:bCs/>
          <w:szCs w:val="24"/>
        </w:rPr>
        <w:tab/>
      </w:r>
      <w:r w:rsidR="008A6F23">
        <w:rPr>
          <w:rFonts w:asciiTheme="majorBidi" w:hAnsiTheme="majorBidi" w:cstheme="majorBidi"/>
          <w:bCs/>
          <w:szCs w:val="24"/>
        </w:rPr>
        <w:t xml:space="preserve">Senāts </w:t>
      </w:r>
      <w:r>
        <w:rPr>
          <w:rFonts w:asciiTheme="majorBidi" w:hAnsiTheme="majorBidi" w:cstheme="majorBidi"/>
          <w:bCs/>
          <w:szCs w:val="24"/>
        </w:rPr>
        <w:t>atzīst</w:t>
      </w:r>
      <w:r w:rsidR="008A6F23">
        <w:rPr>
          <w:rFonts w:asciiTheme="majorBidi" w:hAnsiTheme="majorBidi" w:cstheme="majorBidi"/>
          <w:bCs/>
          <w:szCs w:val="24"/>
        </w:rPr>
        <w:t>, ka</w:t>
      </w:r>
      <w:r w:rsidR="008D5A2F">
        <w:rPr>
          <w:rFonts w:asciiTheme="majorBidi" w:hAnsiTheme="majorBidi" w:cstheme="majorBidi"/>
          <w:bCs/>
          <w:szCs w:val="24"/>
        </w:rPr>
        <w:t xml:space="preserve"> izskatāmajā lietā</w:t>
      </w:r>
      <w:r w:rsidR="008D5A2F" w:rsidRPr="008D5A2F">
        <w:t xml:space="preserve"> </w:t>
      </w:r>
      <w:r w:rsidR="008D5A2F">
        <w:t>apelācijas instances tiesai nebija pamata atbilstoši Kriminālprocesa likuma 564. panta sestās daļas nosacījumiem nevērtēt pierādījumus lietā un pilnībā pievienoties pirmās instances tiesas secinājumiem</w:t>
      </w:r>
      <w:r>
        <w:t xml:space="preserve">. </w:t>
      </w:r>
      <w:r>
        <w:rPr>
          <w:rFonts w:asciiTheme="majorBidi" w:hAnsiTheme="majorBidi" w:cstheme="majorBidi"/>
          <w:bCs/>
          <w:szCs w:val="24"/>
        </w:rPr>
        <w:t>A</w:t>
      </w:r>
      <w:r w:rsidR="00B41B52" w:rsidRPr="00367D7D">
        <w:rPr>
          <w:rFonts w:asciiTheme="majorBidi" w:hAnsiTheme="majorBidi" w:cstheme="majorBidi"/>
          <w:bCs/>
          <w:szCs w:val="24"/>
        </w:rPr>
        <w:t xml:space="preserve">pelācijas instances tiesa nav </w:t>
      </w:r>
      <w:r w:rsidR="00B41B52" w:rsidRPr="0045010B">
        <w:rPr>
          <w:rFonts w:asciiTheme="majorBidi" w:hAnsiTheme="majorBidi" w:cstheme="majorBidi"/>
          <w:bCs/>
          <w:szCs w:val="24"/>
        </w:rPr>
        <w:t>ņēmusi vērā, ka pirmās instances tiesa</w:t>
      </w:r>
      <w:r w:rsidR="00B41B52" w:rsidRPr="0045010B">
        <w:rPr>
          <w:rFonts w:asciiTheme="majorBidi" w:eastAsiaTheme="minorHAnsi" w:hAnsiTheme="majorBidi" w:cstheme="majorBidi"/>
          <w:szCs w:val="24"/>
          <w14:ligatures w14:val="standardContextual"/>
        </w:rPr>
        <w:t xml:space="preserve"> savus atzinumus par apsūdzēt</w:t>
      </w:r>
      <w:r w:rsidR="001B4A90" w:rsidRPr="0045010B">
        <w:rPr>
          <w:rFonts w:asciiTheme="majorBidi" w:eastAsiaTheme="minorHAnsi" w:hAnsiTheme="majorBidi" w:cstheme="majorBidi"/>
          <w:szCs w:val="24"/>
          <w14:ligatures w14:val="standardContextual"/>
        </w:rPr>
        <w:t>ajam</w:t>
      </w:r>
      <w:r w:rsidR="00B41B52" w:rsidRPr="0045010B">
        <w:rPr>
          <w:rFonts w:asciiTheme="majorBidi" w:eastAsiaTheme="minorHAnsi" w:hAnsiTheme="majorBidi" w:cstheme="majorBidi"/>
          <w:szCs w:val="24"/>
          <w14:ligatures w14:val="standardContextual"/>
        </w:rPr>
        <w:t xml:space="preserve"> tiesas lēmumā noteiktā aizlieguma</w:t>
      </w:r>
      <w:r w:rsidR="002B43E5">
        <w:rPr>
          <w:rFonts w:asciiTheme="majorBidi" w:eastAsiaTheme="minorHAnsi" w:hAnsiTheme="majorBidi" w:cstheme="majorBidi"/>
          <w:szCs w:val="24"/>
          <w14:ligatures w14:val="standardContextual"/>
        </w:rPr>
        <w:t> </w:t>
      </w:r>
      <w:r w:rsidR="00B41B52" w:rsidRPr="0045010B">
        <w:rPr>
          <w:rFonts w:asciiTheme="majorBidi" w:eastAsiaTheme="minorHAnsi" w:hAnsiTheme="majorBidi" w:cstheme="majorBidi"/>
          <w:szCs w:val="24"/>
          <w14:ligatures w14:val="standardContextual"/>
        </w:rPr>
        <w:t>– fiziskas saskares ar cietušo uzturēšanu</w:t>
      </w:r>
      <w:r w:rsidR="002B43E5">
        <w:rPr>
          <w:rFonts w:asciiTheme="majorBidi" w:eastAsiaTheme="minorHAnsi" w:hAnsiTheme="majorBidi" w:cstheme="majorBidi"/>
          <w:szCs w:val="24"/>
          <w14:ligatures w14:val="standardContextual"/>
        </w:rPr>
        <w:t> </w:t>
      </w:r>
      <w:r w:rsidR="00B41B52" w:rsidRPr="0045010B">
        <w:rPr>
          <w:rFonts w:asciiTheme="majorBidi" w:eastAsiaTheme="minorHAnsi" w:hAnsiTheme="majorBidi" w:cstheme="majorBidi"/>
          <w:szCs w:val="24"/>
          <w14:ligatures w14:val="standardContextual"/>
        </w:rPr>
        <w:t>– pārkāpumu nav pamatojusi</w:t>
      </w:r>
      <w:r w:rsidR="00B41B52" w:rsidRPr="00367D7D">
        <w:rPr>
          <w:rFonts w:asciiTheme="majorBidi" w:eastAsiaTheme="minorHAnsi" w:hAnsiTheme="majorBidi" w:cstheme="majorBidi"/>
          <w:szCs w:val="24"/>
          <w14:ligatures w14:val="standardContextual"/>
        </w:rPr>
        <w:t xml:space="preserve"> ar Kriminālprocesa likuma 128. panta otrajā daļā noteiktajā kārtībā izvērtētiem pierādījumiem. Arī apelācijas instances tiesa lēmuma </w:t>
      </w:r>
      <w:r w:rsidR="00B41B52" w:rsidRPr="00367D7D">
        <w:rPr>
          <w:rFonts w:asciiTheme="majorBidi" w:hAnsiTheme="majorBidi" w:cstheme="majorBidi"/>
          <w:szCs w:val="24"/>
        </w:rPr>
        <w:t xml:space="preserve">motīvu daļā pretēji Kriminālprocesa likuma </w:t>
      </w:r>
      <w:r w:rsidR="00EC6ABD">
        <w:rPr>
          <w:rFonts w:asciiTheme="majorBidi" w:hAnsiTheme="majorBidi" w:cstheme="majorBidi"/>
          <w:szCs w:val="24"/>
        </w:rPr>
        <w:t>564. </w:t>
      </w:r>
      <w:r w:rsidR="00B41B52" w:rsidRPr="00367D7D">
        <w:rPr>
          <w:rFonts w:asciiTheme="majorBidi" w:hAnsiTheme="majorBidi" w:cstheme="majorBidi"/>
          <w:szCs w:val="24"/>
        </w:rPr>
        <w:t xml:space="preserve">panta </w:t>
      </w:r>
      <w:r w:rsidR="00EC6ABD">
        <w:rPr>
          <w:rFonts w:asciiTheme="majorBidi" w:hAnsiTheme="majorBidi" w:cstheme="majorBidi"/>
          <w:szCs w:val="24"/>
        </w:rPr>
        <w:lastRenderedPageBreak/>
        <w:t>ceturtajai</w:t>
      </w:r>
      <w:r w:rsidR="00B41B52" w:rsidRPr="00367D7D">
        <w:rPr>
          <w:rFonts w:asciiTheme="majorBidi" w:hAnsiTheme="majorBidi" w:cstheme="majorBidi"/>
          <w:szCs w:val="24"/>
        </w:rPr>
        <w:t xml:space="preserve"> daļa</w:t>
      </w:r>
      <w:r w:rsidR="00EC6ABD">
        <w:rPr>
          <w:rFonts w:asciiTheme="majorBidi" w:hAnsiTheme="majorBidi" w:cstheme="majorBidi"/>
          <w:szCs w:val="24"/>
        </w:rPr>
        <w:t>i</w:t>
      </w:r>
      <w:r w:rsidR="00B41B52" w:rsidRPr="00367D7D">
        <w:rPr>
          <w:rFonts w:asciiTheme="majorBidi" w:hAnsiTheme="majorBidi" w:cstheme="majorBidi"/>
          <w:szCs w:val="24"/>
        </w:rPr>
        <w:t xml:space="preserve"> nav norādījusi pierādījumus, </w:t>
      </w:r>
      <w:r w:rsidR="000D1907" w:rsidRPr="00367D7D">
        <w:rPr>
          <w:rFonts w:asciiTheme="majorBidi" w:hAnsiTheme="majorBidi" w:cstheme="majorBidi"/>
          <w:szCs w:val="24"/>
        </w:rPr>
        <w:t>ar</w:t>
      </w:r>
      <w:r w:rsidR="00B41B52" w:rsidRPr="00367D7D">
        <w:rPr>
          <w:rFonts w:asciiTheme="majorBidi" w:hAnsiTheme="majorBidi" w:cstheme="majorBidi"/>
          <w:szCs w:val="24"/>
        </w:rPr>
        <w:t xml:space="preserve"> kuriem pamatoti tiesas </w:t>
      </w:r>
      <w:r w:rsidR="00EC6ABD">
        <w:rPr>
          <w:rFonts w:asciiTheme="majorBidi" w:hAnsiTheme="majorBidi" w:cstheme="majorBidi"/>
          <w:szCs w:val="24"/>
        </w:rPr>
        <w:t>atzinum</w:t>
      </w:r>
      <w:r w:rsidR="00EC6ABD" w:rsidRPr="00367D7D">
        <w:rPr>
          <w:rFonts w:asciiTheme="majorBidi" w:hAnsiTheme="majorBidi" w:cstheme="majorBidi"/>
          <w:szCs w:val="24"/>
        </w:rPr>
        <w:t xml:space="preserve">i </w:t>
      </w:r>
      <w:r w:rsidR="00B41B52" w:rsidRPr="00367D7D">
        <w:rPr>
          <w:rFonts w:asciiTheme="majorBidi" w:hAnsiTheme="majorBidi" w:cstheme="majorBidi"/>
          <w:szCs w:val="24"/>
        </w:rPr>
        <w:t xml:space="preserve">par apsūdzētā </w:t>
      </w:r>
      <w:r w:rsidR="0038464F">
        <w:rPr>
          <w:rFonts w:asciiTheme="majorBidi" w:hAnsiTheme="majorBidi" w:cstheme="majorBidi"/>
          <w:szCs w:val="24"/>
        </w:rPr>
        <w:t>[pers. A]</w:t>
      </w:r>
      <w:r w:rsidR="00B41B52" w:rsidRPr="00367D7D">
        <w:rPr>
          <w:rFonts w:asciiTheme="majorBidi" w:hAnsiTheme="majorBidi" w:cstheme="majorBidi"/>
          <w:szCs w:val="24"/>
        </w:rPr>
        <w:t xml:space="preserve"> fizisku saskari ar cietušo.</w:t>
      </w:r>
    </w:p>
    <w:p w14:paraId="7CD0A8A6" w14:textId="5698613D" w:rsidR="00B41B52" w:rsidRPr="00367D7D" w:rsidRDefault="002B43E5" w:rsidP="002B43E5">
      <w:pPr>
        <w:widowControl w:val="0"/>
        <w:spacing w:after="0" w:line="276" w:lineRule="auto"/>
        <w:jc w:val="both"/>
        <w:rPr>
          <w:rFonts w:asciiTheme="majorBidi" w:hAnsiTheme="majorBidi" w:cstheme="majorBidi"/>
          <w:szCs w:val="24"/>
        </w:rPr>
      </w:pPr>
      <w:r>
        <w:rPr>
          <w:rFonts w:asciiTheme="majorBidi" w:hAnsiTheme="majorBidi" w:cstheme="majorBidi"/>
          <w:szCs w:val="24"/>
        </w:rPr>
        <w:tab/>
      </w:r>
      <w:r w:rsidR="00B41B52" w:rsidRPr="00367D7D">
        <w:rPr>
          <w:rFonts w:asciiTheme="majorBidi" w:hAnsiTheme="majorBidi" w:cstheme="majorBidi"/>
          <w:szCs w:val="24"/>
        </w:rPr>
        <w:t>Senāts vairākkārt ir uzsvēris,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r w:rsidR="00B41B52" w:rsidRPr="00367D7D">
        <w:rPr>
          <w:rFonts w:asciiTheme="majorBidi" w:hAnsiTheme="majorBidi" w:cstheme="majorBidi"/>
          <w:i/>
          <w:iCs/>
          <w:szCs w:val="24"/>
        </w:rPr>
        <w:t>Senāta 2022. gada 5. jūlija lēmuma lietā Nr. </w:t>
      </w:r>
      <w:hyperlink r:id="rId9" w:history="1">
        <w:r w:rsidR="00B41B52" w:rsidRPr="00367D7D">
          <w:rPr>
            <w:rStyle w:val="Hyperlink"/>
            <w:rFonts w:asciiTheme="majorBidi" w:hAnsiTheme="majorBidi" w:cstheme="majorBidi"/>
            <w:i/>
            <w:iCs/>
            <w:szCs w:val="24"/>
          </w:rPr>
          <w:t>SKK-1/2022</w:t>
        </w:r>
      </w:hyperlink>
      <w:r w:rsidR="000D1907" w:rsidRPr="00367D7D">
        <w:rPr>
          <w:rFonts w:asciiTheme="majorBidi" w:hAnsiTheme="majorBidi" w:cstheme="majorBidi"/>
          <w:i/>
          <w:iCs/>
          <w:szCs w:val="24"/>
        </w:rPr>
        <w:t>,</w:t>
      </w:r>
      <w:r w:rsidR="00B41B52" w:rsidRPr="00367D7D">
        <w:rPr>
          <w:rFonts w:asciiTheme="majorBidi" w:hAnsiTheme="majorBidi" w:cstheme="majorBidi"/>
          <w:i/>
          <w:iCs/>
          <w:szCs w:val="24"/>
        </w:rPr>
        <w:t xml:space="preserve"> ECLI:LV:AT:2022:0705.11816006914.4.L, 18.</w:t>
      </w:r>
      <w:r w:rsidR="00027BA6" w:rsidRPr="00367D7D">
        <w:rPr>
          <w:rFonts w:asciiTheme="majorBidi" w:hAnsiTheme="majorBidi" w:cstheme="majorBidi"/>
          <w:i/>
          <w:iCs/>
          <w:szCs w:val="24"/>
        </w:rPr>
        <w:t> </w:t>
      </w:r>
      <w:r w:rsidR="00B41B52" w:rsidRPr="00367D7D">
        <w:rPr>
          <w:rFonts w:asciiTheme="majorBidi" w:hAnsiTheme="majorBidi" w:cstheme="majorBidi"/>
          <w:i/>
          <w:iCs/>
          <w:szCs w:val="24"/>
        </w:rPr>
        <w:t>punkts</w:t>
      </w:r>
      <w:r w:rsidR="00B41B52" w:rsidRPr="00367D7D">
        <w:rPr>
          <w:rFonts w:asciiTheme="majorBidi" w:hAnsiTheme="majorBidi" w:cstheme="majorBidi"/>
          <w:szCs w:val="24"/>
        </w:rPr>
        <w:t>).</w:t>
      </w:r>
    </w:p>
    <w:p w14:paraId="6BE2EB80" w14:textId="160CF1FD" w:rsidR="00B41B52" w:rsidRPr="00367D7D" w:rsidRDefault="00B41B52" w:rsidP="002B43E5">
      <w:pPr>
        <w:widowControl w:val="0"/>
        <w:spacing w:after="0" w:line="276" w:lineRule="auto"/>
        <w:jc w:val="both"/>
        <w:rPr>
          <w:rFonts w:asciiTheme="majorBidi" w:hAnsiTheme="majorBidi" w:cstheme="majorBidi"/>
          <w:szCs w:val="24"/>
        </w:rPr>
      </w:pPr>
      <w:r w:rsidRPr="00367D7D">
        <w:rPr>
          <w:rFonts w:asciiTheme="majorBidi" w:hAnsiTheme="majorBidi" w:cstheme="majorBidi"/>
          <w:szCs w:val="24"/>
        </w:rPr>
        <w:tab/>
        <w:t>Eiropas Cilvēktiesību tiesa norādījusi, ka spriedumu var atzīt par pienācīgi motivētu tad, ja tas atbilst šādiem diviem kritērijiem: 1)</w:t>
      </w:r>
      <w:r w:rsidR="00367D7D">
        <w:rPr>
          <w:rFonts w:asciiTheme="majorBidi" w:hAnsiTheme="majorBidi" w:cstheme="majorBidi"/>
          <w:szCs w:val="24"/>
        </w:rPr>
        <w:t> </w:t>
      </w:r>
      <w:r w:rsidRPr="00367D7D">
        <w:rPr>
          <w:rFonts w:asciiTheme="majorBidi" w:hAnsiTheme="majorBidi" w:cstheme="majorBidi"/>
          <w:szCs w:val="24"/>
        </w:rPr>
        <w:t>spriedums ir tāds, kas ļauj saprast, kāpēc (kādu apsvērumu dēļ) tiesa nonākusi tieši pie tāda un ne citāda lietas izskatīšanas rezultāta (tas ir būtiski ne tikai no procesa dalībnieku viedokļa, bet arī no sabiedrības viedokļa, jo sabiedrībai ir tiesības sekot līdzi tam, kā tiesas pilda tām uzticēto publisko funkciju), un 2)</w:t>
      </w:r>
      <w:r w:rsidR="00367D7D">
        <w:rPr>
          <w:rFonts w:asciiTheme="majorBidi" w:hAnsiTheme="majorBidi" w:cstheme="majorBidi"/>
          <w:szCs w:val="24"/>
        </w:rPr>
        <w:t> </w:t>
      </w:r>
      <w:r w:rsidRPr="00367D7D">
        <w:rPr>
          <w:rFonts w:asciiTheme="majorBidi" w:hAnsiTheme="majorBidi" w:cstheme="majorBidi"/>
          <w:szCs w:val="24"/>
        </w:rPr>
        <w:t>spriedums ir tāds, kas ļauj procesa dalībniekiem saprast, ka tie ir pienācīgi uzklausīti (sadzirdēti) (</w:t>
      </w:r>
      <w:r w:rsidRPr="00367D7D">
        <w:rPr>
          <w:rFonts w:asciiTheme="majorBidi" w:hAnsiTheme="majorBidi" w:cstheme="majorBidi"/>
          <w:i/>
          <w:iCs/>
          <w:szCs w:val="24"/>
        </w:rPr>
        <w:t>Eiropas Cilvēktiesību tiesas 2003. gada 1. jūlija sprieduma lietā „</w:t>
      </w:r>
      <w:proofErr w:type="spellStart"/>
      <w:r w:rsidRPr="00367D7D">
        <w:rPr>
          <w:rFonts w:asciiTheme="majorBidi" w:hAnsiTheme="majorBidi" w:cstheme="majorBidi"/>
          <w:i/>
          <w:iCs/>
          <w:szCs w:val="24"/>
        </w:rPr>
        <w:t>Suominen</w:t>
      </w:r>
      <w:proofErr w:type="spellEnd"/>
      <w:r w:rsidRPr="00367D7D">
        <w:rPr>
          <w:rFonts w:asciiTheme="majorBidi" w:hAnsiTheme="majorBidi" w:cstheme="majorBidi"/>
          <w:i/>
          <w:iCs/>
          <w:szCs w:val="24"/>
        </w:rPr>
        <w:t xml:space="preserve"> v. </w:t>
      </w:r>
      <w:proofErr w:type="spellStart"/>
      <w:r w:rsidRPr="00367D7D">
        <w:rPr>
          <w:rFonts w:asciiTheme="majorBidi" w:hAnsiTheme="majorBidi" w:cstheme="majorBidi"/>
          <w:i/>
          <w:iCs/>
          <w:szCs w:val="24"/>
        </w:rPr>
        <w:t>Finland</w:t>
      </w:r>
      <w:proofErr w:type="spellEnd"/>
      <w:r w:rsidRPr="00367D7D">
        <w:rPr>
          <w:rFonts w:asciiTheme="majorBidi" w:hAnsiTheme="majorBidi" w:cstheme="majorBidi"/>
          <w:i/>
          <w:iCs/>
          <w:szCs w:val="24"/>
        </w:rPr>
        <w:t>”, iesnieguma Nr. </w:t>
      </w:r>
      <w:hyperlink r:id="rId10" w:anchor="%7B" w:history="1">
        <w:r w:rsidRPr="00367D7D">
          <w:rPr>
            <w:rStyle w:val="Hyperlink"/>
            <w:rFonts w:asciiTheme="majorBidi" w:hAnsiTheme="majorBidi" w:cstheme="majorBidi"/>
            <w:i/>
            <w:iCs/>
            <w:szCs w:val="24"/>
          </w:rPr>
          <w:t>37801/97</w:t>
        </w:r>
      </w:hyperlink>
      <w:r w:rsidRPr="00367D7D">
        <w:rPr>
          <w:rFonts w:asciiTheme="majorBidi" w:hAnsiTheme="majorBidi" w:cstheme="majorBidi"/>
          <w:i/>
          <w:iCs/>
          <w:szCs w:val="24"/>
        </w:rPr>
        <w:t>, 37.–38. punkts, 2007. gada 28. jūnija sprieduma lietā „</w:t>
      </w:r>
      <w:proofErr w:type="spellStart"/>
      <w:r w:rsidRPr="00367D7D">
        <w:rPr>
          <w:rFonts w:asciiTheme="majorBidi" w:hAnsiTheme="majorBidi" w:cstheme="majorBidi"/>
          <w:i/>
          <w:iCs/>
          <w:szCs w:val="24"/>
        </w:rPr>
        <w:t>Wagner</w:t>
      </w:r>
      <w:proofErr w:type="spellEnd"/>
      <w:r w:rsidRPr="00367D7D">
        <w:rPr>
          <w:rFonts w:asciiTheme="majorBidi" w:hAnsiTheme="majorBidi" w:cstheme="majorBidi"/>
          <w:i/>
          <w:iCs/>
          <w:szCs w:val="24"/>
        </w:rPr>
        <w:t xml:space="preserve"> </w:t>
      </w:r>
      <w:proofErr w:type="spellStart"/>
      <w:r w:rsidRPr="00367D7D">
        <w:rPr>
          <w:rFonts w:asciiTheme="majorBidi" w:hAnsiTheme="majorBidi" w:cstheme="majorBidi"/>
          <w:i/>
          <w:iCs/>
          <w:szCs w:val="24"/>
        </w:rPr>
        <w:t>and</w:t>
      </w:r>
      <w:proofErr w:type="spellEnd"/>
      <w:r w:rsidRPr="00367D7D">
        <w:rPr>
          <w:rFonts w:asciiTheme="majorBidi" w:hAnsiTheme="majorBidi" w:cstheme="majorBidi"/>
          <w:i/>
          <w:iCs/>
          <w:szCs w:val="24"/>
        </w:rPr>
        <w:t xml:space="preserve"> J.M.W.L.</w:t>
      </w:r>
      <w:r w:rsidR="002B43E5">
        <w:rPr>
          <w:rFonts w:asciiTheme="majorBidi" w:hAnsiTheme="majorBidi" w:cstheme="majorBidi"/>
          <w:i/>
          <w:iCs/>
          <w:szCs w:val="24"/>
        </w:rPr>
        <w:t> </w:t>
      </w:r>
      <w:r w:rsidRPr="00367D7D">
        <w:rPr>
          <w:rFonts w:asciiTheme="majorBidi" w:hAnsiTheme="majorBidi" w:cstheme="majorBidi"/>
          <w:i/>
          <w:iCs/>
          <w:szCs w:val="24"/>
        </w:rPr>
        <w:t xml:space="preserve">v. </w:t>
      </w:r>
      <w:proofErr w:type="spellStart"/>
      <w:r w:rsidRPr="00367D7D">
        <w:rPr>
          <w:rFonts w:asciiTheme="majorBidi" w:hAnsiTheme="majorBidi" w:cstheme="majorBidi"/>
          <w:i/>
          <w:iCs/>
          <w:szCs w:val="24"/>
        </w:rPr>
        <w:t>Luxembourg</w:t>
      </w:r>
      <w:proofErr w:type="spellEnd"/>
      <w:r w:rsidRPr="00367D7D">
        <w:rPr>
          <w:rFonts w:asciiTheme="majorBidi" w:hAnsiTheme="majorBidi" w:cstheme="majorBidi"/>
          <w:i/>
          <w:iCs/>
          <w:szCs w:val="24"/>
        </w:rPr>
        <w:t>”, iesnieguma Nr. </w:t>
      </w:r>
      <w:hyperlink r:id="rId11" w:anchor="%7B" w:history="1">
        <w:r w:rsidRPr="00367D7D">
          <w:rPr>
            <w:rStyle w:val="Hyperlink"/>
            <w:rFonts w:asciiTheme="majorBidi" w:hAnsiTheme="majorBidi" w:cstheme="majorBidi"/>
            <w:i/>
            <w:iCs/>
            <w:szCs w:val="24"/>
          </w:rPr>
          <w:t>76240/01</w:t>
        </w:r>
      </w:hyperlink>
      <w:r w:rsidRPr="00367D7D">
        <w:rPr>
          <w:rFonts w:asciiTheme="majorBidi" w:hAnsiTheme="majorBidi" w:cstheme="majorBidi"/>
          <w:i/>
          <w:iCs/>
          <w:szCs w:val="24"/>
        </w:rPr>
        <w:t>, 89. punkts</w:t>
      </w:r>
      <w:r w:rsidRPr="00367D7D">
        <w:rPr>
          <w:rFonts w:asciiTheme="majorBidi" w:hAnsiTheme="majorBidi" w:cstheme="majorBidi"/>
          <w:szCs w:val="24"/>
        </w:rPr>
        <w:t xml:space="preserve">). </w:t>
      </w:r>
    </w:p>
    <w:p w14:paraId="41547983" w14:textId="1FFDBF8A" w:rsidR="00FD6B2B" w:rsidRDefault="00B41B52" w:rsidP="00FD6B2B">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 xml:space="preserve">Senāts </w:t>
      </w:r>
      <w:r w:rsidR="00861B42" w:rsidRPr="00367D7D">
        <w:rPr>
          <w:rFonts w:asciiTheme="majorBidi" w:hAnsiTheme="majorBidi" w:cstheme="majorBidi"/>
          <w:szCs w:val="24"/>
        </w:rPr>
        <w:t>konstatē</w:t>
      </w:r>
      <w:r w:rsidR="00A265DC" w:rsidRPr="00367D7D">
        <w:rPr>
          <w:rFonts w:asciiTheme="majorBidi" w:hAnsiTheme="majorBidi" w:cstheme="majorBidi"/>
          <w:szCs w:val="24"/>
        </w:rPr>
        <w:t>,</w:t>
      </w:r>
      <w:r w:rsidRPr="00367D7D">
        <w:rPr>
          <w:rFonts w:asciiTheme="majorBidi" w:hAnsiTheme="majorBidi" w:cstheme="majorBidi"/>
          <w:szCs w:val="24"/>
        </w:rPr>
        <w:t xml:space="preserve"> ka apelācijas instances </w:t>
      </w:r>
      <w:r w:rsidR="00861B42" w:rsidRPr="00367D7D">
        <w:rPr>
          <w:rFonts w:asciiTheme="majorBidi" w:hAnsiTheme="majorBidi" w:cstheme="majorBidi"/>
          <w:szCs w:val="24"/>
        </w:rPr>
        <w:t xml:space="preserve">tiesa lēmumā nav norādījusi tādas ziņas par faktiem, kas pamatotu noziedzīgā nodarījuma aprakstā norādīto nolēmuma par aizsardzību pret vardarbību ļaunprātīgu nepildīšanu, uzturot fizisku saskari ar cietušo. Tādējādi </w:t>
      </w:r>
      <w:r w:rsidRPr="00367D7D">
        <w:rPr>
          <w:rFonts w:asciiTheme="majorBidi" w:hAnsiTheme="majorBidi" w:cstheme="majorBidi"/>
          <w:szCs w:val="24"/>
        </w:rPr>
        <w:t xml:space="preserve">tiesas apgalvojums lēmumā, ka </w:t>
      </w:r>
      <w:r w:rsidR="001717DD">
        <w:rPr>
          <w:rFonts w:asciiTheme="majorBidi" w:hAnsiTheme="majorBidi" w:cstheme="majorBidi"/>
          <w:szCs w:val="24"/>
        </w:rPr>
        <w:t>[pers. A]</w:t>
      </w:r>
      <w:r w:rsidRPr="00367D7D">
        <w:rPr>
          <w:rFonts w:asciiTheme="majorBidi" w:hAnsiTheme="majorBidi" w:cstheme="majorBidi"/>
          <w:szCs w:val="24"/>
        </w:rPr>
        <w:t xml:space="preserve"> vaina viņam inkriminētā noziedzīgā nodarījuma izdarīšanā ir pierādīta ar pirmās instances tiesas sēdē pārbaudītiem valsts apsūdzības uzrādītajiem un tiesas novērtētiem pierādījumiem</w:t>
      </w:r>
      <w:r w:rsidR="008B27AA" w:rsidRPr="00367D7D">
        <w:rPr>
          <w:rFonts w:asciiTheme="majorBidi" w:hAnsiTheme="majorBidi" w:cstheme="majorBidi"/>
          <w:szCs w:val="24"/>
        </w:rPr>
        <w:t>,</w:t>
      </w:r>
      <w:r w:rsidRPr="00367D7D">
        <w:rPr>
          <w:rFonts w:asciiTheme="majorBidi" w:hAnsiTheme="majorBidi" w:cstheme="majorBidi"/>
          <w:szCs w:val="24"/>
        </w:rPr>
        <w:t xml:space="preserve"> nav pamatots</w:t>
      </w:r>
      <w:r w:rsidR="008B27AA" w:rsidRPr="00367D7D">
        <w:rPr>
          <w:rFonts w:asciiTheme="majorBidi" w:hAnsiTheme="majorBidi" w:cstheme="majorBidi"/>
          <w:szCs w:val="24"/>
        </w:rPr>
        <w:t xml:space="preserve"> daļā par apsūdzētā fizisku saskari ar cietušo</w:t>
      </w:r>
      <w:r w:rsidRPr="00367D7D">
        <w:rPr>
          <w:rFonts w:asciiTheme="majorBidi" w:hAnsiTheme="majorBidi" w:cstheme="majorBidi"/>
          <w:szCs w:val="24"/>
        </w:rPr>
        <w:t>, un motīvu izklāsts neļauj saprast, kā tiesa nonākusi pie šāda atzinuma.</w:t>
      </w:r>
    </w:p>
    <w:p w14:paraId="6F924F6A" w14:textId="7B23205B" w:rsidR="00F46570" w:rsidRDefault="00F46570" w:rsidP="00FD6B2B">
      <w:pPr>
        <w:spacing w:after="0" w:line="276" w:lineRule="auto"/>
        <w:ind w:firstLine="720"/>
        <w:jc w:val="both"/>
        <w:rPr>
          <w:rFonts w:asciiTheme="majorBidi" w:hAnsiTheme="majorBidi" w:cstheme="majorBidi"/>
        </w:rPr>
      </w:pPr>
      <w:r w:rsidRPr="00CC6FAA">
        <w:rPr>
          <w:rFonts w:asciiTheme="majorBidi" w:hAnsiTheme="majorBidi" w:cstheme="majorBidi"/>
        </w:rPr>
        <w:t>Senāts jau iepriekš ir norādījis, ka spriedumu, kurā tiesa nav izvērtējusi lietas</w:t>
      </w:r>
      <w:r>
        <w:rPr>
          <w:rFonts w:asciiTheme="majorBidi" w:hAnsiTheme="majorBidi" w:cstheme="majorBidi"/>
        </w:rPr>
        <w:t xml:space="preserve"> taisnīgai izspriešanai būtiskus apstākļus, nevar atzīt par tiesisku un pamatotu (sk. </w:t>
      </w:r>
      <w:r w:rsidRPr="00D76E3B">
        <w:rPr>
          <w:rFonts w:asciiTheme="majorBidi" w:hAnsiTheme="majorBidi" w:cstheme="majorBidi"/>
          <w:i/>
          <w:iCs/>
        </w:rPr>
        <w:t>Senāta 2023.</w:t>
      </w:r>
      <w:r>
        <w:rPr>
          <w:rFonts w:asciiTheme="majorBidi" w:hAnsiTheme="majorBidi" w:cstheme="majorBidi"/>
          <w:i/>
          <w:iCs/>
        </w:rPr>
        <w:t> </w:t>
      </w:r>
      <w:r w:rsidRPr="00D76E3B">
        <w:rPr>
          <w:rFonts w:asciiTheme="majorBidi" w:hAnsiTheme="majorBidi" w:cstheme="majorBidi"/>
          <w:i/>
          <w:iCs/>
        </w:rPr>
        <w:t>gada 23.</w:t>
      </w:r>
      <w:r>
        <w:rPr>
          <w:rFonts w:asciiTheme="majorBidi" w:hAnsiTheme="majorBidi" w:cstheme="majorBidi"/>
          <w:i/>
          <w:iCs/>
        </w:rPr>
        <w:t> </w:t>
      </w:r>
      <w:r w:rsidRPr="00D76E3B">
        <w:rPr>
          <w:rFonts w:asciiTheme="majorBidi" w:hAnsiTheme="majorBidi" w:cstheme="majorBidi"/>
          <w:i/>
          <w:iCs/>
        </w:rPr>
        <w:t>marta lēmum</w:t>
      </w:r>
      <w:r>
        <w:rPr>
          <w:rFonts w:asciiTheme="majorBidi" w:hAnsiTheme="majorBidi" w:cstheme="majorBidi"/>
          <w:i/>
          <w:iCs/>
        </w:rPr>
        <w:t>u</w:t>
      </w:r>
      <w:r w:rsidRPr="00D76E3B">
        <w:rPr>
          <w:rFonts w:asciiTheme="majorBidi" w:hAnsiTheme="majorBidi" w:cstheme="majorBidi"/>
          <w:i/>
          <w:iCs/>
        </w:rPr>
        <w:t xml:space="preserve"> lietā Nr. SKK-80/2023, </w:t>
      </w:r>
      <w:hyperlink r:id="rId12" w:history="1">
        <w:r w:rsidRPr="00A317E5">
          <w:rPr>
            <w:rStyle w:val="Hyperlink"/>
            <w:rFonts w:asciiTheme="majorBidi" w:hAnsiTheme="majorBidi" w:cstheme="majorBidi"/>
            <w:i/>
            <w:iCs/>
          </w:rPr>
          <w:t>ECLI:LV:AT:2023:0323.15840032920.5.L</w:t>
        </w:r>
      </w:hyperlink>
      <w:r>
        <w:rPr>
          <w:rFonts w:asciiTheme="majorBidi" w:hAnsiTheme="majorBidi" w:cstheme="majorBidi"/>
          <w:i/>
          <w:iCs/>
        </w:rPr>
        <w:t xml:space="preserve">, </w:t>
      </w:r>
      <w:r w:rsidRPr="00D76E3B">
        <w:rPr>
          <w:rFonts w:asciiTheme="majorBidi" w:hAnsiTheme="majorBidi" w:cstheme="majorBidi"/>
          <w:i/>
          <w:iCs/>
        </w:rPr>
        <w:t>2022.</w:t>
      </w:r>
      <w:r>
        <w:rPr>
          <w:rFonts w:asciiTheme="majorBidi" w:hAnsiTheme="majorBidi" w:cstheme="majorBidi"/>
          <w:i/>
          <w:iCs/>
        </w:rPr>
        <w:t> </w:t>
      </w:r>
      <w:r w:rsidRPr="00D76E3B">
        <w:rPr>
          <w:rFonts w:asciiTheme="majorBidi" w:hAnsiTheme="majorBidi" w:cstheme="majorBidi"/>
          <w:i/>
          <w:iCs/>
        </w:rPr>
        <w:t>gada 23.</w:t>
      </w:r>
      <w:r>
        <w:rPr>
          <w:rFonts w:asciiTheme="majorBidi" w:hAnsiTheme="majorBidi" w:cstheme="majorBidi"/>
          <w:i/>
          <w:iCs/>
        </w:rPr>
        <w:t> </w:t>
      </w:r>
      <w:r w:rsidRPr="00D76E3B">
        <w:rPr>
          <w:rFonts w:asciiTheme="majorBidi" w:hAnsiTheme="majorBidi" w:cstheme="majorBidi"/>
          <w:i/>
          <w:iCs/>
        </w:rPr>
        <w:t>decembra lēmum</w:t>
      </w:r>
      <w:r>
        <w:rPr>
          <w:rFonts w:asciiTheme="majorBidi" w:hAnsiTheme="majorBidi" w:cstheme="majorBidi"/>
          <w:i/>
          <w:iCs/>
        </w:rPr>
        <w:t>u</w:t>
      </w:r>
      <w:r w:rsidRPr="00D76E3B">
        <w:rPr>
          <w:rFonts w:asciiTheme="majorBidi" w:hAnsiTheme="majorBidi" w:cstheme="majorBidi"/>
          <w:i/>
          <w:iCs/>
        </w:rPr>
        <w:t xml:space="preserve"> lietā Nr. SKK-67/2022, </w:t>
      </w:r>
      <w:hyperlink r:id="rId13" w:history="1">
        <w:r w:rsidRPr="00C91A31">
          <w:rPr>
            <w:rStyle w:val="Hyperlink"/>
            <w:rFonts w:asciiTheme="majorBidi" w:hAnsiTheme="majorBidi" w:cstheme="majorBidi"/>
            <w:i/>
            <w:iCs/>
          </w:rPr>
          <w:t>ECLI:LV:AT:2022:1223.11354009714.9.L</w:t>
        </w:r>
      </w:hyperlink>
      <w:r>
        <w:rPr>
          <w:rFonts w:asciiTheme="majorBidi" w:hAnsiTheme="majorBidi" w:cstheme="majorBidi"/>
        </w:rPr>
        <w:t xml:space="preserve">).  </w:t>
      </w:r>
    </w:p>
    <w:p w14:paraId="4EA68084" w14:textId="0571889B" w:rsidR="00B41B52" w:rsidRPr="00367D7D" w:rsidRDefault="00B41B52" w:rsidP="002B581E">
      <w:pPr>
        <w:spacing w:after="0" w:line="276" w:lineRule="auto"/>
        <w:ind w:firstLine="720"/>
        <w:jc w:val="both"/>
        <w:rPr>
          <w:rFonts w:asciiTheme="majorBidi" w:hAnsiTheme="majorBidi" w:cstheme="majorBidi"/>
          <w:szCs w:val="24"/>
          <w:lang w:bidi="lv-LV"/>
        </w:rPr>
      </w:pPr>
      <w:r w:rsidRPr="00367D7D">
        <w:rPr>
          <w:rFonts w:asciiTheme="majorBidi" w:hAnsiTheme="majorBidi" w:cstheme="majorBidi"/>
          <w:szCs w:val="24"/>
        </w:rPr>
        <w:t xml:space="preserve">Ievērojot minēto, Senāts atzīst, ka par tiesisku un pamatotu nav atzīstams tiesas nolēmums, kurā atzinumi par </w:t>
      </w:r>
      <w:r w:rsidRPr="00367D7D">
        <w:rPr>
          <w:rFonts w:asciiTheme="majorBidi" w:hAnsiTheme="majorBidi" w:cstheme="majorBidi"/>
          <w:szCs w:val="24"/>
          <w:lang w:bidi="lv-LV"/>
        </w:rPr>
        <w:t>apsūdzētā</w:t>
      </w:r>
      <w:r w:rsidRPr="00367D7D">
        <w:rPr>
          <w:rFonts w:asciiTheme="majorBidi" w:hAnsiTheme="majorBidi" w:cstheme="majorBidi"/>
          <w:szCs w:val="24"/>
        </w:rPr>
        <w:t xml:space="preserve"> </w:t>
      </w:r>
      <w:r w:rsidRPr="00367D7D">
        <w:rPr>
          <w:rFonts w:asciiTheme="majorBidi" w:hAnsiTheme="majorBidi" w:cstheme="majorBidi"/>
          <w:szCs w:val="24"/>
          <w:lang w:bidi="lv-LV"/>
        </w:rPr>
        <w:t>vainīgumu noziedzīgā nodarījuma izdarīšanā nav pamatoti ar pierādījumiem.</w:t>
      </w:r>
    </w:p>
    <w:p w14:paraId="649D2816" w14:textId="650A946F" w:rsidR="00B41B52" w:rsidRPr="00367D7D" w:rsidRDefault="00B41B52" w:rsidP="002B581E">
      <w:pPr>
        <w:spacing w:after="0" w:line="276" w:lineRule="auto"/>
        <w:ind w:firstLine="720"/>
        <w:jc w:val="both"/>
        <w:rPr>
          <w:rFonts w:asciiTheme="majorBidi" w:hAnsiTheme="majorBidi" w:cstheme="majorBidi"/>
          <w:szCs w:val="24"/>
        </w:rPr>
      </w:pPr>
      <w:r w:rsidRPr="00367D7D">
        <w:rPr>
          <w:rFonts w:asciiTheme="majorBidi" w:hAnsiTheme="majorBidi" w:cstheme="majorBidi"/>
          <w:szCs w:val="24"/>
        </w:rPr>
        <w:t>Kriminālprocesa likuma 511. panta otrās daļas, 512. panta</w:t>
      </w:r>
      <w:r w:rsidR="00AB6C47" w:rsidRPr="00367D7D">
        <w:rPr>
          <w:rFonts w:asciiTheme="majorBidi" w:hAnsiTheme="majorBidi" w:cstheme="majorBidi"/>
          <w:szCs w:val="24"/>
        </w:rPr>
        <w:t xml:space="preserve"> pirmās daļas</w:t>
      </w:r>
      <w:r w:rsidRPr="00367D7D">
        <w:rPr>
          <w:rFonts w:asciiTheme="majorBidi" w:hAnsiTheme="majorBidi" w:cstheme="majorBidi"/>
          <w:szCs w:val="24"/>
        </w:rPr>
        <w:t>, 564. panta ceturtās daļas pārkāpumus Senāts atzīst par Kriminālprocesa likuma būtiskiem pārkāpumiem Kriminālprocesa likuma 575. panta trešās daļas izpratnē, kas ir pamats apelācijas instances tiesas lēmuma atcelšanai un lietas nosūtīšanai jaunai izskatīšanai apelācijas instances tiesā.</w:t>
      </w:r>
    </w:p>
    <w:p w14:paraId="7C17AF8D" w14:textId="77777777"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p>
    <w:p w14:paraId="75C4AB22" w14:textId="690D3DBA" w:rsidR="00AB6C47"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6</w:t>
      </w:r>
      <w:r w:rsidRPr="00367D7D">
        <w:rPr>
          <w:rFonts w:asciiTheme="majorBidi" w:hAnsiTheme="majorBidi" w:cstheme="majorBidi"/>
          <w:szCs w:val="24"/>
        </w:rPr>
        <w:t>]</w:t>
      </w:r>
      <w:r w:rsidR="00367D7D">
        <w:rPr>
          <w:rFonts w:asciiTheme="majorBidi" w:hAnsiTheme="majorBidi" w:cstheme="majorBidi"/>
          <w:szCs w:val="24"/>
        </w:rPr>
        <w:t> </w:t>
      </w:r>
      <w:r w:rsidRPr="00367D7D">
        <w:rPr>
          <w:rFonts w:asciiTheme="majorBidi" w:hAnsiTheme="majorBidi" w:cstheme="majorBidi"/>
          <w:szCs w:val="24"/>
        </w:rPr>
        <w:t xml:space="preserve">Senāts konstatē, ka pārējā daļā apsūdzētā </w:t>
      </w:r>
      <w:r w:rsidR="00841A4A">
        <w:rPr>
          <w:rFonts w:asciiTheme="majorBidi" w:hAnsiTheme="majorBidi" w:cstheme="majorBidi"/>
          <w:szCs w:val="24"/>
        </w:rPr>
        <w:t>[pers. A]</w:t>
      </w:r>
      <w:r w:rsidRPr="00367D7D">
        <w:rPr>
          <w:rFonts w:asciiTheme="majorBidi" w:hAnsiTheme="majorBidi" w:cstheme="majorBidi"/>
          <w:szCs w:val="24"/>
        </w:rPr>
        <w:t xml:space="preserve"> un aizstāvja I. </w:t>
      </w:r>
      <w:proofErr w:type="spellStart"/>
      <w:r w:rsidRPr="00367D7D">
        <w:rPr>
          <w:rFonts w:asciiTheme="majorBidi" w:hAnsiTheme="majorBidi" w:cstheme="majorBidi"/>
          <w:szCs w:val="24"/>
        </w:rPr>
        <w:t>Rudzika</w:t>
      </w:r>
      <w:proofErr w:type="spellEnd"/>
      <w:r w:rsidRPr="00367D7D">
        <w:rPr>
          <w:rFonts w:asciiTheme="majorBidi" w:hAnsiTheme="majorBidi" w:cstheme="majorBidi"/>
          <w:szCs w:val="24"/>
        </w:rPr>
        <w:t xml:space="preserve"> kasācijas sūdzībā faktiski atkārtoti apsūdzētā apelācijas sūdzības argumenti, kurus apelācijas instances tiesa ir izvērtējusi un motivēti noraidījusi</w:t>
      </w:r>
      <w:r w:rsidR="00027BA6" w:rsidRPr="00367D7D">
        <w:rPr>
          <w:rFonts w:asciiTheme="majorBidi" w:hAnsiTheme="majorBidi" w:cstheme="majorBidi"/>
          <w:szCs w:val="24"/>
        </w:rPr>
        <w:t xml:space="preserve">. </w:t>
      </w:r>
    </w:p>
    <w:p w14:paraId="6D247199" w14:textId="74313ED2" w:rsidR="00AB6C47"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Apelācijas instances tiesa</w:t>
      </w:r>
      <w:r w:rsidR="00B253FB" w:rsidRPr="00367D7D">
        <w:rPr>
          <w:rFonts w:asciiTheme="majorBidi" w:hAnsiTheme="majorBidi" w:cstheme="majorBidi"/>
          <w:szCs w:val="24"/>
        </w:rPr>
        <w:t>,</w:t>
      </w:r>
      <w:r w:rsidRPr="00367D7D">
        <w:rPr>
          <w:rFonts w:asciiTheme="majorBidi" w:hAnsiTheme="majorBidi" w:cstheme="majorBidi"/>
          <w:szCs w:val="24"/>
        </w:rPr>
        <w:t xml:space="preserve"> pamatojoties uz lietā iegūtiem pierādījumiem, tai skaitā </w:t>
      </w:r>
      <w:r w:rsidRPr="00367D7D">
        <w:rPr>
          <w:rFonts w:asciiTheme="majorBidi" w:hAnsiTheme="majorBidi" w:cstheme="majorBidi"/>
          <w:szCs w:val="24"/>
        </w:rPr>
        <w:lastRenderedPageBreak/>
        <w:t xml:space="preserve">cietušās </w:t>
      </w:r>
      <w:r w:rsidR="00841A4A">
        <w:rPr>
          <w:rFonts w:asciiTheme="majorBidi" w:hAnsiTheme="majorBidi" w:cstheme="majorBidi"/>
          <w:szCs w:val="24"/>
        </w:rPr>
        <w:t>[pers. B]</w:t>
      </w:r>
      <w:r w:rsidRPr="00367D7D">
        <w:rPr>
          <w:rFonts w:asciiTheme="majorBidi" w:hAnsiTheme="majorBidi" w:cstheme="majorBidi"/>
          <w:szCs w:val="24"/>
        </w:rPr>
        <w:t xml:space="preserve">, liecinieces </w:t>
      </w:r>
      <w:r w:rsidR="00841A4A">
        <w:rPr>
          <w:rFonts w:asciiTheme="majorBidi" w:hAnsiTheme="majorBidi" w:cstheme="majorBidi"/>
          <w:szCs w:val="24"/>
        </w:rPr>
        <w:t>[pers. C]</w:t>
      </w:r>
      <w:r w:rsidRPr="00367D7D">
        <w:rPr>
          <w:rFonts w:asciiTheme="majorBidi" w:hAnsiTheme="majorBidi" w:cstheme="majorBidi"/>
          <w:szCs w:val="24"/>
        </w:rPr>
        <w:t xml:space="preserve">, arī apsūdzētā tiesas sēdē un pirmstiesas kriminālprocesā sniegtajās liecībās norādītajām ziņām atzinusi, ka </w:t>
      </w:r>
      <w:r w:rsidR="00841A4A">
        <w:rPr>
          <w:rFonts w:asciiTheme="majorBidi" w:hAnsiTheme="majorBidi" w:cstheme="majorBidi"/>
          <w:szCs w:val="24"/>
        </w:rPr>
        <w:t>[pers. A]</w:t>
      </w:r>
      <w:r w:rsidRPr="00367D7D">
        <w:rPr>
          <w:rFonts w:asciiTheme="majorBidi" w:hAnsiTheme="majorBidi" w:cstheme="majorBidi"/>
          <w:szCs w:val="24"/>
        </w:rPr>
        <w:t xml:space="preserve"> ļaunprātīgi pārkāpa 2020. gada 13. februāra Rīgas pilsētas Pārdaugavas tiesas lēmumā lietā Nr. 3-12/00043-20/6 noteikto aizliegumu satikties ar </w:t>
      </w:r>
      <w:r w:rsidR="00841A4A">
        <w:rPr>
          <w:rFonts w:asciiTheme="majorBidi" w:hAnsiTheme="majorBidi" w:cstheme="majorBidi"/>
          <w:szCs w:val="24"/>
        </w:rPr>
        <w:t>[pers. B]</w:t>
      </w:r>
      <w:r w:rsidRPr="00367D7D">
        <w:rPr>
          <w:rFonts w:asciiTheme="majorBidi" w:hAnsiTheme="majorBidi" w:cstheme="majorBidi"/>
          <w:szCs w:val="24"/>
        </w:rPr>
        <w:t>, atrasties viņai tuvāk par 50</w:t>
      </w:r>
      <w:r w:rsidR="00027BA6" w:rsidRPr="00367D7D">
        <w:rPr>
          <w:rFonts w:asciiTheme="majorBidi" w:hAnsiTheme="majorBidi" w:cstheme="majorBidi"/>
          <w:szCs w:val="24"/>
        </w:rPr>
        <w:t> </w:t>
      </w:r>
      <w:r w:rsidRPr="00367D7D">
        <w:rPr>
          <w:rFonts w:asciiTheme="majorBidi" w:hAnsiTheme="majorBidi" w:cstheme="majorBidi"/>
          <w:szCs w:val="24"/>
        </w:rPr>
        <w:t xml:space="preserve">metriem, jebkurā veidā sazināties ar </w:t>
      </w:r>
      <w:r w:rsidR="00841A4A">
        <w:rPr>
          <w:rFonts w:asciiTheme="majorBidi" w:hAnsiTheme="majorBidi" w:cstheme="majorBidi"/>
          <w:szCs w:val="24"/>
        </w:rPr>
        <w:t>[pers. B]</w:t>
      </w:r>
      <w:r w:rsidRPr="00367D7D">
        <w:rPr>
          <w:rFonts w:asciiTheme="majorBidi" w:hAnsiTheme="majorBidi" w:cstheme="majorBidi"/>
          <w:szCs w:val="24"/>
        </w:rPr>
        <w:t xml:space="preserve">, un argumentēti noraidījusi apsūdzētā </w:t>
      </w:r>
      <w:r w:rsidR="00841A4A">
        <w:rPr>
          <w:rFonts w:asciiTheme="majorBidi" w:hAnsiTheme="majorBidi" w:cstheme="majorBidi"/>
          <w:szCs w:val="24"/>
        </w:rPr>
        <w:t>[pers. A]</w:t>
      </w:r>
      <w:r w:rsidRPr="00367D7D">
        <w:rPr>
          <w:rFonts w:asciiTheme="majorBidi" w:hAnsiTheme="majorBidi" w:cstheme="majorBidi"/>
          <w:szCs w:val="24"/>
        </w:rPr>
        <w:t xml:space="preserve"> norādīto aizstāvības versiju par to, ka komunikācija starp apsūdzēto un cietušo notika mediācijas veikšanas vietā un bija saistīta ar mediācijas procesu. Tiesa norādījusi, ka apsūdzētā darbības nav atzīstamas par daļu no mediācijas procesa.</w:t>
      </w:r>
    </w:p>
    <w:p w14:paraId="50DF1D4B" w14:textId="6C66BAD2"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Ievērojot minēto, Senāts atzīst, ka kasācijas sūdzības argumenti šajā daļā faktiski ir pamatoti ar sūdzības iesniedzēju atšķirīgo viedokli par lietā iegūto pierādījumu un faktisko apstākļu vērtējumu, pauž sūdzības iesniedzēju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1A73AFFA" w14:textId="77777777"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p>
    <w:p w14:paraId="6332B940" w14:textId="6F1C1EDB" w:rsidR="00B41B52" w:rsidRPr="00367D7D" w:rsidRDefault="00B41B52" w:rsidP="00367D7D">
      <w:pPr>
        <w:widowControl w:val="0"/>
        <w:tabs>
          <w:tab w:val="left" w:pos="709"/>
        </w:tabs>
        <w:spacing w:after="0" w:line="276" w:lineRule="auto"/>
        <w:ind w:firstLine="680"/>
        <w:jc w:val="both"/>
        <w:rPr>
          <w:rFonts w:asciiTheme="majorBidi" w:hAnsiTheme="majorBidi" w:cstheme="majorBidi"/>
          <w:szCs w:val="24"/>
        </w:rPr>
      </w:pPr>
      <w:r w:rsidRPr="00367D7D">
        <w:rPr>
          <w:rFonts w:asciiTheme="majorBidi" w:hAnsiTheme="majorBidi" w:cstheme="majorBidi"/>
          <w:szCs w:val="24"/>
        </w:rPr>
        <w:t>[</w:t>
      </w:r>
      <w:r w:rsidR="00F1057B">
        <w:rPr>
          <w:rFonts w:asciiTheme="majorBidi" w:hAnsiTheme="majorBidi" w:cstheme="majorBidi"/>
          <w:szCs w:val="24"/>
        </w:rPr>
        <w:t>7</w:t>
      </w:r>
      <w:r w:rsidRPr="00367D7D">
        <w:rPr>
          <w:rFonts w:asciiTheme="majorBidi" w:hAnsiTheme="majorBidi" w:cstheme="majorBidi"/>
          <w:szCs w:val="24"/>
        </w:rPr>
        <w:t>]</w:t>
      </w:r>
      <w:r w:rsidR="00367D7D">
        <w:rPr>
          <w:rFonts w:asciiTheme="majorBidi" w:hAnsiTheme="majorBidi" w:cstheme="majorBidi"/>
          <w:szCs w:val="24"/>
        </w:rPr>
        <w:t> </w:t>
      </w:r>
      <w:r w:rsidRPr="00367D7D">
        <w:rPr>
          <w:rFonts w:asciiTheme="majorBidi" w:hAnsiTheme="majorBidi" w:cstheme="majorBidi"/>
          <w:szCs w:val="24"/>
        </w:rPr>
        <w:t>Pirmstiesas procesā apsūdzētajam piemēroti drošības līdzekļi</w:t>
      </w:r>
      <w:r w:rsidR="00367D7D">
        <w:rPr>
          <w:rFonts w:asciiTheme="majorBidi" w:hAnsiTheme="majorBidi" w:cstheme="majorBidi"/>
          <w:szCs w:val="24"/>
        </w:rPr>
        <w:t> </w:t>
      </w:r>
      <w:r w:rsidRPr="00367D7D">
        <w:rPr>
          <w:rFonts w:asciiTheme="majorBidi" w:hAnsiTheme="majorBidi" w:cstheme="majorBidi"/>
          <w:szCs w:val="24"/>
        </w:rPr>
        <w:t xml:space="preserve">– dzīves vietas maiņas paziņošana un aizliegums izbraukt no valsts. Ne pirmās instances tiesa, ne apelācijas instances tiesa piemērotos drošības līdzekļus nav atcēlušas vai grozījušas. Senāts atzīst, ka </w:t>
      </w:r>
      <w:r w:rsidR="00E62E9F">
        <w:rPr>
          <w:rFonts w:asciiTheme="majorBidi" w:hAnsiTheme="majorBidi" w:cstheme="majorBidi"/>
          <w:szCs w:val="24"/>
        </w:rPr>
        <w:t>[pers. A]</w:t>
      </w:r>
      <w:r w:rsidRPr="00367D7D">
        <w:rPr>
          <w:rFonts w:asciiTheme="majorBidi" w:hAnsiTheme="majorBidi" w:cstheme="majorBidi"/>
          <w:szCs w:val="24"/>
        </w:rPr>
        <w:t xml:space="preserve"> piemērotie drošības līdzekļi ir samērīgi un to piemērošanas turpināšana nesamērīgi neierobežos apsūdzētā pamattiesības. </w:t>
      </w:r>
    </w:p>
    <w:p w14:paraId="2BF9A544" w14:textId="77777777" w:rsidR="00B41B52" w:rsidRPr="00367D7D" w:rsidRDefault="00B41B52" w:rsidP="00367D7D">
      <w:pPr>
        <w:suppressAutoHyphens w:val="0"/>
        <w:autoSpaceDN/>
        <w:spacing w:after="0" w:line="276" w:lineRule="auto"/>
        <w:ind w:firstLine="720"/>
        <w:jc w:val="both"/>
        <w:textAlignment w:val="auto"/>
        <w:rPr>
          <w:rFonts w:asciiTheme="majorBidi" w:hAnsiTheme="majorBidi" w:cstheme="majorBidi"/>
          <w:szCs w:val="24"/>
        </w:rPr>
      </w:pPr>
    </w:p>
    <w:p w14:paraId="2345F374" w14:textId="77777777" w:rsidR="00B41B52" w:rsidRPr="00367D7D" w:rsidRDefault="00B41B52" w:rsidP="00367D7D">
      <w:pPr>
        <w:tabs>
          <w:tab w:val="left" w:pos="709"/>
        </w:tabs>
        <w:spacing w:after="0" w:line="276" w:lineRule="auto"/>
        <w:jc w:val="center"/>
        <w:rPr>
          <w:rFonts w:asciiTheme="majorBidi" w:hAnsiTheme="majorBidi" w:cstheme="majorBidi"/>
          <w:szCs w:val="24"/>
        </w:rPr>
      </w:pPr>
      <w:r w:rsidRPr="00367D7D">
        <w:rPr>
          <w:rFonts w:asciiTheme="majorBidi" w:hAnsiTheme="majorBidi" w:cstheme="majorBidi"/>
          <w:b/>
          <w:szCs w:val="24"/>
        </w:rPr>
        <w:t>Rezolutīvā daļa</w:t>
      </w:r>
    </w:p>
    <w:p w14:paraId="4D996322" w14:textId="77777777" w:rsidR="00B41B52" w:rsidRPr="00367D7D" w:rsidRDefault="00B41B52" w:rsidP="00367D7D">
      <w:pPr>
        <w:pStyle w:val="tv213"/>
        <w:spacing w:before="0" w:beforeAutospacing="0" w:after="0" w:afterAutospacing="0" w:line="276" w:lineRule="auto"/>
        <w:jc w:val="both"/>
        <w:rPr>
          <w:rFonts w:asciiTheme="majorBidi" w:hAnsiTheme="majorBidi" w:cstheme="majorBidi"/>
          <w:lang w:val="lv-LV"/>
        </w:rPr>
      </w:pPr>
    </w:p>
    <w:p w14:paraId="107CFFD2" w14:textId="77777777" w:rsidR="00B41B52" w:rsidRPr="00367D7D" w:rsidRDefault="00B41B52" w:rsidP="00367D7D">
      <w:pPr>
        <w:pStyle w:val="tv213"/>
        <w:spacing w:before="0" w:beforeAutospacing="0" w:after="0" w:afterAutospacing="0" w:line="276" w:lineRule="auto"/>
        <w:ind w:firstLine="720"/>
        <w:jc w:val="both"/>
        <w:rPr>
          <w:rFonts w:asciiTheme="majorBidi" w:hAnsiTheme="majorBidi" w:cstheme="majorBidi"/>
          <w:lang w:val="lv-LV"/>
        </w:rPr>
      </w:pPr>
      <w:r w:rsidRPr="00367D7D">
        <w:rPr>
          <w:rFonts w:asciiTheme="majorBidi" w:hAnsiTheme="majorBidi" w:cstheme="majorBidi"/>
          <w:lang w:val="lv-LV"/>
        </w:rPr>
        <w:t>Pamatojoties uz Kriminālprocesa likuma 585. un 587. pantu, Senāts</w:t>
      </w:r>
    </w:p>
    <w:p w14:paraId="266EE76B" w14:textId="77777777" w:rsidR="00B41B52" w:rsidRPr="00367D7D" w:rsidRDefault="00B41B52" w:rsidP="00367D7D">
      <w:pPr>
        <w:spacing w:after="0" w:line="276" w:lineRule="auto"/>
        <w:ind w:firstLine="720"/>
        <w:jc w:val="both"/>
        <w:rPr>
          <w:rFonts w:asciiTheme="majorBidi" w:hAnsiTheme="majorBidi" w:cstheme="majorBidi"/>
          <w:szCs w:val="24"/>
        </w:rPr>
      </w:pPr>
    </w:p>
    <w:p w14:paraId="07B0BC55" w14:textId="0F8C1340" w:rsidR="00B41B52" w:rsidRPr="00367D7D" w:rsidRDefault="00B41B52" w:rsidP="00367D7D">
      <w:pPr>
        <w:pStyle w:val="tv213"/>
        <w:spacing w:before="0" w:beforeAutospacing="0" w:after="0" w:afterAutospacing="0" w:line="276" w:lineRule="auto"/>
        <w:jc w:val="center"/>
        <w:rPr>
          <w:rFonts w:asciiTheme="majorBidi" w:hAnsiTheme="majorBidi" w:cstheme="majorBidi"/>
          <w:b/>
          <w:lang w:val="lv-LV"/>
        </w:rPr>
      </w:pPr>
      <w:r w:rsidRPr="00367D7D">
        <w:rPr>
          <w:rFonts w:asciiTheme="majorBidi" w:hAnsiTheme="majorBidi" w:cstheme="majorBidi"/>
          <w:b/>
          <w:lang w:val="lv-LV"/>
        </w:rPr>
        <w:t>nolēma</w:t>
      </w:r>
    </w:p>
    <w:p w14:paraId="2235AECB" w14:textId="77777777" w:rsidR="00B41B52" w:rsidRPr="00367D7D" w:rsidRDefault="00B41B52" w:rsidP="00367D7D">
      <w:pPr>
        <w:pStyle w:val="tv213"/>
        <w:spacing w:before="0" w:beforeAutospacing="0" w:after="0" w:afterAutospacing="0" w:line="276" w:lineRule="auto"/>
        <w:jc w:val="center"/>
        <w:rPr>
          <w:rFonts w:asciiTheme="majorBidi" w:hAnsiTheme="majorBidi" w:cstheme="majorBidi"/>
          <w:b/>
          <w:lang w:val="lv-LV"/>
        </w:rPr>
      </w:pPr>
    </w:p>
    <w:p w14:paraId="007F7825" w14:textId="77777777" w:rsidR="00B41B52" w:rsidRPr="00367D7D" w:rsidRDefault="00B41B52" w:rsidP="00367D7D">
      <w:pPr>
        <w:spacing w:after="0" w:line="276" w:lineRule="auto"/>
        <w:ind w:firstLine="709"/>
        <w:jc w:val="both"/>
        <w:rPr>
          <w:rFonts w:asciiTheme="majorBidi" w:hAnsiTheme="majorBidi" w:cstheme="majorBidi"/>
          <w:szCs w:val="24"/>
        </w:rPr>
      </w:pPr>
      <w:r w:rsidRPr="00367D7D">
        <w:rPr>
          <w:rFonts w:asciiTheme="majorBidi" w:hAnsiTheme="majorBidi" w:cstheme="majorBidi"/>
          <w:szCs w:val="24"/>
        </w:rPr>
        <w:t xml:space="preserve">atcelt Rīgas apgabaltiesas 2024. gada 24. janvāra lēmumu pilnībā un nosūtīt lietu jaunai izskatīšanai Rīgas apgabaltiesā; </w:t>
      </w:r>
    </w:p>
    <w:p w14:paraId="3530C11D" w14:textId="008074C9" w:rsidR="00B41B52" w:rsidRPr="00367D7D" w:rsidRDefault="00B41B52" w:rsidP="00367D7D">
      <w:pPr>
        <w:spacing w:after="0" w:line="276" w:lineRule="auto"/>
        <w:ind w:firstLine="709"/>
        <w:jc w:val="both"/>
        <w:rPr>
          <w:rFonts w:asciiTheme="majorBidi" w:hAnsiTheme="majorBidi" w:cstheme="majorBidi"/>
          <w:szCs w:val="24"/>
        </w:rPr>
      </w:pPr>
      <w:r w:rsidRPr="00367D7D">
        <w:rPr>
          <w:rFonts w:asciiTheme="majorBidi" w:hAnsiTheme="majorBidi" w:cstheme="majorBidi"/>
          <w:szCs w:val="24"/>
        </w:rPr>
        <w:t xml:space="preserve">turpināt piemērot apsūdzētajam </w:t>
      </w:r>
      <w:r w:rsidR="004637E5">
        <w:rPr>
          <w:rFonts w:asciiTheme="majorBidi" w:hAnsiTheme="majorBidi" w:cstheme="majorBidi"/>
          <w:szCs w:val="24"/>
        </w:rPr>
        <w:t>[pers. A]</w:t>
      </w:r>
      <w:r w:rsidRPr="00367D7D">
        <w:rPr>
          <w:rFonts w:asciiTheme="majorBidi" w:hAnsiTheme="majorBidi" w:cstheme="majorBidi"/>
          <w:szCs w:val="24"/>
        </w:rPr>
        <w:t xml:space="preserve"> drošības līdzekļus</w:t>
      </w:r>
      <w:r w:rsidR="00367D7D">
        <w:rPr>
          <w:rFonts w:asciiTheme="majorBidi" w:hAnsiTheme="majorBidi" w:cstheme="majorBidi"/>
          <w:szCs w:val="24"/>
        </w:rPr>
        <w:t> </w:t>
      </w:r>
      <w:r w:rsidRPr="00367D7D">
        <w:rPr>
          <w:rFonts w:asciiTheme="majorBidi" w:hAnsiTheme="majorBidi" w:cstheme="majorBidi"/>
          <w:szCs w:val="24"/>
        </w:rPr>
        <w:t>– dzīvesvietas maiņas paziņošanu un aizliegumu izbraukt no valsts.</w:t>
      </w:r>
    </w:p>
    <w:p w14:paraId="2A6D4CAE" w14:textId="77777777" w:rsidR="00B41B52" w:rsidRPr="00367D7D" w:rsidRDefault="00B41B52" w:rsidP="00367D7D">
      <w:pPr>
        <w:spacing w:after="0" w:line="276" w:lineRule="auto"/>
        <w:ind w:firstLine="709"/>
        <w:jc w:val="both"/>
        <w:rPr>
          <w:rFonts w:asciiTheme="majorBidi" w:hAnsiTheme="majorBidi" w:cstheme="majorBidi"/>
          <w:szCs w:val="24"/>
        </w:rPr>
      </w:pPr>
    </w:p>
    <w:p w14:paraId="3E2377B4" w14:textId="77777777" w:rsidR="00B41B52" w:rsidRPr="00367D7D" w:rsidRDefault="00B41B52" w:rsidP="00367D7D">
      <w:pPr>
        <w:spacing w:after="0" w:line="276" w:lineRule="auto"/>
        <w:ind w:firstLine="709"/>
        <w:jc w:val="both"/>
        <w:rPr>
          <w:rFonts w:asciiTheme="majorBidi" w:hAnsiTheme="majorBidi" w:cstheme="majorBidi"/>
          <w:szCs w:val="24"/>
        </w:rPr>
      </w:pPr>
      <w:r w:rsidRPr="00367D7D">
        <w:rPr>
          <w:rFonts w:asciiTheme="majorBidi" w:hAnsiTheme="majorBidi" w:cstheme="majorBidi"/>
          <w:szCs w:val="24"/>
        </w:rPr>
        <w:t>Lēmums nav pārsūdzams.</w:t>
      </w:r>
    </w:p>
    <w:p w14:paraId="71B41755" w14:textId="77777777" w:rsidR="00B41B52" w:rsidRPr="00367D7D" w:rsidRDefault="00B41B52" w:rsidP="00367D7D">
      <w:pPr>
        <w:suppressAutoHyphens w:val="0"/>
        <w:autoSpaceDN/>
        <w:spacing w:after="0" w:line="276" w:lineRule="auto"/>
        <w:ind w:firstLine="709"/>
        <w:jc w:val="both"/>
        <w:textAlignment w:val="auto"/>
        <w:rPr>
          <w:rFonts w:asciiTheme="majorBidi" w:hAnsiTheme="majorBidi" w:cstheme="majorBidi"/>
          <w:szCs w:val="24"/>
        </w:rPr>
      </w:pPr>
    </w:p>
    <w:p w14:paraId="24EFFF6F" w14:textId="77777777" w:rsidR="00B41B52" w:rsidRPr="00367D7D" w:rsidRDefault="00B41B52" w:rsidP="00367D7D">
      <w:pPr>
        <w:spacing w:after="0" w:line="276" w:lineRule="auto"/>
        <w:ind w:firstLine="720"/>
        <w:rPr>
          <w:rFonts w:asciiTheme="majorBidi" w:hAnsiTheme="majorBidi" w:cstheme="majorBidi"/>
          <w:szCs w:val="24"/>
        </w:rPr>
      </w:pPr>
    </w:p>
    <w:bookmarkEnd w:id="0"/>
    <w:bookmarkEnd w:id="6"/>
    <w:bookmarkEnd w:id="7"/>
    <w:p w14:paraId="6E64A810" w14:textId="77777777" w:rsidR="00B41B52" w:rsidRPr="00367D7D" w:rsidRDefault="00B41B52" w:rsidP="00367D7D">
      <w:pPr>
        <w:suppressAutoHyphens w:val="0"/>
        <w:autoSpaceDN/>
        <w:spacing w:after="0" w:line="276" w:lineRule="auto"/>
        <w:ind w:firstLine="709"/>
        <w:jc w:val="both"/>
        <w:textAlignment w:val="auto"/>
        <w:rPr>
          <w:rFonts w:asciiTheme="majorBidi" w:hAnsiTheme="majorBidi" w:cstheme="majorBidi"/>
          <w:szCs w:val="24"/>
        </w:rPr>
      </w:pPr>
    </w:p>
    <w:p w14:paraId="01AFEEFB" w14:textId="77777777" w:rsidR="00F26C4B" w:rsidRPr="00367D7D" w:rsidRDefault="00F26C4B" w:rsidP="00367D7D">
      <w:pPr>
        <w:spacing w:after="0" w:line="276" w:lineRule="auto"/>
        <w:rPr>
          <w:rFonts w:asciiTheme="majorBidi" w:hAnsiTheme="majorBidi" w:cstheme="majorBidi"/>
          <w:szCs w:val="24"/>
        </w:rPr>
      </w:pPr>
    </w:p>
    <w:sectPr w:rsidR="00F26C4B" w:rsidRPr="00367D7D" w:rsidSect="00B41B52">
      <w:footerReference w:type="default" r:id="rId14"/>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F43A" w14:textId="77777777" w:rsidR="00AE5B0B" w:rsidRDefault="00AE5B0B">
      <w:pPr>
        <w:spacing w:after="0" w:line="240" w:lineRule="auto"/>
      </w:pPr>
      <w:r>
        <w:separator/>
      </w:r>
    </w:p>
  </w:endnote>
  <w:endnote w:type="continuationSeparator" w:id="0">
    <w:p w14:paraId="32103B5F" w14:textId="77777777" w:rsidR="00AE5B0B" w:rsidRDefault="00AE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CDEE" w14:textId="77777777" w:rsidR="00AD6E93" w:rsidRPr="00660AD9" w:rsidRDefault="00AD6E93" w:rsidP="005B27D5">
    <w:pPr>
      <w:pStyle w:val="Footer"/>
      <w:jc w:val="center"/>
      <w:rPr>
        <w:sz w:val="20"/>
        <w:szCs w:val="20"/>
      </w:rPr>
    </w:pPr>
    <w:r w:rsidRPr="00660AD9">
      <w:rPr>
        <w:sz w:val="20"/>
        <w:szCs w:val="20"/>
      </w:rPr>
      <w:fldChar w:fldCharType="begin"/>
    </w:r>
    <w:r w:rsidRPr="00660AD9">
      <w:rPr>
        <w:sz w:val="20"/>
        <w:szCs w:val="20"/>
      </w:rPr>
      <w:instrText xml:space="preserve"> PAGE </w:instrText>
    </w:r>
    <w:r w:rsidRPr="00660AD9">
      <w:rPr>
        <w:sz w:val="20"/>
        <w:szCs w:val="20"/>
      </w:rPr>
      <w:fldChar w:fldCharType="separate"/>
    </w:r>
    <w:r w:rsidRPr="00660AD9">
      <w:rPr>
        <w:sz w:val="20"/>
        <w:szCs w:val="20"/>
      </w:rPr>
      <w:t>1</w:t>
    </w:r>
    <w:r w:rsidRPr="00660AD9">
      <w:rPr>
        <w:sz w:val="20"/>
        <w:szCs w:val="20"/>
      </w:rPr>
      <w:fldChar w:fldCharType="end"/>
    </w:r>
    <w:r w:rsidRPr="00660AD9">
      <w:rPr>
        <w:sz w:val="20"/>
        <w:szCs w:val="20"/>
      </w:rPr>
      <w:t xml:space="preserve"> no </w:t>
    </w:r>
    <w:r w:rsidRPr="00660AD9">
      <w:rPr>
        <w:sz w:val="20"/>
        <w:szCs w:val="20"/>
      </w:rPr>
      <w:fldChar w:fldCharType="begin"/>
    </w:r>
    <w:r w:rsidRPr="00660AD9">
      <w:rPr>
        <w:sz w:val="20"/>
        <w:szCs w:val="20"/>
      </w:rPr>
      <w:instrText xml:space="preserve"> NUMPAGES </w:instrText>
    </w:r>
    <w:r w:rsidRPr="00660AD9">
      <w:rPr>
        <w:sz w:val="20"/>
        <w:szCs w:val="20"/>
      </w:rPr>
      <w:fldChar w:fldCharType="separate"/>
    </w:r>
    <w:r w:rsidRPr="00660AD9">
      <w:rPr>
        <w:sz w:val="20"/>
        <w:szCs w:val="20"/>
      </w:rPr>
      <w:t>6</w:t>
    </w:r>
    <w:r w:rsidRPr="00660A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410C" w14:textId="77777777" w:rsidR="00AE5B0B" w:rsidRDefault="00AE5B0B">
      <w:pPr>
        <w:spacing w:after="0" w:line="240" w:lineRule="auto"/>
      </w:pPr>
      <w:r>
        <w:separator/>
      </w:r>
    </w:p>
  </w:footnote>
  <w:footnote w:type="continuationSeparator" w:id="0">
    <w:p w14:paraId="4ED93C55" w14:textId="77777777" w:rsidR="00AE5B0B" w:rsidRDefault="00AE5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52"/>
    <w:rsid w:val="000022BB"/>
    <w:rsid w:val="0001286D"/>
    <w:rsid w:val="00013606"/>
    <w:rsid w:val="00016443"/>
    <w:rsid w:val="00023282"/>
    <w:rsid w:val="00024795"/>
    <w:rsid w:val="00026740"/>
    <w:rsid w:val="00026AE1"/>
    <w:rsid w:val="00027BA6"/>
    <w:rsid w:val="000337EA"/>
    <w:rsid w:val="000340F3"/>
    <w:rsid w:val="00034947"/>
    <w:rsid w:val="00040BBB"/>
    <w:rsid w:val="00042D01"/>
    <w:rsid w:val="00044A0D"/>
    <w:rsid w:val="00044C15"/>
    <w:rsid w:val="00047A7B"/>
    <w:rsid w:val="00050308"/>
    <w:rsid w:val="0005089C"/>
    <w:rsid w:val="00051016"/>
    <w:rsid w:val="000550B5"/>
    <w:rsid w:val="00057E29"/>
    <w:rsid w:val="0006274F"/>
    <w:rsid w:val="000632D8"/>
    <w:rsid w:val="0006407F"/>
    <w:rsid w:val="00077C19"/>
    <w:rsid w:val="00080F44"/>
    <w:rsid w:val="000838CA"/>
    <w:rsid w:val="00083D1E"/>
    <w:rsid w:val="000876AD"/>
    <w:rsid w:val="00087E51"/>
    <w:rsid w:val="0009006F"/>
    <w:rsid w:val="00090E51"/>
    <w:rsid w:val="00092ABB"/>
    <w:rsid w:val="0009441D"/>
    <w:rsid w:val="000A0F33"/>
    <w:rsid w:val="000A1877"/>
    <w:rsid w:val="000A423D"/>
    <w:rsid w:val="000A5975"/>
    <w:rsid w:val="000B2227"/>
    <w:rsid w:val="000B24F4"/>
    <w:rsid w:val="000B6D25"/>
    <w:rsid w:val="000B762C"/>
    <w:rsid w:val="000C13FA"/>
    <w:rsid w:val="000C5409"/>
    <w:rsid w:val="000D1907"/>
    <w:rsid w:val="000D3BEB"/>
    <w:rsid w:val="000D5EA2"/>
    <w:rsid w:val="000D646C"/>
    <w:rsid w:val="000D6780"/>
    <w:rsid w:val="000E0CDB"/>
    <w:rsid w:val="000E139F"/>
    <w:rsid w:val="000E1561"/>
    <w:rsid w:val="000E3420"/>
    <w:rsid w:val="000E6F8F"/>
    <w:rsid w:val="000E726C"/>
    <w:rsid w:val="000F05C0"/>
    <w:rsid w:val="000F20E9"/>
    <w:rsid w:val="000F2940"/>
    <w:rsid w:val="000F6DF2"/>
    <w:rsid w:val="00104194"/>
    <w:rsid w:val="001042AD"/>
    <w:rsid w:val="00106B6D"/>
    <w:rsid w:val="00107BF3"/>
    <w:rsid w:val="00113ABC"/>
    <w:rsid w:val="00114CD0"/>
    <w:rsid w:val="00115331"/>
    <w:rsid w:val="00116AAE"/>
    <w:rsid w:val="001224C6"/>
    <w:rsid w:val="00125D31"/>
    <w:rsid w:val="001344E1"/>
    <w:rsid w:val="001367C5"/>
    <w:rsid w:val="00137F07"/>
    <w:rsid w:val="001420EE"/>
    <w:rsid w:val="00142F17"/>
    <w:rsid w:val="00146481"/>
    <w:rsid w:val="00151C4B"/>
    <w:rsid w:val="001576B4"/>
    <w:rsid w:val="0016016E"/>
    <w:rsid w:val="00160F37"/>
    <w:rsid w:val="00162111"/>
    <w:rsid w:val="001646F5"/>
    <w:rsid w:val="0016756B"/>
    <w:rsid w:val="001717DD"/>
    <w:rsid w:val="00173FA3"/>
    <w:rsid w:val="00176836"/>
    <w:rsid w:val="00177FB4"/>
    <w:rsid w:val="00190DD6"/>
    <w:rsid w:val="00193A4C"/>
    <w:rsid w:val="00196BE1"/>
    <w:rsid w:val="001A1E80"/>
    <w:rsid w:val="001A2BFC"/>
    <w:rsid w:val="001A31D5"/>
    <w:rsid w:val="001B361F"/>
    <w:rsid w:val="001B36E9"/>
    <w:rsid w:val="001B4A90"/>
    <w:rsid w:val="001B5824"/>
    <w:rsid w:val="001C6037"/>
    <w:rsid w:val="001D127D"/>
    <w:rsid w:val="001D3AA2"/>
    <w:rsid w:val="001D776B"/>
    <w:rsid w:val="001E44AC"/>
    <w:rsid w:val="001F051B"/>
    <w:rsid w:val="001F4B79"/>
    <w:rsid w:val="001F6E83"/>
    <w:rsid w:val="001F7700"/>
    <w:rsid w:val="00200A1D"/>
    <w:rsid w:val="00200E58"/>
    <w:rsid w:val="00203580"/>
    <w:rsid w:val="00206D1B"/>
    <w:rsid w:val="00212F40"/>
    <w:rsid w:val="00213512"/>
    <w:rsid w:val="002140C7"/>
    <w:rsid w:val="00232FEF"/>
    <w:rsid w:val="00235840"/>
    <w:rsid w:val="00236CA5"/>
    <w:rsid w:val="0024012B"/>
    <w:rsid w:val="00243537"/>
    <w:rsid w:val="00252171"/>
    <w:rsid w:val="00253E95"/>
    <w:rsid w:val="00254F1F"/>
    <w:rsid w:val="00255359"/>
    <w:rsid w:val="00257774"/>
    <w:rsid w:val="0026105E"/>
    <w:rsid w:val="00266F77"/>
    <w:rsid w:val="00274070"/>
    <w:rsid w:val="0027692D"/>
    <w:rsid w:val="002779DD"/>
    <w:rsid w:val="00284B07"/>
    <w:rsid w:val="00293117"/>
    <w:rsid w:val="00293A95"/>
    <w:rsid w:val="00294C2A"/>
    <w:rsid w:val="002A26EE"/>
    <w:rsid w:val="002A2DB2"/>
    <w:rsid w:val="002A336A"/>
    <w:rsid w:val="002A77EF"/>
    <w:rsid w:val="002B0EE0"/>
    <w:rsid w:val="002B29FC"/>
    <w:rsid w:val="002B43E5"/>
    <w:rsid w:val="002B581E"/>
    <w:rsid w:val="002B7E73"/>
    <w:rsid w:val="002C03A0"/>
    <w:rsid w:val="002C272C"/>
    <w:rsid w:val="002C2E51"/>
    <w:rsid w:val="002C43EB"/>
    <w:rsid w:val="002C65DC"/>
    <w:rsid w:val="002D40A0"/>
    <w:rsid w:val="002D6DE9"/>
    <w:rsid w:val="002E0BF8"/>
    <w:rsid w:val="002E6FEE"/>
    <w:rsid w:val="002F09F4"/>
    <w:rsid w:val="002F2771"/>
    <w:rsid w:val="00301162"/>
    <w:rsid w:val="0031013A"/>
    <w:rsid w:val="00311C3F"/>
    <w:rsid w:val="00315B4C"/>
    <w:rsid w:val="00316B09"/>
    <w:rsid w:val="003237A6"/>
    <w:rsid w:val="00326C2F"/>
    <w:rsid w:val="0032798A"/>
    <w:rsid w:val="00333D44"/>
    <w:rsid w:val="00335D24"/>
    <w:rsid w:val="00336163"/>
    <w:rsid w:val="00336989"/>
    <w:rsid w:val="003447F0"/>
    <w:rsid w:val="00345078"/>
    <w:rsid w:val="00345FF4"/>
    <w:rsid w:val="003461DB"/>
    <w:rsid w:val="00346A88"/>
    <w:rsid w:val="0035760C"/>
    <w:rsid w:val="00357F37"/>
    <w:rsid w:val="003608CE"/>
    <w:rsid w:val="00365611"/>
    <w:rsid w:val="003679B9"/>
    <w:rsid w:val="00367D7D"/>
    <w:rsid w:val="00370605"/>
    <w:rsid w:val="003716F6"/>
    <w:rsid w:val="00371E6A"/>
    <w:rsid w:val="003732E9"/>
    <w:rsid w:val="00374204"/>
    <w:rsid w:val="00374BB0"/>
    <w:rsid w:val="00374BF9"/>
    <w:rsid w:val="00375F23"/>
    <w:rsid w:val="00376C27"/>
    <w:rsid w:val="0038464F"/>
    <w:rsid w:val="00385A07"/>
    <w:rsid w:val="00386C66"/>
    <w:rsid w:val="003917AE"/>
    <w:rsid w:val="00394F07"/>
    <w:rsid w:val="00396F63"/>
    <w:rsid w:val="003A1051"/>
    <w:rsid w:val="003A3371"/>
    <w:rsid w:val="003A3426"/>
    <w:rsid w:val="003A4211"/>
    <w:rsid w:val="003A7587"/>
    <w:rsid w:val="003B5F69"/>
    <w:rsid w:val="003C5B36"/>
    <w:rsid w:val="003D2068"/>
    <w:rsid w:val="003D4BEC"/>
    <w:rsid w:val="003D5262"/>
    <w:rsid w:val="003D52A8"/>
    <w:rsid w:val="003E2D6E"/>
    <w:rsid w:val="003E7074"/>
    <w:rsid w:val="003F060C"/>
    <w:rsid w:val="003F07A5"/>
    <w:rsid w:val="003F0D64"/>
    <w:rsid w:val="003F2785"/>
    <w:rsid w:val="004006BA"/>
    <w:rsid w:val="00405871"/>
    <w:rsid w:val="00405BE8"/>
    <w:rsid w:val="00406D46"/>
    <w:rsid w:val="004160D5"/>
    <w:rsid w:val="00421FBF"/>
    <w:rsid w:val="00423F3D"/>
    <w:rsid w:val="00425904"/>
    <w:rsid w:val="00427CAA"/>
    <w:rsid w:val="00430FA0"/>
    <w:rsid w:val="004312C6"/>
    <w:rsid w:val="00433E72"/>
    <w:rsid w:val="00435FB3"/>
    <w:rsid w:val="00437C13"/>
    <w:rsid w:val="00443993"/>
    <w:rsid w:val="00447326"/>
    <w:rsid w:val="00447977"/>
    <w:rsid w:val="00447DA7"/>
    <w:rsid w:val="0045010B"/>
    <w:rsid w:val="004529A4"/>
    <w:rsid w:val="0045503A"/>
    <w:rsid w:val="00457105"/>
    <w:rsid w:val="004637E5"/>
    <w:rsid w:val="00465E58"/>
    <w:rsid w:val="004675E2"/>
    <w:rsid w:val="004712CA"/>
    <w:rsid w:val="00475339"/>
    <w:rsid w:val="00477965"/>
    <w:rsid w:val="00481E9C"/>
    <w:rsid w:val="00483C36"/>
    <w:rsid w:val="00485CD3"/>
    <w:rsid w:val="00487D56"/>
    <w:rsid w:val="00491EFF"/>
    <w:rsid w:val="00494236"/>
    <w:rsid w:val="00497C37"/>
    <w:rsid w:val="004A0153"/>
    <w:rsid w:val="004A7623"/>
    <w:rsid w:val="004B1EF3"/>
    <w:rsid w:val="004B5718"/>
    <w:rsid w:val="004C0953"/>
    <w:rsid w:val="004C1A6E"/>
    <w:rsid w:val="004C5CA3"/>
    <w:rsid w:val="004D07BD"/>
    <w:rsid w:val="004F421B"/>
    <w:rsid w:val="004F7CA6"/>
    <w:rsid w:val="00500AB9"/>
    <w:rsid w:val="00503D3A"/>
    <w:rsid w:val="00532824"/>
    <w:rsid w:val="00533B85"/>
    <w:rsid w:val="00533C80"/>
    <w:rsid w:val="00537537"/>
    <w:rsid w:val="0054423A"/>
    <w:rsid w:val="00544D54"/>
    <w:rsid w:val="00545360"/>
    <w:rsid w:val="0055033B"/>
    <w:rsid w:val="005530C4"/>
    <w:rsid w:val="00563386"/>
    <w:rsid w:val="0056779A"/>
    <w:rsid w:val="00572F91"/>
    <w:rsid w:val="00573DB5"/>
    <w:rsid w:val="00576FBA"/>
    <w:rsid w:val="00582B0E"/>
    <w:rsid w:val="00583A77"/>
    <w:rsid w:val="00584336"/>
    <w:rsid w:val="00594D7D"/>
    <w:rsid w:val="005A14EB"/>
    <w:rsid w:val="005A3068"/>
    <w:rsid w:val="005A33D3"/>
    <w:rsid w:val="005B0B18"/>
    <w:rsid w:val="005B2875"/>
    <w:rsid w:val="005B28D0"/>
    <w:rsid w:val="005B2BE4"/>
    <w:rsid w:val="005C68E6"/>
    <w:rsid w:val="005C7F07"/>
    <w:rsid w:val="005D72F7"/>
    <w:rsid w:val="005E0477"/>
    <w:rsid w:val="005E37A7"/>
    <w:rsid w:val="005E4784"/>
    <w:rsid w:val="005E65A9"/>
    <w:rsid w:val="005F0444"/>
    <w:rsid w:val="005F2728"/>
    <w:rsid w:val="005F2D0B"/>
    <w:rsid w:val="005F2D68"/>
    <w:rsid w:val="005F32B1"/>
    <w:rsid w:val="005F3CA0"/>
    <w:rsid w:val="005F5873"/>
    <w:rsid w:val="005F5CCF"/>
    <w:rsid w:val="005F60EC"/>
    <w:rsid w:val="00601018"/>
    <w:rsid w:val="00601FA9"/>
    <w:rsid w:val="00603BB4"/>
    <w:rsid w:val="00604679"/>
    <w:rsid w:val="00614455"/>
    <w:rsid w:val="00614976"/>
    <w:rsid w:val="00617E05"/>
    <w:rsid w:val="006217EA"/>
    <w:rsid w:val="00625159"/>
    <w:rsid w:val="00625DFB"/>
    <w:rsid w:val="006323DB"/>
    <w:rsid w:val="0063659C"/>
    <w:rsid w:val="00647605"/>
    <w:rsid w:val="00647EAE"/>
    <w:rsid w:val="0065601F"/>
    <w:rsid w:val="00657FC0"/>
    <w:rsid w:val="006673BE"/>
    <w:rsid w:val="006753C9"/>
    <w:rsid w:val="006804DD"/>
    <w:rsid w:val="00680E76"/>
    <w:rsid w:val="006835A8"/>
    <w:rsid w:val="00690DC5"/>
    <w:rsid w:val="0069181A"/>
    <w:rsid w:val="00693FF4"/>
    <w:rsid w:val="0069441C"/>
    <w:rsid w:val="00696325"/>
    <w:rsid w:val="006979D3"/>
    <w:rsid w:val="006A021D"/>
    <w:rsid w:val="006A074F"/>
    <w:rsid w:val="006A115F"/>
    <w:rsid w:val="006A2DBE"/>
    <w:rsid w:val="006C561E"/>
    <w:rsid w:val="006D07C1"/>
    <w:rsid w:val="006D4B5A"/>
    <w:rsid w:val="006D6266"/>
    <w:rsid w:val="006E0FB5"/>
    <w:rsid w:val="006E71AA"/>
    <w:rsid w:val="006F0545"/>
    <w:rsid w:val="006F1A6E"/>
    <w:rsid w:val="006F2BC2"/>
    <w:rsid w:val="00711C46"/>
    <w:rsid w:val="00714FF3"/>
    <w:rsid w:val="007223CD"/>
    <w:rsid w:val="00724A9A"/>
    <w:rsid w:val="00736201"/>
    <w:rsid w:val="0074075F"/>
    <w:rsid w:val="007410E2"/>
    <w:rsid w:val="00745270"/>
    <w:rsid w:val="00750E0C"/>
    <w:rsid w:val="0075137F"/>
    <w:rsid w:val="0075228F"/>
    <w:rsid w:val="00756571"/>
    <w:rsid w:val="0075794B"/>
    <w:rsid w:val="00757E60"/>
    <w:rsid w:val="007646C6"/>
    <w:rsid w:val="00771578"/>
    <w:rsid w:val="00774631"/>
    <w:rsid w:val="007755D8"/>
    <w:rsid w:val="007759E2"/>
    <w:rsid w:val="00775BDD"/>
    <w:rsid w:val="00780DDE"/>
    <w:rsid w:val="00787870"/>
    <w:rsid w:val="0079136A"/>
    <w:rsid w:val="00791645"/>
    <w:rsid w:val="00791E57"/>
    <w:rsid w:val="00792A6E"/>
    <w:rsid w:val="00795180"/>
    <w:rsid w:val="007A2C15"/>
    <w:rsid w:val="007A2C70"/>
    <w:rsid w:val="007A70B8"/>
    <w:rsid w:val="007B0F99"/>
    <w:rsid w:val="007B6EDE"/>
    <w:rsid w:val="007C0C80"/>
    <w:rsid w:val="007C1610"/>
    <w:rsid w:val="007C276A"/>
    <w:rsid w:val="007C466B"/>
    <w:rsid w:val="007C677F"/>
    <w:rsid w:val="007C6873"/>
    <w:rsid w:val="007D1D29"/>
    <w:rsid w:val="007D2C2D"/>
    <w:rsid w:val="007D4DA8"/>
    <w:rsid w:val="007E485D"/>
    <w:rsid w:val="007E4D58"/>
    <w:rsid w:val="007E5842"/>
    <w:rsid w:val="007F135D"/>
    <w:rsid w:val="007F5F6D"/>
    <w:rsid w:val="00800C49"/>
    <w:rsid w:val="00801DAE"/>
    <w:rsid w:val="00805443"/>
    <w:rsid w:val="00806F65"/>
    <w:rsid w:val="00810D9A"/>
    <w:rsid w:val="00814F8B"/>
    <w:rsid w:val="0081666E"/>
    <w:rsid w:val="008221AE"/>
    <w:rsid w:val="00822213"/>
    <w:rsid w:val="0082246E"/>
    <w:rsid w:val="0082266B"/>
    <w:rsid w:val="00827E9C"/>
    <w:rsid w:val="00832964"/>
    <w:rsid w:val="00835948"/>
    <w:rsid w:val="00841A4A"/>
    <w:rsid w:val="00854F12"/>
    <w:rsid w:val="00861B42"/>
    <w:rsid w:val="00874601"/>
    <w:rsid w:val="0087495C"/>
    <w:rsid w:val="0088101D"/>
    <w:rsid w:val="00882E34"/>
    <w:rsid w:val="00883DE3"/>
    <w:rsid w:val="00890694"/>
    <w:rsid w:val="00891FF5"/>
    <w:rsid w:val="008A6F23"/>
    <w:rsid w:val="008B0743"/>
    <w:rsid w:val="008B0AC4"/>
    <w:rsid w:val="008B27AA"/>
    <w:rsid w:val="008B37DE"/>
    <w:rsid w:val="008C2AAB"/>
    <w:rsid w:val="008C404B"/>
    <w:rsid w:val="008C51A0"/>
    <w:rsid w:val="008C5553"/>
    <w:rsid w:val="008D5A2F"/>
    <w:rsid w:val="008D6B4A"/>
    <w:rsid w:val="008F26AA"/>
    <w:rsid w:val="008F61B8"/>
    <w:rsid w:val="008F6575"/>
    <w:rsid w:val="008F75D8"/>
    <w:rsid w:val="00901BD6"/>
    <w:rsid w:val="009050DC"/>
    <w:rsid w:val="009165A3"/>
    <w:rsid w:val="0091705D"/>
    <w:rsid w:val="00917526"/>
    <w:rsid w:val="009176D5"/>
    <w:rsid w:val="0092299D"/>
    <w:rsid w:val="00932E8F"/>
    <w:rsid w:val="00934D04"/>
    <w:rsid w:val="0093579F"/>
    <w:rsid w:val="00936583"/>
    <w:rsid w:val="00937943"/>
    <w:rsid w:val="009403C1"/>
    <w:rsid w:val="00951EC5"/>
    <w:rsid w:val="00955D2A"/>
    <w:rsid w:val="00962FB8"/>
    <w:rsid w:val="009634D8"/>
    <w:rsid w:val="00972379"/>
    <w:rsid w:val="009733EE"/>
    <w:rsid w:val="00975DED"/>
    <w:rsid w:val="0097657A"/>
    <w:rsid w:val="00981788"/>
    <w:rsid w:val="00995DF1"/>
    <w:rsid w:val="00996EB3"/>
    <w:rsid w:val="009A08EA"/>
    <w:rsid w:val="009A5ABD"/>
    <w:rsid w:val="009A7C43"/>
    <w:rsid w:val="009B3986"/>
    <w:rsid w:val="009B6459"/>
    <w:rsid w:val="009B694E"/>
    <w:rsid w:val="009B6F44"/>
    <w:rsid w:val="009C104B"/>
    <w:rsid w:val="009C10E1"/>
    <w:rsid w:val="009C3860"/>
    <w:rsid w:val="009C47F9"/>
    <w:rsid w:val="009C5B7B"/>
    <w:rsid w:val="009D3E36"/>
    <w:rsid w:val="009D4DEE"/>
    <w:rsid w:val="009D5883"/>
    <w:rsid w:val="009E4B3E"/>
    <w:rsid w:val="009E5868"/>
    <w:rsid w:val="009E6DD7"/>
    <w:rsid w:val="009F4092"/>
    <w:rsid w:val="00A0261E"/>
    <w:rsid w:val="00A029B9"/>
    <w:rsid w:val="00A17D66"/>
    <w:rsid w:val="00A21BD4"/>
    <w:rsid w:val="00A21FF5"/>
    <w:rsid w:val="00A24BDC"/>
    <w:rsid w:val="00A265DC"/>
    <w:rsid w:val="00A279A0"/>
    <w:rsid w:val="00A31D5E"/>
    <w:rsid w:val="00A32B23"/>
    <w:rsid w:val="00A32F7C"/>
    <w:rsid w:val="00A33B96"/>
    <w:rsid w:val="00A34DA1"/>
    <w:rsid w:val="00A40D83"/>
    <w:rsid w:val="00A44A96"/>
    <w:rsid w:val="00A51D55"/>
    <w:rsid w:val="00A53B25"/>
    <w:rsid w:val="00A56932"/>
    <w:rsid w:val="00A57EDC"/>
    <w:rsid w:val="00A63454"/>
    <w:rsid w:val="00A644B8"/>
    <w:rsid w:val="00A651C5"/>
    <w:rsid w:val="00A66D21"/>
    <w:rsid w:val="00A6729D"/>
    <w:rsid w:val="00A72E8B"/>
    <w:rsid w:val="00A74D64"/>
    <w:rsid w:val="00A75448"/>
    <w:rsid w:val="00A84842"/>
    <w:rsid w:val="00A864DD"/>
    <w:rsid w:val="00A91583"/>
    <w:rsid w:val="00A935ED"/>
    <w:rsid w:val="00A957A5"/>
    <w:rsid w:val="00AA3188"/>
    <w:rsid w:val="00AA3CB0"/>
    <w:rsid w:val="00AA58A3"/>
    <w:rsid w:val="00AB0887"/>
    <w:rsid w:val="00AB53DA"/>
    <w:rsid w:val="00AB6C47"/>
    <w:rsid w:val="00AB6DD6"/>
    <w:rsid w:val="00AC17CF"/>
    <w:rsid w:val="00AC206A"/>
    <w:rsid w:val="00AC6691"/>
    <w:rsid w:val="00AC6BDB"/>
    <w:rsid w:val="00AD2310"/>
    <w:rsid w:val="00AD5BA0"/>
    <w:rsid w:val="00AD5F74"/>
    <w:rsid w:val="00AD6E93"/>
    <w:rsid w:val="00AE4CBA"/>
    <w:rsid w:val="00AE5B0B"/>
    <w:rsid w:val="00AE7B01"/>
    <w:rsid w:val="00AF0A28"/>
    <w:rsid w:val="00AF3D10"/>
    <w:rsid w:val="00AF45DD"/>
    <w:rsid w:val="00AF59E6"/>
    <w:rsid w:val="00AF5D1A"/>
    <w:rsid w:val="00B02113"/>
    <w:rsid w:val="00B02E0B"/>
    <w:rsid w:val="00B0464F"/>
    <w:rsid w:val="00B11407"/>
    <w:rsid w:val="00B154D1"/>
    <w:rsid w:val="00B15EA7"/>
    <w:rsid w:val="00B23E93"/>
    <w:rsid w:val="00B253FB"/>
    <w:rsid w:val="00B27470"/>
    <w:rsid w:val="00B31868"/>
    <w:rsid w:val="00B34D2D"/>
    <w:rsid w:val="00B3606D"/>
    <w:rsid w:val="00B40879"/>
    <w:rsid w:val="00B41B52"/>
    <w:rsid w:val="00B44847"/>
    <w:rsid w:val="00B463CB"/>
    <w:rsid w:val="00B543A1"/>
    <w:rsid w:val="00B54E26"/>
    <w:rsid w:val="00B6558B"/>
    <w:rsid w:val="00B6724E"/>
    <w:rsid w:val="00B8645F"/>
    <w:rsid w:val="00B87E29"/>
    <w:rsid w:val="00B92BD8"/>
    <w:rsid w:val="00B93CBC"/>
    <w:rsid w:val="00B96605"/>
    <w:rsid w:val="00B96D21"/>
    <w:rsid w:val="00B96EDB"/>
    <w:rsid w:val="00BA4D8F"/>
    <w:rsid w:val="00BA5775"/>
    <w:rsid w:val="00BA6155"/>
    <w:rsid w:val="00BD273A"/>
    <w:rsid w:val="00BD344E"/>
    <w:rsid w:val="00BE0E42"/>
    <w:rsid w:val="00BE1B08"/>
    <w:rsid w:val="00BE22AE"/>
    <w:rsid w:val="00BE33DD"/>
    <w:rsid w:val="00BE615F"/>
    <w:rsid w:val="00BF3E57"/>
    <w:rsid w:val="00BF552C"/>
    <w:rsid w:val="00BF634C"/>
    <w:rsid w:val="00C07246"/>
    <w:rsid w:val="00C072AB"/>
    <w:rsid w:val="00C11B8B"/>
    <w:rsid w:val="00C13262"/>
    <w:rsid w:val="00C152DD"/>
    <w:rsid w:val="00C1727B"/>
    <w:rsid w:val="00C206D8"/>
    <w:rsid w:val="00C21655"/>
    <w:rsid w:val="00C22914"/>
    <w:rsid w:val="00C241FC"/>
    <w:rsid w:val="00C30EAA"/>
    <w:rsid w:val="00C32A82"/>
    <w:rsid w:val="00C35901"/>
    <w:rsid w:val="00C35D36"/>
    <w:rsid w:val="00C36E52"/>
    <w:rsid w:val="00C40185"/>
    <w:rsid w:val="00C548C4"/>
    <w:rsid w:val="00C55663"/>
    <w:rsid w:val="00C60616"/>
    <w:rsid w:val="00C622EB"/>
    <w:rsid w:val="00C622FF"/>
    <w:rsid w:val="00C626FF"/>
    <w:rsid w:val="00C629A1"/>
    <w:rsid w:val="00C77405"/>
    <w:rsid w:val="00C776F4"/>
    <w:rsid w:val="00C81A85"/>
    <w:rsid w:val="00C86B18"/>
    <w:rsid w:val="00C87B18"/>
    <w:rsid w:val="00C94443"/>
    <w:rsid w:val="00CA2E3C"/>
    <w:rsid w:val="00CA494D"/>
    <w:rsid w:val="00CA4E5E"/>
    <w:rsid w:val="00CA520E"/>
    <w:rsid w:val="00CB4829"/>
    <w:rsid w:val="00CC0E30"/>
    <w:rsid w:val="00CC4073"/>
    <w:rsid w:val="00CC427A"/>
    <w:rsid w:val="00CD3759"/>
    <w:rsid w:val="00CD6124"/>
    <w:rsid w:val="00CE3659"/>
    <w:rsid w:val="00D0248A"/>
    <w:rsid w:val="00D04603"/>
    <w:rsid w:val="00D063F2"/>
    <w:rsid w:val="00D066E0"/>
    <w:rsid w:val="00D0670F"/>
    <w:rsid w:val="00D0701B"/>
    <w:rsid w:val="00D0743D"/>
    <w:rsid w:val="00D11A76"/>
    <w:rsid w:val="00D12698"/>
    <w:rsid w:val="00D17385"/>
    <w:rsid w:val="00D20CD3"/>
    <w:rsid w:val="00D22DA9"/>
    <w:rsid w:val="00D26B92"/>
    <w:rsid w:val="00D27284"/>
    <w:rsid w:val="00D3000E"/>
    <w:rsid w:val="00D30FD7"/>
    <w:rsid w:val="00D3256E"/>
    <w:rsid w:val="00D32648"/>
    <w:rsid w:val="00D3298E"/>
    <w:rsid w:val="00D34233"/>
    <w:rsid w:val="00D34859"/>
    <w:rsid w:val="00D37770"/>
    <w:rsid w:val="00D404D6"/>
    <w:rsid w:val="00D4606F"/>
    <w:rsid w:val="00D552EC"/>
    <w:rsid w:val="00D56A10"/>
    <w:rsid w:val="00D60E49"/>
    <w:rsid w:val="00D7369D"/>
    <w:rsid w:val="00D80A2D"/>
    <w:rsid w:val="00D846A2"/>
    <w:rsid w:val="00D85E8C"/>
    <w:rsid w:val="00D9087B"/>
    <w:rsid w:val="00D92DA2"/>
    <w:rsid w:val="00DA2727"/>
    <w:rsid w:val="00DA4F19"/>
    <w:rsid w:val="00DA5FBC"/>
    <w:rsid w:val="00DA62D8"/>
    <w:rsid w:val="00DB0E78"/>
    <w:rsid w:val="00DB1B92"/>
    <w:rsid w:val="00DB465C"/>
    <w:rsid w:val="00DB4A3C"/>
    <w:rsid w:val="00DB599A"/>
    <w:rsid w:val="00DC06B7"/>
    <w:rsid w:val="00DC0938"/>
    <w:rsid w:val="00DC66E1"/>
    <w:rsid w:val="00DD1996"/>
    <w:rsid w:val="00DE5280"/>
    <w:rsid w:val="00DE5554"/>
    <w:rsid w:val="00DF33CB"/>
    <w:rsid w:val="00DF36AC"/>
    <w:rsid w:val="00DF7AC8"/>
    <w:rsid w:val="00E050C3"/>
    <w:rsid w:val="00E05D14"/>
    <w:rsid w:val="00E06F7C"/>
    <w:rsid w:val="00E136FE"/>
    <w:rsid w:val="00E13C5E"/>
    <w:rsid w:val="00E24D5A"/>
    <w:rsid w:val="00E367F4"/>
    <w:rsid w:val="00E42414"/>
    <w:rsid w:val="00E4317F"/>
    <w:rsid w:val="00E44F95"/>
    <w:rsid w:val="00E45DFD"/>
    <w:rsid w:val="00E51248"/>
    <w:rsid w:val="00E535F1"/>
    <w:rsid w:val="00E54BF9"/>
    <w:rsid w:val="00E55D05"/>
    <w:rsid w:val="00E55D60"/>
    <w:rsid w:val="00E609F4"/>
    <w:rsid w:val="00E61356"/>
    <w:rsid w:val="00E62E9F"/>
    <w:rsid w:val="00E66D9A"/>
    <w:rsid w:val="00E70F47"/>
    <w:rsid w:val="00E71912"/>
    <w:rsid w:val="00E72536"/>
    <w:rsid w:val="00E739AC"/>
    <w:rsid w:val="00E75ABF"/>
    <w:rsid w:val="00E835A8"/>
    <w:rsid w:val="00E83D79"/>
    <w:rsid w:val="00EA0B37"/>
    <w:rsid w:val="00EA3CBF"/>
    <w:rsid w:val="00EA56E2"/>
    <w:rsid w:val="00EB1897"/>
    <w:rsid w:val="00EB2E45"/>
    <w:rsid w:val="00EB5A1C"/>
    <w:rsid w:val="00EB6E3B"/>
    <w:rsid w:val="00EB75C4"/>
    <w:rsid w:val="00EC595D"/>
    <w:rsid w:val="00EC6ABD"/>
    <w:rsid w:val="00ED3D8B"/>
    <w:rsid w:val="00ED5C9F"/>
    <w:rsid w:val="00ED7EEF"/>
    <w:rsid w:val="00EE17C5"/>
    <w:rsid w:val="00EE1920"/>
    <w:rsid w:val="00EE310C"/>
    <w:rsid w:val="00EE473F"/>
    <w:rsid w:val="00EE4C4F"/>
    <w:rsid w:val="00EF2DC4"/>
    <w:rsid w:val="00EF7118"/>
    <w:rsid w:val="00F0189A"/>
    <w:rsid w:val="00F04CD0"/>
    <w:rsid w:val="00F067ED"/>
    <w:rsid w:val="00F07F22"/>
    <w:rsid w:val="00F10114"/>
    <w:rsid w:val="00F1057B"/>
    <w:rsid w:val="00F13487"/>
    <w:rsid w:val="00F26C4B"/>
    <w:rsid w:val="00F27AE8"/>
    <w:rsid w:val="00F3254B"/>
    <w:rsid w:val="00F35872"/>
    <w:rsid w:val="00F36453"/>
    <w:rsid w:val="00F36F88"/>
    <w:rsid w:val="00F42AF4"/>
    <w:rsid w:val="00F46570"/>
    <w:rsid w:val="00F47CD3"/>
    <w:rsid w:val="00F50A12"/>
    <w:rsid w:val="00F5667A"/>
    <w:rsid w:val="00F57018"/>
    <w:rsid w:val="00F57477"/>
    <w:rsid w:val="00F57BD3"/>
    <w:rsid w:val="00F62B3C"/>
    <w:rsid w:val="00F64E8A"/>
    <w:rsid w:val="00F65D51"/>
    <w:rsid w:val="00F67FB0"/>
    <w:rsid w:val="00F725DD"/>
    <w:rsid w:val="00F76E96"/>
    <w:rsid w:val="00F83F33"/>
    <w:rsid w:val="00F85F7C"/>
    <w:rsid w:val="00F944CB"/>
    <w:rsid w:val="00F95CFF"/>
    <w:rsid w:val="00F95DEE"/>
    <w:rsid w:val="00F963BD"/>
    <w:rsid w:val="00FA23AE"/>
    <w:rsid w:val="00FA5381"/>
    <w:rsid w:val="00FA689E"/>
    <w:rsid w:val="00FA6BA3"/>
    <w:rsid w:val="00FB1995"/>
    <w:rsid w:val="00FB2540"/>
    <w:rsid w:val="00FB2E7C"/>
    <w:rsid w:val="00FB59DE"/>
    <w:rsid w:val="00FD0E4D"/>
    <w:rsid w:val="00FD205C"/>
    <w:rsid w:val="00FD2A17"/>
    <w:rsid w:val="00FD2A46"/>
    <w:rsid w:val="00FD4030"/>
    <w:rsid w:val="00FD695A"/>
    <w:rsid w:val="00FD6B2B"/>
    <w:rsid w:val="00FD7ECB"/>
    <w:rsid w:val="00FE0BBE"/>
    <w:rsid w:val="00FF4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A4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52"/>
    <w:pPr>
      <w:suppressAutoHyphens/>
      <w:autoSpaceDN w:val="0"/>
      <w:spacing w:line="249" w:lineRule="auto"/>
      <w:textAlignment w:val="baseline"/>
    </w:pPr>
    <w:rPr>
      <w:rFonts w:eastAsia="Calibri" w:cs="Times New Roman"/>
      <w:kern w:val="0"/>
      <w:lang w:val="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41B52"/>
    <w:pPr>
      <w:tabs>
        <w:tab w:val="center" w:pos="4680"/>
        <w:tab w:val="right" w:pos="9360"/>
      </w:tabs>
      <w:spacing w:after="0" w:line="240" w:lineRule="auto"/>
    </w:pPr>
  </w:style>
  <w:style w:type="character" w:customStyle="1" w:styleId="FooterChar">
    <w:name w:val="Footer Char"/>
    <w:basedOn w:val="DefaultParagraphFont"/>
    <w:link w:val="Footer"/>
    <w:rsid w:val="00B41B52"/>
    <w:rPr>
      <w:rFonts w:eastAsia="Calibri" w:cs="Times New Roman"/>
      <w:kern w:val="0"/>
      <w:lang w:val="lv-LV"/>
      <w14:ligatures w14:val="none"/>
    </w:rPr>
  </w:style>
  <w:style w:type="character" w:styleId="Hyperlink">
    <w:name w:val="Hyperlink"/>
    <w:basedOn w:val="DefaultParagraphFont"/>
    <w:uiPriority w:val="99"/>
    <w:unhideWhenUsed/>
    <w:rsid w:val="00B41B52"/>
    <w:rPr>
      <w:color w:val="0563C1" w:themeColor="hyperlink"/>
      <w:u w:val="single"/>
    </w:rPr>
  </w:style>
  <w:style w:type="paragraph" w:customStyle="1" w:styleId="tv213">
    <w:name w:val="tv213"/>
    <w:basedOn w:val="Normal"/>
    <w:rsid w:val="00B41B52"/>
    <w:pPr>
      <w:suppressAutoHyphens w:val="0"/>
      <w:autoSpaceDN/>
      <w:spacing w:before="100" w:beforeAutospacing="1" w:after="100" w:afterAutospacing="1" w:line="240" w:lineRule="auto"/>
      <w:textAlignment w:val="auto"/>
    </w:pPr>
    <w:rPr>
      <w:rFonts w:eastAsia="Times New Roman"/>
      <w:szCs w:val="24"/>
      <w:lang w:val="en-US"/>
    </w:rPr>
  </w:style>
  <w:style w:type="table" w:styleId="TableGrid">
    <w:name w:val="Table Grid"/>
    <w:basedOn w:val="TableNormal"/>
    <w:uiPriority w:val="39"/>
    <w:rsid w:val="00B41B52"/>
    <w:pPr>
      <w:spacing w:after="0" w:line="240" w:lineRule="auto"/>
    </w:pPr>
    <w:rPr>
      <w:rFonts w:asciiTheme="minorHAnsi" w:hAnsiTheme="minorHAnsi"/>
      <w:kern w:val="0"/>
      <w:sz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B52"/>
    <w:rPr>
      <w:sz w:val="16"/>
      <w:szCs w:val="16"/>
    </w:rPr>
  </w:style>
  <w:style w:type="paragraph" w:styleId="CommentText">
    <w:name w:val="annotation text"/>
    <w:basedOn w:val="Normal"/>
    <w:link w:val="CommentTextChar"/>
    <w:uiPriority w:val="99"/>
    <w:semiHidden/>
    <w:unhideWhenUsed/>
    <w:rsid w:val="00B41B52"/>
    <w:pPr>
      <w:spacing w:line="240" w:lineRule="auto"/>
    </w:pPr>
    <w:rPr>
      <w:sz w:val="20"/>
      <w:szCs w:val="20"/>
    </w:rPr>
  </w:style>
  <w:style w:type="character" w:customStyle="1" w:styleId="CommentTextChar">
    <w:name w:val="Comment Text Char"/>
    <w:basedOn w:val="DefaultParagraphFont"/>
    <w:link w:val="CommentText"/>
    <w:uiPriority w:val="99"/>
    <w:semiHidden/>
    <w:rsid w:val="00B41B52"/>
    <w:rPr>
      <w:rFonts w:eastAsia="Calibri" w:cs="Times New Roman"/>
      <w:kern w:val="0"/>
      <w:sz w:val="20"/>
      <w:szCs w:val="20"/>
      <w:lang w:val="lv-LV"/>
      <w14:ligatures w14:val="none"/>
    </w:rPr>
  </w:style>
  <w:style w:type="character" w:styleId="FollowedHyperlink">
    <w:name w:val="FollowedHyperlink"/>
    <w:basedOn w:val="DefaultParagraphFont"/>
    <w:uiPriority w:val="99"/>
    <w:semiHidden/>
    <w:unhideWhenUsed/>
    <w:rsid w:val="00B41B5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54BF9"/>
    <w:rPr>
      <w:b/>
      <w:bCs/>
    </w:rPr>
  </w:style>
  <w:style w:type="character" w:customStyle="1" w:styleId="CommentSubjectChar">
    <w:name w:val="Comment Subject Char"/>
    <w:basedOn w:val="CommentTextChar"/>
    <w:link w:val="CommentSubject"/>
    <w:uiPriority w:val="99"/>
    <w:semiHidden/>
    <w:rsid w:val="00E54BF9"/>
    <w:rPr>
      <w:rFonts w:eastAsia="Calibri" w:cs="Times New Roman"/>
      <w:b/>
      <w:bCs/>
      <w:kern w:val="0"/>
      <w:sz w:val="20"/>
      <w:szCs w:val="20"/>
      <w:lang w:val="lv-LV"/>
      <w14:ligatures w14:val="none"/>
    </w:rPr>
  </w:style>
  <w:style w:type="paragraph" w:styleId="Revision">
    <w:name w:val="Revision"/>
    <w:hidden/>
    <w:uiPriority w:val="99"/>
    <w:semiHidden/>
    <w:rsid w:val="00E54BF9"/>
    <w:pPr>
      <w:spacing w:after="0" w:line="240" w:lineRule="auto"/>
    </w:pPr>
    <w:rPr>
      <w:rFonts w:eastAsia="Calibri" w:cs="Times New Roman"/>
      <w:kern w:val="0"/>
      <w:lang w:val="lv-LV"/>
      <w14:ligatures w14:val="none"/>
    </w:rPr>
  </w:style>
  <w:style w:type="character" w:styleId="UnresolvedMention">
    <w:name w:val="Unresolved Mention"/>
    <w:basedOn w:val="DefaultParagraphFont"/>
    <w:uiPriority w:val="99"/>
    <w:semiHidden/>
    <w:unhideWhenUsed/>
    <w:rsid w:val="000D1907"/>
    <w:rPr>
      <w:color w:val="605E5C"/>
      <w:shd w:val="clear" w:color="auto" w:fill="E1DFDD"/>
    </w:rPr>
  </w:style>
  <w:style w:type="paragraph" w:styleId="Header">
    <w:name w:val="header"/>
    <w:basedOn w:val="Normal"/>
    <w:link w:val="HeaderChar"/>
    <w:uiPriority w:val="99"/>
    <w:unhideWhenUsed/>
    <w:rsid w:val="009A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8EA"/>
    <w:rPr>
      <w:rFonts w:eastAsia="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14850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hyperlink" Target="https://manas.tiesas.lv/eTiesasMvc/nolemumi/pdf/495045.pdf" TargetMode="External"/><Relationship Id="rId3" Type="http://schemas.openxmlformats.org/officeDocument/2006/relationships/settings" Target="settings.xml"/><Relationship Id="rId7" Type="http://schemas.openxmlformats.org/officeDocument/2006/relationships/hyperlink" Target="https://manas.tiesas.lv/eTiesasMvc/nolemumi/pdf/545171.pdf" TargetMode="External"/><Relationship Id="rId12" Type="http://schemas.openxmlformats.org/officeDocument/2006/relationships/hyperlink" Target="https://manas.tiesas.lv/eTiesasMvc/nolemumi/pdf/50208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doc.echr.coe.int/e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www.at.gov.lv/downloadlawfile/855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46D9-8024-498E-B9B2-782E7EBD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9091</Words>
  <Characters>5182</Characters>
  <Application>Microsoft Office Word</Application>
  <DocSecurity>0</DocSecurity>
  <Lines>43</Lines>
  <Paragraphs>28</Paragraphs>
  <ScaleCrop>false</ScaleCrop>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2025-01-15T11:11:00Z</dcterms:created>
  <dcterms:modified xsi:type="dcterms:W3CDTF">2025-01-15T11:22:00Z</dcterms:modified>
</cp:coreProperties>
</file>