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E5B9" w14:textId="77777777" w:rsidR="002A76D2" w:rsidRPr="002A76D2" w:rsidRDefault="002A76D2" w:rsidP="001F5358">
      <w:pPr>
        <w:spacing w:line="276" w:lineRule="auto"/>
        <w:jc w:val="both"/>
        <w:rPr>
          <w:b/>
          <w:bCs/>
          <w:lang w:eastAsia="lv-LV"/>
        </w:rPr>
      </w:pPr>
      <w:r w:rsidRPr="002A76D2">
        <w:rPr>
          <w:b/>
          <w:bCs/>
        </w:rPr>
        <w:t>Vērtējamā ārstēšanas perioda paplašināšana</w:t>
      </w:r>
    </w:p>
    <w:p w14:paraId="2A2EB42A" w14:textId="77777777" w:rsidR="002A76D2" w:rsidRPr="002A76D2" w:rsidRDefault="002A76D2" w:rsidP="001F5358">
      <w:pPr>
        <w:spacing w:line="276" w:lineRule="auto"/>
        <w:jc w:val="both"/>
      </w:pPr>
      <w:r w:rsidRPr="002A76D2">
        <w:t>1. </w:t>
      </w:r>
      <w:r w:rsidRPr="002A76D2">
        <w:rPr>
          <w14:ligatures w14:val="standardContextual"/>
        </w:rPr>
        <w:t xml:space="preserve">Lietas par atlīdzības izmaksu no Ārstniecības riska fonda ir cieši saistītas ar Latvijas Republikas Satversmē garantētu cilvēktiesību īstenošanu. Tāpēc, ja Pacientu tiesību likuma 16.panta piektajā daļā noteiktā termiņa nokavējums atlīdzības prasījuma iesniegšanai nav saistīts ar pašas personas rīcību, personai nedrīkst liegt tiesības uz atbilstošu atlīdzinājumu. </w:t>
      </w:r>
    </w:p>
    <w:p w14:paraId="411629DA" w14:textId="0BCD0582" w:rsidR="00826242" w:rsidRPr="00011547" w:rsidRDefault="002A76D2" w:rsidP="001F5358">
      <w:pPr>
        <w:spacing w:line="276" w:lineRule="auto"/>
        <w:jc w:val="both"/>
      </w:pPr>
      <w:r w:rsidRPr="002A76D2">
        <w:t>2</w:t>
      </w:r>
      <w:r w:rsidRPr="002A76D2">
        <w:t>. </w:t>
      </w:r>
      <w:r w:rsidRPr="002A76D2">
        <w:rPr>
          <w14:ligatures w14:val="standardContextual"/>
        </w:rPr>
        <w:t xml:space="preserve">Lai ievērotu un efektīvi nodrošinātu Pacientu tiesību likuma 16.panta pirmajā daļā paredzētās tiesības, gadījumos, kad atklājas jauna informācija, kas liecina par nepieciešamību paplašināt vērtējamo ārstēšanas periodu un kuras konstatēšanai bijušas nepieciešamas padziļinātas profesionālas zināšanas medicīnā, </w:t>
      </w:r>
      <w:proofErr w:type="spellStart"/>
      <w:r w:rsidRPr="002A76D2">
        <w:rPr>
          <w14:ligatures w14:val="standardContextual"/>
        </w:rPr>
        <w:t>ārpustiesas</w:t>
      </w:r>
      <w:proofErr w:type="spellEnd"/>
      <w:r w:rsidRPr="002A76D2">
        <w:rPr>
          <w14:ligatures w14:val="standardContextual"/>
        </w:rPr>
        <w:t xml:space="preserve"> izskatīšanas kārtības neievērošana nav šķērslis pieteikuma papildinājumu pieņemšanai. Tiesai ir tiesības un pienākums pašai, paplašinot vērtējamo ārstēšanas periodu, pēc būtības rast efektīvu risinājumu iespējamā pārkāpuma izvērtēšanai tā patiesajā apmērā, nepieciešamības gadījumā prasot arī iestādes aktīvu līdzdarbību faktisko apstākļu novērtēšanā atbilstoši </w:t>
      </w:r>
      <w:proofErr w:type="spellStart"/>
      <w:r w:rsidRPr="002A76D2">
        <w:rPr>
          <w14:ligatures w14:val="standardContextual"/>
        </w:rPr>
        <w:t>jauniegūtajai</w:t>
      </w:r>
      <w:proofErr w:type="spellEnd"/>
      <w:r w:rsidRPr="002A76D2">
        <w:rPr>
          <w14:ligatures w14:val="standardContextual"/>
        </w:rPr>
        <w:t xml:space="preserve"> informācijai.</w:t>
      </w:r>
    </w:p>
    <w:p w14:paraId="0A507654" w14:textId="20292221" w:rsidR="00826242" w:rsidRPr="00CB1379" w:rsidRDefault="00826242" w:rsidP="001F5358">
      <w:pPr>
        <w:spacing w:before="240" w:line="276" w:lineRule="auto"/>
        <w:jc w:val="center"/>
        <w:rPr>
          <w:b/>
        </w:rPr>
      </w:pPr>
      <w:r w:rsidRPr="00CB1379">
        <w:rPr>
          <w:b/>
        </w:rPr>
        <w:t>Latvijas Republikas Senāt</w:t>
      </w:r>
      <w:r w:rsidR="002A76D2" w:rsidRPr="00CB1379">
        <w:rPr>
          <w:b/>
        </w:rPr>
        <w:t>a</w:t>
      </w:r>
      <w:r w:rsidR="002A76D2" w:rsidRPr="00CB1379">
        <w:rPr>
          <w:b/>
        </w:rPr>
        <w:br/>
        <w:t xml:space="preserve">Administratīvo lietu departamenta </w:t>
      </w:r>
      <w:r w:rsidR="002A76D2" w:rsidRPr="00CB1379">
        <w:rPr>
          <w:b/>
        </w:rPr>
        <w:br/>
        <w:t xml:space="preserve">2024.gada 13.decembra </w:t>
      </w:r>
    </w:p>
    <w:p w14:paraId="0795D28F" w14:textId="77777777" w:rsidR="002A76D2" w:rsidRPr="00CB1379" w:rsidRDefault="00826242" w:rsidP="001F5358">
      <w:pPr>
        <w:spacing w:line="276" w:lineRule="auto"/>
        <w:contextualSpacing/>
        <w:jc w:val="center"/>
        <w:rPr>
          <w:b/>
        </w:rPr>
      </w:pPr>
      <w:r w:rsidRPr="00CB1379">
        <w:rPr>
          <w:b/>
        </w:rPr>
        <w:t>LĒMUMS</w:t>
      </w:r>
    </w:p>
    <w:p w14:paraId="4F504004" w14:textId="06C9DFC6" w:rsidR="00CB1379" w:rsidRPr="00CB1379" w:rsidRDefault="002A76D2" w:rsidP="001F5358">
      <w:pPr>
        <w:spacing w:line="276" w:lineRule="auto"/>
        <w:contextualSpacing/>
        <w:jc w:val="center"/>
        <w:rPr>
          <w:b/>
          <w:bCs/>
        </w:rPr>
      </w:pPr>
      <w:r w:rsidRPr="00CB1379">
        <w:rPr>
          <w:b/>
          <w:bCs/>
        </w:rPr>
        <w:t>Lieta Nr. </w:t>
      </w:r>
      <w:bookmarkStart w:id="0" w:name="OLE_LINK1"/>
      <w:r w:rsidRPr="00CB1379">
        <w:rPr>
          <w:b/>
          <w:bCs/>
        </w:rPr>
        <w:t>A420302122</w:t>
      </w:r>
      <w:bookmarkEnd w:id="0"/>
      <w:r w:rsidRPr="00CB1379">
        <w:rPr>
          <w:b/>
          <w:bCs/>
        </w:rPr>
        <w:t>,</w:t>
      </w:r>
      <w:r w:rsidRPr="00CB1379">
        <w:rPr>
          <w:b/>
          <w:bCs/>
          <w:lang w:eastAsia="lv-LV"/>
        </w:rPr>
        <w:t xml:space="preserve"> SKA-867/2024</w:t>
      </w:r>
    </w:p>
    <w:p w14:paraId="1A44D7D2" w14:textId="3DD583E8" w:rsidR="002A76D2" w:rsidRPr="00CB1379" w:rsidRDefault="00CB1379" w:rsidP="001F5358">
      <w:pPr>
        <w:spacing w:line="276" w:lineRule="auto"/>
        <w:contextualSpacing/>
        <w:jc w:val="center"/>
        <w:rPr>
          <w:b/>
        </w:rPr>
      </w:pPr>
      <w:r w:rsidRPr="00CB1379">
        <w:t xml:space="preserve"> </w:t>
      </w:r>
      <w:hyperlink r:id="rId6" w:history="1">
        <w:r w:rsidRPr="001F5358">
          <w:rPr>
            <w:rStyle w:val="Hyperlink"/>
          </w:rPr>
          <w:t>ECLI:LV:AT:2024:1213.A420302122.9.L</w:t>
        </w:r>
      </w:hyperlink>
    </w:p>
    <w:p w14:paraId="4AE4B707" w14:textId="77777777" w:rsidR="00826242" w:rsidRPr="001E0942" w:rsidRDefault="00826242" w:rsidP="001F5358">
      <w:pPr>
        <w:spacing w:line="276" w:lineRule="auto"/>
        <w:ind w:firstLine="720"/>
        <w:contextualSpacing/>
        <w:jc w:val="both"/>
      </w:pPr>
    </w:p>
    <w:p w14:paraId="434E7790" w14:textId="769A2954" w:rsidR="00826242" w:rsidRPr="009F1565" w:rsidRDefault="00826242" w:rsidP="001F5358">
      <w:pPr>
        <w:tabs>
          <w:tab w:val="left" w:pos="567"/>
        </w:tabs>
        <w:spacing w:line="276" w:lineRule="auto"/>
        <w:ind w:firstLine="720"/>
        <w:jc w:val="both"/>
      </w:pPr>
      <w:r>
        <w:t>Senāts</w:t>
      </w:r>
      <w:r w:rsidRPr="009F1565">
        <w:t xml:space="preserve"> šādā sastāvā: senator</w:t>
      </w:r>
      <w:r>
        <w:t>e referente</w:t>
      </w:r>
      <w:r w:rsidRPr="009F1565">
        <w:t xml:space="preserve"> </w:t>
      </w:r>
      <w:r w:rsidR="00A92C6A">
        <w:t>Rudīte Vīduša</w:t>
      </w:r>
      <w:r w:rsidRPr="00730DBF">
        <w:t>, senator</w:t>
      </w:r>
      <w:r w:rsidR="00A92C6A">
        <w:t>i</w:t>
      </w:r>
      <w:r w:rsidRPr="00730DBF">
        <w:t xml:space="preserve"> </w:t>
      </w:r>
      <w:r w:rsidR="00A92C6A">
        <w:t xml:space="preserve">Ermīns Darapoļskis un </w:t>
      </w:r>
      <w:r w:rsidR="004721F8">
        <w:t>Līvija Slica</w:t>
      </w:r>
    </w:p>
    <w:p w14:paraId="344D97FE" w14:textId="77777777" w:rsidR="00826242" w:rsidRPr="009F1565" w:rsidRDefault="00826242" w:rsidP="001F5358">
      <w:pPr>
        <w:tabs>
          <w:tab w:val="left" w:pos="567"/>
        </w:tabs>
        <w:spacing w:line="276" w:lineRule="auto"/>
        <w:ind w:firstLine="720"/>
        <w:jc w:val="both"/>
      </w:pPr>
    </w:p>
    <w:p w14:paraId="1FCCCC75" w14:textId="65357E9B" w:rsidR="00826242" w:rsidRDefault="00826242" w:rsidP="001F5358">
      <w:pPr>
        <w:tabs>
          <w:tab w:val="left" w:pos="567"/>
        </w:tabs>
        <w:spacing w:line="276" w:lineRule="auto"/>
        <w:ind w:firstLine="720"/>
        <w:jc w:val="both"/>
      </w:pPr>
      <w:r w:rsidRPr="009F1565">
        <w:t xml:space="preserve">rakstveida procesā izskatīja </w:t>
      </w:r>
      <w:r w:rsidR="001F5358">
        <w:t xml:space="preserve">[pers. A] </w:t>
      </w:r>
      <w:r>
        <w:t xml:space="preserve">blakus sūdzību par Administratīvās rajona tiesas </w:t>
      </w:r>
      <w:r w:rsidR="004721F8">
        <w:t xml:space="preserve">tiesneša </w:t>
      </w:r>
      <w:r>
        <w:t>202</w:t>
      </w:r>
      <w:r w:rsidR="00A92C6A">
        <w:t>4</w:t>
      </w:r>
      <w:r>
        <w:t xml:space="preserve">.gada </w:t>
      </w:r>
      <w:r w:rsidR="002F10A1">
        <w:t>3</w:t>
      </w:r>
      <w:r w:rsidR="00A92C6A">
        <w:t>.</w:t>
      </w:r>
      <w:r w:rsidR="002F10A1">
        <w:t>septembra</w:t>
      </w:r>
      <w:r>
        <w:t xml:space="preserve"> lēmumu, ar kuru </w:t>
      </w:r>
      <w:r w:rsidR="004721F8">
        <w:t>atteikt</w:t>
      </w:r>
      <w:r w:rsidR="00DA4DE8">
        <w:t>s</w:t>
      </w:r>
      <w:r w:rsidR="004721F8">
        <w:t xml:space="preserve"> pieņemt pieteikum</w:t>
      </w:r>
      <w:r w:rsidR="002F10A1">
        <w:t>a</w:t>
      </w:r>
      <w:r w:rsidR="004721F8">
        <w:t xml:space="preserve"> </w:t>
      </w:r>
      <w:r w:rsidR="002F10A1">
        <w:t>papildinājumus</w:t>
      </w:r>
      <w:r>
        <w:t>.</w:t>
      </w:r>
    </w:p>
    <w:p w14:paraId="0ECC6E89" w14:textId="77777777" w:rsidR="00826242" w:rsidRPr="009F1565" w:rsidRDefault="00826242" w:rsidP="001F5358">
      <w:pPr>
        <w:tabs>
          <w:tab w:val="left" w:pos="567"/>
        </w:tabs>
        <w:spacing w:line="276" w:lineRule="auto"/>
        <w:ind w:firstLine="720"/>
        <w:jc w:val="both"/>
        <w:rPr>
          <w:szCs w:val="18"/>
        </w:rPr>
      </w:pPr>
    </w:p>
    <w:p w14:paraId="53B942ED" w14:textId="77777777" w:rsidR="00826242" w:rsidRPr="009F1565" w:rsidRDefault="00826242" w:rsidP="001F5358">
      <w:pPr>
        <w:spacing w:line="276" w:lineRule="auto"/>
        <w:jc w:val="center"/>
        <w:rPr>
          <w:b/>
        </w:rPr>
      </w:pPr>
      <w:r w:rsidRPr="009F1565">
        <w:rPr>
          <w:b/>
        </w:rPr>
        <w:t>Aprakstošā daļa</w:t>
      </w:r>
    </w:p>
    <w:p w14:paraId="0549710B" w14:textId="77777777" w:rsidR="00826242" w:rsidRDefault="00826242" w:rsidP="001F5358">
      <w:pPr>
        <w:spacing w:line="276" w:lineRule="auto"/>
        <w:ind w:firstLine="720"/>
        <w:jc w:val="both"/>
        <w:rPr>
          <w:color w:val="000000"/>
        </w:rPr>
      </w:pPr>
    </w:p>
    <w:p w14:paraId="79BDD176" w14:textId="4AB4322C" w:rsidR="00BC5ED1" w:rsidRDefault="00826242" w:rsidP="001F5358">
      <w:pPr>
        <w:spacing w:line="276" w:lineRule="auto"/>
        <w:ind w:firstLine="720"/>
        <w:jc w:val="both"/>
        <w:rPr>
          <w:color w:val="000000"/>
        </w:rPr>
      </w:pPr>
      <w:r w:rsidRPr="007D376D">
        <w:rPr>
          <w:color w:val="000000"/>
        </w:rPr>
        <w:t>[1] </w:t>
      </w:r>
      <w:r w:rsidR="00BC5ED1">
        <w:rPr>
          <w:color w:val="000000"/>
        </w:rPr>
        <w:t>P</w:t>
      </w:r>
      <w:r w:rsidR="00BC5ED1" w:rsidRPr="00BC5ED1">
        <w:rPr>
          <w:color w:val="000000"/>
        </w:rPr>
        <w:t>ieteicēj</w:t>
      </w:r>
      <w:r w:rsidR="00E108FE">
        <w:rPr>
          <w:color w:val="000000"/>
        </w:rPr>
        <w:t>a</w:t>
      </w:r>
      <w:r w:rsidR="00BC5ED1">
        <w:rPr>
          <w:color w:val="000000"/>
        </w:rPr>
        <w:t xml:space="preserve"> </w:t>
      </w:r>
      <w:r w:rsidR="001F5358">
        <w:rPr>
          <w:color w:val="000000"/>
        </w:rPr>
        <w:t xml:space="preserve">[pers. A] </w:t>
      </w:r>
      <w:r w:rsidR="00BC5ED1">
        <w:rPr>
          <w:color w:val="000000"/>
        </w:rPr>
        <w:t>vērsās Administratīvajā rajona tiesā ar pieteikumu</w:t>
      </w:r>
      <w:r w:rsidR="00E108FE">
        <w:rPr>
          <w:color w:val="000000"/>
        </w:rPr>
        <w:t xml:space="preserve"> par pienākuma uzlikšanu Veselības inspekcijai izdot administratīvo aktu par pieteicējas </w:t>
      </w:r>
      <w:r w:rsidR="00E108FE" w:rsidRPr="008D359C">
        <w:rPr>
          <w:color w:val="000000"/>
        </w:rPr>
        <w:t xml:space="preserve">mātes </w:t>
      </w:r>
      <w:r w:rsidR="001F5358">
        <w:rPr>
          <w:color w:val="000000"/>
        </w:rPr>
        <w:t xml:space="preserve">[pers. B] </w:t>
      </w:r>
      <w:r w:rsidR="00E108FE">
        <w:rPr>
          <w:color w:val="000000"/>
        </w:rPr>
        <w:t>dzīvībai vai veselībai nodarītā kaitējuma smaguma 100</w:t>
      </w:r>
      <w:r w:rsidR="004C1E61">
        <w:rPr>
          <w:color w:val="000000"/>
        </w:rPr>
        <w:t> </w:t>
      </w:r>
      <w:r w:rsidR="00E108FE">
        <w:rPr>
          <w:color w:val="000000"/>
        </w:rPr>
        <w:t>%</w:t>
      </w:r>
      <w:r w:rsidR="004C1E61">
        <w:rPr>
          <w:color w:val="000000"/>
        </w:rPr>
        <w:t> </w:t>
      </w:r>
      <w:r w:rsidR="00E108FE">
        <w:rPr>
          <w:color w:val="000000"/>
        </w:rPr>
        <w:t>apmēr</w:t>
      </w:r>
      <w:r w:rsidR="004C1E61">
        <w:rPr>
          <w:color w:val="000000"/>
        </w:rPr>
        <w:t>ā</w:t>
      </w:r>
      <w:r w:rsidR="00E108FE">
        <w:rPr>
          <w:color w:val="000000"/>
        </w:rPr>
        <w:t xml:space="preserve"> noteikšanu un atlīdzības izmaksāšanu no Ārstniecības riska fonda.</w:t>
      </w:r>
    </w:p>
    <w:p w14:paraId="514B6A57" w14:textId="77777777" w:rsidR="00E108FE" w:rsidRDefault="00E108FE" w:rsidP="001F5358">
      <w:pPr>
        <w:spacing w:line="276" w:lineRule="auto"/>
        <w:ind w:firstLine="720"/>
        <w:jc w:val="both"/>
        <w:rPr>
          <w:color w:val="000000"/>
        </w:rPr>
      </w:pPr>
    </w:p>
    <w:p w14:paraId="655BB94E" w14:textId="041DB0C7" w:rsidR="00E108FE" w:rsidRDefault="00E108FE" w:rsidP="001F5358">
      <w:pPr>
        <w:spacing w:line="276" w:lineRule="auto"/>
        <w:ind w:firstLine="720"/>
        <w:jc w:val="both"/>
        <w:rPr>
          <w:color w:val="000000"/>
        </w:rPr>
      </w:pPr>
      <w:r>
        <w:rPr>
          <w:color w:val="000000"/>
        </w:rPr>
        <w:t>[2]</w:t>
      </w:r>
      <w:r w:rsidR="005566F6">
        <w:rPr>
          <w:color w:val="000000"/>
        </w:rPr>
        <w:t> </w:t>
      </w:r>
      <w:r>
        <w:rPr>
          <w:color w:val="000000"/>
        </w:rPr>
        <w:t xml:space="preserve">Pēc </w:t>
      </w:r>
      <w:r w:rsidR="00F5626E">
        <w:rPr>
          <w:color w:val="000000"/>
        </w:rPr>
        <w:t>tiesas noteikt</w:t>
      </w:r>
      <w:r w:rsidR="0072501D">
        <w:rPr>
          <w:color w:val="000000"/>
        </w:rPr>
        <w:t>ā</w:t>
      </w:r>
      <w:r w:rsidR="00F5626E">
        <w:rPr>
          <w:color w:val="000000"/>
        </w:rPr>
        <w:t xml:space="preserve">s papildu ekspertīzes </w:t>
      </w:r>
      <w:r w:rsidR="0072501D">
        <w:rPr>
          <w:color w:val="000000"/>
        </w:rPr>
        <w:t xml:space="preserve">atzinuma saņemšanas </w:t>
      </w:r>
      <w:r w:rsidR="00F5626E">
        <w:rPr>
          <w:color w:val="000000"/>
        </w:rPr>
        <w:t>pieteicēja iesniedza pieteikuma papildinājumus, norādot, ka</w:t>
      </w:r>
      <w:r w:rsidR="0072501D">
        <w:rPr>
          <w:color w:val="000000"/>
        </w:rPr>
        <w:t xml:space="preserve"> ekspertīzē atklāj</w:t>
      </w:r>
      <w:r w:rsidR="004C1E61">
        <w:rPr>
          <w:color w:val="000000"/>
        </w:rPr>
        <w:t>ā</w:t>
      </w:r>
      <w:r w:rsidR="0072501D">
        <w:rPr>
          <w:color w:val="000000"/>
        </w:rPr>
        <w:t xml:space="preserve">s fakts, ka </w:t>
      </w:r>
      <w:r w:rsidR="004C1E61">
        <w:rPr>
          <w:color w:val="000000"/>
        </w:rPr>
        <w:t>pieteicējas mātei</w:t>
      </w:r>
      <w:r w:rsidR="0072501D">
        <w:rPr>
          <w:color w:val="000000"/>
        </w:rPr>
        <w:t xml:space="preserve"> </w:t>
      </w:r>
      <w:r w:rsidR="008D359C">
        <w:rPr>
          <w:color w:val="000000"/>
        </w:rPr>
        <w:t xml:space="preserve">bija </w:t>
      </w:r>
      <w:r w:rsidR="0072501D">
        <w:rPr>
          <w:color w:val="000000"/>
        </w:rPr>
        <w:t>Parkinsona slimība</w:t>
      </w:r>
      <w:r w:rsidR="008D359C">
        <w:rPr>
          <w:color w:val="000000"/>
        </w:rPr>
        <w:t>, kas</w:t>
      </w:r>
      <w:r w:rsidR="0072501D">
        <w:rPr>
          <w:color w:val="000000"/>
        </w:rPr>
        <w:t xml:space="preserve"> </w:t>
      </w:r>
      <w:r w:rsidR="00A6443C">
        <w:rPr>
          <w:color w:val="000000"/>
        </w:rPr>
        <w:t xml:space="preserve">turklāt </w:t>
      </w:r>
      <w:r w:rsidR="0072501D">
        <w:rPr>
          <w:color w:val="000000"/>
        </w:rPr>
        <w:t>attīstījās jau pirms 2019.gada, taču netika diagnosticēta un attiecīgi ārstēta.</w:t>
      </w:r>
      <w:r w:rsidR="007D7334">
        <w:rPr>
          <w:color w:val="000000"/>
        </w:rPr>
        <w:t xml:space="preserve"> Pieteicēja </w:t>
      </w:r>
      <w:r w:rsidR="00290D01">
        <w:rPr>
          <w:color w:val="000000"/>
        </w:rPr>
        <w:t>uzsver</w:t>
      </w:r>
      <w:r w:rsidR="007D7334">
        <w:rPr>
          <w:color w:val="000000"/>
        </w:rPr>
        <w:t xml:space="preserve">, ka līdz ar to ir atklājušies jauni iespējamie pārkāpumi </w:t>
      </w:r>
      <w:r w:rsidR="004C1E61">
        <w:rPr>
          <w:color w:val="000000"/>
        </w:rPr>
        <w:t>pieteicējas mātes</w:t>
      </w:r>
      <w:r w:rsidR="007D7334">
        <w:rPr>
          <w:color w:val="000000"/>
        </w:rPr>
        <w:t xml:space="preserve"> veselības aprūpē, kurus Veselības inspekcija nav izvērtējusi atbilstoši Ministru kabineta </w:t>
      </w:r>
      <w:bookmarkStart w:id="1" w:name="_Hlk184111406"/>
      <w:r w:rsidR="007D7334">
        <w:rPr>
          <w:color w:val="000000"/>
        </w:rPr>
        <w:t xml:space="preserve">2013.gada 5.novembra noteikumu Nr. 1268 </w:t>
      </w:r>
      <w:bookmarkEnd w:id="1"/>
      <w:r w:rsidR="007D7334">
        <w:rPr>
          <w:color w:val="000000"/>
        </w:rPr>
        <w:t>„Ārstniecības riska fonda darbības noteikumi”</w:t>
      </w:r>
      <w:r w:rsidR="0058682E">
        <w:rPr>
          <w:color w:val="000000"/>
        </w:rPr>
        <w:t xml:space="preserve"> (turpmāk – Ārstniecības riska fonda noteikumi)</w:t>
      </w:r>
      <w:r w:rsidR="007D7334">
        <w:rPr>
          <w:color w:val="000000"/>
        </w:rPr>
        <w:t xml:space="preserve"> 2.pielikuma 3.1.apakšpunktam.</w:t>
      </w:r>
    </w:p>
    <w:p w14:paraId="3F76112B" w14:textId="77777777" w:rsidR="00BC5ED1" w:rsidRDefault="00BC5ED1" w:rsidP="001F5358">
      <w:pPr>
        <w:spacing w:line="276" w:lineRule="auto"/>
        <w:ind w:firstLine="720"/>
        <w:jc w:val="both"/>
        <w:rPr>
          <w:color w:val="000000"/>
        </w:rPr>
      </w:pPr>
    </w:p>
    <w:p w14:paraId="568C5075" w14:textId="3D3661AA" w:rsidR="0089647B" w:rsidRPr="0080048E" w:rsidRDefault="00BC5ED1" w:rsidP="001F5358">
      <w:pPr>
        <w:spacing w:line="276" w:lineRule="auto"/>
        <w:ind w:firstLine="720"/>
        <w:jc w:val="both"/>
        <w:rPr>
          <w:color w:val="000000"/>
        </w:rPr>
      </w:pPr>
      <w:r>
        <w:rPr>
          <w:color w:val="000000"/>
        </w:rPr>
        <w:lastRenderedPageBreak/>
        <w:t>[</w:t>
      </w:r>
      <w:r w:rsidR="00E108FE">
        <w:rPr>
          <w:color w:val="000000"/>
        </w:rPr>
        <w:t>3</w:t>
      </w:r>
      <w:r>
        <w:rPr>
          <w:color w:val="000000"/>
        </w:rPr>
        <w:t>]</w:t>
      </w:r>
      <w:r w:rsidR="009B0E69">
        <w:rPr>
          <w:color w:val="000000"/>
        </w:rPr>
        <w:t> </w:t>
      </w:r>
      <w:r>
        <w:rPr>
          <w:color w:val="000000"/>
        </w:rPr>
        <w:t>Administratīvās rajona tiesas tiesnesis atteic</w:t>
      </w:r>
      <w:r w:rsidR="003A5E4D">
        <w:rPr>
          <w:color w:val="000000"/>
        </w:rPr>
        <w:t>ās pieņemt</w:t>
      </w:r>
      <w:r>
        <w:rPr>
          <w:color w:val="000000"/>
        </w:rPr>
        <w:t xml:space="preserve"> </w:t>
      </w:r>
      <w:r w:rsidR="003A5E4D">
        <w:rPr>
          <w:color w:val="000000"/>
        </w:rPr>
        <w:t>pieteikuma papildinājumus</w:t>
      </w:r>
      <w:r>
        <w:rPr>
          <w:color w:val="000000"/>
        </w:rPr>
        <w:t xml:space="preserve">. Tiesnesis secināja, </w:t>
      </w:r>
      <w:r w:rsidR="00AD0A53">
        <w:rPr>
          <w:color w:val="000000"/>
        </w:rPr>
        <w:t>ka pieteicēja Veselības inspekcijā iesniegtajā atlīdzības</w:t>
      </w:r>
      <w:r w:rsidR="00E84BA6">
        <w:rPr>
          <w:color w:val="000000"/>
        </w:rPr>
        <w:t xml:space="preserve"> prasījuma iesniegumā nav lūgusi izvērtēt apstākli, ka Parkinsona slimība </w:t>
      </w:r>
      <w:r w:rsidR="004C1E61">
        <w:rPr>
          <w:color w:val="000000"/>
        </w:rPr>
        <w:t>pieteicējas mātei</w:t>
      </w:r>
      <w:r w:rsidR="00E84BA6">
        <w:rPr>
          <w:color w:val="000000"/>
        </w:rPr>
        <w:t xml:space="preserve"> nav konstatēta pirms 2019.gada. Līdz ar to pieteikuma papildinājumos norādītais ārstēšanas periods nav ticis vērtēts administratīv</w:t>
      </w:r>
      <w:r w:rsidR="001573E1">
        <w:rPr>
          <w:color w:val="000000"/>
        </w:rPr>
        <w:t>ajā</w:t>
      </w:r>
      <w:r w:rsidR="00E84BA6">
        <w:rPr>
          <w:color w:val="000000"/>
        </w:rPr>
        <w:t xml:space="preserve"> proces</w:t>
      </w:r>
      <w:r w:rsidR="001573E1">
        <w:rPr>
          <w:color w:val="000000"/>
        </w:rPr>
        <w:t>ā</w:t>
      </w:r>
      <w:r w:rsidR="00E84BA6">
        <w:rPr>
          <w:color w:val="000000"/>
        </w:rPr>
        <w:t xml:space="preserve"> iestādē. Tādējādi secināms, ka pieteicēja ar pieteikuma papildinājumiem nav ievērojusi </w:t>
      </w:r>
      <w:r w:rsidR="000F1897">
        <w:rPr>
          <w:color w:val="000000"/>
        </w:rPr>
        <w:t xml:space="preserve">lietas iepriekšējās </w:t>
      </w:r>
      <w:r w:rsidR="00E84BA6">
        <w:rPr>
          <w:color w:val="000000"/>
        </w:rPr>
        <w:t xml:space="preserve">ārpustiesas izskatīšanas kārtību. </w:t>
      </w:r>
      <w:r w:rsidR="0080048E">
        <w:rPr>
          <w:color w:val="000000"/>
        </w:rPr>
        <w:t xml:space="preserve">Turklāt ir konstatējams, ka pieteicēja nav ievērojusi Pacientu tiesību likuma 16.panta piektajā daļā noteikto </w:t>
      </w:r>
      <w:r w:rsidR="006C1501">
        <w:rPr>
          <w:color w:val="000000"/>
        </w:rPr>
        <w:t xml:space="preserve">triju gadu </w:t>
      </w:r>
      <w:r w:rsidR="0080048E">
        <w:rPr>
          <w:color w:val="000000"/>
        </w:rPr>
        <w:t>termiņu (no kaitējuma nodarīšanas dienas) atlīdzības prasījuma iesniegšanai Veselības inspekcijā</w:t>
      </w:r>
      <w:r w:rsidR="006C1501">
        <w:rPr>
          <w:color w:val="000000"/>
        </w:rPr>
        <w:t xml:space="preserve"> par ārstēšanas posmu pirms 2019.gada</w:t>
      </w:r>
      <w:r w:rsidR="0080048E">
        <w:rPr>
          <w:color w:val="000000"/>
        </w:rPr>
        <w:t>.</w:t>
      </w:r>
      <w:r w:rsidR="00940482">
        <w:rPr>
          <w:color w:val="000000"/>
        </w:rPr>
        <w:t xml:space="preserve"> Nav saskatāms, ka konkrētajā gadījumā</w:t>
      </w:r>
      <w:r w:rsidR="002C7A27">
        <w:rPr>
          <w:color w:val="000000"/>
        </w:rPr>
        <w:t xml:space="preserve"> </w:t>
      </w:r>
      <w:r w:rsidR="00994B5E">
        <w:rPr>
          <w:color w:val="000000"/>
        </w:rPr>
        <w:t xml:space="preserve">izņēmuma kārtā </w:t>
      </w:r>
      <w:r w:rsidR="002C7A27">
        <w:rPr>
          <w:color w:val="000000"/>
        </w:rPr>
        <w:t xml:space="preserve">būtu pamats </w:t>
      </w:r>
      <w:r w:rsidR="005566F6">
        <w:rPr>
          <w:color w:val="000000"/>
        </w:rPr>
        <w:t>atkāpties no procesuālās kārtības</w:t>
      </w:r>
      <w:r w:rsidR="00994B5E">
        <w:rPr>
          <w:color w:val="000000"/>
        </w:rPr>
        <w:t>, lai ievērotu pieteicējas cilvēktiesības</w:t>
      </w:r>
      <w:r w:rsidR="002C7A27">
        <w:rPr>
          <w:color w:val="000000"/>
        </w:rPr>
        <w:t>. Ņem</w:t>
      </w:r>
      <w:r w:rsidR="00C96E53">
        <w:rPr>
          <w:color w:val="000000"/>
        </w:rPr>
        <w:t>ot</w:t>
      </w:r>
      <w:r w:rsidR="002C7A27">
        <w:rPr>
          <w:color w:val="000000"/>
        </w:rPr>
        <w:t xml:space="preserve"> vērā minēto, pieteikuma papildinājumu pieņemšana ir atsakāma, pamatojoties uz Administratīvā procesa likuma 191.panta pirmās daļas 8.punktu.</w:t>
      </w:r>
    </w:p>
    <w:p w14:paraId="32007237" w14:textId="77777777" w:rsidR="00AB3B64" w:rsidRPr="003A5E4D" w:rsidRDefault="00AB3B64" w:rsidP="001F5358">
      <w:pPr>
        <w:spacing w:line="276" w:lineRule="auto"/>
        <w:ind w:firstLine="720"/>
        <w:jc w:val="both"/>
        <w:rPr>
          <w:strike/>
          <w:color w:val="000000"/>
        </w:rPr>
      </w:pPr>
    </w:p>
    <w:p w14:paraId="3DB571F1" w14:textId="2BC3A9F1" w:rsidR="00AB3B64" w:rsidRPr="002C7A27" w:rsidRDefault="00AB3B64" w:rsidP="001F5358">
      <w:pPr>
        <w:spacing w:line="276" w:lineRule="auto"/>
        <w:ind w:firstLine="720"/>
        <w:jc w:val="both"/>
        <w:rPr>
          <w:color w:val="000000"/>
        </w:rPr>
      </w:pPr>
      <w:r w:rsidRPr="002C7A27">
        <w:rPr>
          <w:color w:val="000000"/>
        </w:rPr>
        <w:t>[</w:t>
      </w:r>
      <w:r w:rsidR="00E108FE" w:rsidRPr="002C7A27">
        <w:rPr>
          <w:color w:val="000000"/>
        </w:rPr>
        <w:t>4</w:t>
      </w:r>
      <w:r w:rsidRPr="002C7A27">
        <w:rPr>
          <w:color w:val="000000"/>
        </w:rPr>
        <w:t>]</w:t>
      </w:r>
      <w:r w:rsidR="009B0E69" w:rsidRPr="002C7A27">
        <w:rPr>
          <w:color w:val="000000"/>
        </w:rPr>
        <w:t> </w:t>
      </w:r>
      <w:r w:rsidRPr="002C7A27">
        <w:rPr>
          <w:color w:val="000000"/>
        </w:rPr>
        <w:t>Pieteicēj</w:t>
      </w:r>
      <w:r w:rsidR="00F332EA">
        <w:rPr>
          <w:color w:val="000000"/>
        </w:rPr>
        <w:t>a</w:t>
      </w:r>
      <w:r w:rsidRPr="002C7A27">
        <w:rPr>
          <w:color w:val="000000"/>
        </w:rPr>
        <w:t xml:space="preserve"> par tiesneša lēmumu iesniedza blakus sūdzību. Tajā norādīt</w:t>
      </w:r>
      <w:r w:rsidR="002C7A27">
        <w:rPr>
          <w:color w:val="000000"/>
        </w:rPr>
        <w:t xml:space="preserve">s, ka tiesai jāņem vērā </w:t>
      </w:r>
      <w:r w:rsidR="00F332EA">
        <w:rPr>
          <w:color w:val="000000"/>
        </w:rPr>
        <w:t xml:space="preserve">ekspertīzes rezultātā jaunatklātā informācija, lietu izskatot pēc būtības. </w:t>
      </w:r>
      <w:r w:rsidR="00B60C18">
        <w:rPr>
          <w:color w:val="000000"/>
        </w:rPr>
        <w:t>Ievērojot objektīvās izmeklēšanas principu, e</w:t>
      </w:r>
      <w:r w:rsidR="00F332EA">
        <w:rPr>
          <w:color w:val="000000"/>
        </w:rPr>
        <w:t>kspertīzē jaunatklātā informācija</w:t>
      </w:r>
      <w:r w:rsidR="00D71F40">
        <w:rPr>
          <w:color w:val="000000"/>
        </w:rPr>
        <w:t xml:space="preserve"> </w:t>
      </w:r>
      <w:r w:rsidR="00F332EA">
        <w:rPr>
          <w:color w:val="000000"/>
        </w:rPr>
        <w:t xml:space="preserve">ir izvērtējama </w:t>
      </w:r>
      <w:r w:rsidR="00B60C18">
        <w:rPr>
          <w:color w:val="000000"/>
        </w:rPr>
        <w:t xml:space="preserve">gan attiecībā uz pārbaudāmo periodu </w:t>
      </w:r>
      <w:r w:rsidR="00D71F40">
        <w:rPr>
          <w:color w:val="000000"/>
        </w:rPr>
        <w:t>pirms</w:t>
      </w:r>
      <w:r w:rsidR="00B60C18">
        <w:rPr>
          <w:color w:val="000000"/>
        </w:rPr>
        <w:t xml:space="preserve"> 2019.gada, gan arī uz periodu, kas norādīts atlīdzības prasījuma iesniegumā</w:t>
      </w:r>
      <w:r w:rsidR="00D71F40">
        <w:rPr>
          <w:color w:val="000000"/>
        </w:rPr>
        <w:t xml:space="preserve">, ņemto vērā, ka jaunatklātā informācija </w:t>
      </w:r>
      <w:r w:rsidR="005566F6">
        <w:rPr>
          <w:color w:val="000000"/>
        </w:rPr>
        <w:t>kļuva</w:t>
      </w:r>
      <w:r w:rsidR="00D71F40">
        <w:rPr>
          <w:color w:val="000000"/>
        </w:rPr>
        <w:t xml:space="preserve"> zināma tikai ar ekspertīzes atzinumu</w:t>
      </w:r>
      <w:r w:rsidR="00B60C18">
        <w:rPr>
          <w:color w:val="000000"/>
        </w:rPr>
        <w:t>.</w:t>
      </w:r>
      <w:r w:rsidR="00D71F40">
        <w:rPr>
          <w:color w:val="000000"/>
        </w:rPr>
        <w:t xml:space="preserve"> Turklāt liet</w:t>
      </w:r>
      <w:r w:rsidR="008E343F">
        <w:rPr>
          <w:color w:val="000000"/>
        </w:rPr>
        <w:t>a</w:t>
      </w:r>
      <w:r w:rsidR="00D71F40">
        <w:rPr>
          <w:color w:val="000000"/>
        </w:rPr>
        <w:t xml:space="preserve"> ir saistīta ar tiesībām uz veselību</w:t>
      </w:r>
      <w:r w:rsidR="008E343F">
        <w:rPr>
          <w:color w:val="000000"/>
        </w:rPr>
        <w:t xml:space="preserve"> un medicīnisko palīdzību</w:t>
      </w:r>
      <w:r w:rsidR="00D71F40">
        <w:rPr>
          <w:color w:val="000000"/>
        </w:rPr>
        <w:t xml:space="preserve">, kas ir pietiekams pamats, lai </w:t>
      </w:r>
      <w:r w:rsidR="008E343F">
        <w:rPr>
          <w:color w:val="000000"/>
        </w:rPr>
        <w:t>konstatētu cilvēktiesības, kuru dēļ izņēmuma kārtā ir pieļaujama</w:t>
      </w:r>
      <w:r w:rsidR="00C63D4E">
        <w:rPr>
          <w:color w:val="000000"/>
        </w:rPr>
        <w:t>s</w:t>
      </w:r>
      <w:r w:rsidR="008E343F">
        <w:rPr>
          <w:color w:val="000000"/>
        </w:rPr>
        <w:t xml:space="preserve"> </w:t>
      </w:r>
      <w:r w:rsidR="00C63D4E">
        <w:rPr>
          <w:color w:val="000000"/>
        </w:rPr>
        <w:t xml:space="preserve">atkāpes no </w:t>
      </w:r>
      <w:r w:rsidR="008E343F">
        <w:rPr>
          <w:color w:val="000000"/>
        </w:rPr>
        <w:t>materiāltiesisk</w:t>
      </w:r>
      <w:r w:rsidR="00C96E53">
        <w:rPr>
          <w:color w:val="000000"/>
        </w:rPr>
        <w:t>a prekluzīva</w:t>
      </w:r>
      <w:r w:rsidR="008E343F">
        <w:rPr>
          <w:color w:val="000000"/>
        </w:rPr>
        <w:t xml:space="preserve"> termiņa </w:t>
      </w:r>
      <w:r w:rsidR="00C63D4E">
        <w:rPr>
          <w:color w:val="000000"/>
        </w:rPr>
        <w:t>ievērošanas</w:t>
      </w:r>
      <w:r w:rsidR="008E343F">
        <w:rPr>
          <w:color w:val="000000"/>
        </w:rPr>
        <w:t>.</w:t>
      </w:r>
    </w:p>
    <w:p w14:paraId="226AEF74" w14:textId="77777777" w:rsidR="0039710E" w:rsidRDefault="0039710E" w:rsidP="001F5358">
      <w:pPr>
        <w:spacing w:line="276" w:lineRule="auto"/>
        <w:ind w:firstLine="720"/>
        <w:jc w:val="both"/>
      </w:pPr>
    </w:p>
    <w:p w14:paraId="69ED8252" w14:textId="0AC2C7D0" w:rsidR="00826242" w:rsidRPr="00EC55A4" w:rsidRDefault="00826242" w:rsidP="001F5358">
      <w:pPr>
        <w:spacing w:line="276" w:lineRule="auto"/>
        <w:jc w:val="center"/>
        <w:rPr>
          <w:b/>
        </w:rPr>
      </w:pPr>
      <w:r w:rsidRPr="00EC55A4">
        <w:rPr>
          <w:b/>
        </w:rPr>
        <w:t>Motīvu daļa</w:t>
      </w:r>
    </w:p>
    <w:p w14:paraId="6A607D41" w14:textId="4EA5C78F" w:rsidR="00996B4F" w:rsidRDefault="00996B4F" w:rsidP="001F5358">
      <w:pPr>
        <w:spacing w:line="276" w:lineRule="auto"/>
        <w:jc w:val="both"/>
      </w:pPr>
    </w:p>
    <w:p w14:paraId="67F380A2" w14:textId="29038F4F" w:rsidR="00B86018" w:rsidRDefault="00996B4F" w:rsidP="001F5358">
      <w:pPr>
        <w:autoSpaceDE w:val="0"/>
        <w:autoSpaceDN w:val="0"/>
        <w:adjustRightInd w:val="0"/>
        <w:spacing w:line="276" w:lineRule="auto"/>
        <w:ind w:firstLine="720"/>
        <w:jc w:val="both"/>
      </w:pPr>
      <w:r>
        <w:t>[</w:t>
      </w:r>
      <w:r w:rsidR="008D359C">
        <w:t>5</w:t>
      </w:r>
      <w:r>
        <w:t>]</w:t>
      </w:r>
      <w:r w:rsidR="005566F6">
        <w:t> </w:t>
      </w:r>
      <w:r w:rsidR="00C63D4E" w:rsidRPr="00C63D4E">
        <w:t xml:space="preserve">Senātam jāizšķir, vai </w:t>
      </w:r>
      <w:r w:rsidR="00C63D4E">
        <w:t xml:space="preserve">gadījumā, kad lietas izskatīšanas laikā atklājas </w:t>
      </w:r>
      <w:r w:rsidR="00875943">
        <w:t xml:space="preserve">tāda </w:t>
      </w:r>
      <w:r w:rsidR="00C63D4E">
        <w:t>jauna informācija,</w:t>
      </w:r>
      <w:r w:rsidR="00875943">
        <w:t xml:space="preserve"> kas liecina par iespējamā kaitējuma cēloņa pastāvēšanu ārpus atlīdzības prasījumā norādītā ārst</w:t>
      </w:r>
      <w:r w:rsidR="005566F6">
        <w:t>ēšanas</w:t>
      </w:r>
      <w:r w:rsidR="00875943">
        <w:t xml:space="preserve"> perioda, ir pieļaujams paplašināt</w:t>
      </w:r>
      <w:r w:rsidR="006C1501">
        <w:t xml:space="preserve"> </w:t>
      </w:r>
      <w:r w:rsidR="00875943">
        <w:t>vērtējam</w:t>
      </w:r>
      <w:r w:rsidR="00393C3F">
        <w:t>o</w:t>
      </w:r>
      <w:r w:rsidR="00875943">
        <w:t xml:space="preserve"> ārstēšanas period</w:t>
      </w:r>
      <w:r w:rsidR="00393C3F">
        <w:t>u</w:t>
      </w:r>
      <w:r w:rsidR="00B777E3">
        <w:t xml:space="preserve">, un kā šādā gadījumā ir vērtējams </w:t>
      </w:r>
      <w:r w:rsidR="00DE27FC">
        <w:t>iesnieguma vai pieteikuma</w:t>
      </w:r>
      <w:r w:rsidR="00B777E3">
        <w:t xml:space="preserve"> iesniegšanas termiņa nokavējums</w:t>
      </w:r>
      <w:r w:rsidR="00875943">
        <w:t>.</w:t>
      </w:r>
    </w:p>
    <w:p w14:paraId="3BB2DAE1" w14:textId="77777777" w:rsidR="00A6443C" w:rsidRDefault="00A6443C" w:rsidP="001F5358">
      <w:pPr>
        <w:autoSpaceDE w:val="0"/>
        <w:autoSpaceDN w:val="0"/>
        <w:adjustRightInd w:val="0"/>
        <w:spacing w:line="276" w:lineRule="auto"/>
        <w:ind w:firstLine="720"/>
        <w:jc w:val="both"/>
      </w:pPr>
    </w:p>
    <w:p w14:paraId="75E72B71" w14:textId="4EE7E85A" w:rsidR="00A6443C" w:rsidRDefault="00A6443C" w:rsidP="001F5358">
      <w:pPr>
        <w:autoSpaceDE w:val="0"/>
        <w:autoSpaceDN w:val="0"/>
        <w:adjustRightInd w:val="0"/>
        <w:spacing w:line="276" w:lineRule="auto"/>
        <w:ind w:firstLine="720"/>
        <w:jc w:val="both"/>
        <w:rPr>
          <w:color w:val="000000"/>
        </w:rPr>
      </w:pPr>
      <w:r>
        <w:t>[6]</w:t>
      </w:r>
      <w:r w:rsidR="005566F6">
        <w:t> </w:t>
      </w:r>
      <w:r w:rsidR="006C1501">
        <w:t xml:space="preserve">Sākumā ir </w:t>
      </w:r>
      <w:r w:rsidR="00B15BA9">
        <w:t>noskaidrojams, vai</w:t>
      </w:r>
      <w:r w:rsidR="006C1501">
        <w:t xml:space="preserve"> </w:t>
      </w:r>
      <w:r w:rsidR="006C1501">
        <w:rPr>
          <w:color w:val="000000"/>
        </w:rPr>
        <w:t>Pacientu tiesību likuma 16.panta piektajā daļā noteikt</w:t>
      </w:r>
      <w:r w:rsidR="00B15BA9">
        <w:rPr>
          <w:color w:val="000000"/>
        </w:rPr>
        <w:t>ais</w:t>
      </w:r>
      <w:r w:rsidR="006C1501">
        <w:rPr>
          <w:color w:val="000000"/>
        </w:rPr>
        <w:t xml:space="preserve"> termiņ</w:t>
      </w:r>
      <w:r w:rsidR="00B15BA9">
        <w:rPr>
          <w:color w:val="000000"/>
        </w:rPr>
        <w:t>š</w:t>
      </w:r>
      <w:r w:rsidR="00393C3F">
        <w:rPr>
          <w:color w:val="000000"/>
        </w:rPr>
        <w:t xml:space="preserve"> atlīdzības prasījuma iesniegšanai</w:t>
      </w:r>
      <w:r w:rsidR="006C1501">
        <w:rPr>
          <w:color w:val="000000"/>
        </w:rPr>
        <w:t xml:space="preserve"> </w:t>
      </w:r>
      <w:r w:rsidR="00B15BA9">
        <w:rPr>
          <w:color w:val="000000"/>
        </w:rPr>
        <w:t>ir</w:t>
      </w:r>
      <w:r w:rsidR="006C1501">
        <w:rPr>
          <w:color w:val="000000"/>
        </w:rPr>
        <w:t xml:space="preserve"> šķērsli</w:t>
      </w:r>
      <w:r w:rsidR="00B15BA9">
        <w:rPr>
          <w:color w:val="000000"/>
        </w:rPr>
        <w:t>s</w:t>
      </w:r>
      <w:r w:rsidR="006C1501">
        <w:rPr>
          <w:color w:val="000000"/>
        </w:rPr>
        <w:t xml:space="preserve"> pieteicējas tiesībām iesniegt pieteikuma papildinājumus, kuros pēc</w:t>
      </w:r>
      <w:r w:rsidR="00393C3F">
        <w:rPr>
          <w:color w:val="000000"/>
        </w:rPr>
        <w:t xml:space="preserve"> </w:t>
      </w:r>
      <w:r w:rsidR="006C1501">
        <w:rPr>
          <w:color w:val="000000"/>
        </w:rPr>
        <w:t xml:space="preserve">būtības lūgts paplašināt </w:t>
      </w:r>
      <w:r w:rsidR="004129CC">
        <w:rPr>
          <w:color w:val="000000"/>
        </w:rPr>
        <w:t>vērtējam</w:t>
      </w:r>
      <w:r w:rsidR="00393C3F">
        <w:rPr>
          <w:color w:val="000000"/>
        </w:rPr>
        <w:t>o</w:t>
      </w:r>
      <w:r w:rsidR="004129CC">
        <w:rPr>
          <w:color w:val="000000"/>
        </w:rPr>
        <w:t xml:space="preserve"> ārstēšanas period</w:t>
      </w:r>
      <w:r w:rsidR="00393C3F">
        <w:rPr>
          <w:color w:val="000000"/>
        </w:rPr>
        <w:t>u</w:t>
      </w:r>
      <w:r w:rsidR="004129CC">
        <w:rPr>
          <w:color w:val="000000"/>
        </w:rPr>
        <w:t>.</w:t>
      </w:r>
    </w:p>
    <w:p w14:paraId="5A265877" w14:textId="7E020975" w:rsidR="00992CC5" w:rsidRDefault="00B777E3" w:rsidP="001F5358">
      <w:pPr>
        <w:autoSpaceDE w:val="0"/>
        <w:autoSpaceDN w:val="0"/>
        <w:adjustRightInd w:val="0"/>
        <w:spacing w:line="276" w:lineRule="auto"/>
        <w:ind w:firstLine="720"/>
        <w:jc w:val="both"/>
        <w:rPr>
          <w:color w:val="000000"/>
        </w:rPr>
      </w:pPr>
      <w:r>
        <w:rPr>
          <w:color w:val="000000"/>
        </w:rPr>
        <w:t>Pacientu tiesību likuma 16.panta piektā daļa paredz, ka p</w:t>
      </w:r>
      <w:r w:rsidRPr="00B777E3">
        <w:rPr>
          <w:color w:val="000000"/>
        </w:rPr>
        <w:t xml:space="preserve">acients atlīdzību par viņa dzīvībai vai veselībai nodarīto kaitējumu, kā arī par ārstniecības izdevumiem no Ārstniecības riska fonda pieprasa ne vēlāk kā divu gadu laikā no kaitējuma atklāšanas dienas, taču ne vēlāk kā triju gadu laikā no tā nodarīšanas dienas. </w:t>
      </w:r>
      <w:r w:rsidR="00992CC5">
        <w:rPr>
          <w:color w:val="000000"/>
        </w:rPr>
        <w:t>Tiesnesis ir pamatoti konstatējis, ka Pacientu tiesību likuma 16.panta piektajā daļā noteiktais termiņš atlīdzības prasījuma iesniegšanai ir materiāltiesisks termiņš</w:t>
      </w:r>
      <w:r w:rsidR="009E1F13">
        <w:rPr>
          <w:color w:val="000000"/>
        </w:rPr>
        <w:t>, t</w:t>
      </w:r>
      <w:r w:rsidR="00992CC5">
        <w:rPr>
          <w:color w:val="000000"/>
        </w:rPr>
        <w:t xml:space="preserve">omēr Senāts nepiekrīt, ka izskatāmajā lietā </w:t>
      </w:r>
      <w:r w:rsidR="009E1F13">
        <w:rPr>
          <w:color w:val="000000"/>
        </w:rPr>
        <w:t>nav saskatāms pamats prioritāti piešķirt pieteicējas cilvēktiesību ievērošanai.</w:t>
      </w:r>
    </w:p>
    <w:p w14:paraId="6A224ADD" w14:textId="1D347BAF" w:rsidR="0030661B" w:rsidRDefault="009F1CF8" w:rsidP="001F5358">
      <w:pPr>
        <w:autoSpaceDE w:val="0"/>
        <w:autoSpaceDN w:val="0"/>
        <w:adjustRightInd w:val="0"/>
        <w:spacing w:line="276" w:lineRule="auto"/>
        <w:ind w:firstLine="720"/>
        <w:jc w:val="both"/>
        <w:rPr>
          <w:color w:val="000000"/>
        </w:rPr>
      </w:pPr>
      <w:r>
        <w:rPr>
          <w:color w:val="000000"/>
        </w:rPr>
        <w:t xml:space="preserve">Senāta judikatūrā jau iepriekš ir atzīts, ka materiāltiesiska termiņa nokavējums neizslēdz tiesas pienākumu apsvērt, </w:t>
      </w:r>
      <w:r w:rsidRPr="009F1CF8">
        <w:rPr>
          <w:color w:val="000000"/>
        </w:rPr>
        <w:t xml:space="preserve">vai konkrētajā gadījumā kādas personai piemītošas cilvēktiesības ievērošana neņem virsroku pār materiālajā tiesību normā noteiktas </w:t>
      </w:r>
      <w:r w:rsidRPr="009F1CF8">
        <w:rPr>
          <w:color w:val="000000"/>
        </w:rPr>
        <w:lastRenderedPageBreak/>
        <w:t>procesuālās kārtības ievērošanu</w:t>
      </w:r>
      <w:r w:rsidR="0030661B">
        <w:rPr>
          <w:color w:val="000000"/>
        </w:rPr>
        <w:t xml:space="preserve"> </w:t>
      </w:r>
      <w:r w:rsidR="0030661B" w:rsidRPr="005B274D">
        <w:t>(</w:t>
      </w:r>
      <w:r w:rsidR="0030661B" w:rsidRPr="00155620">
        <w:rPr>
          <w:i/>
          <w:iCs/>
        </w:rPr>
        <w:t>Senāta 20</w:t>
      </w:r>
      <w:r w:rsidR="0030661B">
        <w:rPr>
          <w:i/>
          <w:iCs/>
        </w:rPr>
        <w:t>10</w:t>
      </w:r>
      <w:r w:rsidR="0030661B" w:rsidRPr="00155620">
        <w:rPr>
          <w:i/>
          <w:iCs/>
        </w:rPr>
        <w:t xml:space="preserve">.gada </w:t>
      </w:r>
      <w:r w:rsidR="0030661B">
        <w:rPr>
          <w:i/>
          <w:iCs/>
        </w:rPr>
        <w:t>20</w:t>
      </w:r>
      <w:r w:rsidR="0030661B" w:rsidRPr="00155620">
        <w:rPr>
          <w:i/>
          <w:iCs/>
        </w:rPr>
        <w:t>.</w:t>
      </w:r>
      <w:r w:rsidR="0030661B">
        <w:rPr>
          <w:i/>
          <w:iCs/>
        </w:rPr>
        <w:t>septembr</w:t>
      </w:r>
      <w:r w:rsidR="0030661B" w:rsidRPr="00155620">
        <w:rPr>
          <w:i/>
          <w:iCs/>
        </w:rPr>
        <w:t xml:space="preserve">a </w:t>
      </w:r>
      <w:r w:rsidR="001F1677">
        <w:rPr>
          <w:i/>
          <w:iCs/>
        </w:rPr>
        <w:t>lēmums</w:t>
      </w:r>
      <w:r w:rsidR="0030661B" w:rsidRPr="00155620">
        <w:rPr>
          <w:i/>
          <w:iCs/>
        </w:rPr>
        <w:t xml:space="preserve"> lietā Nr.</w:t>
      </w:r>
      <w:r w:rsidR="000F5967">
        <w:rPr>
          <w:i/>
          <w:iCs/>
        </w:rPr>
        <w:t> </w:t>
      </w:r>
      <w:hyperlink r:id="rId7" w:history="1">
        <w:r w:rsidR="0030661B" w:rsidRPr="0030661B">
          <w:rPr>
            <w:rStyle w:val="Hyperlink"/>
            <w:i/>
            <w:iCs/>
          </w:rPr>
          <w:t>SKA</w:t>
        </w:r>
        <w:r w:rsidR="000F5967">
          <w:rPr>
            <w:rStyle w:val="Hyperlink"/>
            <w:i/>
            <w:iCs/>
          </w:rPr>
          <w:noBreakHyphen/>
        </w:r>
        <w:r w:rsidR="0030661B" w:rsidRPr="0030661B">
          <w:rPr>
            <w:rStyle w:val="Hyperlink"/>
            <w:i/>
            <w:iCs/>
          </w:rPr>
          <w:t>755/2010</w:t>
        </w:r>
      </w:hyperlink>
      <w:r w:rsidR="0030661B">
        <w:rPr>
          <w:i/>
          <w:iCs/>
        </w:rPr>
        <w:t xml:space="preserve">, </w:t>
      </w:r>
      <w:r w:rsidR="0030661B" w:rsidRPr="0030661B">
        <w:rPr>
          <w:i/>
          <w:iCs/>
        </w:rPr>
        <w:t>A70121105</w:t>
      </w:r>
      <w:r w:rsidR="0030661B">
        <w:rPr>
          <w:i/>
          <w:iCs/>
        </w:rPr>
        <w:t>,</w:t>
      </w:r>
      <w:r w:rsidR="0030661B" w:rsidRPr="00155620">
        <w:rPr>
          <w:i/>
          <w:iCs/>
        </w:rPr>
        <w:t xml:space="preserve"> </w:t>
      </w:r>
      <w:r w:rsidR="0030661B">
        <w:rPr>
          <w:i/>
          <w:iCs/>
        </w:rPr>
        <w:t>7</w:t>
      </w:r>
      <w:r w:rsidR="0030661B" w:rsidRPr="00155620">
        <w:rPr>
          <w:i/>
          <w:iCs/>
        </w:rPr>
        <w:t>.punkts</w:t>
      </w:r>
      <w:r w:rsidR="0030661B" w:rsidRPr="005B274D">
        <w:rPr>
          <w:iCs/>
        </w:rPr>
        <w:t>)</w:t>
      </w:r>
      <w:r w:rsidR="0030661B">
        <w:rPr>
          <w:color w:val="000000"/>
        </w:rPr>
        <w:t>.</w:t>
      </w:r>
    </w:p>
    <w:p w14:paraId="6FBFAFBA" w14:textId="32AC7674" w:rsidR="00907F82" w:rsidRPr="0030661B" w:rsidRDefault="00B15BA9" w:rsidP="001F5358">
      <w:pPr>
        <w:autoSpaceDE w:val="0"/>
        <w:autoSpaceDN w:val="0"/>
        <w:adjustRightInd w:val="0"/>
        <w:spacing w:line="276" w:lineRule="auto"/>
        <w:ind w:firstLine="720"/>
        <w:jc w:val="both"/>
        <w:rPr>
          <w:color w:val="000000"/>
        </w:rPr>
      </w:pPr>
      <w:r>
        <w:t xml:space="preserve">Ārstniecības riska fonds ir veidots kā </w:t>
      </w:r>
      <w:r w:rsidRPr="00BC4B58">
        <w:t>pacientu tiesību aizsardzības institūts</w:t>
      </w:r>
      <w:r>
        <w:t xml:space="preserve"> </w:t>
      </w:r>
      <w:r w:rsidRPr="00886ECF">
        <w:t>(</w:t>
      </w:r>
      <w:r w:rsidRPr="00886ECF">
        <w:rPr>
          <w:i/>
        </w:rPr>
        <w:t xml:space="preserve">Ministru kabineta </w:t>
      </w:r>
      <w:r w:rsidR="00A70E33" w:rsidRPr="00886ECF">
        <w:rPr>
          <w:i/>
        </w:rPr>
        <w:t>2013.gada 5.novembra noteikumu Nr.</w:t>
      </w:r>
      <w:r w:rsidR="00A85794">
        <w:rPr>
          <w:i/>
        </w:rPr>
        <w:t> </w:t>
      </w:r>
      <w:r w:rsidR="00A70E33" w:rsidRPr="00886ECF">
        <w:rPr>
          <w:i/>
        </w:rPr>
        <w:t xml:space="preserve">1268 </w:t>
      </w:r>
      <w:r w:rsidRPr="00886ECF">
        <w:rPr>
          <w:i/>
        </w:rPr>
        <w:t>„Ārstniecības riska fonda darbības noteikumi”</w:t>
      </w:r>
      <w:hyperlink r:id="rId8" w:history="1">
        <w:r w:rsidRPr="00886ECF">
          <w:rPr>
            <w:rStyle w:val="Hyperlink"/>
            <w:i/>
          </w:rPr>
          <w:t>anotācija</w:t>
        </w:r>
      </w:hyperlink>
      <w:r w:rsidRPr="00886ECF">
        <w:t>)</w:t>
      </w:r>
      <w:r w:rsidR="00E32BB3" w:rsidRPr="00886ECF">
        <w:t>.</w:t>
      </w:r>
      <w:r w:rsidR="00E32BB3">
        <w:t xml:space="preserve"> Pacientam, kā arī tā mantin</w:t>
      </w:r>
      <w:r w:rsidR="0058682E">
        <w:t>iekam (pacienta nāves gadījumā (</w:t>
      </w:r>
      <w:r w:rsidR="0058682E" w:rsidRPr="0058682E">
        <w:rPr>
          <w:i/>
          <w:iCs/>
        </w:rPr>
        <w:t>Ārstniecības riska fonda noteikumu</w:t>
      </w:r>
      <w:r w:rsidR="0058682E">
        <w:rPr>
          <w:i/>
          <w:iCs/>
        </w:rPr>
        <w:t xml:space="preserve"> </w:t>
      </w:r>
      <w:r w:rsidR="0058682E" w:rsidRPr="0058682E">
        <w:rPr>
          <w:i/>
          <w:iCs/>
        </w:rPr>
        <w:t>3.</w:t>
      </w:r>
      <w:r w:rsidR="0058682E" w:rsidRPr="0058682E">
        <w:rPr>
          <w:i/>
          <w:iCs/>
          <w:sz w:val="22"/>
          <w:szCs w:val="22"/>
          <w:vertAlign w:val="superscript"/>
        </w:rPr>
        <w:t>1</w:t>
      </w:r>
      <w:r w:rsidR="0058682E">
        <w:rPr>
          <w:i/>
          <w:iCs/>
          <w:sz w:val="22"/>
          <w:szCs w:val="22"/>
        </w:rPr>
        <w:t>pants</w:t>
      </w:r>
      <w:r w:rsidR="0058682E">
        <w:t>)</w:t>
      </w:r>
      <w:r w:rsidR="00E32BB3">
        <w:t xml:space="preserve"> </w:t>
      </w:r>
      <w:r w:rsidR="007D5668">
        <w:t xml:space="preserve">atbilstoši Pacientu tiesību likuma 16.panta pirmajai un otrajai daļai ir tiesības uz atlīdzību no Ārstniecības riska fonda par dzīvībai vai veselībai nodarīto kaitējumu (arī morālo kaitējumu), </w:t>
      </w:r>
      <w:r w:rsidR="007D5668" w:rsidRPr="007D5668">
        <w:t>kuru ar savu darbību vai bezdarbību nodarījušas ārstniecības iestādē strādājošās ārstniecības personas vai radījuši apstākļi ārstniecības laikā</w:t>
      </w:r>
      <w:r w:rsidR="007D5668">
        <w:t>. Ir secināms, ka šis normatīv</w:t>
      </w:r>
      <w:r w:rsidR="00966581">
        <w:t>ais</w:t>
      </w:r>
      <w:r w:rsidR="007D5668">
        <w:t xml:space="preserve"> regulējum</w:t>
      </w:r>
      <w:r w:rsidR="00966581">
        <w:t>s</w:t>
      </w:r>
      <w:r w:rsidR="007D5668">
        <w:t xml:space="preserve"> </w:t>
      </w:r>
      <w:r w:rsidR="00090B33">
        <w:t xml:space="preserve">palīdz īstenot </w:t>
      </w:r>
      <w:r w:rsidR="000F1897">
        <w:t xml:space="preserve">Latvijas Republikas </w:t>
      </w:r>
      <w:r w:rsidR="007D5668">
        <w:t xml:space="preserve">Satversmes </w:t>
      </w:r>
      <w:r w:rsidR="000F1897">
        <w:t xml:space="preserve">(turpmāk – Satversme) </w:t>
      </w:r>
      <w:r w:rsidR="007D5668">
        <w:t>111.pantā garantē</w:t>
      </w:r>
      <w:r w:rsidR="00090B33">
        <w:t>to</w:t>
      </w:r>
      <w:r w:rsidR="007D5668">
        <w:t xml:space="preserve"> tiesīb</w:t>
      </w:r>
      <w:r w:rsidR="00090B33">
        <w:t>u</w:t>
      </w:r>
      <w:r w:rsidR="007D5668">
        <w:t xml:space="preserve"> uz veselību un 92.panta treš</w:t>
      </w:r>
      <w:r w:rsidR="00AE3729">
        <w:t>ajā</w:t>
      </w:r>
      <w:r w:rsidR="007D5668">
        <w:t xml:space="preserve"> teikum</w:t>
      </w:r>
      <w:r w:rsidR="00090B33">
        <w:t>ā garantēto</w:t>
      </w:r>
      <w:r w:rsidR="007D5668">
        <w:t xml:space="preserve"> tiesību </w:t>
      </w:r>
      <w:r w:rsidR="00090B33">
        <w:t>uz atbilstīgu atlīdzinājumu tiesību aizskāruma gadījumā ievērošanu.</w:t>
      </w:r>
    </w:p>
    <w:p w14:paraId="552D302D" w14:textId="18245A76" w:rsidR="00966581" w:rsidRDefault="00966581" w:rsidP="001F5358">
      <w:pPr>
        <w:autoSpaceDE w:val="0"/>
        <w:autoSpaceDN w:val="0"/>
        <w:adjustRightInd w:val="0"/>
        <w:spacing w:line="276" w:lineRule="auto"/>
        <w:ind w:firstLine="720"/>
        <w:jc w:val="both"/>
      </w:pPr>
      <w:r>
        <w:t>Senāts norāda, ka</w:t>
      </w:r>
      <w:r w:rsidR="000F1897">
        <w:t>,</w:t>
      </w:r>
      <w:r>
        <w:t xml:space="preserve"> tā kā liet</w:t>
      </w:r>
      <w:r w:rsidR="002E2BF4">
        <w:t>a</w:t>
      </w:r>
      <w:r>
        <w:t xml:space="preserve">s par atlīdzības izmaksu no Ārstniecības riska fonda ir </w:t>
      </w:r>
      <w:r w:rsidR="002E2BF4">
        <w:t>cieši saistītas ar Satversmē garantētu cilvēktiesību īstenošanu</w:t>
      </w:r>
      <w:r>
        <w:t xml:space="preserve">, nav pieļaujama situācija, kurā materiāltiesiska termiņa </w:t>
      </w:r>
      <w:r w:rsidR="002E2BF4">
        <w:t xml:space="preserve">nokavējuma </w:t>
      </w:r>
      <w:r>
        <w:t>dēļ personai ti</w:t>
      </w:r>
      <w:r w:rsidR="002E2BF4">
        <w:t>ktu</w:t>
      </w:r>
      <w:r>
        <w:t xml:space="preserve"> liegtas tiesības uz </w:t>
      </w:r>
      <w:r w:rsidR="002E2BF4">
        <w:t xml:space="preserve">atbilstošu atlīdzinājumu, ja termiņa nokavējums nav saistīts ar pašas personas rīcību. Situācijās, kad </w:t>
      </w:r>
      <w:r w:rsidR="00321F01">
        <w:t xml:space="preserve">jau uzsāktas </w:t>
      </w:r>
      <w:r w:rsidR="002E2BF4">
        <w:t>liet</w:t>
      </w:r>
      <w:r w:rsidR="00321F01">
        <w:t>as</w:t>
      </w:r>
      <w:r w:rsidR="002E2BF4">
        <w:t xml:space="preserve"> izskatīšanas laikā </w:t>
      </w:r>
      <w:r w:rsidR="000F1897">
        <w:t xml:space="preserve">par ārstniecības procesā iespējami pieļautiem pārkāpumiem </w:t>
      </w:r>
      <w:r w:rsidR="002E2BF4">
        <w:t>atklājas jauna informācija,</w:t>
      </w:r>
      <w:r w:rsidR="004B5DA4">
        <w:t xml:space="preserve"> </w:t>
      </w:r>
      <w:r w:rsidR="00321F01">
        <w:t>k</w:t>
      </w:r>
      <w:r w:rsidR="00AE3729">
        <w:t>ur</w:t>
      </w:r>
      <w:r w:rsidR="00E62576">
        <w:t>as</w:t>
      </w:r>
      <w:r w:rsidR="00321F01">
        <w:t xml:space="preserve"> konstatēšanai nepieciešamas īpaši augstas profesionālās zināšanas un</w:t>
      </w:r>
      <w:r w:rsidR="002E2BF4">
        <w:t xml:space="preserve"> kas norāda uz nepieciešamību paplašināt vērtējamo ārstēšanas periodu,</w:t>
      </w:r>
      <w:r w:rsidR="00321F01">
        <w:t xml:space="preserve"> </w:t>
      </w:r>
      <w:r w:rsidR="00A80245">
        <w:t xml:space="preserve">personai piemītošo cilvēktiesību ievērošanai ir virsroka pār procesuālās kārtības ievērošanu </w:t>
      </w:r>
      <w:r w:rsidR="00D24131" w:rsidRPr="00C04650">
        <w:rPr>
          <w:rFonts w:asciiTheme="majorBidi" w:hAnsiTheme="majorBidi" w:cstheme="majorBidi"/>
          <w:color w:val="000000" w:themeColor="text1"/>
        </w:rPr>
        <w:t xml:space="preserve">(sal. </w:t>
      </w:r>
      <w:r w:rsidR="00D24131" w:rsidRPr="00C04650">
        <w:rPr>
          <w:rFonts w:asciiTheme="majorBidi" w:hAnsiTheme="majorBidi" w:cstheme="majorBidi"/>
          <w:i/>
          <w:iCs/>
          <w:color w:val="000000" w:themeColor="text1"/>
        </w:rPr>
        <w:t>Eiropas Cilvēktiesību tiesas 2013.gada 17.septembra sprieduma lietā „Eşim v. Turkey”, iesnieguma Nr.</w:t>
      </w:r>
      <w:r w:rsidR="00D24131">
        <w:rPr>
          <w:rFonts w:asciiTheme="majorBidi" w:hAnsiTheme="majorBidi" w:cstheme="majorBidi"/>
          <w:i/>
          <w:iCs/>
          <w:color w:val="000000" w:themeColor="text1"/>
        </w:rPr>
        <w:t> </w:t>
      </w:r>
      <w:hyperlink r:id="rId9" w:history="1">
        <w:r w:rsidR="00D24131" w:rsidRPr="00BD26D9">
          <w:rPr>
            <w:rStyle w:val="Hyperlink"/>
            <w:rFonts w:asciiTheme="majorBidi" w:hAnsiTheme="majorBidi" w:cstheme="majorBidi"/>
            <w:i/>
            <w:iCs/>
          </w:rPr>
          <w:t>59601/09</w:t>
        </w:r>
      </w:hyperlink>
      <w:r w:rsidR="00D24131" w:rsidRPr="00C04650">
        <w:rPr>
          <w:rFonts w:asciiTheme="majorBidi" w:hAnsiTheme="majorBidi" w:cstheme="majorBidi"/>
          <w:i/>
          <w:iCs/>
          <w:color w:val="000000" w:themeColor="text1"/>
        </w:rPr>
        <w:t>, 25.punkt</w:t>
      </w:r>
      <w:r w:rsidR="00D24131">
        <w:rPr>
          <w:rFonts w:asciiTheme="majorBidi" w:hAnsiTheme="majorBidi" w:cstheme="majorBidi"/>
          <w:i/>
          <w:iCs/>
          <w:color w:val="000000" w:themeColor="text1"/>
        </w:rPr>
        <w:t>s</w:t>
      </w:r>
      <w:r w:rsidR="00D24131" w:rsidRPr="00C04650">
        <w:rPr>
          <w:rFonts w:asciiTheme="majorBidi" w:hAnsiTheme="majorBidi" w:cstheme="majorBidi"/>
          <w:color w:val="000000" w:themeColor="text1"/>
        </w:rPr>
        <w:t>)</w:t>
      </w:r>
      <w:r w:rsidR="00321F01">
        <w:t>.</w:t>
      </w:r>
    </w:p>
    <w:p w14:paraId="4AB3A02B" w14:textId="5E875DEC" w:rsidR="00321F01" w:rsidRDefault="00321F01" w:rsidP="001F5358">
      <w:pPr>
        <w:autoSpaceDE w:val="0"/>
        <w:autoSpaceDN w:val="0"/>
        <w:adjustRightInd w:val="0"/>
        <w:spacing w:line="276" w:lineRule="auto"/>
        <w:ind w:firstLine="720"/>
        <w:jc w:val="both"/>
      </w:pPr>
      <w:r>
        <w:t>Izskatāmajā lietā informācija par iespējamu pārkāpumu ārstniecības procesā</w:t>
      </w:r>
      <w:r w:rsidR="00EC2F3A">
        <w:t>,</w:t>
      </w:r>
      <w:r>
        <w:t xml:space="preserve"> pieteicējas mātei nediagnosticējot Parkinsona slimību</w:t>
      </w:r>
      <w:r w:rsidR="00EC2F3A">
        <w:t>, tika at</w:t>
      </w:r>
      <w:r w:rsidR="00BD3FB8">
        <w:t>klāta tikai tiesas nozīmēt</w:t>
      </w:r>
      <w:r w:rsidR="00E62576">
        <w:t>ā</w:t>
      </w:r>
      <w:r w:rsidR="00BD3FB8">
        <w:t>s ekspertīzes laikā. Līdz ar to ir secināms, ka no pieteicējas kā personas, kurai nav padziļinātas zināšanas medicīnā, sākotnēji iesniedzot atlīdzības prasījuma iesniegumu, nevarēja sagaidīt, ka tā spēs paredzēt nepieciešamību vērtē</w:t>
      </w:r>
      <w:r w:rsidR="00A84BF3">
        <w:t>t</w:t>
      </w:r>
      <w:r w:rsidR="00BD3FB8">
        <w:t xml:space="preserve"> </w:t>
      </w:r>
      <w:r w:rsidR="00A84BF3">
        <w:t xml:space="preserve">arī </w:t>
      </w:r>
      <w:r w:rsidR="00BD3FB8">
        <w:t>ārstēšanas period</w:t>
      </w:r>
      <w:r w:rsidR="00A84BF3">
        <w:t>u</w:t>
      </w:r>
      <w:r w:rsidR="00BD3FB8">
        <w:t xml:space="preserve"> </w:t>
      </w:r>
      <w:r w:rsidR="00A84BF3">
        <w:t>pirms 2019.gada.</w:t>
      </w:r>
    </w:p>
    <w:p w14:paraId="23203AC3" w14:textId="45AF2760" w:rsidR="00321F01" w:rsidRDefault="00321F01" w:rsidP="001F5358">
      <w:pPr>
        <w:autoSpaceDE w:val="0"/>
        <w:autoSpaceDN w:val="0"/>
        <w:adjustRightInd w:val="0"/>
        <w:spacing w:line="276" w:lineRule="auto"/>
        <w:ind w:firstLine="720"/>
        <w:jc w:val="both"/>
      </w:pPr>
      <w:r>
        <w:t>Ņemot vērā</w:t>
      </w:r>
      <w:r w:rsidR="00F32980">
        <w:t xml:space="preserve"> </w:t>
      </w:r>
      <w:r>
        <w:t xml:space="preserve">minēto, </w:t>
      </w:r>
      <w:r w:rsidR="00AE3729">
        <w:t>Senāts piekrīt pieteicējas argumentam par cilvēktiesību ievērošanas prioritāti</w:t>
      </w:r>
      <w:r w:rsidR="005E5A99">
        <w:t xml:space="preserve">, tādējādi </w:t>
      </w:r>
      <w:r>
        <w:t>termiņa nokavējums nav pamats</w:t>
      </w:r>
      <w:r w:rsidR="00BD3FB8">
        <w:t>, lai</w:t>
      </w:r>
      <w:r>
        <w:t xml:space="preserve"> </w:t>
      </w:r>
      <w:r w:rsidR="005E5A99">
        <w:t xml:space="preserve">šajos apstākļos </w:t>
      </w:r>
      <w:r>
        <w:t>atteikt</w:t>
      </w:r>
      <w:r w:rsidR="00BD3FB8">
        <w:t>u</w:t>
      </w:r>
      <w:r>
        <w:t xml:space="preserve"> pieņemt pieteikuma papildinājumus.</w:t>
      </w:r>
    </w:p>
    <w:p w14:paraId="3C2B4943" w14:textId="77777777" w:rsidR="00B15BA9" w:rsidRDefault="00B15BA9" w:rsidP="001F5358">
      <w:pPr>
        <w:autoSpaceDE w:val="0"/>
        <w:autoSpaceDN w:val="0"/>
        <w:adjustRightInd w:val="0"/>
        <w:spacing w:line="276" w:lineRule="auto"/>
        <w:ind w:firstLine="720"/>
        <w:jc w:val="both"/>
      </w:pPr>
    </w:p>
    <w:p w14:paraId="18E40209" w14:textId="48E7426F" w:rsidR="003441DC" w:rsidRDefault="00B86018" w:rsidP="001F5358">
      <w:pPr>
        <w:autoSpaceDE w:val="0"/>
        <w:autoSpaceDN w:val="0"/>
        <w:adjustRightInd w:val="0"/>
        <w:spacing w:line="276" w:lineRule="auto"/>
        <w:ind w:firstLine="720"/>
        <w:jc w:val="both"/>
      </w:pPr>
      <w:r>
        <w:t>[</w:t>
      </w:r>
      <w:r w:rsidR="00A6443C">
        <w:t>7</w:t>
      </w:r>
      <w:r>
        <w:t>]</w:t>
      </w:r>
      <w:r w:rsidR="009B0E69">
        <w:t> </w:t>
      </w:r>
      <w:r w:rsidR="00A84BF3">
        <w:t>Senāts nepiekrīt tiesneša argumentam, ka pieteikuma papildinājumu pieņemšanas atteikuma pamats varētu būt arī ārpustiesas izskatīšanas kārtības neievērošana.</w:t>
      </w:r>
    </w:p>
    <w:p w14:paraId="67F8A85B" w14:textId="46E92F2E" w:rsidR="00AB74A2" w:rsidRPr="00155620" w:rsidRDefault="008836F8" w:rsidP="001F5358">
      <w:pPr>
        <w:autoSpaceDE w:val="0"/>
        <w:autoSpaceDN w:val="0"/>
        <w:adjustRightInd w:val="0"/>
        <w:spacing w:line="276" w:lineRule="auto"/>
        <w:ind w:firstLine="720"/>
        <w:jc w:val="both"/>
        <w:rPr>
          <w:i/>
        </w:rPr>
      </w:pPr>
      <w:r>
        <w:t xml:space="preserve">Atbilstoši </w:t>
      </w:r>
      <w:r w:rsidR="00A84BF3">
        <w:t>Pacientu tiesību likuma 16.panta trešajai daļai Ministru kabinets nosaka kārtību</w:t>
      </w:r>
      <w:r>
        <w:t>,</w:t>
      </w:r>
      <w:r w:rsidR="00A84BF3">
        <w:t xml:space="preserve"> kādā pieprasa atlīdzību no Ārstniecības riska </w:t>
      </w:r>
      <w:r w:rsidR="00AB74A2">
        <w:t xml:space="preserve">fonda par pacienta dzīvībai un veselībai nodarīto kaitējumu. Uz likumā noteiktā deleģējuma pamata Ārstniecības riska fonda noteikumi to 3.punktā paredz atlīdzības prasījuma iesnieguma aizpildīšanu. Lai gan vispārīgā gadījumā tieši atlīdzības prasītāja ziņā ir norādīt ārstēšanas periodu, veselības aprūpes pakalpojumus un citus apstākļus, kas vērtējami, lemjot par atlīdzības izmaksu, tomēr šis atlīdzības prasītāja pienākums nav </w:t>
      </w:r>
      <w:r w:rsidR="00DF6964">
        <w:t>skatāms</w:t>
      </w:r>
      <w:r w:rsidR="00AB74A2">
        <w:t xml:space="preserve"> formāli</w:t>
      </w:r>
      <w:r w:rsidR="00155620">
        <w:t xml:space="preserve"> </w:t>
      </w:r>
      <w:r w:rsidR="00155620" w:rsidRPr="005B274D">
        <w:t>(</w:t>
      </w:r>
      <w:r w:rsidR="00155620" w:rsidRPr="00155620">
        <w:rPr>
          <w:i/>
          <w:iCs/>
        </w:rPr>
        <w:t>Senāta 2022.gada 30.augusta sprieduma lietā Nr.</w:t>
      </w:r>
      <w:r w:rsidR="00A85794">
        <w:rPr>
          <w:i/>
          <w:iCs/>
        </w:rPr>
        <w:t> </w:t>
      </w:r>
      <w:r w:rsidR="00155620" w:rsidRPr="00155620">
        <w:rPr>
          <w:i/>
          <w:iCs/>
        </w:rPr>
        <w:t>SKA-359/2022</w:t>
      </w:r>
      <w:r w:rsidR="000F1897">
        <w:rPr>
          <w:i/>
          <w:iCs/>
        </w:rPr>
        <w:t>,</w:t>
      </w:r>
      <w:r w:rsidR="001F34C9">
        <w:rPr>
          <w:i/>
          <w:iCs/>
        </w:rPr>
        <w:t xml:space="preserve"> </w:t>
      </w:r>
      <w:hyperlink r:id="rId10" w:history="1">
        <w:r w:rsidR="00155620" w:rsidRPr="001F34C9">
          <w:rPr>
            <w:rStyle w:val="Hyperlink"/>
            <w:i/>
            <w:iCs/>
          </w:rPr>
          <w:t>ECLI:LV:AT:2022:0830.A420242418.12.S</w:t>
        </w:r>
      </w:hyperlink>
      <w:r w:rsidR="000F1897">
        <w:rPr>
          <w:i/>
          <w:iCs/>
        </w:rPr>
        <w:t>,</w:t>
      </w:r>
      <w:r w:rsidR="00155620" w:rsidRPr="00155620">
        <w:rPr>
          <w:i/>
          <w:iCs/>
        </w:rPr>
        <w:t xml:space="preserve"> 8.punkts</w:t>
      </w:r>
      <w:r w:rsidR="00155620" w:rsidRPr="005B274D">
        <w:rPr>
          <w:iCs/>
        </w:rPr>
        <w:t>)</w:t>
      </w:r>
      <w:r w:rsidR="00AB74A2">
        <w:t xml:space="preserve">. </w:t>
      </w:r>
      <w:r w:rsidR="004B5DA4">
        <w:t xml:space="preserve">Proti, ir </w:t>
      </w:r>
      <w:r w:rsidR="00BD629A">
        <w:t>jāvērtē</w:t>
      </w:r>
      <w:r w:rsidR="004B5DA4">
        <w:t>, kad persona</w:t>
      </w:r>
      <w:r w:rsidR="00BD629A">
        <w:t xml:space="preserve"> </w:t>
      </w:r>
      <w:r w:rsidR="00BD629A">
        <w:lastRenderedPageBreak/>
        <w:t>vismaz pieņēmuma līmenī bija spējīga apzināties</w:t>
      </w:r>
      <w:r w:rsidR="001F34C9">
        <w:t xml:space="preserve"> un formulēt</w:t>
      </w:r>
      <w:r w:rsidR="00BD629A">
        <w:t xml:space="preserve"> radīto kaitējumu un </w:t>
      </w:r>
      <w:r w:rsidR="00086737">
        <w:t xml:space="preserve">tā </w:t>
      </w:r>
      <w:r w:rsidR="00BD629A">
        <w:t>cēloņsakarību ar iepriekš veiktu ārstniecības procesu</w:t>
      </w:r>
      <w:r w:rsidR="004B5DA4">
        <w:t>.</w:t>
      </w:r>
    </w:p>
    <w:p w14:paraId="22E8F477" w14:textId="1D4900CE" w:rsidR="00B86018" w:rsidRDefault="00DF6964" w:rsidP="001F5358">
      <w:pPr>
        <w:autoSpaceDE w:val="0"/>
        <w:autoSpaceDN w:val="0"/>
        <w:adjustRightInd w:val="0"/>
        <w:spacing w:line="276" w:lineRule="auto"/>
        <w:ind w:firstLine="720"/>
        <w:jc w:val="both"/>
      </w:pPr>
      <w:r>
        <w:t>B</w:t>
      </w:r>
      <w:r w:rsidR="00AB74A2" w:rsidRPr="005B274D">
        <w:t xml:space="preserve">ez ievērības nav atstājami gadījumi, kad kaitējuma cēlonis nav acīmredzams un viegli izsecināms. Jāņem vērā, ka personas rīcībā var būt mazāks informācijas apjoms, nekā tas tiek iegūts lietas izskatīšanas laikā Veselības inspekcijā vai tiesā. No </w:t>
      </w:r>
      <w:r w:rsidR="00BD629A">
        <w:t>personas</w:t>
      </w:r>
      <w:r w:rsidR="00AB74A2" w:rsidRPr="005B274D">
        <w:t xml:space="preserve"> nav sagaidāms arī tāds speciālo zināšanu apjoms, kāds ir speciālistiem, kas veic medicīnisko dokumentu ekspertīzi. Turklāt, veidojot Ārstniecības riska fondu, tika ņemts vērā, ka lietu izskatīšana administratīvajā procesā </w:t>
      </w:r>
      <w:r w:rsidR="00BD629A">
        <w:t>personai</w:t>
      </w:r>
      <w:r w:rsidR="00AB74A2" w:rsidRPr="005B274D">
        <w:t xml:space="preserve"> ir vienkāršāka un prasa mazāku </w:t>
      </w:r>
      <w:r w:rsidR="00BD629A">
        <w:t>personas</w:t>
      </w:r>
      <w:r w:rsidR="00AB74A2" w:rsidRPr="005B274D">
        <w:t xml:space="preserve"> iesaistīšanos </w:t>
      </w:r>
      <w:r w:rsidR="00AB74A2" w:rsidRPr="005B274D">
        <w:rPr>
          <w:color w:val="101820"/>
        </w:rPr>
        <w:t>(</w:t>
      </w:r>
      <w:r w:rsidR="00AB74A2" w:rsidRPr="005B274D">
        <w:rPr>
          <w:i/>
          <w:iCs/>
          <w:color w:val="101820"/>
        </w:rPr>
        <w:t>Muciņš R. Ārstniecības riska fonda būtība un tiesiskie aspekti. Jurista Vārds, 08.10.2013., Nr. 41 (792)</w:t>
      </w:r>
      <w:r w:rsidR="00AB74A2" w:rsidRPr="005B274D">
        <w:rPr>
          <w:color w:val="101820"/>
        </w:rPr>
        <w:t>).</w:t>
      </w:r>
    </w:p>
    <w:p w14:paraId="2937A8E0" w14:textId="7FD03E15" w:rsidR="007A4CDA" w:rsidRDefault="00AB74A2" w:rsidP="001F5358">
      <w:pPr>
        <w:autoSpaceDE w:val="0"/>
        <w:autoSpaceDN w:val="0"/>
        <w:adjustRightInd w:val="0"/>
        <w:spacing w:line="276" w:lineRule="auto"/>
        <w:ind w:firstLine="720"/>
        <w:jc w:val="both"/>
      </w:pPr>
      <w:r>
        <w:t>Ņemot vērā iepriekš minēto,</w:t>
      </w:r>
      <w:r w:rsidR="007A4CDA">
        <w:t xml:space="preserve"> </w:t>
      </w:r>
      <w:r w:rsidR="007A4CDA" w:rsidRPr="005B274D">
        <w:t xml:space="preserve">lai ievērotu </w:t>
      </w:r>
      <w:r w:rsidR="003958A1">
        <w:t xml:space="preserve">un efektīvi nodrošinātu </w:t>
      </w:r>
      <w:r w:rsidR="007A4CDA" w:rsidRPr="005B274D">
        <w:t>Pacientu tiesību likuma 16.panta pirmajā daļā paredzētās tiesības,</w:t>
      </w:r>
      <w:r w:rsidR="007A4CDA">
        <w:t xml:space="preserve"> gadījumos, kad atklājas jauna informācija</w:t>
      </w:r>
      <w:r w:rsidR="00E83404">
        <w:t>,</w:t>
      </w:r>
      <w:r w:rsidR="00E83404" w:rsidRPr="00E83404">
        <w:t xml:space="preserve"> </w:t>
      </w:r>
      <w:r w:rsidR="00E83404">
        <w:t xml:space="preserve">kas liecina par nepieciešamību paplašināt vērtējamo ārstēšanas periodu un </w:t>
      </w:r>
      <w:r w:rsidR="007A4CDA">
        <w:t>kuras konstatēšanai nepieciešamas padziļinātas profesionālas zināšanas medicīn</w:t>
      </w:r>
      <w:r w:rsidR="007678D6">
        <w:t>ā</w:t>
      </w:r>
      <w:r w:rsidR="007A4CDA">
        <w:t xml:space="preserve">, tiesai </w:t>
      </w:r>
      <w:r w:rsidR="007A4CDA" w:rsidRPr="005B274D">
        <w:t xml:space="preserve">būtu administratīvā procesa regulējuma ietvaros jārod risinājums, lai </w:t>
      </w:r>
      <w:r w:rsidR="00E83404">
        <w:t xml:space="preserve">iespējamais ārstēšanas procesa pārkāpums, tā </w:t>
      </w:r>
      <w:r w:rsidR="007A4CDA" w:rsidRPr="005B274D">
        <w:t>kaitējuma veids un smagums</w:t>
      </w:r>
      <w:r w:rsidR="003958A1">
        <w:t>,</w:t>
      </w:r>
      <w:r w:rsidR="007A4CDA" w:rsidRPr="005B274D">
        <w:t xml:space="preserve"> tiktu noteikts tā patiesajā apmērā</w:t>
      </w:r>
      <w:r w:rsidR="00DF6964">
        <w:t>.</w:t>
      </w:r>
      <w:r w:rsidR="007A4CDA" w:rsidRPr="005B274D">
        <w:t xml:space="preserve"> </w:t>
      </w:r>
      <w:r w:rsidR="00DF6964">
        <w:t>Nav pieļaujams, ka</w:t>
      </w:r>
      <w:r w:rsidR="007A4CDA" w:rsidRPr="005B274D">
        <w:t xml:space="preserve"> </w:t>
      </w:r>
      <w:r w:rsidR="007A4CDA">
        <w:t>atlīdzības prasītājs</w:t>
      </w:r>
      <w:r w:rsidR="007A4CDA" w:rsidRPr="005B274D">
        <w:t xml:space="preserve"> </w:t>
      </w:r>
      <w:r w:rsidR="00DF6964">
        <w:t>šādos apstākļos zaudētu</w:t>
      </w:r>
      <w:r w:rsidR="007A4CDA" w:rsidRPr="005B274D">
        <w:t xml:space="preserve"> tiesības uz kaitējuma atlīdzināšanu pilnā apmērā.</w:t>
      </w:r>
      <w:r w:rsidR="001D1047">
        <w:t xml:space="preserve"> </w:t>
      </w:r>
      <w:r w:rsidR="003958A1">
        <w:t xml:space="preserve">Pretējs risinājums, aizbildinoties ar </w:t>
      </w:r>
      <w:r w:rsidR="00383779">
        <w:t>nepieciešamību ievērot ārpustiesas izskatīšanas procesu</w:t>
      </w:r>
      <w:r w:rsidR="003958A1">
        <w:t>, nepamatoti nošķir</w:t>
      </w:r>
      <w:r w:rsidR="000F1897">
        <w:t>tu</w:t>
      </w:r>
      <w:r w:rsidR="003958A1">
        <w:t xml:space="preserve"> </w:t>
      </w:r>
      <w:r w:rsidR="00700585">
        <w:t>un ierobežo</w:t>
      </w:r>
      <w:r w:rsidR="000F1897">
        <w:t>tu</w:t>
      </w:r>
      <w:r w:rsidR="00700585">
        <w:t xml:space="preserve"> iespēju objektīvi izvērtēt </w:t>
      </w:r>
      <w:r w:rsidR="003958A1">
        <w:t xml:space="preserve">savstarpēji cieši saistītu </w:t>
      </w:r>
      <w:r w:rsidR="00700585">
        <w:t xml:space="preserve">apstākļu kopumu, kas </w:t>
      </w:r>
      <w:r w:rsidR="00E03183">
        <w:t xml:space="preserve">kopsakarā </w:t>
      </w:r>
      <w:r w:rsidR="00700585">
        <w:t xml:space="preserve">var liecināt par </w:t>
      </w:r>
      <w:r w:rsidR="00E03183">
        <w:t xml:space="preserve">ārstēšanas procesā </w:t>
      </w:r>
      <w:r w:rsidR="00700585">
        <w:t>iespējami pieļaut</w:t>
      </w:r>
      <w:r w:rsidR="00E03183">
        <w:t>a</w:t>
      </w:r>
      <w:r w:rsidR="00700585">
        <w:t xml:space="preserve"> pārkāpum</w:t>
      </w:r>
      <w:r w:rsidR="00E03183">
        <w:t>a</w:t>
      </w:r>
      <w:r w:rsidR="00700585">
        <w:t xml:space="preserve"> </w:t>
      </w:r>
      <w:r w:rsidR="000F1897">
        <w:t xml:space="preserve">esību un </w:t>
      </w:r>
      <w:r w:rsidR="00700585">
        <w:t>patieso smagumu.</w:t>
      </w:r>
    </w:p>
    <w:p w14:paraId="104A7629" w14:textId="5921F732" w:rsidR="00B86018" w:rsidRDefault="007A4CDA" w:rsidP="001F5358">
      <w:pPr>
        <w:autoSpaceDE w:val="0"/>
        <w:autoSpaceDN w:val="0"/>
        <w:adjustRightInd w:val="0"/>
        <w:spacing w:line="276" w:lineRule="auto"/>
        <w:ind w:firstLine="720"/>
        <w:jc w:val="both"/>
      </w:pPr>
      <w:r>
        <w:t>Līdz ar to ārpustiesas izskatīšanas kārtības neievērošana izskatāmajā lietā nav šķērslis pieteikuma papildinājumu</w:t>
      </w:r>
      <w:r w:rsidR="00DF6964">
        <w:t xml:space="preserve"> pieņemšanai</w:t>
      </w:r>
      <w:r>
        <w:t xml:space="preserve">, jo tiesai ir </w:t>
      </w:r>
      <w:r w:rsidR="001D1047">
        <w:t>tiesības un pienākums</w:t>
      </w:r>
      <w:r>
        <w:t xml:space="preserve"> pašai, paplašinot vērtējamo ārstēšanas periodu, pēc būtības rast</w:t>
      </w:r>
      <w:r w:rsidR="001D1047">
        <w:t xml:space="preserve"> efektīvu</w:t>
      </w:r>
      <w:r>
        <w:t xml:space="preserve"> risinājumu iespējamā pārkāpuma izvērtēšanai </w:t>
      </w:r>
      <w:r w:rsidR="00026516">
        <w:t xml:space="preserve">tā </w:t>
      </w:r>
      <w:r>
        <w:t>patiesajā apmērā.</w:t>
      </w:r>
      <w:r w:rsidR="000F1897">
        <w:t xml:space="preserve"> Tas varētu prasīt arī iestādes aktīvu līdzdarbību faktisko apstākļu novērtēšanā atbilstoši jauniegūtajai informācijai.</w:t>
      </w:r>
    </w:p>
    <w:p w14:paraId="7D7BF9A0" w14:textId="77777777" w:rsidR="00B2428C" w:rsidRDefault="00B2428C" w:rsidP="001F5358">
      <w:pPr>
        <w:autoSpaceDE w:val="0"/>
        <w:autoSpaceDN w:val="0"/>
        <w:adjustRightInd w:val="0"/>
        <w:spacing w:line="276" w:lineRule="auto"/>
        <w:ind w:firstLine="720"/>
        <w:jc w:val="both"/>
      </w:pPr>
    </w:p>
    <w:p w14:paraId="62217C89" w14:textId="3F9D682D" w:rsidR="00194E8C" w:rsidRDefault="00801B6D" w:rsidP="001F5358">
      <w:pPr>
        <w:autoSpaceDE w:val="0"/>
        <w:autoSpaceDN w:val="0"/>
        <w:adjustRightInd w:val="0"/>
        <w:spacing w:line="276" w:lineRule="auto"/>
        <w:ind w:firstLine="720"/>
        <w:jc w:val="both"/>
      </w:pPr>
      <w:r>
        <w:t>[8] </w:t>
      </w:r>
      <w:r w:rsidR="0001407C" w:rsidRPr="0001407C">
        <w:t>Ņemot vērā minēto, rajona tiesas</w:t>
      </w:r>
      <w:r w:rsidR="00194E8C" w:rsidRPr="0001407C">
        <w:t xml:space="preserve"> tiesneša lēmum</w:t>
      </w:r>
      <w:r w:rsidR="00E83404" w:rsidRPr="0001407C">
        <w:t>s par atteikšanos pieņemt pieteicējas pieteikuma papildinājumus nav pamatots un ir atceļams.</w:t>
      </w:r>
    </w:p>
    <w:p w14:paraId="175F3539" w14:textId="77777777" w:rsidR="006F2017" w:rsidRDefault="006F2017" w:rsidP="001F5358">
      <w:pPr>
        <w:spacing w:line="276" w:lineRule="auto"/>
        <w:ind w:firstLine="720"/>
        <w:jc w:val="both"/>
      </w:pPr>
    </w:p>
    <w:p w14:paraId="702D9BE5" w14:textId="77777777" w:rsidR="00826242" w:rsidRPr="00EC55A4" w:rsidRDefault="00826242" w:rsidP="001F5358">
      <w:pPr>
        <w:keepNext/>
        <w:spacing w:line="276" w:lineRule="auto"/>
        <w:jc w:val="center"/>
        <w:rPr>
          <w:b/>
        </w:rPr>
      </w:pPr>
      <w:r w:rsidRPr="00EC55A4">
        <w:rPr>
          <w:b/>
        </w:rPr>
        <w:t>Rezolutīvā daļa</w:t>
      </w:r>
    </w:p>
    <w:p w14:paraId="20C29023" w14:textId="77777777" w:rsidR="00826242" w:rsidRPr="00A27D81" w:rsidRDefault="00826242" w:rsidP="001F5358">
      <w:pPr>
        <w:keepNext/>
        <w:spacing w:line="276" w:lineRule="auto"/>
        <w:ind w:firstLine="720"/>
        <w:jc w:val="both"/>
        <w:rPr>
          <w:bCs/>
        </w:rPr>
      </w:pPr>
    </w:p>
    <w:p w14:paraId="63205093" w14:textId="49BA86B2" w:rsidR="00826242" w:rsidRPr="007B51DB" w:rsidRDefault="00826242" w:rsidP="001F5358">
      <w:pPr>
        <w:keepNext/>
        <w:spacing w:line="276" w:lineRule="auto"/>
        <w:ind w:firstLine="720"/>
        <w:jc w:val="both"/>
        <w:rPr>
          <w:color w:val="000000"/>
        </w:rPr>
      </w:pPr>
      <w:r w:rsidRPr="00886ECF">
        <w:t xml:space="preserve">Pamatojoties uz Administratīvā procesa likuma </w:t>
      </w:r>
      <w:r w:rsidR="000F1897">
        <w:t>129.</w:t>
      </w:r>
      <w:r w:rsidR="000F1897" w:rsidRPr="000F1897">
        <w:rPr>
          <w:vertAlign w:val="superscript"/>
        </w:rPr>
        <w:t>1</w:t>
      </w:r>
      <w:r w:rsidR="000F1897">
        <w:t xml:space="preserve">panta pirmās daļas 1.punktu, </w:t>
      </w:r>
      <w:r w:rsidR="00D968B3" w:rsidRPr="00886ECF">
        <w:t>3</w:t>
      </w:r>
      <w:r w:rsidRPr="00886ECF">
        <w:t xml:space="preserve">23.panta pirmās daļas </w:t>
      </w:r>
      <w:r w:rsidR="0048510D" w:rsidRPr="00886ECF">
        <w:t>2</w:t>
      </w:r>
      <w:r w:rsidRPr="00886ECF">
        <w:t xml:space="preserve">.punktu </w:t>
      </w:r>
      <w:r w:rsidRPr="00886ECF">
        <w:rPr>
          <w:color w:val="000000"/>
        </w:rPr>
        <w:t>un 324.panta pirmo daļu, Senāts</w:t>
      </w:r>
    </w:p>
    <w:p w14:paraId="69C00AA4" w14:textId="77777777" w:rsidR="00826242" w:rsidRPr="007B51DB" w:rsidRDefault="00826242" w:rsidP="001F5358">
      <w:pPr>
        <w:keepNext/>
        <w:tabs>
          <w:tab w:val="left" w:pos="2700"/>
          <w:tab w:val="left" w:pos="6660"/>
        </w:tabs>
        <w:spacing w:line="276" w:lineRule="auto"/>
        <w:jc w:val="center"/>
        <w:rPr>
          <w:b/>
        </w:rPr>
      </w:pPr>
      <w:bookmarkStart w:id="2" w:name="Dropdown14"/>
    </w:p>
    <w:p w14:paraId="07651D5C" w14:textId="77777777" w:rsidR="00826242" w:rsidRPr="007B51DB" w:rsidRDefault="00826242" w:rsidP="001F5358">
      <w:pPr>
        <w:keepNext/>
        <w:tabs>
          <w:tab w:val="left" w:pos="2700"/>
          <w:tab w:val="left" w:pos="6660"/>
        </w:tabs>
        <w:spacing w:line="276" w:lineRule="auto"/>
        <w:jc w:val="center"/>
        <w:rPr>
          <w:b/>
        </w:rPr>
      </w:pPr>
      <w:r w:rsidRPr="007B51DB">
        <w:rPr>
          <w:b/>
        </w:rPr>
        <w:t>no</w:t>
      </w:r>
      <w:bookmarkEnd w:id="2"/>
      <w:r w:rsidRPr="007B51DB">
        <w:rPr>
          <w:b/>
        </w:rPr>
        <w:t>lēma</w:t>
      </w:r>
    </w:p>
    <w:p w14:paraId="4D23F57D" w14:textId="77777777" w:rsidR="00826242" w:rsidRPr="008D359C" w:rsidRDefault="00826242" w:rsidP="001F5358">
      <w:pPr>
        <w:keepNext/>
        <w:tabs>
          <w:tab w:val="left" w:pos="2700"/>
          <w:tab w:val="left" w:pos="6660"/>
        </w:tabs>
        <w:spacing w:line="276" w:lineRule="auto"/>
        <w:jc w:val="center"/>
        <w:rPr>
          <w:b/>
          <w:bCs/>
          <w:spacing w:val="70"/>
          <w:highlight w:val="yellow"/>
        </w:rPr>
      </w:pPr>
    </w:p>
    <w:p w14:paraId="38451445" w14:textId="6A424398" w:rsidR="00297891" w:rsidRDefault="007B51DB" w:rsidP="001F5358">
      <w:pPr>
        <w:keepNext/>
        <w:tabs>
          <w:tab w:val="left" w:pos="540"/>
          <w:tab w:val="left" w:pos="6660"/>
        </w:tabs>
        <w:spacing w:line="276" w:lineRule="auto"/>
        <w:ind w:firstLine="720"/>
        <w:jc w:val="both"/>
      </w:pPr>
      <w:r w:rsidRPr="00C96604">
        <w:t>atcelt</w:t>
      </w:r>
      <w:r w:rsidR="00F74C8F" w:rsidRPr="00C96604">
        <w:t xml:space="preserve"> </w:t>
      </w:r>
      <w:r w:rsidR="00297891" w:rsidRPr="00C96604">
        <w:t xml:space="preserve">Administratīvās rajona tiesas </w:t>
      </w:r>
      <w:r w:rsidR="00F74C8F" w:rsidRPr="00C96604">
        <w:t xml:space="preserve">tiesneša </w:t>
      </w:r>
      <w:r w:rsidR="00297891" w:rsidRPr="00C96604">
        <w:t>202</w:t>
      </w:r>
      <w:r w:rsidR="00D968B3" w:rsidRPr="00C96604">
        <w:t>4</w:t>
      </w:r>
      <w:r w:rsidR="00297891" w:rsidRPr="00C96604">
        <w:t xml:space="preserve">.gada </w:t>
      </w:r>
      <w:r w:rsidRPr="00C96604">
        <w:t>3</w:t>
      </w:r>
      <w:r w:rsidR="00D968B3" w:rsidRPr="00C96604">
        <w:t>.</w:t>
      </w:r>
      <w:r w:rsidRPr="00C96604">
        <w:t>septembra</w:t>
      </w:r>
      <w:r w:rsidR="00297891" w:rsidRPr="00C96604">
        <w:t xml:space="preserve"> lēmumu</w:t>
      </w:r>
      <w:r w:rsidR="00886ECF" w:rsidRPr="00886ECF">
        <w:t xml:space="preserve"> un nodot jautājumu par pieteikuma papildinājumu virzību jaunai izskatīšanai Administratīvajai rajona tiesai</w:t>
      </w:r>
      <w:r w:rsidR="00886ECF">
        <w:t>;</w:t>
      </w:r>
    </w:p>
    <w:p w14:paraId="65D396B4" w14:textId="21992D13" w:rsidR="00C96604" w:rsidRPr="00C96604" w:rsidRDefault="00C96604" w:rsidP="001F5358">
      <w:pPr>
        <w:keepNext/>
        <w:tabs>
          <w:tab w:val="left" w:pos="540"/>
          <w:tab w:val="left" w:pos="6660"/>
        </w:tabs>
        <w:spacing w:line="276" w:lineRule="auto"/>
        <w:ind w:firstLine="720"/>
        <w:jc w:val="both"/>
        <w:rPr>
          <w:i/>
          <w:iCs/>
        </w:rPr>
      </w:pPr>
      <w:r>
        <w:t xml:space="preserve">atmaksāt </w:t>
      </w:r>
      <w:r w:rsidR="001F5358">
        <w:t xml:space="preserve">[pers. A] </w:t>
      </w:r>
      <w:r w:rsidR="0048510D">
        <w:t xml:space="preserve">par blakus sūdzību samaksāto </w:t>
      </w:r>
      <w:r>
        <w:t>drošības naudu 15</w:t>
      </w:r>
      <w:r w:rsidR="00A85794">
        <w:t> </w:t>
      </w:r>
      <w:r>
        <w:rPr>
          <w:i/>
          <w:iCs/>
        </w:rPr>
        <w:t>euro.</w:t>
      </w:r>
    </w:p>
    <w:p w14:paraId="0DD56668" w14:textId="77777777" w:rsidR="00826242" w:rsidRPr="00826242" w:rsidRDefault="00826242" w:rsidP="001F5358">
      <w:pPr>
        <w:keepNext/>
        <w:spacing w:line="276" w:lineRule="auto"/>
        <w:ind w:firstLine="720"/>
        <w:jc w:val="both"/>
        <w:rPr>
          <w:color w:val="000000"/>
          <w:highlight w:val="yellow"/>
        </w:rPr>
      </w:pPr>
    </w:p>
    <w:p w14:paraId="6B6B8E5B" w14:textId="0C62F019" w:rsidR="00826242" w:rsidRPr="001F5358" w:rsidRDefault="00826242" w:rsidP="001F5358">
      <w:pPr>
        <w:keepNext/>
        <w:spacing w:line="276" w:lineRule="auto"/>
        <w:ind w:firstLine="720"/>
        <w:jc w:val="both"/>
        <w:rPr>
          <w:color w:val="000000"/>
        </w:rPr>
      </w:pPr>
      <w:r w:rsidRPr="008709D7">
        <w:rPr>
          <w:color w:val="000000"/>
        </w:rPr>
        <w:t>Lēmums nav pārsūdzams.</w:t>
      </w:r>
    </w:p>
    <w:p w14:paraId="4B51B105" w14:textId="77777777" w:rsidR="007A1FC5" w:rsidRDefault="007A1FC5"/>
    <w:sectPr w:rsidR="007A1FC5" w:rsidSect="001A3F34">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2118" w14:textId="77777777" w:rsidR="00745547" w:rsidRDefault="00745547">
      <w:r>
        <w:separator/>
      </w:r>
    </w:p>
  </w:endnote>
  <w:endnote w:type="continuationSeparator" w:id="0">
    <w:p w14:paraId="3A4F6C3A" w14:textId="77777777" w:rsidR="00745547" w:rsidRDefault="0074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097C136" w14:textId="77777777" w:rsidR="007561AF" w:rsidRPr="00F64E84" w:rsidRDefault="007561AF"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Pr="00F64E84">
              <w:rPr>
                <w:noProof/>
                <w:sz w:val="20"/>
                <w:szCs w:val="20"/>
              </w:rPr>
              <w:t>2</w:t>
            </w:r>
            <w:r w:rsidRPr="00F64E84">
              <w:rPr>
                <w:sz w:val="20"/>
                <w:szCs w:val="20"/>
              </w:rPr>
              <w:fldChar w:fldCharType="end"/>
            </w:r>
            <w:r w:rsidRPr="00F64E84">
              <w:rPr>
                <w:sz w:val="20"/>
                <w:szCs w:val="20"/>
              </w:rPr>
              <w:t xml:space="preserve"> no </w:t>
            </w:r>
            <w:r w:rsidRPr="00F64E84">
              <w:rPr>
                <w:noProof/>
                <w:sz w:val="20"/>
                <w:szCs w:val="20"/>
              </w:rPr>
              <w:fldChar w:fldCharType="begin"/>
            </w:r>
            <w:r w:rsidRPr="00F64E84">
              <w:rPr>
                <w:noProof/>
                <w:sz w:val="20"/>
                <w:szCs w:val="20"/>
              </w:rPr>
              <w:instrText xml:space="preserve"> NUMPAGES  </w:instrText>
            </w:r>
            <w:r w:rsidRPr="00F64E84">
              <w:rPr>
                <w:noProof/>
                <w:sz w:val="20"/>
                <w:szCs w:val="20"/>
              </w:rPr>
              <w:fldChar w:fldCharType="separate"/>
            </w:r>
            <w:r w:rsidRPr="00F64E84">
              <w:rPr>
                <w:noProof/>
                <w:sz w:val="20"/>
                <w:szCs w:val="20"/>
              </w:rPr>
              <w:t>2</w:t>
            </w:r>
            <w:r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A4C5" w14:textId="77777777" w:rsidR="00745547" w:rsidRDefault="00745547">
      <w:r>
        <w:separator/>
      </w:r>
    </w:p>
  </w:footnote>
  <w:footnote w:type="continuationSeparator" w:id="0">
    <w:p w14:paraId="281DEB9C" w14:textId="77777777" w:rsidR="00745547" w:rsidRDefault="00745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90"/>
    <w:rsid w:val="0000403C"/>
    <w:rsid w:val="00004980"/>
    <w:rsid w:val="00007890"/>
    <w:rsid w:val="00012BD9"/>
    <w:rsid w:val="0001407C"/>
    <w:rsid w:val="00026516"/>
    <w:rsid w:val="00053071"/>
    <w:rsid w:val="00055BFA"/>
    <w:rsid w:val="000854A3"/>
    <w:rsid w:val="00085F3B"/>
    <w:rsid w:val="00086737"/>
    <w:rsid w:val="00090B33"/>
    <w:rsid w:val="000966CC"/>
    <w:rsid w:val="000A00EF"/>
    <w:rsid w:val="000A6B02"/>
    <w:rsid w:val="000B05FF"/>
    <w:rsid w:val="000B3F2E"/>
    <w:rsid w:val="000C1637"/>
    <w:rsid w:val="000C42C5"/>
    <w:rsid w:val="000D3C0A"/>
    <w:rsid w:val="000F1897"/>
    <w:rsid w:val="000F5967"/>
    <w:rsid w:val="00155620"/>
    <w:rsid w:val="001573E1"/>
    <w:rsid w:val="001648CA"/>
    <w:rsid w:val="001664FA"/>
    <w:rsid w:val="00194E8C"/>
    <w:rsid w:val="001A3F34"/>
    <w:rsid w:val="001B14BD"/>
    <w:rsid w:val="001B2A4A"/>
    <w:rsid w:val="001D1047"/>
    <w:rsid w:val="001D202B"/>
    <w:rsid w:val="001F1677"/>
    <w:rsid w:val="001F34C9"/>
    <w:rsid w:val="001F5358"/>
    <w:rsid w:val="00206A93"/>
    <w:rsid w:val="002229AD"/>
    <w:rsid w:val="00236874"/>
    <w:rsid w:val="00236FD2"/>
    <w:rsid w:val="00241E91"/>
    <w:rsid w:val="0028007E"/>
    <w:rsid w:val="00283333"/>
    <w:rsid w:val="00290D01"/>
    <w:rsid w:val="00297891"/>
    <w:rsid w:val="002A683A"/>
    <w:rsid w:val="002A6CE5"/>
    <w:rsid w:val="002A76D2"/>
    <w:rsid w:val="002B2A61"/>
    <w:rsid w:val="002C57E6"/>
    <w:rsid w:val="002C7A27"/>
    <w:rsid w:val="002D6C5A"/>
    <w:rsid w:val="002E105C"/>
    <w:rsid w:val="002E2BF4"/>
    <w:rsid w:val="002E3CCA"/>
    <w:rsid w:val="002F10A1"/>
    <w:rsid w:val="002F29F9"/>
    <w:rsid w:val="00305196"/>
    <w:rsid w:val="0030661B"/>
    <w:rsid w:val="00310312"/>
    <w:rsid w:val="00321F01"/>
    <w:rsid w:val="00321F8B"/>
    <w:rsid w:val="0032781A"/>
    <w:rsid w:val="003441DC"/>
    <w:rsid w:val="00381D47"/>
    <w:rsid w:val="00383779"/>
    <w:rsid w:val="00393C3F"/>
    <w:rsid w:val="003955A4"/>
    <w:rsid w:val="003958A1"/>
    <w:rsid w:val="0039710E"/>
    <w:rsid w:val="003A026F"/>
    <w:rsid w:val="003A5E4D"/>
    <w:rsid w:val="003B6112"/>
    <w:rsid w:val="003D0F2C"/>
    <w:rsid w:val="00404A9D"/>
    <w:rsid w:val="004129CC"/>
    <w:rsid w:val="004230C7"/>
    <w:rsid w:val="00447B2B"/>
    <w:rsid w:val="0045440F"/>
    <w:rsid w:val="00461A9C"/>
    <w:rsid w:val="004721F8"/>
    <w:rsid w:val="004750E5"/>
    <w:rsid w:val="0048510D"/>
    <w:rsid w:val="00491F4E"/>
    <w:rsid w:val="00497FCD"/>
    <w:rsid w:val="004B1115"/>
    <w:rsid w:val="004B5DA4"/>
    <w:rsid w:val="004B782C"/>
    <w:rsid w:val="004C1E61"/>
    <w:rsid w:val="004F16F7"/>
    <w:rsid w:val="004F6A30"/>
    <w:rsid w:val="00550C35"/>
    <w:rsid w:val="005566F6"/>
    <w:rsid w:val="00581B70"/>
    <w:rsid w:val="0058682E"/>
    <w:rsid w:val="005A301E"/>
    <w:rsid w:val="005A4A28"/>
    <w:rsid w:val="005A66CE"/>
    <w:rsid w:val="005E5A99"/>
    <w:rsid w:val="00606CF9"/>
    <w:rsid w:val="00607896"/>
    <w:rsid w:val="00611860"/>
    <w:rsid w:val="006251F4"/>
    <w:rsid w:val="0063449E"/>
    <w:rsid w:val="00687B15"/>
    <w:rsid w:val="00697B81"/>
    <w:rsid w:val="006A2862"/>
    <w:rsid w:val="006A31A5"/>
    <w:rsid w:val="006A6FEA"/>
    <w:rsid w:val="006B18AC"/>
    <w:rsid w:val="006C1501"/>
    <w:rsid w:val="006D1E9F"/>
    <w:rsid w:val="006E4DDA"/>
    <w:rsid w:val="006E6962"/>
    <w:rsid w:val="006F2017"/>
    <w:rsid w:val="00700585"/>
    <w:rsid w:val="007043DB"/>
    <w:rsid w:val="00705298"/>
    <w:rsid w:val="00711903"/>
    <w:rsid w:val="0072501D"/>
    <w:rsid w:val="00732CB2"/>
    <w:rsid w:val="00745547"/>
    <w:rsid w:val="007561AF"/>
    <w:rsid w:val="007612BE"/>
    <w:rsid w:val="007678D6"/>
    <w:rsid w:val="00772330"/>
    <w:rsid w:val="007A1FC5"/>
    <w:rsid w:val="007A4CDA"/>
    <w:rsid w:val="007B51DB"/>
    <w:rsid w:val="007D5668"/>
    <w:rsid w:val="007D7334"/>
    <w:rsid w:val="007E2894"/>
    <w:rsid w:val="007F219A"/>
    <w:rsid w:val="0080048E"/>
    <w:rsid w:val="00801B6D"/>
    <w:rsid w:val="00826242"/>
    <w:rsid w:val="00863ED3"/>
    <w:rsid w:val="008709D7"/>
    <w:rsid w:val="00875943"/>
    <w:rsid w:val="00882513"/>
    <w:rsid w:val="008836F8"/>
    <w:rsid w:val="00886ECF"/>
    <w:rsid w:val="00891F2B"/>
    <w:rsid w:val="0089647B"/>
    <w:rsid w:val="00897A26"/>
    <w:rsid w:val="008B179C"/>
    <w:rsid w:val="008B4517"/>
    <w:rsid w:val="008C0B4F"/>
    <w:rsid w:val="008C67B2"/>
    <w:rsid w:val="008D359C"/>
    <w:rsid w:val="008D4949"/>
    <w:rsid w:val="008E343F"/>
    <w:rsid w:val="008E3A44"/>
    <w:rsid w:val="00907F82"/>
    <w:rsid w:val="009209E1"/>
    <w:rsid w:val="00920D47"/>
    <w:rsid w:val="009309E9"/>
    <w:rsid w:val="00931683"/>
    <w:rsid w:val="00940482"/>
    <w:rsid w:val="00953093"/>
    <w:rsid w:val="00955D83"/>
    <w:rsid w:val="00966581"/>
    <w:rsid w:val="009725AA"/>
    <w:rsid w:val="0097730B"/>
    <w:rsid w:val="00985D56"/>
    <w:rsid w:val="00992CC5"/>
    <w:rsid w:val="00994B5E"/>
    <w:rsid w:val="00995C38"/>
    <w:rsid w:val="00996B4F"/>
    <w:rsid w:val="00996F1B"/>
    <w:rsid w:val="009A34D7"/>
    <w:rsid w:val="009B0E69"/>
    <w:rsid w:val="009C1585"/>
    <w:rsid w:val="009C2D1E"/>
    <w:rsid w:val="009D19B1"/>
    <w:rsid w:val="009D271C"/>
    <w:rsid w:val="009E0CDD"/>
    <w:rsid w:val="009E1A9A"/>
    <w:rsid w:val="009E1F13"/>
    <w:rsid w:val="009E497E"/>
    <w:rsid w:val="009F1CF8"/>
    <w:rsid w:val="00A00664"/>
    <w:rsid w:val="00A03E66"/>
    <w:rsid w:val="00A53859"/>
    <w:rsid w:val="00A55842"/>
    <w:rsid w:val="00A62BD2"/>
    <w:rsid w:val="00A6443C"/>
    <w:rsid w:val="00A70E33"/>
    <w:rsid w:val="00A711F7"/>
    <w:rsid w:val="00A742E4"/>
    <w:rsid w:val="00A76BA6"/>
    <w:rsid w:val="00A770ED"/>
    <w:rsid w:val="00A80245"/>
    <w:rsid w:val="00A84BF3"/>
    <w:rsid w:val="00A85794"/>
    <w:rsid w:val="00A92C6A"/>
    <w:rsid w:val="00AB3B64"/>
    <w:rsid w:val="00AB74A2"/>
    <w:rsid w:val="00AC10F3"/>
    <w:rsid w:val="00AD0A53"/>
    <w:rsid w:val="00AE3729"/>
    <w:rsid w:val="00AE63A0"/>
    <w:rsid w:val="00AE63F8"/>
    <w:rsid w:val="00AE7312"/>
    <w:rsid w:val="00B06304"/>
    <w:rsid w:val="00B15BA9"/>
    <w:rsid w:val="00B2428C"/>
    <w:rsid w:val="00B27B7E"/>
    <w:rsid w:val="00B430B0"/>
    <w:rsid w:val="00B60C18"/>
    <w:rsid w:val="00B65B72"/>
    <w:rsid w:val="00B723DD"/>
    <w:rsid w:val="00B777E3"/>
    <w:rsid w:val="00B86018"/>
    <w:rsid w:val="00BC0B5A"/>
    <w:rsid w:val="00BC5ED1"/>
    <w:rsid w:val="00BD26D9"/>
    <w:rsid w:val="00BD3FB8"/>
    <w:rsid w:val="00BD629A"/>
    <w:rsid w:val="00C044AB"/>
    <w:rsid w:val="00C25C40"/>
    <w:rsid w:val="00C3095F"/>
    <w:rsid w:val="00C3296E"/>
    <w:rsid w:val="00C61790"/>
    <w:rsid w:val="00C63D4E"/>
    <w:rsid w:val="00C70FC4"/>
    <w:rsid w:val="00C848D7"/>
    <w:rsid w:val="00C84DF5"/>
    <w:rsid w:val="00C96604"/>
    <w:rsid w:val="00C96E53"/>
    <w:rsid w:val="00CA67FF"/>
    <w:rsid w:val="00CA74DE"/>
    <w:rsid w:val="00CB016A"/>
    <w:rsid w:val="00CB1379"/>
    <w:rsid w:val="00CC180A"/>
    <w:rsid w:val="00CD17CA"/>
    <w:rsid w:val="00CF6C6E"/>
    <w:rsid w:val="00D24131"/>
    <w:rsid w:val="00D51880"/>
    <w:rsid w:val="00D71F40"/>
    <w:rsid w:val="00D75ED5"/>
    <w:rsid w:val="00D75F21"/>
    <w:rsid w:val="00D8018C"/>
    <w:rsid w:val="00D83C53"/>
    <w:rsid w:val="00D93FAA"/>
    <w:rsid w:val="00D968B3"/>
    <w:rsid w:val="00DA4DE8"/>
    <w:rsid w:val="00DA66D6"/>
    <w:rsid w:val="00DA7B83"/>
    <w:rsid w:val="00DB2097"/>
    <w:rsid w:val="00DC0990"/>
    <w:rsid w:val="00DD4D2C"/>
    <w:rsid w:val="00DE27FC"/>
    <w:rsid w:val="00DF18C1"/>
    <w:rsid w:val="00DF66D3"/>
    <w:rsid w:val="00DF6964"/>
    <w:rsid w:val="00E03183"/>
    <w:rsid w:val="00E108FE"/>
    <w:rsid w:val="00E152E7"/>
    <w:rsid w:val="00E2263C"/>
    <w:rsid w:val="00E26D7B"/>
    <w:rsid w:val="00E32BB3"/>
    <w:rsid w:val="00E42AC8"/>
    <w:rsid w:val="00E62576"/>
    <w:rsid w:val="00E82350"/>
    <w:rsid w:val="00E83404"/>
    <w:rsid w:val="00E84BA6"/>
    <w:rsid w:val="00E91848"/>
    <w:rsid w:val="00EC2B09"/>
    <w:rsid w:val="00EC2F3A"/>
    <w:rsid w:val="00EC4FBD"/>
    <w:rsid w:val="00ED4373"/>
    <w:rsid w:val="00ED6A3D"/>
    <w:rsid w:val="00EE0377"/>
    <w:rsid w:val="00EF4D64"/>
    <w:rsid w:val="00F05E13"/>
    <w:rsid w:val="00F20FCE"/>
    <w:rsid w:val="00F31526"/>
    <w:rsid w:val="00F32980"/>
    <w:rsid w:val="00F32FA6"/>
    <w:rsid w:val="00F332EA"/>
    <w:rsid w:val="00F361A7"/>
    <w:rsid w:val="00F5626E"/>
    <w:rsid w:val="00F74C8F"/>
    <w:rsid w:val="00FA38DF"/>
    <w:rsid w:val="00FA5FE6"/>
    <w:rsid w:val="00FD2432"/>
    <w:rsid w:val="00FE7DC6"/>
    <w:rsid w:val="00FF2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DE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42"/>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42"/>
    <w:pPr>
      <w:tabs>
        <w:tab w:val="center" w:pos="4153"/>
        <w:tab w:val="right" w:pos="8306"/>
      </w:tabs>
    </w:pPr>
  </w:style>
  <w:style w:type="character" w:customStyle="1" w:styleId="HeaderChar">
    <w:name w:val="Header Char"/>
    <w:basedOn w:val="DefaultParagraphFont"/>
    <w:link w:val="Header"/>
    <w:uiPriority w:val="99"/>
    <w:rsid w:val="00826242"/>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26242"/>
    <w:pPr>
      <w:tabs>
        <w:tab w:val="center" w:pos="4153"/>
        <w:tab w:val="right" w:pos="8306"/>
      </w:tabs>
    </w:pPr>
  </w:style>
  <w:style w:type="character" w:customStyle="1" w:styleId="FooterChar">
    <w:name w:val="Footer Char"/>
    <w:basedOn w:val="DefaultParagraphFont"/>
    <w:link w:val="Footer"/>
    <w:uiPriority w:val="99"/>
    <w:rsid w:val="00826242"/>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826242"/>
    <w:rPr>
      <w:color w:val="0563C1" w:themeColor="hyperlink"/>
      <w:u w:val="single"/>
    </w:rPr>
  </w:style>
  <w:style w:type="table" w:styleId="TableGrid">
    <w:name w:val="Table Grid"/>
    <w:basedOn w:val="TableNormal"/>
    <w:uiPriority w:val="39"/>
    <w:rsid w:val="00826242"/>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296E"/>
    <w:rPr>
      <w:color w:val="605E5C"/>
      <w:shd w:val="clear" w:color="auto" w:fill="E1DFDD"/>
    </w:rPr>
  </w:style>
  <w:style w:type="character" w:styleId="FollowedHyperlink">
    <w:name w:val="FollowedHyperlink"/>
    <w:basedOn w:val="DefaultParagraphFont"/>
    <w:uiPriority w:val="99"/>
    <w:semiHidden/>
    <w:unhideWhenUsed/>
    <w:rsid w:val="001B2A4A"/>
    <w:rPr>
      <w:color w:val="954F72" w:themeColor="followedHyperlink"/>
      <w:u w:val="single"/>
    </w:rPr>
  </w:style>
  <w:style w:type="character" w:styleId="CommentReference">
    <w:name w:val="annotation reference"/>
    <w:basedOn w:val="DefaultParagraphFont"/>
    <w:uiPriority w:val="99"/>
    <w:semiHidden/>
    <w:unhideWhenUsed/>
    <w:rsid w:val="00992CC5"/>
    <w:rPr>
      <w:sz w:val="16"/>
      <w:szCs w:val="16"/>
    </w:rPr>
  </w:style>
  <w:style w:type="paragraph" w:styleId="CommentText">
    <w:name w:val="annotation text"/>
    <w:basedOn w:val="Normal"/>
    <w:link w:val="CommentTextChar"/>
    <w:uiPriority w:val="99"/>
    <w:semiHidden/>
    <w:unhideWhenUsed/>
    <w:rsid w:val="00992CC5"/>
    <w:rPr>
      <w:sz w:val="20"/>
      <w:szCs w:val="20"/>
    </w:rPr>
  </w:style>
  <w:style w:type="character" w:customStyle="1" w:styleId="CommentTextChar">
    <w:name w:val="Comment Text Char"/>
    <w:basedOn w:val="DefaultParagraphFont"/>
    <w:link w:val="CommentText"/>
    <w:uiPriority w:val="99"/>
    <w:semiHidden/>
    <w:rsid w:val="00992CC5"/>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992CC5"/>
    <w:rPr>
      <w:b/>
      <w:bCs/>
    </w:rPr>
  </w:style>
  <w:style w:type="character" w:customStyle="1" w:styleId="CommentSubjectChar">
    <w:name w:val="Comment Subject Char"/>
    <w:basedOn w:val="CommentTextChar"/>
    <w:link w:val="CommentSubject"/>
    <w:uiPriority w:val="99"/>
    <w:semiHidden/>
    <w:rsid w:val="00992CC5"/>
    <w:rPr>
      <w:rFonts w:eastAsia="Times New Roman" w:cs="Times New Roman"/>
      <w:b/>
      <w:bCs/>
      <w:kern w:val="0"/>
      <w:sz w:val="20"/>
      <w:szCs w:val="20"/>
      <w:lang w:val="lv-LV" w:eastAsia="ru-RU"/>
      <w14:ligatures w14:val="none"/>
    </w:rPr>
  </w:style>
  <w:style w:type="paragraph" w:customStyle="1" w:styleId="Default">
    <w:name w:val="Default"/>
    <w:rsid w:val="00CB1379"/>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318">
      <w:bodyDiv w:val="1"/>
      <w:marLeft w:val="0"/>
      <w:marRight w:val="0"/>
      <w:marTop w:val="0"/>
      <w:marBottom w:val="0"/>
      <w:divBdr>
        <w:top w:val="none" w:sz="0" w:space="0" w:color="auto"/>
        <w:left w:val="none" w:sz="0" w:space="0" w:color="auto"/>
        <w:bottom w:val="none" w:sz="0" w:space="0" w:color="auto"/>
        <w:right w:val="none" w:sz="0" w:space="0" w:color="auto"/>
      </w:divBdr>
      <w:divsChild>
        <w:div w:id="1592547012">
          <w:marLeft w:val="0"/>
          <w:marRight w:val="0"/>
          <w:marTop w:val="0"/>
          <w:marBottom w:val="0"/>
          <w:divBdr>
            <w:top w:val="none" w:sz="0" w:space="0" w:color="auto"/>
            <w:left w:val="none" w:sz="0" w:space="0" w:color="auto"/>
            <w:bottom w:val="none" w:sz="0" w:space="0" w:color="auto"/>
            <w:right w:val="none" w:sz="0" w:space="0" w:color="auto"/>
          </w:divBdr>
        </w:div>
      </w:divsChild>
    </w:div>
    <w:div w:id="1113861140">
      <w:bodyDiv w:val="1"/>
      <w:marLeft w:val="0"/>
      <w:marRight w:val="0"/>
      <w:marTop w:val="0"/>
      <w:marBottom w:val="0"/>
      <w:divBdr>
        <w:top w:val="none" w:sz="0" w:space="0" w:color="auto"/>
        <w:left w:val="none" w:sz="0" w:space="0" w:color="auto"/>
        <w:bottom w:val="none" w:sz="0" w:space="0" w:color="auto"/>
        <w:right w:val="none" w:sz="0" w:space="0" w:color="auto"/>
      </w:divBdr>
      <w:divsChild>
        <w:div w:id="88628086">
          <w:marLeft w:val="0"/>
          <w:marRight w:val="0"/>
          <w:marTop w:val="0"/>
          <w:marBottom w:val="0"/>
          <w:divBdr>
            <w:top w:val="none" w:sz="0" w:space="0" w:color="auto"/>
            <w:left w:val="none" w:sz="0" w:space="0" w:color="auto"/>
            <w:bottom w:val="none" w:sz="0" w:space="0" w:color="auto"/>
            <w:right w:val="none" w:sz="0" w:space="0" w:color="auto"/>
          </w:divBdr>
        </w:div>
      </w:divsChild>
    </w:div>
    <w:div w:id="157288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wwwraksti/ANOTACIJAS/TAP/2005/VMANOT_011113_ARF.3252.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t.gov.lv/downloadlawfile/474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5958.pdf"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manas.tiesas.lv/eTiesasMvc/eclinolemumi/ECLI:LV:AT:2022:0830.A420242418.12.S" TargetMode="External"/><Relationship Id="rId4" Type="http://schemas.openxmlformats.org/officeDocument/2006/relationships/footnotes" Target="footnotes.xml"/><Relationship Id="rId9" Type="http://schemas.openxmlformats.org/officeDocument/2006/relationships/hyperlink" Target="https://hudoc.echr.coe.int/eng?i=001-126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7862</Words>
  <Characters>4482</Characters>
  <Application>Microsoft Office Word</Application>
  <DocSecurity>0</DocSecurity>
  <Lines>37</Lines>
  <Paragraphs>24</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2025-01-24T10:02:00Z</dcterms:created>
  <dcterms:modified xsi:type="dcterms:W3CDTF">2025-01-24T10:02:00Z</dcterms:modified>
</cp:coreProperties>
</file>