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C0608" w14:textId="77777777" w:rsidR="00282B51" w:rsidRPr="004F365D" w:rsidRDefault="00282B51" w:rsidP="003E63F9">
      <w:pPr>
        <w:spacing w:after="0" w:line="276" w:lineRule="auto"/>
        <w:jc w:val="both"/>
        <w:rPr>
          <w:b/>
          <w:bCs/>
        </w:rPr>
      </w:pPr>
      <w:r w:rsidRPr="004F365D">
        <w:rPr>
          <w:b/>
          <w:bCs/>
        </w:rPr>
        <w:t>Smagāka soda noteikšana apelācijas instances tiesā, ja pēc prokurora protesta apelācijas instances tiesa konstatējusi, ka apsūdzētais ir izdarījis smagāku noziedzīgu nodarījumu, nekā to atzinusi pirmās instances tiesa</w:t>
      </w:r>
    </w:p>
    <w:p w14:paraId="0728D2ED" w14:textId="77777777" w:rsidR="00282B51" w:rsidRDefault="00282B51" w:rsidP="003E63F9">
      <w:pPr>
        <w:spacing w:after="0" w:line="276" w:lineRule="auto"/>
        <w:contextualSpacing/>
        <w:jc w:val="center"/>
        <w:rPr>
          <w:rFonts w:asciiTheme="majorBidi" w:hAnsiTheme="majorBidi" w:cstheme="majorBidi"/>
          <w:b/>
        </w:rPr>
      </w:pPr>
    </w:p>
    <w:p w14:paraId="428C3745" w14:textId="364744FB" w:rsidR="00B5372F" w:rsidRPr="003D631B" w:rsidRDefault="00B5372F" w:rsidP="003E63F9">
      <w:pPr>
        <w:spacing w:after="0" w:line="276" w:lineRule="auto"/>
        <w:contextualSpacing/>
        <w:jc w:val="center"/>
        <w:rPr>
          <w:rFonts w:asciiTheme="majorBidi" w:hAnsiTheme="majorBidi" w:cstheme="majorBidi"/>
          <w:b/>
        </w:rPr>
      </w:pPr>
      <w:r w:rsidRPr="003D631B">
        <w:rPr>
          <w:rFonts w:asciiTheme="majorBidi" w:hAnsiTheme="majorBidi" w:cstheme="majorBidi"/>
          <w:b/>
        </w:rPr>
        <w:t>Latvijas Republikas Senāt</w:t>
      </w:r>
      <w:r w:rsidR="003D631B" w:rsidRPr="003D631B">
        <w:rPr>
          <w:rFonts w:asciiTheme="majorBidi" w:hAnsiTheme="majorBidi" w:cstheme="majorBidi"/>
          <w:b/>
        </w:rPr>
        <w:t>a</w:t>
      </w:r>
    </w:p>
    <w:p w14:paraId="75CC211C" w14:textId="4A5B9662" w:rsidR="003D631B" w:rsidRPr="003D631B" w:rsidRDefault="003D631B" w:rsidP="003E63F9">
      <w:pPr>
        <w:spacing w:after="0" w:line="276" w:lineRule="auto"/>
        <w:contextualSpacing/>
        <w:jc w:val="center"/>
        <w:rPr>
          <w:rFonts w:asciiTheme="majorBidi" w:hAnsiTheme="majorBidi" w:cstheme="majorBidi"/>
          <w:b/>
        </w:rPr>
      </w:pPr>
      <w:r w:rsidRPr="003D631B">
        <w:rPr>
          <w:rFonts w:asciiTheme="majorBidi" w:hAnsiTheme="majorBidi" w:cstheme="majorBidi"/>
          <w:b/>
        </w:rPr>
        <w:t>Krimināllietu departamenta</w:t>
      </w:r>
    </w:p>
    <w:p w14:paraId="63AAA2B7" w14:textId="0137C3EF" w:rsidR="003D631B" w:rsidRPr="003D631B" w:rsidRDefault="003D631B" w:rsidP="003E63F9">
      <w:pPr>
        <w:spacing w:after="0" w:line="276" w:lineRule="auto"/>
        <w:contextualSpacing/>
        <w:jc w:val="center"/>
        <w:rPr>
          <w:rFonts w:asciiTheme="majorBidi" w:hAnsiTheme="majorBidi" w:cstheme="majorBidi"/>
          <w:b/>
        </w:rPr>
      </w:pPr>
      <w:r w:rsidRPr="003D631B">
        <w:rPr>
          <w:rFonts w:asciiTheme="majorBidi" w:hAnsiTheme="majorBidi" w:cstheme="majorBidi"/>
          <w:b/>
        </w:rPr>
        <w:t>2024. gada 4. decembra</w:t>
      </w:r>
    </w:p>
    <w:p w14:paraId="18311894" w14:textId="77777777" w:rsidR="00B5372F" w:rsidRPr="003D631B" w:rsidRDefault="00B5372F" w:rsidP="003E63F9">
      <w:pPr>
        <w:spacing w:after="0" w:line="276" w:lineRule="auto"/>
        <w:contextualSpacing/>
        <w:jc w:val="center"/>
        <w:rPr>
          <w:rFonts w:asciiTheme="majorBidi" w:hAnsiTheme="majorBidi" w:cstheme="majorBidi"/>
          <w:b/>
        </w:rPr>
      </w:pPr>
      <w:r w:rsidRPr="003D631B">
        <w:rPr>
          <w:rFonts w:asciiTheme="majorBidi" w:hAnsiTheme="majorBidi" w:cstheme="majorBidi"/>
          <w:b/>
        </w:rPr>
        <w:t>LĒMUMS</w:t>
      </w:r>
    </w:p>
    <w:p w14:paraId="7587FBE6" w14:textId="6673C966" w:rsidR="003D631B" w:rsidRDefault="003D631B" w:rsidP="003E63F9">
      <w:pPr>
        <w:spacing w:after="0" w:line="276" w:lineRule="auto"/>
        <w:contextualSpacing/>
        <w:jc w:val="center"/>
        <w:rPr>
          <w:rFonts w:asciiTheme="majorBidi" w:hAnsiTheme="majorBidi" w:cstheme="majorBidi"/>
          <w:b/>
        </w:rPr>
      </w:pPr>
      <w:proofErr w:type="spellStart"/>
      <w:r w:rsidRPr="003D631B">
        <w:rPr>
          <w:rFonts w:ascii="TimesNewRomanPSMT" w:hAnsi="TimesNewRomanPSMT" w:cs="TimesNewRomanPSMT"/>
          <w:b/>
          <w:szCs w:val="24"/>
          <w:lang w:val="en-US"/>
          <w14:ligatures w14:val="standardContextual"/>
        </w:rPr>
        <w:t>Lieta</w:t>
      </w:r>
      <w:proofErr w:type="spellEnd"/>
      <w:r w:rsidRPr="003D631B">
        <w:rPr>
          <w:rFonts w:ascii="TimesNewRomanPSMT" w:hAnsi="TimesNewRomanPSMT" w:cs="TimesNewRomanPSMT"/>
          <w:b/>
          <w:szCs w:val="24"/>
          <w:lang w:val="en-US"/>
          <w14:ligatures w14:val="standardContextual"/>
        </w:rPr>
        <w:t xml:space="preserve"> Nr. 11519011321</w:t>
      </w:r>
      <w:r w:rsidRPr="003D631B">
        <w:rPr>
          <w:rFonts w:asciiTheme="majorBidi" w:hAnsiTheme="majorBidi" w:cstheme="majorBidi"/>
          <w:b/>
        </w:rPr>
        <w:t>, SKK-444/2024</w:t>
      </w:r>
    </w:p>
    <w:p w14:paraId="2E889652" w14:textId="634E02B1" w:rsidR="00B5372F" w:rsidRPr="0021135B" w:rsidRDefault="00282B51" w:rsidP="003E63F9">
      <w:pPr>
        <w:bidi/>
        <w:spacing w:after="0" w:line="276" w:lineRule="auto"/>
        <w:contextualSpacing/>
        <w:jc w:val="center"/>
        <w:rPr>
          <w:rFonts w:asciiTheme="majorBidi" w:hAnsiTheme="majorBidi" w:cstheme="majorBidi"/>
          <w:szCs w:val="24"/>
        </w:rPr>
      </w:pPr>
      <w:hyperlink r:id="rId8" w:history="1">
        <w:r w:rsidRPr="00282B51">
          <w:rPr>
            <w:rStyle w:val="Hyperlink"/>
            <w:rFonts w:asciiTheme="majorBidi" w:hAnsiTheme="majorBidi" w:cstheme="majorBidi"/>
            <w:szCs w:val="24"/>
          </w:rPr>
          <w:t>ECLI:LV:AT:2024:1204.11519011321.21.L</w:t>
        </w:r>
      </w:hyperlink>
    </w:p>
    <w:p w14:paraId="48FB963D" w14:textId="77777777" w:rsidR="00B5372F" w:rsidRPr="0021135B" w:rsidRDefault="00B5372F" w:rsidP="005948CB">
      <w:pPr>
        <w:spacing w:line="276" w:lineRule="auto"/>
        <w:ind w:firstLine="720"/>
        <w:contextualSpacing/>
        <w:jc w:val="center"/>
        <w:rPr>
          <w:rFonts w:asciiTheme="majorBidi" w:hAnsiTheme="majorBidi" w:cstheme="majorBidi"/>
          <w:szCs w:val="24"/>
        </w:rPr>
      </w:pPr>
    </w:p>
    <w:p w14:paraId="76BF82D1" w14:textId="68C7707C" w:rsidR="00B5372F" w:rsidRPr="0021135B" w:rsidRDefault="00B5372F" w:rsidP="005948CB">
      <w:pPr>
        <w:spacing w:after="0" w:line="276" w:lineRule="auto"/>
        <w:ind w:firstLine="720"/>
        <w:jc w:val="both"/>
        <w:rPr>
          <w:rFonts w:eastAsia="Calibri" w:cs="Times New Roman"/>
          <w:szCs w:val="24"/>
        </w:rPr>
      </w:pPr>
      <w:r w:rsidRPr="0021135B">
        <w:rPr>
          <w:rFonts w:asciiTheme="majorBidi" w:hAnsiTheme="majorBidi" w:cstheme="majorBidi"/>
          <w:szCs w:val="24"/>
        </w:rPr>
        <w:t>Senāts šādā sastāvā: senators referents Artūrs Freibergs, senator</w:t>
      </w:r>
      <w:r w:rsidR="003D0CD4">
        <w:rPr>
          <w:rFonts w:asciiTheme="majorBidi" w:hAnsiTheme="majorBidi" w:cstheme="majorBidi"/>
          <w:szCs w:val="24"/>
        </w:rPr>
        <w:t>i</w:t>
      </w:r>
      <w:r w:rsidRPr="0021135B">
        <w:rPr>
          <w:rFonts w:asciiTheme="majorBidi" w:hAnsiTheme="majorBidi" w:cstheme="majorBidi"/>
          <w:szCs w:val="24"/>
        </w:rPr>
        <w:t xml:space="preserve"> </w:t>
      </w:r>
      <w:r w:rsidR="00517D46" w:rsidRPr="0021135B">
        <w:rPr>
          <w:rFonts w:eastAsia="Calibri" w:cs="Times New Roman"/>
          <w:szCs w:val="24"/>
        </w:rPr>
        <w:t>I</w:t>
      </w:r>
      <w:r w:rsidR="00AA7523" w:rsidRPr="0021135B">
        <w:rPr>
          <w:rFonts w:eastAsia="Calibri" w:cs="Times New Roman"/>
          <w:szCs w:val="24"/>
        </w:rPr>
        <w:t>vars Bičkovičs</w:t>
      </w:r>
      <w:r w:rsidR="00E765A2" w:rsidRPr="00E765A2">
        <w:rPr>
          <w:rFonts w:eastAsia="Calibri" w:cs="Times New Roman"/>
          <w:szCs w:val="24"/>
        </w:rPr>
        <w:t xml:space="preserve"> </w:t>
      </w:r>
      <w:r w:rsidR="00E765A2" w:rsidRPr="0021135B">
        <w:rPr>
          <w:rFonts w:eastAsia="Calibri" w:cs="Times New Roman"/>
          <w:szCs w:val="24"/>
        </w:rPr>
        <w:t>un Sandra Kaija</w:t>
      </w:r>
    </w:p>
    <w:p w14:paraId="2C0A71E8" w14:textId="77777777" w:rsidR="00B5372F" w:rsidRPr="0021135B" w:rsidRDefault="00B5372F" w:rsidP="005948CB">
      <w:pPr>
        <w:spacing w:line="276" w:lineRule="auto"/>
        <w:ind w:firstLine="720"/>
        <w:contextualSpacing/>
        <w:jc w:val="both"/>
        <w:rPr>
          <w:rFonts w:asciiTheme="majorBidi" w:hAnsiTheme="majorBidi" w:cstheme="majorBidi"/>
          <w:szCs w:val="24"/>
        </w:rPr>
      </w:pPr>
    </w:p>
    <w:p w14:paraId="27C08D00" w14:textId="3C5C3E7D" w:rsidR="00B5372F" w:rsidRPr="0021135B" w:rsidRDefault="00B5372F" w:rsidP="005948CB">
      <w:pPr>
        <w:autoSpaceDE w:val="0"/>
        <w:autoSpaceDN w:val="0"/>
        <w:adjustRightInd w:val="0"/>
        <w:spacing w:after="0" w:line="276" w:lineRule="auto"/>
        <w:ind w:firstLine="720"/>
        <w:jc w:val="both"/>
        <w:rPr>
          <w:rFonts w:eastAsia="Times New Roman" w:cs="Times New Roman"/>
          <w:szCs w:val="24"/>
        </w:rPr>
      </w:pPr>
      <w:r w:rsidRPr="0021135B">
        <w:rPr>
          <w:rFonts w:asciiTheme="majorBidi" w:hAnsiTheme="majorBidi" w:cstheme="majorBidi"/>
          <w:szCs w:val="24"/>
        </w:rPr>
        <w:t>rakstveida procesā izskatīja krimināllietu sakarā ar</w:t>
      </w:r>
      <w:r w:rsidR="00690175" w:rsidRPr="0021135B">
        <w:rPr>
          <w:rFonts w:eastAsia="Calibri" w:cs="Times New Roman"/>
          <w:szCs w:val="24"/>
        </w:rPr>
        <w:t xml:space="preserve"> Daudznozaru specializētās prokuratūras prokurora Roberta </w:t>
      </w:r>
      <w:proofErr w:type="spellStart"/>
      <w:r w:rsidR="00690175" w:rsidRPr="0021135B">
        <w:rPr>
          <w:rFonts w:eastAsia="Calibri" w:cs="Times New Roman"/>
          <w:szCs w:val="24"/>
        </w:rPr>
        <w:t>Milberga</w:t>
      </w:r>
      <w:proofErr w:type="spellEnd"/>
      <w:r w:rsidR="00690175" w:rsidRPr="0021135B">
        <w:rPr>
          <w:rFonts w:eastAsia="Calibri" w:cs="Times New Roman"/>
          <w:szCs w:val="24"/>
        </w:rPr>
        <w:t xml:space="preserve"> kasācijas protestu un</w:t>
      </w:r>
      <w:r w:rsidRPr="0021135B">
        <w:rPr>
          <w:rFonts w:asciiTheme="majorBidi" w:hAnsiTheme="majorBidi" w:cstheme="majorBidi"/>
          <w:szCs w:val="24"/>
        </w:rPr>
        <w:t xml:space="preserve"> </w:t>
      </w:r>
      <w:r w:rsidR="00517D46" w:rsidRPr="0021135B">
        <w:rPr>
          <w:rFonts w:asciiTheme="majorBidi" w:hAnsiTheme="majorBidi" w:cstheme="majorBidi"/>
          <w:szCs w:val="24"/>
        </w:rPr>
        <w:t xml:space="preserve">apsūdzētā </w:t>
      </w:r>
      <w:r w:rsidR="00ED5490">
        <w:rPr>
          <w:rFonts w:asciiTheme="majorBidi" w:hAnsiTheme="majorBidi" w:cstheme="majorBidi"/>
          <w:szCs w:val="24"/>
        </w:rPr>
        <w:t>[pers. A]</w:t>
      </w:r>
      <w:r w:rsidR="00A724A8" w:rsidRPr="0021135B">
        <w:rPr>
          <w:rFonts w:asciiTheme="majorBidi" w:hAnsiTheme="majorBidi" w:cstheme="majorBidi"/>
          <w:szCs w:val="24"/>
        </w:rPr>
        <w:t xml:space="preserve"> kasācijas sūdzību</w:t>
      </w:r>
      <w:r w:rsidR="00BB0598" w:rsidRPr="0021135B">
        <w:rPr>
          <w:rFonts w:eastAsia="Calibri" w:cs="Times New Roman"/>
          <w:szCs w:val="24"/>
        </w:rPr>
        <w:t xml:space="preserve"> </w:t>
      </w:r>
      <w:r w:rsidRPr="0021135B">
        <w:rPr>
          <w:rFonts w:eastAsia="Calibri" w:cs="Times New Roman"/>
          <w:szCs w:val="24"/>
        </w:rPr>
        <w:t xml:space="preserve">par </w:t>
      </w:r>
      <w:r w:rsidR="00BB0598" w:rsidRPr="0021135B">
        <w:rPr>
          <w:rFonts w:eastAsia="Times New Roman" w:cs="Times New Roman"/>
          <w:szCs w:val="24"/>
          <w:lang w:eastAsia="lv-LV"/>
        </w:rPr>
        <w:t xml:space="preserve">Latgales </w:t>
      </w:r>
      <w:r w:rsidRPr="0021135B">
        <w:rPr>
          <w:rFonts w:eastAsia="Times New Roman" w:cs="Times New Roman"/>
          <w:szCs w:val="24"/>
          <w:lang w:eastAsia="lv-LV"/>
        </w:rPr>
        <w:t>apgabaltiesas 202</w:t>
      </w:r>
      <w:r w:rsidR="00923E28" w:rsidRPr="0021135B">
        <w:rPr>
          <w:rFonts w:eastAsia="Times New Roman" w:cs="Times New Roman"/>
          <w:szCs w:val="24"/>
          <w:lang w:eastAsia="lv-LV"/>
        </w:rPr>
        <w:t>4</w:t>
      </w:r>
      <w:r w:rsidRPr="0021135B">
        <w:rPr>
          <w:rFonts w:eastAsia="Times New Roman" w:cs="Times New Roman"/>
          <w:szCs w:val="24"/>
          <w:lang w:eastAsia="lv-LV"/>
        </w:rPr>
        <w:t xml:space="preserve">. gada </w:t>
      </w:r>
      <w:r w:rsidR="00A724A8" w:rsidRPr="0021135B">
        <w:rPr>
          <w:rFonts w:eastAsia="Calibri" w:cs="Times New Roman"/>
          <w:szCs w:val="24"/>
          <w:lang w:eastAsia="lv-LV"/>
        </w:rPr>
        <w:t>2</w:t>
      </w:r>
      <w:r w:rsidR="00BB0598" w:rsidRPr="0021135B">
        <w:rPr>
          <w:rFonts w:eastAsia="Calibri" w:cs="Times New Roman"/>
          <w:szCs w:val="24"/>
          <w:lang w:eastAsia="lv-LV"/>
        </w:rPr>
        <w:t>8</w:t>
      </w:r>
      <w:r w:rsidR="00A724A8" w:rsidRPr="0021135B">
        <w:rPr>
          <w:rFonts w:eastAsia="Calibri" w:cs="Times New Roman"/>
          <w:szCs w:val="24"/>
          <w:lang w:eastAsia="lv-LV"/>
        </w:rPr>
        <w:t>. februāra</w:t>
      </w:r>
      <w:r w:rsidR="00923E28" w:rsidRPr="0021135B">
        <w:rPr>
          <w:rFonts w:eastAsia="Calibri" w:cs="Times New Roman"/>
          <w:szCs w:val="24"/>
          <w:lang w:eastAsia="lv-LV"/>
        </w:rPr>
        <w:t xml:space="preserve"> spriedumu</w:t>
      </w:r>
      <w:r w:rsidRPr="0021135B">
        <w:rPr>
          <w:rFonts w:eastAsia="Times New Roman" w:cs="Times New Roman"/>
          <w:szCs w:val="24"/>
        </w:rPr>
        <w:t>.</w:t>
      </w:r>
    </w:p>
    <w:p w14:paraId="20EE09ED" w14:textId="77777777" w:rsidR="00B5372F" w:rsidRPr="0021135B" w:rsidRDefault="00B5372F" w:rsidP="005948CB">
      <w:pPr>
        <w:spacing w:after="0" w:line="276" w:lineRule="auto"/>
        <w:jc w:val="both"/>
        <w:rPr>
          <w:rFonts w:eastAsia="Times New Roman" w:cs="Times New Roman"/>
          <w:szCs w:val="24"/>
        </w:rPr>
      </w:pPr>
    </w:p>
    <w:p w14:paraId="66FF832A" w14:textId="77777777" w:rsidR="00B5372F" w:rsidRPr="0021135B" w:rsidRDefault="00B5372F" w:rsidP="005948CB">
      <w:pPr>
        <w:spacing w:after="0" w:line="276" w:lineRule="auto"/>
        <w:jc w:val="center"/>
        <w:rPr>
          <w:rFonts w:eastAsia="Calibri" w:cs="Arial"/>
          <w:b/>
          <w:szCs w:val="24"/>
        </w:rPr>
      </w:pPr>
      <w:r w:rsidRPr="0021135B">
        <w:rPr>
          <w:rFonts w:eastAsia="Calibri" w:cs="Arial"/>
          <w:b/>
          <w:szCs w:val="24"/>
        </w:rPr>
        <w:t>Aprakstošā daļa</w:t>
      </w:r>
    </w:p>
    <w:p w14:paraId="7357D9B1" w14:textId="77777777" w:rsidR="00B5372F" w:rsidRPr="0021135B" w:rsidRDefault="00B5372F" w:rsidP="005948CB">
      <w:pPr>
        <w:pStyle w:val="NoSpacing"/>
        <w:spacing w:line="276" w:lineRule="auto"/>
        <w:jc w:val="both"/>
        <w:rPr>
          <w:szCs w:val="24"/>
        </w:rPr>
      </w:pPr>
    </w:p>
    <w:p w14:paraId="0C4749AC" w14:textId="3E51054F" w:rsidR="00B5372F" w:rsidRPr="0021135B" w:rsidRDefault="00B5372F" w:rsidP="005948CB">
      <w:pPr>
        <w:pStyle w:val="NoSpacing"/>
        <w:spacing w:line="276" w:lineRule="auto"/>
        <w:ind w:firstLine="720"/>
        <w:jc w:val="both"/>
        <w:rPr>
          <w:rFonts w:asciiTheme="majorBidi" w:hAnsiTheme="majorBidi" w:cstheme="majorBidi"/>
          <w:szCs w:val="24"/>
          <w14:ligatures w14:val="standardContextual"/>
        </w:rPr>
      </w:pPr>
      <w:r w:rsidRPr="0021135B">
        <w:rPr>
          <w:rFonts w:asciiTheme="majorBidi" w:hAnsiTheme="majorBidi" w:cstheme="majorBidi"/>
          <w:szCs w:val="24"/>
        </w:rPr>
        <w:t>[1]</w:t>
      </w:r>
      <w:r w:rsidR="004F4BC2" w:rsidRPr="0021135B">
        <w:rPr>
          <w:rFonts w:asciiTheme="majorBidi" w:hAnsiTheme="majorBidi" w:cstheme="majorBidi"/>
          <w:szCs w:val="24"/>
        </w:rPr>
        <w:t> </w:t>
      </w:r>
      <w:r w:rsidRPr="0021135B">
        <w:rPr>
          <w:rFonts w:asciiTheme="majorBidi" w:hAnsiTheme="majorBidi" w:cstheme="majorBidi"/>
          <w:szCs w:val="24"/>
        </w:rPr>
        <w:t xml:space="preserve">Ar </w:t>
      </w:r>
      <w:r w:rsidR="00E550FE" w:rsidRPr="0021135B">
        <w:rPr>
          <w:rFonts w:asciiTheme="majorBidi" w:hAnsiTheme="majorBidi" w:cstheme="majorBidi"/>
          <w:szCs w:val="24"/>
          <w14:ligatures w14:val="standardContextual"/>
        </w:rPr>
        <w:t>Rīgas pilsētas</w:t>
      </w:r>
      <w:r w:rsidRPr="0021135B">
        <w:rPr>
          <w:rFonts w:asciiTheme="majorBidi" w:hAnsiTheme="majorBidi" w:cstheme="majorBidi"/>
          <w:szCs w:val="24"/>
          <w14:ligatures w14:val="standardContextual"/>
        </w:rPr>
        <w:t xml:space="preserve"> tiesas 2023. gada </w:t>
      </w:r>
      <w:r w:rsidR="00E550FE" w:rsidRPr="0021135B">
        <w:rPr>
          <w:rFonts w:asciiTheme="majorBidi" w:hAnsiTheme="majorBidi" w:cstheme="majorBidi"/>
          <w:szCs w:val="24"/>
          <w14:ligatures w14:val="standardContextual"/>
        </w:rPr>
        <w:t>20</w:t>
      </w:r>
      <w:r w:rsidR="00517D46" w:rsidRPr="0021135B">
        <w:rPr>
          <w:rFonts w:asciiTheme="majorBidi" w:hAnsiTheme="majorBidi" w:cstheme="majorBidi"/>
          <w:szCs w:val="24"/>
          <w14:ligatures w14:val="standardContextual"/>
        </w:rPr>
        <w:t>. aprīļa</w:t>
      </w:r>
      <w:r w:rsidRPr="0021135B">
        <w:rPr>
          <w:rFonts w:asciiTheme="majorBidi" w:hAnsiTheme="majorBidi" w:cstheme="majorBidi"/>
          <w:szCs w:val="24"/>
          <w14:ligatures w14:val="standardContextual"/>
        </w:rPr>
        <w:t xml:space="preserve"> spriedumu </w:t>
      </w:r>
    </w:p>
    <w:p w14:paraId="25E21464" w14:textId="4127AA07" w:rsidR="00B5372F" w:rsidRPr="0021135B" w:rsidRDefault="00ED5490" w:rsidP="005948CB">
      <w:pPr>
        <w:pStyle w:val="NoSpacing"/>
        <w:spacing w:line="276" w:lineRule="auto"/>
        <w:ind w:firstLine="720"/>
        <w:jc w:val="both"/>
        <w:rPr>
          <w:rFonts w:asciiTheme="majorBidi" w:hAnsiTheme="majorBidi" w:cstheme="majorBidi"/>
          <w:szCs w:val="24"/>
          <w14:ligatures w14:val="standardContextual"/>
        </w:rPr>
      </w:pPr>
      <w:r>
        <w:rPr>
          <w:szCs w:val="24"/>
        </w:rPr>
        <w:t>[pers. A]</w:t>
      </w:r>
      <w:r w:rsidR="00B5372F" w:rsidRPr="0021135B">
        <w:rPr>
          <w:szCs w:val="24"/>
        </w:rPr>
        <w:t xml:space="preserve">, personas kods </w:t>
      </w:r>
      <w:r>
        <w:rPr>
          <w:szCs w:val="24"/>
        </w:rPr>
        <w:t>[..]</w:t>
      </w:r>
      <w:r w:rsidR="00B5372F" w:rsidRPr="0021135B">
        <w:rPr>
          <w:szCs w:val="24"/>
        </w:rPr>
        <w:t>,</w:t>
      </w:r>
    </w:p>
    <w:p w14:paraId="6D35100D" w14:textId="1C5E679F" w:rsidR="00B5372F" w:rsidRPr="0021135B" w:rsidRDefault="00B5372F" w:rsidP="005948CB">
      <w:pPr>
        <w:pStyle w:val="NoSpacing"/>
        <w:spacing w:line="276" w:lineRule="auto"/>
        <w:ind w:firstLine="720"/>
        <w:jc w:val="both"/>
        <w:rPr>
          <w:szCs w:val="24"/>
        </w:rPr>
      </w:pPr>
      <w:r w:rsidRPr="0021135B">
        <w:rPr>
          <w:rFonts w:eastAsia="Times New Roman"/>
          <w:szCs w:val="24"/>
        </w:rPr>
        <w:t>atzīts</w:t>
      </w:r>
      <w:r w:rsidRPr="0021135B">
        <w:rPr>
          <w:szCs w:val="24"/>
        </w:rPr>
        <w:t xml:space="preserve"> par vainīgu Krimināllikuma </w:t>
      </w:r>
      <w:r w:rsidR="00E550FE" w:rsidRPr="0021135B">
        <w:rPr>
          <w:szCs w:val="24"/>
        </w:rPr>
        <w:t>253</w:t>
      </w:r>
      <w:r w:rsidRPr="0021135B">
        <w:rPr>
          <w:szCs w:val="24"/>
        </w:rPr>
        <w:t>.</w:t>
      </w:r>
      <w:r w:rsidR="00E550FE" w:rsidRPr="0021135B">
        <w:rPr>
          <w:szCs w:val="24"/>
          <w:vertAlign w:val="superscript"/>
        </w:rPr>
        <w:t>1</w:t>
      </w:r>
      <w:r w:rsidRPr="0021135B">
        <w:rPr>
          <w:szCs w:val="24"/>
        </w:rPr>
        <w:t> panta</w:t>
      </w:r>
      <w:r w:rsidR="00923E28" w:rsidRPr="0021135B">
        <w:rPr>
          <w:szCs w:val="24"/>
        </w:rPr>
        <w:t xml:space="preserve"> pirmajā</w:t>
      </w:r>
      <w:r w:rsidRPr="0021135B">
        <w:rPr>
          <w:szCs w:val="24"/>
        </w:rPr>
        <w:t xml:space="preserve"> daļā paredzētajā noziedzīgajā nodarījumā un sodīts ar</w:t>
      </w:r>
      <w:r w:rsidR="00923E28" w:rsidRPr="0021135B">
        <w:rPr>
          <w:szCs w:val="24"/>
        </w:rPr>
        <w:t xml:space="preserve"> </w:t>
      </w:r>
      <w:r w:rsidRPr="0021135B">
        <w:rPr>
          <w:szCs w:val="24"/>
        </w:rPr>
        <w:t xml:space="preserve">brīvības atņemšanu uz </w:t>
      </w:r>
      <w:r w:rsidR="00E550FE" w:rsidRPr="0021135B">
        <w:rPr>
          <w:szCs w:val="24"/>
        </w:rPr>
        <w:t xml:space="preserve">5 gadiem 6 mēnešiem un </w:t>
      </w:r>
      <w:r w:rsidR="003D0CD4">
        <w:rPr>
          <w:szCs w:val="24"/>
        </w:rPr>
        <w:t xml:space="preserve">ar </w:t>
      </w:r>
      <w:r w:rsidR="00E550FE" w:rsidRPr="0021135B">
        <w:rPr>
          <w:szCs w:val="24"/>
        </w:rPr>
        <w:t xml:space="preserve">probācijas uzraudzību </w:t>
      </w:r>
      <w:r w:rsidRPr="0021135B">
        <w:rPr>
          <w:szCs w:val="24"/>
        </w:rPr>
        <w:t xml:space="preserve">uz </w:t>
      </w:r>
      <w:r w:rsidR="00517D46" w:rsidRPr="0021135B">
        <w:rPr>
          <w:szCs w:val="24"/>
        </w:rPr>
        <w:t>3</w:t>
      </w:r>
      <w:r w:rsidRPr="0021135B">
        <w:rPr>
          <w:szCs w:val="24"/>
        </w:rPr>
        <w:t xml:space="preserve"> gadiem;</w:t>
      </w:r>
    </w:p>
    <w:p w14:paraId="4179A80C" w14:textId="3F57EC62" w:rsidR="00517D46" w:rsidRPr="0021135B" w:rsidRDefault="00517D46" w:rsidP="005948CB">
      <w:pPr>
        <w:pStyle w:val="NoSpacing"/>
        <w:spacing w:line="276" w:lineRule="auto"/>
        <w:ind w:firstLine="720"/>
        <w:jc w:val="both"/>
        <w:rPr>
          <w:szCs w:val="24"/>
        </w:rPr>
      </w:pPr>
      <w:r w:rsidRPr="0021135B">
        <w:rPr>
          <w:rFonts w:eastAsia="Times New Roman"/>
          <w:szCs w:val="24"/>
        </w:rPr>
        <w:t>atzīts</w:t>
      </w:r>
      <w:r w:rsidRPr="0021135B">
        <w:rPr>
          <w:szCs w:val="24"/>
        </w:rPr>
        <w:t xml:space="preserve"> par </w:t>
      </w:r>
      <w:r w:rsidR="00E550FE" w:rsidRPr="0021135B">
        <w:rPr>
          <w:szCs w:val="24"/>
        </w:rPr>
        <w:t>ne</w:t>
      </w:r>
      <w:r w:rsidRPr="0021135B">
        <w:rPr>
          <w:szCs w:val="24"/>
        </w:rPr>
        <w:t>vainīgu Krimināllikuma 2</w:t>
      </w:r>
      <w:r w:rsidR="00E550FE" w:rsidRPr="0021135B">
        <w:rPr>
          <w:szCs w:val="24"/>
        </w:rPr>
        <w:t>53</w:t>
      </w:r>
      <w:r w:rsidRPr="0021135B">
        <w:rPr>
          <w:szCs w:val="24"/>
        </w:rPr>
        <w:t xml:space="preserve">. panta pirmajā daļā paredzētajā noziedzīgajā nodarījumā un </w:t>
      </w:r>
      <w:r w:rsidR="00E550FE" w:rsidRPr="0021135B">
        <w:rPr>
          <w:szCs w:val="24"/>
        </w:rPr>
        <w:t>attaisnots.</w:t>
      </w:r>
    </w:p>
    <w:p w14:paraId="7ECB0078" w14:textId="48093138" w:rsidR="00B5372F" w:rsidRPr="0021135B" w:rsidRDefault="00B5372F" w:rsidP="005948CB">
      <w:pPr>
        <w:pStyle w:val="NoSpacing"/>
        <w:spacing w:line="276" w:lineRule="auto"/>
        <w:ind w:firstLine="720"/>
        <w:jc w:val="both"/>
      </w:pPr>
      <w:r w:rsidRPr="0021135B">
        <w:rPr>
          <w:szCs w:val="24"/>
        </w:rPr>
        <w:t xml:space="preserve">Saskaņā ar Krimināllikuma 50. panta </w:t>
      </w:r>
      <w:r w:rsidR="00E550FE" w:rsidRPr="0021135B">
        <w:rPr>
          <w:szCs w:val="24"/>
        </w:rPr>
        <w:t>piekto daļu</w:t>
      </w:r>
      <w:r w:rsidR="000C4F38" w:rsidRPr="0021135B">
        <w:t xml:space="preserve"> </w:t>
      </w:r>
      <w:r w:rsidR="00517D46" w:rsidRPr="0021135B">
        <w:t xml:space="preserve">galīgais </w:t>
      </w:r>
      <w:r w:rsidRPr="0021135B">
        <w:t>sods</w:t>
      </w:r>
      <w:r w:rsidR="00D32B2E" w:rsidRPr="0021135B">
        <w:t xml:space="preserve"> </w:t>
      </w:r>
      <w:r w:rsidR="00ED5490">
        <w:rPr>
          <w:szCs w:val="24"/>
        </w:rPr>
        <w:t>[pers. A]</w:t>
      </w:r>
      <w:r w:rsidR="00E550FE" w:rsidRPr="0021135B">
        <w:t xml:space="preserve"> </w:t>
      </w:r>
      <w:r w:rsidRPr="0021135B">
        <w:t xml:space="preserve">noteikts brīvības atņemšana uz </w:t>
      </w:r>
      <w:r w:rsidR="00E550FE" w:rsidRPr="0021135B">
        <w:t>5 gadiem 9 mēnešiem un probācijas uzraudzība uz 3 gadiem.</w:t>
      </w:r>
    </w:p>
    <w:p w14:paraId="4CDDEAF0" w14:textId="77777777" w:rsidR="00B5372F" w:rsidRPr="0021135B" w:rsidRDefault="00B5372F" w:rsidP="005948CB">
      <w:pPr>
        <w:spacing w:line="276" w:lineRule="auto"/>
        <w:ind w:firstLine="720"/>
        <w:contextualSpacing/>
        <w:jc w:val="both"/>
        <w:rPr>
          <w:rFonts w:asciiTheme="majorBidi" w:hAnsiTheme="majorBidi" w:cstheme="majorBidi"/>
          <w:szCs w:val="24"/>
        </w:rPr>
      </w:pPr>
    </w:p>
    <w:p w14:paraId="5BF6849B" w14:textId="79531D8C" w:rsidR="00E550FE" w:rsidRPr="0021135B" w:rsidRDefault="00B5372F" w:rsidP="005948CB">
      <w:pPr>
        <w:spacing w:line="276" w:lineRule="auto"/>
        <w:ind w:firstLine="720"/>
        <w:contextualSpacing/>
        <w:jc w:val="both"/>
        <w:rPr>
          <w:rFonts w:asciiTheme="majorBidi" w:hAnsiTheme="majorBidi" w:cstheme="majorBidi"/>
          <w:szCs w:val="24"/>
        </w:rPr>
      </w:pPr>
      <w:r w:rsidRPr="0021135B">
        <w:rPr>
          <w:rFonts w:asciiTheme="majorBidi" w:hAnsiTheme="majorBidi" w:cstheme="majorBidi"/>
          <w:szCs w:val="24"/>
        </w:rPr>
        <w:t xml:space="preserve">[2] Ar </w:t>
      </w:r>
      <w:r w:rsidR="00E550FE" w:rsidRPr="0021135B">
        <w:rPr>
          <w:rFonts w:asciiTheme="majorBidi" w:hAnsiTheme="majorBidi" w:cstheme="majorBidi"/>
          <w:szCs w:val="24"/>
        </w:rPr>
        <w:t>Rīgas pilsētas</w:t>
      </w:r>
      <w:r w:rsidRPr="0021135B">
        <w:rPr>
          <w:rFonts w:asciiTheme="majorBidi" w:hAnsiTheme="majorBidi" w:cstheme="majorBidi"/>
          <w:szCs w:val="24"/>
        </w:rPr>
        <w:t xml:space="preserve"> tiesas </w:t>
      </w:r>
      <w:r w:rsidRPr="0021135B">
        <w:rPr>
          <w:rFonts w:asciiTheme="majorBidi" w:hAnsiTheme="majorBidi" w:cstheme="majorBidi"/>
          <w:szCs w:val="24"/>
          <w14:ligatures w14:val="standardContextual"/>
        </w:rPr>
        <w:t xml:space="preserve">2023. gada </w:t>
      </w:r>
      <w:r w:rsidR="00E550FE" w:rsidRPr="0021135B">
        <w:rPr>
          <w:rFonts w:asciiTheme="majorBidi" w:hAnsiTheme="majorBidi" w:cstheme="majorBidi"/>
          <w:szCs w:val="24"/>
          <w14:ligatures w14:val="standardContextual"/>
        </w:rPr>
        <w:t>20</w:t>
      </w:r>
      <w:r w:rsidR="00517D46" w:rsidRPr="0021135B">
        <w:rPr>
          <w:rFonts w:asciiTheme="majorBidi" w:hAnsiTheme="majorBidi" w:cstheme="majorBidi"/>
          <w:szCs w:val="24"/>
          <w14:ligatures w14:val="standardContextual"/>
        </w:rPr>
        <w:t>. aprīļa</w:t>
      </w:r>
      <w:r w:rsidRPr="0021135B">
        <w:rPr>
          <w:rFonts w:asciiTheme="majorBidi" w:hAnsiTheme="majorBidi" w:cstheme="majorBidi"/>
          <w:szCs w:val="24"/>
          <w14:ligatures w14:val="standardContextual"/>
        </w:rPr>
        <w:t xml:space="preserve"> </w:t>
      </w:r>
      <w:r w:rsidRPr="0021135B">
        <w:rPr>
          <w:rFonts w:asciiTheme="majorBidi" w:hAnsiTheme="majorBidi" w:cstheme="majorBidi"/>
          <w:szCs w:val="24"/>
        </w:rPr>
        <w:t xml:space="preserve">spriedumu </w:t>
      </w:r>
      <w:r w:rsidR="00283F26">
        <w:rPr>
          <w:szCs w:val="24"/>
        </w:rPr>
        <w:t>[pers. A]</w:t>
      </w:r>
      <w:r w:rsidR="00417CDD" w:rsidRPr="0021135B">
        <w:rPr>
          <w:rFonts w:asciiTheme="majorBidi" w:hAnsiTheme="majorBidi" w:cstheme="majorBidi"/>
          <w:szCs w:val="24"/>
        </w:rPr>
        <w:t xml:space="preserve"> </w:t>
      </w:r>
      <w:r w:rsidRPr="0021135B">
        <w:rPr>
          <w:rFonts w:asciiTheme="majorBidi" w:hAnsiTheme="majorBidi" w:cstheme="majorBidi"/>
          <w:szCs w:val="24"/>
        </w:rPr>
        <w:t>atzīts par vainīgu un sodīts pēc Krimināllikuma 2</w:t>
      </w:r>
      <w:r w:rsidR="00E550FE" w:rsidRPr="0021135B">
        <w:rPr>
          <w:rFonts w:asciiTheme="majorBidi" w:hAnsiTheme="majorBidi" w:cstheme="majorBidi"/>
          <w:szCs w:val="24"/>
        </w:rPr>
        <w:t>53</w:t>
      </w:r>
      <w:r w:rsidRPr="0021135B">
        <w:rPr>
          <w:rFonts w:asciiTheme="majorBidi" w:hAnsiTheme="majorBidi" w:cstheme="majorBidi"/>
          <w:szCs w:val="24"/>
        </w:rPr>
        <w:t>.</w:t>
      </w:r>
      <w:r w:rsidR="00E550FE" w:rsidRPr="0021135B">
        <w:rPr>
          <w:rFonts w:asciiTheme="majorBidi" w:hAnsiTheme="majorBidi" w:cstheme="majorBidi"/>
          <w:szCs w:val="24"/>
          <w:vertAlign w:val="superscript"/>
        </w:rPr>
        <w:t>1</w:t>
      </w:r>
      <w:r w:rsidRPr="0021135B">
        <w:rPr>
          <w:rFonts w:asciiTheme="majorBidi" w:hAnsiTheme="majorBidi" w:cstheme="majorBidi"/>
          <w:szCs w:val="24"/>
        </w:rPr>
        <w:t xml:space="preserve"> panta </w:t>
      </w:r>
      <w:r w:rsidR="00923E28" w:rsidRPr="0021135B">
        <w:rPr>
          <w:rFonts w:asciiTheme="majorBidi" w:hAnsiTheme="majorBidi" w:cstheme="majorBidi"/>
          <w:szCs w:val="24"/>
        </w:rPr>
        <w:t>pirmā</w:t>
      </w:r>
      <w:r w:rsidRPr="0021135B">
        <w:rPr>
          <w:rFonts w:asciiTheme="majorBidi" w:hAnsiTheme="majorBidi" w:cstheme="majorBidi"/>
          <w:szCs w:val="24"/>
        </w:rPr>
        <w:t xml:space="preserve">s daļas par </w:t>
      </w:r>
      <w:r w:rsidR="00E550FE" w:rsidRPr="0021135B">
        <w:rPr>
          <w:rFonts w:asciiTheme="majorBidi" w:hAnsiTheme="majorBidi" w:cstheme="majorBidi"/>
          <w:szCs w:val="24"/>
        </w:rPr>
        <w:t>to, ka viņš neatļauti iegādājās</w:t>
      </w:r>
      <w:r w:rsidR="00634789" w:rsidRPr="0021135B">
        <w:rPr>
          <w:rFonts w:asciiTheme="majorBidi" w:hAnsiTheme="majorBidi" w:cstheme="majorBidi"/>
          <w:szCs w:val="24"/>
        </w:rPr>
        <w:t xml:space="preserve"> un</w:t>
      </w:r>
      <w:r w:rsidR="00E550FE" w:rsidRPr="0021135B">
        <w:rPr>
          <w:rFonts w:asciiTheme="majorBidi" w:hAnsiTheme="majorBidi" w:cstheme="majorBidi"/>
          <w:szCs w:val="24"/>
        </w:rPr>
        <w:t xml:space="preserve"> glabāja narkotiskās un psihotropās vielas realizācijas nolūkā un neatļauti realizēja psihotropo vielu.</w:t>
      </w:r>
    </w:p>
    <w:p w14:paraId="558DCE8C" w14:textId="40FB66AA" w:rsidR="00E550FE" w:rsidRPr="0021135B" w:rsidRDefault="00092DE2" w:rsidP="005948CB">
      <w:pPr>
        <w:spacing w:line="276" w:lineRule="auto"/>
        <w:ind w:firstLine="720"/>
        <w:contextualSpacing/>
        <w:jc w:val="both"/>
        <w:rPr>
          <w:rFonts w:asciiTheme="majorBidi" w:hAnsiTheme="majorBidi" w:cstheme="majorBidi"/>
          <w:szCs w:val="24"/>
        </w:rPr>
      </w:pPr>
      <w:proofErr w:type="spellStart"/>
      <w:r w:rsidRPr="0021135B">
        <w:rPr>
          <w:rFonts w:asciiTheme="majorBidi" w:hAnsiTheme="majorBidi" w:cstheme="majorBidi"/>
          <w:szCs w:val="24"/>
        </w:rPr>
        <w:t>Pirmstiesas</w:t>
      </w:r>
      <w:proofErr w:type="spellEnd"/>
      <w:r w:rsidRPr="0021135B">
        <w:rPr>
          <w:rFonts w:asciiTheme="majorBidi" w:hAnsiTheme="majorBidi" w:cstheme="majorBidi"/>
          <w:szCs w:val="24"/>
        </w:rPr>
        <w:t xml:space="preserve"> kriminālprocesā </w:t>
      </w:r>
      <w:r w:rsidR="00283F26">
        <w:rPr>
          <w:szCs w:val="24"/>
        </w:rPr>
        <w:t>[pers. A]</w:t>
      </w:r>
      <w:r w:rsidRPr="0021135B">
        <w:rPr>
          <w:rFonts w:asciiTheme="majorBidi" w:hAnsiTheme="majorBidi" w:cstheme="majorBidi"/>
          <w:szCs w:val="24"/>
        </w:rPr>
        <w:t xml:space="preserve"> celta apsūdzība pēc Krimināllikuma 253. panta pirmās daļas par to, ka viņš neatļauti iegādājās un glabāja psihotropo vielu bez nolūka to realizēt. </w:t>
      </w:r>
    </w:p>
    <w:p w14:paraId="52D8DCE4" w14:textId="77777777" w:rsidR="00B5372F" w:rsidRPr="0021135B" w:rsidRDefault="00B5372F" w:rsidP="005948CB">
      <w:pPr>
        <w:spacing w:line="276" w:lineRule="auto"/>
        <w:ind w:firstLine="720"/>
        <w:contextualSpacing/>
        <w:jc w:val="both"/>
        <w:rPr>
          <w:rFonts w:asciiTheme="majorBidi" w:hAnsiTheme="majorBidi" w:cstheme="majorBidi"/>
        </w:rPr>
      </w:pPr>
    </w:p>
    <w:p w14:paraId="79E74EF3" w14:textId="0884071D" w:rsidR="00154075" w:rsidRPr="0021135B" w:rsidRDefault="00B5372F" w:rsidP="005948CB">
      <w:pPr>
        <w:spacing w:line="276" w:lineRule="auto"/>
        <w:ind w:firstLine="720"/>
        <w:contextualSpacing/>
        <w:jc w:val="both"/>
        <w:rPr>
          <w:rFonts w:asciiTheme="majorBidi" w:hAnsiTheme="majorBidi" w:cstheme="majorBidi"/>
        </w:rPr>
      </w:pPr>
      <w:r w:rsidRPr="0021135B">
        <w:rPr>
          <w:rFonts w:asciiTheme="majorBidi" w:hAnsiTheme="majorBidi" w:cstheme="majorBidi"/>
        </w:rPr>
        <w:t xml:space="preserve">[3] Ar </w:t>
      </w:r>
      <w:r w:rsidR="00092DE2" w:rsidRPr="0021135B">
        <w:rPr>
          <w:rFonts w:asciiTheme="majorBidi" w:hAnsiTheme="majorBidi" w:cstheme="majorBidi"/>
        </w:rPr>
        <w:t>Latgales</w:t>
      </w:r>
      <w:r w:rsidRPr="0021135B">
        <w:rPr>
          <w:rFonts w:asciiTheme="majorBidi" w:hAnsiTheme="majorBidi" w:cstheme="majorBidi"/>
        </w:rPr>
        <w:t xml:space="preserve"> apgabaltiesas </w:t>
      </w:r>
      <w:bookmarkStart w:id="0" w:name="_Hlk160712364"/>
      <w:r w:rsidRPr="0021135B">
        <w:rPr>
          <w:rFonts w:ascii="TimesNewRomanPSMT" w:hAnsi="TimesNewRomanPSMT" w:cs="TimesNewRomanPSMT"/>
          <w:szCs w:val="24"/>
          <w14:ligatures w14:val="standardContextual"/>
        </w:rPr>
        <w:t>202</w:t>
      </w:r>
      <w:r w:rsidR="00923E28" w:rsidRPr="0021135B">
        <w:rPr>
          <w:rFonts w:ascii="TimesNewRomanPSMT" w:hAnsi="TimesNewRomanPSMT" w:cs="TimesNewRomanPSMT"/>
          <w:szCs w:val="24"/>
          <w14:ligatures w14:val="standardContextual"/>
        </w:rPr>
        <w:t>4</w:t>
      </w:r>
      <w:r w:rsidRPr="0021135B">
        <w:rPr>
          <w:rFonts w:ascii="TimesNewRomanPSMT" w:hAnsi="TimesNewRomanPSMT" w:cs="TimesNewRomanPSMT"/>
          <w:szCs w:val="24"/>
          <w14:ligatures w14:val="standardContextual"/>
        </w:rPr>
        <w:t xml:space="preserve">. gada </w:t>
      </w:r>
      <w:bookmarkEnd w:id="0"/>
      <w:r w:rsidR="00092DE2" w:rsidRPr="0021135B">
        <w:rPr>
          <w:rFonts w:ascii="TimesNewRomanPSMT" w:hAnsi="TimesNewRomanPSMT" w:cs="TimesNewRomanPSMT"/>
          <w:szCs w:val="24"/>
          <w14:ligatures w14:val="standardContextual"/>
        </w:rPr>
        <w:t>28. februār</w:t>
      </w:r>
      <w:r w:rsidR="00430C30" w:rsidRPr="0021135B">
        <w:rPr>
          <w:rFonts w:ascii="TimesNewRomanPSMT" w:hAnsi="TimesNewRomanPSMT" w:cs="TimesNewRomanPSMT"/>
          <w:szCs w:val="24"/>
          <w14:ligatures w14:val="standardContextual"/>
        </w:rPr>
        <w:t>a</w:t>
      </w:r>
      <w:r w:rsidR="00923E28" w:rsidRPr="0021135B">
        <w:rPr>
          <w:rFonts w:ascii="TimesNewRomanPSMT" w:hAnsi="TimesNewRomanPSMT" w:cs="TimesNewRomanPSMT"/>
          <w:szCs w:val="24"/>
          <w14:ligatures w14:val="standardContextual"/>
        </w:rPr>
        <w:t xml:space="preserve"> spriedumu</w:t>
      </w:r>
      <w:r w:rsidRPr="0021135B">
        <w:rPr>
          <w:rFonts w:asciiTheme="majorBidi" w:hAnsiTheme="majorBidi" w:cstheme="majorBidi"/>
        </w:rPr>
        <w:t xml:space="preserve">, iztiesājot krimināllietu apelācijas kārtībā sakarā ar apsūdzētā </w:t>
      </w:r>
      <w:r w:rsidR="00283F26">
        <w:rPr>
          <w:szCs w:val="24"/>
        </w:rPr>
        <w:t>[pers. A]</w:t>
      </w:r>
      <w:r w:rsidR="00092DE2" w:rsidRPr="0021135B">
        <w:rPr>
          <w:rFonts w:asciiTheme="majorBidi" w:hAnsiTheme="majorBidi" w:cstheme="majorBidi"/>
        </w:rPr>
        <w:t xml:space="preserve"> un viņa</w:t>
      </w:r>
      <w:r w:rsidR="00517D46" w:rsidRPr="0021135B">
        <w:rPr>
          <w:rFonts w:asciiTheme="majorBidi" w:hAnsiTheme="majorBidi" w:cstheme="majorBidi"/>
        </w:rPr>
        <w:t xml:space="preserve"> aizstāves zvērinātas advokātes </w:t>
      </w:r>
      <w:r w:rsidR="00092DE2" w:rsidRPr="0021135B">
        <w:rPr>
          <w:rFonts w:asciiTheme="majorBidi" w:hAnsiTheme="majorBidi" w:cstheme="majorBidi"/>
        </w:rPr>
        <w:t xml:space="preserve">Daigas </w:t>
      </w:r>
      <w:proofErr w:type="spellStart"/>
      <w:r w:rsidR="00092DE2" w:rsidRPr="0021135B">
        <w:rPr>
          <w:rFonts w:asciiTheme="majorBidi" w:hAnsiTheme="majorBidi" w:cstheme="majorBidi"/>
        </w:rPr>
        <w:t>Nāckalnas</w:t>
      </w:r>
      <w:r w:rsidR="004F1CD7" w:rsidRPr="0021135B">
        <w:rPr>
          <w:rFonts w:asciiTheme="majorBidi" w:hAnsiTheme="majorBidi" w:cstheme="majorBidi"/>
        </w:rPr>
        <w:t>-</w:t>
      </w:r>
      <w:r w:rsidR="00092DE2" w:rsidRPr="0021135B">
        <w:rPr>
          <w:rFonts w:asciiTheme="majorBidi" w:hAnsiTheme="majorBidi" w:cstheme="majorBidi"/>
        </w:rPr>
        <w:t>Bivbānes</w:t>
      </w:r>
      <w:proofErr w:type="spellEnd"/>
      <w:r w:rsidRPr="0021135B">
        <w:rPr>
          <w:rFonts w:asciiTheme="majorBidi" w:hAnsiTheme="majorBidi" w:cstheme="majorBidi"/>
        </w:rPr>
        <w:t xml:space="preserve"> apelācijas sūdzīb</w:t>
      </w:r>
      <w:r w:rsidR="00092DE2" w:rsidRPr="0021135B">
        <w:rPr>
          <w:rFonts w:asciiTheme="majorBidi" w:hAnsiTheme="majorBidi" w:cstheme="majorBidi"/>
        </w:rPr>
        <w:t>ām un Daudznozaru specializētās prokuratūras prokurora Roberta Stivriņa apelācijas protestu</w:t>
      </w:r>
      <w:r w:rsidRPr="0021135B">
        <w:rPr>
          <w:rFonts w:asciiTheme="majorBidi" w:hAnsiTheme="majorBidi" w:cstheme="majorBidi"/>
        </w:rPr>
        <w:t xml:space="preserve">, </w:t>
      </w:r>
      <w:r w:rsidR="00092DE2" w:rsidRPr="0021135B">
        <w:rPr>
          <w:rFonts w:asciiTheme="majorBidi" w:hAnsiTheme="majorBidi" w:cstheme="majorBidi"/>
        </w:rPr>
        <w:t>Rīgas pilsētas</w:t>
      </w:r>
      <w:r w:rsidRPr="0021135B">
        <w:rPr>
          <w:rFonts w:asciiTheme="majorBidi" w:hAnsiTheme="majorBidi" w:cstheme="majorBidi"/>
        </w:rPr>
        <w:t xml:space="preserve"> tiesas </w:t>
      </w:r>
      <w:r w:rsidRPr="0021135B">
        <w:rPr>
          <w:rFonts w:asciiTheme="majorBidi" w:hAnsiTheme="majorBidi" w:cstheme="majorBidi"/>
          <w:szCs w:val="24"/>
          <w14:ligatures w14:val="standardContextual"/>
        </w:rPr>
        <w:t xml:space="preserve">2023. gada </w:t>
      </w:r>
      <w:r w:rsidR="00092DE2" w:rsidRPr="0021135B">
        <w:rPr>
          <w:rFonts w:asciiTheme="majorBidi" w:hAnsiTheme="majorBidi" w:cstheme="majorBidi"/>
          <w:szCs w:val="24"/>
          <w14:ligatures w14:val="standardContextual"/>
        </w:rPr>
        <w:lastRenderedPageBreak/>
        <w:t>20</w:t>
      </w:r>
      <w:r w:rsidR="00517D46" w:rsidRPr="0021135B">
        <w:rPr>
          <w:rFonts w:asciiTheme="majorBidi" w:hAnsiTheme="majorBidi" w:cstheme="majorBidi"/>
          <w:szCs w:val="24"/>
          <w14:ligatures w14:val="standardContextual"/>
        </w:rPr>
        <w:t>. aprīļa</w:t>
      </w:r>
      <w:r w:rsidRPr="0021135B">
        <w:rPr>
          <w:rFonts w:asciiTheme="majorBidi" w:hAnsiTheme="majorBidi" w:cstheme="majorBidi"/>
          <w:szCs w:val="24"/>
          <w14:ligatures w14:val="standardContextual"/>
        </w:rPr>
        <w:t xml:space="preserve"> </w:t>
      </w:r>
      <w:r w:rsidRPr="0021135B">
        <w:rPr>
          <w:rFonts w:asciiTheme="majorBidi" w:hAnsiTheme="majorBidi" w:cstheme="majorBidi"/>
        </w:rPr>
        <w:t xml:space="preserve">spriedums </w:t>
      </w:r>
      <w:r w:rsidR="00154075" w:rsidRPr="0021135B">
        <w:rPr>
          <w:rFonts w:asciiTheme="majorBidi" w:hAnsiTheme="majorBidi" w:cstheme="majorBidi"/>
        </w:rPr>
        <w:t xml:space="preserve">atcelts daļā par </w:t>
      </w:r>
      <w:r w:rsidR="00283F26">
        <w:rPr>
          <w:szCs w:val="24"/>
        </w:rPr>
        <w:t>[pers. A]</w:t>
      </w:r>
      <w:r w:rsidR="00092DE2" w:rsidRPr="0021135B">
        <w:rPr>
          <w:rFonts w:asciiTheme="majorBidi" w:hAnsiTheme="majorBidi" w:cstheme="majorBidi"/>
        </w:rPr>
        <w:t xml:space="preserve"> atzīšanu par vainīgu pēc Krimināllikuma 253.</w:t>
      </w:r>
      <w:r w:rsidR="00092DE2" w:rsidRPr="0021135B">
        <w:rPr>
          <w:rFonts w:asciiTheme="majorBidi" w:hAnsiTheme="majorBidi" w:cstheme="majorBidi"/>
          <w:vertAlign w:val="superscript"/>
        </w:rPr>
        <w:t>1</w:t>
      </w:r>
      <w:r w:rsidR="00092DE2" w:rsidRPr="0021135B">
        <w:rPr>
          <w:rFonts w:asciiTheme="majorBidi" w:hAnsiTheme="majorBidi" w:cstheme="majorBidi"/>
        </w:rPr>
        <w:t> panta pirmās daļas un atzīšanu par nevainīgu apsūdzībā pēc Krimināllikuma 253. panta pirmās daļas</w:t>
      </w:r>
      <w:r w:rsidR="00634789" w:rsidRPr="0021135B">
        <w:rPr>
          <w:rFonts w:asciiTheme="majorBidi" w:hAnsiTheme="majorBidi" w:cstheme="majorBidi"/>
        </w:rPr>
        <w:t xml:space="preserve"> un attaisnoš</w:t>
      </w:r>
      <w:r w:rsidR="003D0CD4">
        <w:rPr>
          <w:rFonts w:asciiTheme="majorBidi" w:hAnsiTheme="majorBidi" w:cstheme="majorBidi"/>
        </w:rPr>
        <w:t>a</w:t>
      </w:r>
      <w:r w:rsidR="00634789" w:rsidRPr="0021135B">
        <w:rPr>
          <w:rFonts w:asciiTheme="majorBidi" w:hAnsiTheme="majorBidi" w:cstheme="majorBidi"/>
        </w:rPr>
        <w:t>nu</w:t>
      </w:r>
      <w:r w:rsidR="00092DE2" w:rsidRPr="0021135B">
        <w:rPr>
          <w:rFonts w:asciiTheme="majorBidi" w:hAnsiTheme="majorBidi" w:cstheme="majorBidi"/>
        </w:rPr>
        <w:t>, daļā par noteikto galīgo sodu saskaņā ar Krimināllikuma 50. panta piekt</w:t>
      </w:r>
      <w:r w:rsidR="003D0CD4">
        <w:rPr>
          <w:rFonts w:asciiTheme="majorBidi" w:hAnsiTheme="majorBidi" w:cstheme="majorBidi"/>
        </w:rPr>
        <w:t>o</w:t>
      </w:r>
      <w:r w:rsidR="00092DE2" w:rsidRPr="0021135B">
        <w:rPr>
          <w:rFonts w:asciiTheme="majorBidi" w:hAnsiTheme="majorBidi" w:cstheme="majorBidi"/>
        </w:rPr>
        <w:t xml:space="preserve"> daļ</w:t>
      </w:r>
      <w:r w:rsidR="003D0CD4">
        <w:rPr>
          <w:rFonts w:asciiTheme="majorBidi" w:hAnsiTheme="majorBidi" w:cstheme="majorBidi"/>
        </w:rPr>
        <w:t>u</w:t>
      </w:r>
      <w:r w:rsidR="00092DE2" w:rsidRPr="0021135B">
        <w:rPr>
          <w:rFonts w:asciiTheme="majorBidi" w:hAnsiTheme="majorBidi" w:cstheme="majorBidi"/>
        </w:rPr>
        <w:t xml:space="preserve">. </w:t>
      </w:r>
    </w:p>
    <w:p w14:paraId="58685E9D" w14:textId="084CF5D9" w:rsidR="00092DE2" w:rsidRPr="0021135B" w:rsidRDefault="00092DE2" w:rsidP="005948CB">
      <w:pPr>
        <w:spacing w:line="276" w:lineRule="auto"/>
        <w:ind w:firstLine="720"/>
        <w:contextualSpacing/>
        <w:jc w:val="both"/>
        <w:rPr>
          <w:rFonts w:asciiTheme="majorBidi" w:hAnsiTheme="majorBidi" w:cstheme="majorBidi"/>
        </w:rPr>
      </w:pPr>
      <w:r w:rsidRPr="0021135B">
        <w:rPr>
          <w:rFonts w:asciiTheme="majorBidi" w:hAnsiTheme="majorBidi" w:cstheme="majorBidi"/>
        </w:rPr>
        <w:t xml:space="preserve">Ar apelācijas instances tiesas spriedumu </w:t>
      </w:r>
      <w:r w:rsidR="00283F26">
        <w:rPr>
          <w:szCs w:val="24"/>
        </w:rPr>
        <w:t>[pers. A]</w:t>
      </w:r>
      <w:r w:rsidR="00825870">
        <w:rPr>
          <w:rFonts w:asciiTheme="majorBidi" w:hAnsiTheme="majorBidi" w:cstheme="majorBidi"/>
        </w:rPr>
        <w:t>:</w:t>
      </w:r>
      <w:r w:rsidRPr="0021135B">
        <w:rPr>
          <w:rFonts w:asciiTheme="majorBidi" w:hAnsiTheme="majorBidi" w:cstheme="majorBidi"/>
        </w:rPr>
        <w:t xml:space="preserve"> atzīts par vainīgu Krimināllikuma 253. panta pirmajā daļā paredzētajā noziedzīgajā nodarījumā un sodīts ar īslaicīgu brīvības atņemšanu uz 2 mēnešiem; atzīts par </w:t>
      </w:r>
      <w:r w:rsidRPr="0021135B">
        <w:rPr>
          <w:szCs w:val="24"/>
        </w:rPr>
        <w:t>vainīgu Krimināllikuma 253.</w:t>
      </w:r>
      <w:r w:rsidRPr="0021135B">
        <w:rPr>
          <w:szCs w:val="24"/>
          <w:vertAlign w:val="superscript"/>
        </w:rPr>
        <w:t>1</w:t>
      </w:r>
      <w:r w:rsidRPr="0021135B">
        <w:rPr>
          <w:szCs w:val="24"/>
        </w:rPr>
        <w:t xml:space="preserve"> panta </w:t>
      </w:r>
      <w:r w:rsidR="00430C30" w:rsidRPr="0021135B">
        <w:rPr>
          <w:szCs w:val="24"/>
        </w:rPr>
        <w:t>trešajā</w:t>
      </w:r>
      <w:r w:rsidRPr="0021135B">
        <w:rPr>
          <w:szCs w:val="24"/>
        </w:rPr>
        <w:t xml:space="preserve"> daļā paredzētajā noziedzīgajā nodarījumā un sodīts ar brīvības atņemšanu uz 5 gadiem 6 mēnešiem; saskaņā ar Krimināllikuma 50. panta pirmo un trešo daļu sods </w:t>
      </w:r>
      <w:r w:rsidR="007777BB">
        <w:rPr>
          <w:szCs w:val="24"/>
        </w:rPr>
        <w:t>[pers. A]</w:t>
      </w:r>
      <w:r w:rsidRPr="0021135B">
        <w:rPr>
          <w:szCs w:val="24"/>
        </w:rPr>
        <w:t xml:space="preserve"> noteikts </w:t>
      </w:r>
      <w:r w:rsidR="00430C30" w:rsidRPr="0021135B">
        <w:rPr>
          <w:szCs w:val="24"/>
        </w:rPr>
        <w:t xml:space="preserve">brīvības atņemšana uz 5 gadiem 7 mēnešiem; saskaņā ar Krimināllikuma 50. panta trešo un piekto daļu galīgais sods </w:t>
      </w:r>
      <w:r w:rsidR="007777BB">
        <w:rPr>
          <w:szCs w:val="24"/>
        </w:rPr>
        <w:t>[pers. A]</w:t>
      </w:r>
      <w:r w:rsidR="00430C30" w:rsidRPr="0021135B">
        <w:rPr>
          <w:szCs w:val="24"/>
        </w:rPr>
        <w:t xml:space="preserve"> noteikts brīvības atņemšana uz 5 gadiem 10 mēnešiem.</w:t>
      </w:r>
    </w:p>
    <w:p w14:paraId="768F9661" w14:textId="6E2994DA" w:rsidR="00514CC3" w:rsidRPr="0021135B" w:rsidRDefault="00A670EC" w:rsidP="005948CB">
      <w:pPr>
        <w:spacing w:line="276" w:lineRule="auto"/>
        <w:ind w:firstLine="720"/>
        <w:contextualSpacing/>
        <w:jc w:val="both"/>
      </w:pPr>
      <w:r w:rsidRPr="0021135B">
        <w:rPr>
          <w:rFonts w:asciiTheme="majorBidi" w:hAnsiTheme="majorBidi" w:cstheme="majorBidi"/>
        </w:rPr>
        <w:t xml:space="preserve">Pārējā daļā </w:t>
      </w:r>
      <w:r w:rsidR="00430C30" w:rsidRPr="0021135B">
        <w:rPr>
          <w:rFonts w:asciiTheme="majorBidi" w:hAnsiTheme="majorBidi" w:cstheme="majorBidi"/>
        </w:rPr>
        <w:t>Rīgas pilsētas</w:t>
      </w:r>
      <w:r w:rsidRPr="0021135B">
        <w:rPr>
          <w:rFonts w:asciiTheme="majorBidi" w:hAnsiTheme="majorBidi" w:cstheme="majorBidi"/>
        </w:rPr>
        <w:t xml:space="preserve"> tiesas 2023. gada </w:t>
      </w:r>
      <w:r w:rsidR="00430C30" w:rsidRPr="0021135B">
        <w:rPr>
          <w:rFonts w:asciiTheme="majorBidi" w:hAnsiTheme="majorBidi" w:cstheme="majorBidi"/>
        </w:rPr>
        <w:t>20</w:t>
      </w:r>
      <w:r w:rsidR="00774D37" w:rsidRPr="0021135B">
        <w:rPr>
          <w:rFonts w:asciiTheme="majorBidi" w:hAnsiTheme="majorBidi" w:cstheme="majorBidi"/>
        </w:rPr>
        <w:t>. aprīļa</w:t>
      </w:r>
      <w:r w:rsidRPr="0021135B">
        <w:t xml:space="preserve"> spriedums atstāts negrozīts. </w:t>
      </w:r>
    </w:p>
    <w:p w14:paraId="6B05EF9D" w14:textId="77777777" w:rsidR="00774D37" w:rsidRPr="0021135B" w:rsidRDefault="00774D37" w:rsidP="005948CB">
      <w:pPr>
        <w:spacing w:line="276" w:lineRule="auto"/>
        <w:ind w:firstLine="720"/>
        <w:contextualSpacing/>
        <w:jc w:val="both"/>
      </w:pPr>
    </w:p>
    <w:p w14:paraId="2625E448" w14:textId="4F5D31CE" w:rsidR="00B81A29" w:rsidRPr="0021135B" w:rsidRDefault="00B5372F" w:rsidP="005948CB">
      <w:pPr>
        <w:spacing w:line="276" w:lineRule="auto"/>
        <w:ind w:firstLine="720"/>
        <w:contextualSpacing/>
        <w:jc w:val="both"/>
      </w:pPr>
      <w:r w:rsidRPr="0021135B">
        <w:t xml:space="preserve">[4] Par </w:t>
      </w:r>
      <w:r w:rsidR="00430C30" w:rsidRPr="0021135B">
        <w:t>Latgales</w:t>
      </w:r>
      <w:r w:rsidRPr="0021135B">
        <w:t xml:space="preserve"> apgabaltiesas </w:t>
      </w:r>
      <w:r w:rsidRPr="0021135B">
        <w:rPr>
          <w14:ligatures w14:val="standardContextual"/>
        </w:rPr>
        <w:t>202</w:t>
      </w:r>
      <w:r w:rsidR="00154075" w:rsidRPr="0021135B">
        <w:rPr>
          <w14:ligatures w14:val="standardContextual"/>
        </w:rPr>
        <w:t>4</w:t>
      </w:r>
      <w:r w:rsidRPr="0021135B">
        <w:rPr>
          <w14:ligatures w14:val="standardContextual"/>
        </w:rPr>
        <w:t xml:space="preserve">. gada </w:t>
      </w:r>
      <w:r w:rsidR="00430C30" w:rsidRPr="0021135B">
        <w:rPr>
          <w14:ligatures w14:val="standardContextual"/>
        </w:rPr>
        <w:t>28. februāra</w:t>
      </w:r>
      <w:r w:rsidR="00154075" w:rsidRPr="0021135B">
        <w:rPr>
          <w14:ligatures w14:val="standardContextual"/>
        </w:rPr>
        <w:t xml:space="preserve"> spriedumu</w:t>
      </w:r>
      <w:r w:rsidR="00634789" w:rsidRPr="0021135B">
        <w:rPr>
          <w:rFonts w:eastAsia="Calibri"/>
        </w:rPr>
        <w:t xml:space="preserve"> Daudznozaru specializētās prokuratūras prokurors R. </w:t>
      </w:r>
      <w:proofErr w:type="spellStart"/>
      <w:r w:rsidR="00634789" w:rsidRPr="0021135B">
        <w:rPr>
          <w:rFonts w:eastAsia="Calibri"/>
        </w:rPr>
        <w:t>Milbergs</w:t>
      </w:r>
      <w:proofErr w:type="spellEnd"/>
      <w:r w:rsidR="00634789" w:rsidRPr="0021135B">
        <w:rPr>
          <w:rFonts w:eastAsia="Calibri"/>
        </w:rPr>
        <w:t xml:space="preserve"> iesniedzis kasācijas protestu un</w:t>
      </w:r>
      <w:r w:rsidRPr="0021135B">
        <w:rPr>
          <w:rFonts w:eastAsia="Calibri"/>
        </w:rPr>
        <w:t xml:space="preserve"> </w:t>
      </w:r>
      <w:r w:rsidR="00B81A29" w:rsidRPr="0021135B">
        <w:rPr>
          <w:rFonts w:eastAsia="Calibri"/>
        </w:rPr>
        <w:t xml:space="preserve">apsūdzētais </w:t>
      </w:r>
      <w:r w:rsidR="007777BB">
        <w:rPr>
          <w:szCs w:val="24"/>
        </w:rPr>
        <w:t>[pers. A]</w:t>
      </w:r>
      <w:r w:rsidR="00B81A29" w:rsidRPr="0021135B">
        <w:rPr>
          <w:rFonts w:eastAsia="Calibri"/>
        </w:rPr>
        <w:t xml:space="preserve"> iesniedzis kasācijas sūdzību</w:t>
      </w:r>
      <w:r w:rsidR="00634789" w:rsidRPr="0021135B">
        <w:rPr>
          <w:rFonts w:eastAsia="Calibri"/>
        </w:rPr>
        <w:t>.</w:t>
      </w:r>
    </w:p>
    <w:p w14:paraId="7ABC6996" w14:textId="77777777" w:rsidR="00B81A29" w:rsidRPr="0021135B" w:rsidRDefault="00B81A29" w:rsidP="005948CB">
      <w:pPr>
        <w:spacing w:line="276" w:lineRule="auto"/>
        <w:ind w:firstLine="720"/>
        <w:contextualSpacing/>
        <w:jc w:val="both"/>
      </w:pPr>
    </w:p>
    <w:p w14:paraId="465CF4D4" w14:textId="2377921C" w:rsidR="00634789" w:rsidRPr="0021135B" w:rsidRDefault="00634789" w:rsidP="005948CB">
      <w:pPr>
        <w:spacing w:line="276" w:lineRule="auto"/>
        <w:ind w:firstLine="720"/>
        <w:contextualSpacing/>
        <w:jc w:val="both"/>
      </w:pPr>
      <w:r w:rsidRPr="0021135B">
        <w:t>[5] </w:t>
      </w:r>
      <w:r w:rsidRPr="0021135B">
        <w:rPr>
          <w:rFonts w:eastAsia="Calibri" w:cs="Times New Roman"/>
          <w:szCs w:val="24"/>
        </w:rPr>
        <w:t>Daudznozaru specializētās prokuratūras prokurors R. </w:t>
      </w:r>
      <w:proofErr w:type="spellStart"/>
      <w:r w:rsidRPr="0021135B">
        <w:rPr>
          <w:rFonts w:eastAsia="Calibri" w:cs="Times New Roman"/>
          <w:szCs w:val="24"/>
        </w:rPr>
        <w:t>Milbergs</w:t>
      </w:r>
      <w:proofErr w:type="spellEnd"/>
      <w:r w:rsidRPr="0021135B">
        <w:rPr>
          <w:rFonts w:eastAsia="Calibri" w:cs="Times New Roman"/>
          <w:szCs w:val="24"/>
        </w:rPr>
        <w:t xml:space="preserve"> kasācijas protestā lūdz apelācijas instances tiesas spriedumu atcelt daļā par </w:t>
      </w:r>
      <w:r w:rsidR="007777BB">
        <w:rPr>
          <w:szCs w:val="24"/>
        </w:rPr>
        <w:t>[pers. A]</w:t>
      </w:r>
      <w:r w:rsidRPr="0021135B">
        <w:rPr>
          <w:rFonts w:eastAsia="Calibri" w:cs="Times New Roman"/>
          <w:szCs w:val="24"/>
        </w:rPr>
        <w:t xml:space="preserve"> noteikto sodu pēc Krimināllikuma 253.</w:t>
      </w:r>
      <w:r w:rsidRPr="0021135B">
        <w:rPr>
          <w:rFonts w:eastAsia="Calibri" w:cs="Times New Roman"/>
          <w:szCs w:val="24"/>
          <w:vertAlign w:val="superscript"/>
        </w:rPr>
        <w:t>1</w:t>
      </w:r>
      <w:r w:rsidRPr="0021135B">
        <w:rPr>
          <w:rFonts w:eastAsia="Calibri" w:cs="Times New Roman"/>
          <w:szCs w:val="24"/>
        </w:rPr>
        <w:t xml:space="preserve"> panta trešās daļas un par noteikto sodu saskaņā ar Krimināllikuma 50. panta nosacījumiem. </w:t>
      </w:r>
    </w:p>
    <w:p w14:paraId="77295210" w14:textId="77777777" w:rsidR="00634789" w:rsidRPr="0021135B" w:rsidRDefault="00634789" w:rsidP="005948CB">
      <w:pPr>
        <w:spacing w:line="276" w:lineRule="auto"/>
        <w:ind w:firstLine="720"/>
        <w:contextualSpacing/>
        <w:jc w:val="both"/>
      </w:pPr>
      <w:r w:rsidRPr="0021135B">
        <w:t xml:space="preserve">Kasācijas protestu </w:t>
      </w:r>
      <w:r w:rsidRPr="0021135B">
        <w:rPr>
          <w:rFonts w:asciiTheme="majorBidi" w:hAnsiTheme="majorBidi" w:cstheme="majorBidi"/>
        </w:rPr>
        <w:t>pamato turpmāk norādītie argumenti.</w:t>
      </w:r>
      <w:r w:rsidRPr="0021135B">
        <w:t xml:space="preserve"> </w:t>
      </w:r>
    </w:p>
    <w:p w14:paraId="073E22FB" w14:textId="6CC62F18" w:rsidR="00634789" w:rsidRPr="0021135B" w:rsidRDefault="00634789" w:rsidP="005948CB">
      <w:pPr>
        <w:spacing w:line="276" w:lineRule="auto"/>
        <w:ind w:firstLine="720"/>
        <w:contextualSpacing/>
        <w:jc w:val="both"/>
      </w:pPr>
      <w:r w:rsidRPr="0021135B">
        <w:t>[5.1] Apelācijas instances tiesa probācijas uzraudzīb</w:t>
      </w:r>
      <w:r w:rsidR="003D0CD4">
        <w:t>as</w:t>
      </w:r>
      <w:r w:rsidR="002313D8" w:rsidRPr="002313D8">
        <w:t xml:space="preserve"> </w:t>
      </w:r>
      <w:r w:rsidR="002313D8">
        <w:t>nepiemērošanu</w:t>
      </w:r>
      <w:r w:rsidRPr="0021135B">
        <w:t xml:space="preserve"> par Krimināllikuma 253.</w:t>
      </w:r>
      <w:r w:rsidRPr="0021135B">
        <w:rPr>
          <w:vertAlign w:val="superscript"/>
        </w:rPr>
        <w:t>1</w:t>
      </w:r>
      <w:r w:rsidR="004F1CD7" w:rsidRPr="0021135B">
        <w:rPr>
          <w:vertAlign w:val="superscript"/>
        </w:rPr>
        <w:t> </w:t>
      </w:r>
      <w:r w:rsidRPr="0021135B">
        <w:t xml:space="preserve">panta trešajā daļā paredzēto noziedzīgo nodarījumu pamatojusi ar to, ka prokurors apelācijas protestā nelūdza šāda papildsoda piemērošanu un, atbilstoši Kriminālprocesa likuma 562. panta pirmajā daļā noteiktajai kārtībai, apelācijas instances tiesa nedrīkst pārsniegt apelācijas sūdzībā vai protestā izteikto prasību apjomu un ietvarus. </w:t>
      </w:r>
    </w:p>
    <w:p w14:paraId="75D0B1B3" w14:textId="5C598560" w:rsidR="00634789" w:rsidRPr="0021135B" w:rsidRDefault="00634789" w:rsidP="005948CB">
      <w:pPr>
        <w:spacing w:line="276" w:lineRule="auto"/>
        <w:ind w:firstLine="720"/>
        <w:contextualSpacing/>
        <w:jc w:val="both"/>
      </w:pPr>
      <w:r w:rsidRPr="0021135B">
        <w:rPr>
          <w:szCs w:val="24"/>
        </w:rPr>
        <w:t>No Krimināllikuma 253.</w:t>
      </w:r>
      <w:r w:rsidRPr="0021135B">
        <w:rPr>
          <w:szCs w:val="24"/>
          <w:vertAlign w:val="superscript"/>
        </w:rPr>
        <w:t>1</w:t>
      </w:r>
      <w:r w:rsidRPr="0021135B">
        <w:rPr>
          <w:szCs w:val="24"/>
        </w:rPr>
        <w:t> panta trešās daļas izriet, ka papildsods – probācijas uzraudzība – ir obligāts, tiesai nav rīcības brīvība lemt par to, vai minētais papildsods ir vai nav jāpiemēro. Tiesas pienākumu noteikt tādu sodu, kādu nosaka likums, nemaina prokurora lūgums par soda piemērošanu. Apelācijas instances tiesa kļūdaini piemērojusi Kriminālprocesa likuma 562. panta pirmo daļu</w:t>
      </w:r>
      <w:r w:rsidR="003D0CD4">
        <w:rPr>
          <w:szCs w:val="24"/>
        </w:rPr>
        <w:t>.</w:t>
      </w:r>
    </w:p>
    <w:p w14:paraId="623E1AE8" w14:textId="60790548" w:rsidR="00634789" w:rsidRPr="0021135B" w:rsidRDefault="00634789" w:rsidP="005948CB">
      <w:pPr>
        <w:spacing w:line="276" w:lineRule="auto"/>
        <w:ind w:firstLine="720"/>
        <w:contextualSpacing/>
        <w:jc w:val="both"/>
      </w:pPr>
      <w:r w:rsidRPr="0021135B">
        <w:t xml:space="preserve">Tiesa, norādot, ka prokurors </w:t>
      </w:r>
      <w:r w:rsidR="003D0CD4" w:rsidRPr="0021135B">
        <w:t xml:space="preserve">apelācijas protestā </w:t>
      </w:r>
      <w:r w:rsidRPr="0021135B">
        <w:t xml:space="preserve">nav lūdzis piemērot minēto sodu un </w:t>
      </w:r>
      <w:r w:rsidR="003D0CD4">
        <w:t>secinot</w:t>
      </w:r>
      <w:r w:rsidRPr="0021135B">
        <w:t>, ka</w:t>
      </w:r>
      <w:r w:rsidR="00210E28">
        <w:t>,</w:t>
      </w:r>
      <w:r w:rsidRPr="0021135B">
        <w:t xml:space="preserve"> piemērojot papildsodu, tiks pārsniegti apelācijas protesta ietvari un apsūdzētajam tiks piespriests bargāks sods, nekā tas lūgts protestā, nav ievērojusi arī Krimināllikuma 49. panta pirmajā daļā noteikto. Fakts, ka apelācijas protestā minētais papildsods netika norādīts, nemaina to, ka likums imperatīvi nosaka pienākumu </w:t>
      </w:r>
      <w:r w:rsidR="003D0CD4">
        <w:t>šādu</w:t>
      </w:r>
      <w:r w:rsidRPr="0021135B">
        <w:t xml:space="preserve"> sod</w:t>
      </w:r>
      <w:r w:rsidR="003D0CD4">
        <w:t>u</w:t>
      </w:r>
      <w:r w:rsidRPr="0021135B">
        <w:t xml:space="preserve"> piemērot</w:t>
      </w:r>
      <w:r w:rsidR="003D0CD4">
        <w:t>.</w:t>
      </w:r>
    </w:p>
    <w:p w14:paraId="039B324B" w14:textId="5BC4DD7D" w:rsidR="00634789" w:rsidRPr="0021135B" w:rsidRDefault="00634789" w:rsidP="005948CB">
      <w:pPr>
        <w:spacing w:line="276" w:lineRule="auto"/>
        <w:ind w:firstLine="720"/>
        <w:contextualSpacing/>
        <w:jc w:val="both"/>
      </w:pPr>
      <w:r w:rsidRPr="0021135B">
        <w:t>[5.</w:t>
      </w:r>
      <w:r w:rsidR="003D0CD4">
        <w:t>2</w:t>
      </w:r>
      <w:r w:rsidRPr="0021135B">
        <w:t>] Apelācijas instances tiesa pretēji Krimināllikuma 46. panta pirmajā daļā noteiktajam nepamatoti nav piemērojusi Krimināllikuma 253.</w:t>
      </w:r>
      <w:r w:rsidRPr="0021135B">
        <w:rPr>
          <w:vertAlign w:val="superscript"/>
        </w:rPr>
        <w:t>1</w:t>
      </w:r>
      <w:r w:rsidRPr="0021135B">
        <w:t> panta trešās daļas sankcijā noteikto papildsodu – probācijas uzraudzību. Tādējādi apelācijas instances tiesa pieļāvusi Kriminālprocesa likuma 574. panta 1. un 3. punktā norādītos Krimināllikuma pārkāpumus.</w:t>
      </w:r>
    </w:p>
    <w:p w14:paraId="61788C46" w14:textId="77777777" w:rsidR="00634789" w:rsidRPr="0021135B" w:rsidRDefault="00634789" w:rsidP="005948CB">
      <w:pPr>
        <w:spacing w:line="276" w:lineRule="auto"/>
        <w:ind w:firstLine="720"/>
        <w:contextualSpacing/>
        <w:jc w:val="both"/>
      </w:pPr>
    </w:p>
    <w:p w14:paraId="7B90C4EB" w14:textId="71D3BABD" w:rsidR="00917CA1" w:rsidRDefault="00B81A29" w:rsidP="005948CB">
      <w:pPr>
        <w:spacing w:line="276" w:lineRule="auto"/>
        <w:ind w:firstLine="720"/>
        <w:contextualSpacing/>
        <w:jc w:val="both"/>
      </w:pPr>
      <w:r w:rsidRPr="0021135B">
        <w:lastRenderedPageBreak/>
        <w:t>[</w:t>
      </w:r>
      <w:r w:rsidR="00634789" w:rsidRPr="0021135B">
        <w:t>6</w:t>
      </w:r>
      <w:r w:rsidRPr="0021135B">
        <w:t>]</w:t>
      </w:r>
      <w:r w:rsidR="003B59DC" w:rsidRPr="0021135B">
        <w:t> </w:t>
      </w:r>
      <w:r w:rsidRPr="0021135B">
        <w:t xml:space="preserve">Apsūdzētais </w:t>
      </w:r>
      <w:r w:rsidR="00335945">
        <w:rPr>
          <w:szCs w:val="24"/>
        </w:rPr>
        <w:t>[pers. A]</w:t>
      </w:r>
      <w:r w:rsidRPr="0021135B">
        <w:t xml:space="preserve"> kasācijas sūdzībā lūdz </w:t>
      </w:r>
      <w:r w:rsidR="00430C30" w:rsidRPr="0021135B">
        <w:t>atcelt pirmās instances tiesas un apelācijas instances tiesas spriedumus un lietu nosūtīt jaunai izskatīšanai pirmās instances tiesā.</w:t>
      </w:r>
    </w:p>
    <w:p w14:paraId="3384F1BC" w14:textId="6212854D" w:rsidR="00B81A29" w:rsidRPr="00917CA1" w:rsidRDefault="00B81A29" w:rsidP="005948CB">
      <w:pPr>
        <w:spacing w:line="276" w:lineRule="auto"/>
        <w:ind w:firstLine="720"/>
        <w:contextualSpacing/>
        <w:jc w:val="both"/>
      </w:pPr>
      <w:r w:rsidRPr="0021135B">
        <w:rPr>
          <w:rFonts w:asciiTheme="majorBidi" w:hAnsiTheme="majorBidi" w:cstheme="majorBidi"/>
        </w:rPr>
        <w:t xml:space="preserve">Kasācijas sūdzību </w:t>
      </w:r>
      <w:bookmarkStart w:id="1" w:name="_Hlk181631154"/>
      <w:r w:rsidRPr="0021135B">
        <w:rPr>
          <w:rFonts w:asciiTheme="majorBidi" w:hAnsiTheme="majorBidi" w:cstheme="majorBidi"/>
        </w:rPr>
        <w:t>pamato turpmāk norādītie argumenti</w:t>
      </w:r>
      <w:bookmarkEnd w:id="1"/>
      <w:r w:rsidRPr="0021135B">
        <w:rPr>
          <w:rFonts w:asciiTheme="majorBidi" w:hAnsiTheme="majorBidi" w:cstheme="majorBidi"/>
        </w:rPr>
        <w:t>.</w:t>
      </w:r>
    </w:p>
    <w:p w14:paraId="08044190" w14:textId="67A3F028" w:rsidR="00906792" w:rsidRPr="0021135B" w:rsidRDefault="00B81A29" w:rsidP="005948CB">
      <w:pPr>
        <w:spacing w:line="276" w:lineRule="auto"/>
        <w:ind w:firstLine="720"/>
        <w:contextualSpacing/>
        <w:jc w:val="both"/>
      </w:pPr>
      <w:r w:rsidRPr="0021135B">
        <w:t>[</w:t>
      </w:r>
      <w:r w:rsidR="00634789" w:rsidRPr="0021135B">
        <w:t>6</w:t>
      </w:r>
      <w:r w:rsidRPr="0021135B">
        <w:t>.1] </w:t>
      </w:r>
      <w:r w:rsidR="00261C5D" w:rsidRPr="0021135B">
        <w:t xml:space="preserve">Apelācijas instances tiesa nepamatoti nav atzinusi, ka </w:t>
      </w:r>
      <w:r w:rsidR="003D0CD4">
        <w:t xml:space="preserve">pirmās instances tiesa ir </w:t>
      </w:r>
      <w:r w:rsidR="00261C5D" w:rsidRPr="0021135B">
        <w:t>pieļ</w:t>
      </w:r>
      <w:r w:rsidR="003D0CD4">
        <w:t>āvusi</w:t>
      </w:r>
      <w:r w:rsidR="00261C5D" w:rsidRPr="0021135B">
        <w:t xml:space="preserve"> Kriminālprocesa likuma 575.</w:t>
      </w:r>
      <w:r w:rsidR="003D0CD4">
        <w:t> </w:t>
      </w:r>
      <w:r w:rsidR="00261C5D" w:rsidRPr="0021135B">
        <w:t>panta pirmās daļas 6.</w:t>
      </w:r>
      <w:r w:rsidR="003D0CD4">
        <w:t> </w:t>
      </w:r>
      <w:r w:rsidR="00261C5D" w:rsidRPr="0021135B">
        <w:t>punktā norādīt</w:t>
      </w:r>
      <w:r w:rsidR="003D0CD4">
        <w:t xml:space="preserve">o </w:t>
      </w:r>
      <w:r w:rsidR="00261C5D" w:rsidRPr="0021135B">
        <w:t>pārkāpum</w:t>
      </w:r>
      <w:r w:rsidR="003D0CD4">
        <w:t>u</w:t>
      </w:r>
      <w:r w:rsidR="00261C5D" w:rsidRPr="0021135B">
        <w:t>, jo lietā iztrūkst pirmās instances tiesas 2022. gada 29. novembra sēdes protokola</w:t>
      </w:r>
      <w:r w:rsidR="003D0CD4">
        <w:t xml:space="preserve">. </w:t>
      </w:r>
      <w:r w:rsidR="00466423" w:rsidRPr="0021135B">
        <w:t>A</w:t>
      </w:r>
      <w:r w:rsidR="00C83C39" w:rsidRPr="0021135B">
        <w:t>psūdzētā aizstāve pirmās instances tiesas sēdē lū</w:t>
      </w:r>
      <w:r w:rsidR="00261C5D" w:rsidRPr="0021135B">
        <w:t>dza</w:t>
      </w:r>
      <w:r w:rsidR="00C83C39" w:rsidRPr="0021135B">
        <w:t xml:space="preserve"> pārbaudīt 2022. gada 29. novembra tiesas sēd</w:t>
      </w:r>
      <w:r w:rsidR="002656BA">
        <w:t>e</w:t>
      </w:r>
      <w:r w:rsidR="00C83C39" w:rsidRPr="0021135B">
        <w:t xml:space="preserve">s </w:t>
      </w:r>
      <w:proofErr w:type="spellStart"/>
      <w:r w:rsidR="00C83C39" w:rsidRPr="0021135B">
        <w:t>audioprotokolu</w:t>
      </w:r>
      <w:proofErr w:type="spellEnd"/>
      <w:r w:rsidR="00C83C39" w:rsidRPr="0021135B">
        <w:t xml:space="preserve">. Pirmās instances tiesa, nepamatoti noraidot aizstāvības iebildumus, norādījusi, ka </w:t>
      </w:r>
      <w:r w:rsidR="0089488C" w:rsidRPr="0021135B">
        <w:t>tiesas sēd</w:t>
      </w:r>
      <w:r w:rsidR="0076022D">
        <w:t>e</w:t>
      </w:r>
      <w:r w:rsidR="0089488C" w:rsidRPr="0021135B">
        <w:t xml:space="preserve">s gaita nav fiksēta audioierakstā, bet </w:t>
      </w:r>
      <w:r w:rsidR="00C83C39" w:rsidRPr="0021135B">
        <w:t>Tiesu informatīvajā sistēmā savlaicīgi tika pievienots pilns rakstveida protokols, kas ir sagatavots atbilstoši Kriminālprocesa likuma 482. panta pirmās daļas nosacījumiem</w:t>
      </w:r>
      <w:r w:rsidR="0089488C" w:rsidRPr="0021135B">
        <w:t xml:space="preserve">. </w:t>
      </w:r>
      <w:r w:rsidR="003D0CD4">
        <w:t>Tādējādi t</w:t>
      </w:r>
      <w:r w:rsidR="003D0CD4" w:rsidRPr="0021135B">
        <w:t xml:space="preserve">iesa pieļāvusi Kriminālprocesa likuma 566. panta pārkāpumu. </w:t>
      </w:r>
      <w:r w:rsidR="00C83C39" w:rsidRPr="0021135B">
        <w:t xml:space="preserve"> </w:t>
      </w:r>
    </w:p>
    <w:p w14:paraId="6658C6A1" w14:textId="71EFFF74" w:rsidR="00C83C39" w:rsidRPr="0021135B" w:rsidRDefault="00C83C39" w:rsidP="005948CB">
      <w:pPr>
        <w:spacing w:line="276" w:lineRule="auto"/>
        <w:ind w:firstLine="720"/>
        <w:contextualSpacing/>
        <w:jc w:val="both"/>
      </w:pPr>
      <w:r w:rsidRPr="0021135B">
        <w:t>[</w:t>
      </w:r>
      <w:r w:rsidR="00634789" w:rsidRPr="0021135B">
        <w:t>6</w:t>
      </w:r>
      <w:r w:rsidRPr="0021135B">
        <w:t xml:space="preserve">.2] Apelācijas instances tiesa 2024. gada 28. februāra tiesas sēdē </w:t>
      </w:r>
      <w:r w:rsidR="00D3525E" w:rsidRPr="0021135B">
        <w:t xml:space="preserve">nepamatoti </w:t>
      </w:r>
      <w:r w:rsidRPr="0021135B">
        <w:t xml:space="preserve">noraidījusi aizstāvības pieteiktos lūgumus, tai skaitā </w:t>
      </w:r>
      <w:r w:rsidR="00261C5D" w:rsidRPr="0021135B">
        <w:t xml:space="preserve">par liecinieku </w:t>
      </w:r>
      <w:r w:rsidRPr="0021135B">
        <w:t>atkārtot</w:t>
      </w:r>
      <w:r w:rsidR="00261C5D" w:rsidRPr="0021135B">
        <w:t>u</w:t>
      </w:r>
      <w:r w:rsidRPr="0021135B">
        <w:t xml:space="preserve"> aicinā</w:t>
      </w:r>
      <w:r w:rsidR="00261C5D" w:rsidRPr="0021135B">
        <w:t>šanu</w:t>
      </w:r>
      <w:r w:rsidRPr="0021135B">
        <w:t xml:space="preserve"> un </w:t>
      </w:r>
      <w:r w:rsidR="003D0CD4">
        <w:t>nopratināšanu</w:t>
      </w:r>
      <w:r w:rsidRPr="0021135B">
        <w:t xml:space="preserve">. </w:t>
      </w:r>
      <w:r w:rsidR="007B2AED" w:rsidRPr="0021135B">
        <w:t xml:space="preserve">Aizstāvība </w:t>
      </w:r>
      <w:r w:rsidR="00D3525E" w:rsidRPr="0021135B">
        <w:t>pie</w:t>
      </w:r>
      <w:r w:rsidR="007B2AED" w:rsidRPr="0021135B">
        <w:t xml:space="preserve">teica lūgumu nopratināt </w:t>
      </w:r>
      <w:r w:rsidR="00335945">
        <w:t>[pers. B]</w:t>
      </w:r>
      <w:r w:rsidR="007B2AED" w:rsidRPr="0021135B">
        <w:t xml:space="preserve">, jo tieši viņa liecības rada šaubas par liecinieces </w:t>
      </w:r>
      <w:r w:rsidR="00335945">
        <w:t>[pers. C]</w:t>
      </w:r>
      <w:r w:rsidR="007B2AED" w:rsidRPr="0021135B">
        <w:t xml:space="preserve"> liecību </w:t>
      </w:r>
      <w:r w:rsidR="00210E28">
        <w:t>ticamību</w:t>
      </w:r>
      <w:r w:rsidR="007B2AED" w:rsidRPr="0021135B">
        <w:t xml:space="preserve">. </w:t>
      </w:r>
      <w:r w:rsidRPr="0021135B">
        <w:t>Liegt apsūdzētajam tiesības nopratināt un konfrontēt lieciniekus, k</w:t>
      </w:r>
      <w:r w:rsidR="00261C5D" w:rsidRPr="0021135B">
        <w:t>uru</w:t>
      </w:r>
      <w:r w:rsidRPr="0021135B">
        <w:t xml:space="preserve"> liecīb</w:t>
      </w:r>
      <w:r w:rsidR="00261C5D" w:rsidRPr="0021135B">
        <w:t>ā</w:t>
      </w:r>
      <w:r w:rsidRPr="0021135B">
        <w:t xml:space="preserve">s </w:t>
      </w:r>
      <w:r w:rsidR="00C40D99">
        <w:t>i</w:t>
      </w:r>
      <w:r w:rsidRPr="0021135B">
        <w:t>r būtisk</w:t>
      </w:r>
      <w:r w:rsidR="00261C5D" w:rsidRPr="0021135B">
        <w:t>as</w:t>
      </w:r>
      <w:r w:rsidRPr="0021135B">
        <w:t xml:space="preserve"> pretrun</w:t>
      </w:r>
      <w:r w:rsidR="00261C5D" w:rsidRPr="0021135B">
        <w:t>as</w:t>
      </w:r>
      <w:r w:rsidRPr="0021135B">
        <w:t>, ir Kriminālprocesa likuma 15. pantā nostiprinātā</w:t>
      </w:r>
      <w:r w:rsidR="007B2AED" w:rsidRPr="0021135B">
        <w:t xml:space="preserve"> kriminālprocesa pamatprincipa pārkāpum</w:t>
      </w:r>
      <w:r w:rsidR="00261C5D" w:rsidRPr="0021135B">
        <w:t>s</w:t>
      </w:r>
      <w:r w:rsidR="007B2AED" w:rsidRPr="0021135B">
        <w:t xml:space="preserve">. </w:t>
      </w:r>
      <w:r w:rsidR="003D0CD4">
        <w:t>Tādējādi t</w:t>
      </w:r>
      <w:r w:rsidRPr="0021135B">
        <w:t>iesa pieļāvusi Kriminālprocesa likuma 511.</w:t>
      </w:r>
      <w:r w:rsidR="000362F4" w:rsidRPr="0021135B">
        <w:t xml:space="preserve"> un</w:t>
      </w:r>
      <w:r w:rsidRPr="0021135B">
        <w:t xml:space="preserve"> 512. panta pārkāpumu</w:t>
      </w:r>
      <w:r w:rsidR="000237A1" w:rsidRPr="0021135B">
        <w:t>s</w:t>
      </w:r>
      <w:r w:rsidRPr="0021135B">
        <w:t>.</w:t>
      </w:r>
    </w:p>
    <w:p w14:paraId="77FDC0FE" w14:textId="1FAD4CF2" w:rsidR="008D2932" w:rsidRPr="0021135B" w:rsidRDefault="00C83C39" w:rsidP="005948CB">
      <w:pPr>
        <w:spacing w:line="276" w:lineRule="auto"/>
        <w:ind w:firstLine="720"/>
        <w:contextualSpacing/>
        <w:jc w:val="both"/>
      </w:pPr>
      <w:r w:rsidRPr="0021135B">
        <w:t>[</w:t>
      </w:r>
      <w:r w:rsidR="00634789" w:rsidRPr="0021135B">
        <w:t>6</w:t>
      </w:r>
      <w:r w:rsidRPr="0021135B">
        <w:t>.3] </w:t>
      </w:r>
      <w:r w:rsidR="008E4F8F" w:rsidRPr="0021135B">
        <w:t xml:space="preserve">Tiesa pieļāvusi Kriminālprocesa likuma 574. panta 2. punktā norādīto Krimināllikuma pārkāpumu. </w:t>
      </w:r>
      <w:r w:rsidR="00E923E6" w:rsidRPr="0021135B">
        <w:t xml:space="preserve">Apsūdzētais atsaucas uz Senāta 2022. gada </w:t>
      </w:r>
      <w:r w:rsidR="00DB2078">
        <w:t>8</w:t>
      </w:r>
      <w:r w:rsidR="00E923E6" w:rsidRPr="0021135B">
        <w:t xml:space="preserve">. aprīļa lēmumu lietā Nr. SKK-9/2022, kurā norādīts, ka, lai personu sauktu pie kriminālatbildības par narkotisko vai psihotropo vielu iegādāšanos, obligāti konstatējams konkrētās vielas valdījums. Konkrētajā lietā šāds valdījums netika pierādīts. </w:t>
      </w:r>
    </w:p>
    <w:p w14:paraId="77B1F3B4" w14:textId="66EAC8FE" w:rsidR="001C0E6A" w:rsidRPr="0021135B" w:rsidRDefault="00E923E6" w:rsidP="005948CB">
      <w:pPr>
        <w:spacing w:line="276" w:lineRule="auto"/>
        <w:ind w:firstLine="720"/>
        <w:contextualSpacing/>
        <w:jc w:val="both"/>
      </w:pPr>
      <w:r w:rsidRPr="0021135B">
        <w:t>[</w:t>
      </w:r>
      <w:r w:rsidR="00634789" w:rsidRPr="0021135B">
        <w:t>6</w:t>
      </w:r>
      <w:r w:rsidRPr="0021135B">
        <w:t>.4] </w:t>
      </w:r>
      <w:bookmarkStart w:id="2" w:name="_Hlk181635772"/>
      <w:r w:rsidR="001C0E6A" w:rsidRPr="0021135B">
        <w:t>Tiesa nav ņēmusi vērā to, ka tika pārkāptas apsūdzētā tiesības lietot valodu, kuru viņš prot, jo savlaicīgi netika rakstveidā nodrošināts visu lietas materiālos esošo liecību tulkojums.</w:t>
      </w:r>
    </w:p>
    <w:bookmarkEnd w:id="2"/>
    <w:p w14:paraId="37539909" w14:textId="0E78F6D5" w:rsidR="00E923E6" w:rsidRPr="0021135B" w:rsidRDefault="001C0E6A" w:rsidP="005948CB">
      <w:pPr>
        <w:spacing w:line="276" w:lineRule="auto"/>
        <w:ind w:firstLine="720"/>
        <w:contextualSpacing/>
        <w:jc w:val="both"/>
      </w:pPr>
      <w:r w:rsidRPr="0021135B">
        <w:t>[</w:t>
      </w:r>
      <w:r w:rsidR="00634789" w:rsidRPr="0021135B">
        <w:t>6</w:t>
      </w:r>
      <w:r w:rsidRPr="0021135B">
        <w:t>.5] </w:t>
      </w:r>
      <w:r w:rsidR="008D2932" w:rsidRPr="0021135B">
        <w:t>Ne pirmās instances tiesa, ne apelācijas instances tiesa nav ņēmu</w:t>
      </w:r>
      <w:r w:rsidR="000362F4" w:rsidRPr="0021135B">
        <w:t>šas</w:t>
      </w:r>
      <w:r w:rsidR="008D2932" w:rsidRPr="0021135B">
        <w:t xml:space="preserve"> vērā, ka apsūdzētais ir atzinis savu vainīgumu pēc Krimināllikuma 253.</w:t>
      </w:r>
      <w:r w:rsidR="008D2932" w:rsidRPr="0021135B">
        <w:rPr>
          <w:vertAlign w:val="superscript"/>
        </w:rPr>
        <w:t>1</w:t>
      </w:r>
      <w:r w:rsidR="008D2932" w:rsidRPr="0021135B">
        <w:t xml:space="preserve"> panta pirmās daļas un nav atzinušas to par atbildību mīkstinošu apstākli saskaņā ar Krimināllikuma 47. panta otro daļu, tādējādi pieļāvušas Kriminālprocesa likuma 574. panta </w:t>
      </w:r>
      <w:r w:rsidR="00CA0ABE" w:rsidRPr="0021135B">
        <w:t>1.</w:t>
      </w:r>
      <w:r w:rsidR="00210E28">
        <w:t> </w:t>
      </w:r>
      <w:r w:rsidR="00CA0ABE" w:rsidRPr="0021135B">
        <w:t>punktā norādīto</w:t>
      </w:r>
      <w:r w:rsidR="008D2932" w:rsidRPr="0021135B">
        <w:t xml:space="preserve"> pārkāpumu. </w:t>
      </w:r>
    </w:p>
    <w:p w14:paraId="03F6C0C9" w14:textId="55A499EE" w:rsidR="008D2932" w:rsidRPr="0021135B" w:rsidRDefault="001C0E6A" w:rsidP="005948CB">
      <w:pPr>
        <w:spacing w:line="276" w:lineRule="auto"/>
        <w:ind w:firstLine="720"/>
        <w:contextualSpacing/>
        <w:jc w:val="both"/>
      </w:pPr>
      <w:r w:rsidRPr="0021135B">
        <w:t>[</w:t>
      </w:r>
      <w:r w:rsidR="00634789" w:rsidRPr="0021135B">
        <w:t>6</w:t>
      </w:r>
      <w:r w:rsidRPr="0021135B">
        <w:t>.</w:t>
      </w:r>
      <w:r w:rsidR="003D0CD4">
        <w:t>6</w:t>
      </w:r>
      <w:r w:rsidRPr="0021135B">
        <w:t>] </w:t>
      </w:r>
      <w:r w:rsidR="008D2932" w:rsidRPr="0021135B">
        <w:t>Tiesa nepamatoti piedzinusi procesuālos izdevumus, kas saistīti ar sniegto juridisko palīdzību. Tiesa nav ņēmusi vērā, ka apsūdzētajam n</w:t>
      </w:r>
      <w:r w:rsidR="00690175" w:rsidRPr="0021135B">
        <w:t>e</w:t>
      </w:r>
      <w:r w:rsidR="008D2932" w:rsidRPr="0021135B">
        <w:t>bij</w:t>
      </w:r>
      <w:r w:rsidR="00690175" w:rsidRPr="0021135B">
        <w:t>a</w:t>
      </w:r>
      <w:r w:rsidR="008D2932" w:rsidRPr="0021135B">
        <w:t xml:space="preserve"> iespēja</w:t>
      </w:r>
      <w:r w:rsidR="00E765A2">
        <w:t>s</w:t>
      </w:r>
      <w:r w:rsidR="008D2932" w:rsidRPr="0021135B">
        <w:t xml:space="preserve"> iegūt maznodrošināt</w:t>
      </w:r>
      <w:r w:rsidR="00E765A2">
        <w:t>a</w:t>
      </w:r>
      <w:r w:rsidR="008D2932" w:rsidRPr="0021135B">
        <w:t xml:space="preserve"> vai trūcīgas personas statusu, jo </w:t>
      </w:r>
      <w:r w:rsidR="00690175" w:rsidRPr="0021135B">
        <w:t xml:space="preserve">viņš </w:t>
      </w:r>
      <w:r w:rsidR="008D2932" w:rsidRPr="0021135B">
        <w:t xml:space="preserve">atrodas apcietinājumā. Tiesa pieļāvusi Kriminālprocesa likuma 85. panta pirmās daļas pārkāpumu, kas atzīstams par Kriminālprocesa likuma būtisku pārkāpumu šā likuma 575. panta trešās daļas izpratnē. </w:t>
      </w:r>
    </w:p>
    <w:p w14:paraId="5B812342" w14:textId="77777777" w:rsidR="00DC6DB9" w:rsidRDefault="00DC6DB9" w:rsidP="005948CB">
      <w:pPr>
        <w:spacing w:line="276" w:lineRule="auto"/>
        <w:contextualSpacing/>
        <w:jc w:val="both"/>
      </w:pPr>
    </w:p>
    <w:p w14:paraId="5C8A1EE0" w14:textId="04452A91" w:rsidR="003D0CD4" w:rsidRDefault="00525505" w:rsidP="00525505">
      <w:pPr>
        <w:spacing w:line="276" w:lineRule="auto"/>
        <w:ind w:firstLine="720"/>
        <w:contextualSpacing/>
        <w:jc w:val="both"/>
      </w:pPr>
      <w:r>
        <w:t>[7] Paskaidrojumus par kasācija</w:t>
      </w:r>
      <w:r w:rsidR="002656BA">
        <w:t>s</w:t>
      </w:r>
      <w:r>
        <w:t xml:space="preserve"> sūdzību un iebildumus pret kasācijas protestu iesniegusi apsūdzētā </w:t>
      </w:r>
      <w:r w:rsidR="00335945">
        <w:t>[pers. A]</w:t>
      </w:r>
      <w:r>
        <w:t xml:space="preserve"> aizstāve D. </w:t>
      </w:r>
      <w:proofErr w:type="spellStart"/>
      <w:r>
        <w:t>Nāckalna-Bivbāne</w:t>
      </w:r>
      <w:proofErr w:type="spellEnd"/>
      <w:r>
        <w:t xml:space="preserve">. </w:t>
      </w:r>
    </w:p>
    <w:p w14:paraId="411CF7DD" w14:textId="00A54F2D" w:rsidR="00525505" w:rsidRDefault="00525505" w:rsidP="00525505">
      <w:pPr>
        <w:spacing w:line="276" w:lineRule="auto"/>
        <w:ind w:firstLine="720"/>
        <w:contextualSpacing/>
        <w:jc w:val="both"/>
      </w:pPr>
      <w:r>
        <w:lastRenderedPageBreak/>
        <w:t>[7.1] Tiesas sēd</w:t>
      </w:r>
      <w:r w:rsidR="00DC3BE5">
        <w:t>e</w:t>
      </w:r>
      <w:r>
        <w:t>s protokola audioieraksta neesība liegusi aizstāvībai realizēt tiesības uz taisnīgu tiesu</w:t>
      </w:r>
      <w:r w:rsidR="0016558C">
        <w:t>, kā arī t</w:t>
      </w:r>
      <w:r>
        <w:t xml:space="preserve">iesa nepamatoti liegusi aizstāvībai tiesas sēdē atkārtoti nopratināt lieciniekus. </w:t>
      </w:r>
    </w:p>
    <w:p w14:paraId="4C66DFE0" w14:textId="69EFD05B" w:rsidR="00525505" w:rsidRDefault="00525505" w:rsidP="00525505">
      <w:pPr>
        <w:spacing w:line="276" w:lineRule="auto"/>
        <w:ind w:firstLine="720"/>
        <w:contextualSpacing/>
        <w:jc w:val="both"/>
      </w:pPr>
      <w:r>
        <w:t>[7.2] Pretēji kasācijas protestā norādītajam apelācijas instances tiesa, ievērojot apelācijas protestā izteikto prasījumu apjomu, rīkojusies atbilstoši Kriminālprocesa likuma 562. panta nosacījumiem.</w:t>
      </w:r>
    </w:p>
    <w:p w14:paraId="7F593A10" w14:textId="77777777" w:rsidR="00525505" w:rsidRPr="00525505" w:rsidRDefault="00525505" w:rsidP="005948CB">
      <w:pPr>
        <w:spacing w:line="276" w:lineRule="auto"/>
        <w:contextualSpacing/>
        <w:jc w:val="both"/>
      </w:pPr>
    </w:p>
    <w:p w14:paraId="1DDC527F" w14:textId="5EFE7232" w:rsidR="00B5372F" w:rsidRPr="0021135B" w:rsidRDefault="00B5372F" w:rsidP="005948CB">
      <w:pPr>
        <w:spacing w:line="276" w:lineRule="auto"/>
        <w:contextualSpacing/>
        <w:jc w:val="center"/>
        <w:rPr>
          <w:rFonts w:asciiTheme="majorBidi" w:hAnsiTheme="majorBidi" w:cstheme="majorBidi"/>
          <w:b/>
        </w:rPr>
      </w:pPr>
      <w:r w:rsidRPr="0021135B">
        <w:rPr>
          <w:rFonts w:asciiTheme="majorBidi" w:hAnsiTheme="majorBidi" w:cstheme="majorBidi"/>
          <w:b/>
        </w:rPr>
        <w:t>Motīvu daļa</w:t>
      </w:r>
    </w:p>
    <w:p w14:paraId="00D1C6B7" w14:textId="77777777" w:rsidR="001F4B8F" w:rsidRPr="0021135B" w:rsidRDefault="001F4B8F" w:rsidP="005948CB">
      <w:pPr>
        <w:spacing w:line="276" w:lineRule="auto"/>
        <w:ind w:firstLine="720"/>
        <w:contextualSpacing/>
        <w:jc w:val="both"/>
      </w:pPr>
    </w:p>
    <w:p w14:paraId="1EFCAA70" w14:textId="5335B9F8" w:rsidR="008C659F" w:rsidRPr="0021135B" w:rsidRDefault="001D377B" w:rsidP="005948CB">
      <w:pPr>
        <w:spacing w:line="276" w:lineRule="auto"/>
        <w:ind w:firstLine="720"/>
        <w:contextualSpacing/>
        <w:jc w:val="both"/>
      </w:pPr>
      <w:r w:rsidRPr="0021135B">
        <w:t>[</w:t>
      </w:r>
      <w:r w:rsidR="00525505">
        <w:t>8</w:t>
      </w:r>
      <w:r w:rsidRPr="0021135B">
        <w:t>] </w:t>
      </w:r>
      <w:r w:rsidR="008C659F" w:rsidRPr="0021135B">
        <w:t xml:space="preserve">Senātam vispirms ir jāsniedz atbilde, vai apelācijas instances tiesa, nosakot apsūdzētajam </w:t>
      </w:r>
      <w:r w:rsidR="00335945">
        <w:rPr>
          <w:szCs w:val="24"/>
        </w:rPr>
        <w:t>[pers. A]</w:t>
      </w:r>
      <w:r w:rsidR="008C659F" w:rsidRPr="0021135B">
        <w:t xml:space="preserve"> sodu pēc Krimināllikuma 253.</w:t>
      </w:r>
      <w:r w:rsidR="008C659F" w:rsidRPr="0021135B">
        <w:rPr>
          <w:vertAlign w:val="superscript"/>
        </w:rPr>
        <w:t>1</w:t>
      </w:r>
      <w:r w:rsidR="008C659F" w:rsidRPr="0021135B">
        <w:t> panta trešās daļas, pareizi piemērojusi Krimināllikuma 46. panta pirmo daļu un Kriminālprocesa likuma 562. panta nosacījumus.</w:t>
      </w:r>
    </w:p>
    <w:p w14:paraId="28FC81D0" w14:textId="3469BA7B" w:rsidR="0021135B" w:rsidRDefault="008C659F" w:rsidP="005948CB">
      <w:pPr>
        <w:spacing w:line="276" w:lineRule="auto"/>
        <w:ind w:firstLine="720"/>
        <w:contextualSpacing/>
        <w:jc w:val="both"/>
      </w:pPr>
      <w:r w:rsidRPr="0021135B">
        <w:t>[</w:t>
      </w:r>
      <w:r w:rsidR="00525505">
        <w:t>8</w:t>
      </w:r>
      <w:r w:rsidR="004400D9" w:rsidRPr="0021135B">
        <w:t>.1</w:t>
      </w:r>
      <w:r w:rsidRPr="0021135B">
        <w:t xml:space="preserve">] Lietā noskaidroti šādi apstākļi. Ar pirmās instances tiesas spriedumu </w:t>
      </w:r>
      <w:r w:rsidR="00335945">
        <w:rPr>
          <w:szCs w:val="24"/>
        </w:rPr>
        <w:t>[pers. A]</w:t>
      </w:r>
      <w:r w:rsidRPr="0021135B">
        <w:t xml:space="preserve"> atzīts par vainīgu Krimināllikuma 253.</w:t>
      </w:r>
      <w:r w:rsidRPr="0021135B">
        <w:rPr>
          <w:vertAlign w:val="superscript"/>
        </w:rPr>
        <w:t>1</w:t>
      </w:r>
      <w:r w:rsidRPr="0021135B">
        <w:t> panta pirmajā daļā paredzēt</w:t>
      </w:r>
      <w:r w:rsidR="0078217C" w:rsidRPr="0021135B">
        <w:t>ajā</w:t>
      </w:r>
      <w:r w:rsidRPr="0021135B">
        <w:t xml:space="preserve"> noziedzīg</w:t>
      </w:r>
      <w:r w:rsidR="0078217C" w:rsidRPr="0021135B">
        <w:t>ajā</w:t>
      </w:r>
      <w:r w:rsidRPr="0021135B">
        <w:t xml:space="preserve"> nodarījum</w:t>
      </w:r>
      <w:r w:rsidR="0078217C" w:rsidRPr="0021135B">
        <w:t>ā</w:t>
      </w:r>
      <w:r w:rsidRPr="0021135B">
        <w:t xml:space="preserve"> un sodīts ar brīvības atņemšanu uz 5 gadiem 6 mēnešiem un ar probācijas uzraudzību uz 3 gadiem. Apelācijas instances tiesa, taisot jaunu spriedumu atceltajā daļā un daļēji apmierinot apelācijas protestā izteiktos lūgumus, atzin</w:t>
      </w:r>
      <w:r w:rsidR="00690175" w:rsidRPr="0021135B">
        <w:t>usi</w:t>
      </w:r>
      <w:r w:rsidRPr="0021135B">
        <w:t xml:space="preserve"> </w:t>
      </w:r>
      <w:r w:rsidR="00335945">
        <w:rPr>
          <w:szCs w:val="24"/>
        </w:rPr>
        <w:t>[pers. A]</w:t>
      </w:r>
      <w:r w:rsidRPr="0021135B">
        <w:t xml:space="preserve"> par vainīgu p</w:t>
      </w:r>
      <w:r w:rsidR="00634789" w:rsidRPr="0021135B">
        <w:t>ēc</w:t>
      </w:r>
      <w:r w:rsidRPr="0021135B">
        <w:t xml:space="preserve"> Krimināllikuma 253.</w:t>
      </w:r>
      <w:r w:rsidRPr="0021135B">
        <w:rPr>
          <w:vertAlign w:val="superscript"/>
        </w:rPr>
        <w:t>1</w:t>
      </w:r>
      <w:r w:rsidRPr="0021135B">
        <w:t> panta trešā</w:t>
      </w:r>
      <w:r w:rsidR="00634789" w:rsidRPr="0021135B">
        <w:t>s</w:t>
      </w:r>
      <w:r w:rsidRPr="0021135B">
        <w:t xml:space="preserve"> daļ</w:t>
      </w:r>
      <w:r w:rsidR="00634789" w:rsidRPr="0021135B">
        <w:t>as un sodījusi ar</w:t>
      </w:r>
      <w:r w:rsidRPr="0021135B">
        <w:t xml:space="preserve"> brīvības atņemšanu uz 5 gadiem 6 mēnešiem</w:t>
      </w:r>
      <w:r w:rsidR="00634789" w:rsidRPr="0021135B">
        <w:t>, nepiemērojot papildsodu</w:t>
      </w:r>
      <w:r w:rsidRPr="0021135B">
        <w:t>.</w:t>
      </w:r>
    </w:p>
    <w:p w14:paraId="28FC45D6" w14:textId="16CDA97B" w:rsidR="0021135B" w:rsidRDefault="008C659F" w:rsidP="005948CB">
      <w:pPr>
        <w:spacing w:line="276" w:lineRule="auto"/>
        <w:ind w:firstLine="720"/>
        <w:contextualSpacing/>
        <w:jc w:val="both"/>
      </w:pPr>
      <w:r w:rsidRPr="0021135B">
        <w:t>Tiesa snie</w:t>
      </w:r>
      <w:r w:rsidR="008F0DD2" w:rsidRPr="0021135B">
        <w:t>gusi</w:t>
      </w:r>
      <w:r w:rsidRPr="0021135B">
        <w:t xml:space="preserve"> šādu motivāciju: „[..] tiesa, nosakot sodu </w:t>
      </w:r>
      <w:r w:rsidR="00335945">
        <w:rPr>
          <w:szCs w:val="24"/>
        </w:rPr>
        <w:t>[pers. A]</w:t>
      </w:r>
      <w:r w:rsidRPr="0021135B">
        <w:t xml:space="preserve"> par Krimināllikuma 253.</w:t>
      </w:r>
      <w:r w:rsidRPr="0021135B">
        <w:rPr>
          <w:vertAlign w:val="superscript"/>
        </w:rPr>
        <w:t>1</w:t>
      </w:r>
      <w:r w:rsidRPr="0021135B">
        <w:t> panta trešajā daļā paredzētā noziedzīgā nodarījuma izdarīšanu, neapspriedīs jautājumu par papildsoda – probācijas uzraudzības – piemērošanu, jo prokurors apelācijas protestā n</w:t>
      </w:r>
      <w:r w:rsidR="00377C5F" w:rsidRPr="0021135B">
        <w:t>e</w:t>
      </w:r>
      <w:r w:rsidRPr="0021135B">
        <w:t>lūdz</w:t>
      </w:r>
      <w:r w:rsidR="00377C5F" w:rsidRPr="0021135B">
        <w:t>a</w:t>
      </w:r>
      <w:r w:rsidRPr="0021135B">
        <w:t xml:space="preserve"> šāda papildsoda piemērošanu un</w:t>
      </w:r>
      <w:r w:rsidR="00EC47E9">
        <w:t>,</w:t>
      </w:r>
      <w:r w:rsidRPr="0021135B">
        <w:t xml:space="preserve"> atbilstoši Kriminālprocesa likuma 562. panta pirmajā daļā noteiktajai kārtībai, apelācijas instances tiesa nedrīkst pārsniegt apelācijas sūdzībā vai protestā izteikto prasību apjomu un ietvarus. Sakarā ar minēto arī Senāts 2020. gada 9. aprīļa lēmumā lietā Nr. SKK-68/2020 norādījis, ka apelācijas instances tiesa, izskatot lietu apelācijas kārtībā sakarā ar apelācijas protestu, nevar noteikt apsūdzētajam bargāku sodu, kā protestā lūdzis prokurors”.</w:t>
      </w:r>
    </w:p>
    <w:p w14:paraId="14EC550F" w14:textId="51A0676D" w:rsidR="008C659F" w:rsidRPr="0021135B" w:rsidRDefault="008C659F" w:rsidP="005948CB">
      <w:pPr>
        <w:spacing w:line="276" w:lineRule="auto"/>
        <w:ind w:firstLine="720"/>
        <w:contextualSpacing/>
        <w:jc w:val="both"/>
      </w:pPr>
      <w:r w:rsidRPr="0021135B">
        <w:t>[</w:t>
      </w:r>
      <w:r w:rsidR="00525505">
        <w:t>8</w:t>
      </w:r>
      <w:r w:rsidR="004400D9" w:rsidRPr="0021135B">
        <w:t>.2</w:t>
      </w:r>
      <w:r w:rsidRPr="0021135B">
        <w:t>] Kriminālprocesa likuma 562. pantā noteikts apjoms un ietvari, kādos lieta tiek iztiesāta apelācijas instances tiesā. Minētā panta trešajā daļā norādīts, ka smagāka soda noteikšana apsūdzētajam pieļaujama tad, kad šā iemesla dēļ iesniegts prokurora protests vai cietušā sūdzība, kā arī tad, ja pēc prokurora protesta vai cietušā sūdzības apsūdzība grozīta uz smagāku.</w:t>
      </w:r>
    </w:p>
    <w:p w14:paraId="03A5FC5C" w14:textId="710E993E" w:rsidR="008C659F" w:rsidRPr="0021135B" w:rsidRDefault="008C659F" w:rsidP="005948CB">
      <w:pPr>
        <w:spacing w:line="276" w:lineRule="auto"/>
        <w:ind w:firstLine="720"/>
        <w:contextualSpacing/>
        <w:jc w:val="both"/>
      </w:pPr>
      <w:r w:rsidRPr="0021135B">
        <w:t>Izskatāmajā lietā prokurors bija iesniedzis apelācijas protestu</w:t>
      </w:r>
      <w:r w:rsidR="0021135B">
        <w:t xml:space="preserve">, kurā </w:t>
      </w:r>
      <w:r w:rsidRPr="0021135B">
        <w:t xml:space="preserve">lūdzis </w:t>
      </w:r>
      <w:r w:rsidR="00335945">
        <w:rPr>
          <w:szCs w:val="24"/>
        </w:rPr>
        <w:t>[pers. A]</w:t>
      </w:r>
      <w:r w:rsidRPr="0021135B">
        <w:t xml:space="preserve"> atzīt par vainīgu un sodīt nevis par Krimināllikuma 253.</w:t>
      </w:r>
      <w:r w:rsidRPr="0021135B">
        <w:rPr>
          <w:vertAlign w:val="superscript"/>
        </w:rPr>
        <w:t>1</w:t>
      </w:r>
      <w:r w:rsidRPr="0021135B">
        <w:t> panta pirmajā daļā, bet par Krimināllikuma 253.</w:t>
      </w:r>
      <w:r w:rsidRPr="0021135B">
        <w:rPr>
          <w:vertAlign w:val="superscript"/>
        </w:rPr>
        <w:t>1</w:t>
      </w:r>
      <w:r w:rsidR="004F1CD7" w:rsidRPr="0021135B">
        <w:rPr>
          <w:vertAlign w:val="superscript"/>
        </w:rPr>
        <w:t> </w:t>
      </w:r>
      <w:r w:rsidRPr="0021135B">
        <w:t>panta trešajā daļā paredzētā nozie</w:t>
      </w:r>
      <w:r w:rsidR="00377C5F" w:rsidRPr="0021135B">
        <w:t>guma</w:t>
      </w:r>
      <w:r w:rsidRPr="0021135B">
        <w:t xml:space="preserve"> izdarīšanu.</w:t>
      </w:r>
      <w:r w:rsidR="00256C42">
        <w:t xml:space="preserve"> </w:t>
      </w:r>
      <w:r w:rsidRPr="0021135B">
        <w:t>Apelācijas instance</w:t>
      </w:r>
      <w:r w:rsidR="00134646">
        <w:t>s</w:t>
      </w:r>
      <w:r w:rsidRPr="0021135B">
        <w:t xml:space="preserve"> tiesa atzin</w:t>
      </w:r>
      <w:r w:rsidR="00377C5F" w:rsidRPr="0021135B">
        <w:t>usi</w:t>
      </w:r>
      <w:r w:rsidRPr="0021135B">
        <w:t xml:space="preserve">, ka </w:t>
      </w:r>
      <w:r w:rsidR="00335945">
        <w:rPr>
          <w:szCs w:val="24"/>
        </w:rPr>
        <w:t>[pers. A]</w:t>
      </w:r>
      <w:r w:rsidRPr="0021135B">
        <w:t xml:space="preserve"> izdarījis Krimināllikuma 253.</w:t>
      </w:r>
      <w:r w:rsidRPr="0021135B">
        <w:rPr>
          <w:vertAlign w:val="superscript"/>
        </w:rPr>
        <w:t>1</w:t>
      </w:r>
      <w:r w:rsidRPr="0021135B">
        <w:t> panta trešajā daļā paredzēto noziegumu</w:t>
      </w:r>
      <w:r w:rsidR="00256C42">
        <w:t xml:space="preserve">, proti, smagāku noziegumu, nekā to atzinusi pirmās instances tiesa. </w:t>
      </w:r>
    </w:p>
    <w:p w14:paraId="11CF0501" w14:textId="49745D44" w:rsidR="008C659F" w:rsidRPr="0021135B" w:rsidRDefault="008C659F" w:rsidP="005948CB">
      <w:pPr>
        <w:spacing w:line="276" w:lineRule="auto"/>
        <w:ind w:firstLine="720"/>
        <w:contextualSpacing/>
        <w:jc w:val="both"/>
      </w:pPr>
      <w:r w:rsidRPr="0021135B">
        <w:t>Senāts konstatē, ka apelācijas protesta motīvu daļā nav izklāstīti argumenti par</w:t>
      </w:r>
      <w:r w:rsidR="00670B81">
        <w:t xml:space="preserve"> apsūdzētajam</w:t>
      </w:r>
      <w:r w:rsidR="00670B81" w:rsidRPr="00670B81">
        <w:t xml:space="preserve"> </w:t>
      </w:r>
      <w:r w:rsidR="002844DA">
        <w:rPr>
          <w:szCs w:val="24"/>
        </w:rPr>
        <w:t>[pers. A]</w:t>
      </w:r>
      <w:r w:rsidRPr="0021135B">
        <w:t xml:space="preserve"> nosakāmo sodu, bet </w:t>
      </w:r>
      <w:r w:rsidR="00F40DC8" w:rsidRPr="0021135B">
        <w:t xml:space="preserve">protesta </w:t>
      </w:r>
      <w:r w:rsidR="00256C42">
        <w:t>rezolutīvajā</w:t>
      </w:r>
      <w:r w:rsidRPr="0021135B">
        <w:t xml:space="preserve"> daļā prokurors lūdzis apsūdzēto pēc Krimināllikuma 253.</w:t>
      </w:r>
      <w:r w:rsidRPr="0021135B">
        <w:rPr>
          <w:vertAlign w:val="superscript"/>
        </w:rPr>
        <w:t>1</w:t>
      </w:r>
      <w:r w:rsidRPr="0021135B">
        <w:t xml:space="preserve"> panta trešās daļas sodīt ar brīvības atņemšanu uz 5 </w:t>
      </w:r>
      <w:r w:rsidRPr="0021135B">
        <w:lastRenderedPageBreak/>
        <w:t>gadiem 8 mēnešiem. Tāpat prokurors lūdzis noteikt apsūdzētajam sodu saskaņā ar Krimināllikuma 50. panta trešo daļu un pēc spriedumu kopības. Saskaņā ar Krimināllikuma 50. panta piekto daļu prokurors lūdzis noteikt galīgo sodu – brīvības atņemšanu uz 6 gadiem un probācijas uzraudzību uz 3 gadiem.</w:t>
      </w:r>
    </w:p>
    <w:p w14:paraId="4DFFB7F3" w14:textId="51A1FFDA" w:rsidR="008C659F" w:rsidRPr="0021135B" w:rsidRDefault="00F40DC8" w:rsidP="005948CB">
      <w:pPr>
        <w:spacing w:line="276" w:lineRule="auto"/>
        <w:ind w:firstLine="720"/>
        <w:contextualSpacing/>
        <w:jc w:val="both"/>
      </w:pPr>
      <w:r w:rsidRPr="0021135B">
        <w:t>K</w:t>
      </w:r>
      <w:r w:rsidR="008C659F" w:rsidRPr="0021135B">
        <w:t>asācijas protestā prokurors pamatoti norādījis, ka šajā lietā apelācijas instances tiesa iztiesāšanas gaitā konstatēj</w:t>
      </w:r>
      <w:r w:rsidRPr="0021135B">
        <w:t>usi</w:t>
      </w:r>
      <w:r w:rsidR="008C659F" w:rsidRPr="0021135B">
        <w:t>, ka prokurors apelācijas protestā, lūdzot noteikt galīgo sodu pēc vairākiem spriedumiem, ir lūdzis noteikt apsūdzētajam arī papildsodu</w:t>
      </w:r>
      <w:r w:rsidRPr="0021135B">
        <w:t xml:space="preserve"> –</w:t>
      </w:r>
      <w:r w:rsidR="008C659F" w:rsidRPr="0021135B">
        <w:t xml:space="preserve"> probācijas uzraudzību uz 3 gadiem</w:t>
      </w:r>
      <w:r w:rsidRPr="0021135B">
        <w:t>.</w:t>
      </w:r>
      <w:r w:rsidR="008C659F" w:rsidRPr="0021135B">
        <w:t xml:space="preserve"> </w:t>
      </w:r>
      <w:r w:rsidRPr="0021135B">
        <w:t>Savukārt</w:t>
      </w:r>
      <w:r w:rsidR="008C659F" w:rsidRPr="0021135B">
        <w:t xml:space="preserve"> nav iespējams</w:t>
      </w:r>
      <w:r w:rsidRPr="0021135B">
        <w:t xml:space="preserve"> noteikt apsūdzētajam probācijas uzraudzību</w:t>
      </w:r>
      <w:r w:rsidR="008C659F" w:rsidRPr="0021135B">
        <w:t>,</w:t>
      </w:r>
      <w:r w:rsidR="00377C5F" w:rsidRPr="0021135B">
        <w:t xml:space="preserve"> nenosakot šādu papildsodu pēc noziedzīgu nodarījumu kopības,</w:t>
      </w:r>
      <w:r w:rsidR="008C659F" w:rsidRPr="0021135B">
        <w:t xml:space="preserve"> jo spēkā esošajā tiesas spriedumā (Rīgas pilsētas Pārdaugavas tiesas 2021. gada 2. februāra spriedums krimināllietā Nr.</w:t>
      </w:r>
      <w:r w:rsidR="00210E28">
        <w:t> </w:t>
      </w:r>
      <w:r w:rsidR="008C659F" w:rsidRPr="0021135B">
        <w:t xml:space="preserve">11096072320) </w:t>
      </w:r>
      <w:r w:rsidR="00377C5F" w:rsidRPr="0021135B">
        <w:t>probācijas uzraudzība</w:t>
      </w:r>
      <w:r w:rsidR="008C659F" w:rsidRPr="0021135B">
        <w:t xml:space="preserve"> nebija </w:t>
      </w:r>
      <w:r w:rsidR="00377C5F" w:rsidRPr="0021135B">
        <w:t>noteikta</w:t>
      </w:r>
      <w:r w:rsidR="008C659F" w:rsidRPr="0021135B">
        <w:t xml:space="preserve">. Apelācijas instances tiesa </w:t>
      </w:r>
      <w:r w:rsidR="00377C5F" w:rsidRPr="0021135B">
        <w:t xml:space="preserve">nav </w:t>
      </w:r>
      <w:r w:rsidR="008C659F" w:rsidRPr="0021135B">
        <w:t>ņēm</w:t>
      </w:r>
      <w:r w:rsidR="00377C5F" w:rsidRPr="0021135B">
        <w:t>usi</w:t>
      </w:r>
      <w:r w:rsidR="008C659F" w:rsidRPr="0021135B">
        <w:t xml:space="preserve"> vērā prokurora norādes, ka apelācijas protestā</w:t>
      </w:r>
      <w:r w:rsidR="00377C5F" w:rsidRPr="0021135B">
        <w:t>, nenorādot</w:t>
      </w:r>
      <w:r w:rsidRPr="0021135B">
        <w:t xml:space="preserve"> par </w:t>
      </w:r>
      <w:r w:rsidR="00256C42">
        <w:t xml:space="preserve">papildsodu pēc </w:t>
      </w:r>
      <w:r w:rsidRPr="0021135B">
        <w:t>Krimināllikuma 253.</w:t>
      </w:r>
      <w:r w:rsidRPr="0021135B">
        <w:rPr>
          <w:vertAlign w:val="superscript"/>
        </w:rPr>
        <w:t>1</w:t>
      </w:r>
      <w:r w:rsidRPr="0021135B">
        <w:t> panta treš</w:t>
      </w:r>
      <w:r w:rsidR="00256C42">
        <w:t>ās daļas</w:t>
      </w:r>
      <w:r w:rsidR="00670B81">
        <w:t xml:space="preserve"> noteikšanu,</w:t>
      </w:r>
      <w:r w:rsidR="00377C5F" w:rsidRPr="0021135B">
        <w:t xml:space="preserve"> </w:t>
      </w:r>
      <w:r w:rsidR="008C659F" w:rsidRPr="0021135B">
        <w:t>ir pieļauta pārrakstīšanās kļūda.</w:t>
      </w:r>
    </w:p>
    <w:p w14:paraId="6640D525" w14:textId="0F2D0B91" w:rsidR="008C659F" w:rsidRPr="0021135B" w:rsidRDefault="00670B81" w:rsidP="005948CB">
      <w:pPr>
        <w:spacing w:line="276" w:lineRule="auto"/>
        <w:ind w:firstLine="720"/>
        <w:contextualSpacing/>
        <w:jc w:val="both"/>
      </w:pPr>
      <w:r>
        <w:t xml:space="preserve">Senāts konstatē, ka </w:t>
      </w:r>
      <w:r w:rsidR="006211DC">
        <w:t>apelācijas</w:t>
      </w:r>
      <w:r w:rsidR="006211DC" w:rsidRPr="0021135B">
        <w:t xml:space="preserve"> </w:t>
      </w:r>
      <w:r w:rsidR="00C40D99">
        <w:t>instances tiesa</w:t>
      </w:r>
      <w:r w:rsidR="008C659F" w:rsidRPr="0021135B">
        <w:t xml:space="preserve"> </w:t>
      </w:r>
      <w:r w:rsidR="00377C5F" w:rsidRPr="0021135B">
        <w:t>kļūdaini piemērojusi</w:t>
      </w:r>
      <w:r w:rsidR="008C659F" w:rsidRPr="0021135B">
        <w:t xml:space="preserve"> Senāta 2020. gada 9. aprīļa lēmumā lietā Nr. SKK-68/2020 izteiktā</w:t>
      </w:r>
      <w:r w:rsidR="00377C5F" w:rsidRPr="0021135B">
        <w:t>s</w:t>
      </w:r>
      <w:r w:rsidR="008C659F" w:rsidRPr="0021135B">
        <w:t xml:space="preserve"> atziņ</w:t>
      </w:r>
      <w:r w:rsidR="00377C5F" w:rsidRPr="0021135B">
        <w:t>as</w:t>
      </w:r>
      <w:r w:rsidR="008C659F" w:rsidRPr="0021135B">
        <w:t>. Šajā kasācijas instances tiesas lēmumā ir konstatēti citi faktiskie un juridiskie apstākļi – apelācijas instances tiesa bija sodījusi apsūdzēto ar īslaicīg</w:t>
      </w:r>
      <w:r w:rsidR="00F40DC8" w:rsidRPr="0021135B">
        <w:t>u</w:t>
      </w:r>
      <w:r w:rsidR="008C659F" w:rsidRPr="0021135B">
        <w:t xml:space="preserve"> brīvības atņemšan</w:t>
      </w:r>
      <w:r w:rsidR="00F40DC8" w:rsidRPr="0021135B">
        <w:t>u uz 3 mēnešiem</w:t>
      </w:r>
      <w:r w:rsidR="008C659F" w:rsidRPr="0021135B">
        <w:t>, lai gan prokurors apelācijas protestā bija lūdzis noteikt 2 mēnešus.</w:t>
      </w:r>
    </w:p>
    <w:p w14:paraId="603DCD8C" w14:textId="3D58BD58" w:rsidR="008C659F" w:rsidRPr="0021135B" w:rsidRDefault="008C659F" w:rsidP="005948CB">
      <w:pPr>
        <w:spacing w:line="276" w:lineRule="auto"/>
        <w:ind w:firstLine="720"/>
        <w:contextualSpacing/>
        <w:jc w:val="both"/>
      </w:pPr>
      <w:r w:rsidRPr="0021135B">
        <w:t xml:space="preserve">Ievērojot izklāstīto un to, ka pirmās instances tiesa jau bija noteikusi apsūdzētajam </w:t>
      </w:r>
      <w:r w:rsidR="002844DA">
        <w:rPr>
          <w:szCs w:val="24"/>
        </w:rPr>
        <w:t>[pers. A]</w:t>
      </w:r>
      <w:r w:rsidRPr="0021135B">
        <w:t xml:space="preserve"> probācijas uzraudzību uz 3 gadiem par vieglāku noziedzīgu nodarījumu, bet</w:t>
      </w:r>
      <w:r w:rsidR="00670B81" w:rsidRPr="00670B81">
        <w:t xml:space="preserve"> </w:t>
      </w:r>
      <w:r w:rsidR="00670B81" w:rsidRPr="0021135B">
        <w:t>apelācijas instances tiesa</w:t>
      </w:r>
      <w:r w:rsidR="00670B81">
        <w:t>, izvērtējot</w:t>
      </w:r>
      <w:r w:rsidRPr="0021135B">
        <w:t xml:space="preserve"> apelācijas protest</w:t>
      </w:r>
      <w:r w:rsidR="00670B81">
        <w:t>a</w:t>
      </w:r>
      <w:r w:rsidRPr="0021135B">
        <w:t xml:space="preserve"> </w:t>
      </w:r>
      <w:r w:rsidR="00670B81">
        <w:t>argumentus,</w:t>
      </w:r>
      <w:r w:rsidRPr="0021135B">
        <w:t xml:space="preserve"> atzinusi </w:t>
      </w:r>
      <w:r w:rsidR="002844DA">
        <w:rPr>
          <w:szCs w:val="24"/>
        </w:rPr>
        <w:t>[pers. A]</w:t>
      </w:r>
      <w:r w:rsidRPr="0021135B">
        <w:t xml:space="preserve"> par vainīgu smagāka nozieguma izdarīšanā, Latgales apgabaltiesas secinājums, ka, nosakot apsūdzētajam </w:t>
      </w:r>
      <w:r w:rsidR="00AF26B7" w:rsidRPr="0021135B">
        <w:t>papildsodu – probācijas uzraudzību</w:t>
      </w:r>
      <w:r w:rsidR="006E777F" w:rsidRPr="0021135B">
        <w:t xml:space="preserve"> </w:t>
      </w:r>
      <w:r w:rsidR="00AF26B7" w:rsidRPr="0021135B">
        <w:t>–</w:t>
      </w:r>
      <w:r w:rsidRPr="0021135B">
        <w:t xml:space="preserve">, tiks pieļauts Kriminālprocesa likuma 562. panta pirmās daļas pārkāpums, nav pamatots. Tiesa kļūdaini piemērojusi minēto procesuālo tiesību normu, neņemot vērā Kriminālprocesa likuma 562. panta trešajā daļā noteikto un izskatāmajā lietā nodibinātos faktiskos apstākļus. </w:t>
      </w:r>
      <w:r w:rsidR="00AF26B7" w:rsidRPr="0021135B">
        <w:t xml:space="preserve">Minēto </w:t>
      </w:r>
      <w:r w:rsidRPr="0021135B">
        <w:t>Kriminālprocesa likuma</w:t>
      </w:r>
      <w:r w:rsidR="00AF26B7" w:rsidRPr="0021135B">
        <w:t xml:space="preserve"> normu kļūdaina iztulkošana</w:t>
      </w:r>
      <w:r w:rsidRPr="0021135B">
        <w:t xml:space="preserve"> noved</w:t>
      </w:r>
      <w:r w:rsidR="00F8704A">
        <w:t>usi</w:t>
      </w:r>
      <w:r w:rsidRPr="0021135B">
        <w:t xml:space="preserve"> pie Krimināllikuma 46. panta pirmās daļas nepareizas piemērošanas, nosakot </w:t>
      </w:r>
      <w:r w:rsidR="002844DA">
        <w:rPr>
          <w:szCs w:val="24"/>
        </w:rPr>
        <w:t>[pers. A]</w:t>
      </w:r>
      <w:r w:rsidRPr="0021135B">
        <w:t xml:space="preserve"> sodu par Krimināllikuma 253.</w:t>
      </w:r>
      <w:r w:rsidRPr="0021135B">
        <w:rPr>
          <w:vertAlign w:val="superscript"/>
        </w:rPr>
        <w:t>1</w:t>
      </w:r>
      <w:r w:rsidRPr="0021135B">
        <w:t> panta trešajā daļā paredzēto noziegumu.</w:t>
      </w:r>
    </w:p>
    <w:p w14:paraId="29F9ABAD" w14:textId="03463433" w:rsidR="00A616FA" w:rsidRPr="0021135B" w:rsidRDefault="008C659F" w:rsidP="005948CB">
      <w:pPr>
        <w:spacing w:line="276" w:lineRule="auto"/>
        <w:ind w:firstLine="720"/>
        <w:contextualSpacing/>
        <w:jc w:val="both"/>
      </w:pPr>
      <w:r w:rsidRPr="0021135B">
        <w:t xml:space="preserve">Tādējādi apelācijas instances tiesa pieļāvusi Kriminālprocesa likuma 574. panta </w:t>
      </w:r>
      <w:r w:rsidR="009572FA">
        <w:t>1</w:t>
      </w:r>
      <w:r w:rsidRPr="0021135B">
        <w:t xml:space="preserve">. punktā norādīto Krimināllikuma pārkāpumu, kas ir pamats sprieduma atcelšanai daļā par </w:t>
      </w:r>
      <w:r w:rsidR="002844DA">
        <w:rPr>
          <w:szCs w:val="24"/>
        </w:rPr>
        <w:t>[pers. A]</w:t>
      </w:r>
      <w:r w:rsidRPr="0021135B">
        <w:t xml:space="preserve"> noteikto sodu.</w:t>
      </w:r>
    </w:p>
    <w:p w14:paraId="3E035D49" w14:textId="2BAA2585" w:rsidR="008C659F" w:rsidRPr="0021135B" w:rsidRDefault="00A616FA" w:rsidP="005948CB">
      <w:pPr>
        <w:spacing w:line="276" w:lineRule="auto"/>
        <w:ind w:firstLine="720"/>
        <w:contextualSpacing/>
        <w:jc w:val="both"/>
      </w:pPr>
      <w:r w:rsidRPr="0021135B">
        <w:t xml:space="preserve">Ņemot vērā, ka papildsods nav nosakāms atsevišķi no pamatsoda, apelācijas instances tiesas spriedums atceļams </w:t>
      </w:r>
      <w:r w:rsidRPr="0021135B">
        <w:rPr>
          <w:rFonts w:asciiTheme="majorBidi" w:hAnsiTheme="majorBidi" w:cstheme="majorBidi"/>
          <w:szCs w:val="24"/>
        </w:rPr>
        <w:t xml:space="preserve">daļā par </w:t>
      </w:r>
      <w:r w:rsidR="002844DA">
        <w:rPr>
          <w:szCs w:val="24"/>
        </w:rPr>
        <w:t>[pers. A]</w:t>
      </w:r>
      <w:r w:rsidRPr="0021135B">
        <w:rPr>
          <w:rFonts w:asciiTheme="majorBidi" w:hAnsiTheme="majorBidi" w:cstheme="majorBidi"/>
          <w:szCs w:val="24"/>
        </w:rPr>
        <w:t xml:space="preserve"> noteikto sodu pēc Krimināllikuma 253.</w:t>
      </w:r>
      <w:r w:rsidRPr="0021135B">
        <w:rPr>
          <w:rFonts w:asciiTheme="majorBidi" w:hAnsiTheme="majorBidi" w:cstheme="majorBidi"/>
          <w:szCs w:val="24"/>
          <w:vertAlign w:val="superscript"/>
        </w:rPr>
        <w:t>1</w:t>
      </w:r>
      <w:r w:rsidRPr="0021135B">
        <w:rPr>
          <w:rFonts w:asciiTheme="majorBidi" w:hAnsiTheme="majorBidi" w:cstheme="majorBidi"/>
          <w:szCs w:val="24"/>
        </w:rPr>
        <w:t> panta trešās daļas un saskaņā ar Krimināllikuma 50. panta pirmo un trešo daļu noteikto sodu un saskaņā ar Krimināllikuma 50. panta piekto daļu noteikto galīgo sodu.</w:t>
      </w:r>
      <w:r w:rsidRPr="0021135B">
        <w:t xml:space="preserve"> </w:t>
      </w:r>
    </w:p>
    <w:p w14:paraId="292AA3BB" w14:textId="747EB2E4" w:rsidR="00B5798F" w:rsidRPr="0021135B" w:rsidRDefault="00B5798F" w:rsidP="005948CB">
      <w:pPr>
        <w:spacing w:line="276" w:lineRule="auto"/>
        <w:contextualSpacing/>
        <w:jc w:val="both"/>
        <w:rPr>
          <w:rFonts w:asciiTheme="majorBidi" w:hAnsiTheme="majorBidi" w:cstheme="majorBidi"/>
          <w:szCs w:val="24"/>
        </w:rPr>
      </w:pPr>
    </w:p>
    <w:p w14:paraId="1915B5EF" w14:textId="502F97C5" w:rsidR="00B5798F" w:rsidRPr="0021135B" w:rsidRDefault="00FF6CB7" w:rsidP="005948CB">
      <w:pPr>
        <w:spacing w:line="276" w:lineRule="auto"/>
        <w:ind w:firstLine="720"/>
        <w:contextualSpacing/>
        <w:jc w:val="both"/>
      </w:pPr>
      <w:r w:rsidRPr="0021135B">
        <w:t>[</w:t>
      </w:r>
      <w:r w:rsidR="00525505">
        <w:t>9</w:t>
      </w:r>
      <w:r w:rsidRPr="0021135B">
        <w:t xml:space="preserve">] Pārējā daļā </w:t>
      </w:r>
      <w:r w:rsidRPr="0021135B">
        <w:rPr>
          <w:rFonts w:eastAsia="Times New Roman"/>
          <w:lang w:eastAsia="lv-LV"/>
        </w:rPr>
        <w:t xml:space="preserve">Latgales apgabaltiesas 2024. gada </w:t>
      </w:r>
      <w:r w:rsidRPr="0021135B">
        <w:rPr>
          <w:rFonts w:eastAsia="Calibri"/>
          <w:lang w:eastAsia="lv-LV"/>
        </w:rPr>
        <w:t>28. februāra spriedum</w:t>
      </w:r>
      <w:r w:rsidRPr="0021135B">
        <w:rPr>
          <w14:ligatures w14:val="standardContextual"/>
        </w:rPr>
        <w:t xml:space="preserve">s atstājams negrozīts, bet </w:t>
      </w:r>
      <w:r w:rsidR="00503838">
        <w:rPr>
          <w14:ligatures w14:val="standardContextual"/>
        </w:rPr>
        <w:t>a</w:t>
      </w:r>
      <w:r w:rsidR="00503838" w:rsidRPr="0021135B">
        <w:t xml:space="preserve">psūdzētā </w:t>
      </w:r>
      <w:r w:rsidR="002844DA">
        <w:rPr>
          <w:szCs w:val="24"/>
        </w:rPr>
        <w:t>[pers. A]</w:t>
      </w:r>
      <w:r w:rsidR="00503838" w:rsidRPr="0021135B">
        <w:t xml:space="preserve"> </w:t>
      </w:r>
      <w:r w:rsidRPr="0021135B">
        <w:rPr>
          <w14:ligatures w14:val="standardContextual"/>
        </w:rPr>
        <w:t>kasācijas sūdzība noraidāma.</w:t>
      </w:r>
      <w:r w:rsidR="00F41F03" w:rsidRPr="0021135B">
        <w:t xml:space="preserve"> </w:t>
      </w:r>
      <w:r w:rsidR="00503838">
        <w:t>K</w:t>
      </w:r>
      <w:r w:rsidR="00F41F03" w:rsidRPr="0021135B">
        <w:t>asācijas sūdzībā izteiktais lūgums par abu instanču tiesu nolēmumu atcelšanu un lietas nosūtīšanu jaunai izskatīšanai pirmās instances tiesā nav pamatots.</w:t>
      </w:r>
    </w:p>
    <w:p w14:paraId="64C69C4A" w14:textId="04FC579B" w:rsidR="00B5798F" w:rsidRPr="0021135B" w:rsidRDefault="004400D9" w:rsidP="005948CB">
      <w:pPr>
        <w:spacing w:line="276" w:lineRule="auto"/>
        <w:ind w:firstLine="720"/>
        <w:contextualSpacing/>
        <w:jc w:val="both"/>
      </w:pPr>
      <w:r w:rsidRPr="0021135B">
        <w:lastRenderedPageBreak/>
        <w:t xml:space="preserve">Senāts konstatē, ka norādes kasācijas sūdzībā uz Krimināllikuma </w:t>
      </w:r>
      <w:r w:rsidR="00825870">
        <w:t xml:space="preserve">pārkāpumiem </w:t>
      </w:r>
      <w:r w:rsidRPr="0021135B">
        <w:t xml:space="preserve">un Kriminālprocesa likuma </w:t>
      </w:r>
      <w:r w:rsidR="007B4FAB">
        <w:t xml:space="preserve">būtiskiem </w:t>
      </w:r>
      <w:r w:rsidRPr="0021135B">
        <w:t>pārkāpumiem ir formālas un nav saistītas ar minēto tiesību normu interpretāciju.</w:t>
      </w:r>
    </w:p>
    <w:p w14:paraId="463F33B4" w14:textId="003ABE35" w:rsidR="00B5798F" w:rsidRDefault="005E1D7E" w:rsidP="005948CB">
      <w:pPr>
        <w:spacing w:line="276" w:lineRule="auto"/>
        <w:ind w:firstLine="720"/>
        <w:contextualSpacing/>
        <w:jc w:val="both"/>
      </w:pPr>
      <w:r w:rsidRPr="0021135B">
        <w:t>[</w:t>
      </w:r>
      <w:r w:rsidR="00525505">
        <w:t>9</w:t>
      </w:r>
      <w:r w:rsidRPr="0021135B">
        <w:t>.1] </w:t>
      </w:r>
      <w:r w:rsidR="004400D9" w:rsidRPr="0021135B">
        <w:t>K</w:t>
      </w:r>
      <w:r w:rsidR="00FF6CB7" w:rsidRPr="0021135B">
        <w:t xml:space="preserve">asācijas sūdzībā </w:t>
      </w:r>
      <w:r w:rsidR="00CA0ABE" w:rsidRPr="0021135B">
        <w:t xml:space="preserve">pamatā </w:t>
      </w:r>
      <w:r w:rsidR="00FF6CB7" w:rsidRPr="0021135B">
        <w:t>atkārtoti apsūdzētā un viņa aizstāves apelācijas sūdzību motīvi, kurus apelācijas instances tiesa ir izvērtējusi un argumentēti noraidījusi. Kriminālprocesa likuma 569. panta pirmā daļa noteic, ka pārsūdzēšana kasācijas kārtībā ir rakstveida kasācijas sūdzības vai protesta iesniegšana Augstākajā tiesā par tāda apelācijas instances tiesas nolēmuma tiesiskumu, kurš vēl nav stājies spēkā, nolūkā panākt tā atcelšanu pilnībā vai kādā tā daļā vai arī tā grozīšanu juridisku iemeslu dēļ. Minētā panta trešā daļa noteic, ka kasācijas instances tiesa pierādījumus lietā no jauna neizvērtē.</w:t>
      </w:r>
      <w:r w:rsidR="007B3BE1" w:rsidRPr="0021135B">
        <w:t xml:space="preserve"> </w:t>
      </w:r>
    </w:p>
    <w:p w14:paraId="019D95F8" w14:textId="61CF7EF8" w:rsidR="00B5798F" w:rsidRPr="0021135B" w:rsidRDefault="00CF6794" w:rsidP="005948CB">
      <w:pPr>
        <w:spacing w:line="276" w:lineRule="auto"/>
        <w:ind w:firstLine="720"/>
        <w:contextualSpacing/>
        <w:jc w:val="both"/>
        <w:rPr>
          <w:kern w:val="2"/>
          <w14:ligatures w14:val="standardContextual"/>
        </w:rPr>
      </w:pPr>
      <w:r>
        <w:t>Pretēji kasācijas sūdzībā norādītajam a</w:t>
      </w:r>
      <w:r w:rsidRPr="0021135B">
        <w:rPr>
          <w:kern w:val="2"/>
          <w14:ligatures w14:val="standardContextual"/>
        </w:rPr>
        <w:t>pelācijas instances tiesa</w:t>
      </w:r>
      <w:r w:rsidRPr="0021135B">
        <w:t xml:space="preserve"> </w:t>
      </w:r>
      <w:r>
        <w:t xml:space="preserve">konstatējusi </w:t>
      </w:r>
      <w:r w:rsidRPr="0021135B">
        <w:t>narkotisko vai psihotropo vielu valdījum</w:t>
      </w:r>
      <w:r>
        <w:t>u</w:t>
      </w:r>
      <w:r w:rsidRPr="0021135B">
        <w:t xml:space="preserve">. </w:t>
      </w:r>
      <w:r>
        <w:t xml:space="preserve">Proti, </w:t>
      </w:r>
      <w:r w:rsidR="00665438" w:rsidRPr="0021135B">
        <w:rPr>
          <w:kern w:val="2"/>
          <w14:ligatures w14:val="standardContextual"/>
        </w:rPr>
        <w:t>tiesa atzinusi</w:t>
      </w:r>
      <w:r w:rsidR="009631EE" w:rsidRPr="0021135B">
        <w:rPr>
          <w:kern w:val="2"/>
          <w14:ligatures w14:val="standardContextual"/>
        </w:rPr>
        <w:t xml:space="preserve"> par </w:t>
      </w:r>
      <w:r w:rsidR="00665438" w:rsidRPr="0021135B">
        <w:rPr>
          <w:kern w:val="2"/>
          <w14:ligatures w14:val="standardContextual"/>
        </w:rPr>
        <w:t>pierādīt</w:t>
      </w:r>
      <w:r w:rsidR="009631EE" w:rsidRPr="0021135B">
        <w:rPr>
          <w:kern w:val="2"/>
          <w14:ligatures w14:val="standardContextual"/>
        </w:rPr>
        <w:t>u</w:t>
      </w:r>
      <w:r w:rsidR="00665438" w:rsidRPr="0021135B">
        <w:rPr>
          <w:kern w:val="2"/>
          <w14:ligatures w14:val="standardContextual"/>
        </w:rPr>
        <w:t xml:space="preserve">, ka apsūdzētais </w:t>
      </w:r>
      <w:r w:rsidR="002844DA">
        <w:rPr>
          <w:szCs w:val="24"/>
        </w:rPr>
        <w:t>[pers. A]</w:t>
      </w:r>
      <w:r w:rsidR="00665438" w:rsidRPr="0021135B">
        <w:rPr>
          <w:kern w:val="2"/>
          <w14:ligatures w14:val="standardContextual"/>
        </w:rPr>
        <w:t xml:space="preserve"> realizācijas nolūk</w:t>
      </w:r>
      <w:r w:rsidR="00D02207" w:rsidRPr="0021135B">
        <w:rPr>
          <w:kern w:val="2"/>
          <w14:ligatures w14:val="standardContextual"/>
        </w:rPr>
        <w:t>ā</w:t>
      </w:r>
      <w:r w:rsidR="00665438" w:rsidRPr="0021135B">
        <w:rPr>
          <w:kern w:val="2"/>
          <w14:ligatures w14:val="standardContextual"/>
        </w:rPr>
        <w:t xml:space="preserve"> iegādāj</w:t>
      </w:r>
      <w:r w:rsidR="00D02207" w:rsidRPr="0021135B">
        <w:rPr>
          <w:kern w:val="2"/>
          <w14:ligatures w14:val="standardContextual"/>
        </w:rPr>
        <w:t>ā</w:t>
      </w:r>
      <w:r w:rsidR="00665438" w:rsidRPr="0021135B">
        <w:rPr>
          <w:kern w:val="2"/>
          <w14:ligatures w14:val="standardContextual"/>
        </w:rPr>
        <w:t>s un glabāj</w:t>
      </w:r>
      <w:r w:rsidR="00D02207" w:rsidRPr="0021135B">
        <w:rPr>
          <w:kern w:val="2"/>
          <w14:ligatures w14:val="standardContextual"/>
        </w:rPr>
        <w:t>a</w:t>
      </w:r>
      <w:r w:rsidR="00665438" w:rsidRPr="0021135B">
        <w:rPr>
          <w:kern w:val="2"/>
          <w14:ligatures w14:val="standardContextual"/>
        </w:rPr>
        <w:t xml:space="preserve"> 8,3613 g vielas, kas satur 2,1297 g psihotropo vielu amfetamīnu, t.i., daudzumu, kāds atbilstoši likuma </w:t>
      </w:r>
      <w:r w:rsidR="009631EE" w:rsidRPr="0021135B">
        <w:rPr>
          <w:kern w:val="2"/>
          <w14:ligatures w14:val="standardContextual"/>
        </w:rPr>
        <w:t>„</w:t>
      </w:r>
      <w:r w:rsidR="00665438" w:rsidRPr="0021135B">
        <w:rPr>
          <w:kern w:val="2"/>
          <w14:ligatures w14:val="standardContextual"/>
        </w:rPr>
        <w:t>Par Krimināllikuma spēkā stāšanās un piemērošanas kārtību” 2.</w:t>
      </w:r>
      <w:r w:rsidR="007B3BE1" w:rsidRPr="0021135B">
        <w:rPr>
          <w:kern w:val="2"/>
          <w14:ligatures w14:val="standardContextual"/>
        </w:rPr>
        <w:t> </w:t>
      </w:r>
      <w:r w:rsidR="00665438" w:rsidRPr="0021135B">
        <w:rPr>
          <w:kern w:val="2"/>
          <w14:ligatures w14:val="standardContextual"/>
        </w:rPr>
        <w:t>pielikumā noteiktajam apmēram pārsniedz 2 g jeb lielu apmēru, kā arī realizācijas nolūk</w:t>
      </w:r>
      <w:r w:rsidR="00D02207" w:rsidRPr="0021135B">
        <w:rPr>
          <w:kern w:val="2"/>
          <w14:ligatures w14:val="standardContextual"/>
        </w:rPr>
        <w:t>ā</w:t>
      </w:r>
      <w:r w:rsidR="00665438" w:rsidRPr="0021135B">
        <w:rPr>
          <w:kern w:val="2"/>
          <w14:ligatures w14:val="standardContextual"/>
        </w:rPr>
        <w:t xml:space="preserve"> iegādāj</w:t>
      </w:r>
      <w:r w:rsidR="00D02207" w:rsidRPr="0021135B">
        <w:rPr>
          <w:kern w:val="2"/>
          <w14:ligatures w14:val="standardContextual"/>
        </w:rPr>
        <w:t>ā</w:t>
      </w:r>
      <w:r w:rsidR="00665438" w:rsidRPr="0021135B">
        <w:rPr>
          <w:kern w:val="2"/>
          <w14:ligatures w14:val="standardContextual"/>
        </w:rPr>
        <w:t>s un glabāj</w:t>
      </w:r>
      <w:r w:rsidR="00D02207" w:rsidRPr="0021135B">
        <w:rPr>
          <w:kern w:val="2"/>
          <w14:ligatures w14:val="standardContextual"/>
        </w:rPr>
        <w:t>a</w:t>
      </w:r>
      <w:r w:rsidR="00665438" w:rsidRPr="0021135B">
        <w:rPr>
          <w:kern w:val="2"/>
          <w14:ligatures w14:val="standardContextual"/>
        </w:rPr>
        <w:t xml:space="preserve"> citas narkotiskās un psihotropās vielas</w:t>
      </w:r>
      <w:r w:rsidR="00263F36" w:rsidRPr="0021135B">
        <w:rPr>
          <w:kern w:val="2"/>
          <w14:ligatures w14:val="standardContextual"/>
        </w:rPr>
        <w:t xml:space="preserve">, kā arī </w:t>
      </w:r>
      <w:r w:rsidR="00263F36" w:rsidRPr="0021135B">
        <w:t xml:space="preserve">realizēja </w:t>
      </w:r>
      <w:r w:rsidR="00263F36" w:rsidRPr="0021135B">
        <w:rPr>
          <w:kern w:val="2"/>
          <w14:ligatures w14:val="standardContextual"/>
        </w:rPr>
        <w:t xml:space="preserve">psihotropo vielu </w:t>
      </w:r>
      <w:r w:rsidR="00263F36" w:rsidRPr="0021135B">
        <w:t>lielā apmērā</w:t>
      </w:r>
      <w:r w:rsidR="00665438" w:rsidRPr="0021135B">
        <w:rPr>
          <w:kern w:val="2"/>
          <w14:ligatures w14:val="standardContextual"/>
        </w:rPr>
        <w:t>.</w:t>
      </w:r>
      <w:r w:rsidR="00D02207" w:rsidRPr="0021135B">
        <w:rPr>
          <w:kern w:val="2"/>
          <w14:ligatures w14:val="standardContextual"/>
        </w:rPr>
        <w:t xml:space="preserve"> T</w:t>
      </w:r>
      <w:r w:rsidR="00FF6CB7" w:rsidRPr="0021135B">
        <w:t xml:space="preserve">iesa atzinusi, ka apsūdzētā </w:t>
      </w:r>
      <w:r w:rsidR="00B31346">
        <w:rPr>
          <w:szCs w:val="24"/>
        </w:rPr>
        <w:t>[pers. A]</w:t>
      </w:r>
      <w:r w:rsidR="00FF6CB7" w:rsidRPr="0021135B">
        <w:t xml:space="preserve"> darbībās konstatējamas visas nepieciešamās un obligātās Krimināllikuma 253.</w:t>
      </w:r>
      <w:r w:rsidR="00FF6CB7" w:rsidRPr="0021135B">
        <w:rPr>
          <w:vertAlign w:val="superscript"/>
        </w:rPr>
        <w:t>1</w:t>
      </w:r>
      <w:r w:rsidR="007B3BE1" w:rsidRPr="0021135B">
        <w:rPr>
          <w:vertAlign w:val="superscript"/>
        </w:rPr>
        <w:t> </w:t>
      </w:r>
      <w:r w:rsidR="00FF6CB7" w:rsidRPr="0021135B">
        <w:t xml:space="preserve">panta trešajā daļā </w:t>
      </w:r>
      <w:r w:rsidR="00256C42">
        <w:t xml:space="preserve">un 253. panta pirmajā daļā </w:t>
      </w:r>
      <w:r w:rsidR="00FF6CB7" w:rsidRPr="0021135B">
        <w:t>paredzētā noziedzīgā nodarījuma sastāva pazīmes.</w:t>
      </w:r>
      <w:r w:rsidR="008E4F8F" w:rsidRPr="0021135B">
        <w:rPr>
          <w:kern w:val="2"/>
          <w14:ligatures w14:val="standardContextual"/>
        </w:rPr>
        <w:t xml:space="preserve"> </w:t>
      </w:r>
    </w:p>
    <w:p w14:paraId="6B6C9834" w14:textId="77777777" w:rsidR="00B5798F" w:rsidRPr="0021135B" w:rsidRDefault="008E4F8F" w:rsidP="005948CB">
      <w:pPr>
        <w:spacing w:line="276" w:lineRule="auto"/>
        <w:ind w:firstLine="720"/>
        <w:contextualSpacing/>
        <w:jc w:val="both"/>
      </w:pPr>
      <w:r w:rsidRPr="0021135B">
        <w:rPr>
          <w:kern w:val="2"/>
          <w14:ligatures w14:val="standardContextual"/>
        </w:rPr>
        <w:t xml:space="preserve">Senāts pretēji kasācijas sūdzībā apgalvotajam nekonstatē </w:t>
      </w:r>
      <w:r w:rsidRPr="0021135B">
        <w:t xml:space="preserve">Kriminālprocesa likuma 574. panta 2. punktā norādīto Krimināllikuma pārkāpumu. Norāde kasācijas sūdzībā uz minēto pārkāpumu nav saistīta ar Krimināllikuma normas piemērošanu, bet ar citādu pierādījumu vērtējumu nekā tos vērtējusi apelācijas instances tiesa.  </w:t>
      </w:r>
    </w:p>
    <w:p w14:paraId="4C3E0D21" w14:textId="5C8573F5" w:rsidR="00B5798F" w:rsidRPr="0021135B" w:rsidRDefault="005E1D7E" w:rsidP="005948CB">
      <w:pPr>
        <w:spacing w:line="276" w:lineRule="auto"/>
        <w:ind w:firstLine="720"/>
        <w:contextualSpacing/>
        <w:jc w:val="both"/>
      </w:pPr>
      <w:r w:rsidRPr="0021135B">
        <w:rPr>
          <w:kern w:val="2"/>
          <w14:ligatures w14:val="standardContextual"/>
        </w:rPr>
        <w:t>[</w:t>
      </w:r>
      <w:r w:rsidR="00525505">
        <w:rPr>
          <w:kern w:val="2"/>
          <w14:ligatures w14:val="standardContextual"/>
        </w:rPr>
        <w:t>9</w:t>
      </w:r>
      <w:r w:rsidRPr="0021135B">
        <w:rPr>
          <w:kern w:val="2"/>
          <w14:ligatures w14:val="standardContextual"/>
        </w:rPr>
        <w:t>.2] </w:t>
      </w:r>
      <w:r w:rsidR="00F41F03" w:rsidRPr="0021135B">
        <w:rPr>
          <w:kern w:val="2"/>
          <w14:ligatures w14:val="standardContextual"/>
        </w:rPr>
        <w:t xml:space="preserve">Senāts atzīst, ka apelācijas instances tiesa, noraidot apsūdzētā un viņa aizstāves lūgumu par liecinieku </w:t>
      </w:r>
      <w:r w:rsidR="002844DA">
        <w:t>[pers. B]</w:t>
      </w:r>
      <w:r w:rsidR="00F41F03" w:rsidRPr="0021135B">
        <w:t xml:space="preserve"> un </w:t>
      </w:r>
      <w:r w:rsidR="002844DA">
        <w:t>[pers. C]</w:t>
      </w:r>
      <w:r w:rsidR="00F41F03" w:rsidRPr="0021135B">
        <w:rPr>
          <w:kern w:val="2"/>
          <w14:ligatures w14:val="standardContextual"/>
        </w:rPr>
        <w:t xml:space="preserve"> atkārtotu aicināšanu un nopratināšanu apelācijas instances tiesā, Kriminālprocesa likuma </w:t>
      </w:r>
      <w:r w:rsidR="00E23225" w:rsidRPr="0021135B">
        <w:rPr>
          <w:kern w:val="2"/>
          <w14:ligatures w14:val="standardContextual"/>
        </w:rPr>
        <w:t>normas</w:t>
      </w:r>
      <w:r w:rsidR="00F41F03" w:rsidRPr="0021135B">
        <w:rPr>
          <w:kern w:val="2"/>
          <w14:ligatures w14:val="standardContextual"/>
        </w:rPr>
        <w:t xml:space="preserve"> nav pārkāpusi. </w:t>
      </w:r>
      <w:r w:rsidR="00665438" w:rsidRPr="0021135B">
        <w:rPr>
          <w:kern w:val="2"/>
          <w14:ligatures w14:val="standardContextual"/>
        </w:rPr>
        <w:t xml:space="preserve">Minētie liecinieki nopratināti pirmās instances tiesā. </w:t>
      </w:r>
      <w:r w:rsidR="00F41F03" w:rsidRPr="0021135B">
        <w:rPr>
          <w:kern w:val="2"/>
          <w14:ligatures w14:val="standardContextual"/>
        </w:rPr>
        <w:t>A</w:t>
      </w:r>
      <w:r w:rsidR="00F41F03" w:rsidRPr="0021135B">
        <w:t>pelācijas instances tiesa atzinusi par nepamatotu apsūdzētā aizstāves apgalvojumu, ka pirmās instances tiesa, ne</w:t>
      </w:r>
      <w:r w:rsidRPr="0021135B">
        <w:t>uz</w:t>
      </w:r>
      <w:r w:rsidR="00F41F03" w:rsidRPr="0021135B">
        <w:t>aicinot</w:t>
      </w:r>
      <w:r w:rsidRPr="0021135B">
        <w:t xml:space="preserve"> atkārtoti</w:t>
      </w:r>
      <w:r w:rsidR="00F41F03" w:rsidRPr="0021135B">
        <w:t xml:space="preserve"> uz ties</w:t>
      </w:r>
      <w:r w:rsidR="00256C42">
        <w:t>as sēdi</w:t>
      </w:r>
      <w:r w:rsidR="00F41F03" w:rsidRPr="0021135B">
        <w:t xml:space="preserve"> lieciniekus </w:t>
      </w:r>
      <w:r w:rsidR="002844DA">
        <w:t>[pers. B]</w:t>
      </w:r>
      <w:r w:rsidR="00F41F03" w:rsidRPr="0021135B">
        <w:t xml:space="preserve"> un </w:t>
      </w:r>
      <w:r w:rsidR="002844DA">
        <w:t>[pers. C]</w:t>
      </w:r>
      <w:r w:rsidR="00F41F03" w:rsidRPr="0021135B">
        <w:t>, ir pieļāvusi Kriminālprocesa likuma 18.</w:t>
      </w:r>
      <w:r w:rsidR="00A075A7" w:rsidRPr="0021135B">
        <w:t> </w:t>
      </w:r>
      <w:r w:rsidR="00F41F03" w:rsidRPr="0021135B">
        <w:t>pantā nostiprināt</w:t>
      </w:r>
      <w:r w:rsidR="00E23225" w:rsidRPr="0021135B">
        <w:t>ā</w:t>
      </w:r>
      <w:r w:rsidR="00F41F03" w:rsidRPr="0021135B">
        <w:t xml:space="preserve"> procesuālo pilnvaru līdzvērtības principa pārkāpumu, jo no tiesas sēžu protokoliem redzams, ka minētos lieciniekus tiesas sēdē nopratinājusi gan tiesa,</w:t>
      </w:r>
      <w:r w:rsidR="00665438" w:rsidRPr="0021135B">
        <w:t xml:space="preserve"> gan prokurors,</w:t>
      </w:r>
      <w:r w:rsidR="00F41F03" w:rsidRPr="0021135B">
        <w:t xml:space="preserve"> gan aizstāve </w:t>
      </w:r>
      <w:r w:rsidRPr="0021135B">
        <w:t>un</w:t>
      </w:r>
      <w:r w:rsidR="00F41F03" w:rsidRPr="0021135B">
        <w:t xml:space="preserve"> apsūdzēt</w:t>
      </w:r>
      <w:r w:rsidRPr="0021135B">
        <w:t>ais</w:t>
      </w:r>
      <w:r w:rsidR="00F41F03" w:rsidRPr="0021135B">
        <w:t xml:space="preserve">. </w:t>
      </w:r>
      <w:r w:rsidR="00665438" w:rsidRPr="0021135B">
        <w:t xml:space="preserve">Tiesa konstatējusi, ka </w:t>
      </w:r>
      <w:r w:rsidR="00F41F03" w:rsidRPr="0021135B">
        <w:t>aizstāvei</w:t>
      </w:r>
      <w:r w:rsidR="00665438" w:rsidRPr="0021135B">
        <w:t xml:space="preserve"> un</w:t>
      </w:r>
      <w:r w:rsidR="00F41F03" w:rsidRPr="0021135B">
        <w:t xml:space="preserve"> apsūdzētajam bija iespēja </w:t>
      </w:r>
      <w:r w:rsidR="00256C42">
        <w:t>uzdot jautājumus lieciniekiem</w:t>
      </w:r>
      <w:r w:rsidR="00F41F03" w:rsidRPr="0021135B">
        <w:t xml:space="preserve">. Turklāt sakarā ar aizstāvības lūgumu lieciniece </w:t>
      </w:r>
      <w:r w:rsidR="002844DA">
        <w:t>[pers. C]</w:t>
      </w:r>
      <w:r w:rsidR="00F41F03" w:rsidRPr="0021135B">
        <w:t xml:space="preserve"> uz tiesu bija aicināta un pratināta divas reizes un ties</w:t>
      </w:r>
      <w:r w:rsidR="00256C42">
        <w:t>a</w:t>
      </w:r>
      <w:r w:rsidR="00F41F03" w:rsidRPr="0021135B">
        <w:t xml:space="preserve"> </w:t>
      </w:r>
      <w:r w:rsidR="00256C42">
        <w:t>pārbaudījusi</w:t>
      </w:r>
      <w:r w:rsidR="00F41F03" w:rsidRPr="0021135B">
        <w:t xml:space="preserve"> viņas pirmstiesas procesā sniegtās liecības, par kuru ticamību un patiesumu aizstāve ir paudusi savu viedokli tiesas debatēs.</w:t>
      </w:r>
    </w:p>
    <w:p w14:paraId="1D50E5BB" w14:textId="5A8A8BFA" w:rsidR="00B5798F" w:rsidRPr="0021135B" w:rsidRDefault="00F41F03" w:rsidP="005948CB">
      <w:pPr>
        <w:spacing w:line="276" w:lineRule="auto"/>
        <w:ind w:firstLine="720"/>
        <w:contextualSpacing/>
        <w:jc w:val="both"/>
        <w:rPr>
          <w:kern w:val="2"/>
          <w14:ligatures w14:val="standardContextual"/>
        </w:rPr>
      </w:pPr>
      <w:r w:rsidRPr="0021135B">
        <w:rPr>
          <w:kern w:val="2"/>
          <w14:ligatures w14:val="standardContextual"/>
        </w:rPr>
        <w:t>Jautājuma izlemšana par pirmās instances tiesas sēdē nopratināto personu aicināšanu uz apelācijas instances tiesas sēdi ietilpst apelācijas instances tiesas kompetencē, un tā pamatojas vienīgi uz pašas tiesas, nevis apsūdzētā, viņa aizstāvja vai citu procesā iesaistīto personu šaubām par sniegto liecību pilnīgumu vai par apsūdzētā iespējamo vainu inkriminētajā apsūdzībā</w:t>
      </w:r>
      <w:r w:rsidR="005E1D7E" w:rsidRPr="0021135B">
        <w:rPr>
          <w:kern w:val="2"/>
          <w14:ligatures w14:val="standardContextual"/>
        </w:rPr>
        <w:t xml:space="preserve"> </w:t>
      </w:r>
      <w:r w:rsidR="00B5798F" w:rsidRPr="0021135B">
        <w:rPr>
          <w:kern w:val="2"/>
          <w14:ligatures w14:val="standardContextual"/>
        </w:rPr>
        <w:t>(</w:t>
      </w:r>
      <w:bookmarkStart w:id="3" w:name="_Hlk190085429"/>
      <w:r w:rsidR="00B5798F" w:rsidRPr="0021135B">
        <w:rPr>
          <w:i/>
          <w:iCs/>
          <w:kern w:val="2"/>
          <w14:ligatures w14:val="standardContextual"/>
        </w:rPr>
        <w:t>Senāta 2021. gada 10. </w:t>
      </w:r>
      <w:r w:rsidR="00D86750">
        <w:rPr>
          <w:i/>
          <w:iCs/>
          <w:kern w:val="2"/>
          <w14:ligatures w14:val="standardContextual"/>
        </w:rPr>
        <w:t>maija</w:t>
      </w:r>
      <w:r w:rsidR="00B5798F" w:rsidRPr="0021135B">
        <w:rPr>
          <w:i/>
          <w:iCs/>
          <w:kern w:val="2"/>
          <w14:ligatures w14:val="standardContextual"/>
        </w:rPr>
        <w:t xml:space="preserve"> lēmums lietā Nr. </w:t>
      </w:r>
      <w:r w:rsidRPr="0021135B">
        <w:rPr>
          <w:i/>
          <w:iCs/>
        </w:rPr>
        <w:t>SKK-25/2021</w:t>
      </w:r>
      <w:r w:rsidR="00B5798F" w:rsidRPr="0021135B">
        <w:rPr>
          <w:i/>
          <w:iCs/>
        </w:rPr>
        <w:t xml:space="preserve">, </w:t>
      </w:r>
      <w:hyperlink r:id="rId9" w:history="1">
        <w:r w:rsidR="00B5798F" w:rsidRPr="0021135B">
          <w:rPr>
            <w:rStyle w:val="Hyperlink"/>
            <w:i/>
            <w:iCs/>
            <w:color w:val="auto"/>
          </w:rPr>
          <w:t>ECLI:LV:AT:2021:0510.11096061617.10.L</w:t>
        </w:r>
      </w:hyperlink>
      <w:bookmarkEnd w:id="3"/>
      <w:r w:rsidRPr="0021135B">
        <w:rPr>
          <w:kern w:val="2"/>
          <w14:ligatures w14:val="standardContextual"/>
        </w:rPr>
        <w:t>).</w:t>
      </w:r>
    </w:p>
    <w:p w14:paraId="123AF904" w14:textId="3618A23B" w:rsidR="00B5798F" w:rsidRPr="0021135B" w:rsidRDefault="005E1D7E" w:rsidP="005948CB">
      <w:pPr>
        <w:spacing w:line="276" w:lineRule="auto"/>
        <w:ind w:firstLine="720"/>
        <w:contextualSpacing/>
        <w:jc w:val="both"/>
      </w:pPr>
      <w:r w:rsidRPr="0021135B">
        <w:lastRenderedPageBreak/>
        <w:t>[</w:t>
      </w:r>
      <w:r w:rsidR="00525505">
        <w:t>9</w:t>
      </w:r>
      <w:r w:rsidRPr="0021135B">
        <w:t>.3]</w:t>
      </w:r>
      <w:r w:rsidR="007B3BE1" w:rsidRPr="0021135B">
        <w:t> </w:t>
      </w:r>
      <w:r w:rsidR="000237A1" w:rsidRPr="0021135B">
        <w:t>Senāts konstatē, ka apsūdzētais</w:t>
      </w:r>
      <w:bookmarkStart w:id="4" w:name="_Hlk181635943"/>
      <w:r w:rsidR="000237A1" w:rsidRPr="0021135B">
        <w:t xml:space="preserve"> </w:t>
      </w:r>
      <w:bookmarkEnd w:id="4"/>
      <w:r w:rsidR="000237A1" w:rsidRPr="0021135B">
        <w:t>atbilstoši Kriminālprocesa likuma 572.</w:t>
      </w:r>
      <w:r w:rsidR="00E179C7">
        <w:t> </w:t>
      </w:r>
      <w:r w:rsidR="000237A1" w:rsidRPr="0021135B">
        <w:t>panta prasībām nav pamatojis, kādā veidā un kad tikušas pārkāptas viņa tiesības lietot valodu, kuru viņš prot. Norāde</w:t>
      </w:r>
      <w:r w:rsidR="000466BC" w:rsidRPr="0021135B">
        <w:t xml:space="preserve"> kasācijas sūdzībā</w:t>
      </w:r>
      <w:r w:rsidR="000237A1" w:rsidRPr="0021135B">
        <w:t xml:space="preserve">, ka savlaicīgi netika nodrošināts visu lietas materiālos esošo liecību </w:t>
      </w:r>
      <w:r w:rsidR="000466BC" w:rsidRPr="0021135B">
        <w:t xml:space="preserve">rakstveida </w:t>
      </w:r>
      <w:r w:rsidR="000237A1" w:rsidRPr="0021135B">
        <w:t>tulkojums, ir vispārīga rakstura.</w:t>
      </w:r>
    </w:p>
    <w:p w14:paraId="739B1F36" w14:textId="2DEE339C" w:rsidR="00B5798F" w:rsidRPr="0021135B" w:rsidRDefault="005E1D7E" w:rsidP="005948CB">
      <w:pPr>
        <w:spacing w:line="276" w:lineRule="auto"/>
        <w:ind w:firstLine="720"/>
        <w:contextualSpacing/>
        <w:jc w:val="both"/>
        <w:rPr>
          <w:kern w:val="2"/>
          <w:shd w:val="clear" w:color="auto" w:fill="FFFFFF"/>
          <w14:ligatures w14:val="standardContextual"/>
        </w:rPr>
      </w:pPr>
      <w:r w:rsidRPr="0021135B">
        <w:t>[</w:t>
      </w:r>
      <w:r w:rsidR="00525505">
        <w:t>9</w:t>
      </w:r>
      <w:r w:rsidRPr="0021135B">
        <w:t>.4] </w:t>
      </w:r>
      <w:r w:rsidR="00F41F03" w:rsidRPr="0021135B">
        <w:t xml:space="preserve">Kriminālprocesa likuma </w:t>
      </w:r>
      <w:r w:rsidR="00F41F03" w:rsidRPr="0021135B">
        <w:rPr>
          <w:kern w:val="2"/>
          <w:shd w:val="clear" w:color="auto" w:fill="FFFFFF"/>
          <w14:ligatures w14:val="standardContextual"/>
        </w:rPr>
        <w:t>482.</w:t>
      </w:r>
      <w:r w:rsidR="007B3BE1" w:rsidRPr="0021135B">
        <w:rPr>
          <w:kern w:val="2"/>
          <w:shd w:val="clear" w:color="auto" w:fill="FFFFFF"/>
          <w14:ligatures w14:val="standardContextual"/>
        </w:rPr>
        <w:t> </w:t>
      </w:r>
      <w:r w:rsidR="00F41F03" w:rsidRPr="0021135B">
        <w:rPr>
          <w:kern w:val="2"/>
          <w:shd w:val="clear" w:color="auto" w:fill="FFFFFF"/>
          <w14:ligatures w14:val="standardContextual"/>
        </w:rPr>
        <w:t>panta pirmā daļa noteic, ka tiesas sēdes protokols ir procesuāls dokuments, kurā fiksē lietas iztiesāšanas gaitu un tiesas sēdē pieņemtos lēmumus. Tiesas sēdi pilnā apjomā fiksē, izmantojot skaņu vai skaņu un attēlu ierakstu vai citus tehniskos līdzekļus, bet, ja tas nav iespējams, tiesas sēdi fiksē rakstveidā. Senāts konstatē, ka apelācijas instances t</w:t>
      </w:r>
      <w:r w:rsidR="00F41F03" w:rsidRPr="0021135B">
        <w:t>iesa ir izvērtējusi kasācijas sūdzībā atkārtotās norādes par Kriminālprocesa likuma pārkāpumu pirmās instances tiesā, ka sakarā ar tehniskiem iemesliem nebija iespējams</w:t>
      </w:r>
      <w:r w:rsidR="00F41F03" w:rsidRPr="0021135B">
        <w:rPr>
          <w:kern w:val="2"/>
          <w:shd w:val="clear" w:color="auto" w:fill="FFFFFF"/>
          <w14:ligatures w14:val="standardContextual"/>
        </w:rPr>
        <w:t xml:space="preserve"> tiesas sēdi pilnā apjomā fiksēt, izmantojot skaņu ierakstu.</w:t>
      </w:r>
    </w:p>
    <w:p w14:paraId="7FA36A38" w14:textId="01451AC4" w:rsidR="00B5798F" w:rsidRPr="0021135B" w:rsidRDefault="00D02207" w:rsidP="005948CB">
      <w:pPr>
        <w:spacing w:line="276" w:lineRule="auto"/>
        <w:ind w:firstLine="720"/>
        <w:contextualSpacing/>
        <w:jc w:val="both"/>
        <w:rPr>
          <w:rFonts w:eastAsia="Times New Roman"/>
          <w:kern w:val="2"/>
          <w:lang w:eastAsia="lv-LV"/>
          <w14:ligatures w14:val="standardContextual"/>
        </w:rPr>
      </w:pPr>
      <w:r w:rsidRPr="0021135B">
        <w:rPr>
          <w:rFonts w:eastAsia="Times New Roman"/>
          <w:kern w:val="2"/>
          <w:lang w:eastAsia="lv-LV"/>
          <w14:ligatures w14:val="standardContextual"/>
        </w:rPr>
        <w:t>Judikatūrā izteikta atziņa, ka, tulkojot Kriminālprocesa likuma 575.</w:t>
      </w:r>
      <w:r w:rsidR="007B3BE1" w:rsidRPr="0021135B">
        <w:rPr>
          <w:rFonts w:eastAsia="Times New Roman"/>
          <w:kern w:val="2"/>
          <w:lang w:eastAsia="lv-LV"/>
          <w14:ligatures w14:val="standardContextual"/>
        </w:rPr>
        <w:t> </w:t>
      </w:r>
      <w:r w:rsidRPr="0021135B">
        <w:rPr>
          <w:rFonts w:eastAsia="Times New Roman"/>
          <w:kern w:val="2"/>
          <w:lang w:eastAsia="lv-LV"/>
          <w14:ligatures w14:val="standardContextual"/>
        </w:rPr>
        <w:t>panta pirmās daļas 6.</w:t>
      </w:r>
      <w:r w:rsidR="007B3BE1" w:rsidRPr="0021135B">
        <w:rPr>
          <w:rFonts w:eastAsia="Times New Roman"/>
          <w:kern w:val="2"/>
          <w:lang w:eastAsia="lv-LV"/>
          <w14:ligatures w14:val="standardContextual"/>
        </w:rPr>
        <w:t> </w:t>
      </w:r>
      <w:r w:rsidRPr="0021135B">
        <w:rPr>
          <w:rFonts w:eastAsia="Times New Roman"/>
          <w:kern w:val="2"/>
          <w:lang w:eastAsia="lv-LV"/>
          <w14:ligatures w14:val="standardContextual"/>
        </w:rPr>
        <w:t>punktā ietverto normu un lietojot sistēmisko un teleoloģisko interpretācijas metodi, konstatējot trūkumus vai nepilnības tiesas sēdes gaitas fiksēšanā, pamats tiesas nolēmuma atcelšanai ir gadījumos, ja trūkums vai nepilnība liedz procesā iesaistītajām personām realizēt tiesības uz taisnīgu tiesu</w:t>
      </w:r>
      <w:r w:rsidR="00256C42">
        <w:rPr>
          <w:rFonts w:eastAsia="Times New Roman"/>
          <w:kern w:val="2"/>
          <w:lang w:eastAsia="lv-LV"/>
          <w14:ligatures w14:val="standardContextual"/>
        </w:rPr>
        <w:t xml:space="preserve"> un</w:t>
      </w:r>
      <w:r w:rsidRPr="0021135B">
        <w:rPr>
          <w:rFonts w:eastAsia="Times New Roman"/>
          <w:kern w:val="2"/>
          <w:lang w:eastAsia="lv-LV"/>
          <w14:ligatures w14:val="standardContextual"/>
        </w:rPr>
        <w:t xml:space="preserve"> tiesības uz aizstāvību (</w:t>
      </w:r>
      <w:bookmarkStart w:id="5" w:name="_Hlk190085439"/>
      <w:r w:rsidR="00B5798F" w:rsidRPr="0021135B">
        <w:rPr>
          <w:rFonts w:eastAsia="Times New Roman"/>
          <w:i/>
          <w:iCs/>
          <w:kern w:val="2"/>
          <w:lang w:eastAsia="lv-LV"/>
          <w14:ligatures w14:val="standardContextual"/>
        </w:rPr>
        <w:t>Senāta 2019. gada 12. marta lēmuma lietā Nr. </w:t>
      </w:r>
      <w:r w:rsidRPr="0021135B">
        <w:rPr>
          <w:i/>
          <w:iCs/>
          <w:kern w:val="2"/>
          <w14:ligatures w14:val="standardContextual"/>
        </w:rPr>
        <w:t>SKK-</w:t>
      </w:r>
      <w:r w:rsidRPr="0021135B">
        <w:rPr>
          <w:rFonts w:eastAsia="Calibri"/>
          <w:i/>
          <w:iCs/>
          <w:kern w:val="2"/>
          <w14:ligatures w14:val="standardContextual"/>
        </w:rPr>
        <w:t>94/2019</w:t>
      </w:r>
      <w:r w:rsidRPr="0021135B">
        <w:rPr>
          <w:rFonts w:eastAsia="Times New Roman"/>
          <w:i/>
          <w:iCs/>
          <w:kern w:val="2"/>
          <w:lang w:eastAsia="lv-LV"/>
          <w14:ligatures w14:val="standardContextual"/>
        </w:rPr>
        <w:t xml:space="preserve">, </w:t>
      </w:r>
      <w:hyperlink r:id="rId10" w:history="1">
        <w:r w:rsidR="00B5798F" w:rsidRPr="0021135B">
          <w:rPr>
            <w:rStyle w:val="Hyperlink"/>
            <w:rFonts w:eastAsia="Times New Roman"/>
            <w:i/>
            <w:iCs/>
            <w:color w:val="auto"/>
            <w:kern w:val="2"/>
            <w:lang w:eastAsia="lv-LV"/>
            <w14:ligatures w14:val="standardContextual"/>
          </w:rPr>
          <w:t>ECLI:LV:AT:2019:0312.11270001716.6.L</w:t>
        </w:r>
      </w:hyperlink>
      <w:bookmarkEnd w:id="5"/>
      <w:r w:rsidR="00B5798F" w:rsidRPr="0021135B">
        <w:rPr>
          <w:rFonts w:eastAsia="Times New Roman"/>
          <w:i/>
          <w:iCs/>
          <w:kern w:val="2"/>
          <w:lang w:eastAsia="lv-LV"/>
          <w14:ligatures w14:val="standardContextual"/>
        </w:rPr>
        <w:t xml:space="preserve">, </w:t>
      </w:r>
      <w:r w:rsidRPr="0021135B">
        <w:rPr>
          <w:rFonts w:eastAsia="Times New Roman"/>
          <w:i/>
          <w:iCs/>
          <w:kern w:val="2"/>
          <w:lang w:eastAsia="lv-LV"/>
          <w14:ligatures w14:val="standardContextual"/>
        </w:rPr>
        <w:t>7.</w:t>
      </w:r>
      <w:r w:rsidR="007B3BE1" w:rsidRPr="0021135B">
        <w:rPr>
          <w:rFonts w:eastAsia="Times New Roman"/>
          <w:i/>
          <w:iCs/>
          <w:kern w:val="2"/>
          <w:lang w:eastAsia="lv-LV"/>
          <w14:ligatures w14:val="standardContextual"/>
        </w:rPr>
        <w:t> </w:t>
      </w:r>
      <w:r w:rsidRPr="0021135B">
        <w:rPr>
          <w:rFonts w:eastAsia="Times New Roman"/>
          <w:i/>
          <w:iCs/>
          <w:kern w:val="2"/>
          <w:lang w:eastAsia="lv-LV"/>
          <w14:ligatures w14:val="standardContextual"/>
        </w:rPr>
        <w:t>punkt</w:t>
      </w:r>
      <w:r w:rsidR="00B5798F" w:rsidRPr="0021135B">
        <w:rPr>
          <w:rFonts w:eastAsia="Times New Roman"/>
          <w:i/>
          <w:iCs/>
          <w:kern w:val="2"/>
          <w:lang w:eastAsia="lv-LV"/>
          <w14:ligatures w14:val="standardContextual"/>
        </w:rPr>
        <w:t>s</w:t>
      </w:r>
      <w:r w:rsidRPr="0021135B">
        <w:rPr>
          <w:rFonts w:eastAsia="Times New Roman"/>
          <w:kern w:val="2"/>
          <w:lang w:eastAsia="lv-LV"/>
          <w14:ligatures w14:val="standardContextual"/>
        </w:rPr>
        <w:t>).</w:t>
      </w:r>
    </w:p>
    <w:p w14:paraId="50053319" w14:textId="1C79796B" w:rsidR="00B5798F" w:rsidRPr="0021135B" w:rsidRDefault="00B25122" w:rsidP="005948CB">
      <w:pPr>
        <w:spacing w:line="276" w:lineRule="auto"/>
        <w:ind w:firstLine="720"/>
        <w:contextualSpacing/>
        <w:jc w:val="both"/>
      </w:pPr>
      <w:r w:rsidRPr="0021135B">
        <w:rPr>
          <w:rFonts w:eastAsia="Times New Roman"/>
          <w:kern w:val="2"/>
          <w:lang w:eastAsia="lv-LV"/>
          <w14:ligatures w14:val="standardContextual"/>
        </w:rPr>
        <w:t>Apelācijas instances tiesa</w:t>
      </w:r>
      <w:r w:rsidR="00256C42">
        <w:rPr>
          <w:rFonts w:eastAsia="Times New Roman"/>
          <w:kern w:val="2"/>
          <w:lang w:eastAsia="lv-LV"/>
          <w14:ligatures w14:val="standardContextual"/>
        </w:rPr>
        <w:t xml:space="preserve">, </w:t>
      </w:r>
      <w:r w:rsidRPr="0021135B">
        <w:t xml:space="preserve">pārbaudot apsūdzētā aizstāves apgalvojumus kopumā ar citiem lietā iegūtajiem pierādījumiem, </w:t>
      </w:r>
      <w:r w:rsidR="00256C42">
        <w:t>nav konstatējusi</w:t>
      </w:r>
      <w:r w:rsidRPr="0021135B">
        <w:t xml:space="preserve"> Kriminālprocesa likuma 575.</w:t>
      </w:r>
      <w:r w:rsidR="007B3BE1" w:rsidRPr="0021135B">
        <w:t> </w:t>
      </w:r>
      <w:r w:rsidRPr="0021135B">
        <w:t>panta pirmās daļas 6.</w:t>
      </w:r>
      <w:r w:rsidR="007B3BE1" w:rsidRPr="0021135B">
        <w:t> </w:t>
      </w:r>
      <w:r w:rsidRPr="0021135B">
        <w:t>punktā noteikto pirmās instances tiesas sprieduma atcelšanas pamatu, jo pirmās instances tiesa izgatavoj</w:t>
      </w:r>
      <w:r w:rsidR="0021135B" w:rsidRPr="0021135B">
        <w:t>usi</w:t>
      </w:r>
      <w:r w:rsidRPr="0021135B">
        <w:t xml:space="preserve"> 2022.</w:t>
      </w:r>
      <w:r w:rsidR="007B3BE1" w:rsidRPr="0021135B">
        <w:t> </w:t>
      </w:r>
      <w:r w:rsidRPr="0021135B">
        <w:t>gada 29.</w:t>
      </w:r>
      <w:r w:rsidR="007B3BE1" w:rsidRPr="0021135B">
        <w:t> </w:t>
      </w:r>
      <w:r w:rsidRPr="0021135B">
        <w:t>novembra tiesas sēdes protokolu rakstveidā (</w:t>
      </w:r>
      <w:r w:rsidRPr="0021135B">
        <w:rPr>
          <w:i/>
          <w:iCs/>
        </w:rPr>
        <w:t>lietas 5.</w:t>
      </w:r>
      <w:r w:rsidR="007B3BE1" w:rsidRPr="0021135B">
        <w:rPr>
          <w:i/>
          <w:iCs/>
        </w:rPr>
        <w:t> </w:t>
      </w:r>
      <w:r w:rsidRPr="0021135B">
        <w:rPr>
          <w:i/>
          <w:iCs/>
        </w:rPr>
        <w:t>sējuma 44.-51.</w:t>
      </w:r>
      <w:r w:rsidR="007B3BE1" w:rsidRPr="0021135B">
        <w:rPr>
          <w:i/>
          <w:iCs/>
        </w:rPr>
        <w:t> </w:t>
      </w:r>
      <w:r w:rsidRPr="0021135B">
        <w:rPr>
          <w:i/>
          <w:iCs/>
        </w:rPr>
        <w:t>lapa</w:t>
      </w:r>
      <w:r w:rsidRPr="0021135B">
        <w:t>)</w:t>
      </w:r>
      <w:r w:rsidR="0021135B" w:rsidRPr="0021135B">
        <w:t xml:space="preserve">. </w:t>
      </w:r>
      <w:r w:rsidR="000466BC" w:rsidRPr="0021135B">
        <w:t>Latgales apgabalt</w:t>
      </w:r>
      <w:r w:rsidR="00E95BAF" w:rsidRPr="0021135B">
        <w:t xml:space="preserve">iesa norādījusi, ka nav svarīgi, kādā veidā, </w:t>
      </w:r>
      <w:r w:rsidR="00256C42">
        <w:t>proti,</w:t>
      </w:r>
      <w:r w:rsidR="00E95BAF" w:rsidRPr="0021135B">
        <w:t xml:space="preserve"> izmantojot skaņu vai skaņu un attēlu, vai rakstveidā tiek fiksēta lietas iztiesāšanas gaita, noteicošais ir tas, lai noklausoties, noskatoties vai izlasot šajā procesuālajā dokumentā fiksēto informāciju, procesa dalībniekiem būtu pārskatāms un saprotams tiesā veikto procesuālo darbību saturs, izlemtie lūgumi un pieņemtie nolēmumi. Apelācijas instances tiesa atzinusi par nepamatotu apsūdzētā aizstāves apgalvojumu, ka pirmās instances tiesa, nenodrošinot liecinieku </w:t>
      </w:r>
      <w:r w:rsidR="002844DA">
        <w:t>[pers. B]</w:t>
      </w:r>
      <w:r w:rsidR="00E95BAF" w:rsidRPr="0021135B">
        <w:t xml:space="preserve"> un </w:t>
      </w:r>
      <w:r w:rsidR="002844DA">
        <w:t>[pers. C]</w:t>
      </w:r>
      <w:r w:rsidR="00E95BAF" w:rsidRPr="0021135B">
        <w:t xml:space="preserve"> atkārtotu nopratināšanu tiesas sēdē, lai</w:t>
      </w:r>
      <w:r w:rsidR="000466BC" w:rsidRPr="0021135B">
        <w:t xml:space="preserve"> viņu</w:t>
      </w:r>
      <w:r w:rsidR="00E95BAF" w:rsidRPr="0021135B">
        <w:t xml:space="preserve"> liecības fiksētu skaņu ierakstā, ir pieļāvusi Kriminālprocesa likuma </w:t>
      </w:r>
      <w:r w:rsidR="00EE201F">
        <w:t>būtisku</w:t>
      </w:r>
      <w:r w:rsidR="00E95BAF" w:rsidRPr="0021135B">
        <w:t xml:space="preserve"> pārkāpumu</w:t>
      </w:r>
      <w:r w:rsidR="00EE201F">
        <w:t>, kas katrā ziņā izraisa tiesas nolēmuma atcelšanu</w:t>
      </w:r>
      <w:r w:rsidR="00E95BAF" w:rsidRPr="0021135B">
        <w:t>.</w:t>
      </w:r>
    </w:p>
    <w:p w14:paraId="0A248C56" w14:textId="77777777" w:rsidR="00B5798F" w:rsidRPr="0021135B" w:rsidRDefault="00B25122" w:rsidP="005948CB">
      <w:pPr>
        <w:spacing w:line="276" w:lineRule="auto"/>
        <w:ind w:firstLine="720"/>
        <w:contextualSpacing/>
        <w:jc w:val="both"/>
        <w:rPr>
          <w:kern w:val="2"/>
          <w:shd w:val="clear" w:color="auto" w:fill="FFFFFF"/>
          <w14:ligatures w14:val="standardContextual"/>
        </w:rPr>
      </w:pPr>
      <w:r w:rsidRPr="0021135B">
        <w:rPr>
          <w:rFonts w:eastAsia="Times New Roman"/>
          <w:kern w:val="2"/>
          <w:lang w:eastAsia="lv-LV"/>
          <w14:ligatures w14:val="standardContextual"/>
        </w:rPr>
        <w:t>Senāts</w:t>
      </w:r>
      <w:r w:rsidR="00326E0F" w:rsidRPr="0021135B">
        <w:rPr>
          <w:rFonts w:eastAsia="Times New Roman"/>
          <w:kern w:val="2"/>
          <w:lang w:eastAsia="lv-LV"/>
          <w14:ligatures w14:val="standardContextual"/>
        </w:rPr>
        <w:t xml:space="preserve"> atzīst, ka apelācijas instances tiesa pamatoti nav </w:t>
      </w:r>
      <w:r w:rsidRPr="0021135B">
        <w:rPr>
          <w:rFonts w:eastAsia="Times New Roman"/>
          <w:kern w:val="2"/>
          <w:lang w:eastAsia="lv-LV"/>
          <w14:ligatures w14:val="standardContextual"/>
        </w:rPr>
        <w:t>konstatē</w:t>
      </w:r>
      <w:r w:rsidR="00326E0F" w:rsidRPr="0021135B">
        <w:rPr>
          <w:rFonts w:eastAsia="Times New Roman"/>
          <w:kern w:val="2"/>
          <w:lang w:eastAsia="lv-LV"/>
          <w14:ligatures w14:val="standardContextual"/>
        </w:rPr>
        <w:t>jusi</w:t>
      </w:r>
      <w:r w:rsidRPr="0021135B">
        <w:rPr>
          <w:rFonts w:eastAsia="Times New Roman"/>
          <w:kern w:val="2"/>
          <w:lang w:eastAsia="lv-LV"/>
          <w14:ligatures w14:val="standardContextual"/>
        </w:rPr>
        <w:t xml:space="preserve"> </w:t>
      </w:r>
      <w:r w:rsidR="00326E0F" w:rsidRPr="0021135B">
        <w:rPr>
          <w:rFonts w:eastAsia="Times New Roman"/>
          <w:kern w:val="2"/>
          <w:lang w:eastAsia="lv-LV"/>
          <w14:ligatures w14:val="standardContextual"/>
        </w:rPr>
        <w:t xml:space="preserve">Kriminālprocesa likuma </w:t>
      </w:r>
      <w:r w:rsidR="00326E0F" w:rsidRPr="0021135B">
        <w:t>575.</w:t>
      </w:r>
      <w:r w:rsidR="007B3BE1" w:rsidRPr="0021135B">
        <w:t> </w:t>
      </w:r>
      <w:r w:rsidR="00326E0F" w:rsidRPr="0021135B">
        <w:t>panta pirmās daļas 6.</w:t>
      </w:r>
      <w:r w:rsidR="007B3BE1" w:rsidRPr="0021135B">
        <w:t> </w:t>
      </w:r>
      <w:r w:rsidR="00326E0F" w:rsidRPr="0021135B">
        <w:t>punktā</w:t>
      </w:r>
      <w:r w:rsidR="00326E0F" w:rsidRPr="0021135B">
        <w:rPr>
          <w:rFonts w:eastAsia="Times New Roman"/>
          <w:kern w:val="2"/>
          <w:lang w:eastAsia="lv-LV"/>
          <w14:ligatures w14:val="standardContextual"/>
        </w:rPr>
        <w:t xml:space="preserve"> paredzēto pārkāpumu. Tādējādi par nepamatotu atzīstama norāde</w:t>
      </w:r>
      <w:r w:rsidR="000466BC" w:rsidRPr="0021135B">
        <w:rPr>
          <w:rFonts w:eastAsia="Times New Roman"/>
          <w:kern w:val="2"/>
          <w:lang w:eastAsia="lv-LV"/>
          <w14:ligatures w14:val="standardContextual"/>
        </w:rPr>
        <w:t xml:space="preserve"> kasācijas sūdzībā</w:t>
      </w:r>
      <w:r w:rsidR="00326E0F" w:rsidRPr="0021135B">
        <w:rPr>
          <w:rFonts w:eastAsia="Times New Roman"/>
          <w:kern w:val="2"/>
          <w:lang w:eastAsia="lv-LV"/>
          <w14:ligatures w14:val="standardContextual"/>
        </w:rPr>
        <w:t xml:space="preserve"> uz apelācijas instances tiesas pieļautu Kriminālprocesa likuma </w:t>
      </w:r>
      <w:r w:rsidR="00326E0F" w:rsidRPr="0021135B">
        <w:t>566.</w:t>
      </w:r>
      <w:r w:rsidR="007B3BE1" w:rsidRPr="0021135B">
        <w:t> </w:t>
      </w:r>
      <w:r w:rsidR="00326E0F" w:rsidRPr="0021135B">
        <w:t xml:space="preserve">panta </w:t>
      </w:r>
      <w:r w:rsidRPr="0021135B">
        <w:rPr>
          <w:rFonts w:eastAsia="Times New Roman"/>
          <w:kern w:val="2"/>
          <w:lang w:eastAsia="lv-LV"/>
          <w14:ligatures w14:val="standardContextual"/>
        </w:rPr>
        <w:t>pārkāpumu</w:t>
      </w:r>
      <w:r w:rsidRPr="0021135B">
        <w:rPr>
          <w:kern w:val="2"/>
          <w:shd w:val="clear" w:color="auto" w:fill="FFFFFF"/>
          <w14:ligatures w14:val="standardContextual"/>
        </w:rPr>
        <w:t>.</w:t>
      </w:r>
    </w:p>
    <w:p w14:paraId="0EE51216" w14:textId="0A46E813" w:rsidR="00B5798F" w:rsidRPr="0021135B" w:rsidRDefault="00D3525E" w:rsidP="005948CB">
      <w:pPr>
        <w:spacing w:line="276" w:lineRule="auto"/>
        <w:ind w:firstLine="720"/>
        <w:contextualSpacing/>
        <w:jc w:val="both"/>
      </w:pPr>
      <w:r w:rsidRPr="0021135B">
        <w:rPr>
          <w:kern w:val="2"/>
          <w:shd w:val="clear" w:color="auto" w:fill="FFFFFF"/>
          <w14:ligatures w14:val="standardContextual"/>
        </w:rPr>
        <w:t>[</w:t>
      </w:r>
      <w:r w:rsidR="00525505">
        <w:rPr>
          <w:kern w:val="2"/>
          <w:shd w:val="clear" w:color="auto" w:fill="FFFFFF"/>
          <w14:ligatures w14:val="standardContextual"/>
        </w:rPr>
        <w:t>9</w:t>
      </w:r>
      <w:r w:rsidRPr="0021135B">
        <w:rPr>
          <w:kern w:val="2"/>
          <w:shd w:val="clear" w:color="auto" w:fill="FFFFFF"/>
          <w14:ligatures w14:val="standardContextual"/>
        </w:rPr>
        <w:t>.5]</w:t>
      </w:r>
      <w:r w:rsidR="007B3BE1" w:rsidRPr="0021135B">
        <w:rPr>
          <w:kern w:val="2"/>
          <w:shd w:val="clear" w:color="auto" w:fill="FFFFFF"/>
          <w14:ligatures w14:val="standardContextual"/>
        </w:rPr>
        <w:t> </w:t>
      </w:r>
      <w:r w:rsidRPr="0021135B">
        <w:rPr>
          <w:kern w:val="2"/>
          <w:shd w:val="clear" w:color="auto" w:fill="FFFFFF"/>
          <w14:ligatures w14:val="standardContextual"/>
        </w:rPr>
        <w:t>Senāts noraida apsūdzētā</w:t>
      </w:r>
      <w:r w:rsidR="000466BC" w:rsidRPr="0021135B">
        <w:rPr>
          <w:kern w:val="2"/>
          <w14:ligatures w14:val="standardContextual"/>
        </w:rPr>
        <w:t xml:space="preserve"> </w:t>
      </w:r>
      <w:r w:rsidR="002844DA">
        <w:rPr>
          <w:szCs w:val="24"/>
        </w:rPr>
        <w:t>[pers. A]</w:t>
      </w:r>
      <w:r w:rsidRPr="0021135B">
        <w:rPr>
          <w:kern w:val="2"/>
          <w:shd w:val="clear" w:color="auto" w:fill="FFFFFF"/>
          <w14:ligatures w14:val="standardContextual"/>
        </w:rPr>
        <w:t xml:space="preserve"> kasācijas sūdzības argumentu, ka apelācijas instances tiesa </w:t>
      </w:r>
      <w:r w:rsidRPr="0021135B">
        <w:t xml:space="preserve">nepamatoti piedzinusi procesuālos izdevumus, kas saistīti ar </w:t>
      </w:r>
      <w:r w:rsidR="000466BC" w:rsidRPr="0021135B">
        <w:t xml:space="preserve">apsūdzētajam </w:t>
      </w:r>
      <w:r w:rsidRPr="0021135B">
        <w:t>sniegto juridisko palīdzību.</w:t>
      </w:r>
      <w:r w:rsidR="007D1D99" w:rsidRPr="0021135B">
        <w:rPr>
          <w:kern w:val="2"/>
          <w:shd w:val="clear" w:color="auto" w:fill="FFFFFF"/>
          <w14:ligatures w14:val="standardContextual"/>
        </w:rPr>
        <w:t xml:space="preserve"> </w:t>
      </w:r>
      <w:r w:rsidRPr="0021135B">
        <w:rPr>
          <w:kern w:val="2"/>
          <w:shd w:val="clear" w:color="auto" w:fill="FFFFFF"/>
          <w14:ligatures w14:val="standardContextual"/>
        </w:rPr>
        <w:t>Apelācijas instances tiesa atzinusi, ka tā</w:t>
      </w:r>
      <w:r w:rsidRPr="0021135B">
        <w:t xml:space="preserve"> nekonstatē Kriminālprocesa likuma 85.</w:t>
      </w:r>
      <w:r w:rsidR="007B3BE1" w:rsidRPr="0021135B">
        <w:t> </w:t>
      </w:r>
      <w:r w:rsidRPr="0021135B">
        <w:t>panta pirmajā daļā un 368.</w:t>
      </w:r>
      <w:r w:rsidR="00E63628" w:rsidRPr="0021135B">
        <w:t> </w:t>
      </w:r>
      <w:r w:rsidRPr="0021135B">
        <w:t>panta pirmajā daļā norādītos apstākļus, kas būtu par pamatu apsūdzētā atbrīvošanai no samaksas par aizstāves sniegto juridisko palīdzību.</w:t>
      </w:r>
    </w:p>
    <w:p w14:paraId="744234B5" w14:textId="547D4373" w:rsidR="00B5798F" w:rsidRPr="0021135B" w:rsidRDefault="007D1D99" w:rsidP="005948CB">
      <w:pPr>
        <w:spacing w:line="276" w:lineRule="auto"/>
        <w:ind w:firstLine="720"/>
        <w:contextualSpacing/>
        <w:jc w:val="both"/>
      </w:pPr>
      <w:r w:rsidRPr="0021135B">
        <w:t xml:space="preserve">Senāts konstatē, ka jau pirmās instances tiesā tika pieteikts lūgums atbrīvot apsūdzēto </w:t>
      </w:r>
      <w:r w:rsidR="002844DA">
        <w:rPr>
          <w:szCs w:val="24"/>
        </w:rPr>
        <w:t>[pers. A]</w:t>
      </w:r>
      <w:r w:rsidR="000466BC" w:rsidRPr="0021135B">
        <w:rPr>
          <w:kern w:val="2"/>
          <w14:ligatures w14:val="standardContextual"/>
        </w:rPr>
        <w:t xml:space="preserve"> </w:t>
      </w:r>
      <w:r w:rsidRPr="0021135B">
        <w:t xml:space="preserve">no samaksas par aizstāvja sniegto juridisko palīdzību iztiesāšanā, jo apsūdzētajam </w:t>
      </w:r>
      <w:r w:rsidRPr="0021135B">
        <w:lastRenderedPageBreak/>
        <w:t>nav ienākumu un viņam piemērots drošības līdzeklis</w:t>
      </w:r>
      <w:r w:rsidR="000466BC" w:rsidRPr="0021135B">
        <w:t xml:space="preserve"> </w:t>
      </w:r>
      <w:r w:rsidR="000466BC" w:rsidRPr="0021135B">
        <w:rPr>
          <w:kern w:val="2"/>
          <w14:ligatures w14:val="standardContextual"/>
        </w:rPr>
        <w:t>–</w:t>
      </w:r>
      <w:r w:rsidRPr="0021135B">
        <w:t xml:space="preserve"> apcietinājums. Pirmās instances tiesa, noraidot minēto lūgumu, norādījusi, ka Kriminālprocesa likuma 368.</w:t>
      </w:r>
      <w:r w:rsidR="007B3BE1" w:rsidRPr="0021135B">
        <w:t> </w:t>
      </w:r>
      <w:r w:rsidRPr="0021135B">
        <w:t xml:space="preserve">panta ceturtās daļas otrajam teikumam ir </w:t>
      </w:r>
      <w:proofErr w:type="spellStart"/>
      <w:r w:rsidRPr="0021135B">
        <w:t>dispozitīvs</w:t>
      </w:r>
      <w:proofErr w:type="spellEnd"/>
      <w:r w:rsidRPr="0021135B">
        <w:t xml:space="preserve"> raksturs, un tajā ietvertā tiesību norma neuzliek pienākumu tiesai visos gadījumos atbrīvot apsūdzēto no procesuālo izdevumu samaksas, ja persona nav maznodrošināta vai trūcīga. Lietā nav konstatēts, kā arī apsūdzētais nav norādījis, ka viņam būtu bijis piešķirts maznodrošinātas vai trūcīgas personas statuss. Tāpat lietā netika iegūtas ziņas par </w:t>
      </w:r>
      <w:r w:rsidR="002844DA">
        <w:rPr>
          <w:szCs w:val="24"/>
        </w:rPr>
        <w:t>[pers. A]</w:t>
      </w:r>
      <w:r w:rsidR="000466BC" w:rsidRPr="0021135B">
        <w:rPr>
          <w:kern w:val="2"/>
          <w14:ligatures w14:val="standardContextual"/>
        </w:rPr>
        <w:t xml:space="preserve"> </w:t>
      </w:r>
      <w:r w:rsidRPr="0021135B">
        <w:t>apgādībā esošām personām, kuru mantisko stāvokli procesuālo izdevumu piedziņa no apsūdzētā varētu būtiski ietekmēt. T</w:t>
      </w:r>
      <w:r w:rsidR="000466BC" w:rsidRPr="0021135B">
        <w:t>iesa konstatējusi, ka</w:t>
      </w:r>
      <w:r w:rsidRPr="0021135B">
        <w:t xml:space="preserve"> apsūdzētais </w:t>
      </w:r>
      <w:r w:rsidR="00EE201F">
        <w:t>sniedzis</w:t>
      </w:r>
      <w:r w:rsidRPr="0021135B">
        <w:t xml:space="preserve"> ziņas, ka viņam ir viens bērns,</w:t>
      </w:r>
      <w:r w:rsidR="00CF6794">
        <w:t xml:space="preserve"> kuru </w:t>
      </w:r>
      <w:r w:rsidR="00CF6794" w:rsidRPr="0021135B">
        <w:t>apsūdzētais neapgādā</w:t>
      </w:r>
      <w:r w:rsidR="0076022D">
        <w:t>,</w:t>
      </w:r>
      <w:r w:rsidRPr="0021135B">
        <w:t xml:space="preserve"> cit</w:t>
      </w:r>
      <w:r w:rsidR="000466BC" w:rsidRPr="0021135B">
        <w:t>u</w:t>
      </w:r>
      <w:r w:rsidRPr="0021135B">
        <w:t xml:space="preserve"> apgādājam</w:t>
      </w:r>
      <w:r w:rsidR="000466BC" w:rsidRPr="0021135B">
        <w:t>o</w:t>
      </w:r>
      <w:r w:rsidRPr="0021135B">
        <w:t xml:space="preserve"> person</w:t>
      </w:r>
      <w:r w:rsidR="000466BC" w:rsidRPr="0021135B">
        <w:t>u</w:t>
      </w:r>
      <w:r w:rsidRPr="0021135B">
        <w:t xml:space="preserve"> nav.</w:t>
      </w:r>
    </w:p>
    <w:p w14:paraId="369E9F52" w14:textId="395442D5" w:rsidR="00B5798F" w:rsidRPr="0021135B" w:rsidRDefault="006F6C3F" w:rsidP="005948CB">
      <w:pPr>
        <w:spacing w:line="276" w:lineRule="auto"/>
        <w:ind w:firstLine="720"/>
        <w:contextualSpacing/>
        <w:jc w:val="both"/>
      </w:pPr>
      <w:r w:rsidRPr="0021135B">
        <w:t>[</w:t>
      </w:r>
      <w:r w:rsidR="00525505">
        <w:t>9</w:t>
      </w:r>
      <w:r w:rsidRPr="0021135B">
        <w:t>.6]</w:t>
      </w:r>
      <w:r w:rsidR="007B3BE1" w:rsidRPr="0021135B">
        <w:t> </w:t>
      </w:r>
      <w:r w:rsidRPr="0021135B">
        <w:t>Senāts atzīst, ka apelācijas instances tiesa nav pieļāvusi Krimināllikuma vai Kriminālprocesa likuma pārkāpumu</w:t>
      </w:r>
      <w:r w:rsidR="00A616FA" w:rsidRPr="0021135B">
        <w:t>s</w:t>
      </w:r>
      <w:r w:rsidRPr="0021135B">
        <w:t>, nekonstatējot apsūdzētā atbildību mīkstinošu apstākli saskaņā ar Krimināllikuma 47.</w:t>
      </w:r>
      <w:r w:rsidR="007B3BE1" w:rsidRPr="0021135B">
        <w:t> </w:t>
      </w:r>
      <w:r w:rsidRPr="0021135B">
        <w:t xml:space="preserve">panta otro daļu, jo </w:t>
      </w:r>
      <w:r w:rsidR="002844DA">
        <w:rPr>
          <w:szCs w:val="24"/>
        </w:rPr>
        <w:t>[pers. A]</w:t>
      </w:r>
      <w:r w:rsidRPr="0021135B">
        <w:t xml:space="preserve"> sevi par vainīgu viņam inkriminētaj</w:t>
      </w:r>
      <w:r w:rsidR="004400D9" w:rsidRPr="0021135B">
        <w:t>os noziedzīgajos nodarījumos</w:t>
      </w:r>
      <w:r w:rsidRPr="0021135B">
        <w:t xml:space="preserve"> </w:t>
      </w:r>
      <w:r w:rsidR="0021135B">
        <w:t xml:space="preserve">nav atzinis. </w:t>
      </w:r>
    </w:p>
    <w:p w14:paraId="62C1079F" w14:textId="77777777" w:rsidR="00B5798F" w:rsidRPr="0021135B" w:rsidRDefault="004400D9" w:rsidP="005948CB">
      <w:pPr>
        <w:spacing w:line="276" w:lineRule="auto"/>
        <w:ind w:firstLine="720"/>
        <w:contextualSpacing/>
        <w:jc w:val="both"/>
      </w:pPr>
      <w:r w:rsidRPr="0021135B">
        <w:t>Judikatūrā atzīts, ka Krimināllikuma 47. panta otrā daļa nav imperatīva tiesību norma un par tās piemērošanu izlemj tiesa, kas izskata lietu pēc būtības (</w:t>
      </w:r>
      <w:bookmarkStart w:id="6" w:name="_Hlk190085452"/>
      <w:r w:rsidR="00B5798F" w:rsidRPr="0021135B">
        <w:rPr>
          <w:i/>
          <w:iCs/>
        </w:rPr>
        <w:t>Senāta 2023. gada 5. jūlija lēmuma lietā Nr. </w:t>
      </w:r>
      <w:r w:rsidRPr="0021135B">
        <w:rPr>
          <w:i/>
          <w:iCs/>
        </w:rPr>
        <w:t xml:space="preserve">SKK-227/2023, </w:t>
      </w:r>
      <w:hyperlink r:id="rId11" w:history="1">
        <w:r w:rsidR="00B5798F" w:rsidRPr="0021135B">
          <w:rPr>
            <w:rStyle w:val="Hyperlink"/>
            <w:i/>
            <w:iCs/>
            <w:color w:val="auto"/>
          </w:rPr>
          <w:t>ECLI:LV:AT:2023:0705.11088102121.6.L</w:t>
        </w:r>
      </w:hyperlink>
      <w:bookmarkEnd w:id="6"/>
      <w:r w:rsidR="00B5798F" w:rsidRPr="0021135B">
        <w:rPr>
          <w:i/>
          <w:iCs/>
        </w:rPr>
        <w:t xml:space="preserve">, </w:t>
      </w:r>
      <w:r w:rsidRPr="0021135B">
        <w:rPr>
          <w:i/>
          <w:iCs/>
        </w:rPr>
        <w:t>5.2.</w:t>
      </w:r>
      <w:r w:rsidR="00B5798F" w:rsidRPr="0021135B">
        <w:rPr>
          <w:i/>
          <w:iCs/>
        </w:rPr>
        <w:t> </w:t>
      </w:r>
      <w:r w:rsidRPr="0021135B">
        <w:rPr>
          <w:i/>
          <w:iCs/>
        </w:rPr>
        <w:t>punkts</w:t>
      </w:r>
      <w:r w:rsidRPr="0021135B">
        <w:t>).</w:t>
      </w:r>
    </w:p>
    <w:p w14:paraId="30C6BC1F" w14:textId="77777777" w:rsidR="00B5798F" w:rsidRPr="0021135B" w:rsidRDefault="00B5798F" w:rsidP="005948CB">
      <w:pPr>
        <w:spacing w:line="276" w:lineRule="auto"/>
        <w:ind w:firstLine="720"/>
        <w:contextualSpacing/>
        <w:jc w:val="both"/>
      </w:pPr>
    </w:p>
    <w:p w14:paraId="2F8075F7" w14:textId="6965BC82" w:rsidR="00CA0ABE" w:rsidRPr="0021135B" w:rsidRDefault="00FF6CB7" w:rsidP="005948CB">
      <w:pPr>
        <w:spacing w:line="276" w:lineRule="auto"/>
        <w:ind w:firstLine="720"/>
        <w:contextualSpacing/>
        <w:jc w:val="both"/>
        <w:rPr>
          <w:rFonts w:asciiTheme="majorBidi" w:hAnsiTheme="majorBidi" w:cstheme="majorBidi"/>
          <w:szCs w:val="24"/>
        </w:rPr>
      </w:pPr>
      <w:r w:rsidRPr="0021135B">
        <w:t>[</w:t>
      </w:r>
      <w:r w:rsidR="00525505">
        <w:t>10</w:t>
      </w:r>
      <w:r w:rsidRPr="0021135B">
        <w:t>]</w:t>
      </w:r>
      <w:r w:rsidR="007B3BE1" w:rsidRPr="0021135B">
        <w:t> </w:t>
      </w:r>
      <w:r w:rsidRPr="0021135B">
        <w:t xml:space="preserve">Apelācijas instances tiesa </w:t>
      </w:r>
      <w:r w:rsidR="002844DA">
        <w:rPr>
          <w:szCs w:val="24"/>
        </w:rPr>
        <w:t>[pers. A]</w:t>
      </w:r>
      <w:r w:rsidRPr="0021135B">
        <w:t xml:space="preserve"> piemēroto drošības līdzekli – apcietinājumu – atstājusi negrozītu.</w:t>
      </w:r>
      <w:r w:rsidR="00CA0ABE" w:rsidRPr="0021135B">
        <w:t xml:space="preserve"> </w:t>
      </w:r>
      <w:r w:rsidR="002844DA">
        <w:t>[Pers. A]</w:t>
      </w:r>
      <w:r w:rsidR="007D1D99" w:rsidRPr="0021135B">
        <w:t xml:space="preserve"> atzīts par vainīgu mazāk smaga un sevišķi smaga nozieguma izdarīšanā. </w:t>
      </w:r>
      <w:r w:rsidR="004400D9" w:rsidRPr="0021135B">
        <w:t>Apelācijas instances tiesas spriedums atcelts daļā, konstatējot, ka</w:t>
      </w:r>
      <w:r w:rsidR="00A616FA" w:rsidRPr="0021135B">
        <w:t xml:space="preserve"> tiesa</w:t>
      </w:r>
      <w:r w:rsidR="004400D9" w:rsidRPr="0021135B">
        <w:t xml:space="preserve"> nepamatoti nav noteik</w:t>
      </w:r>
      <w:r w:rsidR="00A616FA" w:rsidRPr="0021135B">
        <w:t>usi</w:t>
      </w:r>
      <w:r w:rsidR="004400D9" w:rsidRPr="0021135B">
        <w:t xml:space="preserve"> papildsod</w:t>
      </w:r>
      <w:r w:rsidR="00A616FA" w:rsidRPr="0021135B">
        <w:t>u</w:t>
      </w:r>
      <w:r w:rsidR="004400D9" w:rsidRPr="0021135B">
        <w:t xml:space="preserve">. </w:t>
      </w:r>
      <w:r w:rsidR="00CA0ABE" w:rsidRPr="0021135B">
        <w:t>Senāts atzīst, ka apsūdzētajam piemērotais drošības līdzeklis ir samērīgs</w:t>
      </w:r>
      <w:r w:rsidR="00503838">
        <w:t xml:space="preserve"> un</w:t>
      </w:r>
      <w:r w:rsidR="00CA0ABE" w:rsidRPr="0021135B">
        <w:t xml:space="preserve"> nav pamat</w:t>
      </w:r>
      <w:r w:rsidR="00503838">
        <w:t>a</w:t>
      </w:r>
      <w:r w:rsidR="00CA0ABE" w:rsidRPr="0021135B">
        <w:t xml:space="preserve"> tā grozīšanai vai atcelšanai</w:t>
      </w:r>
      <w:r w:rsidR="007D1D99" w:rsidRPr="0021135B">
        <w:t>.</w:t>
      </w:r>
    </w:p>
    <w:p w14:paraId="6631F737" w14:textId="6E3A63F6" w:rsidR="00F123D5" w:rsidRPr="0021135B" w:rsidRDefault="00F123D5" w:rsidP="005948CB">
      <w:pPr>
        <w:spacing w:line="276" w:lineRule="auto"/>
        <w:ind w:firstLine="720"/>
        <w:contextualSpacing/>
        <w:jc w:val="both"/>
        <w:rPr>
          <w:rFonts w:asciiTheme="majorBidi" w:hAnsiTheme="majorBidi" w:cstheme="majorBidi"/>
          <w:szCs w:val="24"/>
        </w:rPr>
      </w:pPr>
    </w:p>
    <w:p w14:paraId="3C2017E5" w14:textId="73D499F3" w:rsidR="00B5372F" w:rsidRPr="0021135B" w:rsidRDefault="00B5372F" w:rsidP="005948CB">
      <w:pPr>
        <w:spacing w:after="0" w:line="276" w:lineRule="auto"/>
        <w:jc w:val="center"/>
        <w:rPr>
          <w:rFonts w:asciiTheme="majorBidi" w:eastAsia="Times New Roman" w:hAnsiTheme="majorBidi" w:cstheme="majorBidi"/>
          <w:b/>
          <w:szCs w:val="24"/>
        </w:rPr>
      </w:pPr>
      <w:r w:rsidRPr="0021135B">
        <w:rPr>
          <w:rFonts w:asciiTheme="majorBidi" w:eastAsia="Times New Roman" w:hAnsiTheme="majorBidi" w:cstheme="majorBidi"/>
          <w:b/>
          <w:szCs w:val="24"/>
        </w:rPr>
        <w:t>Rezolutīvā daļa</w:t>
      </w:r>
    </w:p>
    <w:p w14:paraId="364189DA" w14:textId="77777777" w:rsidR="00B5372F" w:rsidRPr="0021135B" w:rsidRDefault="00B5372F" w:rsidP="005948CB">
      <w:pPr>
        <w:spacing w:after="0" w:line="276" w:lineRule="auto"/>
        <w:jc w:val="both"/>
        <w:rPr>
          <w:rFonts w:asciiTheme="majorBidi" w:eastAsia="Times New Roman" w:hAnsiTheme="majorBidi" w:cstheme="majorBidi"/>
          <w:b/>
          <w:szCs w:val="24"/>
        </w:rPr>
      </w:pPr>
    </w:p>
    <w:p w14:paraId="0B524BFC" w14:textId="5770BCFE" w:rsidR="00B5372F" w:rsidRDefault="00B5372F" w:rsidP="005948CB">
      <w:pPr>
        <w:spacing w:after="0" w:line="276" w:lineRule="auto"/>
        <w:ind w:firstLine="720"/>
        <w:jc w:val="both"/>
        <w:rPr>
          <w:rFonts w:asciiTheme="majorBidi" w:eastAsia="Times New Roman" w:hAnsiTheme="majorBidi" w:cstheme="majorBidi"/>
          <w:szCs w:val="24"/>
        </w:rPr>
      </w:pPr>
      <w:r w:rsidRPr="0021135B">
        <w:rPr>
          <w:rFonts w:asciiTheme="majorBidi" w:eastAsia="Times New Roman" w:hAnsiTheme="majorBidi" w:cstheme="majorBidi"/>
          <w:szCs w:val="24"/>
        </w:rPr>
        <w:t>Pamatojoties uz Kriminālprocesa likuma 585.</w:t>
      </w:r>
      <w:r w:rsidR="009E1DC6" w:rsidRPr="0021135B">
        <w:rPr>
          <w:rFonts w:asciiTheme="majorBidi" w:hAnsiTheme="majorBidi" w:cstheme="majorBidi"/>
          <w:szCs w:val="24"/>
        </w:rPr>
        <w:t> </w:t>
      </w:r>
      <w:r w:rsidR="009E1DC6" w:rsidRPr="0021135B">
        <w:rPr>
          <w:rFonts w:asciiTheme="majorBidi" w:eastAsia="Times New Roman" w:hAnsiTheme="majorBidi" w:cstheme="majorBidi"/>
          <w:szCs w:val="24"/>
        </w:rPr>
        <w:t>pantu</w:t>
      </w:r>
      <w:r w:rsidR="00503838">
        <w:rPr>
          <w:rFonts w:asciiTheme="majorBidi" w:eastAsia="Times New Roman" w:hAnsiTheme="majorBidi" w:cstheme="majorBidi"/>
          <w:szCs w:val="24"/>
        </w:rPr>
        <w:t xml:space="preserve"> un</w:t>
      </w:r>
      <w:r w:rsidRPr="0021135B">
        <w:rPr>
          <w:rFonts w:asciiTheme="majorBidi" w:eastAsia="Times New Roman" w:hAnsiTheme="majorBidi" w:cstheme="majorBidi"/>
          <w:szCs w:val="24"/>
        </w:rPr>
        <w:t xml:space="preserve"> 587.</w:t>
      </w:r>
      <w:r w:rsidR="001A5137" w:rsidRPr="0021135B">
        <w:rPr>
          <w:rFonts w:asciiTheme="majorBidi" w:eastAsia="Times New Roman" w:hAnsiTheme="majorBidi" w:cstheme="majorBidi"/>
          <w:szCs w:val="24"/>
        </w:rPr>
        <w:t> </w:t>
      </w:r>
      <w:r w:rsidRPr="0021135B">
        <w:rPr>
          <w:rFonts w:asciiTheme="majorBidi" w:eastAsia="Times New Roman" w:hAnsiTheme="majorBidi" w:cstheme="majorBidi"/>
          <w:szCs w:val="24"/>
        </w:rPr>
        <w:t>pant</w:t>
      </w:r>
      <w:r w:rsidR="009E1DC6" w:rsidRPr="0021135B">
        <w:rPr>
          <w:rFonts w:asciiTheme="majorBidi" w:eastAsia="Times New Roman" w:hAnsiTheme="majorBidi" w:cstheme="majorBidi"/>
          <w:szCs w:val="24"/>
        </w:rPr>
        <w:t>a</w:t>
      </w:r>
      <w:r w:rsidR="009E1DC6" w:rsidRPr="0021135B">
        <w:rPr>
          <w:rFonts w:asciiTheme="majorBidi" w:hAnsiTheme="majorBidi" w:cstheme="majorBidi"/>
          <w:szCs w:val="24"/>
          <w14:ligatures w14:val="standardContextual"/>
        </w:rPr>
        <w:t xml:space="preserve"> pirmās daļas</w:t>
      </w:r>
      <w:r w:rsidR="00CA0ABE" w:rsidRPr="0021135B">
        <w:rPr>
          <w:rFonts w:asciiTheme="majorBidi" w:hAnsiTheme="majorBidi" w:cstheme="majorBidi"/>
          <w:szCs w:val="24"/>
          <w14:ligatures w14:val="standardContextual"/>
        </w:rPr>
        <w:t xml:space="preserve"> 2. </w:t>
      </w:r>
      <w:r w:rsidR="009E1DC6" w:rsidRPr="0021135B">
        <w:rPr>
          <w:rFonts w:asciiTheme="majorBidi" w:hAnsiTheme="majorBidi" w:cstheme="majorBidi"/>
          <w:szCs w:val="24"/>
          <w14:ligatures w14:val="standardContextual"/>
        </w:rPr>
        <w:t>punktu</w:t>
      </w:r>
      <w:r w:rsidRPr="0021135B">
        <w:rPr>
          <w:rFonts w:asciiTheme="majorBidi" w:eastAsia="Times New Roman" w:hAnsiTheme="majorBidi" w:cstheme="majorBidi"/>
          <w:szCs w:val="24"/>
        </w:rPr>
        <w:t xml:space="preserve">, </w:t>
      </w:r>
      <w:r w:rsidR="000A31DA" w:rsidRPr="0021135B">
        <w:rPr>
          <w:rFonts w:asciiTheme="majorBidi" w:eastAsia="Times New Roman" w:hAnsiTheme="majorBidi" w:cstheme="majorBidi"/>
          <w:szCs w:val="24"/>
        </w:rPr>
        <w:t>Senāts</w:t>
      </w:r>
    </w:p>
    <w:p w14:paraId="5BD1AF7E" w14:textId="77777777" w:rsidR="00E179C7" w:rsidRPr="0021135B" w:rsidRDefault="00E179C7" w:rsidP="005948CB">
      <w:pPr>
        <w:spacing w:after="0" w:line="276" w:lineRule="auto"/>
        <w:ind w:firstLine="720"/>
        <w:jc w:val="both"/>
        <w:rPr>
          <w:rFonts w:asciiTheme="majorBidi" w:eastAsia="Times New Roman" w:hAnsiTheme="majorBidi" w:cstheme="majorBidi"/>
          <w:szCs w:val="24"/>
        </w:rPr>
      </w:pPr>
    </w:p>
    <w:p w14:paraId="16F7141A" w14:textId="3E22F9C9" w:rsidR="00B5372F" w:rsidRPr="0021135B" w:rsidRDefault="00CA0ABE" w:rsidP="005948CB">
      <w:pPr>
        <w:spacing w:after="0" w:line="276" w:lineRule="auto"/>
        <w:jc w:val="center"/>
        <w:rPr>
          <w:rFonts w:asciiTheme="majorBidi" w:eastAsia="Times New Roman" w:hAnsiTheme="majorBidi" w:cstheme="majorBidi"/>
          <w:b/>
          <w:szCs w:val="24"/>
        </w:rPr>
      </w:pPr>
      <w:r w:rsidRPr="0021135B">
        <w:rPr>
          <w:rFonts w:asciiTheme="majorBidi" w:eastAsia="Times New Roman" w:hAnsiTheme="majorBidi" w:cstheme="majorBidi"/>
          <w:b/>
          <w:szCs w:val="24"/>
        </w:rPr>
        <w:t>n</w:t>
      </w:r>
      <w:r w:rsidR="00B5372F" w:rsidRPr="0021135B">
        <w:rPr>
          <w:rFonts w:asciiTheme="majorBidi" w:eastAsia="Times New Roman" w:hAnsiTheme="majorBidi" w:cstheme="majorBidi"/>
          <w:b/>
          <w:szCs w:val="24"/>
        </w:rPr>
        <w:t>olēma</w:t>
      </w:r>
    </w:p>
    <w:p w14:paraId="6D16B3D5" w14:textId="77777777" w:rsidR="00CA0ABE" w:rsidRPr="0021135B" w:rsidRDefault="00CA0ABE" w:rsidP="005948CB">
      <w:pPr>
        <w:spacing w:after="0" w:line="276" w:lineRule="auto"/>
        <w:jc w:val="both"/>
        <w:rPr>
          <w:rFonts w:asciiTheme="majorBidi" w:eastAsia="Times New Roman" w:hAnsiTheme="majorBidi" w:cstheme="majorBidi"/>
          <w:b/>
          <w:szCs w:val="24"/>
        </w:rPr>
      </w:pPr>
    </w:p>
    <w:p w14:paraId="46FCE4BB" w14:textId="1D7CFDB2" w:rsidR="006E777F" w:rsidRPr="0021135B" w:rsidRDefault="00AF26B7" w:rsidP="005948CB">
      <w:pPr>
        <w:spacing w:line="276" w:lineRule="auto"/>
        <w:ind w:firstLine="720"/>
        <w:contextualSpacing/>
        <w:jc w:val="both"/>
        <w:rPr>
          <w:rFonts w:asciiTheme="majorBidi" w:hAnsiTheme="majorBidi" w:cstheme="majorBidi"/>
          <w:szCs w:val="24"/>
        </w:rPr>
      </w:pPr>
      <w:r w:rsidRPr="0021135B">
        <w:rPr>
          <w:rFonts w:asciiTheme="majorBidi" w:hAnsiTheme="majorBidi" w:cstheme="majorBidi"/>
          <w:szCs w:val="24"/>
        </w:rPr>
        <w:t xml:space="preserve">atcelt </w:t>
      </w:r>
      <w:bookmarkStart w:id="7" w:name="_Hlk181632749"/>
      <w:r w:rsidRPr="0021135B">
        <w:rPr>
          <w:rFonts w:asciiTheme="majorBidi" w:eastAsia="Times New Roman" w:hAnsiTheme="majorBidi" w:cstheme="majorBidi"/>
          <w:szCs w:val="24"/>
          <w:lang w:eastAsia="lv-LV"/>
        </w:rPr>
        <w:t xml:space="preserve">Latgales apgabaltiesas </w:t>
      </w:r>
      <w:bookmarkEnd w:id="7"/>
      <w:r w:rsidRPr="0021135B">
        <w:rPr>
          <w:rFonts w:asciiTheme="majorBidi" w:eastAsia="Times New Roman" w:hAnsiTheme="majorBidi" w:cstheme="majorBidi"/>
          <w:szCs w:val="24"/>
          <w:lang w:eastAsia="lv-LV"/>
        </w:rPr>
        <w:t xml:space="preserve">2024. gada </w:t>
      </w:r>
      <w:r w:rsidRPr="0021135B">
        <w:rPr>
          <w:rFonts w:asciiTheme="majorBidi" w:eastAsia="Calibri" w:hAnsiTheme="majorBidi" w:cstheme="majorBidi"/>
          <w:szCs w:val="24"/>
          <w:lang w:eastAsia="lv-LV"/>
        </w:rPr>
        <w:t>28. februāra spriedumu</w:t>
      </w:r>
      <w:r w:rsidRPr="0021135B">
        <w:rPr>
          <w:rFonts w:asciiTheme="majorBidi" w:hAnsiTheme="majorBidi" w:cstheme="majorBidi"/>
          <w:szCs w:val="24"/>
        </w:rPr>
        <w:t xml:space="preserve"> daļā par </w:t>
      </w:r>
      <w:r w:rsidR="00F11501">
        <w:rPr>
          <w:szCs w:val="24"/>
        </w:rPr>
        <w:t>[pers. A]</w:t>
      </w:r>
      <w:r w:rsidRPr="0021135B">
        <w:rPr>
          <w:rFonts w:asciiTheme="majorBidi" w:hAnsiTheme="majorBidi" w:cstheme="majorBidi"/>
          <w:szCs w:val="24"/>
        </w:rPr>
        <w:t xml:space="preserve"> noteikto sodu pēc Krimināllikuma 253.</w:t>
      </w:r>
      <w:r w:rsidRPr="0021135B">
        <w:rPr>
          <w:rFonts w:asciiTheme="majorBidi" w:hAnsiTheme="majorBidi" w:cstheme="majorBidi"/>
          <w:szCs w:val="24"/>
          <w:vertAlign w:val="superscript"/>
        </w:rPr>
        <w:t>1</w:t>
      </w:r>
      <w:r w:rsidRPr="0021135B">
        <w:rPr>
          <w:rFonts w:asciiTheme="majorBidi" w:hAnsiTheme="majorBidi" w:cstheme="majorBidi"/>
          <w:szCs w:val="24"/>
        </w:rPr>
        <w:t> panta trešās daļas un saskaņā ar Krimināllikuma 50. panta pirmo</w:t>
      </w:r>
      <w:r w:rsidR="006E777F" w:rsidRPr="0021135B">
        <w:rPr>
          <w:rFonts w:asciiTheme="majorBidi" w:hAnsiTheme="majorBidi" w:cstheme="majorBidi"/>
          <w:szCs w:val="24"/>
        </w:rPr>
        <w:t xml:space="preserve"> un</w:t>
      </w:r>
      <w:r w:rsidRPr="0021135B">
        <w:rPr>
          <w:rFonts w:asciiTheme="majorBidi" w:hAnsiTheme="majorBidi" w:cstheme="majorBidi"/>
          <w:szCs w:val="24"/>
        </w:rPr>
        <w:t xml:space="preserve"> trešo daļu </w:t>
      </w:r>
      <w:r w:rsidR="006E777F" w:rsidRPr="0021135B">
        <w:rPr>
          <w:rFonts w:asciiTheme="majorBidi" w:hAnsiTheme="majorBidi" w:cstheme="majorBidi"/>
          <w:szCs w:val="24"/>
        </w:rPr>
        <w:t xml:space="preserve">noteikto sodu un </w:t>
      </w:r>
      <w:r w:rsidRPr="0021135B">
        <w:rPr>
          <w:rFonts w:asciiTheme="majorBidi" w:hAnsiTheme="majorBidi" w:cstheme="majorBidi"/>
          <w:szCs w:val="24"/>
        </w:rPr>
        <w:t xml:space="preserve">saskaņā ar Krimināllikuma 50. panta piekto daļu </w:t>
      </w:r>
      <w:r w:rsidR="006E777F" w:rsidRPr="0021135B">
        <w:rPr>
          <w:rFonts w:asciiTheme="majorBidi" w:hAnsiTheme="majorBidi" w:cstheme="majorBidi"/>
          <w:szCs w:val="24"/>
        </w:rPr>
        <w:t xml:space="preserve">noteikto galīgo </w:t>
      </w:r>
      <w:r w:rsidRPr="0021135B">
        <w:rPr>
          <w:rFonts w:asciiTheme="majorBidi" w:hAnsiTheme="majorBidi" w:cstheme="majorBidi"/>
          <w:szCs w:val="24"/>
        </w:rPr>
        <w:t>sod</w:t>
      </w:r>
      <w:r w:rsidR="006E777F" w:rsidRPr="0021135B">
        <w:rPr>
          <w:rFonts w:asciiTheme="majorBidi" w:hAnsiTheme="majorBidi" w:cstheme="majorBidi"/>
          <w:szCs w:val="24"/>
        </w:rPr>
        <w:t>u;</w:t>
      </w:r>
    </w:p>
    <w:p w14:paraId="6B83362E" w14:textId="77777777" w:rsidR="006E777F" w:rsidRPr="0021135B" w:rsidRDefault="006E777F" w:rsidP="005948CB">
      <w:pPr>
        <w:spacing w:line="276" w:lineRule="auto"/>
        <w:ind w:firstLine="720"/>
        <w:contextualSpacing/>
        <w:jc w:val="both"/>
        <w:rPr>
          <w:rFonts w:asciiTheme="majorBidi" w:eastAsia="Times New Roman" w:hAnsiTheme="majorBidi" w:cstheme="majorBidi"/>
          <w:szCs w:val="24"/>
          <w:lang w:eastAsia="lv-LV"/>
        </w:rPr>
      </w:pPr>
      <w:r w:rsidRPr="0021135B">
        <w:rPr>
          <w:rFonts w:asciiTheme="majorBidi" w:hAnsiTheme="majorBidi" w:cstheme="majorBidi"/>
          <w:szCs w:val="24"/>
        </w:rPr>
        <w:t>atceltajā daļā lietu nosūtīt jaunai izskatīšanai</w:t>
      </w:r>
      <w:r w:rsidRPr="0021135B">
        <w:rPr>
          <w:rFonts w:asciiTheme="majorBidi" w:eastAsia="Times New Roman" w:hAnsiTheme="majorBidi" w:cstheme="majorBidi"/>
          <w:szCs w:val="24"/>
          <w:lang w:eastAsia="lv-LV"/>
        </w:rPr>
        <w:t xml:space="preserve"> Latgales apgabaltiesā;</w:t>
      </w:r>
    </w:p>
    <w:p w14:paraId="588C7B44" w14:textId="44F5859C" w:rsidR="006E777F" w:rsidRPr="0021135B" w:rsidRDefault="006E777F" w:rsidP="005948CB">
      <w:pPr>
        <w:spacing w:line="276" w:lineRule="auto"/>
        <w:ind w:firstLine="720"/>
        <w:contextualSpacing/>
        <w:jc w:val="both"/>
        <w:rPr>
          <w:rFonts w:asciiTheme="majorBidi" w:eastAsia="Times New Roman" w:hAnsiTheme="majorBidi" w:cstheme="majorBidi"/>
          <w:szCs w:val="24"/>
          <w:lang w:eastAsia="lv-LV"/>
        </w:rPr>
      </w:pPr>
      <w:r w:rsidRPr="0021135B">
        <w:rPr>
          <w:rFonts w:asciiTheme="majorBidi" w:eastAsia="Times New Roman" w:hAnsiTheme="majorBidi" w:cstheme="majorBidi"/>
          <w:szCs w:val="24"/>
          <w:lang w:eastAsia="lv-LV"/>
        </w:rPr>
        <w:t xml:space="preserve">pārējā daļā </w:t>
      </w:r>
      <w:r w:rsidR="009A7C06" w:rsidRPr="0021135B">
        <w:rPr>
          <w:rFonts w:asciiTheme="majorBidi" w:eastAsia="Times New Roman" w:hAnsiTheme="majorBidi" w:cstheme="majorBidi"/>
          <w:szCs w:val="24"/>
          <w:lang w:eastAsia="lv-LV"/>
        </w:rPr>
        <w:t xml:space="preserve">Latgales apgabaltiesas 2024. gada </w:t>
      </w:r>
      <w:r w:rsidR="009A7C06" w:rsidRPr="0021135B">
        <w:rPr>
          <w:rFonts w:asciiTheme="majorBidi" w:eastAsia="Calibri" w:hAnsiTheme="majorBidi" w:cstheme="majorBidi"/>
          <w:szCs w:val="24"/>
          <w:lang w:eastAsia="lv-LV"/>
        </w:rPr>
        <w:t xml:space="preserve">28. februāra </w:t>
      </w:r>
      <w:r w:rsidRPr="0021135B">
        <w:rPr>
          <w:rFonts w:asciiTheme="majorBidi" w:eastAsia="Times New Roman" w:hAnsiTheme="majorBidi" w:cstheme="majorBidi"/>
          <w:szCs w:val="24"/>
          <w:lang w:eastAsia="lv-LV"/>
        </w:rPr>
        <w:t>spriedumu atstāt negrozītu;</w:t>
      </w:r>
    </w:p>
    <w:p w14:paraId="1D885832" w14:textId="02DF037F" w:rsidR="00CA0ABE" w:rsidRPr="0021135B" w:rsidRDefault="006E777F" w:rsidP="005948CB">
      <w:pPr>
        <w:spacing w:line="276" w:lineRule="auto"/>
        <w:ind w:firstLine="720"/>
        <w:contextualSpacing/>
        <w:jc w:val="both"/>
        <w:rPr>
          <w:rFonts w:asciiTheme="majorBidi" w:hAnsiTheme="majorBidi" w:cstheme="majorBidi"/>
          <w:szCs w:val="24"/>
        </w:rPr>
      </w:pPr>
      <w:r w:rsidRPr="0021135B">
        <w:rPr>
          <w:rFonts w:asciiTheme="majorBidi" w:hAnsiTheme="majorBidi" w:cstheme="majorBidi"/>
          <w:szCs w:val="24"/>
        </w:rPr>
        <w:t xml:space="preserve">apsūdzētā </w:t>
      </w:r>
      <w:r w:rsidR="00F11501">
        <w:rPr>
          <w:szCs w:val="24"/>
        </w:rPr>
        <w:t>[pers. A]</w:t>
      </w:r>
      <w:r w:rsidRPr="0021135B">
        <w:rPr>
          <w:rFonts w:asciiTheme="majorBidi" w:hAnsiTheme="majorBidi" w:cstheme="majorBidi"/>
          <w:szCs w:val="24"/>
        </w:rPr>
        <w:t xml:space="preserve"> kasācijas sūdzību noraidīt;</w:t>
      </w:r>
    </w:p>
    <w:p w14:paraId="58B1CD3D" w14:textId="4F2DBDAA" w:rsidR="006E777F" w:rsidRPr="0021135B" w:rsidRDefault="006E777F" w:rsidP="005948CB">
      <w:pPr>
        <w:spacing w:line="276" w:lineRule="auto"/>
        <w:ind w:firstLine="720"/>
        <w:contextualSpacing/>
        <w:jc w:val="both"/>
        <w:rPr>
          <w:rFonts w:asciiTheme="majorBidi" w:eastAsia="Times New Roman" w:hAnsiTheme="majorBidi" w:cstheme="majorBidi"/>
          <w:szCs w:val="24"/>
          <w:lang w:eastAsia="lv-LV"/>
        </w:rPr>
      </w:pPr>
      <w:r w:rsidRPr="0021135B">
        <w:rPr>
          <w:rFonts w:asciiTheme="majorBidi" w:hAnsiTheme="majorBidi" w:cstheme="majorBidi"/>
          <w:szCs w:val="24"/>
        </w:rPr>
        <w:t xml:space="preserve">apsūdzētajam </w:t>
      </w:r>
      <w:r w:rsidR="00F11501">
        <w:rPr>
          <w:szCs w:val="24"/>
        </w:rPr>
        <w:t>[pers. A]</w:t>
      </w:r>
      <w:r w:rsidRPr="0021135B">
        <w:rPr>
          <w:rFonts w:asciiTheme="majorBidi" w:hAnsiTheme="majorBidi" w:cstheme="majorBidi"/>
          <w:szCs w:val="24"/>
        </w:rPr>
        <w:t xml:space="preserve"> turpināt piemērot drošības līdzekli</w:t>
      </w:r>
      <w:r w:rsidR="00CA0ABE" w:rsidRPr="0021135B">
        <w:rPr>
          <w:rFonts w:asciiTheme="majorBidi" w:hAnsiTheme="majorBidi" w:cstheme="majorBidi"/>
          <w:szCs w:val="24"/>
        </w:rPr>
        <w:t xml:space="preserve"> – apcietinājumu.</w:t>
      </w:r>
    </w:p>
    <w:p w14:paraId="5154F52A" w14:textId="21B50869" w:rsidR="009C111F" w:rsidRPr="0021135B" w:rsidRDefault="006E777F" w:rsidP="005948CB">
      <w:pPr>
        <w:spacing w:line="276" w:lineRule="auto"/>
        <w:ind w:firstLine="720"/>
        <w:contextualSpacing/>
        <w:jc w:val="both"/>
        <w:rPr>
          <w:rFonts w:asciiTheme="majorBidi" w:hAnsiTheme="majorBidi" w:cstheme="majorBidi"/>
          <w:szCs w:val="24"/>
        </w:rPr>
      </w:pPr>
      <w:r w:rsidRPr="0021135B">
        <w:rPr>
          <w:rFonts w:asciiTheme="majorBidi" w:hAnsiTheme="majorBidi" w:cstheme="majorBidi"/>
          <w:szCs w:val="24"/>
        </w:rPr>
        <w:t xml:space="preserve"> </w:t>
      </w:r>
      <w:r w:rsidR="00AF26B7" w:rsidRPr="0021135B">
        <w:rPr>
          <w:rFonts w:asciiTheme="majorBidi" w:hAnsiTheme="majorBidi" w:cstheme="majorBidi"/>
          <w:szCs w:val="24"/>
        </w:rPr>
        <w:t xml:space="preserve"> </w:t>
      </w:r>
    </w:p>
    <w:p w14:paraId="2E75C143" w14:textId="532BD178" w:rsidR="005E6AB5" w:rsidRPr="0021135B" w:rsidRDefault="00B5372F" w:rsidP="005948CB">
      <w:pPr>
        <w:widowControl w:val="0"/>
        <w:spacing w:line="276" w:lineRule="auto"/>
        <w:ind w:firstLine="720"/>
        <w:contextualSpacing/>
        <w:jc w:val="both"/>
        <w:rPr>
          <w:rFonts w:asciiTheme="majorBidi" w:hAnsiTheme="majorBidi" w:cstheme="majorBidi"/>
          <w:szCs w:val="24"/>
        </w:rPr>
      </w:pPr>
      <w:r w:rsidRPr="0021135B">
        <w:rPr>
          <w:rFonts w:asciiTheme="majorBidi" w:hAnsiTheme="majorBidi" w:cstheme="majorBidi"/>
          <w:szCs w:val="24"/>
        </w:rPr>
        <w:t>Lēmums nav pārsūdzams.</w:t>
      </w:r>
    </w:p>
    <w:p w14:paraId="21A4EDEC" w14:textId="2D021141" w:rsidR="005E6AB5" w:rsidRPr="0021135B" w:rsidRDefault="005E6AB5" w:rsidP="005948CB">
      <w:pPr>
        <w:spacing w:line="276" w:lineRule="auto"/>
      </w:pPr>
    </w:p>
    <w:sectPr w:rsidR="005E6AB5" w:rsidRPr="0021135B" w:rsidSect="00F435EB">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EEA4" w14:textId="77777777" w:rsidR="00806DF3" w:rsidRDefault="00806DF3" w:rsidP="001067ED">
      <w:pPr>
        <w:spacing w:after="0" w:line="240" w:lineRule="auto"/>
      </w:pPr>
      <w:r>
        <w:separator/>
      </w:r>
    </w:p>
  </w:endnote>
  <w:endnote w:type="continuationSeparator" w:id="0">
    <w:p w14:paraId="3F4709EE" w14:textId="77777777" w:rsidR="00806DF3" w:rsidRDefault="00806DF3" w:rsidP="0010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359160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40C771E" w14:textId="317E8D44" w:rsidR="001067ED" w:rsidRPr="001067ED" w:rsidRDefault="001067ED">
            <w:pPr>
              <w:pStyle w:val="Footer"/>
              <w:jc w:val="center"/>
              <w:rPr>
                <w:sz w:val="20"/>
                <w:szCs w:val="20"/>
              </w:rPr>
            </w:pPr>
            <w:r w:rsidRPr="001067ED">
              <w:rPr>
                <w:sz w:val="20"/>
                <w:szCs w:val="20"/>
              </w:rPr>
              <w:fldChar w:fldCharType="begin"/>
            </w:r>
            <w:r w:rsidRPr="001067ED">
              <w:rPr>
                <w:sz w:val="20"/>
                <w:szCs w:val="20"/>
              </w:rPr>
              <w:instrText xml:space="preserve"> PAGE </w:instrText>
            </w:r>
            <w:r w:rsidRPr="001067ED">
              <w:rPr>
                <w:sz w:val="20"/>
                <w:szCs w:val="20"/>
              </w:rPr>
              <w:fldChar w:fldCharType="separate"/>
            </w:r>
            <w:r w:rsidRPr="001067ED">
              <w:rPr>
                <w:noProof/>
                <w:sz w:val="20"/>
                <w:szCs w:val="20"/>
              </w:rPr>
              <w:t>2</w:t>
            </w:r>
            <w:r w:rsidRPr="001067ED">
              <w:rPr>
                <w:sz w:val="20"/>
                <w:szCs w:val="20"/>
              </w:rPr>
              <w:fldChar w:fldCharType="end"/>
            </w:r>
            <w:r w:rsidRPr="001067ED">
              <w:rPr>
                <w:sz w:val="20"/>
                <w:szCs w:val="20"/>
              </w:rPr>
              <w:t xml:space="preserve"> no </w:t>
            </w:r>
            <w:r w:rsidRPr="001067ED">
              <w:rPr>
                <w:sz w:val="20"/>
                <w:szCs w:val="20"/>
              </w:rPr>
              <w:fldChar w:fldCharType="begin"/>
            </w:r>
            <w:r w:rsidRPr="001067ED">
              <w:rPr>
                <w:sz w:val="20"/>
                <w:szCs w:val="20"/>
              </w:rPr>
              <w:instrText xml:space="preserve"> NUMPAGES  </w:instrText>
            </w:r>
            <w:r w:rsidRPr="001067ED">
              <w:rPr>
                <w:sz w:val="20"/>
                <w:szCs w:val="20"/>
              </w:rPr>
              <w:fldChar w:fldCharType="separate"/>
            </w:r>
            <w:r w:rsidRPr="001067ED">
              <w:rPr>
                <w:noProof/>
                <w:sz w:val="20"/>
                <w:szCs w:val="20"/>
              </w:rPr>
              <w:t>2</w:t>
            </w:r>
            <w:r w:rsidRPr="001067ED">
              <w:rPr>
                <w:sz w:val="20"/>
                <w:szCs w:val="20"/>
              </w:rPr>
              <w:fldChar w:fldCharType="end"/>
            </w:r>
          </w:p>
        </w:sdtContent>
      </w:sdt>
    </w:sdtContent>
  </w:sdt>
  <w:p w14:paraId="5DF5B016" w14:textId="77777777" w:rsidR="001067ED" w:rsidRPr="001067ED" w:rsidRDefault="001067E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BDD3" w14:textId="77777777" w:rsidR="00806DF3" w:rsidRDefault="00806DF3" w:rsidP="001067ED">
      <w:pPr>
        <w:spacing w:after="0" w:line="240" w:lineRule="auto"/>
      </w:pPr>
      <w:r>
        <w:separator/>
      </w:r>
    </w:p>
  </w:footnote>
  <w:footnote w:type="continuationSeparator" w:id="0">
    <w:p w14:paraId="6A149EDB" w14:textId="77777777" w:rsidR="00806DF3" w:rsidRDefault="00806DF3" w:rsidP="00106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7B9A"/>
    <w:multiLevelType w:val="hybridMultilevel"/>
    <w:tmpl w:val="86D653B2"/>
    <w:lvl w:ilvl="0" w:tplc="27A445EC">
      <w:start w:val="1"/>
      <w:numFmt w:val="decimal"/>
      <w:lvlText w:val="%1)"/>
      <w:lvlJc w:val="left"/>
      <w:pPr>
        <w:ind w:left="1080" w:hanging="360"/>
      </w:pPr>
      <w:rPr>
        <w:i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437170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F"/>
    <w:rsid w:val="00007BC5"/>
    <w:rsid w:val="00020AC4"/>
    <w:rsid w:val="000237A1"/>
    <w:rsid w:val="000300CD"/>
    <w:rsid w:val="000362F4"/>
    <w:rsid w:val="0003643D"/>
    <w:rsid w:val="000466BC"/>
    <w:rsid w:val="000617AF"/>
    <w:rsid w:val="00083026"/>
    <w:rsid w:val="00092DE2"/>
    <w:rsid w:val="000A31DA"/>
    <w:rsid w:val="000B178B"/>
    <w:rsid w:val="000B777A"/>
    <w:rsid w:val="000C00B0"/>
    <w:rsid w:val="000C4F38"/>
    <w:rsid w:val="000D4256"/>
    <w:rsid w:val="000E0501"/>
    <w:rsid w:val="000E0A72"/>
    <w:rsid w:val="000E6175"/>
    <w:rsid w:val="000E6D31"/>
    <w:rsid w:val="000F14B2"/>
    <w:rsid w:val="000F6CFC"/>
    <w:rsid w:val="000F752B"/>
    <w:rsid w:val="0010248A"/>
    <w:rsid w:val="001067ED"/>
    <w:rsid w:val="00110789"/>
    <w:rsid w:val="00117D34"/>
    <w:rsid w:val="001238F3"/>
    <w:rsid w:val="00125B29"/>
    <w:rsid w:val="001267C8"/>
    <w:rsid w:val="00127FD4"/>
    <w:rsid w:val="00134646"/>
    <w:rsid w:val="00141775"/>
    <w:rsid w:val="0014352D"/>
    <w:rsid w:val="00154075"/>
    <w:rsid w:val="001542E8"/>
    <w:rsid w:val="0016558C"/>
    <w:rsid w:val="00171099"/>
    <w:rsid w:val="00171178"/>
    <w:rsid w:val="001768D7"/>
    <w:rsid w:val="00192254"/>
    <w:rsid w:val="001A5137"/>
    <w:rsid w:val="001B0BCB"/>
    <w:rsid w:val="001B337E"/>
    <w:rsid w:val="001B6D12"/>
    <w:rsid w:val="001C0E6A"/>
    <w:rsid w:val="001C20E3"/>
    <w:rsid w:val="001D377B"/>
    <w:rsid w:val="001F4B8F"/>
    <w:rsid w:val="001F733F"/>
    <w:rsid w:val="00204BB0"/>
    <w:rsid w:val="00210E28"/>
    <w:rsid w:val="0021135B"/>
    <w:rsid w:val="002313D8"/>
    <w:rsid w:val="00235840"/>
    <w:rsid w:val="00247A1C"/>
    <w:rsid w:val="0025036E"/>
    <w:rsid w:val="00256C42"/>
    <w:rsid w:val="00261C5D"/>
    <w:rsid w:val="00262DE7"/>
    <w:rsid w:val="00263F36"/>
    <w:rsid w:val="002656BA"/>
    <w:rsid w:val="00273904"/>
    <w:rsid w:val="00281569"/>
    <w:rsid w:val="00281B1E"/>
    <w:rsid w:val="00282B51"/>
    <w:rsid w:val="00283F26"/>
    <w:rsid w:val="002844DA"/>
    <w:rsid w:val="00296CB1"/>
    <w:rsid w:val="00297B57"/>
    <w:rsid w:val="002A4FF6"/>
    <w:rsid w:val="002B7E0C"/>
    <w:rsid w:val="002D381F"/>
    <w:rsid w:val="002E3A5B"/>
    <w:rsid w:val="00305E03"/>
    <w:rsid w:val="0030644C"/>
    <w:rsid w:val="00311705"/>
    <w:rsid w:val="00312083"/>
    <w:rsid w:val="00316FD2"/>
    <w:rsid w:val="00326E0F"/>
    <w:rsid w:val="00333E41"/>
    <w:rsid w:val="00335945"/>
    <w:rsid w:val="00344E66"/>
    <w:rsid w:val="0035081B"/>
    <w:rsid w:val="0035204E"/>
    <w:rsid w:val="00371EE5"/>
    <w:rsid w:val="003758E8"/>
    <w:rsid w:val="00377C5F"/>
    <w:rsid w:val="00381129"/>
    <w:rsid w:val="00391EFB"/>
    <w:rsid w:val="003A39B7"/>
    <w:rsid w:val="003B0552"/>
    <w:rsid w:val="003B3B5C"/>
    <w:rsid w:val="003B59DC"/>
    <w:rsid w:val="003D0CD4"/>
    <w:rsid w:val="003D17A0"/>
    <w:rsid w:val="003D43C5"/>
    <w:rsid w:val="003D631B"/>
    <w:rsid w:val="003E3ADA"/>
    <w:rsid w:val="003E63F9"/>
    <w:rsid w:val="003F21D7"/>
    <w:rsid w:val="004053D0"/>
    <w:rsid w:val="004056E2"/>
    <w:rsid w:val="00417CDD"/>
    <w:rsid w:val="00430C30"/>
    <w:rsid w:val="0043184C"/>
    <w:rsid w:val="004400D9"/>
    <w:rsid w:val="00441E3D"/>
    <w:rsid w:val="0045049E"/>
    <w:rsid w:val="004603C8"/>
    <w:rsid w:val="00466423"/>
    <w:rsid w:val="00480E6F"/>
    <w:rsid w:val="00484A76"/>
    <w:rsid w:val="00490F07"/>
    <w:rsid w:val="004A0900"/>
    <w:rsid w:val="004A3DE0"/>
    <w:rsid w:val="004C385E"/>
    <w:rsid w:val="004D7280"/>
    <w:rsid w:val="004F1CD7"/>
    <w:rsid w:val="004F4BC2"/>
    <w:rsid w:val="00503838"/>
    <w:rsid w:val="005137C3"/>
    <w:rsid w:val="00514CC3"/>
    <w:rsid w:val="00517D46"/>
    <w:rsid w:val="00523477"/>
    <w:rsid w:val="005254DB"/>
    <w:rsid w:val="00525505"/>
    <w:rsid w:val="0053148F"/>
    <w:rsid w:val="00534969"/>
    <w:rsid w:val="00570F56"/>
    <w:rsid w:val="00581007"/>
    <w:rsid w:val="00581113"/>
    <w:rsid w:val="005819DB"/>
    <w:rsid w:val="00585274"/>
    <w:rsid w:val="0059389F"/>
    <w:rsid w:val="005948CB"/>
    <w:rsid w:val="0059557A"/>
    <w:rsid w:val="005A2074"/>
    <w:rsid w:val="005A64B1"/>
    <w:rsid w:val="005A6AEC"/>
    <w:rsid w:val="005C4415"/>
    <w:rsid w:val="005D64C5"/>
    <w:rsid w:val="005D69A5"/>
    <w:rsid w:val="005E1D7E"/>
    <w:rsid w:val="005E5C61"/>
    <w:rsid w:val="005E5F89"/>
    <w:rsid w:val="005E6AB5"/>
    <w:rsid w:val="005F3D70"/>
    <w:rsid w:val="00607386"/>
    <w:rsid w:val="0061598E"/>
    <w:rsid w:val="00616619"/>
    <w:rsid w:val="006211DC"/>
    <w:rsid w:val="00630003"/>
    <w:rsid w:val="00634789"/>
    <w:rsid w:val="00634F68"/>
    <w:rsid w:val="00641DEA"/>
    <w:rsid w:val="00642399"/>
    <w:rsid w:val="0064761D"/>
    <w:rsid w:val="0065680A"/>
    <w:rsid w:val="0065772C"/>
    <w:rsid w:val="00661B4E"/>
    <w:rsid w:val="00665438"/>
    <w:rsid w:val="00670B81"/>
    <w:rsid w:val="0067364E"/>
    <w:rsid w:val="00690175"/>
    <w:rsid w:val="006A7C28"/>
    <w:rsid w:val="006B25E6"/>
    <w:rsid w:val="006C0B6A"/>
    <w:rsid w:val="006C3A2F"/>
    <w:rsid w:val="006C74E5"/>
    <w:rsid w:val="006C7AF3"/>
    <w:rsid w:val="006D46AB"/>
    <w:rsid w:val="006E777F"/>
    <w:rsid w:val="006F27ED"/>
    <w:rsid w:val="006F6C3F"/>
    <w:rsid w:val="0070770B"/>
    <w:rsid w:val="00707743"/>
    <w:rsid w:val="0071221B"/>
    <w:rsid w:val="00716417"/>
    <w:rsid w:val="007335F3"/>
    <w:rsid w:val="0073380C"/>
    <w:rsid w:val="00737F89"/>
    <w:rsid w:val="00753164"/>
    <w:rsid w:val="0076022D"/>
    <w:rsid w:val="007616DE"/>
    <w:rsid w:val="0076220C"/>
    <w:rsid w:val="007670ED"/>
    <w:rsid w:val="00774D37"/>
    <w:rsid w:val="007777BB"/>
    <w:rsid w:val="0078217C"/>
    <w:rsid w:val="007A2C1A"/>
    <w:rsid w:val="007B17B6"/>
    <w:rsid w:val="007B2AED"/>
    <w:rsid w:val="007B3BE1"/>
    <w:rsid w:val="007B4FAB"/>
    <w:rsid w:val="007D1D99"/>
    <w:rsid w:val="007E4AB8"/>
    <w:rsid w:val="007F182E"/>
    <w:rsid w:val="007F30B4"/>
    <w:rsid w:val="007F5F61"/>
    <w:rsid w:val="007F73BA"/>
    <w:rsid w:val="00806DF3"/>
    <w:rsid w:val="00814D6C"/>
    <w:rsid w:val="00825870"/>
    <w:rsid w:val="00845F39"/>
    <w:rsid w:val="00847634"/>
    <w:rsid w:val="00857515"/>
    <w:rsid w:val="00862FE1"/>
    <w:rsid w:val="0086440A"/>
    <w:rsid w:val="0087313B"/>
    <w:rsid w:val="00877399"/>
    <w:rsid w:val="00881443"/>
    <w:rsid w:val="00881452"/>
    <w:rsid w:val="008869A2"/>
    <w:rsid w:val="008874A9"/>
    <w:rsid w:val="00891FA2"/>
    <w:rsid w:val="00893A5E"/>
    <w:rsid w:val="0089488C"/>
    <w:rsid w:val="008A4244"/>
    <w:rsid w:val="008C659F"/>
    <w:rsid w:val="008D2932"/>
    <w:rsid w:val="008D2F55"/>
    <w:rsid w:val="008E1FE9"/>
    <w:rsid w:val="008E4F8F"/>
    <w:rsid w:val="008F0DD2"/>
    <w:rsid w:val="008F2A1C"/>
    <w:rsid w:val="008F7CFA"/>
    <w:rsid w:val="00900617"/>
    <w:rsid w:val="00903544"/>
    <w:rsid w:val="00906792"/>
    <w:rsid w:val="00911428"/>
    <w:rsid w:val="00916663"/>
    <w:rsid w:val="00917CA1"/>
    <w:rsid w:val="009228F7"/>
    <w:rsid w:val="00923E28"/>
    <w:rsid w:val="009275A0"/>
    <w:rsid w:val="009330D8"/>
    <w:rsid w:val="00940ED7"/>
    <w:rsid w:val="00940EEE"/>
    <w:rsid w:val="009530B3"/>
    <w:rsid w:val="009572FA"/>
    <w:rsid w:val="009576E8"/>
    <w:rsid w:val="009631EE"/>
    <w:rsid w:val="0096331D"/>
    <w:rsid w:val="009708AC"/>
    <w:rsid w:val="009812EE"/>
    <w:rsid w:val="009834C0"/>
    <w:rsid w:val="00983632"/>
    <w:rsid w:val="0098498E"/>
    <w:rsid w:val="009866DD"/>
    <w:rsid w:val="00997636"/>
    <w:rsid w:val="009A64F4"/>
    <w:rsid w:val="009A7C06"/>
    <w:rsid w:val="009B2C1F"/>
    <w:rsid w:val="009B7DBF"/>
    <w:rsid w:val="009C111F"/>
    <w:rsid w:val="009C5CB7"/>
    <w:rsid w:val="009C77EF"/>
    <w:rsid w:val="009D18ED"/>
    <w:rsid w:val="009D73AB"/>
    <w:rsid w:val="009E1DC6"/>
    <w:rsid w:val="009E2A8E"/>
    <w:rsid w:val="009F09BF"/>
    <w:rsid w:val="009F1B28"/>
    <w:rsid w:val="00A02206"/>
    <w:rsid w:val="00A075A7"/>
    <w:rsid w:val="00A1132E"/>
    <w:rsid w:val="00A21801"/>
    <w:rsid w:val="00A333D5"/>
    <w:rsid w:val="00A51FCD"/>
    <w:rsid w:val="00A55B4E"/>
    <w:rsid w:val="00A616FA"/>
    <w:rsid w:val="00A670EC"/>
    <w:rsid w:val="00A724A8"/>
    <w:rsid w:val="00A849F2"/>
    <w:rsid w:val="00AA0C5A"/>
    <w:rsid w:val="00AA0F3F"/>
    <w:rsid w:val="00AA5CFB"/>
    <w:rsid w:val="00AA7523"/>
    <w:rsid w:val="00AB2644"/>
    <w:rsid w:val="00AB555B"/>
    <w:rsid w:val="00AB5CCA"/>
    <w:rsid w:val="00AB6F98"/>
    <w:rsid w:val="00AC25C9"/>
    <w:rsid w:val="00AC510A"/>
    <w:rsid w:val="00AC51DB"/>
    <w:rsid w:val="00AC6A33"/>
    <w:rsid w:val="00AD59B9"/>
    <w:rsid w:val="00AE099C"/>
    <w:rsid w:val="00AE1D7F"/>
    <w:rsid w:val="00AF26B7"/>
    <w:rsid w:val="00AF724B"/>
    <w:rsid w:val="00AF78E8"/>
    <w:rsid w:val="00B05DE3"/>
    <w:rsid w:val="00B1421D"/>
    <w:rsid w:val="00B16F7E"/>
    <w:rsid w:val="00B213A3"/>
    <w:rsid w:val="00B216B3"/>
    <w:rsid w:val="00B25122"/>
    <w:rsid w:val="00B31346"/>
    <w:rsid w:val="00B31B0A"/>
    <w:rsid w:val="00B5372F"/>
    <w:rsid w:val="00B56DB1"/>
    <w:rsid w:val="00B5798F"/>
    <w:rsid w:val="00B65020"/>
    <w:rsid w:val="00B81A29"/>
    <w:rsid w:val="00B8710F"/>
    <w:rsid w:val="00B9003A"/>
    <w:rsid w:val="00B9518E"/>
    <w:rsid w:val="00B9637E"/>
    <w:rsid w:val="00BA0610"/>
    <w:rsid w:val="00BA15AC"/>
    <w:rsid w:val="00BB0598"/>
    <w:rsid w:val="00BB0973"/>
    <w:rsid w:val="00BB0BB5"/>
    <w:rsid w:val="00BB3112"/>
    <w:rsid w:val="00BB3275"/>
    <w:rsid w:val="00BC0B88"/>
    <w:rsid w:val="00BC1D59"/>
    <w:rsid w:val="00BE23ED"/>
    <w:rsid w:val="00BF0A85"/>
    <w:rsid w:val="00C0261A"/>
    <w:rsid w:val="00C05BDB"/>
    <w:rsid w:val="00C15AAB"/>
    <w:rsid w:val="00C33B8E"/>
    <w:rsid w:val="00C40D99"/>
    <w:rsid w:val="00C40D9B"/>
    <w:rsid w:val="00C4598E"/>
    <w:rsid w:val="00C45BC3"/>
    <w:rsid w:val="00C45ECB"/>
    <w:rsid w:val="00C5373C"/>
    <w:rsid w:val="00C54449"/>
    <w:rsid w:val="00C7230B"/>
    <w:rsid w:val="00C8127D"/>
    <w:rsid w:val="00C81732"/>
    <w:rsid w:val="00C83C39"/>
    <w:rsid w:val="00C90810"/>
    <w:rsid w:val="00C93C30"/>
    <w:rsid w:val="00CA0ABE"/>
    <w:rsid w:val="00CA47D4"/>
    <w:rsid w:val="00CB17E3"/>
    <w:rsid w:val="00CB584E"/>
    <w:rsid w:val="00CB7ACD"/>
    <w:rsid w:val="00CB7ED6"/>
    <w:rsid w:val="00CC4252"/>
    <w:rsid w:val="00CC5D63"/>
    <w:rsid w:val="00CD13E2"/>
    <w:rsid w:val="00CD28A0"/>
    <w:rsid w:val="00CE676F"/>
    <w:rsid w:val="00CE6BD8"/>
    <w:rsid w:val="00CF1CF4"/>
    <w:rsid w:val="00CF6794"/>
    <w:rsid w:val="00D0027B"/>
    <w:rsid w:val="00D018D1"/>
    <w:rsid w:val="00D02207"/>
    <w:rsid w:val="00D03C63"/>
    <w:rsid w:val="00D0646B"/>
    <w:rsid w:val="00D12D59"/>
    <w:rsid w:val="00D15F00"/>
    <w:rsid w:val="00D164D6"/>
    <w:rsid w:val="00D1772C"/>
    <w:rsid w:val="00D200B1"/>
    <w:rsid w:val="00D233B2"/>
    <w:rsid w:val="00D32B2E"/>
    <w:rsid w:val="00D3525E"/>
    <w:rsid w:val="00D4722C"/>
    <w:rsid w:val="00D56FAF"/>
    <w:rsid w:val="00D60435"/>
    <w:rsid w:val="00D60807"/>
    <w:rsid w:val="00D629AF"/>
    <w:rsid w:val="00D64B8C"/>
    <w:rsid w:val="00D64E57"/>
    <w:rsid w:val="00D86750"/>
    <w:rsid w:val="00DA0F42"/>
    <w:rsid w:val="00DB2078"/>
    <w:rsid w:val="00DC22F4"/>
    <w:rsid w:val="00DC3BE5"/>
    <w:rsid w:val="00DC6DB9"/>
    <w:rsid w:val="00E01F18"/>
    <w:rsid w:val="00E10082"/>
    <w:rsid w:val="00E13603"/>
    <w:rsid w:val="00E179C7"/>
    <w:rsid w:val="00E23225"/>
    <w:rsid w:val="00E31D9D"/>
    <w:rsid w:val="00E539AD"/>
    <w:rsid w:val="00E550FE"/>
    <w:rsid w:val="00E63628"/>
    <w:rsid w:val="00E65E93"/>
    <w:rsid w:val="00E66135"/>
    <w:rsid w:val="00E765A2"/>
    <w:rsid w:val="00E8026C"/>
    <w:rsid w:val="00E8106B"/>
    <w:rsid w:val="00E822FF"/>
    <w:rsid w:val="00E866E9"/>
    <w:rsid w:val="00E923E6"/>
    <w:rsid w:val="00E95BAF"/>
    <w:rsid w:val="00E96840"/>
    <w:rsid w:val="00EA12EA"/>
    <w:rsid w:val="00EB0EFF"/>
    <w:rsid w:val="00EB60A1"/>
    <w:rsid w:val="00EC47E9"/>
    <w:rsid w:val="00EC6B28"/>
    <w:rsid w:val="00EC7A65"/>
    <w:rsid w:val="00ED3DC3"/>
    <w:rsid w:val="00ED5490"/>
    <w:rsid w:val="00EE201F"/>
    <w:rsid w:val="00EF0D72"/>
    <w:rsid w:val="00EF4AB1"/>
    <w:rsid w:val="00F11501"/>
    <w:rsid w:val="00F123D5"/>
    <w:rsid w:val="00F15A4C"/>
    <w:rsid w:val="00F230C1"/>
    <w:rsid w:val="00F27E3C"/>
    <w:rsid w:val="00F40DC8"/>
    <w:rsid w:val="00F41F03"/>
    <w:rsid w:val="00F435EB"/>
    <w:rsid w:val="00F44A56"/>
    <w:rsid w:val="00F44ED9"/>
    <w:rsid w:val="00F46345"/>
    <w:rsid w:val="00F5263C"/>
    <w:rsid w:val="00F537BB"/>
    <w:rsid w:val="00F67CEE"/>
    <w:rsid w:val="00F8704A"/>
    <w:rsid w:val="00F9706A"/>
    <w:rsid w:val="00FA665C"/>
    <w:rsid w:val="00FB6AC1"/>
    <w:rsid w:val="00FB77EB"/>
    <w:rsid w:val="00FC70F6"/>
    <w:rsid w:val="00FD1B9E"/>
    <w:rsid w:val="00FE4DDF"/>
    <w:rsid w:val="00FF6CB7"/>
    <w:rsid w:val="00FF7D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E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2F"/>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B5372F"/>
    <w:rPr>
      <w:rFonts w:cs="Myriad Pro"/>
      <w:color w:val="000000"/>
      <w:sz w:val="21"/>
      <w:szCs w:val="21"/>
    </w:rPr>
  </w:style>
  <w:style w:type="paragraph" w:styleId="BodyText2">
    <w:name w:val="Body Text 2"/>
    <w:basedOn w:val="Normal"/>
    <w:link w:val="BodyText2Char"/>
    <w:semiHidden/>
    <w:unhideWhenUsed/>
    <w:rsid w:val="00B5372F"/>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semiHidden/>
    <w:rsid w:val="00B5372F"/>
    <w:rPr>
      <w:rFonts w:ascii="Garamond" w:eastAsia="Times New Roman" w:hAnsi="Garamond" w:cs="Times New Roman"/>
      <w:kern w:val="0"/>
      <w:sz w:val="28"/>
      <w:szCs w:val="28"/>
      <w14:ligatures w14:val="none"/>
    </w:rPr>
  </w:style>
  <w:style w:type="paragraph" w:styleId="ListParagraph">
    <w:name w:val="List Paragraph"/>
    <w:basedOn w:val="Normal"/>
    <w:uiPriority w:val="34"/>
    <w:qFormat/>
    <w:rsid w:val="00B5372F"/>
    <w:pPr>
      <w:ind w:left="720"/>
      <w:contextualSpacing/>
    </w:pPr>
  </w:style>
  <w:style w:type="paragraph" w:styleId="NoSpacing">
    <w:name w:val="No Spacing"/>
    <w:uiPriority w:val="1"/>
    <w:qFormat/>
    <w:rsid w:val="00B5372F"/>
    <w:pPr>
      <w:spacing w:after="0" w:line="240" w:lineRule="auto"/>
    </w:pPr>
    <w:rPr>
      <w:kern w:val="0"/>
      <w14:ligatures w14:val="none"/>
    </w:rPr>
  </w:style>
  <w:style w:type="character" w:styleId="CommentReference">
    <w:name w:val="annotation reference"/>
    <w:basedOn w:val="DefaultParagraphFont"/>
    <w:uiPriority w:val="99"/>
    <w:semiHidden/>
    <w:unhideWhenUsed/>
    <w:rsid w:val="00B5372F"/>
    <w:rPr>
      <w:sz w:val="16"/>
      <w:szCs w:val="16"/>
    </w:rPr>
  </w:style>
  <w:style w:type="paragraph" w:styleId="CommentText">
    <w:name w:val="annotation text"/>
    <w:basedOn w:val="Normal"/>
    <w:link w:val="CommentTextChar"/>
    <w:uiPriority w:val="99"/>
    <w:semiHidden/>
    <w:unhideWhenUsed/>
    <w:rsid w:val="00B5372F"/>
    <w:pPr>
      <w:spacing w:line="240" w:lineRule="auto"/>
    </w:pPr>
    <w:rPr>
      <w:sz w:val="20"/>
      <w:szCs w:val="20"/>
    </w:rPr>
  </w:style>
  <w:style w:type="character" w:customStyle="1" w:styleId="CommentTextChar">
    <w:name w:val="Comment Text Char"/>
    <w:basedOn w:val="DefaultParagraphFont"/>
    <w:link w:val="CommentText"/>
    <w:uiPriority w:val="99"/>
    <w:semiHidden/>
    <w:rsid w:val="00B5372F"/>
    <w:rPr>
      <w:kern w:val="0"/>
      <w:sz w:val="20"/>
      <w:szCs w:val="20"/>
      <w14:ligatures w14:val="none"/>
    </w:rPr>
  </w:style>
  <w:style w:type="paragraph" w:styleId="Header">
    <w:name w:val="header"/>
    <w:basedOn w:val="Normal"/>
    <w:link w:val="HeaderChar"/>
    <w:uiPriority w:val="99"/>
    <w:unhideWhenUsed/>
    <w:rsid w:val="00106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7ED"/>
    <w:rPr>
      <w:kern w:val="0"/>
      <w14:ligatures w14:val="none"/>
    </w:rPr>
  </w:style>
  <w:style w:type="paragraph" w:styleId="Footer">
    <w:name w:val="footer"/>
    <w:basedOn w:val="Normal"/>
    <w:link w:val="FooterChar"/>
    <w:uiPriority w:val="99"/>
    <w:unhideWhenUsed/>
    <w:rsid w:val="00106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7ED"/>
    <w:rPr>
      <w:kern w:val="0"/>
      <w14:ligatures w14:val="none"/>
    </w:rPr>
  </w:style>
  <w:style w:type="character" w:styleId="Hyperlink">
    <w:name w:val="Hyperlink"/>
    <w:basedOn w:val="DefaultParagraphFont"/>
    <w:uiPriority w:val="99"/>
    <w:unhideWhenUsed/>
    <w:rsid w:val="00381129"/>
    <w:rPr>
      <w:color w:val="0563C1" w:themeColor="hyperlink"/>
      <w:u w:val="single"/>
    </w:rPr>
  </w:style>
  <w:style w:type="character" w:styleId="UnresolvedMention">
    <w:name w:val="Unresolved Mention"/>
    <w:basedOn w:val="DefaultParagraphFont"/>
    <w:uiPriority w:val="99"/>
    <w:semiHidden/>
    <w:unhideWhenUsed/>
    <w:rsid w:val="00381129"/>
    <w:rPr>
      <w:color w:val="605E5C"/>
      <w:shd w:val="clear" w:color="auto" w:fill="E1DFDD"/>
    </w:rPr>
  </w:style>
  <w:style w:type="character" w:styleId="FollowedHyperlink">
    <w:name w:val="FollowedHyperlink"/>
    <w:basedOn w:val="DefaultParagraphFont"/>
    <w:uiPriority w:val="99"/>
    <w:semiHidden/>
    <w:unhideWhenUsed/>
    <w:rsid w:val="00DC22F4"/>
    <w:rPr>
      <w:color w:val="954F72" w:themeColor="followedHyperlink"/>
      <w:u w:val="single"/>
    </w:rPr>
  </w:style>
  <w:style w:type="table" w:styleId="TableGrid">
    <w:name w:val="Table Grid"/>
    <w:basedOn w:val="TableNormal"/>
    <w:uiPriority w:val="39"/>
    <w:rsid w:val="005E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6FD2"/>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316FD2"/>
    <w:rPr>
      <w:b/>
      <w:bCs/>
    </w:rPr>
  </w:style>
  <w:style w:type="character" w:customStyle="1" w:styleId="CommentSubjectChar">
    <w:name w:val="Comment Subject Char"/>
    <w:basedOn w:val="CommentTextChar"/>
    <w:link w:val="CommentSubject"/>
    <w:uiPriority w:val="99"/>
    <w:semiHidden/>
    <w:rsid w:val="00316FD2"/>
    <w:rPr>
      <w:b/>
      <w:bCs/>
      <w:kern w:val="0"/>
      <w:sz w:val="20"/>
      <w:szCs w:val="20"/>
      <w14:ligatures w14:val="none"/>
    </w:rPr>
  </w:style>
  <w:style w:type="paragraph" w:customStyle="1" w:styleId="labojumupamats">
    <w:name w:val="labojumu_pamats"/>
    <w:basedOn w:val="Normal"/>
    <w:rsid w:val="00585274"/>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9628">
      <w:bodyDiv w:val="1"/>
      <w:marLeft w:val="0"/>
      <w:marRight w:val="0"/>
      <w:marTop w:val="0"/>
      <w:marBottom w:val="0"/>
      <w:divBdr>
        <w:top w:val="none" w:sz="0" w:space="0" w:color="auto"/>
        <w:left w:val="none" w:sz="0" w:space="0" w:color="auto"/>
        <w:bottom w:val="none" w:sz="0" w:space="0" w:color="auto"/>
        <w:right w:val="none" w:sz="0" w:space="0" w:color="auto"/>
      </w:divBdr>
    </w:div>
    <w:div w:id="2047753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18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489" TargetMode="External"/><Relationship Id="rId5" Type="http://schemas.openxmlformats.org/officeDocument/2006/relationships/webSettings" Target="webSettings.xml"/><Relationship Id="rId10" Type="http://schemas.openxmlformats.org/officeDocument/2006/relationships/hyperlink" Target="https://www.at.gov.lv/downloadlawfile/5763" TargetMode="External"/><Relationship Id="rId4" Type="http://schemas.openxmlformats.org/officeDocument/2006/relationships/settings" Target="settings.xml"/><Relationship Id="rId9" Type="http://schemas.openxmlformats.org/officeDocument/2006/relationships/hyperlink" Target="https://www.at.gov.lv/downloadlawfile/71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E01EE-70BA-405E-B3D4-2738D4F3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15540</Words>
  <Characters>8858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2025-02-10T10:52:00Z</dcterms:created>
  <dcterms:modified xsi:type="dcterms:W3CDTF">2025-02-10T13:09:00Z</dcterms:modified>
</cp:coreProperties>
</file>