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1456" w14:textId="77777777" w:rsidR="006771C6" w:rsidRDefault="006771C6" w:rsidP="006771C6">
      <w:pPr>
        <w:spacing w:line="276" w:lineRule="auto"/>
        <w:jc w:val="both"/>
        <w:rPr>
          <w:b/>
          <w:bCs/>
          <w:lang w:eastAsia="lv-LV"/>
          <w14:ligatures w14:val="standardContextual"/>
        </w:rPr>
      </w:pPr>
      <w:r>
        <w:rPr>
          <w:b/>
          <w:bCs/>
          <w14:ligatures w14:val="standardContextual"/>
        </w:rPr>
        <w:t>Ierobežojuma strādāt par tiesu ekspertu individuāls vērtējums</w:t>
      </w:r>
    </w:p>
    <w:p w14:paraId="01F7DFAB" w14:textId="77777777" w:rsidR="006771C6" w:rsidRDefault="006771C6" w:rsidP="006771C6">
      <w:pPr>
        <w:spacing w:line="276" w:lineRule="auto"/>
        <w:jc w:val="both"/>
        <w:rPr>
          <w14:ligatures w14:val="standardContextual"/>
        </w:rPr>
      </w:pPr>
      <w:r>
        <w:rPr>
          <w14:ligatures w14:val="standardContextual"/>
        </w:rPr>
        <w:t xml:space="preserve">Tiesu ekspertu likuma 6.panta trešās daļas 5.punkts, kas noteic, ka par tiesu ekspertu nevar būt persona, kura saukta pie kriminālatbildības, bet pret kuru kriminālprocess par tīša noziedzīga nodarījuma izdarīšanu izbeigts uz nereabilitējoša pamata, ar Satversmes tiesas spriedumu lietā Nr. 2023-47-01 atzīts par neatbilstošu Satversmei, ciktāl tas nosaka aizliegumu būt par tiesu ekspertu personai, kura saukta pie kriminālatbildības, bet pret kuru kriminālprocess par tīša noziedzīga nodarījuma izdarīšanu izbeigts uz nereabilitējoša pamata. </w:t>
      </w:r>
    </w:p>
    <w:p w14:paraId="1C1EA9E4" w14:textId="599140A0" w:rsidR="00D51EE9" w:rsidRPr="006771C6" w:rsidRDefault="006771C6" w:rsidP="006771C6">
      <w:pPr>
        <w:spacing w:line="276" w:lineRule="auto"/>
        <w:jc w:val="both"/>
        <w:rPr>
          <w14:ligatures w14:val="standardContextual"/>
        </w:rPr>
      </w:pPr>
      <w:r>
        <w:rPr>
          <w14:ligatures w14:val="standardContextual"/>
        </w:rPr>
        <w:t xml:space="preserve">Lai noteiktu personai aizliegumu strādāt kādā profesijā, nozīme ir tieši konkrētā gadījuma individuālam vērtējumam, kurā tiktu ņemts vērā gan nodarījuma smagums, gan nereabilitējošie apstākļi, gan arī laiks, kas pagājis pēc nodarījuma, un pašas personas attieksme un uzvedība pēc nodarījuma izdarīšanas. Tādējādi konkrētā gadījuma individuāls </w:t>
      </w:r>
      <w:proofErr w:type="spellStart"/>
      <w:r>
        <w:rPr>
          <w14:ligatures w14:val="standardContextual"/>
        </w:rPr>
        <w:t>izvērtējums</w:t>
      </w:r>
      <w:proofErr w:type="spellEnd"/>
      <w:r>
        <w:rPr>
          <w14:ligatures w14:val="standardContextual"/>
        </w:rPr>
        <w:t xml:space="preserve"> var būt viens no līdzekļiem, ar kuriem personas </w:t>
      </w:r>
      <w:proofErr w:type="spellStart"/>
      <w:r>
        <w:rPr>
          <w14:ligatures w14:val="standardContextual"/>
        </w:rPr>
        <w:t>pamattiesības</w:t>
      </w:r>
      <w:proofErr w:type="spellEnd"/>
      <w:r>
        <w:rPr>
          <w14:ligatures w14:val="standardContextual"/>
        </w:rPr>
        <w:t xml:space="preserve"> tiktu ierobežotas mazāk. Proti, šādās lietās individuāli ir jāvērtē </w:t>
      </w:r>
      <w:proofErr w:type="spellStart"/>
      <w:r>
        <w:rPr>
          <w14:ligatures w14:val="standardContextual"/>
        </w:rPr>
        <w:t>jāvērtē</w:t>
      </w:r>
      <w:proofErr w:type="spellEnd"/>
      <w:r>
        <w:rPr>
          <w14:ligatures w14:val="standardContextual"/>
        </w:rPr>
        <w:t xml:space="preserve"> riski, kas saistīti ar attiecīgās personas darbošanos tiesu eksperta profesijā un šai nolūkā tieši jāpiemēro Satversme un minētajā Satversmes tiesas spriedumā ietvertās atziņas.</w:t>
      </w:r>
    </w:p>
    <w:p w14:paraId="5F684088" w14:textId="0876FCAB" w:rsidR="00D51EE9" w:rsidRPr="006771C6" w:rsidRDefault="00D51EE9" w:rsidP="006771C6">
      <w:pPr>
        <w:spacing w:before="240" w:line="276" w:lineRule="auto"/>
        <w:jc w:val="center"/>
        <w:rPr>
          <w:b/>
        </w:rPr>
      </w:pPr>
      <w:r w:rsidRPr="006771C6">
        <w:rPr>
          <w:b/>
        </w:rPr>
        <w:t>Latvijas Republikas Senāt</w:t>
      </w:r>
      <w:r w:rsidR="006771C6" w:rsidRPr="006771C6">
        <w:rPr>
          <w:b/>
        </w:rPr>
        <w:t>a</w:t>
      </w:r>
      <w:r w:rsidR="006771C6" w:rsidRPr="006771C6">
        <w:rPr>
          <w:b/>
        </w:rPr>
        <w:br/>
        <w:t>Administratīvo lietu departamenta</w:t>
      </w:r>
      <w:r w:rsidR="006771C6" w:rsidRPr="006771C6">
        <w:rPr>
          <w:b/>
        </w:rPr>
        <w:br/>
        <w:t xml:space="preserve">2025.gada 11.februāra </w:t>
      </w:r>
    </w:p>
    <w:p w14:paraId="2034D93B" w14:textId="39D356D6" w:rsidR="00C55B45" w:rsidRPr="006771C6" w:rsidRDefault="005D59B5" w:rsidP="006771C6">
      <w:pPr>
        <w:spacing w:line="276" w:lineRule="auto"/>
        <w:jc w:val="center"/>
        <w:rPr>
          <w:b/>
        </w:rPr>
      </w:pPr>
      <w:r w:rsidRPr="006771C6">
        <w:rPr>
          <w:b/>
        </w:rPr>
        <w:t>SPRIEDUMS</w:t>
      </w:r>
    </w:p>
    <w:p w14:paraId="0AAAB1AA" w14:textId="19F50965" w:rsidR="006771C6" w:rsidRPr="006771C6" w:rsidRDefault="006771C6" w:rsidP="006771C6">
      <w:pPr>
        <w:spacing w:line="276" w:lineRule="auto"/>
        <w:jc w:val="center"/>
        <w:rPr>
          <w:b/>
          <w:bCs/>
        </w:rPr>
      </w:pPr>
      <w:r w:rsidRPr="006771C6">
        <w:rPr>
          <w:b/>
          <w:bCs/>
        </w:rPr>
        <w:t>Lieta Nr. A420111221, SKA-17/2025</w:t>
      </w:r>
    </w:p>
    <w:p w14:paraId="4190BE88" w14:textId="18C75723" w:rsidR="006771C6" w:rsidRPr="006771C6" w:rsidRDefault="006771C6" w:rsidP="006771C6">
      <w:pPr>
        <w:spacing w:line="276" w:lineRule="auto"/>
        <w:jc w:val="center"/>
        <w:rPr>
          <w:b/>
        </w:rPr>
      </w:pPr>
      <w:r w:rsidRPr="006771C6">
        <w:t xml:space="preserve"> </w:t>
      </w:r>
      <w:hyperlink r:id="rId7" w:history="1">
        <w:r w:rsidRPr="006771C6">
          <w:rPr>
            <w:rStyle w:val="Hyperlink"/>
          </w:rPr>
          <w:t>ECLI:LV:AT:2025:0211.A420111221.19.S</w:t>
        </w:r>
      </w:hyperlink>
    </w:p>
    <w:p w14:paraId="5C73D9CF" w14:textId="77777777" w:rsidR="00C55B45" w:rsidRPr="00894CA2" w:rsidRDefault="00C55B45" w:rsidP="006771C6">
      <w:pPr>
        <w:spacing w:line="276" w:lineRule="auto"/>
        <w:jc w:val="center"/>
      </w:pPr>
    </w:p>
    <w:p w14:paraId="705C6334" w14:textId="124570DF" w:rsidR="00BB5741" w:rsidRPr="002B5FE8" w:rsidRDefault="00BB5741" w:rsidP="006771C6">
      <w:pPr>
        <w:spacing w:line="276" w:lineRule="auto"/>
        <w:ind w:firstLine="720"/>
        <w:jc w:val="both"/>
      </w:pPr>
      <w:r w:rsidRPr="002B5FE8">
        <w:t>Senāts šādā sastāvā: senatore</w:t>
      </w:r>
      <w:r>
        <w:t xml:space="preserve"> referente</w:t>
      </w:r>
      <w:r w:rsidRPr="002B5FE8">
        <w:t xml:space="preserve"> Līvija </w:t>
      </w:r>
      <w:r w:rsidRPr="00BA7292">
        <w:t xml:space="preserve">Slica, senatori </w:t>
      </w:r>
      <w:r w:rsidR="0087444F">
        <w:t>Ermīns Darapoļskis</w:t>
      </w:r>
      <w:r w:rsidRPr="00BA7292">
        <w:t xml:space="preserve"> un </w:t>
      </w:r>
      <w:r w:rsidR="0087444F">
        <w:t>Indra Meldere</w:t>
      </w:r>
    </w:p>
    <w:p w14:paraId="2263B213" w14:textId="77777777" w:rsidR="00BB5741" w:rsidRDefault="00BB5741" w:rsidP="006771C6">
      <w:pPr>
        <w:spacing w:line="276" w:lineRule="auto"/>
        <w:ind w:firstLine="720"/>
        <w:jc w:val="both"/>
      </w:pPr>
    </w:p>
    <w:p w14:paraId="31EB53EE" w14:textId="1B700694" w:rsidR="00C55B45" w:rsidRPr="00894CA2" w:rsidRDefault="00C55B45" w:rsidP="006771C6">
      <w:pPr>
        <w:spacing w:line="276" w:lineRule="auto"/>
        <w:ind w:firstLine="720"/>
        <w:jc w:val="both"/>
      </w:pPr>
      <w:r w:rsidRPr="00894CA2">
        <w:t xml:space="preserve">rakstveida procesā izskatīja administratīvo lietu, kas ierosināta, pamatojoties uz </w:t>
      </w:r>
      <w:r w:rsidR="006771C6">
        <w:t xml:space="preserve">[pers. A] </w:t>
      </w:r>
      <w:r w:rsidR="00AA67C7" w:rsidRPr="0061219A">
        <w:t xml:space="preserve">pieteikumu par Tiesu ekspertu padomes administratīvā akta izdošanu un nemantiskā kaitējuma atlīdzināšanu, sakarā </w:t>
      </w:r>
      <w:r w:rsidR="00AA67C7" w:rsidRPr="00B11508">
        <w:t>ar Tieslietu ministrijas kasācijas</w:t>
      </w:r>
      <w:r w:rsidR="00AA67C7" w:rsidRPr="0061219A">
        <w:t xml:space="preserve"> sūdzību par Administratīvās apgabaltiesas 202</w:t>
      </w:r>
      <w:r w:rsidR="00AA67C7">
        <w:t>2</w:t>
      </w:r>
      <w:r w:rsidR="00AA67C7" w:rsidRPr="0061219A">
        <w:t xml:space="preserve">.gada </w:t>
      </w:r>
      <w:r w:rsidR="00AA67C7">
        <w:t>2</w:t>
      </w:r>
      <w:r w:rsidR="00AA67C7" w:rsidRPr="0061219A">
        <w:t>9</w:t>
      </w:r>
      <w:r w:rsidR="00AA67C7">
        <w:t>.jūnij</w:t>
      </w:r>
      <w:r w:rsidR="00AA67C7" w:rsidRPr="0061219A">
        <w:t xml:space="preserve">a </w:t>
      </w:r>
      <w:r w:rsidRPr="00894CA2">
        <w:t>spriedumu.</w:t>
      </w:r>
    </w:p>
    <w:p w14:paraId="2BFFA695" w14:textId="77777777" w:rsidR="00C55B45" w:rsidRPr="00894CA2" w:rsidRDefault="00C55B45" w:rsidP="006771C6">
      <w:pPr>
        <w:spacing w:line="276" w:lineRule="auto"/>
        <w:ind w:firstLine="720"/>
        <w:jc w:val="both"/>
      </w:pPr>
    </w:p>
    <w:p w14:paraId="09A662CC" w14:textId="77777777" w:rsidR="00C55B45" w:rsidRPr="00894CA2" w:rsidRDefault="00C55B45" w:rsidP="006771C6">
      <w:pPr>
        <w:spacing w:line="276" w:lineRule="auto"/>
        <w:jc w:val="center"/>
        <w:rPr>
          <w:b/>
        </w:rPr>
      </w:pPr>
      <w:r w:rsidRPr="00894CA2">
        <w:rPr>
          <w:b/>
        </w:rPr>
        <w:t>Aprakstošā daļa</w:t>
      </w:r>
    </w:p>
    <w:p w14:paraId="4F28D638" w14:textId="77777777" w:rsidR="00C55B45" w:rsidRPr="00894CA2" w:rsidRDefault="00C55B45" w:rsidP="006771C6">
      <w:pPr>
        <w:spacing w:line="276" w:lineRule="auto"/>
        <w:ind w:firstLine="720"/>
        <w:jc w:val="both"/>
      </w:pPr>
    </w:p>
    <w:p w14:paraId="5D686571" w14:textId="0F3CFA7D" w:rsidR="00AA67C7" w:rsidRPr="00CB22C7" w:rsidRDefault="00C55B45" w:rsidP="006771C6">
      <w:pPr>
        <w:spacing w:line="276" w:lineRule="auto"/>
        <w:ind w:firstLine="720"/>
        <w:jc w:val="both"/>
      </w:pPr>
      <w:r w:rsidRPr="00894CA2">
        <w:t>[1]</w:t>
      </w:r>
      <w:r w:rsidR="00BB5741">
        <w:t> </w:t>
      </w:r>
      <w:r w:rsidR="00AA67C7">
        <w:t>Tiesu ekspertu padome ar 2020.gada 20.oktobra lēmumu Nr. 2</w:t>
      </w:r>
      <w:r w:rsidR="00AA67C7">
        <w:noBreakHyphen/>
        <w:t xml:space="preserve">35/6 izbeidza Valsts policijas Kriminālistikas pārvaldes tiesu ekspertes pieteicējas </w:t>
      </w:r>
      <w:r w:rsidR="006771C6">
        <w:t xml:space="preserve">[pers. A] </w:t>
      </w:r>
      <w:r w:rsidR="00AA67C7">
        <w:t>sertifikāta darbību.</w:t>
      </w:r>
    </w:p>
    <w:p w14:paraId="09088595" w14:textId="77777777" w:rsidR="00AA67C7" w:rsidRPr="00CB22C7" w:rsidRDefault="00AA67C7" w:rsidP="006771C6">
      <w:pPr>
        <w:spacing w:line="276" w:lineRule="auto"/>
        <w:ind w:firstLine="720"/>
        <w:jc w:val="both"/>
      </w:pPr>
      <w:r>
        <w:t>Šo lēmumu Tieslietu ministrija ar 2020.gada 11.decembra lēmumu Nr. 1</w:t>
      </w:r>
      <w:r>
        <w:noBreakHyphen/>
        <w:t xml:space="preserve">4.1/143 atstāja negrozītu. Lēmumā norādīts, ka tiesu ekspertei tiek izbeigta sertifikāta darbība, pamatojoties uz Tiesu ekspertu likuma 24.panta ceturtās daļas 1.punktu, jo viņa neatbilst 6.panta trešās daļas 5.punktā izvirzītajam nosacījumam. Proti, iestāde ir konstatējusi, ka 2004.gada 8.jūlijā pieteicēja bija saukta pie kriminālatbildības par tīšu noziedzīgu nodarījumu, bet 2004.gada 19.jūlijā Liepājas pilsētas prokuratūrā pieņemts lēmums par krimināllietas izbeigšanu, nosacīti atbrīvojot pieteicēju no kriminālatbildības, nosakot </w:t>
      </w:r>
      <w:r>
        <w:lastRenderedPageBreak/>
        <w:t>pieteicējai pārbaudes laiku uz sešiem mēnešiem. Tas nozīmē, ka pieteicēja ir tikusi saukta pie kriminālatbildības, bet pret viņu kriminālprocess ir izbeigts uz nereabilitējoša pamata. Šāda persona nevar būt tiesu eksperts, tāpēc tas ir pamats tiesu eksperta sertifikāta darbības izbeigšanai.</w:t>
      </w:r>
    </w:p>
    <w:p w14:paraId="43DF0909" w14:textId="26F95D54" w:rsidR="00C55B45" w:rsidRPr="00894CA2" w:rsidRDefault="00C55B45" w:rsidP="006771C6">
      <w:pPr>
        <w:spacing w:line="276" w:lineRule="auto"/>
        <w:ind w:firstLine="720"/>
        <w:jc w:val="both"/>
      </w:pPr>
    </w:p>
    <w:p w14:paraId="5E6A6F91" w14:textId="60701086" w:rsidR="00C55B45" w:rsidRPr="00894CA2" w:rsidRDefault="00C55B45" w:rsidP="006771C6">
      <w:pPr>
        <w:spacing w:line="276" w:lineRule="auto"/>
        <w:ind w:firstLine="720"/>
        <w:jc w:val="both"/>
      </w:pPr>
      <w:r w:rsidRPr="00894CA2">
        <w:t>[2]</w:t>
      </w:r>
      <w:r w:rsidR="00A5481B">
        <w:t> </w:t>
      </w:r>
      <w:r w:rsidR="00AA67C7" w:rsidRPr="00CB22C7">
        <w:t>Pieteicēj</w:t>
      </w:r>
      <w:r w:rsidR="00AA67C7">
        <w:t>a vērsās tiesā</w:t>
      </w:r>
      <w:r w:rsidR="00AA67C7" w:rsidRPr="00CB22C7">
        <w:t xml:space="preserve"> </w:t>
      </w:r>
      <w:r w:rsidR="00AA67C7">
        <w:t>ar pieteikumu par labvēlīga administratīvā akta izdošanu, ar kuru pieteicēja tiktu resertificēta, kā arī par nemantiskā kaitējuma atlīdzināšanu</w:t>
      </w:r>
      <w:r w:rsidRPr="00894CA2">
        <w:t>.</w:t>
      </w:r>
    </w:p>
    <w:p w14:paraId="3446EA97" w14:textId="7FBFC4D5" w:rsidR="00C55B45" w:rsidRDefault="00622265" w:rsidP="006771C6">
      <w:pPr>
        <w:spacing w:line="276" w:lineRule="auto"/>
        <w:ind w:firstLine="720"/>
        <w:jc w:val="both"/>
      </w:pPr>
      <w:r w:rsidRPr="00622265">
        <w:t>Administratīvā rajona tiesa pieteikumu noraidīja.</w:t>
      </w:r>
    </w:p>
    <w:p w14:paraId="3568867F" w14:textId="77777777" w:rsidR="00622265" w:rsidRPr="00894CA2" w:rsidRDefault="00622265" w:rsidP="006771C6">
      <w:pPr>
        <w:spacing w:line="276" w:lineRule="auto"/>
        <w:ind w:firstLine="720"/>
        <w:jc w:val="both"/>
      </w:pPr>
    </w:p>
    <w:p w14:paraId="533CF7D6" w14:textId="177A6781" w:rsidR="00C96B38" w:rsidRDefault="00C55B45" w:rsidP="006771C6">
      <w:pPr>
        <w:spacing w:line="276" w:lineRule="auto"/>
        <w:ind w:firstLine="720"/>
        <w:jc w:val="both"/>
      </w:pPr>
      <w:r w:rsidRPr="00894CA2">
        <w:t>[3]</w:t>
      </w:r>
      <w:r w:rsidR="00A5481B">
        <w:t> </w:t>
      </w:r>
      <w:r w:rsidR="00D03B52">
        <w:t xml:space="preserve">Administratīvā </w:t>
      </w:r>
      <w:r w:rsidR="00C96B38">
        <w:t>apgabal</w:t>
      </w:r>
      <w:r w:rsidR="00D03B52">
        <w:t>tiesa</w:t>
      </w:r>
      <w:r w:rsidR="00C96B38">
        <w:t xml:space="preserve"> ar </w:t>
      </w:r>
      <w:r w:rsidR="00622265" w:rsidRPr="00622265">
        <w:t>2022.gada 29.jūnija</w:t>
      </w:r>
      <w:r w:rsidR="00622265">
        <w:t xml:space="preserve"> </w:t>
      </w:r>
      <w:r w:rsidR="00C96B38">
        <w:t>spriedumu</w:t>
      </w:r>
      <w:r w:rsidR="00D03B52">
        <w:t xml:space="preserve"> pieteikumu apmierināja</w:t>
      </w:r>
      <w:r w:rsidR="00622265">
        <w:t xml:space="preserve"> un </w:t>
      </w:r>
      <w:r w:rsidR="00622265" w:rsidRPr="00622265">
        <w:t>uzlika pienākumu Tiesu ekspertu padomei pieņemt lēmumu par pieteicējas resertifikāciju tiesu eksperta specialitātē 15.04. „Narkotisko un psihotropo vielu izpēte” un 15.10. „Spirta un alkohola izpēte”, kā arī uzlika pienākumu Tieslietu ministrijai atvainoties pieteicējai</w:t>
      </w:r>
      <w:r w:rsidR="00D03B52">
        <w:t>.</w:t>
      </w:r>
      <w:r w:rsidR="00943675">
        <w:t xml:space="preserve"> </w:t>
      </w:r>
      <w:r w:rsidR="00C96B38" w:rsidRPr="00C90CD1">
        <w:rPr>
          <w:rFonts w:ascii="TimesNewRomanPSMT" w:eastAsiaTheme="minorHAnsi" w:hAnsi="TimesNewRomanPSMT" w:cs="TimesNewRomanPSMT"/>
          <w:lang w:eastAsia="en-US"/>
          <w14:ligatures w14:val="standardContextual"/>
        </w:rPr>
        <w:t>Apgabaltiesa pamatoja spriedumu ar turpmāk minētajiem argumentiem</w:t>
      </w:r>
      <w:r w:rsidR="00622265">
        <w:rPr>
          <w:rFonts w:ascii="TimesNewRomanPSMT" w:eastAsiaTheme="minorHAnsi" w:hAnsi="TimesNewRomanPSMT" w:cs="TimesNewRomanPSMT"/>
          <w:lang w:eastAsia="en-US"/>
          <w14:ligatures w14:val="standardContextual"/>
        </w:rPr>
        <w:t>.</w:t>
      </w:r>
    </w:p>
    <w:p w14:paraId="2B37F287" w14:textId="7AECF888" w:rsidR="003253F5" w:rsidRDefault="00C96B38" w:rsidP="006771C6">
      <w:pPr>
        <w:spacing w:line="276" w:lineRule="auto"/>
        <w:ind w:firstLine="720"/>
        <w:jc w:val="both"/>
        <w:rPr>
          <w:rFonts w:ascii="TimesNewRomanPSMT" w:eastAsiaTheme="minorHAnsi" w:hAnsi="TimesNewRomanPSMT" w:cs="TimesNewRomanPSMT"/>
          <w:lang w:eastAsia="en-US"/>
          <w14:ligatures w14:val="standardContextual"/>
        </w:rPr>
      </w:pPr>
      <w:r>
        <w:t>[3.1] </w:t>
      </w:r>
      <w:r w:rsidR="00622265">
        <w:t xml:space="preserve">Izvērtējot Tiesu ekspertu likuma 6.panta trešo daļu un 24.panta ceturtās daļas 1.punktu, secināms, ka </w:t>
      </w:r>
      <w:r w:rsidR="00622265" w:rsidRPr="00622265">
        <w:t>par kandidātu nevar būt persona, kura apsūdzēta, sodīta, notiesāta par tīša noziedzīga nodarījuma izdarīšanu. Līdz ar to Tiesu ekspertu likuma 6.panta trešās daļas 5.punktā paredzētais kriminālprocess, kas izbeigts uz nereabilitējoša pamata, ir attiecināms uz Krimināllikumā noteiktiem noziedzīgiem nodarījumiem, kuri ir izdarīti tīši. Pretējā gadījumā personas, pret kurām kriminālprocess ir izbeigts uz nereabilitējoša pamata, tiktu nostādītas nevienlīdzīgā situācijā ar personām, kuras ir apsūdzētas, sodītas, notiesātas par netīša noziedzīga nodarījuma izdarīšanu.</w:t>
      </w:r>
    </w:p>
    <w:p w14:paraId="5B85A8A8" w14:textId="72721EE1" w:rsidR="008C44AE" w:rsidRDefault="00C96B38" w:rsidP="006771C6">
      <w:pPr>
        <w:spacing w:line="276" w:lineRule="auto"/>
        <w:ind w:firstLine="720"/>
        <w:jc w:val="both"/>
      </w:pPr>
      <w:r>
        <w:t>[3.2] </w:t>
      </w:r>
      <w:r w:rsidR="00B045A9">
        <w:t>P</w:t>
      </w:r>
      <w:r w:rsidR="00B045A9" w:rsidRPr="00B045A9">
        <w:t>ret pieteicēju bija ierosināta krimināllieta par tīšu noziedzīgu nodarījumu</w:t>
      </w:r>
      <w:r w:rsidR="00B045A9">
        <w:t>, pieteicēja ti</w:t>
      </w:r>
      <w:r w:rsidR="00B045A9" w:rsidRPr="00B045A9">
        <w:t>ka saukta pie kriminālatbildības pēc Krimināllikuma 185.panta pirmās daļas un krimināllieta tika izbeigta uz nereabilitējoša pamata. Tādējādi pieteicējas situācija formāli atbilst Tiesu ekspertu likuma 6.panta trešās daļas 5.punkta nosacījumiem.</w:t>
      </w:r>
    </w:p>
    <w:p w14:paraId="2538737D" w14:textId="1A949F26" w:rsidR="00FA63DB" w:rsidRPr="00894CA2" w:rsidRDefault="00FA63DB" w:rsidP="006771C6">
      <w:pPr>
        <w:spacing w:line="276" w:lineRule="auto"/>
        <w:ind w:firstLine="720"/>
        <w:jc w:val="both"/>
      </w:pPr>
      <w:r>
        <w:t>A</w:t>
      </w:r>
      <w:r w:rsidRPr="00FA63DB">
        <w:t>tbilstoši Tiesu ekspertu likuma 8.panta piektajai daļai un 10.pantam resertifikācija apliecina tiesu eksperta kvalifikāciju, tomēr nevar uzskatīt, ka ar katru sertifikāciju eksperts izbeidz iepriekš uzsāktās dienesta attiecības un tiek iecelts amatā atkārtoti. Tāpēc tiesu eksperta amatā iecelta persona var tikt pielīdzināta Iekšlietu ministrijas sistēmas iestāžu amatpersonām, attiecībā uz kurām Senāts 2011.gada 24.novembra spriedumā lietā Nr.</w:t>
      </w:r>
      <w:r>
        <w:t> SKA</w:t>
      </w:r>
      <w:r>
        <w:noBreakHyphen/>
        <w:t>708/2011</w:t>
      </w:r>
      <w:r w:rsidRPr="00FA63DB">
        <w:t xml:space="preserve"> ir atzinis, ka pārejas noteikumu trūkums likumā nozīmē, ka netiek revidētas jau pastāvošas dienesta attiecības. Tāpēc uz pieteicēju nevar attiecināt Tiesu ekspertu likuma 6.panta trešās daļas 5.punktā noteikto ierobežojumu.</w:t>
      </w:r>
    </w:p>
    <w:p w14:paraId="2D1DAF87" w14:textId="77777777" w:rsidR="00B800DC" w:rsidRDefault="00B800DC" w:rsidP="006771C6">
      <w:pPr>
        <w:spacing w:line="276" w:lineRule="auto"/>
        <w:ind w:firstLine="720"/>
        <w:jc w:val="both"/>
      </w:pPr>
    </w:p>
    <w:p w14:paraId="7A32AD4C" w14:textId="08CDED02" w:rsidR="00210618" w:rsidRDefault="00C55B45" w:rsidP="006771C6">
      <w:pPr>
        <w:spacing w:line="276" w:lineRule="auto"/>
        <w:ind w:firstLine="720"/>
        <w:jc w:val="both"/>
      </w:pPr>
      <w:r w:rsidRPr="00894CA2">
        <w:t>[4]</w:t>
      </w:r>
      <w:r w:rsidR="009609F6">
        <w:t> </w:t>
      </w:r>
      <w:r w:rsidR="00FA63DB">
        <w:t>Tieslietu ministrija</w:t>
      </w:r>
      <w:r w:rsidRPr="00894CA2">
        <w:t xml:space="preserve"> </w:t>
      </w:r>
      <w:r w:rsidR="00C96B38">
        <w:t xml:space="preserve">par apgabaltiesas spriedumu </w:t>
      </w:r>
      <w:r w:rsidRPr="00894CA2">
        <w:t>iesnied</w:t>
      </w:r>
      <w:r w:rsidR="00C96B38">
        <w:t>za</w:t>
      </w:r>
      <w:r w:rsidRPr="00894CA2">
        <w:t xml:space="preserve"> kasācijas sūdzību, </w:t>
      </w:r>
      <w:r w:rsidR="00C96B38">
        <w:t>kurā norādīt</w:t>
      </w:r>
      <w:r w:rsidR="0092561B">
        <w:t>s, ka t</w:t>
      </w:r>
      <w:r w:rsidR="0087444F" w:rsidRPr="0087444F">
        <w:t>iesa ir nepareizi interpretējusi Tiesu ekspertu likuma 6.panta trešās daļas 5.punktu</w:t>
      </w:r>
      <w:r w:rsidR="0087444F">
        <w:t>.</w:t>
      </w:r>
    </w:p>
    <w:p w14:paraId="755C7CC7" w14:textId="5E0D97F4" w:rsidR="0062346C" w:rsidRDefault="0087444F" w:rsidP="006771C6">
      <w:pPr>
        <w:spacing w:line="276" w:lineRule="auto"/>
        <w:ind w:firstLine="720"/>
        <w:jc w:val="both"/>
      </w:pPr>
      <w:r w:rsidRPr="0087444F">
        <w:t xml:space="preserve">Tiesu eksperti ik pēc pieciem gadiem tiek resertificēti, atkārtoti piešķirot tiesu eksperta tiesības (iegūstot jaunu sertifikātu), un tiesu ekspertiem ir jāatbilst ne tikai profesionālajām prasībām, bet persona var būt tiesu eksperts tikai tad, ja uz viņu neattiecas Tiesu ekspertu likuma 6.panta trešajā daļā noteiktie ierobežojumi. Uz pieteicēju attiecas </w:t>
      </w:r>
      <w:r w:rsidRPr="0087444F">
        <w:lastRenderedPageBreak/>
        <w:t>Tiesu ekspertu likuma 6.panta trešās daļas 5.punktā noteiktais ierobežojums</w:t>
      </w:r>
      <w:r>
        <w:t>, līdz ar to</w:t>
      </w:r>
      <w:r w:rsidRPr="0087444F">
        <w:t xml:space="preserve"> pieteicēja nevar strādāt tiesu eksperta amatā.</w:t>
      </w:r>
    </w:p>
    <w:p w14:paraId="7004F60A" w14:textId="77777777" w:rsidR="00C55B45" w:rsidRPr="00894CA2" w:rsidRDefault="00C55B45" w:rsidP="006771C6">
      <w:pPr>
        <w:spacing w:line="276" w:lineRule="auto"/>
        <w:ind w:firstLine="720"/>
        <w:jc w:val="both"/>
      </w:pPr>
    </w:p>
    <w:p w14:paraId="07B735FC" w14:textId="5CA7B08B" w:rsidR="00E4037E" w:rsidRDefault="00C55B45" w:rsidP="006771C6">
      <w:pPr>
        <w:spacing w:line="276" w:lineRule="auto"/>
        <w:ind w:firstLine="720"/>
        <w:jc w:val="both"/>
      </w:pPr>
      <w:r w:rsidRPr="00894CA2">
        <w:t>[5</w:t>
      </w:r>
      <w:r w:rsidRPr="001B53E7">
        <w:t>]</w:t>
      </w:r>
      <w:r w:rsidR="009609F6">
        <w:t> </w:t>
      </w:r>
      <w:r w:rsidR="00B02D66" w:rsidRPr="001B53E7">
        <w:t>Pieteicēj</w:t>
      </w:r>
      <w:r w:rsidR="0092561B">
        <w:t>a</w:t>
      </w:r>
      <w:r w:rsidR="00B02D66" w:rsidRPr="001B53E7">
        <w:t xml:space="preserve"> </w:t>
      </w:r>
      <w:r w:rsidR="0062346C" w:rsidRPr="00322267">
        <w:t>paskaidrojumā par kasācijas sūdzību norāda, ka tā nav pamatota</w:t>
      </w:r>
      <w:r w:rsidR="001E2232" w:rsidRPr="001B53E7">
        <w:t>.</w:t>
      </w:r>
    </w:p>
    <w:p w14:paraId="31B54881" w14:textId="77777777" w:rsidR="00C96B38" w:rsidRDefault="00C96B38" w:rsidP="006771C6">
      <w:pPr>
        <w:spacing w:line="276" w:lineRule="auto"/>
        <w:ind w:firstLine="720"/>
        <w:jc w:val="both"/>
      </w:pPr>
    </w:p>
    <w:p w14:paraId="03807E9B" w14:textId="1757025D" w:rsidR="00AB2444" w:rsidRPr="00654F6F" w:rsidRDefault="004649A2" w:rsidP="006771C6">
      <w:pPr>
        <w:spacing w:line="276" w:lineRule="auto"/>
        <w:ind w:firstLine="720"/>
        <w:jc w:val="both"/>
        <w:rPr>
          <w:color w:val="000000"/>
        </w:rPr>
      </w:pPr>
      <w:r>
        <w:t>[6] </w:t>
      </w:r>
      <w:r w:rsidR="00AB2444">
        <w:t xml:space="preserve">Senāts uzskatīja, ka </w:t>
      </w:r>
      <w:r w:rsidR="00FA63DB" w:rsidRPr="00FA63DB">
        <w:t>Tiesu ekspertu likuma 6.panta trešās daļas 5.punkta, ciktāl tas nosaka aizliegumu personai, kura saukta pie kriminālatbildības, bet pret kuru kriminālprocess izbeigts uz nereabilitējoša pamata, strādāt par tiesu ekspertu</w:t>
      </w:r>
      <w:r w:rsidR="00AB2444">
        <w:t xml:space="preserve">, neatbilst Latvijas Republikas Satversmes (turpmāk – Satversme) 101. un 106.pantam. Tādējādi Senāts 2023.gada </w:t>
      </w:r>
      <w:r w:rsidR="00FA63DB">
        <w:t>12</w:t>
      </w:r>
      <w:r w:rsidR="00AB2444">
        <w:t>.</w:t>
      </w:r>
      <w:r w:rsidR="00FA63DB">
        <w:t>decembrī</w:t>
      </w:r>
      <w:r w:rsidR="00AB2444">
        <w:t xml:space="preserve"> </w:t>
      </w:r>
      <w:r w:rsidR="00AB2444" w:rsidRPr="00654F6F">
        <w:t>iesniedza pieteikumu Satversmes tiesā.</w:t>
      </w:r>
    </w:p>
    <w:p w14:paraId="35F5BA7B" w14:textId="37621C24" w:rsidR="00C96B38" w:rsidRDefault="00B31DA3" w:rsidP="006771C6">
      <w:pPr>
        <w:spacing w:line="276" w:lineRule="auto"/>
        <w:ind w:firstLine="720"/>
        <w:jc w:val="both"/>
      </w:pPr>
      <w:r>
        <w:t>Satversmes tiesa izskatīja minēto pieteikumu un pieņēma 2</w:t>
      </w:r>
      <w:r w:rsidR="00AB2444">
        <w:t xml:space="preserve">024.gada </w:t>
      </w:r>
      <w:r w:rsidR="00FA63DB">
        <w:t>17</w:t>
      </w:r>
      <w:r w:rsidR="00AB2444">
        <w:t>.</w:t>
      </w:r>
      <w:r w:rsidR="00FA63DB">
        <w:t>decem</w:t>
      </w:r>
      <w:r w:rsidR="00AB2444">
        <w:t>bra spriedumu lietā Nr. </w:t>
      </w:r>
      <w:hyperlink r:id="rId8" w:anchor="search=" w:history="1">
        <w:r w:rsidR="00AB2444" w:rsidRPr="006463A5">
          <w:rPr>
            <w:rStyle w:val="Hyperlink"/>
          </w:rPr>
          <w:t>2023-4</w:t>
        </w:r>
        <w:r w:rsidR="00FA63DB">
          <w:rPr>
            <w:rStyle w:val="Hyperlink"/>
          </w:rPr>
          <w:t>7</w:t>
        </w:r>
        <w:r w:rsidR="00AB2444" w:rsidRPr="006463A5">
          <w:rPr>
            <w:rStyle w:val="Hyperlink"/>
          </w:rPr>
          <w:t>-01</w:t>
        </w:r>
      </w:hyperlink>
      <w:r w:rsidR="0087444F" w:rsidRPr="00654F6F">
        <w:t>.</w:t>
      </w:r>
    </w:p>
    <w:p w14:paraId="07D71E66" w14:textId="77777777" w:rsidR="0024257D" w:rsidRDefault="0024257D" w:rsidP="006771C6">
      <w:pPr>
        <w:spacing w:line="276" w:lineRule="auto"/>
        <w:jc w:val="center"/>
        <w:rPr>
          <w:b/>
          <w:bCs/>
        </w:rPr>
      </w:pPr>
    </w:p>
    <w:p w14:paraId="1F6CC257" w14:textId="55786C14" w:rsidR="00251D1F" w:rsidRPr="005E280D" w:rsidRDefault="005E280D" w:rsidP="006771C6">
      <w:pPr>
        <w:keepNext/>
        <w:spacing w:line="276" w:lineRule="auto"/>
        <w:jc w:val="center"/>
        <w:rPr>
          <w:b/>
          <w:bCs/>
        </w:rPr>
      </w:pPr>
      <w:r w:rsidRPr="005E280D">
        <w:rPr>
          <w:b/>
          <w:bCs/>
        </w:rPr>
        <w:t>Motīvu daļa</w:t>
      </w:r>
    </w:p>
    <w:p w14:paraId="7BDF293F" w14:textId="77777777" w:rsidR="00251D1F" w:rsidRDefault="00251D1F" w:rsidP="006771C6">
      <w:pPr>
        <w:keepNext/>
        <w:spacing w:line="276" w:lineRule="auto"/>
        <w:ind w:firstLine="720"/>
        <w:contextualSpacing/>
        <w:jc w:val="both"/>
      </w:pPr>
    </w:p>
    <w:p w14:paraId="5EC0C60C" w14:textId="30BDAA34" w:rsidR="00C638A6" w:rsidRPr="002B43FC" w:rsidRDefault="00251D1F" w:rsidP="006771C6">
      <w:pPr>
        <w:spacing w:line="276" w:lineRule="auto"/>
        <w:ind w:firstLine="720"/>
        <w:contextualSpacing/>
        <w:jc w:val="both"/>
        <w:rPr>
          <w:rFonts w:ascii="TimesNewRomanPSMT" w:eastAsiaTheme="minorHAnsi" w:hAnsi="TimesNewRomanPSMT" w:cs="TimesNewRomanPSMT"/>
          <w:lang w:eastAsia="en-US"/>
          <w14:ligatures w14:val="standardContextual"/>
        </w:rPr>
      </w:pPr>
      <w:r>
        <w:t>[</w:t>
      </w:r>
      <w:r w:rsidR="0062346C">
        <w:t>7</w:t>
      </w:r>
      <w:r>
        <w:t>]</w:t>
      </w:r>
      <w:r w:rsidR="009609F6">
        <w:t> </w:t>
      </w:r>
      <w:r w:rsidR="002B43FC" w:rsidRPr="002B43FC">
        <w:rPr>
          <w:rFonts w:asciiTheme="majorBidi" w:hAnsiTheme="majorBidi" w:cstheme="majorBidi"/>
        </w:rPr>
        <w:t>Tiesu ekspertu likuma 6.panta trešās daļas 5.punkts</w:t>
      </w:r>
      <w:r w:rsidR="000A4084">
        <w:rPr>
          <w:rFonts w:asciiTheme="majorBidi" w:hAnsiTheme="majorBidi" w:cstheme="majorBidi"/>
        </w:rPr>
        <w:t xml:space="preserve"> </w:t>
      </w:r>
      <w:r w:rsidR="000A4084" w:rsidRPr="000A4084">
        <w:t>redakcijā, kas bija spēkā līdz 2024.gada 1.martam</w:t>
      </w:r>
      <w:r w:rsidR="000A4084">
        <w:t>,</w:t>
      </w:r>
      <w:r w:rsidR="002B43FC" w:rsidRPr="002B43FC">
        <w:rPr>
          <w:rFonts w:asciiTheme="majorBidi" w:hAnsiTheme="majorBidi" w:cstheme="majorBidi"/>
        </w:rPr>
        <w:t xml:space="preserve"> </w:t>
      </w:r>
      <w:r w:rsidR="00C638A6" w:rsidRPr="002B43FC">
        <w:rPr>
          <w:rFonts w:asciiTheme="majorBidi" w:hAnsiTheme="majorBidi" w:cstheme="majorBidi"/>
        </w:rPr>
        <w:t>noteic</w:t>
      </w:r>
      <w:r w:rsidR="000A4084">
        <w:rPr>
          <w:rFonts w:asciiTheme="majorBidi" w:hAnsiTheme="majorBidi" w:cstheme="majorBidi"/>
        </w:rPr>
        <w:t>a</w:t>
      </w:r>
      <w:r w:rsidR="00C638A6" w:rsidRPr="002B43FC">
        <w:rPr>
          <w:rFonts w:asciiTheme="majorBidi" w:hAnsiTheme="majorBidi" w:cstheme="majorBidi"/>
        </w:rPr>
        <w:t>, ka p</w:t>
      </w:r>
      <w:r w:rsidR="00C638A6" w:rsidRPr="002B43FC">
        <w:rPr>
          <w:rFonts w:asciiTheme="majorBidi" w:eastAsiaTheme="minorHAnsi" w:hAnsiTheme="majorBidi" w:cstheme="majorBidi"/>
          <w:lang w:eastAsia="en-US"/>
          <w14:ligatures w14:val="standardContextual"/>
        </w:rPr>
        <w:t xml:space="preserve">ar </w:t>
      </w:r>
      <w:r w:rsidR="002B43FC" w:rsidRPr="002B43FC">
        <w:rPr>
          <w:rFonts w:asciiTheme="majorBidi" w:eastAsiaTheme="minorHAnsi" w:hAnsiTheme="majorBidi" w:cstheme="majorBidi"/>
          <w:lang w:eastAsia="en-US"/>
          <w14:ligatures w14:val="standardContextual"/>
        </w:rPr>
        <w:t>tiesu eksperta kandidātu nevar būt persona</w:t>
      </w:r>
      <w:r w:rsidR="00C638A6" w:rsidRPr="002B43FC">
        <w:rPr>
          <w:rFonts w:asciiTheme="majorBidi" w:eastAsiaTheme="minorHAnsi" w:hAnsiTheme="majorBidi" w:cstheme="majorBidi"/>
          <w:lang w:eastAsia="en-US"/>
          <w14:ligatures w14:val="standardContextual"/>
        </w:rPr>
        <w:t xml:space="preserve">, </w:t>
      </w:r>
      <w:r w:rsidR="000A4084" w:rsidRPr="000A4084">
        <w:rPr>
          <w:rFonts w:asciiTheme="majorBidi" w:eastAsiaTheme="minorHAnsi" w:hAnsiTheme="majorBidi" w:cstheme="majorBidi"/>
          <w:lang w:eastAsia="en-US"/>
          <w14:ligatures w14:val="standardContextual"/>
        </w:rPr>
        <w:t>kura saukta pie kriminālatbildības, bet pret kuru kriminālprocess izbeigts uz nereabilitējoša pamata</w:t>
      </w:r>
      <w:r w:rsidR="000A4084">
        <w:rPr>
          <w:rFonts w:asciiTheme="majorBidi" w:eastAsiaTheme="minorHAnsi" w:hAnsiTheme="majorBidi" w:cstheme="majorBidi"/>
          <w:lang w:eastAsia="en-US"/>
          <w14:ligatures w14:val="standardContextual"/>
        </w:rPr>
        <w:t xml:space="preserve">. Savukārt </w:t>
      </w:r>
      <w:r w:rsidR="000A4084" w:rsidRPr="002B43FC">
        <w:rPr>
          <w:rFonts w:asciiTheme="majorBidi" w:hAnsiTheme="majorBidi" w:cstheme="majorBidi"/>
        </w:rPr>
        <w:t>Tiesu ekspertu likuma 6.panta trešās daļas 5.punkts</w:t>
      </w:r>
      <w:r w:rsidR="000A4084">
        <w:rPr>
          <w:rFonts w:asciiTheme="majorBidi" w:hAnsiTheme="majorBidi" w:cstheme="majorBidi"/>
        </w:rPr>
        <w:t xml:space="preserve"> </w:t>
      </w:r>
      <w:r w:rsidR="000A4084" w:rsidRPr="000A4084">
        <w:t>redakcijā</w:t>
      </w:r>
      <w:r w:rsidR="000A4084">
        <w:rPr>
          <w:rFonts w:asciiTheme="majorBidi" w:eastAsiaTheme="minorHAnsi" w:hAnsiTheme="majorBidi" w:cstheme="majorBidi"/>
          <w:lang w:eastAsia="en-US"/>
          <w14:ligatures w14:val="standardContextual"/>
        </w:rPr>
        <w:t xml:space="preserve">, kas ir spēkā </w:t>
      </w:r>
      <w:r w:rsidR="000A4084" w:rsidRPr="000A4084">
        <w:t>no 2024.gada 2.marta</w:t>
      </w:r>
      <w:r w:rsidR="000A4084">
        <w:t xml:space="preserve">, noteic, </w:t>
      </w:r>
      <w:r w:rsidR="000A4084" w:rsidRPr="002B43FC">
        <w:rPr>
          <w:rFonts w:asciiTheme="majorBidi" w:hAnsiTheme="majorBidi" w:cstheme="majorBidi"/>
        </w:rPr>
        <w:t>ka p</w:t>
      </w:r>
      <w:r w:rsidR="000A4084" w:rsidRPr="002B43FC">
        <w:rPr>
          <w:rFonts w:asciiTheme="majorBidi" w:eastAsiaTheme="minorHAnsi" w:hAnsiTheme="majorBidi" w:cstheme="majorBidi"/>
          <w:lang w:eastAsia="en-US"/>
          <w14:ligatures w14:val="standardContextual"/>
        </w:rPr>
        <w:t xml:space="preserve">ar tiesu eksperta kandidātu nevar būt persona, </w:t>
      </w:r>
      <w:r w:rsidR="000A4084" w:rsidRPr="000A4084">
        <w:rPr>
          <w:rFonts w:asciiTheme="majorBidi" w:eastAsiaTheme="minorHAnsi" w:hAnsiTheme="majorBidi" w:cstheme="majorBidi"/>
          <w:lang w:eastAsia="en-US"/>
          <w14:ligatures w14:val="standardContextual"/>
        </w:rPr>
        <w:t>kura saukta pie kriminālatbildības,</w:t>
      </w:r>
      <w:r w:rsidR="000A4084">
        <w:rPr>
          <w:rFonts w:asciiTheme="majorBidi" w:eastAsiaTheme="minorHAnsi" w:hAnsiTheme="majorBidi" w:cstheme="majorBidi"/>
          <w:lang w:eastAsia="en-US"/>
          <w14:ligatures w14:val="standardContextual"/>
        </w:rPr>
        <w:t xml:space="preserve"> </w:t>
      </w:r>
      <w:r w:rsidR="002B43FC" w:rsidRPr="002B43FC">
        <w:rPr>
          <w:rFonts w:asciiTheme="majorBidi" w:eastAsiaTheme="minorHAnsi" w:hAnsiTheme="majorBidi" w:cstheme="majorBidi"/>
          <w:lang w:eastAsia="en-US"/>
          <w14:ligatures w14:val="standardContextual"/>
        </w:rPr>
        <w:t>bet pret kuru kriminālprocess par tīša noziedzīga nodarījuma izdarīšanu izbeigts uz nereabilitējoša pamata</w:t>
      </w:r>
      <w:r w:rsidR="00C638A6" w:rsidRPr="002B43FC">
        <w:rPr>
          <w:rFonts w:ascii="TimesNewRomanPSMT" w:eastAsiaTheme="minorHAnsi" w:hAnsi="TimesNewRomanPSMT" w:cs="TimesNewRomanPSMT"/>
          <w:lang w:eastAsia="en-US"/>
          <w14:ligatures w14:val="standardContextual"/>
        </w:rPr>
        <w:t>.</w:t>
      </w:r>
    </w:p>
    <w:p w14:paraId="061124B7" w14:textId="2CEC832E" w:rsidR="00B31DA3" w:rsidRDefault="0081227A" w:rsidP="006771C6">
      <w:pPr>
        <w:spacing w:line="276" w:lineRule="auto"/>
        <w:ind w:firstLine="720"/>
        <w:contextualSpacing/>
        <w:jc w:val="both"/>
      </w:pPr>
      <w:r w:rsidRPr="000A4084">
        <w:t>Satversmes tiesa ar 2024.gada 17.decembra spriedumu lietā Nr. </w:t>
      </w:r>
      <w:hyperlink r:id="rId9" w:anchor="search=" w:history="1">
        <w:r w:rsidRPr="000A4084">
          <w:rPr>
            <w:rStyle w:val="Hyperlink"/>
          </w:rPr>
          <w:t>2023-47-01</w:t>
        </w:r>
      </w:hyperlink>
      <w:r w:rsidR="00B31DA3" w:rsidRPr="00B31DA3">
        <w:rPr>
          <w:rStyle w:val="Hyperlink"/>
          <w:color w:val="auto"/>
          <w:u w:val="none"/>
        </w:rPr>
        <w:t xml:space="preserve"> </w:t>
      </w:r>
      <w:r w:rsidR="00C638A6" w:rsidRPr="000A4084">
        <w:t xml:space="preserve">atzina </w:t>
      </w:r>
      <w:r w:rsidR="0092561B" w:rsidRPr="002B43FC">
        <w:rPr>
          <w:rFonts w:asciiTheme="majorBidi" w:hAnsiTheme="majorBidi" w:cstheme="majorBidi"/>
        </w:rPr>
        <w:t>Tiesu ekspertu likuma 6.panta trešās daļas 5.punkt</w:t>
      </w:r>
      <w:r w:rsidR="0092561B">
        <w:rPr>
          <w:rFonts w:asciiTheme="majorBidi" w:hAnsiTheme="majorBidi" w:cstheme="majorBidi"/>
        </w:rPr>
        <w:t>u</w:t>
      </w:r>
      <w:r w:rsidR="00C638A6" w:rsidRPr="000A4084">
        <w:t xml:space="preserve">, </w:t>
      </w:r>
      <w:r w:rsidRPr="000A4084">
        <w:t xml:space="preserve">ciktāl </w:t>
      </w:r>
      <w:r w:rsidR="0092561B">
        <w:t>tas</w:t>
      </w:r>
      <w:r w:rsidRPr="000A4084">
        <w:t xml:space="preserve"> paredzēja ierobežojumu, kas liedza būt par tiesu ekspertu personai, kura saukta pie kriminālatbildības, bet pret kuru kriminālprocess par tīša noziedzīga nodarījuma izdarīšanu izbeigts uz nereabilitējoša pamata,</w:t>
      </w:r>
      <w:r w:rsidR="00B31DA3" w:rsidRPr="00B31DA3">
        <w:t xml:space="preserve"> </w:t>
      </w:r>
      <w:r w:rsidR="00B31DA3" w:rsidRPr="000A4084">
        <w:t>redakcijā, kas bija spēkā līdz 2024.gada 1.martam, par neatbilstošu Satversmes 106.panta pirmajam teikumam</w:t>
      </w:r>
      <w:r w:rsidR="00CB1D63">
        <w:t xml:space="preserve"> un</w:t>
      </w:r>
      <w:r w:rsidR="00B31DA3">
        <w:t xml:space="preserve"> attiecībā uz pieteicēju par spēkā neesošu no viņas pamattiesību aizskāruma rašanās brīža.</w:t>
      </w:r>
    </w:p>
    <w:p w14:paraId="70898A41" w14:textId="40BF8935" w:rsidR="00393700" w:rsidRDefault="00B31DA3" w:rsidP="006771C6">
      <w:pPr>
        <w:spacing w:line="276" w:lineRule="auto"/>
        <w:ind w:firstLine="720"/>
        <w:contextualSpacing/>
        <w:jc w:val="both"/>
      </w:pPr>
      <w:r>
        <w:t xml:space="preserve">Savukārt </w:t>
      </w:r>
      <w:r w:rsidRPr="002B43FC">
        <w:rPr>
          <w:rFonts w:asciiTheme="majorBidi" w:hAnsiTheme="majorBidi" w:cstheme="majorBidi"/>
        </w:rPr>
        <w:t>Tiesu ekspertu likuma 6.panta trešās daļas 5.punkt</w:t>
      </w:r>
      <w:r>
        <w:rPr>
          <w:rFonts w:asciiTheme="majorBidi" w:hAnsiTheme="majorBidi" w:cstheme="majorBidi"/>
        </w:rPr>
        <w:t>u</w:t>
      </w:r>
      <w:r w:rsidRPr="000A4084">
        <w:t xml:space="preserve">, redakcijā, kas </w:t>
      </w:r>
      <w:r w:rsidR="00393700">
        <w:t>ir</w:t>
      </w:r>
      <w:r w:rsidRPr="000A4084">
        <w:t xml:space="preserve"> spēkā </w:t>
      </w:r>
      <w:r w:rsidR="00393700">
        <w:t>no</w:t>
      </w:r>
      <w:r w:rsidRPr="000A4084">
        <w:t xml:space="preserve"> 2024.gada </w:t>
      </w:r>
      <w:r w:rsidR="00393700">
        <w:t>2</w:t>
      </w:r>
      <w:r w:rsidRPr="000A4084">
        <w:t>.marta,</w:t>
      </w:r>
      <w:r w:rsidR="00393700" w:rsidRPr="00393700">
        <w:t xml:space="preserve"> </w:t>
      </w:r>
      <w:r w:rsidR="00393700" w:rsidRPr="000A4084">
        <w:t>par neatbilstošu Satversmes 106.panta pirmajam teikumam</w:t>
      </w:r>
      <w:r w:rsidR="00393700">
        <w:t xml:space="preserve"> un spēkā neesošu </w:t>
      </w:r>
      <w:r w:rsidR="00393700" w:rsidRPr="000A4084">
        <w:t>no 2025.gada 1.jūnija</w:t>
      </w:r>
      <w:r w:rsidR="00393700">
        <w:t>, bet attiecībā uz pieteicēju no tā pieņemšanas brīža.</w:t>
      </w:r>
    </w:p>
    <w:p w14:paraId="7C7EA4D3" w14:textId="53FA26AF" w:rsidR="00C638A6" w:rsidRPr="000A4084" w:rsidRDefault="00C638A6" w:rsidP="006771C6">
      <w:pPr>
        <w:spacing w:line="276" w:lineRule="auto"/>
        <w:ind w:firstLine="720"/>
        <w:contextualSpacing/>
        <w:jc w:val="both"/>
      </w:pPr>
      <w:r w:rsidRPr="000A4084">
        <w:t xml:space="preserve">Tātad izskatāmajā lietā </w:t>
      </w:r>
      <w:r w:rsidR="000A4084" w:rsidRPr="000A4084">
        <w:t>Tiesu ekspertu likuma 6.</w:t>
      </w:r>
      <w:r w:rsidR="0092561B">
        <w:t>p</w:t>
      </w:r>
      <w:r w:rsidR="000A4084" w:rsidRPr="000A4084">
        <w:t>anta trešās daļas 5.punkts</w:t>
      </w:r>
      <w:r w:rsidRPr="000A4084">
        <w:t xml:space="preserve"> ir spēkā neesošs no pieteicēja</w:t>
      </w:r>
      <w:r w:rsidR="00CB1D63">
        <w:t>s</w:t>
      </w:r>
      <w:r w:rsidRPr="000A4084">
        <w:t xml:space="preserve"> pamattiesību aizskāruma rašanās brīža, proti, no brīža, kad šo tiesību normu piemēroj</w:t>
      </w:r>
      <w:r w:rsidR="000A4084" w:rsidRPr="000A4084">
        <w:t>usi</w:t>
      </w:r>
      <w:r w:rsidRPr="000A4084">
        <w:t xml:space="preserve"> </w:t>
      </w:r>
      <w:r w:rsidR="00551F39">
        <w:t>Tiesu ekspertu padome</w:t>
      </w:r>
      <w:r w:rsidRPr="000A4084">
        <w:t>.</w:t>
      </w:r>
    </w:p>
    <w:p w14:paraId="0B8178DA" w14:textId="77777777" w:rsidR="00393700" w:rsidRDefault="00393700" w:rsidP="006771C6">
      <w:pPr>
        <w:spacing w:line="276" w:lineRule="auto"/>
        <w:ind w:firstLine="720"/>
        <w:contextualSpacing/>
        <w:jc w:val="both"/>
      </w:pPr>
    </w:p>
    <w:p w14:paraId="349BEA68" w14:textId="6926AB2B" w:rsidR="00C638A6" w:rsidRPr="00551F39" w:rsidRDefault="00C638A6" w:rsidP="006771C6">
      <w:pPr>
        <w:spacing w:line="276" w:lineRule="auto"/>
        <w:ind w:firstLine="720"/>
        <w:contextualSpacing/>
        <w:jc w:val="both"/>
        <w:rPr>
          <w:i/>
          <w:iCs/>
        </w:rPr>
      </w:pPr>
      <w:r w:rsidRPr="00551F39">
        <w:t xml:space="preserve">[8] Satversmes tiesa spriedumā norādīja, ka noziedzīgi nodarījumi atkarībā no personas vai sabiedrības interešu apdraudējuma rakstura un kaitīguma pakāpes ir dažādi. Krimināllikumā noziedzīgi nodarījumi ir iedalīti kriminālpārkāpumos un noziegumos (mazāk smagi, smagi un sevišķi smagi noziegumi). Tie apdraud dažādas ar Krimināllikumu aizsargātas intereses, piemēram, personas dzīvību, veselību, mājokļa neaizskaramību, brīvību, īpašumu, vispārējo drošību un sabiedrisko kārtību, pārvaldes kārtību. Satversmes </w:t>
      </w:r>
      <w:r w:rsidRPr="00551F39">
        <w:lastRenderedPageBreak/>
        <w:t>tiesa arī ir atzinusi, ka kriminālprocesa izbeigšana uz nereabilitējoša pamata attiecas uz atšķirīgiem personas izdarītiem noziedzīgiem nodarījumiem. Pastāv arī tādi personu nereabilitējoši apstākļi, kuri aptver situācijas, kad ar personas nodarījumu saistītais sabiedrības interešu apdraudējums ir salīdzinoši zems un tāda pati ir šā nodarījuma kaitīguma pakāpe (</w:t>
      </w:r>
      <w:r w:rsidRPr="00551F39">
        <w:rPr>
          <w:i/>
          <w:iCs/>
        </w:rPr>
        <w:t>Satversmes tiesas 2022.gada 15.decembra sprieduma lietā Nr. </w:t>
      </w:r>
      <w:hyperlink r:id="rId10" w:anchor="search=" w:history="1">
        <w:r w:rsidRPr="00551F39">
          <w:rPr>
            <w:rStyle w:val="Hyperlink"/>
            <w:i/>
            <w:iCs/>
          </w:rPr>
          <w:t>2021-41-01</w:t>
        </w:r>
      </w:hyperlink>
      <w:r w:rsidRPr="00551F39">
        <w:rPr>
          <w:i/>
          <w:iCs/>
        </w:rPr>
        <w:t xml:space="preserve"> 18.4.1.punkts, </w:t>
      </w:r>
      <w:r w:rsidR="00551F39" w:rsidRPr="00551F39">
        <w:rPr>
          <w:i/>
          <w:iCs/>
        </w:rPr>
        <w:t>2024.gada 17.decembra sprieduma lietā Nr. </w:t>
      </w:r>
      <w:hyperlink r:id="rId11" w:anchor="search=" w:history="1">
        <w:r w:rsidR="00551F39" w:rsidRPr="00551F39">
          <w:rPr>
            <w:rStyle w:val="Hyperlink"/>
            <w:i/>
            <w:iCs/>
          </w:rPr>
          <w:t>2023-47-01</w:t>
        </w:r>
      </w:hyperlink>
      <w:r w:rsidRPr="00551F39">
        <w:rPr>
          <w:i/>
          <w:iCs/>
        </w:rPr>
        <w:t xml:space="preserve"> </w:t>
      </w:r>
      <w:r w:rsidR="00551F39" w:rsidRPr="00551F39">
        <w:rPr>
          <w:i/>
          <w:iCs/>
        </w:rPr>
        <w:t>17.4</w:t>
      </w:r>
      <w:r w:rsidRPr="00551F39">
        <w:rPr>
          <w:i/>
          <w:iCs/>
        </w:rPr>
        <w:t>.punkts</w:t>
      </w:r>
      <w:r w:rsidRPr="00393700">
        <w:t>).</w:t>
      </w:r>
    </w:p>
    <w:p w14:paraId="5C7C6D0C" w14:textId="3D2F15C9" w:rsidR="00C638A6" w:rsidRPr="00551F39" w:rsidRDefault="00C638A6" w:rsidP="006771C6">
      <w:pPr>
        <w:spacing w:line="276" w:lineRule="auto"/>
        <w:ind w:firstLine="720"/>
        <w:contextualSpacing/>
        <w:jc w:val="both"/>
      </w:pPr>
      <w:r w:rsidRPr="00551F39">
        <w:t xml:space="preserve">Satversmes tiesa arī norādīja, </w:t>
      </w:r>
      <w:r w:rsidR="00551F39" w:rsidRPr="00551F39">
        <w:t>lai noteiktu personai aizliegumu strādāt kādā profesijā, nozīme ir ne tikai tam, pret kādām interesēm persona vērsusies, izdarot attiecīgo noziegumu, bet arī šo personu raksturojošiem kritērijiem – piemēram, personas attieksmei pret savulaik izdarīto noziegumu un dzīvesveidam pēc tā izdarīšanas. Jāņem vērā arī tas, ka personas attieksme pret pašas izdarīto noziedzīgo nodarījumu, kā arī vērtību sistēma laika gaitā var mainīties. Turklāt</w:t>
      </w:r>
      <w:r w:rsidRPr="00551F39">
        <w:t xml:space="preserve"> </w:t>
      </w:r>
      <w:r w:rsidR="00551F39" w:rsidRPr="00551F39">
        <w:t xml:space="preserve">tas, ka persona noziedzīgu nodarījumu izdarījusi tīši, nenozīmē, ka šī persona vēlāk nevarētu laboties un sekmīgi iekļauties sabiedrībā </w:t>
      </w:r>
      <w:r w:rsidRPr="00551F39">
        <w:t>(</w:t>
      </w:r>
      <w:r w:rsidR="00551F39" w:rsidRPr="00551F39">
        <w:rPr>
          <w:i/>
          <w:iCs/>
        </w:rPr>
        <w:t>2024.gada 17.decembra sprieduma lietā Nr. </w:t>
      </w:r>
      <w:hyperlink r:id="rId12" w:anchor="search=" w:history="1">
        <w:r w:rsidR="00551F39" w:rsidRPr="00551F39">
          <w:rPr>
            <w:rStyle w:val="Hyperlink"/>
            <w:i/>
            <w:iCs/>
          </w:rPr>
          <w:t>2023-47-01</w:t>
        </w:r>
      </w:hyperlink>
      <w:r w:rsidR="00551F39" w:rsidRPr="00551F39">
        <w:rPr>
          <w:i/>
          <w:iCs/>
        </w:rPr>
        <w:t xml:space="preserve"> 17.5.punkts</w:t>
      </w:r>
      <w:r w:rsidRPr="00551F39">
        <w:t>).</w:t>
      </w:r>
    </w:p>
    <w:p w14:paraId="2C705A53" w14:textId="407AF352" w:rsidR="00C638A6" w:rsidRPr="000A6F0B" w:rsidRDefault="000A6F0B" w:rsidP="006771C6">
      <w:pPr>
        <w:spacing w:line="276" w:lineRule="auto"/>
        <w:ind w:firstLine="720"/>
        <w:contextualSpacing/>
        <w:jc w:val="both"/>
      </w:pPr>
      <w:r w:rsidRPr="000A6F0B">
        <w:t>T</w:t>
      </w:r>
      <w:r w:rsidR="00C638A6" w:rsidRPr="000A6F0B">
        <w:t xml:space="preserve">ieši individuāls vērtējums, kurā tiktu ņemts vērā gan nodarījuma smagums, gan nereabilitējošie apstākļi, gan arī laiks, kas pagājis pēc nodarījuma, un pašas personas attieksme un uzvedība pēc nodarījuma izdarīšanas, var būt </w:t>
      </w:r>
      <w:r w:rsidRPr="000A6F0B">
        <w:t>viens no līdzekļiem</w:t>
      </w:r>
      <w:r w:rsidR="00C638A6" w:rsidRPr="000A6F0B">
        <w:t>, ar kur</w:t>
      </w:r>
      <w:r w:rsidRPr="000A6F0B">
        <w:t>iem</w:t>
      </w:r>
      <w:r w:rsidR="00C638A6" w:rsidRPr="000A6F0B">
        <w:t xml:space="preserve"> personas pamattiesības tiktu ierobežotas mazāk (</w:t>
      </w:r>
      <w:r w:rsidR="00C638A6" w:rsidRPr="000A6F0B">
        <w:rPr>
          <w:i/>
          <w:iCs/>
        </w:rPr>
        <w:t xml:space="preserve">turpat, </w:t>
      </w:r>
      <w:r w:rsidRPr="000A6F0B">
        <w:rPr>
          <w:i/>
          <w:iCs/>
        </w:rPr>
        <w:t>17.6</w:t>
      </w:r>
      <w:r w:rsidR="00C638A6" w:rsidRPr="000A6F0B">
        <w:rPr>
          <w:i/>
          <w:iCs/>
        </w:rPr>
        <w:t>.punkts</w:t>
      </w:r>
      <w:r w:rsidR="00C638A6" w:rsidRPr="000A6F0B">
        <w:t>).</w:t>
      </w:r>
    </w:p>
    <w:p w14:paraId="6D45EA61" w14:textId="5B1FC1F1" w:rsidR="00C638A6" w:rsidRPr="00645D73" w:rsidRDefault="00C638A6" w:rsidP="006771C6">
      <w:pPr>
        <w:spacing w:line="276" w:lineRule="auto"/>
        <w:ind w:firstLine="720"/>
        <w:contextualSpacing/>
        <w:jc w:val="both"/>
      </w:pPr>
      <w:r w:rsidRPr="00645D73">
        <w:t xml:space="preserve">Satversmes tiesa norādīja, ka tiesai izskatāmajā administratīvajā lietā individuāli jāvērtē riski, kas saistīti ar attiecīgās personas </w:t>
      </w:r>
      <w:r w:rsidR="00645D73" w:rsidRPr="00645D73">
        <w:t>darbošanos</w:t>
      </w:r>
      <w:r w:rsidRPr="00645D73">
        <w:t xml:space="preserve"> </w:t>
      </w:r>
      <w:r w:rsidR="00645D73" w:rsidRPr="00645D73">
        <w:t>tiesu eksperta profesijā</w:t>
      </w:r>
      <w:r w:rsidRPr="00645D73">
        <w:t>, un šai nolūkā tieši jāpiemēro Satversme un šajā spriedumā ietvertās atziņas (</w:t>
      </w:r>
      <w:r w:rsidRPr="00645D73">
        <w:rPr>
          <w:i/>
          <w:iCs/>
        </w:rPr>
        <w:t xml:space="preserve">turpat, </w:t>
      </w:r>
      <w:r w:rsidR="00645D73" w:rsidRPr="00645D73">
        <w:rPr>
          <w:i/>
          <w:iCs/>
        </w:rPr>
        <w:t>19.2</w:t>
      </w:r>
      <w:r w:rsidRPr="00645D73">
        <w:rPr>
          <w:i/>
          <w:iCs/>
        </w:rPr>
        <w:t>.punkts</w:t>
      </w:r>
      <w:r w:rsidRPr="00645D73">
        <w:t>).</w:t>
      </w:r>
    </w:p>
    <w:p w14:paraId="2E3D8F57" w14:textId="77777777" w:rsidR="00C638A6" w:rsidRPr="00C638A6" w:rsidRDefault="00C638A6" w:rsidP="006771C6">
      <w:pPr>
        <w:spacing w:line="276" w:lineRule="auto"/>
        <w:ind w:firstLine="720"/>
        <w:contextualSpacing/>
        <w:jc w:val="both"/>
        <w:rPr>
          <w:highlight w:val="yellow"/>
        </w:rPr>
      </w:pPr>
    </w:p>
    <w:p w14:paraId="0AB0B914" w14:textId="77777777" w:rsidR="00C638A6" w:rsidRPr="000A6F0B" w:rsidRDefault="00C638A6" w:rsidP="006771C6">
      <w:pPr>
        <w:spacing w:line="276" w:lineRule="auto"/>
        <w:ind w:firstLine="720"/>
        <w:contextualSpacing/>
        <w:jc w:val="both"/>
      </w:pPr>
      <w:r w:rsidRPr="000A6F0B">
        <w:t>[9] Attiecībā uz pierādījumu novērtējumu Senāta kā kasācijas instances kompetence atšķiras no pirmās un apelācijas instances tiesas kompetences. Senāta kompetencē nav lietas faktisko apstākļu pārbaude un vērtēšana. Atbilstoši Administratīvā procesa likuma 325., 326. un 327.pantam kasācijas instances tiesa pārbauda, vai zemākas instances tiesa lietas izskatīšanā pareizi piemērojusi tiesību normas, nevis pēc būtības pārbauda lietas faktiskos apstākļus un to, vai pareizs ir iestādes lēmums vai rīcība.</w:t>
      </w:r>
    </w:p>
    <w:p w14:paraId="38B8D7C8" w14:textId="09D4CD20" w:rsidR="00C638A6" w:rsidRPr="000A6F0B" w:rsidRDefault="00C638A6" w:rsidP="006771C6">
      <w:pPr>
        <w:spacing w:line="276" w:lineRule="auto"/>
        <w:ind w:firstLine="720"/>
        <w:contextualSpacing/>
        <w:jc w:val="both"/>
      </w:pPr>
      <w:r w:rsidRPr="000A6F0B">
        <w:t>Tādējādi lietas faktisko apstākļu, kas attiecas uz pieteicēja</w:t>
      </w:r>
      <w:r w:rsidR="000A6F0B" w:rsidRPr="000A6F0B">
        <w:t>s</w:t>
      </w:r>
      <w:r w:rsidRPr="000A6F0B">
        <w:t xml:space="preserve"> nodarījumu, laiku, kas pagājis kopš nodarījuma, pieteicēja</w:t>
      </w:r>
      <w:r w:rsidR="000A6F0B" w:rsidRPr="000A6F0B">
        <w:t>s</w:t>
      </w:r>
      <w:r w:rsidRPr="000A6F0B">
        <w:t xml:space="preserve"> uzvedību pēc nodarījuma izdarīšanas u.c., pārbaude un vērtēšanas ir apelācijas instances tiesas kompetencē. </w:t>
      </w:r>
      <w:r w:rsidRPr="0056690F">
        <w:t>Apgabaltiesa spriedumā ir konstatējusi vairākus faktiskos apstākļus</w:t>
      </w:r>
      <w:r w:rsidRPr="0056690F">
        <w:rPr>
          <w:rFonts w:ascii="TimesNewRomanPSMT" w:eastAsiaTheme="minorHAnsi" w:hAnsi="TimesNewRomanPSMT" w:cs="TimesNewRomanPSMT"/>
          <w:lang w:eastAsia="en-US"/>
          <w14:ligatures w14:val="standardContextual"/>
        </w:rPr>
        <w:t xml:space="preserve"> (piemēram, pieteicēja</w:t>
      </w:r>
      <w:r w:rsidR="000A6F0B" w:rsidRPr="0056690F">
        <w:rPr>
          <w:rFonts w:ascii="TimesNewRomanPSMT" w:eastAsiaTheme="minorHAnsi" w:hAnsi="TimesNewRomanPSMT" w:cs="TimesNewRomanPSMT"/>
          <w:lang w:eastAsia="en-US"/>
          <w14:ligatures w14:val="standardContextual"/>
        </w:rPr>
        <w:t>s</w:t>
      </w:r>
      <w:r w:rsidRPr="0056690F">
        <w:rPr>
          <w:rFonts w:ascii="TimesNewRomanPSMT" w:eastAsiaTheme="minorHAnsi" w:hAnsi="TimesNewRomanPSMT" w:cs="TimesNewRomanPSMT"/>
          <w:lang w:eastAsia="en-US"/>
          <w14:ligatures w14:val="standardContextual"/>
        </w:rPr>
        <w:t xml:space="preserve"> pārkāpums bija </w:t>
      </w:r>
      <w:r w:rsidR="000A6F0B" w:rsidRPr="0056690F">
        <w:rPr>
          <w:rFonts w:ascii="TimesNewRomanPSMT" w:eastAsiaTheme="minorHAnsi" w:hAnsi="TimesNewRomanPSMT" w:cs="TimesNewRomanPSMT"/>
          <w:lang w:eastAsia="en-US"/>
          <w14:ligatures w14:val="standardContextual"/>
        </w:rPr>
        <w:t>svešas mantas</w:t>
      </w:r>
      <w:r w:rsidR="0056690F" w:rsidRPr="0056690F">
        <w:rPr>
          <w:rFonts w:ascii="TimesNewRomanPSMT" w:eastAsiaTheme="minorHAnsi" w:hAnsi="TimesNewRomanPSMT" w:cs="TimesNewRomanPSMT"/>
          <w:lang w:eastAsia="en-US"/>
          <w14:ligatures w14:val="standardContextual"/>
        </w:rPr>
        <w:t xml:space="preserve"> (mātes vīra automašīnas)</w:t>
      </w:r>
      <w:r w:rsidR="000A6F0B" w:rsidRPr="0056690F">
        <w:rPr>
          <w:rFonts w:ascii="TimesNewRomanPSMT" w:eastAsiaTheme="minorHAnsi" w:hAnsi="TimesNewRomanPSMT" w:cs="TimesNewRomanPSMT"/>
          <w:lang w:eastAsia="en-US"/>
          <w14:ligatures w14:val="standardContextual"/>
        </w:rPr>
        <w:t xml:space="preserve"> tīša bojāšana</w:t>
      </w:r>
      <w:r w:rsidRPr="0056690F">
        <w:rPr>
          <w:rFonts w:ascii="TimesNewRomanPSMT" w:eastAsiaTheme="minorHAnsi" w:hAnsi="TimesNewRomanPSMT" w:cs="TimesNewRomanPSMT"/>
          <w:lang w:eastAsia="en-US"/>
          <w14:ligatures w14:val="standardContextual"/>
        </w:rPr>
        <w:t>, pieteicēj</w:t>
      </w:r>
      <w:r w:rsidR="000A6F0B" w:rsidRPr="0056690F">
        <w:rPr>
          <w:rFonts w:ascii="TimesNewRomanPSMT" w:eastAsiaTheme="minorHAnsi" w:hAnsi="TimesNewRomanPSMT" w:cs="TimesNewRomanPSMT"/>
          <w:lang w:eastAsia="en-US"/>
          <w14:ligatures w14:val="standardContextual"/>
        </w:rPr>
        <w:t>a</w:t>
      </w:r>
      <w:r w:rsidR="0056690F" w:rsidRPr="0056690F">
        <w:rPr>
          <w:rFonts w:ascii="TimesNewRomanPSMT" w:eastAsiaTheme="minorHAnsi" w:hAnsi="TimesNewRomanPSMT" w:cs="TimesNewRomanPSMT"/>
          <w:lang w:eastAsia="en-US"/>
          <w14:ligatures w14:val="standardContextual"/>
        </w:rPr>
        <w:t xml:space="preserve"> pēc nodarījuma 2004.gadā nav pieļāvusi jaunus tiesību pārkāpumus, ne veicot amata pienākumus, ne ārpus amata pienākumu izpildes</w:t>
      </w:r>
      <w:r w:rsidRPr="0056690F">
        <w:rPr>
          <w:rFonts w:ascii="TimesNewRomanPSMT" w:eastAsiaTheme="minorHAnsi" w:hAnsi="TimesNewRomanPSMT" w:cs="TimesNewRomanPSMT"/>
          <w:lang w:eastAsia="en-US"/>
          <w14:ligatures w14:val="standardContextual"/>
        </w:rPr>
        <w:t>)</w:t>
      </w:r>
      <w:r w:rsidRPr="0056690F">
        <w:t>, kas būtu vērtējami šajā sakarā, taču spriedumā nav individuāli vērtēti riski, kas saistīti ar pieteicēja</w:t>
      </w:r>
      <w:r w:rsidR="008A50DC">
        <w:t>s</w:t>
      </w:r>
      <w:r w:rsidRPr="0056690F">
        <w:t xml:space="preserve"> atrašanos </w:t>
      </w:r>
      <w:r w:rsidR="008A50DC">
        <w:t>tiesu eksperta</w:t>
      </w:r>
      <w:r w:rsidRPr="0056690F">
        <w:t xml:space="preserve"> amatā. Līdz</w:t>
      </w:r>
      <w:r w:rsidRPr="000A6F0B">
        <w:t xml:space="preserve"> ar to, skatot lietu no jauna, apgabaltiesai, tostarp iesaistot iestādi, jānoskaidro attiecīgie faktiskie apstākļi un jāvērtē individuālie riski saistībā ar pieteicēja</w:t>
      </w:r>
      <w:r w:rsidR="000A6F0B" w:rsidRPr="000A6F0B">
        <w:t>s</w:t>
      </w:r>
      <w:r w:rsidRPr="000A6F0B">
        <w:t xml:space="preserve"> atrašanos </w:t>
      </w:r>
      <w:r w:rsidR="000A6F0B" w:rsidRPr="000A6F0B">
        <w:t>tiesu eksperta</w:t>
      </w:r>
      <w:r w:rsidRPr="000A6F0B">
        <w:t xml:space="preserve"> amatā, ņemot vērā Satversmes tiesas 2024.gada </w:t>
      </w:r>
      <w:r w:rsidR="000A6F0B" w:rsidRPr="000A6F0B">
        <w:t>17</w:t>
      </w:r>
      <w:r w:rsidRPr="000A6F0B">
        <w:t>.</w:t>
      </w:r>
      <w:r w:rsidR="000A6F0B" w:rsidRPr="000A6F0B">
        <w:t>decembra</w:t>
      </w:r>
      <w:r w:rsidRPr="000A6F0B">
        <w:t xml:space="preserve"> spriedumā lietā Nr. </w:t>
      </w:r>
      <w:hyperlink r:id="rId13" w:history="1">
        <w:r w:rsidRPr="000A6F0B">
          <w:rPr>
            <w:rStyle w:val="Hyperlink"/>
            <w:color w:val="auto"/>
            <w:u w:val="none"/>
          </w:rPr>
          <w:t>2023-4</w:t>
        </w:r>
        <w:r w:rsidR="000A6F0B" w:rsidRPr="000A6F0B">
          <w:rPr>
            <w:rStyle w:val="Hyperlink"/>
            <w:color w:val="auto"/>
            <w:u w:val="none"/>
          </w:rPr>
          <w:t>7</w:t>
        </w:r>
        <w:r w:rsidRPr="000A6F0B">
          <w:rPr>
            <w:rStyle w:val="Hyperlink"/>
            <w:color w:val="auto"/>
            <w:u w:val="none"/>
          </w:rPr>
          <w:t>-01</w:t>
        </w:r>
      </w:hyperlink>
      <w:r w:rsidRPr="000A6F0B">
        <w:rPr>
          <w:rStyle w:val="Hyperlink"/>
          <w:color w:val="auto"/>
          <w:u w:val="none"/>
        </w:rPr>
        <w:t xml:space="preserve"> </w:t>
      </w:r>
      <w:r w:rsidRPr="000A6F0B">
        <w:t>ietvertās atziņas.</w:t>
      </w:r>
    </w:p>
    <w:p w14:paraId="263AF13E" w14:textId="77777777" w:rsidR="00C638A6" w:rsidRPr="00C638A6" w:rsidRDefault="00C638A6" w:rsidP="006771C6">
      <w:pPr>
        <w:spacing w:line="276" w:lineRule="auto"/>
        <w:ind w:firstLine="720"/>
        <w:contextualSpacing/>
        <w:jc w:val="both"/>
        <w:rPr>
          <w:highlight w:val="yellow"/>
        </w:rPr>
      </w:pPr>
    </w:p>
    <w:p w14:paraId="3E45AC58" w14:textId="76852CC5" w:rsidR="00C638A6" w:rsidRDefault="00C638A6" w:rsidP="006771C6">
      <w:pPr>
        <w:spacing w:line="276" w:lineRule="auto"/>
        <w:ind w:firstLine="720"/>
        <w:contextualSpacing/>
        <w:jc w:val="both"/>
      </w:pPr>
      <w:r w:rsidRPr="00645D73">
        <w:t>[10] Ņemot vērā minēto</w:t>
      </w:r>
      <w:r w:rsidRPr="00645D73">
        <w:rPr>
          <w:rStyle w:val="Hyperlink"/>
          <w:color w:val="auto"/>
          <w:u w:val="none"/>
        </w:rPr>
        <w:t xml:space="preserve">, Senāts atzīst, ka nav nozīmes </w:t>
      </w:r>
      <w:r w:rsidRPr="00645D73">
        <w:t xml:space="preserve">Tieslietu ministrijas kasācijas sūdzības argumentiem par apgabaltiesas sniegto </w:t>
      </w:r>
      <w:r w:rsidR="00645D73" w:rsidRPr="00645D73">
        <w:t xml:space="preserve">Tiesu ekspertu likuma 6.panta trešās daļas </w:t>
      </w:r>
      <w:r w:rsidR="00645D73" w:rsidRPr="00645D73">
        <w:lastRenderedPageBreak/>
        <w:t xml:space="preserve">5.punkta </w:t>
      </w:r>
      <w:r w:rsidRPr="00645D73">
        <w:t>interpretāciju. Apgabaltiesas spriedums ir atceļams, un lieta nosūtāma jaunai izskatīšanai.</w:t>
      </w:r>
    </w:p>
    <w:p w14:paraId="11F17720" w14:textId="2141581D" w:rsidR="00C638A6" w:rsidRPr="008A50DC" w:rsidRDefault="00C638A6" w:rsidP="006771C6">
      <w:pPr>
        <w:spacing w:line="276" w:lineRule="auto"/>
        <w:ind w:firstLine="720"/>
        <w:contextualSpacing/>
        <w:jc w:val="both"/>
        <w:rPr>
          <w:bCs/>
        </w:rPr>
      </w:pPr>
    </w:p>
    <w:p w14:paraId="7773C137" w14:textId="77777777" w:rsidR="00C638A6" w:rsidRPr="00C90CD1" w:rsidRDefault="00C638A6" w:rsidP="006771C6">
      <w:pPr>
        <w:spacing w:line="276" w:lineRule="auto"/>
        <w:jc w:val="center"/>
        <w:rPr>
          <w:b/>
          <w:bCs/>
        </w:rPr>
      </w:pPr>
      <w:r w:rsidRPr="00C90CD1">
        <w:rPr>
          <w:b/>
          <w:bCs/>
        </w:rPr>
        <w:t>Rezolutīvā daļa</w:t>
      </w:r>
    </w:p>
    <w:p w14:paraId="2EC85CD5" w14:textId="77777777" w:rsidR="00C638A6" w:rsidRPr="00C90CD1" w:rsidRDefault="00C638A6" w:rsidP="006771C6">
      <w:pPr>
        <w:spacing w:line="276" w:lineRule="auto"/>
        <w:ind w:firstLine="567"/>
        <w:jc w:val="both"/>
        <w:rPr>
          <w:noProof/>
        </w:rPr>
      </w:pPr>
    </w:p>
    <w:p w14:paraId="579E28FA" w14:textId="77777777" w:rsidR="00C638A6" w:rsidRDefault="00C638A6" w:rsidP="006771C6">
      <w:pPr>
        <w:tabs>
          <w:tab w:val="left" w:pos="6660"/>
        </w:tabs>
        <w:spacing w:line="276" w:lineRule="auto"/>
        <w:ind w:firstLine="720"/>
        <w:jc w:val="both"/>
      </w:pPr>
      <w:r>
        <w:t>Pamatojoties uz Administratīvā procesa likuma 129.</w:t>
      </w:r>
      <w:r>
        <w:rPr>
          <w:vertAlign w:val="superscript"/>
        </w:rPr>
        <w:t>1</w:t>
      </w:r>
      <w:r>
        <w:t>panta pirmās daļas 1.punktu, 348.panta pirmās daļas 2.punktu un 351.pantu, Senāts</w:t>
      </w:r>
    </w:p>
    <w:p w14:paraId="6996D13D" w14:textId="77777777" w:rsidR="00C638A6" w:rsidRPr="00C90CD1" w:rsidRDefault="00C638A6" w:rsidP="006771C6">
      <w:pPr>
        <w:tabs>
          <w:tab w:val="left" w:pos="6660"/>
        </w:tabs>
        <w:spacing w:line="276" w:lineRule="auto"/>
        <w:ind w:firstLine="720"/>
        <w:jc w:val="both"/>
        <w:rPr>
          <w:strike/>
        </w:rPr>
      </w:pPr>
    </w:p>
    <w:p w14:paraId="59E609DE" w14:textId="77777777" w:rsidR="00C638A6" w:rsidRPr="00C90CD1" w:rsidRDefault="00C638A6" w:rsidP="006771C6">
      <w:pPr>
        <w:keepNext/>
        <w:spacing w:line="276" w:lineRule="auto"/>
        <w:jc w:val="center"/>
        <w:rPr>
          <w:b/>
          <w:bCs/>
        </w:rPr>
      </w:pPr>
      <w:r w:rsidRPr="00C90CD1">
        <w:rPr>
          <w:b/>
          <w:bCs/>
        </w:rPr>
        <w:t>nosprieda</w:t>
      </w:r>
    </w:p>
    <w:p w14:paraId="69157B63" w14:textId="77777777" w:rsidR="00C638A6" w:rsidRPr="00C90CD1" w:rsidRDefault="00C638A6" w:rsidP="006771C6">
      <w:pPr>
        <w:keepNext/>
        <w:spacing w:line="276" w:lineRule="auto"/>
        <w:jc w:val="center"/>
        <w:rPr>
          <w:b/>
        </w:rPr>
      </w:pPr>
    </w:p>
    <w:p w14:paraId="782B7AD3" w14:textId="3E7A9817" w:rsidR="00C638A6" w:rsidRDefault="00C638A6" w:rsidP="006771C6">
      <w:pPr>
        <w:keepNext/>
        <w:spacing w:line="276" w:lineRule="auto"/>
        <w:ind w:firstLine="720"/>
        <w:jc w:val="both"/>
      </w:pPr>
      <w:r>
        <w:t xml:space="preserve">atcelt </w:t>
      </w:r>
      <w:r w:rsidRPr="00894CA2">
        <w:t xml:space="preserve">Administratīvās apgabaltiesas </w:t>
      </w:r>
      <w:r w:rsidRPr="0061219A">
        <w:t>202</w:t>
      </w:r>
      <w:r>
        <w:t>2</w:t>
      </w:r>
      <w:r w:rsidRPr="0061219A">
        <w:t xml:space="preserve">.gada </w:t>
      </w:r>
      <w:r>
        <w:t>2</w:t>
      </w:r>
      <w:r w:rsidRPr="0061219A">
        <w:t>9</w:t>
      </w:r>
      <w:r>
        <w:t>.jūnij</w:t>
      </w:r>
      <w:r w:rsidRPr="0061219A">
        <w:t xml:space="preserve">a </w:t>
      </w:r>
      <w:r w:rsidRPr="00894CA2">
        <w:t>spriedumu</w:t>
      </w:r>
      <w:r w:rsidRPr="001A2AA5">
        <w:t xml:space="preserve"> </w:t>
      </w:r>
      <w:r>
        <w:t>un nosūtīt lietu jaunai izskatīšanai Administratīvajai apgabaltiesai.</w:t>
      </w:r>
    </w:p>
    <w:p w14:paraId="3713E624" w14:textId="23C4477B" w:rsidR="00C638A6" w:rsidRDefault="00C638A6" w:rsidP="006771C6">
      <w:pPr>
        <w:spacing w:line="276" w:lineRule="auto"/>
        <w:ind w:firstLine="720"/>
        <w:jc w:val="both"/>
        <w:rPr>
          <w:lang w:eastAsia="en-US"/>
        </w:rPr>
      </w:pPr>
      <w:r>
        <w:rPr>
          <w:lang w:eastAsia="en-US"/>
        </w:rPr>
        <w:t xml:space="preserve">atmaksāt </w:t>
      </w:r>
      <w:r>
        <w:t xml:space="preserve">Tieslietu ministrijai </w:t>
      </w:r>
      <w:r>
        <w:rPr>
          <w:shd w:val="clear" w:color="auto" w:fill="FFFFFF"/>
        </w:rPr>
        <w:t>par</w:t>
      </w:r>
      <w:r>
        <w:rPr>
          <w:lang w:eastAsia="en-US"/>
        </w:rPr>
        <w:t xml:space="preserve"> kasācijas sūdzību samaksāto drošības naudu 70 </w:t>
      </w:r>
      <w:r>
        <w:rPr>
          <w:i/>
          <w:iCs/>
          <w:lang w:eastAsia="en-US"/>
        </w:rPr>
        <w:t>euro</w:t>
      </w:r>
      <w:r>
        <w:rPr>
          <w:lang w:eastAsia="en-US"/>
        </w:rPr>
        <w:t>.</w:t>
      </w:r>
    </w:p>
    <w:p w14:paraId="1170C5BA" w14:textId="77777777" w:rsidR="00C638A6" w:rsidRDefault="00C638A6" w:rsidP="006771C6">
      <w:pPr>
        <w:tabs>
          <w:tab w:val="left" w:pos="2700"/>
          <w:tab w:val="left" w:pos="6660"/>
        </w:tabs>
        <w:spacing w:line="276" w:lineRule="auto"/>
        <w:ind w:firstLine="720"/>
        <w:contextualSpacing/>
      </w:pPr>
    </w:p>
    <w:p w14:paraId="7204EBFC" w14:textId="77777777" w:rsidR="00C638A6" w:rsidRPr="0062328E" w:rsidRDefault="00C638A6" w:rsidP="006771C6">
      <w:pPr>
        <w:tabs>
          <w:tab w:val="left" w:pos="2700"/>
          <w:tab w:val="left" w:pos="6660"/>
        </w:tabs>
        <w:spacing w:line="276" w:lineRule="auto"/>
        <w:ind w:firstLine="720"/>
      </w:pPr>
      <w:r w:rsidRPr="0062328E">
        <w:t>Spriedums nav pārsūdzams.</w:t>
      </w:r>
    </w:p>
    <w:p w14:paraId="41DE28E5" w14:textId="77777777" w:rsidR="00C638A6" w:rsidRPr="00044BCA" w:rsidRDefault="00C638A6" w:rsidP="00C638A6">
      <w:pPr>
        <w:keepNext/>
        <w:tabs>
          <w:tab w:val="left" w:pos="1380"/>
          <w:tab w:val="left" w:pos="1845"/>
          <w:tab w:val="center" w:pos="4819"/>
          <w:tab w:val="left" w:pos="7170"/>
          <w:tab w:val="left" w:pos="7350"/>
          <w:tab w:val="left" w:pos="7860"/>
        </w:tabs>
        <w:spacing w:line="276" w:lineRule="auto"/>
        <w:ind w:firstLine="720"/>
        <w:rPr>
          <w:noProof/>
          <w:sz w:val="20"/>
          <w:szCs w:val="20"/>
        </w:rPr>
      </w:pPr>
    </w:p>
    <w:p w14:paraId="02D3A6E5" w14:textId="77777777" w:rsidR="00C638A6" w:rsidRDefault="00C638A6" w:rsidP="00C638A6">
      <w:pPr>
        <w:keepNext/>
        <w:tabs>
          <w:tab w:val="left" w:pos="1380"/>
          <w:tab w:val="left" w:pos="1845"/>
          <w:tab w:val="center" w:pos="4819"/>
          <w:tab w:val="left" w:pos="7170"/>
          <w:tab w:val="left" w:pos="7350"/>
          <w:tab w:val="left" w:pos="7860"/>
        </w:tabs>
        <w:spacing w:line="276" w:lineRule="auto"/>
        <w:ind w:firstLine="720"/>
        <w:rPr>
          <w:noProof/>
        </w:rPr>
      </w:pPr>
    </w:p>
    <w:p w14:paraId="0CB66088" w14:textId="77777777" w:rsidR="00C638A6" w:rsidRDefault="00C638A6" w:rsidP="00C638A6">
      <w:pPr>
        <w:keepNext/>
        <w:tabs>
          <w:tab w:val="left" w:pos="1380"/>
          <w:tab w:val="left" w:pos="1845"/>
          <w:tab w:val="center" w:pos="4819"/>
          <w:tab w:val="left" w:pos="7170"/>
          <w:tab w:val="left" w:pos="7350"/>
          <w:tab w:val="left" w:pos="7860"/>
        </w:tabs>
        <w:spacing w:line="276" w:lineRule="auto"/>
        <w:ind w:firstLine="720"/>
        <w:rPr>
          <w:noProof/>
        </w:rPr>
      </w:pPr>
    </w:p>
    <w:p w14:paraId="4BA203DF" w14:textId="77777777" w:rsidR="00C638A6" w:rsidRPr="0026046B" w:rsidRDefault="00C638A6" w:rsidP="00C638A6">
      <w:pPr>
        <w:keepNext/>
        <w:tabs>
          <w:tab w:val="left" w:pos="1380"/>
          <w:tab w:val="left" w:pos="1845"/>
          <w:tab w:val="center" w:pos="4819"/>
          <w:tab w:val="left" w:pos="7170"/>
          <w:tab w:val="left" w:pos="7350"/>
          <w:tab w:val="left" w:pos="7860"/>
        </w:tabs>
        <w:spacing w:line="276" w:lineRule="auto"/>
        <w:ind w:firstLine="720"/>
        <w:rPr>
          <w:noProof/>
        </w:rPr>
      </w:pPr>
    </w:p>
    <w:p w14:paraId="68D5590F" w14:textId="64C4EEAA" w:rsidR="006B2ECC" w:rsidRDefault="006B2ECC" w:rsidP="00C638A6">
      <w:pPr>
        <w:tabs>
          <w:tab w:val="left" w:pos="2700"/>
          <w:tab w:val="left" w:pos="6660"/>
        </w:tabs>
        <w:spacing w:line="276" w:lineRule="auto"/>
      </w:pPr>
    </w:p>
    <w:sectPr w:rsidR="006B2ECC" w:rsidSect="00D51EE9">
      <w:footerReference w:type="default" r:id="rId14"/>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A060F" w14:textId="77777777" w:rsidR="0092658D" w:rsidRDefault="0092658D" w:rsidP="00585C37">
      <w:r>
        <w:separator/>
      </w:r>
    </w:p>
  </w:endnote>
  <w:endnote w:type="continuationSeparator" w:id="0">
    <w:p w14:paraId="05EBD190" w14:textId="77777777" w:rsidR="0092658D" w:rsidRDefault="0092658D" w:rsidP="0058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0B32" w14:textId="16968334" w:rsidR="00585C37" w:rsidRPr="00D51EE9" w:rsidRDefault="00585C37" w:rsidP="00D51EE9">
    <w:pPr>
      <w:pStyle w:val="Footer"/>
      <w:jc w:val="center"/>
      <w:rPr>
        <w:sz w:val="20"/>
        <w:szCs w:val="20"/>
      </w:rPr>
    </w:pPr>
    <w:r w:rsidRPr="00103089">
      <w:rPr>
        <w:sz w:val="20"/>
        <w:szCs w:val="20"/>
      </w:rPr>
      <w:fldChar w:fldCharType="begin"/>
    </w:r>
    <w:r w:rsidRPr="00103089">
      <w:rPr>
        <w:sz w:val="20"/>
        <w:szCs w:val="20"/>
      </w:rPr>
      <w:instrText>PAGE</w:instrText>
    </w:r>
    <w:r w:rsidRPr="00103089">
      <w:rPr>
        <w:sz w:val="20"/>
        <w:szCs w:val="20"/>
      </w:rPr>
      <w:fldChar w:fldCharType="separate"/>
    </w:r>
    <w:r w:rsidR="00315A02">
      <w:rPr>
        <w:noProof/>
        <w:sz w:val="20"/>
        <w:szCs w:val="20"/>
      </w:rPr>
      <w:t>15</w:t>
    </w:r>
    <w:r w:rsidRPr="00103089">
      <w:rPr>
        <w:sz w:val="20"/>
        <w:szCs w:val="20"/>
      </w:rPr>
      <w:fldChar w:fldCharType="end"/>
    </w:r>
    <w:r w:rsidRPr="00103089">
      <w:rPr>
        <w:rStyle w:val="PageNumber"/>
        <w:sz w:val="20"/>
        <w:szCs w:val="20"/>
      </w:rPr>
      <w:t xml:space="preserve"> no </w:t>
    </w:r>
    <w:r w:rsidRPr="00103089">
      <w:rPr>
        <w:noProof/>
        <w:sz w:val="20"/>
        <w:szCs w:val="20"/>
      </w:rPr>
      <w:fldChar w:fldCharType="begin"/>
    </w:r>
    <w:r w:rsidRPr="00103089">
      <w:rPr>
        <w:noProof/>
        <w:sz w:val="20"/>
        <w:szCs w:val="20"/>
      </w:rPr>
      <w:instrText>SECTIONPAGES   \* MERGEFORMAT</w:instrText>
    </w:r>
    <w:r w:rsidRPr="00103089">
      <w:rPr>
        <w:noProof/>
        <w:sz w:val="20"/>
        <w:szCs w:val="20"/>
      </w:rPr>
      <w:fldChar w:fldCharType="separate"/>
    </w:r>
    <w:r w:rsidR="001058DB">
      <w:rPr>
        <w:noProof/>
        <w:sz w:val="20"/>
        <w:szCs w:val="20"/>
      </w:rPr>
      <w:t>5</w:t>
    </w:r>
    <w:r w:rsidRPr="00103089">
      <w:rPr>
        <w:noProof/>
        <w:sz w:val="20"/>
        <w:szCs w:val="20"/>
      </w:rPr>
      <w:fldChar w:fldCharType="end"/>
    </w:r>
    <w:bookmarkStart w:id="0" w:name="__Fieldmark__171_3260321367"/>
    <w:bookmarkStart w:id="1" w:name="__Fieldmark__667_1373986896"/>
    <w:bookmarkStart w:id="2" w:name="__Fieldmark__363_2235992191"/>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9C41D" w14:textId="77777777" w:rsidR="0092658D" w:rsidRDefault="0092658D" w:rsidP="00585C37">
      <w:r>
        <w:separator/>
      </w:r>
    </w:p>
  </w:footnote>
  <w:footnote w:type="continuationSeparator" w:id="0">
    <w:p w14:paraId="75349041" w14:textId="77777777" w:rsidR="0092658D" w:rsidRDefault="0092658D" w:rsidP="00585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45"/>
    <w:rsid w:val="000007C1"/>
    <w:rsid w:val="00002D40"/>
    <w:rsid w:val="00011DD9"/>
    <w:rsid w:val="00012566"/>
    <w:rsid w:val="000228B9"/>
    <w:rsid w:val="00025BBF"/>
    <w:rsid w:val="000327C5"/>
    <w:rsid w:val="00032E29"/>
    <w:rsid w:val="00034A4A"/>
    <w:rsid w:val="000418FA"/>
    <w:rsid w:val="00042889"/>
    <w:rsid w:val="00042B98"/>
    <w:rsid w:val="00043A33"/>
    <w:rsid w:val="00044BCA"/>
    <w:rsid w:val="00044C1F"/>
    <w:rsid w:val="0004672C"/>
    <w:rsid w:val="00050BB4"/>
    <w:rsid w:val="0005185E"/>
    <w:rsid w:val="00056AFB"/>
    <w:rsid w:val="0005721F"/>
    <w:rsid w:val="00063529"/>
    <w:rsid w:val="00065AA5"/>
    <w:rsid w:val="00071DF0"/>
    <w:rsid w:val="0007506C"/>
    <w:rsid w:val="00075460"/>
    <w:rsid w:val="00077255"/>
    <w:rsid w:val="000774F2"/>
    <w:rsid w:val="0008022B"/>
    <w:rsid w:val="00083684"/>
    <w:rsid w:val="00083C86"/>
    <w:rsid w:val="00086D26"/>
    <w:rsid w:val="000878A0"/>
    <w:rsid w:val="000913B5"/>
    <w:rsid w:val="00093612"/>
    <w:rsid w:val="00093BB8"/>
    <w:rsid w:val="000942E8"/>
    <w:rsid w:val="000957E4"/>
    <w:rsid w:val="00095FAC"/>
    <w:rsid w:val="00096263"/>
    <w:rsid w:val="0009716F"/>
    <w:rsid w:val="000A4084"/>
    <w:rsid w:val="000A6F0B"/>
    <w:rsid w:val="000B5C14"/>
    <w:rsid w:val="000C6B25"/>
    <w:rsid w:val="000C7919"/>
    <w:rsid w:val="000D226D"/>
    <w:rsid w:val="000D26BE"/>
    <w:rsid w:val="000D30AC"/>
    <w:rsid w:val="000D30F5"/>
    <w:rsid w:val="000D6016"/>
    <w:rsid w:val="000E0C50"/>
    <w:rsid w:val="000E3911"/>
    <w:rsid w:val="000E715E"/>
    <w:rsid w:val="000F2F06"/>
    <w:rsid w:val="000F33E9"/>
    <w:rsid w:val="000F5605"/>
    <w:rsid w:val="000F5FEB"/>
    <w:rsid w:val="000F6362"/>
    <w:rsid w:val="000F6C5C"/>
    <w:rsid w:val="000F776C"/>
    <w:rsid w:val="00101C8A"/>
    <w:rsid w:val="00101DB3"/>
    <w:rsid w:val="00103A52"/>
    <w:rsid w:val="001048F5"/>
    <w:rsid w:val="0010558D"/>
    <w:rsid w:val="001058DB"/>
    <w:rsid w:val="00106095"/>
    <w:rsid w:val="00106FCA"/>
    <w:rsid w:val="0011056A"/>
    <w:rsid w:val="001106A6"/>
    <w:rsid w:val="00110D4B"/>
    <w:rsid w:val="00116A89"/>
    <w:rsid w:val="001201AF"/>
    <w:rsid w:val="00125C79"/>
    <w:rsid w:val="00126B8D"/>
    <w:rsid w:val="00127ACE"/>
    <w:rsid w:val="00130F5D"/>
    <w:rsid w:val="0013366E"/>
    <w:rsid w:val="00136BB6"/>
    <w:rsid w:val="00140034"/>
    <w:rsid w:val="00141CB6"/>
    <w:rsid w:val="0014290F"/>
    <w:rsid w:val="00144C72"/>
    <w:rsid w:val="0015083E"/>
    <w:rsid w:val="0016715E"/>
    <w:rsid w:val="00173C32"/>
    <w:rsid w:val="00174C57"/>
    <w:rsid w:val="00176CF6"/>
    <w:rsid w:val="001775BF"/>
    <w:rsid w:val="00177A68"/>
    <w:rsid w:val="0018333B"/>
    <w:rsid w:val="00187514"/>
    <w:rsid w:val="00192679"/>
    <w:rsid w:val="00193649"/>
    <w:rsid w:val="00195BEA"/>
    <w:rsid w:val="00197557"/>
    <w:rsid w:val="001A2FD5"/>
    <w:rsid w:val="001A2FEF"/>
    <w:rsid w:val="001A3BB8"/>
    <w:rsid w:val="001A45E3"/>
    <w:rsid w:val="001B4C4B"/>
    <w:rsid w:val="001B53E7"/>
    <w:rsid w:val="001C2332"/>
    <w:rsid w:val="001D3C27"/>
    <w:rsid w:val="001D4028"/>
    <w:rsid w:val="001D4316"/>
    <w:rsid w:val="001D470F"/>
    <w:rsid w:val="001D5717"/>
    <w:rsid w:val="001D796C"/>
    <w:rsid w:val="001E0103"/>
    <w:rsid w:val="001E2232"/>
    <w:rsid w:val="001E499D"/>
    <w:rsid w:val="001E6BD3"/>
    <w:rsid w:val="001F1D17"/>
    <w:rsid w:val="001F520D"/>
    <w:rsid w:val="001F7B4D"/>
    <w:rsid w:val="002014F7"/>
    <w:rsid w:val="00210618"/>
    <w:rsid w:val="00210C38"/>
    <w:rsid w:val="00212753"/>
    <w:rsid w:val="00212C9A"/>
    <w:rsid w:val="00221F66"/>
    <w:rsid w:val="00222217"/>
    <w:rsid w:val="00223319"/>
    <w:rsid w:val="00226292"/>
    <w:rsid w:val="002324DF"/>
    <w:rsid w:val="00232C0B"/>
    <w:rsid w:val="002342D4"/>
    <w:rsid w:val="00240562"/>
    <w:rsid w:val="00242561"/>
    <w:rsid w:val="0024257D"/>
    <w:rsid w:val="0024609F"/>
    <w:rsid w:val="002467D9"/>
    <w:rsid w:val="00246C26"/>
    <w:rsid w:val="00250B2B"/>
    <w:rsid w:val="00251409"/>
    <w:rsid w:val="00251D1F"/>
    <w:rsid w:val="002539D0"/>
    <w:rsid w:val="002542E1"/>
    <w:rsid w:val="002547D8"/>
    <w:rsid w:val="00260C5A"/>
    <w:rsid w:val="00260D76"/>
    <w:rsid w:val="002612A5"/>
    <w:rsid w:val="00262648"/>
    <w:rsid w:val="00265137"/>
    <w:rsid w:val="00266663"/>
    <w:rsid w:val="00267468"/>
    <w:rsid w:val="002676A8"/>
    <w:rsid w:val="00272845"/>
    <w:rsid w:val="00275347"/>
    <w:rsid w:val="0027663A"/>
    <w:rsid w:val="00276A43"/>
    <w:rsid w:val="00277FA6"/>
    <w:rsid w:val="00281428"/>
    <w:rsid w:val="00281F3A"/>
    <w:rsid w:val="00282ED9"/>
    <w:rsid w:val="00284C7A"/>
    <w:rsid w:val="002861FC"/>
    <w:rsid w:val="00290299"/>
    <w:rsid w:val="002A0995"/>
    <w:rsid w:val="002A13D6"/>
    <w:rsid w:val="002A1D0D"/>
    <w:rsid w:val="002A210B"/>
    <w:rsid w:val="002A3EE5"/>
    <w:rsid w:val="002B09B1"/>
    <w:rsid w:val="002B1981"/>
    <w:rsid w:val="002B2123"/>
    <w:rsid w:val="002B43FC"/>
    <w:rsid w:val="002B7057"/>
    <w:rsid w:val="002C2624"/>
    <w:rsid w:val="002C2CBE"/>
    <w:rsid w:val="002C30E8"/>
    <w:rsid w:val="002C5960"/>
    <w:rsid w:val="002D0A3C"/>
    <w:rsid w:val="002D0B2B"/>
    <w:rsid w:val="002D0EE4"/>
    <w:rsid w:val="002D23C6"/>
    <w:rsid w:val="002D4BC2"/>
    <w:rsid w:val="002D5CAA"/>
    <w:rsid w:val="002D7B5E"/>
    <w:rsid w:val="002E11F9"/>
    <w:rsid w:val="002E704F"/>
    <w:rsid w:val="002F1D18"/>
    <w:rsid w:val="002F5389"/>
    <w:rsid w:val="002F5629"/>
    <w:rsid w:val="0030283E"/>
    <w:rsid w:val="003030CE"/>
    <w:rsid w:val="00305467"/>
    <w:rsid w:val="0030559F"/>
    <w:rsid w:val="00306695"/>
    <w:rsid w:val="003070AF"/>
    <w:rsid w:val="003122DC"/>
    <w:rsid w:val="00312494"/>
    <w:rsid w:val="00314B7C"/>
    <w:rsid w:val="00315A02"/>
    <w:rsid w:val="0032223A"/>
    <w:rsid w:val="003224FB"/>
    <w:rsid w:val="0032386F"/>
    <w:rsid w:val="003253F5"/>
    <w:rsid w:val="00326EDD"/>
    <w:rsid w:val="003300CC"/>
    <w:rsid w:val="0033022E"/>
    <w:rsid w:val="00332F6A"/>
    <w:rsid w:val="00333D4B"/>
    <w:rsid w:val="00334ED3"/>
    <w:rsid w:val="0033560D"/>
    <w:rsid w:val="003372FD"/>
    <w:rsid w:val="003378BB"/>
    <w:rsid w:val="0034257B"/>
    <w:rsid w:val="00342DEF"/>
    <w:rsid w:val="00343492"/>
    <w:rsid w:val="00346765"/>
    <w:rsid w:val="00346D97"/>
    <w:rsid w:val="00353791"/>
    <w:rsid w:val="00356647"/>
    <w:rsid w:val="00356CB0"/>
    <w:rsid w:val="003573B6"/>
    <w:rsid w:val="00357D8B"/>
    <w:rsid w:val="00360A42"/>
    <w:rsid w:val="00360FFE"/>
    <w:rsid w:val="00363D15"/>
    <w:rsid w:val="00371CD2"/>
    <w:rsid w:val="00373529"/>
    <w:rsid w:val="00374353"/>
    <w:rsid w:val="00375C6E"/>
    <w:rsid w:val="003775D8"/>
    <w:rsid w:val="00380EAD"/>
    <w:rsid w:val="00381C43"/>
    <w:rsid w:val="003821D2"/>
    <w:rsid w:val="00385A7F"/>
    <w:rsid w:val="0039000E"/>
    <w:rsid w:val="00391421"/>
    <w:rsid w:val="00393700"/>
    <w:rsid w:val="00393B6A"/>
    <w:rsid w:val="003946FA"/>
    <w:rsid w:val="003951F5"/>
    <w:rsid w:val="003A1F02"/>
    <w:rsid w:val="003A2790"/>
    <w:rsid w:val="003A4DBD"/>
    <w:rsid w:val="003A7CAD"/>
    <w:rsid w:val="003B1CE8"/>
    <w:rsid w:val="003B3ADE"/>
    <w:rsid w:val="003C1C0B"/>
    <w:rsid w:val="003C27CA"/>
    <w:rsid w:val="003C44C9"/>
    <w:rsid w:val="003C5F31"/>
    <w:rsid w:val="003C60B7"/>
    <w:rsid w:val="003C71E2"/>
    <w:rsid w:val="003C76A2"/>
    <w:rsid w:val="003D69BE"/>
    <w:rsid w:val="003E19C1"/>
    <w:rsid w:val="003E472B"/>
    <w:rsid w:val="003E4B1B"/>
    <w:rsid w:val="003F1246"/>
    <w:rsid w:val="003F1C11"/>
    <w:rsid w:val="003F203D"/>
    <w:rsid w:val="003F3757"/>
    <w:rsid w:val="003F4247"/>
    <w:rsid w:val="003F444E"/>
    <w:rsid w:val="003F7B34"/>
    <w:rsid w:val="00401892"/>
    <w:rsid w:val="00402589"/>
    <w:rsid w:val="00405447"/>
    <w:rsid w:val="004063F7"/>
    <w:rsid w:val="004067EA"/>
    <w:rsid w:val="00410698"/>
    <w:rsid w:val="00410F3C"/>
    <w:rsid w:val="00411D09"/>
    <w:rsid w:val="00412E63"/>
    <w:rsid w:val="004130EF"/>
    <w:rsid w:val="00414975"/>
    <w:rsid w:val="0041501C"/>
    <w:rsid w:val="004208C5"/>
    <w:rsid w:val="004222E2"/>
    <w:rsid w:val="00424D68"/>
    <w:rsid w:val="00424E5E"/>
    <w:rsid w:val="0043139F"/>
    <w:rsid w:val="00431D13"/>
    <w:rsid w:val="004322FD"/>
    <w:rsid w:val="00433457"/>
    <w:rsid w:val="004358E1"/>
    <w:rsid w:val="00441643"/>
    <w:rsid w:val="00442392"/>
    <w:rsid w:val="0045322A"/>
    <w:rsid w:val="00455DD8"/>
    <w:rsid w:val="004570DA"/>
    <w:rsid w:val="004649A2"/>
    <w:rsid w:val="00470E28"/>
    <w:rsid w:val="00471CED"/>
    <w:rsid w:val="00475407"/>
    <w:rsid w:val="00481A51"/>
    <w:rsid w:val="004849C7"/>
    <w:rsid w:val="00486CD8"/>
    <w:rsid w:val="00490CC5"/>
    <w:rsid w:val="004970E6"/>
    <w:rsid w:val="004A1D39"/>
    <w:rsid w:val="004A2342"/>
    <w:rsid w:val="004A29D0"/>
    <w:rsid w:val="004A476B"/>
    <w:rsid w:val="004A5685"/>
    <w:rsid w:val="004A5840"/>
    <w:rsid w:val="004B3AE4"/>
    <w:rsid w:val="004B558F"/>
    <w:rsid w:val="004B79C6"/>
    <w:rsid w:val="004C5BC5"/>
    <w:rsid w:val="004C5F53"/>
    <w:rsid w:val="004C60A9"/>
    <w:rsid w:val="004D46C4"/>
    <w:rsid w:val="004D479B"/>
    <w:rsid w:val="004D4D63"/>
    <w:rsid w:val="004D504B"/>
    <w:rsid w:val="004D5825"/>
    <w:rsid w:val="004D7346"/>
    <w:rsid w:val="004F04DC"/>
    <w:rsid w:val="004F0B45"/>
    <w:rsid w:val="004F3652"/>
    <w:rsid w:val="004F5573"/>
    <w:rsid w:val="004F65B1"/>
    <w:rsid w:val="00500D57"/>
    <w:rsid w:val="00502D68"/>
    <w:rsid w:val="005047C5"/>
    <w:rsid w:val="00505310"/>
    <w:rsid w:val="00505D2C"/>
    <w:rsid w:val="00511408"/>
    <w:rsid w:val="00514143"/>
    <w:rsid w:val="00515ED3"/>
    <w:rsid w:val="00516C7E"/>
    <w:rsid w:val="00520C4F"/>
    <w:rsid w:val="00523098"/>
    <w:rsid w:val="00523616"/>
    <w:rsid w:val="00524FBB"/>
    <w:rsid w:val="0052768B"/>
    <w:rsid w:val="0053404E"/>
    <w:rsid w:val="005350D7"/>
    <w:rsid w:val="0053672D"/>
    <w:rsid w:val="005449DD"/>
    <w:rsid w:val="00546093"/>
    <w:rsid w:val="00550840"/>
    <w:rsid w:val="00551F39"/>
    <w:rsid w:val="00551F3B"/>
    <w:rsid w:val="005529CD"/>
    <w:rsid w:val="0055424A"/>
    <w:rsid w:val="0055451A"/>
    <w:rsid w:val="00560399"/>
    <w:rsid w:val="00561A96"/>
    <w:rsid w:val="0056291F"/>
    <w:rsid w:val="00564555"/>
    <w:rsid w:val="00564BEF"/>
    <w:rsid w:val="00566012"/>
    <w:rsid w:val="0056690F"/>
    <w:rsid w:val="00566E3B"/>
    <w:rsid w:val="00570489"/>
    <w:rsid w:val="00571427"/>
    <w:rsid w:val="005736E6"/>
    <w:rsid w:val="005749FB"/>
    <w:rsid w:val="00575512"/>
    <w:rsid w:val="0057627B"/>
    <w:rsid w:val="00576D08"/>
    <w:rsid w:val="00585C37"/>
    <w:rsid w:val="0059197B"/>
    <w:rsid w:val="00594A92"/>
    <w:rsid w:val="00595CBC"/>
    <w:rsid w:val="00596790"/>
    <w:rsid w:val="005970DA"/>
    <w:rsid w:val="005A2066"/>
    <w:rsid w:val="005A296B"/>
    <w:rsid w:val="005A5932"/>
    <w:rsid w:val="005B196F"/>
    <w:rsid w:val="005B1CDB"/>
    <w:rsid w:val="005B1E30"/>
    <w:rsid w:val="005B2346"/>
    <w:rsid w:val="005B65E9"/>
    <w:rsid w:val="005B7B04"/>
    <w:rsid w:val="005C0797"/>
    <w:rsid w:val="005C0C62"/>
    <w:rsid w:val="005C3BF1"/>
    <w:rsid w:val="005C436B"/>
    <w:rsid w:val="005C4B2A"/>
    <w:rsid w:val="005C6073"/>
    <w:rsid w:val="005C6082"/>
    <w:rsid w:val="005D17C5"/>
    <w:rsid w:val="005D2038"/>
    <w:rsid w:val="005D2075"/>
    <w:rsid w:val="005D3ACA"/>
    <w:rsid w:val="005D3B67"/>
    <w:rsid w:val="005D59B5"/>
    <w:rsid w:val="005D5CAB"/>
    <w:rsid w:val="005D6717"/>
    <w:rsid w:val="005D7306"/>
    <w:rsid w:val="005E280D"/>
    <w:rsid w:val="005E4D08"/>
    <w:rsid w:val="005E53F6"/>
    <w:rsid w:val="005E54B1"/>
    <w:rsid w:val="005E5F62"/>
    <w:rsid w:val="005F2E11"/>
    <w:rsid w:val="005F52CC"/>
    <w:rsid w:val="005F624B"/>
    <w:rsid w:val="005F7FB3"/>
    <w:rsid w:val="0060168B"/>
    <w:rsid w:val="00601CF0"/>
    <w:rsid w:val="00607981"/>
    <w:rsid w:val="006157EC"/>
    <w:rsid w:val="00621390"/>
    <w:rsid w:val="00622265"/>
    <w:rsid w:val="0062346C"/>
    <w:rsid w:val="00623EC1"/>
    <w:rsid w:val="00624BF0"/>
    <w:rsid w:val="00625491"/>
    <w:rsid w:val="00631D16"/>
    <w:rsid w:val="00632793"/>
    <w:rsid w:val="00635E08"/>
    <w:rsid w:val="00635FBC"/>
    <w:rsid w:val="00640EC0"/>
    <w:rsid w:val="00643E0F"/>
    <w:rsid w:val="00644922"/>
    <w:rsid w:val="00645D73"/>
    <w:rsid w:val="006463A5"/>
    <w:rsid w:val="00646F21"/>
    <w:rsid w:val="00646FF4"/>
    <w:rsid w:val="006545CB"/>
    <w:rsid w:val="00655A3B"/>
    <w:rsid w:val="00655AF8"/>
    <w:rsid w:val="006564DA"/>
    <w:rsid w:val="00663FB9"/>
    <w:rsid w:val="00664266"/>
    <w:rsid w:val="00666448"/>
    <w:rsid w:val="00673D59"/>
    <w:rsid w:val="006771C6"/>
    <w:rsid w:val="00682A31"/>
    <w:rsid w:val="00684C6C"/>
    <w:rsid w:val="00684E97"/>
    <w:rsid w:val="00690C2A"/>
    <w:rsid w:val="0069113A"/>
    <w:rsid w:val="0069306F"/>
    <w:rsid w:val="00694384"/>
    <w:rsid w:val="00694CE6"/>
    <w:rsid w:val="00696EBB"/>
    <w:rsid w:val="006A4747"/>
    <w:rsid w:val="006A4F72"/>
    <w:rsid w:val="006A5230"/>
    <w:rsid w:val="006A5ACF"/>
    <w:rsid w:val="006B0892"/>
    <w:rsid w:val="006B2ECC"/>
    <w:rsid w:val="006B3354"/>
    <w:rsid w:val="006B4492"/>
    <w:rsid w:val="006B5C17"/>
    <w:rsid w:val="006B5EE1"/>
    <w:rsid w:val="006C440B"/>
    <w:rsid w:val="006C6EBC"/>
    <w:rsid w:val="006C7607"/>
    <w:rsid w:val="006C7FF0"/>
    <w:rsid w:val="006D19EF"/>
    <w:rsid w:val="006D214A"/>
    <w:rsid w:val="006E6CFF"/>
    <w:rsid w:val="0070051B"/>
    <w:rsid w:val="00703AB6"/>
    <w:rsid w:val="0070409A"/>
    <w:rsid w:val="00704278"/>
    <w:rsid w:val="00706D37"/>
    <w:rsid w:val="00706F78"/>
    <w:rsid w:val="00716BB5"/>
    <w:rsid w:val="00720B3A"/>
    <w:rsid w:val="007224FB"/>
    <w:rsid w:val="00722660"/>
    <w:rsid w:val="00724334"/>
    <w:rsid w:val="00726FE1"/>
    <w:rsid w:val="007277EF"/>
    <w:rsid w:val="00734D3E"/>
    <w:rsid w:val="00747A79"/>
    <w:rsid w:val="007506A0"/>
    <w:rsid w:val="00752B32"/>
    <w:rsid w:val="00756345"/>
    <w:rsid w:val="0076351B"/>
    <w:rsid w:val="00763F44"/>
    <w:rsid w:val="00764BE3"/>
    <w:rsid w:val="00767D01"/>
    <w:rsid w:val="007725DA"/>
    <w:rsid w:val="0077634F"/>
    <w:rsid w:val="00780739"/>
    <w:rsid w:val="0078238C"/>
    <w:rsid w:val="00784C65"/>
    <w:rsid w:val="00791173"/>
    <w:rsid w:val="007961E6"/>
    <w:rsid w:val="007977F1"/>
    <w:rsid w:val="007A0400"/>
    <w:rsid w:val="007A2164"/>
    <w:rsid w:val="007A2C0F"/>
    <w:rsid w:val="007A47E8"/>
    <w:rsid w:val="007A50C7"/>
    <w:rsid w:val="007A631B"/>
    <w:rsid w:val="007A6B6E"/>
    <w:rsid w:val="007B5BA3"/>
    <w:rsid w:val="007B6601"/>
    <w:rsid w:val="007C137B"/>
    <w:rsid w:val="007C30A3"/>
    <w:rsid w:val="007C5B3F"/>
    <w:rsid w:val="007C6A06"/>
    <w:rsid w:val="007C6BF1"/>
    <w:rsid w:val="007D0514"/>
    <w:rsid w:val="007D0E93"/>
    <w:rsid w:val="007D78F3"/>
    <w:rsid w:val="007E31B1"/>
    <w:rsid w:val="007E35D3"/>
    <w:rsid w:val="007E4C5F"/>
    <w:rsid w:val="007F0579"/>
    <w:rsid w:val="007F1792"/>
    <w:rsid w:val="007F218A"/>
    <w:rsid w:val="007F3F5F"/>
    <w:rsid w:val="007F3FAE"/>
    <w:rsid w:val="00802689"/>
    <w:rsid w:val="008049B6"/>
    <w:rsid w:val="008049D6"/>
    <w:rsid w:val="0080751D"/>
    <w:rsid w:val="00811438"/>
    <w:rsid w:val="0081227A"/>
    <w:rsid w:val="00812FDE"/>
    <w:rsid w:val="00815B35"/>
    <w:rsid w:val="0081628C"/>
    <w:rsid w:val="0082277E"/>
    <w:rsid w:val="008234FB"/>
    <w:rsid w:val="008302D4"/>
    <w:rsid w:val="00831AF9"/>
    <w:rsid w:val="008322C3"/>
    <w:rsid w:val="00833176"/>
    <w:rsid w:val="008332D4"/>
    <w:rsid w:val="008334CE"/>
    <w:rsid w:val="00834447"/>
    <w:rsid w:val="00834E1D"/>
    <w:rsid w:val="008350E4"/>
    <w:rsid w:val="008351B8"/>
    <w:rsid w:val="00837514"/>
    <w:rsid w:val="008376C3"/>
    <w:rsid w:val="00841223"/>
    <w:rsid w:val="00842C11"/>
    <w:rsid w:val="00846337"/>
    <w:rsid w:val="0084764B"/>
    <w:rsid w:val="008504DA"/>
    <w:rsid w:val="00851193"/>
    <w:rsid w:val="00853977"/>
    <w:rsid w:val="00855053"/>
    <w:rsid w:val="00857220"/>
    <w:rsid w:val="00857A49"/>
    <w:rsid w:val="00860C34"/>
    <w:rsid w:val="0086279E"/>
    <w:rsid w:val="008662B2"/>
    <w:rsid w:val="008677DC"/>
    <w:rsid w:val="008712B5"/>
    <w:rsid w:val="00871595"/>
    <w:rsid w:val="008716E9"/>
    <w:rsid w:val="008725F9"/>
    <w:rsid w:val="008743E7"/>
    <w:rsid w:val="0087444F"/>
    <w:rsid w:val="00875BB5"/>
    <w:rsid w:val="00876A54"/>
    <w:rsid w:val="00876CE3"/>
    <w:rsid w:val="00877950"/>
    <w:rsid w:val="00881FC3"/>
    <w:rsid w:val="00886C8C"/>
    <w:rsid w:val="00886D5E"/>
    <w:rsid w:val="00893727"/>
    <w:rsid w:val="00893D1D"/>
    <w:rsid w:val="00894BB7"/>
    <w:rsid w:val="00894CA2"/>
    <w:rsid w:val="008A1D09"/>
    <w:rsid w:val="008A28CF"/>
    <w:rsid w:val="008A3DE5"/>
    <w:rsid w:val="008A50DC"/>
    <w:rsid w:val="008A5E25"/>
    <w:rsid w:val="008A6681"/>
    <w:rsid w:val="008A7040"/>
    <w:rsid w:val="008B1480"/>
    <w:rsid w:val="008B266A"/>
    <w:rsid w:val="008B470A"/>
    <w:rsid w:val="008B79B1"/>
    <w:rsid w:val="008B7DBA"/>
    <w:rsid w:val="008B7E8C"/>
    <w:rsid w:val="008B7FAB"/>
    <w:rsid w:val="008C17B6"/>
    <w:rsid w:val="008C4229"/>
    <w:rsid w:val="008C44AE"/>
    <w:rsid w:val="008C6784"/>
    <w:rsid w:val="008C70C3"/>
    <w:rsid w:val="008D0D38"/>
    <w:rsid w:val="008D22D4"/>
    <w:rsid w:val="008D2ABE"/>
    <w:rsid w:val="008D3ADA"/>
    <w:rsid w:val="008D45AE"/>
    <w:rsid w:val="008E1154"/>
    <w:rsid w:val="008E695B"/>
    <w:rsid w:val="008E7BF1"/>
    <w:rsid w:val="008F0841"/>
    <w:rsid w:val="008F3BAD"/>
    <w:rsid w:val="008F3C10"/>
    <w:rsid w:val="008F7958"/>
    <w:rsid w:val="0090169B"/>
    <w:rsid w:val="009026E0"/>
    <w:rsid w:val="00902AFD"/>
    <w:rsid w:val="00902D67"/>
    <w:rsid w:val="00903289"/>
    <w:rsid w:val="00903606"/>
    <w:rsid w:val="00910BC2"/>
    <w:rsid w:val="00910C2C"/>
    <w:rsid w:val="009112A0"/>
    <w:rsid w:val="00911D16"/>
    <w:rsid w:val="00912F6A"/>
    <w:rsid w:val="00913E0A"/>
    <w:rsid w:val="0091611B"/>
    <w:rsid w:val="00925208"/>
    <w:rsid w:val="0092561B"/>
    <w:rsid w:val="0092658D"/>
    <w:rsid w:val="00930B28"/>
    <w:rsid w:val="00931F7E"/>
    <w:rsid w:val="009346C4"/>
    <w:rsid w:val="00935EF9"/>
    <w:rsid w:val="00937DE3"/>
    <w:rsid w:val="00940C53"/>
    <w:rsid w:val="00942B2A"/>
    <w:rsid w:val="00943675"/>
    <w:rsid w:val="009439A4"/>
    <w:rsid w:val="009456F6"/>
    <w:rsid w:val="00947281"/>
    <w:rsid w:val="00947431"/>
    <w:rsid w:val="00947FA9"/>
    <w:rsid w:val="0095118F"/>
    <w:rsid w:val="00952EBF"/>
    <w:rsid w:val="009609F6"/>
    <w:rsid w:val="009610A9"/>
    <w:rsid w:val="00961332"/>
    <w:rsid w:val="009619C5"/>
    <w:rsid w:val="00962B0D"/>
    <w:rsid w:val="009733A4"/>
    <w:rsid w:val="00977037"/>
    <w:rsid w:val="0097773C"/>
    <w:rsid w:val="009823BE"/>
    <w:rsid w:val="00993465"/>
    <w:rsid w:val="00993840"/>
    <w:rsid w:val="00994031"/>
    <w:rsid w:val="009A0759"/>
    <w:rsid w:val="009A7748"/>
    <w:rsid w:val="009B00E8"/>
    <w:rsid w:val="009B06A2"/>
    <w:rsid w:val="009B1653"/>
    <w:rsid w:val="009B3B16"/>
    <w:rsid w:val="009B4091"/>
    <w:rsid w:val="009B5CAE"/>
    <w:rsid w:val="009C0AF9"/>
    <w:rsid w:val="009C4BE2"/>
    <w:rsid w:val="009C6101"/>
    <w:rsid w:val="009C786A"/>
    <w:rsid w:val="009D0148"/>
    <w:rsid w:val="009D214F"/>
    <w:rsid w:val="009D2DEE"/>
    <w:rsid w:val="009D3681"/>
    <w:rsid w:val="009D4EFF"/>
    <w:rsid w:val="009D5E32"/>
    <w:rsid w:val="009D745D"/>
    <w:rsid w:val="009E1DFD"/>
    <w:rsid w:val="009E1E88"/>
    <w:rsid w:val="009E2EB8"/>
    <w:rsid w:val="009E40D0"/>
    <w:rsid w:val="009E4432"/>
    <w:rsid w:val="009E4F0A"/>
    <w:rsid w:val="009E566C"/>
    <w:rsid w:val="009E7124"/>
    <w:rsid w:val="009F2B98"/>
    <w:rsid w:val="009F324F"/>
    <w:rsid w:val="009F4ADA"/>
    <w:rsid w:val="009F7867"/>
    <w:rsid w:val="00A00FDF"/>
    <w:rsid w:val="00A02B17"/>
    <w:rsid w:val="00A06717"/>
    <w:rsid w:val="00A104BE"/>
    <w:rsid w:val="00A10FA8"/>
    <w:rsid w:val="00A1192E"/>
    <w:rsid w:val="00A139A2"/>
    <w:rsid w:val="00A169DE"/>
    <w:rsid w:val="00A22B21"/>
    <w:rsid w:val="00A258B5"/>
    <w:rsid w:val="00A2782D"/>
    <w:rsid w:val="00A306BA"/>
    <w:rsid w:val="00A312D1"/>
    <w:rsid w:val="00A3370B"/>
    <w:rsid w:val="00A34F89"/>
    <w:rsid w:val="00A3536C"/>
    <w:rsid w:val="00A416DF"/>
    <w:rsid w:val="00A4215A"/>
    <w:rsid w:val="00A431A2"/>
    <w:rsid w:val="00A43489"/>
    <w:rsid w:val="00A44DBB"/>
    <w:rsid w:val="00A450AF"/>
    <w:rsid w:val="00A45EEB"/>
    <w:rsid w:val="00A479EF"/>
    <w:rsid w:val="00A47A31"/>
    <w:rsid w:val="00A530EE"/>
    <w:rsid w:val="00A5400D"/>
    <w:rsid w:val="00A54268"/>
    <w:rsid w:val="00A5481B"/>
    <w:rsid w:val="00A55E1B"/>
    <w:rsid w:val="00A60182"/>
    <w:rsid w:val="00A60485"/>
    <w:rsid w:val="00A61A1D"/>
    <w:rsid w:val="00A63A9E"/>
    <w:rsid w:val="00A663B0"/>
    <w:rsid w:val="00A66FF0"/>
    <w:rsid w:val="00A67696"/>
    <w:rsid w:val="00A70A9E"/>
    <w:rsid w:val="00A74CC8"/>
    <w:rsid w:val="00A755EA"/>
    <w:rsid w:val="00A767B3"/>
    <w:rsid w:val="00A8472A"/>
    <w:rsid w:val="00A87582"/>
    <w:rsid w:val="00A91F45"/>
    <w:rsid w:val="00A937A4"/>
    <w:rsid w:val="00A947F5"/>
    <w:rsid w:val="00A96154"/>
    <w:rsid w:val="00A97388"/>
    <w:rsid w:val="00AA50CC"/>
    <w:rsid w:val="00AA617C"/>
    <w:rsid w:val="00AA67C7"/>
    <w:rsid w:val="00AB2444"/>
    <w:rsid w:val="00AB5320"/>
    <w:rsid w:val="00AB6274"/>
    <w:rsid w:val="00AB6C69"/>
    <w:rsid w:val="00AC09EC"/>
    <w:rsid w:val="00AC1925"/>
    <w:rsid w:val="00AC5F9B"/>
    <w:rsid w:val="00AD3B91"/>
    <w:rsid w:val="00AE19E4"/>
    <w:rsid w:val="00AE1A2E"/>
    <w:rsid w:val="00AE417A"/>
    <w:rsid w:val="00AE7A36"/>
    <w:rsid w:val="00AF180A"/>
    <w:rsid w:val="00AF424D"/>
    <w:rsid w:val="00B00911"/>
    <w:rsid w:val="00B02D66"/>
    <w:rsid w:val="00B03625"/>
    <w:rsid w:val="00B045A9"/>
    <w:rsid w:val="00B04858"/>
    <w:rsid w:val="00B06252"/>
    <w:rsid w:val="00B06255"/>
    <w:rsid w:val="00B06B51"/>
    <w:rsid w:val="00B20593"/>
    <w:rsid w:val="00B24E2A"/>
    <w:rsid w:val="00B253C0"/>
    <w:rsid w:val="00B26518"/>
    <w:rsid w:val="00B31DA3"/>
    <w:rsid w:val="00B3289E"/>
    <w:rsid w:val="00B32EF4"/>
    <w:rsid w:val="00B33BF3"/>
    <w:rsid w:val="00B3567D"/>
    <w:rsid w:val="00B35774"/>
    <w:rsid w:val="00B37BA9"/>
    <w:rsid w:val="00B40112"/>
    <w:rsid w:val="00B45E49"/>
    <w:rsid w:val="00B51FCC"/>
    <w:rsid w:val="00B52976"/>
    <w:rsid w:val="00B52E38"/>
    <w:rsid w:val="00B5707B"/>
    <w:rsid w:val="00B5739F"/>
    <w:rsid w:val="00B62BE0"/>
    <w:rsid w:val="00B6398A"/>
    <w:rsid w:val="00B65DCA"/>
    <w:rsid w:val="00B6614D"/>
    <w:rsid w:val="00B67862"/>
    <w:rsid w:val="00B743EC"/>
    <w:rsid w:val="00B744C6"/>
    <w:rsid w:val="00B800DC"/>
    <w:rsid w:val="00B8072B"/>
    <w:rsid w:val="00B8162A"/>
    <w:rsid w:val="00B817FA"/>
    <w:rsid w:val="00B82B89"/>
    <w:rsid w:val="00B836D9"/>
    <w:rsid w:val="00B85197"/>
    <w:rsid w:val="00B91FC0"/>
    <w:rsid w:val="00B93A78"/>
    <w:rsid w:val="00B93CA0"/>
    <w:rsid w:val="00BB0E5B"/>
    <w:rsid w:val="00BB20C2"/>
    <w:rsid w:val="00BB22DB"/>
    <w:rsid w:val="00BB5741"/>
    <w:rsid w:val="00BB5809"/>
    <w:rsid w:val="00BB6025"/>
    <w:rsid w:val="00BB76E9"/>
    <w:rsid w:val="00BC102E"/>
    <w:rsid w:val="00BC1E63"/>
    <w:rsid w:val="00BC3949"/>
    <w:rsid w:val="00BC3D6E"/>
    <w:rsid w:val="00BC6D8A"/>
    <w:rsid w:val="00BD08C9"/>
    <w:rsid w:val="00BD1A8E"/>
    <w:rsid w:val="00BD3C8E"/>
    <w:rsid w:val="00BD6597"/>
    <w:rsid w:val="00BD6BE5"/>
    <w:rsid w:val="00BD78E4"/>
    <w:rsid w:val="00BE03B6"/>
    <w:rsid w:val="00BE166E"/>
    <w:rsid w:val="00BE21BE"/>
    <w:rsid w:val="00BE4A60"/>
    <w:rsid w:val="00BE60DE"/>
    <w:rsid w:val="00BF1B43"/>
    <w:rsid w:val="00BF3C21"/>
    <w:rsid w:val="00BF4BA0"/>
    <w:rsid w:val="00BF5E08"/>
    <w:rsid w:val="00BF7090"/>
    <w:rsid w:val="00C0007D"/>
    <w:rsid w:val="00C011E4"/>
    <w:rsid w:val="00C05062"/>
    <w:rsid w:val="00C135C0"/>
    <w:rsid w:val="00C139A9"/>
    <w:rsid w:val="00C20652"/>
    <w:rsid w:val="00C239D9"/>
    <w:rsid w:val="00C24DB4"/>
    <w:rsid w:val="00C263A7"/>
    <w:rsid w:val="00C31176"/>
    <w:rsid w:val="00C32240"/>
    <w:rsid w:val="00C36501"/>
    <w:rsid w:val="00C37DE7"/>
    <w:rsid w:val="00C4002C"/>
    <w:rsid w:val="00C45136"/>
    <w:rsid w:val="00C45B14"/>
    <w:rsid w:val="00C478E5"/>
    <w:rsid w:val="00C50E66"/>
    <w:rsid w:val="00C51001"/>
    <w:rsid w:val="00C53E98"/>
    <w:rsid w:val="00C542D3"/>
    <w:rsid w:val="00C55B45"/>
    <w:rsid w:val="00C570E4"/>
    <w:rsid w:val="00C60639"/>
    <w:rsid w:val="00C61A78"/>
    <w:rsid w:val="00C638A6"/>
    <w:rsid w:val="00C718CF"/>
    <w:rsid w:val="00C74A55"/>
    <w:rsid w:val="00C7601F"/>
    <w:rsid w:val="00C810A7"/>
    <w:rsid w:val="00C84941"/>
    <w:rsid w:val="00C86BB6"/>
    <w:rsid w:val="00C9004E"/>
    <w:rsid w:val="00C909BC"/>
    <w:rsid w:val="00C90E09"/>
    <w:rsid w:val="00C914B9"/>
    <w:rsid w:val="00C93DFA"/>
    <w:rsid w:val="00C96B0D"/>
    <w:rsid w:val="00C96B38"/>
    <w:rsid w:val="00C97EBE"/>
    <w:rsid w:val="00CA0D39"/>
    <w:rsid w:val="00CA1138"/>
    <w:rsid w:val="00CA51CA"/>
    <w:rsid w:val="00CA5A5A"/>
    <w:rsid w:val="00CA7B52"/>
    <w:rsid w:val="00CB0F32"/>
    <w:rsid w:val="00CB1D63"/>
    <w:rsid w:val="00CB5A4D"/>
    <w:rsid w:val="00CC3250"/>
    <w:rsid w:val="00CC5AE5"/>
    <w:rsid w:val="00CC5BD9"/>
    <w:rsid w:val="00CC6D98"/>
    <w:rsid w:val="00CC6EE0"/>
    <w:rsid w:val="00CD0746"/>
    <w:rsid w:val="00CD2EE1"/>
    <w:rsid w:val="00CD6574"/>
    <w:rsid w:val="00CD77E1"/>
    <w:rsid w:val="00CE018A"/>
    <w:rsid w:val="00CE59AB"/>
    <w:rsid w:val="00CF7EAE"/>
    <w:rsid w:val="00D03B52"/>
    <w:rsid w:val="00D0763E"/>
    <w:rsid w:val="00D10C26"/>
    <w:rsid w:val="00D132BC"/>
    <w:rsid w:val="00D13C2E"/>
    <w:rsid w:val="00D15B5C"/>
    <w:rsid w:val="00D2101A"/>
    <w:rsid w:val="00D214E1"/>
    <w:rsid w:val="00D2295E"/>
    <w:rsid w:val="00D23350"/>
    <w:rsid w:val="00D2776A"/>
    <w:rsid w:val="00D3052E"/>
    <w:rsid w:val="00D322D6"/>
    <w:rsid w:val="00D3337D"/>
    <w:rsid w:val="00D34BAE"/>
    <w:rsid w:val="00D40509"/>
    <w:rsid w:val="00D41693"/>
    <w:rsid w:val="00D4255F"/>
    <w:rsid w:val="00D45007"/>
    <w:rsid w:val="00D50171"/>
    <w:rsid w:val="00D51EE9"/>
    <w:rsid w:val="00D54970"/>
    <w:rsid w:val="00D56239"/>
    <w:rsid w:val="00D5634E"/>
    <w:rsid w:val="00D57262"/>
    <w:rsid w:val="00D62EE3"/>
    <w:rsid w:val="00D63838"/>
    <w:rsid w:val="00D6730D"/>
    <w:rsid w:val="00D70DEF"/>
    <w:rsid w:val="00D7212F"/>
    <w:rsid w:val="00D779CC"/>
    <w:rsid w:val="00D80579"/>
    <w:rsid w:val="00D81E9B"/>
    <w:rsid w:val="00D85EC7"/>
    <w:rsid w:val="00D93C48"/>
    <w:rsid w:val="00D93D0A"/>
    <w:rsid w:val="00D96593"/>
    <w:rsid w:val="00D97634"/>
    <w:rsid w:val="00D97918"/>
    <w:rsid w:val="00DA6B00"/>
    <w:rsid w:val="00DB17CA"/>
    <w:rsid w:val="00DB5894"/>
    <w:rsid w:val="00DB58FE"/>
    <w:rsid w:val="00DB63A9"/>
    <w:rsid w:val="00DC110C"/>
    <w:rsid w:val="00DC16D8"/>
    <w:rsid w:val="00DC640F"/>
    <w:rsid w:val="00DD4A10"/>
    <w:rsid w:val="00DD5245"/>
    <w:rsid w:val="00DD63D8"/>
    <w:rsid w:val="00DE1D5C"/>
    <w:rsid w:val="00DE4907"/>
    <w:rsid w:val="00DE5094"/>
    <w:rsid w:val="00DE5573"/>
    <w:rsid w:val="00DE61EC"/>
    <w:rsid w:val="00DE7F28"/>
    <w:rsid w:val="00DF5FB6"/>
    <w:rsid w:val="00DF6242"/>
    <w:rsid w:val="00DF6880"/>
    <w:rsid w:val="00DF7663"/>
    <w:rsid w:val="00E026EB"/>
    <w:rsid w:val="00E11AA1"/>
    <w:rsid w:val="00E12AF9"/>
    <w:rsid w:val="00E14081"/>
    <w:rsid w:val="00E22123"/>
    <w:rsid w:val="00E23AA3"/>
    <w:rsid w:val="00E24F71"/>
    <w:rsid w:val="00E31F83"/>
    <w:rsid w:val="00E33B13"/>
    <w:rsid w:val="00E4037E"/>
    <w:rsid w:val="00E40497"/>
    <w:rsid w:val="00E43056"/>
    <w:rsid w:val="00E443DF"/>
    <w:rsid w:val="00E4590F"/>
    <w:rsid w:val="00E466FD"/>
    <w:rsid w:val="00E47511"/>
    <w:rsid w:val="00E500F2"/>
    <w:rsid w:val="00E50399"/>
    <w:rsid w:val="00E51C6A"/>
    <w:rsid w:val="00E557CB"/>
    <w:rsid w:val="00E5684B"/>
    <w:rsid w:val="00E577B9"/>
    <w:rsid w:val="00E62377"/>
    <w:rsid w:val="00E676BC"/>
    <w:rsid w:val="00E700AA"/>
    <w:rsid w:val="00E72BF5"/>
    <w:rsid w:val="00E7308C"/>
    <w:rsid w:val="00E80F3B"/>
    <w:rsid w:val="00E86205"/>
    <w:rsid w:val="00E8685C"/>
    <w:rsid w:val="00E90272"/>
    <w:rsid w:val="00E91195"/>
    <w:rsid w:val="00EA6CDF"/>
    <w:rsid w:val="00EB40C3"/>
    <w:rsid w:val="00EB7456"/>
    <w:rsid w:val="00EC0008"/>
    <w:rsid w:val="00EC13D4"/>
    <w:rsid w:val="00EC38AE"/>
    <w:rsid w:val="00EC3D5C"/>
    <w:rsid w:val="00ED045E"/>
    <w:rsid w:val="00ED23A0"/>
    <w:rsid w:val="00ED3178"/>
    <w:rsid w:val="00ED5034"/>
    <w:rsid w:val="00ED6E8C"/>
    <w:rsid w:val="00EE1416"/>
    <w:rsid w:val="00EF26C6"/>
    <w:rsid w:val="00EF2B75"/>
    <w:rsid w:val="00EF5917"/>
    <w:rsid w:val="00EF7454"/>
    <w:rsid w:val="00F00F49"/>
    <w:rsid w:val="00F040AB"/>
    <w:rsid w:val="00F05455"/>
    <w:rsid w:val="00F06EC0"/>
    <w:rsid w:val="00F075D9"/>
    <w:rsid w:val="00F130A1"/>
    <w:rsid w:val="00F13D27"/>
    <w:rsid w:val="00F16BAA"/>
    <w:rsid w:val="00F17B36"/>
    <w:rsid w:val="00F226C7"/>
    <w:rsid w:val="00F2280A"/>
    <w:rsid w:val="00F24B30"/>
    <w:rsid w:val="00F253E9"/>
    <w:rsid w:val="00F276EB"/>
    <w:rsid w:val="00F30507"/>
    <w:rsid w:val="00F33015"/>
    <w:rsid w:val="00F33267"/>
    <w:rsid w:val="00F33AB7"/>
    <w:rsid w:val="00F33B22"/>
    <w:rsid w:val="00F37178"/>
    <w:rsid w:val="00F37C4B"/>
    <w:rsid w:val="00F40322"/>
    <w:rsid w:val="00F414C3"/>
    <w:rsid w:val="00F427AD"/>
    <w:rsid w:val="00F4478A"/>
    <w:rsid w:val="00F457AB"/>
    <w:rsid w:val="00F50070"/>
    <w:rsid w:val="00F50C80"/>
    <w:rsid w:val="00F565FA"/>
    <w:rsid w:val="00F56C15"/>
    <w:rsid w:val="00F5724E"/>
    <w:rsid w:val="00F70B2E"/>
    <w:rsid w:val="00F74681"/>
    <w:rsid w:val="00F75B23"/>
    <w:rsid w:val="00F7693B"/>
    <w:rsid w:val="00F778E2"/>
    <w:rsid w:val="00F8031F"/>
    <w:rsid w:val="00F817FB"/>
    <w:rsid w:val="00F8360A"/>
    <w:rsid w:val="00F877DF"/>
    <w:rsid w:val="00F90A46"/>
    <w:rsid w:val="00F92514"/>
    <w:rsid w:val="00F93122"/>
    <w:rsid w:val="00F9555C"/>
    <w:rsid w:val="00F975F3"/>
    <w:rsid w:val="00FA39E4"/>
    <w:rsid w:val="00FA63DB"/>
    <w:rsid w:val="00FA6B77"/>
    <w:rsid w:val="00FA7150"/>
    <w:rsid w:val="00FB018A"/>
    <w:rsid w:val="00FB1388"/>
    <w:rsid w:val="00FB3FB0"/>
    <w:rsid w:val="00FB592B"/>
    <w:rsid w:val="00FB77B3"/>
    <w:rsid w:val="00FC364C"/>
    <w:rsid w:val="00FC534A"/>
    <w:rsid w:val="00FC5460"/>
    <w:rsid w:val="00FD169F"/>
    <w:rsid w:val="00FD3BFB"/>
    <w:rsid w:val="00FD4F32"/>
    <w:rsid w:val="00FD5203"/>
    <w:rsid w:val="00FD7182"/>
    <w:rsid w:val="00FD72C9"/>
    <w:rsid w:val="00FE011B"/>
    <w:rsid w:val="00FE47CF"/>
    <w:rsid w:val="00FE6880"/>
    <w:rsid w:val="00FE7255"/>
    <w:rsid w:val="00FE7473"/>
    <w:rsid w:val="00FE79CB"/>
    <w:rsid w:val="00FF21A8"/>
    <w:rsid w:val="00FF7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B5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B4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55B45"/>
    <w:pPr>
      <w:spacing w:after="120" w:line="480" w:lineRule="auto"/>
    </w:pPr>
    <w:rPr>
      <w:lang w:val="x-none"/>
    </w:rPr>
  </w:style>
  <w:style w:type="character" w:customStyle="1" w:styleId="BodyText2Char">
    <w:name w:val="Body Text 2 Char"/>
    <w:basedOn w:val="DefaultParagraphFont"/>
    <w:link w:val="BodyText2"/>
    <w:rsid w:val="00C55B45"/>
    <w:rPr>
      <w:rFonts w:ascii="Times New Roman" w:eastAsia="Times New Roman" w:hAnsi="Times New Roman" w:cs="Times New Roman"/>
      <w:kern w:val="0"/>
      <w:sz w:val="24"/>
      <w:szCs w:val="24"/>
      <w:lang w:val="x-none" w:eastAsia="ru-RU"/>
      <w14:ligatures w14:val="none"/>
    </w:rPr>
  </w:style>
  <w:style w:type="paragraph" w:styleId="Header">
    <w:name w:val="header"/>
    <w:basedOn w:val="Normal"/>
    <w:link w:val="HeaderChar"/>
    <w:uiPriority w:val="99"/>
    <w:unhideWhenUsed/>
    <w:rsid w:val="00585C37"/>
    <w:pPr>
      <w:tabs>
        <w:tab w:val="center" w:pos="4513"/>
        <w:tab w:val="right" w:pos="9026"/>
      </w:tabs>
    </w:pPr>
  </w:style>
  <w:style w:type="character" w:customStyle="1" w:styleId="HeaderChar">
    <w:name w:val="Header Char"/>
    <w:basedOn w:val="DefaultParagraphFont"/>
    <w:link w:val="Header"/>
    <w:uiPriority w:val="99"/>
    <w:rsid w:val="00585C37"/>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iPriority w:val="99"/>
    <w:unhideWhenUsed/>
    <w:rsid w:val="00585C37"/>
    <w:pPr>
      <w:tabs>
        <w:tab w:val="center" w:pos="4513"/>
        <w:tab w:val="right" w:pos="9026"/>
      </w:tabs>
    </w:pPr>
  </w:style>
  <w:style w:type="character" w:customStyle="1" w:styleId="FooterChar">
    <w:name w:val="Footer Char"/>
    <w:basedOn w:val="DefaultParagraphFont"/>
    <w:link w:val="Footer"/>
    <w:uiPriority w:val="99"/>
    <w:qFormat/>
    <w:rsid w:val="00585C37"/>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qFormat/>
    <w:rsid w:val="00585C37"/>
  </w:style>
  <w:style w:type="character" w:styleId="Hyperlink">
    <w:name w:val="Hyperlink"/>
    <w:basedOn w:val="DefaultParagraphFont"/>
    <w:uiPriority w:val="99"/>
    <w:unhideWhenUsed/>
    <w:rsid w:val="008504DA"/>
    <w:rPr>
      <w:color w:val="0000FF"/>
      <w:u w:val="single"/>
    </w:rPr>
  </w:style>
  <w:style w:type="character" w:styleId="CommentReference">
    <w:name w:val="annotation reference"/>
    <w:basedOn w:val="DefaultParagraphFont"/>
    <w:uiPriority w:val="99"/>
    <w:semiHidden/>
    <w:unhideWhenUsed/>
    <w:rsid w:val="00514143"/>
    <w:rPr>
      <w:sz w:val="16"/>
      <w:szCs w:val="16"/>
    </w:rPr>
  </w:style>
  <w:style w:type="paragraph" w:styleId="CommentText">
    <w:name w:val="annotation text"/>
    <w:basedOn w:val="Normal"/>
    <w:link w:val="CommentTextChar"/>
    <w:uiPriority w:val="99"/>
    <w:unhideWhenUsed/>
    <w:rsid w:val="00514143"/>
    <w:rPr>
      <w:sz w:val="20"/>
      <w:szCs w:val="20"/>
    </w:rPr>
  </w:style>
  <w:style w:type="character" w:customStyle="1" w:styleId="CommentTextChar">
    <w:name w:val="Comment Text Char"/>
    <w:basedOn w:val="DefaultParagraphFont"/>
    <w:link w:val="CommentText"/>
    <w:uiPriority w:val="99"/>
    <w:rsid w:val="00514143"/>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514143"/>
    <w:rPr>
      <w:b/>
      <w:bCs/>
    </w:rPr>
  </w:style>
  <w:style w:type="character" w:customStyle="1" w:styleId="CommentSubjectChar">
    <w:name w:val="Comment Subject Char"/>
    <w:basedOn w:val="CommentTextChar"/>
    <w:link w:val="CommentSubject"/>
    <w:uiPriority w:val="99"/>
    <w:semiHidden/>
    <w:rsid w:val="00514143"/>
    <w:rPr>
      <w:rFonts w:ascii="Times New Roman" w:eastAsia="Times New Roman" w:hAnsi="Times New Roman" w:cs="Times New Roman"/>
      <w:b/>
      <w:bCs/>
      <w:kern w:val="0"/>
      <w:sz w:val="20"/>
      <w:szCs w:val="20"/>
      <w:lang w:eastAsia="ru-RU"/>
      <w14:ligatures w14:val="none"/>
    </w:rPr>
  </w:style>
  <w:style w:type="paragraph" w:styleId="BalloonText">
    <w:name w:val="Balloon Text"/>
    <w:basedOn w:val="Normal"/>
    <w:link w:val="BalloonTextChar"/>
    <w:uiPriority w:val="99"/>
    <w:semiHidden/>
    <w:unhideWhenUsed/>
    <w:rsid w:val="00796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E6"/>
    <w:rPr>
      <w:rFonts w:ascii="Segoe UI" w:eastAsia="Times New Roman" w:hAnsi="Segoe UI" w:cs="Segoe UI"/>
      <w:kern w:val="0"/>
      <w:sz w:val="18"/>
      <w:szCs w:val="18"/>
      <w:lang w:eastAsia="ru-RU"/>
      <w14:ligatures w14:val="none"/>
    </w:rPr>
  </w:style>
  <w:style w:type="character" w:customStyle="1" w:styleId="highlight">
    <w:name w:val="highlight"/>
    <w:basedOn w:val="DefaultParagraphFont"/>
    <w:rsid w:val="00B04858"/>
  </w:style>
  <w:style w:type="character" w:styleId="UnresolvedMention">
    <w:name w:val="Unresolved Mention"/>
    <w:basedOn w:val="DefaultParagraphFont"/>
    <w:uiPriority w:val="99"/>
    <w:semiHidden/>
    <w:unhideWhenUsed/>
    <w:rsid w:val="00176CF6"/>
    <w:rPr>
      <w:color w:val="605E5C"/>
      <w:shd w:val="clear" w:color="auto" w:fill="E1DFDD"/>
    </w:rPr>
  </w:style>
  <w:style w:type="character" w:styleId="FollowedHyperlink">
    <w:name w:val="FollowedHyperlink"/>
    <w:basedOn w:val="DefaultParagraphFont"/>
    <w:uiPriority w:val="99"/>
    <w:semiHidden/>
    <w:unhideWhenUsed/>
    <w:rsid w:val="00176CF6"/>
    <w:rPr>
      <w:color w:val="954F72" w:themeColor="followedHyperlink"/>
      <w:u w:val="single"/>
    </w:rPr>
  </w:style>
  <w:style w:type="paragraph" w:styleId="Revision">
    <w:name w:val="Revision"/>
    <w:hidden/>
    <w:uiPriority w:val="99"/>
    <w:semiHidden/>
    <w:rsid w:val="007F0579"/>
    <w:pPr>
      <w:spacing w:after="0" w:line="240" w:lineRule="auto"/>
    </w:pPr>
    <w:rPr>
      <w:rFonts w:ascii="Times New Roman" w:eastAsia="Times New Roman" w:hAnsi="Times New Roman" w:cs="Times New Roman"/>
      <w:kern w:val="0"/>
      <w:sz w:val="24"/>
      <w:szCs w:val="24"/>
      <w:lang w:eastAsia="ru-RU"/>
      <w14:ligatures w14:val="none"/>
    </w:rPr>
  </w:style>
  <w:style w:type="table" w:styleId="TableGrid">
    <w:name w:val="Table Grid"/>
    <w:basedOn w:val="TableNormal"/>
    <w:rsid w:val="00D51EE9"/>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1C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14857">
      <w:bodyDiv w:val="1"/>
      <w:marLeft w:val="0"/>
      <w:marRight w:val="0"/>
      <w:marTop w:val="0"/>
      <w:marBottom w:val="0"/>
      <w:divBdr>
        <w:top w:val="none" w:sz="0" w:space="0" w:color="auto"/>
        <w:left w:val="none" w:sz="0" w:space="0" w:color="auto"/>
        <w:bottom w:val="none" w:sz="0" w:space="0" w:color="auto"/>
        <w:right w:val="none" w:sz="0" w:space="0" w:color="auto"/>
      </w:divBdr>
    </w:div>
    <w:div w:id="1677920250">
      <w:bodyDiv w:val="1"/>
      <w:marLeft w:val="0"/>
      <w:marRight w:val="0"/>
      <w:marTop w:val="0"/>
      <w:marBottom w:val="0"/>
      <w:divBdr>
        <w:top w:val="none" w:sz="0" w:space="0" w:color="auto"/>
        <w:left w:val="none" w:sz="0" w:space="0" w:color="auto"/>
        <w:bottom w:val="none" w:sz="0" w:space="0" w:color="auto"/>
        <w:right w:val="none" w:sz="0" w:space="0" w:color="auto"/>
      </w:divBdr>
      <w:divsChild>
        <w:div w:id="1715040691">
          <w:marLeft w:val="0"/>
          <w:marRight w:val="0"/>
          <w:marTop w:val="15"/>
          <w:marBottom w:val="0"/>
          <w:divBdr>
            <w:top w:val="single" w:sz="48" w:space="0" w:color="auto"/>
            <w:left w:val="single" w:sz="48" w:space="0" w:color="auto"/>
            <w:bottom w:val="single" w:sz="48" w:space="0" w:color="auto"/>
            <w:right w:val="single" w:sz="48" w:space="0" w:color="auto"/>
          </w:divBdr>
          <w:divsChild>
            <w:div w:id="1431507018">
              <w:marLeft w:val="0"/>
              <w:marRight w:val="0"/>
              <w:marTop w:val="0"/>
              <w:marBottom w:val="0"/>
              <w:divBdr>
                <w:top w:val="none" w:sz="0" w:space="0" w:color="auto"/>
                <w:left w:val="none" w:sz="0" w:space="0" w:color="auto"/>
                <w:bottom w:val="none" w:sz="0" w:space="0" w:color="auto"/>
                <w:right w:val="none" w:sz="0" w:space="0" w:color="auto"/>
              </w:divBdr>
            </w:div>
          </w:divsChild>
        </w:div>
        <w:div w:id="234978102">
          <w:marLeft w:val="0"/>
          <w:marRight w:val="0"/>
          <w:marTop w:val="15"/>
          <w:marBottom w:val="0"/>
          <w:divBdr>
            <w:top w:val="single" w:sz="48" w:space="0" w:color="auto"/>
            <w:left w:val="single" w:sz="48" w:space="0" w:color="auto"/>
            <w:bottom w:val="single" w:sz="48" w:space="0" w:color="auto"/>
            <w:right w:val="single" w:sz="48" w:space="0" w:color="auto"/>
          </w:divBdr>
          <w:divsChild>
            <w:div w:id="215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9542">
      <w:bodyDiv w:val="1"/>
      <w:marLeft w:val="0"/>
      <w:marRight w:val="0"/>
      <w:marTop w:val="0"/>
      <w:marBottom w:val="0"/>
      <w:divBdr>
        <w:top w:val="none" w:sz="0" w:space="0" w:color="auto"/>
        <w:left w:val="none" w:sz="0" w:space="0" w:color="auto"/>
        <w:bottom w:val="none" w:sz="0" w:space="0" w:color="auto"/>
        <w:right w:val="none" w:sz="0" w:space="0" w:color="auto"/>
      </w:divBdr>
    </w:div>
    <w:div w:id="19291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eb/viewer.html?file=https://www.satv.tiesa.gov.lv/wp-content/uploads/2024/12/2023_47_01_Spriedums.pdf" TargetMode="External"/><Relationship Id="rId13" Type="http://schemas.openxmlformats.org/officeDocument/2006/relationships/hyperlink" Target="https://www.satv.tiesa.gov.lv/wp-content/uploads/2024/10/2023-44-01-spriedums.pdf" TargetMode="External"/><Relationship Id="rId3" Type="http://schemas.openxmlformats.org/officeDocument/2006/relationships/settings" Target="settings.xml"/><Relationship Id="rId7" Type="http://schemas.openxmlformats.org/officeDocument/2006/relationships/hyperlink" Target="https://manas.tiesas.lv/eTiesasMvc/nolemumi/pdf/549673.pdf" TargetMode="External"/><Relationship Id="rId12" Type="http://schemas.openxmlformats.org/officeDocument/2006/relationships/hyperlink" Target="https://www.satv.tiesa.gov.lv/web/viewer.html?file=https://www.satv.tiesa.gov.lv/wp-content/uploads/2024/12/2023_47_01_Spriedum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atv.tiesa.gov.lv/web/viewer.html?file=https://www.satv.tiesa.gov.lv/wp-content/uploads/2024/12/2023_47_01_Spriedum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atv.tiesa.gov.lv/web/viewer.html?file=https://www.satv.tiesa.gov.lv/wp-content/uploads/2021/10/2021-41-01_Spriedums.pdf" TargetMode="External"/><Relationship Id="rId4" Type="http://schemas.openxmlformats.org/officeDocument/2006/relationships/webSettings" Target="webSettings.xml"/><Relationship Id="rId9" Type="http://schemas.openxmlformats.org/officeDocument/2006/relationships/hyperlink" Target="https://www.satv.tiesa.gov.lv/web/viewer.html?file=https://www.satv.tiesa.gov.lv/wp-content/uploads/2024/12/2023_47_01_Spriedum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A516-FA50-4F4F-B5DC-BB41EB14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8709</Words>
  <Characters>4965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2025-02-28T08:34:00Z</dcterms:created>
  <dcterms:modified xsi:type="dcterms:W3CDTF">2025-02-28T08:50:00Z</dcterms:modified>
</cp:coreProperties>
</file>