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B169" w14:textId="77777777" w:rsidR="009C1BA3" w:rsidRDefault="009C1BA3" w:rsidP="009C1BA3">
      <w:pPr>
        <w:spacing w:line="276" w:lineRule="auto"/>
        <w:rPr>
          <w:b/>
          <w:bCs/>
        </w:rPr>
      </w:pPr>
      <w:r w:rsidRPr="009C1BA3">
        <w:rPr>
          <w:b/>
          <w:bCs/>
        </w:rPr>
        <w:t>Tiesas objektīvās neitralitātes prasība</w:t>
      </w:r>
    </w:p>
    <w:p w14:paraId="447470C3" w14:textId="77777777" w:rsidR="009C1BA3" w:rsidRPr="0066262E" w:rsidRDefault="009C1BA3" w:rsidP="009C1BA3">
      <w:pPr>
        <w:spacing w:line="276" w:lineRule="auto"/>
        <w:jc w:val="both"/>
      </w:pPr>
      <w:r w:rsidRPr="0066262E">
        <w:t xml:space="preserve">Lai garantētu tiesībās uz taisnīgu tiesu ietvertās tiesas objektīvās neitralitātes prasības ievērošanu, tiesnesim ir pienākums novērtēt savu spēju izspriest lietu objektīvi un iespaidu, kāds tiks radīts sabiedrībai par konkrēto kriminālprocesu arī tad, ja lietā nav pieteikts noraidījums. </w:t>
      </w:r>
    </w:p>
    <w:p w14:paraId="48470AD4" w14:textId="0948A6B8" w:rsidR="00A73D10" w:rsidRPr="009E2757" w:rsidRDefault="009C1BA3" w:rsidP="009C1BA3">
      <w:pPr>
        <w:spacing w:line="276" w:lineRule="auto"/>
        <w:jc w:val="both"/>
        <w:rPr>
          <w:lang w:eastAsia="lv-LV"/>
        </w:rPr>
      </w:pPr>
      <w:r w:rsidRPr="0066262E">
        <w:t>Par tiesas objektīvo neitralitāti pamatotas šaubas var rasties gadījumā, ja tiesneša iepriekš pieņemtajā nolēmumā ir ietverti atzinumi, kas faktiski nosaka apsūdzētā vainīgumu citā procesā.</w:t>
      </w:r>
    </w:p>
    <w:p w14:paraId="3FAA6A84" w14:textId="5437C2D6" w:rsidR="00447EE6" w:rsidRPr="009E2757" w:rsidRDefault="00447EE6" w:rsidP="001F0E3A">
      <w:pPr>
        <w:spacing w:line="276" w:lineRule="auto"/>
        <w:ind w:firstLine="720"/>
        <w:jc w:val="right"/>
        <w:rPr>
          <w:lang w:eastAsia="lv-LV"/>
        </w:rPr>
      </w:pPr>
    </w:p>
    <w:p w14:paraId="30EF74F0" w14:textId="5F4CB457" w:rsidR="00447EE6" w:rsidRPr="009C1BA3" w:rsidRDefault="00447EE6" w:rsidP="009C1BA3">
      <w:pPr>
        <w:spacing w:line="276" w:lineRule="auto"/>
        <w:jc w:val="center"/>
        <w:rPr>
          <w:b/>
        </w:rPr>
      </w:pPr>
      <w:r w:rsidRPr="009C1BA3">
        <w:rPr>
          <w:b/>
        </w:rPr>
        <w:t>Latvijas Republikas Senāt</w:t>
      </w:r>
      <w:r w:rsidR="009C1BA3" w:rsidRPr="009C1BA3">
        <w:rPr>
          <w:b/>
        </w:rPr>
        <w:t>a</w:t>
      </w:r>
    </w:p>
    <w:p w14:paraId="0E76AE02" w14:textId="6C9872C4" w:rsidR="009C1BA3" w:rsidRPr="009C1BA3" w:rsidRDefault="009C1BA3" w:rsidP="009C1BA3">
      <w:pPr>
        <w:spacing w:line="276" w:lineRule="auto"/>
        <w:jc w:val="center"/>
        <w:rPr>
          <w:b/>
          <w:lang w:eastAsia="lv-LV"/>
        </w:rPr>
      </w:pPr>
      <w:r w:rsidRPr="009C1BA3">
        <w:rPr>
          <w:b/>
          <w:lang w:eastAsia="lv-LV"/>
        </w:rPr>
        <w:t>Krimināllietu departament</w:t>
      </w:r>
      <w:r w:rsidRPr="009C1BA3">
        <w:rPr>
          <w:b/>
          <w:lang w:eastAsia="lv-LV"/>
        </w:rPr>
        <w:t>a</w:t>
      </w:r>
    </w:p>
    <w:p w14:paraId="20489A2F" w14:textId="20840FB8" w:rsidR="009C1BA3" w:rsidRPr="009C1BA3" w:rsidRDefault="009C1BA3" w:rsidP="009C1BA3">
      <w:pPr>
        <w:spacing w:line="276" w:lineRule="auto"/>
        <w:jc w:val="center"/>
        <w:rPr>
          <w:b/>
          <w:lang w:eastAsia="lv-LV"/>
        </w:rPr>
      </w:pPr>
      <w:r w:rsidRPr="009C1BA3">
        <w:rPr>
          <w:b/>
        </w:rPr>
        <w:t>2025. gada 31. janvār</w:t>
      </w:r>
      <w:r w:rsidRPr="009C1BA3">
        <w:rPr>
          <w:b/>
        </w:rPr>
        <w:t>a</w:t>
      </w:r>
    </w:p>
    <w:p w14:paraId="6D65DEB2" w14:textId="2E329B87" w:rsidR="00447EE6" w:rsidRPr="009C1BA3" w:rsidRDefault="00490710" w:rsidP="009C1BA3">
      <w:pPr>
        <w:spacing w:line="276" w:lineRule="auto"/>
        <w:jc w:val="center"/>
        <w:rPr>
          <w:b/>
        </w:rPr>
      </w:pPr>
      <w:r w:rsidRPr="009C1BA3">
        <w:rPr>
          <w:b/>
        </w:rPr>
        <w:t>LĒMUMS</w:t>
      </w:r>
    </w:p>
    <w:p w14:paraId="60EEF195" w14:textId="77777777" w:rsidR="009C1BA3" w:rsidRDefault="009C1BA3" w:rsidP="009C1BA3">
      <w:pPr>
        <w:spacing w:line="276" w:lineRule="auto"/>
        <w:jc w:val="center"/>
        <w:rPr>
          <w:b/>
        </w:rPr>
      </w:pPr>
      <w:r w:rsidRPr="009C1BA3">
        <w:rPr>
          <w:b/>
          <w:lang w:eastAsia="lv-LV"/>
        </w:rPr>
        <w:t xml:space="preserve">Lieta Nr. 11151006322, </w:t>
      </w:r>
      <w:r w:rsidRPr="009C1BA3">
        <w:rPr>
          <w:b/>
        </w:rPr>
        <w:t>SKK</w:t>
      </w:r>
      <w:bookmarkStart w:id="0" w:name="_Hlk160005825"/>
      <w:r w:rsidRPr="009C1BA3">
        <w:rPr>
          <w:b/>
        </w:rPr>
        <w:noBreakHyphen/>
      </w:r>
      <w:bookmarkEnd w:id="0"/>
      <w:r w:rsidRPr="009C1BA3">
        <w:rPr>
          <w:b/>
        </w:rPr>
        <w:t>76/2025</w:t>
      </w:r>
    </w:p>
    <w:p w14:paraId="781D45C0" w14:textId="2839227A" w:rsidR="00447EE6" w:rsidRPr="009E2757" w:rsidRDefault="009C1BA3" w:rsidP="009C1BA3">
      <w:pPr>
        <w:spacing w:line="276" w:lineRule="auto"/>
        <w:jc w:val="center"/>
      </w:pPr>
      <w:hyperlink r:id="rId8" w:history="1">
        <w:r w:rsidRPr="009C1BA3">
          <w:rPr>
            <w:rStyle w:val="Hyperlink"/>
          </w:rPr>
          <w:t>ECLI:LV:AT:2025:0131.11151006322.4.L</w:t>
        </w:r>
      </w:hyperlink>
    </w:p>
    <w:p w14:paraId="275542B2" w14:textId="77777777" w:rsidR="008E6216" w:rsidRPr="009E2757" w:rsidRDefault="008E6216" w:rsidP="001F0E3A">
      <w:pPr>
        <w:spacing w:line="276" w:lineRule="auto"/>
        <w:ind w:firstLine="720"/>
        <w:jc w:val="center"/>
      </w:pPr>
    </w:p>
    <w:p w14:paraId="1609D6F5" w14:textId="09857650" w:rsidR="00447EE6" w:rsidRPr="009E2757" w:rsidRDefault="00447EE6" w:rsidP="001F0E3A">
      <w:pPr>
        <w:spacing w:line="276" w:lineRule="auto"/>
        <w:ind w:firstLine="720"/>
        <w:jc w:val="both"/>
      </w:pPr>
      <w:r w:rsidRPr="009E2757">
        <w:t>Senāts šādā sastāvā:</w:t>
      </w:r>
      <w:r w:rsidR="00350A0B" w:rsidRPr="009E2757">
        <w:t xml:space="preserve"> senatore referente Aija Branta, </w:t>
      </w:r>
      <w:r w:rsidR="00384249" w:rsidRPr="009E2757">
        <w:t>senator</w:t>
      </w:r>
      <w:r w:rsidR="00DB734A" w:rsidRPr="009E2757">
        <w:t>i</w:t>
      </w:r>
      <w:r w:rsidR="0030244D" w:rsidRPr="009E2757">
        <w:t xml:space="preserve"> </w:t>
      </w:r>
      <w:r w:rsidR="00CC310F" w:rsidRPr="009E2757">
        <w:t>I</w:t>
      </w:r>
      <w:r w:rsidR="00DB734A" w:rsidRPr="009E2757">
        <w:t>rīna Jansone</w:t>
      </w:r>
      <w:r w:rsidR="00CC310F" w:rsidRPr="009E2757">
        <w:t xml:space="preserve"> </w:t>
      </w:r>
      <w:r w:rsidR="0030244D" w:rsidRPr="009E2757">
        <w:t xml:space="preserve">un </w:t>
      </w:r>
      <w:r w:rsidR="00CC310F" w:rsidRPr="009E2757">
        <w:t>A</w:t>
      </w:r>
      <w:r w:rsidR="00DB734A" w:rsidRPr="009E2757">
        <w:t>ivars Uminskis</w:t>
      </w:r>
    </w:p>
    <w:p w14:paraId="0FD41FC1" w14:textId="77777777" w:rsidR="00350A0B" w:rsidRPr="009E2757" w:rsidRDefault="00350A0B" w:rsidP="001F0E3A">
      <w:pPr>
        <w:spacing w:line="276" w:lineRule="auto"/>
        <w:ind w:firstLine="720"/>
        <w:jc w:val="both"/>
      </w:pPr>
    </w:p>
    <w:p w14:paraId="67FD546B" w14:textId="78FED0C5" w:rsidR="00350A0B" w:rsidRPr="009E2757" w:rsidRDefault="00350A0B" w:rsidP="001F0E3A">
      <w:pPr>
        <w:spacing w:line="276" w:lineRule="auto"/>
        <w:ind w:firstLine="720"/>
        <w:contextualSpacing/>
        <w:jc w:val="both"/>
      </w:pPr>
      <w:r w:rsidRPr="009E2757">
        <w:t>rakstveida procesā izskatīja krimināllietu sakarā ar apsūdzēt</w:t>
      </w:r>
      <w:r w:rsidR="00DB734A" w:rsidRPr="009E2757">
        <w:t xml:space="preserve">o </w:t>
      </w:r>
      <w:r w:rsidR="00420AF5">
        <w:t>[pers. A]</w:t>
      </w:r>
      <w:r w:rsidR="00DB734A" w:rsidRPr="009E2757">
        <w:t xml:space="preserve"> un </w:t>
      </w:r>
      <w:r w:rsidR="00420AF5">
        <w:t>[pers. B]</w:t>
      </w:r>
      <w:r w:rsidRPr="009E2757">
        <w:t xml:space="preserve"> aizstāv</w:t>
      </w:r>
      <w:r w:rsidR="00DB734A" w:rsidRPr="009E2757">
        <w:t>es</w:t>
      </w:r>
      <w:r w:rsidRPr="009E2757">
        <w:t xml:space="preserve"> zvērināta</w:t>
      </w:r>
      <w:r w:rsidR="00DB734A" w:rsidRPr="009E2757">
        <w:t>s</w:t>
      </w:r>
      <w:r w:rsidRPr="009E2757">
        <w:t xml:space="preserve"> advokāt</w:t>
      </w:r>
      <w:r w:rsidR="00DB734A" w:rsidRPr="009E2757">
        <w:t>es</w:t>
      </w:r>
      <w:r w:rsidRPr="009E2757">
        <w:t xml:space="preserve"> </w:t>
      </w:r>
      <w:r w:rsidR="00DB734A" w:rsidRPr="009E2757">
        <w:t xml:space="preserve">Ilonas </w:t>
      </w:r>
      <w:proofErr w:type="spellStart"/>
      <w:r w:rsidR="00DB734A" w:rsidRPr="009E2757">
        <w:t>Sipjagovas</w:t>
      </w:r>
      <w:proofErr w:type="spellEnd"/>
      <w:r w:rsidRPr="009E2757">
        <w:t xml:space="preserve"> kasācijas sūdzīb</w:t>
      </w:r>
      <w:r w:rsidR="00384249" w:rsidRPr="009E2757">
        <w:t>u</w:t>
      </w:r>
      <w:r w:rsidR="007F16C8" w:rsidRPr="009E2757">
        <w:t xml:space="preserve"> un tās papildinājumiem (turpmāk – kasācijas sūdzība)</w:t>
      </w:r>
      <w:r w:rsidRPr="009E2757">
        <w:t xml:space="preserve"> par</w:t>
      </w:r>
      <w:r w:rsidR="009616E2" w:rsidRPr="009E2757">
        <w:t xml:space="preserve"> </w:t>
      </w:r>
      <w:r w:rsidR="00DB734A" w:rsidRPr="009E2757">
        <w:t>Kurzemes</w:t>
      </w:r>
      <w:r w:rsidR="009616E2" w:rsidRPr="009E2757">
        <w:t xml:space="preserve"> apgabaltiesas</w:t>
      </w:r>
      <w:r w:rsidRPr="009E2757">
        <w:t xml:space="preserve"> 202</w:t>
      </w:r>
      <w:r w:rsidR="00DB734A" w:rsidRPr="009E2757">
        <w:t>4</w:t>
      </w:r>
      <w:r w:rsidRPr="009E2757">
        <w:t xml:space="preserve">. gada </w:t>
      </w:r>
      <w:r w:rsidR="00384249" w:rsidRPr="009E2757">
        <w:t>1</w:t>
      </w:r>
      <w:r w:rsidR="00DB734A" w:rsidRPr="009E2757">
        <w:t>9</w:t>
      </w:r>
      <w:r w:rsidRPr="009E2757">
        <w:t>. </w:t>
      </w:r>
      <w:r w:rsidR="00DB734A" w:rsidRPr="009E2757">
        <w:t>jūnij</w:t>
      </w:r>
      <w:r w:rsidRPr="009E2757">
        <w:t xml:space="preserve">a </w:t>
      </w:r>
      <w:r w:rsidR="00DB734A" w:rsidRPr="009E2757">
        <w:t>lēm</w:t>
      </w:r>
      <w:r w:rsidRPr="009E2757">
        <w:t>umu.</w:t>
      </w:r>
    </w:p>
    <w:p w14:paraId="57D2E9EE" w14:textId="77777777" w:rsidR="00350A0B" w:rsidRPr="009E2757" w:rsidRDefault="00350A0B" w:rsidP="001F0E3A">
      <w:pPr>
        <w:spacing w:line="276" w:lineRule="auto"/>
        <w:ind w:firstLine="720"/>
        <w:jc w:val="both"/>
        <w:rPr>
          <w:lang w:eastAsia="lv-LV"/>
        </w:rPr>
      </w:pPr>
    </w:p>
    <w:p w14:paraId="12882064" w14:textId="77777777" w:rsidR="00447EE6" w:rsidRPr="009E2757" w:rsidRDefault="00447EE6" w:rsidP="001F0E3A">
      <w:pPr>
        <w:spacing w:line="276" w:lineRule="auto"/>
        <w:jc w:val="center"/>
        <w:rPr>
          <w:b/>
          <w:shd w:val="clear" w:color="auto" w:fill="FFFFFF"/>
        </w:rPr>
      </w:pPr>
      <w:r w:rsidRPr="009E2757">
        <w:rPr>
          <w:b/>
          <w:shd w:val="clear" w:color="auto" w:fill="FFFFFF"/>
        </w:rPr>
        <w:t>Aprakstošā daļa</w:t>
      </w:r>
    </w:p>
    <w:p w14:paraId="7311F334" w14:textId="77777777" w:rsidR="008E6216" w:rsidRPr="009E2757" w:rsidRDefault="008E6216" w:rsidP="001F0E3A">
      <w:pPr>
        <w:spacing w:line="276" w:lineRule="auto"/>
        <w:ind w:firstLine="720"/>
        <w:jc w:val="center"/>
        <w:rPr>
          <w:shd w:val="clear" w:color="auto" w:fill="FFFFFF"/>
        </w:rPr>
      </w:pPr>
    </w:p>
    <w:p w14:paraId="16F28D37" w14:textId="1DA142E3" w:rsidR="008E6216" w:rsidRPr="009E2757" w:rsidRDefault="008E6216" w:rsidP="001F0E3A">
      <w:pPr>
        <w:spacing w:line="276" w:lineRule="auto"/>
        <w:ind w:firstLine="720"/>
        <w:jc w:val="both"/>
      </w:pPr>
      <w:r w:rsidRPr="009E2757">
        <w:t xml:space="preserve">[1] Ar </w:t>
      </w:r>
      <w:r w:rsidR="00DB734A" w:rsidRPr="009E2757">
        <w:t xml:space="preserve">Kurzemes rajona </w:t>
      </w:r>
      <w:r w:rsidRPr="009E2757">
        <w:t>tiesas 20</w:t>
      </w:r>
      <w:r w:rsidR="00384249" w:rsidRPr="009E2757">
        <w:t>2</w:t>
      </w:r>
      <w:r w:rsidR="00DB734A" w:rsidRPr="009E2757">
        <w:t>4</w:t>
      </w:r>
      <w:r w:rsidRPr="009E2757">
        <w:t>. gada 1. </w:t>
      </w:r>
      <w:r w:rsidR="00DB734A" w:rsidRPr="009E2757">
        <w:t>februār</w:t>
      </w:r>
      <w:r w:rsidRPr="009E2757">
        <w:t>a spriedumu</w:t>
      </w:r>
    </w:p>
    <w:p w14:paraId="72202DC0" w14:textId="5CC6910B" w:rsidR="008E6216" w:rsidRPr="009E2757" w:rsidRDefault="009337E7" w:rsidP="00420AF5">
      <w:pPr>
        <w:spacing w:line="276" w:lineRule="auto"/>
        <w:ind w:firstLine="720"/>
        <w:jc w:val="both"/>
      </w:pPr>
      <w:r w:rsidRPr="009E2757">
        <w:t>[1.1] </w:t>
      </w:r>
      <w:r w:rsidR="00420AF5">
        <w:t>[pers. A]</w:t>
      </w:r>
      <w:r w:rsidR="00AC5695" w:rsidRPr="009E2757">
        <w:t xml:space="preserve">, personas kods </w:t>
      </w:r>
      <w:r w:rsidR="00420AF5">
        <w:t>[..]</w:t>
      </w:r>
      <w:r w:rsidR="008E6216" w:rsidRPr="009E2757">
        <w:t>,</w:t>
      </w:r>
    </w:p>
    <w:p w14:paraId="5788167C" w14:textId="4C8973D4" w:rsidR="008E6216" w:rsidRPr="009E2757" w:rsidRDefault="008E6216" w:rsidP="001F0E3A">
      <w:pPr>
        <w:spacing w:line="276" w:lineRule="auto"/>
        <w:ind w:firstLine="720"/>
        <w:jc w:val="both"/>
      </w:pPr>
      <w:r w:rsidRPr="009E2757">
        <w:t xml:space="preserve">atzīts par vainīgu Krimināllikuma </w:t>
      </w:r>
      <w:r w:rsidR="00384249" w:rsidRPr="009E2757">
        <w:t>3</w:t>
      </w:r>
      <w:r w:rsidR="00DB734A" w:rsidRPr="009E2757">
        <w:t>00</w:t>
      </w:r>
      <w:r w:rsidR="004B4E6A" w:rsidRPr="009E2757">
        <w:t>. </w:t>
      </w:r>
      <w:r w:rsidRPr="009E2757">
        <w:t>pant</w:t>
      </w:r>
      <w:r w:rsidR="00384249" w:rsidRPr="009E2757">
        <w:t>a</w:t>
      </w:r>
      <w:r w:rsidR="00DB734A" w:rsidRPr="009E2757">
        <w:t xml:space="preserve"> pirmajā daļā</w:t>
      </w:r>
      <w:r w:rsidRPr="009E2757">
        <w:t xml:space="preserve"> pare</w:t>
      </w:r>
      <w:r w:rsidR="00C02B8B" w:rsidRPr="009E2757">
        <w:t xml:space="preserve">dzētajā noziedzīgajā nodarījumā </w:t>
      </w:r>
      <w:r w:rsidRPr="009E2757">
        <w:t>un so</w:t>
      </w:r>
      <w:r w:rsidR="00E75663" w:rsidRPr="009E2757">
        <w:t xml:space="preserve">dīts ar </w:t>
      </w:r>
      <w:r w:rsidR="009337E7" w:rsidRPr="009E2757">
        <w:t>sabiedrisko darbu uz 250</w:t>
      </w:r>
      <w:r w:rsidR="00597932">
        <w:t> </w:t>
      </w:r>
      <w:r w:rsidR="009337E7" w:rsidRPr="009E2757">
        <w:t>stundām.</w:t>
      </w:r>
    </w:p>
    <w:p w14:paraId="6A51C56F" w14:textId="1B846539" w:rsidR="00384249" w:rsidRPr="009E2757" w:rsidRDefault="00384249" w:rsidP="001F0E3A">
      <w:pPr>
        <w:pStyle w:val="NormalWeb"/>
        <w:shd w:val="clear" w:color="auto" w:fill="FFFFFF"/>
        <w:spacing w:before="0" w:beforeAutospacing="0" w:after="0" w:afterAutospacing="0" w:line="276" w:lineRule="auto"/>
        <w:ind w:firstLine="720"/>
        <w:jc w:val="both"/>
      </w:pPr>
      <w:r w:rsidRPr="009E2757">
        <w:t xml:space="preserve">Saskaņā ar </w:t>
      </w:r>
      <w:r w:rsidR="006A4F83" w:rsidRPr="009E2757">
        <w:t>K</w:t>
      </w:r>
      <w:r w:rsidRPr="009E2757">
        <w:t>rimināllikuma 5</w:t>
      </w:r>
      <w:r w:rsidR="009337E7" w:rsidRPr="009E2757">
        <w:t>0</w:t>
      </w:r>
      <w:r w:rsidRPr="009E2757">
        <w:t>. panta pi</w:t>
      </w:r>
      <w:r w:rsidR="009337E7" w:rsidRPr="009E2757">
        <w:t>ekto</w:t>
      </w:r>
      <w:r w:rsidRPr="009E2757">
        <w:t xml:space="preserve"> daļu</w:t>
      </w:r>
      <w:r w:rsidR="009337E7" w:rsidRPr="009E2757">
        <w:t xml:space="preserve"> galīgais sods </w:t>
      </w:r>
      <w:r w:rsidR="00420AF5">
        <w:t>[pers. A]</w:t>
      </w:r>
      <w:r w:rsidR="009337E7" w:rsidRPr="009E2757">
        <w:t xml:space="preserve"> noteikts sabiedriskais darbs uz 390</w:t>
      </w:r>
      <w:r w:rsidR="00597932">
        <w:t> </w:t>
      </w:r>
      <w:r w:rsidR="009337E7" w:rsidRPr="009E2757">
        <w:t>stundām, atņemot transportlīdzekļa vadīšanas tiesības uz 2</w:t>
      </w:r>
      <w:r w:rsidR="00597932">
        <w:t> </w:t>
      </w:r>
      <w:r w:rsidR="009337E7" w:rsidRPr="009E2757">
        <w:t>gadiem 6</w:t>
      </w:r>
      <w:r w:rsidR="00597932">
        <w:t> </w:t>
      </w:r>
      <w:r w:rsidR="009337E7" w:rsidRPr="009E2757">
        <w:t>mēnešiem.</w:t>
      </w:r>
    </w:p>
    <w:p w14:paraId="7147A107" w14:textId="51EEA1A1" w:rsidR="009337E7" w:rsidRPr="009E2757" w:rsidRDefault="009337E7" w:rsidP="001F0E3A">
      <w:pPr>
        <w:pStyle w:val="NormalWeb"/>
        <w:shd w:val="clear" w:color="auto" w:fill="FFFFFF"/>
        <w:spacing w:before="0" w:beforeAutospacing="0" w:after="0" w:afterAutospacing="0" w:line="276" w:lineRule="auto"/>
        <w:ind w:firstLine="720"/>
        <w:jc w:val="both"/>
      </w:pPr>
      <w:r w:rsidRPr="009E2757">
        <w:t>[1.2] </w:t>
      </w:r>
      <w:r w:rsidR="00420AF5">
        <w:t>[Pers. B]</w:t>
      </w:r>
      <w:r w:rsidRPr="009E2757">
        <w:t xml:space="preserve">, personas kods </w:t>
      </w:r>
      <w:r w:rsidR="00420AF5">
        <w:t>[..]</w:t>
      </w:r>
      <w:r w:rsidRPr="009E2757">
        <w:t>,</w:t>
      </w:r>
    </w:p>
    <w:p w14:paraId="1139D226" w14:textId="6720D248" w:rsidR="009337E7" w:rsidRPr="009E2757" w:rsidRDefault="009337E7" w:rsidP="001F0E3A">
      <w:pPr>
        <w:pStyle w:val="NormalWeb"/>
        <w:shd w:val="clear" w:color="auto" w:fill="FFFFFF"/>
        <w:spacing w:before="0" w:beforeAutospacing="0" w:after="0" w:afterAutospacing="0" w:line="276" w:lineRule="auto"/>
        <w:ind w:firstLine="720"/>
        <w:jc w:val="both"/>
      </w:pPr>
      <w:r w:rsidRPr="009E2757">
        <w:t xml:space="preserve">atzīts par vainīgu </w:t>
      </w:r>
      <w:r w:rsidR="00D62170" w:rsidRPr="009E2757">
        <w:t>K</w:t>
      </w:r>
      <w:r w:rsidRPr="009E2757">
        <w:t>rimināllikuma 300. panta pirmajā daļā paredzētajā noziedzīgajā nodarījumā un sodīts ar sabiedrisko darbu uz 250</w:t>
      </w:r>
      <w:r w:rsidR="00597932">
        <w:t> </w:t>
      </w:r>
      <w:r w:rsidRPr="009E2757">
        <w:t>stundām.</w:t>
      </w:r>
    </w:p>
    <w:p w14:paraId="3C0A1FAC" w14:textId="4D3FE026" w:rsidR="009337E7" w:rsidRPr="009E2757" w:rsidRDefault="009337E7" w:rsidP="001F0E3A">
      <w:pPr>
        <w:pStyle w:val="NormalWeb"/>
        <w:shd w:val="clear" w:color="auto" w:fill="FFFFFF"/>
        <w:spacing w:before="0" w:beforeAutospacing="0" w:after="0" w:afterAutospacing="0" w:line="276" w:lineRule="auto"/>
        <w:ind w:firstLine="720"/>
        <w:jc w:val="both"/>
      </w:pPr>
      <w:r w:rsidRPr="009E2757">
        <w:t xml:space="preserve">Saskaņā ar </w:t>
      </w:r>
      <w:r w:rsidR="00D62170" w:rsidRPr="009E2757">
        <w:t>K</w:t>
      </w:r>
      <w:r w:rsidRPr="009E2757">
        <w:t xml:space="preserve">rimināllikuma 50. panta piekto daļu galīgais sods </w:t>
      </w:r>
      <w:r w:rsidR="00420AF5">
        <w:t>[pers. B]</w:t>
      </w:r>
      <w:r w:rsidRPr="009E2757">
        <w:t xml:space="preserve"> noteikts sabiedriskais darbs uz 350</w:t>
      </w:r>
      <w:r w:rsidR="00597932">
        <w:t> </w:t>
      </w:r>
      <w:r w:rsidRPr="009E2757">
        <w:t>stundām.</w:t>
      </w:r>
    </w:p>
    <w:p w14:paraId="711F8476" w14:textId="77777777" w:rsidR="00D12697" w:rsidRPr="009E2757" w:rsidRDefault="00D12697" w:rsidP="001F0E3A">
      <w:pPr>
        <w:spacing w:line="276" w:lineRule="auto"/>
        <w:ind w:firstLine="720"/>
        <w:jc w:val="both"/>
      </w:pPr>
    </w:p>
    <w:p w14:paraId="78BBC64F" w14:textId="57947637" w:rsidR="008E6216" w:rsidRPr="009E2757" w:rsidRDefault="008D7F00" w:rsidP="001F0E3A">
      <w:pPr>
        <w:spacing w:line="276" w:lineRule="auto"/>
        <w:ind w:firstLine="720"/>
        <w:jc w:val="both"/>
      </w:pPr>
      <w:r w:rsidRPr="009E2757">
        <w:t>[2] </w:t>
      </w:r>
      <w:r w:rsidR="008E6216" w:rsidRPr="009E2757">
        <w:t>Ar</w:t>
      </w:r>
      <w:r w:rsidR="00763BFB" w:rsidRPr="009E2757">
        <w:t xml:space="preserve"> pirmās instances tiesas</w:t>
      </w:r>
      <w:r w:rsidR="00D62170" w:rsidRPr="009E2757">
        <w:t xml:space="preserve"> </w:t>
      </w:r>
      <w:r w:rsidR="008E6216" w:rsidRPr="009E2757">
        <w:t xml:space="preserve">spriedumu </w:t>
      </w:r>
      <w:r w:rsidR="00A51A79" w:rsidRPr="009E2757">
        <w:t xml:space="preserve">apsūdzētie </w:t>
      </w:r>
      <w:r w:rsidR="00420AF5">
        <w:t>[pers. A]</w:t>
      </w:r>
      <w:r w:rsidR="009337E7" w:rsidRPr="009E2757">
        <w:t xml:space="preserve"> un </w:t>
      </w:r>
      <w:r w:rsidR="00420AF5">
        <w:t>[pers. B]</w:t>
      </w:r>
      <w:r w:rsidR="008E6216" w:rsidRPr="009E2757">
        <w:t xml:space="preserve"> atzīt</w:t>
      </w:r>
      <w:r w:rsidR="009337E7" w:rsidRPr="009E2757">
        <w:t>i</w:t>
      </w:r>
      <w:r w:rsidR="008E6216" w:rsidRPr="009E2757">
        <w:t xml:space="preserve"> par vainīg</w:t>
      </w:r>
      <w:r w:rsidR="009337E7" w:rsidRPr="009E2757">
        <w:t>iem</w:t>
      </w:r>
      <w:r w:rsidR="00A51A79" w:rsidRPr="009E2757">
        <w:t xml:space="preserve"> </w:t>
      </w:r>
      <w:r w:rsidR="00D62170" w:rsidRPr="009E2757">
        <w:t>Krimināllikuma 300. panta pirm</w:t>
      </w:r>
      <w:r w:rsidR="00A51A79" w:rsidRPr="009E2757">
        <w:t>ajā daļā paredzētajā noziedzīgajā nodarījumā</w:t>
      </w:r>
      <w:r w:rsidR="00D62170" w:rsidRPr="009E2757">
        <w:t xml:space="preserve"> </w:t>
      </w:r>
      <w:r w:rsidR="00532650" w:rsidRPr="009E2757">
        <w:t>par</w:t>
      </w:r>
      <w:r w:rsidR="004B4E6A" w:rsidRPr="009E2757">
        <w:t xml:space="preserve"> </w:t>
      </w:r>
      <w:r w:rsidR="009337E7" w:rsidRPr="009E2757">
        <w:t>apzināti nepatiesas liecības sniegšanu tiesā</w:t>
      </w:r>
      <w:r w:rsidR="00D62170" w:rsidRPr="009E2757">
        <w:t>.</w:t>
      </w:r>
    </w:p>
    <w:p w14:paraId="0D69DA97" w14:textId="77777777" w:rsidR="009616E2" w:rsidRPr="009E2757" w:rsidRDefault="009616E2" w:rsidP="001F0E3A">
      <w:pPr>
        <w:spacing w:line="276" w:lineRule="auto"/>
        <w:ind w:firstLine="720"/>
        <w:jc w:val="both"/>
      </w:pPr>
    </w:p>
    <w:p w14:paraId="6BE62F91" w14:textId="58DB327B" w:rsidR="008E6216" w:rsidRPr="009E2757" w:rsidRDefault="008D7F00" w:rsidP="001F0E3A">
      <w:pPr>
        <w:spacing w:line="276" w:lineRule="auto"/>
        <w:ind w:firstLine="720"/>
        <w:jc w:val="both"/>
      </w:pPr>
      <w:r w:rsidRPr="009E2757">
        <w:t>[3] </w:t>
      </w:r>
      <w:r w:rsidR="00D218E8" w:rsidRPr="009E2757">
        <w:t xml:space="preserve">Ar </w:t>
      </w:r>
      <w:r w:rsidR="009337E7" w:rsidRPr="009E2757">
        <w:t>Kurzemes</w:t>
      </w:r>
      <w:r w:rsidR="00D218E8" w:rsidRPr="009E2757">
        <w:t xml:space="preserve"> apgabaltiesas 202</w:t>
      </w:r>
      <w:r w:rsidR="009337E7" w:rsidRPr="009E2757">
        <w:t>4</w:t>
      </w:r>
      <w:r w:rsidR="00D218E8" w:rsidRPr="009E2757">
        <w:t xml:space="preserve">. gada </w:t>
      </w:r>
      <w:r w:rsidR="00D12697" w:rsidRPr="009E2757">
        <w:t>1</w:t>
      </w:r>
      <w:r w:rsidR="007F16C8" w:rsidRPr="009E2757">
        <w:t>9</w:t>
      </w:r>
      <w:r w:rsidR="00D218E8" w:rsidRPr="009E2757">
        <w:t>. </w:t>
      </w:r>
      <w:r w:rsidR="007F16C8" w:rsidRPr="009E2757">
        <w:t>jūnij</w:t>
      </w:r>
      <w:r w:rsidR="00D218E8" w:rsidRPr="009E2757">
        <w:t xml:space="preserve">a </w:t>
      </w:r>
      <w:r w:rsidR="007F16C8" w:rsidRPr="009E2757">
        <w:t>lēm</w:t>
      </w:r>
      <w:r w:rsidR="00D218E8" w:rsidRPr="009E2757">
        <w:t xml:space="preserve">umu, iztiesājot lietu sakarā ar </w:t>
      </w:r>
      <w:r w:rsidR="007F16C8" w:rsidRPr="009E2757">
        <w:t xml:space="preserve">apsūdzēto </w:t>
      </w:r>
      <w:r w:rsidR="005502B8">
        <w:t>[pers. A]</w:t>
      </w:r>
      <w:r w:rsidR="007F16C8" w:rsidRPr="009E2757">
        <w:t xml:space="preserve"> un </w:t>
      </w:r>
      <w:r w:rsidR="005502B8">
        <w:t>[pers. B]</w:t>
      </w:r>
      <w:r w:rsidR="007F16C8" w:rsidRPr="009E2757">
        <w:t xml:space="preserve"> aizstāves I. </w:t>
      </w:r>
      <w:proofErr w:type="spellStart"/>
      <w:r w:rsidR="007F16C8" w:rsidRPr="009E2757">
        <w:t>Sipjagovas</w:t>
      </w:r>
      <w:proofErr w:type="spellEnd"/>
      <w:r w:rsidR="007F16C8" w:rsidRPr="009E2757">
        <w:t xml:space="preserve"> </w:t>
      </w:r>
      <w:r w:rsidR="00571ABF" w:rsidRPr="009E2757">
        <w:t>apelācijas sūdzību</w:t>
      </w:r>
      <w:r w:rsidR="00D21572" w:rsidRPr="009E2757">
        <w:t xml:space="preserve">, </w:t>
      </w:r>
      <w:r w:rsidR="007F16C8" w:rsidRPr="009E2757">
        <w:t>Kurzemes rajona tiesas 2024. gada 1. februāra spriedums atstāts negrozīts.</w:t>
      </w:r>
    </w:p>
    <w:p w14:paraId="0F467CD0" w14:textId="3ADC1167" w:rsidR="006F5584" w:rsidRPr="009E2757" w:rsidRDefault="00203B2A" w:rsidP="005502B8">
      <w:pPr>
        <w:spacing w:line="276" w:lineRule="auto"/>
        <w:ind w:firstLine="720"/>
        <w:jc w:val="both"/>
      </w:pPr>
      <w:r w:rsidRPr="009E2757">
        <w:t>[4]</w:t>
      </w:r>
      <w:r w:rsidR="00A02FA6" w:rsidRPr="009E2757">
        <w:t> </w:t>
      </w:r>
      <w:bookmarkStart w:id="1" w:name="_Hlk111726192"/>
      <w:r w:rsidR="006A4F83" w:rsidRPr="009E2757">
        <w:t xml:space="preserve">Par apelācijas instances tiesas </w:t>
      </w:r>
      <w:r w:rsidR="007F16C8" w:rsidRPr="009E2757">
        <w:t>lēm</w:t>
      </w:r>
      <w:r w:rsidR="006A4F83" w:rsidRPr="009E2757">
        <w:t>umu apsūdzēt</w:t>
      </w:r>
      <w:r w:rsidR="007F16C8" w:rsidRPr="009E2757">
        <w:t>o</w:t>
      </w:r>
      <w:r w:rsidR="006A4F83" w:rsidRPr="009E2757">
        <w:t xml:space="preserve"> </w:t>
      </w:r>
      <w:r w:rsidR="005502B8">
        <w:t>[pers. A]</w:t>
      </w:r>
      <w:r w:rsidR="007F16C8" w:rsidRPr="009E2757">
        <w:t xml:space="preserve"> un </w:t>
      </w:r>
      <w:r w:rsidR="005502B8">
        <w:t>[pers. B]</w:t>
      </w:r>
      <w:r w:rsidR="006A4F83" w:rsidRPr="009E2757">
        <w:t xml:space="preserve"> aizstāv</w:t>
      </w:r>
      <w:r w:rsidR="007F16C8" w:rsidRPr="009E2757">
        <w:t>e</w:t>
      </w:r>
      <w:r w:rsidR="006A4F83" w:rsidRPr="009E2757">
        <w:t xml:space="preserve"> </w:t>
      </w:r>
      <w:r w:rsidR="007F16C8" w:rsidRPr="009E2757">
        <w:t>I. </w:t>
      </w:r>
      <w:proofErr w:type="spellStart"/>
      <w:r w:rsidR="007F16C8" w:rsidRPr="009E2757">
        <w:t>Sipjagova</w:t>
      </w:r>
      <w:proofErr w:type="spellEnd"/>
      <w:r w:rsidR="006A4F83" w:rsidRPr="009E2757">
        <w:t xml:space="preserve"> iesnie</w:t>
      </w:r>
      <w:r w:rsidR="007F16C8" w:rsidRPr="009E2757">
        <w:t>gusi</w:t>
      </w:r>
      <w:r w:rsidR="006A4F83" w:rsidRPr="009E2757">
        <w:t xml:space="preserve"> kasācijas sūdzību, kurā lūdz atcelt </w:t>
      </w:r>
      <w:r w:rsidR="00A51A79" w:rsidRPr="009E2757">
        <w:t xml:space="preserve">apelācijas instances tiesas </w:t>
      </w:r>
      <w:r w:rsidR="007F16C8" w:rsidRPr="009E2757">
        <w:t>lēm</w:t>
      </w:r>
      <w:r w:rsidR="006A4F83" w:rsidRPr="009E2757">
        <w:t>umu un lietu nosūtīt jaunai izskatīšanai apelācijas instances tiesā</w:t>
      </w:r>
      <w:r w:rsidR="00F30B3D" w:rsidRPr="009E2757">
        <w:t>.</w:t>
      </w:r>
    </w:p>
    <w:p w14:paraId="74B909ED" w14:textId="14C55B5F" w:rsidR="006F5584" w:rsidRPr="009E2757" w:rsidRDefault="006F5584" w:rsidP="001F0E3A">
      <w:pPr>
        <w:spacing w:line="276" w:lineRule="auto"/>
        <w:ind w:firstLine="720"/>
        <w:jc w:val="both"/>
      </w:pPr>
      <w:r w:rsidRPr="009E2757">
        <w:t>Kasācijas sūdzība pamatota ar turpmāk norādītajiem argumentiem.</w:t>
      </w:r>
    </w:p>
    <w:p w14:paraId="6A7B3D84" w14:textId="0EE46E36" w:rsidR="006F5584" w:rsidRPr="009E2757" w:rsidRDefault="006F5584" w:rsidP="001F0E3A">
      <w:pPr>
        <w:spacing w:line="276" w:lineRule="auto"/>
        <w:ind w:firstLine="720"/>
        <w:jc w:val="both"/>
      </w:pPr>
      <w:r w:rsidRPr="009E2757">
        <w:t>[4.1] I</w:t>
      </w:r>
      <w:r w:rsidR="00F30B3D" w:rsidRPr="009E2757">
        <w:t>ztiesājot lietu, apelācijas instances tiesa pieļāvusi</w:t>
      </w:r>
      <w:r w:rsidR="00066BE4" w:rsidRPr="009E2757">
        <w:t xml:space="preserve"> Kriminālprocesa likuma 15. pantā nostiprinātā pamatprincipa – tiesību uz taisnīgu tiesu – pārkāpumu, jo iztiesājusi lietu nelikumīgā tiesas sastāvā.</w:t>
      </w:r>
    </w:p>
    <w:p w14:paraId="42D04E85" w14:textId="7CA3D69D" w:rsidR="000853C0" w:rsidRPr="009E2757" w:rsidRDefault="006F5584" w:rsidP="001F0E3A">
      <w:pPr>
        <w:spacing w:line="276" w:lineRule="auto"/>
        <w:ind w:firstLine="720"/>
        <w:jc w:val="both"/>
      </w:pPr>
      <w:r w:rsidRPr="009E2757">
        <w:t xml:space="preserve">Tiesnesis Didzis </w:t>
      </w:r>
      <w:proofErr w:type="spellStart"/>
      <w:r w:rsidRPr="009E2757">
        <w:t>Aktumanis</w:t>
      </w:r>
      <w:proofErr w:type="spellEnd"/>
      <w:r w:rsidRPr="009E2757">
        <w:t xml:space="preserve"> bija </w:t>
      </w:r>
      <w:r w:rsidR="00130D7B" w:rsidRPr="009E2757">
        <w:t xml:space="preserve">tiesnesis referents </w:t>
      </w:r>
      <w:r w:rsidRPr="009E2757">
        <w:t>apelācijas instances tiesas sastāvā, k</w:t>
      </w:r>
      <w:r w:rsidR="00BE3A72" w:rsidRPr="009E2757">
        <w:t>as</w:t>
      </w:r>
      <w:r w:rsidRPr="009E2757">
        <w:t xml:space="preserve"> </w:t>
      </w:r>
      <w:r w:rsidR="00904BEA" w:rsidRPr="009E2757">
        <w:t xml:space="preserve">ar </w:t>
      </w:r>
      <w:r w:rsidRPr="009E2757">
        <w:t>202</w:t>
      </w:r>
      <w:r w:rsidR="00130D7B" w:rsidRPr="009E2757">
        <w:t>2</w:t>
      </w:r>
      <w:r w:rsidRPr="009E2757">
        <w:t>.</w:t>
      </w:r>
      <w:r w:rsidR="00F105F1">
        <w:t> </w:t>
      </w:r>
      <w:r w:rsidRPr="009E2757">
        <w:t>gada 15.</w:t>
      </w:r>
      <w:r w:rsidR="00F105F1">
        <w:t> </w:t>
      </w:r>
      <w:r w:rsidRPr="009E2757">
        <w:t>februār</w:t>
      </w:r>
      <w:r w:rsidR="00904BEA" w:rsidRPr="009E2757">
        <w:t>a lēmumu atstāja negrozītu</w:t>
      </w:r>
      <w:r w:rsidRPr="009E2757">
        <w:t xml:space="preserve"> </w:t>
      </w:r>
      <w:r w:rsidR="00904BEA" w:rsidRPr="009E2757">
        <w:t>Kurzem</w:t>
      </w:r>
      <w:r w:rsidR="00F105F1">
        <w:t>e</w:t>
      </w:r>
      <w:r w:rsidR="00904BEA" w:rsidRPr="009E2757">
        <w:t xml:space="preserve">s rajona tiesas 2021. gada 6. decembra spriedumu administratīvā pārkāpuma lietā, kurā pie </w:t>
      </w:r>
      <w:r w:rsidR="000853C0" w:rsidRPr="009E2757">
        <w:t xml:space="preserve">administratīvās </w:t>
      </w:r>
      <w:r w:rsidR="00904BEA" w:rsidRPr="009E2757">
        <w:t xml:space="preserve">atbildības saukts </w:t>
      </w:r>
      <w:r w:rsidR="005502B8">
        <w:t>[pers. C]</w:t>
      </w:r>
      <w:r w:rsidR="000853C0" w:rsidRPr="009E2757">
        <w:t xml:space="preserve"> un liecinieku statusā nopratināti liecinieki </w:t>
      </w:r>
      <w:r w:rsidR="005502B8">
        <w:t xml:space="preserve">[pers. A] </w:t>
      </w:r>
      <w:r w:rsidR="000853C0" w:rsidRPr="009E2757">
        <w:t xml:space="preserve">un </w:t>
      </w:r>
      <w:r w:rsidR="005502B8">
        <w:t>[pers. B]</w:t>
      </w:r>
      <w:r w:rsidR="000853C0" w:rsidRPr="009E2757">
        <w:t xml:space="preserve">. Ar apelācijas instances tiesas lēmumu atstāts negrozīts arī pirmās instances tiesas blakus lēmums, ar kuru informēta prokuratūra par Krimināllikuma 300. pantā paredzētā noziedzīgā </w:t>
      </w:r>
      <w:r w:rsidR="000853C0" w:rsidRPr="009B3BA6">
        <w:t xml:space="preserve">nodarījuma sastāva </w:t>
      </w:r>
      <w:r w:rsidR="00204FCD" w:rsidRPr="009B3BA6">
        <w:t>pazīmēm</w:t>
      </w:r>
      <w:r w:rsidR="000853C0" w:rsidRPr="009B3BA6">
        <w:t xml:space="preserve"> liecinieku </w:t>
      </w:r>
      <w:r w:rsidR="005502B8">
        <w:t>[pers. A]</w:t>
      </w:r>
      <w:r w:rsidR="000853C0" w:rsidRPr="009E2757">
        <w:t xml:space="preserve"> un </w:t>
      </w:r>
      <w:r w:rsidR="005502B8">
        <w:t>[pers. B]</w:t>
      </w:r>
      <w:r w:rsidR="000853C0" w:rsidRPr="009E2757">
        <w:t xml:space="preserve"> darbībās.</w:t>
      </w:r>
    </w:p>
    <w:p w14:paraId="32B97F0B" w14:textId="17351780" w:rsidR="00066BE4" w:rsidRPr="009E2757" w:rsidRDefault="000853C0" w:rsidP="001F0E3A">
      <w:pPr>
        <w:spacing w:line="276" w:lineRule="auto"/>
        <w:ind w:firstLine="720"/>
        <w:jc w:val="both"/>
      </w:pPr>
      <w:r w:rsidRPr="009E2757">
        <w:t>Ņemot vērā, ka tiesnesis D. </w:t>
      </w:r>
      <w:proofErr w:type="spellStart"/>
      <w:r w:rsidRPr="009E2757">
        <w:t>Aktumanis</w:t>
      </w:r>
      <w:proofErr w:type="spellEnd"/>
      <w:r w:rsidRPr="009E2757">
        <w:t xml:space="preserve"> </w:t>
      </w:r>
      <w:r w:rsidR="003F0E53" w:rsidRPr="009E2757">
        <w:t xml:space="preserve">bija </w:t>
      </w:r>
      <w:r w:rsidR="00D876BA">
        <w:t>tiesas sastāvā</w:t>
      </w:r>
      <w:r w:rsidR="003F0E53" w:rsidRPr="009E2757">
        <w:t xml:space="preserve"> </w:t>
      </w:r>
      <w:r w:rsidRPr="009E2757">
        <w:t xml:space="preserve">krimināllietā </w:t>
      </w:r>
      <w:r w:rsidR="005502B8">
        <w:t>[pers. A]</w:t>
      </w:r>
      <w:r w:rsidR="005502B8" w:rsidRPr="009E2757">
        <w:t xml:space="preserve"> un </w:t>
      </w:r>
      <w:r w:rsidR="005502B8">
        <w:t>[pers. B]</w:t>
      </w:r>
      <w:r w:rsidRPr="009E2757">
        <w:t xml:space="preserve"> apsūdzībā pēc Krimināllikuma 300. panta pirmās daļas, kurā</w:t>
      </w:r>
      <w:r w:rsidR="003F0E53" w:rsidRPr="009E2757">
        <w:t>, tai skaitā</w:t>
      </w:r>
      <w:r w:rsidRPr="009E2757">
        <w:t xml:space="preserve"> vērtēti administratīvā pārkāpuma lietā iegūtie pierādījumi</w:t>
      </w:r>
      <w:r w:rsidR="00F105F1">
        <w:t>,</w:t>
      </w:r>
      <w:r w:rsidR="004469B6" w:rsidRPr="009E2757">
        <w:t xml:space="preserve"> n</w:t>
      </w:r>
      <w:r w:rsidR="00DA6C75" w:rsidRPr="009E2757">
        <w:t xml:space="preserve">evar atzīt, ka konkrētā </w:t>
      </w:r>
      <w:r w:rsidR="003F0E53" w:rsidRPr="009E2757">
        <w:t>krimināl</w:t>
      </w:r>
      <w:r w:rsidR="00DA6C75" w:rsidRPr="009E2757">
        <w:t>lieta izskatīta objektīvā tiesā</w:t>
      </w:r>
      <w:r w:rsidR="003F0E53" w:rsidRPr="009E2757">
        <w:t>.</w:t>
      </w:r>
    </w:p>
    <w:p w14:paraId="57E66B04" w14:textId="1F3F2BF8" w:rsidR="006F5584" w:rsidRPr="009E2757" w:rsidRDefault="006F5584" w:rsidP="001F0E3A">
      <w:pPr>
        <w:spacing w:line="276" w:lineRule="auto"/>
        <w:ind w:firstLine="720"/>
        <w:jc w:val="both"/>
      </w:pPr>
      <w:r w:rsidRPr="009E2757">
        <w:t>[4.2] </w:t>
      </w:r>
      <w:r w:rsidR="000E486B">
        <w:t>A</w:t>
      </w:r>
      <w:r w:rsidRPr="009E2757">
        <w:t xml:space="preserve">pelācijas instances tiesa pieļāvusi </w:t>
      </w:r>
      <w:r w:rsidR="00227051">
        <w:t xml:space="preserve">arī </w:t>
      </w:r>
      <w:r w:rsidR="00F30B3D" w:rsidRPr="009E2757">
        <w:t xml:space="preserve">Kriminālprocesa likuma 128. panta, 512. panta otrās daļas un 564. panta pārkāpumus, kas atzīstami par </w:t>
      </w:r>
      <w:r w:rsidR="00224B01">
        <w:t xml:space="preserve">Kriminālprocesa likuma </w:t>
      </w:r>
      <w:r w:rsidR="00F30B3D" w:rsidRPr="009E2757">
        <w:t>būtiskiem pārkāpumiem šā likuma 575. panta trešās daļas izpratnē</w:t>
      </w:r>
      <w:r w:rsidR="003F0E53" w:rsidRPr="009E2757">
        <w:t xml:space="preserve">, jo nav </w:t>
      </w:r>
      <w:r w:rsidR="009B3BA6">
        <w:t>pārbaudījusi un sniegusi vērtējumu apelācijas sūdzībā norādītajiem argumentiem par liecinieku</w:t>
      </w:r>
      <w:r w:rsidRPr="009E2757">
        <w:t xml:space="preserve"> </w:t>
      </w:r>
      <w:r w:rsidR="005502B8">
        <w:t>[pers. D]</w:t>
      </w:r>
      <w:r w:rsidRPr="009E2757">
        <w:t xml:space="preserve"> un </w:t>
      </w:r>
      <w:r w:rsidR="005502B8">
        <w:t>[pers. E]</w:t>
      </w:r>
      <w:r w:rsidRPr="009E2757">
        <w:t xml:space="preserve"> </w:t>
      </w:r>
      <w:r w:rsidR="009B3BA6">
        <w:t>liecību izskatāmajā kriminālprocesā neatbilstību pirmās instances tiesas 2021. gada 6. decembra spriedumā izklāstītajām liecībām.</w:t>
      </w:r>
    </w:p>
    <w:p w14:paraId="2243F2F1" w14:textId="77777777" w:rsidR="006F5584" w:rsidRPr="00755B1A" w:rsidRDefault="006F5584" w:rsidP="001F0E3A">
      <w:pPr>
        <w:spacing w:line="276" w:lineRule="auto"/>
        <w:ind w:firstLine="720"/>
        <w:jc w:val="center"/>
      </w:pPr>
    </w:p>
    <w:p w14:paraId="295530A7" w14:textId="39F5B595" w:rsidR="006F5584" w:rsidRPr="009E2757" w:rsidRDefault="006F5584" w:rsidP="001F0E3A">
      <w:pPr>
        <w:spacing w:line="276" w:lineRule="auto"/>
        <w:jc w:val="center"/>
        <w:rPr>
          <w:b/>
          <w:bCs/>
        </w:rPr>
      </w:pPr>
      <w:r w:rsidRPr="009E2757">
        <w:rPr>
          <w:b/>
          <w:bCs/>
        </w:rPr>
        <w:t>Motīvu daļa</w:t>
      </w:r>
    </w:p>
    <w:p w14:paraId="4438500F" w14:textId="77777777" w:rsidR="006F5584" w:rsidRPr="009E2757" w:rsidRDefault="006F5584" w:rsidP="001F0E3A">
      <w:pPr>
        <w:spacing w:line="276" w:lineRule="auto"/>
        <w:ind w:firstLine="720"/>
        <w:jc w:val="both"/>
      </w:pPr>
    </w:p>
    <w:p w14:paraId="3F64292D" w14:textId="6965D9EF" w:rsidR="006F5584" w:rsidRPr="009E2757" w:rsidRDefault="006F5584" w:rsidP="001F0E3A">
      <w:pPr>
        <w:pStyle w:val="NoSpacing"/>
        <w:spacing w:line="276" w:lineRule="auto"/>
        <w:ind w:firstLine="720"/>
        <w:jc w:val="both"/>
        <w:rPr>
          <w:rFonts w:cs="Times New Roman"/>
          <w:szCs w:val="24"/>
        </w:rPr>
      </w:pPr>
      <w:r w:rsidRPr="009E2757">
        <w:rPr>
          <w:rFonts w:cs="Times New Roman"/>
          <w:szCs w:val="24"/>
        </w:rPr>
        <w:t>[5] Senāts konstatē, ka izskatāmajā lietā kasācijas instances tiesai ir jāsniedz atbilde, vai, iztiesājot</w:t>
      </w:r>
      <w:r w:rsidR="002D4699" w:rsidRPr="009E2757">
        <w:rPr>
          <w:rFonts w:cs="Times New Roman"/>
          <w:szCs w:val="24"/>
        </w:rPr>
        <w:t xml:space="preserve"> </w:t>
      </w:r>
      <w:r w:rsidRPr="009E2757">
        <w:rPr>
          <w:rFonts w:cs="Times New Roman"/>
          <w:szCs w:val="24"/>
        </w:rPr>
        <w:t>lietu, apelācijas instances tiesa ir pieļāvusi Kriminālprocesa likuma 15. pantā noteiktā pamatprincipa pārkāpumu.</w:t>
      </w:r>
    </w:p>
    <w:p w14:paraId="434AA104" w14:textId="01D15A32" w:rsidR="00C34737" w:rsidRPr="009E2757" w:rsidRDefault="006F5584" w:rsidP="001F0E3A">
      <w:pPr>
        <w:spacing w:line="276" w:lineRule="auto"/>
        <w:ind w:firstLine="720"/>
        <w:jc w:val="both"/>
      </w:pPr>
      <w:r w:rsidRPr="009E2757">
        <w:t>[5.1] </w:t>
      </w:r>
      <w:r w:rsidR="00F20692" w:rsidRPr="009E2757">
        <w:t>Kriminālprocesa likuma 12. pant</w:t>
      </w:r>
      <w:r w:rsidR="00D31760">
        <w:t>a pirmā daļa</w:t>
      </w:r>
      <w:r w:rsidR="00F20692" w:rsidRPr="009E2757">
        <w:t xml:space="preserve"> noteic, ka kriminālprocesu veic, ievērojot starptautiski atzītās cilvēktiesības, savukārt šā likuma</w:t>
      </w:r>
      <w:r w:rsidRPr="009E2757">
        <w:t xml:space="preserve"> 15. pant</w:t>
      </w:r>
      <w:r w:rsidR="00F20692" w:rsidRPr="009E2757">
        <w:t>s noteic</w:t>
      </w:r>
      <w:r w:rsidRPr="009E2757">
        <w:t xml:space="preserve"> ikviena</w:t>
      </w:r>
      <w:r w:rsidR="00755B1A">
        <w:t>m ir</w:t>
      </w:r>
      <w:r w:rsidRPr="009E2757">
        <w:t xml:space="preserve"> tiesības uz lietas izskatīšanu taisnīgā, objektīvā un neatkarīgā tiesā. Minētās tiesības ir cieši saistītas ar Latvijas Republikas Satversmes (turpmāk – Satversme) 92.</w:t>
      </w:r>
      <w:r w:rsidR="00755B1A">
        <w:t> </w:t>
      </w:r>
      <w:r w:rsidRPr="009E2757">
        <w:t xml:space="preserve">panta pirmajā teikumā un </w:t>
      </w:r>
      <w:r w:rsidR="00755B1A">
        <w:t xml:space="preserve">Eiropas </w:t>
      </w:r>
      <w:r w:rsidRPr="009E2757">
        <w:rPr>
          <w:spacing w:val="-1"/>
        </w:rPr>
        <w:t>Cilvēka tiesību un pamatbrīvību aizsardzības konvencijas (turpmāk</w:t>
      </w:r>
      <w:r w:rsidR="00D31760">
        <w:rPr>
          <w:spacing w:val="-1"/>
        </w:rPr>
        <w:t> </w:t>
      </w:r>
      <w:r w:rsidRPr="009E2757">
        <w:rPr>
          <w:spacing w:val="-1"/>
        </w:rPr>
        <w:t>–</w:t>
      </w:r>
      <w:r w:rsidR="00D31760">
        <w:rPr>
          <w:spacing w:val="-1"/>
        </w:rPr>
        <w:t> </w:t>
      </w:r>
      <w:r w:rsidRPr="009E2757">
        <w:rPr>
          <w:spacing w:val="-1"/>
        </w:rPr>
        <w:t>Konvencija) 6. panta pirmās daļas pirmajā teikumā noteiktajām tiesībām</w:t>
      </w:r>
      <w:r w:rsidR="003F0E53" w:rsidRPr="009E2757">
        <w:rPr>
          <w:spacing w:val="-1"/>
        </w:rPr>
        <w:t xml:space="preserve"> uz taisnīgu tiesu</w:t>
      </w:r>
      <w:r w:rsidRPr="009E2757">
        <w:t>.</w:t>
      </w:r>
    </w:p>
    <w:p w14:paraId="09921C4C" w14:textId="08916AD4" w:rsidR="00782F66" w:rsidRPr="009E2757" w:rsidRDefault="00C34737" w:rsidP="001F0E3A">
      <w:pPr>
        <w:spacing w:line="276" w:lineRule="auto"/>
        <w:ind w:firstLine="720"/>
        <w:jc w:val="both"/>
      </w:pPr>
      <w:r w:rsidRPr="009E2757">
        <w:t xml:space="preserve">Satversmes tiesa ir </w:t>
      </w:r>
      <w:r w:rsidR="00AF395C" w:rsidRPr="009E2757">
        <w:t>norādījusi</w:t>
      </w:r>
      <w:r w:rsidRPr="009E2757">
        <w:t>, ka Satversmes 92. panta pirmajā teikumā garantētajās tiesībās uz taisnīgu tiesu ietvertaj</w:t>
      </w:r>
      <w:r w:rsidR="008877FC">
        <w:t>ai</w:t>
      </w:r>
      <w:r w:rsidRPr="009E2757">
        <w:t xml:space="preserve"> tiesas objektivitātes </w:t>
      </w:r>
      <w:r w:rsidR="003218E9">
        <w:t xml:space="preserve">jeb neitralitātes </w:t>
      </w:r>
      <w:r w:rsidRPr="009E2757">
        <w:t xml:space="preserve">prasībai ir divi </w:t>
      </w:r>
      <w:r w:rsidRPr="009E2757">
        <w:lastRenderedPageBreak/>
        <w:t>aspekti</w:t>
      </w:r>
      <w:r w:rsidR="00D31760">
        <w:t> </w:t>
      </w:r>
      <w:r w:rsidRPr="009E2757">
        <w:t>– subjektīvais</w:t>
      </w:r>
      <w:r w:rsidR="0092696A" w:rsidRPr="009E2757">
        <w:t xml:space="preserve"> un objektīvais.</w:t>
      </w:r>
      <w:r w:rsidRPr="009E2757">
        <w:t xml:space="preserve"> Pirmkārt, tiesai</w:t>
      </w:r>
      <w:r w:rsidR="0092696A" w:rsidRPr="009E2757">
        <w:t xml:space="preserve"> jābūt subjektīvi neitrālai, proti, nevienam tiesnesim nedrīkst būt personiski aizspriedumi, izlemjot lietu.</w:t>
      </w:r>
      <w:r w:rsidRPr="009E2757">
        <w:t xml:space="preserve"> </w:t>
      </w:r>
      <w:r w:rsidR="0045563C">
        <w:t>Tiesneša s</w:t>
      </w:r>
      <w:r w:rsidR="0045563C" w:rsidRPr="009E2757">
        <w:t xml:space="preserve">ubjektīvā jeb personīgā neitralitāte tiek prezumēta, ja vien nav pierādījumu par pretējo. </w:t>
      </w:r>
      <w:r w:rsidRPr="009E2757">
        <w:t>Otrkārt, tiesai jābūt neitrālai arī objektīvajā aspektā. Tas nozīmē, ka ir jāsniedz pietiekamas garantijas tam, lai izslēgtu jebkādas pamatotas</w:t>
      </w:r>
      <w:r w:rsidR="0092696A" w:rsidRPr="009E2757">
        <w:t xml:space="preserve"> </w:t>
      </w:r>
      <w:r w:rsidR="00AD4576">
        <w:t xml:space="preserve">lietas dalībnieku vai sabiedrības </w:t>
      </w:r>
      <w:r w:rsidR="0092696A" w:rsidRPr="009E2757">
        <w:t>šaubas par tiesas objektivitāti (</w:t>
      </w:r>
      <w:r w:rsidR="0092696A" w:rsidRPr="009E2757">
        <w:rPr>
          <w:i/>
          <w:iCs/>
        </w:rPr>
        <w:t xml:space="preserve">Satversmes tiesas </w:t>
      </w:r>
      <w:r w:rsidR="00BB6E05" w:rsidRPr="009E2757">
        <w:rPr>
          <w:rFonts w:eastAsia="Calibri"/>
          <w:i/>
          <w:iCs/>
        </w:rPr>
        <w:t>2018. gada 14. jūnija sprieduma lietā Nr.</w:t>
      </w:r>
      <w:r w:rsidR="003218E9">
        <w:rPr>
          <w:rFonts w:eastAsia="Calibri"/>
          <w:i/>
          <w:iCs/>
        </w:rPr>
        <w:t> </w:t>
      </w:r>
      <w:hyperlink r:id="rId9" w:history="1">
        <w:r w:rsidR="00BB6E05" w:rsidRPr="009E2757">
          <w:rPr>
            <w:rStyle w:val="Hyperlink"/>
            <w:rFonts w:eastAsia="Calibri"/>
            <w:i/>
            <w:iCs/>
          </w:rPr>
          <w:t>2017</w:t>
        </w:r>
        <w:r w:rsidR="003218E9">
          <w:rPr>
            <w:rStyle w:val="Hyperlink"/>
            <w:rFonts w:eastAsia="Calibri"/>
            <w:i/>
            <w:iCs/>
          </w:rPr>
          <w:noBreakHyphen/>
        </w:r>
        <w:r w:rsidR="00BB6E05" w:rsidRPr="009E2757">
          <w:rPr>
            <w:rStyle w:val="Hyperlink"/>
            <w:rFonts w:eastAsia="Calibri"/>
            <w:i/>
            <w:iCs/>
          </w:rPr>
          <w:t>23</w:t>
        </w:r>
        <w:r w:rsidR="003218E9">
          <w:rPr>
            <w:rStyle w:val="Hyperlink"/>
            <w:rFonts w:eastAsia="Calibri"/>
            <w:i/>
            <w:iCs/>
          </w:rPr>
          <w:noBreakHyphen/>
        </w:r>
        <w:r w:rsidR="00BB6E05" w:rsidRPr="009E2757">
          <w:rPr>
            <w:rStyle w:val="Hyperlink"/>
            <w:rFonts w:eastAsia="Calibri"/>
            <w:i/>
            <w:iCs/>
          </w:rPr>
          <w:t>01</w:t>
        </w:r>
      </w:hyperlink>
      <w:r w:rsidR="003218E9">
        <w:rPr>
          <w:rFonts w:eastAsia="Calibri"/>
          <w:i/>
          <w:iCs/>
        </w:rPr>
        <w:t> </w:t>
      </w:r>
      <w:r w:rsidR="00BB6E05" w:rsidRPr="009E2757">
        <w:rPr>
          <w:rFonts w:eastAsia="Calibri"/>
          <w:i/>
          <w:iCs/>
        </w:rPr>
        <w:t>13.2. punkt</w:t>
      </w:r>
      <w:r w:rsidR="003218E9">
        <w:rPr>
          <w:rFonts w:eastAsia="Calibri"/>
          <w:i/>
          <w:iCs/>
        </w:rPr>
        <w:t>s</w:t>
      </w:r>
      <w:r w:rsidR="0092696A" w:rsidRPr="009E2757">
        <w:t>).</w:t>
      </w:r>
    </w:p>
    <w:p w14:paraId="0DDFEF26" w14:textId="3BD6B83E" w:rsidR="004F677C" w:rsidRPr="009E2757" w:rsidRDefault="004F677C" w:rsidP="001F0E3A">
      <w:pPr>
        <w:spacing w:line="276" w:lineRule="auto"/>
        <w:ind w:firstLine="720"/>
        <w:jc w:val="both"/>
      </w:pPr>
      <w:r w:rsidRPr="009E2757">
        <w:t xml:space="preserve">Kriminālprocesa likuma 50. panta pirmajā daļā nostiprināts vispārīgs princips, ka amatpersona nedrīkst uzņemties </w:t>
      </w:r>
      <w:r w:rsidR="007C55B3">
        <w:t xml:space="preserve">pilnvaras </w:t>
      </w:r>
      <w:r w:rsidRPr="009E2757">
        <w:t>veikt kriminālprocesu, ja tādējādi šī persona nonāktu interešu konfliktā, proti, ja tās person</w:t>
      </w:r>
      <w:r w:rsidR="007C55B3">
        <w:t>isk</w:t>
      </w:r>
      <w:r w:rsidRPr="009E2757">
        <w:t xml:space="preserve">ās intereses gan tieši, gan netieši nesakrīt ar kriminālprocesa mērķi vai </w:t>
      </w:r>
      <w:r w:rsidR="009054D6">
        <w:t xml:space="preserve">arī </w:t>
      </w:r>
      <w:r w:rsidRPr="009E2757">
        <w:t xml:space="preserve">pastāv apstākļi, kas kriminālprocesā iesaistītajai personai pamatoti dod iemeslu pieļaut šādu ieinteresētību. Kriminālprocesa likuma 51. pantā norādīti neapstrīdamie interešu konflikta apstākļi atsevišķām kriminālprocesā iesaistītajām personām, tajā skaitā tiesnesim. </w:t>
      </w:r>
      <w:r w:rsidR="002D4699" w:rsidRPr="009E2757">
        <w:t xml:space="preserve">Savukārt </w:t>
      </w:r>
      <w:r w:rsidRPr="009E2757">
        <w:t>Kriminālprocesa likuma 55.</w:t>
      </w:r>
      <w:r w:rsidR="007C55B3">
        <w:t> </w:t>
      </w:r>
      <w:r w:rsidRPr="009E2757">
        <w:t>panta pirmajā daļā noteikts, ka persona, kura īsteno aizstāvību, cietušais vai procesa veikšanai pilnvarota persona, ja tai ir zināmi apstākļi, kas liedz kādai amatpersonai veikt konkrēto kriminālprocesu, iesniedz šīs personas noraidījumu šā likuma 54. panta pirmajā daļā minētajām personām, kurām ir tiesības lemt par noraidījumu.</w:t>
      </w:r>
    </w:p>
    <w:p w14:paraId="43AB035B" w14:textId="2CD365A5" w:rsidR="002D4699" w:rsidRPr="009E2757" w:rsidRDefault="002D4699" w:rsidP="001F0E3A">
      <w:pPr>
        <w:spacing w:line="276" w:lineRule="auto"/>
        <w:ind w:firstLine="720"/>
        <w:jc w:val="both"/>
      </w:pPr>
      <w:r w:rsidRPr="009E2757">
        <w:t>Tiesnesis D. </w:t>
      </w:r>
      <w:proofErr w:type="spellStart"/>
      <w:r w:rsidRPr="009E2757">
        <w:t>Aktumanis</w:t>
      </w:r>
      <w:proofErr w:type="spellEnd"/>
      <w:r w:rsidRPr="009E2757">
        <w:t xml:space="preserve"> nav sevi atstatījis Kriminālprocesa likumā norādīto iemeslu dēļ, līdz ar to atzīstams, ka tiesnesis subjektīvi nav šaubījies par savu spēju izspriest lietu objektīvi.</w:t>
      </w:r>
    </w:p>
    <w:p w14:paraId="1DD0AAAA" w14:textId="5B0BAD6E" w:rsidR="00782F66" w:rsidRPr="009E2757" w:rsidRDefault="002D4699" w:rsidP="001F0E3A">
      <w:pPr>
        <w:spacing w:line="276" w:lineRule="auto"/>
        <w:ind w:firstLine="720"/>
        <w:jc w:val="both"/>
      </w:pPr>
      <w:r w:rsidRPr="009E2757">
        <w:t>Arī a</w:t>
      </w:r>
      <w:r w:rsidR="004F677C" w:rsidRPr="009E2757">
        <w:t>psūdzētie</w:t>
      </w:r>
      <w:r w:rsidRPr="009E2757">
        <w:t xml:space="preserve"> </w:t>
      </w:r>
      <w:r w:rsidR="00D32789">
        <w:t>[pers. A]</w:t>
      </w:r>
      <w:r w:rsidR="00D32789" w:rsidRPr="009E2757">
        <w:t xml:space="preserve"> un </w:t>
      </w:r>
      <w:r w:rsidR="00D32789">
        <w:t>[pers. B]</w:t>
      </w:r>
      <w:r w:rsidR="004F677C" w:rsidRPr="009E2757">
        <w:t xml:space="preserve"> un viņu aizstāve </w:t>
      </w:r>
      <w:r w:rsidRPr="009E2757">
        <w:t>I. </w:t>
      </w:r>
      <w:proofErr w:type="spellStart"/>
      <w:r w:rsidRPr="009E2757">
        <w:t>Sipjagova</w:t>
      </w:r>
      <w:proofErr w:type="spellEnd"/>
      <w:r w:rsidRPr="009E2757">
        <w:t xml:space="preserve"> </w:t>
      </w:r>
      <w:r w:rsidR="004F677C" w:rsidRPr="009E2757">
        <w:t xml:space="preserve">lietas iztiesāšanas laikā </w:t>
      </w:r>
      <w:r w:rsidR="003F0E53" w:rsidRPr="009E2757">
        <w:t xml:space="preserve">nav pieteikuši </w:t>
      </w:r>
      <w:r w:rsidR="004F677C" w:rsidRPr="009E2757">
        <w:t>noraidījumu apelācijas instances tiesas sastāvā esošajam tiesnesim D. </w:t>
      </w:r>
      <w:proofErr w:type="spellStart"/>
      <w:r w:rsidR="004F677C" w:rsidRPr="009E2757">
        <w:t>Aktumanim</w:t>
      </w:r>
      <w:proofErr w:type="spellEnd"/>
      <w:r w:rsidRPr="009E2757">
        <w:t>.</w:t>
      </w:r>
    </w:p>
    <w:p w14:paraId="04D78756" w14:textId="0C2CC906" w:rsidR="002B779F" w:rsidRPr="009E2757" w:rsidRDefault="009054D6" w:rsidP="001F0E3A">
      <w:pPr>
        <w:pStyle w:val="NoSpacing"/>
        <w:spacing w:line="276" w:lineRule="auto"/>
        <w:ind w:firstLine="720"/>
        <w:jc w:val="both"/>
        <w:rPr>
          <w:rFonts w:cs="Times New Roman"/>
          <w:i/>
          <w:iCs/>
          <w:szCs w:val="24"/>
        </w:rPr>
      </w:pPr>
      <w:r>
        <w:rPr>
          <w:rFonts w:cs="Times New Roman"/>
          <w:szCs w:val="24"/>
        </w:rPr>
        <w:t>V</w:t>
      </w:r>
      <w:r w:rsidR="00093283" w:rsidRPr="009E2757">
        <w:rPr>
          <w:rFonts w:cs="Times New Roman"/>
          <w:szCs w:val="24"/>
        </w:rPr>
        <w:t xml:space="preserve">eicot objektīvā aspekta pārbaudi, ir jānoskaidro, vai pastāv noskaidrojami fakti, kas var </w:t>
      </w:r>
      <w:r w:rsidR="00EC0260" w:rsidRPr="009E2757">
        <w:rPr>
          <w:rFonts w:cs="Times New Roman"/>
          <w:szCs w:val="24"/>
        </w:rPr>
        <w:t>izraisīt</w:t>
      </w:r>
      <w:r w:rsidR="00093283" w:rsidRPr="009E2757">
        <w:rPr>
          <w:rFonts w:cs="Times New Roman"/>
          <w:szCs w:val="24"/>
        </w:rPr>
        <w:t xml:space="preserve"> saprātīgas šaubas par konkrētās lietas izlemšanā nozīmēto tiesneš</w:t>
      </w:r>
      <w:r w:rsidR="00EC0260" w:rsidRPr="009E2757">
        <w:rPr>
          <w:rFonts w:cs="Times New Roman"/>
          <w:szCs w:val="24"/>
        </w:rPr>
        <w:t>u</w:t>
      </w:r>
      <w:r w:rsidR="00093283" w:rsidRPr="009E2757">
        <w:rPr>
          <w:rFonts w:cs="Times New Roman"/>
          <w:szCs w:val="24"/>
        </w:rPr>
        <w:t xml:space="preserve"> objektivitāti, proti, vai izvērtējam</w:t>
      </w:r>
      <w:r w:rsidR="00EC0260" w:rsidRPr="009E2757">
        <w:rPr>
          <w:rFonts w:cs="Times New Roman"/>
          <w:szCs w:val="24"/>
        </w:rPr>
        <w:t>a</w:t>
      </w:r>
      <w:r w:rsidR="00093283" w:rsidRPr="009E2757">
        <w:rPr>
          <w:rFonts w:cs="Times New Roman"/>
          <w:szCs w:val="24"/>
        </w:rPr>
        <w:t>m gadījum</w:t>
      </w:r>
      <w:r w:rsidR="00EC0260" w:rsidRPr="009E2757">
        <w:rPr>
          <w:rFonts w:cs="Times New Roman"/>
          <w:szCs w:val="24"/>
        </w:rPr>
        <w:t>a</w:t>
      </w:r>
      <w:r w:rsidR="00093283" w:rsidRPr="009E2757">
        <w:rPr>
          <w:rFonts w:cs="Times New Roman"/>
          <w:szCs w:val="24"/>
        </w:rPr>
        <w:t>m piemīt tāds raksturs, kas norāda uz tiesas objektivitātes trūkumu</w:t>
      </w:r>
      <w:r w:rsidR="001F2F98" w:rsidRPr="009E2757">
        <w:rPr>
          <w:rFonts w:cs="Times New Roman"/>
          <w:szCs w:val="24"/>
        </w:rPr>
        <w:t xml:space="preserve"> </w:t>
      </w:r>
      <w:r w:rsidR="00093283" w:rsidRPr="009E2757">
        <w:rPr>
          <w:rFonts w:cs="Times New Roman"/>
          <w:szCs w:val="24"/>
        </w:rPr>
        <w:t>(</w:t>
      </w:r>
      <w:r w:rsidR="00264A12">
        <w:rPr>
          <w:rFonts w:cs="Times New Roman"/>
          <w:szCs w:val="24"/>
        </w:rPr>
        <w:t>sk. </w:t>
      </w:r>
      <w:r w:rsidR="00093283" w:rsidRPr="009E2757">
        <w:rPr>
          <w:rFonts w:cs="Times New Roman"/>
          <w:i/>
          <w:iCs/>
          <w:szCs w:val="24"/>
        </w:rPr>
        <w:t xml:space="preserve">Eiropas Cilvēktiesību tiesas </w:t>
      </w:r>
      <w:r w:rsidR="00EA5ACC">
        <w:rPr>
          <w:rFonts w:cs="Times New Roman"/>
          <w:i/>
          <w:iCs/>
          <w:szCs w:val="24"/>
        </w:rPr>
        <w:t xml:space="preserve">(Lielā palāta) </w:t>
      </w:r>
      <w:r w:rsidR="00093283" w:rsidRPr="009E2757">
        <w:rPr>
          <w:rFonts w:cs="Times New Roman"/>
          <w:i/>
          <w:iCs/>
          <w:szCs w:val="24"/>
        </w:rPr>
        <w:t>2009. gada 15. oktobra sprieduma lietā „</w:t>
      </w:r>
      <w:proofErr w:type="spellStart"/>
      <w:r w:rsidR="00093283" w:rsidRPr="009E2757">
        <w:rPr>
          <w:rFonts w:cs="Times New Roman"/>
          <w:i/>
          <w:iCs/>
          <w:szCs w:val="24"/>
        </w:rPr>
        <w:t>Micallef</w:t>
      </w:r>
      <w:proofErr w:type="spellEnd"/>
      <w:r w:rsidR="00093283" w:rsidRPr="009E2757">
        <w:rPr>
          <w:rFonts w:cs="Times New Roman"/>
          <w:i/>
          <w:iCs/>
          <w:szCs w:val="24"/>
        </w:rPr>
        <w:t xml:space="preserve"> v. Malta”, iesnieguma Nr. </w:t>
      </w:r>
      <w:hyperlink r:id="rId10" w:history="1">
        <w:r w:rsidR="00093283" w:rsidRPr="009E2757">
          <w:rPr>
            <w:rStyle w:val="Hyperlink"/>
            <w:rFonts w:cs="Times New Roman"/>
            <w:i/>
            <w:iCs/>
            <w:szCs w:val="24"/>
          </w:rPr>
          <w:t>17056/06</w:t>
        </w:r>
      </w:hyperlink>
      <w:r w:rsidR="00093283" w:rsidRPr="009E2757">
        <w:rPr>
          <w:rFonts w:cs="Times New Roman"/>
          <w:i/>
          <w:iCs/>
          <w:szCs w:val="24"/>
        </w:rPr>
        <w:t>, 97. punkt</w:t>
      </w:r>
      <w:r w:rsidR="00264A12">
        <w:rPr>
          <w:rFonts w:cs="Times New Roman"/>
          <w:i/>
          <w:iCs/>
          <w:szCs w:val="24"/>
        </w:rPr>
        <w:t>u</w:t>
      </w:r>
      <w:r w:rsidR="00093283" w:rsidRPr="009E2757">
        <w:rPr>
          <w:rFonts w:cs="Times New Roman"/>
          <w:szCs w:val="24"/>
        </w:rPr>
        <w:t>).</w:t>
      </w:r>
      <w:r w:rsidR="001F2F98" w:rsidRPr="009E2757">
        <w:rPr>
          <w:rFonts w:cs="Times New Roman"/>
          <w:szCs w:val="24"/>
        </w:rPr>
        <w:t xml:space="preserve"> Turklāt izlemjot, vai </w:t>
      </w:r>
      <w:r w:rsidR="00EC0260" w:rsidRPr="009E2757">
        <w:rPr>
          <w:rFonts w:cs="Times New Roman"/>
          <w:szCs w:val="24"/>
        </w:rPr>
        <w:t>tiesneša objektivitātes apšaubīšanai</w:t>
      </w:r>
      <w:r w:rsidR="001F2F98" w:rsidRPr="009E2757">
        <w:rPr>
          <w:rFonts w:cs="Times New Roman"/>
          <w:szCs w:val="24"/>
        </w:rPr>
        <w:t xml:space="preserve"> ir leģitīms iemesls, attiecīgās personas viedoklis ir svarīgs, bet n</w:t>
      </w:r>
      <w:r w:rsidR="00EC0260" w:rsidRPr="009E2757">
        <w:rPr>
          <w:rFonts w:cs="Times New Roman"/>
          <w:szCs w:val="24"/>
        </w:rPr>
        <w:t>av</w:t>
      </w:r>
      <w:r w:rsidR="001F2F98" w:rsidRPr="009E2757">
        <w:rPr>
          <w:rFonts w:cs="Times New Roman"/>
          <w:szCs w:val="24"/>
        </w:rPr>
        <w:t xml:space="preserve"> izšķirošs. Izšķirošais ir apstāklis, vai šīs šaubas var uzskatīt par objektīvi pamatotām (</w:t>
      </w:r>
      <w:r w:rsidR="001F2F98" w:rsidRPr="009E2757">
        <w:rPr>
          <w:rFonts w:cs="Times New Roman"/>
          <w:i/>
          <w:iCs/>
          <w:szCs w:val="24"/>
        </w:rPr>
        <w:t>Eiropas Cilvēktiesību tiesas 2000. gada 21. decembra sprieduma lietā „</w:t>
      </w:r>
      <w:proofErr w:type="spellStart"/>
      <w:r w:rsidR="001F2F98" w:rsidRPr="009E2757">
        <w:rPr>
          <w:rFonts w:cs="Times New Roman"/>
          <w:i/>
          <w:iCs/>
          <w:szCs w:val="24"/>
        </w:rPr>
        <w:t>Wettstein</w:t>
      </w:r>
      <w:proofErr w:type="spellEnd"/>
      <w:r w:rsidR="001F2F98" w:rsidRPr="009E2757">
        <w:rPr>
          <w:rFonts w:cs="Times New Roman"/>
          <w:i/>
          <w:iCs/>
          <w:szCs w:val="24"/>
        </w:rPr>
        <w:t xml:space="preserve"> v. </w:t>
      </w:r>
      <w:proofErr w:type="spellStart"/>
      <w:r w:rsidR="001F2F98" w:rsidRPr="009E2757">
        <w:rPr>
          <w:rFonts w:cs="Times New Roman"/>
          <w:i/>
          <w:iCs/>
          <w:szCs w:val="24"/>
        </w:rPr>
        <w:t>Switzerland</w:t>
      </w:r>
      <w:proofErr w:type="spellEnd"/>
      <w:r w:rsidR="001F2F98" w:rsidRPr="009E2757">
        <w:rPr>
          <w:rFonts w:cs="Times New Roman"/>
          <w:i/>
          <w:iCs/>
          <w:szCs w:val="24"/>
        </w:rPr>
        <w:t>”, iesnieguma Nr. </w:t>
      </w:r>
      <w:hyperlink r:id="rId11" w:history="1">
        <w:r w:rsidR="001F2F98" w:rsidRPr="009E2757">
          <w:rPr>
            <w:rStyle w:val="Hyperlink"/>
            <w:rFonts w:cs="Times New Roman"/>
            <w:i/>
            <w:iCs/>
            <w:szCs w:val="24"/>
          </w:rPr>
          <w:t>33958/96</w:t>
        </w:r>
      </w:hyperlink>
      <w:r w:rsidR="001F2F98" w:rsidRPr="009E2757">
        <w:rPr>
          <w:rFonts w:cs="Times New Roman"/>
          <w:i/>
          <w:iCs/>
          <w:szCs w:val="24"/>
        </w:rPr>
        <w:t>, 44. punkts</w:t>
      </w:r>
      <w:r w:rsidR="001F2F98" w:rsidRPr="009E2757">
        <w:rPr>
          <w:rFonts w:cs="Times New Roman"/>
          <w:szCs w:val="24"/>
        </w:rPr>
        <w:t xml:space="preserve">). Turklāt, noskaidrojot apstākļus, kas var radīt pamatotas šaubas par tiesas objektivitāti, nozīme var būt pat </w:t>
      </w:r>
      <w:r w:rsidR="008F4EB5" w:rsidRPr="009E2757">
        <w:rPr>
          <w:rFonts w:cs="Times New Roman"/>
          <w:szCs w:val="24"/>
        </w:rPr>
        <w:t>šķietamībai</w:t>
      </w:r>
      <w:r w:rsidR="001F2F98" w:rsidRPr="009E2757">
        <w:rPr>
          <w:rFonts w:cs="Times New Roman"/>
          <w:szCs w:val="24"/>
        </w:rPr>
        <w:t xml:space="preserve"> (</w:t>
      </w:r>
      <w:r w:rsidR="001F2F98" w:rsidRPr="009054D6">
        <w:rPr>
          <w:rFonts w:cs="Times New Roman"/>
          <w:szCs w:val="24"/>
        </w:rPr>
        <w:t>sk</w:t>
      </w:r>
      <w:r w:rsidR="001F2F98" w:rsidRPr="009E2757">
        <w:rPr>
          <w:rFonts w:cs="Times New Roman"/>
          <w:i/>
          <w:iCs/>
          <w:szCs w:val="24"/>
        </w:rPr>
        <w:t>.</w:t>
      </w:r>
      <w:r w:rsidR="00457495">
        <w:rPr>
          <w:rFonts w:cs="Times New Roman"/>
          <w:i/>
          <w:iCs/>
          <w:szCs w:val="24"/>
        </w:rPr>
        <w:t> </w:t>
      </w:r>
      <w:r w:rsidR="001F2F98" w:rsidRPr="009E2757">
        <w:rPr>
          <w:rFonts w:cs="Times New Roman"/>
          <w:i/>
          <w:iCs/>
          <w:szCs w:val="24"/>
        </w:rPr>
        <w:t>Eiropas Cilvēktiesību tiesas 1993. gada 24. februāra sprieduma lietā „</w:t>
      </w:r>
      <w:proofErr w:type="spellStart"/>
      <w:r w:rsidR="001F2F98" w:rsidRPr="009E2757">
        <w:rPr>
          <w:rFonts w:cs="Times New Roman"/>
          <w:i/>
          <w:iCs/>
          <w:szCs w:val="24"/>
        </w:rPr>
        <w:t>Fey</w:t>
      </w:r>
      <w:proofErr w:type="spellEnd"/>
      <w:r w:rsidR="00457495">
        <w:rPr>
          <w:rFonts w:cs="Times New Roman"/>
          <w:i/>
          <w:iCs/>
          <w:szCs w:val="24"/>
        </w:rPr>
        <w:t> </w:t>
      </w:r>
      <w:r w:rsidR="001F2F98" w:rsidRPr="009E2757">
        <w:rPr>
          <w:rFonts w:cs="Times New Roman"/>
          <w:i/>
          <w:iCs/>
          <w:szCs w:val="24"/>
        </w:rPr>
        <w:t xml:space="preserve">v. </w:t>
      </w:r>
      <w:proofErr w:type="spellStart"/>
      <w:r w:rsidR="001F2F98" w:rsidRPr="009E2757">
        <w:rPr>
          <w:rFonts w:cs="Times New Roman"/>
          <w:i/>
          <w:iCs/>
          <w:szCs w:val="24"/>
        </w:rPr>
        <w:t>Austria</w:t>
      </w:r>
      <w:proofErr w:type="spellEnd"/>
      <w:r w:rsidR="001F2F98" w:rsidRPr="009E2757">
        <w:rPr>
          <w:rFonts w:cs="Times New Roman"/>
          <w:i/>
          <w:iCs/>
          <w:szCs w:val="24"/>
        </w:rPr>
        <w:t>”, iesnieguma Nr. </w:t>
      </w:r>
      <w:hyperlink r:id="rId12" w:history="1">
        <w:r w:rsidR="001F2F98" w:rsidRPr="00EA5ACC">
          <w:rPr>
            <w:rStyle w:val="Hyperlink"/>
            <w:rFonts w:cs="Times New Roman"/>
            <w:i/>
            <w:iCs/>
            <w:szCs w:val="24"/>
          </w:rPr>
          <w:t>14396/88</w:t>
        </w:r>
      </w:hyperlink>
      <w:r w:rsidR="001F2F98" w:rsidRPr="009E2757">
        <w:rPr>
          <w:rFonts w:cs="Times New Roman"/>
          <w:i/>
          <w:iCs/>
          <w:szCs w:val="24"/>
        </w:rPr>
        <w:t>, 30. punkt</w:t>
      </w:r>
      <w:r w:rsidR="00EA5ACC">
        <w:rPr>
          <w:rFonts w:cs="Times New Roman"/>
          <w:i/>
          <w:iCs/>
          <w:szCs w:val="24"/>
        </w:rPr>
        <w:t>u</w:t>
      </w:r>
      <w:r w:rsidR="001F2F98" w:rsidRPr="009E2757">
        <w:rPr>
          <w:rFonts w:cs="Times New Roman"/>
          <w:i/>
          <w:iCs/>
          <w:szCs w:val="24"/>
        </w:rPr>
        <w:t>, 2000. gada 4. aprīļa sprieduma lietā „</w:t>
      </w:r>
      <w:proofErr w:type="spellStart"/>
      <w:r w:rsidR="001F2F98" w:rsidRPr="009E2757">
        <w:rPr>
          <w:rFonts w:cs="Times New Roman"/>
          <w:i/>
          <w:iCs/>
          <w:szCs w:val="24"/>
        </w:rPr>
        <w:t>Academy</w:t>
      </w:r>
      <w:proofErr w:type="spellEnd"/>
      <w:r w:rsidR="001F2F98" w:rsidRPr="009E2757">
        <w:rPr>
          <w:rFonts w:cs="Times New Roman"/>
          <w:i/>
          <w:iCs/>
          <w:szCs w:val="24"/>
        </w:rPr>
        <w:t xml:space="preserve"> </w:t>
      </w:r>
      <w:proofErr w:type="spellStart"/>
      <w:r w:rsidR="001F2F98" w:rsidRPr="009E2757">
        <w:rPr>
          <w:rFonts w:cs="Times New Roman"/>
          <w:i/>
          <w:iCs/>
          <w:szCs w:val="24"/>
        </w:rPr>
        <w:t>Trading</w:t>
      </w:r>
      <w:proofErr w:type="spellEnd"/>
      <w:r w:rsidR="001F2F98" w:rsidRPr="009E2757">
        <w:rPr>
          <w:rFonts w:cs="Times New Roman"/>
          <w:i/>
          <w:iCs/>
          <w:szCs w:val="24"/>
        </w:rPr>
        <w:t xml:space="preserve"> </w:t>
      </w:r>
      <w:proofErr w:type="spellStart"/>
      <w:r w:rsidR="001F2F98" w:rsidRPr="009E2757">
        <w:rPr>
          <w:rFonts w:cs="Times New Roman"/>
          <w:i/>
          <w:iCs/>
          <w:szCs w:val="24"/>
        </w:rPr>
        <w:t>Ltd</w:t>
      </w:r>
      <w:proofErr w:type="spellEnd"/>
      <w:r w:rsidR="001F2F98" w:rsidRPr="009E2757">
        <w:rPr>
          <w:rFonts w:cs="Times New Roman"/>
          <w:i/>
          <w:iCs/>
          <w:szCs w:val="24"/>
        </w:rPr>
        <w:t xml:space="preserve"> </w:t>
      </w:r>
      <w:proofErr w:type="spellStart"/>
      <w:r w:rsidR="001F2F98" w:rsidRPr="009E2757">
        <w:rPr>
          <w:rFonts w:cs="Times New Roman"/>
          <w:i/>
          <w:iCs/>
          <w:szCs w:val="24"/>
        </w:rPr>
        <w:t>and</w:t>
      </w:r>
      <w:proofErr w:type="spellEnd"/>
      <w:r w:rsidR="001F2F98" w:rsidRPr="009E2757">
        <w:rPr>
          <w:rFonts w:cs="Times New Roman"/>
          <w:i/>
          <w:iCs/>
          <w:szCs w:val="24"/>
        </w:rPr>
        <w:t xml:space="preserve"> </w:t>
      </w:r>
      <w:proofErr w:type="spellStart"/>
      <w:r w:rsidR="001F2F98" w:rsidRPr="009E2757">
        <w:rPr>
          <w:rFonts w:cs="Times New Roman"/>
          <w:i/>
          <w:iCs/>
          <w:szCs w:val="24"/>
        </w:rPr>
        <w:t>Others</w:t>
      </w:r>
      <w:proofErr w:type="spellEnd"/>
      <w:r w:rsidR="001F2F98" w:rsidRPr="009E2757">
        <w:rPr>
          <w:rFonts w:cs="Times New Roman"/>
          <w:i/>
          <w:iCs/>
          <w:szCs w:val="24"/>
        </w:rPr>
        <w:t xml:space="preserve"> v. </w:t>
      </w:r>
      <w:proofErr w:type="spellStart"/>
      <w:r w:rsidR="001F2F98" w:rsidRPr="009E2757">
        <w:rPr>
          <w:rFonts w:cs="Times New Roman"/>
          <w:i/>
          <w:iCs/>
          <w:szCs w:val="24"/>
        </w:rPr>
        <w:t>Greece</w:t>
      </w:r>
      <w:proofErr w:type="spellEnd"/>
      <w:r w:rsidR="001F2F98" w:rsidRPr="009E2757">
        <w:rPr>
          <w:rFonts w:cs="Times New Roman"/>
          <w:i/>
          <w:iCs/>
          <w:szCs w:val="24"/>
        </w:rPr>
        <w:t>”, iesnieguma Nr. </w:t>
      </w:r>
      <w:hyperlink r:id="rId13" w:history="1">
        <w:r w:rsidR="001F2F98" w:rsidRPr="00EA5ACC">
          <w:rPr>
            <w:rStyle w:val="Hyperlink"/>
            <w:rFonts w:cs="Times New Roman"/>
            <w:i/>
            <w:iCs/>
            <w:szCs w:val="24"/>
          </w:rPr>
          <w:t>30342/96</w:t>
        </w:r>
      </w:hyperlink>
      <w:r w:rsidR="001F2F98" w:rsidRPr="009E2757">
        <w:rPr>
          <w:rFonts w:cs="Times New Roman"/>
          <w:i/>
          <w:iCs/>
          <w:szCs w:val="24"/>
        </w:rPr>
        <w:t>, 45. punktu)</w:t>
      </w:r>
      <w:r w:rsidR="001F2F98" w:rsidRPr="009E2757">
        <w:rPr>
          <w:rFonts w:cs="Times New Roman"/>
          <w:szCs w:val="24"/>
        </w:rPr>
        <w:t>.</w:t>
      </w:r>
      <w:r w:rsidR="002B779F" w:rsidRPr="009E2757">
        <w:rPr>
          <w:rFonts w:cs="Times New Roman"/>
          <w:szCs w:val="24"/>
        </w:rPr>
        <w:t xml:space="preserve"> Tomēr </w:t>
      </w:r>
      <w:r>
        <w:rPr>
          <w:rFonts w:cs="Times New Roman"/>
          <w:szCs w:val="24"/>
        </w:rPr>
        <w:t xml:space="preserve">arī </w:t>
      </w:r>
      <w:r w:rsidR="002B779F" w:rsidRPr="009E2757">
        <w:rPr>
          <w:rFonts w:cs="Times New Roman"/>
          <w:szCs w:val="24"/>
        </w:rPr>
        <w:t>šķietamībai pašai par sevi nevar būt izšķirošas nozīmes, jo tā nav pārbaudāma, raugoties vienīgi no procesa dalībnieka viedokļa</w:t>
      </w:r>
      <w:r w:rsidR="00EC0260" w:rsidRPr="009E2757">
        <w:rPr>
          <w:rFonts w:cs="Times New Roman"/>
          <w:szCs w:val="24"/>
        </w:rPr>
        <w:t>. D</w:t>
      </w:r>
      <w:r w:rsidR="002B779F" w:rsidRPr="009E2757">
        <w:rPr>
          <w:rFonts w:cs="Times New Roman"/>
          <w:szCs w:val="24"/>
        </w:rPr>
        <w:t>emokrātiskā sabiedrībā tiesām ir jābauda gan procesā iesaistītās personas, gan sabiedrības uzticēšanās (</w:t>
      </w:r>
      <w:r w:rsidR="002B779F" w:rsidRPr="009054D6">
        <w:rPr>
          <w:rFonts w:cs="Times New Roman"/>
          <w:szCs w:val="24"/>
        </w:rPr>
        <w:t>sk.</w:t>
      </w:r>
      <w:r w:rsidR="00457495">
        <w:rPr>
          <w:rFonts w:cs="Times New Roman"/>
          <w:i/>
          <w:iCs/>
          <w:szCs w:val="24"/>
        </w:rPr>
        <w:t> </w:t>
      </w:r>
      <w:r w:rsidR="002B779F" w:rsidRPr="00E12DFA">
        <w:rPr>
          <w:rFonts w:cs="Times New Roman"/>
          <w:i/>
          <w:iCs/>
          <w:szCs w:val="24"/>
        </w:rPr>
        <w:t xml:space="preserve">Eiropas Cilvēktiesību tiesas 1998. gada 28. oktobra sprieduma lietā „Castillo </w:t>
      </w:r>
      <w:proofErr w:type="spellStart"/>
      <w:r w:rsidR="002B779F" w:rsidRPr="00E12DFA">
        <w:rPr>
          <w:rFonts w:cs="Times New Roman"/>
          <w:i/>
          <w:iCs/>
          <w:szCs w:val="24"/>
        </w:rPr>
        <w:t>Algar</w:t>
      </w:r>
      <w:proofErr w:type="spellEnd"/>
      <w:r w:rsidR="002B779F" w:rsidRPr="00E12DFA">
        <w:rPr>
          <w:rFonts w:cs="Times New Roman"/>
          <w:i/>
          <w:iCs/>
          <w:szCs w:val="24"/>
        </w:rPr>
        <w:t xml:space="preserve"> v. </w:t>
      </w:r>
      <w:proofErr w:type="spellStart"/>
      <w:r w:rsidR="002B779F" w:rsidRPr="00E12DFA">
        <w:rPr>
          <w:rFonts w:cs="Times New Roman"/>
          <w:i/>
          <w:iCs/>
          <w:szCs w:val="24"/>
        </w:rPr>
        <w:t>Spain</w:t>
      </w:r>
      <w:proofErr w:type="spellEnd"/>
      <w:r w:rsidR="002B779F" w:rsidRPr="00E12DFA">
        <w:rPr>
          <w:rFonts w:cs="Times New Roman"/>
          <w:i/>
          <w:iCs/>
          <w:szCs w:val="24"/>
        </w:rPr>
        <w:t>”, iesnieguma Nr. </w:t>
      </w:r>
      <w:hyperlink r:id="rId14" w:history="1">
        <w:r w:rsidR="002B779F" w:rsidRPr="00E12DFA">
          <w:rPr>
            <w:rStyle w:val="Hyperlink"/>
            <w:rFonts w:cs="Times New Roman"/>
            <w:i/>
            <w:iCs/>
            <w:szCs w:val="24"/>
          </w:rPr>
          <w:t>28194/95</w:t>
        </w:r>
      </w:hyperlink>
      <w:r w:rsidR="002B779F" w:rsidRPr="00E12DFA">
        <w:rPr>
          <w:rFonts w:cs="Times New Roman"/>
          <w:i/>
          <w:iCs/>
          <w:szCs w:val="24"/>
        </w:rPr>
        <w:t>, 45. punktu</w:t>
      </w:r>
      <w:r w:rsidR="002B779F" w:rsidRPr="009E2757">
        <w:rPr>
          <w:rFonts w:cs="Times New Roman"/>
          <w:i/>
          <w:iCs/>
          <w:szCs w:val="24"/>
        </w:rPr>
        <w:t>, 2000.</w:t>
      </w:r>
      <w:r w:rsidR="002D0E67">
        <w:rPr>
          <w:rFonts w:cs="Times New Roman"/>
          <w:i/>
          <w:iCs/>
          <w:szCs w:val="24"/>
        </w:rPr>
        <w:t> </w:t>
      </w:r>
      <w:r w:rsidR="002B779F" w:rsidRPr="009E2757">
        <w:rPr>
          <w:rFonts w:cs="Times New Roman"/>
          <w:i/>
          <w:iCs/>
          <w:szCs w:val="24"/>
        </w:rPr>
        <w:t>gada 4.</w:t>
      </w:r>
      <w:r w:rsidR="002D0E67">
        <w:rPr>
          <w:rFonts w:cs="Times New Roman"/>
          <w:i/>
          <w:iCs/>
          <w:szCs w:val="24"/>
        </w:rPr>
        <w:t> </w:t>
      </w:r>
      <w:r w:rsidR="002B779F" w:rsidRPr="009E2757">
        <w:rPr>
          <w:rFonts w:cs="Times New Roman"/>
          <w:i/>
          <w:iCs/>
          <w:szCs w:val="24"/>
        </w:rPr>
        <w:t xml:space="preserve">aprīļa sprieduma lietā </w:t>
      </w:r>
      <w:r w:rsidR="002D0E67">
        <w:rPr>
          <w:rFonts w:cs="Times New Roman"/>
          <w:i/>
          <w:iCs/>
          <w:szCs w:val="24"/>
        </w:rPr>
        <w:t>„</w:t>
      </w:r>
      <w:proofErr w:type="spellStart"/>
      <w:r w:rsidR="002B779F" w:rsidRPr="009E2757">
        <w:rPr>
          <w:rFonts w:cs="Times New Roman"/>
          <w:i/>
          <w:iCs/>
          <w:szCs w:val="24"/>
        </w:rPr>
        <w:t>Academy</w:t>
      </w:r>
      <w:proofErr w:type="spellEnd"/>
      <w:r w:rsidR="002B779F" w:rsidRPr="009E2757">
        <w:rPr>
          <w:rFonts w:cs="Times New Roman"/>
          <w:i/>
          <w:iCs/>
          <w:szCs w:val="24"/>
        </w:rPr>
        <w:t xml:space="preserve"> </w:t>
      </w:r>
      <w:proofErr w:type="spellStart"/>
      <w:r w:rsidR="002B779F" w:rsidRPr="009E2757">
        <w:rPr>
          <w:rFonts w:cs="Times New Roman"/>
          <w:i/>
          <w:iCs/>
          <w:szCs w:val="24"/>
        </w:rPr>
        <w:t>Trading</w:t>
      </w:r>
      <w:proofErr w:type="spellEnd"/>
      <w:r w:rsidR="002B779F" w:rsidRPr="009E2757">
        <w:rPr>
          <w:rFonts w:cs="Times New Roman"/>
          <w:i/>
          <w:iCs/>
          <w:szCs w:val="24"/>
        </w:rPr>
        <w:t xml:space="preserve"> </w:t>
      </w:r>
      <w:proofErr w:type="spellStart"/>
      <w:r w:rsidR="002B779F" w:rsidRPr="009E2757">
        <w:rPr>
          <w:rFonts w:cs="Times New Roman"/>
          <w:i/>
          <w:iCs/>
          <w:szCs w:val="24"/>
        </w:rPr>
        <w:t>Ltd</w:t>
      </w:r>
      <w:proofErr w:type="spellEnd"/>
      <w:r w:rsidR="002B779F" w:rsidRPr="009E2757">
        <w:rPr>
          <w:rFonts w:cs="Times New Roman"/>
          <w:i/>
          <w:iCs/>
          <w:szCs w:val="24"/>
        </w:rPr>
        <w:t xml:space="preserve"> </w:t>
      </w:r>
      <w:proofErr w:type="spellStart"/>
      <w:r w:rsidR="002B779F" w:rsidRPr="009E2757">
        <w:rPr>
          <w:rFonts w:cs="Times New Roman"/>
          <w:i/>
          <w:iCs/>
          <w:szCs w:val="24"/>
        </w:rPr>
        <w:t>and</w:t>
      </w:r>
      <w:proofErr w:type="spellEnd"/>
      <w:r w:rsidR="002B779F" w:rsidRPr="009E2757">
        <w:rPr>
          <w:rFonts w:cs="Times New Roman"/>
          <w:i/>
          <w:iCs/>
          <w:szCs w:val="24"/>
        </w:rPr>
        <w:t xml:space="preserve"> </w:t>
      </w:r>
      <w:proofErr w:type="spellStart"/>
      <w:r w:rsidR="002B779F" w:rsidRPr="009E2757">
        <w:rPr>
          <w:rFonts w:cs="Times New Roman"/>
          <w:i/>
          <w:iCs/>
          <w:szCs w:val="24"/>
        </w:rPr>
        <w:t>Others</w:t>
      </w:r>
      <w:proofErr w:type="spellEnd"/>
      <w:r w:rsidR="002B779F" w:rsidRPr="009E2757">
        <w:rPr>
          <w:rFonts w:cs="Times New Roman"/>
          <w:i/>
          <w:iCs/>
          <w:szCs w:val="24"/>
        </w:rPr>
        <w:t xml:space="preserve"> v.</w:t>
      </w:r>
      <w:r w:rsidR="00457495">
        <w:rPr>
          <w:rFonts w:cs="Times New Roman"/>
          <w:i/>
          <w:iCs/>
          <w:szCs w:val="24"/>
        </w:rPr>
        <w:t> </w:t>
      </w:r>
      <w:proofErr w:type="spellStart"/>
      <w:r w:rsidR="002B779F" w:rsidRPr="009E2757">
        <w:rPr>
          <w:rFonts w:cs="Times New Roman"/>
          <w:i/>
          <w:iCs/>
          <w:szCs w:val="24"/>
        </w:rPr>
        <w:t>Greece</w:t>
      </w:r>
      <w:proofErr w:type="spellEnd"/>
      <w:r w:rsidR="002D0E67">
        <w:rPr>
          <w:rFonts w:cs="Times New Roman"/>
          <w:i/>
          <w:iCs/>
          <w:szCs w:val="24"/>
        </w:rPr>
        <w:t>”</w:t>
      </w:r>
      <w:r w:rsidR="002B779F" w:rsidRPr="009E2757">
        <w:rPr>
          <w:rFonts w:cs="Times New Roman"/>
          <w:i/>
          <w:iCs/>
          <w:szCs w:val="24"/>
        </w:rPr>
        <w:t>, iesniegums Nr.</w:t>
      </w:r>
      <w:r w:rsidR="002D0E67">
        <w:rPr>
          <w:rFonts w:cs="Times New Roman"/>
          <w:i/>
          <w:iCs/>
          <w:szCs w:val="24"/>
        </w:rPr>
        <w:t> </w:t>
      </w:r>
      <w:hyperlink r:id="rId15" w:history="1">
        <w:r w:rsidR="002B779F" w:rsidRPr="009B1D71">
          <w:rPr>
            <w:rStyle w:val="Hyperlink"/>
            <w:rFonts w:cs="Times New Roman"/>
            <w:i/>
            <w:iCs/>
            <w:szCs w:val="24"/>
          </w:rPr>
          <w:t>30342/96</w:t>
        </w:r>
      </w:hyperlink>
      <w:r w:rsidR="002B779F" w:rsidRPr="009E2757">
        <w:rPr>
          <w:rFonts w:cs="Times New Roman"/>
          <w:i/>
          <w:iCs/>
          <w:szCs w:val="24"/>
        </w:rPr>
        <w:t>, 45.</w:t>
      </w:r>
      <w:r w:rsidR="002D0E67">
        <w:rPr>
          <w:rFonts w:cs="Times New Roman"/>
          <w:i/>
          <w:iCs/>
          <w:szCs w:val="24"/>
        </w:rPr>
        <w:t> </w:t>
      </w:r>
      <w:r w:rsidR="002B779F" w:rsidRPr="009E2757">
        <w:rPr>
          <w:rFonts w:cs="Times New Roman"/>
          <w:i/>
          <w:iCs/>
          <w:szCs w:val="24"/>
        </w:rPr>
        <w:t>punktu)</w:t>
      </w:r>
      <w:r w:rsidR="002B779F" w:rsidRPr="009E2757">
        <w:rPr>
          <w:rFonts w:cs="Times New Roman"/>
          <w:szCs w:val="24"/>
        </w:rPr>
        <w:t xml:space="preserve">. Tas nozīmē, ka, izvērtējot tiesas </w:t>
      </w:r>
      <w:r w:rsidR="002B779F" w:rsidRPr="009E2757">
        <w:rPr>
          <w:rFonts w:cs="Times New Roman"/>
          <w:szCs w:val="24"/>
        </w:rPr>
        <w:lastRenderedPageBreak/>
        <w:t>neitralitāti, nozīme ir arī tam, kāds iespaids rodas neatkarīgam novērotājam, raugoties uz ties</w:t>
      </w:r>
      <w:r w:rsidR="00EC0260" w:rsidRPr="009E2757">
        <w:rPr>
          <w:rFonts w:cs="Times New Roman"/>
          <w:szCs w:val="24"/>
        </w:rPr>
        <w:t>as procesu</w:t>
      </w:r>
      <w:r w:rsidR="002B779F" w:rsidRPr="009E2757">
        <w:rPr>
          <w:rFonts w:cs="Times New Roman"/>
          <w:szCs w:val="24"/>
        </w:rPr>
        <w:t xml:space="preserve"> no malas.</w:t>
      </w:r>
      <w:r w:rsidR="00EA16B2" w:rsidRPr="009E2757">
        <w:rPr>
          <w:rFonts w:cs="Times New Roman"/>
          <w:szCs w:val="24"/>
        </w:rPr>
        <w:t xml:space="preserve"> Tādējādi, l</w:t>
      </w:r>
      <w:r w:rsidR="002B779F" w:rsidRPr="009E2757">
        <w:rPr>
          <w:rFonts w:cs="Times New Roman"/>
          <w:szCs w:val="24"/>
        </w:rPr>
        <w:t>ai konstatētu objektīvās neitralitātes pārkāpumu, pietiek pat ar to, ka pastāv apstākļi, kas norāda uz iespējamu neitralitātes apdraudējuma risku </w:t>
      </w:r>
      <w:r w:rsidR="002B779F" w:rsidRPr="009E2757">
        <w:rPr>
          <w:rFonts w:cs="Times New Roman"/>
          <w:i/>
          <w:iCs/>
          <w:szCs w:val="24"/>
        </w:rPr>
        <w:t>(</w:t>
      </w:r>
      <w:r w:rsidR="002B779F" w:rsidRPr="002D0E67">
        <w:rPr>
          <w:rFonts w:cs="Times New Roman"/>
          <w:szCs w:val="24"/>
        </w:rPr>
        <w:t>sk.</w:t>
      </w:r>
      <w:r w:rsidR="00457495">
        <w:rPr>
          <w:rFonts w:cs="Times New Roman"/>
          <w:i/>
          <w:iCs/>
          <w:szCs w:val="24"/>
        </w:rPr>
        <w:t> </w:t>
      </w:r>
      <w:proofErr w:type="spellStart"/>
      <w:r w:rsidR="002B779F" w:rsidRPr="009E2757">
        <w:rPr>
          <w:rFonts w:cs="Times New Roman"/>
          <w:i/>
          <w:iCs/>
          <w:szCs w:val="24"/>
        </w:rPr>
        <w:t>Grabenwarter</w:t>
      </w:r>
      <w:proofErr w:type="spellEnd"/>
      <w:r w:rsidR="002D0E67">
        <w:rPr>
          <w:rFonts w:cs="Times New Roman"/>
          <w:i/>
          <w:iCs/>
          <w:szCs w:val="24"/>
        </w:rPr>
        <w:t> </w:t>
      </w:r>
      <w:r w:rsidR="002B779F" w:rsidRPr="009E2757">
        <w:rPr>
          <w:rFonts w:cs="Times New Roman"/>
          <w:i/>
          <w:iCs/>
          <w:szCs w:val="24"/>
        </w:rPr>
        <w:t xml:space="preserve">C. </w:t>
      </w:r>
      <w:proofErr w:type="spellStart"/>
      <w:r w:rsidR="002B779F" w:rsidRPr="009E2757">
        <w:rPr>
          <w:rFonts w:cs="Times New Roman"/>
          <w:i/>
          <w:iCs/>
          <w:szCs w:val="24"/>
        </w:rPr>
        <w:t>Europäische</w:t>
      </w:r>
      <w:proofErr w:type="spellEnd"/>
      <w:r w:rsidR="002B779F" w:rsidRPr="009E2757">
        <w:rPr>
          <w:rFonts w:cs="Times New Roman"/>
          <w:i/>
          <w:iCs/>
          <w:szCs w:val="24"/>
        </w:rPr>
        <w:t xml:space="preserve"> </w:t>
      </w:r>
      <w:proofErr w:type="spellStart"/>
      <w:r w:rsidR="002B779F" w:rsidRPr="009E2757">
        <w:rPr>
          <w:rFonts w:cs="Times New Roman"/>
          <w:i/>
          <w:iCs/>
          <w:szCs w:val="24"/>
        </w:rPr>
        <w:t>Menschenrechtskonvention</w:t>
      </w:r>
      <w:proofErr w:type="spellEnd"/>
      <w:r w:rsidR="002B779F" w:rsidRPr="009E2757">
        <w:rPr>
          <w:rFonts w:cs="Times New Roman"/>
          <w:i/>
          <w:iCs/>
          <w:szCs w:val="24"/>
        </w:rPr>
        <w:t xml:space="preserve">. </w:t>
      </w:r>
      <w:proofErr w:type="spellStart"/>
      <w:r w:rsidR="002B779F" w:rsidRPr="009E2757">
        <w:rPr>
          <w:rFonts w:cs="Times New Roman"/>
          <w:i/>
          <w:iCs/>
          <w:szCs w:val="24"/>
        </w:rPr>
        <w:t>München</w:t>
      </w:r>
      <w:proofErr w:type="spellEnd"/>
      <w:r w:rsidR="002B779F" w:rsidRPr="009E2757">
        <w:rPr>
          <w:rFonts w:cs="Times New Roman"/>
          <w:i/>
          <w:iCs/>
          <w:szCs w:val="24"/>
        </w:rPr>
        <w:t>: C.</w:t>
      </w:r>
      <w:r w:rsidR="002D0E67">
        <w:rPr>
          <w:rFonts w:cs="Times New Roman"/>
          <w:i/>
          <w:iCs/>
          <w:szCs w:val="24"/>
        </w:rPr>
        <w:t> </w:t>
      </w:r>
      <w:r w:rsidR="002B779F" w:rsidRPr="009E2757">
        <w:rPr>
          <w:rFonts w:cs="Times New Roman"/>
          <w:i/>
          <w:iCs/>
          <w:szCs w:val="24"/>
        </w:rPr>
        <w:t>H.</w:t>
      </w:r>
      <w:r w:rsidR="002D0E67">
        <w:rPr>
          <w:rFonts w:cs="Times New Roman"/>
          <w:i/>
          <w:iCs/>
          <w:szCs w:val="24"/>
        </w:rPr>
        <w:t> </w:t>
      </w:r>
      <w:proofErr w:type="spellStart"/>
      <w:r w:rsidR="002B779F" w:rsidRPr="009E2757">
        <w:rPr>
          <w:rFonts w:cs="Times New Roman"/>
          <w:i/>
          <w:iCs/>
          <w:szCs w:val="24"/>
        </w:rPr>
        <w:t>Beck</w:t>
      </w:r>
      <w:proofErr w:type="spellEnd"/>
      <w:r w:rsidR="002B779F" w:rsidRPr="009E2757">
        <w:rPr>
          <w:rFonts w:cs="Times New Roman"/>
          <w:i/>
          <w:iCs/>
          <w:szCs w:val="24"/>
        </w:rPr>
        <w:t>, 2005, 303.</w:t>
      </w:r>
      <w:r w:rsidR="002D0E67">
        <w:rPr>
          <w:rFonts w:cs="Times New Roman"/>
          <w:i/>
          <w:iCs/>
          <w:szCs w:val="24"/>
        </w:rPr>
        <w:t> </w:t>
      </w:r>
      <w:r w:rsidR="002B779F" w:rsidRPr="009E2757">
        <w:rPr>
          <w:rFonts w:cs="Times New Roman"/>
          <w:i/>
          <w:iCs/>
          <w:szCs w:val="24"/>
        </w:rPr>
        <w:t>lpp.).</w:t>
      </w:r>
    </w:p>
    <w:p w14:paraId="6DE465C5" w14:textId="30336FE0" w:rsidR="00DA7CF5" w:rsidRPr="009E2757" w:rsidRDefault="00531974" w:rsidP="001F0E3A">
      <w:pPr>
        <w:spacing w:line="276" w:lineRule="auto"/>
        <w:ind w:firstLine="720"/>
        <w:jc w:val="both"/>
      </w:pPr>
      <w:r w:rsidRPr="009E2757">
        <w:t>Eiropas Cilvēktiesību tiesa ir atzinusi, ka p</w:t>
      </w:r>
      <w:r w:rsidR="00DA7CF5" w:rsidRPr="009E2757">
        <w:t xml:space="preserve">amats šaubām par tiesneša objektivitātes trūkumu var būt </w:t>
      </w:r>
      <w:r w:rsidR="009054D6">
        <w:t>gadījumā</w:t>
      </w:r>
      <w:r w:rsidR="00DA7CF5" w:rsidRPr="009E2757">
        <w:t>, ja kādā no kriminālprocesa stadijām konkrētajā lietā tiesnesis jau ir paudis viedokli par apsūdzētā vainīgumu (</w:t>
      </w:r>
      <w:r w:rsidR="009B1D71">
        <w:t>sk</w:t>
      </w:r>
      <w:r w:rsidR="009B1D71" w:rsidRPr="00E12DFA">
        <w:t>. </w:t>
      </w:r>
      <w:r w:rsidR="00DA7CF5" w:rsidRPr="00E12DFA">
        <w:rPr>
          <w:i/>
          <w:iCs/>
        </w:rPr>
        <w:t>Eiropas Cilvēktiesību tiesas 2008. gada 22. jūlija sprieduma lietā „</w:t>
      </w:r>
      <w:proofErr w:type="spellStart"/>
      <w:r w:rsidR="00DA7CF5" w:rsidRPr="00E12DFA">
        <w:rPr>
          <w:i/>
          <w:iCs/>
        </w:rPr>
        <w:t>Gomez</w:t>
      </w:r>
      <w:proofErr w:type="spellEnd"/>
      <w:r w:rsidR="00DA7CF5" w:rsidRPr="00E12DFA">
        <w:rPr>
          <w:i/>
          <w:iCs/>
        </w:rPr>
        <w:t xml:space="preserve"> </w:t>
      </w:r>
      <w:proofErr w:type="spellStart"/>
      <w:r w:rsidR="00DA7CF5" w:rsidRPr="00E12DFA">
        <w:rPr>
          <w:i/>
          <w:iCs/>
        </w:rPr>
        <w:t>de</w:t>
      </w:r>
      <w:proofErr w:type="spellEnd"/>
      <w:r w:rsidR="00DA7CF5" w:rsidRPr="00E12DFA">
        <w:rPr>
          <w:i/>
          <w:iCs/>
        </w:rPr>
        <w:t xml:space="preserve"> </w:t>
      </w:r>
      <w:proofErr w:type="spellStart"/>
      <w:r w:rsidR="00DA7CF5" w:rsidRPr="00E12DFA">
        <w:rPr>
          <w:i/>
          <w:iCs/>
        </w:rPr>
        <w:t>Lia</w:t>
      </w:r>
      <w:r w:rsidR="00E12DFA" w:rsidRPr="009054D6">
        <w:rPr>
          <w:i/>
          <w:iCs/>
        </w:rPr>
        <w:t>ñ</w:t>
      </w:r>
      <w:r w:rsidR="00DA7CF5" w:rsidRPr="00E12DFA">
        <w:rPr>
          <w:i/>
          <w:iCs/>
        </w:rPr>
        <w:t>o</w:t>
      </w:r>
      <w:proofErr w:type="spellEnd"/>
      <w:r w:rsidR="00DA7CF5" w:rsidRPr="00E12DFA">
        <w:rPr>
          <w:i/>
          <w:iCs/>
        </w:rPr>
        <w:t xml:space="preserve"> </w:t>
      </w:r>
      <w:r w:rsidR="00401988" w:rsidRPr="00E12DFA">
        <w:rPr>
          <w:i/>
          <w:iCs/>
        </w:rPr>
        <w:t>y</w:t>
      </w:r>
      <w:r w:rsidR="00DA7CF5" w:rsidRPr="00E12DFA">
        <w:rPr>
          <w:i/>
          <w:iCs/>
        </w:rPr>
        <w:t xml:space="preserve"> </w:t>
      </w:r>
      <w:proofErr w:type="spellStart"/>
      <w:r w:rsidR="00DA7CF5" w:rsidRPr="00E12DFA">
        <w:rPr>
          <w:i/>
          <w:iCs/>
        </w:rPr>
        <w:t>Botella</w:t>
      </w:r>
      <w:proofErr w:type="spellEnd"/>
      <w:r w:rsidR="00DA7CF5" w:rsidRPr="00E12DFA">
        <w:rPr>
          <w:i/>
          <w:iCs/>
        </w:rPr>
        <w:t xml:space="preserve"> </w:t>
      </w:r>
      <w:r w:rsidR="00E12DFA">
        <w:rPr>
          <w:i/>
          <w:iCs/>
        </w:rPr>
        <w:t>c</w:t>
      </w:r>
      <w:r w:rsidR="00DA7CF5" w:rsidRPr="00E12DFA">
        <w:rPr>
          <w:i/>
          <w:iCs/>
        </w:rPr>
        <w:t xml:space="preserve">. </w:t>
      </w:r>
      <w:proofErr w:type="spellStart"/>
      <w:r w:rsidR="00E12DFA">
        <w:rPr>
          <w:i/>
          <w:iCs/>
        </w:rPr>
        <w:t>Espagne</w:t>
      </w:r>
      <w:proofErr w:type="spellEnd"/>
      <w:r w:rsidR="00DA7CF5" w:rsidRPr="00E12DFA">
        <w:rPr>
          <w:i/>
          <w:iCs/>
        </w:rPr>
        <w:t xml:space="preserve">”, </w:t>
      </w:r>
      <w:r w:rsidR="00401988" w:rsidRPr="00E12DFA">
        <w:rPr>
          <w:i/>
          <w:iCs/>
        </w:rPr>
        <w:t>iesnieguma Nr. </w:t>
      </w:r>
      <w:hyperlink r:id="rId16" w:history="1">
        <w:r w:rsidR="00401988" w:rsidRPr="00E12DFA">
          <w:rPr>
            <w:rStyle w:val="Hyperlink"/>
            <w:i/>
            <w:iCs/>
          </w:rPr>
          <w:t>21369/04</w:t>
        </w:r>
      </w:hyperlink>
      <w:r w:rsidR="00401988" w:rsidRPr="00E12DFA">
        <w:rPr>
          <w:i/>
          <w:iCs/>
        </w:rPr>
        <w:t xml:space="preserve">, </w:t>
      </w:r>
      <w:r w:rsidR="00DA7CF5" w:rsidRPr="00E12DFA">
        <w:rPr>
          <w:i/>
          <w:iCs/>
        </w:rPr>
        <w:t>67.</w:t>
      </w:r>
      <w:r w:rsidR="00401988" w:rsidRPr="00E12DFA">
        <w:rPr>
          <w:i/>
          <w:iCs/>
        </w:rPr>
        <w:noBreakHyphen/>
      </w:r>
      <w:r w:rsidR="00DA7CF5" w:rsidRPr="00E12DFA">
        <w:rPr>
          <w:i/>
          <w:iCs/>
        </w:rPr>
        <w:t>72. punkt</w:t>
      </w:r>
      <w:r w:rsidR="009B1D71" w:rsidRPr="00E12DFA">
        <w:rPr>
          <w:i/>
          <w:iCs/>
        </w:rPr>
        <w:t>u</w:t>
      </w:r>
      <w:r w:rsidR="00DA7CF5" w:rsidRPr="00E12DFA">
        <w:t>)</w:t>
      </w:r>
      <w:r w:rsidR="00DA7CF5" w:rsidRPr="009E2757">
        <w:t xml:space="preserve"> vai arī tad, ja tiesneša iepriekš pieņemtajos nolēmumos ir ietverti secinājumi, kas faktiski nosaka jautājumu par apsūdzētā vainīgumu citā procesā (</w:t>
      </w:r>
      <w:r w:rsidR="00DA7CF5" w:rsidRPr="009E2757">
        <w:rPr>
          <w:i/>
          <w:iCs/>
        </w:rPr>
        <w:t>Eiropas Cilvēktiesību tiesas 2009. gada 24. marta spriedum</w:t>
      </w:r>
      <w:r w:rsidR="009B1D71">
        <w:rPr>
          <w:i/>
          <w:iCs/>
        </w:rPr>
        <w:t>a</w:t>
      </w:r>
      <w:r w:rsidR="00DA7CF5" w:rsidRPr="009E2757">
        <w:rPr>
          <w:i/>
          <w:iCs/>
        </w:rPr>
        <w:t xml:space="preserve"> lietā „</w:t>
      </w:r>
      <w:proofErr w:type="spellStart"/>
      <w:r w:rsidR="00DA7CF5" w:rsidRPr="009E2757">
        <w:rPr>
          <w:i/>
          <w:iCs/>
        </w:rPr>
        <w:t>Poppe</w:t>
      </w:r>
      <w:proofErr w:type="spellEnd"/>
      <w:r w:rsidR="00DA7CF5" w:rsidRPr="009E2757">
        <w:rPr>
          <w:i/>
          <w:iCs/>
        </w:rPr>
        <w:t xml:space="preserve"> v. </w:t>
      </w:r>
      <w:proofErr w:type="spellStart"/>
      <w:r w:rsidR="00DA7CF5" w:rsidRPr="009E2757">
        <w:rPr>
          <w:i/>
          <w:iCs/>
        </w:rPr>
        <w:t>the</w:t>
      </w:r>
      <w:proofErr w:type="spellEnd"/>
      <w:r w:rsidR="00DA7CF5" w:rsidRPr="009E2757">
        <w:rPr>
          <w:i/>
          <w:iCs/>
        </w:rPr>
        <w:t xml:space="preserve"> </w:t>
      </w:r>
      <w:proofErr w:type="spellStart"/>
      <w:r w:rsidR="00DA7CF5" w:rsidRPr="009E2757">
        <w:rPr>
          <w:i/>
          <w:iCs/>
        </w:rPr>
        <w:t>Netherlands</w:t>
      </w:r>
      <w:proofErr w:type="spellEnd"/>
      <w:r w:rsidR="00DA7CF5" w:rsidRPr="009E2757">
        <w:rPr>
          <w:i/>
          <w:iCs/>
        </w:rPr>
        <w:t>”, iesnieguma Nr. </w:t>
      </w:r>
      <w:hyperlink r:id="rId17" w:history="1">
        <w:r w:rsidR="00DA7CF5" w:rsidRPr="00643500">
          <w:rPr>
            <w:rStyle w:val="Hyperlink"/>
            <w:i/>
            <w:iCs/>
          </w:rPr>
          <w:t>32271/0</w:t>
        </w:r>
        <w:r w:rsidR="009B1D71" w:rsidRPr="00643500">
          <w:rPr>
            <w:rStyle w:val="Hyperlink"/>
            <w:i/>
            <w:iCs/>
          </w:rPr>
          <w:t>4</w:t>
        </w:r>
      </w:hyperlink>
      <w:r w:rsidR="00DA7CF5" w:rsidRPr="009E2757">
        <w:rPr>
          <w:i/>
          <w:iCs/>
        </w:rPr>
        <w:t>, 26. punkts</w:t>
      </w:r>
      <w:r w:rsidR="00DA7CF5" w:rsidRPr="009E2757">
        <w:t>).</w:t>
      </w:r>
    </w:p>
    <w:p w14:paraId="1AE91791" w14:textId="57C29990" w:rsidR="00843D0D" w:rsidRPr="009E2757" w:rsidRDefault="003F0E53" w:rsidP="001F0E3A">
      <w:pPr>
        <w:spacing w:line="276" w:lineRule="auto"/>
        <w:ind w:firstLine="720"/>
        <w:jc w:val="both"/>
      </w:pPr>
      <w:r w:rsidRPr="009E2757">
        <w:t>Turklāt š</w:t>
      </w:r>
      <w:r w:rsidR="00EC0260" w:rsidRPr="009E2757">
        <w:t>ādos gadījumos t</w:t>
      </w:r>
      <w:r w:rsidR="00843D0D" w:rsidRPr="009E2757">
        <w:t xml:space="preserve">iesnesim </w:t>
      </w:r>
      <w:r w:rsidR="00EC0260" w:rsidRPr="009E2757">
        <w:t xml:space="preserve">faktiski </w:t>
      </w:r>
      <w:r w:rsidR="00843D0D" w:rsidRPr="009E2757">
        <w:t xml:space="preserve">var būt problemātiski </w:t>
      </w:r>
      <w:r w:rsidR="009054D6">
        <w:t xml:space="preserve">norobežoties </w:t>
      </w:r>
      <w:r w:rsidR="00843D0D" w:rsidRPr="009E2757">
        <w:t xml:space="preserve">no vienā procesā veiktā pierādījumu novērtējuma un izdarītajiem secinājumiem, tāpēc tas ir paša tiesneša pienākums – novērtēt </w:t>
      </w:r>
      <w:r w:rsidR="00EC0260" w:rsidRPr="009E2757">
        <w:t xml:space="preserve">ne tikai </w:t>
      </w:r>
      <w:r w:rsidR="00843D0D" w:rsidRPr="009E2757">
        <w:t>savu reālo vai šķietamo ieinteresētību izskatāmās lietas iznākumā</w:t>
      </w:r>
      <w:r w:rsidR="00EC0260" w:rsidRPr="009E2757">
        <w:t>, bet arī</w:t>
      </w:r>
      <w:r w:rsidR="00843D0D" w:rsidRPr="009E2757">
        <w:t xml:space="preserve"> iespaidu, kāds tiks radīts sabiedrībai</w:t>
      </w:r>
      <w:r w:rsidR="00EC0260" w:rsidRPr="009E2757">
        <w:t xml:space="preserve"> par konkrēto kriminālprocesu</w:t>
      </w:r>
      <w:r w:rsidR="00843D0D" w:rsidRPr="009E2757">
        <w:t>.</w:t>
      </w:r>
    </w:p>
    <w:p w14:paraId="7BB501AF" w14:textId="00631CF9" w:rsidR="00843D0D" w:rsidRPr="009E2757" w:rsidRDefault="00843D0D" w:rsidP="001F0E3A">
      <w:pPr>
        <w:spacing w:line="276" w:lineRule="auto"/>
        <w:ind w:firstLine="720"/>
        <w:jc w:val="both"/>
      </w:pPr>
      <w:r w:rsidRPr="009E2757">
        <w:t>[5.2] Kasācijas sūdzībā norādīto par Kriminālprocesa likuma 15. panta pārkāpumu aizstāve pamatojusi ar apstākli, ka tiesnesis D. </w:t>
      </w:r>
      <w:proofErr w:type="spellStart"/>
      <w:r w:rsidRPr="009E2757">
        <w:t>Aktumanis</w:t>
      </w:r>
      <w:proofErr w:type="spellEnd"/>
      <w:r w:rsidRPr="009E2757">
        <w:t xml:space="preserve">, </w:t>
      </w:r>
      <w:r w:rsidRPr="00D876BA">
        <w:t xml:space="preserve">kurš ir </w:t>
      </w:r>
      <w:r w:rsidR="00D876BA" w:rsidRPr="00D876BA">
        <w:t>tiesas sastāvā</w:t>
      </w:r>
      <w:r w:rsidRPr="00D876BA">
        <w:t xml:space="preserve"> krimināllietā </w:t>
      </w:r>
      <w:r w:rsidR="00D32789">
        <w:t>[pers. A]</w:t>
      </w:r>
      <w:r w:rsidR="00D32789" w:rsidRPr="009E2757">
        <w:t xml:space="preserve"> un </w:t>
      </w:r>
      <w:r w:rsidR="00D32789">
        <w:t>[pers. B]</w:t>
      </w:r>
      <w:r w:rsidRPr="00D876BA">
        <w:t xml:space="preserve"> apsūdzībā pēc</w:t>
      </w:r>
      <w:r w:rsidRPr="009E2757">
        <w:t xml:space="preserve"> Krimināllikuma 300. panta pirmās daļas, ir bijis</w:t>
      </w:r>
      <w:r w:rsidR="00767F9B" w:rsidRPr="009E2757">
        <w:t xml:space="preserve"> </w:t>
      </w:r>
      <w:r w:rsidRPr="009E2757">
        <w:t>ties</w:t>
      </w:r>
      <w:r w:rsidR="00D876BA">
        <w:t>nesis referents</w:t>
      </w:r>
      <w:r w:rsidRPr="009E2757">
        <w:t xml:space="preserve"> lietā, kurā izskatīta apelācijas sūdzība par pirmās instances tiesas spriedumu administratīvā pārkāpuma lietā.</w:t>
      </w:r>
    </w:p>
    <w:p w14:paraId="6A0E9A12" w14:textId="5CB98C67" w:rsidR="00843D0D" w:rsidRPr="009E2757" w:rsidRDefault="00843D0D" w:rsidP="001F0E3A">
      <w:pPr>
        <w:spacing w:line="276" w:lineRule="auto"/>
        <w:ind w:firstLine="720"/>
        <w:jc w:val="both"/>
      </w:pPr>
      <w:r w:rsidRPr="009E2757">
        <w:t xml:space="preserve">Senāts konstatē, ka administratīvā pārkāpuma lietā pirmās instances tiesa 2021. gada 6. decembrī pasludināja spriedumu, tajā skaitā atzīstot, ka liecinieki </w:t>
      </w:r>
      <w:r w:rsidR="00D32789">
        <w:t>[pers. A]</w:t>
      </w:r>
      <w:r w:rsidR="00D32789" w:rsidRPr="009E2757">
        <w:t xml:space="preserve"> un </w:t>
      </w:r>
      <w:r w:rsidR="00D32789">
        <w:t>[pers. B]</w:t>
      </w:r>
      <w:r w:rsidRPr="009E2757">
        <w:t xml:space="preserve">, būdami brīdināti par sekām, kādas iestājas par apzināti nepatiesas liecības sniegšanu, pirmās instances tiesā ir snieguši </w:t>
      </w:r>
      <w:r w:rsidR="003F0E53" w:rsidRPr="009E2757">
        <w:t xml:space="preserve">apzināti </w:t>
      </w:r>
      <w:r w:rsidRPr="009E2757">
        <w:t xml:space="preserve">nepatiesas liecības par lietā nozīmīgiem apstākļiem nolūkā palīdzēt </w:t>
      </w:r>
      <w:r w:rsidR="00D32789">
        <w:t>[pers. C]</w:t>
      </w:r>
      <w:r w:rsidRPr="009E2757">
        <w:t xml:space="preserve"> izvairīties no administratīvās atbildības un soda. Vienlaikus ar spriedumu pirmās instances tiesa pieņēma arī blakus lēmumu, ar kuru informēj</w:t>
      </w:r>
      <w:r w:rsidR="00312458" w:rsidRPr="009E2757">
        <w:t>a</w:t>
      </w:r>
      <w:r w:rsidRPr="009E2757">
        <w:t xml:space="preserve"> prokuratūru par Krimināllikuma 300. panta pirmajā daļā paredzētā noziedzīgā nodarījuma sastāva pazīmēm </w:t>
      </w:r>
      <w:r w:rsidR="00D32789">
        <w:t>[pers. A]</w:t>
      </w:r>
      <w:r w:rsidR="00D32789" w:rsidRPr="009E2757">
        <w:t xml:space="preserve"> un </w:t>
      </w:r>
      <w:r w:rsidR="00D32789">
        <w:t>[pers. B]</w:t>
      </w:r>
      <w:r w:rsidRPr="009E2757">
        <w:t xml:space="preserve"> darbībās.</w:t>
      </w:r>
    </w:p>
    <w:p w14:paraId="4D399C59" w14:textId="0E11DEA9" w:rsidR="00843D0D" w:rsidRPr="009E2757" w:rsidRDefault="00843D0D" w:rsidP="001F0E3A">
      <w:pPr>
        <w:spacing w:line="276" w:lineRule="auto"/>
        <w:ind w:firstLine="720"/>
        <w:jc w:val="both"/>
      </w:pPr>
      <w:r w:rsidRPr="009E2757">
        <w:t>Pirmās instances tiesas 2021. gada 6. decembra spriedum</w:t>
      </w:r>
      <w:r w:rsidR="0069384B">
        <w:t>s</w:t>
      </w:r>
      <w:r w:rsidRPr="009E2757">
        <w:t xml:space="preserve"> tika pārsūdzēts apelācijas kārtībā un, lai arī </w:t>
      </w:r>
      <w:r w:rsidRPr="009B3BA6">
        <w:t xml:space="preserve">apelācijas instances tiesa, </w:t>
      </w:r>
      <w:r w:rsidRPr="00D876BA">
        <w:t>kurā D. </w:t>
      </w:r>
      <w:proofErr w:type="spellStart"/>
      <w:r w:rsidRPr="00D876BA">
        <w:t>Aktumanis</w:t>
      </w:r>
      <w:proofErr w:type="spellEnd"/>
      <w:r w:rsidRPr="00D876BA">
        <w:t xml:space="preserve"> bija tiesnesis referents,</w:t>
      </w:r>
      <w:r w:rsidRPr="009E2757">
        <w:t xml:space="preserve"> 2022. gada 15. februārī pieņēma lēmumu par atteikšanos ierosināt apelācijas tiesvedību, no minētā lēmuma izriet, ka apelācijas instances tiesa ir pārbaudījusi administratīvā pārkāpuma lietā iegūtos pierādījumus un atzinusi, ka pirmās instances tiesas pierādījumu vērtējums ir pietiekošs un atbilstošs lietā noskaidrotajiem apstākļiem, tiesa ir izvērtējusi un ņēmusi vērā visus apstākļus, kuriem ir būtiska nozīme lietas pareizā izspriešanā, detalizēti analizējusi un vērtējusi ne vien sūdzībā ietvertos iebildumus, bet arī tiesas sēdē izvirzītos argumentus un versijas.</w:t>
      </w:r>
    </w:p>
    <w:p w14:paraId="362FED2E" w14:textId="66521A3B" w:rsidR="00843D0D" w:rsidRPr="009E2757" w:rsidRDefault="00843D0D" w:rsidP="001F0E3A">
      <w:pPr>
        <w:spacing w:line="276" w:lineRule="auto"/>
        <w:ind w:firstLine="720"/>
        <w:jc w:val="both"/>
      </w:pPr>
      <w:r w:rsidRPr="009E2757">
        <w:t>Izskatāmajā krimināllietā ar pirmās instances tiesas 2024.</w:t>
      </w:r>
      <w:r w:rsidR="0069384B">
        <w:t> </w:t>
      </w:r>
      <w:r w:rsidRPr="009E2757">
        <w:t>gada 1.</w:t>
      </w:r>
      <w:r w:rsidR="0069384B">
        <w:t> </w:t>
      </w:r>
      <w:r w:rsidRPr="009E2757">
        <w:t xml:space="preserve">februāra spriedumu apsūdzētie </w:t>
      </w:r>
      <w:r w:rsidR="00D32789">
        <w:t>[pers. A]</w:t>
      </w:r>
      <w:r w:rsidR="00D32789" w:rsidRPr="009E2757">
        <w:t xml:space="preserve"> un </w:t>
      </w:r>
      <w:r w:rsidR="00D32789">
        <w:t>[pers. B]</w:t>
      </w:r>
      <w:r w:rsidRPr="009E2757">
        <w:t xml:space="preserve"> atzīti par vainīgiem un sodīti par Krimināllikuma 300.</w:t>
      </w:r>
      <w:r w:rsidR="0069384B">
        <w:t> </w:t>
      </w:r>
      <w:r w:rsidRPr="009E2757">
        <w:t>panta pirmajā daļā paredzēt</w:t>
      </w:r>
      <w:r w:rsidR="00F578DE">
        <w:t>o</w:t>
      </w:r>
      <w:r w:rsidRPr="009E2757">
        <w:t xml:space="preserve"> noziedzīg</w:t>
      </w:r>
      <w:r w:rsidR="00F578DE">
        <w:t>o</w:t>
      </w:r>
      <w:r w:rsidRPr="009E2757">
        <w:t xml:space="preserve"> nodarījum</w:t>
      </w:r>
      <w:r w:rsidR="00F578DE">
        <w:t>u</w:t>
      </w:r>
      <w:r w:rsidRPr="009E2757">
        <w:t xml:space="preserve">. Ar apelācijas instances tiesas </w:t>
      </w:r>
      <w:r w:rsidRPr="009E2757">
        <w:lastRenderedPageBreak/>
        <w:t xml:space="preserve">2024. gada 19. jūnija </w:t>
      </w:r>
      <w:r w:rsidRPr="009B3BA6">
        <w:t>lēmumu pirmās instances tiesas spriedums atstāts negrozīts. Tādējādi arī apelācijas instances tiesa, kuras sastāvā bija tiesnesis D. </w:t>
      </w:r>
      <w:proofErr w:type="spellStart"/>
      <w:r w:rsidRPr="009B3BA6">
        <w:t>Aktumanis</w:t>
      </w:r>
      <w:proofErr w:type="spellEnd"/>
      <w:r w:rsidRPr="009B3BA6">
        <w:t>,</w:t>
      </w:r>
      <w:r w:rsidRPr="009E2757">
        <w:t xml:space="preserve"> atzinusi, ka apsūdzētie</w:t>
      </w:r>
      <w:r w:rsidR="00312458" w:rsidRPr="009E2757">
        <w:t xml:space="preserve"> </w:t>
      </w:r>
      <w:r w:rsidRPr="009E2757">
        <w:t xml:space="preserve">ir snieguši </w:t>
      </w:r>
      <w:r w:rsidR="00312458" w:rsidRPr="009E2757">
        <w:t xml:space="preserve">apzināti </w:t>
      </w:r>
      <w:r w:rsidRPr="009E2757">
        <w:t>nepatiesu liecību tiesā administratīvā pārkāpuma lietā.</w:t>
      </w:r>
    </w:p>
    <w:p w14:paraId="67AAD84C" w14:textId="07C9995C" w:rsidR="00843D0D" w:rsidRPr="009E2757" w:rsidRDefault="00843D0D" w:rsidP="001F0E3A">
      <w:pPr>
        <w:spacing w:line="276" w:lineRule="auto"/>
        <w:ind w:firstLine="720"/>
        <w:jc w:val="both"/>
      </w:pPr>
      <w:r w:rsidRPr="009E2757">
        <w:t xml:space="preserve">No apelācijas instances tiesas nolēmuma konstatējams, ka apsūdzēto </w:t>
      </w:r>
      <w:r w:rsidR="00D32789">
        <w:t>[pers. A]</w:t>
      </w:r>
      <w:r w:rsidR="00D32789" w:rsidRPr="009E2757">
        <w:t xml:space="preserve"> un </w:t>
      </w:r>
      <w:r w:rsidR="00D32789">
        <w:t>[pers. B]</w:t>
      </w:r>
      <w:r w:rsidRPr="009E2757">
        <w:t xml:space="preserve"> vainīgumu apelācijas instances tiesa ir pamatojusi, tajā skaitā ar administratīvā pārkāpuma lietā iegūtajiem pierādījumiem un pirmās instances tiesas 2021. gada 6. decembra spriedumā administratīvā pārkāpuma lietā izteiktajām atziņām.</w:t>
      </w:r>
    </w:p>
    <w:p w14:paraId="2038CC9A" w14:textId="7B6C021F" w:rsidR="00843D0D" w:rsidRPr="009E2757" w:rsidRDefault="00843D0D" w:rsidP="001F0E3A">
      <w:pPr>
        <w:spacing w:line="276" w:lineRule="auto"/>
        <w:ind w:firstLine="720"/>
        <w:jc w:val="both"/>
      </w:pPr>
      <w:r w:rsidRPr="009E2757">
        <w:t xml:space="preserve">Senāts konstatē, ka </w:t>
      </w:r>
      <w:r w:rsidR="00B50350">
        <w:t xml:space="preserve">apelācijas instances </w:t>
      </w:r>
      <w:r w:rsidRPr="009E2757">
        <w:t>tiesa, kuras sastāvā bij</w:t>
      </w:r>
      <w:r w:rsidR="00312458" w:rsidRPr="009E2757">
        <w:t>a</w:t>
      </w:r>
      <w:r w:rsidRPr="009E2757">
        <w:t xml:space="preserve"> tiesnesis D. </w:t>
      </w:r>
      <w:proofErr w:type="spellStart"/>
      <w:r w:rsidRPr="009E2757">
        <w:t>Aktumanis</w:t>
      </w:r>
      <w:proofErr w:type="spellEnd"/>
      <w:r w:rsidRPr="009E2757">
        <w:t xml:space="preserve">, ir veikusi tiesas izmeklēšanu un 2022. gada 15. februārī pieņēmusi lēmumu, </w:t>
      </w:r>
      <w:r w:rsidR="00227051">
        <w:t>ar kuru atstāts negrozīts</w:t>
      </w:r>
      <w:r w:rsidRPr="009E2757">
        <w:t xml:space="preserve"> pirmās instances tiesas spriedum</w:t>
      </w:r>
      <w:r w:rsidR="00227051">
        <w:t>s</w:t>
      </w:r>
      <w:r w:rsidRPr="009E2757">
        <w:t xml:space="preserve"> un blakus lēmum</w:t>
      </w:r>
      <w:r w:rsidR="00227051">
        <w:t>s. T</w:t>
      </w:r>
      <w:r w:rsidRPr="009E2757">
        <w:t xml:space="preserve">ādējādi </w:t>
      </w:r>
      <w:r w:rsidR="00227051">
        <w:t>apelācijas instances tiesa ir paudusi</w:t>
      </w:r>
      <w:r w:rsidRPr="009E2757">
        <w:t xml:space="preserve"> vērtējumu par lietai nozīmīgiem apstākļiem izskatāmajā krimināllietā </w:t>
      </w:r>
      <w:r w:rsidR="00D32789">
        <w:t>[pers. A]</w:t>
      </w:r>
      <w:r w:rsidR="00D32789" w:rsidRPr="009E2757">
        <w:t xml:space="preserve"> un </w:t>
      </w:r>
      <w:r w:rsidR="00D32789">
        <w:t>[pers. B]</w:t>
      </w:r>
      <w:r w:rsidRPr="009E2757">
        <w:t xml:space="preserve"> apsūdzībā pēc Krimināllikuma 300. panta pirmās daļas.</w:t>
      </w:r>
    </w:p>
    <w:p w14:paraId="06FB37A9" w14:textId="0847B69C" w:rsidR="00312458" w:rsidRPr="009E2757" w:rsidRDefault="00843D0D" w:rsidP="001F0E3A">
      <w:pPr>
        <w:spacing w:line="276" w:lineRule="auto"/>
        <w:ind w:firstLine="720"/>
        <w:jc w:val="both"/>
      </w:pPr>
      <w:r w:rsidRPr="009E2757">
        <w:t xml:space="preserve">Ņemot vērā konkrētās administratīvā pārkāpuma lietas un </w:t>
      </w:r>
      <w:r w:rsidR="00B50350">
        <w:t xml:space="preserve">izskatāmās </w:t>
      </w:r>
      <w:r w:rsidRPr="009E2757">
        <w:t xml:space="preserve">krimināllietas ciešo saistību un tiesu secinājumus, minētais apstāklis aizstāvei un apsūdzētajiem varēja radīt </w:t>
      </w:r>
      <w:r w:rsidR="00312458" w:rsidRPr="009E2757">
        <w:t xml:space="preserve">pamatotas </w:t>
      </w:r>
      <w:r w:rsidRPr="009E2757">
        <w:t>šaubas par tiesas objektīvās neitralitātes pārkāpumu.</w:t>
      </w:r>
    </w:p>
    <w:p w14:paraId="035EE423" w14:textId="09D5D3C2" w:rsidR="00F20692" w:rsidRPr="009E2757" w:rsidRDefault="00F20692" w:rsidP="001F0E3A">
      <w:pPr>
        <w:spacing w:line="276" w:lineRule="auto"/>
        <w:ind w:firstLine="720"/>
        <w:jc w:val="both"/>
      </w:pPr>
      <w:r w:rsidRPr="009E2757">
        <w:t>[5.3] </w:t>
      </w:r>
      <w:r w:rsidR="009C0DAB" w:rsidRPr="009E2757">
        <w:t>Ņemot vērā iepriekšminēto apsvērumu kopumu, Senāts atzīst par pamatotām kasācijas sūdzībā izteiktās šaubas par tiesību uz taisnīgu tiesu nodrošināšanu konkrētās lietas iztiesāšanā</w:t>
      </w:r>
      <w:r w:rsidR="00CC2A67" w:rsidRPr="009E2757">
        <w:t xml:space="preserve"> apelācijas instances tiesā</w:t>
      </w:r>
      <w:r w:rsidR="009C0DAB" w:rsidRPr="009E2757">
        <w:t>.</w:t>
      </w:r>
    </w:p>
    <w:p w14:paraId="09548226" w14:textId="1649D680" w:rsidR="009C0DAB" w:rsidRPr="009E2757" w:rsidRDefault="009C0DAB" w:rsidP="001F0E3A">
      <w:pPr>
        <w:spacing w:line="276" w:lineRule="auto"/>
        <w:ind w:firstLine="720"/>
        <w:jc w:val="both"/>
      </w:pPr>
      <w:r w:rsidRPr="009E2757">
        <w:t>Senāts atzīst, ka Kurzemes apgabaltiesa</w:t>
      </w:r>
      <w:r w:rsidR="003B2C02" w:rsidRPr="009E2757">
        <w:t>s nolēmums neatbilst Kriminālprocesa likuma</w:t>
      </w:r>
      <w:r w:rsidRPr="009E2757">
        <w:t xml:space="preserve"> 511. un 512. pantā noteiktajām prasībām</w:t>
      </w:r>
      <w:r w:rsidR="003B2C02" w:rsidRPr="009E2757">
        <w:t xml:space="preserve">, jo tiesa ir pieļāvusi šā likuma 15. pantā nostiprinātā pamatprincipa – tiesību uz taisnīgu tiesu – pārkāpumu. Minēto </w:t>
      </w:r>
      <w:r w:rsidR="00CC2A67" w:rsidRPr="009E2757">
        <w:t xml:space="preserve">likuma normu </w:t>
      </w:r>
      <w:r w:rsidR="003B2C02" w:rsidRPr="009E2757">
        <w:t xml:space="preserve">pārkāpumus kasācijas instances tiesa atzīst par </w:t>
      </w:r>
      <w:r w:rsidR="008F0640">
        <w:t xml:space="preserve">Kriminālprocesa likuma </w:t>
      </w:r>
      <w:r w:rsidR="003B2C02" w:rsidRPr="009E2757">
        <w:t xml:space="preserve">būtiskiem pārkāpumiem </w:t>
      </w:r>
      <w:r w:rsidR="008F0640">
        <w:t>šā</w:t>
      </w:r>
      <w:r w:rsidR="008F0640" w:rsidRPr="009E2757">
        <w:t xml:space="preserve"> </w:t>
      </w:r>
      <w:r w:rsidR="003B2C02" w:rsidRPr="009E2757">
        <w:t>likuma 575. panta trešās daļas izpratnē, kas ir pamats apelācijas instances tiesas nolēmuma atcelšanai.</w:t>
      </w:r>
    </w:p>
    <w:p w14:paraId="602A73E9" w14:textId="77777777" w:rsidR="00CC2A67" w:rsidRPr="009E2757" w:rsidRDefault="00CC2A67" w:rsidP="001F0E3A">
      <w:pPr>
        <w:spacing w:line="276" w:lineRule="auto"/>
        <w:ind w:firstLine="720"/>
        <w:jc w:val="both"/>
      </w:pPr>
    </w:p>
    <w:p w14:paraId="2D18EBF6" w14:textId="2877AD4E" w:rsidR="003D0F7F" w:rsidRDefault="00406979" w:rsidP="001F0E3A">
      <w:pPr>
        <w:spacing w:line="276" w:lineRule="auto"/>
        <w:ind w:firstLine="720"/>
        <w:jc w:val="both"/>
      </w:pPr>
      <w:r w:rsidRPr="009E2757">
        <w:t>[</w:t>
      </w:r>
      <w:r w:rsidR="00CC2A67" w:rsidRPr="009E2757">
        <w:t>6</w:t>
      </w:r>
      <w:r w:rsidRPr="009E2757">
        <w:t>]</w:t>
      </w:r>
      <w:r w:rsidR="00CC2A67" w:rsidRPr="009E2757">
        <w:t xml:space="preserve"> Apsūdzētajiem </w:t>
      </w:r>
      <w:r w:rsidR="00D32789">
        <w:t>[pers. A]</w:t>
      </w:r>
      <w:r w:rsidR="00D32789" w:rsidRPr="009E2757">
        <w:t xml:space="preserve"> un </w:t>
      </w:r>
      <w:r w:rsidR="00D32789">
        <w:t>[pers. B]</w:t>
      </w:r>
      <w:r w:rsidR="00CC2A67" w:rsidRPr="009E2757">
        <w:t xml:space="preserve"> kriminālprocesā nav piemērots drošības līdzeklis. Senāts atzīst, ka arī šajā kriminālprocesa stadijā nav pamata </w:t>
      </w:r>
      <w:r w:rsidR="00D32789">
        <w:t>[pers. A]</w:t>
      </w:r>
      <w:r w:rsidR="00D32789" w:rsidRPr="009E2757">
        <w:t xml:space="preserve"> un </w:t>
      </w:r>
      <w:r w:rsidR="00D32789">
        <w:t>[pers. B]</w:t>
      </w:r>
      <w:r w:rsidR="00CC2A67" w:rsidRPr="009E2757">
        <w:t xml:space="preserve"> piemērot drošības līdzekli.</w:t>
      </w:r>
    </w:p>
    <w:p w14:paraId="041CC5BB" w14:textId="77777777" w:rsidR="008F0640" w:rsidRDefault="008F0640" w:rsidP="001F0E3A">
      <w:pPr>
        <w:spacing w:line="276" w:lineRule="auto"/>
        <w:ind w:firstLine="720"/>
        <w:jc w:val="both"/>
      </w:pPr>
    </w:p>
    <w:p w14:paraId="13E40FF1" w14:textId="3808AB35" w:rsidR="008F0640" w:rsidRPr="009E2757" w:rsidRDefault="008F0640" w:rsidP="001F0E3A">
      <w:pPr>
        <w:spacing w:line="276" w:lineRule="auto"/>
        <w:jc w:val="center"/>
      </w:pPr>
      <w:r w:rsidRPr="006936BC">
        <w:rPr>
          <w:b/>
        </w:rPr>
        <w:t>Rezolutīvā daļa</w:t>
      </w:r>
    </w:p>
    <w:p w14:paraId="78814FF7" w14:textId="0F142329" w:rsidR="00476B70" w:rsidRPr="009E2757" w:rsidRDefault="00476B70" w:rsidP="001F0E3A">
      <w:pPr>
        <w:spacing w:line="276" w:lineRule="auto"/>
        <w:ind w:firstLine="720"/>
        <w:jc w:val="both"/>
      </w:pPr>
    </w:p>
    <w:p w14:paraId="13E59EBC" w14:textId="0D50BD9A" w:rsidR="00476B70" w:rsidRPr="009E2757" w:rsidRDefault="00476B70" w:rsidP="001F0E3A">
      <w:pPr>
        <w:shd w:val="clear" w:color="auto" w:fill="FFFFFF"/>
        <w:spacing w:line="276" w:lineRule="auto"/>
        <w:ind w:firstLine="720"/>
        <w:jc w:val="both"/>
      </w:pPr>
      <w:r w:rsidRPr="009E2757">
        <w:t>Pamatojoties uz Kriminālprocesa likuma 585. un 587.</w:t>
      </w:r>
      <w:r w:rsidR="00CC2A67" w:rsidRPr="009E2757">
        <w:t> </w:t>
      </w:r>
      <w:r w:rsidRPr="009E2757">
        <w:t xml:space="preserve">pantu, </w:t>
      </w:r>
      <w:r w:rsidR="00CC2A67" w:rsidRPr="009E2757">
        <w:t>Senāts</w:t>
      </w:r>
    </w:p>
    <w:p w14:paraId="6B074A44" w14:textId="77777777" w:rsidR="00476B70" w:rsidRPr="009E2757" w:rsidRDefault="00476B70" w:rsidP="001F0E3A">
      <w:pPr>
        <w:shd w:val="clear" w:color="auto" w:fill="FFFFFF"/>
        <w:spacing w:line="276" w:lineRule="auto"/>
        <w:ind w:firstLine="720"/>
        <w:jc w:val="both"/>
      </w:pPr>
    </w:p>
    <w:p w14:paraId="11B906D8" w14:textId="27A3AD1E" w:rsidR="00476B70" w:rsidRPr="009E2757" w:rsidRDefault="00476B70" w:rsidP="001F0E3A">
      <w:pPr>
        <w:shd w:val="clear" w:color="auto" w:fill="FFFFFF"/>
        <w:spacing w:line="276" w:lineRule="auto"/>
        <w:ind w:left="34"/>
        <w:jc w:val="center"/>
      </w:pPr>
      <w:r w:rsidRPr="009E2757">
        <w:rPr>
          <w:b/>
          <w:bCs/>
        </w:rPr>
        <w:t>nolēma</w:t>
      </w:r>
    </w:p>
    <w:p w14:paraId="024854EE" w14:textId="77777777" w:rsidR="00476B70" w:rsidRPr="009E2757" w:rsidRDefault="00476B70" w:rsidP="001F0E3A">
      <w:pPr>
        <w:shd w:val="clear" w:color="auto" w:fill="FFFFFF"/>
        <w:spacing w:line="276" w:lineRule="auto"/>
        <w:ind w:right="960" w:firstLine="720"/>
        <w:jc w:val="both"/>
        <w:rPr>
          <w:spacing w:val="-1"/>
        </w:rPr>
      </w:pPr>
    </w:p>
    <w:p w14:paraId="63EC7E57" w14:textId="77777777" w:rsidR="003D0F7F" w:rsidRDefault="00CC2A67" w:rsidP="001F0E3A">
      <w:pPr>
        <w:shd w:val="clear" w:color="auto" w:fill="FFFFFF"/>
        <w:spacing w:line="276" w:lineRule="auto"/>
        <w:ind w:right="-54" w:firstLine="720"/>
        <w:jc w:val="both"/>
      </w:pPr>
      <w:r w:rsidRPr="009E2757">
        <w:rPr>
          <w:spacing w:val="-1"/>
        </w:rPr>
        <w:t>a</w:t>
      </w:r>
      <w:r w:rsidR="00476B70" w:rsidRPr="009E2757">
        <w:rPr>
          <w:spacing w:val="-1"/>
        </w:rPr>
        <w:t>tcelt Kurzemes apgabaltiesas 20</w:t>
      </w:r>
      <w:r w:rsidRPr="009E2757">
        <w:rPr>
          <w:spacing w:val="-1"/>
        </w:rPr>
        <w:t>24</w:t>
      </w:r>
      <w:r w:rsidR="00476B70" w:rsidRPr="009E2757">
        <w:rPr>
          <w:spacing w:val="-1"/>
        </w:rPr>
        <w:t>.</w:t>
      </w:r>
      <w:r w:rsidRPr="009E2757">
        <w:rPr>
          <w:spacing w:val="-1"/>
        </w:rPr>
        <w:t> </w:t>
      </w:r>
      <w:r w:rsidR="00476B70" w:rsidRPr="009E2757">
        <w:rPr>
          <w:spacing w:val="-1"/>
        </w:rPr>
        <w:t xml:space="preserve">gada </w:t>
      </w:r>
      <w:r w:rsidRPr="009E2757">
        <w:rPr>
          <w:spacing w:val="-1"/>
        </w:rPr>
        <w:t>19</w:t>
      </w:r>
      <w:r w:rsidR="00476B70" w:rsidRPr="009E2757">
        <w:rPr>
          <w:spacing w:val="-1"/>
        </w:rPr>
        <w:t>.</w:t>
      </w:r>
      <w:r w:rsidRPr="009E2757">
        <w:rPr>
          <w:spacing w:val="-1"/>
        </w:rPr>
        <w:t> jūnij</w:t>
      </w:r>
      <w:r w:rsidR="00476B70" w:rsidRPr="009E2757">
        <w:rPr>
          <w:spacing w:val="-1"/>
        </w:rPr>
        <w:t>a lēmumu</w:t>
      </w:r>
      <w:r w:rsidR="00476B70" w:rsidRPr="009E2757">
        <w:t xml:space="preserve"> un lietu nosūtīt jaunai izskatīšanai </w:t>
      </w:r>
      <w:r w:rsidRPr="009E2757">
        <w:t>apelācijas instances tiesā</w:t>
      </w:r>
      <w:r w:rsidR="00476B70" w:rsidRPr="009E2757">
        <w:t>.</w:t>
      </w:r>
    </w:p>
    <w:p w14:paraId="5DB08D92" w14:textId="77777777" w:rsidR="0069384B" w:rsidRPr="009E2757" w:rsidRDefault="0069384B" w:rsidP="001F0E3A">
      <w:pPr>
        <w:shd w:val="clear" w:color="auto" w:fill="FFFFFF"/>
        <w:spacing w:line="276" w:lineRule="auto"/>
        <w:ind w:right="-54" w:firstLine="720"/>
        <w:jc w:val="both"/>
      </w:pPr>
    </w:p>
    <w:p w14:paraId="1370564A" w14:textId="77777777" w:rsidR="003D0F7F" w:rsidRDefault="003D0F7F" w:rsidP="001F0E3A">
      <w:pPr>
        <w:shd w:val="clear" w:color="auto" w:fill="FFFFFF"/>
        <w:spacing w:line="276" w:lineRule="auto"/>
        <w:ind w:right="-54" w:firstLine="720"/>
        <w:jc w:val="both"/>
      </w:pPr>
      <w:r w:rsidRPr="009E2757">
        <w:t>Lēmums nav pārsūdzams.</w:t>
      </w:r>
    </w:p>
    <w:p w14:paraId="4AB47F2A" w14:textId="77777777" w:rsidR="009E2757" w:rsidRDefault="009E2757" w:rsidP="001F0E3A">
      <w:pPr>
        <w:shd w:val="clear" w:color="auto" w:fill="FFFFFF"/>
        <w:spacing w:line="276" w:lineRule="auto"/>
        <w:ind w:right="-54" w:firstLine="720"/>
        <w:jc w:val="both"/>
      </w:pPr>
    </w:p>
    <w:p w14:paraId="25A0C0CF" w14:textId="77777777" w:rsidR="009E2757" w:rsidRDefault="009E2757" w:rsidP="001F0E3A">
      <w:pPr>
        <w:shd w:val="clear" w:color="auto" w:fill="FFFFFF"/>
        <w:spacing w:line="276" w:lineRule="auto"/>
        <w:ind w:right="-54" w:firstLine="720"/>
        <w:jc w:val="both"/>
      </w:pPr>
    </w:p>
    <w:p w14:paraId="274DE806" w14:textId="77777777" w:rsidR="009E2757" w:rsidRDefault="009E2757" w:rsidP="001F0E3A">
      <w:pPr>
        <w:shd w:val="clear" w:color="auto" w:fill="FFFFFF"/>
        <w:spacing w:line="276" w:lineRule="auto"/>
        <w:ind w:right="-54" w:firstLine="720"/>
        <w:jc w:val="both"/>
      </w:pPr>
    </w:p>
    <w:bookmarkEnd w:id="1"/>
    <w:p w14:paraId="1A2A78BA" w14:textId="30D23011" w:rsidR="00214342" w:rsidRPr="009E2757" w:rsidRDefault="00214342" w:rsidP="001F0E3A">
      <w:pPr>
        <w:shd w:val="clear" w:color="auto" w:fill="FFFFFF"/>
        <w:spacing w:line="276" w:lineRule="auto"/>
        <w:ind w:right="-54" w:firstLine="720"/>
        <w:jc w:val="both"/>
      </w:pPr>
    </w:p>
    <w:sectPr w:rsidR="00214342" w:rsidRPr="009E2757" w:rsidSect="00FD3511">
      <w:headerReference w:type="even" r:id="rId18"/>
      <w:headerReference w:type="default" r:id="rId19"/>
      <w:footerReference w:type="even" r:id="rId20"/>
      <w:footerReference w:type="default" r:id="rId21"/>
      <w:headerReference w:type="first" r:id="rId22"/>
      <w:footerReference w:type="first" r:id="rId2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C833" w14:textId="77777777" w:rsidR="0065102D" w:rsidRDefault="0065102D" w:rsidP="002236D2">
      <w:r>
        <w:separator/>
      </w:r>
    </w:p>
  </w:endnote>
  <w:endnote w:type="continuationSeparator" w:id="0">
    <w:p w14:paraId="4A22008A" w14:textId="77777777" w:rsidR="0065102D" w:rsidRDefault="0065102D" w:rsidP="0022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8BC8" w14:textId="77777777" w:rsidR="00597932" w:rsidRDefault="0059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06067"/>
      <w:docPartObj>
        <w:docPartGallery w:val="Page Numbers (Bottom of Page)"/>
        <w:docPartUnique/>
      </w:docPartObj>
    </w:sdtPr>
    <w:sdtEndPr/>
    <w:sdtContent>
      <w:sdt>
        <w:sdtPr>
          <w:id w:val="1728636285"/>
          <w:docPartObj>
            <w:docPartGallery w:val="Page Numbers (Top of Page)"/>
            <w:docPartUnique/>
          </w:docPartObj>
        </w:sdtPr>
        <w:sdtEndPr/>
        <w:sdtContent>
          <w:p w14:paraId="3765FA31" w14:textId="31F78C76" w:rsidR="002236D2" w:rsidRDefault="002236D2" w:rsidP="002236D2">
            <w:pPr>
              <w:pStyle w:val="Footer"/>
              <w:jc w:val="center"/>
            </w:pPr>
            <w:r w:rsidRPr="002236D2">
              <w:rPr>
                <w:bCs/>
                <w:sz w:val="20"/>
                <w:szCs w:val="20"/>
              </w:rPr>
              <w:fldChar w:fldCharType="begin"/>
            </w:r>
            <w:r w:rsidRPr="002236D2">
              <w:rPr>
                <w:bCs/>
                <w:sz w:val="20"/>
                <w:szCs w:val="20"/>
              </w:rPr>
              <w:instrText xml:space="preserve"> PAGE </w:instrText>
            </w:r>
            <w:r w:rsidRPr="002236D2">
              <w:rPr>
                <w:bCs/>
                <w:sz w:val="20"/>
                <w:szCs w:val="20"/>
              </w:rPr>
              <w:fldChar w:fldCharType="separate"/>
            </w:r>
            <w:r w:rsidR="00DC3491">
              <w:rPr>
                <w:bCs/>
                <w:noProof/>
                <w:sz w:val="20"/>
                <w:szCs w:val="20"/>
              </w:rPr>
              <w:t>1</w:t>
            </w:r>
            <w:r w:rsidRPr="002236D2">
              <w:rPr>
                <w:bCs/>
                <w:sz w:val="20"/>
                <w:szCs w:val="20"/>
              </w:rPr>
              <w:fldChar w:fldCharType="end"/>
            </w:r>
            <w:r w:rsidRPr="002236D2">
              <w:rPr>
                <w:sz w:val="20"/>
                <w:szCs w:val="20"/>
              </w:rPr>
              <w:t xml:space="preserve"> no </w:t>
            </w:r>
            <w:r w:rsidRPr="002236D2">
              <w:rPr>
                <w:bCs/>
                <w:sz w:val="20"/>
                <w:szCs w:val="20"/>
              </w:rPr>
              <w:fldChar w:fldCharType="begin"/>
            </w:r>
            <w:r w:rsidRPr="002236D2">
              <w:rPr>
                <w:bCs/>
                <w:sz w:val="20"/>
                <w:szCs w:val="20"/>
              </w:rPr>
              <w:instrText xml:space="preserve"> NUMPAGES  </w:instrText>
            </w:r>
            <w:r w:rsidRPr="002236D2">
              <w:rPr>
                <w:bCs/>
                <w:sz w:val="20"/>
                <w:szCs w:val="20"/>
              </w:rPr>
              <w:fldChar w:fldCharType="separate"/>
            </w:r>
            <w:r w:rsidR="00DC3491">
              <w:rPr>
                <w:bCs/>
                <w:noProof/>
                <w:sz w:val="20"/>
                <w:szCs w:val="20"/>
              </w:rPr>
              <w:t>1</w:t>
            </w:r>
            <w:r w:rsidRPr="002236D2">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75EA" w14:textId="77777777" w:rsidR="00597932" w:rsidRDefault="0059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9E03" w14:textId="77777777" w:rsidR="0065102D" w:rsidRDefault="0065102D" w:rsidP="002236D2">
      <w:r>
        <w:separator/>
      </w:r>
    </w:p>
  </w:footnote>
  <w:footnote w:type="continuationSeparator" w:id="0">
    <w:p w14:paraId="555D51A4" w14:textId="77777777" w:rsidR="0065102D" w:rsidRDefault="0065102D" w:rsidP="0022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5041" w14:textId="77777777" w:rsidR="00597932" w:rsidRDefault="0059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EC43" w14:textId="77777777" w:rsidR="00597932" w:rsidRDefault="00597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FD21" w14:textId="77777777" w:rsidR="00597932" w:rsidRDefault="00597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89B"/>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6E73"/>
    <w:multiLevelType w:val="hybridMultilevel"/>
    <w:tmpl w:val="1BCCAC6E"/>
    <w:lvl w:ilvl="0" w:tplc="6E94921E">
      <w:start w:val="1"/>
      <w:numFmt w:val="upperRoman"/>
      <w:lvlText w:val="%1."/>
      <w:lvlJc w:val="righ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27367B29"/>
    <w:multiLevelType w:val="hybridMultilevel"/>
    <w:tmpl w:val="0E6EF422"/>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9039BE"/>
    <w:multiLevelType w:val="hybridMultilevel"/>
    <w:tmpl w:val="829C36BA"/>
    <w:lvl w:ilvl="0" w:tplc="ACAA8FC8">
      <w:start w:val="2"/>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8321A58"/>
    <w:multiLevelType w:val="hybridMultilevel"/>
    <w:tmpl w:val="95BCCEF8"/>
    <w:lvl w:ilvl="0" w:tplc="1F4ADD5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9C396C"/>
    <w:multiLevelType w:val="hybridMultilevel"/>
    <w:tmpl w:val="0FEE5E64"/>
    <w:lvl w:ilvl="0" w:tplc="B4E651E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529E4080"/>
    <w:multiLevelType w:val="hybridMultilevel"/>
    <w:tmpl w:val="F1642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F4F72"/>
    <w:multiLevelType w:val="hybridMultilevel"/>
    <w:tmpl w:val="6E54EAC8"/>
    <w:lvl w:ilvl="0" w:tplc="570CCF8A">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6054716"/>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A6CFC"/>
    <w:multiLevelType w:val="hybridMultilevel"/>
    <w:tmpl w:val="49A6B470"/>
    <w:lvl w:ilvl="0" w:tplc="AF0CF0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57E9A"/>
    <w:multiLevelType w:val="hybridMultilevel"/>
    <w:tmpl w:val="77E02B3C"/>
    <w:lvl w:ilvl="0" w:tplc="A59A7532">
      <w:start w:val="1"/>
      <w:numFmt w:val="low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010134908">
    <w:abstractNumId w:val="2"/>
  </w:num>
  <w:num w:numId="2" w16cid:durableId="139156430">
    <w:abstractNumId w:val="7"/>
  </w:num>
  <w:num w:numId="3" w16cid:durableId="235866003">
    <w:abstractNumId w:val="10"/>
  </w:num>
  <w:num w:numId="4" w16cid:durableId="278876408">
    <w:abstractNumId w:val="9"/>
  </w:num>
  <w:num w:numId="5" w16cid:durableId="1609701953">
    <w:abstractNumId w:val="0"/>
  </w:num>
  <w:num w:numId="6" w16cid:durableId="304704393">
    <w:abstractNumId w:val="8"/>
  </w:num>
  <w:num w:numId="7" w16cid:durableId="1465270871">
    <w:abstractNumId w:val="11"/>
  </w:num>
  <w:num w:numId="8" w16cid:durableId="1001588449">
    <w:abstractNumId w:val="1"/>
  </w:num>
  <w:num w:numId="9" w16cid:durableId="1342003013">
    <w:abstractNumId w:val="5"/>
  </w:num>
  <w:num w:numId="10" w16cid:durableId="720522294">
    <w:abstractNumId w:val="3"/>
  </w:num>
  <w:num w:numId="11" w16cid:durableId="1262641473">
    <w:abstractNumId w:val="4"/>
  </w:num>
  <w:num w:numId="12" w16cid:durableId="497310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8A"/>
    <w:rsid w:val="000039DB"/>
    <w:rsid w:val="000048CA"/>
    <w:rsid w:val="00006AD3"/>
    <w:rsid w:val="00006EBB"/>
    <w:rsid w:val="0000779B"/>
    <w:rsid w:val="00010550"/>
    <w:rsid w:val="00011210"/>
    <w:rsid w:val="000128B7"/>
    <w:rsid w:val="00013889"/>
    <w:rsid w:val="00014179"/>
    <w:rsid w:val="000148D9"/>
    <w:rsid w:val="00015288"/>
    <w:rsid w:val="00015AD8"/>
    <w:rsid w:val="00016F69"/>
    <w:rsid w:val="000176C4"/>
    <w:rsid w:val="00017BA1"/>
    <w:rsid w:val="00017CB5"/>
    <w:rsid w:val="00024551"/>
    <w:rsid w:val="00024725"/>
    <w:rsid w:val="00024EDB"/>
    <w:rsid w:val="00031C6F"/>
    <w:rsid w:val="0003450B"/>
    <w:rsid w:val="000347FC"/>
    <w:rsid w:val="0003495E"/>
    <w:rsid w:val="000352E6"/>
    <w:rsid w:val="0004083A"/>
    <w:rsid w:val="000431B7"/>
    <w:rsid w:val="00046834"/>
    <w:rsid w:val="00050C56"/>
    <w:rsid w:val="00051B24"/>
    <w:rsid w:val="00052125"/>
    <w:rsid w:val="000541FF"/>
    <w:rsid w:val="00055941"/>
    <w:rsid w:val="000573BE"/>
    <w:rsid w:val="000607FF"/>
    <w:rsid w:val="000641C0"/>
    <w:rsid w:val="00064E6A"/>
    <w:rsid w:val="00066BE4"/>
    <w:rsid w:val="000701CE"/>
    <w:rsid w:val="00080AAD"/>
    <w:rsid w:val="000816B0"/>
    <w:rsid w:val="00081E5F"/>
    <w:rsid w:val="000853C0"/>
    <w:rsid w:val="000855FC"/>
    <w:rsid w:val="000856AF"/>
    <w:rsid w:val="000877EB"/>
    <w:rsid w:val="00091F35"/>
    <w:rsid w:val="00093283"/>
    <w:rsid w:val="000934CF"/>
    <w:rsid w:val="000962D8"/>
    <w:rsid w:val="000A02DF"/>
    <w:rsid w:val="000A087E"/>
    <w:rsid w:val="000A23A8"/>
    <w:rsid w:val="000A3D04"/>
    <w:rsid w:val="000A4F1E"/>
    <w:rsid w:val="000A5004"/>
    <w:rsid w:val="000B0190"/>
    <w:rsid w:val="000B09CE"/>
    <w:rsid w:val="000B2A6D"/>
    <w:rsid w:val="000B2BE9"/>
    <w:rsid w:val="000B54D9"/>
    <w:rsid w:val="000B69C4"/>
    <w:rsid w:val="000B7B22"/>
    <w:rsid w:val="000C3DBD"/>
    <w:rsid w:val="000C447A"/>
    <w:rsid w:val="000D30CB"/>
    <w:rsid w:val="000D33CD"/>
    <w:rsid w:val="000D4ABD"/>
    <w:rsid w:val="000E0700"/>
    <w:rsid w:val="000E486B"/>
    <w:rsid w:val="000F1DCA"/>
    <w:rsid w:val="000F4172"/>
    <w:rsid w:val="000F445C"/>
    <w:rsid w:val="0010058F"/>
    <w:rsid w:val="001044AD"/>
    <w:rsid w:val="001062F4"/>
    <w:rsid w:val="001067F5"/>
    <w:rsid w:val="00107312"/>
    <w:rsid w:val="00110703"/>
    <w:rsid w:val="001119D9"/>
    <w:rsid w:val="00113C87"/>
    <w:rsid w:val="0011564B"/>
    <w:rsid w:val="00116021"/>
    <w:rsid w:val="00117F33"/>
    <w:rsid w:val="00120650"/>
    <w:rsid w:val="00121B35"/>
    <w:rsid w:val="0012782C"/>
    <w:rsid w:val="00130D7B"/>
    <w:rsid w:val="00130F1F"/>
    <w:rsid w:val="00132FD7"/>
    <w:rsid w:val="001442E5"/>
    <w:rsid w:val="00152C2E"/>
    <w:rsid w:val="00156ECD"/>
    <w:rsid w:val="00163DD0"/>
    <w:rsid w:val="0016598D"/>
    <w:rsid w:val="00173CE2"/>
    <w:rsid w:val="00177800"/>
    <w:rsid w:val="00177A7F"/>
    <w:rsid w:val="00185EED"/>
    <w:rsid w:val="001873F3"/>
    <w:rsid w:val="001928F0"/>
    <w:rsid w:val="00192B34"/>
    <w:rsid w:val="00195DB9"/>
    <w:rsid w:val="00196347"/>
    <w:rsid w:val="0019782D"/>
    <w:rsid w:val="001A14D5"/>
    <w:rsid w:val="001B32E3"/>
    <w:rsid w:val="001B3D96"/>
    <w:rsid w:val="001C02E5"/>
    <w:rsid w:val="001C1972"/>
    <w:rsid w:val="001C467D"/>
    <w:rsid w:val="001C6ABE"/>
    <w:rsid w:val="001D26CE"/>
    <w:rsid w:val="001D49ED"/>
    <w:rsid w:val="001D6F3B"/>
    <w:rsid w:val="001E1F0F"/>
    <w:rsid w:val="001E69A7"/>
    <w:rsid w:val="001E7183"/>
    <w:rsid w:val="001E7744"/>
    <w:rsid w:val="001E7B6A"/>
    <w:rsid w:val="001F0E3A"/>
    <w:rsid w:val="001F2F98"/>
    <w:rsid w:val="001F3850"/>
    <w:rsid w:val="001F3DC2"/>
    <w:rsid w:val="001F3E35"/>
    <w:rsid w:val="00200447"/>
    <w:rsid w:val="002030F3"/>
    <w:rsid w:val="00203B2A"/>
    <w:rsid w:val="00204D1E"/>
    <w:rsid w:val="00204EDA"/>
    <w:rsid w:val="00204F50"/>
    <w:rsid w:val="00204FCD"/>
    <w:rsid w:val="00212549"/>
    <w:rsid w:val="0021290D"/>
    <w:rsid w:val="00214342"/>
    <w:rsid w:val="0021705F"/>
    <w:rsid w:val="00217A59"/>
    <w:rsid w:val="002236D2"/>
    <w:rsid w:val="00223764"/>
    <w:rsid w:val="00224B01"/>
    <w:rsid w:val="00227051"/>
    <w:rsid w:val="00227438"/>
    <w:rsid w:val="00227A2E"/>
    <w:rsid w:val="00230CE4"/>
    <w:rsid w:val="002341CB"/>
    <w:rsid w:val="002406AA"/>
    <w:rsid w:val="0024176B"/>
    <w:rsid w:val="00242436"/>
    <w:rsid w:val="0025348F"/>
    <w:rsid w:val="00254C7C"/>
    <w:rsid w:val="0025703C"/>
    <w:rsid w:val="002624F4"/>
    <w:rsid w:val="00264A12"/>
    <w:rsid w:val="0026646F"/>
    <w:rsid w:val="00267474"/>
    <w:rsid w:val="0026776E"/>
    <w:rsid w:val="002719C8"/>
    <w:rsid w:val="0027286C"/>
    <w:rsid w:val="0027534E"/>
    <w:rsid w:val="002767B0"/>
    <w:rsid w:val="00277302"/>
    <w:rsid w:val="00280822"/>
    <w:rsid w:val="00281275"/>
    <w:rsid w:val="00286505"/>
    <w:rsid w:val="0029490A"/>
    <w:rsid w:val="002A07DF"/>
    <w:rsid w:val="002A45BA"/>
    <w:rsid w:val="002A5CC0"/>
    <w:rsid w:val="002B15A6"/>
    <w:rsid w:val="002B3E86"/>
    <w:rsid w:val="002B616F"/>
    <w:rsid w:val="002B779F"/>
    <w:rsid w:val="002C5099"/>
    <w:rsid w:val="002C5F38"/>
    <w:rsid w:val="002C6238"/>
    <w:rsid w:val="002D0ABC"/>
    <w:rsid w:val="002D0E67"/>
    <w:rsid w:val="002D4699"/>
    <w:rsid w:val="002E4399"/>
    <w:rsid w:val="002E5833"/>
    <w:rsid w:val="002E78E2"/>
    <w:rsid w:val="002F0FBC"/>
    <w:rsid w:val="002F4D5B"/>
    <w:rsid w:val="002F523E"/>
    <w:rsid w:val="0030244D"/>
    <w:rsid w:val="003058A0"/>
    <w:rsid w:val="00306341"/>
    <w:rsid w:val="00306456"/>
    <w:rsid w:val="00306677"/>
    <w:rsid w:val="00307788"/>
    <w:rsid w:val="00312458"/>
    <w:rsid w:val="00312861"/>
    <w:rsid w:val="00313CFE"/>
    <w:rsid w:val="0031418E"/>
    <w:rsid w:val="0031535B"/>
    <w:rsid w:val="00317085"/>
    <w:rsid w:val="0031780D"/>
    <w:rsid w:val="003218E9"/>
    <w:rsid w:val="00325A82"/>
    <w:rsid w:val="00333709"/>
    <w:rsid w:val="00333E9C"/>
    <w:rsid w:val="0033434D"/>
    <w:rsid w:val="003363F9"/>
    <w:rsid w:val="0034077D"/>
    <w:rsid w:val="00342A04"/>
    <w:rsid w:val="00342AA3"/>
    <w:rsid w:val="00345152"/>
    <w:rsid w:val="00345D52"/>
    <w:rsid w:val="00345E09"/>
    <w:rsid w:val="00350A0B"/>
    <w:rsid w:val="00351537"/>
    <w:rsid w:val="00351946"/>
    <w:rsid w:val="003574CE"/>
    <w:rsid w:val="0035756C"/>
    <w:rsid w:val="00357916"/>
    <w:rsid w:val="0036202D"/>
    <w:rsid w:val="00363442"/>
    <w:rsid w:val="00363D6C"/>
    <w:rsid w:val="003656F8"/>
    <w:rsid w:val="00380396"/>
    <w:rsid w:val="00381F2F"/>
    <w:rsid w:val="003831A9"/>
    <w:rsid w:val="00384249"/>
    <w:rsid w:val="0039047D"/>
    <w:rsid w:val="00390E00"/>
    <w:rsid w:val="003947E5"/>
    <w:rsid w:val="003962E2"/>
    <w:rsid w:val="003A09A6"/>
    <w:rsid w:val="003A3D5F"/>
    <w:rsid w:val="003A3D98"/>
    <w:rsid w:val="003A4D62"/>
    <w:rsid w:val="003B2C02"/>
    <w:rsid w:val="003B37F7"/>
    <w:rsid w:val="003B4192"/>
    <w:rsid w:val="003B630B"/>
    <w:rsid w:val="003B7A66"/>
    <w:rsid w:val="003C2307"/>
    <w:rsid w:val="003C3D97"/>
    <w:rsid w:val="003C476D"/>
    <w:rsid w:val="003C52BD"/>
    <w:rsid w:val="003C5598"/>
    <w:rsid w:val="003C5A72"/>
    <w:rsid w:val="003C64A7"/>
    <w:rsid w:val="003D0F7F"/>
    <w:rsid w:val="003D5C58"/>
    <w:rsid w:val="003E11B2"/>
    <w:rsid w:val="003E4CC8"/>
    <w:rsid w:val="003E7156"/>
    <w:rsid w:val="003F0A32"/>
    <w:rsid w:val="003F0E53"/>
    <w:rsid w:val="003F2CB2"/>
    <w:rsid w:val="003F483F"/>
    <w:rsid w:val="003F72B4"/>
    <w:rsid w:val="004018DA"/>
    <w:rsid w:val="00401988"/>
    <w:rsid w:val="0040275A"/>
    <w:rsid w:val="00405878"/>
    <w:rsid w:val="00406979"/>
    <w:rsid w:val="0041315B"/>
    <w:rsid w:val="00417BF7"/>
    <w:rsid w:val="00417D4E"/>
    <w:rsid w:val="00417EC9"/>
    <w:rsid w:val="00417F74"/>
    <w:rsid w:val="004200B3"/>
    <w:rsid w:val="004201BF"/>
    <w:rsid w:val="00420AF5"/>
    <w:rsid w:val="00421245"/>
    <w:rsid w:val="00426634"/>
    <w:rsid w:val="00433989"/>
    <w:rsid w:val="00434F05"/>
    <w:rsid w:val="004363CF"/>
    <w:rsid w:val="0043682F"/>
    <w:rsid w:val="004403FD"/>
    <w:rsid w:val="00445B54"/>
    <w:rsid w:val="00445C49"/>
    <w:rsid w:val="004469B6"/>
    <w:rsid w:val="00447EE6"/>
    <w:rsid w:val="004500FA"/>
    <w:rsid w:val="004517FA"/>
    <w:rsid w:val="004521A2"/>
    <w:rsid w:val="0045353E"/>
    <w:rsid w:val="00453CAA"/>
    <w:rsid w:val="004552A8"/>
    <w:rsid w:val="0045563C"/>
    <w:rsid w:val="00457495"/>
    <w:rsid w:val="00460F42"/>
    <w:rsid w:val="0046266A"/>
    <w:rsid w:val="004627F6"/>
    <w:rsid w:val="004668DA"/>
    <w:rsid w:val="00467A7D"/>
    <w:rsid w:val="00470530"/>
    <w:rsid w:val="00471ED2"/>
    <w:rsid w:val="0047569D"/>
    <w:rsid w:val="00475993"/>
    <w:rsid w:val="00475C6E"/>
    <w:rsid w:val="00476B70"/>
    <w:rsid w:val="004803A9"/>
    <w:rsid w:val="00480F31"/>
    <w:rsid w:val="00481877"/>
    <w:rsid w:val="00482413"/>
    <w:rsid w:val="004836FF"/>
    <w:rsid w:val="00485D08"/>
    <w:rsid w:val="00490710"/>
    <w:rsid w:val="00492B34"/>
    <w:rsid w:val="00497193"/>
    <w:rsid w:val="004A08AE"/>
    <w:rsid w:val="004A1569"/>
    <w:rsid w:val="004A22F4"/>
    <w:rsid w:val="004A5517"/>
    <w:rsid w:val="004A5AD0"/>
    <w:rsid w:val="004A7D9A"/>
    <w:rsid w:val="004B17E4"/>
    <w:rsid w:val="004B205E"/>
    <w:rsid w:val="004B2A94"/>
    <w:rsid w:val="004B4E6A"/>
    <w:rsid w:val="004B6F87"/>
    <w:rsid w:val="004B7FA3"/>
    <w:rsid w:val="004C0AB6"/>
    <w:rsid w:val="004C0FE7"/>
    <w:rsid w:val="004C35D9"/>
    <w:rsid w:val="004C435F"/>
    <w:rsid w:val="004C5A58"/>
    <w:rsid w:val="004D3473"/>
    <w:rsid w:val="004E0B2F"/>
    <w:rsid w:val="004E163C"/>
    <w:rsid w:val="004E22E1"/>
    <w:rsid w:val="004E6EF5"/>
    <w:rsid w:val="004F1FCD"/>
    <w:rsid w:val="004F20DA"/>
    <w:rsid w:val="004F3112"/>
    <w:rsid w:val="004F677C"/>
    <w:rsid w:val="00500D2E"/>
    <w:rsid w:val="00502865"/>
    <w:rsid w:val="00504457"/>
    <w:rsid w:val="00504C09"/>
    <w:rsid w:val="005051D8"/>
    <w:rsid w:val="00505594"/>
    <w:rsid w:val="00505651"/>
    <w:rsid w:val="0050697B"/>
    <w:rsid w:val="00510032"/>
    <w:rsid w:val="00514D28"/>
    <w:rsid w:val="005156B6"/>
    <w:rsid w:val="00520E85"/>
    <w:rsid w:val="00521591"/>
    <w:rsid w:val="0052212B"/>
    <w:rsid w:val="00524FD3"/>
    <w:rsid w:val="005304B4"/>
    <w:rsid w:val="00531974"/>
    <w:rsid w:val="00532650"/>
    <w:rsid w:val="00532FAC"/>
    <w:rsid w:val="005365D1"/>
    <w:rsid w:val="00540DD5"/>
    <w:rsid w:val="00546066"/>
    <w:rsid w:val="00547C02"/>
    <w:rsid w:val="005502B8"/>
    <w:rsid w:val="00551BB3"/>
    <w:rsid w:val="00552817"/>
    <w:rsid w:val="00557EBC"/>
    <w:rsid w:val="005610BD"/>
    <w:rsid w:val="00562A67"/>
    <w:rsid w:val="0056470C"/>
    <w:rsid w:val="005667DE"/>
    <w:rsid w:val="00567624"/>
    <w:rsid w:val="00571ABF"/>
    <w:rsid w:val="005746A4"/>
    <w:rsid w:val="0057581F"/>
    <w:rsid w:val="00575F1A"/>
    <w:rsid w:val="00582287"/>
    <w:rsid w:val="005857AB"/>
    <w:rsid w:val="005870FF"/>
    <w:rsid w:val="0059196E"/>
    <w:rsid w:val="00593259"/>
    <w:rsid w:val="0059627A"/>
    <w:rsid w:val="00597932"/>
    <w:rsid w:val="005B045D"/>
    <w:rsid w:val="005B04F1"/>
    <w:rsid w:val="005B6143"/>
    <w:rsid w:val="005B61D4"/>
    <w:rsid w:val="005B7314"/>
    <w:rsid w:val="005C1D2E"/>
    <w:rsid w:val="005C25BA"/>
    <w:rsid w:val="005C5ADC"/>
    <w:rsid w:val="005C5CF2"/>
    <w:rsid w:val="005C612A"/>
    <w:rsid w:val="005C63ED"/>
    <w:rsid w:val="005D4668"/>
    <w:rsid w:val="005D61F5"/>
    <w:rsid w:val="005D74D2"/>
    <w:rsid w:val="005E11EC"/>
    <w:rsid w:val="005E2DE0"/>
    <w:rsid w:val="005E3884"/>
    <w:rsid w:val="005E6F5A"/>
    <w:rsid w:val="005F0DBA"/>
    <w:rsid w:val="005F1448"/>
    <w:rsid w:val="005F3412"/>
    <w:rsid w:val="005F5883"/>
    <w:rsid w:val="005F6462"/>
    <w:rsid w:val="005F7170"/>
    <w:rsid w:val="00605F7D"/>
    <w:rsid w:val="0061475F"/>
    <w:rsid w:val="00616B59"/>
    <w:rsid w:val="006254FF"/>
    <w:rsid w:val="006266C1"/>
    <w:rsid w:val="00630BFF"/>
    <w:rsid w:val="00637570"/>
    <w:rsid w:val="00640AF0"/>
    <w:rsid w:val="00641A6B"/>
    <w:rsid w:val="00643500"/>
    <w:rsid w:val="006436ED"/>
    <w:rsid w:val="00645310"/>
    <w:rsid w:val="0064624D"/>
    <w:rsid w:val="0064787C"/>
    <w:rsid w:val="0065102D"/>
    <w:rsid w:val="00652B7A"/>
    <w:rsid w:val="006531CE"/>
    <w:rsid w:val="00653BAA"/>
    <w:rsid w:val="0065633F"/>
    <w:rsid w:val="006569AE"/>
    <w:rsid w:val="0066338C"/>
    <w:rsid w:val="006638C4"/>
    <w:rsid w:val="00665753"/>
    <w:rsid w:val="0067390A"/>
    <w:rsid w:val="0068052E"/>
    <w:rsid w:val="00681892"/>
    <w:rsid w:val="00681EAC"/>
    <w:rsid w:val="00681F93"/>
    <w:rsid w:val="00683979"/>
    <w:rsid w:val="006840A9"/>
    <w:rsid w:val="00684D61"/>
    <w:rsid w:val="006859F0"/>
    <w:rsid w:val="0068746E"/>
    <w:rsid w:val="00687D84"/>
    <w:rsid w:val="0069384B"/>
    <w:rsid w:val="00695867"/>
    <w:rsid w:val="0069790F"/>
    <w:rsid w:val="006A4F83"/>
    <w:rsid w:val="006A74F0"/>
    <w:rsid w:val="006B457E"/>
    <w:rsid w:val="006B77AA"/>
    <w:rsid w:val="006C16F7"/>
    <w:rsid w:val="006D2E7C"/>
    <w:rsid w:val="006D3329"/>
    <w:rsid w:val="006D4301"/>
    <w:rsid w:val="006D5A4C"/>
    <w:rsid w:val="006D645F"/>
    <w:rsid w:val="006E0B7B"/>
    <w:rsid w:val="006E231E"/>
    <w:rsid w:val="006E29C6"/>
    <w:rsid w:val="006E2BAA"/>
    <w:rsid w:val="006E4E14"/>
    <w:rsid w:val="006E5B90"/>
    <w:rsid w:val="006E5D24"/>
    <w:rsid w:val="006E5FB5"/>
    <w:rsid w:val="006E625F"/>
    <w:rsid w:val="006F2812"/>
    <w:rsid w:val="006F5584"/>
    <w:rsid w:val="006F7EC3"/>
    <w:rsid w:val="007007BF"/>
    <w:rsid w:val="00703381"/>
    <w:rsid w:val="00703547"/>
    <w:rsid w:val="00716E60"/>
    <w:rsid w:val="00717546"/>
    <w:rsid w:val="0071793C"/>
    <w:rsid w:val="00717C4A"/>
    <w:rsid w:val="00721D01"/>
    <w:rsid w:val="0072512D"/>
    <w:rsid w:val="00727407"/>
    <w:rsid w:val="007327A3"/>
    <w:rsid w:val="00733DCF"/>
    <w:rsid w:val="00740CE9"/>
    <w:rsid w:val="00741AF3"/>
    <w:rsid w:val="00745EF3"/>
    <w:rsid w:val="0074742A"/>
    <w:rsid w:val="0075435F"/>
    <w:rsid w:val="00755B1A"/>
    <w:rsid w:val="00756329"/>
    <w:rsid w:val="0075636E"/>
    <w:rsid w:val="00757FBA"/>
    <w:rsid w:val="00760167"/>
    <w:rsid w:val="00760AE9"/>
    <w:rsid w:val="007633E7"/>
    <w:rsid w:val="007636DF"/>
    <w:rsid w:val="00763BFB"/>
    <w:rsid w:val="007642F7"/>
    <w:rsid w:val="00767F9B"/>
    <w:rsid w:val="00780805"/>
    <w:rsid w:val="0078083D"/>
    <w:rsid w:val="007820A1"/>
    <w:rsid w:val="00782F66"/>
    <w:rsid w:val="007830AB"/>
    <w:rsid w:val="00786D57"/>
    <w:rsid w:val="00786E50"/>
    <w:rsid w:val="00790868"/>
    <w:rsid w:val="00792818"/>
    <w:rsid w:val="00793728"/>
    <w:rsid w:val="007A4F23"/>
    <w:rsid w:val="007B20DF"/>
    <w:rsid w:val="007B4D81"/>
    <w:rsid w:val="007B7C65"/>
    <w:rsid w:val="007C1736"/>
    <w:rsid w:val="007C1837"/>
    <w:rsid w:val="007C28B7"/>
    <w:rsid w:val="007C5156"/>
    <w:rsid w:val="007C55B3"/>
    <w:rsid w:val="007C6961"/>
    <w:rsid w:val="007D0579"/>
    <w:rsid w:val="007D45C3"/>
    <w:rsid w:val="007F16C8"/>
    <w:rsid w:val="007F64E4"/>
    <w:rsid w:val="007F7EFB"/>
    <w:rsid w:val="00805847"/>
    <w:rsid w:val="00805CF2"/>
    <w:rsid w:val="00810B36"/>
    <w:rsid w:val="00814072"/>
    <w:rsid w:val="0081419B"/>
    <w:rsid w:val="0082191A"/>
    <w:rsid w:val="008317F3"/>
    <w:rsid w:val="0083352F"/>
    <w:rsid w:val="00834D3C"/>
    <w:rsid w:val="0083532F"/>
    <w:rsid w:val="0083716F"/>
    <w:rsid w:val="00840025"/>
    <w:rsid w:val="00840E6D"/>
    <w:rsid w:val="0084338F"/>
    <w:rsid w:val="00843D0D"/>
    <w:rsid w:val="00845EEE"/>
    <w:rsid w:val="0084658D"/>
    <w:rsid w:val="00847C11"/>
    <w:rsid w:val="00862686"/>
    <w:rsid w:val="00862F61"/>
    <w:rsid w:val="008751EE"/>
    <w:rsid w:val="00875D22"/>
    <w:rsid w:val="00880AF5"/>
    <w:rsid w:val="00883516"/>
    <w:rsid w:val="00883B51"/>
    <w:rsid w:val="008842A4"/>
    <w:rsid w:val="00884DC0"/>
    <w:rsid w:val="00885EC6"/>
    <w:rsid w:val="008877FC"/>
    <w:rsid w:val="00887C2F"/>
    <w:rsid w:val="00891659"/>
    <w:rsid w:val="00891798"/>
    <w:rsid w:val="008A156D"/>
    <w:rsid w:val="008A5E4F"/>
    <w:rsid w:val="008A6CBC"/>
    <w:rsid w:val="008A79AE"/>
    <w:rsid w:val="008B09F0"/>
    <w:rsid w:val="008B1989"/>
    <w:rsid w:val="008B37AB"/>
    <w:rsid w:val="008B689E"/>
    <w:rsid w:val="008C2953"/>
    <w:rsid w:val="008D1DCF"/>
    <w:rsid w:val="008D6FE1"/>
    <w:rsid w:val="008D7F00"/>
    <w:rsid w:val="008E0235"/>
    <w:rsid w:val="008E1E66"/>
    <w:rsid w:val="008E1EB1"/>
    <w:rsid w:val="008E300E"/>
    <w:rsid w:val="008E3608"/>
    <w:rsid w:val="008E6216"/>
    <w:rsid w:val="008F0317"/>
    <w:rsid w:val="008F0640"/>
    <w:rsid w:val="008F292A"/>
    <w:rsid w:val="008F2CFF"/>
    <w:rsid w:val="008F4EB5"/>
    <w:rsid w:val="008F7198"/>
    <w:rsid w:val="00900228"/>
    <w:rsid w:val="009010AF"/>
    <w:rsid w:val="009019DA"/>
    <w:rsid w:val="00901EDB"/>
    <w:rsid w:val="00903A98"/>
    <w:rsid w:val="00903C33"/>
    <w:rsid w:val="0090465E"/>
    <w:rsid w:val="00904BEA"/>
    <w:rsid w:val="009054D6"/>
    <w:rsid w:val="00906E5E"/>
    <w:rsid w:val="00913436"/>
    <w:rsid w:val="0091421D"/>
    <w:rsid w:val="009236C6"/>
    <w:rsid w:val="00923AC9"/>
    <w:rsid w:val="0092696A"/>
    <w:rsid w:val="00930E92"/>
    <w:rsid w:val="00932265"/>
    <w:rsid w:val="00932DD4"/>
    <w:rsid w:val="009337E7"/>
    <w:rsid w:val="0093394A"/>
    <w:rsid w:val="00933A2E"/>
    <w:rsid w:val="00937718"/>
    <w:rsid w:val="00941BCA"/>
    <w:rsid w:val="00942897"/>
    <w:rsid w:val="00955060"/>
    <w:rsid w:val="0095647B"/>
    <w:rsid w:val="00960921"/>
    <w:rsid w:val="009616E2"/>
    <w:rsid w:val="00963759"/>
    <w:rsid w:val="00966689"/>
    <w:rsid w:val="00970315"/>
    <w:rsid w:val="00970596"/>
    <w:rsid w:val="009708CF"/>
    <w:rsid w:val="00970F84"/>
    <w:rsid w:val="00974054"/>
    <w:rsid w:val="00975C21"/>
    <w:rsid w:val="00976214"/>
    <w:rsid w:val="00976731"/>
    <w:rsid w:val="009809EA"/>
    <w:rsid w:val="0098458A"/>
    <w:rsid w:val="00986B1A"/>
    <w:rsid w:val="00986F00"/>
    <w:rsid w:val="00986F30"/>
    <w:rsid w:val="00992319"/>
    <w:rsid w:val="00995AAB"/>
    <w:rsid w:val="009960EF"/>
    <w:rsid w:val="009A032A"/>
    <w:rsid w:val="009A1442"/>
    <w:rsid w:val="009A3A31"/>
    <w:rsid w:val="009A4AD5"/>
    <w:rsid w:val="009A4BA2"/>
    <w:rsid w:val="009A4D45"/>
    <w:rsid w:val="009B1D71"/>
    <w:rsid w:val="009B3BA6"/>
    <w:rsid w:val="009B3E1B"/>
    <w:rsid w:val="009B470C"/>
    <w:rsid w:val="009B49E9"/>
    <w:rsid w:val="009C0DAB"/>
    <w:rsid w:val="009C1BA3"/>
    <w:rsid w:val="009C499A"/>
    <w:rsid w:val="009C648C"/>
    <w:rsid w:val="009C69B3"/>
    <w:rsid w:val="009C72C1"/>
    <w:rsid w:val="009C738C"/>
    <w:rsid w:val="009D09F8"/>
    <w:rsid w:val="009D3C94"/>
    <w:rsid w:val="009D57DB"/>
    <w:rsid w:val="009D7B3F"/>
    <w:rsid w:val="009E2757"/>
    <w:rsid w:val="009E31D8"/>
    <w:rsid w:val="009E4A5E"/>
    <w:rsid w:val="009E547E"/>
    <w:rsid w:val="009F16D0"/>
    <w:rsid w:val="009F1F3F"/>
    <w:rsid w:val="009F2731"/>
    <w:rsid w:val="009F5549"/>
    <w:rsid w:val="009F5844"/>
    <w:rsid w:val="009F59C1"/>
    <w:rsid w:val="009F75D5"/>
    <w:rsid w:val="009F7E02"/>
    <w:rsid w:val="00A02FA6"/>
    <w:rsid w:val="00A037A0"/>
    <w:rsid w:val="00A037FE"/>
    <w:rsid w:val="00A04EA8"/>
    <w:rsid w:val="00A15AC2"/>
    <w:rsid w:val="00A16096"/>
    <w:rsid w:val="00A17A6B"/>
    <w:rsid w:val="00A17D08"/>
    <w:rsid w:val="00A2140E"/>
    <w:rsid w:val="00A224DC"/>
    <w:rsid w:val="00A227B4"/>
    <w:rsid w:val="00A26BA1"/>
    <w:rsid w:val="00A27C43"/>
    <w:rsid w:val="00A32D90"/>
    <w:rsid w:val="00A34366"/>
    <w:rsid w:val="00A36835"/>
    <w:rsid w:val="00A4265B"/>
    <w:rsid w:val="00A4695C"/>
    <w:rsid w:val="00A51703"/>
    <w:rsid w:val="00A51A79"/>
    <w:rsid w:val="00A545B3"/>
    <w:rsid w:val="00A625E6"/>
    <w:rsid w:val="00A63D21"/>
    <w:rsid w:val="00A654B8"/>
    <w:rsid w:val="00A70462"/>
    <w:rsid w:val="00A7170E"/>
    <w:rsid w:val="00A72438"/>
    <w:rsid w:val="00A73BDC"/>
    <w:rsid w:val="00A73D10"/>
    <w:rsid w:val="00A74D9D"/>
    <w:rsid w:val="00A84A56"/>
    <w:rsid w:val="00A854E3"/>
    <w:rsid w:val="00A925A6"/>
    <w:rsid w:val="00A927E1"/>
    <w:rsid w:val="00A94948"/>
    <w:rsid w:val="00A96216"/>
    <w:rsid w:val="00A97AF3"/>
    <w:rsid w:val="00AA049A"/>
    <w:rsid w:val="00AA204D"/>
    <w:rsid w:val="00AA261C"/>
    <w:rsid w:val="00AA5870"/>
    <w:rsid w:val="00AA7056"/>
    <w:rsid w:val="00AB153C"/>
    <w:rsid w:val="00AB1BCB"/>
    <w:rsid w:val="00AB45C2"/>
    <w:rsid w:val="00AB6966"/>
    <w:rsid w:val="00AC2AD6"/>
    <w:rsid w:val="00AC5695"/>
    <w:rsid w:val="00AD072D"/>
    <w:rsid w:val="00AD0EB3"/>
    <w:rsid w:val="00AD3AF7"/>
    <w:rsid w:val="00AD3E1C"/>
    <w:rsid w:val="00AD4576"/>
    <w:rsid w:val="00AD762D"/>
    <w:rsid w:val="00AE4B86"/>
    <w:rsid w:val="00AF2956"/>
    <w:rsid w:val="00AF395C"/>
    <w:rsid w:val="00AF64FB"/>
    <w:rsid w:val="00AF75D5"/>
    <w:rsid w:val="00B00A27"/>
    <w:rsid w:val="00B0132F"/>
    <w:rsid w:val="00B04455"/>
    <w:rsid w:val="00B07E0F"/>
    <w:rsid w:val="00B1069C"/>
    <w:rsid w:val="00B11417"/>
    <w:rsid w:val="00B1164B"/>
    <w:rsid w:val="00B11707"/>
    <w:rsid w:val="00B13BCB"/>
    <w:rsid w:val="00B24539"/>
    <w:rsid w:val="00B2508C"/>
    <w:rsid w:val="00B2761B"/>
    <w:rsid w:val="00B30555"/>
    <w:rsid w:val="00B3789E"/>
    <w:rsid w:val="00B37B32"/>
    <w:rsid w:val="00B417BB"/>
    <w:rsid w:val="00B42A31"/>
    <w:rsid w:val="00B44168"/>
    <w:rsid w:val="00B44EA7"/>
    <w:rsid w:val="00B459E2"/>
    <w:rsid w:val="00B464EF"/>
    <w:rsid w:val="00B47F7B"/>
    <w:rsid w:val="00B50350"/>
    <w:rsid w:val="00B52701"/>
    <w:rsid w:val="00B531B1"/>
    <w:rsid w:val="00B54F4B"/>
    <w:rsid w:val="00B573B6"/>
    <w:rsid w:val="00B6037E"/>
    <w:rsid w:val="00B60BEE"/>
    <w:rsid w:val="00B662EE"/>
    <w:rsid w:val="00B710E7"/>
    <w:rsid w:val="00B76F25"/>
    <w:rsid w:val="00B810B3"/>
    <w:rsid w:val="00B92222"/>
    <w:rsid w:val="00B933C0"/>
    <w:rsid w:val="00B96797"/>
    <w:rsid w:val="00BA0729"/>
    <w:rsid w:val="00BA43C8"/>
    <w:rsid w:val="00BB2B40"/>
    <w:rsid w:val="00BB57DA"/>
    <w:rsid w:val="00BB5C84"/>
    <w:rsid w:val="00BB6E05"/>
    <w:rsid w:val="00BC269B"/>
    <w:rsid w:val="00BC5FAE"/>
    <w:rsid w:val="00BD1FA8"/>
    <w:rsid w:val="00BD2954"/>
    <w:rsid w:val="00BD66F4"/>
    <w:rsid w:val="00BD6841"/>
    <w:rsid w:val="00BE3A72"/>
    <w:rsid w:val="00BE6BEE"/>
    <w:rsid w:val="00BE6F02"/>
    <w:rsid w:val="00BF0C6B"/>
    <w:rsid w:val="00BF4AE8"/>
    <w:rsid w:val="00C02B8B"/>
    <w:rsid w:val="00C02FC1"/>
    <w:rsid w:val="00C04E86"/>
    <w:rsid w:val="00C06D22"/>
    <w:rsid w:val="00C06D6D"/>
    <w:rsid w:val="00C113A5"/>
    <w:rsid w:val="00C163A6"/>
    <w:rsid w:val="00C17087"/>
    <w:rsid w:val="00C223EA"/>
    <w:rsid w:val="00C24ED0"/>
    <w:rsid w:val="00C24F09"/>
    <w:rsid w:val="00C30147"/>
    <w:rsid w:val="00C33CA1"/>
    <w:rsid w:val="00C34737"/>
    <w:rsid w:val="00C34C6B"/>
    <w:rsid w:val="00C36E15"/>
    <w:rsid w:val="00C428AE"/>
    <w:rsid w:val="00C47A81"/>
    <w:rsid w:val="00C5023B"/>
    <w:rsid w:val="00C55615"/>
    <w:rsid w:val="00C56DA0"/>
    <w:rsid w:val="00C646A5"/>
    <w:rsid w:val="00C80A5C"/>
    <w:rsid w:val="00C82B85"/>
    <w:rsid w:val="00C82CCC"/>
    <w:rsid w:val="00C83A82"/>
    <w:rsid w:val="00C83AD2"/>
    <w:rsid w:val="00C84AAB"/>
    <w:rsid w:val="00C85B1E"/>
    <w:rsid w:val="00C87AC8"/>
    <w:rsid w:val="00C91B81"/>
    <w:rsid w:val="00C93E80"/>
    <w:rsid w:val="00C94494"/>
    <w:rsid w:val="00C94890"/>
    <w:rsid w:val="00CA0377"/>
    <w:rsid w:val="00CA5CD0"/>
    <w:rsid w:val="00CB05BD"/>
    <w:rsid w:val="00CB106B"/>
    <w:rsid w:val="00CB1A17"/>
    <w:rsid w:val="00CB28CA"/>
    <w:rsid w:val="00CB2EB4"/>
    <w:rsid w:val="00CC216F"/>
    <w:rsid w:val="00CC21C6"/>
    <w:rsid w:val="00CC295D"/>
    <w:rsid w:val="00CC2A67"/>
    <w:rsid w:val="00CC2DFE"/>
    <w:rsid w:val="00CC310F"/>
    <w:rsid w:val="00CC5F3E"/>
    <w:rsid w:val="00CC6EC5"/>
    <w:rsid w:val="00CD446F"/>
    <w:rsid w:val="00CD6A4E"/>
    <w:rsid w:val="00CE0D7A"/>
    <w:rsid w:val="00CE4671"/>
    <w:rsid w:val="00CE5BFD"/>
    <w:rsid w:val="00CE6F4A"/>
    <w:rsid w:val="00CF27AB"/>
    <w:rsid w:val="00CF3CD7"/>
    <w:rsid w:val="00CF3E59"/>
    <w:rsid w:val="00CF44E7"/>
    <w:rsid w:val="00CF4F9F"/>
    <w:rsid w:val="00CF7006"/>
    <w:rsid w:val="00CF72F1"/>
    <w:rsid w:val="00D0325A"/>
    <w:rsid w:val="00D065BF"/>
    <w:rsid w:val="00D06F77"/>
    <w:rsid w:val="00D0763D"/>
    <w:rsid w:val="00D10E76"/>
    <w:rsid w:val="00D12697"/>
    <w:rsid w:val="00D12B6C"/>
    <w:rsid w:val="00D12F36"/>
    <w:rsid w:val="00D13747"/>
    <w:rsid w:val="00D21572"/>
    <w:rsid w:val="00D218E8"/>
    <w:rsid w:val="00D2204A"/>
    <w:rsid w:val="00D242D1"/>
    <w:rsid w:val="00D25575"/>
    <w:rsid w:val="00D25EA7"/>
    <w:rsid w:val="00D3069B"/>
    <w:rsid w:val="00D30986"/>
    <w:rsid w:val="00D3167A"/>
    <w:rsid w:val="00D31760"/>
    <w:rsid w:val="00D32789"/>
    <w:rsid w:val="00D366EB"/>
    <w:rsid w:val="00D370EB"/>
    <w:rsid w:val="00D405CE"/>
    <w:rsid w:val="00D40D55"/>
    <w:rsid w:val="00D4181C"/>
    <w:rsid w:val="00D43CF5"/>
    <w:rsid w:val="00D50BA7"/>
    <w:rsid w:val="00D5178D"/>
    <w:rsid w:val="00D51B19"/>
    <w:rsid w:val="00D52BD1"/>
    <w:rsid w:val="00D56B79"/>
    <w:rsid w:val="00D57C34"/>
    <w:rsid w:val="00D61755"/>
    <w:rsid w:val="00D62170"/>
    <w:rsid w:val="00D62CCD"/>
    <w:rsid w:val="00D63CD3"/>
    <w:rsid w:val="00D650DD"/>
    <w:rsid w:val="00D65F84"/>
    <w:rsid w:val="00D72449"/>
    <w:rsid w:val="00D74C95"/>
    <w:rsid w:val="00D770C1"/>
    <w:rsid w:val="00D8131D"/>
    <w:rsid w:val="00D82DAE"/>
    <w:rsid w:val="00D83603"/>
    <w:rsid w:val="00D83980"/>
    <w:rsid w:val="00D85079"/>
    <w:rsid w:val="00D876BA"/>
    <w:rsid w:val="00D87837"/>
    <w:rsid w:val="00D87A37"/>
    <w:rsid w:val="00D905AE"/>
    <w:rsid w:val="00D9139E"/>
    <w:rsid w:val="00D95508"/>
    <w:rsid w:val="00DA3B89"/>
    <w:rsid w:val="00DA4D70"/>
    <w:rsid w:val="00DA5873"/>
    <w:rsid w:val="00DA62D1"/>
    <w:rsid w:val="00DA6C75"/>
    <w:rsid w:val="00DA7CF5"/>
    <w:rsid w:val="00DB1EC0"/>
    <w:rsid w:val="00DB204B"/>
    <w:rsid w:val="00DB3A2F"/>
    <w:rsid w:val="00DB734A"/>
    <w:rsid w:val="00DC1294"/>
    <w:rsid w:val="00DC1DFA"/>
    <w:rsid w:val="00DC3491"/>
    <w:rsid w:val="00DD0512"/>
    <w:rsid w:val="00DD1CBE"/>
    <w:rsid w:val="00DD3585"/>
    <w:rsid w:val="00DD5C26"/>
    <w:rsid w:val="00DE08C6"/>
    <w:rsid w:val="00DE0DC8"/>
    <w:rsid w:val="00DE20C9"/>
    <w:rsid w:val="00DE32C6"/>
    <w:rsid w:val="00DE4E8F"/>
    <w:rsid w:val="00DE501D"/>
    <w:rsid w:val="00DF0366"/>
    <w:rsid w:val="00DF144D"/>
    <w:rsid w:val="00DF1B44"/>
    <w:rsid w:val="00DF1FC3"/>
    <w:rsid w:val="00DF3027"/>
    <w:rsid w:val="00E006B3"/>
    <w:rsid w:val="00E00C6C"/>
    <w:rsid w:val="00E01FDA"/>
    <w:rsid w:val="00E022C8"/>
    <w:rsid w:val="00E0401F"/>
    <w:rsid w:val="00E044C5"/>
    <w:rsid w:val="00E06984"/>
    <w:rsid w:val="00E07C81"/>
    <w:rsid w:val="00E12D6A"/>
    <w:rsid w:val="00E12DFA"/>
    <w:rsid w:val="00E147F3"/>
    <w:rsid w:val="00E15EDC"/>
    <w:rsid w:val="00E16209"/>
    <w:rsid w:val="00E17139"/>
    <w:rsid w:val="00E21941"/>
    <w:rsid w:val="00E232F6"/>
    <w:rsid w:val="00E23F2A"/>
    <w:rsid w:val="00E26D68"/>
    <w:rsid w:val="00E27513"/>
    <w:rsid w:val="00E27D5E"/>
    <w:rsid w:val="00E31F94"/>
    <w:rsid w:val="00E3249D"/>
    <w:rsid w:val="00E343D3"/>
    <w:rsid w:val="00E36F5A"/>
    <w:rsid w:val="00E415AA"/>
    <w:rsid w:val="00E466D6"/>
    <w:rsid w:val="00E55323"/>
    <w:rsid w:val="00E628E4"/>
    <w:rsid w:val="00E63370"/>
    <w:rsid w:val="00E63C74"/>
    <w:rsid w:val="00E648A5"/>
    <w:rsid w:val="00E64CFC"/>
    <w:rsid w:val="00E659DA"/>
    <w:rsid w:val="00E65A14"/>
    <w:rsid w:val="00E677AF"/>
    <w:rsid w:val="00E71BCB"/>
    <w:rsid w:val="00E73469"/>
    <w:rsid w:val="00E73C35"/>
    <w:rsid w:val="00E74E4D"/>
    <w:rsid w:val="00E75663"/>
    <w:rsid w:val="00E80F4D"/>
    <w:rsid w:val="00E814FB"/>
    <w:rsid w:val="00E82242"/>
    <w:rsid w:val="00E83E26"/>
    <w:rsid w:val="00E84721"/>
    <w:rsid w:val="00E877B8"/>
    <w:rsid w:val="00E9492F"/>
    <w:rsid w:val="00E94D5E"/>
    <w:rsid w:val="00EA16B2"/>
    <w:rsid w:val="00EA26CE"/>
    <w:rsid w:val="00EA3ACF"/>
    <w:rsid w:val="00EA4F82"/>
    <w:rsid w:val="00EA594A"/>
    <w:rsid w:val="00EA5ACC"/>
    <w:rsid w:val="00EA5B1F"/>
    <w:rsid w:val="00EA6DE1"/>
    <w:rsid w:val="00EA7779"/>
    <w:rsid w:val="00EB366C"/>
    <w:rsid w:val="00EB4C41"/>
    <w:rsid w:val="00EB5A31"/>
    <w:rsid w:val="00EB7242"/>
    <w:rsid w:val="00EC0116"/>
    <w:rsid w:val="00EC0260"/>
    <w:rsid w:val="00EC0E79"/>
    <w:rsid w:val="00EC3658"/>
    <w:rsid w:val="00EC3974"/>
    <w:rsid w:val="00EC3C57"/>
    <w:rsid w:val="00EC5568"/>
    <w:rsid w:val="00EC593C"/>
    <w:rsid w:val="00EC61C8"/>
    <w:rsid w:val="00ED0458"/>
    <w:rsid w:val="00ED0BD1"/>
    <w:rsid w:val="00ED2CF5"/>
    <w:rsid w:val="00ED4FA5"/>
    <w:rsid w:val="00ED5714"/>
    <w:rsid w:val="00EE3135"/>
    <w:rsid w:val="00EE3992"/>
    <w:rsid w:val="00EE3F4C"/>
    <w:rsid w:val="00EE4470"/>
    <w:rsid w:val="00EE59A2"/>
    <w:rsid w:val="00EE6545"/>
    <w:rsid w:val="00EF42FD"/>
    <w:rsid w:val="00F00B09"/>
    <w:rsid w:val="00F0149C"/>
    <w:rsid w:val="00F059BC"/>
    <w:rsid w:val="00F10240"/>
    <w:rsid w:val="00F105F1"/>
    <w:rsid w:val="00F155D8"/>
    <w:rsid w:val="00F20692"/>
    <w:rsid w:val="00F224C6"/>
    <w:rsid w:val="00F25180"/>
    <w:rsid w:val="00F27B40"/>
    <w:rsid w:val="00F30B3D"/>
    <w:rsid w:val="00F43320"/>
    <w:rsid w:val="00F43F98"/>
    <w:rsid w:val="00F44702"/>
    <w:rsid w:val="00F50AC9"/>
    <w:rsid w:val="00F51D1E"/>
    <w:rsid w:val="00F5327A"/>
    <w:rsid w:val="00F5371F"/>
    <w:rsid w:val="00F54397"/>
    <w:rsid w:val="00F55A0F"/>
    <w:rsid w:val="00F567A3"/>
    <w:rsid w:val="00F570CD"/>
    <w:rsid w:val="00F578DE"/>
    <w:rsid w:val="00F5799B"/>
    <w:rsid w:val="00F600AA"/>
    <w:rsid w:val="00F60B65"/>
    <w:rsid w:val="00F6216B"/>
    <w:rsid w:val="00F63CBA"/>
    <w:rsid w:val="00F72495"/>
    <w:rsid w:val="00F750F2"/>
    <w:rsid w:val="00F7591A"/>
    <w:rsid w:val="00F76A2F"/>
    <w:rsid w:val="00F808DE"/>
    <w:rsid w:val="00F80FF6"/>
    <w:rsid w:val="00F81A6D"/>
    <w:rsid w:val="00F822A5"/>
    <w:rsid w:val="00F85319"/>
    <w:rsid w:val="00F85D5F"/>
    <w:rsid w:val="00F86EB6"/>
    <w:rsid w:val="00F875FD"/>
    <w:rsid w:val="00F87B89"/>
    <w:rsid w:val="00F9299D"/>
    <w:rsid w:val="00F942EB"/>
    <w:rsid w:val="00F97CB2"/>
    <w:rsid w:val="00F97D4C"/>
    <w:rsid w:val="00FB0092"/>
    <w:rsid w:val="00FB1E50"/>
    <w:rsid w:val="00FB22FD"/>
    <w:rsid w:val="00FB24CB"/>
    <w:rsid w:val="00FC1F00"/>
    <w:rsid w:val="00FC401B"/>
    <w:rsid w:val="00FC5A0E"/>
    <w:rsid w:val="00FC6CB1"/>
    <w:rsid w:val="00FD1424"/>
    <w:rsid w:val="00FD1576"/>
    <w:rsid w:val="00FD1ACD"/>
    <w:rsid w:val="00FD3511"/>
    <w:rsid w:val="00FD3962"/>
    <w:rsid w:val="00FD3D55"/>
    <w:rsid w:val="00FE03B8"/>
    <w:rsid w:val="00FE187C"/>
    <w:rsid w:val="00FE1C38"/>
    <w:rsid w:val="00FF07BD"/>
    <w:rsid w:val="00FF2E3F"/>
    <w:rsid w:val="00FF4973"/>
    <w:rsid w:val="00FF4CC9"/>
    <w:rsid w:val="00FF6CF3"/>
    <w:rsid w:val="00FF7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tv213">
    <w:name w:val="tv213"/>
    <w:basedOn w:val="Normal"/>
    <w:rsid w:val="005746A4"/>
    <w:pPr>
      <w:spacing w:before="100" w:beforeAutospacing="1" w:after="100" w:afterAutospacing="1"/>
    </w:pPr>
    <w:rPr>
      <w:lang w:eastAsia="lv-LV"/>
    </w:rPr>
  </w:style>
  <w:style w:type="paragraph" w:styleId="ListParagraph">
    <w:name w:val="List Paragraph"/>
    <w:basedOn w:val="Normal"/>
    <w:uiPriority w:val="34"/>
    <w:qFormat/>
    <w:rsid w:val="009D3C94"/>
    <w:pPr>
      <w:spacing w:after="160" w:line="259" w:lineRule="auto"/>
      <w:ind w:left="720"/>
      <w:contextualSpacing/>
    </w:pPr>
    <w:rPr>
      <w:rFonts w:eastAsiaTheme="minorHAnsi" w:cstheme="minorBidi"/>
      <w:szCs w:val="22"/>
      <w:lang w:val="en-US" w:eastAsia="en-US"/>
    </w:rPr>
  </w:style>
  <w:style w:type="character" w:styleId="Hyperlink">
    <w:name w:val="Hyperlink"/>
    <w:basedOn w:val="DefaultParagraphFont"/>
    <w:uiPriority w:val="99"/>
    <w:unhideWhenUsed/>
    <w:rsid w:val="00845EEE"/>
    <w:rPr>
      <w:color w:val="0000FF"/>
      <w:u w:val="single"/>
    </w:rPr>
  </w:style>
  <w:style w:type="paragraph" w:styleId="NoSpacing">
    <w:name w:val="No Spacing"/>
    <w:uiPriority w:val="1"/>
    <w:qFormat/>
    <w:rsid w:val="00845EEE"/>
    <w:pPr>
      <w:spacing w:after="0" w:line="240" w:lineRule="auto"/>
    </w:pPr>
    <w:rPr>
      <w:lang w:val="lv-LV"/>
    </w:rPr>
  </w:style>
  <w:style w:type="paragraph" w:styleId="BalloonText">
    <w:name w:val="Balloon Text"/>
    <w:basedOn w:val="Normal"/>
    <w:link w:val="BalloonTextChar"/>
    <w:uiPriority w:val="99"/>
    <w:semiHidden/>
    <w:unhideWhenUsed/>
    <w:rsid w:val="00024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551"/>
    <w:rPr>
      <w:rFonts w:ascii="Segoe UI" w:eastAsia="Times New Roman" w:hAnsi="Segoe UI" w:cs="Segoe UI"/>
      <w:sz w:val="18"/>
      <w:szCs w:val="18"/>
      <w:lang w:val="lv-LV" w:eastAsia="ru-RU"/>
    </w:rPr>
  </w:style>
  <w:style w:type="paragraph" w:styleId="Header">
    <w:name w:val="header"/>
    <w:basedOn w:val="Normal"/>
    <w:link w:val="HeaderChar"/>
    <w:uiPriority w:val="99"/>
    <w:unhideWhenUsed/>
    <w:rsid w:val="002236D2"/>
    <w:pPr>
      <w:tabs>
        <w:tab w:val="center" w:pos="4680"/>
        <w:tab w:val="right" w:pos="9360"/>
      </w:tabs>
    </w:pPr>
  </w:style>
  <w:style w:type="character" w:customStyle="1" w:styleId="HeaderChar">
    <w:name w:val="Header Char"/>
    <w:basedOn w:val="DefaultParagraphFont"/>
    <w:link w:val="Header"/>
    <w:uiPriority w:val="99"/>
    <w:rsid w:val="002236D2"/>
    <w:rPr>
      <w:rFonts w:eastAsia="Times New Roman" w:cs="Times New Roman"/>
      <w:szCs w:val="24"/>
      <w:lang w:val="lv-LV" w:eastAsia="ru-RU"/>
    </w:rPr>
  </w:style>
  <w:style w:type="paragraph" w:styleId="Footer">
    <w:name w:val="footer"/>
    <w:basedOn w:val="Normal"/>
    <w:link w:val="FooterChar"/>
    <w:uiPriority w:val="99"/>
    <w:unhideWhenUsed/>
    <w:rsid w:val="002236D2"/>
    <w:pPr>
      <w:tabs>
        <w:tab w:val="center" w:pos="4680"/>
        <w:tab w:val="right" w:pos="9360"/>
      </w:tabs>
    </w:pPr>
  </w:style>
  <w:style w:type="character" w:customStyle="1" w:styleId="FooterChar">
    <w:name w:val="Footer Char"/>
    <w:basedOn w:val="DefaultParagraphFont"/>
    <w:link w:val="Footer"/>
    <w:uiPriority w:val="99"/>
    <w:rsid w:val="002236D2"/>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C1D2E"/>
    <w:rPr>
      <w:sz w:val="16"/>
      <w:szCs w:val="16"/>
    </w:rPr>
  </w:style>
  <w:style w:type="paragraph" w:styleId="CommentText">
    <w:name w:val="annotation text"/>
    <w:basedOn w:val="Normal"/>
    <w:link w:val="CommentTextChar"/>
    <w:uiPriority w:val="99"/>
    <w:unhideWhenUsed/>
    <w:rsid w:val="005C1D2E"/>
    <w:rPr>
      <w:sz w:val="20"/>
      <w:szCs w:val="20"/>
    </w:rPr>
  </w:style>
  <w:style w:type="character" w:customStyle="1" w:styleId="CommentTextChar">
    <w:name w:val="Comment Text Char"/>
    <w:basedOn w:val="DefaultParagraphFont"/>
    <w:link w:val="CommentText"/>
    <w:uiPriority w:val="99"/>
    <w:rsid w:val="005C1D2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C1D2E"/>
    <w:rPr>
      <w:b/>
      <w:bCs/>
    </w:rPr>
  </w:style>
  <w:style w:type="character" w:customStyle="1" w:styleId="CommentSubjectChar">
    <w:name w:val="Comment Subject Char"/>
    <w:basedOn w:val="CommentTextChar"/>
    <w:link w:val="CommentSubject"/>
    <w:uiPriority w:val="99"/>
    <w:semiHidden/>
    <w:rsid w:val="005C1D2E"/>
    <w:rPr>
      <w:rFonts w:eastAsia="Times New Roman" w:cs="Times New Roman"/>
      <w:b/>
      <w:bCs/>
      <w:sz w:val="20"/>
      <w:szCs w:val="20"/>
      <w:lang w:val="lv-LV" w:eastAsia="ru-RU"/>
    </w:rPr>
  </w:style>
  <w:style w:type="paragraph" w:styleId="Revision">
    <w:name w:val="Revision"/>
    <w:hidden/>
    <w:uiPriority w:val="99"/>
    <w:semiHidden/>
    <w:rsid w:val="00196347"/>
    <w:pPr>
      <w:spacing w:after="0" w:line="240" w:lineRule="auto"/>
    </w:pPr>
    <w:rPr>
      <w:rFonts w:eastAsia="Times New Roman" w:cs="Times New Roman"/>
      <w:szCs w:val="24"/>
      <w:lang w:val="lv-LV" w:eastAsia="ru-RU"/>
    </w:rPr>
  </w:style>
  <w:style w:type="character" w:styleId="Emphasis">
    <w:name w:val="Emphasis"/>
    <w:qFormat/>
    <w:rsid w:val="00CF72F1"/>
    <w:rPr>
      <w:i/>
      <w:iCs/>
    </w:rPr>
  </w:style>
  <w:style w:type="character" w:styleId="FollowedHyperlink">
    <w:name w:val="FollowedHyperlink"/>
    <w:basedOn w:val="DefaultParagraphFont"/>
    <w:uiPriority w:val="99"/>
    <w:semiHidden/>
    <w:unhideWhenUsed/>
    <w:rsid w:val="00887C2F"/>
    <w:rPr>
      <w:color w:val="954F72" w:themeColor="followedHyperlink"/>
      <w:u w:val="single"/>
    </w:rPr>
  </w:style>
  <w:style w:type="character" w:styleId="UnresolvedMention">
    <w:name w:val="Unresolved Mention"/>
    <w:basedOn w:val="DefaultParagraphFont"/>
    <w:uiPriority w:val="99"/>
    <w:semiHidden/>
    <w:unhideWhenUsed/>
    <w:rsid w:val="00A16096"/>
    <w:rPr>
      <w:color w:val="605E5C"/>
      <w:shd w:val="clear" w:color="auto" w:fill="E1DFDD"/>
    </w:rPr>
  </w:style>
  <w:style w:type="paragraph" w:styleId="BodyTextIndent">
    <w:name w:val="Body Text Indent"/>
    <w:basedOn w:val="Normal"/>
    <w:link w:val="BodyTextIndentChar"/>
    <w:semiHidden/>
    <w:unhideWhenUsed/>
    <w:rsid w:val="00630BFF"/>
    <w:pPr>
      <w:ind w:firstLine="720"/>
      <w:jc w:val="both"/>
    </w:pPr>
  </w:style>
  <w:style w:type="character" w:customStyle="1" w:styleId="BodyTextIndentChar">
    <w:name w:val="Body Text Indent Char"/>
    <w:basedOn w:val="DefaultParagraphFont"/>
    <w:link w:val="BodyTextIndent"/>
    <w:semiHidden/>
    <w:rsid w:val="00630BFF"/>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019">
      <w:bodyDiv w:val="1"/>
      <w:marLeft w:val="0"/>
      <w:marRight w:val="0"/>
      <w:marTop w:val="0"/>
      <w:marBottom w:val="0"/>
      <w:divBdr>
        <w:top w:val="none" w:sz="0" w:space="0" w:color="auto"/>
        <w:left w:val="none" w:sz="0" w:space="0" w:color="auto"/>
        <w:bottom w:val="none" w:sz="0" w:space="0" w:color="auto"/>
        <w:right w:val="none" w:sz="0" w:space="0" w:color="auto"/>
      </w:divBdr>
      <w:divsChild>
        <w:div w:id="58794936">
          <w:marLeft w:val="0"/>
          <w:marRight w:val="0"/>
          <w:marTop w:val="15"/>
          <w:marBottom w:val="0"/>
          <w:divBdr>
            <w:top w:val="single" w:sz="48" w:space="0" w:color="auto"/>
            <w:left w:val="single" w:sz="48" w:space="0" w:color="auto"/>
            <w:bottom w:val="single" w:sz="48" w:space="0" w:color="auto"/>
            <w:right w:val="single" w:sz="48" w:space="0" w:color="auto"/>
          </w:divBdr>
          <w:divsChild>
            <w:div w:id="1790860091">
              <w:marLeft w:val="0"/>
              <w:marRight w:val="0"/>
              <w:marTop w:val="0"/>
              <w:marBottom w:val="0"/>
              <w:divBdr>
                <w:top w:val="none" w:sz="0" w:space="0" w:color="auto"/>
                <w:left w:val="none" w:sz="0" w:space="0" w:color="auto"/>
                <w:bottom w:val="none" w:sz="0" w:space="0" w:color="auto"/>
                <w:right w:val="none" w:sz="0" w:space="0" w:color="auto"/>
              </w:divBdr>
            </w:div>
          </w:divsChild>
        </w:div>
        <w:div w:id="1291790492">
          <w:marLeft w:val="0"/>
          <w:marRight w:val="0"/>
          <w:marTop w:val="15"/>
          <w:marBottom w:val="0"/>
          <w:divBdr>
            <w:top w:val="single" w:sz="48" w:space="0" w:color="auto"/>
            <w:left w:val="single" w:sz="48" w:space="0" w:color="auto"/>
            <w:bottom w:val="single" w:sz="48" w:space="0" w:color="auto"/>
            <w:right w:val="single" w:sz="48" w:space="0" w:color="auto"/>
          </w:divBdr>
          <w:divsChild>
            <w:div w:id="15976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0203">
      <w:bodyDiv w:val="1"/>
      <w:marLeft w:val="0"/>
      <w:marRight w:val="0"/>
      <w:marTop w:val="0"/>
      <w:marBottom w:val="0"/>
      <w:divBdr>
        <w:top w:val="none" w:sz="0" w:space="0" w:color="auto"/>
        <w:left w:val="none" w:sz="0" w:space="0" w:color="auto"/>
        <w:bottom w:val="none" w:sz="0" w:space="0" w:color="auto"/>
        <w:right w:val="none" w:sz="0" w:space="0" w:color="auto"/>
      </w:divBdr>
    </w:div>
    <w:div w:id="137190503">
      <w:bodyDiv w:val="1"/>
      <w:marLeft w:val="0"/>
      <w:marRight w:val="0"/>
      <w:marTop w:val="0"/>
      <w:marBottom w:val="0"/>
      <w:divBdr>
        <w:top w:val="none" w:sz="0" w:space="0" w:color="auto"/>
        <w:left w:val="none" w:sz="0" w:space="0" w:color="auto"/>
        <w:bottom w:val="none" w:sz="0" w:space="0" w:color="auto"/>
        <w:right w:val="none" w:sz="0" w:space="0" w:color="auto"/>
      </w:divBdr>
    </w:div>
    <w:div w:id="302665062">
      <w:bodyDiv w:val="1"/>
      <w:marLeft w:val="0"/>
      <w:marRight w:val="0"/>
      <w:marTop w:val="0"/>
      <w:marBottom w:val="0"/>
      <w:divBdr>
        <w:top w:val="none" w:sz="0" w:space="0" w:color="auto"/>
        <w:left w:val="none" w:sz="0" w:space="0" w:color="auto"/>
        <w:bottom w:val="none" w:sz="0" w:space="0" w:color="auto"/>
        <w:right w:val="none" w:sz="0" w:space="0" w:color="auto"/>
      </w:divBdr>
    </w:div>
    <w:div w:id="432826419">
      <w:bodyDiv w:val="1"/>
      <w:marLeft w:val="0"/>
      <w:marRight w:val="0"/>
      <w:marTop w:val="0"/>
      <w:marBottom w:val="0"/>
      <w:divBdr>
        <w:top w:val="none" w:sz="0" w:space="0" w:color="auto"/>
        <w:left w:val="none" w:sz="0" w:space="0" w:color="auto"/>
        <w:bottom w:val="none" w:sz="0" w:space="0" w:color="auto"/>
        <w:right w:val="none" w:sz="0" w:space="0" w:color="auto"/>
      </w:divBdr>
    </w:div>
    <w:div w:id="514423637">
      <w:bodyDiv w:val="1"/>
      <w:marLeft w:val="0"/>
      <w:marRight w:val="0"/>
      <w:marTop w:val="0"/>
      <w:marBottom w:val="0"/>
      <w:divBdr>
        <w:top w:val="none" w:sz="0" w:space="0" w:color="auto"/>
        <w:left w:val="none" w:sz="0" w:space="0" w:color="auto"/>
        <w:bottom w:val="none" w:sz="0" w:space="0" w:color="auto"/>
        <w:right w:val="none" w:sz="0" w:space="0" w:color="auto"/>
      </w:divBdr>
    </w:div>
    <w:div w:id="849225224">
      <w:bodyDiv w:val="1"/>
      <w:marLeft w:val="0"/>
      <w:marRight w:val="0"/>
      <w:marTop w:val="0"/>
      <w:marBottom w:val="0"/>
      <w:divBdr>
        <w:top w:val="none" w:sz="0" w:space="0" w:color="auto"/>
        <w:left w:val="none" w:sz="0" w:space="0" w:color="auto"/>
        <w:bottom w:val="none" w:sz="0" w:space="0" w:color="auto"/>
        <w:right w:val="none" w:sz="0" w:space="0" w:color="auto"/>
      </w:divBdr>
    </w:div>
    <w:div w:id="872233505">
      <w:bodyDiv w:val="1"/>
      <w:marLeft w:val="0"/>
      <w:marRight w:val="0"/>
      <w:marTop w:val="0"/>
      <w:marBottom w:val="0"/>
      <w:divBdr>
        <w:top w:val="none" w:sz="0" w:space="0" w:color="auto"/>
        <w:left w:val="none" w:sz="0" w:space="0" w:color="auto"/>
        <w:bottom w:val="none" w:sz="0" w:space="0" w:color="auto"/>
        <w:right w:val="none" w:sz="0" w:space="0" w:color="auto"/>
      </w:divBdr>
    </w:div>
    <w:div w:id="985626056">
      <w:bodyDiv w:val="1"/>
      <w:marLeft w:val="0"/>
      <w:marRight w:val="0"/>
      <w:marTop w:val="0"/>
      <w:marBottom w:val="0"/>
      <w:divBdr>
        <w:top w:val="none" w:sz="0" w:space="0" w:color="auto"/>
        <w:left w:val="none" w:sz="0" w:space="0" w:color="auto"/>
        <w:bottom w:val="none" w:sz="0" w:space="0" w:color="auto"/>
        <w:right w:val="none" w:sz="0" w:space="0" w:color="auto"/>
      </w:divBdr>
    </w:div>
    <w:div w:id="1131941373">
      <w:bodyDiv w:val="1"/>
      <w:marLeft w:val="0"/>
      <w:marRight w:val="0"/>
      <w:marTop w:val="0"/>
      <w:marBottom w:val="0"/>
      <w:divBdr>
        <w:top w:val="none" w:sz="0" w:space="0" w:color="auto"/>
        <w:left w:val="none" w:sz="0" w:space="0" w:color="auto"/>
        <w:bottom w:val="none" w:sz="0" w:space="0" w:color="auto"/>
        <w:right w:val="none" w:sz="0" w:space="0" w:color="auto"/>
      </w:divBdr>
      <w:divsChild>
        <w:div w:id="1847596079">
          <w:marLeft w:val="0"/>
          <w:marRight w:val="0"/>
          <w:marTop w:val="15"/>
          <w:marBottom w:val="0"/>
          <w:divBdr>
            <w:top w:val="single" w:sz="48" w:space="0" w:color="auto"/>
            <w:left w:val="single" w:sz="48" w:space="0" w:color="auto"/>
            <w:bottom w:val="single" w:sz="48" w:space="0" w:color="auto"/>
            <w:right w:val="single" w:sz="48" w:space="0" w:color="auto"/>
          </w:divBdr>
          <w:divsChild>
            <w:div w:id="8252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346">
      <w:bodyDiv w:val="1"/>
      <w:marLeft w:val="0"/>
      <w:marRight w:val="0"/>
      <w:marTop w:val="0"/>
      <w:marBottom w:val="0"/>
      <w:divBdr>
        <w:top w:val="none" w:sz="0" w:space="0" w:color="auto"/>
        <w:left w:val="none" w:sz="0" w:space="0" w:color="auto"/>
        <w:bottom w:val="none" w:sz="0" w:space="0" w:color="auto"/>
        <w:right w:val="none" w:sz="0" w:space="0" w:color="auto"/>
      </w:divBdr>
      <w:divsChild>
        <w:div w:id="111822980">
          <w:marLeft w:val="0"/>
          <w:marRight w:val="0"/>
          <w:marTop w:val="15"/>
          <w:marBottom w:val="0"/>
          <w:divBdr>
            <w:top w:val="single" w:sz="48" w:space="0" w:color="auto"/>
            <w:left w:val="single" w:sz="48" w:space="0" w:color="auto"/>
            <w:bottom w:val="single" w:sz="48" w:space="0" w:color="auto"/>
            <w:right w:val="single" w:sz="48" w:space="0" w:color="auto"/>
          </w:divBdr>
          <w:divsChild>
            <w:div w:id="20319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984">
      <w:bodyDiv w:val="1"/>
      <w:marLeft w:val="0"/>
      <w:marRight w:val="0"/>
      <w:marTop w:val="0"/>
      <w:marBottom w:val="0"/>
      <w:divBdr>
        <w:top w:val="none" w:sz="0" w:space="0" w:color="auto"/>
        <w:left w:val="none" w:sz="0" w:space="0" w:color="auto"/>
        <w:bottom w:val="none" w:sz="0" w:space="0" w:color="auto"/>
        <w:right w:val="none" w:sz="0" w:space="0" w:color="auto"/>
      </w:divBdr>
      <w:divsChild>
        <w:div w:id="1097479238">
          <w:marLeft w:val="0"/>
          <w:marRight w:val="0"/>
          <w:marTop w:val="15"/>
          <w:marBottom w:val="0"/>
          <w:divBdr>
            <w:top w:val="single" w:sz="48" w:space="0" w:color="auto"/>
            <w:left w:val="single" w:sz="48" w:space="0" w:color="auto"/>
            <w:bottom w:val="single" w:sz="48" w:space="0" w:color="auto"/>
            <w:right w:val="single" w:sz="48" w:space="0" w:color="auto"/>
          </w:divBdr>
          <w:divsChild>
            <w:div w:id="937982372">
              <w:marLeft w:val="0"/>
              <w:marRight w:val="0"/>
              <w:marTop w:val="0"/>
              <w:marBottom w:val="0"/>
              <w:divBdr>
                <w:top w:val="none" w:sz="0" w:space="0" w:color="auto"/>
                <w:left w:val="none" w:sz="0" w:space="0" w:color="auto"/>
                <w:bottom w:val="none" w:sz="0" w:space="0" w:color="auto"/>
                <w:right w:val="none" w:sz="0" w:space="0" w:color="auto"/>
              </w:divBdr>
            </w:div>
          </w:divsChild>
        </w:div>
        <w:div w:id="2046951536">
          <w:marLeft w:val="0"/>
          <w:marRight w:val="0"/>
          <w:marTop w:val="15"/>
          <w:marBottom w:val="0"/>
          <w:divBdr>
            <w:top w:val="single" w:sz="48" w:space="0" w:color="auto"/>
            <w:left w:val="single" w:sz="48" w:space="0" w:color="auto"/>
            <w:bottom w:val="single" w:sz="48" w:space="0" w:color="auto"/>
            <w:right w:val="single" w:sz="48" w:space="0" w:color="auto"/>
          </w:divBdr>
          <w:divsChild>
            <w:div w:id="18416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3771">
      <w:bodyDiv w:val="1"/>
      <w:marLeft w:val="0"/>
      <w:marRight w:val="0"/>
      <w:marTop w:val="0"/>
      <w:marBottom w:val="0"/>
      <w:divBdr>
        <w:top w:val="none" w:sz="0" w:space="0" w:color="auto"/>
        <w:left w:val="none" w:sz="0" w:space="0" w:color="auto"/>
        <w:bottom w:val="none" w:sz="0" w:space="0" w:color="auto"/>
        <w:right w:val="none" w:sz="0" w:space="0" w:color="auto"/>
      </w:divBdr>
    </w:div>
    <w:div w:id="1454714909">
      <w:bodyDiv w:val="1"/>
      <w:marLeft w:val="0"/>
      <w:marRight w:val="0"/>
      <w:marTop w:val="0"/>
      <w:marBottom w:val="0"/>
      <w:divBdr>
        <w:top w:val="none" w:sz="0" w:space="0" w:color="auto"/>
        <w:left w:val="none" w:sz="0" w:space="0" w:color="auto"/>
        <w:bottom w:val="none" w:sz="0" w:space="0" w:color="auto"/>
        <w:right w:val="none" w:sz="0" w:space="0" w:color="auto"/>
      </w:divBdr>
    </w:div>
    <w:div w:id="1700005546">
      <w:bodyDiv w:val="1"/>
      <w:marLeft w:val="0"/>
      <w:marRight w:val="0"/>
      <w:marTop w:val="0"/>
      <w:marBottom w:val="0"/>
      <w:divBdr>
        <w:top w:val="none" w:sz="0" w:space="0" w:color="auto"/>
        <w:left w:val="none" w:sz="0" w:space="0" w:color="auto"/>
        <w:bottom w:val="none" w:sz="0" w:space="0" w:color="auto"/>
        <w:right w:val="none" w:sz="0" w:space="0" w:color="auto"/>
      </w:divBdr>
    </w:div>
    <w:div w:id="1720468472">
      <w:bodyDiv w:val="1"/>
      <w:marLeft w:val="0"/>
      <w:marRight w:val="0"/>
      <w:marTop w:val="0"/>
      <w:marBottom w:val="0"/>
      <w:divBdr>
        <w:top w:val="none" w:sz="0" w:space="0" w:color="auto"/>
        <w:left w:val="none" w:sz="0" w:space="0" w:color="auto"/>
        <w:bottom w:val="none" w:sz="0" w:space="0" w:color="auto"/>
        <w:right w:val="none" w:sz="0" w:space="0" w:color="auto"/>
      </w:divBdr>
    </w:div>
    <w:div w:id="21118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8808.pdf" TargetMode="External"/><Relationship Id="rId13" Type="http://schemas.openxmlformats.org/officeDocument/2006/relationships/hyperlink" Target="https://hudoc.echr.coe.int/eng?i=001-5853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udoc.echr.coe.int/eng?i=001-57808" TargetMode="External"/><Relationship Id="rId17" Type="http://schemas.openxmlformats.org/officeDocument/2006/relationships/hyperlink" Target="https://hudoc.echr.coe.int/eng?i=001-918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doc.echr.coe.int/eng?i=001-875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91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eng?i=001-58536" TargetMode="External"/><Relationship Id="rId23" Type="http://schemas.openxmlformats.org/officeDocument/2006/relationships/footer" Target="footer3.xml"/><Relationship Id="rId10" Type="http://schemas.openxmlformats.org/officeDocument/2006/relationships/hyperlink" Target="https://hudoc.echr.coe.int/eng?i=001-950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tv.tiesa.gov.lv/web/viewer.html?file=/wp-content/uploads/2017/09/2017-23-01_Spriedums.pdf" TargetMode="External"/><Relationship Id="rId14" Type="http://schemas.openxmlformats.org/officeDocument/2006/relationships/hyperlink" Target="https://hudoc.echr.coe.int/eng?i=001-582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D2CE-BBC5-40F5-8BF7-C8E7639B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9653</Words>
  <Characters>5503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2025-03-04T09:05:00Z</dcterms:created>
  <dcterms:modified xsi:type="dcterms:W3CDTF">2025-03-04T09:12:00Z</dcterms:modified>
</cp:coreProperties>
</file>