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140F" w14:textId="77777777" w:rsidR="001A3B98" w:rsidRDefault="001A3B98" w:rsidP="001A3B98">
      <w:pPr>
        <w:spacing w:line="252" w:lineRule="auto"/>
        <w:jc w:val="both"/>
        <w:rPr>
          <w:b/>
          <w:bCs/>
          <w:color w:val="000000"/>
          <w:lang w:eastAsia="lv-LV"/>
          <w14:ligatures w14:val="standardContextual"/>
        </w:rPr>
      </w:pPr>
      <w:r>
        <w:rPr>
          <w:b/>
          <w:bCs/>
          <w:color w:val="000000"/>
          <w14:ligatures w14:val="standardContextual"/>
        </w:rPr>
        <w:t xml:space="preserve">Noziedzīgi iegūtu līdzekļu legalizācijas un terorisma un </w:t>
      </w:r>
      <w:proofErr w:type="spellStart"/>
      <w:r>
        <w:rPr>
          <w:b/>
          <w:bCs/>
          <w:color w:val="000000"/>
          <w14:ligatures w14:val="standardContextual"/>
        </w:rPr>
        <w:t>proliferācijas</w:t>
      </w:r>
      <w:proofErr w:type="spellEnd"/>
      <w:r>
        <w:rPr>
          <w:b/>
          <w:bCs/>
          <w:color w:val="000000"/>
          <w14:ligatures w14:val="standardContextual"/>
        </w:rPr>
        <w:t xml:space="preserve"> finansēšanas novēršanas likuma </w:t>
      </w:r>
      <w:r>
        <w:rPr>
          <w:b/>
          <w:bCs/>
          <w14:ligatures w14:val="standardContextual"/>
        </w:rPr>
        <w:t xml:space="preserve">subjekta rīcība gadījumā, kad tas nav spējīgs veikt klienta izpētes pasākumus </w:t>
      </w:r>
    </w:p>
    <w:p w14:paraId="33073B1F" w14:textId="77777777" w:rsidR="001A3B98" w:rsidRDefault="001A3B98" w:rsidP="001A3B98">
      <w:pPr>
        <w:numPr>
          <w:ilvl w:val="0"/>
          <w:numId w:val="1"/>
        </w:numPr>
        <w:spacing w:line="252" w:lineRule="auto"/>
        <w:contextualSpacing/>
        <w:jc w:val="both"/>
        <w:rPr>
          <w14:ligatures w14:val="standardContextual"/>
        </w:rPr>
      </w:pPr>
      <w:r>
        <w:rPr>
          <w:color w:val="000000"/>
          <w14:ligatures w14:val="standardContextual"/>
        </w:rPr>
        <w:t xml:space="preserve">Noziedzīgi iegūtu līdzekļu legalizācijas un terorisma un </w:t>
      </w:r>
      <w:proofErr w:type="spellStart"/>
      <w:r>
        <w:rPr>
          <w:color w:val="000000"/>
          <w14:ligatures w14:val="standardContextual"/>
        </w:rPr>
        <w:t>proliferācijas</w:t>
      </w:r>
      <w:proofErr w:type="spellEnd"/>
      <w:r>
        <w:rPr>
          <w:color w:val="000000"/>
          <w14:ligatures w14:val="standardContextual"/>
        </w:rPr>
        <w:t xml:space="preserve"> finansēšanas novēršanas likuma 11.panta septītā daļa nav </w:t>
      </w:r>
      <w:r>
        <w:rPr>
          <w14:ligatures w14:val="standardContextual"/>
        </w:rPr>
        <w:t xml:space="preserve">interpretējama tādējādi, ka jebkuri naudas līdzekļi, kuru izcelsmes legalitāte kredītiestādē vēl nav pārbaudīta, nevar tikt izmantoti kā kredītiestādes likvīdos aktīvus veidojošs elements ar mērķi stabilizēt kredītiestādes finansiālo situāciju. Minētā norma neparedz, ka visi kredītiestādes klientu līdzekļi to izpētes stadijā (vēl nav pārbaudīti vai par kuriem tiek veiktas pārbaudes) ir pielīdzināmi noziedzīgi iegūtajiem vai </w:t>
      </w:r>
      <w:proofErr w:type="spellStart"/>
      <w:r>
        <w:rPr>
          <w14:ligatures w14:val="standardContextual"/>
        </w:rPr>
        <w:t>prezumējami</w:t>
      </w:r>
      <w:proofErr w:type="spellEnd"/>
      <w:r>
        <w:rPr>
          <w14:ligatures w14:val="standardContextual"/>
        </w:rPr>
        <w:t xml:space="preserve"> par tādiem, kas izslēdzami no </w:t>
      </w:r>
      <w:proofErr w:type="spellStart"/>
      <w:r>
        <w:rPr>
          <w14:ligatures w14:val="standardContextual"/>
        </w:rPr>
        <w:t>komerctiesiskās</w:t>
      </w:r>
      <w:proofErr w:type="spellEnd"/>
      <w:r>
        <w:rPr>
          <w14:ligatures w14:val="standardContextual"/>
        </w:rPr>
        <w:t xml:space="preserve"> apgrozības un tādējādi būtu pakļaujami </w:t>
      </w:r>
      <w:r>
        <w:rPr>
          <w:color w:val="000000"/>
          <w14:ligatures w14:val="standardContextual"/>
        </w:rPr>
        <w:t xml:space="preserve">Noziedzīgi iegūtu līdzekļu legalizācijas un terorisma un </w:t>
      </w:r>
      <w:proofErr w:type="spellStart"/>
      <w:r>
        <w:rPr>
          <w:color w:val="000000"/>
          <w14:ligatures w14:val="standardContextual"/>
        </w:rPr>
        <w:t>proliferācijas</w:t>
      </w:r>
      <w:proofErr w:type="spellEnd"/>
      <w:r>
        <w:rPr>
          <w:color w:val="000000"/>
          <w14:ligatures w14:val="standardContextual"/>
        </w:rPr>
        <w:t xml:space="preserve"> finansēšanas novēršanas likuma </w:t>
      </w:r>
      <w:r>
        <w:rPr>
          <w14:ligatures w14:val="standardContextual"/>
        </w:rPr>
        <w:t xml:space="preserve">noteiktajiem ierobežojumiem un naudas līdzekļu izslēgšanai no kredītiestādes bilances aktīviem, tostarp no likvīdo līdzekļu apmēra. </w:t>
      </w:r>
    </w:p>
    <w:p w14:paraId="143992F1" w14:textId="5B2210BC" w:rsidR="001A3B98" w:rsidRDefault="001A3B98" w:rsidP="00BF65BC">
      <w:pPr>
        <w:numPr>
          <w:ilvl w:val="0"/>
          <w:numId w:val="1"/>
        </w:numPr>
        <w:spacing w:line="252" w:lineRule="auto"/>
        <w:contextualSpacing/>
        <w:jc w:val="both"/>
        <w:rPr>
          <w14:ligatures w14:val="standardContextual"/>
        </w:rPr>
      </w:pPr>
      <w:r>
        <w:rPr>
          <w:color w:val="000000"/>
          <w14:ligatures w14:val="standardContextual"/>
        </w:rPr>
        <w:t xml:space="preserve">Noziedzīgi iegūtu līdzekļu legalizācijas un terorisma un </w:t>
      </w:r>
      <w:proofErr w:type="spellStart"/>
      <w:r>
        <w:rPr>
          <w:color w:val="000000"/>
          <w14:ligatures w14:val="standardContextual"/>
        </w:rPr>
        <w:t>proliferācijas</w:t>
      </w:r>
      <w:proofErr w:type="spellEnd"/>
      <w:r>
        <w:rPr>
          <w:color w:val="000000"/>
          <w14:ligatures w14:val="standardContextual"/>
        </w:rPr>
        <w:t xml:space="preserve"> finansēšanas novēršanas likuma 11.panta septītajā daļā </w:t>
      </w:r>
      <w:r>
        <w:rPr>
          <w14:ligatures w14:val="standardContextual"/>
        </w:rPr>
        <w:t xml:space="preserve">noteiktais pienākums pārtraukt darījuma attiecības ar klientu rodas vienīgi tādā situācijā, kad kredītiestādei vispār nav iespējams pārliecināties par klienta līdzekļu izcelsmi, kā arī nav iespējams šādu izpēti pēc būtības veikt. </w:t>
      </w:r>
    </w:p>
    <w:p w14:paraId="2123F20E" w14:textId="77777777" w:rsidR="00BF65BC" w:rsidRPr="00BF65BC" w:rsidRDefault="00BF65BC" w:rsidP="00BF65BC">
      <w:pPr>
        <w:spacing w:line="252" w:lineRule="auto"/>
        <w:ind w:left="360"/>
        <w:contextualSpacing/>
        <w:jc w:val="both"/>
        <w:rPr>
          <w14:ligatures w14:val="standardContextual"/>
        </w:rPr>
      </w:pPr>
    </w:p>
    <w:p w14:paraId="5B4E3B29" w14:textId="18692192" w:rsidR="001A3B98" w:rsidRPr="007C3D04" w:rsidRDefault="001A3B98" w:rsidP="001A3B98">
      <w:pPr>
        <w:spacing w:line="276" w:lineRule="auto"/>
        <w:contextualSpacing/>
        <w:jc w:val="center"/>
        <w:rPr>
          <w:b/>
        </w:rPr>
      </w:pPr>
      <w:r w:rsidRPr="007C3D04">
        <w:rPr>
          <w:b/>
        </w:rPr>
        <w:t>Latvijas Republikas Senāta</w:t>
      </w:r>
    </w:p>
    <w:p w14:paraId="634084BC" w14:textId="77777777" w:rsidR="001A3B98" w:rsidRPr="007C3D04" w:rsidRDefault="001A3B98" w:rsidP="001A3B98">
      <w:pPr>
        <w:spacing w:line="276" w:lineRule="auto"/>
        <w:contextualSpacing/>
        <w:jc w:val="center"/>
        <w:rPr>
          <w:b/>
        </w:rPr>
      </w:pPr>
      <w:r w:rsidRPr="007C3D04">
        <w:rPr>
          <w:b/>
        </w:rPr>
        <w:t>Administratīvo lietu departamenta</w:t>
      </w:r>
    </w:p>
    <w:p w14:paraId="3D310F44" w14:textId="77777777" w:rsidR="001A3B98" w:rsidRPr="007C3D04" w:rsidRDefault="001A3B98" w:rsidP="001A3B98">
      <w:pPr>
        <w:spacing w:line="276" w:lineRule="auto"/>
        <w:ind w:right="-141"/>
        <w:jc w:val="center"/>
        <w:rPr>
          <w:b/>
        </w:rPr>
      </w:pPr>
      <w:r w:rsidRPr="007C3D04">
        <w:rPr>
          <w:b/>
        </w:rPr>
        <w:t>202</w:t>
      </w:r>
      <w:r>
        <w:rPr>
          <w:b/>
        </w:rPr>
        <w:t>4</w:t>
      </w:r>
      <w:r w:rsidRPr="007C3D04">
        <w:rPr>
          <w:b/>
        </w:rPr>
        <w:t>.gada [..]</w:t>
      </w:r>
    </w:p>
    <w:p w14:paraId="1E237DEB" w14:textId="77777777" w:rsidR="001A3B98" w:rsidRPr="007C3D04" w:rsidRDefault="001A3B98" w:rsidP="001A3B98">
      <w:pPr>
        <w:spacing w:line="276" w:lineRule="auto"/>
        <w:contextualSpacing/>
        <w:jc w:val="center"/>
        <w:rPr>
          <w:b/>
        </w:rPr>
      </w:pPr>
      <w:r w:rsidRPr="007C3D04">
        <w:rPr>
          <w:b/>
        </w:rPr>
        <w:t>SPRIEDUMS</w:t>
      </w:r>
      <w:r w:rsidRPr="00010315">
        <w:rPr>
          <w:rStyle w:val="FootnoteReference"/>
          <w:b/>
          <w:vertAlign w:val="superscript"/>
        </w:rPr>
        <w:footnoteReference w:id="1"/>
      </w:r>
    </w:p>
    <w:p w14:paraId="52A26E85" w14:textId="688CEE44" w:rsidR="001A3B98" w:rsidRPr="007C3D04" w:rsidRDefault="001A3B98" w:rsidP="001A3B98">
      <w:pPr>
        <w:spacing w:line="276" w:lineRule="auto"/>
        <w:jc w:val="center"/>
        <w:rPr>
          <w:b/>
        </w:rPr>
      </w:pPr>
      <w:r w:rsidRPr="007C3D04">
        <w:rPr>
          <w:b/>
        </w:rPr>
        <w:t>Lieta Nr. [..], SKA- [</w:t>
      </w:r>
      <w:r>
        <w:rPr>
          <w:b/>
        </w:rPr>
        <w:t>D</w:t>
      </w:r>
      <w:r w:rsidRPr="007C3D04">
        <w:rPr>
          <w:b/>
        </w:rPr>
        <w:t>]/202</w:t>
      </w:r>
      <w:r>
        <w:rPr>
          <w:b/>
        </w:rPr>
        <w:t>4</w:t>
      </w:r>
    </w:p>
    <w:p w14:paraId="3C76CF77" w14:textId="77777777" w:rsidR="001A3B98" w:rsidRPr="007C3D04" w:rsidRDefault="001A3B98" w:rsidP="001A3B98">
      <w:pPr>
        <w:spacing w:line="276" w:lineRule="auto"/>
        <w:jc w:val="center"/>
      </w:pPr>
      <w:r w:rsidRPr="007C3D04">
        <w:t>ECLI:AT:202</w:t>
      </w:r>
      <w:r>
        <w:t>4</w:t>
      </w:r>
      <w:r w:rsidRPr="007C3D04">
        <w:t>:[..]</w:t>
      </w:r>
    </w:p>
    <w:p w14:paraId="253C313B" w14:textId="77777777" w:rsidR="001A1EA8" w:rsidRPr="00B077FD" w:rsidRDefault="001A1EA8" w:rsidP="001A1EA8">
      <w:pPr>
        <w:spacing w:line="276" w:lineRule="auto"/>
        <w:jc w:val="center"/>
      </w:pPr>
    </w:p>
    <w:p w14:paraId="113968D9" w14:textId="079BA68B" w:rsidR="001A1EA8" w:rsidRPr="00B077FD" w:rsidRDefault="001A1EA8" w:rsidP="001A1EA8">
      <w:pPr>
        <w:spacing w:line="276" w:lineRule="auto"/>
        <w:ind w:firstLine="720"/>
        <w:jc w:val="both"/>
      </w:pPr>
      <w:r w:rsidRPr="00B077FD">
        <w:t>Senāts šādā sastāvā: senato</w:t>
      </w:r>
      <w:r w:rsidR="00744BB5" w:rsidRPr="00B077FD">
        <w:t xml:space="preserve">rs </w:t>
      </w:r>
      <w:r w:rsidRPr="00B077FD">
        <w:t>referent</w:t>
      </w:r>
      <w:r w:rsidR="00744BB5" w:rsidRPr="00B077FD">
        <w:t>s</w:t>
      </w:r>
      <w:r w:rsidRPr="00B077FD">
        <w:t xml:space="preserve"> </w:t>
      </w:r>
      <w:r w:rsidR="00744BB5" w:rsidRPr="00B077FD">
        <w:t>Ermīns Darapoļskis</w:t>
      </w:r>
      <w:r w:rsidRPr="00B077FD">
        <w:t>, senator</w:t>
      </w:r>
      <w:r w:rsidR="00EE3EC8" w:rsidRPr="00B077FD">
        <w:t>es Līvija Slica</w:t>
      </w:r>
      <w:r w:rsidR="00360848">
        <w:t xml:space="preserve"> un Rudīte Vīduša</w:t>
      </w:r>
    </w:p>
    <w:p w14:paraId="6277FA16" w14:textId="77777777" w:rsidR="001A1EA8" w:rsidRPr="00B077FD" w:rsidRDefault="001A1EA8" w:rsidP="001A1EA8">
      <w:pPr>
        <w:spacing w:line="276" w:lineRule="auto"/>
        <w:ind w:firstLine="567"/>
        <w:jc w:val="both"/>
      </w:pPr>
    </w:p>
    <w:p w14:paraId="2FC2131B" w14:textId="6B3142E1" w:rsidR="001A1EA8" w:rsidRPr="00B077FD" w:rsidRDefault="001A1EA8" w:rsidP="00EE3EC8">
      <w:pPr>
        <w:spacing w:line="276" w:lineRule="auto"/>
        <w:ind w:firstLine="720"/>
        <w:jc w:val="both"/>
        <w:rPr>
          <w:color w:val="000000"/>
          <w:shd w:val="clear" w:color="auto" w:fill="FFFFFF"/>
        </w:rPr>
      </w:pPr>
      <w:r w:rsidRPr="00B077FD">
        <w:t xml:space="preserve">rakstveida procesā izskatīja administratīvo lietu, kas ierosināta, pamatojoties uz </w:t>
      </w:r>
      <w:r w:rsidR="001A3B98" w:rsidRPr="0036019F">
        <w:rPr>
          <w:rFonts w:asciiTheme="majorBidi" w:hAnsiTheme="majorBidi" w:cstheme="majorBidi"/>
          <w:i/>
          <w:iCs/>
        </w:rPr>
        <w:t>[pers. A]</w:t>
      </w:r>
      <w:r w:rsidR="001A3B98">
        <w:rPr>
          <w:rFonts w:asciiTheme="majorBidi" w:hAnsiTheme="majorBidi" w:cstheme="majorBidi"/>
          <w:i/>
          <w:iCs/>
        </w:rPr>
        <w:t xml:space="preserve"> </w:t>
      </w:r>
      <w:r w:rsidRPr="00B077FD">
        <w:t xml:space="preserve">pieteikumu par </w:t>
      </w:r>
      <w:r w:rsidR="00EE3EC8" w:rsidRPr="00B077FD">
        <w:rPr>
          <w:rFonts w:asciiTheme="majorBidi" w:hAnsiTheme="majorBidi" w:cstheme="majorBidi"/>
        </w:rPr>
        <w:t xml:space="preserve">Finanšu un kapitāla tirgus komisijas padomes 2021.gada </w:t>
      </w:r>
      <w:r w:rsidR="001A3B98">
        <w:rPr>
          <w:rFonts w:asciiTheme="majorBidi" w:hAnsiTheme="majorBidi" w:cstheme="majorBidi"/>
        </w:rPr>
        <w:t xml:space="preserve">[..] </w:t>
      </w:r>
      <w:r w:rsidR="00EE3EC8" w:rsidRPr="00B077FD">
        <w:rPr>
          <w:rFonts w:asciiTheme="majorBidi" w:hAnsiTheme="majorBidi" w:cstheme="majorBidi"/>
        </w:rPr>
        <w:t>lēmuma Nr.</w:t>
      </w:r>
      <w:r w:rsidR="00844A76">
        <w:rPr>
          <w:rFonts w:asciiTheme="majorBidi" w:hAnsiTheme="majorBidi" w:cstheme="majorBidi"/>
        </w:rPr>
        <w:t> </w:t>
      </w:r>
      <w:r w:rsidR="001A3B98">
        <w:rPr>
          <w:rFonts w:asciiTheme="majorBidi" w:hAnsiTheme="majorBidi" w:cstheme="majorBidi"/>
        </w:rPr>
        <w:t>[..]</w:t>
      </w:r>
      <w:r w:rsidR="00EE3EC8" w:rsidRPr="00B077FD">
        <w:rPr>
          <w:rFonts w:asciiTheme="majorBidi" w:hAnsiTheme="majorBidi" w:cstheme="majorBidi"/>
        </w:rPr>
        <w:t xml:space="preserve"> (prot. Nr.</w:t>
      </w:r>
      <w:r w:rsidR="000A3DB9">
        <w:rPr>
          <w:rFonts w:asciiTheme="majorBidi" w:hAnsiTheme="majorBidi" w:cstheme="majorBidi"/>
        </w:rPr>
        <w:t> </w:t>
      </w:r>
      <w:r w:rsidR="001A3B98">
        <w:rPr>
          <w:rFonts w:asciiTheme="majorBidi" w:hAnsiTheme="majorBidi" w:cstheme="majorBidi"/>
        </w:rPr>
        <w:t>[..]</w:t>
      </w:r>
      <w:r w:rsidR="00EE3EC8" w:rsidRPr="00B077FD">
        <w:rPr>
          <w:rFonts w:asciiTheme="majorBidi" w:hAnsiTheme="majorBidi" w:cstheme="majorBidi"/>
        </w:rPr>
        <w:t xml:space="preserve"> 3.punkta </w:t>
      </w:r>
      <w:r w:rsidRPr="00B077FD">
        <w:rPr>
          <w:color w:val="000000"/>
          <w:shd w:val="clear" w:color="auto" w:fill="FFFFFF"/>
        </w:rPr>
        <w:t xml:space="preserve">atcelšanu, sakarā ar </w:t>
      </w:r>
      <w:r w:rsidR="00EE3EC8" w:rsidRPr="00B077FD">
        <w:rPr>
          <w:color w:val="000000"/>
          <w:shd w:val="clear" w:color="auto" w:fill="FFFFFF"/>
        </w:rPr>
        <w:t>Latvijas Bankas</w:t>
      </w:r>
      <w:r w:rsidRPr="00B077FD">
        <w:rPr>
          <w:color w:val="000000"/>
          <w:shd w:val="clear" w:color="auto" w:fill="FFFFFF"/>
        </w:rPr>
        <w:t xml:space="preserve"> kasācijas sūdzību par Administratīvās apgabaltiesas 202</w:t>
      </w:r>
      <w:r w:rsidR="00EE3EC8" w:rsidRPr="00B077FD">
        <w:rPr>
          <w:color w:val="000000"/>
          <w:shd w:val="clear" w:color="auto" w:fill="FFFFFF"/>
        </w:rPr>
        <w:t>3</w:t>
      </w:r>
      <w:r w:rsidRPr="00B077FD">
        <w:rPr>
          <w:color w:val="000000"/>
          <w:shd w:val="clear" w:color="auto" w:fill="FFFFFF"/>
        </w:rPr>
        <w:t xml:space="preserve">.gada </w:t>
      </w:r>
      <w:r w:rsidR="001A3B98">
        <w:rPr>
          <w:color w:val="000000"/>
          <w:shd w:val="clear" w:color="auto" w:fill="FFFFFF"/>
        </w:rPr>
        <w:t xml:space="preserve">[..] </w:t>
      </w:r>
      <w:r w:rsidRPr="00B077FD">
        <w:rPr>
          <w:color w:val="000000"/>
          <w:shd w:val="clear" w:color="auto" w:fill="FFFFFF"/>
        </w:rPr>
        <w:t>spriedumu</w:t>
      </w:r>
      <w:r w:rsidR="00EE3EC8" w:rsidRPr="00B077FD">
        <w:rPr>
          <w:color w:val="000000"/>
          <w:shd w:val="clear" w:color="auto" w:fill="FFFFFF"/>
        </w:rPr>
        <w:t xml:space="preserve"> daļā</w:t>
      </w:r>
      <w:r w:rsidRPr="00B077FD">
        <w:rPr>
          <w:color w:val="000000"/>
          <w:shd w:val="clear" w:color="auto" w:fill="FFFFFF"/>
        </w:rPr>
        <w:t>.</w:t>
      </w:r>
    </w:p>
    <w:p w14:paraId="4363C8FA" w14:textId="77777777" w:rsidR="001A1EA8" w:rsidRPr="00B077FD" w:rsidRDefault="001A1EA8" w:rsidP="001A1EA8">
      <w:pPr>
        <w:spacing w:line="276" w:lineRule="auto"/>
        <w:ind w:firstLine="567"/>
        <w:jc w:val="both"/>
      </w:pPr>
    </w:p>
    <w:p w14:paraId="6621F450" w14:textId="77777777" w:rsidR="001A1EA8" w:rsidRPr="00B077FD" w:rsidRDefault="001A1EA8" w:rsidP="001A1EA8">
      <w:pPr>
        <w:pStyle w:val="ATvirsraksts"/>
      </w:pPr>
      <w:r w:rsidRPr="00B077FD">
        <w:t>Aprakstošā daļa</w:t>
      </w:r>
    </w:p>
    <w:p w14:paraId="3FA68491" w14:textId="77777777" w:rsidR="001A1EA8" w:rsidRPr="00B077FD" w:rsidRDefault="001A1EA8" w:rsidP="001A1EA8">
      <w:pPr>
        <w:spacing w:line="276" w:lineRule="auto"/>
        <w:ind w:firstLine="567"/>
        <w:jc w:val="both"/>
      </w:pPr>
    </w:p>
    <w:p w14:paraId="23C0E219" w14:textId="60C7383D" w:rsidR="0040454B" w:rsidRDefault="001A1EA8" w:rsidP="0040454B">
      <w:pPr>
        <w:shd w:val="clear" w:color="auto" w:fill="FFFFFF"/>
        <w:spacing w:line="276" w:lineRule="auto"/>
        <w:ind w:firstLine="720"/>
        <w:jc w:val="both"/>
        <w:rPr>
          <w:rFonts w:asciiTheme="majorBidi" w:hAnsiTheme="majorBidi" w:cstheme="majorBidi"/>
        </w:rPr>
      </w:pPr>
      <w:r w:rsidRPr="00B077FD">
        <w:rPr>
          <w:color w:val="000000"/>
        </w:rPr>
        <w:t>[1]</w:t>
      </w:r>
      <w:r w:rsidR="00EE3EC8" w:rsidRPr="00B077FD">
        <w:rPr>
          <w:color w:val="000000"/>
        </w:rPr>
        <w:t> </w:t>
      </w:r>
      <w:r w:rsidR="00EE3EC8" w:rsidRPr="00B077FD">
        <w:rPr>
          <w:rFonts w:asciiTheme="majorBidi" w:hAnsiTheme="majorBidi" w:cstheme="majorBidi"/>
        </w:rPr>
        <w:t xml:space="preserve">Finanšu un kapitāla tirgus komisija (turpmāk – komisija) 2021.gada </w:t>
      </w:r>
      <w:r w:rsidR="0036019F">
        <w:rPr>
          <w:rFonts w:asciiTheme="majorBidi" w:hAnsiTheme="majorBidi" w:cstheme="majorBidi"/>
        </w:rPr>
        <w:t xml:space="preserve">[..] </w:t>
      </w:r>
      <w:r w:rsidR="0040454B">
        <w:t xml:space="preserve">uzsāka administratīvo procesu sakarā ar </w:t>
      </w:r>
      <w:r w:rsidR="0040454B" w:rsidRPr="00B077FD">
        <w:rPr>
          <w:rFonts w:asciiTheme="majorBidi" w:hAnsiTheme="majorBidi" w:cstheme="majorBidi"/>
        </w:rPr>
        <w:t>konstatētajiem</w:t>
      </w:r>
      <w:r w:rsidR="0040454B">
        <w:rPr>
          <w:rFonts w:asciiTheme="majorBidi" w:hAnsiTheme="majorBidi" w:cstheme="majorBidi"/>
        </w:rPr>
        <w:t xml:space="preserve"> </w:t>
      </w:r>
      <w:r w:rsidR="0040454B" w:rsidRPr="00B077FD">
        <w:rPr>
          <w:rFonts w:asciiTheme="majorBidi" w:hAnsiTheme="majorBidi" w:cstheme="majorBidi"/>
        </w:rPr>
        <w:t>AS „</w:t>
      </w:r>
      <w:r w:rsidR="0036019F">
        <w:rPr>
          <w:rFonts w:asciiTheme="majorBidi" w:hAnsiTheme="majorBidi" w:cstheme="majorBidi"/>
        </w:rPr>
        <w:t>[Bankas nosaukums]</w:t>
      </w:r>
      <w:r w:rsidR="0040454B" w:rsidRPr="00B077FD">
        <w:rPr>
          <w:rFonts w:asciiTheme="majorBidi" w:hAnsiTheme="majorBidi" w:cstheme="majorBidi"/>
        </w:rPr>
        <w:t>” (turpmāk – banka) kapitāla prasību pārkāpumiem.</w:t>
      </w:r>
    </w:p>
    <w:p w14:paraId="603F76A7" w14:textId="32CF3DD5" w:rsidR="005A209B" w:rsidRPr="0040454B" w:rsidRDefault="00D034B8" w:rsidP="0040454B">
      <w:pPr>
        <w:shd w:val="clear" w:color="auto" w:fill="FFFFFF"/>
        <w:spacing w:line="276" w:lineRule="auto"/>
        <w:ind w:firstLine="720"/>
        <w:jc w:val="both"/>
        <w:rPr>
          <w:rFonts w:asciiTheme="majorBidi" w:hAnsiTheme="majorBidi" w:cstheme="majorBidi"/>
        </w:rPr>
      </w:pPr>
      <w:r>
        <w:rPr>
          <w:rFonts w:asciiTheme="majorBidi" w:hAnsiTheme="majorBidi" w:cstheme="majorBidi"/>
        </w:rPr>
        <w:t>K</w:t>
      </w:r>
      <w:r w:rsidR="00A94CF2" w:rsidRPr="00B077FD">
        <w:rPr>
          <w:rFonts w:asciiTheme="majorBidi" w:hAnsiTheme="majorBidi" w:cstheme="majorBidi"/>
        </w:rPr>
        <w:t xml:space="preserve">omisijas padomes 2021.gada </w:t>
      </w:r>
      <w:r w:rsidR="0036019F">
        <w:rPr>
          <w:rFonts w:asciiTheme="majorBidi" w:hAnsiTheme="majorBidi" w:cstheme="majorBidi"/>
        </w:rPr>
        <w:t>[..]</w:t>
      </w:r>
      <w:r w:rsidR="00A94CF2" w:rsidRPr="00B077FD">
        <w:rPr>
          <w:rFonts w:asciiTheme="majorBidi" w:hAnsiTheme="majorBidi" w:cstheme="majorBidi"/>
        </w:rPr>
        <w:t xml:space="preserve"> lēmuma Nr.</w:t>
      </w:r>
      <w:r>
        <w:rPr>
          <w:rFonts w:asciiTheme="majorBidi" w:hAnsiTheme="majorBidi" w:cstheme="majorBidi"/>
        </w:rPr>
        <w:t> </w:t>
      </w:r>
      <w:r w:rsidR="0036019F">
        <w:rPr>
          <w:rFonts w:asciiTheme="majorBidi" w:hAnsiTheme="majorBidi" w:cstheme="majorBidi"/>
        </w:rPr>
        <w:t>[..]</w:t>
      </w:r>
      <w:r w:rsidR="00A94CF2" w:rsidRPr="00B077FD">
        <w:rPr>
          <w:rFonts w:asciiTheme="majorBidi" w:hAnsiTheme="majorBidi" w:cstheme="majorBidi"/>
        </w:rPr>
        <w:t xml:space="preserve"> </w:t>
      </w:r>
      <w:r>
        <w:rPr>
          <w:rFonts w:asciiTheme="majorBidi" w:hAnsiTheme="majorBidi" w:cstheme="majorBidi"/>
        </w:rPr>
        <w:t>(</w:t>
      </w:r>
      <w:r w:rsidR="00A94CF2" w:rsidRPr="00B077FD">
        <w:rPr>
          <w:rFonts w:asciiTheme="majorBidi" w:hAnsiTheme="majorBidi" w:cstheme="majorBidi"/>
        </w:rPr>
        <w:t>turpmāk –</w:t>
      </w:r>
      <w:r w:rsidR="000C5F8E">
        <w:rPr>
          <w:rFonts w:asciiTheme="majorBidi" w:hAnsiTheme="majorBidi" w:cstheme="majorBidi"/>
        </w:rPr>
        <w:t xml:space="preserve"> </w:t>
      </w:r>
      <w:r w:rsidR="00A94CF2" w:rsidRPr="00B077FD">
        <w:rPr>
          <w:rFonts w:asciiTheme="majorBidi" w:hAnsiTheme="majorBidi" w:cstheme="majorBidi"/>
        </w:rPr>
        <w:t xml:space="preserve">pārsūdzētais lēmums) </w:t>
      </w:r>
      <w:r w:rsidR="00065DF2" w:rsidRPr="00B077FD">
        <w:t xml:space="preserve">3.punktā attiecībā uz bankas klienta – pieteicēja </w:t>
      </w:r>
      <w:r w:rsidR="0036019F">
        <w:rPr>
          <w:rFonts w:asciiTheme="majorBidi" w:hAnsiTheme="majorBidi" w:cstheme="majorBidi"/>
          <w:i/>
          <w:iCs/>
        </w:rPr>
        <w:t xml:space="preserve">[pers. A] </w:t>
      </w:r>
      <w:r w:rsidR="00FA7CD8">
        <w:rPr>
          <w:rFonts w:asciiTheme="majorBidi" w:hAnsiTheme="majorBidi" w:cstheme="majorBidi"/>
          <w:i/>
          <w:iCs/>
        </w:rPr>
        <w:t xml:space="preserve">– </w:t>
      </w:r>
      <w:r w:rsidR="00065DF2" w:rsidRPr="00B077FD">
        <w:t xml:space="preserve">subordinētā noguldījuma līdzekļiem bankai noteikts aizliegums: izmaksāt tos līdz brīdim, kad tiks īstenoti </w:t>
      </w:r>
      <w:r w:rsidR="00FA0B6E">
        <w:t xml:space="preserve">lēmuma </w:t>
      </w:r>
      <w:r w:rsidR="00065DF2" w:rsidRPr="00B077FD">
        <w:t xml:space="preserve">1.punktā minētie kapitāla stiprināšanas pasākumi (3.1.apakšpunkts); </w:t>
      </w:r>
      <w:r w:rsidR="00065DF2" w:rsidRPr="00B077FD">
        <w:lastRenderedPageBreak/>
        <w:t>izmantot tos darījumos ar banku un bankas aktīviem līdz brīdim, kad banka būs pārliecinājusies par līdzekļu izcelsmi, iesniegusi līdzekļu izcelsmi pamatojošo informāciju komisijai un attiecīgi saskaņojusi šos darījumus ar komisiju (3.2.apakšpunkts).</w:t>
      </w:r>
    </w:p>
    <w:p w14:paraId="7F1BF323" w14:textId="007B4ACA" w:rsidR="001A1EA8" w:rsidRPr="005A209B" w:rsidRDefault="005A209B" w:rsidP="005A209B">
      <w:pPr>
        <w:shd w:val="clear" w:color="auto" w:fill="FFFFFF"/>
        <w:spacing w:line="276" w:lineRule="auto"/>
        <w:ind w:firstLine="720"/>
        <w:jc w:val="both"/>
      </w:pPr>
      <w:r>
        <w:t>N</w:t>
      </w:r>
      <w:r w:rsidR="00E67D31" w:rsidRPr="00B077FD">
        <w:rPr>
          <w:rFonts w:asciiTheme="majorBidi" w:hAnsiTheme="majorBidi" w:cstheme="majorBidi"/>
        </w:rPr>
        <w:t>epiekrītot pārsūdzētajam lēmumam, pieteicējs vērsās tiesā ar pieteikumu par tā atcelšanu.</w:t>
      </w:r>
    </w:p>
    <w:p w14:paraId="0FDA7B39" w14:textId="77777777" w:rsidR="00E67D31" w:rsidRPr="00B077FD" w:rsidRDefault="00E67D31" w:rsidP="001A1EA8">
      <w:pPr>
        <w:shd w:val="clear" w:color="auto" w:fill="FFFFFF"/>
        <w:spacing w:line="276" w:lineRule="auto"/>
        <w:ind w:firstLine="709"/>
        <w:jc w:val="both"/>
        <w:rPr>
          <w:color w:val="000000"/>
        </w:rPr>
      </w:pPr>
    </w:p>
    <w:p w14:paraId="4C52B1FF" w14:textId="79E1E0A0" w:rsidR="00EE3EC8" w:rsidRPr="00B077FD" w:rsidRDefault="001A1EA8" w:rsidP="00BD4D60">
      <w:pPr>
        <w:shd w:val="clear" w:color="auto" w:fill="FFFFFF"/>
        <w:spacing w:line="276" w:lineRule="auto"/>
        <w:ind w:firstLine="720"/>
        <w:jc w:val="both"/>
        <w:rPr>
          <w:color w:val="000000"/>
          <w:shd w:val="clear" w:color="auto" w:fill="FFFFFF"/>
        </w:rPr>
      </w:pPr>
      <w:r w:rsidRPr="00B077FD">
        <w:rPr>
          <w:color w:val="000000"/>
        </w:rPr>
        <w:t>[</w:t>
      </w:r>
      <w:r w:rsidR="005A209B">
        <w:rPr>
          <w:color w:val="000000"/>
        </w:rPr>
        <w:t>2</w:t>
      </w:r>
      <w:r w:rsidRPr="00B077FD">
        <w:rPr>
          <w:color w:val="000000"/>
        </w:rPr>
        <w:t>] </w:t>
      </w:r>
      <w:r w:rsidRPr="00B077FD">
        <w:rPr>
          <w:color w:val="000000"/>
          <w:shd w:val="clear" w:color="auto" w:fill="FFFFFF"/>
        </w:rPr>
        <w:t>Administratīvā apgabaltiesa ar 202</w:t>
      </w:r>
      <w:r w:rsidR="00E67D31" w:rsidRPr="00B077FD">
        <w:rPr>
          <w:color w:val="000000"/>
          <w:shd w:val="clear" w:color="auto" w:fill="FFFFFF"/>
        </w:rPr>
        <w:t>3</w:t>
      </w:r>
      <w:r w:rsidRPr="00B077FD">
        <w:rPr>
          <w:color w:val="000000"/>
          <w:shd w:val="clear" w:color="auto" w:fill="FFFFFF"/>
        </w:rPr>
        <w:t xml:space="preserve">.gada </w:t>
      </w:r>
      <w:r w:rsidR="0036019F">
        <w:rPr>
          <w:color w:val="000000"/>
          <w:shd w:val="clear" w:color="auto" w:fill="FFFFFF"/>
        </w:rPr>
        <w:t xml:space="preserve">[..] </w:t>
      </w:r>
      <w:r w:rsidRPr="00B077FD">
        <w:rPr>
          <w:color w:val="000000"/>
          <w:shd w:val="clear" w:color="auto" w:fill="FFFFFF"/>
        </w:rPr>
        <w:t>spriedumu apmierināja pieteicēja pieteikumu</w:t>
      </w:r>
      <w:r w:rsidR="00EE3EC8" w:rsidRPr="00B077FD">
        <w:rPr>
          <w:color w:val="000000"/>
          <w:shd w:val="clear" w:color="auto" w:fill="FFFFFF"/>
        </w:rPr>
        <w:t xml:space="preserve"> daļā</w:t>
      </w:r>
      <w:r w:rsidRPr="00B077FD">
        <w:rPr>
          <w:color w:val="000000"/>
          <w:shd w:val="clear" w:color="auto" w:fill="FFFFFF"/>
        </w:rPr>
        <w:t xml:space="preserve"> </w:t>
      </w:r>
      <w:r w:rsidR="00BD4D60" w:rsidRPr="00B077FD">
        <w:rPr>
          <w:color w:val="000000"/>
          <w:shd w:val="clear" w:color="auto" w:fill="FFFFFF"/>
        </w:rPr>
        <w:t xml:space="preserve">un atzina par prettiesisku pārsūdzētā lēmuma 3.1.apakšpunktu. </w:t>
      </w:r>
      <w:r w:rsidR="00BD4D60" w:rsidRPr="00B077FD">
        <w:rPr>
          <w:rFonts w:asciiTheme="majorBidi" w:hAnsiTheme="majorBidi" w:cstheme="majorBidi"/>
        </w:rPr>
        <w:t>Pārējā daļā pieteikums noraidīts.</w:t>
      </w:r>
    </w:p>
    <w:p w14:paraId="6E4B846B" w14:textId="44471865" w:rsidR="001A1EA8" w:rsidRPr="00B077FD" w:rsidRDefault="005A209B" w:rsidP="001A1EA8">
      <w:pPr>
        <w:shd w:val="clear" w:color="auto" w:fill="FFFFFF"/>
        <w:spacing w:line="276" w:lineRule="auto"/>
        <w:ind w:firstLine="720"/>
        <w:jc w:val="both"/>
        <w:rPr>
          <w:color w:val="000000"/>
          <w:shd w:val="clear" w:color="auto" w:fill="FFFFFF"/>
        </w:rPr>
      </w:pPr>
      <w:r>
        <w:rPr>
          <w:color w:val="000000"/>
          <w:shd w:val="clear" w:color="auto" w:fill="FFFFFF"/>
        </w:rPr>
        <w:t>Sprieduma pamatojums ir turpmāk minētie apsvērumi.</w:t>
      </w:r>
    </w:p>
    <w:p w14:paraId="7D6B5D09" w14:textId="3B60E8E4" w:rsidR="006C1543" w:rsidRPr="00B077FD" w:rsidRDefault="00F830D0" w:rsidP="006C1543">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sidRPr="00B077FD">
        <w:rPr>
          <w:color w:val="000000"/>
          <w:shd w:val="clear" w:color="auto" w:fill="FFFFFF"/>
          <w:lang w:val="lv-LV"/>
        </w:rPr>
        <w:t>[</w:t>
      </w:r>
      <w:r w:rsidR="005A209B">
        <w:rPr>
          <w:color w:val="000000"/>
          <w:shd w:val="clear" w:color="auto" w:fill="FFFFFF"/>
          <w:lang w:val="lv-LV"/>
        </w:rPr>
        <w:t>2</w:t>
      </w:r>
      <w:r w:rsidRPr="00B077FD">
        <w:rPr>
          <w:color w:val="000000"/>
          <w:shd w:val="clear" w:color="auto" w:fill="FFFFFF"/>
          <w:lang w:val="lv-LV"/>
        </w:rPr>
        <w:t>.1]</w:t>
      </w:r>
      <w:r w:rsidR="00BD4D60" w:rsidRPr="00B077FD">
        <w:rPr>
          <w:color w:val="000000"/>
          <w:shd w:val="clear" w:color="auto" w:fill="FFFFFF"/>
          <w:lang w:val="lv-LV"/>
        </w:rPr>
        <w:t> </w:t>
      </w:r>
      <w:r w:rsidR="00C73450">
        <w:rPr>
          <w:rFonts w:asciiTheme="majorBidi" w:hAnsiTheme="majorBidi" w:cstheme="majorBidi"/>
          <w:lang w:val="lv-LV"/>
        </w:rPr>
        <w:t>P</w:t>
      </w:r>
      <w:r w:rsidR="00BD4D60" w:rsidRPr="00B077FD">
        <w:rPr>
          <w:rFonts w:asciiTheme="majorBidi" w:hAnsiTheme="majorBidi" w:cstheme="majorBidi"/>
          <w:lang w:val="lv-LV"/>
        </w:rPr>
        <w:t xml:space="preserve">ārsūdzētā lēmuma izpilde faktiski un tiesiski vairs nav iespējama, jo banka vairs nav kredītiestāde </w:t>
      </w:r>
      <w:r w:rsidR="007D069D">
        <w:rPr>
          <w:rFonts w:asciiTheme="majorBidi" w:hAnsiTheme="majorBidi" w:cstheme="majorBidi"/>
          <w:lang w:val="lv-LV"/>
        </w:rPr>
        <w:t xml:space="preserve">– tās </w:t>
      </w:r>
      <w:r w:rsidR="00BD4D60" w:rsidRPr="00B077FD">
        <w:rPr>
          <w:rFonts w:asciiTheme="majorBidi" w:hAnsiTheme="majorBidi" w:cstheme="majorBidi"/>
          <w:lang w:val="lv-LV"/>
        </w:rPr>
        <w:t xml:space="preserve">licence kredītiestādes darbībai </w:t>
      </w:r>
      <w:r w:rsidR="00C679C4">
        <w:rPr>
          <w:rFonts w:asciiTheme="majorBidi" w:hAnsiTheme="majorBidi" w:cstheme="majorBidi"/>
          <w:lang w:val="lv-LV"/>
        </w:rPr>
        <w:t xml:space="preserve">ir </w:t>
      </w:r>
      <w:r w:rsidR="00BD4D60" w:rsidRPr="00B077FD">
        <w:rPr>
          <w:rFonts w:asciiTheme="majorBidi" w:hAnsiTheme="majorBidi" w:cstheme="majorBidi"/>
          <w:lang w:val="lv-LV"/>
        </w:rPr>
        <w:t>zaudēj</w:t>
      </w:r>
      <w:r w:rsidR="00C679C4">
        <w:rPr>
          <w:rFonts w:asciiTheme="majorBidi" w:hAnsiTheme="majorBidi" w:cstheme="majorBidi"/>
          <w:lang w:val="lv-LV"/>
        </w:rPr>
        <w:t>usi</w:t>
      </w:r>
      <w:r w:rsidR="00BD4D60" w:rsidRPr="00B077FD">
        <w:rPr>
          <w:rFonts w:asciiTheme="majorBidi" w:hAnsiTheme="majorBidi" w:cstheme="majorBidi"/>
          <w:lang w:val="lv-LV"/>
        </w:rPr>
        <w:t xml:space="preserve"> spēku</w:t>
      </w:r>
      <w:r w:rsidR="00C679C4">
        <w:rPr>
          <w:rFonts w:asciiTheme="majorBidi" w:hAnsiTheme="majorBidi" w:cstheme="majorBidi"/>
          <w:lang w:val="lv-LV"/>
        </w:rPr>
        <w:t xml:space="preserve">. </w:t>
      </w:r>
      <w:r w:rsidR="00BD4D60" w:rsidRPr="00B077FD">
        <w:rPr>
          <w:rFonts w:asciiTheme="majorBidi" w:hAnsiTheme="majorBidi" w:cstheme="majorBidi"/>
          <w:lang w:val="lv-LV"/>
        </w:rPr>
        <w:t>Tāpēc pieteikuma priekšmet</w:t>
      </w:r>
      <w:r w:rsidR="00C265A8">
        <w:rPr>
          <w:rFonts w:asciiTheme="majorBidi" w:hAnsiTheme="majorBidi" w:cstheme="majorBidi"/>
          <w:lang w:val="lv-LV"/>
        </w:rPr>
        <w:t xml:space="preserve">s ir grozāms – tas ir </w:t>
      </w:r>
      <w:r w:rsidR="00BD4D60" w:rsidRPr="00B077FD">
        <w:rPr>
          <w:rFonts w:asciiTheme="majorBidi" w:hAnsiTheme="majorBidi" w:cstheme="majorBidi"/>
          <w:lang w:val="lv-LV"/>
        </w:rPr>
        <w:t>prasījum</w:t>
      </w:r>
      <w:r w:rsidR="00C265A8">
        <w:rPr>
          <w:rFonts w:asciiTheme="majorBidi" w:hAnsiTheme="majorBidi" w:cstheme="majorBidi"/>
          <w:lang w:val="lv-LV"/>
        </w:rPr>
        <w:t>s</w:t>
      </w:r>
      <w:r w:rsidR="00BD4D60" w:rsidRPr="00B077FD">
        <w:rPr>
          <w:rFonts w:asciiTheme="majorBidi" w:hAnsiTheme="majorBidi" w:cstheme="majorBidi"/>
          <w:lang w:val="lv-LV"/>
        </w:rPr>
        <w:t xml:space="preserve"> par pārsūdzētā lēmuma 3.punkta atzīšanu par prettiesisku.</w:t>
      </w:r>
    </w:p>
    <w:p w14:paraId="3C4F5891" w14:textId="147399FC" w:rsidR="007D069D" w:rsidRDefault="00065DF2" w:rsidP="007D069D">
      <w:pPr>
        <w:pStyle w:val="ListParagraph"/>
        <w:shd w:val="clear" w:color="auto" w:fill="FFFFFF"/>
        <w:spacing w:before="0" w:beforeAutospacing="0" w:after="0" w:afterAutospacing="0" w:line="276" w:lineRule="auto"/>
        <w:ind w:firstLine="720"/>
        <w:jc w:val="both"/>
        <w:rPr>
          <w:lang w:val="lv-LV"/>
        </w:rPr>
      </w:pPr>
      <w:r w:rsidRPr="00B077FD">
        <w:rPr>
          <w:rFonts w:asciiTheme="majorBidi" w:hAnsiTheme="majorBidi" w:cstheme="majorBidi"/>
          <w:lang w:val="lv-LV"/>
        </w:rPr>
        <w:t>[</w:t>
      </w:r>
      <w:r w:rsidR="005A209B">
        <w:rPr>
          <w:rFonts w:asciiTheme="majorBidi" w:hAnsiTheme="majorBidi" w:cstheme="majorBidi"/>
          <w:lang w:val="lv-LV"/>
        </w:rPr>
        <w:t>2</w:t>
      </w:r>
      <w:r w:rsidRPr="00B077FD">
        <w:rPr>
          <w:rFonts w:asciiTheme="majorBidi" w:hAnsiTheme="majorBidi" w:cstheme="majorBidi"/>
          <w:lang w:val="lv-LV"/>
        </w:rPr>
        <w:t>.2] </w:t>
      </w:r>
      <w:r w:rsidRPr="00B077FD">
        <w:rPr>
          <w:lang w:val="lv-LV"/>
        </w:rPr>
        <w:t>No pārsūdzētā lēmuma 3.1.apakšpunktā noteiktā aizlieguma satura izriet, ka tas ir pakārtots pārsūdzētā lēmuma 1.punktā bankai noteiktā pienākuma</w:t>
      </w:r>
      <w:r w:rsidR="000108CC" w:rsidRPr="00B077FD">
        <w:rPr>
          <w:lang w:val="lv-LV"/>
        </w:rPr>
        <w:t xml:space="preserve"> </w:t>
      </w:r>
      <w:r w:rsidRPr="00B077FD">
        <w:rPr>
          <w:lang w:val="lv-LV"/>
        </w:rPr>
        <w:t>iesniegt pierādījumus par bankas kapitāla atjaunošanu līdz tai saistošo prasību līmenim, turpmāku bankas kapitāla stiprināšanas nodrošināšanu un darbības turpmāko attīstību</w:t>
      </w:r>
      <w:r w:rsidR="007D069D">
        <w:rPr>
          <w:lang w:val="lv-LV"/>
        </w:rPr>
        <w:t>.</w:t>
      </w:r>
      <w:r w:rsidR="007D069D">
        <w:rPr>
          <w:rFonts w:asciiTheme="majorBidi" w:hAnsiTheme="majorBidi" w:cstheme="majorBidi"/>
          <w:lang w:val="lv-LV"/>
        </w:rPr>
        <w:t xml:space="preserve"> </w:t>
      </w:r>
      <w:r w:rsidR="003C51F9">
        <w:rPr>
          <w:lang w:val="lv-LV"/>
        </w:rPr>
        <w:t>L</w:t>
      </w:r>
      <w:r w:rsidRPr="00B077FD">
        <w:rPr>
          <w:lang w:val="lv-LV"/>
        </w:rPr>
        <w:t xml:space="preserve">ēmuma 3.1.apakšpunkta tiesiskuma pārbaudes ietvaros iegulst jautājums par to, vai tajā noteiktos un pieteicēju skarošos aizliegumus var padarīt atkarīgus no 1.punktā </w:t>
      </w:r>
      <w:r w:rsidR="007D069D">
        <w:rPr>
          <w:lang w:val="lv-LV"/>
        </w:rPr>
        <w:t xml:space="preserve">bankai </w:t>
      </w:r>
      <w:r w:rsidRPr="00B077FD">
        <w:rPr>
          <w:lang w:val="lv-LV"/>
        </w:rPr>
        <w:t>noteikto pienākumu izpildes, kā arī</w:t>
      </w:r>
      <w:r w:rsidR="00261672">
        <w:rPr>
          <w:lang w:val="lv-LV"/>
        </w:rPr>
        <w:t xml:space="preserve">, </w:t>
      </w:r>
      <w:r w:rsidRPr="00B077FD">
        <w:rPr>
          <w:lang w:val="lv-LV"/>
        </w:rPr>
        <w:t>vai ir pamatoti šādu ierobežojumu noteikt līdz noteiktu pasākumu pabeigšanai</w:t>
      </w:r>
      <w:r w:rsidR="00261672">
        <w:rPr>
          <w:lang w:val="lv-LV"/>
        </w:rPr>
        <w:t xml:space="preserve">. </w:t>
      </w:r>
    </w:p>
    <w:p w14:paraId="3AC38590" w14:textId="4F4D8A9B" w:rsidR="00065DF2" w:rsidRPr="007D069D" w:rsidRDefault="00261672" w:rsidP="007D069D">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Pr>
          <w:lang w:val="lv-LV"/>
        </w:rPr>
        <w:t>Līdz ar to</w:t>
      </w:r>
      <w:r w:rsidR="00B34E91">
        <w:rPr>
          <w:lang w:val="lv-LV"/>
        </w:rPr>
        <w:t xml:space="preserve"> </w:t>
      </w:r>
      <w:r w:rsidR="00065DF2" w:rsidRPr="00B077FD">
        <w:rPr>
          <w:lang w:val="lv-LV"/>
        </w:rPr>
        <w:t>pārbaudāms, vai komisija ir sniegusi pamatojumu tam, lai noteiktu bankai pārsūdzētā lēmuma 1.punktā ietverto pienākumu kopumu, proti, vai ir sniegts pamatojums agrīnās intervences pasākumu piemērošanai.</w:t>
      </w:r>
    </w:p>
    <w:p w14:paraId="48F3778A" w14:textId="0F7254B6" w:rsidR="00A027A8" w:rsidRPr="00004C45" w:rsidRDefault="006C1543" w:rsidP="007E4CF4">
      <w:pPr>
        <w:pStyle w:val="ListParagraph"/>
        <w:shd w:val="clear" w:color="auto" w:fill="FFFFFF"/>
        <w:spacing w:before="0" w:beforeAutospacing="0" w:after="0" w:afterAutospacing="0" w:line="276" w:lineRule="auto"/>
        <w:ind w:firstLine="720"/>
        <w:jc w:val="both"/>
        <w:rPr>
          <w:lang w:val="lv-LV"/>
        </w:rPr>
      </w:pPr>
      <w:r w:rsidRPr="00B077FD">
        <w:rPr>
          <w:lang w:val="lv-LV"/>
        </w:rPr>
        <w:t>[</w:t>
      </w:r>
      <w:r w:rsidR="005A209B">
        <w:rPr>
          <w:lang w:val="lv-LV"/>
        </w:rPr>
        <w:t>2</w:t>
      </w:r>
      <w:r w:rsidRPr="00B077FD">
        <w:rPr>
          <w:lang w:val="lv-LV"/>
        </w:rPr>
        <w:t>.3]</w:t>
      </w:r>
      <w:bookmarkStart w:id="0" w:name="_Hlk183367440"/>
      <w:r w:rsidR="007E4CF4">
        <w:rPr>
          <w:lang w:val="lv-LV"/>
        </w:rPr>
        <w:t> </w:t>
      </w:r>
      <w:r w:rsidR="00C265A8">
        <w:rPr>
          <w:lang w:val="lv-LV"/>
        </w:rPr>
        <w:t>P</w:t>
      </w:r>
      <w:r w:rsidR="004E3124">
        <w:rPr>
          <w:lang w:val="lv-LV"/>
        </w:rPr>
        <w:t>ārsūdzētajā lēmumā</w:t>
      </w:r>
      <w:r w:rsidRPr="00B077FD">
        <w:rPr>
          <w:lang w:val="lv-LV"/>
        </w:rPr>
        <w:t xml:space="preserve"> ir ietvertas skaidras norādes par bankai </w:t>
      </w:r>
      <w:r w:rsidR="007E4CF4">
        <w:rPr>
          <w:lang w:val="lv-LV"/>
        </w:rPr>
        <w:t xml:space="preserve">iepriekš noteiktu un </w:t>
      </w:r>
      <w:r w:rsidRPr="00B077FD">
        <w:rPr>
          <w:lang w:val="lv-LV"/>
        </w:rPr>
        <w:t>sais</w:t>
      </w:r>
      <w:r w:rsidR="007E4CF4">
        <w:rPr>
          <w:lang w:val="lv-LV"/>
        </w:rPr>
        <w:t>toš</w:t>
      </w:r>
      <w:r w:rsidR="007E297B">
        <w:rPr>
          <w:lang w:val="lv-LV"/>
        </w:rPr>
        <w:t>u</w:t>
      </w:r>
      <w:r w:rsidRPr="00B077FD">
        <w:rPr>
          <w:lang w:val="lv-LV"/>
        </w:rPr>
        <w:t xml:space="preserve"> prasību neizpildi un konstatēti apstākļi, kas norāda uz bankas darbības stabilitātes apdraudējumu</w:t>
      </w:r>
      <w:r w:rsidR="00A027A8" w:rsidRPr="00B077FD">
        <w:rPr>
          <w:lang w:val="lv-LV"/>
        </w:rPr>
        <w:t>.</w:t>
      </w:r>
      <w:r w:rsidR="00004C45">
        <w:rPr>
          <w:lang w:val="lv-LV"/>
        </w:rPr>
        <w:t xml:space="preserve"> </w:t>
      </w:r>
      <w:r w:rsidR="000C5F8E">
        <w:rPr>
          <w:lang w:val="lv-LV"/>
        </w:rPr>
        <w:t>K</w:t>
      </w:r>
      <w:r w:rsidR="00A027A8" w:rsidRPr="00B077FD">
        <w:rPr>
          <w:lang w:val="lv-LV"/>
        </w:rPr>
        <w:t>omisija ir norādījusi pamatojumu, kas apstiprina jau esošu</w:t>
      </w:r>
      <w:r w:rsidR="007E4CF4">
        <w:rPr>
          <w:lang w:val="lv-LV"/>
        </w:rPr>
        <w:t xml:space="preserve"> </w:t>
      </w:r>
      <w:r w:rsidR="00A027A8" w:rsidRPr="00B077FD">
        <w:rPr>
          <w:lang w:val="lv-LV"/>
        </w:rPr>
        <w:t xml:space="preserve">prasību </w:t>
      </w:r>
      <w:r w:rsidR="00004C45">
        <w:rPr>
          <w:lang w:val="lv-LV"/>
        </w:rPr>
        <w:t>attiecībā uz pašu kapitāl</w:t>
      </w:r>
      <w:r w:rsidR="007E297B">
        <w:rPr>
          <w:lang w:val="lv-LV"/>
        </w:rPr>
        <w:t>a</w:t>
      </w:r>
      <w:r w:rsidR="00004C45">
        <w:rPr>
          <w:lang w:val="lv-LV"/>
        </w:rPr>
        <w:t xml:space="preserve"> prasību </w:t>
      </w:r>
      <w:r w:rsidR="00A027A8" w:rsidRPr="00B077FD">
        <w:rPr>
          <w:lang w:val="lv-LV"/>
        </w:rPr>
        <w:t>neievērošanu, kā arī</w:t>
      </w:r>
      <w:r w:rsidR="007E297B">
        <w:rPr>
          <w:lang w:val="lv-LV"/>
        </w:rPr>
        <w:t xml:space="preserve"> </w:t>
      </w:r>
      <w:r w:rsidR="00A027A8" w:rsidRPr="00B077FD">
        <w:rPr>
          <w:lang w:val="lv-LV"/>
        </w:rPr>
        <w:t xml:space="preserve">izdarījusi secinājumus par tuvāko </w:t>
      </w:r>
      <w:r w:rsidR="000C5F8E">
        <w:rPr>
          <w:lang w:val="lv-LV"/>
        </w:rPr>
        <w:t>12</w:t>
      </w:r>
      <w:r w:rsidR="00A027A8" w:rsidRPr="00B077FD">
        <w:rPr>
          <w:lang w:val="lv-LV"/>
        </w:rPr>
        <w:t xml:space="preserve"> mēnešu laikā sagaidāmu komisijas izvirzīt</w:t>
      </w:r>
      <w:r w:rsidR="00FA0B6E">
        <w:rPr>
          <w:lang w:val="lv-LV"/>
        </w:rPr>
        <w:t>o</w:t>
      </w:r>
      <w:r w:rsidR="00A027A8" w:rsidRPr="00B077FD">
        <w:rPr>
          <w:lang w:val="lv-LV"/>
        </w:rPr>
        <w:t xml:space="preserve"> prasību neievērošanu.</w:t>
      </w:r>
      <w:r w:rsidR="00004C45">
        <w:rPr>
          <w:lang w:val="lv-LV"/>
        </w:rPr>
        <w:t xml:space="preserve"> </w:t>
      </w:r>
      <w:r w:rsidR="005A209B">
        <w:rPr>
          <w:lang w:val="lv-LV"/>
        </w:rPr>
        <w:t>No</w:t>
      </w:r>
      <w:r w:rsidR="007E4CF4">
        <w:rPr>
          <w:lang w:val="lv-LV"/>
        </w:rPr>
        <w:t xml:space="preserve"> </w:t>
      </w:r>
      <w:r w:rsidR="007E4CF4" w:rsidRPr="00B077FD">
        <w:rPr>
          <w:lang w:val="lv-LV"/>
        </w:rPr>
        <w:t>Kredītiestāžu likuma 113.panta pirm</w:t>
      </w:r>
      <w:r w:rsidR="005A209B">
        <w:rPr>
          <w:lang w:val="lv-LV"/>
        </w:rPr>
        <w:t>ās</w:t>
      </w:r>
      <w:r w:rsidR="007E4CF4" w:rsidRPr="00B077FD">
        <w:rPr>
          <w:lang w:val="lv-LV"/>
        </w:rPr>
        <w:t xml:space="preserve"> daļa</w:t>
      </w:r>
      <w:r w:rsidR="005A209B">
        <w:rPr>
          <w:lang w:val="lv-LV"/>
        </w:rPr>
        <w:t>s</w:t>
      </w:r>
      <w:r w:rsidR="007E4CF4" w:rsidRPr="00B077FD">
        <w:rPr>
          <w:lang w:val="lv-LV"/>
        </w:rPr>
        <w:t xml:space="preserve"> un Kredītiestāžu un ieguldījumu brokeru sabiedrību darbības atjaunošanas un noregulējuma likuma 33.panta pirm</w:t>
      </w:r>
      <w:r w:rsidR="005A209B">
        <w:rPr>
          <w:lang w:val="lv-LV"/>
        </w:rPr>
        <w:t xml:space="preserve">ās </w:t>
      </w:r>
      <w:r w:rsidR="007E4CF4" w:rsidRPr="00B077FD">
        <w:rPr>
          <w:lang w:val="lv-LV"/>
        </w:rPr>
        <w:t>daļ</w:t>
      </w:r>
      <w:r w:rsidR="007E4CF4">
        <w:rPr>
          <w:lang w:val="lv-LV"/>
        </w:rPr>
        <w:t>a</w:t>
      </w:r>
      <w:r w:rsidR="005A209B">
        <w:rPr>
          <w:lang w:val="lv-LV"/>
        </w:rPr>
        <w:t>s izriet, ka</w:t>
      </w:r>
      <w:r w:rsidR="007E4CF4">
        <w:rPr>
          <w:lang w:val="lv-LV"/>
        </w:rPr>
        <w:t xml:space="preserve"> k</w:t>
      </w:r>
      <w:r w:rsidR="007E4CF4" w:rsidRPr="00B077FD">
        <w:rPr>
          <w:lang w:val="lv-LV"/>
        </w:rPr>
        <w:t xml:space="preserve">redītiestādes pašu kapitāla prasību neievērošana </w:t>
      </w:r>
      <w:r w:rsidR="00A027A8" w:rsidRPr="00B077FD">
        <w:rPr>
          <w:lang w:val="lv-LV"/>
        </w:rPr>
        <w:t xml:space="preserve">ir viens no kritērijiem, kura konstatēšanas gadījumā komisija ir pilnvarota piemērot agrīnās intervences pasākumus. </w:t>
      </w:r>
      <w:bookmarkEnd w:id="0"/>
      <w:r w:rsidR="00D526FD">
        <w:rPr>
          <w:lang w:val="lv-LV"/>
        </w:rPr>
        <w:t>K</w:t>
      </w:r>
      <w:r w:rsidR="00A027A8" w:rsidRPr="00B077FD">
        <w:rPr>
          <w:rFonts w:asciiTheme="majorBidi" w:hAnsiTheme="majorBidi" w:cstheme="majorBidi"/>
          <w:lang w:val="lv-LV"/>
        </w:rPr>
        <w:t xml:space="preserve">omisija ir rīkojusies atbilstoši tai piešķirtajai kompetencei un izmantojusi </w:t>
      </w:r>
      <w:r w:rsidR="00A90E2C">
        <w:rPr>
          <w:rFonts w:asciiTheme="majorBidi" w:hAnsiTheme="majorBidi" w:cstheme="majorBidi"/>
          <w:lang w:val="lv-LV"/>
        </w:rPr>
        <w:t>tiesību normās</w:t>
      </w:r>
      <w:r w:rsidR="00A027A8" w:rsidRPr="00B077FD">
        <w:rPr>
          <w:rFonts w:asciiTheme="majorBidi" w:hAnsiTheme="majorBidi" w:cstheme="majorBidi"/>
          <w:lang w:val="lv-LV"/>
        </w:rPr>
        <w:t xml:space="preserve"> paredzētos instrumentus agrīnās intervences pasākumu īstenošanai. </w:t>
      </w:r>
    </w:p>
    <w:p w14:paraId="19B5A5AC" w14:textId="4C3F16C5" w:rsidR="006C1543" w:rsidRPr="00873746" w:rsidRDefault="00004C45" w:rsidP="00873746">
      <w:pPr>
        <w:pStyle w:val="ListParagraph"/>
        <w:shd w:val="clear" w:color="auto" w:fill="FFFFFF"/>
        <w:spacing w:before="0" w:beforeAutospacing="0" w:after="0" w:afterAutospacing="0" w:line="276" w:lineRule="auto"/>
        <w:ind w:firstLine="720"/>
        <w:jc w:val="both"/>
        <w:rPr>
          <w:lang w:val="lv-LV"/>
        </w:rPr>
      </w:pPr>
      <w:r>
        <w:rPr>
          <w:rFonts w:asciiTheme="majorBidi" w:hAnsiTheme="majorBidi" w:cstheme="majorBidi"/>
          <w:lang w:val="lv-LV"/>
        </w:rPr>
        <w:t>[</w:t>
      </w:r>
      <w:r w:rsidR="005A209B">
        <w:rPr>
          <w:rFonts w:asciiTheme="majorBidi" w:hAnsiTheme="majorBidi" w:cstheme="majorBidi"/>
          <w:lang w:val="lv-LV"/>
        </w:rPr>
        <w:t>2</w:t>
      </w:r>
      <w:r>
        <w:rPr>
          <w:rFonts w:asciiTheme="majorBidi" w:hAnsiTheme="majorBidi" w:cstheme="majorBidi"/>
          <w:lang w:val="lv-LV"/>
        </w:rPr>
        <w:t>.4]</w:t>
      </w:r>
      <w:r w:rsidR="00873746">
        <w:rPr>
          <w:rFonts w:asciiTheme="majorBidi" w:hAnsiTheme="majorBidi" w:cstheme="majorBidi"/>
          <w:lang w:val="lv-LV"/>
        </w:rPr>
        <w:t> </w:t>
      </w:r>
      <w:r w:rsidR="00A027A8" w:rsidRPr="00B077FD">
        <w:rPr>
          <w:lang w:val="lv-LV"/>
        </w:rPr>
        <w:t xml:space="preserve">Bankai noteikts aizliegums gan izmaksāt pieteicējam tā subordinētā noguldījuma līdzekļus, gan izmantot tos darījumos ar banku. Katrs no šiem ierobežojumiem ir saistīts ar kāda cita priekšnoteikuma izpildi – līdzekļu izmaksas pieteicējam aizlieguma atcelšana ir saistīta ar bankai noteiktā pienākuma par pašu kapitāla stiprināšanu izpildi, bet šo līdzekļu izmantošana darījumos ar banku ir saistīta ar to izcelsmes pārbaudi. Tas norāda uz divu atsevišķu priekšnoteikumu ievērošanas nepieciešamību, lai atkristu pieteicējam netieši noteiktie ierobežojumi rīkoties ar </w:t>
      </w:r>
      <w:r w:rsidR="00A027A8" w:rsidRPr="00B077FD">
        <w:rPr>
          <w:lang w:val="lv-LV"/>
        </w:rPr>
        <w:lastRenderedPageBreak/>
        <w:t>subordinētā noguldījuma līdzekļiem. Tomēr</w:t>
      </w:r>
      <w:r w:rsidR="002E7B2E">
        <w:rPr>
          <w:lang w:val="lv-LV"/>
        </w:rPr>
        <w:t xml:space="preserve"> </w:t>
      </w:r>
      <w:r w:rsidR="00A027A8" w:rsidRPr="00B077FD">
        <w:rPr>
          <w:lang w:val="lv-LV"/>
        </w:rPr>
        <w:t xml:space="preserve">šie ierobežojošie nosacījumi nav aplūkojami atrauti, jo attiecas uz vienu un to pašu subordinēto noguldījumu un komisijas vērtējumu par šo pieteicēja </w:t>
      </w:r>
      <w:r w:rsidR="00A027A8" w:rsidRPr="00B077FD">
        <w:rPr>
          <w:rFonts w:asciiTheme="majorBidi" w:hAnsiTheme="majorBidi" w:cstheme="majorBidi"/>
          <w:lang w:val="lv-LV"/>
        </w:rPr>
        <w:t>līdzekļu tiesisko dabu.</w:t>
      </w:r>
    </w:p>
    <w:p w14:paraId="491FBA61" w14:textId="69F12754" w:rsidR="00A027A8" w:rsidRPr="005020C0" w:rsidRDefault="002E7B2E" w:rsidP="00B172EA">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Pr>
          <w:lang w:val="lv-LV"/>
        </w:rPr>
        <w:t>No pārsūdzētā lēmuma</w:t>
      </w:r>
      <w:r w:rsidR="00A027A8" w:rsidRPr="00B077FD">
        <w:rPr>
          <w:lang w:val="lv-LV"/>
        </w:rPr>
        <w:t xml:space="preserve"> izriet, ka komisija aizliegumu izmantot subordinētā noguldījuma līdzekļus darījumos ar banku noteica </w:t>
      </w:r>
      <w:r w:rsidR="00B172EA">
        <w:rPr>
          <w:lang w:val="lv-LV"/>
        </w:rPr>
        <w:t xml:space="preserve">šo </w:t>
      </w:r>
      <w:r w:rsidR="00A027A8" w:rsidRPr="00B077FD">
        <w:rPr>
          <w:lang w:val="lv-LV"/>
        </w:rPr>
        <w:t>līdzekļu nenoskaidrotās un, iespējams, noziedzīgās izcelsmes dēļ, lai novērstu iespējamo bankas iesaisti noziedzīgi iegūtu līdzekļu apritē un neradītu reputācijas risku. Tātad tieši līdzekļu nenoskaidrotā izcelsme jeb tiesiskā daba ir tas būtiskais apstāklis, kur</w:t>
      </w:r>
      <w:r w:rsidR="005A209B">
        <w:rPr>
          <w:lang w:val="lv-LV"/>
        </w:rPr>
        <w:t>a</w:t>
      </w:r>
      <w:r w:rsidR="00A027A8" w:rsidRPr="00B077FD">
        <w:rPr>
          <w:lang w:val="lv-LV"/>
        </w:rPr>
        <w:t xml:space="preserve"> dēļ nav pieļaujama </w:t>
      </w:r>
      <w:r w:rsidR="00642EBE">
        <w:rPr>
          <w:rFonts w:asciiTheme="majorBidi" w:hAnsiTheme="majorBidi" w:cstheme="majorBidi"/>
          <w:lang w:val="lv-LV"/>
        </w:rPr>
        <w:t>to</w:t>
      </w:r>
      <w:r w:rsidR="00A027A8" w:rsidRPr="00B077FD">
        <w:rPr>
          <w:rFonts w:asciiTheme="majorBidi" w:hAnsiTheme="majorBidi" w:cstheme="majorBidi"/>
          <w:lang w:val="lv-LV"/>
        </w:rPr>
        <w:t xml:space="preserve"> izmantošana darījumos ar banku.</w:t>
      </w:r>
      <w:r w:rsidR="00B172EA">
        <w:rPr>
          <w:rFonts w:asciiTheme="majorBidi" w:hAnsiTheme="majorBidi" w:cstheme="majorBidi"/>
          <w:lang w:val="lv-LV"/>
        </w:rPr>
        <w:t xml:space="preserve"> </w:t>
      </w:r>
      <w:r w:rsidR="00A027A8" w:rsidRPr="00B077FD">
        <w:rPr>
          <w:rFonts w:asciiTheme="majorBidi" w:hAnsiTheme="majorBidi" w:cstheme="majorBidi"/>
          <w:lang w:val="lv-LV"/>
        </w:rPr>
        <w:t xml:space="preserve">Vienlaikus no aizlieguma izmaksāt šos līdzekļus, līdz tiks īstenoti pašu kapitāla stiprināšanas pasākumi, būtības izriet, ka </w:t>
      </w:r>
      <w:r w:rsidR="00642EBE">
        <w:rPr>
          <w:rFonts w:asciiTheme="majorBidi" w:hAnsiTheme="majorBidi" w:cstheme="majorBidi"/>
          <w:lang w:val="lv-LV"/>
        </w:rPr>
        <w:t>atbildētāja</w:t>
      </w:r>
      <w:r w:rsidR="00A027A8" w:rsidRPr="00B077FD">
        <w:rPr>
          <w:rFonts w:asciiTheme="majorBidi" w:hAnsiTheme="majorBidi" w:cstheme="majorBidi"/>
          <w:lang w:val="lv-LV"/>
        </w:rPr>
        <w:t xml:space="preserve"> nesaskata šķēršļus tam, lai šādi nenoskaidrotas izcelsmes līdzekļi</w:t>
      </w:r>
      <w:r w:rsidR="00642EBE">
        <w:rPr>
          <w:rFonts w:asciiTheme="majorBidi" w:hAnsiTheme="majorBidi" w:cstheme="majorBidi"/>
          <w:lang w:val="lv-LV"/>
        </w:rPr>
        <w:t xml:space="preserve"> </w:t>
      </w:r>
      <w:r w:rsidR="00A027A8" w:rsidRPr="005020C0">
        <w:rPr>
          <w:rFonts w:asciiTheme="majorBidi" w:hAnsiTheme="majorBidi" w:cstheme="majorBidi"/>
          <w:lang w:val="lv-LV"/>
        </w:rPr>
        <w:t xml:space="preserve">tiktu izmantoti kā </w:t>
      </w:r>
      <w:r w:rsidR="00B172EA" w:rsidRPr="005020C0">
        <w:rPr>
          <w:rFonts w:asciiTheme="majorBidi" w:hAnsiTheme="majorBidi" w:cstheme="majorBidi"/>
          <w:lang w:val="lv-LV"/>
        </w:rPr>
        <w:t>b</w:t>
      </w:r>
      <w:r w:rsidR="00A027A8" w:rsidRPr="005020C0">
        <w:rPr>
          <w:rFonts w:asciiTheme="majorBidi" w:hAnsiTheme="majorBidi" w:cstheme="majorBidi"/>
          <w:lang w:val="lv-LV"/>
        </w:rPr>
        <w:t xml:space="preserve">ankas likvīdos aktīvus veidojošais elements. </w:t>
      </w:r>
      <w:r w:rsidR="005A209B">
        <w:rPr>
          <w:rFonts w:asciiTheme="majorBidi" w:hAnsiTheme="majorBidi" w:cstheme="majorBidi"/>
          <w:lang w:val="lv-LV"/>
        </w:rPr>
        <w:t>T</w:t>
      </w:r>
      <w:r w:rsidR="00A027A8" w:rsidRPr="005020C0">
        <w:rPr>
          <w:rFonts w:asciiTheme="majorBidi" w:hAnsiTheme="majorBidi" w:cstheme="majorBidi"/>
          <w:lang w:val="lv-LV"/>
        </w:rPr>
        <w:t>as veido iekšējo pretrunu starp pārsūdzētā lēmuma 3.1. un 3.2.apakšpunkt</w:t>
      </w:r>
      <w:r w:rsidR="005A209B">
        <w:rPr>
          <w:rFonts w:asciiTheme="majorBidi" w:hAnsiTheme="majorBidi" w:cstheme="majorBidi"/>
          <w:lang w:val="lv-LV"/>
        </w:rPr>
        <w:t>u</w:t>
      </w:r>
      <w:r w:rsidR="00A027A8" w:rsidRPr="005020C0">
        <w:rPr>
          <w:rFonts w:asciiTheme="majorBidi" w:hAnsiTheme="majorBidi" w:cstheme="majorBidi"/>
          <w:lang w:val="lv-LV"/>
        </w:rPr>
        <w:t xml:space="preserve">. </w:t>
      </w:r>
    </w:p>
    <w:p w14:paraId="61CD61D1" w14:textId="0239EA8A" w:rsidR="00A027A8" w:rsidRPr="005020C0" w:rsidRDefault="00A027A8" w:rsidP="00A027A8">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sidRPr="005020C0">
        <w:rPr>
          <w:lang w:val="lv-LV"/>
        </w:rPr>
        <w:t>Proti, ja komisija uzskata, ka pastāv nenovērstas šaubas par subordinētā aizdevuma līdzekļu izcelsmi un to saistību ar nelikumīgi iegūtu līdzekļu legalizāciju, un šo šaubu dēļ līdzekļu izmantošana nav pieļaujama</w:t>
      </w:r>
      <w:r w:rsidR="00642EBE">
        <w:rPr>
          <w:lang w:val="lv-LV"/>
        </w:rPr>
        <w:t xml:space="preserve"> </w:t>
      </w:r>
      <w:r w:rsidR="00642EBE" w:rsidRPr="005020C0">
        <w:rPr>
          <w:lang w:val="lv-LV"/>
        </w:rPr>
        <w:t>darījumos ar banku</w:t>
      </w:r>
      <w:r w:rsidRPr="005020C0">
        <w:rPr>
          <w:lang w:val="lv-LV"/>
        </w:rPr>
        <w:t xml:space="preserve">, tad loģiski nav arī pieļaujama šādu līdzekļu izmantošana, lai nodrošinātu bankas likviditātes rezerves, jo arī šādā gadījumā līdzekļu izmantošana varētu radīt risku, ka banka tiek iesaistīta noziedzīgu iegūtu līdzekļu apritē, kas nepārprotami radītu reputācijas riskus un apdraudētu bankas darbības stabilitāti. Respektīvi, ja naudas līdzekļu izcelsmes nenoteiktība un iespējamā saistība ar noziedzīgi iegūtu līdzekļu legalizāciju ir tāda, lai tas būtu par pamatu ierobežot to izmantošanu darījumu veikšanai ar banku un tās aktīviem, tad šo līdzekļu tiesiskā daba ir tāda, kas liedz tos izmantot legālā komerctiesiskā apritē arī kā bankas likvīdo aktīvu sastāvdaļu. </w:t>
      </w:r>
    </w:p>
    <w:p w14:paraId="1E84ACB1" w14:textId="60186F28" w:rsidR="00A027A8" w:rsidRPr="005020C0" w:rsidRDefault="00A027A8" w:rsidP="00A027A8">
      <w:pPr>
        <w:pStyle w:val="ListParagraph"/>
        <w:shd w:val="clear" w:color="auto" w:fill="FFFFFF"/>
        <w:spacing w:before="0" w:beforeAutospacing="0" w:after="0" w:afterAutospacing="0" w:line="276" w:lineRule="auto"/>
        <w:ind w:firstLine="720"/>
        <w:jc w:val="both"/>
        <w:rPr>
          <w:lang w:val="lv-LV"/>
        </w:rPr>
      </w:pPr>
      <w:r w:rsidRPr="005020C0">
        <w:rPr>
          <w:lang w:val="lv-LV"/>
        </w:rPr>
        <w:t>No norādītā izriet, ka pārsūdzētā lēmuma 3.1.apakšpunktā ietvertā aizlieguma tiesiskums ir lielā mērā pakārtots jautājumam, vai par tiesisku ir atzīstams pārsūdzētais lēmums daļā par aizliegumu izmantot pieteicēja subordinētā noguldījuma līdzekļus to nenoskaidrotās izcelsmes dēļ darījumos ar banku.</w:t>
      </w:r>
    </w:p>
    <w:p w14:paraId="347D9E2B" w14:textId="6B909BC9" w:rsidR="005020C0" w:rsidRDefault="00A027A8" w:rsidP="005020C0">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sidRPr="005020C0">
        <w:rPr>
          <w:rFonts w:asciiTheme="majorBidi" w:hAnsiTheme="majorBidi" w:cstheme="majorBidi"/>
          <w:lang w:val="lv-LV"/>
        </w:rPr>
        <w:t>[</w:t>
      </w:r>
      <w:r w:rsidR="00134566">
        <w:rPr>
          <w:rFonts w:asciiTheme="majorBidi" w:hAnsiTheme="majorBidi" w:cstheme="majorBidi"/>
          <w:lang w:val="lv-LV"/>
        </w:rPr>
        <w:t>2</w:t>
      </w:r>
      <w:r w:rsidRPr="005020C0">
        <w:rPr>
          <w:rFonts w:asciiTheme="majorBidi" w:hAnsiTheme="majorBidi" w:cstheme="majorBidi"/>
          <w:lang w:val="lv-LV"/>
        </w:rPr>
        <w:t>.</w:t>
      </w:r>
      <w:r w:rsidR="00873746">
        <w:rPr>
          <w:rFonts w:asciiTheme="majorBidi" w:hAnsiTheme="majorBidi" w:cstheme="majorBidi"/>
          <w:lang w:val="lv-LV"/>
        </w:rPr>
        <w:t>5</w:t>
      </w:r>
      <w:r w:rsidRPr="005020C0">
        <w:rPr>
          <w:rFonts w:asciiTheme="majorBidi" w:hAnsiTheme="majorBidi" w:cstheme="majorBidi"/>
          <w:lang w:val="lv-LV"/>
        </w:rPr>
        <w:t>] </w:t>
      </w:r>
      <w:r w:rsidR="001D19E2">
        <w:rPr>
          <w:rFonts w:asciiTheme="majorBidi" w:hAnsiTheme="majorBidi" w:cstheme="majorBidi"/>
          <w:lang w:val="lv-LV"/>
        </w:rPr>
        <w:t>T</w:t>
      </w:r>
      <w:r w:rsidRPr="005020C0">
        <w:rPr>
          <w:rFonts w:asciiTheme="majorBidi" w:hAnsiTheme="majorBidi" w:cstheme="majorBidi"/>
          <w:lang w:val="lv-LV"/>
        </w:rPr>
        <w:t xml:space="preserve">iesa, izvērtējot Noziedzīgi iegūtu līdzekļu legalizācijas un terorisma un proliferācijas finansēšanas novēršanas likumā (turpmāk – Novēršanas likums) ietvertās prasības, kā arī ziņas par pieteicēja subordinētā noguldījuma līdzekļu izcelsmes procesu, </w:t>
      </w:r>
      <w:r w:rsidR="00047530">
        <w:rPr>
          <w:rFonts w:asciiTheme="majorBidi" w:hAnsiTheme="majorBidi" w:cstheme="majorBidi"/>
          <w:lang w:val="lv-LV"/>
        </w:rPr>
        <w:t>atzina</w:t>
      </w:r>
      <w:r w:rsidRPr="005020C0">
        <w:rPr>
          <w:rFonts w:asciiTheme="majorBidi" w:hAnsiTheme="majorBidi" w:cstheme="majorBidi"/>
          <w:lang w:val="lv-LV"/>
        </w:rPr>
        <w:t xml:space="preserve">, ka pārsūdzētā lēmuma 3.2.apakšpunktā ietvertais aizliegums izmantot subordinētā noguldījuma līdzekļus darījumos ar </w:t>
      </w:r>
      <w:r w:rsidRPr="00B077FD">
        <w:rPr>
          <w:rFonts w:asciiTheme="majorBidi" w:hAnsiTheme="majorBidi" w:cstheme="majorBidi"/>
          <w:lang w:val="lv-LV"/>
        </w:rPr>
        <w:t>banku, līdz tiek pabeigta pārbaude par līdzekļu izcelsmes legalitāti, ir tiesisks un pamatots.</w:t>
      </w:r>
    </w:p>
    <w:p w14:paraId="06514815" w14:textId="25B2D68C" w:rsidR="00A027A8" w:rsidRPr="00B077FD" w:rsidRDefault="00642EBE" w:rsidP="005020C0">
      <w:pPr>
        <w:pStyle w:val="ListParagraph"/>
        <w:shd w:val="clear" w:color="auto" w:fill="FFFFFF"/>
        <w:spacing w:before="0" w:beforeAutospacing="0" w:after="0" w:afterAutospacing="0" w:line="276" w:lineRule="auto"/>
        <w:ind w:firstLine="720"/>
        <w:jc w:val="both"/>
        <w:rPr>
          <w:rFonts w:asciiTheme="majorBidi" w:hAnsiTheme="majorBidi" w:cstheme="majorBidi"/>
          <w:lang w:val="lv-LV"/>
        </w:rPr>
      </w:pPr>
      <w:r>
        <w:rPr>
          <w:lang w:val="lv-LV"/>
        </w:rPr>
        <w:t>T</w:t>
      </w:r>
      <w:r w:rsidR="004F3395">
        <w:rPr>
          <w:lang w:val="lv-LV"/>
        </w:rPr>
        <w:t xml:space="preserve">iesa </w:t>
      </w:r>
      <w:r>
        <w:rPr>
          <w:lang w:val="lv-LV"/>
        </w:rPr>
        <w:t>konstatēj</w:t>
      </w:r>
      <w:r w:rsidR="004F3395">
        <w:rPr>
          <w:lang w:val="lv-LV"/>
        </w:rPr>
        <w:t>a</w:t>
      </w:r>
      <w:r w:rsidR="00A027A8" w:rsidRPr="00B077FD">
        <w:rPr>
          <w:lang w:val="lv-LV"/>
        </w:rPr>
        <w:t>, ka līdz pārsūdzētā lēmuma izdošanai banka nebija pabeigusi pieteicēja subordinētā noguldījuma līdzekļu izcelsmes izvērtēšanu</w:t>
      </w:r>
      <w:r w:rsidR="004F3395">
        <w:rPr>
          <w:lang w:val="lv-LV"/>
        </w:rPr>
        <w:t>, kā arī</w:t>
      </w:r>
      <w:r w:rsidR="00A027A8" w:rsidRPr="00B077FD">
        <w:rPr>
          <w:lang w:val="lv-LV"/>
        </w:rPr>
        <w:t xml:space="preserve"> nebija izdarīti secinājumi par šo līdzekļu izcelsmes legalitāti. Vērtējot to </w:t>
      </w:r>
      <w:r w:rsidR="00A027A8" w:rsidRPr="00B077FD">
        <w:rPr>
          <w:rFonts w:asciiTheme="majorBidi" w:hAnsiTheme="majorBidi" w:cstheme="majorBidi"/>
          <w:lang w:val="lv-LV"/>
        </w:rPr>
        <w:t xml:space="preserve">kopsakarā ar </w:t>
      </w:r>
      <w:r w:rsidR="005020C0" w:rsidRPr="00B077FD">
        <w:rPr>
          <w:lang w:val="lv-LV"/>
        </w:rPr>
        <w:t>Novēršanas likuma 11.</w:t>
      </w:r>
      <w:r w:rsidR="005020C0" w:rsidRPr="00B077FD">
        <w:rPr>
          <w:vertAlign w:val="superscript"/>
          <w:lang w:val="lv-LV"/>
        </w:rPr>
        <w:t>1</w:t>
      </w:r>
      <w:r w:rsidR="005020C0" w:rsidRPr="00B077FD">
        <w:rPr>
          <w:lang w:val="lv-LV"/>
        </w:rPr>
        <w:t>panta pirmās daļas 4.punkt</w:t>
      </w:r>
      <w:r w:rsidR="005020C0">
        <w:rPr>
          <w:lang w:val="lv-LV"/>
        </w:rPr>
        <w:t>u</w:t>
      </w:r>
      <w:r w:rsidR="005020C0" w:rsidRPr="00B077FD">
        <w:rPr>
          <w:lang w:val="lv-LV"/>
        </w:rPr>
        <w:t xml:space="preserve"> un 22.panta pirmās daļas 4.punkt</w:t>
      </w:r>
      <w:r w:rsidR="005020C0">
        <w:rPr>
          <w:lang w:val="lv-LV"/>
        </w:rPr>
        <w:t>u</w:t>
      </w:r>
      <w:r w:rsidR="00A027A8" w:rsidRPr="00B077FD">
        <w:rPr>
          <w:rFonts w:asciiTheme="majorBidi" w:hAnsiTheme="majorBidi" w:cstheme="majorBidi"/>
          <w:lang w:val="lv-LV"/>
        </w:rPr>
        <w:t>, tiesa atzina, ka lietā konstatētajos apstākļos komisija pamatoti un tiesiski, lai nepieļautu neskaidras izcelsmes naudas līdzekļu apriti darījumos ar banku, noteica aizliegumu tos izmantot līdz brīdim, kad tiks pabeigtas pārbaudes par naudas līdzekļu izcelsmes legalitāti. Līdz ar to pārsūdzētā lēmuma 3.2.apakšpunkts ir tiesisks un pamatots.</w:t>
      </w:r>
    </w:p>
    <w:p w14:paraId="61E24982" w14:textId="70A82060" w:rsidR="00A027A8" w:rsidRPr="00B077FD" w:rsidRDefault="00A027A8" w:rsidP="00A027A8">
      <w:pPr>
        <w:pStyle w:val="ListParagraph"/>
        <w:shd w:val="clear" w:color="auto" w:fill="FFFFFF"/>
        <w:spacing w:before="0" w:beforeAutospacing="0" w:after="0" w:afterAutospacing="0" w:line="276" w:lineRule="auto"/>
        <w:ind w:firstLine="720"/>
        <w:jc w:val="both"/>
        <w:rPr>
          <w:lang w:val="lv-LV"/>
        </w:rPr>
      </w:pPr>
      <w:r w:rsidRPr="00B077FD">
        <w:rPr>
          <w:lang w:val="lv-LV"/>
        </w:rPr>
        <w:t xml:space="preserve">Vienlaikus, ņemot vērā izdarītos secinājumus par to, ka nebija noskaidrots, vai konkrēto līdzekļu izcelsme ir legāla, </w:t>
      </w:r>
      <w:r w:rsidR="001D19E2">
        <w:rPr>
          <w:lang w:val="lv-LV"/>
        </w:rPr>
        <w:t>tiesa atzina</w:t>
      </w:r>
      <w:r w:rsidRPr="00B077FD">
        <w:rPr>
          <w:lang w:val="lv-LV"/>
        </w:rPr>
        <w:t xml:space="preserve">, ka šis apstāklis, ievērojot Novēršanas likuma 11.panta septītajā daļā bankai noteikto pienākumu izbeigt darījumu attiecības ar </w:t>
      </w:r>
      <w:r w:rsidRPr="00B077FD">
        <w:rPr>
          <w:lang w:val="lv-LV"/>
        </w:rPr>
        <w:lastRenderedPageBreak/>
        <w:t xml:space="preserve">klientu, kura līdzekļu izcelsmes legalitāte nav pārbaudīta, ir tāds, kas liedz šos līdzekļus izmantot legālā komerctiesiskā apritē arī kā </w:t>
      </w:r>
      <w:r w:rsidR="008E3FC5" w:rsidRPr="00B077FD">
        <w:rPr>
          <w:lang w:val="lv-LV"/>
        </w:rPr>
        <w:t>b</w:t>
      </w:r>
      <w:r w:rsidRPr="00B077FD">
        <w:rPr>
          <w:lang w:val="lv-LV"/>
        </w:rPr>
        <w:t>ankas likvīdo aktīvu sastāvdaļu. Līdz ar to pārsūdzētā lēmuma 3.1.</w:t>
      </w:r>
      <w:r w:rsidR="00E8485C" w:rsidRPr="00B077FD">
        <w:rPr>
          <w:lang w:val="lv-LV"/>
        </w:rPr>
        <w:t>apakš</w:t>
      </w:r>
      <w:r w:rsidRPr="00B077FD">
        <w:rPr>
          <w:lang w:val="lv-LV"/>
        </w:rPr>
        <w:t>punkts ir atzīstams par prettiesisku.</w:t>
      </w:r>
    </w:p>
    <w:p w14:paraId="7C7F427D" w14:textId="77777777" w:rsidR="00E8485C" w:rsidRPr="000A3DB9" w:rsidRDefault="00E8485C" w:rsidP="00E20964">
      <w:pPr>
        <w:shd w:val="clear" w:color="auto" w:fill="FFFFFF"/>
        <w:spacing w:line="276" w:lineRule="auto"/>
        <w:jc w:val="both"/>
      </w:pPr>
    </w:p>
    <w:p w14:paraId="7ED3434A" w14:textId="46A6F993" w:rsidR="004E3124" w:rsidRPr="00345011" w:rsidRDefault="001A1EA8" w:rsidP="00345011">
      <w:pPr>
        <w:pStyle w:val="ListParagraph"/>
        <w:shd w:val="clear" w:color="auto" w:fill="FFFFFF"/>
        <w:spacing w:before="0" w:beforeAutospacing="0" w:after="0" w:afterAutospacing="0" w:line="276" w:lineRule="auto"/>
        <w:ind w:firstLine="720"/>
        <w:jc w:val="both"/>
        <w:rPr>
          <w:lang w:val="lv-LV"/>
        </w:rPr>
      </w:pPr>
      <w:r w:rsidRPr="00B077FD">
        <w:rPr>
          <w:color w:val="000000"/>
          <w:lang w:val="lv-LV"/>
        </w:rPr>
        <w:t>[</w:t>
      </w:r>
      <w:r w:rsidR="00134566">
        <w:rPr>
          <w:color w:val="000000"/>
          <w:lang w:val="lv-LV"/>
        </w:rPr>
        <w:t>3</w:t>
      </w:r>
      <w:r w:rsidRPr="00B077FD">
        <w:rPr>
          <w:color w:val="000000"/>
          <w:lang w:val="lv-LV"/>
        </w:rPr>
        <w:t>]</w:t>
      </w:r>
      <w:r w:rsidR="00744BB5" w:rsidRPr="00B077FD">
        <w:rPr>
          <w:color w:val="000000"/>
          <w:lang w:val="lv-LV"/>
        </w:rPr>
        <w:t> Latvijas Banka</w:t>
      </w:r>
      <w:r w:rsidR="00BD4D60" w:rsidRPr="00B077FD">
        <w:rPr>
          <w:color w:val="000000"/>
          <w:lang w:val="lv-LV"/>
        </w:rPr>
        <w:t xml:space="preserve"> (</w:t>
      </w:r>
      <w:r w:rsidR="00990527" w:rsidRPr="00B077FD">
        <w:rPr>
          <w:lang w:val="lv-LV"/>
        </w:rPr>
        <w:t xml:space="preserve">komisijas </w:t>
      </w:r>
      <w:r w:rsidR="00265445">
        <w:rPr>
          <w:lang w:val="lv-LV"/>
        </w:rPr>
        <w:t>funkciju</w:t>
      </w:r>
      <w:r w:rsidR="00990527" w:rsidRPr="00B077FD">
        <w:rPr>
          <w:lang w:val="lv-LV"/>
        </w:rPr>
        <w:t xml:space="preserve"> pārņēmēja</w:t>
      </w:r>
      <w:r w:rsidR="00BD4D60" w:rsidRPr="00B077FD">
        <w:rPr>
          <w:color w:val="000000"/>
          <w:lang w:val="lv-LV"/>
        </w:rPr>
        <w:t>)</w:t>
      </w:r>
      <w:r w:rsidR="00744BB5" w:rsidRPr="00B077FD">
        <w:rPr>
          <w:color w:val="000000"/>
          <w:lang w:val="lv-LV"/>
        </w:rPr>
        <w:t xml:space="preserve"> </w:t>
      </w:r>
      <w:r w:rsidRPr="00B077FD">
        <w:rPr>
          <w:lang w:val="lv-LV"/>
        </w:rPr>
        <w:t>iesniedza kasācijas sūdzību</w:t>
      </w:r>
      <w:r w:rsidR="00B269CB" w:rsidRPr="00B077FD">
        <w:rPr>
          <w:lang w:val="lv-LV"/>
        </w:rPr>
        <w:t xml:space="preserve"> par apgabaltiesas spriedumu</w:t>
      </w:r>
      <w:r w:rsidR="00E8485C" w:rsidRPr="00B077FD">
        <w:rPr>
          <w:lang w:val="lv-LV"/>
        </w:rPr>
        <w:t xml:space="preserve"> </w:t>
      </w:r>
      <w:r w:rsidR="00744BB5" w:rsidRPr="00B077FD">
        <w:rPr>
          <w:lang w:val="lv-LV"/>
        </w:rPr>
        <w:t>daļā, kurā pieteikums apmierinā</w:t>
      </w:r>
      <w:r w:rsidR="00E8485C" w:rsidRPr="00B077FD">
        <w:rPr>
          <w:lang w:val="lv-LV"/>
        </w:rPr>
        <w:t>ts.</w:t>
      </w:r>
      <w:r w:rsidR="00F47EBA">
        <w:rPr>
          <w:lang w:val="lv-LV"/>
        </w:rPr>
        <w:t xml:space="preserve"> </w:t>
      </w:r>
      <w:r w:rsidR="00E8485C" w:rsidRPr="00B077FD">
        <w:rPr>
          <w:lang w:val="lv-LV"/>
        </w:rPr>
        <w:t xml:space="preserve">Kasācijas sūdzība pamatota ar to, ka </w:t>
      </w:r>
      <w:r w:rsidR="00527F2B" w:rsidRPr="00B077FD">
        <w:rPr>
          <w:lang w:val="lv-LV"/>
        </w:rPr>
        <w:t>apgabal</w:t>
      </w:r>
      <w:r w:rsidR="00E8485C" w:rsidRPr="00B077FD">
        <w:rPr>
          <w:lang w:val="lv-LV"/>
        </w:rPr>
        <w:t>tiesa</w:t>
      </w:r>
      <w:r w:rsidR="00527F2B" w:rsidRPr="00B077FD">
        <w:rPr>
          <w:lang w:val="lv-LV"/>
        </w:rPr>
        <w:t xml:space="preserve"> ir</w:t>
      </w:r>
      <w:r w:rsidR="00E8485C" w:rsidRPr="00B077FD">
        <w:rPr>
          <w:lang w:val="lv-LV"/>
        </w:rPr>
        <w:t xml:space="preserve"> nepareizi piemērojusi un interpretējusi Novēršanas likuma 11.panta septīto daļu attiecībā uz bankas pienākumu izbeigt darījuma attiecības ar pieteicēju, kas ir novedis pie neatbilstošiem turpmākiem secinājumiem par pieteicēja naudas līdzekļu statusu bankā un rīcību ar tiem. </w:t>
      </w:r>
      <w:r w:rsidR="00134566">
        <w:rPr>
          <w:lang w:val="lv-LV"/>
        </w:rPr>
        <w:t>A</w:t>
      </w:r>
      <w:r w:rsidR="00E8485C" w:rsidRPr="00B077FD">
        <w:rPr>
          <w:lang w:val="lv-LV"/>
        </w:rPr>
        <w:t>tbildētāja argumentē, ka apgabaltiesa nav ņēmusi vērā un nav piemērojusi Finanšu un kapitāla tirgus komisijas likuma 5.pantu</w:t>
      </w:r>
      <w:r w:rsidR="00105B02">
        <w:rPr>
          <w:lang w:val="lv-LV"/>
        </w:rPr>
        <w:t xml:space="preserve"> </w:t>
      </w:r>
      <w:r w:rsidR="00E8485C" w:rsidRPr="00B077FD">
        <w:rPr>
          <w:lang w:val="lv-LV"/>
        </w:rPr>
        <w:t xml:space="preserve">attiecībā uz pārsūdzētā </w:t>
      </w:r>
      <w:r w:rsidR="00363665" w:rsidRPr="00B077FD">
        <w:rPr>
          <w:lang w:val="lv-LV"/>
        </w:rPr>
        <w:t xml:space="preserve">lēmuma </w:t>
      </w:r>
      <w:r w:rsidR="00E8485C" w:rsidRPr="00B077FD">
        <w:rPr>
          <w:lang w:val="lv-LV"/>
        </w:rPr>
        <w:t>pieņemšanas mērķi uzraudzības ietvar</w:t>
      </w:r>
      <w:r w:rsidR="00363665" w:rsidRPr="00B077FD">
        <w:rPr>
          <w:lang w:val="lv-LV"/>
        </w:rPr>
        <w:t>os</w:t>
      </w:r>
      <w:r w:rsidR="00E8485C" w:rsidRPr="00B077FD">
        <w:rPr>
          <w:lang w:val="lv-LV"/>
        </w:rPr>
        <w:t xml:space="preserve"> nodrošināt finanšu un kapitāla tirgus stabilitāti un īstenot noguldītāju kopuma interešu aizsardzību.</w:t>
      </w:r>
    </w:p>
    <w:p w14:paraId="4422D20F" w14:textId="0CC83700" w:rsidR="001A1EA8" w:rsidRDefault="004E3124" w:rsidP="0040454B">
      <w:pPr>
        <w:pStyle w:val="ListParagraph"/>
        <w:shd w:val="clear" w:color="auto" w:fill="FFFFFF"/>
        <w:spacing w:before="0" w:beforeAutospacing="0" w:after="0" w:afterAutospacing="0" w:line="276" w:lineRule="auto"/>
        <w:ind w:firstLine="720"/>
        <w:jc w:val="both"/>
        <w:rPr>
          <w:lang w:val="lv-LV"/>
        </w:rPr>
      </w:pPr>
      <w:r>
        <w:rPr>
          <w:lang w:val="lv-LV"/>
        </w:rPr>
        <w:t>[</w:t>
      </w:r>
      <w:r w:rsidR="00134566">
        <w:rPr>
          <w:lang w:val="lv-LV"/>
        </w:rPr>
        <w:t>4</w:t>
      </w:r>
      <w:r>
        <w:rPr>
          <w:lang w:val="lv-LV"/>
        </w:rPr>
        <w:t>] Pieteicēj</w:t>
      </w:r>
      <w:r w:rsidR="00B3004E">
        <w:rPr>
          <w:lang w:val="lv-LV"/>
        </w:rPr>
        <w:t>s</w:t>
      </w:r>
      <w:r>
        <w:rPr>
          <w:lang w:val="lv-LV"/>
        </w:rPr>
        <w:t xml:space="preserve"> paskaidrojumos par kasācijas sūdzību norāda, ka tā nav pamatota.</w:t>
      </w:r>
    </w:p>
    <w:p w14:paraId="7223BA3F" w14:textId="77777777" w:rsidR="007551D8" w:rsidRPr="0040454B" w:rsidRDefault="007551D8" w:rsidP="0040454B">
      <w:pPr>
        <w:pStyle w:val="ListParagraph"/>
        <w:shd w:val="clear" w:color="auto" w:fill="FFFFFF"/>
        <w:spacing w:before="0" w:beforeAutospacing="0" w:after="0" w:afterAutospacing="0" w:line="276" w:lineRule="auto"/>
        <w:ind w:firstLine="720"/>
        <w:jc w:val="both"/>
        <w:rPr>
          <w:lang w:val="lv-LV"/>
        </w:rPr>
      </w:pPr>
    </w:p>
    <w:p w14:paraId="06E1707B" w14:textId="77777777" w:rsidR="001A1EA8" w:rsidRPr="00B077FD" w:rsidRDefault="001A1EA8" w:rsidP="001A1EA8">
      <w:pPr>
        <w:spacing w:line="276" w:lineRule="auto"/>
        <w:jc w:val="center"/>
        <w:rPr>
          <w:b/>
        </w:rPr>
      </w:pPr>
      <w:r w:rsidRPr="00B077FD">
        <w:rPr>
          <w:b/>
        </w:rPr>
        <w:t>Motīvu daļa</w:t>
      </w:r>
    </w:p>
    <w:p w14:paraId="11A4C8CC" w14:textId="77777777" w:rsidR="001A1EA8" w:rsidRPr="00B077FD" w:rsidRDefault="001A1EA8" w:rsidP="001A1EA8">
      <w:pPr>
        <w:spacing w:line="276" w:lineRule="auto"/>
        <w:ind w:firstLine="567"/>
        <w:jc w:val="both"/>
        <w:rPr>
          <w:rFonts w:asciiTheme="majorBidi" w:hAnsiTheme="majorBidi" w:cstheme="majorBidi"/>
        </w:rPr>
      </w:pPr>
    </w:p>
    <w:p w14:paraId="1B5EC9F9" w14:textId="1F5C87AE" w:rsidR="00873133" w:rsidRPr="00B077FD" w:rsidRDefault="00F865AC" w:rsidP="00873133">
      <w:pPr>
        <w:spacing w:line="276" w:lineRule="auto"/>
        <w:ind w:firstLine="720"/>
        <w:jc w:val="both"/>
      </w:pPr>
      <w:r w:rsidRPr="00B077FD">
        <w:rPr>
          <w:rFonts w:asciiTheme="majorBidi" w:hAnsiTheme="majorBidi" w:cstheme="majorBidi"/>
        </w:rPr>
        <w:t>[</w:t>
      </w:r>
      <w:r w:rsidR="00134566">
        <w:rPr>
          <w:rFonts w:asciiTheme="majorBidi" w:hAnsiTheme="majorBidi" w:cstheme="majorBidi"/>
        </w:rPr>
        <w:t>5</w:t>
      </w:r>
      <w:r w:rsidRPr="00B077FD">
        <w:rPr>
          <w:rFonts w:asciiTheme="majorBidi" w:hAnsiTheme="majorBidi" w:cstheme="majorBidi"/>
        </w:rPr>
        <w:t>]</w:t>
      </w:r>
      <w:r w:rsidR="00873133" w:rsidRPr="00B077FD">
        <w:rPr>
          <w:rFonts w:asciiTheme="majorBidi" w:hAnsiTheme="majorBidi" w:cstheme="majorBidi"/>
        </w:rPr>
        <w:t> </w:t>
      </w:r>
      <w:r w:rsidR="00873133" w:rsidRPr="00B077FD">
        <w:t xml:space="preserve">Pārsūdzētā lēmuma 3.punktā attiecībā uz pieteicēja subordinētā noguldījuma līdzekļiem bankai noteikts aizliegums: </w:t>
      </w:r>
    </w:p>
    <w:p w14:paraId="5F6DE7D3" w14:textId="7DD136B4" w:rsidR="00873133" w:rsidRPr="00B077FD" w:rsidRDefault="00873133" w:rsidP="00873133">
      <w:pPr>
        <w:spacing w:line="276" w:lineRule="auto"/>
        <w:ind w:firstLine="720"/>
        <w:jc w:val="both"/>
      </w:pPr>
      <w:r w:rsidRPr="00B077FD">
        <w:t>1) izmaksāt tos līdz brīdim, kad tiks īstenoti</w:t>
      </w:r>
      <w:r w:rsidR="00B3004E">
        <w:t xml:space="preserve"> lēmuma</w:t>
      </w:r>
      <w:r w:rsidRPr="00B077FD">
        <w:t xml:space="preserve"> 1.punktā minētie kapitāla stiprināšanas pasākumi (3.1.apakšpunkts); </w:t>
      </w:r>
    </w:p>
    <w:p w14:paraId="04DE18A4" w14:textId="6A8051E4" w:rsidR="00873133" w:rsidRPr="00B077FD" w:rsidRDefault="00873133" w:rsidP="0051047D">
      <w:pPr>
        <w:spacing w:line="276" w:lineRule="auto"/>
        <w:ind w:firstLine="720"/>
        <w:jc w:val="both"/>
      </w:pPr>
      <w:r w:rsidRPr="00B077FD">
        <w:t>2) izmantot tos darījumos ar banku un bankas aktīviem līdz brīdim, kad banka būs pārliecinājusies par līdzekļu izcelsmi, iesniegusi līdzekļu izcelsmi pamatojošo informāciju komisijai un attiecīgi saskaņojusi šos darījumus ar komisiju (3.2.apakšpunkts).</w:t>
      </w:r>
    </w:p>
    <w:p w14:paraId="3EDE9E50" w14:textId="46036676" w:rsidR="00873133" w:rsidRPr="00B077FD" w:rsidRDefault="00F7129F" w:rsidP="0051047D">
      <w:pPr>
        <w:spacing w:line="276" w:lineRule="auto"/>
        <w:ind w:firstLine="720"/>
        <w:jc w:val="both"/>
      </w:pPr>
      <w:r>
        <w:t>Apgabaltiesa</w:t>
      </w:r>
      <w:r w:rsidRPr="00B077FD">
        <w:t xml:space="preserve"> </w:t>
      </w:r>
      <w:r w:rsidR="00873133" w:rsidRPr="00B077FD">
        <w:t xml:space="preserve">spriedumā secināja, ka </w:t>
      </w:r>
      <w:r w:rsidR="007D1817" w:rsidRPr="00B077FD">
        <w:t>subordinētā noguldījuma</w:t>
      </w:r>
      <w:r w:rsidR="00873133" w:rsidRPr="00B077FD">
        <w:t xml:space="preserve"> līdzekļu izmaksas aizlieguma atcelšana ir saistīta ar bankai noteiktā pienākuma par pašu kapitāla stiprināšanu izpildi, bet šo līdzekļu izmantošana darījumos ar banku ir saistīta ar to izcelsmes pārbaudi</w:t>
      </w:r>
      <w:r w:rsidR="007D1817">
        <w:t xml:space="preserve">. </w:t>
      </w:r>
      <w:r w:rsidR="001D19E2">
        <w:t>T</w:t>
      </w:r>
      <w:r w:rsidR="00873133" w:rsidRPr="00B077FD">
        <w:t xml:space="preserve">iesa izvērtēja Novēršanas likumā ietvertās prasības, kā arī ziņas par pieteicēja subordinētā noguldījuma līdzekļu izcelsmes procesu, </w:t>
      </w:r>
      <w:r w:rsidR="007D1817">
        <w:t>kā rezultātā</w:t>
      </w:r>
      <w:r w:rsidR="00873133" w:rsidRPr="00B077FD">
        <w:t xml:space="preserve"> atzina, ka</w:t>
      </w:r>
      <w:r w:rsidR="007D1817">
        <w:t xml:space="preserve"> </w:t>
      </w:r>
      <w:r w:rsidR="00873133" w:rsidRPr="00B077FD">
        <w:t xml:space="preserve">lēmuma 3.2.apakšpunktā ietvertais aizliegums izmantot līdzekļus darījumos ar banku, līdz tiek pabeigta pārbaude par līdzekļu izcelsmes legalitāti, ir tiesisks un pamatots. </w:t>
      </w:r>
      <w:r w:rsidR="0051047D" w:rsidRPr="00B077FD">
        <w:t>Vienlaikus tiesa atzina, ka</w:t>
      </w:r>
      <w:r w:rsidR="00721C14">
        <w:t xml:space="preserve"> atbilstoši </w:t>
      </w:r>
      <w:r w:rsidR="00721C14" w:rsidRPr="00633D02">
        <w:t>Novēršanas likuma 11.pant</w:t>
      </w:r>
      <w:r w:rsidR="00721C14">
        <w:t xml:space="preserve">a </w:t>
      </w:r>
      <w:r w:rsidR="00721C14" w:rsidRPr="00633D02">
        <w:t>septīt</w:t>
      </w:r>
      <w:r w:rsidR="00721C14">
        <w:t>ajai</w:t>
      </w:r>
      <w:r w:rsidR="00721C14" w:rsidRPr="00633D02">
        <w:t xml:space="preserve"> daļa</w:t>
      </w:r>
      <w:r w:rsidR="00721C14">
        <w:t>i par prettiesisku ir atzīstams</w:t>
      </w:r>
      <w:r w:rsidR="0051047D" w:rsidRPr="00B077FD">
        <w:t xml:space="preserve"> lēmuma 3.1.</w:t>
      </w:r>
      <w:r w:rsidR="002B0D22" w:rsidRPr="00B077FD">
        <w:t>apakš</w:t>
      </w:r>
      <w:r w:rsidR="0051047D" w:rsidRPr="00B077FD">
        <w:t>punkts</w:t>
      </w:r>
      <w:r w:rsidR="00721C14">
        <w:t>.</w:t>
      </w:r>
    </w:p>
    <w:p w14:paraId="6C61FE57" w14:textId="0CE3A312" w:rsidR="00873133" w:rsidRPr="00B077FD" w:rsidRDefault="0085206D" w:rsidP="0051047D">
      <w:pPr>
        <w:spacing w:line="276" w:lineRule="auto"/>
        <w:ind w:firstLine="720"/>
        <w:jc w:val="both"/>
      </w:pPr>
      <w:r w:rsidRPr="00B077FD">
        <w:rPr>
          <w:rFonts w:asciiTheme="majorBidi" w:hAnsiTheme="majorBidi" w:cstheme="majorBidi"/>
        </w:rPr>
        <w:t xml:space="preserve">Latvijas Banka ir iesniegusi kasācijas </w:t>
      </w:r>
      <w:r w:rsidR="00BE69D6" w:rsidRPr="00B077FD">
        <w:rPr>
          <w:rFonts w:asciiTheme="majorBidi" w:hAnsiTheme="majorBidi" w:cstheme="majorBidi"/>
        </w:rPr>
        <w:t xml:space="preserve">sūdzību </w:t>
      </w:r>
      <w:r w:rsidR="00BE69D6" w:rsidRPr="00B077FD">
        <w:t>par apgabaltiesas spriedumu apmierinātajā daļā, savukārt pieteicējs spriedumu nav pārsūdzējis. Līdz ar to Senāta kompetencē ir pārbaudīt apgabaltiesas spriedumu daļā, kas attiecas uz pārsūdzētā lēmuma 3.1.apakšpunkta</w:t>
      </w:r>
      <w:r w:rsidR="00E219CF" w:rsidRPr="00B077FD">
        <w:t xml:space="preserve"> </w:t>
      </w:r>
      <w:r w:rsidR="00BE69D6" w:rsidRPr="00B077FD">
        <w:t>atzīšanu par prettiesisku</w:t>
      </w:r>
      <w:r w:rsidR="00E219CF" w:rsidRPr="00B077FD">
        <w:t xml:space="preserve">. </w:t>
      </w:r>
      <w:r w:rsidR="00873133" w:rsidRPr="00B077FD">
        <w:t>Pārējā daļā spriedums ir stājies spēkā.</w:t>
      </w:r>
    </w:p>
    <w:p w14:paraId="2374ECD4" w14:textId="77777777" w:rsidR="005041D3" w:rsidRDefault="005041D3" w:rsidP="005041D3">
      <w:pPr>
        <w:spacing w:line="276" w:lineRule="auto"/>
        <w:jc w:val="both"/>
      </w:pPr>
    </w:p>
    <w:p w14:paraId="0918DEAB" w14:textId="36799C38" w:rsidR="005041D3" w:rsidRDefault="005041D3" w:rsidP="005041D3">
      <w:pPr>
        <w:spacing w:line="276" w:lineRule="auto"/>
        <w:ind w:firstLine="720"/>
        <w:jc w:val="both"/>
      </w:pPr>
      <w:r>
        <w:t>[</w:t>
      </w:r>
      <w:r w:rsidR="0052793A">
        <w:t>6</w:t>
      </w:r>
      <w:r>
        <w:t>] </w:t>
      </w:r>
      <w:r w:rsidR="001F642F">
        <w:t xml:space="preserve">Tiesa pārsūdzētā lēmuma </w:t>
      </w:r>
      <w:r>
        <w:t xml:space="preserve">3.1.apakšpunkta prettiesiskumu ir pamatojusi ar </w:t>
      </w:r>
      <w:r w:rsidRPr="00633D02">
        <w:t>Novēršanas likuma 11.pant</w:t>
      </w:r>
      <w:r>
        <w:t xml:space="preserve">a </w:t>
      </w:r>
      <w:r w:rsidRPr="00633D02">
        <w:t>septīt</w:t>
      </w:r>
      <w:r>
        <w:t>o</w:t>
      </w:r>
      <w:r w:rsidRPr="00633D02">
        <w:t xml:space="preserve"> daļ</w:t>
      </w:r>
      <w:r>
        <w:t>u, kas noteic:</w:t>
      </w:r>
      <w:r w:rsidR="00871540">
        <w:t xml:space="preserve"> ja</w:t>
      </w:r>
      <w:r>
        <w:t xml:space="preserve"> </w:t>
      </w:r>
      <w:r w:rsidR="00633D02" w:rsidRPr="00633D02">
        <w:t>likuma subjekts</w:t>
      </w:r>
      <w:r w:rsidR="00633D02" w:rsidRPr="003C51F9">
        <w:t xml:space="preserve"> </w:t>
      </w:r>
      <w:r w:rsidR="00633D02" w:rsidRPr="00C32FCF">
        <w:t>nespēj veikt</w:t>
      </w:r>
      <w:r w:rsidR="00633D02" w:rsidRPr="00633D02">
        <w:t xml:space="preserve"> šajā likumā noteiktos klienta izpētes pasākumus, tad likuma subjekts neuzsāk darījuma attiecības, tai skaitā neatver kontu, nekavējoties izbeidz darījuma attiecības un neveic gadījuma rakstura darījumu ar attiecīgo personu vai juridisku veidojumu. Likuma subjekts dokumentē un izvērtē </w:t>
      </w:r>
      <w:r w:rsidR="00633D02" w:rsidRPr="00B64569">
        <w:t xml:space="preserve">katru šādu gadījumu un, ja rodas aizdomas par noziedzīgi </w:t>
      </w:r>
      <w:r w:rsidR="00633D02" w:rsidRPr="00B64569">
        <w:lastRenderedPageBreak/>
        <w:t>iegūtu līdzekļu legalizāciju vai terorisma un proliferācijas finansēšanu, ziņo Finanšu izlūkošanas dienestam</w:t>
      </w:r>
      <w:r w:rsidR="0052793A">
        <w:t xml:space="preserve"> (</w:t>
      </w:r>
      <w:r w:rsidR="0052793A" w:rsidRPr="00B3004E">
        <w:rPr>
          <w:i/>
          <w:iCs/>
        </w:rPr>
        <w:t>šeit un turpmāk tiesību normas</w:t>
      </w:r>
      <w:r w:rsidR="0052793A">
        <w:rPr>
          <w:i/>
          <w:iCs/>
        </w:rPr>
        <w:t xml:space="preserve"> redakcijā</w:t>
      </w:r>
      <w:r w:rsidR="0052793A" w:rsidRPr="00B3004E">
        <w:rPr>
          <w:i/>
          <w:iCs/>
        </w:rPr>
        <w:t>, kas bija spēkā pārsūdzētā lēmuma pieņemšanas laikā</w:t>
      </w:r>
      <w:r w:rsidR="0052793A">
        <w:t>).</w:t>
      </w:r>
    </w:p>
    <w:p w14:paraId="1DBE9BB6" w14:textId="20772124" w:rsidR="005041D3" w:rsidRDefault="00721C14" w:rsidP="005041D3">
      <w:pPr>
        <w:spacing w:line="276" w:lineRule="auto"/>
        <w:ind w:firstLine="720"/>
        <w:jc w:val="both"/>
      </w:pPr>
      <w:r w:rsidRPr="00B64569">
        <w:t>Tiesa spriedumā atzina, ka atbilstoši minētajai</w:t>
      </w:r>
      <w:r w:rsidR="00F7129F">
        <w:t xml:space="preserve"> tiesību</w:t>
      </w:r>
      <w:r w:rsidRPr="00B64569">
        <w:t xml:space="preserve"> normai apstāklis, ka banka nebija noskaidrojusi, vai pieteicējas līdzekļu izcelsme ir legāla, ir tāds, kas liedz šos līdzekļus izmantot legālā komerctiesiskā apritē arī kā bankas likvīdo aktīvu sastāvdaļu.</w:t>
      </w:r>
    </w:p>
    <w:p w14:paraId="12DA9270" w14:textId="2D22AFC1" w:rsidR="00871540" w:rsidRDefault="00871540" w:rsidP="005041D3">
      <w:pPr>
        <w:spacing w:line="276" w:lineRule="auto"/>
        <w:ind w:firstLine="720"/>
        <w:jc w:val="both"/>
      </w:pPr>
      <w:r>
        <w:t>Senāts minētajam nepiekrīt.</w:t>
      </w:r>
    </w:p>
    <w:p w14:paraId="32C512A4" w14:textId="77777777" w:rsidR="005041D3" w:rsidRDefault="005041D3" w:rsidP="005041D3">
      <w:pPr>
        <w:spacing w:line="276" w:lineRule="auto"/>
        <w:jc w:val="both"/>
      </w:pPr>
    </w:p>
    <w:p w14:paraId="1E20C844" w14:textId="3248BE1C" w:rsidR="005041D3" w:rsidRPr="00872232" w:rsidRDefault="005041D3" w:rsidP="005041D3">
      <w:pPr>
        <w:spacing w:line="276" w:lineRule="auto"/>
        <w:ind w:firstLine="720"/>
        <w:jc w:val="both"/>
      </w:pPr>
      <w:r>
        <w:t>[</w:t>
      </w:r>
      <w:r w:rsidR="0052793A">
        <w:t>7</w:t>
      </w:r>
      <w:r>
        <w:t>]</w:t>
      </w:r>
      <w:r w:rsidR="00FA0B6E">
        <w:t> </w:t>
      </w:r>
      <w:r>
        <w:t>Novēršanas likuma 11.panta septītā daļa noteic rīcības modeli gadījumiem, kad likuma subjekts (piemēram, kredītiestāde) n</w:t>
      </w:r>
      <w:r w:rsidR="00871540">
        <w:t>av spējīgs</w:t>
      </w:r>
      <w:r>
        <w:t xml:space="preserve"> veikt klienta izpētes pasākumus. Proti, tā paredz pienākumu kredītiestādēm neveidot darījuma attiecības ar tādiem klientiem, </w:t>
      </w:r>
      <w:r w:rsidRPr="00633D02">
        <w:t xml:space="preserve">kuriem </w:t>
      </w:r>
      <w:r>
        <w:t>nav iespējams</w:t>
      </w:r>
      <w:r w:rsidRPr="00633D02">
        <w:t xml:space="preserve"> veikt likumā noteiktos izpētes pasākumus</w:t>
      </w:r>
      <w:r>
        <w:t xml:space="preserve">, lai novērstu riskus, kas saistīti ar noziedzīgi iegūtu līdzekļu legalizāciju, </w:t>
      </w:r>
      <w:r w:rsidRPr="00B64569">
        <w:t>terorisma un proliferācijas finansēšanu</w:t>
      </w:r>
      <w:r w:rsidRPr="00633D02">
        <w:t>.</w:t>
      </w:r>
      <w:r>
        <w:t xml:space="preserve"> No tiesību normas izriet, ka kredītiestāde</w:t>
      </w:r>
      <w:r w:rsidRPr="00D608E4">
        <w:t xml:space="preserve"> var uzsākt vai turpināt </w:t>
      </w:r>
      <w:r w:rsidRPr="00872232">
        <w:t xml:space="preserve">darījuma attiecības tikai tad, ja tiek veikti visi klienta izpētes pasākumi. Savukārt, ja klienta izpēti nav iespējams veikt, kredītiestādei ir </w:t>
      </w:r>
      <w:r w:rsidR="00A3585C">
        <w:t>cit</w:t>
      </w:r>
      <w:r w:rsidR="00A3585C" w:rsidRPr="00872232">
        <w:t xml:space="preserve">starp </w:t>
      </w:r>
      <w:r w:rsidRPr="00872232">
        <w:t>pienākums atteikties uzsākt darījuma attiecības (piemēram, neatvērt kontu) vai nekavējoties izbeigt jau esošās darījuma attiecības.</w:t>
      </w:r>
    </w:p>
    <w:p w14:paraId="7C3A89CF" w14:textId="7B5590A8" w:rsidR="00872232" w:rsidRPr="00872232" w:rsidRDefault="00872232" w:rsidP="00872232">
      <w:pPr>
        <w:spacing w:line="276" w:lineRule="auto"/>
        <w:ind w:firstLine="720"/>
        <w:jc w:val="both"/>
      </w:pPr>
      <w:r w:rsidRPr="00872232">
        <w:rPr>
          <w:rFonts w:asciiTheme="majorBidi" w:hAnsiTheme="majorBidi" w:cstheme="majorBidi"/>
        </w:rPr>
        <w:t xml:space="preserve">Ievērojot minēto, strīdus normā noteiktais pienākums pārtraukt </w:t>
      </w:r>
      <w:r w:rsidRPr="00872232">
        <w:t>darījuma attiecības ar klientu rodas vienīgi tādā situācijā, kad kredītiestādei vispār nav iespējams pārliecināties par klienta līdzekļu izcelsmi, kā arī nav iespējams šādu izpēti pēc būtības veikt (piemēram, ja klients atsakās sadarboties un nesniedz nepieciešamo informāciju, un nepieciešamo informāciju nav iespējams iegūt citādi). Tomēr šis pienākums izbeigt darījuma attiecības ar klientu nav tūlītējs un automātiski piemērojams pasākums jebkurā situācijā, kad klienta līdzekļi vēl nav pārbaudīti vai atrodas izpētes stadijā.</w:t>
      </w:r>
    </w:p>
    <w:p w14:paraId="365EF03E" w14:textId="34DB6B5D" w:rsidR="0084538E" w:rsidRPr="0084538E" w:rsidRDefault="0084538E" w:rsidP="0084538E">
      <w:pPr>
        <w:spacing w:line="276" w:lineRule="auto"/>
        <w:ind w:firstLine="720"/>
        <w:jc w:val="both"/>
        <w:rPr>
          <w:rFonts w:asciiTheme="majorBidi" w:hAnsiTheme="majorBidi" w:cstheme="majorBidi"/>
        </w:rPr>
      </w:pPr>
      <w:r>
        <w:rPr>
          <w:rFonts w:asciiTheme="majorBidi" w:hAnsiTheme="majorBidi" w:cstheme="majorBidi"/>
        </w:rPr>
        <w:t xml:space="preserve">Senāts piekrīt kasācijas sūdzībā norādītājam, ka </w:t>
      </w:r>
      <w:r w:rsidR="00721C14" w:rsidRPr="00872232">
        <w:rPr>
          <w:rFonts w:asciiTheme="majorBidi" w:hAnsiTheme="majorBidi" w:cstheme="majorBidi"/>
        </w:rPr>
        <w:t>Novēršanas likuma 11.panta septītā daļa</w:t>
      </w:r>
      <w:r w:rsidR="00871540" w:rsidRPr="00872232">
        <w:rPr>
          <w:rFonts w:asciiTheme="majorBidi" w:hAnsiTheme="majorBidi" w:cstheme="majorBidi"/>
        </w:rPr>
        <w:t xml:space="preserve"> nav</w:t>
      </w:r>
      <w:r w:rsidR="00721C14" w:rsidRPr="00872232">
        <w:rPr>
          <w:rFonts w:asciiTheme="majorBidi" w:hAnsiTheme="majorBidi" w:cstheme="majorBidi"/>
        </w:rPr>
        <w:t xml:space="preserve"> interpretējama tādējādi, ka </w:t>
      </w:r>
      <w:r w:rsidR="00871540" w:rsidRPr="00872232">
        <w:rPr>
          <w:rFonts w:asciiTheme="majorBidi" w:hAnsiTheme="majorBidi" w:cstheme="majorBidi"/>
        </w:rPr>
        <w:t xml:space="preserve">jebkuri </w:t>
      </w:r>
      <w:r w:rsidR="00721C14" w:rsidRPr="00872232">
        <w:rPr>
          <w:rFonts w:asciiTheme="majorBidi" w:hAnsiTheme="majorBidi" w:cstheme="majorBidi"/>
        </w:rPr>
        <w:t>naudas līdzekļi</w:t>
      </w:r>
      <w:r w:rsidR="00721C14" w:rsidRPr="00872232">
        <w:t>, kuru izcelsmes legalitāte</w:t>
      </w:r>
      <w:r w:rsidR="00B64569" w:rsidRPr="00872232">
        <w:t xml:space="preserve"> </w:t>
      </w:r>
      <w:r w:rsidRPr="00872232">
        <w:t xml:space="preserve">kredītiestādē </w:t>
      </w:r>
      <w:r w:rsidR="00B64569" w:rsidRPr="00872232">
        <w:t>vēl</w:t>
      </w:r>
      <w:r w:rsidR="00721C14" w:rsidRPr="00872232">
        <w:t xml:space="preserve"> nav pārbaudīta, n</w:t>
      </w:r>
      <w:r w:rsidR="00B64569" w:rsidRPr="00872232">
        <w:t>evar tikt</w:t>
      </w:r>
      <w:r w:rsidR="00721C14" w:rsidRPr="00872232">
        <w:t xml:space="preserve"> izmanto</w:t>
      </w:r>
      <w:r w:rsidR="00B64569" w:rsidRPr="00872232">
        <w:t xml:space="preserve">ti </w:t>
      </w:r>
      <w:r w:rsidR="00721C14" w:rsidRPr="00872232">
        <w:t xml:space="preserve">kā </w:t>
      </w:r>
      <w:r w:rsidR="000A3DB9">
        <w:t>kredītiestādes</w:t>
      </w:r>
      <w:r w:rsidR="00721C14" w:rsidRPr="00872232">
        <w:t xml:space="preserve"> likvīdos aktīvus </w:t>
      </w:r>
      <w:r w:rsidR="00721C14" w:rsidRPr="00B077FD">
        <w:t xml:space="preserve">veidojošs elements ar mērķi stabilizēt </w:t>
      </w:r>
      <w:r w:rsidR="000A3DB9">
        <w:t>kredītiestādes</w:t>
      </w:r>
      <w:r w:rsidR="00721C14" w:rsidRPr="00B077FD">
        <w:t xml:space="preserve"> finansiālo situāciju</w:t>
      </w:r>
      <w:r w:rsidR="00871540">
        <w:t>.</w:t>
      </w:r>
      <w:r>
        <w:t xml:space="preserve"> </w:t>
      </w:r>
      <w:r w:rsidR="001D19E2">
        <w:t>T</w:t>
      </w:r>
      <w:r w:rsidR="00633D02">
        <w:t>iesību norma</w:t>
      </w:r>
      <w:r w:rsidR="00633D02" w:rsidRPr="00633D02">
        <w:t xml:space="preserve"> </w:t>
      </w:r>
      <w:r w:rsidR="001D19E2">
        <w:t>ne</w:t>
      </w:r>
      <w:r w:rsidR="00633D02" w:rsidRPr="00633D02">
        <w:t xml:space="preserve">paredz, ka </w:t>
      </w:r>
      <w:r w:rsidR="00981BF4">
        <w:t xml:space="preserve">visi </w:t>
      </w:r>
      <w:r w:rsidR="000A3DB9">
        <w:t>kredītiestādes</w:t>
      </w:r>
      <w:r w:rsidR="00871540">
        <w:t xml:space="preserve"> </w:t>
      </w:r>
      <w:r w:rsidR="00633D02" w:rsidRPr="00633D02">
        <w:t>klientu līdzekļi to izpētes stadijā</w:t>
      </w:r>
      <w:r w:rsidR="00981BF4">
        <w:t xml:space="preserve"> (</w:t>
      </w:r>
      <w:r w:rsidR="00981BF4" w:rsidRPr="00981BF4">
        <w:rPr>
          <w:rFonts w:asciiTheme="majorBidi" w:hAnsiTheme="majorBidi" w:cstheme="majorBidi"/>
        </w:rPr>
        <w:t>vēl nav pārbaudīti vai par kuriem tiek veiktas pārbaudes</w:t>
      </w:r>
      <w:r w:rsidR="00981BF4">
        <w:rPr>
          <w:rFonts w:asciiTheme="majorBidi" w:hAnsiTheme="majorBidi" w:cstheme="majorBidi"/>
        </w:rPr>
        <w:t>) ir</w:t>
      </w:r>
      <w:r w:rsidR="00633D02" w:rsidRPr="00633D02">
        <w:t xml:space="preserve"> pielīdzināmi noziedzīgi iegūtajiem vai prezumējami par tādiem, kas izslēdzami no komerctiesiskās apgrozības</w:t>
      </w:r>
      <w:r w:rsidR="00633D02">
        <w:t>.</w:t>
      </w:r>
      <w:r w:rsidR="00981BF4">
        <w:t xml:space="preserve"> </w:t>
      </w:r>
      <w:r w:rsidR="00025C89">
        <w:t xml:space="preserve">Proti, šāda veida </w:t>
      </w:r>
      <w:r w:rsidR="00025C89" w:rsidRPr="00025C89">
        <w:t>līdzekļ</w:t>
      </w:r>
      <w:r w:rsidR="00025C89">
        <w:t>i</w:t>
      </w:r>
      <w:r w:rsidR="00025C89" w:rsidRPr="00025C89">
        <w:t>, kuru izcelsmes izpēte</w:t>
      </w:r>
      <w:r w:rsidR="00025C89">
        <w:t xml:space="preserve"> vēl </w:t>
      </w:r>
      <w:r w:rsidR="00025C89" w:rsidRPr="00025C89">
        <w:t xml:space="preserve">nav īstenota, </w:t>
      </w:r>
      <w:r w:rsidR="00025C89">
        <w:t>nav automātiski</w:t>
      </w:r>
      <w:r w:rsidR="00025C89" w:rsidRPr="00025C89">
        <w:t xml:space="preserve"> pielīdzin</w:t>
      </w:r>
      <w:r w:rsidR="00025C89">
        <w:t>āmi</w:t>
      </w:r>
      <w:r w:rsidR="00025C89" w:rsidRPr="00025C89">
        <w:t xml:space="preserve"> noziedzīgi iegūtiem līdzekļiem, kuri</w:t>
      </w:r>
      <w:r w:rsidR="00025C89">
        <w:t xml:space="preserve"> </w:t>
      </w:r>
      <w:r w:rsidR="00025C89" w:rsidRPr="00025C89">
        <w:t xml:space="preserve">būtu pakļaujami </w:t>
      </w:r>
      <w:r w:rsidR="00025C89">
        <w:t>Novēršanas</w:t>
      </w:r>
      <w:r w:rsidR="00025C89" w:rsidRPr="00025C89">
        <w:t xml:space="preserve"> likumā</w:t>
      </w:r>
      <w:r w:rsidR="00025C89">
        <w:t xml:space="preserve"> </w:t>
      </w:r>
      <w:r w:rsidR="00025C89" w:rsidRPr="00025C89">
        <w:t>noteiktajiem ierobežojumiem</w:t>
      </w:r>
      <w:r w:rsidR="00025C89">
        <w:t>.</w:t>
      </w:r>
      <w:r w:rsidR="00872232">
        <w:t xml:space="preserve"> </w:t>
      </w:r>
    </w:p>
    <w:p w14:paraId="28E451C5" w14:textId="04E6665E" w:rsidR="00025C89" w:rsidRDefault="001D19E2" w:rsidP="00E1502E">
      <w:pPr>
        <w:spacing w:line="276" w:lineRule="auto"/>
        <w:ind w:firstLine="720"/>
        <w:jc w:val="both"/>
      </w:pPr>
      <w:r>
        <w:t>I</w:t>
      </w:r>
      <w:r w:rsidR="00872232">
        <w:t>zskatāmajā lietā nav konstatēts, ka strīdus līdzekļi atzīti par noziedzīgi iegūtiem</w:t>
      </w:r>
      <w:r w:rsidR="00110B52">
        <w:t xml:space="preserve"> tiesību normās noteiktajā kārtībā</w:t>
      </w:r>
      <w:r w:rsidR="00872232">
        <w:t>.</w:t>
      </w:r>
      <w:r w:rsidR="0084538E">
        <w:t xml:space="preserve"> </w:t>
      </w:r>
      <w:r w:rsidR="00110B52">
        <w:t>Turklāt, kā norādīts kasācijas sūdzībā, pieteicējas naudas</w:t>
      </w:r>
      <w:r w:rsidR="00110B52" w:rsidRPr="00110B52">
        <w:t xml:space="preserve"> līdzekļu izcelsmes pārbaude tika veikta atbilstoši </w:t>
      </w:r>
      <w:r w:rsidR="00110B52">
        <w:t xml:space="preserve">subordinētā aizdevuma </w:t>
      </w:r>
      <w:r w:rsidR="00110B52" w:rsidRPr="00110B52">
        <w:t xml:space="preserve">līguma noslēgšanas brīdī spēkā esošajām </w:t>
      </w:r>
      <w:r w:rsidR="00110B52">
        <w:t xml:space="preserve">Novēršanas likuma </w:t>
      </w:r>
      <w:r w:rsidR="00110B52" w:rsidRPr="00110B52">
        <w:t>normām.</w:t>
      </w:r>
      <w:r w:rsidR="00110B52">
        <w:t xml:space="preserve"> Tomēr, ņemot vērā, ka l</w:t>
      </w:r>
      <w:r w:rsidR="00110B52" w:rsidRPr="00110B52">
        <w:t>aika gaitā likuma prasības kļuva stingrākas, beidzoties</w:t>
      </w:r>
      <w:r w:rsidR="006741BD">
        <w:t xml:space="preserve"> subordinētā aizdevuma</w:t>
      </w:r>
      <w:r w:rsidR="00110B52" w:rsidRPr="00110B52">
        <w:t xml:space="preserve"> līguma termiņam, bankai </w:t>
      </w:r>
      <w:r w:rsidR="006741BD">
        <w:t>noteikts pienākums veikt</w:t>
      </w:r>
      <w:r w:rsidR="00110B52" w:rsidRPr="00110B52">
        <w:t xml:space="preserve"> padziļināt</w:t>
      </w:r>
      <w:r w:rsidR="006741BD">
        <w:t>u pieteicējas naudas līdzekļu</w:t>
      </w:r>
      <w:r w:rsidR="00110B52" w:rsidRPr="00110B52">
        <w:t xml:space="preserve"> izcelsmes izpēt</w:t>
      </w:r>
      <w:r w:rsidR="006741BD">
        <w:t>i.</w:t>
      </w:r>
      <w:r w:rsidR="00E1502E">
        <w:t xml:space="preserve"> </w:t>
      </w:r>
      <w:r w:rsidR="00E1502E" w:rsidRPr="00E1502E">
        <w:t xml:space="preserve">Tomēr tas </w:t>
      </w:r>
      <w:r w:rsidR="00CE4288">
        <w:t>nenozīmē</w:t>
      </w:r>
      <w:r w:rsidR="00E1502E" w:rsidRPr="00E1502E">
        <w:t xml:space="preserve">, ka šie līdzekļi </w:t>
      </w:r>
      <w:r w:rsidR="00CE4288">
        <w:t xml:space="preserve">vairs nedrīkst atrasties konkrētajā kredītiestādē un nevar tikt izmantoti tās pašu kapitāla aprēķinos. Šie līdzekļi </w:t>
      </w:r>
      <w:r w:rsidR="00E1502E" w:rsidRPr="00E1502E">
        <w:t>joprojām uzskat</w:t>
      </w:r>
      <w:r>
        <w:t xml:space="preserve">āmi </w:t>
      </w:r>
      <w:r w:rsidR="00E1502E" w:rsidRPr="00E1502E">
        <w:t>par bankas aktīviem.</w:t>
      </w:r>
    </w:p>
    <w:p w14:paraId="00EEFFA1" w14:textId="77777777" w:rsidR="00872232" w:rsidRDefault="00872232" w:rsidP="00871540">
      <w:pPr>
        <w:spacing w:line="276" w:lineRule="auto"/>
        <w:ind w:firstLine="720"/>
        <w:jc w:val="both"/>
      </w:pPr>
    </w:p>
    <w:p w14:paraId="2C60BA19" w14:textId="024FAD39" w:rsidR="007B06AA" w:rsidRDefault="00872232" w:rsidP="0084538E">
      <w:pPr>
        <w:spacing w:line="276" w:lineRule="auto"/>
        <w:ind w:firstLine="720"/>
        <w:jc w:val="both"/>
        <w:rPr>
          <w:rFonts w:asciiTheme="majorBidi" w:hAnsiTheme="majorBidi" w:cstheme="majorBidi"/>
        </w:rPr>
      </w:pPr>
      <w:r>
        <w:lastRenderedPageBreak/>
        <w:t>[</w:t>
      </w:r>
      <w:r w:rsidR="0052793A">
        <w:t>8</w:t>
      </w:r>
      <w:r>
        <w:t>] </w:t>
      </w:r>
      <w:r w:rsidR="0084538E">
        <w:t>Senāts norāda, ka i</w:t>
      </w:r>
      <w:r w:rsidR="00871540">
        <w:t>zskatāmajā gadījumā ir svarīgi ņemt vērā, ka pārsūdzētā l</w:t>
      </w:r>
      <w:r w:rsidR="00871540" w:rsidRPr="00871540">
        <w:rPr>
          <w:rFonts w:asciiTheme="majorBidi" w:hAnsiTheme="majorBidi" w:cstheme="majorBidi"/>
        </w:rPr>
        <w:t>ēmuma</w:t>
      </w:r>
      <w:r w:rsidR="004E6A84">
        <w:rPr>
          <w:rFonts w:asciiTheme="majorBidi" w:hAnsiTheme="majorBidi" w:cstheme="majorBidi"/>
        </w:rPr>
        <w:t xml:space="preserve"> </w:t>
      </w:r>
      <w:r w:rsidR="00871540" w:rsidRPr="00871540">
        <w:rPr>
          <w:rFonts w:asciiTheme="majorBidi" w:hAnsiTheme="majorBidi" w:cstheme="majorBidi"/>
        </w:rPr>
        <w:t xml:space="preserve">mērķis nebija konstatēt noziedzīgi iegūtu līdzekļu legalizācijas un terorisma un proliferācijas finansēšanas novēršanas jomas prasību neizpildi </w:t>
      </w:r>
      <w:r w:rsidR="00871540">
        <w:rPr>
          <w:rFonts w:asciiTheme="majorBidi" w:hAnsiTheme="majorBidi" w:cstheme="majorBidi"/>
        </w:rPr>
        <w:t>b</w:t>
      </w:r>
      <w:r w:rsidR="00871540" w:rsidRPr="00871540">
        <w:rPr>
          <w:rFonts w:asciiTheme="majorBidi" w:hAnsiTheme="majorBidi" w:cstheme="majorBidi"/>
        </w:rPr>
        <w:t xml:space="preserve">ankas darbībā attiecībā uz </w:t>
      </w:r>
      <w:r w:rsidR="00871540">
        <w:rPr>
          <w:rFonts w:asciiTheme="majorBidi" w:hAnsiTheme="majorBidi" w:cstheme="majorBidi"/>
        </w:rPr>
        <w:t>p</w:t>
      </w:r>
      <w:r w:rsidR="00871540" w:rsidRPr="00871540">
        <w:rPr>
          <w:rFonts w:asciiTheme="majorBidi" w:hAnsiTheme="majorBidi" w:cstheme="majorBidi"/>
        </w:rPr>
        <w:t xml:space="preserve">ieteicēju vai ierobežot </w:t>
      </w:r>
      <w:r w:rsidR="00871540">
        <w:rPr>
          <w:rFonts w:asciiTheme="majorBidi" w:hAnsiTheme="majorBidi" w:cstheme="majorBidi"/>
        </w:rPr>
        <w:t>p</w:t>
      </w:r>
      <w:r w:rsidR="00871540" w:rsidRPr="00871540">
        <w:rPr>
          <w:rFonts w:asciiTheme="majorBidi" w:hAnsiTheme="majorBidi" w:cstheme="majorBidi"/>
        </w:rPr>
        <w:t>ieteicēja tiesības tāpēc, ka</w:t>
      </w:r>
      <w:r w:rsidR="00871540">
        <w:rPr>
          <w:rFonts w:asciiTheme="majorBidi" w:hAnsiTheme="majorBidi" w:cstheme="majorBidi"/>
        </w:rPr>
        <w:t xml:space="preserve"> banka nav </w:t>
      </w:r>
      <w:r w:rsidR="00871540" w:rsidRPr="00871540">
        <w:rPr>
          <w:rFonts w:asciiTheme="majorBidi" w:hAnsiTheme="majorBidi" w:cstheme="majorBidi"/>
        </w:rPr>
        <w:t>pienācīgi veik</w:t>
      </w:r>
      <w:r w:rsidR="00871540">
        <w:rPr>
          <w:rFonts w:asciiTheme="majorBidi" w:hAnsiTheme="majorBidi" w:cstheme="majorBidi"/>
        </w:rPr>
        <w:t>usi</w:t>
      </w:r>
      <w:r w:rsidR="00871540" w:rsidRPr="00871540">
        <w:rPr>
          <w:rFonts w:asciiTheme="majorBidi" w:hAnsiTheme="majorBidi" w:cstheme="majorBidi"/>
        </w:rPr>
        <w:t xml:space="preserve"> tam piederošo līdzekļu izcelsm</w:t>
      </w:r>
      <w:r w:rsidR="006F6208">
        <w:rPr>
          <w:rFonts w:asciiTheme="majorBidi" w:hAnsiTheme="majorBidi" w:cstheme="majorBidi"/>
        </w:rPr>
        <w:t>es pārbaudi.</w:t>
      </w:r>
      <w:r w:rsidR="00871540">
        <w:rPr>
          <w:rFonts w:asciiTheme="majorBidi" w:hAnsiTheme="majorBidi" w:cstheme="majorBidi"/>
        </w:rPr>
        <w:t xml:space="preserve"> </w:t>
      </w:r>
    </w:p>
    <w:p w14:paraId="234D2D4B" w14:textId="4E7A6049" w:rsidR="007B06AA" w:rsidRDefault="007B06AA" w:rsidP="007B06AA">
      <w:pPr>
        <w:spacing w:line="276" w:lineRule="auto"/>
        <w:ind w:firstLine="720"/>
        <w:jc w:val="both"/>
      </w:pPr>
      <w:r>
        <w:t>Finanšu un kapitāla tirgus komisijas likuma 5.pants noteic k</w:t>
      </w:r>
      <w:r w:rsidRPr="005F7B38">
        <w:t>omisijas darbības mērķi</w:t>
      </w:r>
      <w:r>
        <w:t xml:space="preserve"> –</w:t>
      </w:r>
      <w:r w:rsidRPr="005F7B38">
        <w:t xml:space="preserve"> veicināt ieguldītāju, noguldītāju un apdrošināto personu interešu aizsardzību un finanšu un kapitāla tirgus attīstību un stabilitāti, kā arī noziedzīgi iegūtu līdzekļu legalizācijas un terorisma un proliferācijas finansēšanas novēršanu.</w:t>
      </w:r>
      <w:r>
        <w:t xml:space="preserve"> Viena no komisijas funkcijām minētā mērķa sasniegšanai ir</w:t>
      </w:r>
      <w:r w:rsidRPr="00B3004E">
        <w:t xml:space="preserve"> finanšu un kapitāla tirgu un tā dalībnieku darbīb</w:t>
      </w:r>
      <w:r>
        <w:t>as regulēšana</w:t>
      </w:r>
      <w:r w:rsidRPr="00B3004E">
        <w:t xml:space="preserve">, kontrolējot normatīvo aktu un </w:t>
      </w:r>
      <w:r>
        <w:t>k</w:t>
      </w:r>
      <w:r w:rsidRPr="00B3004E">
        <w:t>omisijas normatīvo noteikumu un lēmumu izpildi</w:t>
      </w:r>
      <w:r>
        <w:t xml:space="preserve"> (</w:t>
      </w:r>
      <w:r w:rsidRPr="00B3004E">
        <w:rPr>
          <w:i/>
          <w:iCs/>
        </w:rPr>
        <w:t>likuma 6.panta otrā daļa</w:t>
      </w:r>
      <w:r>
        <w:t>).</w:t>
      </w:r>
    </w:p>
    <w:p w14:paraId="3707F8E0" w14:textId="32920E3C" w:rsidR="007B06AA" w:rsidRDefault="007B06AA" w:rsidP="007B06AA">
      <w:pPr>
        <w:spacing w:line="276" w:lineRule="auto"/>
        <w:ind w:firstLine="720"/>
        <w:jc w:val="both"/>
      </w:pPr>
      <w:r>
        <w:t xml:space="preserve">Senāts atzīst, ka arī pārsūdzētā lēmuma mērķis ir minētajā uzraudzības ietvarā nodrošināt finanšu un kapitāla tirgus stabilitāti, kā arī īstenot noguldītāju kopuma interešu aizsardzību. </w:t>
      </w:r>
    </w:p>
    <w:p w14:paraId="7DF10EAB" w14:textId="2B83C95A" w:rsidR="007B06AA" w:rsidRDefault="007B06AA" w:rsidP="007B06AA">
      <w:pPr>
        <w:spacing w:line="276" w:lineRule="auto"/>
        <w:ind w:firstLine="720"/>
        <w:jc w:val="both"/>
      </w:pPr>
      <w:r>
        <w:rPr>
          <w:rFonts w:asciiTheme="majorBidi" w:hAnsiTheme="majorBidi" w:cstheme="majorBidi"/>
        </w:rPr>
        <w:t xml:space="preserve">Proti, </w:t>
      </w:r>
      <w:r w:rsidR="00F7129F">
        <w:rPr>
          <w:rFonts w:asciiTheme="majorBidi" w:hAnsiTheme="majorBidi" w:cstheme="majorBidi"/>
        </w:rPr>
        <w:t xml:space="preserve">pārsūdzētais </w:t>
      </w:r>
      <w:r>
        <w:rPr>
          <w:rFonts w:asciiTheme="majorBidi" w:hAnsiTheme="majorBidi" w:cstheme="majorBidi"/>
        </w:rPr>
        <w:t>lēmums</w:t>
      </w:r>
      <w:r w:rsidR="004E6A84">
        <w:rPr>
          <w:rFonts w:asciiTheme="majorBidi" w:hAnsiTheme="majorBidi" w:cstheme="majorBidi"/>
        </w:rPr>
        <w:t>, tostarp tā 3.1.apakšpunkts,</w:t>
      </w:r>
      <w:r>
        <w:rPr>
          <w:rFonts w:asciiTheme="majorBidi" w:hAnsiTheme="majorBidi" w:cstheme="majorBidi"/>
        </w:rPr>
        <w:t xml:space="preserve"> pieņemts ar mērķi stabilizēt b</w:t>
      </w:r>
      <w:r w:rsidRPr="00871540">
        <w:rPr>
          <w:rFonts w:asciiTheme="majorBidi" w:hAnsiTheme="majorBidi" w:cstheme="majorBidi"/>
        </w:rPr>
        <w:t>ankas finansiāl</w:t>
      </w:r>
      <w:r>
        <w:rPr>
          <w:rFonts w:asciiTheme="majorBidi" w:hAnsiTheme="majorBidi" w:cstheme="majorBidi"/>
        </w:rPr>
        <w:t xml:space="preserve">o </w:t>
      </w:r>
      <w:r w:rsidRPr="00871540">
        <w:rPr>
          <w:rFonts w:asciiTheme="majorBidi" w:hAnsiTheme="majorBidi" w:cstheme="majorBidi"/>
        </w:rPr>
        <w:t>situācij</w:t>
      </w:r>
      <w:r>
        <w:rPr>
          <w:rFonts w:asciiTheme="majorBidi" w:hAnsiTheme="majorBidi" w:cstheme="majorBidi"/>
        </w:rPr>
        <w:t>u – banka neizpildīja iepriekš noteiktās saistības attiecībā uz pašu kapitāla un likviditātes prasībām, kas radīja priekšnoteikumus agrīnās intervences pasākumu īstenošanai un attiecīgu saistību izpildes ierobežojumu noteikšanai ar mērķi pieteicējam liegt piekļuvi savam noguldījumam līdz brīdim, kad tiks veikti bankas kapitāla stiprināšanas pasākumi.</w:t>
      </w:r>
      <w:r>
        <w:t xml:space="preserve"> Arī apgabaltiesa spriedumā pamatoti vērsusi uzmanību, ka pārsūdzētajā lēmumā ietvertas skaidras norādes </w:t>
      </w:r>
      <w:r w:rsidRPr="003B42A6">
        <w:t xml:space="preserve">par </w:t>
      </w:r>
      <w:r>
        <w:t>b</w:t>
      </w:r>
      <w:r w:rsidRPr="003B42A6">
        <w:t>ankai saistošo prasību</w:t>
      </w:r>
      <w:r>
        <w:t xml:space="preserve"> </w:t>
      </w:r>
      <w:r w:rsidRPr="003B42A6">
        <w:t xml:space="preserve">neizpildi un konstatēti apstākļi, kas norāda uz </w:t>
      </w:r>
      <w:r>
        <w:t>b</w:t>
      </w:r>
      <w:r w:rsidRPr="003B42A6">
        <w:t>ankas darbības stabilitātes apdraudējumu</w:t>
      </w:r>
      <w:r>
        <w:t>. Tāpēc, lai novērstu bankas</w:t>
      </w:r>
      <w:r w:rsidRPr="009D6B98">
        <w:t xml:space="preserve"> darbības stabilitātes vai maksātspējas apdraudējum</w:t>
      </w:r>
      <w:r>
        <w:t>u, komisija</w:t>
      </w:r>
      <w:r w:rsidR="004E6A84">
        <w:t>i</w:t>
      </w:r>
      <w:r>
        <w:t xml:space="preserve"> </w:t>
      </w:r>
      <w:r w:rsidRPr="003B42A6">
        <w:t>atbilstoši tai piešķirtajai kompetencei</w:t>
      </w:r>
      <w:r>
        <w:t xml:space="preserve"> bija pamats piemērot </w:t>
      </w:r>
      <w:r w:rsidRPr="005041D3">
        <w:t>agrīnās intervences pasākumu</w:t>
      </w:r>
      <w:r>
        <w:t xml:space="preserve">s – dot </w:t>
      </w:r>
      <w:r w:rsidRPr="005041D3">
        <w:t xml:space="preserve">saistošus norādījumus </w:t>
      </w:r>
      <w:r>
        <w:t>b</w:t>
      </w:r>
      <w:r w:rsidRPr="005041D3">
        <w:t>ankas valdei veikt konkrētas</w:t>
      </w:r>
      <w:r>
        <w:t xml:space="preserve"> </w:t>
      </w:r>
      <w:r w:rsidRPr="005041D3">
        <w:t xml:space="preserve">darbības, lai tiktu īstenota </w:t>
      </w:r>
      <w:r>
        <w:t>b</w:t>
      </w:r>
      <w:r w:rsidRPr="005041D3">
        <w:t>ankas pašu kapitāla atjaunošana līdz tai saistošo prasību līmenim</w:t>
      </w:r>
      <w:r>
        <w:t xml:space="preserve"> (</w:t>
      </w:r>
      <w:r w:rsidRPr="007B06AA">
        <w:rPr>
          <w:i/>
          <w:iCs/>
        </w:rPr>
        <w:t>pārsūdzētā sprieduma 17.–18.punkts</w:t>
      </w:r>
      <w:r>
        <w:t>).</w:t>
      </w:r>
    </w:p>
    <w:p w14:paraId="5B29D7C0" w14:textId="5CE3F502" w:rsidR="007B06AA" w:rsidRDefault="007B06AA" w:rsidP="007B06AA">
      <w:pPr>
        <w:spacing w:line="276" w:lineRule="auto"/>
        <w:ind w:firstLine="720"/>
        <w:jc w:val="both"/>
        <w:rPr>
          <w:rFonts w:asciiTheme="majorBidi" w:hAnsiTheme="majorBidi" w:cstheme="majorBidi"/>
        </w:rPr>
      </w:pPr>
      <w:r>
        <w:t>Jāņem vērā, ka p</w:t>
      </w:r>
      <w:r w:rsidR="0052793A">
        <w:rPr>
          <w:rFonts w:asciiTheme="majorBidi" w:hAnsiTheme="majorBidi" w:cstheme="majorBidi"/>
        </w:rPr>
        <w:t xml:space="preserve">ieteicējs ir </w:t>
      </w:r>
      <w:r w:rsidR="004E6A84">
        <w:rPr>
          <w:rFonts w:asciiTheme="majorBidi" w:hAnsiTheme="majorBidi" w:cstheme="majorBidi"/>
        </w:rPr>
        <w:t>ne tikai</w:t>
      </w:r>
      <w:r w:rsidR="0052793A">
        <w:rPr>
          <w:rFonts w:asciiTheme="majorBidi" w:hAnsiTheme="majorBidi" w:cstheme="majorBidi"/>
        </w:rPr>
        <w:t xml:space="preserve"> bankas klients, </w:t>
      </w:r>
      <w:r w:rsidR="004E6A84">
        <w:rPr>
          <w:rFonts w:asciiTheme="majorBidi" w:hAnsiTheme="majorBidi" w:cstheme="majorBidi"/>
        </w:rPr>
        <w:t>bet arī</w:t>
      </w:r>
      <w:r w:rsidR="0052793A">
        <w:rPr>
          <w:rFonts w:asciiTheme="majorBidi" w:hAnsiTheme="majorBidi" w:cstheme="majorBidi"/>
        </w:rPr>
        <w:t xml:space="preserve"> akcionārs ar lielāko noguldījumu apmēru bankā, un šādos apstākļos </w:t>
      </w:r>
      <w:r w:rsidR="0052793A" w:rsidRPr="0052793A">
        <w:rPr>
          <w:rFonts w:asciiTheme="majorBidi" w:hAnsiTheme="majorBidi" w:cstheme="majorBidi"/>
        </w:rPr>
        <w:t>Senāts piekrīt kasācijas sūdzībā norādītajam, ka</w:t>
      </w:r>
      <w:r w:rsidR="0052793A">
        <w:rPr>
          <w:rFonts w:asciiTheme="majorBidi" w:hAnsiTheme="majorBidi" w:cstheme="majorBidi"/>
        </w:rPr>
        <w:t>, p</w:t>
      </w:r>
      <w:r w:rsidR="0052793A" w:rsidRPr="0052793A">
        <w:rPr>
          <w:rFonts w:asciiTheme="majorBidi" w:hAnsiTheme="majorBidi" w:cstheme="majorBidi"/>
        </w:rPr>
        <w:t>astāvot kredītiestādes stabilitātes un maksātspējas apdraudējumam, kredītiestādes akcionāru intereses tiek pakārtotas noguldītāju interesēm nolūkā veicināt noguldītāju interešu aizsardzību.</w:t>
      </w:r>
      <w:r w:rsidR="0052793A">
        <w:rPr>
          <w:rFonts w:asciiTheme="majorBidi" w:hAnsiTheme="majorBidi" w:cstheme="majorBidi"/>
        </w:rPr>
        <w:t xml:space="preserve"> </w:t>
      </w:r>
    </w:p>
    <w:p w14:paraId="4CFF6250" w14:textId="32C6FC74" w:rsidR="00E219CF" w:rsidRPr="00FE7C2F" w:rsidRDefault="00FE7C2F" w:rsidP="00163CB9">
      <w:pPr>
        <w:spacing w:line="276" w:lineRule="auto"/>
        <w:ind w:firstLine="720"/>
        <w:jc w:val="both"/>
        <w:rPr>
          <w:rFonts w:asciiTheme="majorBidi" w:hAnsiTheme="majorBidi" w:cstheme="majorBidi"/>
        </w:rPr>
      </w:pPr>
      <w:r>
        <w:rPr>
          <w:rFonts w:asciiTheme="majorBidi" w:hAnsiTheme="majorBidi" w:cstheme="majorBidi"/>
        </w:rPr>
        <w:t>A</w:t>
      </w:r>
      <w:r w:rsidR="007B06AA" w:rsidRPr="007B06AA">
        <w:rPr>
          <w:rFonts w:asciiTheme="majorBidi" w:hAnsiTheme="majorBidi" w:cstheme="majorBidi"/>
        </w:rPr>
        <w:t xml:space="preserve">kcionāri ir informēti par </w:t>
      </w:r>
      <w:r>
        <w:rPr>
          <w:rFonts w:asciiTheme="majorBidi" w:hAnsiTheme="majorBidi" w:cstheme="majorBidi"/>
        </w:rPr>
        <w:t>kredītiestādes</w:t>
      </w:r>
      <w:r w:rsidR="007B06AA" w:rsidRPr="007B06AA">
        <w:rPr>
          <w:rFonts w:asciiTheme="majorBidi" w:hAnsiTheme="majorBidi" w:cstheme="majorBidi"/>
        </w:rPr>
        <w:t xml:space="preserve"> finansiālajām problēmām, </w:t>
      </w:r>
      <w:r>
        <w:rPr>
          <w:rFonts w:asciiTheme="majorBidi" w:hAnsiTheme="majorBidi" w:cstheme="majorBidi"/>
        </w:rPr>
        <w:t xml:space="preserve">un šādos gadījumos, </w:t>
      </w:r>
      <w:r w:rsidRPr="007B06AA">
        <w:rPr>
          <w:rFonts w:asciiTheme="majorBidi" w:hAnsiTheme="majorBidi" w:cstheme="majorBidi"/>
        </w:rPr>
        <w:t>beidzoties subordinētā noguldījuma līguma</w:t>
      </w:r>
      <w:r w:rsidR="00532A7B">
        <w:rPr>
          <w:rFonts w:asciiTheme="majorBidi" w:hAnsiTheme="majorBidi" w:cstheme="majorBidi"/>
        </w:rPr>
        <w:t xml:space="preserve"> termiņam</w:t>
      </w:r>
      <w:r>
        <w:rPr>
          <w:rFonts w:asciiTheme="majorBidi" w:hAnsiTheme="majorBidi" w:cstheme="majorBidi"/>
        </w:rPr>
        <w:t xml:space="preserve">, neapšaubāmi pastāv </w:t>
      </w:r>
      <w:r w:rsidR="007B06AA" w:rsidRPr="007B06AA">
        <w:rPr>
          <w:rFonts w:asciiTheme="majorBidi" w:hAnsiTheme="majorBidi" w:cstheme="majorBidi"/>
        </w:rPr>
        <w:t>naudas aizplū</w:t>
      </w:r>
      <w:r w:rsidR="00FA0B6E">
        <w:rPr>
          <w:rFonts w:asciiTheme="majorBidi" w:hAnsiTheme="majorBidi" w:cstheme="majorBidi"/>
        </w:rPr>
        <w:t>šanas</w:t>
      </w:r>
      <w:r w:rsidR="007B06AA" w:rsidRPr="007B06AA">
        <w:rPr>
          <w:rFonts w:asciiTheme="majorBidi" w:hAnsiTheme="majorBidi" w:cstheme="majorBidi"/>
        </w:rPr>
        <w:t xml:space="preserve"> risks</w:t>
      </w:r>
      <w:r w:rsidR="00163CB9">
        <w:rPr>
          <w:rFonts w:asciiTheme="majorBidi" w:hAnsiTheme="majorBidi" w:cstheme="majorBidi"/>
        </w:rPr>
        <w:t xml:space="preserve">, kā </w:t>
      </w:r>
      <w:r w:rsidR="007B06AA" w:rsidRPr="007B06AA">
        <w:rPr>
          <w:rFonts w:asciiTheme="majorBidi" w:hAnsiTheme="majorBidi" w:cstheme="majorBidi"/>
        </w:rPr>
        <w:t xml:space="preserve">rezultātā </w:t>
      </w:r>
      <w:r>
        <w:rPr>
          <w:rFonts w:asciiTheme="majorBidi" w:hAnsiTheme="majorBidi" w:cstheme="majorBidi"/>
        </w:rPr>
        <w:t xml:space="preserve">kredītiestādes </w:t>
      </w:r>
      <w:r w:rsidR="007B06AA" w:rsidRPr="007B06AA">
        <w:rPr>
          <w:rFonts w:asciiTheme="majorBidi" w:hAnsiTheme="majorBidi" w:cstheme="majorBidi"/>
        </w:rPr>
        <w:t>finansiālā situācija</w:t>
      </w:r>
      <w:r w:rsidR="00163CB9">
        <w:rPr>
          <w:rFonts w:asciiTheme="majorBidi" w:hAnsiTheme="majorBidi" w:cstheme="majorBidi"/>
        </w:rPr>
        <w:t xml:space="preserve"> pasliktinātos vēl vairāk</w:t>
      </w:r>
      <w:r>
        <w:rPr>
          <w:rFonts w:asciiTheme="majorBidi" w:hAnsiTheme="majorBidi" w:cstheme="majorBidi"/>
        </w:rPr>
        <w:t xml:space="preserve">. </w:t>
      </w:r>
      <w:r w:rsidR="00163CB9">
        <w:rPr>
          <w:rFonts w:asciiTheme="majorBidi" w:hAnsiTheme="majorBidi" w:cstheme="majorBidi"/>
        </w:rPr>
        <w:t>T</w:t>
      </w:r>
      <w:r>
        <w:rPr>
          <w:rFonts w:asciiTheme="majorBidi" w:hAnsiTheme="majorBidi" w:cstheme="majorBidi"/>
        </w:rPr>
        <w:t>as vien, ka</w:t>
      </w:r>
      <w:r w:rsidR="007B06AA" w:rsidRPr="007B06AA">
        <w:rPr>
          <w:rFonts w:asciiTheme="majorBidi" w:hAnsiTheme="majorBidi" w:cstheme="majorBidi"/>
        </w:rPr>
        <w:t xml:space="preserve"> par</w:t>
      </w:r>
      <w:r w:rsidR="00163CB9">
        <w:rPr>
          <w:rFonts w:asciiTheme="majorBidi" w:hAnsiTheme="majorBidi" w:cstheme="majorBidi"/>
        </w:rPr>
        <w:t xml:space="preserve"> </w:t>
      </w:r>
      <w:r w:rsidR="004E6A84">
        <w:rPr>
          <w:rFonts w:asciiTheme="majorBidi" w:hAnsiTheme="majorBidi" w:cstheme="majorBidi"/>
        </w:rPr>
        <w:t>noteiktiem</w:t>
      </w:r>
      <w:r>
        <w:rPr>
          <w:rFonts w:asciiTheme="majorBidi" w:hAnsiTheme="majorBidi" w:cstheme="majorBidi"/>
        </w:rPr>
        <w:t xml:space="preserve"> naudas</w:t>
      </w:r>
      <w:r w:rsidR="007B06AA" w:rsidRPr="007B06AA">
        <w:rPr>
          <w:rFonts w:asciiTheme="majorBidi" w:hAnsiTheme="majorBidi" w:cstheme="majorBidi"/>
        </w:rPr>
        <w:t xml:space="preserve"> līdzekļiem vēl nav iesniegti izcelsmi apliecinoši dokumenti vai tie atrodas izpētes stadijā, pats par sevi nevar būt </w:t>
      </w:r>
      <w:r>
        <w:rPr>
          <w:rFonts w:asciiTheme="majorBidi" w:hAnsiTheme="majorBidi" w:cstheme="majorBidi"/>
        </w:rPr>
        <w:t xml:space="preserve">pamats </w:t>
      </w:r>
      <w:r>
        <w:t>Novēršanas likuma 11.panta septīt</w:t>
      </w:r>
      <w:r w:rsidR="00163CB9">
        <w:t xml:space="preserve">ās </w:t>
      </w:r>
      <w:r>
        <w:t xml:space="preserve">daļas piemērošanai </w:t>
      </w:r>
      <w:r>
        <w:rPr>
          <w:rFonts w:asciiTheme="majorBidi" w:hAnsiTheme="majorBidi" w:cstheme="majorBidi"/>
        </w:rPr>
        <w:t xml:space="preserve">un </w:t>
      </w:r>
      <w:r w:rsidR="007B06AA" w:rsidRPr="007B06AA">
        <w:rPr>
          <w:rFonts w:asciiTheme="majorBidi" w:hAnsiTheme="majorBidi" w:cstheme="majorBidi"/>
        </w:rPr>
        <w:t>šādu līdzekļu izslēg</w:t>
      </w:r>
      <w:r>
        <w:rPr>
          <w:rFonts w:asciiTheme="majorBidi" w:hAnsiTheme="majorBidi" w:cstheme="majorBidi"/>
        </w:rPr>
        <w:t xml:space="preserve">šanai </w:t>
      </w:r>
      <w:r w:rsidR="007B06AA" w:rsidRPr="007B06AA">
        <w:rPr>
          <w:rFonts w:asciiTheme="majorBidi" w:hAnsiTheme="majorBidi" w:cstheme="majorBidi"/>
        </w:rPr>
        <w:t xml:space="preserve">no </w:t>
      </w:r>
      <w:r>
        <w:rPr>
          <w:rFonts w:asciiTheme="majorBidi" w:hAnsiTheme="majorBidi" w:cstheme="majorBidi"/>
        </w:rPr>
        <w:t>kredītiestādes</w:t>
      </w:r>
      <w:r w:rsidR="007B06AA" w:rsidRPr="007B06AA">
        <w:rPr>
          <w:rFonts w:asciiTheme="majorBidi" w:hAnsiTheme="majorBidi" w:cstheme="majorBidi"/>
        </w:rPr>
        <w:t xml:space="preserve"> bilances aktīvu puses</w:t>
      </w:r>
      <w:r>
        <w:rPr>
          <w:rFonts w:asciiTheme="majorBidi" w:hAnsiTheme="majorBidi" w:cstheme="majorBidi"/>
        </w:rPr>
        <w:t xml:space="preserve">, tostarp no likvīdo līdzekļu apmēra. </w:t>
      </w:r>
      <w:r w:rsidR="00163CB9">
        <w:rPr>
          <w:rFonts w:asciiTheme="majorBidi" w:hAnsiTheme="majorBidi" w:cstheme="majorBidi"/>
        </w:rPr>
        <w:t xml:space="preserve">Tāpat tas nenozīmē, ka komisija gadījumos, kad tas nepieciešams, </w:t>
      </w:r>
      <w:r w:rsidR="007B06AA" w:rsidRPr="007B06AA">
        <w:rPr>
          <w:rFonts w:asciiTheme="majorBidi" w:hAnsiTheme="majorBidi" w:cstheme="majorBidi"/>
        </w:rPr>
        <w:t xml:space="preserve">nevarētu noteikt </w:t>
      </w:r>
      <w:r w:rsidR="00163CB9">
        <w:rPr>
          <w:rFonts w:asciiTheme="majorBidi" w:hAnsiTheme="majorBidi" w:cstheme="majorBidi"/>
        </w:rPr>
        <w:t>šādiem līdzekļiem</w:t>
      </w:r>
      <w:r w:rsidR="007B06AA" w:rsidRPr="007B06AA">
        <w:rPr>
          <w:rFonts w:asciiTheme="majorBidi" w:hAnsiTheme="majorBidi" w:cstheme="majorBidi"/>
        </w:rPr>
        <w:t xml:space="preserve"> saistību izpildes ierobežojumus </w:t>
      </w:r>
      <w:r>
        <w:rPr>
          <w:rFonts w:asciiTheme="majorBidi" w:hAnsiTheme="majorBidi" w:cstheme="majorBidi"/>
        </w:rPr>
        <w:t xml:space="preserve">kredītiestādes </w:t>
      </w:r>
      <w:r w:rsidR="007B06AA" w:rsidRPr="007B06AA">
        <w:rPr>
          <w:rFonts w:asciiTheme="majorBidi" w:hAnsiTheme="majorBidi" w:cstheme="majorBidi"/>
        </w:rPr>
        <w:t>finansiālās situācijas pasliktināšanās gadījumā.</w:t>
      </w:r>
      <w:r w:rsidR="00163CB9">
        <w:rPr>
          <w:rFonts w:asciiTheme="majorBidi" w:hAnsiTheme="majorBidi" w:cstheme="majorBidi"/>
        </w:rPr>
        <w:t xml:space="preserve"> Šādu</w:t>
      </w:r>
      <w:r>
        <w:rPr>
          <w:rFonts w:asciiTheme="majorBidi" w:hAnsiTheme="majorBidi" w:cstheme="majorBidi"/>
        </w:rPr>
        <w:t xml:space="preserve"> </w:t>
      </w:r>
      <w:r w:rsidR="00163CB9" w:rsidRPr="00163CB9">
        <w:t>saistību izpildes ierobežojumu</w:t>
      </w:r>
      <w:r>
        <w:t xml:space="preserve"> </w:t>
      </w:r>
      <w:r w:rsidR="00163CB9">
        <w:t xml:space="preserve">noteikšana ir </w:t>
      </w:r>
      <w:r>
        <w:t>atbilstoš</w:t>
      </w:r>
      <w:r w:rsidR="00163CB9">
        <w:t>a</w:t>
      </w:r>
      <w:r>
        <w:t xml:space="preserve"> </w:t>
      </w:r>
      <w:r w:rsidR="0052793A">
        <w:t xml:space="preserve">komisijas </w:t>
      </w:r>
      <w:r w:rsidR="0052793A" w:rsidRPr="005F7B38">
        <w:t>darbības mērķi</w:t>
      </w:r>
      <w:r>
        <w:t>m</w:t>
      </w:r>
      <w:r w:rsidR="0052793A">
        <w:t xml:space="preserve"> </w:t>
      </w:r>
      <w:r w:rsidRPr="00FE7C2F">
        <w:t>nodrošināt finanšu un kapitāla tirgus stabilitāti</w:t>
      </w:r>
      <w:r>
        <w:t>,</w:t>
      </w:r>
      <w:r w:rsidRPr="00FE7C2F">
        <w:t xml:space="preserve"> īstenot noguldījumu kopuma interešu aizsardzību un garantēt finanšu sistēmas stabilitāti.</w:t>
      </w:r>
    </w:p>
    <w:p w14:paraId="5E161B41" w14:textId="77777777" w:rsidR="00872232" w:rsidRPr="001E30FD" w:rsidRDefault="00872232" w:rsidP="00FE7C2F">
      <w:pPr>
        <w:spacing w:line="276" w:lineRule="auto"/>
        <w:jc w:val="both"/>
        <w:rPr>
          <w:rFonts w:asciiTheme="majorBidi" w:hAnsiTheme="majorBidi" w:cstheme="majorBidi"/>
        </w:rPr>
      </w:pPr>
    </w:p>
    <w:p w14:paraId="4856345F" w14:textId="0C12DDDA" w:rsidR="001A1EA8" w:rsidRPr="003B743E" w:rsidRDefault="00E219CF" w:rsidP="00025C89">
      <w:pPr>
        <w:spacing w:line="276" w:lineRule="auto"/>
        <w:ind w:firstLine="720"/>
        <w:jc w:val="both"/>
      </w:pPr>
      <w:r w:rsidRPr="00B077FD">
        <w:rPr>
          <w:rFonts w:asciiTheme="majorBidi" w:hAnsiTheme="majorBidi" w:cstheme="majorBidi"/>
        </w:rPr>
        <w:t>[</w:t>
      </w:r>
      <w:r w:rsidR="006F6208">
        <w:rPr>
          <w:rFonts w:asciiTheme="majorBidi" w:hAnsiTheme="majorBidi" w:cstheme="majorBidi"/>
        </w:rPr>
        <w:t>9</w:t>
      </w:r>
      <w:r w:rsidRPr="00B077FD">
        <w:rPr>
          <w:rFonts w:asciiTheme="majorBidi" w:hAnsiTheme="majorBidi" w:cstheme="majorBidi"/>
        </w:rPr>
        <w:t>]</w:t>
      </w:r>
      <w:r w:rsidR="00BF518F">
        <w:rPr>
          <w:rFonts w:asciiTheme="majorBidi" w:hAnsiTheme="majorBidi" w:cstheme="majorBidi"/>
        </w:rPr>
        <w:t xml:space="preserve"> Apkopojot minēto, tiesa spriedumā ir </w:t>
      </w:r>
      <w:r w:rsidR="00BF518F" w:rsidRPr="00901B92">
        <w:t xml:space="preserve">nepamatoti </w:t>
      </w:r>
      <w:r w:rsidR="003B743E">
        <w:t>piemērojusi materiālo tiesību normu –</w:t>
      </w:r>
      <w:r w:rsidR="00BF518F">
        <w:t xml:space="preserve"> Novēršanas likuma 11.panta septīt</w:t>
      </w:r>
      <w:r w:rsidR="003B743E">
        <w:t>o</w:t>
      </w:r>
      <w:r w:rsidR="00BF518F">
        <w:t xml:space="preserve"> daļ</w:t>
      </w:r>
      <w:r w:rsidR="003B743E">
        <w:t xml:space="preserve">u. </w:t>
      </w:r>
      <w:r w:rsidR="00901B92" w:rsidRPr="00901B92">
        <w:t xml:space="preserve">Tāpēc spriedums </w:t>
      </w:r>
      <w:r w:rsidR="00FA0B6E">
        <w:t xml:space="preserve">pārsūdzētajā daļā </w:t>
      </w:r>
      <w:r w:rsidR="00901B92" w:rsidRPr="00901B92">
        <w:t>ir atceļams, un lieta nosūtāma Administratīvajai apgabaltiesai jaunai izskatīšanai.</w:t>
      </w:r>
    </w:p>
    <w:p w14:paraId="2E240A63" w14:textId="77777777" w:rsidR="001A1EA8" w:rsidRPr="00B077FD" w:rsidRDefault="001A1EA8" w:rsidP="001A1EA8">
      <w:pPr>
        <w:spacing w:line="276" w:lineRule="auto"/>
        <w:ind w:firstLine="567"/>
        <w:jc w:val="both"/>
        <w:rPr>
          <w:rFonts w:ascii="TimesNewRomanPSMT" w:eastAsiaTheme="minorHAnsi" w:hAnsi="TimesNewRomanPSMT" w:cs="TimesNewRomanPSMT"/>
          <w:lang w:eastAsia="en-US"/>
        </w:rPr>
      </w:pPr>
    </w:p>
    <w:p w14:paraId="37AF44B1" w14:textId="77777777" w:rsidR="001A1EA8" w:rsidRPr="00B077FD" w:rsidRDefault="001A1EA8" w:rsidP="001A1EA8">
      <w:pPr>
        <w:spacing w:line="276" w:lineRule="auto"/>
        <w:jc w:val="center"/>
        <w:rPr>
          <w:b/>
        </w:rPr>
      </w:pPr>
      <w:r w:rsidRPr="00B077FD">
        <w:rPr>
          <w:b/>
        </w:rPr>
        <w:t>Rezolutīvā daļa</w:t>
      </w:r>
    </w:p>
    <w:p w14:paraId="59EB1423" w14:textId="77777777" w:rsidR="001A1EA8" w:rsidRPr="00B077FD" w:rsidRDefault="001A1EA8" w:rsidP="001A1EA8">
      <w:pPr>
        <w:spacing w:line="276" w:lineRule="auto"/>
        <w:ind w:firstLine="567"/>
        <w:jc w:val="both"/>
        <w:rPr>
          <w:bCs/>
          <w:spacing w:val="70"/>
        </w:rPr>
      </w:pPr>
    </w:p>
    <w:p w14:paraId="01154D54" w14:textId="1FE4C90D" w:rsidR="007551D8" w:rsidRDefault="001A1EA8" w:rsidP="00345011">
      <w:pPr>
        <w:spacing w:line="276" w:lineRule="auto"/>
        <w:ind w:firstLine="720"/>
        <w:jc w:val="both"/>
      </w:pPr>
      <w:r w:rsidRPr="00B077FD">
        <w:t xml:space="preserve">Pamatojoties uz </w:t>
      </w:r>
      <w:r w:rsidR="00901B92" w:rsidRPr="00E71F04">
        <w:t>Administratīvā procesa likuma 129.</w:t>
      </w:r>
      <w:r w:rsidR="00901B92" w:rsidRPr="00E71F04">
        <w:rPr>
          <w:vertAlign w:val="superscript"/>
        </w:rPr>
        <w:t>1</w:t>
      </w:r>
      <w:r w:rsidR="00901B92" w:rsidRPr="00E71F04">
        <w:t>panta pirmās daļas 1.punktu, 348.panta pirmās daļas 2.punktu un 351.pantu</w:t>
      </w:r>
      <w:r w:rsidRPr="00B077FD">
        <w:t>, Senāts</w:t>
      </w:r>
    </w:p>
    <w:p w14:paraId="6563EED6" w14:textId="77777777" w:rsidR="00345011" w:rsidRDefault="00345011" w:rsidP="00345011">
      <w:pPr>
        <w:spacing w:line="276" w:lineRule="auto"/>
        <w:ind w:firstLine="720"/>
        <w:jc w:val="both"/>
      </w:pPr>
    </w:p>
    <w:p w14:paraId="188262B7" w14:textId="77777777" w:rsidR="00345011" w:rsidRPr="00345011" w:rsidRDefault="00345011" w:rsidP="00345011">
      <w:pPr>
        <w:spacing w:line="276" w:lineRule="auto"/>
        <w:ind w:firstLine="720"/>
        <w:jc w:val="both"/>
      </w:pPr>
    </w:p>
    <w:p w14:paraId="2687A9E0" w14:textId="77777777" w:rsidR="007551D8" w:rsidRPr="00B077FD" w:rsidRDefault="007551D8" w:rsidP="001A1EA8">
      <w:pPr>
        <w:spacing w:line="276" w:lineRule="auto"/>
        <w:ind w:firstLine="567"/>
        <w:jc w:val="both"/>
        <w:rPr>
          <w:strike/>
        </w:rPr>
      </w:pPr>
    </w:p>
    <w:p w14:paraId="092CC04F" w14:textId="77777777" w:rsidR="001A1EA8" w:rsidRPr="00B077FD" w:rsidRDefault="001A1EA8" w:rsidP="001A1EA8">
      <w:pPr>
        <w:spacing w:line="276" w:lineRule="auto"/>
        <w:jc w:val="center"/>
        <w:rPr>
          <w:b/>
        </w:rPr>
      </w:pPr>
      <w:r w:rsidRPr="00B077FD">
        <w:rPr>
          <w:b/>
        </w:rPr>
        <w:t>nosprieda</w:t>
      </w:r>
    </w:p>
    <w:p w14:paraId="14DA3C17" w14:textId="77777777" w:rsidR="001A1EA8" w:rsidRPr="00B077FD" w:rsidRDefault="001A1EA8" w:rsidP="001A1EA8">
      <w:pPr>
        <w:spacing w:line="276" w:lineRule="auto"/>
        <w:ind w:firstLine="567"/>
        <w:jc w:val="center"/>
        <w:rPr>
          <w:b/>
        </w:rPr>
      </w:pPr>
    </w:p>
    <w:p w14:paraId="13400A56" w14:textId="7FA3F65A" w:rsidR="001A1EA8" w:rsidRPr="00B077FD" w:rsidRDefault="001A1EA8" w:rsidP="001A1EA8">
      <w:pPr>
        <w:spacing w:line="276" w:lineRule="auto"/>
        <w:ind w:firstLine="720"/>
        <w:jc w:val="both"/>
        <w:rPr>
          <w:color w:val="000000"/>
          <w:shd w:val="clear" w:color="auto" w:fill="FFFFFF"/>
        </w:rPr>
      </w:pPr>
      <w:r w:rsidRPr="00B077FD">
        <w:t xml:space="preserve">atcelt Administratīvās apgabaltiesas </w:t>
      </w:r>
      <w:r w:rsidRPr="00B077FD">
        <w:rPr>
          <w:color w:val="000000"/>
          <w:shd w:val="clear" w:color="auto" w:fill="FFFFFF"/>
        </w:rPr>
        <w:t>202</w:t>
      </w:r>
      <w:r w:rsidR="00744BB5" w:rsidRPr="00B077FD">
        <w:rPr>
          <w:color w:val="000000"/>
          <w:shd w:val="clear" w:color="auto" w:fill="FFFFFF"/>
        </w:rPr>
        <w:t>3</w:t>
      </w:r>
      <w:r w:rsidRPr="00B077FD">
        <w:rPr>
          <w:color w:val="000000"/>
          <w:shd w:val="clear" w:color="auto" w:fill="FFFFFF"/>
        </w:rPr>
        <w:t xml:space="preserve">.gada </w:t>
      </w:r>
      <w:r w:rsidR="0036019F">
        <w:rPr>
          <w:color w:val="000000"/>
          <w:shd w:val="clear" w:color="auto" w:fill="FFFFFF"/>
        </w:rPr>
        <w:t xml:space="preserve">[..] </w:t>
      </w:r>
      <w:r w:rsidRPr="00B077FD">
        <w:rPr>
          <w:color w:val="000000"/>
          <w:shd w:val="clear" w:color="auto" w:fill="FFFFFF"/>
        </w:rPr>
        <w:t>spriedumu</w:t>
      </w:r>
      <w:r w:rsidR="00744BB5" w:rsidRPr="00B077FD">
        <w:rPr>
          <w:color w:val="000000"/>
          <w:shd w:val="clear" w:color="auto" w:fill="FFFFFF"/>
        </w:rPr>
        <w:t xml:space="preserve"> daļā, kurā apmierināts </w:t>
      </w:r>
      <w:r w:rsidR="0036019F">
        <w:rPr>
          <w:i/>
          <w:iCs/>
          <w:color w:val="000000"/>
          <w:shd w:val="clear" w:color="auto" w:fill="FFFFFF"/>
        </w:rPr>
        <w:t xml:space="preserve">[pers. A] </w:t>
      </w:r>
      <w:r w:rsidR="00744BB5" w:rsidRPr="00B077FD">
        <w:rPr>
          <w:color w:val="000000"/>
          <w:shd w:val="clear" w:color="auto" w:fill="FFFFFF"/>
        </w:rPr>
        <w:t>pieteikums,</w:t>
      </w:r>
      <w:r w:rsidRPr="00B077FD">
        <w:rPr>
          <w:color w:val="000000"/>
          <w:shd w:val="clear" w:color="auto" w:fill="FFFFFF"/>
        </w:rPr>
        <w:t xml:space="preserve"> un nosūtīt lietu</w:t>
      </w:r>
      <w:r w:rsidR="00744BB5" w:rsidRPr="00B077FD">
        <w:rPr>
          <w:color w:val="000000"/>
          <w:shd w:val="clear" w:color="auto" w:fill="FFFFFF"/>
        </w:rPr>
        <w:t xml:space="preserve"> šajā daļā</w:t>
      </w:r>
      <w:r w:rsidRPr="00B077FD">
        <w:rPr>
          <w:color w:val="000000"/>
          <w:shd w:val="clear" w:color="auto" w:fill="FFFFFF"/>
        </w:rPr>
        <w:t xml:space="preserve"> </w:t>
      </w:r>
      <w:r w:rsidR="00AB7268">
        <w:rPr>
          <w:color w:val="000000"/>
          <w:shd w:val="clear" w:color="auto" w:fill="FFFFFF"/>
        </w:rPr>
        <w:br/>
      </w:r>
      <w:r w:rsidRPr="00B077FD">
        <w:rPr>
          <w:color w:val="000000"/>
          <w:shd w:val="clear" w:color="auto" w:fill="FFFFFF"/>
        </w:rPr>
        <w:t>jaunai izskatīšanai Administratīvajai apgabaltiesai</w:t>
      </w:r>
      <w:r w:rsidR="00054360">
        <w:rPr>
          <w:color w:val="000000"/>
          <w:shd w:val="clear" w:color="auto" w:fill="FFFFFF"/>
        </w:rPr>
        <w:t>;</w:t>
      </w:r>
    </w:p>
    <w:p w14:paraId="20036A67" w14:textId="6218EC8D" w:rsidR="00744BB5" w:rsidRPr="00B077FD" w:rsidRDefault="00054360" w:rsidP="001A1EA8">
      <w:pPr>
        <w:spacing w:line="276" w:lineRule="auto"/>
        <w:ind w:firstLine="720"/>
        <w:jc w:val="both"/>
      </w:pPr>
      <w:r>
        <w:rPr>
          <w:color w:val="000000"/>
          <w:shd w:val="clear" w:color="auto" w:fill="FFFFFF"/>
        </w:rPr>
        <w:t>a</w:t>
      </w:r>
      <w:r w:rsidR="00744BB5" w:rsidRPr="00B077FD">
        <w:rPr>
          <w:color w:val="000000"/>
          <w:shd w:val="clear" w:color="auto" w:fill="FFFFFF"/>
        </w:rPr>
        <w:t xml:space="preserve">tmaksāt Latvijas Bankai drošības naudu 70 </w:t>
      </w:r>
      <w:r w:rsidR="00744BB5" w:rsidRPr="00B077FD">
        <w:rPr>
          <w:i/>
          <w:iCs/>
          <w:color w:val="000000"/>
          <w:shd w:val="clear" w:color="auto" w:fill="FFFFFF"/>
        </w:rPr>
        <w:t>euro</w:t>
      </w:r>
      <w:r w:rsidR="00744BB5" w:rsidRPr="00B077FD">
        <w:rPr>
          <w:color w:val="000000"/>
          <w:shd w:val="clear" w:color="auto" w:fill="FFFFFF"/>
        </w:rPr>
        <w:t>.</w:t>
      </w:r>
    </w:p>
    <w:p w14:paraId="1AD93FC4" w14:textId="77777777" w:rsidR="001A1EA8" w:rsidRPr="00B077FD" w:rsidRDefault="001A1EA8" w:rsidP="001A1EA8">
      <w:pPr>
        <w:spacing w:line="276" w:lineRule="auto"/>
        <w:ind w:firstLine="567"/>
        <w:jc w:val="both"/>
        <w:rPr>
          <w:color w:val="000000"/>
          <w:shd w:val="clear" w:color="auto" w:fill="FFFFFF"/>
        </w:rPr>
      </w:pPr>
    </w:p>
    <w:p w14:paraId="1B6FF05D" w14:textId="77777777" w:rsidR="001A1EA8" w:rsidRPr="00B077FD" w:rsidRDefault="001A1EA8" w:rsidP="001A1EA8">
      <w:pPr>
        <w:spacing w:line="276" w:lineRule="auto"/>
        <w:ind w:firstLine="720"/>
        <w:jc w:val="both"/>
      </w:pPr>
      <w:r w:rsidRPr="00B077FD">
        <w:t>Spriedums nav pārsūdzams.</w:t>
      </w:r>
    </w:p>
    <w:p w14:paraId="3064CF11" w14:textId="77777777" w:rsidR="001A1EA8" w:rsidRPr="00B077FD" w:rsidRDefault="001A1EA8" w:rsidP="001A1EA8">
      <w:pPr>
        <w:spacing w:line="276" w:lineRule="auto"/>
        <w:ind w:firstLine="567"/>
        <w:jc w:val="both"/>
      </w:pPr>
    </w:p>
    <w:p w14:paraId="26688A41" w14:textId="77777777" w:rsidR="001A1EA8" w:rsidRPr="00B077FD" w:rsidRDefault="001A1EA8" w:rsidP="001A1EA8">
      <w:pPr>
        <w:spacing w:line="276" w:lineRule="auto"/>
        <w:ind w:firstLine="567"/>
        <w:jc w:val="both"/>
      </w:pPr>
    </w:p>
    <w:p w14:paraId="18B9288E" w14:textId="77777777" w:rsidR="001A1EA8" w:rsidRDefault="001A1EA8" w:rsidP="00DE0C75">
      <w:pPr>
        <w:spacing w:line="276" w:lineRule="auto"/>
        <w:jc w:val="both"/>
      </w:pPr>
    </w:p>
    <w:p w14:paraId="1381F2F2" w14:textId="77777777" w:rsidR="006F6208" w:rsidRPr="00B077FD" w:rsidRDefault="006F6208" w:rsidP="00DE0C75">
      <w:pPr>
        <w:spacing w:line="276" w:lineRule="auto"/>
        <w:jc w:val="both"/>
      </w:pPr>
    </w:p>
    <w:p w14:paraId="2AAFC4C1" w14:textId="57F49770" w:rsidR="00480855" w:rsidRPr="00B077FD" w:rsidRDefault="00480855" w:rsidP="00744BB5">
      <w:pPr>
        <w:spacing w:line="276" w:lineRule="auto"/>
        <w:ind w:firstLine="567"/>
        <w:jc w:val="both"/>
      </w:pPr>
    </w:p>
    <w:sectPr w:rsidR="00480855" w:rsidRPr="00B077FD">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E21B" w14:textId="77777777" w:rsidR="00641903" w:rsidRDefault="00641903">
      <w:r>
        <w:separator/>
      </w:r>
    </w:p>
  </w:endnote>
  <w:endnote w:type="continuationSeparator" w:id="0">
    <w:p w14:paraId="7C304FCD" w14:textId="77777777" w:rsidR="00641903" w:rsidRDefault="0064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46CE" w14:textId="64F0C77E" w:rsidR="005E6EC0" w:rsidRPr="00DE0C75" w:rsidRDefault="00A91928">
    <w:pPr>
      <w:pStyle w:val="Footer"/>
      <w:jc w:val="center"/>
      <w:rPr>
        <w:sz w:val="20"/>
        <w:szCs w:val="20"/>
      </w:rPr>
    </w:pPr>
    <w:r w:rsidRPr="00DE0C75">
      <w:rPr>
        <w:sz w:val="20"/>
        <w:szCs w:val="20"/>
      </w:rPr>
      <w:fldChar w:fldCharType="begin"/>
    </w:r>
    <w:r w:rsidRPr="00DE0C75">
      <w:rPr>
        <w:sz w:val="20"/>
        <w:szCs w:val="20"/>
      </w:rPr>
      <w:instrText>PAGE</w:instrText>
    </w:r>
    <w:r w:rsidRPr="00DE0C75">
      <w:rPr>
        <w:sz w:val="20"/>
        <w:szCs w:val="20"/>
      </w:rPr>
      <w:fldChar w:fldCharType="separate"/>
    </w:r>
    <w:r w:rsidRPr="00DE0C75">
      <w:rPr>
        <w:sz w:val="20"/>
        <w:szCs w:val="20"/>
      </w:rPr>
      <w:t>1</w:t>
    </w:r>
    <w:r w:rsidRPr="00DE0C75">
      <w:rPr>
        <w:sz w:val="20"/>
        <w:szCs w:val="20"/>
      </w:rPr>
      <w:fldChar w:fldCharType="end"/>
    </w:r>
    <w:r w:rsidRPr="00DE0C75">
      <w:rPr>
        <w:rStyle w:val="PageNumber"/>
        <w:sz w:val="20"/>
        <w:szCs w:val="20"/>
      </w:rPr>
      <w:t xml:space="preserve"> no </w:t>
    </w:r>
    <w:r w:rsidRPr="00DE0C75">
      <w:rPr>
        <w:noProof/>
        <w:sz w:val="20"/>
        <w:szCs w:val="20"/>
      </w:rPr>
      <w:fldChar w:fldCharType="begin"/>
    </w:r>
    <w:r w:rsidRPr="00DE0C75">
      <w:rPr>
        <w:noProof/>
        <w:sz w:val="20"/>
        <w:szCs w:val="20"/>
      </w:rPr>
      <w:instrText>SECTIONPAGES   \* MERGEFORMAT</w:instrText>
    </w:r>
    <w:r w:rsidRPr="00DE0C75">
      <w:rPr>
        <w:noProof/>
        <w:sz w:val="20"/>
        <w:szCs w:val="20"/>
      </w:rPr>
      <w:fldChar w:fldCharType="separate"/>
    </w:r>
    <w:r w:rsidR="000F5A87">
      <w:rPr>
        <w:noProof/>
        <w:sz w:val="20"/>
        <w:szCs w:val="20"/>
      </w:rPr>
      <w:t>7</w:t>
    </w:r>
    <w:r w:rsidRPr="00DE0C75">
      <w:rPr>
        <w:noProof/>
        <w:sz w:val="20"/>
        <w:szCs w:val="20"/>
      </w:rPr>
      <w:fldChar w:fldCharType="end"/>
    </w:r>
    <w:bookmarkStart w:id="1" w:name="__Fieldmark__171_3260321367"/>
    <w:bookmarkStart w:id="2" w:name="__Fieldmark__667_1373986896"/>
    <w:bookmarkStart w:id="3" w:name="__Fieldmark__363_2235992191"/>
    <w:bookmarkEnd w:id="1"/>
    <w:bookmarkEnd w:id="2"/>
    <w:bookmarkEnd w:id="3"/>
  </w:p>
  <w:p w14:paraId="26DB3CB5" w14:textId="77777777" w:rsidR="005E6EC0" w:rsidRDefault="005E6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1416" w14:textId="77777777" w:rsidR="00641903" w:rsidRDefault="00641903">
      <w:r>
        <w:separator/>
      </w:r>
    </w:p>
  </w:footnote>
  <w:footnote w:type="continuationSeparator" w:id="0">
    <w:p w14:paraId="41546DF3" w14:textId="77777777" w:rsidR="00641903" w:rsidRDefault="00641903">
      <w:r>
        <w:continuationSeparator/>
      </w:r>
    </w:p>
  </w:footnote>
  <w:footnote w:id="1">
    <w:p w14:paraId="3501D854" w14:textId="77777777" w:rsidR="001A3B98" w:rsidRDefault="001A3B98" w:rsidP="001A3B98">
      <w:pPr>
        <w:spacing w:line="276" w:lineRule="auto"/>
        <w:contextualSpacing/>
        <w:rPr>
          <w:rFonts w:eastAsiaTheme="minorEastAsia"/>
          <w:lang w:eastAsia="en-US"/>
        </w:rPr>
      </w:pPr>
      <w:r w:rsidRPr="001A3B98">
        <w:rPr>
          <w:rStyle w:val="FootnoteReference"/>
          <w:vertAlign w:val="superscript"/>
        </w:rPr>
        <w:footnoteRef/>
      </w:r>
      <w:r w:rsidRPr="001A3B98">
        <w:rPr>
          <w:vertAlign w:val="superscript"/>
        </w:rPr>
        <w:t xml:space="preserve"> </w:t>
      </w:r>
      <w:r w:rsidRPr="007C3D04">
        <w:rPr>
          <w:rFonts w:eastAsiaTheme="minorEastAsia"/>
          <w:sz w:val="20"/>
          <w:szCs w:val="20"/>
          <w:lang w:eastAsia="en-US"/>
        </w:rPr>
        <w:t>Slēgtas lietas statuss</w:t>
      </w:r>
    </w:p>
    <w:p w14:paraId="22D4EF06" w14:textId="77777777" w:rsidR="001A3B98" w:rsidRDefault="001A3B98" w:rsidP="001A3B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404AB"/>
    <w:multiLevelType w:val="hybridMultilevel"/>
    <w:tmpl w:val="3EC2EA6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204744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A8"/>
    <w:rsid w:val="00004C45"/>
    <w:rsid w:val="000108CC"/>
    <w:rsid w:val="00015EB1"/>
    <w:rsid w:val="00025C89"/>
    <w:rsid w:val="00034F3B"/>
    <w:rsid w:val="00047530"/>
    <w:rsid w:val="00054360"/>
    <w:rsid w:val="00065DF2"/>
    <w:rsid w:val="00071E89"/>
    <w:rsid w:val="000758A1"/>
    <w:rsid w:val="000A3DB9"/>
    <w:rsid w:val="000A4E59"/>
    <w:rsid w:val="000C5F8E"/>
    <w:rsid w:val="000F5A87"/>
    <w:rsid w:val="00105B02"/>
    <w:rsid w:val="00110B52"/>
    <w:rsid w:val="00110F98"/>
    <w:rsid w:val="001323E9"/>
    <w:rsid w:val="00134566"/>
    <w:rsid w:val="00150252"/>
    <w:rsid w:val="00163C70"/>
    <w:rsid w:val="00163CB9"/>
    <w:rsid w:val="001A1EA8"/>
    <w:rsid w:val="001A3B98"/>
    <w:rsid w:val="001B328C"/>
    <w:rsid w:val="001D19E2"/>
    <w:rsid w:val="001D7545"/>
    <w:rsid w:val="001E30FD"/>
    <w:rsid w:val="001E51F9"/>
    <w:rsid w:val="001F642F"/>
    <w:rsid w:val="00213A78"/>
    <w:rsid w:val="00242C5D"/>
    <w:rsid w:val="002548C6"/>
    <w:rsid w:val="00261672"/>
    <w:rsid w:val="00265445"/>
    <w:rsid w:val="00281128"/>
    <w:rsid w:val="002A59B8"/>
    <w:rsid w:val="002A5B36"/>
    <w:rsid w:val="002B0D22"/>
    <w:rsid w:val="002C3428"/>
    <w:rsid w:val="002C7AC4"/>
    <w:rsid w:val="002D76BF"/>
    <w:rsid w:val="002E376D"/>
    <w:rsid w:val="002E7B2E"/>
    <w:rsid w:val="002F4559"/>
    <w:rsid w:val="0034296B"/>
    <w:rsid w:val="00345011"/>
    <w:rsid w:val="0036019F"/>
    <w:rsid w:val="00360848"/>
    <w:rsid w:val="00363665"/>
    <w:rsid w:val="003737F2"/>
    <w:rsid w:val="00387C2E"/>
    <w:rsid w:val="003B42A6"/>
    <w:rsid w:val="003B5EBD"/>
    <w:rsid w:val="003B743E"/>
    <w:rsid w:val="003C0DAF"/>
    <w:rsid w:val="003C2AE5"/>
    <w:rsid w:val="003C51F9"/>
    <w:rsid w:val="003D2501"/>
    <w:rsid w:val="003E6C0A"/>
    <w:rsid w:val="003F316E"/>
    <w:rsid w:val="00401D70"/>
    <w:rsid w:val="0040454B"/>
    <w:rsid w:val="00407D4E"/>
    <w:rsid w:val="004166E9"/>
    <w:rsid w:val="004532F9"/>
    <w:rsid w:val="00480855"/>
    <w:rsid w:val="004B00E5"/>
    <w:rsid w:val="004E3124"/>
    <w:rsid w:val="004E6A84"/>
    <w:rsid w:val="004F3395"/>
    <w:rsid w:val="004F4E3F"/>
    <w:rsid w:val="005020C0"/>
    <w:rsid w:val="005041D3"/>
    <w:rsid w:val="00505533"/>
    <w:rsid w:val="00507F9D"/>
    <w:rsid w:val="0051047D"/>
    <w:rsid w:val="00514F3F"/>
    <w:rsid w:val="0052793A"/>
    <w:rsid w:val="00527F2B"/>
    <w:rsid w:val="00532A7B"/>
    <w:rsid w:val="00547108"/>
    <w:rsid w:val="00594044"/>
    <w:rsid w:val="00595417"/>
    <w:rsid w:val="005A209B"/>
    <w:rsid w:val="005A6E09"/>
    <w:rsid w:val="005C7EA5"/>
    <w:rsid w:val="005E6EC0"/>
    <w:rsid w:val="005F418E"/>
    <w:rsid w:val="005F7B38"/>
    <w:rsid w:val="00610B39"/>
    <w:rsid w:val="0061163D"/>
    <w:rsid w:val="00633D02"/>
    <w:rsid w:val="006378BF"/>
    <w:rsid w:val="00641903"/>
    <w:rsid w:val="00642EBE"/>
    <w:rsid w:val="00653CBA"/>
    <w:rsid w:val="00657551"/>
    <w:rsid w:val="006741BD"/>
    <w:rsid w:val="00682CB5"/>
    <w:rsid w:val="00685322"/>
    <w:rsid w:val="006941F5"/>
    <w:rsid w:val="00697A1C"/>
    <w:rsid w:val="006B504D"/>
    <w:rsid w:val="006C1543"/>
    <w:rsid w:val="006C4DD3"/>
    <w:rsid w:val="006F1FF8"/>
    <w:rsid w:val="006F44BE"/>
    <w:rsid w:val="006F6208"/>
    <w:rsid w:val="00701B52"/>
    <w:rsid w:val="007143DC"/>
    <w:rsid w:val="00716885"/>
    <w:rsid w:val="00721C14"/>
    <w:rsid w:val="00744BB5"/>
    <w:rsid w:val="00747253"/>
    <w:rsid w:val="0075011D"/>
    <w:rsid w:val="007523AB"/>
    <w:rsid w:val="007551D8"/>
    <w:rsid w:val="00760930"/>
    <w:rsid w:val="00761D2E"/>
    <w:rsid w:val="0077086C"/>
    <w:rsid w:val="00774E7E"/>
    <w:rsid w:val="00791606"/>
    <w:rsid w:val="007B06AA"/>
    <w:rsid w:val="007C73D1"/>
    <w:rsid w:val="007D069D"/>
    <w:rsid w:val="007D1516"/>
    <w:rsid w:val="007D1817"/>
    <w:rsid w:val="007E297B"/>
    <w:rsid w:val="007E4CF4"/>
    <w:rsid w:val="00806A5F"/>
    <w:rsid w:val="0081508F"/>
    <w:rsid w:val="008319B2"/>
    <w:rsid w:val="00844A76"/>
    <w:rsid w:val="0084538E"/>
    <w:rsid w:val="00850692"/>
    <w:rsid w:val="0085206D"/>
    <w:rsid w:val="00854661"/>
    <w:rsid w:val="00856325"/>
    <w:rsid w:val="00860DB2"/>
    <w:rsid w:val="0087011A"/>
    <w:rsid w:val="00871540"/>
    <w:rsid w:val="008715B8"/>
    <w:rsid w:val="00872232"/>
    <w:rsid w:val="00873133"/>
    <w:rsid w:val="00873746"/>
    <w:rsid w:val="00886714"/>
    <w:rsid w:val="00887999"/>
    <w:rsid w:val="008A6BC2"/>
    <w:rsid w:val="008D086F"/>
    <w:rsid w:val="008E3FC5"/>
    <w:rsid w:val="008E6930"/>
    <w:rsid w:val="00901B92"/>
    <w:rsid w:val="00913E8C"/>
    <w:rsid w:val="00914F76"/>
    <w:rsid w:val="00953BD6"/>
    <w:rsid w:val="00963417"/>
    <w:rsid w:val="00981BF4"/>
    <w:rsid w:val="00990527"/>
    <w:rsid w:val="009A0683"/>
    <w:rsid w:val="009D6B98"/>
    <w:rsid w:val="009F19F8"/>
    <w:rsid w:val="00A027A8"/>
    <w:rsid w:val="00A15306"/>
    <w:rsid w:val="00A1599A"/>
    <w:rsid w:val="00A3585C"/>
    <w:rsid w:val="00A56661"/>
    <w:rsid w:val="00A62BF3"/>
    <w:rsid w:val="00A90E2C"/>
    <w:rsid w:val="00A91928"/>
    <w:rsid w:val="00A93AA0"/>
    <w:rsid w:val="00A94CF2"/>
    <w:rsid w:val="00A97861"/>
    <w:rsid w:val="00AB7268"/>
    <w:rsid w:val="00AC5EE9"/>
    <w:rsid w:val="00AE12D2"/>
    <w:rsid w:val="00AE13C6"/>
    <w:rsid w:val="00AE2ECF"/>
    <w:rsid w:val="00B01E68"/>
    <w:rsid w:val="00B06BC2"/>
    <w:rsid w:val="00B077FD"/>
    <w:rsid w:val="00B172EA"/>
    <w:rsid w:val="00B20E9B"/>
    <w:rsid w:val="00B269CB"/>
    <w:rsid w:val="00B3004E"/>
    <w:rsid w:val="00B34E91"/>
    <w:rsid w:val="00B40194"/>
    <w:rsid w:val="00B5216D"/>
    <w:rsid w:val="00B64569"/>
    <w:rsid w:val="00B66C95"/>
    <w:rsid w:val="00B8097D"/>
    <w:rsid w:val="00B87B1C"/>
    <w:rsid w:val="00B91166"/>
    <w:rsid w:val="00BA0CBF"/>
    <w:rsid w:val="00BC14B5"/>
    <w:rsid w:val="00BD4D60"/>
    <w:rsid w:val="00BD7ED6"/>
    <w:rsid w:val="00BE69D6"/>
    <w:rsid w:val="00BF095E"/>
    <w:rsid w:val="00BF3A08"/>
    <w:rsid w:val="00BF518F"/>
    <w:rsid w:val="00BF65BC"/>
    <w:rsid w:val="00C01E7B"/>
    <w:rsid w:val="00C26044"/>
    <w:rsid w:val="00C265A8"/>
    <w:rsid w:val="00C32FCF"/>
    <w:rsid w:val="00C378EA"/>
    <w:rsid w:val="00C44AAF"/>
    <w:rsid w:val="00C62253"/>
    <w:rsid w:val="00C679C4"/>
    <w:rsid w:val="00C70716"/>
    <w:rsid w:val="00C73450"/>
    <w:rsid w:val="00CD0DF7"/>
    <w:rsid w:val="00CE1BBB"/>
    <w:rsid w:val="00CE3843"/>
    <w:rsid w:val="00CE4288"/>
    <w:rsid w:val="00D034B8"/>
    <w:rsid w:val="00D137D2"/>
    <w:rsid w:val="00D26B90"/>
    <w:rsid w:val="00D4700A"/>
    <w:rsid w:val="00D51EDC"/>
    <w:rsid w:val="00D526FD"/>
    <w:rsid w:val="00D608E4"/>
    <w:rsid w:val="00D816B2"/>
    <w:rsid w:val="00D8298E"/>
    <w:rsid w:val="00DA095A"/>
    <w:rsid w:val="00DC1BE7"/>
    <w:rsid w:val="00DC421F"/>
    <w:rsid w:val="00DE0C75"/>
    <w:rsid w:val="00DF7349"/>
    <w:rsid w:val="00E0093C"/>
    <w:rsid w:val="00E02BFC"/>
    <w:rsid w:val="00E14C90"/>
    <w:rsid w:val="00E1502E"/>
    <w:rsid w:val="00E20964"/>
    <w:rsid w:val="00E219CF"/>
    <w:rsid w:val="00E4367D"/>
    <w:rsid w:val="00E61524"/>
    <w:rsid w:val="00E67D31"/>
    <w:rsid w:val="00E7095A"/>
    <w:rsid w:val="00E8485C"/>
    <w:rsid w:val="00E91456"/>
    <w:rsid w:val="00E91649"/>
    <w:rsid w:val="00EB7D2D"/>
    <w:rsid w:val="00ED2538"/>
    <w:rsid w:val="00EE3EC8"/>
    <w:rsid w:val="00F11D59"/>
    <w:rsid w:val="00F326B4"/>
    <w:rsid w:val="00F47EBA"/>
    <w:rsid w:val="00F7129F"/>
    <w:rsid w:val="00F830D0"/>
    <w:rsid w:val="00F865AC"/>
    <w:rsid w:val="00F95ED1"/>
    <w:rsid w:val="00FA0B6E"/>
    <w:rsid w:val="00FA2F92"/>
    <w:rsid w:val="00FA7CD8"/>
    <w:rsid w:val="00FB55AD"/>
    <w:rsid w:val="00FD3151"/>
    <w:rsid w:val="00FE7C2F"/>
    <w:rsid w:val="00FF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D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A8"/>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1EA8"/>
    <w:pPr>
      <w:spacing w:after="120" w:line="480" w:lineRule="auto"/>
    </w:pPr>
    <w:rPr>
      <w:lang w:val="x-none"/>
    </w:rPr>
  </w:style>
  <w:style w:type="character" w:customStyle="1" w:styleId="BodyText2Char">
    <w:name w:val="Body Text 2 Char"/>
    <w:basedOn w:val="DefaultParagraphFont"/>
    <w:link w:val="BodyText2"/>
    <w:rsid w:val="001A1EA8"/>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1A1EA8"/>
    <w:pPr>
      <w:tabs>
        <w:tab w:val="center" w:pos="4513"/>
        <w:tab w:val="right" w:pos="9026"/>
      </w:tabs>
    </w:pPr>
  </w:style>
  <w:style w:type="character" w:customStyle="1" w:styleId="FooterChar">
    <w:name w:val="Footer Char"/>
    <w:basedOn w:val="DefaultParagraphFont"/>
    <w:link w:val="Footer"/>
    <w:uiPriority w:val="99"/>
    <w:qFormat/>
    <w:rsid w:val="001A1EA8"/>
    <w:rPr>
      <w:rFonts w:eastAsia="Times New Roman" w:cs="Times New Roman"/>
      <w:kern w:val="0"/>
      <w:szCs w:val="24"/>
      <w:lang w:val="lv-LV" w:eastAsia="ru-RU"/>
      <w14:ligatures w14:val="none"/>
    </w:rPr>
  </w:style>
  <w:style w:type="character" w:styleId="PageNumber">
    <w:name w:val="page number"/>
    <w:basedOn w:val="DefaultParagraphFont"/>
    <w:qFormat/>
    <w:rsid w:val="001A1EA8"/>
  </w:style>
  <w:style w:type="paragraph" w:customStyle="1" w:styleId="ATvirsraksts">
    <w:name w:val="AT virsraksts"/>
    <w:basedOn w:val="Normal"/>
    <w:link w:val="ATvirsrakstsChar"/>
    <w:qFormat/>
    <w:rsid w:val="001A1EA8"/>
    <w:pPr>
      <w:spacing w:line="276" w:lineRule="auto"/>
      <w:jc w:val="center"/>
      <w:outlineLvl w:val="0"/>
    </w:pPr>
    <w:rPr>
      <w:b/>
    </w:rPr>
  </w:style>
  <w:style w:type="character" w:customStyle="1" w:styleId="ATvirsrakstsChar">
    <w:name w:val="AT virsraksts Char"/>
    <w:basedOn w:val="DefaultParagraphFont"/>
    <w:link w:val="ATvirsraksts"/>
    <w:rsid w:val="001A1EA8"/>
    <w:rPr>
      <w:rFonts w:eastAsia="Times New Roman" w:cs="Times New Roman"/>
      <w:b/>
      <w:kern w:val="0"/>
      <w:szCs w:val="24"/>
      <w:lang w:val="lv-LV" w:eastAsia="ru-RU"/>
      <w14:ligatures w14:val="none"/>
    </w:rPr>
  </w:style>
  <w:style w:type="paragraph" w:styleId="ListParagraph">
    <w:name w:val="List Paragraph"/>
    <w:basedOn w:val="Normal"/>
    <w:uiPriority w:val="34"/>
    <w:qFormat/>
    <w:rsid w:val="001A1EA8"/>
    <w:pPr>
      <w:spacing w:before="100" w:beforeAutospacing="1" w:after="100" w:afterAutospacing="1"/>
    </w:pPr>
    <w:rPr>
      <w:lang w:val="en-US" w:eastAsia="en-US"/>
    </w:rPr>
  </w:style>
  <w:style w:type="character" w:styleId="Emphasis">
    <w:name w:val="Emphasis"/>
    <w:basedOn w:val="DefaultParagraphFont"/>
    <w:uiPriority w:val="20"/>
    <w:qFormat/>
    <w:rsid w:val="001A1EA8"/>
    <w:rPr>
      <w:i/>
      <w:iCs/>
    </w:rPr>
  </w:style>
  <w:style w:type="character" w:styleId="CommentReference">
    <w:name w:val="annotation reference"/>
    <w:basedOn w:val="DefaultParagraphFont"/>
    <w:uiPriority w:val="99"/>
    <w:semiHidden/>
    <w:unhideWhenUsed/>
    <w:rsid w:val="00E4367D"/>
    <w:rPr>
      <w:sz w:val="16"/>
      <w:szCs w:val="16"/>
    </w:rPr>
  </w:style>
  <w:style w:type="paragraph" w:styleId="CommentText">
    <w:name w:val="annotation text"/>
    <w:basedOn w:val="Normal"/>
    <w:link w:val="CommentTextChar"/>
    <w:uiPriority w:val="99"/>
    <w:unhideWhenUsed/>
    <w:rsid w:val="00E4367D"/>
    <w:rPr>
      <w:sz w:val="20"/>
      <w:szCs w:val="20"/>
    </w:rPr>
  </w:style>
  <w:style w:type="character" w:customStyle="1" w:styleId="CommentTextChar">
    <w:name w:val="Comment Text Char"/>
    <w:basedOn w:val="DefaultParagraphFont"/>
    <w:link w:val="CommentText"/>
    <w:uiPriority w:val="99"/>
    <w:rsid w:val="00E4367D"/>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4367D"/>
    <w:rPr>
      <w:b/>
      <w:bCs/>
    </w:rPr>
  </w:style>
  <w:style w:type="character" w:customStyle="1" w:styleId="CommentSubjectChar">
    <w:name w:val="Comment Subject Char"/>
    <w:basedOn w:val="CommentTextChar"/>
    <w:link w:val="CommentSubject"/>
    <w:uiPriority w:val="99"/>
    <w:semiHidden/>
    <w:rsid w:val="00E4367D"/>
    <w:rPr>
      <w:rFonts w:eastAsia="Times New Roman" w:cs="Times New Roman"/>
      <w:b/>
      <w:bCs/>
      <w:kern w:val="0"/>
      <w:sz w:val="20"/>
      <w:szCs w:val="20"/>
      <w:lang w:val="lv-LV" w:eastAsia="ru-RU"/>
      <w14:ligatures w14:val="none"/>
    </w:rPr>
  </w:style>
  <w:style w:type="paragraph" w:styleId="Header">
    <w:name w:val="header"/>
    <w:basedOn w:val="Normal"/>
    <w:link w:val="HeaderChar"/>
    <w:uiPriority w:val="99"/>
    <w:unhideWhenUsed/>
    <w:rsid w:val="00DE0C75"/>
    <w:pPr>
      <w:tabs>
        <w:tab w:val="center" w:pos="4513"/>
        <w:tab w:val="right" w:pos="9026"/>
      </w:tabs>
    </w:pPr>
  </w:style>
  <w:style w:type="character" w:customStyle="1" w:styleId="HeaderChar">
    <w:name w:val="Header Char"/>
    <w:basedOn w:val="DefaultParagraphFont"/>
    <w:link w:val="Header"/>
    <w:uiPriority w:val="99"/>
    <w:rsid w:val="00DE0C75"/>
    <w:rPr>
      <w:rFonts w:eastAsia="Times New Roman" w:cs="Times New Roman"/>
      <w:kern w:val="0"/>
      <w:szCs w:val="24"/>
      <w:lang w:val="lv-LV" w:eastAsia="ru-RU"/>
      <w14:ligatures w14:val="none"/>
    </w:rPr>
  </w:style>
  <w:style w:type="paragraph" w:customStyle="1" w:styleId="Default">
    <w:name w:val="Default"/>
    <w:rsid w:val="00A94CF2"/>
    <w:pPr>
      <w:autoSpaceDE w:val="0"/>
      <w:autoSpaceDN w:val="0"/>
      <w:adjustRightInd w:val="0"/>
      <w:spacing w:after="0" w:line="240" w:lineRule="auto"/>
    </w:pPr>
    <w:rPr>
      <w:rFonts w:cs="Times New Roman"/>
      <w:color w:val="000000"/>
      <w:kern w:val="0"/>
      <w:szCs w:val="24"/>
      <w:lang w:val="lv-LV"/>
    </w:rPr>
  </w:style>
  <w:style w:type="character" w:styleId="Hyperlink">
    <w:name w:val="Hyperlink"/>
    <w:basedOn w:val="DefaultParagraphFont"/>
    <w:uiPriority w:val="99"/>
    <w:unhideWhenUsed/>
    <w:rsid w:val="003D2501"/>
    <w:rPr>
      <w:color w:val="0563C1" w:themeColor="hyperlink"/>
      <w:u w:val="single"/>
    </w:rPr>
  </w:style>
  <w:style w:type="character" w:styleId="UnresolvedMention">
    <w:name w:val="Unresolved Mention"/>
    <w:basedOn w:val="DefaultParagraphFont"/>
    <w:uiPriority w:val="99"/>
    <w:semiHidden/>
    <w:unhideWhenUsed/>
    <w:rsid w:val="003D2501"/>
    <w:rPr>
      <w:color w:val="605E5C"/>
      <w:shd w:val="clear" w:color="auto" w:fill="E1DFDD"/>
    </w:rPr>
  </w:style>
  <w:style w:type="paragraph" w:styleId="Revision">
    <w:name w:val="Revision"/>
    <w:hidden/>
    <w:uiPriority w:val="99"/>
    <w:semiHidden/>
    <w:rsid w:val="00844A76"/>
    <w:pPr>
      <w:spacing w:after="0" w:line="240" w:lineRule="auto"/>
    </w:pPr>
    <w:rPr>
      <w:rFonts w:eastAsia="Times New Roman" w:cs="Times New Roman"/>
      <w:kern w:val="0"/>
      <w:szCs w:val="24"/>
      <w:lang w:val="lv-LV" w:eastAsia="ru-RU"/>
      <w14:ligatures w14:val="none"/>
    </w:rPr>
  </w:style>
  <w:style w:type="character" w:styleId="FootnoteReference">
    <w:name w:val="footnote reference"/>
    <w:basedOn w:val="DefaultParagraphFont"/>
    <w:uiPriority w:val="99"/>
    <w:semiHidden/>
    <w:unhideWhenUsed/>
    <w:rsid w:val="001A3B98"/>
  </w:style>
  <w:style w:type="paragraph" w:styleId="FootnoteText">
    <w:name w:val="footnote text"/>
    <w:basedOn w:val="Normal"/>
    <w:link w:val="FootnoteTextChar"/>
    <w:uiPriority w:val="99"/>
    <w:semiHidden/>
    <w:unhideWhenUsed/>
    <w:rsid w:val="001A3B98"/>
    <w:rPr>
      <w:sz w:val="20"/>
      <w:szCs w:val="20"/>
    </w:rPr>
  </w:style>
  <w:style w:type="character" w:customStyle="1" w:styleId="FootnoteTextChar">
    <w:name w:val="Footnote Text Char"/>
    <w:basedOn w:val="DefaultParagraphFont"/>
    <w:link w:val="FootnoteText"/>
    <w:uiPriority w:val="99"/>
    <w:semiHidden/>
    <w:rsid w:val="001A3B98"/>
    <w:rPr>
      <w:rFonts w:eastAsia="Times New Roman" w:cs="Times New Roman"/>
      <w:kern w:val="0"/>
      <w:sz w:val="20"/>
      <w:szCs w:val="2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21CA-DAF5-4B76-9700-7E71DD36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12834</Words>
  <Characters>7316</Characters>
  <Application>Microsoft Office Word</Application>
  <DocSecurity>0</DocSecurity>
  <Lines>60</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2025-03-28T11:44:00Z</dcterms:created>
  <dcterms:modified xsi:type="dcterms:W3CDTF">2025-03-28T11:44:00Z</dcterms:modified>
</cp:coreProperties>
</file>