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CDF6A" w14:textId="77777777" w:rsidR="00A047D1" w:rsidRPr="00A047D1" w:rsidRDefault="00A047D1" w:rsidP="00A047D1">
      <w:pPr>
        <w:spacing w:line="276" w:lineRule="auto"/>
        <w:jc w:val="both"/>
        <w:rPr>
          <w:rFonts w:asciiTheme="majorBidi" w:hAnsiTheme="majorBidi" w:cstheme="majorBidi"/>
          <w:b/>
          <w:bCs/>
          <w:lang w:eastAsia="lv-LV"/>
          <w14:ligatures w14:val="standardContextual"/>
        </w:rPr>
      </w:pPr>
      <w:r w:rsidRPr="00A047D1">
        <w:rPr>
          <w:rFonts w:asciiTheme="majorBidi" w:hAnsiTheme="majorBidi" w:cstheme="majorBidi"/>
          <w:b/>
          <w:bCs/>
          <w14:ligatures w14:val="standardContextual"/>
        </w:rPr>
        <w:t xml:space="preserve">Soda nauda kā līdzeklis negodīgas </w:t>
      </w:r>
      <w:proofErr w:type="spellStart"/>
      <w:r w:rsidRPr="00A047D1">
        <w:rPr>
          <w:rFonts w:asciiTheme="majorBidi" w:hAnsiTheme="majorBidi" w:cstheme="majorBidi"/>
          <w:b/>
          <w:bCs/>
          <w14:ligatures w14:val="standardContextual"/>
        </w:rPr>
        <w:t>komercprakses</w:t>
      </w:r>
      <w:proofErr w:type="spellEnd"/>
      <w:r w:rsidRPr="00A047D1">
        <w:rPr>
          <w:rFonts w:asciiTheme="majorBidi" w:hAnsiTheme="majorBidi" w:cstheme="majorBidi"/>
          <w:b/>
          <w:bCs/>
          <w14:ligatures w14:val="standardContextual"/>
        </w:rPr>
        <w:t xml:space="preserve"> apkarošanas sistēmas efektīvas funkcionēšanas nodrošināšanai </w:t>
      </w:r>
    </w:p>
    <w:p w14:paraId="7D13B8AD" w14:textId="77777777" w:rsidR="00A047D1" w:rsidRPr="00A047D1" w:rsidRDefault="00A047D1" w:rsidP="00A047D1">
      <w:pPr>
        <w:spacing w:line="276" w:lineRule="auto"/>
        <w:jc w:val="both"/>
        <w:rPr>
          <w:rFonts w:asciiTheme="majorBidi" w:hAnsiTheme="majorBidi" w:cstheme="majorBidi"/>
          <w14:ligatures w14:val="standardContextual"/>
        </w:rPr>
      </w:pPr>
      <w:r w:rsidRPr="00A047D1">
        <w:rPr>
          <w:rFonts w:asciiTheme="majorBidi" w:hAnsiTheme="majorBidi" w:cstheme="majorBidi"/>
          <w14:ligatures w14:val="standardContextual"/>
        </w:rPr>
        <w:t xml:space="preserve">Soda nauda kā sankcija par negodīgu </w:t>
      </w:r>
      <w:proofErr w:type="spellStart"/>
      <w:r w:rsidRPr="00A047D1">
        <w:rPr>
          <w:rFonts w:asciiTheme="majorBidi" w:hAnsiTheme="majorBidi" w:cstheme="majorBidi"/>
          <w14:ligatures w14:val="standardContextual"/>
        </w:rPr>
        <w:t>komercpraksi</w:t>
      </w:r>
      <w:proofErr w:type="spellEnd"/>
      <w:r w:rsidRPr="00A047D1">
        <w:rPr>
          <w:rFonts w:asciiTheme="majorBidi" w:hAnsiTheme="majorBidi" w:cstheme="majorBidi"/>
          <w14:ligatures w14:val="standardContextual"/>
        </w:rPr>
        <w:t xml:space="preserve"> ir būtisks negodīgas </w:t>
      </w:r>
      <w:proofErr w:type="spellStart"/>
      <w:r w:rsidRPr="00A047D1">
        <w:rPr>
          <w:rFonts w:asciiTheme="majorBidi" w:hAnsiTheme="majorBidi" w:cstheme="majorBidi"/>
          <w14:ligatures w14:val="standardContextual"/>
        </w:rPr>
        <w:t>komercprakses</w:t>
      </w:r>
      <w:proofErr w:type="spellEnd"/>
      <w:r w:rsidRPr="00A047D1">
        <w:rPr>
          <w:rFonts w:asciiTheme="majorBidi" w:hAnsiTheme="majorBidi" w:cstheme="majorBidi"/>
          <w14:ligatures w14:val="standardContextual"/>
        </w:rPr>
        <w:t xml:space="preserve"> apkarošanas sistēmas elements, bez kura efektīva negodīgas </w:t>
      </w:r>
      <w:proofErr w:type="spellStart"/>
      <w:r w:rsidRPr="00A047D1">
        <w:rPr>
          <w:rFonts w:asciiTheme="majorBidi" w:hAnsiTheme="majorBidi" w:cstheme="majorBidi"/>
          <w14:ligatures w14:val="standardContextual"/>
        </w:rPr>
        <w:t>komercprakses</w:t>
      </w:r>
      <w:proofErr w:type="spellEnd"/>
      <w:r w:rsidRPr="00A047D1">
        <w:rPr>
          <w:rFonts w:asciiTheme="majorBidi" w:hAnsiTheme="majorBidi" w:cstheme="majorBidi"/>
          <w14:ligatures w14:val="standardContextual"/>
        </w:rPr>
        <w:t xml:space="preserve"> izbeigšana un izskaušana var būt neiespējama. Attiecīgi soda naudas piemērošanai arī ir jābūt efektīvai, kas </w:t>
      </w:r>
      <w:proofErr w:type="spellStart"/>
      <w:r w:rsidRPr="00A047D1">
        <w:rPr>
          <w:rFonts w:asciiTheme="majorBidi" w:hAnsiTheme="majorBidi" w:cstheme="majorBidi"/>
          <w14:ligatures w14:val="standardContextual"/>
        </w:rPr>
        <w:t>citstarp</w:t>
      </w:r>
      <w:proofErr w:type="spellEnd"/>
      <w:r w:rsidRPr="00A047D1">
        <w:rPr>
          <w:rFonts w:asciiTheme="majorBidi" w:hAnsiTheme="majorBidi" w:cstheme="majorBidi"/>
          <w14:ligatures w14:val="standardContextual"/>
        </w:rPr>
        <w:t xml:space="preserve"> nozīmē, ka pēc pārkāpuma konstatēšanas Patērētāju tiesību aizsardzības centram ir pienākums pēc iespējas ātrāk – bez liekas kavēšanās – pieņemt lēmumu par nepieciešamo sankciju piemērošanu. Ja pārkāpums ir pieļauts, bet soda nauda, lai arī nepieciešama, netiek ilgstoši piemērota, negodīgas </w:t>
      </w:r>
      <w:proofErr w:type="spellStart"/>
      <w:r w:rsidRPr="00A047D1">
        <w:rPr>
          <w:rFonts w:asciiTheme="majorBidi" w:hAnsiTheme="majorBidi" w:cstheme="majorBidi"/>
          <w14:ligatures w14:val="standardContextual"/>
        </w:rPr>
        <w:t>komercprakses</w:t>
      </w:r>
      <w:proofErr w:type="spellEnd"/>
      <w:r w:rsidRPr="00A047D1">
        <w:rPr>
          <w:rFonts w:asciiTheme="majorBidi" w:hAnsiTheme="majorBidi" w:cstheme="majorBidi"/>
          <w14:ligatures w14:val="standardContextual"/>
        </w:rPr>
        <w:t xml:space="preserve"> apkarošanas sistēma nevar efektīvi funkcionēt. Līdz ar to nav pieļaujama situācija, kurā pārkāpēja negodprātīgas rīcības dēļ soda naudas piemērošana tiek vilcināta, jo tas būtu tiešā pretrunā ar valsts pienākumu nodrošināt efektīvu patērētāju tiesību aizsardzību un efektīvu sankciju piemērošanu.</w:t>
      </w:r>
    </w:p>
    <w:p w14:paraId="032C61C4" w14:textId="77777777" w:rsidR="00A047D1" w:rsidRPr="00A047D1" w:rsidRDefault="00A047D1" w:rsidP="00A047D1">
      <w:pPr>
        <w:spacing w:line="276" w:lineRule="auto"/>
        <w:jc w:val="both"/>
        <w:rPr>
          <w:rFonts w:asciiTheme="majorBidi" w:hAnsiTheme="majorBidi" w:cstheme="majorBidi"/>
          <w:b/>
          <w:bCs/>
          <w14:ligatures w14:val="standardContextual"/>
        </w:rPr>
      </w:pPr>
    </w:p>
    <w:p w14:paraId="58AF52D3" w14:textId="77777777" w:rsidR="00A047D1" w:rsidRPr="00A047D1" w:rsidRDefault="00A047D1" w:rsidP="00A047D1">
      <w:pPr>
        <w:spacing w:line="276" w:lineRule="auto"/>
        <w:jc w:val="both"/>
        <w:rPr>
          <w:rFonts w:asciiTheme="majorBidi" w:hAnsiTheme="majorBidi" w:cstheme="majorBidi"/>
          <w:b/>
          <w:bCs/>
          <w:color w:val="0070C0"/>
          <w14:ligatures w14:val="standardContextual"/>
        </w:rPr>
      </w:pPr>
      <w:r w:rsidRPr="00A047D1">
        <w:rPr>
          <w:rFonts w:asciiTheme="majorBidi" w:hAnsiTheme="majorBidi" w:cstheme="majorBidi"/>
          <w:b/>
          <w:bCs/>
          <w14:ligatures w14:val="standardContextual"/>
        </w:rPr>
        <w:t xml:space="preserve">Lēmuma par negodīgu </w:t>
      </w:r>
      <w:proofErr w:type="spellStart"/>
      <w:r w:rsidRPr="00A047D1">
        <w:rPr>
          <w:rFonts w:asciiTheme="majorBidi" w:hAnsiTheme="majorBidi" w:cstheme="majorBidi"/>
          <w:b/>
          <w:bCs/>
          <w14:ligatures w14:val="standardContextual"/>
        </w:rPr>
        <w:t>komercpraksi</w:t>
      </w:r>
      <w:proofErr w:type="spellEnd"/>
      <w:r w:rsidRPr="00A047D1">
        <w:rPr>
          <w:rFonts w:asciiTheme="majorBidi" w:hAnsiTheme="majorBidi" w:cstheme="majorBidi"/>
          <w:b/>
          <w:bCs/>
          <w14:ligatures w14:val="standardContextual"/>
        </w:rPr>
        <w:t xml:space="preserve"> pieņemšanas termiņa pagarināšanas mērķis</w:t>
      </w:r>
    </w:p>
    <w:p w14:paraId="59095274" w14:textId="77777777" w:rsidR="00A047D1" w:rsidRPr="00A047D1" w:rsidRDefault="00A047D1" w:rsidP="00A047D1">
      <w:pPr>
        <w:spacing w:line="276" w:lineRule="auto"/>
        <w:jc w:val="both"/>
        <w:rPr>
          <w:rFonts w:asciiTheme="majorBidi" w:hAnsiTheme="majorBidi" w:cstheme="majorBidi"/>
          <w14:ligatures w14:val="standardContextual"/>
        </w:rPr>
      </w:pPr>
      <w:r w:rsidRPr="00A047D1">
        <w:rPr>
          <w:rFonts w:asciiTheme="majorBidi" w:hAnsiTheme="majorBidi" w:cstheme="majorBidi"/>
          <w14:ligatures w14:val="standardContextual"/>
        </w:rPr>
        <w:t xml:space="preserve">Apstākli, ka </w:t>
      </w:r>
      <w:proofErr w:type="spellStart"/>
      <w:r w:rsidRPr="00A047D1">
        <w:rPr>
          <w:rFonts w:asciiTheme="majorBidi" w:hAnsiTheme="majorBidi" w:cstheme="majorBidi"/>
          <w14:ligatures w14:val="standardContextual"/>
        </w:rPr>
        <w:t>komercprakses</w:t>
      </w:r>
      <w:proofErr w:type="spellEnd"/>
      <w:r w:rsidRPr="00A047D1">
        <w:rPr>
          <w:rFonts w:asciiTheme="majorBidi" w:hAnsiTheme="majorBidi" w:cstheme="majorBidi"/>
          <w14:ligatures w14:val="standardContextual"/>
        </w:rPr>
        <w:t xml:space="preserve"> īstenotājs bez attaisnojoša iemesla nav nodrošinājis iestādei piekļuvi informācijai par pēdējā finanšu gada neto apgrozījumu, nevar uzskatīt par objektīvu iemeslu lēmuma par negodīgu </w:t>
      </w:r>
      <w:proofErr w:type="spellStart"/>
      <w:r w:rsidRPr="00A047D1">
        <w:rPr>
          <w:rFonts w:asciiTheme="majorBidi" w:hAnsiTheme="majorBidi" w:cstheme="majorBidi"/>
          <w14:ligatures w14:val="standardContextual"/>
        </w:rPr>
        <w:t>komercpraksi</w:t>
      </w:r>
      <w:proofErr w:type="spellEnd"/>
      <w:r w:rsidRPr="00A047D1">
        <w:rPr>
          <w:rFonts w:asciiTheme="majorBidi" w:hAnsiTheme="majorBidi" w:cstheme="majorBidi"/>
          <w14:ligatures w14:val="standardContextual"/>
        </w:rPr>
        <w:t xml:space="preserve"> pieņemšanas termiņa pagarināšanai Negodīgas </w:t>
      </w:r>
      <w:proofErr w:type="spellStart"/>
      <w:r w:rsidRPr="00A047D1">
        <w:rPr>
          <w:rFonts w:asciiTheme="majorBidi" w:hAnsiTheme="majorBidi" w:cstheme="majorBidi"/>
          <w14:ligatures w14:val="standardContextual"/>
        </w:rPr>
        <w:t>komercprakses</w:t>
      </w:r>
      <w:proofErr w:type="spellEnd"/>
      <w:r w:rsidRPr="00A047D1">
        <w:rPr>
          <w:rFonts w:asciiTheme="majorBidi" w:hAnsiTheme="majorBidi" w:cstheme="majorBidi"/>
          <w14:ligatures w14:val="standardContextual"/>
        </w:rPr>
        <w:t xml:space="preserve"> aizlieguma likuma 15.panta divpadsmitās daļas izpratnē. Iespēja pagarināt lēmuma pieņemšanas termiņu likumā paredzēta tādēļ, lai nodrošinātu iespēju vispusīgi noskaidrot ar pārkāpumu saistītos apstākļus, nevis lai dotu iespēju negodprātīgam </w:t>
      </w:r>
      <w:proofErr w:type="spellStart"/>
      <w:r w:rsidRPr="00A047D1">
        <w:rPr>
          <w:rFonts w:asciiTheme="majorBidi" w:hAnsiTheme="majorBidi" w:cstheme="majorBidi"/>
          <w14:ligatures w14:val="standardContextual"/>
        </w:rPr>
        <w:t>komercprakses</w:t>
      </w:r>
      <w:proofErr w:type="spellEnd"/>
      <w:r w:rsidRPr="00A047D1">
        <w:rPr>
          <w:rFonts w:asciiTheme="majorBidi" w:hAnsiTheme="majorBidi" w:cstheme="majorBidi"/>
          <w14:ligatures w14:val="standardContextual"/>
        </w:rPr>
        <w:t xml:space="preserve"> īstenotājam vilcināt soda naudas piemērošanu.</w:t>
      </w:r>
    </w:p>
    <w:p w14:paraId="5A8A90F0" w14:textId="639726FE" w:rsidR="003C6F61" w:rsidRPr="00A047D1" w:rsidRDefault="003C6F61" w:rsidP="00A047D1">
      <w:pPr>
        <w:spacing w:line="276" w:lineRule="auto"/>
        <w:rPr>
          <w:rFonts w:asciiTheme="majorBidi" w:hAnsiTheme="majorBidi" w:cstheme="majorBidi"/>
          <w:lang w:eastAsia="lv-LV"/>
        </w:rPr>
      </w:pPr>
    </w:p>
    <w:p w14:paraId="10E7223B" w14:textId="1EE63AD4" w:rsidR="003C6F61" w:rsidRPr="00A047D1" w:rsidRDefault="003C6F61" w:rsidP="00A047D1">
      <w:pPr>
        <w:spacing w:line="276" w:lineRule="auto"/>
        <w:jc w:val="center"/>
        <w:rPr>
          <w:rFonts w:asciiTheme="majorBidi" w:hAnsiTheme="majorBidi" w:cstheme="majorBidi"/>
          <w:b/>
        </w:rPr>
      </w:pPr>
      <w:r w:rsidRPr="00A047D1">
        <w:rPr>
          <w:rFonts w:asciiTheme="majorBidi" w:hAnsiTheme="majorBidi" w:cstheme="majorBidi"/>
          <w:b/>
        </w:rPr>
        <w:t>Latvijas Republikas Senāt</w:t>
      </w:r>
      <w:r w:rsidR="00A047D1" w:rsidRPr="00A047D1">
        <w:rPr>
          <w:rFonts w:asciiTheme="majorBidi" w:hAnsiTheme="majorBidi" w:cstheme="majorBidi"/>
          <w:b/>
        </w:rPr>
        <w:t>a</w:t>
      </w:r>
      <w:r w:rsidR="00A047D1" w:rsidRPr="00A047D1">
        <w:rPr>
          <w:rFonts w:asciiTheme="majorBidi" w:hAnsiTheme="majorBidi" w:cstheme="majorBidi"/>
          <w:b/>
        </w:rPr>
        <w:br/>
        <w:t xml:space="preserve">Administratīvo lietu departamenta </w:t>
      </w:r>
      <w:r w:rsidR="00A047D1" w:rsidRPr="00A047D1">
        <w:rPr>
          <w:rFonts w:asciiTheme="majorBidi" w:hAnsiTheme="majorBidi" w:cstheme="majorBidi"/>
          <w:b/>
        </w:rPr>
        <w:br/>
        <w:t>2025.gada 17.februāra</w:t>
      </w:r>
    </w:p>
    <w:p w14:paraId="3226CD0C" w14:textId="77777777" w:rsidR="00A047D1" w:rsidRPr="00A047D1" w:rsidRDefault="003C6F61" w:rsidP="00A047D1">
      <w:pPr>
        <w:spacing w:line="276" w:lineRule="auto"/>
        <w:jc w:val="center"/>
        <w:rPr>
          <w:rFonts w:asciiTheme="majorBidi" w:hAnsiTheme="majorBidi" w:cstheme="majorBidi"/>
          <w:b/>
        </w:rPr>
      </w:pPr>
      <w:r w:rsidRPr="00A047D1">
        <w:rPr>
          <w:rFonts w:asciiTheme="majorBidi" w:hAnsiTheme="majorBidi" w:cstheme="majorBidi"/>
          <w:b/>
        </w:rPr>
        <w:t>SPRIEDUMS</w:t>
      </w:r>
    </w:p>
    <w:p w14:paraId="05934840" w14:textId="73D279C6" w:rsidR="00A047D1" w:rsidRPr="00A047D1" w:rsidRDefault="00A047D1" w:rsidP="00A047D1">
      <w:pPr>
        <w:spacing w:line="276" w:lineRule="auto"/>
        <w:jc w:val="center"/>
        <w:rPr>
          <w:rFonts w:asciiTheme="majorBidi" w:hAnsiTheme="majorBidi" w:cstheme="majorBidi"/>
          <w:b/>
          <w:bCs/>
        </w:rPr>
      </w:pPr>
      <w:r w:rsidRPr="00A047D1">
        <w:rPr>
          <w:rFonts w:asciiTheme="majorBidi" w:hAnsiTheme="majorBidi" w:cstheme="majorBidi"/>
          <w:b/>
          <w:bCs/>
        </w:rPr>
        <w:t>Lieta Nr. A420210421</w:t>
      </w:r>
      <w:r w:rsidRPr="00A047D1">
        <w:rPr>
          <w:rFonts w:asciiTheme="majorBidi" w:hAnsiTheme="majorBidi" w:cstheme="majorBidi"/>
          <w:b/>
          <w:bCs/>
          <w:lang w:eastAsia="lv-LV"/>
        </w:rPr>
        <w:t>, SKA-39/2025</w:t>
      </w:r>
    </w:p>
    <w:p w14:paraId="615FBC69" w14:textId="044B3C63" w:rsidR="00A047D1" w:rsidRPr="00A047D1" w:rsidRDefault="00A047D1" w:rsidP="00A047D1">
      <w:pPr>
        <w:spacing w:line="276" w:lineRule="auto"/>
        <w:jc w:val="center"/>
        <w:rPr>
          <w:rFonts w:asciiTheme="majorBidi" w:hAnsiTheme="majorBidi" w:cstheme="majorBidi"/>
        </w:rPr>
      </w:pPr>
      <w:r w:rsidRPr="00A047D1">
        <w:rPr>
          <w:rFonts w:asciiTheme="majorBidi" w:hAnsiTheme="majorBidi" w:cstheme="majorBidi"/>
        </w:rPr>
        <w:t xml:space="preserve"> </w:t>
      </w:r>
      <w:hyperlink r:id="rId7" w:history="1">
        <w:r w:rsidRPr="00A047D1">
          <w:rPr>
            <w:rStyle w:val="Hyperlink"/>
            <w:rFonts w:asciiTheme="majorBidi" w:hAnsiTheme="majorBidi" w:cstheme="majorBidi"/>
          </w:rPr>
          <w:t>ECLI:LV:AT:2025:0217.A420210421.19.S</w:t>
        </w:r>
      </w:hyperlink>
    </w:p>
    <w:p w14:paraId="7E085BFA" w14:textId="77777777" w:rsidR="003C6F61" w:rsidRPr="00A047D1" w:rsidRDefault="003C6F61" w:rsidP="00A047D1">
      <w:pPr>
        <w:spacing w:line="276" w:lineRule="auto"/>
        <w:ind w:firstLine="709"/>
        <w:jc w:val="center"/>
        <w:rPr>
          <w:rFonts w:asciiTheme="majorBidi" w:hAnsiTheme="majorBidi" w:cstheme="majorBidi"/>
        </w:rPr>
      </w:pPr>
    </w:p>
    <w:p w14:paraId="21BD8C52" w14:textId="5FAF6844" w:rsidR="003C6F61" w:rsidRPr="00A047D1" w:rsidRDefault="003C6F61" w:rsidP="00A047D1">
      <w:pPr>
        <w:spacing w:line="276" w:lineRule="auto"/>
        <w:ind w:firstLine="720"/>
        <w:jc w:val="both"/>
        <w:rPr>
          <w:rFonts w:asciiTheme="majorBidi" w:hAnsiTheme="majorBidi" w:cstheme="majorBidi"/>
        </w:rPr>
      </w:pPr>
      <w:r w:rsidRPr="00A047D1">
        <w:rPr>
          <w:rFonts w:asciiTheme="majorBidi" w:hAnsiTheme="majorBidi" w:cstheme="majorBidi"/>
        </w:rPr>
        <w:t>Senāts šādā sastāvā: senatore referente Ieva Višķere, senatori Jānis Pleps un Līvija Slica</w:t>
      </w:r>
    </w:p>
    <w:p w14:paraId="7FBCDB0F" w14:textId="77777777" w:rsidR="003C6F61" w:rsidRPr="00A047D1" w:rsidRDefault="003C6F61" w:rsidP="00A047D1">
      <w:pPr>
        <w:spacing w:line="276" w:lineRule="auto"/>
        <w:ind w:firstLine="720"/>
        <w:jc w:val="both"/>
        <w:rPr>
          <w:rFonts w:asciiTheme="majorBidi" w:hAnsiTheme="majorBidi" w:cstheme="majorBidi"/>
        </w:rPr>
      </w:pPr>
    </w:p>
    <w:p w14:paraId="0B2CD446" w14:textId="12738DE0" w:rsidR="003C6F61" w:rsidRPr="00A047D1" w:rsidRDefault="003C6F61" w:rsidP="00A047D1">
      <w:pPr>
        <w:spacing w:line="276" w:lineRule="auto"/>
        <w:ind w:firstLine="720"/>
        <w:jc w:val="both"/>
        <w:rPr>
          <w:rFonts w:asciiTheme="majorBidi" w:hAnsiTheme="majorBidi" w:cstheme="majorBidi"/>
        </w:rPr>
      </w:pPr>
      <w:r w:rsidRPr="00A047D1">
        <w:rPr>
          <w:rFonts w:asciiTheme="majorBidi" w:hAnsiTheme="majorBidi" w:cstheme="majorBidi"/>
        </w:rPr>
        <w:t>rakstveida procesā izskatīja administratīvo lietu, kas ierosināta, pamatojoties uz kooperatīv</w:t>
      </w:r>
      <w:r w:rsidR="00D42395" w:rsidRPr="00A047D1">
        <w:rPr>
          <w:rFonts w:asciiTheme="majorBidi" w:hAnsiTheme="majorBidi" w:cstheme="majorBidi"/>
        </w:rPr>
        <w:t>ā</w:t>
      </w:r>
      <w:r w:rsidRPr="00A047D1">
        <w:rPr>
          <w:rFonts w:asciiTheme="majorBidi" w:hAnsiTheme="majorBidi" w:cstheme="majorBidi"/>
        </w:rPr>
        <w:t>s sabiedrības „Meiju ceļš” pieteikumu par Patērētāju tiesību aizsardzības centra 2021.gada 7.maija lēmuma Nr. 8-pk atcelšanu un zaudējumu atlīdzināšanu, sakarā ar Patērētāju tiesību aizsardzības centra kasācijas sūdzību par Administratīvās apgabaltiesas 2022.gada 22.decembra spriedumu daļā.</w:t>
      </w:r>
    </w:p>
    <w:p w14:paraId="51D844CA" w14:textId="77777777" w:rsidR="003C6F61" w:rsidRPr="00A047D1" w:rsidRDefault="003C6F61" w:rsidP="00A047D1">
      <w:pPr>
        <w:spacing w:line="276" w:lineRule="auto"/>
        <w:ind w:firstLine="709"/>
        <w:jc w:val="both"/>
        <w:rPr>
          <w:rFonts w:asciiTheme="majorBidi" w:hAnsiTheme="majorBidi" w:cstheme="majorBidi"/>
        </w:rPr>
      </w:pPr>
    </w:p>
    <w:p w14:paraId="70D3DE89" w14:textId="77777777" w:rsidR="003C6F61" w:rsidRPr="00A047D1" w:rsidRDefault="003C6F61" w:rsidP="00A047D1">
      <w:pPr>
        <w:spacing w:line="276" w:lineRule="auto"/>
        <w:jc w:val="center"/>
        <w:rPr>
          <w:rFonts w:asciiTheme="majorBidi" w:hAnsiTheme="majorBidi" w:cstheme="majorBidi"/>
          <w:b/>
          <w:shd w:val="clear" w:color="auto" w:fill="FFFFFF"/>
        </w:rPr>
      </w:pPr>
      <w:r w:rsidRPr="00A047D1">
        <w:rPr>
          <w:rFonts w:asciiTheme="majorBidi" w:hAnsiTheme="majorBidi" w:cstheme="majorBidi"/>
          <w:b/>
          <w:shd w:val="clear" w:color="auto" w:fill="FFFFFF"/>
        </w:rPr>
        <w:t>Aprakstošā daļa</w:t>
      </w:r>
    </w:p>
    <w:p w14:paraId="0B0D0FDB" w14:textId="77777777" w:rsidR="003C6F61" w:rsidRPr="00A047D1" w:rsidRDefault="003C6F61" w:rsidP="00A047D1">
      <w:pPr>
        <w:spacing w:line="276" w:lineRule="auto"/>
        <w:ind w:firstLine="709"/>
        <w:jc w:val="center"/>
        <w:rPr>
          <w:rFonts w:asciiTheme="majorBidi" w:hAnsiTheme="majorBidi" w:cstheme="majorBidi"/>
          <w:shd w:val="clear" w:color="auto" w:fill="FFFFFF"/>
        </w:rPr>
      </w:pPr>
    </w:p>
    <w:p w14:paraId="3D561234" w14:textId="54291E04" w:rsidR="003C6F61" w:rsidRPr="00A047D1" w:rsidRDefault="003C6F61" w:rsidP="00A047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047D1">
        <w:rPr>
          <w:rFonts w:asciiTheme="majorBidi" w:hAnsiTheme="majorBidi" w:cstheme="majorBidi"/>
          <w:shd w:val="clear" w:color="auto" w:fill="FFFFFF"/>
        </w:rPr>
        <w:t xml:space="preserve">[1] Patērētāju tiesību aizsardzības centrs (turpmāk – Centrs) </w:t>
      </w:r>
      <w:r w:rsidRPr="00A047D1">
        <w:rPr>
          <w:rFonts w:asciiTheme="majorBidi" w:hAnsiTheme="majorBidi" w:cstheme="majorBidi"/>
        </w:rPr>
        <w:t xml:space="preserve">ar </w:t>
      </w:r>
      <w:r w:rsidR="00F314F3" w:rsidRPr="00A047D1">
        <w:rPr>
          <w:rFonts w:asciiTheme="majorBidi" w:hAnsiTheme="majorBidi" w:cstheme="majorBidi"/>
        </w:rPr>
        <w:t>2021.gada 7.maija lēmumu Nr. 8-pk</w:t>
      </w:r>
      <w:r w:rsidRPr="00A047D1">
        <w:rPr>
          <w:rFonts w:asciiTheme="majorBidi" w:hAnsiTheme="majorBidi" w:cstheme="majorBidi"/>
        </w:rPr>
        <w:t xml:space="preserve"> (turpmāk – pārsūdzētais lēmums) pieteicējai </w:t>
      </w:r>
      <w:r w:rsidR="00F314F3" w:rsidRPr="00A047D1">
        <w:rPr>
          <w:rFonts w:asciiTheme="majorBidi" w:hAnsiTheme="majorBidi" w:cstheme="majorBidi"/>
        </w:rPr>
        <w:t xml:space="preserve">kooperatīvajai sabiedrībai </w:t>
      </w:r>
      <w:r w:rsidR="00F314F3" w:rsidRPr="00A047D1">
        <w:rPr>
          <w:rFonts w:asciiTheme="majorBidi" w:hAnsiTheme="majorBidi" w:cstheme="majorBidi"/>
        </w:rPr>
        <w:lastRenderedPageBreak/>
        <w:t>„Meiju ceļš” (pirms reorganizācijas</w:t>
      </w:r>
      <w:r w:rsidR="00672C39" w:rsidRPr="00A047D1">
        <w:rPr>
          <w:rFonts w:asciiTheme="majorBidi" w:hAnsiTheme="majorBidi" w:cstheme="majorBidi"/>
        </w:rPr>
        <w:t xml:space="preserve"> </w:t>
      </w:r>
      <w:r w:rsidR="00F314F3" w:rsidRPr="00A047D1">
        <w:rPr>
          <w:rFonts w:asciiTheme="majorBidi" w:hAnsiTheme="majorBidi" w:cstheme="majorBidi"/>
        </w:rPr>
        <w:t xml:space="preserve">– </w:t>
      </w:r>
      <w:r w:rsidR="00672C39" w:rsidRPr="00A047D1">
        <w:rPr>
          <w:rFonts w:asciiTheme="majorBidi" w:hAnsiTheme="majorBidi" w:cstheme="majorBidi"/>
        </w:rPr>
        <w:t xml:space="preserve">kooperatīvā sabiedrība </w:t>
      </w:r>
      <w:r w:rsidR="00F314F3" w:rsidRPr="00A047D1">
        <w:rPr>
          <w:rFonts w:asciiTheme="majorBidi" w:hAnsiTheme="majorBidi" w:cstheme="majorBidi"/>
        </w:rPr>
        <w:t>„Vaidava V”)</w:t>
      </w:r>
      <w:r w:rsidRPr="00A047D1">
        <w:rPr>
          <w:rFonts w:asciiTheme="majorBidi" w:hAnsiTheme="majorBidi" w:cstheme="majorBidi"/>
        </w:rPr>
        <w:t xml:space="preserve"> </w:t>
      </w:r>
      <w:r w:rsidR="00F314F3" w:rsidRPr="00A047D1">
        <w:rPr>
          <w:rFonts w:asciiTheme="majorBidi" w:hAnsiTheme="majorBidi" w:cstheme="majorBidi"/>
        </w:rPr>
        <w:t xml:space="preserve">aizliedza īstenot negodīgu komercpraksi, kas izpaužas, aicinot patērētājus – daudzdzīvokļu dzīvojamo māju dzīvokļu īpašniekus – individuāli izpirkt zemes </w:t>
      </w:r>
      <w:r w:rsidR="001A4C33" w:rsidRPr="00A047D1">
        <w:rPr>
          <w:rFonts w:asciiTheme="majorBidi" w:hAnsiTheme="majorBidi" w:cstheme="majorBidi"/>
        </w:rPr>
        <w:t xml:space="preserve">zem dzīvojamās mājas </w:t>
      </w:r>
      <w:r w:rsidR="00F314F3" w:rsidRPr="00A047D1">
        <w:rPr>
          <w:rFonts w:asciiTheme="majorBidi" w:hAnsiTheme="majorBidi" w:cstheme="majorBidi"/>
        </w:rPr>
        <w:t xml:space="preserve">domājamās daļas, pienācīgi neinformējot viņus par </w:t>
      </w:r>
      <w:r w:rsidR="00672C39" w:rsidRPr="00A047D1">
        <w:rPr>
          <w:rFonts w:asciiTheme="majorBidi" w:hAnsiTheme="majorBidi" w:cstheme="majorBidi"/>
        </w:rPr>
        <w:t>šāda</w:t>
      </w:r>
      <w:r w:rsidR="00F314F3" w:rsidRPr="00A047D1">
        <w:rPr>
          <w:rFonts w:asciiTheme="majorBidi" w:hAnsiTheme="majorBidi" w:cstheme="majorBidi"/>
        </w:rPr>
        <w:t xml:space="preserve"> darījuma juridiskajām un ekonomiskajām sekām un piedāvājot netaisnīgus vienošanās noteikumus. Ar pārsūdzēto lēmumu pieteicējai uzlikta soda nauda 10</w:t>
      </w:r>
      <w:r w:rsidR="005D2D91" w:rsidRPr="00A047D1">
        <w:rPr>
          <w:rFonts w:asciiTheme="majorBidi" w:hAnsiTheme="majorBidi" w:cstheme="majorBidi"/>
        </w:rPr>
        <w:t> </w:t>
      </w:r>
      <w:r w:rsidR="00F314F3" w:rsidRPr="00A047D1">
        <w:rPr>
          <w:rFonts w:asciiTheme="majorBidi" w:hAnsiTheme="majorBidi" w:cstheme="majorBidi"/>
        </w:rPr>
        <w:t xml:space="preserve">000 </w:t>
      </w:r>
      <w:r w:rsidR="00F314F3" w:rsidRPr="00A047D1">
        <w:rPr>
          <w:rFonts w:asciiTheme="majorBidi" w:hAnsiTheme="majorBidi" w:cstheme="majorBidi"/>
          <w:i/>
          <w:iCs/>
        </w:rPr>
        <w:t>euro</w:t>
      </w:r>
      <w:r w:rsidR="00F314F3" w:rsidRPr="00A047D1">
        <w:rPr>
          <w:rFonts w:asciiTheme="majorBidi" w:hAnsiTheme="majorBidi" w:cstheme="majorBidi"/>
        </w:rPr>
        <w:t>.</w:t>
      </w:r>
    </w:p>
    <w:p w14:paraId="78FA8A1A" w14:textId="77777777" w:rsidR="00F314F3" w:rsidRPr="00A047D1" w:rsidRDefault="00F314F3" w:rsidP="00A047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2A0521D8" w14:textId="1A3EDEEB" w:rsidR="003C6F61" w:rsidRPr="00A047D1" w:rsidRDefault="003C6F61" w:rsidP="00A047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047D1">
        <w:rPr>
          <w:rFonts w:asciiTheme="majorBidi" w:hAnsiTheme="majorBidi" w:cstheme="majorBidi"/>
          <w:shd w:val="clear" w:color="auto" w:fill="FFFFFF"/>
        </w:rPr>
        <w:t>[2] Pieteicēja vērsās tiesā ar pieteikumu par pārsūdzētā lēmuma atcelšanu un zaudējumu atlīdzināšanu.</w:t>
      </w:r>
    </w:p>
    <w:p w14:paraId="21F023DA" w14:textId="77777777" w:rsidR="003C6F61" w:rsidRPr="00A047D1" w:rsidRDefault="003C6F61" w:rsidP="00A047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47C088F9" w14:textId="7587CE7D" w:rsidR="003C6F61" w:rsidRPr="00A047D1" w:rsidRDefault="003C6F61" w:rsidP="00A047D1">
      <w:pPr>
        <w:spacing w:line="276" w:lineRule="auto"/>
        <w:ind w:firstLine="720"/>
        <w:jc w:val="both"/>
        <w:rPr>
          <w:rFonts w:asciiTheme="majorBidi" w:hAnsiTheme="majorBidi" w:cstheme="majorBidi"/>
          <w:shd w:val="clear" w:color="auto" w:fill="FFFFFF"/>
        </w:rPr>
      </w:pPr>
      <w:r w:rsidRPr="00A047D1">
        <w:rPr>
          <w:rFonts w:asciiTheme="majorBidi" w:hAnsiTheme="majorBidi" w:cstheme="majorBidi"/>
          <w:shd w:val="clear" w:color="auto" w:fill="FFFFFF"/>
        </w:rPr>
        <w:t xml:space="preserve">[3] Administratīvā apgabaltiesa ar </w:t>
      </w:r>
      <w:r w:rsidR="00F314F3" w:rsidRPr="00A047D1">
        <w:rPr>
          <w:rFonts w:asciiTheme="majorBidi" w:hAnsiTheme="majorBidi" w:cstheme="majorBidi"/>
          <w:shd w:val="clear" w:color="auto" w:fill="FFFFFF"/>
        </w:rPr>
        <w:t>2022.gada</w:t>
      </w:r>
      <w:r w:rsidR="003F244D" w:rsidRPr="00A047D1">
        <w:rPr>
          <w:rFonts w:asciiTheme="majorBidi" w:hAnsiTheme="majorBidi" w:cstheme="majorBidi"/>
          <w:shd w:val="clear" w:color="auto" w:fill="FFFFFF"/>
        </w:rPr>
        <w:t xml:space="preserve"> </w:t>
      </w:r>
      <w:r w:rsidR="00F314F3" w:rsidRPr="00A047D1">
        <w:rPr>
          <w:rFonts w:asciiTheme="majorBidi" w:hAnsiTheme="majorBidi" w:cstheme="majorBidi"/>
          <w:shd w:val="clear" w:color="auto" w:fill="FFFFFF"/>
        </w:rPr>
        <w:t xml:space="preserve">22.decembra spriedumu </w:t>
      </w:r>
      <w:r w:rsidR="003F244D" w:rsidRPr="00A047D1">
        <w:rPr>
          <w:rFonts w:asciiTheme="majorBidi" w:hAnsiTheme="majorBidi" w:cstheme="majorBidi"/>
          <w:shd w:val="clear" w:color="auto" w:fill="FFFFFF"/>
        </w:rPr>
        <w:t xml:space="preserve">noraidīja pieteikumu par pārsūdzētā lēmuma atcelšanu daļā, ar kuru atzīts pieteicējas pieļauts Negodīgas komercprakses aizlieguma likuma pārkāpums. Tiesa arī noraidīja pieteicējas prasījumu atlīdzināt zaudējumus. Vienlaikus tiesa nosprieda atcelt pārsūdzēto lēmumu daļā par pieteicējai piemēroto soda naudu un, pamatojoties uz Administratīvā procesa likuma 253.panta sesto daļu, uzdeva Centram atceltā lēmuma vietā izdot jaunu administratīvo aktu par soda naudas piemērošanu pieteicējai. </w:t>
      </w:r>
    </w:p>
    <w:p w14:paraId="08293FC1" w14:textId="77777777" w:rsidR="00E726A0" w:rsidRPr="00A047D1" w:rsidRDefault="003F244D" w:rsidP="00A047D1">
      <w:pPr>
        <w:spacing w:line="276" w:lineRule="auto"/>
        <w:ind w:firstLine="720"/>
        <w:jc w:val="both"/>
        <w:rPr>
          <w:rFonts w:asciiTheme="majorBidi" w:hAnsiTheme="majorBidi" w:cstheme="majorBidi"/>
          <w:shd w:val="clear" w:color="auto" w:fill="FFFFFF"/>
        </w:rPr>
      </w:pPr>
      <w:r w:rsidRPr="00A047D1">
        <w:rPr>
          <w:rFonts w:asciiTheme="majorBidi" w:hAnsiTheme="majorBidi" w:cstheme="majorBidi"/>
          <w:shd w:val="clear" w:color="auto" w:fill="FFFFFF"/>
        </w:rPr>
        <w:t>Apgabaltiesas spriedums daļā, uz kuru attiecas Centra iesniegtā kasācijas sūdzība, pamatots ar turpmāk izklāstītajiem apsvērumiem.</w:t>
      </w:r>
      <w:r w:rsidR="00E726A0" w:rsidRPr="00A047D1">
        <w:rPr>
          <w:rFonts w:asciiTheme="majorBidi" w:hAnsiTheme="majorBidi" w:cstheme="majorBidi"/>
          <w:shd w:val="clear" w:color="auto" w:fill="FFFFFF"/>
        </w:rPr>
        <w:t xml:space="preserve"> </w:t>
      </w:r>
    </w:p>
    <w:p w14:paraId="2125F686" w14:textId="1C78948F" w:rsidR="00C74FDA" w:rsidRPr="00A047D1" w:rsidRDefault="00E726A0" w:rsidP="00A047D1">
      <w:pPr>
        <w:spacing w:line="276" w:lineRule="auto"/>
        <w:ind w:firstLine="720"/>
        <w:jc w:val="both"/>
        <w:rPr>
          <w:rFonts w:asciiTheme="majorBidi" w:hAnsiTheme="majorBidi" w:cstheme="majorBidi"/>
          <w:shd w:val="clear" w:color="auto" w:fill="FFFFFF"/>
        </w:rPr>
      </w:pPr>
      <w:r w:rsidRPr="00A047D1">
        <w:rPr>
          <w:rFonts w:asciiTheme="majorBidi" w:hAnsiTheme="majorBidi" w:cstheme="majorBidi"/>
          <w:shd w:val="clear" w:color="auto" w:fill="FFFFFF"/>
        </w:rPr>
        <w:t>[</w:t>
      </w:r>
      <w:r w:rsidR="003F244D" w:rsidRPr="00A047D1">
        <w:rPr>
          <w:rFonts w:asciiTheme="majorBidi" w:hAnsiTheme="majorBidi" w:cstheme="majorBidi"/>
          <w:shd w:val="clear" w:color="auto" w:fill="FFFFFF"/>
        </w:rPr>
        <w:t xml:space="preserve">3.1] </w:t>
      </w:r>
      <w:r w:rsidRPr="00A047D1">
        <w:rPr>
          <w:rFonts w:asciiTheme="majorBidi" w:hAnsiTheme="majorBidi" w:cstheme="majorBidi"/>
          <w:shd w:val="clear" w:color="auto" w:fill="FFFFFF"/>
        </w:rPr>
        <w:t>Negodīgas komercprakses aizlieguma likuma 15.</w:t>
      </w:r>
      <w:r w:rsidRPr="00A047D1">
        <w:rPr>
          <w:rFonts w:asciiTheme="majorBidi" w:hAnsiTheme="majorBidi" w:cstheme="majorBidi"/>
          <w:shd w:val="clear" w:color="auto" w:fill="FFFFFF"/>
          <w:vertAlign w:val="superscript"/>
        </w:rPr>
        <w:t>2</w:t>
      </w:r>
      <w:r w:rsidRPr="00A047D1">
        <w:rPr>
          <w:rFonts w:asciiTheme="majorBidi" w:hAnsiTheme="majorBidi" w:cstheme="majorBidi"/>
          <w:shd w:val="clear" w:color="auto" w:fill="FFFFFF"/>
        </w:rPr>
        <w:t xml:space="preserve">panta otrā daļa noteic, kādi apstākļi </w:t>
      </w:r>
      <w:r w:rsidR="00F9260B" w:rsidRPr="00A047D1">
        <w:rPr>
          <w:rFonts w:asciiTheme="majorBidi" w:hAnsiTheme="majorBidi" w:cstheme="majorBidi"/>
          <w:shd w:val="clear" w:color="auto" w:fill="FFFFFF"/>
        </w:rPr>
        <w:t>jāvērtē</w:t>
      </w:r>
      <w:r w:rsidRPr="00A047D1">
        <w:rPr>
          <w:rFonts w:asciiTheme="majorBidi" w:hAnsiTheme="majorBidi" w:cstheme="majorBidi"/>
          <w:shd w:val="clear" w:color="auto" w:fill="FFFFFF"/>
        </w:rPr>
        <w:t xml:space="preserve">, pieņemot lēmumu par soda naudas </w:t>
      </w:r>
      <w:r w:rsidR="005D2D91" w:rsidRPr="00A047D1">
        <w:rPr>
          <w:rFonts w:asciiTheme="majorBidi" w:hAnsiTheme="majorBidi" w:cstheme="majorBidi"/>
          <w:shd w:val="clear" w:color="auto" w:fill="FFFFFF"/>
        </w:rPr>
        <w:t>piemērošanu</w:t>
      </w:r>
      <w:r w:rsidRPr="00A047D1">
        <w:rPr>
          <w:rFonts w:asciiTheme="majorBidi" w:hAnsiTheme="majorBidi" w:cstheme="majorBidi"/>
          <w:shd w:val="clear" w:color="auto" w:fill="FFFFFF"/>
        </w:rPr>
        <w:t>. Centrs minētajā normā paredzētos apstākļus ir pārba</w:t>
      </w:r>
      <w:r w:rsidR="00F9260B" w:rsidRPr="00A047D1">
        <w:rPr>
          <w:rFonts w:asciiTheme="majorBidi" w:hAnsiTheme="majorBidi" w:cstheme="majorBidi"/>
          <w:shd w:val="clear" w:color="auto" w:fill="FFFFFF"/>
        </w:rPr>
        <w:t>u</w:t>
      </w:r>
      <w:r w:rsidRPr="00A047D1">
        <w:rPr>
          <w:rFonts w:asciiTheme="majorBidi" w:hAnsiTheme="majorBidi" w:cstheme="majorBidi"/>
          <w:shd w:val="clear" w:color="auto" w:fill="FFFFFF"/>
        </w:rPr>
        <w:t>dījis un pārsūdzētajā lēmumā ir objektīvi pamatojis, kāpēc pareizs un samērīgs ir soda naudas apmērs 10</w:t>
      </w:r>
      <w:r w:rsidR="00F124AC" w:rsidRPr="00A047D1">
        <w:rPr>
          <w:rFonts w:asciiTheme="majorBidi" w:hAnsiTheme="majorBidi" w:cstheme="majorBidi"/>
          <w:shd w:val="clear" w:color="auto" w:fill="FFFFFF"/>
        </w:rPr>
        <w:t> </w:t>
      </w:r>
      <w:r w:rsidRPr="00A047D1">
        <w:rPr>
          <w:rFonts w:asciiTheme="majorBidi" w:hAnsiTheme="majorBidi" w:cstheme="majorBidi"/>
          <w:shd w:val="clear" w:color="auto" w:fill="FFFFFF"/>
        </w:rPr>
        <w:t xml:space="preserve">000 </w:t>
      </w:r>
      <w:r w:rsidRPr="00A047D1">
        <w:rPr>
          <w:rFonts w:asciiTheme="majorBidi" w:hAnsiTheme="majorBidi" w:cstheme="majorBidi"/>
          <w:i/>
          <w:iCs/>
          <w:shd w:val="clear" w:color="auto" w:fill="FFFFFF"/>
        </w:rPr>
        <w:t>euro</w:t>
      </w:r>
      <w:r w:rsidRPr="00A047D1">
        <w:rPr>
          <w:rFonts w:asciiTheme="majorBidi" w:hAnsiTheme="majorBidi" w:cstheme="majorBidi"/>
          <w:shd w:val="clear" w:color="auto" w:fill="FFFFFF"/>
        </w:rPr>
        <w:t xml:space="preserve">. </w:t>
      </w:r>
    </w:p>
    <w:p w14:paraId="46185DCA" w14:textId="024FCA2B" w:rsidR="00C74FDA" w:rsidRPr="00A047D1" w:rsidRDefault="00C74FDA" w:rsidP="00A047D1">
      <w:pPr>
        <w:spacing w:line="276" w:lineRule="auto"/>
        <w:ind w:firstLine="720"/>
        <w:jc w:val="both"/>
        <w:rPr>
          <w:rFonts w:asciiTheme="majorBidi" w:hAnsiTheme="majorBidi" w:cstheme="majorBidi"/>
          <w:shd w:val="clear" w:color="auto" w:fill="FFFFFF"/>
        </w:rPr>
      </w:pPr>
      <w:r w:rsidRPr="00A047D1">
        <w:rPr>
          <w:rFonts w:asciiTheme="majorBidi" w:hAnsiTheme="majorBidi" w:cstheme="majorBidi"/>
          <w:shd w:val="clear" w:color="auto" w:fill="FFFFFF"/>
        </w:rPr>
        <w:t>Tomēr jāņem vērā, ka atbilstoši Negodīgas komercprakses aizlieguma likuma 15.</w:t>
      </w:r>
      <w:r w:rsidRPr="00A047D1">
        <w:rPr>
          <w:rFonts w:asciiTheme="majorBidi" w:hAnsiTheme="majorBidi" w:cstheme="majorBidi"/>
          <w:shd w:val="clear" w:color="auto" w:fill="FFFFFF"/>
          <w:vertAlign w:val="superscript"/>
        </w:rPr>
        <w:t>2</w:t>
      </w:r>
      <w:r w:rsidRPr="00A047D1">
        <w:rPr>
          <w:rFonts w:asciiTheme="majorBidi" w:hAnsiTheme="majorBidi" w:cstheme="majorBidi"/>
          <w:shd w:val="clear" w:color="auto" w:fill="FFFFFF"/>
        </w:rPr>
        <w:t>panta pirmajai daļai uzraudzības iestāde ir tiesīga par negodīgu komercpraksi uzlikt komercprakses īstenotājam soda naudu līdz 10 procentiem no tā pēdējā finanšu gada neto apgrozījuma</w:t>
      </w:r>
      <w:r w:rsidR="00F9260B" w:rsidRPr="00A047D1">
        <w:rPr>
          <w:rFonts w:asciiTheme="majorBidi" w:hAnsiTheme="majorBidi" w:cstheme="majorBidi"/>
          <w:shd w:val="clear" w:color="auto" w:fill="FFFFFF"/>
        </w:rPr>
        <w:t xml:space="preserve"> (</w:t>
      </w:r>
      <w:r w:rsidRPr="00A047D1">
        <w:rPr>
          <w:rFonts w:asciiTheme="majorBidi" w:hAnsiTheme="majorBidi" w:cstheme="majorBidi"/>
          <w:shd w:val="clear" w:color="auto" w:fill="FFFFFF"/>
        </w:rPr>
        <w:t>bet ne vairāk kā 100</w:t>
      </w:r>
      <w:r w:rsidR="00F124AC" w:rsidRPr="00A047D1">
        <w:rPr>
          <w:rFonts w:asciiTheme="majorBidi" w:hAnsiTheme="majorBidi" w:cstheme="majorBidi"/>
          <w:shd w:val="clear" w:color="auto" w:fill="FFFFFF"/>
        </w:rPr>
        <w:t> </w:t>
      </w:r>
      <w:r w:rsidRPr="00A047D1">
        <w:rPr>
          <w:rFonts w:asciiTheme="majorBidi" w:hAnsiTheme="majorBidi" w:cstheme="majorBidi"/>
          <w:shd w:val="clear" w:color="auto" w:fill="FFFFFF"/>
        </w:rPr>
        <w:t xml:space="preserve">000 </w:t>
      </w:r>
      <w:r w:rsidRPr="00A047D1">
        <w:rPr>
          <w:rFonts w:asciiTheme="majorBidi" w:hAnsiTheme="majorBidi" w:cstheme="majorBidi"/>
          <w:i/>
          <w:iCs/>
          <w:shd w:val="clear" w:color="auto" w:fill="FFFFFF"/>
        </w:rPr>
        <w:t>euro</w:t>
      </w:r>
      <w:r w:rsidR="00F9260B" w:rsidRPr="00A047D1">
        <w:rPr>
          <w:rFonts w:asciiTheme="majorBidi" w:hAnsiTheme="majorBidi" w:cstheme="majorBidi"/>
          <w:shd w:val="clear" w:color="auto" w:fill="FFFFFF"/>
        </w:rPr>
        <w:t>)</w:t>
      </w:r>
      <w:r w:rsidRPr="00A047D1">
        <w:rPr>
          <w:rFonts w:asciiTheme="majorBidi" w:hAnsiTheme="majorBidi" w:cstheme="majorBidi"/>
          <w:shd w:val="clear" w:color="auto" w:fill="FFFFFF"/>
        </w:rPr>
        <w:t>. P</w:t>
      </w:r>
      <w:r w:rsidR="00E726A0" w:rsidRPr="00A047D1">
        <w:rPr>
          <w:rFonts w:asciiTheme="majorBidi" w:hAnsiTheme="majorBidi" w:cstheme="majorBidi"/>
          <w:shd w:val="clear" w:color="auto" w:fill="FFFFFF"/>
        </w:rPr>
        <w:t>ieteicēja gada pārskatu par 2020.gadu</w:t>
      </w:r>
      <w:r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ir apstiprinājusi 2021.gada 27.jūlijā un ir deklarējusi neto apgrozījumu 17</w:t>
      </w:r>
      <w:r w:rsidR="00F124AC" w:rsidRPr="00A047D1">
        <w:rPr>
          <w:rFonts w:asciiTheme="majorBidi" w:hAnsiTheme="majorBidi" w:cstheme="majorBidi"/>
          <w:shd w:val="clear" w:color="auto" w:fill="FFFFFF"/>
        </w:rPr>
        <w:t> </w:t>
      </w:r>
      <w:r w:rsidR="00E726A0" w:rsidRPr="00A047D1">
        <w:rPr>
          <w:rFonts w:asciiTheme="majorBidi" w:hAnsiTheme="majorBidi" w:cstheme="majorBidi"/>
          <w:shd w:val="clear" w:color="auto" w:fill="FFFFFF"/>
        </w:rPr>
        <w:t xml:space="preserve">222 </w:t>
      </w:r>
      <w:r w:rsidR="00E726A0" w:rsidRPr="00A047D1">
        <w:rPr>
          <w:rFonts w:asciiTheme="majorBidi" w:hAnsiTheme="majorBidi" w:cstheme="majorBidi"/>
          <w:i/>
          <w:iCs/>
          <w:shd w:val="clear" w:color="auto" w:fill="FFFFFF"/>
        </w:rPr>
        <w:t>euro</w:t>
      </w:r>
      <w:r w:rsidRPr="00A047D1">
        <w:rPr>
          <w:rFonts w:asciiTheme="majorBidi" w:hAnsiTheme="majorBidi" w:cstheme="majorBidi"/>
          <w:i/>
          <w:iCs/>
          <w:shd w:val="clear" w:color="auto" w:fill="FFFFFF"/>
        </w:rPr>
        <w:t xml:space="preserve">. </w:t>
      </w:r>
      <w:r w:rsidR="00E726A0" w:rsidRPr="00A047D1">
        <w:rPr>
          <w:rFonts w:asciiTheme="majorBidi" w:hAnsiTheme="majorBidi" w:cstheme="majorBidi"/>
          <w:shd w:val="clear" w:color="auto" w:fill="FFFFFF"/>
        </w:rPr>
        <w:t>Tā kā pārsūdzētais lēmums pieņemts 2021.gada 7.maijā, nosakot galīgo soda naudu,</w:t>
      </w:r>
      <w:r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 xml:space="preserve">bija jāņem vērā pieteicējas 2020.gada neto apgrozījums. </w:t>
      </w:r>
      <w:r w:rsidRPr="00A047D1">
        <w:rPr>
          <w:rFonts w:asciiTheme="majorBidi" w:hAnsiTheme="majorBidi" w:cstheme="majorBidi"/>
          <w:shd w:val="clear" w:color="auto" w:fill="FFFFFF"/>
        </w:rPr>
        <w:t>Tādējādi l</w:t>
      </w:r>
      <w:r w:rsidR="00E726A0" w:rsidRPr="00A047D1">
        <w:rPr>
          <w:rFonts w:asciiTheme="majorBidi" w:hAnsiTheme="majorBidi" w:cstheme="majorBidi"/>
          <w:shd w:val="clear" w:color="auto" w:fill="FFFFFF"/>
        </w:rPr>
        <w:t>ikumā</w:t>
      </w:r>
      <w:r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noteiktā 10 procentu robeža nepieļauj piemērot pieteicējai soda</w:t>
      </w:r>
      <w:r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naud</w:t>
      </w:r>
      <w:r w:rsidR="005D2D91" w:rsidRPr="00A047D1">
        <w:rPr>
          <w:rFonts w:asciiTheme="majorBidi" w:hAnsiTheme="majorBidi" w:cstheme="majorBidi"/>
          <w:shd w:val="clear" w:color="auto" w:fill="FFFFFF"/>
        </w:rPr>
        <w:t xml:space="preserve">u 10 000 </w:t>
      </w:r>
      <w:r w:rsidR="005D2D91" w:rsidRPr="00A047D1">
        <w:rPr>
          <w:rFonts w:asciiTheme="majorBidi" w:hAnsiTheme="majorBidi" w:cstheme="majorBidi"/>
          <w:i/>
          <w:iCs/>
          <w:shd w:val="clear" w:color="auto" w:fill="FFFFFF"/>
        </w:rPr>
        <w:t>euro</w:t>
      </w:r>
      <w:r w:rsidR="005D2D91" w:rsidRPr="00A047D1">
        <w:rPr>
          <w:rFonts w:asciiTheme="majorBidi" w:hAnsiTheme="majorBidi" w:cstheme="majorBidi"/>
          <w:shd w:val="clear" w:color="auto" w:fill="FFFFFF"/>
        </w:rPr>
        <w:t xml:space="preserve"> apmērā</w:t>
      </w:r>
      <w:r w:rsidR="00E726A0" w:rsidRPr="00A047D1">
        <w:rPr>
          <w:rFonts w:asciiTheme="majorBidi" w:hAnsiTheme="majorBidi" w:cstheme="majorBidi"/>
          <w:shd w:val="clear" w:color="auto" w:fill="FFFFFF"/>
        </w:rPr>
        <w:t xml:space="preserve">. Tāpēc pārsūdzētais lēmums ir atceļams daļā par soda naudu. </w:t>
      </w:r>
    </w:p>
    <w:p w14:paraId="49A2ADA8" w14:textId="0F67E240" w:rsidR="00F9260B" w:rsidRPr="00A047D1" w:rsidRDefault="00C74FDA" w:rsidP="00A047D1">
      <w:pPr>
        <w:spacing w:line="276" w:lineRule="auto"/>
        <w:ind w:firstLine="720"/>
        <w:jc w:val="both"/>
        <w:rPr>
          <w:rFonts w:asciiTheme="majorBidi" w:hAnsiTheme="majorBidi" w:cstheme="majorBidi"/>
          <w:shd w:val="clear" w:color="auto" w:fill="FFFFFF"/>
        </w:rPr>
      </w:pPr>
      <w:r w:rsidRPr="00A047D1">
        <w:rPr>
          <w:rFonts w:asciiTheme="majorBidi" w:hAnsiTheme="majorBidi" w:cstheme="majorBidi"/>
          <w:shd w:val="clear" w:color="auto" w:fill="FFFFFF"/>
        </w:rPr>
        <w:t xml:space="preserve">[3.2] </w:t>
      </w:r>
      <w:r w:rsidR="002A05D1" w:rsidRPr="00A047D1">
        <w:rPr>
          <w:rFonts w:asciiTheme="majorBidi" w:hAnsiTheme="majorBidi" w:cstheme="majorBidi"/>
          <w:shd w:val="clear" w:color="auto" w:fill="FFFFFF"/>
        </w:rPr>
        <w:t xml:space="preserve">Attiecībā uz apstākli, ka pārsūdzētā lēmuma pieņemšanas laikā pieteicēja vēl nebija </w:t>
      </w:r>
      <w:r w:rsidR="00D66E2B" w:rsidRPr="00A047D1">
        <w:rPr>
          <w:rFonts w:asciiTheme="majorBidi" w:hAnsiTheme="majorBidi" w:cstheme="majorBidi"/>
          <w:shd w:val="clear" w:color="auto" w:fill="FFFFFF"/>
        </w:rPr>
        <w:t>iesniegusi</w:t>
      </w:r>
      <w:r w:rsidR="002A05D1" w:rsidRPr="00A047D1">
        <w:rPr>
          <w:rFonts w:asciiTheme="majorBidi" w:hAnsiTheme="majorBidi" w:cstheme="majorBidi"/>
          <w:shd w:val="clear" w:color="auto" w:fill="FFFFFF"/>
        </w:rPr>
        <w:t xml:space="preserve"> gada pārskatu, norādāms, ka </w:t>
      </w:r>
      <w:r w:rsidR="00E726A0" w:rsidRPr="00A047D1">
        <w:rPr>
          <w:rFonts w:asciiTheme="majorBidi" w:hAnsiTheme="majorBidi" w:cstheme="majorBidi"/>
          <w:shd w:val="clear" w:color="auto" w:fill="FFFFFF"/>
        </w:rPr>
        <w:t xml:space="preserve">Negodīgas komercprakses aizlieguma likuma 15.panta </w:t>
      </w:r>
      <w:r w:rsidR="00773952" w:rsidRPr="00A047D1">
        <w:rPr>
          <w:rFonts w:asciiTheme="majorBidi" w:hAnsiTheme="majorBidi" w:cstheme="majorBidi"/>
          <w:shd w:val="clear" w:color="auto" w:fill="FFFFFF"/>
        </w:rPr>
        <w:t xml:space="preserve">divpadsmitā </w:t>
      </w:r>
      <w:r w:rsidR="00E726A0" w:rsidRPr="00A047D1">
        <w:rPr>
          <w:rFonts w:asciiTheme="majorBidi" w:hAnsiTheme="majorBidi" w:cstheme="majorBidi"/>
          <w:shd w:val="clear" w:color="auto" w:fill="FFFFFF"/>
        </w:rPr>
        <w:t>daļa noteic, ka uzraudzības</w:t>
      </w:r>
      <w:r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iestāde lēmumu par negodīgu komercpraksi pieņem sešu mēnešu laikā no lietas</w:t>
      </w:r>
      <w:r w:rsidR="002A05D1"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ierosināšanas dienas</w:t>
      </w:r>
      <w:r w:rsidR="002A05D1" w:rsidRPr="00A047D1">
        <w:rPr>
          <w:rFonts w:asciiTheme="majorBidi" w:hAnsiTheme="majorBidi" w:cstheme="majorBidi"/>
          <w:shd w:val="clear" w:color="auto" w:fill="FFFFFF"/>
        </w:rPr>
        <w:t xml:space="preserve">, bet, ja </w:t>
      </w:r>
      <w:r w:rsidR="00E726A0" w:rsidRPr="00A047D1">
        <w:rPr>
          <w:rFonts w:asciiTheme="majorBidi" w:hAnsiTheme="majorBidi" w:cstheme="majorBidi"/>
          <w:shd w:val="clear" w:color="auto" w:fill="FFFFFF"/>
        </w:rPr>
        <w:t>objektīvu iemeslu dēļ šo termiņu nav iespējams ievērot,</w:t>
      </w:r>
      <w:r w:rsidR="002A05D1"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uzraudzības iestāde to var pagarināt uz laiku, ne ilgāku par diviem gadiem, skaitot no</w:t>
      </w:r>
      <w:r w:rsidR="002A05D1"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lietas ierosināšanas dienas.</w:t>
      </w:r>
      <w:r w:rsidR="002A05D1"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Lēmuma pieņemšanai nepieciešamās informācijas neesība</w:t>
      </w:r>
      <w:r w:rsidR="002A05D1"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un pieteicējas nesadarbošanās tās iegūšanā ir objektīv</w:t>
      </w:r>
      <w:r w:rsidR="00F9260B" w:rsidRPr="00A047D1">
        <w:rPr>
          <w:rFonts w:asciiTheme="majorBidi" w:hAnsiTheme="majorBidi" w:cstheme="majorBidi"/>
          <w:shd w:val="clear" w:color="auto" w:fill="FFFFFF"/>
        </w:rPr>
        <w:t>s pamats</w:t>
      </w:r>
      <w:r w:rsidR="00E726A0" w:rsidRPr="00A047D1">
        <w:rPr>
          <w:rFonts w:asciiTheme="majorBidi" w:hAnsiTheme="majorBidi" w:cstheme="majorBidi"/>
          <w:shd w:val="clear" w:color="auto" w:fill="FFFFFF"/>
        </w:rPr>
        <w:t xml:space="preserve"> termiņa pagarināšanai. Tikai gadījumā, ja divu gadu termiņā joprojām</w:t>
      </w:r>
      <w:r w:rsidR="002A05D1"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konkrētās ziņas, kas ir zināmas pašam pārkāpējam, objektīvi nebūtu iespējams iegūt,</w:t>
      </w:r>
      <w:r w:rsidR="002A05D1"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 xml:space="preserve">iestādei būtu pamats soda naudas </w:t>
      </w:r>
      <w:r w:rsidR="00D66E2B" w:rsidRPr="00A047D1">
        <w:rPr>
          <w:rFonts w:asciiTheme="majorBidi" w:hAnsiTheme="majorBidi" w:cstheme="majorBidi"/>
          <w:shd w:val="clear" w:color="auto" w:fill="FFFFFF"/>
        </w:rPr>
        <w:t>apmēru</w:t>
      </w:r>
      <w:r w:rsidR="00E726A0" w:rsidRPr="00A047D1">
        <w:rPr>
          <w:rFonts w:asciiTheme="majorBidi" w:hAnsiTheme="majorBidi" w:cstheme="majorBidi"/>
          <w:shd w:val="clear" w:color="auto" w:fill="FFFFFF"/>
        </w:rPr>
        <w:t xml:space="preserve"> noteikt, neņemot</w:t>
      </w:r>
      <w:r w:rsidR="002A05D1"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 xml:space="preserve">vērā </w:t>
      </w:r>
      <w:r w:rsidR="00F9260B" w:rsidRPr="00A047D1">
        <w:rPr>
          <w:rFonts w:asciiTheme="majorBidi" w:hAnsiTheme="majorBidi" w:cstheme="majorBidi"/>
          <w:shd w:val="clear" w:color="auto" w:fill="FFFFFF"/>
        </w:rPr>
        <w:t>pārkāpēja</w:t>
      </w:r>
      <w:r w:rsidR="00E726A0" w:rsidRPr="00A047D1">
        <w:rPr>
          <w:rFonts w:asciiTheme="majorBidi" w:hAnsiTheme="majorBidi" w:cstheme="majorBidi"/>
          <w:shd w:val="clear" w:color="auto" w:fill="FFFFFF"/>
        </w:rPr>
        <w:t xml:space="preserve"> neto apgrozījumu.</w:t>
      </w:r>
      <w:r w:rsidR="002A05D1" w:rsidRPr="00A047D1">
        <w:rPr>
          <w:rFonts w:asciiTheme="majorBidi" w:hAnsiTheme="majorBidi" w:cstheme="majorBidi"/>
          <w:shd w:val="clear" w:color="auto" w:fill="FFFFFF"/>
        </w:rPr>
        <w:t xml:space="preserve"> Tā kā konkrētajā gadījumā lieta </w:t>
      </w:r>
      <w:r w:rsidR="002A05D1" w:rsidRPr="00A047D1">
        <w:rPr>
          <w:rFonts w:asciiTheme="majorBidi" w:hAnsiTheme="majorBidi" w:cstheme="majorBidi"/>
          <w:shd w:val="clear" w:color="auto" w:fill="FFFFFF"/>
        </w:rPr>
        <w:lastRenderedPageBreak/>
        <w:t xml:space="preserve">ierosināta 2020.gada sākumā, lēmumu Centrs varēja pieņemt līdz 2022.gada sākumam. </w:t>
      </w:r>
      <w:r w:rsidR="00D66E2B" w:rsidRPr="00A047D1">
        <w:rPr>
          <w:rFonts w:asciiTheme="majorBidi" w:hAnsiTheme="majorBidi" w:cstheme="majorBidi"/>
          <w:shd w:val="clear" w:color="auto" w:fill="FFFFFF"/>
        </w:rPr>
        <w:t xml:space="preserve">Līdz ar to </w:t>
      </w:r>
      <w:r w:rsidR="002A05D1" w:rsidRPr="00A047D1">
        <w:rPr>
          <w:rFonts w:asciiTheme="majorBidi" w:hAnsiTheme="majorBidi" w:cstheme="majorBidi"/>
          <w:shd w:val="clear" w:color="auto" w:fill="FFFFFF"/>
        </w:rPr>
        <w:t xml:space="preserve">konkrētajā gadījumā </w:t>
      </w:r>
      <w:r w:rsidR="00E726A0" w:rsidRPr="00A047D1">
        <w:rPr>
          <w:rFonts w:asciiTheme="majorBidi" w:hAnsiTheme="majorBidi" w:cstheme="majorBidi"/>
          <w:shd w:val="clear" w:color="auto" w:fill="FFFFFF"/>
        </w:rPr>
        <w:t>bija iespējam</w:t>
      </w:r>
      <w:r w:rsidR="002A05D1" w:rsidRPr="00A047D1">
        <w:rPr>
          <w:rFonts w:asciiTheme="majorBidi" w:hAnsiTheme="majorBidi" w:cstheme="majorBidi"/>
          <w:shd w:val="clear" w:color="auto" w:fill="FFFFFF"/>
        </w:rPr>
        <w:t xml:space="preserve">s, nosakot pieteicējai soda naudu, ņemt vērā </w:t>
      </w:r>
      <w:r w:rsidR="00E726A0" w:rsidRPr="00A047D1">
        <w:rPr>
          <w:rFonts w:asciiTheme="majorBidi" w:hAnsiTheme="majorBidi" w:cstheme="majorBidi"/>
          <w:shd w:val="clear" w:color="auto" w:fill="FFFFFF"/>
        </w:rPr>
        <w:t>pieteicējas deklarēt</w:t>
      </w:r>
      <w:r w:rsidR="002A05D1" w:rsidRPr="00A047D1">
        <w:rPr>
          <w:rFonts w:asciiTheme="majorBidi" w:hAnsiTheme="majorBidi" w:cstheme="majorBidi"/>
          <w:shd w:val="clear" w:color="auto" w:fill="FFFFFF"/>
        </w:rPr>
        <w:t>o</w:t>
      </w:r>
      <w:r w:rsidR="00E726A0" w:rsidRPr="00A047D1">
        <w:rPr>
          <w:rFonts w:asciiTheme="majorBidi" w:hAnsiTheme="majorBidi" w:cstheme="majorBidi"/>
          <w:shd w:val="clear" w:color="auto" w:fill="FFFFFF"/>
        </w:rPr>
        <w:t xml:space="preserve"> neto apgrozījum</w:t>
      </w:r>
      <w:r w:rsidR="002A05D1" w:rsidRPr="00A047D1">
        <w:rPr>
          <w:rFonts w:asciiTheme="majorBidi" w:hAnsiTheme="majorBidi" w:cstheme="majorBidi"/>
          <w:shd w:val="clear" w:color="auto" w:fill="FFFFFF"/>
        </w:rPr>
        <w:t>u.</w:t>
      </w:r>
      <w:r w:rsidR="00F9260B" w:rsidRPr="00A047D1">
        <w:rPr>
          <w:rFonts w:asciiTheme="majorBidi" w:hAnsiTheme="majorBidi" w:cstheme="majorBidi"/>
          <w:shd w:val="clear" w:color="auto" w:fill="FFFFFF"/>
        </w:rPr>
        <w:t xml:space="preserve"> </w:t>
      </w:r>
    </w:p>
    <w:p w14:paraId="407F697C" w14:textId="6DA987F0" w:rsidR="00F9260B" w:rsidRPr="00A047D1" w:rsidRDefault="002A05D1" w:rsidP="00A047D1">
      <w:pPr>
        <w:spacing w:line="276" w:lineRule="auto"/>
        <w:ind w:firstLine="720"/>
        <w:jc w:val="both"/>
        <w:rPr>
          <w:rFonts w:asciiTheme="majorBidi" w:hAnsiTheme="majorBidi" w:cstheme="majorBidi"/>
          <w:shd w:val="clear" w:color="auto" w:fill="FFFFFF"/>
        </w:rPr>
      </w:pPr>
      <w:r w:rsidRPr="00A047D1">
        <w:rPr>
          <w:rFonts w:asciiTheme="majorBidi" w:hAnsiTheme="majorBidi" w:cstheme="majorBidi"/>
          <w:shd w:val="clear" w:color="auto" w:fill="FFFFFF"/>
        </w:rPr>
        <w:t xml:space="preserve">[3.3] </w:t>
      </w:r>
      <w:r w:rsidR="00D66E2B" w:rsidRPr="00A047D1">
        <w:rPr>
          <w:rFonts w:asciiTheme="majorBidi" w:hAnsiTheme="majorBidi" w:cstheme="majorBidi"/>
          <w:shd w:val="clear" w:color="auto" w:fill="FFFFFF"/>
        </w:rPr>
        <w:t>S</w:t>
      </w:r>
      <w:r w:rsidR="00E726A0" w:rsidRPr="00A047D1">
        <w:rPr>
          <w:rFonts w:asciiTheme="majorBidi" w:hAnsiTheme="majorBidi" w:cstheme="majorBidi"/>
          <w:shd w:val="clear" w:color="auto" w:fill="FFFFFF"/>
        </w:rPr>
        <w:t>amērojot pieteicējas un patērētāju, kā arī</w:t>
      </w:r>
      <w:r w:rsidR="00F9260B"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sabiedrības intereses, lai sasniegtu taisnīgu lietas izskatīšanas rezultātu, ir</w:t>
      </w:r>
      <w:r w:rsidR="00F9260B"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nepieciešams, atceļot pārsūdzēto lēmumu daļā par pieteicējai piemēroto soda naudu,</w:t>
      </w:r>
      <w:r w:rsidR="00F9260B"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 xml:space="preserve">uzdot </w:t>
      </w:r>
      <w:r w:rsidR="005A533D" w:rsidRPr="00A047D1">
        <w:rPr>
          <w:rFonts w:asciiTheme="majorBidi" w:hAnsiTheme="majorBidi" w:cstheme="majorBidi"/>
          <w:shd w:val="clear" w:color="auto" w:fill="FFFFFF"/>
        </w:rPr>
        <w:t>C</w:t>
      </w:r>
      <w:r w:rsidR="00E726A0" w:rsidRPr="00A047D1">
        <w:rPr>
          <w:rFonts w:asciiTheme="majorBidi" w:hAnsiTheme="majorBidi" w:cstheme="majorBidi"/>
          <w:shd w:val="clear" w:color="auto" w:fill="FFFFFF"/>
        </w:rPr>
        <w:t>entram izdot jaunu administratīvo aktu, kurā uzliktā soda nauda tiktu reducēta</w:t>
      </w:r>
      <w:r w:rsidR="00F9260B"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līdz Negodīgas komercprakses aizlieguma likuma 15.</w:t>
      </w:r>
      <w:r w:rsidR="00E726A0" w:rsidRPr="00A047D1">
        <w:rPr>
          <w:rFonts w:asciiTheme="majorBidi" w:hAnsiTheme="majorBidi" w:cstheme="majorBidi"/>
          <w:shd w:val="clear" w:color="auto" w:fill="FFFFFF"/>
          <w:vertAlign w:val="superscript"/>
        </w:rPr>
        <w:t>2</w:t>
      </w:r>
      <w:r w:rsidR="00E726A0" w:rsidRPr="00A047D1">
        <w:rPr>
          <w:rFonts w:asciiTheme="majorBidi" w:hAnsiTheme="majorBidi" w:cstheme="majorBidi"/>
          <w:shd w:val="clear" w:color="auto" w:fill="FFFFFF"/>
        </w:rPr>
        <w:t>panta pirmajā daļā noteiktajai</w:t>
      </w:r>
      <w:r w:rsidR="00F9260B" w:rsidRPr="00A047D1">
        <w:rPr>
          <w:rFonts w:asciiTheme="majorBidi" w:hAnsiTheme="majorBidi" w:cstheme="majorBidi"/>
          <w:shd w:val="clear" w:color="auto" w:fill="FFFFFF"/>
        </w:rPr>
        <w:t xml:space="preserve"> </w:t>
      </w:r>
      <w:r w:rsidR="00E726A0" w:rsidRPr="00A047D1">
        <w:rPr>
          <w:rFonts w:asciiTheme="majorBidi" w:hAnsiTheme="majorBidi" w:cstheme="majorBidi"/>
          <w:shd w:val="clear" w:color="auto" w:fill="FFFFFF"/>
        </w:rPr>
        <w:t>robežai.</w:t>
      </w:r>
      <w:r w:rsidR="00F9260B" w:rsidRPr="00A047D1">
        <w:rPr>
          <w:rFonts w:asciiTheme="majorBidi" w:hAnsiTheme="majorBidi" w:cstheme="majorBidi"/>
          <w:shd w:val="clear" w:color="auto" w:fill="FFFFFF"/>
        </w:rPr>
        <w:t xml:space="preserve"> </w:t>
      </w:r>
    </w:p>
    <w:p w14:paraId="375C2555" w14:textId="77777777" w:rsidR="00F9260B" w:rsidRPr="00A047D1" w:rsidRDefault="00F9260B" w:rsidP="00A047D1">
      <w:pPr>
        <w:spacing w:line="276" w:lineRule="auto"/>
        <w:ind w:firstLine="720"/>
        <w:jc w:val="both"/>
        <w:rPr>
          <w:rFonts w:asciiTheme="majorBidi" w:hAnsiTheme="majorBidi" w:cstheme="majorBidi"/>
          <w:shd w:val="clear" w:color="auto" w:fill="FFFFFF"/>
        </w:rPr>
      </w:pPr>
    </w:p>
    <w:p w14:paraId="6000CC36" w14:textId="2ED2DEF6" w:rsidR="003C6F61" w:rsidRPr="00A047D1" w:rsidRDefault="003C6F61" w:rsidP="00A047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047D1">
        <w:rPr>
          <w:rFonts w:asciiTheme="majorBidi" w:hAnsiTheme="majorBidi" w:cstheme="majorBidi"/>
          <w:shd w:val="clear" w:color="auto" w:fill="FFFFFF"/>
        </w:rPr>
        <w:t>[</w:t>
      </w:r>
      <w:r w:rsidR="00703767" w:rsidRPr="00A047D1">
        <w:rPr>
          <w:rFonts w:asciiTheme="majorBidi" w:hAnsiTheme="majorBidi" w:cstheme="majorBidi"/>
          <w:shd w:val="clear" w:color="auto" w:fill="FFFFFF"/>
        </w:rPr>
        <w:t>4</w:t>
      </w:r>
      <w:r w:rsidRPr="00A047D1">
        <w:rPr>
          <w:rFonts w:asciiTheme="majorBidi" w:hAnsiTheme="majorBidi" w:cstheme="majorBidi"/>
          <w:shd w:val="clear" w:color="auto" w:fill="FFFFFF"/>
        </w:rPr>
        <w:t>] </w:t>
      </w:r>
      <w:r w:rsidR="00E77281" w:rsidRPr="00A047D1">
        <w:rPr>
          <w:rFonts w:asciiTheme="majorBidi" w:hAnsiTheme="majorBidi" w:cstheme="majorBidi"/>
          <w:shd w:val="clear" w:color="auto" w:fill="FFFFFF"/>
        </w:rPr>
        <w:t>Centrs</w:t>
      </w:r>
      <w:r w:rsidRPr="00A047D1">
        <w:rPr>
          <w:rFonts w:asciiTheme="majorBidi" w:hAnsiTheme="majorBidi" w:cstheme="majorBidi"/>
          <w:shd w:val="clear" w:color="auto" w:fill="FFFFFF"/>
        </w:rPr>
        <w:t xml:space="preserve"> iesniedza kasācijas sūdzību, kas pamatota ar turpmāk izklāstītajiem argumentiem.</w:t>
      </w:r>
    </w:p>
    <w:p w14:paraId="572CB652" w14:textId="1A887832" w:rsidR="00570633" w:rsidRPr="00A047D1" w:rsidRDefault="001444E4" w:rsidP="00A047D1">
      <w:pPr>
        <w:autoSpaceDE w:val="0"/>
        <w:autoSpaceDN w:val="0"/>
        <w:adjustRightInd w:val="0"/>
        <w:spacing w:line="276" w:lineRule="auto"/>
        <w:ind w:firstLine="720"/>
        <w:jc w:val="both"/>
        <w:rPr>
          <w:rFonts w:asciiTheme="majorBidi" w:hAnsiTheme="majorBidi" w:cstheme="majorBidi"/>
          <w:bCs/>
        </w:rPr>
      </w:pPr>
      <w:r w:rsidRPr="00A047D1">
        <w:rPr>
          <w:rFonts w:asciiTheme="majorBidi" w:hAnsiTheme="majorBidi" w:cstheme="majorBidi"/>
          <w:shd w:val="clear" w:color="auto" w:fill="FFFFFF"/>
        </w:rPr>
        <w:t xml:space="preserve">[4.1] </w:t>
      </w:r>
      <w:r w:rsidRPr="00A047D1">
        <w:rPr>
          <w:rFonts w:asciiTheme="majorBidi" w:hAnsiTheme="majorBidi" w:cstheme="majorBidi"/>
          <w:bCs/>
        </w:rPr>
        <w:t xml:space="preserve">Tiesa lietas izspriešanā ir vadījusies tikai no </w:t>
      </w:r>
      <w:r w:rsidRPr="00A047D1">
        <w:rPr>
          <w:rFonts w:asciiTheme="majorBidi" w:hAnsiTheme="majorBidi" w:cstheme="majorBidi"/>
          <w:shd w:val="clear" w:color="auto" w:fill="FFFFFF"/>
        </w:rPr>
        <w:t>Negodīgas komercprakses aizlieguma likuma</w:t>
      </w:r>
      <w:r w:rsidRPr="00A047D1">
        <w:rPr>
          <w:rFonts w:asciiTheme="majorBidi" w:hAnsiTheme="majorBidi" w:cstheme="majorBidi"/>
          <w:bCs/>
        </w:rPr>
        <w:t xml:space="preserve"> 15.</w:t>
      </w:r>
      <w:r w:rsidRPr="00A047D1">
        <w:rPr>
          <w:rFonts w:asciiTheme="majorBidi" w:hAnsiTheme="majorBidi" w:cstheme="majorBidi"/>
          <w:bCs/>
          <w:vertAlign w:val="superscript"/>
        </w:rPr>
        <w:t>2</w:t>
      </w:r>
      <w:r w:rsidRPr="00A047D1">
        <w:rPr>
          <w:rFonts w:asciiTheme="majorBidi" w:hAnsiTheme="majorBidi" w:cstheme="majorBidi"/>
          <w:bCs/>
        </w:rPr>
        <w:t xml:space="preserve">panta pirmās daļas pirmā teikuma gramatiskā </w:t>
      </w:r>
      <w:r w:rsidR="00D43050" w:rsidRPr="00A047D1">
        <w:rPr>
          <w:rFonts w:asciiTheme="majorBidi" w:hAnsiTheme="majorBidi" w:cstheme="majorBidi"/>
          <w:bCs/>
        </w:rPr>
        <w:t>formulējuma</w:t>
      </w:r>
      <w:r w:rsidRPr="00A047D1">
        <w:rPr>
          <w:rFonts w:asciiTheme="majorBidi" w:hAnsiTheme="majorBidi" w:cstheme="majorBidi"/>
          <w:bCs/>
        </w:rPr>
        <w:t xml:space="preserve">, neņemot vērā </w:t>
      </w:r>
      <w:r w:rsidR="00570633" w:rsidRPr="00A047D1">
        <w:rPr>
          <w:rFonts w:asciiTheme="majorBidi" w:hAnsiTheme="majorBidi" w:cstheme="majorBidi"/>
          <w:bCs/>
        </w:rPr>
        <w:t>likuma</w:t>
      </w:r>
      <w:r w:rsidRPr="00A047D1">
        <w:rPr>
          <w:rFonts w:asciiTheme="majorBidi" w:hAnsiTheme="majorBidi" w:cstheme="majorBidi"/>
          <w:bCs/>
        </w:rPr>
        <w:t xml:space="preserve"> mērķi</w:t>
      </w:r>
      <w:r w:rsidR="00570633" w:rsidRPr="00A047D1">
        <w:rPr>
          <w:rFonts w:asciiTheme="majorBidi" w:hAnsiTheme="majorBidi" w:cstheme="majorBidi"/>
          <w:bCs/>
        </w:rPr>
        <w:t>, soda naudas mērķi</w:t>
      </w:r>
      <w:r w:rsidR="00D43050" w:rsidRPr="00A047D1">
        <w:rPr>
          <w:rFonts w:asciiTheme="majorBidi" w:hAnsiTheme="majorBidi" w:cstheme="majorBidi"/>
          <w:bCs/>
        </w:rPr>
        <w:t xml:space="preserve"> un</w:t>
      </w:r>
      <w:r w:rsidR="00570633" w:rsidRPr="00A047D1">
        <w:rPr>
          <w:rFonts w:asciiTheme="majorBidi" w:hAnsiTheme="majorBidi" w:cstheme="majorBidi"/>
          <w:bCs/>
        </w:rPr>
        <w:t xml:space="preserve"> efektīvas pārkāpumu novēršanas nepieciešamību.</w:t>
      </w:r>
    </w:p>
    <w:p w14:paraId="491A64FC" w14:textId="51F3773E" w:rsidR="00FE76F6" w:rsidRPr="00A047D1" w:rsidRDefault="00FE034D" w:rsidP="00A047D1">
      <w:pPr>
        <w:autoSpaceDE w:val="0"/>
        <w:autoSpaceDN w:val="0"/>
        <w:adjustRightInd w:val="0"/>
        <w:spacing w:line="276" w:lineRule="auto"/>
        <w:ind w:firstLine="720"/>
        <w:jc w:val="both"/>
        <w:rPr>
          <w:rFonts w:asciiTheme="majorBidi" w:hAnsiTheme="majorBidi" w:cstheme="majorBidi"/>
          <w:bCs/>
        </w:rPr>
      </w:pPr>
      <w:r w:rsidRPr="00A047D1">
        <w:rPr>
          <w:rFonts w:asciiTheme="majorBidi" w:hAnsiTheme="majorBidi" w:cstheme="majorBidi"/>
          <w:bCs/>
        </w:rPr>
        <w:t>[4.</w:t>
      </w:r>
      <w:r w:rsidR="00FE76F6" w:rsidRPr="00A047D1">
        <w:rPr>
          <w:rFonts w:asciiTheme="majorBidi" w:hAnsiTheme="majorBidi" w:cstheme="majorBidi"/>
          <w:bCs/>
        </w:rPr>
        <w:t>2</w:t>
      </w:r>
      <w:r w:rsidRPr="00A047D1">
        <w:rPr>
          <w:rFonts w:asciiTheme="majorBidi" w:hAnsiTheme="majorBidi" w:cstheme="majorBidi"/>
          <w:bCs/>
        </w:rPr>
        <w:t>] N</w:t>
      </w:r>
      <w:r w:rsidR="00570633" w:rsidRPr="00A047D1">
        <w:rPr>
          <w:rFonts w:asciiTheme="majorBidi" w:hAnsiTheme="majorBidi" w:cstheme="majorBidi"/>
          <w:bCs/>
        </w:rPr>
        <w:t xml:space="preserve">egodīgu komercpraksi var īstenot ne tikai personas, kas deklarē savu neto apgrozījumu, bet arī tādas personas, kuras, ignorējot normatīvajos aktos noteikto pienākumu, </w:t>
      </w:r>
      <w:r w:rsidR="00893F01" w:rsidRPr="00A047D1">
        <w:rPr>
          <w:rFonts w:asciiTheme="majorBidi" w:hAnsiTheme="majorBidi" w:cstheme="majorBidi"/>
          <w:bCs/>
        </w:rPr>
        <w:t xml:space="preserve">to nav pienācīgi izdarījušas </w:t>
      </w:r>
      <w:r w:rsidR="00811645" w:rsidRPr="00A047D1">
        <w:rPr>
          <w:rFonts w:asciiTheme="majorBidi" w:hAnsiTheme="majorBidi" w:cstheme="majorBidi"/>
          <w:bCs/>
        </w:rPr>
        <w:t>vai</w:t>
      </w:r>
      <w:r w:rsidR="00570633" w:rsidRPr="00A047D1">
        <w:rPr>
          <w:rFonts w:asciiTheme="majorBidi" w:hAnsiTheme="majorBidi" w:cstheme="majorBidi"/>
          <w:bCs/>
        </w:rPr>
        <w:t xml:space="preserve"> kurām pilnībā vai daļēji nav piemērojamas saimnieciskās darbības ieņēmumu deklarēšanas prasības</w:t>
      </w:r>
      <w:r w:rsidRPr="00A047D1">
        <w:rPr>
          <w:rFonts w:asciiTheme="majorBidi" w:hAnsiTheme="majorBidi" w:cstheme="majorBidi"/>
          <w:bCs/>
        </w:rPr>
        <w:t>,</w:t>
      </w:r>
      <w:r w:rsidR="00D43050" w:rsidRPr="00A047D1">
        <w:rPr>
          <w:rFonts w:asciiTheme="majorBidi" w:hAnsiTheme="majorBidi" w:cstheme="majorBidi"/>
          <w:bCs/>
        </w:rPr>
        <w:t xml:space="preserve"> kā arī</w:t>
      </w:r>
      <w:r w:rsidR="00570633" w:rsidRPr="00A047D1">
        <w:rPr>
          <w:rFonts w:asciiTheme="majorBidi" w:hAnsiTheme="majorBidi" w:cstheme="majorBidi"/>
          <w:bCs/>
        </w:rPr>
        <w:t xml:space="preserve"> tādas</w:t>
      </w:r>
      <w:r w:rsidR="00335FE3" w:rsidRPr="00A047D1">
        <w:rPr>
          <w:rFonts w:asciiTheme="majorBidi" w:hAnsiTheme="majorBidi" w:cstheme="majorBidi"/>
          <w:bCs/>
        </w:rPr>
        <w:t xml:space="preserve"> personas</w:t>
      </w:r>
      <w:r w:rsidR="00570633" w:rsidRPr="00A047D1">
        <w:rPr>
          <w:rFonts w:asciiTheme="majorBidi" w:hAnsiTheme="majorBidi" w:cstheme="majorBidi"/>
          <w:bCs/>
        </w:rPr>
        <w:t xml:space="preserve">, </w:t>
      </w:r>
      <w:r w:rsidR="00121D30" w:rsidRPr="00A047D1">
        <w:rPr>
          <w:rFonts w:asciiTheme="majorBidi" w:hAnsiTheme="majorBidi" w:cstheme="majorBidi"/>
          <w:bCs/>
        </w:rPr>
        <w:t xml:space="preserve">par </w:t>
      </w:r>
      <w:r w:rsidR="00570633" w:rsidRPr="00A047D1">
        <w:rPr>
          <w:rFonts w:asciiTheme="majorBidi" w:hAnsiTheme="majorBidi" w:cstheme="majorBidi"/>
          <w:bCs/>
        </w:rPr>
        <w:t>kuru iepriekšējā finanšu gada apgrozījum</w:t>
      </w:r>
      <w:r w:rsidR="00121D30" w:rsidRPr="00A047D1">
        <w:rPr>
          <w:rFonts w:asciiTheme="majorBidi" w:hAnsiTheme="majorBidi" w:cstheme="majorBidi"/>
          <w:bCs/>
        </w:rPr>
        <w:t>u ziņas</w:t>
      </w:r>
      <w:r w:rsidR="00570633" w:rsidRPr="00A047D1">
        <w:rPr>
          <w:rFonts w:asciiTheme="majorBidi" w:hAnsiTheme="majorBidi" w:cstheme="majorBidi"/>
          <w:bCs/>
        </w:rPr>
        <w:t xml:space="preserve"> objektīvu apstākļu dēļ nav pieejam</w:t>
      </w:r>
      <w:r w:rsidR="00121D30" w:rsidRPr="00A047D1">
        <w:rPr>
          <w:rFonts w:asciiTheme="majorBidi" w:hAnsiTheme="majorBidi" w:cstheme="majorBidi"/>
          <w:bCs/>
        </w:rPr>
        <w:t>a</w:t>
      </w:r>
      <w:r w:rsidR="00570633" w:rsidRPr="00A047D1">
        <w:rPr>
          <w:rFonts w:asciiTheme="majorBidi" w:hAnsiTheme="majorBidi" w:cstheme="majorBidi"/>
          <w:bCs/>
        </w:rPr>
        <w:t xml:space="preserve">s. </w:t>
      </w:r>
      <w:r w:rsidRPr="00A047D1">
        <w:rPr>
          <w:rFonts w:asciiTheme="majorBidi" w:hAnsiTheme="majorBidi" w:cstheme="majorBidi"/>
          <w:bCs/>
        </w:rPr>
        <w:t>Tāpēc a</w:t>
      </w:r>
      <w:r w:rsidR="00570633" w:rsidRPr="00A047D1">
        <w:rPr>
          <w:rFonts w:asciiTheme="majorBidi" w:hAnsiTheme="majorBidi" w:cstheme="majorBidi"/>
          <w:bCs/>
        </w:rPr>
        <w:t xml:space="preserve">pstākļos, kuros </w:t>
      </w:r>
      <w:r w:rsidRPr="00A047D1">
        <w:rPr>
          <w:rFonts w:asciiTheme="majorBidi" w:hAnsiTheme="majorBidi" w:cstheme="majorBidi"/>
          <w:bCs/>
        </w:rPr>
        <w:t>Centram nav pieejams pārkāpēja gada pārskats, Centrs informāciju prasa pašam pārkāpējam</w:t>
      </w:r>
      <w:r w:rsidR="00570633" w:rsidRPr="00A047D1">
        <w:rPr>
          <w:rFonts w:asciiTheme="majorBidi" w:hAnsiTheme="majorBidi" w:cstheme="majorBidi"/>
          <w:bCs/>
        </w:rPr>
        <w:t xml:space="preserve">. Ja persona </w:t>
      </w:r>
      <w:r w:rsidRPr="00A047D1">
        <w:rPr>
          <w:rFonts w:asciiTheme="majorBidi" w:hAnsiTheme="majorBidi" w:cstheme="majorBidi"/>
          <w:bCs/>
        </w:rPr>
        <w:t xml:space="preserve">pieprasīto informāciju nesniedz, </w:t>
      </w:r>
      <w:r w:rsidR="00570633" w:rsidRPr="00A047D1">
        <w:rPr>
          <w:rFonts w:asciiTheme="majorBidi" w:hAnsiTheme="majorBidi" w:cstheme="majorBidi"/>
          <w:bCs/>
        </w:rPr>
        <w:t xml:space="preserve">soda naudas apmērs </w:t>
      </w:r>
      <w:r w:rsidRPr="00A047D1">
        <w:rPr>
          <w:rFonts w:asciiTheme="majorBidi" w:hAnsiTheme="majorBidi" w:cstheme="majorBidi"/>
          <w:bCs/>
        </w:rPr>
        <w:t>tiek noteikts</w:t>
      </w:r>
      <w:r w:rsidR="00D43050" w:rsidRPr="00A047D1">
        <w:rPr>
          <w:rFonts w:asciiTheme="majorBidi" w:hAnsiTheme="majorBidi" w:cstheme="majorBidi"/>
          <w:bCs/>
        </w:rPr>
        <w:t xml:space="preserve"> likumā noteikto 100</w:t>
      </w:r>
      <w:r w:rsidR="00851798" w:rsidRPr="00A047D1">
        <w:rPr>
          <w:rFonts w:asciiTheme="majorBidi" w:hAnsiTheme="majorBidi" w:cstheme="majorBidi"/>
          <w:bCs/>
        </w:rPr>
        <w:t> </w:t>
      </w:r>
      <w:r w:rsidR="00D43050" w:rsidRPr="00A047D1">
        <w:rPr>
          <w:rFonts w:asciiTheme="majorBidi" w:hAnsiTheme="majorBidi" w:cstheme="majorBidi"/>
          <w:bCs/>
        </w:rPr>
        <w:t>000</w:t>
      </w:r>
      <w:r w:rsidR="00851798" w:rsidRPr="00A047D1">
        <w:rPr>
          <w:rFonts w:asciiTheme="majorBidi" w:hAnsiTheme="majorBidi" w:cstheme="majorBidi"/>
          <w:bCs/>
        </w:rPr>
        <w:t> </w:t>
      </w:r>
      <w:r w:rsidR="00D43050" w:rsidRPr="00A047D1">
        <w:rPr>
          <w:rFonts w:asciiTheme="majorBidi" w:hAnsiTheme="majorBidi" w:cstheme="majorBidi"/>
          <w:bCs/>
          <w:i/>
          <w:iCs/>
        </w:rPr>
        <w:t>euro</w:t>
      </w:r>
      <w:r w:rsidR="00D43050" w:rsidRPr="00A047D1">
        <w:rPr>
          <w:rFonts w:asciiTheme="majorBidi" w:hAnsiTheme="majorBidi" w:cstheme="majorBidi"/>
          <w:bCs/>
        </w:rPr>
        <w:t xml:space="preserve"> robežās</w:t>
      </w:r>
      <w:r w:rsidR="00570633" w:rsidRPr="00A047D1">
        <w:rPr>
          <w:rFonts w:asciiTheme="majorBidi" w:hAnsiTheme="majorBidi" w:cstheme="majorBidi"/>
          <w:bCs/>
        </w:rPr>
        <w:t xml:space="preserve">. </w:t>
      </w:r>
    </w:p>
    <w:p w14:paraId="0DCD1695" w14:textId="1E87E145" w:rsidR="00FE76F6" w:rsidRPr="00A047D1" w:rsidRDefault="00FE76F6" w:rsidP="00A047D1">
      <w:pPr>
        <w:autoSpaceDE w:val="0"/>
        <w:autoSpaceDN w:val="0"/>
        <w:adjustRightInd w:val="0"/>
        <w:spacing w:line="276" w:lineRule="auto"/>
        <w:ind w:firstLine="720"/>
        <w:jc w:val="both"/>
        <w:rPr>
          <w:rFonts w:asciiTheme="majorBidi" w:hAnsiTheme="majorBidi" w:cstheme="majorBidi"/>
          <w:bCs/>
        </w:rPr>
      </w:pPr>
      <w:r w:rsidRPr="00A047D1">
        <w:rPr>
          <w:rFonts w:asciiTheme="majorBidi" w:hAnsiTheme="majorBidi" w:cstheme="majorBidi"/>
          <w:bCs/>
        </w:rPr>
        <w:t>[4.3] Izskatāmajā lietā Centrs izmantoja visas tam pieejamās iespējas, lai iegūtu informāciju par pieteicējas 2020.gada neto apgrozījumu. Proti, konstatējot</w:t>
      </w:r>
      <w:r w:rsidR="00F0648C" w:rsidRPr="00A047D1">
        <w:rPr>
          <w:rFonts w:asciiTheme="majorBidi" w:hAnsiTheme="majorBidi" w:cstheme="majorBidi"/>
          <w:bCs/>
        </w:rPr>
        <w:t>,</w:t>
      </w:r>
      <w:r w:rsidRPr="00A047D1">
        <w:rPr>
          <w:rFonts w:asciiTheme="majorBidi" w:hAnsiTheme="majorBidi" w:cstheme="majorBidi"/>
          <w:bCs/>
        </w:rPr>
        <w:t xml:space="preserve"> ka pieteicēja gada pārskatu par 2020.gadu nebija iesniegusi, Centrs aicināja pieteicēju sniegt Centram informāciju par tās neto apgrozījumu 2020.gadā. Pieteicēja </w:t>
      </w:r>
      <w:r w:rsidR="00F853A0" w:rsidRPr="00A047D1">
        <w:rPr>
          <w:rFonts w:asciiTheme="majorBidi" w:hAnsiTheme="majorBidi" w:cstheme="majorBidi"/>
          <w:bCs/>
        </w:rPr>
        <w:t>pieprasīto informāciju neiesniedza</w:t>
      </w:r>
      <w:r w:rsidRPr="00A047D1">
        <w:rPr>
          <w:rFonts w:asciiTheme="majorBidi" w:hAnsiTheme="majorBidi" w:cstheme="majorBidi"/>
          <w:bCs/>
        </w:rPr>
        <w:t>. Šā iemesla dēļ Centrs secināja, ka tam nav iespējams iegūt informāciju par pieteicējas 2020.gada apgrozījumu</w:t>
      </w:r>
      <w:r w:rsidR="00893F01" w:rsidRPr="00A047D1">
        <w:rPr>
          <w:rFonts w:asciiTheme="majorBidi" w:hAnsiTheme="majorBidi" w:cstheme="majorBidi"/>
          <w:bCs/>
        </w:rPr>
        <w:t>,</w:t>
      </w:r>
      <w:r w:rsidRPr="00A047D1">
        <w:rPr>
          <w:rFonts w:asciiTheme="majorBidi" w:hAnsiTheme="majorBidi" w:cstheme="majorBidi"/>
          <w:bCs/>
        </w:rPr>
        <w:t xml:space="preserve"> un attiecīgi soda naudu piemēroja, ņemot vērā </w:t>
      </w:r>
      <w:r w:rsidRPr="00A047D1">
        <w:rPr>
          <w:rFonts w:asciiTheme="majorBidi" w:hAnsiTheme="majorBidi" w:cstheme="majorBidi"/>
          <w:shd w:val="clear" w:color="auto" w:fill="FFFFFF"/>
        </w:rPr>
        <w:t>Negodīgas komercprakses aizlieguma likuma</w:t>
      </w:r>
      <w:r w:rsidRPr="00A047D1">
        <w:rPr>
          <w:rFonts w:asciiTheme="majorBidi" w:hAnsiTheme="majorBidi" w:cstheme="majorBidi"/>
          <w:bCs/>
        </w:rPr>
        <w:t xml:space="preserve"> 15.</w:t>
      </w:r>
      <w:r w:rsidRPr="00A047D1">
        <w:rPr>
          <w:rFonts w:asciiTheme="majorBidi" w:hAnsiTheme="majorBidi" w:cstheme="majorBidi"/>
          <w:bCs/>
          <w:vertAlign w:val="superscript"/>
        </w:rPr>
        <w:t>2</w:t>
      </w:r>
      <w:r w:rsidRPr="00A047D1">
        <w:rPr>
          <w:rFonts w:asciiTheme="majorBidi" w:hAnsiTheme="majorBidi" w:cstheme="majorBidi"/>
          <w:bCs/>
        </w:rPr>
        <w:t>panta pirmās daļas otrā teikuma normu, kas paredz, ka soda naudas apmērs ir nosakāms samērīg</w:t>
      </w:r>
      <w:r w:rsidR="00893F01" w:rsidRPr="00A047D1">
        <w:rPr>
          <w:rFonts w:asciiTheme="majorBidi" w:hAnsiTheme="majorBidi" w:cstheme="majorBidi"/>
          <w:bCs/>
        </w:rPr>
        <w:t>i</w:t>
      </w:r>
      <w:r w:rsidRPr="00A047D1">
        <w:rPr>
          <w:rFonts w:asciiTheme="majorBidi" w:hAnsiTheme="majorBidi" w:cstheme="majorBidi"/>
          <w:bCs/>
        </w:rPr>
        <w:t xml:space="preserve"> ar izdarīto pārkāpumu. </w:t>
      </w:r>
    </w:p>
    <w:p w14:paraId="6E3B75BF" w14:textId="335324E1" w:rsidR="00121D30" w:rsidRPr="00A047D1" w:rsidRDefault="00121D30" w:rsidP="00A047D1">
      <w:pPr>
        <w:autoSpaceDE w:val="0"/>
        <w:autoSpaceDN w:val="0"/>
        <w:adjustRightInd w:val="0"/>
        <w:spacing w:line="276" w:lineRule="auto"/>
        <w:ind w:firstLine="720"/>
        <w:jc w:val="both"/>
        <w:rPr>
          <w:rFonts w:asciiTheme="majorBidi" w:hAnsiTheme="majorBidi" w:cstheme="majorBidi"/>
          <w:bCs/>
        </w:rPr>
      </w:pPr>
      <w:r w:rsidRPr="00A047D1">
        <w:rPr>
          <w:rFonts w:asciiTheme="majorBidi" w:hAnsiTheme="majorBidi" w:cstheme="majorBidi"/>
          <w:bCs/>
        </w:rPr>
        <w:t>[4.4] Tiesas atzītais, ka gadījumā, ja pārkāpējs nav nodrošinājis informāciju par savu neto apgrozījumu, Centram ir jāpagarina lēmuma izdošanas termiņš, nenodrošina efektīvu patērētāju interešu aizsardzību, jo pieļauj pārkāpuma turpināšanos un soda naudas piemērošanas novilcināšanu. Tas novestu pie neefektīvas patērētāju kolektīvo interešu aizsardzības sistēmas, kas būtu pretēja Negodīgas komer</w:t>
      </w:r>
      <w:r w:rsidR="007164E9" w:rsidRPr="00A047D1">
        <w:rPr>
          <w:rFonts w:asciiTheme="majorBidi" w:hAnsiTheme="majorBidi" w:cstheme="majorBidi"/>
          <w:bCs/>
        </w:rPr>
        <w:t>c</w:t>
      </w:r>
      <w:r w:rsidRPr="00A047D1">
        <w:rPr>
          <w:rFonts w:asciiTheme="majorBidi" w:hAnsiTheme="majorBidi" w:cstheme="majorBidi"/>
          <w:bCs/>
        </w:rPr>
        <w:t xml:space="preserve">prakses aizlieguma likuma un </w:t>
      </w:r>
      <w:r w:rsidRPr="00A047D1">
        <w:rPr>
          <w:rFonts w:asciiTheme="majorBidi" w:hAnsiTheme="majorBidi" w:cstheme="majorBidi"/>
        </w:rPr>
        <w:t xml:space="preserve">Eiropas Parlamenta un Padomes </w:t>
      </w:r>
      <w:r w:rsidR="004A6FDF" w:rsidRPr="00A047D1">
        <w:rPr>
          <w:rFonts w:asciiTheme="majorBidi" w:hAnsiTheme="majorBidi" w:cstheme="majorBidi"/>
        </w:rPr>
        <w:t xml:space="preserve">2005.gada 11.maija </w:t>
      </w:r>
      <w:r w:rsidR="007164E9" w:rsidRPr="00A047D1">
        <w:rPr>
          <w:rFonts w:asciiTheme="majorBidi" w:hAnsiTheme="majorBidi" w:cstheme="majorBidi"/>
        </w:rPr>
        <w:t>D</w:t>
      </w:r>
      <w:r w:rsidRPr="00A047D1">
        <w:rPr>
          <w:rFonts w:asciiTheme="majorBidi" w:hAnsiTheme="majorBidi" w:cstheme="majorBidi"/>
        </w:rPr>
        <w:t>irektīva</w:t>
      </w:r>
      <w:r w:rsidR="007164E9" w:rsidRPr="00A047D1">
        <w:rPr>
          <w:rFonts w:asciiTheme="majorBidi" w:hAnsiTheme="majorBidi" w:cstheme="majorBidi"/>
        </w:rPr>
        <w:t>s</w:t>
      </w:r>
      <w:r w:rsidRPr="00A047D1">
        <w:rPr>
          <w:rFonts w:asciiTheme="majorBidi" w:hAnsiTheme="majorBidi" w:cstheme="majorBidi"/>
        </w:rPr>
        <w:t xml:space="preserve"> 2005/29/EK, kas attiecas uz uzņēmēju negodīgu komercpraksi iekšējā tirgū attiecībā pret patērētājiem un ar ko groza Padomes Direktīvu 84/450/EEK un Eiropas Parlamenta un Padomes Direktīvas 97/7/EK, 98/27/EK un 2002/65/EK un Eiropas Parlamenta un Padomes Regulu (EK) Nr. 2006/2004</w:t>
      </w:r>
      <w:r w:rsidR="007164E9" w:rsidRPr="00A047D1">
        <w:rPr>
          <w:rFonts w:asciiTheme="majorBidi" w:hAnsiTheme="majorBidi" w:cstheme="majorBidi"/>
          <w:bCs/>
        </w:rPr>
        <w:t xml:space="preserve"> (turpmāk – N</w:t>
      </w:r>
      <w:r w:rsidRPr="00A047D1">
        <w:rPr>
          <w:rFonts w:asciiTheme="majorBidi" w:hAnsiTheme="majorBidi" w:cstheme="majorBidi"/>
          <w:bCs/>
        </w:rPr>
        <w:t>egodīgas</w:t>
      </w:r>
      <w:r w:rsidR="007164E9" w:rsidRPr="00A047D1">
        <w:rPr>
          <w:rFonts w:asciiTheme="majorBidi" w:hAnsiTheme="majorBidi" w:cstheme="majorBidi"/>
          <w:bCs/>
        </w:rPr>
        <w:t xml:space="preserve"> </w:t>
      </w:r>
      <w:r w:rsidRPr="00A047D1">
        <w:rPr>
          <w:rFonts w:asciiTheme="majorBidi" w:hAnsiTheme="majorBidi" w:cstheme="majorBidi"/>
          <w:bCs/>
        </w:rPr>
        <w:t>komercprakses direktīva</w:t>
      </w:r>
      <w:r w:rsidR="007164E9" w:rsidRPr="00A047D1">
        <w:rPr>
          <w:rFonts w:asciiTheme="majorBidi" w:hAnsiTheme="majorBidi" w:cstheme="majorBidi"/>
          <w:bCs/>
        </w:rPr>
        <w:t>) jēgai un mērķim.</w:t>
      </w:r>
    </w:p>
    <w:p w14:paraId="5ACC1FED" w14:textId="77777777" w:rsidR="00FE76F6" w:rsidRPr="00A047D1" w:rsidRDefault="00FE76F6" w:rsidP="00A047D1">
      <w:pPr>
        <w:autoSpaceDE w:val="0"/>
        <w:autoSpaceDN w:val="0"/>
        <w:adjustRightInd w:val="0"/>
        <w:spacing w:line="276" w:lineRule="auto"/>
        <w:ind w:firstLine="720"/>
        <w:jc w:val="both"/>
        <w:rPr>
          <w:rFonts w:asciiTheme="majorBidi" w:hAnsiTheme="majorBidi" w:cstheme="majorBidi"/>
          <w:bCs/>
        </w:rPr>
      </w:pPr>
    </w:p>
    <w:p w14:paraId="722C2270" w14:textId="62E532CC" w:rsidR="003C6F61" w:rsidRPr="00A047D1" w:rsidRDefault="003C6F61" w:rsidP="00A047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A047D1">
        <w:rPr>
          <w:rFonts w:asciiTheme="majorBidi" w:hAnsiTheme="majorBidi" w:cstheme="majorBidi"/>
          <w:shd w:val="clear" w:color="auto" w:fill="FFFFFF"/>
        </w:rPr>
        <w:t>[</w:t>
      </w:r>
      <w:r w:rsidR="00467A51" w:rsidRPr="00A047D1">
        <w:rPr>
          <w:rFonts w:asciiTheme="majorBidi" w:hAnsiTheme="majorBidi" w:cstheme="majorBidi"/>
          <w:shd w:val="clear" w:color="auto" w:fill="FFFFFF"/>
        </w:rPr>
        <w:t>5</w:t>
      </w:r>
      <w:r w:rsidRPr="00A047D1">
        <w:rPr>
          <w:rFonts w:asciiTheme="majorBidi" w:hAnsiTheme="majorBidi" w:cstheme="majorBidi"/>
          <w:shd w:val="clear" w:color="auto" w:fill="FFFFFF"/>
        </w:rPr>
        <w:t>] </w:t>
      </w:r>
      <w:r w:rsidR="00672C39" w:rsidRPr="00A047D1">
        <w:rPr>
          <w:rFonts w:asciiTheme="majorBidi" w:hAnsiTheme="majorBidi" w:cstheme="majorBidi"/>
          <w:shd w:val="clear" w:color="auto" w:fill="FFFFFF"/>
        </w:rPr>
        <w:t>Pieteicēja</w:t>
      </w:r>
      <w:r w:rsidRPr="00A047D1">
        <w:rPr>
          <w:rFonts w:asciiTheme="majorBidi" w:hAnsiTheme="majorBidi" w:cstheme="majorBidi"/>
          <w:shd w:val="clear" w:color="auto" w:fill="FFFFFF"/>
        </w:rPr>
        <w:t xml:space="preserve"> paskaidrojum</w:t>
      </w:r>
      <w:r w:rsidR="00F0648C" w:rsidRPr="00A047D1">
        <w:rPr>
          <w:rFonts w:asciiTheme="majorBidi" w:hAnsiTheme="majorBidi" w:cstheme="majorBidi"/>
          <w:shd w:val="clear" w:color="auto" w:fill="FFFFFF"/>
        </w:rPr>
        <w:t>u par Centra</w:t>
      </w:r>
      <w:r w:rsidRPr="00A047D1">
        <w:rPr>
          <w:rFonts w:asciiTheme="majorBidi" w:hAnsiTheme="majorBidi" w:cstheme="majorBidi"/>
          <w:shd w:val="clear" w:color="auto" w:fill="FFFFFF"/>
        </w:rPr>
        <w:t xml:space="preserve"> kasācijas sūdzību n</w:t>
      </w:r>
      <w:r w:rsidR="00F0648C" w:rsidRPr="00A047D1">
        <w:rPr>
          <w:rFonts w:asciiTheme="majorBidi" w:hAnsiTheme="majorBidi" w:cstheme="majorBidi"/>
          <w:shd w:val="clear" w:color="auto" w:fill="FFFFFF"/>
        </w:rPr>
        <w:t>av iesniegusi</w:t>
      </w:r>
      <w:r w:rsidR="001B78F4" w:rsidRPr="00A047D1">
        <w:rPr>
          <w:rFonts w:asciiTheme="majorBidi" w:hAnsiTheme="majorBidi" w:cstheme="majorBidi"/>
          <w:shd w:val="clear" w:color="auto" w:fill="FFFFFF"/>
        </w:rPr>
        <w:t>.</w:t>
      </w:r>
    </w:p>
    <w:p w14:paraId="22320452" w14:textId="77777777" w:rsidR="003C6F61" w:rsidRPr="00A047D1" w:rsidRDefault="003C6F61" w:rsidP="00A047D1">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4AFCA15D" w14:textId="77777777" w:rsidR="003C6F61" w:rsidRPr="00A047D1" w:rsidRDefault="003C6F61" w:rsidP="00A047D1">
      <w:pPr>
        <w:shd w:val="clear" w:color="auto" w:fill="FFFFFF"/>
        <w:spacing w:line="276" w:lineRule="auto"/>
        <w:jc w:val="center"/>
        <w:rPr>
          <w:rFonts w:asciiTheme="majorBidi" w:hAnsiTheme="majorBidi" w:cstheme="majorBidi"/>
          <w:b/>
        </w:rPr>
      </w:pPr>
      <w:r w:rsidRPr="00A047D1">
        <w:rPr>
          <w:rFonts w:asciiTheme="majorBidi" w:hAnsiTheme="majorBidi" w:cstheme="majorBidi"/>
          <w:b/>
        </w:rPr>
        <w:t>Motīvu daļa</w:t>
      </w:r>
    </w:p>
    <w:p w14:paraId="53F714E6" w14:textId="77777777" w:rsidR="00F0648C" w:rsidRPr="00A047D1" w:rsidRDefault="00F0648C" w:rsidP="00A047D1">
      <w:pPr>
        <w:shd w:val="clear" w:color="auto" w:fill="FFFFFF"/>
        <w:spacing w:line="276" w:lineRule="auto"/>
        <w:jc w:val="center"/>
        <w:rPr>
          <w:rFonts w:asciiTheme="majorBidi" w:hAnsiTheme="majorBidi" w:cstheme="majorBidi"/>
          <w:b/>
        </w:rPr>
      </w:pPr>
    </w:p>
    <w:p w14:paraId="4923EC99" w14:textId="63E987FA" w:rsidR="00773952" w:rsidRPr="00A047D1" w:rsidRDefault="00F0648C" w:rsidP="00A047D1">
      <w:pPr>
        <w:spacing w:line="276" w:lineRule="auto"/>
        <w:ind w:firstLine="720"/>
        <w:jc w:val="both"/>
        <w:rPr>
          <w:rFonts w:asciiTheme="majorBidi" w:hAnsiTheme="majorBidi" w:cstheme="majorBidi"/>
        </w:rPr>
      </w:pPr>
      <w:r w:rsidRPr="00A047D1">
        <w:rPr>
          <w:rFonts w:asciiTheme="majorBidi" w:hAnsiTheme="majorBidi" w:cstheme="majorBidi"/>
          <w:bCs/>
        </w:rPr>
        <w:t>[6]</w:t>
      </w:r>
      <w:r w:rsidR="004D1000" w:rsidRPr="00A047D1">
        <w:rPr>
          <w:rFonts w:asciiTheme="majorBidi" w:hAnsiTheme="majorBidi" w:cstheme="majorBidi"/>
          <w:bCs/>
        </w:rPr>
        <w:t xml:space="preserve"> Atbilstoši Negodīgas komercprakses aizlieguma likuma 15.</w:t>
      </w:r>
      <w:r w:rsidR="004D1000" w:rsidRPr="00A047D1">
        <w:rPr>
          <w:rFonts w:asciiTheme="majorBidi" w:hAnsiTheme="majorBidi" w:cstheme="majorBidi"/>
          <w:bCs/>
          <w:vertAlign w:val="superscript"/>
        </w:rPr>
        <w:t>2</w:t>
      </w:r>
      <w:r w:rsidR="004D1000" w:rsidRPr="00A047D1">
        <w:rPr>
          <w:rFonts w:asciiTheme="majorBidi" w:hAnsiTheme="majorBidi" w:cstheme="majorBidi"/>
          <w:bCs/>
        </w:rPr>
        <w:t>panta pirmajai daļai (</w:t>
      </w:r>
      <w:r w:rsidR="004D1000" w:rsidRPr="00A047D1">
        <w:rPr>
          <w:rFonts w:asciiTheme="majorBidi" w:hAnsiTheme="majorBidi" w:cstheme="majorBidi"/>
          <w:bCs/>
          <w:i/>
          <w:iCs/>
        </w:rPr>
        <w:t>šeit un turpmāk tiesību normas redakcijā, kas bija spēkā pārsūdzētā lēmuma pieņemšanas laikā</w:t>
      </w:r>
      <w:r w:rsidR="004D1000" w:rsidRPr="00A047D1">
        <w:rPr>
          <w:rFonts w:asciiTheme="majorBidi" w:hAnsiTheme="majorBidi" w:cstheme="majorBidi"/>
          <w:bCs/>
        </w:rPr>
        <w:t>) u</w:t>
      </w:r>
      <w:r w:rsidR="004D1000" w:rsidRPr="00A047D1">
        <w:rPr>
          <w:rFonts w:asciiTheme="majorBidi" w:hAnsiTheme="majorBidi" w:cstheme="majorBidi"/>
        </w:rPr>
        <w:t>zraudzības iestāde ir tiesīga par negodīgu komercpraksi uzlikt komercprakses īstenotājam soda naudu līdz 10 procentiem no tā pēdējā finanšu gada neto apgrozījuma, bet ne vairāk kā 100</w:t>
      </w:r>
      <w:r w:rsidR="005F3DC5" w:rsidRPr="00A047D1">
        <w:rPr>
          <w:rFonts w:asciiTheme="majorBidi" w:hAnsiTheme="majorBidi" w:cstheme="majorBidi"/>
        </w:rPr>
        <w:t> </w:t>
      </w:r>
      <w:r w:rsidR="004D1000" w:rsidRPr="00A047D1">
        <w:rPr>
          <w:rFonts w:asciiTheme="majorBidi" w:hAnsiTheme="majorBidi" w:cstheme="majorBidi"/>
        </w:rPr>
        <w:t>000</w:t>
      </w:r>
      <w:r w:rsidR="005F3DC5" w:rsidRPr="00A047D1">
        <w:rPr>
          <w:rFonts w:asciiTheme="majorBidi" w:hAnsiTheme="majorBidi" w:cstheme="majorBidi"/>
        </w:rPr>
        <w:t xml:space="preserve"> </w:t>
      </w:r>
      <w:r w:rsidR="004D1000" w:rsidRPr="00A047D1">
        <w:rPr>
          <w:rFonts w:asciiTheme="majorBidi" w:hAnsiTheme="majorBidi" w:cstheme="majorBidi"/>
          <w:i/>
          <w:iCs/>
        </w:rPr>
        <w:t>euro</w:t>
      </w:r>
      <w:r w:rsidR="004D1000" w:rsidRPr="00A047D1">
        <w:rPr>
          <w:rFonts w:asciiTheme="majorBidi" w:hAnsiTheme="majorBidi" w:cstheme="majorBidi"/>
        </w:rPr>
        <w:t>. Soda naudas apmērs ir nosakāms samērīg</w:t>
      </w:r>
      <w:r w:rsidR="001027DB" w:rsidRPr="00A047D1">
        <w:rPr>
          <w:rFonts w:asciiTheme="majorBidi" w:hAnsiTheme="majorBidi" w:cstheme="majorBidi"/>
        </w:rPr>
        <w:t>i</w:t>
      </w:r>
      <w:r w:rsidR="004D1000" w:rsidRPr="00A047D1">
        <w:rPr>
          <w:rFonts w:asciiTheme="majorBidi" w:hAnsiTheme="majorBidi" w:cstheme="majorBidi"/>
        </w:rPr>
        <w:t xml:space="preserve"> ar izdarīto pārkāpumu, ņemot vērā komercprakses īstenotāja veiktos pasākumus pārkāpuma novēršanai un zaudējumu atlīdzināšanai. </w:t>
      </w:r>
    </w:p>
    <w:p w14:paraId="77328C6E" w14:textId="3F1DD1A1" w:rsidR="00F0648C" w:rsidRPr="00A047D1" w:rsidRDefault="00F0648C" w:rsidP="00A047D1">
      <w:pPr>
        <w:shd w:val="clear" w:color="auto" w:fill="FFFFFF"/>
        <w:spacing w:line="276" w:lineRule="auto"/>
        <w:ind w:firstLine="720"/>
        <w:jc w:val="both"/>
        <w:rPr>
          <w:rFonts w:asciiTheme="majorBidi" w:hAnsiTheme="majorBidi" w:cstheme="majorBidi"/>
          <w:bCs/>
        </w:rPr>
      </w:pPr>
      <w:r w:rsidRPr="00A047D1">
        <w:rPr>
          <w:rFonts w:asciiTheme="majorBidi" w:hAnsiTheme="majorBidi" w:cstheme="majorBidi"/>
          <w:bCs/>
        </w:rPr>
        <w:t xml:space="preserve">Ievērojot kasācijas sūdzības argumentus, Senātam šajā lietā jāsniedz atbilde uz jautājumu, vai gadījumā, ja nav pieejams komercprakses īstenotāja gada pārskats par pēdējo finanšu gadu un komercprakses īstenotājs pēc Centra pieprasījuma neiesniedz informāciju par pēdējā finanšu gada neto apgrozījumu, Centram ir tiesības par negodīgu komercpraksi piemērot soda naudu, </w:t>
      </w:r>
      <w:r w:rsidR="00732398" w:rsidRPr="00A047D1">
        <w:rPr>
          <w:rFonts w:asciiTheme="majorBidi" w:hAnsiTheme="majorBidi" w:cstheme="majorBidi"/>
          <w:bCs/>
        </w:rPr>
        <w:t>neievērojot Negodīg</w:t>
      </w:r>
      <w:r w:rsidR="000822BC" w:rsidRPr="00A047D1">
        <w:rPr>
          <w:rFonts w:asciiTheme="majorBidi" w:hAnsiTheme="majorBidi" w:cstheme="majorBidi"/>
          <w:bCs/>
        </w:rPr>
        <w:t>a</w:t>
      </w:r>
      <w:r w:rsidR="00732398" w:rsidRPr="00A047D1">
        <w:rPr>
          <w:rFonts w:asciiTheme="majorBidi" w:hAnsiTheme="majorBidi" w:cstheme="majorBidi"/>
          <w:bCs/>
        </w:rPr>
        <w:t>s komercprakses aizlieguma likuma 15.</w:t>
      </w:r>
      <w:r w:rsidR="00732398" w:rsidRPr="00A047D1">
        <w:rPr>
          <w:rFonts w:asciiTheme="majorBidi" w:hAnsiTheme="majorBidi" w:cstheme="majorBidi"/>
          <w:bCs/>
          <w:vertAlign w:val="superscript"/>
        </w:rPr>
        <w:t>2</w:t>
      </w:r>
      <w:r w:rsidR="00732398" w:rsidRPr="00A047D1">
        <w:rPr>
          <w:rFonts w:asciiTheme="majorBidi" w:hAnsiTheme="majorBidi" w:cstheme="majorBidi"/>
          <w:bCs/>
        </w:rPr>
        <w:t>panta pirmajā daļā paredzēto ar pēdējā finanšu gada apgrozījumu saistīto soda naudas apmēra ierobežojumu.</w:t>
      </w:r>
      <w:r w:rsidRPr="00A047D1">
        <w:rPr>
          <w:rFonts w:asciiTheme="majorBidi" w:hAnsiTheme="majorBidi" w:cstheme="majorBidi"/>
          <w:bCs/>
        </w:rPr>
        <w:t xml:space="preserve"> </w:t>
      </w:r>
    </w:p>
    <w:p w14:paraId="20144B60" w14:textId="66D62F66" w:rsidR="00732398" w:rsidRPr="00A047D1" w:rsidRDefault="00732398" w:rsidP="00A047D1">
      <w:pPr>
        <w:shd w:val="clear" w:color="auto" w:fill="FFFFFF"/>
        <w:spacing w:line="276" w:lineRule="auto"/>
        <w:ind w:firstLine="720"/>
        <w:jc w:val="both"/>
        <w:rPr>
          <w:rFonts w:asciiTheme="majorBidi" w:hAnsiTheme="majorBidi" w:cstheme="majorBidi"/>
          <w:bCs/>
        </w:rPr>
      </w:pPr>
      <w:r w:rsidRPr="00A047D1">
        <w:rPr>
          <w:rFonts w:asciiTheme="majorBidi" w:hAnsiTheme="majorBidi" w:cstheme="majorBidi"/>
          <w:bCs/>
        </w:rPr>
        <w:t xml:space="preserve">Administratīvā apgabaltiesa atzinusi, ka Centrs šādi varētu rīkoties tikai tad, ja informāciju par komercprakses īstenotāja pēdējā finanšu gada apgrozījumu Centrs neiegūst divu gadu laikā no pārkāpuma lietas ierosināšanas dienas (maksimālais termiņš, līdz kuram Centrs </w:t>
      </w:r>
      <w:r w:rsidR="00260FC3" w:rsidRPr="00A047D1">
        <w:rPr>
          <w:rFonts w:asciiTheme="majorBidi" w:hAnsiTheme="majorBidi" w:cstheme="majorBidi"/>
          <w:bCs/>
        </w:rPr>
        <w:t xml:space="preserve">saskaņā ar Negodīgas komercprakses aizlieguma likuma </w:t>
      </w:r>
      <w:r w:rsidR="00260FC3" w:rsidRPr="00A047D1">
        <w:rPr>
          <w:rFonts w:asciiTheme="majorBidi" w:hAnsiTheme="majorBidi" w:cstheme="majorBidi"/>
        </w:rPr>
        <w:t>15.panta divpadsmito daļu</w:t>
      </w:r>
      <w:r w:rsidR="00260FC3" w:rsidRPr="00A047D1">
        <w:rPr>
          <w:rFonts w:asciiTheme="majorBidi" w:hAnsiTheme="majorBidi" w:cstheme="majorBidi"/>
          <w:bCs/>
        </w:rPr>
        <w:t xml:space="preserve"> </w:t>
      </w:r>
      <w:r w:rsidRPr="00A047D1">
        <w:rPr>
          <w:rFonts w:asciiTheme="majorBidi" w:hAnsiTheme="majorBidi" w:cstheme="majorBidi"/>
          <w:bCs/>
        </w:rPr>
        <w:t>var pagarināt lēmuma izdošanu).</w:t>
      </w:r>
      <w:r w:rsidR="004D1000" w:rsidRPr="00A047D1">
        <w:rPr>
          <w:rFonts w:asciiTheme="majorBidi" w:hAnsiTheme="majorBidi" w:cstheme="majorBidi"/>
          <w:bCs/>
        </w:rPr>
        <w:t xml:space="preserve"> Savukārt Centrs uzskata, ka </w:t>
      </w:r>
      <w:r w:rsidR="005D2D91" w:rsidRPr="00A047D1">
        <w:rPr>
          <w:rFonts w:asciiTheme="majorBidi" w:hAnsiTheme="majorBidi" w:cstheme="majorBidi"/>
          <w:bCs/>
        </w:rPr>
        <w:t xml:space="preserve">apgabaltiesas noteiktā soda naudas piemērošanas kārtība grauj patērētāju tiesību efektīvas aizsardzības iespējas un ir pretrunā gan Negodīgas komercprakses </w:t>
      </w:r>
      <w:r w:rsidR="001027DB" w:rsidRPr="00A047D1">
        <w:rPr>
          <w:rFonts w:asciiTheme="majorBidi" w:hAnsiTheme="majorBidi" w:cstheme="majorBidi"/>
          <w:bCs/>
        </w:rPr>
        <w:t xml:space="preserve">aizlieguma </w:t>
      </w:r>
      <w:r w:rsidR="005D2D91" w:rsidRPr="00A047D1">
        <w:rPr>
          <w:rFonts w:asciiTheme="majorBidi" w:hAnsiTheme="majorBidi" w:cstheme="majorBidi"/>
          <w:bCs/>
        </w:rPr>
        <w:t>likuma, gan Negodīgas komercprakses direktīvas mērķim.</w:t>
      </w:r>
    </w:p>
    <w:p w14:paraId="1E22A509" w14:textId="31B607B9" w:rsidR="00F853A0" w:rsidRPr="00A047D1" w:rsidRDefault="00F853A0" w:rsidP="00A047D1">
      <w:pPr>
        <w:shd w:val="clear" w:color="auto" w:fill="FFFFFF"/>
        <w:spacing w:line="276" w:lineRule="auto"/>
        <w:ind w:firstLine="720"/>
        <w:jc w:val="both"/>
        <w:rPr>
          <w:rFonts w:asciiTheme="majorBidi" w:hAnsiTheme="majorBidi" w:cstheme="majorBidi"/>
          <w:bCs/>
        </w:rPr>
      </w:pPr>
      <w:r w:rsidRPr="00A047D1">
        <w:rPr>
          <w:rFonts w:asciiTheme="majorBidi" w:hAnsiTheme="majorBidi" w:cstheme="majorBidi"/>
          <w:bCs/>
        </w:rPr>
        <w:t>Senāts turpmāk izklāstīto apsvērumu dēļ piekrīt Centram.</w:t>
      </w:r>
    </w:p>
    <w:p w14:paraId="797FB315" w14:textId="77777777" w:rsidR="00F853A0" w:rsidRPr="00A047D1" w:rsidRDefault="00F853A0" w:rsidP="00A047D1">
      <w:pPr>
        <w:shd w:val="clear" w:color="auto" w:fill="FFFFFF"/>
        <w:spacing w:line="276" w:lineRule="auto"/>
        <w:ind w:firstLine="720"/>
        <w:jc w:val="both"/>
        <w:rPr>
          <w:rFonts w:asciiTheme="majorBidi" w:hAnsiTheme="majorBidi" w:cstheme="majorBidi"/>
          <w:bCs/>
        </w:rPr>
      </w:pPr>
    </w:p>
    <w:p w14:paraId="7AB0048E" w14:textId="1966FC92" w:rsidR="00F853A0" w:rsidRPr="00A047D1" w:rsidRDefault="00F853A0" w:rsidP="00A047D1">
      <w:pPr>
        <w:spacing w:line="276" w:lineRule="auto"/>
        <w:ind w:firstLine="720"/>
        <w:jc w:val="both"/>
        <w:rPr>
          <w:rFonts w:asciiTheme="majorBidi" w:hAnsiTheme="majorBidi" w:cstheme="majorBidi"/>
          <w:bCs/>
        </w:rPr>
      </w:pPr>
      <w:r w:rsidRPr="00A047D1">
        <w:rPr>
          <w:rFonts w:asciiTheme="majorBidi" w:hAnsiTheme="majorBidi" w:cstheme="majorBidi"/>
          <w:bCs/>
        </w:rPr>
        <w:t xml:space="preserve">[7] Ar Negodīgas komercprakses aizlieguma likumu Latvijā transponēta Negodīgas komercprakses direktīva. </w:t>
      </w:r>
    </w:p>
    <w:p w14:paraId="5123163F" w14:textId="727DE664" w:rsidR="00DC255A" w:rsidRPr="00A047D1" w:rsidRDefault="00F853A0" w:rsidP="00A047D1">
      <w:pPr>
        <w:spacing w:line="276" w:lineRule="auto"/>
        <w:ind w:firstLine="720"/>
        <w:jc w:val="both"/>
        <w:rPr>
          <w:rFonts w:asciiTheme="majorBidi" w:hAnsiTheme="majorBidi" w:cstheme="majorBidi"/>
        </w:rPr>
      </w:pPr>
      <w:r w:rsidRPr="00A047D1">
        <w:rPr>
          <w:rFonts w:asciiTheme="majorBidi" w:hAnsiTheme="majorBidi" w:cstheme="majorBidi"/>
          <w:bCs/>
        </w:rPr>
        <w:t xml:space="preserve">Saskaņā ar direktīvas 1.pantu tās mērķis ir </w:t>
      </w:r>
      <w:r w:rsidRPr="00A047D1">
        <w:rPr>
          <w:rFonts w:asciiTheme="majorBidi" w:hAnsiTheme="majorBidi" w:cstheme="majorBidi"/>
        </w:rPr>
        <w:t xml:space="preserve">dot ieguldījumu iekšējā tirgus pareizā darbībā un sasniegt augsta līmeņa patērētāju tiesību aizsardzību, tuvinot dalībvalstu normatīvos un administratīvos aktus, kas attiecas uz negodīgu komercpraksi, kura rada kaitējumu patērētāju ekonomiskajām interesēm. Direktīvas preambulas 22.apsvērumā </w:t>
      </w:r>
      <w:r w:rsidR="00893F01" w:rsidRPr="00A047D1">
        <w:rPr>
          <w:rFonts w:asciiTheme="majorBidi" w:hAnsiTheme="majorBidi" w:cstheme="majorBidi"/>
        </w:rPr>
        <w:t>uzsvērts</w:t>
      </w:r>
      <w:r w:rsidRPr="00A047D1">
        <w:rPr>
          <w:rFonts w:asciiTheme="majorBidi" w:hAnsiTheme="majorBidi" w:cstheme="majorBidi"/>
        </w:rPr>
        <w:t xml:space="preserve">, ka dalībvalstīm ir jānosaka sankcijas par šīs direktīvas noteikumu pārkāpumiem un jānodrošina to izpilde; šādām sankcijām jābūt efektīvām, samērīgām un preventīvām. </w:t>
      </w:r>
      <w:r w:rsidR="00DC255A" w:rsidRPr="00A047D1">
        <w:rPr>
          <w:rFonts w:asciiTheme="majorBidi" w:hAnsiTheme="majorBidi" w:cstheme="majorBidi"/>
        </w:rPr>
        <w:t>At</w:t>
      </w:r>
      <w:r w:rsidRPr="00A047D1">
        <w:rPr>
          <w:rFonts w:asciiTheme="majorBidi" w:hAnsiTheme="majorBidi" w:cstheme="majorBidi"/>
        </w:rPr>
        <w:t>bilstoši direktīvas 13.pantam dalībvalstis nosaka sankcijas gadījumiem, kad tiek pārkāpti šīs direktīvas piemērošanai pieņemtie valsts noteikumi, un veic visus vajadzīg</w:t>
      </w:r>
      <w:r w:rsidR="001027DB" w:rsidRPr="00A047D1">
        <w:rPr>
          <w:rFonts w:asciiTheme="majorBidi" w:hAnsiTheme="majorBidi" w:cstheme="majorBidi"/>
        </w:rPr>
        <w:t>o</w:t>
      </w:r>
      <w:r w:rsidRPr="00A047D1">
        <w:rPr>
          <w:rFonts w:asciiTheme="majorBidi" w:hAnsiTheme="majorBidi" w:cstheme="majorBidi"/>
        </w:rPr>
        <w:t>s pasākumus, lai nodrošinātu šo sankciju piemērošanu. Šādām sankcijām jābūt efektīvām, samērīgām un preventīvām.</w:t>
      </w:r>
    </w:p>
    <w:p w14:paraId="77930F49" w14:textId="1602136C" w:rsidR="00F853A0" w:rsidRPr="00A047D1" w:rsidRDefault="00F853A0" w:rsidP="00A047D1">
      <w:pPr>
        <w:spacing w:line="276" w:lineRule="auto"/>
        <w:ind w:firstLine="720"/>
        <w:jc w:val="both"/>
        <w:rPr>
          <w:rFonts w:asciiTheme="majorBidi" w:hAnsiTheme="majorBidi" w:cstheme="majorBidi"/>
        </w:rPr>
      </w:pPr>
      <w:r w:rsidRPr="00A047D1">
        <w:rPr>
          <w:rFonts w:asciiTheme="majorBidi" w:hAnsiTheme="majorBidi" w:cstheme="majorBidi"/>
        </w:rPr>
        <w:t xml:space="preserve">Eiropas Savienības </w:t>
      </w:r>
      <w:r w:rsidR="000822BC" w:rsidRPr="00A047D1">
        <w:rPr>
          <w:rFonts w:asciiTheme="majorBidi" w:hAnsiTheme="majorBidi" w:cstheme="majorBidi"/>
        </w:rPr>
        <w:t>T</w:t>
      </w:r>
      <w:r w:rsidRPr="00A047D1">
        <w:rPr>
          <w:rFonts w:asciiTheme="majorBidi" w:hAnsiTheme="majorBidi" w:cstheme="majorBidi"/>
        </w:rPr>
        <w:t>iesa, interpretējot minētās direktīvas normas, skaidrojusi, ka direktīvas mērķis ir nodrošināt patērētāj</w:t>
      </w:r>
      <w:r w:rsidR="00C55C83" w:rsidRPr="00A047D1">
        <w:rPr>
          <w:rFonts w:asciiTheme="majorBidi" w:hAnsiTheme="majorBidi" w:cstheme="majorBidi"/>
        </w:rPr>
        <w:t>iem</w:t>
      </w:r>
      <w:r w:rsidRPr="00A047D1">
        <w:rPr>
          <w:rFonts w:asciiTheme="majorBidi" w:hAnsiTheme="majorBidi" w:cstheme="majorBidi"/>
        </w:rPr>
        <w:t xml:space="preserve"> </w:t>
      </w:r>
      <w:r w:rsidR="00C55C83" w:rsidRPr="00A047D1">
        <w:rPr>
          <w:rFonts w:asciiTheme="majorBidi" w:hAnsiTheme="majorBidi" w:cstheme="majorBidi"/>
        </w:rPr>
        <w:t xml:space="preserve">augstu </w:t>
      </w:r>
      <w:r w:rsidRPr="00A047D1">
        <w:rPr>
          <w:rFonts w:asciiTheme="majorBidi" w:hAnsiTheme="majorBidi" w:cstheme="majorBidi"/>
        </w:rPr>
        <w:t>aizsardzības līmeni un ar šādu nolūku arī to, lai negodīga komercprakse tiktu efektīvi apkarota patērētāju interesēs</w:t>
      </w:r>
      <w:r w:rsidRPr="00A047D1">
        <w:rPr>
          <w:rFonts w:asciiTheme="majorBidi" w:hAnsiTheme="majorBidi" w:cstheme="majorBidi"/>
          <w:b/>
          <w:bCs/>
        </w:rPr>
        <w:t xml:space="preserve"> </w:t>
      </w:r>
      <w:r w:rsidRPr="00A047D1">
        <w:rPr>
          <w:rFonts w:asciiTheme="majorBidi" w:hAnsiTheme="majorBidi" w:cstheme="majorBidi"/>
        </w:rPr>
        <w:t>(</w:t>
      </w:r>
      <w:r w:rsidRPr="00A047D1">
        <w:rPr>
          <w:rFonts w:asciiTheme="majorBidi" w:hAnsiTheme="majorBidi" w:cstheme="majorBidi"/>
          <w:i/>
          <w:iCs/>
        </w:rPr>
        <w:t xml:space="preserve">Eiropas Savienības </w:t>
      </w:r>
      <w:r w:rsidRPr="00A047D1">
        <w:rPr>
          <w:rFonts w:asciiTheme="majorBidi" w:hAnsiTheme="majorBidi" w:cstheme="majorBidi"/>
          <w:i/>
          <w:iCs/>
        </w:rPr>
        <w:lastRenderedPageBreak/>
        <w:t xml:space="preserve">Tiesas 2023.gada 2.februāra sprieduma </w:t>
      </w:r>
      <w:r w:rsidR="00DC255A" w:rsidRPr="00A047D1">
        <w:rPr>
          <w:rFonts w:asciiTheme="majorBidi" w:hAnsiTheme="majorBidi" w:cstheme="majorBidi"/>
          <w:i/>
          <w:iCs/>
        </w:rPr>
        <w:t>lietā „</w:t>
      </w:r>
      <w:r w:rsidR="00331605" w:rsidRPr="00A047D1">
        <w:rPr>
          <w:rFonts w:asciiTheme="majorBidi" w:hAnsiTheme="majorBidi" w:cstheme="majorBidi"/>
          <w:i/>
          <w:iCs/>
        </w:rPr>
        <w:t>Towarzystwo Ubezpieczeń Ż (Contrats types d’assurance trompeurs)</w:t>
      </w:r>
      <w:r w:rsidR="00DC255A" w:rsidRPr="00A047D1">
        <w:rPr>
          <w:rFonts w:asciiTheme="majorBidi" w:hAnsiTheme="majorBidi" w:cstheme="majorBidi"/>
          <w:i/>
          <w:iCs/>
        </w:rPr>
        <w:t xml:space="preserve">”, </w:t>
      </w:r>
      <w:r w:rsidRPr="00A047D1">
        <w:rPr>
          <w:rFonts w:asciiTheme="majorBidi" w:hAnsiTheme="majorBidi" w:cstheme="majorBidi"/>
          <w:i/>
          <w:iCs/>
        </w:rPr>
        <w:t>C-208/21</w:t>
      </w:r>
      <w:r w:rsidR="00DC255A" w:rsidRPr="00A047D1">
        <w:rPr>
          <w:rFonts w:asciiTheme="majorBidi" w:hAnsiTheme="majorBidi" w:cstheme="majorBidi"/>
          <w:i/>
          <w:iCs/>
        </w:rPr>
        <w:t xml:space="preserve">, </w:t>
      </w:r>
      <w:hyperlink r:id="rId8" w:history="1">
        <w:r w:rsidR="000822BC" w:rsidRPr="00A047D1">
          <w:rPr>
            <w:rStyle w:val="Hyperlink"/>
            <w:rFonts w:asciiTheme="majorBidi" w:hAnsiTheme="majorBidi" w:cstheme="majorBidi"/>
            <w:i/>
            <w:iCs/>
          </w:rPr>
          <w:t>ECLI:EU:C:2023:64</w:t>
        </w:r>
      </w:hyperlink>
      <w:r w:rsidR="000822BC" w:rsidRPr="00A047D1">
        <w:rPr>
          <w:rFonts w:asciiTheme="majorBidi" w:hAnsiTheme="majorBidi" w:cstheme="majorBidi"/>
          <w:i/>
          <w:iCs/>
        </w:rPr>
        <w:t xml:space="preserve">, </w:t>
      </w:r>
      <w:r w:rsidR="00DC255A" w:rsidRPr="00A047D1">
        <w:rPr>
          <w:rFonts w:asciiTheme="majorBidi" w:hAnsiTheme="majorBidi" w:cstheme="majorBidi"/>
          <w:i/>
          <w:iCs/>
        </w:rPr>
        <w:t>81.punkts</w:t>
      </w:r>
      <w:r w:rsidR="00DC255A" w:rsidRPr="00A047D1">
        <w:rPr>
          <w:rFonts w:asciiTheme="majorBidi" w:hAnsiTheme="majorBidi" w:cstheme="majorBidi"/>
        </w:rPr>
        <w:t xml:space="preserve">). Tiesa arī atzinusi, ka </w:t>
      </w:r>
      <w:r w:rsidRPr="00A047D1">
        <w:rPr>
          <w:rFonts w:asciiTheme="majorBidi" w:hAnsiTheme="majorBidi" w:cstheme="majorBidi"/>
        </w:rPr>
        <w:t>direktīva piešķir dalībvalstīm rīcības brīvību izvēlēties pasākumus, lai apkarotu negodīgu komercpraksi, ar nosacījumu, ka šie pasākumi ir piemēroti un efektīvi un ka paredzētās sankcijas ir efektīvas, samērīgas un preventīvas.</w:t>
      </w:r>
      <w:r w:rsidR="00DC255A" w:rsidRPr="00A047D1">
        <w:rPr>
          <w:rFonts w:asciiTheme="majorBidi" w:hAnsiTheme="majorBidi" w:cstheme="majorBidi"/>
        </w:rPr>
        <w:t xml:space="preserve"> </w:t>
      </w:r>
      <w:r w:rsidR="00260FC3" w:rsidRPr="00A047D1">
        <w:rPr>
          <w:rFonts w:asciiTheme="majorBidi" w:hAnsiTheme="majorBidi" w:cstheme="majorBidi"/>
        </w:rPr>
        <w:t xml:space="preserve">Tiesa uzsvērusi, ka </w:t>
      </w:r>
      <w:r w:rsidRPr="00A047D1">
        <w:rPr>
          <w:rFonts w:asciiTheme="majorBidi" w:hAnsiTheme="majorBidi" w:cstheme="majorBidi"/>
        </w:rPr>
        <w:t>dalībvalstīm ir jāparedz piemērota sankciju sistēma</w:t>
      </w:r>
      <w:r w:rsidR="00C55C83" w:rsidRPr="00A047D1">
        <w:rPr>
          <w:rFonts w:asciiTheme="majorBidi" w:hAnsiTheme="majorBidi" w:cstheme="majorBidi"/>
        </w:rPr>
        <w:t xml:space="preserve">, </w:t>
      </w:r>
      <w:r w:rsidR="00260FC3" w:rsidRPr="00A047D1">
        <w:rPr>
          <w:rFonts w:asciiTheme="majorBidi" w:hAnsiTheme="majorBidi" w:cstheme="majorBidi"/>
        </w:rPr>
        <w:t xml:space="preserve">vienlaikus </w:t>
      </w:r>
      <w:r w:rsidRPr="00A047D1">
        <w:rPr>
          <w:rFonts w:asciiTheme="majorBidi" w:hAnsiTheme="majorBidi" w:cstheme="majorBidi"/>
        </w:rPr>
        <w:t>nodrošinot, lai šīs sankcijas atbilstu samērīguma principam</w:t>
      </w:r>
      <w:r w:rsidR="00DC255A" w:rsidRPr="00A047D1">
        <w:rPr>
          <w:rFonts w:asciiTheme="majorBidi" w:hAnsiTheme="majorBidi" w:cstheme="majorBidi"/>
        </w:rPr>
        <w:t xml:space="preserve"> (</w:t>
      </w:r>
      <w:r w:rsidR="00DC255A" w:rsidRPr="00A047D1">
        <w:rPr>
          <w:rFonts w:asciiTheme="majorBidi" w:hAnsiTheme="majorBidi" w:cstheme="majorBidi"/>
          <w:i/>
          <w:iCs/>
        </w:rPr>
        <w:t>Eiropas Savienības Tiesas 2015.gada 16.aprīļa sprieduma lietā „</w:t>
      </w:r>
      <w:r w:rsidR="004A01A3" w:rsidRPr="00A047D1">
        <w:rPr>
          <w:rFonts w:asciiTheme="majorBidi" w:hAnsiTheme="majorBidi" w:cstheme="majorBidi"/>
          <w:i/>
          <w:iCs/>
        </w:rPr>
        <w:t>UPC Magyarország</w:t>
      </w:r>
      <w:r w:rsidR="00DC255A" w:rsidRPr="00A047D1">
        <w:rPr>
          <w:rFonts w:asciiTheme="majorBidi" w:hAnsiTheme="majorBidi" w:cstheme="majorBidi"/>
          <w:i/>
          <w:iCs/>
        </w:rPr>
        <w:t>”, C</w:t>
      </w:r>
      <w:r w:rsidR="00DC255A" w:rsidRPr="00A047D1">
        <w:rPr>
          <w:rFonts w:asciiTheme="majorBidi" w:hAnsiTheme="majorBidi" w:cstheme="majorBidi"/>
          <w:i/>
          <w:iCs/>
        </w:rPr>
        <w:noBreakHyphen/>
        <w:t xml:space="preserve">388/13, </w:t>
      </w:r>
      <w:hyperlink r:id="rId9" w:history="1">
        <w:r w:rsidR="007C05C0" w:rsidRPr="00A047D1">
          <w:rPr>
            <w:rStyle w:val="Hyperlink"/>
            <w:rFonts w:asciiTheme="majorBidi" w:hAnsiTheme="majorBidi" w:cstheme="majorBidi"/>
            <w:i/>
            <w:iCs/>
          </w:rPr>
          <w:t>ECLI:EU:C:2015:225</w:t>
        </w:r>
      </w:hyperlink>
      <w:r w:rsidR="00DC255A" w:rsidRPr="00A047D1">
        <w:rPr>
          <w:rFonts w:asciiTheme="majorBidi" w:hAnsiTheme="majorBidi" w:cstheme="majorBidi"/>
          <w:i/>
          <w:iCs/>
        </w:rPr>
        <w:t>, 57., 58.punkts</w:t>
      </w:r>
      <w:r w:rsidR="00DC255A" w:rsidRPr="00A047D1">
        <w:rPr>
          <w:rFonts w:asciiTheme="majorBidi" w:hAnsiTheme="majorBidi" w:cstheme="majorBidi"/>
        </w:rPr>
        <w:t>).</w:t>
      </w:r>
    </w:p>
    <w:p w14:paraId="726065B9" w14:textId="6F9AC582" w:rsidR="00C55C83" w:rsidRPr="00A047D1" w:rsidRDefault="00C55C83" w:rsidP="00A047D1">
      <w:pPr>
        <w:spacing w:line="276" w:lineRule="auto"/>
        <w:ind w:firstLine="720"/>
        <w:jc w:val="both"/>
        <w:rPr>
          <w:rFonts w:asciiTheme="majorBidi" w:hAnsiTheme="majorBidi" w:cstheme="majorBidi"/>
        </w:rPr>
      </w:pPr>
      <w:r w:rsidRPr="00A047D1">
        <w:rPr>
          <w:rFonts w:asciiTheme="majorBidi" w:hAnsiTheme="majorBidi" w:cstheme="majorBidi"/>
        </w:rPr>
        <w:t>Tādējādi no minētās direktīvas dalībvalstīm izriet pienākums izveidot tādu negodīgas komercprakses apkarošanas sistēmu, ka</w:t>
      </w:r>
      <w:r w:rsidR="00260FC3" w:rsidRPr="00A047D1">
        <w:rPr>
          <w:rFonts w:asciiTheme="majorBidi" w:hAnsiTheme="majorBidi" w:cstheme="majorBidi"/>
        </w:rPr>
        <w:t>s</w:t>
      </w:r>
      <w:r w:rsidRPr="00A047D1">
        <w:rPr>
          <w:rFonts w:asciiTheme="majorBidi" w:hAnsiTheme="majorBidi" w:cstheme="majorBidi"/>
        </w:rPr>
        <w:t xml:space="preserve"> efektīvi nodrošina patērētājiem augstu aizsardzības līmeni. Šai sistēmai citstarp jāietver efektīvas, samērīgas un preventīvas sankcijas, kas piemērojamas negodīgas komercprakses īstenotājiem; sankcijas ir neatņemama negodīgas komercprakses apkarošanas sistēmas sastāvdaļa</w:t>
      </w:r>
      <w:r w:rsidR="00260FC3" w:rsidRPr="00A047D1">
        <w:rPr>
          <w:rFonts w:asciiTheme="majorBidi" w:hAnsiTheme="majorBidi" w:cstheme="majorBidi"/>
        </w:rPr>
        <w:t>,</w:t>
      </w:r>
      <w:r w:rsidR="0060316A" w:rsidRPr="00A047D1">
        <w:rPr>
          <w:rFonts w:asciiTheme="majorBidi" w:hAnsiTheme="majorBidi" w:cstheme="majorBidi"/>
        </w:rPr>
        <w:t xml:space="preserve"> un dalībvalstīm jāraugās, lai tās tiktu efektīvi piemērotas</w:t>
      </w:r>
      <w:r w:rsidRPr="00A047D1">
        <w:rPr>
          <w:rFonts w:asciiTheme="majorBidi" w:hAnsiTheme="majorBidi" w:cstheme="majorBidi"/>
        </w:rPr>
        <w:t>.</w:t>
      </w:r>
    </w:p>
    <w:p w14:paraId="0C7AD4DB" w14:textId="39409052" w:rsidR="00DC255A" w:rsidRPr="00A047D1" w:rsidRDefault="00C55C83" w:rsidP="00A047D1">
      <w:pPr>
        <w:spacing w:line="276" w:lineRule="auto"/>
        <w:ind w:firstLine="720"/>
        <w:jc w:val="both"/>
        <w:rPr>
          <w:rFonts w:asciiTheme="majorBidi" w:hAnsiTheme="majorBidi" w:cstheme="majorBidi"/>
        </w:rPr>
      </w:pPr>
      <w:r w:rsidRPr="00A047D1">
        <w:rPr>
          <w:rFonts w:asciiTheme="majorBidi" w:hAnsiTheme="majorBidi" w:cstheme="majorBidi"/>
        </w:rPr>
        <w:t xml:space="preserve">Ievērojot minēto, piemērojot Negodīgas komercprakses aizlieguma likuma normas, tās interpretējamas tādējādi, lai pēc iespējas tiktu sasniegts direktīvas un līdz ar to arī likuma mērķis nodrošināt patērētājiem augstu </w:t>
      </w:r>
      <w:r w:rsidR="00DC255A" w:rsidRPr="00A047D1">
        <w:rPr>
          <w:rFonts w:asciiTheme="majorBidi" w:hAnsiTheme="majorBidi" w:cstheme="majorBidi"/>
        </w:rPr>
        <w:t xml:space="preserve">aizsardzības līmeni </w:t>
      </w:r>
      <w:r w:rsidRPr="00A047D1">
        <w:rPr>
          <w:rFonts w:asciiTheme="majorBidi" w:hAnsiTheme="majorBidi" w:cstheme="majorBidi"/>
        </w:rPr>
        <w:t>pret negodīgu komercpraksi</w:t>
      </w:r>
      <w:r w:rsidR="005909B4" w:rsidRPr="00A047D1">
        <w:rPr>
          <w:rFonts w:asciiTheme="majorBidi" w:hAnsiTheme="majorBidi" w:cstheme="majorBidi"/>
        </w:rPr>
        <w:t xml:space="preserve"> (</w:t>
      </w:r>
      <w:r w:rsidR="0004482D" w:rsidRPr="00A047D1">
        <w:rPr>
          <w:rFonts w:asciiTheme="majorBidi" w:hAnsiTheme="majorBidi" w:cstheme="majorBidi"/>
        </w:rPr>
        <w:t>sk. arī Negodīgas komercprakses aizlieguma likuma</w:t>
      </w:r>
      <w:r w:rsidR="005909B4" w:rsidRPr="00A047D1">
        <w:rPr>
          <w:rFonts w:asciiTheme="majorBidi" w:hAnsiTheme="majorBidi" w:cstheme="majorBidi"/>
        </w:rPr>
        <w:t xml:space="preserve"> 2.pant</w:t>
      </w:r>
      <w:r w:rsidR="0004482D" w:rsidRPr="00A047D1">
        <w:rPr>
          <w:rFonts w:asciiTheme="majorBidi" w:hAnsiTheme="majorBidi" w:cstheme="majorBidi"/>
        </w:rPr>
        <w:t xml:space="preserve">u). </w:t>
      </w:r>
      <w:r w:rsidR="00773952" w:rsidRPr="00A047D1">
        <w:rPr>
          <w:rFonts w:asciiTheme="majorBidi" w:hAnsiTheme="majorBidi" w:cstheme="majorBidi"/>
        </w:rPr>
        <w:t>Līdz ar to arī</w:t>
      </w:r>
      <w:r w:rsidR="0004482D" w:rsidRPr="00A047D1">
        <w:rPr>
          <w:rFonts w:asciiTheme="majorBidi" w:hAnsiTheme="majorBidi" w:cstheme="majorBidi"/>
        </w:rPr>
        <w:t xml:space="preserve"> minētā likuma 15.</w:t>
      </w:r>
      <w:r w:rsidR="0004482D" w:rsidRPr="00A047D1">
        <w:rPr>
          <w:rFonts w:asciiTheme="majorBidi" w:hAnsiTheme="majorBidi" w:cstheme="majorBidi"/>
          <w:vertAlign w:val="superscript"/>
        </w:rPr>
        <w:t>2</w:t>
      </w:r>
      <w:r w:rsidR="0004482D" w:rsidRPr="00A047D1">
        <w:rPr>
          <w:rFonts w:asciiTheme="majorBidi" w:hAnsiTheme="majorBidi" w:cstheme="majorBidi"/>
        </w:rPr>
        <w:t xml:space="preserve">panta </w:t>
      </w:r>
      <w:r w:rsidR="00773952" w:rsidRPr="00A047D1">
        <w:rPr>
          <w:rFonts w:asciiTheme="majorBidi" w:hAnsiTheme="majorBidi" w:cstheme="majorBidi"/>
        </w:rPr>
        <w:t>pirmā daļa un 1</w:t>
      </w:r>
      <w:r w:rsidR="0004482D" w:rsidRPr="00A047D1">
        <w:rPr>
          <w:rFonts w:asciiTheme="majorBidi" w:hAnsiTheme="majorBidi" w:cstheme="majorBidi"/>
        </w:rPr>
        <w:t xml:space="preserve">5.panta </w:t>
      </w:r>
      <w:r w:rsidR="00773952" w:rsidRPr="00A047D1">
        <w:rPr>
          <w:rFonts w:asciiTheme="majorBidi" w:hAnsiTheme="majorBidi" w:cstheme="majorBidi"/>
        </w:rPr>
        <w:t>divpadsmitā daļa (</w:t>
      </w:r>
      <w:r w:rsidR="0004482D" w:rsidRPr="00A047D1">
        <w:rPr>
          <w:rFonts w:asciiTheme="majorBidi" w:hAnsiTheme="majorBidi" w:cstheme="majorBidi"/>
        </w:rPr>
        <w:t>norma par lēmuma pieņemšanas termiņa pagarināšan</w:t>
      </w:r>
      <w:r w:rsidR="00260FC3" w:rsidRPr="00A047D1">
        <w:rPr>
          <w:rFonts w:asciiTheme="majorBidi" w:hAnsiTheme="majorBidi" w:cstheme="majorBidi"/>
        </w:rPr>
        <w:t>as iespēju) interpretējama atbilstoši mērķim nodrošināt efektīvu negodīgas komercprakses apkarošanas sistēmu.</w:t>
      </w:r>
    </w:p>
    <w:p w14:paraId="5D62E625" w14:textId="77777777" w:rsidR="005909B4" w:rsidRPr="00A047D1" w:rsidRDefault="005909B4" w:rsidP="00A047D1">
      <w:pPr>
        <w:spacing w:line="276" w:lineRule="auto"/>
        <w:ind w:firstLine="720"/>
        <w:jc w:val="both"/>
        <w:rPr>
          <w:rFonts w:asciiTheme="majorBidi" w:hAnsiTheme="majorBidi" w:cstheme="majorBidi"/>
        </w:rPr>
      </w:pPr>
    </w:p>
    <w:p w14:paraId="09B8B272" w14:textId="0041B54B" w:rsidR="000F7F52" w:rsidRPr="00A047D1" w:rsidRDefault="005909B4" w:rsidP="00A047D1">
      <w:pPr>
        <w:spacing w:line="276" w:lineRule="auto"/>
        <w:ind w:firstLine="720"/>
        <w:jc w:val="both"/>
        <w:rPr>
          <w:rFonts w:asciiTheme="majorBidi" w:hAnsiTheme="majorBidi" w:cstheme="majorBidi"/>
        </w:rPr>
      </w:pPr>
      <w:r w:rsidRPr="00A047D1">
        <w:rPr>
          <w:rFonts w:asciiTheme="majorBidi" w:hAnsiTheme="majorBidi" w:cstheme="majorBidi"/>
        </w:rPr>
        <w:t>[8]</w:t>
      </w:r>
      <w:r w:rsidR="00260FC3" w:rsidRPr="00A047D1">
        <w:rPr>
          <w:rFonts w:asciiTheme="majorBidi" w:hAnsiTheme="majorBidi" w:cstheme="majorBidi"/>
        </w:rPr>
        <w:t xml:space="preserve"> </w:t>
      </w:r>
      <w:r w:rsidR="000F7F52" w:rsidRPr="00A047D1">
        <w:rPr>
          <w:rFonts w:asciiTheme="majorBidi" w:hAnsiTheme="majorBidi" w:cstheme="majorBidi"/>
        </w:rPr>
        <w:t xml:space="preserve">Kā jau minēts, </w:t>
      </w:r>
      <w:r w:rsidR="000F7F52" w:rsidRPr="00A047D1">
        <w:rPr>
          <w:rFonts w:asciiTheme="majorBidi" w:hAnsiTheme="majorBidi" w:cstheme="majorBidi"/>
          <w:bCs/>
        </w:rPr>
        <w:t>Negodīgas komercprakses aizlieguma likuma 15.</w:t>
      </w:r>
      <w:r w:rsidR="000F7F52" w:rsidRPr="00A047D1">
        <w:rPr>
          <w:rFonts w:asciiTheme="majorBidi" w:hAnsiTheme="majorBidi" w:cstheme="majorBidi"/>
          <w:bCs/>
          <w:vertAlign w:val="superscript"/>
        </w:rPr>
        <w:t>2</w:t>
      </w:r>
      <w:r w:rsidR="000F7F52" w:rsidRPr="00A047D1">
        <w:rPr>
          <w:rFonts w:asciiTheme="majorBidi" w:hAnsiTheme="majorBidi" w:cstheme="majorBidi"/>
          <w:bCs/>
        </w:rPr>
        <w:t>panta pirmā daļa noteic, ka u</w:t>
      </w:r>
      <w:r w:rsidR="000F7F52" w:rsidRPr="00A047D1">
        <w:rPr>
          <w:rFonts w:asciiTheme="majorBidi" w:hAnsiTheme="majorBidi" w:cstheme="majorBidi"/>
        </w:rPr>
        <w:t>zraudzības iestāde ir tiesīga par negodīgu komercpraksi uzlikt komercprakses īstenotājam soda naudu līdz 10 procentiem no tā pēdējā finanšu gada neto apgrozījuma, bet ne vairāk kā 100</w:t>
      </w:r>
      <w:r w:rsidR="00DE6AAD" w:rsidRPr="00A047D1">
        <w:rPr>
          <w:rFonts w:asciiTheme="majorBidi" w:hAnsiTheme="majorBidi" w:cstheme="majorBidi"/>
        </w:rPr>
        <w:t> </w:t>
      </w:r>
      <w:r w:rsidR="000F7F52" w:rsidRPr="00A047D1">
        <w:rPr>
          <w:rFonts w:asciiTheme="majorBidi" w:hAnsiTheme="majorBidi" w:cstheme="majorBidi"/>
        </w:rPr>
        <w:t>000</w:t>
      </w:r>
      <w:r w:rsidR="00DE6AAD" w:rsidRPr="00A047D1">
        <w:rPr>
          <w:rFonts w:asciiTheme="majorBidi" w:hAnsiTheme="majorBidi" w:cstheme="majorBidi"/>
        </w:rPr>
        <w:t xml:space="preserve"> </w:t>
      </w:r>
      <w:r w:rsidR="000F7F52" w:rsidRPr="00A047D1">
        <w:rPr>
          <w:rFonts w:asciiTheme="majorBidi" w:hAnsiTheme="majorBidi" w:cstheme="majorBidi"/>
          <w:i/>
          <w:iCs/>
        </w:rPr>
        <w:t>euro</w:t>
      </w:r>
      <w:r w:rsidR="000F7F52" w:rsidRPr="00A047D1">
        <w:rPr>
          <w:rFonts w:asciiTheme="majorBidi" w:hAnsiTheme="majorBidi" w:cstheme="majorBidi"/>
        </w:rPr>
        <w:t xml:space="preserve">. </w:t>
      </w:r>
    </w:p>
    <w:p w14:paraId="2EA1FDD1" w14:textId="3D5ECB99" w:rsidR="00460DBD" w:rsidRPr="00A047D1" w:rsidRDefault="000F7F52" w:rsidP="00A047D1">
      <w:pPr>
        <w:spacing w:line="276" w:lineRule="auto"/>
        <w:ind w:firstLine="720"/>
        <w:jc w:val="both"/>
        <w:rPr>
          <w:rFonts w:asciiTheme="majorBidi" w:hAnsiTheme="majorBidi" w:cstheme="majorBidi"/>
        </w:rPr>
      </w:pPr>
      <w:r w:rsidRPr="00A047D1">
        <w:rPr>
          <w:rFonts w:asciiTheme="majorBidi" w:hAnsiTheme="majorBidi" w:cstheme="majorBidi"/>
        </w:rPr>
        <w:t xml:space="preserve">Ja minēto tiesību normu aplūko tikai no gramatiskās tiesību normu interpretācijas metodes </w:t>
      </w:r>
      <w:r w:rsidR="001027DB" w:rsidRPr="00A047D1">
        <w:rPr>
          <w:rFonts w:asciiTheme="majorBidi" w:hAnsiTheme="majorBidi" w:cstheme="majorBidi"/>
        </w:rPr>
        <w:t>skatpunkta</w:t>
      </w:r>
      <w:r w:rsidRPr="00A047D1">
        <w:rPr>
          <w:rFonts w:asciiTheme="majorBidi" w:hAnsiTheme="majorBidi" w:cstheme="majorBidi"/>
        </w:rPr>
        <w:t xml:space="preserve">, varētu secināt, ka gadījumā, ja informācija par komercprakses īstenotāja gada apgrozījumu Centram nav pieejama, </w:t>
      </w:r>
      <w:r w:rsidR="00460DBD" w:rsidRPr="00A047D1">
        <w:rPr>
          <w:rFonts w:asciiTheme="majorBidi" w:hAnsiTheme="majorBidi" w:cstheme="majorBidi"/>
        </w:rPr>
        <w:t>tam</w:t>
      </w:r>
      <w:r w:rsidRPr="00A047D1">
        <w:rPr>
          <w:rFonts w:asciiTheme="majorBidi" w:hAnsiTheme="majorBidi" w:cstheme="majorBidi"/>
        </w:rPr>
        <w:t xml:space="preserve"> vispār nav tiesību piemērot soda naudu par negodīgu komercpraksi. Tomēr šāda minētās tiesību normas interpretācija acīmredzami būtu pretrunā ar mērķi patērētāju tiesību aizsardzības interesēs efektīvi apkarot negodīgu komercpraksi. </w:t>
      </w:r>
      <w:r w:rsidR="00460DBD" w:rsidRPr="00A047D1">
        <w:rPr>
          <w:rFonts w:asciiTheme="majorBidi" w:hAnsiTheme="majorBidi" w:cstheme="majorBidi"/>
        </w:rPr>
        <w:t xml:space="preserve">Kā jau minēts, soda nauda kā sankcija par negodīgu komercpraksi ir būtisks negodīgas komercprakses apkarošanas sistēmas elements, bez kura efektīva negodīgas komercprakses izbeigšana un izskaušana var būt neiespējama. Attiecīgi soda naudas piemērošanai arī ir jābūt efektīvai, kas citstarp nozīmē, ka pēc pārkāpuma konstatēšanas Centram </w:t>
      </w:r>
      <w:r w:rsidR="00B12392" w:rsidRPr="00A047D1">
        <w:rPr>
          <w:rFonts w:asciiTheme="majorBidi" w:hAnsiTheme="majorBidi" w:cstheme="majorBidi"/>
        </w:rPr>
        <w:t xml:space="preserve">ir pienākums </w:t>
      </w:r>
      <w:r w:rsidR="00460DBD" w:rsidRPr="00A047D1">
        <w:rPr>
          <w:rFonts w:asciiTheme="majorBidi" w:hAnsiTheme="majorBidi" w:cstheme="majorBidi"/>
        </w:rPr>
        <w:t xml:space="preserve">pēc iespējas ātrāk </w:t>
      </w:r>
      <w:r w:rsidR="00B316E1" w:rsidRPr="00A047D1">
        <w:rPr>
          <w:rFonts w:asciiTheme="majorBidi" w:hAnsiTheme="majorBidi" w:cstheme="majorBidi"/>
        </w:rPr>
        <w:t>– bez liekas kavēšanās –</w:t>
      </w:r>
      <w:r w:rsidR="00595BAF" w:rsidRPr="00A047D1">
        <w:rPr>
          <w:rFonts w:asciiTheme="majorBidi" w:hAnsiTheme="majorBidi" w:cstheme="majorBidi"/>
        </w:rPr>
        <w:t xml:space="preserve"> </w:t>
      </w:r>
      <w:r w:rsidR="00460DBD" w:rsidRPr="00A047D1">
        <w:rPr>
          <w:rFonts w:asciiTheme="majorBidi" w:hAnsiTheme="majorBidi" w:cstheme="majorBidi"/>
        </w:rPr>
        <w:t>pieņem</w:t>
      </w:r>
      <w:r w:rsidR="00B12392" w:rsidRPr="00A047D1">
        <w:rPr>
          <w:rFonts w:asciiTheme="majorBidi" w:hAnsiTheme="majorBidi" w:cstheme="majorBidi"/>
        </w:rPr>
        <w:t>t</w:t>
      </w:r>
      <w:r w:rsidR="00460DBD" w:rsidRPr="00A047D1">
        <w:rPr>
          <w:rFonts w:asciiTheme="majorBidi" w:hAnsiTheme="majorBidi" w:cstheme="majorBidi"/>
        </w:rPr>
        <w:t xml:space="preserve"> lēmum</w:t>
      </w:r>
      <w:r w:rsidR="00B12392" w:rsidRPr="00A047D1">
        <w:rPr>
          <w:rFonts w:asciiTheme="majorBidi" w:hAnsiTheme="majorBidi" w:cstheme="majorBidi"/>
        </w:rPr>
        <w:t>u</w:t>
      </w:r>
      <w:r w:rsidR="00460DBD" w:rsidRPr="00A047D1">
        <w:rPr>
          <w:rFonts w:asciiTheme="majorBidi" w:hAnsiTheme="majorBidi" w:cstheme="majorBidi"/>
        </w:rPr>
        <w:t xml:space="preserve"> par nepieciešamo sankciju piemērošanu. </w:t>
      </w:r>
      <w:r w:rsidR="000358A4" w:rsidRPr="00A047D1">
        <w:rPr>
          <w:rFonts w:asciiTheme="majorBidi" w:hAnsiTheme="majorBidi" w:cstheme="majorBidi"/>
        </w:rPr>
        <w:t>Ja pārkāpums ir pieļauts, bet soda nauda, lai arī nepieciešama, netiek ilgstoši piemērota, negodīgas komercprakses apkarošanas sistēma nevar efektīvi funkcionēt.</w:t>
      </w:r>
    </w:p>
    <w:p w14:paraId="0D0C3CD6" w14:textId="77777777" w:rsidR="000B784E" w:rsidRPr="00A047D1" w:rsidRDefault="000358A4" w:rsidP="00A047D1">
      <w:pPr>
        <w:spacing w:line="276" w:lineRule="auto"/>
        <w:ind w:firstLine="720"/>
        <w:jc w:val="both"/>
        <w:rPr>
          <w:rFonts w:asciiTheme="majorBidi" w:hAnsiTheme="majorBidi" w:cstheme="majorBidi"/>
        </w:rPr>
      </w:pPr>
      <w:r w:rsidRPr="00A047D1">
        <w:rPr>
          <w:rFonts w:asciiTheme="majorBidi" w:hAnsiTheme="majorBidi" w:cstheme="majorBidi"/>
        </w:rPr>
        <w:t>Šajā sakarā Senāts nevar piekrist apgabaltiesai, ka apstākļos, kad pārkāpējs nav iesniedzis gada pārskatu likum</w:t>
      </w:r>
      <w:r w:rsidR="00B316E1" w:rsidRPr="00A047D1">
        <w:rPr>
          <w:rFonts w:asciiTheme="majorBidi" w:hAnsiTheme="majorBidi" w:cstheme="majorBidi"/>
        </w:rPr>
        <w:t>ā</w:t>
      </w:r>
      <w:r w:rsidRPr="00A047D1">
        <w:rPr>
          <w:rFonts w:asciiTheme="majorBidi" w:hAnsiTheme="majorBidi" w:cstheme="majorBidi"/>
        </w:rPr>
        <w:t xml:space="preserve"> noteiktajā termiņā, kā arī bez attaisnojoša iemesla nav iesniedzis Centram tā pieprasīto informāciju par gada apgrozījumu, Centram atbilstoši </w:t>
      </w:r>
      <w:r w:rsidRPr="00A047D1">
        <w:rPr>
          <w:rFonts w:asciiTheme="majorBidi" w:hAnsiTheme="majorBidi" w:cstheme="majorBidi"/>
        </w:rPr>
        <w:lastRenderedPageBreak/>
        <w:t>Negodīgas komercprakses aizlieguma likuma</w:t>
      </w:r>
      <w:r w:rsidR="0022408B" w:rsidRPr="00A047D1">
        <w:rPr>
          <w:rFonts w:asciiTheme="majorBidi" w:hAnsiTheme="majorBidi" w:cstheme="majorBidi"/>
        </w:rPr>
        <w:t xml:space="preserve"> 15.panta divpadsmitajai daļai</w:t>
      </w:r>
      <w:r w:rsidRPr="00A047D1">
        <w:rPr>
          <w:rFonts w:asciiTheme="majorBidi" w:hAnsiTheme="majorBidi" w:cstheme="majorBidi"/>
        </w:rPr>
        <w:t xml:space="preserve"> būtu jāpagarina lēmuma pieņemšanas termiņš. </w:t>
      </w:r>
    </w:p>
    <w:p w14:paraId="0B7D35A4" w14:textId="77777777" w:rsidR="000B784E" w:rsidRPr="00A047D1" w:rsidRDefault="005909B4" w:rsidP="00A047D1">
      <w:pPr>
        <w:spacing w:line="276" w:lineRule="auto"/>
        <w:ind w:firstLine="720"/>
        <w:jc w:val="both"/>
        <w:rPr>
          <w:rFonts w:asciiTheme="majorBidi" w:hAnsiTheme="majorBidi" w:cstheme="majorBidi"/>
        </w:rPr>
      </w:pPr>
      <w:r w:rsidRPr="00A047D1">
        <w:rPr>
          <w:rFonts w:asciiTheme="majorBidi" w:hAnsiTheme="majorBidi" w:cstheme="majorBidi"/>
        </w:rPr>
        <w:t>Jāņem vērā, ka finanšu gada apgrozījums ir tāda informācija, kas visupirms ir paša</w:t>
      </w:r>
      <w:r w:rsidR="00260FC3" w:rsidRPr="00A047D1">
        <w:rPr>
          <w:rFonts w:asciiTheme="majorBidi" w:hAnsiTheme="majorBidi" w:cstheme="majorBidi"/>
        </w:rPr>
        <w:t xml:space="preserve"> komercprakses īstenotāja rīcībā</w:t>
      </w:r>
      <w:r w:rsidR="000F7F52" w:rsidRPr="00A047D1">
        <w:rPr>
          <w:rFonts w:asciiTheme="majorBidi" w:hAnsiTheme="majorBidi" w:cstheme="majorBidi"/>
        </w:rPr>
        <w:t xml:space="preserve">. </w:t>
      </w:r>
      <w:r w:rsidR="00460DBD" w:rsidRPr="00A047D1">
        <w:rPr>
          <w:rFonts w:asciiTheme="majorBidi" w:hAnsiTheme="majorBidi" w:cstheme="majorBidi"/>
        </w:rPr>
        <w:t xml:space="preserve">Ja komercprakses īstenotājs šo informāciju no uzraudzības iestādes slēpj, likumā noteiktajā termiņā neiesniedzot gada pārskatu un nesniedzot informāciju par apgrozījumu Centram pēc tā pieprasījuma, komercprakses īstenotājs </w:t>
      </w:r>
      <w:r w:rsidR="000358A4" w:rsidRPr="00A047D1">
        <w:rPr>
          <w:rFonts w:asciiTheme="majorBidi" w:hAnsiTheme="majorBidi" w:cstheme="majorBidi"/>
        </w:rPr>
        <w:t>rīkojas negodprātīgi. Situācija, kurā pārkāpēja negodprātīg</w:t>
      </w:r>
      <w:r w:rsidR="000B784E" w:rsidRPr="00A047D1">
        <w:rPr>
          <w:rFonts w:asciiTheme="majorBidi" w:hAnsiTheme="majorBidi" w:cstheme="majorBidi"/>
        </w:rPr>
        <w:t>as rīcības</w:t>
      </w:r>
      <w:r w:rsidR="000358A4" w:rsidRPr="00A047D1">
        <w:rPr>
          <w:rFonts w:asciiTheme="majorBidi" w:hAnsiTheme="majorBidi" w:cstheme="majorBidi"/>
        </w:rPr>
        <w:t xml:space="preserve"> dēļ soda naudas </w:t>
      </w:r>
      <w:r w:rsidR="000B784E" w:rsidRPr="00A047D1">
        <w:rPr>
          <w:rFonts w:asciiTheme="majorBidi" w:hAnsiTheme="majorBidi" w:cstheme="majorBidi"/>
        </w:rPr>
        <w:t>piemērošana</w:t>
      </w:r>
      <w:r w:rsidR="000358A4" w:rsidRPr="00A047D1">
        <w:rPr>
          <w:rFonts w:asciiTheme="majorBidi" w:hAnsiTheme="majorBidi" w:cstheme="majorBidi"/>
        </w:rPr>
        <w:t xml:space="preserve"> tiek vilcināta, nav pieļaujama, jo tas būtu tiešā pretrunā ar valsts pienākumu nodrošināt efektīvu patērētāju tiesību aizsardzību un efektīvu sankciju piemērošanu. </w:t>
      </w:r>
    </w:p>
    <w:p w14:paraId="660CD053" w14:textId="4F4E9000" w:rsidR="00DC255A" w:rsidRPr="00A047D1" w:rsidRDefault="000358A4" w:rsidP="00A047D1">
      <w:pPr>
        <w:spacing w:line="276" w:lineRule="auto"/>
        <w:ind w:firstLine="720"/>
        <w:jc w:val="both"/>
        <w:rPr>
          <w:rFonts w:asciiTheme="majorBidi" w:hAnsiTheme="majorBidi" w:cstheme="majorBidi"/>
        </w:rPr>
      </w:pPr>
      <w:r w:rsidRPr="00A047D1">
        <w:rPr>
          <w:rFonts w:asciiTheme="majorBidi" w:hAnsiTheme="majorBidi" w:cstheme="majorBidi"/>
        </w:rPr>
        <w:t xml:space="preserve">Tādēļ to, ka komercprakses īstenotājs bez attaisnojoša iemesla nav nodrošinājis Centram </w:t>
      </w:r>
      <w:r w:rsidR="0022408B" w:rsidRPr="00A047D1">
        <w:rPr>
          <w:rFonts w:asciiTheme="majorBidi" w:hAnsiTheme="majorBidi" w:cstheme="majorBidi"/>
        </w:rPr>
        <w:t>piekļuvi informācijai par pēdējā finanšu gada neto apgrozījumu, nevar uzskatīt par objektīvu ieme</w:t>
      </w:r>
      <w:r w:rsidR="00FE323C" w:rsidRPr="00A047D1">
        <w:rPr>
          <w:rFonts w:asciiTheme="majorBidi" w:hAnsiTheme="majorBidi" w:cstheme="majorBidi"/>
        </w:rPr>
        <w:t>sl</w:t>
      </w:r>
      <w:r w:rsidR="0022408B" w:rsidRPr="00A047D1">
        <w:rPr>
          <w:rFonts w:asciiTheme="majorBidi" w:hAnsiTheme="majorBidi" w:cstheme="majorBidi"/>
        </w:rPr>
        <w:t>u lēmuma pieņemšanas termiņa pagarināšanai Negodīgas komercprakses aizlieguma likuma 15.panta divpadsmitās daļas izpratnē.</w:t>
      </w:r>
      <w:r w:rsidR="001B78F4" w:rsidRPr="00A047D1">
        <w:rPr>
          <w:rFonts w:asciiTheme="majorBidi" w:hAnsiTheme="majorBidi" w:cstheme="majorBidi"/>
        </w:rPr>
        <w:t xml:space="preserve"> Iespēja pagarināt lēmuma pieņemšan</w:t>
      </w:r>
      <w:r w:rsidR="000B784E" w:rsidRPr="00A047D1">
        <w:rPr>
          <w:rFonts w:asciiTheme="majorBidi" w:hAnsiTheme="majorBidi" w:cstheme="majorBidi"/>
        </w:rPr>
        <w:t>as termiņu</w:t>
      </w:r>
      <w:r w:rsidR="001B78F4" w:rsidRPr="00A047D1">
        <w:rPr>
          <w:rFonts w:asciiTheme="majorBidi" w:hAnsiTheme="majorBidi" w:cstheme="majorBidi"/>
        </w:rPr>
        <w:t xml:space="preserve"> likumā paredzēta tādēļ, lai nodrošinātu iespēju vispusīgi noskaidrot ar pārkāpumu saistītos apstākļus, nevis lai dotu iespēju negodprātīgam komercprakses īstenotājam vilcināt soda naudas piemērošanu.</w:t>
      </w:r>
      <w:r w:rsidR="009A61A9" w:rsidRPr="00A047D1">
        <w:rPr>
          <w:rFonts w:asciiTheme="majorBidi" w:hAnsiTheme="majorBidi" w:cstheme="majorBidi"/>
        </w:rPr>
        <w:t xml:space="preserve"> </w:t>
      </w:r>
    </w:p>
    <w:p w14:paraId="3BCE40B2" w14:textId="77777777" w:rsidR="00B316E1" w:rsidRPr="00A047D1" w:rsidRDefault="00B316E1" w:rsidP="00A047D1">
      <w:pPr>
        <w:spacing w:line="276" w:lineRule="auto"/>
        <w:ind w:firstLine="720"/>
        <w:jc w:val="both"/>
        <w:rPr>
          <w:rFonts w:asciiTheme="majorBidi" w:hAnsiTheme="majorBidi" w:cstheme="majorBidi"/>
        </w:rPr>
      </w:pPr>
    </w:p>
    <w:p w14:paraId="5FBE69CA" w14:textId="44BA1BBE" w:rsidR="00F853A0" w:rsidRPr="00A047D1" w:rsidRDefault="00B316E1" w:rsidP="00A047D1">
      <w:pPr>
        <w:spacing w:line="276" w:lineRule="auto"/>
        <w:ind w:firstLine="720"/>
        <w:jc w:val="both"/>
        <w:rPr>
          <w:rFonts w:asciiTheme="majorBidi" w:hAnsiTheme="majorBidi" w:cstheme="majorBidi"/>
        </w:rPr>
      </w:pPr>
      <w:r w:rsidRPr="00A047D1">
        <w:rPr>
          <w:rFonts w:asciiTheme="majorBidi" w:hAnsiTheme="majorBidi" w:cstheme="majorBidi"/>
        </w:rPr>
        <w:t xml:space="preserve">[9] Ievērojot minēto, Senāts atzīst, ka </w:t>
      </w:r>
      <w:r w:rsidRPr="00A047D1">
        <w:rPr>
          <w:rFonts w:asciiTheme="majorBidi" w:hAnsiTheme="majorBidi" w:cstheme="majorBidi"/>
          <w:bCs/>
        </w:rPr>
        <w:t>Negodīgas komercprakses aizlieguma likuma 15.</w:t>
      </w:r>
      <w:r w:rsidRPr="00A047D1">
        <w:rPr>
          <w:rFonts w:asciiTheme="majorBidi" w:hAnsiTheme="majorBidi" w:cstheme="majorBidi"/>
          <w:bCs/>
          <w:vertAlign w:val="superscript"/>
        </w:rPr>
        <w:t>2</w:t>
      </w:r>
      <w:r w:rsidRPr="00A047D1">
        <w:rPr>
          <w:rFonts w:asciiTheme="majorBidi" w:hAnsiTheme="majorBidi" w:cstheme="majorBidi"/>
          <w:bCs/>
        </w:rPr>
        <w:t xml:space="preserve">panta pirmā daļa ir interpretējama tādējādi, ka </w:t>
      </w:r>
      <w:r w:rsidRPr="00A047D1">
        <w:rPr>
          <w:rFonts w:asciiTheme="majorBidi" w:hAnsiTheme="majorBidi" w:cstheme="majorBidi"/>
        </w:rPr>
        <w:t xml:space="preserve">komercprakses īstenotāja pēdējā finanšu gada neto apgrozījums soda naudas apmēra noteikšanā ir jāņem vērā tad, ja informācija par šo gada apgrozījumu uzraudzības iestādei objektīvi </w:t>
      </w:r>
      <w:r w:rsidR="000B784E" w:rsidRPr="00A047D1">
        <w:rPr>
          <w:rFonts w:asciiTheme="majorBidi" w:hAnsiTheme="majorBidi" w:cstheme="majorBidi"/>
        </w:rPr>
        <w:t xml:space="preserve">ir </w:t>
      </w:r>
      <w:r w:rsidRPr="00A047D1">
        <w:rPr>
          <w:rFonts w:asciiTheme="majorBidi" w:hAnsiTheme="majorBidi" w:cstheme="majorBidi"/>
        </w:rPr>
        <w:t xml:space="preserve">pieejama. Savukārt, ja </w:t>
      </w:r>
      <w:r w:rsidR="000B784E" w:rsidRPr="00A047D1">
        <w:rPr>
          <w:rFonts w:asciiTheme="majorBidi" w:hAnsiTheme="majorBidi" w:cstheme="majorBidi"/>
        </w:rPr>
        <w:t xml:space="preserve">iestāde lietas izskatīšanas gaitā ir pienācīgi centusies šo informāciju noskaidrot, bet </w:t>
      </w:r>
      <w:r w:rsidRPr="00A047D1">
        <w:rPr>
          <w:rFonts w:asciiTheme="majorBidi" w:hAnsiTheme="majorBidi" w:cstheme="majorBidi"/>
        </w:rPr>
        <w:t>attiecīgā informācija iestādei nav pieejama komercprakses īstenotāja negodprātīgas rīcības dēļ, šīs informācijas trūkums nav pamats lēmuma pieņemšanas atlikšanai un iestādei ir pamats lemt par piemērojamās soda naudas apmēru, neņemot vērā pārkāpēja pēdējā finanšu gada neto apgrozījumu.</w:t>
      </w:r>
    </w:p>
    <w:p w14:paraId="48A07BB2" w14:textId="503CDD6D" w:rsidR="001B78F4" w:rsidRPr="00A047D1" w:rsidRDefault="001B78F4" w:rsidP="00A047D1">
      <w:pPr>
        <w:spacing w:line="276" w:lineRule="auto"/>
        <w:ind w:firstLine="720"/>
        <w:jc w:val="both"/>
        <w:rPr>
          <w:rFonts w:asciiTheme="majorBidi" w:hAnsiTheme="majorBidi" w:cstheme="majorBidi"/>
        </w:rPr>
      </w:pPr>
      <w:r w:rsidRPr="00A047D1">
        <w:rPr>
          <w:rFonts w:asciiTheme="majorBidi" w:hAnsiTheme="majorBidi" w:cstheme="majorBidi"/>
        </w:rPr>
        <w:t>Senāts uzsver, ka minētais nemaina prasību, ka soda naudas apmēram ir jābūt samērīgam ar izdarīto pārkāpumu. Soda naudas samērīguma nodrošināšanai likumdevējs Negodīgas komercprakses aizlieguma likuma 15.</w:t>
      </w:r>
      <w:r w:rsidRPr="00A047D1">
        <w:rPr>
          <w:rFonts w:asciiTheme="majorBidi" w:hAnsiTheme="majorBidi" w:cstheme="majorBidi"/>
          <w:vertAlign w:val="superscript"/>
        </w:rPr>
        <w:t>2</w:t>
      </w:r>
      <w:r w:rsidRPr="00A047D1">
        <w:rPr>
          <w:rFonts w:asciiTheme="majorBidi" w:hAnsiTheme="majorBidi" w:cstheme="majorBidi"/>
        </w:rPr>
        <w:t xml:space="preserve">panta otrajā daļā ir akcentējis apstākļus, kas vērtējami, lemjot par soda naudas piemērošanu. </w:t>
      </w:r>
    </w:p>
    <w:p w14:paraId="3C8B4009" w14:textId="77777777" w:rsidR="001B78F4" w:rsidRPr="00A047D1" w:rsidRDefault="001B78F4" w:rsidP="00A047D1">
      <w:pPr>
        <w:spacing w:line="276" w:lineRule="auto"/>
        <w:ind w:firstLine="720"/>
        <w:jc w:val="both"/>
        <w:rPr>
          <w:rFonts w:asciiTheme="majorBidi" w:hAnsiTheme="majorBidi" w:cstheme="majorBidi"/>
        </w:rPr>
      </w:pPr>
    </w:p>
    <w:p w14:paraId="21C3DD71" w14:textId="53D2AD01" w:rsidR="001B78F4" w:rsidRPr="00A047D1" w:rsidRDefault="001B78F4" w:rsidP="00A047D1">
      <w:pPr>
        <w:spacing w:line="276" w:lineRule="auto"/>
        <w:ind w:firstLine="720"/>
        <w:jc w:val="both"/>
        <w:rPr>
          <w:rFonts w:asciiTheme="majorBidi" w:hAnsiTheme="majorBidi" w:cstheme="majorBidi"/>
        </w:rPr>
      </w:pPr>
      <w:r w:rsidRPr="00A047D1">
        <w:rPr>
          <w:rFonts w:asciiTheme="majorBidi" w:hAnsiTheme="majorBidi" w:cstheme="majorBidi"/>
        </w:rPr>
        <w:t xml:space="preserve">[10] Rezumējot minēto, Senāts atzīst, ka apgabaltiesa, interpretējot lietā piemērojamās tiesību normas, nav ņēmusi vērā piemērojamo </w:t>
      </w:r>
      <w:r w:rsidR="00CA1A23" w:rsidRPr="00A047D1">
        <w:rPr>
          <w:rFonts w:asciiTheme="majorBidi" w:hAnsiTheme="majorBidi" w:cstheme="majorBidi"/>
        </w:rPr>
        <w:t xml:space="preserve">tiesību </w:t>
      </w:r>
      <w:r w:rsidRPr="00A047D1">
        <w:rPr>
          <w:rFonts w:asciiTheme="majorBidi" w:hAnsiTheme="majorBidi" w:cstheme="majorBidi"/>
        </w:rPr>
        <w:t xml:space="preserve">normu mērķi, un šī kļūda ir tāda, kas varēja novest pie nepareiza lietas izspriešanas rezultāta. Tāpēc apgabaltiesas spriedums Centra pārsūdzētajā daļā ir atceļams, un lieta šajā daļā nododama jaunai izskatīšanai apelācijas instances tiesā. </w:t>
      </w:r>
    </w:p>
    <w:p w14:paraId="3BF8E79B" w14:textId="77777777" w:rsidR="003C6F61" w:rsidRPr="00A047D1" w:rsidRDefault="003C6F61" w:rsidP="00A047D1">
      <w:pPr>
        <w:spacing w:line="276" w:lineRule="auto"/>
        <w:ind w:firstLine="709"/>
        <w:jc w:val="both"/>
        <w:rPr>
          <w:rFonts w:asciiTheme="majorBidi" w:hAnsiTheme="majorBidi" w:cstheme="majorBidi"/>
        </w:rPr>
      </w:pPr>
    </w:p>
    <w:p w14:paraId="56D9EDD7" w14:textId="77777777" w:rsidR="003C6F61" w:rsidRPr="00A047D1" w:rsidRDefault="003C6F61" w:rsidP="00A047D1">
      <w:pPr>
        <w:shd w:val="clear" w:color="auto" w:fill="FFFFFF"/>
        <w:spacing w:line="276" w:lineRule="auto"/>
        <w:jc w:val="center"/>
        <w:rPr>
          <w:rFonts w:asciiTheme="majorBidi" w:hAnsiTheme="majorBidi" w:cstheme="majorBidi"/>
          <w:b/>
        </w:rPr>
      </w:pPr>
      <w:r w:rsidRPr="00A047D1">
        <w:rPr>
          <w:rFonts w:asciiTheme="majorBidi" w:hAnsiTheme="majorBidi" w:cstheme="majorBidi"/>
          <w:b/>
        </w:rPr>
        <w:t>Rezolutīvā daļa</w:t>
      </w:r>
    </w:p>
    <w:p w14:paraId="0186245B" w14:textId="77777777" w:rsidR="003C6F61" w:rsidRPr="00A047D1" w:rsidRDefault="003C6F61" w:rsidP="00A047D1">
      <w:pPr>
        <w:shd w:val="clear" w:color="auto" w:fill="FFFFFF"/>
        <w:spacing w:line="276" w:lineRule="auto"/>
        <w:ind w:firstLine="709"/>
        <w:jc w:val="center"/>
        <w:rPr>
          <w:rFonts w:asciiTheme="majorBidi" w:hAnsiTheme="majorBidi" w:cstheme="majorBidi"/>
          <w:b/>
        </w:rPr>
      </w:pPr>
    </w:p>
    <w:p w14:paraId="122D62F8" w14:textId="54AAD185" w:rsidR="003C6F61" w:rsidRPr="00A047D1" w:rsidRDefault="003C6F61" w:rsidP="00A047D1">
      <w:pPr>
        <w:shd w:val="clear" w:color="auto" w:fill="FFFFFF"/>
        <w:spacing w:line="276" w:lineRule="auto"/>
        <w:ind w:firstLine="720"/>
        <w:jc w:val="both"/>
        <w:rPr>
          <w:rFonts w:asciiTheme="majorBidi" w:hAnsiTheme="majorBidi" w:cstheme="majorBidi"/>
        </w:rPr>
      </w:pPr>
      <w:r w:rsidRPr="00A047D1">
        <w:rPr>
          <w:rFonts w:asciiTheme="majorBidi" w:hAnsiTheme="majorBidi" w:cstheme="majorBidi"/>
        </w:rPr>
        <w:t xml:space="preserve">Pamatojoties uz </w:t>
      </w:r>
      <w:r w:rsidRPr="00A047D1">
        <w:rPr>
          <w:rFonts w:asciiTheme="majorBidi" w:eastAsiaTheme="minorHAnsi" w:hAnsiTheme="majorBidi" w:cstheme="majorBidi"/>
          <w:lang w:eastAsia="en-US"/>
        </w:rPr>
        <w:t xml:space="preserve">Administratīvā procesa likuma </w:t>
      </w:r>
      <w:r w:rsidR="00E46258" w:rsidRPr="00A047D1">
        <w:rPr>
          <w:rFonts w:asciiTheme="majorBidi" w:eastAsiaTheme="minorHAnsi" w:hAnsiTheme="majorBidi" w:cstheme="majorBidi"/>
          <w:lang w:eastAsia="en-US"/>
        </w:rPr>
        <w:t>129.</w:t>
      </w:r>
      <w:r w:rsidR="00E46258" w:rsidRPr="00A047D1">
        <w:rPr>
          <w:rFonts w:asciiTheme="majorBidi" w:eastAsiaTheme="minorHAnsi" w:hAnsiTheme="majorBidi" w:cstheme="majorBidi"/>
          <w:vertAlign w:val="superscript"/>
          <w:lang w:eastAsia="en-US"/>
        </w:rPr>
        <w:t>1</w:t>
      </w:r>
      <w:r w:rsidR="00E46258" w:rsidRPr="00A047D1">
        <w:rPr>
          <w:rFonts w:asciiTheme="majorBidi" w:eastAsiaTheme="minorHAnsi" w:hAnsiTheme="majorBidi" w:cstheme="majorBidi"/>
          <w:lang w:eastAsia="en-US"/>
        </w:rPr>
        <w:t xml:space="preserve">panta pirmās daļas 1.punktu, </w:t>
      </w:r>
      <w:r w:rsidRPr="00A047D1">
        <w:rPr>
          <w:rFonts w:asciiTheme="majorBidi" w:eastAsiaTheme="minorHAnsi" w:hAnsiTheme="majorBidi" w:cstheme="majorBidi"/>
          <w:lang w:eastAsia="en-US"/>
        </w:rPr>
        <w:t>348.panta pirmās daļas 2.punktu un 351.pantu</w:t>
      </w:r>
      <w:r w:rsidRPr="00A047D1">
        <w:rPr>
          <w:rFonts w:asciiTheme="majorBidi" w:hAnsiTheme="majorBidi" w:cstheme="majorBidi"/>
        </w:rPr>
        <w:t>, Senāts</w:t>
      </w:r>
    </w:p>
    <w:p w14:paraId="36CA5005" w14:textId="77777777" w:rsidR="00E46258" w:rsidRPr="00A047D1" w:rsidRDefault="00E46258" w:rsidP="00A047D1">
      <w:pPr>
        <w:shd w:val="clear" w:color="auto" w:fill="FFFFFF"/>
        <w:spacing w:line="276" w:lineRule="auto"/>
        <w:jc w:val="center"/>
        <w:rPr>
          <w:rFonts w:asciiTheme="majorBidi" w:hAnsiTheme="majorBidi" w:cstheme="majorBidi"/>
          <w:b/>
        </w:rPr>
      </w:pPr>
    </w:p>
    <w:p w14:paraId="723A8880" w14:textId="5010FD18" w:rsidR="003C6F61" w:rsidRPr="00A047D1" w:rsidRDefault="003C6F61" w:rsidP="00A047D1">
      <w:pPr>
        <w:shd w:val="clear" w:color="auto" w:fill="FFFFFF"/>
        <w:spacing w:line="276" w:lineRule="auto"/>
        <w:jc w:val="center"/>
        <w:rPr>
          <w:rFonts w:asciiTheme="majorBidi" w:hAnsiTheme="majorBidi" w:cstheme="majorBidi"/>
        </w:rPr>
      </w:pPr>
      <w:r w:rsidRPr="00A047D1">
        <w:rPr>
          <w:rFonts w:asciiTheme="majorBidi" w:hAnsiTheme="majorBidi" w:cstheme="majorBidi"/>
          <w:b/>
        </w:rPr>
        <w:lastRenderedPageBreak/>
        <w:t>nosprieda</w:t>
      </w:r>
    </w:p>
    <w:p w14:paraId="4A939BFC" w14:textId="77777777" w:rsidR="003C6F61" w:rsidRPr="00A047D1" w:rsidRDefault="003C6F61" w:rsidP="00A047D1">
      <w:pPr>
        <w:shd w:val="clear" w:color="auto" w:fill="FFFFFF"/>
        <w:spacing w:line="276" w:lineRule="auto"/>
        <w:ind w:firstLine="709"/>
        <w:jc w:val="center"/>
        <w:rPr>
          <w:rFonts w:asciiTheme="majorBidi" w:hAnsiTheme="majorBidi" w:cstheme="majorBidi"/>
          <w:b/>
        </w:rPr>
      </w:pPr>
    </w:p>
    <w:p w14:paraId="04467E22" w14:textId="254E1BA5" w:rsidR="00E46258" w:rsidRPr="00A047D1" w:rsidRDefault="00E46258" w:rsidP="00A047D1">
      <w:pPr>
        <w:spacing w:line="276" w:lineRule="auto"/>
        <w:ind w:firstLine="720"/>
        <w:jc w:val="both"/>
        <w:rPr>
          <w:rFonts w:asciiTheme="majorBidi" w:hAnsiTheme="majorBidi" w:cstheme="majorBidi"/>
        </w:rPr>
      </w:pPr>
      <w:r w:rsidRPr="00A047D1">
        <w:rPr>
          <w:rFonts w:asciiTheme="majorBidi" w:hAnsiTheme="majorBidi" w:cstheme="majorBidi"/>
        </w:rPr>
        <w:t xml:space="preserve">atcelt Administratīvās apgabaltiesas 2022.gada 22.decembra spriedumu daļā, </w:t>
      </w:r>
      <w:r w:rsidR="00D42395" w:rsidRPr="00A047D1">
        <w:rPr>
          <w:rFonts w:asciiTheme="majorBidi" w:hAnsiTheme="majorBidi" w:cstheme="majorBidi"/>
        </w:rPr>
        <w:t xml:space="preserve">ar kuru atcelts Patērētāju tiesību aizsardzības centra 2021.gada 7.maija lēmums Nr. 8-pk daļā par </w:t>
      </w:r>
      <w:r w:rsidRPr="00A047D1">
        <w:rPr>
          <w:rFonts w:asciiTheme="majorBidi" w:hAnsiTheme="majorBidi" w:cstheme="majorBidi"/>
        </w:rPr>
        <w:t>soda naudas piemērošanu</w:t>
      </w:r>
      <w:r w:rsidR="00B26C69" w:rsidRPr="00A047D1">
        <w:rPr>
          <w:rFonts w:asciiTheme="majorBidi" w:hAnsiTheme="majorBidi" w:cstheme="majorBidi"/>
        </w:rPr>
        <w:t xml:space="preserve"> </w:t>
      </w:r>
      <w:r w:rsidR="00AC7131" w:rsidRPr="00A047D1">
        <w:rPr>
          <w:rFonts w:asciiTheme="majorBidi" w:hAnsiTheme="majorBidi" w:cstheme="majorBidi"/>
        </w:rPr>
        <w:t xml:space="preserve">kooperatīvajai sabiedrībai „Meiju ceļš” </w:t>
      </w:r>
      <w:r w:rsidR="00D42395" w:rsidRPr="00A047D1">
        <w:rPr>
          <w:rFonts w:asciiTheme="majorBidi" w:hAnsiTheme="majorBidi" w:cstheme="majorBidi"/>
        </w:rPr>
        <w:t>un uzdots izdot jaunu administratīvo aktu par soda naudas piemērošanu</w:t>
      </w:r>
      <w:r w:rsidRPr="00A047D1">
        <w:rPr>
          <w:rFonts w:asciiTheme="majorBidi" w:eastAsiaTheme="minorHAnsi" w:hAnsiTheme="majorBidi" w:cstheme="majorBidi"/>
          <w:lang w:eastAsia="en-US"/>
          <w14:ligatures w14:val="standardContextual"/>
        </w:rPr>
        <w:t xml:space="preserve">, </w:t>
      </w:r>
      <w:r w:rsidRPr="00A047D1">
        <w:rPr>
          <w:rFonts w:asciiTheme="majorBidi" w:hAnsiTheme="majorBidi" w:cstheme="majorBidi"/>
        </w:rPr>
        <w:t>un šajā daļā nodot lietu jaunai izskatīšanai Administratīvajai apgabaltiesai;</w:t>
      </w:r>
    </w:p>
    <w:p w14:paraId="1F6191AE" w14:textId="33C116D6" w:rsidR="00E46258" w:rsidRPr="00A047D1" w:rsidRDefault="00E46258" w:rsidP="00A047D1">
      <w:pPr>
        <w:spacing w:line="276" w:lineRule="auto"/>
        <w:ind w:firstLine="720"/>
        <w:jc w:val="both"/>
        <w:rPr>
          <w:rFonts w:asciiTheme="majorBidi" w:hAnsiTheme="majorBidi" w:cstheme="majorBidi"/>
        </w:rPr>
      </w:pPr>
      <w:r w:rsidRPr="00A047D1">
        <w:rPr>
          <w:rFonts w:asciiTheme="majorBidi" w:hAnsiTheme="majorBidi" w:cstheme="majorBidi"/>
        </w:rPr>
        <w:t>atmaksāt Patērētāju tiesību aizsardzības centram drošības naudu 70 </w:t>
      </w:r>
      <w:r w:rsidRPr="00A047D1">
        <w:rPr>
          <w:rFonts w:asciiTheme="majorBidi" w:hAnsiTheme="majorBidi" w:cstheme="majorBidi"/>
          <w:i/>
        </w:rPr>
        <w:t>euro</w:t>
      </w:r>
      <w:r w:rsidRPr="00A047D1">
        <w:rPr>
          <w:rFonts w:asciiTheme="majorBidi" w:hAnsiTheme="majorBidi" w:cstheme="majorBidi"/>
        </w:rPr>
        <w:t>.</w:t>
      </w:r>
    </w:p>
    <w:p w14:paraId="1ECF185C" w14:textId="77777777" w:rsidR="003C6F61" w:rsidRPr="00A047D1" w:rsidRDefault="003C6F61" w:rsidP="00A047D1">
      <w:pPr>
        <w:spacing w:line="276" w:lineRule="auto"/>
        <w:ind w:firstLine="720"/>
        <w:jc w:val="both"/>
        <w:rPr>
          <w:rFonts w:asciiTheme="majorBidi" w:hAnsiTheme="majorBidi" w:cstheme="majorBidi"/>
        </w:rPr>
      </w:pPr>
    </w:p>
    <w:p w14:paraId="09E63B45" w14:textId="77777777" w:rsidR="003C6F61" w:rsidRPr="00A047D1" w:rsidRDefault="003C6F61" w:rsidP="00A047D1">
      <w:pPr>
        <w:spacing w:line="276" w:lineRule="auto"/>
        <w:ind w:firstLine="720"/>
        <w:jc w:val="both"/>
        <w:rPr>
          <w:rFonts w:asciiTheme="majorBidi" w:hAnsiTheme="majorBidi" w:cstheme="majorBidi"/>
        </w:rPr>
      </w:pPr>
      <w:r w:rsidRPr="00A047D1">
        <w:rPr>
          <w:rFonts w:asciiTheme="majorBidi" w:hAnsiTheme="majorBidi" w:cstheme="majorBidi"/>
        </w:rPr>
        <w:t>Spriedums nav pārsūdzams.</w:t>
      </w:r>
    </w:p>
    <w:p w14:paraId="607C823B" w14:textId="77777777" w:rsidR="003C6F61" w:rsidRPr="00467A51" w:rsidRDefault="003C6F61" w:rsidP="00467A51">
      <w:pPr>
        <w:spacing w:line="276" w:lineRule="auto"/>
        <w:ind w:firstLine="720"/>
        <w:jc w:val="both"/>
        <w:rPr>
          <w:rFonts w:asciiTheme="majorBidi" w:hAnsiTheme="majorBidi" w:cstheme="majorBidi"/>
          <w:bCs/>
        </w:rPr>
      </w:pPr>
    </w:p>
    <w:p w14:paraId="239D0C2B" w14:textId="77777777" w:rsidR="003C6F61" w:rsidRPr="00467A51" w:rsidRDefault="003C6F61" w:rsidP="00467A51">
      <w:pPr>
        <w:spacing w:line="276" w:lineRule="auto"/>
        <w:ind w:firstLine="709"/>
        <w:jc w:val="both"/>
        <w:rPr>
          <w:rFonts w:asciiTheme="majorBidi" w:hAnsiTheme="majorBidi" w:cstheme="majorBidi"/>
          <w:bCs/>
        </w:rPr>
      </w:pPr>
    </w:p>
    <w:p w14:paraId="5AE89553" w14:textId="77777777" w:rsidR="003C6F61" w:rsidRPr="00467A51" w:rsidRDefault="003C6F61" w:rsidP="00467A51">
      <w:pPr>
        <w:spacing w:line="276" w:lineRule="auto"/>
        <w:ind w:firstLine="709"/>
        <w:jc w:val="both"/>
        <w:rPr>
          <w:rFonts w:asciiTheme="majorBidi" w:hAnsiTheme="majorBidi" w:cstheme="majorBidi"/>
          <w:bCs/>
        </w:rPr>
      </w:pPr>
    </w:p>
    <w:p w14:paraId="27B58AD6" w14:textId="77777777" w:rsidR="003C6F61" w:rsidRPr="00467A51" w:rsidRDefault="003C6F61" w:rsidP="00467A51">
      <w:pPr>
        <w:spacing w:line="276" w:lineRule="auto"/>
        <w:ind w:firstLine="709"/>
        <w:jc w:val="both"/>
        <w:rPr>
          <w:rFonts w:asciiTheme="majorBidi" w:hAnsiTheme="majorBidi" w:cstheme="majorBidi"/>
          <w:bCs/>
        </w:rPr>
      </w:pPr>
    </w:p>
    <w:p w14:paraId="51C8E6A2" w14:textId="77777777" w:rsidR="003A62BD" w:rsidRPr="00467A51" w:rsidRDefault="003A62BD" w:rsidP="00467A51">
      <w:pPr>
        <w:spacing w:line="276" w:lineRule="auto"/>
        <w:rPr>
          <w:rFonts w:asciiTheme="majorBidi" w:hAnsiTheme="majorBidi" w:cstheme="majorBidi"/>
        </w:rPr>
      </w:pPr>
    </w:p>
    <w:sectPr w:rsidR="003A62BD" w:rsidRPr="00467A51" w:rsidSect="00F124AC">
      <w:footerReference w:type="default" r:id="rId1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E140" w14:textId="77777777" w:rsidR="0054030A" w:rsidRDefault="0054030A" w:rsidP="00121D30">
      <w:r>
        <w:separator/>
      </w:r>
    </w:p>
  </w:endnote>
  <w:endnote w:type="continuationSeparator" w:id="0">
    <w:p w14:paraId="7CBF660E" w14:textId="77777777" w:rsidR="0054030A" w:rsidRDefault="0054030A" w:rsidP="001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326" w14:textId="6AEF542E" w:rsidR="00467A51" w:rsidRPr="00F86F32" w:rsidRDefault="00467A51" w:rsidP="00F86F32">
    <w:pPr>
      <w:pStyle w:val="Footer"/>
      <w:jc w:val="center"/>
      <w:rPr>
        <w:sz w:val="20"/>
        <w:szCs w:val="20"/>
      </w:rPr>
    </w:pPr>
    <w:r w:rsidRPr="00F86F32">
      <w:rPr>
        <w:rStyle w:val="PageNumber"/>
        <w:rFonts w:eastAsiaTheme="majorEastAsia"/>
        <w:sz w:val="20"/>
        <w:szCs w:val="20"/>
      </w:rPr>
      <w:fldChar w:fldCharType="begin"/>
    </w:r>
    <w:r w:rsidRPr="00F86F32">
      <w:rPr>
        <w:rStyle w:val="PageNumber"/>
        <w:rFonts w:eastAsiaTheme="majorEastAsia"/>
        <w:sz w:val="20"/>
        <w:szCs w:val="20"/>
      </w:rPr>
      <w:instrText xml:space="preserve">PAGE  </w:instrText>
    </w:r>
    <w:r w:rsidRPr="00F86F32">
      <w:rPr>
        <w:rStyle w:val="PageNumber"/>
        <w:rFonts w:eastAsiaTheme="majorEastAsia"/>
        <w:sz w:val="20"/>
        <w:szCs w:val="20"/>
      </w:rPr>
      <w:fldChar w:fldCharType="separate"/>
    </w:r>
    <w:r w:rsidRPr="00F86F32">
      <w:rPr>
        <w:rStyle w:val="PageNumber"/>
        <w:rFonts w:eastAsiaTheme="majorEastAsia"/>
        <w:sz w:val="20"/>
        <w:szCs w:val="20"/>
      </w:rPr>
      <w:t>1</w:t>
    </w:r>
    <w:r w:rsidRPr="00F86F32">
      <w:rPr>
        <w:rStyle w:val="PageNumber"/>
        <w:rFonts w:eastAsiaTheme="majorEastAsia"/>
        <w:sz w:val="20"/>
        <w:szCs w:val="20"/>
      </w:rPr>
      <w:fldChar w:fldCharType="end"/>
    </w:r>
    <w:r w:rsidRPr="00F86F32">
      <w:rPr>
        <w:rStyle w:val="PageNumber"/>
        <w:rFonts w:eastAsiaTheme="majorEastAsia"/>
        <w:sz w:val="20"/>
        <w:szCs w:val="20"/>
      </w:rPr>
      <w:t xml:space="preserve"> no </w:t>
    </w:r>
    <w:r w:rsidRPr="00F86F32">
      <w:rPr>
        <w:rStyle w:val="PageNumber"/>
        <w:rFonts w:eastAsiaTheme="majorEastAsia"/>
        <w:noProof/>
        <w:sz w:val="20"/>
        <w:szCs w:val="20"/>
      </w:rPr>
      <w:fldChar w:fldCharType="begin"/>
    </w:r>
    <w:r w:rsidRPr="00F86F32">
      <w:rPr>
        <w:rStyle w:val="PageNumber"/>
        <w:rFonts w:eastAsiaTheme="majorEastAsia"/>
        <w:noProof/>
        <w:sz w:val="20"/>
        <w:szCs w:val="20"/>
      </w:rPr>
      <w:instrText xml:space="preserve"> SECTIONPAGES   \* MERGEFORMAT </w:instrText>
    </w:r>
    <w:r w:rsidRPr="00F86F32">
      <w:rPr>
        <w:rStyle w:val="PageNumber"/>
        <w:rFonts w:eastAsiaTheme="majorEastAsia"/>
        <w:noProof/>
        <w:sz w:val="20"/>
        <w:szCs w:val="20"/>
      </w:rPr>
      <w:fldChar w:fldCharType="separate"/>
    </w:r>
    <w:r w:rsidR="00536681">
      <w:rPr>
        <w:rStyle w:val="PageNumber"/>
        <w:rFonts w:eastAsiaTheme="majorEastAsia"/>
        <w:noProof/>
        <w:sz w:val="20"/>
        <w:szCs w:val="20"/>
      </w:rPr>
      <w:t>7</w:t>
    </w:r>
    <w:r w:rsidRPr="00F86F32">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8AA4" w14:textId="77777777" w:rsidR="0054030A" w:rsidRDefault="0054030A" w:rsidP="00121D30">
      <w:r>
        <w:separator/>
      </w:r>
    </w:p>
  </w:footnote>
  <w:footnote w:type="continuationSeparator" w:id="0">
    <w:p w14:paraId="4588B918" w14:textId="77777777" w:rsidR="0054030A" w:rsidRDefault="0054030A" w:rsidP="00121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61"/>
    <w:rsid w:val="000008C7"/>
    <w:rsid w:val="000121B3"/>
    <w:rsid w:val="00031BE1"/>
    <w:rsid w:val="00032074"/>
    <w:rsid w:val="000358A4"/>
    <w:rsid w:val="00035D83"/>
    <w:rsid w:val="0004482D"/>
    <w:rsid w:val="00053640"/>
    <w:rsid w:val="00060452"/>
    <w:rsid w:val="00065CFB"/>
    <w:rsid w:val="000822BC"/>
    <w:rsid w:val="000B188C"/>
    <w:rsid w:val="000B784E"/>
    <w:rsid w:val="000C6A65"/>
    <w:rsid w:val="000D272D"/>
    <w:rsid w:val="000D63E5"/>
    <w:rsid w:val="000F2D15"/>
    <w:rsid w:val="000F7F52"/>
    <w:rsid w:val="001027DB"/>
    <w:rsid w:val="00106854"/>
    <w:rsid w:val="0011642D"/>
    <w:rsid w:val="001206A5"/>
    <w:rsid w:val="00121D30"/>
    <w:rsid w:val="0012467B"/>
    <w:rsid w:val="00136BEA"/>
    <w:rsid w:val="001444E4"/>
    <w:rsid w:val="00162AF9"/>
    <w:rsid w:val="00166837"/>
    <w:rsid w:val="00193594"/>
    <w:rsid w:val="001A4C33"/>
    <w:rsid w:val="001A68A3"/>
    <w:rsid w:val="001B1243"/>
    <w:rsid w:val="001B78F4"/>
    <w:rsid w:val="002011E0"/>
    <w:rsid w:val="00211EBA"/>
    <w:rsid w:val="0022408B"/>
    <w:rsid w:val="00246DF3"/>
    <w:rsid w:val="002534AF"/>
    <w:rsid w:val="00260FC3"/>
    <w:rsid w:val="00275CBC"/>
    <w:rsid w:val="0029195F"/>
    <w:rsid w:val="00295B71"/>
    <w:rsid w:val="002A05D1"/>
    <w:rsid w:val="002D5992"/>
    <w:rsid w:val="002F1D3C"/>
    <w:rsid w:val="002F3980"/>
    <w:rsid w:val="00310A21"/>
    <w:rsid w:val="00331605"/>
    <w:rsid w:val="00335FE3"/>
    <w:rsid w:val="00342A9B"/>
    <w:rsid w:val="003458A9"/>
    <w:rsid w:val="00350024"/>
    <w:rsid w:val="00363A42"/>
    <w:rsid w:val="00395266"/>
    <w:rsid w:val="00395F9C"/>
    <w:rsid w:val="003A120A"/>
    <w:rsid w:val="003A62BD"/>
    <w:rsid w:val="003C6F61"/>
    <w:rsid w:val="003D6D83"/>
    <w:rsid w:val="003E5F7F"/>
    <w:rsid w:val="003E6B73"/>
    <w:rsid w:val="003F244D"/>
    <w:rsid w:val="003F4B03"/>
    <w:rsid w:val="003F562C"/>
    <w:rsid w:val="0042645A"/>
    <w:rsid w:val="00440DA6"/>
    <w:rsid w:val="004410E7"/>
    <w:rsid w:val="00460DBD"/>
    <w:rsid w:val="00467A51"/>
    <w:rsid w:val="00476C2A"/>
    <w:rsid w:val="004A01A3"/>
    <w:rsid w:val="004A1487"/>
    <w:rsid w:val="004A6FDF"/>
    <w:rsid w:val="004A7A55"/>
    <w:rsid w:val="004C0134"/>
    <w:rsid w:val="004C7B4C"/>
    <w:rsid w:val="004D1000"/>
    <w:rsid w:val="004E4459"/>
    <w:rsid w:val="004F1A61"/>
    <w:rsid w:val="004F6B64"/>
    <w:rsid w:val="00500E3E"/>
    <w:rsid w:val="00502A51"/>
    <w:rsid w:val="00517B32"/>
    <w:rsid w:val="00534898"/>
    <w:rsid w:val="00536681"/>
    <w:rsid w:val="0054030A"/>
    <w:rsid w:val="00553EE7"/>
    <w:rsid w:val="00570602"/>
    <w:rsid w:val="00570633"/>
    <w:rsid w:val="005900B5"/>
    <w:rsid w:val="005909B4"/>
    <w:rsid w:val="00595BAF"/>
    <w:rsid w:val="00596D32"/>
    <w:rsid w:val="005A44CC"/>
    <w:rsid w:val="005A533D"/>
    <w:rsid w:val="005B5D12"/>
    <w:rsid w:val="005B70C4"/>
    <w:rsid w:val="005C4766"/>
    <w:rsid w:val="005D2D91"/>
    <w:rsid w:val="005E3E86"/>
    <w:rsid w:val="005F1857"/>
    <w:rsid w:val="005F26D9"/>
    <w:rsid w:val="005F3DC5"/>
    <w:rsid w:val="0060316A"/>
    <w:rsid w:val="0061024E"/>
    <w:rsid w:val="00623291"/>
    <w:rsid w:val="00630D27"/>
    <w:rsid w:val="00635EA5"/>
    <w:rsid w:val="0064272D"/>
    <w:rsid w:val="00672C39"/>
    <w:rsid w:val="00676866"/>
    <w:rsid w:val="00677263"/>
    <w:rsid w:val="00681355"/>
    <w:rsid w:val="006925FE"/>
    <w:rsid w:val="006974F1"/>
    <w:rsid w:val="006B5207"/>
    <w:rsid w:val="006C1816"/>
    <w:rsid w:val="006D38D2"/>
    <w:rsid w:val="006E5DD9"/>
    <w:rsid w:val="006F2B11"/>
    <w:rsid w:val="00703767"/>
    <w:rsid w:val="007164E9"/>
    <w:rsid w:val="00732398"/>
    <w:rsid w:val="00733DA3"/>
    <w:rsid w:val="00744022"/>
    <w:rsid w:val="007714F2"/>
    <w:rsid w:val="00773952"/>
    <w:rsid w:val="00792B45"/>
    <w:rsid w:val="00793CF5"/>
    <w:rsid w:val="007B602D"/>
    <w:rsid w:val="007C05C0"/>
    <w:rsid w:val="007C5759"/>
    <w:rsid w:val="007D4473"/>
    <w:rsid w:val="007D53E6"/>
    <w:rsid w:val="007F05B1"/>
    <w:rsid w:val="00811645"/>
    <w:rsid w:val="00831577"/>
    <w:rsid w:val="00835D35"/>
    <w:rsid w:val="00841CFA"/>
    <w:rsid w:val="00846F99"/>
    <w:rsid w:val="0085148D"/>
    <w:rsid w:val="00851798"/>
    <w:rsid w:val="00851C72"/>
    <w:rsid w:val="00875C91"/>
    <w:rsid w:val="0087600F"/>
    <w:rsid w:val="00891284"/>
    <w:rsid w:val="00893F01"/>
    <w:rsid w:val="00896635"/>
    <w:rsid w:val="008A1EEA"/>
    <w:rsid w:val="008A56D6"/>
    <w:rsid w:val="008C38FF"/>
    <w:rsid w:val="008D2107"/>
    <w:rsid w:val="008F456D"/>
    <w:rsid w:val="008F50B0"/>
    <w:rsid w:val="008F65ED"/>
    <w:rsid w:val="00904ED9"/>
    <w:rsid w:val="00905001"/>
    <w:rsid w:val="00905C97"/>
    <w:rsid w:val="00910D4F"/>
    <w:rsid w:val="00932A7F"/>
    <w:rsid w:val="00932EB8"/>
    <w:rsid w:val="00934B56"/>
    <w:rsid w:val="00937368"/>
    <w:rsid w:val="0095381A"/>
    <w:rsid w:val="009650E4"/>
    <w:rsid w:val="00966351"/>
    <w:rsid w:val="00966EFD"/>
    <w:rsid w:val="00980BDF"/>
    <w:rsid w:val="00985F52"/>
    <w:rsid w:val="00991BE2"/>
    <w:rsid w:val="009A1FA5"/>
    <w:rsid w:val="009A61A9"/>
    <w:rsid w:val="009A6FDB"/>
    <w:rsid w:val="009C486D"/>
    <w:rsid w:val="009D7F6E"/>
    <w:rsid w:val="009E0962"/>
    <w:rsid w:val="009E65B4"/>
    <w:rsid w:val="009F3BD2"/>
    <w:rsid w:val="009F562C"/>
    <w:rsid w:val="00A047D1"/>
    <w:rsid w:val="00A059D4"/>
    <w:rsid w:val="00A4120A"/>
    <w:rsid w:val="00A50BE3"/>
    <w:rsid w:val="00A619C5"/>
    <w:rsid w:val="00A67B56"/>
    <w:rsid w:val="00A70D0B"/>
    <w:rsid w:val="00A734B6"/>
    <w:rsid w:val="00A76D4B"/>
    <w:rsid w:val="00A87800"/>
    <w:rsid w:val="00A90DDC"/>
    <w:rsid w:val="00A92D54"/>
    <w:rsid w:val="00A95D8C"/>
    <w:rsid w:val="00AA3F16"/>
    <w:rsid w:val="00AB46FF"/>
    <w:rsid w:val="00AB61CD"/>
    <w:rsid w:val="00AC7131"/>
    <w:rsid w:val="00AE084F"/>
    <w:rsid w:val="00AE52C8"/>
    <w:rsid w:val="00AE5E9E"/>
    <w:rsid w:val="00AF02DE"/>
    <w:rsid w:val="00AF0A91"/>
    <w:rsid w:val="00AF1433"/>
    <w:rsid w:val="00B01F04"/>
    <w:rsid w:val="00B07A9C"/>
    <w:rsid w:val="00B12392"/>
    <w:rsid w:val="00B24F2D"/>
    <w:rsid w:val="00B26C69"/>
    <w:rsid w:val="00B30710"/>
    <w:rsid w:val="00B316E1"/>
    <w:rsid w:val="00B46875"/>
    <w:rsid w:val="00B62D1D"/>
    <w:rsid w:val="00B94110"/>
    <w:rsid w:val="00BA1CFC"/>
    <w:rsid w:val="00BA26B9"/>
    <w:rsid w:val="00BD1836"/>
    <w:rsid w:val="00BE1F08"/>
    <w:rsid w:val="00BF5870"/>
    <w:rsid w:val="00C02433"/>
    <w:rsid w:val="00C11543"/>
    <w:rsid w:val="00C1517E"/>
    <w:rsid w:val="00C27114"/>
    <w:rsid w:val="00C31141"/>
    <w:rsid w:val="00C47E37"/>
    <w:rsid w:val="00C55C83"/>
    <w:rsid w:val="00C55D98"/>
    <w:rsid w:val="00C61ACF"/>
    <w:rsid w:val="00C661B0"/>
    <w:rsid w:val="00C74FDA"/>
    <w:rsid w:val="00C91071"/>
    <w:rsid w:val="00CA1A23"/>
    <w:rsid w:val="00CB6D52"/>
    <w:rsid w:val="00CC1958"/>
    <w:rsid w:val="00CC4D35"/>
    <w:rsid w:val="00CD10A9"/>
    <w:rsid w:val="00CD2D32"/>
    <w:rsid w:val="00CD43ED"/>
    <w:rsid w:val="00CF571D"/>
    <w:rsid w:val="00D1777D"/>
    <w:rsid w:val="00D243E2"/>
    <w:rsid w:val="00D42395"/>
    <w:rsid w:val="00D43050"/>
    <w:rsid w:val="00D47B64"/>
    <w:rsid w:val="00D5112C"/>
    <w:rsid w:val="00D540A4"/>
    <w:rsid w:val="00D66E2B"/>
    <w:rsid w:val="00D709D3"/>
    <w:rsid w:val="00D776F9"/>
    <w:rsid w:val="00D813D6"/>
    <w:rsid w:val="00DC255A"/>
    <w:rsid w:val="00DC2A81"/>
    <w:rsid w:val="00DC49D0"/>
    <w:rsid w:val="00DD4ED3"/>
    <w:rsid w:val="00DE09D7"/>
    <w:rsid w:val="00DE482F"/>
    <w:rsid w:val="00DE6AAD"/>
    <w:rsid w:val="00DF4668"/>
    <w:rsid w:val="00E01C3C"/>
    <w:rsid w:val="00E03A29"/>
    <w:rsid w:val="00E05E28"/>
    <w:rsid w:val="00E10C62"/>
    <w:rsid w:val="00E10F6C"/>
    <w:rsid w:val="00E16FDF"/>
    <w:rsid w:val="00E221C3"/>
    <w:rsid w:val="00E46258"/>
    <w:rsid w:val="00E506E6"/>
    <w:rsid w:val="00E6682D"/>
    <w:rsid w:val="00E726A0"/>
    <w:rsid w:val="00E760B4"/>
    <w:rsid w:val="00E77281"/>
    <w:rsid w:val="00E90C9F"/>
    <w:rsid w:val="00ED36EB"/>
    <w:rsid w:val="00EE1B56"/>
    <w:rsid w:val="00EF3EA3"/>
    <w:rsid w:val="00EF70C2"/>
    <w:rsid w:val="00EF7A14"/>
    <w:rsid w:val="00F01428"/>
    <w:rsid w:val="00F0648C"/>
    <w:rsid w:val="00F124AC"/>
    <w:rsid w:val="00F1677C"/>
    <w:rsid w:val="00F306FD"/>
    <w:rsid w:val="00F314F3"/>
    <w:rsid w:val="00F34FB5"/>
    <w:rsid w:val="00F46594"/>
    <w:rsid w:val="00F70BE8"/>
    <w:rsid w:val="00F73CBD"/>
    <w:rsid w:val="00F82B1E"/>
    <w:rsid w:val="00F853A0"/>
    <w:rsid w:val="00F91098"/>
    <w:rsid w:val="00F9260B"/>
    <w:rsid w:val="00FC0BB3"/>
    <w:rsid w:val="00FC5578"/>
    <w:rsid w:val="00FE034D"/>
    <w:rsid w:val="00FE323C"/>
    <w:rsid w:val="00FE32A3"/>
    <w:rsid w:val="00FE4FBA"/>
    <w:rsid w:val="00FE76F6"/>
    <w:rsid w:val="00FF2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F5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6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3C6F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C6F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C6F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C6F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C6F61"/>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C6F61"/>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C6F61"/>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C6F61"/>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C6F61"/>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6F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6F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F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F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F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F6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C6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C6F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F61"/>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3C6F61"/>
    <w:rPr>
      <w:i/>
      <w:iCs/>
      <w:color w:val="404040" w:themeColor="text1" w:themeTint="BF"/>
    </w:rPr>
  </w:style>
  <w:style w:type="paragraph" w:styleId="ListParagraph">
    <w:name w:val="List Paragraph"/>
    <w:basedOn w:val="Normal"/>
    <w:uiPriority w:val="34"/>
    <w:qFormat/>
    <w:rsid w:val="003C6F61"/>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3C6F61"/>
    <w:rPr>
      <w:i/>
      <w:iCs/>
      <w:color w:val="2F5496" w:themeColor="accent1" w:themeShade="BF"/>
    </w:rPr>
  </w:style>
  <w:style w:type="paragraph" w:styleId="IntenseQuote">
    <w:name w:val="Intense Quote"/>
    <w:basedOn w:val="Normal"/>
    <w:next w:val="Normal"/>
    <w:link w:val="IntenseQuoteChar"/>
    <w:uiPriority w:val="30"/>
    <w:qFormat/>
    <w:rsid w:val="003C6F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3C6F61"/>
    <w:rPr>
      <w:i/>
      <w:iCs/>
      <w:color w:val="2F5496" w:themeColor="accent1" w:themeShade="BF"/>
    </w:rPr>
  </w:style>
  <w:style w:type="character" w:styleId="IntenseReference">
    <w:name w:val="Intense Reference"/>
    <w:basedOn w:val="DefaultParagraphFont"/>
    <w:uiPriority w:val="32"/>
    <w:qFormat/>
    <w:rsid w:val="003C6F61"/>
    <w:rPr>
      <w:b/>
      <w:bCs/>
      <w:smallCaps/>
      <w:color w:val="2F5496" w:themeColor="accent1" w:themeShade="BF"/>
      <w:spacing w:val="5"/>
    </w:rPr>
  </w:style>
  <w:style w:type="paragraph" w:styleId="NormalWeb">
    <w:name w:val="Normal (Web)"/>
    <w:basedOn w:val="Normal"/>
    <w:uiPriority w:val="99"/>
    <w:rsid w:val="003C6F61"/>
    <w:pPr>
      <w:spacing w:before="100" w:beforeAutospacing="1" w:after="100" w:afterAutospacing="1"/>
    </w:pPr>
    <w:rPr>
      <w:lang w:eastAsia="lv-LV"/>
    </w:rPr>
  </w:style>
  <w:style w:type="paragraph" w:styleId="Header">
    <w:name w:val="header"/>
    <w:basedOn w:val="Normal"/>
    <w:link w:val="HeaderChar"/>
    <w:uiPriority w:val="99"/>
    <w:unhideWhenUsed/>
    <w:rsid w:val="003C6F61"/>
    <w:pPr>
      <w:tabs>
        <w:tab w:val="center" w:pos="4513"/>
        <w:tab w:val="right" w:pos="9026"/>
      </w:tabs>
    </w:pPr>
  </w:style>
  <w:style w:type="character" w:customStyle="1" w:styleId="HeaderChar">
    <w:name w:val="Header Char"/>
    <w:basedOn w:val="DefaultParagraphFont"/>
    <w:link w:val="Header"/>
    <w:uiPriority w:val="99"/>
    <w:rsid w:val="003C6F61"/>
    <w:rPr>
      <w:rFonts w:eastAsia="Times New Roman" w:cs="Times New Roman"/>
      <w:kern w:val="0"/>
      <w:szCs w:val="24"/>
      <w:lang w:val="lv-LV" w:eastAsia="ru-RU"/>
      <w14:ligatures w14:val="none"/>
    </w:rPr>
  </w:style>
  <w:style w:type="paragraph" w:styleId="Footer">
    <w:name w:val="footer"/>
    <w:basedOn w:val="Normal"/>
    <w:link w:val="FooterChar"/>
    <w:unhideWhenUsed/>
    <w:rsid w:val="003C6F61"/>
    <w:pPr>
      <w:tabs>
        <w:tab w:val="center" w:pos="4513"/>
        <w:tab w:val="right" w:pos="9026"/>
      </w:tabs>
    </w:pPr>
  </w:style>
  <w:style w:type="character" w:customStyle="1" w:styleId="FooterChar">
    <w:name w:val="Footer Char"/>
    <w:basedOn w:val="DefaultParagraphFont"/>
    <w:link w:val="Footer"/>
    <w:rsid w:val="003C6F61"/>
    <w:rPr>
      <w:rFonts w:eastAsia="Times New Roman" w:cs="Times New Roman"/>
      <w:kern w:val="0"/>
      <w:szCs w:val="24"/>
      <w:lang w:val="lv-LV" w:eastAsia="ru-RU"/>
      <w14:ligatures w14:val="none"/>
    </w:rPr>
  </w:style>
  <w:style w:type="character" w:styleId="PageNumber">
    <w:name w:val="page number"/>
    <w:basedOn w:val="DefaultParagraphFont"/>
    <w:rsid w:val="003C6F61"/>
  </w:style>
  <w:style w:type="character" w:styleId="Hyperlink">
    <w:name w:val="Hyperlink"/>
    <w:basedOn w:val="DefaultParagraphFont"/>
    <w:uiPriority w:val="99"/>
    <w:unhideWhenUsed/>
    <w:rsid w:val="003C6F61"/>
    <w:rPr>
      <w:color w:val="0563C1" w:themeColor="hyperlink"/>
      <w:u w:val="single"/>
    </w:rPr>
  </w:style>
  <w:style w:type="paragraph" w:styleId="FootnoteText">
    <w:name w:val="footnote text"/>
    <w:basedOn w:val="Normal"/>
    <w:link w:val="FootnoteTextChar"/>
    <w:uiPriority w:val="99"/>
    <w:semiHidden/>
    <w:unhideWhenUsed/>
    <w:rsid w:val="00121D30"/>
    <w:pPr>
      <w:widowControl w:val="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121D30"/>
    <w:rPr>
      <w:rFonts w:ascii="Calibri" w:eastAsia="Calibri" w:hAnsi="Calibri" w:cs="Times New Roman"/>
      <w:kern w:val="0"/>
      <w:sz w:val="20"/>
      <w:szCs w:val="20"/>
      <w:lang w:val="lv-LV"/>
      <w14:ligatures w14:val="none"/>
    </w:rPr>
  </w:style>
  <w:style w:type="character" w:styleId="FootnoteReference">
    <w:name w:val="footnote reference"/>
    <w:basedOn w:val="DefaultParagraphFont"/>
    <w:uiPriority w:val="99"/>
    <w:semiHidden/>
    <w:unhideWhenUsed/>
    <w:rsid w:val="00121D30"/>
    <w:rPr>
      <w:vertAlign w:val="superscript"/>
    </w:rPr>
  </w:style>
  <w:style w:type="character" w:styleId="CommentReference">
    <w:name w:val="annotation reference"/>
    <w:basedOn w:val="DefaultParagraphFont"/>
    <w:uiPriority w:val="99"/>
    <w:semiHidden/>
    <w:unhideWhenUsed/>
    <w:rsid w:val="00467A51"/>
    <w:rPr>
      <w:sz w:val="16"/>
      <w:szCs w:val="16"/>
    </w:rPr>
  </w:style>
  <w:style w:type="paragraph" w:styleId="CommentText">
    <w:name w:val="annotation text"/>
    <w:basedOn w:val="Normal"/>
    <w:link w:val="CommentTextChar"/>
    <w:uiPriority w:val="99"/>
    <w:unhideWhenUsed/>
    <w:rsid w:val="00467A51"/>
    <w:rPr>
      <w:sz w:val="20"/>
      <w:szCs w:val="20"/>
    </w:rPr>
  </w:style>
  <w:style w:type="character" w:customStyle="1" w:styleId="CommentTextChar">
    <w:name w:val="Comment Text Char"/>
    <w:basedOn w:val="DefaultParagraphFont"/>
    <w:link w:val="CommentText"/>
    <w:uiPriority w:val="99"/>
    <w:rsid w:val="00467A5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67A51"/>
    <w:rPr>
      <w:b/>
      <w:bCs/>
    </w:rPr>
  </w:style>
  <w:style w:type="character" w:customStyle="1" w:styleId="CommentSubjectChar">
    <w:name w:val="Comment Subject Char"/>
    <w:basedOn w:val="CommentTextChar"/>
    <w:link w:val="CommentSubject"/>
    <w:uiPriority w:val="99"/>
    <w:semiHidden/>
    <w:rsid w:val="00467A51"/>
    <w:rPr>
      <w:rFonts w:eastAsia="Times New Roman" w:cs="Times New Roman"/>
      <w:b/>
      <w:bCs/>
      <w:kern w:val="0"/>
      <w:sz w:val="20"/>
      <w:szCs w:val="20"/>
      <w:lang w:val="lv-LV" w:eastAsia="ru-RU"/>
      <w14:ligatures w14:val="none"/>
    </w:rPr>
  </w:style>
  <w:style w:type="paragraph" w:styleId="Revision">
    <w:name w:val="Revision"/>
    <w:hidden/>
    <w:uiPriority w:val="99"/>
    <w:semiHidden/>
    <w:rsid w:val="001027DB"/>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065CFB"/>
    <w:rPr>
      <w:color w:val="605E5C"/>
      <w:shd w:val="clear" w:color="auto" w:fill="E1DFDD"/>
    </w:rPr>
  </w:style>
  <w:style w:type="paragraph" w:styleId="PlainText">
    <w:name w:val="Plain Text"/>
    <w:basedOn w:val="Normal"/>
    <w:link w:val="PlainTextChar"/>
    <w:uiPriority w:val="99"/>
    <w:semiHidden/>
    <w:unhideWhenUsed/>
    <w:rsid w:val="00A047D1"/>
    <w:rPr>
      <w:rFonts w:ascii="Calibri" w:eastAsiaTheme="minorHAnsi" w:hAnsi="Calibri" w:cs="Calibri"/>
      <w:sz w:val="22"/>
      <w:szCs w:val="22"/>
      <w:lang w:eastAsia="en-US"/>
      <w14:ligatures w14:val="standardContextual"/>
    </w:rPr>
  </w:style>
  <w:style w:type="character" w:customStyle="1" w:styleId="PlainTextChar">
    <w:name w:val="Plain Text Char"/>
    <w:basedOn w:val="DefaultParagraphFont"/>
    <w:link w:val="PlainText"/>
    <w:uiPriority w:val="99"/>
    <w:semiHidden/>
    <w:rsid w:val="00A047D1"/>
    <w:rPr>
      <w:rFonts w:ascii="Calibri" w:hAnsi="Calibri" w:cs="Calibri"/>
      <w:kern w:val="0"/>
      <w:sz w:val="22"/>
      <w:lang w:val="lv-LV"/>
    </w:rPr>
  </w:style>
  <w:style w:type="paragraph" w:customStyle="1" w:styleId="Default">
    <w:name w:val="Default"/>
    <w:rsid w:val="00A047D1"/>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093">
      <w:bodyDiv w:val="1"/>
      <w:marLeft w:val="0"/>
      <w:marRight w:val="0"/>
      <w:marTop w:val="0"/>
      <w:marBottom w:val="0"/>
      <w:divBdr>
        <w:top w:val="none" w:sz="0" w:space="0" w:color="auto"/>
        <w:left w:val="none" w:sz="0" w:space="0" w:color="auto"/>
        <w:bottom w:val="none" w:sz="0" w:space="0" w:color="auto"/>
        <w:right w:val="none" w:sz="0" w:space="0" w:color="auto"/>
      </w:divBdr>
    </w:div>
    <w:div w:id="189343670">
      <w:bodyDiv w:val="1"/>
      <w:marLeft w:val="0"/>
      <w:marRight w:val="0"/>
      <w:marTop w:val="0"/>
      <w:marBottom w:val="0"/>
      <w:divBdr>
        <w:top w:val="none" w:sz="0" w:space="0" w:color="auto"/>
        <w:left w:val="none" w:sz="0" w:space="0" w:color="auto"/>
        <w:bottom w:val="none" w:sz="0" w:space="0" w:color="auto"/>
        <w:right w:val="none" w:sz="0" w:space="0" w:color="auto"/>
      </w:divBdr>
    </w:div>
    <w:div w:id="292489162">
      <w:bodyDiv w:val="1"/>
      <w:marLeft w:val="0"/>
      <w:marRight w:val="0"/>
      <w:marTop w:val="0"/>
      <w:marBottom w:val="0"/>
      <w:divBdr>
        <w:top w:val="none" w:sz="0" w:space="0" w:color="auto"/>
        <w:left w:val="none" w:sz="0" w:space="0" w:color="auto"/>
        <w:bottom w:val="none" w:sz="0" w:space="0" w:color="auto"/>
        <w:right w:val="none" w:sz="0" w:space="0" w:color="auto"/>
      </w:divBdr>
    </w:div>
    <w:div w:id="1143502739">
      <w:bodyDiv w:val="1"/>
      <w:marLeft w:val="0"/>
      <w:marRight w:val="0"/>
      <w:marTop w:val="0"/>
      <w:marBottom w:val="0"/>
      <w:divBdr>
        <w:top w:val="none" w:sz="0" w:space="0" w:color="auto"/>
        <w:left w:val="none" w:sz="0" w:space="0" w:color="auto"/>
        <w:bottom w:val="none" w:sz="0" w:space="0" w:color="auto"/>
        <w:right w:val="none" w:sz="0" w:space="0" w:color="auto"/>
      </w:divBdr>
      <w:divsChild>
        <w:div w:id="863252950">
          <w:marLeft w:val="0"/>
          <w:marRight w:val="0"/>
          <w:marTop w:val="0"/>
          <w:marBottom w:val="0"/>
          <w:divBdr>
            <w:top w:val="none" w:sz="0" w:space="0" w:color="auto"/>
            <w:left w:val="none" w:sz="0" w:space="0" w:color="auto"/>
            <w:bottom w:val="none" w:sz="0" w:space="0" w:color="auto"/>
            <w:right w:val="none" w:sz="0" w:space="0" w:color="auto"/>
          </w:divBdr>
        </w:div>
      </w:divsChild>
    </w:div>
    <w:div w:id="1145899617">
      <w:bodyDiv w:val="1"/>
      <w:marLeft w:val="0"/>
      <w:marRight w:val="0"/>
      <w:marTop w:val="0"/>
      <w:marBottom w:val="0"/>
      <w:divBdr>
        <w:top w:val="none" w:sz="0" w:space="0" w:color="auto"/>
        <w:left w:val="none" w:sz="0" w:space="0" w:color="auto"/>
        <w:bottom w:val="none" w:sz="0" w:space="0" w:color="auto"/>
        <w:right w:val="none" w:sz="0" w:space="0" w:color="auto"/>
      </w:divBdr>
      <w:divsChild>
        <w:div w:id="1458910570">
          <w:marLeft w:val="0"/>
          <w:marRight w:val="0"/>
          <w:marTop w:val="0"/>
          <w:marBottom w:val="0"/>
          <w:divBdr>
            <w:top w:val="none" w:sz="0" w:space="0" w:color="auto"/>
            <w:left w:val="none" w:sz="0" w:space="0" w:color="auto"/>
            <w:bottom w:val="none" w:sz="0" w:space="0" w:color="auto"/>
            <w:right w:val="none" w:sz="0" w:space="0" w:color="auto"/>
          </w:divBdr>
        </w:div>
      </w:divsChild>
    </w:div>
    <w:div w:id="1447507043">
      <w:bodyDiv w:val="1"/>
      <w:marLeft w:val="0"/>
      <w:marRight w:val="0"/>
      <w:marTop w:val="0"/>
      <w:marBottom w:val="0"/>
      <w:divBdr>
        <w:top w:val="none" w:sz="0" w:space="0" w:color="auto"/>
        <w:left w:val="none" w:sz="0" w:space="0" w:color="auto"/>
        <w:bottom w:val="none" w:sz="0" w:space="0" w:color="auto"/>
        <w:right w:val="none" w:sz="0" w:space="0" w:color="auto"/>
      </w:divBdr>
    </w:div>
    <w:div w:id="186594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jsessionid=2B6E54A2839EA8E18A660EDA2A446F52?text=&amp;docid=270102&amp;pageIndex=0&amp;doclang=LV&amp;mode=lst&amp;dir=&amp;occ=first&amp;part=1&amp;cid=24181796" TargetMode="External"/><Relationship Id="rId3" Type="http://schemas.openxmlformats.org/officeDocument/2006/relationships/settings" Target="settings.xml"/><Relationship Id="rId7" Type="http://schemas.openxmlformats.org/officeDocument/2006/relationships/hyperlink" Target="https://manas.tiesas.lv/eTiesasMvc/nolemumi/pdf/55002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uria.europa.eu/juris/document/document.jsf?text=&amp;docid=163719&amp;pageIndex=0&amp;doclang=LV&amp;mode=lst&amp;dir=&amp;occ=first&amp;part=1&amp;cid=24182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ACFC-5291-4890-9934-84AC3BD5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11996</Words>
  <Characters>6839</Characters>
  <Application>Microsoft Office Word</Application>
  <DocSecurity>0</DocSecurity>
  <Lines>56</Lines>
  <Paragraphs>37</Paragraphs>
  <ScaleCrop>false</ScaleCrop>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2025-03-28T12:30:00Z</dcterms:created>
  <dcterms:modified xsi:type="dcterms:W3CDTF">2025-03-28T12:30:00Z</dcterms:modified>
</cp:coreProperties>
</file>