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0095" w14:textId="77777777" w:rsidR="00157EE8" w:rsidRPr="004650D2" w:rsidRDefault="00157EE8" w:rsidP="001B6F07">
      <w:pPr>
        <w:spacing w:line="276" w:lineRule="auto"/>
        <w:jc w:val="both"/>
        <w:rPr>
          <w:b/>
          <w:bCs/>
        </w:rPr>
      </w:pPr>
      <w:r w:rsidRPr="004650D2">
        <w:rPr>
          <w:b/>
          <w:bCs/>
        </w:rPr>
        <w:t>Vēstījuma vērtējums, nosakot, vai ziņa satur aicinājumu uz nacionālā, etniskā, rasu vai reliģiskā naida vai nesaticības izraisīšanu</w:t>
      </w:r>
    </w:p>
    <w:p w14:paraId="6BC02C18" w14:textId="2E805BB8" w:rsidR="00157EE8" w:rsidRDefault="00157EE8" w:rsidP="001B6F07">
      <w:pPr>
        <w:spacing w:line="276" w:lineRule="auto"/>
        <w:jc w:val="both"/>
      </w:pPr>
      <w:r w:rsidRPr="004650D2">
        <w:t>Katrs gadījums, kas ārēji varētu tikt uzskatīts par darbību, kas vērsta uz naida vai nesaticības izraisīšanu, ir individuāli vērtējams, ievērojot lietā konstatētos apstākļus. Atsevišķi vēstījumā lietoti vārdi skatāmi kopsakarā ar pārējo vēstījumu, to izolēta analīze nevar būt par pamatu, lai atklātu paustās ziņas patieso jēgu. Izvērtējot šādus gadījumus, notikumu analīze veicama</w:t>
      </w:r>
      <w:r w:rsidR="007206A8">
        <w:t>,</w:t>
      </w:r>
      <w:r w:rsidRPr="004650D2">
        <w:t xml:space="preserve"> ievērojot</w:t>
      </w:r>
      <w:r w:rsidRPr="00900FBF">
        <w:rPr>
          <w:color w:val="FF0000"/>
        </w:rPr>
        <w:t xml:space="preserve"> </w:t>
      </w:r>
      <w:r w:rsidRPr="0073212F">
        <w:t xml:space="preserve">arī </w:t>
      </w:r>
      <w:r w:rsidRPr="004650D2">
        <w:t xml:space="preserve">notikuma laikā pastāvošo sociālo kontekstu. </w:t>
      </w:r>
    </w:p>
    <w:p w14:paraId="38EA0DB6" w14:textId="77777777" w:rsidR="00157EE8" w:rsidRPr="004650D2" w:rsidRDefault="00157EE8" w:rsidP="001B6F07">
      <w:pPr>
        <w:spacing w:line="276" w:lineRule="auto"/>
        <w:jc w:val="both"/>
      </w:pPr>
    </w:p>
    <w:p w14:paraId="5AD58A5C" w14:textId="77777777" w:rsidR="00157EE8" w:rsidRPr="004650D2" w:rsidRDefault="00157EE8" w:rsidP="001B6F07">
      <w:pPr>
        <w:spacing w:line="276" w:lineRule="auto"/>
        <w:jc w:val="both"/>
        <w:rPr>
          <w:b/>
          <w:bCs/>
        </w:rPr>
      </w:pPr>
      <w:proofErr w:type="spellStart"/>
      <w:r w:rsidRPr="004650D2">
        <w:rPr>
          <w:b/>
          <w:bCs/>
        </w:rPr>
        <w:t>Tiesībsarga</w:t>
      </w:r>
      <w:proofErr w:type="spellEnd"/>
      <w:r w:rsidRPr="004650D2">
        <w:rPr>
          <w:b/>
          <w:bCs/>
        </w:rPr>
        <w:t xml:space="preserve"> atzinumā paustā viedokļa izmantošana tiesas nolēmuma pamatošanā</w:t>
      </w:r>
    </w:p>
    <w:p w14:paraId="37FEB45A" w14:textId="061CC93A" w:rsidR="00157EE8" w:rsidRDefault="00157EE8" w:rsidP="001B6F07">
      <w:pPr>
        <w:spacing w:line="276" w:lineRule="auto"/>
        <w:jc w:val="both"/>
      </w:pPr>
      <w:r w:rsidRPr="004650D2">
        <w:t xml:space="preserve">Atzinums, kurā </w:t>
      </w:r>
      <w:proofErr w:type="spellStart"/>
      <w:r w:rsidRPr="004650D2">
        <w:t>tiesībsargs</w:t>
      </w:r>
      <w:proofErr w:type="spellEnd"/>
      <w:r w:rsidRPr="004650D2">
        <w:t xml:space="preserve"> sniedzis tiesību normu interpretāciju, novērtējot faktiskos apstākļus, ir </w:t>
      </w:r>
      <w:proofErr w:type="spellStart"/>
      <w:r w:rsidRPr="004650D2">
        <w:t>tiesībsarga</w:t>
      </w:r>
      <w:proofErr w:type="spellEnd"/>
      <w:r w:rsidRPr="004650D2">
        <w:t xml:space="preserve"> viedoklis, kas nav atzīstams par pierādījumu kriminālprocesā. </w:t>
      </w:r>
      <w:proofErr w:type="spellStart"/>
      <w:r w:rsidRPr="004650D2">
        <w:t>Tiesībsarga</w:t>
      </w:r>
      <w:proofErr w:type="spellEnd"/>
      <w:r w:rsidRPr="004650D2">
        <w:t xml:space="preserve"> atzinumā pausto viedokli tiesa var izmantot nolēmuma pamatošanā, ja ar to netiek aizstāts tiesas pašas veikts pierādījumu </w:t>
      </w:r>
      <w:proofErr w:type="spellStart"/>
      <w:r w:rsidRPr="004650D2">
        <w:t>izvērtējums</w:t>
      </w:r>
      <w:proofErr w:type="spellEnd"/>
      <w:r w:rsidRPr="004650D2">
        <w:t xml:space="preserve"> un tiesību normu interpretācija. Pierādīšanas priekšmetā ietilpstošo apstākļu noskaidrošanai nav pietiekami atsaukties uz </w:t>
      </w:r>
      <w:proofErr w:type="spellStart"/>
      <w:r w:rsidRPr="004650D2">
        <w:t>tiesībsarga</w:t>
      </w:r>
      <w:proofErr w:type="spellEnd"/>
      <w:r w:rsidRPr="004650D2">
        <w:t xml:space="preserve"> atzinumā izdarītu secinājumu par cilvēktiesību pārkāpumu, bet tiesai pašai jākonstatē lietas izšķiršanai būtiskie apstākļi un tie patstāvīgi jānovērtē.</w:t>
      </w:r>
    </w:p>
    <w:p w14:paraId="20AFE933" w14:textId="77777777" w:rsidR="00157EE8" w:rsidRPr="00157EE8" w:rsidRDefault="00157EE8" w:rsidP="00157EE8"/>
    <w:p w14:paraId="4CC5A9C2" w14:textId="14DD6298" w:rsidR="007A0C10" w:rsidRPr="00157EE8" w:rsidRDefault="007A0C10" w:rsidP="00157EE8">
      <w:pPr>
        <w:spacing w:line="276" w:lineRule="auto"/>
        <w:ind w:right="-1"/>
        <w:jc w:val="center"/>
        <w:rPr>
          <w:rFonts w:asciiTheme="majorBidi" w:hAnsiTheme="majorBidi" w:cstheme="majorBidi"/>
          <w:b/>
        </w:rPr>
      </w:pPr>
      <w:r w:rsidRPr="00157EE8">
        <w:rPr>
          <w:rFonts w:asciiTheme="majorBidi" w:hAnsiTheme="majorBidi" w:cstheme="majorBidi"/>
          <w:b/>
        </w:rPr>
        <w:t>Latvijas Republikas Senāt</w:t>
      </w:r>
      <w:r w:rsidR="00157EE8" w:rsidRPr="00157EE8">
        <w:rPr>
          <w:rFonts w:asciiTheme="majorBidi" w:hAnsiTheme="majorBidi" w:cstheme="majorBidi"/>
          <w:b/>
        </w:rPr>
        <w:t>a</w:t>
      </w:r>
    </w:p>
    <w:p w14:paraId="1A32C526" w14:textId="374AF4B6" w:rsidR="00157EE8" w:rsidRPr="00157EE8" w:rsidRDefault="00157EE8" w:rsidP="00157EE8">
      <w:pPr>
        <w:spacing w:line="276" w:lineRule="auto"/>
        <w:ind w:right="-1"/>
        <w:jc w:val="center"/>
        <w:rPr>
          <w:rFonts w:asciiTheme="majorBidi" w:hAnsiTheme="majorBidi" w:cstheme="majorBidi"/>
          <w:b/>
        </w:rPr>
      </w:pPr>
      <w:r w:rsidRPr="00157EE8">
        <w:rPr>
          <w:rFonts w:asciiTheme="majorBidi" w:hAnsiTheme="majorBidi" w:cstheme="majorBidi"/>
          <w:b/>
        </w:rPr>
        <w:t>Krimināllietu departamenta</w:t>
      </w:r>
    </w:p>
    <w:p w14:paraId="39C782AD" w14:textId="31B869D7" w:rsidR="00157EE8" w:rsidRPr="00157EE8" w:rsidRDefault="00157EE8" w:rsidP="00157EE8">
      <w:pPr>
        <w:spacing w:line="276" w:lineRule="auto"/>
        <w:ind w:right="-1"/>
        <w:jc w:val="center"/>
        <w:rPr>
          <w:rFonts w:asciiTheme="majorBidi" w:hAnsiTheme="majorBidi" w:cstheme="majorBidi"/>
          <w:b/>
        </w:rPr>
      </w:pPr>
      <w:r w:rsidRPr="00157EE8">
        <w:rPr>
          <w:rFonts w:asciiTheme="majorBidi" w:hAnsiTheme="majorBidi" w:cstheme="majorBidi"/>
          <w:b/>
        </w:rPr>
        <w:t>2025. gada 21. marta</w:t>
      </w:r>
    </w:p>
    <w:p w14:paraId="560E4C38" w14:textId="77777777" w:rsidR="007A0C10" w:rsidRPr="00157EE8" w:rsidRDefault="007A0C10" w:rsidP="00157EE8">
      <w:pPr>
        <w:spacing w:line="276" w:lineRule="auto"/>
        <w:ind w:right="-1"/>
        <w:jc w:val="center"/>
        <w:rPr>
          <w:rFonts w:asciiTheme="majorBidi" w:hAnsiTheme="majorBidi" w:cstheme="majorBidi"/>
          <w:b/>
        </w:rPr>
      </w:pPr>
      <w:r w:rsidRPr="00157EE8">
        <w:rPr>
          <w:rFonts w:asciiTheme="majorBidi" w:hAnsiTheme="majorBidi" w:cstheme="majorBidi"/>
          <w:b/>
        </w:rPr>
        <w:t>LĒMUMS</w:t>
      </w:r>
    </w:p>
    <w:p w14:paraId="56402AF5" w14:textId="77777777" w:rsidR="00157EE8" w:rsidRDefault="00157EE8" w:rsidP="00157EE8">
      <w:pPr>
        <w:spacing w:line="276" w:lineRule="auto"/>
        <w:ind w:right="-1"/>
        <w:jc w:val="center"/>
        <w:rPr>
          <w:rFonts w:asciiTheme="majorBidi" w:hAnsiTheme="majorBidi" w:cstheme="majorBidi"/>
          <w:b/>
        </w:rPr>
      </w:pPr>
      <w:r w:rsidRPr="00157EE8">
        <w:rPr>
          <w:rFonts w:asciiTheme="majorBidi" w:hAnsiTheme="majorBidi" w:cstheme="majorBidi"/>
          <w:b/>
        </w:rPr>
        <w:t>Lieta Nr. </w:t>
      </w:r>
      <w:r w:rsidRPr="00157EE8">
        <w:rPr>
          <w:rFonts w:asciiTheme="majorBidi" w:hAnsiTheme="majorBidi" w:cstheme="majorBidi"/>
          <w:b/>
          <w:lang w:eastAsia="lv-LV"/>
        </w:rPr>
        <w:t xml:space="preserve">11817001020, </w:t>
      </w:r>
      <w:r w:rsidRPr="00157EE8">
        <w:rPr>
          <w:rFonts w:asciiTheme="majorBidi" w:hAnsiTheme="majorBidi" w:cstheme="majorBidi"/>
          <w:b/>
        </w:rPr>
        <w:t>SKK-9/2025</w:t>
      </w:r>
    </w:p>
    <w:p w14:paraId="4F44A445" w14:textId="62733E5D" w:rsidR="00157EE8" w:rsidRPr="00157EE8" w:rsidRDefault="009E737F" w:rsidP="00157EE8">
      <w:pPr>
        <w:spacing w:line="276" w:lineRule="auto"/>
        <w:ind w:right="-1"/>
        <w:jc w:val="center"/>
        <w:rPr>
          <w:rFonts w:asciiTheme="majorBidi" w:hAnsiTheme="majorBidi" w:cstheme="majorBidi"/>
          <w:bCs/>
          <w:lang w:eastAsia="lv-LV"/>
        </w:rPr>
      </w:pPr>
      <w:hyperlink r:id="rId8" w:history="1">
        <w:r w:rsidR="00157EE8" w:rsidRPr="009E737F">
          <w:rPr>
            <w:rStyle w:val="Hyperlink"/>
            <w:rFonts w:asciiTheme="majorBidi" w:hAnsiTheme="majorBidi" w:cstheme="majorBidi"/>
            <w:bCs/>
            <w:lang w:eastAsia="lv-LV"/>
          </w:rPr>
          <w:t>ECLI:LV:AT:2025:0321.11817001020.6.L</w:t>
        </w:r>
      </w:hyperlink>
    </w:p>
    <w:p w14:paraId="6A12905E" w14:textId="77777777" w:rsidR="00BA647A" w:rsidRPr="00B05950" w:rsidRDefault="00BA647A" w:rsidP="000C7687">
      <w:pPr>
        <w:spacing w:line="276" w:lineRule="auto"/>
        <w:ind w:firstLine="720"/>
        <w:jc w:val="both"/>
        <w:rPr>
          <w:rFonts w:asciiTheme="majorBidi" w:hAnsiTheme="majorBidi" w:cstheme="majorBidi"/>
        </w:rPr>
      </w:pPr>
    </w:p>
    <w:p w14:paraId="2579CC79" w14:textId="64B53137" w:rsidR="007A0C10" w:rsidRPr="00B05950" w:rsidRDefault="007A0C10" w:rsidP="000C7687">
      <w:pPr>
        <w:spacing w:line="276" w:lineRule="auto"/>
        <w:ind w:firstLine="720"/>
        <w:jc w:val="both"/>
        <w:rPr>
          <w:rFonts w:asciiTheme="majorBidi" w:hAnsiTheme="majorBidi" w:cstheme="majorBidi"/>
        </w:rPr>
      </w:pPr>
      <w:r w:rsidRPr="00B05950">
        <w:rPr>
          <w:rFonts w:asciiTheme="majorBidi" w:hAnsiTheme="majorBidi" w:cstheme="majorBidi"/>
        </w:rPr>
        <w:t xml:space="preserve">Senāts šādā sastāvā: senatore referente Sandra Kaija, senatori </w:t>
      </w:r>
      <w:r w:rsidR="00941953" w:rsidRPr="00B05950">
        <w:rPr>
          <w:rFonts w:asciiTheme="majorBidi" w:hAnsiTheme="majorBidi" w:cstheme="majorBidi"/>
        </w:rPr>
        <w:t>Ivars Bičkovičs</w:t>
      </w:r>
      <w:r w:rsidR="009121E4" w:rsidRPr="00B05950">
        <w:rPr>
          <w:rFonts w:asciiTheme="majorBidi" w:hAnsiTheme="majorBidi" w:cstheme="majorBidi"/>
        </w:rPr>
        <w:t xml:space="preserve"> un</w:t>
      </w:r>
      <w:r w:rsidRPr="00B05950">
        <w:rPr>
          <w:rFonts w:asciiTheme="majorBidi" w:hAnsiTheme="majorBidi" w:cstheme="majorBidi"/>
        </w:rPr>
        <w:t xml:space="preserve"> Aivars Uminskis</w:t>
      </w:r>
    </w:p>
    <w:p w14:paraId="4CA5F3AE" w14:textId="77777777" w:rsidR="007A0C10" w:rsidRPr="00B05950" w:rsidRDefault="007A0C10" w:rsidP="000C7687">
      <w:pPr>
        <w:spacing w:line="276" w:lineRule="auto"/>
        <w:ind w:firstLine="720"/>
        <w:jc w:val="both"/>
        <w:rPr>
          <w:rFonts w:asciiTheme="majorBidi" w:hAnsiTheme="majorBidi" w:cstheme="majorBidi"/>
        </w:rPr>
      </w:pPr>
    </w:p>
    <w:p w14:paraId="47468DAC" w14:textId="3162748A" w:rsidR="007A0C10" w:rsidRPr="00B05950" w:rsidRDefault="007A0C10" w:rsidP="000C7687">
      <w:pPr>
        <w:spacing w:line="276" w:lineRule="auto"/>
        <w:ind w:firstLine="720"/>
        <w:jc w:val="both"/>
        <w:rPr>
          <w:rFonts w:asciiTheme="majorBidi" w:hAnsiTheme="majorBidi" w:cstheme="majorBidi"/>
        </w:rPr>
      </w:pPr>
      <w:r w:rsidRPr="00B05950">
        <w:rPr>
          <w:rFonts w:asciiTheme="majorBidi" w:hAnsiTheme="majorBidi" w:cstheme="majorBidi"/>
        </w:rPr>
        <w:t xml:space="preserve">rakstveida procesā izskatīja krimināllietu sakarā </w:t>
      </w:r>
      <w:r w:rsidR="00B629B2" w:rsidRPr="00B05950">
        <w:rPr>
          <w:rFonts w:asciiTheme="majorBidi" w:hAnsiTheme="majorBidi" w:cstheme="majorBidi"/>
        </w:rPr>
        <w:t xml:space="preserve">ar </w:t>
      </w:r>
      <w:r w:rsidR="001940BD" w:rsidRPr="00B05950">
        <w:rPr>
          <w:rFonts w:asciiTheme="majorBidi" w:hAnsiTheme="majorBidi" w:cstheme="majorBidi"/>
        </w:rPr>
        <w:t xml:space="preserve">Rīgas tiesas apgabala </w:t>
      </w:r>
      <w:r w:rsidR="00B629B2" w:rsidRPr="00B05950">
        <w:rPr>
          <w:rFonts w:asciiTheme="majorBidi" w:hAnsiTheme="majorBidi" w:cstheme="majorBidi"/>
        </w:rPr>
        <w:t xml:space="preserve">prokuratūras prokurores </w:t>
      </w:r>
      <w:r w:rsidR="001940BD" w:rsidRPr="00B05950">
        <w:rPr>
          <w:rFonts w:asciiTheme="majorBidi" w:hAnsiTheme="majorBidi" w:cstheme="majorBidi"/>
        </w:rPr>
        <w:t>Daces Lapinsk</w:t>
      </w:r>
      <w:r w:rsidR="00661160" w:rsidRPr="00B05950">
        <w:rPr>
          <w:rFonts w:asciiTheme="majorBidi" w:hAnsiTheme="majorBidi" w:cstheme="majorBidi"/>
        </w:rPr>
        <w:t>a</w:t>
      </w:r>
      <w:r w:rsidR="001940BD" w:rsidRPr="00B05950">
        <w:rPr>
          <w:rFonts w:asciiTheme="majorBidi" w:hAnsiTheme="majorBidi" w:cstheme="majorBidi"/>
        </w:rPr>
        <w:t>s</w:t>
      </w:r>
      <w:r w:rsidR="00B629B2" w:rsidRPr="00B05950">
        <w:rPr>
          <w:rFonts w:asciiTheme="majorBidi" w:hAnsiTheme="majorBidi" w:cstheme="majorBidi"/>
        </w:rPr>
        <w:t xml:space="preserve"> kasācijas protestu </w:t>
      </w:r>
      <w:bookmarkStart w:id="0" w:name="_Hlk108533050"/>
      <w:bookmarkStart w:id="1" w:name="_Hlk45528273"/>
      <w:r w:rsidRPr="00B05950">
        <w:rPr>
          <w:rFonts w:asciiTheme="majorBidi" w:hAnsiTheme="majorBidi" w:cstheme="majorBidi"/>
        </w:rPr>
        <w:t xml:space="preserve">par </w:t>
      </w:r>
      <w:r w:rsidR="00B629B2" w:rsidRPr="00B05950">
        <w:rPr>
          <w:rFonts w:asciiTheme="majorBidi" w:hAnsiTheme="majorBidi" w:cstheme="majorBidi"/>
        </w:rPr>
        <w:t>Rīgas</w:t>
      </w:r>
      <w:r w:rsidRPr="00B05950">
        <w:rPr>
          <w:rFonts w:asciiTheme="majorBidi" w:hAnsiTheme="majorBidi" w:cstheme="majorBidi"/>
        </w:rPr>
        <w:t xml:space="preserve"> apgabaltiesas 202</w:t>
      </w:r>
      <w:r w:rsidR="00B629B2" w:rsidRPr="00B05950">
        <w:rPr>
          <w:rFonts w:asciiTheme="majorBidi" w:hAnsiTheme="majorBidi" w:cstheme="majorBidi"/>
        </w:rPr>
        <w:t>3</w:t>
      </w:r>
      <w:r w:rsidRPr="00B05950">
        <w:rPr>
          <w:rFonts w:asciiTheme="majorBidi" w:hAnsiTheme="majorBidi" w:cstheme="majorBidi"/>
        </w:rPr>
        <w:t xml:space="preserve">. gada </w:t>
      </w:r>
      <w:r w:rsidR="001940BD" w:rsidRPr="00B05950">
        <w:rPr>
          <w:rFonts w:asciiTheme="majorBidi" w:hAnsiTheme="majorBidi" w:cstheme="majorBidi"/>
        </w:rPr>
        <w:t>17</w:t>
      </w:r>
      <w:r w:rsidR="00B629B2" w:rsidRPr="00B05950">
        <w:rPr>
          <w:rFonts w:asciiTheme="majorBidi" w:hAnsiTheme="majorBidi" w:cstheme="majorBidi"/>
        </w:rPr>
        <w:t>. oktobra</w:t>
      </w:r>
      <w:r w:rsidRPr="00B05950">
        <w:rPr>
          <w:rFonts w:asciiTheme="majorBidi" w:hAnsiTheme="majorBidi" w:cstheme="majorBidi"/>
        </w:rPr>
        <w:t xml:space="preserve"> spriedumu.</w:t>
      </w:r>
    </w:p>
    <w:bookmarkEnd w:id="0"/>
    <w:bookmarkEnd w:id="1"/>
    <w:p w14:paraId="406F78BF" w14:textId="77777777" w:rsidR="007A0C10" w:rsidRPr="00B05950" w:rsidRDefault="007A0C10" w:rsidP="000C7687">
      <w:pPr>
        <w:spacing w:line="276" w:lineRule="auto"/>
        <w:ind w:firstLine="720"/>
        <w:jc w:val="both"/>
        <w:rPr>
          <w:rFonts w:asciiTheme="majorBidi" w:hAnsiTheme="majorBidi" w:cstheme="majorBidi"/>
        </w:rPr>
      </w:pPr>
    </w:p>
    <w:p w14:paraId="0F7810DB" w14:textId="77777777" w:rsidR="007A0C10" w:rsidRPr="00B05950" w:rsidRDefault="007A0C10" w:rsidP="000C7687">
      <w:pPr>
        <w:spacing w:line="276" w:lineRule="auto"/>
        <w:jc w:val="center"/>
        <w:rPr>
          <w:rFonts w:asciiTheme="majorBidi" w:hAnsiTheme="majorBidi" w:cstheme="majorBidi"/>
          <w:b/>
        </w:rPr>
      </w:pPr>
      <w:r w:rsidRPr="00B05950">
        <w:rPr>
          <w:rFonts w:asciiTheme="majorBidi" w:hAnsiTheme="majorBidi" w:cstheme="majorBidi"/>
          <w:b/>
        </w:rPr>
        <w:t>Aprakstošā daļa</w:t>
      </w:r>
    </w:p>
    <w:p w14:paraId="0C2B5064" w14:textId="77777777" w:rsidR="007A0C10" w:rsidRPr="00B05950" w:rsidRDefault="007A0C10" w:rsidP="000C7687">
      <w:pPr>
        <w:spacing w:line="276" w:lineRule="auto"/>
        <w:ind w:firstLine="720"/>
        <w:jc w:val="both"/>
        <w:rPr>
          <w:rFonts w:asciiTheme="majorBidi" w:hAnsiTheme="majorBidi" w:cstheme="majorBidi"/>
        </w:rPr>
      </w:pPr>
    </w:p>
    <w:p w14:paraId="5D4E7828" w14:textId="6BB02B40" w:rsidR="0064082C" w:rsidRPr="00B05950" w:rsidRDefault="0064082C" w:rsidP="001940BD">
      <w:pPr>
        <w:spacing w:line="276" w:lineRule="auto"/>
        <w:ind w:firstLine="720"/>
        <w:jc w:val="both"/>
        <w:rPr>
          <w:rFonts w:asciiTheme="majorBidi" w:hAnsiTheme="majorBidi" w:cstheme="majorBidi"/>
        </w:rPr>
      </w:pPr>
      <w:r w:rsidRPr="00B05950">
        <w:rPr>
          <w:rFonts w:asciiTheme="majorBidi" w:hAnsiTheme="majorBidi" w:cstheme="majorBidi"/>
        </w:rPr>
        <w:t xml:space="preserve">[1] Ar </w:t>
      </w:r>
      <w:r w:rsidR="00B629B2" w:rsidRPr="00B05950">
        <w:rPr>
          <w:rFonts w:asciiTheme="majorBidi" w:hAnsiTheme="majorBidi" w:cstheme="majorBidi"/>
        </w:rPr>
        <w:t xml:space="preserve">Rīgas </w:t>
      </w:r>
      <w:r w:rsidR="001940BD" w:rsidRPr="00B05950">
        <w:rPr>
          <w:rFonts w:asciiTheme="majorBidi" w:hAnsiTheme="majorBidi" w:cstheme="majorBidi"/>
        </w:rPr>
        <w:t>pilsētas Latgales priekšpilsētas</w:t>
      </w:r>
      <w:r w:rsidRPr="00B05950">
        <w:rPr>
          <w:rFonts w:asciiTheme="majorBidi" w:hAnsiTheme="majorBidi" w:cstheme="majorBidi"/>
        </w:rPr>
        <w:t xml:space="preserve"> tiesas 202</w:t>
      </w:r>
      <w:r w:rsidR="00B629B2" w:rsidRPr="00B05950">
        <w:rPr>
          <w:rFonts w:asciiTheme="majorBidi" w:hAnsiTheme="majorBidi" w:cstheme="majorBidi"/>
        </w:rPr>
        <w:t>1</w:t>
      </w:r>
      <w:r w:rsidRPr="00B05950">
        <w:rPr>
          <w:rFonts w:asciiTheme="majorBidi" w:hAnsiTheme="majorBidi" w:cstheme="majorBidi"/>
        </w:rPr>
        <w:t xml:space="preserve">. gada </w:t>
      </w:r>
      <w:r w:rsidR="001940BD" w:rsidRPr="00B05950">
        <w:rPr>
          <w:rFonts w:asciiTheme="majorBidi" w:hAnsiTheme="majorBidi" w:cstheme="majorBidi"/>
        </w:rPr>
        <w:t>26.</w:t>
      </w:r>
      <w:r w:rsidR="00EE089B" w:rsidRPr="00B05950">
        <w:rPr>
          <w:rFonts w:asciiTheme="majorBidi" w:hAnsiTheme="majorBidi" w:cstheme="majorBidi"/>
        </w:rPr>
        <w:t> </w:t>
      </w:r>
      <w:r w:rsidR="001940BD" w:rsidRPr="00B05950">
        <w:rPr>
          <w:rFonts w:asciiTheme="majorBidi" w:hAnsiTheme="majorBidi" w:cstheme="majorBidi"/>
        </w:rPr>
        <w:t>aprīļa</w:t>
      </w:r>
      <w:r w:rsidRPr="00B05950">
        <w:rPr>
          <w:rFonts w:asciiTheme="majorBidi" w:hAnsiTheme="majorBidi" w:cstheme="majorBidi"/>
        </w:rPr>
        <w:t xml:space="preserve"> spriedumu</w:t>
      </w:r>
    </w:p>
    <w:p w14:paraId="26648EDE" w14:textId="13371B1F" w:rsidR="0064082C" w:rsidRPr="00B05950" w:rsidRDefault="00D6599F" w:rsidP="000C7687">
      <w:pPr>
        <w:spacing w:line="276" w:lineRule="auto"/>
        <w:ind w:firstLine="720"/>
        <w:jc w:val="both"/>
        <w:rPr>
          <w:rFonts w:asciiTheme="majorBidi" w:hAnsiTheme="majorBidi" w:cstheme="majorBidi"/>
        </w:rPr>
      </w:pPr>
      <w:r>
        <w:rPr>
          <w:rFonts w:asciiTheme="majorBidi" w:hAnsiTheme="majorBidi" w:cstheme="majorBidi"/>
        </w:rPr>
        <w:t>[pers. A]</w:t>
      </w:r>
      <w:r w:rsidR="0064082C" w:rsidRPr="00B05950">
        <w:rPr>
          <w:rFonts w:asciiTheme="majorBidi" w:hAnsiTheme="majorBidi" w:cstheme="majorBidi"/>
        </w:rPr>
        <w:t xml:space="preserve">, personas kods </w:t>
      </w:r>
      <w:r>
        <w:rPr>
          <w:rFonts w:asciiTheme="majorBidi" w:hAnsiTheme="majorBidi" w:cstheme="majorBidi"/>
        </w:rPr>
        <w:t>[..]</w:t>
      </w:r>
      <w:r w:rsidR="0064082C" w:rsidRPr="00B05950">
        <w:rPr>
          <w:rFonts w:asciiTheme="majorBidi" w:hAnsiTheme="majorBidi" w:cstheme="majorBidi"/>
        </w:rPr>
        <w:t>,</w:t>
      </w:r>
    </w:p>
    <w:p w14:paraId="48C618B2" w14:textId="5094856C" w:rsidR="001940BD" w:rsidRPr="00B05950" w:rsidRDefault="0064082C" w:rsidP="001940BD">
      <w:pPr>
        <w:spacing w:line="276" w:lineRule="auto"/>
        <w:ind w:firstLine="720"/>
        <w:jc w:val="both"/>
        <w:rPr>
          <w:rFonts w:asciiTheme="majorBidi" w:hAnsiTheme="majorBidi" w:cstheme="majorBidi"/>
        </w:rPr>
      </w:pPr>
      <w:r w:rsidRPr="00B05950">
        <w:rPr>
          <w:rFonts w:asciiTheme="majorBidi" w:hAnsiTheme="majorBidi" w:cstheme="majorBidi"/>
        </w:rPr>
        <w:t>atzīt</w:t>
      </w:r>
      <w:r w:rsidR="00B629B2" w:rsidRPr="00B05950">
        <w:rPr>
          <w:rFonts w:asciiTheme="majorBidi" w:hAnsiTheme="majorBidi" w:cstheme="majorBidi"/>
        </w:rPr>
        <w:t>s</w:t>
      </w:r>
      <w:r w:rsidRPr="00B05950">
        <w:rPr>
          <w:rFonts w:asciiTheme="majorBidi" w:hAnsiTheme="majorBidi" w:cstheme="majorBidi"/>
        </w:rPr>
        <w:t xml:space="preserve"> par vainīgu Krimināllikuma </w:t>
      </w:r>
      <w:r w:rsidR="001940BD" w:rsidRPr="00B05950">
        <w:rPr>
          <w:rFonts w:asciiTheme="majorBidi" w:hAnsiTheme="majorBidi" w:cstheme="majorBidi"/>
        </w:rPr>
        <w:t>78. panta otrajā daļā paredzētajā noziedzīgajā nodarījumā un sodīts ar brīvības atņemšanu uz 6 mēnešiem;</w:t>
      </w:r>
    </w:p>
    <w:p w14:paraId="301442B7" w14:textId="2230EBD5" w:rsidR="001940BD" w:rsidRPr="00B05950" w:rsidRDefault="001940BD" w:rsidP="001940BD">
      <w:pPr>
        <w:spacing w:line="276" w:lineRule="auto"/>
        <w:ind w:firstLine="720"/>
        <w:jc w:val="both"/>
        <w:rPr>
          <w:rFonts w:asciiTheme="majorBidi" w:hAnsiTheme="majorBidi" w:cstheme="majorBidi"/>
        </w:rPr>
      </w:pPr>
      <w:r w:rsidRPr="00B05950">
        <w:rPr>
          <w:rFonts w:asciiTheme="majorBidi" w:hAnsiTheme="majorBidi" w:cstheme="majorBidi"/>
        </w:rPr>
        <w:t xml:space="preserve">atzīts par vainīgu Krimināllikuma 231. panta pirmajā daļā paredzētajā noziedzīgajā nodarījumā un sodīts ar īslaicīgu brīvības atņemšanu uz 3 mēnešiem. </w:t>
      </w:r>
    </w:p>
    <w:p w14:paraId="66EBC6F2" w14:textId="70E3EADC" w:rsidR="00980EA5" w:rsidRPr="00B05950" w:rsidRDefault="0064082C" w:rsidP="00CE2823">
      <w:pPr>
        <w:autoSpaceDE w:val="0"/>
        <w:autoSpaceDN w:val="0"/>
        <w:adjustRightInd w:val="0"/>
        <w:spacing w:line="276" w:lineRule="auto"/>
        <w:ind w:firstLine="720"/>
        <w:contextualSpacing/>
        <w:jc w:val="both"/>
        <w:rPr>
          <w:rFonts w:asciiTheme="majorBidi" w:hAnsiTheme="majorBidi" w:cstheme="majorBidi"/>
        </w:rPr>
      </w:pPr>
      <w:r w:rsidRPr="00B05950">
        <w:rPr>
          <w:rFonts w:asciiTheme="majorBidi" w:hAnsiTheme="majorBidi" w:cstheme="majorBidi"/>
        </w:rPr>
        <w:t xml:space="preserve">Saskaņā ar Krimināllikuma 50. panta </w:t>
      </w:r>
      <w:r w:rsidR="001940BD" w:rsidRPr="00B05950">
        <w:rPr>
          <w:rFonts w:asciiTheme="majorBidi" w:hAnsiTheme="majorBidi" w:cstheme="majorBidi"/>
        </w:rPr>
        <w:t>pirmo un trešo</w:t>
      </w:r>
      <w:r w:rsidRPr="00B05950">
        <w:rPr>
          <w:rFonts w:asciiTheme="majorBidi" w:hAnsiTheme="majorBidi" w:cstheme="majorBidi"/>
        </w:rPr>
        <w:t xml:space="preserve"> daļu </w:t>
      </w:r>
      <w:r w:rsidR="00980EA5" w:rsidRPr="00B05950">
        <w:rPr>
          <w:rFonts w:asciiTheme="majorBidi" w:hAnsiTheme="majorBidi" w:cstheme="majorBidi"/>
        </w:rPr>
        <w:t xml:space="preserve">galīgais sods </w:t>
      </w:r>
      <w:r w:rsidR="00D6599F">
        <w:rPr>
          <w:rFonts w:asciiTheme="majorBidi" w:hAnsiTheme="majorBidi" w:cstheme="majorBidi"/>
        </w:rPr>
        <w:t>[pers. A]</w:t>
      </w:r>
      <w:r w:rsidR="00980EA5" w:rsidRPr="00B05950">
        <w:rPr>
          <w:rFonts w:asciiTheme="majorBidi" w:hAnsiTheme="majorBidi" w:cstheme="majorBidi"/>
        </w:rPr>
        <w:t xml:space="preserve"> noteikts brīvības atņemšana </w:t>
      </w:r>
      <w:r w:rsidR="00DC1902" w:rsidRPr="00B05950">
        <w:rPr>
          <w:rFonts w:asciiTheme="majorBidi" w:hAnsiTheme="majorBidi" w:cstheme="majorBidi"/>
        </w:rPr>
        <w:t xml:space="preserve">uz </w:t>
      </w:r>
      <w:r w:rsidR="00CE2823" w:rsidRPr="00B05950">
        <w:rPr>
          <w:rFonts w:asciiTheme="majorBidi" w:hAnsiTheme="majorBidi" w:cstheme="majorBidi"/>
        </w:rPr>
        <w:t>7 </w:t>
      </w:r>
      <w:r w:rsidR="00980EA5" w:rsidRPr="00B05950">
        <w:rPr>
          <w:rFonts w:asciiTheme="majorBidi" w:hAnsiTheme="majorBidi" w:cstheme="majorBidi"/>
        </w:rPr>
        <w:t>mēnešiem</w:t>
      </w:r>
      <w:r w:rsidR="00CE2823" w:rsidRPr="00B05950">
        <w:rPr>
          <w:rFonts w:asciiTheme="majorBidi" w:hAnsiTheme="majorBidi" w:cstheme="majorBidi"/>
        </w:rPr>
        <w:t xml:space="preserve">. </w:t>
      </w:r>
    </w:p>
    <w:p w14:paraId="4299E3C8" w14:textId="24C44AEC" w:rsidR="00CE2823" w:rsidRPr="00B05950" w:rsidRDefault="00CE2823" w:rsidP="00CE2823">
      <w:pPr>
        <w:autoSpaceDE w:val="0"/>
        <w:autoSpaceDN w:val="0"/>
        <w:adjustRightInd w:val="0"/>
        <w:spacing w:line="276" w:lineRule="auto"/>
        <w:ind w:firstLine="720"/>
        <w:contextualSpacing/>
        <w:jc w:val="both"/>
        <w:rPr>
          <w:rFonts w:asciiTheme="majorBidi" w:hAnsiTheme="majorBidi" w:cstheme="majorBidi"/>
        </w:rPr>
      </w:pPr>
      <w:r w:rsidRPr="00B05950">
        <w:rPr>
          <w:rFonts w:asciiTheme="majorBidi" w:hAnsiTheme="majorBidi" w:cstheme="majorBidi"/>
        </w:rPr>
        <w:t>Saskaņā ar Krimināllikuma 52. pantu soda izciešanas termiņā ieskaitīts apcietinājums no 2020. gada 31. janvāra līdz 6. aprīlim.</w:t>
      </w:r>
    </w:p>
    <w:p w14:paraId="45041FE0" w14:textId="77777777" w:rsidR="0064082C" w:rsidRPr="00B05950" w:rsidRDefault="0064082C" w:rsidP="000C7687">
      <w:pPr>
        <w:spacing w:line="276" w:lineRule="auto"/>
        <w:jc w:val="both"/>
        <w:rPr>
          <w:rFonts w:asciiTheme="majorBidi" w:hAnsiTheme="majorBidi" w:cstheme="majorBidi"/>
        </w:rPr>
      </w:pPr>
    </w:p>
    <w:p w14:paraId="783D0989" w14:textId="4889038C" w:rsidR="00A3712E" w:rsidRPr="00B05950" w:rsidRDefault="0064082C" w:rsidP="00A3712E">
      <w:pPr>
        <w:spacing w:line="276" w:lineRule="auto"/>
        <w:ind w:firstLine="720"/>
        <w:jc w:val="both"/>
        <w:rPr>
          <w:rFonts w:asciiTheme="majorBidi" w:hAnsiTheme="majorBidi" w:cstheme="majorBidi"/>
        </w:rPr>
      </w:pPr>
      <w:bookmarkStart w:id="2" w:name="_Hlk154043549"/>
      <w:r w:rsidRPr="00B05950">
        <w:rPr>
          <w:rFonts w:asciiTheme="majorBidi" w:hAnsiTheme="majorBidi" w:cstheme="majorBidi"/>
        </w:rPr>
        <w:lastRenderedPageBreak/>
        <w:t xml:space="preserve">[2] Ar </w:t>
      </w:r>
      <w:r w:rsidR="00CE2823" w:rsidRPr="00B05950">
        <w:rPr>
          <w:rFonts w:asciiTheme="majorBidi" w:hAnsiTheme="majorBidi" w:cstheme="majorBidi"/>
        </w:rPr>
        <w:t>Rīgas pilsētas Latgales priekšpilsētas tiesas 2021. gada 26.</w:t>
      </w:r>
      <w:r w:rsidR="00BC3250" w:rsidRPr="00B05950">
        <w:rPr>
          <w:rFonts w:asciiTheme="majorBidi" w:hAnsiTheme="majorBidi" w:cstheme="majorBidi"/>
        </w:rPr>
        <w:t> </w:t>
      </w:r>
      <w:r w:rsidR="00CE2823" w:rsidRPr="00B05950">
        <w:rPr>
          <w:rFonts w:asciiTheme="majorBidi" w:hAnsiTheme="majorBidi" w:cstheme="majorBidi"/>
        </w:rPr>
        <w:t xml:space="preserve">aprīļa spriedumu </w:t>
      </w:r>
      <w:r w:rsidR="00D6599F">
        <w:rPr>
          <w:rFonts w:asciiTheme="majorBidi" w:hAnsiTheme="majorBidi" w:cstheme="majorBidi"/>
        </w:rPr>
        <w:t>[pers. A]</w:t>
      </w:r>
      <w:r w:rsidRPr="00B05950">
        <w:rPr>
          <w:rFonts w:asciiTheme="majorBidi" w:hAnsiTheme="majorBidi" w:cstheme="majorBidi"/>
        </w:rPr>
        <w:t xml:space="preserve"> atzīt</w:t>
      </w:r>
      <w:r w:rsidR="00980EA5" w:rsidRPr="00B05950">
        <w:rPr>
          <w:rFonts w:asciiTheme="majorBidi" w:hAnsiTheme="majorBidi" w:cstheme="majorBidi"/>
        </w:rPr>
        <w:t>s</w:t>
      </w:r>
      <w:r w:rsidRPr="00B05950">
        <w:rPr>
          <w:rFonts w:asciiTheme="majorBidi" w:hAnsiTheme="majorBidi" w:cstheme="majorBidi"/>
        </w:rPr>
        <w:t xml:space="preserve"> par vainīgu un sodīt</w:t>
      </w:r>
      <w:r w:rsidR="00980EA5" w:rsidRPr="00B05950">
        <w:rPr>
          <w:rFonts w:asciiTheme="majorBidi" w:hAnsiTheme="majorBidi" w:cstheme="majorBidi"/>
        </w:rPr>
        <w:t>s</w:t>
      </w:r>
      <w:r w:rsidRPr="00B05950">
        <w:rPr>
          <w:rFonts w:asciiTheme="majorBidi" w:hAnsiTheme="majorBidi" w:cstheme="majorBidi"/>
        </w:rPr>
        <w:t xml:space="preserve"> pēc Krimināllikuma </w:t>
      </w:r>
      <w:r w:rsidR="00CE2823" w:rsidRPr="00B05950">
        <w:rPr>
          <w:rFonts w:asciiTheme="majorBidi" w:hAnsiTheme="majorBidi" w:cstheme="majorBidi"/>
        </w:rPr>
        <w:t xml:space="preserve">78. panta otrās daļas par darbību, kas vērsta uz </w:t>
      </w:r>
      <w:r w:rsidR="00A3712E" w:rsidRPr="00B05950">
        <w:rPr>
          <w:rFonts w:asciiTheme="majorBidi" w:hAnsiTheme="majorBidi" w:cstheme="majorBidi"/>
        </w:rPr>
        <w:t>nacionālā naida un nesaticības izraisīšanu, izmantojot automatizētu datu apstrādes sistēmu</w:t>
      </w:r>
      <w:r w:rsidR="00A15F1D" w:rsidRPr="00B05950">
        <w:rPr>
          <w:rFonts w:asciiTheme="majorBidi" w:hAnsiTheme="majorBidi" w:cstheme="majorBidi"/>
        </w:rPr>
        <w:t>,</w:t>
      </w:r>
      <w:r w:rsidR="00A3712E" w:rsidRPr="00B05950">
        <w:rPr>
          <w:rFonts w:asciiTheme="majorBidi" w:hAnsiTheme="majorBidi" w:cstheme="majorBidi"/>
        </w:rPr>
        <w:t xml:space="preserve"> un pēc Krimināllikuma 231. panta pirmās daļas par rupju sabiedriskās kārtības traucēšanu, kas izpau</w:t>
      </w:r>
      <w:r w:rsidR="00A15F1D" w:rsidRPr="00B05950">
        <w:rPr>
          <w:rFonts w:asciiTheme="majorBidi" w:hAnsiTheme="majorBidi" w:cstheme="majorBidi"/>
        </w:rPr>
        <w:t>dusies</w:t>
      </w:r>
      <w:r w:rsidR="00A3712E" w:rsidRPr="00B05950">
        <w:rPr>
          <w:rFonts w:asciiTheme="majorBidi" w:hAnsiTheme="majorBidi" w:cstheme="majorBidi"/>
        </w:rPr>
        <w:t xml:space="preserve"> acīmredzamā necieņā pret sabiedrību, ignorējot vispārpieņemtās uzvedības normas un traucējot cilvēku mieru un iestāžu darbu.</w:t>
      </w:r>
    </w:p>
    <w:p w14:paraId="24D36FDE" w14:textId="77777777" w:rsidR="00CE2823" w:rsidRPr="00B05950" w:rsidRDefault="00CE2823" w:rsidP="00A3712E">
      <w:pPr>
        <w:spacing w:line="276" w:lineRule="auto"/>
        <w:ind w:firstLine="720"/>
        <w:jc w:val="both"/>
        <w:rPr>
          <w:rFonts w:asciiTheme="majorBidi" w:hAnsiTheme="majorBidi" w:cstheme="majorBidi"/>
        </w:rPr>
      </w:pPr>
    </w:p>
    <w:bookmarkEnd w:id="2"/>
    <w:p w14:paraId="7E6789A8" w14:textId="44B32F7A" w:rsidR="00EE089B" w:rsidRPr="00B05950" w:rsidRDefault="0064082C" w:rsidP="00330C03">
      <w:pPr>
        <w:spacing w:line="276" w:lineRule="auto"/>
        <w:ind w:firstLine="720"/>
        <w:jc w:val="both"/>
        <w:rPr>
          <w:rFonts w:asciiTheme="majorBidi" w:hAnsiTheme="majorBidi" w:cstheme="majorBidi"/>
        </w:rPr>
      </w:pPr>
      <w:r w:rsidRPr="00B05950">
        <w:rPr>
          <w:rFonts w:asciiTheme="majorBidi" w:hAnsiTheme="majorBidi" w:cstheme="majorBidi"/>
        </w:rPr>
        <w:t xml:space="preserve">[3] Ar </w:t>
      </w:r>
      <w:r w:rsidR="00980EA5" w:rsidRPr="00B05950">
        <w:rPr>
          <w:rFonts w:asciiTheme="majorBidi" w:hAnsiTheme="majorBidi" w:cstheme="majorBidi"/>
        </w:rPr>
        <w:t>Rīgas</w:t>
      </w:r>
      <w:r w:rsidRPr="00B05950">
        <w:rPr>
          <w:rFonts w:asciiTheme="majorBidi" w:hAnsiTheme="majorBidi" w:cstheme="majorBidi"/>
        </w:rPr>
        <w:t xml:space="preserve"> apgabaltiesas 2021. gada </w:t>
      </w:r>
      <w:r w:rsidR="00A3712E" w:rsidRPr="00B05950">
        <w:rPr>
          <w:rFonts w:asciiTheme="majorBidi" w:hAnsiTheme="majorBidi" w:cstheme="majorBidi"/>
        </w:rPr>
        <w:t>20.</w:t>
      </w:r>
      <w:r w:rsidR="00BC3250" w:rsidRPr="00B05950">
        <w:rPr>
          <w:rFonts w:asciiTheme="majorBidi" w:hAnsiTheme="majorBidi" w:cstheme="majorBidi"/>
        </w:rPr>
        <w:t> </w:t>
      </w:r>
      <w:r w:rsidR="00A3712E" w:rsidRPr="00B05950">
        <w:rPr>
          <w:rFonts w:asciiTheme="majorBidi" w:hAnsiTheme="majorBidi" w:cstheme="majorBidi"/>
        </w:rPr>
        <w:t>septembra spriedumu</w:t>
      </w:r>
      <w:r w:rsidRPr="00B05950">
        <w:rPr>
          <w:rFonts w:asciiTheme="majorBidi" w:hAnsiTheme="majorBidi" w:cstheme="majorBidi"/>
        </w:rPr>
        <w:t xml:space="preserve">, izskatot lietu apelācijas kārtībā sakarā ar </w:t>
      </w:r>
      <w:r w:rsidR="00A3712E" w:rsidRPr="00B05950">
        <w:rPr>
          <w:rFonts w:asciiTheme="majorBidi" w:hAnsiTheme="majorBidi" w:cstheme="majorBidi"/>
        </w:rPr>
        <w:t xml:space="preserve">apsūdzētā </w:t>
      </w:r>
      <w:r w:rsidR="00D6599F">
        <w:rPr>
          <w:rFonts w:asciiTheme="majorBidi" w:hAnsiTheme="majorBidi" w:cstheme="majorBidi"/>
        </w:rPr>
        <w:t>[pers. A]</w:t>
      </w:r>
      <w:r w:rsidR="00A3712E" w:rsidRPr="00B05950">
        <w:rPr>
          <w:rFonts w:asciiTheme="majorBidi" w:hAnsiTheme="majorBidi" w:cstheme="majorBidi"/>
        </w:rPr>
        <w:t xml:space="preserve"> un viņa aizstāvja zvērināta advokāta Jāņa Mucenieka kasācijas sūdzībām, </w:t>
      </w:r>
      <w:r w:rsidR="00EE089B" w:rsidRPr="00B05950">
        <w:rPr>
          <w:rFonts w:asciiTheme="majorBidi" w:hAnsiTheme="majorBidi" w:cstheme="majorBidi"/>
        </w:rPr>
        <w:t xml:space="preserve">Rīgas pilsētas Latgales priekšpilsētas tiesas 2021. gada 26. aprīļa spriedums </w:t>
      </w:r>
      <w:r w:rsidR="00330C03" w:rsidRPr="00B05950">
        <w:rPr>
          <w:rFonts w:asciiTheme="majorBidi" w:hAnsiTheme="majorBidi" w:cstheme="majorBidi"/>
        </w:rPr>
        <w:t xml:space="preserve">atcelts daļā par </w:t>
      </w:r>
      <w:r w:rsidR="00D6599F">
        <w:rPr>
          <w:rFonts w:asciiTheme="majorBidi" w:hAnsiTheme="majorBidi" w:cstheme="majorBidi"/>
        </w:rPr>
        <w:t>[pers. A]</w:t>
      </w:r>
      <w:r w:rsidR="00330C03" w:rsidRPr="00B05950">
        <w:rPr>
          <w:rFonts w:asciiTheme="majorBidi" w:hAnsiTheme="majorBidi" w:cstheme="majorBidi"/>
        </w:rPr>
        <w:t xml:space="preserve"> atzīšanu par vainīgu un sodīšanu pēc Krimināllikuma 231. panta pirmās daļas un galīgā soda noteikšanu saskaņā ar Krimināllikuma 50. panta pirmo un trešo daļu. </w:t>
      </w:r>
    </w:p>
    <w:p w14:paraId="058CA73D" w14:textId="00777795" w:rsidR="00330C03" w:rsidRPr="00B05950" w:rsidRDefault="00D6599F" w:rsidP="00330C03">
      <w:pPr>
        <w:spacing w:line="276" w:lineRule="auto"/>
        <w:ind w:firstLine="720"/>
        <w:jc w:val="both"/>
        <w:rPr>
          <w:rFonts w:asciiTheme="majorBidi" w:hAnsiTheme="majorBidi" w:cstheme="majorBidi"/>
        </w:rPr>
      </w:pPr>
      <w:r>
        <w:rPr>
          <w:rFonts w:asciiTheme="majorBidi" w:hAnsiTheme="majorBidi" w:cstheme="majorBidi"/>
        </w:rPr>
        <w:t>[Pers. A]</w:t>
      </w:r>
      <w:r w:rsidR="00330C03" w:rsidRPr="00B05950">
        <w:rPr>
          <w:rFonts w:asciiTheme="majorBidi" w:hAnsiTheme="majorBidi" w:cstheme="majorBidi"/>
        </w:rPr>
        <w:t xml:space="preserve"> atzīts par nevainīgu apsūdzībā pēc Krimināllikuma 231. panta pirmās daļas un attaisnots. </w:t>
      </w:r>
    </w:p>
    <w:p w14:paraId="477C25E8" w14:textId="039F3F0F" w:rsidR="00B07321" w:rsidRPr="00B05950" w:rsidRDefault="001D7180" w:rsidP="00B279C2">
      <w:pPr>
        <w:spacing w:line="276" w:lineRule="auto"/>
        <w:ind w:firstLine="720"/>
        <w:jc w:val="both"/>
        <w:rPr>
          <w:rFonts w:asciiTheme="majorBidi" w:hAnsiTheme="majorBidi" w:cstheme="majorBidi"/>
        </w:rPr>
      </w:pPr>
      <w:r w:rsidRPr="00B05950">
        <w:rPr>
          <w:rFonts w:asciiTheme="majorBidi" w:hAnsiTheme="majorBidi" w:cstheme="majorBidi"/>
        </w:rPr>
        <w:t xml:space="preserve">Pārējā daļā pirmās instances tiesas spriedums atstāts negrozīts. </w:t>
      </w:r>
    </w:p>
    <w:p w14:paraId="096920C9" w14:textId="77777777" w:rsidR="001D7180" w:rsidRPr="00B05950" w:rsidRDefault="001D7180" w:rsidP="001D7180">
      <w:pPr>
        <w:spacing w:line="276" w:lineRule="auto"/>
        <w:jc w:val="both"/>
        <w:rPr>
          <w:rFonts w:asciiTheme="majorBidi" w:hAnsiTheme="majorBidi" w:cstheme="majorBidi"/>
        </w:rPr>
      </w:pPr>
    </w:p>
    <w:p w14:paraId="27CD1A6C" w14:textId="7E17273A" w:rsidR="00B279C2" w:rsidRPr="00B05950" w:rsidRDefault="00616661" w:rsidP="00B279C2">
      <w:pPr>
        <w:spacing w:line="276" w:lineRule="auto"/>
        <w:ind w:firstLine="720"/>
        <w:jc w:val="both"/>
        <w:rPr>
          <w:rFonts w:asciiTheme="majorBidi" w:hAnsiTheme="majorBidi" w:cstheme="majorBidi"/>
        </w:rPr>
      </w:pPr>
      <w:r w:rsidRPr="00B05950">
        <w:rPr>
          <w:rFonts w:asciiTheme="majorBidi" w:hAnsiTheme="majorBidi" w:cstheme="majorBidi"/>
        </w:rPr>
        <w:t>[4] </w:t>
      </w:r>
      <w:r w:rsidR="00B279C2" w:rsidRPr="00B05950">
        <w:rPr>
          <w:rFonts w:asciiTheme="majorBidi" w:hAnsiTheme="majorBidi" w:cstheme="majorBidi"/>
        </w:rPr>
        <w:t>Ar Senāta 2023. gada 10. janvāra lēmumu Rīgas apgabaltiesas 2021. gada 20.</w:t>
      </w:r>
      <w:r w:rsidR="00A032B7" w:rsidRPr="00B05950">
        <w:rPr>
          <w:rFonts w:asciiTheme="majorBidi" w:hAnsiTheme="majorBidi" w:cstheme="majorBidi"/>
        </w:rPr>
        <w:t> </w:t>
      </w:r>
      <w:r w:rsidR="00B279C2" w:rsidRPr="00B05950">
        <w:rPr>
          <w:rFonts w:asciiTheme="majorBidi" w:hAnsiTheme="majorBidi" w:cstheme="majorBidi"/>
        </w:rPr>
        <w:t xml:space="preserve">septembra spriedums atcelts daļā par </w:t>
      </w:r>
      <w:r w:rsidR="00563459">
        <w:rPr>
          <w:rFonts w:asciiTheme="majorBidi" w:hAnsiTheme="majorBidi" w:cstheme="majorBidi"/>
        </w:rPr>
        <w:t>[pers. A]</w:t>
      </w:r>
      <w:r w:rsidR="00B279C2" w:rsidRPr="00B05950">
        <w:rPr>
          <w:rFonts w:asciiTheme="majorBidi" w:hAnsiTheme="majorBidi" w:cstheme="majorBidi"/>
        </w:rPr>
        <w:t xml:space="preserve"> atzīšanu par vainīgu un sodīšanu pēc Krimināllikuma 78.</w:t>
      </w:r>
      <w:r w:rsidR="00A15F1D" w:rsidRPr="00B05950">
        <w:rPr>
          <w:rFonts w:asciiTheme="majorBidi" w:hAnsiTheme="majorBidi" w:cstheme="majorBidi"/>
        </w:rPr>
        <w:t> </w:t>
      </w:r>
      <w:r w:rsidR="00B279C2" w:rsidRPr="00B05950">
        <w:rPr>
          <w:rFonts w:asciiTheme="majorBidi" w:hAnsiTheme="majorBidi" w:cstheme="majorBidi"/>
        </w:rPr>
        <w:t>panta otrās daļas</w:t>
      </w:r>
      <w:r w:rsidR="00A15F1D" w:rsidRPr="00B05950">
        <w:rPr>
          <w:rFonts w:asciiTheme="majorBidi" w:hAnsiTheme="majorBidi" w:cstheme="majorBidi"/>
        </w:rPr>
        <w:t>,</w:t>
      </w:r>
      <w:r w:rsidR="00B279C2" w:rsidRPr="00B05950">
        <w:rPr>
          <w:rFonts w:asciiTheme="majorBidi" w:hAnsiTheme="majorBidi" w:cstheme="majorBidi"/>
        </w:rPr>
        <w:t xml:space="preserve"> un šajā daļā </w:t>
      </w:r>
      <w:r w:rsidR="00A15F1D" w:rsidRPr="00B05950">
        <w:rPr>
          <w:rFonts w:asciiTheme="majorBidi" w:hAnsiTheme="majorBidi" w:cstheme="majorBidi"/>
        </w:rPr>
        <w:t xml:space="preserve">lieta </w:t>
      </w:r>
      <w:r w:rsidR="00B279C2" w:rsidRPr="00B05950">
        <w:rPr>
          <w:rFonts w:asciiTheme="majorBidi" w:hAnsiTheme="majorBidi" w:cstheme="majorBidi"/>
        </w:rPr>
        <w:t>nosūtīt</w:t>
      </w:r>
      <w:r w:rsidR="00A15F1D" w:rsidRPr="00B05950">
        <w:rPr>
          <w:rFonts w:asciiTheme="majorBidi" w:hAnsiTheme="majorBidi" w:cstheme="majorBidi"/>
        </w:rPr>
        <w:t>a</w:t>
      </w:r>
      <w:r w:rsidR="00B279C2" w:rsidRPr="00B05950">
        <w:rPr>
          <w:rFonts w:asciiTheme="majorBidi" w:hAnsiTheme="majorBidi" w:cstheme="majorBidi"/>
        </w:rPr>
        <w:t xml:space="preserve"> jaunai izskatīšanai apelācijas instances tiesā. </w:t>
      </w:r>
    </w:p>
    <w:p w14:paraId="51F76A12" w14:textId="36C4DEEB" w:rsidR="00B279C2" w:rsidRPr="00B05950" w:rsidRDefault="00B279C2" w:rsidP="00B279C2">
      <w:pPr>
        <w:spacing w:line="276" w:lineRule="auto"/>
        <w:ind w:firstLine="720"/>
        <w:jc w:val="both"/>
        <w:rPr>
          <w:rFonts w:asciiTheme="majorBidi" w:hAnsiTheme="majorBidi" w:cstheme="majorBidi"/>
        </w:rPr>
      </w:pPr>
      <w:r w:rsidRPr="00B05950">
        <w:rPr>
          <w:rFonts w:asciiTheme="majorBidi" w:hAnsiTheme="majorBidi" w:cstheme="majorBidi"/>
        </w:rPr>
        <w:t>Pārējā daļā Rīgas apgabaltiesas 2021.</w:t>
      </w:r>
      <w:r w:rsidR="00330C03" w:rsidRPr="00B05950">
        <w:rPr>
          <w:rFonts w:asciiTheme="majorBidi" w:hAnsiTheme="majorBidi" w:cstheme="majorBidi"/>
        </w:rPr>
        <w:t> </w:t>
      </w:r>
      <w:r w:rsidRPr="00B05950">
        <w:rPr>
          <w:rFonts w:asciiTheme="majorBidi" w:hAnsiTheme="majorBidi" w:cstheme="majorBidi"/>
        </w:rPr>
        <w:t>gada 20.</w:t>
      </w:r>
      <w:r w:rsidR="00330C03" w:rsidRPr="00B05950">
        <w:rPr>
          <w:rFonts w:asciiTheme="majorBidi" w:hAnsiTheme="majorBidi" w:cstheme="majorBidi"/>
        </w:rPr>
        <w:t> </w:t>
      </w:r>
      <w:r w:rsidRPr="00B05950">
        <w:rPr>
          <w:rFonts w:asciiTheme="majorBidi" w:hAnsiTheme="majorBidi" w:cstheme="majorBidi"/>
        </w:rPr>
        <w:t>septembra spriedums atst</w:t>
      </w:r>
      <w:r w:rsidR="00666489" w:rsidRPr="00B05950">
        <w:rPr>
          <w:rFonts w:asciiTheme="majorBidi" w:hAnsiTheme="majorBidi" w:cstheme="majorBidi"/>
        </w:rPr>
        <w:t>ā</w:t>
      </w:r>
      <w:r w:rsidRPr="00B05950">
        <w:rPr>
          <w:rFonts w:asciiTheme="majorBidi" w:hAnsiTheme="majorBidi" w:cstheme="majorBidi"/>
        </w:rPr>
        <w:t xml:space="preserve">ts negrozīts. </w:t>
      </w:r>
    </w:p>
    <w:p w14:paraId="05798DEB" w14:textId="153FF3B8" w:rsidR="0064082C" w:rsidRPr="00B05950" w:rsidRDefault="0064082C" w:rsidP="00330C03">
      <w:pPr>
        <w:spacing w:line="276" w:lineRule="auto"/>
        <w:jc w:val="both"/>
        <w:rPr>
          <w:rFonts w:asciiTheme="majorBidi" w:hAnsiTheme="majorBidi" w:cstheme="majorBidi"/>
        </w:rPr>
      </w:pPr>
    </w:p>
    <w:p w14:paraId="3EF1E793" w14:textId="5AC44059" w:rsidR="00330C03" w:rsidRPr="00B05950" w:rsidRDefault="0064082C" w:rsidP="00A032B7">
      <w:pPr>
        <w:spacing w:line="276" w:lineRule="auto"/>
        <w:ind w:firstLine="720"/>
        <w:jc w:val="both"/>
        <w:rPr>
          <w:rFonts w:asciiTheme="majorBidi" w:hAnsiTheme="majorBidi" w:cstheme="majorBidi"/>
        </w:rPr>
      </w:pPr>
      <w:r w:rsidRPr="00B05950">
        <w:rPr>
          <w:rFonts w:asciiTheme="majorBidi" w:hAnsiTheme="majorBidi" w:cstheme="majorBidi"/>
        </w:rPr>
        <w:t>[</w:t>
      </w:r>
      <w:r w:rsidR="00330C03" w:rsidRPr="00B05950">
        <w:rPr>
          <w:rFonts w:asciiTheme="majorBidi" w:hAnsiTheme="majorBidi" w:cstheme="majorBidi"/>
        </w:rPr>
        <w:t>5</w:t>
      </w:r>
      <w:r w:rsidRPr="00B05950">
        <w:rPr>
          <w:rFonts w:asciiTheme="majorBidi" w:hAnsiTheme="majorBidi" w:cstheme="majorBidi"/>
        </w:rPr>
        <w:t>] </w:t>
      </w:r>
      <w:r w:rsidR="00330C03" w:rsidRPr="00B05950">
        <w:rPr>
          <w:rFonts w:asciiTheme="majorBidi" w:hAnsiTheme="majorBidi" w:cstheme="majorBidi"/>
        </w:rPr>
        <w:t>Ar Rīgas apgabaltiesas 2023. gada 17. oktobra spriedumu</w:t>
      </w:r>
      <w:r w:rsidR="00A032B7" w:rsidRPr="00B05950">
        <w:rPr>
          <w:rFonts w:asciiTheme="majorBidi" w:hAnsiTheme="majorBidi" w:cstheme="majorBidi"/>
        </w:rPr>
        <w:t>, no jauna izskatot lietu apelācijas kārtībā, Rīgas pilsētas Latgales priekšpilsētas tiesas 2021. gada 26.</w:t>
      </w:r>
      <w:r w:rsidR="00A15F1D" w:rsidRPr="00B05950">
        <w:rPr>
          <w:rFonts w:asciiTheme="majorBidi" w:hAnsiTheme="majorBidi" w:cstheme="majorBidi"/>
        </w:rPr>
        <w:t> </w:t>
      </w:r>
      <w:r w:rsidR="00A032B7" w:rsidRPr="00B05950">
        <w:rPr>
          <w:rFonts w:asciiTheme="majorBidi" w:hAnsiTheme="majorBidi" w:cstheme="majorBidi"/>
        </w:rPr>
        <w:t xml:space="preserve">aprīļa spriedums </w:t>
      </w:r>
      <w:r w:rsidR="00330C03" w:rsidRPr="00B05950">
        <w:rPr>
          <w:rFonts w:asciiTheme="majorBidi" w:hAnsiTheme="majorBidi" w:cstheme="majorBidi"/>
        </w:rPr>
        <w:t xml:space="preserve">atcelts daļā par </w:t>
      </w:r>
      <w:r w:rsidR="00563459">
        <w:rPr>
          <w:rFonts w:asciiTheme="majorBidi" w:hAnsiTheme="majorBidi" w:cstheme="majorBidi"/>
        </w:rPr>
        <w:t>[pers. A]</w:t>
      </w:r>
      <w:r w:rsidR="00330C03" w:rsidRPr="00B05950">
        <w:rPr>
          <w:rFonts w:asciiTheme="majorBidi" w:hAnsiTheme="majorBidi" w:cstheme="majorBidi"/>
        </w:rPr>
        <w:t xml:space="preserve"> atzīšanu par vainīgu un sodīšanu pēc Krimināllikuma 78.</w:t>
      </w:r>
      <w:r w:rsidR="00A15F1D" w:rsidRPr="00B05950">
        <w:rPr>
          <w:rFonts w:asciiTheme="majorBidi" w:hAnsiTheme="majorBidi" w:cstheme="majorBidi"/>
        </w:rPr>
        <w:t> </w:t>
      </w:r>
      <w:r w:rsidR="00330C03" w:rsidRPr="00B05950">
        <w:rPr>
          <w:rFonts w:asciiTheme="majorBidi" w:hAnsiTheme="majorBidi" w:cstheme="majorBidi"/>
        </w:rPr>
        <w:t>panta otrās daļas.</w:t>
      </w:r>
    </w:p>
    <w:p w14:paraId="614DC39F" w14:textId="3BCDACEC" w:rsidR="00330C03" w:rsidRPr="00B05950" w:rsidRDefault="00563459" w:rsidP="00330C03">
      <w:pPr>
        <w:spacing w:line="276" w:lineRule="auto"/>
        <w:ind w:firstLine="720"/>
        <w:jc w:val="both"/>
        <w:rPr>
          <w:rFonts w:asciiTheme="majorBidi" w:hAnsiTheme="majorBidi" w:cstheme="majorBidi"/>
        </w:rPr>
      </w:pPr>
      <w:r>
        <w:rPr>
          <w:rFonts w:asciiTheme="majorBidi" w:hAnsiTheme="majorBidi" w:cstheme="majorBidi"/>
        </w:rPr>
        <w:t>[Pers. A]</w:t>
      </w:r>
      <w:r w:rsidR="00330C03" w:rsidRPr="00B05950">
        <w:rPr>
          <w:rFonts w:asciiTheme="majorBidi" w:hAnsiTheme="majorBidi" w:cstheme="majorBidi"/>
        </w:rPr>
        <w:t xml:space="preserve"> apsūdzībā pēc Krimināllikuma 78.</w:t>
      </w:r>
      <w:r w:rsidR="00A15F1D" w:rsidRPr="00B05950">
        <w:rPr>
          <w:rFonts w:asciiTheme="majorBidi" w:hAnsiTheme="majorBidi" w:cstheme="majorBidi"/>
        </w:rPr>
        <w:t> </w:t>
      </w:r>
      <w:r w:rsidR="00330C03" w:rsidRPr="00B05950">
        <w:rPr>
          <w:rFonts w:asciiTheme="majorBidi" w:hAnsiTheme="majorBidi" w:cstheme="majorBidi"/>
        </w:rPr>
        <w:t xml:space="preserve">panta otrās daļas atzīts par nevainīgu un attaisnots. </w:t>
      </w:r>
    </w:p>
    <w:p w14:paraId="7F56A710" w14:textId="77777777" w:rsidR="00330C03" w:rsidRPr="00B05950" w:rsidRDefault="00330C03" w:rsidP="00330C03">
      <w:pPr>
        <w:spacing w:line="276" w:lineRule="auto"/>
        <w:ind w:firstLine="720"/>
        <w:jc w:val="both"/>
        <w:rPr>
          <w:rFonts w:asciiTheme="majorBidi" w:hAnsiTheme="majorBidi" w:cstheme="majorBidi"/>
        </w:rPr>
      </w:pPr>
      <w:r w:rsidRPr="00B05950">
        <w:rPr>
          <w:rFonts w:asciiTheme="majorBidi" w:hAnsiTheme="majorBidi" w:cstheme="majorBidi"/>
        </w:rPr>
        <w:t xml:space="preserve">Pārējā daļā pirmās instances tiesas spriedums atstāts negrozīts. </w:t>
      </w:r>
    </w:p>
    <w:p w14:paraId="3D2688F9" w14:textId="77777777" w:rsidR="00330C03" w:rsidRPr="00B05950" w:rsidRDefault="00330C03" w:rsidP="000C7687">
      <w:pPr>
        <w:spacing w:line="276" w:lineRule="auto"/>
        <w:ind w:firstLine="720"/>
        <w:jc w:val="both"/>
        <w:rPr>
          <w:rFonts w:asciiTheme="majorBidi" w:hAnsiTheme="majorBidi" w:cstheme="majorBidi"/>
        </w:rPr>
      </w:pPr>
    </w:p>
    <w:p w14:paraId="089987B6" w14:textId="6848296D" w:rsidR="00A032B7" w:rsidRPr="00B05950" w:rsidRDefault="00A032B7" w:rsidP="00DD3352">
      <w:pPr>
        <w:spacing w:line="276" w:lineRule="auto"/>
        <w:ind w:firstLine="720"/>
        <w:jc w:val="both"/>
        <w:rPr>
          <w:rFonts w:asciiTheme="majorBidi" w:hAnsiTheme="majorBidi" w:cstheme="majorBidi"/>
        </w:rPr>
      </w:pPr>
      <w:r w:rsidRPr="00B05950">
        <w:rPr>
          <w:rFonts w:asciiTheme="majorBidi" w:hAnsiTheme="majorBidi" w:cstheme="majorBidi"/>
        </w:rPr>
        <w:t>[6</w:t>
      </w:r>
      <w:r w:rsidR="008C728A" w:rsidRPr="00B05950">
        <w:rPr>
          <w:rFonts w:asciiTheme="majorBidi" w:hAnsiTheme="majorBidi" w:cstheme="majorBidi"/>
        </w:rPr>
        <w:t>] </w:t>
      </w:r>
      <w:r w:rsidR="00330C03" w:rsidRPr="00B05950">
        <w:rPr>
          <w:rFonts w:asciiTheme="majorBidi" w:hAnsiTheme="majorBidi" w:cstheme="majorBidi"/>
        </w:rPr>
        <w:t xml:space="preserve">Par </w:t>
      </w:r>
      <w:r w:rsidRPr="00B05950">
        <w:rPr>
          <w:rFonts w:asciiTheme="majorBidi" w:hAnsiTheme="majorBidi" w:cstheme="majorBidi"/>
        </w:rPr>
        <w:t xml:space="preserve">Rīgas apgabaltiesas 2023. gada 17. oktobra spriedumu </w:t>
      </w:r>
      <w:r w:rsidR="00661160" w:rsidRPr="00B05950">
        <w:rPr>
          <w:rFonts w:asciiTheme="majorBidi" w:hAnsiTheme="majorBidi" w:cstheme="majorBidi"/>
        </w:rPr>
        <w:t>prokurore iesniegusi kasācijas protestu</w:t>
      </w:r>
      <w:r w:rsidR="00DD3352" w:rsidRPr="00B05950">
        <w:rPr>
          <w:rFonts w:asciiTheme="majorBidi" w:hAnsiTheme="majorBidi" w:cstheme="majorBidi"/>
        </w:rPr>
        <w:t xml:space="preserve">, kurā lūdz atcelt </w:t>
      </w:r>
      <w:r w:rsidR="008C728A" w:rsidRPr="00B05950">
        <w:rPr>
          <w:rFonts w:asciiTheme="majorBidi" w:hAnsiTheme="majorBidi" w:cstheme="majorBidi"/>
        </w:rPr>
        <w:t>apelācijas instances tiesas</w:t>
      </w:r>
      <w:r w:rsidR="00DD3352" w:rsidRPr="00B05950">
        <w:rPr>
          <w:rFonts w:asciiTheme="majorBidi" w:hAnsiTheme="majorBidi" w:cstheme="majorBidi"/>
        </w:rPr>
        <w:t xml:space="preserve"> spriedumu daļā par apsūdzētā </w:t>
      </w:r>
      <w:r w:rsidR="00017C01">
        <w:rPr>
          <w:rFonts w:asciiTheme="majorBidi" w:hAnsiTheme="majorBidi" w:cstheme="majorBidi"/>
        </w:rPr>
        <w:t>[pers. A]</w:t>
      </w:r>
      <w:r w:rsidR="00DD3352" w:rsidRPr="00B05950">
        <w:rPr>
          <w:rFonts w:asciiTheme="majorBidi" w:hAnsiTheme="majorBidi" w:cstheme="majorBidi"/>
        </w:rPr>
        <w:t xml:space="preserve"> atzīšanu par nevainīgu Krimināllikuma 78. panta otrajā daļā paredzētajā noziedzīgajā nodarījumā un attaisnošanu un šajā daļā lietu nosūtīt jaunai iztiesāšanai apelācijas instances tiesā.  </w:t>
      </w:r>
    </w:p>
    <w:p w14:paraId="0813AA13" w14:textId="63E07797" w:rsidR="001368AD" w:rsidRPr="00B05950" w:rsidRDefault="001368AD" w:rsidP="00B70875">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imesNewRomanPSMT" w:eastAsiaTheme="minorHAnsi" w:hAnsi="TimesNewRomanPSMT" w:cs="TimesNewRomanPSMT"/>
          <w:lang w:eastAsia="en-US"/>
          <w14:ligatures w14:val="standardContextual"/>
        </w:rPr>
        <w:t>Apelācijas instances tiesa pieļāvusi Kriminālprocesa likuma 574. panta 1. un 2. punktā norādītos Krimināllikuma pārkāpumus, jo nepareizi piemērojusi Krimināllikuma 1. pantu, 6. panta pirmo daļu un 78. panta otro daļu</w:t>
      </w:r>
      <w:r w:rsidR="00B1093B" w:rsidRPr="00B05950">
        <w:rPr>
          <w:rFonts w:ascii="TimesNewRomanPSMT" w:eastAsiaTheme="minorHAnsi" w:hAnsi="TimesNewRomanPSMT" w:cs="TimesNewRomanPSMT"/>
          <w:lang w:eastAsia="en-US"/>
          <w14:ligatures w14:val="standardContextual"/>
        </w:rPr>
        <w:t>, kā arī pārkāpusi Kriminālprocesa likuma 1., 124., 127</w:t>
      </w:r>
      <w:r w:rsidR="00B70875" w:rsidRPr="00B05950">
        <w:rPr>
          <w:rFonts w:ascii="TimesNewRomanPSMT" w:eastAsiaTheme="minorHAnsi" w:hAnsi="TimesNewRomanPSMT" w:cs="TimesNewRomanPSMT"/>
          <w:lang w:eastAsia="en-US"/>
          <w14:ligatures w14:val="standardContextual"/>
        </w:rPr>
        <w:t>.</w:t>
      </w:r>
      <w:r w:rsidR="00B1093B" w:rsidRPr="00B05950">
        <w:rPr>
          <w:rFonts w:ascii="TimesNewRomanPSMT" w:eastAsiaTheme="minorHAnsi" w:hAnsi="TimesNewRomanPSMT" w:cs="TimesNewRomanPSMT"/>
          <w:lang w:eastAsia="en-US"/>
          <w14:ligatures w14:val="standardContextual"/>
        </w:rPr>
        <w:t>–130., 511., 512., 519. pantu, 525. panta otro daļu, 564. panta ceturto daļu, kas noved</w:t>
      </w:r>
      <w:r w:rsidR="00B2335E" w:rsidRPr="00B05950">
        <w:rPr>
          <w:rFonts w:ascii="TimesNewRomanPSMT" w:eastAsiaTheme="minorHAnsi" w:hAnsi="TimesNewRomanPSMT" w:cs="TimesNewRomanPSMT"/>
          <w:lang w:eastAsia="en-US"/>
          <w14:ligatures w14:val="standardContextual"/>
        </w:rPr>
        <w:t>is</w:t>
      </w:r>
      <w:r w:rsidR="00B1093B" w:rsidRPr="00B05950">
        <w:rPr>
          <w:rFonts w:ascii="TimesNewRomanPSMT" w:eastAsiaTheme="minorHAnsi" w:hAnsi="TimesNewRomanPSMT" w:cs="TimesNewRomanPSMT"/>
          <w:lang w:eastAsia="en-US"/>
          <w14:ligatures w14:val="standardContextual"/>
        </w:rPr>
        <w:t xml:space="preserve"> pie nelikumīga sprieduma</w:t>
      </w:r>
      <w:r w:rsidR="00B70875" w:rsidRPr="00B05950">
        <w:rPr>
          <w:rFonts w:ascii="TimesNewRomanPSMT" w:eastAsiaTheme="minorHAnsi" w:hAnsi="TimesNewRomanPSMT" w:cs="TimesNewRomanPSMT"/>
          <w:lang w:eastAsia="en-US"/>
          <w14:ligatures w14:val="standardContextual"/>
        </w:rPr>
        <w:t>.</w:t>
      </w:r>
    </w:p>
    <w:p w14:paraId="31E09245" w14:textId="77777777" w:rsidR="00607057" w:rsidRPr="00B05950" w:rsidRDefault="00607057" w:rsidP="00607057">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imesNewRomanPSMT" w:eastAsiaTheme="minorHAnsi" w:hAnsi="TimesNewRomanPSMT" w:cs="TimesNewRomanPSMT"/>
          <w:lang w:eastAsia="en-US"/>
          <w14:ligatures w14:val="standardContextual"/>
        </w:rPr>
        <w:t>Kasācijas protests pamatots ar turpmāk norādītajiem argumentiem.</w:t>
      </w:r>
    </w:p>
    <w:p w14:paraId="18509D0D" w14:textId="083A1761" w:rsidR="00EE293F" w:rsidRPr="00B05950" w:rsidRDefault="001722F4" w:rsidP="00EE293F">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heme="majorBidi" w:hAnsiTheme="majorBidi" w:cstheme="majorBidi"/>
        </w:rPr>
        <w:lastRenderedPageBreak/>
        <w:t>[6.1]</w:t>
      </w:r>
      <w:r w:rsidR="00C216D1" w:rsidRPr="00B05950">
        <w:rPr>
          <w:rFonts w:asciiTheme="majorBidi" w:hAnsiTheme="majorBidi" w:cstheme="majorBidi"/>
        </w:rPr>
        <w:t> </w:t>
      </w:r>
      <w:r w:rsidR="00EE293F" w:rsidRPr="00B05950">
        <w:rPr>
          <w:rFonts w:ascii="TimesNewRomanPSMT" w:eastAsiaTheme="minorHAnsi" w:hAnsi="TimesNewRomanPSMT" w:cs="TimesNewRomanPSMT"/>
          <w:lang w:eastAsia="en-US"/>
          <w14:ligatures w14:val="standardContextual"/>
        </w:rPr>
        <w:t xml:space="preserve">Apelācijas instances tiesa nepamatoti </w:t>
      </w:r>
      <w:r w:rsidR="00017C01">
        <w:rPr>
          <w:rFonts w:asciiTheme="majorBidi" w:hAnsiTheme="majorBidi" w:cstheme="majorBidi"/>
        </w:rPr>
        <w:t>[pers. A]</w:t>
      </w:r>
      <w:r w:rsidR="00EE293F" w:rsidRPr="00B05950">
        <w:rPr>
          <w:rFonts w:ascii="TimesNewRomanPSMT" w:eastAsiaTheme="minorHAnsi" w:hAnsi="TimesNewRomanPSMT" w:cs="TimesNewRomanPSMT"/>
          <w:lang w:eastAsia="en-US"/>
          <w14:ligatures w14:val="standardContextual"/>
        </w:rPr>
        <w:t xml:space="preserve"> atzinusi par nevainīgu Krimināllikuma 78. panta otrajā daļā paredzētajā noziedzīgajā nodarījumā.</w:t>
      </w:r>
    </w:p>
    <w:p w14:paraId="67A5AD9F" w14:textId="77777777" w:rsidR="00EE293F" w:rsidRPr="00B05950" w:rsidRDefault="00EE293F" w:rsidP="00EE293F">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imesNewRomanPSMT" w:eastAsiaTheme="minorHAnsi" w:hAnsi="TimesNewRomanPSMT" w:cs="TimesNewRomanPSMT"/>
          <w:lang w:eastAsia="en-US"/>
          <w14:ligatures w14:val="standardContextual"/>
        </w:rPr>
        <w:t xml:space="preserve">Tiesas atzinumi par Krimināllikuma 78. panta otrajā daļā paredzētā noziedzīgā nodarījuma objektīvās puses </w:t>
      </w:r>
      <w:proofErr w:type="spellStart"/>
      <w:r w:rsidRPr="00B05950">
        <w:rPr>
          <w:rFonts w:ascii="TimesNewRomanPSMT" w:eastAsiaTheme="minorHAnsi" w:hAnsi="TimesNewRomanPSMT" w:cs="TimesNewRomanPSMT"/>
          <w:lang w:eastAsia="en-US"/>
          <w14:ligatures w14:val="standardContextual"/>
        </w:rPr>
        <w:t>neesību</w:t>
      </w:r>
      <w:proofErr w:type="spellEnd"/>
      <w:r w:rsidRPr="00B05950">
        <w:rPr>
          <w:rFonts w:ascii="TimesNewRomanPSMT" w:eastAsiaTheme="minorHAnsi" w:hAnsi="TimesNewRomanPSMT" w:cs="TimesNewRomanPSMT"/>
          <w:lang w:eastAsia="en-US"/>
          <w14:ligatures w14:val="standardContextual"/>
        </w:rPr>
        <w:t xml:space="preserve"> apsūdzētā darbībās ir pretrunā ar tiesas konstatējumu, ka apsūdzētais tīši izteicis aicinājumu veikt darbības, kas vērstas uz to, lai ķīniešu tautības cilvēki beigtu pastāvēt, un tas ir šokējošs un klaji nepieņemams.</w:t>
      </w:r>
    </w:p>
    <w:p w14:paraId="5A02ABEA" w14:textId="01A00CBE" w:rsidR="00EE293F" w:rsidRPr="00B05950" w:rsidRDefault="00EE293F" w:rsidP="00EE293F">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imesNewRomanPSMT" w:eastAsiaTheme="minorHAnsi" w:hAnsi="TimesNewRomanPSMT" w:cs="TimesNewRomanPSMT"/>
          <w:lang w:eastAsia="en-US"/>
          <w14:ligatures w14:val="standardContextual"/>
        </w:rPr>
        <w:t xml:space="preserve">Vārda „likvidēt” nozīmi apelācijas instances tiesa nav izvērtējusi kopsakarā ar citiem lietā konstatētajiem apstākļiem – </w:t>
      </w:r>
      <w:r w:rsidR="00017C01">
        <w:rPr>
          <w:rFonts w:asciiTheme="majorBidi" w:hAnsiTheme="majorBidi" w:cstheme="majorBidi"/>
        </w:rPr>
        <w:t>[pers. A]</w:t>
      </w:r>
      <w:r w:rsidRPr="00B05950">
        <w:rPr>
          <w:rFonts w:ascii="TimesNewRomanPSMT" w:eastAsiaTheme="minorHAnsi" w:hAnsi="TimesNewRomanPSMT" w:cs="TimesNewRomanPSMT"/>
          <w:lang w:eastAsia="en-US"/>
          <w14:ligatures w14:val="standardContextual"/>
        </w:rPr>
        <w:t xml:space="preserve"> žestiem, izsakot šo aicinājumu, </w:t>
      </w:r>
      <w:r w:rsidR="004B23DF" w:rsidRPr="00B05950">
        <w:rPr>
          <w:rFonts w:ascii="TimesNewRomanPSMT" w:eastAsiaTheme="minorHAnsi" w:hAnsi="TimesNewRomanPSMT" w:cs="TimesNewRomanPSMT"/>
          <w:lang w:eastAsia="en-US"/>
          <w14:ligatures w14:val="standardContextual"/>
        </w:rPr>
        <w:t xml:space="preserve">kā arī </w:t>
      </w:r>
      <w:r w:rsidRPr="00B05950">
        <w:rPr>
          <w:rFonts w:ascii="TimesNewRomanPSMT" w:eastAsiaTheme="minorHAnsi" w:hAnsi="TimesNewRomanPSMT" w:cs="TimesNewRomanPSMT"/>
          <w:lang w:eastAsia="en-US"/>
          <w14:ligatures w14:val="standardContextual"/>
        </w:rPr>
        <w:t xml:space="preserve">automatizētajā datu sistēmā ievietotā videofaila pieejamības ilgumu un tam pievienoto komentāru saturu –, kas kopumā norāda uz šā vārda lietojumu saistībā ar aicinājumu iznīcināt ķīniešu </w:t>
      </w:r>
      <w:r w:rsidR="00273AE6" w:rsidRPr="00B05950">
        <w:rPr>
          <w:rFonts w:ascii="TimesNewRomanPSMT" w:eastAsiaTheme="minorHAnsi" w:hAnsi="TimesNewRomanPSMT" w:cs="TimesNewRomanPSMT"/>
          <w:lang w:eastAsia="en-US"/>
          <w14:ligatures w14:val="standardContextual"/>
        </w:rPr>
        <w:t xml:space="preserve">tautības </w:t>
      </w:r>
      <w:r w:rsidRPr="00B05950">
        <w:rPr>
          <w:rFonts w:ascii="TimesNewRomanPSMT" w:eastAsiaTheme="minorHAnsi" w:hAnsi="TimesNewRomanPSMT" w:cs="TimesNewRomanPSMT"/>
          <w:lang w:eastAsia="en-US"/>
          <w14:ligatures w14:val="standardContextual"/>
        </w:rPr>
        <w:t>cilvēkus, nevis pauž neapmierinātību par Covid</w:t>
      </w:r>
      <w:r w:rsidRPr="00B05950">
        <w:rPr>
          <w:rFonts w:ascii="TimesNewRomanPSMT" w:eastAsiaTheme="minorHAnsi" w:hAnsi="TimesNewRomanPSMT" w:cs="TimesNewRomanPSMT"/>
          <w:lang w:eastAsia="en-US"/>
          <w14:ligatures w14:val="standardContextual"/>
        </w:rPr>
        <w:noBreakHyphen/>
        <w:t xml:space="preserve">19 infekcijas izplatību Latvijā.  </w:t>
      </w:r>
    </w:p>
    <w:p w14:paraId="530FEB56" w14:textId="77777777" w:rsidR="00EE293F" w:rsidRPr="00B05950" w:rsidRDefault="00EE293F" w:rsidP="00EE293F">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imesNewRomanPSMT" w:eastAsiaTheme="minorHAnsi" w:hAnsi="TimesNewRomanPSMT" w:cs="TimesNewRomanPSMT"/>
          <w:lang w:eastAsia="en-US"/>
          <w14:ligatures w14:val="standardContextual"/>
        </w:rPr>
        <w:t xml:space="preserve">Apelācijas instances tiesa nepareizi interpretējusi Krimināllikuma 78. panta otro daļu, norādot, ka apsūdzētā darbībās nav konstatējama minētā noziedzīgā nodarījuma objektīvā puse, jo vēstījums „likvidēt ķīniešus” nav pamata ziņa. Tam, vai apsūdzētā izteikumos ietvertajai uz nacionālā naida un nesaticības izraisīšanu vērstajai ziņai ir primārs vai sekundārs raksturs, nav nozīmes šā noziedzīgā nodarījuma kvalifikācijā. </w:t>
      </w:r>
    </w:p>
    <w:p w14:paraId="24C43196" w14:textId="77777777" w:rsidR="00EE293F" w:rsidRPr="00B05950" w:rsidRDefault="00EE293F" w:rsidP="00EE293F">
      <w:pPr>
        <w:spacing w:line="276" w:lineRule="auto"/>
        <w:ind w:firstLine="720"/>
        <w:jc w:val="both"/>
        <w:rPr>
          <w:rFonts w:ascii="TimesNewRomanPSMT" w:eastAsiaTheme="minorHAnsi" w:hAnsi="TimesNewRomanPSMT" w:cs="TimesNewRomanPSMT"/>
          <w:lang w:eastAsia="en-US"/>
          <w14:ligatures w14:val="standardContextual"/>
        </w:rPr>
      </w:pPr>
      <w:r w:rsidRPr="00B05950">
        <w:rPr>
          <w:rFonts w:ascii="TimesNewRomanPSMT" w:eastAsiaTheme="minorHAnsi" w:hAnsi="TimesNewRomanPSMT" w:cs="TimesNewRomanPSMT"/>
          <w:lang w:eastAsia="en-US"/>
          <w14:ligatures w14:val="standardContextual"/>
        </w:rPr>
        <w:t xml:space="preserve">Krimināllikuma 78. panta otrajā daļā paredzētais noziedzīgais nodarījums ir ar formālu sastāvu, līdz ar to apelācijas instances tiesas vērtējumam par iespēju realizēt apsūdzētā pausto aicinājumu arī nav nozīmes nodarījuma kvalifikācijā. </w:t>
      </w:r>
    </w:p>
    <w:p w14:paraId="7F2D21D1" w14:textId="72336BF4" w:rsidR="00EE293F" w:rsidRPr="00B05950" w:rsidRDefault="00607057" w:rsidP="00EE293F">
      <w:pPr>
        <w:spacing w:line="276" w:lineRule="auto"/>
        <w:ind w:firstLine="720"/>
        <w:jc w:val="both"/>
        <w:rPr>
          <w:rFonts w:asciiTheme="majorBidi" w:hAnsiTheme="majorBidi" w:cstheme="majorBidi"/>
        </w:rPr>
      </w:pPr>
      <w:r w:rsidRPr="00B05950">
        <w:rPr>
          <w:rFonts w:ascii="TimesNewRomanPSMT" w:eastAsiaTheme="minorHAnsi" w:hAnsi="TimesNewRomanPSMT" w:cs="TimesNewRomanPSMT"/>
          <w:lang w:eastAsia="en-US"/>
          <w14:ligatures w14:val="standardContextual"/>
        </w:rPr>
        <w:t>[6.</w:t>
      </w:r>
      <w:r w:rsidR="001722F4" w:rsidRPr="00B05950">
        <w:rPr>
          <w:rFonts w:ascii="TimesNewRomanPSMT" w:eastAsiaTheme="minorHAnsi" w:hAnsi="TimesNewRomanPSMT" w:cs="TimesNewRomanPSMT"/>
          <w:lang w:eastAsia="en-US"/>
          <w14:ligatures w14:val="standardContextual"/>
        </w:rPr>
        <w:t>2</w:t>
      </w:r>
      <w:r w:rsidR="008C728A" w:rsidRPr="00B05950">
        <w:rPr>
          <w:rFonts w:ascii="TimesNewRomanPSMT" w:eastAsiaTheme="minorHAnsi" w:hAnsi="TimesNewRomanPSMT" w:cs="TimesNewRomanPSMT"/>
          <w:lang w:eastAsia="en-US"/>
          <w14:ligatures w14:val="standardContextual"/>
        </w:rPr>
        <w:t>] </w:t>
      </w:r>
      <w:r w:rsidR="00EE293F" w:rsidRPr="00B05950">
        <w:rPr>
          <w:rFonts w:asciiTheme="majorBidi" w:hAnsiTheme="majorBidi" w:cstheme="majorBidi"/>
        </w:rPr>
        <w:t xml:space="preserve">Apelācijas instances tiesa kļūdaini atzinusi, ka lietas materiāliem pievienotais </w:t>
      </w:r>
      <w:proofErr w:type="spellStart"/>
      <w:r w:rsidR="008C728A" w:rsidRPr="00B05950">
        <w:rPr>
          <w:rFonts w:asciiTheme="majorBidi" w:hAnsiTheme="majorBidi" w:cstheme="majorBidi"/>
        </w:rPr>
        <w:t>tiesībsarga</w:t>
      </w:r>
      <w:proofErr w:type="spellEnd"/>
      <w:r w:rsidR="00EE293F" w:rsidRPr="00B05950">
        <w:rPr>
          <w:rFonts w:asciiTheme="majorBidi" w:hAnsiTheme="majorBidi" w:cstheme="majorBidi"/>
        </w:rPr>
        <w:t xml:space="preserve"> 2020. gada 16. marta atzinums Nr. 1</w:t>
      </w:r>
      <w:r w:rsidR="00EE293F" w:rsidRPr="00B05950">
        <w:rPr>
          <w:rFonts w:asciiTheme="majorBidi" w:hAnsiTheme="majorBidi" w:cstheme="majorBidi"/>
        </w:rPr>
        <w:noBreakHyphen/>
        <w:t>5/50 nav izmantojams pierādīšanā</w:t>
      </w:r>
      <w:r w:rsidR="00B55A52" w:rsidRPr="00B05950">
        <w:rPr>
          <w:rFonts w:asciiTheme="majorBidi" w:hAnsiTheme="majorBidi" w:cstheme="majorBidi"/>
        </w:rPr>
        <w:t>, tādējādi pieļāvusi Kriminālprocesa likuma 130. panta pārkāpumu.</w:t>
      </w:r>
    </w:p>
    <w:p w14:paraId="5620D049" w14:textId="77453DA3" w:rsidR="00D612FA" w:rsidRPr="00B05950" w:rsidRDefault="00EE293F" w:rsidP="00D612FA">
      <w:pPr>
        <w:spacing w:line="276" w:lineRule="auto"/>
        <w:ind w:firstLine="720"/>
        <w:jc w:val="both"/>
        <w:rPr>
          <w:rFonts w:asciiTheme="majorBidi" w:hAnsiTheme="majorBidi" w:cstheme="majorBidi"/>
        </w:rPr>
      </w:pPr>
      <w:r w:rsidRPr="00B05950">
        <w:rPr>
          <w:rFonts w:asciiTheme="majorBidi" w:hAnsiTheme="majorBidi" w:cstheme="majorBidi"/>
        </w:rPr>
        <w:t xml:space="preserve">Senāts </w:t>
      </w:r>
      <w:bookmarkStart w:id="3" w:name="_Hlk186725305"/>
      <w:r w:rsidRPr="00B05950">
        <w:rPr>
          <w:rFonts w:asciiTheme="majorBidi" w:hAnsiTheme="majorBidi" w:cstheme="majorBidi"/>
        </w:rPr>
        <w:t>2023. gada 10. janvāra lēmumā norādījis</w:t>
      </w:r>
      <w:bookmarkEnd w:id="3"/>
      <w:r w:rsidRPr="00B05950">
        <w:rPr>
          <w:rFonts w:asciiTheme="majorBidi" w:hAnsiTheme="majorBidi" w:cstheme="majorBidi"/>
        </w:rPr>
        <w:t xml:space="preserve">, ka </w:t>
      </w:r>
      <w:proofErr w:type="spellStart"/>
      <w:r w:rsidRPr="00B05950">
        <w:rPr>
          <w:rFonts w:asciiTheme="majorBidi" w:hAnsiTheme="majorBidi" w:cstheme="majorBidi"/>
        </w:rPr>
        <w:t>tiesībsarga</w:t>
      </w:r>
      <w:proofErr w:type="spellEnd"/>
      <w:r w:rsidRPr="00B05950">
        <w:rPr>
          <w:rFonts w:asciiTheme="majorBidi" w:hAnsiTheme="majorBidi" w:cstheme="majorBidi"/>
        </w:rPr>
        <w:t xml:space="preserve"> atzinums nav vērtējams kā kompetentas institūcijas atzinums Kriminālprocesa likuma 133. panta izpratnē, nevis</w:t>
      </w:r>
      <w:r w:rsidR="00B965FF" w:rsidRPr="00B05950">
        <w:rPr>
          <w:rFonts w:asciiTheme="majorBidi" w:hAnsiTheme="majorBidi" w:cstheme="majorBidi"/>
        </w:rPr>
        <w:t>,</w:t>
      </w:r>
      <w:r w:rsidRPr="00B05950">
        <w:rPr>
          <w:rFonts w:asciiTheme="majorBidi" w:hAnsiTheme="majorBidi" w:cstheme="majorBidi"/>
        </w:rPr>
        <w:t xml:space="preserve"> ka tas nav izmantojams pierādīšanā. Apelācijas instances tiesa nepamatoti minēto </w:t>
      </w:r>
      <w:proofErr w:type="spellStart"/>
      <w:r w:rsidRPr="00B05950">
        <w:rPr>
          <w:rFonts w:asciiTheme="majorBidi" w:hAnsiTheme="majorBidi" w:cstheme="majorBidi"/>
        </w:rPr>
        <w:t>tiesībsarga</w:t>
      </w:r>
      <w:proofErr w:type="spellEnd"/>
      <w:r w:rsidRPr="00B05950">
        <w:rPr>
          <w:rFonts w:asciiTheme="majorBidi" w:hAnsiTheme="majorBidi" w:cstheme="majorBidi"/>
        </w:rPr>
        <w:t xml:space="preserve"> atzinumu nav vērtējusi kopsakarā ar pārējiem pierādījumiem saskaņā ar Kriminālprocesa likuma 128. pantu. Pretēji apelācijas instances tiesas secinātajam izskatāmajā lietā </w:t>
      </w:r>
      <w:proofErr w:type="spellStart"/>
      <w:r w:rsidRPr="00B05950">
        <w:rPr>
          <w:rFonts w:asciiTheme="majorBidi" w:hAnsiTheme="majorBidi" w:cstheme="majorBidi"/>
        </w:rPr>
        <w:t>tiesībsargs</w:t>
      </w:r>
      <w:proofErr w:type="spellEnd"/>
      <w:r w:rsidRPr="00B05950">
        <w:rPr>
          <w:rFonts w:asciiTheme="majorBidi" w:hAnsiTheme="majorBidi" w:cstheme="majorBidi"/>
        </w:rPr>
        <w:t xml:space="preserve"> sniedzis atzinumu savas kompetences ietvaros, nevis par apsūdzētā </w:t>
      </w:r>
      <w:r w:rsidR="00017C01">
        <w:rPr>
          <w:rFonts w:asciiTheme="majorBidi" w:hAnsiTheme="majorBidi" w:cstheme="majorBidi"/>
        </w:rPr>
        <w:t>[pers. A]</w:t>
      </w:r>
      <w:r w:rsidRPr="00B05950">
        <w:rPr>
          <w:rFonts w:asciiTheme="majorBidi" w:hAnsiTheme="majorBidi" w:cstheme="majorBidi"/>
        </w:rPr>
        <w:t xml:space="preserve"> vainīgumu.</w:t>
      </w:r>
    </w:p>
    <w:p w14:paraId="393E82AE" w14:textId="27963D9B" w:rsidR="00D612FA" w:rsidRPr="00B05950" w:rsidRDefault="00D612FA" w:rsidP="00D612FA">
      <w:pPr>
        <w:spacing w:line="276" w:lineRule="auto"/>
        <w:ind w:firstLine="720"/>
        <w:jc w:val="both"/>
        <w:rPr>
          <w:rFonts w:eastAsiaTheme="majorEastAsia" w:cstheme="majorBidi"/>
          <w:iCs/>
        </w:rPr>
      </w:pPr>
      <w:r w:rsidRPr="00B05950">
        <w:rPr>
          <w:rFonts w:asciiTheme="majorBidi" w:hAnsiTheme="majorBidi" w:cstheme="majorBidi"/>
        </w:rPr>
        <w:t xml:space="preserve">Turklāt citā </w:t>
      </w:r>
      <w:r w:rsidRPr="00B05950">
        <w:rPr>
          <w:rFonts w:eastAsiaTheme="majorEastAsia" w:cstheme="majorBidi"/>
          <w:iCs/>
        </w:rPr>
        <w:t xml:space="preserve">krimināllietā Nr.11840000914 par apelācijas instances tiesas lēmumu, kurā norādīts, ka procesa virzītājs </w:t>
      </w:r>
      <w:proofErr w:type="spellStart"/>
      <w:r w:rsidRPr="00B05950">
        <w:rPr>
          <w:rFonts w:eastAsiaTheme="majorEastAsia" w:cstheme="majorBidi"/>
          <w:iCs/>
        </w:rPr>
        <w:t>pirmstiesas</w:t>
      </w:r>
      <w:proofErr w:type="spellEnd"/>
      <w:r w:rsidRPr="00B05950">
        <w:rPr>
          <w:rFonts w:eastAsiaTheme="majorEastAsia" w:cstheme="majorBidi"/>
          <w:iCs/>
        </w:rPr>
        <w:t xml:space="preserve"> izmeklēšanā pamatoti uzdeva sniegt atzinumu </w:t>
      </w:r>
      <w:proofErr w:type="spellStart"/>
      <w:r w:rsidRPr="00B05950">
        <w:rPr>
          <w:rFonts w:eastAsiaTheme="majorEastAsia" w:cstheme="majorBidi"/>
          <w:iCs/>
        </w:rPr>
        <w:t>tiesībsargam</w:t>
      </w:r>
      <w:proofErr w:type="spellEnd"/>
      <w:r w:rsidRPr="00B05950">
        <w:rPr>
          <w:rFonts w:eastAsiaTheme="majorEastAsia" w:cstheme="majorBidi"/>
          <w:iCs/>
        </w:rPr>
        <w:t xml:space="preserve">, faktiski izpildot Kriminālprocesa likuma 133. panta nosacījumus, tika iesniegta kasācijas sūdzība arī par </w:t>
      </w:r>
      <w:proofErr w:type="spellStart"/>
      <w:r w:rsidR="00703182" w:rsidRPr="00B05950">
        <w:rPr>
          <w:rFonts w:eastAsiaTheme="majorEastAsia" w:cstheme="majorBidi"/>
          <w:iCs/>
        </w:rPr>
        <w:t>tiesībsarga</w:t>
      </w:r>
      <w:proofErr w:type="spellEnd"/>
      <w:r w:rsidR="00703182" w:rsidRPr="00B05950">
        <w:rPr>
          <w:rFonts w:eastAsiaTheme="majorEastAsia" w:cstheme="majorBidi"/>
          <w:iCs/>
        </w:rPr>
        <w:t xml:space="preserve"> </w:t>
      </w:r>
      <w:r w:rsidRPr="00B05950">
        <w:rPr>
          <w:rFonts w:eastAsiaTheme="majorEastAsia" w:cstheme="majorBidi"/>
          <w:iCs/>
        </w:rPr>
        <w:t xml:space="preserve">atzinuma vērtēšanu. Minētajā lietā Senāts pieņēma lēmumu par atteikšanos </w:t>
      </w:r>
      <w:r w:rsidR="00857228" w:rsidRPr="00B05950">
        <w:rPr>
          <w:rFonts w:eastAsiaTheme="majorEastAsia" w:cstheme="majorBidi"/>
          <w:iCs/>
        </w:rPr>
        <w:t>ierosināt kasācijas tiesvedību</w:t>
      </w:r>
      <w:r w:rsidRPr="00B05950">
        <w:rPr>
          <w:rFonts w:eastAsiaTheme="majorEastAsia" w:cstheme="majorBidi"/>
          <w:iCs/>
        </w:rPr>
        <w:t xml:space="preserve">, atzīstot apelācijas instances tiesas lēmumu par </w:t>
      </w:r>
      <w:r w:rsidR="00703182" w:rsidRPr="00B05950">
        <w:rPr>
          <w:rFonts w:eastAsiaTheme="majorEastAsia" w:cstheme="majorBidi"/>
          <w:iCs/>
        </w:rPr>
        <w:t xml:space="preserve">tiesisku </w:t>
      </w:r>
      <w:r w:rsidRPr="00B05950">
        <w:rPr>
          <w:rFonts w:eastAsiaTheme="majorEastAsia" w:cstheme="majorBidi"/>
          <w:iCs/>
        </w:rPr>
        <w:t>un pamatotu.</w:t>
      </w:r>
    </w:p>
    <w:p w14:paraId="2CF9CD59" w14:textId="77777777" w:rsidR="00080776" w:rsidRPr="00B05950" w:rsidRDefault="00080776" w:rsidP="00A032B7">
      <w:pPr>
        <w:spacing w:line="276" w:lineRule="auto"/>
        <w:ind w:firstLine="720"/>
        <w:jc w:val="both"/>
        <w:rPr>
          <w:rFonts w:asciiTheme="majorBidi" w:hAnsiTheme="majorBidi" w:cstheme="majorBidi"/>
        </w:rPr>
      </w:pPr>
    </w:p>
    <w:p w14:paraId="30835897" w14:textId="77777777" w:rsidR="007A0C10" w:rsidRPr="00B05950" w:rsidRDefault="007A0C10" w:rsidP="000C7687">
      <w:pPr>
        <w:spacing w:line="276" w:lineRule="auto"/>
        <w:ind w:right="-1"/>
        <w:jc w:val="center"/>
        <w:rPr>
          <w:rFonts w:asciiTheme="majorBidi" w:hAnsiTheme="majorBidi" w:cstheme="majorBidi"/>
          <w:b/>
        </w:rPr>
      </w:pPr>
      <w:r w:rsidRPr="00B05950">
        <w:rPr>
          <w:rFonts w:asciiTheme="majorBidi" w:hAnsiTheme="majorBidi" w:cstheme="majorBidi"/>
          <w:b/>
        </w:rPr>
        <w:t>Motīvu daļa</w:t>
      </w:r>
    </w:p>
    <w:p w14:paraId="39EA65BC" w14:textId="77777777" w:rsidR="007A0C10" w:rsidRPr="00B05950" w:rsidRDefault="007A0C10" w:rsidP="000C7687">
      <w:pPr>
        <w:spacing w:line="276" w:lineRule="auto"/>
        <w:ind w:right="-1" w:firstLine="720"/>
        <w:jc w:val="both"/>
        <w:rPr>
          <w:rFonts w:asciiTheme="majorBidi" w:hAnsiTheme="majorBidi" w:cstheme="majorBidi"/>
        </w:rPr>
      </w:pPr>
    </w:p>
    <w:p w14:paraId="61D7AEA1" w14:textId="4CFB9099" w:rsidR="004B6BB4" w:rsidRPr="00B05950" w:rsidRDefault="005860D2" w:rsidP="004B6BB4">
      <w:pPr>
        <w:pStyle w:val="ListBullet"/>
        <w:widowControl w:val="0"/>
        <w:numPr>
          <w:ilvl w:val="0"/>
          <w:numId w:val="0"/>
        </w:numPr>
        <w:spacing w:after="0"/>
        <w:ind w:firstLine="720"/>
        <w:jc w:val="both"/>
        <w:rPr>
          <w:rFonts w:asciiTheme="majorBidi" w:hAnsiTheme="majorBidi" w:cstheme="majorBidi"/>
        </w:rPr>
      </w:pPr>
      <w:bookmarkStart w:id="4" w:name="_Hlk175730695"/>
      <w:r w:rsidRPr="00B05950">
        <w:rPr>
          <w:rFonts w:asciiTheme="majorBidi" w:hAnsiTheme="majorBidi" w:cstheme="majorBidi"/>
          <w:szCs w:val="24"/>
        </w:rPr>
        <w:t>[</w:t>
      </w:r>
      <w:r w:rsidR="00EE293F" w:rsidRPr="00B05950">
        <w:rPr>
          <w:rFonts w:asciiTheme="majorBidi" w:hAnsiTheme="majorBidi" w:cstheme="majorBidi"/>
          <w:szCs w:val="24"/>
        </w:rPr>
        <w:t>7</w:t>
      </w:r>
      <w:r w:rsidR="00B965FF" w:rsidRPr="00B05950">
        <w:rPr>
          <w:rFonts w:asciiTheme="majorBidi" w:hAnsiTheme="majorBidi" w:cstheme="majorBidi"/>
          <w:szCs w:val="24"/>
        </w:rPr>
        <w:t>]</w:t>
      </w:r>
      <w:r w:rsidR="00B965FF" w:rsidRPr="00B05950">
        <w:rPr>
          <w:rFonts w:asciiTheme="majorBidi" w:hAnsiTheme="majorBidi" w:cstheme="majorBidi"/>
        </w:rPr>
        <w:t> </w:t>
      </w:r>
      <w:r w:rsidR="00EE293F" w:rsidRPr="00B05950">
        <w:rPr>
          <w:rFonts w:asciiTheme="majorBidi" w:hAnsiTheme="majorBidi" w:cstheme="majorBidi"/>
        </w:rPr>
        <w:t xml:space="preserve">Senāts atzīst, ka izskatāmajā lietā vispirms ir jāizvērtē, </w:t>
      </w:r>
      <w:r w:rsidR="00EE293F" w:rsidRPr="00B05950">
        <w:rPr>
          <w:bCs/>
        </w:rPr>
        <w:t>vai apelācijas instances tiesa</w:t>
      </w:r>
      <w:r w:rsidR="00B965FF" w:rsidRPr="00B05950">
        <w:rPr>
          <w:bCs/>
        </w:rPr>
        <w:t>,</w:t>
      </w:r>
      <w:r w:rsidR="00EE293F" w:rsidRPr="00B05950">
        <w:rPr>
          <w:bCs/>
        </w:rPr>
        <w:t xml:space="preserve"> </w:t>
      </w:r>
      <w:r w:rsidR="00EE293F" w:rsidRPr="00B05950">
        <w:t xml:space="preserve">atzīstot </w:t>
      </w:r>
      <w:r w:rsidR="004C2ECB" w:rsidRPr="00B05950">
        <w:t xml:space="preserve">apsūdzēto </w:t>
      </w:r>
      <w:r w:rsidR="00017C01">
        <w:rPr>
          <w:rFonts w:asciiTheme="majorBidi" w:hAnsiTheme="majorBidi" w:cstheme="majorBidi"/>
        </w:rPr>
        <w:t>[pers. A]</w:t>
      </w:r>
      <w:r w:rsidR="004C2ECB" w:rsidRPr="00B05950">
        <w:rPr>
          <w:rFonts w:ascii="TimesNewRomanPSMT" w:hAnsi="TimesNewRomanPSMT" w:cs="TimesNewRomanPSMT"/>
          <w14:ligatures w14:val="standardContextual"/>
        </w:rPr>
        <w:t xml:space="preserve"> </w:t>
      </w:r>
      <w:r w:rsidR="00EE293F" w:rsidRPr="00B05950">
        <w:t xml:space="preserve">par nevainīgu pret viņu celtajā apsūdzībā pēc Krimināllikuma 78. panta otrās daļas un attaisnojot, </w:t>
      </w:r>
      <w:r w:rsidR="00EE293F" w:rsidRPr="00B05950">
        <w:rPr>
          <w:rFonts w:asciiTheme="majorBidi" w:hAnsiTheme="majorBidi" w:cstheme="majorBidi"/>
        </w:rPr>
        <w:t>savus atzinumus ir pamatojusi atbilstoši Kriminālprocesa likuma 564. panta ceturtajai daļai.</w:t>
      </w:r>
    </w:p>
    <w:p w14:paraId="2F320FBE" w14:textId="23CF70D4" w:rsidR="00DF5A65" w:rsidRPr="00B05950" w:rsidRDefault="003354DC" w:rsidP="00DF5A65">
      <w:pPr>
        <w:pStyle w:val="ListBullet"/>
        <w:widowControl w:val="0"/>
        <w:numPr>
          <w:ilvl w:val="0"/>
          <w:numId w:val="0"/>
        </w:numPr>
        <w:spacing w:after="0"/>
        <w:ind w:firstLine="720"/>
        <w:jc w:val="both"/>
        <w:rPr>
          <w:rStyle w:val="Hyperlink"/>
          <w:rFonts w:eastAsiaTheme="majorEastAsia"/>
          <w:color w:val="auto"/>
          <w:u w:val="none"/>
        </w:rPr>
      </w:pPr>
      <w:r w:rsidRPr="00B05950">
        <w:rPr>
          <w:rFonts w:asciiTheme="majorBidi" w:hAnsiTheme="majorBidi" w:cstheme="majorBidi"/>
        </w:rPr>
        <w:t>[7.</w:t>
      </w:r>
      <w:r w:rsidR="006346D3" w:rsidRPr="00B05950">
        <w:rPr>
          <w:rFonts w:asciiTheme="majorBidi" w:hAnsiTheme="majorBidi" w:cstheme="majorBidi"/>
        </w:rPr>
        <w:t>1</w:t>
      </w:r>
      <w:r w:rsidR="00B965FF" w:rsidRPr="00B05950">
        <w:rPr>
          <w:rFonts w:asciiTheme="majorBidi" w:hAnsiTheme="majorBidi" w:cstheme="majorBidi"/>
        </w:rPr>
        <w:t>] </w:t>
      </w:r>
      <w:r w:rsidR="003F1826" w:rsidRPr="00B05950">
        <w:rPr>
          <w:rStyle w:val="Hyperlink"/>
          <w:rFonts w:eastAsiaTheme="majorEastAsia"/>
          <w:color w:val="auto"/>
          <w:u w:val="none"/>
        </w:rPr>
        <w:t xml:space="preserve">Kriminālprocesa likuma 564. panta ceturtā daļa noteic, ka apelācijas instances tiesas nolēmuma motīvu daļā norādāms apelācijas instances tiesas atzinums par </w:t>
      </w:r>
      <w:r w:rsidR="003F1826" w:rsidRPr="00B05950">
        <w:rPr>
          <w:rStyle w:val="Hyperlink"/>
          <w:rFonts w:eastAsiaTheme="majorEastAsia"/>
          <w:color w:val="auto"/>
          <w:u w:val="none"/>
        </w:rPr>
        <w:lastRenderedPageBreak/>
        <w:t>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B038A81" w14:textId="296792A1" w:rsidR="005B4589" w:rsidRPr="00B05950" w:rsidRDefault="00DF5A65" w:rsidP="005B4589">
      <w:pPr>
        <w:pStyle w:val="ListBullet"/>
        <w:widowControl w:val="0"/>
        <w:numPr>
          <w:ilvl w:val="0"/>
          <w:numId w:val="0"/>
        </w:numPr>
        <w:spacing w:after="0"/>
        <w:ind w:firstLine="720"/>
        <w:jc w:val="both"/>
      </w:pPr>
      <w:r w:rsidRPr="00B05950">
        <w:t>[7.2] </w:t>
      </w:r>
      <w:r w:rsidR="00017C01">
        <w:rPr>
          <w:rFonts w:asciiTheme="majorBidi" w:hAnsiTheme="majorBidi" w:cstheme="majorBidi"/>
        </w:rPr>
        <w:t>[Pers. A]</w:t>
      </w:r>
      <w:r w:rsidR="00703182" w:rsidRPr="00B05950">
        <w:rPr>
          <w:rFonts w:asciiTheme="majorBidi" w:hAnsiTheme="majorBidi" w:cstheme="majorBidi"/>
        </w:rPr>
        <w:t xml:space="preserve"> </w:t>
      </w:r>
      <w:r w:rsidR="005B4589" w:rsidRPr="00B05950">
        <w:rPr>
          <w:rFonts w:asciiTheme="majorBidi" w:hAnsiTheme="majorBidi" w:cstheme="majorBidi"/>
        </w:rPr>
        <w:t xml:space="preserve">ir </w:t>
      </w:r>
      <w:r w:rsidR="00B965FF" w:rsidRPr="00B05950">
        <w:rPr>
          <w:rFonts w:asciiTheme="majorBidi" w:hAnsiTheme="majorBidi" w:cstheme="majorBidi"/>
        </w:rPr>
        <w:t xml:space="preserve">saukts pie kriminālatbildības </w:t>
      </w:r>
      <w:r w:rsidR="005B4589" w:rsidRPr="00B05950">
        <w:rPr>
          <w:rFonts w:asciiTheme="majorBidi" w:hAnsiTheme="majorBidi" w:cstheme="majorBidi"/>
        </w:rPr>
        <w:t xml:space="preserve">par darbību, kas vērsta uz nacionālā naida un nesaticības izraisīšanu, izmantojot automatizētu datu apstrādes sistēmu. Proti, par to, ka </w:t>
      </w:r>
      <w:r w:rsidR="00191365">
        <w:rPr>
          <w:rFonts w:asciiTheme="majorBidi" w:hAnsiTheme="majorBidi" w:cstheme="majorBidi"/>
        </w:rPr>
        <w:t>[pers. A]</w:t>
      </w:r>
      <w:r w:rsidR="005B4589" w:rsidRPr="00B05950">
        <w:rPr>
          <w:rFonts w:asciiTheme="majorBidi" w:hAnsiTheme="majorBidi" w:cstheme="majorBidi"/>
        </w:rPr>
        <w:t xml:space="preserve">, izmantojot automatizētu datu apstrādes sistēmu, ar tiešu nodomu, nolūkā izraisīt nacionālo naidu, vietnē www.facebook.com publicēja videoierakstu, kurš saturēja izteikumus, kuru paušanas veids ir cieņu aizskarošs un naidīgi vērsts uz nesaticības </w:t>
      </w:r>
      <w:r w:rsidR="004C2ECB" w:rsidRPr="00B05950">
        <w:rPr>
          <w:rFonts w:asciiTheme="majorBidi" w:hAnsiTheme="majorBidi" w:cstheme="majorBidi"/>
        </w:rPr>
        <w:t>izraisīšanu</w:t>
      </w:r>
      <w:r w:rsidR="005B4589" w:rsidRPr="00B05950">
        <w:rPr>
          <w:rFonts w:asciiTheme="majorBidi" w:hAnsiTheme="majorBidi" w:cstheme="majorBidi"/>
        </w:rPr>
        <w:t xml:space="preserve"> pret ķīniešu tautības cilvēkiem un </w:t>
      </w:r>
      <w:r w:rsidR="00B965FF" w:rsidRPr="00B05950">
        <w:rPr>
          <w:rFonts w:asciiTheme="majorBidi" w:hAnsiTheme="majorBidi" w:cstheme="majorBidi"/>
        </w:rPr>
        <w:t>Ķīnas Tautas Republiku</w:t>
      </w:r>
      <w:r w:rsidR="005B4589" w:rsidRPr="00B05950">
        <w:rPr>
          <w:rFonts w:asciiTheme="majorBidi" w:hAnsiTheme="majorBidi" w:cstheme="majorBidi"/>
        </w:rPr>
        <w:t>, izsakot, ka ķīniešus un Ķīnu kā valsti vajag likvidēt un ķīnieši prot izgatavot tikai viltotas preces un viltotus mobilos telefonus.</w:t>
      </w:r>
    </w:p>
    <w:p w14:paraId="467B43EB" w14:textId="7C6340C9" w:rsidR="005B4589" w:rsidRPr="00B05950" w:rsidRDefault="005B4589" w:rsidP="005B4589">
      <w:pPr>
        <w:pStyle w:val="ListBullet"/>
        <w:widowControl w:val="0"/>
        <w:numPr>
          <w:ilvl w:val="0"/>
          <w:numId w:val="0"/>
        </w:numPr>
        <w:spacing w:after="0"/>
        <w:ind w:firstLine="720"/>
        <w:jc w:val="both"/>
      </w:pPr>
      <w:r w:rsidRPr="00B05950">
        <w:rPr>
          <w:rFonts w:asciiTheme="majorBidi" w:hAnsiTheme="majorBidi" w:cstheme="majorBidi"/>
        </w:rPr>
        <w:t>[7.3] </w:t>
      </w:r>
      <w:r w:rsidRPr="00B05950">
        <w:t>Krimināllikuma 78. panta otrajā daļā paredzētā noziedzīgā nodarījuma objektīvo pusi veido darbības, kas vērstas uz nacionālā, etniskā, rasu vai reliģiskā naida vai nesaticības izraisīšanu, ja to izdarījusi personu grupa vai valsts amatpersona, vai uzņēmuma (uzņēmējsabiedrības) vai organizācijas atbildīgs darbinieks vai ja tā izdarīta, izmantojot automatizētu datu apstrādes sistēmu.</w:t>
      </w:r>
    </w:p>
    <w:p w14:paraId="4A809B37" w14:textId="61649EB1" w:rsidR="005B4589" w:rsidRPr="00B05950" w:rsidRDefault="005B4589" w:rsidP="005B4589">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B05950">
        <w:rPr>
          <w:rFonts w:asciiTheme="majorBidi" w:hAnsiTheme="majorBidi" w:cstheme="majorBidi"/>
        </w:rPr>
        <w:t xml:space="preserve">[7.4] Apelācijas instances tiesa </w:t>
      </w:r>
      <w:r w:rsidRPr="00B05950">
        <w:rPr>
          <w:rFonts w:asciiTheme="majorBidi" w:eastAsiaTheme="minorHAnsi" w:hAnsiTheme="majorBidi" w:cstheme="majorBidi"/>
          <w:lang w:eastAsia="en-US"/>
          <w14:ligatures w14:val="standardContextual"/>
        </w:rPr>
        <w:t xml:space="preserve">atzinusi, ka </w:t>
      </w:r>
      <w:r w:rsidR="00191365">
        <w:rPr>
          <w:rFonts w:asciiTheme="majorBidi" w:hAnsiTheme="majorBidi" w:cstheme="majorBidi"/>
        </w:rPr>
        <w:t>[pers. A]</w:t>
      </w:r>
      <w:r w:rsidRPr="00B05950">
        <w:rPr>
          <w:rFonts w:asciiTheme="majorBidi" w:hAnsiTheme="majorBidi" w:cstheme="majorBidi"/>
        </w:rPr>
        <w:t xml:space="preserve"> darbībās nav Krimināllikuma 78</w:t>
      </w:r>
      <w:r w:rsidR="00B965FF" w:rsidRPr="00B05950">
        <w:rPr>
          <w:rFonts w:asciiTheme="majorBidi" w:hAnsiTheme="majorBidi" w:cstheme="majorBidi"/>
        </w:rPr>
        <w:t>. </w:t>
      </w:r>
      <w:r w:rsidRPr="00B05950">
        <w:rPr>
          <w:rFonts w:asciiTheme="majorBidi" w:hAnsiTheme="majorBidi" w:cstheme="majorBidi"/>
        </w:rPr>
        <w:t xml:space="preserve">panta otrajā daļā paredzētā noziedzīgā nodarījuma sastāva, proti, noziedzīga nodarījuma sastāva objektīvās puses, un taisījusi apsūdzēto </w:t>
      </w:r>
      <w:r w:rsidR="00191365">
        <w:rPr>
          <w:rFonts w:asciiTheme="majorBidi" w:hAnsiTheme="majorBidi" w:cstheme="majorBidi"/>
        </w:rPr>
        <w:t>[pers. A]</w:t>
      </w:r>
      <w:r w:rsidRPr="00B05950">
        <w:rPr>
          <w:rFonts w:asciiTheme="majorBidi" w:hAnsiTheme="majorBidi" w:cstheme="majorBidi"/>
        </w:rPr>
        <w:t xml:space="preserve"> attaisnojošu spriedumu, pamatojoties uz Kriminālprocesa likuma 519. panta 1. punktu. </w:t>
      </w:r>
      <w:r w:rsidRPr="00B05950">
        <w:rPr>
          <w:rFonts w:asciiTheme="majorBidi" w:eastAsiaTheme="minorHAnsi" w:hAnsiTheme="majorBidi" w:cstheme="majorBidi"/>
          <w:lang w:eastAsia="en-US"/>
          <w14:ligatures w14:val="standardContextual"/>
        </w:rPr>
        <w:t xml:space="preserve">Vienlaikus tiesa atzinusi, ka </w:t>
      </w:r>
      <w:r w:rsidR="00191365">
        <w:rPr>
          <w:rFonts w:asciiTheme="majorBidi" w:hAnsiTheme="majorBidi" w:cstheme="majorBidi"/>
        </w:rPr>
        <w:t>[pers. A]</w:t>
      </w:r>
      <w:r w:rsidRPr="00B05950">
        <w:rPr>
          <w:rFonts w:asciiTheme="majorBidi" w:eastAsiaTheme="minorHAnsi" w:hAnsiTheme="majorBidi" w:cstheme="majorBidi"/>
          <w:lang w:eastAsia="en-US"/>
          <w14:ligatures w14:val="standardContextual"/>
        </w:rPr>
        <w:t xml:space="preserve"> nepārprotami ir izteicis aicinājumu veikt darbības, kas būtu vērstas uz to, lai ķīniešu tautības cilvēki beigtu pastāvēt. </w:t>
      </w:r>
    </w:p>
    <w:p w14:paraId="42CF647F" w14:textId="748AF622" w:rsidR="005B4589" w:rsidRPr="00B05950" w:rsidRDefault="005B4589" w:rsidP="00E1342E">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B05950">
        <w:rPr>
          <w:rFonts w:asciiTheme="majorBidi" w:eastAsiaTheme="minorHAnsi" w:hAnsiTheme="majorBidi" w:cstheme="majorBidi"/>
          <w:lang w:eastAsia="en-US"/>
          <w14:ligatures w14:val="standardContextual"/>
        </w:rPr>
        <w:t xml:space="preserve">Tiesa arī secinājusi, ka vēstījuma ārējais naidīgums raksturojas tikai ar vārda </w:t>
      </w:r>
      <w:r w:rsidR="00B965FF"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likvidēt” lietošanu pret ķīniešu nacionalitātes cilvēkiem</w:t>
      </w:r>
      <w:r w:rsidR="00B965FF" w:rsidRPr="00B05950">
        <w:rPr>
          <w:rFonts w:asciiTheme="majorBidi" w:eastAsiaTheme="minorHAnsi" w:hAnsiTheme="majorBidi" w:cstheme="majorBidi"/>
          <w:lang w:eastAsia="en-US"/>
          <w14:ligatures w14:val="standardContextual"/>
        </w:rPr>
        <w:t xml:space="preserve"> un</w:t>
      </w:r>
      <w:r w:rsidRPr="00B05950">
        <w:rPr>
          <w:rFonts w:asciiTheme="majorBidi" w:eastAsiaTheme="minorHAnsi" w:hAnsiTheme="majorBidi" w:cstheme="majorBidi"/>
          <w:lang w:eastAsia="en-US"/>
          <w14:ligatures w14:val="standardContextual"/>
        </w:rPr>
        <w:t xml:space="preserve"> Ķīnas Tautas Republiku. Tiesa norādījusi, ka vārda </w:t>
      </w:r>
      <w:r w:rsidR="00B965FF"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 xml:space="preserve">likvidēt” nozīme latviešu valodā nav saprotama viennozīmīgi un tikai ar klaji naidīgu jēgu: ar vārdu </w:t>
      </w:r>
      <w:r w:rsidR="00E1342E"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likvidācija</w:t>
      </w:r>
      <w:r w:rsidR="00E1342E"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 xml:space="preserve"> ir saprotama virkne juridisku procedūru, kas saistās ar valstī noteiktu kārtību, kādā tiek izbeigta dažādu juridisku personu darbība (</w:t>
      </w:r>
      <w:r w:rsidRPr="00B05950">
        <w:rPr>
          <w:rFonts w:asciiTheme="majorBidi" w:eastAsiaTheme="minorHAnsi" w:hAnsiTheme="majorBidi" w:cstheme="majorBidi"/>
          <w:i/>
          <w:iCs/>
          <w:lang w:eastAsia="en-US"/>
          <w14:ligatures w14:val="standardContextual"/>
        </w:rPr>
        <w:t xml:space="preserve">Latviešu konversācijas vārdnīca, izdevniecība </w:t>
      </w:r>
      <w:r w:rsidR="00E1342E" w:rsidRPr="00B05950">
        <w:rPr>
          <w:rFonts w:asciiTheme="majorBidi" w:eastAsiaTheme="minorHAnsi" w:hAnsiTheme="majorBidi" w:cstheme="majorBidi"/>
          <w:i/>
          <w:iCs/>
          <w:lang w:eastAsia="en-US"/>
          <w14:ligatures w14:val="standardContextual"/>
        </w:rPr>
        <w:t>„</w:t>
      </w:r>
      <w:proofErr w:type="spellStart"/>
      <w:r w:rsidRPr="00B05950">
        <w:rPr>
          <w:rFonts w:asciiTheme="majorBidi" w:eastAsiaTheme="minorHAnsi" w:hAnsiTheme="majorBidi" w:cstheme="majorBidi"/>
          <w:i/>
          <w:iCs/>
          <w:lang w:eastAsia="en-US"/>
          <w14:ligatures w14:val="standardContextual"/>
        </w:rPr>
        <w:t>Antēra</w:t>
      </w:r>
      <w:proofErr w:type="spellEnd"/>
      <w:r w:rsidRPr="00B05950">
        <w:rPr>
          <w:rFonts w:asciiTheme="majorBidi" w:eastAsiaTheme="minorHAnsi" w:hAnsiTheme="majorBidi" w:cstheme="majorBidi"/>
          <w:i/>
          <w:iCs/>
          <w:lang w:eastAsia="en-US"/>
          <w14:ligatures w14:val="standardContextual"/>
        </w:rPr>
        <w:t>”, Rīgā, 2001</w:t>
      </w:r>
      <w:r w:rsidR="00E1342E" w:rsidRPr="00B05950">
        <w:rPr>
          <w:rFonts w:asciiTheme="majorBidi" w:eastAsiaTheme="minorHAnsi" w:hAnsiTheme="majorBidi" w:cstheme="majorBidi"/>
          <w:i/>
          <w:iCs/>
          <w:lang w:eastAsia="en-US"/>
          <w14:ligatures w14:val="standardContextual"/>
        </w:rPr>
        <w:t>. </w:t>
      </w:r>
      <w:r w:rsidRPr="00B05950">
        <w:rPr>
          <w:rFonts w:asciiTheme="majorBidi" w:eastAsiaTheme="minorHAnsi" w:hAnsiTheme="majorBidi" w:cstheme="majorBidi"/>
          <w:i/>
          <w:iCs/>
          <w:lang w:eastAsia="en-US"/>
          <w14:ligatures w14:val="standardContextual"/>
        </w:rPr>
        <w:t xml:space="preserve">gada </w:t>
      </w:r>
      <w:proofErr w:type="spellStart"/>
      <w:r w:rsidRPr="00B05950">
        <w:rPr>
          <w:rFonts w:asciiTheme="majorBidi" w:eastAsiaTheme="minorHAnsi" w:hAnsiTheme="majorBidi" w:cstheme="majorBidi"/>
          <w:i/>
          <w:iCs/>
          <w:lang w:eastAsia="en-US"/>
          <w14:ligatures w14:val="standardContextual"/>
        </w:rPr>
        <w:t>faksimilizdevums</w:t>
      </w:r>
      <w:proofErr w:type="spellEnd"/>
      <w:r w:rsidRPr="00B05950">
        <w:rPr>
          <w:rFonts w:asciiTheme="majorBidi" w:eastAsiaTheme="minorHAnsi" w:hAnsiTheme="majorBidi" w:cstheme="majorBidi"/>
          <w:i/>
          <w:iCs/>
          <w:lang w:eastAsia="en-US"/>
          <w14:ligatures w14:val="standardContextual"/>
        </w:rPr>
        <w:t>, 12.</w:t>
      </w:r>
      <w:r w:rsidR="00E1342E" w:rsidRPr="00B05950">
        <w:rPr>
          <w:rFonts w:asciiTheme="majorBidi" w:eastAsiaTheme="minorHAnsi" w:hAnsiTheme="majorBidi" w:cstheme="majorBidi"/>
          <w:i/>
          <w:iCs/>
          <w:lang w:eastAsia="en-US"/>
          <w14:ligatures w14:val="standardContextual"/>
        </w:rPr>
        <w:t> </w:t>
      </w:r>
      <w:r w:rsidRPr="00B05950">
        <w:rPr>
          <w:rFonts w:asciiTheme="majorBidi" w:eastAsiaTheme="minorHAnsi" w:hAnsiTheme="majorBidi" w:cstheme="majorBidi"/>
          <w:i/>
          <w:iCs/>
          <w:lang w:eastAsia="en-US"/>
          <w14:ligatures w14:val="standardContextual"/>
        </w:rPr>
        <w:t>sējums, 23498-23501 sleja</w:t>
      </w:r>
      <w:r w:rsidRPr="00B05950">
        <w:rPr>
          <w:rFonts w:asciiTheme="majorBidi" w:eastAsiaTheme="minorHAnsi" w:hAnsiTheme="majorBidi" w:cstheme="majorBidi"/>
          <w:lang w:eastAsia="en-US"/>
          <w14:ligatures w14:val="standardContextual"/>
        </w:rPr>
        <w:t xml:space="preserve">); </w:t>
      </w:r>
      <w:r w:rsidR="002140A6"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 xml:space="preserve">likvidēt” [franču </w:t>
      </w:r>
      <w:proofErr w:type="spellStart"/>
      <w:r w:rsidRPr="00B05950">
        <w:rPr>
          <w:rFonts w:asciiTheme="majorBidi" w:eastAsiaTheme="minorHAnsi" w:hAnsiTheme="majorBidi" w:cstheme="majorBidi"/>
          <w:i/>
          <w:iCs/>
          <w:lang w:eastAsia="en-US"/>
          <w14:ligatures w14:val="standardContextual"/>
        </w:rPr>
        <w:t>liquider</w:t>
      </w:r>
      <w:proofErr w:type="spellEnd"/>
      <w:r w:rsidRPr="00B05950">
        <w:rPr>
          <w:rFonts w:asciiTheme="majorBidi" w:eastAsiaTheme="minorHAnsi" w:hAnsiTheme="majorBidi" w:cstheme="majorBidi"/>
          <w:lang w:eastAsia="en-US"/>
          <w14:ligatures w14:val="standardContextual"/>
        </w:rPr>
        <w:t xml:space="preserve">, latīņu </w:t>
      </w:r>
      <w:proofErr w:type="spellStart"/>
      <w:r w:rsidRPr="00B05950">
        <w:rPr>
          <w:rFonts w:asciiTheme="majorBidi" w:eastAsiaTheme="minorHAnsi" w:hAnsiTheme="majorBidi" w:cstheme="majorBidi"/>
          <w:i/>
          <w:iCs/>
          <w:lang w:eastAsia="en-US"/>
          <w14:ligatures w14:val="standardContextual"/>
        </w:rPr>
        <w:t>liquidare</w:t>
      </w:r>
      <w:proofErr w:type="spellEnd"/>
      <w:r w:rsidRPr="00B05950">
        <w:rPr>
          <w:rFonts w:asciiTheme="majorBidi" w:eastAsiaTheme="minorHAnsi" w:hAnsiTheme="majorBidi" w:cstheme="majorBidi"/>
          <w:lang w:eastAsia="en-US"/>
          <w14:ligatures w14:val="standardContextual"/>
        </w:rPr>
        <w:t xml:space="preserve"> </w:t>
      </w:r>
      <w:r w:rsidR="00E1342E"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 xml:space="preserve"> padarīt skaidru] 1</w:t>
      </w:r>
      <w:r w:rsidR="002140A6" w:rsidRPr="00B05950">
        <w:rPr>
          <w:rFonts w:asciiTheme="majorBidi" w:eastAsiaTheme="minorHAnsi" w:hAnsiTheme="majorBidi" w:cstheme="majorBidi"/>
          <w:lang w:eastAsia="en-US"/>
          <w14:ligatures w14:val="standardContextual"/>
        </w:rPr>
        <w:t>. </w:t>
      </w:r>
      <w:r w:rsidRPr="00B05950">
        <w:rPr>
          <w:rFonts w:asciiTheme="majorBidi" w:eastAsiaTheme="minorHAnsi" w:hAnsiTheme="majorBidi" w:cstheme="majorBidi"/>
          <w:lang w:eastAsia="en-US"/>
          <w14:ligatures w14:val="standardContextual"/>
        </w:rPr>
        <w:t>panākt, lai kaut kas beidz pastāvēt, beidz darboties</w:t>
      </w:r>
      <w:r w:rsidR="002140A6"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 xml:space="preserve"> 2</w:t>
      </w:r>
      <w:r w:rsidR="002140A6" w:rsidRPr="00B05950">
        <w:rPr>
          <w:rFonts w:asciiTheme="majorBidi" w:eastAsiaTheme="minorHAnsi" w:hAnsiTheme="majorBidi" w:cstheme="majorBidi"/>
          <w:lang w:eastAsia="en-US"/>
          <w14:ligatures w14:val="standardContextual"/>
        </w:rPr>
        <w:t>. </w:t>
      </w:r>
      <w:r w:rsidRPr="00B05950">
        <w:rPr>
          <w:rFonts w:asciiTheme="majorBidi" w:eastAsiaTheme="minorHAnsi" w:hAnsiTheme="majorBidi" w:cstheme="majorBidi"/>
          <w:lang w:eastAsia="en-US"/>
          <w14:ligatures w14:val="standardContextual"/>
        </w:rPr>
        <w:t>panākt, lai kaut kas izzūd</w:t>
      </w:r>
      <w:r w:rsidR="002140A6" w:rsidRPr="00B05950">
        <w:rPr>
          <w:rFonts w:asciiTheme="majorBidi" w:eastAsiaTheme="minorHAnsi" w:hAnsiTheme="majorBidi" w:cstheme="majorBidi"/>
          <w:lang w:eastAsia="en-US"/>
          <w14:ligatures w14:val="standardContextual"/>
        </w:rPr>
        <w:t>;</w:t>
      </w:r>
      <w:r w:rsidRPr="00B05950">
        <w:rPr>
          <w:rFonts w:asciiTheme="majorBidi" w:eastAsiaTheme="minorHAnsi" w:hAnsiTheme="majorBidi" w:cstheme="majorBidi"/>
          <w:lang w:eastAsia="en-US"/>
          <w14:ligatures w14:val="standardContextual"/>
        </w:rPr>
        <w:t xml:space="preserve"> 3</w:t>
      </w:r>
      <w:r w:rsidR="002140A6" w:rsidRPr="00B05950">
        <w:rPr>
          <w:rFonts w:asciiTheme="majorBidi" w:eastAsiaTheme="minorHAnsi" w:hAnsiTheme="majorBidi" w:cstheme="majorBidi"/>
          <w:lang w:eastAsia="en-US"/>
          <w14:ligatures w14:val="standardContextual"/>
        </w:rPr>
        <w:t>. </w:t>
      </w:r>
      <w:r w:rsidRPr="00B05950">
        <w:rPr>
          <w:rFonts w:asciiTheme="majorBidi" w:eastAsiaTheme="minorHAnsi" w:hAnsiTheme="majorBidi" w:cstheme="majorBidi"/>
          <w:lang w:eastAsia="en-US"/>
          <w14:ligatures w14:val="standardContextual"/>
        </w:rPr>
        <w:t>iznīcināt, nonāvēt (</w:t>
      </w:r>
      <w:r w:rsidRPr="00B05950">
        <w:rPr>
          <w:rFonts w:asciiTheme="majorBidi" w:eastAsiaTheme="minorHAnsi" w:hAnsiTheme="majorBidi" w:cstheme="majorBidi"/>
          <w:i/>
          <w:iCs/>
          <w:lang w:eastAsia="en-US"/>
          <w14:ligatures w14:val="standardContextual"/>
        </w:rPr>
        <w:t xml:space="preserve">Svešvārdu vārdnīca, </w:t>
      </w:r>
      <w:r w:rsidR="002140A6" w:rsidRPr="00B05950">
        <w:rPr>
          <w:rFonts w:asciiTheme="majorBidi" w:eastAsiaTheme="minorHAnsi" w:hAnsiTheme="majorBidi" w:cstheme="majorBidi"/>
          <w:i/>
          <w:iCs/>
          <w:lang w:eastAsia="en-US"/>
          <w14:ligatures w14:val="standardContextual"/>
        </w:rPr>
        <w:t xml:space="preserve">Rīgā: </w:t>
      </w:r>
      <w:r w:rsidRPr="00B05950">
        <w:rPr>
          <w:rFonts w:asciiTheme="majorBidi" w:eastAsiaTheme="minorHAnsi" w:hAnsiTheme="majorBidi" w:cstheme="majorBidi"/>
          <w:i/>
          <w:iCs/>
          <w:lang w:eastAsia="en-US"/>
          <w14:ligatures w14:val="standardContextual"/>
        </w:rPr>
        <w:t xml:space="preserve">izdevniecība </w:t>
      </w:r>
      <w:r w:rsidR="002140A6" w:rsidRPr="00B05950">
        <w:rPr>
          <w:rFonts w:asciiTheme="majorBidi" w:eastAsiaTheme="minorHAnsi" w:hAnsiTheme="majorBidi" w:cstheme="majorBidi"/>
          <w:i/>
          <w:iCs/>
          <w:lang w:eastAsia="en-US"/>
          <w14:ligatures w14:val="standardContextual"/>
        </w:rPr>
        <w:t>„</w:t>
      </w:r>
      <w:r w:rsidRPr="00B05950">
        <w:rPr>
          <w:rFonts w:asciiTheme="majorBidi" w:eastAsiaTheme="minorHAnsi" w:hAnsiTheme="majorBidi" w:cstheme="majorBidi"/>
          <w:i/>
          <w:iCs/>
          <w:lang w:eastAsia="en-US"/>
          <w14:ligatures w14:val="standardContextual"/>
        </w:rPr>
        <w:t>Jumava</w:t>
      </w:r>
      <w:r w:rsidR="002140A6" w:rsidRPr="00B05950">
        <w:rPr>
          <w:rFonts w:asciiTheme="majorBidi" w:eastAsiaTheme="minorHAnsi" w:hAnsiTheme="majorBidi" w:cstheme="majorBidi"/>
          <w:i/>
          <w:iCs/>
          <w:lang w:eastAsia="en-US"/>
          <w14:ligatures w14:val="standardContextual"/>
        </w:rPr>
        <w:t>”</w:t>
      </w:r>
      <w:r w:rsidRPr="00B05950">
        <w:rPr>
          <w:rFonts w:asciiTheme="majorBidi" w:eastAsiaTheme="minorHAnsi" w:hAnsiTheme="majorBidi" w:cstheme="majorBidi"/>
          <w:i/>
          <w:iCs/>
          <w:lang w:eastAsia="en-US"/>
          <w14:ligatures w14:val="standardContextual"/>
        </w:rPr>
        <w:t>, 1999</w:t>
      </w:r>
      <w:r w:rsidR="002140A6" w:rsidRPr="00B05950">
        <w:rPr>
          <w:rFonts w:asciiTheme="majorBidi" w:eastAsiaTheme="minorHAnsi" w:hAnsiTheme="majorBidi" w:cstheme="majorBidi"/>
          <w:i/>
          <w:iCs/>
          <w:lang w:eastAsia="en-US"/>
          <w14:ligatures w14:val="standardContextual"/>
        </w:rPr>
        <w:t>. </w:t>
      </w:r>
      <w:r w:rsidRPr="00B05950">
        <w:rPr>
          <w:rFonts w:asciiTheme="majorBidi" w:eastAsiaTheme="minorHAnsi" w:hAnsiTheme="majorBidi" w:cstheme="majorBidi"/>
          <w:i/>
          <w:iCs/>
          <w:lang w:eastAsia="en-US"/>
          <w14:ligatures w14:val="standardContextual"/>
        </w:rPr>
        <w:t>gads</w:t>
      </w:r>
      <w:r w:rsidR="002140A6" w:rsidRPr="00B05950">
        <w:rPr>
          <w:rFonts w:asciiTheme="majorBidi" w:eastAsiaTheme="minorHAnsi" w:hAnsiTheme="majorBidi" w:cstheme="majorBidi"/>
          <w:i/>
          <w:iCs/>
          <w:lang w:eastAsia="en-US"/>
          <w14:ligatures w14:val="standardContextual"/>
        </w:rPr>
        <w:t>,</w:t>
      </w:r>
      <w:r w:rsidR="002140A6" w:rsidRPr="00B05950">
        <w:rPr>
          <w:rFonts w:eastAsiaTheme="minorHAnsi"/>
          <w:i/>
          <w:iCs/>
        </w:rPr>
        <w:t> </w:t>
      </w:r>
      <w:r w:rsidRPr="00B05950">
        <w:rPr>
          <w:rFonts w:asciiTheme="majorBidi" w:eastAsiaTheme="minorHAnsi" w:hAnsiTheme="majorBidi" w:cstheme="majorBidi"/>
          <w:i/>
          <w:iCs/>
          <w:lang w:eastAsia="en-US"/>
          <w14:ligatures w14:val="standardContextual"/>
        </w:rPr>
        <w:t>436</w:t>
      </w:r>
      <w:r w:rsidR="002140A6" w:rsidRPr="00B05950">
        <w:rPr>
          <w:rFonts w:asciiTheme="majorBidi" w:eastAsiaTheme="minorHAnsi" w:hAnsiTheme="majorBidi" w:cstheme="majorBidi"/>
          <w:i/>
          <w:iCs/>
          <w:lang w:eastAsia="en-US"/>
          <w14:ligatures w14:val="standardContextual"/>
        </w:rPr>
        <w:t>. lapa</w:t>
      </w:r>
      <w:r w:rsidRPr="00B05950">
        <w:rPr>
          <w:rFonts w:asciiTheme="majorBidi" w:eastAsiaTheme="minorHAnsi" w:hAnsiTheme="majorBidi" w:cstheme="majorBidi"/>
          <w:lang w:eastAsia="en-US"/>
          <w14:ligatures w14:val="standardContextual"/>
        </w:rPr>
        <w:t xml:space="preserve">). Tiesa atzinusi, ka </w:t>
      </w:r>
      <w:r w:rsidR="00191365">
        <w:rPr>
          <w:rFonts w:asciiTheme="majorBidi" w:hAnsiTheme="majorBidi" w:cstheme="majorBidi"/>
        </w:rPr>
        <w:t>[pers. A]</w:t>
      </w:r>
      <w:r w:rsidRPr="00B05950">
        <w:rPr>
          <w:rFonts w:asciiTheme="majorBidi" w:eastAsiaTheme="minorHAnsi" w:hAnsiTheme="majorBidi" w:cstheme="majorBidi"/>
          <w:lang w:eastAsia="en-US"/>
          <w14:ligatures w14:val="standardContextual"/>
        </w:rPr>
        <w:t xml:space="preserve"> izteikumi var tikt izprasti dažādi un savā tiešumā nav galēji sakāpināti. </w:t>
      </w:r>
    </w:p>
    <w:p w14:paraId="139AC58A" w14:textId="4CDC2867" w:rsidR="003354DC" w:rsidRPr="00B05950" w:rsidRDefault="003354DC" w:rsidP="002C51FE">
      <w:pPr>
        <w:spacing w:line="276" w:lineRule="auto"/>
        <w:ind w:firstLine="709"/>
        <w:jc w:val="both"/>
      </w:pPr>
      <w:r w:rsidRPr="00B05950">
        <w:t>[7.</w:t>
      </w:r>
      <w:r w:rsidR="005B4589" w:rsidRPr="00B05950">
        <w:t>5</w:t>
      </w:r>
      <w:r w:rsidRPr="00B05950">
        <w:t xml:space="preserve">] Eiropas Cilvēktiesību tiesas judikatūrā ir atzīts, ka vārda brīvība ir viens no demokrātiskas sabiedrības pamatprincipiem un ir viena no būtiskākajām tās attīstības un indivīda pašizpausmes priekšnosacījumiem. Saskaņā ar </w:t>
      </w:r>
      <w:r w:rsidR="002C51FE" w:rsidRPr="00B05950">
        <w:t xml:space="preserve">Cilvēka tiesību un pamatbrīvību aizsardzības </w:t>
      </w:r>
      <w:r w:rsidRPr="00B05950">
        <w:t xml:space="preserve">konvencijas </w:t>
      </w:r>
      <w:r w:rsidR="002C51FE" w:rsidRPr="00B05950">
        <w:t>(turpmāk – Konvencija)</w:t>
      </w:r>
      <w:r w:rsidR="001C69D6" w:rsidRPr="00B05950">
        <w:t xml:space="preserve"> </w:t>
      </w:r>
      <w:r w:rsidRPr="00B05950">
        <w:t>10.</w:t>
      </w:r>
      <w:r w:rsidR="002140A6" w:rsidRPr="00B05950">
        <w:t> </w:t>
      </w:r>
      <w:r w:rsidRPr="00B05950">
        <w:t>panta 2</w:t>
      </w:r>
      <w:r w:rsidR="002140A6" w:rsidRPr="00B05950">
        <w:t>. </w:t>
      </w:r>
      <w:r w:rsidRPr="00B05950">
        <w:t>punktu tā attiecas ne tikai uz informāciju vai idejām, kas tiek pieņemtas labvēlīgi vai tiek uzskatītas par nekaitīgām</w:t>
      </w:r>
      <w:r w:rsidR="002140A6" w:rsidRPr="00B05950">
        <w:t>,</w:t>
      </w:r>
      <w:r w:rsidRPr="00B05950">
        <w:t xml:space="preserve"> vai vienaldzīgām, bet arī uz tām, kas var aizskart, šokēt vai satraukt. Plurālisms, iecietība un </w:t>
      </w:r>
      <w:proofErr w:type="spellStart"/>
      <w:r w:rsidRPr="00B05950">
        <w:t>atvērtība</w:t>
      </w:r>
      <w:proofErr w:type="spellEnd"/>
      <w:r w:rsidRPr="00B05950">
        <w:t xml:space="preserve"> ir priekšnoteikumi demokrātiskas sabiedrības pastāvēšanai. Vienlaikus tiesa norādījusi, ka izteikumi, kas aizstāv vai attaisno vardarbību, naidu, ksenofobiju vai jebkādu citu neiecietības formu, nav aizsargājami. Aicinājumi uz neiecietību, kas kopā ar vardarbības un naida izraisīšanu, ir robeža, kuru nekādā gadījumā nedrīkst pārkāpt, īstenojot vārda brīvību. Tiesa arī uzsvērusi, ka naida runa ne vienmēr nozīmē tiešu </w:t>
      </w:r>
      <w:r w:rsidRPr="00B05950">
        <w:lastRenderedPageBreak/>
        <w:t>aicinājumu uz vardarbību vai citiem noziedzīgiem nodarījumiem. Arī izteikumi, kas aizskar, pazemo vai nomelno noteiktas sabiedrības grupas, var būt pietiekams pamats, lai varas iestādes dotu priekšroku cīņai pret naida runu, nevis bezatbildīgi izmantotai vārda brīvībai (</w:t>
      </w:r>
      <w:bookmarkStart w:id="5" w:name="_Hlk195000869"/>
      <w:r w:rsidRPr="00B05950">
        <w:rPr>
          <w:i/>
          <w:iCs/>
        </w:rPr>
        <w:t>Eiropas Cilvēktiesību tiesas 2022. gada 20. decembra sprieduma lietā „</w:t>
      </w:r>
      <w:proofErr w:type="spellStart"/>
      <w:r w:rsidRPr="00B05950">
        <w:rPr>
          <w:i/>
          <w:iCs/>
        </w:rPr>
        <w:t>Zemmour</w:t>
      </w:r>
      <w:proofErr w:type="spellEnd"/>
      <w:r w:rsidRPr="00B05950">
        <w:rPr>
          <w:i/>
          <w:iCs/>
        </w:rPr>
        <w:t xml:space="preserve"> v. </w:t>
      </w:r>
      <w:proofErr w:type="spellStart"/>
      <w:r w:rsidRPr="00B05950">
        <w:rPr>
          <w:i/>
          <w:iCs/>
        </w:rPr>
        <w:t>France</w:t>
      </w:r>
      <w:proofErr w:type="spellEnd"/>
      <w:r w:rsidRPr="00B05950">
        <w:rPr>
          <w:i/>
          <w:iCs/>
        </w:rPr>
        <w:t>”, iesnieguma Nr</w:t>
      </w:r>
      <w:r w:rsidR="002140A6" w:rsidRPr="00B05950">
        <w:rPr>
          <w:i/>
          <w:iCs/>
        </w:rPr>
        <w:t>. </w:t>
      </w:r>
      <w:hyperlink r:id="rId9" w:anchor="{%22itemid%22:[%22001-221837%22]}" w:history="1">
        <w:r w:rsidRPr="00B05950">
          <w:rPr>
            <w:rStyle w:val="Hyperlink"/>
            <w:i/>
            <w:iCs/>
            <w:color w:val="auto"/>
          </w:rPr>
          <w:t>63539/19</w:t>
        </w:r>
      </w:hyperlink>
      <w:bookmarkEnd w:id="5"/>
      <w:r w:rsidRPr="00B05950">
        <w:rPr>
          <w:i/>
          <w:iCs/>
        </w:rPr>
        <w:t>, 48.–54. p</w:t>
      </w:r>
      <w:r w:rsidR="002140A6" w:rsidRPr="00B05950">
        <w:rPr>
          <w:i/>
          <w:iCs/>
        </w:rPr>
        <w:t>unkts</w:t>
      </w:r>
      <w:r w:rsidRPr="00B05950">
        <w:t>). Turklāt īpaša uzmanība ir pievēršama gadījumiem, kad vardarbības aicinājumi, naidu saturošas ziņas tiek paustas pret etnisku, reliģisku vai citu personu grupu (</w:t>
      </w:r>
      <w:bookmarkStart w:id="6" w:name="_Hlk195000877"/>
      <w:r w:rsidRPr="00B05950">
        <w:rPr>
          <w:i/>
          <w:iCs/>
        </w:rPr>
        <w:t>Eiropas Cilvēktiesību tiesas 2015.</w:t>
      </w:r>
      <w:r w:rsidR="002140A6" w:rsidRPr="00B05950">
        <w:rPr>
          <w:i/>
          <w:iCs/>
        </w:rPr>
        <w:t> </w:t>
      </w:r>
      <w:r w:rsidRPr="00B05950">
        <w:rPr>
          <w:i/>
          <w:iCs/>
        </w:rPr>
        <w:t>gada 15.</w:t>
      </w:r>
      <w:r w:rsidR="002140A6" w:rsidRPr="00B05950">
        <w:rPr>
          <w:i/>
          <w:iCs/>
        </w:rPr>
        <w:t> </w:t>
      </w:r>
      <w:r w:rsidRPr="00B05950">
        <w:rPr>
          <w:i/>
          <w:iCs/>
        </w:rPr>
        <w:t>o</w:t>
      </w:r>
      <w:r w:rsidR="002140A6" w:rsidRPr="00B05950">
        <w:rPr>
          <w:i/>
          <w:iCs/>
        </w:rPr>
        <w:t>k</w:t>
      </w:r>
      <w:r w:rsidRPr="00B05950">
        <w:rPr>
          <w:i/>
          <w:iCs/>
        </w:rPr>
        <w:t>tobra sprieduma lietā „</w:t>
      </w:r>
      <w:proofErr w:type="spellStart"/>
      <w:r w:rsidRPr="00B05950">
        <w:rPr>
          <w:i/>
          <w:iCs/>
        </w:rPr>
        <w:t>Perinçek</w:t>
      </w:r>
      <w:proofErr w:type="spellEnd"/>
      <w:r w:rsidRPr="00B05950">
        <w:rPr>
          <w:i/>
          <w:iCs/>
        </w:rPr>
        <w:t xml:space="preserve"> v. </w:t>
      </w:r>
      <w:proofErr w:type="spellStart"/>
      <w:r w:rsidRPr="00B05950">
        <w:rPr>
          <w:i/>
          <w:iCs/>
        </w:rPr>
        <w:t>Switzerland</w:t>
      </w:r>
      <w:proofErr w:type="spellEnd"/>
      <w:r w:rsidRPr="00B05950">
        <w:rPr>
          <w:i/>
          <w:iCs/>
        </w:rPr>
        <w:t>”, iesnieguma Nr.</w:t>
      </w:r>
      <w:r w:rsidR="002140A6" w:rsidRPr="00B05950">
        <w:rPr>
          <w:i/>
          <w:iCs/>
        </w:rPr>
        <w:t> </w:t>
      </w:r>
      <w:hyperlink r:id="rId10" w:anchor="{%22itemid%22:[%22001-158235%22]}" w:history="1">
        <w:r w:rsidRPr="00B05950">
          <w:rPr>
            <w:rStyle w:val="Hyperlink"/>
            <w:i/>
            <w:iCs/>
            <w:color w:val="auto"/>
          </w:rPr>
          <w:t>27510/08</w:t>
        </w:r>
      </w:hyperlink>
      <w:bookmarkEnd w:id="6"/>
      <w:r w:rsidRPr="00B05950">
        <w:rPr>
          <w:i/>
          <w:iCs/>
        </w:rPr>
        <w:t>, 206.</w:t>
      </w:r>
      <w:r w:rsidRPr="00B05950">
        <w:t> </w:t>
      </w:r>
      <w:r w:rsidRPr="00B05950">
        <w:rPr>
          <w:i/>
          <w:iCs/>
        </w:rPr>
        <w:t>punkts</w:t>
      </w:r>
      <w:r w:rsidRPr="00B05950">
        <w:t>).</w:t>
      </w:r>
    </w:p>
    <w:p w14:paraId="03DA6AF0" w14:textId="147B9E41" w:rsidR="00541B85" w:rsidRPr="00B05950" w:rsidRDefault="003354DC" w:rsidP="00541B85">
      <w:pPr>
        <w:spacing w:line="276" w:lineRule="auto"/>
        <w:ind w:firstLine="709"/>
        <w:jc w:val="both"/>
        <w:rPr>
          <w:rFonts w:ascii="TimesNewRomanPSMT" w:eastAsiaTheme="minorHAnsi" w:hAnsi="TimesNewRomanPSMT" w:cs="TimesNewRomanPSMT"/>
          <w:lang w:eastAsia="en-US"/>
          <w14:ligatures w14:val="standardContextual"/>
        </w:rPr>
      </w:pPr>
      <w:r w:rsidRPr="00B05950">
        <w:t>[7.</w:t>
      </w:r>
      <w:r w:rsidR="005B4589" w:rsidRPr="00B05950">
        <w:t>6</w:t>
      </w:r>
      <w:r w:rsidRPr="00B05950">
        <w:t>] </w:t>
      </w:r>
      <w:r w:rsidR="00541B85" w:rsidRPr="00B05950">
        <w:rPr>
          <w:rFonts w:ascii="TimesNewRomanPSMT" w:eastAsiaTheme="minorHAnsi" w:hAnsi="TimesNewRomanPSMT" w:cs="TimesNewRomanPSMT"/>
          <w:lang w:eastAsia="en-US"/>
          <w14:ligatures w14:val="standardContextual"/>
        </w:rPr>
        <w:t xml:space="preserve">Senāts </w:t>
      </w:r>
      <w:r w:rsidR="005B4589" w:rsidRPr="00B05950">
        <w:rPr>
          <w:rFonts w:asciiTheme="majorBidi" w:hAnsiTheme="majorBidi" w:cstheme="majorBidi"/>
        </w:rPr>
        <w:t>norāda</w:t>
      </w:r>
      <w:r w:rsidR="00541B85" w:rsidRPr="00B05950">
        <w:rPr>
          <w:rFonts w:ascii="TimesNewRomanPSMT" w:eastAsiaTheme="minorHAnsi" w:hAnsi="TimesNewRomanPSMT" w:cs="TimesNewRomanPSMT"/>
          <w:lang w:eastAsia="en-US"/>
          <w14:ligatures w14:val="standardContextual"/>
        </w:rPr>
        <w:t>, ka apsūdzētā</w:t>
      </w:r>
      <w:r w:rsidR="00541B85" w:rsidRPr="00B05950">
        <w:t xml:space="preserve"> lietotais vārds </w:t>
      </w:r>
      <w:r w:rsidR="002140A6" w:rsidRPr="00B05950">
        <w:rPr>
          <w:rFonts w:asciiTheme="majorBidi" w:eastAsiaTheme="minorHAnsi" w:hAnsiTheme="majorBidi" w:cstheme="majorBidi"/>
          <w:lang w:eastAsia="en-US"/>
          <w14:ligatures w14:val="standardContextual"/>
        </w:rPr>
        <w:t>„</w:t>
      </w:r>
      <w:r w:rsidR="00541B85" w:rsidRPr="00B05950">
        <w:rPr>
          <w:rFonts w:asciiTheme="majorBidi" w:eastAsiaTheme="minorHAnsi" w:hAnsiTheme="majorBidi" w:cstheme="majorBidi"/>
          <w:lang w:eastAsia="en-US"/>
          <w14:ligatures w14:val="standardContextual"/>
        </w:rPr>
        <w:t xml:space="preserve">likvidēt” </w:t>
      </w:r>
      <w:r w:rsidR="00541B85" w:rsidRPr="00B05950">
        <w:t>ir skatāms kopsakarā ar pārējo vēstījumu, tā izolēta analīze nevar būt par pamatu, lai atklātu paustās ziņas patieso jēgu</w:t>
      </w:r>
      <w:r w:rsidR="00541B85" w:rsidRPr="00B05950">
        <w:rPr>
          <w:rFonts w:ascii="TimesNewRomanPSMT" w:eastAsiaTheme="minorHAnsi" w:hAnsi="TimesNewRomanPSMT" w:cs="TimesNewRomanPSMT"/>
          <w:lang w:eastAsia="en-US"/>
          <w14:ligatures w14:val="standardContextual"/>
        </w:rPr>
        <w:t>.</w:t>
      </w:r>
    </w:p>
    <w:p w14:paraId="411303BC" w14:textId="5566D3C5" w:rsidR="00BC6358" w:rsidRPr="00B05950" w:rsidRDefault="003354DC" w:rsidP="00237658">
      <w:pPr>
        <w:spacing w:line="276" w:lineRule="auto"/>
        <w:ind w:firstLine="709"/>
        <w:jc w:val="both"/>
      </w:pPr>
      <w:r w:rsidRPr="00B05950">
        <w:rPr>
          <w:rFonts w:asciiTheme="majorBidi" w:hAnsiTheme="majorBidi" w:cstheme="majorBidi"/>
        </w:rPr>
        <w:t>Senāts</w:t>
      </w:r>
      <w:r w:rsidR="005B4589" w:rsidRPr="00B05950">
        <w:rPr>
          <w:rFonts w:asciiTheme="majorBidi" w:hAnsiTheme="majorBidi" w:cstheme="majorBidi"/>
        </w:rPr>
        <w:t xml:space="preserve"> </w:t>
      </w:r>
      <w:r w:rsidR="005B4589" w:rsidRPr="00B05950">
        <w:rPr>
          <w:rFonts w:ascii="TimesNewRomanPSMT" w:eastAsiaTheme="minorHAnsi" w:hAnsi="TimesNewRomanPSMT" w:cs="TimesNewRomanPSMT"/>
          <w:lang w:eastAsia="en-US"/>
          <w14:ligatures w14:val="standardContextual"/>
        </w:rPr>
        <w:t>atzīst</w:t>
      </w:r>
      <w:r w:rsidRPr="00B05950">
        <w:rPr>
          <w:rFonts w:asciiTheme="majorBidi" w:hAnsiTheme="majorBidi" w:cstheme="majorBidi"/>
        </w:rPr>
        <w:t xml:space="preserve">, ka, lai arī apelācijas instances </w:t>
      </w:r>
      <w:r w:rsidRPr="00B05950">
        <w:rPr>
          <w:rFonts w:asciiTheme="majorBidi" w:eastAsiaTheme="minorHAnsi" w:hAnsiTheme="majorBidi" w:cstheme="majorBidi"/>
          <w:lang w:eastAsia="en-US"/>
        </w:rPr>
        <w:t xml:space="preserve">tiesa spriedumā pamatoti </w:t>
      </w:r>
      <w:r w:rsidR="00E1342E" w:rsidRPr="00B05950">
        <w:rPr>
          <w:rFonts w:asciiTheme="majorBidi" w:eastAsiaTheme="minorHAnsi" w:hAnsiTheme="majorBidi" w:cstheme="majorBidi"/>
          <w:lang w:eastAsia="en-US"/>
        </w:rPr>
        <w:t xml:space="preserve">ir </w:t>
      </w:r>
      <w:r w:rsidRPr="00B05950">
        <w:rPr>
          <w:rFonts w:asciiTheme="majorBidi" w:eastAsiaTheme="minorHAnsi" w:hAnsiTheme="majorBidi" w:cstheme="majorBidi"/>
          <w:lang w:eastAsia="en-US"/>
        </w:rPr>
        <w:t>norādījusi, ka katrs gadījums, kas ārēji varētu tikt uzskatīts par darbību, kas vērsta uz naida vai nesaticības izraisīšanu, ir individuāli vērtējams</w:t>
      </w:r>
      <w:r w:rsidR="00E1342E" w:rsidRPr="00B05950">
        <w:rPr>
          <w:rFonts w:asciiTheme="majorBidi" w:eastAsiaTheme="minorHAnsi" w:hAnsiTheme="majorBidi" w:cstheme="majorBidi"/>
          <w:lang w:eastAsia="en-US"/>
        </w:rPr>
        <w:t>,</w:t>
      </w:r>
      <w:r w:rsidRPr="00B05950">
        <w:rPr>
          <w:rFonts w:asciiTheme="majorBidi" w:eastAsiaTheme="minorHAnsi" w:hAnsiTheme="majorBidi" w:cstheme="majorBidi"/>
          <w:lang w:eastAsia="en-US"/>
        </w:rPr>
        <w:t xml:space="preserve"> vadoties no izskatāmās lietas apstākļiem</w:t>
      </w:r>
      <w:r w:rsidR="00237658" w:rsidRPr="00B05950">
        <w:rPr>
          <w:rFonts w:asciiTheme="majorBidi" w:eastAsiaTheme="minorHAnsi" w:hAnsiTheme="majorBidi" w:cstheme="majorBidi"/>
          <w:lang w:eastAsia="en-US"/>
        </w:rPr>
        <w:t xml:space="preserve">, </w:t>
      </w:r>
      <w:r w:rsidR="00237658" w:rsidRPr="00B05950">
        <w:t>t</w:t>
      </w:r>
      <w:r w:rsidR="00BC6358" w:rsidRPr="00B05950">
        <w:t xml:space="preserve">omēr apelācijas instances tiesa nav izvērtējusi sava atzinuma par vārda „likvidēt” nozīmi </w:t>
      </w:r>
      <w:r w:rsidR="00BC6358" w:rsidRPr="00B05950">
        <w:rPr>
          <w:rFonts w:ascii="TimesNewRomanPSMT" w:eastAsiaTheme="minorHAnsi" w:hAnsi="TimesNewRomanPSMT" w:cs="TimesNewRomanPSMT"/>
          <w:lang w:eastAsia="en-US"/>
          <w14:ligatures w14:val="standardContextual"/>
        </w:rPr>
        <w:t xml:space="preserve">kopsakarā ar </w:t>
      </w:r>
      <w:r w:rsidR="00BC6358" w:rsidRPr="00B05950">
        <w:t xml:space="preserve">izteikumu saturu un to uztveri no neitrāla lasītāja </w:t>
      </w:r>
      <w:proofErr w:type="spellStart"/>
      <w:r w:rsidR="00BC6358" w:rsidRPr="00B05950">
        <w:t>skatpunkta</w:t>
      </w:r>
      <w:proofErr w:type="spellEnd"/>
      <w:r w:rsidR="00BC6358" w:rsidRPr="00B05950">
        <w:t>. Tiesas vērtējumā nav ņemti vērā arī citi lietā konstatētie apstākļi, tādi kā apsūdzētā žesti, izsakot savu aicinājumu, un komentāru sadaļā paustie viedokļi, kas norāda, ka daļa lasītāju šo izteikumu uztvēruši kā tiešu aicinājumu uz vardarbību pret konkrēti identificējamu personu grupu.</w:t>
      </w:r>
    </w:p>
    <w:p w14:paraId="14E9881D" w14:textId="2355D606" w:rsidR="001274A9" w:rsidRPr="00B05950" w:rsidRDefault="001274A9" w:rsidP="001274A9">
      <w:pPr>
        <w:spacing w:line="276" w:lineRule="auto"/>
        <w:ind w:firstLine="709"/>
        <w:jc w:val="both"/>
      </w:pPr>
      <w:r w:rsidRPr="00B05950">
        <w:t xml:space="preserve">Izvērtējot šādus gadījumus, notikumu analīze ir veicama arī, ievērojot notikuma laikā pastāvošo </w:t>
      </w:r>
      <w:r w:rsidR="00CB523F" w:rsidRPr="00B05950">
        <w:t xml:space="preserve">sociālo </w:t>
      </w:r>
      <w:r w:rsidRPr="00B05950">
        <w:t>kontekstu. Tiesai ir jāvērtē, vai stāvoklis sabiedrībā sakarā ar bažām par Covid-19 vīrusa izplatību, neradīja pastiprinātu risku, ka paustās ziņas tiks īpaši saasināti uztvertas sabiedrībā, un tajās paustie aicinājumi ar lielāku ticamību rezultēsies naida izpausmēs</w:t>
      </w:r>
      <w:r w:rsidR="00CB523F" w:rsidRPr="00B05950">
        <w:t xml:space="preserve"> pret konkrēto personu grupu.</w:t>
      </w:r>
    </w:p>
    <w:p w14:paraId="07834936" w14:textId="1CF87515" w:rsidR="005B4589" w:rsidRPr="00B05950" w:rsidRDefault="005B4589" w:rsidP="005B4589">
      <w:pPr>
        <w:spacing w:line="276" w:lineRule="auto"/>
        <w:ind w:firstLine="709"/>
        <w:jc w:val="both"/>
      </w:pPr>
      <w:r w:rsidRPr="00B05950">
        <w:t>[7.7</w:t>
      </w:r>
      <w:r w:rsidR="002140A6" w:rsidRPr="00B05950">
        <w:t>] </w:t>
      </w:r>
      <w:r w:rsidRPr="00B05950">
        <w:t>Tiesības uz vārda brīvību dod iespēju personai paust savu viedokli, tomēr kopā ar tiesībām un brīvībām, personām ir arī pienākumi; viens no šādiem pienākumiem ir, ciktāl tas ir iespējams, izvairīties no apgalvojumiem, kas ir prettiesiski aizskaroši citām personām un apdraud to tiesības. Izteiksmes brīvības ierobežojumiem tādējādi ir jābūt pieļaujamiem gadījumos, kad izteikumu nolūks ir pazemot, aizskart vai kūdīt uz naidu pret indivīdu vai indivīdu grupu (sk.</w:t>
      </w:r>
      <w:r w:rsidR="00E92F07" w:rsidRPr="00B05950">
        <w:t> </w:t>
      </w:r>
      <w:bookmarkStart w:id="7" w:name="_Hlk195000885"/>
      <w:r w:rsidRPr="00B05950">
        <w:rPr>
          <w:i/>
          <w:iCs/>
        </w:rPr>
        <w:t xml:space="preserve">Eiropas Cilvēktiesību tiesas </w:t>
      </w:r>
      <w:r w:rsidR="00E92F07" w:rsidRPr="00B05950">
        <w:rPr>
          <w:i/>
          <w:iCs/>
        </w:rPr>
        <w:t xml:space="preserve">2012. gada 9. februāra </w:t>
      </w:r>
      <w:r w:rsidRPr="00B05950">
        <w:rPr>
          <w:i/>
          <w:iCs/>
        </w:rPr>
        <w:t>spriedum</w:t>
      </w:r>
      <w:r w:rsidR="00E92F07" w:rsidRPr="00B05950">
        <w:rPr>
          <w:i/>
          <w:iCs/>
        </w:rPr>
        <w:t>a lietā „</w:t>
      </w:r>
      <w:proofErr w:type="spellStart"/>
      <w:r w:rsidR="00E92F07" w:rsidRPr="00B05950">
        <w:rPr>
          <w:i/>
          <w:iCs/>
        </w:rPr>
        <w:t>Vejdeland</w:t>
      </w:r>
      <w:proofErr w:type="spellEnd"/>
      <w:r w:rsidR="00E92F07" w:rsidRPr="00B05950">
        <w:rPr>
          <w:i/>
          <w:iCs/>
        </w:rPr>
        <w:t xml:space="preserve"> un citi pret Zviedriju”</w:t>
      </w:r>
      <w:r w:rsidRPr="00B05950">
        <w:rPr>
          <w:i/>
          <w:iCs/>
        </w:rPr>
        <w:t>,</w:t>
      </w:r>
      <w:r w:rsidR="00E92F07" w:rsidRPr="00B05950">
        <w:rPr>
          <w:i/>
          <w:iCs/>
        </w:rPr>
        <w:t xml:space="preserve"> iesniegums Nr. </w:t>
      </w:r>
      <w:hyperlink r:id="rId11" w:history="1">
        <w:r w:rsidR="00E92F07" w:rsidRPr="00B05950">
          <w:rPr>
            <w:rStyle w:val="Hyperlink"/>
            <w:i/>
            <w:iCs/>
            <w:color w:val="auto"/>
          </w:rPr>
          <w:t>1813/07</w:t>
        </w:r>
      </w:hyperlink>
      <w:bookmarkEnd w:id="7"/>
      <w:r w:rsidR="00E92F07" w:rsidRPr="00B05950">
        <w:rPr>
          <w:i/>
          <w:iCs/>
        </w:rPr>
        <w:t xml:space="preserve">, </w:t>
      </w:r>
      <w:r w:rsidRPr="00B05950">
        <w:rPr>
          <w:i/>
          <w:iCs/>
        </w:rPr>
        <w:t>46., 57.</w:t>
      </w:r>
      <w:r w:rsidR="00E92F07" w:rsidRPr="00B05950">
        <w:rPr>
          <w:i/>
          <w:iCs/>
        </w:rPr>
        <w:t> </w:t>
      </w:r>
      <w:r w:rsidRPr="00B05950">
        <w:rPr>
          <w:i/>
          <w:iCs/>
        </w:rPr>
        <w:t>p</w:t>
      </w:r>
      <w:r w:rsidR="00E92F07" w:rsidRPr="00B05950">
        <w:rPr>
          <w:i/>
          <w:iCs/>
        </w:rPr>
        <w:t>unktu</w:t>
      </w:r>
      <w:r w:rsidRPr="00B05950">
        <w:t xml:space="preserve">). </w:t>
      </w:r>
    </w:p>
    <w:p w14:paraId="529C533D" w14:textId="77777777" w:rsidR="005B4589" w:rsidRPr="00B05950" w:rsidRDefault="005B4589" w:rsidP="005B4589">
      <w:pPr>
        <w:spacing w:line="276" w:lineRule="auto"/>
        <w:ind w:firstLine="709"/>
        <w:jc w:val="both"/>
      </w:pPr>
      <w:r w:rsidRPr="00B05950">
        <w:rPr>
          <w:rFonts w:ascii="TimesNewRomanPSMT" w:eastAsiaTheme="minorHAnsi" w:hAnsi="TimesNewRomanPSMT" w:cs="TimesNewRomanPSMT"/>
          <w:lang w:eastAsia="en-US"/>
          <w14:ligatures w14:val="standardContextual"/>
        </w:rPr>
        <w:t xml:space="preserve">Senāts atzīst, ka nav </w:t>
      </w:r>
      <w:r w:rsidRPr="00B05950">
        <w:t xml:space="preserve">nozīmes tam, vai aicinājums uz </w:t>
      </w:r>
      <w:r w:rsidRPr="00B05950">
        <w:rPr>
          <w:rFonts w:asciiTheme="majorBidi" w:eastAsiaTheme="minorHAnsi" w:hAnsiTheme="majorBidi" w:cstheme="majorBidi"/>
          <w:lang w:eastAsia="en-US"/>
        </w:rPr>
        <w:t>naida vai nesaticības izraisīšanu</w:t>
      </w:r>
      <w:r w:rsidRPr="00B05950">
        <w:t xml:space="preserve"> ir pamata vai pakārtots vēstījums, būtiski ir konstatēt, vai konkrētā ziņa satur aicinājumu uz nacionālā, etniskā, rasu vai reliģiskā naida vai nesaticības izraisīšanu. </w:t>
      </w:r>
    </w:p>
    <w:p w14:paraId="101500B7" w14:textId="73EF4F1B" w:rsidR="00173695" w:rsidRPr="00B05950" w:rsidRDefault="00CB523F" w:rsidP="003F1826">
      <w:pPr>
        <w:spacing w:line="276" w:lineRule="auto"/>
        <w:ind w:firstLine="709"/>
        <w:jc w:val="both"/>
      </w:pPr>
      <w:r w:rsidRPr="00B05950">
        <w:rPr>
          <w:rFonts w:ascii="TimesNewRomanPSMT" w:eastAsiaTheme="minorHAnsi" w:hAnsi="TimesNewRomanPSMT" w:cs="TimesNewRomanPSMT"/>
          <w:lang w:eastAsia="en-US"/>
          <w14:ligatures w14:val="standardContextual"/>
        </w:rPr>
        <w:t>[7.</w:t>
      </w:r>
      <w:r w:rsidR="00DF5A65" w:rsidRPr="00B05950">
        <w:rPr>
          <w:rFonts w:ascii="TimesNewRomanPSMT" w:eastAsiaTheme="minorHAnsi" w:hAnsi="TimesNewRomanPSMT" w:cs="TimesNewRomanPSMT"/>
          <w:lang w:eastAsia="en-US"/>
          <w14:ligatures w14:val="standardContextual"/>
        </w:rPr>
        <w:t>8</w:t>
      </w:r>
      <w:r w:rsidRPr="00B05950">
        <w:rPr>
          <w:rFonts w:ascii="TimesNewRomanPSMT" w:eastAsiaTheme="minorHAnsi" w:hAnsi="TimesNewRomanPSMT" w:cs="TimesNewRomanPSMT"/>
          <w:lang w:eastAsia="en-US"/>
          <w14:ligatures w14:val="standardContextual"/>
        </w:rPr>
        <w:t>]</w:t>
      </w:r>
      <w:r w:rsidR="00FE0CB7" w:rsidRPr="00B05950">
        <w:rPr>
          <w:rFonts w:ascii="TimesNewRomanPSMT" w:eastAsiaTheme="minorHAnsi" w:hAnsi="TimesNewRomanPSMT" w:cs="TimesNewRomanPSMT"/>
          <w:lang w:eastAsia="en-US"/>
          <w14:ligatures w14:val="standardContextual"/>
        </w:rPr>
        <w:t> </w:t>
      </w:r>
      <w:r w:rsidR="00F91743" w:rsidRPr="00B05950">
        <w:t xml:space="preserve">Vienlaikus Senāts noraida, kā nepamatotu prokurores argumentu par to, ka vērtējumam par iespēju realizēt apsūdzētā pausto aicinājumu nav nozīmes nodarījuma kvalifikācijā, jo, lai arī </w:t>
      </w:r>
      <w:r w:rsidR="00F91743" w:rsidRPr="00B05950">
        <w:rPr>
          <w:rFonts w:ascii="TimesNewRomanPSMT" w:eastAsiaTheme="minorHAnsi" w:hAnsi="TimesNewRomanPSMT" w:cs="TimesNewRomanPSMT"/>
          <w:lang w:eastAsia="en-US"/>
          <w14:ligatures w14:val="standardContextual"/>
        </w:rPr>
        <w:t>Krimināllikuma 78. panta otrajā daļā paredzētais noziedzīgais nodarījums ir ar formālu sastāvu, un ir pabeigts ar darbības, kas</w:t>
      </w:r>
      <w:r w:rsidR="00F91743" w:rsidRPr="00B05950">
        <w:t xml:space="preserve"> vērstas uz nacionālā, etniskā, rasu vai reliģiskā naida vai nesaticības izraisīšanu, tomēr noziedzīgā nodarījuma sastāva esību vai </w:t>
      </w:r>
      <w:proofErr w:type="spellStart"/>
      <w:r w:rsidR="00F91743" w:rsidRPr="00B05950">
        <w:t>neesību</w:t>
      </w:r>
      <w:proofErr w:type="spellEnd"/>
      <w:r w:rsidR="00F91743" w:rsidRPr="00B05950">
        <w:t xml:space="preserve"> nosaka, izvērtējot </w:t>
      </w:r>
      <w:r w:rsidR="00173695" w:rsidRPr="00B05950">
        <w:t xml:space="preserve">nevis kādu apstākli atsevišķi, bet gan </w:t>
      </w:r>
      <w:r w:rsidR="00F91743" w:rsidRPr="00B05950">
        <w:t xml:space="preserve">dažādu </w:t>
      </w:r>
      <w:r w:rsidR="00173695" w:rsidRPr="00B05950">
        <w:t xml:space="preserve">apstākļu </w:t>
      </w:r>
      <w:r w:rsidR="00F91743" w:rsidRPr="00B05950">
        <w:t>mijiedarbību</w:t>
      </w:r>
      <w:r w:rsidR="00173695" w:rsidRPr="00B05950">
        <w:t xml:space="preserve">. </w:t>
      </w:r>
    </w:p>
    <w:p w14:paraId="3EDFE9BB" w14:textId="46A34B4A" w:rsidR="003F1826" w:rsidRPr="00B05950" w:rsidRDefault="00173695" w:rsidP="003F1826">
      <w:pPr>
        <w:spacing w:line="276" w:lineRule="auto"/>
        <w:ind w:firstLine="709"/>
        <w:jc w:val="both"/>
      </w:pPr>
      <w:r w:rsidRPr="00B05950">
        <w:lastRenderedPageBreak/>
        <w:t xml:space="preserve">Arī Eiropas Cilvēktiesību tiesa, konkretizējot </w:t>
      </w:r>
      <w:r w:rsidR="002C51FE" w:rsidRPr="00B05950">
        <w:t>K</w:t>
      </w:r>
      <w:r w:rsidRPr="00B05950">
        <w:t>onvencijas 10.</w:t>
      </w:r>
      <w:r w:rsidR="001C69D6" w:rsidRPr="00B05950">
        <w:t> </w:t>
      </w:r>
      <w:r w:rsidRPr="00B05950">
        <w:t>pantā ietvertās tiesības uz vārda brīvību, ir norādījusi uz dažādiem vērtējuma aspektiem. Tiesa norādījusi, ka katr</w:t>
      </w:r>
      <w:r w:rsidR="002C51FE" w:rsidRPr="00B05950">
        <w:t>ā</w:t>
      </w:r>
      <w:r w:rsidRPr="00B05950">
        <w:t xml:space="preserve"> konkrēt</w:t>
      </w:r>
      <w:r w:rsidR="002C51FE" w:rsidRPr="00B05950">
        <w:t>ā</w:t>
      </w:r>
      <w:r w:rsidRPr="00B05950">
        <w:t xml:space="preserve"> gadījum</w:t>
      </w:r>
      <w:r w:rsidR="002C51FE" w:rsidRPr="00B05950">
        <w:t>ā</w:t>
      </w:r>
      <w:r w:rsidRPr="00B05950">
        <w:t xml:space="preserve"> nozīme var būt gan sociālajam un politiskajam fonam, gan personas pausto apgalvojumu tiešajam vai plašākajam kontekstam, gan arī tam, vai personas paustais var tikt uzskatīts par tiešu vai netiešu aicinājumu uz vardarbību vai par vardarbības, naida vai neiecietības attaisnošanu. Tiesa uzsvērusi, ka var būt nozīme arī veidam, kādā izteikumi pausti, un to tiešai vai netiešai spējai radīt kaitīgas sekas (</w:t>
      </w:r>
      <w:r w:rsidRPr="002365C0">
        <w:t>piemēram,</w:t>
      </w:r>
      <w:r w:rsidRPr="00B05950">
        <w:rPr>
          <w:i/>
          <w:iCs/>
        </w:rPr>
        <w:t xml:space="preserve"> </w:t>
      </w:r>
      <w:bookmarkStart w:id="8" w:name="_Hlk195000892"/>
      <w:r w:rsidRPr="00B05950">
        <w:rPr>
          <w:i/>
          <w:iCs/>
        </w:rPr>
        <w:t>Eiropas Cilvēktiesību tiesas 2021.</w:t>
      </w:r>
      <w:r w:rsidR="001C69D6" w:rsidRPr="00B05950">
        <w:rPr>
          <w:i/>
          <w:iCs/>
        </w:rPr>
        <w:t> </w:t>
      </w:r>
      <w:r w:rsidRPr="00B05950">
        <w:rPr>
          <w:i/>
          <w:iCs/>
        </w:rPr>
        <w:t>gada 11.</w:t>
      </w:r>
      <w:r w:rsidR="001C69D6" w:rsidRPr="00B05950">
        <w:rPr>
          <w:i/>
          <w:iCs/>
        </w:rPr>
        <w:t> </w:t>
      </w:r>
      <w:r w:rsidRPr="00B05950">
        <w:rPr>
          <w:i/>
          <w:iCs/>
        </w:rPr>
        <w:t xml:space="preserve">maija sprieduma lietā </w:t>
      </w:r>
      <w:r w:rsidR="002365C0">
        <w:rPr>
          <w:i/>
          <w:iCs/>
        </w:rPr>
        <w:t>„</w:t>
      </w:r>
      <w:proofErr w:type="spellStart"/>
      <w:r w:rsidRPr="00B05950">
        <w:rPr>
          <w:i/>
          <w:iCs/>
        </w:rPr>
        <w:t>Kilin</w:t>
      </w:r>
      <w:proofErr w:type="spellEnd"/>
      <w:r w:rsidRPr="00B05950">
        <w:rPr>
          <w:i/>
          <w:iCs/>
        </w:rPr>
        <w:t xml:space="preserve"> v. </w:t>
      </w:r>
      <w:proofErr w:type="spellStart"/>
      <w:r w:rsidRPr="00B05950">
        <w:rPr>
          <w:i/>
          <w:iCs/>
        </w:rPr>
        <w:t>Russia</w:t>
      </w:r>
      <w:proofErr w:type="spellEnd"/>
      <w:r w:rsidR="002365C0">
        <w:rPr>
          <w:i/>
          <w:iCs/>
        </w:rPr>
        <w:t>”</w:t>
      </w:r>
      <w:r w:rsidRPr="00B05950">
        <w:rPr>
          <w:i/>
          <w:iCs/>
        </w:rPr>
        <w:t xml:space="preserve">, </w:t>
      </w:r>
      <w:r w:rsidR="002365C0">
        <w:rPr>
          <w:i/>
          <w:iCs/>
        </w:rPr>
        <w:t>iesnieguma</w:t>
      </w:r>
      <w:r w:rsidRPr="00B05950">
        <w:rPr>
          <w:i/>
          <w:iCs/>
        </w:rPr>
        <w:t xml:space="preserve"> Nr.</w:t>
      </w:r>
      <w:r w:rsidR="002365C0">
        <w:rPr>
          <w:i/>
          <w:iCs/>
        </w:rPr>
        <w:t> </w:t>
      </w:r>
      <w:hyperlink r:id="rId12" w:history="1">
        <w:r w:rsidRPr="002365C0">
          <w:rPr>
            <w:rStyle w:val="Hyperlink"/>
            <w:i/>
            <w:iCs/>
          </w:rPr>
          <w:t>10271/12</w:t>
        </w:r>
      </w:hyperlink>
      <w:bookmarkEnd w:id="8"/>
      <w:r w:rsidRPr="00B05950">
        <w:rPr>
          <w:i/>
          <w:iCs/>
        </w:rPr>
        <w:t>, 71.</w:t>
      </w:r>
      <w:r w:rsidR="002365C0">
        <w:rPr>
          <w:i/>
          <w:iCs/>
        </w:rPr>
        <w:t> </w:t>
      </w:r>
      <w:r w:rsidRPr="00B05950">
        <w:rPr>
          <w:i/>
          <w:iCs/>
        </w:rPr>
        <w:t>punkt</w:t>
      </w:r>
      <w:r w:rsidR="002365C0">
        <w:rPr>
          <w:i/>
          <w:iCs/>
        </w:rPr>
        <w:t>s</w:t>
      </w:r>
      <w:r w:rsidRPr="00B05950">
        <w:t xml:space="preserve">, </w:t>
      </w:r>
      <w:bookmarkStart w:id="9" w:name="_Hlk195000899"/>
      <w:r w:rsidR="00F91743" w:rsidRPr="00B05950">
        <w:rPr>
          <w:i/>
          <w:iCs/>
        </w:rPr>
        <w:t>Eiropas Cilvēktiesību tiesas 2018. gada 28. augusta sprieduma lietā „</w:t>
      </w:r>
      <w:proofErr w:type="spellStart"/>
      <w:r w:rsidR="00F91743" w:rsidRPr="00B05950">
        <w:rPr>
          <w:i/>
          <w:iCs/>
        </w:rPr>
        <w:t>Savva</w:t>
      </w:r>
      <w:proofErr w:type="spellEnd"/>
      <w:r w:rsidR="00F91743" w:rsidRPr="00B05950">
        <w:rPr>
          <w:i/>
          <w:iCs/>
        </w:rPr>
        <w:t xml:space="preserve"> </w:t>
      </w:r>
      <w:proofErr w:type="spellStart"/>
      <w:r w:rsidR="00F91743" w:rsidRPr="00B05950">
        <w:rPr>
          <w:i/>
          <w:iCs/>
        </w:rPr>
        <w:t>Terentyev</w:t>
      </w:r>
      <w:proofErr w:type="spellEnd"/>
      <w:r w:rsidR="00F91743" w:rsidRPr="00B05950">
        <w:rPr>
          <w:i/>
          <w:iCs/>
        </w:rPr>
        <w:t xml:space="preserve"> v. </w:t>
      </w:r>
      <w:proofErr w:type="spellStart"/>
      <w:r w:rsidR="00F91743" w:rsidRPr="00B05950">
        <w:rPr>
          <w:i/>
          <w:iCs/>
        </w:rPr>
        <w:t>Russia</w:t>
      </w:r>
      <w:proofErr w:type="spellEnd"/>
      <w:r w:rsidR="00F91743" w:rsidRPr="00B05950">
        <w:rPr>
          <w:i/>
          <w:iCs/>
        </w:rPr>
        <w:t>”, iesnieguma Nr. </w:t>
      </w:r>
      <w:hyperlink r:id="rId13" w:anchor="{%22itemid%22:[%22001-185307%22]}" w:history="1">
        <w:r w:rsidR="00F91743" w:rsidRPr="00B05950">
          <w:rPr>
            <w:rStyle w:val="Hyperlink"/>
            <w:i/>
            <w:iCs/>
            <w:color w:val="auto"/>
          </w:rPr>
          <w:t>10692/09</w:t>
        </w:r>
      </w:hyperlink>
      <w:bookmarkEnd w:id="9"/>
      <w:r w:rsidR="00F91743" w:rsidRPr="00B05950">
        <w:rPr>
          <w:i/>
          <w:iCs/>
        </w:rPr>
        <w:t>, 66. punkt</w:t>
      </w:r>
      <w:r w:rsidR="002365C0">
        <w:rPr>
          <w:i/>
          <w:iCs/>
        </w:rPr>
        <w:t>s</w:t>
      </w:r>
      <w:r w:rsidR="00F91743" w:rsidRPr="00B05950">
        <w:rPr>
          <w:i/>
          <w:iCs/>
        </w:rPr>
        <w:t xml:space="preserve">; </w:t>
      </w:r>
      <w:bookmarkStart w:id="10" w:name="_Hlk195000905"/>
      <w:r w:rsidR="00F91743" w:rsidRPr="00B05950">
        <w:rPr>
          <w:i/>
          <w:iCs/>
        </w:rPr>
        <w:t>2015. gada 15. oktobra spriedum</w:t>
      </w:r>
      <w:r w:rsidR="00824C5E" w:rsidRPr="00B05950">
        <w:rPr>
          <w:i/>
          <w:iCs/>
        </w:rPr>
        <w:t>a</w:t>
      </w:r>
      <w:r w:rsidR="00F91743" w:rsidRPr="00B05950">
        <w:rPr>
          <w:i/>
          <w:iCs/>
        </w:rPr>
        <w:t xml:space="preserve"> lietā „</w:t>
      </w:r>
      <w:proofErr w:type="spellStart"/>
      <w:r w:rsidR="00F91743" w:rsidRPr="00B05950">
        <w:rPr>
          <w:i/>
          <w:iCs/>
        </w:rPr>
        <w:t>Perinçek</w:t>
      </w:r>
      <w:proofErr w:type="spellEnd"/>
      <w:r w:rsidR="00F91743" w:rsidRPr="00B05950">
        <w:rPr>
          <w:i/>
          <w:iCs/>
        </w:rPr>
        <w:t xml:space="preserve"> v. </w:t>
      </w:r>
      <w:proofErr w:type="spellStart"/>
      <w:r w:rsidR="00F91743" w:rsidRPr="00B05950">
        <w:rPr>
          <w:i/>
          <w:iCs/>
        </w:rPr>
        <w:t>Switzerland</w:t>
      </w:r>
      <w:proofErr w:type="spellEnd"/>
      <w:r w:rsidR="00F91743" w:rsidRPr="00B05950">
        <w:rPr>
          <w:i/>
          <w:iCs/>
        </w:rPr>
        <w:t>”, iesnieguma Nr. </w:t>
      </w:r>
      <w:hyperlink r:id="rId14" w:anchor="{%22itemid%22:[%22001-158235%22]}" w:history="1">
        <w:r w:rsidR="00F91743" w:rsidRPr="00B05950">
          <w:rPr>
            <w:rStyle w:val="Hyperlink"/>
            <w:i/>
            <w:iCs/>
            <w:color w:val="auto"/>
          </w:rPr>
          <w:t>27510/08</w:t>
        </w:r>
      </w:hyperlink>
      <w:bookmarkEnd w:id="10"/>
      <w:r w:rsidR="00F91743" w:rsidRPr="00B05950">
        <w:rPr>
          <w:i/>
          <w:iCs/>
        </w:rPr>
        <w:t>, 208. punkt</w:t>
      </w:r>
      <w:r w:rsidR="002365C0">
        <w:rPr>
          <w:i/>
          <w:iCs/>
        </w:rPr>
        <w:t>s</w:t>
      </w:r>
      <w:r w:rsidR="00F91743" w:rsidRPr="00B05950">
        <w:t xml:space="preserve">). </w:t>
      </w:r>
    </w:p>
    <w:p w14:paraId="24AEEDBD" w14:textId="77777777" w:rsidR="00F91743" w:rsidRPr="00B05950" w:rsidRDefault="00CB523F" w:rsidP="00F91743">
      <w:pPr>
        <w:spacing w:line="276" w:lineRule="auto"/>
        <w:ind w:firstLine="709"/>
        <w:jc w:val="both"/>
      </w:pPr>
      <w:r w:rsidRPr="00B05950">
        <w:t>[7.</w:t>
      </w:r>
      <w:r w:rsidR="00DF5A65" w:rsidRPr="00B05950">
        <w:t>9</w:t>
      </w:r>
      <w:r w:rsidRPr="00B05950">
        <w:t>] </w:t>
      </w:r>
      <w:r w:rsidR="00F91743" w:rsidRPr="00B05950">
        <w:rPr>
          <w:rFonts w:ascii="TimesNewRomanPSMT" w:eastAsiaTheme="minorHAnsi" w:hAnsi="TimesNewRomanPSMT" w:cs="TimesNewRomanPSMT"/>
          <w:lang w:eastAsia="en-US"/>
          <w14:ligatures w14:val="standardContextual"/>
        </w:rPr>
        <w:t xml:space="preserve">Ievērojot minēto, Senāts atzīst, ka apelācijas instances tiesa ir pieļāvusi Kriminālprocesa likuma 564. panta ceturtās daļas pārkāpumu, kas atzīstams par Kriminālprocesa likuma būtisku pārkāpumu šā likuma 575. panta trešās daļas izpratnē un, kas novedis pie nelikumīga nolēmuma. </w:t>
      </w:r>
      <w:r w:rsidR="00F91743" w:rsidRPr="00B05950">
        <w:t>Šī iemesla dēļ apelācijas instances tiesas spriedums atceļams un lieta nosūtāma jaunai izskatīšanai apelācijas instances tiesā.</w:t>
      </w:r>
    </w:p>
    <w:p w14:paraId="57B2366B" w14:textId="77777777" w:rsidR="00F91743" w:rsidRPr="00B05950" w:rsidRDefault="00F91743" w:rsidP="00F91743">
      <w:pPr>
        <w:spacing w:line="276" w:lineRule="auto"/>
        <w:ind w:firstLine="709"/>
        <w:jc w:val="both"/>
      </w:pPr>
    </w:p>
    <w:p w14:paraId="61C20786" w14:textId="77777777" w:rsidR="00F91743" w:rsidRPr="00B05950" w:rsidRDefault="00DF5A65" w:rsidP="00F91743">
      <w:pPr>
        <w:spacing w:line="276" w:lineRule="auto"/>
        <w:ind w:firstLine="709"/>
        <w:jc w:val="both"/>
      </w:pPr>
      <w:r w:rsidRPr="00B05950">
        <w:t>[8] </w:t>
      </w:r>
      <w:r w:rsidR="005860D2" w:rsidRPr="00B05950">
        <w:rPr>
          <w:rFonts w:asciiTheme="majorBidi" w:hAnsiTheme="majorBidi" w:cstheme="majorBidi"/>
        </w:rPr>
        <w:t xml:space="preserve">Senātam ir jāsniedz atbilde </w:t>
      </w:r>
      <w:r w:rsidR="005B4589" w:rsidRPr="00B05950">
        <w:rPr>
          <w:rFonts w:asciiTheme="majorBidi" w:hAnsiTheme="majorBidi" w:cstheme="majorBidi"/>
        </w:rPr>
        <w:t xml:space="preserve">arī </w:t>
      </w:r>
      <w:r w:rsidR="005860D2" w:rsidRPr="00B05950">
        <w:rPr>
          <w:rFonts w:asciiTheme="majorBidi" w:hAnsiTheme="majorBidi" w:cstheme="majorBidi"/>
        </w:rPr>
        <w:t xml:space="preserve">uz jautājumu, </w:t>
      </w:r>
      <w:r w:rsidRPr="00B05950">
        <w:rPr>
          <w:rFonts w:asciiTheme="majorBidi" w:hAnsiTheme="majorBidi" w:cstheme="majorBidi"/>
        </w:rPr>
        <w:t xml:space="preserve">vai </w:t>
      </w:r>
      <w:proofErr w:type="spellStart"/>
      <w:r w:rsidRPr="00B05950">
        <w:rPr>
          <w:rFonts w:asciiTheme="majorBidi" w:hAnsiTheme="majorBidi" w:cstheme="majorBidi"/>
        </w:rPr>
        <w:t>t</w:t>
      </w:r>
      <w:r w:rsidR="005860D2" w:rsidRPr="00B05950">
        <w:rPr>
          <w:rFonts w:asciiTheme="majorBidi" w:hAnsiTheme="majorBidi" w:cstheme="majorBidi"/>
        </w:rPr>
        <w:t>iesībsarga</w:t>
      </w:r>
      <w:proofErr w:type="spellEnd"/>
      <w:r w:rsidR="005860D2" w:rsidRPr="00B05950">
        <w:rPr>
          <w:rFonts w:asciiTheme="majorBidi" w:hAnsiTheme="majorBidi" w:cstheme="majorBidi"/>
        </w:rPr>
        <w:t xml:space="preserve"> atzinum</w:t>
      </w:r>
      <w:r w:rsidRPr="00B05950">
        <w:rPr>
          <w:rFonts w:asciiTheme="majorBidi" w:hAnsiTheme="majorBidi" w:cstheme="majorBidi"/>
        </w:rPr>
        <w:t>s</w:t>
      </w:r>
      <w:r w:rsidR="003421B1" w:rsidRPr="00B05950">
        <w:rPr>
          <w:rFonts w:asciiTheme="majorBidi" w:hAnsiTheme="majorBidi" w:cstheme="majorBidi"/>
        </w:rPr>
        <w:t xml:space="preserve"> izskatāmajā lietā</w:t>
      </w:r>
      <w:r w:rsidR="00CA38EC" w:rsidRPr="00B05950">
        <w:rPr>
          <w:rFonts w:asciiTheme="majorBidi" w:hAnsiTheme="majorBidi" w:cstheme="majorBidi"/>
        </w:rPr>
        <w:t xml:space="preserve"> ir atzīstams par </w:t>
      </w:r>
      <w:r w:rsidRPr="00B05950">
        <w:rPr>
          <w:rFonts w:asciiTheme="majorBidi" w:hAnsiTheme="majorBidi" w:cstheme="majorBidi"/>
        </w:rPr>
        <w:t>pierādījumu kriminālprocesā.</w:t>
      </w:r>
    </w:p>
    <w:p w14:paraId="620BDE73" w14:textId="27CC16DB" w:rsidR="00801349" w:rsidRPr="00B05950" w:rsidRDefault="005860D2" w:rsidP="00F91743">
      <w:pPr>
        <w:spacing w:line="276" w:lineRule="auto"/>
        <w:ind w:firstLine="709"/>
        <w:jc w:val="both"/>
      </w:pPr>
      <w:r w:rsidRPr="00B05950">
        <w:rPr>
          <w:rFonts w:asciiTheme="majorBidi" w:hAnsiTheme="majorBidi" w:cstheme="majorBidi"/>
        </w:rPr>
        <w:t>[</w:t>
      </w:r>
      <w:r w:rsidR="00DF5A65" w:rsidRPr="00B05950">
        <w:rPr>
          <w:rFonts w:asciiTheme="majorBidi" w:hAnsiTheme="majorBidi" w:cstheme="majorBidi"/>
        </w:rPr>
        <w:t>8</w:t>
      </w:r>
      <w:r w:rsidRPr="00B05950">
        <w:rPr>
          <w:rFonts w:asciiTheme="majorBidi" w:hAnsiTheme="majorBidi" w:cstheme="majorBidi"/>
        </w:rPr>
        <w:t>.1]</w:t>
      </w:r>
      <w:r w:rsidR="00801349" w:rsidRPr="00B05950">
        <w:rPr>
          <w:rFonts w:asciiTheme="majorBidi" w:hAnsiTheme="majorBidi" w:cstheme="majorBidi"/>
        </w:rPr>
        <w:t xml:space="preserve"> No izskatāmās lietas materiāliem Senāts konstatē, ka </w:t>
      </w:r>
      <w:r w:rsidR="00801349" w:rsidRPr="00B05950">
        <w:rPr>
          <w:lang w:eastAsia="lv-LV"/>
        </w:rPr>
        <w:t xml:space="preserve">izmeklētāja </w:t>
      </w:r>
      <w:proofErr w:type="spellStart"/>
      <w:r w:rsidR="00801349" w:rsidRPr="00B05950">
        <w:rPr>
          <w:lang w:eastAsia="lv-LV"/>
        </w:rPr>
        <w:t>pirmstiesas</w:t>
      </w:r>
      <w:proofErr w:type="spellEnd"/>
      <w:r w:rsidR="00801349" w:rsidRPr="00B05950">
        <w:rPr>
          <w:lang w:eastAsia="lv-LV"/>
        </w:rPr>
        <w:t xml:space="preserve"> kriminālprocesā, pamatojoties uz Kriminālprocesa likuma 133. pantu, </w:t>
      </w:r>
      <w:proofErr w:type="spellStart"/>
      <w:r w:rsidR="00801349" w:rsidRPr="00B05950">
        <w:rPr>
          <w:lang w:eastAsia="lv-LV"/>
        </w:rPr>
        <w:t>tiesībsargam</w:t>
      </w:r>
      <w:proofErr w:type="spellEnd"/>
      <w:r w:rsidR="00801349" w:rsidRPr="00B05950">
        <w:rPr>
          <w:lang w:eastAsia="lv-LV"/>
        </w:rPr>
        <w:t xml:space="preserve"> J</w:t>
      </w:r>
      <w:r w:rsidR="00B05950">
        <w:rPr>
          <w:lang w:eastAsia="lv-LV"/>
        </w:rPr>
        <w:t xml:space="preserve">urim </w:t>
      </w:r>
      <w:r w:rsidR="00801349" w:rsidRPr="00B05950">
        <w:rPr>
          <w:lang w:eastAsia="lv-LV"/>
        </w:rPr>
        <w:t xml:space="preserve">Jansonam lūgusi sniegt atzinumu. Lūgumam pievienots CD disks ar </w:t>
      </w:r>
      <w:r w:rsidR="00191365">
        <w:rPr>
          <w:rFonts w:asciiTheme="majorBidi" w:hAnsiTheme="majorBidi" w:cstheme="majorBidi"/>
        </w:rPr>
        <w:t>[pers. A]</w:t>
      </w:r>
      <w:r w:rsidR="00801349" w:rsidRPr="00B05950">
        <w:rPr>
          <w:lang w:eastAsia="lv-LV"/>
        </w:rPr>
        <w:t xml:space="preserve"> videoierakstu no viņa </w:t>
      </w:r>
      <w:r w:rsidR="001E5839" w:rsidRPr="00B05950">
        <w:rPr>
          <w:lang w:eastAsia="lv-LV"/>
        </w:rPr>
        <w:t>„</w:t>
      </w:r>
      <w:proofErr w:type="spellStart"/>
      <w:r w:rsidR="00801349" w:rsidRPr="00B05950">
        <w:rPr>
          <w:lang w:eastAsia="lv-LV"/>
        </w:rPr>
        <w:t>Facebook</w:t>
      </w:r>
      <w:proofErr w:type="spellEnd"/>
      <w:r w:rsidR="001E5839" w:rsidRPr="00B05950">
        <w:rPr>
          <w:lang w:eastAsia="lv-LV"/>
        </w:rPr>
        <w:t>”</w:t>
      </w:r>
      <w:r w:rsidR="00801349" w:rsidRPr="00B05950">
        <w:rPr>
          <w:lang w:eastAsia="lv-LV"/>
        </w:rPr>
        <w:t xml:space="preserve"> profila, kā arī apskates protokola kopija ar </w:t>
      </w:r>
      <w:r w:rsidR="00191365">
        <w:rPr>
          <w:rFonts w:asciiTheme="majorBidi" w:hAnsiTheme="majorBidi" w:cstheme="majorBidi"/>
        </w:rPr>
        <w:t>[pers. A]</w:t>
      </w:r>
      <w:r w:rsidR="00801349" w:rsidRPr="00B05950">
        <w:rPr>
          <w:lang w:eastAsia="lv-LV"/>
        </w:rPr>
        <w:t xml:space="preserve"> videoierakstam pievienotajiem komentāriem.</w:t>
      </w:r>
    </w:p>
    <w:p w14:paraId="3EBB4052" w14:textId="11E04B6B" w:rsidR="00801349" w:rsidRPr="00B05950" w:rsidRDefault="00801349" w:rsidP="00801349">
      <w:pPr>
        <w:spacing w:line="276" w:lineRule="auto"/>
        <w:ind w:firstLine="709"/>
        <w:jc w:val="both"/>
        <w:rPr>
          <w:lang w:eastAsia="lv-LV"/>
        </w:rPr>
      </w:pPr>
      <w:r w:rsidRPr="00B05950">
        <w:rPr>
          <w:lang w:eastAsia="lv-LV"/>
        </w:rPr>
        <w:t>2020. gada 16. </w:t>
      </w:r>
      <w:r w:rsidR="001E5839" w:rsidRPr="00B05950">
        <w:rPr>
          <w:lang w:eastAsia="lv-LV"/>
        </w:rPr>
        <w:t xml:space="preserve">martā </w:t>
      </w:r>
      <w:r w:rsidRPr="00B05950">
        <w:rPr>
          <w:lang w:eastAsia="lv-LV"/>
        </w:rPr>
        <w:t xml:space="preserve">Latvijas Republikas </w:t>
      </w:r>
      <w:proofErr w:type="spellStart"/>
      <w:r w:rsidRPr="00B05950">
        <w:rPr>
          <w:lang w:eastAsia="lv-LV"/>
        </w:rPr>
        <w:t>tiesībsargs</w:t>
      </w:r>
      <w:proofErr w:type="spellEnd"/>
      <w:r w:rsidRPr="00B05950">
        <w:rPr>
          <w:lang w:eastAsia="lv-LV"/>
        </w:rPr>
        <w:t xml:space="preserve"> sniedzis atzinumu</w:t>
      </w:r>
      <w:r w:rsidR="00824C5E" w:rsidRPr="00B05950">
        <w:rPr>
          <w:lang w:eastAsia="lv-LV"/>
        </w:rPr>
        <w:t> </w:t>
      </w:r>
      <w:r w:rsidRPr="00B05950">
        <w:rPr>
          <w:lang w:eastAsia="lv-LV"/>
        </w:rPr>
        <w:t>Nr.</w:t>
      </w:r>
      <w:r w:rsidR="00824C5E" w:rsidRPr="00B05950">
        <w:rPr>
          <w:lang w:eastAsia="lv-LV"/>
        </w:rPr>
        <w:t> </w:t>
      </w:r>
      <w:r w:rsidRPr="00B05950">
        <w:rPr>
          <w:lang w:eastAsia="lv-LV"/>
        </w:rPr>
        <w:t>1</w:t>
      </w:r>
      <w:r w:rsidR="00824C5E" w:rsidRPr="00B05950">
        <w:rPr>
          <w:lang w:eastAsia="lv-LV"/>
        </w:rPr>
        <w:t>-</w:t>
      </w:r>
      <w:r w:rsidRPr="00B05950">
        <w:rPr>
          <w:lang w:eastAsia="lv-LV"/>
        </w:rPr>
        <w:t>5/50,</w:t>
      </w:r>
      <w:r w:rsidR="00824C5E" w:rsidRPr="00B05950">
        <w:rPr>
          <w:lang w:eastAsia="lv-LV"/>
        </w:rPr>
        <w:t xml:space="preserve"> </w:t>
      </w:r>
      <w:r w:rsidRPr="00B05950">
        <w:rPr>
          <w:lang w:eastAsia="lv-LV"/>
        </w:rPr>
        <w:t>kura</w:t>
      </w:r>
      <w:r w:rsidR="00824C5E" w:rsidRPr="00B05950">
        <w:rPr>
          <w:lang w:eastAsia="lv-LV"/>
        </w:rPr>
        <w:t xml:space="preserve"> </w:t>
      </w:r>
      <w:r w:rsidRPr="00B05950">
        <w:rPr>
          <w:lang w:eastAsia="lv-LV"/>
        </w:rPr>
        <w:t xml:space="preserve">secinājumos ir norādīts, ka izteikumi sociālajā tīklā </w:t>
      </w:r>
      <w:r w:rsidR="001E5839" w:rsidRPr="00B05950">
        <w:rPr>
          <w:lang w:eastAsia="lv-LV"/>
        </w:rPr>
        <w:t>„</w:t>
      </w:r>
      <w:proofErr w:type="spellStart"/>
      <w:r w:rsidRPr="00B05950">
        <w:rPr>
          <w:lang w:eastAsia="lv-LV"/>
        </w:rPr>
        <w:t>Facebook</w:t>
      </w:r>
      <w:proofErr w:type="spellEnd"/>
      <w:r w:rsidR="001E5839" w:rsidRPr="00B05950">
        <w:rPr>
          <w:lang w:eastAsia="lv-LV"/>
        </w:rPr>
        <w:t>”</w:t>
      </w:r>
      <w:r w:rsidRPr="00B05950">
        <w:rPr>
          <w:lang w:eastAsia="lv-LV"/>
        </w:rPr>
        <w:t xml:space="preserve"> ievietotajā videoierakstā ir vērsti uz nacionālā un etniskā naida vai nesaticības izraisīšanu sabiedrībā.</w:t>
      </w:r>
    </w:p>
    <w:p w14:paraId="1A23C7D3" w14:textId="20160289" w:rsidR="00801349" w:rsidRPr="00B05950" w:rsidRDefault="00801349" w:rsidP="00F00F31">
      <w:pPr>
        <w:spacing w:line="276" w:lineRule="auto"/>
        <w:ind w:firstLine="709"/>
        <w:jc w:val="both"/>
      </w:pPr>
      <w:r w:rsidRPr="00B05950">
        <w:rPr>
          <w:lang w:eastAsia="lv-LV"/>
        </w:rPr>
        <w:t>[8.2]</w:t>
      </w:r>
      <w:r w:rsidRPr="00B05950">
        <w:t xml:space="preserve"> Senāts </w:t>
      </w:r>
      <w:r w:rsidR="00F00F31" w:rsidRPr="00B05950">
        <w:t>2023</w:t>
      </w:r>
      <w:r w:rsidR="001E5839" w:rsidRPr="00B05950">
        <w:t>. </w:t>
      </w:r>
      <w:r w:rsidR="00F00F31" w:rsidRPr="00B05950">
        <w:t>gada 10</w:t>
      </w:r>
      <w:r w:rsidR="001E5839" w:rsidRPr="00B05950">
        <w:t>. </w:t>
      </w:r>
      <w:r w:rsidR="00F00F31" w:rsidRPr="00B05950">
        <w:t xml:space="preserve">janvāra lēmumā secinājis, ka </w:t>
      </w:r>
      <w:proofErr w:type="spellStart"/>
      <w:r w:rsidR="00F00F31" w:rsidRPr="00B05950">
        <w:t>t</w:t>
      </w:r>
      <w:r w:rsidRPr="00B05950">
        <w:t>iesībsarga</w:t>
      </w:r>
      <w:proofErr w:type="spellEnd"/>
      <w:r w:rsidRPr="00B05950">
        <w:t xml:space="preserve"> atzinums nav atzīstams par kompetentās institūcijas atzinumu Kriminālprocesa likuma 133. panta izpratnē, jo </w:t>
      </w:r>
      <w:proofErr w:type="spellStart"/>
      <w:r w:rsidRPr="00B05950">
        <w:t>Tiesībsarga</w:t>
      </w:r>
      <w:proofErr w:type="spellEnd"/>
      <w:r w:rsidRPr="00B05950">
        <w:t xml:space="preserve"> likumā kontroles un uzraudzības funkcija </w:t>
      </w:r>
      <w:proofErr w:type="spellStart"/>
      <w:r w:rsidRPr="00B05950">
        <w:t>tiesībsargam</w:t>
      </w:r>
      <w:proofErr w:type="spellEnd"/>
      <w:r w:rsidRPr="00B05950">
        <w:t xml:space="preserve"> nav noteikta</w:t>
      </w:r>
      <w:r w:rsidR="00F00F31" w:rsidRPr="00B05950">
        <w:t xml:space="preserve"> (</w:t>
      </w:r>
      <w:bookmarkStart w:id="11" w:name="_Hlk195000913"/>
      <w:r w:rsidR="00F00F31" w:rsidRPr="00B05950">
        <w:rPr>
          <w:i/>
          <w:iCs/>
        </w:rPr>
        <w:t>Senāta 2023.</w:t>
      </w:r>
      <w:r w:rsidR="00F00F31" w:rsidRPr="00B05950">
        <w:t> </w:t>
      </w:r>
      <w:r w:rsidR="00F00F31" w:rsidRPr="00B05950">
        <w:rPr>
          <w:i/>
          <w:iCs/>
        </w:rPr>
        <w:t>gada 10.</w:t>
      </w:r>
      <w:r w:rsidR="00F00F31" w:rsidRPr="00B05950">
        <w:t> </w:t>
      </w:r>
      <w:r w:rsidR="00F00F31" w:rsidRPr="00B05950">
        <w:rPr>
          <w:i/>
          <w:iCs/>
        </w:rPr>
        <w:t>janvāra lēmuma lietā Nr. SKK</w:t>
      </w:r>
      <w:r w:rsidR="001E5839" w:rsidRPr="00B05950">
        <w:rPr>
          <w:i/>
          <w:iCs/>
        </w:rPr>
        <w:t>-</w:t>
      </w:r>
      <w:r w:rsidR="00F00F31" w:rsidRPr="00B05950">
        <w:rPr>
          <w:i/>
          <w:iCs/>
        </w:rPr>
        <w:t>3/2023,</w:t>
      </w:r>
      <w:r w:rsidR="001D148A" w:rsidRPr="00B05950">
        <w:rPr>
          <w:i/>
          <w:iCs/>
        </w:rPr>
        <w:t xml:space="preserve"> </w:t>
      </w:r>
      <w:hyperlink r:id="rId15" w:history="1">
        <w:r w:rsidR="001D148A" w:rsidRPr="00B05950">
          <w:rPr>
            <w:rStyle w:val="Hyperlink"/>
            <w:i/>
            <w:iCs/>
            <w:color w:val="auto"/>
          </w:rPr>
          <w:t>ECLI:LV:AT:2023:0110.11817001020.4.L</w:t>
        </w:r>
      </w:hyperlink>
      <w:bookmarkEnd w:id="11"/>
      <w:r w:rsidR="001D148A" w:rsidRPr="00B05950">
        <w:rPr>
          <w:i/>
          <w:iCs/>
        </w:rPr>
        <w:t>,</w:t>
      </w:r>
      <w:r w:rsidR="00F00F31" w:rsidRPr="00B05950">
        <w:rPr>
          <w:i/>
          <w:iCs/>
        </w:rPr>
        <w:t xml:space="preserve"> 5.5. punkts</w:t>
      </w:r>
      <w:r w:rsidR="00F00F31" w:rsidRPr="00B05950">
        <w:t>)</w:t>
      </w:r>
      <w:r w:rsidRPr="00B05950">
        <w:t>.</w:t>
      </w:r>
    </w:p>
    <w:p w14:paraId="43F335B2" w14:textId="17728E4D" w:rsidR="00F00F31" w:rsidRPr="00B05950" w:rsidRDefault="00F00F31" w:rsidP="00F00F31">
      <w:pPr>
        <w:spacing w:line="276" w:lineRule="auto"/>
        <w:ind w:firstLine="709"/>
        <w:jc w:val="both"/>
        <w:rPr>
          <w:highlight w:val="yellow"/>
        </w:rPr>
      </w:pPr>
      <w:r w:rsidRPr="00B05950">
        <w:t xml:space="preserve">Senāts arī norādījis, ka no </w:t>
      </w:r>
      <w:proofErr w:type="spellStart"/>
      <w:r w:rsidRPr="00B05950">
        <w:t>Tiesībsarga</w:t>
      </w:r>
      <w:proofErr w:type="spellEnd"/>
      <w:r w:rsidRPr="00B05950">
        <w:t xml:space="preserve"> likuma normām izriet, ka </w:t>
      </w:r>
      <w:proofErr w:type="spellStart"/>
      <w:r w:rsidRPr="00B05950">
        <w:t>tiesībsarga</w:t>
      </w:r>
      <w:proofErr w:type="spellEnd"/>
      <w:r w:rsidRPr="00B05950">
        <w:t xml:space="preserve"> pamatfunkcija ir valsts varas īstenošanas uzraudzība un cilvēktiesību aizsardzība (</w:t>
      </w:r>
      <w:bookmarkStart w:id="12" w:name="_Hlk126057854"/>
      <w:r w:rsidRPr="00B05950">
        <w:rPr>
          <w:i/>
          <w:iCs/>
        </w:rPr>
        <w:t>Senāta 2007.</w:t>
      </w:r>
      <w:r w:rsidRPr="00B05950">
        <w:t> </w:t>
      </w:r>
      <w:r w:rsidRPr="00B05950">
        <w:rPr>
          <w:i/>
          <w:iCs/>
        </w:rPr>
        <w:t>gada 14.</w:t>
      </w:r>
      <w:r w:rsidRPr="00B05950">
        <w:t> </w:t>
      </w:r>
      <w:r w:rsidRPr="00B05950">
        <w:rPr>
          <w:i/>
          <w:iCs/>
        </w:rPr>
        <w:t>decembra lēmuma lietā Nr. </w:t>
      </w:r>
      <w:hyperlink r:id="rId16" w:history="1">
        <w:r w:rsidRPr="00B05950">
          <w:rPr>
            <w:rStyle w:val="Hyperlink"/>
            <w:i/>
            <w:iCs/>
            <w:color w:val="auto"/>
          </w:rPr>
          <w:t>SKA</w:t>
        </w:r>
        <w:r w:rsidRPr="00B05950">
          <w:rPr>
            <w:rStyle w:val="Hyperlink"/>
            <w:color w:val="auto"/>
          </w:rPr>
          <w:noBreakHyphen/>
        </w:r>
        <w:r w:rsidRPr="00B05950">
          <w:rPr>
            <w:rStyle w:val="Hyperlink"/>
            <w:i/>
            <w:iCs/>
            <w:color w:val="auto"/>
          </w:rPr>
          <w:t>679/2007</w:t>
        </w:r>
      </w:hyperlink>
      <w:r w:rsidRPr="00B05950">
        <w:rPr>
          <w:i/>
          <w:iCs/>
        </w:rPr>
        <w:t>, A7021807/12</w:t>
      </w:r>
      <w:bookmarkEnd w:id="12"/>
      <w:r w:rsidRPr="00B05950">
        <w:rPr>
          <w:i/>
          <w:iCs/>
        </w:rPr>
        <w:t>, 9. punkts</w:t>
      </w:r>
      <w:r w:rsidRPr="00B05950">
        <w:t xml:space="preserve">). Pildot likumā noteiktās funkcijas, </w:t>
      </w:r>
      <w:proofErr w:type="spellStart"/>
      <w:r w:rsidRPr="00B05950">
        <w:t>tiesībsargs</w:t>
      </w:r>
      <w:proofErr w:type="spellEnd"/>
      <w:r w:rsidRPr="00B05950">
        <w:t xml:space="preserve"> sekmē vienlīdzīgas attieksmes principa ievērošanu un jebkādas diskriminācijas novēršanu. Savukārt īstenojot </w:t>
      </w:r>
      <w:proofErr w:type="spellStart"/>
      <w:r w:rsidRPr="00B05950">
        <w:t>Tiesībsarga</w:t>
      </w:r>
      <w:proofErr w:type="spellEnd"/>
      <w:r w:rsidRPr="00B05950">
        <w:t xml:space="preserve"> likuma 12. pantā noteiktos uzdevumus, </w:t>
      </w:r>
      <w:proofErr w:type="spellStart"/>
      <w:r w:rsidRPr="00B05950">
        <w:t>tiesībsargs</w:t>
      </w:r>
      <w:proofErr w:type="spellEnd"/>
      <w:r w:rsidRPr="00B05950">
        <w:t xml:space="preserve"> savus secinājumus par konkrēto jautājumu ietver atzinuma un ieteikuma formā.</w:t>
      </w:r>
    </w:p>
    <w:p w14:paraId="645FB8AA" w14:textId="5CF86922" w:rsidR="00F00F31" w:rsidRPr="00B05950" w:rsidRDefault="00F00F31" w:rsidP="00F00F31">
      <w:pPr>
        <w:spacing w:line="276" w:lineRule="auto"/>
        <w:ind w:right="-1" w:firstLine="720"/>
        <w:jc w:val="both"/>
      </w:pPr>
      <w:r w:rsidRPr="00B05950">
        <w:t xml:space="preserve">No minētā izriet, ka </w:t>
      </w:r>
      <w:proofErr w:type="spellStart"/>
      <w:r w:rsidRPr="00B05950">
        <w:t>tiesībsargs</w:t>
      </w:r>
      <w:proofErr w:type="spellEnd"/>
      <w:r w:rsidRPr="00B05950">
        <w:t xml:space="preserve"> kā Saeimas apstiprināta amatpersona ir pilnvarots pildīt </w:t>
      </w:r>
      <w:proofErr w:type="spellStart"/>
      <w:r w:rsidRPr="00B05950">
        <w:t>Tiesībsarga</w:t>
      </w:r>
      <w:proofErr w:type="spellEnd"/>
      <w:r w:rsidRPr="00B05950">
        <w:t xml:space="preserve"> likumā noteiktās funkcijas un uzdevumus, kas ir vērsti uz valsts varas īstenošanas uzraudzību un cilvēktiesību aizsardzību. Savukārt tiesu varas uzdevums ir gādāt par to, lai, spriežot tiesu, tiktu nodrošināta vispārējo tiesību principu, Satversmes normu, Latvijai saistošo starptautisko līgumu, likumu un citu tiesību aktu īstenošana, kā </w:t>
      </w:r>
      <w:r w:rsidRPr="00B05950">
        <w:lastRenderedPageBreak/>
        <w:t>arī tiktu aizsargātas cilvēka tiesības un brīvības (</w:t>
      </w:r>
      <w:bookmarkStart w:id="13" w:name="_Hlk195000927"/>
      <w:bookmarkStart w:id="14" w:name="_Hlk126057887"/>
      <w:r w:rsidRPr="00B05950">
        <w:rPr>
          <w:i/>
          <w:iCs/>
        </w:rPr>
        <w:t>Satversmes tiesas 2007. gada 18. oktobra sprieduma lietā Nr. </w:t>
      </w:r>
      <w:hyperlink r:id="rId17" w:anchor="search=" w:history="1">
        <w:r w:rsidRPr="00B05950">
          <w:rPr>
            <w:rStyle w:val="Hyperlink"/>
            <w:i/>
            <w:iCs/>
            <w:color w:val="auto"/>
          </w:rPr>
          <w:t>2007-03-01</w:t>
        </w:r>
      </w:hyperlink>
      <w:bookmarkEnd w:id="13"/>
      <w:r w:rsidR="005D16AB">
        <w:t>,</w:t>
      </w:r>
      <w:r w:rsidRPr="00B05950">
        <w:rPr>
          <w:i/>
          <w:iCs/>
        </w:rPr>
        <w:t xml:space="preserve"> </w:t>
      </w:r>
      <w:bookmarkEnd w:id="14"/>
      <w:r w:rsidRPr="00B05950">
        <w:rPr>
          <w:i/>
          <w:iCs/>
        </w:rPr>
        <w:t>26. punkts</w:t>
      </w:r>
      <w:r w:rsidRPr="00B05950">
        <w:t>).</w:t>
      </w:r>
    </w:p>
    <w:p w14:paraId="73B83E8E" w14:textId="3B41F3D6" w:rsidR="007B5FB0" w:rsidRPr="00B05950" w:rsidRDefault="00801349" w:rsidP="007B5FB0">
      <w:pPr>
        <w:pStyle w:val="ListBullet"/>
        <w:widowControl w:val="0"/>
        <w:numPr>
          <w:ilvl w:val="0"/>
          <w:numId w:val="0"/>
        </w:numPr>
        <w:spacing w:after="0"/>
        <w:ind w:firstLine="720"/>
        <w:jc w:val="both"/>
        <w:rPr>
          <w:rFonts w:asciiTheme="majorBidi" w:hAnsiTheme="majorBidi" w:cstheme="majorBidi"/>
          <w:szCs w:val="24"/>
        </w:rPr>
      </w:pPr>
      <w:r w:rsidRPr="00B05950">
        <w:rPr>
          <w:rFonts w:asciiTheme="majorBidi" w:hAnsiTheme="majorBidi" w:cstheme="majorBidi"/>
          <w:szCs w:val="24"/>
        </w:rPr>
        <w:t>[8.</w:t>
      </w:r>
      <w:r w:rsidR="00F00F31" w:rsidRPr="00B05950">
        <w:rPr>
          <w:rFonts w:asciiTheme="majorBidi" w:hAnsiTheme="majorBidi" w:cstheme="majorBidi"/>
          <w:szCs w:val="24"/>
        </w:rPr>
        <w:t>3</w:t>
      </w:r>
      <w:r w:rsidR="001E5839" w:rsidRPr="00B05950">
        <w:rPr>
          <w:rFonts w:asciiTheme="majorBidi" w:hAnsiTheme="majorBidi" w:cstheme="majorBidi"/>
          <w:szCs w:val="24"/>
        </w:rPr>
        <w:t>] </w:t>
      </w:r>
      <w:r w:rsidRPr="00B05950">
        <w:rPr>
          <w:rFonts w:asciiTheme="majorBidi" w:hAnsiTheme="majorBidi" w:cstheme="majorBidi"/>
          <w:szCs w:val="24"/>
        </w:rPr>
        <w:t>Kriminālprocesa likuma 127. panta pirmā daļa noteic, ka pierādījumi kriminālprocesā ir jebkuras likumā paredzētajā kārtībā iegūtas un noteiktā procesuālajā formā nostiprinātas ziņas par faktiem, kurus kriminālprocesā iesaistītās personas savas kompetences ietvaros izmanto pierādīšanas priekšmetā ietilpstošo apstākļu esamības vai neesamības pamatošanai.</w:t>
      </w:r>
    </w:p>
    <w:p w14:paraId="24B2D33A" w14:textId="55124AFB" w:rsidR="004C02B5" w:rsidRPr="00B05950" w:rsidRDefault="00C24DD1" w:rsidP="004C02B5">
      <w:pPr>
        <w:pStyle w:val="ListBullet"/>
        <w:widowControl w:val="0"/>
        <w:numPr>
          <w:ilvl w:val="0"/>
          <w:numId w:val="0"/>
        </w:numPr>
        <w:spacing w:after="0"/>
        <w:ind w:firstLine="720"/>
        <w:jc w:val="both"/>
        <w:rPr>
          <w:rFonts w:cs="Times New Roman"/>
          <w:szCs w:val="24"/>
          <w:lang w:eastAsia="lv-LV"/>
        </w:rPr>
      </w:pPr>
      <w:r w:rsidRPr="00B05950">
        <w:rPr>
          <w:rFonts w:cs="Times New Roman"/>
          <w:szCs w:val="24"/>
          <w:lang w:eastAsia="lv-LV"/>
        </w:rPr>
        <w:t>Kriminālprocesa likuma 564. panta ceturtajā daļā noteikts,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92FBB7D" w14:textId="3F76EFAC" w:rsidR="004C02B5" w:rsidRPr="00B05950" w:rsidRDefault="004C02B5" w:rsidP="0098168C">
      <w:pPr>
        <w:pStyle w:val="ListBullet"/>
        <w:widowControl w:val="0"/>
        <w:numPr>
          <w:ilvl w:val="0"/>
          <w:numId w:val="0"/>
        </w:numPr>
        <w:spacing w:after="0"/>
        <w:ind w:firstLine="720"/>
        <w:jc w:val="both"/>
        <w:rPr>
          <w:i/>
          <w:iCs/>
          <w:lang w:eastAsia="lv-LV"/>
        </w:rPr>
      </w:pPr>
      <w:r w:rsidRPr="00B05950">
        <w:rPr>
          <w:rFonts w:cs="Times New Roman"/>
          <w:szCs w:val="24"/>
          <w:lang w:eastAsia="lv-LV"/>
        </w:rPr>
        <w:t>[8.4] </w:t>
      </w:r>
      <w:r w:rsidR="005D54A7" w:rsidRPr="00B05950">
        <w:rPr>
          <w:rFonts w:cs="Times New Roman"/>
          <w:szCs w:val="24"/>
          <w:lang w:eastAsia="lv-LV"/>
        </w:rPr>
        <w:t>Juridiskajā literatūrā norādīts, ka n</w:t>
      </w:r>
      <w:r w:rsidRPr="00B05950">
        <w:rPr>
          <w:lang w:eastAsia="lv-LV"/>
        </w:rPr>
        <w:t xml:space="preserve">o faktiskajiem apstākļiem ir jānošķir tiesiskie apstākļi, jo saskaņā ar romiešu tiesību principu </w:t>
      </w:r>
      <w:proofErr w:type="spellStart"/>
      <w:r w:rsidRPr="00B05950">
        <w:rPr>
          <w:i/>
          <w:iCs/>
          <w:lang w:eastAsia="lv-LV"/>
        </w:rPr>
        <w:t>da</w:t>
      </w:r>
      <w:proofErr w:type="spellEnd"/>
      <w:r w:rsidRPr="00B05950">
        <w:rPr>
          <w:i/>
          <w:iCs/>
          <w:lang w:eastAsia="lv-LV"/>
        </w:rPr>
        <w:t xml:space="preserve"> </w:t>
      </w:r>
      <w:proofErr w:type="spellStart"/>
      <w:r w:rsidRPr="00B05950">
        <w:rPr>
          <w:i/>
          <w:iCs/>
          <w:lang w:eastAsia="lv-LV"/>
        </w:rPr>
        <w:t>mihi</w:t>
      </w:r>
      <w:proofErr w:type="spellEnd"/>
      <w:r w:rsidRPr="00B05950">
        <w:rPr>
          <w:i/>
          <w:iCs/>
          <w:lang w:eastAsia="lv-LV"/>
        </w:rPr>
        <w:t xml:space="preserve"> </w:t>
      </w:r>
      <w:proofErr w:type="spellStart"/>
      <w:r w:rsidRPr="00B05950">
        <w:rPr>
          <w:i/>
          <w:iCs/>
          <w:lang w:eastAsia="lv-LV"/>
        </w:rPr>
        <w:t>facta</w:t>
      </w:r>
      <w:proofErr w:type="spellEnd"/>
      <w:r w:rsidRPr="00B05950">
        <w:rPr>
          <w:i/>
          <w:iCs/>
          <w:lang w:eastAsia="lv-LV"/>
        </w:rPr>
        <w:t xml:space="preserve"> </w:t>
      </w:r>
      <w:proofErr w:type="spellStart"/>
      <w:r w:rsidRPr="00B05950">
        <w:rPr>
          <w:i/>
          <w:iCs/>
          <w:lang w:eastAsia="lv-LV"/>
        </w:rPr>
        <w:t>dabo</w:t>
      </w:r>
      <w:proofErr w:type="spellEnd"/>
      <w:r w:rsidRPr="00B05950">
        <w:rPr>
          <w:i/>
          <w:iCs/>
          <w:lang w:eastAsia="lv-LV"/>
        </w:rPr>
        <w:t xml:space="preserve"> </w:t>
      </w:r>
      <w:proofErr w:type="spellStart"/>
      <w:r w:rsidRPr="00B05950">
        <w:rPr>
          <w:i/>
          <w:iCs/>
          <w:lang w:eastAsia="lv-LV"/>
        </w:rPr>
        <w:t>tibi</w:t>
      </w:r>
      <w:proofErr w:type="spellEnd"/>
      <w:r w:rsidRPr="00B05950">
        <w:rPr>
          <w:i/>
          <w:iCs/>
          <w:lang w:eastAsia="lv-LV"/>
        </w:rPr>
        <w:t xml:space="preserve"> </w:t>
      </w:r>
      <w:proofErr w:type="spellStart"/>
      <w:r w:rsidRPr="00B05950">
        <w:rPr>
          <w:i/>
          <w:iCs/>
          <w:lang w:eastAsia="lv-LV"/>
        </w:rPr>
        <w:t>ius</w:t>
      </w:r>
      <w:proofErr w:type="spellEnd"/>
      <w:r w:rsidRPr="00B05950">
        <w:rPr>
          <w:lang w:eastAsia="lv-LV"/>
        </w:rPr>
        <w:t xml:space="preserve"> lietas dalībniekiem tiesai jāsniedz tikai faktiskie apstākļi. Savukārt atbilstoši principam </w:t>
      </w:r>
      <w:proofErr w:type="spellStart"/>
      <w:r w:rsidRPr="00B05950">
        <w:rPr>
          <w:i/>
          <w:iCs/>
          <w:lang w:eastAsia="lv-LV"/>
        </w:rPr>
        <w:t>iura</w:t>
      </w:r>
      <w:proofErr w:type="spellEnd"/>
      <w:r w:rsidRPr="00B05950">
        <w:rPr>
          <w:i/>
          <w:iCs/>
          <w:lang w:eastAsia="lv-LV"/>
        </w:rPr>
        <w:t xml:space="preserve"> </w:t>
      </w:r>
      <w:proofErr w:type="spellStart"/>
      <w:r w:rsidRPr="00B05950">
        <w:rPr>
          <w:i/>
          <w:iCs/>
          <w:lang w:eastAsia="lv-LV"/>
        </w:rPr>
        <w:t>novit</w:t>
      </w:r>
      <w:proofErr w:type="spellEnd"/>
      <w:r w:rsidRPr="00B05950">
        <w:rPr>
          <w:i/>
          <w:iCs/>
          <w:lang w:eastAsia="lv-LV"/>
        </w:rPr>
        <w:t xml:space="preserve"> </w:t>
      </w:r>
      <w:proofErr w:type="spellStart"/>
      <w:r w:rsidRPr="00B05950">
        <w:rPr>
          <w:i/>
          <w:iCs/>
          <w:lang w:eastAsia="lv-LV"/>
        </w:rPr>
        <w:t>curia</w:t>
      </w:r>
      <w:proofErr w:type="spellEnd"/>
      <w:r w:rsidRPr="00B05950">
        <w:rPr>
          <w:lang w:eastAsia="lv-LV"/>
        </w:rPr>
        <w:t xml:space="preserve"> tiesību jautājumus izlemj tiesa, pamatojoties uz savām zināšanām (</w:t>
      </w:r>
      <w:bookmarkStart w:id="15" w:name="_Hlk192505249"/>
      <w:proofErr w:type="spellStart"/>
      <w:r w:rsidRPr="00B05950">
        <w:rPr>
          <w:i/>
          <w:iCs/>
          <w:lang w:eastAsia="lv-LV"/>
        </w:rPr>
        <w:t>Bārdiņš</w:t>
      </w:r>
      <w:proofErr w:type="spellEnd"/>
      <w:r w:rsidRPr="00B05950">
        <w:rPr>
          <w:i/>
          <w:iCs/>
          <w:lang w:eastAsia="lv-LV"/>
        </w:rPr>
        <w:t xml:space="preserve"> G. Būtisko lietas apstākļu noskaidrošana un vērtēšana. </w:t>
      </w:r>
      <w:r w:rsidR="0098168C" w:rsidRPr="00B05950">
        <w:rPr>
          <w:i/>
          <w:iCs/>
          <w:lang w:eastAsia="lv-LV"/>
        </w:rPr>
        <w:t>Rīgā</w:t>
      </w:r>
      <w:r w:rsidRPr="00B05950">
        <w:rPr>
          <w:i/>
          <w:iCs/>
          <w:lang w:eastAsia="lv-LV"/>
        </w:rPr>
        <w:t>: Latvijas Vēstnesis, 2006</w:t>
      </w:r>
      <w:bookmarkEnd w:id="15"/>
      <w:r w:rsidRPr="00B05950">
        <w:rPr>
          <w:i/>
          <w:iCs/>
          <w:lang w:eastAsia="lv-LV"/>
        </w:rPr>
        <w:t xml:space="preserve">, </w:t>
      </w:r>
      <w:r w:rsidR="00227671" w:rsidRPr="00B05950">
        <w:rPr>
          <w:i/>
          <w:iCs/>
          <w:lang w:eastAsia="lv-LV"/>
        </w:rPr>
        <w:t>8</w:t>
      </w:r>
      <w:r w:rsidRPr="00B05950">
        <w:rPr>
          <w:i/>
          <w:iCs/>
          <w:lang w:eastAsia="lv-LV"/>
        </w:rPr>
        <w:t>. l</w:t>
      </w:r>
      <w:r w:rsidR="00F91743" w:rsidRPr="00B05950">
        <w:rPr>
          <w:i/>
          <w:iCs/>
          <w:lang w:eastAsia="lv-LV"/>
        </w:rPr>
        <w:t>apa</w:t>
      </w:r>
      <w:r w:rsidRPr="00B05950">
        <w:rPr>
          <w:lang w:eastAsia="lv-LV"/>
        </w:rPr>
        <w:t>).</w:t>
      </w:r>
    </w:p>
    <w:p w14:paraId="29ECE7A2" w14:textId="67287F8E" w:rsidR="004C02B5" w:rsidRPr="00B05950" w:rsidRDefault="004C45BA" w:rsidP="004C02B5">
      <w:pPr>
        <w:pStyle w:val="ListBullet"/>
        <w:widowControl w:val="0"/>
        <w:numPr>
          <w:ilvl w:val="0"/>
          <w:numId w:val="0"/>
        </w:numPr>
        <w:spacing w:after="0"/>
        <w:ind w:firstLine="720"/>
        <w:jc w:val="both"/>
        <w:rPr>
          <w:rFonts w:cs="Times New Roman"/>
          <w:szCs w:val="24"/>
          <w:lang w:eastAsia="lv-LV"/>
        </w:rPr>
      </w:pPr>
      <w:r w:rsidRPr="00B05950">
        <w:rPr>
          <w:rFonts w:asciiTheme="majorBidi" w:hAnsiTheme="majorBidi" w:cstheme="majorBidi"/>
          <w:szCs w:val="24"/>
        </w:rPr>
        <w:t>[8.5] </w:t>
      </w:r>
      <w:r w:rsidR="004C02B5" w:rsidRPr="00B05950">
        <w:rPr>
          <w:rFonts w:asciiTheme="majorBidi" w:hAnsiTheme="majorBidi" w:cstheme="majorBidi"/>
          <w:szCs w:val="24"/>
        </w:rPr>
        <w:t xml:space="preserve">Izskatāmajā lietā </w:t>
      </w:r>
      <w:proofErr w:type="spellStart"/>
      <w:r w:rsidR="004C02B5" w:rsidRPr="00B05950">
        <w:rPr>
          <w:rFonts w:asciiTheme="majorBidi" w:hAnsiTheme="majorBidi" w:cstheme="majorBidi"/>
          <w:szCs w:val="24"/>
        </w:rPr>
        <w:t>t</w:t>
      </w:r>
      <w:r w:rsidR="004C02B5" w:rsidRPr="00B05950">
        <w:rPr>
          <w:rFonts w:cs="Times New Roman"/>
          <w:szCs w:val="24"/>
          <w:lang w:eastAsia="lv-LV"/>
        </w:rPr>
        <w:t>iesībsarga</w:t>
      </w:r>
      <w:proofErr w:type="spellEnd"/>
      <w:r w:rsidR="004C02B5" w:rsidRPr="00B05950">
        <w:rPr>
          <w:rFonts w:cs="Times New Roman"/>
          <w:szCs w:val="24"/>
          <w:lang w:eastAsia="lv-LV"/>
        </w:rPr>
        <w:t xml:space="preserve"> atzinums netika lūgts, lai iegūtu </w:t>
      </w:r>
      <w:proofErr w:type="spellStart"/>
      <w:r w:rsidR="004C02B5" w:rsidRPr="00B05950">
        <w:rPr>
          <w:rFonts w:cs="Times New Roman"/>
          <w:szCs w:val="24"/>
          <w:lang w:eastAsia="lv-LV"/>
        </w:rPr>
        <w:t>tiesībsarga</w:t>
      </w:r>
      <w:proofErr w:type="spellEnd"/>
      <w:r w:rsidR="004C02B5" w:rsidRPr="00B05950">
        <w:rPr>
          <w:rFonts w:cs="Times New Roman"/>
          <w:szCs w:val="24"/>
          <w:lang w:eastAsia="lv-LV"/>
        </w:rPr>
        <w:t xml:space="preserve"> rīcībā esošas ziņas par faktiem,</w:t>
      </w:r>
      <w:r w:rsidR="003F24E1" w:rsidRPr="00B05950">
        <w:rPr>
          <w:rFonts w:cs="Times New Roman"/>
          <w:szCs w:val="24"/>
          <w:lang w:eastAsia="lv-LV"/>
        </w:rPr>
        <w:t xml:space="preserve"> kurām ir nozīme lietā, </w:t>
      </w:r>
      <w:r w:rsidR="004C02B5" w:rsidRPr="00B05950">
        <w:rPr>
          <w:rFonts w:cs="Times New Roman"/>
          <w:szCs w:val="24"/>
          <w:lang w:eastAsia="lv-LV"/>
        </w:rPr>
        <w:t xml:space="preserve">bet gan lai noskaidrotu </w:t>
      </w:r>
      <w:proofErr w:type="spellStart"/>
      <w:r w:rsidR="004C02B5" w:rsidRPr="00B05950">
        <w:rPr>
          <w:rFonts w:cs="Times New Roman"/>
          <w:szCs w:val="24"/>
          <w:lang w:eastAsia="lv-LV"/>
        </w:rPr>
        <w:t>tiesībsarga</w:t>
      </w:r>
      <w:proofErr w:type="spellEnd"/>
      <w:r w:rsidR="004C02B5" w:rsidRPr="00B05950">
        <w:rPr>
          <w:rFonts w:cs="Times New Roman"/>
          <w:szCs w:val="24"/>
          <w:lang w:eastAsia="lv-LV"/>
        </w:rPr>
        <w:t xml:space="preserve"> viedokli par faktisko apstākļu, kuri procesa virzītājai jau bija zināmi, novērtējumu.</w:t>
      </w:r>
      <w:r w:rsidR="00092A8D" w:rsidRPr="00B05950">
        <w:rPr>
          <w:rFonts w:cs="Times New Roman"/>
          <w:szCs w:val="24"/>
          <w:lang w:eastAsia="lv-LV"/>
        </w:rPr>
        <w:t xml:space="preserve"> </w:t>
      </w:r>
    </w:p>
    <w:p w14:paraId="287C854C" w14:textId="11321CFE" w:rsidR="008B614A" w:rsidRPr="00B05950" w:rsidRDefault="004C02B5" w:rsidP="00EA1701">
      <w:pPr>
        <w:pStyle w:val="ListBullet"/>
        <w:widowControl w:val="0"/>
        <w:numPr>
          <w:ilvl w:val="0"/>
          <w:numId w:val="0"/>
        </w:numPr>
        <w:spacing w:after="0"/>
        <w:ind w:firstLine="720"/>
        <w:jc w:val="both"/>
        <w:rPr>
          <w:lang w:eastAsia="lv-LV"/>
        </w:rPr>
      </w:pPr>
      <w:r w:rsidRPr="00B05950">
        <w:rPr>
          <w:lang w:eastAsia="lv-LV"/>
        </w:rPr>
        <w:t>Ievērojot minēto, Senāts atzīst, ka atzinum</w:t>
      </w:r>
      <w:r w:rsidR="00EA1701" w:rsidRPr="00B05950">
        <w:rPr>
          <w:lang w:eastAsia="lv-LV"/>
        </w:rPr>
        <w:t>s</w:t>
      </w:r>
      <w:r w:rsidRPr="00B05950">
        <w:rPr>
          <w:lang w:eastAsia="lv-LV"/>
        </w:rPr>
        <w:t xml:space="preserve">, </w:t>
      </w:r>
      <w:r w:rsidR="00EA1701" w:rsidRPr="00B05950">
        <w:rPr>
          <w:rFonts w:cs="Times New Roman"/>
          <w:szCs w:val="24"/>
          <w:lang w:eastAsia="lv-LV"/>
        </w:rPr>
        <w:t xml:space="preserve">kurā </w:t>
      </w:r>
      <w:proofErr w:type="spellStart"/>
      <w:r w:rsidR="00EA1701" w:rsidRPr="00B05950">
        <w:rPr>
          <w:rFonts w:cs="Times New Roman"/>
          <w:szCs w:val="24"/>
          <w:lang w:eastAsia="lv-LV"/>
        </w:rPr>
        <w:t>tiesībsargs</w:t>
      </w:r>
      <w:proofErr w:type="spellEnd"/>
      <w:r w:rsidR="00EA1701" w:rsidRPr="00B05950">
        <w:rPr>
          <w:rFonts w:cs="Times New Roman"/>
          <w:szCs w:val="24"/>
          <w:lang w:eastAsia="lv-LV"/>
        </w:rPr>
        <w:t xml:space="preserve"> sniedzis tiesību normu interpretāciju, novērtējot faktiskos apstākļus, </w:t>
      </w:r>
      <w:r w:rsidRPr="00B05950">
        <w:rPr>
          <w:lang w:eastAsia="lv-LV"/>
        </w:rPr>
        <w:t xml:space="preserve">ir </w:t>
      </w:r>
      <w:proofErr w:type="spellStart"/>
      <w:r w:rsidRPr="00B05950">
        <w:rPr>
          <w:lang w:eastAsia="lv-LV"/>
        </w:rPr>
        <w:t>tiesībsarga</w:t>
      </w:r>
      <w:proofErr w:type="spellEnd"/>
      <w:r w:rsidRPr="00B05950">
        <w:rPr>
          <w:lang w:eastAsia="lv-LV"/>
        </w:rPr>
        <w:t xml:space="preserve"> viedoklis, kas nav atzīstams par pierādījumu kriminālprocesā.</w:t>
      </w:r>
    </w:p>
    <w:p w14:paraId="6A79B7D0" w14:textId="325E85D6" w:rsidR="00C24DD1" w:rsidRPr="00B05950" w:rsidRDefault="008B614A" w:rsidP="008B614A">
      <w:pPr>
        <w:pStyle w:val="ListBullet"/>
        <w:widowControl w:val="0"/>
        <w:numPr>
          <w:ilvl w:val="0"/>
          <w:numId w:val="0"/>
        </w:numPr>
        <w:spacing w:after="0"/>
        <w:ind w:firstLine="720"/>
        <w:jc w:val="both"/>
        <w:rPr>
          <w:rFonts w:cs="Times New Roman"/>
          <w:szCs w:val="24"/>
          <w:lang w:eastAsia="lv-LV"/>
        </w:rPr>
      </w:pPr>
      <w:r w:rsidRPr="00B05950">
        <w:rPr>
          <w:lang w:eastAsia="lv-LV"/>
        </w:rPr>
        <w:t>[8.</w:t>
      </w:r>
      <w:r w:rsidR="003F24E1" w:rsidRPr="00B05950">
        <w:rPr>
          <w:lang w:eastAsia="lv-LV"/>
        </w:rPr>
        <w:t>6</w:t>
      </w:r>
      <w:r w:rsidRPr="00B05950">
        <w:rPr>
          <w:lang w:eastAsia="lv-LV"/>
        </w:rPr>
        <w:t>] </w:t>
      </w:r>
      <w:r w:rsidR="007B5FB0" w:rsidRPr="00B05950">
        <w:rPr>
          <w:rFonts w:cs="Times New Roman"/>
          <w:szCs w:val="24"/>
          <w:lang w:eastAsia="lv-LV"/>
        </w:rPr>
        <w:t>Senāts ir atzinis, ka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 – „saprātīgu šaubu izslēgšana” (</w:t>
      </w:r>
      <w:bookmarkStart w:id="16" w:name="_Hlk195000936"/>
      <w:r w:rsidR="007B5FB0" w:rsidRPr="00B05950">
        <w:rPr>
          <w:rFonts w:cs="Times New Roman"/>
          <w:i/>
          <w:iCs/>
          <w:szCs w:val="24"/>
          <w:lang w:eastAsia="lv-LV"/>
        </w:rPr>
        <w:t>Senāta 2021. gada 26. februāra lēmuma lietā Nr</w:t>
      </w:r>
      <w:r w:rsidR="001E5839" w:rsidRPr="00B05950">
        <w:rPr>
          <w:rFonts w:cs="Times New Roman"/>
          <w:i/>
          <w:iCs/>
          <w:szCs w:val="24"/>
          <w:lang w:eastAsia="lv-LV"/>
        </w:rPr>
        <w:t>. </w:t>
      </w:r>
      <w:r w:rsidR="007B5FB0" w:rsidRPr="00B05950">
        <w:rPr>
          <w:rFonts w:cs="Times New Roman"/>
          <w:i/>
          <w:iCs/>
          <w:szCs w:val="24"/>
          <w:lang w:eastAsia="lv-LV"/>
        </w:rPr>
        <w:t xml:space="preserve">SKK-4/2021, </w:t>
      </w:r>
      <w:hyperlink r:id="rId18" w:history="1">
        <w:r w:rsidR="007B5FB0" w:rsidRPr="00B05950">
          <w:rPr>
            <w:rStyle w:val="Hyperlink"/>
            <w:rFonts w:cs="Times New Roman"/>
            <w:i/>
            <w:iCs/>
            <w:color w:val="auto"/>
            <w:szCs w:val="24"/>
            <w:lang w:eastAsia="lv-LV"/>
          </w:rPr>
          <w:t>ECLI:LV:AT:2021:0226.15830014213.11.L</w:t>
        </w:r>
      </w:hyperlink>
      <w:bookmarkEnd w:id="16"/>
      <w:r w:rsidR="007B5FB0" w:rsidRPr="00B05950">
        <w:rPr>
          <w:rFonts w:cs="Times New Roman"/>
          <w:i/>
          <w:iCs/>
          <w:szCs w:val="24"/>
          <w:lang w:eastAsia="lv-LV"/>
        </w:rPr>
        <w:t>, 9.1. punkts</w:t>
      </w:r>
      <w:r w:rsidR="007B5FB0" w:rsidRPr="00B05950">
        <w:rPr>
          <w:rFonts w:cs="Times New Roman"/>
          <w:szCs w:val="24"/>
          <w:lang w:eastAsia="lv-LV"/>
        </w:rPr>
        <w:t xml:space="preserve">). </w:t>
      </w:r>
    </w:p>
    <w:p w14:paraId="683DFFC4" w14:textId="740B3AF2" w:rsidR="00092A8D" w:rsidRPr="00B05950" w:rsidRDefault="007B5FB0" w:rsidP="00092A8D">
      <w:pPr>
        <w:pStyle w:val="ListBullet"/>
        <w:widowControl w:val="0"/>
        <w:numPr>
          <w:ilvl w:val="0"/>
          <w:numId w:val="0"/>
        </w:numPr>
        <w:spacing w:after="0"/>
        <w:ind w:firstLine="720"/>
        <w:jc w:val="both"/>
        <w:rPr>
          <w:rFonts w:asciiTheme="majorBidi" w:hAnsiTheme="majorBidi" w:cstheme="majorBidi"/>
        </w:rPr>
      </w:pPr>
      <w:r w:rsidRPr="00B05950">
        <w:rPr>
          <w:rFonts w:asciiTheme="majorBidi" w:hAnsiTheme="majorBidi" w:cstheme="majorBidi"/>
          <w:szCs w:val="24"/>
        </w:rPr>
        <w:t xml:space="preserve">Senāts </w:t>
      </w:r>
      <w:r w:rsidR="00C24DD1" w:rsidRPr="00B05950">
        <w:rPr>
          <w:rFonts w:asciiTheme="majorBidi" w:hAnsiTheme="majorBidi" w:cstheme="majorBidi"/>
          <w:szCs w:val="24"/>
        </w:rPr>
        <w:t xml:space="preserve">arī </w:t>
      </w:r>
      <w:r w:rsidRPr="00B05950">
        <w:rPr>
          <w:rFonts w:asciiTheme="majorBidi" w:hAnsiTheme="majorBidi" w:cstheme="majorBidi"/>
          <w:szCs w:val="24"/>
        </w:rPr>
        <w:t xml:space="preserve">atzinis, ka </w:t>
      </w:r>
      <w:r w:rsidR="00C24DD1" w:rsidRPr="00B05950">
        <w:rPr>
          <w:rFonts w:asciiTheme="majorBidi" w:hAnsiTheme="majorBidi" w:cstheme="majorBidi"/>
          <w:szCs w:val="24"/>
        </w:rPr>
        <w:t>t</w:t>
      </w:r>
      <w:r w:rsidRPr="00B05950">
        <w:rPr>
          <w:rFonts w:asciiTheme="majorBidi" w:hAnsiTheme="majorBidi" w:cstheme="majorBidi"/>
        </w:rPr>
        <w:t>iesa patstāvīgi izvērtē pierādījumus lietā. Citas iestādes viedokli tiesa var apsvērt, taču tam nav pierādījuma nozīmes (</w:t>
      </w:r>
      <w:bookmarkStart w:id="17" w:name="_Hlk195000945"/>
      <w:r w:rsidRPr="00B05950">
        <w:rPr>
          <w:rFonts w:asciiTheme="majorBidi" w:hAnsiTheme="majorBidi" w:cstheme="majorBidi"/>
          <w:i/>
          <w:iCs/>
        </w:rPr>
        <w:t>Augstākās tiesas 2014. gada 4. aprīļa sprieduma lietā Nr. </w:t>
      </w:r>
      <w:hyperlink r:id="rId19" w:history="1">
        <w:r w:rsidRPr="00B05950">
          <w:rPr>
            <w:rStyle w:val="Hyperlink"/>
            <w:rFonts w:asciiTheme="majorBidi" w:hAnsiTheme="majorBidi" w:cstheme="majorBidi"/>
            <w:i/>
            <w:iCs/>
            <w:color w:val="auto"/>
          </w:rPr>
          <w:t>SKA-164/2014</w:t>
        </w:r>
      </w:hyperlink>
      <w:r w:rsidR="004B23DF" w:rsidRPr="00B05950">
        <w:rPr>
          <w:rFonts w:asciiTheme="majorBidi" w:hAnsiTheme="majorBidi" w:cstheme="majorBidi"/>
          <w:i/>
          <w:iCs/>
        </w:rPr>
        <w:t xml:space="preserve">, </w:t>
      </w:r>
      <w:r w:rsidRPr="00B05950">
        <w:rPr>
          <w:rFonts w:asciiTheme="majorBidi" w:hAnsiTheme="majorBidi" w:cstheme="majorBidi"/>
          <w:i/>
          <w:iCs/>
        </w:rPr>
        <w:t>A42973709</w:t>
      </w:r>
      <w:bookmarkEnd w:id="17"/>
      <w:r w:rsidR="004B23DF" w:rsidRPr="00B05950">
        <w:rPr>
          <w:rFonts w:asciiTheme="majorBidi" w:hAnsiTheme="majorBidi" w:cstheme="majorBidi"/>
          <w:i/>
          <w:iCs/>
        </w:rPr>
        <w:t>,</w:t>
      </w:r>
      <w:r w:rsidRPr="00B05950">
        <w:rPr>
          <w:rFonts w:asciiTheme="majorBidi" w:hAnsiTheme="majorBidi" w:cstheme="majorBidi"/>
          <w:i/>
          <w:iCs/>
        </w:rPr>
        <w:t xml:space="preserve"> 18. punkts</w:t>
      </w:r>
      <w:r w:rsidRPr="00B05950">
        <w:rPr>
          <w:rFonts w:asciiTheme="majorBidi" w:hAnsiTheme="majorBidi" w:cstheme="majorBidi"/>
        </w:rPr>
        <w:t>).</w:t>
      </w:r>
      <w:r w:rsidR="000327AE" w:rsidRPr="00B05950">
        <w:rPr>
          <w:rFonts w:asciiTheme="majorBidi" w:hAnsiTheme="majorBidi" w:cstheme="majorBidi"/>
        </w:rPr>
        <w:t xml:space="preserve"> </w:t>
      </w:r>
    </w:p>
    <w:p w14:paraId="1DAF85D1" w14:textId="2401936A" w:rsidR="002D12CC" w:rsidRPr="00B05950" w:rsidRDefault="00092A8D" w:rsidP="002D12CC">
      <w:pPr>
        <w:pStyle w:val="ListBullet"/>
        <w:widowControl w:val="0"/>
        <w:numPr>
          <w:ilvl w:val="0"/>
          <w:numId w:val="0"/>
        </w:numPr>
        <w:spacing w:after="0"/>
        <w:ind w:firstLine="720"/>
        <w:jc w:val="both"/>
        <w:rPr>
          <w:rFonts w:cs="Times New Roman"/>
          <w:szCs w:val="24"/>
          <w:lang w:eastAsia="lv-LV"/>
        </w:rPr>
      </w:pPr>
      <w:r w:rsidRPr="00B05950">
        <w:rPr>
          <w:rFonts w:asciiTheme="majorBidi" w:hAnsiTheme="majorBidi" w:cstheme="majorBidi"/>
          <w:szCs w:val="24"/>
        </w:rPr>
        <w:t xml:space="preserve">No minētā secināms, ka </w:t>
      </w:r>
      <w:proofErr w:type="spellStart"/>
      <w:r w:rsidRPr="00B05950">
        <w:rPr>
          <w:rFonts w:asciiTheme="majorBidi" w:hAnsiTheme="majorBidi" w:cstheme="majorBidi"/>
          <w:szCs w:val="24"/>
        </w:rPr>
        <w:t>tiesībsarga</w:t>
      </w:r>
      <w:proofErr w:type="spellEnd"/>
      <w:r w:rsidRPr="00B05950">
        <w:rPr>
          <w:rFonts w:asciiTheme="majorBidi" w:hAnsiTheme="majorBidi" w:cstheme="majorBidi"/>
          <w:szCs w:val="24"/>
        </w:rPr>
        <w:t xml:space="preserve"> atzinumā pausto viedokli tiesa var izmantot nolēmuma pamatošanā, ja vien ar to netiek aizstāts tiesas pašas veikts pierādījumu </w:t>
      </w:r>
      <w:proofErr w:type="spellStart"/>
      <w:r w:rsidRPr="00B05950">
        <w:rPr>
          <w:rFonts w:asciiTheme="majorBidi" w:hAnsiTheme="majorBidi" w:cstheme="majorBidi"/>
          <w:szCs w:val="24"/>
        </w:rPr>
        <w:t>izvērtējums</w:t>
      </w:r>
      <w:proofErr w:type="spellEnd"/>
      <w:r w:rsidRPr="00B05950">
        <w:rPr>
          <w:rFonts w:asciiTheme="majorBidi" w:hAnsiTheme="majorBidi" w:cstheme="majorBidi"/>
          <w:szCs w:val="24"/>
        </w:rPr>
        <w:t xml:space="preserve"> un tiesību normu interpretācija. </w:t>
      </w:r>
      <w:r w:rsidR="002D12CC" w:rsidRPr="00B05950">
        <w:rPr>
          <w:rFonts w:asciiTheme="majorBidi" w:hAnsiTheme="majorBidi" w:cstheme="majorBidi"/>
          <w:szCs w:val="24"/>
        </w:rPr>
        <w:t xml:space="preserve">Tas nozīmē, ka </w:t>
      </w:r>
      <w:r w:rsidR="002D12CC" w:rsidRPr="00B05950">
        <w:rPr>
          <w:rFonts w:asciiTheme="majorBidi" w:hAnsiTheme="majorBidi" w:cstheme="majorBidi"/>
        </w:rPr>
        <w:t xml:space="preserve">tiesa </w:t>
      </w:r>
      <w:proofErr w:type="spellStart"/>
      <w:r w:rsidR="002D12CC" w:rsidRPr="00B05950">
        <w:rPr>
          <w:rFonts w:asciiTheme="majorBidi" w:hAnsiTheme="majorBidi" w:cstheme="majorBidi"/>
        </w:rPr>
        <w:t>tiesībsarga</w:t>
      </w:r>
      <w:proofErr w:type="spellEnd"/>
      <w:r w:rsidR="002D12CC" w:rsidRPr="00B05950">
        <w:rPr>
          <w:rFonts w:asciiTheme="majorBidi" w:hAnsiTheme="majorBidi" w:cstheme="majorBidi"/>
        </w:rPr>
        <w:t xml:space="preserve"> atzinumā norādīto viedokli var apsvērt, taču tam nav pierādījuma nozīmes. </w:t>
      </w:r>
      <w:r w:rsidR="002D12CC" w:rsidRPr="00B05950">
        <w:rPr>
          <w:rFonts w:cs="Times New Roman"/>
          <w:szCs w:val="24"/>
          <w:lang w:eastAsia="lv-LV"/>
        </w:rPr>
        <w:t xml:space="preserve">Tiesa </w:t>
      </w:r>
      <w:r w:rsidR="00375A86" w:rsidRPr="00B05950">
        <w:rPr>
          <w:rFonts w:cs="Times New Roman"/>
          <w:szCs w:val="24"/>
          <w:lang w:eastAsia="lv-LV"/>
        </w:rPr>
        <w:t xml:space="preserve">pierādīšanas priekšmetā ietilpstošo apstākļu esību vai </w:t>
      </w:r>
      <w:proofErr w:type="spellStart"/>
      <w:r w:rsidR="00375A86" w:rsidRPr="00B05950">
        <w:rPr>
          <w:rFonts w:cs="Times New Roman"/>
          <w:szCs w:val="24"/>
          <w:lang w:eastAsia="lv-LV"/>
        </w:rPr>
        <w:t>neesību</w:t>
      </w:r>
      <w:proofErr w:type="spellEnd"/>
      <w:r w:rsidR="00375A86" w:rsidRPr="00B05950">
        <w:rPr>
          <w:rFonts w:cs="Times New Roman"/>
          <w:szCs w:val="24"/>
          <w:lang w:eastAsia="lv-LV"/>
        </w:rPr>
        <w:t xml:space="preserve"> pamato ar pierādījumiem, nevis viedokļiem. </w:t>
      </w:r>
    </w:p>
    <w:p w14:paraId="4FC7C0D0" w14:textId="76FB511D" w:rsidR="004C45BA" w:rsidRPr="00B05950" w:rsidRDefault="00C24DD1" w:rsidP="002D12CC">
      <w:pPr>
        <w:pStyle w:val="ListBullet"/>
        <w:widowControl w:val="0"/>
        <w:numPr>
          <w:ilvl w:val="0"/>
          <w:numId w:val="0"/>
        </w:numPr>
        <w:spacing w:after="0"/>
        <w:ind w:firstLine="720"/>
        <w:jc w:val="both"/>
        <w:rPr>
          <w:rFonts w:asciiTheme="majorBidi" w:hAnsiTheme="majorBidi" w:cstheme="majorBidi"/>
        </w:rPr>
      </w:pPr>
      <w:r w:rsidRPr="00B05950">
        <w:rPr>
          <w:rFonts w:cs="Times New Roman"/>
        </w:rPr>
        <w:t xml:space="preserve">Senāts norāda, ka </w:t>
      </w:r>
      <w:r w:rsidR="0058235C" w:rsidRPr="00B05950">
        <w:rPr>
          <w:rFonts w:cs="Times New Roman"/>
        </w:rPr>
        <w:t>pierādīšanas priekšmetā ietilpstošo apstākļu noskaidrošanai</w:t>
      </w:r>
      <w:r w:rsidRPr="00B05950">
        <w:rPr>
          <w:rFonts w:cs="Times New Roman"/>
        </w:rPr>
        <w:t xml:space="preserve"> nav pietiekami atsaukties</w:t>
      </w:r>
      <w:r w:rsidR="001E5839" w:rsidRPr="00B05950">
        <w:rPr>
          <w:rFonts w:cs="Times New Roman"/>
        </w:rPr>
        <w:t xml:space="preserve"> uz</w:t>
      </w:r>
      <w:r w:rsidRPr="00B05950">
        <w:rPr>
          <w:rFonts w:cs="Times New Roman"/>
        </w:rPr>
        <w:t xml:space="preserve"> </w:t>
      </w:r>
      <w:proofErr w:type="spellStart"/>
      <w:r w:rsidRPr="00B05950">
        <w:rPr>
          <w:rFonts w:cs="Times New Roman"/>
        </w:rPr>
        <w:t>tiesībsarga</w:t>
      </w:r>
      <w:proofErr w:type="spellEnd"/>
      <w:r w:rsidRPr="00B05950">
        <w:rPr>
          <w:rFonts w:cs="Times New Roman"/>
        </w:rPr>
        <w:t xml:space="preserve"> </w:t>
      </w:r>
      <w:r w:rsidR="004C02B5" w:rsidRPr="00B05950">
        <w:rPr>
          <w:rFonts w:cs="Times New Roman"/>
        </w:rPr>
        <w:t xml:space="preserve">atzinumā </w:t>
      </w:r>
      <w:r w:rsidRPr="00B05950">
        <w:rPr>
          <w:rFonts w:cs="Times New Roman"/>
        </w:rPr>
        <w:t>izdarītu secinājumu</w:t>
      </w:r>
      <w:r w:rsidR="004C02B5" w:rsidRPr="00B05950">
        <w:rPr>
          <w:rFonts w:cs="Times New Roman"/>
        </w:rPr>
        <w:t xml:space="preserve"> par</w:t>
      </w:r>
      <w:r w:rsidR="003B77CC" w:rsidRPr="00B05950">
        <w:rPr>
          <w:rFonts w:asciiTheme="majorBidi" w:hAnsiTheme="majorBidi" w:cstheme="majorBidi"/>
          <w:szCs w:val="24"/>
        </w:rPr>
        <w:t xml:space="preserve"> cilvēktiesību pārkāpumu</w:t>
      </w:r>
      <w:r w:rsidRPr="00B05950">
        <w:rPr>
          <w:rFonts w:cs="Times New Roman"/>
        </w:rPr>
        <w:t>, bet tiesai pašai jākonstatē lietas izšķiršanai būtiskie apstākļi un tie patstāvīgi jā</w:t>
      </w:r>
      <w:r w:rsidR="0058235C" w:rsidRPr="00B05950">
        <w:rPr>
          <w:rFonts w:cs="Times New Roman"/>
        </w:rPr>
        <w:t>no</w:t>
      </w:r>
      <w:r w:rsidRPr="00B05950">
        <w:rPr>
          <w:rFonts w:cs="Times New Roman"/>
        </w:rPr>
        <w:t>vērtē.</w:t>
      </w:r>
      <w:r w:rsidR="004C02B5" w:rsidRPr="00B05950">
        <w:rPr>
          <w:rFonts w:asciiTheme="majorBidi" w:hAnsiTheme="majorBidi" w:cstheme="majorBidi"/>
        </w:rPr>
        <w:t xml:space="preserve"> </w:t>
      </w:r>
    </w:p>
    <w:p w14:paraId="223E2652" w14:textId="2263CB82" w:rsidR="003F24E1" w:rsidRPr="00B05950" w:rsidRDefault="003F24E1" w:rsidP="003F24E1">
      <w:pPr>
        <w:pStyle w:val="ListBullet"/>
        <w:widowControl w:val="0"/>
        <w:numPr>
          <w:ilvl w:val="0"/>
          <w:numId w:val="0"/>
        </w:numPr>
        <w:spacing w:after="0"/>
        <w:ind w:firstLine="720"/>
        <w:jc w:val="both"/>
        <w:rPr>
          <w:rFonts w:asciiTheme="majorBidi" w:hAnsiTheme="majorBidi" w:cstheme="majorBidi"/>
          <w:szCs w:val="24"/>
        </w:rPr>
      </w:pPr>
      <w:r w:rsidRPr="00B05950">
        <w:rPr>
          <w:rFonts w:asciiTheme="majorBidi" w:hAnsiTheme="majorBidi" w:cstheme="majorBidi"/>
          <w:szCs w:val="24"/>
        </w:rPr>
        <w:t>[8.7</w:t>
      </w:r>
      <w:r w:rsidR="001E5839" w:rsidRPr="00B05950">
        <w:rPr>
          <w:rFonts w:asciiTheme="majorBidi" w:hAnsiTheme="majorBidi" w:cstheme="majorBidi"/>
          <w:szCs w:val="24"/>
        </w:rPr>
        <w:t>] </w:t>
      </w:r>
      <w:r w:rsidRPr="00B05950">
        <w:rPr>
          <w:rFonts w:asciiTheme="majorBidi" w:hAnsiTheme="majorBidi" w:cstheme="majorBidi"/>
          <w:szCs w:val="24"/>
        </w:rPr>
        <w:t xml:space="preserve">Izskatāmajā lietā apelācijas instances tiesa atzinusi, ka </w:t>
      </w:r>
      <w:proofErr w:type="spellStart"/>
      <w:r w:rsidRPr="00B05950">
        <w:rPr>
          <w:rFonts w:asciiTheme="majorBidi" w:hAnsiTheme="majorBidi" w:cstheme="majorBidi"/>
          <w:szCs w:val="24"/>
        </w:rPr>
        <w:t>tiesībsarga</w:t>
      </w:r>
      <w:proofErr w:type="spellEnd"/>
      <w:r w:rsidRPr="00B05950">
        <w:rPr>
          <w:rFonts w:asciiTheme="majorBidi" w:hAnsiTheme="majorBidi" w:cstheme="majorBidi"/>
          <w:szCs w:val="24"/>
        </w:rPr>
        <w:t xml:space="preserve"> atzinums nav atzīstams par pierādījumu. </w:t>
      </w:r>
    </w:p>
    <w:p w14:paraId="637230F6" w14:textId="751E9709" w:rsidR="002D12CC" w:rsidRPr="00B05950" w:rsidRDefault="002D12CC" w:rsidP="00617CB2">
      <w:pPr>
        <w:pStyle w:val="ListBullet"/>
        <w:widowControl w:val="0"/>
        <w:numPr>
          <w:ilvl w:val="0"/>
          <w:numId w:val="0"/>
        </w:numPr>
        <w:spacing w:after="0"/>
        <w:ind w:firstLine="720"/>
        <w:jc w:val="both"/>
        <w:rPr>
          <w:rFonts w:cs="Times New Roman"/>
          <w:szCs w:val="24"/>
          <w:shd w:val="clear" w:color="auto" w:fill="FFFFFF" w:themeFill="background1"/>
          <w:lang w:eastAsia="lv-LV"/>
        </w:rPr>
      </w:pPr>
      <w:r w:rsidRPr="00B05950">
        <w:rPr>
          <w:rFonts w:cs="Times New Roman"/>
          <w:szCs w:val="24"/>
          <w:shd w:val="clear" w:color="auto" w:fill="FFFFFF" w:themeFill="background1"/>
          <w:lang w:eastAsia="lv-LV"/>
        </w:rPr>
        <w:lastRenderedPageBreak/>
        <w:t xml:space="preserve">Prokurore kasācijas protestā nav pamatojusi, kā tā nonākusi pie secinājuma, ka </w:t>
      </w:r>
      <w:proofErr w:type="spellStart"/>
      <w:r w:rsidRPr="00B05950">
        <w:rPr>
          <w:rFonts w:cs="Times New Roman"/>
          <w:szCs w:val="24"/>
          <w:shd w:val="clear" w:color="auto" w:fill="FFFFFF" w:themeFill="background1"/>
          <w:lang w:eastAsia="lv-LV"/>
        </w:rPr>
        <w:t>tiesībsarga</w:t>
      </w:r>
      <w:proofErr w:type="spellEnd"/>
      <w:r w:rsidRPr="00B05950">
        <w:rPr>
          <w:rFonts w:cs="Times New Roman"/>
          <w:szCs w:val="24"/>
          <w:shd w:val="clear" w:color="auto" w:fill="FFFFFF" w:themeFill="background1"/>
          <w:lang w:eastAsia="lv-LV"/>
        </w:rPr>
        <w:t xml:space="preserve"> atzinumu tiesa atzinusi par nepieļaujamu pierādījumu. Apelācijas instances tiesas spriedumā šāds atzinums nav norādīts. </w:t>
      </w:r>
      <w:r w:rsidR="00617CB2" w:rsidRPr="00B05950">
        <w:rPr>
          <w:rFonts w:cs="Times New Roman"/>
          <w:szCs w:val="24"/>
          <w:shd w:val="clear" w:color="auto" w:fill="FFFFFF" w:themeFill="background1"/>
          <w:lang w:eastAsia="lv-LV"/>
        </w:rPr>
        <w:t>Tāpat p</w:t>
      </w:r>
      <w:r w:rsidRPr="00B05950">
        <w:rPr>
          <w:rFonts w:cs="Times New Roman"/>
          <w:szCs w:val="24"/>
          <w:shd w:val="clear" w:color="auto" w:fill="FFFFFF" w:themeFill="background1"/>
          <w:lang w:eastAsia="lv-LV"/>
        </w:rPr>
        <w:t xml:space="preserve">rokurore </w:t>
      </w:r>
      <w:r w:rsidR="00617CB2" w:rsidRPr="00B05950">
        <w:rPr>
          <w:rFonts w:cs="Times New Roman"/>
          <w:szCs w:val="24"/>
          <w:shd w:val="clear" w:color="auto" w:fill="FFFFFF" w:themeFill="background1"/>
          <w:lang w:eastAsia="lv-LV"/>
        </w:rPr>
        <w:t>nav arī norādījusi, kādēļ un</w:t>
      </w:r>
      <w:r w:rsidRPr="00B05950">
        <w:rPr>
          <w:rFonts w:cs="Times New Roman"/>
          <w:szCs w:val="24"/>
          <w:shd w:val="clear" w:color="auto" w:fill="FFFFFF" w:themeFill="background1"/>
          <w:lang w:eastAsia="lv-LV"/>
        </w:rPr>
        <w:t xml:space="preserve"> </w:t>
      </w:r>
      <w:r w:rsidR="00617CB2" w:rsidRPr="00B05950">
        <w:rPr>
          <w:rFonts w:cs="Times New Roman"/>
          <w:szCs w:val="24"/>
          <w:shd w:val="clear" w:color="auto" w:fill="FFFFFF" w:themeFill="background1"/>
          <w:lang w:eastAsia="lv-LV"/>
        </w:rPr>
        <w:t xml:space="preserve">par kāda veida pierādījumu </w:t>
      </w:r>
      <w:proofErr w:type="spellStart"/>
      <w:r w:rsidRPr="00B05950">
        <w:rPr>
          <w:rFonts w:cs="Times New Roman"/>
          <w:szCs w:val="24"/>
          <w:shd w:val="clear" w:color="auto" w:fill="FFFFFF" w:themeFill="background1"/>
          <w:lang w:eastAsia="lv-LV"/>
        </w:rPr>
        <w:t>tiesībs</w:t>
      </w:r>
      <w:r w:rsidR="00617CB2" w:rsidRPr="00B05950">
        <w:rPr>
          <w:rFonts w:cs="Times New Roman"/>
          <w:szCs w:val="24"/>
          <w:shd w:val="clear" w:color="auto" w:fill="FFFFFF" w:themeFill="background1"/>
          <w:lang w:eastAsia="lv-LV"/>
        </w:rPr>
        <w:t>arga</w:t>
      </w:r>
      <w:proofErr w:type="spellEnd"/>
      <w:r w:rsidR="00617CB2" w:rsidRPr="00B05950">
        <w:rPr>
          <w:rFonts w:cs="Times New Roman"/>
          <w:szCs w:val="24"/>
          <w:shd w:val="clear" w:color="auto" w:fill="FFFFFF" w:themeFill="background1"/>
          <w:lang w:eastAsia="lv-LV"/>
        </w:rPr>
        <w:t xml:space="preserve"> atzinums būtu atzīstams.</w:t>
      </w:r>
    </w:p>
    <w:p w14:paraId="0794D821" w14:textId="496C207A" w:rsidR="007B5FB0" w:rsidRPr="00B05950" w:rsidRDefault="002D12CC" w:rsidP="00EA1701">
      <w:pPr>
        <w:pStyle w:val="ListBullet"/>
        <w:widowControl w:val="0"/>
        <w:numPr>
          <w:ilvl w:val="0"/>
          <w:numId w:val="0"/>
        </w:numPr>
        <w:spacing w:after="0"/>
        <w:ind w:firstLine="720"/>
        <w:jc w:val="both"/>
        <w:rPr>
          <w:rFonts w:asciiTheme="majorBidi" w:hAnsiTheme="majorBidi" w:cstheme="majorBidi"/>
          <w:szCs w:val="24"/>
        </w:rPr>
      </w:pPr>
      <w:r w:rsidRPr="00B05950">
        <w:rPr>
          <w:rFonts w:cs="Times New Roman"/>
          <w:szCs w:val="24"/>
          <w:shd w:val="clear" w:color="auto" w:fill="FFFFFF" w:themeFill="background1"/>
          <w:lang w:eastAsia="lv-LV"/>
        </w:rPr>
        <w:t>Pierādījumu pieļaujamība ir viena no pierādījumu pazīmēm jeb īpašībām, kura jāizvērtē,</w:t>
      </w:r>
      <w:r w:rsidRPr="00B05950">
        <w:rPr>
          <w:rFonts w:cs="Times New Roman"/>
          <w:szCs w:val="24"/>
          <w:lang w:eastAsia="lv-LV"/>
        </w:rPr>
        <w:t xml:space="preserve"> lai pierādījumu varētu izmantot pierādīšanā. </w:t>
      </w:r>
      <w:r w:rsidR="00617CB2" w:rsidRPr="00B05950">
        <w:rPr>
          <w:rFonts w:cs="Times New Roman"/>
          <w:szCs w:val="24"/>
          <w:lang w:eastAsia="lv-LV"/>
        </w:rPr>
        <w:t xml:space="preserve">Ja tiesa ir atzinusi, ka </w:t>
      </w:r>
      <w:proofErr w:type="spellStart"/>
      <w:r w:rsidR="00617CB2" w:rsidRPr="00B05950">
        <w:rPr>
          <w:rFonts w:cs="Times New Roman"/>
          <w:szCs w:val="24"/>
          <w:lang w:eastAsia="lv-LV"/>
        </w:rPr>
        <w:t>tiesībsarga</w:t>
      </w:r>
      <w:proofErr w:type="spellEnd"/>
      <w:r w:rsidR="00617CB2" w:rsidRPr="00B05950">
        <w:rPr>
          <w:rFonts w:cs="Times New Roman"/>
          <w:szCs w:val="24"/>
          <w:lang w:eastAsia="lv-LV"/>
        </w:rPr>
        <w:t xml:space="preserve"> atzinums nav pierādījums, proti, tas nesatur ziņas par faktiem, tad tas nav izvērtējams kā pierādījums.</w:t>
      </w:r>
    </w:p>
    <w:p w14:paraId="2E213DB7" w14:textId="0C87608E" w:rsidR="00EA1701" w:rsidRPr="00B05950" w:rsidRDefault="00617CB2" w:rsidP="006C4811">
      <w:pPr>
        <w:pStyle w:val="ListBullet"/>
        <w:widowControl w:val="0"/>
        <w:numPr>
          <w:ilvl w:val="0"/>
          <w:numId w:val="0"/>
        </w:numPr>
        <w:spacing w:after="0"/>
        <w:ind w:firstLine="720"/>
        <w:jc w:val="both"/>
        <w:rPr>
          <w:rFonts w:asciiTheme="majorBidi" w:hAnsiTheme="majorBidi" w:cstheme="majorBidi"/>
          <w:szCs w:val="24"/>
        </w:rPr>
      </w:pPr>
      <w:r w:rsidRPr="00B05950">
        <w:rPr>
          <w:rFonts w:asciiTheme="majorBidi" w:hAnsiTheme="majorBidi" w:cstheme="majorBidi"/>
          <w:szCs w:val="24"/>
        </w:rPr>
        <w:t>[8.8] </w:t>
      </w:r>
      <w:r w:rsidR="006C4811" w:rsidRPr="00B05950">
        <w:rPr>
          <w:rFonts w:asciiTheme="majorBidi" w:hAnsiTheme="majorBidi" w:cstheme="majorBidi"/>
          <w:szCs w:val="24"/>
        </w:rPr>
        <w:t xml:space="preserve">Ievērojot minēto, </w:t>
      </w:r>
      <w:r w:rsidR="00FB1A9F" w:rsidRPr="00B05950">
        <w:rPr>
          <w:rFonts w:asciiTheme="majorBidi" w:hAnsiTheme="majorBidi" w:cstheme="majorBidi"/>
          <w:szCs w:val="24"/>
        </w:rPr>
        <w:t>Senāts atzīst, ka apelācijas instances tiesa</w:t>
      </w:r>
      <w:r w:rsidR="00EA1701" w:rsidRPr="00B05950">
        <w:rPr>
          <w:rFonts w:asciiTheme="majorBidi" w:hAnsiTheme="majorBidi" w:cstheme="majorBidi"/>
          <w:szCs w:val="24"/>
        </w:rPr>
        <w:t xml:space="preserve">, atzīstot, ka </w:t>
      </w:r>
      <w:proofErr w:type="spellStart"/>
      <w:r w:rsidR="00EA1701" w:rsidRPr="00B05950">
        <w:rPr>
          <w:rFonts w:asciiTheme="majorBidi" w:hAnsiTheme="majorBidi" w:cstheme="majorBidi"/>
          <w:szCs w:val="24"/>
        </w:rPr>
        <w:t>tiesībsarga</w:t>
      </w:r>
      <w:proofErr w:type="spellEnd"/>
      <w:r w:rsidR="00EA1701" w:rsidRPr="00B05950">
        <w:rPr>
          <w:rFonts w:asciiTheme="majorBidi" w:hAnsiTheme="majorBidi" w:cstheme="majorBidi"/>
          <w:szCs w:val="24"/>
        </w:rPr>
        <w:t xml:space="preserve"> atzinums izskatāmajā lietā nav pierādījums,</w:t>
      </w:r>
      <w:r w:rsidR="00FB1A9F" w:rsidRPr="00B05950">
        <w:rPr>
          <w:rFonts w:asciiTheme="majorBidi" w:hAnsiTheme="majorBidi" w:cstheme="majorBidi"/>
          <w:szCs w:val="24"/>
        </w:rPr>
        <w:t xml:space="preserve"> </w:t>
      </w:r>
      <w:r w:rsidR="00EA1701" w:rsidRPr="00B05950">
        <w:rPr>
          <w:rFonts w:asciiTheme="majorBidi" w:hAnsiTheme="majorBidi" w:cstheme="majorBidi"/>
          <w:szCs w:val="24"/>
        </w:rPr>
        <w:t>nav pieļāvusi Kriminālprocesa likuma pārkāpumu.</w:t>
      </w:r>
    </w:p>
    <w:p w14:paraId="144BC37A" w14:textId="501C9AFF" w:rsidR="00857228" w:rsidRPr="00B05950" w:rsidRDefault="00EA1701" w:rsidP="00857228">
      <w:pPr>
        <w:pStyle w:val="ListBullet"/>
        <w:widowControl w:val="0"/>
        <w:numPr>
          <w:ilvl w:val="0"/>
          <w:numId w:val="0"/>
        </w:numPr>
        <w:spacing w:after="0"/>
        <w:ind w:firstLine="720"/>
        <w:jc w:val="both"/>
        <w:rPr>
          <w:rFonts w:eastAsiaTheme="majorEastAsia" w:cstheme="majorBidi"/>
          <w:iCs/>
          <w:szCs w:val="24"/>
        </w:rPr>
      </w:pPr>
      <w:r w:rsidRPr="00B05950">
        <w:rPr>
          <w:rFonts w:asciiTheme="majorBidi" w:hAnsiTheme="majorBidi" w:cstheme="majorBidi"/>
          <w:szCs w:val="24"/>
        </w:rPr>
        <w:t>[8.9] </w:t>
      </w:r>
      <w:r w:rsidR="00857228" w:rsidRPr="00B05950">
        <w:rPr>
          <w:rFonts w:asciiTheme="majorBidi" w:hAnsiTheme="majorBidi" w:cstheme="majorBidi"/>
          <w:szCs w:val="24"/>
        </w:rPr>
        <w:t xml:space="preserve">Senāts arī vēlas norādīt, ka pretēji kasācijas protestā norādītajam </w:t>
      </w:r>
      <w:r w:rsidR="00857228" w:rsidRPr="00B05950">
        <w:rPr>
          <w:rFonts w:eastAsiaTheme="majorEastAsia" w:cstheme="majorBidi"/>
          <w:iCs/>
          <w:szCs w:val="24"/>
        </w:rPr>
        <w:t>krimināllietā Nr.</w:t>
      </w:r>
      <w:r w:rsidR="00824C5E" w:rsidRPr="00B05950">
        <w:rPr>
          <w:rFonts w:eastAsiaTheme="majorEastAsia" w:cstheme="majorBidi"/>
          <w:iCs/>
          <w:szCs w:val="24"/>
        </w:rPr>
        <w:t> </w:t>
      </w:r>
      <w:r w:rsidR="00857228" w:rsidRPr="00B05950">
        <w:rPr>
          <w:rFonts w:eastAsiaTheme="majorEastAsia" w:cstheme="majorBidi"/>
          <w:iCs/>
          <w:szCs w:val="24"/>
        </w:rPr>
        <w:t xml:space="preserve">11840000914 kasācijas sūdzība nav tikusi iesniegta par </w:t>
      </w:r>
      <w:proofErr w:type="spellStart"/>
      <w:r w:rsidR="00857228" w:rsidRPr="00B05950">
        <w:rPr>
          <w:rFonts w:eastAsiaTheme="majorEastAsia" w:cstheme="majorBidi"/>
          <w:iCs/>
          <w:szCs w:val="24"/>
        </w:rPr>
        <w:t>tiesībsarga</w:t>
      </w:r>
      <w:proofErr w:type="spellEnd"/>
      <w:r w:rsidR="00857228" w:rsidRPr="00B05950">
        <w:rPr>
          <w:rFonts w:eastAsiaTheme="majorEastAsia" w:cstheme="majorBidi"/>
          <w:iCs/>
          <w:szCs w:val="24"/>
        </w:rPr>
        <w:t xml:space="preserve"> atzinuma vērtēšanu. </w:t>
      </w:r>
    </w:p>
    <w:p w14:paraId="51E73C67" w14:textId="77777777" w:rsidR="009C7BF8" w:rsidRPr="00B05950" w:rsidRDefault="009C7BF8" w:rsidP="009C7BF8">
      <w:pPr>
        <w:pStyle w:val="ListBullet"/>
        <w:widowControl w:val="0"/>
        <w:numPr>
          <w:ilvl w:val="0"/>
          <w:numId w:val="0"/>
        </w:numPr>
        <w:spacing w:after="0"/>
        <w:ind w:firstLine="720"/>
        <w:jc w:val="both"/>
        <w:rPr>
          <w:rFonts w:asciiTheme="majorBidi" w:hAnsiTheme="majorBidi" w:cstheme="majorBidi"/>
          <w:szCs w:val="24"/>
        </w:rPr>
      </w:pPr>
      <w:r w:rsidRPr="00B05950">
        <w:rPr>
          <w:rFonts w:asciiTheme="majorBidi" w:hAnsiTheme="majorBidi" w:cstheme="majorBidi"/>
          <w:szCs w:val="24"/>
        </w:rPr>
        <w:t xml:space="preserve">Senāts atgādina, ka saskaņā ar Kriminālprocesa likuma 584. pantu </w:t>
      </w:r>
      <w:r w:rsidRPr="00B05950">
        <w:rPr>
          <w:rFonts w:asciiTheme="majorBidi" w:hAnsiTheme="majorBidi" w:cstheme="majorBidi"/>
        </w:rPr>
        <w:t xml:space="preserve">tiesas nolēmumu tiesiskuma pārbaude notiek kasācijas sūdzībā vai protestā izteikto prasību apjomā un ietvaros. Kasācijas instances tiesa drīkst pārsniegt kasācijas sūdzībā vai protestā izteikto prasību apjomu un ietvarus gadījumos, kad tā konstatē </w:t>
      </w:r>
      <w:r w:rsidRPr="00B05950">
        <w:rPr>
          <w:rFonts w:asciiTheme="majorBidi" w:hAnsiTheme="majorBidi" w:cstheme="majorBidi"/>
          <w:szCs w:val="24"/>
        </w:rPr>
        <w:t xml:space="preserve">Krimināllikuma pārkāpumu vai Kriminālprocesa likuma būtisku pārkāpumu. </w:t>
      </w:r>
    </w:p>
    <w:p w14:paraId="52E59436" w14:textId="4BE9A09B" w:rsidR="009C7BF8" w:rsidRPr="00B05950" w:rsidRDefault="009C7BF8" w:rsidP="00824C5E">
      <w:pPr>
        <w:pStyle w:val="ListBullet"/>
        <w:widowControl w:val="0"/>
        <w:numPr>
          <w:ilvl w:val="0"/>
          <w:numId w:val="0"/>
        </w:numPr>
        <w:spacing w:after="0"/>
        <w:ind w:firstLine="720"/>
        <w:jc w:val="both"/>
        <w:rPr>
          <w:vanish/>
        </w:rPr>
      </w:pPr>
      <w:r w:rsidRPr="00B05950">
        <w:rPr>
          <w:rFonts w:asciiTheme="majorBidi" w:hAnsiTheme="majorBidi" w:cstheme="majorBidi"/>
          <w:szCs w:val="24"/>
        </w:rPr>
        <w:t>Senāts arī atzinis, ka a</w:t>
      </w:r>
      <w:r w:rsidRPr="00B05950">
        <w:t>tbilstoši Kriminālprocesa likuma 575. panta trešajai daļai procesuāls pārkāpums var būt pamats nolēmuma pārsūdzēšanai kasācijas kārtībā, ja šis pārkāpums novedis pie nelikumīga nolēmuma.</w:t>
      </w:r>
      <w:r w:rsidR="00824C5E" w:rsidRPr="00B05950">
        <w:t xml:space="preserve"> </w:t>
      </w:r>
      <w:r w:rsidRPr="00B05950">
        <w:t>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 (</w:t>
      </w:r>
      <w:bookmarkStart w:id="18" w:name="_Hlk195000954"/>
      <w:r w:rsidRPr="00B05950">
        <w:rPr>
          <w:i/>
          <w:iCs/>
        </w:rPr>
        <w:t>Senāta 2020. gada 30. oktobra lēmuma lietā Nr. SKK</w:t>
      </w:r>
      <w:r w:rsidR="00116EB5" w:rsidRPr="00B05950">
        <w:rPr>
          <w:i/>
          <w:iCs/>
        </w:rPr>
        <w:t>-</w:t>
      </w:r>
      <w:r w:rsidRPr="00B05950">
        <w:rPr>
          <w:i/>
          <w:iCs/>
        </w:rPr>
        <w:t>59/2020,</w:t>
      </w:r>
      <w:r w:rsidR="00375A86" w:rsidRPr="00B05950">
        <w:t xml:space="preserve"> </w:t>
      </w:r>
      <w:hyperlink r:id="rId20" w:history="1">
        <w:r w:rsidR="00375A86" w:rsidRPr="00B05950">
          <w:rPr>
            <w:rStyle w:val="Hyperlink"/>
            <w:i/>
            <w:iCs/>
            <w:color w:val="auto"/>
          </w:rPr>
          <w:t>ECLI:LV:AT:2020:1030.3870001003.3.L</w:t>
        </w:r>
      </w:hyperlink>
      <w:bookmarkEnd w:id="18"/>
      <w:r w:rsidR="00375A86" w:rsidRPr="00B05950">
        <w:rPr>
          <w:i/>
          <w:iCs/>
        </w:rPr>
        <w:t>,</w:t>
      </w:r>
      <w:r w:rsidRPr="00B05950">
        <w:rPr>
          <w:i/>
          <w:iCs/>
        </w:rPr>
        <w:t xml:space="preserve"> 35.1. punkts</w:t>
      </w:r>
      <w:r w:rsidRPr="00B05950">
        <w:t>).</w:t>
      </w:r>
    </w:p>
    <w:p w14:paraId="01EC6751" w14:textId="6E797375" w:rsidR="003421B1" w:rsidRPr="00B05950" w:rsidRDefault="00857228" w:rsidP="003421B1">
      <w:pPr>
        <w:pStyle w:val="ListBullet"/>
        <w:widowControl w:val="0"/>
        <w:numPr>
          <w:ilvl w:val="0"/>
          <w:numId w:val="0"/>
        </w:numPr>
        <w:spacing w:after="0"/>
        <w:ind w:firstLine="720"/>
        <w:jc w:val="both"/>
        <w:rPr>
          <w:b/>
          <w:bCs/>
        </w:rPr>
      </w:pPr>
      <w:r w:rsidRPr="00B05950">
        <w:rPr>
          <w:rFonts w:eastAsiaTheme="majorEastAsia" w:cstheme="majorBidi"/>
          <w:iCs/>
          <w:szCs w:val="24"/>
        </w:rPr>
        <w:t xml:space="preserve">Turklāt Senāts uzsver, ka lēmums par </w:t>
      </w:r>
      <w:r w:rsidR="00D612FA" w:rsidRPr="00B05950">
        <w:t>atteik</w:t>
      </w:r>
      <w:r w:rsidRPr="00B05950">
        <w:t>šanos</w:t>
      </w:r>
      <w:r w:rsidR="00D612FA" w:rsidRPr="00B05950">
        <w:t xml:space="preserve"> ierosināt kasācijas tiesvedību nenozīmē, ka Senāts pārsūdzētā sprieduma motīvu daļā ietverto argumentāciju atzinis par pilnīgi pareizu. Kasācijas tiesvedības ierosināšanu var atteikt, piemēram, gadījumos, kad kļūdas </w:t>
      </w:r>
      <w:r w:rsidR="009C7BF8" w:rsidRPr="00B05950">
        <w:t>procesuālo</w:t>
      </w:r>
      <w:r w:rsidR="00D612FA" w:rsidRPr="00B05950">
        <w:t xml:space="preserve"> tiesību normu piemērošanā nav novedušas </w:t>
      </w:r>
      <w:r w:rsidR="009C7BF8" w:rsidRPr="00B05950">
        <w:t>pie nelikumīga vai netaisnīga nolēmuma, arī ja</w:t>
      </w:r>
      <w:r w:rsidR="00EE376B" w:rsidRPr="00B05950">
        <w:t>,</w:t>
      </w:r>
      <w:r w:rsidR="00D612FA" w:rsidRPr="00B05950">
        <w:t xml:space="preserve"> i</w:t>
      </w:r>
      <w:r w:rsidR="009C7BF8" w:rsidRPr="00B05950">
        <w:t xml:space="preserve">zvērtējot kasācijas sūdzībā vai protestā minētos argumentus, nerodas šaubas par pārsūdzētā nolēmuma tiesiskumu un izskatāmajai lietai nav būtiskas nozīmes judikatūras veidošanā (sk. </w:t>
      </w:r>
      <w:r w:rsidR="009C7BF8" w:rsidRPr="00B05950">
        <w:rPr>
          <w:i/>
          <w:iCs/>
        </w:rPr>
        <w:t>Kriminālprocesa likuma 573.</w:t>
      </w:r>
      <w:r w:rsidR="009C7BF8" w:rsidRPr="00B05950">
        <w:rPr>
          <w:i/>
          <w:iCs/>
          <w:vertAlign w:val="superscript"/>
        </w:rPr>
        <w:t>1 </w:t>
      </w:r>
      <w:r w:rsidR="009C7BF8" w:rsidRPr="00B05950">
        <w:rPr>
          <w:i/>
          <w:iCs/>
        </w:rPr>
        <w:t>pantu</w:t>
      </w:r>
      <w:r w:rsidR="009C7BF8" w:rsidRPr="00B05950">
        <w:t>).</w:t>
      </w:r>
      <w:r w:rsidR="009C7BF8" w:rsidRPr="00B05950">
        <w:rPr>
          <w:b/>
          <w:bCs/>
        </w:rPr>
        <w:t> </w:t>
      </w:r>
    </w:p>
    <w:p w14:paraId="08D4733F" w14:textId="77777777" w:rsidR="003421B1" w:rsidRPr="00B05950" w:rsidRDefault="003421B1" w:rsidP="003421B1">
      <w:pPr>
        <w:pStyle w:val="ListBullet"/>
        <w:widowControl w:val="0"/>
        <w:numPr>
          <w:ilvl w:val="0"/>
          <w:numId w:val="0"/>
        </w:numPr>
        <w:spacing w:after="0"/>
        <w:ind w:firstLine="720"/>
        <w:jc w:val="both"/>
        <w:rPr>
          <w:b/>
          <w:bCs/>
        </w:rPr>
      </w:pPr>
    </w:p>
    <w:p w14:paraId="3026855B" w14:textId="7062230D" w:rsidR="003421B1" w:rsidRPr="00B05950" w:rsidRDefault="00DF5A65" w:rsidP="003421B1">
      <w:pPr>
        <w:pStyle w:val="ListBullet"/>
        <w:widowControl w:val="0"/>
        <w:numPr>
          <w:ilvl w:val="0"/>
          <w:numId w:val="0"/>
        </w:numPr>
        <w:spacing w:after="0"/>
        <w:ind w:firstLine="720"/>
        <w:jc w:val="both"/>
        <w:rPr>
          <w:rFonts w:asciiTheme="majorBidi" w:hAnsiTheme="majorBidi" w:cstheme="majorBidi"/>
          <w:szCs w:val="24"/>
        </w:rPr>
      </w:pPr>
      <w:r w:rsidRPr="00B05950">
        <w:rPr>
          <w:rFonts w:asciiTheme="majorBidi" w:hAnsiTheme="majorBidi" w:cstheme="majorBidi"/>
          <w:szCs w:val="24"/>
        </w:rPr>
        <w:t>[9</w:t>
      </w:r>
      <w:r w:rsidR="00603D95" w:rsidRPr="00B05950">
        <w:rPr>
          <w:rFonts w:asciiTheme="majorBidi" w:hAnsiTheme="majorBidi" w:cstheme="majorBidi"/>
          <w:szCs w:val="24"/>
        </w:rPr>
        <w:t>] </w:t>
      </w:r>
      <w:r w:rsidR="003421B1" w:rsidRPr="00B05950">
        <w:rPr>
          <w:rFonts w:asciiTheme="majorBidi" w:hAnsiTheme="majorBidi" w:cstheme="majorBidi"/>
          <w:szCs w:val="24"/>
        </w:rPr>
        <w:t xml:space="preserve">Apelācijas instances tiesa atstājusi negrozītu apsūdzētajam </w:t>
      </w:r>
      <w:r w:rsidR="00191365">
        <w:rPr>
          <w:rFonts w:asciiTheme="majorBidi" w:hAnsiTheme="majorBidi" w:cstheme="majorBidi"/>
        </w:rPr>
        <w:t>[pers. A]</w:t>
      </w:r>
      <w:r w:rsidR="003421B1" w:rsidRPr="00B05950">
        <w:rPr>
          <w:rFonts w:asciiTheme="majorBidi" w:hAnsiTheme="majorBidi" w:cstheme="majorBidi"/>
          <w:szCs w:val="24"/>
        </w:rPr>
        <w:t xml:space="preserve"> </w:t>
      </w:r>
      <w:proofErr w:type="spellStart"/>
      <w:r w:rsidR="003421B1" w:rsidRPr="00B05950">
        <w:rPr>
          <w:rFonts w:asciiTheme="majorBidi" w:hAnsiTheme="majorBidi" w:cstheme="majorBidi"/>
          <w:szCs w:val="24"/>
        </w:rPr>
        <w:t>pirmstiesas</w:t>
      </w:r>
      <w:proofErr w:type="spellEnd"/>
      <w:r w:rsidR="003421B1" w:rsidRPr="00B05950">
        <w:rPr>
          <w:rFonts w:asciiTheme="majorBidi" w:hAnsiTheme="majorBidi" w:cstheme="majorBidi"/>
          <w:szCs w:val="24"/>
        </w:rPr>
        <w:t xml:space="preserve"> procesā piemērotos drošības līdzekļus drošības naudu un nodarbošanās aizliegumu – veikt darbības, kas saistītas ar jebkādas informācijas ievietošanu sociālajos tīklos, tai skaitā </w:t>
      </w:r>
      <w:r w:rsidR="00603D95" w:rsidRPr="00B05950">
        <w:rPr>
          <w:rFonts w:asciiTheme="majorBidi" w:hAnsiTheme="majorBidi" w:cstheme="majorBidi"/>
          <w:szCs w:val="24"/>
        </w:rPr>
        <w:t>„</w:t>
      </w:r>
      <w:proofErr w:type="spellStart"/>
      <w:r w:rsidR="003421B1" w:rsidRPr="00B05950">
        <w:rPr>
          <w:rFonts w:asciiTheme="majorBidi" w:hAnsiTheme="majorBidi" w:cstheme="majorBidi"/>
          <w:szCs w:val="24"/>
        </w:rPr>
        <w:t>Facebook</w:t>
      </w:r>
      <w:proofErr w:type="spellEnd"/>
      <w:r w:rsidR="00603D95" w:rsidRPr="00B05950">
        <w:rPr>
          <w:rFonts w:asciiTheme="majorBidi" w:hAnsiTheme="majorBidi" w:cstheme="majorBidi"/>
          <w:szCs w:val="24"/>
        </w:rPr>
        <w:t>”</w:t>
      </w:r>
      <w:r w:rsidR="003421B1" w:rsidRPr="00B05950">
        <w:rPr>
          <w:rFonts w:asciiTheme="majorBidi" w:hAnsiTheme="majorBidi" w:cstheme="majorBidi"/>
          <w:szCs w:val="24"/>
        </w:rPr>
        <w:t xml:space="preserve">, </w:t>
      </w:r>
      <w:r w:rsidR="00603D95" w:rsidRPr="00B05950">
        <w:rPr>
          <w:rFonts w:asciiTheme="majorBidi" w:hAnsiTheme="majorBidi" w:cstheme="majorBidi"/>
          <w:szCs w:val="24"/>
        </w:rPr>
        <w:t>„</w:t>
      </w:r>
      <w:proofErr w:type="spellStart"/>
      <w:r w:rsidR="003421B1" w:rsidRPr="00B05950">
        <w:rPr>
          <w:rFonts w:asciiTheme="majorBidi" w:hAnsiTheme="majorBidi" w:cstheme="majorBidi"/>
          <w:szCs w:val="24"/>
        </w:rPr>
        <w:t>Twitter</w:t>
      </w:r>
      <w:proofErr w:type="spellEnd"/>
      <w:r w:rsidR="00603D95" w:rsidRPr="00B05950">
        <w:rPr>
          <w:rFonts w:asciiTheme="majorBidi" w:hAnsiTheme="majorBidi" w:cstheme="majorBidi"/>
          <w:szCs w:val="24"/>
        </w:rPr>
        <w:t>”</w:t>
      </w:r>
      <w:r w:rsidR="003421B1" w:rsidRPr="00B05950">
        <w:rPr>
          <w:rFonts w:asciiTheme="majorBidi" w:hAnsiTheme="majorBidi" w:cstheme="majorBidi"/>
          <w:szCs w:val="24"/>
        </w:rPr>
        <w:t xml:space="preserve">, </w:t>
      </w:r>
      <w:r w:rsidR="00603D95" w:rsidRPr="00B05950">
        <w:rPr>
          <w:rFonts w:asciiTheme="majorBidi" w:hAnsiTheme="majorBidi" w:cstheme="majorBidi"/>
          <w:szCs w:val="24"/>
        </w:rPr>
        <w:t>„</w:t>
      </w:r>
      <w:proofErr w:type="spellStart"/>
      <w:r w:rsidR="003421B1" w:rsidRPr="00B05950">
        <w:rPr>
          <w:rFonts w:asciiTheme="majorBidi" w:hAnsiTheme="majorBidi" w:cstheme="majorBidi"/>
          <w:szCs w:val="24"/>
        </w:rPr>
        <w:t>YouTube</w:t>
      </w:r>
      <w:proofErr w:type="spellEnd"/>
      <w:r w:rsidR="00603D95" w:rsidRPr="00B05950">
        <w:rPr>
          <w:rFonts w:asciiTheme="majorBidi" w:hAnsiTheme="majorBidi" w:cstheme="majorBidi"/>
          <w:szCs w:val="24"/>
        </w:rPr>
        <w:t>”</w:t>
      </w:r>
      <w:r w:rsidR="003421B1" w:rsidRPr="00B05950">
        <w:rPr>
          <w:rFonts w:asciiTheme="majorBidi" w:hAnsiTheme="majorBidi" w:cstheme="majorBidi"/>
          <w:szCs w:val="24"/>
        </w:rPr>
        <w:t xml:space="preserve">, </w:t>
      </w:r>
      <w:r w:rsidR="00603D95" w:rsidRPr="00B05950">
        <w:rPr>
          <w:rFonts w:asciiTheme="majorBidi" w:hAnsiTheme="majorBidi" w:cstheme="majorBidi"/>
          <w:szCs w:val="24"/>
        </w:rPr>
        <w:t>„</w:t>
      </w:r>
      <w:r w:rsidR="003421B1" w:rsidRPr="00B05950">
        <w:rPr>
          <w:rFonts w:asciiTheme="majorBidi" w:hAnsiTheme="majorBidi" w:cstheme="majorBidi"/>
          <w:szCs w:val="24"/>
        </w:rPr>
        <w:t>Draugiem.lv</w:t>
      </w:r>
      <w:r w:rsidR="00603D95" w:rsidRPr="00B05950">
        <w:rPr>
          <w:rFonts w:asciiTheme="majorBidi" w:hAnsiTheme="majorBidi" w:cstheme="majorBidi"/>
          <w:szCs w:val="24"/>
        </w:rPr>
        <w:t>”</w:t>
      </w:r>
      <w:r w:rsidR="003421B1" w:rsidRPr="00B05950">
        <w:rPr>
          <w:rFonts w:asciiTheme="majorBidi" w:hAnsiTheme="majorBidi" w:cstheme="majorBidi"/>
          <w:szCs w:val="24"/>
        </w:rPr>
        <w:t xml:space="preserve"> un citos sociālajos tīklos, ne no saviem personīgi izveidotajiem </w:t>
      </w:r>
      <w:proofErr w:type="spellStart"/>
      <w:r w:rsidR="003421B1" w:rsidRPr="00B05950">
        <w:rPr>
          <w:rFonts w:asciiTheme="majorBidi" w:hAnsiTheme="majorBidi" w:cstheme="majorBidi"/>
          <w:szCs w:val="24"/>
        </w:rPr>
        <w:t>lietotājkontiem</w:t>
      </w:r>
      <w:proofErr w:type="spellEnd"/>
      <w:r w:rsidR="003421B1" w:rsidRPr="00B05950">
        <w:rPr>
          <w:rFonts w:asciiTheme="majorBidi" w:hAnsiTheme="majorBidi" w:cstheme="majorBidi"/>
          <w:szCs w:val="24"/>
        </w:rPr>
        <w:t xml:space="preserve">, ne arī izmantojot trešo personu </w:t>
      </w:r>
      <w:proofErr w:type="spellStart"/>
      <w:r w:rsidR="003421B1" w:rsidRPr="00B05950">
        <w:rPr>
          <w:rFonts w:asciiTheme="majorBidi" w:hAnsiTheme="majorBidi" w:cstheme="majorBidi"/>
          <w:szCs w:val="24"/>
        </w:rPr>
        <w:t>lietotājkontus</w:t>
      </w:r>
      <w:proofErr w:type="spellEnd"/>
      <w:r w:rsidR="003421B1" w:rsidRPr="00B05950">
        <w:rPr>
          <w:rFonts w:asciiTheme="majorBidi" w:hAnsiTheme="majorBidi" w:cstheme="majorBidi"/>
          <w:szCs w:val="24"/>
        </w:rPr>
        <w:t xml:space="preserve">, veikt darbības, kas saistītas ar tādu interneta vietņu izveidošanu, kas paredzētas regulārai ziņu ievietošanai un kurās no rakstu skatījumiem ir iespējams gūt materiālu labumu. Senāts atzīst, ka minētie drošības līdzekļi ir samērīgi un to piemērošanas turpināšana nepamatoti neierobežos apsūdzētā </w:t>
      </w:r>
      <w:r w:rsidR="00191365">
        <w:rPr>
          <w:rFonts w:asciiTheme="majorBidi" w:hAnsiTheme="majorBidi" w:cstheme="majorBidi"/>
        </w:rPr>
        <w:t>[pers. A]</w:t>
      </w:r>
      <w:r w:rsidR="003421B1" w:rsidRPr="00B05950">
        <w:rPr>
          <w:rFonts w:asciiTheme="majorBidi" w:hAnsiTheme="majorBidi" w:cstheme="majorBidi"/>
          <w:szCs w:val="24"/>
        </w:rPr>
        <w:t xml:space="preserve"> </w:t>
      </w:r>
      <w:proofErr w:type="spellStart"/>
      <w:r w:rsidR="003421B1" w:rsidRPr="00B05950">
        <w:rPr>
          <w:rFonts w:asciiTheme="majorBidi" w:hAnsiTheme="majorBidi" w:cstheme="majorBidi"/>
          <w:szCs w:val="24"/>
        </w:rPr>
        <w:t>pamattiesības</w:t>
      </w:r>
      <w:proofErr w:type="spellEnd"/>
      <w:r w:rsidR="003421B1" w:rsidRPr="00B05950">
        <w:rPr>
          <w:rFonts w:asciiTheme="majorBidi" w:hAnsiTheme="majorBidi" w:cstheme="majorBidi"/>
          <w:szCs w:val="24"/>
        </w:rPr>
        <w:t>.</w:t>
      </w:r>
    </w:p>
    <w:bookmarkEnd w:id="4"/>
    <w:p w14:paraId="15A5D599" w14:textId="244195C1" w:rsidR="0062315A" w:rsidRPr="00B05950" w:rsidRDefault="0062315A" w:rsidP="00B376E6">
      <w:pPr>
        <w:pStyle w:val="ListBullet"/>
        <w:widowControl w:val="0"/>
        <w:numPr>
          <w:ilvl w:val="0"/>
          <w:numId w:val="0"/>
        </w:numPr>
        <w:spacing w:after="0"/>
        <w:jc w:val="both"/>
        <w:rPr>
          <w:rFonts w:asciiTheme="majorBidi" w:hAnsiTheme="majorBidi" w:cstheme="majorBidi"/>
          <w:szCs w:val="24"/>
        </w:rPr>
      </w:pPr>
    </w:p>
    <w:p w14:paraId="6FB57674" w14:textId="77777777" w:rsidR="007A0C10" w:rsidRPr="00B05950" w:rsidRDefault="007A0C10" w:rsidP="000C7687">
      <w:pPr>
        <w:spacing w:line="276" w:lineRule="auto"/>
        <w:jc w:val="center"/>
        <w:rPr>
          <w:rFonts w:asciiTheme="majorBidi" w:hAnsiTheme="majorBidi" w:cstheme="majorBidi"/>
        </w:rPr>
      </w:pPr>
      <w:r w:rsidRPr="00B05950">
        <w:rPr>
          <w:rFonts w:asciiTheme="majorBidi" w:hAnsiTheme="majorBidi" w:cstheme="majorBidi"/>
          <w:b/>
        </w:rPr>
        <w:t>Rezolutīvā daļa</w:t>
      </w:r>
    </w:p>
    <w:p w14:paraId="1F8E2944" w14:textId="77777777" w:rsidR="007A0C10" w:rsidRPr="00B05950" w:rsidRDefault="007A0C10" w:rsidP="000C7687">
      <w:pPr>
        <w:spacing w:line="276" w:lineRule="auto"/>
        <w:ind w:firstLine="720"/>
        <w:jc w:val="both"/>
        <w:rPr>
          <w:rFonts w:asciiTheme="majorBidi" w:hAnsiTheme="majorBidi" w:cstheme="majorBidi"/>
        </w:rPr>
      </w:pPr>
    </w:p>
    <w:p w14:paraId="2BD1E98D" w14:textId="48CF5112" w:rsidR="007A0C10" w:rsidRPr="00B05950" w:rsidRDefault="007A0C10" w:rsidP="000C7687">
      <w:pPr>
        <w:spacing w:line="276" w:lineRule="auto"/>
        <w:ind w:firstLine="720"/>
        <w:jc w:val="both"/>
        <w:rPr>
          <w:rFonts w:asciiTheme="majorBidi" w:hAnsiTheme="majorBidi" w:cstheme="majorBidi"/>
        </w:rPr>
      </w:pPr>
      <w:r w:rsidRPr="00B05950">
        <w:rPr>
          <w:rFonts w:asciiTheme="majorBidi" w:hAnsiTheme="majorBidi" w:cstheme="majorBidi"/>
        </w:rPr>
        <w:t>Pamatojoties uz Kriminālprocesa likuma 585. pantu un 587. panta pirmās daļas</w:t>
      </w:r>
      <w:r w:rsidR="00DF5A65" w:rsidRPr="00B05950">
        <w:rPr>
          <w:rFonts w:asciiTheme="majorBidi" w:hAnsiTheme="majorBidi" w:cstheme="majorBidi"/>
        </w:rPr>
        <w:t xml:space="preserve"> 2. </w:t>
      </w:r>
      <w:r w:rsidRPr="00B05950">
        <w:rPr>
          <w:rFonts w:asciiTheme="majorBidi" w:hAnsiTheme="majorBidi" w:cstheme="majorBidi"/>
        </w:rPr>
        <w:t>punktu, Senāts</w:t>
      </w:r>
    </w:p>
    <w:p w14:paraId="2EF98384" w14:textId="77777777" w:rsidR="007A0C10" w:rsidRPr="00B05950" w:rsidRDefault="007A0C10" w:rsidP="000C7687">
      <w:pPr>
        <w:spacing w:line="276" w:lineRule="auto"/>
        <w:ind w:firstLine="720"/>
        <w:jc w:val="both"/>
        <w:rPr>
          <w:rFonts w:asciiTheme="majorBidi" w:hAnsiTheme="majorBidi" w:cstheme="majorBidi"/>
        </w:rPr>
      </w:pPr>
    </w:p>
    <w:p w14:paraId="353728C2" w14:textId="69F4E691" w:rsidR="007A0C10" w:rsidRPr="00B05950" w:rsidRDefault="00603D95" w:rsidP="000C7687">
      <w:pPr>
        <w:spacing w:line="276" w:lineRule="auto"/>
        <w:jc w:val="center"/>
        <w:rPr>
          <w:rFonts w:asciiTheme="majorBidi" w:hAnsiTheme="majorBidi" w:cstheme="majorBidi"/>
          <w:b/>
        </w:rPr>
      </w:pPr>
      <w:r w:rsidRPr="00B05950">
        <w:rPr>
          <w:rFonts w:asciiTheme="majorBidi" w:hAnsiTheme="majorBidi" w:cstheme="majorBidi"/>
          <w:b/>
        </w:rPr>
        <w:t>nolēma</w:t>
      </w:r>
    </w:p>
    <w:p w14:paraId="1382595D" w14:textId="77777777" w:rsidR="003421B1" w:rsidRPr="00B05950" w:rsidRDefault="003421B1" w:rsidP="000C7687">
      <w:pPr>
        <w:spacing w:line="276" w:lineRule="auto"/>
        <w:jc w:val="center"/>
        <w:rPr>
          <w:rFonts w:asciiTheme="majorBidi" w:hAnsiTheme="majorBidi" w:cstheme="majorBidi"/>
          <w:b/>
        </w:rPr>
      </w:pPr>
    </w:p>
    <w:p w14:paraId="2C25063E" w14:textId="72BFB9AD" w:rsidR="003421B1" w:rsidRPr="00B05950" w:rsidRDefault="003421B1" w:rsidP="003421B1">
      <w:pPr>
        <w:spacing w:line="276" w:lineRule="auto"/>
        <w:ind w:firstLine="720"/>
        <w:jc w:val="both"/>
        <w:rPr>
          <w:rFonts w:asciiTheme="majorBidi" w:hAnsiTheme="majorBidi" w:cstheme="majorBidi"/>
          <w:bCs/>
        </w:rPr>
      </w:pPr>
      <w:r w:rsidRPr="00B05950">
        <w:rPr>
          <w:rFonts w:asciiTheme="majorBidi" w:hAnsiTheme="majorBidi" w:cstheme="majorBidi"/>
          <w:bCs/>
        </w:rPr>
        <w:t xml:space="preserve">atcelt Rīgas apgabaltiesas </w:t>
      </w:r>
      <w:r w:rsidRPr="00B05950">
        <w:rPr>
          <w:rFonts w:asciiTheme="majorBidi" w:hAnsiTheme="majorBidi" w:cstheme="majorBidi"/>
        </w:rPr>
        <w:t>2023. gada 17. oktobra spriedumu</w:t>
      </w:r>
      <w:r w:rsidRPr="00B05950">
        <w:rPr>
          <w:rFonts w:asciiTheme="majorBidi" w:hAnsiTheme="majorBidi" w:cstheme="majorBidi"/>
          <w:bCs/>
        </w:rPr>
        <w:t xml:space="preserve"> par </w:t>
      </w:r>
      <w:r w:rsidR="00191365">
        <w:rPr>
          <w:rFonts w:asciiTheme="majorBidi" w:hAnsiTheme="majorBidi" w:cstheme="majorBidi"/>
        </w:rPr>
        <w:t>[pers. A]</w:t>
      </w:r>
      <w:r w:rsidRPr="00B05950">
        <w:rPr>
          <w:rFonts w:asciiTheme="majorBidi" w:hAnsiTheme="majorBidi" w:cstheme="majorBidi"/>
          <w:bCs/>
        </w:rPr>
        <w:t xml:space="preserve"> atzīšanu par nevainīgu un attaisnošanu pēc Krimināllikuma 78</w:t>
      </w:r>
      <w:r w:rsidR="00603D95" w:rsidRPr="00B05950">
        <w:rPr>
          <w:rFonts w:asciiTheme="majorBidi" w:hAnsiTheme="majorBidi" w:cstheme="majorBidi"/>
          <w:bCs/>
        </w:rPr>
        <w:t>. </w:t>
      </w:r>
      <w:r w:rsidRPr="00B05950">
        <w:rPr>
          <w:rFonts w:asciiTheme="majorBidi" w:hAnsiTheme="majorBidi" w:cstheme="majorBidi"/>
          <w:bCs/>
        </w:rPr>
        <w:t xml:space="preserve">panta otrās daļas; </w:t>
      </w:r>
    </w:p>
    <w:p w14:paraId="180E422C" w14:textId="394C8465" w:rsidR="003421B1" w:rsidRPr="00B05950" w:rsidRDefault="003421B1" w:rsidP="003421B1">
      <w:pPr>
        <w:spacing w:line="276" w:lineRule="auto"/>
        <w:ind w:firstLine="720"/>
        <w:jc w:val="both"/>
        <w:rPr>
          <w:rFonts w:asciiTheme="majorBidi" w:hAnsiTheme="majorBidi" w:cstheme="majorBidi"/>
          <w:bCs/>
        </w:rPr>
      </w:pPr>
      <w:r w:rsidRPr="00B05950">
        <w:rPr>
          <w:rFonts w:asciiTheme="majorBidi" w:hAnsiTheme="majorBidi" w:cstheme="majorBidi"/>
          <w:bCs/>
        </w:rPr>
        <w:t>lietu nosūtīt jaunai izskatīšanai Rīgas apgabaltiesā;</w:t>
      </w:r>
    </w:p>
    <w:p w14:paraId="764D16AC" w14:textId="688FB4B6" w:rsidR="0009379A" w:rsidRPr="00B05950" w:rsidRDefault="003421B1" w:rsidP="00824C5E">
      <w:pPr>
        <w:spacing w:line="276" w:lineRule="auto"/>
        <w:ind w:firstLine="720"/>
        <w:jc w:val="both"/>
        <w:rPr>
          <w:rFonts w:asciiTheme="majorBidi" w:hAnsiTheme="majorBidi" w:cstheme="majorBidi"/>
          <w:bCs/>
        </w:rPr>
      </w:pPr>
      <w:r w:rsidRPr="00B05950">
        <w:rPr>
          <w:rFonts w:asciiTheme="majorBidi" w:hAnsiTheme="majorBidi" w:cstheme="majorBidi"/>
          <w:bCs/>
        </w:rPr>
        <w:t xml:space="preserve">apsūdzētajam </w:t>
      </w:r>
      <w:r w:rsidR="00191365">
        <w:rPr>
          <w:rFonts w:asciiTheme="majorBidi" w:hAnsiTheme="majorBidi" w:cstheme="majorBidi"/>
        </w:rPr>
        <w:t>[pers. A]</w:t>
      </w:r>
      <w:r w:rsidRPr="00B05950">
        <w:rPr>
          <w:rFonts w:asciiTheme="majorBidi" w:hAnsiTheme="majorBidi" w:cstheme="majorBidi"/>
          <w:bCs/>
        </w:rPr>
        <w:t xml:space="preserve"> turpināt piemērot drošības līdzekļus drošības naudu un nodarbošanās aizliegumu – veikt darbības, kas saistītas ar jebkādas informācijas ievietošanu sociālajos tīklos, tai skaitā </w:t>
      </w:r>
      <w:r w:rsidR="00116EB5" w:rsidRPr="00B05950">
        <w:rPr>
          <w:rFonts w:asciiTheme="majorBidi" w:hAnsiTheme="majorBidi" w:cstheme="majorBidi"/>
          <w:bCs/>
        </w:rPr>
        <w:t>„</w:t>
      </w:r>
      <w:proofErr w:type="spellStart"/>
      <w:r w:rsidRPr="00B05950">
        <w:rPr>
          <w:rFonts w:asciiTheme="majorBidi" w:hAnsiTheme="majorBidi" w:cstheme="majorBidi"/>
          <w:bCs/>
        </w:rPr>
        <w:t>Facebook</w:t>
      </w:r>
      <w:proofErr w:type="spellEnd"/>
      <w:r w:rsidR="00116EB5" w:rsidRPr="00B05950">
        <w:rPr>
          <w:rFonts w:asciiTheme="majorBidi" w:hAnsiTheme="majorBidi" w:cstheme="majorBidi"/>
          <w:bCs/>
        </w:rPr>
        <w:t>”</w:t>
      </w:r>
      <w:r w:rsidRPr="00B05950">
        <w:rPr>
          <w:rFonts w:asciiTheme="majorBidi" w:hAnsiTheme="majorBidi" w:cstheme="majorBidi"/>
          <w:bCs/>
        </w:rPr>
        <w:t xml:space="preserve">, </w:t>
      </w:r>
      <w:r w:rsidR="00116EB5" w:rsidRPr="00B05950">
        <w:rPr>
          <w:rFonts w:asciiTheme="majorBidi" w:hAnsiTheme="majorBidi" w:cstheme="majorBidi"/>
          <w:bCs/>
        </w:rPr>
        <w:t>„</w:t>
      </w:r>
      <w:proofErr w:type="spellStart"/>
      <w:r w:rsidRPr="00B05950">
        <w:rPr>
          <w:rFonts w:asciiTheme="majorBidi" w:hAnsiTheme="majorBidi" w:cstheme="majorBidi"/>
          <w:bCs/>
        </w:rPr>
        <w:t>Twitter</w:t>
      </w:r>
      <w:proofErr w:type="spellEnd"/>
      <w:r w:rsidR="00116EB5" w:rsidRPr="00B05950">
        <w:rPr>
          <w:rFonts w:asciiTheme="majorBidi" w:hAnsiTheme="majorBidi" w:cstheme="majorBidi"/>
          <w:bCs/>
        </w:rPr>
        <w:t>”</w:t>
      </w:r>
      <w:r w:rsidRPr="00B05950">
        <w:rPr>
          <w:rFonts w:asciiTheme="majorBidi" w:hAnsiTheme="majorBidi" w:cstheme="majorBidi"/>
          <w:bCs/>
        </w:rPr>
        <w:t xml:space="preserve">, </w:t>
      </w:r>
      <w:r w:rsidR="00116EB5" w:rsidRPr="00B05950">
        <w:rPr>
          <w:rFonts w:asciiTheme="majorBidi" w:hAnsiTheme="majorBidi" w:cstheme="majorBidi"/>
          <w:bCs/>
        </w:rPr>
        <w:t>„</w:t>
      </w:r>
      <w:proofErr w:type="spellStart"/>
      <w:r w:rsidRPr="00B05950">
        <w:rPr>
          <w:rFonts w:asciiTheme="majorBidi" w:hAnsiTheme="majorBidi" w:cstheme="majorBidi"/>
          <w:bCs/>
        </w:rPr>
        <w:t>YouTube</w:t>
      </w:r>
      <w:proofErr w:type="spellEnd"/>
      <w:r w:rsidR="00116EB5" w:rsidRPr="00B05950">
        <w:rPr>
          <w:rFonts w:asciiTheme="majorBidi" w:hAnsiTheme="majorBidi" w:cstheme="majorBidi"/>
          <w:bCs/>
        </w:rPr>
        <w:t>”</w:t>
      </w:r>
      <w:r w:rsidRPr="00B05950">
        <w:rPr>
          <w:rFonts w:asciiTheme="majorBidi" w:hAnsiTheme="majorBidi" w:cstheme="majorBidi"/>
          <w:bCs/>
        </w:rPr>
        <w:t xml:space="preserve">, </w:t>
      </w:r>
      <w:r w:rsidR="00116EB5" w:rsidRPr="00B05950">
        <w:rPr>
          <w:rFonts w:asciiTheme="majorBidi" w:hAnsiTheme="majorBidi" w:cstheme="majorBidi"/>
          <w:bCs/>
        </w:rPr>
        <w:t>„</w:t>
      </w:r>
      <w:r w:rsidRPr="00B05950">
        <w:rPr>
          <w:rFonts w:asciiTheme="majorBidi" w:hAnsiTheme="majorBidi" w:cstheme="majorBidi"/>
          <w:bCs/>
        </w:rPr>
        <w:t>Draugiem.lv</w:t>
      </w:r>
      <w:r w:rsidR="00116EB5" w:rsidRPr="00B05950">
        <w:rPr>
          <w:rFonts w:asciiTheme="majorBidi" w:hAnsiTheme="majorBidi" w:cstheme="majorBidi"/>
          <w:bCs/>
        </w:rPr>
        <w:t>”</w:t>
      </w:r>
      <w:r w:rsidRPr="00B05950">
        <w:rPr>
          <w:rFonts w:asciiTheme="majorBidi" w:hAnsiTheme="majorBidi" w:cstheme="majorBidi"/>
          <w:bCs/>
        </w:rPr>
        <w:t xml:space="preserve"> un citos sociālajos tīklos, ne no saviem personīgi izveidotajiem </w:t>
      </w:r>
      <w:proofErr w:type="spellStart"/>
      <w:r w:rsidRPr="00B05950">
        <w:rPr>
          <w:rFonts w:asciiTheme="majorBidi" w:hAnsiTheme="majorBidi" w:cstheme="majorBidi"/>
          <w:bCs/>
        </w:rPr>
        <w:t>lietotājkontiem</w:t>
      </w:r>
      <w:proofErr w:type="spellEnd"/>
      <w:r w:rsidRPr="00B05950">
        <w:rPr>
          <w:rFonts w:asciiTheme="majorBidi" w:hAnsiTheme="majorBidi" w:cstheme="majorBidi"/>
          <w:bCs/>
        </w:rPr>
        <w:t xml:space="preserve">, ne arī izmantojot trešo personu </w:t>
      </w:r>
      <w:proofErr w:type="spellStart"/>
      <w:r w:rsidRPr="00B05950">
        <w:rPr>
          <w:rFonts w:asciiTheme="majorBidi" w:hAnsiTheme="majorBidi" w:cstheme="majorBidi"/>
          <w:bCs/>
        </w:rPr>
        <w:t>lietotājkontus</w:t>
      </w:r>
      <w:proofErr w:type="spellEnd"/>
      <w:r w:rsidRPr="00B05950">
        <w:rPr>
          <w:rFonts w:asciiTheme="majorBidi" w:hAnsiTheme="majorBidi" w:cstheme="majorBidi"/>
          <w:bCs/>
        </w:rPr>
        <w:t>, veikt darbības, kas saistītas ar tādu interneta vietņu izveidošanu, kas paredzētas regulārai ziņu ievietošanai un kurās no rakstu skatījumiem ir iespējams gūt materiālu labumu</w:t>
      </w:r>
      <w:r w:rsidR="00824C5E" w:rsidRPr="00B05950">
        <w:rPr>
          <w:rFonts w:asciiTheme="majorBidi" w:hAnsiTheme="majorBidi" w:cstheme="majorBidi"/>
          <w:bCs/>
        </w:rPr>
        <w:t>.</w:t>
      </w:r>
    </w:p>
    <w:p w14:paraId="038C515E" w14:textId="77777777" w:rsidR="003A4F62" w:rsidRPr="00B05950" w:rsidRDefault="003A4F62" w:rsidP="007B1562">
      <w:pPr>
        <w:spacing w:line="276" w:lineRule="auto"/>
        <w:jc w:val="both"/>
        <w:rPr>
          <w:rFonts w:asciiTheme="majorBidi" w:hAnsiTheme="majorBidi" w:cstheme="majorBidi"/>
          <w:bCs/>
        </w:rPr>
      </w:pPr>
    </w:p>
    <w:p w14:paraId="6B63ED83" w14:textId="2A0A1F98" w:rsidR="007A0C10" w:rsidRPr="00B05950" w:rsidRDefault="007A0C10" w:rsidP="000C7687">
      <w:pPr>
        <w:spacing w:line="276" w:lineRule="auto"/>
        <w:ind w:firstLine="720"/>
        <w:jc w:val="both"/>
        <w:rPr>
          <w:rFonts w:asciiTheme="majorBidi" w:hAnsiTheme="majorBidi" w:cstheme="majorBidi"/>
          <w:b/>
        </w:rPr>
      </w:pPr>
      <w:r w:rsidRPr="00B05950">
        <w:rPr>
          <w:rFonts w:asciiTheme="majorBidi" w:hAnsiTheme="majorBidi" w:cstheme="majorBidi"/>
        </w:rPr>
        <w:t>Lēmums nav pārsūdzams.</w:t>
      </w:r>
    </w:p>
    <w:p w14:paraId="55266DC0" w14:textId="3B27971C" w:rsidR="006B0279" w:rsidRPr="00B05950" w:rsidRDefault="006B0279" w:rsidP="000C7687">
      <w:pPr>
        <w:spacing w:line="276" w:lineRule="auto"/>
        <w:jc w:val="both"/>
        <w:rPr>
          <w:rFonts w:asciiTheme="majorBidi" w:hAnsiTheme="majorBidi" w:cstheme="majorBidi"/>
        </w:rPr>
      </w:pPr>
    </w:p>
    <w:sectPr w:rsidR="006B0279" w:rsidRPr="00B05950" w:rsidSect="007B1562">
      <w:footerReference w:type="default" r:id="rId21"/>
      <w:pgSz w:w="11906" w:h="16838" w:code="9"/>
      <w:pgMar w:top="1247" w:right="1701" w:bottom="1247" w:left="170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E5EA" w14:textId="77777777" w:rsidR="00425737" w:rsidRDefault="00425737" w:rsidP="002332D3">
      <w:r>
        <w:separator/>
      </w:r>
    </w:p>
  </w:endnote>
  <w:endnote w:type="continuationSeparator" w:id="0">
    <w:p w14:paraId="586AA920" w14:textId="77777777" w:rsidR="00425737" w:rsidRDefault="00425737" w:rsidP="002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849926"/>
      <w:docPartObj>
        <w:docPartGallery w:val="Page Numbers (Bottom of Page)"/>
        <w:docPartUnique/>
      </w:docPartObj>
    </w:sdtPr>
    <w:sdtEndPr/>
    <w:sdtContent>
      <w:sdt>
        <w:sdtPr>
          <w:id w:val="1728636285"/>
          <w:docPartObj>
            <w:docPartGallery w:val="Page Numbers (Top of Page)"/>
            <w:docPartUnique/>
          </w:docPartObj>
        </w:sdtPr>
        <w:sdtEndPr/>
        <w:sdtContent>
          <w:p w14:paraId="45322383" w14:textId="05B227E8" w:rsidR="002332D3" w:rsidRPr="002332D3" w:rsidRDefault="002332D3">
            <w:pPr>
              <w:pStyle w:val="Footer"/>
              <w:jc w:val="center"/>
            </w:pPr>
            <w:r w:rsidRPr="00FC2172">
              <w:rPr>
                <w:sz w:val="20"/>
                <w:szCs w:val="20"/>
              </w:rPr>
              <w:fldChar w:fldCharType="begin"/>
            </w:r>
            <w:r w:rsidRPr="00141CAF">
              <w:rPr>
                <w:sz w:val="20"/>
                <w:szCs w:val="20"/>
              </w:rPr>
              <w:instrText xml:space="preserve"> PAGE </w:instrText>
            </w:r>
            <w:r w:rsidRPr="00FC2172">
              <w:rPr>
                <w:sz w:val="20"/>
                <w:szCs w:val="20"/>
              </w:rPr>
              <w:fldChar w:fldCharType="separate"/>
            </w:r>
            <w:r w:rsidRPr="00141CAF">
              <w:rPr>
                <w:noProof/>
                <w:sz w:val="20"/>
                <w:szCs w:val="20"/>
              </w:rPr>
              <w:t>2</w:t>
            </w:r>
            <w:r w:rsidRPr="00FC2172">
              <w:rPr>
                <w:sz w:val="20"/>
                <w:szCs w:val="20"/>
              </w:rPr>
              <w:fldChar w:fldCharType="end"/>
            </w:r>
            <w:r w:rsidRPr="00FC2172">
              <w:rPr>
                <w:sz w:val="20"/>
                <w:szCs w:val="20"/>
              </w:rPr>
              <w:t xml:space="preserve"> no </w:t>
            </w:r>
            <w:r w:rsidRPr="00FC2172">
              <w:rPr>
                <w:sz w:val="20"/>
                <w:szCs w:val="20"/>
              </w:rPr>
              <w:fldChar w:fldCharType="begin"/>
            </w:r>
            <w:r w:rsidRPr="00FC2172">
              <w:rPr>
                <w:sz w:val="20"/>
                <w:szCs w:val="20"/>
              </w:rPr>
              <w:instrText xml:space="preserve"> NUMPAGES  </w:instrText>
            </w:r>
            <w:r w:rsidRPr="00FC2172">
              <w:rPr>
                <w:sz w:val="20"/>
                <w:szCs w:val="20"/>
              </w:rPr>
              <w:fldChar w:fldCharType="separate"/>
            </w:r>
            <w:r w:rsidRPr="00FC2172">
              <w:rPr>
                <w:noProof/>
                <w:sz w:val="20"/>
                <w:szCs w:val="20"/>
              </w:rPr>
              <w:t>2</w:t>
            </w:r>
            <w:r w:rsidRPr="00FC2172">
              <w:rPr>
                <w:sz w:val="20"/>
                <w:szCs w:val="20"/>
              </w:rPr>
              <w:fldChar w:fldCharType="end"/>
            </w:r>
          </w:p>
        </w:sdtContent>
      </w:sdt>
    </w:sdtContent>
  </w:sdt>
  <w:p w14:paraId="21A1B6F0" w14:textId="77777777" w:rsidR="002332D3" w:rsidRDefault="0023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509F" w14:textId="77777777" w:rsidR="00425737" w:rsidRDefault="00425737" w:rsidP="002332D3">
      <w:r>
        <w:separator/>
      </w:r>
    </w:p>
  </w:footnote>
  <w:footnote w:type="continuationSeparator" w:id="0">
    <w:p w14:paraId="03414922" w14:textId="77777777" w:rsidR="00425737" w:rsidRDefault="00425737" w:rsidP="0023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A2E4A"/>
    <w:multiLevelType w:val="hybridMultilevel"/>
    <w:tmpl w:val="772EC1CE"/>
    <w:lvl w:ilvl="0" w:tplc="CD22322E">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147632"/>
    <w:multiLevelType w:val="hybridMultilevel"/>
    <w:tmpl w:val="E9CA9D08"/>
    <w:lvl w:ilvl="0" w:tplc="C7C8E2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0303DF7"/>
    <w:multiLevelType w:val="hybridMultilevel"/>
    <w:tmpl w:val="F1B07090"/>
    <w:lvl w:ilvl="0" w:tplc="DA8846BC">
      <w:start w:val="202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4A3A6342"/>
    <w:multiLevelType w:val="hybridMultilevel"/>
    <w:tmpl w:val="2A80B5B2"/>
    <w:lvl w:ilvl="0" w:tplc="6FACA890">
      <w:start w:val="5"/>
      <w:numFmt w:val="bullet"/>
      <w:lvlText w:val="-"/>
      <w:lvlJc w:val="left"/>
      <w:pPr>
        <w:ind w:left="405" w:hanging="360"/>
      </w:pPr>
      <w:rPr>
        <w:rFonts w:ascii="Times New Roman" w:eastAsia="SimSun" w:hAnsi="Times New Roman" w:hint="default"/>
      </w:rPr>
    </w:lvl>
    <w:lvl w:ilvl="1" w:tplc="04260001">
      <w:start w:val="1"/>
      <w:numFmt w:val="bullet"/>
      <w:lvlText w:val=""/>
      <w:lvlJc w:val="left"/>
      <w:pPr>
        <w:tabs>
          <w:tab w:val="num" w:pos="1125"/>
        </w:tabs>
        <w:ind w:left="1125" w:hanging="360"/>
      </w:pPr>
      <w:rPr>
        <w:rFonts w:ascii="Symbol" w:hAnsi="Symbol"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5" w15:restartNumberingAfterBreak="0">
    <w:nsid w:val="4B89052A"/>
    <w:multiLevelType w:val="multilevel"/>
    <w:tmpl w:val="A0FE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C63E6"/>
    <w:multiLevelType w:val="hybridMultilevel"/>
    <w:tmpl w:val="FBA6D260"/>
    <w:lvl w:ilvl="0" w:tplc="A934B1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D695836"/>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74C87B7C"/>
    <w:multiLevelType w:val="hybridMultilevel"/>
    <w:tmpl w:val="6C64C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47138">
    <w:abstractNumId w:val="3"/>
  </w:num>
  <w:num w:numId="2" w16cid:durableId="256409033">
    <w:abstractNumId w:val="2"/>
  </w:num>
  <w:num w:numId="3" w16cid:durableId="1830243971">
    <w:abstractNumId w:val="8"/>
  </w:num>
  <w:num w:numId="4" w16cid:durableId="1860241121">
    <w:abstractNumId w:val="0"/>
  </w:num>
  <w:num w:numId="5" w16cid:durableId="1172451648">
    <w:abstractNumId w:val="7"/>
  </w:num>
  <w:num w:numId="6" w16cid:durableId="596333636">
    <w:abstractNumId w:val="4"/>
  </w:num>
  <w:num w:numId="7" w16cid:durableId="1085297184">
    <w:abstractNumId w:val="5"/>
  </w:num>
  <w:num w:numId="8" w16cid:durableId="1044016668">
    <w:abstractNumId w:val="1"/>
  </w:num>
  <w:num w:numId="9" w16cid:durableId="144068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0"/>
    <w:rsid w:val="00001B29"/>
    <w:rsid w:val="00005615"/>
    <w:rsid w:val="0000642A"/>
    <w:rsid w:val="00006A13"/>
    <w:rsid w:val="00007966"/>
    <w:rsid w:val="00007A3B"/>
    <w:rsid w:val="00011549"/>
    <w:rsid w:val="00011CCB"/>
    <w:rsid w:val="000149D8"/>
    <w:rsid w:val="000150C4"/>
    <w:rsid w:val="000166D5"/>
    <w:rsid w:val="00017C01"/>
    <w:rsid w:val="00026163"/>
    <w:rsid w:val="0003169E"/>
    <w:rsid w:val="00031C78"/>
    <w:rsid w:val="000327AE"/>
    <w:rsid w:val="000340F3"/>
    <w:rsid w:val="00035854"/>
    <w:rsid w:val="00036B3E"/>
    <w:rsid w:val="00037A97"/>
    <w:rsid w:val="00040410"/>
    <w:rsid w:val="0004245B"/>
    <w:rsid w:val="000435D9"/>
    <w:rsid w:val="0004533B"/>
    <w:rsid w:val="00046F05"/>
    <w:rsid w:val="00051713"/>
    <w:rsid w:val="00053868"/>
    <w:rsid w:val="000561DD"/>
    <w:rsid w:val="0005668B"/>
    <w:rsid w:val="0006081C"/>
    <w:rsid w:val="0006272E"/>
    <w:rsid w:val="00062E41"/>
    <w:rsid w:val="00065C5D"/>
    <w:rsid w:val="000678A1"/>
    <w:rsid w:val="00071CDB"/>
    <w:rsid w:val="00072528"/>
    <w:rsid w:val="00074E75"/>
    <w:rsid w:val="00080776"/>
    <w:rsid w:val="00081FCD"/>
    <w:rsid w:val="00083C37"/>
    <w:rsid w:val="00087E36"/>
    <w:rsid w:val="00087E51"/>
    <w:rsid w:val="00090077"/>
    <w:rsid w:val="00092A8D"/>
    <w:rsid w:val="0009379A"/>
    <w:rsid w:val="00094716"/>
    <w:rsid w:val="000A1FBA"/>
    <w:rsid w:val="000A4ABE"/>
    <w:rsid w:val="000A56D3"/>
    <w:rsid w:val="000A5C28"/>
    <w:rsid w:val="000A5DD7"/>
    <w:rsid w:val="000A7780"/>
    <w:rsid w:val="000B1B5A"/>
    <w:rsid w:val="000C2612"/>
    <w:rsid w:val="000C4EED"/>
    <w:rsid w:val="000C68F8"/>
    <w:rsid w:val="000C7687"/>
    <w:rsid w:val="000D1C08"/>
    <w:rsid w:val="000D6F07"/>
    <w:rsid w:val="000E1981"/>
    <w:rsid w:val="000E1B89"/>
    <w:rsid w:val="000E21C0"/>
    <w:rsid w:val="000E2418"/>
    <w:rsid w:val="000E4581"/>
    <w:rsid w:val="000E4D73"/>
    <w:rsid w:val="000E70C9"/>
    <w:rsid w:val="000E7988"/>
    <w:rsid w:val="000E7DD8"/>
    <w:rsid w:val="000F59D9"/>
    <w:rsid w:val="001044B9"/>
    <w:rsid w:val="00105653"/>
    <w:rsid w:val="00107AC0"/>
    <w:rsid w:val="00110E71"/>
    <w:rsid w:val="00114F54"/>
    <w:rsid w:val="00116EB5"/>
    <w:rsid w:val="0012055E"/>
    <w:rsid w:val="00120EB1"/>
    <w:rsid w:val="00121F05"/>
    <w:rsid w:val="001224D1"/>
    <w:rsid w:val="00124AAE"/>
    <w:rsid w:val="00127440"/>
    <w:rsid w:val="001274A9"/>
    <w:rsid w:val="00127842"/>
    <w:rsid w:val="00132605"/>
    <w:rsid w:val="00132B23"/>
    <w:rsid w:val="00133472"/>
    <w:rsid w:val="00134D05"/>
    <w:rsid w:val="001368AD"/>
    <w:rsid w:val="00137FA1"/>
    <w:rsid w:val="00141CAF"/>
    <w:rsid w:val="00141D44"/>
    <w:rsid w:val="00145D09"/>
    <w:rsid w:val="0015191E"/>
    <w:rsid w:val="0015577D"/>
    <w:rsid w:val="00157EE8"/>
    <w:rsid w:val="001638C0"/>
    <w:rsid w:val="00170154"/>
    <w:rsid w:val="0017221D"/>
    <w:rsid w:val="001722F4"/>
    <w:rsid w:val="00172A98"/>
    <w:rsid w:val="00173695"/>
    <w:rsid w:val="00175717"/>
    <w:rsid w:val="00175C8B"/>
    <w:rsid w:val="00177736"/>
    <w:rsid w:val="00181F6D"/>
    <w:rsid w:val="00181FFC"/>
    <w:rsid w:val="00186C20"/>
    <w:rsid w:val="00190DD6"/>
    <w:rsid w:val="00191365"/>
    <w:rsid w:val="001940BD"/>
    <w:rsid w:val="00197B64"/>
    <w:rsid w:val="001A2A88"/>
    <w:rsid w:val="001A44B1"/>
    <w:rsid w:val="001B50A2"/>
    <w:rsid w:val="001B6548"/>
    <w:rsid w:val="001B6F07"/>
    <w:rsid w:val="001B72B3"/>
    <w:rsid w:val="001C0850"/>
    <w:rsid w:val="001C2BEB"/>
    <w:rsid w:val="001C3394"/>
    <w:rsid w:val="001C69D6"/>
    <w:rsid w:val="001C7B1B"/>
    <w:rsid w:val="001D148A"/>
    <w:rsid w:val="001D7180"/>
    <w:rsid w:val="001E39BF"/>
    <w:rsid w:val="001E5839"/>
    <w:rsid w:val="001E5E03"/>
    <w:rsid w:val="001F0882"/>
    <w:rsid w:val="001F11F0"/>
    <w:rsid w:val="001F1933"/>
    <w:rsid w:val="001F1CED"/>
    <w:rsid w:val="001F2658"/>
    <w:rsid w:val="001F3C83"/>
    <w:rsid w:val="001F3EC5"/>
    <w:rsid w:val="001F46B8"/>
    <w:rsid w:val="001F6F85"/>
    <w:rsid w:val="001F7526"/>
    <w:rsid w:val="00200765"/>
    <w:rsid w:val="00202398"/>
    <w:rsid w:val="00202F51"/>
    <w:rsid w:val="00204FEB"/>
    <w:rsid w:val="00211E84"/>
    <w:rsid w:val="00212693"/>
    <w:rsid w:val="002140A6"/>
    <w:rsid w:val="00220406"/>
    <w:rsid w:val="00222F27"/>
    <w:rsid w:val="00227671"/>
    <w:rsid w:val="002332D3"/>
    <w:rsid w:val="00233B87"/>
    <w:rsid w:val="00233F73"/>
    <w:rsid w:val="002365C0"/>
    <w:rsid w:val="00236D26"/>
    <w:rsid w:val="00237658"/>
    <w:rsid w:val="00241490"/>
    <w:rsid w:val="0024337B"/>
    <w:rsid w:val="002529DB"/>
    <w:rsid w:val="00253252"/>
    <w:rsid w:val="00253E95"/>
    <w:rsid w:val="0025442D"/>
    <w:rsid w:val="00260794"/>
    <w:rsid w:val="00262EBB"/>
    <w:rsid w:val="00267AFF"/>
    <w:rsid w:val="00273AE6"/>
    <w:rsid w:val="00276584"/>
    <w:rsid w:val="00280A6F"/>
    <w:rsid w:val="002855A0"/>
    <w:rsid w:val="002A097C"/>
    <w:rsid w:val="002A529C"/>
    <w:rsid w:val="002A6801"/>
    <w:rsid w:val="002A7689"/>
    <w:rsid w:val="002B4066"/>
    <w:rsid w:val="002B506A"/>
    <w:rsid w:val="002B6E7C"/>
    <w:rsid w:val="002C51FE"/>
    <w:rsid w:val="002D071A"/>
    <w:rsid w:val="002D12CC"/>
    <w:rsid w:val="002D3E7F"/>
    <w:rsid w:val="002D54EF"/>
    <w:rsid w:val="002E52A0"/>
    <w:rsid w:val="002F13A7"/>
    <w:rsid w:val="002F4054"/>
    <w:rsid w:val="002F6395"/>
    <w:rsid w:val="00304FEC"/>
    <w:rsid w:val="0030761D"/>
    <w:rsid w:val="0030780C"/>
    <w:rsid w:val="00313D8C"/>
    <w:rsid w:val="00314356"/>
    <w:rsid w:val="00316750"/>
    <w:rsid w:val="00317109"/>
    <w:rsid w:val="00320943"/>
    <w:rsid w:val="00320EA9"/>
    <w:rsid w:val="003227CF"/>
    <w:rsid w:val="00323874"/>
    <w:rsid w:val="00325C6E"/>
    <w:rsid w:val="00330193"/>
    <w:rsid w:val="00330C03"/>
    <w:rsid w:val="00333D44"/>
    <w:rsid w:val="0033497E"/>
    <w:rsid w:val="003354DC"/>
    <w:rsid w:val="003421B1"/>
    <w:rsid w:val="003444BA"/>
    <w:rsid w:val="00345BD2"/>
    <w:rsid w:val="0034761D"/>
    <w:rsid w:val="0035212E"/>
    <w:rsid w:val="0035303F"/>
    <w:rsid w:val="00355342"/>
    <w:rsid w:val="00361E6A"/>
    <w:rsid w:val="00364C9B"/>
    <w:rsid w:val="003657A5"/>
    <w:rsid w:val="00367EEB"/>
    <w:rsid w:val="0037000F"/>
    <w:rsid w:val="003714C0"/>
    <w:rsid w:val="00375A86"/>
    <w:rsid w:val="00376246"/>
    <w:rsid w:val="003771CF"/>
    <w:rsid w:val="003773F5"/>
    <w:rsid w:val="00382487"/>
    <w:rsid w:val="003825AD"/>
    <w:rsid w:val="003837B4"/>
    <w:rsid w:val="0039651C"/>
    <w:rsid w:val="00397DBE"/>
    <w:rsid w:val="003A1526"/>
    <w:rsid w:val="003A2EFC"/>
    <w:rsid w:val="003A4F62"/>
    <w:rsid w:val="003B0D61"/>
    <w:rsid w:val="003B2603"/>
    <w:rsid w:val="003B2CCB"/>
    <w:rsid w:val="003B6953"/>
    <w:rsid w:val="003B7762"/>
    <w:rsid w:val="003B77CC"/>
    <w:rsid w:val="003C36A0"/>
    <w:rsid w:val="003D4EB0"/>
    <w:rsid w:val="003D5962"/>
    <w:rsid w:val="003D5EA2"/>
    <w:rsid w:val="003E0196"/>
    <w:rsid w:val="003E4C48"/>
    <w:rsid w:val="003F0D64"/>
    <w:rsid w:val="003F1826"/>
    <w:rsid w:val="003F24E1"/>
    <w:rsid w:val="003F62D8"/>
    <w:rsid w:val="003F7F27"/>
    <w:rsid w:val="004047B8"/>
    <w:rsid w:val="00416476"/>
    <w:rsid w:val="00424613"/>
    <w:rsid w:val="0042570D"/>
    <w:rsid w:val="00425737"/>
    <w:rsid w:val="00425F7D"/>
    <w:rsid w:val="0043083D"/>
    <w:rsid w:val="00430D99"/>
    <w:rsid w:val="00433E72"/>
    <w:rsid w:val="004345AA"/>
    <w:rsid w:val="004363B6"/>
    <w:rsid w:val="0043727E"/>
    <w:rsid w:val="004478E8"/>
    <w:rsid w:val="00450880"/>
    <w:rsid w:val="0045164F"/>
    <w:rsid w:val="004519CC"/>
    <w:rsid w:val="00452816"/>
    <w:rsid w:val="00456098"/>
    <w:rsid w:val="00456AF6"/>
    <w:rsid w:val="00456C90"/>
    <w:rsid w:val="0046284F"/>
    <w:rsid w:val="00463D7D"/>
    <w:rsid w:val="00464701"/>
    <w:rsid w:val="00464FBC"/>
    <w:rsid w:val="00467FBD"/>
    <w:rsid w:val="004706C2"/>
    <w:rsid w:val="00470F8B"/>
    <w:rsid w:val="00471FD8"/>
    <w:rsid w:val="00472C35"/>
    <w:rsid w:val="00473155"/>
    <w:rsid w:val="004747F7"/>
    <w:rsid w:val="004757BA"/>
    <w:rsid w:val="0047672E"/>
    <w:rsid w:val="00477505"/>
    <w:rsid w:val="00491331"/>
    <w:rsid w:val="004924C4"/>
    <w:rsid w:val="00492C86"/>
    <w:rsid w:val="00495EAE"/>
    <w:rsid w:val="004A0E9C"/>
    <w:rsid w:val="004A1222"/>
    <w:rsid w:val="004A1C4C"/>
    <w:rsid w:val="004A1CAD"/>
    <w:rsid w:val="004A1D13"/>
    <w:rsid w:val="004A34F2"/>
    <w:rsid w:val="004A7623"/>
    <w:rsid w:val="004B1137"/>
    <w:rsid w:val="004B23DF"/>
    <w:rsid w:val="004B3CFC"/>
    <w:rsid w:val="004B6BB4"/>
    <w:rsid w:val="004C02B5"/>
    <w:rsid w:val="004C0953"/>
    <w:rsid w:val="004C21AB"/>
    <w:rsid w:val="004C2ECB"/>
    <w:rsid w:val="004C349F"/>
    <w:rsid w:val="004C43F1"/>
    <w:rsid w:val="004C45BA"/>
    <w:rsid w:val="004C4D01"/>
    <w:rsid w:val="004C6AE6"/>
    <w:rsid w:val="004C6B04"/>
    <w:rsid w:val="004D029F"/>
    <w:rsid w:val="004D13D6"/>
    <w:rsid w:val="004D2D82"/>
    <w:rsid w:val="004D3E27"/>
    <w:rsid w:val="004E2F02"/>
    <w:rsid w:val="004E345B"/>
    <w:rsid w:val="004E5D2D"/>
    <w:rsid w:val="004E5DF2"/>
    <w:rsid w:val="004F06E6"/>
    <w:rsid w:val="004F2310"/>
    <w:rsid w:val="004F4AC9"/>
    <w:rsid w:val="004F4FFB"/>
    <w:rsid w:val="004F573D"/>
    <w:rsid w:val="004F642E"/>
    <w:rsid w:val="00505212"/>
    <w:rsid w:val="005067E5"/>
    <w:rsid w:val="00510CD5"/>
    <w:rsid w:val="00516097"/>
    <w:rsid w:val="00516AE7"/>
    <w:rsid w:val="00521E60"/>
    <w:rsid w:val="00522103"/>
    <w:rsid w:val="00525A91"/>
    <w:rsid w:val="0053260E"/>
    <w:rsid w:val="00532982"/>
    <w:rsid w:val="00532D75"/>
    <w:rsid w:val="005365D8"/>
    <w:rsid w:val="00541B85"/>
    <w:rsid w:val="0054233E"/>
    <w:rsid w:val="00556D8B"/>
    <w:rsid w:val="005605CD"/>
    <w:rsid w:val="00561D94"/>
    <w:rsid w:val="00563459"/>
    <w:rsid w:val="0056578D"/>
    <w:rsid w:val="0056642D"/>
    <w:rsid w:val="00575F3A"/>
    <w:rsid w:val="00576030"/>
    <w:rsid w:val="00576535"/>
    <w:rsid w:val="00576788"/>
    <w:rsid w:val="00580633"/>
    <w:rsid w:val="0058235C"/>
    <w:rsid w:val="005860D2"/>
    <w:rsid w:val="00590D65"/>
    <w:rsid w:val="00593563"/>
    <w:rsid w:val="00595E13"/>
    <w:rsid w:val="005A08B7"/>
    <w:rsid w:val="005A0D08"/>
    <w:rsid w:val="005A0ECB"/>
    <w:rsid w:val="005A20DD"/>
    <w:rsid w:val="005A3946"/>
    <w:rsid w:val="005B23A5"/>
    <w:rsid w:val="005B3AD0"/>
    <w:rsid w:val="005B4589"/>
    <w:rsid w:val="005B66B4"/>
    <w:rsid w:val="005B77C3"/>
    <w:rsid w:val="005C18A0"/>
    <w:rsid w:val="005C5122"/>
    <w:rsid w:val="005D0908"/>
    <w:rsid w:val="005D16AB"/>
    <w:rsid w:val="005D3C7E"/>
    <w:rsid w:val="005D54A7"/>
    <w:rsid w:val="005E08C0"/>
    <w:rsid w:val="005E1253"/>
    <w:rsid w:val="005E199F"/>
    <w:rsid w:val="005E3037"/>
    <w:rsid w:val="005F1DA6"/>
    <w:rsid w:val="00603D95"/>
    <w:rsid w:val="00604DBF"/>
    <w:rsid w:val="00604E75"/>
    <w:rsid w:val="00607057"/>
    <w:rsid w:val="00613F52"/>
    <w:rsid w:val="0061456F"/>
    <w:rsid w:val="00614976"/>
    <w:rsid w:val="00616661"/>
    <w:rsid w:val="00617485"/>
    <w:rsid w:val="00617CB2"/>
    <w:rsid w:val="006210D1"/>
    <w:rsid w:val="00621FFE"/>
    <w:rsid w:val="0062315A"/>
    <w:rsid w:val="00623EB8"/>
    <w:rsid w:val="00624C5F"/>
    <w:rsid w:val="00625DFB"/>
    <w:rsid w:val="0063106A"/>
    <w:rsid w:val="0063376A"/>
    <w:rsid w:val="006346D3"/>
    <w:rsid w:val="00636523"/>
    <w:rsid w:val="0064082C"/>
    <w:rsid w:val="00650E7A"/>
    <w:rsid w:val="00651488"/>
    <w:rsid w:val="006520E8"/>
    <w:rsid w:val="00652AAA"/>
    <w:rsid w:val="0065709B"/>
    <w:rsid w:val="006572B4"/>
    <w:rsid w:val="00657AFA"/>
    <w:rsid w:val="006606BE"/>
    <w:rsid w:val="00661160"/>
    <w:rsid w:val="00661EFD"/>
    <w:rsid w:val="00662E7E"/>
    <w:rsid w:val="006643E9"/>
    <w:rsid w:val="00666489"/>
    <w:rsid w:val="00667125"/>
    <w:rsid w:val="006713B8"/>
    <w:rsid w:val="00673FEF"/>
    <w:rsid w:val="00675DFB"/>
    <w:rsid w:val="00676FAE"/>
    <w:rsid w:val="00677FDA"/>
    <w:rsid w:val="00680E21"/>
    <w:rsid w:val="00687801"/>
    <w:rsid w:val="00690E24"/>
    <w:rsid w:val="00693D0D"/>
    <w:rsid w:val="00695BFA"/>
    <w:rsid w:val="00696A37"/>
    <w:rsid w:val="006A2525"/>
    <w:rsid w:val="006A349D"/>
    <w:rsid w:val="006A3BD1"/>
    <w:rsid w:val="006A57B7"/>
    <w:rsid w:val="006A5B09"/>
    <w:rsid w:val="006A5B2F"/>
    <w:rsid w:val="006A5D3C"/>
    <w:rsid w:val="006A628C"/>
    <w:rsid w:val="006A6900"/>
    <w:rsid w:val="006B0279"/>
    <w:rsid w:val="006B10FB"/>
    <w:rsid w:val="006B1D26"/>
    <w:rsid w:val="006B23FC"/>
    <w:rsid w:val="006B341F"/>
    <w:rsid w:val="006B3C3B"/>
    <w:rsid w:val="006B5E5B"/>
    <w:rsid w:val="006C2AB1"/>
    <w:rsid w:val="006C4811"/>
    <w:rsid w:val="006C6E58"/>
    <w:rsid w:val="006D0658"/>
    <w:rsid w:val="006D3B84"/>
    <w:rsid w:val="006D660E"/>
    <w:rsid w:val="006D6C5D"/>
    <w:rsid w:val="006E1DEA"/>
    <w:rsid w:val="006E52CE"/>
    <w:rsid w:val="006E6429"/>
    <w:rsid w:val="006E6A5A"/>
    <w:rsid w:val="006F6485"/>
    <w:rsid w:val="006F7AC7"/>
    <w:rsid w:val="006F7C38"/>
    <w:rsid w:val="007028EE"/>
    <w:rsid w:val="00703182"/>
    <w:rsid w:val="00706ECA"/>
    <w:rsid w:val="00711A42"/>
    <w:rsid w:val="00711B91"/>
    <w:rsid w:val="00715D4E"/>
    <w:rsid w:val="00716A7D"/>
    <w:rsid w:val="00717451"/>
    <w:rsid w:val="00717B63"/>
    <w:rsid w:val="00717F0B"/>
    <w:rsid w:val="007206A8"/>
    <w:rsid w:val="00721E58"/>
    <w:rsid w:val="00734EF0"/>
    <w:rsid w:val="0073560B"/>
    <w:rsid w:val="00737DFB"/>
    <w:rsid w:val="00742FCE"/>
    <w:rsid w:val="00750FEA"/>
    <w:rsid w:val="0075331F"/>
    <w:rsid w:val="00756045"/>
    <w:rsid w:val="0076253D"/>
    <w:rsid w:val="007631FD"/>
    <w:rsid w:val="00766B14"/>
    <w:rsid w:val="00771C00"/>
    <w:rsid w:val="00774150"/>
    <w:rsid w:val="00774931"/>
    <w:rsid w:val="00774E14"/>
    <w:rsid w:val="00775A7D"/>
    <w:rsid w:val="0078260B"/>
    <w:rsid w:val="00783463"/>
    <w:rsid w:val="00791702"/>
    <w:rsid w:val="007918FD"/>
    <w:rsid w:val="00793263"/>
    <w:rsid w:val="007A0C10"/>
    <w:rsid w:val="007A16A3"/>
    <w:rsid w:val="007A6998"/>
    <w:rsid w:val="007B1562"/>
    <w:rsid w:val="007B1E2E"/>
    <w:rsid w:val="007B36BA"/>
    <w:rsid w:val="007B5FB0"/>
    <w:rsid w:val="007B66F0"/>
    <w:rsid w:val="007B746B"/>
    <w:rsid w:val="007B7797"/>
    <w:rsid w:val="007C11C8"/>
    <w:rsid w:val="007C19D3"/>
    <w:rsid w:val="007C1C3F"/>
    <w:rsid w:val="007C2B63"/>
    <w:rsid w:val="007C523A"/>
    <w:rsid w:val="007D0246"/>
    <w:rsid w:val="007D1373"/>
    <w:rsid w:val="007D4554"/>
    <w:rsid w:val="007D68F8"/>
    <w:rsid w:val="007E38D2"/>
    <w:rsid w:val="007E3E17"/>
    <w:rsid w:val="007E484B"/>
    <w:rsid w:val="007E75FD"/>
    <w:rsid w:val="007F1258"/>
    <w:rsid w:val="00801349"/>
    <w:rsid w:val="00802A0F"/>
    <w:rsid w:val="0081029B"/>
    <w:rsid w:val="008102FE"/>
    <w:rsid w:val="008146B5"/>
    <w:rsid w:val="00816607"/>
    <w:rsid w:val="00822860"/>
    <w:rsid w:val="00824C5E"/>
    <w:rsid w:val="00833335"/>
    <w:rsid w:val="008333FC"/>
    <w:rsid w:val="00835A42"/>
    <w:rsid w:val="0084010B"/>
    <w:rsid w:val="008443BB"/>
    <w:rsid w:val="00844B2C"/>
    <w:rsid w:val="00844C02"/>
    <w:rsid w:val="008564F3"/>
    <w:rsid w:val="00857228"/>
    <w:rsid w:val="00860723"/>
    <w:rsid w:val="00860C26"/>
    <w:rsid w:val="008613F0"/>
    <w:rsid w:val="008632A7"/>
    <w:rsid w:val="00864D7F"/>
    <w:rsid w:val="00872596"/>
    <w:rsid w:val="00876E96"/>
    <w:rsid w:val="00883A73"/>
    <w:rsid w:val="00884074"/>
    <w:rsid w:val="00884B23"/>
    <w:rsid w:val="008863AE"/>
    <w:rsid w:val="00886B20"/>
    <w:rsid w:val="0089064C"/>
    <w:rsid w:val="00890B04"/>
    <w:rsid w:val="008938F4"/>
    <w:rsid w:val="00893A56"/>
    <w:rsid w:val="008953B0"/>
    <w:rsid w:val="00895ACE"/>
    <w:rsid w:val="008A1235"/>
    <w:rsid w:val="008A2F82"/>
    <w:rsid w:val="008A3462"/>
    <w:rsid w:val="008A4497"/>
    <w:rsid w:val="008B195F"/>
    <w:rsid w:val="008B369A"/>
    <w:rsid w:val="008B614A"/>
    <w:rsid w:val="008B6CF1"/>
    <w:rsid w:val="008B6FC7"/>
    <w:rsid w:val="008B7110"/>
    <w:rsid w:val="008C21BF"/>
    <w:rsid w:val="008C728A"/>
    <w:rsid w:val="008D2CE3"/>
    <w:rsid w:val="008D3CF8"/>
    <w:rsid w:val="008D4AC2"/>
    <w:rsid w:val="008D62C5"/>
    <w:rsid w:val="008E19DB"/>
    <w:rsid w:val="008E30F5"/>
    <w:rsid w:val="008E35AE"/>
    <w:rsid w:val="008E4893"/>
    <w:rsid w:val="008E6F92"/>
    <w:rsid w:val="008F16CB"/>
    <w:rsid w:val="008F2D3C"/>
    <w:rsid w:val="008F337C"/>
    <w:rsid w:val="008F3BC4"/>
    <w:rsid w:val="008F48F7"/>
    <w:rsid w:val="008F4B87"/>
    <w:rsid w:val="008F5CF6"/>
    <w:rsid w:val="008F614C"/>
    <w:rsid w:val="009007EC"/>
    <w:rsid w:val="00900A69"/>
    <w:rsid w:val="00905732"/>
    <w:rsid w:val="009100E1"/>
    <w:rsid w:val="00910807"/>
    <w:rsid w:val="009121E4"/>
    <w:rsid w:val="00912C1E"/>
    <w:rsid w:val="0091569F"/>
    <w:rsid w:val="009167EB"/>
    <w:rsid w:val="00925517"/>
    <w:rsid w:val="00926262"/>
    <w:rsid w:val="00927B05"/>
    <w:rsid w:val="009350D8"/>
    <w:rsid w:val="00941953"/>
    <w:rsid w:val="00943407"/>
    <w:rsid w:val="00943BA1"/>
    <w:rsid w:val="00950533"/>
    <w:rsid w:val="0095263E"/>
    <w:rsid w:val="00953947"/>
    <w:rsid w:val="009544EB"/>
    <w:rsid w:val="009544FE"/>
    <w:rsid w:val="00955E4B"/>
    <w:rsid w:val="009607DE"/>
    <w:rsid w:val="00964C7D"/>
    <w:rsid w:val="00965DA8"/>
    <w:rsid w:val="0097706C"/>
    <w:rsid w:val="00977C77"/>
    <w:rsid w:val="00980EA5"/>
    <w:rsid w:val="0098168C"/>
    <w:rsid w:val="009823BA"/>
    <w:rsid w:val="009847B8"/>
    <w:rsid w:val="00984896"/>
    <w:rsid w:val="00985BB8"/>
    <w:rsid w:val="0098650B"/>
    <w:rsid w:val="00990EF9"/>
    <w:rsid w:val="009A19F6"/>
    <w:rsid w:val="009A1BDF"/>
    <w:rsid w:val="009A4A6A"/>
    <w:rsid w:val="009B2DFF"/>
    <w:rsid w:val="009B7F81"/>
    <w:rsid w:val="009C3DFD"/>
    <w:rsid w:val="009C593E"/>
    <w:rsid w:val="009C61D3"/>
    <w:rsid w:val="009C77D4"/>
    <w:rsid w:val="009C7BF8"/>
    <w:rsid w:val="009D4C8D"/>
    <w:rsid w:val="009E11F1"/>
    <w:rsid w:val="009E1E02"/>
    <w:rsid w:val="009E737F"/>
    <w:rsid w:val="009F1800"/>
    <w:rsid w:val="009F2EAF"/>
    <w:rsid w:val="009F3362"/>
    <w:rsid w:val="009F61A3"/>
    <w:rsid w:val="009F71FD"/>
    <w:rsid w:val="00A00561"/>
    <w:rsid w:val="00A0245D"/>
    <w:rsid w:val="00A032B7"/>
    <w:rsid w:val="00A055D8"/>
    <w:rsid w:val="00A05809"/>
    <w:rsid w:val="00A06CE5"/>
    <w:rsid w:val="00A10544"/>
    <w:rsid w:val="00A15F1D"/>
    <w:rsid w:val="00A21894"/>
    <w:rsid w:val="00A23A83"/>
    <w:rsid w:val="00A241B8"/>
    <w:rsid w:val="00A24B7C"/>
    <w:rsid w:val="00A34EFB"/>
    <w:rsid w:val="00A3712E"/>
    <w:rsid w:val="00A411DA"/>
    <w:rsid w:val="00A44F5A"/>
    <w:rsid w:val="00A51059"/>
    <w:rsid w:val="00A51931"/>
    <w:rsid w:val="00A55366"/>
    <w:rsid w:val="00A5655A"/>
    <w:rsid w:val="00A614E1"/>
    <w:rsid w:val="00A63AA7"/>
    <w:rsid w:val="00A70147"/>
    <w:rsid w:val="00A750A9"/>
    <w:rsid w:val="00A773D0"/>
    <w:rsid w:val="00A86A51"/>
    <w:rsid w:val="00A933A5"/>
    <w:rsid w:val="00A93D99"/>
    <w:rsid w:val="00A94180"/>
    <w:rsid w:val="00A94742"/>
    <w:rsid w:val="00A94EFF"/>
    <w:rsid w:val="00A957AB"/>
    <w:rsid w:val="00A97C0E"/>
    <w:rsid w:val="00AA0BC8"/>
    <w:rsid w:val="00AA1144"/>
    <w:rsid w:val="00AA1B5C"/>
    <w:rsid w:val="00AA5EE2"/>
    <w:rsid w:val="00AA6FC0"/>
    <w:rsid w:val="00AB057B"/>
    <w:rsid w:val="00AB4165"/>
    <w:rsid w:val="00AB5174"/>
    <w:rsid w:val="00AB7DB0"/>
    <w:rsid w:val="00AC3F2D"/>
    <w:rsid w:val="00AC412A"/>
    <w:rsid w:val="00AD0540"/>
    <w:rsid w:val="00AD168E"/>
    <w:rsid w:val="00AD1932"/>
    <w:rsid w:val="00AD75C1"/>
    <w:rsid w:val="00AD7D93"/>
    <w:rsid w:val="00AE2B99"/>
    <w:rsid w:val="00AF19BC"/>
    <w:rsid w:val="00AF64AA"/>
    <w:rsid w:val="00B0245F"/>
    <w:rsid w:val="00B02B6F"/>
    <w:rsid w:val="00B05950"/>
    <w:rsid w:val="00B07321"/>
    <w:rsid w:val="00B1093B"/>
    <w:rsid w:val="00B132F5"/>
    <w:rsid w:val="00B15702"/>
    <w:rsid w:val="00B175BB"/>
    <w:rsid w:val="00B17742"/>
    <w:rsid w:val="00B177CA"/>
    <w:rsid w:val="00B20FBC"/>
    <w:rsid w:val="00B2104F"/>
    <w:rsid w:val="00B2335E"/>
    <w:rsid w:val="00B261BA"/>
    <w:rsid w:val="00B279C2"/>
    <w:rsid w:val="00B27F22"/>
    <w:rsid w:val="00B322C0"/>
    <w:rsid w:val="00B376E6"/>
    <w:rsid w:val="00B427AA"/>
    <w:rsid w:val="00B467D8"/>
    <w:rsid w:val="00B46D49"/>
    <w:rsid w:val="00B52056"/>
    <w:rsid w:val="00B532C3"/>
    <w:rsid w:val="00B537C4"/>
    <w:rsid w:val="00B5521E"/>
    <w:rsid w:val="00B55A52"/>
    <w:rsid w:val="00B61E63"/>
    <w:rsid w:val="00B629B2"/>
    <w:rsid w:val="00B63850"/>
    <w:rsid w:val="00B643B3"/>
    <w:rsid w:val="00B658B3"/>
    <w:rsid w:val="00B70875"/>
    <w:rsid w:val="00B71CC9"/>
    <w:rsid w:val="00B73C36"/>
    <w:rsid w:val="00B74589"/>
    <w:rsid w:val="00B7554E"/>
    <w:rsid w:val="00B802C5"/>
    <w:rsid w:val="00B804D2"/>
    <w:rsid w:val="00B80B12"/>
    <w:rsid w:val="00B83AC6"/>
    <w:rsid w:val="00B965FF"/>
    <w:rsid w:val="00B97F8C"/>
    <w:rsid w:val="00BA057E"/>
    <w:rsid w:val="00BA6040"/>
    <w:rsid w:val="00BA647A"/>
    <w:rsid w:val="00BB0054"/>
    <w:rsid w:val="00BB1C98"/>
    <w:rsid w:val="00BB4BF8"/>
    <w:rsid w:val="00BB69C3"/>
    <w:rsid w:val="00BB7470"/>
    <w:rsid w:val="00BC15D2"/>
    <w:rsid w:val="00BC1F18"/>
    <w:rsid w:val="00BC20FE"/>
    <w:rsid w:val="00BC3250"/>
    <w:rsid w:val="00BC6358"/>
    <w:rsid w:val="00BD0120"/>
    <w:rsid w:val="00BD08BF"/>
    <w:rsid w:val="00BD293E"/>
    <w:rsid w:val="00BD3713"/>
    <w:rsid w:val="00BD3C03"/>
    <w:rsid w:val="00BD4199"/>
    <w:rsid w:val="00BD5D73"/>
    <w:rsid w:val="00BD6801"/>
    <w:rsid w:val="00BE3427"/>
    <w:rsid w:val="00BF429F"/>
    <w:rsid w:val="00BF6A00"/>
    <w:rsid w:val="00C05474"/>
    <w:rsid w:val="00C11140"/>
    <w:rsid w:val="00C1397C"/>
    <w:rsid w:val="00C1538C"/>
    <w:rsid w:val="00C17E7E"/>
    <w:rsid w:val="00C206C6"/>
    <w:rsid w:val="00C216D1"/>
    <w:rsid w:val="00C23427"/>
    <w:rsid w:val="00C23D21"/>
    <w:rsid w:val="00C24DD1"/>
    <w:rsid w:val="00C27C8F"/>
    <w:rsid w:val="00C31FCC"/>
    <w:rsid w:val="00C32E22"/>
    <w:rsid w:val="00C3412A"/>
    <w:rsid w:val="00C35AEE"/>
    <w:rsid w:val="00C36E52"/>
    <w:rsid w:val="00C40813"/>
    <w:rsid w:val="00C41358"/>
    <w:rsid w:val="00C416D5"/>
    <w:rsid w:val="00C41CAE"/>
    <w:rsid w:val="00C437BC"/>
    <w:rsid w:val="00C44712"/>
    <w:rsid w:val="00C46158"/>
    <w:rsid w:val="00C54D71"/>
    <w:rsid w:val="00C55FAB"/>
    <w:rsid w:val="00C569C9"/>
    <w:rsid w:val="00C604A1"/>
    <w:rsid w:val="00C63459"/>
    <w:rsid w:val="00C64915"/>
    <w:rsid w:val="00C67336"/>
    <w:rsid w:val="00C70A1B"/>
    <w:rsid w:val="00C70E0A"/>
    <w:rsid w:val="00C81844"/>
    <w:rsid w:val="00C8400B"/>
    <w:rsid w:val="00C8405B"/>
    <w:rsid w:val="00C8588D"/>
    <w:rsid w:val="00C86B63"/>
    <w:rsid w:val="00C905A4"/>
    <w:rsid w:val="00C9067D"/>
    <w:rsid w:val="00C97DC5"/>
    <w:rsid w:val="00CA1076"/>
    <w:rsid w:val="00CA2FF6"/>
    <w:rsid w:val="00CA38EC"/>
    <w:rsid w:val="00CA4F3A"/>
    <w:rsid w:val="00CA5A13"/>
    <w:rsid w:val="00CA5B91"/>
    <w:rsid w:val="00CB2D1D"/>
    <w:rsid w:val="00CB465F"/>
    <w:rsid w:val="00CB523F"/>
    <w:rsid w:val="00CB6A2B"/>
    <w:rsid w:val="00CB7E88"/>
    <w:rsid w:val="00CC2B06"/>
    <w:rsid w:val="00CC797A"/>
    <w:rsid w:val="00CD453F"/>
    <w:rsid w:val="00CD4995"/>
    <w:rsid w:val="00CD71EA"/>
    <w:rsid w:val="00CE204D"/>
    <w:rsid w:val="00CE2823"/>
    <w:rsid w:val="00CE4841"/>
    <w:rsid w:val="00CE68B3"/>
    <w:rsid w:val="00CF109E"/>
    <w:rsid w:val="00CF115C"/>
    <w:rsid w:val="00CF216B"/>
    <w:rsid w:val="00CF3BE7"/>
    <w:rsid w:val="00CF7218"/>
    <w:rsid w:val="00D00D75"/>
    <w:rsid w:val="00D03B17"/>
    <w:rsid w:val="00D0492D"/>
    <w:rsid w:val="00D04B4C"/>
    <w:rsid w:val="00D055B0"/>
    <w:rsid w:val="00D07430"/>
    <w:rsid w:val="00D12149"/>
    <w:rsid w:val="00D160EE"/>
    <w:rsid w:val="00D16A0D"/>
    <w:rsid w:val="00D17657"/>
    <w:rsid w:val="00D21B32"/>
    <w:rsid w:val="00D23D8F"/>
    <w:rsid w:val="00D23DBE"/>
    <w:rsid w:val="00D330BA"/>
    <w:rsid w:val="00D35A8D"/>
    <w:rsid w:val="00D35BCD"/>
    <w:rsid w:val="00D35F5C"/>
    <w:rsid w:val="00D40091"/>
    <w:rsid w:val="00D41C0F"/>
    <w:rsid w:val="00D43957"/>
    <w:rsid w:val="00D46638"/>
    <w:rsid w:val="00D46A30"/>
    <w:rsid w:val="00D4745E"/>
    <w:rsid w:val="00D514F9"/>
    <w:rsid w:val="00D546DA"/>
    <w:rsid w:val="00D568A0"/>
    <w:rsid w:val="00D612FA"/>
    <w:rsid w:val="00D62B6F"/>
    <w:rsid w:val="00D64555"/>
    <w:rsid w:val="00D64724"/>
    <w:rsid w:val="00D6599F"/>
    <w:rsid w:val="00D66115"/>
    <w:rsid w:val="00D70C00"/>
    <w:rsid w:val="00D73406"/>
    <w:rsid w:val="00D747FC"/>
    <w:rsid w:val="00D811A7"/>
    <w:rsid w:val="00D817F9"/>
    <w:rsid w:val="00D8363D"/>
    <w:rsid w:val="00D840C2"/>
    <w:rsid w:val="00D85327"/>
    <w:rsid w:val="00D85C74"/>
    <w:rsid w:val="00D86269"/>
    <w:rsid w:val="00D876A9"/>
    <w:rsid w:val="00D952FC"/>
    <w:rsid w:val="00D95DAE"/>
    <w:rsid w:val="00D97213"/>
    <w:rsid w:val="00D97E0C"/>
    <w:rsid w:val="00DA3795"/>
    <w:rsid w:val="00DA3800"/>
    <w:rsid w:val="00DC1902"/>
    <w:rsid w:val="00DC53C6"/>
    <w:rsid w:val="00DC7D94"/>
    <w:rsid w:val="00DD0FA9"/>
    <w:rsid w:val="00DD3352"/>
    <w:rsid w:val="00DD64BF"/>
    <w:rsid w:val="00DD7E38"/>
    <w:rsid w:val="00DE2E15"/>
    <w:rsid w:val="00DE3362"/>
    <w:rsid w:val="00DE4E15"/>
    <w:rsid w:val="00DE7974"/>
    <w:rsid w:val="00DF18DA"/>
    <w:rsid w:val="00DF3202"/>
    <w:rsid w:val="00DF5A65"/>
    <w:rsid w:val="00E007C6"/>
    <w:rsid w:val="00E05E89"/>
    <w:rsid w:val="00E1106D"/>
    <w:rsid w:val="00E1342E"/>
    <w:rsid w:val="00E13564"/>
    <w:rsid w:val="00E138A4"/>
    <w:rsid w:val="00E225D2"/>
    <w:rsid w:val="00E231B3"/>
    <w:rsid w:val="00E30958"/>
    <w:rsid w:val="00E32E34"/>
    <w:rsid w:val="00E3534F"/>
    <w:rsid w:val="00E3637F"/>
    <w:rsid w:val="00E40868"/>
    <w:rsid w:val="00E41E39"/>
    <w:rsid w:val="00E4538F"/>
    <w:rsid w:val="00E479C4"/>
    <w:rsid w:val="00E51D48"/>
    <w:rsid w:val="00E529A3"/>
    <w:rsid w:val="00E60731"/>
    <w:rsid w:val="00E64EDB"/>
    <w:rsid w:val="00E6752F"/>
    <w:rsid w:val="00E71B3C"/>
    <w:rsid w:val="00E753EB"/>
    <w:rsid w:val="00E75F5E"/>
    <w:rsid w:val="00E8187C"/>
    <w:rsid w:val="00E92BA6"/>
    <w:rsid w:val="00E92F07"/>
    <w:rsid w:val="00EA1701"/>
    <w:rsid w:val="00EA213C"/>
    <w:rsid w:val="00EB1A6C"/>
    <w:rsid w:val="00EB340C"/>
    <w:rsid w:val="00EB4140"/>
    <w:rsid w:val="00EB6586"/>
    <w:rsid w:val="00EB7B53"/>
    <w:rsid w:val="00EC4800"/>
    <w:rsid w:val="00EC4A83"/>
    <w:rsid w:val="00EC71EB"/>
    <w:rsid w:val="00ED0BB0"/>
    <w:rsid w:val="00ED0FBE"/>
    <w:rsid w:val="00ED10D6"/>
    <w:rsid w:val="00ED115F"/>
    <w:rsid w:val="00ED39DC"/>
    <w:rsid w:val="00ED556F"/>
    <w:rsid w:val="00ED5DCC"/>
    <w:rsid w:val="00ED6F7D"/>
    <w:rsid w:val="00EE089B"/>
    <w:rsid w:val="00EE293F"/>
    <w:rsid w:val="00EE376B"/>
    <w:rsid w:val="00EE452D"/>
    <w:rsid w:val="00EE7FEB"/>
    <w:rsid w:val="00EF07F0"/>
    <w:rsid w:val="00EF14AE"/>
    <w:rsid w:val="00EF35EA"/>
    <w:rsid w:val="00EF36C5"/>
    <w:rsid w:val="00F00F31"/>
    <w:rsid w:val="00F01460"/>
    <w:rsid w:val="00F046F7"/>
    <w:rsid w:val="00F04930"/>
    <w:rsid w:val="00F103F0"/>
    <w:rsid w:val="00F106BE"/>
    <w:rsid w:val="00F145B8"/>
    <w:rsid w:val="00F2052F"/>
    <w:rsid w:val="00F22FE8"/>
    <w:rsid w:val="00F23EDB"/>
    <w:rsid w:val="00F2421A"/>
    <w:rsid w:val="00F263EE"/>
    <w:rsid w:val="00F32D1E"/>
    <w:rsid w:val="00F350BE"/>
    <w:rsid w:val="00F353FD"/>
    <w:rsid w:val="00F37130"/>
    <w:rsid w:val="00F40A02"/>
    <w:rsid w:val="00F40F74"/>
    <w:rsid w:val="00F44EF1"/>
    <w:rsid w:val="00F47949"/>
    <w:rsid w:val="00F47B32"/>
    <w:rsid w:val="00F5058E"/>
    <w:rsid w:val="00F51ED8"/>
    <w:rsid w:val="00F574A7"/>
    <w:rsid w:val="00F57D4C"/>
    <w:rsid w:val="00F57D98"/>
    <w:rsid w:val="00F628B7"/>
    <w:rsid w:val="00F651DA"/>
    <w:rsid w:val="00F65C76"/>
    <w:rsid w:val="00F6733E"/>
    <w:rsid w:val="00F72DAF"/>
    <w:rsid w:val="00F73797"/>
    <w:rsid w:val="00F83EA7"/>
    <w:rsid w:val="00F84646"/>
    <w:rsid w:val="00F8685F"/>
    <w:rsid w:val="00F86DC1"/>
    <w:rsid w:val="00F91743"/>
    <w:rsid w:val="00F9252C"/>
    <w:rsid w:val="00F93AB5"/>
    <w:rsid w:val="00F93B70"/>
    <w:rsid w:val="00F95781"/>
    <w:rsid w:val="00F973FF"/>
    <w:rsid w:val="00FA011B"/>
    <w:rsid w:val="00FA4B53"/>
    <w:rsid w:val="00FA5D27"/>
    <w:rsid w:val="00FB1A9F"/>
    <w:rsid w:val="00FB22EC"/>
    <w:rsid w:val="00FB2928"/>
    <w:rsid w:val="00FB301E"/>
    <w:rsid w:val="00FC10D4"/>
    <w:rsid w:val="00FC1E08"/>
    <w:rsid w:val="00FC2118"/>
    <w:rsid w:val="00FC2172"/>
    <w:rsid w:val="00FC2A20"/>
    <w:rsid w:val="00FC7651"/>
    <w:rsid w:val="00FC7698"/>
    <w:rsid w:val="00FC7A6B"/>
    <w:rsid w:val="00FD3753"/>
    <w:rsid w:val="00FD641B"/>
    <w:rsid w:val="00FE0CB7"/>
    <w:rsid w:val="00FE5C29"/>
    <w:rsid w:val="00FE65E2"/>
    <w:rsid w:val="00FF0DAD"/>
    <w:rsid w:val="00FF22C5"/>
    <w:rsid w:val="00FF6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9E6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0"/>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E32E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C10"/>
    <w:rPr>
      <w:color w:val="0563C1" w:themeColor="hyperlink"/>
      <w:u w:val="single"/>
    </w:rPr>
  </w:style>
  <w:style w:type="paragraph" w:styleId="CommentText">
    <w:name w:val="annotation text"/>
    <w:basedOn w:val="Normal"/>
    <w:link w:val="CommentTextChar"/>
    <w:uiPriority w:val="99"/>
    <w:unhideWhenUsed/>
    <w:rsid w:val="007A0C10"/>
    <w:rPr>
      <w:sz w:val="20"/>
      <w:szCs w:val="20"/>
    </w:rPr>
  </w:style>
  <w:style w:type="character" w:customStyle="1" w:styleId="CommentTextChar">
    <w:name w:val="Comment Text Char"/>
    <w:basedOn w:val="DefaultParagraphFont"/>
    <w:link w:val="CommentText"/>
    <w:uiPriority w:val="99"/>
    <w:rsid w:val="007A0C10"/>
    <w:rPr>
      <w:rFonts w:eastAsia="Times New Roman" w:cs="Times New Roman"/>
      <w:kern w:val="0"/>
      <w:sz w:val="20"/>
      <w:szCs w:val="20"/>
      <w:lang w:val="lv-LV" w:eastAsia="ru-RU"/>
      <w14:ligatures w14:val="none"/>
    </w:rPr>
  </w:style>
  <w:style w:type="paragraph" w:styleId="BodyText2">
    <w:name w:val="Body Text 2"/>
    <w:basedOn w:val="Normal"/>
    <w:link w:val="BodyText2Char"/>
    <w:semiHidden/>
    <w:unhideWhenUsed/>
    <w:rsid w:val="007A0C10"/>
    <w:pPr>
      <w:spacing w:after="120" w:line="480" w:lineRule="auto"/>
    </w:pPr>
    <w:rPr>
      <w:lang w:val="x-none"/>
    </w:rPr>
  </w:style>
  <w:style w:type="character" w:customStyle="1" w:styleId="BodyText2Char">
    <w:name w:val="Body Text 2 Char"/>
    <w:basedOn w:val="DefaultParagraphFont"/>
    <w:link w:val="BodyText2"/>
    <w:semiHidden/>
    <w:rsid w:val="007A0C10"/>
    <w:rPr>
      <w:rFonts w:eastAsia="Times New Roman" w:cs="Times New Roman"/>
      <w:kern w:val="0"/>
      <w:szCs w:val="24"/>
      <w:lang w:val="x-none" w:eastAsia="ru-RU"/>
      <w14:ligatures w14:val="none"/>
    </w:rPr>
  </w:style>
  <w:style w:type="paragraph" w:styleId="ListParagraph">
    <w:name w:val="List Paragraph"/>
    <w:basedOn w:val="Normal"/>
    <w:uiPriority w:val="34"/>
    <w:qFormat/>
    <w:rsid w:val="007A0C10"/>
    <w:pPr>
      <w:ind w:left="720"/>
      <w:contextualSpacing/>
    </w:pPr>
  </w:style>
  <w:style w:type="character" w:styleId="CommentReference">
    <w:name w:val="annotation reference"/>
    <w:basedOn w:val="DefaultParagraphFont"/>
    <w:uiPriority w:val="99"/>
    <w:semiHidden/>
    <w:unhideWhenUsed/>
    <w:rsid w:val="007A0C10"/>
    <w:rPr>
      <w:sz w:val="16"/>
      <w:szCs w:val="16"/>
    </w:rPr>
  </w:style>
  <w:style w:type="table" w:styleId="TableGrid">
    <w:name w:val="Table Grid"/>
    <w:basedOn w:val="TableNormal"/>
    <w:uiPriority w:val="39"/>
    <w:rsid w:val="007A0C10"/>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2D3"/>
    <w:pPr>
      <w:tabs>
        <w:tab w:val="center" w:pos="4513"/>
        <w:tab w:val="right" w:pos="9026"/>
      </w:tabs>
    </w:pPr>
  </w:style>
  <w:style w:type="character" w:customStyle="1" w:styleId="HeaderChar">
    <w:name w:val="Header Char"/>
    <w:basedOn w:val="DefaultParagraphFont"/>
    <w:link w:val="Header"/>
    <w:uiPriority w:val="99"/>
    <w:rsid w:val="002332D3"/>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2332D3"/>
    <w:pPr>
      <w:tabs>
        <w:tab w:val="center" w:pos="4513"/>
        <w:tab w:val="right" w:pos="9026"/>
      </w:tabs>
    </w:pPr>
  </w:style>
  <w:style w:type="character" w:customStyle="1" w:styleId="FooterChar">
    <w:name w:val="Footer Char"/>
    <w:basedOn w:val="DefaultParagraphFont"/>
    <w:link w:val="Footer"/>
    <w:uiPriority w:val="99"/>
    <w:rsid w:val="002332D3"/>
    <w:rPr>
      <w:rFonts w:eastAsia="Times New Roman" w:cs="Times New Roman"/>
      <w:kern w:val="0"/>
      <w:szCs w:val="24"/>
      <w:lang w:val="lv-LV" w:eastAsia="ru-RU"/>
      <w14:ligatures w14:val="none"/>
    </w:rPr>
  </w:style>
  <w:style w:type="paragraph" w:styleId="CommentSubject">
    <w:name w:val="annotation subject"/>
    <w:basedOn w:val="CommentText"/>
    <w:next w:val="CommentText"/>
    <w:link w:val="CommentSubjectChar"/>
    <w:uiPriority w:val="99"/>
    <w:semiHidden/>
    <w:unhideWhenUsed/>
    <w:rsid w:val="00AA1B5C"/>
    <w:rPr>
      <w:b/>
      <w:bCs/>
    </w:rPr>
  </w:style>
  <w:style w:type="character" w:customStyle="1" w:styleId="CommentSubjectChar">
    <w:name w:val="Comment Subject Char"/>
    <w:basedOn w:val="CommentTextChar"/>
    <w:link w:val="CommentSubject"/>
    <w:uiPriority w:val="99"/>
    <w:semiHidden/>
    <w:rsid w:val="00AA1B5C"/>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EC71EB"/>
    <w:rPr>
      <w:color w:val="605E5C"/>
      <w:shd w:val="clear" w:color="auto" w:fill="E1DFDD"/>
    </w:rPr>
  </w:style>
  <w:style w:type="character" w:styleId="FollowedHyperlink">
    <w:name w:val="FollowedHyperlink"/>
    <w:basedOn w:val="DefaultParagraphFont"/>
    <w:uiPriority w:val="99"/>
    <w:semiHidden/>
    <w:unhideWhenUsed/>
    <w:rsid w:val="00EC71EB"/>
    <w:rPr>
      <w:color w:val="954F72" w:themeColor="followedHyperlink"/>
      <w:u w:val="single"/>
    </w:rPr>
  </w:style>
  <w:style w:type="paragraph" w:styleId="Revision">
    <w:name w:val="Revision"/>
    <w:hidden/>
    <w:uiPriority w:val="99"/>
    <w:semiHidden/>
    <w:rsid w:val="00E64EDB"/>
    <w:pPr>
      <w:spacing w:after="0" w:line="240" w:lineRule="auto"/>
    </w:pPr>
    <w:rPr>
      <w:rFonts w:eastAsia="Times New Roman" w:cs="Times New Roman"/>
      <w:kern w:val="0"/>
      <w:szCs w:val="24"/>
      <w:lang w:val="lv-LV" w:eastAsia="ru-RU"/>
      <w14:ligatures w14:val="none"/>
    </w:rPr>
  </w:style>
  <w:style w:type="paragraph" w:styleId="ListBullet">
    <w:name w:val="List Bullet"/>
    <w:basedOn w:val="Normal"/>
    <w:uiPriority w:val="99"/>
    <w:unhideWhenUsed/>
    <w:rsid w:val="00F47949"/>
    <w:pPr>
      <w:numPr>
        <w:numId w:val="4"/>
      </w:numPr>
      <w:spacing w:after="200" w:line="276" w:lineRule="auto"/>
      <w:contextualSpacing/>
    </w:pPr>
    <w:rPr>
      <w:rFonts w:eastAsiaTheme="minorHAnsi" w:cstheme="minorBidi"/>
      <w:szCs w:val="22"/>
      <w:lang w:eastAsia="en-US"/>
    </w:rPr>
  </w:style>
  <w:style w:type="character" w:styleId="Strong">
    <w:name w:val="Strong"/>
    <w:qFormat/>
    <w:rsid w:val="00D546DA"/>
    <w:rPr>
      <w:b/>
      <w:bCs/>
    </w:rPr>
  </w:style>
  <w:style w:type="paragraph" w:styleId="NoSpacing">
    <w:name w:val="No Spacing"/>
    <w:uiPriority w:val="1"/>
    <w:qFormat/>
    <w:rsid w:val="00D546DA"/>
    <w:pPr>
      <w:spacing w:after="0" w:line="240" w:lineRule="auto"/>
    </w:pPr>
    <w:rPr>
      <w:rFonts w:eastAsia="Calibri" w:cs="Times New Roman"/>
      <w:kern w:val="0"/>
      <w:szCs w:val="24"/>
      <w:lang w:val="lv-LV"/>
      <w14:ligatures w14:val="none"/>
    </w:rPr>
  </w:style>
  <w:style w:type="character" w:customStyle="1" w:styleId="Heading1Char">
    <w:name w:val="Heading 1 Char"/>
    <w:basedOn w:val="DefaultParagraphFont"/>
    <w:link w:val="Heading1"/>
    <w:uiPriority w:val="9"/>
    <w:rsid w:val="00E32E34"/>
    <w:rPr>
      <w:rFonts w:asciiTheme="majorHAnsi" w:eastAsiaTheme="majorEastAsia" w:hAnsiTheme="majorHAnsi" w:cstheme="majorBidi"/>
      <w:color w:val="2F5496" w:themeColor="accent1" w:themeShade="BF"/>
      <w:kern w:val="0"/>
      <w:sz w:val="32"/>
      <w:szCs w:val="32"/>
      <w:lang w:val="lv-LV" w:eastAsia="ru-RU"/>
      <w14:ligatures w14:val="none"/>
    </w:rPr>
  </w:style>
  <w:style w:type="paragraph" w:styleId="FootnoteText">
    <w:name w:val="footnote text"/>
    <w:aliases w:val="fn,Footnote,Fußnote"/>
    <w:basedOn w:val="Normal"/>
    <w:link w:val="FootnoteTextChar"/>
    <w:uiPriority w:val="99"/>
    <w:rsid w:val="003227CF"/>
    <w:rPr>
      <w:sz w:val="20"/>
      <w:szCs w:val="20"/>
      <w:lang w:eastAsia="lv-LV"/>
    </w:rPr>
  </w:style>
  <w:style w:type="character" w:customStyle="1" w:styleId="FootnoteTextChar">
    <w:name w:val="Footnote Text Char"/>
    <w:aliases w:val="fn Char,Footnote Char,Fußnote Char"/>
    <w:basedOn w:val="DefaultParagraphFont"/>
    <w:link w:val="FootnoteText"/>
    <w:uiPriority w:val="99"/>
    <w:rsid w:val="003227CF"/>
    <w:rPr>
      <w:rFonts w:eastAsia="Times New Roman" w:cs="Times New Roman"/>
      <w:kern w:val="0"/>
      <w:sz w:val="20"/>
      <w:szCs w:val="20"/>
      <w:lang w:val="lv-LV" w:eastAsia="lv-LV"/>
      <w14:ligatures w14:val="none"/>
    </w:rPr>
  </w:style>
  <w:style w:type="character" w:styleId="FootnoteReference">
    <w:name w:val="footnote reference"/>
    <w:aliases w:val="Footnote Reference Number,Footnote symbol"/>
    <w:uiPriority w:val="99"/>
    <w:rsid w:val="003227CF"/>
    <w:rPr>
      <w:vertAlign w:val="superscript"/>
    </w:rPr>
  </w:style>
  <w:style w:type="paragraph" w:customStyle="1" w:styleId="tv213">
    <w:name w:val="tv213"/>
    <w:basedOn w:val="Normal"/>
    <w:rsid w:val="003227C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96575">
      <w:bodyDiv w:val="1"/>
      <w:marLeft w:val="0"/>
      <w:marRight w:val="0"/>
      <w:marTop w:val="0"/>
      <w:marBottom w:val="0"/>
      <w:divBdr>
        <w:top w:val="none" w:sz="0" w:space="0" w:color="auto"/>
        <w:left w:val="none" w:sz="0" w:space="0" w:color="auto"/>
        <w:bottom w:val="none" w:sz="0" w:space="0" w:color="auto"/>
        <w:right w:val="none" w:sz="0" w:space="0" w:color="auto"/>
      </w:divBdr>
    </w:div>
    <w:div w:id="456488862">
      <w:bodyDiv w:val="1"/>
      <w:marLeft w:val="0"/>
      <w:marRight w:val="0"/>
      <w:marTop w:val="0"/>
      <w:marBottom w:val="0"/>
      <w:divBdr>
        <w:top w:val="none" w:sz="0" w:space="0" w:color="auto"/>
        <w:left w:val="none" w:sz="0" w:space="0" w:color="auto"/>
        <w:bottom w:val="none" w:sz="0" w:space="0" w:color="auto"/>
        <w:right w:val="none" w:sz="0" w:space="0" w:color="auto"/>
      </w:divBdr>
    </w:div>
    <w:div w:id="1100638652">
      <w:bodyDiv w:val="1"/>
      <w:marLeft w:val="0"/>
      <w:marRight w:val="0"/>
      <w:marTop w:val="0"/>
      <w:marBottom w:val="0"/>
      <w:divBdr>
        <w:top w:val="none" w:sz="0" w:space="0" w:color="auto"/>
        <w:left w:val="none" w:sz="0" w:space="0" w:color="auto"/>
        <w:bottom w:val="none" w:sz="0" w:space="0" w:color="auto"/>
        <w:right w:val="none" w:sz="0" w:space="0" w:color="auto"/>
      </w:divBdr>
    </w:div>
    <w:div w:id="1148593953">
      <w:bodyDiv w:val="1"/>
      <w:marLeft w:val="0"/>
      <w:marRight w:val="0"/>
      <w:marTop w:val="0"/>
      <w:marBottom w:val="0"/>
      <w:divBdr>
        <w:top w:val="none" w:sz="0" w:space="0" w:color="auto"/>
        <w:left w:val="none" w:sz="0" w:space="0" w:color="auto"/>
        <w:bottom w:val="none" w:sz="0" w:space="0" w:color="auto"/>
        <w:right w:val="none" w:sz="0" w:space="0" w:color="auto"/>
      </w:divBdr>
    </w:div>
    <w:div w:id="1293680710">
      <w:bodyDiv w:val="1"/>
      <w:marLeft w:val="0"/>
      <w:marRight w:val="0"/>
      <w:marTop w:val="0"/>
      <w:marBottom w:val="0"/>
      <w:divBdr>
        <w:top w:val="none" w:sz="0" w:space="0" w:color="auto"/>
        <w:left w:val="none" w:sz="0" w:space="0" w:color="auto"/>
        <w:bottom w:val="none" w:sz="0" w:space="0" w:color="auto"/>
        <w:right w:val="none" w:sz="0" w:space="0" w:color="auto"/>
      </w:divBdr>
    </w:div>
    <w:div w:id="1355883295">
      <w:bodyDiv w:val="1"/>
      <w:marLeft w:val="0"/>
      <w:marRight w:val="0"/>
      <w:marTop w:val="0"/>
      <w:marBottom w:val="0"/>
      <w:divBdr>
        <w:top w:val="none" w:sz="0" w:space="0" w:color="auto"/>
        <w:left w:val="none" w:sz="0" w:space="0" w:color="auto"/>
        <w:bottom w:val="none" w:sz="0" w:space="0" w:color="auto"/>
        <w:right w:val="none" w:sz="0" w:space="0" w:color="auto"/>
      </w:divBdr>
      <w:divsChild>
        <w:div w:id="1667246082">
          <w:marLeft w:val="0"/>
          <w:marRight w:val="0"/>
          <w:marTop w:val="0"/>
          <w:marBottom w:val="0"/>
          <w:divBdr>
            <w:top w:val="none" w:sz="0" w:space="0" w:color="auto"/>
            <w:left w:val="none" w:sz="0" w:space="0" w:color="auto"/>
            <w:bottom w:val="none" w:sz="0" w:space="0" w:color="auto"/>
            <w:right w:val="none" w:sz="0" w:space="0" w:color="auto"/>
          </w:divBdr>
          <w:divsChild>
            <w:div w:id="330644120">
              <w:marLeft w:val="0"/>
              <w:marRight w:val="0"/>
              <w:marTop w:val="0"/>
              <w:marBottom w:val="0"/>
              <w:divBdr>
                <w:top w:val="none" w:sz="0" w:space="0" w:color="auto"/>
                <w:left w:val="none" w:sz="0" w:space="0" w:color="auto"/>
                <w:bottom w:val="none" w:sz="0" w:space="0" w:color="auto"/>
                <w:right w:val="none" w:sz="0" w:space="0" w:color="auto"/>
              </w:divBdr>
            </w:div>
          </w:divsChild>
        </w:div>
        <w:div w:id="40063287">
          <w:marLeft w:val="0"/>
          <w:marRight w:val="0"/>
          <w:marTop w:val="0"/>
          <w:marBottom w:val="0"/>
          <w:divBdr>
            <w:top w:val="none" w:sz="0" w:space="0" w:color="auto"/>
            <w:left w:val="none" w:sz="0" w:space="0" w:color="auto"/>
            <w:bottom w:val="none" w:sz="0" w:space="0" w:color="auto"/>
            <w:right w:val="none" w:sz="0" w:space="0" w:color="auto"/>
          </w:divBdr>
          <w:divsChild>
            <w:div w:id="15498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6471">
      <w:bodyDiv w:val="1"/>
      <w:marLeft w:val="0"/>
      <w:marRight w:val="0"/>
      <w:marTop w:val="0"/>
      <w:marBottom w:val="0"/>
      <w:divBdr>
        <w:top w:val="none" w:sz="0" w:space="0" w:color="auto"/>
        <w:left w:val="none" w:sz="0" w:space="0" w:color="auto"/>
        <w:bottom w:val="none" w:sz="0" w:space="0" w:color="auto"/>
        <w:right w:val="none" w:sz="0" w:space="0" w:color="auto"/>
      </w:divBdr>
    </w:div>
    <w:div w:id="1599869696">
      <w:bodyDiv w:val="1"/>
      <w:marLeft w:val="0"/>
      <w:marRight w:val="0"/>
      <w:marTop w:val="0"/>
      <w:marBottom w:val="0"/>
      <w:divBdr>
        <w:top w:val="none" w:sz="0" w:space="0" w:color="auto"/>
        <w:left w:val="none" w:sz="0" w:space="0" w:color="auto"/>
        <w:bottom w:val="none" w:sz="0" w:space="0" w:color="auto"/>
        <w:right w:val="none" w:sz="0" w:space="0" w:color="auto"/>
      </w:divBdr>
    </w:div>
    <w:div w:id="1786315483">
      <w:bodyDiv w:val="1"/>
      <w:marLeft w:val="0"/>
      <w:marRight w:val="0"/>
      <w:marTop w:val="0"/>
      <w:marBottom w:val="0"/>
      <w:divBdr>
        <w:top w:val="none" w:sz="0" w:space="0" w:color="auto"/>
        <w:left w:val="none" w:sz="0" w:space="0" w:color="auto"/>
        <w:bottom w:val="none" w:sz="0" w:space="0" w:color="auto"/>
        <w:right w:val="none" w:sz="0" w:space="0" w:color="auto"/>
      </w:divBdr>
      <w:divsChild>
        <w:div w:id="1765029529">
          <w:marLeft w:val="0"/>
          <w:marRight w:val="0"/>
          <w:marTop w:val="0"/>
          <w:marBottom w:val="0"/>
          <w:divBdr>
            <w:top w:val="none" w:sz="0" w:space="0" w:color="auto"/>
            <w:left w:val="none" w:sz="0" w:space="0" w:color="auto"/>
            <w:bottom w:val="none" w:sz="0" w:space="0" w:color="auto"/>
            <w:right w:val="none" w:sz="0" w:space="0" w:color="auto"/>
          </w:divBdr>
          <w:divsChild>
            <w:div w:id="1086922416">
              <w:marLeft w:val="0"/>
              <w:marRight w:val="0"/>
              <w:marTop w:val="0"/>
              <w:marBottom w:val="0"/>
              <w:divBdr>
                <w:top w:val="none" w:sz="0" w:space="0" w:color="auto"/>
                <w:left w:val="none" w:sz="0" w:space="0" w:color="auto"/>
                <w:bottom w:val="none" w:sz="0" w:space="0" w:color="auto"/>
                <w:right w:val="none" w:sz="0" w:space="0" w:color="auto"/>
              </w:divBdr>
            </w:div>
          </w:divsChild>
        </w:div>
        <w:div w:id="1039205376">
          <w:marLeft w:val="0"/>
          <w:marRight w:val="0"/>
          <w:marTop w:val="0"/>
          <w:marBottom w:val="0"/>
          <w:divBdr>
            <w:top w:val="none" w:sz="0" w:space="0" w:color="auto"/>
            <w:left w:val="none" w:sz="0" w:space="0" w:color="auto"/>
            <w:bottom w:val="none" w:sz="0" w:space="0" w:color="auto"/>
            <w:right w:val="none" w:sz="0" w:space="0" w:color="auto"/>
          </w:divBdr>
          <w:divsChild>
            <w:div w:id="8930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42c8362-ab85-4df9-8c41-b862a1bf66fd" TargetMode="External"/><Relationship Id="rId13" Type="http://schemas.openxmlformats.org/officeDocument/2006/relationships/hyperlink" Target="https://hudoc.echr.coe.int/fre" TargetMode="External"/><Relationship Id="rId18" Type="http://schemas.openxmlformats.org/officeDocument/2006/relationships/hyperlink" Target="https://www.at.gov.lv/downloadlawfile/710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doc.echr.coe.int/eng?i=001-209864" TargetMode="External"/><Relationship Id="rId17" Type="http://schemas.openxmlformats.org/officeDocument/2006/relationships/hyperlink" Target="https://www.satv.tiesa.gov.lv/web/viewer.html?file=/wp-content/uploads/2016/02/2007-03-01_Spriedums.pdf" TargetMode="External"/><Relationship Id="rId2" Type="http://schemas.openxmlformats.org/officeDocument/2006/relationships/numbering" Target="numbering.xml"/><Relationship Id="rId16" Type="http://schemas.openxmlformats.org/officeDocument/2006/relationships/hyperlink" Target="https://www.at.gov.lv/downloadlawfile/4908" TargetMode="External"/><Relationship Id="rId20" Type="http://schemas.openxmlformats.org/officeDocument/2006/relationships/hyperlink" Target="https://www.at.gov.lv/downloadlawfile/7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fre?i=001-109046" TargetMode="External"/><Relationship Id="rId5" Type="http://schemas.openxmlformats.org/officeDocument/2006/relationships/webSettings" Target="webSettings.xml"/><Relationship Id="rId15" Type="http://schemas.openxmlformats.org/officeDocument/2006/relationships/hyperlink" Target="https://www.at.gov.lv/downloadlawfile/8850" TargetMode="External"/><Relationship Id="rId23" Type="http://schemas.openxmlformats.org/officeDocument/2006/relationships/theme" Target="theme/theme1.xml"/><Relationship Id="rId10" Type="http://schemas.openxmlformats.org/officeDocument/2006/relationships/hyperlink" Target="https://hudoc.echr.coe.int/eng" TargetMode="External"/><Relationship Id="rId19" Type="http://schemas.openxmlformats.org/officeDocument/2006/relationships/hyperlink" Target="https://www.at.gov.lv/downloadlawfile/4365"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0240-8B45-46EB-8BEC-B536A6F0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17623</Words>
  <Characters>10046</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2025-04-08T07:23:00Z</dcterms:created>
  <dcterms:modified xsi:type="dcterms:W3CDTF">2025-08-29T06:56:00Z</dcterms:modified>
</cp:coreProperties>
</file>