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2C7D7" w14:textId="77777777" w:rsidR="002053A5" w:rsidRDefault="002053A5" w:rsidP="00887829">
      <w:pPr>
        <w:spacing w:line="276" w:lineRule="auto"/>
        <w:rPr>
          <w:b/>
          <w:bCs/>
        </w:rPr>
      </w:pPr>
      <w:r w:rsidRPr="008558A8">
        <w:rPr>
          <w:b/>
          <w:bCs/>
        </w:rPr>
        <w:t>Pārrakstīšanās kļūdas labošana tiesas nolēmuma rezolutīvajā daļā</w:t>
      </w:r>
    </w:p>
    <w:p w14:paraId="1627223F" w14:textId="77777777" w:rsidR="002053A5" w:rsidRDefault="002053A5" w:rsidP="00887829">
      <w:pPr>
        <w:spacing w:line="276" w:lineRule="auto"/>
        <w:jc w:val="center"/>
        <w:rPr>
          <w:b/>
          <w:bCs/>
        </w:rPr>
      </w:pPr>
    </w:p>
    <w:p w14:paraId="1835C374" w14:textId="77777777" w:rsidR="002053A5" w:rsidRPr="002053A5" w:rsidRDefault="002053A5" w:rsidP="00887829">
      <w:pPr>
        <w:spacing w:line="276" w:lineRule="auto"/>
        <w:jc w:val="center"/>
        <w:rPr>
          <w:b/>
          <w:bCs/>
        </w:rPr>
      </w:pPr>
      <w:r w:rsidRPr="002053A5">
        <w:rPr>
          <w:b/>
          <w:bCs/>
        </w:rPr>
        <w:t xml:space="preserve">Latvijas Republikas Senāta </w:t>
      </w:r>
    </w:p>
    <w:p w14:paraId="6197E858" w14:textId="35C81754" w:rsidR="002053A5" w:rsidRPr="002053A5" w:rsidRDefault="002053A5" w:rsidP="00887829">
      <w:pPr>
        <w:spacing w:line="276" w:lineRule="auto"/>
        <w:jc w:val="center"/>
        <w:rPr>
          <w:b/>
          <w:bCs/>
        </w:rPr>
      </w:pPr>
      <w:r w:rsidRPr="002053A5">
        <w:rPr>
          <w:b/>
          <w:bCs/>
        </w:rPr>
        <w:t>Krimināllietu departamenta senator</w:t>
      </w:r>
      <w:r>
        <w:rPr>
          <w:b/>
          <w:bCs/>
        </w:rPr>
        <w:t>es</w:t>
      </w:r>
    </w:p>
    <w:p w14:paraId="486195C0" w14:textId="77777777" w:rsidR="002053A5" w:rsidRPr="002053A5" w:rsidRDefault="002053A5" w:rsidP="00887829">
      <w:pPr>
        <w:spacing w:line="276" w:lineRule="auto"/>
        <w:jc w:val="center"/>
        <w:rPr>
          <w:b/>
          <w:bCs/>
        </w:rPr>
      </w:pPr>
      <w:r w:rsidRPr="002053A5">
        <w:rPr>
          <w:b/>
          <w:bCs/>
        </w:rPr>
        <w:t>2025. gada 20. februāra</w:t>
      </w:r>
    </w:p>
    <w:p w14:paraId="186FE8F0" w14:textId="72E4E653" w:rsidR="002053A5" w:rsidRPr="002053A5" w:rsidRDefault="009210E9" w:rsidP="00887829">
      <w:pPr>
        <w:spacing w:line="276" w:lineRule="auto"/>
        <w:jc w:val="center"/>
        <w:rPr>
          <w:b/>
          <w:bCs/>
        </w:rPr>
      </w:pPr>
      <w:r w:rsidRPr="002053A5">
        <w:rPr>
          <w:b/>
          <w:bCs/>
        </w:rPr>
        <w:t>LĒMUMS</w:t>
      </w:r>
    </w:p>
    <w:p w14:paraId="0624D452" w14:textId="3BC0CBD7" w:rsidR="009210E9" w:rsidRPr="002053A5" w:rsidRDefault="002053A5" w:rsidP="00887829">
      <w:pPr>
        <w:spacing w:line="276" w:lineRule="auto"/>
        <w:jc w:val="center"/>
        <w:rPr>
          <w:b/>
          <w:bCs/>
        </w:rPr>
      </w:pPr>
      <w:r w:rsidRPr="002053A5">
        <w:rPr>
          <w:b/>
          <w:bCs/>
        </w:rPr>
        <w:t>Lieta Nr. </w:t>
      </w:r>
      <w:r w:rsidRPr="002053A5">
        <w:rPr>
          <w:rFonts w:eastAsia="Calibri"/>
          <w:b/>
          <w:bCs/>
        </w:rPr>
        <w:t>11816012915</w:t>
      </w:r>
      <w:r w:rsidRPr="002053A5">
        <w:rPr>
          <w:b/>
          <w:bCs/>
        </w:rPr>
        <w:t>, SKK-198/2025</w:t>
      </w:r>
      <w:r w:rsidR="00C95438" w:rsidRPr="009A141E">
        <w:t xml:space="preserve"> </w:t>
      </w:r>
    </w:p>
    <w:p w14:paraId="4DF2005D" w14:textId="5A0ACD10" w:rsidR="009210E9" w:rsidRDefault="002053A5" w:rsidP="00887829">
      <w:pPr>
        <w:spacing w:line="276" w:lineRule="auto"/>
        <w:jc w:val="center"/>
      </w:pPr>
      <w:hyperlink r:id="rId8" w:history="1">
        <w:r w:rsidRPr="002236BC">
          <w:rPr>
            <w:rStyle w:val="Hyperlink"/>
          </w:rPr>
          <w:t>ECLI:LV:AT:2025:0220.11816012915.12.L</w:t>
        </w:r>
      </w:hyperlink>
    </w:p>
    <w:p w14:paraId="382C5CAD" w14:textId="77777777" w:rsidR="002053A5" w:rsidRPr="009A141E" w:rsidRDefault="002053A5" w:rsidP="002053A5">
      <w:pPr>
        <w:spacing w:line="276" w:lineRule="auto"/>
        <w:jc w:val="center"/>
      </w:pPr>
    </w:p>
    <w:p w14:paraId="5804E0ED" w14:textId="5545386C" w:rsidR="00F44255" w:rsidRPr="009A141E" w:rsidRDefault="00582F3A" w:rsidP="00427191">
      <w:pPr>
        <w:spacing w:line="276" w:lineRule="auto"/>
        <w:ind w:firstLine="720"/>
        <w:jc w:val="both"/>
      </w:pPr>
      <w:r w:rsidRPr="009A141E">
        <w:t>Latvijas Republikas Senāta</w:t>
      </w:r>
      <w:r w:rsidR="00F44255" w:rsidRPr="009A141E">
        <w:t xml:space="preserve"> Krimināllietu departamenta senator</w:t>
      </w:r>
      <w:r w:rsidRPr="009A141E">
        <w:t>e</w:t>
      </w:r>
      <w:r w:rsidR="00F44255" w:rsidRPr="009A141E">
        <w:t xml:space="preserve"> </w:t>
      </w:r>
      <w:r w:rsidR="00B10B6B" w:rsidRPr="009A141E">
        <w:t>Sandra Kaija</w:t>
      </w:r>
      <w:r w:rsidR="00F44255" w:rsidRPr="009A141E">
        <w:t xml:space="preserve"> izlēma rakstveida procesā apsūdzētā </w:t>
      </w:r>
      <w:r w:rsidR="008925DF">
        <w:t>[pers. A]</w:t>
      </w:r>
      <w:r w:rsidR="00B10B6B" w:rsidRPr="009A141E">
        <w:t xml:space="preserve"> aizstāvja zvērināta advokāta Viestura Ločmeļa</w:t>
      </w:r>
      <w:r w:rsidR="004C1913" w:rsidRPr="009A141E">
        <w:t xml:space="preserve"> </w:t>
      </w:r>
      <w:r w:rsidR="00F44255" w:rsidRPr="009A141E">
        <w:t xml:space="preserve">sūdzību par </w:t>
      </w:r>
      <w:r w:rsidR="00B10B6B" w:rsidRPr="009A141E">
        <w:t>Rīgas</w:t>
      </w:r>
      <w:r w:rsidR="003D139D" w:rsidRPr="009A141E">
        <w:t xml:space="preserve"> </w:t>
      </w:r>
      <w:r w:rsidR="00F44255" w:rsidRPr="009A141E">
        <w:t xml:space="preserve">apgabaltiesas </w:t>
      </w:r>
      <w:r w:rsidR="003D139D" w:rsidRPr="009A141E">
        <w:t>202</w:t>
      </w:r>
      <w:r w:rsidR="00B10B6B" w:rsidRPr="009A141E">
        <w:t>5</w:t>
      </w:r>
      <w:r w:rsidR="003D139D" w:rsidRPr="009A141E">
        <w:t>.</w:t>
      </w:r>
      <w:r w:rsidR="007A1242" w:rsidRPr="009A141E">
        <w:t> </w:t>
      </w:r>
      <w:r w:rsidR="003D139D" w:rsidRPr="009A141E">
        <w:t xml:space="preserve">gada </w:t>
      </w:r>
      <w:r w:rsidR="00B10B6B" w:rsidRPr="009A141E">
        <w:t>13. janvāra</w:t>
      </w:r>
      <w:r w:rsidR="00F44255" w:rsidRPr="009A141E">
        <w:t xml:space="preserve"> lēmumu. </w:t>
      </w:r>
    </w:p>
    <w:p w14:paraId="6C5F07EE" w14:textId="77777777" w:rsidR="00A86537" w:rsidRPr="009A141E" w:rsidRDefault="00A86537" w:rsidP="00F44255">
      <w:pPr>
        <w:spacing w:line="276" w:lineRule="auto"/>
        <w:ind w:firstLine="709"/>
        <w:jc w:val="both"/>
      </w:pPr>
    </w:p>
    <w:p w14:paraId="4E35C893" w14:textId="77777777" w:rsidR="00B135BD" w:rsidRPr="009A141E" w:rsidRDefault="00B135BD" w:rsidP="00B135BD">
      <w:pPr>
        <w:spacing w:line="276" w:lineRule="auto"/>
        <w:jc w:val="center"/>
        <w:rPr>
          <w:b/>
        </w:rPr>
      </w:pPr>
      <w:r w:rsidRPr="009A141E">
        <w:rPr>
          <w:b/>
        </w:rPr>
        <w:t>Aprakstošā daļa</w:t>
      </w:r>
    </w:p>
    <w:p w14:paraId="005C9F80" w14:textId="77777777" w:rsidR="00B135BD" w:rsidRPr="009A141E" w:rsidRDefault="00B135BD" w:rsidP="00B135BD">
      <w:pPr>
        <w:spacing w:line="276" w:lineRule="auto"/>
        <w:jc w:val="center"/>
      </w:pPr>
    </w:p>
    <w:p w14:paraId="1A743B47" w14:textId="4F3DFD2B" w:rsidR="00582F3A" w:rsidRPr="009A141E" w:rsidRDefault="00961902" w:rsidP="00427191">
      <w:pPr>
        <w:pStyle w:val="tv213"/>
        <w:spacing w:before="0" w:beforeAutospacing="0" w:after="0" w:afterAutospacing="0" w:line="276" w:lineRule="auto"/>
        <w:ind w:firstLine="720"/>
        <w:jc w:val="both"/>
      </w:pPr>
      <w:r w:rsidRPr="009A141E">
        <w:t>[1] </w:t>
      </w:r>
      <w:r w:rsidR="00582F3A" w:rsidRPr="009A141E">
        <w:t xml:space="preserve">Ar Rīgas </w:t>
      </w:r>
      <w:r w:rsidR="00B10B6B" w:rsidRPr="009A141E">
        <w:t>rajona</w:t>
      </w:r>
      <w:r w:rsidR="00582F3A" w:rsidRPr="009A141E">
        <w:t xml:space="preserve"> tiesas 2022. gada </w:t>
      </w:r>
      <w:r w:rsidR="00B10B6B" w:rsidRPr="009A141E">
        <w:t xml:space="preserve">6. jūnija </w:t>
      </w:r>
      <w:r w:rsidR="00582F3A" w:rsidRPr="009A141E">
        <w:t xml:space="preserve">spriedumu </w:t>
      </w:r>
    </w:p>
    <w:p w14:paraId="7812CC56" w14:textId="1CA544EB" w:rsidR="00582F3A" w:rsidRPr="009A141E" w:rsidRDefault="00B10B6B" w:rsidP="00427191">
      <w:pPr>
        <w:pStyle w:val="tv213"/>
        <w:spacing w:before="0" w:beforeAutospacing="0" w:after="0" w:afterAutospacing="0" w:line="276" w:lineRule="auto"/>
        <w:ind w:firstLine="720"/>
        <w:jc w:val="both"/>
      </w:pPr>
      <w:r w:rsidRPr="009A141E">
        <w:t>[1.1] </w:t>
      </w:r>
      <w:r w:rsidR="002236BC">
        <w:t>[pers. </w:t>
      </w:r>
      <w:r w:rsidR="008925DF">
        <w:t>B</w:t>
      </w:r>
      <w:r w:rsidR="002236BC">
        <w:t>]</w:t>
      </w:r>
      <w:r w:rsidR="00582F3A" w:rsidRPr="009A141E">
        <w:t xml:space="preserve">, personas kods </w:t>
      </w:r>
      <w:r w:rsidR="002236BC">
        <w:t>[..]</w:t>
      </w:r>
      <w:r w:rsidR="00582F3A" w:rsidRPr="009A141E">
        <w:t xml:space="preserve">, </w:t>
      </w:r>
    </w:p>
    <w:p w14:paraId="0435EC44" w14:textId="79DC40FA" w:rsidR="00582F3A" w:rsidRPr="009A141E" w:rsidRDefault="00582F3A" w:rsidP="00427191">
      <w:pPr>
        <w:pStyle w:val="tv213"/>
        <w:spacing w:before="0" w:beforeAutospacing="0" w:after="0" w:afterAutospacing="0" w:line="276" w:lineRule="auto"/>
        <w:ind w:firstLine="720"/>
        <w:jc w:val="both"/>
      </w:pPr>
      <w:r w:rsidRPr="009A141E">
        <w:t>atzīts par vainīgu Krimināllikuma 2</w:t>
      </w:r>
      <w:r w:rsidR="00B10B6B" w:rsidRPr="009A141E">
        <w:t>21</w:t>
      </w:r>
      <w:r w:rsidRPr="009A141E">
        <w:t>.</w:t>
      </w:r>
      <w:r w:rsidR="00B10B6B" w:rsidRPr="009A141E">
        <w:rPr>
          <w:vertAlign w:val="superscript"/>
        </w:rPr>
        <w:t>2</w:t>
      </w:r>
      <w:r w:rsidRPr="009A141E">
        <w:t> panta otrajā daļā paredzētajā noziedzīgajā nodarījumā un sodīts</w:t>
      </w:r>
      <w:r w:rsidR="00B10B6B" w:rsidRPr="009A141E">
        <w:t>, piemērojot Krimināllikuma 49.</w:t>
      </w:r>
      <w:r w:rsidR="00B10B6B" w:rsidRPr="009A141E">
        <w:rPr>
          <w:vertAlign w:val="superscript"/>
        </w:rPr>
        <w:t>1</w:t>
      </w:r>
      <w:r w:rsidR="00B10B6B" w:rsidRPr="009A141E">
        <w:t> panta pirmā</w:t>
      </w:r>
      <w:r w:rsidR="008A6450" w:rsidRPr="009A141E">
        <w:t>s</w:t>
      </w:r>
      <w:r w:rsidR="00B10B6B" w:rsidRPr="009A141E">
        <w:t xml:space="preserve"> daļas 1. punktu,</w:t>
      </w:r>
      <w:r w:rsidRPr="009A141E">
        <w:t xml:space="preserve"> ar brīvības atņemšanu uz </w:t>
      </w:r>
      <w:r w:rsidR="00B10B6B" w:rsidRPr="009A141E">
        <w:t>4 mēnešiem</w:t>
      </w:r>
      <w:r w:rsidR="0094744D" w:rsidRPr="009A141E">
        <w:t>.</w:t>
      </w:r>
      <w:r w:rsidRPr="009A141E">
        <w:t xml:space="preserve"> </w:t>
      </w:r>
    </w:p>
    <w:p w14:paraId="0A7E47E4" w14:textId="566CEF50" w:rsidR="00AD7F26" w:rsidRPr="009A141E" w:rsidRDefault="00AD7F26" w:rsidP="00427191">
      <w:pPr>
        <w:pStyle w:val="tv213"/>
        <w:spacing w:before="0" w:beforeAutospacing="0" w:after="0" w:afterAutospacing="0" w:line="276" w:lineRule="auto"/>
        <w:ind w:firstLine="720"/>
        <w:jc w:val="both"/>
      </w:pPr>
      <w:bookmarkStart w:id="0" w:name="_Hlk189044456"/>
      <w:r w:rsidRPr="009A141E">
        <w:t xml:space="preserve">No </w:t>
      </w:r>
      <w:r w:rsidR="002236BC">
        <w:t>[pers. </w:t>
      </w:r>
      <w:r w:rsidR="008925DF">
        <w:t>B</w:t>
      </w:r>
      <w:r w:rsidR="002236BC">
        <w:t>]</w:t>
      </w:r>
      <w:r w:rsidRPr="009A141E">
        <w:t xml:space="preserve"> </w:t>
      </w:r>
      <w:r w:rsidR="0090519B" w:rsidRPr="009A141E">
        <w:t>valsts</w:t>
      </w:r>
      <w:r w:rsidRPr="009A141E">
        <w:t xml:space="preserve"> labā piedzīta kaitējuma kompensācija </w:t>
      </w:r>
      <w:r w:rsidR="0090519B" w:rsidRPr="009A141E">
        <w:t>51 503,69 </w:t>
      </w:r>
      <w:r w:rsidR="0090519B" w:rsidRPr="009A141E">
        <w:rPr>
          <w:i/>
          <w:iCs/>
        </w:rPr>
        <w:t>euro</w:t>
      </w:r>
      <w:bookmarkEnd w:id="0"/>
      <w:r w:rsidR="0090519B" w:rsidRPr="009A141E">
        <w:t>.</w:t>
      </w:r>
    </w:p>
    <w:p w14:paraId="669631C1" w14:textId="3C21D285" w:rsidR="0090519B" w:rsidRPr="009A141E" w:rsidRDefault="0090519B" w:rsidP="0090519B">
      <w:pPr>
        <w:pStyle w:val="tv213"/>
        <w:spacing w:before="0" w:beforeAutospacing="0" w:after="0" w:afterAutospacing="0" w:line="276" w:lineRule="auto"/>
        <w:ind w:firstLine="720"/>
        <w:jc w:val="both"/>
      </w:pPr>
      <w:r w:rsidRPr="009A141E">
        <w:t xml:space="preserve">No </w:t>
      </w:r>
      <w:r w:rsidR="002236BC">
        <w:t>[pers. </w:t>
      </w:r>
      <w:r w:rsidR="008925DF">
        <w:t>B</w:t>
      </w:r>
      <w:r w:rsidR="002236BC">
        <w:t xml:space="preserve">] </w:t>
      </w:r>
      <w:r w:rsidRPr="009A141E">
        <w:t>Nodrošinājuma valsts aģentūras labā piedzīti izdevumi, kas saistīti ar lietisko pierādījumu pieņemšanu, glabāšanu un iznīcināšanu 1021,80 </w:t>
      </w:r>
      <w:r w:rsidRPr="009A141E">
        <w:rPr>
          <w:i/>
          <w:iCs/>
        </w:rPr>
        <w:t>euro</w:t>
      </w:r>
      <w:r w:rsidRPr="009A141E">
        <w:t xml:space="preserve">. </w:t>
      </w:r>
    </w:p>
    <w:p w14:paraId="59154EE0" w14:textId="02D602E0" w:rsidR="00B10B6B" w:rsidRPr="009A141E" w:rsidRDefault="00B10B6B" w:rsidP="00427191">
      <w:pPr>
        <w:pStyle w:val="tv213"/>
        <w:spacing w:before="0" w:beforeAutospacing="0" w:after="0" w:afterAutospacing="0" w:line="276" w:lineRule="auto"/>
        <w:ind w:firstLine="720"/>
        <w:jc w:val="both"/>
      </w:pPr>
      <w:r w:rsidRPr="009A141E">
        <w:t>[1.2] </w:t>
      </w:r>
      <w:r w:rsidR="002236BC">
        <w:t>[</w:t>
      </w:r>
      <w:r w:rsidR="001203B0">
        <w:t>P</w:t>
      </w:r>
      <w:r w:rsidR="002236BC">
        <w:t>ers. </w:t>
      </w:r>
      <w:r w:rsidR="008925DF">
        <w:t>A</w:t>
      </w:r>
      <w:r w:rsidR="002236BC">
        <w:t>]</w:t>
      </w:r>
      <w:r w:rsidRPr="009A141E">
        <w:t xml:space="preserve">, personas kods </w:t>
      </w:r>
      <w:r w:rsidR="002236BC">
        <w:t>[..]</w:t>
      </w:r>
      <w:r w:rsidRPr="009A141E">
        <w:t>,</w:t>
      </w:r>
    </w:p>
    <w:p w14:paraId="67DA1B05" w14:textId="2575FF31" w:rsidR="00B10B6B" w:rsidRPr="009A141E" w:rsidRDefault="00B10B6B" w:rsidP="00427191">
      <w:pPr>
        <w:pStyle w:val="tv213"/>
        <w:spacing w:before="0" w:beforeAutospacing="0" w:after="0" w:afterAutospacing="0" w:line="276" w:lineRule="auto"/>
        <w:ind w:firstLine="720"/>
        <w:jc w:val="both"/>
      </w:pPr>
      <w:r w:rsidRPr="009A141E">
        <w:t>atzīts par nevainīgu pret viņu celtajā apsūdzībā pēc Krimināllikuma 221.</w:t>
      </w:r>
      <w:r w:rsidRPr="009A141E">
        <w:rPr>
          <w:vertAlign w:val="superscript"/>
        </w:rPr>
        <w:t>2</w:t>
      </w:r>
      <w:r w:rsidRPr="009A141E">
        <w:t xml:space="preserve"> panta otrās daļas un attaisnots. </w:t>
      </w:r>
    </w:p>
    <w:p w14:paraId="71E7B443" w14:textId="77777777" w:rsidR="00F12B25" w:rsidRPr="009A141E" w:rsidRDefault="00F12B25" w:rsidP="00427191">
      <w:pPr>
        <w:spacing w:after="10" w:line="276" w:lineRule="auto"/>
        <w:ind w:firstLine="720"/>
        <w:jc w:val="both"/>
        <w:rPr>
          <w:rFonts w:ascii="TimesNewRomanPSMT" w:eastAsiaTheme="minorHAnsi" w:hAnsi="TimesNewRomanPSMT" w:cs="TimesNewRomanPSMT"/>
        </w:rPr>
      </w:pPr>
    </w:p>
    <w:p w14:paraId="3F2DF916" w14:textId="3BF03520" w:rsidR="00F01B5C" w:rsidRPr="009A141E" w:rsidRDefault="00F12B25" w:rsidP="0090519B">
      <w:pPr>
        <w:spacing w:after="10" w:line="276" w:lineRule="auto"/>
        <w:ind w:firstLine="720"/>
        <w:jc w:val="both"/>
      </w:pPr>
      <w:r w:rsidRPr="009A141E">
        <w:t>[2] </w:t>
      </w:r>
      <w:r w:rsidR="00F01B5C" w:rsidRPr="009A141E">
        <w:t xml:space="preserve">Ar </w:t>
      </w:r>
      <w:r w:rsidR="0090519B" w:rsidRPr="009A141E">
        <w:t>Rīgas</w:t>
      </w:r>
      <w:r w:rsidR="00F01B5C" w:rsidRPr="009A141E">
        <w:t xml:space="preserve"> apgabaltiesas 20</w:t>
      </w:r>
      <w:r w:rsidR="00430237" w:rsidRPr="009A141E">
        <w:t>2</w:t>
      </w:r>
      <w:r w:rsidR="00582F3A" w:rsidRPr="009A141E">
        <w:t>4</w:t>
      </w:r>
      <w:r w:rsidR="00F01B5C" w:rsidRPr="009A141E">
        <w:t xml:space="preserve">. gada </w:t>
      </w:r>
      <w:r w:rsidR="0090519B" w:rsidRPr="009A141E">
        <w:t>20. novembra spriedumu</w:t>
      </w:r>
      <w:r w:rsidRPr="009A141E">
        <w:t xml:space="preserve">, izskatot krimināllietu apelācijas kārtībā sakarā ar </w:t>
      </w:r>
      <w:r w:rsidR="0090519B" w:rsidRPr="009A141E">
        <w:t xml:space="preserve">Nodokļu un muitas lietu prokuratūras prokurores Anitas Žurovas apelācijas protestu un aizstāves zvērinātas advokātes Ineses Šultes </w:t>
      </w:r>
      <w:r w:rsidRPr="009A141E">
        <w:t xml:space="preserve">apelācijas sūdzību, </w:t>
      </w:r>
      <w:r w:rsidR="00582F3A" w:rsidRPr="009A141E">
        <w:t xml:space="preserve">Rīgas </w:t>
      </w:r>
      <w:r w:rsidR="0090519B" w:rsidRPr="009A141E">
        <w:t xml:space="preserve">rajona tiesas 2022. gada 6. jūnija spriedums atcelts daļā par: </w:t>
      </w:r>
      <w:r w:rsidR="002236BC">
        <w:t>[pers. </w:t>
      </w:r>
      <w:r w:rsidR="008925DF">
        <w:t>B</w:t>
      </w:r>
      <w:r w:rsidR="002236BC">
        <w:t>]</w:t>
      </w:r>
      <w:r w:rsidR="0090519B" w:rsidRPr="009A141E">
        <w:t xml:space="preserve"> atzīšanu par vainīgu un </w:t>
      </w:r>
      <w:r w:rsidR="00086BB4" w:rsidRPr="009A141E">
        <w:t>sodīšanu</w:t>
      </w:r>
      <w:r w:rsidR="0090519B" w:rsidRPr="009A141E">
        <w:t xml:space="preserve"> pēc Krimināllikuma 221.</w:t>
      </w:r>
      <w:r w:rsidR="0090519B" w:rsidRPr="009A141E">
        <w:rPr>
          <w:vertAlign w:val="superscript"/>
        </w:rPr>
        <w:t>2</w:t>
      </w:r>
      <w:r w:rsidR="0090519B" w:rsidRPr="009A141E">
        <w:t xml:space="preserve"> panta otrās daļas; </w:t>
      </w:r>
      <w:r w:rsidR="002236BC">
        <w:t>[pers. </w:t>
      </w:r>
      <w:r w:rsidR="008925DF">
        <w:t>A</w:t>
      </w:r>
      <w:r w:rsidR="002236BC">
        <w:t>]</w:t>
      </w:r>
      <w:r w:rsidR="0090519B" w:rsidRPr="009A141E">
        <w:t xml:space="preserve"> atzīšanu par nevainīgu pret viņu celtajā apsūdzībā pēc Krimināllikuma 221.</w:t>
      </w:r>
      <w:r w:rsidR="0090519B" w:rsidRPr="009A141E">
        <w:rPr>
          <w:vertAlign w:val="superscript"/>
        </w:rPr>
        <w:t>2</w:t>
      </w:r>
      <w:r w:rsidR="0090519B" w:rsidRPr="009A141E">
        <w:t> panta otrās daļas un attaisnošanu; valsts labā noteikto kaitējuma kompensāciju 51</w:t>
      </w:r>
      <w:r w:rsidR="0094548F" w:rsidRPr="009A141E">
        <w:t> </w:t>
      </w:r>
      <w:r w:rsidR="0090519B" w:rsidRPr="009A141E">
        <w:t>503,69</w:t>
      </w:r>
      <w:r w:rsidR="0094548F" w:rsidRPr="009A141E">
        <w:t> </w:t>
      </w:r>
      <w:r w:rsidR="0090519B" w:rsidRPr="009A141E">
        <w:rPr>
          <w:i/>
          <w:iCs/>
        </w:rPr>
        <w:t>euro</w:t>
      </w:r>
      <w:r w:rsidR="0094548F" w:rsidRPr="009A141E">
        <w:rPr>
          <w:i/>
          <w:iCs/>
        </w:rPr>
        <w:t>;</w:t>
      </w:r>
      <w:r w:rsidR="0094548F" w:rsidRPr="009A141E">
        <w:t xml:space="preserve"> Nodrošinājuma valsts aģentūras labā piedzītajiem izdevumiem, kas saistīti ar lietisko pierādījumu pieņemšanu, glabāšanu un iznīcināšanu 1021,80 </w:t>
      </w:r>
      <w:r w:rsidR="0094548F" w:rsidRPr="009A141E">
        <w:rPr>
          <w:i/>
          <w:iCs/>
        </w:rPr>
        <w:t>euro</w:t>
      </w:r>
      <w:r w:rsidR="0094548F" w:rsidRPr="009A141E">
        <w:t>.</w:t>
      </w:r>
    </w:p>
    <w:p w14:paraId="593921B2" w14:textId="004D3A14" w:rsidR="00086BB4" w:rsidRPr="009A141E" w:rsidRDefault="00086BB4" w:rsidP="00086BB4">
      <w:pPr>
        <w:pStyle w:val="tv213"/>
        <w:spacing w:before="0" w:beforeAutospacing="0" w:after="0" w:afterAutospacing="0" w:line="276" w:lineRule="auto"/>
        <w:ind w:firstLine="720"/>
        <w:jc w:val="both"/>
      </w:pPr>
      <w:r w:rsidRPr="009A141E">
        <w:t>[2.1] </w:t>
      </w:r>
      <w:r w:rsidR="002236BC">
        <w:t>[Pers. </w:t>
      </w:r>
      <w:r w:rsidR="008925DF">
        <w:t>B</w:t>
      </w:r>
      <w:r w:rsidR="002236BC">
        <w:t>]</w:t>
      </w:r>
      <w:r w:rsidRPr="009A141E">
        <w:t xml:space="preserve"> atzīts par vainīgu Krimināllikuma 221.</w:t>
      </w:r>
      <w:r w:rsidRPr="009A141E">
        <w:rPr>
          <w:vertAlign w:val="superscript"/>
        </w:rPr>
        <w:t>2</w:t>
      </w:r>
      <w:r w:rsidRPr="009A141E">
        <w:t> panta otrajā daļā paredzētajā noziedzīgajā nodarījumā un sodīts, piemērojot Krimināllikuma 49.</w:t>
      </w:r>
      <w:r w:rsidRPr="009A141E">
        <w:rPr>
          <w:vertAlign w:val="superscript"/>
        </w:rPr>
        <w:t>1</w:t>
      </w:r>
      <w:r w:rsidRPr="009A141E">
        <w:t> panta pirmā</w:t>
      </w:r>
      <w:r w:rsidR="008A6450" w:rsidRPr="009A141E">
        <w:t>s</w:t>
      </w:r>
      <w:r w:rsidRPr="009A141E">
        <w:t xml:space="preserve"> daļas 1. punktu, ar brīvības atņemšanu uz 4 mēnešiem; </w:t>
      </w:r>
    </w:p>
    <w:p w14:paraId="7C486ABC" w14:textId="4C612BD1" w:rsidR="00086BB4" w:rsidRPr="009A141E" w:rsidRDefault="00086BB4" w:rsidP="00086BB4">
      <w:pPr>
        <w:pStyle w:val="tv213"/>
        <w:spacing w:before="0" w:beforeAutospacing="0" w:after="0" w:afterAutospacing="0" w:line="276" w:lineRule="auto"/>
        <w:ind w:firstLine="720"/>
        <w:jc w:val="both"/>
      </w:pPr>
      <w:r w:rsidRPr="009A141E">
        <w:t xml:space="preserve">saskaņā ar Krimināllikuma 55. pantu </w:t>
      </w:r>
      <w:r w:rsidR="00663658">
        <w:t>[pers. </w:t>
      </w:r>
      <w:r w:rsidR="008925DF">
        <w:t>B</w:t>
      </w:r>
      <w:r w:rsidR="00663658">
        <w:t>]</w:t>
      </w:r>
      <w:r w:rsidRPr="009A141E">
        <w:t xml:space="preserve"> notiesāts nosacīti ar pārbaudes laiku uz </w:t>
      </w:r>
      <w:r w:rsidR="00F5437F">
        <w:t>6 mēnešiem</w:t>
      </w:r>
      <w:r w:rsidRPr="009A141E">
        <w:t xml:space="preserve">. </w:t>
      </w:r>
    </w:p>
    <w:p w14:paraId="3D683F45" w14:textId="50CA2815" w:rsidR="00086BB4" w:rsidRPr="009A141E" w:rsidRDefault="00086BB4" w:rsidP="00086BB4">
      <w:pPr>
        <w:pStyle w:val="tv213"/>
        <w:spacing w:before="0" w:beforeAutospacing="0" w:after="0" w:afterAutospacing="0" w:line="276" w:lineRule="auto"/>
        <w:ind w:firstLine="720"/>
        <w:jc w:val="both"/>
      </w:pPr>
      <w:r w:rsidRPr="009A141E">
        <w:t>[2.2] </w:t>
      </w:r>
      <w:r w:rsidR="00663658">
        <w:t>[Pers. </w:t>
      </w:r>
      <w:r w:rsidR="008925DF">
        <w:t>A</w:t>
      </w:r>
      <w:r w:rsidR="00663658">
        <w:t>]</w:t>
      </w:r>
      <w:r w:rsidRPr="009A141E">
        <w:t xml:space="preserve"> atzīts par vainīgu Krimināllikuma 221.</w:t>
      </w:r>
      <w:r w:rsidRPr="009A141E">
        <w:rPr>
          <w:vertAlign w:val="superscript"/>
        </w:rPr>
        <w:t>2</w:t>
      </w:r>
      <w:r w:rsidRPr="009A141E">
        <w:t> panta otrajā daļā paredzētajā noziedzīgajā nodarījumā un sodīts, piemērojot Krimināllikuma 49.</w:t>
      </w:r>
      <w:r w:rsidRPr="009A141E">
        <w:rPr>
          <w:vertAlign w:val="superscript"/>
        </w:rPr>
        <w:t>1</w:t>
      </w:r>
      <w:r w:rsidRPr="009A141E">
        <w:t> panta pirmā</w:t>
      </w:r>
      <w:r w:rsidR="008A6450" w:rsidRPr="009A141E">
        <w:t>s</w:t>
      </w:r>
      <w:r w:rsidRPr="009A141E">
        <w:t xml:space="preserve"> daļas 1. punktu, ar sabiedrisko darbu uz 100 stundām. </w:t>
      </w:r>
    </w:p>
    <w:p w14:paraId="22DA4EA9" w14:textId="5E6A8418" w:rsidR="001440C9" w:rsidRPr="009A141E" w:rsidRDefault="00086BB4" w:rsidP="00663658">
      <w:pPr>
        <w:pStyle w:val="tv213"/>
        <w:spacing w:before="0" w:beforeAutospacing="0" w:after="0" w:afterAutospacing="0" w:line="276" w:lineRule="auto"/>
        <w:ind w:firstLine="720"/>
        <w:jc w:val="both"/>
      </w:pPr>
      <w:r w:rsidRPr="009A141E">
        <w:lastRenderedPageBreak/>
        <w:t xml:space="preserve">[2.3] No </w:t>
      </w:r>
      <w:r w:rsidR="00663658">
        <w:t>[pers. </w:t>
      </w:r>
      <w:r w:rsidR="008925DF">
        <w:t>B</w:t>
      </w:r>
      <w:r w:rsidR="00663658">
        <w:t>]</w:t>
      </w:r>
      <w:r w:rsidRPr="009A141E">
        <w:t xml:space="preserve"> un </w:t>
      </w:r>
      <w:r w:rsidR="00663658">
        <w:t>[pers.</w:t>
      </w:r>
      <w:r w:rsidR="008925DF">
        <w:t> A</w:t>
      </w:r>
      <w:r w:rsidR="00663658">
        <w:t>]</w:t>
      </w:r>
      <w:r w:rsidRPr="009A141E">
        <w:t xml:space="preserve"> solidāri valsts labā piedzīta kaitējuma kompensācija 51 503,69 </w:t>
      </w:r>
      <w:r w:rsidRPr="009A141E">
        <w:rPr>
          <w:i/>
          <w:iCs/>
        </w:rPr>
        <w:t>euro</w:t>
      </w:r>
      <w:r w:rsidRPr="009A141E">
        <w:t xml:space="preserve">. </w:t>
      </w:r>
    </w:p>
    <w:p w14:paraId="0A6A9679" w14:textId="77777777" w:rsidR="00430237" w:rsidRPr="009A141E" w:rsidRDefault="00430237" w:rsidP="00427191">
      <w:pPr>
        <w:spacing w:line="276" w:lineRule="auto"/>
        <w:ind w:firstLine="720"/>
        <w:jc w:val="both"/>
      </w:pPr>
    </w:p>
    <w:p w14:paraId="4CF80C8F" w14:textId="63D155A5" w:rsidR="00E35FA3" w:rsidRPr="009A141E" w:rsidRDefault="00430237" w:rsidP="00A71849">
      <w:pPr>
        <w:spacing w:line="276" w:lineRule="auto"/>
        <w:ind w:firstLine="720"/>
        <w:jc w:val="both"/>
      </w:pPr>
      <w:r w:rsidRPr="009A141E">
        <w:t>[</w:t>
      </w:r>
      <w:r w:rsidR="00827E30" w:rsidRPr="009A141E">
        <w:t>3</w:t>
      </w:r>
      <w:r w:rsidRPr="009A141E">
        <w:t>] </w:t>
      </w:r>
      <w:r w:rsidR="00086BB4" w:rsidRPr="009A141E">
        <w:t>Ar Rīgas apgabaltiesas 202</w:t>
      </w:r>
      <w:r w:rsidR="00A71849" w:rsidRPr="009A141E">
        <w:t xml:space="preserve">4. gada 20. novembra spriedumu </w:t>
      </w:r>
      <w:r w:rsidR="00663658">
        <w:t>[pers. </w:t>
      </w:r>
      <w:r w:rsidR="008925DF">
        <w:t>B</w:t>
      </w:r>
      <w:r w:rsidR="00663658">
        <w:t>]</w:t>
      </w:r>
      <w:r w:rsidR="00A71849" w:rsidRPr="009A141E">
        <w:t xml:space="preserve"> un </w:t>
      </w:r>
      <w:r w:rsidR="00663658">
        <w:t>[pers. </w:t>
      </w:r>
      <w:r w:rsidR="008925DF">
        <w:t>A</w:t>
      </w:r>
      <w:r w:rsidR="00663658">
        <w:t>]</w:t>
      </w:r>
      <w:r w:rsidR="00A71849" w:rsidRPr="009A141E">
        <w:t xml:space="preserve"> atzīti par vainīgiem un sodīti pēc Krimināllikuma 221.</w:t>
      </w:r>
      <w:r w:rsidR="00A71849" w:rsidRPr="009A141E">
        <w:rPr>
          <w:vertAlign w:val="superscript"/>
        </w:rPr>
        <w:t>2</w:t>
      </w:r>
      <w:r w:rsidR="00A71849" w:rsidRPr="009A141E">
        <w:t xml:space="preserve"> panta otrās daļas par nelikumīgu alkoholisko dzērienu glabāšanu </w:t>
      </w:r>
      <w:r w:rsidR="0099078B" w:rsidRPr="009A141E">
        <w:t xml:space="preserve">personu grupā </w:t>
      </w:r>
      <w:r w:rsidR="00A71849" w:rsidRPr="009A141E">
        <w:t>lielā apmērā.</w:t>
      </w:r>
    </w:p>
    <w:p w14:paraId="180F7BD1" w14:textId="77777777" w:rsidR="00A71849" w:rsidRPr="009A141E" w:rsidRDefault="00A71849" w:rsidP="00A71849">
      <w:pPr>
        <w:spacing w:line="276" w:lineRule="auto"/>
        <w:ind w:firstLine="720"/>
        <w:jc w:val="both"/>
      </w:pPr>
    </w:p>
    <w:p w14:paraId="02B44817" w14:textId="589AF014" w:rsidR="00A71849" w:rsidRPr="009A141E" w:rsidRDefault="00A71849" w:rsidP="008A6450">
      <w:pPr>
        <w:spacing w:line="276" w:lineRule="auto"/>
        <w:ind w:firstLine="720"/>
        <w:jc w:val="both"/>
      </w:pPr>
      <w:r w:rsidRPr="009A141E">
        <w:t xml:space="preserve">[4] Ar Rīgas apgabaltiesas 2025. gada 13. janvāra lēmumu izlabota pārrakstīšanās kļūda Rīgas apgabaltiesas 2024. gada 20. novembra sprieduma rezolutīvajā daļā, norādot, ka kaitējuma kompensācija ieskaitāma </w:t>
      </w:r>
      <w:r w:rsidR="00320600" w:rsidRPr="009A141E">
        <w:t xml:space="preserve">citā valsts </w:t>
      </w:r>
      <w:r w:rsidRPr="009A141E">
        <w:t>kases kontā</w:t>
      </w:r>
      <w:r w:rsidR="00320600" w:rsidRPr="009A141E">
        <w:t> – </w:t>
      </w:r>
      <w:r w:rsidR="008A6450" w:rsidRPr="009A141E">
        <w:t xml:space="preserve">LV88TREL813005617900B, </w:t>
      </w:r>
      <w:r w:rsidR="003431C2" w:rsidRPr="009A141E">
        <w:t xml:space="preserve">maksājuma saņēmējs </w:t>
      </w:r>
      <w:r w:rsidR="008A6450" w:rsidRPr="009A141E">
        <w:t xml:space="preserve">– </w:t>
      </w:r>
      <w:r w:rsidR="003431C2" w:rsidRPr="009A141E">
        <w:t xml:space="preserve">Valsts ieņēmumu dienests, </w:t>
      </w:r>
      <w:r w:rsidRPr="009A141E">
        <w:t>reģ</w:t>
      </w:r>
      <w:r w:rsidR="003431C2" w:rsidRPr="009A141E">
        <w:t>istrācijas</w:t>
      </w:r>
      <w:r w:rsidRPr="009A141E">
        <w:t> Nr. 90000069281, BIC kods TRELLV22. Maksājuma mērķis: F22010010, kriminālprocesa Nr. 11816012915 un tās personas vārds, uzvārds un personas kods, par kuru tiek veikts maksājums, ja kompensāciju norādītajā kontā iemaksā cita persona.</w:t>
      </w:r>
    </w:p>
    <w:p w14:paraId="477EC1BC" w14:textId="77777777" w:rsidR="00A71849" w:rsidRPr="009A141E" w:rsidRDefault="00A71849" w:rsidP="00A71849">
      <w:pPr>
        <w:spacing w:line="276" w:lineRule="auto"/>
        <w:ind w:firstLine="720"/>
        <w:jc w:val="both"/>
      </w:pPr>
    </w:p>
    <w:p w14:paraId="45B1C975" w14:textId="6512C80C" w:rsidR="00A71849" w:rsidRPr="009A141E" w:rsidRDefault="00A71849" w:rsidP="00A71849">
      <w:pPr>
        <w:spacing w:line="276" w:lineRule="auto"/>
        <w:ind w:firstLine="720"/>
        <w:jc w:val="both"/>
      </w:pPr>
      <w:r w:rsidRPr="009A141E">
        <w:t xml:space="preserve">[5] Par Rīgas apgabaltiesas 2025. gada 13. janvāra lēmumu apsūdzētā </w:t>
      </w:r>
      <w:r w:rsidR="00663658">
        <w:t>[pers. </w:t>
      </w:r>
      <w:r w:rsidR="008925DF">
        <w:t>A</w:t>
      </w:r>
      <w:r w:rsidR="00663658">
        <w:t>]</w:t>
      </w:r>
      <w:r w:rsidRPr="009A141E">
        <w:t xml:space="preserve"> aizstāvis V. Ločmelis iesniedzis sūdzību, kurā lūdz </w:t>
      </w:r>
      <w:r w:rsidR="00320600" w:rsidRPr="009A141E">
        <w:t xml:space="preserve">atcelt </w:t>
      </w:r>
      <w:r w:rsidR="008A6450" w:rsidRPr="009A141E">
        <w:t xml:space="preserve">šo </w:t>
      </w:r>
      <w:r w:rsidR="00320600" w:rsidRPr="009A141E">
        <w:t>lēmumu.</w:t>
      </w:r>
    </w:p>
    <w:p w14:paraId="349F93F4" w14:textId="05EBABDD" w:rsidR="00A71849" w:rsidRPr="009A141E" w:rsidRDefault="00320600" w:rsidP="00E73074">
      <w:pPr>
        <w:spacing w:line="276" w:lineRule="auto"/>
        <w:ind w:firstLine="720"/>
        <w:jc w:val="both"/>
      </w:pPr>
      <w:r w:rsidRPr="009A141E">
        <w:t>Pamatojot savu lūgumu</w:t>
      </w:r>
      <w:r w:rsidR="00E73074" w:rsidRPr="009A141E">
        <w:t>,</w:t>
      </w:r>
      <w:r w:rsidRPr="009A141E">
        <w:t xml:space="preserve"> aizstāvis norāda, ka </w:t>
      </w:r>
      <w:r w:rsidR="00E73074" w:rsidRPr="009A141E">
        <w:t>apelācijas instances tiesa</w:t>
      </w:r>
      <w:r w:rsidR="008A6450" w:rsidRPr="009A141E">
        <w:t>i</w:t>
      </w:r>
      <w:r w:rsidRPr="009A141E">
        <w:t xml:space="preserve"> nebija </w:t>
      </w:r>
      <w:r w:rsidR="00E73074" w:rsidRPr="009A141E">
        <w:t>tiesiska pamata</w:t>
      </w:r>
      <w:r w:rsidRPr="009A141E">
        <w:t xml:space="preserve"> taisīt lēmumu par pārrakstīšanās kļūdas labojumu spriedumā. </w:t>
      </w:r>
      <w:r w:rsidR="00E73074" w:rsidRPr="009A141E">
        <w:t xml:space="preserve">Apelācijas instances tiesai, izskatot lietu apelācijas kārtībā, nebija zināma informācija par </w:t>
      </w:r>
      <w:r w:rsidR="008A6450" w:rsidRPr="009A141E">
        <w:t>V</w:t>
      </w:r>
      <w:r w:rsidR="00E73074" w:rsidRPr="009A141E">
        <w:t>alsts kases konta numuru, tādējādi tiesa nevarēja pieļaut pārrakstīšanās kļūdu. Nav pieļaujams iekļaut spriedumā ziņas, kas nav bijušas tiesas rīcībā lietas iztiesāšanas laikā un nav pārbaudītas tiesas sēdē, to motivējot ar pārrakstīšanās kļūdu.</w:t>
      </w:r>
    </w:p>
    <w:p w14:paraId="39E07F48" w14:textId="77777777" w:rsidR="00E73074" w:rsidRPr="009A141E" w:rsidRDefault="00E73074" w:rsidP="00E73074">
      <w:pPr>
        <w:spacing w:line="276" w:lineRule="auto"/>
        <w:ind w:firstLine="720"/>
        <w:jc w:val="both"/>
      </w:pPr>
    </w:p>
    <w:p w14:paraId="709A1026" w14:textId="77777777" w:rsidR="00B135BD" w:rsidRPr="009A141E" w:rsidRDefault="00B135BD" w:rsidP="00427191">
      <w:pPr>
        <w:spacing w:line="276" w:lineRule="auto"/>
        <w:jc w:val="center"/>
        <w:rPr>
          <w:b/>
        </w:rPr>
      </w:pPr>
      <w:r w:rsidRPr="009A141E">
        <w:rPr>
          <w:b/>
        </w:rPr>
        <w:t>Motīvu daļa</w:t>
      </w:r>
    </w:p>
    <w:p w14:paraId="616A7591" w14:textId="77777777" w:rsidR="00183ECD" w:rsidRPr="009A141E" w:rsidRDefault="00183ECD" w:rsidP="00427191">
      <w:pPr>
        <w:spacing w:line="276" w:lineRule="auto"/>
        <w:ind w:firstLine="720"/>
        <w:jc w:val="both"/>
      </w:pPr>
    </w:p>
    <w:p w14:paraId="61FEEBC4" w14:textId="42A04998" w:rsidR="00A73304" w:rsidRPr="009A141E" w:rsidRDefault="00961902" w:rsidP="00A3020E">
      <w:pPr>
        <w:spacing w:line="276" w:lineRule="auto"/>
        <w:ind w:firstLine="720"/>
        <w:jc w:val="both"/>
      </w:pPr>
      <w:r w:rsidRPr="009A141E">
        <w:t>[</w:t>
      </w:r>
      <w:r w:rsidR="00E73074" w:rsidRPr="009A141E">
        <w:t>6</w:t>
      </w:r>
      <w:r w:rsidRPr="009A141E">
        <w:t>] </w:t>
      </w:r>
      <w:r w:rsidR="00073F39" w:rsidRPr="009A141E">
        <w:t xml:space="preserve">Senatore atzīst, ka </w:t>
      </w:r>
      <w:r w:rsidR="00A73304" w:rsidRPr="009A141E">
        <w:t xml:space="preserve">izskatāmajā lietā jāsniedz atbilde, </w:t>
      </w:r>
      <w:bookmarkStart w:id="1" w:name="_Hlk190700360"/>
      <w:r w:rsidR="00A73304" w:rsidRPr="009A141E">
        <w:t>vai kredītiestādes (finanšu iestādes) konta numur</w:t>
      </w:r>
      <w:r w:rsidR="00A3020E" w:rsidRPr="009A141E">
        <w:t>a</w:t>
      </w:r>
      <w:r w:rsidR="00A73304" w:rsidRPr="009A141E">
        <w:t>, kur</w:t>
      </w:r>
      <w:r w:rsidR="00A3020E" w:rsidRPr="009A141E">
        <w:t>ā ieskaitāma kaitējuma kompensācija, labošana sprieduma rezolutīvajā daļā ir atzīstama par pārrakstīšanās kļūdas labošanu.</w:t>
      </w:r>
      <w:bookmarkEnd w:id="1"/>
    </w:p>
    <w:p w14:paraId="3EEB3DF9" w14:textId="00BC016D" w:rsidR="003B7A76" w:rsidRPr="009A141E" w:rsidRDefault="00A3020E" w:rsidP="003B7A76">
      <w:pPr>
        <w:spacing w:line="276" w:lineRule="auto"/>
        <w:ind w:firstLine="720"/>
        <w:jc w:val="both"/>
      </w:pPr>
      <w:r w:rsidRPr="009A141E">
        <w:t>[6.1] </w:t>
      </w:r>
      <w:r w:rsidR="003B7A76" w:rsidRPr="009A141E">
        <w:t>Kriminālprocesa likum</w:t>
      </w:r>
      <w:r w:rsidR="0058408A" w:rsidRPr="009A141E">
        <w:t>a</w:t>
      </w:r>
      <w:r w:rsidR="003B7A76" w:rsidRPr="009A141E">
        <w:t xml:space="preserve"> 474. panta pirmā daļa noteic, ka tiesa pēc savas iniciatīvas vai pēc procesā iesaistītās personas pieteikuma var izlabot nolēmumā pārrakstīšanās vai matemātiskā aprēķina kļūdas. Jautājumu par kļūdu labošanu izlemj rakstveida procesā.</w:t>
      </w:r>
    </w:p>
    <w:p w14:paraId="57DAC152" w14:textId="3AEECA55" w:rsidR="00BB58B5" w:rsidRPr="009A141E" w:rsidRDefault="00BB58B5" w:rsidP="00BB58B5">
      <w:pPr>
        <w:spacing w:line="276" w:lineRule="auto"/>
        <w:ind w:firstLine="720"/>
        <w:jc w:val="both"/>
      </w:pPr>
      <w:r w:rsidRPr="009A141E">
        <w:t>[6.2]</w:t>
      </w:r>
      <w:r w:rsidR="00FB6E98" w:rsidRPr="009A141E">
        <w:t> </w:t>
      </w:r>
      <w:r w:rsidRPr="009A141E">
        <w:t>Senatore konstatē, ka a</w:t>
      </w:r>
      <w:r w:rsidR="003B7A76" w:rsidRPr="009A141E">
        <w:t>pelācijas instances tiesa 2025. gada 13. janvār</w:t>
      </w:r>
      <w:r w:rsidRPr="009A141E">
        <w:t xml:space="preserve">ī pieņēmusi </w:t>
      </w:r>
      <w:r w:rsidR="003B7A76" w:rsidRPr="009A141E">
        <w:t>lēmum</w:t>
      </w:r>
      <w:r w:rsidRPr="009A141E">
        <w:t xml:space="preserve">u pēc </w:t>
      </w:r>
      <w:r w:rsidR="00EF2A5F">
        <w:t>cietušā pārstāvja</w:t>
      </w:r>
      <w:r w:rsidRPr="009A141E">
        <w:t xml:space="preserve"> – Valsts ieņēmuma dienesta – pieteikuma.</w:t>
      </w:r>
    </w:p>
    <w:p w14:paraId="7BBD0227" w14:textId="652241AC" w:rsidR="003B7A76" w:rsidRPr="009A141E" w:rsidRDefault="00BB58B5" w:rsidP="00D97E59">
      <w:pPr>
        <w:spacing w:line="276" w:lineRule="auto"/>
        <w:ind w:firstLine="720"/>
        <w:jc w:val="both"/>
      </w:pPr>
      <w:r w:rsidRPr="009A141E">
        <w:t xml:space="preserve">Apelācijas instances tiesa, izskatot pieteikumu, </w:t>
      </w:r>
      <w:r w:rsidR="00F17D7A" w:rsidRPr="009A141E">
        <w:t>konstatējusi,</w:t>
      </w:r>
      <w:r w:rsidR="009D2FD3" w:rsidRPr="009A141E">
        <w:t xml:space="preserve"> </w:t>
      </w:r>
      <w:r w:rsidR="003B7A76" w:rsidRPr="009A141E">
        <w:t xml:space="preserve">ka Rīgas apgabaltiesas 2024. gada 20. novembra sprieduma rezolutīvajā daļā ir norādīts nepareizs Valsts kases konta numurs, kurā ieskaitāma kaitējuma kompensācija. </w:t>
      </w:r>
    </w:p>
    <w:p w14:paraId="2875EB1D" w14:textId="6FE31856" w:rsidR="00F17D7A" w:rsidRPr="009A141E" w:rsidRDefault="003B7A76" w:rsidP="00F17D7A">
      <w:pPr>
        <w:spacing w:line="276" w:lineRule="auto"/>
        <w:ind w:firstLine="720"/>
        <w:jc w:val="both"/>
      </w:pPr>
      <w:r w:rsidRPr="009A141E">
        <w:t xml:space="preserve">No apelācijas instances tiesas 2024. gada 20. novembra sprieduma rezolutīvās daļas </w:t>
      </w:r>
      <w:r w:rsidR="00F17D7A" w:rsidRPr="009A141E">
        <w:t>konstatējams</w:t>
      </w:r>
      <w:r w:rsidRPr="009A141E">
        <w:t xml:space="preserve">, ka tiesa </w:t>
      </w:r>
      <w:r w:rsidR="00731CEF" w:rsidRPr="009A141E">
        <w:t xml:space="preserve">ir norādījusi </w:t>
      </w:r>
      <w:r w:rsidR="008A59E0" w:rsidRPr="009A141E">
        <w:t>V</w:t>
      </w:r>
      <w:r w:rsidR="00731CEF" w:rsidRPr="009A141E">
        <w:t>alsts kases kontu, kurā ir ieskaitāma kaitējuma kompensācija –</w:t>
      </w:r>
      <w:r w:rsidR="00BB12D3">
        <w:t xml:space="preserve"> </w:t>
      </w:r>
      <w:r w:rsidR="003431C2" w:rsidRPr="009A141E">
        <w:t>LV67TREL1060001239900,</w:t>
      </w:r>
      <w:r w:rsidR="008A59E0" w:rsidRPr="009A141E">
        <w:t xml:space="preserve"> maksājuma </w:t>
      </w:r>
      <w:r w:rsidR="00BB12D3">
        <w:t>mērķis</w:t>
      </w:r>
      <w:r w:rsidR="008A59E0" w:rsidRPr="009A141E">
        <w:t xml:space="preserve"> – Valsts kase,</w:t>
      </w:r>
      <w:r w:rsidR="003431C2" w:rsidRPr="009A141E">
        <w:t xml:space="preserve"> reģistrācijas Nr. 90000050138. Savukārt 2025. gada 13. janvāra lēmumā, konstatējot pārrakstīšanās kļūdu, </w:t>
      </w:r>
      <w:r w:rsidR="00F17D7A" w:rsidRPr="009A141E">
        <w:t xml:space="preserve">tiesa </w:t>
      </w:r>
      <w:r w:rsidR="003431C2" w:rsidRPr="009A141E">
        <w:t xml:space="preserve">norādījusi – </w:t>
      </w:r>
      <w:r w:rsidR="008A59E0" w:rsidRPr="009A141E">
        <w:t xml:space="preserve">Valsts kases konts LV88TREL813005617900B, maksājuma saņēmējs – </w:t>
      </w:r>
      <w:r w:rsidR="003431C2" w:rsidRPr="009A141E">
        <w:t>Valsts ieņēmumu dienests, reģistrācijas Nr. 90000069281.</w:t>
      </w:r>
    </w:p>
    <w:p w14:paraId="364923CC" w14:textId="58D1E5E6" w:rsidR="00D97E59" w:rsidRPr="009A141E" w:rsidRDefault="00F17D7A" w:rsidP="00D97E59">
      <w:pPr>
        <w:spacing w:line="276" w:lineRule="auto"/>
        <w:ind w:firstLine="720"/>
        <w:jc w:val="both"/>
        <w:rPr>
          <w:i/>
          <w:iCs/>
        </w:rPr>
      </w:pPr>
      <w:r w:rsidRPr="009A141E">
        <w:t>[6.3] </w:t>
      </w:r>
      <w:r w:rsidR="00141247" w:rsidRPr="009A141E">
        <w:t xml:space="preserve">Senāts jau iepriekš vairākkārt ir norādījis, ka ar pārrakstīšanās kļūdu saprotamas pareizrakstības, gramatikas kļūdas, kļūdas, kas nav saistītas ar juridiski </w:t>
      </w:r>
      <w:r w:rsidR="00141247" w:rsidRPr="009A141E">
        <w:lastRenderedPageBreak/>
        <w:t>nozīmīgiem faktiem, kļūdas, kuras ir acīmredzamas un kuru izlabošana nevar izraisīt šaubas (</w:t>
      </w:r>
      <w:bookmarkStart w:id="2" w:name="_Hlk195183273"/>
      <w:r w:rsidR="00141247" w:rsidRPr="009A141E">
        <w:rPr>
          <w:i/>
          <w:iCs/>
        </w:rPr>
        <w:t>Senāta 2014. gada 27. novembra lēmums lietā Nr. </w:t>
      </w:r>
      <w:hyperlink r:id="rId9" w:history="1">
        <w:r w:rsidR="00141247" w:rsidRPr="009A141E">
          <w:rPr>
            <w:rStyle w:val="Hyperlink"/>
            <w:i/>
            <w:iCs/>
            <w:color w:val="auto"/>
          </w:rPr>
          <w:t>SKK-566/2014</w:t>
        </w:r>
      </w:hyperlink>
      <w:r w:rsidR="00141247" w:rsidRPr="009A141E">
        <w:rPr>
          <w:i/>
          <w:iCs/>
        </w:rPr>
        <w:t>, 11360045509</w:t>
      </w:r>
      <w:bookmarkEnd w:id="2"/>
      <w:r w:rsidR="00141247" w:rsidRPr="009A141E">
        <w:rPr>
          <w:i/>
          <w:iCs/>
        </w:rPr>
        <w:t>).</w:t>
      </w:r>
    </w:p>
    <w:p w14:paraId="1B5C64ED" w14:textId="59D6CBF1" w:rsidR="00D97E59" w:rsidRPr="009A141E" w:rsidRDefault="00F17D7A" w:rsidP="00D97E59">
      <w:pPr>
        <w:spacing w:line="276" w:lineRule="auto"/>
        <w:ind w:firstLine="720"/>
        <w:jc w:val="both"/>
      </w:pPr>
      <w:r w:rsidRPr="009A141E">
        <w:t xml:space="preserve">Senatore </w:t>
      </w:r>
      <w:r w:rsidR="00D97E59" w:rsidRPr="009A141E">
        <w:t>norāda</w:t>
      </w:r>
      <w:r w:rsidRPr="009A141E">
        <w:t xml:space="preserve">, </w:t>
      </w:r>
      <w:r w:rsidR="003C0706" w:rsidRPr="009A141E">
        <w:t xml:space="preserve">ka kredītiestādes (finanšu iestādes) konta numura, kurā ieskaitāma kaitējuma kompensācija, </w:t>
      </w:r>
      <w:r w:rsidR="00A130D9" w:rsidRPr="009A141E">
        <w:t>norādīšana spriedumā nerada juridiskas sekas attiecībā uz kompensācijas maksāšanas pienākumu esību.</w:t>
      </w:r>
      <w:r w:rsidR="00D97E59" w:rsidRPr="009A141E">
        <w:t xml:space="preserve"> Tā </w:t>
      </w:r>
      <w:r w:rsidR="003C0706" w:rsidRPr="009A141E">
        <w:t>norādīšana sprieduma rezolutīvajā daļā atvieglo kompensācijas samaksas pienākuma izpildi</w:t>
      </w:r>
      <w:r w:rsidR="00D97E59" w:rsidRPr="009A141E">
        <w:t xml:space="preserve">. </w:t>
      </w:r>
    </w:p>
    <w:p w14:paraId="4D94E482" w14:textId="2C32146D" w:rsidR="00D97E59" w:rsidRPr="009A141E" w:rsidRDefault="00D97E59" w:rsidP="00D97E59">
      <w:pPr>
        <w:spacing w:line="276" w:lineRule="auto"/>
        <w:ind w:firstLine="720"/>
        <w:jc w:val="both"/>
      </w:pPr>
      <w:r w:rsidRPr="009A141E">
        <w:t xml:space="preserve">Senatore atzīst, ka </w:t>
      </w:r>
      <w:r w:rsidR="003C0706" w:rsidRPr="009A141E">
        <w:t>konta numuram nav būtiskas juridiskas nozīmes, tas neietekmē sprieduma juridisko spēku</w:t>
      </w:r>
      <w:r w:rsidR="00656074" w:rsidRPr="009A141E">
        <w:t xml:space="preserve">. </w:t>
      </w:r>
      <w:r w:rsidRPr="009A141E">
        <w:t xml:space="preserve">Tādējādi kredītiestādes (finanšu iestādes) konta numura, kurā ieskaitāma kaitējuma kompensācija, labošana sprieduma rezolutīvajā daļā ir atzīstama par pārrakstīšanās kļūdas labošanu. </w:t>
      </w:r>
    </w:p>
    <w:p w14:paraId="2DBEE227" w14:textId="77777777" w:rsidR="00FB6E98" w:rsidRPr="009A141E" w:rsidRDefault="00D97E59" w:rsidP="00D97E59">
      <w:pPr>
        <w:spacing w:line="276" w:lineRule="auto"/>
        <w:ind w:firstLine="720"/>
        <w:jc w:val="both"/>
      </w:pPr>
      <w:r w:rsidRPr="009A141E">
        <w:t>Turklāt apelācijas instances tiesa ir izvērtējusi, vai šādai kļūdai ir izšķiroša nozīme konkrētās lietas izlemšanā, un atzinusi, ka kļūdas labošana nepasliktina apsūdzēto stāvokli.</w:t>
      </w:r>
    </w:p>
    <w:p w14:paraId="713BC98D" w14:textId="23C111CB" w:rsidR="00A3020E" w:rsidRPr="009A141E" w:rsidRDefault="00D97E59" w:rsidP="00D97E59">
      <w:pPr>
        <w:spacing w:line="276" w:lineRule="auto"/>
        <w:ind w:firstLine="720"/>
        <w:jc w:val="both"/>
      </w:pPr>
      <w:r w:rsidRPr="009A141E">
        <w:t xml:space="preserve">[6.4] Ievērojot minēto, senatore atzīst, ka </w:t>
      </w:r>
      <w:r w:rsidR="00A3020E" w:rsidRPr="009A141E">
        <w:t xml:space="preserve">Rīgas apgabaltiesas 2025. gada 13. janvāra lēmums atstājams negrozīts, bet apsūdzētā </w:t>
      </w:r>
      <w:r w:rsidR="00663658">
        <w:t>[pers. </w:t>
      </w:r>
      <w:r w:rsidR="0011305B">
        <w:t>A</w:t>
      </w:r>
      <w:r w:rsidR="00663658">
        <w:t>]</w:t>
      </w:r>
      <w:r w:rsidR="00A3020E" w:rsidRPr="009A141E">
        <w:t xml:space="preserve"> aizstāvja V. Ločmeļa sūdzība noraidāma.</w:t>
      </w:r>
    </w:p>
    <w:p w14:paraId="2CC468CF" w14:textId="57D60198" w:rsidR="000B0D20" w:rsidRPr="009A141E" w:rsidRDefault="000B0D20" w:rsidP="00416164">
      <w:pPr>
        <w:spacing w:line="276" w:lineRule="auto"/>
        <w:jc w:val="both"/>
      </w:pPr>
    </w:p>
    <w:p w14:paraId="05F59C2D" w14:textId="77777777" w:rsidR="00B135BD" w:rsidRPr="009A141E" w:rsidRDefault="0023725E" w:rsidP="0023725E">
      <w:pPr>
        <w:spacing w:line="276" w:lineRule="auto"/>
        <w:jc w:val="center"/>
        <w:rPr>
          <w:rFonts w:eastAsia="Calibri"/>
          <w:b/>
          <w:sz w:val="22"/>
        </w:rPr>
      </w:pPr>
      <w:r w:rsidRPr="009A141E">
        <w:rPr>
          <w:rFonts w:eastAsia="Calibri"/>
          <w:b/>
        </w:rPr>
        <w:t>R</w:t>
      </w:r>
      <w:r w:rsidR="00B135BD" w:rsidRPr="009A141E">
        <w:rPr>
          <w:rFonts w:eastAsia="Calibri"/>
          <w:b/>
        </w:rPr>
        <w:t>ezolutīvā daļa</w:t>
      </w:r>
    </w:p>
    <w:p w14:paraId="3A752F0F" w14:textId="77777777" w:rsidR="00B135BD" w:rsidRPr="009A141E" w:rsidRDefault="00B135BD" w:rsidP="00B135BD">
      <w:pPr>
        <w:spacing w:line="276" w:lineRule="auto"/>
        <w:jc w:val="both"/>
        <w:rPr>
          <w:rFonts w:eastAsia="Calibri"/>
        </w:rPr>
      </w:pPr>
    </w:p>
    <w:p w14:paraId="3C9B1B94" w14:textId="4FB38092" w:rsidR="00B135BD" w:rsidRPr="009A141E" w:rsidRDefault="00B135BD" w:rsidP="00B135BD">
      <w:pPr>
        <w:spacing w:line="276" w:lineRule="auto"/>
        <w:ind w:firstLine="720"/>
        <w:jc w:val="both"/>
        <w:rPr>
          <w:rFonts w:eastAsia="Calibri"/>
        </w:rPr>
      </w:pPr>
      <w:r w:rsidRPr="009A141E">
        <w:rPr>
          <w:rFonts w:eastAsia="Calibri"/>
        </w:rPr>
        <w:t xml:space="preserve">Pamatojoties uz </w:t>
      </w:r>
      <w:r w:rsidR="004B1771" w:rsidRPr="009A141E">
        <w:rPr>
          <w:rFonts w:eastAsia="Calibri"/>
        </w:rPr>
        <w:t xml:space="preserve">Kriminālprocesa likuma </w:t>
      </w:r>
      <w:r w:rsidR="00320600" w:rsidRPr="009A141E">
        <w:rPr>
          <w:rFonts w:eastAsia="Calibri"/>
        </w:rPr>
        <w:t>474</w:t>
      </w:r>
      <w:r w:rsidR="004B1771" w:rsidRPr="009A141E">
        <w:rPr>
          <w:rFonts w:eastAsia="Calibri"/>
        </w:rPr>
        <w:t>.</w:t>
      </w:r>
      <w:r w:rsidR="00F01B5C" w:rsidRPr="009A141E">
        <w:rPr>
          <w:rFonts w:eastAsia="Calibri"/>
        </w:rPr>
        <w:t> </w:t>
      </w:r>
      <w:r w:rsidR="004B1771" w:rsidRPr="009A141E">
        <w:rPr>
          <w:rFonts w:eastAsia="Calibri"/>
        </w:rPr>
        <w:t xml:space="preserve">panta </w:t>
      </w:r>
      <w:r w:rsidR="00320600" w:rsidRPr="009A141E">
        <w:rPr>
          <w:rFonts w:eastAsia="Calibri"/>
        </w:rPr>
        <w:t>trešo</w:t>
      </w:r>
      <w:r w:rsidR="004B1771" w:rsidRPr="009A141E">
        <w:rPr>
          <w:rFonts w:eastAsia="Calibri"/>
        </w:rPr>
        <w:t xml:space="preserve"> daļu</w:t>
      </w:r>
      <w:r w:rsidRPr="009A141E">
        <w:rPr>
          <w:rFonts w:eastAsia="Calibri"/>
        </w:rPr>
        <w:t xml:space="preserve">, </w:t>
      </w:r>
      <w:r w:rsidR="00FA63A7" w:rsidRPr="009A141E">
        <w:rPr>
          <w:rFonts w:eastAsia="Calibri"/>
        </w:rPr>
        <w:t>senator</w:t>
      </w:r>
      <w:r w:rsidR="00F13948" w:rsidRPr="009A141E">
        <w:rPr>
          <w:rFonts w:eastAsia="Calibri"/>
        </w:rPr>
        <w:t>e</w:t>
      </w:r>
    </w:p>
    <w:p w14:paraId="257DE165" w14:textId="77777777" w:rsidR="00B135BD" w:rsidRPr="009A141E" w:rsidRDefault="00B135BD" w:rsidP="00B135BD">
      <w:pPr>
        <w:spacing w:line="276" w:lineRule="auto"/>
        <w:ind w:firstLine="720"/>
        <w:jc w:val="both"/>
        <w:rPr>
          <w:rFonts w:eastAsia="Calibri"/>
        </w:rPr>
      </w:pPr>
    </w:p>
    <w:p w14:paraId="693CB75B" w14:textId="54CA1CE2" w:rsidR="00B135BD" w:rsidRPr="009A141E" w:rsidRDefault="00786AD9" w:rsidP="00B135BD">
      <w:pPr>
        <w:spacing w:line="276" w:lineRule="auto"/>
        <w:jc w:val="center"/>
        <w:rPr>
          <w:rFonts w:eastAsia="Calibri"/>
          <w:b/>
        </w:rPr>
      </w:pPr>
      <w:r w:rsidRPr="009A141E">
        <w:rPr>
          <w:rFonts w:eastAsia="Calibri"/>
          <w:b/>
        </w:rPr>
        <w:t>n</w:t>
      </w:r>
      <w:r w:rsidR="00B135BD" w:rsidRPr="009A141E">
        <w:rPr>
          <w:rFonts w:eastAsia="Calibri"/>
          <w:b/>
        </w:rPr>
        <w:t>olēma</w:t>
      </w:r>
    </w:p>
    <w:p w14:paraId="3D1AA2A8" w14:textId="77777777" w:rsidR="00786AD9" w:rsidRPr="009A141E" w:rsidRDefault="00786AD9" w:rsidP="00B135BD">
      <w:pPr>
        <w:spacing w:line="276" w:lineRule="auto"/>
        <w:jc w:val="center"/>
        <w:rPr>
          <w:rFonts w:eastAsia="Calibri"/>
          <w:b/>
        </w:rPr>
      </w:pPr>
    </w:p>
    <w:p w14:paraId="51E70239" w14:textId="2EEC90CE" w:rsidR="00827E30" w:rsidRPr="009A141E" w:rsidRDefault="00786AD9" w:rsidP="00427191">
      <w:pPr>
        <w:spacing w:line="276" w:lineRule="auto"/>
        <w:ind w:firstLine="720"/>
        <w:jc w:val="both"/>
      </w:pPr>
      <w:r w:rsidRPr="009A141E">
        <w:t xml:space="preserve">Rīgas apgabaltiesas 2025. gada 13. janvāra lēmumu atstāt negrozītu, bet apsūdzētā </w:t>
      </w:r>
      <w:r w:rsidR="00663658">
        <w:t>[pers. </w:t>
      </w:r>
      <w:r w:rsidR="0011305B">
        <w:t>A</w:t>
      </w:r>
      <w:r w:rsidR="00663658">
        <w:t>]</w:t>
      </w:r>
      <w:r w:rsidRPr="009A141E">
        <w:t xml:space="preserve"> aizstāvja Viestura Ločmeļa sūdzību noraidīt. </w:t>
      </w:r>
    </w:p>
    <w:p w14:paraId="2B2AE3A2" w14:textId="77777777" w:rsidR="00786AD9" w:rsidRPr="009A141E" w:rsidRDefault="00786AD9" w:rsidP="00427191">
      <w:pPr>
        <w:spacing w:line="276" w:lineRule="auto"/>
        <w:ind w:firstLine="720"/>
        <w:jc w:val="both"/>
      </w:pPr>
    </w:p>
    <w:p w14:paraId="40C20560" w14:textId="77777777" w:rsidR="00B135BD" w:rsidRPr="009A141E" w:rsidRDefault="00B135BD" w:rsidP="00427191">
      <w:pPr>
        <w:spacing w:line="276" w:lineRule="auto"/>
        <w:ind w:firstLine="720"/>
        <w:jc w:val="both"/>
        <w:rPr>
          <w:rFonts w:eastAsia="Calibri"/>
        </w:rPr>
      </w:pPr>
      <w:r w:rsidRPr="009A141E">
        <w:rPr>
          <w:rFonts w:eastAsia="Calibri"/>
        </w:rPr>
        <w:t xml:space="preserve">Lēmums nav pārsūdzams. </w:t>
      </w:r>
    </w:p>
    <w:p w14:paraId="33936FC7" w14:textId="77777777" w:rsidR="00E05DD9" w:rsidRPr="009A141E" w:rsidRDefault="00E05DD9" w:rsidP="00B135BD">
      <w:pPr>
        <w:spacing w:line="276" w:lineRule="auto"/>
        <w:ind w:firstLine="705"/>
        <w:rPr>
          <w:rFonts w:eastAsia="Calibri"/>
        </w:rPr>
      </w:pPr>
    </w:p>
    <w:p w14:paraId="48A0CB24" w14:textId="77777777" w:rsidR="00747348" w:rsidRPr="009A141E" w:rsidRDefault="00747348" w:rsidP="00747348">
      <w:pPr>
        <w:spacing w:line="276" w:lineRule="auto"/>
        <w:ind w:firstLine="709"/>
        <w:jc w:val="both"/>
      </w:pPr>
    </w:p>
    <w:sectPr w:rsidR="00747348" w:rsidRPr="009A141E" w:rsidSect="00416164">
      <w:footerReference w:type="even"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DE1200" w14:textId="77777777" w:rsidR="00996C8C" w:rsidRDefault="00996C8C">
      <w:r>
        <w:separator/>
      </w:r>
    </w:p>
  </w:endnote>
  <w:endnote w:type="continuationSeparator" w:id="0">
    <w:p w14:paraId="5C14B765" w14:textId="77777777" w:rsidR="00996C8C" w:rsidRDefault="00996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3A167" w14:textId="77777777" w:rsidR="00423CC9" w:rsidRDefault="00423CC9" w:rsidP="00D332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023B64D" w14:textId="77777777" w:rsidR="00423CC9" w:rsidRDefault="00423C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549733"/>
      <w:docPartObj>
        <w:docPartGallery w:val="Page Numbers (Bottom of Page)"/>
        <w:docPartUnique/>
      </w:docPartObj>
    </w:sdtPr>
    <w:sdtEndPr>
      <w:rPr>
        <w:sz w:val="20"/>
        <w:szCs w:val="20"/>
      </w:rPr>
    </w:sdtEndPr>
    <w:sdtContent>
      <w:sdt>
        <w:sdtPr>
          <w:id w:val="-1577820094"/>
          <w:docPartObj>
            <w:docPartGallery w:val="Page Numbers (Top of Page)"/>
            <w:docPartUnique/>
          </w:docPartObj>
        </w:sdtPr>
        <w:sdtEndPr>
          <w:rPr>
            <w:sz w:val="20"/>
            <w:szCs w:val="20"/>
          </w:rPr>
        </w:sdtEndPr>
        <w:sdtContent>
          <w:p w14:paraId="6FF1D5FB" w14:textId="77777777" w:rsidR="00423CC9" w:rsidRPr="002B26EF" w:rsidRDefault="00423CC9" w:rsidP="00B70068">
            <w:pPr>
              <w:pStyle w:val="Footer"/>
              <w:jc w:val="center"/>
              <w:rPr>
                <w:sz w:val="20"/>
                <w:szCs w:val="20"/>
              </w:rPr>
            </w:pPr>
            <w:r w:rsidRPr="002B26EF">
              <w:rPr>
                <w:bCs/>
                <w:sz w:val="20"/>
                <w:szCs w:val="20"/>
              </w:rPr>
              <w:fldChar w:fldCharType="begin"/>
            </w:r>
            <w:r w:rsidRPr="002B26EF">
              <w:rPr>
                <w:bCs/>
                <w:sz w:val="20"/>
                <w:szCs w:val="20"/>
              </w:rPr>
              <w:instrText xml:space="preserve"> PAGE </w:instrText>
            </w:r>
            <w:r w:rsidRPr="002B26EF">
              <w:rPr>
                <w:bCs/>
                <w:sz w:val="20"/>
                <w:szCs w:val="20"/>
              </w:rPr>
              <w:fldChar w:fldCharType="separate"/>
            </w:r>
            <w:r w:rsidR="00074ABD" w:rsidRPr="002B26EF">
              <w:rPr>
                <w:bCs/>
                <w:noProof/>
                <w:sz w:val="20"/>
                <w:szCs w:val="20"/>
              </w:rPr>
              <w:t>2</w:t>
            </w:r>
            <w:r w:rsidRPr="002B26EF">
              <w:rPr>
                <w:bCs/>
                <w:sz w:val="20"/>
                <w:szCs w:val="20"/>
              </w:rPr>
              <w:fldChar w:fldCharType="end"/>
            </w:r>
            <w:r w:rsidRPr="002B26EF">
              <w:rPr>
                <w:sz w:val="20"/>
                <w:szCs w:val="20"/>
              </w:rPr>
              <w:t xml:space="preserve"> no </w:t>
            </w:r>
            <w:r w:rsidRPr="002B26EF">
              <w:rPr>
                <w:bCs/>
                <w:sz w:val="20"/>
                <w:szCs w:val="20"/>
              </w:rPr>
              <w:fldChar w:fldCharType="begin"/>
            </w:r>
            <w:r w:rsidRPr="002B26EF">
              <w:rPr>
                <w:bCs/>
                <w:sz w:val="20"/>
                <w:szCs w:val="20"/>
              </w:rPr>
              <w:instrText xml:space="preserve"> NUMPAGES  </w:instrText>
            </w:r>
            <w:r w:rsidRPr="002B26EF">
              <w:rPr>
                <w:bCs/>
                <w:sz w:val="20"/>
                <w:szCs w:val="20"/>
              </w:rPr>
              <w:fldChar w:fldCharType="separate"/>
            </w:r>
            <w:r w:rsidR="00074ABD" w:rsidRPr="002B26EF">
              <w:rPr>
                <w:bCs/>
                <w:noProof/>
                <w:sz w:val="20"/>
                <w:szCs w:val="20"/>
              </w:rPr>
              <w:t>2</w:t>
            </w:r>
            <w:r w:rsidRPr="002B26EF">
              <w:rPr>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1FA6" w14:textId="77777777" w:rsidR="00996C8C" w:rsidRDefault="00996C8C">
      <w:r>
        <w:separator/>
      </w:r>
    </w:p>
  </w:footnote>
  <w:footnote w:type="continuationSeparator" w:id="0">
    <w:p w14:paraId="23A1F10D" w14:textId="77777777" w:rsidR="00996C8C" w:rsidRDefault="00996C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A3640"/>
    <w:multiLevelType w:val="hybridMultilevel"/>
    <w:tmpl w:val="8872EA50"/>
    <w:lvl w:ilvl="0" w:tplc="2A1E05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49352A0E"/>
    <w:multiLevelType w:val="multilevel"/>
    <w:tmpl w:val="291A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3426579">
    <w:abstractNumId w:val="0"/>
  </w:num>
  <w:num w:numId="2" w16cid:durableId="6363732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35BD"/>
    <w:rsid w:val="00023A9D"/>
    <w:rsid w:val="00026D07"/>
    <w:rsid w:val="00032F0A"/>
    <w:rsid w:val="00034AAD"/>
    <w:rsid w:val="00037679"/>
    <w:rsid w:val="00052BB7"/>
    <w:rsid w:val="00066627"/>
    <w:rsid w:val="00072DAA"/>
    <w:rsid w:val="00073F39"/>
    <w:rsid w:val="00074ABD"/>
    <w:rsid w:val="000774AF"/>
    <w:rsid w:val="00082038"/>
    <w:rsid w:val="00086BB4"/>
    <w:rsid w:val="00093006"/>
    <w:rsid w:val="000931B5"/>
    <w:rsid w:val="000A45C0"/>
    <w:rsid w:val="000A6A1B"/>
    <w:rsid w:val="000B0D20"/>
    <w:rsid w:val="000B3D1F"/>
    <w:rsid w:val="000B4EE1"/>
    <w:rsid w:val="000C71ED"/>
    <w:rsid w:val="000D3579"/>
    <w:rsid w:val="000E13FD"/>
    <w:rsid w:val="000E20B4"/>
    <w:rsid w:val="00101710"/>
    <w:rsid w:val="0011305B"/>
    <w:rsid w:val="00117817"/>
    <w:rsid w:val="001203B0"/>
    <w:rsid w:val="001301BD"/>
    <w:rsid w:val="0013067C"/>
    <w:rsid w:val="00132182"/>
    <w:rsid w:val="00134968"/>
    <w:rsid w:val="001354C3"/>
    <w:rsid w:val="00141247"/>
    <w:rsid w:val="001440C9"/>
    <w:rsid w:val="00147B21"/>
    <w:rsid w:val="0015685E"/>
    <w:rsid w:val="00175D94"/>
    <w:rsid w:val="00183ECD"/>
    <w:rsid w:val="001853BB"/>
    <w:rsid w:val="0018678E"/>
    <w:rsid w:val="00197BDC"/>
    <w:rsid w:val="001A1088"/>
    <w:rsid w:val="001B1990"/>
    <w:rsid w:val="001B74E9"/>
    <w:rsid w:val="001C12D3"/>
    <w:rsid w:val="001F051F"/>
    <w:rsid w:val="001F0CF3"/>
    <w:rsid w:val="001F1279"/>
    <w:rsid w:val="00205031"/>
    <w:rsid w:val="002053A5"/>
    <w:rsid w:val="00205BCB"/>
    <w:rsid w:val="002154F4"/>
    <w:rsid w:val="00215B55"/>
    <w:rsid w:val="00222D7D"/>
    <w:rsid w:val="002236BC"/>
    <w:rsid w:val="00230A8F"/>
    <w:rsid w:val="00232340"/>
    <w:rsid w:val="0023725E"/>
    <w:rsid w:val="0024425C"/>
    <w:rsid w:val="0024521D"/>
    <w:rsid w:val="0026033C"/>
    <w:rsid w:val="00264898"/>
    <w:rsid w:val="00267506"/>
    <w:rsid w:val="00270D95"/>
    <w:rsid w:val="00277A02"/>
    <w:rsid w:val="002B26EF"/>
    <w:rsid w:val="002B52BF"/>
    <w:rsid w:val="002C28F7"/>
    <w:rsid w:val="002C5AA4"/>
    <w:rsid w:val="002C6879"/>
    <w:rsid w:val="002D4129"/>
    <w:rsid w:val="002D48E4"/>
    <w:rsid w:val="002D515D"/>
    <w:rsid w:val="002D7122"/>
    <w:rsid w:val="002E329F"/>
    <w:rsid w:val="00303FBC"/>
    <w:rsid w:val="0030418C"/>
    <w:rsid w:val="003114DC"/>
    <w:rsid w:val="00320542"/>
    <w:rsid w:val="00320600"/>
    <w:rsid w:val="0032071E"/>
    <w:rsid w:val="00326FF9"/>
    <w:rsid w:val="003305DC"/>
    <w:rsid w:val="00334212"/>
    <w:rsid w:val="0033500B"/>
    <w:rsid w:val="0033759D"/>
    <w:rsid w:val="00337AA9"/>
    <w:rsid w:val="00340D6A"/>
    <w:rsid w:val="00342465"/>
    <w:rsid w:val="003431C2"/>
    <w:rsid w:val="00351BD0"/>
    <w:rsid w:val="00355E9E"/>
    <w:rsid w:val="0036120C"/>
    <w:rsid w:val="0036523E"/>
    <w:rsid w:val="00366698"/>
    <w:rsid w:val="003675EA"/>
    <w:rsid w:val="00376EBD"/>
    <w:rsid w:val="003828D3"/>
    <w:rsid w:val="0038770E"/>
    <w:rsid w:val="00390281"/>
    <w:rsid w:val="00394285"/>
    <w:rsid w:val="00394873"/>
    <w:rsid w:val="00396601"/>
    <w:rsid w:val="003A2938"/>
    <w:rsid w:val="003B2610"/>
    <w:rsid w:val="003B71A9"/>
    <w:rsid w:val="003B7A76"/>
    <w:rsid w:val="003C0706"/>
    <w:rsid w:val="003C234F"/>
    <w:rsid w:val="003D139D"/>
    <w:rsid w:val="003D2F5E"/>
    <w:rsid w:val="003D4851"/>
    <w:rsid w:val="003D72E7"/>
    <w:rsid w:val="003D79AD"/>
    <w:rsid w:val="00400D33"/>
    <w:rsid w:val="004011BE"/>
    <w:rsid w:val="00401FCF"/>
    <w:rsid w:val="00405DA6"/>
    <w:rsid w:val="0041108D"/>
    <w:rsid w:val="00412A84"/>
    <w:rsid w:val="00416164"/>
    <w:rsid w:val="00423CC9"/>
    <w:rsid w:val="00424DF4"/>
    <w:rsid w:val="004253B9"/>
    <w:rsid w:val="0042709A"/>
    <w:rsid w:val="00427191"/>
    <w:rsid w:val="00430237"/>
    <w:rsid w:val="00432BDB"/>
    <w:rsid w:val="00436BC4"/>
    <w:rsid w:val="00441D31"/>
    <w:rsid w:val="00443C6F"/>
    <w:rsid w:val="00444697"/>
    <w:rsid w:val="00444A1C"/>
    <w:rsid w:val="0045708E"/>
    <w:rsid w:val="00461873"/>
    <w:rsid w:val="00463855"/>
    <w:rsid w:val="0047193B"/>
    <w:rsid w:val="00493059"/>
    <w:rsid w:val="0049524C"/>
    <w:rsid w:val="004B1771"/>
    <w:rsid w:val="004B274E"/>
    <w:rsid w:val="004B74D9"/>
    <w:rsid w:val="004C1913"/>
    <w:rsid w:val="004C45BB"/>
    <w:rsid w:val="004D314A"/>
    <w:rsid w:val="004D5B0B"/>
    <w:rsid w:val="004D6B03"/>
    <w:rsid w:val="004D6BFA"/>
    <w:rsid w:val="0050676F"/>
    <w:rsid w:val="00511327"/>
    <w:rsid w:val="00516D43"/>
    <w:rsid w:val="005237F3"/>
    <w:rsid w:val="00530718"/>
    <w:rsid w:val="00540BD7"/>
    <w:rsid w:val="0055657F"/>
    <w:rsid w:val="0055771B"/>
    <w:rsid w:val="00557BB2"/>
    <w:rsid w:val="00566634"/>
    <w:rsid w:val="00574FE0"/>
    <w:rsid w:val="00582F3A"/>
    <w:rsid w:val="0058408A"/>
    <w:rsid w:val="00584E00"/>
    <w:rsid w:val="005B622A"/>
    <w:rsid w:val="005B799B"/>
    <w:rsid w:val="005C3E2B"/>
    <w:rsid w:val="005D001B"/>
    <w:rsid w:val="005D3AFE"/>
    <w:rsid w:val="005D54B6"/>
    <w:rsid w:val="005E3143"/>
    <w:rsid w:val="005E57A9"/>
    <w:rsid w:val="005F148C"/>
    <w:rsid w:val="00600732"/>
    <w:rsid w:val="006016ED"/>
    <w:rsid w:val="00605560"/>
    <w:rsid w:val="00610990"/>
    <w:rsid w:val="006136E3"/>
    <w:rsid w:val="006156FC"/>
    <w:rsid w:val="00617EE9"/>
    <w:rsid w:val="0063307C"/>
    <w:rsid w:val="0063379A"/>
    <w:rsid w:val="00635649"/>
    <w:rsid w:val="00643A6A"/>
    <w:rsid w:val="00650783"/>
    <w:rsid w:val="0065141F"/>
    <w:rsid w:val="00656074"/>
    <w:rsid w:val="00663658"/>
    <w:rsid w:val="006655B5"/>
    <w:rsid w:val="00670C86"/>
    <w:rsid w:val="00671540"/>
    <w:rsid w:val="0067365C"/>
    <w:rsid w:val="00675057"/>
    <w:rsid w:val="00677ED8"/>
    <w:rsid w:val="006813EC"/>
    <w:rsid w:val="006909A5"/>
    <w:rsid w:val="006925A8"/>
    <w:rsid w:val="00695A90"/>
    <w:rsid w:val="00696382"/>
    <w:rsid w:val="006A5FDD"/>
    <w:rsid w:val="006B3DD9"/>
    <w:rsid w:val="006B73AA"/>
    <w:rsid w:val="006D0B27"/>
    <w:rsid w:val="006D53EF"/>
    <w:rsid w:val="006E00C4"/>
    <w:rsid w:val="006E15E2"/>
    <w:rsid w:val="006E1E89"/>
    <w:rsid w:val="006E3BA8"/>
    <w:rsid w:val="006F14AB"/>
    <w:rsid w:val="006F56FD"/>
    <w:rsid w:val="007013C1"/>
    <w:rsid w:val="00702490"/>
    <w:rsid w:val="00702E73"/>
    <w:rsid w:val="00706809"/>
    <w:rsid w:val="00710E3E"/>
    <w:rsid w:val="00712E3E"/>
    <w:rsid w:val="007135F2"/>
    <w:rsid w:val="007156C1"/>
    <w:rsid w:val="00731CEF"/>
    <w:rsid w:val="0073443A"/>
    <w:rsid w:val="00734799"/>
    <w:rsid w:val="0074152A"/>
    <w:rsid w:val="0074239C"/>
    <w:rsid w:val="00744B95"/>
    <w:rsid w:val="00745FAE"/>
    <w:rsid w:val="007462A6"/>
    <w:rsid w:val="00747348"/>
    <w:rsid w:val="00755241"/>
    <w:rsid w:val="00757EF0"/>
    <w:rsid w:val="007615EB"/>
    <w:rsid w:val="00766903"/>
    <w:rsid w:val="00771775"/>
    <w:rsid w:val="007753F1"/>
    <w:rsid w:val="00782F83"/>
    <w:rsid w:val="00783B7F"/>
    <w:rsid w:val="00784F60"/>
    <w:rsid w:val="00786AD9"/>
    <w:rsid w:val="007A0873"/>
    <w:rsid w:val="007A0DBE"/>
    <w:rsid w:val="007A1242"/>
    <w:rsid w:val="007A6DD6"/>
    <w:rsid w:val="007A7936"/>
    <w:rsid w:val="007B3E53"/>
    <w:rsid w:val="007B4115"/>
    <w:rsid w:val="007B41ED"/>
    <w:rsid w:val="007C2EDB"/>
    <w:rsid w:val="007C6348"/>
    <w:rsid w:val="007D0746"/>
    <w:rsid w:val="007D2ADA"/>
    <w:rsid w:val="007D2F67"/>
    <w:rsid w:val="007E0523"/>
    <w:rsid w:val="007E1DF6"/>
    <w:rsid w:val="007E593A"/>
    <w:rsid w:val="007F15FD"/>
    <w:rsid w:val="007F4FD5"/>
    <w:rsid w:val="008041F8"/>
    <w:rsid w:val="00811BCB"/>
    <w:rsid w:val="008152CB"/>
    <w:rsid w:val="008246D4"/>
    <w:rsid w:val="008266B7"/>
    <w:rsid w:val="00827E30"/>
    <w:rsid w:val="0083223A"/>
    <w:rsid w:val="00835DAB"/>
    <w:rsid w:val="00845D6E"/>
    <w:rsid w:val="00850AD0"/>
    <w:rsid w:val="00850DDB"/>
    <w:rsid w:val="00853995"/>
    <w:rsid w:val="0085734C"/>
    <w:rsid w:val="00857471"/>
    <w:rsid w:val="008641AF"/>
    <w:rsid w:val="008642DD"/>
    <w:rsid w:val="00873FE7"/>
    <w:rsid w:val="008827E9"/>
    <w:rsid w:val="00887829"/>
    <w:rsid w:val="008913F0"/>
    <w:rsid w:val="008925DF"/>
    <w:rsid w:val="0089783C"/>
    <w:rsid w:val="008A0637"/>
    <w:rsid w:val="008A59E0"/>
    <w:rsid w:val="008A6450"/>
    <w:rsid w:val="008C194F"/>
    <w:rsid w:val="008C6575"/>
    <w:rsid w:val="008D18A3"/>
    <w:rsid w:val="008D6956"/>
    <w:rsid w:val="008E2B57"/>
    <w:rsid w:val="008F2135"/>
    <w:rsid w:val="00900557"/>
    <w:rsid w:val="00901520"/>
    <w:rsid w:val="0090519B"/>
    <w:rsid w:val="009210E9"/>
    <w:rsid w:val="0092303E"/>
    <w:rsid w:val="009302BB"/>
    <w:rsid w:val="00931F6C"/>
    <w:rsid w:val="00932B6A"/>
    <w:rsid w:val="00933292"/>
    <w:rsid w:val="00940B33"/>
    <w:rsid w:val="009444BF"/>
    <w:rsid w:val="0094548F"/>
    <w:rsid w:val="0094744D"/>
    <w:rsid w:val="00947AAB"/>
    <w:rsid w:val="0095394B"/>
    <w:rsid w:val="00957F8E"/>
    <w:rsid w:val="00961902"/>
    <w:rsid w:val="00966520"/>
    <w:rsid w:val="00970B79"/>
    <w:rsid w:val="00971D4C"/>
    <w:rsid w:val="00981F9A"/>
    <w:rsid w:val="0099078B"/>
    <w:rsid w:val="00990916"/>
    <w:rsid w:val="00996C8C"/>
    <w:rsid w:val="009A141E"/>
    <w:rsid w:val="009A4A38"/>
    <w:rsid w:val="009A4F28"/>
    <w:rsid w:val="009A5707"/>
    <w:rsid w:val="009B23D9"/>
    <w:rsid w:val="009D2FD3"/>
    <w:rsid w:val="009D3646"/>
    <w:rsid w:val="009D5EEE"/>
    <w:rsid w:val="009D5FEB"/>
    <w:rsid w:val="009D7E9A"/>
    <w:rsid w:val="009E2D93"/>
    <w:rsid w:val="009F73F3"/>
    <w:rsid w:val="00A11B11"/>
    <w:rsid w:val="00A130D9"/>
    <w:rsid w:val="00A14752"/>
    <w:rsid w:val="00A21D7A"/>
    <w:rsid w:val="00A22D56"/>
    <w:rsid w:val="00A3020E"/>
    <w:rsid w:val="00A309E8"/>
    <w:rsid w:val="00A30EF3"/>
    <w:rsid w:val="00A357E7"/>
    <w:rsid w:val="00A3625D"/>
    <w:rsid w:val="00A42CDB"/>
    <w:rsid w:val="00A50EB2"/>
    <w:rsid w:val="00A52E9E"/>
    <w:rsid w:val="00A6543C"/>
    <w:rsid w:val="00A71849"/>
    <w:rsid w:val="00A73304"/>
    <w:rsid w:val="00A75D4C"/>
    <w:rsid w:val="00A83D77"/>
    <w:rsid w:val="00A86537"/>
    <w:rsid w:val="00AA5729"/>
    <w:rsid w:val="00AB1EC3"/>
    <w:rsid w:val="00AB4D5C"/>
    <w:rsid w:val="00AC10D5"/>
    <w:rsid w:val="00AC2606"/>
    <w:rsid w:val="00AD5CFB"/>
    <w:rsid w:val="00AD7F26"/>
    <w:rsid w:val="00AE223D"/>
    <w:rsid w:val="00AE22B7"/>
    <w:rsid w:val="00AF29FC"/>
    <w:rsid w:val="00AF2C26"/>
    <w:rsid w:val="00AF36C2"/>
    <w:rsid w:val="00AF789D"/>
    <w:rsid w:val="00B10B6B"/>
    <w:rsid w:val="00B10C28"/>
    <w:rsid w:val="00B135BD"/>
    <w:rsid w:val="00B13B52"/>
    <w:rsid w:val="00B17C9F"/>
    <w:rsid w:val="00B21E82"/>
    <w:rsid w:val="00B57B14"/>
    <w:rsid w:val="00B63FB2"/>
    <w:rsid w:val="00B70068"/>
    <w:rsid w:val="00B8263C"/>
    <w:rsid w:val="00B865E5"/>
    <w:rsid w:val="00B92510"/>
    <w:rsid w:val="00B9443B"/>
    <w:rsid w:val="00B96597"/>
    <w:rsid w:val="00B97059"/>
    <w:rsid w:val="00BA21AB"/>
    <w:rsid w:val="00BA2B61"/>
    <w:rsid w:val="00BB12D3"/>
    <w:rsid w:val="00BB3C5F"/>
    <w:rsid w:val="00BB5600"/>
    <w:rsid w:val="00BB58B5"/>
    <w:rsid w:val="00BB7DE8"/>
    <w:rsid w:val="00BC325E"/>
    <w:rsid w:val="00BC63C7"/>
    <w:rsid w:val="00BE5066"/>
    <w:rsid w:val="00BE5F15"/>
    <w:rsid w:val="00BF1582"/>
    <w:rsid w:val="00BF2CB2"/>
    <w:rsid w:val="00BF5F75"/>
    <w:rsid w:val="00BF7EA4"/>
    <w:rsid w:val="00C01747"/>
    <w:rsid w:val="00C03E8F"/>
    <w:rsid w:val="00C040A8"/>
    <w:rsid w:val="00C14017"/>
    <w:rsid w:val="00C16990"/>
    <w:rsid w:val="00C170DA"/>
    <w:rsid w:val="00C2160C"/>
    <w:rsid w:val="00C2595A"/>
    <w:rsid w:val="00C323F5"/>
    <w:rsid w:val="00C32462"/>
    <w:rsid w:val="00C53A5B"/>
    <w:rsid w:val="00C6054C"/>
    <w:rsid w:val="00C640E6"/>
    <w:rsid w:val="00C74059"/>
    <w:rsid w:val="00C7682A"/>
    <w:rsid w:val="00C80115"/>
    <w:rsid w:val="00C86533"/>
    <w:rsid w:val="00C93370"/>
    <w:rsid w:val="00C95438"/>
    <w:rsid w:val="00C959FC"/>
    <w:rsid w:val="00CA09D2"/>
    <w:rsid w:val="00CA2B34"/>
    <w:rsid w:val="00CA5038"/>
    <w:rsid w:val="00CB4175"/>
    <w:rsid w:val="00CB5405"/>
    <w:rsid w:val="00CB7CFC"/>
    <w:rsid w:val="00CC60C4"/>
    <w:rsid w:val="00CC7E4E"/>
    <w:rsid w:val="00CD2C22"/>
    <w:rsid w:val="00CE4FC2"/>
    <w:rsid w:val="00CE6A46"/>
    <w:rsid w:val="00CF64F2"/>
    <w:rsid w:val="00D00F29"/>
    <w:rsid w:val="00D050C0"/>
    <w:rsid w:val="00D14299"/>
    <w:rsid w:val="00D14433"/>
    <w:rsid w:val="00D15D21"/>
    <w:rsid w:val="00D17602"/>
    <w:rsid w:val="00D232BA"/>
    <w:rsid w:val="00D253CD"/>
    <w:rsid w:val="00D33265"/>
    <w:rsid w:val="00D35466"/>
    <w:rsid w:val="00D371B7"/>
    <w:rsid w:val="00D41423"/>
    <w:rsid w:val="00D430C5"/>
    <w:rsid w:val="00D43F5D"/>
    <w:rsid w:val="00D5251B"/>
    <w:rsid w:val="00D57631"/>
    <w:rsid w:val="00D57C83"/>
    <w:rsid w:val="00D61503"/>
    <w:rsid w:val="00D62EB6"/>
    <w:rsid w:val="00D633BE"/>
    <w:rsid w:val="00D66B77"/>
    <w:rsid w:val="00D66D75"/>
    <w:rsid w:val="00D6718D"/>
    <w:rsid w:val="00D67D98"/>
    <w:rsid w:val="00D71FF7"/>
    <w:rsid w:val="00D77901"/>
    <w:rsid w:val="00D83E3F"/>
    <w:rsid w:val="00D83E8E"/>
    <w:rsid w:val="00D92323"/>
    <w:rsid w:val="00D936F8"/>
    <w:rsid w:val="00D97100"/>
    <w:rsid w:val="00D97E59"/>
    <w:rsid w:val="00DA38E5"/>
    <w:rsid w:val="00DA444A"/>
    <w:rsid w:val="00DC1CA2"/>
    <w:rsid w:val="00DC2D21"/>
    <w:rsid w:val="00DC3B2A"/>
    <w:rsid w:val="00DC449B"/>
    <w:rsid w:val="00DC6B33"/>
    <w:rsid w:val="00DE5F48"/>
    <w:rsid w:val="00DF1486"/>
    <w:rsid w:val="00E05DD9"/>
    <w:rsid w:val="00E07523"/>
    <w:rsid w:val="00E23BBD"/>
    <w:rsid w:val="00E35FA3"/>
    <w:rsid w:val="00E44524"/>
    <w:rsid w:val="00E466BE"/>
    <w:rsid w:val="00E502EF"/>
    <w:rsid w:val="00E51E9C"/>
    <w:rsid w:val="00E5575E"/>
    <w:rsid w:val="00E60FD6"/>
    <w:rsid w:val="00E62E26"/>
    <w:rsid w:val="00E73074"/>
    <w:rsid w:val="00E80D61"/>
    <w:rsid w:val="00E821FD"/>
    <w:rsid w:val="00E82801"/>
    <w:rsid w:val="00E863EA"/>
    <w:rsid w:val="00E90321"/>
    <w:rsid w:val="00EA018F"/>
    <w:rsid w:val="00EA5441"/>
    <w:rsid w:val="00EC0A71"/>
    <w:rsid w:val="00EC4F4E"/>
    <w:rsid w:val="00ED6873"/>
    <w:rsid w:val="00EF2A5F"/>
    <w:rsid w:val="00EF5F83"/>
    <w:rsid w:val="00EF6170"/>
    <w:rsid w:val="00EF691A"/>
    <w:rsid w:val="00EF759C"/>
    <w:rsid w:val="00F00EEB"/>
    <w:rsid w:val="00F010E1"/>
    <w:rsid w:val="00F01B5C"/>
    <w:rsid w:val="00F03F99"/>
    <w:rsid w:val="00F075EE"/>
    <w:rsid w:val="00F12B25"/>
    <w:rsid w:val="00F13183"/>
    <w:rsid w:val="00F13948"/>
    <w:rsid w:val="00F17D7A"/>
    <w:rsid w:val="00F208BF"/>
    <w:rsid w:val="00F21DCE"/>
    <w:rsid w:val="00F273D0"/>
    <w:rsid w:val="00F325A7"/>
    <w:rsid w:val="00F35EC1"/>
    <w:rsid w:val="00F44255"/>
    <w:rsid w:val="00F46457"/>
    <w:rsid w:val="00F5437F"/>
    <w:rsid w:val="00F5441D"/>
    <w:rsid w:val="00F5649D"/>
    <w:rsid w:val="00F56A6D"/>
    <w:rsid w:val="00F61B78"/>
    <w:rsid w:val="00F716F0"/>
    <w:rsid w:val="00F726F2"/>
    <w:rsid w:val="00F746BD"/>
    <w:rsid w:val="00F759E9"/>
    <w:rsid w:val="00F90033"/>
    <w:rsid w:val="00F95B3E"/>
    <w:rsid w:val="00F96AF8"/>
    <w:rsid w:val="00FA1FB5"/>
    <w:rsid w:val="00FA4D6F"/>
    <w:rsid w:val="00FA5F39"/>
    <w:rsid w:val="00FA63A7"/>
    <w:rsid w:val="00FB39BD"/>
    <w:rsid w:val="00FB4090"/>
    <w:rsid w:val="00FB44B4"/>
    <w:rsid w:val="00FB4AA7"/>
    <w:rsid w:val="00FB60D0"/>
    <w:rsid w:val="00FB6E98"/>
    <w:rsid w:val="00FC01A4"/>
    <w:rsid w:val="00FC4664"/>
    <w:rsid w:val="00FC5D6A"/>
    <w:rsid w:val="00FD06E6"/>
    <w:rsid w:val="00FD09E4"/>
    <w:rsid w:val="00FD2491"/>
    <w:rsid w:val="00FD57DD"/>
    <w:rsid w:val="00FD5F15"/>
    <w:rsid w:val="00FD6218"/>
    <w:rsid w:val="00FD6632"/>
    <w:rsid w:val="00FE141C"/>
    <w:rsid w:val="00FE32AF"/>
    <w:rsid w:val="00FE36B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B38D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35BD"/>
    <w:pPr>
      <w:spacing w:after="0" w:line="240" w:lineRule="auto"/>
    </w:pPr>
    <w:rPr>
      <w:rFonts w:eastAsia="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2Char">
    <w:name w:val="Body Text 2 Char"/>
    <w:link w:val="BodyText2"/>
    <w:semiHidden/>
    <w:locked/>
    <w:rsid w:val="00B135BD"/>
    <w:rPr>
      <w:rFonts w:ascii="Garamond" w:hAnsi="Garamond"/>
      <w:sz w:val="28"/>
    </w:rPr>
  </w:style>
  <w:style w:type="paragraph" w:styleId="BodyText2">
    <w:name w:val="Body Text 2"/>
    <w:basedOn w:val="Normal"/>
    <w:link w:val="BodyText2Char"/>
    <w:semiHidden/>
    <w:rsid w:val="00B135BD"/>
    <w:pPr>
      <w:jc w:val="right"/>
    </w:pPr>
    <w:rPr>
      <w:rFonts w:ascii="Garamond" w:eastAsiaTheme="minorHAnsi" w:hAnsi="Garamond" w:cstheme="minorBidi"/>
      <w:sz w:val="28"/>
    </w:rPr>
  </w:style>
  <w:style w:type="character" w:customStyle="1" w:styleId="BodyText2Char1">
    <w:name w:val="Body Text 2 Char1"/>
    <w:basedOn w:val="DefaultParagraphFont"/>
    <w:uiPriority w:val="99"/>
    <w:semiHidden/>
    <w:rsid w:val="00B135BD"/>
    <w:rPr>
      <w:rFonts w:eastAsia="Times New Roman" w:cs="Times New Roman"/>
    </w:rPr>
  </w:style>
  <w:style w:type="paragraph" w:styleId="Footer">
    <w:name w:val="footer"/>
    <w:basedOn w:val="Normal"/>
    <w:link w:val="FooterChar"/>
    <w:uiPriority w:val="99"/>
    <w:rsid w:val="00B135BD"/>
    <w:pPr>
      <w:tabs>
        <w:tab w:val="center" w:pos="4153"/>
        <w:tab w:val="right" w:pos="8306"/>
      </w:tabs>
    </w:pPr>
  </w:style>
  <w:style w:type="character" w:customStyle="1" w:styleId="FooterChar">
    <w:name w:val="Footer Char"/>
    <w:basedOn w:val="DefaultParagraphFont"/>
    <w:link w:val="Footer"/>
    <w:uiPriority w:val="99"/>
    <w:rsid w:val="00B135BD"/>
    <w:rPr>
      <w:rFonts w:eastAsia="Times New Roman" w:cs="Times New Roman"/>
    </w:rPr>
  </w:style>
  <w:style w:type="character" w:styleId="PageNumber">
    <w:name w:val="page number"/>
    <w:basedOn w:val="DefaultParagraphFont"/>
    <w:rsid w:val="00B135BD"/>
    <w:rPr>
      <w:rFonts w:cs="Times New Roman"/>
    </w:rPr>
  </w:style>
  <w:style w:type="paragraph" w:styleId="Header">
    <w:name w:val="header"/>
    <w:basedOn w:val="Normal"/>
    <w:link w:val="HeaderChar"/>
    <w:uiPriority w:val="99"/>
    <w:unhideWhenUsed/>
    <w:rsid w:val="00B135BD"/>
    <w:pPr>
      <w:tabs>
        <w:tab w:val="center" w:pos="4153"/>
        <w:tab w:val="right" w:pos="8306"/>
      </w:tabs>
    </w:pPr>
  </w:style>
  <w:style w:type="character" w:customStyle="1" w:styleId="HeaderChar">
    <w:name w:val="Header Char"/>
    <w:basedOn w:val="DefaultParagraphFont"/>
    <w:link w:val="Header"/>
    <w:uiPriority w:val="99"/>
    <w:rsid w:val="00B135BD"/>
    <w:rPr>
      <w:rFonts w:eastAsia="Times New Roman" w:cs="Times New Roman"/>
    </w:rPr>
  </w:style>
  <w:style w:type="paragraph" w:customStyle="1" w:styleId="tv213">
    <w:name w:val="tv213"/>
    <w:basedOn w:val="Normal"/>
    <w:rsid w:val="00B135BD"/>
    <w:pPr>
      <w:spacing w:before="100" w:beforeAutospacing="1" w:after="100" w:afterAutospacing="1"/>
    </w:pPr>
    <w:rPr>
      <w:lang w:eastAsia="lv-LV"/>
    </w:rPr>
  </w:style>
  <w:style w:type="character" w:styleId="Hyperlink">
    <w:name w:val="Hyperlink"/>
    <w:basedOn w:val="DefaultParagraphFont"/>
    <w:uiPriority w:val="99"/>
    <w:unhideWhenUsed/>
    <w:rsid w:val="00FC01A4"/>
    <w:rPr>
      <w:color w:val="0563C1" w:themeColor="hyperlink"/>
      <w:u w:val="single"/>
    </w:rPr>
  </w:style>
  <w:style w:type="paragraph" w:styleId="FootnoteText">
    <w:name w:val="footnote text"/>
    <w:basedOn w:val="Normal"/>
    <w:link w:val="FootnoteTextChar"/>
    <w:uiPriority w:val="99"/>
    <w:semiHidden/>
    <w:unhideWhenUsed/>
    <w:rsid w:val="0089783C"/>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89783C"/>
    <w:rPr>
      <w:rFonts w:ascii="Calibri" w:eastAsia="Calibri" w:hAnsi="Calibri" w:cs="Times New Roman"/>
      <w:sz w:val="20"/>
      <w:szCs w:val="20"/>
    </w:rPr>
  </w:style>
  <w:style w:type="character" w:styleId="FootnoteReference">
    <w:name w:val="footnote reference"/>
    <w:basedOn w:val="DefaultParagraphFont"/>
    <w:uiPriority w:val="99"/>
    <w:semiHidden/>
    <w:unhideWhenUsed/>
    <w:rsid w:val="0089783C"/>
    <w:rPr>
      <w:vertAlign w:val="superscript"/>
    </w:rPr>
  </w:style>
  <w:style w:type="table" w:styleId="TableGrid">
    <w:name w:val="Table Grid"/>
    <w:basedOn w:val="TableNormal"/>
    <w:uiPriority w:val="39"/>
    <w:rsid w:val="00432B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2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2BB7"/>
    <w:rPr>
      <w:rFonts w:ascii="Segoe UI" w:eastAsia="Times New Roman" w:hAnsi="Segoe UI" w:cs="Segoe UI"/>
      <w:sz w:val="18"/>
      <w:szCs w:val="18"/>
    </w:rPr>
  </w:style>
  <w:style w:type="paragraph" w:styleId="ListParagraph">
    <w:name w:val="List Paragraph"/>
    <w:basedOn w:val="Normal"/>
    <w:uiPriority w:val="34"/>
    <w:qFormat/>
    <w:rsid w:val="00C95438"/>
    <w:pPr>
      <w:ind w:left="720"/>
      <w:contextualSpacing/>
    </w:pPr>
  </w:style>
  <w:style w:type="paragraph" w:styleId="Revision">
    <w:name w:val="Revision"/>
    <w:hidden/>
    <w:uiPriority w:val="99"/>
    <w:semiHidden/>
    <w:rsid w:val="0099078B"/>
    <w:pPr>
      <w:spacing w:after="0" w:line="240" w:lineRule="auto"/>
    </w:pPr>
    <w:rPr>
      <w:rFonts w:eastAsia="Times New Roman" w:cs="Times New Roman"/>
    </w:rPr>
  </w:style>
  <w:style w:type="character" w:styleId="UnresolvedMention">
    <w:name w:val="Unresolved Mention"/>
    <w:basedOn w:val="DefaultParagraphFont"/>
    <w:uiPriority w:val="99"/>
    <w:semiHidden/>
    <w:unhideWhenUsed/>
    <w:rsid w:val="003C0706"/>
    <w:rPr>
      <w:color w:val="605E5C"/>
      <w:shd w:val="clear" w:color="auto" w:fill="E1DFDD"/>
    </w:rPr>
  </w:style>
  <w:style w:type="character" w:styleId="CommentReference">
    <w:name w:val="annotation reference"/>
    <w:basedOn w:val="DefaultParagraphFont"/>
    <w:uiPriority w:val="99"/>
    <w:semiHidden/>
    <w:unhideWhenUsed/>
    <w:rsid w:val="00D97E59"/>
    <w:rPr>
      <w:sz w:val="16"/>
      <w:szCs w:val="16"/>
    </w:rPr>
  </w:style>
  <w:style w:type="paragraph" w:styleId="CommentText">
    <w:name w:val="annotation text"/>
    <w:basedOn w:val="Normal"/>
    <w:link w:val="CommentTextChar"/>
    <w:uiPriority w:val="99"/>
    <w:semiHidden/>
    <w:unhideWhenUsed/>
    <w:rsid w:val="00D97E59"/>
    <w:rPr>
      <w:sz w:val="20"/>
      <w:szCs w:val="20"/>
    </w:rPr>
  </w:style>
  <w:style w:type="character" w:customStyle="1" w:styleId="CommentTextChar">
    <w:name w:val="Comment Text Char"/>
    <w:basedOn w:val="DefaultParagraphFont"/>
    <w:link w:val="CommentText"/>
    <w:uiPriority w:val="99"/>
    <w:semiHidden/>
    <w:rsid w:val="00D97E59"/>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97E59"/>
    <w:rPr>
      <w:b/>
      <w:bCs/>
    </w:rPr>
  </w:style>
  <w:style w:type="character" w:customStyle="1" w:styleId="CommentSubjectChar">
    <w:name w:val="Comment Subject Char"/>
    <w:basedOn w:val="CommentTextChar"/>
    <w:link w:val="CommentSubject"/>
    <w:uiPriority w:val="99"/>
    <w:semiHidden/>
    <w:rsid w:val="00D97E59"/>
    <w:rPr>
      <w:rFonts w:eastAsia="Times New Roman" w:cs="Times New Roman"/>
      <w:b/>
      <w:bCs/>
      <w:sz w:val="20"/>
      <w:szCs w:val="20"/>
    </w:rPr>
  </w:style>
  <w:style w:type="character" w:styleId="FollowedHyperlink">
    <w:name w:val="FollowedHyperlink"/>
    <w:basedOn w:val="DefaultParagraphFont"/>
    <w:uiPriority w:val="99"/>
    <w:semiHidden/>
    <w:unhideWhenUsed/>
    <w:rsid w:val="00337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7517131">
      <w:bodyDiv w:val="1"/>
      <w:marLeft w:val="0"/>
      <w:marRight w:val="0"/>
      <w:marTop w:val="0"/>
      <w:marBottom w:val="0"/>
      <w:divBdr>
        <w:top w:val="none" w:sz="0" w:space="0" w:color="auto"/>
        <w:left w:val="none" w:sz="0" w:space="0" w:color="auto"/>
        <w:bottom w:val="none" w:sz="0" w:space="0" w:color="auto"/>
        <w:right w:val="none" w:sz="0" w:space="0" w:color="auto"/>
      </w:divBdr>
    </w:div>
    <w:div w:id="780957191">
      <w:bodyDiv w:val="1"/>
      <w:marLeft w:val="0"/>
      <w:marRight w:val="0"/>
      <w:marTop w:val="0"/>
      <w:marBottom w:val="0"/>
      <w:divBdr>
        <w:top w:val="none" w:sz="0" w:space="0" w:color="auto"/>
        <w:left w:val="none" w:sz="0" w:space="0" w:color="auto"/>
        <w:bottom w:val="none" w:sz="0" w:space="0" w:color="auto"/>
        <w:right w:val="none" w:sz="0" w:space="0" w:color="auto"/>
      </w:divBdr>
    </w:div>
    <w:div w:id="865172920">
      <w:bodyDiv w:val="1"/>
      <w:marLeft w:val="0"/>
      <w:marRight w:val="0"/>
      <w:marTop w:val="0"/>
      <w:marBottom w:val="0"/>
      <w:divBdr>
        <w:top w:val="none" w:sz="0" w:space="0" w:color="auto"/>
        <w:left w:val="none" w:sz="0" w:space="0" w:color="auto"/>
        <w:bottom w:val="none" w:sz="0" w:space="0" w:color="auto"/>
        <w:right w:val="none" w:sz="0" w:space="0" w:color="auto"/>
      </w:divBdr>
    </w:div>
    <w:div w:id="921255376">
      <w:bodyDiv w:val="1"/>
      <w:marLeft w:val="0"/>
      <w:marRight w:val="0"/>
      <w:marTop w:val="0"/>
      <w:marBottom w:val="0"/>
      <w:divBdr>
        <w:top w:val="none" w:sz="0" w:space="0" w:color="auto"/>
        <w:left w:val="none" w:sz="0" w:space="0" w:color="auto"/>
        <w:bottom w:val="none" w:sz="0" w:space="0" w:color="auto"/>
        <w:right w:val="none" w:sz="0" w:space="0" w:color="auto"/>
      </w:divBdr>
    </w:div>
    <w:div w:id="1027680511">
      <w:bodyDiv w:val="1"/>
      <w:marLeft w:val="0"/>
      <w:marRight w:val="0"/>
      <w:marTop w:val="0"/>
      <w:marBottom w:val="0"/>
      <w:divBdr>
        <w:top w:val="none" w:sz="0" w:space="0" w:color="auto"/>
        <w:left w:val="none" w:sz="0" w:space="0" w:color="auto"/>
        <w:bottom w:val="none" w:sz="0" w:space="0" w:color="auto"/>
        <w:right w:val="none" w:sz="0" w:space="0" w:color="auto"/>
      </w:divBdr>
      <w:divsChild>
        <w:div w:id="1056977758">
          <w:marLeft w:val="480"/>
          <w:marRight w:val="0"/>
          <w:marTop w:val="0"/>
          <w:marBottom w:val="0"/>
          <w:divBdr>
            <w:top w:val="none" w:sz="0" w:space="0" w:color="auto"/>
            <w:left w:val="none" w:sz="0" w:space="0" w:color="auto"/>
            <w:bottom w:val="none" w:sz="0" w:space="0" w:color="auto"/>
            <w:right w:val="none" w:sz="0" w:space="0" w:color="auto"/>
          </w:divBdr>
          <w:divsChild>
            <w:div w:id="2009602093">
              <w:marLeft w:val="0"/>
              <w:marRight w:val="0"/>
              <w:marTop w:val="0"/>
              <w:marBottom w:val="0"/>
              <w:divBdr>
                <w:top w:val="none" w:sz="0" w:space="0" w:color="auto"/>
                <w:left w:val="none" w:sz="0" w:space="0" w:color="auto"/>
                <w:bottom w:val="none" w:sz="0" w:space="0" w:color="auto"/>
                <w:right w:val="none" w:sz="0" w:space="0" w:color="auto"/>
              </w:divBdr>
              <w:divsChild>
                <w:div w:id="843520315">
                  <w:marLeft w:val="0"/>
                  <w:marRight w:val="0"/>
                  <w:marTop w:val="0"/>
                  <w:marBottom w:val="0"/>
                  <w:divBdr>
                    <w:top w:val="none" w:sz="0" w:space="0" w:color="auto"/>
                    <w:left w:val="none" w:sz="0" w:space="0" w:color="auto"/>
                    <w:bottom w:val="none" w:sz="0" w:space="0" w:color="auto"/>
                    <w:right w:val="none" w:sz="0" w:space="0" w:color="auto"/>
                  </w:divBdr>
                </w:div>
              </w:divsChild>
            </w:div>
            <w:div w:id="910044104">
              <w:marLeft w:val="0"/>
              <w:marRight w:val="0"/>
              <w:marTop w:val="0"/>
              <w:marBottom w:val="0"/>
              <w:divBdr>
                <w:top w:val="none" w:sz="0" w:space="0" w:color="auto"/>
                <w:left w:val="none" w:sz="0" w:space="0" w:color="auto"/>
                <w:bottom w:val="none" w:sz="0" w:space="0" w:color="auto"/>
                <w:right w:val="none" w:sz="0" w:space="0" w:color="auto"/>
              </w:divBdr>
              <w:divsChild>
                <w:div w:id="24919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421221">
      <w:bodyDiv w:val="1"/>
      <w:marLeft w:val="0"/>
      <w:marRight w:val="0"/>
      <w:marTop w:val="0"/>
      <w:marBottom w:val="0"/>
      <w:divBdr>
        <w:top w:val="none" w:sz="0" w:space="0" w:color="auto"/>
        <w:left w:val="none" w:sz="0" w:space="0" w:color="auto"/>
        <w:bottom w:val="none" w:sz="0" w:space="0" w:color="auto"/>
        <w:right w:val="none" w:sz="0" w:space="0" w:color="auto"/>
      </w:divBdr>
    </w:div>
    <w:div w:id="1223099004">
      <w:bodyDiv w:val="1"/>
      <w:marLeft w:val="0"/>
      <w:marRight w:val="0"/>
      <w:marTop w:val="0"/>
      <w:marBottom w:val="0"/>
      <w:divBdr>
        <w:top w:val="none" w:sz="0" w:space="0" w:color="auto"/>
        <w:left w:val="none" w:sz="0" w:space="0" w:color="auto"/>
        <w:bottom w:val="none" w:sz="0" w:space="0" w:color="auto"/>
        <w:right w:val="none" w:sz="0" w:space="0" w:color="auto"/>
      </w:divBdr>
      <w:divsChild>
        <w:div w:id="825514713">
          <w:marLeft w:val="480"/>
          <w:marRight w:val="0"/>
          <w:marTop w:val="0"/>
          <w:marBottom w:val="0"/>
          <w:divBdr>
            <w:top w:val="none" w:sz="0" w:space="0" w:color="auto"/>
            <w:left w:val="none" w:sz="0" w:space="0" w:color="auto"/>
            <w:bottom w:val="none" w:sz="0" w:space="0" w:color="auto"/>
            <w:right w:val="none" w:sz="0" w:space="0" w:color="auto"/>
          </w:divBdr>
          <w:divsChild>
            <w:div w:id="250433857">
              <w:marLeft w:val="0"/>
              <w:marRight w:val="0"/>
              <w:marTop w:val="0"/>
              <w:marBottom w:val="0"/>
              <w:divBdr>
                <w:top w:val="none" w:sz="0" w:space="0" w:color="auto"/>
                <w:left w:val="none" w:sz="0" w:space="0" w:color="auto"/>
                <w:bottom w:val="none" w:sz="0" w:space="0" w:color="auto"/>
                <w:right w:val="none" w:sz="0" w:space="0" w:color="auto"/>
              </w:divBdr>
              <w:divsChild>
                <w:div w:id="1222522103">
                  <w:marLeft w:val="0"/>
                  <w:marRight w:val="0"/>
                  <w:marTop w:val="0"/>
                  <w:marBottom w:val="0"/>
                  <w:divBdr>
                    <w:top w:val="none" w:sz="0" w:space="0" w:color="auto"/>
                    <w:left w:val="none" w:sz="0" w:space="0" w:color="auto"/>
                    <w:bottom w:val="none" w:sz="0" w:space="0" w:color="auto"/>
                    <w:right w:val="none" w:sz="0" w:space="0" w:color="auto"/>
                  </w:divBdr>
                </w:div>
              </w:divsChild>
            </w:div>
            <w:div w:id="675037743">
              <w:marLeft w:val="0"/>
              <w:marRight w:val="0"/>
              <w:marTop w:val="0"/>
              <w:marBottom w:val="0"/>
              <w:divBdr>
                <w:top w:val="none" w:sz="0" w:space="0" w:color="auto"/>
                <w:left w:val="none" w:sz="0" w:space="0" w:color="auto"/>
                <w:bottom w:val="none" w:sz="0" w:space="0" w:color="auto"/>
                <w:right w:val="none" w:sz="0" w:space="0" w:color="auto"/>
              </w:divBdr>
              <w:divsChild>
                <w:div w:id="139650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50452.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at.gov.lv/downloadlawfile/374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525D4B-D387-4E88-BB35-52E824A955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4492</Words>
  <Characters>2561</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2025-04-10T10:14:00Z</dcterms:created>
  <dcterms:modified xsi:type="dcterms:W3CDTF">2025-04-10T11:06:00Z</dcterms:modified>
</cp:coreProperties>
</file>