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7BAD7" w14:textId="77777777" w:rsidR="005A6969" w:rsidRDefault="005A6969" w:rsidP="005A6969">
      <w:pPr>
        <w:spacing w:line="276" w:lineRule="auto"/>
        <w:jc w:val="both"/>
        <w:rPr>
          <w:b/>
          <w:bCs/>
        </w:rPr>
      </w:pPr>
      <w:r w:rsidRPr="001F73F5">
        <w:rPr>
          <w:b/>
          <w:bCs/>
        </w:rPr>
        <w:t>Nodarītā kaitējum</w:t>
      </w:r>
      <w:r>
        <w:rPr>
          <w:b/>
          <w:bCs/>
        </w:rPr>
        <w:t>a</w:t>
      </w:r>
      <w:r w:rsidRPr="001F73F5">
        <w:rPr>
          <w:b/>
          <w:bCs/>
        </w:rPr>
        <w:t xml:space="preserve"> atlīdzināšana pirms apsūdzētā atzīšanas par vainīgu noziedzīgajā nodarījumā</w:t>
      </w:r>
    </w:p>
    <w:p w14:paraId="7657BD6B" w14:textId="77777777" w:rsidR="005A6969" w:rsidRPr="001F73F5" w:rsidRDefault="005A6969" w:rsidP="005A6969">
      <w:pPr>
        <w:spacing w:line="276" w:lineRule="auto"/>
        <w:jc w:val="both"/>
      </w:pPr>
      <w:r w:rsidRPr="001F73F5">
        <w:t>Labprātīga cietušajam  ar noziedzīgo nodarījumu radītā kaitējuma atlīdzināšana pirms apsūdzētā atzīšanas par vainīgu noziedzīgajā nodarījumā nav apsūdzētā pienākums, bet tiesības. Savu tiesību neizmantošana nevar būt pamats apsūdzētā tiesiskā stāvokļa pasliktināšanai, nosakot sodu.</w:t>
      </w:r>
    </w:p>
    <w:p w14:paraId="755DB854" w14:textId="77777777" w:rsidR="000D2D6C" w:rsidRDefault="000D2D6C" w:rsidP="005A6969">
      <w:pPr>
        <w:spacing w:line="276" w:lineRule="auto"/>
        <w:jc w:val="both"/>
        <w:rPr>
          <w:lang w:eastAsia="lv-LV"/>
        </w:rPr>
      </w:pPr>
    </w:p>
    <w:p w14:paraId="30EF74F0" w14:textId="168745F2" w:rsidR="00447EE6" w:rsidRPr="005A6969" w:rsidRDefault="00447EE6" w:rsidP="005A6969">
      <w:pPr>
        <w:spacing w:line="276" w:lineRule="auto"/>
        <w:jc w:val="center"/>
        <w:rPr>
          <w:b/>
        </w:rPr>
      </w:pPr>
      <w:r w:rsidRPr="005A6969">
        <w:rPr>
          <w:b/>
        </w:rPr>
        <w:t>Latvijas Republikas Senāt</w:t>
      </w:r>
      <w:r w:rsidR="005A6969" w:rsidRPr="005A6969">
        <w:rPr>
          <w:b/>
        </w:rPr>
        <w:t>a</w:t>
      </w:r>
    </w:p>
    <w:p w14:paraId="27B3E9BF" w14:textId="7421CE3E" w:rsidR="005A6969" w:rsidRPr="005A6969" w:rsidRDefault="005A6969" w:rsidP="005A6969">
      <w:pPr>
        <w:spacing w:line="276" w:lineRule="auto"/>
        <w:jc w:val="center"/>
        <w:rPr>
          <w:b/>
          <w:lang w:eastAsia="lv-LV"/>
        </w:rPr>
      </w:pPr>
      <w:r w:rsidRPr="005A6969">
        <w:rPr>
          <w:b/>
          <w:lang w:eastAsia="lv-LV"/>
        </w:rPr>
        <w:t>Krimināllietu departamenta</w:t>
      </w:r>
    </w:p>
    <w:p w14:paraId="4C36B929" w14:textId="5900A6CB" w:rsidR="005A6969" w:rsidRPr="005A6969" w:rsidRDefault="005A6969" w:rsidP="00C22356">
      <w:pPr>
        <w:spacing w:line="276" w:lineRule="auto"/>
        <w:jc w:val="center"/>
        <w:rPr>
          <w:b/>
        </w:rPr>
      </w:pPr>
      <w:r w:rsidRPr="005A6969">
        <w:rPr>
          <w:b/>
        </w:rPr>
        <w:t>2025. gada 19. marta</w:t>
      </w:r>
    </w:p>
    <w:p w14:paraId="6D65DEB2" w14:textId="1A75EA7D" w:rsidR="00447EE6" w:rsidRPr="005A6969" w:rsidRDefault="006D5C62" w:rsidP="00C22356">
      <w:pPr>
        <w:spacing w:line="276" w:lineRule="auto"/>
        <w:jc w:val="center"/>
        <w:rPr>
          <w:b/>
        </w:rPr>
      </w:pPr>
      <w:r w:rsidRPr="005A6969">
        <w:rPr>
          <w:b/>
        </w:rPr>
        <w:t>LĒMUMS</w:t>
      </w:r>
    </w:p>
    <w:p w14:paraId="781D45C0" w14:textId="5257B0D3" w:rsidR="00447EE6" w:rsidRPr="005A6969" w:rsidRDefault="005A6969" w:rsidP="005A6969">
      <w:pPr>
        <w:spacing w:line="276" w:lineRule="auto"/>
        <w:jc w:val="center"/>
        <w:rPr>
          <w:b/>
          <w:lang w:eastAsia="lv-LV"/>
        </w:rPr>
      </w:pPr>
      <w:r w:rsidRPr="005A6969">
        <w:rPr>
          <w:b/>
          <w:lang w:eastAsia="lv-LV"/>
        </w:rPr>
        <w:t>Lieta Nr. 15830107710, SKK</w:t>
      </w:r>
      <w:r w:rsidRPr="005A6969">
        <w:rPr>
          <w:b/>
          <w:lang w:eastAsia="lv-LV"/>
        </w:rPr>
        <w:noBreakHyphen/>
        <w:t>19/2025</w:t>
      </w:r>
    </w:p>
    <w:p w14:paraId="465F4CC6" w14:textId="4A89FFA6" w:rsidR="005A6969" w:rsidRPr="003E7DCE" w:rsidRDefault="00EF59E5" w:rsidP="005A6969">
      <w:pPr>
        <w:spacing w:line="276" w:lineRule="auto"/>
        <w:jc w:val="center"/>
        <w:rPr>
          <w:lang w:eastAsia="lv-LV"/>
        </w:rPr>
      </w:pPr>
      <w:hyperlink r:id="rId8" w:history="1">
        <w:r w:rsidR="005A6969" w:rsidRPr="00EF59E5">
          <w:rPr>
            <w:rStyle w:val="Hyperlink"/>
            <w:lang w:eastAsia="lv-LV"/>
          </w:rPr>
          <w:t>ECLI:LV:AT:2025:0319.15830107710.4.L</w:t>
        </w:r>
      </w:hyperlink>
    </w:p>
    <w:p w14:paraId="536B4ACC" w14:textId="77777777" w:rsidR="006D5C62" w:rsidRPr="00272EC6" w:rsidRDefault="006D5C62" w:rsidP="00C22356">
      <w:pPr>
        <w:spacing w:line="276" w:lineRule="auto"/>
        <w:jc w:val="center"/>
      </w:pPr>
    </w:p>
    <w:p w14:paraId="1609D6F5" w14:textId="58BACAB3" w:rsidR="00447EE6" w:rsidRDefault="00447EE6" w:rsidP="00C22356">
      <w:pPr>
        <w:spacing w:line="276" w:lineRule="auto"/>
        <w:ind w:firstLine="720"/>
        <w:jc w:val="both"/>
      </w:pPr>
      <w:r w:rsidRPr="00272EC6">
        <w:t>Senāts šādā sastāvā:</w:t>
      </w:r>
      <w:r w:rsidR="006D5C62" w:rsidRPr="00272EC6">
        <w:t xml:space="preserve"> senatore referente Sandra Kaija, senator</w:t>
      </w:r>
      <w:r w:rsidR="008C6913">
        <w:t>es Inguna Radzeviča</w:t>
      </w:r>
      <w:r w:rsidR="00A303AF">
        <w:t xml:space="preserve"> un</w:t>
      </w:r>
      <w:r w:rsidR="00E7163F">
        <w:t xml:space="preserve"> </w:t>
      </w:r>
      <w:r w:rsidR="008C6913">
        <w:t>Inese Laura Zemīte</w:t>
      </w:r>
    </w:p>
    <w:p w14:paraId="41A28065" w14:textId="77777777" w:rsidR="006D5C62" w:rsidRDefault="006D5C62" w:rsidP="00C22356">
      <w:pPr>
        <w:spacing w:line="276" w:lineRule="auto"/>
        <w:ind w:firstLine="720"/>
        <w:jc w:val="both"/>
        <w:rPr>
          <w:lang w:eastAsia="lv-LV"/>
        </w:rPr>
      </w:pPr>
    </w:p>
    <w:p w14:paraId="7E850A44" w14:textId="35F51236" w:rsidR="00F90281" w:rsidRDefault="00F90281" w:rsidP="00C22356">
      <w:pPr>
        <w:spacing w:line="276" w:lineRule="auto"/>
        <w:ind w:firstLine="720"/>
        <w:jc w:val="both"/>
        <w:rPr>
          <w:lang w:eastAsia="lv-LV"/>
        </w:rPr>
      </w:pPr>
      <w:r>
        <w:rPr>
          <w:lang w:eastAsia="lv-LV"/>
        </w:rPr>
        <w:t xml:space="preserve">rakstveida procesā izskatīja krimināllietu sakarā ar </w:t>
      </w:r>
      <w:r w:rsidR="004F4923">
        <w:rPr>
          <w:lang w:eastAsia="lv-LV"/>
        </w:rPr>
        <w:t xml:space="preserve">apsūdzētā </w:t>
      </w:r>
      <w:r w:rsidR="005A6969">
        <w:rPr>
          <w:lang w:eastAsia="lv-LV"/>
        </w:rPr>
        <w:t>[pers. A]</w:t>
      </w:r>
      <w:r w:rsidR="004F4923">
        <w:rPr>
          <w:lang w:eastAsia="lv-LV"/>
        </w:rPr>
        <w:t xml:space="preserve"> (</w:t>
      </w:r>
      <w:r w:rsidR="005A6969">
        <w:rPr>
          <w:lang w:eastAsia="lv-LV"/>
        </w:rPr>
        <w:t>[pers. A]</w:t>
      </w:r>
      <w:r w:rsidR="004F4923">
        <w:rPr>
          <w:lang w:eastAsia="lv-LV"/>
        </w:rPr>
        <w:t xml:space="preserve">) aizstāvja zvērināta advokāta palīga Reiņa </w:t>
      </w:r>
      <w:proofErr w:type="spellStart"/>
      <w:r w:rsidR="004F4923">
        <w:rPr>
          <w:lang w:eastAsia="lv-LV"/>
        </w:rPr>
        <w:t>Grandāna</w:t>
      </w:r>
      <w:proofErr w:type="spellEnd"/>
      <w:r w:rsidR="00EA6035">
        <w:rPr>
          <w:lang w:eastAsia="lv-LV"/>
        </w:rPr>
        <w:t xml:space="preserve"> </w:t>
      </w:r>
      <w:r>
        <w:rPr>
          <w:lang w:eastAsia="lv-LV"/>
        </w:rPr>
        <w:t xml:space="preserve">kasācijas </w:t>
      </w:r>
      <w:r w:rsidR="00EA6035">
        <w:rPr>
          <w:lang w:eastAsia="lv-LV"/>
        </w:rPr>
        <w:t>sūdzīb</w:t>
      </w:r>
      <w:r w:rsidR="006C7760">
        <w:rPr>
          <w:lang w:eastAsia="lv-LV"/>
        </w:rPr>
        <w:t>u</w:t>
      </w:r>
      <w:r>
        <w:rPr>
          <w:lang w:eastAsia="lv-LV"/>
        </w:rPr>
        <w:t xml:space="preserve"> par </w:t>
      </w:r>
      <w:r w:rsidR="004F4923">
        <w:rPr>
          <w:lang w:eastAsia="lv-LV"/>
        </w:rPr>
        <w:t>Zemgales</w:t>
      </w:r>
      <w:r w:rsidR="006C7760">
        <w:rPr>
          <w:lang w:eastAsia="lv-LV"/>
        </w:rPr>
        <w:t xml:space="preserve"> </w:t>
      </w:r>
      <w:r>
        <w:rPr>
          <w:lang w:eastAsia="lv-LV"/>
        </w:rPr>
        <w:t xml:space="preserve">apgabaltiesas 2024. gada </w:t>
      </w:r>
      <w:r w:rsidR="004F4923">
        <w:rPr>
          <w:lang w:eastAsia="lv-LV"/>
        </w:rPr>
        <w:t>17</w:t>
      </w:r>
      <w:r w:rsidR="00EA6035">
        <w:rPr>
          <w:lang w:eastAsia="lv-LV"/>
        </w:rPr>
        <w:t>. janvāra</w:t>
      </w:r>
      <w:r>
        <w:rPr>
          <w:lang w:eastAsia="lv-LV"/>
        </w:rPr>
        <w:t xml:space="preserve"> </w:t>
      </w:r>
      <w:r w:rsidR="004F4923">
        <w:rPr>
          <w:lang w:eastAsia="lv-LV"/>
        </w:rPr>
        <w:t>spriedumu</w:t>
      </w:r>
      <w:r>
        <w:rPr>
          <w:lang w:eastAsia="lv-LV"/>
        </w:rPr>
        <w:t>.</w:t>
      </w:r>
    </w:p>
    <w:p w14:paraId="15A5FC97" w14:textId="77777777" w:rsidR="00F90281" w:rsidRDefault="00F90281" w:rsidP="00C22356">
      <w:pPr>
        <w:spacing w:line="276" w:lineRule="auto"/>
        <w:ind w:firstLine="720"/>
        <w:jc w:val="both"/>
        <w:rPr>
          <w:lang w:eastAsia="lv-LV"/>
        </w:rPr>
      </w:pPr>
    </w:p>
    <w:p w14:paraId="12882064" w14:textId="77777777" w:rsidR="00447EE6" w:rsidRDefault="00447EE6" w:rsidP="00C22356">
      <w:pPr>
        <w:spacing w:line="276" w:lineRule="auto"/>
        <w:jc w:val="center"/>
        <w:rPr>
          <w:b/>
          <w:shd w:val="clear" w:color="auto" w:fill="FFFFFF"/>
        </w:rPr>
      </w:pPr>
      <w:r w:rsidRPr="00011547">
        <w:rPr>
          <w:b/>
          <w:shd w:val="clear" w:color="auto" w:fill="FFFFFF"/>
        </w:rPr>
        <w:t>Aprakstošā daļa</w:t>
      </w:r>
    </w:p>
    <w:p w14:paraId="2F0D3F0F" w14:textId="77777777" w:rsidR="006D5C62" w:rsidRPr="006D5C62" w:rsidRDefault="006D5C62" w:rsidP="00C22356">
      <w:pPr>
        <w:spacing w:line="276" w:lineRule="auto"/>
        <w:jc w:val="center"/>
        <w:rPr>
          <w:bCs/>
          <w:shd w:val="clear" w:color="auto" w:fill="FFFFFF"/>
        </w:rPr>
      </w:pPr>
    </w:p>
    <w:p w14:paraId="0B4F5653" w14:textId="49D776A8" w:rsidR="00447EE6" w:rsidRDefault="00447EE6" w:rsidP="004F4923">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5A6004">
        <w:rPr>
          <w:shd w:val="clear" w:color="auto" w:fill="FFFFFF"/>
        </w:rPr>
        <w:t> </w:t>
      </w:r>
      <w:r w:rsidR="00F90281">
        <w:rPr>
          <w:shd w:val="clear" w:color="auto" w:fill="FFFFFF"/>
        </w:rPr>
        <w:t xml:space="preserve">Ar </w:t>
      </w:r>
      <w:r w:rsidR="004F4923">
        <w:rPr>
          <w:shd w:val="clear" w:color="auto" w:fill="FFFFFF"/>
        </w:rPr>
        <w:t>Rīgas pilsētas Vidzemes priekšpilsētas tiesas</w:t>
      </w:r>
      <w:r w:rsidR="00F90281">
        <w:rPr>
          <w:shd w:val="clear" w:color="auto" w:fill="FFFFFF"/>
        </w:rPr>
        <w:t xml:space="preserve"> 202</w:t>
      </w:r>
      <w:r w:rsidR="006C7760">
        <w:rPr>
          <w:shd w:val="clear" w:color="auto" w:fill="FFFFFF"/>
        </w:rPr>
        <w:t>2</w:t>
      </w:r>
      <w:r w:rsidR="00F90281">
        <w:rPr>
          <w:shd w:val="clear" w:color="auto" w:fill="FFFFFF"/>
        </w:rPr>
        <w:t xml:space="preserve">. gada </w:t>
      </w:r>
      <w:r w:rsidR="004F4923">
        <w:rPr>
          <w:shd w:val="clear" w:color="auto" w:fill="FFFFFF"/>
        </w:rPr>
        <w:t>20. jūlija</w:t>
      </w:r>
      <w:r w:rsidR="00F90281">
        <w:rPr>
          <w:shd w:val="clear" w:color="auto" w:fill="FFFFFF"/>
        </w:rPr>
        <w:t xml:space="preserve"> spriedumu</w:t>
      </w:r>
    </w:p>
    <w:p w14:paraId="440F9E36" w14:textId="70EA13FC" w:rsidR="00F90281" w:rsidRDefault="005A6969" w:rsidP="00C22356">
      <w:pPr>
        <w:pStyle w:val="NormalWeb"/>
        <w:shd w:val="clear" w:color="auto" w:fill="FFFFFF"/>
        <w:spacing w:before="0" w:beforeAutospacing="0" w:after="0" w:afterAutospacing="0" w:line="276" w:lineRule="auto"/>
        <w:ind w:firstLine="720"/>
        <w:jc w:val="both"/>
        <w:rPr>
          <w:shd w:val="clear" w:color="auto" w:fill="FFFFFF"/>
        </w:rPr>
      </w:pPr>
      <w:r>
        <w:t>[pers. A]</w:t>
      </w:r>
      <w:r w:rsidR="00F90281">
        <w:rPr>
          <w:shd w:val="clear" w:color="auto" w:fill="FFFFFF"/>
        </w:rPr>
        <w:t xml:space="preserve">, personas kods </w:t>
      </w:r>
      <w:r>
        <w:rPr>
          <w:shd w:val="clear" w:color="auto" w:fill="FFFFFF"/>
        </w:rPr>
        <w:t>[..]</w:t>
      </w:r>
      <w:r w:rsidR="00F90281">
        <w:rPr>
          <w:shd w:val="clear" w:color="auto" w:fill="FFFFFF"/>
        </w:rPr>
        <w:t>,</w:t>
      </w:r>
    </w:p>
    <w:p w14:paraId="09A5255E" w14:textId="2C830771" w:rsidR="00EA6035" w:rsidRDefault="00F90281" w:rsidP="00825D0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atzīts </w:t>
      </w:r>
      <w:r w:rsidR="004F4923">
        <w:rPr>
          <w:shd w:val="clear" w:color="auto" w:fill="FFFFFF"/>
        </w:rPr>
        <w:t xml:space="preserve">par vainīgu Krimināllikuma 218. panta otrajā daļā paredzētajā noziedzīgajā nodarījumā un sodīts ar </w:t>
      </w:r>
      <w:r w:rsidR="002B6BEF">
        <w:rPr>
          <w:shd w:val="clear" w:color="auto" w:fill="FFFFFF"/>
        </w:rPr>
        <w:t xml:space="preserve">brīvības atņemšanu uz 6 mēnešiem, </w:t>
      </w:r>
      <w:r w:rsidR="00697622">
        <w:rPr>
          <w:shd w:val="clear" w:color="auto" w:fill="FFFFFF"/>
        </w:rPr>
        <w:t xml:space="preserve">daļēji </w:t>
      </w:r>
      <w:r w:rsidR="002B6BEF">
        <w:rPr>
          <w:shd w:val="clear" w:color="auto" w:fill="FFFFFF"/>
        </w:rPr>
        <w:t>konfiscējot mantu.</w:t>
      </w:r>
    </w:p>
    <w:p w14:paraId="09653B9F" w14:textId="4E90A3F7" w:rsidR="00905BF5" w:rsidRDefault="002B6BEF" w:rsidP="00905BF5">
      <w:pPr>
        <w:pStyle w:val="NormalWeb"/>
        <w:shd w:val="clear" w:color="auto" w:fill="FFFFFF"/>
        <w:spacing w:before="0" w:beforeAutospacing="0" w:after="0" w:afterAutospacing="0" w:line="276" w:lineRule="auto"/>
        <w:ind w:firstLine="720"/>
        <w:jc w:val="both"/>
        <w:rPr>
          <w:shd w:val="clear" w:color="auto" w:fill="FFFFFF"/>
        </w:rPr>
      </w:pPr>
      <w:r w:rsidRPr="002B6BEF">
        <w:rPr>
          <w:shd w:val="clear" w:color="auto" w:fill="FFFFFF"/>
        </w:rPr>
        <w:t>Saskaņā ar Krimināllikuma 55.</w:t>
      </w:r>
      <w:r>
        <w:rPr>
          <w:shd w:val="clear" w:color="auto" w:fill="FFFFFF"/>
        </w:rPr>
        <w:t> </w:t>
      </w:r>
      <w:r w:rsidRPr="002B6BEF">
        <w:rPr>
          <w:shd w:val="clear" w:color="auto" w:fill="FFFFFF"/>
        </w:rPr>
        <w:t xml:space="preserve">pantu </w:t>
      </w:r>
      <w:r w:rsidR="005A6969">
        <w:t>[pers. A]</w:t>
      </w:r>
      <w:r w:rsidRPr="002B6BEF">
        <w:rPr>
          <w:shd w:val="clear" w:color="auto" w:fill="FFFFFF"/>
        </w:rPr>
        <w:t xml:space="preserve"> notiesāts nosacīti ar pārbaudes laiku uz </w:t>
      </w:r>
      <w:r>
        <w:rPr>
          <w:shd w:val="clear" w:color="auto" w:fill="FFFFFF"/>
        </w:rPr>
        <w:t>6 mēnešiem.</w:t>
      </w:r>
    </w:p>
    <w:p w14:paraId="0D677701" w14:textId="49FD40EC" w:rsidR="002B6BEF" w:rsidRDefault="002B6BEF" w:rsidP="002B6BEF">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SIA „</w:t>
      </w:r>
      <w:r w:rsidR="005A6969">
        <w:rPr>
          <w:shd w:val="clear" w:color="auto" w:fill="FFFFFF"/>
        </w:rPr>
        <w:t>[Nosaukums]</w:t>
      </w:r>
      <w:r>
        <w:rPr>
          <w:shd w:val="clear" w:color="auto" w:fill="FFFFFF"/>
        </w:rPr>
        <w:t>” piemērots piespiedu ietekmēšanas līdzeklis – naudas piedziņa 10 minimālo mēnešalgu apmērā – par tās interesēs izdarīto Krimināllikuma 218. panta otrajā daļā paredzēto noziedzīgo nodarījumu.</w:t>
      </w:r>
    </w:p>
    <w:p w14:paraId="521F83F4" w14:textId="34FE6D35" w:rsidR="002B6BEF" w:rsidRDefault="002B6BEF" w:rsidP="002B6BEF">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No SIA „</w:t>
      </w:r>
      <w:r w:rsidR="005A6969">
        <w:rPr>
          <w:shd w:val="clear" w:color="auto" w:fill="FFFFFF"/>
        </w:rPr>
        <w:t>[Nosaukums]</w:t>
      </w:r>
      <w:r>
        <w:rPr>
          <w:shd w:val="clear" w:color="auto" w:fill="FFFFFF"/>
        </w:rPr>
        <w:t>” valsts labā piedzīta kaitējuma kompensācija 64 440 </w:t>
      </w:r>
      <w:proofErr w:type="spellStart"/>
      <w:r w:rsidRPr="002B6BEF">
        <w:rPr>
          <w:i/>
          <w:iCs/>
          <w:shd w:val="clear" w:color="auto" w:fill="FFFFFF"/>
        </w:rPr>
        <w:t>euro</w:t>
      </w:r>
      <w:proofErr w:type="spellEnd"/>
      <w:r>
        <w:rPr>
          <w:shd w:val="clear" w:color="auto" w:fill="FFFFFF"/>
        </w:rPr>
        <w:t xml:space="preserve">. </w:t>
      </w:r>
    </w:p>
    <w:p w14:paraId="3A21D171" w14:textId="77777777" w:rsidR="002B6BEF" w:rsidRDefault="002B6BEF" w:rsidP="00905BF5">
      <w:pPr>
        <w:pStyle w:val="NormalWeb"/>
        <w:shd w:val="clear" w:color="auto" w:fill="FFFFFF"/>
        <w:spacing w:before="0" w:beforeAutospacing="0" w:after="0" w:afterAutospacing="0" w:line="276" w:lineRule="auto"/>
        <w:ind w:firstLine="720"/>
        <w:jc w:val="both"/>
        <w:rPr>
          <w:shd w:val="clear" w:color="auto" w:fill="FFFFFF"/>
        </w:rPr>
      </w:pPr>
    </w:p>
    <w:p w14:paraId="67759194" w14:textId="7C6B144C" w:rsidR="006D5C62" w:rsidRDefault="00230E94" w:rsidP="00905BF5">
      <w:pPr>
        <w:pStyle w:val="NormalWeb"/>
        <w:shd w:val="clear" w:color="auto" w:fill="FFFFFF"/>
        <w:spacing w:before="0" w:beforeAutospacing="0" w:after="0" w:afterAutospacing="0" w:line="276" w:lineRule="auto"/>
        <w:ind w:firstLine="720"/>
        <w:jc w:val="both"/>
      </w:pPr>
      <w:r>
        <w:t>[2] </w:t>
      </w:r>
      <w:r w:rsidR="00905BF5">
        <w:t xml:space="preserve">Ar </w:t>
      </w:r>
      <w:r w:rsidR="00EF0C90">
        <w:t>Rīgas pilsētas Vidzemes priekšpilsētas tiesas</w:t>
      </w:r>
      <w:r w:rsidR="00905BF5">
        <w:t xml:space="preserve"> 2022. gada </w:t>
      </w:r>
      <w:r w:rsidR="00EF0C90">
        <w:t>20. jūlija</w:t>
      </w:r>
      <w:r w:rsidR="00905BF5">
        <w:t xml:space="preserve"> spriedumu apsūdzētais </w:t>
      </w:r>
      <w:r w:rsidR="005A6969">
        <w:t>[pers. A]</w:t>
      </w:r>
      <w:r w:rsidR="00905BF5">
        <w:t xml:space="preserve"> atzīts par </w:t>
      </w:r>
      <w:r w:rsidR="00EF0C90">
        <w:t>vainīgu un sodīts</w:t>
      </w:r>
      <w:r w:rsidR="00905BF5">
        <w:t xml:space="preserve"> pēc Krimināllikuma </w:t>
      </w:r>
      <w:r w:rsidR="00EF0C90">
        <w:t>218</w:t>
      </w:r>
      <w:r w:rsidR="00905BF5">
        <w:t xml:space="preserve">. panta </w:t>
      </w:r>
      <w:r w:rsidR="00EF0C90">
        <w:t xml:space="preserve">otrās </w:t>
      </w:r>
      <w:r w:rsidR="00905BF5">
        <w:t>daļas par to, ka viņš</w:t>
      </w:r>
      <w:r w:rsidR="00EF0C90">
        <w:t xml:space="preserve"> izvairījās no nodokļu nomaksas, nodarot valstij zaudējumus lielā apmērā. </w:t>
      </w:r>
    </w:p>
    <w:p w14:paraId="0245AE92" w14:textId="77777777" w:rsidR="00EF0C90" w:rsidRDefault="00EF0C90" w:rsidP="00905BF5">
      <w:pPr>
        <w:pStyle w:val="NormalWeb"/>
        <w:shd w:val="clear" w:color="auto" w:fill="FFFFFF"/>
        <w:spacing w:before="0" w:beforeAutospacing="0" w:after="0" w:afterAutospacing="0" w:line="276" w:lineRule="auto"/>
        <w:ind w:firstLine="720"/>
        <w:jc w:val="both"/>
      </w:pPr>
    </w:p>
    <w:p w14:paraId="25DFC4CF" w14:textId="45AD8072" w:rsidR="00230E94" w:rsidRDefault="00230E94" w:rsidP="00C22356">
      <w:pPr>
        <w:pStyle w:val="NormalWeb"/>
        <w:shd w:val="clear" w:color="auto" w:fill="FFFFFF"/>
        <w:spacing w:before="0" w:beforeAutospacing="0" w:after="0" w:afterAutospacing="0" w:line="276" w:lineRule="auto"/>
        <w:ind w:firstLine="720"/>
        <w:jc w:val="both"/>
      </w:pPr>
      <w:r>
        <w:t xml:space="preserve">[3] Ar </w:t>
      </w:r>
      <w:r w:rsidR="00EF0C90">
        <w:t>Zemgales</w:t>
      </w:r>
      <w:r>
        <w:t xml:space="preserve"> apgabaltiesas 2024. gada </w:t>
      </w:r>
      <w:r w:rsidR="00EF0C90">
        <w:t>17</w:t>
      </w:r>
      <w:r w:rsidR="00905BF5">
        <w:t xml:space="preserve">. janvāra </w:t>
      </w:r>
      <w:r w:rsidR="00EF0C90">
        <w:t>spriedumu</w:t>
      </w:r>
      <w:r>
        <w:t>, iztiesājot lietu sakarā ar</w:t>
      </w:r>
      <w:r w:rsidR="00905BF5">
        <w:t xml:space="preserve"> </w:t>
      </w:r>
      <w:r w:rsidR="00EF0C90">
        <w:t>Organizētās noziedzības un citu nozaru specializētās</w:t>
      </w:r>
      <w:r w:rsidR="00905BF5" w:rsidRPr="00905BF5">
        <w:t xml:space="preserve"> prokuratūras prokurora </w:t>
      </w:r>
      <w:r w:rsidR="00EF0C90">
        <w:t xml:space="preserve">Dmitrija </w:t>
      </w:r>
      <w:proofErr w:type="spellStart"/>
      <w:r w:rsidR="00EF0C90">
        <w:t>Troicka</w:t>
      </w:r>
      <w:proofErr w:type="spellEnd"/>
      <w:r w:rsidR="00905BF5" w:rsidRPr="00905BF5">
        <w:t xml:space="preserve"> </w:t>
      </w:r>
      <w:r w:rsidR="00905BF5">
        <w:t>apelācijas</w:t>
      </w:r>
      <w:r w:rsidR="00905BF5" w:rsidRPr="00905BF5">
        <w:t xml:space="preserve"> protestu</w:t>
      </w:r>
      <w:r w:rsidR="00EF0C90">
        <w:t xml:space="preserve">, Valsts ieņēmumu dienesta pārstāves </w:t>
      </w:r>
      <w:r w:rsidR="005A6969">
        <w:t>[pers. B]</w:t>
      </w:r>
      <w:r w:rsidR="00EF0C90">
        <w:t xml:space="preserve"> un apsūdzētā </w:t>
      </w:r>
      <w:r w:rsidR="005A6969">
        <w:t>[pers. A]</w:t>
      </w:r>
      <w:r w:rsidR="00EF0C90">
        <w:t xml:space="preserve"> </w:t>
      </w:r>
      <w:r w:rsidR="00905BF5">
        <w:t>apelācijas sūdzīb</w:t>
      </w:r>
      <w:r w:rsidR="00EF0C90">
        <w:t>ām</w:t>
      </w:r>
      <w:r w:rsidR="00905BF5">
        <w:t>,</w:t>
      </w:r>
      <w:r>
        <w:t xml:space="preserve"> </w:t>
      </w:r>
      <w:r w:rsidR="00EF0C90">
        <w:t>Rīgas pilsētas Vidzemes priekšpilsētas tiesa</w:t>
      </w:r>
      <w:r w:rsidR="00C55622">
        <w:t xml:space="preserve">s </w:t>
      </w:r>
      <w:r w:rsidR="00C55622">
        <w:lastRenderedPageBreak/>
        <w:t>202</w:t>
      </w:r>
      <w:r w:rsidR="00905BF5">
        <w:t>2</w:t>
      </w:r>
      <w:r w:rsidR="00C55622">
        <w:t xml:space="preserve">. gada </w:t>
      </w:r>
      <w:r w:rsidR="00EF0C90">
        <w:t xml:space="preserve">20. jūlija spriedums atcelts daļā par </w:t>
      </w:r>
      <w:r w:rsidR="005A6969">
        <w:t>[pers. A]</w:t>
      </w:r>
      <w:r w:rsidR="00EF0C90">
        <w:t xml:space="preserve"> noteikto sodu pēc Krimināllikuma 218. panta otrās daļas, daļā par kaitējuma kompensācijas piedziņu no SIA „</w:t>
      </w:r>
      <w:r w:rsidR="005A6969">
        <w:t>[Nosaukums]</w:t>
      </w:r>
      <w:r w:rsidR="00EF0C90">
        <w:t xml:space="preserve">”, daļā par aresta atcelšanu </w:t>
      </w:r>
      <w:r w:rsidR="005A6969">
        <w:t>[pers. A]</w:t>
      </w:r>
      <w:r w:rsidR="00EF0C90">
        <w:t xml:space="preserve"> mantai. </w:t>
      </w:r>
    </w:p>
    <w:p w14:paraId="4F9D8CD7" w14:textId="5DB4E896" w:rsidR="00EF0C90" w:rsidRDefault="00EF0C90" w:rsidP="00EF0C90">
      <w:pPr>
        <w:pStyle w:val="NormalWeb"/>
        <w:shd w:val="clear" w:color="auto" w:fill="FFFFFF"/>
        <w:spacing w:before="0" w:beforeAutospacing="0" w:after="0" w:afterAutospacing="0" w:line="276" w:lineRule="auto"/>
        <w:ind w:firstLine="720"/>
        <w:jc w:val="both"/>
      </w:pPr>
      <w:r>
        <w:t xml:space="preserve">Ar Zemgales apgabaltiesas 2024. gada 17. janvāra spriedumu </w:t>
      </w:r>
      <w:r w:rsidR="005A6969">
        <w:t>[pers. A]</w:t>
      </w:r>
      <w:r>
        <w:t xml:space="preserve"> sodīts pēc Krimināllikuma 218. panta otrās daļas, piemērojot Krimināllikuma 49.</w:t>
      </w:r>
      <w:r w:rsidRPr="000B1310">
        <w:rPr>
          <w:vertAlign w:val="superscript"/>
        </w:rPr>
        <w:t>1</w:t>
      </w:r>
      <w:r>
        <w:t xml:space="preserve"> panta pirmās daļas 1. punktu, ar brīvības atņemšanu uz 10 mēnešiem, piemērojot daļēju mantas konfiskāciju. </w:t>
      </w:r>
    </w:p>
    <w:p w14:paraId="4606B357" w14:textId="720249ED" w:rsidR="00D15877" w:rsidRDefault="00D15877" w:rsidP="00EF0C90">
      <w:pPr>
        <w:pStyle w:val="NormalWeb"/>
        <w:shd w:val="clear" w:color="auto" w:fill="FFFFFF"/>
        <w:spacing w:before="0" w:beforeAutospacing="0" w:after="0" w:afterAutospacing="0" w:line="276" w:lineRule="auto"/>
        <w:ind w:firstLine="720"/>
        <w:jc w:val="both"/>
      </w:pPr>
      <w:r>
        <w:t xml:space="preserve">No </w:t>
      </w:r>
      <w:r w:rsidR="005A6969">
        <w:t>[pers. A]</w:t>
      </w:r>
      <w:r>
        <w:t xml:space="preserve"> un SIA „</w:t>
      </w:r>
      <w:r w:rsidR="005A6969">
        <w:t>[Nosaukums]</w:t>
      </w:r>
      <w:r>
        <w:t>” solidāri valsts labā piedzīta kaitējuma kompensācija 64 440 </w:t>
      </w:r>
      <w:proofErr w:type="spellStart"/>
      <w:r w:rsidRPr="00D15877">
        <w:rPr>
          <w:i/>
          <w:iCs/>
        </w:rPr>
        <w:t>euro</w:t>
      </w:r>
      <w:proofErr w:type="spellEnd"/>
      <w:r>
        <w:t>.</w:t>
      </w:r>
    </w:p>
    <w:p w14:paraId="390B34AB" w14:textId="6F9B0B28" w:rsidR="00D15877" w:rsidRDefault="00D15877" w:rsidP="00EF0C90">
      <w:pPr>
        <w:pStyle w:val="NormalWeb"/>
        <w:shd w:val="clear" w:color="auto" w:fill="FFFFFF"/>
        <w:spacing w:before="0" w:beforeAutospacing="0" w:after="0" w:afterAutospacing="0" w:line="276" w:lineRule="auto"/>
        <w:ind w:firstLine="720"/>
        <w:jc w:val="both"/>
      </w:pPr>
      <w:r>
        <w:t xml:space="preserve">Pārējā daļā pirmās instances tiesas spriedums atstāts negrozīts. </w:t>
      </w:r>
    </w:p>
    <w:p w14:paraId="2DDCB47E" w14:textId="77777777" w:rsidR="00EF249C" w:rsidRDefault="00EF249C" w:rsidP="00C22356">
      <w:pPr>
        <w:pStyle w:val="NormalWeb"/>
        <w:shd w:val="clear" w:color="auto" w:fill="FFFFFF"/>
        <w:spacing w:before="0" w:beforeAutospacing="0" w:after="0" w:afterAutospacing="0" w:line="276" w:lineRule="auto"/>
        <w:ind w:firstLine="720"/>
        <w:jc w:val="both"/>
      </w:pPr>
    </w:p>
    <w:p w14:paraId="496FED81" w14:textId="4419FBB5" w:rsidR="00F77416" w:rsidRDefault="00F77416" w:rsidP="00C22356">
      <w:pPr>
        <w:pStyle w:val="NormalWeb"/>
        <w:shd w:val="clear" w:color="auto" w:fill="FFFFFF"/>
        <w:spacing w:before="0" w:beforeAutospacing="0" w:after="0" w:afterAutospacing="0" w:line="276" w:lineRule="auto"/>
        <w:ind w:firstLine="720"/>
        <w:jc w:val="both"/>
      </w:pPr>
      <w:r>
        <w:t xml:space="preserve">[4] Par </w:t>
      </w:r>
      <w:r w:rsidR="00D15877">
        <w:t>Zemgales</w:t>
      </w:r>
      <w:r>
        <w:t xml:space="preserve"> apgabaltiesas 2024. gada </w:t>
      </w:r>
      <w:r w:rsidR="00D15877">
        <w:t>17</w:t>
      </w:r>
      <w:r w:rsidR="00C55622">
        <w:t>. janvāra</w:t>
      </w:r>
      <w:r>
        <w:t xml:space="preserve"> </w:t>
      </w:r>
      <w:r w:rsidR="00D15877">
        <w:t>spriedumu</w:t>
      </w:r>
      <w:r w:rsidR="00B15CC8" w:rsidRPr="00B15CC8">
        <w:t xml:space="preserve"> </w:t>
      </w:r>
      <w:r w:rsidR="00D15877">
        <w:t xml:space="preserve">apsūdzētā </w:t>
      </w:r>
      <w:r w:rsidR="005A6969">
        <w:t>[pers. A]</w:t>
      </w:r>
      <w:r w:rsidR="00D15877">
        <w:t xml:space="preserve"> aizstāvis R. </w:t>
      </w:r>
      <w:proofErr w:type="spellStart"/>
      <w:r w:rsidR="00D15877">
        <w:t>Grandāns</w:t>
      </w:r>
      <w:proofErr w:type="spellEnd"/>
      <w:r w:rsidR="00D15877">
        <w:t xml:space="preserve"> iesniedzis kasācijas sūdzību</w:t>
      </w:r>
      <w:r>
        <w:t xml:space="preserve">, kurā lūdz atcelt </w:t>
      </w:r>
      <w:r w:rsidR="008C6913">
        <w:t xml:space="preserve">minēto </w:t>
      </w:r>
      <w:r w:rsidR="00D15877">
        <w:t>spriedumu</w:t>
      </w:r>
      <w:r w:rsidR="00C40C8E">
        <w:t xml:space="preserve"> pilnībā</w:t>
      </w:r>
      <w:r w:rsidR="008C6913">
        <w:t xml:space="preserve"> un lietu nosūtīt jaunai izskatīšanai</w:t>
      </w:r>
      <w:r w:rsidR="008C6913" w:rsidRPr="008C6913">
        <w:t xml:space="preserve"> </w:t>
      </w:r>
      <w:r w:rsidR="008C6913">
        <w:t>apelācijas instances tiesā.</w:t>
      </w:r>
    </w:p>
    <w:p w14:paraId="6BCAA69F" w14:textId="12CA26D3" w:rsidR="0096089E" w:rsidRDefault="00B15CC8" w:rsidP="0096089E">
      <w:pPr>
        <w:pStyle w:val="NormalWeb"/>
        <w:shd w:val="clear" w:color="auto" w:fill="FFFFFF"/>
        <w:spacing w:before="0" w:beforeAutospacing="0" w:after="0" w:afterAutospacing="0" w:line="276" w:lineRule="auto"/>
        <w:ind w:firstLine="720"/>
        <w:jc w:val="both"/>
      </w:pPr>
      <w:r>
        <w:t>Savu lūgumu</w:t>
      </w:r>
      <w:r w:rsidR="00D15877">
        <w:t xml:space="preserve"> aizstāvis </w:t>
      </w:r>
      <w:r w:rsidR="00F77416">
        <w:t>pamato</w:t>
      </w:r>
      <w:r w:rsidR="00B71DA4">
        <w:t>j</w:t>
      </w:r>
      <w:r w:rsidR="00C55622">
        <w:t>is</w:t>
      </w:r>
      <w:r w:rsidR="00F77416">
        <w:t xml:space="preserve"> ar </w:t>
      </w:r>
      <w:r>
        <w:t>šādiem</w:t>
      </w:r>
      <w:r w:rsidR="00F77416">
        <w:t xml:space="preserve"> argumentiem.</w:t>
      </w:r>
    </w:p>
    <w:p w14:paraId="3DF4D3B3" w14:textId="54CDDAE9" w:rsidR="006911A0" w:rsidRDefault="008C6913" w:rsidP="00FE10FB">
      <w:pPr>
        <w:pStyle w:val="NormalWeb"/>
        <w:shd w:val="clear" w:color="auto" w:fill="FFFFFF"/>
        <w:spacing w:before="0" w:beforeAutospacing="0" w:after="0" w:afterAutospacing="0" w:line="276" w:lineRule="auto"/>
        <w:ind w:firstLine="720"/>
        <w:jc w:val="both"/>
      </w:pPr>
      <w:r>
        <w:t>[4.1] </w:t>
      </w:r>
      <w:r w:rsidR="00D15877" w:rsidRPr="00D15877">
        <w:t xml:space="preserve">Apelācijas instances tiesa pareizi atzinusi, ka pretēji pirmās instances tiesas konstatētajam </w:t>
      </w:r>
      <w:r w:rsidR="005A6969">
        <w:t>[pers. A]</w:t>
      </w:r>
      <w:r w:rsidR="00D15877" w:rsidRPr="00D15877">
        <w:t xml:space="preserve"> inkriminētais nodarījums ir mazāk smags, nevis smags</w:t>
      </w:r>
      <w:r w:rsidR="00E67961">
        <w:t xml:space="preserve"> noziegums.</w:t>
      </w:r>
      <w:r w:rsidR="00D15877" w:rsidRPr="00D15877">
        <w:t xml:space="preserve"> Vienlaikus apelācijas instances tiesa ir nepareizi piemērojusi Krimināllikuma 35.</w:t>
      </w:r>
      <w:r w:rsidR="00D15877">
        <w:t> </w:t>
      </w:r>
      <w:r w:rsidR="00D15877" w:rsidRPr="00D15877">
        <w:t>pantu un 46.</w:t>
      </w:r>
      <w:r w:rsidR="00D15877">
        <w:t> </w:t>
      </w:r>
      <w:r w:rsidR="00D15877" w:rsidRPr="00D15877">
        <w:t>panta ceturto daļu. Apelācijas instances tiesa nav sniegusi Krimināllikuma 46.</w:t>
      </w:r>
      <w:r w:rsidR="00D15877">
        <w:t> </w:t>
      </w:r>
      <w:r w:rsidR="00D15877" w:rsidRPr="00D15877">
        <w:t xml:space="preserve">panta ceturtajai daļai atbilstošu pamatojumu un nav izvērtējusi </w:t>
      </w:r>
      <w:r w:rsidR="00A5055C">
        <w:t xml:space="preserve">brīvības atņemšanai </w:t>
      </w:r>
      <w:r w:rsidR="00D15877" w:rsidRPr="00D15877">
        <w:t xml:space="preserve">alternatīvo sodu piemērošanas iespēju. </w:t>
      </w:r>
      <w:r w:rsidR="00933796">
        <w:t xml:space="preserve">Atbilstoši </w:t>
      </w:r>
      <w:r w:rsidR="00933796" w:rsidRPr="00291ED3">
        <w:rPr>
          <w:rFonts w:asciiTheme="majorBidi" w:hAnsiTheme="majorBidi" w:cstheme="majorBidi"/>
        </w:rPr>
        <w:t>Senāta 20</w:t>
      </w:r>
      <w:r w:rsidR="00933796">
        <w:rPr>
          <w:rFonts w:asciiTheme="majorBidi" w:hAnsiTheme="majorBidi" w:cstheme="majorBidi"/>
        </w:rPr>
        <w:t>20</w:t>
      </w:r>
      <w:r w:rsidR="00933796" w:rsidRPr="00291ED3">
        <w:rPr>
          <w:rFonts w:asciiTheme="majorBidi" w:hAnsiTheme="majorBidi" w:cstheme="majorBidi"/>
        </w:rPr>
        <w:t>.</w:t>
      </w:r>
      <w:r w:rsidR="00933796">
        <w:rPr>
          <w:rFonts w:asciiTheme="majorBidi" w:hAnsiTheme="majorBidi" w:cstheme="majorBidi"/>
        </w:rPr>
        <w:t> </w:t>
      </w:r>
      <w:r w:rsidR="00933796" w:rsidRPr="00291ED3">
        <w:rPr>
          <w:rFonts w:asciiTheme="majorBidi" w:hAnsiTheme="majorBidi" w:cstheme="majorBidi"/>
        </w:rPr>
        <w:t>gada</w:t>
      </w:r>
      <w:r w:rsidR="00933796">
        <w:rPr>
          <w:rFonts w:asciiTheme="majorBidi" w:hAnsiTheme="majorBidi" w:cstheme="majorBidi"/>
        </w:rPr>
        <w:t xml:space="preserve"> 19. jūnija</w:t>
      </w:r>
      <w:r w:rsidR="00933796" w:rsidRPr="00291ED3">
        <w:rPr>
          <w:rFonts w:asciiTheme="majorBidi" w:hAnsiTheme="majorBidi" w:cstheme="majorBidi"/>
        </w:rPr>
        <w:t xml:space="preserve"> lēmum</w:t>
      </w:r>
      <w:r w:rsidR="00933796">
        <w:rPr>
          <w:rFonts w:asciiTheme="majorBidi" w:hAnsiTheme="majorBidi" w:cstheme="majorBidi"/>
        </w:rPr>
        <w:t>a</w:t>
      </w:r>
      <w:r w:rsidR="00933796" w:rsidRPr="00291ED3">
        <w:rPr>
          <w:rFonts w:asciiTheme="majorBidi" w:hAnsiTheme="majorBidi" w:cstheme="majorBidi"/>
        </w:rPr>
        <w:t xml:space="preserve"> lietā Nr.</w:t>
      </w:r>
      <w:r w:rsidR="00933796">
        <w:rPr>
          <w:rFonts w:asciiTheme="majorBidi" w:hAnsiTheme="majorBidi" w:cstheme="majorBidi"/>
        </w:rPr>
        <w:t> </w:t>
      </w:r>
      <w:r w:rsidR="00933796" w:rsidRPr="00291ED3">
        <w:rPr>
          <w:rFonts w:asciiTheme="majorBidi" w:hAnsiTheme="majorBidi" w:cstheme="majorBidi"/>
        </w:rPr>
        <w:t>SKK-</w:t>
      </w:r>
      <w:r w:rsidR="00933796">
        <w:rPr>
          <w:rFonts w:asciiTheme="majorBidi" w:hAnsiTheme="majorBidi" w:cstheme="majorBidi"/>
        </w:rPr>
        <w:t>57</w:t>
      </w:r>
      <w:r w:rsidR="00933796" w:rsidRPr="00291ED3">
        <w:rPr>
          <w:rFonts w:asciiTheme="majorBidi" w:hAnsiTheme="majorBidi" w:cstheme="majorBidi"/>
        </w:rPr>
        <w:t>/20</w:t>
      </w:r>
      <w:r w:rsidR="00933796">
        <w:rPr>
          <w:rFonts w:asciiTheme="majorBidi" w:hAnsiTheme="majorBidi" w:cstheme="majorBidi"/>
        </w:rPr>
        <w:t>20</w:t>
      </w:r>
      <w:r w:rsidR="00933796" w:rsidRPr="00291ED3">
        <w:rPr>
          <w:rFonts w:asciiTheme="majorBidi" w:hAnsiTheme="majorBidi" w:cstheme="majorBidi"/>
        </w:rPr>
        <w:t xml:space="preserve"> </w:t>
      </w:r>
      <w:r w:rsidR="00933796">
        <w:rPr>
          <w:rFonts w:asciiTheme="majorBidi" w:hAnsiTheme="majorBidi" w:cstheme="majorBidi"/>
        </w:rPr>
        <w:t xml:space="preserve">atziņām, </w:t>
      </w:r>
      <w:r w:rsidR="00933796">
        <w:t>n</w:t>
      </w:r>
      <w:r w:rsidR="00D15877" w:rsidRPr="00D15877">
        <w:t>osakot sodu – brīvības atņemšan</w:t>
      </w:r>
      <w:r w:rsidR="00E67961">
        <w:t>u</w:t>
      </w:r>
      <w:r w:rsidR="00D15877" w:rsidRPr="00D15877">
        <w:t xml:space="preserve"> –, apelācijas instances tiesai bija jāsniedz pamatojums, kāpēc soda mērķis nav sasniedzams, nosakot kādu no Krimināllikuma 218.</w:t>
      </w:r>
      <w:r w:rsidR="00D15877">
        <w:t> </w:t>
      </w:r>
      <w:r w:rsidR="00D15877" w:rsidRPr="00D15877">
        <w:t>panta otrās daļas (likuma redakcijā līdz 2013.</w:t>
      </w:r>
      <w:r w:rsidR="00D15877">
        <w:t> </w:t>
      </w:r>
      <w:r w:rsidR="00D15877" w:rsidRPr="00D15877">
        <w:t>gada 31.</w:t>
      </w:r>
      <w:r w:rsidR="00D15877">
        <w:t> </w:t>
      </w:r>
      <w:r w:rsidR="00D15877" w:rsidRPr="00D15877">
        <w:t xml:space="preserve">martam) sankcijā paredzētajiem vieglāka soda veidiem. </w:t>
      </w:r>
    </w:p>
    <w:p w14:paraId="200E9E05" w14:textId="77777777" w:rsidR="00162A57" w:rsidRDefault="00D15877" w:rsidP="00D15877">
      <w:pPr>
        <w:pStyle w:val="NormalWeb"/>
        <w:shd w:val="clear" w:color="auto" w:fill="FFFFFF"/>
        <w:spacing w:before="0" w:beforeAutospacing="0" w:after="0" w:afterAutospacing="0" w:line="276" w:lineRule="auto"/>
        <w:ind w:firstLine="720"/>
        <w:jc w:val="both"/>
      </w:pPr>
      <w:r>
        <w:t>[4.2] </w:t>
      </w:r>
      <w:r w:rsidRPr="00D15877">
        <w:t>Apelācijas instances tiesa pieļāvusi kriminālprocesa pamatprincipu</w:t>
      </w:r>
      <w:r w:rsidR="00542FD7">
        <w:t> </w:t>
      </w:r>
      <w:r w:rsidRPr="00D15877">
        <w:t>–</w:t>
      </w:r>
      <w:r w:rsidR="00542FD7">
        <w:t> </w:t>
      </w:r>
      <w:r w:rsidRPr="00D15877">
        <w:t>nevainīguma prezumpcijas un tiesības uz aizstāvību – pārkāpumu</w:t>
      </w:r>
      <w:r w:rsidR="00162A57">
        <w:t>s</w:t>
      </w:r>
      <w:r w:rsidRPr="00D15877">
        <w:t xml:space="preserve">. </w:t>
      </w:r>
    </w:p>
    <w:p w14:paraId="37770999" w14:textId="4BF238E0" w:rsidR="00FB095B" w:rsidRDefault="00162A57" w:rsidP="00D15877">
      <w:pPr>
        <w:pStyle w:val="NormalWeb"/>
        <w:shd w:val="clear" w:color="auto" w:fill="FFFFFF"/>
        <w:spacing w:before="0" w:beforeAutospacing="0" w:after="0" w:afterAutospacing="0" w:line="276" w:lineRule="auto"/>
        <w:ind w:firstLine="720"/>
        <w:jc w:val="both"/>
      </w:pPr>
      <w:r>
        <w:t>[4.2.1] </w:t>
      </w:r>
      <w:r w:rsidR="00861161">
        <w:t xml:space="preserve">Lietā ārpus saprātīgām šaubām </w:t>
      </w:r>
      <w:r>
        <w:t xml:space="preserve">nav </w:t>
      </w:r>
      <w:r w:rsidR="00861161">
        <w:t>pierādīt</w:t>
      </w:r>
      <w:r w:rsidR="00A5055C">
        <w:t>a</w:t>
      </w:r>
      <w:r w:rsidR="00861161">
        <w:t xml:space="preserve"> apsūdzībā norādīto </w:t>
      </w:r>
      <w:r w:rsidR="00861161" w:rsidRPr="00162A57">
        <w:t>citu</w:t>
      </w:r>
      <w:r w:rsidR="00861161">
        <w:t xml:space="preserve"> personu piedalīšanās, dokumentu viltošana un viltotu dokumentu izmantošana. </w:t>
      </w:r>
      <w:r w:rsidR="00FB095B" w:rsidRPr="00FB095B">
        <w:t xml:space="preserve">Tiesa atsaukusies uz citu personu izdarītiem noziedzīgiem nodarījumiem, taču apsūdzība celta tikai </w:t>
      </w:r>
      <w:r w:rsidR="005A6969">
        <w:t>[pers. A]</w:t>
      </w:r>
      <w:r w:rsidR="00FB095B" w:rsidRPr="00FB095B">
        <w:t xml:space="preserve"> un tikai par noziedzīgu nodarījumu pēc Krimināllikuma 218.</w:t>
      </w:r>
      <w:r w:rsidR="00FB095B">
        <w:t> </w:t>
      </w:r>
      <w:r w:rsidR="00FB095B" w:rsidRPr="00FB095B">
        <w:t>panta otrās daļas.</w:t>
      </w:r>
    </w:p>
    <w:p w14:paraId="2A8892D8" w14:textId="07D009EB" w:rsidR="0016655D" w:rsidRDefault="00D15877" w:rsidP="00E00EFE">
      <w:pPr>
        <w:pStyle w:val="NormalWeb"/>
        <w:shd w:val="clear" w:color="auto" w:fill="FFFFFF"/>
        <w:spacing w:before="0" w:beforeAutospacing="0" w:after="0" w:afterAutospacing="0" w:line="276" w:lineRule="auto"/>
        <w:ind w:firstLine="720"/>
        <w:jc w:val="both"/>
      </w:pPr>
      <w:r>
        <w:t>[4.</w:t>
      </w:r>
      <w:r w:rsidR="00162A57">
        <w:t>2.2</w:t>
      </w:r>
      <w:r>
        <w:t>] </w:t>
      </w:r>
      <w:r w:rsidRPr="007E4125">
        <w:t>Kriminālprocesa likuma 19.</w:t>
      </w:r>
      <w:r>
        <w:t> </w:t>
      </w:r>
      <w:r w:rsidRPr="007E4125">
        <w:t xml:space="preserve">panta otrajā daļā ir paredzēts, ka personai, kurai ir tiesības uz aizstāvību, nav jāpierāda savs nevainīgums. </w:t>
      </w:r>
      <w:r>
        <w:t>A</w:t>
      </w:r>
      <w:r w:rsidRPr="007E4125">
        <w:t xml:space="preserve">pelācijas instances tiesa spriedumā </w:t>
      </w:r>
      <w:r>
        <w:t>vairākkārt nor</w:t>
      </w:r>
      <w:r w:rsidR="00492033">
        <w:t>ā</w:t>
      </w:r>
      <w:r>
        <w:t>dījusi</w:t>
      </w:r>
      <w:r w:rsidRPr="007E4125">
        <w:t xml:space="preserve"> uz to, ka </w:t>
      </w:r>
      <w:r w:rsidR="005A6969">
        <w:t>[pers. A]</w:t>
      </w:r>
      <w:r w:rsidRPr="007E4125">
        <w:t xml:space="preserve"> nav </w:t>
      </w:r>
      <w:r w:rsidR="00E02AC8">
        <w:t>liecinājis</w:t>
      </w:r>
      <w:r w:rsidRPr="007E4125">
        <w:t xml:space="preserve"> un nav iesniedzis pierādījumus</w:t>
      </w:r>
      <w:r>
        <w:t xml:space="preserve">. </w:t>
      </w:r>
    </w:p>
    <w:p w14:paraId="03FDE2AD" w14:textId="7FAF7A98" w:rsidR="00E00EFE" w:rsidRDefault="00162A57" w:rsidP="00D15877">
      <w:pPr>
        <w:pStyle w:val="NormalWeb"/>
        <w:shd w:val="clear" w:color="auto" w:fill="FFFFFF"/>
        <w:spacing w:before="0" w:beforeAutospacing="0" w:after="0" w:afterAutospacing="0" w:line="276" w:lineRule="auto"/>
        <w:ind w:firstLine="720"/>
        <w:jc w:val="both"/>
      </w:pPr>
      <w:r>
        <w:t>[4.</w:t>
      </w:r>
      <w:r w:rsidR="00CC2BFB">
        <w:t>3</w:t>
      </w:r>
      <w:r>
        <w:t>] A</w:t>
      </w:r>
      <w:r w:rsidR="001A5EB8">
        <w:t xml:space="preserve">pelācijas instances tiesa, ņemot vērā to, ka apsūdzētais nav uzsācis ar noziedzīgo nodarījumu radītā kaitējuma atlīdzināšanu, noteikusi bargāku sodu, tādējādi pieļāvusi apsūdzētā tiesību neliecināt pret sevi pārkāpumu. </w:t>
      </w:r>
      <w:r w:rsidR="00E00EFE">
        <w:t>Tiesu praksē</w:t>
      </w:r>
      <w:r w:rsidR="00E00EFE" w:rsidRPr="00E00EFE">
        <w:t xml:space="preserve"> atzīts</w:t>
      </w:r>
      <w:r w:rsidR="00E00EFE">
        <w:t>,</w:t>
      </w:r>
      <w:r w:rsidR="00E00EFE" w:rsidRPr="00E00EFE">
        <w:t xml:space="preserve"> ka viens no taisnīgas tiesas elementiem ir personas tiesības sevi neapsūdzēt, kas ietver arī tiesības neatzīt savu vainu. </w:t>
      </w:r>
    </w:p>
    <w:p w14:paraId="14C5CFB4" w14:textId="03BDF3E0" w:rsidR="00E02AC8" w:rsidRDefault="00162A57" w:rsidP="00E02AC8">
      <w:pPr>
        <w:pStyle w:val="NormalWeb"/>
        <w:shd w:val="clear" w:color="auto" w:fill="FFFFFF"/>
        <w:spacing w:before="0" w:beforeAutospacing="0" w:after="0" w:afterAutospacing="0" w:line="276" w:lineRule="auto"/>
        <w:ind w:firstLine="720"/>
        <w:jc w:val="both"/>
      </w:pPr>
      <w:r w:rsidRPr="00162A57">
        <w:t>Tādējādi a</w:t>
      </w:r>
      <w:r w:rsidR="0016655D" w:rsidRPr="00162A57">
        <w:t>pelācijas instances tiesa pieļāvusi Latvijas Republikas Satversmes 92. panta un Kriminālprocesa likuma 15. pant</w:t>
      </w:r>
      <w:r w:rsidR="001513E6" w:rsidRPr="00162A57">
        <w:t xml:space="preserve">a </w:t>
      </w:r>
      <w:r w:rsidR="0016655D" w:rsidRPr="00162A57">
        <w:t>pārkāpumu.</w:t>
      </w:r>
      <w:r w:rsidR="0016655D">
        <w:t xml:space="preserve"> </w:t>
      </w:r>
    </w:p>
    <w:p w14:paraId="7E7414E5" w14:textId="77777777" w:rsidR="00E02AC8" w:rsidRDefault="00E02AC8" w:rsidP="00E02AC8">
      <w:pPr>
        <w:pStyle w:val="NormalWeb"/>
        <w:shd w:val="clear" w:color="auto" w:fill="FFFFFF"/>
        <w:spacing w:before="0" w:beforeAutospacing="0" w:after="0" w:afterAutospacing="0" w:line="276" w:lineRule="auto"/>
        <w:jc w:val="both"/>
      </w:pPr>
    </w:p>
    <w:p w14:paraId="141CC4C3" w14:textId="77777777" w:rsidR="000D2D6C" w:rsidRDefault="000D2D6C" w:rsidP="00E02AC8">
      <w:pPr>
        <w:pStyle w:val="NormalWeb"/>
        <w:shd w:val="clear" w:color="auto" w:fill="FFFFFF"/>
        <w:spacing w:before="0" w:beforeAutospacing="0" w:after="0" w:afterAutospacing="0" w:line="276" w:lineRule="auto"/>
        <w:jc w:val="both"/>
      </w:pPr>
    </w:p>
    <w:p w14:paraId="7DAF7841" w14:textId="1EDBDF42" w:rsidR="00447EE6" w:rsidRDefault="00447EE6" w:rsidP="00C22356">
      <w:pPr>
        <w:shd w:val="clear" w:color="auto" w:fill="FFFFFF"/>
        <w:spacing w:line="276" w:lineRule="auto"/>
        <w:jc w:val="center"/>
        <w:rPr>
          <w:b/>
        </w:rPr>
      </w:pPr>
      <w:r w:rsidRPr="00011547">
        <w:rPr>
          <w:b/>
        </w:rPr>
        <w:t>Motīvu daļa</w:t>
      </w:r>
    </w:p>
    <w:p w14:paraId="633D2DB5" w14:textId="77777777" w:rsidR="006D5C62" w:rsidRDefault="006D5C62" w:rsidP="00C22356">
      <w:pPr>
        <w:shd w:val="clear" w:color="auto" w:fill="FFFFFF"/>
        <w:spacing w:line="276" w:lineRule="auto"/>
        <w:jc w:val="center"/>
        <w:rPr>
          <w:bCs/>
        </w:rPr>
      </w:pPr>
    </w:p>
    <w:p w14:paraId="33176E3D" w14:textId="46FC224D" w:rsidR="00580F5D" w:rsidRDefault="00107481" w:rsidP="000971D2">
      <w:pPr>
        <w:spacing w:line="276" w:lineRule="auto"/>
        <w:ind w:firstLine="720"/>
        <w:jc w:val="both"/>
        <w:rPr>
          <w:rFonts w:asciiTheme="majorBidi" w:hAnsiTheme="majorBidi" w:cstheme="majorBidi"/>
        </w:rPr>
      </w:pPr>
      <w:r w:rsidRPr="00CB056B">
        <w:rPr>
          <w:rFonts w:asciiTheme="majorBidi" w:hAnsiTheme="majorBidi" w:cstheme="majorBidi"/>
        </w:rPr>
        <w:t>[</w:t>
      </w:r>
      <w:r w:rsidR="00D15877">
        <w:rPr>
          <w:rFonts w:asciiTheme="majorBidi" w:hAnsiTheme="majorBidi" w:cstheme="majorBidi"/>
        </w:rPr>
        <w:t>5</w:t>
      </w:r>
      <w:r w:rsidRPr="00CB056B">
        <w:rPr>
          <w:rFonts w:asciiTheme="majorBidi" w:hAnsiTheme="majorBidi" w:cstheme="majorBidi"/>
        </w:rPr>
        <w:t xml:space="preserve">] Senāts atzīst, ka izskatāmajā lietā vispirms ir </w:t>
      </w:r>
      <w:r w:rsidR="000C6E0F">
        <w:rPr>
          <w:rFonts w:asciiTheme="majorBidi" w:hAnsiTheme="majorBidi" w:cstheme="majorBidi"/>
        </w:rPr>
        <w:t>jāsniedz atbilde</w:t>
      </w:r>
      <w:r w:rsidRPr="00CB056B">
        <w:rPr>
          <w:rFonts w:asciiTheme="majorBidi" w:hAnsiTheme="majorBidi" w:cstheme="majorBidi"/>
        </w:rPr>
        <w:t xml:space="preserve">, </w:t>
      </w:r>
      <w:r w:rsidRPr="00ED5AC6">
        <w:rPr>
          <w:bCs/>
        </w:rPr>
        <w:t>vai apelācijas instances tiesa</w:t>
      </w:r>
      <w:bookmarkStart w:id="0" w:name="_Hlk154559983"/>
      <w:r w:rsidR="00542FD7">
        <w:rPr>
          <w:bCs/>
        </w:rPr>
        <w:t xml:space="preserve">, nosakot apsūdzētajam </w:t>
      </w:r>
      <w:r w:rsidR="000520EA">
        <w:rPr>
          <w:lang w:eastAsia="lv-LV"/>
        </w:rPr>
        <w:t>[pers. A]</w:t>
      </w:r>
      <w:r w:rsidR="00542FD7">
        <w:rPr>
          <w:bCs/>
        </w:rPr>
        <w:t xml:space="preserve"> sodu pēc Krimināllikuma 218. panta otrās daļas, pareizi piemērojusi Krimināllikuma 35.</w:t>
      </w:r>
      <w:r w:rsidR="00CC2BFB">
        <w:rPr>
          <w:bCs/>
        </w:rPr>
        <w:t> </w:t>
      </w:r>
      <w:r w:rsidR="00B26CFF">
        <w:rPr>
          <w:bCs/>
        </w:rPr>
        <w:t xml:space="preserve">pantu </w:t>
      </w:r>
      <w:r w:rsidR="000971D2">
        <w:rPr>
          <w:bCs/>
        </w:rPr>
        <w:t>un</w:t>
      </w:r>
      <w:r w:rsidR="00542FD7">
        <w:rPr>
          <w:bCs/>
        </w:rPr>
        <w:t xml:space="preserve"> 46. pant</w:t>
      </w:r>
      <w:r w:rsidR="001D4D14">
        <w:rPr>
          <w:bCs/>
        </w:rPr>
        <w:t>a ceturto daļu</w:t>
      </w:r>
      <w:r w:rsidR="000971D2">
        <w:rPr>
          <w:bCs/>
        </w:rPr>
        <w:t>.</w:t>
      </w:r>
    </w:p>
    <w:p w14:paraId="5673AA86" w14:textId="5D49D599" w:rsidR="006D1B59" w:rsidRDefault="005F509F" w:rsidP="006D1B59">
      <w:pPr>
        <w:spacing w:line="276" w:lineRule="auto"/>
        <w:ind w:firstLine="720"/>
        <w:jc w:val="both"/>
        <w:rPr>
          <w:rFonts w:asciiTheme="majorBidi" w:hAnsiTheme="majorBidi" w:cstheme="majorBidi"/>
        </w:rPr>
      </w:pPr>
      <w:r>
        <w:rPr>
          <w:rFonts w:asciiTheme="majorBidi" w:hAnsiTheme="majorBidi" w:cstheme="majorBidi"/>
        </w:rPr>
        <w:t>[5.1] </w:t>
      </w:r>
      <w:r w:rsidR="006B267B">
        <w:rPr>
          <w:rFonts w:asciiTheme="majorBidi" w:hAnsiTheme="majorBidi" w:cstheme="majorBidi"/>
        </w:rPr>
        <w:t xml:space="preserve">Ar pirmās instances tiesas spriedumu konstatēts, ka </w:t>
      </w:r>
      <w:r w:rsidR="000520EA">
        <w:rPr>
          <w:lang w:eastAsia="lv-LV"/>
        </w:rPr>
        <w:t>[pers. A]</w:t>
      </w:r>
      <w:r w:rsidR="006B267B">
        <w:rPr>
          <w:rFonts w:asciiTheme="majorBidi" w:hAnsiTheme="majorBidi" w:cstheme="majorBidi"/>
        </w:rPr>
        <w:t xml:space="preserve"> izdarījis Krimināllikuma 218. panta otrajā daļā paredzēto noziedzīgo nodarījumu, proti, </w:t>
      </w:r>
      <w:r w:rsidR="000520EA">
        <w:rPr>
          <w:lang w:eastAsia="lv-LV"/>
        </w:rPr>
        <w:t xml:space="preserve">[pers. A] </w:t>
      </w:r>
      <w:r w:rsidR="00F8543B" w:rsidRPr="00F8543B">
        <w:rPr>
          <w:rFonts w:asciiTheme="majorBidi" w:hAnsiTheme="majorBidi" w:cstheme="majorBidi"/>
        </w:rPr>
        <w:t xml:space="preserve">izvairījās no </w:t>
      </w:r>
      <w:r w:rsidR="00F8543B">
        <w:rPr>
          <w:rFonts w:asciiTheme="majorBidi" w:hAnsiTheme="majorBidi" w:cstheme="majorBidi"/>
        </w:rPr>
        <w:t xml:space="preserve">pievienotās vērtības nodokļa </w:t>
      </w:r>
      <w:r w:rsidR="00F8543B" w:rsidRPr="00F8543B">
        <w:rPr>
          <w:rFonts w:asciiTheme="majorBidi" w:hAnsiTheme="majorBidi" w:cstheme="majorBidi"/>
        </w:rPr>
        <w:t>nomaksas par 2008.</w:t>
      </w:r>
      <w:r w:rsidR="00F8543B">
        <w:t> </w:t>
      </w:r>
      <w:r w:rsidR="00F8543B" w:rsidRPr="00F8543B">
        <w:rPr>
          <w:rFonts w:asciiTheme="majorBidi" w:hAnsiTheme="majorBidi" w:cstheme="majorBidi"/>
        </w:rPr>
        <w:t>gada augustu, septembri,</w:t>
      </w:r>
      <w:r w:rsidR="004504D3">
        <w:rPr>
          <w:rFonts w:asciiTheme="majorBidi" w:hAnsiTheme="majorBidi" w:cstheme="majorBidi"/>
        </w:rPr>
        <w:t xml:space="preserve"> </w:t>
      </w:r>
      <w:r w:rsidR="00F8543B" w:rsidRPr="00F8543B">
        <w:rPr>
          <w:rFonts w:asciiTheme="majorBidi" w:hAnsiTheme="majorBidi" w:cstheme="majorBidi"/>
        </w:rPr>
        <w:t>oktobri, novembri, decembri un 2009.</w:t>
      </w:r>
      <w:r w:rsidR="00F8543B">
        <w:rPr>
          <w:rFonts w:asciiTheme="majorBidi" w:hAnsiTheme="majorBidi" w:cstheme="majorBidi"/>
        </w:rPr>
        <w:t> </w:t>
      </w:r>
      <w:r w:rsidR="00F8543B" w:rsidRPr="00F8543B">
        <w:rPr>
          <w:rFonts w:asciiTheme="majorBidi" w:hAnsiTheme="majorBidi" w:cstheme="majorBidi"/>
        </w:rPr>
        <w:t>gada janvāri</w:t>
      </w:r>
      <w:r w:rsidR="00F8543B">
        <w:rPr>
          <w:rFonts w:asciiTheme="majorBidi" w:hAnsiTheme="majorBidi" w:cstheme="majorBidi"/>
        </w:rPr>
        <w:t xml:space="preserve">, nodarot valstij zaudējumus lielā apmērā. </w:t>
      </w:r>
    </w:p>
    <w:p w14:paraId="0345005A" w14:textId="78DBFADD" w:rsidR="006828AA" w:rsidRDefault="004504D3" w:rsidP="006828AA">
      <w:pPr>
        <w:spacing w:line="276" w:lineRule="auto"/>
        <w:ind w:firstLine="720"/>
        <w:jc w:val="both"/>
        <w:rPr>
          <w:rFonts w:asciiTheme="majorBidi" w:hAnsiTheme="majorBidi" w:cstheme="majorBidi"/>
        </w:rPr>
      </w:pPr>
      <w:r>
        <w:rPr>
          <w:rFonts w:asciiTheme="majorBidi" w:hAnsiTheme="majorBidi" w:cstheme="majorBidi"/>
        </w:rPr>
        <w:t xml:space="preserve">Krimināllikuma 218. panta otrās daļas (likuma redakcijā līdz 2009. gada 29. jūnijam) sankcija paredzēja sodīt ar </w:t>
      </w:r>
      <w:r w:rsidRPr="004504D3">
        <w:rPr>
          <w:rFonts w:asciiTheme="majorBidi" w:hAnsiTheme="majorBidi" w:cstheme="majorBidi"/>
        </w:rPr>
        <w:t>brīvības atņemšan</w:t>
      </w:r>
      <w:r>
        <w:rPr>
          <w:rFonts w:asciiTheme="majorBidi" w:hAnsiTheme="majorBidi" w:cstheme="majorBidi"/>
        </w:rPr>
        <w:t>u</w:t>
      </w:r>
      <w:r w:rsidRPr="004504D3">
        <w:rPr>
          <w:rFonts w:asciiTheme="majorBidi" w:hAnsiTheme="majorBidi" w:cstheme="majorBidi"/>
        </w:rPr>
        <w:t xml:space="preserve"> uz laiku līdz pieciem gadiem vai ar piespiedu darbu, vai ar naudas sodu līdz simt divdesmit minimālajām mēnešalgām, konfiscējot mantu vai bez mantas konfiskācijas, atņemot tiesības veikt uzņēmējdarbību uz laiku no diviem līdz pieciem gadiem vai bez tā</w:t>
      </w:r>
      <w:r>
        <w:rPr>
          <w:rFonts w:asciiTheme="majorBidi" w:hAnsiTheme="majorBidi" w:cstheme="majorBidi"/>
        </w:rPr>
        <w:t>. Saskaņā ar Krimināllikuma 7. panta trešo daļu Krimināllikuma 218. panta otrā daļā paredzētais noziedzīgais nodarījums bija klasificē</w:t>
      </w:r>
      <w:r w:rsidR="00485C3B">
        <w:rPr>
          <w:rFonts w:asciiTheme="majorBidi" w:hAnsiTheme="majorBidi" w:cstheme="majorBidi"/>
        </w:rPr>
        <w:t>ts</w:t>
      </w:r>
      <w:r>
        <w:rPr>
          <w:rFonts w:asciiTheme="majorBidi" w:hAnsiTheme="majorBidi" w:cstheme="majorBidi"/>
        </w:rPr>
        <w:t xml:space="preserve"> kā mazāk smags</w:t>
      </w:r>
      <w:r w:rsidR="004D5FE1">
        <w:rPr>
          <w:rFonts w:asciiTheme="majorBidi" w:hAnsiTheme="majorBidi" w:cstheme="majorBidi"/>
        </w:rPr>
        <w:t xml:space="preserve"> noziegums.</w:t>
      </w:r>
      <w:r>
        <w:rPr>
          <w:rFonts w:asciiTheme="majorBidi" w:hAnsiTheme="majorBidi" w:cstheme="majorBidi"/>
        </w:rPr>
        <w:t xml:space="preserve"> </w:t>
      </w:r>
      <w:r w:rsidR="006D1B59">
        <w:rPr>
          <w:rFonts w:asciiTheme="majorBidi" w:hAnsiTheme="majorBidi" w:cstheme="majorBidi"/>
        </w:rPr>
        <w:t>Atbilstoši šobrīd spēkā esošajai Krimināllikuma 46. panta ceturtajai daļai</w:t>
      </w:r>
      <w:r w:rsidR="00492033">
        <w:rPr>
          <w:rFonts w:asciiTheme="majorBidi" w:hAnsiTheme="majorBidi" w:cstheme="majorBidi"/>
        </w:rPr>
        <w:t>, kas apsūdzētajam ir labvēlīgāka,</w:t>
      </w:r>
      <w:r w:rsidR="006D1B59">
        <w:rPr>
          <w:rFonts w:asciiTheme="majorBidi" w:hAnsiTheme="majorBidi" w:cstheme="majorBidi"/>
        </w:rPr>
        <w:t xml:space="preserve"> b</w:t>
      </w:r>
      <w:r w:rsidR="006D1B59" w:rsidRPr="006D1B59">
        <w:rPr>
          <w:rFonts w:asciiTheme="majorBidi" w:hAnsiTheme="majorBidi" w:cstheme="majorBidi"/>
        </w:rPr>
        <w:t>rīvības atņemšanas sodu par kriminālpārkāpumu un mazāk smagu noziegumu piemēro, ja soda mērķis nav sasniedzams, nosakot kādu no attiecīgā panta sankcijā paredzētajiem vieglāka soda veidiem</w:t>
      </w:r>
      <w:r w:rsidR="006828AA">
        <w:rPr>
          <w:rFonts w:asciiTheme="majorBidi" w:hAnsiTheme="majorBidi" w:cstheme="majorBidi"/>
        </w:rPr>
        <w:t xml:space="preserve">. </w:t>
      </w:r>
    </w:p>
    <w:p w14:paraId="1ED2BDAD" w14:textId="7F67B599" w:rsidR="006828AA" w:rsidRDefault="005F509F" w:rsidP="006828AA">
      <w:pPr>
        <w:spacing w:line="276" w:lineRule="auto"/>
        <w:ind w:firstLine="720"/>
        <w:jc w:val="both"/>
        <w:rPr>
          <w:rFonts w:asciiTheme="majorBidi" w:hAnsiTheme="majorBidi" w:cstheme="majorBidi"/>
        </w:rPr>
      </w:pPr>
      <w:r>
        <w:rPr>
          <w:rFonts w:asciiTheme="majorBidi" w:hAnsiTheme="majorBidi" w:cstheme="majorBidi"/>
        </w:rPr>
        <w:t>[5.2] </w:t>
      </w:r>
      <w:r w:rsidR="004E547C">
        <w:rPr>
          <w:rFonts w:asciiTheme="majorBidi" w:hAnsiTheme="majorBidi" w:cstheme="majorBidi"/>
        </w:rPr>
        <w:t>Ar pirmās instances tiesas spriedumu apsūdzēta</w:t>
      </w:r>
      <w:r w:rsidR="006D1B59">
        <w:rPr>
          <w:rFonts w:asciiTheme="majorBidi" w:hAnsiTheme="majorBidi" w:cstheme="majorBidi"/>
        </w:rPr>
        <w:t xml:space="preserve">is </w:t>
      </w:r>
      <w:r w:rsidR="000520EA">
        <w:rPr>
          <w:lang w:eastAsia="lv-LV"/>
        </w:rPr>
        <w:t>[pers. A]</w:t>
      </w:r>
      <w:r w:rsidR="006D1B59">
        <w:rPr>
          <w:rFonts w:asciiTheme="majorBidi" w:hAnsiTheme="majorBidi" w:cstheme="majorBidi"/>
        </w:rPr>
        <w:t xml:space="preserve"> atzīts par vainīgu un sodīts</w:t>
      </w:r>
      <w:r w:rsidR="004E547C">
        <w:rPr>
          <w:rFonts w:asciiTheme="majorBidi" w:hAnsiTheme="majorBidi" w:cstheme="majorBidi"/>
        </w:rPr>
        <w:t xml:space="preserve"> pēc Krimināllikuma 218. panta otr</w:t>
      </w:r>
      <w:r w:rsidR="006D1B59">
        <w:rPr>
          <w:rFonts w:asciiTheme="majorBidi" w:hAnsiTheme="majorBidi" w:cstheme="majorBidi"/>
        </w:rPr>
        <w:t xml:space="preserve">ās </w:t>
      </w:r>
      <w:r w:rsidR="004E547C">
        <w:rPr>
          <w:rFonts w:asciiTheme="majorBidi" w:hAnsiTheme="majorBidi" w:cstheme="majorBidi"/>
        </w:rPr>
        <w:t>daļ</w:t>
      </w:r>
      <w:r w:rsidR="006D1B59">
        <w:rPr>
          <w:rFonts w:asciiTheme="majorBidi" w:hAnsiTheme="majorBidi" w:cstheme="majorBidi"/>
        </w:rPr>
        <w:t>as</w:t>
      </w:r>
      <w:r w:rsidR="004E547C">
        <w:rPr>
          <w:rFonts w:asciiTheme="majorBidi" w:hAnsiTheme="majorBidi" w:cstheme="majorBidi"/>
        </w:rPr>
        <w:t xml:space="preserve"> </w:t>
      </w:r>
      <w:r w:rsidR="006D1B59">
        <w:rPr>
          <w:rFonts w:asciiTheme="majorBidi" w:hAnsiTheme="majorBidi" w:cstheme="majorBidi"/>
        </w:rPr>
        <w:t xml:space="preserve">ar </w:t>
      </w:r>
      <w:r w:rsidR="004E547C">
        <w:rPr>
          <w:rFonts w:asciiTheme="majorBidi" w:hAnsiTheme="majorBidi" w:cstheme="majorBidi"/>
        </w:rPr>
        <w:t>brīvības atņemšan</w:t>
      </w:r>
      <w:r w:rsidR="006D1B59">
        <w:rPr>
          <w:rFonts w:asciiTheme="majorBidi" w:hAnsiTheme="majorBidi" w:cstheme="majorBidi"/>
        </w:rPr>
        <w:t>u</w:t>
      </w:r>
      <w:r w:rsidR="004E547C">
        <w:rPr>
          <w:rFonts w:asciiTheme="majorBidi" w:hAnsiTheme="majorBidi" w:cstheme="majorBidi"/>
        </w:rPr>
        <w:t xml:space="preserve"> uz 6 mēnešiem, daļēji konfiscējot mantu. Saskaņā ar Krimināllikuma 55. pant</w:t>
      </w:r>
      <w:r w:rsidR="00745811">
        <w:rPr>
          <w:rFonts w:asciiTheme="majorBidi" w:hAnsiTheme="majorBidi" w:cstheme="majorBidi"/>
        </w:rPr>
        <w:t xml:space="preserve">u </w:t>
      </w:r>
      <w:r w:rsidR="000520EA">
        <w:rPr>
          <w:lang w:eastAsia="lv-LV"/>
        </w:rPr>
        <w:t>[pers. A]</w:t>
      </w:r>
      <w:r w:rsidR="004D5FE1">
        <w:rPr>
          <w:rFonts w:asciiTheme="majorBidi" w:hAnsiTheme="majorBidi" w:cstheme="majorBidi"/>
        </w:rPr>
        <w:t xml:space="preserve"> notiesāt</w:t>
      </w:r>
      <w:r w:rsidR="00697622">
        <w:rPr>
          <w:rFonts w:asciiTheme="majorBidi" w:hAnsiTheme="majorBidi" w:cstheme="majorBidi"/>
        </w:rPr>
        <w:t xml:space="preserve">s </w:t>
      </w:r>
      <w:r w:rsidR="004E547C">
        <w:rPr>
          <w:rFonts w:asciiTheme="majorBidi" w:hAnsiTheme="majorBidi" w:cstheme="majorBidi"/>
        </w:rPr>
        <w:t>nosacīti ar pārbaudes laiku uz 6 mēnešiem</w:t>
      </w:r>
      <w:r w:rsidR="00243B1C">
        <w:rPr>
          <w:rFonts w:asciiTheme="majorBidi" w:hAnsiTheme="majorBidi" w:cstheme="majorBidi"/>
        </w:rPr>
        <w:t xml:space="preserve">. </w:t>
      </w:r>
      <w:r w:rsidR="006D1B59">
        <w:rPr>
          <w:rFonts w:asciiTheme="majorBidi" w:hAnsiTheme="majorBidi" w:cstheme="majorBidi"/>
        </w:rPr>
        <w:t>A</w:t>
      </w:r>
      <w:r w:rsidR="004E547C">
        <w:rPr>
          <w:rFonts w:asciiTheme="majorBidi" w:hAnsiTheme="majorBidi" w:cstheme="majorBidi"/>
        </w:rPr>
        <w:t>pelācijas instances tiesa</w:t>
      </w:r>
      <w:r w:rsidR="006D1B59">
        <w:rPr>
          <w:rFonts w:asciiTheme="majorBidi" w:hAnsiTheme="majorBidi" w:cstheme="majorBidi"/>
        </w:rPr>
        <w:t>,</w:t>
      </w:r>
      <w:r w:rsidR="004E547C">
        <w:rPr>
          <w:rFonts w:asciiTheme="majorBidi" w:hAnsiTheme="majorBidi" w:cstheme="majorBidi"/>
        </w:rPr>
        <w:t xml:space="preserve"> </w:t>
      </w:r>
      <w:r w:rsidR="006D1B59">
        <w:rPr>
          <w:rFonts w:asciiTheme="majorBidi" w:hAnsiTheme="majorBidi" w:cstheme="majorBidi"/>
        </w:rPr>
        <w:t xml:space="preserve">izskatot lietu apelācijas kārtībā sakarā ar </w:t>
      </w:r>
      <w:r w:rsidR="006D1B59" w:rsidRPr="006D1B59">
        <w:rPr>
          <w:rFonts w:asciiTheme="majorBidi" w:hAnsiTheme="majorBidi" w:cstheme="majorBidi"/>
        </w:rPr>
        <w:t>Organizētās noziedzības un citu nozaru specializētās prokuratūras prokurora D</w:t>
      </w:r>
      <w:r w:rsidR="006D1B59">
        <w:rPr>
          <w:rFonts w:asciiTheme="majorBidi" w:hAnsiTheme="majorBidi" w:cstheme="majorBidi"/>
        </w:rPr>
        <w:t>. </w:t>
      </w:r>
      <w:proofErr w:type="spellStart"/>
      <w:r w:rsidR="006D1B59" w:rsidRPr="006D1B59">
        <w:rPr>
          <w:rFonts w:asciiTheme="majorBidi" w:hAnsiTheme="majorBidi" w:cstheme="majorBidi"/>
        </w:rPr>
        <w:t>Troicka</w:t>
      </w:r>
      <w:proofErr w:type="spellEnd"/>
      <w:r w:rsidR="006D1B59" w:rsidRPr="006D1B59">
        <w:rPr>
          <w:rFonts w:asciiTheme="majorBidi" w:hAnsiTheme="majorBidi" w:cstheme="majorBidi"/>
        </w:rPr>
        <w:t xml:space="preserve"> apelācijas protestu, Valsts ieņēmumu dienesta pārstāves </w:t>
      </w:r>
      <w:r w:rsidR="000520EA">
        <w:rPr>
          <w:rFonts w:asciiTheme="majorBidi" w:hAnsiTheme="majorBidi" w:cstheme="majorBidi"/>
        </w:rPr>
        <w:t>[pers. B]</w:t>
      </w:r>
      <w:r w:rsidR="006D1B59" w:rsidRPr="006D1B59">
        <w:rPr>
          <w:rFonts w:asciiTheme="majorBidi" w:hAnsiTheme="majorBidi" w:cstheme="majorBidi"/>
        </w:rPr>
        <w:t xml:space="preserve"> un apsūdzētā </w:t>
      </w:r>
      <w:r w:rsidR="000520EA">
        <w:rPr>
          <w:lang w:eastAsia="lv-LV"/>
        </w:rPr>
        <w:t>[pers. A]</w:t>
      </w:r>
      <w:r w:rsidR="006D1B59" w:rsidRPr="006D1B59">
        <w:rPr>
          <w:rFonts w:asciiTheme="majorBidi" w:hAnsiTheme="majorBidi" w:cstheme="majorBidi"/>
        </w:rPr>
        <w:t xml:space="preserve"> apelācijas sūdzībām</w:t>
      </w:r>
      <w:r w:rsidR="006D1B59">
        <w:rPr>
          <w:rFonts w:asciiTheme="majorBidi" w:hAnsiTheme="majorBidi" w:cstheme="majorBidi"/>
        </w:rPr>
        <w:t xml:space="preserve">, </w:t>
      </w:r>
      <w:r w:rsidR="004E547C">
        <w:rPr>
          <w:rFonts w:asciiTheme="majorBidi" w:hAnsiTheme="majorBidi" w:cstheme="majorBidi"/>
        </w:rPr>
        <w:t xml:space="preserve">atcēlusi pirmās instances tiesas spriedumu daļā par </w:t>
      </w:r>
      <w:r w:rsidR="000520EA">
        <w:rPr>
          <w:lang w:eastAsia="lv-LV"/>
        </w:rPr>
        <w:t xml:space="preserve">[pers. A] </w:t>
      </w:r>
      <w:r w:rsidR="004E547C">
        <w:rPr>
          <w:rFonts w:asciiTheme="majorBidi" w:hAnsiTheme="majorBidi" w:cstheme="majorBidi"/>
        </w:rPr>
        <w:t>noteikto sodu pēc Krimināllikuma 218. panta otras daļas un noteikusi sodu, piemērojot Krimināllikuma 49.</w:t>
      </w:r>
      <w:r w:rsidR="004E547C" w:rsidRPr="004E547C">
        <w:rPr>
          <w:rFonts w:asciiTheme="majorBidi" w:hAnsiTheme="majorBidi" w:cstheme="majorBidi"/>
          <w:vertAlign w:val="superscript"/>
        </w:rPr>
        <w:t>1</w:t>
      </w:r>
      <w:r w:rsidR="004E547C">
        <w:rPr>
          <w:rFonts w:asciiTheme="majorBidi" w:hAnsiTheme="majorBidi" w:cstheme="majorBidi"/>
          <w:vertAlign w:val="superscript"/>
        </w:rPr>
        <w:t> </w:t>
      </w:r>
      <w:r w:rsidR="004E547C">
        <w:rPr>
          <w:rFonts w:asciiTheme="majorBidi" w:hAnsiTheme="majorBidi" w:cstheme="majorBidi"/>
        </w:rPr>
        <w:t>panta pirmās daļas 1. punktu, brīvības atņemšan</w:t>
      </w:r>
      <w:r w:rsidR="00240F17">
        <w:rPr>
          <w:rFonts w:asciiTheme="majorBidi" w:hAnsiTheme="majorBidi" w:cstheme="majorBidi"/>
        </w:rPr>
        <w:t>u</w:t>
      </w:r>
      <w:r w:rsidR="004E547C">
        <w:rPr>
          <w:rFonts w:asciiTheme="majorBidi" w:hAnsiTheme="majorBidi" w:cstheme="majorBidi"/>
        </w:rPr>
        <w:t xml:space="preserve"> uz 10 mēnešiem, </w:t>
      </w:r>
      <w:r w:rsidR="006B267B">
        <w:rPr>
          <w:rFonts w:asciiTheme="majorBidi" w:hAnsiTheme="majorBidi" w:cstheme="majorBidi"/>
        </w:rPr>
        <w:t>daļēji konfiscējot mantu.</w:t>
      </w:r>
    </w:p>
    <w:p w14:paraId="312E6302" w14:textId="704EC885" w:rsidR="007C2FAF" w:rsidRDefault="00AD59A3" w:rsidP="007C2FAF">
      <w:pPr>
        <w:spacing w:line="276" w:lineRule="auto"/>
        <w:ind w:firstLine="720"/>
        <w:jc w:val="both"/>
        <w:rPr>
          <w:rFonts w:asciiTheme="majorBidi" w:hAnsiTheme="majorBidi" w:cstheme="majorBidi"/>
        </w:rPr>
      </w:pPr>
      <w:r>
        <w:rPr>
          <w:rFonts w:asciiTheme="majorBidi" w:hAnsiTheme="majorBidi" w:cstheme="majorBidi"/>
        </w:rPr>
        <w:t>[5.3] </w:t>
      </w:r>
      <w:r w:rsidR="006B267B">
        <w:rPr>
          <w:rFonts w:asciiTheme="majorBidi" w:hAnsiTheme="majorBidi" w:cstheme="majorBidi"/>
        </w:rPr>
        <w:t>Apelācijas instances tiesa, ņemot vērā noziedzīga nodarījuma izdarīšanas laiku, konstatējusi, ka s</w:t>
      </w:r>
      <w:r w:rsidR="006B267B" w:rsidRPr="006B267B">
        <w:rPr>
          <w:rFonts w:asciiTheme="majorBidi" w:hAnsiTheme="majorBidi" w:cstheme="majorBidi"/>
        </w:rPr>
        <w:t>askaņā ar Krimināllikuma 7.</w:t>
      </w:r>
      <w:r w:rsidR="006B267B">
        <w:rPr>
          <w:rFonts w:asciiTheme="majorBidi" w:hAnsiTheme="majorBidi" w:cstheme="majorBidi"/>
        </w:rPr>
        <w:t> </w:t>
      </w:r>
      <w:r w:rsidR="006B267B" w:rsidRPr="006B267B">
        <w:rPr>
          <w:rFonts w:asciiTheme="majorBidi" w:hAnsiTheme="majorBidi" w:cstheme="majorBidi"/>
        </w:rPr>
        <w:t xml:space="preserve">panta trešo daļu apsūdzētais </w:t>
      </w:r>
      <w:r w:rsidR="000520EA">
        <w:rPr>
          <w:lang w:eastAsia="lv-LV"/>
        </w:rPr>
        <w:t>[pers. A]</w:t>
      </w:r>
      <w:r w:rsidR="006B267B" w:rsidRPr="006B267B">
        <w:rPr>
          <w:rFonts w:asciiTheme="majorBidi" w:hAnsiTheme="majorBidi" w:cstheme="majorBidi"/>
        </w:rPr>
        <w:t xml:space="preserve"> izdarījis</w:t>
      </w:r>
      <w:r w:rsidR="006B267B">
        <w:rPr>
          <w:rFonts w:asciiTheme="majorBidi" w:hAnsiTheme="majorBidi" w:cstheme="majorBidi"/>
        </w:rPr>
        <w:t xml:space="preserve"> </w:t>
      </w:r>
      <w:r w:rsidR="006B267B" w:rsidRPr="006B267B">
        <w:rPr>
          <w:rFonts w:asciiTheme="majorBidi" w:hAnsiTheme="majorBidi" w:cstheme="majorBidi"/>
        </w:rPr>
        <w:t>Krimināllikuma 218.</w:t>
      </w:r>
      <w:r w:rsidR="006B267B">
        <w:rPr>
          <w:rFonts w:asciiTheme="majorBidi" w:hAnsiTheme="majorBidi" w:cstheme="majorBidi"/>
        </w:rPr>
        <w:t> </w:t>
      </w:r>
      <w:r w:rsidR="006B267B" w:rsidRPr="006B267B">
        <w:rPr>
          <w:rFonts w:asciiTheme="majorBidi" w:hAnsiTheme="majorBidi" w:cstheme="majorBidi"/>
        </w:rPr>
        <w:t xml:space="preserve">panta otrajā daļā paredzētu mazāk </w:t>
      </w:r>
      <w:r w:rsidR="003D5BDB" w:rsidRPr="006B267B">
        <w:rPr>
          <w:rFonts w:asciiTheme="majorBidi" w:hAnsiTheme="majorBidi" w:cstheme="majorBidi"/>
        </w:rPr>
        <w:t>smagu</w:t>
      </w:r>
      <w:r w:rsidR="003D5BDB">
        <w:rPr>
          <w:rFonts w:asciiTheme="majorBidi" w:hAnsiTheme="majorBidi" w:cstheme="majorBidi"/>
        </w:rPr>
        <w:t>, nevis</w:t>
      </w:r>
      <w:r w:rsidR="006B267B" w:rsidRPr="006B267B">
        <w:rPr>
          <w:rFonts w:asciiTheme="majorBidi" w:hAnsiTheme="majorBidi" w:cstheme="majorBidi"/>
        </w:rPr>
        <w:t xml:space="preserve"> smagu</w:t>
      </w:r>
      <w:r w:rsidR="00132E33">
        <w:rPr>
          <w:rFonts w:asciiTheme="majorBidi" w:hAnsiTheme="majorBidi" w:cstheme="majorBidi"/>
        </w:rPr>
        <w:t xml:space="preserve"> noziegumu</w:t>
      </w:r>
      <w:r w:rsidR="006B267B" w:rsidRPr="006B267B">
        <w:rPr>
          <w:rFonts w:asciiTheme="majorBidi" w:hAnsiTheme="majorBidi" w:cstheme="majorBidi"/>
        </w:rPr>
        <w:t xml:space="preserve">, kā </w:t>
      </w:r>
      <w:r w:rsidR="005F509F">
        <w:rPr>
          <w:rFonts w:asciiTheme="majorBidi" w:hAnsiTheme="majorBidi" w:cstheme="majorBidi"/>
        </w:rPr>
        <w:t xml:space="preserve">tas </w:t>
      </w:r>
      <w:r w:rsidR="006B267B" w:rsidRPr="006B267B">
        <w:rPr>
          <w:rFonts w:asciiTheme="majorBidi" w:hAnsiTheme="majorBidi" w:cstheme="majorBidi"/>
        </w:rPr>
        <w:t>norādīts</w:t>
      </w:r>
      <w:r w:rsidR="006B267B">
        <w:rPr>
          <w:rFonts w:asciiTheme="majorBidi" w:hAnsiTheme="majorBidi" w:cstheme="majorBidi"/>
        </w:rPr>
        <w:t xml:space="preserve"> </w:t>
      </w:r>
      <w:r w:rsidR="006B267B" w:rsidRPr="006B267B">
        <w:rPr>
          <w:rFonts w:asciiTheme="majorBidi" w:hAnsiTheme="majorBidi" w:cstheme="majorBidi"/>
        </w:rPr>
        <w:t xml:space="preserve">pirmās instances tiesas </w:t>
      </w:r>
      <w:r w:rsidR="00CC2BFB" w:rsidRPr="006B267B">
        <w:rPr>
          <w:rFonts w:asciiTheme="majorBidi" w:hAnsiTheme="majorBidi" w:cstheme="majorBidi"/>
        </w:rPr>
        <w:t>spriedumā</w:t>
      </w:r>
      <w:r w:rsidR="00CC2BFB">
        <w:rPr>
          <w:rFonts w:asciiTheme="majorBidi" w:hAnsiTheme="majorBidi" w:cstheme="majorBidi"/>
        </w:rPr>
        <w:t>.</w:t>
      </w:r>
      <w:r w:rsidR="007C2FAF">
        <w:rPr>
          <w:rFonts w:asciiTheme="majorBidi" w:hAnsiTheme="majorBidi" w:cstheme="majorBidi"/>
        </w:rPr>
        <w:t xml:space="preserve"> </w:t>
      </w:r>
    </w:p>
    <w:p w14:paraId="4EE8623C" w14:textId="53EC7416" w:rsidR="00370FE1" w:rsidRDefault="00370FE1" w:rsidP="007C2FAF">
      <w:pPr>
        <w:spacing w:line="276" w:lineRule="auto"/>
        <w:ind w:firstLine="720"/>
        <w:jc w:val="both"/>
        <w:rPr>
          <w:rFonts w:asciiTheme="majorBidi" w:hAnsiTheme="majorBidi" w:cstheme="majorBidi"/>
        </w:rPr>
      </w:pPr>
      <w:r w:rsidRPr="007C2FAF">
        <w:rPr>
          <w:rFonts w:asciiTheme="majorBidi" w:hAnsiTheme="majorBidi" w:cstheme="majorBidi"/>
        </w:rPr>
        <w:t>Pretēji aizstāvja kasācijas sūdzībā norādītajam apelācijas instances tiesa ir izvērtējusi</w:t>
      </w:r>
      <w:r>
        <w:rPr>
          <w:rFonts w:asciiTheme="majorBidi" w:hAnsiTheme="majorBidi" w:cstheme="majorBidi"/>
        </w:rPr>
        <w:t xml:space="preserve"> </w:t>
      </w:r>
      <w:r w:rsidRPr="00370FE1">
        <w:rPr>
          <w:rFonts w:asciiTheme="majorBidi" w:hAnsiTheme="majorBidi" w:cstheme="majorBidi"/>
        </w:rPr>
        <w:t xml:space="preserve">brīvības atņemšanai alternatīva soda piemērošanas iespējamību un atzinusi, ka cita soda veida – naudas soda vai sabiedriskā darba – noteikšanai nav </w:t>
      </w:r>
      <w:r w:rsidRPr="00301DF4">
        <w:rPr>
          <w:rFonts w:asciiTheme="majorBidi" w:hAnsiTheme="majorBidi" w:cstheme="majorBidi"/>
        </w:rPr>
        <w:t>pamata, jo</w:t>
      </w:r>
      <w:r>
        <w:rPr>
          <w:rFonts w:asciiTheme="majorBidi" w:hAnsiTheme="majorBidi" w:cstheme="majorBidi"/>
        </w:rPr>
        <w:t xml:space="preserve"> </w:t>
      </w:r>
      <w:r w:rsidRPr="00301DF4">
        <w:rPr>
          <w:rFonts w:asciiTheme="majorBidi" w:hAnsiTheme="majorBidi" w:cstheme="majorBidi"/>
        </w:rPr>
        <w:t>tādējādi netiktu sasniegts Krimināllikuma 35.</w:t>
      </w:r>
      <w:r>
        <w:rPr>
          <w:rFonts w:asciiTheme="majorBidi" w:hAnsiTheme="majorBidi" w:cstheme="majorBidi"/>
        </w:rPr>
        <w:t> </w:t>
      </w:r>
      <w:r w:rsidRPr="00301DF4">
        <w:rPr>
          <w:rFonts w:asciiTheme="majorBidi" w:hAnsiTheme="majorBidi" w:cstheme="majorBidi"/>
        </w:rPr>
        <w:t>pantā paredzētais soda mērķis</w:t>
      </w:r>
      <w:r w:rsidR="006828AA">
        <w:rPr>
          <w:rFonts w:asciiTheme="majorBidi" w:hAnsiTheme="majorBidi" w:cstheme="majorBidi"/>
        </w:rPr>
        <w:t>.</w:t>
      </w:r>
    </w:p>
    <w:p w14:paraId="56CA866E" w14:textId="677B6ED2" w:rsidR="005903A0" w:rsidRDefault="00370FE1" w:rsidP="00370FE1">
      <w:pPr>
        <w:spacing w:line="276" w:lineRule="auto"/>
        <w:ind w:firstLine="720"/>
        <w:jc w:val="both"/>
        <w:rPr>
          <w:rFonts w:asciiTheme="majorBidi" w:hAnsiTheme="majorBidi" w:cstheme="majorBidi"/>
        </w:rPr>
      </w:pPr>
      <w:r>
        <w:rPr>
          <w:rFonts w:asciiTheme="majorBidi" w:hAnsiTheme="majorBidi" w:cstheme="majorBidi"/>
        </w:rPr>
        <w:t>Tiesa norādījusi, ka</w:t>
      </w:r>
      <w:r w:rsidR="00243B1C">
        <w:rPr>
          <w:rFonts w:asciiTheme="majorBidi" w:hAnsiTheme="majorBidi" w:cstheme="majorBidi"/>
        </w:rPr>
        <w:t>, piemērojot brīvības atņemšanas sodu,</w:t>
      </w:r>
      <w:r w:rsidR="00AD59A3" w:rsidRPr="00AD59A3">
        <w:rPr>
          <w:rFonts w:asciiTheme="majorBidi" w:hAnsiTheme="majorBidi" w:cstheme="majorBidi"/>
        </w:rPr>
        <w:t xml:space="preserve"> tiks sasniegts soda mērķis, jo</w:t>
      </w:r>
      <w:r w:rsidR="00AD59A3">
        <w:rPr>
          <w:rFonts w:asciiTheme="majorBidi" w:hAnsiTheme="majorBidi" w:cstheme="majorBidi"/>
        </w:rPr>
        <w:t xml:space="preserve"> </w:t>
      </w:r>
      <w:r>
        <w:rPr>
          <w:rFonts w:asciiTheme="majorBidi" w:hAnsiTheme="majorBidi" w:cstheme="majorBidi"/>
        </w:rPr>
        <w:t xml:space="preserve">tādējādi </w:t>
      </w:r>
      <w:r w:rsidR="00AD59A3" w:rsidRPr="00AD59A3">
        <w:rPr>
          <w:rFonts w:asciiTheme="majorBidi" w:hAnsiTheme="majorBidi" w:cstheme="majorBidi"/>
        </w:rPr>
        <w:t xml:space="preserve">apsūdzētais </w:t>
      </w:r>
      <w:r w:rsidR="000520EA">
        <w:rPr>
          <w:lang w:eastAsia="lv-LV"/>
        </w:rPr>
        <w:t>[pers. A]</w:t>
      </w:r>
      <w:r w:rsidR="00AD59A3" w:rsidRPr="00AD59A3">
        <w:rPr>
          <w:rFonts w:asciiTheme="majorBidi" w:hAnsiTheme="majorBidi" w:cstheme="majorBidi"/>
        </w:rPr>
        <w:t xml:space="preserve"> par izdarīto noziedzīgo nodarījumu tiks sodīts samērīgi un atbilstoši</w:t>
      </w:r>
      <w:r w:rsidR="00AD59A3">
        <w:rPr>
          <w:rFonts w:asciiTheme="majorBidi" w:hAnsiTheme="majorBidi" w:cstheme="majorBidi"/>
        </w:rPr>
        <w:t xml:space="preserve"> </w:t>
      </w:r>
      <w:r w:rsidR="00AD59A3" w:rsidRPr="00AD59A3">
        <w:rPr>
          <w:rFonts w:asciiTheme="majorBidi" w:hAnsiTheme="majorBidi" w:cstheme="majorBidi"/>
        </w:rPr>
        <w:t>izdarītajam,</w:t>
      </w:r>
      <w:r>
        <w:rPr>
          <w:rFonts w:asciiTheme="majorBidi" w:hAnsiTheme="majorBidi" w:cstheme="majorBidi"/>
        </w:rPr>
        <w:t xml:space="preserve"> arī </w:t>
      </w:r>
      <w:r w:rsidRPr="00370FE1">
        <w:rPr>
          <w:rFonts w:asciiTheme="majorBidi" w:hAnsiTheme="majorBidi" w:cstheme="majorBidi"/>
        </w:rPr>
        <w:t xml:space="preserve">ievērojot, valstij nodarīto </w:t>
      </w:r>
      <w:r w:rsidRPr="005F509F">
        <w:rPr>
          <w:rFonts w:asciiTheme="majorBidi" w:hAnsiTheme="majorBidi" w:cstheme="majorBidi"/>
        </w:rPr>
        <w:t>64</w:t>
      </w:r>
      <w:r>
        <w:rPr>
          <w:rFonts w:asciiTheme="majorBidi" w:hAnsiTheme="majorBidi" w:cstheme="majorBidi"/>
        </w:rPr>
        <w:t> </w:t>
      </w:r>
      <w:r w:rsidRPr="005F509F">
        <w:rPr>
          <w:rFonts w:asciiTheme="majorBidi" w:hAnsiTheme="majorBidi" w:cstheme="majorBidi"/>
        </w:rPr>
        <w:t>440</w:t>
      </w:r>
      <w:r>
        <w:rPr>
          <w:rFonts w:asciiTheme="majorBidi" w:hAnsiTheme="majorBidi" w:cstheme="majorBidi"/>
        </w:rPr>
        <w:t> </w:t>
      </w:r>
      <w:proofErr w:type="spellStart"/>
      <w:r w:rsidRPr="005F509F">
        <w:rPr>
          <w:rFonts w:asciiTheme="majorBidi" w:hAnsiTheme="majorBidi" w:cstheme="majorBidi"/>
          <w:i/>
          <w:iCs/>
        </w:rPr>
        <w:t>euro</w:t>
      </w:r>
      <w:proofErr w:type="spellEnd"/>
      <w:r w:rsidRPr="005F509F">
        <w:rPr>
          <w:rFonts w:asciiTheme="majorBidi" w:hAnsiTheme="majorBidi" w:cstheme="majorBidi"/>
        </w:rPr>
        <w:t xml:space="preserve"> </w:t>
      </w:r>
      <w:r w:rsidRPr="00370FE1">
        <w:rPr>
          <w:rFonts w:asciiTheme="majorBidi" w:hAnsiTheme="majorBidi" w:cstheme="majorBidi"/>
        </w:rPr>
        <w:t>mantisk</w:t>
      </w:r>
      <w:r>
        <w:rPr>
          <w:rFonts w:asciiTheme="majorBidi" w:hAnsiTheme="majorBidi" w:cstheme="majorBidi"/>
        </w:rPr>
        <w:t>o</w:t>
      </w:r>
      <w:r w:rsidRPr="00370FE1">
        <w:rPr>
          <w:rFonts w:asciiTheme="majorBidi" w:hAnsiTheme="majorBidi" w:cstheme="majorBidi"/>
        </w:rPr>
        <w:t xml:space="preserve"> zaudējum</w:t>
      </w:r>
      <w:r>
        <w:rPr>
          <w:rFonts w:asciiTheme="majorBidi" w:hAnsiTheme="majorBidi" w:cstheme="majorBidi"/>
        </w:rPr>
        <w:t xml:space="preserve">u, kas </w:t>
      </w:r>
      <w:r w:rsidRPr="005F509F">
        <w:rPr>
          <w:rFonts w:asciiTheme="majorBidi" w:hAnsiTheme="majorBidi" w:cstheme="majorBidi"/>
        </w:rPr>
        <w:t>noziedzīgā nodarījuma izdarīšanas laik</w:t>
      </w:r>
      <w:r>
        <w:rPr>
          <w:rFonts w:asciiTheme="majorBidi" w:hAnsiTheme="majorBidi" w:cstheme="majorBidi"/>
        </w:rPr>
        <w:t>ā</w:t>
      </w:r>
      <w:r w:rsidRPr="005F509F">
        <w:rPr>
          <w:rFonts w:asciiTheme="majorBidi" w:hAnsiTheme="majorBidi" w:cstheme="majorBidi"/>
        </w:rPr>
        <w:t xml:space="preserve"> vairāk nekā piecas reizes</w:t>
      </w:r>
      <w:r>
        <w:rPr>
          <w:rFonts w:asciiTheme="majorBidi" w:hAnsiTheme="majorBidi" w:cstheme="majorBidi"/>
        </w:rPr>
        <w:t xml:space="preserve"> </w:t>
      </w:r>
      <w:r w:rsidRPr="005F509F">
        <w:rPr>
          <w:rFonts w:asciiTheme="majorBidi" w:hAnsiTheme="majorBidi" w:cstheme="majorBidi"/>
        </w:rPr>
        <w:t>pārsniedza to likum</w:t>
      </w:r>
      <w:r>
        <w:rPr>
          <w:rFonts w:asciiTheme="majorBidi" w:hAnsiTheme="majorBidi" w:cstheme="majorBidi"/>
        </w:rPr>
        <w:t xml:space="preserve">ā </w:t>
      </w:r>
      <w:r>
        <w:rPr>
          <w:rFonts w:asciiTheme="majorBidi" w:hAnsiTheme="majorBidi" w:cstheme="majorBidi"/>
        </w:rPr>
        <w:lastRenderedPageBreak/>
        <w:t>noteikto</w:t>
      </w:r>
      <w:r w:rsidRPr="005F509F">
        <w:rPr>
          <w:rFonts w:asciiTheme="majorBidi" w:hAnsiTheme="majorBidi" w:cstheme="majorBidi"/>
        </w:rPr>
        <w:t xml:space="preserve"> robežu, no kuras </w:t>
      </w:r>
      <w:r w:rsidRPr="00370FE1">
        <w:rPr>
          <w:rFonts w:asciiTheme="majorBidi" w:hAnsiTheme="majorBidi" w:cstheme="majorBidi"/>
        </w:rPr>
        <w:t>tas atzīstams par izdarītu lielā apmērā</w:t>
      </w:r>
      <w:r w:rsidR="00243B1C">
        <w:rPr>
          <w:rFonts w:asciiTheme="majorBidi" w:hAnsiTheme="majorBidi" w:cstheme="majorBidi"/>
        </w:rPr>
        <w:t>.</w:t>
      </w:r>
      <w:r>
        <w:rPr>
          <w:rFonts w:asciiTheme="majorBidi" w:hAnsiTheme="majorBidi" w:cstheme="majorBidi"/>
        </w:rPr>
        <w:t xml:space="preserve"> </w:t>
      </w:r>
      <w:r w:rsidR="00243B1C">
        <w:rPr>
          <w:rFonts w:asciiTheme="majorBidi" w:hAnsiTheme="majorBidi" w:cstheme="majorBidi"/>
        </w:rPr>
        <w:t>T</w:t>
      </w:r>
      <w:r>
        <w:rPr>
          <w:rFonts w:asciiTheme="majorBidi" w:hAnsiTheme="majorBidi" w:cstheme="majorBidi"/>
        </w:rPr>
        <w:t xml:space="preserve">urklāt </w:t>
      </w:r>
      <w:r w:rsidR="00AD59A3" w:rsidRPr="00AD59A3">
        <w:rPr>
          <w:rFonts w:asciiTheme="majorBidi" w:hAnsiTheme="majorBidi" w:cstheme="majorBidi"/>
        </w:rPr>
        <w:t>tiks panākts, ka apsūdzētais un citas personas turpmāk pildīs likumus un</w:t>
      </w:r>
      <w:r w:rsidR="00AD59A3">
        <w:rPr>
          <w:rFonts w:asciiTheme="majorBidi" w:hAnsiTheme="majorBidi" w:cstheme="majorBidi"/>
        </w:rPr>
        <w:t xml:space="preserve"> </w:t>
      </w:r>
      <w:r w:rsidR="00AD59A3" w:rsidRPr="00AD59A3">
        <w:rPr>
          <w:rFonts w:asciiTheme="majorBidi" w:hAnsiTheme="majorBidi" w:cstheme="majorBidi"/>
        </w:rPr>
        <w:t>atturēsies no noziedzīgu</w:t>
      </w:r>
      <w:r w:rsidR="00AD59A3">
        <w:rPr>
          <w:rFonts w:asciiTheme="majorBidi" w:hAnsiTheme="majorBidi" w:cstheme="majorBidi"/>
        </w:rPr>
        <w:t xml:space="preserve"> </w:t>
      </w:r>
      <w:r w:rsidR="00AD59A3" w:rsidRPr="00AD59A3">
        <w:rPr>
          <w:rFonts w:asciiTheme="majorBidi" w:hAnsiTheme="majorBidi" w:cstheme="majorBidi"/>
        </w:rPr>
        <w:t>nodarījumu izdarīšanas, tiks atjaunots taisnīgums, aizsargāta sabiedriskā</w:t>
      </w:r>
      <w:r w:rsidR="00AD59A3">
        <w:rPr>
          <w:rFonts w:asciiTheme="majorBidi" w:hAnsiTheme="majorBidi" w:cstheme="majorBidi"/>
        </w:rPr>
        <w:t xml:space="preserve"> </w:t>
      </w:r>
      <w:r w:rsidR="00AD59A3" w:rsidRPr="00AD59A3">
        <w:rPr>
          <w:rFonts w:asciiTheme="majorBidi" w:hAnsiTheme="majorBidi" w:cstheme="majorBidi"/>
        </w:rPr>
        <w:t>drošība.</w:t>
      </w:r>
      <w:r w:rsidR="00AD59A3">
        <w:rPr>
          <w:rFonts w:asciiTheme="majorBidi" w:hAnsiTheme="majorBidi" w:cstheme="majorBidi"/>
        </w:rPr>
        <w:t xml:space="preserve"> </w:t>
      </w:r>
    </w:p>
    <w:p w14:paraId="23687667" w14:textId="69E6D01B" w:rsidR="005F509F" w:rsidRDefault="00745811" w:rsidP="00CC2BFB">
      <w:pPr>
        <w:spacing w:line="276" w:lineRule="auto"/>
        <w:ind w:firstLine="720"/>
        <w:jc w:val="both"/>
        <w:rPr>
          <w:rFonts w:asciiTheme="majorBidi" w:hAnsiTheme="majorBidi" w:cstheme="majorBidi"/>
        </w:rPr>
      </w:pPr>
      <w:r>
        <w:rPr>
          <w:rFonts w:asciiTheme="majorBidi" w:hAnsiTheme="majorBidi" w:cstheme="majorBidi"/>
        </w:rPr>
        <w:t>Tiesa atzinusi</w:t>
      </w:r>
      <w:r w:rsidRPr="00745811">
        <w:rPr>
          <w:rFonts w:asciiTheme="majorBidi" w:hAnsiTheme="majorBidi" w:cstheme="majorBidi"/>
        </w:rPr>
        <w:t xml:space="preserve"> par pamatotu prokurora norādīto, ka apsūdzētajam par izdarīto noziedzīgo nodarījumu</w:t>
      </w:r>
      <w:r w:rsidR="004D5FE1">
        <w:rPr>
          <w:rFonts w:asciiTheme="majorBidi" w:hAnsiTheme="majorBidi" w:cstheme="majorBidi"/>
        </w:rPr>
        <w:t xml:space="preserve"> nosakāms sods</w:t>
      </w:r>
      <w:r w:rsidRPr="00745811">
        <w:rPr>
          <w:rFonts w:asciiTheme="majorBidi" w:hAnsiTheme="majorBidi" w:cstheme="majorBidi"/>
        </w:rPr>
        <w:t xml:space="preserve"> – brīvības atņemšana uz vienu gadu</w:t>
      </w:r>
      <w:r w:rsidR="00C95E7B">
        <w:rPr>
          <w:rFonts w:asciiTheme="majorBidi" w:hAnsiTheme="majorBidi" w:cstheme="majorBidi"/>
        </w:rPr>
        <w:t xml:space="preserve"> –</w:t>
      </w:r>
      <w:r w:rsidRPr="00745811">
        <w:rPr>
          <w:rFonts w:asciiTheme="majorBidi" w:hAnsiTheme="majorBidi" w:cstheme="majorBidi"/>
        </w:rPr>
        <w:t>, taču,</w:t>
      </w:r>
      <w:r>
        <w:rPr>
          <w:rFonts w:asciiTheme="majorBidi" w:hAnsiTheme="majorBidi" w:cstheme="majorBidi"/>
        </w:rPr>
        <w:t xml:space="preserve"> konstatējot</w:t>
      </w:r>
      <w:r w:rsidRPr="00745811">
        <w:rPr>
          <w:rFonts w:asciiTheme="majorBidi" w:hAnsiTheme="majorBidi" w:cstheme="majorBidi"/>
        </w:rPr>
        <w:t xml:space="preserve"> apsūdzētā tiesību uz kriminālprocesa pabeigšanu saprātīgā termiņā</w:t>
      </w:r>
      <w:r>
        <w:rPr>
          <w:rFonts w:asciiTheme="majorBidi" w:hAnsiTheme="majorBidi" w:cstheme="majorBidi"/>
        </w:rPr>
        <w:t xml:space="preserve"> </w:t>
      </w:r>
      <w:r w:rsidRPr="00745811">
        <w:rPr>
          <w:rFonts w:asciiTheme="majorBidi" w:hAnsiTheme="majorBidi" w:cstheme="majorBidi"/>
        </w:rPr>
        <w:t>pārkāpum</w:t>
      </w:r>
      <w:r>
        <w:rPr>
          <w:rFonts w:asciiTheme="majorBidi" w:hAnsiTheme="majorBidi" w:cstheme="majorBidi"/>
        </w:rPr>
        <w:t>u</w:t>
      </w:r>
      <w:r w:rsidRPr="00745811">
        <w:rPr>
          <w:rFonts w:asciiTheme="majorBidi" w:hAnsiTheme="majorBidi" w:cstheme="majorBidi"/>
        </w:rPr>
        <w:t xml:space="preserve">, </w:t>
      </w:r>
      <w:r w:rsidR="00933796">
        <w:rPr>
          <w:rFonts w:asciiTheme="majorBidi" w:hAnsiTheme="majorBidi" w:cstheme="majorBidi"/>
        </w:rPr>
        <w:t xml:space="preserve">atzinusi, ka </w:t>
      </w:r>
      <w:r w:rsidRPr="00745811">
        <w:rPr>
          <w:rFonts w:asciiTheme="majorBidi" w:hAnsiTheme="majorBidi" w:cstheme="majorBidi"/>
        </w:rPr>
        <w:t>piemērojams Krimināllikuma 49</w:t>
      </w:r>
      <w:r>
        <w:rPr>
          <w:rFonts w:asciiTheme="majorBidi" w:hAnsiTheme="majorBidi" w:cstheme="majorBidi"/>
        </w:rPr>
        <w:t>.</w:t>
      </w:r>
      <w:r w:rsidRPr="00745811">
        <w:rPr>
          <w:rFonts w:asciiTheme="majorBidi" w:hAnsiTheme="majorBidi" w:cstheme="majorBidi"/>
          <w:vertAlign w:val="superscript"/>
        </w:rPr>
        <w:t>1</w:t>
      </w:r>
      <w:r>
        <w:rPr>
          <w:rFonts w:asciiTheme="majorBidi" w:hAnsiTheme="majorBidi" w:cstheme="majorBidi"/>
          <w:vertAlign w:val="superscript"/>
        </w:rPr>
        <w:t> </w:t>
      </w:r>
      <w:r w:rsidRPr="00745811">
        <w:rPr>
          <w:rFonts w:asciiTheme="majorBidi" w:hAnsiTheme="majorBidi" w:cstheme="majorBidi"/>
        </w:rPr>
        <w:t>panta pirmās daļas</w:t>
      </w:r>
      <w:r>
        <w:rPr>
          <w:rFonts w:asciiTheme="majorBidi" w:hAnsiTheme="majorBidi" w:cstheme="majorBidi"/>
        </w:rPr>
        <w:t xml:space="preserve"> </w:t>
      </w:r>
      <w:r w:rsidRPr="00745811">
        <w:rPr>
          <w:rFonts w:asciiTheme="majorBidi" w:hAnsiTheme="majorBidi" w:cstheme="majorBidi"/>
        </w:rPr>
        <w:t>1.</w:t>
      </w:r>
      <w:r>
        <w:rPr>
          <w:rFonts w:asciiTheme="majorBidi" w:hAnsiTheme="majorBidi" w:cstheme="majorBidi"/>
        </w:rPr>
        <w:t> </w:t>
      </w:r>
      <w:r w:rsidRPr="00745811">
        <w:rPr>
          <w:rFonts w:asciiTheme="majorBidi" w:hAnsiTheme="majorBidi" w:cstheme="majorBidi"/>
        </w:rPr>
        <w:t>punkts un brīvības atņemšana nosakām</w:t>
      </w:r>
      <w:r w:rsidR="00FE10FB">
        <w:rPr>
          <w:rFonts w:asciiTheme="majorBidi" w:hAnsiTheme="majorBidi" w:cstheme="majorBidi"/>
        </w:rPr>
        <w:t>a</w:t>
      </w:r>
      <w:r w:rsidRPr="00745811">
        <w:rPr>
          <w:rFonts w:asciiTheme="majorBidi" w:hAnsiTheme="majorBidi" w:cstheme="majorBidi"/>
        </w:rPr>
        <w:t xml:space="preserve"> uz 10 mēnešiem.</w:t>
      </w:r>
    </w:p>
    <w:p w14:paraId="3419ACF7" w14:textId="01AA7DD4" w:rsidR="00301DF4" w:rsidRPr="005903A0" w:rsidRDefault="00AD59A3" w:rsidP="005903A0">
      <w:pPr>
        <w:spacing w:line="276" w:lineRule="auto"/>
        <w:ind w:firstLine="720"/>
        <w:jc w:val="both"/>
        <w:rPr>
          <w:rFonts w:asciiTheme="majorBidi" w:hAnsiTheme="majorBidi" w:cstheme="majorBidi"/>
        </w:rPr>
      </w:pPr>
      <w:r>
        <w:rPr>
          <w:rFonts w:asciiTheme="majorBidi" w:hAnsiTheme="majorBidi" w:cstheme="majorBidi"/>
        </w:rPr>
        <w:t>[5.4] </w:t>
      </w:r>
      <w:r w:rsidR="00301DF4">
        <w:rPr>
          <w:rFonts w:asciiTheme="majorBidi" w:hAnsiTheme="majorBidi" w:cstheme="majorBidi"/>
        </w:rPr>
        <w:t xml:space="preserve">Ievērojot minēto, Senāts atzīst, ka apelācijas instances tiesa, nosakot apsūdzētajam </w:t>
      </w:r>
      <w:r w:rsidR="000520EA">
        <w:rPr>
          <w:lang w:eastAsia="lv-LV"/>
        </w:rPr>
        <w:t>[pers. A]</w:t>
      </w:r>
      <w:r w:rsidR="00301DF4">
        <w:rPr>
          <w:rFonts w:asciiTheme="majorBidi" w:hAnsiTheme="majorBidi" w:cstheme="majorBidi"/>
        </w:rPr>
        <w:t xml:space="preserve"> sodu pēc Krimināllikuma 218. panta otrās daļas, </w:t>
      </w:r>
      <w:r w:rsidR="004D5FE1">
        <w:rPr>
          <w:rFonts w:asciiTheme="majorBidi" w:hAnsiTheme="majorBidi" w:cstheme="majorBidi"/>
        </w:rPr>
        <w:t xml:space="preserve">ir </w:t>
      </w:r>
      <w:r w:rsidR="005F509F">
        <w:rPr>
          <w:rFonts w:asciiTheme="majorBidi" w:hAnsiTheme="majorBidi" w:cstheme="majorBidi"/>
        </w:rPr>
        <w:t>ievērojusi Krimināllikuma 35.</w:t>
      </w:r>
      <w:r w:rsidR="005F509F">
        <w:t> </w:t>
      </w:r>
      <w:r w:rsidR="00B26CFF">
        <w:t xml:space="preserve">panta </w:t>
      </w:r>
      <w:r w:rsidR="005F509F">
        <w:t xml:space="preserve">un 46. panta ceturtās daļas nosacījumus. </w:t>
      </w:r>
    </w:p>
    <w:p w14:paraId="515B64B2" w14:textId="77777777" w:rsidR="000971D2" w:rsidRDefault="000971D2" w:rsidP="003B5871">
      <w:pPr>
        <w:spacing w:line="276" w:lineRule="auto"/>
        <w:ind w:firstLine="720"/>
        <w:jc w:val="both"/>
      </w:pPr>
    </w:p>
    <w:p w14:paraId="4C3849DF" w14:textId="7AC70D2A" w:rsidR="000971D2" w:rsidRDefault="000971D2" w:rsidP="003B5871">
      <w:pPr>
        <w:spacing w:line="276" w:lineRule="auto"/>
        <w:ind w:firstLine="720"/>
        <w:jc w:val="both"/>
      </w:pPr>
      <w:r>
        <w:t xml:space="preserve">[6] Vienlaikus Senāts atzīst, ka </w:t>
      </w:r>
      <w:r w:rsidRPr="000971D2">
        <w:t>izskatāmajā lietā ir jāizvērtē, vai apelācijas instances tiesa</w:t>
      </w:r>
      <w:r>
        <w:t xml:space="preserve"> </w:t>
      </w:r>
      <w:r w:rsidR="00445488">
        <w:t>pamatoti</w:t>
      </w:r>
      <w:r>
        <w:t xml:space="preserve"> atcēlusi pirmās instances tiesas spriedumu daļā par Krimināllikuma 55. panta piemērošanu. </w:t>
      </w:r>
    </w:p>
    <w:p w14:paraId="7D98C10D" w14:textId="0153F1F2" w:rsidR="000A13AA" w:rsidRPr="009C2889" w:rsidRDefault="000A13AA" w:rsidP="00D66EB5">
      <w:pPr>
        <w:autoSpaceDE w:val="0"/>
        <w:autoSpaceDN w:val="0"/>
        <w:adjustRightInd w:val="0"/>
        <w:spacing w:line="276" w:lineRule="auto"/>
        <w:ind w:firstLine="720"/>
        <w:jc w:val="both"/>
        <w:rPr>
          <w:rFonts w:asciiTheme="majorBidi" w:hAnsiTheme="majorBidi" w:cstheme="majorBidi"/>
        </w:rPr>
      </w:pPr>
      <w:r>
        <w:t>[6.1] </w:t>
      </w:r>
      <w:r>
        <w:rPr>
          <w:rFonts w:asciiTheme="majorBidi" w:hAnsiTheme="majorBidi" w:cstheme="majorBidi"/>
        </w:rPr>
        <w:t>Ar pirmās instances tiesas spriedumu nolemts apsūdzēt</w:t>
      </w:r>
      <w:r w:rsidR="004D5FE1">
        <w:rPr>
          <w:rFonts w:asciiTheme="majorBidi" w:hAnsiTheme="majorBidi" w:cstheme="majorBidi"/>
        </w:rPr>
        <w:t>o</w:t>
      </w:r>
      <w:r>
        <w:rPr>
          <w:rFonts w:asciiTheme="majorBidi" w:hAnsiTheme="majorBidi" w:cstheme="majorBidi"/>
        </w:rPr>
        <w:t xml:space="preserve"> </w:t>
      </w:r>
      <w:r w:rsidR="000520EA">
        <w:rPr>
          <w:lang w:eastAsia="lv-LV"/>
        </w:rPr>
        <w:t>[pers. A]</w:t>
      </w:r>
      <w:r>
        <w:rPr>
          <w:rFonts w:asciiTheme="majorBidi" w:hAnsiTheme="majorBidi" w:cstheme="majorBidi"/>
        </w:rPr>
        <w:t xml:space="preserve"> pēc Krimināllikuma 218. panta otrās daļas </w:t>
      </w:r>
      <w:r w:rsidR="00D66EB5">
        <w:rPr>
          <w:rFonts w:asciiTheme="majorBidi" w:hAnsiTheme="majorBidi" w:cstheme="majorBidi"/>
        </w:rPr>
        <w:t xml:space="preserve">notiesāt </w:t>
      </w:r>
      <w:r>
        <w:rPr>
          <w:rFonts w:asciiTheme="majorBidi" w:hAnsiTheme="majorBidi" w:cstheme="majorBidi"/>
        </w:rPr>
        <w:t xml:space="preserve">nosacīti ar pārbaudes laiku uz 6 mēnešiem. </w:t>
      </w:r>
      <w:r w:rsidRPr="000A13AA">
        <w:rPr>
          <w:rFonts w:asciiTheme="majorBidi" w:hAnsiTheme="majorBidi" w:cstheme="majorBidi"/>
        </w:rPr>
        <w:t>Apelācijas instances tiesa atcēlusi pirmās instances tiesas spriedumu daļā par Krimināllikuma 55.</w:t>
      </w:r>
      <w:r>
        <w:rPr>
          <w:rFonts w:asciiTheme="majorBidi" w:hAnsiTheme="majorBidi" w:cstheme="majorBidi"/>
        </w:rPr>
        <w:t> </w:t>
      </w:r>
      <w:r w:rsidRPr="000A13AA">
        <w:rPr>
          <w:rFonts w:asciiTheme="majorBidi" w:hAnsiTheme="majorBidi" w:cstheme="majorBidi"/>
        </w:rPr>
        <w:t xml:space="preserve">panta nosacījumu piemērošanu, proti, par apsūdzētā notiesāšanu nosacīti. Pamatojot savu spriedumu šajā daļā, apelācijas instances tiesa norādījusi </w:t>
      </w:r>
      <w:r w:rsidR="00D66EB5">
        <w:rPr>
          <w:rFonts w:asciiTheme="majorBidi" w:hAnsiTheme="majorBidi" w:cstheme="majorBidi"/>
        </w:rPr>
        <w:t xml:space="preserve">arī </w:t>
      </w:r>
      <w:r w:rsidRPr="000A13AA">
        <w:rPr>
          <w:rFonts w:asciiTheme="majorBidi" w:hAnsiTheme="majorBidi" w:cstheme="majorBidi"/>
        </w:rPr>
        <w:t xml:space="preserve">uz to, ka </w:t>
      </w:r>
      <w:r w:rsidR="00A24D33">
        <w:rPr>
          <w:rFonts w:asciiTheme="majorBidi" w:hAnsiTheme="majorBidi" w:cstheme="majorBidi"/>
        </w:rPr>
        <w:t>pirmās instances tiesa nepamatoti nav ņēmusi vērā</w:t>
      </w:r>
      <w:r w:rsidR="00A24D33" w:rsidRPr="00A24D33">
        <w:rPr>
          <w:rFonts w:asciiTheme="majorBidi" w:hAnsiTheme="majorBidi" w:cstheme="majorBidi"/>
        </w:rPr>
        <w:t xml:space="preserve"> apstākli, ka </w:t>
      </w:r>
      <w:r w:rsidR="00D66EB5">
        <w:rPr>
          <w:rFonts w:asciiTheme="majorBidi" w:hAnsiTheme="majorBidi" w:cstheme="majorBidi"/>
        </w:rPr>
        <w:t xml:space="preserve">apsūdzētais nav uzsācis atlīdzināt </w:t>
      </w:r>
      <w:r w:rsidR="00A24D33" w:rsidRPr="00A24D33">
        <w:rPr>
          <w:rFonts w:asciiTheme="majorBidi" w:hAnsiTheme="majorBidi" w:cstheme="majorBidi"/>
        </w:rPr>
        <w:t>ar noziedzīgo</w:t>
      </w:r>
      <w:r w:rsidR="00A24D33">
        <w:rPr>
          <w:rFonts w:asciiTheme="majorBidi" w:hAnsiTheme="majorBidi" w:cstheme="majorBidi"/>
        </w:rPr>
        <w:t xml:space="preserve"> </w:t>
      </w:r>
      <w:r w:rsidR="00A24D33" w:rsidRPr="00A24D33">
        <w:rPr>
          <w:rFonts w:asciiTheme="majorBidi" w:hAnsiTheme="majorBidi" w:cstheme="majorBidi"/>
        </w:rPr>
        <w:t>nodarījumu radīt</w:t>
      </w:r>
      <w:r w:rsidR="00D66EB5">
        <w:rPr>
          <w:rFonts w:asciiTheme="majorBidi" w:hAnsiTheme="majorBidi" w:cstheme="majorBidi"/>
        </w:rPr>
        <w:t>o</w:t>
      </w:r>
      <w:r w:rsidR="00A24D33" w:rsidRPr="00A24D33">
        <w:rPr>
          <w:rFonts w:asciiTheme="majorBidi" w:hAnsiTheme="majorBidi" w:cstheme="majorBidi"/>
        </w:rPr>
        <w:t xml:space="preserve"> kaitējum</w:t>
      </w:r>
      <w:r w:rsidR="00D66EB5">
        <w:rPr>
          <w:rFonts w:asciiTheme="majorBidi" w:hAnsiTheme="majorBidi" w:cstheme="majorBidi"/>
        </w:rPr>
        <w:t>u</w:t>
      </w:r>
      <w:r w:rsidR="003D5BDB">
        <w:rPr>
          <w:rFonts w:asciiTheme="majorBidi" w:hAnsiTheme="majorBidi" w:cstheme="majorBidi"/>
        </w:rPr>
        <w:t xml:space="preserve">. </w:t>
      </w:r>
      <w:r w:rsidR="00A24D33">
        <w:rPr>
          <w:rFonts w:asciiTheme="majorBidi" w:hAnsiTheme="majorBidi" w:cstheme="majorBidi"/>
        </w:rPr>
        <w:t>Apelācijas instances tiesa atzinusi, ka šis fakts ir ņemams vērā</w:t>
      </w:r>
      <w:r w:rsidR="00A24D33">
        <w:t>, lemjot par nosacītas notiesāšanas iespējamību.</w:t>
      </w:r>
    </w:p>
    <w:p w14:paraId="5B4D033A" w14:textId="45C549FE" w:rsidR="004908CA" w:rsidRDefault="00F717D5" w:rsidP="004908CA">
      <w:pPr>
        <w:spacing w:line="276" w:lineRule="auto"/>
        <w:ind w:firstLine="720"/>
        <w:jc w:val="both"/>
      </w:pPr>
      <w:r>
        <w:t>[6.2] </w:t>
      </w:r>
      <w:r w:rsidR="007443F7">
        <w:t xml:space="preserve">Senāts norāda, ka </w:t>
      </w:r>
      <w:r w:rsidR="00D66EB5">
        <w:t xml:space="preserve">radītā </w:t>
      </w:r>
      <w:r w:rsidR="00A24D33">
        <w:t xml:space="preserve">kaitējuma </w:t>
      </w:r>
      <w:r w:rsidR="00D66EB5">
        <w:t xml:space="preserve">labprātīga </w:t>
      </w:r>
      <w:r w:rsidR="00A24D33">
        <w:t xml:space="preserve">atlīdzināšana cietušajam </w:t>
      </w:r>
      <w:r w:rsidR="00A24D33" w:rsidRPr="00A24D33">
        <w:t>saskaņā ar Krimināllikuma 47.</w:t>
      </w:r>
      <w:r w:rsidR="00A24D33">
        <w:t> </w:t>
      </w:r>
      <w:r w:rsidR="00A24D33" w:rsidRPr="00A24D33">
        <w:t xml:space="preserve">panta pirmās daļas </w:t>
      </w:r>
      <w:r w:rsidR="00A24D33">
        <w:t>3. </w:t>
      </w:r>
      <w:r w:rsidR="00A24D33" w:rsidRPr="00A24D33">
        <w:t>punktu ir atzīstama par atbildību mīkstinošu apstākli, kas ir pamats vieglāka soda noteikšanai, savukārt</w:t>
      </w:r>
      <w:r w:rsidR="00A24D33">
        <w:t xml:space="preserve"> </w:t>
      </w:r>
      <w:r w:rsidR="00D66EB5">
        <w:t xml:space="preserve">radītā </w:t>
      </w:r>
      <w:r w:rsidR="00A24D33">
        <w:t>kaitējuma neatlīdzināšana pirms sprieduma spēkā stāšanās</w:t>
      </w:r>
      <w:r w:rsidR="00A24D33" w:rsidRPr="00A24D33">
        <w:t xml:space="preserve"> nevar pastiprināt personas atbildību un pasliktināt tās stāvokli </w:t>
      </w:r>
      <w:r w:rsidR="00A24D33" w:rsidRPr="007443F7">
        <w:t xml:space="preserve">lietā. </w:t>
      </w:r>
      <w:r w:rsidR="004908CA">
        <w:t>Saskaņā ar Kriminālprocesa likuma 350. panta otro daļu k</w:t>
      </w:r>
      <w:r w:rsidR="004908CA" w:rsidRPr="004908CA">
        <w:t xml:space="preserve">ompensācija ir krimināltiesisko attiecību noregulējuma elements, ko apsūdzētais samaksā brīvprātīgi vai uz tiesas nolēmuma vai prokurora priekšraksta par sodu pamata. No minētā izriet vispārīgs </w:t>
      </w:r>
      <w:r w:rsidR="004908CA">
        <w:t>nosacījums</w:t>
      </w:r>
      <w:r w:rsidR="004908CA" w:rsidRPr="004908CA">
        <w:t xml:space="preserve">, ka </w:t>
      </w:r>
      <w:r w:rsidR="004908CA">
        <w:t>pirms persona</w:t>
      </w:r>
      <w:r w:rsidR="004908CA" w:rsidRPr="004908CA">
        <w:t xml:space="preserve"> atzīta par vainīgu noziedzīgajā nodarījumā, ar kuru cietušajam radīts kaitējums</w:t>
      </w:r>
      <w:r w:rsidR="004908CA">
        <w:t>,</w:t>
      </w:r>
      <w:r w:rsidR="004908CA" w:rsidRPr="004908CA">
        <w:t xml:space="preserve"> kaitējuma kompensācijas </w:t>
      </w:r>
      <w:r w:rsidR="00D66EB5">
        <w:t>sa</w:t>
      </w:r>
      <w:r w:rsidR="004908CA" w:rsidRPr="004908CA">
        <w:t>maksa</w:t>
      </w:r>
      <w:r w:rsidR="004908CA">
        <w:t xml:space="preserve"> ir apsūdzētā tiesības. Tikai pēc tam, kad personas vainīgums ir konstatēts likumā noteiktajā kārtībā, tai rodas</w:t>
      </w:r>
      <w:r w:rsidR="004908CA" w:rsidRPr="004908CA">
        <w:t xml:space="preserve"> </w:t>
      </w:r>
      <w:r w:rsidR="004908CA">
        <w:t xml:space="preserve">kaitējuma </w:t>
      </w:r>
      <w:r w:rsidR="00D66EB5">
        <w:t>sa</w:t>
      </w:r>
      <w:r w:rsidR="004908CA">
        <w:t>maksas pienākums</w:t>
      </w:r>
      <w:r w:rsidR="004908CA" w:rsidRPr="004908CA">
        <w:t>.</w:t>
      </w:r>
      <w:r w:rsidR="004908CA">
        <w:t xml:space="preserve"> Ievērojot minēto, Senāts atzīst, ka s</w:t>
      </w:r>
      <w:r w:rsidR="007443F7" w:rsidRPr="007443F7">
        <w:t>avu procesuālo tiesību neizmantošana nevar negatīvi ietekmēt personas tiesisko stāvokli un būt par pamatu bargāka soda noteikšanai</w:t>
      </w:r>
      <w:r w:rsidR="007443F7" w:rsidRPr="00C678E8">
        <w:t>.</w:t>
      </w:r>
    </w:p>
    <w:p w14:paraId="36141AA1" w14:textId="78E088B6" w:rsidR="00A24D33" w:rsidRDefault="007443F7" w:rsidP="000971D2">
      <w:pPr>
        <w:spacing w:line="276" w:lineRule="auto"/>
        <w:ind w:firstLine="720"/>
        <w:jc w:val="both"/>
      </w:pPr>
      <w:r>
        <w:t>[6.3] </w:t>
      </w:r>
      <w:r w:rsidR="00A24D33" w:rsidRPr="00A24D33">
        <w:t xml:space="preserve">Ievērojot minēto, </w:t>
      </w:r>
      <w:r w:rsidR="00A24D33">
        <w:t>Senāts</w:t>
      </w:r>
      <w:r w:rsidR="00A24D33" w:rsidRPr="00A24D33">
        <w:t xml:space="preserve"> atzīst, ka apelācijas instances tiesa, pieļāvusi Kriminālprocesa likuma 574.</w:t>
      </w:r>
      <w:r>
        <w:t> </w:t>
      </w:r>
      <w:r w:rsidR="00A24D33" w:rsidRPr="00A24D33">
        <w:t>panta 1.</w:t>
      </w:r>
      <w:r>
        <w:t> </w:t>
      </w:r>
      <w:r w:rsidR="00A24D33" w:rsidRPr="00A24D33">
        <w:t>punk</w:t>
      </w:r>
      <w:r>
        <w:t>t</w:t>
      </w:r>
      <w:r w:rsidR="00A24D33" w:rsidRPr="00A24D33">
        <w:t>ā norādīto pārkāpumu – nepareizi piemērojusi Krimināllikuma 55.</w:t>
      </w:r>
      <w:r>
        <w:t> </w:t>
      </w:r>
      <w:r w:rsidR="00A24D33" w:rsidRPr="00A24D33">
        <w:t>pantu. Minētā iemesla dēļ apelācijas instances tiesas spriedums šajā daļā ir atceļams un lieta nosūtāma jaunai izskatīšanai apelācijas instances tiesā.</w:t>
      </w:r>
    </w:p>
    <w:p w14:paraId="1076AEF7" w14:textId="77777777" w:rsidR="000A13AA" w:rsidRDefault="000A13AA" w:rsidP="000971D2">
      <w:pPr>
        <w:spacing w:line="276" w:lineRule="auto"/>
        <w:ind w:firstLine="720"/>
        <w:jc w:val="both"/>
      </w:pPr>
    </w:p>
    <w:p w14:paraId="24A196FC" w14:textId="2E8901B4" w:rsidR="000E2F39" w:rsidRDefault="0002495A" w:rsidP="000971D2">
      <w:pPr>
        <w:spacing w:line="276" w:lineRule="auto"/>
        <w:ind w:firstLine="720"/>
        <w:jc w:val="both"/>
        <w:rPr>
          <w:rFonts w:asciiTheme="majorBidi" w:hAnsiTheme="majorBidi" w:cstheme="majorBidi"/>
        </w:rPr>
      </w:pPr>
      <w:r>
        <w:rPr>
          <w:rFonts w:asciiTheme="majorBidi" w:hAnsiTheme="majorBidi" w:cstheme="majorBidi"/>
        </w:rPr>
        <w:lastRenderedPageBreak/>
        <w:t>[</w:t>
      </w:r>
      <w:r w:rsidR="000A13AA">
        <w:rPr>
          <w:rFonts w:asciiTheme="majorBidi" w:hAnsiTheme="majorBidi" w:cstheme="majorBidi"/>
        </w:rPr>
        <w:t>7</w:t>
      </w:r>
      <w:r>
        <w:rPr>
          <w:rFonts w:asciiTheme="majorBidi" w:hAnsiTheme="majorBidi" w:cstheme="majorBidi"/>
        </w:rPr>
        <w:t>] </w:t>
      </w:r>
      <w:r w:rsidR="000E2F39" w:rsidRPr="000E2F39">
        <w:rPr>
          <w:rFonts w:asciiTheme="majorBidi" w:hAnsiTheme="majorBidi" w:cstheme="majorBidi"/>
        </w:rPr>
        <w:t>Senāts atzīst, ka jāsniedz arī atbilde, vai</w:t>
      </w:r>
      <w:r w:rsidR="000D4EF4">
        <w:rPr>
          <w:rFonts w:asciiTheme="majorBidi" w:hAnsiTheme="majorBidi" w:cstheme="majorBidi"/>
        </w:rPr>
        <w:t xml:space="preserve"> apelācijas instances tiesa </w:t>
      </w:r>
      <w:r w:rsidR="00D66EB5">
        <w:rPr>
          <w:rFonts w:asciiTheme="majorBidi" w:hAnsiTheme="majorBidi" w:cstheme="majorBidi"/>
        </w:rPr>
        <w:t xml:space="preserve">ir </w:t>
      </w:r>
      <w:r w:rsidR="000971D2">
        <w:rPr>
          <w:rFonts w:asciiTheme="majorBidi" w:hAnsiTheme="majorBidi" w:cstheme="majorBidi"/>
        </w:rPr>
        <w:t xml:space="preserve">ievērojusi </w:t>
      </w:r>
      <w:r w:rsidR="000D4EF4">
        <w:rPr>
          <w:rFonts w:asciiTheme="majorBidi" w:hAnsiTheme="majorBidi" w:cstheme="majorBidi"/>
        </w:rPr>
        <w:t xml:space="preserve">Kriminālprocesa likuma 19. panta </w:t>
      </w:r>
      <w:r w:rsidR="000971D2">
        <w:rPr>
          <w:rFonts w:asciiTheme="majorBidi" w:hAnsiTheme="majorBidi" w:cstheme="majorBidi"/>
        </w:rPr>
        <w:t>otrajā daļā paredzēto nosacījumu, ka p</w:t>
      </w:r>
      <w:r w:rsidR="000971D2" w:rsidRPr="00AF537E">
        <w:rPr>
          <w:rFonts w:asciiTheme="majorBidi" w:hAnsiTheme="majorBidi" w:cstheme="majorBidi"/>
        </w:rPr>
        <w:t>ersonai, kurai ir tiesības uz aizstāvību, nav jāpierāda savs nevainīgums</w:t>
      </w:r>
      <w:r w:rsidR="00D66EB5">
        <w:rPr>
          <w:rFonts w:asciiTheme="majorBidi" w:hAnsiTheme="majorBidi" w:cstheme="majorBidi"/>
        </w:rPr>
        <w:t>.</w:t>
      </w:r>
    </w:p>
    <w:p w14:paraId="1C99F262" w14:textId="200D1936" w:rsidR="00A150A2" w:rsidRDefault="000971D2" w:rsidP="009C2889">
      <w:pPr>
        <w:spacing w:line="276" w:lineRule="auto"/>
        <w:ind w:firstLine="720"/>
        <w:jc w:val="both"/>
        <w:rPr>
          <w:rFonts w:asciiTheme="majorBidi" w:hAnsiTheme="majorBidi" w:cstheme="majorBidi"/>
        </w:rPr>
      </w:pPr>
      <w:r>
        <w:rPr>
          <w:rFonts w:asciiTheme="majorBidi" w:hAnsiTheme="majorBidi" w:cstheme="majorBidi"/>
        </w:rPr>
        <w:t>[</w:t>
      </w:r>
      <w:r w:rsidR="000A13AA">
        <w:rPr>
          <w:rFonts w:asciiTheme="majorBidi" w:hAnsiTheme="majorBidi" w:cstheme="majorBidi"/>
        </w:rPr>
        <w:t>7</w:t>
      </w:r>
      <w:r>
        <w:rPr>
          <w:rFonts w:asciiTheme="majorBidi" w:hAnsiTheme="majorBidi" w:cstheme="majorBidi"/>
        </w:rPr>
        <w:t>.1] </w:t>
      </w:r>
      <w:r w:rsidR="00E06E7B">
        <w:rPr>
          <w:rFonts w:asciiTheme="majorBidi" w:hAnsiTheme="majorBidi" w:cstheme="majorBidi"/>
        </w:rPr>
        <w:t>Senāts konstatē, ka a</w:t>
      </w:r>
      <w:r w:rsidR="00CE217C">
        <w:rPr>
          <w:rFonts w:asciiTheme="majorBidi" w:hAnsiTheme="majorBidi" w:cstheme="majorBidi"/>
        </w:rPr>
        <w:t>pelācijas instances t</w:t>
      </w:r>
      <w:r w:rsidR="00A150A2">
        <w:rPr>
          <w:rFonts w:asciiTheme="majorBidi" w:hAnsiTheme="majorBidi" w:cstheme="majorBidi"/>
        </w:rPr>
        <w:t xml:space="preserve">iesa norādījusi, ka </w:t>
      </w:r>
      <w:r w:rsidR="00F95C1B" w:rsidRPr="004C47F9">
        <w:rPr>
          <w:rFonts w:asciiTheme="majorBidi" w:hAnsiTheme="majorBidi" w:cstheme="majorBidi"/>
        </w:rPr>
        <w:t xml:space="preserve">apsūdzētais </w:t>
      </w:r>
      <w:r w:rsidR="000520EA">
        <w:rPr>
          <w:lang w:eastAsia="lv-LV"/>
        </w:rPr>
        <w:t>[pers. A]</w:t>
      </w:r>
      <w:r w:rsidR="00F95C1B">
        <w:rPr>
          <w:rFonts w:asciiTheme="majorBidi" w:hAnsiTheme="majorBidi" w:cstheme="majorBidi"/>
        </w:rPr>
        <w:t>,</w:t>
      </w:r>
      <w:r w:rsidR="00F95C1B" w:rsidRPr="004C47F9">
        <w:rPr>
          <w:rFonts w:asciiTheme="majorBidi" w:hAnsiTheme="majorBidi" w:cstheme="majorBidi"/>
        </w:rPr>
        <w:t xml:space="preserve"> </w:t>
      </w:r>
      <w:r w:rsidR="00A150A2">
        <w:rPr>
          <w:rFonts w:asciiTheme="majorBidi" w:hAnsiTheme="majorBidi" w:cstheme="majorBidi"/>
        </w:rPr>
        <w:t>n</w:t>
      </w:r>
      <w:r w:rsidR="00A150A2" w:rsidRPr="004C47F9">
        <w:rPr>
          <w:rFonts w:asciiTheme="majorBidi" w:hAnsiTheme="majorBidi" w:cstheme="majorBidi"/>
        </w:rPr>
        <w:t xml:space="preserve">opratināts kā aizdomās turētais </w:t>
      </w:r>
      <w:proofErr w:type="spellStart"/>
      <w:r w:rsidR="00A150A2" w:rsidRPr="004C47F9">
        <w:rPr>
          <w:rFonts w:asciiTheme="majorBidi" w:hAnsiTheme="majorBidi" w:cstheme="majorBidi"/>
        </w:rPr>
        <w:t>pirmstiesas</w:t>
      </w:r>
      <w:proofErr w:type="spellEnd"/>
      <w:r w:rsidR="00A150A2" w:rsidRPr="004C47F9">
        <w:rPr>
          <w:rFonts w:asciiTheme="majorBidi" w:hAnsiTheme="majorBidi" w:cstheme="majorBidi"/>
        </w:rPr>
        <w:t xml:space="preserve"> kriminālprocesā 2011.</w:t>
      </w:r>
      <w:r w:rsidR="00A150A2">
        <w:rPr>
          <w:rFonts w:asciiTheme="majorBidi" w:hAnsiTheme="majorBidi" w:cstheme="majorBidi"/>
        </w:rPr>
        <w:t> </w:t>
      </w:r>
      <w:r w:rsidR="00A150A2" w:rsidRPr="004C47F9">
        <w:rPr>
          <w:rFonts w:asciiTheme="majorBidi" w:hAnsiTheme="majorBidi" w:cstheme="majorBidi"/>
        </w:rPr>
        <w:t>gada 26.</w:t>
      </w:r>
      <w:r w:rsidR="00A150A2">
        <w:rPr>
          <w:rFonts w:asciiTheme="majorBidi" w:hAnsiTheme="majorBidi" w:cstheme="majorBidi"/>
        </w:rPr>
        <w:t> </w:t>
      </w:r>
      <w:r w:rsidR="00A150A2" w:rsidRPr="004C47F9">
        <w:rPr>
          <w:rFonts w:asciiTheme="majorBidi" w:hAnsiTheme="majorBidi" w:cstheme="majorBidi"/>
        </w:rPr>
        <w:t>oktobrī</w:t>
      </w:r>
      <w:r w:rsidR="003B78C1">
        <w:rPr>
          <w:rFonts w:asciiTheme="majorBidi" w:hAnsiTheme="majorBidi" w:cstheme="majorBidi"/>
        </w:rPr>
        <w:t xml:space="preserve">, </w:t>
      </w:r>
      <w:r w:rsidR="00A150A2" w:rsidRPr="004C47F9">
        <w:rPr>
          <w:rFonts w:asciiTheme="majorBidi" w:hAnsiTheme="majorBidi" w:cstheme="majorBidi"/>
        </w:rPr>
        <w:t>ir atteicies liecināt</w:t>
      </w:r>
      <w:r w:rsidR="00F95C1B">
        <w:rPr>
          <w:rFonts w:asciiTheme="majorBidi" w:hAnsiTheme="majorBidi" w:cstheme="majorBidi"/>
        </w:rPr>
        <w:t>.</w:t>
      </w:r>
      <w:r w:rsidR="00A150A2">
        <w:rPr>
          <w:rFonts w:asciiTheme="majorBidi" w:hAnsiTheme="majorBidi" w:cstheme="majorBidi"/>
        </w:rPr>
        <w:t xml:space="preserve"> </w:t>
      </w:r>
      <w:r w:rsidR="0050549B">
        <w:rPr>
          <w:rFonts w:asciiTheme="majorBidi" w:hAnsiTheme="majorBidi" w:cstheme="majorBidi"/>
        </w:rPr>
        <w:t>Pirmās instances t</w:t>
      </w:r>
      <w:r w:rsidR="00A150A2" w:rsidRPr="004C47F9">
        <w:rPr>
          <w:rFonts w:asciiTheme="majorBidi" w:hAnsiTheme="majorBidi" w:cstheme="majorBidi"/>
        </w:rPr>
        <w:t xml:space="preserve">iesas sēdē </w:t>
      </w:r>
      <w:r w:rsidR="000520EA">
        <w:rPr>
          <w:lang w:eastAsia="lv-LV"/>
        </w:rPr>
        <w:t>[pers. A]</w:t>
      </w:r>
      <w:r w:rsidR="00A150A2" w:rsidRPr="004C47F9">
        <w:rPr>
          <w:rFonts w:asciiTheme="majorBidi" w:hAnsiTheme="majorBidi" w:cstheme="majorBidi"/>
        </w:rPr>
        <w:t xml:space="preserve"> savu vain</w:t>
      </w:r>
      <w:r w:rsidR="00D1404F">
        <w:rPr>
          <w:rFonts w:asciiTheme="majorBidi" w:hAnsiTheme="majorBidi" w:cstheme="majorBidi"/>
        </w:rPr>
        <w:t>īgumu</w:t>
      </w:r>
      <w:r w:rsidR="00A150A2" w:rsidRPr="004C47F9">
        <w:rPr>
          <w:rFonts w:asciiTheme="majorBidi" w:hAnsiTheme="majorBidi" w:cstheme="majorBidi"/>
        </w:rPr>
        <w:t xml:space="preserve"> n</w:t>
      </w:r>
      <w:r w:rsidR="00CE217C">
        <w:rPr>
          <w:rFonts w:asciiTheme="majorBidi" w:hAnsiTheme="majorBidi" w:cstheme="majorBidi"/>
        </w:rPr>
        <w:t>a</w:t>
      </w:r>
      <w:r w:rsidR="00541F03">
        <w:rPr>
          <w:rFonts w:asciiTheme="majorBidi" w:hAnsiTheme="majorBidi" w:cstheme="majorBidi"/>
        </w:rPr>
        <w:t xml:space="preserve">v </w:t>
      </w:r>
      <w:r w:rsidR="00A150A2" w:rsidRPr="004C47F9">
        <w:rPr>
          <w:rFonts w:asciiTheme="majorBidi" w:hAnsiTheme="majorBidi" w:cstheme="majorBidi"/>
        </w:rPr>
        <w:t>atzin</w:t>
      </w:r>
      <w:r w:rsidR="00CE217C">
        <w:rPr>
          <w:rFonts w:asciiTheme="majorBidi" w:hAnsiTheme="majorBidi" w:cstheme="majorBidi"/>
        </w:rPr>
        <w:t>is</w:t>
      </w:r>
      <w:r w:rsidR="00A150A2" w:rsidRPr="004C47F9">
        <w:rPr>
          <w:rFonts w:asciiTheme="majorBidi" w:hAnsiTheme="majorBidi" w:cstheme="majorBidi"/>
        </w:rPr>
        <w:t xml:space="preserve"> un paskaidroj</w:t>
      </w:r>
      <w:r w:rsidR="00A150A2">
        <w:rPr>
          <w:rFonts w:asciiTheme="majorBidi" w:hAnsiTheme="majorBidi" w:cstheme="majorBidi"/>
        </w:rPr>
        <w:t>is</w:t>
      </w:r>
      <w:r w:rsidR="00A150A2" w:rsidRPr="004C47F9">
        <w:rPr>
          <w:rFonts w:asciiTheme="majorBidi" w:hAnsiTheme="majorBidi" w:cstheme="majorBidi"/>
        </w:rPr>
        <w:t xml:space="preserve">, ka </w:t>
      </w:r>
      <w:bookmarkStart w:id="1" w:name="_Hlk191990231"/>
      <w:r w:rsidR="00A150A2" w:rsidRPr="004C47F9">
        <w:rPr>
          <w:rFonts w:asciiTheme="majorBidi" w:hAnsiTheme="majorBidi" w:cstheme="majorBidi"/>
        </w:rPr>
        <w:t>apsūdzībā</w:t>
      </w:r>
      <w:r w:rsidR="00A150A2">
        <w:rPr>
          <w:rFonts w:asciiTheme="majorBidi" w:hAnsiTheme="majorBidi" w:cstheme="majorBidi"/>
        </w:rPr>
        <w:t xml:space="preserve"> </w:t>
      </w:r>
      <w:r w:rsidR="00A150A2" w:rsidRPr="004C47F9">
        <w:rPr>
          <w:rFonts w:asciiTheme="majorBidi" w:hAnsiTheme="majorBidi" w:cstheme="majorBidi"/>
        </w:rPr>
        <w:t>minētos būvdarbus SIA</w:t>
      </w:r>
      <w:r w:rsidR="00A150A2">
        <w:rPr>
          <w:rFonts w:asciiTheme="majorBidi" w:hAnsiTheme="majorBidi" w:cstheme="majorBidi"/>
        </w:rPr>
        <w:t> „</w:t>
      </w:r>
      <w:r w:rsidR="000520EA">
        <w:rPr>
          <w:rFonts w:asciiTheme="majorBidi" w:hAnsiTheme="majorBidi" w:cstheme="majorBidi"/>
        </w:rPr>
        <w:t>[Nosaukum</w:t>
      </w:r>
      <w:r w:rsidR="00DE40C1">
        <w:rPr>
          <w:rFonts w:asciiTheme="majorBidi" w:hAnsiTheme="majorBidi" w:cstheme="majorBidi"/>
        </w:rPr>
        <w:t>s</w:t>
      </w:r>
      <w:r w:rsidR="000520EA">
        <w:rPr>
          <w:rFonts w:asciiTheme="majorBidi" w:hAnsiTheme="majorBidi" w:cstheme="majorBidi"/>
        </w:rPr>
        <w:t>]</w:t>
      </w:r>
      <w:r w:rsidR="00A150A2" w:rsidRPr="004C47F9">
        <w:rPr>
          <w:rFonts w:asciiTheme="majorBidi" w:hAnsiTheme="majorBidi" w:cstheme="majorBidi"/>
        </w:rPr>
        <w:t>” vei</w:t>
      </w:r>
      <w:r w:rsidR="00686D65">
        <w:rPr>
          <w:rFonts w:asciiTheme="majorBidi" w:hAnsiTheme="majorBidi" w:cstheme="majorBidi"/>
        </w:rPr>
        <w:t xml:space="preserve">kusi </w:t>
      </w:r>
      <w:r w:rsidR="00A150A2" w:rsidRPr="004C47F9">
        <w:rPr>
          <w:rFonts w:asciiTheme="majorBidi" w:hAnsiTheme="majorBidi" w:cstheme="majorBidi"/>
        </w:rPr>
        <w:t>ar</w:t>
      </w:r>
      <w:r w:rsidR="00A150A2">
        <w:rPr>
          <w:rFonts w:asciiTheme="majorBidi" w:hAnsiTheme="majorBidi" w:cstheme="majorBidi"/>
        </w:rPr>
        <w:t xml:space="preserve"> </w:t>
      </w:r>
      <w:r w:rsidR="00A150A2" w:rsidRPr="004C47F9">
        <w:rPr>
          <w:rFonts w:asciiTheme="majorBidi" w:hAnsiTheme="majorBidi" w:cstheme="majorBidi"/>
        </w:rPr>
        <w:t>apakšuzņēmēju palīdzību</w:t>
      </w:r>
      <w:bookmarkEnd w:id="1"/>
      <w:r w:rsidR="00A150A2" w:rsidRPr="004C47F9">
        <w:rPr>
          <w:rFonts w:asciiTheme="majorBidi" w:hAnsiTheme="majorBidi" w:cstheme="majorBidi"/>
        </w:rPr>
        <w:t>. SIA</w:t>
      </w:r>
      <w:r w:rsidR="00686D65">
        <w:t> </w:t>
      </w:r>
      <w:r w:rsidR="00686D65">
        <w:rPr>
          <w:rFonts w:asciiTheme="majorBidi" w:hAnsiTheme="majorBidi" w:cstheme="majorBidi"/>
        </w:rPr>
        <w:t>„</w:t>
      </w:r>
      <w:r w:rsidR="000520EA">
        <w:rPr>
          <w:rFonts w:asciiTheme="majorBidi" w:hAnsiTheme="majorBidi" w:cstheme="majorBidi"/>
        </w:rPr>
        <w:t>[Nosaukums]</w:t>
      </w:r>
      <w:r w:rsidR="00A150A2" w:rsidRPr="004C47F9">
        <w:rPr>
          <w:rFonts w:asciiTheme="majorBidi" w:hAnsiTheme="majorBidi" w:cstheme="majorBidi"/>
        </w:rPr>
        <w:t>” PVN deklarācijas sa</w:t>
      </w:r>
      <w:r w:rsidR="00C06506">
        <w:rPr>
          <w:rFonts w:asciiTheme="majorBidi" w:hAnsiTheme="majorBidi" w:cstheme="majorBidi"/>
        </w:rPr>
        <w:t>gatavojusi</w:t>
      </w:r>
      <w:r w:rsidR="00A150A2" w:rsidRPr="004C47F9">
        <w:rPr>
          <w:rFonts w:asciiTheme="majorBidi" w:hAnsiTheme="majorBidi" w:cstheme="majorBidi"/>
        </w:rPr>
        <w:t xml:space="preserve"> grāmatvede. </w:t>
      </w:r>
      <w:r w:rsidR="00C06506">
        <w:rPr>
          <w:rFonts w:asciiTheme="majorBidi" w:hAnsiTheme="majorBidi" w:cstheme="majorBidi"/>
        </w:rPr>
        <w:t>Apsūdzētais nav</w:t>
      </w:r>
      <w:r w:rsidR="009C2889">
        <w:rPr>
          <w:rFonts w:asciiTheme="majorBidi" w:hAnsiTheme="majorBidi" w:cstheme="majorBidi"/>
        </w:rPr>
        <w:t xml:space="preserve"> </w:t>
      </w:r>
      <w:r w:rsidR="00A150A2" w:rsidRPr="004C47F9">
        <w:rPr>
          <w:rFonts w:asciiTheme="majorBidi" w:hAnsiTheme="majorBidi" w:cstheme="majorBidi"/>
        </w:rPr>
        <w:t>pievērsis uzmanību viņa</w:t>
      </w:r>
      <w:r w:rsidR="00A150A2">
        <w:rPr>
          <w:rFonts w:asciiTheme="majorBidi" w:hAnsiTheme="majorBidi" w:cstheme="majorBidi"/>
        </w:rPr>
        <w:t xml:space="preserve"> </w:t>
      </w:r>
      <w:r w:rsidR="00A150A2" w:rsidRPr="004C47F9">
        <w:rPr>
          <w:rFonts w:asciiTheme="majorBidi" w:hAnsiTheme="majorBidi" w:cstheme="majorBidi"/>
        </w:rPr>
        <w:t>parakstītajos dokumentos esošajām ziņām, jo galvenokārt rūpējies par darba rezultātu. Visi</w:t>
      </w:r>
      <w:r w:rsidR="00A150A2">
        <w:rPr>
          <w:rFonts w:asciiTheme="majorBidi" w:hAnsiTheme="majorBidi" w:cstheme="majorBidi"/>
        </w:rPr>
        <w:t xml:space="preserve"> </w:t>
      </w:r>
      <w:r w:rsidR="00A150A2" w:rsidRPr="004C47F9">
        <w:rPr>
          <w:rFonts w:asciiTheme="majorBidi" w:hAnsiTheme="majorBidi" w:cstheme="majorBidi"/>
        </w:rPr>
        <w:t>būvniecības darbi tik</w:t>
      </w:r>
      <w:r w:rsidR="00F717D5">
        <w:rPr>
          <w:rFonts w:asciiTheme="majorBidi" w:hAnsiTheme="majorBidi" w:cstheme="majorBidi"/>
        </w:rPr>
        <w:t>uši</w:t>
      </w:r>
      <w:r w:rsidR="00A150A2" w:rsidRPr="004C47F9">
        <w:rPr>
          <w:rFonts w:asciiTheme="majorBidi" w:hAnsiTheme="majorBidi" w:cstheme="majorBidi"/>
        </w:rPr>
        <w:t xml:space="preserve"> izpildīti. SIA</w:t>
      </w:r>
      <w:r w:rsidR="00A150A2">
        <w:rPr>
          <w:rFonts w:asciiTheme="majorBidi" w:hAnsiTheme="majorBidi" w:cstheme="majorBidi"/>
        </w:rPr>
        <w:t> „</w:t>
      </w:r>
      <w:r w:rsidR="000520EA">
        <w:rPr>
          <w:rFonts w:asciiTheme="majorBidi" w:hAnsiTheme="majorBidi" w:cstheme="majorBidi"/>
        </w:rPr>
        <w:t>[Nosaukums]</w:t>
      </w:r>
      <w:r w:rsidR="00A150A2" w:rsidRPr="004C47F9">
        <w:rPr>
          <w:rFonts w:asciiTheme="majorBidi" w:hAnsiTheme="majorBidi" w:cstheme="majorBidi"/>
        </w:rPr>
        <w:t>” bija norēķinājusies ar apakšuzņēmējiem, veicot</w:t>
      </w:r>
      <w:r w:rsidR="00A150A2">
        <w:rPr>
          <w:rFonts w:asciiTheme="majorBidi" w:hAnsiTheme="majorBidi" w:cstheme="majorBidi"/>
        </w:rPr>
        <w:t xml:space="preserve"> </w:t>
      </w:r>
      <w:r w:rsidR="00A150A2" w:rsidRPr="004C47F9">
        <w:rPr>
          <w:rFonts w:asciiTheme="majorBidi" w:hAnsiTheme="majorBidi" w:cstheme="majorBidi"/>
        </w:rPr>
        <w:t xml:space="preserve">rēķinu </w:t>
      </w:r>
      <w:r w:rsidR="00C06506">
        <w:rPr>
          <w:rFonts w:asciiTheme="majorBidi" w:hAnsiTheme="majorBidi" w:cstheme="majorBidi"/>
        </w:rPr>
        <w:t>sa</w:t>
      </w:r>
      <w:r w:rsidR="00A150A2" w:rsidRPr="004C47F9">
        <w:rPr>
          <w:rFonts w:asciiTheme="majorBidi" w:hAnsiTheme="majorBidi" w:cstheme="majorBidi"/>
        </w:rPr>
        <w:t xml:space="preserve">maksu. No oficiāli pieejamām ziņām </w:t>
      </w:r>
      <w:r w:rsidR="00F717D5">
        <w:rPr>
          <w:rFonts w:asciiTheme="majorBidi" w:hAnsiTheme="majorBidi" w:cstheme="majorBidi"/>
        </w:rPr>
        <w:t xml:space="preserve">apsūdzētajam </w:t>
      </w:r>
      <w:r w:rsidR="00A150A2" w:rsidRPr="004C47F9">
        <w:rPr>
          <w:rFonts w:asciiTheme="majorBidi" w:hAnsiTheme="majorBidi" w:cstheme="majorBidi"/>
        </w:rPr>
        <w:t>nebija redzams ne apsūdzībā norādīto uzņēmumu</w:t>
      </w:r>
      <w:r w:rsidR="00A150A2">
        <w:rPr>
          <w:rFonts w:asciiTheme="majorBidi" w:hAnsiTheme="majorBidi" w:cstheme="majorBidi"/>
        </w:rPr>
        <w:t xml:space="preserve"> </w:t>
      </w:r>
      <w:r w:rsidR="00A150A2" w:rsidRPr="004C47F9">
        <w:rPr>
          <w:rFonts w:asciiTheme="majorBidi" w:hAnsiTheme="majorBidi" w:cstheme="majorBidi"/>
        </w:rPr>
        <w:t>finansiālais stāvoklis, ne saimnieciskās darbības rezultāti.</w:t>
      </w:r>
    </w:p>
    <w:p w14:paraId="26FFE4FB" w14:textId="490902BD" w:rsidR="009C2889" w:rsidRDefault="009C2889" w:rsidP="009C2889">
      <w:pPr>
        <w:spacing w:line="276" w:lineRule="auto"/>
        <w:ind w:firstLine="680"/>
        <w:jc w:val="both"/>
      </w:pPr>
      <w:r>
        <w:rPr>
          <w:rFonts w:asciiTheme="majorBidi" w:hAnsiTheme="majorBidi" w:cstheme="majorBidi"/>
        </w:rPr>
        <w:t>[7.2] </w:t>
      </w:r>
      <w:r w:rsidRPr="0074246B">
        <w:t>Atstājot negrozītu pirmās instances tiesas spriedumu</w:t>
      </w:r>
      <w:r>
        <w:t xml:space="preserve"> daļā par apsūdzētā vainīgumu</w:t>
      </w:r>
      <w:r w:rsidRPr="0074246B">
        <w:t xml:space="preserve">, </w:t>
      </w:r>
      <w:r>
        <w:rPr>
          <w:rFonts w:asciiTheme="majorBidi" w:hAnsiTheme="majorBidi" w:cstheme="majorBidi"/>
        </w:rPr>
        <w:t>a</w:t>
      </w:r>
      <w:r w:rsidR="0050549B">
        <w:rPr>
          <w:rFonts w:asciiTheme="majorBidi" w:hAnsiTheme="majorBidi" w:cstheme="majorBidi"/>
        </w:rPr>
        <w:t>pelācijas instances tiesa atzinusi, ka</w:t>
      </w:r>
      <w:r w:rsidR="0050549B" w:rsidRPr="000D4EF4">
        <w:rPr>
          <w:rFonts w:asciiTheme="majorBidi" w:hAnsiTheme="majorBidi" w:cstheme="majorBidi"/>
        </w:rPr>
        <w:t xml:space="preserve">, lai </w:t>
      </w:r>
      <w:r w:rsidR="00D1404F">
        <w:rPr>
          <w:rFonts w:asciiTheme="majorBidi" w:hAnsiTheme="majorBidi" w:cstheme="majorBidi"/>
        </w:rPr>
        <w:t>arī</w:t>
      </w:r>
      <w:r w:rsidR="0050549B" w:rsidRPr="000D4EF4">
        <w:rPr>
          <w:rFonts w:asciiTheme="majorBidi" w:hAnsiTheme="majorBidi" w:cstheme="majorBidi"/>
        </w:rPr>
        <w:t xml:space="preserve"> apsūdzētais savu vainīgumu </w:t>
      </w:r>
      <w:r w:rsidR="00686D65">
        <w:rPr>
          <w:rFonts w:asciiTheme="majorBidi" w:hAnsiTheme="majorBidi" w:cstheme="majorBidi"/>
        </w:rPr>
        <w:t>Krimināllikuma 218. panta otrajā daļā paredzētā noziedzīgā nodarījuma</w:t>
      </w:r>
      <w:r w:rsidR="0050549B" w:rsidRPr="000D4EF4">
        <w:rPr>
          <w:rFonts w:asciiTheme="majorBidi" w:hAnsiTheme="majorBidi" w:cstheme="majorBidi"/>
        </w:rPr>
        <w:t xml:space="preserve"> izdarīšanā nav atzinis, tas ir pierādīts ar</w:t>
      </w:r>
      <w:r w:rsidR="00E02AC8">
        <w:rPr>
          <w:rFonts w:asciiTheme="majorBidi" w:hAnsiTheme="majorBidi" w:cstheme="majorBidi"/>
        </w:rPr>
        <w:t xml:space="preserve"> Valsts ieņēmumu dienesta</w:t>
      </w:r>
      <w:r w:rsidR="0050549B" w:rsidRPr="000D4EF4">
        <w:rPr>
          <w:rFonts w:asciiTheme="majorBidi" w:hAnsiTheme="majorBidi" w:cstheme="majorBidi"/>
        </w:rPr>
        <w:t xml:space="preserve"> pārstāvja un</w:t>
      </w:r>
      <w:r w:rsidR="0050549B">
        <w:rPr>
          <w:rFonts w:asciiTheme="majorBidi" w:hAnsiTheme="majorBidi" w:cstheme="majorBidi"/>
        </w:rPr>
        <w:t xml:space="preserve"> </w:t>
      </w:r>
      <w:r w:rsidR="0050549B" w:rsidRPr="000D4EF4">
        <w:rPr>
          <w:rFonts w:asciiTheme="majorBidi" w:hAnsiTheme="majorBidi" w:cstheme="majorBidi"/>
        </w:rPr>
        <w:t xml:space="preserve">liecinieku liecībām, </w:t>
      </w:r>
      <w:r w:rsidR="00561AC4">
        <w:rPr>
          <w:rFonts w:asciiTheme="majorBidi" w:hAnsiTheme="majorBidi" w:cstheme="majorBidi"/>
        </w:rPr>
        <w:t xml:space="preserve">kā arī </w:t>
      </w:r>
      <w:r w:rsidR="0050549B" w:rsidRPr="000D4EF4">
        <w:rPr>
          <w:rFonts w:asciiTheme="majorBidi" w:hAnsiTheme="majorBidi" w:cstheme="majorBidi"/>
        </w:rPr>
        <w:t xml:space="preserve">rakstveida pierādījumiem </w:t>
      </w:r>
      <w:r w:rsidR="00CE217C">
        <w:rPr>
          <w:rFonts w:asciiTheme="majorBidi" w:hAnsiTheme="majorBidi" w:cstheme="majorBidi"/>
        </w:rPr>
        <w:t xml:space="preserve">to </w:t>
      </w:r>
      <w:r w:rsidR="0050549B" w:rsidRPr="000D4EF4">
        <w:rPr>
          <w:rFonts w:asciiTheme="majorBidi" w:hAnsiTheme="majorBidi" w:cstheme="majorBidi"/>
        </w:rPr>
        <w:t xml:space="preserve">kopumā un </w:t>
      </w:r>
      <w:r w:rsidR="00686D65">
        <w:rPr>
          <w:rFonts w:asciiTheme="majorBidi" w:hAnsiTheme="majorBidi" w:cstheme="majorBidi"/>
        </w:rPr>
        <w:t>savstarpējā sakarībā</w:t>
      </w:r>
      <w:r w:rsidR="0050549B" w:rsidRPr="000D4EF4">
        <w:rPr>
          <w:rFonts w:asciiTheme="majorBidi" w:hAnsiTheme="majorBidi" w:cstheme="majorBidi"/>
        </w:rPr>
        <w:t>.</w:t>
      </w:r>
      <w:r w:rsidR="0050549B">
        <w:rPr>
          <w:rFonts w:asciiTheme="majorBidi" w:hAnsiTheme="majorBidi" w:cstheme="majorBidi"/>
        </w:rPr>
        <w:t xml:space="preserve"> </w:t>
      </w:r>
    </w:p>
    <w:p w14:paraId="1D958AE7" w14:textId="1B92D260" w:rsidR="00880B63" w:rsidRDefault="009C2889" w:rsidP="009C2889">
      <w:pPr>
        <w:spacing w:line="276" w:lineRule="auto"/>
        <w:ind w:firstLine="680"/>
        <w:jc w:val="both"/>
        <w:rPr>
          <w:rFonts w:asciiTheme="majorBidi" w:hAnsiTheme="majorBidi" w:cstheme="majorBidi"/>
        </w:rPr>
      </w:pPr>
      <w:r>
        <w:t>A</w:t>
      </w:r>
      <w:r w:rsidR="00880B63" w:rsidRPr="0074246B">
        <w:t xml:space="preserve">pelācijas instances tiesa </w:t>
      </w:r>
      <w:r>
        <w:t xml:space="preserve">arī </w:t>
      </w:r>
      <w:r w:rsidR="00561AC4">
        <w:t>norādījusi</w:t>
      </w:r>
      <w:r w:rsidR="00880B63" w:rsidRPr="0074246B">
        <w:t>, ka pirmās instances tiesa ir detalizēti izvērtējusi</w:t>
      </w:r>
      <w:r w:rsidR="00880B63">
        <w:t xml:space="preserve"> </w:t>
      </w:r>
      <w:r w:rsidR="004135C4">
        <w:rPr>
          <w:rFonts w:asciiTheme="majorBidi" w:hAnsiTheme="majorBidi" w:cstheme="majorBidi"/>
        </w:rPr>
        <w:t xml:space="preserve">visus lietā </w:t>
      </w:r>
      <w:r w:rsidR="00313C9A">
        <w:rPr>
          <w:rFonts w:asciiTheme="majorBidi" w:hAnsiTheme="majorBidi" w:cstheme="majorBidi"/>
        </w:rPr>
        <w:t>esošos</w:t>
      </w:r>
      <w:r w:rsidR="00880B63">
        <w:rPr>
          <w:rFonts w:asciiTheme="majorBidi" w:hAnsiTheme="majorBidi" w:cstheme="majorBidi"/>
        </w:rPr>
        <w:t xml:space="preserve"> </w:t>
      </w:r>
      <w:r w:rsidR="004135C4">
        <w:rPr>
          <w:rFonts w:asciiTheme="majorBidi" w:hAnsiTheme="majorBidi" w:cstheme="majorBidi"/>
        </w:rPr>
        <w:t>pierādījumus par katr</w:t>
      </w:r>
      <w:r w:rsidR="00D1404F">
        <w:rPr>
          <w:rFonts w:asciiTheme="majorBidi" w:hAnsiTheme="majorBidi" w:cstheme="majorBidi"/>
        </w:rPr>
        <w:t>a</w:t>
      </w:r>
      <w:r w:rsidR="004135C4">
        <w:rPr>
          <w:rFonts w:asciiTheme="majorBidi" w:hAnsiTheme="majorBidi" w:cstheme="majorBidi"/>
        </w:rPr>
        <w:t xml:space="preserve"> SIA „</w:t>
      </w:r>
      <w:r w:rsidR="000520EA">
        <w:rPr>
          <w:rFonts w:asciiTheme="majorBidi" w:hAnsiTheme="majorBidi" w:cstheme="majorBidi"/>
        </w:rPr>
        <w:t>[Nosaukums]</w:t>
      </w:r>
      <w:r w:rsidR="004135C4">
        <w:rPr>
          <w:rFonts w:asciiTheme="majorBidi" w:hAnsiTheme="majorBidi" w:cstheme="majorBidi"/>
        </w:rPr>
        <w:t>” deklarācijās iekļaut</w:t>
      </w:r>
      <w:r w:rsidR="006D3AB1">
        <w:rPr>
          <w:rFonts w:asciiTheme="majorBidi" w:hAnsiTheme="majorBidi" w:cstheme="majorBidi"/>
        </w:rPr>
        <w:t>ā</w:t>
      </w:r>
      <w:r w:rsidR="004135C4">
        <w:rPr>
          <w:rFonts w:asciiTheme="majorBidi" w:hAnsiTheme="majorBidi" w:cstheme="majorBidi"/>
        </w:rPr>
        <w:t xml:space="preserve"> darījum</w:t>
      </w:r>
      <w:r w:rsidR="006D3AB1">
        <w:rPr>
          <w:rFonts w:asciiTheme="majorBidi" w:hAnsiTheme="majorBidi" w:cstheme="majorBidi"/>
        </w:rPr>
        <w:t>a</w:t>
      </w:r>
      <w:r w:rsidR="004135C4">
        <w:rPr>
          <w:rFonts w:asciiTheme="majorBidi" w:hAnsiTheme="majorBidi" w:cstheme="majorBidi"/>
        </w:rPr>
        <w:t xml:space="preserve"> </w:t>
      </w:r>
      <w:r w:rsidR="00407345">
        <w:rPr>
          <w:rFonts w:asciiTheme="majorBidi" w:hAnsiTheme="majorBidi" w:cstheme="majorBidi"/>
        </w:rPr>
        <w:t xml:space="preserve">faktisko esību un </w:t>
      </w:r>
      <w:r w:rsidR="00E06E7B">
        <w:rPr>
          <w:rFonts w:asciiTheme="majorBidi" w:hAnsiTheme="majorBidi" w:cstheme="majorBidi"/>
        </w:rPr>
        <w:t>pamatoti</w:t>
      </w:r>
      <w:r w:rsidR="00407345">
        <w:rPr>
          <w:rFonts w:asciiTheme="majorBidi" w:hAnsiTheme="majorBidi" w:cstheme="majorBidi"/>
        </w:rPr>
        <w:t xml:space="preserve"> secināju</w:t>
      </w:r>
      <w:r w:rsidR="006D3AB1">
        <w:rPr>
          <w:rFonts w:asciiTheme="majorBidi" w:hAnsiTheme="majorBidi" w:cstheme="majorBidi"/>
        </w:rPr>
        <w:t>si</w:t>
      </w:r>
      <w:r w:rsidR="00407345">
        <w:rPr>
          <w:rFonts w:asciiTheme="majorBidi" w:hAnsiTheme="majorBidi" w:cstheme="majorBidi"/>
        </w:rPr>
        <w:t xml:space="preserve">, ka </w:t>
      </w:r>
      <w:r w:rsidR="00407345" w:rsidRPr="00407345">
        <w:rPr>
          <w:rFonts w:asciiTheme="majorBidi" w:hAnsiTheme="majorBidi" w:cstheme="majorBidi"/>
        </w:rPr>
        <w:t>apsūdzībā minētos būvdarbus SIA</w:t>
      </w:r>
      <w:r w:rsidR="006C4B5D">
        <w:rPr>
          <w:rFonts w:asciiTheme="majorBidi" w:hAnsiTheme="majorBidi" w:cstheme="majorBidi"/>
        </w:rPr>
        <w:t> </w:t>
      </w:r>
      <w:r w:rsidR="00407345" w:rsidRPr="00407345">
        <w:rPr>
          <w:rFonts w:asciiTheme="majorBidi" w:hAnsiTheme="majorBidi" w:cstheme="majorBidi"/>
        </w:rPr>
        <w:t>„</w:t>
      </w:r>
      <w:r w:rsidR="000520EA">
        <w:rPr>
          <w:rFonts w:asciiTheme="majorBidi" w:hAnsiTheme="majorBidi" w:cstheme="majorBidi"/>
        </w:rPr>
        <w:t>[Nosaukums]</w:t>
      </w:r>
      <w:r w:rsidR="00407345" w:rsidRPr="00407345">
        <w:rPr>
          <w:rFonts w:asciiTheme="majorBidi" w:hAnsiTheme="majorBidi" w:cstheme="majorBidi"/>
        </w:rPr>
        <w:t xml:space="preserve">” </w:t>
      </w:r>
      <w:r w:rsidR="00407345">
        <w:rPr>
          <w:rFonts w:asciiTheme="majorBidi" w:hAnsiTheme="majorBidi" w:cstheme="majorBidi"/>
        </w:rPr>
        <w:t xml:space="preserve">nav </w:t>
      </w:r>
      <w:r w:rsidR="00407345" w:rsidRPr="00407345">
        <w:rPr>
          <w:rFonts w:asciiTheme="majorBidi" w:hAnsiTheme="majorBidi" w:cstheme="majorBidi"/>
        </w:rPr>
        <w:t>vei</w:t>
      </w:r>
      <w:r w:rsidR="00407345">
        <w:rPr>
          <w:rFonts w:asciiTheme="majorBidi" w:hAnsiTheme="majorBidi" w:cstheme="majorBidi"/>
        </w:rPr>
        <w:t>kusi</w:t>
      </w:r>
      <w:r w:rsidR="00407345" w:rsidRPr="00407345">
        <w:rPr>
          <w:rFonts w:asciiTheme="majorBidi" w:hAnsiTheme="majorBidi" w:cstheme="majorBidi"/>
        </w:rPr>
        <w:t xml:space="preserve"> ar apakšuzņēmēju SIA</w:t>
      </w:r>
      <w:r w:rsidR="006C4B5D">
        <w:rPr>
          <w:rFonts w:asciiTheme="majorBidi" w:hAnsiTheme="majorBidi" w:cstheme="majorBidi"/>
        </w:rPr>
        <w:t> </w:t>
      </w:r>
      <w:r w:rsidR="00407345" w:rsidRPr="00407345">
        <w:rPr>
          <w:rFonts w:asciiTheme="majorBidi" w:hAnsiTheme="majorBidi" w:cstheme="majorBidi"/>
        </w:rPr>
        <w:t>„ALFA-LAT”, SIA</w:t>
      </w:r>
      <w:r w:rsidR="006C4B5D">
        <w:rPr>
          <w:rFonts w:asciiTheme="majorBidi" w:hAnsiTheme="majorBidi" w:cstheme="majorBidi"/>
        </w:rPr>
        <w:t> </w:t>
      </w:r>
      <w:r w:rsidR="00407345" w:rsidRPr="00407345">
        <w:rPr>
          <w:rFonts w:asciiTheme="majorBidi" w:hAnsiTheme="majorBidi" w:cstheme="majorBidi"/>
        </w:rPr>
        <w:t>„GOPCGO”, SIA</w:t>
      </w:r>
      <w:r w:rsidR="002A6151">
        <w:rPr>
          <w:rFonts w:asciiTheme="majorBidi" w:hAnsiTheme="majorBidi" w:cstheme="majorBidi"/>
        </w:rPr>
        <w:t> </w:t>
      </w:r>
      <w:r w:rsidR="00407345" w:rsidRPr="00407345">
        <w:rPr>
          <w:rFonts w:asciiTheme="majorBidi" w:hAnsiTheme="majorBidi" w:cstheme="majorBidi"/>
        </w:rPr>
        <w:t>„JURCONSULTING”, SIA</w:t>
      </w:r>
      <w:r w:rsidR="006C4B5D">
        <w:rPr>
          <w:rFonts w:asciiTheme="majorBidi" w:hAnsiTheme="majorBidi" w:cstheme="majorBidi"/>
        </w:rPr>
        <w:t> </w:t>
      </w:r>
      <w:r w:rsidR="00407345" w:rsidRPr="00407345">
        <w:rPr>
          <w:rFonts w:asciiTheme="majorBidi" w:hAnsiTheme="majorBidi" w:cstheme="majorBidi"/>
        </w:rPr>
        <w:t>„JAN TAU”, SIA</w:t>
      </w:r>
      <w:r w:rsidR="006C4B5D">
        <w:rPr>
          <w:rFonts w:asciiTheme="majorBidi" w:hAnsiTheme="majorBidi" w:cstheme="majorBidi"/>
        </w:rPr>
        <w:t> </w:t>
      </w:r>
      <w:r w:rsidR="00407345" w:rsidRPr="00407345">
        <w:rPr>
          <w:rFonts w:asciiTheme="majorBidi" w:hAnsiTheme="majorBidi" w:cstheme="majorBidi"/>
        </w:rPr>
        <w:t>„DENVERA” palīdzību</w:t>
      </w:r>
      <w:r w:rsidR="00407345">
        <w:rPr>
          <w:rFonts w:asciiTheme="majorBidi" w:hAnsiTheme="majorBidi" w:cstheme="majorBidi"/>
        </w:rPr>
        <w:t>.</w:t>
      </w:r>
      <w:r w:rsidR="00880B63">
        <w:rPr>
          <w:rFonts w:asciiTheme="majorBidi" w:hAnsiTheme="majorBidi" w:cstheme="majorBidi"/>
        </w:rPr>
        <w:t xml:space="preserve"> </w:t>
      </w:r>
    </w:p>
    <w:p w14:paraId="7D809EA1" w14:textId="5AFA71B7" w:rsidR="004C7058" w:rsidRDefault="00EB37CD" w:rsidP="004C7058">
      <w:pPr>
        <w:spacing w:line="276" w:lineRule="auto"/>
        <w:ind w:firstLine="680"/>
        <w:jc w:val="both"/>
        <w:rPr>
          <w:rFonts w:asciiTheme="majorBidi" w:hAnsiTheme="majorBidi" w:cstheme="majorBidi"/>
        </w:rPr>
      </w:pPr>
      <w:r>
        <w:rPr>
          <w:rFonts w:asciiTheme="majorBidi" w:hAnsiTheme="majorBidi" w:cstheme="majorBidi"/>
        </w:rPr>
        <w:t>[7.</w:t>
      </w:r>
      <w:r w:rsidR="00FB591F">
        <w:rPr>
          <w:rFonts w:asciiTheme="majorBidi" w:hAnsiTheme="majorBidi" w:cstheme="majorBidi"/>
        </w:rPr>
        <w:t>3</w:t>
      </w:r>
      <w:r>
        <w:rPr>
          <w:rFonts w:asciiTheme="majorBidi" w:hAnsiTheme="majorBidi" w:cstheme="majorBidi"/>
        </w:rPr>
        <w:t>] </w:t>
      </w:r>
      <w:r w:rsidR="006B5FA2" w:rsidRPr="006B5FA2">
        <w:rPr>
          <w:rFonts w:asciiTheme="majorBidi" w:hAnsiTheme="majorBidi" w:cstheme="majorBidi"/>
        </w:rPr>
        <w:t xml:space="preserve">Senāts </w:t>
      </w:r>
      <w:r w:rsidR="004C7058">
        <w:rPr>
          <w:rFonts w:asciiTheme="majorBidi" w:hAnsiTheme="majorBidi" w:cstheme="majorBidi"/>
        </w:rPr>
        <w:t>norāda, ka p</w:t>
      </w:r>
      <w:r w:rsidR="00653D1D" w:rsidRPr="00653D1D">
        <w:rPr>
          <w:rFonts w:asciiTheme="majorBidi" w:hAnsiTheme="majorBidi" w:cstheme="majorBidi"/>
        </w:rPr>
        <w:t>ierādīšanas pienākums kriminālprocesā ir cieši saistīts ar nevainīguma prezumpciju</w:t>
      </w:r>
      <w:r w:rsidR="00653D1D">
        <w:rPr>
          <w:rFonts w:asciiTheme="majorBidi" w:hAnsiTheme="majorBidi" w:cstheme="majorBidi"/>
        </w:rPr>
        <w:t xml:space="preserve">. </w:t>
      </w:r>
      <w:r w:rsidR="00201A9F">
        <w:rPr>
          <w:rFonts w:asciiTheme="majorBidi" w:hAnsiTheme="majorBidi" w:cstheme="majorBidi"/>
        </w:rPr>
        <w:t>Krim</w:t>
      </w:r>
      <w:r w:rsidR="00201A9F" w:rsidRPr="00BA327E">
        <w:rPr>
          <w:rFonts w:asciiTheme="majorBidi" w:hAnsiTheme="majorBidi" w:cstheme="majorBidi"/>
        </w:rPr>
        <w:t xml:space="preserve">inālprocesa likuma </w:t>
      </w:r>
      <w:r w:rsidR="00170D8B">
        <w:rPr>
          <w:rFonts w:asciiTheme="majorBidi" w:hAnsiTheme="majorBidi" w:cstheme="majorBidi"/>
        </w:rPr>
        <w:t xml:space="preserve">19. panta </w:t>
      </w:r>
      <w:r w:rsidR="00653D1D">
        <w:rPr>
          <w:rFonts w:asciiTheme="majorBidi" w:hAnsiTheme="majorBidi" w:cstheme="majorBidi"/>
        </w:rPr>
        <w:t>pirmā daļa paredz, ka n</w:t>
      </w:r>
      <w:r w:rsidR="00653D1D" w:rsidRPr="00653D1D">
        <w:rPr>
          <w:rFonts w:asciiTheme="majorBidi" w:hAnsiTheme="majorBidi" w:cstheme="majorBidi"/>
        </w:rPr>
        <w:t>eviena persona netiek uzskatīta par vainīgu, kamēr tās vaina noziedzīga nodarījuma izdarīšanā netiek konstatēta šajā likumā noteiktajā kārtībā</w:t>
      </w:r>
      <w:r w:rsidR="00653D1D">
        <w:rPr>
          <w:rFonts w:asciiTheme="majorBidi" w:hAnsiTheme="majorBidi" w:cstheme="majorBidi"/>
        </w:rPr>
        <w:t>.</w:t>
      </w:r>
      <w:r w:rsidR="004C7058">
        <w:rPr>
          <w:rFonts w:asciiTheme="majorBidi" w:hAnsiTheme="majorBidi" w:cstheme="majorBidi"/>
        </w:rPr>
        <w:t xml:space="preserve"> Savukārt pierādīšanas standarts, lai personas vainīgumu varētu konstatēt, ir saprātīgu šaubu </w:t>
      </w:r>
      <w:proofErr w:type="spellStart"/>
      <w:r w:rsidR="004C7058">
        <w:rPr>
          <w:rFonts w:asciiTheme="majorBidi" w:hAnsiTheme="majorBidi" w:cstheme="majorBidi"/>
        </w:rPr>
        <w:t>neesība</w:t>
      </w:r>
      <w:proofErr w:type="spellEnd"/>
      <w:r w:rsidR="004C7058">
        <w:rPr>
          <w:rFonts w:asciiTheme="majorBidi" w:hAnsiTheme="majorBidi" w:cstheme="majorBidi"/>
        </w:rPr>
        <w:t xml:space="preserve"> par pi</w:t>
      </w:r>
      <w:r w:rsidR="004C7058" w:rsidRPr="00653D1D">
        <w:rPr>
          <w:rFonts w:asciiTheme="majorBidi" w:hAnsiTheme="majorBidi" w:cstheme="majorBidi"/>
        </w:rPr>
        <w:t>erādīšanas priekšmetā ietilpstoš</w:t>
      </w:r>
      <w:r w:rsidR="004C7058">
        <w:rPr>
          <w:rFonts w:asciiTheme="majorBidi" w:hAnsiTheme="majorBidi" w:cstheme="majorBidi"/>
        </w:rPr>
        <w:t xml:space="preserve">ajiem </w:t>
      </w:r>
      <w:r w:rsidR="004C7058" w:rsidRPr="00653D1D">
        <w:rPr>
          <w:rFonts w:asciiTheme="majorBidi" w:hAnsiTheme="majorBidi" w:cstheme="majorBidi"/>
        </w:rPr>
        <w:t>apstākļi</w:t>
      </w:r>
      <w:r w:rsidR="004C7058">
        <w:rPr>
          <w:rFonts w:asciiTheme="majorBidi" w:hAnsiTheme="majorBidi" w:cstheme="majorBidi"/>
        </w:rPr>
        <w:t>em.</w:t>
      </w:r>
    </w:p>
    <w:p w14:paraId="2A863EBF" w14:textId="07C13452" w:rsidR="00653D1D" w:rsidRDefault="004C7058" w:rsidP="004C7058">
      <w:pPr>
        <w:spacing w:line="276" w:lineRule="auto"/>
        <w:ind w:firstLine="680"/>
        <w:jc w:val="both"/>
        <w:rPr>
          <w:rFonts w:asciiTheme="majorBidi" w:hAnsiTheme="majorBidi" w:cstheme="majorBidi"/>
        </w:rPr>
      </w:pPr>
      <w:r>
        <w:rPr>
          <w:rFonts w:asciiTheme="majorBidi" w:hAnsiTheme="majorBidi" w:cstheme="majorBidi"/>
        </w:rPr>
        <w:t>Krim</w:t>
      </w:r>
      <w:r w:rsidRPr="00BA327E">
        <w:rPr>
          <w:rFonts w:asciiTheme="majorBidi" w:hAnsiTheme="majorBidi" w:cstheme="majorBidi"/>
        </w:rPr>
        <w:t>inālprocesa likuma</w:t>
      </w:r>
      <w:r>
        <w:rPr>
          <w:rFonts w:asciiTheme="majorBidi" w:hAnsiTheme="majorBidi" w:cstheme="majorBidi"/>
        </w:rPr>
        <w:t xml:space="preserve"> 19. </w:t>
      </w:r>
      <w:r w:rsidR="00653D1D">
        <w:rPr>
          <w:rFonts w:asciiTheme="majorBidi" w:hAnsiTheme="majorBidi" w:cstheme="majorBidi"/>
        </w:rPr>
        <w:t xml:space="preserve">panta </w:t>
      </w:r>
      <w:r w:rsidR="00170D8B">
        <w:rPr>
          <w:rFonts w:asciiTheme="majorBidi" w:hAnsiTheme="majorBidi" w:cstheme="majorBidi"/>
        </w:rPr>
        <w:t>otrā daļa noteic, ka p</w:t>
      </w:r>
      <w:r w:rsidR="00170D8B" w:rsidRPr="00170D8B">
        <w:rPr>
          <w:rFonts w:asciiTheme="majorBidi" w:hAnsiTheme="majorBidi" w:cstheme="majorBidi"/>
        </w:rPr>
        <w:t>ersonai, kurai ir tiesības uz aizstāvību, nav jāpierāda savs nevainīgums.</w:t>
      </w:r>
      <w:r w:rsidR="00170D8B">
        <w:rPr>
          <w:rFonts w:asciiTheme="majorBidi" w:hAnsiTheme="majorBidi" w:cstheme="majorBidi"/>
        </w:rPr>
        <w:t xml:space="preserve"> </w:t>
      </w:r>
      <w:r w:rsidR="00653D1D">
        <w:rPr>
          <w:rFonts w:asciiTheme="majorBidi" w:hAnsiTheme="majorBidi" w:cstheme="majorBidi"/>
        </w:rPr>
        <w:t>Senāts norāda, ka š</w:t>
      </w:r>
      <w:r w:rsidR="0024619C">
        <w:rPr>
          <w:rFonts w:asciiTheme="majorBidi" w:hAnsiTheme="majorBidi" w:cstheme="majorBidi"/>
        </w:rPr>
        <w:t xml:space="preserve">is nevainīguma prezumpcijas pamatprincipa elements </w:t>
      </w:r>
      <w:r w:rsidR="0024619C" w:rsidRPr="0024619C">
        <w:rPr>
          <w:rFonts w:asciiTheme="majorBidi" w:hAnsiTheme="majorBidi" w:cstheme="majorBidi"/>
        </w:rPr>
        <w:t>skatāms kopsakarā</w:t>
      </w:r>
      <w:r w:rsidR="00653D1D">
        <w:rPr>
          <w:rFonts w:asciiTheme="majorBidi" w:hAnsiTheme="majorBidi" w:cstheme="majorBidi"/>
        </w:rPr>
        <w:t xml:space="preserve"> arī</w:t>
      </w:r>
      <w:r w:rsidR="0024619C" w:rsidRPr="0024619C">
        <w:rPr>
          <w:rFonts w:asciiTheme="majorBidi" w:hAnsiTheme="majorBidi" w:cstheme="majorBidi"/>
        </w:rPr>
        <w:t xml:space="preserve"> ar </w:t>
      </w:r>
      <w:r w:rsidR="0024619C" w:rsidRPr="00BA327E">
        <w:rPr>
          <w:rFonts w:asciiTheme="majorBidi" w:hAnsiTheme="majorBidi" w:cstheme="majorBidi"/>
        </w:rPr>
        <w:t>persona</w:t>
      </w:r>
      <w:r w:rsidR="0024619C">
        <w:rPr>
          <w:rFonts w:asciiTheme="majorBidi" w:hAnsiTheme="majorBidi" w:cstheme="majorBidi"/>
        </w:rPr>
        <w:t>s</w:t>
      </w:r>
      <w:r w:rsidR="0024619C" w:rsidRPr="00BA327E">
        <w:rPr>
          <w:rFonts w:asciiTheme="majorBidi" w:hAnsiTheme="majorBidi" w:cstheme="majorBidi"/>
        </w:rPr>
        <w:t>, kurai ir tiesības uz aizstāvību,</w:t>
      </w:r>
      <w:r w:rsidR="00653D1D" w:rsidRPr="00BA327E">
        <w:rPr>
          <w:rFonts w:asciiTheme="majorBidi" w:hAnsiTheme="majorBidi" w:cstheme="majorBidi"/>
        </w:rPr>
        <w:t xml:space="preserve"> </w:t>
      </w:r>
      <w:r w:rsidR="0024619C" w:rsidRPr="00BA327E">
        <w:rPr>
          <w:rFonts w:asciiTheme="majorBidi" w:hAnsiTheme="majorBidi" w:cstheme="majorBidi"/>
        </w:rPr>
        <w:t>tiesīb</w:t>
      </w:r>
      <w:r w:rsidR="0024619C">
        <w:rPr>
          <w:rFonts w:asciiTheme="majorBidi" w:hAnsiTheme="majorBidi" w:cstheme="majorBidi"/>
        </w:rPr>
        <w:t>ām</w:t>
      </w:r>
      <w:r w:rsidR="0024619C" w:rsidRPr="00BA327E">
        <w:rPr>
          <w:rFonts w:asciiTheme="majorBidi" w:hAnsiTheme="majorBidi" w:cstheme="majorBidi"/>
        </w:rPr>
        <w:t xml:space="preserve"> klusēt, sniegt liecību vai atteikties liecināt. </w:t>
      </w:r>
      <w:r w:rsidR="00653D1D">
        <w:rPr>
          <w:rFonts w:asciiTheme="majorBidi" w:hAnsiTheme="majorBidi" w:cstheme="majorBidi"/>
        </w:rPr>
        <w:t xml:space="preserve">Minētās personas tiesības ir noteiktas </w:t>
      </w:r>
      <w:r w:rsidR="00170D8B">
        <w:rPr>
          <w:rFonts w:asciiTheme="majorBidi" w:hAnsiTheme="majorBidi" w:cstheme="majorBidi"/>
        </w:rPr>
        <w:t>Krim</w:t>
      </w:r>
      <w:r w:rsidR="00170D8B" w:rsidRPr="00BA327E">
        <w:rPr>
          <w:rFonts w:asciiTheme="majorBidi" w:hAnsiTheme="majorBidi" w:cstheme="majorBidi"/>
        </w:rPr>
        <w:t>inālprocesa likuma</w:t>
      </w:r>
      <w:r w:rsidR="00170D8B">
        <w:rPr>
          <w:rFonts w:asciiTheme="majorBidi" w:hAnsiTheme="majorBidi" w:cstheme="majorBidi"/>
        </w:rPr>
        <w:t xml:space="preserve"> </w:t>
      </w:r>
      <w:r w:rsidR="00201A9F" w:rsidRPr="00BA327E">
        <w:rPr>
          <w:rFonts w:asciiTheme="majorBidi" w:hAnsiTheme="majorBidi" w:cstheme="majorBidi"/>
        </w:rPr>
        <w:t>60.</w:t>
      </w:r>
      <w:r w:rsidR="00201A9F" w:rsidRPr="00BA327E">
        <w:rPr>
          <w:rFonts w:asciiTheme="majorBidi" w:hAnsiTheme="majorBidi" w:cstheme="majorBidi"/>
          <w:vertAlign w:val="superscript"/>
        </w:rPr>
        <w:t>2</w:t>
      </w:r>
      <w:r w:rsidR="00201A9F" w:rsidRPr="00BA327E">
        <w:rPr>
          <w:rFonts w:asciiTheme="majorBidi" w:hAnsiTheme="majorBidi" w:cstheme="majorBidi"/>
        </w:rPr>
        <w:t> panta pirmās daļas 8. punkt</w:t>
      </w:r>
      <w:r w:rsidR="00653D1D">
        <w:rPr>
          <w:rFonts w:asciiTheme="majorBidi" w:hAnsiTheme="majorBidi" w:cstheme="majorBidi"/>
        </w:rPr>
        <w:t>ā.</w:t>
      </w:r>
    </w:p>
    <w:p w14:paraId="3B9AC4D8" w14:textId="1301E7B3" w:rsidR="00201A9F" w:rsidRDefault="00201A9F" w:rsidP="00201A9F">
      <w:pPr>
        <w:autoSpaceDE w:val="0"/>
        <w:autoSpaceDN w:val="0"/>
        <w:adjustRightInd w:val="0"/>
        <w:spacing w:line="276" w:lineRule="auto"/>
        <w:ind w:firstLine="720"/>
        <w:jc w:val="both"/>
        <w:rPr>
          <w:rFonts w:asciiTheme="majorBidi" w:hAnsiTheme="majorBidi" w:cstheme="majorBidi"/>
        </w:rPr>
      </w:pPr>
      <w:r w:rsidRPr="009B79DC">
        <w:rPr>
          <w:rFonts w:asciiTheme="majorBidi" w:hAnsiTheme="majorBidi" w:cstheme="majorBidi"/>
        </w:rPr>
        <w:t xml:space="preserve">Atbilstoši </w:t>
      </w:r>
      <w:r w:rsidR="009E7FA3" w:rsidRPr="009E7FA3">
        <w:rPr>
          <w:rFonts w:asciiTheme="majorBidi" w:hAnsiTheme="majorBidi" w:cstheme="majorBidi"/>
        </w:rPr>
        <w:t>Eiropas Parlamenta un Padomes 2016.</w:t>
      </w:r>
      <w:r w:rsidR="009E7FA3">
        <w:rPr>
          <w:rFonts w:asciiTheme="majorBidi" w:hAnsiTheme="majorBidi" w:cstheme="majorBidi"/>
        </w:rPr>
        <w:t> </w:t>
      </w:r>
      <w:r w:rsidR="009E7FA3" w:rsidRPr="009E7FA3">
        <w:rPr>
          <w:rFonts w:asciiTheme="majorBidi" w:hAnsiTheme="majorBidi" w:cstheme="majorBidi"/>
        </w:rPr>
        <w:t>gada 9.</w:t>
      </w:r>
      <w:r w:rsidR="009E7FA3">
        <w:rPr>
          <w:rFonts w:asciiTheme="majorBidi" w:hAnsiTheme="majorBidi" w:cstheme="majorBidi"/>
        </w:rPr>
        <w:t> </w:t>
      </w:r>
      <w:r w:rsidR="009E7FA3" w:rsidRPr="009E7FA3">
        <w:rPr>
          <w:rFonts w:asciiTheme="majorBidi" w:hAnsiTheme="majorBidi" w:cstheme="majorBidi"/>
        </w:rPr>
        <w:t>marta direktīvas (ES) 2016/343 (turpmāk – Direktīva 2016/343)</w:t>
      </w:r>
      <w:r w:rsidRPr="009B79DC">
        <w:rPr>
          <w:rFonts w:asciiTheme="majorBidi" w:hAnsiTheme="majorBidi" w:cstheme="majorBidi"/>
        </w:rPr>
        <w:t xml:space="preserve"> 25</w:t>
      </w:r>
      <w:r>
        <w:rPr>
          <w:rFonts w:asciiTheme="majorBidi" w:hAnsiTheme="majorBidi" w:cstheme="majorBidi"/>
        </w:rPr>
        <w:t>. </w:t>
      </w:r>
      <w:r w:rsidRPr="009B79DC">
        <w:rPr>
          <w:rFonts w:asciiTheme="majorBidi" w:hAnsiTheme="majorBidi" w:cstheme="majorBidi"/>
        </w:rPr>
        <w:t>apsvērumam tiesības neliecināt pret sevi ir viens no būtiskiem nevainīguma prezumpcijas aspektiem. Lūdzot aizdomās turēto vai apsūdzēto izteikties vai atbildēt uz jautājumiem, viņu nedrīkstētu piespiest sniegt pierādījumus,</w:t>
      </w:r>
      <w:r>
        <w:rPr>
          <w:rFonts w:asciiTheme="majorBidi" w:hAnsiTheme="majorBidi" w:cstheme="majorBidi"/>
        </w:rPr>
        <w:t xml:space="preserve"> </w:t>
      </w:r>
      <w:r w:rsidRPr="009B79DC">
        <w:rPr>
          <w:rFonts w:asciiTheme="majorBidi" w:hAnsiTheme="majorBidi" w:cstheme="majorBidi"/>
        </w:rPr>
        <w:t>dokumentus vai informāciju, kas varētu novest pie tā, ka persona liecina pret sevi. Atbilstoši Direktīvas 2016/343 27.</w:t>
      </w:r>
      <w:r>
        <w:rPr>
          <w:rFonts w:asciiTheme="majorBidi" w:hAnsiTheme="majorBidi" w:cstheme="majorBidi"/>
        </w:rPr>
        <w:t> </w:t>
      </w:r>
      <w:r w:rsidRPr="009B79DC">
        <w:rPr>
          <w:rFonts w:asciiTheme="majorBidi" w:hAnsiTheme="majorBidi" w:cstheme="majorBidi"/>
        </w:rPr>
        <w:t>apsvērumam tiesības klusēt un neliecināt pret sevi nozīmē arī to, ka kompetentajām iestādēm nevajadzētu aizdomās turētajiem vai apsūdzētajiem likt sniegt informāciju, ja minētās personas nevēlas to darīt</w:t>
      </w:r>
      <w:r>
        <w:rPr>
          <w:rFonts w:asciiTheme="majorBidi" w:hAnsiTheme="majorBidi" w:cstheme="majorBidi"/>
        </w:rPr>
        <w:t xml:space="preserve">. </w:t>
      </w:r>
      <w:r w:rsidRPr="00F13CB1">
        <w:rPr>
          <w:rFonts w:asciiTheme="majorBidi" w:hAnsiTheme="majorBidi" w:cstheme="majorBidi"/>
        </w:rPr>
        <w:t xml:space="preserve">Lūdzot aizdomās </w:t>
      </w:r>
      <w:r w:rsidRPr="00F13CB1">
        <w:rPr>
          <w:rFonts w:asciiTheme="majorBidi" w:hAnsiTheme="majorBidi" w:cstheme="majorBidi"/>
        </w:rPr>
        <w:lastRenderedPageBreak/>
        <w:t>turēto vai apsūdzēto izteikties vai atbildēt uz jautājumiem, viņu nedrīkstētu piespiest sniegt pierādījumus, dokumentus vai informāciju, kas varētu novest pie tā, ka persona liecina pret sevi. Proti, tiesības neliecināt pret sevi nozīmē tiesības citādā veidā nesniegt sevi inkriminējošo (atmaskojošu) informāciju (datus, objektus utt.). Kā arī personai ir tiesības vienkārši neliecināt un nesniegt informāciju pret sevi un tas nevar tikt uzskatīts par personas nevēlēšanos sadarboties</w:t>
      </w:r>
      <w:r>
        <w:rPr>
          <w:rFonts w:asciiTheme="majorBidi" w:hAnsiTheme="majorBidi" w:cstheme="majorBidi"/>
        </w:rPr>
        <w:t xml:space="preserve"> (</w:t>
      </w:r>
      <w:r w:rsidRPr="00A742EC">
        <w:rPr>
          <w:rFonts w:asciiTheme="majorBidi" w:hAnsiTheme="majorBidi" w:cstheme="majorBidi"/>
          <w:i/>
          <w:iCs/>
        </w:rPr>
        <w:t>12. Saeimas likumprojekta Nr. </w:t>
      </w:r>
      <w:hyperlink r:id="rId9" w:history="1">
        <w:r w:rsidRPr="00A742EC">
          <w:rPr>
            <w:rStyle w:val="Hyperlink"/>
            <w:rFonts w:asciiTheme="majorBidi" w:hAnsiTheme="majorBidi" w:cstheme="majorBidi"/>
            <w:i/>
            <w:iCs/>
          </w:rPr>
          <w:t>90/TA2590</w:t>
        </w:r>
      </w:hyperlink>
      <w:r w:rsidRPr="00A742EC">
        <w:rPr>
          <w:rFonts w:asciiTheme="majorBidi" w:hAnsiTheme="majorBidi" w:cstheme="majorBidi"/>
          <w:i/>
          <w:iCs/>
        </w:rPr>
        <w:t xml:space="preserve"> „Grozījumi Kriminālprocesa likumā” </w:t>
      </w:r>
      <w:hyperlink r:id="rId10" w:history="1">
        <w:r w:rsidRPr="00A742EC">
          <w:rPr>
            <w:rStyle w:val="Hyperlink"/>
            <w:rFonts w:asciiTheme="majorBidi" w:hAnsiTheme="majorBidi" w:cstheme="majorBidi"/>
            <w:i/>
            <w:iCs/>
          </w:rPr>
          <w:t>anotācija</w:t>
        </w:r>
      </w:hyperlink>
      <w:r>
        <w:rPr>
          <w:rFonts w:asciiTheme="majorBidi" w:hAnsiTheme="majorBidi" w:cstheme="majorBidi"/>
        </w:rPr>
        <w:t>)</w:t>
      </w:r>
      <w:r w:rsidRPr="009B79DC">
        <w:rPr>
          <w:rFonts w:asciiTheme="majorBidi" w:hAnsiTheme="majorBidi" w:cstheme="majorBidi"/>
        </w:rPr>
        <w:t>.</w:t>
      </w:r>
    </w:p>
    <w:p w14:paraId="4D0C8516" w14:textId="39A8FE99" w:rsidR="000C52CD" w:rsidRDefault="00201A9F" w:rsidP="004C7058">
      <w:pPr>
        <w:spacing w:line="276" w:lineRule="auto"/>
        <w:ind w:firstLine="720"/>
        <w:jc w:val="both"/>
        <w:rPr>
          <w:rFonts w:asciiTheme="majorBidi" w:hAnsiTheme="majorBidi" w:cstheme="majorBidi"/>
        </w:rPr>
      </w:pPr>
      <w:r>
        <w:rPr>
          <w:rFonts w:asciiTheme="majorBidi" w:hAnsiTheme="majorBidi" w:cstheme="majorBidi"/>
        </w:rPr>
        <w:t>[7.</w:t>
      </w:r>
      <w:r w:rsidR="004C7058">
        <w:rPr>
          <w:rFonts w:asciiTheme="majorBidi" w:hAnsiTheme="majorBidi" w:cstheme="majorBidi"/>
        </w:rPr>
        <w:t>4</w:t>
      </w:r>
      <w:r>
        <w:rPr>
          <w:rFonts w:asciiTheme="majorBidi" w:hAnsiTheme="majorBidi" w:cstheme="majorBidi"/>
        </w:rPr>
        <w:t>] </w:t>
      </w:r>
      <w:r w:rsidR="004C7058">
        <w:rPr>
          <w:rFonts w:asciiTheme="majorBidi" w:hAnsiTheme="majorBidi" w:cstheme="majorBidi"/>
        </w:rPr>
        <w:t xml:space="preserve">Ievērojot iepriekš minēto, Senāts atzīst, ka apsūdzētā klusēšana nav negatīvi vai kā citādi ietekmējusi jautājuma izlemšanu par viņa vainīgumu inkriminētajā noziedzīgajā nodarījumā. </w:t>
      </w:r>
      <w:r w:rsidR="00880B63" w:rsidRPr="0002495A">
        <w:rPr>
          <w:rFonts w:asciiTheme="majorBidi" w:hAnsiTheme="majorBidi" w:cstheme="majorBidi"/>
        </w:rPr>
        <w:t xml:space="preserve">Senāts </w:t>
      </w:r>
      <w:r w:rsidR="00170D8B">
        <w:rPr>
          <w:rFonts w:asciiTheme="majorBidi" w:hAnsiTheme="majorBidi" w:cstheme="majorBidi"/>
        </w:rPr>
        <w:t>konstatē, ka</w:t>
      </w:r>
      <w:r w:rsidR="004C7058">
        <w:rPr>
          <w:rFonts w:asciiTheme="majorBidi" w:hAnsiTheme="majorBidi" w:cstheme="majorBidi"/>
        </w:rPr>
        <w:t xml:space="preserve"> </w:t>
      </w:r>
      <w:r w:rsidR="00170D8B">
        <w:rPr>
          <w:rFonts w:asciiTheme="majorBidi" w:hAnsiTheme="majorBidi" w:cstheme="majorBidi"/>
        </w:rPr>
        <w:t>a</w:t>
      </w:r>
      <w:r w:rsidR="00880B63">
        <w:rPr>
          <w:rFonts w:asciiTheme="majorBidi" w:hAnsiTheme="majorBidi" w:cstheme="majorBidi"/>
        </w:rPr>
        <w:t>pelācijas instances tiesa ņēmusi vērā, ka apsūdzētais noteiktās kriminālprocesa stadijās ir atteicies liecināt</w:t>
      </w:r>
      <w:r>
        <w:rPr>
          <w:rFonts w:asciiTheme="majorBidi" w:hAnsiTheme="majorBidi" w:cstheme="majorBidi"/>
        </w:rPr>
        <w:t>, izvērtējusi apsūdzētā aizstāvības pozīciju</w:t>
      </w:r>
      <w:r w:rsidR="00880B63">
        <w:rPr>
          <w:rFonts w:asciiTheme="majorBidi" w:hAnsiTheme="majorBidi" w:cstheme="majorBidi"/>
        </w:rPr>
        <w:t xml:space="preserve"> un atzinusi, ka lietā ir pietiekami pierādījumu, kas </w:t>
      </w:r>
      <w:r w:rsidR="004C7058">
        <w:rPr>
          <w:rFonts w:asciiTheme="majorBidi" w:hAnsiTheme="majorBidi" w:cstheme="majorBidi"/>
        </w:rPr>
        <w:t xml:space="preserve">ārpus saprātīgām šaubām </w:t>
      </w:r>
      <w:r w:rsidR="00880B63">
        <w:rPr>
          <w:rFonts w:asciiTheme="majorBidi" w:hAnsiTheme="majorBidi" w:cstheme="majorBidi"/>
        </w:rPr>
        <w:t>apstiprina apsūdzētā vainīgumu</w:t>
      </w:r>
      <w:r w:rsidR="004C7058">
        <w:rPr>
          <w:rFonts w:asciiTheme="majorBidi" w:hAnsiTheme="majorBidi" w:cstheme="majorBidi"/>
        </w:rPr>
        <w:t xml:space="preserve"> noziedzīgajā nodarījumā</w:t>
      </w:r>
      <w:r w:rsidR="00880B63">
        <w:rPr>
          <w:rFonts w:asciiTheme="majorBidi" w:hAnsiTheme="majorBidi" w:cstheme="majorBidi"/>
        </w:rPr>
        <w:t xml:space="preserve"> pēc Krimināllikuma 218. panta otrās daļas.</w:t>
      </w:r>
      <w:r w:rsidR="00F95C1B">
        <w:rPr>
          <w:rFonts w:asciiTheme="majorBidi" w:hAnsiTheme="majorBidi" w:cstheme="majorBidi"/>
        </w:rPr>
        <w:t xml:space="preserve"> </w:t>
      </w:r>
      <w:r w:rsidR="00A150A2">
        <w:rPr>
          <w:rFonts w:asciiTheme="majorBidi" w:hAnsiTheme="majorBidi" w:cstheme="majorBidi"/>
        </w:rPr>
        <w:t xml:space="preserve">Tādējādi </w:t>
      </w:r>
      <w:r w:rsidR="00A80771" w:rsidRPr="006B5FA2">
        <w:rPr>
          <w:rFonts w:asciiTheme="majorBidi" w:hAnsiTheme="majorBidi" w:cstheme="majorBidi"/>
        </w:rPr>
        <w:t>Senāts atzīst</w:t>
      </w:r>
      <w:r w:rsidR="00A80771">
        <w:rPr>
          <w:rFonts w:asciiTheme="majorBidi" w:hAnsiTheme="majorBidi" w:cstheme="majorBidi"/>
        </w:rPr>
        <w:t xml:space="preserve">, ka </w:t>
      </w:r>
      <w:r w:rsidR="00A150A2">
        <w:rPr>
          <w:rFonts w:asciiTheme="majorBidi" w:hAnsiTheme="majorBidi" w:cstheme="majorBidi"/>
        </w:rPr>
        <w:t xml:space="preserve">apelācijas instances tiesa nav pieļāvusi Kriminālprocesa likuma 19. panta otrās daļas pārkāpumu. </w:t>
      </w:r>
    </w:p>
    <w:p w14:paraId="778328EB" w14:textId="77777777" w:rsidR="007443F7" w:rsidRDefault="007443F7" w:rsidP="006B5FA2">
      <w:pPr>
        <w:spacing w:line="276" w:lineRule="auto"/>
        <w:ind w:firstLine="720"/>
        <w:jc w:val="both"/>
        <w:rPr>
          <w:rFonts w:asciiTheme="majorBidi" w:hAnsiTheme="majorBidi" w:cstheme="majorBidi"/>
        </w:rPr>
      </w:pPr>
    </w:p>
    <w:p w14:paraId="3D933A0D" w14:textId="5BCBADE8" w:rsidR="009E1B17" w:rsidRDefault="007443F7" w:rsidP="009E1B17">
      <w:pPr>
        <w:spacing w:line="276" w:lineRule="auto"/>
        <w:ind w:firstLine="720"/>
        <w:jc w:val="both"/>
        <w:rPr>
          <w:rFonts w:asciiTheme="majorBidi" w:hAnsiTheme="majorBidi" w:cstheme="majorBidi"/>
        </w:rPr>
      </w:pPr>
      <w:r>
        <w:rPr>
          <w:rFonts w:asciiTheme="majorBidi" w:hAnsiTheme="majorBidi" w:cstheme="majorBidi"/>
        </w:rPr>
        <w:t>[8] </w:t>
      </w:r>
      <w:r w:rsidR="009E1B17">
        <w:rPr>
          <w:rFonts w:asciiTheme="majorBidi" w:hAnsiTheme="majorBidi" w:cstheme="majorBidi"/>
        </w:rPr>
        <w:t>Senātam jāsniedz atbilde, vai apelācijas instances tiesa ir ievērojusi Kriminālprocesa likuma 19. panta pirmo daļu</w:t>
      </w:r>
      <w:r w:rsidR="00D67831">
        <w:rPr>
          <w:rFonts w:asciiTheme="majorBidi" w:hAnsiTheme="majorBidi" w:cstheme="majorBidi"/>
        </w:rPr>
        <w:t xml:space="preserve"> un 20. pantu.</w:t>
      </w:r>
      <w:r w:rsidR="009E1B17">
        <w:rPr>
          <w:rFonts w:asciiTheme="majorBidi" w:hAnsiTheme="majorBidi" w:cstheme="majorBidi"/>
        </w:rPr>
        <w:t xml:space="preserve"> </w:t>
      </w:r>
    </w:p>
    <w:p w14:paraId="15F0A0DE" w14:textId="51DC8531" w:rsidR="009E1B17" w:rsidRPr="009E1B17" w:rsidRDefault="00861161" w:rsidP="009E1B17">
      <w:pPr>
        <w:spacing w:line="276" w:lineRule="auto"/>
        <w:ind w:firstLine="720"/>
        <w:jc w:val="both"/>
        <w:rPr>
          <w:rFonts w:asciiTheme="majorBidi" w:hAnsiTheme="majorBidi" w:cstheme="majorBidi"/>
        </w:rPr>
      </w:pPr>
      <w:r>
        <w:rPr>
          <w:rFonts w:asciiTheme="majorBidi" w:hAnsiTheme="majorBidi" w:cstheme="majorBidi"/>
        </w:rPr>
        <w:t>[8.1]</w:t>
      </w:r>
      <w:r>
        <w:t> </w:t>
      </w:r>
      <w:r w:rsidR="009E1B17" w:rsidRPr="009E1B17">
        <w:rPr>
          <w:rFonts w:asciiTheme="majorBidi" w:hAnsiTheme="majorBidi" w:cstheme="majorBidi"/>
        </w:rPr>
        <w:t>Apsūdzības saturs ir noteikts Kriminālprocesa likuma 405.</w:t>
      </w:r>
      <w:r w:rsidR="0069687E">
        <w:rPr>
          <w:rFonts w:asciiTheme="majorBidi" w:hAnsiTheme="majorBidi" w:cstheme="majorBidi"/>
        </w:rPr>
        <w:t> </w:t>
      </w:r>
      <w:r w:rsidR="009E1B17" w:rsidRPr="009E1B17">
        <w:rPr>
          <w:rFonts w:asciiTheme="majorBidi" w:hAnsiTheme="majorBidi" w:cstheme="majorBidi"/>
        </w:rPr>
        <w:t>panta pirmajā daļā, un proti, lēmumā par personas saukšanu pie kriminālatbildības (apsūdzībā) prokurors norāda: 1)</w:t>
      </w:r>
      <w:r w:rsidR="0069687E">
        <w:rPr>
          <w:rFonts w:asciiTheme="majorBidi" w:hAnsiTheme="majorBidi" w:cstheme="majorBidi"/>
        </w:rPr>
        <w:t> </w:t>
      </w:r>
      <w:r w:rsidR="009E1B17" w:rsidRPr="009E1B17">
        <w:rPr>
          <w:rFonts w:asciiTheme="majorBidi" w:hAnsiTheme="majorBidi" w:cstheme="majorBidi"/>
        </w:rPr>
        <w:t>pie kriminālatbildības saucamo personu identificējošos datus; 2)</w:t>
      </w:r>
      <w:r w:rsidR="0069687E">
        <w:rPr>
          <w:rFonts w:asciiTheme="majorBidi" w:hAnsiTheme="majorBidi" w:cstheme="majorBidi"/>
        </w:rPr>
        <w:t> </w:t>
      </w:r>
      <w:r w:rsidR="009E1B17" w:rsidRPr="009E1B17">
        <w:rPr>
          <w:rFonts w:asciiTheme="majorBidi" w:hAnsiTheme="majorBidi" w:cstheme="majorBidi"/>
        </w:rPr>
        <w:t>katra inkriminētā noziedzīgā nodarījuma faktiskos apstākļus, kas nosaka juridisko kvalifikāciju; 3)</w:t>
      </w:r>
      <w:r w:rsidR="0069687E">
        <w:rPr>
          <w:rFonts w:asciiTheme="majorBidi" w:hAnsiTheme="majorBidi" w:cstheme="majorBidi"/>
        </w:rPr>
        <w:t> </w:t>
      </w:r>
      <w:r w:rsidR="009E1B17" w:rsidRPr="009E1B17">
        <w:rPr>
          <w:rFonts w:asciiTheme="majorBidi" w:hAnsiTheme="majorBidi" w:cstheme="majorBidi"/>
        </w:rPr>
        <w:t>noziedzīgā nodarījuma juridisko kvalifikāciju; 4)</w:t>
      </w:r>
      <w:r w:rsidR="0069687E">
        <w:rPr>
          <w:rFonts w:asciiTheme="majorBidi" w:hAnsiTheme="majorBidi" w:cstheme="majorBidi"/>
        </w:rPr>
        <w:t> </w:t>
      </w:r>
      <w:r w:rsidR="009E1B17" w:rsidRPr="009E1B17">
        <w:rPr>
          <w:rFonts w:asciiTheme="majorBidi" w:hAnsiTheme="majorBidi" w:cstheme="majorBidi"/>
        </w:rPr>
        <w:t>personas, kuras cietušas noziedzīgā nodarījuma rezultātā; 5)</w:t>
      </w:r>
      <w:r w:rsidR="0069687E">
        <w:rPr>
          <w:rFonts w:asciiTheme="majorBidi" w:hAnsiTheme="majorBidi" w:cstheme="majorBidi"/>
        </w:rPr>
        <w:t> </w:t>
      </w:r>
      <w:r w:rsidR="009E1B17" w:rsidRPr="009E1B17">
        <w:rPr>
          <w:rFonts w:asciiTheme="majorBidi" w:hAnsiTheme="majorBidi" w:cstheme="majorBidi"/>
        </w:rPr>
        <w:t>citas personas, kuras sauktas pie kriminālatbildības par līdzdalību vai dalību tā paša noziedzīgā nodarījuma izdarīšanā.</w:t>
      </w:r>
    </w:p>
    <w:p w14:paraId="27A0AD26" w14:textId="78D0D25F" w:rsidR="007443F7" w:rsidRDefault="009E1B17" w:rsidP="00CA3DD4">
      <w:pPr>
        <w:spacing w:line="276" w:lineRule="auto"/>
        <w:ind w:firstLine="720"/>
        <w:jc w:val="both"/>
        <w:rPr>
          <w:rFonts w:asciiTheme="majorBidi" w:hAnsiTheme="majorBidi" w:cstheme="majorBidi"/>
        </w:rPr>
      </w:pPr>
      <w:r w:rsidRPr="009E1B17">
        <w:rPr>
          <w:rFonts w:asciiTheme="majorBidi" w:hAnsiTheme="majorBidi" w:cstheme="majorBidi"/>
        </w:rPr>
        <w:t>Senāts jau agrāk ir atzinis, ka galvenais apsūdzībā norādāmo inkriminētā noziedzīgā nodarījuma faktisko apstākļu konkretizācijas pakāpes kritērijs ir tas, vai apsūdzība izpilda tās norobežojošo un informatīvo funkciju, proti: 1)</w:t>
      </w:r>
      <w:r w:rsidR="0069687E">
        <w:rPr>
          <w:rFonts w:asciiTheme="majorBidi" w:hAnsiTheme="majorBidi" w:cstheme="majorBidi"/>
        </w:rPr>
        <w:t> </w:t>
      </w:r>
      <w:r w:rsidRPr="009E1B17">
        <w:rPr>
          <w:rFonts w:asciiTheme="majorBidi" w:hAnsiTheme="majorBidi" w:cstheme="majorBidi"/>
        </w:rPr>
        <w:t>vai konkretizācija ir pietiekama, lai inkriminēto noziedzīgo nodarījumu norobežotu no citiem iespējamiem līdzīgiem tās pašas personas noziedzīgajiem nodarījumiem; 2)</w:t>
      </w:r>
      <w:r w:rsidR="0069687E">
        <w:rPr>
          <w:rFonts w:asciiTheme="majorBidi" w:hAnsiTheme="majorBidi" w:cstheme="majorBidi"/>
        </w:rPr>
        <w:t> </w:t>
      </w:r>
      <w:r w:rsidRPr="009E1B17">
        <w:rPr>
          <w:rFonts w:asciiTheme="majorBidi" w:hAnsiTheme="majorBidi" w:cstheme="majorBidi"/>
        </w:rPr>
        <w:t>vai konkretizācija ir pietiekama, lai apsūdzētais varētu pilnvērtīgi īstenot savas tiesības uz aizstāvību. Tas nozīmē, ka gadījumā, ja kāds no apstākļiem izmeklēšanā nav noskaidrots vai nav noskaidrots pietiekami detalizēti, ir jāizvērtē, vai tas nav šķērslis, lai atzītu, ka apsūdzība pilda tās norobežojošo un informatīvo funkciju. Vienlaikus jāņem vērā, ka, lai nodrošinātu krimināltiesību normu efektīvu piemērošanu, ievērojot noteiktu apstākļu noskaidrošanas iespēju, no valsts apsūdzību uzturošās iestādes nevar ikreiz prasīt tādu faktisko apstākļu izklāstu, kas sīkāk nav konkretizējams (</w:t>
      </w:r>
      <w:bookmarkStart w:id="2" w:name="_Hlk195782989"/>
      <w:r w:rsidRPr="00861161">
        <w:rPr>
          <w:rFonts w:asciiTheme="majorBidi" w:hAnsiTheme="majorBidi" w:cstheme="majorBidi"/>
          <w:i/>
          <w:iCs/>
        </w:rPr>
        <w:t>Senāta 2024.</w:t>
      </w:r>
      <w:r w:rsidR="00861161">
        <w:rPr>
          <w:rFonts w:asciiTheme="majorBidi" w:hAnsiTheme="majorBidi" w:cstheme="majorBidi"/>
          <w:i/>
          <w:iCs/>
        </w:rPr>
        <w:t> </w:t>
      </w:r>
      <w:r w:rsidRPr="00861161">
        <w:rPr>
          <w:rFonts w:asciiTheme="majorBidi" w:hAnsiTheme="majorBidi" w:cstheme="majorBidi"/>
          <w:i/>
          <w:iCs/>
        </w:rPr>
        <w:t>gada 15.</w:t>
      </w:r>
      <w:r w:rsidR="00861161">
        <w:rPr>
          <w:rFonts w:asciiTheme="majorBidi" w:hAnsiTheme="majorBidi" w:cstheme="majorBidi"/>
          <w:i/>
          <w:iCs/>
        </w:rPr>
        <w:t> </w:t>
      </w:r>
      <w:r w:rsidRPr="00861161">
        <w:rPr>
          <w:rFonts w:asciiTheme="majorBidi" w:hAnsiTheme="majorBidi" w:cstheme="majorBidi"/>
          <w:i/>
          <w:iCs/>
        </w:rPr>
        <w:t>februāra lēmuma lietā Nr.</w:t>
      </w:r>
      <w:r w:rsidR="00861161">
        <w:rPr>
          <w:rFonts w:asciiTheme="majorBidi" w:hAnsiTheme="majorBidi" w:cstheme="majorBidi"/>
          <w:i/>
          <w:iCs/>
        </w:rPr>
        <w:t> </w:t>
      </w:r>
      <w:r w:rsidRPr="00861161">
        <w:rPr>
          <w:rFonts w:asciiTheme="majorBidi" w:hAnsiTheme="majorBidi" w:cstheme="majorBidi"/>
          <w:i/>
          <w:iCs/>
        </w:rPr>
        <w:t xml:space="preserve">SKK-6/2024, </w:t>
      </w:r>
      <w:hyperlink r:id="rId11" w:history="1">
        <w:r w:rsidRPr="00546144">
          <w:rPr>
            <w:rStyle w:val="Hyperlink"/>
            <w:rFonts w:asciiTheme="majorBidi" w:hAnsiTheme="majorBidi" w:cstheme="majorBidi"/>
            <w:i/>
            <w:iCs/>
          </w:rPr>
          <w:t>ECLI:LV:AT:2024:0215.11120047317.16.L</w:t>
        </w:r>
      </w:hyperlink>
      <w:bookmarkEnd w:id="2"/>
      <w:r w:rsidRPr="00861161">
        <w:rPr>
          <w:rFonts w:asciiTheme="majorBidi" w:hAnsiTheme="majorBidi" w:cstheme="majorBidi"/>
          <w:i/>
          <w:iCs/>
        </w:rPr>
        <w:t>, 9.1.</w:t>
      </w:r>
      <w:r w:rsidR="00861161">
        <w:rPr>
          <w:rFonts w:asciiTheme="majorBidi" w:hAnsiTheme="majorBidi" w:cstheme="majorBidi"/>
          <w:i/>
          <w:iCs/>
        </w:rPr>
        <w:t> </w:t>
      </w:r>
      <w:r w:rsidRPr="00861161">
        <w:rPr>
          <w:rFonts w:asciiTheme="majorBidi" w:hAnsiTheme="majorBidi" w:cstheme="majorBidi"/>
          <w:i/>
          <w:iCs/>
        </w:rPr>
        <w:t>punkts</w:t>
      </w:r>
      <w:r w:rsidRPr="009E1B17">
        <w:rPr>
          <w:rFonts w:asciiTheme="majorBidi" w:hAnsiTheme="majorBidi" w:cstheme="majorBidi"/>
        </w:rPr>
        <w:t>).</w:t>
      </w:r>
    </w:p>
    <w:p w14:paraId="55FA49BC" w14:textId="0E0D4212" w:rsidR="00861161" w:rsidRDefault="00861161" w:rsidP="0090299B">
      <w:pPr>
        <w:spacing w:line="276" w:lineRule="auto"/>
        <w:ind w:firstLine="720"/>
        <w:jc w:val="both"/>
        <w:rPr>
          <w:rFonts w:asciiTheme="majorBidi" w:hAnsiTheme="majorBidi" w:cstheme="majorBidi"/>
        </w:rPr>
      </w:pPr>
      <w:r>
        <w:rPr>
          <w:rFonts w:asciiTheme="majorBidi" w:hAnsiTheme="majorBidi" w:cstheme="majorBidi"/>
        </w:rPr>
        <w:t>[8.2] </w:t>
      </w:r>
      <w:r w:rsidR="00AE4DC1">
        <w:rPr>
          <w:rFonts w:asciiTheme="majorBidi" w:hAnsiTheme="majorBidi" w:cstheme="majorBidi"/>
        </w:rPr>
        <w:t xml:space="preserve">Apsūdzētajam </w:t>
      </w:r>
      <w:r w:rsidR="000520EA">
        <w:rPr>
          <w:lang w:eastAsia="lv-LV"/>
        </w:rPr>
        <w:t>[pers. A]</w:t>
      </w:r>
      <w:r w:rsidR="00AE4DC1">
        <w:rPr>
          <w:rFonts w:asciiTheme="majorBidi" w:hAnsiTheme="majorBidi" w:cstheme="majorBidi"/>
        </w:rPr>
        <w:t xml:space="preserve"> celta apsūdzība pēc Krimināllikuma 218. panta otrās daļas par </w:t>
      </w:r>
      <w:r w:rsidR="00A25EFF">
        <w:rPr>
          <w:rFonts w:asciiTheme="majorBidi" w:hAnsiTheme="majorBidi" w:cstheme="majorBidi"/>
        </w:rPr>
        <w:t xml:space="preserve">to, ka viņš </w:t>
      </w:r>
      <w:r w:rsidR="00A25EFF" w:rsidRPr="00A25EFF">
        <w:rPr>
          <w:rFonts w:asciiTheme="majorBidi" w:hAnsiTheme="majorBidi" w:cstheme="majorBidi"/>
        </w:rPr>
        <w:t xml:space="preserve">kā </w:t>
      </w:r>
      <w:r w:rsidR="00A25EFF">
        <w:rPr>
          <w:rFonts w:asciiTheme="majorBidi" w:hAnsiTheme="majorBidi" w:cstheme="majorBidi"/>
        </w:rPr>
        <w:t xml:space="preserve">vienīgā </w:t>
      </w:r>
      <w:r w:rsidR="00A25EFF" w:rsidRPr="00A25EFF">
        <w:rPr>
          <w:rFonts w:asciiTheme="majorBidi" w:hAnsiTheme="majorBidi" w:cstheme="majorBidi"/>
        </w:rPr>
        <w:t>SIA</w:t>
      </w:r>
      <w:r w:rsidR="00A25EFF">
        <w:rPr>
          <w:rFonts w:asciiTheme="majorBidi" w:hAnsiTheme="majorBidi" w:cstheme="majorBidi"/>
        </w:rPr>
        <w:t> </w:t>
      </w:r>
      <w:r w:rsidR="00A25EFF" w:rsidRPr="00A25EFF">
        <w:rPr>
          <w:rFonts w:asciiTheme="majorBidi" w:hAnsiTheme="majorBidi" w:cstheme="majorBidi"/>
        </w:rPr>
        <w:t>„</w:t>
      </w:r>
      <w:r w:rsidR="000520EA">
        <w:rPr>
          <w:rFonts w:asciiTheme="majorBidi" w:hAnsiTheme="majorBidi" w:cstheme="majorBidi"/>
        </w:rPr>
        <w:t>[Nosaukums</w:t>
      </w:r>
      <w:r w:rsidR="00E45651">
        <w:rPr>
          <w:rFonts w:asciiTheme="majorBidi" w:hAnsiTheme="majorBidi" w:cstheme="majorBidi"/>
        </w:rPr>
        <w:t>]</w:t>
      </w:r>
      <w:r w:rsidR="00A25EFF" w:rsidRPr="00A25EFF">
        <w:rPr>
          <w:rFonts w:asciiTheme="majorBidi" w:hAnsiTheme="majorBidi" w:cstheme="majorBidi"/>
        </w:rPr>
        <w:t xml:space="preserve">” </w:t>
      </w:r>
      <w:r w:rsidR="00A25EFF">
        <w:rPr>
          <w:rFonts w:asciiTheme="majorBidi" w:hAnsiTheme="majorBidi" w:cstheme="majorBidi"/>
        </w:rPr>
        <w:t>amatpersona</w:t>
      </w:r>
      <w:r w:rsidR="00A25EFF" w:rsidRPr="00A25EFF">
        <w:rPr>
          <w:rFonts w:asciiTheme="majorBidi" w:hAnsiTheme="majorBidi" w:cstheme="majorBidi"/>
        </w:rPr>
        <w:t>, apzināti izvairījās no PVN nomaksas, nodarot</w:t>
      </w:r>
      <w:r w:rsidR="00A25EFF">
        <w:rPr>
          <w:rFonts w:asciiTheme="majorBidi" w:hAnsiTheme="majorBidi" w:cstheme="majorBidi"/>
        </w:rPr>
        <w:t xml:space="preserve"> </w:t>
      </w:r>
      <w:r w:rsidR="00A25EFF" w:rsidRPr="00A25EFF">
        <w:rPr>
          <w:rFonts w:asciiTheme="majorBidi" w:hAnsiTheme="majorBidi" w:cstheme="majorBidi"/>
        </w:rPr>
        <w:t>valstij zaudējumus 64</w:t>
      </w:r>
      <w:r w:rsidR="003B78C1">
        <w:rPr>
          <w:rFonts w:asciiTheme="majorBidi" w:hAnsiTheme="majorBidi" w:cstheme="majorBidi"/>
        </w:rPr>
        <w:t> </w:t>
      </w:r>
      <w:r w:rsidR="00A25EFF" w:rsidRPr="00A25EFF">
        <w:rPr>
          <w:rFonts w:asciiTheme="majorBidi" w:hAnsiTheme="majorBidi" w:cstheme="majorBidi"/>
        </w:rPr>
        <w:t>4</w:t>
      </w:r>
      <w:r w:rsidR="003B78C1">
        <w:rPr>
          <w:rFonts w:asciiTheme="majorBidi" w:hAnsiTheme="majorBidi" w:cstheme="majorBidi"/>
        </w:rPr>
        <w:t>40 </w:t>
      </w:r>
      <w:proofErr w:type="spellStart"/>
      <w:r w:rsidR="00A25EFF" w:rsidRPr="00A25EFF">
        <w:rPr>
          <w:rFonts w:asciiTheme="majorBidi" w:hAnsiTheme="majorBidi" w:cstheme="majorBidi"/>
          <w:i/>
          <w:iCs/>
        </w:rPr>
        <w:t>euro</w:t>
      </w:r>
      <w:proofErr w:type="spellEnd"/>
      <w:r w:rsidR="00A25EFF">
        <w:rPr>
          <w:rFonts w:asciiTheme="majorBidi" w:hAnsiTheme="majorBidi" w:cstheme="majorBidi"/>
        </w:rPr>
        <w:t xml:space="preserve">. </w:t>
      </w:r>
      <w:r w:rsidR="00CA3DD4">
        <w:rPr>
          <w:rFonts w:asciiTheme="majorBidi" w:hAnsiTheme="majorBidi" w:cstheme="majorBidi"/>
        </w:rPr>
        <w:t xml:space="preserve">Senāts norāda, ka </w:t>
      </w:r>
      <w:r w:rsidR="00A25EFF">
        <w:rPr>
          <w:rFonts w:asciiTheme="majorBidi" w:hAnsiTheme="majorBidi" w:cstheme="majorBidi"/>
        </w:rPr>
        <w:t xml:space="preserve">atbilstoši Kriminālprocesa likuma 405. panta pirmās daļas 4. punktam </w:t>
      </w:r>
      <w:r w:rsidR="00037439">
        <w:rPr>
          <w:rFonts w:asciiTheme="majorBidi" w:hAnsiTheme="majorBidi" w:cstheme="majorBidi"/>
        </w:rPr>
        <w:t xml:space="preserve">konkrētajā krimināllietā nav </w:t>
      </w:r>
      <w:r w:rsidR="00037439">
        <w:rPr>
          <w:rFonts w:asciiTheme="majorBidi" w:hAnsiTheme="majorBidi" w:cstheme="majorBidi"/>
        </w:rPr>
        <w:lastRenderedPageBreak/>
        <w:t>citu personu</w:t>
      </w:r>
      <w:r w:rsidR="00A25EFF" w:rsidRPr="00A25EFF">
        <w:rPr>
          <w:rFonts w:asciiTheme="majorBidi" w:hAnsiTheme="majorBidi" w:cstheme="majorBidi"/>
        </w:rPr>
        <w:t>, kuras sauktas pie kriminālatbildības par līdzdalību vai dalību tā paša noziedzīgā nodarījuma izdarīšanā</w:t>
      </w:r>
      <w:r w:rsidR="00037439">
        <w:rPr>
          <w:rFonts w:asciiTheme="majorBidi" w:hAnsiTheme="majorBidi" w:cstheme="majorBidi"/>
        </w:rPr>
        <w:t>, tādējādi</w:t>
      </w:r>
      <w:r w:rsidR="00A25EFF">
        <w:rPr>
          <w:rFonts w:asciiTheme="majorBidi" w:hAnsiTheme="majorBidi" w:cstheme="majorBidi"/>
        </w:rPr>
        <w:t xml:space="preserve"> </w:t>
      </w:r>
      <w:r w:rsidR="0090299B">
        <w:rPr>
          <w:rFonts w:asciiTheme="majorBidi" w:hAnsiTheme="majorBidi" w:cstheme="majorBidi"/>
        </w:rPr>
        <w:t xml:space="preserve">izskatāmā kriminālprocesa </w:t>
      </w:r>
      <w:r w:rsidR="00A25EFF" w:rsidRPr="002230C4">
        <w:rPr>
          <w:rFonts w:asciiTheme="majorBidi" w:hAnsiTheme="majorBidi" w:cstheme="majorBidi"/>
        </w:rPr>
        <w:t xml:space="preserve">pierādīšanas priekšmetā ietilpst </w:t>
      </w:r>
      <w:r w:rsidR="002230C4" w:rsidRPr="0090299B">
        <w:rPr>
          <w:rFonts w:asciiTheme="majorBidi" w:hAnsiTheme="majorBidi" w:cstheme="majorBidi"/>
        </w:rPr>
        <w:t>nodarījuma sastāva esība</w:t>
      </w:r>
      <w:r w:rsidR="002230C4">
        <w:rPr>
          <w:rFonts w:asciiTheme="majorBidi" w:hAnsiTheme="majorBidi" w:cstheme="majorBidi"/>
        </w:rPr>
        <w:t>s</w:t>
      </w:r>
      <w:r w:rsidR="002230C4" w:rsidRPr="0090299B">
        <w:rPr>
          <w:rFonts w:asciiTheme="majorBidi" w:hAnsiTheme="majorBidi" w:cstheme="majorBidi"/>
        </w:rPr>
        <w:t xml:space="preserve"> vai </w:t>
      </w:r>
      <w:proofErr w:type="spellStart"/>
      <w:r w:rsidR="002230C4" w:rsidRPr="0090299B">
        <w:rPr>
          <w:rFonts w:asciiTheme="majorBidi" w:hAnsiTheme="majorBidi" w:cstheme="majorBidi"/>
        </w:rPr>
        <w:t>neesība</w:t>
      </w:r>
      <w:r w:rsidR="002230C4">
        <w:rPr>
          <w:rFonts w:asciiTheme="majorBidi" w:hAnsiTheme="majorBidi" w:cstheme="majorBidi"/>
        </w:rPr>
        <w:t>s</w:t>
      </w:r>
      <w:proofErr w:type="spellEnd"/>
      <w:r w:rsidR="002230C4">
        <w:rPr>
          <w:rFonts w:asciiTheme="majorBidi" w:hAnsiTheme="majorBidi" w:cstheme="majorBidi"/>
        </w:rPr>
        <w:t xml:space="preserve"> pierādīšana </w:t>
      </w:r>
      <w:r w:rsidR="000520EA">
        <w:rPr>
          <w:lang w:eastAsia="lv-LV"/>
        </w:rPr>
        <w:t>[pers. A]</w:t>
      </w:r>
      <w:r w:rsidR="002230C4">
        <w:rPr>
          <w:rFonts w:asciiTheme="majorBidi" w:hAnsiTheme="majorBidi" w:cstheme="majorBidi"/>
        </w:rPr>
        <w:t xml:space="preserve">, </w:t>
      </w:r>
      <w:r w:rsidR="00221756">
        <w:rPr>
          <w:rFonts w:asciiTheme="majorBidi" w:hAnsiTheme="majorBidi" w:cstheme="majorBidi"/>
        </w:rPr>
        <w:t xml:space="preserve">bet </w:t>
      </w:r>
      <w:r w:rsidR="002230C4">
        <w:rPr>
          <w:rFonts w:asciiTheme="majorBidi" w:hAnsiTheme="majorBidi" w:cstheme="majorBidi"/>
        </w:rPr>
        <w:t xml:space="preserve">ne </w:t>
      </w:r>
      <w:r w:rsidR="002230C4" w:rsidRPr="002230C4">
        <w:rPr>
          <w:rFonts w:asciiTheme="majorBidi" w:hAnsiTheme="majorBidi" w:cstheme="majorBidi"/>
        </w:rPr>
        <w:t>citu personu</w:t>
      </w:r>
      <w:r w:rsidR="002230C4">
        <w:rPr>
          <w:rFonts w:asciiTheme="majorBidi" w:hAnsiTheme="majorBidi" w:cstheme="majorBidi"/>
        </w:rPr>
        <w:t xml:space="preserve"> darbībās. </w:t>
      </w:r>
    </w:p>
    <w:p w14:paraId="7BA23DCF" w14:textId="192C7A2E" w:rsidR="00291ED3" w:rsidRDefault="00A25EFF" w:rsidP="000520EA">
      <w:pPr>
        <w:spacing w:line="276" w:lineRule="auto"/>
        <w:ind w:firstLine="720"/>
        <w:jc w:val="both"/>
        <w:rPr>
          <w:rFonts w:asciiTheme="majorBidi" w:hAnsiTheme="majorBidi" w:cstheme="majorBidi"/>
        </w:rPr>
      </w:pPr>
      <w:r>
        <w:rPr>
          <w:rFonts w:asciiTheme="majorBidi" w:hAnsiTheme="majorBidi" w:cstheme="majorBidi"/>
        </w:rPr>
        <w:t xml:space="preserve">Apelācijas instances tiesa pamatoti atzinusi, ka </w:t>
      </w:r>
      <w:r w:rsidR="005D7452">
        <w:rPr>
          <w:rFonts w:asciiTheme="majorBidi" w:hAnsiTheme="majorBidi" w:cstheme="majorBidi"/>
        </w:rPr>
        <w:t xml:space="preserve">tas </w:t>
      </w:r>
      <w:r>
        <w:rPr>
          <w:rFonts w:asciiTheme="majorBidi" w:hAnsiTheme="majorBidi" w:cstheme="majorBidi"/>
        </w:rPr>
        <w:t>a</w:t>
      </w:r>
      <w:r w:rsidRPr="00CA3DD4">
        <w:rPr>
          <w:rFonts w:asciiTheme="majorBidi" w:hAnsiTheme="majorBidi" w:cstheme="majorBidi"/>
        </w:rPr>
        <w:t xml:space="preserve">pstāklis, ka </w:t>
      </w:r>
      <w:proofErr w:type="spellStart"/>
      <w:r w:rsidRPr="00CA3DD4">
        <w:rPr>
          <w:rFonts w:asciiTheme="majorBidi" w:hAnsiTheme="majorBidi" w:cstheme="majorBidi"/>
        </w:rPr>
        <w:t>pirmstiesas</w:t>
      </w:r>
      <w:proofErr w:type="spellEnd"/>
      <w:r w:rsidRPr="00CA3DD4">
        <w:rPr>
          <w:rFonts w:asciiTheme="majorBidi" w:hAnsiTheme="majorBidi" w:cstheme="majorBidi"/>
        </w:rPr>
        <w:t xml:space="preserve"> kriminālprocesā nav noskaidrota persona, kura kopā ar apsūdzēto</w:t>
      </w:r>
      <w:r>
        <w:rPr>
          <w:rFonts w:asciiTheme="majorBidi" w:hAnsiTheme="majorBidi" w:cstheme="majorBidi"/>
        </w:rPr>
        <w:t xml:space="preserve"> </w:t>
      </w:r>
      <w:r w:rsidRPr="00CA3DD4">
        <w:rPr>
          <w:rFonts w:asciiTheme="majorBidi" w:hAnsiTheme="majorBidi" w:cstheme="majorBidi"/>
        </w:rPr>
        <w:t>piedalījusies viltotu dokumentu noformēšanā, kā arī nav noskaidroti faktiskie apstākļi, kād</w:t>
      </w:r>
      <w:r w:rsidR="00DE19CE">
        <w:rPr>
          <w:rFonts w:asciiTheme="majorBidi" w:hAnsiTheme="majorBidi" w:cstheme="majorBidi"/>
        </w:rPr>
        <w:t>os</w:t>
      </w:r>
      <w:r>
        <w:rPr>
          <w:rFonts w:asciiTheme="majorBidi" w:hAnsiTheme="majorBidi" w:cstheme="majorBidi"/>
        </w:rPr>
        <w:t xml:space="preserve"> </w:t>
      </w:r>
      <w:r w:rsidRPr="00CA3DD4">
        <w:rPr>
          <w:rFonts w:asciiTheme="majorBidi" w:hAnsiTheme="majorBidi" w:cstheme="majorBidi"/>
        </w:rPr>
        <w:t>tas noticis, nevar ietekmēt faktu, ka konkrētie dokumenti tikuši noformēti un ka apsūdzētais tos</w:t>
      </w:r>
      <w:r>
        <w:rPr>
          <w:rFonts w:asciiTheme="majorBidi" w:hAnsiTheme="majorBidi" w:cstheme="majorBidi"/>
        </w:rPr>
        <w:t xml:space="preserve"> </w:t>
      </w:r>
      <w:r w:rsidRPr="00CA3DD4">
        <w:rPr>
          <w:rFonts w:asciiTheme="majorBidi" w:hAnsiTheme="majorBidi" w:cstheme="majorBidi"/>
        </w:rPr>
        <w:t>parakstījis SIA</w:t>
      </w:r>
      <w:r>
        <w:rPr>
          <w:rFonts w:asciiTheme="majorBidi" w:hAnsiTheme="majorBidi" w:cstheme="majorBidi"/>
        </w:rPr>
        <w:t> „</w:t>
      </w:r>
      <w:r w:rsidR="000520EA">
        <w:rPr>
          <w:rFonts w:asciiTheme="majorBidi" w:hAnsiTheme="majorBidi" w:cstheme="majorBidi"/>
        </w:rPr>
        <w:t>[Nosaukums]</w:t>
      </w:r>
      <w:r w:rsidRPr="00CA3DD4">
        <w:rPr>
          <w:rFonts w:asciiTheme="majorBidi" w:hAnsiTheme="majorBidi" w:cstheme="majorBidi"/>
        </w:rPr>
        <w:t>” vārdā.</w:t>
      </w:r>
      <w:r>
        <w:rPr>
          <w:rFonts w:asciiTheme="majorBidi" w:hAnsiTheme="majorBidi" w:cstheme="majorBidi"/>
        </w:rPr>
        <w:t xml:space="preserve"> </w:t>
      </w:r>
      <w:r w:rsidR="000520EA">
        <w:rPr>
          <w:lang w:eastAsia="lv-LV"/>
        </w:rPr>
        <w:t>[</w:t>
      </w:r>
      <w:r w:rsidR="00E45651">
        <w:rPr>
          <w:lang w:eastAsia="lv-LV"/>
        </w:rPr>
        <w:t>P</w:t>
      </w:r>
      <w:r w:rsidR="000520EA">
        <w:rPr>
          <w:lang w:eastAsia="lv-LV"/>
        </w:rPr>
        <w:t>ers. A]</w:t>
      </w:r>
      <w:r w:rsidRPr="00CA3DD4">
        <w:rPr>
          <w:rFonts w:asciiTheme="majorBidi" w:hAnsiTheme="majorBidi" w:cstheme="majorBidi"/>
        </w:rPr>
        <w:t xml:space="preserve"> celtajā apsūdzībā </w:t>
      </w:r>
      <w:r w:rsidR="009E7FA3">
        <w:rPr>
          <w:rFonts w:asciiTheme="majorBidi" w:hAnsiTheme="majorBidi" w:cstheme="majorBidi"/>
        </w:rPr>
        <w:t>norādīti</w:t>
      </w:r>
      <w:r w:rsidRPr="00CA3DD4">
        <w:rPr>
          <w:rFonts w:asciiTheme="majorBidi" w:hAnsiTheme="majorBidi" w:cstheme="majorBidi"/>
        </w:rPr>
        <w:t xml:space="preserve"> viltot</w:t>
      </w:r>
      <w:r w:rsidR="009E7FA3">
        <w:rPr>
          <w:rFonts w:asciiTheme="majorBidi" w:hAnsiTheme="majorBidi" w:cstheme="majorBidi"/>
        </w:rPr>
        <w:t>ie</w:t>
      </w:r>
      <w:r w:rsidRPr="00CA3DD4">
        <w:rPr>
          <w:rFonts w:asciiTheme="majorBidi" w:hAnsiTheme="majorBidi" w:cstheme="majorBidi"/>
        </w:rPr>
        <w:t xml:space="preserve"> dokument</w:t>
      </w:r>
      <w:r w:rsidR="009E7FA3">
        <w:rPr>
          <w:rFonts w:asciiTheme="majorBidi" w:hAnsiTheme="majorBidi" w:cstheme="majorBidi"/>
        </w:rPr>
        <w:t>i</w:t>
      </w:r>
      <w:r w:rsidRPr="00CA3DD4">
        <w:rPr>
          <w:rFonts w:asciiTheme="majorBidi" w:hAnsiTheme="majorBidi" w:cstheme="majorBidi"/>
        </w:rPr>
        <w:t>, kurus</w:t>
      </w:r>
      <w:r>
        <w:rPr>
          <w:rFonts w:asciiTheme="majorBidi" w:hAnsiTheme="majorBidi" w:cstheme="majorBidi"/>
        </w:rPr>
        <w:t xml:space="preserve"> </w:t>
      </w:r>
      <w:r w:rsidRPr="00CA3DD4">
        <w:rPr>
          <w:rFonts w:asciiTheme="majorBidi" w:hAnsiTheme="majorBidi" w:cstheme="majorBidi"/>
        </w:rPr>
        <w:t>viņš ar savu parakstu bija apliecinājis un turpmāk izmantojis, sniedzot apzināti nepatiesas ziņas SIA</w:t>
      </w:r>
      <w:r>
        <w:rPr>
          <w:rFonts w:asciiTheme="majorBidi" w:hAnsiTheme="majorBidi" w:cstheme="majorBidi"/>
        </w:rPr>
        <w:t> „</w:t>
      </w:r>
      <w:r w:rsidR="000520EA">
        <w:rPr>
          <w:rFonts w:asciiTheme="majorBidi" w:hAnsiTheme="majorBidi" w:cstheme="majorBidi"/>
        </w:rPr>
        <w:t>[Nosaukums]</w:t>
      </w:r>
      <w:r>
        <w:rPr>
          <w:rFonts w:asciiTheme="majorBidi" w:hAnsiTheme="majorBidi" w:cstheme="majorBidi"/>
        </w:rPr>
        <w:t>”</w:t>
      </w:r>
      <w:r w:rsidRPr="00CA3DD4">
        <w:rPr>
          <w:rFonts w:asciiTheme="majorBidi" w:hAnsiTheme="majorBidi" w:cstheme="majorBidi"/>
        </w:rPr>
        <w:t xml:space="preserve"> PVN deklarācijās. </w:t>
      </w:r>
    </w:p>
    <w:p w14:paraId="10492D2F" w14:textId="38EAA72D" w:rsidR="00037439" w:rsidRDefault="00037439" w:rsidP="00037439">
      <w:pPr>
        <w:spacing w:line="276" w:lineRule="auto"/>
        <w:ind w:firstLine="720"/>
        <w:jc w:val="both"/>
        <w:rPr>
          <w:rFonts w:asciiTheme="majorBidi" w:hAnsiTheme="majorBidi" w:cstheme="majorBidi"/>
        </w:rPr>
      </w:pPr>
      <w:r>
        <w:rPr>
          <w:rFonts w:asciiTheme="majorBidi" w:hAnsiTheme="majorBidi" w:cstheme="majorBidi"/>
        </w:rPr>
        <w:t>[8.3] Ņemot vērā minēto, Senāts atzīst, ka apelācijas instances tiesa nav pieļāvusi Kriminālprocesa likuma 19. panta pirmās daļas</w:t>
      </w:r>
      <w:r w:rsidR="00D67831">
        <w:rPr>
          <w:rFonts w:asciiTheme="majorBidi" w:hAnsiTheme="majorBidi" w:cstheme="majorBidi"/>
        </w:rPr>
        <w:t xml:space="preserve"> un 20. panta</w:t>
      </w:r>
      <w:r>
        <w:rPr>
          <w:rFonts w:asciiTheme="majorBidi" w:hAnsiTheme="majorBidi" w:cstheme="majorBidi"/>
        </w:rPr>
        <w:t xml:space="preserve"> pārkāpumu.</w:t>
      </w:r>
    </w:p>
    <w:p w14:paraId="7D9BC6ED" w14:textId="77777777" w:rsidR="00242715" w:rsidRDefault="00242715" w:rsidP="00037439">
      <w:pPr>
        <w:spacing w:line="276" w:lineRule="auto"/>
        <w:ind w:firstLine="720"/>
        <w:jc w:val="both"/>
        <w:rPr>
          <w:rFonts w:asciiTheme="majorBidi" w:hAnsiTheme="majorBidi" w:cstheme="majorBidi"/>
        </w:rPr>
      </w:pPr>
    </w:p>
    <w:p w14:paraId="44B901F6" w14:textId="499EDD06" w:rsidR="00242715" w:rsidRPr="00543E55" w:rsidRDefault="00242715" w:rsidP="00037439">
      <w:pPr>
        <w:spacing w:line="276" w:lineRule="auto"/>
        <w:ind w:firstLine="720"/>
        <w:jc w:val="both"/>
        <w:rPr>
          <w:rFonts w:asciiTheme="majorBidi" w:hAnsiTheme="majorBidi" w:cstheme="majorBidi"/>
        </w:rPr>
      </w:pPr>
      <w:r>
        <w:rPr>
          <w:rFonts w:asciiTheme="majorBidi" w:hAnsiTheme="majorBidi" w:cstheme="majorBidi"/>
        </w:rPr>
        <w:t xml:space="preserve">[9] Drošības līdzeklis apsūdzētajam </w:t>
      </w:r>
      <w:r w:rsidR="000520EA">
        <w:rPr>
          <w:rFonts w:asciiTheme="majorBidi" w:hAnsiTheme="majorBidi" w:cstheme="majorBidi"/>
        </w:rPr>
        <w:t>[pers. A]</w:t>
      </w:r>
      <w:r>
        <w:rPr>
          <w:rFonts w:asciiTheme="majorBidi" w:hAnsiTheme="majorBidi" w:cstheme="majorBidi"/>
        </w:rPr>
        <w:t xml:space="preserve"> nav piemērots. </w:t>
      </w:r>
      <w:r w:rsidRPr="00242715">
        <w:rPr>
          <w:rFonts w:asciiTheme="majorBidi" w:hAnsiTheme="majorBidi" w:cstheme="majorBidi"/>
        </w:rPr>
        <w:t>Senāts atzīst, ka drošības līdzekļa piemērošanai apsūdzētajam šajā kriminālprocesa stadijā nav tiesiska pamata.</w:t>
      </w:r>
    </w:p>
    <w:bookmarkEnd w:id="0"/>
    <w:p w14:paraId="47FA38EB" w14:textId="77777777" w:rsidR="005A62CF" w:rsidRPr="006D5C62" w:rsidRDefault="005A62CF" w:rsidP="00C22356">
      <w:pPr>
        <w:shd w:val="clear" w:color="auto" w:fill="FFFFFF"/>
        <w:spacing w:line="276" w:lineRule="auto"/>
        <w:jc w:val="center"/>
        <w:rPr>
          <w:bCs/>
        </w:rPr>
      </w:pPr>
    </w:p>
    <w:p w14:paraId="12CBFC44" w14:textId="31AF0F07" w:rsidR="00447EE6" w:rsidRPr="006E002F" w:rsidRDefault="00447EE6" w:rsidP="006E002F">
      <w:pPr>
        <w:shd w:val="clear" w:color="auto" w:fill="FFFFFF"/>
        <w:spacing w:line="276" w:lineRule="auto"/>
        <w:ind w:right="5"/>
        <w:jc w:val="center"/>
        <w:rPr>
          <w:b/>
          <w:bCs/>
        </w:rPr>
      </w:pPr>
      <w:r w:rsidRPr="006E002F">
        <w:rPr>
          <w:b/>
          <w:bCs/>
        </w:rPr>
        <w:t>Rezolutīvā daļa</w:t>
      </w:r>
    </w:p>
    <w:p w14:paraId="6CD28450" w14:textId="77777777" w:rsidR="006D5C62" w:rsidRPr="006E002F" w:rsidRDefault="006D5C62" w:rsidP="006E002F">
      <w:pPr>
        <w:shd w:val="clear" w:color="auto" w:fill="FFFFFF"/>
        <w:spacing w:line="276" w:lineRule="auto"/>
        <w:ind w:right="5" w:firstLine="566"/>
        <w:jc w:val="both"/>
      </w:pPr>
    </w:p>
    <w:p w14:paraId="369988FB" w14:textId="0A4629FF" w:rsidR="00447EE6" w:rsidRDefault="00447EE6" w:rsidP="00C22356">
      <w:pPr>
        <w:shd w:val="clear" w:color="auto" w:fill="FFFFFF"/>
        <w:spacing w:line="276" w:lineRule="auto"/>
        <w:ind w:firstLine="720"/>
        <w:jc w:val="both"/>
      </w:pPr>
      <w:r w:rsidRPr="00107481">
        <w:t xml:space="preserve">Pamatojoties uz </w:t>
      </w:r>
      <w:r w:rsidR="00F90281" w:rsidRPr="00107481">
        <w:rPr>
          <w:rFonts w:asciiTheme="majorBidi" w:hAnsiTheme="majorBidi" w:cstheme="majorBidi"/>
        </w:rPr>
        <w:t>Kriminālprocesa likuma 585. pantu un 587. panta pirmās daļas 2. punktu, Senāts</w:t>
      </w:r>
    </w:p>
    <w:p w14:paraId="3B28DB94" w14:textId="77777777" w:rsidR="00447EE6" w:rsidRPr="006D5C62" w:rsidRDefault="00447EE6" w:rsidP="00C22356">
      <w:pPr>
        <w:shd w:val="clear" w:color="auto" w:fill="FFFFFF"/>
        <w:spacing w:line="276" w:lineRule="auto"/>
        <w:jc w:val="center"/>
        <w:rPr>
          <w:bCs/>
        </w:rPr>
      </w:pPr>
    </w:p>
    <w:p w14:paraId="297C80CD" w14:textId="7FC2FD37" w:rsidR="00447EE6" w:rsidRDefault="00447EE6" w:rsidP="00C22356">
      <w:pPr>
        <w:shd w:val="clear" w:color="auto" w:fill="FFFFFF"/>
        <w:spacing w:line="276" w:lineRule="auto"/>
        <w:jc w:val="center"/>
        <w:rPr>
          <w:b/>
        </w:rPr>
      </w:pPr>
      <w:r w:rsidRPr="00A53E41">
        <w:rPr>
          <w:b/>
        </w:rPr>
        <w:t>no</w:t>
      </w:r>
      <w:r w:rsidR="006D5C62">
        <w:rPr>
          <w:b/>
        </w:rPr>
        <w:t>lēma</w:t>
      </w:r>
    </w:p>
    <w:p w14:paraId="28660F9E" w14:textId="77777777" w:rsidR="00447EE6" w:rsidRDefault="00447EE6" w:rsidP="00C22356">
      <w:pPr>
        <w:shd w:val="clear" w:color="auto" w:fill="FFFFFF"/>
        <w:spacing w:line="276" w:lineRule="auto"/>
        <w:ind w:firstLine="720"/>
        <w:jc w:val="center"/>
        <w:rPr>
          <w:bCs/>
        </w:rPr>
      </w:pPr>
    </w:p>
    <w:p w14:paraId="3BEFC7DC" w14:textId="7605F8BE" w:rsidR="00C678E8" w:rsidRPr="007576B2" w:rsidRDefault="00C678E8" w:rsidP="00C678E8">
      <w:pPr>
        <w:pStyle w:val="tv213"/>
        <w:spacing w:before="0" w:beforeAutospacing="0" w:after="0" w:afterAutospacing="0" w:line="276" w:lineRule="auto"/>
        <w:ind w:firstLine="720"/>
        <w:jc w:val="both"/>
      </w:pPr>
      <w:r w:rsidRPr="007576B2">
        <w:t xml:space="preserve">atcelt </w:t>
      </w:r>
      <w:r>
        <w:t>Zemgales apgabaltiesas 2024. gada 17. janvāra spriedumu</w:t>
      </w:r>
      <w:r w:rsidRPr="007576B2">
        <w:t xml:space="preserve"> daļā par </w:t>
      </w:r>
      <w:r w:rsidR="000520EA">
        <w:t>[pers. A]</w:t>
      </w:r>
      <w:r w:rsidRPr="007576B2">
        <w:t xml:space="preserve"> noteikto sodu</w:t>
      </w:r>
      <w:r w:rsidR="00E86C8C">
        <w:t xml:space="preserve"> pēc Krimināllikuma 2</w:t>
      </w:r>
      <w:r w:rsidR="00221756">
        <w:t>18</w:t>
      </w:r>
      <w:r w:rsidR="00E86C8C">
        <w:t>. panta otrās daļas</w:t>
      </w:r>
      <w:r w:rsidR="00BA4DB2">
        <w:t>;</w:t>
      </w:r>
    </w:p>
    <w:p w14:paraId="78D30468" w14:textId="20111061" w:rsidR="00C678E8" w:rsidRPr="007576B2" w:rsidRDefault="00C678E8" w:rsidP="00C678E8">
      <w:pPr>
        <w:pStyle w:val="tv213"/>
        <w:spacing w:before="0" w:beforeAutospacing="0" w:after="0" w:afterAutospacing="0" w:line="276" w:lineRule="auto"/>
        <w:ind w:firstLine="720"/>
        <w:jc w:val="both"/>
      </w:pPr>
      <w:r w:rsidRPr="007576B2">
        <w:t>atceltajā daļā lietu nosūtīt jaunai izskatīšanai</w:t>
      </w:r>
      <w:r w:rsidR="00BA4DB2" w:rsidRPr="007576B2">
        <w:t xml:space="preserve"> </w:t>
      </w:r>
      <w:r w:rsidR="00BA4DB2">
        <w:t xml:space="preserve">Zemgales </w:t>
      </w:r>
      <w:r w:rsidRPr="007576B2">
        <w:t>apgabaltiesā;</w:t>
      </w:r>
    </w:p>
    <w:p w14:paraId="525D008B" w14:textId="7DFD5858" w:rsidR="00C678E8" w:rsidRPr="007576B2" w:rsidRDefault="00C678E8" w:rsidP="00C678E8">
      <w:pPr>
        <w:pStyle w:val="tv213"/>
        <w:spacing w:before="0" w:beforeAutospacing="0" w:after="0" w:afterAutospacing="0" w:line="276" w:lineRule="auto"/>
        <w:ind w:firstLine="720"/>
        <w:jc w:val="both"/>
      </w:pPr>
      <w:r w:rsidRPr="007576B2">
        <w:t xml:space="preserve">pārējā daļā </w:t>
      </w:r>
      <w:r w:rsidR="00BA4DB2">
        <w:t>Zemgales apgabaltiesas 2024. gada 17. janvāra spriedumu</w:t>
      </w:r>
      <w:r w:rsidR="00BA4DB2" w:rsidRPr="007576B2">
        <w:t xml:space="preserve"> </w:t>
      </w:r>
      <w:r w:rsidRPr="007576B2">
        <w:t>atstāt negrozītu</w:t>
      </w:r>
      <w:r w:rsidR="00201A9F">
        <w:t>.</w:t>
      </w:r>
    </w:p>
    <w:p w14:paraId="03A89DE7" w14:textId="77777777" w:rsidR="00F95C1B" w:rsidRPr="00CB056B" w:rsidRDefault="00F95C1B" w:rsidP="00107481">
      <w:pPr>
        <w:spacing w:line="276" w:lineRule="auto"/>
        <w:ind w:firstLine="720"/>
        <w:jc w:val="both"/>
        <w:rPr>
          <w:rFonts w:asciiTheme="majorBidi" w:hAnsiTheme="majorBidi" w:cstheme="majorBidi"/>
        </w:rPr>
      </w:pPr>
    </w:p>
    <w:p w14:paraId="6F68DB0D" w14:textId="77777777" w:rsidR="00107481" w:rsidRPr="00CB056B" w:rsidRDefault="00107481" w:rsidP="00107481">
      <w:pPr>
        <w:spacing w:line="276" w:lineRule="auto"/>
        <w:ind w:firstLine="720"/>
        <w:jc w:val="both"/>
        <w:rPr>
          <w:rFonts w:asciiTheme="majorBidi" w:hAnsiTheme="majorBidi" w:cstheme="majorBidi"/>
        </w:rPr>
      </w:pPr>
      <w:r w:rsidRPr="00CB056B">
        <w:rPr>
          <w:rFonts w:asciiTheme="majorBidi" w:hAnsiTheme="majorBidi" w:cstheme="majorBidi"/>
        </w:rPr>
        <w:t>Lēmums nav pārsūdzams.</w:t>
      </w:r>
    </w:p>
    <w:p w14:paraId="782C830C" w14:textId="77777777" w:rsidR="00F90281" w:rsidRDefault="00F90281" w:rsidP="00C22356">
      <w:pPr>
        <w:shd w:val="clear" w:color="auto" w:fill="FFFFFF"/>
        <w:spacing w:line="276" w:lineRule="auto"/>
        <w:ind w:firstLine="720"/>
        <w:jc w:val="both"/>
        <w:rPr>
          <w:bCs/>
        </w:rPr>
      </w:pPr>
    </w:p>
    <w:p w14:paraId="06EF9143" w14:textId="77777777" w:rsidR="00EA2B0C" w:rsidRPr="006D5C62" w:rsidRDefault="00EA2B0C" w:rsidP="00E02AC8">
      <w:pPr>
        <w:shd w:val="clear" w:color="auto" w:fill="FFFFFF"/>
        <w:spacing w:line="276" w:lineRule="auto"/>
        <w:jc w:val="both"/>
        <w:rPr>
          <w:bCs/>
        </w:rPr>
      </w:pPr>
    </w:p>
    <w:p w14:paraId="6E71DD63" w14:textId="77777777" w:rsidR="00447EE6" w:rsidRDefault="00447EE6" w:rsidP="00C22356">
      <w:pPr>
        <w:spacing w:line="276" w:lineRule="auto"/>
        <w:ind w:firstLine="720"/>
      </w:pPr>
    </w:p>
    <w:p w14:paraId="39A0A2AC" w14:textId="77777777" w:rsidR="003B78C1" w:rsidRPr="007B28BC" w:rsidRDefault="003B78C1" w:rsidP="00C22356">
      <w:pPr>
        <w:spacing w:line="276" w:lineRule="auto"/>
        <w:ind w:firstLine="720"/>
      </w:pPr>
    </w:p>
    <w:p w14:paraId="049D1CB4" w14:textId="77777777" w:rsidR="00447EE6" w:rsidRDefault="00447EE6" w:rsidP="00A53953">
      <w:pPr>
        <w:tabs>
          <w:tab w:val="left" w:pos="2880"/>
        </w:tabs>
        <w:spacing w:line="276" w:lineRule="auto"/>
        <w:jc w:val="both"/>
      </w:pPr>
    </w:p>
    <w:sectPr w:rsidR="00447EE6" w:rsidSect="00E02AC8">
      <w:footerReference w:type="default" r:id="rId12"/>
      <w:pgSz w:w="12240" w:h="15840"/>
      <w:pgMar w:top="1134" w:right="1701" w:bottom="1134" w:left="1701" w:header="720" w:footer="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0BFEE" w14:textId="77777777" w:rsidR="00CF583C" w:rsidRDefault="00CF583C" w:rsidP="006D5C62">
      <w:r>
        <w:separator/>
      </w:r>
    </w:p>
  </w:endnote>
  <w:endnote w:type="continuationSeparator" w:id="0">
    <w:p w14:paraId="7695AA14" w14:textId="77777777" w:rsidR="00CF583C" w:rsidRDefault="00CF583C" w:rsidP="006D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907515"/>
      <w:docPartObj>
        <w:docPartGallery w:val="Page Numbers (Bottom of Page)"/>
        <w:docPartUnique/>
      </w:docPartObj>
    </w:sdtPr>
    <w:sdtEndPr/>
    <w:sdtContent>
      <w:sdt>
        <w:sdtPr>
          <w:id w:val="1728636285"/>
          <w:docPartObj>
            <w:docPartGallery w:val="Page Numbers (Top of Page)"/>
            <w:docPartUnique/>
          </w:docPartObj>
        </w:sdtPr>
        <w:sdtEndPr/>
        <w:sdtContent>
          <w:p w14:paraId="0D868154" w14:textId="1510DCD6" w:rsidR="006D5C62" w:rsidRDefault="006D5C62" w:rsidP="006D5C62">
            <w:pPr>
              <w:pStyle w:val="Footer"/>
              <w:jc w:val="center"/>
            </w:pPr>
            <w:r w:rsidRPr="006D5C62">
              <w:rPr>
                <w:sz w:val="20"/>
                <w:szCs w:val="20"/>
              </w:rPr>
              <w:fldChar w:fldCharType="begin"/>
            </w:r>
            <w:r w:rsidRPr="006D5C62">
              <w:rPr>
                <w:sz w:val="20"/>
                <w:szCs w:val="20"/>
              </w:rPr>
              <w:instrText xml:space="preserve"> PAGE </w:instrText>
            </w:r>
            <w:r w:rsidRPr="006D5C62">
              <w:rPr>
                <w:sz w:val="20"/>
                <w:szCs w:val="20"/>
              </w:rPr>
              <w:fldChar w:fldCharType="separate"/>
            </w:r>
            <w:r w:rsidRPr="006D5C62">
              <w:rPr>
                <w:noProof/>
                <w:sz w:val="20"/>
                <w:szCs w:val="20"/>
              </w:rPr>
              <w:t>2</w:t>
            </w:r>
            <w:r w:rsidRPr="006D5C62">
              <w:rPr>
                <w:sz w:val="20"/>
                <w:szCs w:val="20"/>
              </w:rPr>
              <w:fldChar w:fldCharType="end"/>
            </w:r>
            <w:r w:rsidRPr="006D5C62">
              <w:rPr>
                <w:sz w:val="20"/>
                <w:szCs w:val="20"/>
              </w:rPr>
              <w:t xml:space="preserve"> no </w:t>
            </w:r>
            <w:r w:rsidRPr="006D5C62">
              <w:rPr>
                <w:sz w:val="20"/>
                <w:szCs w:val="20"/>
              </w:rPr>
              <w:fldChar w:fldCharType="begin"/>
            </w:r>
            <w:r w:rsidRPr="006D5C62">
              <w:rPr>
                <w:sz w:val="20"/>
                <w:szCs w:val="20"/>
              </w:rPr>
              <w:instrText xml:space="preserve"> NUMPAGES  </w:instrText>
            </w:r>
            <w:r w:rsidRPr="006D5C62">
              <w:rPr>
                <w:sz w:val="20"/>
                <w:szCs w:val="20"/>
              </w:rPr>
              <w:fldChar w:fldCharType="separate"/>
            </w:r>
            <w:r w:rsidRPr="006D5C62">
              <w:rPr>
                <w:noProof/>
                <w:sz w:val="20"/>
                <w:szCs w:val="20"/>
              </w:rPr>
              <w:t>2</w:t>
            </w:r>
            <w:r w:rsidRPr="006D5C62">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943AE" w14:textId="77777777" w:rsidR="00CF583C" w:rsidRDefault="00CF583C" w:rsidP="006D5C62">
      <w:r>
        <w:separator/>
      </w:r>
    </w:p>
  </w:footnote>
  <w:footnote w:type="continuationSeparator" w:id="0">
    <w:p w14:paraId="18DA47A8" w14:textId="77777777" w:rsidR="00CF583C" w:rsidRDefault="00CF583C" w:rsidP="006D5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C73"/>
    <w:multiLevelType w:val="hybridMultilevel"/>
    <w:tmpl w:val="C6E847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271916DB"/>
    <w:multiLevelType w:val="hybridMultilevel"/>
    <w:tmpl w:val="E30CFF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5F07F90"/>
    <w:multiLevelType w:val="hybridMultilevel"/>
    <w:tmpl w:val="B92EB2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B903E3C"/>
    <w:multiLevelType w:val="hybridMultilevel"/>
    <w:tmpl w:val="E93E8D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00880893">
    <w:abstractNumId w:val="1"/>
  </w:num>
  <w:num w:numId="2" w16cid:durableId="495338432">
    <w:abstractNumId w:val="0"/>
  </w:num>
  <w:num w:numId="3" w16cid:durableId="495456071">
    <w:abstractNumId w:val="3"/>
  </w:num>
  <w:num w:numId="4" w16cid:durableId="633798818">
    <w:abstractNumId w:val="2"/>
  </w:num>
  <w:num w:numId="5" w16cid:durableId="1232352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A9"/>
    <w:rsid w:val="00006655"/>
    <w:rsid w:val="00006F08"/>
    <w:rsid w:val="000160B7"/>
    <w:rsid w:val="000161EC"/>
    <w:rsid w:val="0002495A"/>
    <w:rsid w:val="00026555"/>
    <w:rsid w:val="00026722"/>
    <w:rsid w:val="00026E2B"/>
    <w:rsid w:val="0003538B"/>
    <w:rsid w:val="00036A57"/>
    <w:rsid w:val="00037439"/>
    <w:rsid w:val="000520EA"/>
    <w:rsid w:val="000567D2"/>
    <w:rsid w:val="000610C1"/>
    <w:rsid w:val="00066544"/>
    <w:rsid w:val="0006670D"/>
    <w:rsid w:val="000727D1"/>
    <w:rsid w:val="00073722"/>
    <w:rsid w:val="00074526"/>
    <w:rsid w:val="00076924"/>
    <w:rsid w:val="000775B2"/>
    <w:rsid w:val="00077D6F"/>
    <w:rsid w:val="00082CA8"/>
    <w:rsid w:val="00092516"/>
    <w:rsid w:val="00094FC8"/>
    <w:rsid w:val="00096A7E"/>
    <w:rsid w:val="000971D2"/>
    <w:rsid w:val="000A13AA"/>
    <w:rsid w:val="000A5327"/>
    <w:rsid w:val="000A5CE9"/>
    <w:rsid w:val="000A74CB"/>
    <w:rsid w:val="000B0962"/>
    <w:rsid w:val="000B1310"/>
    <w:rsid w:val="000B171E"/>
    <w:rsid w:val="000B2BB3"/>
    <w:rsid w:val="000B5C65"/>
    <w:rsid w:val="000C1423"/>
    <w:rsid w:val="000C341B"/>
    <w:rsid w:val="000C52CD"/>
    <w:rsid w:val="000C6E0F"/>
    <w:rsid w:val="000D2D6C"/>
    <w:rsid w:val="000D4EF4"/>
    <w:rsid w:val="000D5468"/>
    <w:rsid w:val="000D775B"/>
    <w:rsid w:val="000E22DA"/>
    <w:rsid w:val="000E252D"/>
    <w:rsid w:val="000E2F39"/>
    <w:rsid w:val="000E3635"/>
    <w:rsid w:val="000F24FE"/>
    <w:rsid w:val="000F49CF"/>
    <w:rsid w:val="001040D8"/>
    <w:rsid w:val="00104173"/>
    <w:rsid w:val="001045C6"/>
    <w:rsid w:val="0010633D"/>
    <w:rsid w:val="00107481"/>
    <w:rsid w:val="00113584"/>
    <w:rsid w:val="001164CC"/>
    <w:rsid w:val="00127784"/>
    <w:rsid w:val="00132E33"/>
    <w:rsid w:val="00136BED"/>
    <w:rsid w:val="00142A91"/>
    <w:rsid w:val="00143636"/>
    <w:rsid w:val="001442CD"/>
    <w:rsid w:val="00150AC8"/>
    <w:rsid w:val="001513E6"/>
    <w:rsid w:val="001535E9"/>
    <w:rsid w:val="00153982"/>
    <w:rsid w:val="00155092"/>
    <w:rsid w:val="0015680F"/>
    <w:rsid w:val="00160C9E"/>
    <w:rsid w:val="0016235E"/>
    <w:rsid w:val="00162A57"/>
    <w:rsid w:val="001643F5"/>
    <w:rsid w:val="00165778"/>
    <w:rsid w:val="0016655D"/>
    <w:rsid w:val="00170D8B"/>
    <w:rsid w:val="00172D48"/>
    <w:rsid w:val="00177A7F"/>
    <w:rsid w:val="00181C5B"/>
    <w:rsid w:val="0018508B"/>
    <w:rsid w:val="0018574C"/>
    <w:rsid w:val="00192038"/>
    <w:rsid w:val="00196D95"/>
    <w:rsid w:val="001A0B98"/>
    <w:rsid w:val="001A5EB8"/>
    <w:rsid w:val="001B32CB"/>
    <w:rsid w:val="001B70C2"/>
    <w:rsid w:val="001C120B"/>
    <w:rsid w:val="001C1443"/>
    <w:rsid w:val="001C2FD8"/>
    <w:rsid w:val="001C34DD"/>
    <w:rsid w:val="001C3AD1"/>
    <w:rsid w:val="001C58FA"/>
    <w:rsid w:val="001D033B"/>
    <w:rsid w:val="001D237C"/>
    <w:rsid w:val="001D3CD2"/>
    <w:rsid w:val="001D4531"/>
    <w:rsid w:val="001D4D14"/>
    <w:rsid w:val="001D7EDA"/>
    <w:rsid w:val="001D7F7F"/>
    <w:rsid w:val="001E044D"/>
    <w:rsid w:val="001E07FF"/>
    <w:rsid w:val="001E36D4"/>
    <w:rsid w:val="001F4CE2"/>
    <w:rsid w:val="001F6F85"/>
    <w:rsid w:val="0020116C"/>
    <w:rsid w:val="00201A9F"/>
    <w:rsid w:val="00201EDC"/>
    <w:rsid w:val="00204413"/>
    <w:rsid w:val="00213509"/>
    <w:rsid w:val="002207B8"/>
    <w:rsid w:val="00221756"/>
    <w:rsid w:val="002218D4"/>
    <w:rsid w:val="002230C4"/>
    <w:rsid w:val="00227134"/>
    <w:rsid w:val="00227503"/>
    <w:rsid w:val="00230E94"/>
    <w:rsid w:val="00235EBE"/>
    <w:rsid w:val="00240F17"/>
    <w:rsid w:val="00242715"/>
    <w:rsid w:val="00243B1C"/>
    <w:rsid w:val="00244E28"/>
    <w:rsid w:val="0024619C"/>
    <w:rsid w:val="00251373"/>
    <w:rsid w:val="00256ECF"/>
    <w:rsid w:val="00256F5B"/>
    <w:rsid w:val="0026052D"/>
    <w:rsid w:val="002624BB"/>
    <w:rsid w:val="00263A38"/>
    <w:rsid w:val="00267CD5"/>
    <w:rsid w:val="00267DAD"/>
    <w:rsid w:val="00271E74"/>
    <w:rsid w:val="00271FCD"/>
    <w:rsid w:val="002721F3"/>
    <w:rsid w:val="00272EC6"/>
    <w:rsid w:val="002748F8"/>
    <w:rsid w:val="002763BD"/>
    <w:rsid w:val="002769ED"/>
    <w:rsid w:val="00285AAE"/>
    <w:rsid w:val="002905B2"/>
    <w:rsid w:val="00291ED3"/>
    <w:rsid w:val="002A0543"/>
    <w:rsid w:val="002A0A39"/>
    <w:rsid w:val="002A4E29"/>
    <w:rsid w:val="002A5710"/>
    <w:rsid w:val="002A6151"/>
    <w:rsid w:val="002B61EE"/>
    <w:rsid w:val="002B653B"/>
    <w:rsid w:val="002B6BEF"/>
    <w:rsid w:val="002C162D"/>
    <w:rsid w:val="002C1818"/>
    <w:rsid w:val="002D3F77"/>
    <w:rsid w:val="002E1AC7"/>
    <w:rsid w:val="002E555B"/>
    <w:rsid w:val="002F1406"/>
    <w:rsid w:val="002F3B15"/>
    <w:rsid w:val="002F5772"/>
    <w:rsid w:val="00301162"/>
    <w:rsid w:val="00301313"/>
    <w:rsid w:val="00301DF4"/>
    <w:rsid w:val="00304115"/>
    <w:rsid w:val="00304492"/>
    <w:rsid w:val="00313C9A"/>
    <w:rsid w:val="00313FD3"/>
    <w:rsid w:val="00314851"/>
    <w:rsid w:val="003149E8"/>
    <w:rsid w:val="00314B6A"/>
    <w:rsid w:val="0032418F"/>
    <w:rsid w:val="00333D44"/>
    <w:rsid w:val="00334B8C"/>
    <w:rsid w:val="003369C0"/>
    <w:rsid w:val="00351071"/>
    <w:rsid w:val="0036073E"/>
    <w:rsid w:val="00363E02"/>
    <w:rsid w:val="00367D4F"/>
    <w:rsid w:val="00370FE1"/>
    <w:rsid w:val="003718E9"/>
    <w:rsid w:val="00373845"/>
    <w:rsid w:val="003777B7"/>
    <w:rsid w:val="00380D19"/>
    <w:rsid w:val="00386E95"/>
    <w:rsid w:val="00387020"/>
    <w:rsid w:val="00393A2E"/>
    <w:rsid w:val="00394A5B"/>
    <w:rsid w:val="003A2F37"/>
    <w:rsid w:val="003A3297"/>
    <w:rsid w:val="003A4B4E"/>
    <w:rsid w:val="003A4F91"/>
    <w:rsid w:val="003A4FD8"/>
    <w:rsid w:val="003B0EA4"/>
    <w:rsid w:val="003B4789"/>
    <w:rsid w:val="003B5871"/>
    <w:rsid w:val="003B78C1"/>
    <w:rsid w:val="003C34FF"/>
    <w:rsid w:val="003C4082"/>
    <w:rsid w:val="003C6501"/>
    <w:rsid w:val="003C6F06"/>
    <w:rsid w:val="003D31DE"/>
    <w:rsid w:val="003D5BDB"/>
    <w:rsid w:val="003E6BC6"/>
    <w:rsid w:val="003E718C"/>
    <w:rsid w:val="003E7B3A"/>
    <w:rsid w:val="003E7DCE"/>
    <w:rsid w:val="003F08D9"/>
    <w:rsid w:val="003F1439"/>
    <w:rsid w:val="00400890"/>
    <w:rsid w:val="004012AE"/>
    <w:rsid w:val="00402B96"/>
    <w:rsid w:val="004033C3"/>
    <w:rsid w:val="00407345"/>
    <w:rsid w:val="0041197C"/>
    <w:rsid w:val="00412429"/>
    <w:rsid w:val="004135C4"/>
    <w:rsid w:val="00417651"/>
    <w:rsid w:val="004247DC"/>
    <w:rsid w:val="00425E93"/>
    <w:rsid w:val="0043055E"/>
    <w:rsid w:val="0043167E"/>
    <w:rsid w:val="00433744"/>
    <w:rsid w:val="00443993"/>
    <w:rsid w:val="00445488"/>
    <w:rsid w:val="00447977"/>
    <w:rsid w:val="00447EE6"/>
    <w:rsid w:val="00450039"/>
    <w:rsid w:val="004504D3"/>
    <w:rsid w:val="004538FF"/>
    <w:rsid w:val="00460814"/>
    <w:rsid w:val="004618CE"/>
    <w:rsid w:val="00461CDB"/>
    <w:rsid w:val="00466347"/>
    <w:rsid w:val="00467DF7"/>
    <w:rsid w:val="004802E1"/>
    <w:rsid w:val="00485C3B"/>
    <w:rsid w:val="004908CA"/>
    <w:rsid w:val="00490B86"/>
    <w:rsid w:val="00491AED"/>
    <w:rsid w:val="0049201A"/>
    <w:rsid w:val="00492033"/>
    <w:rsid w:val="00495763"/>
    <w:rsid w:val="004A5836"/>
    <w:rsid w:val="004A6F86"/>
    <w:rsid w:val="004B2A94"/>
    <w:rsid w:val="004B69AC"/>
    <w:rsid w:val="004B7CB2"/>
    <w:rsid w:val="004C2347"/>
    <w:rsid w:val="004C3076"/>
    <w:rsid w:val="004C47F9"/>
    <w:rsid w:val="004C54F4"/>
    <w:rsid w:val="004C59C3"/>
    <w:rsid w:val="004C7058"/>
    <w:rsid w:val="004D1E77"/>
    <w:rsid w:val="004D2C33"/>
    <w:rsid w:val="004D5FE1"/>
    <w:rsid w:val="004E0070"/>
    <w:rsid w:val="004E0E93"/>
    <w:rsid w:val="004E547C"/>
    <w:rsid w:val="004F06D3"/>
    <w:rsid w:val="004F4923"/>
    <w:rsid w:val="004F56D8"/>
    <w:rsid w:val="004F71A0"/>
    <w:rsid w:val="0050005E"/>
    <w:rsid w:val="00503AC7"/>
    <w:rsid w:val="0050549B"/>
    <w:rsid w:val="005205E0"/>
    <w:rsid w:val="00526E9D"/>
    <w:rsid w:val="00531423"/>
    <w:rsid w:val="0053187B"/>
    <w:rsid w:val="0053426B"/>
    <w:rsid w:val="005355AA"/>
    <w:rsid w:val="00536C57"/>
    <w:rsid w:val="00540625"/>
    <w:rsid w:val="00541F03"/>
    <w:rsid w:val="00542725"/>
    <w:rsid w:val="00542FD7"/>
    <w:rsid w:val="00543BAD"/>
    <w:rsid w:val="00546144"/>
    <w:rsid w:val="00547C02"/>
    <w:rsid w:val="00555C22"/>
    <w:rsid w:val="00561757"/>
    <w:rsid w:val="00561AC4"/>
    <w:rsid w:val="005650B9"/>
    <w:rsid w:val="0056578D"/>
    <w:rsid w:val="00567624"/>
    <w:rsid w:val="00571491"/>
    <w:rsid w:val="00574F39"/>
    <w:rsid w:val="0057709C"/>
    <w:rsid w:val="005778B8"/>
    <w:rsid w:val="00577CFF"/>
    <w:rsid w:val="00580F5D"/>
    <w:rsid w:val="005844CC"/>
    <w:rsid w:val="0058618A"/>
    <w:rsid w:val="005903A0"/>
    <w:rsid w:val="00591588"/>
    <w:rsid w:val="00593FD1"/>
    <w:rsid w:val="00595C4E"/>
    <w:rsid w:val="005A086B"/>
    <w:rsid w:val="005A6004"/>
    <w:rsid w:val="005A62CF"/>
    <w:rsid w:val="005A6969"/>
    <w:rsid w:val="005B027F"/>
    <w:rsid w:val="005B1C62"/>
    <w:rsid w:val="005B2B02"/>
    <w:rsid w:val="005B5AF4"/>
    <w:rsid w:val="005C2AEE"/>
    <w:rsid w:val="005C3804"/>
    <w:rsid w:val="005D1B01"/>
    <w:rsid w:val="005D7452"/>
    <w:rsid w:val="005E2FEA"/>
    <w:rsid w:val="005E31BC"/>
    <w:rsid w:val="005E3F47"/>
    <w:rsid w:val="005E54CD"/>
    <w:rsid w:val="005E551D"/>
    <w:rsid w:val="005F0FC4"/>
    <w:rsid w:val="005F2D68"/>
    <w:rsid w:val="005F36BB"/>
    <w:rsid w:val="005F4A6B"/>
    <w:rsid w:val="005F509F"/>
    <w:rsid w:val="005F7ACC"/>
    <w:rsid w:val="00607375"/>
    <w:rsid w:val="0060749F"/>
    <w:rsid w:val="006160CC"/>
    <w:rsid w:val="0061721D"/>
    <w:rsid w:val="00621A03"/>
    <w:rsid w:val="00625DFB"/>
    <w:rsid w:val="006266C1"/>
    <w:rsid w:val="0063065F"/>
    <w:rsid w:val="00632EF6"/>
    <w:rsid w:val="0063705C"/>
    <w:rsid w:val="0064375B"/>
    <w:rsid w:val="006457B1"/>
    <w:rsid w:val="00653D1D"/>
    <w:rsid w:val="0065591E"/>
    <w:rsid w:val="00661DAC"/>
    <w:rsid w:val="0066267D"/>
    <w:rsid w:val="006727AA"/>
    <w:rsid w:val="00675228"/>
    <w:rsid w:val="00680F91"/>
    <w:rsid w:val="00682558"/>
    <w:rsid w:val="006828AA"/>
    <w:rsid w:val="00684D16"/>
    <w:rsid w:val="00685938"/>
    <w:rsid w:val="00686D65"/>
    <w:rsid w:val="006911A0"/>
    <w:rsid w:val="0069687E"/>
    <w:rsid w:val="00697622"/>
    <w:rsid w:val="006B267B"/>
    <w:rsid w:val="006B287B"/>
    <w:rsid w:val="006B2A29"/>
    <w:rsid w:val="006B3BD6"/>
    <w:rsid w:val="006B5909"/>
    <w:rsid w:val="006B5FA2"/>
    <w:rsid w:val="006C31EE"/>
    <w:rsid w:val="006C4001"/>
    <w:rsid w:val="006C4B5D"/>
    <w:rsid w:val="006C56CF"/>
    <w:rsid w:val="006C7760"/>
    <w:rsid w:val="006D1B59"/>
    <w:rsid w:val="006D35E2"/>
    <w:rsid w:val="006D3AB1"/>
    <w:rsid w:val="006D47A1"/>
    <w:rsid w:val="006D5C62"/>
    <w:rsid w:val="006E002F"/>
    <w:rsid w:val="006E02DF"/>
    <w:rsid w:val="006E21ED"/>
    <w:rsid w:val="006E5B90"/>
    <w:rsid w:val="006E6905"/>
    <w:rsid w:val="006E78BC"/>
    <w:rsid w:val="006F1755"/>
    <w:rsid w:val="006F4C75"/>
    <w:rsid w:val="006F5DF3"/>
    <w:rsid w:val="00700D18"/>
    <w:rsid w:val="007044DD"/>
    <w:rsid w:val="00717E0C"/>
    <w:rsid w:val="007223BE"/>
    <w:rsid w:val="007244DE"/>
    <w:rsid w:val="0072459E"/>
    <w:rsid w:val="00741496"/>
    <w:rsid w:val="0074233D"/>
    <w:rsid w:val="007443F7"/>
    <w:rsid w:val="00745811"/>
    <w:rsid w:val="00751A6F"/>
    <w:rsid w:val="00755B74"/>
    <w:rsid w:val="00760162"/>
    <w:rsid w:val="0076110E"/>
    <w:rsid w:val="00762A8A"/>
    <w:rsid w:val="00771C33"/>
    <w:rsid w:val="00794836"/>
    <w:rsid w:val="00795196"/>
    <w:rsid w:val="00797724"/>
    <w:rsid w:val="007A00DA"/>
    <w:rsid w:val="007A031A"/>
    <w:rsid w:val="007A2857"/>
    <w:rsid w:val="007A6317"/>
    <w:rsid w:val="007A7D4D"/>
    <w:rsid w:val="007B17BD"/>
    <w:rsid w:val="007B2EC7"/>
    <w:rsid w:val="007B61E9"/>
    <w:rsid w:val="007C2FAF"/>
    <w:rsid w:val="007C30FD"/>
    <w:rsid w:val="007C4309"/>
    <w:rsid w:val="007C7CA4"/>
    <w:rsid w:val="007D0C0D"/>
    <w:rsid w:val="007D2533"/>
    <w:rsid w:val="007D32DB"/>
    <w:rsid w:val="007D5BB2"/>
    <w:rsid w:val="007E171E"/>
    <w:rsid w:val="007E242E"/>
    <w:rsid w:val="007E6FB0"/>
    <w:rsid w:val="007E7154"/>
    <w:rsid w:val="007E719B"/>
    <w:rsid w:val="007F569E"/>
    <w:rsid w:val="007F6D42"/>
    <w:rsid w:val="00800C49"/>
    <w:rsid w:val="0080151F"/>
    <w:rsid w:val="00801F47"/>
    <w:rsid w:val="00802573"/>
    <w:rsid w:val="008029AE"/>
    <w:rsid w:val="00803039"/>
    <w:rsid w:val="00807BA7"/>
    <w:rsid w:val="0081226F"/>
    <w:rsid w:val="00814AFF"/>
    <w:rsid w:val="00815D6E"/>
    <w:rsid w:val="0081687E"/>
    <w:rsid w:val="00824300"/>
    <w:rsid w:val="00825D05"/>
    <w:rsid w:val="0082619F"/>
    <w:rsid w:val="00832964"/>
    <w:rsid w:val="00837192"/>
    <w:rsid w:val="00841EB0"/>
    <w:rsid w:val="0084386A"/>
    <w:rsid w:val="00854F12"/>
    <w:rsid w:val="00860261"/>
    <w:rsid w:val="00861161"/>
    <w:rsid w:val="0086541C"/>
    <w:rsid w:val="00865A79"/>
    <w:rsid w:val="008671C3"/>
    <w:rsid w:val="00871EBC"/>
    <w:rsid w:val="00880B63"/>
    <w:rsid w:val="00881BCF"/>
    <w:rsid w:val="008839E3"/>
    <w:rsid w:val="00885FD7"/>
    <w:rsid w:val="00890483"/>
    <w:rsid w:val="00891D66"/>
    <w:rsid w:val="008937E7"/>
    <w:rsid w:val="00894440"/>
    <w:rsid w:val="0089528C"/>
    <w:rsid w:val="008A1D8E"/>
    <w:rsid w:val="008B0E68"/>
    <w:rsid w:val="008B143B"/>
    <w:rsid w:val="008B49ED"/>
    <w:rsid w:val="008B4DAE"/>
    <w:rsid w:val="008B53A1"/>
    <w:rsid w:val="008C6913"/>
    <w:rsid w:val="008D1FFC"/>
    <w:rsid w:val="008D2D7B"/>
    <w:rsid w:val="008D345A"/>
    <w:rsid w:val="008D5F7E"/>
    <w:rsid w:val="008D652D"/>
    <w:rsid w:val="008D706E"/>
    <w:rsid w:val="008E0297"/>
    <w:rsid w:val="008F0317"/>
    <w:rsid w:val="008F1CFD"/>
    <w:rsid w:val="008F63F2"/>
    <w:rsid w:val="008F75D8"/>
    <w:rsid w:val="0090299B"/>
    <w:rsid w:val="00905BF5"/>
    <w:rsid w:val="00906391"/>
    <w:rsid w:val="00911EB4"/>
    <w:rsid w:val="00925A25"/>
    <w:rsid w:val="00931962"/>
    <w:rsid w:val="00933796"/>
    <w:rsid w:val="00933914"/>
    <w:rsid w:val="00934D4A"/>
    <w:rsid w:val="009427FF"/>
    <w:rsid w:val="009508A8"/>
    <w:rsid w:val="00951EC5"/>
    <w:rsid w:val="00955D23"/>
    <w:rsid w:val="009565A2"/>
    <w:rsid w:val="0096089E"/>
    <w:rsid w:val="00964F43"/>
    <w:rsid w:val="0097134F"/>
    <w:rsid w:val="00974256"/>
    <w:rsid w:val="00974959"/>
    <w:rsid w:val="00976DA5"/>
    <w:rsid w:val="00981709"/>
    <w:rsid w:val="00982735"/>
    <w:rsid w:val="009A01C7"/>
    <w:rsid w:val="009A3B6F"/>
    <w:rsid w:val="009A4AD5"/>
    <w:rsid w:val="009B79DC"/>
    <w:rsid w:val="009C2889"/>
    <w:rsid w:val="009C3CC3"/>
    <w:rsid w:val="009C47AF"/>
    <w:rsid w:val="009D0C04"/>
    <w:rsid w:val="009E1B17"/>
    <w:rsid w:val="009E3553"/>
    <w:rsid w:val="009E7FA3"/>
    <w:rsid w:val="009F16D0"/>
    <w:rsid w:val="009F1F91"/>
    <w:rsid w:val="009F5DA5"/>
    <w:rsid w:val="009F6CE4"/>
    <w:rsid w:val="00A014E1"/>
    <w:rsid w:val="00A02B9E"/>
    <w:rsid w:val="00A10AA2"/>
    <w:rsid w:val="00A122CA"/>
    <w:rsid w:val="00A133B7"/>
    <w:rsid w:val="00A14F22"/>
    <w:rsid w:val="00A150A2"/>
    <w:rsid w:val="00A24D33"/>
    <w:rsid w:val="00A25EFF"/>
    <w:rsid w:val="00A25F26"/>
    <w:rsid w:val="00A274DF"/>
    <w:rsid w:val="00A303AF"/>
    <w:rsid w:val="00A36177"/>
    <w:rsid w:val="00A37206"/>
    <w:rsid w:val="00A40030"/>
    <w:rsid w:val="00A5055C"/>
    <w:rsid w:val="00A524E0"/>
    <w:rsid w:val="00A52A45"/>
    <w:rsid w:val="00A53953"/>
    <w:rsid w:val="00A56DC1"/>
    <w:rsid w:val="00A651C5"/>
    <w:rsid w:val="00A71140"/>
    <w:rsid w:val="00A742EC"/>
    <w:rsid w:val="00A80771"/>
    <w:rsid w:val="00A8320C"/>
    <w:rsid w:val="00A832B5"/>
    <w:rsid w:val="00A92273"/>
    <w:rsid w:val="00A95013"/>
    <w:rsid w:val="00AA2FDC"/>
    <w:rsid w:val="00AA5CC4"/>
    <w:rsid w:val="00AB50BD"/>
    <w:rsid w:val="00AD297F"/>
    <w:rsid w:val="00AD2ACD"/>
    <w:rsid w:val="00AD59A3"/>
    <w:rsid w:val="00AD5FF3"/>
    <w:rsid w:val="00AD740C"/>
    <w:rsid w:val="00AE097C"/>
    <w:rsid w:val="00AE18CF"/>
    <w:rsid w:val="00AE2665"/>
    <w:rsid w:val="00AE4BDE"/>
    <w:rsid w:val="00AE4DC1"/>
    <w:rsid w:val="00AF537E"/>
    <w:rsid w:val="00B12B3E"/>
    <w:rsid w:val="00B14D4D"/>
    <w:rsid w:val="00B15CC8"/>
    <w:rsid w:val="00B2005B"/>
    <w:rsid w:val="00B2080D"/>
    <w:rsid w:val="00B23727"/>
    <w:rsid w:val="00B2607A"/>
    <w:rsid w:val="00B26CFF"/>
    <w:rsid w:val="00B30FDF"/>
    <w:rsid w:val="00B3635A"/>
    <w:rsid w:val="00B376D4"/>
    <w:rsid w:val="00B40EAF"/>
    <w:rsid w:val="00B44B63"/>
    <w:rsid w:val="00B44C36"/>
    <w:rsid w:val="00B46333"/>
    <w:rsid w:val="00B47BC7"/>
    <w:rsid w:val="00B501C4"/>
    <w:rsid w:val="00B51419"/>
    <w:rsid w:val="00B52080"/>
    <w:rsid w:val="00B529B8"/>
    <w:rsid w:val="00B53566"/>
    <w:rsid w:val="00B54F4B"/>
    <w:rsid w:val="00B6741F"/>
    <w:rsid w:val="00B67976"/>
    <w:rsid w:val="00B7021D"/>
    <w:rsid w:val="00B71DA4"/>
    <w:rsid w:val="00B748E9"/>
    <w:rsid w:val="00B76837"/>
    <w:rsid w:val="00B82370"/>
    <w:rsid w:val="00B82C56"/>
    <w:rsid w:val="00B84A11"/>
    <w:rsid w:val="00B86A9C"/>
    <w:rsid w:val="00B925D6"/>
    <w:rsid w:val="00B9548E"/>
    <w:rsid w:val="00BA1D10"/>
    <w:rsid w:val="00BA4DB2"/>
    <w:rsid w:val="00BA5218"/>
    <w:rsid w:val="00BB0340"/>
    <w:rsid w:val="00BB2BED"/>
    <w:rsid w:val="00BB3F87"/>
    <w:rsid w:val="00BB49AE"/>
    <w:rsid w:val="00BB4CCB"/>
    <w:rsid w:val="00BB5D8E"/>
    <w:rsid w:val="00BB7BB8"/>
    <w:rsid w:val="00BC0BCE"/>
    <w:rsid w:val="00BC0CB5"/>
    <w:rsid w:val="00BC13E5"/>
    <w:rsid w:val="00BC2DD7"/>
    <w:rsid w:val="00BC6D0C"/>
    <w:rsid w:val="00BD04EB"/>
    <w:rsid w:val="00BD1ACB"/>
    <w:rsid w:val="00BD2B64"/>
    <w:rsid w:val="00BD31E8"/>
    <w:rsid w:val="00BE07C9"/>
    <w:rsid w:val="00BE0F7B"/>
    <w:rsid w:val="00BE2705"/>
    <w:rsid w:val="00BE4F0F"/>
    <w:rsid w:val="00BF3478"/>
    <w:rsid w:val="00BF452C"/>
    <w:rsid w:val="00C03941"/>
    <w:rsid w:val="00C0529C"/>
    <w:rsid w:val="00C06506"/>
    <w:rsid w:val="00C07329"/>
    <w:rsid w:val="00C10988"/>
    <w:rsid w:val="00C15A4E"/>
    <w:rsid w:val="00C15FA2"/>
    <w:rsid w:val="00C206C6"/>
    <w:rsid w:val="00C2078C"/>
    <w:rsid w:val="00C20E8A"/>
    <w:rsid w:val="00C21C9E"/>
    <w:rsid w:val="00C22356"/>
    <w:rsid w:val="00C26235"/>
    <w:rsid w:val="00C336AD"/>
    <w:rsid w:val="00C345D4"/>
    <w:rsid w:val="00C36548"/>
    <w:rsid w:val="00C36B67"/>
    <w:rsid w:val="00C40C8E"/>
    <w:rsid w:val="00C429A3"/>
    <w:rsid w:val="00C43696"/>
    <w:rsid w:val="00C5023B"/>
    <w:rsid w:val="00C50E21"/>
    <w:rsid w:val="00C5185C"/>
    <w:rsid w:val="00C5197A"/>
    <w:rsid w:val="00C52083"/>
    <w:rsid w:val="00C55622"/>
    <w:rsid w:val="00C57187"/>
    <w:rsid w:val="00C60316"/>
    <w:rsid w:val="00C665A5"/>
    <w:rsid w:val="00C678E8"/>
    <w:rsid w:val="00C71C8D"/>
    <w:rsid w:val="00C74D15"/>
    <w:rsid w:val="00C82A0A"/>
    <w:rsid w:val="00C8325E"/>
    <w:rsid w:val="00C8372B"/>
    <w:rsid w:val="00C91571"/>
    <w:rsid w:val="00C91B81"/>
    <w:rsid w:val="00C91FE1"/>
    <w:rsid w:val="00C95E7B"/>
    <w:rsid w:val="00CA1624"/>
    <w:rsid w:val="00CA2FEE"/>
    <w:rsid w:val="00CA3DD4"/>
    <w:rsid w:val="00CB5C32"/>
    <w:rsid w:val="00CB5F12"/>
    <w:rsid w:val="00CC1474"/>
    <w:rsid w:val="00CC2BFB"/>
    <w:rsid w:val="00CC44D5"/>
    <w:rsid w:val="00CC6FBC"/>
    <w:rsid w:val="00CD1245"/>
    <w:rsid w:val="00CD1581"/>
    <w:rsid w:val="00CD603E"/>
    <w:rsid w:val="00CE0A9A"/>
    <w:rsid w:val="00CE217C"/>
    <w:rsid w:val="00CF27C1"/>
    <w:rsid w:val="00CF29A3"/>
    <w:rsid w:val="00CF2B1B"/>
    <w:rsid w:val="00CF583C"/>
    <w:rsid w:val="00D04555"/>
    <w:rsid w:val="00D1140B"/>
    <w:rsid w:val="00D116EF"/>
    <w:rsid w:val="00D1404F"/>
    <w:rsid w:val="00D15877"/>
    <w:rsid w:val="00D168B0"/>
    <w:rsid w:val="00D21C72"/>
    <w:rsid w:val="00D236EF"/>
    <w:rsid w:val="00D270ED"/>
    <w:rsid w:val="00D27444"/>
    <w:rsid w:val="00D33AD2"/>
    <w:rsid w:val="00D355C9"/>
    <w:rsid w:val="00D40FC2"/>
    <w:rsid w:val="00D45963"/>
    <w:rsid w:val="00D502FB"/>
    <w:rsid w:val="00D50A52"/>
    <w:rsid w:val="00D52874"/>
    <w:rsid w:val="00D6056F"/>
    <w:rsid w:val="00D63B44"/>
    <w:rsid w:val="00D66EB5"/>
    <w:rsid w:val="00D67831"/>
    <w:rsid w:val="00D734F1"/>
    <w:rsid w:val="00D75A49"/>
    <w:rsid w:val="00D77CC1"/>
    <w:rsid w:val="00D81320"/>
    <w:rsid w:val="00D82D16"/>
    <w:rsid w:val="00D9140E"/>
    <w:rsid w:val="00D93D38"/>
    <w:rsid w:val="00D97A4F"/>
    <w:rsid w:val="00DA1E87"/>
    <w:rsid w:val="00DB20A9"/>
    <w:rsid w:val="00DB34A5"/>
    <w:rsid w:val="00DB57D0"/>
    <w:rsid w:val="00DC0CB5"/>
    <w:rsid w:val="00DD442C"/>
    <w:rsid w:val="00DD47B9"/>
    <w:rsid w:val="00DE18C8"/>
    <w:rsid w:val="00DE19CE"/>
    <w:rsid w:val="00DE40C1"/>
    <w:rsid w:val="00DE4435"/>
    <w:rsid w:val="00DF04C8"/>
    <w:rsid w:val="00DF6969"/>
    <w:rsid w:val="00E00EFE"/>
    <w:rsid w:val="00E02AC8"/>
    <w:rsid w:val="00E044C5"/>
    <w:rsid w:val="00E06E7B"/>
    <w:rsid w:val="00E11CC7"/>
    <w:rsid w:val="00E13FE7"/>
    <w:rsid w:val="00E15128"/>
    <w:rsid w:val="00E17CD1"/>
    <w:rsid w:val="00E225F0"/>
    <w:rsid w:val="00E27FD3"/>
    <w:rsid w:val="00E31B89"/>
    <w:rsid w:val="00E32A7E"/>
    <w:rsid w:val="00E40371"/>
    <w:rsid w:val="00E45651"/>
    <w:rsid w:val="00E50E1B"/>
    <w:rsid w:val="00E62BC0"/>
    <w:rsid w:val="00E6449D"/>
    <w:rsid w:val="00E67961"/>
    <w:rsid w:val="00E7163F"/>
    <w:rsid w:val="00E73BE7"/>
    <w:rsid w:val="00E77151"/>
    <w:rsid w:val="00E80C11"/>
    <w:rsid w:val="00E81199"/>
    <w:rsid w:val="00E86C8C"/>
    <w:rsid w:val="00E95587"/>
    <w:rsid w:val="00EA0F07"/>
    <w:rsid w:val="00EA21E5"/>
    <w:rsid w:val="00EA2B0C"/>
    <w:rsid w:val="00EA3EE3"/>
    <w:rsid w:val="00EA6035"/>
    <w:rsid w:val="00EA648A"/>
    <w:rsid w:val="00EB018B"/>
    <w:rsid w:val="00EB37CD"/>
    <w:rsid w:val="00EB4CF7"/>
    <w:rsid w:val="00EC4F6F"/>
    <w:rsid w:val="00EC5D02"/>
    <w:rsid w:val="00ED282D"/>
    <w:rsid w:val="00ED2A9A"/>
    <w:rsid w:val="00ED4456"/>
    <w:rsid w:val="00ED6C6C"/>
    <w:rsid w:val="00EF0C90"/>
    <w:rsid w:val="00EF249C"/>
    <w:rsid w:val="00EF4A64"/>
    <w:rsid w:val="00EF4CB1"/>
    <w:rsid w:val="00EF59E5"/>
    <w:rsid w:val="00EF6750"/>
    <w:rsid w:val="00F07B26"/>
    <w:rsid w:val="00F13CB1"/>
    <w:rsid w:val="00F13CB8"/>
    <w:rsid w:val="00F16119"/>
    <w:rsid w:val="00F246BD"/>
    <w:rsid w:val="00F24914"/>
    <w:rsid w:val="00F26173"/>
    <w:rsid w:val="00F303C6"/>
    <w:rsid w:val="00F315BC"/>
    <w:rsid w:val="00F40ABF"/>
    <w:rsid w:val="00F40E6F"/>
    <w:rsid w:val="00F5198D"/>
    <w:rsid w:val="00F56F54"/>
    <w:rsid w:val="00F57B79"/>
    <w:rsid w:val="00F64D67"/>
    <w:rsid w:val="00F654FB"/>
    <w:rsid w:val="00F714F9"/>
    <w:rsid w:val="00F717D5"/>
    <w:rsid w:val="00F721A3"/>
    <w:rsid w:val="00F73F43"/>
    <w:rsid w:val="00F740EB"/>
    <w:rsid w:val="00F74A55"/>
    <w:rsid w:val="00F753A1"/>
    <w:rsid w:val="00F77416"/>
    <w:rsid w:val="00F77864"/>
    <w:rsid w:val="00F810B1"/>
    <w:rsid w:val="00F828E7"/>
    <w:rsid w:val="00F8543B"/>
    <w:rsid w:val="00F85D3A"/>
    <w:rsid w:val="00F87702"/>
    <w:rsid w:val="00F90281"/>
    <w:rsid w:val="00F95C1B"/>
    <w:rsid w:val="00F975C8"/>
    <w:rsid w:val="00FA084F"/>
    <w:rsid w:val="00FA087F"/>
    <w:rsid w:val="00FA790C"/>
    <w:rsid w:val="00FB095B"/>
    <w:rsid w:val="00FB1FEF"/>
    <w:rsid w:val="00FB591F"/>
    <w:rsid w:val="00FB598E"/>
    <w:rsid w:val="00FB5D56"/>
    <w:rsid w:val="00FB5E23"/>
    <w:rsid w:val="00FC30A8"/>
    <w:rsid w:val="00FC58E3"/>
    <w:rsid w:val="00FD4A9E"/>
    <w:rsid w:val="00FD506A"/>
    <w:rsid w:val="00FD5AEA"/>
    <w:rsid w:val="00FD66FB"/>
    <w:rsid w:val="00FD78E0"/>
    <w:rsid w:val="00FE0F1C"/>
    <w:rsid w:val="00FE10FB"/>
    <w:rsid w:val="00FE1C38"/>
    <w:rsid w:val="00FE4034"/>
    <w:rsid w:val="00FE42F1"/>
    <w:rsid w:val="00FF3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6D5C62"/>
    <w:pPr>
      <w:tabs>
        <w:tab w:val="center" w:pos="4153"/>
        <w:tab w:val="right" w:pos="8306"/>
      </w:tabs>
    </w:pPr>
  </w:style>
  <w:style w:type="character" w:customStyle="1" w:styleId="HeaderChar">
    <w:name w:val="Header Char"/>
    <w:basedOn w:val="DefaultParagraphFont"/>
    <w:link w:val="Header"/>
    <w:uiPriority w:val="99"/>
    <w:rsid w:val="006D5C62"/>
    <w:rPr>
      <w:rFonts w:eastAsia="Times New Roman" w:cs="Times New Roman"/>
      <w:szCs w:val="24"/>
      <w:lang w:val="lv-LV" w:eastAsia="ru-RU"/>
    </w:rPr>
  </w:style>
  <w:style w:type="paragraph" w:styleId="Footer">
    <w:name w:val="footer"/>
    <w:basedOn w:val="Normal"/>
    <w:link w:val="FooterChar"/>
    <w:uiPriority w:val="99"/>
    <w:unhideWhenUsed/>
    <w:rsid w:val="006D5C62"/>
    <w:pPr>
      <w:tabs>
        <w:tab w:val="center" w:pos="4153"/>
        <w:tab w:val="right" w:pos="8306"/>
      </w:tabs>
    </w:pPr>
  </w:style>
  <w:style w:type="character" w:customStyle="1" w:styleId="FooterChar">
    <w:name w:val="Footer Char"/>
    <w:basedOn w:val="DefaultParagraphFont"/>
    <w:link w:val="Footer"/>
    <w:uiPriority w:val="99"/>
    <w:rsid w:val="006D5C62"/>
    <w:rPr>
      <w:rFonts w:eastAsia="Times New Roman" w:cs="Times New Roman"/>
      <w:szCs w:val="24"/>
      <w:lang w:val="lv-LV" w:eastAsia="ru-RU"/>
    </w:rPr>
  </w:style>
  <w:style w:type="character" w:styleId="Hyperlink">
    <w:name w:val="Hyperlink"/>
    <w:basedOn w:val="DefaultParagraphFont"/>
    <w:uiPriority w:val="99"/>
    <w:unhideWhenUsed/>
    <w:rsid w:val="00EA3EE3"/>
    <w:rPr>
      <w:color w:val="0563C1" w:themeColor="hyperlink"/>
      <w:u w:val="single"/>
    </w:rPr>
  </w:style>
  <w:style w:type="paragraph" w:styleId="ListParagraph">
    <w:name w:val="List Paragraph"/>
    <w:basedOn w:val="Normal"/>
    <w:uiPriority w:val="34"/>
    <w:qFormat/>
    <w:rsid w:val="00142A91"/>
    <w:pPr>
      <w:ind w:left="720"/>
      <w:contextualSpacing/>
    </w:pPr>
  </w:style>
  <w:style w:type="paragraph" w:customStyle="1" w:styleId="tv213">
    <w:name w:val="tv213"/>
    <w:basedOn w:val="Normal"/>
    <w:rsid w:val="006E002F"/>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802573"/>
    <w:rPr>
      <w:color w:val="605E5C"/>
      <w:shd w:val="clear" w:color="auto" w:fill="E1DFDD"/>
    </w:rPr>
  </w:style>
  <w:style w:type="paragraph" w:styleId="Revision">
    <w:name w:val="Revision"/>
    <w:hidden/>
    <w:uiPriority w:val="99"/>
    <w:semiHidden/>
    <w:rsid w:val="00BC13E5"/>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C10988"/>
    <w:rPr>
      <w:sz w:val="16"/>
      <w:szCs w:val="16"/>
    </w:rPr>
  </w:style>
  <w:style w:type="paragraph" w:styleId="CommentText">
    <w:name w:val="annotation text"/>
    <w:basedOn w:val="Normal"/>
    <w:link w:val="CommentTextChar"/>
    <w:uiPriority w:val="99"/>
    <w:unhideWhenUsed/>
    <w:rsid w:val="00C10988"/>
    <w:rPr>
      <w:sz w:val="20"/>
      <w:szCs w:val="20"/>
    </w:rPr>
  </w:style>
  <w:style w:type="character" w:customStyle="1" w:styleId="CommentTextChar">
    <w:name w:val="Comment Text Char"/>
    <w:basedOn w:val="DefaultParagraphFont"/>
    <w:link w:val="CommentText"/>
    <w:uiPriority w:val="99"/>
    <w:rsid w:val="00C10988"/>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C10988"/>
    <w:rPr>
      <w:b/>
      <w:bCs/>
    </w:rPr>
  </w:style>
  <w:style w:type="character" w:customStyle="1" w:styleId="CommentSubjectChar">
    <w:name w:val="Comment Subject Char"/>
    <w:basedOn w:val="CommentTextChar"/>
    <w:link w:val="CommentSubject"/>
    <w:uiPriority w:val="99"/>
    <w:semiHidden/>
    <w:rsid w:val="00C10988"/>
    <w:rPr>
      <w:rFonts w:eastAsia="Times New Roman" w:cs="Times New Roman"/>
      <w:b/>
      <w:bCs/>
      <w:sz w:val="20"/>
      <w:szCs w:val="20"/>
      <w:lang w:val="lv-LV" w:eastAsia="ru-RU"/>
    </w:rPr>
  </w:style>
  <w:style w:type="character" w:styleId="FollowedHyperlink">
    <w:name w:val="FollowedHyperlink"/>
    <w:basedOn w:val="DefaultParagraphFont"/>
    <w:uiPriority w:val="99"/>
    <w:semiHidden/>
    <w:unhideWhenUsed/>
    <w:rsid w:val="004A58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825">
      <w:bodyDiv w:val="1"/>
      <w:marLeft w:val="0"/>
      <w:marRight w:val="0"/>
      <w:marTop w:val="0"/>
      <w:marBottom w:val="0"/>
      <w:divBdr>
        <w:top w:val="none" w:sz="0" w:space="0" w:color="auto"/>
        <w:left w:val="none" w:sz="0" w:space="0" w:color="auto"/>
        <w:bottom w:val="none" w:sz="0" w:space="0" w:color="auto"/>
        <w:right w:val="none" w:sz="0" w:space="0" w:color="auto"/>
      </w:divBdr>
    </w:div>
    <w:div w:id="58989023">
      <w:bodyDiv w:val="1"/>
      <w:marLeft w:val="0"/>
      <w:marRight w:val="0"/>
      <w:marTop w:val="0"/>
      <w:marBottom w:val="0"/>
      <w:divBdr>
        <w:top w:val="none" w:sz="0" w:space="0" w:color="auto"/>
        <w:left w:val="none" w:sz="0" w:space="0" w:color="auto"/>
        <w:bottom w:val="none" w:sz="0" w:space="0" w:color="auto"/>
        <w:right w:val="none" w:sz="0" w:space="0" w:color="auto"/>
      </w:divBdr>
    </w:div>
    <w:div w:id="135337511">
      <w:bodyDiv w:val="1"/>
      <w:marLeft w:val="0"/>
      <w:marRight w:val="0"/>
      <w:marTop w:val="0"/>
      <w:marBottom w:val="0"/>
      <w:divBdr>
        <w:top w:val="none" w:sz="0" w:space="0" w:color="auto"/>
        <w:left w:val="none" w:sz="0" w:space="0" w:color="auto"/>
        <w:bottom w:val="none" w:sz="0" w:space="0" w:color="auto"/>
        <w:right w:val="none" w:sz="0" w:space="0" w:color="auto"/>
      </w:divBdr>
    </w:div>
    <w:div w:id="723673519">
      <w:bodyDiv w:val="1"/>
      <w:marLeft w:val="0"/>
      <w:marRight w:val="0"/>
      <w:marTop w:val="0"/>
      <w:marBottom w:val="0"/>
      <w:divBdr>
        <w:top w:val="none" w:sz="0" w:space="0" w:color="auto"/>
        <w:left w:val="none" w:sz="0" w:space="0" w:color="auto"/>
        <w:bottom w:val="none" w:sz="0" w:space="0" w:color="auto"/>
        <w:right w:val="none" w:sz="0" w:space="0" w:color="auto"/>
      </w:divBdr>
    </w:div>
    <w:div w:id="1173760629">
      <w:bodyDiv w:val="1"/>
      <w:marLeft w:val="0"/>
      <w:marRight w:val="0"/>
      <w:marTop w:val="0"/>
      <w:marBottom w:val="0"/>
      <w:divBdr>
        <w:top w:val="none" w:sz="0" w:space="0" w:color="auto"/>
        <w:left w:val="none" w:sz="0" w:space="0" w:color="auto"/>
        <w:bottom w:val="none" w:sz="0" w:space="0" w:color="auto"/>
        <w:right w:val="none" w:sz="0" w:space="0" w:color="auto"/>
      </w:divBdr>
    </w:div>
    <w:div w:id="1190794846">
      <w:bodyDiv w:val="1"/>
      <w:marLeft w:val="0"/>
      <w:marRight w:val="0"/>
      <w:marTop w:val="0"/>
      <w:marBottom w:val="0"/>
      <w:divBdr>
        <w:top w:val="none" w:sz="0" w:space="0" w:color="auto"/>
        <w:left w:val="none" w:sz="0" w:space="0" w:color="auto"/>
        <w:bottom w:val="none" w:sz="0" w:space="0" w:color="auto"/>
        <w:right w:val="none" w:sz="0" w:space="0" w:color="auto"/>
      </w:divBdr>
    </w:div>
    <w:div w:id="12522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4b85f673-40bb-431a-8c0f-6cef5f16e58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9813" TargetMode="External"/><Relationship Id="rId5" Type="http://schemas.openxmlformats.org/officeDocument/2006/relationships/webSettings" Target="webSettings.xml"/><Relationship Id="rId10" Type="http://schemas.openxmlformats.org/officeDocument/2006/relationships/hyperlink" Target="https://titania.saeima.lv/LIVS12/SaeimaLIVS12.nsf/0/E6029B526E16BE95C225821F0036067B?OpenDocument" TargetMode="External"/><Relationship Id="rId4" Type="http://schemas.openxmlformats.org/officeDocument/2006/relationships/settings" Target="settings.xml"/><Relationship Id="rId9" Type="http://schemas.openxmlformats.org/officeDocument/2006/relationships/hyperlink" Target="https://titania.saeima.lv/LIVS12/SaeimaLIVS12.nsf/webSasaiste?OpenView&amp;restricttocategory=1118/Lp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9311-F7C7-49CD-9B48-2DAC3F81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13021</Words>
  <Characters>7423</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2025-04-17T08:30:00Z</dcterms:created>
  <dcterms:modified xsi:type="dcterms:W3CDTF">2025-08-29T06:52:00Z</dcterms:modified>
</cp:coreProperties>
</file>