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1ED53C" w14:textId="77777777" w:rsidR="00FF2DA1" w:rsidRPr="00296EF4" w:rsidRDefault="00FF2DA1" w:rsidP="00674746">
      <w:pPr>
        <w:spacing w:line="276" w:lineRule="auto"/>
        <w:jc w:val="both"/>
        <w:rPr>
          <w:b/>
          <w:bCs/>
        </w:rPr>
      </w:pPr>
      <w:r w:rsidRPr="00296EF4">
        <w:rPr>
          <w:b/>
          <w:bCs/>
        </w:rPr>
        <w:t xml:space="preserve">Iepriekš neapsolītā slēpšanā izmantota automašīna kā noziedzīga nodarījuma izdarīšanas priekšmets </w:t>
      </w:r>
    </w:p>
    <w:p w14:paraId="22E750B1" w14:textId="77777777" w:rsidR="00FF2DA1" w:rsidRPr="00296EF4" w:rsidRDefault="00FF2DA1" w:rsidP="00674746">
      <w:pPr>
        <w:spacing w:line="276" w:lineRule="auto"/>
        <w:jc w:val="both"/>
      </w:pPr>
      <w:r w:rsidRPr="00296EF4">
        <w:t>Ciktāl priekšmets tiek izmantots vai to paredzēts izmantot, lai izdarītu noziedzīgu nodarījumu, tas ir šī noziedzīgā nodarījuma rīks. Tādējādi noziedzīga nodarījuma slēpšanā izmantotā automašīna ir atzīstama par noziedzīga nodarījuma izdarīšanas priekšmetu.</w:t>
      </w:r>
    </w:p>
    <w:p w14:paraId="46F0E3F3" w14:textId="77777777" w:rsidR="002C141A" w:rsidRDefault="002C141A" w:rsidP="00674746">
      <w:pPr>
        <w:spacing w:line="276" w:lineRule="auto"/>
        <w:jc w:val="both"/>
        <w:rPr>
          <w:rFonts w:asciiTheme="majorBidi" w:hAnsiTheme="majorBidi" w:cstheme="majorBidi"/>
          <w:b/>
          <w:bCs/>
        </w:rPr>
      </w:pPr>
    </w:p>
    <w:p w14:paraId="1C89F418" w14:textId="77777777" w:rsidR="00FF2DA1" w:rsidRPr="00296EF4" w:rsidRDefault="00FF2DA1" w:rsidP="00674746">
      <w:pPr>
        <w:spacing w:line="276" w:lineRule="auto"/>
        <w:jc w:val="both"/>
        <w:rPr>
          <w:b/>
          <w:bCs/>
        </w:rPr>
      </w:pPr>
      <w:r w:rsidRPr="00296EF4">
        <w:rPr>
          <w:b/>
          <w:bCs/>
        </w:rPr>
        <w:t>Mantas īpašā konfiskācija</w:t>
      </w:r>
    </w:p>
    <w:p w14:paraId="73661009" w14:textId="77777777" w:rsidR="00FF2DA1" w:rsidRPr="00296EF4" w:rsidRDefault="00FF2DA1" w:rsidP="00674746">
      <w:pPr>
        <w:spacing w:line="276" w:lineRule="auto"/>
        <w:jc w:val="both"/>
      </w:pPr>
      <w:r w:rsidRPr="00296EF4">
        <w:t>Manta, kas atzīta par noziedzīga nodarījuma izdarīšanas priekšmetu, ir konfiscējama neatkarīgi no tā, vai arests mantai uzlikts nolūkā to konfiscēt saskaņā ar Krimināllikuma 70.</w:t>
      </w:r>
      <w:r w:rsidRPr="00296EF4">
        <w:rPr>
          <w:vertAlign w:val="superscript"/>
        </w:rPr>
        <w:t xml:space="preserve">12 </w:t>
      </w:r>
      <w:r w:rsidRPr="00296EF4">
        <w:t>panta otro daļu, vai lēmumā par aresta uzlikšanu mantai norādīts, ka arests konkrētajai mantai uzlikts citam mērķim.</w:t>
      </w:r>
    </w:p>
    <w:p w14:paraId="24712E39" w14:textId="77777777" w:rsidR="00FF2DA1" w:rsidRPr="00FF2DA1" w:rsidRDefault="00FF2DA1" w:rsidP="00674746">
      <w:pPr>
        <w:spacing w:line="276" w:lineRule="auto"/>
        <w:rPr>
          <w:rFonts w:asciiTheme="majorBidi" w:hAnsiTheme="majorBidi" w:cstheme="majorBidi"/>
          <w:b/>
          <w:bCs/>
        </w:rPr>
      </w:pPr>
    </w:p>
    <w:p w14:paraId="43C66DE5" w14:textId="164E31AD" w:rsidR="002C141A" w:rsidRPr="00FF2DA1" w:rsidRDefault="002C141A" w:rsidP="00674746">
      <w:pPr>
        <w:spacing w:line="276" w:lineRule="auto"/>
        <w:jc w:val="center"/>
        <w:rPr>
          <w:rFonts w:asciiTheme="majorBidi" w:hAnsiTheme="majorBidi" w:cstheme="majorBidi"/>
          <w:b/>
          <w:bCs/>
        </w:rPr>
      </w:pPr>
      <w:r w:rsidRPr="00FF2DA1">
        <w:rPr>
          <w:rFonts w:asciiTheme="majorBidi" w:hAnsiTheme="majorBidi" w:cstheme="majorBidi"/>
          <w:b/>
          <w:bCs/>
        </w:rPr>
        <w:t>Latvijas Republikas Senāt</w:t>
      </w:r>
      <w:r w:rsidR="00FF2DA1" w:rsidRPr="00FF2DA1">
        <w:rPr>
          <w:rFonts w:asciiTheme="majorBidi" w:hAnsiTheme="majorBidi" w:cstheme="majorBidi"/>
          <w:b/>
          <w:bCs/>
        </w:rPr>
        <w:t>a</w:t>
      </w:r>
    </w:p>
    <w:p w14:paraId="27A29723" w14:textId="6DD089A4" w:rsidR="00FF2DA1" w:rsidRPr="00FF2DA1" w:rsidRDefault="00FF2DA1" w:rsidP="00674746">
      <w:pPr>
        <w:spacing w:line="276" w:lineRule="auto"/>
        <w:jc w:val="center"/>
        <w:rPr>
          <w:rFonts w:asciiTheme="majorBidi" w:hAnsiTheme="majorBidi" w:cstheme="majorBidi"/>
          <w:b/>
          <w:bCs/>
        </w:rPr>
      </w:pPr>
      <w:r w:rsidRPr="00FF2DA1">
        <w:rPr>
          <w:rFonts w:asciiTheme="majorBidi" w:hAnsiTheme="majorBidi" w:cstheme="majorBidi"/>
          <w:b/>
          <w:bCs/>
        </w:rPr>
        <w:t>Krimināllietu departamenta</w:t>
      </w:r>
    </w:p>
    <w:p w14:paraId="02F9AC19" w14:textId="48182C03" w:rsidR="00FF2DA1" w:rsidRPr="00FF2DA1" w:rsidRDefault="00FF2DA1" w:rsidP="00FF2DA1">
      <w:pPr>
        <w:spacing w:line="276" w:lineRule="auto"/>
        <w:jc w:val="center"/>
        <w:rPr>
          <w:rFonts w:asciiTheme="majorBidi" w:hAnsiTheme="majorBidi" w:cstheme="majorBidi"/>
          <w:b/>
          <w:bCs/>
        </w:rPr>
      </w:pPr>
      <w:r w:rsidRPr="00FF2DA1">
        <w:rPr>
          <w:rFonts w:asciiTheme="majorBidi" w:hAnsiTheme="majorBidi" w:cstheme="majorBidi"/>
          <w:b/>
          <w:bCs/>
        </w:rPr>
        <w:t>2025. gada 24. mart</w:t>
      </w:r>
      <w:r w:rsidR="00DA43D4">
        <w:rPr>
          <w:rFonts w:asciiTheme="majorBidi" w:hAnsiTheme="majorBidi" w:cstheme="majorBidi"/>
          <w:b/>
          <w:bCs/>
        </w:rPr>
        <w:t>a</w:t>
      </w:r>
    </w:p>
    <w:p w14:paraId="2E72CE72" w14:textId="77777777" w:rsidR="002C141A" w:rsidRPr="00FF2DA1" w:rsidRDefault="002C141A" w:rsidP="00FF2DA1">
      <w:pPr>
        <w:spacing w:line="276" w:lineRule="auto"/>
        <w:jc w:val="center"/>
        <w:rPr>
          <w:rFonts w:asciiTheme="majorBidi" w:hAnsiTheme="majorBidi" w:cstheme="majorBidi"/>
          <w:b/>
          <w:bCs/>
        </w:rPr>
      </w:pPr>
      <w:r w:rsidRPr="00FF2DA1">
        <w:rPr>
          <w:rFonts w:asciiTheme="majorBidi" w:hAnsiTheme="majorBidi" w:cstheme="majorBidi"/>
          <w:b/>
          <w:bCs/>
        </w:rPr>
        <w:t>LĒMUMS</w:t>
      </w:r>
    </w:p>
    <w:p w14:paraId="2F028A06" w14:textId="77777777" w:rsidR="00FF2DA1" w:rsidRPr="00FF2DA1" w:rsidRDefault="00FF2DA1" w:rsidP="00FF2DA1">
      <w:pPr>
        <w:spacing w:line="276" w:lineRule="auto"/>
        <w:jc w:val="center"/>
        <w:rPr>
          <w:rFonts w:asciiTheme="majorBidi" w:hAnsiTheme="majorBidi" w:cstheme="majorBidi"/>
          <w:b/>
          <w:bCs/>
        </w:rPr>
      </w:pPr>
      <w:r w:rsidRPr="00FF2DA1">
        <w:rPr>
          <w:rFonts w:asciiTheme="majorBidi" w:hAnsiTheme="majorBidi" w:cstheme="majorBidi"/>
          <w:b/>
          <w:bCs/>
        </w:rPr>
        <w:t>Lieta Nr. 11181027022, SKK</w:t>
      </w:r>
      <w:r w:rsidRPr="00FF2DA1">
        <w:rPr>
          <w:rFonts w:asciiTheme="majorBidi" w:hAnsiTheme="majorBidi" w:cstheme="majorBidi"/>
          <w:b/>
          <w:bCs/>
        </w:rPr>
        <w:noBreakHyphen/>
        <w:t>13/2025</w:t>
      </w:r>
    </w:p>
    <w:p w14:paraId="52DDDDF5" w14:textId="6F452A62" w:rsidR="002C141A" w:rsidRDefault="00827A45" w:rsidP="00FF2DA1">
      <w:pPr>
        <w:spacing w:line="276" w:lineRule="auto"/>
        <w:jc w:val="center"/>
        <w:rPr>
          <w:rFonts w:asciiTheme="majorBidi" w:hAnsiTheme="majorBidi" w:cstheme="majorBidi"/>
        </w:rPr>
      </w:pPr>
      <w:hyperlink r:id="rId7" w:history="1">
        <w:r w:rsidR="00FF2DA1" w:rsidRPr="00827A45">
          <w:rPr>
            <w:rStyle w:val="Hyperlink"/>
            <w:rFonts w:asciiTheme="majorBidi" w:hAnsiTheme="majorBidi" w:cstheme="majorBidi"/>
          </w:rPr>
          <w:t>ECLI:LV:AT:2025:0324.11181027022.6.L</w:t>
        </w:r>
      </w:hyperlink>
    </w:p>
    <w:p w14:paraId="00423F46" w14:textId="77777777" w:rsidR="00FF2DA1" w:rsidRDefault="00FF2DA1" w:rsidP="00FF2DA1">
      <w:pPr>
        <w:spacing w:line="276" w:lineRule="auto"/>
        <w:jc w:val="center"/>
        <w:rPr>
          <w:rFonts w:asciiTheme="majorBidi" w:hAnsiTheme="majorBidi" w:cstheme="majorBidi"/>
        </w:rPr>
      </w:pPr>
    </w:p>
    <w:p w14:paraId="2498DBF1" w14:textId="388BA61A" w:rsidR="002C141A" w:rsidRDefault="002C141A" w:rsidP="00FF2DA1">
      <w:pPr>
        <w:spacing w:line="276" w:lineRule="auto"/>
        <w:ind w:firstLine="720"/>
        <w:jc w:val="both"/>
        <w:rPr>
          <w:rFonts w:asciiTheme="majorBidi" w:hAnsiTheme="majorBidi" w:cstheme="majorBidi"/>
        </w:rPr>
      </w:pPr>
      <w:r>
        <w:rPr>
          <w:rFonts w:asciiTheme="majorBidi" w:hAnsiTheme="majorBidi" w:cstheme="majorBidi"/>
        </w:rPr>
        <w:t>Senāts šādā sastāvā: senator</w:t>
      </w:r>
      <w:r w:rsidR="00040017">
        <w:rPr>
          <w:rFonts w:asciiTheme="majorBidi" w:hAnsiTheme="majorBidi" w:cstheme="majorBidi"/>
        </w:rPr>
        <w:t>e</w:t>
      </w:r>
      <w:r>
        <w:rPr>
          <w:rFonts w:asciiTheme="majorBidi" w:hAnsiTheme="majorBidi" w:cstheme="majorBidi"/>
        </w:rPr>
        <w:t xml:space="preserve"> referent</w:t>
      </w:r>
      <w:r w:rsidR="00040017">
        <w:rPr>
          <w:rFonts w:asciiTheme="majorBidi" w:hAnsiTheme="majorBidi" w:cstheme="majorBidi"/>
        </w:rPr>
        <w:t>e</w:t>
      </w:r>
      <w:r>
        <w:rPr>
          <w:rFonts w:asciiTheme="majorBidi" w:hAnsiTheme="majorBidi" w:cstheme="majorBidi"/>
        </w:rPr>
        <w:t xml:space="preserve"> </w:t>
      </w:r>
      <w:r w:rsidR="00040017">
        <w:rPr>
          <w:rFonts w:asciiTheme="majorBidi" w:hAnsiTheme="majorBidi" w:cstheme="majorBidi"/>
        </w:rPr>
        <w:t>Anita Poļakova</w:t>
      </w:r>
      <w:r>
        <w:rPr>
          <w:rFonts w:asciiTheme="majorBidi" w:hAnsiTheme="majorBidi" w:cstheme="majorBidi"/>
        </w:rPr>
        <w:t xml:space="preserve">, senatores </w:t>
      </w:r>
      <w:r w:rsidR="00040017">
        <w:rPr>
          <w:rFonts w:asciiTheme="majorBidi" w:hAnsiTheme="majorBidi" w:cstheme="majorBidi"/>
        </w:rPr>
        <w:t>Sandra Kaija</w:t>
      </w:r>
      <w:r>
        <w:rPr>
          <w:rFonts w:asciiTheme="majorBidi" w:hAnsiTheme="majorBidi" w:cstheme="majorBidi"/>
        </w:rPr>
        <w:t xml:space="preserve"> un Inguna Radzeviča</w:t>
      </w:r>
    </w:p>
    <w:p w14:paraId="173A8186" w14:textId="77777777" w:rsidR="002C141A" w:rsidRDefault="002C141A" w:rsidP="002C141A">
      <w:pPr>
        <w:spacing w:line="276" w:lineRule="auto"/>
        <w:ind w:firstLine="720"/>
        <w:jc w:val="both"/>
        <w:rPr>
          <w:rFonts w:asciiTheme="majorBidi" w:hAnsiTheme="majorBidi" w:cstheme="majorBidi"/>
        </w:rPr>
      </w:pPr>
    </w:p>
    <w:p w14:paraId="3A87A468" w14:textId="171D74F4" w:rsidR="002C141A" w:rsidRDefault="002C141A" w:rsidP="002C141A">
      <w:pPr>
        <w:spacing w:line="276" w:lineRule="auto"/>
        <w:ind w:firstLine="720"/>
        <w:jc w:val="both"/>
        <w:rPr>
          <w:rFonts w:asciiTheme="majorBidi" w:hAnsiTheme="majorBidi" w:cstheme="majorBidi"/>
          <w:b/>
          <w:bCs/>
        </w:rPr>
      </w:pPr>
      <w:r>
        <w:rPr>
          <w:rFonts w:asciiTheme="majorBidi" w:hAnsiTheme="majorBidi" w:cstheme="majorBidi"/>
        </w:rPr>
        <w:t xml:space="preserve">rakstveida procesā izskatīja krimināllietu sakarā ar </w:t>
      </w:r>
      <w:r w:rsidR="00040017">
        <w:rPr>
          <w:rFonts w:asciiTheme="majorBidi" w:hAnsiTheme="majorBidi" w:cstheme="majorBidi"/>
        </w:rPr>
        <w:t xml:space="preserve">Latgales tiesas apgabala prokuratūras prokurora Igora </w:t>
      </w:r>
      <w:proofErr w:type="spellStart"/>
      <w:r w:rsidR="00040017">
        <w:rPr>
          <w:rFonts w:asciiTheme="majorBidi" w:hAnsiTheme="majorBidi" w:cstheme="majorBidi"/>
        </w:rPr>
        <w:t>Kravceviča</w:t>
      </w:r>
      <w:proofErr w:type="spellEnd"/>
      <w:r w:rsidR="00040017">
        <w:rPr>
          <w:rFonts w:asciiTheme="majorBidi" w:hAnsiTheme="majorBidi" w:cstheme="majorBidi"/>
        </w:rPr>
        <w:t xml:space="preserve"> kasācijas protestu un </w:t>
      </w:r>
      <w:r>
        <w:rPr>
          <w:rFonts w:asciiTheme="majorBidi" w:hAnsiTheme="majorBidi" w:cstheme="majorBidi"/>
        </w:rPr>
        <w:t xml:space="preserve">apsūdzētā </w:t>
      </w:r>
      <w:r w:rsidR="00FF2DA1">
        <w:rPr>
          <w:rFonts w:asciiTheme="majorBidi" w:hAnsiTheme="majorBidi" w:cstheme="majorBidi"/>
        </w:rPr>
        <w:t>[pers. A]</w:t>
      </w:r>
      <w:r w:rsidR="00040017">
        <w:rPr>
          <w:rFonts w:asciiTheme="majorBidi" w:hAnsiTheme="majorBidi" w:cstheme="majorBidi"/>
        </w:rPr>
        <w:t xml:space="preserve"> </w:t>
      </w:r>
      <w:r>
        <w:rPr>
          <w:rFonts w:asciiTheme="majorBidi" w:hAnsiTheme="majorBidi" w:cstheme="majorBidi"/>
        </w:rPr>
        <w:t>kasācijas sūdzību par Latgales apgabaltiesas 202</w:t>
      </w:r>
      <w:r w:rsidR="00040017">
        <w:rPr>
          <w:rFonts w:asciiTheme="majorBidi" w:hAnsiTheme="majorBidi" w:cstheme="majorBidi"/>
        </w:rPr>
        <w:t>3</w:t>
      </w:r>
      <w:r>
        <w:rPr>
          <w:rFonts w:asciiTheme="majorBidi" w:hAnsiTheme="majorBidi" w:cstheme="majorBidi"/>
        </w:rPr>
        <w:t>. gada 2</w:t>
      </w:r>
      <w:r w:rsidR="00040017">
        <w:rPr>
          <w:rFonts w:asciiTheme="majorBidi" w:hAnsiTheme="majorBidi" w:cstheme="majorBidi"/>
        </w:rPr>
        <w:t>8</w:t>
      </w:r>
      <w:r>
        <w:rPr>
          <w:rFonts w:asciiTheme="majorBidi" w:hAnsiTheme="majorBidi" w:cstheme="majorBidi"/>
        </w:rPr>
        <w:t>. </w:t>
      </w:r>
      <w:r w:rsidR="00040017">
        <w:rPr>
          <w:rFonts w:asciiTheme="majorBidi" w:hAnsiTheme="majorBidi" w:cstheme="majorBidi"/>
        </w:rPr>
        <w:t>novembra</w:t>
      </w:r>
      <w:r>
        <w:rPr>
          <w:rFonts w:asciiTheme="majorBidi" w:hAnsiTheme="majorBidi" w:cstheme="majorBidi"/>
        </w:rPr>
        <w:t xml:space="preserve"> spriedumu.</w:t>
      </w:r>
    </w:p>
    <w:p w14:paraId="00BB0280" w14:textId="77777777" w:rsidR="002C141A" w:rsidRDefault="002C141A" w:rsidP="002C141A">
      <w:pPr>
        <w:spacing w:line="276" w:lineRule="auto"/>
        <w:ind w:firstLine="720"/>
        <w:jc w:val="both"/>
        <w:rPr>
          <w:rFonts w:asciiTheme="majorBidi" w:hAnsiTheme="majorBidi" w:cstheme="majorBidi"/>
        </w:rPr>
      </w:pPr>
    </w:p>
    <w:p w14:paraId="215B9E60" w14:textId="77777777" w:rsidR="002C141A" w:rsidRDefault="002C141A" w:rsidP="002C141A">
      <w:pPr>
        <w:spacing w:line="276" w:lineRule="auto"/>
        <w:jc w:val="center"/>
        <w:rPr>
          <w:rFonts w:asciiTheme="majorBidi" w:hAnsiTheme="majorBidi" w:cstheme="majorBidi"/>
          <w:b/>
          <w:bCs/>
        </w:rPr>
      </w:pPr>
      <w:r>
        <w:rPr>
          <w:rFonts w:asciiTheme="majorBidi" w:hAnsiTheme="majorBidi" w:cstheme="majorBidi"/>
          <w:b/>
          <w:bCs/>
        </w:rPr>
        <w:t>Aprakstošā daļa</w:t>
      </w:r>
    </w:p>
    <w:p w14:paraId="52D7935B" w14:textId="77777777" w:rsidR="002C141A" w:rsidRDefault="002C141A" w:rsidP="002C141A">
      <w:pPr>
        <w:spacing w:line="276" w:lineRule="auto"/>
        <w:jc w:val="center"/>
        <w:rPr>
          <w:rFonts w:asciiTheme="majorBidi" w:hAnsiTheme="majorBidi" w:cstheme="majorBidi"/>
          <w:b/>
          <w:bCs/>
        </w:rPr>
      </w:pPr>
    </w:p>
    <w:p w14:paraId="333CDE2B" w14:textId="10878939" w:rsidR="002C141A" w:rsidRDefault="002C141A" w:rsidP="002C141A">
      <w:pPr>
        <w:spacing w:line="276" w:lineRule="auto"/>
        <w:ind w:right="3" w:firstLine="720"/>
        <w:jc w:val="both"/>
        <w:rPr>
          <w:rFonts w:asciiTheme="majorBidi" w:hAnsiTheme="majorBidi" w:cstheme="majorBidi"/>
          <w:lang w:eastAsia="lv-LV"/>
        </w:rPr>
      </w:pPr>
      <w:r>
        <w:rPr>
          <w:rFonts w:asciiTheme="majorBidi" w:hAnsiTheme="majorBidi" w:cstheme="majorBidi"/>
          <w:lang w:eastAsia="lv-LV"/>
        </w:rPr>
        <w:t>[1]</w:t>
      </w:r>
      <w:r w:rsidR="00E05E28">
        <w:rPr>
          <w:rFonts w:asciiTheme="majorBidi" w:hAnsiTheme="majorBidi" w:cstheme="majorBidi"/>
          <w:lang w:eastAsia="lv-LV"/>
        </w:rPr>
        <w:t xml:space="preserve"> </w:t>
      </w:r>
      <w:r>
        <w:rPr>
          <w:rFonts w:asciiTheme="majorBidi" w:hAnsiTheme="majorBidi" w:cstheme="majorBidi"/>
          <w:lang w:eastAsia="lv-LV"/>
        </w:rPr>
        <w:t>Ar Daugavpils tiesas 202</w:t>
      </w:r>
      <w:r w:rsidR="00040017">
        <w:rPr>
          <w:rFonts w:asciiTheme="majorBidi" w:hAnsiTheme="majorBidi" w:cstheme="majorBidi"/>
          <w:lang w:eastAsia="lv-LV"/>
        </w:rPr>
        <w:t>3</w:t>
      </w:r>
      <w:r>
        <w:rPr>
          <w:rFonts w:asciiTheme="majorBidi" w:hAnsiTheme="majorBidi" w:cstheme="majorBidi"/>
          <w:lang w:eastAsia="lv-LV"/>
        </w:rPr>
        <w:t xml:space="preserve">. gada </w:t>
      </w:r>
      <w:r w:rsidR="00040017">
        <w:rPr>
          <w:rFonts w:asciiTheme="majorBidi" w:hAnsiTheme="majorBidi" w:cstheme="majorBidi"/>
          <w:lang w:eastAsia="lv-LV"/>
        </w:rPr>
        <w:t>28</w:t>
      </w:r>
      <w:r>
        <w:rPr>
          <w:rFonts w:asciiTheme="majorBidi" w:hAnsiTheme="majorBidi" w:cstheme="majorBidi"/>
          <w:lang w:eastAsia="lv-LV"/>
        </w:rPr>
        <w:t>. </w:t>
      </w:r>
      <w:r w:rsidR="00040017">
        <w:rPr>
          <w:rFonts w:asciiTheme="majorBidi" w:hAnsiTheme="majorBidi" w:cstheme="majorBidi"/>
          <w:lang w:eastAsia="lv-LV"/>
        </w:rPr>
        <w:t>februāra</w:t>
      </w:r>
      <w:r>
        <w:rPr>
          <w:rFonts w:asciiTheme="majorBidi" w:hAnsiTheme="majorBidi" w:cstheme="majorBidi"/>
          <w:lang w:eastAsia="lv-LV"/>
        </w:rPr>
        <w:t xml:space="preserve"> spriedumu</w:t>
      </w:r>
    </w:p>
    <w:p w14:paraId="4123DA28" w14:textId="16EB20A6" w:rsidR="002C141A" w:rsidRDefault="00040017" w:rsidP="002C141A">
      <w:pPr>
        <w:spacing w:line="276" w:lineRule="auto"/>
        <w:ind w:right="3" w:firstLine="720"/>
        <w:jc w:val="both"/>
        <w:rPr>
          <w:rFonts w:asciiTheme="majorBidi" w:hAnsiTheme="majorBidi" w:cstheme="majorBidi"/>
          <w:lang w:eastAsia="lv-LV"/>
        </w:rPr>
      </w:pPr>
      <w:r>
        <w:rPr>
          <w:rFonts w:asciiTheme="majorBidi" w:hAnsiTheme="majorBidi" w:cstheme="majorBidi"/>
        </w:rPr>
        <w:t xml:space="preserve">[1.1] </w:t>
      </w:r>
      <w:r w:rsidR="00FF2DA1">
        <w:rPr>
          <w:rFonts w:asciiTheme="majorBidi" w:hAnsiTheme="majorBidi" w:cstheme="majorBidi"/>
        </w:rPr>
        <w:t>[pers. A]</w:t>
      </w:r>
      <w:r w:rsidR="002C141A">
        <w:rPr>
          <w:rFonts w:asciiTheme="majorBidi" w:hAnsiTheme="majorBidi" w:cstheme="majorBidi"/>
        </w:rPr>
        <w:t xml:space="preserve">, </w:t>
      </w:r>
      <w:r w:rsidR="002C141A">
        <w:rPr>
          <w:rFonts w:asciiTheme="majorBidi" w:hAnsiTheme="majorBidi" w:cstheme="majorBidi"/>
          <w:lang w:eastAsia="lv-LV"/>
        </w:rPr>
        <w:t xml:space="preserve">personas kods </w:t>
      </w:r>
      <w:r w:rsidR="00FF2DA1">
        <w:rPr>
          <w:rFonts w:asciiTheme="majorBidi" w:hAnsiTheme="majorBidi" w:cstheme="majorBidi"/>
          <w:lang w:eastAsia="lv-LV"/>
        </w:rPr>
        <w:t>[..]</w:t>
      </w:r>
      <w:r w:rsidR="002C141A">
        <w:rPr>
          <w:rFonts w:asciiTheme="majorBidi" w:hAnsiTheme="majorBidi" w:cstheme="majorBidi"/>
          <w:lang w:eastAsia="lv-LV"/>
        </w:rPr>
        <w:t>,</w:t>
      </w:r>
    </w:p>
    <w:p w14:paraId="177515C3" w14:textId="0278AEB3" w:rsidR="002C141A" w:rsidRDefault="002C141A" w:rsidP="002C141A">
      <w:pPr>
        <w:spacing w:line="276" w:lineRule="auto"/>
        <w:ind w:firstLine="720"/>
        <w:jc w:val="both"/>
        <w:rPr>
          <w:rFonts w:asciiTheme="majorBidi" w:hAnsiTheme="majorBidi" w:cstheme="majorBidi"/>
          <w:color w:val="000000" w:themeColor="text1"/>
        </w:rPr>
      </w:pPr>
      <w:r>
        <w:rPr>
          <w:rFonts w:asciiTheme="majorBidi" w:hAnsiTheme="majorBidi" w:cstheme="majorBidi"/>
          <w:color w:val="000000" w:themeColor="text1"/>
        </w:rPr>
        <w:t>atzīts par vainīgu Krimināllikuma 1</w:t>
      </w:r>
      <w:r w:rsidR="00040017">
        <w:rPr>
          <w:rFonts w:asciiTheme="majorBidi" w:hAnsiTheme="majorBidi" w:cstheme="majorBidi"/>
          <w:color w:val="000000" w:themeColor="text1"/>
        </w:rPr>
        <w:t>16</w:t>
      </w:r>
      <w:r>
        <w:rPr>
          <w:rFonts w:asciiTheme="majorBidi" w:hAnsiTheme="majorBidi" w:cstheme="majorBidi"/>
          <w:color w:val="000000" w:themeColor="text1"/>
        </w:rPr>
        <w:t>. pant</w:t>
      </w:r>
      <w:r w:rsidR="00040017">
        <w:rPr>
          <w:rFonts w:asciiTheme="majorBidi" w:hAnsiTheme="majorBidi" w:cstheme="majorBidi"/>
          <w:color w:val="000000" w:themeColor="text1"/>
        </w:rPr>
        <w:t>ā</w:t>
      </w:r>
      <w:r>
        <w:rPr>
          <w:rFonts w:asciiTheme="majorBidi" w:hAnsiTheme="majorBidi" w:cstheme="majorBidi"/>
          <w:color w:val="000000" w:themeColor="text1"/>
        </w:rPr>
        <w:t xml:space="preserve"> paredzētajā noziedzīgajā nodarījumā un sodīts ar brīvības atņemšanu uz </w:t>
      </w:r>
      <w:r w:rsidR="00040017">
        <w:rPr>
          <w:rFonts w:asciiTheme="majorBidi" w:hAnsiTheme="majorBidi" w:cstheme="majorBidi"/>
          <w:color w:val="000000" w:themeColor="text1"/>
        </w:rPr>
        <w:t>12 gadiem un probācijas uzraudzību uz 2 gadiem.</w:t>
      </w:r>
      <w:r>
        <w:rPr>
          <w:rFonts w:asciiTheme="majorBidi" w:hAnsiTheme="majorBidi" w:cstheme="majorBidi"/>
          <w:color w:val="000000" w:themeColor="text1"/>
        </w:rPr>
        <w:t xml:space="preserve"> </w:t>
      </w:r>
    </w:p>
    <w:p w14:paraId="687DBE6C" w14:textId="4D524AB7" w:rsidR="002D3E06" w:rsidRDefault="00040017" w:rsidP="002D3E06">
      <w:pPr>
        <w:pStyle w:val="NormalWeb"/>
        <w:shd w:val="clear" w:color="auto" w:fill="FFFFFF"/>
        <w:spacing w:before="0" w:beforeAutospacing="0" w:after="0" w:afterAutospacing="0" w:line="276" w:lineRule="auto"/>
        <w:ind w:firstLine="720"/>
        <w:jc w:val="both"/>
      </w:pPr>
      <w:bookmarkStart w:id="0" w:name="_Hlk146098789"/>
      <w:r>
        <w:rPr>
          <w:rFonts w:asciiTheme="majorBidi" w:hAnsiTheme="majorBidi" w:cstheme="majorBidi"/>
        </w:rPr>
        <w:t xml:space="preserve">[1.2] </w:t>
      </w:r>
      <w:r w:rsidR="002D3E06" w:rsidRPr="001E4376">
        <w:t xml:space="preserve">Lietā vēl atzīts par vainīgu un sodīts </w:t>
      </w:r>
      <w:r w:rsidR="00370823">
        <w:rPr>
          <w:color w:val="000000" w:themeColor="text1"/>
        </w:rPr>
        <w:t xml:space="preserve">pēc Krimināllikuma 313. panta otrās daļas </w:t>
      </w:r>
      <w:r w:rsidR="00FF2DA1">
        <w:t>[pers. B]</w:t>
      </w:r>
      <w:r w:rsidR="002D3E06" w:rsidRPr="001E4376">
        <w:t>,</w:t>
      </w:r>
      <w:r w:rsidR="002D3E06" w:rsidRPr="001E4376">
        <w:rPr>
          <w:color w:val="000000" w:themeColor="text1"/>
        </w:rPr>
        <w:t xml:space="preserve"> personas kods </w:t>
      </w:r>
      <w:r w:rsidR="00FF2DA1">
        <w:t>[..]</w:t>
      </w:r>
      <w:r w:rsidR="00370823">
        <w:rPr>
          <w:color w:val="000000" w:themeColor="text1"/>
        </w:rPr>
        <w:t>.</w:t>
      </w:r>
      <w:r w:rsidR="002D3E06" w:rsidRPr="001E4376">
        <w:rPr>
          <w:color w:val="000000" w:themeColor="text1"/>
        </w:rPr>
        <w:t xml:space="preserve"> </w:t>
      </w:r>
    </w:p>
    <w:p w14:paraId="1875A775" w14:textId="4FCBCD10" w:rsidR="007E12E7" w:rsidRPr="009769B6" w:rsidRDefault="007E12E7" w:rsidP="00FF2DA1">
      <w:pPr>
        <w:pStyle w:val="NormalWeb"/>
        <w:shd w:val="clear" w:color="auto" w:fill="FFFFFF"/>
        <w:spacing w:before="0" w:beforeAutospacing="0" w:after="0" w:afterAutospacing="0" w:line="276" w:lineRule="auto"/>
        <w:ind w:firstLine="720"/>
        <w:jc w:val="both"/>
      </w:pPr>
      <w:r>
        <w:t xml:space="preserve">[1.3] No apsūdzētā </w:t>
      </w:r>
      <w:r w:rsidR="00FF2DA1">
        <w:rPr>
          <w:rFonts w:asciiTheme="majorBidi" w:hAnsiTheme="majorBidi" w:cstheme="majorBidi"/>
        </w:rPr>
        <w:t>[pers. A]</w:t>
      </w:r>
      <w:r>
        <w:t xml:space="preserve"> cietuš</w:t>
      </w:r>
      <w:r w:rsidR="009202F2">
        <w:t>o</w:t>
      </w:r>
      <w:r>
        <w:t xml:space="preserve"> </w:t>
      </w:r>
      <w:r w:rsidR="00FF2DA1">
        <w:t>[pers. C]</w:t>
      </w:r>
      <w:r w:rsidR="009202F2">
        <w:rPr>
          <w:rFonts w:asciiTheme="majorBidi" w:hAnsiTheme="majorBidi" w:cstheme="majorBidi"/>
          <w:color w:val="000000" w:themeColor="text1"/>
        </w:rPr>
        <w:t>,</w:t>
      </w:r>
      <w:r w:rsidR="009202F2" w:rsidRPr="009202F2">
        <w:rPr>
          <w:rFonts w:asciiTheme="majorBidi" w:hAnsiTheme="majorBidi" w:cstheme="majorBidi"/>
          <w:color w:val="000000" w:themeColor="text1"/>
        </w:rPr>
        <w:t xml:space="preserve"> </w:t>
      </w:r>
      <w:r w:rsidR="00FF2DA1">
        <w:rPr>
          <w:rFonts w:asciiTheme="majorBidi" w:hAnsiTheme="majorBidi" w:cstheme="majorBidi"/>
          <w:color w:val="000000" w:themeColor="text1"/>
        </w:rPr>
        <w:t>[pers. D]</w:t>
      </w:r>
      <w:r w:rsidR="009202F2">
        <w:rPr>
          <w:rFonts w:asciiTheme="majorBidi" w:hAnsiTheme="majorBidi" w:cstheme="majorBidi"/>
          <w:color w:val="000000" w:themeColor="text1"/>
        </w:rPr>
        <w:t xml:space="preserve"> un</w:t>
      </w:r>
      <w:r w:rsidR="009202F2" w:rsidRPr="009202F2">
        <w:rPr>
          <w:rFonts w:asciiTheme="majorBidi" w:hAnsiTheme="majorBidi" w:cstheme="majorBidi"/>
          <w:color w:val="000000" w:themeColor="text1"/>
        </w:rPr>
        <w:t xml:space="preserve"> </w:t>
      </w:r>
      <w:r w:rsidR="00FF2DA1">
        <w:rPr>
          <w:rFonts w:asciiTheme="majorBidi" w:hAnsiTheme="majorBidi" w:cstheme="majorBidi"/>
          <w:color w:val="000000" w:themeColor="text1"/>
        </w:rPr>
        <w:t>[pers. E]</w:t>
      </w:r>
      <w:r>
        <w:rPr>
          <w:rFonts w:asciiTheme="majorBidi" w:hAnsiTheme="majorBidi" w:cstheme="majorBidi"/>
          <w:color w:val="000000" w:themeColor="text1"/>
        </w:rPr>
        <w:t xml:space="preserve"> labā piedzīta</w:t>
      </w:r>
      <w:r w:rsidR="00B13771">
        <w:rPr>
          <w:rFonts w:asciiTheme="majorBidi" w:hAnsiTheme="majorBidi" w:cstheme="majorBidi"/>
          <w:color w:val="000000" w:themeColor="text1"/>
        </w:rPr>
        <w:t>s</w:t>
      </w:r>
      <w:r>
        <w:rPr>
          <w:rFonts w:asciiTheme="majorBidi" w:hAnsiTheme="majorBidi" w:cstheme="majorBidi"/>
          <w:color w:val="000000" w:themeColor="text1"/>
        </w:rPr>
        <w:t xml:space="preserve"> morālā kaitējuma kompensācija</w:t>
      </w:r>
      <w:r w:rsidR="00B13771">
        <w:rPr>
          <w:rFonts w:asciiTheme="majorBidi" w:hAnsiTheme="majorBidi" w:cstheme="majorBidi"/>
          <w:color w:val="000000" w:themeColor="text1"/>
        </w:rPr>
        <w:t>s</w:t>
      </w:r>
      <w:r>
        <w:rPr>
          <w:rFonts w:asciiTheme="majorBidi" w:hAnsiTheme="majorBidi" w:cstheme="majorBidi"/>
          <w:color w:val="000000" w:themeColor="text1"/>
        </w:rPr>
        <w:t xml:space="preserve"> 19 375 </w:t>
      </w:r>
      <w:r w:rsidRPr="007E12E7">
        <w:rPr>
          <w:rFonts w:asciiTheme="majorBidi" w:hAnsiTheme="majorBidi" w:cstheme="majorBidi"/>
          <w:i/>
          <w:iCs/>
          <w:color w:val="000000" w:themeColor="text1"/>
        </w:rPr>
        <w:t>euro</w:t>
      </w:r>
      <w:r w:rsidR="009202F2">
        <w:rPr>
          <w:rFonts w:asciiTheme="majorBidi" w:hAnsiTheme="majorBidi" w:cstheme="majorBidi"/>
          <w:color w:val="000000" w:themeColor="text1"/>
        </w:rPr>
        <w:t xml:space="preserve"> katram.</w:t>
      </w:r>
    </w:p>
    <w:p w14:paraId="748A6B31" w14:textId="34D7DA8C" w:rsidR="002C141A" w:rsidRPr="00E05E28" w:rsidRDefault="00E05E28" w:rsidP="00E05E28">
      <w:pPr>
        <w:spacing w:line="276" w:lineRule="auto"/>
        <w:ind w:firstLine="720"/>
        <w:jc w:val="both"/>
        <w:rPr>
          <w:rFonts w:asciiTheme="majorBidi" w:hAnsiTheme="majorBidi" w:cstheme="majorBidi"/>
        </w:rPr>
      </w:pPr>
      <w:r>
        <w:rPr>
          <w:rFonts w:asciiTheme="majorBidi" w:hAnsiTheme="majorBidi" w:cstheme="majorBidi"/>
        </w:rPr>
        <w:t>[1.</w:t>
      </w:r>
      <w:r w:rsidR="007E12E7">
        <w:rPr>
          <w:rFonts w:asciiTheme="majorBidi" w:hAnsiTheme="majorBidi" w:cstheme="majorBidi"/>
        </w:rPr>
        <w:t>4</w:t>
      </w:r>
      <w:r>
        <w:rPr>
          <w:rFonts w:asciiTheme="majorBidi" w:hAnsiTheme="majorBidi" w:cstheme="majorBidi"/>
        </w:rPr>
        <w:t xml:space="preserve">] </w:t>
      </w:r>
      <w:r w:rsidR="009202F2">
        <w:rPr>
          <w:rFonts w:asciiTheme="majorBidi" w:hAnsiTheme="majorBidi" w:cstheme="majorBidi"/>
        </w:rPr>
        <w:t>Saskaņā ar</w:t>
      </w:r>
      <w:r>
        <w:rPr>
          <w:rFonts w:asciiTheme="majorBidi" w:hAnsiTheme="majorBidi" w:cstheme="majorBidi"/>
        </w:rPr>
        <w:t xml:space="preserve"> Krimināllikuma 70.</w:t>
      </w:r>
      <w:r>
        <w:rPr>
          <w:rFonts w:asciiTheme="majorBidi" w:hAnsiTheme="majorBidi" w:cstheme="majorBidi"/>
          <w:vertAlign w:val="superscript"/>
        </w:rPr>
        <w:t>12</w:t>
      </w:r>
      <w:r w:rsidR="004B0C9A">
        <w:rPr>
          <w:rFonts w:asciiTheme="majorBidi" w:hAnsiTheme="majorBidi" w:cstheme="majorBidi"/>
          <w:vertAlign w:val="superscript"/>
        </w:rPr>
        <w:t> </w:t>
      </w:r>
      <w:r>
        <w:rPr>
          <w:rFonts w:asciiTheme="majorBidi" w:hAnsiTheme="majorBidi" w:cstheme="majorBidi"/>
        </w:rPr>
        <w:t>pantu automašīnu „Peugeot</w:t>
      </w:r>
      <w:r w:rsidR="00B13771">
        <w:rPr>
          <w:rFonts w:asciiTheme="majorBidi" w:hAnsiTheme="majorBidi" w:cstheme="majorBidi"/>
        </w:rPr>
        <w:t> </w:t>
      </w:r>
      <w:r>
        <w:rPr>
          <w:rFonts w:asciiTheme="majorBidi" w:hAnsiTheme="majorBidi" w:cstheme="majorBidi"/>
        </w:rPr>
        <w:t xml:space="preserve">307”, valsts reģistrācijas numurs </w:t>
      </w:r>
      <w:r w:rsidR="00FF2DA1">
        <w:rPr>
          <w:rFonts w:asciiTheme="majorBidi" w:hAnsiTheme="majorBidi" w:cstheme="majorBidi"/>
        </w:rPr>
        <w:t>[..]</w:t>
      </w:r>
      <w:r w:rsidR="00A20511">
        <w:rPr>
          <w:rFonts w:asciiTheme="majorBidi" w:hAnsiTheme="majorBidi" w:cstheme="majorBidi"/>
        </w:rPr>
        <w:t xml:space="preserve">, (turpmāk </w:t>
      </w:r>
      <w:r w:rsidR="00A20511">
        <w:t>automašīna „Peugeot</w:t>
      </w:r>
      <w:r w:rsidR="00B13771">
        <w:t> </w:t>
      </w:r>
      <w:r w:rsidR="00A20511">
        <w:t>307”</w:t>
      </w:r>
      <w:r w:rsidR="00A20511">
        <w:rPr>
          <w:rFonts w:asciiTheme="majorBidi" w:hAnsiTheme="majorBidi" w:cstheme="majorBidi"/>
        </w:rPr>
        <w:t>)</w:t>
      </w:r>
      <w:r>
        <w:rPr>
          <w:rFonts w:asciiTheme="majorBidi" w:hAnsiTheme="majorBidi" w:cstheme="majorBidi"/>
        </w:rPr>
        <w:t xml:space="preserve"> nolemts konfiscēt un pēc sprieduma stāšanās spēkā nodot Valsts ieņēmumu dienestam. </w:t>
      </w:r>
    </w:p>
    <w:p w14:paraId="52F9D540" w14:textId="77777777" w:rsidR="00E05E28" w:rsidRDefault="00E05E28" w:rsidP="002D3E06">
      <w:pPr>
        <w:spacing w:line="276" w:lineRule="auto"/>
        <w:ind w:firstLine="720"/>
        <w:jc w:val="both"/>
        <w:rPr>
          <w:rFonts w:asciiTheme="majorBidi" w:hAnsiTheme="majorBidi" w:cstheme="majorBidi"/>
        </w:rPr>
      </w:pPr>
    </w:p>
    <w:p w14:paraId="7D3F27A4" w14:textId="34EF513F" w:rsidR="002C141A" w:rsidRDefault="002C141A" w:rsidP="002D3E06">
      <w:pPr>
        <w:spacing w:line="276" w:lineRule="auto"/>
        <w:ind w:firstLine="720"/>
        <w:jc w:val="both"/>
        <w:rPr>
          <w:rFonts w:asciiTheme="majorBidi" w:hAnsiTheme="majorBidi" w:cstheme="majorBidi"/>
        </w:rPr>
      </w:pPr>
      <w:r>
        <w:rPr>
          <w:rFonts w:asciiTheme="majorBidi" w:hAnsiTheme="majorBidi" w:cstheme="majorBidi"/>
        </w:rPr>
        <w:t xml:space="preserve">[2] Ar pirmās instances tiesas spriedumu </w:t>
      </w:r>
      <w:r w:rsidR="00FF2DA1">
        <w:rPr>
          <w:rFonts w:asciiTheme="majorBidi" w:hAnsiTheme="majorBidi" w:cstheme="majorBidi"/>
        </w:rPr>
        <w:t>[pers. A]</w:t>
      </w:r>
      <w:r>
        <w:rPr>
          <w:rFonts w:asciiTheme="majorBidi" w:hAnsiTheme="majorBidi" w:cstheme="majorBidi"/>
        </w:rPr>
        <w:t xml:space="preserve"> atzīts par vainīgu un sodīts </w:t>
      </w:r>
      <w:r w:rsidR="005E00E4" w:rsidRPr="00810F82">
        <w:t>pēc Krimināllikuma 1</w:t>
      </w:r>
      <w:r w:rsidR="005E00E4">
        <w:t>16</w:t>
      </w:r>
      <w:r w:rsidR="005E00E4" w:rsidRPr="00810F82">
        <w:t>.</w:t>
      </w:r>
      <w:r w:rsidR="005E00E4">
        <w:t> </w:t>
      </w:r>
      <w:r w:rsidR="005E00E4" w:rsidRPr="00810F82">
        <w:t>panta par</w:t>
      </w:r>
      <w:r>
        <w:rPr>
          <w:rFonts w:asciiTheme="majorBidi" w:hAnsiTheme="majorBidi" w:cstheme="majorBidi"/>
        </w:rPr>
        <w:t xml:space="preserve"> </w:t>
      </w:r>
      <w:r w:rsidR="002D3E06">
        <w:rPr>
          <w:rFonts w:asciiTheme="majorBidi" w:hAnsiTheme="majorBidi" w:cstheme="majorBidi"/>
        </w:rPr>
        <w:t>citas personas tīšu prettiesisku nonāvēšanu (slepkavību)</w:t>
      </w:r>
      <w:r>
        <w:rPr>
          <w:rFonts w:asciiTheme="majorBidi" w:hAnsiTheme="majorBidi" w:cstheme="majorBidi"/>
        </w:rPr>
        <w:t>.</w:t>
      </w:r>
      <w:bookmarkEnd w:id="0"/>
      <w:r w:rsidR="005E00E4" w:rsidRPr="005E00E4">
        <w:rPr>
          <w:rFonts w:asciiTheme="majorBidi" w:hAnsiTheme="majorBidi" w:cstheme="majorBidi"/>
        </w:rPr>
        <w:t xml:space="preserve"> </w:t>
      </w:r>
    </w:p>
    <w:p w14:paraId="7AE0ADB2" w14:textId="77777777" w:rsidR="002C141A" w:rsidRDefault="002C141A" w:rsidP="002C141A">
      <w:pPr>
        <w:spacing w:line="276" w:lineRule="auto"/>
        <w:ind w:firstLine="720"/>
        <w:jc w:val="both"/>
        <w:rPr>
          <w:rFonts w:asciiTheme="majorBidi" w:hAnsiTheme="majorBidi" w:cstheme="majorBidi"/>
          <w:color w:val="000000" w:themeColor="text1"/>
        </w:rPr>
      </w:pPr>
    </w:p>
    <w:p w14:paraId="18746DE4" w14:textId="66370F5C" w:rsidR="002C141A" w:rsidRDefault="002C141A" w:rsidP="002C141A">
      <w:pPr>
        <w:spacing w:line="276" w:lineRule="auto"/>
        <w:ind w:firstLine="720"/>
        <w:jc w:val="both"/>
        <w:rPr>
          <w:rFonts w:asciiTheme="majorBidi" w:hAnsiTheme="majorBidi" w:cstheme="majorBidi"/>
          <w:color w:val="000000" w:themeColor="text1"/>
        </w:rPr>
      </w:pPr>
      <w:r>
        <w:rPr>
          <w:rFonts w:asciiTheme="majorBidi" w:hAnsiTheme="majorBidi" w:cstheme="majorBidi"/>
          <w:color w:val="000000" w:themeColor="text1"/>
        </w:rPr>
        <w:lastRenderedPageBreak/>
        <w:t xml:space="preserve">[3] Ar Latgales apgabaltiesas 2023. gada </w:t>
      </w:r>
      <w:r w:rsidR="002D3E06">
        <w:rPr>
          <w:rFonts w:asciiTheme="majorBidi" w:hAnsiTheme="majorBidi" w:cstheme="majorBidi"/>
          <w:color w:val="000000" w:themeColor="text1"/>
        </w:rPr>
        <w:t>28</w:t>
      </w:r>
      <w:r>
        <w:rPr>
          <w:rFonts w:asciiTheme="majorBidi" w:hAnsiTheme="majorBidi" w:cstheme="majorBidi"/>
          <w:color w:val="000000" w:themeColor="text1"/>
        </w:rPr>
        <w:t>. </w:t>
      </w:r>
      <w:r w:rsidR="002D3E06">
        <w:rPr>
          <w:rFonts w:asciiTheme="majorBidi" w:hAnsiTheme="majorBidi" w:cstheme="majorBidi"/>
          <w:color w:val="000000" w:themeColor="text1"/>
        </w:rPr>
        <w:t>novembra</w:t>
      </w:r>
      <w:r>
        <w:rPr>
          <w:rFonts w:asciiTheme="majorBidi" w:hAnsiTheme="majorBidi" w:cstheme="majorBidi"/>
          <w:color w:val="000000" w:themeColor="text1"/>
        </w:rPr>
        <w:t xml:space="preserve"> </w:t>
      </w:r>
      <w:r w:rsidR="002D3E06">
        <w:rPr>
          <w:rFonts w:asciiTheme="majorBidi" w:hAnsiTheme="majorBidi" w:cstheme="majorBidi"/>
          <w:color w:val="000000" w:themeColor="text1"/>
        </w:rPr>
        <w:t>spriedumu</w:t>
      </w:r>
      <w:r>
        <w:rPr>
          <w:rFonts w:asciiTheme="majorBidi" w:hAnsiTheme="majorBidi" w:cstheme="majorBidi"/>
          <w:color w:val="000000" w:themeColor="text1"/>
        </w:rPr>
        <w:t xml:space="preserve">, iztiesājot krimināllietu sakarā ar apsūdzētā </w:t>
      </w:r>
      <w:r w:rsidR="00FF2DA1">
        <w:rPr>
          <w:rFonts w:asciiTheme="majorBidi" w:hAnsiTheme="majorBidi" w:cstheme="majorBidi"/>
        </w:rPr>
        <w:t>[pers. A]</w:t>
      </w:r>
      <w:r>
        <w:rPr>
          <w:rFonts w:asciiTheme="majorBidi" w:hAnsiTheme="majorBidi" w:cstheme="majorBidi"/>
          <w:color w:val="000000" w:themeColor="text1"/>
        </w:rPr>
        <w:t xml:space="preserve"> apelācijas sūdzību, Daugavpils tiesas 202</w:t>
      </w:r>
      <w:r w:rsidR="000D2DCF">
        <w:rPr>
          <w:rFonts w:asciiTheme="majorBidi" w:hAnsiTheme="majorBidi" w:cstheme="majorBidi"/>
          <w:color w:val="000000" w:themeColor="text1"/>
        </w:rPr>
        <w:t>3</w:t>
      </w:r>
      <w:r>
        <w:rPr>
          <w:rFonts w:asciiTheme="majorBidi" w:hAnsiTheme="majorBidi" w:cstheme="majorBidi"/>
          <w:color w:val="000000" w:themeColor="text1"/>
        </w:rPr>
        <w:t xml:space="preserve">. gada </w:t>
      </w:r>
      <w:r w:rsidR="000D2DCF">
        <w:rPr>
          <w:rFonts w:asciiTheme="majorBidi" w:hAnsiTheme="majorBidi" w:cstheme="majorBidi"/>
          <w:color w:val="000000" w:themeColor="text1"/>
        </w:rPr>
        <w:t>28. februāra</w:t>
      </w:r>
      <w:r>
        <w:rPr>
          <w:rFonts w:asciiTheme="majorBidi" w:hAnsiTheme="majorBidi" w:cstheme="majorBidi"/>
          <w:color w:val="000000" w:themeColor="text1"/>
        </w:rPr>
        <w:t xml:space="preserve"> spriedums </w:t>
      </w:r>
      <w:r w:rsidR="000D2DCF">
        <w:rPr>
          <w:rFonts w:asciiTheme="majorBidi" w:hAnsiTheme="majorBidi" w:cstheme="majorBidi"/>
          <w:color w:val="000000" w:themeColor="text1"/>
        </w:rPr>
        <w:t xml:space="preserve">atcelts daļā par </w:t>
      </w:r>
      <w:r w:rsidR="007621C9">
        <w:rPr>
          <w:rFonts w:asciiTheme="majorBidi" w:hAnsiTheme="majorBidi" w:cstheme="majorBidi"/>
          <w:color w:val="000000" w:themeColor="text1"/>
        </w:rPr>
        <w:t xml:space="preserve">no apsūdzētā </w:t>
      </w:r>
      <w:r w:rsidR="00FF2DA1">
        <w:rPr>
          <w:rFonts w:asciiTheme="majorBidi" w:hAnsiTheme="majorBidi" w:cstheme="majorBidi"/>
        </w:rPr>
        <w:t>[pers. A]</w:t>
      </w:r>
      <w:r w:rsidR="007621C9">
        <w:rPr>
          <w:rFonts w:asciiTheme="majorBidi" w:hAnsiTheme="majorBidi" w:cstheme="majorBidi"/>
          <w:color w:val="000000" w:themeColor="text1"/>
        </w:rPr>
        <w:t xml:space="preserve"> cietušo </w:t>
      </w:r>
      <w:r w:rsidR="00FF2DA1">
        <w:rPr>
          <w:rFonts w:asciiTheme="majorBidi" w:hAnsiTheme="majorBidi" w:cstheme="majorBidi"/>
          <w:color w:val="000000" w:themeColor="text1"/>
        </w:rPr>
        <w:t>[pers. C]</w:t>
      </w:r>
      <w:r w:rsidR="007621C9">
        <w:rPr>
          <w:rFonts w:asciiTheme="majorBidi" w:hAnsiTheme="majorBidi" w:cstheme="majorBidi"/>
          <w:color w:val="000000" w:themeColor="text1"/>
        </w:rPr>
        <w:t xml:space="preserve">, </w:t>
      </w:r>
      <w:r w:rsidR="00FF2DA1">
        <w:rPr>
          <w:rFonts w:asciiTheme="majorBidi" w:hAnsiTheme="majorBidi" w:cstheme="majorBidi"/>
          <w:color w:val="000000" w:themeColor="text1"/>
        </w:rPr>
        <w:t>[pers. D]</w:t>
      </w:r>
      <w:r w:rsidR="007621C9">
        <w:rPr>
          <w:rFonts w:asciiTheme="majorBidi" w:hAnsiTheme="majorBidi" w:cstheme="majorBidi"/>
          <w:color w:val="000000" w:themeColor="text1"/>
        </w:rPr>
        <w:t xml:space="preserve"> un </w:t>
      </w:r>
      <w:r w:rsidR="00FF2DA1">
        <w:rPr>
          <w:rFonts w:asciiTheme="majorBidi" w:hAnsiTheme="majorBidi" w:cstheme="majorBidi"/>
          <w:color w:val="000000" w:themeColor="text1"/>
        </w:rPr>
        <w:t>[pers. E]</w:t>
      </w:r>
      <w:r w:rsidR="007621C9">
        <w:rPr>
          <w:rFonts w:asciiTheme="majorBidi" w:hAnsiTheme="majorBidi" w:cstheme="majorBidi"/>
          <w:color w:val="000000" w:themeColor="text1"/>
        </w:rPr>
        <w:t xml:space="preserve"> labā </w:t>
      </w:r>
      <w:r w:rsidR="007621C9" w:rsidRPr="0084065E">
        <w:rPr>
          <w:rFonts w:asciiTheme="majorBidi" w:hAnsiTheme="majorBidi" w:cstheme="majorBidi"/>
          <w:color w:val="000000" w:themeColor="text1"/>
        </w:rPr>
        <w:t>piedzītajām morālā kaitējuma kompensācijām</w:t>
      </w:r>
      <w:r w:rsidR="007621C9">
        <w:rPr>
          <w:rFonts w:asciiTheme="majorBidi" w:hAnsiTheme="majorBidi" w:cstheme="majorBidi"/>
          <w:color w:val="000000" w:themeColor="text1"/>
        </w:rPr>
        <w:t xml:space="preserve"> un daļā par </w:t>
      </w:r>
      <w:r w:rsidR="00FF2DA1">
        <w:rPr>
          <w:rFonts w:asciiTheme="majorBidi" w:hAnsiTheme="majorBidi" w:cstheme="majorBidi"/>
        </w:rPr>
        <w:t>[pers. A]</w:t>
      </w:r>
      <w:r w:rsidR="007621C9">
        <w:rPr>
          <w:rFonts w:asciiTheme="majorBidi" w:hAnsiTheme="majorBidi" w:cstheme="majorBidi"/>
          <w:color w:val="000000" w:themeColor="text1"/>
        </w:rPr>
        <w:t xml:space="preserve"> piederošā transportlīdzekļa „Peugeot</w:t>
      </w:r>
      <w:r w:rsidR="00B13771">
        <w:rPr>
          <w:rFonts w:asciiTheme="majorBidi" w:hAnsiTheme="majorBidi" w:cstheme="majorBidi"/>
          <w:color w:val="000000" w:themeColor="text1"/>
        </w:rPr>
        <w:t> </w:t>
      </w:r>
      <w:r w:rsidR="007621C9">
        <w:rPr>
          <w:rFonts w:asciiTheme="majorBidi" w:hAnsiTheme="majorBidi" w:cstheme="majorBidi"/>
          <w:color w:val="000000" w:themeColor="text1"/>
        </w:rPr>
        <w:t>307” konfiskāciju</w:t>
      </w:r>
      <w:r w:rsidR="009202F2">
        <w:rPr>
          <w:rFonts w:asciiTheme="majorBidi" w:hAnsiTheme="majorBidi" w:cstheme="majorBidi"/>
          <w:color w:val="000000" w:themeColor="text1"/>
        </w:rPr>
        <w:t xml:space="preserve"> saskaņā ar</w:t>
      </w:r>
      <w:r w:rsidR="007621C9">
        <w:rPr>
          <w:rFonts w:asciiTheme="majorBidi" w:hAnsiTheme="majorBidi" w:cstheme="majorBidi"/>
          <w:color w:val="000000" w:themeColor="text1"/>
        </w:rPr>
        <w:t xml:space="preserve"> Krimināllikuma </w:t>
      </w:r>
      <w:r w:rsidR="007621C9">
        <w:rPr>
          <w:rFonts w:asciiTheme="majorBidi" w:hAnsiTheme="majorBidi" w:cstheme="majorBidi"/>
        </w:rPr>
        <w:t>70.</w:t>
      </w:r>
      <w:r w:rsidR="007621C9">
        <w:rPr>
          <w:rFonts w:asciiTheme="majorBidi" w:hAnsiTheme="majorBidi" w:cstheme="majorBidi"/>
          <w:vertAlign w:val="superscript"/>
        </w:rPr>
        <w:t>12 </w:t>
      </w:r>
      <w:r w:rsidR="007621C9">
        <w:rPr>
          <w:rFonts w:asciiTheme="majorBidi" w:hAnsiTheme="majorBidi" w:cstheme="majorBidi"/>
        </w:rPr>
        <w:t>pantu</w:t>
      </w:r>
      <w:r>
        <w:rPr>
          <w:rFonts w:asciiTheme="majorBidi" w:hAnsiTheme="majorBidi" w:cstheme="majorBidi"/>
          <w:color w:val="000000" w:themeColor="text1"/>
        </w:rPr>
        <w:t>.</w:t>
      </w:r>
    </w:p>
    <w:p w14:paraId="7559A957" w14:textId="79B151C6" w:rsidR="007E12E7" w:rsidRDefault="007E12E7" w:rsidP="00FF2DA1">
      <w:pPr>
        <w:spacing w:line="276" w:lineRule="auto"/>
        <w:ind w:firstLine="720"/>
        <w:jc w:val="both"/>
        <w:rPr>
          <w:rFonts w:asciiTheme="majorBidi" w:hAnsiTheme="majorBidi" w:cstheme="majorBidi"/>
          <w:color w:val="000000" w:themeColor="text1"/>
        </w:rPr>
      </w:pPr>
      <w:r>
        <w:rPr>
          <w:rFonts w:asciiTheme="majorBidi" w:hAnsiTheme="majorBidi" w:cstheme="majorBidi"/>
          <w:color w:val="000000" w:themeColor="text1"/>
        </w:rPr>
        <w:t xml:space="preserve">Ar </w:t>
      </w:r>
      <w:r w:rsidR="00D03CAB">
        <w:rPr>
          <w:rFonts w:asciiTheme="majorBidi" w:hAnsiTheme="majorBidi" w:cstheme="majorBidi"/>
          <w:color w:val="000000" w:themeColor="text1"/>
        </w:rPr>
        <w:t>Latgales apgabal</w:t>
      </w:r>
      <w:r>
        <w:rPr>
          <w:rFonts w:asciiTheme="majorBidi" w:hAnsiTheme="majorBidi" w:cstheme="majorBidi"/>
          <w:color w:val="000000" w:themeColor="text1"/>
        </w:rPr>
        <w:t xml:space="preserve">tiesas 2023. gada 28. novembra spriedumu no </w:t>
      </w:r>
      <w:r w:rsidR="00FF2DA1">
        <w:rPr>
          <w:rFonts w:asciiTheme="majorBidi" w:hAnsiTheme="majorBidi" w:cstheme="majorBidi"/>
        </w:rPr>
        <w:t>[pers. A]</w:t>
      </w:r>
      <w:r>
        <w:rPr>
          <w:rFonts w:asciiTheme="majorBidi" w:hAnsiTheme="majorBidi" w:cstheme="majorBidi"/>
          <w:color w:val="000000" w:themeColor="text1"/>
        </w:rPr>
        <w:t xml:space="preserve"> cietušās </w:t>
      </w:r>
      <w:r w:rsidR="00FF2DA1">
        <w:rPr>
          <w:rFonts w:asciiTheme="majorBidi" w:hAnsiTheme="majorBidi" w:cstheme="majorBidi"/>
          <w:color w:val="000000" w:themeColor="text1"/>
        </w:rPr>
        <w:t>[pers. C]</w:t>
      </w:r>
      <w:r>
        <w:rPr>
          <w:rFonts w:asciiTheme="majorBidi" w:hAnsiTheme="majorBidi" w:cstheme="majorBidi"/>
          <w:color w:val="000000" w:themeColor="text1"/>
        </w:rPr>
        <w:t xml:space="preserve"> labā </w:t>
      </w:r>
      <w:r w:rsidRPr="0084065E">
        <w:rPr>
          <w:rFonts w:asciiTheme="majorBidi" w:hAnsiTheme="majorBidi" w:cstheme="majorBidi"/>
          <w:color w:val="000000" w:themeColor="text1"/>
        </w:rPr>
        <w:t>piedzīt</w:t>
      </w:r>
      <w:r w:rsidR="00CC53B3" w:rsidRPr="0084065E">
        <w:rPr>
          <w:rFonts w:asciiTheme="majorBidi" w:hAnsiTheme="majorBidi" w:cstheme="majorBidi"/>
          <w:color w:val="000000" w:themeColor="text1"/>
        </w:rPr>
        <w:t>a</w:t>
      </w:r>
      <w:r w:rsidR="00B13771">
        <w:rPr>
          <w:rFonts w:asciiTheme="majorBidi" w:hAnsiTheme="majorBidi" w:cstheme="majorBidi"/>
          <w:color w:val="000000" w:themeColor="text1"/>
        </w:rPr>
        <w:t>s</w:t>
      </w:r>
      <w:r w:rsidRPr="0084065E">
        <w:rPr>
          <w:rFonts w:asciiTheme="majorBidi" w:hAnsiTheme="majorBidi" w:cstheme="majorBidi"/>
          <w:color w:val="000000" w:themeColor="text1"/>
        </w:rPr>
        <w:t xml:space="preserve"> morālā kaitējuma kompensācij</w:t>
      </w:r>
      <w:r w:rsidR="00CC53B3" w:rsidRPr="0084065E">
        <w:rPr>
          <w:rFonts w:asciiTheme="majorBidi" w:hAnsiTheme="majorBidi" w:cstheme="majorBidi"/>
          <w:color w:val="000000" w:themeColor="text1"/>
        </w:rPr>
        <w:t>a</w:t>
      </w:r>
      <w:r w:rsidR="00B13771">
        <w:rPr>
          <w:rFonts w:asciiTheme="majorBidi" w:hAnsiTheme="majorBidi" w:cstheme="majorBidi"/>
          <w:color w:val="000000" w:themeColor="text1"/>
        </w:rPr>
        <w:t>s</w:t>
      </w:r>
      <w:r>
        <w:rPr>
          <w:rFonts w:asciiTheme="majorBidi" w:hAnsiTheme="majorBidi" w:cstheme="majorBidi"/>
          <w:color w:val="000000" w:themeColor="text1"/>
        </w:rPr>
        <w:t xml:space="preserve"> 5625 </w:t>
      </w:r>
      <w:r w:rsidRPr="007E12E7">
        <w:rPr>
          <w:rFonts w:asciiTheme="majorBidi" w:hAnsiTheme="majorBidi" w:cstheme="majorBidi"/>
          <w:i/>
          <w:iCs/>
          <w:color w:val="000000" w:themeColor="text1"/>
        </w:rPr>
        <w:t>euro</w:t>
      </w:r>
      <w:r>
        <w:rPr>
          <w:rFonts w:asciiTheme="majorBidi" w:hAnsiTheme="majorBidi" w:cstheme="majorBidi"/>
          <w:color w:val="000000" w:themeColor="text1"/>
        </w:rPr>
        <w:t xml:space="preserve">, cietušās </w:t>
      </w:r>
      <w:r w:rsidR="00FF2DA1">
        <w:rPr>
          <w:rFonts w:asciiTheme="majorBidi" w:hAnsiTheme="majorBidi" w:cstheme="majorBidi"/>
          <w:color w:val="000000" w:themeColor="text1"/>
        </w:rPr>
        <w:t>[pers. D]</w:t>
      </w:r>
      <w:r>
        <w:rPr>
          <w:rFonts w:asciiTheme="majorBidi" w:hAnsiTheme="majorBidi" w:cstheme="majorBidi"/>
          <w:color w:val="000000" w:themeColor="text1"/>
        </w:rPr>
        <w:t xml:space="preserve"> labā </w:t>
      </w:r>
      <w:r w:rsidR="00CC53B3">
        <w:rPr>
          <w:rFonts w:asciiTheme="majorBidi" w:hAnsiTheme="majorBidi" w:cstheme="majorBidi"/>
          <w:color w:val="000000" w:themeColor="text1"/>
        </w:rPr>
        <w:t>–</w:t>
      </w:r>
      <w:r>
        <w:rPr>
          <w:rFonts w:asciiTheme="majorBidi" w:hAnsiTheme="majorBidi" w:cstheme="majorBidi"/>
          <w:color w:val="000000" w:themeColor="text1"/>
        </w:rPr>
        <w:t xml:space="preserve"> 5625 </w:t>
      </w:r>
      <w:r w:rsidRPr="007E12E7">
        <w:rPr>
          <w:rFonts w:asciiTheme="majorBidi" w:hAnsiTheme="majorBidi" w:cstheme="majorBidi"/>
          <w:i/>
          <w:iCs/>
          <w:color w:val="000000" w:themeColor="text1"/>
        </w:rPr>
        <w:t>euro</w:t>
      </w:r>
      <w:r>
        <w:rPr>
          <w:rFonts w:asciiTheme="majorBidi" w:hAnsiTheme="majorBidi" w:cstheme="majorBidi"/>
          <w:color w:val="000000" w:themeColor="text1"/>
        </w:rPr>
        <w:t xml:space="preserve"> un </w:t>
      </w:r>
      <w:r w:rsidR="00BC3C4F">
        <w:rPr>
          <w:rFonts w:asciiTheme="majorBidi" w:hAnsiTheme="majorBidi" w:cstheme="majorBidi"/>
          <w:color w:val="000000" w:themeColor="text1"/>
        </w:rPr>
        <w:t xml:space="preserve">cietušā </w:t>
      </w:r>
      <w:r w:rsidR="00FF2DA1">
        <w:rPr>
          <w:rFonts w:asciiTheme="majorBidi" w:hAnsiTheme="majorBidi" w:cstheme="majorBidi"/>
          <w:color w:val="000000" w:themeColor="text1"/>
        </w:rPr>
        <w:t>[pers. E]</w:t>
      </w:r>
      <w:r>
        <w:rPr>
          <w:rFonts w:asciiTheme="majorBidi" w:hAnsiTheme="majorBidi" w:cstheme="majorBidi"/>
          <w:i/>
          <w:iCs/>
          <w:color w:val="000000" w:themeColor="text1"/>
        </w:rPr>
        <w:t xml:space="preserve"> </w:t>
      </w:r>
      <w:r>
        <w:rPr>
          <w:rFonts w:asciiTheme="majorBidi" w:hAnsiTheme="majorBidi" w:cstheme="majorBidi"/>
          <w:color w:val="000000" w:themeColor="text1"/>
        </w:rPr>
        <w:t xml:space="preserve">labā </w:t>
      </w:r>
      <w:r w:rsidR="00CC53B3">
        <w:rPr>
          <w:rFonts w:asciiTheme="majorBidi" w:hAnsiTheme="majorBidi" w:cstheme="majorBidi"/>
          <w:color w:val="000000" w:themeColor="text1"/>
        </w:rPr>
        <w:t>–</w:t>
      </w:r>
      <w:r>
        <w:rPr>
          <w:rFonts w:asciiTheme="majorBidi" w:hAnsiTheme="majorBidi" w:cstheme="majorBidi"/>
          <w:color w:val="000000" w:themeColor="text1"/>
        </w:rPr>
        <w:t xml:space="preserve"> 5625 </w:t>
      </w:r>
      <w:r w:rsidRPr="007E12E7">
        <w:rPr>
          <w:rFonts w:asciiTheme="majorBidi" w:hAnsiTheme="majorBidi" w:cstheme="majorBidi"/>
          <w:i/>
          <w:iCs/>
          <w:color w:val="000000" w:themeColor="text1"/>
        </w:rPr>
        <w:t>euro</w:t>
      </w:r>
      <w:r w:rsidRPr="007E12E7">
        <w:rPr>
          <w:rFonts w:asciiTheme="majorBidi" w:hAnsiTheme="majorBidi" w:cstheme="majorBidi"/>
          <w:color w:val="000000" w:themeColor="text1"/>
        </w:rPr>
        <w:t>.</w:t>
      </w:r>
    </w:p>
    <w:p w14:paraId="0085D8F7" w14:textId="77777777" w:rsidR="002C141A" w:rsidRDefault="002C141A" w:rsidP="002C141A">
      <w:pPr>
        <w:widowControl w:val="0"/>
        <w:spacing w:line="276" w:lineRule="auto"/>
        <w:ind w:firstLine="720"/>
        <w:jc w:val="both"/>
      </w:pPr>
      <w:r>
        <w:t>Pārējā daļā pirmās instances tiesas spriedums atstāts negrozīts.</w:t>
      </w:r>
    </w:p>
    <w:p w14:paraId="29E13401" w14:textId="77777777" w:rsidR="002C141A" w:rsidRDefault="002C141A" w:rsidP="002C141A">
      <w:pPr>
        <w:spacing w:line="276" w:lineRule="auto"/>
        <w:ind w:firstLine="720"/>
        <w:jc w:val="both"/>
        <w:rPr>
          <w:rFonts w:asciiTheme="majorBidi" w:hAnsiTheme="majorBidi" w:cstheme="majorBidi"/>
        </w:rPr>
      </w:pPr>
    </w:p>
    <w:p w14:paraId="4A2EA295" w14:textId="31BE6EEF" w:rsidR="00471EE1" w:rsidRDefault="002C141A" w:rsidP="00471EE1">
      <w:pPr>
        <w:spacing w:line="276" w:lineRule="auto"/>
        <w:ind w:firstLine="720"/>
        <w:jc w:val="both"/>
        <w:rPr>
          <w:rFonts w:asciiTheme="majorBidi" w:hAnsiTheme="majorBidi" w:cstheme="majorBidi"/>
          <w:lang w:eastAsia="lv-LV"/>
        </w:rPr>
      </w:pPr>
      <w:r>
        <w:rPr>
          <w:rFonts w:asciiTheme="majorBidi" w:hAnsiTheme="majorBidi" w:cstheme="majorBidi"/>
        </w:rPr>
        <w:t>[</w:t>
      </w:r>
      <w:r w:rsidR="007E12E7">
        <w:rPr>
          <w:rFonts w:asciiTheme="majorBidi" w:hAnsiTheme="majorBidi" w:cstheme="majorBidi"/>
        </w:rPr>
        <w:t>4</w:t>
      </w:r>
      <w:r>
        <w:rPr>
          <w:rFonts w:asciiTheme="majorBidi" w:hAnsiTheme="majorBidi" w:cstheme="majorBidi"/>
        </w:rPr>
        <w:t xml:space="preserve">] Par </w:t>
      </w:r>
      <w:r w:rsidR="00D03CAB">
        <w:rPr>
          <w:rFonts w:asciiTheme="majorBidi" w:hAnsiTheme="majorBidi" w:cstheme="majorBidi"/>
          <w:lang w:eastAsia="lv-LV"/>
        </w:rPr>
        <w:t>apelācija</w:t>
      </w:r>
      <w:r w:rsidR="006B3BB1">
        <w:rPr>
          <w:rFonts w:asciiTheme="majorBidi" w:hAnsiTheme="majorBidi" w:cstheme="majorBidi"/>
          <w:lang w:eastAsia="lv-LV"/>
        </w:rPr>
        <w:t>s</w:t>
      </w:r>
      <w:r w:rsidR="00D03CAB">
        <w:rPr>
          <w:rFonts w:asciiTheme="majorBidi" w:hAnsiTheme="majorBidi" w:cstheme="majorBidi"/>
          <w:lang w:eastAsia="lv-LV"/>
        </w:rPr>
        <w:t xml:space="preserve"> instances tiesas</w:t>
      </w:r>
      <w:r>
        <w:rPr>
          <w:rFonts w:asciiTheme="majorBidi" w:hAnsiTheme="majorBidi" w:cstheme="majorBidi"/>
          <w:lang w:eastAsia="lv-LV"/>
        </w:rPr>
        <w:t xml:space="preserve"> 202</w:t>
      </w:r>
      <w:r w:rsidR="007E12E7">
        <w:rPr>
          <w:rFonts w:asciiTheme="majorBidi" w:hAnsiTheme="majorBidi" w:cstheme="majorBidi"/>
          <w:lang w:eastAsia="lv-LV"/>
        </w:rPr>
        <w:t>3</w:t>
      </w:r>
      <w:r>
        <w:rPr>
          <w:rFonts w:asciiTheme="majorBidi" w:hAnsiTheme="majorBidi" w:cstheme="majorBidi"/>
          <w:lang w:eastAsia="lv-LV"/>
        </w:rPr>
        <w:t>. gada 2</w:t>
      </w:r>
      <w:r w:rsidR="00D03CAB">
        <w:rPr>
          <w:rFonts w:asciiTheme="majorBidi" w:hAnsiTheme="majorBidi" w:cstheme="majorBidi"/>
          <w:lang w:eastAsia="lv-LV"/>
        </w:rPr>
        <w:t>8</w:t>
      </w:r>
      <w:r>
        <w:rPr>
          <w:rFonts w:asciiTheme="majorBidi" w:hAnsiTheme="majorBidi" w:cstheme="majorBidi"/>
          <w:lang w:eastAsia="lv-LV"/>
        </w:rPr>
        <w:t>. </w:t>
      </w:r>
      <w:r w:rsidR="00D03CAB">
        <w:rPr>
          <w:rFonts w:asciiTheme="majorBidi" w:hAnsiTheme="majorBidi" w:cstheme="majorBidi"/>
          <w:lang w:eastAsia="lv-LV"/>
        </w:rPr>
        <w:t>novembra</w:t>
      </w:r>
      <w:r>
        <w:rPr>
          <w:rFonts w:asciiTheme="majorBidi" w:hAnsiTheme="majorBidi" w:cstheme="majorBidi"/>
          <w:lang w:eastAsia="lv-LV"/>
        </w:rPr>
        <w:t xml:space="preserve"> spriedumu </w:t>
      </w:r>
      <w:r>
        <w:rPr>
          <w:rFonts w:asciiTheme="majorBidi" w:hAnsiTheme="majorBidi" w:cstheme="majorBidi"/>
        </w:rPr>
        <w:t>kasācijas</w:t>
      </w:r>
      <w:r w:rsidR="00471EE1">
        <w:rPr>
          <w:rFonts w:asciiTheme="majorBidi" w:hAnsiTheme="majorBidi" w:cstheme="majorBidi"/>
        </w:rPr>
        <w:t xml:space="preserve"> protestu iesniedzis Latgales tiesas apgabala prokuratūras prokurors I. </w:t>
      </w:r>
      <w:proofErr w:type="spellStart"/>
      <w:r w:rsidR="00471EE1">
        <w:rPr>
          <w:rFonts w:asciiTheme="majorBidi" w:hAnsiTheme="majorBidi" w:cstheme="majorBidi"/>
        </w:rPr>
        <w:t>Kravcevičs</w:t>
      </w:r>
      <w:proofErr w:type="spellEnd"/>
      <w:r w:rsidR="00BC3C4F">
        <w:rPr>
          <w:rFonts w:asciiTheme="majorBidi" w:hAnsiTheme="majorBidi" w:cstheme="majorBidi"/>
        </w:rPr>
        <w:t>, bet</w:t>
      </w:r>
      <w:r w:rsidR="00471EE1">
        <w:rPr>
          <w:rFonts w:asciiTheme="majorBidi" w:hAnsiTheme="majorBidi" w:cstheme="majorBidi"/>
        </w:rPr>
        <w:t xml:space="preserve"> kasācijas sūdzību</w:t>
      </w:r>
      <w:r w:rsidR="00CC53B3">
        <w:rPr>
          <w:rFonts w:asciiTheme="majorBidi" w:hAnsiTheme="majorBidi" w:cstheme="majorBidi"/>
        </w:rPr>
        <w:t xml:space="preserve"> –</w:t>
      </w:r>
      <w:r>
        <w:rPr>
          <w:rFonts w:asciiTheme="majorBidi" w:hAnsiTheme="majorBidi" w:cstheme="majorBidi"/>
        </w:rPr>
        <w:t xml:space="preserve"> </w:t>
      </w:r>
      <w:r>
        <w:rPr>
          <w:rFonts w:asciiTheme="majorBidi" w:hAnsiTheme="majorBidi" w:cstheme="majorBidi"/>
          <w:lang w:eastAsia="lv-LV"/>
        </w:rPr>
        <w:t xml:space="preserve">apsūdzētais </w:t>
      </w:r>
      <w:r w:rsidR="00FF2DA1">
        <w:rPr>
          <w:rFonts w:asciiTheme="majorBidi" w:hAnsiTheme="majorBidi" w:cstheme="majorBidi"/>
        </w:rPr>
        <w:t>[pers. A]</w:t>
      </w:r>
      <w:r w:rsidR="00471EE1">
        <w:rPr>
          <w:rFonts w:asciiTheme="majorBidi" w:hAnsiTheme="majorBidi" w:cstheme="majorBidi"/>
          <w:lang w:eastAsia="lv-LV"/>
        </w:rPr>
        <w:t xml:space="preserve">. </w:t>
      </w:r>
    </w:p>
    <w:p w14:paraId="39182FB1" w14:textId="77777777" w:rsidR="00471EE1" w:rsidRDefault="00471EE1" w:rsidP="00471EE1">
      <w:pPr>
        <w:spacing w:line="276" w:lineRule="auto"/>
        <w:ind w:firstLine="720"/>
        <w:jc w:val="both"/>
        <w:rPr>
          <w:rFonts w:asciiTheme="majorBidi" w:hAnsiTheme="majorBidi" w:cstheme="majorBidi"/>
          <w:lang w:eastAsia="lv-LV"/>
        </w:rPr>
      </w:pPr>
    </w:p>
    <w:p w14:paraId="22390A88" w14:textId="3B9AB10B" w:rsidR="00471EE1" w:rsidRPr="00471EE1" w:rsidRDefault="002C141A" w:rsidP="00471EE1">
      <w:pPr>
        <w:spacing w:line="276" w:lineRule="auto"/>
        <w:ind w:firstLine="720"/>
        <w:jc w:val="both"/>
        <w:rPr>
          <w:rFonts w:asciiTheme="majorBidi" w:hAnsiTheme="majorBidi" w:cstheme="majorBidi"/>
          <w:lang w:eastAsia="lv-LV"/>
        </w:rPr>
      </w:pPr>
      <w:r>
        <w:rPr>
          <w:rFonts w:asciiTheme="majorBidi" w:hAnsiTheme="majorBidi" w:cstheme="majorBidi"/>
          <w:lang w:eastAsia="lv-LV"/>
        </w:rPr>
        <w:t>[</w:t>
      </w:r>
      <w:r w:rsidR="00471EE1">
        <w:rPr>
          <w:rFonts w:asciiTheme="majorBidi" w:hAnsiTheme="majorBidi" w:cstheme="majorBidi"/>
          <w:lang w:eastAsia="lv-LV"/>
        </w:rPr>
        <w:t>5</w:t>
      </w:r>
      <w:r>
        <w:rPr>
          <w:rFonts w:asciiTheme="majorBidi" w:hAnsiTheme="majorBidi" w:cstheme="majorBidi"/>
          <w:lang w:eastAsia="lv-LV"/>
        </w:rPr>
        <w:t xml:space="preserve">] </w:t>
      </w:r>
      <w:r w:rsidR="00471EE1">
        <w:rPr>
          <w:rFonts w:asciiTheme="majorBidi" w:hAnsiTheme="majorBidi" w:cstheme="majorBidi"/>
        </w:rPr>
        <w:t>Prokurors I. </w:t>
      </w:r>
      <w:proofErr w:type="spellStart"/>
      <w:r w:rsidR="00471EE1">
        <w:rPr>
          <w:rFonts w:asciiTheme="majorBidi" w:hAnsiTheme="majorBidi" w:cstheme="majorBidi"/>
        </w:rPr>
        <w:t>Kravcevičs</w:t>
      </w:r>
      <w:proofErr w:type="spellEnd"/>
      <w:r w:rsidR="00471EE1" w:rsidRPr="00471EE1">
        <w:rPr>
          <w:rFonts w:asciiTheme="majorBidi" w:hAnsiTheme="majorBidi" w:cstheme="majorBidi"/>
        </w:rPr>
        <w:t xml:space="preserve"> kasācijas </w:t>
      </w:r>
      <w:r w:rsidR="00471EE1">
        <w:rPr>
          <w:rFonts w:asciiTheme="majorBidi" w:hAnsiTheme="majorBidi" w:cstheme="majorBidi"/>
        </w:rPr>
        <w:t>protestā</w:t>
      </w:r>
      <w:r w:rsidR="00471EE1" w:rsidRPr="00471EE1">
        <w:rPr>
          <w:rFonts w:asciiTheme="majorBidi" w:hAnsiTheme="majorBidi" w:cstheme="majorBidi"/>
        </w:rPr>
        <w:t xml:space="preserve"> lūdz atcelt </w:t>
      </w:r>
      <w:r w:rsidR="00471EE1">
        <w:rPr>
          <w:rFonts w:asciiTheme="majorBidi" w:hAnsiTheme="majorBidi" w:cstheme="majorBidi"/>
        </w:rPr>
        <w:t>Latgales</w:t>
      </w:r>
      <w:r w:rsidR="00471EE1" w:rsidRPr="00471EE1">
        <w:rPr>
          <w:rFonts w:asciiTheme="majorBidi" w:hAnsiTheme="majorBidi" w:cstheme="majorBidi"/>
        </w:rPr>
        <w:t xml:space="preserve"> apgabaltiesas 2023. gada </w:t>
      </w:r>
      <w:r w:rsidR="00471EE1">
        <w:rPr>
          <w:rFonts w:asciiTheme="majorBidi" w:hAnsiTheme="majorBidi" w:cstheme="majorBidi"/>
        </w:rPr>
        <w:t>28. novembra</w:t>
      </w:r>
      <w:r w:rsidR="00471EE1" w:rsidRPr="00471EE1">
        <w:rPr>
          <w:rFonts w:asciiTheme="majorBidi" w:hAnsiTheme="majorBidi" w:cstheme="majorBidi"/>
        </w:rPr>
        <w:t xml:space="preserve"> spriedumu </w:t>
      </w:r>
      <w:r w:rsidR="00471EE1">
        <w:rPr>
          <w:rFonts w:asciiTheme="majorBidi" w:hAnsiTheme="majorBidi" w:cstheme="majorBidi"/>
        </w:rPr>
        <w:t xml:space="preserve">daļā par apsūdzētajam </w:t>
      </w:r>
      <w:r w:rsidR="0063035C">
        <w:rPr>
          <w:rFonts w:asciiTheme="majorBidi" w:hAnsiTheme="majorBidi" w:cstheme="majorBidi"/>
        </w:rPr>
        <w:t>[pers. A]</w:t>
      </w:r>
      <w:r w:rsidR="00471EE1">
        <w:rPr>
          <w:rFonts w:asciiTheme="majorBidi" w:hAnsiTheme="majorBidi" w:cstheme="majorBidi"/>
        </w:rPr>
        <w:t xml:space="preserve"> piederošā transportlīdzekļa „Peugeot</w:t>
      </w:r>
      <w:r w:rsidR="00CE0879">
        <w:rPr>
          <w:rFonts w:asciiTheme="majorBidi" w:hAnsiTheme="majorBidi" w:cstheme="majorBidi"/>
        </w:rPr>
        <w:t> </w:t>
      </w:r>
      <w:r w:rsidR="00471EE1">
        <w:rPr>
          <w:rFonts w:asciiTheme="majorBidi" w:hAnsiTheme="majorBidi" w:cstheme="majorBidi"/>
        </w:rPr>
        <w:t>307”</w:t>
      </w:r>
      <w:r w:rsidR="0084065E">
        <w:rPr>
          <w:rFonts w:asciiTheme="majorBidi" w:hAnsiTheme="majorBidi" w:cstheme="majorBidi"/>
        </w:rPr>
        <w:t xml:space="preserve"> </w:t>
      </w:r>
      <w:r w:rsidR="00471EE1">
        <w:rPr>
          <w:rFonts w:asciiTheme="majorBidi" w:hAnsiTheme="majorBidi" w:cstheme="majorBidi"/>
        </w:rPr>
        <w:t>konfiskācijas atcelšanu un</w:t>
      </w:r>
      <w:r w:rsidR="00CC53B3">
        <w:rPr>
          <w:rFonts w:asciiTheme="majorBidi" w:hAnsiTheme="majorBidi" w:cstheme="majorBidi"/>
        </w:rPr>
        <w:t xml:space="preserve"> šajā daļā</w:t>
      </w:r>
      <w:r w:rsidR="00471EE1">
        <w:rPr>
          <w:rFonts w:asciiTheme="majorBidi" w:hAnsiTheme="majorBidi" w:cstheme="majorBidi"/>
        </w:rPr>
        <w:t xml:space="preserve"> nosūtīt lietu jaunai izska</w:t>
      </w:r>
      <w:r w:rsidR="009B7225">
        <w:rPr>
          <w:rFonts w:asciiTheme="majorBidi" w:hAnsiTheme="majorBidi" w:cstheme="majorBidi"/>
        </w:rPr>
        <w:t>tīšanai</w:t>
      </w:r>
      <w:r w:rsidR="00AC4795">
        <w:rPr>
          <w:rFonts w:asciiTheme="majorBidi" w:hAnsiTheme="majorBidi" w:cstheme="majorBidi"/>
        </w:rPr>
        <w:t>.</w:t>
      </w:r>
      <w:r w:rsidR="009B7225">
        <w:rPr>
          <w:rFonts w:asciiTheme="majorBidi" w:hAnsiTheme="majorBidi" w:cstheme="majorBidi"/>
        </w:rPr>
        <w:t xml:space="preserve"> </w:t>
      </w:r>
    </w:p>
    <w:p w14:paraId="0155C98B" w14:textId="67F0F9B6" w:rsidR="00471EE1" w:rsidRPr="00471EE1" w:rsidRDefault="00471EE1" w:rsidP="00471EE1">
      <w:pPr>
        <w:widowControl w:val="0"/>
        <w:spacing w:line="276" w:lineRule="auto"/>
        <w:ind w:firstLine="720"/>
        <w:jc w:val="both"/>
        <w:rPr>
          <w:rFonts w:asciiTheme="majorBidi" w:hAnsiTheme="majorBidi" w:cstheme="majorBidi"/>
          <w:lang w:eastAsia="lv-LV"/>
        </w:rPr>
      </w:pPr>
      <w:r w:rsidRPr="00471EE1">
        <w:rPr>
          <w:rFonts w:asciiTheme="majorBidi" w:hAnsiTheme="majorBidi" w:cstheme="majorBidi"/>
          <w:lang w:eastAsia="lv-LV"/>
        </w:rPr>
        <w:t xml:space="preserve">Savu lūgumu </w:t>
      </w:r>
      <w:r w:rsidR="009B7225">
        <w:rPr>
          <w:rFonts w:asciiTheme="majorBidi" w:hAnsiTheme="majorBidi" w:cstheme="majorBidi"/>
          <w:lang w:eastAsia="lv-LV"/>
        </w:rPr>
        <w:t xml:space="preserve">prokurors </w:t>
      </w:r>
      <w:r w:rsidRPr="00471EE1">
        <w:rPr>
          <w:rFonts w:asciiTheme="majorBidi" w:hAnsiTheme="majorBidi" w:cstheme="majorBidi"/>
          <w:lang w:eastAsia="lv-LV"/>
        </w:rPr>
        <w:t>pamatojis ar šādiem argumentiem.</w:t>
      </w:r>
    </w:p>
    <w:p w14:paraId="0F072CA9" w14:textId="31B55D1D" w:rsidR="002C141A" w:rsidRDefault="00AC4795" w:rsidP="00471EE1">
      <w:pPr>
        <w:widowControl w:val="0"/>
        <w:spacing w:line="276" w:lineRule="auto"/>
        <w:ind w:firstLine="720"/>
        <w:jc w:val="both"/>
      </w:pPr>
      <w:r>
        <w:t xml:space="preserve">[5.1] </w:t>
      </w:r>
      <w:r w:rsidR="00C403B0">
        <w:t xml:space="preserve">Apelācijas instances tiesa </w:t>
      </w:r>
      <w:r w:rsidR="0041172C">
        <w:t>nepamatoti atzinusi</w:t>
      </w:r>
      <w:r w:rsidR="00C403B0">
        <w:t>, ka</w:t>
      </w:r>
      <w:r w:rsidR="0041172C">
        <w:t xml:space="preserve"> apsūdzētajam </w:t>
      </w:r>
      <w:r w:rsidR="0063035C">
        <w:rPr>
          <w:rFonts w:asciiTheme="majorBidi" w:hAnsiTheme="majorBidi" w:cstheme="majorBidi"/>
        </w:rPr>
        <w:t>[pers. A]</w:t>
      </w:r>
      <w:r w:rsidR="0041172C">
        <w:t xml:space="preserve"> piederošā</w:t>
      </w:r>
      <w:r w:rsidR="00C403B0">
        <w:t xml:space="preserve"> automašīna „Peugeot</w:t>
      </w:r>
      <w:r w:rsidR="00CE0879">
        <w:t> </w:t>
      </w:r>
      <w:r w:rsidR="00C403B0">
        <w:t>307”</w:t>
      </w:r>
      <w:r w:rsidR="0041172C">
        <w:t xml:space="preserve"> konkrētajā gadījumā</w:t>
      </w:r>
      <w:r w:rsidR="00C403B0">
        <w:t xml:space="preserve"> nav atzīstama par noziedzīga nodarījuma izdarīšanas priekšmetu </w:t>
      </w:r>
      <w:bookmarkStart w:id="1" w:name="_Hlk178778243"/>
      <w:r w:rsidR="00C403B0">
        <w:t>Krimināllikuma 70.</w:t>
      </w:r>
      <w:r w:rsidR="00C403B0">
        <w:rPr>
          <w:vertAlign w:val="superscript"/>
        </w:rPr>
        <w:t>12</w:t>
      </w:r>
      <w:r w:rsidR="00C403B0">
        <w:t xml:space="preserve"> panta </w:t>
      </w:r>
      <w:bookmarkEnd w:id="1"/>
      <w:r w:rsidR="00C403B0">
        <w:t>pirmās daļas izpratnē</w:t>
      </w:r>
      <w:r w:rsidR="00F612BD">
        <w:t>, tādējādi</w:t>
      </w:r>
      <w:r w:rsidR="00935A72">
        <w:t xml:space="preserve"> tiesa</w:t>
      </w:r>
      <w:r w:rsidR="00F612BD">
        <w:t xml:space="preserve"> p</w:t>
      </w:r>
      <w:r w:rsidR="0041172C">
        <w:t>ārkāpusi</w:t>
      </w:r>
      <w:r w:rsidR="00F612BD">
        <w:t xml:space="preserve"> Kriminālprocesa likuma 511. panta otr</w:t>
      </w:r>
      <w:r w:rsidR="0041172C">
        <w:t>o daļu</w:t>
      </w:r>
      <w:r w:rsidR="00F612BD">
        <w:t>.</w:t>
      </w:r>
    </w:p>
    <w:p w14:paraId="1A35CEC6" w14:textId="6F41F410" w:rsidR="0041172C" w:rsidRDefault="0041172C" w:rsidP="00471EE1">
      <w:pPr>
        <w:widowControl w:val="0"/>
        <w:spacing w:line="276" w:lineRule="auto"/>
        <w:ind w:firstLine="720"/>
        <w:jc w:val="both"/>
      </w:pPr>
      <w:r>
        <w:t>Lietā konstatēts, ka minētā automašīna ir izmantota kā noziedzīgā nodarījuma</w:t>
      </w:r>
      <w:r w:rsidR="00637719">
        <w:t xml:space="preserve"> izdarīšanas</w:t>
      </w:r>
      <w:r>
        <w:t xml:space="preserve"> </w:t>
      </w:r>
      <w:r w:rsidRPr="00195D2F">
        <w:t>priekšmets</w:t>
      </w:r>
      <w:r>
        <w:t xml:space="preserve"> Krimināllikuma 313.</w:t>
      </w:r>
      <w:r w:rsidR="00637719">
        <w:t> </w:t>
      </w:r>
      <w:r>
        <w:t xml:space="preserve">panta otrajā daļā paredzētajā noziedzīgajā nodarījumā, kurā par vainīgu atzīts apsūdzētais </w:t>
      </w:r>
      <w:r w:rsidR="0063035C">
        <w:t>[pers. B]</w:t>
      </w:r>
      <w:r>
        <w:t>.</w:t>
      </w:r>
      <w:r w:rsidR="00637719">
        <w:t xml:space="preserve"> Šī noziedzīgā nodarījuma izdarīšanā ir iesaistījies arī apsūdzētais </w:t>
      </w:r>
      <w:r w:rsidR="0063035C">
        <w:rPr>
          <w:rFonts w:asciiTheme="majorBidi" w:hAnsiTheme="majorBidi" w:cstheme="majorBidi"/>
        </w:rPr>
        <w:t>[pers. A]</w:t>
      </w:r>
      <w:r w:rsidR="00637719">
        <w:t>, kurš atzīts par vainīgu tā noziedzīgā nodarījuma izdarīšanā, kura slēpšanai tika izmantota automašīna „Peugeot</w:t>
      </w:r>
      <w:r w:rsidR="00C76687">
        <w:t> </w:t>
      </w:r>
      <w:r w:rsidR="00637719">
        <w:t>307”, tādēļ netiek saukts pie kriminālatbildības pēc Krimināllikuma 313. panta. Izklāstītie apstākļi nedod pamatu atzīt, ka noziedzīgā nodarījuma slēpšanā izmantotā automašīna nav šī noziedzīgā nodarījuma priekšmets Krimināllikuma 70</w:t>
      </w:r>
      <w:r w:rsidR="006B3BB1">
        <w:t>.</w:t>
      </w:r>
      <w:r w:rsidR="00637719">
        <w:rPr>
          <w:vertAlign w:val="superscript"/>
        </w:rPr>
        <w:t>12</w:t>
      </w:r>
      <w:r w:rsidR="00637719">
        <w:t> panta izpratnē.</w:t>
      </w:r>
      <w:r>
        <w:t xml:space="preserve"> </w:t>
      </w:r>
    </w:p>
    <w:p w14:paraId="21C1FCA6" w14:textId="69791B1D" w:rsidR="00F612BD" w:rsidRPr="00C403B0" w:rsidRDefault="002F66B9" w:rsidP="00F612BD">
      <w:pPr>
        <w:widowControl w:val="0"/>
        <w:spacing w:line="276" w:lineRule="auto"/>
        <w:ind w:firstLine="720"/>
        <w:jc w:val="both"/>
      </w:pPr>
      <w:r>
        <w:t xml:space="preserve">[5.2] </w:t>
      </w:r>
      <w:r w:rsidR="00F612BD">
        <w:t>A</w:t>
      </w:r>
      <w:r w:rsidR="003522B5">
        <w:t>pelācijas instances tiesa</w:t>
      </w:r>
      <w:r w:rsidR="00F612BD">
        <w:t xml:space="preserve"> </w:t>
      </w:r>
      <w:r w:rsidR="009E0046">
        <w:t>ir nepareizi</w:t>
      </w:r>
      <w:r w:rsidR="00F612BD">
        <w:t xml:space="preserve"> piemērojusi Krimināllikuma 70.</w:t>
      </w:r>
      <w:r w:rsidR="00F612BD">
        <w:rPr>
          <w:vertAlign w:val="superscript"/>
        </w:rPr>
        <w:t>12</w:t>
      </w:r>
      <w:r w:rsidR="00F612BD">
        <w:t xml:space="preserve"> panta pirmo un otro daļu. </w:t>
      </w:r>
    </w:p>
    <w:p w14:paraId="05E25142" w14:textId="50FDE9E4" w:rsidR="002F66B9" w:rsidRDefault="003522B5" w:rsidP="00471EE1">
      <w:pPr>
        <w:widowControl w:val="0"/>
        <w:spacing w:line="276" w:lineRule="auto"/>
        <w:ind w:firstLine="720"/>
        <w:jc w:val="both"/>
      </w:pPr>
      <w:r>
        <w:t>Tiesa</w:t>
      </w:r>
      <w:r w:rsidR="002F66B9">
        <w:t xml:space="preserve"> n</w:t>
      </w:r>
      <w:r w:rsidR="009E0046">
        <w:t>epamatoti secinājusi</w:t>
      </w:r>
      <w:r w:rsidR="002F66B9">
        <w:t xml:space="preserve">, ka arests automašīnai uzlikts tikai </w:t>
      </w:r>
      <w:r w:rsidR="00F7586B">
        <w:t>nolūkā</w:t>
      </w:r>
      <w:r w:rsidR="002F66B9">
        <w:t xml:space="preserve"> nodrošināt procesuālo izdevumu atlīdzināšanu un cietušajiem nodarītā kaitējuma piedziņu.</w:t>
      </w:r>
      <w:r w:rsidR="00F7586B">
        <w:t xml:space="preserve"> No lēmuma par aresta uzlikšanu mantai izriet, ka kriminālprocesā ir iegūtas ziņas</w:t>
      </w:r>
      <w:r w:rsidR="00D13C78">
        <w:t>, kuras dod pamatu secināt</w:t>
      </w:r>
      <w:r w:rsidR="00F7586B">
        <w:t xml:space="preserve">, ka </w:t>
      </w:r>
      <w:r w:rsidR="0063035C">
        <w:rPr>
          <w:rFonts w:asciiTheme="majorBidi" w:hAnsiTheme="majorBidi" w:cstheme="majorBidi"/>
        </w:rPr>
        <w:t>[pers. A]</w:t>
      </w:r>
      <w:r w:rsidR="00D13C78">
        <w:t xml:space="preserve"> piederošā automašīna ir atzīstama par noziedzīgā nodarījuma izdarīšanas priekšmetu.</w:t>
      </w:r>
    </w:p>
    <w:p w14:paraId="0CE259EA" w14:textId="31CC4FCD" w:rsidR="0012003F" w:rsidRDefault="0012003F" w:rsidP="00471EE1">
      <w:pPr>
        <w:widowControl w:val="0"/>
        <w:spacing w:line="276" w:lineRule="auto"/>
        <w:ind w:firstLine="720"/>
        <w:jc w:val="both"/>
      </w:pPr>
      <w:r>
        <w:t xml:space="preserve">Kriminālprocesa likums neparedz aresta uzlikšanu noziedzīga nodarījuma izdarīšanas priekšmetam, tādēļ apelācijas </w:t>
      </w:r>
      <w:r w:rsidR="00F612BD">
        <w:t xml:space="preserve">instances </w:t>
      </w:r>
      <w:r>
        <w:t>tiesas atzinums, ka arests automašīnai nebija uzlikts ar mērķi konfiscēt to kā noziedzīgā nodarījuma izdarīšanas priekšmetu, rīku vai līdzekli</w:t>
      </w:r>
      <w:r w:rsidR="00872743">
        <w:t>,</w:t>
      </w:r>
      <w:r w:rsidR="00F612BD">
        <w:t xml:space="preserve"> </w:t>
      </w:r>
      <w:r w:rsidR="009E0046">
        <w:t>ir</w:t>
      </w:r>
      <w:r w:rsidR="00F612BD">
        <w:t xml:space="preserve"> </w:t>
      </w:r>
      <w:r w:rsidR="009E0046">
        <w:t>ne</w:t>
      </w:r>
      <w:r w:rsidR="00F612BD">
        <w:t>pamatots</w:t>
      </w:r>
      <w:r>
        <w:t>.</w:t>
      </w:r>
    </w:p>
    <w:p w14:paraId="5FFC764B" w14:textId="1C7ADFAA" w:rsidR="0012003F" w:rsidRDefault="00D13C78" w:rsidP="00471EE1">
      <w:pPr>
        <w:widowControl w:val="0"/>
        <w:spacing w:line="276" w:lineRule="auto"/>
        <w:ind w:firstLine="720"/>
        <w:jc w:val="both"/>
      </w:pPr>
      <w:r>
        <w:t>L</w:t>
      </w:r>
      <w:r w:rsidR="0012003F">
        <w:t xml:space="preserve">ēmumā par aresta uzlikšanu mantai </w:t>
      </w:r>
      <w:r>
        <w:t>norādītie aresta</w:t>
      </w:r>
      <w:r w:rsidR="0012003F">
        <w:t xml:space="preserve"> pamatojumi</w:t>
      </w:r>
      <w:r w:rsidR="00F612BD">
        <w:t xml:space="preserve"> </w:t>
      </w:r>
      <w:r>
        <w:t>neliedz</w:t>
      </w:r>
      <w:r w:rsidR="00F612BD">
        <w:t xml:space="preserve"> tiesai konfiscēt arestēto mantu kā noziedzīgā nodarījuma izdarīšanas priekšmetu, jo </w:t>
      </w:r>
      <w:r w:rsidR="00F612BD">
        <w:lastRenderedPageBreak/>
        <w:t>Krimināllikuma 70.</w:t>
      </w:r>
      <w:r w:rsidR="00F612BD">
        <w:rPr>
          <w:vertAlign w:val="superscript"/>
        </w:rPr>
        <w:t>12</w:t>
      </w:r>
      <w:r w:rsidR="00F612BD">
        <w:t> panta otrā daļa to noteic kā obligātu.</w:t>
      </w:r>
    </w:p>
    <w:p w14:paraId="0F5FE267" w14:textId="77777777" w:rsidR="00AC4795" w:rsidRDefault="00AC4795" w:rsidP="00471EE1">
      <w:pPr>
        <w:widowControl w:val="0"/>
        <w:spacing w:line="276" w:lineRule="auto"/>
        <w:ind w:firstLine="720"/>
        <w:jc w:val="both"/>
      </w:pPr>
    </w:p>
    <w:p w14:paraId="168A9E79" w14:textId="2111520A" w:rsidR="00AC4795" w:rsidRPr="00471EE1" w:rsidRDefault="00AC4795" w:rsidP="00AC4795">
      <w:pPr>
        <w:spacing w:line="276" w:lineRule="auto"/>
        <w:ind w:firstLine="720"/>
        <w:jc w:val="both"/>
        <w:rPr>
          <w:rFonts w:asciiTheme="majorBidi" w:hAnsiTheme="majorBidi" w:cstheme="majorBidi"/>
          <w:lang w:eastAsia="lv-LV"/>
        </w:rPr>
      </w:pPr>
      <w:r>
        <w:rPr>
          <w:rFonts w:asciiTheme="majorBidi" w:hAnsiTheme="majorBidi" w:cstheme="majorBidi"/>
          <w:lang w:eastAsia="lv-LV"/>
        </w:rPr>
        <w:t xml:space="preserve">[6] </w:t>
      </w:r>
      <w:r>
        <w:rPr>
          <w:rFonts w:asciiTheme="majorBidi" w:hAnsiTheme="majorBidi" w:cstheme="majorBidi"/>
        </w:rPr>
        <w:t xml:space="preserve">Apsūdzētais </w:t>
      </w:r>
      <w:r w:rsidR="0063035C">
        <w:rPr>
          <w:rFonts w:asciiTheme="majorBidi" w:hAnsiTheme="majorBidi" w:cstheme="majorBidi"/>
        </w:rPr>
        <w:t>[pers. A]</w:t>
      </w:r>
      <w:r w:rsidRPr="00471EE1">
        <w:rPr>
          <w:rFonts w:asciiTheme="majorBidi" w:hAnsiTheme="majorBidi" w:cstheme="majorBidi"/>
        </w:rPr>
        <w:t xml:space="preserve"> kasācijas </w:t>
      </w:r>
      <w:r>
        <w:rPr>
          <w:rFonts w:asciiTheme="majorBidi" w:hAnsiTheme="majorBidi" w:cstheme="majorBidi"/>
        </w:rPr>
        <w:t>sūdzībā</w:t>
      </w:r>
      <w:r w:rsidRPr="00471EE1">
        <w:rPr>
          <w:rFonts w:asciiTheme="majorBidi" w:hAnsiTheme="majorBidi" w:cstheme="majorBidi"/>
        </w:rPr>
        <w:t xml:space="preserve"> lūdz atcelt </w:t>
      </w:r>
      <w:r>
        <w:rPr>
          <w:rFonts w:asciiTheme="majorBidi" w:hAnsiTheme="majorBidi" w:cstheme="majorBidi"/>
        </w:rPr>
        <w:t>Latgales</w:t>
      </w:r>
      <w:r w:rsidRPr="00471EE1">
        <w:rPr>
          <w:rFonts w:asciiTheme="majorBidi" w:hAnsiTheme="majorBidi" w:cstheme="majorBidi"/>
        </w:rPr>
        <w:t xml:space="preserve"> apgabaltiesas 2023. gada </w:t>
      </w:r>
      <w:r>
        <w:rPr>
          <w:rFonts w:asciiTheme="majorBidi" w:hAnsiTheme="majorBidi" w:cstheme="majorBidi"/>
        </w:rPr>
        <w:t>28. novembra</w:t>
      </w:r>
      <w:r w:rsidRPr="00471EE1">
        <w:rPr>
          <w:rFonts w:asciiTheme="majorBidi" w:hAnsiTheme="majorBidi" w:cstheme="majorBidi"/>
        </w:rPr>
        <w:t xml:space="preserve"> spriedumu</w:t>
      </w:r>
      <w:r w:rsidR="00322EB6">
        <w:rPr>
          <w:rFonts w:asciiTheme="majorBidi" w:hAnsiTheme="majorBidi" w:cstheme="majorBidi"/>
        </w:rPr>
        <w:t xml:space="preserve"> daļā par viņa atzīšanu par vainīgu un sodīšanu</w:t>
      </w:r>
      <w:r w:rsidR="00E0769D">
        <w:rPr>
          <w:rFonts w:asciiTheme="majorBidi" w:hAnsiTheme="majorBidi" w:cstheme="majorBidi"/>
        </w:rPr>
        <w:t xml:space="preserve"> p</w:t>
      </w:r>
      <w:r w:rsidR="004555EE">
        <w:rPr>
          <w:rFonts w:asciiTheme="majorBidi" w:hAnsiTheme="majorBidi" w:cstheme="majorBidi"/>
        </w:rPr>
        <w:t>ēc</w:t>
      </w:r>
      <w:r w:rsidR="00E0769D">
        <w:rPr>
          <w:rFonts w:asciiTheme="majorBidi" w:hAnsiTheme="majorBidi" w:cstheme="majorBidi"/>
        </w:rPr>
        <w:t xml:space="preserve"> </w:t>
      </w:r>
      <w:r w:rsidR="00322EB6">
        <w:rPr>
          <w:rFonts w:asciiTheme="majorBidi" w:hAnsiTheme="majorBidi" w:cstheme="majorBidi"/>
        </w:rPr>
        <w:t>Krimināllikuma 116. pant</w:t>
      </w:r>
      <w:r w:rsidR="004555EE">
        <w:rPr>
          <w:rFonts w:asciiTheme="majorBidi" w:hAnsiTheme="majorBidi" w:cstheme="majorBidi"/>
        </w:rPr>
        <w:t>a</w:t>
      </w:r>
      <w:r w:rsidR="00640039">
        <w:rPr>
          <w:rFonts w:asciiTheme="majorBidi" w:hAnsiTheme="majorBidi" w:cstheme="majorBidi"/>
        </w:rPr>
        <w:t>,</w:t>
      </w:r>
      <w:r w:rsidR="00322EB6">
        <w:rPr>
          <w:rFonts w:asciiTheme="majorBidi" w:hAnsiTheme="majorBidi" w:cstheme="majorBidi"/>
        </w:rPr>
        <w:t xml:space="preserve"> daļā par </w:t>
      </w:r>
      <w:r w:rsidR="004555EE">
        <w:rPr>
          <w:rFonts w:asciiTheme="majorBidi" w:hAnsiTheme="majorBidi" w:cstheme="majorBidi"/>
        </w:rPr>
        <w:t>no</w:t>
      </w:r>
      <w:r w:rsidR="00640039">
        <w:rPr>
          <w:rFonts w:asciiTheme="majorBidi" w:hAnsiTheme="majorBidi" w:cstheme="majorBidi"/>
        </w:rPr>
        <w:t>teiktās</w:t>
      </w:r>
      <w:r w:rsidR="004555EE">
        <w:rPr>
          <w:rFonts w:asciiTheme="majorBidi" w:hAnsiTheme="majorBidi" w:cstheme="majorBidi"/>
        </w:rPr>
        <w:t xml:space="preserve"> </w:t>
      </w:r>
      <w:r w:rsidR="00322EB6">
        <w:rPr>
          <w:rFonts w:asciiTheme="majorBidi" w:hAnsiTheme="majorBidi" w:cstheme="majorBidi"/>
        </w:rPr>
        <w:t>kaitējuma kompensācijas apmēr</w:t>
      </w:r>
      <w:r w:rsidR="004555EE">
        <w:rPr>
          <w:rFonts w:asciiTheme="majorBidi" w:hAnsiTheme="majorBidi" w:cstheme="majorBidi"/>
        </w:rPr>
        <w:t>u</w:t>
      </w:r>
      <w:r w:rsidRPr="00471EE1">
        <w:rPr>
          <w:rFonts w:asciiTheme="majorBidi" w:hAnsiTheme="majorBidi" w:cstheme="majorBidi"/>
        </w:rPr>
        <w:t xml:space="preserve"> </w:t>
      </w:r>
      <w:r>
        <w:rPr>
          <w:rFonts w:asciiTheme="majorBidi" w:hAnsiTheme="majorBidi" w:cstheme="majorBidi"/>
        </w:rPr>
        <w:t xml:space="preserve">un nosūtīt lietu jaunai izskatīšanai apelācijas instances tiesā. </w:t>
      </w:r>
    </w:p>
    <w:p w14:paraId="5EEE355D" w14:textId="1ABA828D" w:rsidR="00AC4795" w:rsidRPr="00471EE1" w:rsidRDefault="00AC4795" w:rsidP="00AC4795">
      <w:pPr>
        <w:widowControl w:val="0"/>
        <w:spacing w:line="276" w:lineRule="auto"/>
        <w:ind w:firstLine="720"/>
        <w:jc w:val="both"/>
        <w:rPr>
          <w:rFonts w:asciiTheme="majorBidi" w:hAnsiTheme="majorBidi" w:cstheme="majorBidi"/>
          <w:lang w:eastAsia="lv-LV"/>
        </w:rPr>
      </w:pPr>
      <w:r w:rsidRPr="00471EE1">
        <w:rPr>
          <w:rFonts w:asciiTheme="majorBidi" w:hAnsiTheme="majorBidi" w:cstheme="majorBidi"/>
          <w:lang w:eastAsia="lv-LV"/>
        </w:rPr>
        <w:t xml:space="preserve">Savu lūgumu </w:t>
      </w:r>
      <w:r>
        <w:rPr>
          <w:rFonts w:asciiTheme="majorBidi" w:hAnsiTheme="majorBidi" w:cstheme="majorBidi"/>
          <w:lang w:eastAsia="lv-LV"/>
        </w:rPr>
        <w:t xml:space="preserve">apsūdzētais </w:t>
      </w:r>
      <w:r w:rsidRPr="00471EE1">
        <w:rPr>
          <w:rFonts w:asciiTheme="majorBidi" w:hAnsiTheme="majorBidi" w:cstheme="majorBidi"/>
          <w:lang w:eastAsia="lv-LV"/>
        </w:rPr>
        <w:t>pamatojis ar šādiem argumentiem.</w:t>
      </w:r>
    </w:p>
    <w:p w14:paraId="4FD6FA6C" w14:textId="7D1A2559" w:rsidR="00A112B4" w:rsidRDefault="00AC4795" w:rsidP="00880B4F">
      <w:pPr>
        <w:widowControl w:val="0"/>
        <w:spacing w:line="276" w:lineRule="auto"/>
        <w:ind w:firstLine="720"/>
        <w:jc w:val="both"/>
      </w:pPr>
      <w:r>
        <w:t xml:space="preserve">[6.1] </w:t>
      </w:r>
      <w:r w:rsidR="004C63AB">
        <w:t xml:space="preserve">Apelācijas instances tiesa nav izvērtējusi apsūdzētā </w:t>
      </w:r>
      <w:r w:rsidR="0063035C">
        <w:rPr>
          <w:rFonts w:asciiTheme="majorBidi" w:hAnsiTheme="majorBidi" w:cstheme="majorBidi"/>
        </w:rPr>
        <w:t>[pers. A]</w:t>
      </w:r>
      <w:r w:rsidR="00A60097">
        <w:t xml:space="preserve"> </w:t>
      </w:r>
      <w:proofErr w:type="spellStart"/>
      <w:r w:rsidR="00A60097">
        <w:t>pirmstiesas</w:t>
      </w:r>
      <w:proofErr w:type="spellEnd"/>
      <w:r w:rsidR="00A60097">
        <w:t xml:space="preserve"> procesā sniegtās</w:t>
      </w:r>
      <w:r w:rsidR="004C63AB">
        <w:t xml:space="preserve"> liecības kopsakarā ar</w:t>
      </w:r>
      <w:r w:rsidR="00A60097">
        <w:t xml:space="preserve"> viņa liecībām</w:t>
      </w:r>
      <w:r w:rsidR="004C63AB">
        <w:t xml:space="preserve"> </w:t>
      </w:r>
      <w:r w:rsidR="00A60097">
        <w:t xml:space="preserve">pirmās instances tiesā un </w:t>
      </w:r>
      <w:r w:rsidR="004C63AB">
        <w:t xml:space="preserve">apelācijas </w:t>
      </w:r>
      <w:r w:rsidR="00A60097">
        <w:t>instances tiesā, nepamatoti piešķirot augstāku ticamības pakāpi viņa sākotnējām liecībām. Turklāt tiesa ir pievienojusies pirmās instances tiesas sniegtajam pierādījumu vērtējumam, neizdarot patstāvīgu šo pierādījumu izvērtējumu.</w:t>
      </w:r>
    </w:p>
    <w:p w14:paraId="31BB4927" w14:textId="13E4960D" w:rsidR="00A112B4" w:rsidRDefault="00A112B4" w:rsidP="00880B4F">
      <w:pPr>
        <w:widowControl w:val="0"/>
        <w:spacing w:line="276" w:lineRule="auto"/>
        <w:ind w:firstLine="720"/>
        <w:jc w:val="both"/>
      </w:pPr>
      <w:r>
        <w:t xml:space="preserve">Tiesa nav pamatojusi ar pierādījumiem atzinumu, ka apsūdzētais </w:t>
      </w:r>
      <w:r w:rsidR="0063035C">
        <w:rPr>
          <w:rFonts w:asciiTheme="majorBidi" w:hAnsiTheme="majorBidi" w:cstheme="majorBidi"/>
        </w:rPr>
        <w:t>[pers. A]</w:t>
      </w:r>
      <w:r>
        <w:t xml:space="preserve"> ir veicis apzinātas un mērķtiecīgas darbības nolūkā nonāvēt</w:t>
      </w:r>
      <w:r w:rsidR="003A5BA4">
        <w:t xml:space="preserve"> </w:t>
      </w:r>
      <w:r w:rsidR="0063035C">
        <w:t>[pers. F]</w:t>
      </w:r>
      <w:r w:rsidR="003A5BA4">
        <w:t>, nevis aizstāvējies pret viņa darbībām un draudiem veselībai un dzīvībai.</w:t>
      </w:r>
    </w:p>
    <w:p w14:paraId="4C5EB74B" w14:textId="77777777" w:rsidR="00370823" w:rsidRDefault="00A112B4" w:rsidP="00370823">
      <w:pPr>
        <w:widowControl w:val="0"/>
        <w:spacing w:line="276" w:lineRule="auto"/>
        <w:ind w:firstLine="720"/>
        <w:jc w:val="both"/>
      </w:pPr>
      <w:r>
        <w:t>Tādējādi tiesa ir pārkāpusi Kriminālprocesa likuma 564. panta ceturto daļu.</w:t>
      </w:r>
      <w:r w:rsidR="00370823" w:rsidRPr="00370823">
        <w:t xml:space="preserve"> </w:t>
      </w:r>
    </w:p>
    <w:p w14:paraId="7CFD40F2" w14:textId="6AE0C231" w:rsidR="00370823" w:rsidRDefault="00370823" w:rsidP="00370823">
      <w:pPr>
        <w:widowControl w:val="0"/>
        <w:spacing w:line="276" w:lineRule="auto"/>
        <w:ind w:firstLine="720"/>
        <w:jc w:val="both"/>
      </w:pPr>
      <w:r>
        <w:t>Vērtējot pierādījumus, tiesa pārkāpusi Kriminālprocesa likuma 19. pantu, jo pastāvošās šaubas par apsūdzētā vainīgumu viņam inkriminētajā noziedzīgajā nodarījumā nav novērsusi un nav tulkojusi par labu apsūdzētajam.</w:t>
      </w:r>
    </w:p>
    <w:p w14:paraId="7411BD32" w14:textId="6A332716" w:rsidR="00BF399E" w:rsidRDefault="00BF399E" w:rsidP="00AC4795">
      <w:pPr>
        <w:widowControl w:val="0"/>
        <w:spacing w:line="276" w:lineRule="auto"/>
        <w:ind w:firstLine="720"/>
        <w:jc w:val="both"/>
      </w:pPr>
      <w:r>
        <w:t xml:space="preserve">[6.2] </w:t>
      </w:r>
      <w:r w:rsidR="00A60097">
        <w:t>T</w:t>
      </w:r>
      <w:r>
        <w:t>iesa</w:t>
      </w:r>
      <w:r w:rsidR="004555EE">
        <w:t xml:space="preserve"> nepamatoti atzinusi par pieļaujamu pierādījumu</w:t>
      </w:r>
      <w:r>
        <w:t xml:space="preserve"> liecinieka </w:t>
      </w:r>
      <w:r w:rsidR="0063035C">
        <w:t>[pers. G]</w:t>
      </w:r>
      <w:r>
        <w:t xml:space="preserve"> liecības</w:t>
      </w:r>
      <w:r w:rsidR="00A60097">
        <w:t xml:space="preserve"> par apstākļiem</w:t>
      </w:r>
      <w:r w:rsidR="00AD28CC">
        <w:t>, kurus viņš redzēja</w:t>
      </w:r>
      <w:r w:rsidR="002B7CC8">
        <w:t>, atrodoties</w:t>
      </w:r>
      <w:r>
        <w:t xml:space="preserve"> alkohola reibum</w:t>
      </w:r>
      <w:r w:rsidR="004555EE">
        <w:t>ā</w:t>
      </w:r>
      <w:r w:rsidR="00AD28CC">
        <w:t>, kas ietekmēja viņa spējas uztvert notiekošo un liecināt</w:t>
      </w:r>
      <w:r>
        <w:t>.</w:t>
      </w:r>
      <w:r w:rsidR="00AD28CC">
        <w:t xml:space="preserve"> Tādējādi tiesa pārkāpusi Kriminālprocesa likuma 127.</w:t>
      </w:r>
      <w:r w:rsidR="00E42CA8">
        <w:t xml:space="preserve"> </w:t>
      </w:r>
      <w:r w:rsidR="00AD28CC">
        <w:t>un 128. pantu.</w:t>
      </w:r>
    </w:p>
    <w:p w14:paraId="777A5F52" w14:textId="12EDAA43" w:rsidR="006341FD" w:rsidRDefault="006341FD" w:rsidP="006341FD">
      <w:pPr>
        <w:widowControl w:val="0"/>
        <w:spacing w:line="276" w:lineRule="auto"/>
        <w:ind w:firstLine="720"/>
        <w:jc w:val="both"/>
        <w:rPr>
          <w:rFonts w:asciiTheme="majorBidi" w:hAnsiTheme="majorBidi" w:cstheme="majorBidi"/>
        </w:rPr>
      </w:pPr>
      <w:r>
        <w:rPr>
          <w:rFonts w:asciiTheme="majorBidi" w:hAnsiTheme="majorBidi" w:cstheme="majorBidi"/>
        </w:rPr>
        <w:t>[6.</w:t>
      </w:r>
      <w:r w:rsidR="00370823">
        <w:rPr>
          <w:rFonts w:asciiTheme="majorBidi" w:hAnsiTheme="majorBidi" w:cstheme="majorBidi"/>
        </w:rPr>
        <w:t>3</w:t>
      </w:r>
      <w:r>
        <w:rPr>
          <w:rFonts w:asciiTheme="majorBidi" w:hAnsiTheme="majorBidi" w:cstheme="majorBidi"/>
        </w:rPr>
        <w:t xml:space="preserve">] </w:t>
      </w:r>
      <w:r w:rsidR="00733DAB">
        <w:rPr>
          <w:rFonts w:asciiTheme="majorBidi" w:hAnsiTheme="majorBidi" w:cstheme="majorBidi"/>
        </w:rPr>
        <w:t xml:space="preserve">Apelācijas instances tiesa </w:t>
      </w:r>
      <w:r w:rsidR="00172E31">
        <w:rPr>
          <w:rFonts w:asciiTheme="majorBidi" w:hAnsiTheme="majorBidi" w:cstheme="majorBidi"/>
        </w:rPr>
        <w:t>nav pamatojusi atzinumu par</w:t>
      </w:r>
      <w:r w:rsidR="00733DAB">
        <w:rPr>
          <w:rFonts w:asciiTheme="majorBidi" w:hAnsiTheme="majorBidi" w:cstheme="majorBidi"/>
        </w:rPr>
        <w:t xml:space="preserve"> cietušo labā </w:t>
      </w:r>
      <w:r w:rsidR="00733DAB" w:rsidRPr="0084065E">
        <w:rPr>
          <w:rFonts w:asciiTheme="majorBidi" w:hAnsiTheme="majorBidi" w:cstheme="majorBidi"/>
        </w:rPr>
        <w:t>piedzenam</w:t>
      </w:r>
      <w:r w:rsidR="0084065E">
        <w:rPr>
          <w:rFonts w:asciiTheme="majorBidi" w:hAnsiTheme="majorBidi" w:cstheme="majorBidi"/>
        </w:rPr>
        <w:t>o</w:t>
      </w:r>
      <w:r w:rsidR="00733DAB" w:rsidRPr="0084065E">
        <w:rPr>
          <w:rFonts w:asciiTheme="majorBidi" w:hAnsiTheme="majorBidi" w:cstheme="majorBidi"/>
        </w:rPr>
        <w:t xml:space="preserve"> morālā kaitējuma kompensācij</w:t>
      </w:r>
      <w:r w:rsidR="0084065E" w:rsidRPr="0084065E">
        <w:rPr>
          <w:rFonts w:asciiTheme="majorBidi" w:hAnsiTheme="majorBidi" w:cstheme="majorBidi"/>
        </w:rPr>
        <w:t>u</w:t>
      </w:r>
      <w:r w:rsidR="00733DAB" w:rsidRPr="0084065E">
        <w:rPr>
          <w:rFonts w:asciiTheme="majorBidi" w:hAnsiTheme="majorBidi" w:cstheme="majorBidi"/>
        </w:rPr>
        <w:t xml:space="preserve"> apmēru</w:t>
      </w:r>
      <w:r w:rsidR="00172E31">
        <w:rPr>
          <w:rFonts w:asciiTheme="majorBidi" w:hAnsiTheme="majorBidi" w:cstheme="majorBidi"/>
        </w:rPr>
        <w:t xml:space="preserve"> un</w:t>
      </w:r>
      <w:r w:rsidR="00733DAB">
        <w:rPr>
          <w:rFonts w:asciiTheme="majorBidi" w:hAnsiTheme="majorBidi" w:cstheme="majorBidi"/>
        </w:rPr>
        <w:t xml:space="preserve"> noteikusi</w:t>
      </w:r>
      <w:r w:rsidR="00172E31">
        <w:rPr>
          <w:rFonts w:asciiTheme="majorBidi" w:hAnsiTheme="majorBidi" w:cstheme="majorBidi"/>
        </w:rPr>
        <w:t xml:space="preserve"> to</w:t>
      </w:r>
      <w:r w:rsidR="00733DAB">
        <w:rPr>
          <w:rFonts w:asciiTheme="majorBidi" w:hAnsiTheme="majorBidi" w:cstheme="majorBidi"/>
        </w:rPr>
        <w:t xml:space="preserve"> lielāku par Augstākās tiesas </w:t>
      </w:r>
      <w:bookmarkStart w:id="2" w:name="_Hlk191382666"/>
      <w:r w:rsidR="00733DAB">
        <w:rPr>
          <w:rFonts w:asciiTheme="majorBidi" w:hAnsiTheme="majorBidi" w:cstheme="majorBidi"/>
        </w:rPr>
        <w:t xml:space="preserve">2010./2011. gada tiesu prakses </w:t>
      </w:r>
      <w:bookmarkEnd w:id="2"/>
      <w:r w:rsidR="00733DAB">
        <w:rPr>
          <w:rFonts w:asciiTheme="majorBidi" w:hAnsiTheme="majorBidi" w:cstheme="majorBidi"/>
        </w:rPr>
        <w:t xml:space="preserve">apkopojumā „Tiesu prakse par morālā kaitējuma kompensāciju kriminālprocesā” </w:t>
      </w:r>
      <w:r w:rsidR="00172E31">
        <w:rPr>
          <w:rFonts w:asciiTheme="majorBidi" w:hAnsiTheme="majorBidi" w:cstheme="majorBidi"/>
        </w:rPr>
        <w:t>rekomendēto</w:t>
      </w:r>
      <w:r w:rsidR="00733DAB">
        <w:rPr>
          <w:rFonts w:asciiTheme="majorBidi" w:hAnsiTheme="majorBidi" w:cstheme="majorBidi"/>
        </w:rPr>
        <w:t>.</w:t>
      </w:r>
      <w:r w:rsidR="00172E31">
        <w:rPr>
          <w:rFonts w:asciiTheme="majorBidi" w:hAnsiTheme="majorBidi" w:cstheme="majorBidi"/>
        </w:rPr>
        <w:t xml:space="preserve"> Tādējādi tiesa ir pārkāpusi Kriminālprocesa likuma 12. pantu.</w:t>
      </w:r>
    </w:p>
    <w:p w14:paraId="3AC02296" w14:textId="77777777" w:rsidR="00E0769D" w:rsidRDefault="00E0769D" w:rsidP="002C141A">
      <w:pPr>
        <w:spacing w:line="276" w:lineRule="auto"/>
        <w:jc w:val="center"/>
        <w:rPr>
          <w:rFonts w:asciiTheme="majorBidi" w:hAnsiTheme="majorBidi" w:cstheme="majorBidi"/>
          <w:b/>
          <w:bCs/>
        </w:rPr>
      </w:pPr>
    </w:p>
    <w:p w14:paraId="078487C2" w14:textId="096DD3AB" w:rsidR="002C141A" w:rsidRDefault="00E0769D" w:rsidP="002C141A">
      <w:pPr>
        <w:spacing w:line="276" w:lineRule="auto"/>
        <w:jc w:val="center"/>
        <w:rPr>
          <w:rFonts w:asciiTheme="majorBidi" w:hAnsiTheme="majorBidi" w:cstheme="majorBidi"/>
          <w:b/>
          <w:bCs/>
        </w:rPr>
      </w:pPr>
      <w:r>
        <w:rPr>
          <w:rFonts w:asciiTheme="majorBidi" w:hAnsiTheme="majorBidi" w:cstheme="majorBidi"/>
          <w:b/>
          <w:bCs/>
        </w:rPr>
        <w:t>M</w:t>
      </w:r>
      <w:r w:rsidR="002C141A">
        <w:rPr>
          <w:rFonts w:asciiTheme="majorBidi" w:hAnsiTheme="majorBidi" w:cstheme="majorBidi"/>
          <w:b/>
          <w:bCs/>
        </w:rPr>
        <w:t>otīvu daļa</w:t>
      </w:r>
    </w:p>
    <w:p w14:paraId="0258D766" w14:textId="77777777" w:rsidR="002C141A" w:rsidRDefault="002C141A" w:rsidP="002C141A">
      <w:pPr>
        <w:spacing w:line="276" w:lineRule="auto"/>
        <w:jc w:val="both"/>
        <w:rPr>
          <w:rFonts w:asciiTheme="majorBidi" w:hAnsiTheme="majorBidi" w:cstheme="majorBidi"/>
        </w:rPr>
      </w:pPr>
    </w:p>
    <w:p w14:paraId="658716EE" w14:textId="0FAAFF1F" w:rsidR="002C141A" w:rsidRDefault="002C141A" w:rsidP="00F756B3">
      <w:pPr>
        <w:spacing w:line="276" w:lineRule="auto"/>
        <w:ind w:right="3" w:firstLine="720"/>
        <w:jc w:val="both"/>
        <w:rPr>
          <w:rFonts w:asciiTheme="majorBidi" w:hAnsiTheme="majorBidi" w:cstheme="majorBidi"/>
        </w:rPr>
      </w:pPr>
      <w:r>
        <w:rPr>
          <w:rFonts w:asciiTheme="majorBidi" w:hAnsiTheme="majorBidi" w:cstheme="majorBidi"/>
        </w:rPr>
        <w:t>[</w:t>
      </w:r>
      <w:r w:rsidR="00E0769D">
        <w:rPr>
          <w:rFonts w:asciiTheme="majorBidi" w:hAnsiTheme="majorBidi" w:cstheme="majorBidi"/>
        </w:rPr>
        <w:t>7</w:t>
      </w:r>
      <w:r>
        <w:rPr>
          <w:rFonts w:asciiTheme="majorBidi" w:hAnsiTheme="majorBidi" w:cstheme="majorBidi"/>
        </w:rPr>
        <w:t xml:space="preserve">] </w:t>
      </w:r>
      <w:r w:rsidR="00F756B3">
        <w:rPr>
          <w:rFonts w:asciiTheme="majorBidi" w:hAnsiTheme="majorBidi" w:cstheme="majorBidi"/>
        </w:rPr>
        <w:t xml:space="preserve">Lai izlemtu kasācijas protestu, </w:t>
      </w:r>
      <w:r w:rsidR="00FE3740">
        <w:rPr>
          <w:rFonts w:asciiTheme="majorBidi" w:hAnsiTheme="majorBidi" w:cstheme="majorBidi"/>
        </w:rPr>
        <w:t xml:space="preserve">Senātam </w:t>
      </w:r>
      <w:r w:rsidR="003C643E">
        <w:rPr>
          <w:rFonts w:asciiTheme="majorBidi" w:hAnsiTheme="majorBidi" w:cstheme="majorBidi"/>
        </w:rPr>
        <w:t xml:space="preserve">vispirms </w:t>
      </w:r>
      <w:r w:rsidR="00FE3740">
        <w:rPr>
          <w:rFonts w:asciiTheme="majorBidi" w:hAnsiTheme="majorBidi" w:cstheme="majorBidi"/>
        </w:rPr>
        <w:t xml:space="preserve">jāsniedz atbilde, vai </w:t>
      </w:r>
      <w:r w:rsidR="00E4580D">
        <w:rPr>
          <w:rFonts w:asciiTheme="majorBidi" w:hAnsiTheme="majorBidi" w:cstheme="majorBidi"/>
        </w:rPr>
        <w:t xml:space="preserve">vispārīgi </w:t>
      </w:r>
      <w:r w:rsidR="00FE3740">
        <w:rPr>
          <w:rFonts w:asciiTheme="majorBidi" w:hAnsiTheme="majorBidi" w:cstheme="majorBidi"/>
        </w:rPr>
        <w:t>noziedzīga nodarījuma slēpšanā izmantota automašīna ir atzīstama par noziedzīga nodarījuma izdarīšanas priekšmetu.</w:t>
      </w:r>
    </w:p>
    <w:p w14:paraId="14F62DB7" w14:textId="37805DDF" w:rsidR="00397E4B" w:rsidRDefault="00FE3740" w:rsidP="00397E4B">
      <w:pPr>
        <w:spacing w:line="276" w:lineRule="auto"/>
        <w:ind w:right="3" w:firstLine="720"/>
        <w:jc w:val="both"/>
        <w:rPr>
          <w:rFonts w:asciiTheme="majorBidi" w:hAnsiTheme="majorBidi" w:cstheme="majorBidi"/>
        </w:rPr>
      </w:pPr>
      <w:bookmarkStart w:id="3" w:name="_Hlk193290141"/>
      <w:r>
        <w:rPr>
          <w:rFonts w:asciiTheme="majorBidi" w:hAnsiTheme="majorBidi" w:cstheme="majorBidi"/>
        </w:rPr>
        <w:t xml:space="preserve">[7.1] </w:t>
      </w:r>
      <w:r w:rsidR="00397E4B">
        <w:rPr>
          <w:rFonts w:asciiTheme="majorBidi" w:hAnsiTheme="majorBidi" w:cstheme="majorBidi"/>
        </w:rPr>
        <w:t xml:space="preserve">Ar 2017. gada 22. jūnija likumu </w:t>
      </w:r>
      <w:r w:rsidR="0089090F">
        <w:rPr>
          <w:rFonts w:asciiTheme="majorBidi" w:hAnsiTheme="majorBidi" w:cstheme="majorBidi"/>
        </w:rPr>
        <w:t>„</w:t>
      </w:r>
      <w:r w:rsidR="00397E4B">
        <w:rPr>
          <w:rFonts w:asciiTheme="majorBidi" w:hAnsiTheme="majorBidi" w:cstheme="majorBidi"/>
        </w:rPr>
        <w:t>Grozījumi Krimināllikumā” Krimināllikums tika papildināts ar VIII</w:t>
      </w:r>
      <w:r w:rsidR="00397E4B">
        <w:rPr>
          <w:rFonts w:asciiTheme="majorBidi" w:hAnsiTheme="majorBidi" w:cstheme="majorBidi"/>
          <w:vertAlign w:val="superscript"/>
        </w:rPr>
        <w:t>2</w:t>
      </w:r>
      <w:r w:rsidR="0089090F">
        <w:rPr>
          <w:rFonts w:asciiTheme="majorBidi" w:hAnsiTheme="majorBidi" w:cstheme="majorBidi"/>
        </w:rPr>
        <w:t xml:space="preserve"> </w:t>
      </w:r>
      <w:r w:rsidR="00397E4B">
        <w:rPr>
          <w:rFonts w:asciiTheme="majorBidi" w:hAnsiTheme="majorBidi" w:cstheme="majorBidi"/>
        </w:rPr>
        <w:t xml:space="preserve">nodaļu, kā vienu no mantas īpašās konfiskācijas veidiem nosakot noziedzīgā nodarījuma izdarīšanas priekšmeta piespiedu bezatlīdzības atsavināšanu valsts īpašumā. </w:t>
      </w:r>
    </w:p>
    <w:p w14:paraId="4737F315" w14:textId="24415519" w:rsidR="00F756B3" w:rsidRDefault="00397E4B" w:rsidP="00397E4B">
      <w:pPr>
        <w:spacing w:line="276" w:lineRule="auto"/>
        <w:ind w:right="3" w:firstLine="720"/>
        <w:jc w:val="both"/>
        <w:rPr>
          <w:rFonts w:asciiTheme="majorBidi" w:hAnsiTheme="majorBidi" w:cstheme="majorBidi"/>
        </w:rPr>
      </w:pPr>
      <w:r>
        <w:rPr>
          <w:rFonts w:asciiTheme="majorBidi" w:hAnsiTheme="majorBidi" w:cstheme="majorBidi"/>
        </w:rPr>
        <w:t xml:space="preserve">Saeimas likumprojekta </w:t>
      </w:r>
      <w:r w:rsidR="0089090F">
        <w:rPr>
          <w:rFonts w:asciiTheme="majorBidi" w:hAnsiTheme="majorBidi" w:cstheme="majorBidi"/>
        </w:rPr>
        <w:t>„</w:t>
      </w:r>
      <w:r>
        <w:rPr>
          <w:rFonts w:asciiTheme="majorBidi" w:hAnsiTheme="majorBidi" w:cstheme="majorBidi"/>
        </w:rPr>
        <w:t>Grozījumi Krimināllikumā” anotācij</w:t>
      </w:r>
      <w:r w:rsidR="00F756B3">
        <w:rPr>
          <w:rFonts w:asciiTheme="majorBidi" w:hAnsiTheme="majorBidi" w:cstheme="majorBidi"/>
        </w:rPr>
        <w:t>ā norādīts</w:t>
      </w:r>
      <w:r>
        <w:rPr>
          <w:rFonts w:asciiTheme="majorBidi" w:hAnsiTheme="majorBidi" w:cstheme="majorBidi"/>
        </w:rPr>
        <w:t xml:space="preserve">, ka minētie likuma grozījumi ir saistīti </w:t>
      </w:r>
      <w:r w:rsidR="00A95577">
        <w:rPr>
          <w:rFonts w:asciiTheme="majorBidi" w:hAnsiTheme="majorBidi" w:cstheme="majorBidi"/>
        </w:rPr>
        <w:t xml:space="preserve">arī </w:t>
      </w:r>
      <w:r>
        <w:rPr>
          <w:rFonts w:asciiTheme="majorBidi" w:hAnsiTheme="majorBidi" w:cstheme="majorBidi"/>
        </w:rPr>
        <w:t xml:space="preserve">ar Eiropas Parlamenta un Padomes </w:t>
      </w:r>
      <w:r w:rsidR="00C76687">
        <w:rPr>
          <w:rFonts w:asciiTheme="majorBidi" w:hAnsiTheme="majorBidi" w:cstheme="majorBidi"/>
        </w:rPr>
        <w:t xml:space="preserve">2014. gada 3. aprīļa </w:t>
      </w:r>
      <w:r w:rsidR="006B3BB1">
        <w:rPr>
          <w:rFonts w:asciiTheme="majorBidi" w:hAnsiTheme="majorBidi" w:cstheme="majorBidi"/>
        </w:rPr>
        <w:t>D</w:t>
      </w:r>
      <w:r>
        <w:rPr>
          <w:rFonts w:asciiTheme="majorBidi" w:hAnsiTheme="majorBidi" w:cstheme="majorBidi"/>
        </w:rPr>
        <w:t xml:space="preserve">irektīvas </w:t>
      </w:r>
      <w:bookmarkStart w:id="4" w:name="_Hlk193207260"/>
      <w:r>
        <w:rPr>
          <w:rFonts w:asciiTheme="majorBidi" w:hAnsiTheme="majorBidi" w:cstheme="majorBidi"/>
        </w:rPr>
        <w:t xml:space="preserve">2014/42/ES </w:t>
      </w:r>
      <w:bookmarkEnd w:id="4"/>
      <w:r>
        <w:rPr>
          <w:rFonts w:asciiTheme="majorBidi" w:hAnsiTheme="majorBidi" w:cstheme="majorBidi"/>
        </w:rPr>
        <w:t>par nozieguma rīku un noziedzīgi iegūtu līdzekļu iesaldēšanu un konfiskāciju Eiropas Savienībā</w:t>
      </w:r>
      <w:r w:rsidR="007E6018">
        <w:rPr>
          <w:rFonts w:asciiTheme="majorBidi" w:hAnsiTheme="majorBidi" w:cstheme="majorBidi"/>
        </w:rPr>
        <w:t xml:space="preserve"> </w:t>
      </w:r>
      <w:r w:rsidR="0089090F">
        <w:rPr>
          <w:rFonts w:asciiTheme="majorBidi" w:hAnsiTheme="majorBidi" w:cstheme="majorBidi"/>
        </w:rPr>
        <w:t xml:space="preserve">(turpmāk – Direktīva 2014/42/ES) </w:t>
      </w:r>
      <w:r w:rsidR="007E6018">
        <w:rPr>
          <w:rFonts w:asciiTheme="majorBidi" w:hAnsiTheme="majorBidi" w:cstheme="majorBidi"/>
        </w:rPr>
        <w:t>no</w:t>
      </w:r>
      <w:r w:rsidR="004A6804">
        <w:rPr>
          <w:rFonts w:asciiTheme="majorBidi" w:hAnsiTheme="majorBidi" w:cstheme="majorBidi"/>
        </w:rPr>
        <w:t>rmu</w:t>
      </w:r>
      <w:r w:rsidR="002B7CC8">
        <w:rPr>
          <w:rFonts w:asciiTheme="majorBidi" w:hAnsiTheme="majorBidi" w:cstheme="majorBidi"/>
        </w:rPr>
        <w:t xml:space="preserve"> </w:t>
      </w:r>
      <w:r w:rsidR="007E6018">
        <w:rPr>
          <w:rFonts w:asciiTheme="majorBidi" w:hAnsiTheme="majorBidi" w:cstheme="majorBidi"/>
        </w:rPr>
        <w:t>transponēšanu</w:t>
      </w:r>
      <w:r w:rsidR="00F756B3">
        <w:rPr>
          <w:rFonts w:asciiTheme="majorBidi" w:hAnsiTheme="majorBidi" w:cstheme="majorBidi"/>
        </w:rPr>
        <w:t xml:space="preserve"> Latvijas normatīvajos aktos</w:t>
      </w:r>
      <w:r w:rsidR="0009243B">
        <w:rPr>
          <w:rFonts w:asciiTheme="majorBidi" w:hAnsiTheme="majorBidi" w:cstheme="majorBidi"/>
        </w:rPr>
        <w:t>.</w:t>
      </w:r>
      <w:r w:rsidR="002F0301">
        <w:rPr>
          <w:rFonts w:asciiTheme="majorBidi" w:hAnsiTheme="majorBidi" w:cstheme="majorBidi"/>
        </w:rPr>
        <w:t xml:space="preserve"> </w:t>
      </w:r>
      <w:r w:rsidR="00C24C00">
        <w:rPr>
          <w:rFonts w:asciiTheme="majorBidi" w:hAnsiTheme="majorBidi" w:cstheme="majorBidi"/>
        </w:rPr>
        <w:t xml:space="preserve">Lai arī noziedzīgais nodarījums, par kura izdarīšanu celta apsūdzība, neietilpst Direktīvas 2014/42/ES darbības jomā (sk. </w:t>
      </w:r>
      <w:r w:rsidR="002F2620" w:rsidRPr="002F2620">
        <w:rPr>
          <w:rFonts w:asciiTheme="majorBidi" w:hAnsiTheme="majorBidi" w:cstheme="majorBidi"/>
          <w:i/>
          <w:iCs/>
        </w:rPr>
        <w:t xml:space="preserve">direktīvas </w:t>
      </w:r>
      <w:r w:rsidR="00C24C00" w:rsidRPr="002F2620">
        <w:rPr>
          <w:rFonts w:asciiTheme="majorBidi" w:hAnsiTheme="majorBidi" w:cstheme="majorBidi"/>
          <w:i/>
          <w:iCs/>
        </w:rPr>
        <w:t>3. pantu</w:t>
      </w:r>
      <w:r w:rsidR="00C24C00">
        <w:rPr>
          <w:rFonts w:asciiTheme="majorBidi" w:hAnsiTheme="majorBidi" w:cstheme="majorBidi"/>
        </w:rPr>
        <w:t xml:space="preserve">), ciktāl Krimināllikumā nav nošķirta noziedzīgā nodarījuma izdarīšanas </w:t>
      </w:r>
      <w:r w:rsidR="00C24C00">
        <w:rPr>
          <w:rFonts w:asciiTheme="majorBidi" w:hAnsiTheme="majorBidi" w:cstheme="majorBidi"/>
        </w:rPr>
        <w:lastRenderedPageBreak/>
        <w:t xml:space="preserve">priekšmeta konfiskācija atkarībā no noziedzīgā nodarījuma veida, šīs </w:t>
      </w:r>
      <w:r w:rsidR="00F756B3">
        <w:rPr>
          <w:rFonts w:asciiTheme="majorBidi" w:hAnsiTheme="majorBidi" w:cstheme="majorBidi"/>
        </w:rPr>
        <w:t>Krimināllikuma normas satura atklāšan</w:t>
      </w:r>
      <w:r w:rsidR="00F13FB2">
        <w:rPr>
          <w:rFonts w:asciiTheme="majorBidi" w:hAnsiTheme="majorBidi" w:cstheme="majorBidi"/>
        </w:rPr>
        <w:t>ā</w:t>
      </w:r>
      <w:r w:rsidR="00F756B3">
        <w:rPr>
          <w:rFonts w:asciiTheme="majorBidi" w:hAnsiTheme="majorBidi" w:cstheme="majorBidi"/>
        </w:rPr>
        <w:t xml:space="preserve"> izmantojams </w:t>
      </w:r>
      <w:r w:rsidR="00F13FB2">
        <w:rPr>
          <w:rFonts w:asciiTheme="majorBidi" w:hAnsiTheme="majorBidi" w:cstheme="majorBidi"/>
        </w:rPr>
        <w:t xml:space="preserve">attiecīgās </w:t>
      </w:r>
      <w:r w:rsidR="00F756B3">
        <w:rPr>
          <w:rFonts w:asciiTheme="majorBidi" w:hAnsiTheme="majorBidi" w:cstheme="majorBidi"/>
        </w:rPr>
        <w:t>direktīvas normas saturs</w:t>
      </w:r>
      <w:r w:rsidR="00F13FB2">
        <w:rPr>
          <w:rFonts w:asciiTheme="majorBidi" w:hAnsiTheme="majorBidi" w:cstheme="majorBidi"/>
        </w:rPr>
        <w:t xml:space="preserve"> un tā interpretācija Eiropas Savienības Tiesas judikatūrā</w:t>
      </w:r>
      <w:r w:rsidR="00F756B3">
        <w:rPr>
          <w:rFonts w:asciiTheme="majorBidi" w:hAnsiTheme="majorBidi" w:cstheme="majorBidi"/>
        </w:rPr>
        <w:t>.</w:t>
      </w:r>
    </w:p>
    <w:p w14:paraId="4E5A4176" w14:textId="06B2B153" w:rsidR="00397E4B" w:rsidRPr="00273731" w:rsidRDefault="002F2620" w:rsidP="00397E4B">
      <w:pPr>
        <w:spacing w:line="276" w:lineRule="auto"/>
        <w:ind w:right="3" w:firstLine="720"/>
        <w:jc w:val="both"/>
        <w:rPr>
          <w:rFonts w:asciiTheme="majorBidi" w:hAnsiTheme="majorBidi" w:cstheme="majorBidi"/>
        </w:rPr>
      </w:pPr>
      <w:r>
        <w:rPr>
          <w:rFonts w:asciiTheme="majorBidi" w:hAnsiTheme="majorBidi" w:cstheme="majorBidi"/>
        </w:rPr>
        <w:t>[7.2]</w:t>
      </w:r>
      <w:r w:rsidR="007777EE">
        <w:rPr>
          <w:rFonts w:asciiTheme="majorBidi" w:hAnsiTheme="majorBidi" w:cstheme="majorBidi"/>
        </w:rPr>
        <w:t xml:space="preserve"> </w:t>
      </w:r>
      <w:r w:rsidR="0089090F">
        <w:rPr>
          <w:rFonts w:asciiTheme="majorBidi" w:hAnsiTheme="majorBidi" w:cstheme="majorBidi"/>
        </w:rPr>
        <w:t>D</w:t>
      </w:r>
      <w:r w:rsidR="002F0301">
        <w:rPr>
          <w:rFonts w:asciiTheme="majorBidi" w:hAnsiTheme="majorBidi" w:cstheme="majorBidi"/>
        </w:rPr>
        <w:t>irektīvas</w:t>
      </w:r>
      <w:r w:rsidR="0089090F">
        <w:rPr>
          <w:rFonts w:asciiTheme="majorBidi" w:hAnsiTheme="majorBidi" w:cstheme="majorBidi"/>
        </w:rPr>
        <w:t xml:space="preserve"> 2014/42/ES</w:t>
      </w:r>
      <w:r w:rsidR="002F0301">
        <w:rPr>
          <w:rFonts w:asciiTheme="majorBidi" w:hAnsiTheme="majorBidi" w:cstheme="majorBidi"/>
        </w:rPr>
        <w:t xml:space="preserve"> 2. pantā noteikts, ka </w:t>
      </w:r>
      <w:bookmarkStart w:id="5" w:name="_Hlk192769971"/>
      <w:r w:rsidR="0089090F">
        <w:rPr>
          <w:rFonts w:asciiTheme="majorBidi" w:hAnsiTheme="majorBidi" w:cstheme="majorBidi"/>
        </w:rPr>
        <w:t>„</w:t>
      </w:r>
      <w:r w:rsidR="002F0301">
        <w:rPr>
          <w:rFonts w:asciiTheme="majorBidi" w:hAnsiTheme="majorBidi" w:cstheme="majorBidi"/>
        </w:rPr>
        <w:t>nozieguma rīki</w:t>
      </w:r>
      <w:r w:rsidR="009B70DB">
        <w:rPr>
          <w:rFonts w:asciiTheme="majorBidi" w:hAnsiTheme="majorBidi" w:cstheme="majorBidi"/>
        </w:rPr>
        <w:t>” ir jebkāds īpašums, kurš jebkādā veidā, pilnīgi vai daļēji, tika izmantots vai kuru bija paredzēts izmantot, lai izdarītu noziedzīgu nodarījumu vai noziedzīgus nodarījumus</w:t>
      </w:r>
      <w:bookmarkEnd w:id="5"/>
      <w:r w:rsidR="009B70DB">
        <w:rPr>
          <w:rFonts w:asciiTheme="majorBidi" w:hAnsiTheme="majorBidi" w:cstheme="majorBidi"/>
        </w:rPr>
        <w:t>.</w:t>
      </w:r>
    </w:p>
    <w:p w14:paraId="6330B2CC" w14:textId="1C76D059" w:rsidR="00273731" w:rsidRDefault="009B70DB" w:rsidP="00A50E7E">
      <w:pPr>
        <w:spacing w:line="276" w:lineRule="auto"/>
        <w:ind w:right="3" w:firstLine="720"/>
        <w:jc w:val="both"/>
        <w:rPr>
          <w:rFonts w:asciiTheme="majorBidi" w:hAnsiTheme="majorBidi" w:cstheme="majorBidi"/>
        </w:rPr>
      </w:pPr>
      <w:r>
        <w:rPr>
          <w:rFonts w:asciiTheme="majorBidi" w:hAnsiTheme="majorBidi" w:cstheme="majorBidi"/>
        </w:rPr>
        <w:t>Krimināllikumā n</w:t>
      </w:r>
      <w:r w:rsidR="007463A7">
        <w:rPr>
          <w:rFonts w:asciiTheme="majorBidi" w:hAnsiTheme="majorBidi" w:cstheme="majorBidi"/>
        </w:rPr>
        <w:t>oziedzīga nodarījuma izdarīšanas priekšmeta definīcija</w:t>
      </w:r>
      <w:r w:rsidR="00F13FB2">
        <w:rPr>
          <w:rFonts w:asciiTheme="majorBidi" w:hAnsiTheme="majorBidi" w:cstheme="majorBidi"/>
        </w:rPr>
        <w:t xml:space="preserve">, kas norādīta </w:t>
      </w:r>
      <w:r>
        <w:rPr>
          <w:rFonts w:asciiTheme="majorBidi" w:hAnsiTheme="majorBidi" w:cstheme="majorBidi"/>
        </w:rPr>
        <w:t>šī likuma</w:t>
      </w:r>
      <w:r w:rsidR="00273731">
        <w:rPr>
          <w:rFonts w:asciiTheme="majorBidi" w:hAnsiTheme="majorBidi" w:cstheme="majorBidi"/>
        </w:rPr>
        <w:t xml:space="preserve"> </w:t>
      </w:r>
      <w:bookmarkStart w:id="6" w:name="_Hlk192600495"/>
      <w:r w:rsidR="00273731">
        <w:rPr>
          <w:rFonts w:asciiTheme="majorBidi" w:hAnsiTheme="majorBidi" w:cstheme="majorBidi"/>
        </w:rPr>
        <w:t>70.</w:t>
      </w:r>
      <w:r w:rsidR="00273731">
        <w:rPr>
          <w:rFonts w:asciiTheme="majorBidi" w:hAnsiTheme="majorBidi" w:cstheme="majorBidi"/>
          <w:vertAlign w:val="superscript"/>
        </w:rPr>
        <w:t>12</w:t>
      </w:r>
      <w:r w:rsidR="00ED10ED">
        <w:rPr>
          <w:rFonts w:asciiTheme="majorBidi" w:hAnsiTheme="majorBidi" w:cstheme="majorBidi"/>
        </w:rPr>
        <w:t> </w:t>
      </w:r>
      <w:r w:rsidR="007463A7">
        <w:rPr>
          <w:rFonts w:asciiTheme="majorBidi" w:hAnsiTheme="majorBidi" w:cstheme="majorBidi"/>
        </w:rPr>
        <w:t>pant</w:t>
      </w:r>
      <w:r w:rsidR="00F13FB2">
        <w:rPr>
          <w:rFonts w:asciiTheme="majorBidi" w:hAnsiTheme="majorBidi" w:cstheme="majorBidi"/>
        </w:rPr>
        <w:t>a pirmajā daļā</w:t>
      </w:r>
      <w:bookmarkEnd w:id="6"/>
      <w:r w:rsidR="00F13FB2">
        <w:rPr>
          <w:rFonts w:asciiTheme="majorBidi" w:hAnsiTheme="majorBidi" w:cstheme="majorBidi"/>
        </w:rPr>
        <w:t xml:space="preserve">, noteic, ka </w:t>
      </w:r>
      <w:r w:rsidR="007463A7">
        <w:rPr>
          <w:rFonts w:asciiTheme="majorBidi" w:hAnsiTheme="majorBidi" w:cstheme="majorBidi"/>
        </w:rPr>
        <w:t>noziedzīga nodarījuma izdarīšanas priekšmets ir rīki un līdzekļi, kuri bija paredzēti vai tika izmantoti noziedzīga nodarījuma izdarīšanai.</w:t>
      </w:r>
    </w:p>
    <w:p w14:paraId="5290EE9F" w14:textId="36A7329C" w:rsidR="00906ADB" w:rsidRDefault="002F2620" w:rsidP="00A50E7E">
      <w:pPr>
        <w:spacing w:line="276" w:lineRule="auto"/>
        <w:ind w:right="3" w:firstLine="720"/>
        <w:jc w:val="both"/>
        <w:rPr>
          <w:rFonts w:asciiTheme="majorBidi" w:hAnsiTheme="majorBidi" w:cstheme="majorBidi"/>
        </w:rPr>
      </w:pPr>
      <w:r>
        <w:rPr>
          <w:rFonts w:asciiTheme="majorBidi" w:hAnsiTheme="majorBidi" w:cstheme="majorBidi"/>
        </w:rPr>
        <w:t xml:space="preserve">Ievērojot, ka Līguma par Eiropas Savienības darbību 288. panta trešā daļa uzliek pienākumu </w:t>
      </w:r>
      <w:r w:rsidR="00E4580D">
        <w:rPr>
          <w:rFonts w:asciiTheme="majorBidi" w:hAnsiTheme="majorBidi" w:cstheme="majorBidi"/>
        </w:rPr>
        <w:t xml:space="preserve">attiecībā uz ar </w:t>
      </w:r>
      <w:r>
        <w:rPr>
          <w:rFonts w:asciiTheme="majorBidi" w:hAnsiTheme="majorBidi" w:cstheme="majorBidi"/>
        </w:rPr>
        <w:t>direktīvu sasniedzamo rezultātu, atļaujot valsts iestādēm izvēlēties īstenošanas formas un metodes, Senāts secina, ka Saeima šajā gadījumā izvēlējusies Latvijas likumā lietot no Eiropas Savienības tiesību akta atšķirīgu terminoloģiju</w:t>
      </w:r>
      <w:r w:rsidR="004A2823">
        <w:rPr>
          <w:rFonts w:asciiTheme="majorBidi" w:hAnsiTheme="majorBidi" w:cstheme="majorBidi"/>
        </w:rPr>
        <w:t>, tomēr</w:t>
      </w:r>
      <w:r>
        <w:rPr>
          <w:rFonts w:asciiTheme="majorBidi" w:hAnsiTheme="majorBidi" w:cstheme="majorBidi"/>
        </w:rPr>
        <w:t xml:space="preserve"> </w:t>
      </w:r>
      <w:r w:rsidR="009B70DB">
        <w:rPr>
          <w:rFonts w:asciiTheme="majorBidi" w:hAnsiTheme="majorBidi" w:cstheme="majorBidi"/>
        </w:rPr>
        <w:t>Krimināllikuma</w:t>
      </w:r>
      <w:r w:rsidR="00125829">
        <w:rPr>
          <w:rFonts w:asciiTheme="majorBidi" w:hAnsiTheme="majorBidi" w:cstheme="majorBidi"/>
        </w:rPr>
        <w:t xml:space="preserve"> 70.</w:t>
      </w:r>
      <w:r w:rsidR="00125829">
        <w:rPr>
          <w:rFonts w:asciiTheme="majorBidi" w:hAnsiTheme="majorBidi" w:cstheme="majorBidi"/>
          <w:vertAlign w:val="superscript"/>
        </w:rPr>
        <w:t>12 </w:t>
      </w:r>
      <w:r w:rsidR="00125829">
        <w:rPr>
          <w:rFonts w:asciiTheme="majorBidi" w:hAnsiTheme="majorBidi" w:cstheme="majorBidi"/>
        </w:rPr>
        <w:t>panta pirmajā daļā</w:t>
      </w:r>
      <w:r w:rsidR="009B70DB">
        <w:rPr>
          <w:rFonts w:asciiTheme="majorBidi" w:hAnsiTheme="majorBidi" w:cstheme="majorBidi"/>
        </w:rPr>
        <w:t xml:space="preserve"> </w:t>
      </w:r>
      <w:r w:rsidR="00125829">
        <w:rPr>
          <w:rFonts w:asciiTheme="majorBidi" w:hAnsiTheme="majorBidi" w:cstheme="majorBidi"/>
        </w:rPr>
        <w:t>definētā</w:t>
      </w:r>
      <w:r w:rsidR="009B70DB">
        <w:rPr>
          <w:rFonts w:asciiTheme="majorBidi" w:hAnsiTheme="majorBidi" w:cstheme="majorBidi"/>
        </w:rPr>
        <w:t xml:space="preserve"> jēdziena </w:t>
      </w:r>
      <w:r w:rsidR="00ED10ED">
        <w:rPr>
          <w:rFonts w:asciiTheme="majorBidi" w:hAnsiTheme="majorBidi" w:cstheme="majorBidi"/>
        </w:rPr>
        <w:t>„</w:t>
      </w:r>
      <w:r w:rsidR="009B70DB">
        <w:rPr>
          <w:rFonts w:asciiTheme="majorBidi" w:hAnsiTheme="majorBidi" w:cstheme="majorBidi"/>
        </w:rPr>
        <w:t>noziedzīga nodarījuma izdarīšanas priekšmets</w:t>
      </w:r>
      <w:r w:rsidR="00125829">
        <w:rPr>
          <w:rFonts w:asciiTheme="majorBidi" w:hAnsiTheme="majorBidi" w:cstheme="majorBidi"/>
        </w:rPr>
        <w:t xml:space="preserve">” </w:t>
      </w:r>
      <w:r w:rsidR="004A2823">
        <w:rPr>
          <w:rFonts w:asciiTheme="majorBidi" w:hAnsiTheme="majorBidi" w:cstheme="majorBidi"/>
        </w:rPr>
        <w:t xml:space="preserve">saturs atbilst Direktīvā 2014/42/ES ietvertā jēdziena „nozieguma rīki” </w:t>
      </w:r>
      <w:r w:rsidR="00125829">
        <w:rPr>
          <w:rFonts w:asciiTheme="majorBidi" w:hAnsiTheme="majorBidi" w:cstheme="majorBidi"/>
        </w:rPr>
        <w:t xml:space="preserve">saturam, jo abi </w:t>
      </w:r>
      <w:r w:rsidR="006B3BB1">
        <w:rPr>
          <w:rFonts w:asciiTheme="majorBidi" w:hAnsiTheme="majorBidi" w:cstheme="majorBidi"/>
        </w:rPr>
        <w:t xml:space="preserve">tiek raksturoti </w:t>
      </w:r>
      <w:r w:rsidR="00125829">
        <w:rPr>
          <w:rFonts w:asciiTheme="majorBidi" w:hAnsiTheme="majorBidi" w:cstheme="majorBidi"/>
        </w:rPr>
        <w:t>kā lietas, kuras bija paredzēts izmantot vai kuras tika izmantotas noziedzīga nodarījuma izdarīšanai.</w:t>
      </w:r>
    </w:p>
    <w:p w14:paraId="4BCEC669" w14:textId="6B1EFFB7" w:rsidR="009B70DB" w:rsidRDefault="00906ADB" w:rsidP="00A50E7E">
      <w:pPr>
        <w:spacing w:line="276" w:lineRule="auto"/>
        <w:ind w:right="3" w:firstLine="720"/>
        <w:jc w:val="both"/>
        <w:rPr>
          <w:rFonts w:asciiTheme="majorBidi" w:hAnsiTheme="majorBidi" w:cstheme="majorBidi"/>
        </w:rPr>
      </w:pPr>
      <w:r>
        <w:rPr>
          <w:rFonts w:asciiTheme="majorBidi" w:hAnsiTheme="majorBidi" w:cstheme="majorBidi"/>
        </w:rPr>
        <w:t>Krimināllikuma 70.</w:t>
      </w:r>
      <w:r>
        <w:rPr>
          <w:rFonts w:asciiTheme="majorBidi" w:hAnsiTheme="majorBidi" w:cstheme="majorBidi"/>
          <w:vertAlign w:val="superscript"/>
        </w:rPr>
        <w:t>12</w:t>
      </w:r>
      <w:r w:rsidR="00ED10ED">
        <w:rPr>
          <w:rFonts w:asciiTheme="majorBidi" w:hAnsiTheme="majorBidi" w:cstheme="majorBidi"/>
        </w:rPr>
        <w:t> </w:t>
      </w:r>
      <w:r>
        <w:rPr>
          <w:rFonts w:asciiTheme="majorBidi" w:hAnsiTheme="majorBidi" w:cstheme="majorBidi"/>
        </w:rPr>
        <w:t xml:space="preserve">panta pirmajā daļā norādīti divi noziedzīga nodarījuma izdarīšanas priekšmeta veidi: 1) rīki, 2) </w:t>
      </w:r>
      <w:r w:rsidR="00A63444">
        <w:rPr>
          <w:rFonts w:asciiTheme="majorBidi" w:hAnsiTheme="majorBidi" w:cstheme="majorBidi"/>
        </w:rPr>
        <w:t>līdzekļi. Uz abiem priekšmeta veidiem attiecināms obligāts nosacījums, ka tie bija paredzēti vai tika izmantoti</w:t>
      </w:r>
      <w:r w:rsidR="00125829">
        <w:rPr>
          <w:rFonts w:asciiTheme="majorBidi" w:hAnsiTheme="majorBidi" w:cstheme="majorBidi"/>
        </w:rPr>
        <w:t xml:space="preserve"> </w:t>
      </w:r>
      <w:r w:rsidR="00A63444">
        <w:rPr>
          <w:rFonts w:asciiTheme="majorBidi" w:hAnsiTheme="majorBidi" w:cstheme="majorBidi"/>
        </w:rPr>
        <w:t>noziedzīga nodarījuma izdarīšanai.</w:t>
      </w:r>
    </w:p>
    <w:p w14:paraId="6AD34D7E" w14:textId="6A2B1C69" w:rsidR="003C643E" w:rsidRDefault="003C643E" w:rsidP="003C643E">
      <w:pPr>
        <w:spacing w:line="276" w:lineRule="auto"/>
        <w:ind w:right="3" w:firstLine="720"/>
        <w:jc w:val="both"/>
        <w:rPr>
          <w:rFonts w:asciiTheme="majorBidi" w:hAnsiTheme="majorBidi" w:cstheme="majorBidi"/>
        </w:rPr>
      </w:pPr>
      <w:r>
        <w:rPr>
          <w:rFonts w:asciiTheme="majorBidi" w:hAnsiTheme="majorBidi" w:cstheme="majorBidi"/>
        </w:rPr>
        <w:t>[7.3]</w:t>
      </w:r>
      <w:r w:rsidR="007777EE">
        <w:rPr>
          <w:rFonts w:asciiTheme="majorBidi" w:hAnsiTheme="majorBidi" w:cstheme="majorBidi"/>
        </w:rPr>
        <w:t xml:space="preserve"> </w:t>
      </w:r>
      <w:r>
        <w:rPr>
          <w:rFonts w:asciiTheme="majorBidi" w:hAnsiTheme="majorBidi" w:cstheme="majorBidi"/>
        </w:rPr>
        <w:t>Eiropas Savienības Tiesa ar izskatāmo lietu salīdzināmos apstākļos atzinusi, ka transportlīdzeklis, ja tas „jebkādā veidā” tiek izmantots noziedzīga nodarījuma izdarīšanai, ietilpst jēdziena „rīks” tvērumā (sk. </w:t>
      </w:r>
      <w:r w:rsidRPr="00273A33">
        <w:rPr>
          <w:i/>
          <w:iCs/>
        </w:rPr>
        <w:t>Eiropas Savienības Tiesas 20</w:t>
      </w:r>
      <w:r>
        <w:rPr>
          <w:i/>
          <w:iCs/>
        </w:rPr>
        <w:t>24</w:t>
      </w:r>
      <w:r w:rsidRPr="00273A33">
        <w:rPr>
          <w:i/>
          <w:iCs/>
        </w:rPr>
        <w:t xml:space="preserve">. gada </w:t>
      </w:r>
      <w:r>
        <w:rPr>
          <w:i/>
          <w:iCs/>
        </w:rPr>
        <w:t>25. janvāra</w:t>
      </w:r>
      <w:r w:rsidRPr="00273A33">
        <w:rPr>
          <w:i/>
          <w:iCs/>
        </w:rPr>
        <w:t xml:space="preserve"> sprieduma lietā </w:t>
      </w:r>
      <w:r>
        <w:rPr>
          <w:i/>
          <w:iCs/>
        </w:rPr>
        <w:t>„</w:t>
      </w:r>
      <w:proofErr w:type="spellStart"/>
      <w:r w:rsidRPr="003C643E">
        <w:rPr>
          <w:i/>
          <w:iCs/>
        </w:rPr>
        <w:t>Sofiyski</w:t>
      </w:r>
      <w:proofErr w:type="spellEnd"/>
      <w:r w:rsidRPr="003C643E">
        <w:rPr>
          <w:i/>
          <w:iCs/>
        </w:rPr>
        <w:t xml:space="preserve"> </w:t>
      </w:r>
      <w:proofErr w:type="spellStart"/>
      <w:r w:rsidRPr="003C643E">
        <w:rPr>
          <w:i/>
          <w:iCs/>
        </w:rPr>
        <w:t>gradski</w:t>
      </w:r>
      <w:proofErr w:type="spellEnd"/>
      <w:r w:rsidRPr="003C643E">
        <w:rPr>
          <w:i/>
          <w:iCs/>
        </w:rPr>
        <w:t xml:space="preserve"> </w:t>
      </w:r>
      <w:proofErr w:type="spellStart"/>
      <w:r w:rsidRPr="003C643E">
        <w:rPr>
          <w:i/>
          <w:iCs/>
        </w:rPr>
        <w:t>sad</w:t>
      </w:r>
      <w:proofErr w:type="spellEnd"/>
      <w:r>
        <w:rPr>
          <w:i/>
          <w:iCs/>
        </w:rPr>
        <w:t>”,</w:t>
      </w:r>
      <w:r w:rsidRPr="003C643E">
        <w:rPr>
          <w:i/>
          <w:iCs/>
        </w:rPr>
        <w:t xml:space="preserve"> </w:t>
      </w:r>
      <w:r w:rsidRPr="00273A33">
        <w:rPr>
          <w:i/>
          <w:iCs/>
        </w:rPr>
        <w:t>C</w:t>
      </w:r>
      <w:r w:rsidRPr="00273A33">
        <w:rPr>
          <w:i/>
          <w:iCs/>
        </w:rPr>
        <w:noBreakHyphen/>
      </w:r>
      <w:r>
        <w:rPr>
          <w:i/>
          <w:iCs/>
        </w:rPr>
        <w:t>722</w:t>
      </w:r>
      <w:r w:rsidRPr="00273A33">
        <w:rPr>
          <w:i/>
          <w:iCs/>
        </w:rPr>
        <w:t>/</w:t>
      </w:r>
      <w:r>
        <w:rPr>
          <w:i/>
          <w:iCs/>
        </w:rPr>
        <w:t>22</w:t>
      </w:r>
      <w:r w:rsidRPr="00273A33">
        <w:rPr>
          <w:i/>
          <w:iCs/>
        </w:rPr>
        <w:t>,</w:t>
      </w:r>
      <w:r w:rsidRPr="00F039CB">
        <w:rPr>
          <w:rFonts w:ascii="Open Sans" w:hAnsi="Open Sans" w:cs="Open Sans"/>
          <w:b/>
          <w:bCs/>
          <w:color w:val="5F5F5F"/>
          <w:sz w:val="20"/>
          <w:szCs w:val="20"/>
        </w:rPr>
        <w:t xml:space="preserve"> </w:t>
      </w:r>
      <w:hyperlink r:id="rId8" w:history="1">
        <w:r w:rsidRPr="00D72606">
          <w:rPr>
            <w:rStyle w:val="Hyperlink"/>
            <w:rFonts w:asciiTheme="majorBidi" w:hAnsiTheme="majorBidi" w:cstheme="majorBidi"/>
            <w:i/>
            <w:iCs/>
          </w:rPr>
          <w:t>ECLI:EU:C:2024:80</w:t>
        </w:r>
      </w:hyperlink>
      <w:r w:rsidRPr="00273A33">
        <w:rPr>
          <w:i/>
          <w:iCs/>
        </w:rPr>
        <w:t xml:space="preserve">, </w:t>
      </w:r>
      <w:r>
        <w:rPr>
          <w:i/>
          <w:iCs/>
        </w:rPr>
        <w:t>30</w:t>
      </w:r>
      <w:r w:rsidRPr="00273A33">
        <w:rPr>
          <w:i/>
          <w:iCs/>
        </w:rPr>
        <w:t>. punkt</w:t>
      </w:r>
      <w:r w:rsidR="00FB31B4">
        <w:rPr>
          <w:i/>
          <w:iCs/>
        </w:rPr>
        <w:t>u</w:t>
      </w:r>
      <w:r>
        <w:rPr>
          <w:rFonts w:asciiTheme="majorBidi" w:hAnsiTheme="majorBidi" w:cstheme="majorBidi"/>
        </w:rPr>
        <w:t xml:space="preserve">). Proti, </w:t>
      </w:r>
      <w:r w:rsidR="009C6E17">
        <w:rPr>
          <w:rFonts w:asciiTheme="majorBidi" w:hAnsiTheme="majorBidi" w:cstheme="majorBidi"/>
        </w:rPr>
        <w:t>E</w:t>
      </w:r>
      <w:r w:rsidR="00F039CB">
        <w:rPr>
          <w:rFonts w:asciiTheme="majorBidi" w:hAnsiTheme="majorBidi" w:cstheme="majorBidi"/>
        </w:rPr>
        <w:t>iropas Savienības</w:t>
      </w:r>
      <w:r w:rsidR="009C6E17">
        <w:rPr>
          <w:rFonts w:asciiTheme="majorBidi" w:hAnsiTheme="majorBidi" w:cstheme="majorBidi"/>
        </w:rPr>
        <w:t xml:space="preserve"> </w:t>
      </w:r>
      <w:r w:rsidR="00254967">
        <w:rPr>
          <w:rFonts w:asciiTheme="majorBidi" w:hAnsiTheme="majorBidi" w:cstheme="majorBidi"/>
        </w:rPr>
        <w:t>T</w:t>
      </w:r>
      <w:r w:rsidR="009C6E17">
        <w:rPr>
          <w:rFonts w:asciiTheme="majorBidi" w:hAnsiTheme="majorBidi" w:cstheme="majorBidi"/>
        </w:rPr>
        <w:t>iesa</w:t>
      </w:r>
      <w:r>
        <w:rPr>
          <w:rFonts w:asciiTheme="majorBidi" w:hAnsiTheme="majorBidi" w:cstheme="majorBidi"/>
        </w:rPr>
        <w:t xml:space="preserve"> </w:t>
      </w:r>
      <w:r w:rsidR="00E4580D">
        <w:rPr>
          <w:rFonts w:asciiTheme="majorBidi" w:hAnsiTheme="majorBidi" w:cstheme="majorBidi"/>
        </w:rPr>
        <w:t xml:space="preserve">šajā </w:t>
      </w:r>
      <w:r>
        <w:rPr>
          <w:rFonts w:asciiTheme="majorBidi" w:hAnsiTheme="majorBidi" w:cstheme="majorBidi"/>
        </w:rPr>
        <w:t>lietā secinājusi</w:t>
      </w:r>
      <w:r w:rsidR="0042390F">
        <w:rPr>
          <w:rFonts w:asciiTheme="majorBidi" w:hAnsiTheme="majorBidi" w:cstheme="majorBidi"/>
        </w:rPr>
        <w:t xml:space="preserve">, ka </w:t>
      </w:r>
      <w:r w:rsidR="004D36FE">
        <w:rPr>
          <w:rFonts w:asciiTheme="majorBidi" w:hAnsiTheme="majorBidi" w:cstheme="majorBidi"/>
        </w:rPr>
        <w:t xml:space="preserve">no </w:t>
      </w:r>
      <w:r w:rsidR="003E5A52">
        <w:t>Padomes 2005.</w:t>
      </w:r>
      <w:r w:rsidR="00E4580D">
        <w:t> </w:t>
      </w:r>
      <w:r w:rsidR="003E5A52">
        <w:t>gada 24.</w:t>
      </w:r>
      <w:r w:rsidR="00E4580D">
        <w:t> </w:t>
      </w:r>
      <w:r w:rsidR="003E5A52">
        <w:t>februāra Pamatlēmum</w:t>
      </w:r>
      <w:r w:rsidR="00E4580D">
        <w:t>a</w:t>
      </w:r>
      <w:r w:rsidR="003E5A52">
        <w:t xml:space="preserve"> 2005/212/TI par noziedzīgi iegūtu līdzekļu, nozieguma rīku un īpašuma konfiskāciju</w:t>
      </w:r>
      <w:r w:rsidR="003E5A52" w:rsidDel="003E5A52">
        <w:rPr>
          <w:rFonts w:asciiTheme="majorBidi" w:hAnsiTheme="majorBidi" w:cstheme="majorBidi"/>
        </w:rPr>
        <w:t xml:space="preserve"> </w:t>
      </w:r>
      <w:r w:rsidR="004D36FE">
        <w:rPr>
          <w:rFonts w:asciiTheme="majorBidi" w:hAnsiTheme="majorBidi" w:cstheme="majorBidi"/>
        </w:rPr>
        <w:t>1.</w:t>
      </w:r>
      <w:r w:rsidR="002B423C">
        <w:rPr>
          <w:rFonts w:asciiTheme="majorBidi" w:hAnsiTheme="majorBidi" w:cstheme="majorBidi"/>
        </w:rPr>
        <w:t> </w:t>
      </w:r>
      <w:r w:rsidR="004D36FE">
        <w:rPr>
          <w:rFonts w:asciiTheme="majorBidi" w:hAnsiTheme="majorBidi" w:cstheme="majorBidi"/>
        </w:rPr>
        <w:t>panta trešā ievilkuma</w:t>
      </w:r>
      <w:r w:rsidR="009965AA">
        <w:rPr>
          <w:rFonts w:asciiTheme="majorBidi" w:hAnsiTheme="majorBidi" w:cstheme="majorBidi"/>
        </w:rPr>
        <w:t xml:space="preserve"> un 2. panta 1. punkta</w:t>
      </w:r>
      <w:r w:rsidR="004D36FE">
        <w:rPr>
          <w:rFonts w:asciiTheme="majorBidi" w:hAnsiTheme="majorBidi" w:cstheme="majorBidi"/>
        </w:rPr>
        <w:t xml:space="preserve"> satura, it īpaši no vārdiem </w:t>
      </w:r>
      <w:r w:rsidR="00F039CB">
        <w:rPr>
          <w:rFonts w:asciiTheme="majorBidi" w:hAnsiTheme="majorBidi" w:cstheme="majorBidi"/>
        </w:rPr>
        <w:t>„</w:t>
      </w:r>
      <w:r w:rsidR="004D36FE">
        <w:rPr>
          <w:rFonts w:asciiTheme="majorBidi" w:hAnsiTheme="majorBidi" w:cstheme="majorBidi"/>
        </w:rPr>
        <w:t xml:space="preserve">visi priekšmeti” un </w:t>
      </w:r>
      <w:r w:rsidR="00F039CB">
        <w:rPr>
          <w:rFonts w:asciiTheme="majorBidi" w:hAnsiTheme="majorBidi" w:cstheme="majorBidi"/>
        </w:rPr>
        <w:t>„</w:t>
      </w:r>
      <w:r w:rsidR="004D36FE">
        <w:rPr>
          <w:rFonts w:asciiTheme="majorBidi" w:hAnsiTheme="majorBidi" w:cstheme="majorBidi"/>
        </w:rPr>
        <w:t>jebkādā veidā”, izriet, ka</w:t>
      </w:r>
      <w:r w:rsidR="00D72606">
        <w:rPr>
          <w:rFonts w:asciiTheme="majorBidi" w:hAnsiTheme="majorBidi" w:cstheme="majorBidi"/>
        </w:rPr>
        <w:t>,</w:t>
      </w:r>
      <w:r w:rsidR="004D36FE">
        <w:rPr>
          <w:rFonts w:asciiTheme="majorBidi" w:hAnsiTheme="majorBidi" w:cstheme="majorBidi"/>
        </w:rPr>
        <w:t xml:space="preserve"> ciktāl priekšmets tiek izmantots vai to paredzēts izmantot, lai izdarītu noziedzīgu nodarījumu, kas ietilpst šī pamatlēmuma piemērošanas jomā, tas ir šī noziedzīgā nodarījuma rīks</w:t>
      </w:r>
      <w:r w:rsidR="002B423C">
        <w:rPr>
          <w:rFonts w:asciiTheme="majorBidi" w:hAnsiTheme="majorBidi" w:cstheme="majorBidi"/>
        </w:rPr>
        <w:t xml:space="preserve"> (</w:t>
      </w:r>
      <w:r>
        <w:rPr>
          <w:rFonts w:asciiTheme="majorBidi" w:hAnsiTheme="majorBidi" w:cstheme="majorBidi"/>
        </w:rPr>
        <w:t xml:space="preserve">sk. </w:t>
      </w:r>
      <w:r w:rsidRPr="00143DB8">
        <w:rPr>
          <w:rFonts w:asciiTheme="majorBidi" w:hAnsiTheme="majorBidi" w:cstheme="majorBidi"/>
          <w:i/>
          <w:iCs/>
        </w:rPr>
        <w:t xml:space="preserve">minētā sprieduma </w:t>
      </w:r>
      <w:r w:rsidR="00F039CB" w:rsidRPr="00E4580D">
        <w:rPr>
          <w:i/>
          <w:iCs/>
        </w:rPr>
        <w:t>20. punkt</w:t>
      </w:r>
      <w:r w:rsidRPr="00E4580D">
        <w:rPr>
          <w:i/>
          <w:iCs/>
        </w:rPr>
        <w:t>u</w:t>
      </w:r>
      <w:r w:rsidR="002B423C">
        <w:rPr>
          <w:rFonts w:asciiTheme="majorBidi" w:hAnsiTheme="majorBidi" w:cstheme="majorBidi"/>
        </w:rPr>
        <w:t>).</w:t>
      </w:r>
      <w:r w:rsidR="003E5A52">
        <w:rPr>
          <w:rFonts w:asciiTheme="majorBidi" w:hAnsiTheme="majorBidi" w:cstheme="majorBidi"/>
        </w:rPr>
        <w:t xml:space="preserve"> </w:t>
      </w:r>
    </w:p>
    <w:p w14:paraId="76013346" w14:textId="3106595C" w:rsidR="00A95577" w:rsidRDefault="003C643E" w:rsidP="003C643E">
      <w:pPr>
        <w:spacing w:line="276" w:lineRule="auto"/>
        <w:ind w:right="3" w:firstLine="720"/>
        <w:jc w:val="both"/>
        <w:rPr>
          <w:rFonts w:asciiTheme="majorBidi" w:hAnsiTheme="majorBidi" w:cstheme="majorBidi"/>
        </w:rPr>
      </w:pPr>
      <w:r>
        <w:rPr>
          <w:rFonts w:asciiTheme="majorBidi" w:hAnsiTheme="majorBidi" w:cstheme="majorBidi"/>
        </w:rPr>
        <w:t xml:space="preserve">Ņemot vērā, ka </w:t>
      </w:r>
      <w:r w:rsidR="003E5A52">
        <w:rPr>
          <w:rFonts w:asciiTheme="majorBidi" w:hAnsiTheme="majorBidi" w:cstheme="majorBidi"/>
        </w:rPr>
        <w:t xml:space="preserve">Eiropas Savienības Tiesas </w:t>
      </w:r>
      <w:r>
        <w:rPr>
          <w:rFonts w:asciiTheme="majorBidi" w:hAnsiTheme="majorBidi" w:cstheme="majorBidi"/>
        </w:rPr>
        <w:t xml:space="preserve">iepriekš minētajā </w:t>
      </w:r>
      <w:r w:rsidR="003E5A52">
        <w:rPr>
          <w:rFonts w:asciiTheme="majorBidi" w:hAnsiTheme="majorBidi" w:cstheme="majorBidi"/>
        </w:rPr>
        <w:t>spriedumā interpretētās tiesību normas, ņemot vērā Direktīvas 2014/42/ES preambulas 9. apsvērumā norādīto, kā minimums atbilst Direktīvas 2014/42/ES normu tvērumam, Senāts šo interpretāciju izmanto Krimināllikuma 70.</w:t>
      </w:r>
      <w:r w:rsidR="003E5A52">
        <w:rPr>
          <w:rFonts w:asciiTheme="majorBidi" w:hAnsiTheme="majorBidi" w:cstheme="majorBidi"/>
          <w:vertAlign w:val="superscript"/>
        </w:rPr>
        <w:t>12</w:t>
      </w:r>
      <w:r w:rsidR="003E5A52">
        <w:rPr>
          <w:rFonts w:asciiTheme="majorBidi" w:hAnsiTheme="majorBidi" w:cstheme="majorBidi"/>
        </w:rPr>
        <w:t xml:space="preserve"> panta satura </w:t>
      </w:r>
      <w:r w:rsidR="00E4580D">
        <w:rPr>
          <w:rFonts w:asciiTheme="majorBidi" w:hAnsiTheme="majorBidi" w:cstheme="majorBidi"/>
        </w:rPr>
        <w:t>piepildīšanai</w:t>
      </w:r>
      <w:r w:rsidR="003E5A52">
        <w:rPr>
          <w:rFonts w:asciiTheme="majorBidi" w:hAnsiTheme="majorBidi" w:cstheme="majorBidi"/>
        </w:rPr>
        <w:t>.</w:t>
      </w:r>
    </w:p>
    <w:p w14:paraId="77F71675" w14:textId="4AC99D95" w:rsidR="00F13F9A" w:rsidRDefault="00E4580D" w:rsidP="00A50E7E">
      <w:pPr>
        <w:spacing w:line="276" w:lineRule="auto"/>
        <w:ind w:right="3" w:firstLine="720"/>
        <w:jc w:val="both"/>
        <w:rPr>
          <w:rFonts w:asciiTheme="majorBidi" w:hAnsiTheme="majorBidi" w:cstheme="majorBidi"/>
        </w:rPr>
      </w:pPr>
      <w:r>
        <w:rPr>
          <w:rFonts w:asciiTheme="majorBidi" w:hAnsiTheme="majorBidi" w:cstheme="majorBidi"/>
        </w:rPr>
        <w:t>[7.4]</w:t>
      </w:r>
      <w:r w:rsidR="007777EE">
        <w:rPr>
          <w:rFonts w:asciiTheme="majorBidi" w:hAnsiTheme="majorBidi" w:cstheme="majorBidi"/>
        </w:rPr>
        <w:t xml:space="preserve"> </w:t>
      </w:r>
      <w:r w:rsidR="00F13F9A" w:rsidRPr="002E41C6">
        <w:rPr>
          <w:rFonts w:asciiTheme="majorBidi" w:hAnsiTheme="majorBidi" w:cstheme="majorBidi"/>
        </w:rPr>
        <w:t xml:space="preserve">Tādējādi Senāts </w:t>
      </w:r>
      <w:r w:rsidR="0081152C" w:rsidRPr="002E41C6">
        <w:rPr>
          <w:rFonts w:asciiTheme="majorBidi" w:hAnsiTheme="majorBidi" w:cstheme="majorBidi"/>
        </w:rPr>
        <w:t>atzīst</w:t>
      </w:r>
      <w:r w:rsidR="00F13F9A" w:rsidRPr="002E41C6">
        <w:rPr>
          <w:rFonts w:asciiTheme="majorBidi" w:hAnsiTheme="majorBidi" w:cstheme="majorBidi"/>
        </w:rPr>
        <w:t>, ka noziedzīga nodarījuma slēpšanā izmantot</w:t>
      </w:r>
      <w:r w:rsidR="002E41C6">
        <w:rPr>
          <w:rFonts w:asciiTheme="majorBidi" w:hAnsiTheme="majorBidi" w:cstheme="majorBidi"/>
        </w:rPr>
        <w:t>ā</w:t>
      </w:r>
      <w:r w:rsidR="00F13F9A" w:rsidRPr="002E41C6">
        <w:rPr>
          <w:rFonts w:asciiTheme="majorBidi" w:hAnsiTheme="majorBidi" w:cstheme="majorBidi"/>
        </w:rPr>
        <w:t xml:space="preserve"> automašīna ir atzīstama par noziedzīga nodarījuma izdarīšanas priekšmetu.</w:t>
      </w:r>
      <w:bookmarkEnd w:id="3"/>
    </w:p>
    <w:p w14:paraId="5926CD70" w14:textId="17A5ED77" w:rsidR="00A60F3D" w:rsidRDefault="00A60F3D" w:rsidP="0063035C">
      <w:pPr>
        <w:spacing w:line="276" w:lineRule="auto"/>
        <w:ind w:right="3" w:firstLine="720"/>
        <w:jc w:val="both"/>
        <w:rPr>
          <w:rFonts w:asciiTheme="majorBidi" w:hAnsiTheme="majorBidi" w:cstheme="majorBidi"/>
        </w:rPr>
      </w:pPr>
      <w:r>
        <w:rPr>
          <w:rFonts w:asciiTheme="majorBidi" w:hAnsiTheme="majorBidi" w:cstheme="majorBidi"/>
        </w:rPr>
        <w:t>[7.</w:t>
      </w:r>
      <w:r w:rsidR="00E4580D">
        <w:rPr>
          <w:rFonts w:asciiTheme="majorBidi" w:hAnsiTheme="majorBidi" w:cstheme="majorBidi"/>
        </w:rPr>
        <w:t>5</w:t>
      </w:r>
      <w:r>
        <w:rPr>
          <w:rFonts w:asciiTheme="majorBidi" w:hAnsiTheme="majorBidi" w:cstheme="majorBidi"/>
        </w:rPr>
        <w:t xml:space="preserve">] </w:t>
      </w:r>
      <w:r w:rsidR="00B72350">
        <w:rPr>
          <w:rFonts w:asciiTheme="majorBidi" w:hAnsiTheme="majorBidi" w:cstheme="majorBidi"/>
        </w:rPr>
        <w:t>Izskatāmajā lietā a</w:t>
      </w:r>
      <w:r>
        <w:rPr>
          <w:rFonts w:asciiTheme="majorBidi" w:hAnsiTheme="majorBidi" w:cstheme="majorBidi"/>
        </w:rPr>
        <w:t xml:space="preserve">pelācijas instances tiesa ir piekritusi pirmās instances tiesas atzinumam, ka apsūdzētais </w:t>
      </w:r>
      <w:r w:rsidR="0063035C">
        <w:rPr>
          <w:rFonts w:asciiTheme="majorBidi" w:hAnsiTheme="majorBidi" w:cstheme="majorBidi"/>
        </w:rPr>
        <w:t>[pers. B]</w:t>
      </w:r>
      <w:r>
        <w:rPr>
          <w:rFonts w:asciiTheme="majorBidi" w:hAnsiTheme="majorBidi" w:cstheme="majorBidi"/>
        </w:rPr>
        <w:t xml:space="preserve"> ir izdarījis Krimināllikuma 313.</w:t>
      </w:r>
      <w:r w:rsidR="00355558">
        <w:rPr>
          <w:rFonts w:asciiTheme="majorBidi" w:hAnsiTheme="majorBidi" w:cstheme="majorBidi"/>
        </w:rPr>
        <w:t> </w:t>
      </w:r>
      <w:r>
        <w:rPr>
          <w:rFonts w:asciiTheme="majorBidi" w:hAnsiTheme="majorBidi" w:cstheme="majorBidi"/>
        </w:rPr>
        <w:t>pant</w:t>
      </w:r>
      <w:r w:rsidR="00FB021C">
        <w:rPr>
          <w:rFonts w:asciiTheme="majorBidi" w:hAnsiTheme="majorBidi" w:cstheme="majorBidi"/>
        </w:rPr>
        <w:t>a otrajā daļā</w:t>
      </w:r>
      <w:r>
        <w:rPr>
          <w:rFonts w:asciiTheme="majorBidi" w:hAnsiTheme="majorBidi" w:cstheme="majorBidi"/>
        </w:rPr>
        <w:t xml:space="preserve"> paredzēto noziedzīgo nodarījumu </w:t>
      </w:r>
      <w:r w:rsidR="00355558">
        <w:rPr>
          <w:rFonts w:asciiTheme="majorBidi" w:hAnsiTheme="majorBidi" w:cstheme="majorBidi"/>
        </w:rPr>
        <w:t xml:space="preserve">pirmās instances </w:t>
      </w:r>
      <w:r>
        <w:rPr>
          <w:rFonts w:asciiTheme="majorBidi" w:hAnsiTheme="majorBidi" w:cstheme="majorBidi"/>
        </w:rPr>
        <w:t xml:space="preserve">tiesas konstatētajos faktiskajos apstākļos, </w:t>
      </w:r>
      <w:r w:rsidR="00EE3661">
        <w:rPr>
          <w:rFonts w:asciiTheme="majorBidi" w:hAnsiTheme="majorBidi" w:cstheme="majorBidi"/>
        </w:rPr>
        <w:t xml:space="preserve">arī </w:t>
      </w:r>
      <w:r w:rsidR="00324AFD">
        <w:rPr>
          <w:rFonts w:asciiTheme="majorBidi" w:hAnsiTheme="majorBidi" w:cstheme="majorBidi"/>
        </w:rPr>
        <w:t>faktiem, ka</w:t>
      </w:r>
      <w:r>
        <w:rPr>
          <w:rFonts w:asciiTheme="majorBidi" w:hAnsiTheme="majorBidi" w:cstheme="majorBidi"/>
        </w:rPr>
        <w:t xml:space="preserve"> </w:t>
      </w:r>
      <w:r w:rsidR="0063035C">
        <w:rPr>
          <w:rFonts w:asciiTheme="majorBidi" w:hAnsiTheme="majorBidi" w:cstheme="majorBidi"/>
        </w:rPr>
        <w:t>[pers. B]</w:t>
      </w:r>
      <w:r w:rsidR="00355558">
        <w:rPr>
          <w:rFonts w:asciiTheme="majorBidi" w:hAnsiTheme="majorBidi" w:cstheme="majorBidi"/>
        </w:rPr>
        <w:t xml:space="preserve"> kopā ar </w:t>
      </w:r>
      <w:r w:rsidR="0063035C">
        <w:rPr>
          <w:rFonts w:asciiTheme="majorBidi" w:hAnsiTheme="majorBidi" w:cstheme="majorBidi"/>
        </w:rPr>
        <w:t>[pers. A]</w:t>
      </w:r>
      <w:r w:rsidR="00355558">
        <w:rPr>
          <w:rFonts w:asciiTheme="majorBidi" w:hAnsiTheme="majorBidi" w:cstheme="majorBidi"/>
        </w:rPr>
        <w:t xml:space="preserve"> nolūkā slēpt </w:t>
      </w:r>
      <w:r w:rsidR="0063035C">
        <w:rPr>
          <w:rFonts w:asciiTheme="majorBidi" w:hAnsiTheme="majorBidi" w:cstheme="majorBidi"/>
        </w:rPr>
        <w:t>[pers. A]</w:t>
      </w:r>
      <w:r w:rsidR="00355558">
        <w:rPr>
          <w:rFonts w:asciiTheme="majorBidi" w:hAnsiTheme="majorBidi" w:cstheme="majorBidi"/>
        </w:rPr>
        <w:t xml:space="preserve"> izdarītu slepkavību ievietoja </w:t>
      </w:r>
      <w:r w:rsidR="0063035C">
        <w:rPr>
          <w:rFonts w:asciiTheme="majorBidi" w:hAnsiTheme="majorBidi" w:cstheme="majorBidi"/>
        </w:rPr>
        <w:t>[pers. F]</w:t>
      </w:r>
      <w:r w:rsidR="00355558">
        <w:rPr>
          <w:rFonts w:asciiTheme="majorBidi" w:hAnsiTheme="majorBidi" w:cstheme="majorBidi"/>
        </w:rPr>
        <w:t xml:space="preserve"> līķi automašīnas </w:t>
      </w:r>
      <w:r w:rsidR="002E41C6">
        <w:rPr>
          <w:rFonts w:asciiTheme="majorBidi" w:hAnsiTheme="majorBidi" w:cstheme="majorBidi"/>
        </w:rPr>
        <w:t>„</w:t>
      </w:r>
      <w:r w:rsidR="00355558">
        <w:rPr>
          <w:rFonts w:asciiTheme="majorBidi" w:hAnsiTheme="majorBidi" w:cstheme="majorBidi"/>
        </w:rPr>
        <w:t>Peugeot</w:t>
      </w:r>
      <w:r w:rsidR="003C643E">
        <w:rPr>
          <w:rFonts w:asciiTheme="majorBidi" w:hAnsiTheme="majorBidi" w:cstheme="majorBidi"/>
        </w:rPr>
        <w:t> </w:t>
      </w:r>
      <w:r w:rsidR="00355558">
        <w:rPr>
          <w:rFonts w:asciiTheme="majorBidi" w:hAnsiTheme="majorBidi" w:cstheme="majorBidi"/>
        </w:rPr>
        <w:t xml:space="preserve">307” bagāžas nodalījumā, </w:t>
      </w:r>
      <w:r w:rsidR="00D72606">
        <w:rPr>
          <w:rFonts w:asciiTheme="majorBidi" w:hAnsiTheme="majorBidi" w:cstheme="majorBidi"/>
        </w:rPr>
        <w:t xml:space="preserve">un pēc </w:t>
      </w:r>
      <w:r w:rsidR="00D72606">
        <w:rPr>
          <w:rFonts w:asciiTheme="majorBidi" w:hAnsiTheme="majorBidi" w:cstheme="majorBidi"/>
        </w:rPr>
        <w:lastRenderedPageBreak/>
        <w:t>tam</w:t>
      </w:r>
      <w:r w:rsidR="00355558">
        <w:rPr>
          <w:rFonts w:asciiTheme="majorBidi" w:hAnsiTheme="majorBidi" w:cstheme="majorBidi"/>
        </w:rPr>
        <w:t xml:space="preserve"> </w:t>
      </w:r>
      <w:r w:rsidR="0063035C">
        <w:rPr>
          <w:rFonts w:asciiTheme="majorBidi" w:hAnsiTheme="majorBidi" w:cstheme="majorBidi"/>
        </w:rPr>
        <w:t>[pers. A]</w:t>
      </w:r>
      <w:r w:rsidR="00355558">
        <w:rPr>
          <w:rFonts w:asciiTheme="majorBidi" w:hAnsiTheme="majorBidi" w:cstheme="majorBidi"/>
        </w:rPr>
        <w:t xml:space="preserve"> ar minēto automašīnu aizveda līķi uz vietu, kur to izkrāva no automašīnas un atstāja.</w:t>
      </w:r>
    </w:p>
    <w:p w14:paraId="676E0798" w14:textId="24B2789E" w:rsidR="00324AFD" w:rsidRDefault="00F13F9A" w:rsidP="00A50E7E">
      <w:pPr>
        <w:spacing w:line="276" w:lineRule="auto"/>
        <w:ind w:right="3" w:firstLine="720"/>
        <w:jc w:val="both"/>
        <w:rPr>
          <w:rFonts w:asciiTheme="majorBidi" w:hAnsiTheme="majorBidi" w:cstheme="majorBidi"/>
        </w:rPr>
      </w:pPr>
      <w:r>
        <w:rPr>
          <w:rFonts w:asciiTheme="majorBidi" w:hAnsiTheme="majorBidi" w:cstheme="majorBidi"/>
        </w:rPr>
        <w:t>Pamatojoties uz šā lēmuma [7.1]</w:t>
      </w:r>
      <w:r w:rsidR="00B72350">
        <w:rPr>
          <w:rFonts w:asciiTheme="majorBidi" w:hAnsiTheme="majorBidi" w:cstheme="majorBidi"/>
        </w:rPr>
        <w:t>-[7.4]</w:t>
      </w:r>
      <w:r>
        <w:rPr>
          <w:rFonts w:asciiTheme="majorBidi" w:hAnsiTheme="majorBidi" w:cstheme="majorBidi"/>
        </w:rPr>
        <w:t xml:space="preserve"> punktā izklāstītajiem apsvērumiem, Senāts atzīst, ka izskatāmajā lietā </w:t>
      </w:r>
      <w:r w:rsidR="00324AFD">
        <w:rPr>
          <w:rFonts w:asciiTheme="majorBidi" w:hAnsiTheme="majorBidi" w:cstheme="majorBidi"/>
        </w:rPr>
        <w:t xml:space="preserve">automašīna </w:t>
      </w:r>
      <w:bookmarkStart w:id="7" w:name="_Hlk193118782"/>
      <w:r w:rsidR="002E41C6">
        <w:rPr>
          <w:rFonts w:asciiTheme="majorBidi" w:hAnsiTheme="majorBidi" w:cstheme="majorBidi"/>
        </w:rPr>
        <w:t>„</w:t>
      </w:r>
      <w:r w:rsidR="00324AFD">
        <w:rPr>
          <w:rFonts w:asciiTheme="majorBidi" w:hAnsiTheme="majorBidi" w:cstheme="majorBidi"/>
        </w:rPr>
        <w:t>Peugeot</w:t>
      </w:r>
      <w:r w:rsidR="007777EE">
        <w:rPr>
          <w:rFonts w:asciiTheme="majorBidi" w:hAnsiTheme="majorBidi" w:cstheme="majorBidi"/>
        </w:rPr>
        <w:t> </w:t>
      </w:r>
      <w:r w:rsidR="00324AFD">
        <w:rPr>
          <w:rFonts w:asciiTheme="majorBidi" w:hAnsiTheme="majorBidi" w:cstheme="majorBidi"/>
        </w:rPr>
        <w:t>307</w:t>
      </w:r>
      <w:bookmarkEnd w:id="7"/>
      <w:r w:rsidR="00324AFD">
        <w:rPr>
          <w:rFonts w:asciiTheme="majorBidi" w:hAnsiTheme="majorBidi" w:cstheme="majorBidi"/>
        </w:rPr>
        <w:t>” tika izmantota, lai izdarītu noziedzīgu nodarījumu</w:t>
      </w:r>
      <w:r w:rsidR="00B72350">
        <w:rPr>
          <w:rFonts w:asciiTheme="majorBidi" w:hAnsiTheme="majorBidi" w:cstheme="majorBidi"/>
        </w:rPr>
        <w:t xml:space="preserve"> (iepriekš neapsolītu slēpšanu)</w:t>
      </w:r>
      <w:r w:rsidR="00324AFD">
        <w:rPr>
          <w:rFonts w:asciiTheme="majorBidi" w:hAnsiTheme="majorBidi" w:cstheme="majorBidi"/>
        </w:rPr>
        <w:t xml:space="preserve">, tādēļ ir atzīstama par noziedzīga nodarījuma izdarīšanas priekšmetu. </w:t>
      </w:r>
    </w:p>
    <w:p w14:paraId="1782F184" w14:textId="77777777" w:rsidR="008D6C28" w:rsidRDefault="008D6C28" w:rsidP="00A50E7E">
      <w:pPr>
        <w:spacing w:line="276" w:lineRule="auto"/>
        <w:ind w:right="3" w:firstLine="720"/>
        <w:jc w:val="both"/>
        <w:rPr>
          <w:rFonts w:asciiTheme="majorBidi" w:hAnsiTheme="majorBidi" w:cstheme="majorBidi"/>
        </w:rPr>
      </w:pPr>
    </w:p>
    <w:p w14:paraId="230605D5" w14:textId="54B1029C" w:rsidR="0081152C" w:rsidRDefault="00324AFD" w:rsidP="0081152C">
      <w:pPr>
        <w:spacing w:line="276" w:lineRule="auto"/>
        <w:ind w:right="3" w:firstLine="720"/>
        <w:jc w:val="both"/>
        <w:rPr>
          <w:rFonts w:asciiTheme="majorBidi" w:hAnsiTheme="majorBidi" w:cstheme="majorBidi"/>
        </w:rPr>
      </w:pPr>
      <w:r>
        <w:rPr>
          <w:rFonts w:asciiTheme="majorBidi" w:hAnsiTheme="majorBidi" w:cstheme="majorBidi"/>
        </w:rPr>
        <w:t>[</w:t>
      </w:r>
      <w:r w:rsidR="0081152C">
        <w:rPr>
          <w:rFonts w:asciiTheme="majorBidi" w:hAnsiTheme="majorBidi" w:cstheme="majorBidi"/>
        </w:rPr>
        <w:t>8</w:t>
      </w:r>
      <w:r>
        <w:rPr>
          <w:rFonts w:asciiTheme="majorBidi" w:hAnsiTheme="majorBidi" w:cstheme="majorBidi"/>
        </w:rPr>
        <w:t>]</w:t>
      </w:r>
      <w:r w:rsidR="00F13F9A">
        <w:rPr>
          <w:rFonts w:asciiTheme="majorBidi" w:hAnsiTheme="majorBidi" w:cstheme="majorBidi"/>
        </w:rPr>
        <w:t xml:space="preserve"> </w:t>
      </w:r>
      <w:r>
        <w:rPr>
          <w:rFonts w:asciiTheme="majorBidi" w:hAnsiTheme="majorBidi" w:cstheme="majorBidi"/>
        </w:rPr>
        <w:t>Nākamais jautājums, uz kuru Senātam jāsniedz atbilde</w:t>
      </w:r>
      <w:r w:rsidR="003C643E">
        <w:rPr>
          <w:rFonts w:asciiTheme="majorBidi" w:hAnsiTheme="majorBidi" w:cstheme="majorBidi"/>
        </w:rPr>
        <w:t>, izlemjot kasācijas protestu,</w:t>
      </w:r>
      <w:r>
        <w:rPr>
          <w:rFonts w:asciiTheme="majorBidi" w:hAnsiTheme="majorBidi" w:cstheme="majorBidi"/>
        </w:rPr>
        <w:t xml:space="preserve"> – vai </w:t>
      </w:r>
      <w:r w:rsidR="0081152C">
        <w:rPr>
          <w:rFonts w:asciiTheme="majorBidi" w:hAnsiTheme="majorBidi" w:cstheme="majorBidi"/>
        </w:rPr>
        <w:t>manta</w:t>
      </w:r>
      <w:r>
        <w:rPr>
          <w:rFonts w:asciiTheme="majorBidi" w:hAnsiTheme="majorBidi" w:cstheme="majorBidi"/>
        </w:rPr>
        <w:t>, kas atzīta par noziedzīgā nodarījuma</w:t>
      </w:r>
      <w:r w:rsidR="008D6C28">
        <w:rPr>
          <w:rFonts w:asciiTheme="majorBidi" w:hAnsiTheme="majorBidi" w:cstheme="majorBidi"/>
        </w:rPr>
        <w:t xml:space="preserve"> izdarīšanas</w:t>
      </w:r>
      <w:r>
        <w:rPr>
          <w:rFonts w:asciiTheme="majorBidi" w:hAnsiTheme="majorBidi" w:cstheme="majorBidi"/>
        </w:rPr>
        <w:t xml:space="preserve"> priekšmet</w:t>
      </w:r>
      <w:r w:rsidR="008D6C28">
        <w:rPr>
          <w:rFonts w:asciiTheme="majorBidi" w:hAnsiTheme="majorBidi" w:cstheme="majorBidi"/>
        </w:rPr>
        <w:t>u,</w:t>
      </w:r>
      <w:r>
        <w:rPr>
          <w:rFonts w:asciiTheme="majorBidi" w:hAnsiTheme="majorBidi" w:cstheme="majorBidi"/>
        </w:rPr>
        <w:t xml:space="preserve"> var tikt konfiscēta, ja lēmumā par aresta uzlikšanu mantai</w:t>
      </w:r>
      <w:r w:rsidR="008D6C28">
        <w:rPr>
          <w:rFonts w:asciiTheme="majorBidi" w:hAnsiTheme="majorBidi" w:cstheme="majorBidi"/>
        </w:rPr>
        <w:t xml:space="preserve"> norādīts, ka arests šai mantai uzlikts citam mērķim.</w:t>
      </w:r>
    </w:p>
    <w:p w14:paraId="3DB3E3AC" w14:textId="539E46D7" w:rsidR="009908E5" w:rsidRDefault="008D6C28" w:rsidP="008A1389">
      <w:pPr>
        <w:spacing w:line="276" w:lineRule="auto"/>
        <w:ind w:right="3" w:firstLine="720"/>
        <w:jc w:val="both"/>
        <w:rPr>
          <w:rFonts w:asciiTheme="majorBidi" w:hAnsiTheme="majorBidi" w:cstheme="majorBidi"/>
        </w:rPr>
      </w:pPr>
      <w:r>
        <w:rPr>
          <w:rFonts w:asciiTheme="majorBidi" w:hAnsiTheme="majorBidi" w:cstheme="majorBidi"/>
        </w:rPr>
        <w:t xml:space="preserve">Senāts konstatē, ka izskatāmajā lietā arests mantai – automašīnai </w:t>
      </w:r>
      <w:r w:rsidR="002E41C6">
        <w:rPr>
          <w:rFonts w:asciiTheme="majorBidi" w:hAnsiTheme="majorBidi" w:cstheme="majorBidi"/>
        </w:rPr>
        <w:t>„</w:t>
      </w:r>
      <w:r>
        <w:rPr>
          <w:rFonts w:asciiTheme="majorBidi" w:hAnsiTheme="majorBidi" w:cstheme="majorBidi"/>
        </w:rPr>
        <w:t>Peugeot</w:t>
      </w:r>
      <w:r w:rsidR="00262B66">
        <w:rPr>
          <w:rFonts w:asciiTheme="majorBidi" w:hAnsiTheme="majorBidi" w:cstheme="majorBidi"/>
        </w:rPr>
        <w:t> </w:t>
      </w:r>
      <w:r>
        <w:rPr>
          <w:rFonts w:asciiTheme="majorBidi" w:hAnsiTheme="majorBidi" w:cstheme="majorBidi"/>
        </w:rPr>
        <w:t>307</w:t>
      </w:r>
      <w:r w:rsidR="002E41C6">
        <w:rPr>
          <w:rFonts w:asciiTheme="majorBidi" w:hAnsiTheme="majorBidi" w:cstheme="majorBidi"/>
        </w:rPr>
        <w:t>”</w:t>
      </w:r>
      <w:r w:rsidR="009908E5">
        <w:rPr>
          <w:rFonts w:asciiTheme="majorBidi" w:hAnsiTheme="majorBidi" w:cstheme="majorBidi"/>
        </w:rPr>
        <w:t> –</w:t>
      </w:r>
    </w:p>
    <w:p w14:paraId="1A5A7AB2" w14:textId="51AF2E07" w:rsidR="008D6C28" w:rsidRDefault="008D6C28" w:rsidP="00B13771">
      <w:pPr>
        <w:spacing w:line="276" w:lineRule="auto"/>
        <w:ind w:right="3"/>
        <w:jc w:val="both"/>
        <w:rPr>
          <w:rFonts w:asciiTheme="majorBidi" w:hAnsiTheme="majorBidi" w:cstheme="majorBidi"/>
        </w:rPr>
      </w:pPr>
      <w:r>
        <w:rPr>
          <w:rFonts w:asciiTheme="majorBidi" w:hAnsiTheme="majorBidi" w:cstheme="majorBidi"/>
        </w:rPr>
        <w:t xml:space="preserve">uzlikts, lai nodrošinātu procesuālo izdevumu un cietušajam nodarītā kaitējuma kompensācijas piedziņu. Lēmuma motīvu daļā </w:t>
      </w:r>
      <w:r w:rsidR="00EE3661">
        <w:rPr>
          <w:rFonts w:asciiTheme="majorBidi" w:hAnsiTheme="majorBidi" w:cstheme="majorBidi"/>
        </w:rPr>
        <w:t>arī</w:t>
      </w:r>
      <w:r>
        <w:rPr>
          <w:rFonts w:asciiTheme="majorBidi" w:hAnsiTheme="majorBidi" w:cstheme="majorBidi"/>
        </w:rPr>
        <w:t xml:space="preserve"> norādīts, ka kriminālprocesā iegūtas ziņas, kas norāda uz to, ka minētā automašīna ir atzīstama par noziedzīga nodarījuma </w:t>
      </w:r>
      <w:r w:rsidR="007838FC">
        <w:rPr>
          <w:rFonts w:asciiTheme="majorBidi" w:hAnsiTheme="majorBidi" w:cstheme="majorBidi"/>
        </w:rPr>
        <w:t>izdarīšanas priekšmetu Krimināllikuma 70.</w:t>
      </w:r>
      <w:r w:rsidR="007838FC">
        <w:rPr>
          <w:rFonts w:asciiTheme="majorBidi" w:hAnsiTheme="majorBidi" w:cstheme="majorBidi"/>
          <w:vertAlign w:val="superscript"/>
        </w:rPr>
        <w:t>12</w:t>
      </w:r>
      <w:r w:rsidR="000E0197">
        <w:rPr>
          <w:rFonts w:asciiTheme="majorBidi" w:hAnsiTheme="majorBidi" w:cstheme="majorBidi"/>
          <w:vertAlign w:val="superscript"/>
        </w:rPr>
        <w:t> </w:t>
      </w:r>
      <w:r w:rsidR="007838FC">
        <w:rPr>
          <w:rFonts w:asciiTheme="majorBidi" w:hAnsiTheme="majorBidi" w:cstheme="majorBidi"/>
        </w:rPr>
        <w:t>panta pirmās daļas izpratnē.</w:t>
      </w:r>
      <w:r>
        <w:rPr>
          <w:rFonts w:asciiTheme="majorBidi" w:hAnsiTheme="majorBidi" w:cstheme="majorBidi"/>
        </w:rPr>
        <w:t xml:space="preserve"> </w:t>
      </w:r>
    </w:p>
    <w:p w14:paraId="5EA6CD76" w14:textId="108F08B9" w:rsidR="0081152C" w:rsidRDefault="0081152C" w:rsidP="0081152C">
      <w:pPr>
        <w:spacing w:line="276" w:lineRule="auto"/>
        <w:ind w:right="3" w:firstLine="720"/>
        <w:jc w:val="both"/>
        <w:rPr>
          <w:rFonts w:asciiTheme="majorBidi" w:hAnsiTheme="majorBidi" w:cstheme="majorBidi"/>
        </w:rPr>
      </w:pPr>
      <w:r>
        <w:rPr>
          <w:rFonts w:asciiTheme="majorBidi" w:hAnsiTheme="majorBidi" w:cstheme="majorBidi"/>
        </w:rPr>
        <w:t>Saskaņā ar Krimināllikuma 70.</w:t>
      </w:r>
      <w:r>
        <w:rPr>
          <w:rFonts w:asciiTheme="majorBidi" w:hAnsiTheme="majorBidi" w:cstheme="majorBidi"/>
          <w:vertAlign w:val="superscript"/>
        </w:rPr>
        <w:t>10</w:t>
      </w:r>
      <w:r w:rsidR="002E41C6">
        <w:rPr>
          <w:rFonts w:asciiTheme="majorBidi" w:hAnsiTheme="majorBidi" w:cstheme="majorBidi"/>
          <w:vertAlign w:val="superscript"/>
        </w:rPr>
        <w:t> </w:t>
      </w:r>
      <w:r>
        <w:rPr>
          <w:rFonts w:asciiTheme="majorBidi" w:hAnsiTheme="majorBidi" w:cstheme="majorBidi"/>
        </w:rPr>
        <w:t xml:space="preserve">pantu mantas īpašā konfiskācija attiecināma uz trim grupām, </w:t>
      </w:r>
      <w:r w:rsidR="00EE3661">
        <w:rPr>
          <w:rFonts w:asciiTheme="majorBidi" w:hAnsiTheme="majorBidi" w:cstheme="majorBidi"/>
        </w:rPr>
        <w:t xml:space="preserve">arī </w:t>
      </w:r>
      <w:r>
        <w:rPr>
          <w:rFonts w:asciiTheme="majorBidi" w:hAnsiTheme="majorBidi" w:cstheme="majorBidi"/>
        </w:rPr>
        <w:t>uz noziedzīga nodarījuma izdarīšanas priekšmetu.</w:t>
      </w:r>
    </w:p>
    <w:p w14:paraId="6CEF281D" w14:textId="25BE87F1" w:rsidR="0081152C" w:rsidRDefault="0081152C" w:rsidP="0081152C">
      <w:pPr>
        <w:spacing w:line="276" w:lineRule="auto"/>
        <w:ind w:right="3" w:firstLine="720"/>
        <w:jc w:val="both"/>
        <w:rPr>
          <w:rFonts w:asciiTheme="majorBidi" w:hAnsiTheme="majorBidi" w:cstheme="majorBidi"/>
        </w:rPr>
      </w:pPr>
      <w:r>
        <w:rPr>
          <w:rFonts w:asciiTheme="majorBidi" w:hAnsiTheme="majorBidi" w:cstheme="majorBidi"/>
        </w:rPr>
        <w:t xml:space="preserve">Krimināllikuma </w:t>
      </w:r>
      <w:bookmarkStart w:id="8" w:name="_Hlk193119488"/>
      <w:r>
        <w:rPr>
          <w:rFonts w:asciiTheme="majorBidi" w:hAnsiTheme="majorBidi" w:cstheme="majorBidi"/>
        </w:rPr>
        <w:t>70.</w:t>
      </w:r>
      <w:r>
        <w:rPr>
          <w:rFonts w:asciiTheme="majorBidi" w:hAnsiTheme="majorBidi" w:cstheme="majorBidi"/>
          <w:vertAlign w:val="superscript"/>
        </w:rPr>
        <w:t>12</w:t>
      </w:r>
      <w:r w:rsidR="002E41C6">
        <w:rPr>
          <w:rFonts w:asciiTheme="majorBidi" w:hAnsiTheme="majorBidi" w:cstheme="majorBidi"/>
          <w:vertAlign w:val="superscript"/>
        </w:rPr>
        <w:t> </w:t>
      </w:r>
      <w:r>
        <w:rPr>
          <w:rFonts w:asciiTheme="majorBidi" w:hAnsiTheme="majorBidi" w:cstheme="majorBidi"/>
        </w:rPr>
        <w:t xml:space="preserve">panta </w:t>
      </w:r>
      <w:bookmarkEnd w:id="8"/>
      <w:r>
        <w:rPr>
          <w:rFonts w:asciiTheme="majorBidi" w:hAnsiTheme="majorBidi" w:cstheme="majorBidi"/>
        </w:rPr>
        <w:t>otrā daļa noteic, ka noziedzīga nodarījuma izdarīšanas priekšmetus konfiscē.</w:t>
      </w:r>
    </w:p>
    <w:p w14:paraId="4670C8AA" w14:textId="65F3FF82" w:rsidR="007838FC" w:rsidRPr="00094C08" w:rsidRDefault="007838FC" w:rsidP="0081152C">
      <w:pPr>
        <w:spacing w:line="276" w:lineRule="auto"/>
        <w:ind w:right="3" w:firstLine="720"/>
        <w:jc w:val="both"/>
        <w:rPr>
          <w:rFonts w:asciiTheme="majorBidi" w:hAnsiTheme="majorBidi" w:cstheme="majorBidi"/>
        </w:rPr>
      </w:pPr>
      <w:r>
        <w:rPr>
          <w:rFonts w:asciiTheme="majorBidi" w:hAnsiTheme="majorBidi" w:cstheme="majorBidi"/>
        </w:rPr>
        <w:t>No Krimināllikuma 70.</w:t>
      </w:r>
      <w:r>
        <w:rPr>
          <w:rFonts w:asciiTheme="majorBidi" w:hAnsiTheme="majorBidi" w:cstheme="majorBidi"/>
          <w:vertAlign w:val="superscript"/>
        </w:rPr>
        <w:t>10</w:t>
      </w:r>
      <w:r w:rsidR="002E41C6">
        <w:rPr>
          <w:rFonts w:asciiTheme="majorBidi" w:hAnsiTheme="majorBidi" w:cstheme="majorBidi"/>
          <w:vertAlign w:val="superscript"/>
        </w:rPr>
        <w:t> </w:t>
      </w:r>
      <w:r>
        <w:rPr>
          <w:rFonts w:asciiTheme="majorBidi" w:hAnsiTheme="majorBidi" w:cstheme="majorBidi"/>
        </w:rPr>
        <w:t>panta un 70.</w:t>
      </w:r>
      <w:r>
        <w:rPr>
          <w:rFonts w:asciiTheme="majorBidi" w:hAnsiTheme="majorBidi" w:cstheme="majorBidi"/>
          <w:vertAlign w:val="superscript"/>
        </w:rPr>
        <w:t>12</w:t>
      </w:r>
      <w:r w:rsidR="002E41C6">
        <w:rPr>
          <w:rFonts w:asciiTheme="majorBidi" w:hAnsiTheme="majorBidi" w:cstheme="majorBidi"/>
          <w:vertAlign w:val="superscript"/>
        </w:rPr>
        <w:t> </w:t>
      </w:r>
      <w:r>
        <w:rPr>
          <w:rFonts w:asciiTheme="majorBidi" w:hAnsiTheme="majorBidi" w:cstheme="majorBidi"/>
        </w:rPr>
        <w:t xml:space="preserve">panta otrās daļas izriet, ka manta, kas atzīta par </w:t>
      </w:r>
      <w:r w:rsidRPr="008304E1">
        <w:rPr>
          <w:rFonts w:asciiTheme="majorBidi" w:hAnsiTheme="majorBidi" w:cstheme="majorBidi"/>
        </w:rPr>
        <w:t>noziedzīga nodarījuma izdarīšanas priekšmetu, ir konfiscējama neatkarīgi no tā, vai tai uzlikts</w:t>
      </w:r>
      <w:r w:rsidR="00094C08">
        <w:rPr>
          <w:rFonts w:asciiTheme="majorBidi" w:hAnsiTheme="majorBidi" w:cstheme="majorBidi"/>
        </w:rPr>
        <w:t xml:space="preserve"> arests nolūkā to konfiscēt saskaņā ar Krimināllikuma 70.</w:t>
      </w:r>
      <w:r w:rsidR="00094C08">
        <w:rPr>
          <w:rFonts w:asciiTheme="majorBidi" w:hAnsiTheme="majorBidi" w:cstheme="majorBidi"/>
          <w:vertAlign w:val="superscript"/>
        </w:rPr>
        <w:t>12</w:t>
      </w:r>
      <w:r w:rsidR="002E41C6">
        <w:rPr>
          <w:rFonts w:asciiTheme="majorBidi" w:hAnsiTheme="majorBidi" w:cstheme="majorBidi"/>
          <w:vertAlign w:val="superscript"/>
        </w:rPr>
        <w:t> </w:t>
      </w:r>
      <w:r w:rsidR="00094C08">
        <w:rPr>
          <w:rFonts w:asciiTheme="majorBidi" w:hAnsiTheme="majorBidi" w:cstheme="majorBidi"/>
        </w:rPr>
        <w:t>panta otro daļu</w:t>
      </w:r>
      <w:r w:rsidR="0051030B">
        <w:rPr>
          <w:rFonts w:asciiTheme="majorBidi" w:hAnsiTheme="majorBidi" w:cstheme="majorBidi"/>
        </w:rPr>
        <w:t>.</w:t>
      </w:r>
    </w:p>
    <w:p w14:paraId="5AD846DD" w14:textId="5B64506E" w:rsidR="007838FC" w:rsidRDefault="007838FC" w:rsidP="0081152C">
      <w:pPr>
        <w:spacing w:line="276" w:lineRule="auto"/>
        <w:ind w:right="3" w:firstLine="720"/>
        <w:jc w:val="both"/>
        <w:rPr>
          <w:rFonts w:asciiTheme="majorBidi" w:hAnsiTheme="majorBidi" w:cstheme="majorBidi"/>
        </w:rPr>
      </w:pPr>
      <w:r>
        <w:rPr>
          <w:rFonts w:asciiTheme="majorBidi" w:hAnsiTheme="majorBidi" w:cstheme="majorBidi"/>
        </w:rPr>
        <w:t>Turklāt izskatāmajā lietā kā viens no mantas aresta pamatiem ir norādīta iespējamība, ka manta tiks atzīta par noziedzīga nodarījuma izdarīšanas priekšmetu.</w:t>
      </w:r>
    </w:p>
    <w:p w14:paraId="53FBB056" w14:textId="77777777" w:rsidR="007838FC" w:rsidRDefault="007838FC" w:rsidP="0081152C">
      <w:pPr>
        <w:spacing w:line="276" w:lineRule="auto"/>
        <w:ind w:right="3" w:firstLine="720"/>
        <w:jc w:val="both"/>
        <w:rPr>
          <w:rFonts w:asciiTheme="majorBidi" w:hAnsiTheme="majorBidi" w:cstheme="majorBidi"/>
        </w:rPr>
      </w:pPr>
    </w:p>
    <w:p w14:paraId="598013B8" w14:textId="42DD14C8" w:rsidR="007838FC" w:rsidRPr="0051030B" w:rsidRDefault="007838FC" w:rsidP="0081152C">
      <w:pPr>
        <w:spacing w:line="276" w:lineRule="auto"/>
        <w:ind w:right="3" w:firstLine="720"/>
        <w:jc w:val="both"/>
        <w:rPr>
          <w:rFonts w:asciiTheme="majorBidi" w:hAnsiTheme="majorBidi" w:cstheme="majorBidi"/>
        </w:rPr>
      </w:pPr>
      <w:r>
        <w:rPr>
          <w:rFonts w:asciiTheme="majorBidi" w:hAnsiTheme="majorBidi" w:cstheme="majorBidi"/>
        </w:rPr>
        <w:t xml:space="preserve">[9] Pamatojoties uz šā lēmuma [7] un [8] punktā izklāstītajiem apsvērumiem Senāts atzīst, ka </w:t>
      </w:r>
      <w:r w:rsidR="00262B66">
        <w:rPr>
          <w:rFonts w:asciiTheme="majorBidi" w:hAnsiTheme="majorBidi" w:cstheme="majorBidi"/>
        </w:rPr>
        <w:t xml:space="preserve">kasācijas protests daļēji ir pamatots un </w:t>
      </w:r>
      <w:r>
        <w:rPr>
          <w:rFonts w:asciiTheme="majorBidi" w:hAnsiTheme="majorBidi" w:cstheme="majorBidi"/>
        </w:rPr>
        <w:t xml:space="preserve">apelācijas instances tiesa, taisot spriedumu, ir nepareizi piemērojusi </w:t>
      </w:r>
      <w:r w:rsidRPr="0051030B">
        <w:rPr>
          <w:rFonts w:asciiTheme="majorBidi" w:hAnsiTheme="majorBidi" w:cstheme="majorBidi"/>
        </w:rPr>
        <w:t>Krimināllikuma 70.</w:t>
      </w:r>
      <w:r w:rsidRPr="0051030B">
        <w:rPr>
          <w:rFonts w:asciiTheme="majorBidi" w:hAnsiTheme="majorBidi" w:cstheme="majorBidi"/>
          <w:vertAlign w:val="superscript"/>
        </w:rPr>
        <w:t>12</w:t>
      </w:r>
      <w:r w:rsidR="0051030B" w:rsidRPr="0051030B">
        <w:rPr>
          <w:rFonts w:asciiTheme="majorBidi" w:hAnsiTheme="majorBidi" w:cstheme="majorBidi"/>
          <w:vertAlign w:val="superscript"/>
        </w:rPr>
        <w:t> </w:t>
      </w:r>
      <w:r w:rsidRPr="0051030B">
        <w:rPr>
          <w:rFonts w:asciiTheme="majorBidi" w:hAnsiTheme="majorBidi" w:cstheme="majorBidi"/>
        </w:rPr>
        <w:t>panta pirmo un otro daļu, tādējādi pieļāvusi Kriminālprocesa likuma 574. panta 1. punktā norādīto Krimināllikuma pārkāpumu – nepareizi piemērojusi Krimināllikuma Vispārīgās daļas pantu.</w:t>
      </w:r>
    </w:p>
    <w:p w14:paraId="13247817" w14:textId="509AA588" w:rsidR="00FB6F09" w:rsidRDefault="00FB6F09" w:rsidP="0081152C">
      <w:pPr>
        <w:spacing w:line="276" w:lineRule="auto"/>
        <w:ind w:right="3" w:firstLine="720"/>
        <w:jc w:val="both"/>
        <w:rPr>
          <w:rFonts w:asciiTheme="majorBidi" w:hAnsiTheme="majorBidi" w:cstheme="majorBidi"/>
        </w:rPr>
      </w:pPr>
      <w:r>
        <w:rPr>
          <w:rFonts w:asciiTheme="majorBidi" w:hAnsiTheme="majorBidi" w:cstheme="majorBidi"/>
        </w:rPr>
        <w:t xml:space="preserve">Ievērojot norādīto, Senāts atzīst, ka apelācijas instances tiesas spriedums ir atceļams daļā par </w:t>
      </w:r>
      <w:bookmarkStart w:id="9" w:name="_Hlk193119864"/>
      <w:r w:rsidR="0063035C">
        <w:rPr>
          <w:rFonts w:asciiTheme="majorBidi" w:hAnsiTheme="majorBidi" w:cstheme="majorBidi"/>
        </w:rPr>
        <w:t>[pers. A]</w:t>
      </w:r>
      <w:r>
        <w:rPr>
          <w:rFonts w:asciiTheme="majorBidi" w:hAnsiTheme="majorBidi" w:cstheme="majorBidi"/>
        </w:rPr>
        <w:t xml:space="preserve"> piederošā transportlīdzekļa </w:t>
      </w:r>
      <w:r w:rsidR="0051030B">
        <w:rPr>
          <w:rFonts w:asciiTheme="majorBidi" w:hAnsiTheme="majorBidi" w:cstheme="majorBidi"/>
        </w:rPr>
        <w:t>„</w:t>
      </w:r>
      <w:r>
        <w:rPr>
          <w:rFonts w:asciiTheme="majorBidi" w:hAnsiTheme="majorBidi" w:cstheme="majorBidi"/>
        </w:rPr>
        <w:t>Peugeot</w:t>
      </w:r>
      <w:r w:rsidR="00262B66">
        <w:rPr>
          <w:rFonts w:asciiTheme="majorBidi" w:hAnsiTheme="majorBidi" w:cstheme="majorBidi"/>
        </w:rPr>
        <w:t> </w:t>
      </w:r>
      <w:r>
        <w:rPr>
          <w:rFonts w:asciiTheme="majorBidi" w:hAnsiTheme="majorBidi" w:cstheme="majorBidi"/>
        </w:rPr>
        <w:t>307</w:t>
      </w:r>
      <w:bookmarkEnd w:id="9"/>
      <w:r>
        <w:rPr>
          <w:rFonts w:asciiTheme="majorBidi" w:hAnsiTheme="majorBidi" w:cstheme="majorBidi"/>
        </w:rPr>
        <w:t xml:space="preserve"> konfiskāciju un šajā daļā lieta nosūtāma jaunai izskatīšanai apelācijas instances tiesā.</w:t>
      </w:r>
    </w:p>
    <w:p w14:paraId="7D9270F4" w14:textId="77777777" w:rsidR="00FB6F09" w:rsidRDefault="00FB6F09" w:rsidP="0081152C">
      <w:pPr>
        <w:spacing w:line="276" w:lineRule="auto"/>
        <w:ind w:right="3" w:firstLine="720"/>
        <w:jc w:val="both"/>
        <w:rPr>
          <w:rFonts w:asciiTheme="majorBidi" w:hAnsiTheme="majorBidi" w:cstheme="majorBidi"/>
        </w:rPr>
      </w:pPr>
    </w:p>
    <w:p w14:paraId="2C50F1A9" w14:textId="316BF899" w:rsidR="003726C7" w:rsidRDefault="00FB6F09" w:rsidP="0081152C">
      <w:pPr>
        <w:spacing w:line="276" w:lineRule="auto"/>
        <w:ind w:right="3" w:firstLine="720"/>
        <w:jc w:val="both"/>
        <w:rPr>
          <w:rFonts w:asciiTheme="majorBidi" w:hAnsiTheme="majorBidi" w:cstheme="majorBidi"/>
        </w:rPr>
      </w:pPr>
      <w:r>
        <w:rPr>
          <w:rFonts w:asciiTheme="majorBidi" w:hAnsiTheme="majorBidi" w:cstheme="majorBidi"/>
        </w:rPr>
        <w:t>[10] Senāts norāda, ka</w:t>
      </w:r>
      <w:r w:rsidR="0045776A">
        <w:rPr>
          <w:rFonts w:asciiTheme="majorBidi" w:hAnsiTheme="majorBidi" w:cstheme="majorBidi"/>
        </w:rPr>
        <w:t>,</w:t>
      </w:r>
      <w:r>
        <w:rPr>
          <w:rFonts w:asciiTheme="majorBidi" w:hAnsiTheme="majorBidi" w:cstheme="majorBidi"/>
        </w:rPr>
        <w:t xml:space="preserve"> lemjot jautājumu par rīcību ar </w:t>
      </w:r>
      <w:r w:rsidR="0063035C">
        <w:rPr>
          <w:rFonts w:asciiTheme="majorBidi" w:hAnsiTheme="majorBidi" w:cstheme="majorBidi"/>
        </w:rPr>
        <w:t>[pers. A]</w:t>
      </w:r>
      <w:r>
        <w:rPr>
          <w:rFonts w:asciiTheme="majorBidi" w:hAnsiTheme="majorBidi" w:cstheme="majorBidi"/>
        </w:rPr>
        <w:t xml:space="preserve"> piederošo transportlīdzekli </w:t>
      </w:r>
      <w:r w:rsidR="0051030B">
        <w:rPr>
          <w:rFonts w:asciiTheme="majorBidi" w:hAnsiTheme="majorBidi" w:cstheme="majorBidi"/>
        </w:rPr>
        <w:t>„</w:t>
      </w:r>
      <w:r>
        <w:rPr>
          <w:rFonts w:asciiTheme="majorBidi" w:hAnsiTheme="majorBidi" w:cstheme="majorBidi"/>
        </w:rPr>
        <w:t>Peugeot</w:t>
      </w:r>
      <w:r w:rsidR="00262B66">
        <w:rPr>
          <w:rFonts w:asciiTheme="majorBidi" w:hAnsiTheme="majorBidi" w:cstheme="majorBidi"/>
        </w:rPr>
        <w:t> </w:t>
      </w:r>
      <w:r>
        <w:rPr>
          <w:rFonts w:asciiTheme="majorBidi" w:hAnsiTheme="majorBidi" w:cstheme="majorBidi"/>
        </w:rPr>
        <w:t>307</w:t>
      </w:r>
      <w:r w:rsidR="0051030B">
        <w:rPr>
          <w:rFonts w:asciiTheme="majorBidi" w:hAnsiTheme="majorBidi" w:cstheme="majorBidi"/>
        </w:rPr>
        <w:t>”</w:t>
      </w:r>
      <w:r w:rsidR="0045776A">
        <w:rPr>
          <w:rFonts w:asciiTheme="majorBidi" w:hAnsiTheme="majorBidi" w:cstheme="majorBidi"/>
        </w:rPr>
        <w:t>, tiesai jāņem vērā</w:t>
      </w:r>
      <w:r w:rsidR="00E84868">
        <w:rPr>
          <w:rFonts w:asciiTheme="majorBidi" w:hAnsiTheme="majorBidi" w:cstheme="majorBidi"/>
        </w:rPr>
        <w:t xml:space="preserve"> pirmās instances tiesas</w:t>
      </w:r>
      <w:r w:rsidR="008304E1">
        <w:rPr>
          <w:rFonts w:asciiTheme="majorBidi" w:hAnsiTheme="majorBidi" w:cstheme="majorBidi"/>
        </w:rPr>
        <w:t xml:space="preserve"> </w:t>
      </w:r>
      <w:r w:rsidR="003726C7">
        <w:rPr>
          <w:rFonts w:asciiTheme="majorBidi" w:hAnsiTheme="majorBidi" w:cstheme="majorBidi"/>
        </w:rPr>
        <w:t>spriedumā izdarītais</w:t>
      </w:r>
      <w:r w:rsidR="008304E1">
        <w:rPr>
          <w:rFonts w:asciiTheme="majorBidi" w:hAnsiTheme="majorBidi" w:cstheme="majorBidi"/>
        </w:rPr>
        <w:t xml:space="preserve"> atzinums,</w:t>
      </w:r>
      <w:r w:rsidR="00E84868">
        <w:rPr>
          <w:rFonts w:asciiTheme="majorBidi" w:hAnsiTheme="majorBidi" w:cstheme="majorBidi"/>
        </w:rPr>
        <w:t xml:space="preserve"> kuram apelācijas instances tiesa ir piekritusi,</w:t>
      </w:r>
      <w:r w:rsidR="008304E1">
        <w:rPr>
          <w:rFonts w:asciiTheme="majorBidi" w:hAnsiTheme="majorBidi" w:cstheme="majorBidi"/>
        </w:rPr>
        <w:t xml:space="preserve"> ka Krimināllikuma</w:t>
      </w:r>
      <w:r w:rsidR="003726C7">
        <w:rPr>
          <w:rFonts w:asciiTheme="majorBidi" w:hAnsiTheme="majorBidi" w:cstheme="majorBidi"/>
        </w:rPr>
        <w:t xml:space="preserve"> 313.</w:t>
      </w:r>
      <w:r w:rsidR="00E84868">
        <w:rPr>
          <w:rFonts w:asciiTheme="majorBidi" w:hAnsiTheme="majorBidi" w:cstheme="majorBidi"/>
        </w:rPr>
        <w:t> </w:t>
      </w:r>
      <w:r w:rsidR="003726C7">
        <w:rPr>
          <w:rFonts w:asciiTheme="majorBidi" w:hAnsiTheme="majorBidi" w:cstheme="majorBidi"/>
        </w:rPr>
        <w:t xml:space="preserve">panta otrajā daļā paredzēto noziedzīgo nodarījumu ir izdarījis apsūdzētais </w:t>
      </w:r>
      <w:r w:rsidR="0063035C">
        <w:rPr>
          <w:rFonts w:asciiTheme="majorBidi" w:hAnsiTheme="majorBidi" w:cstheme="majorBidi"/>
        </w:rPr>
        <w:t>[pers. B]</w:t>
      </w:r>
      <w:r w:rsidR="003726C7">
        <w:rPr>
          <w:rFonts w:asciiTheme="majorBidi" w:hAnsiTheme="majorBidi" w:cstheme="majorBidi"/>
        </w:rPr>
        <w:t xml:space="preserve">, bet automašīna </w:t>
      </w:r>
      <w:r w:rsidR="0051030B">
        <w:rPr>
          <w:rFonts w:asciiTheme="majorBidi" w:hAnsiTheme="majorBidi" w:cstheme="majorBidi"/>
        </w:rPr>
        <w:t>„</w:t>
      </w:r>
      <w:r w:rsidR="003726C7">
        <w:rPr>
          <w:rFonts w:asciiTheme="majorBidi" w:hAnsiTheme="majorBidi" w:cstheme="majorBidi"/>
        </w:rPr>
        <w:t>Peugeot</w:t>
      </w:r>
      <w:r w:rsidR="000E0197">
        <w:rPr>
          <w:rFonts w:asciiTheme="majorBidi" w:hAnsiTheme="majorBidi" w:cstheme="majorBidi"/>
        </w:rPr>
        <w:t> </w:t>
      </w:r>
      <w:r w:rsidR="003726C7">
        <w:rPr>
          <w:rFonts w:asciiTheme="majorBidi" w:hAnsiTheme="majorBidi" w:cstheme="majorBidi"/>
        </w:rPr>
        <w:t>307</w:t>
      </w:r>
      <w:r w:rsidR="000E0197">
        <w:rPr>
          <w:rFonts w:asciiTheme="majorBidi" w:hAnsiTheme="majorBidi" w:cstheme="majorBidi"/>
        </w:rPr>
        <w:t>”</w:t>
      </w:r>
      <w:r w:rsidR="00B13771">
        <w:rPr>
          <w:rFonts w:asciiTheme="majorBidi" w:hAnsiTheme="majorBidi" w:cstheme="majorBidi"/>
        </w:rPr>
        <w:t xml:space="preserve"> </w:t>
      </w:r>
      <w:r w:rsidR="003726C7">
        <w:rPr>
          <w:rFonts w:asciiTheme="majorBidi" w:hAnsiTheme="majorBidi" w:cstheme="majorBidi"/>
        </w:rPr>
        <w:t xml:space="preserve">pieder apsūdzētajam </w:t>
      </w:r>
      <w:r w:rsidR="0063035C">
        <w:rPr>
          <w:rFonts w:asciiTheme="majorBidi" w:hAnsiTheme="majorBidi" w:cstheme="majorBidi"/>
        </w:rPr>
        <w:t>[pers. A]</w:t>
      </w:r>
      <w:r w:rsidR="003726C7">
        <w:rPr>
          <w:rFonts w:asciiTheme="majorBidi" w:hAnsiTheme="majorBidi" w:cstheme="majorBidi"/>
        </w:rPr>
        <w:t xml:space="preserve">, turklāt kasācijas protestā, apstrīdot </w:t>
      </w:r>
      <w:r w:rsidR="00F01DC9">
        <w:rPr>
          <w:rFonts w:asciiTheme="majorBidi" w:hAnsiTheme="majorBidi" w:cstheme="majorBidi"/>
        </w:rPr>
        <w:t xml:space="preserve">tiesas </w:t>
      </w:r>
      <w:r w:rsidR="003726C7">
        <w:rPr>
          <w:rFonts w:asciiTheme="majorBidi" w:hAnsiTheme="majorBidi" w:cstheme="majorBidi"/>
        </w:rPr>
        <w:t>spriedumu daļā par rīcību ar minēto automašīnu</w:t>
      </w:r>
      <w:r w:rsidR="00F01DC9">
        <w:rPr>
          <w:rFonts w:asciiTheme="majorBidi" w:hAnsiTheme="majorBidi" w:cstheme="majorBidi"/>
        </w:rPr>
        <w:t>, ir apsvērta automašīnas konfiskācija tikai kā Krimināllikuma 313. panta otrajā daļā paredzētā noziedzīgā nodarījuma izdarīšanas priekšmeta konfiskācija.</w:t>
      </w:r>
      <w:r w:rsidR="0045776A">
        <w:rPr>
          <w:rFonts w:asciiTheme="majorBidi" w:hAnsiTheme="majorBidi" w:cstheme="majorBidi"/>
        </w:rPr>
        <w:t xml:space="preserve"> </w:t>
      </w:r>
    </w:p>
    <w:p w14:paraId="1C410FE8" w14:textId="5625C754" w:rsidR="00FB6F09" w:rsidRDefault="00F01DC9" w:rsidP="0081152C">
      <w:pPr>
        <w:spacing w:line="276" w:lineRule="auto"/>
        <w:ind w:right="3" w:firstLine="720"/>
        <w:jc w:val="both"/>
        <w:rPr>
          <w:rFonts w:asciiTheme="majorBidi" w:hAnsiTheme="majorBidi" w:cstheme="majorBidi"/>
        </w:rPr>
      </w:pPr>
      <w:r>
        <w:rPr>
          <w:rFonts w:asciiTheme="majorBidi" w:hAnsiTheme="majorBidi" w:cstheme="majorBidi"/>
        </w:rPr>
        <w:lastRenderedPageBreak/>
        <w:t>S</w:t>
      </w:r>
      <w:r w:rsidR="0045776A">
        <w:rPr>
          <w:rFonts w:asciiTheme="majorBidi" w:hAnsiTheme="majorBidi" w:cstheme="majorBidi"/>
        </w:rPr>
        <w:t xml:space="preserve">askaņā ar Krimināllikuma </w:t>
      </w:r>
      <w:r w:rsidR="00F419E2">
        <w:rPr>
          <w:rFonts w:asciiTheme="majorBidi" w:hAnsiTheme="majorBidi" w:cstheme="majorBidi"/>
        </w:rPr>
        <w:t>70.</w:t>
      </w:r>
      <w:r w:rsidR="00F419E2">
        <w:rPr>
          <w:rFonts w:asciiTheme="majorBidi" w:hAnsiTheme="majorBidi" w:cstheme="majorBidi"/>
          <w:vertAlign w:val="superscript"/>
        </w:rPr>
        <w:t>14</w:t>
      </w:r>
      <w:r w:rsidR="0051030B">
        <w:rPr>
          <w:rFonts w:asciiTheme="majorBidi" w:hAnsiTheme="majorBidi" w:cstheme="majorBidi"/>
          <w:vertAlign w:val="superscript"/>
        </w:rPr>
        <w:t> </w:t>
      </w:r>
      <w:r w:rsidR="008304E1">
        <w:rPr>
          <w:rFonts w:asciiTheme="majorBidi" w:hAnsiTheme="majorBidi" w:cstheme="majorBidi"/>
        </w:rPr>
        <w:t>panta pirmo</w:t>
      </w:r>
      <w:r w:rsidR="008304E1">
        <w:rPr>
          <w:rFonts w:asciiTheme="majorBidi" w:hAnsiTheme="majorBidi" w:cstheme="majorBidi"/>
          <w:vertAlign w:val="superscript"/>
        </w:rPr>
        <w:t xml:space="preserve"> </w:t>
      </w:r>
      <w:r w:rsidR="008304E1">
        <w:rPr>
          <w:rFonts w:asciiTheme="majorBidi" w:hAnsiTheme="majorBidi" w:cstheme="majorBidi"/>
        </w:rPr>
        <w:t>daļu gadījumā, ja noziedzīga nodarījuma izdarīšanas priekšmets pieder citai personai, tiesa var piedzīt noziedzīga nodarījuma izdarīšanas priekšmeta vērtību.</w:t>
      </w:r>
      <w:r w:rsidR="0045776A">
        <w:rPr>
          <w:rFonts w:asciiTheme="majorBidi" w:hAnsiTheme="majorBidi" w:cstheme="majorBidi"/>
        </w:rPr>
        <w:t xml:space="preserve"> </w:t>
      </w:r>
    </w:p>
    <w:p w14:paraId="5B178F9F" w14:textId="77777777" w:rsidR="005864EB" w:rsidRDefault="005864EB" w:rsidP="00A50E7E">
      <w:pPr>
        <w:spacing w:line="276" w:lineRule="auto"/>
        <w:ind w:right="3" w:firstLine="720"/>
        <w:jc w:val="both"/>
        <w:rPr>
          <w:rFonts w:asciiTheme="majorBidi" w:hAnsiTheme="majorBidi" w:cstheme="majorBidi"/>
        </w:rPr>
      </w:pPr>
    </w:p>
    <w:p w14:paraId="3F78EDAA" w14:textId="2386FFA4" w:rsidR="00C44243" w:rsidRDefault="00C44243" w:rsidP="00A50E7E">
      <w:pPr>
        <w:spacing w:line="276" w:lineRule="auto"/>
        <w:ind w:right="3" w:firstLine="720"/>
        <w:jc w:val="both"/>
        <w:rPr>
          <w:rFonts w:asciiTheme="majorBidi" w:hAnsiTheme="majorBidi" w:cstheme="majorBidi"/>
        </w:rPr>
      </w:pPr>
      <w:r>
        <w:rPr>
          <w:rFonts w:asciiTheme="majorBidi" w:hAnsiTheme="majorBidi" w:cstheme="majorBidi"/>
        </w:rPr>
        <w:t>[</w:t>
      </w:r>
      <w:r w:rsidR="00502B37">
        <w:rPr>
          <w:rFonts w:asciiTheme="majorBidi" w:hAnsiTheme="majorBidi" w:cstheme="majorBidi"/>
        </w:rPr>
        <w:t>11</w:t>
      </w:r>
      <w:r>
        <w:rPr>
          <w:rFonts w:asciiTheme="majorBidi" w:hAnsiTheme="majorBidi" w:cstheme="majorBidi"/>
        </w:rPr>
        <w:t xml:space="preserve">] </w:t>
      </w:r>
      <w:r w:rsidR="00262B66">
        <w:rPr>
          <w:rFonts w:asciiTheme="majorBidi" w:hAnsiTheme="majorBidi" w:cstheme="majorBidi"/>
        </w:rPr>
        <w:t xml:space="preserve">Attiecībā </w:t>
      </w:r>
      <w:r w:rsidR="00D72606">
        <w:rPr>
          <w:rFonts w:asciiTheme="majorBidi" w:hAnsiTheme="majorBidi" w:cstheme="majorBidi"/>
        </w:rPr>
        <w:t>uz</w:t>
      </w:r>
      <w:r w:rsidR="00262B66">
        <w:rPr>
          <w:rFonts w:asciiTheme="majorBidi" w:hAnsiTheme="majorBidi" w:cstheme="majorBidi"/>
        </w:rPr>
        <w:t xml:space="preserve"> </w:t>
      </w:r>
      <w:r>
        <w:rPr>
          <w:rFonts w:asciiTheme="majorBidi" w:hAnsiTheme="majorBidi" w:cstheme="majorBidi"/>
        </w:rPr>
        <w:t xml:space="preserve">apsūdzētā </w:t>
      </w:r>
      <w:r w:rsidR="0063035C">
        <w:rPr>
          <w:rFonts w:asciiTheme="majorBidi" w:hAnsiTheme="majorBidi" w:cstheme="majorBidi"/>
        </w:rPr>
        <w:t>[pers. A]</w:t>
      </w:r>
      <w:r>
        <w:rPr>
          <w:rFonts w:asciiTheme="majorBidi" w:hAnsiTheme="majorBidi" w:cstheme="majorBidi"/>
        </w:rPr>
        <w:t xml:space="preserve"> </w:t>
      </w:r>
      <w:r w:rsidR="00262B66">
        <w:rPr>
          <w:rFonts w:asciiTheme="majorBidi" w:hAnsiTheme="majorBidi" w:cstheme="majorBidi"/>
        </w:rPr>
        <w:t xml:space="preserve">kasācijas sūdzību Senāts konstatē, ka </w:t>
      </w:r>
      <w:r>
        <w:rPr>
          <w:rFonts w:asciiTheme="majorBidi" w:hAnsiTheme="majorBidi" w:cstheme="majorBidi"/>
        </w:rPr>
        <w:t xml:space="preserve">norādes uz apelācijas instances tiesas pieļautiem Kriminālprocesa likuma pārkāpumiem </w:t>
      </w:r>
      <w:r w:rsidR="00906689">
        <w:rPr>
          <w:rFonts w:asciiTheme="majorBidi" w:hAnsiTheme="majorBidi" w:cstheme="majorBidi"/>
        </w:rPr>
        <w:t>ir motivētas ar pierādījumu atšķirīgu vērtējumu un subjektīvu nepiekrišanu tiesas atzinumiem.</w:t>
      </w:r>
    </w:p>
    <w:p w14:paraId="287D1B3D" w14:textId="2E69FF65" w:rsidR="00906689" w:rsidRDefault="00262B66" w:rsidP="001B0D02">
      <w:pPr>
        <w:spacing w:line="276" w:lineRule="auto"/>
        <w:ind w:right="3" w:firstLine="720"/>
        <w:jc w:val="both"/>
        <w:rPr>
          <w:rFonts w:asciiTheme="majorBidi" w:hAnsiTheme="majorBidi" w:cstheme="majorBidi"/>
        </w:rPr>
      </w:pPr>
      <w:r>
        <w:rPr>
          <w:rFonts w:asciiTheme="majorBidi" w:hAnsiTheme="majorBidi" w:cstheme="majorBidi"/>
        </w:rPr>
        <w:t>[11.1] </w:t>
      </w:r>
      <w:r w:rsidR="00906689">
        <w:rPr>
          <w:rFonts w:asciiTheme="majorBidi" w:hAnsiTheme="majorBidi" w:cstheme="majorBidi"/>
        </w:rPr>
        <w:t xml:space="preserve">No apelācijas instances tiesas sprieduma redzams, ka tiesa apsūdzētā </w:t>
      </w:r>
      <w:r w:rsidR="0063035C">
        <w:rPr>
          <w:rFonts w:asciiTheme="majorBidi" w:hAnsiTheme="majorBidi" w:cstheme="majorBidi"/>
        </w:rPr>
        <w:t>[pers. A]</w:t>
      </w:r>
      <w:r w:rsidR="00906689">
        <w:rPr>
          <w:rFonts w:asciiTheme="majorBidi" w:hAnsiTheme="majorBidi" w:cstheme="majorBidi"/>
        </w:rPr>
        <w:t xml:space="preserve"> liecības ir vērtējusi to kopumā un savstarpējā sakarībā ar citiem pierādījumiem. Pamatojoties uz pierādījumu vērtējumu, tiesa atzinusi, ka </w:t>
      </w:r>
      <w:r w:rsidR="0063035C">
        <w:rPr>
          <w:rFonts w:asciiTheme="majorBidi" w:hAnsiTheme="majorBidi" w:cstheme="majorBidi"/>
        </w:rPr>
        <w:t>[pers. A]</w:t>
      </w:r>
      <w:r w:rsidR="00906689">
        <w:rPr>
          <w:rFonts w:asciiTheme="majorBidi" w:hAnsiTheme="majorBidi" w:cstheme="majorBidi"/>
        </w:rPr>
        <w:t xml:space="preserve"> tiesā sniegtās liecības par aizstāvēšanos no </w:t>
      </w:r>
      <w:r w:rsidR="0063035C">
        <w:rPr>
          <w:rFonts w:asciiTheme="majorBidi" w:hAnsiTheme="majorBidi" w:cstheme="majorBidi"/>
        </w:rPr>
        <w:t>[pers. F]</w:t>
      </w:r>
      <w:r w:rsidR="00906689">
        <w:rPr>
          <w:rFonts w:asciiTheme="majorBidi" w:hAnsiTheme="majorBidi" w:cstheme="majorBidi"/>
        </w:rPr>
        <w:t xml:space="preserve"> radīt</w:t>
      </w:r>
      <w:r w:rsidR="002C16DC">
        <w:rPr>
          <w:rFonts w:asciiTheme="majorBidi" w:hAnsiTheme="majorBidi" w:cstheme="majorBidi"/>
        </w:rPr>
        <w:t>ā</w:t>
      </w:r>
      <w:r w:rsidR="00906689">
        <w:rPr>
          <w:rFonts w:asciiTheme="majorBidi" w:hAnsiTheme="majorBidi" w:cstheme="majorBidi"/>
        </w:rPr>
        <w:t xml:space="preserve"> apdraudējuma un miesas bojājumu nodarīšanu bez nolūka nonāvēt ir pretrunā ar tiesu medicīniskās ekspertīzes </w:t>
      </w:r>
      <w:r w:rsidR="002C16DC">
        <w:rPr>
          <w:rFonts w:asciiTheme="majorBidi" w:hAnsiTheme="majorBidi" w:cstheme="majorBidi"/>
        </w:rPr>
        <w:t xml:space="preserve">eksperta </w:t>
      </w:r>
      <w:r w:rsidR="00906689">
        <w:rPr>
          <w:rFonts w:asciiTheme="majorBidi" w:hAnsiTheme="majorBidi" w:cstheme="majorBidi"/>
        </w:rPr>
        <w:t xml:space="preserve">atzinumu par </w:t>
      </w:r>
      <w:r w:rsidR="0063035C">
        <w:rPr>
          <w:rFonts w:asciiTheme="majorBidi" w:hAnsiTheme="majorBidi" w:cstheme="majorBidi"/>
        </w:rPr>
        <w:t>[pers. F]</w:t>
      </w:r>
      <w:r w:rsidR="00906689">
        <w:rPr>
          <w:rFonts w:asciiTheme="majorBidi" w:hAnsiTheme="majorBidi" w:cstheme="majorBidi"/>
        </w:rPr>
        <w:t xml:space="preserve"> nodarīto miesas bojājumu mehānismu, daudzumu un lokalizāciju</w:t>
      </w:r>
      <w:r w:rsidR="009F7F50">
        <w:rPr>
          <w:rFonts w:asciiTheme="majorBidi" w:hAnsiTheme="majorBidi" w:cstheme="majorBidi"/>
        </w:rPr>
        <w:t xml:space="preserve">, kā arī liecinieku </w:t>
      </w:r>
      <w:r w:rsidR="0063035C">
        <w:rPr>
          <w:rFonts w:asciiTheme="majorBidi" w:hAnsiTheme="majorBidi" w:cstheme="majorBidi"/>
        </w:rPr>
        <w:t xml:space="preserve">[pers. G] </w:t>
      </w:r>
      <w:r w:rsidR="009F7F50">
        <w:rPr>
          <w:rFonts w:asciiTheme="majorBidi" w:hAnsiTheme="majorBidi" w:cstheme="majorBidi"/>
        </w:rPr>
        <w:t xml:space="preserve">un </w:t>
      </w:r>
      <w:r w:rsidR="0063035C">
        <w:rPr>
          <w:rFonts w:asciiTheme="majorBidi" w:hAnsiTheme="majorBidi" w:cstheme="majorBidi"/>
        </w:rPr>
        <w:t>[pers. H]</w:t>
      </w:r>
      <w:r w:rsidR="009F7F50">
        <w:rPr>
          <w:rFonts w:asciiTheme="majorBidi" w:hAnsiTheme="majorBidi" w:cstheme="majorBidi"/>
        </w:rPr>
        <w:t xml:space="preserve"> liecībām</w:t>
      </w:r>
      <w:r w:rsidR="001B0D02">
        <w:rPr>
          <w:rFonts w:asciiTheme="majorBidi" w:hAnsiTheme="majorBidi" w:cstheme="majorBidi"/>
        </w:rPr>
        <w:t xml:space="preserve"> un</w:t>
      </w:r>
      <w:r w:rsidR="009F7F50">
        <w:rPr>
          <w:rFonts w:asciiTheme="majorBidi" w:hAnsiTheme="majorBidi" w:cstheme="majorBidi"/>
        </w:rPr>
        <w:t xml:space="preserve"> </w:t>
      </w:r>
      <w:r w:rsidR="009908E5">
        <w:rPr>
          <w:rFonts w:asciiTheme="majorBidi" w:hAnsiTheme="majorBidi" w:cstheme="majorBidi"/>
        </w:rPr>
        <w:t xml:space="preserve">paša </w:t>
      </w:r>
      <w:r w:rsidR="0063035C">
        <w:rPr>
          <w:rFonts w:asciiTheme="majorBidi" w:hAnsiTheme="majorBidi" w:cstheme="majorBidi"/>
        </w:rPr>
        <w:t>[pers. A]</w:t>
      </w:r>
      <w:r w:rsidR="009F7F50">
        <w:rPr>
          <w:rFonts w:asciiTheme="majorBidi" w:hAnsiTheme="majorBidi" w:cstheme="majorBidi"/>
        </w:rPr>
        <w:t xml:space="preserve"> liecībām </w:t>
      </w:r>
      <w:proofErr w:type="spellStart"/>
      <w:r w:rsidR="009F7F50">
        <w:rPr>
          <w:rFonts w:asciiTheme="majorBidi" w:hAnsiTheme="majorBidi" w:cstheme="majorBidi"/>
        </w:rPr>
        <w:t>pirmstiesas</w:t>
      </w:r>
      <w:proofErr w:type="spellEnd"/>
      <w:r w:rsidR="009F7F50">
        <w:rPr>
          <w:rFonts w:asciiTheme="majorBidi" w:hAnsiTheme="majorBidi" w:cstheme="majorBidi"/>
        </w:rPr>
        <w:t xml:space="preserve"> izmeklēšanā. Vērtējot </w:t>
      </w:r>
      <w:r w:rsidR="0063035C">
        <w:rPr>
          <w:rFonts w:asciiTheme="majorBidi" w:hAnsiTheme="majorBidi" w:cstheme="majorBidi"/>
        </w:rPr>
        <w:t>[pers. A]</w:t>
      </w:r>
      <w:r w:rsidR="009F7F50">
        <w:rPr>
          <w:rFonts w:asciiTheme="majorBidi" w:hAnsiTheme="majorBidi" w:cstheme="majorBidi"/>
        </w:rPr>
        <w:t xml:space="preserve"> liecības</w:t>
      </w:r>
      <w:r w:rsidR="001B0D02">
        <w:rPr>
          <w:rFonts w:asciiTheme="majorBidi" w:hAnsiTheme="majorBidi" w:cstheme="majorBidi"/>
        </w:rPr>
        <w:t>,</w:t>
      </w:r>
      <w:r w:rsidR="009F7F50">
        <w:rPr>
          <w:rFonts w:asciiTheme="majorBidi" w:hAnsiTheme="majorBidi" w:cstheme="majorBidi"/>
        </w:rPr>
        <w:t xml:space="preserve"> tiesa ir ņēmusi vērā viņa </w:t>
      </w:r>
      <w:r w:rsidR="001B0D02">
        <w:rPr>
          <w:rFonts w:asciiTheme="majorBidi" w:hAnsiTheme="majorBidi" w:cstheme="majorBidi"/>
        </w:rPr>
        <w:t>skaidrojumu, ka sākotnēji</w:t>
      </w:r>
      <w:r w:rsidR="009908E5">
        <w:rPr>
          <w:rFonts w:asciiTheme="majorBidi" w:hAnsiTheme="majorBidi" w:cstheme="majorBidi"/>
        </w:rPr>
        <w:t xml:space="preserve"> viņš</w:t>
      </w:r>
      <w:r w:rsidR="001B0D02">
        <w:rPr>
          <w:rFonts w:asciiTheme="majorBidi" w:hAnsiTheme="majorBidi" w:cstheme="majorBidi"/>
        </w:rPr>
        <w:t xml:space="preserve"> ir atzinis savu vain</w:t>
      </w:r>
      <w:r w:rsidR="009908E5">
        <w:rPr>
          <w:rFonts w:asciiTheme="majorBidi" w:hAnsiTheme="majorBidi" w:cstheme="majorBidi"/>
        </w:rPr>
        <w:t>īgumu</w:t>
      </w:r>
      <w:r w:rsidR="001B0D02">
        <w:rPr>
          <w:rFonts w:asciiTheme="majorBidi" w:hAnsiTheme="majorBidi" w:cstheme="majorBidi"/>
        </w:rPr>
        <w:t xml:space="preserve"> slepkavībā, jo atradies šoka stāvoklī pēc aizturēšanas un nav izpratis Krimināllikuma 116.</w:t>
      </w:r>
      <w:r w:rsidR="00B30450">
        <w:rPr>
          <w:rFonts w:asciiTheme="majorBidi" w:hAnsiTheme="majorBidi" w:cstheme="majorBidi"/>
        </w:rPr>
        <w:t> </w:t>
      </w:r>
      <w:r w:rsidR="001B0D02">
        <w:rPr>
          <w:rFonts w:asciiTheme="majorBidi" w:hAnsiTheme="majorBidi" w:cstheme="majorBidi"/>
        </w:rPr>
        <w:t>pantā paredzētā noziedzīgā nodarījuma saturu.</w:t>
      </w:r>
      <w:r w:rsidR="00D55345">
        <w:rPr>
          <w:rFonts w:asciiTheme="majorBidi" w:hAnsiTheme="majorBidi" w:cstheme="majorBidi"/>
        </w:rPr>
        <w:t xml:space="preserve"> </w:t>
      </w:r>
    </w:p>
    <w:p w14:paraId="0BAFD326" w14:textId="089C0F1B" w:rsidR="00E01917" w:rsidRDefault="00C92E28" w:rsidP="0063035C">
      <w:pPr>
        <w:spacing w:line="276" w:lineRule="auto"/>
        <w:ind w:right="3" w:firstLine="720"/>
        <w:jc w:val="both"/>
        <w:rPr>
          <w:rFonts w:asciiTheme="majorBidi" w:hAnsiTheme="majorBidi" w:cstheme="majorBidi"/>
        </w:rPr>
      </w:pPr>
      <w:r>
        <w:rPr>
          <w:rFonts w:asciiTheme="majorBidi" w:hAnsiTheme="majorBidi" w:cstheme="majorBidi"/>
        </w:rPr>
        <w:t xml:space="preserve">Atzinumu par </w:t>
      </w:r>
      <w:r w:rsidR="0063035C">
        <w:rPr>
          <w:rFonts w:asciiTheme="majorBidi" w:hAnsiTheme="majorBidi" w:cstheme="majorBidi"/>
        </w:rPr>
        <w:t>[pers. A]</w:t>
      </w:r>
      <w:r>
        <w:rPr>
          <w:rFonts w:asciiTheme="majorBidi" w:hAnsiTheme="majorBidi" w:cstheme="majorBidi"/>
        </w:rPr>
        <w:t xml:space="preserve"> nodomu nonāvēt </w:t>
      </w:r>
      <w:r w:rsidR="0063035C">
        <w:rPr>
          <w:rFonts w:asciiTheme="majorBidi" w:hAnsiTheme="majorBidi" w:cstheme="majorBidi"/>
        </w:rPr>
        <w:t>[pers. F]</w:t>
      </w:r>
      <w:r>
        <w:rPr>
          <w:rFonts w:asciiTheme="majorBidi" w:hAnsiTheme="majorBidi" w:cstheme="majorBidi"/>
        </w:rPr>
        <w:t xml:space="preserve"> tiesa pamatojusi ar liecinieku </w:t>
      </w:r>
      <w:r w:rsidR="0063035C">
        <w:rPr>
          <w:rFonts w:asciiTheme="majorBidi" w:hAnsiTheme="majorBidi" w:cstheme="majorBidi"/>
        </w:rPr>
        <w:t>[pers. G]</w:t>
      </w:r>
      <w:r>
        <w:rPr>
          <w:rFonts w:asciiTheme="majorBidi" w:hAnsiTheme="majorBidi" w:cstheme="majorBidi"/>
        </w:rPr>
        <w:t xml:space="preserve"> un </w:t>
      </w:r>
      <w:r w:rsidR="0063035C">
        <w:rPr>
          <w:rFonts w:asciiTheme="majorBidi" w:hAnsiTheme="majorBidi" w:cstheme="majorBidi"/>
        </w:rPr>
        <w:t>[pers. H]</w:t>
      </w:r>
      <w:r>
        <w:rPr>
          <w:rFonts w:asciiTheme="majorBidi" w:hAnsiTheme="majorBidi" w:cstheme="majorBidi"/>
        </w:rPr>
        <w:t xml:space="preserve"> liecībām par apsūdzētā un </w:t>
      </w:r>
      <w:r w:rsidR="0063035C">
        <w:rPr>
          <w:rFonts w:asciiTheme="majorBidi" w:hAnsiTheme="majorBidi" w:cstheme="majorBidi"/>
        </w:rPr>
        <w:t>[pers. F]</w:t>
      </w:r>
      <w:r>
        <w:rPr>
          <w:rFonts w:asciiTheme="majorBidi" w:hAnsiTheme="majorBidi" w:cstheme="majorBidi"/>
        </w:rPr>
        <w:t xml:space="preserve"> savstarpējo komunikāciju īsi pirms miesas bojājumu nodarīšanas </w:t>
      </w:r>
      <w:r w:rsidR="0063035C">
        <w:rPr>
          <w:rFonts w:asciiTheme="majorBidi" w:hAnsiTheme="majorBidi" w:cstheme="majorBidi"/>
        </w:rPr>
        <w:t>[pers. F]</w:t>
      </w:r>
      <w:r w:rsidR="00D72606">
        <w:rPr>
          <w:rFonts w:asciiTheme="majorBidi" w:hAnsiTheme="majorBidi" w:cstheme="majorBidi"/>
        </w:rPr>
        <w:t>,</w:t>
      </w:r>
      <w:r>
        <w:rPr>
          <w:rFonts w:asciiTheme="majorBidi" w:hAnsiTheme="majorBidi" w:cstheme="majorBidi"/>
        </w:rPr>
        <w:t xml:space="preserve"> kā arī </w:t>
      </w:r>
      <w:r w:rsidR="009908E5">
        <w:rPr>
          <w:rFonts w:asciiTheme="majorBidi" w:hAnsiTheme="majorBidi" w:cstheme="majorBidi"/>
        </w:rPr>
        <w:t xml:space="preserve">ar </w:t>
      </w:r>
      <w:r w:rsidR="0063035C">
        <w:rPr>
          <w:rFonts w:asciiTheme="majorBidi" w:hAnsiTheme="majorBidi" w:cstheme="majorBidi"/>
        </w:rPr>
        <w:t>[pers. A]</w:t>
      </w:r>
      <w:r>
        <w:rPr>
          <w:rFonts w:asciiTheme="majorBidi" w:hAnsiTheme="majorBidi" w:cstheme="majorBidi"/>
        </w:rPr>
        <w:t xml:space="preserve"> darbīb</w:t>
      </w:r>
      <w:r w:rsidR="00EC7FD5">
        <w:rPr>
          <w:rFonts w:asciiTheme="majorBidi" w:hAnsiTheme="majorBidi" w:cstheme="majorBidi"/>
        </w:rPr>
        <w:t>ām</w:t>
      </w:r>
      <w:r>
        <w:rPr>
          <w:rFonts w:asciiTheme="majorBidi" w:hAnsiTheme="majorBidi" w:cstheme="majorBidi"/>
        </w:rPr>
        <w:t xml:space="preserve"> konflikta laikā – sitienu</w:t>
      </w:r>
      <w:r w:rsidR="00EC7FD5">
        <w:rPr>
          <w:rFonts w:asciiTheme="majorBidi" w:hAnsiTheme="majorBidi" w:cstheme="majorBidi"/>
        </w:rPr>
        <w:t xml:space="preserve"> ar dūri un dūrienu ar nazi</w:t>
      </w:r>
      <w:r>
        <w:rPr>
          <w:rFonts w:asciiTheme="majorBidi" w:hAnsiTheme="majorBidi" w:cstheme="majorBidi"/>
        </w:rPr>
        <w:t xml:space="preserve"> daudzum</w:t>
      </w:r>
      <w:r w:rsidR="00EC7FD5">
        <w:rPr>
          <w:rFonts w:asciiTheme="majorBidi" w:hAnsiTheme="majorBidi" w:cstheme="majorBidi"/>
        </w:rPr>
        <w:t>u</w:t>
      </w:r>
      <w:r>
        <w:rPr>
          <w:rFonts w:asciiTheme="majorBidi" w:hAnsiTheme="majorBidi" w:cstheme="majorBidi"/>
        </w:rPr>
        <w:t xml:space="preserve"> un lokalizācij</w:t>
      </w:r>
      <w:r w:rsidR="00EC7FD5">
        <w:rPr>
          <w:rFonts w:asciiTheme="majorBidi" w:hAnsiTheme="majorBidi" w:cstheme="majorBidi"/>
        </w:rPr>
        <w:t>u.</w:t>
      </w:r>
    </w:p>
    <w:p w14:paraId="4B23077B" w14:textId="19F64B9B" w:rsidR="00E57177" w:rsidRDefault="00E57177" w:rsidP="001B0D02">
      <w:pPr>
        <w:spacing w:line="276" w:lineRule="auto"/>
        <w:ind w:right="3" w:firstLine="720"/>
        <w:jc w:val="both"/>
        <w:rPr>
          <w:rFonts w:asciiTheme="majorBidi" w:hAnsiTheme="majorBidi" w:cstheme="majorBidi"/>
        </w:rPr>
      </w:pPr>
      <w:r>
        <w:rPr>
          <w:rFonts w:asciiTheme="majorBidi" w:hAnsiTheme="majorBidi" w:cstheme="majorBidi"/>
        </w:rPr>
        <w:t>Apelācijas instances tiesa, pamatojoties uz pierādījumu vērtējumu, atzinusi, k</w:t>
      </w:r>
      <w:r w:rsidR="00B30450">
        <w:rPr>
          <w:rFonts w:asciiTheme="majorBidi" w:hAnsiTheme="majorBidi" w:cstheme="majorBidi"/>
        </w:rPr>
        <w:t>a</w:t>
      </w:r>
      <w:r>
        <w:rPr>
          <w:rFonts w:asciiTheme="majorBidi" w:hAnsiTheme="majorBidi" w:cstheme="majorBidi"/>
        </w:rPr>
        <w:t xml:space="preserve"> </w:t>
      </w:r>
      <w:r w:rsidR="0063035C">
        <w:rPr>
          <w:rFonts w:asciiTheme="majorBidi" w:hAnsiTheme="majorBidi" w:cstheme="majorBidi"/>
        </w:rPr>
        <w:t>[pers. A]</w:t>
      </w:r>
      <w:r>
        <w:rPr>
          <w:rFonts w:asciiTheme="majorBidi" w:hAnsiTheme="majorBidi" w:cstheme="majorBidi"/>
        </w:rPr>
        <w:t xml:space="preserve"> vainīgums Krimināllikuma 116. pantā paredzētajā noziedzīgajā nodarījumā ir pierādīts ārpus saprātīgām šaubām.</w:t>
      </w:r>
    </w:p>
    <w:p w14:paraId="0A8515C8" w14:textId="2BA538D3" w:rsidR="00E57177" w:rsidRDefault="00262B66" w:rsidP="00B30450">
      <w:pPr>
        <w:spacing w:line="276" w:lineRule="auto"/>
        <w:ind w:right="6" w:firstLine="720"/>
        <w:jc w:val="both"/>
        <w:rPr>
          <w:rFonts w:asciiTheme="majorBidi" w:hAnsiTheme="majorBidi" w:cstheme="majorBidi"/>
        </w:rPr>
      </w:pPr>
      <w:r>
        <w:rPr>
          <w:rFonts w:asciiTheme="majorBidi" w:hAnsiTheme="majorBidi" w:cstheme="majorBidi"/>
        </w:rPr>
        <w:t>[11.2]</w:t>
      </w:r>
      <w:r w:rsidR="000E0197">
        <w:rPr>
          <w:rFonts w:asciiTheme="majorBidi" w:hAnsiTheme="majorBidi" w:cstheme="majorBidi"/>
        </w:rPr>
        <w:t xml:space="preserve"> </w:t>
      </w:r>
      <w:r w:rsidR="00E57177">
        <w:rPr>
          <w:rFonts w:asciiTheme="majorBidi" w:hAnsiTheme="majorBidi" w:cstheme="majorBidi"/>
        </w:rPr>
        <w:t xml:space="preserve">Lemjot par cietušajiem nosakāmo </w:t>
      </w:r>
      <w:r w:rsidR="00E57177" w:rsidRPr="00B13771">
        <w:rPr>
          <w:rFonts w:asciiTheme="majorBidi" w:hAnsiTheme="majorBidi" w:cstheme="majorBidi"/>
        </w:rPr>
        <w:t>kompensāciju</w:t>
      </w:r>
      <w:r w:rsidR="00E57177">
        <w:rPr>
          <w:rFonts w:asciiTheme="majorBidi" w:hAnsiTheme="majorBidi" w:cstheme="majorBidi"/>
        </w:rPr>
        <w:t xml:space="preserve"> apmēru, apelācijas instances tiesa ir argumentēti atzinusi</w:t>
      </w:r>
      <w:r>
        <w:rPr>
          <w:rFonts w:asciiTheme="majorBidi" w:hAnsiTheme="majorBidi" w:cstheme="majorBidi"/>
        </w:rPr>
        <w:t xml:space="preserve">, </w:t>
      </w:r>
      <w:r w:rsidR="002C16DC">
        <w:rPr>
          <w:rFonts w:asciiTheme="majorBidi" w:hAnsiTheme="majorBidi" w:cstheme="majorBidi"/>
        </w:rPr>
        <w:t xml:space="preserve">arī </w:t>
      </w:r>
      <w:r>
        <w:rPr>
          <w:rFonts w:asciiTheme="majorBidi" w:hAnsiTheme="majorBidi" w:cstheme="majorBidi"/>
        </w:rPr>
        <w:t>atsaucoties uz 2010./2011. gada tiesu prakses apkopojumā „Tiesu prakse par morālā kaitējuma kompensāciju kriminālprocesā” ietvertajām rekomendācij</w:t>
      </w:r>
      <w:r w:rsidR="00F22033">
        <w:rPr>
          <w:rFonts w:asciiTheme="majorBidi" w:hAnsiTheme="majorBidi" w:cstheme="majorBidi"/>
        </w:rPr>
        <w:t>ā</w:t>
      </w:r>
      <w:r>
        <w:rPr>
          <w:rFonts w:asciiTheme="majorBidi" w:hAnsiTheme="majorBidi" w:cstheme="majorBidi"/>
        </w:rPr>
        <w:t>m</w:t>
      </w:r>
      <w:r w:rsidR="00E57177">
        <w:rPr>
          <w:rFonts w:asciiTheme="majorBidi" w:hAnsiTheme="majorBidi" w:cstheme="majorBidi"/>
        </w:rPr>
        <w:t>, ka pirmās instances tiesas noteiktās kaitējuma kompensācijas apmērs ir samazināms. Nosakot kaitējuma kompensācijas apmēru</w:t>
      </w:r>
      <w:r w:rsidR="00A61C41">
        <w:rPr>
          <w:rFonts w:asciiTheme="majorBidi" w:hAnsiTheme="majorBidi" w:cstheme="majorBidi"/>
        </w:rPr>
        <w:t xml:space="preserve"> katram cietušajam</w:t>
      </w:r>
      <w:r w:rsidR="00E57177">
        <w:rPr>
          <w:rFonts w:asciiTheme="majorBidi" w:hAnsiTheme="majorBidi" w:cstheme="majorBidi"/>
        </w:rPr>
        <w:t>, tiesa ir izvērtējusi</w:t>
      </w:r>
      <w:r w:rsidR="00A61C41">
        <w:rPr>
          <w:rFonts w:asciiTheme="majorBidi" w:hAnsiTheme="majorBidi" w:cstheme="majorBidi"/>
        </w:rPr>
        <w:t xml:space="preserve"> noziedzīgā nodarījuma raksturu,</w:t>
      </w:r>
      <w:r w:rsidR="00E57177">
        <w:rPr>
          <w:rFonts w:asciiTheme="majorBidi" w:hAnsiTheme="majorBidi" w:cstheme="majorBidi"/>
        </w:rPr>
        <w:t xml:space="preserve"> cietušajiem</w:t>
      </w:r>
      <w:r w:rsidR="00A61C41">
        <w:rPr>
          <w:rFonts w:asciiTheme="majorBidi" w:hAnsiTheme="majorBidi" w:cstheme="majorBidi"/>
        </w:rPr>
        <w:t xml:space="preserve"> radītās garīgās ciešanas, kā arī </w:t>
      </w:r>
      <w:r w:rsidR="00370823">
        <w:rPr>
          <w:rFonts w:asciiTheme="majorBidi" w:hAnsiTheme="majorBidi" w:cstheme="majorBidi"/>
        </w:rPr>
        <w:t xml:space="preserve">pamatoti </w:t>
      </w:r>
      <w:r w:rsidR="00A61C41">
        <w:rPr>
          <w:rFonts w:asciiTheme="majorBidi" w:hAnsiTheme="majorBidi" w:cstheme="majorBidi"/>
        </w:rPr>
        <w:t>ņēmusi vērā valsts ekonomisko izaugsmi, iedzīvotāju labklājības līmeņa celšanos salīdzinājumā ar 2011. gadu, kad tiesu prakses apkopojumā sniegtas rekomendācijas kaitējuma kompensācijas apmēru noteikšanai.</w:t>
      </w:r>
    </w:p>
    <w:p w14:paraId="25CCE444" w14:textId="78AD321F" w:rsidR="00A61C41" w:rsidRDefault="00E4580D" w:rsidP="001B0D02">
      <w:pPr>
        <w:spacing w:line="276" w:lineRule="auto"/>
        <w:ind w:right="3" w:firstLine="720"/>
        <w:jc w:val="both"/>
        <w:rPr>
          <w:rFonts w:asciiTheme="majorBidi" w:hAnsiTheme="majorBidi" w:cstheme="majorBidi"/>
        </w:rPr>
      </w:pPr>
      <w:r>
        <w:rPr>
          <w:rFonts w:asciiTheme="majorBidi" w:hAnsiTheme="majorBidi" w:cstheme="majorBidi"/>
        </w:rPr>
        <w:t>[11.3]</w:t>
      </w:r>
      <w:r w:rsidR="000E0197">
        <w:rPr>
          <w:rFonts w:asciiTheme="majorBidi" w:hAnsiTheme="majorBidi" w:cstheme="majorBidi"/>
        </w:rPr>
        <w:t xml:space="preserve"> </w:t>
      </w:r>
      <w:r w:rsidR="00A61C41">
        <w:rPr>
          <w:rFonts w:asciiTheme="majorBidi" w:hAnsiTheme="majorBidi" w:cstheme="majorBidi"/>
        </w:rPr>
        <w:t xml:space="preserve">Ievērojot </w:t>
      </w:r>
      <w:r>
        <w:rPr>
          <w:rFonts w:asciiTheme="majorBidi" w:hAnsiTheme="majorBidi" w:cstheme="majorBidi"/>
        </w:rPr>
        <w:t xml:space="preserve">iepriekš </w:t>
      </w:r>
      <w:r w:rsidR="00A61C41">
        <w:rPr>
          <w:rFonts w:asciiTheme="majorBidi" w:hAnsiTheme="majorBidi" w:cstheme="majorBidi"/>
        </w:rPr>
        <w:t xml:space="preserve">izklāstīto apsvērumu kopumu, Senāts atzīst, ka apsūdzētā </w:t>
      </w:r>
      <w:r w:rsidR="0063035C">
        <w:rPr>
          <w:rFonts w:asciiTheme="majorBidi" w:hAnsiTheme="majorBidi" w:cstheme="majorBidi"/>
        </w:rPr>
        <w:t>[pers. A]</w:t>
      </w:r>
      <w:r w:rsidR="00A61C41">
        <w:rPr>
          <w:rFonts w:asciiTheme="majorBidi" w:hAnsiTheme="majorBidi" w:cstheme="majorBidi"/>
        </w:rPr>
        <w:t xml:space="preserve"> kasācijas sūdzība ir noraidāma.</w:t>
      </w:r>
    </w:p>
    <w:p w14:paraId="431B5BBF" w14:textId="77777777" w:rsidR="003C686E" w:rsidRDefault="003C686E" w:rsidP="001B0D02">
      <w:pPr>
        <w:spacing w:line="276" w:lineRule="auto"/>
        <w:ind w:right="3" w:firstLine="720"/>
        <w:jc w:val="both"/>
        <w:rPr>
          <w:rFonts w:asciiTheme="majorBidi" w:hAnsiTheme="majorBidi" w:cstheme="majorBidi"/>
        </w:rPr>
      </w:pPr>
    </w:p>
    <w:p w14:paraId="0E9293A3" w14:textId="77777777" w:rsidR="002C141A" w:rsidRDefault="002C141A" w:rsidP="002C141A">
      <w:pPr>
        <w:widowControl w:val="0"/>
        <w:spacing w:line="276" w:lineRule="auto"/>
        <w:jc w:val="center"/>
        <w:rPr>
          <w:rFonts w:asciiTheme="majorBidi" w:hAnsiTheme="majorBidi" w:cstheme="majorBidi"/>
        </w:rPr>
      </w:pPr>
      <w:r>
        <w:rPr>
          <w:rFonts w:asciiTheme="majorBidi" w:hAnsiTheme="majorBidi" w:cstheme="majorBidi"/>
          <w:b/>
        </w:rPr>
        <w:t>Rezolutīvā daļa</w:t>
      </w:r>
    </w:p>
    <w:p w14:paraId="28367D94" w14:textId="77777777" w:rsidR="002C141A" w:rsidRDefault="002C141A" w:rsidP="002C141A">
      <w:pPr>
        <w:pStyle w:val="tv213"/>
        <w:widowControl w:val="0"/>
        <w:spacing w:before="0" w:beforeAutospacing="0" w:after="0" w:afterAutospacing="0" w:line="276" w:lineRule="auto"/>
        <w:ind w:firstLine="720"/>
        <w:jc w:val="both"/>
        <w:rPr>
          <w:rFonts w:asciiTheme="majorBidi" w:hAnsiTheme="majorBidi" w:cstheme="majorBidi"/>
        </w:rPr>
      </w:pPr>
      <w:bookmarkStart w:id="10" w:name="Dropdown14"/>
    </w:p>
    <w:p w14:paraId="4D7C546E" w14:textId="77777777" w:rsidR="002C141A" w:rsidRDefault="002C141A" w:rsidP="002C141A">
      <w:pPr>
        <w:pStyle w:val="tv213"/>
        <w:widowControl w:val="0"/>
        <w:spacing w:before="0" w:beforeAutospacing="0" w:after="0" w:afterAutospacing="0" w:line="276" w:lineRule="auto"/>
        <w:ind w:firstLine="720"/>
        <w:jc w:val="both"/>
        <w:rPr>
          <w:rFonts w:asciiTheme="majorBidi" w:hAnsiTheme="majorBidi" w:cstheme="majorBidi"/>
        </w:rPr>
      </w:pPr>
      <w:r>
        <w:rPr>
          <w:rFonts w:asciiTheme="majorBidi" w:hAnsiTheme="majorBidi" w:cstheme="majorBidi"/>
        </w:rPr>
        <w:t>Pamatojoties uz Kriminālprocesa likuma 585. un 587. pantu, Senāts</w:t>
      </w:r>
    </w:p>
    <w:bookmarkEnd w:id="10"/>
    <w:p w14:paraId="35BFEC9C" w14:textId="77777777" w:rsidR="002C141A" w:rsidRDefault="002C141A" w:rsidP="002C141A">
      <w:pPr>
        <w:spacing w:after="160" w:line="256" w:lineRule="auto"/>
        <w:rPr>
          <w:rFonts w:asciiTheme="majorBidi" w:hAnsiTheme="majorBidi" w:cstheme="majorBidi"/>
          <w:b/>
          <w:lang w:eastAsia="lv-LV"/>
        </w:rPr>
      </w:pPr>
    </w:p>
    <w:p w14:paraId="1EE4DEB0" w14:textId="4B117C9E" w:rsidR="002C141A" w:rsidRDefault="00095CA2" w:rsidP="002C141A">
      <w:pPr>
        <w:pStyle w:val="tv213"/>
        <w:spacing w:before="0" w:beforeAutospacing="0" w:after="0" w:afterAutospacing="0" w:line="276" w:lineRule="auto"/>
        <w:jc w:val="center"/>
        <w:rPr>
          <w:rFonts w:asciiTheme="majorBidi" w:hAnsiTheme="majorBidi" w:cstheme="majorBidi"/>
          <w:b/>
        </w:rPr>
      </w:pPr>
      <w:r>
        <w:rPr>
          <w:rFonts w:asciiTheme="majorBidi" w:hAnsiTheme="majorBidi" w:cstheme="majorBidi"/>
          <w:b/>
        </w:rPr>
        <w:t>n</w:t>
      </w:r>
      <w:r w:rsidR="002C141A">
        <w:rPr>
          <w:rFonts w:asciiTheme="majorBidi" w:hAnsiTheme="majorBidi" w:cstheme="majorBidi"/>
          <w:b/>
        </w:rPr>
        <w:t>olēma</w:t>
      </w:r>
    </w:p>
    <w:p w14:paraId="2A22A4C3" w14:textId="77777777" w:rsidR="00095CA2" w:rsidRDefault="00095CA2" w:rsidP="002C141A">
      <w:pPr>
        <w:pStyle w:val="tv213"/>
        <w:spacing w:before="0" w:beforeAutospacing="0" w:after="0" w:afterAutospacing="0" w:line="276" w:lineRule="auto"/>
        <w:jc w:val="center"/>
        <w:rPr>
          <w:rFonts w:asciiTheme="majorBidi" w:hAnsiTheme="majorBidi" w:cstheme="majorBidi"/>
          <w:b/>
        </w:rPr>
      </w:pPr>
    </w:p>
    <w:p w14:paraId="4D3FBA63" w14:textId="51792501" w:rsidR="002C141A" w:rsidRDefault="00502B37" w:rsidP="002C141A">
      <w:pPr>
        <w:pStyle w:val="tv213"/>
        <w:spacing w:before="0" w:beforeAutospacing="0" w:after="0" w:afterAutospacing="0" w:line="276" w:lineRule="auto"/>
        <w:ind w:firstLine="720"/>
        <w:jc w:val="both"/>
        <w:rPr>
          <w:rFonts w:asciiTheme="majorBidi" w:hAnsiTheme="majorBidi" w:cstheme="majorBidi"/>
        </w:rPr>
      </w:pPr>
      <w:r>
        <w:rPr>
          <w:rFonts w:asciiTheme="majorBidi" w:hAnsiTheme="majorBidi" w:cstheme="majorBidi"/>
          <w:bCs/>
        </w:rPr>
        <w:lastRenderedPageBreak/>
        <w:t xml:space="preserve">atcelt </w:t>
      </w:r>
      <w:r w:rsidR="00073A62">
        <w:rPr>
          <w:rFonts w:asciiTheme="majorBidi" w:hAnsiTheme="majorBidi" w:cstheme="majorBidi"/>
          <w:color w:val="000000" w:themeColor="text1"/>
        </w:rPr>
        <w:t xml:space="preserve">Latgales apgabaltiesas 2023. gada 28. novembra spriedumu daļā par </w:t>
      </w:r>
      <w:r w:rsidR="0063035C">
        <w:rPr>
          <w:rFonts w:asciiTheme="majorBidi" w:hAnsiTheme="majorBidi" w:cstheme="majorBidi"/>
        </w:rPr>
        <w:t xml:space="preserve">[pers. A] </w:t>
      </w:r>
      <w:r w:rsidR="00DA2259">
        <w:rPr>
          <w:rFonts w:asciiTheme="majorBidi" w:hAnsiTheme="majorBidi" w:cstheme="majorBidi"/>
        </w:rPr>
        <w:t xml:space="preserve">piederošā transportlīdzekļa </w:t>
      </w:r>
      <w:r w:rsidR="00B30450">
        <w:rPr>
          <w:rFonts w:asciiTheme="majorBidi" w:hAnsiTheme="majorBidi" w:cstheme="majorBidi"/>
        </w:rPr>
        <w:t>„</w:t>
      </w:r>
      <w:r w:rsidR="00DA2259">
        <w:rPr>
          <w:rFonts w:asciiTheme="majorBidi" w:hAnsiTheme="majorBidi" w:cstheme="majorBidi"/>
        </w:rPr>
        <w:t>Peugeot</w:t>
      </w:r>
      <w:r w:rsidR="000E0197">
        <w:rPr>
          <w:rFonts w:asciiTheme="majorBidi" w:hAnsiTheme="majorBidi" w:cstheme="majorBidi"/>
        </w:rPr>
        <w:t> </w:t>
      </w:r>
      <w:r w:rsidR="00DA2259">
        <w:rPr>
          <w:rFonts w:asciiTheme="majorBidi" w:hAnsiTheme="majorBidi" w:cstheme="majorBidi"/>
        </w:rPr>
        <w:t>307</w:t>
      </w:r>
      <w:r w:rsidR="00B30450">
        <w:rPr>
          <w:rFonts w:asciiTheme="majorBidi" w:hAnsiTheme="majorBidi" w:cstheme="majorBidi"/>
        </w:rPr>
        <w:t>”</w:t>
      </w:r>
      <w:r w:rsidR="00DA2259">
        <w:rPr>
          <w:rFonts w:asciiTheme="majorBidi" w:hAnsiTheme="majorBidi" w:cstheme="majorBidi"/>
        </w:rPr>
        <w:t>,</w:t>
      </w:r>
      <w:r w:rsidR="00DA2259" w:rsidRPr="008D6C28">
        <w:rPr>
          <w:rFonts w:asciiTheme="majorBidi" w:hAnsiTheme="majorBidi" w:cstheme="majorBidi"/>
        </w:rPr>
        <w:t xml:space="preserve"> </w:t>
      </w:r>
      <w:r w:rsidR="00DA2259">
        <w:rPr>
          <w:rFonts w:asciiTheme="majorBidi" w:hAnsiTheme="majorBidi" w:cstheme="majorBidi"/>
        </w:rPr>
        <w:t xml:space="preserve">valsts reģistrācijas numurs </w:t>
      </w:r>
      <w:r w:rsidR="0063035C">
        <w:rPr>
          <w:rFonts w:asciiTheme="majorBidi" w:hAnsiTheme="majorBidi" w:cstheme="majorBidi"/>
        </w:rPr>
        <w:t>[..]</w:t>
      </w:r>
      <w:r w:rsidR="00DA2259">
        <w:rPr>
          <w:rFonts w:asciiTheme="majorBidi" w:hAnsiTheme="majorBidi" w:cstheme="majorBidi"/>
        </w:rPr>
        <w:t>, konfiskāciju un šajā daļā lietu nosūtīt jaunai izskatīšanai apelācijas instances tiesā.</w:t>
      </w:r>
    </w:p>
    <w:p w14:paraId="0DA8EBBF" w14:textId="479D605B" w:rsidR="00DA2259" w:rsidRPr="00502B37" w:rsidRDefault="00DA2259" w:rsidP="002C141A">
      <w:pPr>
        <w:pStyle w:val="tv213"/>
        <w:spacing w:before="0" w:beforeAutospacing="0" w:after="0" w:afterAutospacing="0" w:line="276" w:lineRule="auto"/>
        <w:ind w:firstLine="720"/>
        <w:jc w:val="both"/>
        <w:rPr>
          <w:rFonts w:asciiTheme="majorBidi" w:hAnsiTheme="majorBidi" w:cstheme="majorBidi"/>
          <w:bCs/>
        </w:rPr>
      </w:pPr>
      <w:r>
        <w:rPr>
          <w:rFonts w:asciiTheme="majorBidi" w:hAnsiTheme="majorBidi" w:cstheme="majorBidi"/>
        </w:rPr>
        <w:t>Pārējā daļā spriedumu atstāt negrozītu.</w:t>
      </w:r>
    </w:p>
    <w:p w14:paraId="5E0842A0" w14:textId="77777777" w:rsidR="000E0197" w:rsidRDefault="000E0197" w:rsidP="002C141A">
      <w:pPr>
        <w:pStyle w:val="tv213"/>
        <w:spacing w:before="0" w:beforeAutospacing="0" w:after="0" w:afterAutospacing="0" w:line="276" w:lineRule="auto"/>
        <w:ind w:firstLine="720"/>
        <w:jc w:val="both"/>
        <w:rPr>
          <w:rFonts w:asciiTheme="majorBidi" w:hAnsiTheme="majorBidi" w:cstheme="majorBidi"/>
          <w:color w:val="000000"/>
        </w:rPr>
      </w:pPr>
    </w:p>
    <w:p w14:paraId="3E67E55A" w14:textId="46D11465" w:rsidR="002C141A" w:rsidRDefault="002C141A" w:rsidP="002C141A">
      <w:pPr>
        <w:pStyle w:val="tv213"/>
        <w:spacing w:before="0" w:beforeAutospacing="0" w:after="0" w:afterAutospacing="0" w:line="276" w:lineRule="auto"/>
        <w:ind w:firstLine="720"/>
        <w:jc w:val="both"/>
        <w:rPr>
          <w:rFonts w:asciiTheme="majorBidi" w:hAnsiTheme="majorBidi" w:cstheme="majorBidi"/>
        </w:rPr>
      </w:pPr>
      <w:r>
        <w:rPr>
          <w:rFonts w:asciiTheme="majorBidi" w:hAnsiTheme="majorBidi" w:cstheme="majorBidi"/>
          <w:color w:val="000000"/>
        </w:rPr>
        <w:t>Lēmums nav pārsūdzams.</w:t>
      </w:r>
    </w:p>
    <w:p w14:paraId="32D67FD1" w14:textId="77777777" w:rsidR="002C141A" w:rsidRDefault="002C141A" w:rsidP="002C141A">
      <w:pPr>
        <w:spacing w:line="276" w:lineRule="auto"/>
        <w:jc w:val="both"/>
        <w:rPr>
          <w:rFonts w:asciiTheme="majorBidi" w:hAnsiTheme="majorBidi" w:cstheme="majorBidi"/>
        </w:rPr>
      </w:pPr>
    </w:p>
    <w:p w14:paraId="69F251C2" w14:textId="77777777" w:rsidR="002C141A" w:rsidRDefault="002C141A" w:rsidP="002C141A">
      <w:pPr>
        <w:spacing w:line="276" w:lineRule="auto"/>
        <w:jc w:val="both"/>
        <w:rPr>
          <w:rFonts w:asciiTheme="majorBidi" w:hAnsiTheme="majorBidi" w:cstheme="majorBidi"/>
        </w:rPr>
      </w:pPr>
    </w:p>
    <w:p w14:paraId="103781B5" w14:textId="77777777" w:rsidR="002C141A" w:rsidRDefault="002C141A" w:rsidP="002C141A">
      <w:pPr>
        <w:spacing w:line="276" w:lineRule="auto"/>
        <w:jc w:val="both"/>
        <w:rPr>
          <w:rFonts w:asciiTheme="majorBidi" w:hAnsiTheme="majorBidi" w:cstheme="majorBidi"/>
        </w:rPr>
      </w:pPr>
    </w:p>
    <w:p w14:paraId="3B8DFF91" w14:textId="77777777" w:rsidR="002C141A" w:rsidRDefault="002C141A" w:rsidP="002C141A">
      <w:pPr>
        <w:spacing w:before="360" w:after="360" w:line="276" w:lineRule="auto"/>
        <w:jc w:val="both"/>
        <w:rPr>
          <w:rFonts w:asciiTheme="majorBidi" w:hAnsiTheme="majorBidi" w:cstheme="majorBidi"/>
        </w:rPr>
      </w:pPr>
    </w:p>
    <w:p w14:paraId="5D950285" w14:textId="77777777" w:rsidR="00181D5F" w:rsidRDefault="00181D5F"/>
    <w:sectPr w:rsidR="00181D5F" w:rsidSect="00E42CA8">
      <w:footerReference w:type="default" r:id="rId9"/>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52B1DE" w14:textId="77777777" w:rsidR="005325E0" w:rsidRDefault="005325E0" w:rsidP="00C403B0">
      <w:r>
        <w:separator/>
      </w:r>
    </w:p>
  </w:endnote>
  <w:endnote w:type="continuationSeparator" w:id="0">
    <w:p w14:paraId="7F3006A6" w14:textId="77777777" w:rsidR="005325E0" w:rsidRDefault="005325E0" w:rsidP="00C403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7405384"/>
      <w:docPartObj>
        <w:docPartGallery w:val="Page Numbers (Bottom of Page)"/>
        <w:docPartUnique/>
      </w:docPartObj>
    </w:sdtPr>
    <w:sdtEndPr>
      <w:rPr>
        <w:sz w:val="20"/>
        <w:szCs w:val="20"/>
      </w:rPr>
    </w:sdtEndPr>
    <w:sdtContent>
      <w:sdt>
        <w:sdtPr>
          <w:id w:val="1728636285"/>
          <w:docPartObj>
            <w:docPartGallery w:val="Page Numbers (Top of Page)"/>
            <w:docPartUnique/>
          </w:docPartObj>
        </w:sdtPr>
        <w:sdtEndPr>
          <w:rPr>
            <w:sz w:val="20"/>
            <w:szCs w:val="20"/>
          </w:rPr>
        </w:sdtEndPr>
        <w:sdtContent>
          <w:p w14:paraId="24E92DC3" w14:textId="44805CB8" w:rsidR="00C403B0" w:rsidRPr="00C403B0" w:rsidRDefault="00C403B0">
            <w:pPr>
              <w:pStyle w:val="Footer"/>
              <w:jc w:val="center"/>
              <w:rPr>
                <w:sz w:val="20"/>
                <w:szCs w:val="20"/>
              </w:rPr>
            </w:pPr>
            <w:r w:rsidRPr="00C403B0">
              <w:rPr>
                <w:sz w:val="20"/>
                <w:szCs w:val="20"/>
              </w:rPr>
              <w:fldChar w:fldCharType="begin"/>
            </w:r>
            <w:r w:rsidRPr="00C403B0">
              <w:rPr>
                <w:sz w:val="20"/>
                <w:szCs w:val="20"/>
              </w:rPr>
              <w:instrText xml:space="preserve"> PAGE </w:instrText>
            </w:r>
            <w:r w:rsidRPr="00C403B0">
              <w:rPr>
                <w:sz w:val="20"/>
                <w:szCs w:val="20"/>
              </w:rPr>
              <w:fldChar w:fldCharType="separate"/>
            </w:r>
            <w:r w:rsidRPr="00C403B0">
              <w:rPr>
                <w:noProof/>
                <w:sz w:val="20"/>
                <w:szCs w:val="20"/>
              </w:rPr>
              <w:t>2</w:t>
            </w:r>
            <w:r w:rsidRPr="00C403B0">
              <w:rPr>
                <w:sz w:val="20"/>
                <w:szCs w:val="20"/>
              </w:rPr>
              <w:fldChar w:fldCharType="end"/>
            </w:r>
            <w:r w:rsidRPr="00C403B0">
              <w:rPr>
                <w:sz w:val="20"/>
                <w:szCs w:val="20"/>
              </w:rPr>
              <w:t xml:space="preserve"> no </w:t>
            </w:r>
            <w:r w:rsidRPr="00C403B0">
              <w:rPr>
                <w:sz w:val="20"/>
                <w:szCs w:val="20"/>
              </w:rPr>
              <w:fldChar w:fldCharType="begin"/>
            </w:r>
            <w:r w:rsidRPr="00C403B0">
              <w:rPr>
                <w:sz w:val="20"/>
                <w:szCs w:val="20"/>
              </w:rPr>
              <w:instrText xml:space="preserve"> NUMPAGES  </w:instrText>
            </w:r>
            <w:r w:rsidRPr="00C403B0">
              <w:rPr>
                <w:sz w:val="20"/>
                <w:szCs w:val="20"/>
              </w:rPr>
              <w:fldChar w:fldCharType="separate"/>
            </w:r>
            <w:r w:rsidRPr="00C403B0">
              <w:rPr>
                <w:noProof/>
                <w:sz w:val="20"/>
                <w:szCs w:val="20"/>
              </w:rPr>
              <w:t>2</w:t>
            </w:r>
            <w:r w:rsidRPr="00C403B0">
              <w:rPr>
                <w:sz w:val="20"/>
                <w:szCs w:val="20"/>
              </w:rPr>
              <w:fldChar w:fldCharType="end"/>
            </w:r>
          </w:p>
        </w:sdtContent>
      </w:sdt>
    </w:sdtContent>
  </w:sdt>
  <w:p w14:paraId="4CAADE40" w14:textId="77777777" w:rsidR="00C403B0" w:rsidRDefault="00C403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032A0E" w14:textId="77777777" w:rsidR="005325E0" w:rsidRDefault="005325E0" w:rsidP="00C403B0">
      <w:r>
        <w:separator/>
      </w:r>
    </w:p>
  </w:footnote>
  <w:footnote w:type="continuationSeparator" w:id="0">
    <w:p w14:paraId="04928A96" w14:textId="77777777" w:rsidR="005325E0" w:rsidRDefault="005325E0" w:rsidP="00C403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41A"/>
    <w:rsid w:val="00001D92"/>
    <w:rsid w:val="0003405F"/>
    <w:rsid w:val="00040017"/>
    <w:rsid w:val="00041B07"/>
    <w:rsid w:val="000541C2"/>
    <w:rsid w:val="00056133"/>
    <w:rsid w:val="00061589"/>
    <w:rsid w:val="00062CC4"/>
    <w:rsid w:val="0006740C"/>
    <w:rsid w:val="00073A62"/>
    <w:rsid w:val="0009243B"/>
    <w:rsid w:val="00094C08"/>
    <w:rsid w:val="00095CA2"/>
    <w:rsid w:val="000A0FD3"/>
    <w:rsid w:val="000B3068"/>
    <w:rsid w:val="000B4CD8"/>
    <w:rsid w:val="000D2DCF"/>
    <w:rsid w:val="000E0197"/>
    <w:rsid w:val="000E0575"/>
    <w:rsid w:val="0012003F"/>
    <w:rsid w:val="00125829"/>
    <w:rsid w:val="00126C28"/>
    <w:rsid w:val="00132B2E"/>
    <w:rsid w:val="00136D69"/>
    <w:rsid w:val="00143DB8"/>
    <w:rsid w:val="00172E31"/>
    <w:rsid w:val="00181D5F"/>
    <w:rsid w:val="00195D2F"/>
    <w:rsid w:val="001B0D02"/>
    <w:rsid w:val="00252BF8"/>
    <w:rsid w:val="00254967"/>
    <w:rsid w:val="00262B66"/>
    <w:rsid w:val="00265E8B"/>
    <w:rsid w:val="00273731"/>
    <w:rsid w:val="00296681"/>
    <w:rsid w:val="002B423C"/>
    <w:rsid w:val="002B5C67"/>
    <w:rsid w:val="002B7CC8"/>
    <w:rsid w:val="002C141A"/>
    <w:rsid w:val="002C16DC"/>
    <w:rsid w:val="002D3E06"/>
    <w:rsid w:val="002D7C98"/>
    <w:rsid w:val="002E41C6"/>
    <w:rsid w:val="002F0301"/>
    <w:rsid w:val="002F2620"/>
    <w:rsid w:val="002F66B9"/>
    <w:rsid w:val="00305EE6"/>
    <w:rsid w:val="00322EB6"/>
    <w:rsid w:val="00324AFD"/>
    <w:rsid w:val="003257F1"/>
    <w:rsid w:val="00326D36"/>
    <w:rsid w:val="003522B5"/>
    <w:rsid w:val="00354C15"/>
    <w:rsid w:val="00355558"/>
    <w:rsid w:val="003653F9"/>
    <w:rsid w:val="00370823"/>
    <w:rsid w:val="003726C7"/>
    <w:rsid w:val="00392236"/>
    <w:rsid w:val="00397E4B"/>
    <w:rsid w:val="003A5BA4"/>
    <w:rsid w:val="003B1DC3"/>
    <w:rsid w:val="003B4F68"/>
    <w:rsid w:val="003C643E"/>
    <w:rsid w:val="003C686E"/>
    <w:rsid w:val="003D3820"/>
    <w:rsid w:val="003E5A52"/>
    <w:rsid w:val="003F7CDC"/>
    <w:rsid w:val="00411112"/>
    <w:rsid w:val="0041172C"/>
    <w:rsid w:val="0042390F"/>
    <w:rsid w:val="00423C6F"/>
    <w:rsid w:val="004555EE"/>
    <w:rsid w:val="0045776A"/>
    <w:rsid w:val="00471EE1"/>
    <w:rsid w:val="00487963"/>
    <w:rsid w:val="004A0D08"/>
    <w:rsid w:val="004A2823"/>
    <w:rsid w:val="004A6804"/>
    <w:rsid w:val="004B0C9A"/>
    <w:rsid w:val="004B3AB6"/>
    <w:rsid w:val="004C63AB"/>
    <w:rsid w:val="004D36FE"/>
    <w:rsid w:val="00502B37"/>
    <w:rsid w:val="00507328"/>
    <w:rsid w:val="0051030B"/>
    <w:rsid w:val="005109A7"/>
    <w:rsid w:val="005153E4"/>
    <w:rsid w:val="00523A99"/>
    <w:rsid w:val="0052744E"/>
    <w:rsid w:val="005325E0"/>
    <w:rsid w:val="005474D6"/>
    <w:rsid w:val="0057393F"/>
    <w:rsid w:val="0058144A"/>
    <w:rsid w:val="005864EB"/>
    <w:rsid w:val="005B2703"/>
    <w:rsid w:val="005E00E4"/>
    <w:rsid w:val="005E2AD4"/>
    <w:rsid w:val="0061190D"/>
    <w:rsid w:val="00623741"/>
    <w:rsid w:val="0063035C"/>
    <w:rsid w:val="006341FD"/>
    <w:rsid w:val="00637719"/>
    <w:rsid w:val="00640039"/>
    <w:rsid w:val="006423F5"/>
    <w:rsid w:val="0065058E"/>
    <w:rsid w:val="00674746"/>
    <w:rsid w:val="00682FD2"/>
    <w:rsid w:val="00683DC7"/>
    <w:rsid w:val="006B3BB1"/>
    <w:rsid w:val="006B7E1B"/>
    <w:rsid w:val="006D71BC"/>
    <w:rsid w:val="00716EA3"/>
    <w:rsid w:val="00733DAB"/>
    <w:rsid w:val="007463A7"/>
    <w:rsid w:val="007621C9"/>
    <w:rsid w:val="007777EE"/>
    <w:rsid w:val="007838FC"/>
    <w:rsid w:val="007E12E7"/>
    <w:rsid w:val="007E6018"/>
    <w:rsid w:val="00800250"/>
    <w:rsid w:val="00804709"/>
    <w:rsid w:val="0081152C"/>
    <w:rsid w:val="00816B87"/>
    <w:rsid w:val="00827A45"/>
    <w:rsid w:val="008304E1"/>
    <w:rsid w:val="00832BEB"/>
    <w:rsid w:val="0084065E"/>
    <w:rsid w:val="00872743"/>
    <w:rsid w:val="008804AF"/>
    <w:rsid w:val="00880B4F"/>
    <w:rsid w:val="0088585A"/>
    <w:rsid w:val="0089090F"/>
    <w:rsid w:val="008A1389"/>
    <w:rsid w:val="008B42D0"/>
    <w:rsid w:val="008B714A"/>
    <w:rsid w:val="008D6C28"/>
    <w:rsid w:val="008E062A"/>
    <w:rsid w:val="00906689"/>
    <w:rsid w:val="00906ADB"/>
    <w:rsid w:val="0090753F"/>
    <w:rsid w:val="009202F2"/>
    <w:rsid w:val="00921D30"/>
    <w:rsid w:val="00935A72"/>
    <w:rsid w:val="00970444"/>
    <w:rsid w:val="009769B6"/>
    <w:rsid w:val="009908E5"/>
    <w:rsid w:val="009965AA"/>
    <w:rsid w:val="009B301E"/>
    <w:rsid w:val="009B46CD"/>
    <w:rsid w:val="009B70DB"/>
    <w:rsid w:val="009B7225"/>
    <w:rsid w:val="009B7CD2"/>
    <w:rsid w:val="009C6E17"/>
    <w:rsid w:val="009D5F9B"/>
    <w:rsid w:val="009E0046"/>
    <w:rsid w:val="009E10C7"/>
    <w:rsid w:val="009F7F50"/>
    <w:rsid w:val="00A112B4"/>
    <w:rsid w:val="00A20511"/>
    <w:rsid w:val="00A45669"/>
    <w:rsid w:val="00A50E7E"/>
    <w:rsid w:val="00A60097"/>
    <w:rsid w:val="00A60F3D"/>
    <w:rsid w:val="00A61C41"/>
    <w:rsid w:val="00A63444"/>
    <w:rsid w:val="00A7301A"/>
    <w:rsid w:val="00A95577"/>
    <w:rsid w:val="00AC18A4"/>
    <w:rsid w:val="00AC4795"/>
    <w:rsid w:val="00AD28CC"/>
    <w:rsid w:val="00AD61BA"/>
    <w:rsid w:val="00AD6277"/>
    <w:rsid w:val="00AD7773"/>
    <w:rsid w:val="00AF7E55"/>
    <w:rsid w:val="00B13771"/>
    <w:rsid w:val="00B30450"/>
    <w:rsid w:val="00B72350"/>
    <w:rsid w:val="00B84824"/>
    <w:rsid w:val="00BB179B"/>
    <w:rsid w:val="00BB7832"/>
    <w:rsid w:val="00BC3C4F"/>
    <w:rsid w:val="00BD1560"/>
    <w:rsid w:val="00BE4041"/>
    <w:rsid w:val="00BE63D2"/>
    <w:rsid w:val="00BF3994"/>
    <w:rsid w:val="00BF399E"/>
    <w:rsid w:val="00BF3C50"/>
    <w:rsid w:val="00C24C00"/>
    <w:rsid w:val="00C34A11"/>
    <w:rsid w:val="00C403B0"/>
    <w:rsid w:val="00C40A75"/>
    <w:rsid w:val="00C429A3"/>
    <w:rsid w:val="00C43CC7"/>
    <w:rsid w:val="00C44243"/>
    <w:rsid w:val="00C55E54"/>
    <w:rsid w:val="00C76687"/>
    <w:rsid w:val="00C87243"/>
    <w:rsid w:val="00C92E28"/>
    <w:rsid w:val="00CA3775"/>
    <w:rsid w:val="00CC53B3"/>
    <w:rsid w:val="00CE0879"/>
    <w:rsid w:val="00CE727D"/>
    <w:rsid w:val="00D01568"/>
    <w:rsid w:val="00D03324"/>
    <w:rsid w:val="00D03CAB"/>
    <w:rsid w:val="00D13C78"/>
    <w:rsid w:val="00D24118"/>
    <w:rsid w:val="00D55345"/>
    <w:rsid w:val="00D6111E"/>
    <w:rsid w:val="00D64645"/>
    <w:rsid w:val="00D64805"/>
    <w:rsid w:val="00D72606"/>
    <w:rsid w:val="00D9246D"/>
    <w:rsid w:val="00D97200"/>
    <w:rsid w:val="00DA0097"/>
    <w:rsid w:val="00DA0335"/>
    <w:rsid w:val="00DA2259"/>
    <w:rsid w:val="00DA43D4"/>
    <w:rsid w:val="00DC0D90"/>
    <w:rsid w:val="00DD4A8E"/>
    <w:rsid w:val="00DF572E"/>
    <w:rsid w:val="00E01917"/>
    <w:rsid w:val="00E05E28"/>
    <w:rsid w:val="00E0769D"/>
    <w:rsid w:val="00E13319"/>
    <w:rsid w:val="00E42CA8"/>
    <w:rsid w:val="00E4580D"/>
    <w:rsid w:val="00E56801"/>
    <w:rsid w:val="00E57177"/>
    <w:rsid w:val="00E60DBE"/>
    <w:rsid w:val="00E82573"/>
    <w:rsid w:val="00E84868"/>
    <w:rsid w:val="00E97C00"/>
    <w:rsid w:val="00EA563C"/>
    <w:rsid w:val="00EB1D3F"/>
    <w:rsid w:val="00EB7892"/>
    <w:rsid w:val="00EC47E3"/>
    <w:rsid w:val="00EC7FD5"/>
    <w:rsid w:val="00ED10ED"/>
    <w:rsid w:val="00EE3661"/>
    <w:rsid w:val="00F01DC9"/>
    <w:rsid w:val="00F039CB"/>
    <w:rsid w:val="00F05002"/>
    <w:rsid w:val="00F13F9A"/>
    <w:rsid w:val="00F13FB2"/>
    <w:rsid w:val="00F2028F"/>
    <w:rsid w:val="00F22033"/>
    <w:rsid w:val="00F34592"/>
    <w:rsid w:val="00F405C2"/>
    <w:rsid w:val="00F419E2"/>
    <w:rsid w:val="00F612BD"/>
    <w:rsid w:val="00F756B3"/>
    <w:rsid w:val="00F7586B"/>
    <w:rsid w:val="00FB021C"/>
    <w:rsid w:val="00FB31B4"/>
    <w:rsid w:val="00FB6F09"/>
    <w:rsid w:val="00FE2CBF"/>
    <w:rsid w:val="00FE3740"/>
    <w:rsid w:val="00FE4532"/>
    <w:rsid w:val="00FE480B"/>
    <w:rsid w:val="00FF2DA1"/>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4408F8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141A"/>
    <w:pPr>
      <w:spacing w:after="0" w:line="240" w:lineRule="auto"/>
    </w:pPr>
    <w:rPr>
      <w:rFonts w:eastAsia="Times New Roman" w:cs="Times New Roman"/>
      <w:kern w:val="0"/>
      <w:szCs w:val="24"/>
      <w:lang w:eastAsia="ru-RU"/>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141A"/>
    <w:rPr>
      <w:color w:val="0000FF"/>
      <w:u w:val="single"/>
    </w:rPr>
  </w:style>
  <w:style w:type="paragraph" w:styleId="BodyText2">
    <w:name w:val="Body Text 2"/>
    <w:basedOn w:val="Normal"/>
    <w:link w:val="BodyText2Char"/>
    <w:semiHidden/>
    <w:unhideWhenUsed/>
    <w:rsid w:val="002C141A"/>
    <w:pPr>
      <w:spacing w:after="120" w:line="480" w:lineRule="auto"/>
    </w:pPr>
    <w:rPr>
      <w:lang w:val="x-none"/>
    </w:rPr>
  </w:style>
  <w:style w:type="character" w:customStyle="1" w:styleId="BodyText2Char">
    <w:name w:val="Body Text 2 Char"/>
    <w:basedOn w:val="DefaultParagraphFont"/>
    <w:link w:val="BodyText2"/>
    <w:semiHidden/>
    <w:rsid w:val="002C141A"/>
    <w:rPr>
      <w:rFonts w:eastAsia="Times New Roman" w:cs="Times New Roman"/>
      <w:kern w:val="0"/>
      <w:szCs w:val="24"/>
      <w:lang w:val="x-none" w:eastAsia="ru-RU"/>
      <w14:ligatures w14:val="none"/>
    </w:rPr>
  </w:style>
  <w:style w:type="paragraph" w:customStyle="1" w:styleId="tv213">
    <w:name w:val="tv213"/>
    <w:basedOn w:val="Normal"/>
    <w:rsid w:val="002C141A"/>
    <w:pPr>
      <w:spacing w:before="100" w:beforeAutospacing="1" w:after="100" w:afterAutospacing="1"/>
    </w:pPr>
    <w:rPr>
      <w:lang w:eastAsia="lv-LV"/>
    </w:rPr>
  </w:style>
  <w:style w:type="table" w:styleId="TableGrid">
    <w:name w:val="Table Grid"/>
    <w:basedOn w:val="TableNormal"/>
    <w:uiPriority w:val="39"/>
    <w:rsid w:val="002C141A"/>
    <w:pPr>
      <w:spacing w:after="0" w:line="240" w:lineRule="auto"/>
    </w:pPr>
    <w:rPr>
      <w:rFonts w:asciiTheme="minorHAnsi" w:hAnsiTheme="minorHAnsi"/>
      <w:kern w:val="0"/>
      <w:sz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2D3E06"/>
    <w:pPr>
      <w:spacing w:before="100" w:beforeAutospacing="1" w:after="100" w:afterAutospacing="1"/>
    </w:pPr>
    <w:rPr>
      <w:lang w:eastAsia="lv-LV"/>
    </w:rPr>
  </w:style>
  <w:style w:type="paragraph" w:styleId="Header">
    <w:name w:val="header"/>
    <w:basedOn w:val="Normal"/>
    <w:link w:val="HeaderChar"/>
    <w:uiPriority w:val="99"/>
    <w:unhideWhenUsed/>
    <w:rsid w:val="00C403B0"/>
    <w:pPr>
      <w:tabs>
        <w:tab w:val="center" w:pos="4153"/>
        <w:tab w:val="right" w:pos="8306"/>
      </w:tabs>
    </w:pPr>
  </w:style>
  <w:style w:type="character" w:customStyle="1" w:styleId="HeaderChar">
    <w:name w:val="Header Char"/>
    <w:basedOn w:val="DefaultParagraphFont"/>
    <w:link w:val="Header"/>
    <w:uiPriority w:val="99"/>
    <w:rsid w:val="00C403B0"/>
    <w:rPr>
      <w:rFonts w:eastAsia="Times New Roman" w:cs="Times New Roman"/>
      <w:kern w:val="0"/>
      <w:szCs w:val="24"/>
      <w:lang w:eastAsia="ru-RU"/>
      <w14:ligatures w14:val="none"/>
    </w:rPr>
  </w:style>
  <w:style w:type="paragraph" w:styleId="Footer">
    <w:name w:val="footer"/>
    <w:basedOn w:val="Normal"/>
    <w:link w:val="FooterChar"/>
    <w:uiPriority w:val="99"/>
    <w:unhideWhenUsed/>
    <w:rsid w:val="00C403B0"/>
    <w:pPr>
      <w:tabs>
        <w:tab w:val="center" w:pos="4153"/>
        <w:tab w:val="right" w:pos="8306"/>
      </w:tabs>
    </w:pPr>
  </w:style>
  <w:style w:type="character" w:customStyle="1" w:styleId="FooterChar">
    <w:name w:val="Footer Char"/>
    <w:basedOn w:val="DefaultParagraphFont"/>
    <w:link w:val="Footer"/>
    <w:uiPriority w:val="99"/>
    <w:rsid w:val="00C403B0"/>
    <w:rPr>
      <w:rFonts w:eastAsia="Times New Roman" w:cs="Times New Roman"/>
      <w:kern w:val="0"/>
      <w:szCs w:val="24"/>
      <w:lang w:eastAsia="ru-RU"/>
      <w14:ligatures w14:val="none"/>
    </w:rPr>
  </w:style>
  <w:style w:type="paragraph" w:customStyle="1" w:styleId="ti-art">
    <w:name w:val="ti-art"/>
    <w:basedOn w:val="Normal"/>
    <w:rsid w:val="00D64805"/>
    <w:pPr>
      <w:spacing w:before="100" w:beforeAutospacing="1" w:after="100" w:afterAutospacing="1"/>
    </w:pPr>
    <w:rPr>
      <w:lang w:val="en-US" w:eastAsia="en-US"/>
    </w:rPr>
  </w:style>
  <w:style w:type="paragraph" w:customStyle="1" w:styleId="sti-art">
    <w:name w:val="sti-art"/>
    <w:basedOn w:val="Normal"/>
    <w:rsid w:val="00D64805"/>
    <w:pPr>
      <w:spacing w:before="100" w:beforeAutospacing="1" w:after="100" w:afterAutospacing="1"/>
    </w:pPr>
    <w:rPr>
      <w:lang w:val="en-US" w:eastAsia="en-US"/>
    </w:rPr>
  </w:style>
  <w:style w:type="paragraph" w:customStyle="1" w:styleId="Normal1">
    <w:name w:val="Normal1"/>
    <w:basedOn w:val="Normal"/>
    <w:rsid w:val="00D64805"/>
    <w:pPr>
      <w:spacing w:before="100" w:beforeAutospacing="1" w:after="100" w:afterAutospacing="1"/>
    </w:pPr>
    <w:rPr>
      <w:lang w:val="en-US" w:eastAsia="en-US"/>
    </w:rPr>
  </w:style>
  <w:style w:type="character" w:styleId="UnresolvedMention">
    <w:name w:val="Unresolved Mention"/>
    <w:basedOn w:val="DefaultParagraphFont"/>
    <w:uiPriority w:val="99"/>
    <w:semiHidden/>
    <w:unhideWhenUsed/>
    <w:rsid w:val="00F039CB"/>
    <w:rPr>
      <w:color w:val="605E5C"/>
      <w:shd w:val="clear" w:color="auto" w:fill="E1DFDD"/>
    </w:rPr>
  </w:style>
  <w:style w:type="character" w:styleId="FollowedHyperlink">
    <w:name w:val="FollowedHyperlink"/>
    <w:basedOn w:val="DefaultParagraphFont"/>
    <w:uiPriority w:val="99"/>
    <w:semiHidden/>
    <w:unhideWhenUsed/>
    <w:rsid w:val="00F039CB"/>
    <w:rPr>
      <w:color w:val="954F72" w:themeColor="followedHyperlink"/>
      <w:u w:val="single"/>
    </w:rPr>
  </w:style>
  <w:style w:type="character" w:styleId="Emphasis">
    <w:name w:val="Emphasis"/>
    <w:qFormat/>
    <w:rsid w:val="00B30450"/>
    <w:rPr>
      <w:i/>
      <w:iCs/>
    </w:rPr>
  </w:style>
  <w:style w:type="paragraph" w:styleId="Revision">
    <w:name w:val="Revision"/>
    <w:hidden/>
    <w:uiPriority w:val="99"/>
    <w:semiHidden/>
    <w:rsid w:val="00C76687"/>
    <w:pPr>
      <w:spacing w:after="0" w:line="240" w:lineRule="auto"/>
    </w:pPr>
    <w:rPr>
      <w:rFonts w:eastAsia="Times New Roman" w:cs="Times New Roman"/>
      <w:kern w:val="0"/>
      <w:szCs w:val="24"/>
      <w:lang w:eastAsia="ru-RU"/>
      <w14:ligatures w14:val="none"/>
    </w:rPr>
  </w:style>
  <w:style w:type="character" w:styleId="CommentReference">
    <w:name w:val="annotation reference"/>
    <w:basedOn w:val="DefaultParagraphFont"/>
    <w:uiPriority w:val="99"/>
    <w:semiHidden/>
    <w:unhideWhenUsed/>
    <w:rsid w:val="00D97200"/>
    <w:rPr>
      <w:sz w:val="16"/>
      <w:szCs w:val="16"/>
    </w:rPr>
  </w:style>
  <w:style w:type="paragraph" w:styleId="CommentText">
    <w:name w:val="annotation text"/>
    <w:basedOn w:val="Normal"/>
    <w:link w:val="CommentTextChar"/>
    <w:uiPriority w:val="99"/>
    <w:unhideWhenUsed/>
    <w:rsid w:val="00D97200"/>
    <w:rPr>
      <w:sz w:val="20"/>
      <w:szCs w:val="20"/>
    </w:rPr>
  </w:style>
  <w:style w:type="character" w:customStyle="1" w:styleId="CommentTextChar">
    <w:name w:val="Comment Text Char"/>
    <w:basedOn w:val="DefaultParagraphFont"/>
    <w:link w:val="CommentText"/>
    <w:uiPriority w:val="99"/>
    <w:rsid w:val="00D97200"/>
    <w:rPr>
      <w:rFonts w:eastAsia="Times New Roman" w:cs="Times New Roman"/>
      <w:kern w:val="0"/>
      <w:sz w:val="20"/>
      <w:szCs w:val="20"/>
      <w:lang w:eastAsia="ru-RU"/>
      <w14:ligatures w14:val="none"/>
    </w:rPr>
  </w:style>
  <w:style w:type="paragraph" w:styleId="CommentSubject">
    <w:name w:val="annotation subject"/>
    <w:basedOn w:val="CommentText"/>
    <w:next w:val="CommentText"/>
    <w:link w:val="CommentSubjectChar"/>
    <w:uiPriority w:val="99"/>
    <w:semiHidden/>
    <w:unhideWhenUsed/>
    <w:rsid w:val="00D97200"/>
    <w:rPr>
      <w:b/>
      <w:bCs/>
    </w:rPr>
  </w:style>
  <w:style w:type="character" w:customStyle="1" w:styleId="CommentSubjectChar">
    <w:name w:val="Comment Subject Char"/>
    <w:basedOn w:val="CommentTextChar"/>
    <w:link w:val="CommentSubject"/>
    <w:uiPriority w:val="99"/>
    <w:semiHidden/>
    <w:rsid w:val="00D97200"/>
    <w:rPr>
      <w:rFonts w:eastAsia="Times New Roman" w:cs="Times New Roman"/>
      <w:b/>
      <w:bCs/>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543100">
      <w:bodyDiv w:val="1"/>
      <w:marLeft w:val="0"/>
      <w:marRight w:val="0"/>
      <w:marTop w:val="0"/>
      <w:marBottom w:val="0"/>
      <w:divBdr>
        <w:top w:val="none" w:sz="0" w:space="0" w:color="auto"/>
        <w:left w:val="none" w:sz="0" w:space="0" w:color="auto"/>
        <w:bottom w:val="none" w:sz="0" w:space="0" w:color="auto"/>
        <w:right w:val="none" w:sz="0" w:space="0" w:color="auto"/>
      </w:divBdr>
    </w:div>
    <w:div w:id="661735764">
      <w:bodyDiv w:val="1"/>
      <w:marLeft w:val="0"/>
      <w:marRight w:val="0"/>
      <w:marTop w:val="0"/>
      <w:marBottom w:val="0"/>
      <w:divBdr>
        <w:top w:val="none" w:sz="0" w:space="0" w:color="auto"/>
        <w:left w:val="none" w:sz="0" w:space="0" w:color="auto"/>
        <w:bottom w:val="none" w:sz="0" w:space="0" w:color="auto"/>
        <w:right w:val="none" w:sz="0" w:space="0" w:color="auto"/>
      </w:divBdr>
    </w:div>
    <w:div w:id="671026525">
      <w:bodyDiv w:val="1"/>
      <w:marLeft w:val="0"/>
      <w:marRight w:val="0"/>
      <w:marTop w:val="0"/>
      <w:marBottom w:val="0"/>
      <w:divBdr>
        <w:top w:val="none" w:sz="0" w:space="0" w:color="auto"/>
        <w:left w:val="none" w:sz="0" w:space="0" w:color="auto"/>
        <w:bottom w:val="none" w:sz="0" w:space="0" w:color="auto"/>
        <w:right w:val="none" w:sz="0" w:space="0" w:color="auto"/>
      </w:divBdr>
    </w:div>
    <w:div w:id="898440590">
      <w:bodyDiv w:val="1"/>
      <w:marLeft w:val="0"/>
      <w:marRight w:val="0"/>
      <w:marTop w:val="0"/>
      <w:marBottom w:val="0"/>
      <w:divBdr>
        <w:top w:val="none" w:sz="0" w:space="0" w:color="auto"/>
        <w:left w:val="none" w:sz="0" w:space="0" w:color="auto"/>
        <w:bottom w:val="none" w:sz="0" w:space="0" w:color="auto"/>
        <w:right w:val="none" w:sz="0" w:space="0" w:color="auto"/>
      </w:divBdr>
    </w:div>
    <w:div w:id="1226994307">
      <w:bodyDiv w:val="1"/>
      <w:marLeft w:val="0"/>
      <w:marRight w:val="0"/>
      <w:marTop w:val="0"/>
      <w:marBottom w:val="0"/>
      <w:divBdr>
        <w:top w:val="none" w:sz="0" w:space="0" w:color="auto"/>
        <w:left w:val="none" w:sz="0" w:space="0" w:color="auto"/>
        <w:bottom w:val="none" w:sz="0" w:space="0" w:color="auto"/>
        <w:right w:val="none" w:sz="0" w:space="0" w:color="auto"/>
      </w:divBdr>
    </w:div>
    <w:div w:id="1448693574">
      <w:bodyDiv w:val="1"/>
      <w:marLeft w:val="0"/>
      <w:marRight w:val="0"/>
      <w:marTop w:val="0"/>
      <w:marBottom w:val="0"/>
      <w:divBdr>
        <w:top w:val="none" w:sz="0" w:space="0" w:color="auto"/>
        <w:left w:val="none" w:sz="0" w:space="0" w:color="auto"/>
        <w:bottom w:val="none" w:sz="0" w:space="0" w:color="auto"/>
        <w:right w:val="none" w:sz="0" w:space="0" w:color="auto"/>
      </w:divBdr>
    </w:div>
    <w:div w:id="2054765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uria.europa.eu/juris/document/document.jsf?text=&amp;docid=282071&amp;pageIndex=0&amp;doclang=LV&amp;mode=lst&amp;dir=&amp;occ=first&amp;part=1&amp;cid=12986870" TargetMode="External"/><Relationship Id="rId3" Type="http://schemas.openxmlformats.org/officeDocument/2006/relationships/settings" Target="settings.xml"/><Relationship Id="rId7" Type="http://schemas.openxmlformats.org/officeDocument/2006/relationships/hyperlink" Target="https://gateway.elieta.lv/api/v1/PublicMaterialDownload/ddcb8e21-bfb6-4956-9f66-55b1b812abb8"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D1254F-D6BE-4F66-862C-66A17D520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11514</Words>
  <Characters>6563</Characters>
  <Application>Microsoft Office Word</Application>
  <DocSecurity>0</DocSecurity>
  <Lines>54</Lines>
  <Paragraphs>36</Paragraphs>
  <ScaleCrop>false</ScaleCrop>
  <Company/>
  <LinksUpToDate>false</LinksUpToDate>
  <CharactersWithSpaces>18041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2025-04-17T09:37:00Z</dcterms:created>
  <dcterms:modified xsi:type="dcterms:W3CDTF">2025-08-29T06:57:00Z</dcterms:modified>
</cp:coreProperties>
</file>