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AA3702" w14:textId="77777777" w:rsidR="00DB5D11" w:rsidRPr="00C96758" w:rsidRDefault="00DB5D11" w:rsidP="00DB5D11">
      <w:pPr>
        <w:ind w:firstLine="0"/>
        <w:rPr>
          <w:b/>
          <w:bCs/>
        </w:rPr>
      </w:pPr>
      <w:r w:rsidRPr="00C96758">
        <w:rPr>
          <w:b/>
          <w:bCs/>
        </w:rPr>
        <w:t xml:space="preserve">Tiesas nolēmuma pārsūdzēšana, ja lietas izskatīšanas laikā grozīta pārsūdzības kārtība </w:t>
      </w:r>
    </w:p>
    <w:p w14:paraId="0B0D167B" w14:textId="77777777" w:rsidR="00DB5D11" w:rsidRDefault="00DB5D11" w:rsidP="00DB5D11">
      <w:pPr>
        <w:ind w:firstLine="0"/>
      </w:pPr>
      <w:r>
        <w:t xml:space="preserve">Kriminālprocesa likuma spēks laikā nenozīmē to, ka visā kriminālprocesa laikā personai tiks garantētas tiesības uz nemainīgu kriminālprocesa norisi. Piemērojamā procesuālā norma nosakāma attiecībā uz konkrētu kriminālprocesuālu darbību, nevis attiecībā uz visu procesu vai kādu tā stadiju. </w:t>
      </w:r>
    </w:p>
    <w:p w14:paraId="10241C7E" w14:textId="4F95E863" w:rsidR="00DB5D11" w:rsidRDefault="00DB5D11" w:rsidP="00DB5D11">
      <w:pPr>
        <w:ind w:firstLine="0"/>
      </w:pPr>
      <w:r>
        <w:t xml:space="preserve">Apelācijas instances tiesas nolēmuma pārsūdzēšanai tādā lietā, kas pirmās instances tiesā izskatīta bez pierādījumu pārbaudes (Kriminālprocesa likuma 499. pants), piemērojama kārtība, kas spēkā apelācijas instances nolēmuma pieņemšanas dienā, neatkarīgi no laika, kad konkrētajā lietā pieņemts pirmās instances tiesas nolēmums.  </w:t>
      </w:r>
    </w:p>
    <w:p w14:paraId="588F3336" w14:textId="77777777" w:rsidR="00332AE8" w:rsidRPr="00DB5D11" w:rsidRDefault="00332AE8" w:rsidP="00DB5D11">
      <w:pPr>
        <w:ind w:firstLine="0"/>
        <w:rPr>
          <w:rFonts w:cs="Times New Roman"/>
          <w:kern w:val="0"/>
          <w:szCs w:val="24"/>
          <w14:ligatures w14:val="none"/>
        </w:rPr>
      </w:pPr>
    </w:p>
    <w:p w14:paraId="1B62EA53" w14:textId="00539C3C" w:rsidR="00332AE8" w:rsidRPr="00DB5D11" w:rsidRDefault="00332AE8" w:rsidP="00DB5D11">
      <w:pPr>
        <w:ind w:firstLine="0"/>
        <w:jc w:val="center"/>
        <w:rPr>
          <w:rFonts w:cs="Times New Roman"/>
          <w:b/>
          <w:kern w:val="0"/>
          <w:szCs w:val="24"/>
          <w14:ligatures w14:val="none"/>
        </w:rPr>
      </w:pPr>
      <w:r w:rsidRPr="00DB5D11">
        <w:rPr>
          <w:rFonts w:cs="Times New Roman"/>
          <w:b/>
          <w:kern w:val="0"/>
          <w:szCs w:val="24"/>
          <w14:ligatures w14:val="none"/>
        </w:rPr>
        <w:t>Latvijas Republikas Senāt</w:t>
      </w:r>
      <w:r w:rsidR="00DB5D11" w:rsidRPr="00DB5D11">
        <w:rPr>
          <w:rFonts w:cs="Times New Roman"/>
          <w:b/>
          <w:kern w:val="0"/>
          <w:szCs w:val="24"/>
          <w14:ligatures w14:val="none"/>
        </w:rPr>
        <w:t>a</w:t>
      </w:r>
    </w:p>
    <w:p w14:paraId="4C0674DF" w14:textId="5795DE37" w:rsidR="00DB5D11" w:rsidRPr="00DB5D11" w:rsidRDefault="00DB5D11" w:rsidP="00DB5D11">
      <w:pPr>
        <w:ind w:firstLine="0"/>
        <w:jc w:val="center"/>
        <w:rPr>
          <w:rFonts w:cs="Times New Roman"/>
          <w:b/>
          <w:kern w:val="0"/>
          <w:szCs w:val="24"/>
          <w14:ligatures w14:val="none"/>
        </w:rPr>
      </w:pPr>
      <w:r w:rsidRPr="00DB5D11">
        <w:rPr>
          <w:rFonts w:cs="Times New Roman"/>
          <w:b/>
          <w:kern w:val="0"/>
          <w:szCs w:val="24"/>
          <w14:ligatures w14:val="none"/>
        </w:rPr>
        <w:t>Krimināllietu departament</w:t>
      </w:r>
      <w:r w:rsidRPr="00DB5D11">
        <w:rPr>
          <w:rFonts w:cs="Times New Roman"/>
          <w:b/>
          <w:kern w:val="0"/>
          <w:szCs w:val="24"/>
          <w14:ligatures w14:val="none"/>
        </w:rPr>
        <w:t>a</w:t>
      </w:r>
    </w:p>
    <w:p w14:paraId="0A4C7564" w14:textId="53D42B25" w:rsidR="00DB5D11" w:rsidRPr="00DB5D11" w:rsidRDefault="00DB5D11" w:rsidP="00DB5D11">
      <w:pPr>
        <w:ind w:firstLine="0"/>
        <w:jc w:val="center"/>
        <w:rPr>
          <w:rFonts w:cs="Times New Roman"/>
          <w:b/>
          <w:kern w:val="0"/>
          <w:szCs w:val="24"/>
          <w14:ligatures w14:val="none"/>
        </w:rPr>
      </w:pPr>
      <w:r w:rsidRPr="00DB5D11">
        <w:rPr>
          <w:rFonts w:cs="Times New Roman"/>
          <w:b/>
          <w:kern w:val="0"/>
          <w:szCs w:val="24"/>
          <w14:ligatures w14:val="none"/>
        </w:rPr>
        <w:t>2025. gada 28. mart</w:t>
      </w:r>
      <w:r w:rsidRPr="00DB5D11">
        <w:rPr>
          <w:rFonts w:cs="Times New Roman"/>
          <w:b/>
          <w:kern w:val="0"/>
          <w:szCs w:val="24"/>
          <w14:ligatures w14:val="none"/>
        </w:rPr>
        <w:t>a</w:t>
      </w:r>
    </w:p>
    <w:p w14:paraId="3CC4222F" w14:textId="77777777" w:rsidR="00332AE8" w:rsidRPr="00DB5D11" w:rsidRDefault="00332AE8" w:rsidP="00DB5D11">
      <w:pPr>
        <w:ind w:firstLine="0"/>
        <w:jc w:val="center"/>
        <w:rPr>
          <w:rFonts w:cs="Times New Roman"/>
          <w:b/>
          <w:kern w:val="0"/>
          <w:szCs w:val="24"/>
          <w14:ligatures w14:val="none"/>
        </w:rPr>
      </w:pPr>
      <w:r w:rsidRPr="00DB5D11">
        <w:rPr>
          <w:rFonts w:cs="Times New Roman"/>
          <w:b/>
          <w:kern w:val="0"/>
          <w:szCs w:val="24"/>
          <w14:ligatures w14:val="none"/>
        </w:rPr>
        <w:t>LĒMUMS</w:t>
      </w:r>
    </w:p>
    <w:p w14:paraId="1DB49A8C" w14:textId="77777777" w:rsidR="00DB5D11" w:rsidRDefault="00DB5D11" w:rsidP="00DB5D11">
      <w:pPr>
        <w:ind w:firstLine="0"/>
        <w:jc w:val="center"/>
        <w:rPr>
          <w:rFonts w:cs="Times New Roman"/>
          <w:b/>
          <w:kern w:val="0"/>
          <w:szCs w:val="24"/>
          <w14:ligatures w14:val="none"/>
        </w:rPr>
      </w:pPr>
      <w:r w:rsidRPr="00DB5D11">
        <w:rPr>
          <w:rFonts w:cs="Times New Roman"/>
          <w:b/>
          <w:kern w:val="0"/>
          <w:szCs w:val="24"/>
          <w14:ligatures w14:val="none"/>
        </w:rPr>
        <w:t>Lieta Nr. </w:t>
      </w:r>
      <w:bookmarkStart w:id="0" w:name="_Hlk124761443"/>
      <w:r w:rsidRPr="00DB5D11">
        <w:rPr>
          <w:rFonts w:cs="Times New Roman"/>
          <w:b/>
          <w:kern w:val="0"/>
          <w:szCs w:val="24"/>
          <w14:ligatures w14:val="none"/>
        </w:rPr>
        <w:t>11903021</w:t>
      </w:r>
      <w:bookmarkEnd w:id="0"/>
      <w:r w:rsidRPr="00DB5D11">
        <w:rPr>
          <w:rFonts w:cs="Times New Roman"/>
          <w:b/>
          <w:kern w:val="0"/>
          <w:szCs w:val="24"/>
          <w14:ligatures w14:val="none"/>
        </w:rPr>
        <w:t xml:space="preserve">822, </w:t>
      </w:r>
      <w:bookmarkStart w:id="1" w:name="_Hlk196481470"/>
      <w:r w:rsidRPr="00DB5D11">
        <w:rPr>
          <w:rFonts w:cs="Times New Roman"/>
          <w:b/>
          <w:kern w:val="0"/>
          <w:szCs w:val="24"/>
          <w14:ligatures w14:val="none"/>
        </w:rPr>
        <w:t>SKK-J</w:t>
      </w:r>
      <w:r w:rsidRPr="00DB5D11">
        <w:rPr>
          <w:rFonts w:cs="Times New Roman"/>
          <w:b/>
          <w:kern w:val="0"/>
          <w:szCs w:val="24"/>
          <w14:ligatures w14:val="none"/>
        </w:rPr>
        <w:noBreakHyphen/>
        <w:t>239/2025</w:t>
      </w:r>
      <w:bookmarkEnd w:id="1"/>
    </w:p>
    <w:p w14:paraId="6E3EC37B" w14:textId="66AC35A4" w:rsidR="00DB5D11" w:rsidRPr="00DB5D11" w:rsidRDefault="00DB5D11" w:rsidP="00DB5D11">
      <w:pPr>
        <w:ind w:firstLine="0"/>
        <w:jc w:val="center"/>
        <w:rPr>
          <w:rFonts w:cs="Times New Roman"/>
          <w:bCs/>
          <w:kern w:val="0"/>
          <w:szCs w:val="24"/>
          <w14:ligatures w14:val="none"/>
        </w:rPr>
      </w:pPr>
      <w:r w:rsidRPr="00DB5D11">
        <w:rPr>
          <w:rFonts w:cs="Times New Roman"/>
          <w:bCs/>
          <w:kern w:val="0"/>
          <w:szCs w:val="24"/>
          <w14:ligatures w14:val="none"/>
        </w:rPr>
        <w:t>ECLI:LV:AT:2025:0328.11903021822.5.L</w:t>
      </w:r>
    </w:p>
    <w:p w14:paraId="4315EE50" w14:textId="77777777" w:rsidR="00332AE8" w:rsidRPr="006243B7" w:rsidRDefault="00332AE8" w:rsidP="00332AE8">
      <w:pPr>
        <w:ind w:firstLine="0"/>
        <w:rPr>
          <w:rFonts w:cs="Times New Roman"/>
          <w:kern w:val="0"/>
          <w:szCs w:val="24"/>
          <w14:ligatures w14:val="none"/>
        </w:rPr>
      </w:pPr>
    </w:p>
    <w:p w14:paraId="3B64566B" w14:textId="77777777" w:rsidR="00332AE8" w:rsidRPr="006243B7" w:rsidRDefault="00332AE8" w:rsidP="00332AE8">
      <w:pPr>
        <w:rPr>
          <w:rFonts w:cs="Times New Roman"/>
          <w:kern w:val="0"/>
          <w:szCs w:val="24"/>
          <w14:ligatures w14:val="none"/>
        </w:rPr>
      </w:pPr>
      <w:r w:rsidRPr="006243B7">
        <w:rPr>
          <w:rFonts w:cs="Times New Roman"/>
          <w:kern w:val="0"/>
          <w:szCs w:val="24"/>
          <w14:ligatures w14:val="none"/>
        </w:rPr>
        <w:t>Senāts šādā sastāvā: senatore referente Inese Laura Zemīte, senatores Irīna Jansone un Sandra Kaija</w:t>
      </w:r>
    </w:p>
    <w:p w14:paraId="13541B2B" w14:textId="77777777" w:rsidR="00332AE8" w:rsidRPr="006243B7" w:rsidRDefault="00332AE8" w:rsidP="00332AE8">
      <w:pPr>
        <w:ind w:firstLine="0"/>
        <w:rPr>
          <w:rFonts w:cs="Times New Roman"/>
          <w:kern w:val="0"/>
          <w:szCs w:val="24"/>
          <w14:ligatures w14:val="none"/>
        </w:rPr>
      </w:pPr>
    </w:p>
    <w:p w14:paraId="1CA3015D" w14:textId="7DFCF0DC" w:rsidR="00332AE8" w:rsidRPr="006243B7" w:rsidRDefault="00332AE8" w:rsidP="00332AE8">
      <w:pPr>
        <w:rPr>
          <w:rFonts w:cs="Times New Roman"/>
          <w:kern w:val="0"/>
          <w:szCs w:val="24"/>
          <w14:ligatures w14:val="none"/>
        </w:rPr>
      </w:pPr>
      <w:r w:rsidRPr="006243B7">
        <w:rPr>
          <w:rFonts w:cs="Times New Roman"/>
          <w:kern w:val="0"/>
          <w:szCs w:val="24"/>
          <w14:ligatures w14:val="none"/>
        </w:rPr>
        <w:t xml:space="preserve">izskatīja rakstveida procesā krimināllietu sakarā ar notiesātā </w:t>
      </w:r>
      <w:r w:rsidR="00DB5D11">
        <w:rPr>
          <w:rFonts w:cs="Times New Roman"/>
          <w:kern w:val="0"/>
          <w:szCs w:val="24"/>
          <w14:ligatures w14:val="none"/>
        </w:rPr>
        <w:t>[pers. A]</w:t>
      </w:r>
      <w:r w:rsidRPr="006243B7">
        <w:rPr>
          <w:rFonts w:cs="Times New Roman"/>
          <w:kern w:val="0"/>
          <w:szCs w:val="24"/>
          <w14:ligatures w14:val="none"/>
        </w:rPr>
        <w:t xml:space="preserve"> </w:t>
      </w:r>
      <w:r w:rsidR="00D6678F" w:rsidRPr="009D39E1">
        <w:rPr>
          <w:rFonts w:cs="Times New Roman"/>
          <w:kern w:val="0"/>
          <w:szCs w:val="24"/>
          <w14:ligatures w14:val="none"/>
        </w:rPr>
        <w:t>uzdevumā</w:t>
      </w:r>
      <w:r w:rsidR="00D6678F">
        <w:rPr>
          <w:rFonts w:cs="Times New Roman"/>
          <w:kern w:val="0"/>
          <w:szCs w:val="24"/>
          <w14:ligatures w14:val="none"/>
        </w:rPr>
        <w:t xml:space="preserve"> </w:t>
      </w:r>
      <w:r w:rsidRPr="006243B7">
        <w:rPr>
          <w:rFonts w:cs="Times New Roman"/>
          <w:kern w:val="0"/>
          <w:szCs w:val="24"/>
          <w14:ligatures w14:val="none"/>
        </w:rPr>
        <w:t xml:space="preserve">advokāta Artūra </w:t>
      </w:r>
      <w:proofErr w:type="spellStart"/>
      <w:r w:rsidRPr="006243B7">
        <w:rPr>
          <w:rFonts w:cs="Times New Roman"/>
          <w:kern w:val="0"/>
          <w:szCs w:val="24"/>
          <w14:ligatures w14:val="none"/>
        </w:rPr>
        <w:t>Parfjonova</w:t>
      </w:r>
      <w:proofErr w:type="spellEnd"/>
      <w:r w:rsidRPr="006243B7">
        <w:rPr>
          <w:rFonts w:cs="Times New Roman"/>
          <w:kern w:val="0"/>
          <w:szCs w:val="24"/>
          <w14:ligatures w14:val="none"/>
        </w:rPr>
        <w:t xml:space="preserve"> Kriminālprocesa likuma 63. nodaļas kārtībā </w:t>
      </w:r>
      <w:r w:rsidR="004465D3">
        <w:rPr>
          <w:rFonts w:cs="Times New Roman"/>
          <w:kern w:val="0"/>
          <w:szCs w:val="24"/>
          <w14:ligatures w14:val="none"/>
        </w:rPr>
        <w:t xml:space="preserve">iesniegto </w:t>
      </w:r>
      <w:r w:rsidR="004465D3" w:rsidRPr="006243B7">
        <w:rPr>
          <w:rFonts w:cs="Times New Roman"/>
          <w:kern w:val="0"/>
          <w:szCs w:val="24"/>
          <w14:ligatures w14:val="none"/>
        </w:rPr>
        <w:t xml:space="preserve">pieteikumu </w:t>
      </w:r>
      <w:r w:rsidRPr="006243B7">
        <w:rPr>
          <w:rFonts w:cs="Times New Roman"/>
          <w:kern w:val="0"/>
          <w:szCs w:val="24"/>
          <w14:ligatures w14:val="none"/>
        </w:rPr>
        <w:t>par Latgales apgabaltiesas 2025. gada 14. janvāra lēmumu.</w:t>
      </w:r>
    </w:p>
    <w:p w14:paraId="3477FDDD" w14:textId="77777777" w:rsidR="00332AE8" w:rsidRPr="006243B7" w:rsidRDefault="00332AE8" w:rsidP="00332AE8">
      <w:pPr>
        <w:ind w:firstLine="0"/>
        <w:rPr>
          <w:rFonts w:cs="Times New Roman"/>
          <w:kern w:val="0"/>
          <w:szCs w:val="24"/>
          <w14:ligatures w14:val="none"/>
        </w:rPr>
      </w:pPr>
    </w:p>
    <w:p w14:paraId="7A52E026" w14:textId="77777777" w:rsidR="00332AE8" w:rsidRPr="006243B7" w:rsidRDefault="00332AE8" w:rsidP="00332AE8">
      <w:pPr>
        <w:ind w:firstLine="0"/>
        <w:jc w:val="center"/>
        <w:rPr>
          <w:rFonts w:cs="Times New Roman"/>
          <w:b/>
          <w:kern w:val="0"/>
          <w:szCs w:val="24"/>
          <w14:ligatures w14:val="none"/>
        </w:rPr>
      </w:pPr>
      <w:r w:rsidRPr="006243B7">
        <w:rPr>
          <w:rFonts w:cs="Times New Roman"/>
          <w:b/>
          <w:kern w:val="0"/>
          <w:szCs w:val="24"/>
          <w14:ligatures w14:val="none"/>
        </w:rPr>
        <w:t>Aprakstošā daļa</w:t>
      </w:r>
    </w:p>
    <w:p w14:paraId="586DFBFA" w14:textId="77777777" w:rsidR="00332AE8" w:rsidRPr="006243B7" w:rsidRDefault="00332AE8" w:rsidP="00332AE8">
      <w:pPr>
        <w:ind w:firstLine="0"/>
        <w:rPr>
          <w:rFonts w:cs="Times New Roman"/>
          <w:kern w:val="0"/>
          <w:szCs w:val="24"/>
          <w14:ligatures w14:val="none"/>
        </w:rPr>
      </w:pPr>
    </w:p>
    <w:p w14:paraId="0E688E80" w14:textId="77777777" w:rsidR="00332AE8" w:rsidRPr="006243B7" w:rsidRDefault="00332AE8" w:rsidP="00332AE8">
      <w:pPr>
        <w:rPr>
          <w:rFonts w:cs="Times New Roman"/>
          <w:kern w:val="0"/>
          <w:szCs w:val="24"/>
          <w14:ligatures w14:val="none"/>
        </w:rPr>
      </w:pPr>
      <w:r w:rsidRPr="006243B7">
        <w:rPr>
          <w:rFonts w:cs="Times New Roman"/>
          <w:kern w:val="0"/>
          <w:szCs w:val="24"/>
          <w14:ligatures w14:val="none"/>
        </w:rPr>
        <w:t xml:space="preserve">[1] Ar Latgales rajona tiesas 2024. gada 16. septembra spriedumu </w:t>
      </w:r>
    </w:p>
    <w:p w14:paraId="5C2F6E75" w14:textId="75C527DD" w:rsidR="00332AE8" w:rsidRPr="006243B7" w:rsidRDefault="00DB5D11" w:rsidP="00332AE8">
      <w:pPr>
        <w:rPr>
          <w:rFonts w:cs="Times New Roman"/>
          <w:kern w:val="0"/>
          <w:szCs w:val="24"/>
          <w14:ligatures w14:val="none"/>
        </w:rPr>
      </w:pPr>
      <w:r>
        <w:rPr>
          <w:rFonts w:cs="Times New Roman"/>
          <w:kern w:val="0"/>
          <w:szCs w:val="24"/>
          <w14:ligatures w14:val="none"/>
        </w:rPr>
        <w:t>[pers. A]</w:t>
      </w:r>
      <w:r w:rsidR="00332AE8" w:rsidRPr="006243B7">
        <w:rPr>
          <w:rFonts w:cs="Times New Roman"/>
          <w:kern w:val="0"/>
          <w:szCs w:val="24"/>
          <w14:ligatures w14:val="none"/>
        </w:rPr>
        <w:t xml:space="preserve">, personas kods </w:t>
      </w:r>
      <w:r>
        <w:rPr>
          <w:rFonts w:cs="Times New Roman"/>
          <w:kern w:val="0"/>
          <w:szCs w:val="24"/>
          <w14:ligatures w14:val="none"/>
        </w:rPr>
        <w:t>[..]</w:t>
      </w:r>
      <w:r w:rsidR="00332AE8" w:rsidRPr="006243B7">
        <w:rPr>
          <w:rFonts w:cs="Times New Roman"/>
          <w:kern w:val="0"/>
          <w:szCs w:val="24"/>
          <w14:ligatures w14:val="none"/>
        </w:rPr>
        <w:t xml:space="preserve">, </w:t>
      </w:r>
    </w:p>
    <w:p w14:paraId="22AD73EB" w14:textId="77777777" w:rsidR="00332AE8" w:rsidRPr="006243B7" w:rsidRDefault="00332AE8" w:rsidP="00332AE8">
      <w:pPr>
        <w:rPr>
          <w:rFonts w:cs="Times New Roman"/>
          <w:kern w:val="0"/>
          <w:szCs w:val="24"/>
          <w14:ligatures w14:val="none"/>
        </w:rPr>
      </w:pPr>
      <w:r w:rsidRPr="006243B7">
        <w:rPr>
          <w:rFonts w:cs="Times New Roman"/>
          <w:kern w:val="0"/>
          <w:szCs w:val="24"/>
          <w14:ligatures w14:val="none"/>
        </w:rPr>
        <w:t>atzīts par vainīgu Krimināllikuma 262.</w:t>
      </w:r>
      <w:r w:rsidRPr="006243B7">
        <w:rPr>
          <w:rFonts w:cs="Times New Roman"/>
          <w:kern w:val="0"/>
          <w:szCs w:val="24"/>
          <w:vertAlign w:val="superscript"/>
          <w14:ligatures w14:val="none"/>
        </w:rPr>
        <w:t>1</w:t>
      </w:r>
      <w:r w:rsidRPr="006243B7">
        <w:rPr>
          <w:rFonts w:cs="Times New Roman"/>
          <w:kern w:val="0"/>
          <w:szCs w:val="24"/>
          <w14:ligatures w14:val="none"/>
        </w:rPr>
        <w:t> panta pirmajā daļā</w:t>
      </w:r>
      <w:r w:rsidRPr="006243B7">
        <w:rPr>
          <w:kern w:val="0"/>
          <w14:ligatures w14:val="none"/>
        </w:rPr>
        <w:t xml:space="preserve"> (likuma redakcijā līdz 2024. gada 3. jūlijam)</w:t>
      </w:r>
      <w:r w:rsidRPr="006243B7">
        <w:rPr>
          <w:rFonts w:cs="Times New Roman"/>
          <w:kern w:val="0"/>
          <w:szCs w:val="24"/>
          <w14:ligatures w14:val="none"/>
        </w:rPr>
        <w:t xml:space="preserve"> paredzētajā noziedzīgajā nodarījumā un sodīts ar īslaicīgu brīvības atņemšanu uz 1 mēnesi, atņemot transportlīdzekļa vadīšanas tiesības uz 5 gadiem.</w:t>
      </w:r>
    </w:p>
    <w:p w14:paraId="7344CA0C" w14:textId="71D41330" w:rsidR="00332AE8" w:rsidRPr="006243B7" w:rsidRDefault="00332AE8" w:rsidP="00332AE8">
      <w:pPr>
        <w:rPr>
          <w:kern w:val="0"/>
          <w14:ligatures w14:val="none"/>
        </w:rPr>
      </w:pPr>
      <w:r w:rsidRPr="006243B7">
        <w:rPr>
          <w:kern w:val="0"/>
          <w14:ligatures w14:val="none"/>
        </w:rPr>
        <w:t xml:space="preserve">Drošības līdzeklis </w:t>
      </w:r>
      <w:r w:rsidR="00DB5D11">
        <w:rPr>
          <w:rFonts w:cs="Times New Roman"/>
          <w:kern w:val="0"/>
          <w:szCs w:val="24"/>
          <w14:ligatures w14:val="none"/>
        </w:rPr>
        <w:t>[pers. A]</w:t>
      </w:r>
      <w:r w:rsidRPr="006243B7">
        <w:rPr>
          <w:kern w:val="0"/>
          <w14:ligatures w14:val="none"/>
        </w:rPr>
        <w:t xml:space="preserve"> nav piemērots. </w:t>
      </w:r>
    </w:p>
    <w:p w14:paraId="310819BC" w14:textId="77777777" w:rsidR="00332AE8" w:rsidRPr="006243B7" w:rsidRDefault="00332AE8" w:rsidP="00332AE8">
      <w:pPr>
        <w:rPr>
          <w:rFonts w:cs="Times New Roman"/>
          <w:kern w:val="0"/>
          <w:szCs w:val="24"/>
          <w14:ligatures w14:val="none"/>
        </w:rPr>
      </w:pPr>
    </w:p>
    <w:p w14:paraId="1ED00004" w14:textId="0F763B77" w:rsidR="00332AE8" w:rsidRPr="006243B7" w:rsidRDefault="00332AE8" w:rsidP="00332AE8">
      <w:pPr>
        <w:rPr>
          <w:rFonts w:cs="Times New Roman"/>
          <w:kern w:val="0"/>
          <w:szCs w:val="24"/>
          <w14:ligatures w14:val="none"/>
        </w:rPr>
      </w:pPr>
      <w:r w:rsidRPr="006243B7">
        <w:rPr>
          <w:rFonts w:cs="Times New Roman"/>
          <w:kern w:val="0"/>
          <w:szCs w:val="24"/>
          <w14:ligatures w14:val="none"/>
        </w:rPr>
        <w:t xml:space="preserve">[2] Ar Latgales apgabaltiesas 2025. gada 14. janvāra lēmumu, izskatot krimināllietu sakarā ar apsūdzētā </w:t>
      </w:r>
      <w:r w:rsidR="00DB5D11">
        <w:rPr>
          <w:rFonts w:cs="Times New Roman"/>
          <w:kern w:val="0"/>
          <w:szCs w:val="24"/>
          <w14:ligatures w14:val="none"/>
        </w:rPr>
        <w:t>[pers. A]</w:t>
      </w:r>
      <w:r w:rsidRPr="006243B7">
        <w:rPr>
          <w:rFonts w:cs="Times New Roman"/>
          <w:kern w:val="0"/>
          <w:szCs w:val="24"/>
          <w14:ligatures w14:val="none"/>
        </w:rPr>
        <w:t xml:space="preserve"> un viņa aizstāvja A. </w:t>
      </w:r>
      <w:proofErr w:type="spellStart"/>
      <w:r w:rsidRPr="006243B7">
        <w:rPr>
          <w:rFonts w:cs="Times New Roman"/>
          <w:kern w:val="0"/>
          <w:szCs w:val="24"/>
          <w14:ligatures w14:val="none"/>
        </w:rPr>
        <w:t>Parfjonova</w:t>
      </w:r>
      <w:proofErr w:type="spellEnd"/>
      <w:r w:rsidRPr="006243B7">
        <w:rPr>
          <w:rFonts w:cs="Times New Roman"/>
          <w:kern w:val="0"/>
          <w:szCs w:val="24"/>
          <w14:ligatures w14:val="none"/>
        </w:rPr>
        <w:t xml:space="preserve"> apelācijas sūdzībām, Latgales rajona tiesas 2024. gada 16. septembra spriedums atstāts negrozīts. </w:t>
      </w:r>
    </w:p>
    <w:p w14:paraId="2C9D4E34" w14:textId="77777777" w:rsidR="00332AE8" w:rsidRPr="006243B7" w:rsidRDefault="00332AE8" w:rsidP="00332AE8">
      <w:pPr>
        <w:rPr>
          <w:rFonts w:cs="Times New Roman"/>
          <w:kern w:val="0"/>
          <w:szCs w:val="24"/>
          <w14:ligatures w14:val="none"/>
        </w:rPr>
      </w:pPr>
    </w:p>
    <w:p w14:paraId="29CDF5F0" w14:textId="632E64AD" w:rsidR="00332AE8" w:rsidRPr="006243B7" w:rsidRDefault="00332AE8" w:rsidP="00332AE8">
      <w:pPr>
        <w:rPr>
          <w:rFonts w:cs="Times New Roman"/>
          <w:kern w:val="0"/>
          <w:szCs w:val="24"/>
          <w14:ligatures w14:val="none"/>
        </w:rPr>
      </w:pPr>
      <w:r w:rsidRPr="006243B7">
        <w:rPr>
          <w:rFonts w:cs="Times New Roman"/>
          <w:kern w:val="0"/>
          <w:szCs w:val="24"/>
          <w14:ligatures w14:val="none"/>
        </w:rPr>
        <w:t xml:space="preserve">[3] Latgales apgabaltiesas 2025. gada 14. janvāra lēmums stājies spēkā 2025. gada 14. janvārī. </w:t>
      </w:r>
    </w:p>
    <w:p w14:paraId="5D60B1E1" w14:textId="77777777" w:rsidR="00332AE8" w:rsidRPr="006243B7" w:rsidRDefault="00332AE8" w:rsidP="00332AE8">
      <w:pPr>
        <w:rPr>
          <w:rFonts w:cs="Times New Roman"/>
          <w:kern w:val="0"/>
          <w:szCs w:val="24"/>
          <w14:ligatures w14:val="none"/>
        </w:rPr>
      </w:pPr>
      <w:r w:rsidRPr="006243B7">
        <w:rPr>
          <w:rFonts w:cs="Times New Roman"/>
          <w:kern w:val="0"/>
          <w:szCs w:val="24"/>
          <w14:ligatures w14:val="none"/>
        </w:rPr>
        <w:t xml:space="preserve"> </w:t>
      </w:r>
    </w:p>
    <w:p w14:paraId="6194FFB2" w14:textId="6E573D7F" w:rsidR="00332AE8" w:rsidRPr="006243B7" w:rsidRDefault="00332AE8" w:rsidP="00332AE8">
      <w:pPr>
        <w:rPr>
          <w:rFonts w:cs="Times New Roman"/>
          <w:kern w:val="0"/>
          <w:szCs w:val="24"/>
          <w14:ligatures w14:val="none"/>
        </w:rPr>
      </w:pPr>
      <w:r w:rsidRPr="006243B7">
        <w:rPr>
          <w:rFonts w:cs="Times New Roman"/>
          <w:kern w:val="0"/>
          <w:szCs w:val="24"/>
          <w14:ligatures w14:val="none"/>
        </w:rPr>
        <w:t xml:space="preserve">[4] Par Latgales apgabaltiesas 2025. gada 14. janvāra lēmumu notiesātā </w:t>
      </w:r>
      <w:r w:rsidR="00DB5D11">
        <w:rPr>
          <w:rFonts w:cs="Times New Roman"/>
          <w:kern w:val="0"/>
          <w:szCs w:val="24"/>
          <w14:ligatures w14:val="none"/>
        </w:rPr>
        <w:t>[pers. A]</w:t>
      </w:r>
      <w:r w:rsidRPr="006243B7">
        <w:rPr>
          <w:rFonts w:cs="Times New Roman"/>
          <w:kern w:val="0"/>
          <w:szCs w:val="24"/>
          <w14:ligatures w14:val="none"/>
        </w:rPr>
        <w:t xml:space="preserve"> </w:t>
      </w:r>
      <w:r w:rsidRPr="006243B7">
        <w:rPr>
          <w:rFonts w:eastAsia="Times New Roman" w:cs="Times New Roman"/>
          <w:color w:val="000000"/>
          <w:kern w:val="0"/>
          <w:szCs w:val="24"/>
          <w:lang w:eastAsia="lv-LV"/>
          <w14:ligatures w14:val="none"/>
        </w:rPr>
        <w:t>uzdevumā advokāts</w:t>
      </w:r>
      <w:r w:rsidRPr="006243B7">
        <w:rPr>
          <w:rFonts w:cs="Times New Roman"/>
          <w:kern w:val="0"/>
          <w:szCs w:val="24"/>
          <w14:ligatures w14:val="none"/>
        </w:rPr>
        <w:t xml:space="preserve"> A. </w:t>
      </w:r>
      <w:proofErr w:type="spellStart"/>
      <w:r w:rsidRPr="006243B7">
        <w:rPr>
          <w:rFonts w:cs="Times New Roman"/>
          <w:kern w:val="0"/>
          <w:szCs w:val="24"/>
          <w14:ligatures w14:val="none"/>
        </w:rPr>
        <w:t>Parfjonovs</w:t>
      </w:r>
      <w:proofErr w:type="spellEnd"/>
      <w:r w:rsidRPr="006243B7">
        <w:rPr>
          <w:rFonts w:cs="Times New Roman"/>
          <w:kern w:val="0"/>
          <w:szCs w:val="24"/>
          <w14:ligatures w14:val="none"/>
        </w:rPr>
        <w:t xml:space="preserve"> iesniedzis pieteikumu Kriminālprocesa likuma 63. nodaļas kārtībā, kurā lūdz atcelt lēmumu daļā par sodu un lietu šajā daļā nosūtīt jaunai izskatīšanai apelācijas instances tiesā.</w:t>
      </w:r>
    </w:p>
    <w:p w14:paraId="2C222C47" w14:textId="5295834E" w:rsidR="00332AE8" w:rsidRDefault="00332AE8" w:rsidP="00332AE8">
      <w:pPr>
        <w:autoSpaceDE w:val="0"/>
        <w:autoSpaceDN w:val="0"/>
        <w:adjustRightInd w:val="0"/>
        <w:rPr>
          <w:rFonts w:eastAsia="Times New Roman" w:cs="Times New Roman"/>
          <w:kern w:val="0"/>
          <w:szCs w:val="24"/>
          <w14:ligatures w14:val="none"/>
        </w:rPr>
      </w:pPr>
      <w:r w:rsidRPr="006243B7">
        <w:rPr>
          <w:rFonts w:eastAsia="Times New Roman" w:cs="Times New Roman"/>
          <w:kern w:val="0"/>
          <w:szCs w:val="24"/>
          <w14:ligatures w14:val="none"/>
        </w:rPr>
        <w:lastRenderedPageBreak/>
        <w:t>Apelācijas instances tiesa</w:t>
      </w:r>
      <w:r>
        <w:rPr>
          <w:rFonts w:eastAsia="Times New Roman" w:cs="Times New Roman"/>
          <w:kern w:val="0"/>
          <w:szCs w:val="24"/>
          <w14:ligatures w14:val="none"/>
        </w:rPr>
        <w:t>,</w:t>
      </w:r>
      <w:r w:rsidRPr="008F6D3F">
        <w:t xml:space="preserve"> </w:t>
      </w:r>
      <w:r w:rsidRPr="002D0182">
        <w:t xml:space="preserve">nepareizi piemērojot Krimināllikuma </w:t>
      </w:r>
      <w:r>
        <w:t>46. panta otro daļu,</w:t>
      </w:r>
      <w:r w:rsidRPr="006243B7">
        <w:rPr>
          <w:rFonts w:eastAsia="Times New Roman" w:cs="Times New Roman"/>
          <w:kern w:val="0"/>
          <w:szCs w:val="24"/>
          <w14:ligatures w14:val="none"/>
        </w:rPr>
        <w:t xml:space="preserve"> pieļāvusi Kriminālprocesa likuma 574. panta 1. punktā norādīto Krimināllikuma pārkāpumu</w:t>
      </w:r>
      <w:r>
        <w:rPr>
          <w:rFonts w:eastAsia="Times New Roman" w:cs="Times New Roman"/>
          <w:kern w:val="0"/>
          <w:szCs w:val="24"/>
          <w14:ligatures w14:val="none"/>
        </w:rPr>
        <w:t xml:space="preserve">, kā arī </w:t>
      </w:r>
      <w:r w:rsidRPr="002D0182">
        <w:t>pieļāvusi Kriminālprocesa likum</w:t>
      </w:r>
      <w:r>
        <w:t>a</w:t>
      </w:r>
      <w:r w:rsidRPr="002D0182">
        <w:t xml:space="preserve"> būtisku</w:t>
      </w:r>
      <w:r>
        <w:t>s</w:t>
      </w:r>
      <w:r w:rsidRPr="002D0182">
        <w:t xml:space="preserve"> pārkāpumu</w:t>
      </w:r>
      <w:r>
        <w:t>s</w:t>
      </w:r>
      <w:r w:rsidRPr="002D0182">
        <w:t xml:space="preserve"> šā likuma 575.</w:t>
      </w:r>
      <w:r>
        <w:t> </w:t>
      </w:r>
      <w:r w:rsidRPr="002D0182">
        <w:t xml:space="preserve">panta trešās daļas izpratnē, jo nepareizi piemērojusi </w:t>
      </w:r>
      <w:r>
        <w:rPr>
          <w:rFonts w:eastAsia="Times New Roman" w:cs="Times New Roman"/>
          <w:kern w:val="0"/>
          <w:szCs w:val="24"/>
          <w14:ligatures w14:val="none"/>
        </w:rPr>
        <w:t xml:space="preserve">Kriminālprocesa likuma 4. pantu </w:t>
      </w:r>
      <w:r w:rsidRPr="006243B7">
        <w:rPr>
          <w:rFonts w:eastAsia="Times New Roman" w:cs="Times New Roman"/>
          <w:kern w:val="0"/>
          <w:szCs w:val="24"/>
          <w14:ligatures w14:val="none"/>
        </w:rPr>
        <w:t>un 575. panta pirmās daļas 8. punkt</w:t>
      </w:r>
      <w:r>
        <w:rPr>
          <w:rFonts w:eastAsia="Times New Roman" w:cs="Times New Roman"/>
          <w:kern w:val="0"/>
          <w:szCs w:val="24"/>
          <w14:ligatures w14:val="none"/>
        </w:rPr>
        <w:t>u</w:t>
      </w:r>
      <w:r w:rsidRPr="006243B7">
        <w:rPr>
          <w:rFonts w:eastAsia="Times New Roman" w:cs="Times New Roman"/>
          <w:kern w:val="0"/>
          <w:szCs w:val="24"/>
          <w14:ligatures w14:val="none"/>
        </w:rPr>
        <w:t xml:space="preserve"> (</w:t>
      </w:r>
      <w:r w:rsidR="00373BC5" w:rsidRPr="006243B7">
        <w:rPr>
          <w:rFonts w:eastAsia="Times New Roman" w:cs="Times New Roman"/>
          <w:kern w:val="0"/>
          <w:szCs w:val="24"/>
          <w14:ligatures w14:val="none"/>
        </w:rPr>
        <w:t>likuma redakcijā līdz 2024. gada 21</w:t>
      </w:r>
      <w:r w:rsidR="00373BC5" w:rsidRPr="00D027EA">
        <w:rPr>
          <w:rFonts w:eastAsia="Times New Roman" w:cs="Times New Roman"/>
          <w:kern w:val="0"/>
          <w:szCs w:val="24"/>
          <w14:ligatures w14:val="none"/>
        </w:rPr>
        <w:t>. oktobrim</w:t>
      </w:r>
      <w:r>
        <w:rPr>
          <w:rFonts w:eastAsia="Times New Roman" w:cs="Times New Roman"/>
          <w:kern w:val="0"/>
          <w:szCs w:val="24"/>
          <w14:ligatures w14:val="none"/>
        </w:rPr>
        <w:t xml:space="preserve">). Minētie pārkāpumi noveduši </w:t>
      </w:r>
      <w:r w:rsidRPr="006243B7">
        <w:rPr>
          <w:rFonts w:eastAsia="Times New Roman" w:cs="Times New Roman"/>
          <w:kern w:val="0"/>
          <w:szCs w:val="24"/>
          <w14:ligatures w14:val="none"/>
        </w:rPr>
        <w:t>pie nelikumīga nolēmuma daļā par sodu</w:t>
      </w:r>
      <w:r>
        <w:rPr>
          <w:rFonts w:eastAsia="Times New Roman" w:cs="Times New Roman"/>
          <w:kern w:val="0"/>
          <w:szCs w:val="24"/>
          <w14:ligatures w14:val="none"/>
        </w:rPr>
        <w:t xml:space="preserve"> un</w:t>
      </w:r>
      <w:r w:rsidRPr="00A32AEF">
        <w:rPr>
          <w:rFonts w:eastAsia="Times New Roman" w:cs="Times New Roman"/>
          <w:kern w:val="0"/>
          <w:szCs w:val="24"/>
          <w14:ligatures w14:val="none"/>
        </w:rPr>
        <w:t xml:space="preserve"> </w:t>
      </w:r>
      <w:r w:rsidRPr="006243B7">
        <w:rPr>
          <w:rFonts w:eastAsia="Times New Roman" w:cs="Times New Roman"/>
          <w:kern w:val="0"/>
          <w:szCs w:val="24"/>
          <w14:ligatures w14:val="none"/>
        </w:rPr>
        <w:t>notiesātā stāvokļa nelikumīgas pasliktināšanās.</w:t>
      </w:r>
    </w:p>
    <w:p w14:paraId="360966C0" w14:textId="050BEDF8" w:rsidR="00332AE8" w:rsidRPr="006243B7" w:rsidRDefault="00622FDC" w:rsidP="00332AE8">
      <w:pPr>
        <w:rPr>
          <w:rFonts w:cs="Times New Roman"/>
          <w:kern w:val="0"/>
          <w:szCs w:val="24"/>
          <w14:ligatures w14:val="none"/>
        </w:rPr>
      </w:pPr>
      <w:r>
        <w:rPr>
          <w:rFonts w:cs="Times New Roman"/>
          <w:kern w:val="0"/>
          <w:szCs w:val="24"/>
          <w14:ligatures w14:val="none"/>
        </w:rPr>
        <w:t>Advokāts p</w:t>
      </w:r>
      <w:r w:rsidR="00332AE8" w:rsidRPr="006243B7">
        <w:rPr>
          <w:rFonts w:cs="Times New Roman"/>
          <w:kern w:val="0"/>
          <w:szCs w:val="24"/>
          <w14:ligatures w14:val="none"/>
        </w:rPr>
        <w:t>ieteikumu pamato</w:t>
      </w:r>
      <w:r>
        <w:rPr>
          <w:rFonts w:cs="Times New Roman"/>
          <w:kern w:val="0"/>
          <w:szCs w:val="24"/>
          <w14:ligatures w14:val="none"/>
        </w:rPr>
        <w:t>jis ar</w:t>
      </w:r>
      <w:r w:rsidR="00332AE8" w:rsidRPr="006243B7">
        <w:rPr>
          <w:rFonts w:cs="Times New Roman"/>
          <w:kern w:val="0"/>
          <w:szCs w:val="24"/>
          <w14:ligatures w14:val="none"/>
        </w:rPr>
        <w:t xml:space="preserve"> </w:t>
      </w:r>
      <w:r w:rsidR="00332AE8">
        <w:rPr>
          <w:rFonts w:cs="Times New Roman"/>
          <w:kern w:val="0"/>
          <w:szCs w:val="24"/>
          <w14:ligatures w14:val="none"/>
        </w:rPr>
        <w:t>turpmāk norādīt</w:t>
      </w:r>
      <w:r>
        <w:rPr>
          <w:rFonts w:cs="Times New Roman"/>
          <w:kern w:val="0"/>
          <w:szCs w:val="24"/>
          <w14:ligatures w14:val="none"/>
        </w:rPr>
        <w:t>aj</w:t>
      </w:r>
      <w:r w:rsidR="00332AE8">
        <w:rPr>
          <w:rFonts w:cs="Times New Roman"/>
          <w:kern w:val="0"/>
          <w:szCs w:val="24"/>
          <w14:ligatures w14:val="none"/>
        </w:rPr>
        <w:t>ie</w:t>
      </w:r>
      <w:r>
        <w:rPr>
          <w:rFonts w:cs="Times New Roman"/>
          <w:kern w:val="0"/>
          <w:szCs w:val="24"/>
          <w14:ligatures w14:val="none"/>
        </w:rPr>
        <w:t>m</w:t>
      </w:r>
      <w:r w:rsidR="00332AE8">
        <w:rPr>
          <w:rFonts w:cs="Times New Roman"/>
          <w:kern w:val="0"/>
          <w:szCs w:val="24"/>
          <w14:ligatures w14:val="none"/>
        </w:rPr>
        <w:t xml:space="preserve"> </w:t>
      </w:r>
      <w:r w:rsidR="00332AE8" w:rsidRPr="006243B7">
        <w:rPr>
          <w:rFonts w:cs="Times New Roman"/>
          <w:kern w:val="0"/>
          <w:szCs w:val="24"/>
          <w14:ligatures w14:val="none"/>
        </w:rPr>
        <w:t>argumenti</w:t>
      </w:r>
      <w:r>
        <w:rPr>
          <w:rFonts w:cs="Times New Roman"/>
          <w:kern w:val="0"/>
          <w:szCs w:val="24"/>
          <w14:ligatures w14:val="none"/>
        </w:rPr>
        <w:t>em</w:t>
      </w:r>
      <w:r w:rsidR="00332AE8" w:rsidRPr="006243B7">
        <w:rPr>
          <w:rFonts w:cs="Times New Roman"/>
          <w:kern w:val="0"/>
          <w:szCs w:val="24"/>
          <w14:ligatures w14:val="none"/>
        </w:rPr>
        <w:t>.</w:t>
      </w:r>
    </w:p>
    <w:p w14:paraId="21B7AE1E" w14:textId="3FAC1F72" w:rsidR="00332AE8" w:rsidRPr="006243B7" w:rsidRDefault="00332AE8" w:rsidP="00332AE8">
      <w:pPr>
        <w:rPr>
          <w:rFonts w:cs="Times New Roman"/>
          <w:kern w:val="0"/>
          <w:szCs w:val="24"/>
          <w14:ligatures w14:val="none"/>
        </w:rPr>
      </w:pPr>
      <w:r w:rsidRPr="006243B7">
        <w:rPr>
          <w:rFonts w:cs="Times New Roman"/>
          <w:kern w:val="0"/>
          <w:szCs w:val="24"/>
          <w14:ligatures w14:val="none"/>
        </w:rPr>
        <w:t xml:space="preserve">[4.1] Apelācijas instances tiesa </w:t>
      </w:r>
      <w:r w:rsidRPr="006243B7">
        <w:rPr>
          <w:kern w:val="0"/>
          <w14:ligatures w14:val="none"/>
        </w:rPr>
        <w:t>nelikumīgi norādījusi, ka tās nolēmums nav pārsūdzams. Tiesa nav ņēmusi vērā, ka pirmās instances tiesa</w:t>
      </w:r>
      <w:r w:rsidRPr="006243B7">
        <w:rPr>
          <w:kern w:val="0"/>
          <w:szCs w:val="24"/>
          <w:lang w:eastAsia="lv-LV"/>
          <w14:ligatures w14:val="none"/>
        </w:rPr>
        <w:t>, neizdarot pierādījumu pārbaudi,</w:t>
      </w:r>
      <w:r w:rsidRPr="006243B7">
        <w:rPr>
          <w:kern w:val="0"/>
          <w14:ligatures w14:val="none"/>
        </w:rPr>
        <w:t xml:space="preserve"> lietu izskatīj</w:t>
      </w:r>
      <w:r>
        <w:rPr>
          <w:kern w:val="0"/>
          <w14:ligatures w14:val="none"/>
        </w:rPr>
        <w:t>usi</w:t>
      </w:r>
      <w:r w:rsidRPr="006243B7">
        <w:rPr>
          <w:kern w:val="0"/>
          <w14:ligatures w14:val="none"/>
        </w:rPr>
        <w:t xml:space="preserve"> 2024. gada 16. septembrī, kad spēkā bija </w:t>
      </w:r>
      <w:r w:rsidRPr="006243B7">
        <w:rPr>
          <w:rFonts w:cs="Times New Roman"/>
          <w:kern w:val="0"/>
          <w:szCs w:val="24"/>
          <w14:ligatures w14:val="none"/>
        </w:rPr>
        <w:t>Kriminālprocesa likuma 4</w:t>
      </w:r>
      <w:r w:rsidR="00622FDC">
        <w:rPr>
          <w:rFonts w:cs="Times New Roman"/>
          <w:kern w:val="0"/>
          <w:szCs w:val="24"/>
          <w14:ligatures w14:val="none"/>
        </w:rPr>
        <w:t>9</w:t>
      </w:r>
      <w:r w:rsidRPr="006243B7">
        <w:rPr>
          <w:rFonts w:cs="Times New Roman"/>
          <w:kern w:val="0"/>
          <w:szCs w:val="24"/>
          <w14:ligatures w14:val="none"/>
        </w:rPr>
        <w:t xml:space="preserve">9. panta ceturtās daļas un 575. panta pirmās daļas 8. punkta </w:t>
      </w:r>
      <w:r w:rsidRPr="0044258E">
        <w:rPr>
          <w:rFonts w:cs="Times New Roman"/>
          <w:kern w:val="0"/>
          <w:szCs w:val="24"/>
          <w14:ligatures w14:val="none"/>
        </w:rPr>
        <w:t>vēsturiskā</w:t>
      </w:r>
      <w:r w:rsidRPr="006243B7">
        <w:rPr>
          <w:rFonts w:cs="Times New Roman"/>
          <w:kern w:val="0"/>
          <w:szCs w:val="24"/>
          <w14:ligatures w14:val="none"/>
        </w:rPr>
        <w:t xml:space="preserve"> redakcija. Tādējādi pirmās instances tiesa apsūdzētajam </w:t>
      </w:r>
      <w:r w:rsidR="00DB5D11">
        <w:rPr>
          <w:rFonts w:cs="Times New Roman"/>
          <w:kern w:val="0"/>
          <w:szCs w:val="24"/>
          <w14:ligatures w14:val="none"/>
        </w:rPr>
        <w:t>[pers. A]</w:t>
      </w:r>
      <w:r w:rsidRPr="006243B7">
        <w:rPr>
          <w:rFonts w:cs="Times New Roman"/>
          <w:kern w:val="0"/>
          <w:szCs w:val="24"/>
          <w14:ligatures w14:val="none"/>
        </w:rPr>
        <w:t xml:space="preserve"> radīj</w:t>
      </w:r>
      <w:r>
        <w:rPr>
          <w:rFonts w:cs="Times New Roman"/>
          <w:kern w:val="0"/>
          <w:szCs w:val="24"/>
          <w14:ligatures w14:val="none"/>
        </w:rPr>
        <w:t>usi</w:t>
      </w:r>
      <w:r w:rsidRPr="006243B7">
        <w:rPr>
          <w:rFonts w:cs="Times New Roman"/>
          <w:kern w:val="0"/>
          <w:szCs w:val="24"/>
          <w14:ligatures w14:val="none"/>
        </w:rPr>
        <w:t xml:space="preserve"> tiesisku pārliecību, ka tiesas nolēmums būs pārsūdzams ne tikai apelācijas instances tiesā, bet arī kasācijas kārtībā. </w:t>
      </w:r>
    </w:p>
    <w:p w14:paraId="1E9F6AA0" w14:textId="27D007C6" w:rsidR="00332AE8" w:rsidRPr="006243B7" w:rsidRDefault="00332AE8" w:rsidP="00332AE8">
      <w:pPr>
        <w:rPr>
          <w:rFonts w:cs="Times New Roman"/>
          <w:kern w:val="0"/>
          <w:szCs w:val="24"/>
          <w14:ligatures w14:val="none"/>
        </w:rPr>
      </w:pPr>
      <w:r w:rsidRPr="006243B7">
        <w:rPr>
          <w:rFonts w:cs="Times New Roman"/>
          <w:kern w:val="0"/>
          <w:szCs w:val="24"/>
          <w14:ligatures w14:val="none"/>
        </w:rPr>
        <w:t xml:space="preserve">Apelācijas instances tiesa, apsūdzētajam </w:t>
      </w:r>
      <w:r w:rsidR="00DB5D11">
        <w:rPr>
          <w:rFonts w:cs="Times New Roman"/>
          <w:kern w:val="0"/>
          <w:szCs w:val="24"/>
          <w14:ligatures w14:val="none"/>
        </w:rPr>
        <w:t>[pers. A]</w:t>
      </w:r>
      <w:r w:rsidRPr="006243B7">
        <w:rPr>
          <w:rFonts w:cs="Times New Roman"/>
          <w:kern w:val="0"/>
          <w:szCs w:val="24"/>
          <w14:ligatures w14:val="none"/>
        </w:rPr>
        <w:t xml:space="preserve"> liedzot tiesības pārsūdzēt nolēmumu kasācijas instances ties</w:t>
      </w:r>
      <w:r>
        <w:rPr>
          <w:rFonts w:cs="Times New Roman"/>
          <w:kern w:val="0"/>
          <w:szCs w:val="24"/>
          <w14:ligatures w14:val="none"/>
        </w:rPr>
        <w:t>ā</w:t>
      </w:r>
      <w:r w:rsidRPr="006243B7">
        <w:rPr>
          <w:rFonts w:cs="Times New Roman"/>
          <w:kern w:val="0"/>
          <w:szCs w:val="24"/>
          <w14:ligatures w14:val="none"/>
        </w:rPr>
        <w:t xml:space="preserve">, ir </w:t>
      </w:r>
      <w:r w:rsidRPr="005B7A10">
        <w:rPr>
          <w:rFonts w:cs="Times New Roman"/>
          <w:kern w:val="0"/>
          <w:szCs w:val="24"/>
          <w14:ligatures w14:val="none"/>
        </w:rPr>
        <w:t xml:space="preserve">pārkāpusi Kriminālprocesa likuma 4. pantu, </w:t>
      </w:r>
      <w:r w:rsidRPr="006243B7">
        <w:rPr>
          <w:rFonts w:cs="Times New Roman"/>
          <w:kern w:val="0"/>
          <w:szCs w:val="24"/>
          <w14:ligatures w14:val="none"/>
        </w:rPr>
        <w:t>499. panta ceturto daļu un 575. panta pirmās daļas 8. punktu (</w:t>
      </w:r>
      <w:r w:rsidRPr="006243B7">
        <w:rPr>
          <w:rFonts w:eastAsia="Times New Roman" w:cs="Times New Roman"/>
          <w:kern w:val="0"/>
          <w:szCs w:val="24"/>
          <w14:ligatures w14:val="none"/>
        </w:rPr>
        <w:t>likuma redakcijā līdz 2024. gada 21</w:t>
      </w:r>
      <w:r w:rsidRPr="00D027EA">
        <w:rPr>
          <w:rFonts w:eastAsia="Times New Roman" w:cs="Times New Roman"/>
          <w:kern w:val="0"/>
          <w:szCs w:val="24"/>
          <w14:ligatures w14:val="none"/>
        </w:rPr>
        <w:t>. oktobrim).</w:t>
      </w:r>
      <w:r w:rsidRPr="006243B7">
        <w:rPr>
          <w:rFonts w:cs="Times New Roman"/>
          <w:kern w:val="0"/>
          <w:szCs w:val="24"/>
          <w14:ligatures w14:val="none"/>
        </w:rPr>
        <w:t xml:space="preserve"> Minētie likuma pārkāpumi ir būtiski Kriminālprocesa likuma 575. panta trešās daļas izpratnē, jo noveduši pie nelikumīga nolēmuma un </w:t>
      </w:r>
      <w:r>
        <w:t xml:space="preserve">Latvijas Republikas </w:t>
      </w:r>
      <w:r w:rsidRPr="006243B7">
        <w:rPr>
          <w:rFonts w:cs="Times New Roman"/>
          <w:kern w:val="0"/>
          <w:szCs w:val="24"/>
          <w14:ligatures w14:val="none"/>
        </w:rPr>
        <w:t>Satversmes</w:t>
      </w:r>
      <w:r>
        <w:rPr>
          <w:rFonts w:cs="Times New Roman"/>
          <w:kern w:val="0"/>
          <w:szCs w:val="24"/>
          <w14:ligatures w14:val="none"/>
        </w:rPr>
        <w:t xml:space="preserve"> (turpmāk – Satversme)</w:t>
      </w:r>
      <w:r w:rsidRPr="006243B7">
        <w:rPr>
          <w:rFonts w:cs="Times New Roman"/>
          <w:kern w:val="0"/>
          <w:szCs w:val="24"/>
          <w14:ligatures w14:val="none"/>
        </w:rPr>
        <w:t xml:space="preserve"> 92. pantā noteikto pamattiesību uz taisnīgu tiesu pārkāpuma,</w:t>
      </w:r>
      <w:r>
        <w:rPr>
          <w:rFonts w:cs="Times New Roman"/>
          <w:kern w:val="0"/>
          <w:szCs w:val="24"/>
          <w14:ligatures w14:val="none"/>
        </w:rPr>
        <w:t xml:space="preserve"> </w:t>
      </w:r>
      <w:r w:rsidR="005B7A10">
        <w:rPr>
          <w:rFonts w:cs="Times New Roman"/>
          <w:kern w:val="0"/>
          <w:szCs w:val="24"/>
          <w14:ligatures w14:val="none"/>
        </w:rPr>
        <w:t xml:space="preserve">liedzot tiesas nolēmuma </w:t>
      </w:r>
      <w:r w:rsidRPr="000069C3">
        <w:rPr>
          <w:rFonts w:cs="Times New Roman"/>
          <w:kern w:val="0"/>
          <w:szCs w:val="24"/>
          <w14:ligatures w14:val="none"/>
        </w:rPr>
        <w:t>pārsūdzību augstākā tiesu instancē</w:t>
      </w:r>
      <w:r>
        <w:rPr>
          <w:rFonts w:cs="Times New Roman"/>
          <w:kern w:val="0"/>
          <w:szCs w:val="24"/>
          <w14:ligatures w14:val="none"/>
        </w:rPr>
        <w:t xml:space="preserve">. Tādējādi </w:t>
      </w:r>
      <w:r w:rsidRPr="006243B7">
        <w:rPr>
          <w:rFonts w:cs="Times New Roman"/>
          <w:kern w:val="0"/>
          <w:szCs w:val="24"/>
          <w14:ligatures w14:val="none"/>
        </w:rPr>
        <w:t xml:space="preserve">apsūdzētā </w:t>
      </w:r>
      <w:r w:rsidR="00DB5D11">
        <w:rPr>
          <w:rFonts w:cs="Times New Roman"/>
          <w:kern w:val="0"/>
          <w:szCs w:val="24"/>
          <w14:ligatures w14:val="none"/>
        </w:rPr>
        <w:t>[pers. A]</w:t>
      </w:r>
      <w:r w:rsidRPr="006243B7">
        <w:rPr>
          <w:rFonts w:cs="Times New Roman"/>
          <w:kern w:val="0"/>
          <w:szCs w:val="24"/>
          <w14:ligatures w14:val="none"/>
        </w:rPr>
        <w:t xml:space="preserve"> stāvok</w:t>
      </w:r>
      <w:r>
        <w:rPr>
          <w:rFonts w:cs="Times New Roman"/>
          <w:kern w:val="0"/>
          <w:szCs w:val="24"/>
          <w14:ligatures w14:val="none"/>
        </w:rPr>
        <w:t>lis nelikumīgi pasliktināts.</w:t>
      </w:r>
    </w:p>
    <w:p w14:paraId="269CA274" w14:textId="32BEEB87" w:rsidR="00E13BFF" w:rsidRPr="00661942" w:rsidRDefault="00332AE8" w:rsidP="00332AE8">
      <w:pPr>
        <w:rPr>
          <w:rFonts w:cs="Times New Roman"/>
          <w:kern w:val="0"/>
          <w:szCs w:val="24"/>
          <w14:ligatures w14:val="none"/>
        </w:rPr>
      </w:pPr>
      <w:r w:rsidRPr="006243B7">
        <w:rPr>
          <w:rFonts w:cs="Times New Roman"/>
          <w:kern w:val="0"/>
          <w:szCs w:val="24"/>
          <w14:ligatures w14:val="none"/>
        </w:rPr>
        <w:t>[4.2] </w:t>
      </w:r>
      <w:r w:rsidRPr="00661942">
        <w:rPr>
          <w:rFonts w:cs="Times New Roman"/>
          <w:kern w:val="0"/>
          <w:szCs w:val="24"/>
          <w14:ligatures w14:val="none"/>
        </w:rPr>
        <w:t>Apelācijas instances tiesa nepareizi piemērojusi Krimināllikuma 46. panta otro daļu, jo</w:t>
      </w:r>
      <w:r w:rsidR="002B0B34" w:rsidRPr="00661942">
        <w:rPr>
          <w:rFonts w:cs="Times New Roman"/>
          <w:kern w:val="0"/>
          <w:szCs w:val="24"/>
          <w14:ligatures w14:val="none"/>
        </w:rPr>
        <w:t xml:space="preserve"> </w:t>
      </w:r>
      <w:r w:rsidR="00EA4E56" w:rsidRPr="00661942">
        <w:rPr>
          <w:rFonts w:cs="Times New Roman"/>
          <w:kern w:val="0"/>
          <w:szCs w:val="24"/>
          <w14:ligatures w14:val="none"/>
        </w:rPr>
        <w:t>nav vērtējusi apelācijas sūdzības argumentus par pirmās instances tiesa</w:t>
      </w:r>
      <w:r w:rsidR="00E13BFF" w:rsidRPr="00661942">
        <w:rPr>
          <w:rFonts w:cs="Times New Roman"/>
          <w:kern w:val="0"/>
          <w:szCs w:val="24"/>
          <w14:ligatures w14:val="none"/>
        </w:rPr>
        <w:t xml:space="preserve">s </w:t>
      </w:r>
      <w:r w:rsidRPr="00661942">
        <w:rPr>
          <w:rFonts w:cs="Times New Roman"/>
          <w:kern w:val="0"/>
          <w:szCs w:val="24"/>
          <w14:ligatures w14:val="none"/>
        </w:rPr>
        <w:t>pretrunīg</w:t>
      </w:r>
      <w:r w:rsidR="00E13BFF" w:rsidRPr="00661942">
        <w:rPr>
          <w:rFonts w:cs="Times New Roman"/>
          <w:kern w:val="0"/>
          <w:szCs w:val="24"/>
          <w14:ligatures w14:val="none"/>
        </w:rPr>
        <w:t xml:space="preserve">ajiem </w:t>
      </w:r>
      <w:r w:rsidRPr="00661942">
        <w:rPr>
          <w:rFonts w:cs="Times New Roman"/>
          <w:kern w:val="0"/>
          <w:szCs w:val="24"/>
          <w14:ligatures w14:val="none"/>
        </w:rPr>
        <w:t>atzinum</w:t>
      </w:r>
      <w:r w:rsidR="00E13BFF" w:rsidRPr="00661942">
        <w:rPr>
          <w:rFonts w:cs="Times New Roman"/>
          <w:kern w:val="0"/>
          <w:szCs w:val="24"/>
          <w14:ligatures w14:val="none"/>
        </w:rPr>
        <w:t>iem</w:t>
      </w:r>
      <w:r w:rsidR="00661942" w:rsidRPr="00661942">
        <w:rPr>
          <w:rFonts w:cs="Times New Roman"/>
          <w:kern w:val="0"/>
          <w:szCs w:val="24"/>
          <w14:ligatures w14:val="none"/>
        </w:rPr>
        <w:t>, nosakot apsūdzētajam soda veidu un mēru, kā arī</w:t>
      </w:r>
      <w:r w:rsidR="002B0B34" w:rsidRPr="00661942">
        <w:rPr>
          <w:rFonts w:cs="Times New Roman"/>
          <w:kern w:val="0"/>
          <w:szCs w:val="24"/>
          <w14:ligatures w14:val="none"/>
        </w:rPr>
        <w:t xml:space="preserve"> </w:t>
      </w:r>
      <w:r w:rsidR="00B72438" w:rsidRPr="00661942">
        <w:rPr>
          <w:rFonts w:cs="Times New Roman"/>
          <w:kern w:val="0"/>
          <w:szCs w:val="24"/>
          <w14:ligatures w14:val="none"/>
        </w:rPr>
        <w:t xml:space="preserve">nav ņēmusi vērā </w:t>
      </w:r>
      <w:r w:rsidRPr="00661942">
        <w:rPr>
          <w:rFonts w:cs="Times New Roman"/>
          <w:kern w:val="0"/>
          <w:szCs w:val="24"/>
          <w14:ligatures w14:val="none"/>
        </w:rPr>
        <w:t>ziņ</w:t>
      </w:r>
      <w:r w:rsidR="00B72438" w:rsidRPr="00661942">
        <w:rPr>
          <w:rFonts w:cs="Times New Roman"/>
          <w:kern w:val="0"/>
          <w:szCs w:val="24"/>
          <w14:ligatures w14:val="none"/>
        </w:rPr>
        <w:t>as</w:t>
      </w:r>
      <w:r w:rsidR="00E13BFF" w:rsidRPr="00661942">
        <w:rPr>
          <w:rFonts w:cs="Times New Roman"/>
          <w:kern w:val="0"/>
          <w:szCs w:val="24"/>
          <w14:ligatures w14:val="none"/>
        </w:rPr>
        <w:t xml:space="preserve"> par </w:t>
      </w:r>
      <w:r w:rsidR="00661942" w:rsidRPr="00661942">
        <w:rPr>
          <w:rFonts w:cs="Times New Roman"/>
          <w:kern w:val="0"/>
          <w:szCs w:val="24"/>
          <w14:ligatures w14:val="none"/>
        </w:rPr>
        <w:t xml:space="preserve">apsūdzētā </w:t>
      </w:r>
      <w:r w:rsidR="00E13BFF" w:rsidRPr="00661942">
        <w:rPr>
          <w:rFonts w:cs="Times New Roman"/>
          <w:kern w:val="0"/>
          <w:szCs w:val="24"/>
          <w14:ligatures w14:val="none"/>
        </w:rPr>
        <w:t>ģimenes stāvokli, apgādībā esošo bērnu un bērna mātes veselības stāvokli.</w:t>
      </w:r>
    </w:p>
    <w:p w14:paraId="62E6AB8E" w14:textId="77777777" w:rsidR="00332AE8" w:rsidRPr="006243B7" w:rsidRDefault="00332AE8" w:rsidP="00332AE8">
      <w:pPr>
        <w:ind w:firstLine="0"/>
        <w:jc w:val="center"/>
        <w:rPr>
          <w:rFonts w:cs="Times New Roman"/>
          <w:kern w:val="0"/>
          <w:szCs w:val="24"/>
          <w14:ligatures w14:val="none"/>
        </w:rPr>
      </w:pPr>
    </w:p>
    <w:p w14:paraId="46506225" w14:textId="77777777" w:rsidR="00332AE8" w:rsidRPr="006243B7" w:rsidRDefault="00332AE8" w:rsidP="00332AE8">
      <w:pPr>
        <w:ind w:firstLine="0"/>
        <w:jc w:val="center"/>
        <w:rPr>
          <w:rFonts w:cs="Times New Roman"/>
          <w:b/>
          <w:kern w:val="0"/>
          <w:szCs w:val="24"/>
          <w14:ligatures w14:val="none"/>
        </w:rPr>
      </w:pPr>
      <w:r w:rsidRPr="006243B7">
        <w:rPr>
          <w:rFonts w:cs="Times New Roman"/>
          <w:b/>
          <w:kern w:val="0"/>
          <w:szCs w:val="24"/>
          <w14:ligatures w14:val="none"/>
        </w:rPr>
        <w:t>Motīvu daļa</w:t>
      </w:r>
    </w:p>
    <w:p w14:paraId="14D1ED13" w14:textId="77777777" w:rsidR="00332AE8" w:rsidRPr="006243B7" w:rsidRDefault="00332AE8" w:rsidP="00332AE8">
      <w:pPr>
        <w:ind w:firstLine="0"/>
        <w:rPr>
          <w:rFonts w:cs="Times New Roman"/>
          <w:kern w:val="0"/>
          <w:szCs w:val="24"/>
          <w14:ligatures w14:val="none"/>
        </w:rPr>
      </w:pPr>
    </w:p>
    <w:p w14:paraId="013F02E0" w14:textId="6EE6DCCC" w:rsidR="00931A50" w:rsidRDefault="00332AE8" w:rsidP="00931A50">
      <w:pPr>
        <w:rPr>
          <w:rFonts w:cs="Times New Roman"/>
          <w:kern w:val="0"/>
          <w:szCs w:val="24"/>
          <w14:ligatures w14:val="none"/>
        </w:rPr>
      </w:pPr>
      <w:r w:rsidRPr="006243B7">
        <w:rPr>
          <w:rFonts w:cs="Times New Roman"/>
          <w:kern w:val="0"/>
          <w:szCs w:val="24"/>
          <w14:ligatures w14:val="none"/>
        </w:rPr>
        <w:t>[5] </w:t>
      </w:r>
      <w:r>
        <w:rPr>
          <w:rFonts w:cs="Times New Roman"/>
          <w:kern w:val="0"/>
          <w:szCs w:val="24"/>
          <w14:ligatures w14:val="none"/>
        </w:rPr>
        <w:t>Senāts konstatē, ka k</w:t>
      </w:r>
      <w:r w:rsidRPr="006243B7">
        <w:rPr>
          <w:rFonts w:cs="Times New Roman"/>
          <w:kern w:val="0"/>
          <w:szCs w:val="24"/>
          <w14:ligatures w14:val="none"/>
        </w:rPr>
        <w:t>asācijas instances tiesas kompetencē ir sniegt atbildi, vai</w:t>
      </w:r>
      <w:r w:rsidR="00931A50">
        <w:rPr>
          <w:rFonts w:cs="Times New Roman"/>
          <w:kern w:val="0"/>
          <w:szCs w:val="24"/>
          <w14:ligatures w14:val="none"/>
        </w:rPr>
        <w:t xml:space="preserve"> Kriminālprocesa likuma spēks laikā garantē personai nemainīgu tiesību apjomu visā kriminālprocesa gaitā.</w:t>
      </w:r>
    </w:p>
    <w:p w14:paraId="61042E3B" w14:textId="77777777" w:rsidR="00931A50" w:rsidRDefault="00931A50" w:rsidP="00931A50">
      <w:pPr>
        <w:rPr>
          <w:rFonts w:cs="Times New Roman"/>
          <w:kern w:val="0"/>
          <w:szCs w:val="24"/>
          <w14:ligatures w14:val="none"/>
        </w:rPr>
      </w:pPr>
      <w:r w:rsidRPr="00F65544">
        <w:rPr>
          <w:rFonts w:cs="Times New Roman"/>
          <w:kern w:val="0"/>
          <w:szCs w:val="24"/>
          <w14:ligatures w14:val="none"/>
        </w:rPr>
        <w:t xml:space="preserve">[5.1] Kriminālprocesa </w:t>
      </w:r>
      <w:r>
        <w:rPr>
          <w:rFonts w:cs="Times New Roman"/>
          <w:kern w:val="0"/>
          <w:szCs w:val="24"/>
          <w14:ligatures w14:val="none"/>
        </w:rPr>
        <w:t>likuma 4. pants noteic Kriminālprocesa likuma spēku laikā, proti, kriminālprocesa kārtību nosaka tā kriminālprocesa tiesību norma, kura ir spēkā procesuālās darbības izdarīšanas brīdī.</w:t>
      </w:r>
    </w:p>
    <w:p w14:paraId="749F56BB" w14:textId="1BEC8DC8" w:rsidR="00332AE8" w:rsidRDefault="004D4A4B" w:rsidP="008520C9">
      <w:r>
        <w:rPr>
          <w14:ligatures w14:val="none"/>
        </w:rPr>
        <w:t>Senāts norāda, ka jāņem vērā būtiska atšķirība, nosakot materiālo un procesuālo normu spēku laikā.</w:t>
      </w:r>
      <w:r>
        <w:t xml:space="preserve"> Proti, materiālās tiesību normas ir saistītas ar likumā noteiktu </w:t>
      </w:r>
      <w:r w:rsidRPr="00E64C2E">
        <w:t>atbildību par noziedzīgu nodarījumu, un saskaņā ar Krimināllikuma 5. pantu tām raksturīgs krimināltiesību normu atpakaļejoša spēka labvēlības princips, ja vien attiecīg</w:t>
      </w:r>
      <w:r>
        <w:t>aj</w:t>
      </w:r>
      <w:r w:rsidRPr="00E64C2E">
        <w:t xml:space="preserve">ā likumā nav noteikts citādi. </w:t>
      </w:r>
      <w:r w:rsidR="00D97E8E" w:rsidRPr="00E64C2E">
        <w:t xml:space="preserve">Savukārt procesuālo normu spēks </w:t>
      </w:r>
      <w:r w:rsidR="00D97E8E" w:rsidRPr="00D97E8E">
        <w:t xml:space="preserve">laikā nav saistāms ar brīdi, kad izdarīts noziedzīgs nodarījums, bet gan ar veikto procesuālo darbību un šo normu mērķis </w:t>
      </w:r>
      <w:r w:rsidR="00D97E8E" w:rsidRPr="00E64C2E">
        <w:t xml:space="preserve">ir nodrošināt procesuālo kārtību, kādā persona var īstenot un aizsargāt savas subjektīvās tiesības. </w:t>
      </w:r>
      <w:r w:rsidR="00D97E8E" w:rsidRPr="00C731D5">
        <w:t xml:space="preserve">Ja nepieciešams </w:t>
      </w:r>
      <w:r w:rsidR="00D97E8E" w:rsidRPr="00ED5759">
        <w:t xml:space="preserve">nodrošināt </w:t>
      </w:r>
      <w:r w:rsidR="00D97E8E" w:rsidRPr="00C731D5">
        <w:t>vienmērīgu un taisnīgu pāreju</w:t>
      </w:r>
      <w:r w:rsidR="00D97E8E" w:rsidRPr="00ED5759">
        <w:t xml:space="preserve"> no iepriekšējā tiesiskā regulējuma</w:t>
      </w:r>
      <w:r w:rsidR="008520C9">
        <w:t>, likumdevējs var pieņemt pārejas noteikumus.</w:t>
      </w:r>
    </w:p>
    <w:p w14:paraId="5270F652" w14:textId="77777777" w:rsidR="00F65544" w:rsidRDefault="00F65544" w:rsidP="00F65544">
      <w:pPr>
        <w:rPr>
          <w:rFonts w:cs="Times New Roman"/>
          <w:kern w:val="0"/>
          <w:szCs w:val="24"/>
          <w14:ligatures w14:val="none"/>
        </w:rPr>
      </w:pPr>
      <w:r w:rsidRPr="009D3A17">
        <w:lastRenderedPageBreak/>
        <w:t>[5.2] </w:t>
      </w:r>
      <w:r w:rsidRPr="009D3A17">
        <w:rPr>
          <w:rFonts w:cs="Times New Roman"/>
          <w:kern w:val="0"/>
          <w:szCs w:val="24"/>
          <w14:ligatures w14:val="none"/>
        </w:rPr>
        <w:t xml:space="preserve">Kriminālprocesa </w:t>
      </w:r>
      <w:r>
        <w:rPr>
          <w:rFonts w:cs="Times New Roman"/>
          <w:kern w:val="0"/>
          <w:szCs w:val="24"/>
          <w14:ligatures w14:val="none"/>
        </w:rPr>
        <w:t xml:space="preserve">likuma 499. pants nosaka kārtību, kādā tiesa pieņem lēmumu </w:t>
      </w:r>
      <w:r w:rsidRPr="00BD36C5">
        <w:rPr>
          <w:rFonts w:cs="Times New Roman"/>
          <w:kern w:val="0"/>
          <w:szCs w:val="24"/>
          <w14:ligatures w14:val="none"/>
        </w:rPr>
        <w:t>par pierādījumu pārbaudes neizdarīšanu attiecībā uz visu apsūdzību vai tās patstāvīgu daļu</w:t>
      </w:r>
      <w:r>
        <w:rPr>
          <w:rFonts w:cs="Times New Roman"/>
          <w:kern w:val="0"/>
          <w:szCs w:val="24"/>
          <w14:ligatures w14:val="none"/>
        </w:rPr>
        <w:t xml:space="preserve">. Šā panta ceturtā daļa likuma redakcijā līdz 2024. gada 21. oktobrim noteica, ka </w:t>
      </w:r>
      <w:r w:rsidRPr="00831B48">
        <w:rPr>
          <w:rFonts w:cs="Times New Roman"/>
          <w:kern w:val="0"/>
          <w:szCs w:val="24"/>
          <w14:ligatures w14:val="none"/>
        </w:rPr>
        <w:t>„</w:t>
      </w:r>
      <w:r>
        <w:rPr>
          <w:rFonts w:cs="Times New Roman"/>
          <w:kern w:val="0"/>
          <w:szCs w:val="24"/>
          <w14:ligatures w14:val="none"/>
        </w:rPr>
        <w:t> [..]</w:t>
      </w:r>
      <w:r w:rsidRPr="00831B48">
        <w:rPr>
          <w:rFonts w:cs="Times New Roman"/>
          <w:kern w:val="0"/>
          <w:szCs w:val="24"/>
          <w14:ligatures w14:val="none"/>
        </w:rPr>
        <w:t>. Šādu spriedumu apelācijas kārtībā var pārsūdzēt tikai daļā par tiesas piespriesto sodu, kompensāciju,</w:t>
      </w:r>
      <w:r>
        <w:rPr>
          <w:rFonts w:cs="Times New Roman"/>
          <w:kern w:val="0"/>
          <w:szCs w:val="24"/>
          <w14:ligatures w14:val="none"/>
        </w:rPr>
        <w:t xml:space="preserve"> </w:t>
      </w:r>
      <w:r w:rsidRPr="00831B48">
        <w:rPr>
          <w:rFonts w:cs="Times New Roman"/>
          <w:kern w:val="0"/>
          <w:szCs w:val="24"/>
          <w14:ligatures w14:val="none"/>
        </w:rPr>
        <w:t>rīcību ar mantu vai sakarā ar pieļautiem procesa pārkāpumiem</w:t>
      </w:r>
      <w:r>
        <w:rPr>
          <w:rFonts w:cs="Times New Roman"/>
          <w:kern w:val="0"/>
          <w:szCs w:val="24"/>
          <w14:ligatures w14:val="none"/>
        </w:rPr>
        <w:t>”.</w:t>
      </w:r>
    </w:p>
    <w:p w14:paraId="52A69376" w14:textId="77777777" w:rsidR="00F65544" w:rsidRDefault="00F65544" w:rsidP="00F65544">
      <w:pPr>
        <w:rPr>
          <w:rFonts w:cs="Times New Roman"/>
          <w:szCs w:val="24"/>
        </w:rPr>
      </w:pPr>
      <w:r>
        <w:rPr>
          <w:rFonts w:cs="Times New Roman"/>
          <w:kern w:val="0"/>
          <w:szCs w:val="24"/>
          <w14:ligatures w14:val="none"/>
        </w:rPr>
        <w:t>Ar 2024. gada 19. septembra likumu „Grozījumi Kriminālprocesa likumā”, kas stājās spēkā 2024. gada 22. oktobrī, p</w:t>
      </w:r>
      <w:r w:rsidRPr="008A5957">
        <w:rPr>
          <w:rFonts w:cs="Times New Roman"/>
          <w:kern w:val="0"/>
          <w:szCs w:val="24"/>
          <w14:ligatures w14:val="none"/>
        </w:rPr>
        <w:t>apildināt</w:t>
      </w:r>
      <w:r>
        <w:rPr>
          <w:rFonts w:cs="Times New Roman"/>
          <w:kern w:val="0"/>
          <w:szCs w:val="24"/>
          <w14:ligatures w14:val="none"/>
        </w:rPr>
        <w:t>a</w:t>
      </w:r>
      <w:r w:rsidRPr="008A5957">
        <w:rPr>
          <w:rFonts w:cs="Times New Roman"/>
          <w:kern w:val="0"/>
          <w:szCs w:val="24"/>
          <w14:ligatures w14:val="none"/>
        </w:rPr>
        <w:t xml:space="preserve"> </w:t>
      </w:r>
      <w:r>
        <w:t xml:space="preserve">Kriminālprocesa </w:t>
      </w:r>
      <w:r w:rsidRPr="008A5957">
        <w:rPr>
          <w:rFonts w:cs="Times New Roman"/>
          <w:kern w:val="0"/>
          <w:szCs w:val="24"/>
          <w14:ligatures w14:val="none"/>
        </w:rPr>
        <w:t>499. panta ceturt</w:t>
      </w:r>
      <w:r>
        <w:rPr>
          <w:rFonts w:cs="Times New Roman"/>
          <w:kern w:val="0"/>
          <w:szCs w:val="24"/>
          <w14:ligatures w14:val="none"/>
        </w:rPr>
        <w:t xml:space="preserve">ā </w:t>
      </w:r>
      <w:r w:rsidRPr="008A5957">
        <w:rPr>
          <w:rFonts w:cs="Times New Roman"/>
          <w:kern w:val="0"/>
          <w:szCs w:val="24"/>
          <w14:ligatures w14:val="none"/>
        </w:rPr>
        <w:t>daļ</w:t>
      </w:r>
      <w:r>
        <w:rPr>
          <w:rFonts w:cs="Times New Roman"/>
          <w:kern w:val="0"/>
          <w:szCs w:val="24"/>
          <w14:ligatures w14:val="none"/>
        </w:rPr>
        <w:t>a</w:t>
      </w:r>
      <w:r w:rsidRPr="008A5957">
        <w:rPr>
          <w:rFonts w:cs="Times New Roman"/>
          <w:kern w:val="0"/>
          <w:szCs w:val="24"/>
          <w14:ligatures w14:val="none"/>
        </w:rPr>
        <w:t xml:space="preserve"> ar teikumu:</w:t>
      </w:r>
      <w:r>
        <w:rPr>
          <w:rFonts w:cs="Times New Roman"/>
          <w:kern w:val="0"/>
          <w:szCs w:val="24"/>
          <w14:ligatures w14:val="none"/>
        </w:rPr>
        <w:t xml:space="preserve"> „</w:t>
      </w:r>
      <w:r w:rsidRPr="008A5957">
        <w:rPr>
          <w:rFonts w:cs="Times New Roman"/>
          <w:kern w:val="0"/>
          <w:szCs w:val="24"/>
          <w14:ligatures w14:val="none"/>
        </w:rPr>
        <w:t>Apelācijas instances tiesas nolēmums nav pārsūdzams</w:t>
      </w:r>
      <w:r>
        <w:rPr>
          <w:rFonts w:cs="Times New Roman"/>
          <w:kern w:val="0"/>
          <w:szCs w:val="24"/>
          <w14:ligatures w14:val="none"/>
        </w:rPr>
        <w:t xml:space="preserve">”, </w:t>
      </w:r>
      <w:r w:rsidRPr="007C105E">
        <w:rPr>
          <w:rFonts w:cs="Times New Roman"/>
          <w:kern w:val="0"/>
          <w:szCs w:val="24"/>
          <w14:ligatures w14:val="none"/>
        </w:rPr>
        <w:t>kā arī</w:t>
      </w:r>
      <w:r>
        <w:rPr>
          <w:rFonts w:cs="Times New Roman"/>
          <w:kern w:val="0"/>
          <w:szCs w:val="24"/>
          <w14:ligatures w14:val="none"/>
        </w:rPr>
        <w:t xml:space="preserve"> Kriminālprocesa likuma </w:t>
      </w:r>
      <w:r w:rsidRPr="00B71CC5">
        <w:rPr>
          <w:rFonts w:cs="Times New Roman"/>
          <w:szCs w:val="24"/>
        </w:rPr>
        <w:t xml:space="preserve">575. panta pirmajā daļā izslēgts 8. punkts, kas </w:t>
      </w:r>
      <w:r w:rsidRPr="00CE179D">
        <w:rPr>
          <w:rFonts w:cs="Times New Roman"/>
          <w:szCs w:val="24"/>
        </w:rPr>
        <w:t>noteica,</w:t>
      </w:r>
      <w:r w:rsidRPr="00B71CC5">
        <w:rPr>
          <w:rFonts w:cs="Times New Roman"/>
          <w:szCs w:val="24"/>
        </w:rPr>
        <w:t xml:space="preserve"> ka </w:t>
      </w:r>
      <w:r w:rsidRPr="00565930">
        <w:rPr>
          <w:rFonts w:cs="Times New Roman"/>
          <w:szCs w:val="24"/>
        </w:rPr>
        <w:t>Kriminālprocesa likuma būtisk</w:t>
      </w:r>
      <w:r>
        <w:rPr>
          <w:rFonts w:cs="Times New Roman"/>
          <w:szCs w:val="24"/>
        </w:rPr>
        <w:t>s</w:t>
      </w:r>
      <w:r w:rsidRPr="00565930">
        <w:rPr>
          <w:rFonts w:cs="Times New Roman"/>
          <w:szCs w:val="24"/>
        </w:rPr>
        <w:t xml:space="preserve"> pārkāpum</w:t>
      </w:r>
      <w:r>
        <w:rPr>
          <w:rFonts w:cs="Times New Roman"/>
          <w:szCs w:val="24"/>
        </w:rPr>
        <w:t>s</w:t>
      </w:r>
      <w:r w:rsidRPr="00565930">
        <w:rPr>
          <w:rFonts w:cs="Times New Roman"/>
          <w:szCs w:val="24"/>
        </w:rPr>
        <w:t>, kas katrā ziņā izraisa tiesas nolēmuma atcelšanu, ir</w:t>
      </w:r>
      <w:r>
        <w:rPr>
          <w:rFonts w:cs="Times New Roman"/>
          <w:szCs w:val="24"/>
        </w:rPr>
        <w:t xml:space="preserve"> tad, ja</w:t>
      </w:r>
      <w:r w:rsidRPr="00565930">
        <w:rPr>
          <w:rFonts w:cs="Times New Roman"/>
          <w:szCs w:val="24"/>
        </w:rPr>
        <w:t xml:space="preserve"> lieta izskatīta bez pierādījumu pārbaudes, neievērojot šā likuma 499.</w:t>
      </w:r>
      <w:r>
        <w:t> </w:t>
      </w:r>
      <w:r w:rsidRPr="00565930">
        <w:rPr>
          <w:rFonts w:cs="Times New Roman"/>
          <w:szCs w:val="24"/>
        </w:rPr>
        <w:t>panta nosacījumus.</w:t>
      </w:r>
    </w:p>
    <w:p w14:paraId="42FCF15E" w14:textId="0BEFE1E0" w:rsidR="006A7818" w:rsidRPr="006A7818" w:rsidRDefault="00F65544" w:rsidP="006A7818">
      <w:pPr>
        <w:rPr>
          <w:color w:val="C00000"/>
        </w:rPr>
      </w:pPr>
      <w:r w:rsidRPr="009D3A17">
        <w:t>[5.3] </w:t>
      </w:r>
      <w:r w:rsidR="006A7818">
        <w:rPr>
          <w:rFonts w:cs="Times New Roman"/>
          <w:szCs w:val="24"/>
        </w:rPr>
        <w:t>P</w:t>
      </w:r>
      <w:r w:rsidR="006A7818" w:rsidRPr="006243B7">
        <w:rPr>
          <w:rFonts w:cs="Times New Roman"/>
          <w:kern w:val="0"/>
          <w:szCs w:val="24"/>
          <w14:ligatures w14:val="none"/>
        </w:rPr>
        <w:t xml:space="preserve">irmās instances tiesa </w:t>
      </w:r>
      <w:r w:rsidR="006A7818">
        <w:rPr>
          <w:rFonts w:cs="Times New Roman"/>
          <w:kern w:val="0"/>
          <w:szCs w:val="24"/>
          <w14:ligatures w14:val="none"/>
        </w:rPr>
        <w:t xml:space="preserve">lietu apsūdzētā </w:t>
      </w:r>
      <w:r w:rsidR="00DB5D11">
        <w:rPr>
          <w:rFonts w:cs="Times New Roman"/>
          <w:kern w:val="0"/>
          <w:szCs w:val="24"/>
          <w14:ligatures w14:val="none"/>
        </w:rPr>
        <w:t>[pers. A]</w:t>
      </w:r>
      <w:r w:rsidR="006A7818">
        <w:rPr>
          <w:rFonts w:cs="Times New Roman"/>
          <w:kern w:val="0"/>
          <w:szCs w:val="24"/>
          <w14:ligatures w14:val="none"/>
        </w:rPr>
        <w:t xml:space="preserve"> apsūdzībā pēc Krimināllikuma 262.</w:t>
      </w:r>
      <w:r w:rsidR="006A7818">
        <w:rPr>
          <w:rFonts w:cs="Times New Roman"/>
          <w:kern w:val="0"/>
          <w:szCs w:val="24"/>
          <w:vertAlign w:val="superscript"/>
          <w14:ligatures w14:val="none"/>
        </w:rPr>
        <w:t>1 </w:t>
      </w:r>
      <w:r w:rsidR="006A7818">
        <w:rPr>
          <w:rFonts w:cs="Times New Roman"/>
          <w:kern w:val="0"/>
          <w:szCs w:val="24"/>
          <w14:ligatures w14:val="none"/>
        </w:rPr>
        <w:t>panta pirmās daļas izskatījusi</w:t>
      </w:r>
      <w:r w:rsidR="00226899">
        <w:rPr>
          <w:rFonts w:cs="Times New Roman"/>
          <w:kern w:val="0"/>
          <w:szCs w:val="24"/>
          <w14:ligatures w14:val="none"/>
        </w:rPr>
        <w:t xml:space="preserve"> 2024. gada 16. </w:t>
      </w:r>
      <w:r w:rsidR="00226899" w:rsidRPr="00CE179D">
        <w:rPr>
          <w:rFonts w:cs="Times New Roman"/>
          <w:kern w:val="0"/>
          <w:szCs w:val="24"/>
          <w14:ligatures w14:val="none"/>
        </w:rPr>
        <w:t>septembrī</w:t>
      </w:r>
      <w:r w:rsidR="006A7818" w:rsidRPr="00D027EA">
        <w:rPr>
          <w:rFonts w:cs="Times New Roman"/>
          <w:kern w:val="0"/>
          <w:szCs w:val="24"/>
          <w14:ligatures w14:val="none"/>
        </w:rPr>
        <w:t>, neizdarot pierādījumu pārbaudi</w:t>
      </w:r>
      <w:r w:rsidR="00226899">
        <w:rPr>
          <w:rFonts w:cs="Times New Roman"/>
          <w:kern w:val="0"/>
          <w:szCs w:val="24"/>
          <w14:ligatures w14:val="none"/>
        </w:rPr>
        <w:t>. Tiesa</w:t>
      </w:r>
      <w:r w:rsidR="006A7818">
        <w:rPr>
          <w:rFonts w:cs="Times New Roman"/>
          <w:kern w:val="0"/>
          <w:szCs w:val="24"/>
          <w14:ligatures w14:val="none"/>
        </w:rPr>
        <w:t xml:space="preserve"> </w:t>
      </w:r>
      <w:r w:rsidR="006A7818" w:rsidRPr="00CE179D">
        <w:rPr>
          <w:rFonts w:cs="Times New Roman"/>
          <w:kern w:val="0"/>
          <w:szCs w:val="24"/>
          <w14:ligatures w14:val="none"/>
        </w:rPr>
        <w:t>atzinusi</w:t>
      </w:r>
      <w:r w:rsidR="006A7818">
        <w:rPr>
          <w:rFonts w:cs="Times New Roman"/>
          <w:kern w:val="0"/>
          <w:szCs w:val="24"/>
          <w14:ligatures w14:val="none"/>
        </w:rPr>
        <w:t xml:space="preserve">, ka </w:t>
      </w:r>
      <w:r w:rsidR="00DB5D11">
        <w:rPr>
          <w:rFonts w:cs="Times New Roman"/>
          <w:kern w:val="0"/>
          <w:szCs w:val="24"/>
          <w14:ligatures w14:val="none"/>
        </w:rPr>
        <w:t>[pers. A]</w:t>
      </w:r>
      <w:r w:rsidR="006A7818">
        <w:rPr>
          <w:rFonts w:cs="Times New Roman"/>
          <w:kern w:val="0"/>
          <w:szCs w:val="24"/>
          <w14:ligatures w14:val="none"/>
        </w:rPr>
        <w:t xml:space="preserve"> vainīgums inkriminētajā noziedzīgajā nodarījumā ir pilnībā pierādīts, un </w:t>
      </w:r>
      <w:r w:rsidR="00226899">
        <w:rPr>
          <w:rFonts w:cs="Times New Roman"/>
          <w:kern w:val="0"/>
          <w:szCs w:val="24"/>
          <w14:ligatures w14:val="none"/>
        </w:rPr>
        <w:t xml:space="preserve">viņu </w:t>
      </w:r>
      <w:r w:rsidR="006A7818">
        <w:rPr>
          <w:rFonts w:cs="Times New Roman"/>
          <w:kern w:val="0"/>
          <w:szCs w:val="24"/>
          <w14:ligatures w14:val="none"/>
        </w:rPr>
        <w:t>sodījusi ar īslaicīgu brīvības atņemšanu uz 1 mēnesi, atņemot transportlīdzekļa vadīšanas tiesības uz 5 gadiem.</w:t>
      </w:r>
    </w:p>
    <w:p w14:paraId="46D669C7" w14:textId="77777777" w:rsidR="007B10E1" w:rsidRDefault="007B10E1" w:rsidP="007B10E1">
      <w:pPr>
        <w:rPr>
          <w:rFonts w:cs="Times New Roman"/>
          <w:kern w:val="0"/>
          <w:szCs w:val="24"/>
          <w14:ligatures w14:val="none"/>
        </w:rPr>
      </w:pPr>
      <w:r>
        <w:rPr>
          <w:rFonts w:cs="Times New Roman"/>
          <w:kern w:val="0"/>
          <w:szCs w:val="24"/>
          <w14:ligatures w14:val="none"/>
        </w:rPr>
        <w:t xml:space="preserve">Lieta apelācijas instances tiesā izskatīta 2025. gada 14. janvārī sakarā ar apsūdzētā un viņa aizstāvja iesniegtajām apelācijas sūdzībām par Latgales rajona tiesas 2024. gada 16. septembra spriedumu daļā par apsūdzētajam noteikto sodu un pieļautiem </w:t>
      </w:r>
      <w:r w:rsidRPr="00653F6B">
        <w:rPr>
          <w:rFonts w:cs="Times New Roman"/>
          <w:kern w:val="0"/>
          <w:szCs w:val="24"/>
          <w14:ligatures w14:val="none"/>
        </w:rPr>
        <w:t>procesa</w:t>
      </w:r>
      <w:r>
        <w:rPr>
          <w:rFonts w:cs="Times New Roman"/>
          <w:kern w:val="0"/>
          <w:szCs w:val="24"/>
          <w14:ligatures w14:val="none"/>
        </w:rPr>
        <w:t xml:space="preserve"> pārkāpumiem.</w:t>
      </w:r>
    </w:p>
    <w:p w14:paraId="2E9D1F00" w14:textId="29BDBCCD" w:rsidR="004C2FBF" w:rsidRPr="00CB1CC4" w:rsidRDefault="007B10E1" w:rsidP="004C2FBF">
      <w:pPr>
        <w:rPr>
          <w:rFonts w:cs="Times New Roman"/>
          <w:kern w:val="0"/>
          <w:szCs w:val="24"/>
          <w14:ligatures w14:val="none"/>
        </w:rPr>
      </w:pPr>
      <w:r w:rsidRPr="004C2FBF">
        <w:t xml:space="preserve">Senāts konstatē, ka grozījumi </w:t>
      </w:r>
      <w:r w:rsidRPr="004C2FBF">
        <w:rPr>
          <w:rFonts w:cs="Times New Roman"/>
          <w:kern w:val="0"/>
          <w:szCs w:val="24"/>
          <w14:ligatures w14:val="none"/>
        </w:rPr>
        <w:t xml:space="preserve">Kriminālprocesa likuma 499. panta ceturtajā daļā un </w:t>
      </w:r>
      <w:r w:rsidR="00C165FC" w:rsidRPr="004C2FBF">
        <w:rPr>
          <w:rFonts w:cs="Times New Roman"/>
          <w:kern w:val="0"/>
          <w:szCs w:val="24"/>
          <w14:ligatures w14:val="none"/>
        </w:rPr>
        <w:t xml:space="preserve">575. panta pirmās daļas 8. punktā pieņemti ar 2024. gada 19. septembra likumu, proti, pēc pirmās instances tiesas sprieduma taisīšanas. Likumdevējs pārejas noteikumus par šo procesuālo normu piemērošanas kārtību netika noteicis.  Savukārt laikā, kad lieta izskatīta apelācijas </w:t>
      </w:r>
      <w:r w:rsidRPr="004C2FBF">
        <w:rPr>
          <w:rFonts w:cs="Times New Roman"/>
          <w:kern w:val="0"/>
          <w:szCs w:val="24"/>
          <w14:ligatures w14:val="none"/>
        </w:rPr>
        <w:t>instances tiesā</w:t>
      </w:r>
      <w:r w:rsidR="004C2FBF" w:rsidRPr="004C2FBF">
        <w:rPr>
          <w:rFonts w:cs="Times New Roman"/>
          <w:kern w:val="0"/>
          <w:szCs w:val="24"/>
          <w14:ligatures w14:val="none"/>
        </w:rPr>
        <w:t>, minētie grozījumi jau bija stājušies spēkā.</w:t>
      </w:r>
      <w:r w:rsidR="00CB1CC4">
        <w:rPr>
          <w:rFonts w:cs="Times New Roman"/>
          <w:kern w:val="0"/>
          <w:szCs w:val="24"/>
          <w14:ligatures w14:val="none"/>
        </w:rPr>
        <w:t xml:space="preserve"> </w:t>
      </w:r>
      <w:r w:rsidR="00CB1CC4" w:rsidRPr="00C76865">
        <w:t>Turklāt, ievērojot izdarītos grozījumus Kriminālprocesa likuma 499.</w:t>
      </w:r>
      <w:r w:rsidR="009D39E1" w:rsidRPr="00C76865">
        <w:t> </w:t>
      </w:r>
      <w:r w:rsidR="00CB1CC4" w:rsidRPr="00C76865">
        <w:t xml:space="preserve">panta ceturtajā daļā, likumdevējs ir grozījis šā likuma 662. panta pirmo daļu, paredzot, ka pēc </w:t>
      </w:r>
      <w:r w:rsidR="009D39E1" w:rsidRPr="00C76865">
        <w:t xml:space="preserve">Kriminālprocesa likuma </w:t>
      </w:r>
      <w:r w:rsidR="00CB1CC4" w:rsidRPr="00C76865">
        <w:t>663.</w:t>
      </w:r>
      <w:r w:rsidR="00C76865" w:rsidRPr="00C76865">
        <w:t> </w:t>
      </w:r>
      <w:r w:rsidR="00CB1CC4" w:rsidRPr="00C76865">
        <w:t>pantā minēto personu pieteikuma vai protesta spēkā stājušos tiesas nolēmumus, kas nav pārsūdzami kasācijas kārtībā, var izskatīt no jauna sakarā ar materiālo vai procesuālo likuma normu būtisku pārkāpumu.</w:t>
      </w:r>
    </w:p>
    <w:p w14:paraId="477F690D" w14:textId="77777777" w:rsidR="00C76865" w:rsidRDefault="004C2FBF" w:rsidP="00C76865">
      <w:pPr>
        <w:rPr>
          <w:rFonts w:cs="Times New Roman"/>
          <w:kern w:val="0"/>
          <w:szCs w:val="24"/>
          <w14:ligatures w14:val="none"/>
        </w:rPr>
      </w:pPr>
      <w:r w:rsidRPr="009D3A17">
        <w:t>[5.4] </w:t>
      </w:r>
      <w:r w:rsidRPr="009D3A17">
        <w:rPr>
          <w:rFonts w:cs="Times New Roman"/>
          <w:kern w:val="0"/>
          <w:szCs w:val="24"/>
          <w14:ligatures w14:val="none"/>
        </w:rPr>
        <w:t xml:space="preserve">Satversmes </w:t>
      </w:r>
      <w:r w:rsidRPr="00C84B09">
        <w:rPr>
          <w:rFonts w:cs="Times New Roman"/>
          <w:kern w:val="0"/>
          <w:szCs w:val="24"/>
          <w14:ligatures w14:val="none"/>
        </w:rPr>
        <w:t>92.</w:t>
      </w:r>
      <w:r>
        <w:rPr>
          <w:rFonts w:cs="Times New Roman"/>
          <w:kern w:val="0"/>
          <w:szCs w:val="24"/>
          <w14:ligatures w14:val="none"/>
        </w:rPr>
        <w:t> </w:t>
      </w:r>
      <w:r w:rsidRPr="00C84B09">
        <w:rPr>
          <w:rFonts w:cs="Times New Roman"/>
          <w:kern w:val="0"/>
          <w:szCs w:val="24"/>
          <w14:ligatures w14:val="none"/>
        </w:rPr>
        <w:t>pants</w:t>
      </w:r>
      <w:r>
        <w:rPr>
          <w:rFonts w:cs="Times New Roman"/>
          <w:kern w:val="0"/>
          <w:szCs w:val="24"/>
          <w14:ligatures w14:val="none"/>
        </w:rPr>
        <w:t xml:space="preserve"> noteic, ka i</w:t>
      </w:r>
      <w:r w:rsidRPr="00C84B09">
        <w:rPr>
          <w:rFonts w:cs="Times New Roman"/>
          <w:kern w:val="0"/>
          <w:szCs w:val="24"/>
          <w14:ligatures w14:val="none"/>
        </w:rPr>
        <w:t>kviens var aizstāvēt savas tiesības un likumiskās intereses taisnīgā tiesā. Ikviens uzskatāms par nevainīgu, iekams viņa vaina nav atzīta saskaņā ar likumu. Nepamatota tiesību aizskāruma gadījumā ikvienam ir tiesības uz atbilstīgu atlīdzinājumu. Ikvienam ir tiesības uz advokāta palīdzību</w:t>
      </w:r>
      <w:r w:rsidR="00C76865">
        <w:rPr>
          <w:rFonts w:cs="Times New Roman"/>
          <w:kern w:val="0"/>
          <w:szCs w:val="24"/>
          <w14:ligatures w14:val="none"/>
        </w:rPr>
        <w:t>.</w:t>
      </w:r>
    </w:p>
    <w:p w14:paraId="117903FF" w14:textId="746E5352" w:rsidR="00C76865" w:rsidRPr="00C76865" w:rsidRDefault="004C2FBF" w:rsidP="00C76865">
      <w:pPr>
        <w:rPr>
          <w:color w:val="FF0000"/>
        </w:rPr>
      </w:pPr>
      <w:r w:rsidRPr="006959D1">
        <w:t>Satversmes tiesa ir uzsvērusi, ka Satversmes 92.</w:t>
      </w:r>
      <w:r>
        <w:t> </w:t>
      </w:r>
      <w:r w:rsidRPr="006959D1">
        <w:t>pants neparedz valstij pienākumu visās lietās noteikt personai iespēju spriedumu pārsūdzēt kasācijas kārtībā.</w:t>
      </w:r>
      <w:r>
        <w:t xml:space="preserve"> </w:t>
      </w:r>
      <w:r w:rsidRPr="006959D1">
        <w:t>Likumdevējam ir plaša rīcības brīvība pieņemt procesuālos likumus un noteikt lietu kategorijas, kuras attiecīgajos procesos tiek skatītas, kā arī</w:t>
      </w:r>
      <w:r>
        <w:t xml:space="preserve"> </w:t>
      </w:r>
      <w:r w:rsidRPr="006959D1">
        <w:t>lemt par dažādu kategoriju lietu izskatīšanas kārtību (</w:t>
      </w:r>
      <w:r w:rsidRPr="007C105E">
        <w:rPr>
          <w:i/>
          <w:iCs/>
        </w:rPr>
        <w:t>Satversmes tiesas 2018. gada 15. marta spriedums lietā Nr. </w:t>
      </w:r>
      <w:hyperlink r:id="rId6" w:anchor="search=2017-16-01" w:history="1">
        <w:r w:rsidRPr="007C105E">
          <w:rPr>
            <w:rStyle w:val="Hyperlink"/>
            <w:i/>
            <w:iCs/>
          </w:rPr>
          <w:t>2017-16-01</w:t>
        </w:r>
      </w:hyperlink>
      <w:r w:rsidRPr="007C105E">
        <w:rPr>
          <w:i/>
          <w:iCs/>
        </w:rPr>
        <w:t>, 11.1. punkts</w:t>
      </w:r>
      <w:r w:rsidRPr="006959D1">
        <w:t>)</w:t>
      </w:r>
      <w:r w:rsidR="00C76865">
        <w:t>.</w:t>
      </w:r>
    </w:p>
    <w:p w14:paraId="74465665" w14:textId="1A5169B7" w:rsidR="00294E8C" w:rsidRPr="00C76865" w:rsidRDefault="00294E8C" w:rsidP="00C76865">
      <w:pPr>
        <w:rPr>
          <w:color w:val="C00000"/>
        </w:rPr>
      </w:pPr>
      <w:r w:rsidRPr="00EE76EB">
        <w:t>[5.5] Senāts norāda</w:t>
      </w:r>
      <w:r>
        <w:t xml:space="preserve">, ka </w:t>
      </w:r>
      <w:r w:rsidR="00477C3E">
        <w:t>K</w:t>
      </w:r>
      <w:r>
        <w:t xml:space="preserve">riminālprocesa likuma spēks laikā nenozīmē to, ka visā kriminālprocesa laikā personai tiks garantētas tiesības uz nemainīgu kriminālprocesa norisi. </w:t>
      </w:r>
      <w:r w:rsidRPr="004F5063">
        <w:t>Piemērojamā procesuālā norma nosakāma attiecībā uz konkrētu kriminālprocesuālu darbību, nevis attiecībā uz visu procesu vai kādu tā stadiju</w:t>
      </w:r>
      <w:r>
        <w:t>.</w:t>
      </w:r>
    </w:p>
    <w:p w14:paraId="69358041" w14:textId="583DC061" w:rsidR="00C15F2F" w:rsidRDefault="00C15F2F" w:rsidP="00C15F2F">
      <w:r w:rsidRPr="005D258A">
        <w:lastRenderedPageBreak/>
        <w:t xml:space="preserve">Ievērojot iepriekš norādīto apsvērumu kopumu, </w:t>
      </w:r>
      <w:r w:rsidRPr="005D258A">
        <w:rPr>
          <w:rFonts w:eastAsia="Times New Roman" w:cs="Times New Roman"/>
          <w:kern w:val="0"/>
          <w:szCs w:val="24"/>
          <w:lang w:eastAsia="lv-LV"/>
          <w14:ligatures w14:val="none"/>
        </w:rPr>
        <w:t xml:space="preserve">Senāts </w:t>
      </w:r>
      <w:r w:rsidRPr="005D258A">
        <w:t>atzīst, ka izskatāmajā lietā nav konstatējami Satversmes 92. panta pārkāpumi</w:t>
      </w:r>
      <w:r>
        <w:t>, kā arī</w:t>
      </w:r>
      <w:r w:rsidRPr="00C15F2F">
        <w:t xml:space="preserve"> </w:t>
      </w:r>
      <w:r>
        <w:t xml:space="preserve">apelācijas instances tiesa nav pārkāpusi </w:t>
      </w:r>
      <w:r w:rsidRPr="005D258A">
        <w:t>Kriminālprocesa likuma 4. pantu</w:t>
      </w:r>
      <w:r>
        <w:t xml:space="preserve">, un </w:t>
      </w:r>
      <w:r w:rsidRPr="005D258A">
        <w:t>atbilst</w:t>
      </w:r>
      <w:r>
        <w:t>oši</w:t>
      </w:r>
      <w:r w:rsidRPr="005D258A">
        <w:t xml:space="preserve"> Kriminālprocesa likuma 499. panta ceturtajai daļai</w:t>
      </w:r>
      <w:r>
        <w:t xml:space="preserve"> </w:t>
      </w:r>
      <w:r w:rsidRPr="009D39E1">
        <w:t>(2024. gada 19. septembra likuma redakcijā)</w:t>
      </w:r>
      <w:r>
        <w:t xml:space="preserve"> pamatoti norādījusi, ka</w:t>
      </w:r>
      <w:r w:rsidRPr="005D258A">
        <w:t xml:space="preserve"> </w:t>
      </w:r>
      <w:r>
        <w:t xml:space="preserve">tiesas </w:t>
      </w:r>
      <w:r w:rsidRPr="005D258A">
        <w:t>nolēmums nav pārsūdzams</w:t>
      </w:r>
      <w:r>
        <w:t>.</w:t>
      </w:r>
    </w:p>
    <w:p w14:paraId="230A9249" w14:textId="77777777" w:rsidR="00F12E14" w:rsidRDefault="00F12E14" w:rsidP="00C15F2F"/>
    <w:p w14:paraId="56287C95" w14:textId="288E3E20" w:rsidR="0073405D" w:rsidRPr="009D3A17" w:rsidRDefault="00332AE8" w:rsidP="0073405D">
      <w:bookmarkStart w:id="2" w:name="_Hlk193707181"/>
      <w:r w:rsidRPr="00D027EA">
        <w:rPr>
          <w:rFonts w:cs="Times New Roman"/>
          <w:kern w:val="0"/>
          <w:szCs w:val="24"/>
          <w14:ligatures w14:val="none"/>
        </w:rPr>
        <w:t>[6] </w:t>
      </w:r>
      <w:r w:rsidR="00294773">
        <w:rPr>
          <w:rFonts w:cs="Times New Roman"/>
          <w:kern w:val="0"/>
          <w:szCs w:val="24"/>
          <w14:ligatures w14:val="none"/>
        </w:rPr>
        <w:t>Apelācijas instances tiesa atzinusi, ka pirmās instances tiesa, neizdarot pierādījumu pārbaudi lietā, nav pieļāvusi Kriminālprocesa likuma 499. panta pārkāpumu</w:t>
      </w:r>
      <w:r w:rsidR="008B5729">
        <w:rPr>
          <w:rFonts w:cs="Times New Roman"/>
          <w:kern w:val="0"/>
          <w:szCs w:val="24"/>
          <w14:ligatures w14:val="none"/>
        </w:rPr>
        <w:t xml:space="preserve"> un</w:t>
      </w:r>
      <w:r w:rsidR="00294773">
        <w:rPr>
          <w:rFonts w:cs="Times New Roman"/>
          <w:kern w:val="0"/>
          <w:szCs w:val="24"/>
          <w14:ligatures w14:val="none"/>
        </w:rPr>
        <w:t xml:space="preserve"> sodu noteikusi atbilstoši </w:t>
      </w:r>
      <w:r w:rsidR="00294773" w:rsidRPr="006752D4">
        <w:t>Krimināllikuma 46.</w:t>
      </w:r>
      <w:r w:rsidR="00294773">
        <w:t> </w:t>
      </w:r>
      <w:r w:rsidR="00294773" w:rsidRPr="006752D4">
        <w:t xml:space="preserve">pantā norādītajiem soda noteikšanas </w:t>
      </w:r>
      <w:r w:rsidR="00294773" w:rsidRPr="009D3A17">
        <w:t>vispārīgajiem principiem</w:t>
      </w:r>
      <w:r w:rsidR="008B5729" w:rsidRPr="009D3A17">
        <w:t>,</w:t>
      </w:r>
      <w:r w:rsidR="00294773" w:rsidRPr="009D3A17">
        <w:t xml:space="preserve"> ievērojot Krimināllikuma 35. pantā noteikto soda mērķi.</w:t>
      </w:r>
    </w:p>
    <w:p w14:paraId="5CD2E83A" w14:textId="6085869E" w:rsidR="005E56DC" w:rsidRPr="009D3A17" w:rsidRDefault="009E70BB" w:rsidP="005E56DC">
      <w:pPr>
        <w:rPr>
          <w:rFonts w:asciiTheme="majorBidi" w:hAnsiTheme="majorBidi" w:cstheme="majorBidi"/>
          <w:szCs w:val="24"/>
        </w:rPr>
      </w:pPr>
      <w:r w:rsidRPr="009D3A17">
        <w:t xml:space="preserve">Pretēji pieteikumā </w:t>
      </w:r>
      <w:r w:rsidR="004C5A93" w:rsidRPr="009D3A17">
        <w:t>minētajiem argumentiem</w:t>
      </w:r>
      <w:r w:rsidRPr="009D3A17">
        <w:t xml:space="preserve"> apelācijas instances tiesa </w:t>
      </w:r>
      <w:r w:rsidR="00B47866" w:rsidRPr="009D3A17">
        <w:t>ir vērtējusi pirmās instances tiesas norādītos soda ietekmējošos apstākļus un atzinusi, ka</w:t>
      </w:r>
      <w:r w:rsidR="00897E55" w:rsidRPr="009D3A17">
        <w:t>,</w:t>
      </w:r>
      <w:r w:rsidR="00B47866" w:rsidRPr="009D3A17">
        <w:t xml:space="preserve"> </w:t>
      </w:r>
      <w:r w:rsidR="00897E55" w:rsidRPr="009D3A17">
        <w:t xml:space="preserve">nosakot apsūdzētajam </w:t>
      </w:r>
      <w:r w:rsidR="005E56DC" w:rsidRPr="009D3A17">
        <w:t>brīvības atņemšanu</w:t>
      </w:r>
      <w:r w:rsidR="00897E55" w:rsidRPr="009D3A17">
        <w:t xml:space="preserve"> par izdarīto noziedzīgo nodarījumu, </w:t>
      </w:r>
      <w:r w:rsidR="006C43F5" w:rsidRPr="009D3A17">
        <w:t>ir ņemti vērā</w:t>
      </w:r>
      <w:r w:rsidR="00897E55" w:rsidRPr="009D3A17">
        <w:t xml:space="preserve"> apstākļ</w:t>
      </w:r>
      <w:r w:rsidR="00CB1CC4">
        <w:t>i</w:t>
      </w:r>
      <w:r w:rsidR="00897E55" w:rsidRPr="009D3A17">
        <w:t xml:space="preserve">, kas raksturo noziedzīgo nodarījumu un radīto ceļu satiksmes apdraudējumu kopsakarā ar apsūdzētā personību raksturojošām ziņām, tajā skaitā bērna mātes </w:t>
      </w:r>
      <w:r w:rsidR="00DB5D11">
        <w:t>[pers. B]</w:t>
      </w:r>
      <w:r w:rsidR="00897E55" w:rsidRPr="009D3A17">
        <w:t xml:space="preserve"> raksturojumu par </w:t>
      </w:r>
      <w:r w:rsidR="00DB5D11">
        <w:rPr>
          <w:rFonts w:cs="Times New Roman"/>
          <w:kern w:val="0"/>
          <w:szCs w:val="24"/>
          <w14:ligatures w14:val="none"/>
        </w:rPr>
        <w:t>[pers. A]</w:t>
      </w:r>
      <w:r w:rsidR="004C5A93" w:rsidRPr="009D3A17">
        <w:t>, viņa</w:t>
      </w:r>
      <w:r w:rsidR="00897E55" w:rsidRPr="009D3A17">
        <w:t xml:space="preserve"> ģimen</w:t>
      </w:r>
      <w:r w:rsidR="005E56DC" w:rsidRPr="009D3A17">
        <w:t xml:space="preserve">es </w:t>
      </w:r>
      <w:r w:rsidR="00840A7A">
        <w:t>sastāvā esošajām personām</w:t>
      </w:r>
      <w:r w:rsidR="005E56DC" w:rsidRPr="009D3A17">
        <w:t xml:space="preserve"> un sadzīves </w:t>
      </w:r>
      <w:r w:rsidR="00897E55" w:rsidRPr="009D3A17">
        <w:t xml:space="preserve">apstākļiem. Nosakot apsūdzētajam soda mēru, pirmās instances tiesa </w:t>
      </w:r>
      <w:r w:rsidR="00640E35" w:rsidRPr="009D3A17">
        <w:t xml:space="preserve">pamatoti </w:t>
      </w:r>
      <w:r w:rsidR="00897E55" w:rsidRPr="009D3A17">
        <w:t xml:space="preserve">ņēmusi vērā, ka </w:t>
      </w:r>
      <w:r w:rsidR="00DB5D11">
        <w:rPr>
          <w:rFonts w:cs="Times New Roman"/>
          <w:kern w:val="0"/>
          <w:szCs w:val="24"/>
          <w14:ligatures w14:val="none"/>
        </w:rPr>
        <w:t>[pers. A]</w:t>
      </w:r>
      <w:r w:rsidR="00897E55" w:rsidRPr="009D3A17">
        <w:t xml:space="preserve"> izmantojis </w:t>
      </w:r>
      <w:r w:rsidR="00897E55" w:rsidRPr="009D3A17">
        <w:rPr>
          <w:rFonts w:asciiTheme="majorBidi" w:hAnsiTheme="majorBidi" w:cstheme="majorBidi"/>
          <w:szCs w:val="24"/>
        </w:rPr>
        <w:t>tiesības uz sadarbību, kā arī</w:t>
      </w:r>
      <w:r w:rsidR="00897E55" w:rsidRPr="009D3A17">
        <w:t xml:space="preserve"> atbilstoši Krimināllikuma 46. panta trešajai daļai ņ</w:t>
      </w:r>
      <w:r w:rsidR="00640E35" w:rsidRPr="009D3A17">
        <w:t>emts vērā</w:t>
      </w:r>
      <w:r w:rsidR="00897E55" w:rsidRPr="009D3A17">
        <w:t xml:space="preserve"> apsūdzētā atbildību mīkstinoš</w:t>
      </w:r>
      <w:r w:rsidR="00640E35" w:rsidRPr="009D3A17">
        <w:t>ais</w:t>
      </w:r>
      <w:r w:rsidR="00897E55" w:rsidRPr="009D3A17">
        <w:t xml:space="preserve"> apstākli</w:t>
      </w:r>
      <w:r w:rsidR="00640E35" w:rsidRPr="009D3A17">
        <w:t>s</w:t>
      </w:r>
      <w:r w:rsidR="00897E55" w:rsidRPr="009D3A17">
        <w:t xml:space="preserve"> – savas vainas </w:t>
      </w:r>
      <w:r w:rsidR="00897E55" w:rsidRPr="009D3A17">
        <w:rPr>
          <w:rFonts w:asciiTheme="majorBidi" w:hAnsiTheme="majorBidi" w:cstheme="majorBidi"/>
          <w:szCs w:val="24"/>
        </w:rPr>
        <w:t>atzīšan</w:t>
      </w:r>
      <w:r w:rsidR="00640E35" w:rsidRPr="009D3A17">
        <w:rPr>
          <w:rFonts w:asciiTheme="majorBidi" w:hAnsiTheme="majorBidi" w:cstheme="majorBidi"/>
          <w:szCs w:val="24"/>
        </w:rPr>
        <w:t>a</w:t>
      </w:r>
      <w:r w:rsidR="00897E55" w:rsidRPr="009D3A17">
        <w:rPr>
          <w:rFonts w:asciiTheme="majorBidi" w:hAnsiTheme="majorBidi" w:cstheme="majorBidi"/>
          <w:szCs w:val="24"/>
        </w:rPr>
        <w:t xml:space="preserve"> un izdarītā nožēlošan</w:t>
      </w:r>
      <w:r w:rsidR="00640E35" w:rsidRPr="009D3A17">
        <w:rPr>
          <w:rFonts w:asciiTheme="majorBidi" w:hAnsiTheme="majorBidi" w:cstheme="majorBidi"/>
          <w:szCs w:val="24"/>
        </w:rPr>
        <w:t>a</w:t>
      </w:r>
      <w:r w:rsidR="00897E55" w:rsidRPr="009D3A17">
        <w:rPr>
          <w:rFonts w:asciiTheme="majorBidi" w:hAnsiTheme="majorBidi" w:cstheme="majorBidi"/>
          <w:szCs w:val="24"/>
        </w:rPr>
        <w:t xml:space="preserve"> –, un pastiprinoš</w:t>
      </w:r>
      <w:r w:rsidR="00640E35" w:rsidRPr="009D3A17">
        <w:rPr>
          <w:rFonts w:asciiTheme="majorBidi" w:hAnsiTheme="majorBidi" w:cstheme="majorBidi"/>
          <w:szCs w:val="24"/>
        </w:rPr>
        <w:t>ais</w:t>
      </w:r>
      <w:r w:rsidR="00897E55" w:rsidRPr="009D3A17">
        <w:rPr>
          <w:rFonts w:asciiTheme="majorBidi" w:hAnsiTheme="majorBidi" w:cstheme="majorBidi"/>
          <w:szCs w:val="24"/>
        </w:rPr>
        <w:t xml:space="preserve"> apstākli</w:t>
      </w:r>
      <w:r w:rsidR="00640E35" w:rsidRPr="009D3A17">
        <w:rPr>
          <w:rFonts w:asciiTheme="majorBidi" w:hAnsiTheme="majorBidi" w:cstheme="majorBidi"/>
          <w:szCs w:val="24"/>
        </w:rPr>
        <w:t>s</w:t>
      </w:r>
      <w:r w:rsidR="00897E55" w:rsidRPr="009D3A17">
        <w:rPr>
          <w:rFonts w:asciiTheme="majorBidi" w:hAnsiTheme="majorBidi" w:cstheme="majorBidi"/>
          <w:szCs w:val="24"/>
        </w:rPr>
        <w:t xml:space="preserve"> –</w:t>
      </w:r>
      <w:r w:rsidR="008F2778" w:rsidRPr="009D3A17">
        <w:rPr>
          <w:rFonts w:asciiTheme="majorBidi" w:hAnsiTheme="majorBidi" w:cstheme="majorBidi"/>
          <w:szCs w:val="24"/>
        </w:rPr>
        <w:t xml:space="preserve"> noziedzīgais nodarījums veido noziedzīgu nodarījumu recidīvu</w:t>
      </w:r>
      <w:r w:rsidR="005E56DC" w:rsidRPr="009D3A17">
        <w:rPr>
          <w:rFonts w:asciiTheme="majorBidi" w:hAnsiTheme="majorBidi" w:cstheme="majorBidi"/>
          <w:szCs w:val="24"/>
        </w:rPr>
        <w:t>.</w:t>
      </w:r>
    </w:p>
    <w:p w14:paraId="6A658EED" w14:textId="7F0B8C2F" w:rsidR="006C43F5" w:rsidRPr="009D3A17" w:rsidRDefault="006C43F5" w:rsidP="006C43F5">
      <w:r w:rsidRPr="009D3A17">
        <w:t xml:space="preserve">Senātam nav pamata apšaubīt apelācijas instances tiesas atzinumus, jo tie pamatoti ar pierādījumiem lietā un sodu ietekmējošo apstākļu izvērtējumu saskaņā ar </w:t>
      </w:r>
      <w:r w:rsidR="00EE76EB" w:rsidRPr="009D3A17">
        <w:t>K</w:t>
      </w:r>
      <w:r w:rsidRPr="009D3A17">
        <w:t>rimināllikuma 46. panta</w:t>
      </w:r>
      <w:r w:rsidR="00EE76EB" w:rsidRPr="009D3A17">
        <w:t xml:space="preserve"> otro un trešo daļu.</w:t>
      </w:r>
      <w:r w:rsidRPr="009D3A17">
        <w:t xml:space="preserve"> </w:t>
      </w:r>
    </w:p>
    <w:p w14:paraId="1A67819A" w14:textId="3C8A9B6A" w:rsidR="00B63BE9" w:rsidRDefault="00B63BE9" w:rsidP="00B63BE9">
      <w:pPr>
        <w:rPr>
          <w:rFonts w:asciiTheme="majorBidi" w:hAnsiTheme="majorBidi" w:cstheme="majorBidi"/>
          <w:szCs w:val="24"/>
        </w:rPr>
      </w:pPr>
      <w:r w:rsidRPr="009D3A17">
        <w:rPr>
          <w:rFonts w:asciiTheme="majorBidi" w:hAnsiTheme="majorBidi" w:cstheme="majorBidi"/>
          <w:szCs w:val="24"/>
        </w:rPr>
        <w:t>Senāts atzīst, ka advokāta argumenti pieteikumā nav saistīti ar Krimināllikuma 46.</w:t>
      </w:r>
      <w:r w:rsidR="008B5729" w:rsidRPr="009D3A17">
        <w:rPr>
          <w:rFonts w:asciiTheme="majorBidi" w:hAnsiTheme="majorBidi" w:cstheme="majorBidi"/>
          <w:szCs w:val="24"/>
        </w:rPr>
        <w:t> </w:t>
      </w:r>
      <w:r w:rsidRPr="009D3A17">
        <w:rPr>
          <w:rFonts w:asciiTheme="majorBidi" w:hAnsiTheme="majorBidi" w:cstheme="majorBidi"/>
          <w:szCs w:val="24"/>
        </w:rPr>
        <w:t xml:space="preserve">panta nepareizu piemērošanu, bet ar citādu viedokli par apelācijas </w:t>
      </w:r>
      <w:r>
        <w:rPr>
          <w:rFonts w:asciiTheme="majorBidi" w:hAnsiTheme="majorBidi" w:cstheme="majorBidi"/>
          <w:szCs w:val="24"/>
        </w:rPr>
        <w:t>instances tiesas atzinumiem, vērtējot</w:t>
      </w:r>
      <w:r w:rsidR="008B5729">
        <w:rPr>
          <w:rFonts w:asciiTheme="majorBidi" w:hAnsiTheme="majorBidi" w:cstheme="majorBidi"/>
          <w:szCs w:val="24"/>
        </w:rPr>
        <w:t xml:space="preserve"> pierādījumus par</w:t>
      </w:r>
      <w:r>
        <w:rPr>
          <w:rFonts w:asciiTheme="majorBidi" w:hAnsiTheme="majorBidi" w:cstheme="majorBidi"/>
          <w:szCs w:val="24"/>
        </w:rPr>
        <w:t xml:space="preserve"> </w:t>
      </w:r>
      <w:r w:rsidR="00DB5D11">
        <w:rPr>
          <w:rFonts w:cs="Times New Roman"/>
          <w:kern w:val="0"/>
          <w:szCs w:val="24"/>
          <w14:ligatures w14:val="none"/>
        </w:rPr>
        <w:t>[pers. A]</w:t>
      </w:r>
      <w:r>
        <w:rPr>
          <w:rFonts w:asciiTheme="majorBidi" w:hAnsiTheme="majorBidi" w:cstheme="majorBidi"/>
          <w:szCs w:val="24"/>
        </w:rPr>
        <w:t xml:space="preserve"> nosakāmo sodu.</w:t>
      </w:r>
    </w:p>
    <w:bookmarkEnd w:id="2"/>
    <w:p w14:paraId="0D60AFA7" w14:textId="77777777" w:rsidR="00332AE8" w:rsidRDefault="00332AE8" w:rsidP="00332AE8"/>
    <w:p w14:paraId="43EE0A0F" w14:textId="77777777" w:rsidR="00332AE8" w:rsidRPr="00C6395E" w:rsidRDefault="00332AE8" w:rsidP="00332AE8">
      <w:pPr>
        <w:spacing w:before="240" w:after="240"/>
        <w:ind w:firstLine="0"/>
        <w:jc w:val="center"/>
        <w:rPr>
          <w:rFonts w:ascii="Verdana" w:eastAsia="Times New Roman" w:hAnsi="Verdana" w:cs="Times New Roman"/>
          <w:color w:val="000000"/>
          <w:kern w:val="0"/>
          <w:sz w:val="27"/>
          <w:szCs w:val="27"/>
          <w:lang w:eastAsia="lv-LV"/>
          <w14:ligatures w14:val="none"/>
        </w:rPr>
      </w:pPr>
      <w:r w:rsidRPr="00C6395E">
        <w:rPr>
          <w:rFonts w:eastAsia="Times New Roman" w:cs="Times New Roman"/>
          <w:b/>
          <w:bCs/>
          <w:color w:val="000000"/>
          <w:kern w:val="0"/>
          <w:szCs w:val="24"/>
          <w:lang w:eastAsia="lv-LV"/>
          <w14:ligatures w14:val="none"/>
        </w:rPr>
        <w:t>Rezolutīvā daļa</w:t>
      </w:r>
    </w:p>
    <w:p w14:paraId="1E04AF9A" w14:textId="77777777" w:rsidR="00332AE8" w:rsidRPr="00C6395E" w:rsidRDefault="00332AE8" w:rsidP="00332AE8">
      <w:pPr>
        <w:rPr>
          <w:rFonts w:ascii="Verdana" w:eastAsia="Times New Roman" w:hAnsi="Verdana" w:cs="Times New Roman"/>
          <w:color w:val="000000"/>
          <w:kern w:val="0"/>
          <w:sz w:val="27"/>
          <w:szCs w:val="27"/>
          <w:lang w:eastAsia="lv-LV"/>
          <w14:ligatures w14:val="none"/>
        </w:rPr>
      </w:pPr>
      <w:r w:rsidRPr="00C6395E">
        <w:rPr>
          <w:rFonts w:eastAsia="Times New Roman" w:cs="Times New Roman"/>
          <w:color w:val="000000"/>
          <w:kern w:val="0"/>
          <w:szCs w:val="24"/>
          <w:lang w:eastAsia="lv-LV"/>
          <w14:ligatures w14:val="none"/>
        </w:rPr>
        <w:t>Pamatojoties uz Kriminālprocesa likuma 585. pantu un 587. panta pirmās daļas 1. punktu, 670., 671. un 672. pantu, Senāts</w:t>
      </w:r>
    </w:p>
    <w:p w14:paraId="34D16BBB" w14:textId="77777777" w:rsidR="00332AE8" w:rsidRPr="00C6395E" w:rsidRDefault="00332AE8" w:rsidP="00332AE8">
      <w:pPr>
        <w:ind w:firstLine="0"/>
        <w:jc w:val="center"/>
        <w:rPr>
          <w:rFonts w:ascii="Verdana" w:eastAsia="Times New Roman" w:hAnsi="Verdana" w:cs="Times New Roman"/>
          <w:color w:val="000000"/>
          <w:kern w:val="0"/>
          <w:sz w:val="27"/>
          <w:szCs w:val="27"/>
          <w:lang w:eastAsia="lv-LV"/>
          <w14:ligatures w14:val="none"/>
        </w:rPr>
      </w:pPr>
      <w:r w:rsidRPr="00C6395E">
        <w:rPr>
          <w:rFonts w:eastAsia="Times New Roman" w:cs="Times New Roman"/>
          <w:b/>
          <w:bCs/>
          <w:color w:val="000000"/>
          <w:kern w:val="0"/>
          <w:szCs w:val="24"/>
          <w:lang w:eastAsia="lv-LV"/>
          <w14:ligatures w14:val="none"/>
        </w:rPr>
        <w:t> </w:t>
      </w:r>
    </w:p>
    <w:p w14:paraId="611EB508" w14:textId="77777777" w:rsidR="00332AE8" w:rsidRPr="00C6395E" w:rsidRDefault="00332AE8" w:rsidP="00332AE8">
      <w:pPr>
        <w:ind w:firstLine="0"/>
        <w:jc w:val="center"/>
        <w:rPr>
          <w:rFonts w:ascii="Verdana" w:eastAsia="Times New Roman" w:hAnsi="Verdana" w:cs="Times New Roman"/>
          <w:color w:val="000000"/>
          <w:kern w:val="0"/>
          <w:sz w:val="27"/>
          <w:szCs w:val="27"/>
          <w:lang w:eastAsia="lv-LV"/>
          <w14:ligatures w14:val="none"/>
        </w:rPr>
      </w:pPr>
      <w:r w:rsidRPr="00C6395E">
        <w:rPr>
          <w:rFonts w:eastAsia="Times New Roman" w:cs="Times New Roman"/>
          <w:b/>
          <w:bCs/>
          <w:color w:val="000000"/>
          <w:kern w:val="0"/>
          <w:szCs w:val="24"/>
          <w:lang w:eastAsia="lv-LV"/>
          <w14:ligatures w14:val="none"/>
        </w:rPr>
        <w:t>nolēma</w:t>
      </w:r>
    </w:p>
    <w:p w14:paraId="7213D469" w14:textId="77777777" w:rsidR="00332AE8" w:rsidRPr="00C6395E" w:rsidRDefault="00332AE8" w:rsidP="00332AE8">
      <w:pPr>
        <w:ind w:firstLine="0"/>
        <w:jc w:val="center"/>
        <w:rPr>
          <w:rFonts w:ascii="Verdana" w:eastAsia="Times New Roman" w:hAnsi="Verdana" w:cs="Times New Roman"/>
          <w:color w:val="000000"/>
          <w:kern w:val="0"/>
          <w:sz w:val="27"/>
          <w:szCs w:val="27"/>
          <w:lang w:eastAsia="lv-LV"/>
          <w14:ligatures w14:val="none"/>
        </w:rPr>
      </w:pPr>
      <w:r w:rsidRPr="00C6395E">
        <w:rPr>
          <w:rFonts w:eastAsia="Times New Roman" w:cs="Times New Roman"/>
          <w:b/>
          <w:bCs/>
          <w:color w:val="000000"/>
          <w:kern w:val="0"/>
          <w:szCs w:val="24"/>
          <w:lang w:eastAsia="lv-LV"/>
          <w14:ligatures w14:val="none"/>
        </w:rPr>
        <w:t> </w:t>
      </w:r>
    </w:p>
    <w:p w14:paraId="7DC8BE8C" w14:textId="3BF71885" w:rsidR="00332AE8" w:rsidRDefault="00332AE8" w:rsidP="00332AE8">
      <w:pPr>
        <w:ind w:firstLine="709"/>
        <w:rPr>
          <w:szCs w:val="24"/>
        </w:rPr>
      </w:pPr>
      <w:r w:rsidRPr="00CB5870">
        <w:rPr>
          <w:szCs w:val="24"/>
        </w:rPr>
        <w:t xml:space="preserve">atstāt negrozītu </w:t>
      </w:r>
      <w:r>
        <w:rPr>
          <w:szCs w:val="24"/>
        </w:rPr>
        <w:t>Latgales apgabaltiesas</w:t>
      </w:r>
      <w:r w:rsidRPr="00CB5870">
        <w:rPr>
          <w:szCs w:val="24"/>
        </w:rPr>
        <w:t xml:space="preserve"> 202</w:t>
      </w:r>
      <w:r>
        <w:rPr>
          <w:szCs w:val="24"/>
        </w:rPr>
        <w:t>5</w:t>
      </w:r>
      <w:r w:rsidRPr="00CB5870">
        <w:rPr>
          <w:szCs w:val="24"/>
        </w:rPr>
        <w:t>.</w:t>
      </w:r>
      <w:r>
        <w:rPr>
          <w:szCs w:val="24"/>
        </w:rPr>
        <w:t> </w:t>
      </w:r>
      <w:r w:rsidRPr="00CB5870">
        <w:rPr>
          <w:szCs w:val="24"/>
        </w:rPr>
        <w:t xml:space="preserve">gada </w:t>
      </w:r>
      <w:r>
        <w:rPr>
          <w:szCs w:val="24"/>
        </w:rPr>
        <w:t>14</w:t>
      </w:r>
      <w:r w:rsidRPr="00CB5870">
        <w:rPr>
          <w:szCs w:val="24"/>
        </w:rPr>
        <w:t>.</w:t>
      </w:r>
      <w:r>
        <w:rPr>
          <w:szCs w:val="24"/>
        </w:rPr>
        <w:t> </w:t>
      </w:r>
      <w:r w:rsidRPr="00CB5870">
        <w:rPr>
          <w:szCs w:val="24"/>
        </w:rPr>
        <w:t xml:space="preserve">janvāra </w:t>
      </w:r>
      <w:r>
        <w:rPr>
          <w:szCs w:val="24"/>
        </w:rPr>
        <w:t>lēmumu</w:t>
      </w:r>
      <w:r w:rsidRPr="00CB5870">
        <w:rPr>
          <w:szCs w:val="24"/>
        </w:rPr>
        <w:t xml:space="preserve">, bet notiesātā </w:t>
      </w:r>
      <w:r w:rsidR="00DB5D11">
        <w:rPr>
          <w:rFonts w:cs="Times New Roman"/>
          <w:kern w:val="0"/>
          <w:szCs w:val="24"/>
          <w14:ligatures w14:val="none"/>
        </w:rPr>
        <w:t>[pers. A]</w:t>
      </w:r>
      <w:r w:rsidRPr="00736B5F">
        <w:rPr>
          <w:szCs w:val="24"/>
        </w:rPr>
        <w:t xml:space="preserve"> uzdevumā advokāta Artūra </w:t>
      </w:r>
      <w:proofErr w:type="spellStart"/>
      <w:r w:rsidRPr="00736B5F">
        <w:rPr>
          <w:szCs w:val="24"/>
        </w:rPr>
        <w:t>Parfjonova</w:t>
      </w:r>
      <w:proofErr w:type="spellEnd"/>
      <w:r w:rsidRPr="00736B5F">
        <w:rPr>
          <w:szCs w:val="24"/>
        </w:rPr>
        <w:t xml:space="preserve"> Kriminālprocesa likuma 63.</w:t>
      </w:r>
      <w:r>
        <w:rPr>
          <w:szCs w:val="24"/>
        </w:rPr>
        <w:t> </w:t>
      </w:r>
      <w:r w:rsidRPr="00736B5F">
        <w:rPr>
          <w:szCs w:val="24"/>
        </w:rPr>
        <w:t>nodaļas kārtībā iesniegto pieteikumu noraidīt.</w:t>
      </w:r>
    </w:p>
    <w:p w14:paraId="1942EB2F" w14:textId="77777777" w:rsidR="00332AE8" w:rsidRPr="007C105E" w:rsidRDefault="00332AE8" w:rsidP="00332AE8">
      <w:pPr>
        <w:ind w:firstLine="709"/>
        <w:rPr>
          <w:szCs w:val="24"/>
        </w:rPr>
      </w:pPr>
    </w:p>
    <w:p w14:paraId="37453A53" w14:textId="77777777" w:rsidR="00332AE8" w:rsidRPr="00736B5F" w:rsidRDefault="00332AE8" w:rsidP="00332AE8">
      <w:pPr>
        <w:ind w:firstLine="709"/>
        <w:rPr>
          <w:rFonts w:ascii="Verdana" w:eastAsia="Times New Roman" w:hAnsi="Verdana" w:cs="Times New Roman"/>
          <w:color w:val="000000"/>
          <w:kern w:val="0"/>
          <w:sz w:val="27"/>
          <w:szCs w:val="27"/>
          <w:lang w:eastAsia="lv-LV"/>
          <w14:ligatures w14:val="none"/>
        </w:rPr>
      </w:pPr>
      <w:r w:rsidRPr="00736B5F">
        <w:rPr>
          <w:rFonts w:eastAsia="Times New Roman" w:cs="Times New Roman"/>
          <w:color w:val="000000"/>
          <w:kern w:val="0"/>
          <w:szCs w:val="24"/>
          <w:lang w:eastAsia="lv-LV"/>
          <w14:ligatures w14:val="none"/>
        </w:rPr>
        <w:t>Lēmums nav pārsūdzams.</w:t>
      </w:r>
    </w:p>
    <w:p w14:paraId="75DB4A3B" w14:textId="77777777" w:rsidR="00332AE8" w:rsidRPr="006243B7" w:rsidRDefault="00332AE8" w:rsidP="00332AE8">
      <w:pPr>
        <w:ind w:firstLine="0"/>
        <w:rPr>
          <w:rFonts w:cs="Times New Roman"/>
          <w:kern w:val="0"/>
          <w:szCs w:val="24"/>
          <w14:ligatures w14:val="none"/>
        </w:rPr>
      </w:pPr>
    </w:p>
    <w:p w14:paraId="78BBAF98" w14:textId="77777777" w:rsidR="00332AE8" w:rsidRPr="006243B7" w:rsidRDefault="00332AE8" w:rsidP="00332AE8">
      <w:pPr>
        <w:ind w:firstLine="0"/>
        <w:rPr>
          <w:rFonts w:cs="Times New Roman"/>
          <w:kern w:val="0"/>
          <w:szCs w:val="24"/>
          <w14:ligatures w14:val="none"/>
        </w:rPr>
      </w:pPr>
    </w:p>
    <w:p w14:paraId="30623779" w14:textId="77777777" w:rsidR="00676563" w:rsidRDefault="00676563" w:rsidP="00750BAD">
      <w:pPr>
        <w:ind w:firstLine="0"/>
      </w:pPr>
    </w:p>
    <w:sectPr w:rsidR="00676563" w:rsidSect="00332AE8">
      <w:footerReference w:type="default" r:id="rId7"/>
      <w:pgSz w:w="11906" w:h="16838"/>
      <w:pgMar w:top="1134" w:right="1701" w:bottom="1134" w:left="1701" w:header="567"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199DA4" w14:textId="77777777" w:rsidR="00D6678F" w:rsidRDefault="00D6678F">
      <w:pPr>
        <w:spacing w:line="240" w:lineRule="auto"/>
      </w:pPr>
      <w:r>
        <w:separator/>
      </w:r>
    </w:p>
  </w:endnote>
  <w:endnote w:type="continuationSeparator" w:id="0">
    <w:p w14:paraId="47496466" w14:textId="77777777" w:rsidR="00D6678F" w:rsidRDefault="00D6678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altName w:val="Times New Roman PSMT"/>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CC48C1" w14:textId="77777777" w:rsidR="00D6678F" w:rsidRDefault="00D6678F">
    <w:pPr>
      <w:pStyle w:val="Footer"/>
      <w:jc w:val="center"/>
    </w:pPr>
    <w:r>
      <w:rPr>
        <w:sz w:val="22"/>
      </w:rPr>
      <w:fldChar w:fldCharType="begin"/>
    </w:r>
    <w:r>
      <w:rPr>
        <w:sz w:val="22"/>
      </w:rPr>
      <w:instrText xml:space="preserve"> PAGE </w:instrText>
    </w:r>
    <w:r>
      <w:rPr>
        <w:sz w:val="22"/>
      </w:rPr>
      <w:fldChar w:fldCharType="separate"/>
    </w:r>
    <w:r>
      <w:rPr>
        <w:noProof/>
        <w:sz w:val="22"/>
      </w:rPr>
      <w:t>4</w:t>
    </w:r>
    <w:r>
      <w:rPr>
        <w:sz w:val="22"/>
      </w:rPr>
      <w:fldChar w:fldCharType="end"/>
    </w:r>
    <w:r>
      <w:rPr>
        <w:sz w:val="22"/>
      </w:rPr>
      <w:t xml:space="preserve"> no </w:t>
    </w:r>
    <w:r>
      <w:rPr>
        <w:sz w:val="22"/>
      </w:rPr>
      <w:fldChar w:fldCharType="begin"/>
    </w:r>
    <w:r>
      <w:rPr>
        <w:sz w:val="22"/>
      </w:rPr>
      <w:instrText xml:space="preserve"> NUMPAGES </w:instrText>
    </w:r>
    <w:r>
      <w:rPr>
        <w:sz w:val="22"/>
      </w:rPr>
      <w:fldChar w:fldCharType="separate"/>
    </w:r>
    <w:r>
      <w:rPr>
        <w:noProof/>
        <w:sz w:val="22"/>
      </w:rPr>
      <w:t>4</w:t>
    </w:r>
    <w:r>
      <w:rPr>
        <w:sz w:val="22"/>
      </w:rPr>
      <w:fldChar w:fldCharType="end"/>
    </w:r>
  </w:p>
  <w:p w14:paraId="050FD42E" w14:textId="77777777" w:rsidR="00D6678F" w:rsidRDefault="00D6678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080EEE" w14:textId="77777777" w:rsidR="00D6678F" w:rsidRDefault="00D6678F">
      <w:pPr>
        <w:spacing w:line="240" w:lineRule="auto"/>
      </w:pPr>
      <w:r>
        <w:separator/>
      </w:r>
    </w:p>
  </w:footnote>
  <w:footnote w:type="continuationSeparator" w:id="0">
    <w:p w14:paraId="21129ADE" w14:textId="77777777" w:rsidR="00D6678F" w:rsidRDefault="00D6678F">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movePersonalInformation/>
  <w:removeDateAndTime/>
  <w:proofState w:spelling="clean"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2AE8"/>
    <w:rsid w:val="00006856"/>
    <w:rsid w:val="00011284"/>
    <w:rsid w:val="00015F6A"/>
    <w:rsid w:val="00016BC4"/>
    <w:rsid w:val="000176A0"/>
    <w:rsid w:val="00020183"/>
    <w:rsid w:val="0002536E"/>
    <w:rsid w:val="00030746"/>
    <w:rsid w:val="00033A37"/>
    <w:rsid w:val="0003605D"/>
    <w:rsid w:val="00040C32"/>
    <w:rsid w:val="0004423C"/>
    <w:rsid w:val="00053856"/>
    <w:rsid w:val="00053FA0"/>
    <w:rsid w:val="0006308C"/>
    <w:rsid w:val="000654C3"/>
    <w:rsid w:val="000703AF"/>
    <w:rsid w:val="00070798"/>
    <w:rsid w:val="0007317F"/>
    <w:rsid w:val="0007655C"/>
    <w:rsid w:val="00080383"/>
    <w:rsid w:val="00086999"/>
    <w:rsid w:val="00086ACC"/>
    <w:rsid w:val="00086C6B"/>
    <w:rsid w:val="000925B3"/>
    <w:rsid w:val="000A03CC"/>
    <w:rsid w:val="000A39C5"/>
    <w:rsid w:val="000B0888"/>
    <w:rsid w:val="000B1526"/>
    <w:rsid w:val="000B1B3C"/>
    <w:rsid w:val="000B2623"/>
    <w:rsid w:val="000B361A"/>
    <w:rsid w:val="000B55D5"/>
    <w:rsid w:val="000C1F37"/>
    <w:rsid w:val="000C3340"/>
    <w:rsid w:val="000C4EDF"/>
    <w:rsid w:val="000C500A"/>
    <w:rsid w:val="000C5065"/>
    <w:rsid w:val="000D10F1"/>
    <w:rsid w:val="000D16C6"/>
    <w:rsid w:val="000D6731"/>
    <w:rsid w:val="000D7D9F"/>
    <w:rsid w:val="000D7EED"/>
    <w:rsid w:val="000D7EF7"/>
    <w:rsid w:val="000E39B9"/>
    <w:rsid w:val="000E5442"/>
    <w:rsid w:val="000E7245"/>
    <w:rsid w:val="000E729F"/>
    <w:rsid w:val="000E7893"/>
    <w:rsid w:val="000F165F"/>
    <w:rsid w:val="000F3DD1"/>
    <w:rsid w:val="000F5554"/>
    <w:rsid w:val="000F6375"/>
    <w:rsid w:val="000F7639"/>
    <w:rsid w:val="001013BE"/>
    <w:rsid w:val="0010146A"/>
    <w:rsid w:val="00102445"/>
    <w:rsid w:val="00103219"/>
    <w:rsid w:val="001043F5"/>
    <w:rsid w:val="00104559"/>
    <w:rsid w:val="0011205D"/>
    <w:rsid w:val="00113EC8"/>
    <w:rsid w:val="00115106"/>
    <w:rsid w:val="001154FC"/>
    <w:rsid w:val="0011621A"/>
    <w:rsid w:val="00122135"/>
    <w:rsid w:val="00127AEE"/>
    <w:rsid w:val="00133699"/>
    <w:rsid w:val="00134208"/>
    <w:rsid w:val="00136CAE"/>
    <w:rsid w:val="001405D1"/>
    <w:rsid w:val="001432D9"/>
    <w:rsid w:val="0014601A"/>
    <w:rsid w:val="00146E36"/>
    <w:rsid w:val="00153E44"/>
    <w:rsid w:val="00155B55"/>
    <w:rsid w:val="00155D41"/>
    <w:rsid w:val="00160ECB"/>
    <w:rsid w:val="0016137B"/>
    <w:rsid w:val="00164937"/>
    <w:rsid w:val="00166D29"/>
    <w:rsid w:val="00170F2F"/>
    <w:rsid w:val="00172570"/>
    <w:rsid w:val="00172A97"/>
    <w:rsid w:val="0017430F"/>
    <w:rsid w:val="001754A5"/>
    <w:rsid w:val="00177D8E"/>
    <w:rsid w:val="00180619"/>
    <w:rsid w:val="001866EF"/>
    <w:rsid w:val="00192C89"/>
    <w:rsid w:val="001950B0"/>
    <w:rsid w:val="00196770"/>
    <w:rsid w:val="001967C8"/>
    <w:rsid w:val="001A34CB"/>
    <w:rsid w:val="001A40E5"/>
    <w:rsid w:val="001A4D8C"/>
    <w:rsid w:val="001B2A4F"/>
    <w:rsid w:val="001B48F9"/>
    <w:rsid w:val="001B4998"/>
    <w:rsid w:val="001C03B8"/>
    <w:rsid w:val="001C12D1"/>
    <w:rsid w:val="001C1E25"/>
    <w:rsid w:val="001C20E2"/>
    <w:rsid w:val="001D0B75"/>
    <w:rsid w:val="001D2813"/>
    <w:rsid w:val="001E3A6C"/>
    <w:rsid w:val="001E4948"/>
    <w:rsid w:val="001E77CC"/>
    <w:rsid w:val="001E7EA3"/>
    <w:rsid w:val="002021D7"/>
    <w:rsid w:val="00205269"/>
    <w:rsid w:val="002060DD"/>
    <w:rsid w:val="00207BBB"/>
    <w:rsid w:val="00207FCA"/>
    <w:rsid w:val="00210409"/>
    <w:rsid w:val="00210599"/>
    <w:rsid w:val="00210BE7"/>
    <w:rsid w:val="00213518"/>
    <w:rsid w:val="0021550B"/>
    <w:rsid w:val="00220371"/>
    <w:rsid w:val="00224212"/>
    <w:rsid w:val="00224FF5"/>
    <w:rsid w:val="00226581"/>
    <w:rsid w:val="00226899"/>
    <w:rsid w:val="002309A8"/>
    <w:rsid w:val="00230DF3"/>
    <w:rsid w:val="00231281"/>
    <w:rsid w:val="00234981"/>
    <w:rsid w:val="00236BD6"/>
    <w:rsid w:val="002452BB"/>
    <w:rsid w:val="00246BCF"/>
    <w:rsid w:val="00252093"/>
    <w:rsid w:val="00253045"/>
    <w:rsid w:val="002548FE"/>
    <w:rsid w:val="00254A1D"/>
    <w:rsid w:val="002552C4"/>
    <w:rsid w:val="00256C30"/>
    <w:rsid w:val="00260309"/>
    <w:rsid w:val="002612DE"/>
    <w:rsid w:val="00266BF3"/>
    <w:rsid w:val="002708D0"/>
    <w:rsid w:val="00276F3F"/>
    <w:rsid w:val="00281B66"/>
    <w:rsid w:val="002856BC"/>
    <w:rsid w:val="002907F9"/>
    <w:rsid w:val="00291166"/>
    <w:rsid w:val="002929BB"/>
    <w:rsid w:val="00294773"/>
    <w:rsid w:val="00294E8C"/>
    <w:rsid w:val="00295A3B"/>
    <w:rsid w:val="0029719F"/>
    <w:rsid w:val="002A0B28"/>
    <w:rsid w:val="002A0DFF"/>
    <w:rsid w:val="002A1807"/>
    <w:rsid w:val="002A6D4A"/>
    <w:rsid w:val="002A7987"/>
    <w:rsid w:val="002B0B34"/>
    <w:rsid w:val="002B6B8C"/>
    <w:rsid w:val="002C0B38"/>
    <w:rsid w:val="002C156D"/>
    <w:rsid w:val="002C4EA8"/>
    <w:rsid w:val="002D1895"/>
    <w:rsid w:val="002D7ECB"/>
    <w:rsid w:val="002E152C"/>
    <w:rsid w:val="002E1C88"/>
    <w:rsid w:val="002E771A"/>
    <w:rsid w:val="002F0A8B"/>
    <w:rsid w:val="002F127C"/>
    <w:rsid w:val="002F3140"/>
    <w:rsid w:val="002F4423"/>
    <w:rsid w:val="002F5FB2"/>
    <w:rsid w:val="00302E9E"/>
    <w:rsid w:val="00302F0D"/>
    <w:rsid w:val="003039A4"/>
    <w:rsid w:val="00315BCE"/>
    <w:rsid w:val="00317D4B"/>
    <w:rsid w:val="0032149A"/>
    <w:rsid w:val="003309AC"/>
    <w:rsid w:val="00332AE8"/>
    <w:rsid w:val="003334C8"/>
    <w:rsid w:val="00335B4F"/>
    <w:rsid w:val="00336533"/>
    <w:rsid w:val="00343D94"/>
    <w:rsid w:val="00345CF5"/>
    <w:rsid w:val="003510BF"/>
    <w:rsid w:val="0035188B"/>
    <w:rsid w:val="00352F4B"/>
    <w:rsid w:val="00353497"/>
    <w:rsid w:val="003569C8"/>
    <w:rsid w:val="00360084"/>
    <w:rsid w:val="00366F5A"/>
    <w:rsid w:val="00373BC5"/>
    <w:rsid w:val="00375BFD"/>
    <w:rsid w:val="00376F4F"/>
    <w:rsid w:val="00382514"/>
    <w:rsid w:val="0038300C"/>
    <w:rsid w:val="003849A6"/>
    <w:rsid w:val="003850D0"/>
    <w:rsid w:val="00385761"/>
    <w:rsid w:val="003904D8"/>
    <w:rsid w:val="00391B9C"/>
    <w:rsid w:val="003922DC"/>
    <w:rsid w:val="00392764"/>
    <w:rsid w:val="00395E59"/>
    <w:rsid w:val="003A16A4"/>
    <w:rsid w:val="003A60A6"/>
    <w:rsid w:val="003C0730"/>
    <w:rsid w:val="003C7FB3"/>
    <w:rsid w:val="003D1793"/>
    <w:rsid w:val="003D21F7"/>
    <w:rsid w:val="003D4723"/>
    <w:rsid w:val="003E5395"/>
    <w:rsid w:val="003E6028"/>
    <w:rsid w:val="003E6B38"/>
    <w:rsid w:val="003F1AA2"/>
    <w:rsid w:val="003F1D14"/>
    <w:rsid w:val="003F5050"/>
    <w:rsid w:val="00402B95"/>
    <w:rsid w:val="00402E34"/>
    <w:rsid w:val="004048DE"/>
    <w:rsid w:val="0040494B"/>
    <w:rsid w:val="00406EDB"/>
    <w:rsid w:val="004212B0"/>
    <w:rsid w:val="00421E77"/>
    <w:rsid w:val="00425B5E"/>
    <w:rsid w:val="004269D4"/>
    <w:rsid w:val="0043269E"/>
    <w:rsid w:val="00436A5B"/>
    <w:rsid w:val="00440A47"/>
    <w:rsid w:val="00440E25"/>
    <w:rsid w:val="004465D3"/>
    <w:rsid w:val="004512DA"/>
    <w:rsid w:val="00453415"/>
    <w:rsid w:val="004546B0"/>
    <w:rsid w:val="00455B83"/>
    <w:rsid w:val="004562A8"/>
    <w:rsid w:val="0045794F"/>
    <w:rsid w:val="004603C8"/>
    <w:rsid w:val="004610DD"/>
    <w:rsid w:val="00463752"/>
    <w:rsid w:val="0047104A"/>
    <w:rsid w:val="00475830"/>
    <w:rsid w:val="00475FAB"/>
    <w:rsid w:val="00477C3E"/>
    <w:rsid w:val="004823EC"/>
    <w:rsid w:val="0048715C"/>
    <w:rsid w:val="00490838"/>
    <w:rsid w:val="00490C00"/>
    <w:rsid w:val="0049121C"/>
    <w:rsid w:val="00494657"/>
    <w:rsid w:val="004948A8"/>
    <w:rsid w:val="00494DE1"/>
    <w:rsid w:val="00495A26"/>
    <w:rsid w:val="004A7007"/>
    <w:rsid w:val="004A70FD"/>
    <w:rsid w:val="004A7E07"/>
    <w:rsid w:val="004B1882"/>
    <w:rsid w:val="004B5C93"/>
    <w:rsid w:val="004C0446"/>
    <w:rsid w:val="004C2FBF"/>
    <w:rsid w:val="004C3628"/>
    <w:rsid w:val="004C5A93"/>
    <w:rsid w:val="004C6062"/>
    <w:rsid w:val="004C61B3"/>
    <w:rsid w:val="004C709F"/>
    <w:rsid w:val="004D02A5"/>
    <w:rsid w:val="004D3B71"/>
    <w:rsid w:val="004D4A4B"/>
    <w:rsid w:val="004D7280"/>
    <w:rsid w:val="004E0F34"/>
    <w:rsid w:val="004F07D5"/>
    <w:rsid w:val="004F3ADD"/>
    <w:rsid w:val="0050295B"/>
    <w:rsid w:val="00503799"/>
    <w:rsid w:val="00504C72"/>
    <w:rsid w:val="0050673A"/>
    <w:rsid w:val="00512136"/>
    <w:rsid w:val="005125A5"/>
    <w:rsid w:val="00514BA0"/>
    <w:rsid w:val="00517DB4"/>
    <w:rsid w:val="00523766"/>
    <w:rsid w:val="0052392B"/>
    <w:rsid w:val="00525188"/>
    <w:rsid w:val="0052619E"/>
    <w:rsid w:val="005273D1"/>
    <w:rsid w:val="00527AAF"/>
    <w:rsid w:val="00533E36"/>
    <w:rsid w:val="00536B63"/>
    <w:rsid w:val="00537850"/>
    <w:rsid w:val="00540A04"/>
    <w:rsid w:val="00542117"/>
    <w:rsid w:val="00551AA5"/>
    <w:rsid w:val="00551BFA"/>
    <w:rsid w:val="0055412C"/>
    <w:rsid w:val="005541F2"/>
    <w:rsid w:val="00557F4C"/>
    <w:rsid w:val="0056420E"/>
    <w:rsid w:val="00564F0A"/>
    <w:rsid w:val="00564FEE"/>
    <w:rsid w:val="00566C38"/>
    <w:rsid w:val="00571250"/>
    <w:rsid w:val="005716F1"/>
    <w:rsid w:val="0057485C"/>
    <w:rsid w:val="005825AB"/>
    <w:rsid w:val="00586A5E"/>
    <w:rsid w:val="00594AC9"/>
    <w:rsid w:val="005960AD"/>
    <w:rsid w:val="005A2045"/>
    <w:rsid w:val="005A4F88"/>
    <w:rsid w:val="005B0406"/>
    <w:rsid w:val="005B7A10"/>
    <w:rsid w:val="005C1B52"/>
    <w:rsid w:val="005C4650"/>
    <w:rsid w:val="005D077B"/>
    <w:rsid w:val="005D3F63"/>
    <w:rsid w:val="005D748F"/>
    <w:rsid w:val="005E426A"/>
    <w:rsid w:val="005E53DB"/>
    <w:rsid w:val="005E56DC"/>
    <w:rsid w:val="005E5D0D"/>
    <w:rsid w:val="005F3674"/>
    <w:rsid w:val="005F3C06"/>
    <w:rsid w:val="005F4243"/>
    <w:rsid w:val="005F4D36"/>
    <w:rsid w:val="005F50B0"/>
    <w:rsid w:val="00600844"/>
    <w:rsid w:val="006008A5"/>
    <w:rsid w:val="00600914"/>
    <w:rsid w:val="00601B49"/>
    <w:rsid w:val="0060341F"/>
    <w:rsid w:val="0060380B"/>
    <w:rsid w:val="00604515"/>
    <w:rsid w:val="00604F53"/>
    <w:rsid w:val="00606373"/>
    <w:rsid w:val="00607C9C"/>
    <w:rsid w:val="0061208B"/>
    <w:rsid w:val="00613A2F"/>
    <w:rsid w:val="00615D9D"/>
    <w:rsid w:val="0061696F"/>
    <w:rsid w:val="00620D27"/>
    <w:rsid w:val="00622FDC"/>
    <w:rsid w:val="00625517"/>
    <w:rsid w:val="00626D7B"/>
    <w:rsid w:val="006306FF"/>
    <w:rsid w:val="006329CE"/>
    <w:rsid w:val="00633D60"/>
    <w:rsid w:val="006340FE"/>
    <w:rsid w:val="00640E35"/>
    <w:rsid w:val="006436EC"/>
    <w:rsid w:val="00646116"/>
    <w:rsid w:val="00646983"/>
    <w:rsid w:val="00647255"/>
    <w:rsid w:val="00647321"/>
    <w:rsid w:val="00650E84"/>
    <w:rsid w:val="00650F78"/>
    <w:rsid w:val="0065310C"/>
    <w:rsid w:val="006544A3"/>
    <w:rsid w:val="00655377"/>
    <w:rsid w:val="00661942"/>
    <w:rsid w:val="00665523"/>
    <w:rsid w:val="00667E3A"/>
    <w:rsid w:val="006749E6"/>
    <w:rsid w:val="00674FDD"/>
    <w:rsid w:val="0067594D"/>
    <w:rsid w:val="00676563"/>
    <w:rsid w:val="00680D0D"/>
    <w:rsid w:val="00691AF4"/>
    <w:rsid w:val="006A0095"/>
    <w:rsid w:val="006A0BC9"/>
    <w:rsid w:val="006A7818"/>
    <w:rsid w:val="006B2126"/>
    <w:rsid w:val="006B2826"/>
    <w:rsid w:val="006B6A5A"/>
    <w:rsid w:val="006C2B4B"/>
    <w:rsid w:val="006C43F5"/>
    <w:rsid w:val="006C545B"/>
    <w:rsid w:val="006C5D79"/>
    <w:rsid w:val="006C62E7"/>
    <w:rsid w:val="006C6500"/>
    <w:rsid w:val="006C775B"/>
    <w:rsid w:val="006D3DEA"/>
    <w:rsid w:val="006E0EC1"/>
    <w:rsid w:val="006E4285"/>
    <w:rsid w:val="006E6697"/>
    <w:rsid w:val="006E6CB4"/>
    <w:rsid w:val="006F0670"/>
    <w:rsid w:val="006F0D86"/>
    <w:rsid w:val="006F1F15"/>
    <w:rsid w:val="006F22AA"/>
    <w:rsid w:val="007002F0"/>
    <w:rsid w:val="00702A66"/>
    <w:rsid w:val="00710701"/>
    <w:rsid w:val="00711C93"/>
    <w:rsid w:val="00711E6F"/>
    <w:rsid w:val="00712D9E"/>
    <w:rsid w:val="00717B39"/>
    <w:rsid w:val="00720EA3"/>
    <w:rsid w:val="00721682"/>
    <w:rsid w:val="0072198A"/>
    <w:rsid w:val="00721991"/>
    <w:rsid w:val="0072512E"/>
    <w:rsid w:val="007260C1"/>
    <w:rsid w:val="0073405D"/>
    <w:rsid w:val="00734316"/>
    <w:rsid w:val="00741746"/>
    <w:rsid w:val="00742BDF"/>
    <w:rsid w:val="00746B3D"/>
    <w:rsid w:val="00750B43"/>
    <w:rsid w:val="00750BAD"/>
    <w:rsid w:val="007602E0"/>
    <w:rsid w:val="00762896"/>
    <w:rsid w:val="0077584C"/>
    <w:rsid w:val="00775CF5"/>
    <w:rsid w:val="00777D49"/>
    <w:rsid w:val="00782419"/>
    <w:rsid w:val="00782832"/>
    <w:rsid w:val="00783094"/>
    <w:rsid w:val="007846F1"/>
    <w:rsid w:val="007977E5"/>
    <w:rsid w:val="007A032C"/>
    <w:rsid w:val="007A1594"/>
    <w:rsid w:val="007A2DB4"/>
    <w:rsid w:val="007A35AE"/>
    <w:rsid w:val="007A40FF"/>
    <w:rsid w:val="007A4A6A"/>
    <w:rsid w:val="007A7D4B"/>
    <w:rsid w:val="007B10E1"/>
    <w:rsid w:val="007B29D1"/>
    <w:rsid w:val="007B568B"/>
    <w:rsid w:val="007D27EF"/>
    <w:rsid w:val="007D501B"/>
    <w:rsid w:val="007D68D7"/>
    <w:rsid w:val="007D7528"/>
    <w:rsid w:val="007D79B6"/>
    <w:rsid w:val="007E07FD"/>
    <w:rsid w:val="007E3186"/>
    <w:rsid w:val="007E7139"/>
    <w:rsid w:val="007F18B3"/>
    <w:rsid w:val="007F1AC6"/>
    <w:rsid w:val="007F5BD2"/>
    <w:rsid w:val="007F6D94"/>
    <w:rsid w:val="007F6E8C"/>
    <w:rsid w:val="007F7EDB"/>
    <w:rsid w:val="00800BBD"/>
    <w:rsid w:val="008056FF"/>
    <w:rsid w:val="00812644"/>
    <w:rsid w:val="0081412F"/>
    <w:rsid w:val="00815326"/>
    <w:rsid w:val="0082282B"/>
    <w:rsid w:val="00822E25"/>
    <w:rsid w:val="00825EF7"/>
    <w:rsid w:val="008266C2"/>
    <w:rsid w:val="00830DEC"/>
    <w:rsid w:val="00830EBF"/>
    <w:rsid w:val="008318DC"/>
    <w:rsid w:val="008364AD"/>
    <w:rsid w:val="00840A7A"/>
    <w:rsid w:val="00845208"/>
    <w:rsid w:val="00845E97"/>
    <w:rsid w:val="008520C9"/>
    <w:rsid w:val="00855429"/>
    <w:rsid w:val="008652C7"/>
    <w:rsid w:val="00872780"/>
    <w:rsid w:val="00873CBE"/>
    <w:rsid w:val="00875318"/>
    <w:rsid w:val="0087542E"/>
    <w:rsid w:val="00876A6F"/>
    <w:rsid w:val="008774E8"/>
    <w:rsid w:val="00881156"/>
    <w:rsid w:val="00882A63"/>
    <w:rsid w:val="008879C9"/>
    <w:rsid w:val="00887C9C"/>
    <w:rsid w:val="0089082B"/>
    <w:rsid w:val="00892B6A"/>
    <w:rsid w:val="0089585C"/>
    <w:rsid w:val="00897E55"/>
    <w:rsid w:val="008A5040"/>
    <w:rsid w:val="008A5E74"/>
    <w:rsid w:val="008B0F55"/>
    <w:rsid w:val="008B45F0"/>
    <w:rsid w:val="008B4ED4"/>
    <w:rsid w:val="008B5729"/>
    <w:rsid w:val="008B626D"/>
    <w:rsid w:val="008B68FE"/>
    <w:rsid w:val="008B6F67"/>
    <w:rsid w:val="008C3AB6"/>
    <w:rsid w:val="008D03F5"/>
    <w:rsid w:val="008D4217"/>
    <w:rsid w:val="008D7ADF"/>
    <w:rsid w:val="008D7DC6"/>
    <w:rsid w:val="008E0C8F"/>
    <w:rsid w:val="008E497D"/>
    <w:rsid w:val="008E65E2"/>
    <w:rsid w:val="008F2778"/>
    <w:rsid w:val="008F738C"/>
    <w:rsid w:val="00902824"/>
    <w:rsid w:val="00902A66"/>
    <w:rsid w:val="0090695B"/>
    <w:rsid w:val="009076E4"/>
    <w:rsid w:val="00910854"/>
    <w:rsid w:val="00917776"/>
    <w:rsid w:val="00927586"/>
    <w:rsid w:val="00931A50"/>
    <w:rsid w:val="00933792"/>
    <w:rsid w:val="009417FF"/>
    <w:rsid w:val="00942B23"/>
    <w:rsid w:val="009468DC"/>
    <w:rsid w:val="009523F9"/>
    <w:rsid w:val="00954ED2"/>
    <w:rsid w:val="00956600"/>
    <w:rsid w:val="00957286"/>
    <w:rsid w:val="0096082D"/>
    <w:rsid w:val="0096707F"/>
    <w:rsid w:val="009674DA"/>
    <w:rsid w:val="00967511"/>
    <w:rsid w:val="00972AEB"/>
    <w:rsid w:val="00981212"/>
    <w:rsid w:val="00981BAC"/>
    <w:rsid w:val="00985B1C"/>
    <w:rsid w:val="00985C25"/>
    <w:rsid w:val="00985F79"/>
    <w:rsid w:val="00987E64"/>
    <w:rsid w:val="00990406"/>
    <w:rsid w:val="00990AE3"/>
    <w:rsid w:val="009964E5"/>
    <w:rsid w:val="009B1EAC"/>
    <w:rsid w:val="009B23C6"/>
    <w:rsid w:val="009B4DF5"/>
    <w:rsid w:val="009B57B8"/>
    <w:rsid w:val="009C33C2"/>
    <w:rsid w:val="009C355B"/>
    <w:rsid w:val="009C5331"/>
    <w:rsid w:val="009C5B2D"/>
    <w:rsid w:val="009C7EE5"/>
    <w:rsid w:val="009D2862"/>
    <w:rsid w:val="009D39E1"/>
    <w:rsid w:val="009D3A17"/>
    <w:rsid w:val="009E0144"/>
    <w:rsid w:val="009E09EF"/>
    <w:rsid w:val="009E33E4"/>
    <w:rsid w:val="009E6C9A"/>
    <w:rsid w:val="009E70BB"/>
    <w:rsid w:val="009F0503"/>
    <w:rsid w:val="009F1BF1"/>
    <w:rsid w:val="009F1CAF"/>
    <w:rsid w:val="009F3DB2"/>
    <w:rsid w:val="009F672F"/>
    <w:rsid w:val="009F7AF9"/>
    <w:rsid w:val="00A00A73"/>
    <w:rsid w:val="00A0355A"/>
    <w:rsid w:val="00A035F6"/>
    <w:rsid w:val="00A07B5D"/>
    <w:rsid w:val="00A1091E"/>
    <w:rsid w:val="00A17750"/>
    <w:rsid w:val="00A17A15"/>
    <w:rsid w:val="00A2005E"/>
    <w:rsid w:val="00A22AD6"/>
    <w:rsid w:val="00A25C52"/>
    <w:rsid w:val="00A27F3D"/>
    <w:rsid w:val="00A30085"/>
    <w:rsid w:val="00A32A35"/>
    <w:rsid w:val="00A32F5A"/>
    <w:rsid w:val="00A33499"/>
    <w:rsid w:val="00A3427F"/>
    <w:rsid w:val="00A406C9"/>
    <w:rsid w:val="00A4100E"/>
    <w:rsid w:val="00A43041"/>
    <w:rsid w:val="00A4326B"/>
    <w:rsid w:val="00A45CCD"/>
    <w:rsid w:val="00A478AA"/>
    <w:rsid w:val="00A51390"/>
    <w:rsid w:val="00A532BC"/>
    <w:rsid w:val="00A53CC7"/>
    <w:rsid w:val="00A54422"/>
    <w:rsid w:val="00A55125"/>
    <w:rsid w:val="00A5545D"/>
    <w:rsid w:val="00A57B4A"/>
    <w:rsid w:val="00A60C91"/>
    <w:rsid w:val="00A66082"/>
    <w:rsid w:val="00A6641A"/>
    <w:rsid w:val="00A673B1"/>
    <w:rsid w:val="00A67CE3"/>
    <w:rsid w:val="00A716BE"/>
    <w:rsid w:val="00A748E3"/>
    <w:rsid w:val="00A75228"/>
    <w:rsid w:val="00A75790"/>
    <w:rsid w:val="00A76ED1"/>
    <w:rsid w:val="00A7762F"/>
    <w:rsid w:val="00A779E2"/>
    <w:rsid w:val="00A80C7E"/>
    <w:rsid w:val="00A8202F"/>
    <w:rsid w:val="00A9138C"/>
    <w:rsid w:val="00A93531"/>
    <w:rsid w:val="00A944C9"/>
    <w:rsid w:val="00A94E94"/>
    <w:rsid w:val="00A96313"/>
    <w:rsid w:val="00A9771B"/>
    <w:rsid w:val="00AA338D"/>
    <w:rsid w:val="00AA372D"/>
    <w:rsid w:val="00AA3CE3"/>
    <w:rsid w:val="00AA5FFB"/>
    <w:rsid w:val="00AA6765"/>
    <w:rsid w:val="00AA67FC"/>
    <w:rsid w:val="00AA6CAA"/>
    <w:rsid w:val="00AB0AF2"/>
    <w:rsid w:val="00AB15B6"/>
    <w:rsid w:val="00AB1E43"/>
    <w:rsid w:val="00AB3079"/>
    <w:rsid w:val="00AB377D"/>
    <w:rsid w:val="00AB6949"/>
    <w:rsid w:val="00AB6BE9"/>
    <w:rsid w:val="00AC1A1D"/>
    <w:rsid w:val="00AC3020"/>
    <w:rsid w:val="00AC3EF6"/>
    <w:rsid w:val="00AC5EB7"/>
    <w:rsid w:val="00AC64F7"/>
    <w:rsid w:val="00AD2F0D"/>
    <w:rsid w:val="00AD45EE"/>
    <w:rsid w:val="00AD53EB"/>
    <w:rsid w:val="00AD6802"/>
    <w:rsid w:val="00AE04F8"/>
    <w:rsid w:val="00AE7998"/>
    <w:rsid w:val="00AF03E2"/>
    <w:rsid w:val="00AF0A6C"/>
    <w:rsid w:val="00AF19DB"/>
    <w:rsid w:val="00AF625A"/>
    <w:rsid w:val="00B005EC"/>
    <w:rsid w:val="00B02911"/>
    <w:rsid w:val="00B0580C"/>
    <w:rsid w:val="00B06E9E"/>
    <w:rsid w:val="00B1292A"/>
    <w:rsid w:val="00B15098"/>
    <w:rsid w:val="00B206B1"/>
    <w:rsid w:val="00B2216D"/>
    <w:rsid w:val="00B22C74"/>
    <w:rsid w:val="00B241EA"/>
    <w:rsid w:val="00B351B8"/>
    <w:rsid w:val="00B36514"/>
    <w:rsid w:val="00B3683B"/>
    <w:rsid w:val="00B373EB"/>
    <w:rsid w:val="00B42857"/>
    <w:rsid w:val="00B44F24"/>
    <w:rsid w:val="00B45DD9"/>
    <w:rsid w:val="00B47866"/>
    <w:rsid w:val="00B54118"/>
    <w:rsid w:val="00B557F3"/>
    <w:rsid w:val="00B5691F"/>
    <w:rsid w:val="00B57273"/>
    <w:rsid w:val="00B57C49"/>
    <w:rsid w:val="00B57F9C"/>
    <w:rsid w:val="00B63BE9"/>
    <w:rsid w:val="00B65270"/>
    <w:rsid w:val="00B65BD6"/>
    <w:rsid w:val="00B705D6"/>
    <w:rsid w:val="00B706B1"/>
    <w:rsid w:val="00B72438"/>
    <w:rsid w:val="00B74E6E"/>
    <w:rsid w:val="00B75B74"/>
    <w:rsid w:val="00B76165"/>
    <w:rsid w:val="00B761B6"/>
    <w:rsid w:val="00B831E1"/>
    <w:rsid w:val="00B91370"/>
    <w:rsid w:val="00B920F1"/>
    <w:rsid w:val="00B92981"/>
    <w:rsid w:val="00B93C49"/>
    <w:rsid w:val="00B94A59"/>
    <w:rsid w:val="00B9768C"/>
    <w:rsid w:val="00BA2A2E"/>
    <w:rsid w:val="00BA2A57"/>
    <w:rsid w:val="00BB07E3"/>
    <w:rsid w:val="00BB18FB"/>
    <w:rsid w:val="00BB370D"/>
    <w:rsid w:val="00BB40F5"/>
    <w:rsid w:val="00BC1BF2"/>
    <w:rsid w:val="00BC4F96"/>
    <w:rsid w:val="00BC5D06"/>
    <w:rsid w:val="00BC671C"/>
    <w:rsid w:val="00BD1D39"/>
    <w:rsid w:val="00BE2B0F"/>
    <w:rsid w:val="00BE3809"/>
    <w:rsid w:val="00C0076F"/>
    <w:rsid w:val="00C03F8E"/>
    <w:rsid w:val="00C04FCA"/>
    <w:rsid w:val="00C054DE"/>
    <w:rsid w:val="00C07007"/>
    <w:rsid w:val="00C1434A"/>
    <w:rsid w:val="00C1552A"/>
    <w:rsid w:val="00C15F2F"/>
    <w:rsid w:val="00C165FC"/>
    <w:rsid w:val="00C17C18"/>
    <w:rsid w:val="00C21DEE"/>
    <w:rsid w:val="00C2627D"/>
    <w:rsid w:val="00C3325B"/>
    <w:rsid w:val="00C347D3"/>
    <w:rsid w:val="00C3502B"/>
    <w:rsid w:val="00C406B8"/>
    <w:rsid w:val="00C4510E"/>
    <w:rsid w:val="00C471AC"/>
    <w:rsid w:val="00C50E19"/>
    <w:rsid w:val="00C51BC8"/>
    <w:rsid w:val="00C6156D"/>
    <w:rsid w:val="00C61B8D"/>
    <w:rsid w:val="00C6350B"/>
    <w:rsid w:val="00C74500"/>
    <w:rsid w:val="00C75C83"/>
    <w:rsid w:val="00C760E3"/>
    <w:rsid w:val="00C76743"/>
    <w:rsid w:val="00C76865"/>
    <w:rsid w:val="00C76A03"/>
    <w:rsid w:val="00C76C7B"/>
    <w:rsid w:val="00C77E2C"/>
    <w:rsid w:val="00C81EEC"/>
    <w:rsid w:val="00C86B4D"/>
    <w:rsid w:val="00C87826"/>
    <w:rsid w:val="00C91B88"/>
    <w:rsid w:val="00C92714"/>
    <w:rsid w:val="00C94548"/>
    <w:rsid w:val="00C94DF6"/>
    <w:rsid w:val="00C966FD"/>
    <w:rsid w:val="00CA044F"/>
    <w:rsid w:val="00CA6B66"/>
    <w:rsid w:val="00CB1CC4"/>
    <w:rsid w:val="00CB370A"/>
    <w:rsid w:val="00CB5704"/>
    <w:rsid w:val="00CB638A"/>
    <w:rsid w:val="00CB7BC8"/>
    <w:rsid w:val="00CC05BE"/>
    <w:rsid w:val="00CC4ED3"/>
    <w:rsid w:val="00CD144D"/>
    <w:rsid w:val="00CD4FE8"/>
    <w:rsid w:val="00CE006E"/>
    <w:rsid w:val="00CE0957"/>
    <w:rsid w:val="00CE54D3"/>
    <w:rsid w:val="00CF0285"/>
    <w:rsid w:val="00CF0F49"/>
    <w:rsid w:val="00CF4ECA"/>
    <w:rsid w:val="00CF51A9"/>
    <w:rsid w:val="00CF6092"/>
    <w:rsid w:val="00CF7DD5"/>
    <w:rsid w:val="00D00541"/>
    <w:rsid w:val="00D1261E"/>
    <w:rsid w:val="00D12CCF"/>
    <w:rsid w:val="00D14A65"/>
    <w:rsid w:val="00D14E4F"/>
    <w:rsid w:val="00D17BD1"/>
    <w:rsid w:val="00D2101B"/>
    <w:rsid w:val="00D22FAE"/>
    <w:rsid w:val="00D2451A"/>
    <w:rsid w:val="00D26A8C"/>
    <w:rsid w:val="00D27A59"/>
    <w:rsid w:val="00D302FF"/>
    <w:rsid w:val="00D30F13"/>
    <w:rsid w:val="00D33CCB"/>
    <w:rsid w:val="00D35726"/>
    <w:rsid w:val="00D36ABE"/>
    <w:rsid w:val="00D4233B"/>
    <w:rsid w:val="00D44122"/>
    <w:rsid w:val="00D4645F"/>
    <w:rsid w:val="00D47897"/>
    <w:rsid w:val="00D479CC"/>
    <w:rsid w:val="00D62097"/>
    <w:rsid w:val="00D6678F"/>
    <w:rsid w:val="00D71D00"/>
    <w:rsid w:val="00D851AB"/>
    <w:rsid w:val="00D91337"/>
    <w:rsid w:val="00D937EC"/>
    <w:rsid w:val="00D95008"/>
    <w:rsid w:val="00D96155"/>
    <w:rsid w:val="00D967C3"/>
    <w:rsid w:val="00D97758"/>
    <w:rsid w:val="00D97B53"/>
    <w:rsid w:val="00D97E8E"/>
    <w:rsid w:val="00DA10A6"/>
    <w:rsid w:val="00DA3148"/>
    <w:rsid w:val="00DA6B7E"/>
    <w:rsid w:val="00DB2A66"/>
    <w:rsid w:val="00DB319D"/>
    <w:rsid w:val="00DB5D11"/>
    <w:rsid w:val="00DC34DE"/>
    <w:rsid w:val="00DC52D6"/>
    <w:rsid w:val="00DC5AFE"/>
    <w:rsid w:val="00DD09A0"/>
    <w:rsid w:val="00DD2A32"/>
    <w:rsid w:val="00DD3D23"/>
    <w:rsid w:val="00DD619C"/>
    <w:rsid w:val="00DD6920"/>
    <w:rsid w:val="00DE2519"/>
    <w:rsid w:val="00DE25D8"/>
    <w:rsid w:val="00DE3D09"/>
    <w:rsid w:val="00DE7569"/>
    <w:rsid w:val="00DF197E"/>
    <w:rsid w:val="00DF70E8"/>
    <w:rsid w:val="00E02344"/>
    <w:rsid w:val="00E035E4"/>
    <w:rsid w:val="00E07BD6"/>
    <w:rsid w:val="00E10A13"/>
    <w:rsid w:val="00E12D8B"/>
    <w:rsid w:val="00E13BFF"/>
    <w:rsid w:val="00E14A7A"/>
    <w:rsid w:val="00E16B8C"/>
    <w:rsid w:val="00E3142A"/>
    <w:rsid w:val="00E327EC"/>
    <w:rsid w:val="00E37310"/>
    <w:rsid w:val="00E37A92"/>
    <w:rsid w:val="00E37C4F"/>
    <w:rsid w:val="00E37E15"/>
    <w:rsid w:val="00E403BF"/>
    <w:rsid w:val="00E5414D"/>
    <w:rsid w:val="00E55848"/>
    <w:rsid w:val="00E57975"/>
    <w:rsid w:val="00E61F56"/>
    <w:rsid w:val="00E62B5C"/>
    <w:rsid w:val="00E66A3A"/>
    <w:rsid w:val="00E70BCE"/>
    <w:rsid w:val="00E7649F"/>
    <w:rsid w:val="00E76D2A"/>
    <w:rsid w:val="00E76DDA"/>
    <w:rsid w:val="00E81C96"/>
    <w:rsid w:val="00E82E30"/>
    <w:rsid w:val="00EA4E56"/>
    <w:rsid w:val="00EA7811"/>
    <w:rsid w:val="00EB6B66"/>
    <w:rsid w:val="00EC070E"/>
    <w:rsid w:val="00EC222D"/>
    <w:rsid w:val="00EC460F"/>
    <w:rsid w:val="00EC4778"/>
    <w:rsid w:val="00EC54CE"/>
    <w:rsid w:val="00EC6E34"/>
    <w:rsid w:val="00EC7F11"/>
    <w:rsid w:val="00ED2AE0"/>
    <w:rsid w:val="00ED4FCC"/>
    <w:rsid w:val="00ED5C7E"/>
    <w:rsid w:val="00ED767C"/>
    <w:rsid w:val="00EE01F0"/>
    <w:rsid w:val="00EE2F0A"/>
    <w:rsid w:val="00EE40AE"/>
    <w:rsid w:val="00EE5378"/>
    <w:rsid w:val="00EE76EB"/>
    <w:rsid w:val="00EE7E99"/>
    <w:rsid w:val="00EF2C39"/>
    <w:rsid w:val="00EF2F48"/>
    <w:rsid w:val="00F01391"/>
    <w:rsid w:val="00F040EF"/>
    <w:rsid w:val="00F05538"/>
    <w:rsid w:val="00F12E14"/>
    <w:rsid w:val="00F17160"/>
    <w:rsid w:val="00F20455"/>
    <w:rsid w:val="00F27821"/>
    <w:rsid w:val="00F32C07"/>
    <w:rsid w:val="00F41E1C"/>
    <w:rsid w:val="00F430DF"/>
    <w:rsid w:val="00F43167"/>
    <w:rsid w:val="00F519D7"/>
    <w:rsid w:val="00F531D8"/>
    <w:rsid w:val="00F60A66"/>
    <w:rsid w:val="00F63D8C"/>
    <w:rsid w:val="00F65544"/>
    <w:rsid w:val="00F67263"/>
    <w:rsid w:val="00F734B8"/>
    <w:rsid w:val="00F759B3"/>
    <w:rsid w:val="00F76A66"/>
    <w:rsid w:val="00F77A0E"/>
    <w:rsid w:val="00F83D17"/>
    <w:rsid w:val="00F857B6"/>
    <w:rsid w:val="00F85C2C"/>
    <w:rsid w:val="00F915C7"/>
    <w:rsid w:val="00F9197A"/>
    <w:rsid w:val="00F93D23"/>
    <w:rsid w:val="00F95867"/>
    <w:rsid w:val="00FA1046"/>
    <w:rsid w:val="00FA12FE"/>
    <w:rsid w:val="00FA26E1"/>
    <w:rsid w:val="00FB072E"/>
    <w:rsid w:val="00FB0A1B"/>
    <w:rsid w:val="00FB354F"/>
    <w:rsid w:val="00FC00D6"/>
    <w:rsid w:val="00FC586D"/>
    <w:rsid w:val="00FD2A3B"/>
    <w:rsid w:val="00FE17F3"/>
    <w:rsid w:val="00FE78FD"/>
    <w:rsid w:val="00FE7A8E"/>
    <w:rsid w:val="00FF018F"/>
    <w:rsid w:val="00FF41F1"/>
    <w:rsid w:val="00FF6829"/>
    <w:rsid w:val="00FF7BC4"/>
  </w:rsids>
  <m:mathPr>
    <m:mathFont m:val="Cambria Math"/>
    <m:brkBin m:val="before"/>
    <m:brkBinSub m:val="--"/>
    <m:smallFrac m:val="0"/>
    <m:dispDef/>
    <m:lMargin m:val="0"/>
    <m:rMargin m:val="0"/>
    <m:defJc m:val="centerGroup"/>
    <m:wrapIndent m:val="1440"/>
    <m:intLim m:val="subSup"/>
    <m:naryLim m:val="undOvr"/>
  </m:mathPr>
  <w:themeFontLang w:val="lv-LV"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87BE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4"/>
        <w:szCs w:val="22"/>
        <w:lang w:val="lv-LV" w:eastAsia="en-US" w:bidi="ar-SA"/>
        <w14:ligatures w14:val="standardContextual"/>
      </w:rPr>
    </w:rPrDefault>
    <w:pPrDefault>
      <w:pPr>
        <w:spacing w:line="276" w:lineRule="auto"/>
        <w:ind w:firstLine="720"/>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32AE8"/>
  </w:style>
  <w:style w:type="paragraph" w:styleId="Heading1">
    <w:name w:val="heading 1"/>
    <w:basedOn w:val="Normal"/>
    <w:next w:val="Normal"/>
    <w:link w:val="Heading1Char"/>
    <w:uiPriority w:val="9"/>
    <w:qFormat/>
    <w:rsid w:val="00332AE8"/>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32AE8"/>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32AE8"/>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32AE8"/>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332AE8"/>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332AE8"/>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332AE8"/>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332AE8"/>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332AE8"/>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32AE8"/>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32AE8"/>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32AE8"/>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32AE8"/>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332AE8"/>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332AE8"/>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332AE8"/>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332AE8"/>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332AE8"/>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332AE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2AE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32AE8"/>
    <w:pPr>
      <w:numPr>
        <w:ilvl w:val="1"/>
      </w:numPr>
      <w:spacing w:after="160"/>
      <w:ind w:firstLine="72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32AE8"/>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332AE8"/>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332AE8"/>
    <w:rPr>
      <w:i/>
      <w:iCs/>
      <w:color w:val="404040" w:themeColor="text1" w:themeTint="BF"/>
    </w:rPr>
  </w:style>
  <w:style w:type="paragraph" w:styleId="ListParagraph">
    <w:name w:val="List Paragraph"/>
    <w:basedOn w:val="Normal"/>
    <w:uiPriority w:val="34"/>
    <w:qFormat/>
    <w:rsid w:val="00332AE8"/>
    <w:pPr>
      <w:ind w:left="720"/>
      <w:contextualSpacing/>
    </w:pPr>
  </w:style>
  <w:style w:type="character" w:styleId="IntenseEmphasis">
    <w:name w:val="Intense Emphasis"/>
    <w:basedOn w:val="DefaultParagraphFont"/>
    <w:uiPriority w:val="21"/>
    <w:qFormat/>
    <w:rsid w:val="00332AE8"/>
    <w:rPr>
      <w:i/>
      <w:iCs/>
      <w:color w:val="2F5496" w:themeColor="accent1" w:themeShade="BF"/>
    </w:rPr>
  </w:style>
  <w:style w:type="paragraph" w:styleId="IntenseQuote">
    <w:name w:val="Intense Quote"/>
    <w:basedOn w:val="Normal"/>
    <w:next w:val="Normal"/>
    <w:link w:val="IntenseQuoteChar"/>
    <w:uiPriority w:val="30"/>
    <w:qFormat/>
    <w:rsid w:val="00332AE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32AE8"/>
    <w:rPr>
      <w:i/>
      <w:iCs/>
      <w:color w:val="2F5496" w:themeColor="accent1" w:themeShade="BF"/>
    </w:rPr>
  </w:style>
  <w:style w:type="character" w:styleId="IntenseReference">
    <w:name w:val="Intense Reference"/>
    <w:basedOn w:val="DefaultParagraphFont"/>
    <w:uiPriority w:val="32"/>
    <w:qFormat/>
    <w:rsid w:val="00332AE8"/>
    <w:rPr>
      <w:b/>
      <w:bCs/>
      <w:smallCaps/>
      <w:color w:val="2F5496" w:themeColor="accent1" w:themeShade="BF"/>
      <w:spacing w:val="5"/>
    </w:rPr>
  </w:style>
  <w:style w:type="paragraph" w:styleId="Footer">
    <w:name w:val="footer"/>
    <w:basedOn w:val="Normal"/>
    <w:link w:val="FooterChar"/>
    <w:uiPriority w:val="99"/>
    <w:unhideWhenUsed/>
    <w:rsid w:val="00332AE8"/>
    <w:pPr>
      <w:tabs>
        <w:tab w:val="center" w:pos="4513"/>
        <w:tab w:val="right" w:pos="9026"/>
      </w:tabs>
      <w:spacing w:line="240" w:lineRule="auto"/>
    </w:pPr>
  </w:style>
  <w:style w:type="character" w:customStyle="1" w:styleId="FooterChar">
    <w:name w:val="Footer Char"/>
    <w:basedOn w:val="DefaultParagraphFont"/>
    <w:link w:val="Footer"/>
    <w:uiPriority w:val="99"/>
    <w:rsid w:val="00332AE8"/>
  </w:style>
  <w:style w:type="table" w:styleId="TableGrid">
    <w:name w:val="Table Grid"/>
    <w:basedOn w:val="TableNormal"/>
    <w:uiPriority w:val="39"/>
    <w:rsid w:val="00332AE8"/>
    <w:pPr>
      <w:spacing w:line="240" w:lineRule="auto"/>
      <w:ind w:firstLine="0"/>
      <w:jc w:val="left"/>
    </w:pPr>
    <w:rPr>
      <w:rFonts w:asciiTheme="minorHAnsi" w:hAnsiTheme="minorHAnsi"/>
      <w:kern w:val="0"/>
      <w:sz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332AE8"/>
    <w:rPr>
      <w:color w:val="0563C1"/>
      <w:u w:val="single"/>
    </w:rPr>
  </w:style>
  <w:style w:type="character" w:styleId="CommentReference">
    <w:name w:val="annotation reference"/>
    <w:basedOn w:val="DefaultParagraphFont"/>
    <w:uiPriority w:val="99"/>
    <w:semiHidden/>
    <w:unhideWhenUsed/>
    <w:rsid w:val="00D97E8E"/>
    <w:rPr>
      <w:sz w:val="16"/>
      <w:szCs w:val="16"/>
    </w:rPr>
  </w:style>
  <w:style w:type="paragraph" w:styleId="CommentText">
    <w:name w:val="annotation text"/>
    <w:basedOn w:val="Normal"/>
    <w:link w:val="CommentTextChar"/>
    <w:uiPriority w:val="99"/>
    <w:semiHidden/>
    <w:unhideWhenUsed/>
    <w:rsid w:val="00D97E8E"/>
    <w:pPr>
      <w:spacing w:line="240" w:lineRule="auto"/>
    </w:pPr>
    <w:rPr>
      <w:sz w:val="20"/>
      <w:szCs w:val="20"/>
    </w:rPr>
  </w:style>
  <w:style w:type="character" w:customStyle="1" w:styleId="CommentTextChar">
    <w:name w:val="Comment Text Char"/>
    <w:basedOn w:val="DefaultParagraphFont"/>
    <w:link w:val="CommentText"/>
    <w:uiPriority w:val="99"/>
    <w:semiHidden/>
    <w:rsid w:val="00D97E8E"/>
    <w:rPr>
      <w:sz w:val="20"/>
      <w:szCs w:val="20"/>
    </w:rPr>
  </w:style>
  <w:style w:type="character" w:styleId="FollowedHyperlink">
    <w:name w:val="FollowedHyperlink"/>
    <w:basedOn w:val="DefaultParagraphFont"/>
    <w:uiPriority w:val="99"/>
    <w:semiHidden/>
    <w:unhideWhenUsed/>
    <w:rsid w:val="00477C3E"/>
    <w:rPr>
      <w:color w:val="954F72" w:themeColor="followedHyperlink"/>
      <w:u w:val="single"/>
    </w:rPr>
  </w:style>
  <w:style w:type="paragraph" w:styleId="Header">
    <w:name w:val="header"/>
    <w:basedOn w:val="Normal"/>
    <w:link w:val="HeaderChar"/>
    <w:uiPriority w:val="99"/>
    <w:unhideWhenUsed/>
    <w:rsid w:val="00FB072E"/>
    <w:pPr>
      <w:tabs>
        <w:tab w:val="center" w:pos="4513"/>
        <w:tab w:val="right" w:pos="9026"/>
      </w:tabs>
      <w:spacing w:line="240" w:lineRule="auto"/>
    </w:pPr>
  </w:style>
  <w:style w:type="character" w:customStyle="1" w:styleId="HeaderChar">
    <w:name w:val="Header Char"/>
    <w:basedOn w:val="DefaultParagraphFont"/>
    <w:link w:val="Header"/>
    <w:uiPriority w:val="99"/>
    <w:rsid w:val="00FB07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satv.tiesa.gov.lv/web/viewer.html?file=/wp-content/uploads/2017/05/2017-16-01_Spriedums.pdf" TargetMode="Externa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7390</Words>
  <Characters>4213</Characters>
  <Application>Microsoft Office Word</Application>
  <DocSecurity>0</DocSecurity>
  <Lines>35</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2025-04-25T09:07:00Z</dcterms:created>
  <dcterms:modified xsi:type="dcterms:W3CDTF">2025-04-25T12:30:00Z</dcterms:modified>
</cp:coreProperties>
</file>