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ED67" w14:textId="15AE3C8D" w:rsidR="007F0E08" w:rsidRPr="000349BA" w:rsidRDefault="00884A2A" w:rsidP="00884A2A">
      <w:pPr>
        <w:spacing w:line="276" w:lineRule="auto"/>
        <w:jc w:val="both"/>
        <w:rPr>
          <w:b/>
          <w:bCs/>
        </w:rPr>
      </w:pPr>
      <w:r w:rsidRPr="000349BA">
        <w:rPr>
          <w:b/>
          <w:bCs/>
        </w:rPr>
        <w:t>Rēķina anulēšana kā pamats pievienotās vērtības nodokļa korekcijai</w:t>
      </w:r>
    </w:p>
    <w:p w14:paraId="3716489E" w14:textId="67D7AE9F" w:rsidR="007F0E08" w:rsidRPr="000349BA" w:rsidRDefault="007F0E08" w:rsidP="00877CBD">
      <w:pPr>
        <w:pStyle w:val="BodyText2"/>
        <w:spacing w:after="0" w:line="276" w:lineRule="auto"/>
        <w:jc w:val="center"/>
        <w:rPr>
          <w:rFonts w:asciiTheme="majorBidi" w:hAnsiTheme="majorBidi" w:cstheme="majorBidi"/>
        </w:rPr>
      </w:pPr>
    </w:p>
    <w:p w14:paraId="6CECAABD" w14:textId="6E9D8410" w:rsidR="007F0E08" w:rsidRPr="000349BA" w:rsidRDefault="007F0E08" w:rsidP="00877CBD">
      <w:pPr>
        <w:spacing w:line="276" w:lineRule="auto"/>
        <w:jc w:val="center"/>
        <w:rPr>
          <w:rFonts w:asciiTheme="majorBidi" w:hAnsiTheme="majorBidi" w:cstheme="majorBidi"/>
          <w:b/>
        </w:rPr>
      </w:pPr>
      <w:r w:rsidRPr="000349BA">
        <w:rPr>
          <w:rFonts w:asciiTheme="majorBidi" w:hAnsiTheme="majorBidi" w:cstheme="majorBidi"/>
          <w:b/>
        </w:rPr>
        <w:t>Latvijas Republikas Senāt</w:t>
      </w:r>
      <w:r w:rsidR="00884A2A" w:rsidRPr="000349BA">
        <w:rPr>
          <w:rFonts w:asciiTheme="majorBidi" w:hAnsiTheme="majorBidi" w:cstheme="majorBidi"/>
          <w:b/>
        </w:rPr>
        <w:t>a</w:t>
      </w:r>
      <w:r w:rsidR="00884A2A" w:rsidRPr="000349BA">
        <w:rPr>
          <w:rFonts w:asciiTheme="majorBidi" w:hAnsiTheme="majorBidi" w:cstheme="majorBidi"/>
          <w:b/>
        </w:rPr>
        <w:br/>
        <w:t xml:space="preserve">Administratīvo lietu departamenta </w:t>
      </w:r>
      <w:r w:rsidR="00884A2A" w:rsidRPr="000349BA">
        <w:rPr>
          <w:rFonts w:asciiTheme="majorBidi" w:hAnsiTheme="majorBidi" w:cstheme="majorBidi"/>
          <w:b/>
        </w:rPr>
        <w:br/>
        <w:t xml:space="preserve">2025.gada 28.marta </w:t>
      </w:r>
    </w:p>
    <w:p w14:paraId="4E5F1097" w14:textId="77777777" w:rsidR="007F0E08" w:rsidRPr="000349BA" w:rsidRDefault="007F0E08" w:rsidP="00877CBD">
      <w:pPr>
        <w:spacing w:line="276" w:lineRule="auto"/>
        <w:jc w:val="center"/>
        <w:rPr>
          <w:rFonts w:asciiTheme="majorBidi" w:hAnsiTheme="majorBidi" w:cstheme="majorBidi"/>
          <w:b/>
          <w:bCs/>
        </w:rPr>
      </w:pPr>
      <w:r w:rsidRPr="000349BA">
        <w:rPr>
          <w:rFonts w:asciiTheme="majorBidi" w:hAnsiTheme="majorBidi" w:cstheme="majorBidi"/>
          <w:b/>
        </w:rPr>
        <w:t>RĪCĪBAS SĒDES LĒMUMS</w:t>
      </w:r>
    </w:p>
    <w:p w14:paraId="7108E7FA" w14:textId="2E4CDD73" w:rsidR="00884A2A" w:rsidRPr="000349BA" w:rsidRDefault="00884A2A" w:rsidP="00884A2A">
      <w:pPr>
        <w:spacing w:line="276" w:lineRule="auto"/>
        <w:jc w:val="center"/>
        <w:rPr>
          <w:rFonts w:asciiTheme="majorBidi" w:hAnsiTheme="majorBidi" w:cstheme="majorBidi"/>
          <w:b/>
          <w:bCs/>
        </w:rPr>
      </w:pPr>
      <w:r w:rsidRPr="000349BA">
        <w:rPr>
          <w:rFonts w:asciiTheme="majorBidi" w:eastAsiaTheme="minorEastAsia" w:hAnsiTheme="majorBidi" w:cstheme="majorBidi"/>
          <w:b/>
          <w:bCs/>
          <w:lang w:eastAsia="en-US"/>
        </w:rPr>
        <w:t>Lieta Nr. A</w:t>
      </w:r>
      <w:r w:rsidRPr="000349BA">
        <w:rPr>
          <w:rFonts w:asciiTheme="majorBidi" w:hAnsiTheme="majorBidi" w:cstheme="majorBidi"/>
          <w:b/>
          <w:bCs/>
        </w:rPr>
        <w:t xml:space="preserve">420236921, </w:t>
      </w:r>
      <w:r w:rsidRPr="000349BA">
        <w:rPr>
          <w:rFonts w:asciiTheme="majorBidi" w:hAnsiTheme="majorBidi" w:cstheme="majorBidi"/>
          <w:b/>
          <w:bCs/>
          <w:shd w:val="clear" w:color="auto" w:fill="FFFFFF"/>
        </w:rPr>
        <w:t>SKA-136/2025</w:t>
      </w:r>
    </w:p>
    <w:p w14:paraId="651E435D" w14:textId="4149379F" w:rsidR="007F0E08" w:rsidRPr="000349BA" w:rsidRDefault="00884A2A" w:rsidP="00884A2A">
      <w:pPr>
        <w:spacing w:line="276" w:lineRule="auto"/>
        <w:jc w:val="center"/>
        <w:rPr>
          <w:color w:val="0000ED"/>
        </w:rPr>
      </w:pPr>
      <w:r w:rsidRPr="000349BA">
        <w:t xml:space="preserve"> </w:t>
      </w:r>
      <w:hyperlink r:id="rId8" w:history="1">
        <w:r w:rsidRPr="00203BF9">
          <w:rPr>
            <w:rStyle w:val="Hyperlink"/>
          </w:rPr>
          <w:t>ECLI:LV:AT:2025:0328.A420236921.14.L</w:t>
        </w:r>
      </w:hyperlink>
    </w:p>
    <w:p w14:paraId="151275DC" w14:textId="77777777" w:rsidR="00884A2A" w:rsidRPr="000349BA" w:rsidRDefault="00884A2A" w:rsidP="00884A2A">
      <w:pPr>
        <w:spacing w:line="276" w:lineRule="auto"/>
        <w:jc w:val="center"/>
        <w:rPr>
          <w:rFonts w:asciiTheme="majorBidi" w:hAnsiTheme="majorBidi" w:cstheme="majorBidi"/>
        </w:rPr>
      </w:pPr>
    </w:p>
    <w:p w14:paraId="6FA7C9B5" w14:textId="718B50E4" w:rsidR="00DD2D87" w:rsidRPr="000349BA" w:rsidRDefault="007F0E08" w:rsidP="009E426A">
      <w:pPr>
        <w:tabs>
          <w:tab w:val="left" w:pos="540"/>
          <w:tab w:val="left" w:pos="720"/>
        </w:tabs>
        <w:spacing w:line="276" w:lineRule="auto"/>
        <w:ind w:firstLine="720"/>
        <w:jc w:val="both"/>
        <w:rPr>
          <w:rFonts w:asciiTheme="majorBidi" w:hAnsiTheme="majorBidi" w:cstheme="majorBidi"/>
        </w:rPr>
      </w:pPr>
      <w:r w:rsidRPr="000349BA">
        <w:rPr>
          <w:rFonts w:asciiTheme="majorBidi" w:hAnsiTheme="majorBidi" w:cstheme="majorBidi"/>
        </w:rPr>
        <w:t>[1]</w:t>
      </w:r>
      <w:r w:rsidR="00395063" w:rsidRPr="000349BA">
        <w:rPr>
          <w:rFonts w:asciiTheme="majorBidi" w:hAnsiTheme="majorBidi" w:cstheme="majorBidi"/>
        </w:rPr>
        <w:t> </w:t>
      </w:r>
      <w:r w:rsidR="00DE4142" w:rsidRPr="000349BA">
        <w:rPr>
          <w:rFonts w:asciiTheme="majorBidi" w:hAnsiTheme="majorBidi" w:cstheme="majorBidi"/>
        </w:rPr>
        <w:t>Atbildētājs Valsts ieņēmumu dienests</w:t>
      </w:r>
      <w:r w:rsidR="006B6C3F" w:rsidRPr="000349BA">
        <w:rPr>
          <w:rFonts w:asciiTheme="majorBidi" w:hAnsiTheme="majorBidi" w:cstheme="majorBidi"/>
        </w:rPr>
        <w:t xml:space="preserve"> (turpmāk – dienests)</w:t>
      </w:r>
      <w:r w:rsidR="00F7526B" w:rsidRPr="000349BA">
        <w:rPr>
          <w:rFonts w:asciiTheme="majorBidi" w:hAnsiTheme="majorBidi" w:cstheme="majorBidi"/>
        </w:rPr>
        <w:t xml:space="preserve"> </w:t>
      </w:r>
      <w:r w:rsidR="00940F8F" w:rsidRPr="000349BA">
        <w:rPr>
          <w:rFonts w:asciiTheme="majorBidi" w:hAnsiTheme="majorBidi" w:cstheme="majorBidi"/>
        </w:rPr>
        <w:t>ir iesnie</w:t>
      </w:r>
      <w:r w:rsidR="00DA3240" w:rsidRPr="000349BA">
        <w:rPr>
          <w:rFonts w:asciiTheme="majorBidi" w:hAnsiTheme="majorBidi" w:cstheme="majorBidi"/>
        </w:rPr>
        <w:t>dzis</w:t>
      </w:r>
      <w:r w:rsidR="00591A10" w:rsidRPr="000349BA">
        <w:rPr>
          <w:rFonts w:asciiTheme="majorBidi" w:hAnsiTheme="majorBidi" w:cstheme="majorBidi"/>
        </w:rPr>
        <w:t xml:space="preserve"> </w:t>
      </w:r>
      <w:r w:rsidR="00940F8F" w:rsidRPr="000349BA">
        <w:rPr>
          <w:rFonts w:asciiTheme="majorBidi" w:hAnsiTheme="majorBidi" w:cstheme="majorBidi"/>
        </w:rPr>
        <w:t>kasācijas sūdzību par Administratīvās apgabaltiesas 202</w:t>
      </w:r>
      <w:r w:rsidR="00DD2D87" w:rsidRPr="000349BA">
        <w:rPr>
          <w:rFonts w:asciiTheme="majorBidi" w:hAnsiTheme="majorBidi" w:cstheme="majorBidi"/>
        </w:rPr>
        <w:t>3</w:t>
      </w:r>
      <w:r w:rsidR="00940F8F" w:rsidRPr="000349BA">
        <w:rPr>
          <w:rFonts w:asciiTheme="majorBidi" w:hAnsiTheme="majorBidi" w:cstheme="majorBidi"/>
        </w:rPr>
        <w:t xml:space="preserve">.gada </w:t>
      </w:r>
      <w:r w:rsidR="00DD2D87" w:rsidRPr="000349BA">
        <w:rPr>
          <w:rFonts w:asciiTheme="majorBidi" w:hAnsiTheme="majorBidi" w:cstheme="majorBidi"/>
        </w:rPr>
        <w:t>20.decembra</w:t>
      </w:r>
      <w:r w:rsidR="00940F8F" w:rsidRPr="000349BA">
        <w:rPr>
          <w:rFonts w:asciiTheme="majorBidi" w:hAnsiTheme="majorBidi" w:cstheme="majorBidi"/>
        </w:rPr>
        <w:t xml:space="preserve"> spriedumu, ar kuru </w:t>
      </w:r>
      <w:r w:rsidR="00DD2D87" w:rsidRPr="000349BA">
        <w:rPr>
          <w:rFonts w:asciiTheme="majorBidi" w:hAnsiTheme="majorBidi" w:cstheme="majorBidi"/>
        </w:rPr>
        <w:t>apmierināts</w:t>
      </w:r>
      <w:r w:rsidR="009E426A" w:rsidRPr="000349BA">
        <w:rPr>
          <w:rFonts w:asciiTheme="majorBidi" w:hAnsiTheme="majorBidi" w:cstheme="majorBidi"/>
        </w:rPr>
        <w:t xml:space="preserve"> </w:t>
      </w:r>
      <w:r w:rsidR="00877CBD" w:rsidRPr="000349BA">
        <w:rPr>
          <w:rFonts w:asciiTheme="majorBidi" w:hAnsiTheme="majorBidi" w:cstheme="majorBidi"/>
        </w:rPr>
        <w:t>pieteicēja</w:t>
      </w:r>
      <w:r w:rsidR="00DD2D87" w:rsidRPr="000349BA">
        <w:rPr>
          <w:rFonts w:asciiTheme="majorBidi" w:hAnsiTheme="majorBidi" w:cstheme="majorBidi"/>
        </w:rPr>
        <w:t>s</w:t>
      </w:r>
      <w:r w:rsidR="00877CBD" w:rsidRPr="000349BA">
        <w:rPr>
          <w:rFonts w:asciiTheme="majorBidi" w:hAnsiTheme="majorBidi" w:cstheme="majorBidi"/>
        </w:rPr>
        <w:t xml:space="preserve"> </w:t>
      </w:r>
      <w:r w:rsidR="00DD2D87" w:rsidRPr="000349BA">
        <w:rPr>
          <w:rFonts w:asciiTheme="majorBidi" w:hAnsiTheme="majorBidi" w:cstheme="majorBidi"/>
        </w:rPr>
        <w:t xml:space="preserve">SIA ,,b2b konsultants” </w:t>
      </w:r>
      <w:r w:rsidR="00877CBD" w:rsidRPr="000349BA">
        <w:rPr>
          <w:rFonts w:asciiTheme="majorBidi" w:hAnsiTheme="majorBidi" w:cstheme="majorBidi"/>
        </w:rPr>
        <w:t xml:space="preserve">pieteikums par </w:t>
      </w:r>
      <w:r w:rsidR="00640D80" w:rsidRPr="000349BA">
        <w:rPr>
          <w:rFonts w:asciiTheme="majorBidi" w:hAnsiTheme="majorBidi" w:cstheme="majorBidi"/>
        </w:rPr>
        <w:t xml:space="preserve">Valsts ieņēmumu dienesta </w:t>
      </w:r>
      <w:r w:rsidR="00DD2D87" w:rsidRPr="000349BA">
        <w:rPr>
          <w:rFonts w:asciiTheme="majorBidi" w:hAnsiTheme="majorBidi" w:cstheme="majorBidi"/>
        </w:rPr>
        <w:t>2021.gada 24.augusta lēmuma Nr. 30.3-22.9/22.9/9072 (turpmāk – pārsūdzētais lēmums) atcelšanu.</w:t>
      </w:r>
    </w:p>
    <w:p w14:paraId="45CE763B" w14:textId="1F88106C" w:rsidR="006B6C3F" w:rsidRPr="000349BA" w:rsidRDefault="006B6C3F" w:rsidP="006B6C3F">
      <w:pPr>
        <w:tabs>
          <w:tab w:val="left" w:pos="540"/>
          <w:tab w:val="left" w:pos="720"/>
        </w:tabs>
        <w:spacing w:line="276" w:lineRule="auto"/>
        <w:ind w:firstLine="720"/>
        <w:jc w:val="both"/>
        <w:rPr>
          <w:rFonts w:asciiTheme="majorBidi" w:hAnsiTheme="majorBidi" w:cstheme="majorBidi"/>
        </w:rPr>
      </w:pPr>
      <w:r w:rsidRPr="000349BA">
        <w:rPr>
          <w:rFonts w:asciiTheme="majorBidi" w:hAnsiTheme="majorBidi" w:cstheme="majorBidi"/>
        </w:rPr>
        <w:t>Dienests, veicot datu atbilstības pārbaudi, konstatēja, ka pieteicēja ir fiziskai personai izrakstījusi rēķinu par sniegtajiem juridiskajiem pakalpojumiem 1 210 000 </w:t>
      </w:r>
      <w:r w:rsidRPr="000349BA">
        <w:rPr>
          <w:rFonts w:asciiTheme="majorBidi" w:hAnsiTheme="majorBidi" w:cstheme="majorBidi"/>
          <w:i/>
          <w:iCs/>
        </w:rPr>
        <w:t xml:space="preserve">euro </w:t>
      </w:r>
      <w:r w:rsidRPr="000349BA">
        <w:rPr>
          <w:rFonts w:asciiTheme="majorBidi" w:hAnsiTheme="majorBidi" w:cstheme="majorBidi"/>
        </w:rPr>
        <w:t>vērtībā, tajā skaitā pievienotās vērtības nodokli 210 000 </w:t>
      </w:r>
      <w:r w:rsidRPr="000349BA">
        <w:rPr>
          <w:rFonts w:asciiTheme="majorBidi" w:hAnsiTheme="majorBidi" w:cstheme="majorBidi"/>
          <w:i/>
          <w:iCs/>
        </w:rPr>
        <w:t>euro</w:t>
      </w:r>
      <w:r w:rsidRPr="000349BA">
        <w:rPr>
          <w:rFonts w:asciiTheme="majorBidi" w:hAnsiTheme="majorBidi" w:cstheme="majorBidi"/>
        </w:rPr>
        <w:t>, taču nav šo darījumu deklarējusi, kā arī nav aprēķinājusi un iemaksājusi budžetā nodokli. Tādējādi a</w:t>
      </w:r>
      <w:r w:rsidR="00640D80" w:rsidRPr="000349BA">
        <w:rPr>
          <w:rFonts w:asciiTheme="majorBidi" w:hAnsiTheme="majorBidi" w:cstheme="majorBidi"/>
        </w:rPr>
        <w:t xml:space="preserve">r pārsūdzēto lēmumu </w:t>
      </w:r>
      <w:r w:rsidR="009E426A" w:rsidRPr="000349BA">
        <w:t>pieteicējai noteikts pienākums samaksāt budžetā pievienotā</w:t>
      </w:r>
      <w:r w:rsidR="003E328E" w:rsidRPr="000349BA">
        <w:t>s</w:t>
      </w:r>
      <w:r w:rsidR="009E426A" w:rsidRPr="000349BA">
        <w:t xml:space="preserve"> vērtības nodokli 210 000 </w:t>
      </w:r>
      <w:r w:rsidR="009E426A" w:rsidRPr="000349BA">
        <w:rPr>
          <w:i/>
          <w:iCs/>
        </w:rPr>
        <w:t xml:space="preserve">euro </w:t>
      </w:r>
      <w:r w:rsidR="009E426A" w:rsidRPr="000349BA">
        <w:t>un nokavējuma naudu 84 000 </w:t>
      </w:r>
      <w:r w:rsidR="009E426A" w:rsidRPr="000349BA">
        <w:rPr>
          <w:i/>
          <w:iCs/>
        </w:rPr>
        <w:t>euro</w:t>
      </w:r>
      <w:r w:rsidR="009E426A" w:rsidRPr="000349BA">
        <w:t>.</w:t>
      </w:r>
    </w:p>
    <w:p w14:paraId="37CB3FD0" w14:textId="629FA1A5" w:rsidR="00DE4142" w:rsidRPr="000349BA" w:rsidRDefault="006B6C3F" w:rsidP="00497790">
      <w:pPr>
        <w:tabs>
          <w:tab w:val="left" w:pos="540"/>
          <w:tab w:val="left" w:pos="720"/>
        </w:tabs>
        <w:spacing w:line="276" w:lineRule="auto"/>
        <w:ind w:firstLine="720"/>
        <w:jc w:val="both"/>
      </w:pPr>
      <w:r w:rsidRPr="000349BA">
        <w:t>Apgabalt</w:t>
      </w:r>
      <w:r w:rsidR="00640D80" w:rsidRPr="000349BA">
        <w:t>iesa</w:t>
      </w:r>
      <w:r w:rsidRPr="000349BA">
        <w:t xml:space="preserve"> spriedumā</w:t>
      </w:r>
      <w:r w:rsidR="00640D80" w:rsidRPr="000349BA">
        <w:t xml:space="preserve"> atzina, ka </w:t>
      </w:r>
      <w:r w:rsidRPr="000349BA">
        <w:t>atbilstoši apstākļiem, kas pastāvēja administratīvā akta izdošanas brīdī, pārsūdzētais lēmums vērtējams kā pareizs un pamatots.</w:t>
      </w:r>
      <w:r w:rsidR="00026B21" w:rsidRPr="000349BA">
        <w:t xml:space="preserve"> Tomēr lietā ir mainījušies faktiskie apstākļi</w:t>
      </w:r>
      <w:r w:rsidR="00497790" w:rsidRPr="000349BA">
        <w:t xml:space="preserve"> – nav konstatējams ar nodokli apliekamais objekts  un nodokļa rēķins ir anulēts.</w:t>
      </w:r>
      <w:r w:rsidR="00026B21" w:rsidRPr="000349BA">
        <w:t xml:space="preserve"> </w:t>
      </w:r>
      <w:r w:rsidR="00C01475" w:rsidRPr="000349BA">
        <w:t>Līdz ar to</w:t>
      </w:r>
      <w:r w:rsidR="00026B21" w:rsidRPr="000349BA">
        <w:t xml:space="preserve"> tiesiskais pamats pārsūdzētajā lēmumā pieteicējai noteiktajam pienākumam maksāt rēķinā norādīto pievienotās vērtības nodokli</w:t>
      </w:r>
      <w:r w:rsidR="00C01475" w:rsidRPr="000349BA">
        <w:t xml:space="preserve"> ir zudis un pārsūdzētais lēmums ir atceļams.</w:t>
      </w:r>
    </w:p>
    <w:p w14:paraId="7C476AE5" w14:textId="77777777" w:rsidR="00640D80" w:rsidRPr="000349BA" w:rsidRDefault="00640D80" w:rsidP="00640D80">
      <w:pPr>
        <w:tabs>
          <w:tab w:val="left" w:pos="540"/>
          <w:tab w:val="left" w:pos="720"/>
        </w:tabs>
        <w:spacing w:line="276" w:lineRule="auto"/>
        <w:jc w:val="both"/>
      </w:pPr>
    </w:p>
    <w:p w14:paraId="694EA7BD" w14:textId="6497CE0E" w:rsidR="002672DC" w:rsidRPr="000349BA" w:rsidRDefault="00C752B4" w:rsidP="00FF08EE">
      <w:pPr>
        <w:tabs>
          <w:tab w:val="left" w:pos="540"/>
          <w:tab w:val="left" w:pos="720"/>
        </w:tabs>
        <w:spacing w:line="276" w:lineRule="auto"/>
        <w:ind w:firstLine="720"/>
        <w:jc w:val="both"/>
        <w:rPr>
          <w:rFonts w:asciiTheme="majorBidi" w:hAnsiTheme="majorBidi" w:cstheme="majorBidi"/>
        </w:rPr>
      </w:pPr>
      <w:r w:rsidRPr="000349BA">
        <w:rPr>
          <w:rFonts w:asciiTheme="majorBidi" w:hAnsiTheme="majorBidi" w:cstheme="majorBidi"/>
        </w:rPr>
        <w:t>[2] Saskaņā ar Administratīvā procesa likuma 338.</w:t>
      </w:r>
      <w:r w:rsidRPr="000349BA">
        <w:rPr>
          <w:rFonts w:asciiTheme="majorBidi" w:hAnsiTheme="majorBidi" w:cstheme="majorBidi"/>
          <w:vertAlign w:val="superscript"/>
        </w:rPr>
        <w:t>1</w:t>
      </w:r>
      <w:r w:rsidRPr="000349BA">
        <w:rPr>
          <w:rFonts w:asciiTheme="majorBidi" w:hAnsiTheme="majorBidi" w:cstheme="majorBidi"/>
        </w:rPr>
        <w:t xml:space="preserve">panta otrās daļas 2.punktu </w:t>
      </w:r>
      <w:r w:rsidR="005222DC" w:rsidRPr="000349BA">
        <w:rPr>
          <w:rFonts w:asciiTheme="majorBidi" w:hAnsiTheme="majorBidi" w:cstheme="majorBidi"/>
        </w:rPr>
        <w:t xml:space="preserve">senatoru </w:t>
      </w:r>
      <w:r w:rsidRPr="000349BA">
        <w:rPr>
          <w:rFonts w:asciiTheme="majorBidi" w:hAnsiTheme="majorBidi" w:cstheme="majorBidi"/>
        </w:rPr>
        <w:t>kolēģija var atteikties ierosināt kasācijas tiesvedību, ja, izvērtējot kasācijas sūdzībā minētos argumentus, nerodas šaubas par pārsūdzētā sprieduma tiesiskumu un izskatāmajai lietai nav nozīmes judikatūras veidošanā.</w:t>
      </w:r>
      <w:r w:rsidR="001D427B" w:rsidRPr="000349BA">
        <w:rPr>
          <w:rFonts w:asciiTheme="majorBidi" w:hAnsiTheme="majorBidi" w:cstheme="majorBidi"/>
        </w:rPr>
        <w:t xml:space="preserve"> </w:t>
      </w:r>
    </w:p>
    <w:p w14:paraId="418CD2B3" w14:textId="6E202287" w:rsidR="00847DE9" w:rsidRPr="000349BA" w:rsidRDefault="00C752B4" w:rsidP="00FF08EE">
      <w:pPr>
        <w:tabs>
          <w:tab w:val="left" w:pos="540"/>
          <w:tab w:val="left" w:pos="720"/>
        </w:tabs>
        <w:spacing w:line="276" w:lineRule="auto"/>
        <w:ind w:firstLine="720"/>
        <w:jc w:val="both"/>
        <w:rPr>
          <w:rFonts w:asciiTheme="majorBidi" w:hAnsiTheme="majorBidi" w:cstheme="majorBidi"/>
        </w:rPr>
      </w:pPr>
      <w:r w:rsidRPr="000349BA">
        <w:rPr>
          <w:rFonts w:asciiTheme="majorBidi" w:hAnsiTheme="majorBidi" w:cstheme="majorBidi"/>
        </w:rPr>
        <w:t>Izvērtējusi iesniegto kasācijas sūdzību, senatoru kolēģija atzīst, ka tajā norādītie iebildumi nerada šaubas par sprieduma tiesiskumu</w:t>
      </w:r>
      <w:r w:rsidR="007223A9" w:rsidRPr="000349BA">
        <w:rPr>
          <w:rFonts w:asciiTheme="majorBidi" w:hAnsiTheme="majorBidi" w:cstheme="majorBidi"/>
        </w:rPr>
        <w:t>.</w:t>
      </w:r>
    </w:p>
    <w:p w14:paraId="4BF0D126" w14:textId="77777777" w:rsidR="0002700E" w:rsidRPr="000349BA" w:rsidRDefault="0002700E" w:rsidP="00FF08EE">
      <w:pPr>
        <w:tabs>
          <w:tab w:val="left" w:pos="540"/>
          <w:tab w:val="left" w:pos="720"/>
        </w:tabs>
        <w:spacing w:line="276" w:lineRule="auto"/>
        <w:ind w:firstLine="720"/>
        <w:jc w:val="both"/>
        <w:rPr>
          <w:rFonts w:asciiTheme="majorBidi" w:hAnsiTheme="majorBidi" w:cstheme="majorBidi"/>
        </w:rPr>
      </w:pPr>
    </w:p>
    <w:p w14:paraId="4B2353A4" w14:textId="2DA9E6BB" w:rsidR="001508E2" w:rsidRPr="000349BA" w:rsidRDefault="0002700E" w:rsidP="009A6BED">
      <w:pPr>
        <w:spacing w:line="276" w:lineRule="auto"/>
        <w:ind w:firstLine="720"/>
        <w:jc w:val="both"/>
      </w:pPr>
      <w:r w:rsidRPr="000349BA">
        <w:rPr>
          <w:rFonts w:asciiTheme="majorBidi" w:hAnsiTheme="majorBidi" w:cstheme="majorBidi"/>
        </w:rPr>
        <w:t>[3]</w:t>
      </w:r>
      <w:r w:rsidR="00E4096C" w:rsidRPr="000349BA">
        <w:rPr>
          <w:rFonts w:asciiTheme="majorBidi" w:hAnsiTheme="majorBidi" w:cstheme="majorBidi"/>
        </w:rPr>
        <w:t> </w:t>
      </w:r>
      <w:r w:rsidR="00E35C72" w:rsidRPr="000349BA">
        <w:t xml:space="preserve">Kasācijas sūdzībā </w:t>
      </w:r>
      <w:r w:rsidR="009A1707" w:rsidRPr="000349BA">
        <w:t>izteikti iebildumi</w:t>
      </w:r>
      <w:r w:rsidR="00B808BB" w:rsidRPr="000349BA">
        <w:rPr>
          <w:rFonts w:asciiTheme="majorBidi" w:hAnsiTheme="majorBidi" w:cstheme="majorBidi"/>
        </w:rPr>
        <w:t xml:space="preserve">, ka </w:t>
      </w:r>
      <w:r w:rsidR="000F5830" w:rsidRPr="000349BA">
        <w:t xml:space="preserve">samaksas nesaņemšanas fakts </w:t>
      </w:r>
      <w:r w:rsidR="00841F67" w:rsidRPr="000349BA">
        <w:t xml:space="preserve">nevar būt </w:t>
      </w:r>
      <w:r w:rsidR="000F5830" w:rsidRPr="000349BA">
        <w:t>pamats pievienotā</w:t>
      </w:r>
      <w:r w:rsidR="00560A91" w:rsidRPr="000349BA">
        <w:t>s</w:t>
      </w:r>
      <w:r w:rsidR="000F5830" w:rsidRPr="000349BA">
        <w:t xml:space="preserve"> vērtības nodokļa nedeklarēšanai un attiecīgi nemaksāšanai</w:t>
      </w:r>
      <w:r w:rsidR="00AC2085" w:rsidRPr="000349BA">
        <w:t xml:space="preserve"> budžetā</w:t>
      </w:r>
      <w:r w:rsidR="00841F67" w:rsidRPr="000349BA">
        <w:t xml:space="preserve">. </w:t>
      </w:r>
      <w:r w:rsidR="00AC2085" w:rsidRPr="000349BA">
        <w:t>Dienests</w:t>
      </w:r>
      <w:r w:rsidR="001508E2" w:rsidRPr="000349BA">
        <w:t xml:space="preserve"> norāda</w:t>
      </w:r>
      <w:r w:rsidR="000578BA" w:rsidRPr="000349BA">
        <w:t xml:space="preserve">, </w:t>
      </w:r>
      <w:r w:rsidR="008F573F" w:rsidRPr="000349BA">
        <w:t xml:space="preserve">ka darījuma vērtējumam civillietā </w:t>
      </w:r>
      <w:r w:rsidR="0005194B" w:rsidRPr="000349BA">
        <w:t>nevar būt izšķiroša</w:t>
      </w:r>
      <w:r w:rsidR="008F573F" w:rsidRPr="000349BA">
        <w:t xml:space="preserve"> nozīme administratīvajā procesā</w:t>
      </w:r>
      <w:r w:rsidR="001508E2" w:rsidRPr="000349BA">
        <w:t xml:space="preserve"> un ka </w:t>
      </w:r>
      <w:r w:rsidR="0005194B" w:rsidRPr="000349BA">
        <w:t>darījuma</w:t>
      </w:r>
      <w:r w:rsidR="001508E2" w:rsidRPr="000349BA">
        <w:t xml:space="preserve"> </w:t>
      </w:r>
      <w:r w:rsidR="008F573F" w:rsidRPr="000349BA">
        <w:t xml:space="preserve">neatbilstība Patērētāju tiesību aizsardzības likumam </w:t>
      </w:r>
      <w:r w:rsidR="000578BA" w:rsidRPr="000349BA">
        <w:t>ne</w:t>
      </w:r>
      <w:r w:rsidR="008F573F" w:rsidRPr="000349BA">
        <w:t>padara pakalpojumu par neesošu no nodokļu tiesību aspekta</w:t>
      </w:r>
      <w:r w:rsidR="000578BA" w:rsidRPr="000349BA">
        <w:t>.</w:t>
      </w:r>
      <w:r w:rsidR="009A1707" w:rsidRPr="000349BA">
        <w:t xml:space="preserve"> </w:t>
      </w:r>
      <w:r w:rsidR="00841F67" w:rsidRPr="000349BA">
        <w:rPr>
          <w:rFonts w:asciiTheme="majorBidi" w:hAnsiTheme="majorBidi" w:cstheme="majorBidi"/>
        </w:rPr>
        <w:t xml:space="preserve">Tāpat kasācijas sūdzībā vērsta uzmanība, </w:t>
      </w:r>
      <w:r w:rsidR="00841F67" w:rsidRPr="000349BA">
        <w:t xml:space="preserve">ka uz konkrēto gadījumu nav attiecināmas </w:t>
      </w:r>
      <w:r w:rsidR="00841F67" w:rsidRPr="000349BA">
        <w:rPr>
          <w:rFonts w:asciiTheme="majorBidi" w:hAnsiTheme="majorBidi" w:cstheme="majorBidi"/>
        </w:rPr>
        <w:t>Eiropas Savienības Tiesas</w:t>
      </w:r>
      <w:r w:rsidR="00841F67" w:rsidRPr="000349BA">
        <w:t xml:space="preserve"> judikatūrā noteiktās tiesības koriģēt kļūdaini izrakstītu rēķinu, jo lietā konstatētie apstākļi neliecina par</w:t>
      </w:r>
      <w:r w:rsidR="0005194B" w:rsidRPr="000349BA">
        <w:t xml:space="preserve"> pieteicējas labticību, proti</w:t>
      </w:r>
      <w:r w:rsidR="00841F67" w:rsidRPr="000349BA">
        <w:t>, ka pieteicēja nav vainīga nepamatota rēķina izrakstīšanā un sagatavoja to, nezinot, ka piedalās faktiski neesoša darījuma noformēšanā.</w:t>
      </w:r>
      <w:r w:rsidR="0005194B" w:rsidRPr="000349BA">
        <w:t xml:space="preserve"> </w:t>
      </w:r>
      <w:r w:rsidR="00AC2085" w:rsidRPr="000349BA">
        <w:t>Dienests</w:t>
      </w:r>
      <w:r w:rsidR="0005194B" w:rsidRPr="000349BA">
        <w:t xml:space="preserve"> nepiekrīt </w:t>
      </w:r>
      <w:r w:rsidR="00AC2085" w:rsidRPr="000349BA">
        <w:t xml:space="preserve">arī </w:t>
      </w:r>
      <w:r w:rsidR="0005194B" w:rsidRPr="000349BA">
        <w:t xml:space="preserve">apgabaltiesas atzītajam, ka rēķina nedeklarēšana </w:t>
      </w:r>
      <w:r w:rsidR="009A6BED" w:rsidRPr="000349BA">
        <w:t xml:space="preserve">un nodokļa nesamaksāšana </w:t>
      </w:r>
      <w:r w:rsidR="0005194B" w:rsidRPr="000349BA">
        <w:t>konkrētajā gadījumā nerada valsts budžetam negatīv</w:t>
      </w:r>
      <w:r w:rsidR="00903A68" w:rsidRPr="000349BA">
        <w:t>a</w:t>
      </w:r>
      <w:r w:rsidR="0005194B" w:rsidRPr="000349BA">
        <w:t>s sekas.</w:t>
      </w:r>
    </w:p>
    <w:p w14:paraId="4516573A" w14:textId="14147B62" w:rsidR="00212BDE" w:rsidRPr="000349BA" w:rsidRDefault="00212BDE" w:rsidP="0005194B">
      <w:pPr>
        <w:spacing w:line="276" w:lineRule="auto"/>
        <w:ind w:firstLine="720"/>
        <w:jc w:val="both"/>
      </w:pPr>
      <w:r w:rsidRPr="000349BA">
        <w:lastRenderedPageBreak/>
        <w:t>Minētais nav pamatots.</w:t>
      </w:r>
    </w:p>
    <w:p w14:paraId="10336C43" w14:textId="77777777" w:rsidR="008E4322" w:rsidRPr="000349BA" w:rsidRDefault="008E4322" w:rsidP="006409F0">
      <w:pPr>
        <w:tabs>
          <w:tab w:val="left" w:pos="540"/>
          <w:tab w:val="left" w:pos="720"/>
        </w:tabs>
        <w:spacing w:line="276" w:lineRule="auto"/>
        <w:ind w:firstLine="720"/>
        <w:jc w:val="both"/>
        <w:rPr>
          <w:rFonts w:asciiTheme="majorBidi" w:hAnsiTheme="majorBidi" w:cstheme="majorBidi"/>
        </w:rPr>
      </w:pPr>
    </w:p>
    <w:p w14:paraId="090A1816" w14:textId="0CC3BF05" w:rsidR="00372869" w:rsidRPr="000349BA" w:rsidRDefault="008E4322" w:rsidP="00372869">
      <w:pPr>
        <w:spacing w:line="276" w:lineRule="auto"/>
        <w:ind w:firstLine="720"/>
        <w:jc w:val="both"/>
      </w:pPr>
      <w:r w:rsidRPr="000349BA">
        <w:rPr>
          <w:rFonts w:asciiTheme="majorBidi" w:hAnsiTheme="majorBidi" w:cstheme="majorBidi"/>
        </w:rPr>
        <w:t>[</w:t>
      </w:r>
      <w:r w:rsidR="00A4369F" w:rsidRPr="000349BA">
        <w:rPr>
          <w:rFonts w:asciiTheme="majorBidi" w:hAnsiTheme="majorBidi" w:cstheme="majorBidi"/>
        </w:rPr>
        <w:t>4</w:t>
      </w:r>
      <w:r w:rsidRPr="000349BA">
        <w:rPr>
          <w:rFonts w:asciiTheme="majorBidi" w:hAnsiTheme="majorBidi" w:cstheme="majorBidi"/>
        </w:rPr>
        <w:t>]</w:t>
      </w:r>
      <w:r w:rsidR="00701DC4" w:rsidRPr="000349BA">
        <w:rPr>
          <w:rFonts w:asciiTheme="majorBidi" w:hAnsiTheme="majorBidi" w:cstheme="majorBidi"/>
        </w:rPr>
        <w:t> </w:t>
      </w:r>
      <w:r w:rsidR="00701DC4" w:rsidRPr="000349BA">
        <w:t>Pretēji kasācijas sūdzībā norādītajam tiesa nav atzinusi, ka samaksas nesaņemšanas fakts ir pamats pievienotā vērtības nodokļa nedeklarēšanai un attiecīgi nemaksāšana</w:t>
      </w:r>
      <w:r w:rsidR="008711D4" w:rsidRPr="000349BA">
        <w:t xml:space="preserve">i. </w:t>
      </w:r>
      <w:r w:rsidR="00FF7DA9" w:rsidRPr="000349BA">
        <w:t>T</w:t>
      </w:r>
      <w:r w:rsidR="00372869" w:rsidRPr="000349BA">
        <w:t>iesa atzina, ka samaksas nesaņemšana neatbrīvoja pieteicēju no pienākuma deklarēt apliekamo darījumu un samaksāt nodokļa rēķinā uzrādīto nodokli, un atbilstoši apstākļiem, kas pastāvēja administratīvā akta izdošanas brīdī, pārsūdzētais lēmums vērtējams kā pareizs un pamatots.</w:t>
      </w:r>
    </w:p>
    <w:p w14:paraId="42F317E0" w14:textId="4D7284F9" w:rsidR="005A59F8" w:rsidRPr="000349BA" w:rsidRDefault="0073310F" w:rsidP="008B465D">
      <w:pPr>
        <w:spacing w:line="276" w:lineRule="auto"/>
        <w:ind w:firstLine="720"/>
        <w:jc w:val="both"/>
        <w:rPr>
          <w:lang w:eastAsia="lv-LV"/>
        </w:rPr>
      </w:pPr>
      <w:r w:rsidRPr="000349BA">
        <w:t xml:space="preserve">Pamats pārsūdzētā lēmuma atcelšanai bija tiesas secinājums, ka ir būtiski mainījušies lietas faktiskie apstākļi – pieteicēja ir anulējusi strīdus rēķinu, norādot, ka </w:t>
      </w:r>
      <w:r w:rsidR="007F3231" w:rsidRPr="000349BA">
        <w:t>tajā norādītais pakalpojums faktiski nav sniegts, k</w:t>
      </w:r>
      <w:r w:rsidR="008711D4" w:rsidRPr="000349BA">
        <w:t>as tika atzīts arī civillietā, un administratīvajā lietā nav pierādījumu, kas liktu šaubīties par to, ka darījums tomēr ir noticis.</w:t>
      </w:r>
    </w:p>
    <w:p w14:paraId="47806DB4" w14:textId="77777777" w:rsidR="00701DC4" w:rsidRPr="000349BA" w:rsidRDefault="00701DC4" w:rsidP="00B5425E">
      <w:pPr>
        <w:spacing w:line="276" w:lineRule="auto"/>
        <w:ind w:firstLine="720"/>
        <w:jc w:val="both"/>
      </w:pPr>
    </w:p>
    <w:p w14:paraId="6C8094F7" w14:textId="77777777" w:rsidR="00DC6BB5" w:rsidRPr="000349BA" w:rsidRDefault="00701DC4" w:rsidP="000571CC">
      <w:pPr>
        <w:spacing w:line="276" w:lineRule="auto"/>
        <w:ind w:firstLine="720"/>
        <w:jc w:val="both"/>
        <w:rPr>
          <w:lang w:eastAsia="lv-LV"/>
        </w:rPr>
      </w:pPr>
      <w:r w:rsidRPr="000349BA">
        <w:t>[5] </w:t>
      </w:r>
      <w:r w:rsidR="00DC6BB5" w:rsidRPr="000349BA">
        <w:t xml:space="preserve">Šādos apstākļos strīds apelācijas instances tiesā faktiski bija par </w:t>
      </w:r>
      <w:r w:rsidR="00DC6BB5" w:rsidRPr="000349BA">
        <w:rPr>
          <w:lang w:eastAsia="lv-LV"/>
        </w:rPr>
        <w:t>Pievienotās vērtības nodokļa likuma 84.panta desmitās daļas (</w:t>
      </w:r>
      <w:r w:rsidR="00DC6BB5" w:rsidRPr="000349BA">
        <w:rPr>
          <w:i/>
          <w:iCs/>
          <w:lang w:eastAsia="lv-LV"/>
        </w:rPr>
        <w:t>nodokli valsts budžetā maksā ikviena persona, kas norādījusi nodokli savā izrakstītajā nodokļa rēķinā</w:t>
      </w:r>
      <w:r w:rsidR="00DC6BB5" w:rsidRPr="000349BA">
        <w:rPr>
          <w:lang w:eastAsia="lv-LV"/>
        </w:rPr>
        <w:t>) piemērošanu. Šī norma atbilst Padomes 2006.gada 28.novembra direktīvas 2006/112/EK par kopējo pievienotās vērtības nodokļa sistēmu 203.pantam, no kura atbilstoši Eiropas Savienības Tiesas judikatūrai izriet pienākums rēķina izsniedzējam maksāt rēķinā norādīto nodokli pat tad, ja faktiska ar nodokli apliekama darījuma nemaz nav.</w:t>
      </w:r>
    </w:p>
    <w:p w14:paraId="3A5E1FDB" w14:textId="6B6067F2" w:rsidR="000571CC" w:rsidRPr="000349BA" w:rsidRDefault="000571CC" w:rsidP="000571CC">
      <w:pPr>
        <w:spacing w:line="276" w:lineRule="auto"/>
        <w:ind w:firstLine="720"/>
        <w:jc w:val="both"/>
      </w:pPr>
      <w:r w:rsidRPr="000349BA">
        <w:t xml:space="preserve">Attiecībā uz minēto tiesību normu piemērošanu tiesa ir ievērojusi </w:t>
      </w:r>
      <w:r w:rsidRPr="000349BA">
        <w:rPr>
          <w:lang w:eastAsia="lv-LV"/>
        </w:rPr>
        <w:t xml:space="preserve">Eiropas Savienības Tiesas judikatūru. </w:t>
      </w:r>
    </w:p>
    <w:p w14:paraId="7BF12C49" w14:textId="6175C9B6" w:rsidR="00B5425E" w:rsidRPr="000349BA" w:rsidRDefault="00701DC4" w:rsidP="004D1C89">
      <w:pPr>
        <w:spacing w:line="276" w:lineRule="auto"/>
        <w:ind w:firstLine="720"/>
        <w:jc w:val="both"/>
      </w:pPr>
      <w:r w:rsidRPr="000349BA">
        <w:t>L</w:t>
      </w:r>
      <w:r w:rsidR="00B5425E" w:rsidRPr="000349BA">
        <w:t>ai tiktu nodrošināta pievienotās vērtības nodokļa neitralitāte, dalībvalstīm to iekšējā tiesību sistēmā ir jāparedz iespēja koriģēt rēķinā nepamatoti norādītos nodokļus, ja rēķina izrakstītājs pierāda savu labticību. Tomēr, ja rēķina izrakstītājs savlaicīgi ir pilnībā novērsis nodokļu ieņēmumu apdraudējumu, atbilstoši pievienotās vērtības nodokļa neitralitātes principam nepamatoti izrakstītais nodoklis var tikt koriģēts un dalībvalstis šādu korekciju nedrīkst padarīt atkarīgu no rēķina izrakstītāja labticības. Pasākumi, kurus dalībvalstis var noteikt, lai pareizi iekasētu nodokļus un novērstu krāpšanu, nedrīkst pārsniegt to, kas vajadzīgs šādi noteikto mērķu sasniegšanai. Tādējādi tos nedrīkst izmantot tādā veidā, ka tie ietekmētu pievienotās vērtības nodokļa neitralitāti, kas ir kopējās pievienotās vērtības nodokļa sistēmas pamatprincips (</w:t>
      </w:r>
      <w:r w:rsidRPr="000349BA">
        <w:t xml:space="preserve">sal. </w:t>
      </w:r>
      <w:r w:rsidR="00B5425E" w:rsidRPr="000349BA">
        <w:rPr>
          <w:i/>
          <w:iCs/>
        </w:rPr>
        <w:t xml:space="preserve">Eiropas Savienības Tiesas 2019.gada 8.maija sprieduma lietā C-712/17, EN.SA, </w:t>
      </w:r>
      <w:hyperlink r:id="rId9" w:history="1">
        <w:r w:rsidR="00B5425E" w:rsidRPr="000349BA">
          <w:rPr>
            <w:rStyle w:val="Hyperlink"/>
            <w:i/>
            <w:iCs/>
          </w:rPr>
          <w:t>ECLI:EU:C:2019:374</w:t>
        </w:r>
      </w:hyperlink>
      <w:r w:rsidR="00B5425E" w:rsidRPr="000349BA">
        <w:rPr>
          <w:i/>
          <w:iCs/>
        </w:rPr>
        <w:t xml:space="preserve">, 26. un 32.–33.punkts; 2013.gada 11.aprīļa sprieduma lietā </w:t>
      </w:r>
      <w:r w:rsidR="007F1A58" w:rsidRPr="000349BA">
        <w:rPr>
          <w:i/>
          <w:iCs/>
        </w:rPr>
        <w:br/>
      </w:r>
      <w:r w:rsidR="00B5425E" w:rsidRPr="000349BA">
        <w:rPr>
          <w:i/>
          <w:iCs/>
        </w:rPr>
        <w:t>C-138/12</w:t>
      </w:r>
      <w:r w:rsidR="0087438D" w:rsidRPr="000349BA">
        <w:rPr>
          <w:i/>
          <w:iCs/>
        </w:rPr>
        <w:t>,</w:t>
      </w:r>
      <w:r w:rsidR="00B5425E" w:rsidRPr="000349BA">
        <w:rPr>
          <w:i/>
          <w:iCs/>
        </w:rPr>
        <w:t xml:space="preserve"> Rusedespred, </w:t>
      </w:r>
      <w:hyperlink r:id="rId10" w:history="1">
        <w:r w:rsidR="00B5425E" w:rsidRPr="000349BA">
          <w:rPr>
            <w:rStyle w:val="Hyperlink"/>
            <w:i/>
            <w:iCs/>
          </w:rPr>
          <w:t>ECLI:EU:C:2013:233</w:t>
        </w:r>
      </w:hyperlink>
      <w:r w:rsidR="00B5425E" w:rsidRPr="000349BA">
        <w:rPr>
          <w:i/>
          <w:iCs/>
        </w:rPr>
        <w:t>, 26.–29.punkts un taj</w:t>
      </w:r>
      <w:r w:rsidR="00560A91" w:rsidRPr="000349BA">
        <w:rPr>
          <w:i/>
          <w:iCs/>
        </w:rPr>
        <w:t>ā</w:t>
      </w:r>
      <w:r w:rsidR="00B5425E" w:rsidRPr="000349BA">
        <w:rPr>
          <w:i/>
          <w:iCs/>
        </w:rPr>
        <w:t xml:space="preserve"> minētā judikatūra</w:t>
      </w:r>
      <w:r w:rsidR="00B5425E" w:rsidRPr="000349BA">
        <w:t>).</w:t>
      </w:r>
      <w:r w:rsidR="004D1C89" w:rsidRPr="000349BA">
        <w:t xml:space="preserve"> Nodokļu ieņēmumu zuduma apdraudējums nav pilnībā novērsts, kamēr rēķina saņēmējs joprojām var to izmantot, lai īstenotu savas atskaitīšanas tiesības (</w:t>
      </w:r>
      <w:r w:rsidR="004D1C89" w:rsidRPr="000349BA">
        <w:rPr>
          <w:i/>
          <w:iCs/>
        </w:rPr>
        <w:t>Eiropas Savienības</w:t>
      </w:r>
      <w:r w:rsidR="004D1C89" w:rsidRPr="000349BA">
        <w:t xml:space="preserve"> </w:t>
      </w:r>
      <w:r w:rsidR="004D1C89" w:rsidRPr="000349BA">
        <w:rPr>
          <w:i/>
          <w:iCs/>
        </w:rPr>
        <w:t xml:space="preserve">Tiesas 2013.gada 31.janvāra sprieduma lietā C-642/11, </w:t>
      </w:r>
      <w:r w:rsidR="000571CC" w:rsidRPr="000349BA">
        <w:rPr>
          <w:i/>
          <w:iCs/>
        </w:rPr>
        <w:t xml:space="preserve">Stroy trans EOOD, </w:t>
      </w:r>
      <w:hyperlink r:id="rId11" w:history="1">
        <w:r w:rsidR="004D1C89" w:rsidRPr="000349BA">
          <w:rPr>
            <w:rStyle w:val="Hyperlink"/>
            <w:i/>
            <w:iCs/>
          </w:rPr>
          <w:t>EU:C:2013:54</w:t>
        </w:r>
      </w:hyperlink>
      <w:r w:rsidR="004D1C89" w:rsidRPr="000349BA">
        <w:rPr>
          <w:i/>
          <w:iCs/>
        </w:rPr>
        <w:t>, 31.punkts</w:t>
      </w:r>
      <w:r w:rsidR="004D1C89" w:rsidRPr="000349BA">
        <w:t>).</w:t>
      </w:r>
    </w:p>
    <w:p w14:paraId="316768DC" w14:textId="0588BDD7" w:rsidR="006B214F" w:rsidRPr="000349BA" w:rsidRDefault="006B214F" w:rsidP="0013166F">
      <w:pPr>
        <w:spacing w:line="276" w:lineRule="auto"/>
        <w:ind w:firstLine="720"/>
        <w:jc w:val="both"/>
        <w:rPr>
          <w:rFonts w:asciiTheme="majorBidi" w:hAnsiTheme="majorBidi" w:cstheme="majorBidi"/>
        </w:rPr>
      </w:pPr>
      <w:r w:rsidRPr="000349BA">
        <w:t>Ievērojot minēto,</w:t>
      </w:r>
      <w:r w:rsidR="009D3E32" w:rsidRPr="000349BA">
        <w:t xml:space="preserve"> pretēji kasācijas sūdzībā </w:t>
      </w:r>
      <w:r w:rsidR="007D5613" w:rsidRPr="000349BA">
        <w:t xml:space="preserve">norādītajam, </w:t>
      </w:r>
      <w:r w:rsidR="00551E7E" w:rsidRPr="000349BA">
        <w:rPr>
          <w:rFonts w:asciiTheme="majorBidi" w:hAnsiTheme="majorBidi" w:cstheme="majorBidi"/>
        </w:rPr>
        <w:t xml:space="preserve">pievienotās vērtības nodokļa korekcija nevar tikt atteikta tāpēc vien, ka komersants nevar pierādīt savu labticību – pietiek konstatēt to, ka </w:t>
      </w:r>
      <w:r w:rsidR="004D1C89" w:rsidRPr="000349BA">
        <w:t xml:space="preserve">ir </w:t>
      </w:r>
      <w:r w:rsidR="00175D0F" w:rsidRPr="000349BA">
        <w:t xml:space="preserve">savlaicīgi </w:t>
      </w:r>
      <w:r w:rsidR="004D1C89" w:rsidRPr="000349BA">
        <w:t>novērsts nodokļu ieņēmumu zuduma apdraudējums un</w:t>
      </w:r>
      <w:r w:rsidR="004D1C89" w:rsidRPr="000349BA">
        <w:rPr>
          <w:rFonts w:asciiTheme="majorBidi" w:hAnsiTheme="majorBidi" w:cstheme="majorBidi"/>
        </w:rPr>
        <w:t xml:space="preserve"> </w:t>
      </w:r>
      <w:r w:rsidR="00551E7E" w:rsidRPr="000349BA">
        <w:rPr>
          <w:rFonts w:asciiTheme="majorBidi" w:hAnsiTheme="majorBidi" w:cstheme="majorBidi"/>
        </w:rPr>
        <w:t>valsts budžets nav cietis zaudējumus.</w:t>
      </w:r>
    </w:p>
    <w:p w14:paraId="4BE28B3E" w14:textId="2DDB2592" w:rsidR="00175D0F" w:rsidRPr="000349BA" w:rsidRDefault="00C7633E" w:rsidP="00175D0F">
      <w:pPr>
        <w:spacing w:line="276" w:lineRule="auto"/>
        <w:ind w:firstLine="720"/>
        <w:jc w:val="both"/>
      </w:pPr>
      <w:r w:rsidRPr="000349BA">
        <w:rPr>
          <w:rFonts w:asciiTheme="majorBidi" w:hAnsiTheme="majorBidi" w:cstheme="majorBidi"/>
        </w:rPr>
        <w:lastRenderedPageBreak/>
        <w:t>Līdz ar to s</w:t>
      </w:r>
      <w:r w:rsidR="003C5B70" w:rsidRPr="000349BA">
        <w:rPr>
          <w:rFonts w:asciiTheme="majorBidi" w:hAnsiTheme="majorBidi" w:cstheme="majorBidi"/>
        </w:rPr>
        <w:t xml:space="preserve">enatoru kolēģija piekrīt pārsūdzētajā spriedumā sniegtajam vērtējumam, ka lietā konstatētajos apstākļos – </w:t>
      </w:r>
      <w:r w:rsidR="00460270" w:rsidRPr="000349BA">
        <w:rPr>
          <w:rFonts w:asciiTheme="majorBidi" w:hAnsiTheme="majorBidi" w:cstheme="majorBidi"/>
        </w:rPr>
        <w:t>nav pierādīts, ka pieteicējs būtu sniedzis rēķinā norādītos pakalpojumus</w:t>
      </w:r>
      <w:r w:rsidR="00175D0F" w:rsidRPr="000349BA">
        <w:rPr>
          <w:rFonts w:asciiTheme="majorBidi" w:hAnsiTheme="majorBidi" w:cstheme="majorBidi"/>
        </w:rPr>
        <w:t xml:space="preserve">, </w:t>
      </w:r>
      <w:r w:rsidR="009D3E32" w:rsidRPr="000349BA">
        <w:rPr>
          <w:rFonts w:asciiTheme="majorBidi" w:hAnsiTheme="majorBidi" w:cstheme="majorBidi"/>
        </w:rPr>
        <w:t xml:space="preserve">strīdus </w:t>
      </w:r>
      <w:r w:rsidR="003C5B70" w:rsidRPr="000349BA">
        <w:rPr>
          <w:rFonts w:asciiTheme="majorBidi" w:hAnsiTheme="majorBidi" w:cstheme="majorBidi"/>
        </w:rPr>
        <w:t xml:space="preserve">rēķins </w:t>
      </w:r>
      <w:r w:rsidR="00175D0F" w:rsidRPr="000349BA">
        <w:rPr>
          <w:rFonts w:asciiTheme="majorBidi" w:hAnsiTheme="majorBidi" w:cstheme="majorBidi"/>
        </w:rPr>
        <w:t xml:space="preserve">ir anulēts, kā arī </w:t>
      </w:r>
      <w:r w:rsidR="00175D0F" w:rsidRPr="000349BA">
        <w:t>rēķina saņēmējs to nevar izmantot, lai īstenotu nodokļa atskaitīšanas tiesības – ir zudis tiesiskais pamats pieteicējai noteiktajam pienākumam maksāt strīdus rēķinā norādīto nodokli un vienīgais taisnīgais risinājums ir pārsūdzētā lēmuma atcelšana.</w:t>
      </w:r>
    </w:p>
    <w:p w14:paraId="589F1A3E" w14:textId="77777777" w:rsidR="00175D0F" w:rsidRPr="000349BA" w:rsidRDefault="00175D0F" w:rsidP="00175D0F">
      <w:pPr>
        <w:spacing w:line="276" w:lineRule="auto"/>
        <w:ind w:firstLine="720"/>
        <w:jc w:val="both"/>
        <w:rPr>
          <w:rFonts w:asciiTheme="majorBidi" w:hAnsiTheme="majorBidi" w:cstheme="majorBidi"/>
        </w:rPr>
      </w:pPr>
    </w:p>
    <w:p w14:paraId="3206BB94" w14:textId="4C1B644A" w:rsidR="00212BDE" w:rsidRPr="000349BA" w:rsidRDefault="00175D0F" w:rsidP="00F81871">
      <w:pPr>
        <w:spacing w:line="276" w:lineRule="auto"/>
        <w:ind w:firstLine="720"/>
        <w:jc w:val="both"/>
        <w:rPr>
          <w:rFonts w:asciiTheme="majorBidi" w:hAnsiTheme="majorBidi" w:cstheme="majorBidi"/>
        </w:rPr>
      </w:pPr>
      <w:r w:rsidRPr="000349BA">
        <w:t>[6] </w:t>
      </w:r>
      <w:r w:rsidR="009D3E32" w:rsidRPr="000349BA">
        <w:t>Nav pamatots kasācijas sūdzībā norādītais, ka nodokļu ieņēmumu zuduma risks šajā gadījumā izpaužas kā pieteicējas izrakstītajā rēķinā norādītā pievienotās vērtības nodokļa nenomaksāšana valsts budžetā.</w:t>
      </w:r>
      <w:r w:rsidR="00551E7E" w:rsidRPr="000349BA">
        <w:rPr>
          <w:rFonts w:asciiTheme="majorBidi" w:hAnsiTheme="majorBidi" w:cstheme="majorBidi"/>
        </w:rPr>
        <w:t xml:space="preserve"> </w:t>
      </w:r>
      <w:r w:rsidR="00F81871" w:rsidRPr="000349BA">
        <w:rPr>
          <w:rFonts w:asciiTheme="majorBidi" w:hAnsiTheme="majorBidi" w:cstheme="majorBidi"/>
        </w:rPr>
        <w:t>Apgabalt</w:t>
      </w:r>
      <w:r w:rsidR="0045738F" w:rsidRPr="000349BA">
        <w:rPr>
          <w:rFonts w:asciiTheme="majorBidi" w:hAnsiTheme="majorBidi" w:cstheme="majorBidi"/>
        </w:rPr>
        <w:t>iesa</w:t>
      </w:r>
      <w:r w:rsidR="00F81871" w:rsidRPr="000349BA">
        <w:rPr>
          <w:rFonts w:asciiTheme="majorBidi" w:hAnsiTheme="majorBidi" w:cstheme="majorBidi"/>
        </w:rPr>
        <w:t xml:space="preserve"> spriedumā</w:t>
      </w:r>
      <w:r w:rsidR="0045738F" w:rsidRPr="000349BA">
        <w:rPr>
          <w:rFonts w:asciiTheme="majorBidi" w:hAnsiTheme="majorBidi" w:cstheme="majorBidi"/>
        </w:rPr>
        <w:t xml:space="preserve"> ir pienācīgi pamatojusi, kāpēc </w:t>
      </w:r>
      <w:r w:rsidR="004A3225" w:rsidRPr="000349BA">
        <w:rPr>
          <w:rFonts w:asciiTheme="majorBidi" w:hAnsiTheme="majorBidi" w:cstheme="majorBidi"/>
        </w:rPr>
        <w:t>minētais nav pamatots un k</w:t>
      </w:r>
      <w:r w:rsidR="00F81871" w:rsidRPr="000349BA">
        <w:rPr>
          <w:rFonts w:asciiTheme="majorBidi" w:hAnsiTheme="majorBidi" w:cstheme="majorBidi"/>
        </w:rPr>
        <w:t>āpēc</w:t>
      </w:r>
      <w:r w:rsidR="004A3225" w:rsidRPr="000349BA">
        <w:rPr>
          <w:rFonts w:asciiTheme="majorBidi" w:hAnsiTheme="majorBidi" w:cstheme="majorBidi"/>
        </w:rPr>
        <w:t xml:space="preserve"> </w:t>
      </w:r>
      <w:r w:rsidR="00F81871" w:rsidRPr="000349BA">
        <w:rPr>
          <w:rFonts w:asciiTheme="majorBidi" w:hAnsiTheme="majorBidi" w:cstheme="majorBidi"/>
        </w:rPr>
        <w:t xml:space="preserve">konkrētajos lietas apstākļos </w:t>
      </w:r>
      <w:r w:rsidR="004A3225" w:rsidRPr="000349BA">
        <w:rPr>
          <w:rFonts w:asciiTheme="majorBidi" w:hAnsiTheme="majorBidi" w:cstheme="majorBidi"/>
        </w:rPr>
        <w:t>strīdus</w:t>
      </w:r>
      <w:r w:rsidR="0045738F" w:rsidRPr="000349BA">
        <w:rPr>
          <w:rFonts w:asciiTheme="majorBidi" w:hAnsiTheme="majorBidi" w:cstheme="majorBidi"/>
        </w:rPr>
        <w:t xml:space="preserve"> rēķins nav radījis negatīvas sekas valsts budžetam</w:t>
      </w:r>
      <w:r w:rsidR="00F81871" w:rsidRPr="000349BA">
        <w:rPr>
          <w:rFonts w:asciiTheme="majorBidi" w:hAnsiTheme="majorBidi" w:cstheme="majorBidi"/>
        </w:rPr>
        <w:t xml:space="preserve"> (</w:t>
      </w:r>
      <w:r w:rsidR="00F81871" w:rsidRPr="000349BA">
        <w:rPr>
          <w:rFonts w:asciiTheme="majorBidi" w:hAnsiTheme="majorBidi" w:cstheme="majorBidi"/>
          <w:i/>
          <w:iCs/>
        </w:rPr>
        <w:t>pārsūdzētā sprieduma 16.punkts</w:t>
      </w:r>
      <w:r w:rsidR="00F81871" w:rsidRPr="000349BA">
        <w:rPr>
          <w:rFonts w:asciiTheme="majorBidi" w:hAnsiTheme="majorBidi" w:cstheme="majorBidi"/>
        </w:rPr>
        <w:t xml:space="preserve">). Kasācijas sūdzībā norādītie argumenti nerada šaubas par </w:t>
      </w:r>
      <w:r w:rsidR="00C7633E" w:rsidRPr="000349BA">
        <w:rPr>
          <w:rFonts w:asciiTheme="majorBidi" w:hAnsiTheme="majorBidi" w:cstheme="majorBidi"/>
        </w:rPr>
        <w:t>apgabaltiesas</w:t>
      </w:r>
      <w:r w:rsidR="00F81871" w:rsidRPr="000349BA">
        <w:rPr>
          <w:rFonts w:asciiTheme="majorBidi" w:hAnsiTheme="majorBidi" w:cstheme="majorBidi"/>
        </w:rPr>
        <w:t xml:space="preserve"> secinājumu pamatotību.</w:t>
      </w:r>
    </w:p>
    <w:p w14:paraId="4756E200" w14:textId="77777777" w:rsidR="00212BDE" w:rsidRPr="000349BA" w:rsidRDefault="00212BDE" w:rsidP="00212BDE">
      <w:pPr>
        <w:tabs>
          <w:tab w:val="left" w:pos="540"/>
          <w:tab w:val="left" w:pos="720"/>
        </w:tabs>
        <w:spacing w:line="276" w:lineRule="auto"/>
        <w:ind w:firstLine="720"/>
        <w:jc w:val="both"/>
        <w:rPr>
          <w:rFonts w:asciiTheme="majorBidi" w:hAnsiTheme="majorBidi" w:cstheme="majorBidi"/>
        </w:rPr>
      </w:pPr>
    </w:p>
    <w:p w14:paraId="0032355B" w14:textId="206C3EB0" w:rsidR="00A148F9" w:rsidRPr="000349BA" w:rsidRDefault="00A148F9" w:rsidP="009A430D">
      <w:pPr>
        <w:tabs>
          <w:tab w:val="left" w:pos="540"/>
          <w:tab w:val="left" w:pos="720"/>
        </w:tabs>
        <w:spacing w:line="276" w:lineRule="auto"/>
        <w:ind w:firstLine="720"/>
        <w:jc w:val="both"/>
        <w:rPr>
          <w:rFonts w:asciiTheme="majorBidi" w:hAnsiTheme="majorBidi" w:cstheme="majorBidi"/>
        </w:rPr>
      </w:pPr>
      <w:r w:rsidRPr="000349BA">
        <w:rPr>
          <w:rFonts w:asciiTheme="majorBidi" w:hAnsiTheme="majorBidi" w:cstheme="majorBidi"/>
        </w:rPr>
        <w:t>[</w:t>
      </w:r>
      <w:r w:rsidR="00F81871" w:rsidRPr="000349BA">
        <w:rPr>
          <w:rFonts w:asciiTheme="majorBidi" w:hAnsiTheme="majorBidi" w:cstheme="majorBidi"/>
        </w:rPr>
        <w:t>7</w:t>
      </w:r>
      <w:r w:rsidRPr="000349BA">
        <w:rPr>
          <w:rFonts w:asciiTheme="majorBidi" w:hAnsiTheme="majorBidi" w:cstheme="majorBidi"/>
        </w:rPr>
        <w:t>]</w:t>
      </w:r>
      <w:r w:rsidR="00FE06F0" w:rsidRPr="000349BA">
        <w:rPr>
          <w:rFonts w:asciiTheme="majorBidi" w:hAnsiTheme="majorBidi" w:cstheme="majorBidi"/>
          <w:shd w:val="clear" w:color="auto" w:fill="FFFFFF"/>
        </w:rPr>
        <w:t> </w:t>
      </w:r>
      <w:r w:rsidR="00397BDF" w:rsidRPr="000349BA">
        <w:rPr>
          <w:rFonts w:asciiTheme="majorBidi" w:hAnsiTheme="majorBidi" w:cstheme="majorBidi"/>
        </w:rPr>
        <w:t>Lietā nav risināmi sarežģīti tiesību jautājumi, kuru dēļ kasācijas tiesvedībai būtu nozīme judikatūras veidošanā. Līdz ar to kasācijas tiesvedības ierosināšana ir atsakāma.</w:t>
      </w:r>
    </w:p>
    <w:p w14:paraId="1EB4F0F7" w14:textId="77777777" w:rsidR="00A148F9" w:rsidRPr="000349BA" w:rsidRDefault="00A148F9" w:rsidP="00A148F9">
      <w:pPr>
        <w:spacing w:line="276" w:lineRule="auto"/>
        <w:jc w:val="both"/>
        <w:rPr>
          <w:rFonts w:asciiTheme="majorBidi" w:hAnsiTheme="majorBidi" w:cstheme="majorBidi"/>
        </w:rPr>
      </w:pPr>
    </w:p>
    <w:p w14:paraId="2C8FBB33" w14:textId="2687F3F9" w:rsidR="004126A6" w:rsidRPr="000349BA" w:rsidRDefault="007F0E08" w:rsidP="008140FA">
      <w:pPr>
        <w:spacing w:line="276" w:lineRule="auto"/>
        <w:ind w:firstLine="720"/>
        <w:jc w:val="both"/>
        <w:rPr>
          <w:rFonts w:asciiTheme="majorBidi" w:hAnsiTheme="majorBidi" w:cstheme="majorBidi"/>
        </w:rPr>
      </w:pPr>
      <w:r w:rsidRPr="000349BA">
        <w:rPr>
          <w:rFonts w:asciiTheme="majorBidi" w:hAnsiTheme="majorBidi" w:cstheme="majorBidi"/>
        </w:rPr>
        <w:t>Pamatojoties uz Administratīvā procesa likuma 338.panta otro daļu un 338.</w:t>
      </w:r>
      <w:r w:rsidRPr="000349BA">
        <w:rPr>
          <w:rFonts w:asciiTheme="majorBidi" w:hAnsiTheme="majorBidi" w:cstheme="majorBidi"/>
          <w:vertAlign w:val="superscript"/>
        </w:rPr>
        <w:t>1</w:t>
      </w:r>
      <w:r w:rsidRPr="000349BA">
        <w:rPr>
          <w:rFonts w:asciiTheme="majorBidi" w:hAnsiTheme="majorBidi" w:cstheme="majorBidi"/>
        </w:rPr>
        <w:t>panta</w:t>
      </w:r>
      <w:r w:rsidR="00534A79" w:rsidRPr="000349BA">
        <w:rPr>
          <w:rFonts w:asciiTheme="majorBidi" w:hAnsiTheme="majorBidi" w:cstheme="majorBidi"/>
        </w:rPr>
        <w:t xml:space="preserve"> </w:t>
      </w:r>
      <w:r w:rsidRPr="000349BA">
        <w:rPr>
          <w:rFonts w:asciiTheme="majorBidi" w:hAnsiTheme="majorBidi" w:cstheme="majorBidi"/>
        </w:rPr>
        <w:t>otrās daļas 2.punktu, senatoru kolēģija</w:t>
      </w:r>
    </w:p>
    <w:p w14:paraId="55B29C39" w14:textId="77777777" w:rsidR="008140FA" w:rsidRPr="000349BA" w:rsidRDefault="008140FA" w:rsidP="008140FA">
      <w:pPr>
        <w:spacing w:line="276" w:lineRule="auto"/>
        <w:ind w:firstLine="720"/>
        <w:jc w:val="both"/>
        <w:rPr>
          <w:rFonts w:asciiTheme="majorBidi" w:hAnsiTheme="majorBidi" w:cstheme="majorBidi"/>
        </w:rPr>
      </w:pPr>
    </w:p>
    <w:p w14:paraId="6ADBE4AA" w14:textId="77777777" w:rsidR="007F0E08" w:rsidRPr="000349BA" w:rsidRDefault="007F0E08" w:rsidP="00C24296">
      <w:pPr>
        <w:keepNext/>
        <w:spacing w:line="276" w:lineRule="auto"/>
        <w:jc w:val="center"/>
        <w:rPr>
          <w:rFonts w:asciiTheme="majorBidi" w:hAnsiTheme="majorBidi" w:cstheme="majorBidi"/>
          <w:b/>
        </w:rPr>
      </w:pPr>
      <w:r w:rsidRPr="000349BA">
        <w:rPr>
          <w:rFonts w:asciiTheme="majorBidi" w:hAnsiTheme="majorBidi" w:cstheme="majorBidi"/>
          <w:b/>
        </w:rPr>
        <w:t>nolēma</w:t>
      </w:r>
    </w:p>
    <w:p w14:paraId="10E04592" w14:textId="77777777" w:rsidR="007F0E08" w:rsidRPr="000349BA" w:rsidRDefault="007F0E08" w:rsidP="00C24296">
      <w:pPr>
        <w:keepNext/>
        <w:spacing w:line="276" w:lineRule="auto"/>
        <w:jc w:val="center"/>
        <w:rPr>
          <w:rFonts w:asciiTheme="majorBidi" w:hAnsiTheme="majorBidi" w:cstheme="majorBidi"/>
          <w:b/>
        </w:rPr>
      </w:pPr>
    </w:p>
    <w:p w14:paraId="30C24559" w14:textId="200DE2DD" w:rsidR="000F1281" w:rsidRPr="000349BA" w:rsidRDefault="00494F1C" w:rsidP="00DA0773">
      <w:pPr>
        <w:tabs>
          <w:tab w:val="left" w:pos="540"/>
          <w:tab w:val="left" w:pos="720"/>
        </w:tabs>
        <w:spacing w:line="276" w:lineRule="auto"/>
        <w:jc w:val="both"/>
        <w:rPr>
          <w:rFonts w:asciiTheme="majorBidi" w:hAnsiTheme="majorBidi" w:cstheme="majorBidi"/>
          <w:shd w:val="clear" w:color="auto" w:fill="FFFFFF"/>
        </w:rPr>
      </w:pPr>
      <w:r w:rsidRPr="000349BA">
        <w:rPr>
          <w:rFonts w:asciiTheme="majorBidi" w:eastAsiaTheme="minorEastAsia" w:hAnsiTheme="majorBidi" w:cstheme="majorBidi"/>
          <w:lang w:eastAsia="en-US"/>
        </w:rPr>
        <w:tab/>
      </w:r>
      <w:r w:rsidRPr="000349BA">
        <w:rPr>
          <w:rFonts w:asciiTheme="majorBidi" w:eastAsiaTheme="minorEastAsia" w:hAnsiTheme="majorBidi" w:cstheme="majorBidi"/>
          <w:lang w:eastAsia="en-US"/>
        </w:rPr>
        <w:tab/>
      </w:r>
      <w:r w:rsidR="007F0E08" w:rsidRPr="000349BA">
        <w:rPr>
          <w:rFonts w:asciiTheme="majorBidi" w:eastAsiaTheme="minorEastAsia" w:hAnsiTheme="majorBidi" w:cstheme="majorBidi"/>
          <w:lang w:eastAsia="en-US"/>
        </w:rPr>
        <w:t xml:space="preserve">atteikt ierosināt kasācijas tiesvedību sakarā ar </w:t>
      </w:r>
      <w:r w:rsidR="009A430D" w:rsidRPr="000349BA">
        <w:rPr>
          <w:spacing w:val="-2"/>
        </w:rPr>
        <w:t>Valsts ieņēmumu dienesta</w:t>
      </w:r>
      <w:r w:rsidR="00F7526B" w:rsidRPr="000349BA">
        <w:rPr>
          <w:rFonts w:asciiTheme="majorBidi" w:hAnsiTheme="majorBidi" w:cstheme="majorBidi"/>
        </w:rPr>
        <w:t xml:space="preserve"> </w:t>
      </w:r>
      <w:r w:rsidR="00AB3A60" w:rsidRPr="000349BA">
        <w:rPr>
          <w:rFonts w:asciiTheme="majorBidi" w:hAnsiTheme="majorBidi" w:cstheme="majorBidi"/>
        </w:rPr>
        <w:t xml:space="preserve">kasācijas sūdzību </w:t>
      </w:r>
      <w:r w:rsidR="007F0E08" w:rsidRPr="000349BA">
        <w:rPr>
          <w:rFonts w:asciiTheme="majorBidi" w:hAnsiTheme="majorBidi" w:cstheme="majorBidi"/>
        </w:rPr>
        <w:t xml:space="preserve">par </w:t>
      </w:r>
      <w:r w:rsidR="00AB3A60" w:rsidRPr="000349BA">
        <w:rPr>
          <w:rFonts w:asciiTheme="majorBidi" w:hAnsiTheme="majorBidi" w:cstheme="majorBidi"/>
        </w:rPr>
        <w:t xml:space="preserve">Administratīvās </w:t>
      </w:r>
      <w:r w:rsidR="00725F14" w:rsidRPr="000349BA">
        <w:rPr>
          <w:rFonts w:asciiTheme="majorBidi" w:hAnsiTheme="majorBidi" w:cstheme="majorBidi"/>
        </w:rPr>
        <w:t xml:space="preserve">apgabaltiesas </w:t>
      </w:r>
      <w:r w:rsidR="000B5A2C" w:rsidRPr="000349BA">
        <w:rPr>
          <w:rFonts w:asciiTheme="majorBidi" w:hAnsiTheme="majorBidi" w:cstheme="majorBidi"/>
        </w:rPr>
        <w:t>202</w:t>
      </w:r>
      <w:r w:rsidR="009A430D" w:rsidRPr="000349BA">
        <w:rPr>
          <w:rFonts w:asciiTheme="majorBidi" w:hAnsiTheme="majorBidi" w:cstheme="majorBidi"/>
        </w:rPr>
        <w:t>3</w:t>
      </w:r>
      <w:r w:rsidR="000B5A2C" w:rsidRPr="000349BA">
        <w:rPr>
          <w:rFonts w:asciiTheme="majorBidi" w:hAnsiTheme="majorBidi" w:cstheme="majorBidi"/>
        </w:rPr>
        <w:t xml:space="preserve">.gada </w:t>
      </w:r>
      <w:r w:rsidR="00640D80" w:rsidRPr="000349BA">
        <w:rPr>
          <w:rFonts w:asciiTheme="majorBidi" w:hAnsiTheme="majorBidi" w:cstheme="majorBidi"/>
        </w:rPr>
        <w:t>2</w:t>
      </w:r>
      <w:r w:rsidR="009A430D" w:rsidRPr="000349BA">
        <w:rPr>
          <w:rFonts w:asciiTheme="majorBidi" w:hAnsiTheme="majorBidi" w:cstheme="majorBidi"/>
        </w:rPr>
        <w:t>0.decembra</w:t>
      </w:r>
      <w:r w:rsidR="000B5A2C" w:rsidRPr="000349BA">
        <w:rPr>
          <w:rFonts w:asciiTheme="majorBidi" w:hAnsiTheme="majorBidi" w:cstheme="majorBidi"/>
        </w:rPr>
        <w:t xml:space="preserve"> spriedumu.</w:t>
      </w:r>
    </w:p>
    <w:p w14:paraId="4792FD30" w14:textId="77777777" w:rsidR="0025126E" w:rsidRPr="000349BA" w:rsidRDefault="0025126E" w:rsidP="004C12C2">
      <w:pPr>
        <w:spacing w:line="276" w:lineRule="auto"/>
        <w:jc w:val="both"/>
        <w:rPr>
          <w:rFonts w:asciiTheme="majorBidi" w:hAnsiTheme="majorBidi" w:cstheme="majorBidi"/>
          <w:lang w:eastAsia="lv-LV"/>
        </w:rPr>
      </w:pPr>
    </w:p>
    <w:p w14:paraId="035C5B99" w14:textId="2FAC7BF0" w:rsidR="007F0E08" w:rsidRPr="000349BA" w:rsidRDefault="007F0E08" w:rsidP="001C2ACB">
      <w:pPr>
        <w:spacing w:line="276" w:lineRule="auto"/>
        <w:ind w:firstLine="720"/>
        <w:jc w:val="both"/>
        <w:rPr>
          <w:rFonts w:asciiTheme="majorBidi" w:hAnsiTheme="majorBidi" w:cstheme="majorBidi"/>
          <w:lang w:eastAsia="lv-LV"/>
        </w:rPr>
      </w:pPr>
      <w:r w:rsidRPr="000349BA">
        <w:rPr>
          <w:rFonts w:asciiTheme="majorBidi" w:hAnsiTheme="majorBidi" w:cstheme="majorBidi"/>
          <w:lang w:eastAsia="lv-LV"/>
        </w:rPr>
        <w:t>Lēmums nav pārsūdzams</w:t>
      </w:r>
      <w:r w:rsidR="001C2ACB" w:rsidRPr="000349BA">
        <w:rPr>
          <w:rFonts w:asciiTheme="majorBidi" w:hAnsiTheme="majorBidi" w:cstheme="majorBidi"/>
          <w:lang w:eastAsia="lv-LV"/>
        </w:rPr>
        <w:t>.</w:t>
      </w:r>
    </w:p>
    <w:p w14:paraId="53D47FB3" w14:textId="77777777" w:rsidR="00494F1C" w:rsidRPr="000349BA" w:rsidRDefault="00494F1C" w:rsidP="00DA0773">
      <w:pPr>
        <w:tabs>
          <w:tab w:val="center" w:pos="1701"/>
          <w:tab w:val="center" w:pos="4536"/>
          <w:tab w:val="center" w:pos="7371"/>
        </w:tabs>
        <w:spacing w:line="276" w:lineRule="auto"/>
        <w:jc w:val="both"/>
        <w:rPr>
          <w:rFonts w:asciiTheme="majorBidi" w:hAnsiTheme="majorBidi" w:cstheme="majorBidi"/>
        </w:rPr>
      </w:pPr>
    </w:p>
    <w:p w14:paraId="1E4DB0D9" w14:textId="77777777" w:rsidR="00DA0773" w:rsidRPr="000349BA" w:rsidRDefault="00DA0773" w:rsidP="00DA0773">
      <w:pPr>
        <w:tabs>
          <w:tab w:val="center" w:pos="1701"/>
          <w:tab w:val="center" w:pos="4536"/>
          <w:tab w:val="center" w:pos="7371"/>
        </w:tabs>
        <w:spacing w:line="276" w:lineRule="auto"/>
        <w:jc w:val="both"/>
        <w:rPr>
          <w:rFonts w:asciiTheme="majorBidi" w:hAnsiTheme="majorBidi" w:cstheme="majorBidi"/>
        </w:rPr>
      </w:pPr>
    </w:p>
    <w:p w14:paraId="6995C9CB" w14:textId="77777777" w:rsidR="00DA0773" w:rsidRPr="000349BA" w:rsidRDefault="00DA0773" w:rsidP="00DA0773">
      <w:pPr>
        <w:tabs>
          <w:tab w:val="center" w:pos="1701"/>
          <w:tab w:val="center" w:pos="4536"/>
          <w:tab w:val="center" w:pos="7371"/>
        </w:tabs>
        <w:spacing w:line="276" w:lineRule="auto"/>
        <w:jc w:val="both"/>
        <w:rPr>
          <w:rFonts w:asciiTheme="majorBidi" w:hAnsiTheme="majorBidi" w:cstheme="majorBidi"/>
        </w:rPr>
      </w:pPr>
    </w:p>
    <w:p w14:paraId="23C5DDD0" w14:textId="77777777" w:rsidR="003258C8" w:rsidRPr="000349BA" w:rsidRDefault="003258C8" w:rsidP="00C24296">
      <w:pPr>
        <w:tabs>
          <w:tab w:val="center" w:pos="1701"/>
          <w:tab w:val="center" w:pos="4536"/>
          <w:tab w:val="center" w:pos="7371"/>
        </w:tabs>
        <w:spacing w:line="276" w:lineRule="auto"/>
        <w:ind w:firstLine="720"/>
        <w:jc w:val="both"/>
        <w:rPr>
          <w:rFonts w:asciiTheme="majorBidi" w:hAnsiTheme="majorBidi" w:cstheme="majorBidi"/>
        </w:rPr>
      </w:pPr>
    </w:p>
    <w:p w14:paraId="501FBF60" w14:textId="6C988304" w:rsidR="00480855" w:rsidRPr="000349BA" w:rsidRDefault="007F0E08" w:rsidP="00C24296">
      <w:pPr>
        <w:tabs>
          <w:tab w:val="center" w:pos="1701"/>
          <w:tab w:val="center" w:pos="4536"/>
          <w:tab w:val="center" w:pos="7371"/>
        </w:tabs>
        <w:spacing w:line="276" w:lineRule="auto"/>
        <w:ind w:firstLine="720"/>
        <w:jc w:val="both"/>
        <w:rPr>
          <w:rFonts w:asciiTheme="majorBidi" w:hAnsiTheme="majorBidi" w:cstheme="majorBidi"/>
        </w:rPr>
      </w:pPr>
      <w:r w:rsidRPr="000349BA">
        <w:rPr>
          <w:rFonts w:asciiTheme="majorBidi" w:hAnsiTheme="majorBidi" w:cstheme="majorBidi"/>
        </w:rPr>
        <w:t>Senato</w:t>
      </w:r>
      <w:r w:rsidR="00333667" w:rsidRPr="000349BA">
        <w:rPr>
          <w:rFonts w:asciiTheme="majorBidi" w:hAnsiTheme="majorBidi" w:cstheme="majorBidi"/>
        </w:rPr>
        <w:t>rs E.</w:t>
      </w:r>
      <w:r w:rsidR="00E7435E" w:rsidRPr="000349BA">
        <w:rPr>
          <w:rFonts w:asciiTheme="majorBidi" w:hAnsiTheme="majorBidi" w:cstheme="majorBidi"/>
        </w:rPr>
        <w:t> </w:t>
      </w:r>
      <w:r w:rsidR="00333667" w:rsidRPr="000349BA">
        <w:rPr>
          <w:rFonts w:asciiTheme="majorBidi" w:hAnsiTheme="majorBidi" w:cstheme="majorBidi"/>
        </w:rPr>
        <w:t xml:space="preserve">Darapoļskis </w:t>
      </w:r>
      <w:r w:rsidR="00B8332C" w:rsidRPr="000349BA">
        <w:rPr>
          <w:rFonts w:asciiTheme="majorBidi" w:hAnsiTheme="majorBidi" w:cstheme="majorBidi"/>
        </w:rPr>
        <w:tab/>
      </w:r>
      <w:r w:rsidR="0025126E" w:rsidRPr="000349BA">
        <w:rPr>
          <w:rFonts w:asciiTheme="majorBidi" w:hAnsiTheme="majorBidi" w:cstheme="majorBidi"/>
        </w:rPr>
        <w:t xml:space="preserve">       </w:t>
      </w:r>
      <w:r w:rsidRPr="000349BA">
        <w:rPr>
          <w:rFonts w:asciiTheme="majorBidi" w:hAnsiTheme="majorBidi" w:cstheme="majorBidi"/>
        </w:rPr>
        <w:t>Senator</w:t>
      </w:r>
      <w:r w:rsidR="00DA3240" w:rsidRPr="000349BA">
        <w:rPr>
          <w:rFonts w:asciiTheme="majorBidi" w:hAnsiTheme="majorBidi" w:cstheme="majorBidi"/>
        </w:rPr>
        <w:t xml:space="preserve">e </w:t>
      </w:r>
      <w:r w:rsidR="00AE02ED" w:rsidRPr="000349BA">
        <w:rPr>
          <w:rFonts w:asciiTheme="majorBidi" w:hAnsiTheme="majorBidi" w:cstheme="majorBidi"/>
        </w:rPr>
        <w:t>V. Kakste</w:t>
      </w:r>
      <w:r w:rsidR="00B8332C" w:rsidRPr="000349BA">
        <w:rPr>
          <w:rFonts w:asciiTheme="majorBidi" w:hAnsiTheme="majorBidi" w:cstheme="majorBidi"/>
        </w:rPr>
        <w:tab/>
      </w:r>
      <w:r w:rsidR="0025126E" w:rsidRPr="000349BA">
        <w:rPr>
          <w:rFonts w:asciiTheme="majorBidi" w:hAnsiTheme="majorBidi" w:cstheme="majorBidi"/>
        </w:rPr>
        <w:t xml:space="preserve">  </w:t>
      </w:r>
      <w:r w:rsidRPr="000349BA">
        <w:rPr>
          <w:rFonts w:asciiTheme="majorBidi" w:hAnsiTheme="majorBidi" w:cstheme="majorBidi"/>
        </w:rPr>
        <w:t>Senator</w:t>
      </w:r>
      <w:r w:rsidR="00333667" w:rsidRPr="000349BA">
        <w:rPr>
          <w:rFonts w:asciiTheme="majorBidi" w:hAnsiTheme="majorBidi" w:cstheme="majorBidi"/>
        </w:rPr>
        <w:t xml:space="preserve">e </w:t>
      </w:r>
      <w:r w:rsidR="00877CBD" w:rsidRPr="000349BA">
        <w:rPr>
          <w:rFonts w:asciiTheme="majorBidi" w:hAnsiTheme="majorBidi" w:cstheme="majorBidi"/>
        </w:rPr>
        <w:t>A. Kovaļevska</w:t>
      </w:r>
    </w:p>
    <w:sectPr w:rsidR="00480855" w:rsidRPr="000349BA" w:rsidSect="00E92064">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548F" w14:textId="77777777" w:rsidR="00F339C8" w:rsidRDefault="00F339C8">
      <w:r>
        <w:separator/>
      </w:r>
    </w:p>
  </w:endnote>
  <w:endnote w:type="continuationSeparator" w:id="0">
    <w:p w14:paraId="278A5896" w14:textId="77777777" w:rsidR="00F339C8" w:rsidRDefault="00F3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6589" w14:textId="1D1BC33C" w:rsidR="00626B4E" w:rsidRPr="00D74CD2" w:rsidRDefault="00206731" w:rsidP="00626B4E">
    <w:pPr>
      <w:pStyle w:val="Footer"/>
      <w:jc w:val="center"/>
      <w:rPr>
        <w:sz w:val="20"/>
        <w:szCs w:val="20"/>
      </w:rPr>
    </w:pPr>
    <w:r w:rsidRPr="00D74CD2">
      <w:rPr>
        <w:sz w:val="20"/>
        <w:szCs w:val="20"/>
      </w:rPr>
      <w:fldChar w:fldCharType="begin"/>
    </w:r>
    <w:r w:rsidRPr="00D74CD2">
      <w:rPr>
        <w:sz w:val="20"/>
        <w:szCs w:val="20"/>
      </w:rPr>
      <w:instrText>PAGE</w:instrText>
    </w:r>
    <w:r w:rsidRPr="00D74CD2">
      <w:rPr>
        <w:sz w:val="20"/>
        <w:szCs w:val="20"/>
      </w:rPr>
      <w:fldChar w:fldCharType="separate"/>
    </w:r>
    <w:r w:rsidRPr="00D74CD2">
      <w:rPr>
        <w:sz w:val="20"/>
        <w:szCs w:val="20"/>
      </w:rPr>
      <w:t>1</w:t>
    </w:r>
    <w:r w:rsidRPr="00D74CD2">
      <w:rPr>
        <w:sz w:val="20"/>
        <w:szCs w:val="20"/>
      </w:rPr>
      <w:fldChar w:fldCharType="end"/>
    </w:r>
    <w:r w:rsidRPr="00D74CD2">
      <w:rPr>
        <w:rStyle w:val="PageNumber"/>
        <w:sz w:val="20"/>
        <w:szCs w:val="20"/>
      </w:rPr>
      <w:t xml:space="preserve"> no </w:t>
    </w:r>
    <w:r w:rsidRPr="00D74CD2">
      <w:rPr>
        <w:noProof/>
        <w:sz w:val="20"/>
        <w:szCs w:val="20"/>
      </w:rPr>
      <w:fldChar w:fldCharType="begin"/>
    </w:r>
    <w:r w:rsidRPr="00D74CD2">
      <w:rPr>
        <w:noProof/>
        <w:sz w:val="20"/>
        <w:szCs w:val="20"/>
      </w:rPr>
      <w:instrText>SECTIONPAGES   \* MERGEFORMAT</w:instrText>
    </w:r>
    <w:r w:rsidRPr="00D74CD2">
      <w:rPr>
        <w:noProof/>
        <w:sz w:val="20"/>
        <w:szCs w:val="20"/>
      </w:rPr>
      <w:fldChar w:fldCharType="separate"/>
    </w:r>
    <w:r w:rsidR="003A1C28">
      <w:rPr>
        <w:noProof/>
        <w:sz w:val="20"/>
        <w:szCs w:val="20"/>
      </w:rPr>
      <w:t>3</w:t>
    </w:r>
    <w:r w:rsidRPr="00D74CD2">
      <w:rPr>
        <w:noProof/>
        <w:sz w:val="20"/>
        <w:szCs w:val="20"/>
      </w:rPr>
      <w:fldChar w:fldCharType="end"/>
    </w:r>
    <w:bookmarkStart w:id="0" w:name="__Fieldmark__171_3260321367"/>
    <w:bookmarkStart w:id="1" w:name="__Fieldmark__667_1373986896"/>
    <w:bookmarkStart w:id="2" w:name="__Fieldmark__363_2235992191"/>
    <w:bookmarkEnd w:id="0"/>
    <w:bookmarkEnd w:id="1"/>
    <w:bookmarkEnd w:id="2"/>
  </w:p>
  <w:p w14:paraId="04B7F77D" w14:textId="77777777" w:rsidR="00626B4E" w:rsidRDefault="0062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331B" w14:textId="77777777" w:rsidR="00F339C8" w:rsidRDefault="00F339C8">
      <w:r>
        <w:separator/>
      </w:r>
    </w:p>
  </w:footnote>
  <w:footnote w:type="continuationSeparator" w:id="0">
    <w:p w14:paraId="4329D1FC" w14:textId="77777777" w:rsidR="00F339C8" w:rsidRDefault="00F33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125F9A"/>
    <w:multiLevelType w:val="multilevel"/>
    <w:tmpl w:val="A0C2AF72"/>
    <w:styleLink w:val="WWNum26"/>
    <w:lvl w:ilvl="0">
      <w:start w:val="1"/>
      <w:numFmt w:val="lowerLetter"/>
      <w:lvlText w:val="%1."/>
      <w:lvlJc w:val="left"/>
      <w:pPr>
        <w:ind w:left="1440" w:hanging="360"/>
      </w:pPr>
      <w:rPr>
        <w:sz w:val="21"/>
        <w:szCs w:val="21"/>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B706F93"/>
    <w:multiLevelType w:val="multilevel"/>
    <w:tmpl w:val="73CCC20E"/>
    <w:styleLink w:val="WWNum2"/>
    <w:lvl w:ilvl="0">
      <w:start w:val="1"/>
      <w:numFmt w:val="decimal"/>
      <w:lvlText w:val="%1."/>
      <w:lvlJc w:val="right"/>
      <w:pPr>
        <w:ind w:left="720" w:hanging="360"/>
      </w:pPr>
      <w:rPr>
        <w:b w:val="0"/>
        <w:sz w:val="18"/>
        <w:szCs w:val="18"/>
      </w:rPr>
    </w:lvl>
    <w:lvl w:ilvl="1">
      <w:start w:val="1"/>
      <w:numFmt w:val="lowerLetter"/>
      <w:lvlText w:val="%2."/>
      <w:lvlJc w:val="left"/>
      <w:pPr>
        <w:ind w:left="1440" w:hanging="360"/>
      </w:pPr>
      <w:rPr>
        <w:sz w:val="21"/>
        <w:szCs w:val="21"/>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B2D37B2"/>
    <w:multiLevelType w:val="hybridMultilevel"/>
    <w:tmpl w:val="F2A67256"/>
    <w:lvl w:ilvl="0" w:tplc="DB6E92EE">
      <w:start w:val="1"/>
      <w:numFmt w:val="decimal"/>
      <w:lvlText w:val="%1)"/>
      <w:lvlJc w:val="left"/>
      <w:pPr>
        <w:ind w:left="720" w:hanging="360"/>
      </w:pPr>
      <w:rPr>
        <w:rFonts w:eastAsiaTheme="minorHAnsi" w:cstheme="minorBidi"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C77CDA"/>
    <w:multiLevelType w:val="hybridMultilevel"/>
    <w:tmpl w:val="F5020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B010A"/>
    <w:multiLevelType w:val="multilevel"/>
    <w:tmpl w:val="A2F63E4E"/>
    <w:lvl w:ilvl="0">
      <w:start w:val="1"/>
      <w:numFmt w:val="decimal"/>
      <w:lvlText w:val="%1."/>
      <w:lvlJc w:val="left"/>
      <w:pPr>
        <w:ind w:left="360" w:hanging="360"/>
      </w:pPr>
      <w:rPr>
        <w:rFonts w:hint="default"/>
      </w:rPr>
    </w:lvl>
    <w:lvl w:ilvl="1">
      <w:start w:val="1"/>
      <w:numFmt w:val="decimal"/>
      <w:lvlText w:val="%1.%2."/>
      <w:lvlJc w:val="left"/>
      <w:pPr>
        <w:ind w:left="574"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8C6467"/>
    <w:multiLevelType w:val="hybridMultilevel"/>
    <w:tmpl w:val="13E6A608"/>
    <w:lvl w:ilvl="0" w:tplc="E2521D40">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870066"/>
    <w:multiLevelType w:val="hybridMultilevel"/>
    <w:tmpl w:val="4A726EA6"/>
    <w:lvl w:ilvl="0" w:tplc="4D6A6B20">
      <w:start w:val="1"/>
      <w:numFmt w:val="decimal"/>
      <w:lvlText w:val="%1."/>
      <w:lvlJc w:val="right"/>
      <w:pPr>
        <w:ind w:left="720" w:hanging="360"/>
      </w:pPr>
      <w:rPr>
        <w:b w:val="0"/>
        <w:sz w:val="18"/>
        <w:szCs w:val="18"/>
      </w:rPr>
    </w:lvl>
    <w:lvl w:ilvl="1" w:tplc="AACE2CD8">
      <w:start w:val="1"/>
      <w:numFmt w:val="lowerLetter"/>
      <w:lvlText w:val="%2."/>
      <w:lvlJc w:val="left"/>
      <w:pPr>
        <w:ind w:left="1440" w:hanging="360"/>
      </w:pPr>
      <w:rPr>
        <w:sz w:val="21"/>
        <w:szCs w:val="21"/>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28999639">
    <w:abstractNumId w:val="2"/>
  </w:num>
  <w:num w:numId="2" w16cid:durableId="547424518">
    <w:abstractNumId w:val="1"/>
  </w:num>
  <w:num w:numId="3" w16cid:durableId="678429887">
    <w:abstractNumId w:val="1"/>
    <w:lvlOverride w:ilvl="0">
      <w:startOverride w:val="1"/>
    </w:lvlOverride>
  </w:num>
  <w:num w:numId="4" w16cid:durableId="1837722477">
    <w:abstractNumId w:val="7"/>
  </w:num>
  <w:num w:numId="5" w16cid:durableId="183062853">
    <w:abstractNumId w:val="3"/>
  </w:num>
  <w:num w:numId="6" w16cid:durableId="1404059197">
    <w:abstractNumId w:val="5"/>
  </w:num>
  <w:num w:numId="7" w16cid:durableId="949975797">
    <w:abstractNumId w:val="4"/>
  </w:num>
  <w:num w:numId="8" w16cid:durableId="607082370">
    <w:abstractNumId w:val="0"/>
  </w:num>
  <w:num w:numId="9" w16cid:durableId="9748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08"/>
    <w:rsid w:val="00002984"/>
    <w:rsid w:val="00003716"/>
    <w:rsid w:val="00003BA4"/>
    <w:rsid w:val="000045D4"/>
    <w:rsid w:val="0000598B"/>
    <w:rsid w:val="0001138B"/>
    <w:rsid w:val="00012A72"/>
    <w:rsid w:val="000201EA"/>
    <w:rsid w:val="00022C88"/>
    <w:rsid w:val="000230B8"/>
    <w:rsid w:val="000239FF"/>
    <w:rsid w:val="00024C88"/>
    <w:rsid w:val="00026506"/>
    <w:rsid w:val="00026B21"/>
    <w:rsid w:val="0002700E"/>
    <w:rsid w:val="00027A2B"/>
    <w:rsid w:val="00032267"/>
    <w:rsid w:val="00032774"/>
    <w:rsid w:val="00032FA9"/>
    <w:rsid w:val="000349BA"/>
    <w:rsid w:val="000376EB"/>
    <w:rsid w:val="00040B9B"/>
    <w:rsid w:val="00041ED6"/>
    <w:rsid w:val="00043A9D"/>
    <w:rsid w:val="0004448C"/>
    <w:rsid w:val="000511B7"/>
    <w:rsid w:val="0005194B"/>
    <w:rsid w:val="000571CC"/>
    <w:rsid w:val="000574C4"/>
    <w:rsid w:val="000578BA"/>
    <w:rsid w:val="00064282"/>
    <w:rsid w:val="00070780"/>
    <w:rsid w:val="00077185"/>
    <w:rsid w:val="00077CBD"/>
    <w:rsid w:val="00081D8C"/>
    <w:rsid w:val="00083731"/>
    <w:rsid w:val="00086642"/>
    <w:rsid w:val="000878E1"/>
    <w:rsid w:val="0009085E"/>
    <w:rsid w:val="000940CD"/>
    <w:rsid w:val="000941C1"/>
    <w:rsid w:val="00095104"/>
    <w:rsid w:val="00095A6B"/>
    <w:rsid w:val="000A057A"/>
    <w:rsid w:val="000A19E2"/>
    <w:rsid w:val="000A343F"/>
    <w:rsid w:val="000A41A8"/>
    <w:rsid w:val="000A531B"/>
    <w:rsid w:val="000A57EA"/>
    <w:rsid w:val="000B0CD7"/>
    <w:rsid w:val="000B4A70"/>
    <w:rsid w:val="000B5A2C"/>
    <w:rsid w:val="000B6D40"/>
    <w:rsid w:val="000B70C8"/>
    <w:rsid w:val="000C0706"/>
    <w:rsid w:val="000C2EE0"/>
    <w:rsid w:val="000D1F5E"/>
    <w:rsid w:val="000D283F"/>
    <w:rsid w:val="000D4BD5"/>
    <w:rsid w:val="000E02ED"/>
    <w:rsid w:val="000E1D51"/>
    <w:rsid w:val="000E241D"/>
    <w:rsid w:val="000E362E"/>
    <w:rsid w:val="000E60EF"/>
    <w:rsid w:val="000F053B"/>
    <w:rsid w:val="000F1281"/>
    <w:rsid w:val="000F2B9B"/>
    <w:rsid w:val="000F5830"/>
    <w:rsid w:val="00100311"/>
    <w:rsid w:val="00100392"/>
    <w:rsid w:val="00111271"/>
    <w:rsid w:val="00112CA9"/>
    <w:rsid w:val="001138BA"/>
    <w:rsid w:val="00113F70"/>
    <w:rsid w:val="00114F74"/>
    <w:rsid w:val="00127DEC"/>
    <w:rsid w:val="0013166F"/>
    <w:rsid w:val="00131A3C"/>
    <w:rsid w:val="00131BEB"/>
    <w:rsid w:val="00132869"/>
    <w:rsid w:val="0013480E"/>
    <w:rsid w:val="00136B0B"/>
    <w:rsid w:val="00137764"/>
    <w:rsid w:val="001408BE"/>
    <w:rsid w:val="00141B54"/>
    <w:rsid w:val="001430FD"/>
    <w:rsid w:val="00144FD3"/>
    <w:rsid w:val="00145447"/>
    <w:rsid w:val="0014551F"/>
    <w:rsid w:val="001475EC"/>
    <w:rsid w:val="001508E2"/>
    <w:rsid w:val="00151217"/>
    <w:rsid w:val="00151380"/>
    <w:rsid w:val="00151BD8"/>
    <w:rsid w:val="00153A36"/>
    <w:rsid w:val="001607CD"/>
    <w:rsid w:val="0016276D"/>
    <w:rsid w:val="0016283F"/>
    <w:rsid w:val="00164477"/>
    <w:rsid w:val="00164657"/>
    <w:rsid w:val="001660E9"/>
    <w:rsid w:val="0017100C"/>
    <w:rsid w:val="00171EB4"/>
    <w:rsid w:val="001722EC"/>
    <w:rsid w:val="001746FD"/>
    <w:rsid w:val="00174CF1"/>
    <w:rsid w:val="00175D0F"/>
    <w:rsid w:val="0017619C"/>
    <w:rsid w:val="001777C3"/>
    <w:rsid w:val="001778E5"/>
    <w:rsid w:val="00180409"/>
    <w:rsid w:val="00184CBA"/>
    <w:rsid w:val="00185D0D"/>
    <w:rsid w:val="00190275"/>
    <w:rsid w:val="00192669"/>
    <w:rsid w:val="00194ADB"/>
    <w:rsid w:val="00196A74"/>
    <w:rsid w:val="001A0DED"/>
    <w:rsid w:val="001A16BE"/>
    <w:rsid w:val="001A5373"/>
    <w:rsid w:val="001A549D"/>
    <w:rsid w:val="001A57D9"/>
    <w:rsid w:val="001A76EC"/>
    <w:rsid w:val="001B35CC"/>
    <w:rsid w:val="001B674D"/>
    <w:rsid w:val="001B699C"/>
    <w:rsid w:val="001C1418"/>
    <w:rsid w:val="001C2018"/>
    <w:rsid w:val="001C2ACB"/>
    <w:rsid w:val="001C3517"/>
    <w:rsid w:val="001C37A4"/>
    <w:rsid w:val="001C6B1E"/>
    <w:rsid w:val="001C7F5D"/>
    <w:rsid w:val="001D0477"/>
    <w:rsid w:val="001D07A0"/>
    <w:rsid w:val="001D1C01"/>
    <w:rsid w:val="001D3232"/>
    <w:rsid w:val="001D427B"/>
    <w:rsid w:val="001D4FBB"/>
    <w:rsid w:val="001E00F5"/>
    <w:rsid w:val="001E1105"/>
    <w:rsid w:val="001E1AA4"/>
    <w:rsid w:val="001F2728"/>
    <w:rsid w:val="001F4A5E"/>
    <w:rsid w:val="001F650A"/>
    <w:rsid w:val="00200BFF"/>
    <w:rsid w:val="00201D93"/>
    <w:rsid w:val="002023A1"/>
    <w:rsid w:val="0020247D"/>
    <w:rsid w:val="00203BF9"/>
    <w:rsid w:val="00204A9B"/>
    <w:rsid w:val="00206731"/>
    <w:rsid w:val="002068AF"/>
    <w:rsid w:val="002107E3"/>
    <w:rsid w:val="0021163F"/>
    <w:rsid w:val="00212BDE"/>
    <w:rsid w:val="00214E4D"/>
    <w:rsid w:val="00216E8D"/>
    <w:rsid w:val="0022358C"/>
    <w:rsid w:val="0022554D"/>
    <w:rsid w:val="00232221"/>
    <w:rsid w:val="00232362"/>
    <w:rsid w:val="00233173"/>
    <w:rsid w:val="002349EF"/>
    <w:rsid w:val="00240AB2"/>
    <w:rsid w:val="002410A4"/>
    <w:rsid w:val="00242DD7"/>
    <w:rsid w:val="002435F4"/>
    <w:rsid w:val="00246459"/>
    <w:rsid w:val="00251023"/>
    <w:rsid w:val="0025126E"/>
    <w:rsid w:val="00253699"/>
    <w:rsid w:val="0025648E"/>
    <w:rsid w:val="00257314"/>
    <w:rsid w:val="00260F62"/>
    <w:rsid w:val="00261F51"/>
    <w:rsid w:val="00261FA3"/>
    <w:rsid w:val="00264773"/>
    <w:rsid w:val="00265757"/>
    <w:rsid w:val="00266EC9"/>
    <w:rsid w:val="0026722C"/>
    <w:rsid w:val="002672DC"/>
    <w:rsid w:val="0027005F"/>
    <w:rsid w:val="00270BEB"/>
    <w:rsid w:val="00274661"/>
    <w:rsid w:val="00281976"/>
    <w:rsid w:val="00282972"/>
    <w:rsid w:val="00285EC4"/>
    <w:rsid w:val="00286D86"/>
    <w:rsid w:val="00296C0E"/>
    <w:rsid w:val="00296FC4"/>
    <w:rsid w:val="002979AB"/>
    <w:rsid w:val="002A1C63"/>
    <w:rsid w:val="002A6493"/>
    <w:rsid w:val="002B2173"/>
    <w:rsid w:val="002B3486"/>
    <w:rsid w:val="002B489B"/>
    <w:rsid w:val="002B646D"/>
    <w:rsid w:val="002B67D8"/>
    <w:rsid w:val="002B6E03"/>
    <w:rsid w:val="002C2FA4"/>
    <w:rsid w:val="002C3428"/>
    <w:rsid w:val="002C42B1"/>
    <w:rsid w:val="002C43C5"/>
    <w:rsid w:val="002C514A"/>
    <w:rsid w:val="002C7D4F"/>
    <w:rsid w:val="002D08A8"/>
    <w:rsid w:val="002D238F"/>
    <w:rsid w:val="002D3607"/>
    <w:rsid w:val="002D4A78"/>
    <w:rsid w:val="002E1B38"/>
    <w:rsid w:val="002E370B"/>
    <w:rsid w:val="002E3BA2"/>
    <w:rsid w:val="002E412F"/>
    <w:rsid w:val="002E672C"/>
    <w:rsid w:val="002E69C0"/>
    <w:rsid w:val="002F0172"/>
    <w:rsid w:val="002F0C95"/>
    <w:rsid w:val="002F2758"/>
    <w:rsid w:val="00300219"/>
    <w:rsid w:val="00300D77"/>
    <w:rsid w:val="003020AE"/>
    <w:rsid w:val="00304070"/>
    <w:rsid w:val="00304200"/>
    <w:rsid w:val="00310687"/>
    <w:rsid w:val="00317C7B"/>
    <w:rsid w:val="00321B4C"/>
    <w:rsid w:val="0032571F"/>
    <w:rsid w:val="003258C8"/>
    <w:rsid w:val="00330363"/>
    <w:rsid w:val="00333667"/>
    <w:rsid w:val="00333C93"/>
    <w:rsid w:val="00334139"/>
    <w:rsid w:val="00335D67"/>
    <w:rsid w:val="00337DF8"/>
    <w:rsid w:val="003423D4"/>
    <w:rsid w:val="003445FB"/>
    <w:rsid w:val="0034472F"/>
    <w:rsid w:val="00344940"/>
    <w:rsid w:val="00347212"/>
    <w:rsid w:val="003479E8"/>
    <w:rsid w:val="00347FF2"/>
    <w:rsid w:val="00350465"/>
    <w:rsid w:val="0035394C"/>
    <w:rsid w:val="00354098"/>
    <w:rsid w:val="00356989"/>
    <w:rsid w:val="00364E0D"/>
    <w:rsid w:val="00365E58"/>
    <w:rsid w:val="0036714E"/>
    <w:rsid w:val="003674F4"/>
    <w:rsid w:val="00367CE6"/>
    <w:rsid w:val="00370723"/>
    <w:rsid w:val="00372869"/>
    <w:rsid w:val="00372A12"/>
    <w:rsid w:val="003745FD"/>
    <w:rsid w:val="00376157"/>
    <w:rsid w:val="00381F6F"/>
    <w:rsid w:val="00383199"/>
    <w:rsid w:val="00383906"/>
    <w:rsid w:val="00385447"/>
    <w:rsid w:val="00390FED"/>
    <w:rsid w:val="00391E45"/>
    <w:rsid w:val="00395063"/>
    <w:rsid w:val="0039717B"/>
    <w:rsid w:val="00397BDF"/>
    <w:rsid w:val="003A155C"/>
    <w:rsid w:val="003A1C28"/>
    <w:rsid w:val="003A37F9"/>
    <w:rsid w:val="003A3E04"/>
    <w:rsid w:val="003A6EF5"/>
    <w:rsid w:val="003A7389"/>
    <w:rsid w:val="003A7950"/>
    <w:rsid w:val="003B058B"/>
    <w:rsid w:val="003B1691"/>
    <w:rsid w:val="003B3CED"/>
    <w:rsid w:val="003B3EB6"/>
    <w:rsid w:val="003B447B"/>
    <w:rsid w:val="003B4665"/>
    <w:rsid w:val="003B7E30"/>
    <w:rsid w:val="003C1A20"/>
    <w:rsid w:val="003C1B63"/>
    <w:rsid w:val="003C1B66"/>
    <w:rsid w:val="003C2273"/>
    <w:rsid w:val="003C2B01"/>
    <w:rsid w:val="003C5B70"/>
    <w:rsid w:val="003C6D18"/>
    <w:rsid w:val="003D02F0"/>
    <w:rsid w:val="003D19B2"/>
    <w:rsid w:val="003D409D"/>
    <w:rsid w:val="003D450F"/>
    <w:rsid w:val="003D58F6"/>
    <w:rsid w:val="003D65B3"/>
    <w:rsid w:val="003E328E"/>
    <w:rsid w:val="003E35C4"/>
    <w:rsid w:val="003E3E43"/>
    <w:rsid w:val="003E440A"/>
    <w:rsid w:val="003E6BE5"/>
    <w:rsid w:val="003F00B8"/>
    <w:rsid w:val="003F1B08"/>
    <w:rsid w:val="003F30CB"/>
    <w:rsid w:val="003F3D0A"/>
    <w:rsid w:val="003F4B52"/>
    <w:rsid w:val="003F57CE"/>
    <w:rsid w:val="003F7E42"/>
    <w:rsid w:val="00400076"/>
    <w:rsid w:val="0040068B"/>
    <w:rsid w:val="004036BD"/>
    <w:rsid w:val="00403E2D"/>
    <w:rsid w:val="00406D8D"/>
    <w:rsid w:val="00407AC4"/>
    <w:rsid w:val="0041263E"/>
    <w:rsid w:val="004126A6"/>
    <w:rsid w:val="0041405F"/>
    <w:rsid w:val="00417459"/>
    <w:rsid w:val="00417F84"/>
    <w:rsid w:val="00420AFE"/>
    <w:rsid w:val="004214B3"/>
    <w:rsid w:val="0042274A"/>
    <w:rsid w:val="00424812"/>
    <w:rsid w:val="00424F0D"/>
    <w:rsid w:val="0042601C"/>
    <w:rsid w:val="004341FF"/>
    <w:rsid w:val="00434D4A"/>
    <w:rsid w:val="004351DB"/>
    <w:rsid w:val="0043795B"/>
    <w:rsid w:val="00443E66"/>
    <w:rsid w:val="00451346"/>
    <w:rsid w:val="00454746"/>
    <w:rsid w:val="00456B4D"/>
    <w:rsid w:val="0045738F"/>
    <w:rsid w:val="0045776C"/>
    <w:rsid w:val="00460270"/>
    <w:rsid w:val="004617C3"/>
    <w:rsid w:val="00461A08"/>
    <w:rsid w:val="00463334"/>
    <w:rsid w:val="00464303"/>
    <w:rsid w:val="00467D1A"/>
    <w:rsid w:val="00467F9A"/>
    <w:rsid w:val="004726F8"/>
    <w:rsid w:val="00472C54"/>
    <w:rsid w:val="00474198"/>
    <w:rsid w:val="004753ED"/>
    <w:rsid w:val="004756B3"/>
    <w:rsid w:val="004762B6"/>
    <w:rsid w:val="00480406"/>
    <w:rsid w:val="00480855"/>
    <w:rsid w:val="0048377E"/>
    <w:rsid w:val="00484D04"/>
    <w:rsid w:val="00486476"/>
    <w:rsid w:val="00494F1C"/>
    <w:rsid w:val="00494FBC"/>
    <w:rsid w:val="004958BF"/>
    <w:rsid w:val="00497790"/>
    <w:rsid w:val="004A3225"/>
    <w:rsid w:val="004A3502"/>
    <w:rsid w:val="004A4CF0"/>
    <w:rsid w:val="004A4ECB"/>
    <w:rsid w:val="004A58F1"/>
    <w:rsid w:val="004B0BCC"/>
    <w:rsid w:val="004B1919"/>
    <w:rsid w:val="004B5C2F"/>
    <w:rsid w:val="004B6382"/>
    <w:rsid w:val="004B6EBB"/>
    <w:rsid w:val="004B7B60"/>
    <w:rsid w:val="004C0E6D"/>
    <w:rsid w:val="004C12C2"/>
    <w:rsid w:val="004C3413"/>
    <w:rsid w:val="004C4495"/>
    <w:rsid w:val="004D0DF0"/>
    <w:rsid w:val="004D19EA"/>
    <w:rsid w:val="004D1C89"/>
    <w:rsid w:val="004D4671"/>
    <w:rsid w:val="004D7939"/>
    <w:rsid w:val="004E29C6"/>
    <w:rsid w:val="004E3BA3"/>
    <w:rsid w:val="004E3C9A"/>
    <w:rsid w:val="004E6C52"/>
    <w:rsid w:val="004F176C"/>
    <w:rsid w:val="004F1D91"/>
    <w:rsid w:val="004F2F14"/>
    <w:rsid w:val="004F6164"/>
    <w:rsid w:val="005014E4"/>
    <w:rsid w:val="005025D5"/>
    <w:rsid w:val="00506860"/>
    <w:rsid w:val="00510DEB"/>
    <w:rsid w:val="00513518"/>
    <w:rsid w:val="005154BC"/>
    <w:rsid w:val="00517107"/>
    <w:rsid w:val="00517DFE"/>
    <w:rsid w:val="005218B5"/>
    <w:rsid w:val="005222DC"/>
    <w:rsid w:val="005223DA"/>
    <w:rsid w:val="00523786"/>
    <w:rsid w:val="00523F02"/>
    <w:rsid w:val="005249C5"/>
    <w:rsid w:val="0052793D"/>
    <w:rsid w:val="00534A79"/>
    <w:rsid w:val="005364B7"/>
    <w:rsid w:val="00536866"/>
    <w:rsid w:val="00540AD3"/>
    <w:rsid w:val="00540B2C"/>
    <w:rsid w:val="00541C3C"/>
    <w:rsid w:val="00543222"/>
    <w:rsid w:val="00543A6F"/>
    <w:rsid w:val="00543B6B"/>
    <w:rsid w:val="005465C0"/>
    <w:rsid w:val="0054666D"/>
    <w:rsid w:val="0055039A"/>
    <w:rsid w:val="00551A54"/>
    <w:rsid w:val="00551E7E"/>
    <w:rsid w:val="005539D0"/>
    <w:rsid w:val="005544C6"/>
    <w:rsid w:val="00556305"/>
    <w:rsid w:val="005601EC"/>
    <w:rsid w:val="00560A91"/>
    <w:rsid w:val="00560C71"/>
    <w:rsid w:val="005613EA"/>
    <w:rsid w:val="005623D6"/>
    <w:rsid w:val="00563633"/>
    <w:rsid w:val="0056367A"/>
    <w:rsid w:val="005716F0"/>
    <w:rsid w:val="005759DB"/>
    <w:rsid w:val="00577823"/>
    <w:rsid w:val="0058047E"/>
    <w:rsid w:val="005817BB"/>
    <w:rsid w:val="00582016"/>
    <w:rsid w:val="00583972"/>
    <w:rsid w:val="00584748"/>
    <w:rsid w:val="0058504E"/>
    <w:rsid w:val="005852F1"/>
    <w:rsid w:val="00585C11"/>
    <w:rsid w:val="00586341"/>
    <w:rsid w:val="00591A10"/>
    <w:rsid w:val="00592149"/>
    <w:rsid w:val="00594A69"/>
    <w:rsid w:val="00596D58"/>
    <w:rsid w:val="005A1790"/>
    <w:rsid w:val="005A23D5"/>
    <w:rsid w:val="005A3ACA"/>
    <w:rsid w:val="005A59F8"/>
    <w:rsid w:val="005A5FD1"/>
    <w:rsid w:val="005A77E7"/>
    <w:rsid w:val="005B174A"/>
    <w:rsid w:val="005B1B1B"/>
    <w:rsid w:val="005B1BA9"/>
    <w:rsid w:val="005B28C7"/>
    <w:rsid w:val="005B4457"/>
    <w:rsid w:val="005B6210"/>
    <w:rsid w:val="005B62E9"/>
    <w:rsid w:val="005C4D6A"/>
    <w:rsid w:val="005D0D3E"/>
    <w:rsid w:val="005D1778"/>
    <w:rsid w:val="005D63B2"/>
    <w:rsid w:val="005E0ADE"/>
    <w:rsid w:val="005E18D6"/>
    <w:rsid w:val="005E3080"/>
    <w:rsid w:val="005E3DFA"/>
    <w:rsid w:val="005E5CFD"/>
    <w:rsid w:val="005E6570"/>
    <w:rsid w:val="005F3C61"/>
    <w:rsid w:val="005F7307"/>
    <w:rsid w:val="005F74C5"/>
    <w:rsid w:val="005F7CB3"/>
    <w:rsid w:val="006107B0"/>
    <w:rsid w:val="00611FB3"/>
    <w:rsid w:val="00616062"/>
    <w:rsid w:val="006160E1"/>
    <w:rsid w:val="006161E2"/>
    <w:rsid w:val="00626B4E"/>
    <w:rsid w:val="006271C1"/>
    <w:rsid w:val="006310DF"/>
    <w:rsid w:val="00631AF9"/>
    <w:rsid w:val="00631EAB"/>
    <w:rsid w:val="006409F0"/>
    <w:rsid w:val="00640D80"/>
    <w:rsid w:val="006411AB"/>
    <w:rsid w:val="006431CE"/>
    <w:rsid w:val="00644285"/>
    <w:rsid w:val="00646A81"/>
    <w:rsid w:val="00650F02"/>
    <w:rsid w:val="00653608"/>
    <w:rsid w:val="00654D1C"/>
    <w:rsid w:val="00660CEB"/>
    <w:rsid w:val="0066295A"/>
    <w:rsid w:val="00662BB2"/>
    <w:rsid w:val="006652BF"/>
    <w:rsid w:val="00667066"/>
    <w:rsid w:val="006733DF"/>
    <w:rsid w:val="006770DD"/>
    <w:rsid w:val="006777C0"/>
    <w:rsid w:val="00680830"/>
    <w:rsid w:val="006913E2"/>
    <w:rsid w:val="00694BDC"/>
    <w:rsid w:val="006961D0"/>
    <w:rsid w:val="0069621E"/>
    <w:rsid w:val="006A1CC4"/>
    <w:rsid w:val="006A2F1E"/>
    <w:rsid w:val="006A55D4"/>
    <w:rsid w:val="006B087B"/>
    <w:rsid w:val="006B0C92"/>
    <w:rsid w:val="006B13E1"/>
    <w:rsid w:val="006B214F"/>
    <w:rsid w:val="006B21DB"/>
    <w:rsid w:val="006B30DE"/>
    <w:rsid w:val="006B6731"/>
    <w:rsid w:val="006B6761"/>
    <w:rsid w:val="006B6C3F"/>
    <w:rsid w:val="006B7DB6"/>
    <w:rsid w:val="006C337A"/>
    <w:rsid w:val="006C502E"/>
    <w:rsid w:val="006C5938"/>
    <w:rsid w:val="006C6428"/>
    <w:rsid w:val="006D0475"/>
    <w:rsid w:val="006D34FA"/>
    <w:rsid w:val="006D3661"/>
    <w:rsid w:val="006D484E"/>
    <w:rsid w:val="006D4D9B"/>
    <w:rsid w:val="006D5922"/>
    <w:rsid w:val="006E02EF"/>
    <w:rsid w:val="006E457F"/>
    <w:rsid w:val="006E4A71"/>
    <w:rsid w:val="006E5A63"/>
    <w:rsid w:val="006F0DD2"/>
    <w:rsid w:val="006F5939"/>
    <w:rsid w:val="006F6702"/>
    <w:rsid w:val="006F7367"/>
    <w:rsid w:val="006F7DCB"/>
    <w:rsid w:val="00701DC4"/>
    <w:rsid w:val="00703756"/>
    <w:rsid w:val="00704632"/>
    <w:rsid w:val="00706389"/>
    <w:rsid w:val="00706C36"/>
    <w:rsid w:val="0070769F"/>
    <w:rsid w:val="0071426E"/>
    <w:rsid w:val="00720164"/>
    <w:rsid w:val="00720BF9"/>
    <w:rsid w:val="007223A9"/>
    <w:rsid w:val="00723747"/>
    <w:rsid w:val="007243A3"/>
    <w:rsid w:val="00725B6D"/>
    <w:rsid w:val="00725F14"/>
    <w:rsid w:val="00727B79"/>
    <w:rsid w:val="0073101C"/>
    <w:rsid w:val="0073310F"/>
    <w:rsid w:val="00735DB7"/>
    <w:rsid w:val="00737B24"/>
    <w:rsid w:val="007404F7"/>
    <w:rsid w:val="00740F0E"/>
    <w:rsid w:val="00745650"/>
    <w:rsid w:val="00745D67"/>
    <w:rsid w:val="00746FDF"/>
    <w:rsid w:val="00751626"/>
    <w:rsid w:val="0075191C"/>
    <w:rsid w:val="00752AB8"/>
    <w:rsid w:val="00753DEB"/>
    <w:rsid w:val="00753E94"/>
    <w:rsid w:val="00754E11"/>
    <w:rsid w:val="0075787C"/>
    <w:rsid w:val="00762831"/>
    <w:rsid w:val="00773F8F"/>
    <w:rsid w:val="00775215"/>
    <w:rsid w:val="0077647B"/>
    <w:rsid w:val="00780A32"/>
    <w:rsid w:val="00780F9B"/>
    <w:rsid w:val="007828D9"/>
    <w:rsid w:val="00783232"/>
    <w:rsid w:val="0078408C"/>
    <w:rsid w:val="007842A4"/>
    <w:rsid w:val="00784B97"/>
    <w:rsid w:val="00785002"/>
    <w:rsid w:val="007850D3"/>
    <w:rsid w:val="007859B3"/>
    <w:rsid w:val="00785B7B"/>
    <w:rsid w:val="00790C6A"/>
    <w:rsid w:val="00795982"/>
    <w:rsid w:val="00796828"/>
    <w:rsid w:val="00797141"/>
    <w:rsid w:val="007A13A5"/>
    <w:rsid w:val="007A2CFF"/>
    <w:rsid w:val="007A3DBE"/>
    <w:rsid w:val="007A4F39"/>
    <w:rsid w:val="007A6565"/>
    <w:rsid w:val="007B02FE"/>
    <w:rsid w:val="007B06E0"/>
    <w:rsid w:val="007B19F6"/>
    <w:rsid w:val="007B1AF1"/>
    <w:rsid w:val="007B241E"/>
    <w:rsid w:val="007B36A3"/>
    <w:rsid w:val="007C1193"/>
    <w:rsid w:val="007C136D"/>
    <w:rsid w:val="007C3551"/>
    <w:rsid w:val="007D4CDE"/>
    <w:rsid w:val="007D5613"/>
    <w:rsid w:val="007D596B"/>
    <w:rsid w:val="007D617C"/>
    <w:rsid w:val="007E28F5"/>
    <w:rsid w:val="007E4E69"/>
    <w:rsid w:val="007E5206"/>
    <w:rsid w:val="007F0422"/>
    <w:rsid w:val="007F0CFB"/>
    <w:rsid w:val="007F0E08"/>
    <w:rsid w:val="007F1A58"/>
    <w:rsid w:val="007F3231"/>
    <w:rsid w:val="007F7A81"/>
    <w:rsid w:val="00800CC4"/>
    <w:rsid w:val="008016DD"/>
    <w:rsid w:val="00802014"/>
    <w:rsid w:val="00812970"/>
    <w:rsid w:val="00813633"/>
    <w:rsid w:val="008140FA"/>
    <w:rsid w:val="00817C0B"/>
    <w:rsid w:val="00820331"/>
    <w:rsid w:val="00822EBA"/>
    <w:rsid w:val="00824DB0"/>
    <w:rsid w:val="0083249C"/>
    <w:rsid w:val="008360A9"/>
    <w:rsid w:val="00837905"/>
    <w:rsid w:val="00840AE6"/>
    <w:rsid w:val="00841F67"/>
    <w:rsid w:val="00843526"/>
    <w:rsid w:val="008440EA"/>
    <w:rsid w:val="008451F4"/>
    <w:rsid w:val="00846529"/>
    <w:rsid w:val="00847DE9"/>
    <w:rsid w:val="00847EE3"/>
    <w:rsid w:val="008502CD"/>
    <w:rsid w:val="0085769E"/>
    <w:rsid w:val="008625FE"/>
    <w:rsid w:val="00864ED3"/>
    <w:rsid w:val="00865200"/>
    <w:rsid w:val="00865AA4"/>
    <w:rsid w:val="00870CB7"/>
    <w:rsid w:val="008711D4"/>
    <w:rsid w:val="0087438D"/>
    <w:rsid w:val="0087630D"/>
    <w:rsid w:val="0087750E"/>
    <w:rsid w:val="00877CBD"/>
    <w:rsid w:val="00880D05"/>
    <w:rsid w:val="0088471F"/>
    <w:rsid w:val="00884A2A"/>
    <w:rsid w:val="0088621E"/>
    <w:rsid w:val="0088630D"/>
    <w:rsid w:val="008869E0"/>
    <w:rsid w:val="00891CF2"/>
    <w:rsid w:val="008920A0"/>
    <w:rsid w:val="008A1C99"/>
    <w:rsid w:val="008A2033"/>
    <w:rsid w:val="008A31D1"/>
    <w:rsid w:val="008A4B9D"/>
    <w:rsid w:val="008A508B"/>
    <w:rsid w:val="008A5EC0"/>
    <w:rsid w:val="008A6E8E"/>
    <w:rsid w:val="008A7E48"/>
    <w:rsid w:val="008B079B"/>
    <w:rsid w:val="008B465D"/>
    <w:rsid w:val="008B4D6D"/>
    <w:rsid w:val="008C1404"/>
    <w:rsid w:val="008C1780"/>
    <w:rsid w:val="008C1DE8"/>
    <w:rsid w:val="008C3B52"/>
    <w:rsid w:val="008C3D59"/>
    <w:rsid w:val="008C60B6"/>
    <w:rsid w:val="008C7E1E"/>
    <w:rsid w:val="008D075A"/>
    <w:rsid w:val="008D2D28"/>
    <w:rsid w:val="008D467D"/>
    <w:rsid w:val="008D6859"/>
    <w:rsid w:val="008E4322"/>
    <w:rsid w:val="008F080C"/>
    <w:rsid w:val="008F362A"/>
    <w:rsid w:val="008F3973"/>
    <w:rsid w:val="008F4F52"/>
    <w:rsid w:val="008F573F"/>
    <w:rsid w:val="008F6B52"/>
    <w:rsid w:val="009025E5"/>
    <w:rsid w:val="009026DE"/>
    <w:rsid w:val="00903A68"/>
    <w:rsid w:val="00904038"/>
    <w:rsid w:val="00904E85"/>
    <w:rsid w:val="00906FD1"/>
    <w:rsid w:val="00907A6D"/>
    <w:rsid w:val="00910AE3"/>
    <w:rsid w:val="00912772"/>
    <w:rsid w:val="00912DC5"/>
    <w:rsid w:val="00912E2F"/>
    <w:rsid w:val="00915EC4"/>
    <w:rsid w:val="0092196E"/>
    <w:rsid w:val="00923D2F"/>
    <w:rsid w:val="009310CF"/>
    <w:rsid w:val="0093111B"/>
    <w:rsid w:val="00933528"/>
    <w:rsid w:val="00940F8F"/>
    <w:rsid w:val="00941917"/>
    <w:rsid w:val="00946A39"/>
    <w:rsid w:val="00946B7C"/>
    <w:rsid w:val="00947DC6"/>
    <w:rsid w:val="0095413A"/>
    <w:rsid w:val="0095582F"/>
    <w:rsid w:val="00957786"/>
    <w:rsid w:val="00960BFE"/>
    <w:rsid w:val="0096361B"/>
    <w:rsid w:val="00967573"/>
    <w:rsid w:val="00971756"/>
    <w:rsid w:val="00974141"/>
    <w:rsid w:val="009807FF"/>
    <w:rsid w:val="00980F36"/>
    <w:rsid w:val="00981B40"/>
    <w:rsid w:val="00984904"/>
    <w:rsid w:val="00985962"/>
    <w:rsid w:val="00986060"/>
    <w:rsid w:val="00986D45"/>
    <w:rsid w:val="00987B20"/>
    <w:rsid w:val="00991328"/>
    <w:rsid w:val="00992F29"/>
    <w:rsid w:val="00997B2B"/>
    <w:rsid w:val="009A0363"/>
    <w:rsid w:val="009A093C"/>
    <w:rsid w:val="009A1707"/>
    <w:rsid w:val="009A1E7D"/>
    <w:rsid w:val="009A2E95"/>
    <w:rsid w:val="009A430D"/>
    <w:rsid w:val="009A4A0A"/>
    <w:rsid w:val="009A6BED"/>
    <w:rsid w:val="009B23D1"/>
    <w:rsid w:val="009B2FE6"/>
    <w:rsid w:val="009B4BDD"/>
    <w:rsid w:val="009B678F"/>
    <w:rsid w:val="009C13DC"/>
    <w:rsid w:val="009C3B24"/>
    <w:rsid w:val="009C7120"/>
    <w:rsid w:val="009C76B8"/>
    <w:rsid w:val="009D1D10"/>
    <w:rsid w:val="009D23C4"/>
    <w:rsid w:val="009D3E32"/>
    <w:rsid w:val="009D68EE"/>
    <w:rsid w:val="009E0339"/>
    <w:rsid w:val="009E426A"/>
    <w:rsid w:val="009E6BC7"/>
    <w:rsid w:val="009E7563"/>
    <w:rsid w:val="009F3A98"/>
    <w:rsid w:val="009F605B"/>
    <w:rsid w:val="009F63D4"/>
    <w:rsid w:val="00A00E88"/>
    <w:rsid w:val="00A04D0E"/>
    <w:rsid w:val="00A04DA3"/>
    <w:rsid w:val="00A10679"/>
    <w:rsid w:val="00A12915"/>
    <w:rsid w:val="00A135D5"/>
    <w:rsid w:val="00A148F9"/>
    <w:rsid w:val="00A17424"/>
    <w:rsid w:val="00A20CB0"/>
    <w:rsid w:val="00A23813"/>
    <w:rsid w:val="00A304A4"/>
    <w:rsid w:val="00A321A3"/>
    <w:rsid w:val="00A3336C"/>
    <w:rsid w:val="00A36381"/>
    <w:rsid w:val="00A367F9"/>
    <w:rsid w:val="00A4369F"/>
    <w:rsid w:val="00A4495B"/>
    <w:rsid w:val="00A53786"/>
    <w:rsid w:val="00A570ED"/>
    <w:rsid w:val="00A57866"/>
    <w:rsid w:val="00A6018E"/>
    <w:rsid w:val="00A603CB"/>
    <w:rsid w:val="00A60FE3"/>
    <w:rsid w:val="00A63D3F"/>
    <w:rsid w:val="00A66491"/>
    <w:rsid w:val="00A70B37"/>
    <w:rsid w:val="00A71CF9"/>
    <w:rsid w:val="00A7564C"/>
    <w:rsid w:val="00A76011"/>
    <w:rsid w:val="00A806A8"/>
    <w:rsid w:val="00A807B3"/>
    <w:rsid w:val="00A81A72"/>
    <w:rsid w:val="00A82895"/>
    <w:rsid w:val="00A85AB1"/>
    <w:rsid w:val="00A90A4A"/>
    <w:rsid w:val="00A90C28"/>
    <w:rsid w:val="00A9195B"/>
    <w:rsid w:val="00A935DE"/>
    <w:rsid w:val="00A94BA1"/>
    <w:rsid w:val="00A95908"/>
    <w:rsid w:val="00A97A5E"/>
    <w:rsid w:val="00AA3486"/>
    <w:rsid w:val="00AA4661"/>
    <w:rsid w:val="00AA7B6A"/>
    <w:rsid w:val="00AB0DB8"/>
    <w:rsid w:val="00AB290B"/>
    <w:rsid w:val="00AB31FC"/>
    <w:rsid w:val="00AB3A60"/>
    <w:rsid w:val="00AB4C08"/>
    <w:rsid w:val="00AB612A"/>
    <w:rsid w:val="00AB7A38"/>
    <w:rsid w:val="00AC1580"/>
    <w:rsid w:val="00AC2085"/>
    <w:rsid w:val="00AC321D"/>
    <w:rsid w:val="00AC5965"/>
    <w:rsid w:val="00AC6F5B"/>
    <w:rsid w:val="00AD01FD"/>
    <w:rsid w:val="00AD027C"/>
    <w:rsid w:val="00AD0B39"/>
    <w:rsid w:val="00AD0BBF"/>
    <w:rsid w:val="00AD4514"/>
    <w:rsid w:val="00AE02ED"/>
    <w:rsid w:val="00AE13F6"/>
    <w:rsid w:val="00AE1F2C"/>
    <w:rsid w:val="00AE2302"/>
    <w:rsid w:val="00AE53AE"/>
    <w:rsid w:val="00AF0772"/>
    <w:rsid w:val="00AF1470"/>
    <w:rsid w:val="00AF1F0E"/>
    <w:rsid w:val="00AF2D3C"/>
    <w:rsid w:val="00AF3C8B"/>
    <w:rsid w:val="00AF7E08"/>
    <w:rsid w:val="00B035FD"/>
    <w:rsid w:val="00B05FEC"/>
    <w:rsid w:val="00B06BBE"/>
    <w:rsid w:val="00B1003A"/>
    <w:rsid w:val="00B12149"/>
    <w:rsid w:val="00B20474"/>
    <w:rsid w:val="00B234DD"/>
    <w:rsid w:val="00B25167"/>
    <w:rsid w:val="00B257D0"/>
    <w:rsid w:val="00B27F97"/>
    <w:rsid w:val="00B27FF6"/>
    <w:rsid w:val="00B310D6"/>
    <w:rsid w:val="00B326B8"/>
    <w:rsid w:val="00B35CE2"/>
    <w:rsid w:val="00B373DD"/>
    <w:rsid w:val="00B4325F"/>
    <w:rsid w:val="00B507C5"/>
    <w:rsid w:val="00B5186A"/>
    <w:rsid w:val="00B529C4"/>
    <w:rsid w:val="00B53C12"/>
    <w:rsid w:val="00B5425E"/>
    <w:rsid w:val="00B55875"/>
    <w:rsid w:val="00B60641"/>
    <w:rsid w:val="00B6201C"/>
    <w:rsid w:val="00B624D7"/>
    <w:rsid w:val="00B6320C"/>
    <w:rsid w:val="00B64534"/>
    <w:rsid w:val="00B6578F"/>
    <w:rsid w:val="00B66828"/>
    <w:rsid w:val="00B7051A"/>
    <w:rsid w:val="00B70731"/>
    <w:rsid w:val="00B72ACA"/>
    <w:rsid w:val="00B73EA3"/>
    <w:rsid w:val="00B74639"/>
    <w:rsid w:val="00B7469E"/>
    <w:rsid w:val="00B74C52"/>
    <w:rsid w:val="00B7500F"/>
    <w:rsid w:val="00B77E41"/>
    <w:rsid w:val="00B808BB"/>
    <w:rsid w:val="00B82730"/>
    <w:rsid w:val="00B8332C"/>
    <w:rsid w:val="00B8532C"/>
    <w:rsid w:val="00B861E7"/>
    <w:rsid w:val="00B90259"/>
    <w:rsid w:val="00B907E7"/>
    <w:rsid w:val="00B91573"/>
    <w:rsid w:val="00B94AD8"/>
    <w:rsid w:val="00B953F2"/>
    <w:rsid w:val="00B96FC3"/>
    <w:rsid w:val="00B9778C"/>
    <w:rsid w:val="00BA1E24"/>
    <w:rsid w:val="00BA24C0"/>
    <w:rsid w:val="00BA5207"/>
    <w:rsid w:val="00BA6BBD"/>
    <w:rsid w:val="00BB3021"/>
    <w:rsid w:val="00BB3385"/>
    <w:rsid w:val="00BB3895"/>
    <w:rsid w:val="00BB6471"/>
    <w:rsid w:val="00BC08F4"/>
    <w:rsid w:val="00BC3689"/>
    <w:rsid w:val="00BC4F57"/>
    <w:rsid w:val="00BC501C"/>
    <w:rsid w:val="00BC5504"/>
    <w:rsid w:val="00BC5DE2"/>
    <w:rsid w:val="00BD1576"/>
    <w:rsid w:val="00BD4CD6"/>
    <w:rsid w:val="00BD569A"/>
    <w:rsid w:val="00BD7314"/>
    <w:rsid w:val="00BD7965"/>
    <w:rsid w:val="00BE5E83"/>
    <w:rsid w:val="00BE7A16"/>
    <w:rsid w:val="00BF479F"/>
    <w:rsid w:val="00BF5A62"/>
    <w:rsid w:val="00BF6C3B"/>
    <w:rsid w:val="00C01475"/>
    <w:rsid w:val="00C12BF3"/>
    <w:rsid w:val="00C14A9B"/>
    <w:rsid w:val="00C15C86"/>
    <w:rsid w:val="00C16100"/>
    <w:rsid w:val="00C168A0"/>
    <w:rsid w:val="00C2092B"/>
    <w:rsid w:val="00C24296"/>
    <w:rsid w:val="00C329A8"/>
    <w:rsid w:val="00C33133"/>
    <w:rsid w:val="00C34137"/>
    <w:rsid w:val="00C34D70"/>
    <w:rsid w:val="00C35F85"/>
    <w:rsid w:val="00C36229"/>
    <w:rsid w:val="00C36C0B"/>
    <w:rsid w:val="00C375AB"/>
    <w:rsid w:val="00C37AF7"/>
    <w:rsid w:val="00C37BAC"/>
    <w:rsid w:val="00C4220E"/>
    <w:rsid w:val="00C43CFC"/>
    <w:rsid w:val="00C51C15"/>
    <w:rsid w:val="00C53D8B"/>
    <w:rsid w:val="00C54E8D"/>
    <w:rsid w:val="00C60091"/>
    <w:rsid w:val="00C64E64"/>
    <w:rsid w:val="00C6647E"/>
    <w:rsid w:val="00C66EE0"/>
    <w:rsid w:val="00C71A02"/>
    <w:rsid w:val="00C731D7"/>
    <w:rsid w:val="00C74ECF"/>
    <w:rsid w:val="00C752B4"/>
    <w:rsid w:val="00C7633E"/>
    <w:rsid w:val="00C76386"/>
    <w:rsid w:val="00C776A5"/>
    <w:rsid w:val="00C803EE"/>
    <w:rsid w:val="00C80D3C"/>
    <w:rsid w:val="00C81A9A"/>
    <w:rsid w:val="00C8219F"/>
    <w:rsid w:val="00C82FC1"/>
    <w:rsid w:val="00C853D6"/>
    <w:rsid w:val="00C86ACF"/>
    <w:rsid w:val="00C86D23"/>
    <w:rsid w:val="00C95578"/>
    <w:rsid w:val="00C9601E"/>
    <w:rsid w:val="00CA4F4C"/>
    <w:rsid w:val="00CA6E86"/>
    <w:rsid w:val="00CB0D5C"/>
    <w:rsid w:val="00CB4AA4"/>
    <w:rsid w:val="00CC0D54"/>
    <w:rsid w:val="00CC278A"/>
    <w:rsid w:val="00CC3F8C"/>
    <w:rsid w:val="00CC6C5D"/>
    <w:rsid w:val="00CC7F4B"/>
    <w:rsid w:val="00CD0E8F"/>
    <w:rsid w:val="00CD2603"/>
    <w:rsid w:val="00CD2788"/>
    <w:rsid w:val="00CD2DC2"/>
    <w:rsid w:val="00CD3B63"/>
    <w:rsid w:val="00CD7B87"/>
    <w:rsid w:val="00CE1EDF"/>
    <w:rsid w:val="00CE3BB8"/>
    <w:rsid w:val="00CE46C6"/>
    <w:rsid w:val="00CE4970"/>
    <w:rsid w:val="00CE615C"/>
    <w:rsid w:val="00CF32F8"/>
    <w:rsid w:val="00CF41D8"/>
    <w:rsid w:val="00CF45EC"/>
    <w:rsid w:val="00CF5EEB"/>
    <w:rsid w:val="00D02F2C"/>
    <w:rsid w:val="00D06591"/>
    <w:rsid w:val="00D11CEA"/>
    <w:rsid w:val="00D13A2A"/>
    <w:rsid w:val="00D14CC6"/>
    <w:rsid w:val="00D1795B"/>
    <w:rsid w:val="00D2332E"/>
    <w:rsid w:val="00D2358A"/>
    <w:rsid w:val="00D235F6"/>
    <w:rsid w:val="00D25B1F"/>
    <w:rsid w:val="00D31891"/>
    <w:rsid w:val="00D32735"/>
    <w:rsid w:val="00D41606"/>
    <w:rsid w:val="00D42510"/>
    <w:rsid w:val="00D46112"/>
    <w:rsid w:val="00D504D9"/>
    <w:rsid w:val="00D5399F"/>
    <w:rsid w:val="00D54328"/>
    <w:rsid w:val="00D549DB"/>
    <w:rsid w:val="00D626D0"/>
    <w:rsid w:val="00D629DE"/>
    <w:rsid w:val="00D652C5"/>
    <w:rsid w:val="00D665F9"/>
    <w:rsid w:val="00D67708"/>
    <w:rsid w:val="00D7470F"/>
    <w:rsid w:val="00D74CD2"/>
    <w:rsid w:val="00D76E6C"/>
    <w:rsid w:val="00D77271"/>
    <w:rsid w:val="00D8005C"/>
    <w:rsid w:val="00D80067"/>
    <w:rsid w:val="00D81D70"/>
    <w:rsid w:val="00D830DA"/>
    <w:rsid w:val="00D8620D"/>
    <w:rsid w:val="00D86C86"/>
    <w:rsid w:val="00D87E3A"/>
    <w:rsid w:val="00D90755"/>
    <w:rsid w:val="00D962AA"/>
    <w:rsid w:val="00D962E7"/>
    <w:rsid w:val="00DA0773"/>
    <w:rsid w:val="00DA3240"/>
    <w:rsid w:val="00DA53CF"/>
    <w:rsid w:val="00DA663D"/>
    <w:rsid w:val="00DB311C"/>
    <w:rsid w:val="00DB7C21"/>
    <w:rsid w:val="00DC095E"/>
    <w:rsid w:val="00DC258D"/>
    <w:rsid w:val="00DC2759"/>
    <w:rsid w:val="00DC599A"/>
    <w:rsid w:val="00DC680B"/>
    <w:rsid w:val="00DC6BB5"/>
    <w:rsid w:val="00DD289F"/>
    <w:rsid w:val="00DD2D87"/>
    <w:rsid w:val="00DD3CFF"/>
    <w:rsid w:val="00DD5FAB"/>
    <w:rsid w:val="00DD7ECC"/>
    <w:rsid w:val="00DE0A9F"/>
    <w:rsid w:val="00DE4142"/>
    <w:rsid w:val="00DE4F15"/>
    <w:rsid w:val="00DF07C8"/>
    <w:rsid w:val="00DF143C"/>
    <w:rsid w:val="00DF151E"/>
    <w:rsid w:val="00DF1B55"/>
    <w:rsid w:val="00E00B73"/>
    <w:rsid w:val="00E00B97"/>
    <w:rsid w:val="00E014BF"/>
    <w:rsid w:val="00E0752C"/>
    <w:rsid w:val="00E17915"/>
    <w:rsid w:val="00E22980"/>
    <w:rsid w:val="00E24620"/>
    <w:rsid w:val="00E30E6F"/>
    <w:rsid w:val="00E334A0"/>
    <w:rsid w:val="00E33B07"/>
    <w:rsid w:val="00E33FC6"/>
    <w:rsid w:val="00E35C72"/>
    <w:rsid w:val="00E40511"/>
    <w:rsid w:val="00E4096C"/>
    <w:rsid w:val="00E43001"/>
    <w:rsid w:val="00E43036"/>
    <w:rsid w:val="00E44C34"/>
    <w:rsid w:val="00E44E3A"/>
    <w:rsid w:val="00E456BC"/>
    <w:rsid w:val="00E45D6E"/>
    <w:rsid w:val="00E52526"/>
    <w:rsid w:val="00E5377F"/>
    <w:rsid w:val="00E53824"/>
    <w:rsid w:val="00E54BC9"/>
    <w:rsid w:val="00E57496"/>
    <w:rsid w:val="00E63D3E"/>
    <w:rsid w:val="00E63F03"/>
    <w:rsid w:val="00E6697E"/>
    <w:rsid w:val="00E7169A"/>
    <w:rsid w:val="00E7179F"/>
    <w:rsid w:val="00E7435E"/>
    <w:rsid w:val="00E74B05"/>
    <w:rsid w:val="00E7551D"/>
    <w:rsid w:val="00E759F5"/>
    <w:rsid w:val="00E75D0B"/>
    <w:rsid w:val="00E80F99"/>
    <w:rsid w:val="00E85ADA"/>
    <w:rsid w:val="00E8636B"/>
    <w:rsid w:val="00E91BF5"/>
    <w:rsid w:val="00E92064"/>
    <w:rsid w:val="00E924E1"/>
    <w:rsid w:val="00E93048"/>
    <w:rsid w:val="00EA21A1"/>
    <w:rsid w:val="00EA2809"/>
    <w:rsid w:val="00EA58F8"/>
    <w:rsid w:val="00EB1155"/>
    <w:rsid w:val="00EB2F3F"/>
    <w:rsid w:val="00EB410B"/>
    <w:rsid w:val="00EC24E5"/>
    <w:rsid w:val="00EC52C8"/>
    <w:rsid w:val="00EC5EE0"/>
    <w:rsid w:val="00EC6CA5"/>
    <w:rsid w:val="00ED169B"/>
    <w:rsid w:val="00ED1ADE"/>
    <w:rsid w:val="00ED21D4"/>
    <w:rsid w:val="00ED2F55"/>
    <w:rsid w:val="00EE2EB3"/>
    <w:rsid w:val="00EE549B"/>
    <w:rsid w:val="00EE71DE"/>
    <w:rsid w:val="00EE7369"/>
    <w:rsid w:val="00EE7BD4"/>
    <w:rsid w:val="00EF0F8D"/>
    <w:rsid w:val="00EF1E2D"/>
    <w:rsid w:val="00EF5AE7"/>
    <w:rsid w:val="00EF6B1C"/>
    <w:rsid w:val="00EF6CA3"/>
    <w:rsid w:val="00F01154"/>
    <w:rsid w:val="00F01495"/>
    <w:rsid w:val="00F060BA"/>
    <w:rsid w:val="00F1038B"/>
    <w:rsid w:val="00F11CEB"/>
    <w:rsid w:val="00F13308"/>
    <w:rsid w:val="00F139A0"/>
    <w:rsid w:val="00F13AC3"/>
    <w:rsid w:val="00F16FFA"/>
    <w:rsid w:val="00F314A7"/>
    <w:rsid w:val="00F339C8"/>
    <w:rsid w:val="00F33B83"/>
    <w:rsid w:val="00F357BB"/>
    <w:rsid w:val="00F43AF1"/>
    <w:rsid w:val="00F44343"/>
    <w:rsid w:val="00F45960"/>
    <w:rsid w:val="00F50A11"/>
    <w:rsid w:val="00F50FEC"/>
    <w:rsid w:val="00F51B7D"/>
    <w:rsid w:val="00F51D6C"/>
    <w:rsid w:val="00F54C29"/>
    <w:rsid w:val="00F554D5"/>
    <w:rsid w:val="00F556DC"/>
    <w:rsid w:val="00F5662A"/>
    <w:rsid w:val="00F57829"/>
    <w:rsid w:val="00F612A6"/>
    <w:rsid w:val="00F62910"/>
    <w:rsid w:val="00F63C02"/>
    <w:rsid w:val="00F64981"/>
    <w:rsid w:val="00F65307"/>
    <w:rsid w:val="00F66B3F"/>
    <w:rsid w:val="00F6704C"/>
    <w:rsid w:val="00F7263D"/>
    <w:rsid w:val="00F74435"/>
    <w:rsid w:val="00F74F77"/>
    <w:rsid w:val="00F7526B"/>
    <w:rsid w:val="00F75D2E"/>
    <w:rsid w:val="00F80382"/>
    <w:rsid w:val="00F81871"/>
    <w:rsid w:val="00F829DA"/>
    <w:rsid w:val="00F852E7"/>
    <w:rsid w:val="00F86A26"/>
    <w:rsid w:val="00F90208"/>
    <w:rsid w:val="00F924C8"/>
    <w:rsid w:val="00F941D1"/>
    <w:rsid w:val="00F960AF"/>
    <w:rsid w:val="00FA22FF"/>
    <w:rsid w:val="00FA2B40"/>
    <w:rsid w:val="00FA49D6"/>
    <w:rsid w:val="00FA50A5"/>
    <w:rsid w:val="00FA6C09"/>
    <w:rsid w:val="00FB2124"/>
    <w:rsid w:val="00FB2A02"/>
    <w:rsid w:val="00FB48C0"/>
    <w:rsid w:val="00FC0419"/>
    <w:rsid w:val="00FC0BF2"/>
    <w:rsid w:val="00FC3074"/>
    <w:rsid w:val="00FC3CC8"/>
    <w:rsid w:val="00FD078F"/>
    <w:rsid w:val="00FD3AF7"/>
    <w:rsid w:val="00FD4FC3"/>
    <w:rsid w:val="00FD5A3F"/>
    <w:rsid w:val="00FE0599"/>
    <w:rsid w:val="00FE0665"/>
    <w:rsid w:val="00FE06F0"/>
    <w:rsid w:val="00FE27E3"/>
    <w:rsid w:val="00FE33DE"/>
    <w:rsid w:val="00FE4D68"/>
    <w:rsid w:val="00FE5D62"/>
    <w:rsid w:val="00FE69F5"/>
    <w:rsid w:val="00FE6BC3"/>
    <w:rsid w:val="00FE78D5"/>
    <w:rsid w:val="00FE7A06"/>
    <w:rsid w:val="00FF08EE"/>
    <w:rsid w:val="00FF0908"/>
    <w:rsid w:val="00FF0A02"/>
    <w:rsid w:val="00FF1561"/>
    <w:rsid w:val="00FF169B"/>
    <w:rsid w:val="00FF1E0F"/>
    <w:rsid w:val="00FF2CEB"/>
    <w:rsid w:val="00FF34F2"/>
    <w:rsid w:val="00FF6908"/>
    <w:rsid w:val="00FF7D90"/>
    <w:rsid w:val="00FF7D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F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0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F0E08"/>
    <w:pPr>
      <w:spacing w:after="120" w:line="480" w:lineRule="auto"/>
    </w:pPr>
    <w:rPr>
      <w:lang w:val="x-none"/>
    </w:rPr>
  </w:style>
  <w:style w:type="character" w:customStyle="1" w:styleId="BodyText2Char">
    <w:name w:val="Body Text 2 Char"/>
    <w:basedOn w:val="DefaultParagraphFont"/>
    <w:link w:val="BodyText2"/>
    <w:rsid w:val="007F0E08"/>
    <w:rPr>
      <w:rFonts w:eastAsia="Times New Roman" w:cs="Times New Roman"/>
      <w:szCs w:val="24"/>
      <w:lang w:val="x-none" w:eastAsia="ru-RU"/>
    </w:rPr>
  </w:style>
  <w:style w:type="paragraph" w:styleId="Footer">
    <w:name w:val="footer"/>
    <w:basedOn w:val="Normal"/>
    <w:link w:val="FooterChar"/>
    <w:uiPriority w:val="99"/>
    <w:unhideWhenUsed/>
    <w:rsid w:val="007F0E08"/>
    <w:pPr>
      <w:tabs>
        <w:tab w:val="center" w:pos="4513"/>
        <w:tab w:val="right" w:pos="9026"/>
      </w:tabs>
    </w:pPr>
  </w:style>
  <w:style w:type="character" w:customStyle="1" w:styleId="FooterChar">
    <w:name w:val="Footer Char"/>
    <w:basedOn w:val="DefaultParagraphFont"/>
    <w:link w:val="Footer"/>
    <w:uiPriority w:val="99"/>
    <w:qFormat/>
    <w:rsid w:val="007F0E08"/>
    <w:rPr>
      <w:rFonts w:eastAsia="Times New Roman" w:cs="Times New Roman"/>
      <w:szCs w:val="24"/>
      <w:lang w:val="lv-LV" w:eastAsia="ru-RU"/>
    </w:rPr>
  </w:style>
  <w:style w:type="character" w:styleId="PageNumber">
    <w:name w:val="page number"/>
    <w:basedOn w:val="DefaultParagraphFont"/>
    <w:qFormat/>
    <w:rsid w:val="007F0E08"/>
  </w:style>
  <w:style w:type="paragraph" w:customStyle="1" w:styleId="tv213">
    <w:name w:val="tv213"/>
    <w:basedOn w:val="Normal"/>
    <w:rsid w:val="009E6BC7"/>
    <w:pPr>
      <w:spacing w:before="100" w:beforeAutospacing="1" w:after="100" w:afterAutospacing="1"/>
    </w:pPr>
    <w:rPr>
      <w:lang w:eastAsia="lv-LV"/>
    </w:rPr>
  </w:style>
  <w:style w:type="character" w:styleId="Emphasis">
    <w:name w:val="Emphasis"/>
    <w:basedOn w:val="DefaultParagraphFont"/>
    <w:qFormat/>
    <w:rsid w:val="00B907E7"/>
    <w:rPr>
      <w:i/>
      <w:iCs/>
    </w:rPr>
  </w:style>
  <w:style w:type="paragraph" w:customStyle="1" w:styleId="Standard">
    <w:name w:val="Standard"/>
    <w:rsid w:val="00196A74"/>
    <w:pPr>
      <w:suppressAutoHyphens/>
      <w:autoSpaceDN w:val="0"/>
      <w:spacing w:after="120" w:line="240" w:lineRule="auto"/>
      <w:textAlignment w:val="baseline"/>
    </w:pPr>
    <w:rPr>
      <w:rFonts w:ascii="Arial" w:eastAsia="Arial Unicode MS" w:hAnsi="Arial" w:cs="Calibri"/>
      <w:kern w:val="3"/>
      <w:sz w:val="21"/>
    </w:rPr>
  </w:style>
  <w:style w:type="paragraph" w:styleId="ListParagraph">
    <w:name w:val="List Paragraph"/>
    <w:basedOn w:val="Standard"/>
    <w:uiPriority w:val="34"/>
    <w:qFormat/>
    <w:rsid w:val="00196A74"/>
    <w:pPr>
      <w:ind w:left="720"/>
    </w:pPr>
  </w:style>
  <w:style w:type="numbering" w:customStyle="1" w:styleId="WWNum2">
    <w:name w:val="WWNum2"/>
    <w:basedOn w:val="NoList"/>
    <w:rsid w:val="00196A74"/>
    <w:pPr>
      <w:numPr>
        <w:numId w:val="1"/>
      </w:numPr>
    </w:pPr>
  </w:style>
  <w:style w:type="numbering" w:customStyle="1" w:styleId="WWNum26">
    <w:name w:val="WWNum26"/>
    <w:basedOn w:val="NoList"/>
    <w:rsid w:val="00196A74"/>
    <w:pPr>
      <w:numPr>
        <w:numId w:val="2"/>
      </w:numPr>
    </w:pPr>
  </w:style>
  <w:style w:type="character" w:styleId="CommentReference">
    <w:name w:val="annotation reference"/>
    <w:basedOn w:val="DefaultParagraphFont"/>
    <w:uiPriority w:val="99"/>
    <w:semiHidden/>
    <w:unhideWhenUsed/>
    <w:rsid w:val="004756B3"/>
    <w:rPr>
      <w:sz w:val="16"/>
      <w:szCs w:val="16"/>
    </w:rPr>
  </w:style>
  <w:style w:type="paragraph" w:styleId="CommentText">
    <w:name w:val="annotation text"/>
    <w:basedOn w:val="Normal"/>
    <w:link w:val="CommentTextChar"/>
    <w:uiPriority w:val="99"/>
    <w:unhideWhenUsed/>
    <w:rsid w:val="004756B3"/>
    <w:rPr>
      <w:sz w:val="20"/>
      <w:szCs w:val="20"/>
    </w:rPr>
  </w:style>
  <w:style w:type="character" w:customStyle="1" w:styleId="CommentTextChar">
    <w:name w:val="Comment Text Char"/>
    <w:basedOn w:val="DefaultParagraphFont"/>
    <w:link w:val="CommentText"/>
    <w:uiPriority w:val="99"/>
    <w:rsid w:val="004756B3"/>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756B3"/>
    <w:rPr>
      <w:b/>
      <w:bCs/>
    </w:rPr>
  </w:style>
  <w:style w:type="character" w:customStyle="1" w:styleId="CommentSubjectChar">
    <w:name w:val="Comment Subject Char"/>
    <w:basedOn w:val="CommentTextChar"/>
    <w:link w:val="CommentSubject"/>
    <w:uiPriority w:val="99"/>
    <w:semiHidden/>
    <w:rsid w:val="004756B3"/>
    <w:rPr>
      <w:rFonts w:eastAsia="Times New Roman" w:cs="Times New Roman"/>
      <w:b/>
      <w:bCs/>
      <w:sz w:val="20"/>
      <w:szCs w:val="20"/>
      <w:lang w:val="lv-LV" w:eastAsia="ru-RU"/>
    </w:rPr>
  </w:style>
  <w:style w:type="character" w:styleId="Hyperlink">
    <w:name w:val="Hyperlink"/>
    <w:basedOn w:val="DefaultParagraphFont"/>
    <w:uiPriority w:val="99"/>
    <w:unhideWhenUsed/>
    <w:rsid w:val="0016283F"/>
    <w:rPr>
      <w:color w:val="0563C1" w:themeColor="hyperlink"/>
      <w:u w:val="single"/>
    </w:rPr>
  </w:style>
  <w:style w:type="character" w:styleId="UnresolvedMention">
    <w:name w:val="Unresolved Mention"/>
    <w:basedOn w:val="DefaultParagraphFont"/>
    <w:uiPriority w:val="99"/>
    <w:semiHidden/>
    <w:unhideWhenUsed/>
    <w:rsid w:val="0016283F"/>
    <w:rPr>
      <w:color w:val="605E5C"/>
      <w:shd w:val="clear" w:color="auto" w:fill="E1DFDD"/>
    </w:rPr>
  </w:style>
  <w:style w:type="paragraph" w:styleId="Header">
    <w:name w:val="header"/>
    <w:basedOn w:val="Normal"/>
    <w:link w:val="HeaderChar"/>
    <w:uiPriority w:val="99"/>
    <w:unhideWhenUsed/>
    <w:rsid w:val="00D74CD2"/>
    <w:pPr>
      <w:tabs>
        <w:tab w:val="center" w:pos="4513"/>
        <w:tab w:val="right" w:pos="9026"/>
      </w:tabs>
    </w:pPr>
  </w:style>
  <w:style w:type="character" w:customStyle="1" w:styleId="HeaderChar">
    <w:name w:val="Header Char"/>
    <w:basedOn w:val="DefaultParagraphFont"/>
    <w:link w:val="Header"/>
    <w:uiPriority w:val="99"/>
    <w:rsid w:val="00D74CD2"/>
    <w:rPr>
      <w:rFonts w:eastAsia="Times New Roman" w:cs="Times New Roman"/>
      <w:szCs w:val="24"/>
      <w:lang w:val="lv-LV" w:eastAsia="ru-RU"/>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nhideWhenUsed/>
    <w:rsid w:val="00E22980"/>
    <w:rPr>
      <w:rFonts w:asciiTheme="minorHAnsi" w:eastAsiaTheme="minorHAnsi" w:hAnsiTheme="minorHAnsi" w:cstheme="minorBidi"/>
      <w:sz w:val="20"/>
      <w:szCs w:val="20"/>
      <w:lang w:eastAsia="en-US"/>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rsid w:val="00E22980"/>
    <w:rPr>
      <w:rFonts w:asciiTheme="minorHAnsi" w:hAnsiTheme="minorHAnsi"/>
      <w:sz w:val="20"/>
      <w:szCs w:val="20"/>
      <w:lang w:val="lv-LV"/>
    </w:rPr>
  </w:style>
  <w:style w:type="character" w:styleId="FootnoteReference">
    <w:name w:val="footnote reference"/>
    <w:aliases w:val="Footnote Reference Number,SUPERS"/>
    <w:basedOn w:val="DefaultParagraphFont"/>
    <w:uiPriority w:val="99"/>
    <w:unhideWhenUsed/>
    <w:rsid w:val="00E22980"/>
    <w:rPr>
      <w:vertAlign w:val="superscript"/>
    </w:rPr>
  </w:style>
  <w:style w:type="character" w:styleId="FollowedHyperlink">
    <w:name w:val="FollowedHyperlink"/>
    <w:basedOn w:val="DefaultParagraphFont"/>
    <w:uiPriority w:val="99"/>
    <w:semiHidden/>
    <w:unhideWhenUsed/>
    <w:rsid w:val="008A5EC0"/>
    <w:rPr>
      <w:color w:val="954F72" w:themeColor="followedHyperlink"/>
      <w:u w:val="single"/>
    </w:rPr>
  </w:style>
  <w:style w:type="paragraph" w:customStyle="1" w:styleId="Default">
    <w:name w:val="Default"/>
    <w:rsid w:val="00B96FC3"/>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FE5D62"/>
    <w:pPr>
      <w:spacing w:after="0" w:line="240" w:lineRule="auto"/>
    </w:pPr>
    <w:rPr>
      <w:rFonts w:eastAsia="Times New Roman" w:cs="Times New Roman"/>
      <w:szCs w:val="24"/>
      <w:lang w:val="lv-LV" w:eastAsia="ru-RU"/>
    </w:rPr>
  </w:style>
  <w:style w:type="paragraph" w:styleId="NoSpacing">
    <w:name w:val="No Spacing"/>
    <w:uiPriority w:val="1"/>
    <w:qFormat/>
    <w:rsid w:val="0014551F"/>
    <w:pPr>
      <w:spacing w:after="0" w:line="240" w:lineRule="auto"/>
    </w:pPr>
    <w:rPr>
      <w:rFonts w:asciiTheme="minorHAnsi" w:hAnsiTheme="minorHAnsi"/>
      <w:sz w:val="22"/>
      <w:lang w:val="lv-LV"/>
    </w:rPr>
  </w:style>
  <w:style w:type="character" w:styleId="SubtleEmphasis">
    <w:name w:val="Subtle Emphasis"/>
    <w:basedOn w:val="DefaultParagraphFont"/>
    <w:uiPriority w:val="19"/>
    <w:qFormat/>
    <w:rsid w:val="00F54C29"/>
    <w:rPr>
      <w:i/>
      <w:iCs/>
      <w:color w:val="404040" w:themeColor="text1" w:themeTint="BF"/>
    </w:rPr>
  </w:style>
  <w:style w:type="paragraph" w:styleId="BodyText">
    <w:name w:val="Body Text"/>
    <w:basedOn w:val="Normal"/>
    <w:link w:val="BodyTextChar"/>
    <w:uiPriority w:val="99"/>
    <w:semiHidden/>
    <w:unhideWhenUsed/>
    <w:rsid w:val="00AF1470"/>
    <w:pPr>
      <w:spacing w:after="120"/>
    </w:pPr>
  </w:style>
  <w:style w:type="character" w:customStyle="1" w:styleId="BodyTextChar">
    <w:name w:val="Body Text Char"/>
    <w:basedOn w:val="DefaultParagraphFont"/>
    <w:link w:val="BodyText"/>
    <w:uiPriority w:val="99"/>
    <w:semiHidden/>
    <w:rsid w:val="00AF1470"/>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851">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810756642">
      <w:bodyDiv w:val="1"/>
      <w:marLeft w:val="0"/>
      <w:marRight w:val="0"/>
      <w:marTop w:val="0"/>
      <w:marBottom w:val="0"/>
      <w:divBdr>
        <w:top w:val="none" w:sz="0" w:space="0" w:color="auto"/>
        <w:left w:val="none" w:sz="0" w:space="0" w:color="auto"/>
        <w:bottom w:val="none" w:sz="0" w:space="0" w:color="auto"/>
        <w:right w:val="none" w:sz="0" w:space="0" w:color="auto"/>
      </w:divBdr>
    </w:div>
    <w:div w:id="1812670797">
      <w:bodyDiv w:val="1"/>
      <w:marLeft w:val="0"/>
      <w:marRight w:val="0"/>
      <w:marTop w:val="0"/>
      <w:marBottom w:val="0"/>
      <w:divBdr>
        <w:top w:val="none" w:sz="0" w:space="0" w:color="auto"/>
        <w:left w:val="none" w:sz="0" w:space="0" w:color="auto"/>
        <w:bottom w:val="none" w:sz="0" w:space="0" w:color="auto"/>
        <w:right w:val="none" w:sz="0" w:space="0" w:color="auto"/>
      </w:divBdr>
    </w:div>
    <w:div w:id="2039357304">
      <w:bodyDiv w:val="1"/>
      <w:marLeft w:val="0"/>
      <w:marRight w:val="0"/>
      <w:marTop w:val="0"/>
      <w:marBottom w:val="0"/>
      <w:divBdr>
        <w:top w:val="none" w:sz="0" w:space="0" w:color="auto"/>
        <w:left w:val="none" w:sz="0" w:space="0" w:color="auto"/>
        <w:bottom w:val="none" w:sz="0" w:space="0" w:color="auto"/>
        <w:right w:val="none" w:sz="0" w:space="0" w:color="auto"/>
      </w:divBdr>
      <w:divsChild>
        <w:div w:id="10320024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329c52c-cb7b-44fd-b4c7-fa3f003b38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62011CJ0642" TargetMode="External"/><Relationship Id="rId5" Type="http://schemas.openxmlformats.org/officeDocument/2006/relationships/webSettings" Target="webSettings.xml"/><Relationship Id="rId10" Type="http://schemas.openxmlformats.org/officeDocument/2006/relationships/hyperlink" Target="https://eur-lex.europa.eu/legal-content/LV/TXT/?uri=CELEX:62012CJ0138"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13856&amp;pageIndex=0&amp;doclang=EN&amp;mode=lst&amp;dir=&amp;occ=first&amp;part=1&amp;cid=65781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B3C5-1476-4CA3-8B97-157EB5BF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5142</Words>
  <Characters>2931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2025-04-30T10:53:00Z</dcterms:created>
  <dcterms:modified xsi:type="dcterms:W3CDTF">2025-08-27T12:49:00Z</dcterms:modified>
</cp:coreProperties>
</file>