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1B29" w14:textId="77777777" w:rsidR="003934A7" w:rsidRPr="000D6CCE" w:rsidRDefault="003934A7" w:rsidP="003934A7">
      <w:pPr>
        <w:spacing w:line="276" w:lineRule="auto"/>
        <w:rPr>
          <w:b/>
          <w:bCs/>
        </w:rPr>
      </w:pPr>
      <w:r w:rsidRPr="000D6CCE">
        <w:rPr>
          <w:b/>
          <w:bCs/>
        </w:rPr>
        <w:t>Saistība starp vainojamās fiziskās personas darbību vai bezdarbību un juridiskās personas faktisko rīcību</w:t>
      </w:r>
    </w:p>
    <w:p w14:paraId="2152A392" w14:textId="77777777" w:rsidR="003934A7" w:rsidRPr="000D6CCE" w:rsidRDefault="003934A7" w:rsidP="003934A7">
      <w:pPr>
        <w:spacing w:line="276" w:lineRule="auto"/>
        <w:rPr>
          <w:i/>
          <w:iCs/>
        </w:rPr>
      </w:pPr>
    </w:p>
    <w:p w14:paraId="426F99D2" w14:textId="33986F8E" w:rsidR="003934A7" w:rsidRPr="003934A7" w:rsidRDefault="003934A7" w:rsidP="003934A7">
      <w:pPr>
        <w:spacing w:line="276" w:lineRule="auto"/>
        <w:rPr>
          <w:b/>
          <w:bCs/>
        </w:rPr>
      </w:pPr>
      <w:r w:rsidRPr="000D6CCE">
        <w:rPr>
          <w:b/>
          <w:bCs/>
        </w:rPr>
        <w:t>Apzināti nepatiesu ziņu sniegšana par patieso labuma guvēju (Krimināllikuma 195.</w:t>
      </w:r>
      <w:r w:rsidRPr="000D6CCE">
        <w:rPr>
          <w:b/>
          <w:bCs/>
          <w:vertAlign w:val="superscript"/>
        </w:rPr>
        <w:t>1</w:t>
      </w:r>
      <w:r w:rsidRPr="000D6CCE">
        <w:rPr>
          <w:b/>
          <w:bCs/>
        </w:rPr>
        <w:t> panta pirmā daļa)</w:t>
      </w:r>
    </w:p>
    <w:p w14:paraId="4098A96E" w14:textId="77777777" w:rsidR="003934A7" w:rsidRDefault="003934A7" w:rsidP="003934A7">
      <w:pPr>
        <w:autoSpaceDE w:val="0"/>
        <w:autoSpaceDN w:val="0"/>
        <w:adjustRightInd w:val="0"/>
        <w:spacing w:line="276" w:lineRule="auto"/>
        <w:jc w:val="center"/>
        <w:rPr>
          <w:rFonts w:asciiTheme="majorBidi" w:hAnsiTheme="majorBidi" w:cstheme="majorBidi"/>
          <w:b/>
          <w:bCs/>
          <w:color w:val="000000"/>
        </w:rPr>
      </w:pPr>
    </w:p>
    <w:p w14:paraId="2B4BB8D5" w14:textId="17CA2EBC" w:rsidR="001130ED" w:rsidRPr="003934A7" w:rsidRDefault="001130ED" w:rsidP="003934A7">
      <w:pPr>
        <w:autoSpaceDE w:val="0"/>
        <w:autoSpaceDN w:val="0"/>
        <w:adjustRightInd w:val="0"/>
        <w:spacing w:line="276" w:lineRule="auto"/>
        <w:jc w:val="center"/>
        <w:rPr>
          <w:rFonts w:asciiTheme="majorBidi" w:hAnsiTheme="majorBidi" w:cstheme="majorBidi"/>
          <w:b/>
          <w:bCs/>
          <w:color w:val="000000"/>
        </w:rPr>
      </w:pPr>
      <w:r w:rsidRPr="003934A7">
        <w:rPr>
          <w:rFonts w:asciiTheme="majorBidi" w:hAnsiTheme="majorBidi" w:cstheme="majorBidi"/>
          <w:b/>
          <w:bCs/>
          <w:color w:val="000000"/>
        </w:rPr>
        <w:t>Latvijas Republikas Senāt</w:t>
      </w:r>
      <w:r w:rsidR="003934A7" w:rsidRPr="003934A7">
        <w:rPr>
          <w:rFonts w:asciiTheme="majorBidi" w:hAnsiTheme="majorBidi" w:cstheme="majorBidi"/>
          <w:b/>
          <w:bCs/>
          <w:color w:val="000000"/>
        </w:rPr>
        <w:t>a</w:t>
      </w:r>
    </w:p>
    <w:p w14:paraId="665FB645" w14:textId="3D13F458" w:rsidR="003934A7" w:rsidRPr="003934A7" w:rsidRDefault="003934A7" w:rsidP="003934A7">
      <w:pPr>
        <w:autoSpaceDE w:val="0"/>
        <w:autoSpaceDN w:val="0"/>
        <w:adjustRightInd w:val="0"/>
        <w:spacing w:line="276" w:lineRule="auto"/>
        <w:jc w:val="center"/>
        <w:rPr>
          <w:rFonts w:asciiTheme="majorBidi" w:hAnsiTheme="majorBidi" w:cstheme="majorBidi"/>
          <w:b/>
          <w:bCs/>
          <w:color w:val="000000"/>
        </w:rPr>
      </w:pPr>
      <w:r w:rsidRPr="003934A7">
        <w:rPr>
          <w:rFonts w:asciiTheme="majorBidi" w:hAnsiTheme="majorBidi" w:cstheme="majorBidi"/>
          <w:b/>
          <w:bCs/>
          <w:color w:val="000000"/>
        </w:rPr>
        <w:t>Krimināllietu departamenta</w:t>
      </w:r>
    </w:p>
    <w:p w14:paraId="0EAFEFEE" w14:textId="3BC459A1" w:rsidR="003934A7" w:rsidRPr="003934A7" w:rsidRDefault="003934A7" w:rsidP="003934A7">
      <w:pPr>
        <w:autoSpaceDE w:val="0"/>
        <w:autoSpaceDN w:val="0"/>
        <w:adjustRightInd w:val="0"/>
        <w:spacing w:line="276" w:lineRule="auto"/>
        <w:jc w:val="center"/>
        <w:rPr>
          <w:rFonts w:asciiTheme="majorBidi" w:hAnsiTheme="majorBidi" w:cstheme="majorBidi"/>
          <w:b/>
          <w:bCs/>
          <w:color w:val="000000"/>
        </w:rPr>
      </w:pPr>
      <w:r w:rsidRPr="003934A7">
        <w:rPr>
          <w:rFonts w:asciiTheme="majorBidi" w:hAnsiTheme="majorBidi" w:cstheme="majorBidi"/>
          <w:b/>
          <w:bCs/>
          <w:color w:val="000000"/>
        </w:rPr>
        <w:t>2025. gada 17. aprīļa</w:t>
      </w:r>
    </w:p>
    <w:p w14:paraId="3F937A5E" w14:textId="77777777" w:rsidR="003934A7" w:rsidRPr="003934A7" w:rsidRDefault="001130ED" w:rsidP="003934A7">
      <w:pPr>
        <w:autoSpaceDE w:val="0"/>
        <w:autoSpaceDN w:val="0"/>
        <w:adjustRightInd w:val="0"/>
        <w:spacing w:line="276" w:lineRule="auto"/>
        <w:jc w:val="center"/>
        <w:rPr>
          <w:rFonts w:asciiTheme="majorBidi" w:hAnsiTheme="majorBidi" w:cstheme="majorBidi"/>
          <w:b/>
          <w:bCs/>
          <w:noProof/>
          <w:color w:val="000000"/>
        </w:rPr>
      </w:pPr>
      <w:r w:rsidRPr="003934A7">
        <w:rPr>
          <w:rFonts w:asciiTheme="majorBidi" w:hAnsiTheme="majorBidi" w:cstheme="majorBidi"/>
          <w:b/>
          <w:bCs/>
          <w:color w:val="000000"/>
        </w:rPr>
        <w:t>LĒMUMS</w:t>
      </w:r>
    </w:p>
    <w:p w14:paraId="1D8375EF" w14:textId="34D3E20A" w:rsidR="003934A7" w:rsidRPr="003934A7" w:rsidRDefault="003934A7" w:rsidP="003934A7">
      <w:pPr>
        <w:autoSpaceDE w:val="0"/>
        <w:autoSpaceDN w:val="0"/>
        <w:adjustRightInd w:val="0"/>
        <w:spacing w:line="276" w:lineRule="auto"/>
        <w:jc w:val="center"/>
        <w:rPr>
          <w:rFonts w:asciiTheme="majorBidi" w:hAnsiTheme="majorBidi" w:cstheme="majorBidi"/>
          <w:b/>
          <w:bCs/>
          <w:noProof/>
          <w:color w:val="000000"/>
        </w:rPr>
      </w:pPr>
      <w:r w:rsidRPr="003934A7">
        <w:rPr>
          <w:rFonts w:asciiTheme="majorBidi" w:hAnsiTheme="majorBidi" w:cstheme="majorBidi"/>
          <w:b/>
          <w:bCs/>
          <w:color w:val="000000"/>
        </w:rPr>
        <w:t>Lieta Nr. </w:t>
      </w:r>
      <w:r w:rsidRPr="003934A7">
        <w:rPr>
          <w:rFonts w:asciiTheme="majorBidi" w:hAnsiTheme="majorBidi" w:cstheme="majorBidi"/>
          <w:b/>
          <w:bCs/>
          <w:color w:val="2B2B2B"/>
          <w:shd w:val="clear" w:color="auto" w:fill="FFFFFF"/>
        </w:rPr>
        <w:t>11860000822</w:t>
      </w:r>
      <w:r w:rsidRPr="003934A7">
        <w:rPr>
          <w:rFonts w:asciiTheme="majorBidi" w:hAnsiTheme="majorBidi" w:cstheme="majorBidi"/>
          <w:b/>
          <w:bCs/>
          <w:color w:val="000000"/>
        </w:rPr>
        <w:t>, SKK</w:t>
      </w:r>
      <w:r w:rsidRPr="003934A7">
        <w:rPr>
          <w:rFonts w:asciiTheme="majorBidi" w:hAnsiTheme="majorBidi" w:cstheme="majorBidi"/>
          <w:b/>
          <w:bCs/>
          <w:color w:val="000000"/>
        </w:rPr>
        <w:noBreakHyphen/>
        <w:t>17/2025</w:t>
      </w:r>
    </w:p>
    <w:p w14:paraId="47DA78F4" w14:textId="4139FA21" w:rsidR="001130ED" w:rsidRPr="00D828D8" w:rsidRDefault="001D6780" w:rsidP="003934A7">
      <w:pPr>
        <w:autoSpaceDE w:val="0"/>
        <w:autoSpaceDN w:val="0"/>
        <w:adjustRightInd w:val="0"/>
        <w:spacing w:line="276" w:lineRule="auto"/>
        <w:jc w:val="center"/>
        <w:rPr>
          <w:rFonts w:asciiTheme="majorBidi" w:hAnsiTheme="majorBidi" w:cstheme="majorBidi"/>
          <w:color w:val="000000"/>
        </w:rPr>
      </w:pPr>
      <w:hyperlink r:id="rId8" w:history="1">
        <w:r w:rsidR="003934A7" w:rsidRPr="001D6780">
          <w:rPr>
            <w:rStyle w:val="Hyperlink"/>
            <w:rFonts w:asciiTheme="majorBidi" w:hAnsiTheme="majorBidi" w:cstheme="majorBidi"/>
          </w:rPr>
          <w:t>ECLI:LV:AT:2025:0417.11860000822.4.L</w:t>
        </w:r>
      </w:hyperlink>
    </w:p>
    <w:p w14:paraId="235F06D4" w14:textId="77777777" w:rsidR="001130ED" w:rsidRPr="00D828D8" w:rsidRDefault="001130ED" w:rsidP="001130ED">
      <w:pPr>
        <w:autoSpaceDE w:val="0"/>
        <w:autoSpaceDN w:val="0"/>
        <w:adjustRightInd w:val="0"/>
        <w:spacing w:line="276" w:lineRule="auto"/>
        <w:jc w:val="center"/>
        <w:rPr>
          <w:rFonts w:asciiTheme="majorBidi" w:hAnsiTheme="majorBidi" w:cstheme="majorBidi"/>
          <w:color w:val="000000"/>
        </w:rPr>
      </w:pPr>
    </w:p>
    <w:p w14:paraId="0F95B2DC" w14:textId="7DA1D2C7" w:rsidR="001130ED" w:rsidRPr="00D828D8" w:rsidRDefault="001130ED" w:rsidP="001130ED">
      <w:pPr>
        <w:autoSpaceDE w:val="0"/>
        <w:autoSpaceDN w:val="0"/>
        <w:adjustRightInd w:val="0"/>
        <w:spacing w:line="276" w:lineRule="auto"/>
        <w:ind w:firstLine="720"/>
        <w:rPr>
          <w:rFonts w:asciiTheme="majorBidi" w:hAnsiTheme="majorBidi" w:cstheme="majorBidi"/>
          <w:color w:val="000000"/>
        </w:rPr>
      </w:pPr>
      <w:r w:rsidRPr="00D828D8">
        <w:rPr>
          <w:rFonts w:asciiTheme="majorBidi" w:hAnsiTheme="majorBidi" w:cstheme="majorBidi"/>
          <w:color w:val="000000"/>
        </w:rPr>
        <w:t>Senāts šādā sastāvā: senatore referente Irīna Jansone, senatori Anita Poļakova un Aivars Uminskis</w:t>
      </w:r>
    </w:p>
    <w:p w14:paraId="7CFB4C1A" w14:textId="77777777" w:rsidR="001130ED" w:rsidRPr="00D828D8" w:rsidRDefault="001130ED" w:rsidP="001130ED">
      <w:pPr>
        <w:spacing w:line="276" w:lineRule="auto"/>
        <w:ind w:firstLine="720"/>
        <w:rPr>
          <w:rFonts w:asciiTheme="majorBidi" w:hAnsiTheme="majorBidi" w:cstheme="majorBidi"/>
        </w:rPr>
      </w:pPr>
    </w:p>
    <w:p w14:paraId="4FA38BC3" w14:textId="79BC6ECE" w:rsidR="001130ED" w:rsidRPr="00D828D8" w:rsidRDefault="001130ED" w:rsidP="001130ED">
      <w:pPr>
        <w:spacing w:line="276" w:lineRule="auto"/>
        <w:ind w:firstLine="720"/>
        <w:rPr>
          <w:rFonts w:asciiTheme="majorBidi" w:hAnsiTheme="majorBidi" w:cstheme="majorBidi"/>
          <w:color w:val="000000"/>
        </w:rPr>
      </w:pPr>
      <w:r w:rsidRPr="00D828D8">
        <w:rPr>
          <w:rFonts w:asciiTheme="majorBidi" w:hAnsiTheme="majorBidi" w:cstheme="majorBidi"/>
          <w:color w:val="000000"/>
        </w:rPr>
        <w:t xml:space="preserve">izskatīja rakstveida procesā krimināllietu sakarā ar </w:t>
      </w:r>
      <w:r w:rsidRPr="00D828D8">
        <w:t xml:space="preserve">Noziedzīgu nodarījumu valsts institūciju dienestā izmeklēšanas prokuratūras prokurora Kaspara </w:t>
      </w:r>
      <w:proofErr w:type="spellStart"/>
      <w:r w:rsidRPr="00D828D8">
        <w:t>Čīmas</w:t>
      </w:r>
      <w:proofErr w:type="spellEnd"/>
      <w:r w:rsidRPr="00D828D8">
        <w:t xml:space="preserve"> kasācijas protestu un apsūdzētās </w:t>
      </w:r>
      <w:r w:rsidR="003934A7">
        <w:t>[pers. A]</w:t>
      </w:r>
      <w:r w:rsidRPr="00D828D8">
        <w:t xml:space="preserve"> aizstāvja zvērināta advokāta palīga Anatolija </w:t>
      </w:r>
      <w:proofErr w:type="spellStart"/>
      <w:r w:rsidRPr="00D828D8">
        <w:t>Orehova</w:t>
      </w:r>
      <w:proofErr w:type="spellEnd"/>
      <w:r w:rsidRPr="00D828D8">
        <w:t xml:space="preserve"> kasācijas sūdzību par Kurzemes apgabaltiesas 2024. gada 29. janvāra spriedumu</w:t>
      </w:r>
      <w:r w:rsidRPr="00D828D8">
        <w:rPr>
          <w:rFonts w:asciiTheme="majorBidi" w:hAnsiTheme="majorBidi" w:cstheme="majorBidi"/>
          <w:color w:val="000000"/>
        </w:rPr>
        <w:t>.</w:t>
      </w:r>
    </w:p>
    <w:p w14:paraId="50359DAB" w14:textId="77777777" w:rsidR="001130ED" w:rsidRPr="00D828D8" w:rsidRDefault="001130ED" w:rsidP="001130ED">
      <w:pPr>
        <w:spacing w:line="276" w:lineRule="auto"/>
        <w:ind w:firstLine="720"/>
        <w:rPr>
          <w:rFonts w:asciiTheme="majorBidi" w:hAnsiTheme="majorBidi" w:cstheme="majorBidi"/>
          <w:color w:val="000000"/>
        </w:rPr>
      </w:pPr>
    </w:p>
    <w:p w14:paraId="33EE7D31" w14:textId="77777777" w:rsidR="001130ED" w:rsidRPr="00D828D8" w:rsidRDefault="001130ED" w:rsidP="001130ED">
      <w:pPr>
        <w:spacing w:line="276" w:lineRule="auto"/>
        <w:jc w:val="center"/>
        <w:rPr>
          <w:rFonts w:asciiTheme="majorBidi" w:hAnsiTheme="majorBidi" w:cstheme="majorBidi"/>
          <w:b/>
          <w:bCs/>
          <w:color w:val="000000"/>
        </w:rPr>
      </w:pPr>
      <w:r w:rsidRPr="00D828D8">
        <w:rPr>
          <w:rFonts w:asciiTheme="majorBidi" w:hAnsiTheme="majorBidi" w:cstheme="majorBidi"/>
          <w:b/>
          <w:bCs/>
          <w:color w:val="000000"/>
        </w:rPr>
        <w:t>Aprakstošā daļa</w:t>
      </w:r>
    </w:p>
    <w:p w14:paraId="5F4592FF" w14:textId="77777777" w:rsidR="001130ED" w:rsidRPr="00D828D8" w:rsidRDefault="001130ED" w:rsidP="001130ED">
      <w:pPr>
        <w:spacing w:line="276" w:lineRule="auto"/>
        <w:ind w:firstLine="720"/>
        <w:rPr>
          <w:rFonts w:asciiTheme="majorBidi" w:hAnsiTheme="majorBidi" w:cstheme="majorBidi"/>
          <w:bCs/>
        </w:rPr>
      </w:pPr>
    </w:p>
    <w:p w14:paraId="0B252472" w14:textId="0B64BF55" w:rsidR="001130ED" w:rsidRPr="00D828D8" w:rsidRDefault="001130ED" w:rsidP="001E2BC2">
      <w:pPr>
        <w:spacing w:line="276" w:lineRule="auto"/>
        <w:ind w:firstLine="720"/>
        <w:rPr>
          <w:rFonts w:asciiTheme="majorBidi" w:hAnsiTheme="majorBidi" w:cstheme="majorBidi"/>
        </w:rPr>
      </w:pPr>
      <w:r w:rsidRPr="00D828D8">
        <w:rPr>
          <w:rFonts w:asciiTheme="majorBidi" w:hAnsiTheme="majorBidi" w:cstheme="majorBidi"/>
          <w:color w:val="000000"/>
        </w:rPr>
        <w:t>[1] </w:t>
      </w:r>
      <w:r w:rsidRPr="00D828D8">
        <w:rPr>
          <w:rFonts w:asciiTheme="majorBidi" w:hAnsiTheme="majorBidi" w:cstheme="majorBidi"/>
        </w:rPr>
        <w:t>Ar Rīgas pilsētas tiesas 2023. gada 6. aprīļa spriedumu</w:t>
      </w:r>
    </w:p>
    <w:p w14:paraId="2AF3DACB" w14:textId="13460176" w:rsidR="001130ED" w:rsidRPr="00D828D8" w:rsidRDefault="001130ED" w:rsidP="001E2BC2">
      <w:pPr>
        <w:spacing w:line="276" w:lineRule="auto"/>
        <w:ind w:firstLine="720"/>
        <w:rPr>
          <w:rFonts w:asciiTheme="majorBidi" w:hAnsiTheme="majorBidi" w:cstheme="majorBidi"/>
        </w:rPr>
      </w:pPr>
      <w:r w:rsidRPr="00D828D8">
        <w:rPr>
          <w:rFonts w:asciiTheme="majorBidi" w:hAnsiTheme="majorBidi" w:cstheme="majorBidi"/>
          <w:kern w:val="0"/>
        </w:rPr>
        <w:t>[1.1] </w:t>
      </w:r>
      <w:r w:rsidR="003934A7">
        <w:t>[pers. A]</w:t>
      </w:r>
      <w:r w:rsidRPr="00D828D8">
        <w:rPr>
          <w:rFonts w:asciiTheme="majorBidi" w:hAnsiTheme="majorBidi" w:cstheme="majorBidi"/>
        </w:rPr>
        <w:t xml:space="preserve">, personas kods </w:t>
      </w:r>
      <w:r w:rsidR="003934A7">
        <w:rPr>
          <w:rFonts w:asciiTheme="majorBidi" w:hAnsiTheme="majorBidi" w:cstheme="majorBidi"/>
        </w:rPr>
        <w:t>[..]</w:t>
      </w:r>
      <w:r w:rsidRPr="00D828D8">
        <w:rPr>
          <w:rFonts w:asciiTheme="majorBidi" w:hAnsiTheme="majorBidi" w:cstheme="majorBidi"/>
        </w:rPr>
        <w:t>,</w:t>
      </w:r>
    </w:p>
    <w:p w14:paraId="681D6C1E" w14:textId="5837256C" w:rsidR="001130ED" w:rsidRPr="00D828D8" w:rsidRDefault="001130ED" w:rsidP="001E2BC2">
      <w:pPr>
        <w:spacing w:line="276" w:lineRule="auto"/>
        <w:ind w:firstLine="720"/>
      </w:pPr>
      <w:r w:rsidRPr="00D828D8">
        <w:t xml:space="preserve">atzīta par nevainīgu pret viņu celtajā apsūdzībā pēc Krimināllikuma </w:t>
      </w:r>
      <w:r w:rsidR="00182D34" w:rsidRPr="00D828D8">
        <w:t>195.</w:t>
      </w:r>
      <w:r w:rsidR="00182D34" w:rsidRPr="00D828D8">
        <w:rPr>
          <w:vertAlign w:val="superscript"/>
        </w:rPr>
        <w:t>1</w:t>
      </w:r>
      <w:r w:rsidR="00182D34" w:rsidRPr="00D828D8">
        <w:t> panta pirmās daļas</w:t>
      </w:r>
      <w:r w:rsidRPr="00D828D8">
        <w:t xml:space="preserve"> un attaisnot</w:t>
      </w:r>
      <w:r w:rsidR="00182D34" w:rsidRPr="00D828D8">
        <w:t>a.</w:t>
      </w:r>
    </w:p>
    <w:p w14:paraId="07C1A4CF" w14:textId="7936EEC2" w:rsidR="00182D34" w:rsidRPr="00D828D8" w:rsidRDefault="00182D34" w:rsidP="001E2BC2">
      <w:pPr>
        <w:spacing w:line="276" w:lineRule="auto"/>
        <w:ind w:firstLine="720"/>
      </w:pPr>
      <w:r w:rsidRPr="00D828D8">
        <w:t>[1.2] </w:t>
      </w:r>
      <w:r w:rsidR="003E28D1" w:rsidRPr="00D828D8">
        <w:t xml:space="preserve">Process </w:t>
      </w:r>
      <w:r w:rsidR="000F743B" w:rsidRPr="00D828D8">
        <w:t xml:space="preserve">par piespiedu ietekmēšanas līdzekļa piemērošanu </w:t>
      </w:r>
      <w:r w:rsidRPr="00D828D8">
        <w:t>juridiska</w:t>
      </w:r>
      <w:r w:rsidR="00B71E60" w:rsidRPr="00D828D8">
        <w:t>jai</w:t>
      </w:r>
      <w:r w:rsidRPr="00D828D8">
        <w:t xml:space="preserve"> personai SIA „</w:t>
      </w:r>
      <w:r w:rsidR="00B16E03">
        <w:t>[Nosaukums]</w:t>
      </w:r>
      <w:r w:rsidRPr="00D828D8">
        <w:t>”, reģistrācijas Nr. </w:t>
      </w:r>
      <w:r w:rsidR="00B16E03">
        <w:t>[..]</w:t>
      </w:r>
      <w:r w:rsidRPr="00D828D8">
        <w:t>, izbeigts.</w:t>
      </w:r>
    </w:p>
    <w:p w14:paraId="14C8CFD1" w14:textId="2ADC4BDA" w:rsidR="00182D34" w:rsidRPr="00D828D8" w:rsidRDefault="00182D34" w:rsidP="001E2BC2">
      <w:pPr>
        <w:spacing w:line="276" w:lineRule="auto"/>
        <w:ind w:firstLine="720"/>
      </w:pPr>
    </w:p>
    <w:p w14:paraId="61D7858C" w14:textId="057EFB1D" w:rsidR="002169C7" w:rsidRPr="00D828D8" w:rsidRDefault="00182D34" w:rsidP="001E2BC2">
      <w:pPr>
        <w:spacing w:line="276" w:lineRule="auto"/>
        <w:ind w:firstLine="720"/>
      </w:pPr>
      <w:r w:rsidRPr="00D828D8">
        <w:t xml:space="preserve">[2] Ar Rīgas pilsētas tiesas </w:t>
      </w:r>
      <w:r w:rsidRPr="00D828D8">
        <w:rPr>
          <w:rFonts w:asciiTheme="majorBidi" w:hAnsiTheme="majorBidi" w:cstheme="majorBidi"/>
        </w:rPr>
        <w:t>2023. gada 6. aprīļa spriedumu</w:t>
      </w:r>
      <w:r w:rsidRPr="00D828D8">
        <w:t xml:space="preserve"> apsūdzētā </w:t>
      </w:r>
      <w:r w:rsidR="00B16E03">
        <w:t>[pers. A]</w:t>
      </w:r>
      <w:r w:rsidRPr="00D828D8">
        <w:t xml:space="preserve"> atzīta par nevainīgu un attaisnota pret viņu celtajā apsūdzībā pēc Krimināllikuma 195.</w:t>
      </w:r>
      <w:r w:rsidRPr="00D828D8">
        <w:rPr>
          <w:vertAlign w:val="superscript"/>
        </w:rPr>
        <w:t>1</w:t>
      </w:r>
      <w:r w:rsidRPr="00D828D8">
        <w:t> panta pirmās daļas par apzināti nepatiesu ziņu sniegšanu juridiskajai personai, kas nav valsts institūcija un kas ar likumu pilnvarota pieprasīt informāciju par patieso labuma guvēju, kā arī par apzināti nepatiesu ziņu sniegšanu valsts institūcijai par paties</w:t>
      </w:r>
      <w:r w:rsidR="000149BB" w:rsidRPr="00D828D8">
        <w:t>o</w:t>
      </w:r>
      <w:r w:rsidRPr="00D828D8">
        <w:t xml:space="preserve"> labuma guvēju. </w:t>
      </w:r>
    </w:p>
    <w:p w14:paraId="4BEDC4CE" w14:textId="436B26D9" w:rsidR="000F743B" w:rsidRPr="00D828D8" w:rsidRDefault="002169C7" w:rsidP="001E2BC2">
      <w:pPr>
        <w:spacing w:line="276" w:lineRule="auto"/>
        <w:ind w:firstLine="720"/>
      </w:pPr>
      <w:r w:rsidRPr="00D828D8">
        <w:t xml:space="preserve">Attiecībā pret juridisko personu </w:t>
      </w:r>
      <w:r w:rsidR="000F743B" w:rsidRPr="00D828D8">
        <w:t>SIA „</w:t>
      </w:r>
      <w:r w:rsidR="00B16E03">
        <w:t>[Nosaukums]</w:t>
      </w:r>
      <w:r w:rsidR="000F743B" w:rsidRPr="00D828D8">
        <w:t xml:space="preserve">” </w:t>
      </w:r>
      <w:r w:rsidR="003E28D1" w:rsidRPr="00D828D8">
        <w:t xml:space="preserve">norādīti </w:t>
      </w:r>
      <w:r w:rsidR="000F743B" w:rsidRPr="00D828D8">
        <w:t>identisk</w:t>
      </w:r>
      <w:r w:rsidR="003E28D1" w:rsidRPr="00D828D8">
        <w:t>i</w:t>
      </w:r>
      <w:r w:rsidR="000F743B" w:rsidRPr="00D828D8">
        <w:t xml:space="preserve"> </w:t>
      </w:r>
      <w:r w:rsidR="007A5338" w:rsidRPr="00D828D8">
        <w:t xml:space="preserve">noziedzīgā nodarījuma </w:t>
      </w:r>
      <w:r w:rsidR="003E28D1" w:rsidRPr="00D828D8">
        <w:t>apstākļi.</w:t>
      </w:r>
    </w:p>
    <w:p w14:paraId="0958BFB9" w14:textId="67E11429" w:rsidR="00182D34" w:rsidRPr="00D828D8" w:rsidRDefault="00182D34" w:rsidP="001E2BC2">
      <w:pPr>
        <w:spacing w:line="276" w:lineRule="auto"/>
        <w:ind w:firstLine="720"/>
      </w:pPr>
    </w:p>
    <w:p w14:paraId="556DCFBB" w14:textId="4C0F9F52" w:rsidR="00182D34" w:rsidRPr="00D828D8" w:rsidRDefault="00182D34" w:rsidP="001E2BC2">
      <w:pPr>
        <w:spacing w:line="276" w:lineRule="auto"/>
        <w:ind w:firstLine="720"/>
        <w:rPr>
          <w:rFonts w:asciiTheme="majorBidi" w:hAnsiTheme="majorBidi" w:cstheme="majorBidi"/>
          <w:kern w:val="0"/>
        </w:rPr>
      </w:pPr>
      <w:r w:rsidRPr="00D828D8">
        <w:rPr>
          <w:rFonts w:asciiTheme="majorBidi" w:hAnsiTheme="majorBidi" w:cstheme="majorBidi"/>
        </w:rPr>
        <w:t xml:space="preserve">[3] Ar Kurzemes apgabaltiesas 2024. gada 29. janvāra spriedumu, izskatot krimināllietu apelācijas kārtībā sakarā ar </w:t>
      </w:r>
      <w:r w:rsidRPr="00D828D8">
        <w:t>Noziedzīgu nodarījumu valsts institūciju dienestā izmeklēšanas prokuratūras prokurora K. </w:t>
      </w:r>
      <w:proofErr w:type="spellStart"/>
      <w:r w:rsidRPr="00D828D8">
        <w:t>Čīmas</w:t>
      </w:r>
      <w:proofErr w:type="spellEnd"/>
      <w:r w:rsidR="00F27F6D" w:rsidRPr="00D828D8">
        <w:t xml:space="preserve"> apelācijas protestu</w:t>
      </w:r>
      <w:r w:rsidRPr="00D828D8">
        <w:rPr>
          <w:rFonts w:asciiTheme="majorBidi" w:hAnsiTheme="majorBidi" w:cstheme="majorBidi"/>
        </w:rPr>
        <w:t xml:space="preserve">, </w:t>
      </w:r>
      <w:r w:rsidR="000F743B" w:rsidRPr="00D828D8">
        <w:rPr>
          <w:rFonts w:asciiTheme="majorBidi" w:hAnsiTheme="majorBidi" w:cstheme="majorBidi"/>
        </w:rPr>
        <w:t xml:space="preserve">Rīgas pilsētas tiesas 2023. gada 6. aprīļa </w:t>
      </w:r>
      <w:r w:rsidRPr="00D828D8">
        <w:rPr>
          <w:rFonts w:asciiTheme="majorBidi" w:hAnsiTheme="majorBidi" w:cstheme="majorBidi"/>
        </w:rPr>
        <w:t>spriedums atcelts pilnībā</w:t>
      </w:r>
      <w:r w:rsidR="000F743B" w:rsidRPr="00D828D8">
        <w:rPr>
          <w:rFonts w:asciiTheme="majorBidi" w:hAnsiTheme="majorBidi" w:cstheme="majorBidi"/>
        </w:rPr>
        <w:t>.</w:t>
      </w:r>
    </w:p>
    <w:p w14:paraId="7D4BD62F" w14:textId="3DE5BCC9" w:rsidR="001130ED" w:rsidRPr="00D828D8" w:rsidRDefault="001130ED" w:rsidP="001E2BC2">
      <w:pPr>
        <w:spacing w:line="276" w:lineRule="auto"/>
        <w:ind w:firstLine="720"/>
        <w:rPr>
          <w:rFonts w:asciiTheme="majorBidi" w:hAnsiTheme="majorBidi" w:cstheme="majorBidi"/>
          <w:kern w:val="0"/>
        </w:rPr>
      </w:pPr>
      <w:r w:rsidRPr="00D828D8">
        <w:rPr>
          <w:rFonts w:asciiTheme="majorBidi" w:hAnsiTheme="majorBidi" w:cstheme="majorBidi"/>
          <w:kern w:val="0"/>
        </w:rPr>
        <w:t>[</w:t>
      </w:r>
      <w:r w:rsidR="000F743B" w:rsidRPr="00D828D8">
        <w:rPr>
          <w:rFonts w:asciiTheme="majorBidi" w:hAnsiTheme="majorBidi" w:cstheme="majorBidi"/>
          <w:kern w:val="0"/>
        </w:rPr>
        <w:t>3.1</w:t>
      </w:r>
      <w:r w:rsidRPr="00D828D8">
        <w:rPr>
          <w:rFonts w:asciiTheme="majorBidi" w:hAnsiTheme="majorBidi" w:cstheme="majorBidi"/>
          <w:kern w:val="0"/>
        </w:rPr>
        <w:t>] </w:t>
      </w:r>
      <w:r w:rsidR="00B16E03">
        <w:t>[Pers. A]</w:t>
      </w:r>
      <w:r w:rsidR="000F743B" w:rsidRPr="00D828D8">
        <w:rPr>
          <w:rFonts w:asciiTheme="majorBidi" w:hAnsiTheme="majorBidi" w:cstheme="majorBidi"/>
        </w:rPr>
        <w:t xml:space="preserve"> </w:t>
      </w:r>
      <w:r w:rsidRPr="00D828D8">
        <w:rPr>
          <w:rFonts w:asciiTheme="majorBidi" w:hAnsiTheme="majorBidi" w:cstheme="majorBidi"/>
        </w:rPr>
        <w:t>atzīt</w:t>
      </w:r>
      <w:r w:rsidR="000F743B" w:rsidRPr="00D828D8">
        <w:rPr>
          <w:rFonts w:asciiTheme="majorBidi" w:hAnsiTheme="majorBidi" w:cstheme="majorBidi"/>
        </w:rPr>
        <w:t>a</w:t>
      </w:r>
      <w:r w:rsidRPr="00D828D8">
        <w:rPr>
          <w:rFonts w:asciiTheme="majorBidi" w:hAnsiTheme="majorBidi" w:cstheme="majorBidi"/>
        </w:rPr>
        <w:t xml:space="preserve"> </w:t>
      </w:r>
      <w:r w:rsidRPr="00D828D8">
        <w:rPr>
          <w:rFonts w:asciiTheme="majorBidi" w:hAnsiTheme="majorBidi" w:cstheme="majorBidi"/>
          <w:kern w:val="0"/>
        </w:rPr>
        <w:t xml:space="preserve">par vainīgu </w:t>
      </w:r>
      <w:r w:rsidR="000F743B" w:rsidRPr="00D828D8">
        <w:t>Krimināllikuma 195.</w:t>
      </w:r>
      <w:r w:rsidR="000F743B" w:rsidRPr="00D828D8">
        <w:rPr>
          <w:vertAlign w:val="superscript"/>
        </w:rPr>
        <w:t>1</w:t>
      </w:r>
      <w:r w:rsidR="000F743B" w:rsidRPr="00D828D8">
        <w:t> panta</w:t>
      </w:r>
      <w:r w:rsidR="000F743B" w:rsidRPr="00D828D8">
        <w:rPr>
          <w:rFonts w:asciiTheme="majorBidi" w:hAnsiTheme="majorBidi" w:cstheme="majorBidi"/>
          <w:kern w:val="0"/>
        </w:rPr>
        <w:t xml:space="preserve"> pirmajā daļā </w:t>
      </w:r>
      <w:r w:rsidRPr="00D828D8">
        <w:rPr>
          <w:rFonts w:asciiTheme="majorBidi" w:hAnsiTheme="majorBidi" w:cstheme="majorBidi"/>
          <w:kern w:val="0"/>
        </w:rPr>
        <w:t>paredzētajā noziedzīgajā nodarījumā un sodīt</w:t>
      </w:r>
      <w:r w:rsidR="000F743B" w:rsidRPr="00D828D8">
        <w:rPr>
          <w:rFonts w:asciiTheme="majorBidi" w:hAnsiTheme="majorBidi" w:cstheme="majorBidi"/>
          <w:kern w:val="0"/>
        </w:rPr>
        <w:t>a</w:t>
      </w:r>
      <w:r w:rsidRPr="00D828D8">
        <w:rPr>
          <w:rFonts w:asciiTheme="majorBidi" w:hAnsiTheme="majorBidi" w:cstheme="majorBidi"/>
          <w:kern w:val="0"/>
        </w:rPr>
        <w:t xml:space="preserve"> ar </w:t>
      </w:r>
      <w:r w:rsidR="000F743B" w:rsidRPr="00D828D8">
        <w:rPr>
          <w:rFonts w:asciiTheme="majorBidi" w:hAnsiTheme="majorBidi" w:cstheme="majorBidi"/>
          <w:kern w:val="0"/>
        </w:rPr>
        <w:t>naudas sodu 10 Latvijas Republikā noteikto minimālo mēnešalgu apmērā jeb 7000 </w:t>
      </w:r>
      <w:proofErr w:type="spellStart"/>
      <w:r w:rsidR="000F743B" w:rsidRPr="00D828D8">
        <w:rPr>
          <w:rFonts w:asciiTheme="majorBidi" w:hAnsiTheme="majorBidi" w:cstheme="majorBidi"/>
          <w:i/>
          <w:iCs/>
          <w:kern w:val="0"/>
        </w:rPr>
        <w:t>euro</w:t>
      </w:r>
      <w:proofErr w:type="spellEnd"/>
      <w:r w:rsidR="00724874" w:rsidRPr="00D828D8">
        <w:rPr>
          <w:rFonts w:asciiTheme="majorBidi" w:hAnsiTheme="majorBidi" w:cstheme="majorBidi"/>
          <w:kern w:val="0"/>
        </w:rPr>
        <w:t>.</w:t>
      </w:r>
    </w:p>
    <w:p w14:paraId="698BFC89" w14:textId="59BC6F74" w:rsidR="000F743B" w:rsidRPr="00D828D8" w:rsidRDefault="000F743B" w:rsidP="001E2BC2">
      <w:pPr>
        <w:spacing w:line="276" w:lineRule="auto"/>
        <w:ind w:firstLine="720"/>
        <w:rPr>
          <w:rFonts w:asciiTheme="majorBidi" w:hAnsiTheme="majorBidi" w:cstheme="majorBidi"/>
        </w:rPr>
      </w:pPr>
      <w:r w:rsidRPr="00D828D8">
        <w:rPr>
          <w:rFonts w:asciiTheme="majorBidi" w:hAnsiTheme="majorBidi" w:cstheme="majorBidi"/>
        </w:rPr>
        <w:lastRenderedPageBreak/>
        <w:t>[3.2] </w:t>
      </w:r>
      <w:r w:rsidR="003E28D1" w:rsidRPr="00D828D8">
        <w:t xml:space="preserve">Process </w:t>
      </w:r>
      <w:r w:rsidRPr="00D828D8">
        <w:t>par piespiedu ietekmēšanas līdzekļa piemērošanu juridiska</w:t>
      </w:r>
      <w:r w:rsidR="00E13DB6" w:rsidRPr="00D828D8">
        <w:t>jai</w:t>
      </w:r>
      <w:r w:rsidRPr="00D828D8">
        <w:t xml:space="preserve"> personai SIA „</w:t>
      </w:r>
      <w:r w:rsidR="004826F9">
        <w:t>[Nosaukums]</w:t>
      </w:r>
      <w:r w:rsidRPr="00D828D8">
        <w:t>”, reģistrācijas Nr. </w:t>
      </w:r>
      <w:r w:rsidR="004826F9">
        <w:t>[..]</w:t>
      </w:r>
      <w:r w:rsidRPr="00D828D8">
        <w:t>, izbeigts</w:t>
      </w:r>
      <w:r w:rsidRPr="00D828D8">
        <w:rPr>
          <w:rFonts w:asciiTheme="majorBidi" w:hAnsiTheme="majorBidi" w:cstheme="majorBidi"/>
        </w:rPr>
        <w:t>.</w:t>
      </w:r>
    </w:p>
    <w:p w14:paraId="69CD7A15" w14:textId="77777777" w:rsidR="000F743B" w:rsidRPr="00D828D8" w:rsidRDefault="000F743B" w:rsidP="001E2BC2">
      <w:pPr>
        <w:spacing w:line="276" w:lineRule="auto"/>
        <w:ind w:firstLine="720"/>
        <w:rPr>
          <w:rFonts w:asciiTheme="majorBidi" w:hAnsiTheme="majorBidi" w:cstheme="majorBidi"/>
        </w:rPr>
      </w:pPr>
    </w:p>
    <w:p w14:paraId="78C90DF5" w14:textId="3EDB4428" w:rsidR="000F743B" w:rsidRPr="00D828D8" w:rsidRDefault="000F743B" w:rsidP="001E2BC2">
      <w:pPr>
        <w:spacing w:line="276" w:lineRule="auto"/>
        <w:ind w:firstLine="720"/>
      </w:pPr>
      <w:bookmarkStart w:id="0" w:name="_Hlk184825927"/>
      <w:r w:rsidRPr="00D828D8">
        <w:rPr>
          <w:rFonts w:asciiTheme="majorBidi" w:hAnsiTheme="majorBidi" w:cstheme="majorBidi"/>
        </w:rPr>
        <w:t>[4</w:t>
      </w:r>
      <w:r w:rsidR="001130ED" w:rsidRPr="00D828D8">
        <w:rPr>
          <w:rFonts w:asciiTheme="majorBidi" w:hAnsiTheme="majorBidi" w:cstheme="majorBidi"/>
          <w:kern w:val="0"/>
        </w:rPr>
        <w:t>] </w:t>
      </w:r>
      <w:r w:rsidR="001130ED" w:rsidRPr="00D828D8">
        <w:rPr>
          <w:rFonts w:asciiTheme="majorBidi" w:hAnsiTheme="majorBidi" w:cstheme="majorBidi"/>
        </w:rPr>
        <w:t xml:space="preserve">Ar </w:t>
      </w:r>
      <w:r w:rsidRPr="00D828D8">
        <w:rPr>
          <w:rFonts w:asciiTheme="majorBidi" w:hAnsiTheme="majorBidi" w:cstheme="majorBidi"/>
        </w:rPr>
        <w:t xml:space="preserve">Kurzemes apgabaltiesas 2024. gada 29. janvāra spriedumu </w:t>
      </w:r>
      <w:r w:rsidR="00FC7EF2">
        <w:t>[pers. A]</w:t>
      </w:r>
      <w:r w:rsidR="001130ED" w:rsidRPr="00D828D8">
        <w:rPr>
          <w:rFonts w:asciiTheme="majorBidi" w:hAnsiTheme="majorBidi" w:cstheme="majorBidi"/>
        </w:rPr>
        <w:t xml:space="preserve"> </w:t>
      </w:r>
      <w:r w:rsidR="001130ED" w:rsidRPr="00D828D8">
        <w:rPr>
          <w:rFonts w:asciiTheme="majorBidi" w:hAnsiTheme="majorBidi" w:cstheme="majorBidi"/>
          <w:kern w:val="0"/>
        </w:rPr>
        <w:t>atzīt</w:t>
      </w:r>
      <w:r w:rsidRPr="00D828D8">
        <w:rPr>
          <w:rFonts w:asciiTheme="majorBidi" w:hAnsiTheme="majorBidi" w:cstheme="majorBidi"/>
          <w:kern w:val="0"/>
        </w:rPr>
        <w:t xml:space="preserve">a </w:t>
      </w:r>
      <w:r w:rsidR="001130ED" w:rsidRPr="00D828D8">
        <w:rPr>
          <w:rFonts w:asciiTheme="majorBidi" w:hAnsiTheme="majorBidi" w:cstheme="majorBidi"/>
          <w:kern w:val="0"/>
        </w:rPr>
        <w:t>par vainīg</w:t>
      </w:r>
      <w:r w:rsidRPr="00D828D8">
        <w:rPr>
          <w:rFonts w:asciiTheme="majorBidi" w:hAnsiTheme="majorBidi" w:cstheme="majorBidi"/>
          <w:kern w:val="0"/>
        </w:rPr>
        <w:t>u</w:t>
      </w:r>
      <w:r w:rsidR="001130ED" w:rsidRPr="00D828D8">
        <w:rPr>
          <w:rFonts w:asciiTheme="majorBidi" w:hAnsiTheme="majorBidi" w:cstheme="majorBidi"/>
          <w:kern w:val="0"/>
        </w:rPr>
        <w:t xml:space="preserve"> un sodīt</w:t>
      </w:r>
      <w:r w:rsidRPr="00D828D8">
        <w:rPr>
          <w:rFonts w:asciiTheme="majorBidi" w:hAnsiTheme="majorBidi" w:cstheme="majorBidi"/>
          <w:kern w:val="0"/>
        </w:rPr>
        <w:t>a</w:t>
      </w:r>
      <w:r w:rsidR="001130ED" w:rsidRPr="00D828D8">
        <w:rPr>
          <w:rFonts w:asciiTheme="majorBidi" w:hAnsiTheme="majorBidi" w:cstheme="majorBidi"/>
          <w:kern w:val="0"/>
        </w:rPr>
        <w:t xml:space="preserve"> par</w:t>
      </w:r>
      <w:r w:rsidRPr="00D828D8">
        <w:t xml:space="preserve"> apzināti nepatiesu ziņu sniegšanu juridiskajai personai, kas nav valsts institūcija un kas ar likumu pilnvarota pieprasīt informāciju par patieso labuma guvēju, kā arī par apzināti nepatiesu ziņu sniegšanu valsts institūcijai par paties</w:t>
      </w:r>
      <w:r w:rsidR="00E13DB6" w:rsidRPr="00D828D8">
        <w:t>o</w:t>
      </w:r>
      <w:r w:rsidRPr="00D828D8">
        <w:t xml:space="preserve"> labuma guvēju</w:t>
      </w:r>
      <w:r w:rsidR="00724874" w:rsidRPr="00D828D8">
        <w:t>.</w:t>
      </w:r>
    </w:p>
    <w:bookmarkEnd w:id="0"/>
    <w:p w14:paraId="0F2453AF" w14:textId="77777777" w:rsidR="001130ED" w:rsidRPr="00D828D8" w:rsidRDefault="001130ED" w:rsidP="001E2BC2">
      <w:pPr>
        <w:spacing w:line="276" w:lineRule="auto"/>
        <w:ind w:firstLine="720"/>
        <w:rPr>
          <w:rFonts w:asciiTheme="majorBidi" w:hAnsiTheme="majorBidi" w:cstheme="majorBidi"/>
        </w:rPr>
      </w:pPr>
    </w:p>
    <w:p w14:paraId="4C966C45" w14:textId="3EB1DE33" w:rsidR="001130ED" w:rsidRPr="00D828D8" w:rsidRDefault="001130ED" w:rsidP="001E2BC2">
      <w:pPr>
        <w:autoSpaceDE w:val="0"/>
        <w:autoSpaceDN w:val="0"/>
        <w:adjustRightInd w:val="0"/>
        <w:spacing w:line="276" w:lineRule="auto"/>
        <w:ind w:firstLine="720"/>
        <w:rPr>
          <w:rFonts w:asciiTheme="majorBidi" w:hAnsiTheme="majorBidi" w:cstheme="majorBidi"/>
        </w:rPr>
      </w:pPr>
      <w:r w:rsidRPr="00D828D8">
        <w:rPr>
          <w:rFonts w:asciiTheme="majorBidi" w:hAnsiTheme="majorBidi" w:cstheme="majorBidi"/>
          <w:kern w:val="0"/>
        </w:rPr>
        <w:t>[</w:t>
      </w:r>
      <w:r w:rsidR="008D1AFF" w:rsidRPr="00D828D8">
        <w:rPr>
          <w:rFonts w:asciiTheme="majorBidi" w:hAnsiTheme="majorBidi" w:cstheme="majorBidi"/>
          <w:kern w:val="0"/>
        </w:rPr>
        <w:t>5</w:t>
      </w:r>
      <w:r w:rsidRPr="00D828D8">
        <w:rPr>
          <w:rFonts w:asciiTheme="majorBidi" w:hAnsiTheme="majorBidi" w:cstheme="majorBidi"/>
          <w:kern w:val="0"/>
        </w:rPr>
        <w:t>] </w:t>
      </w:r>
      <w:r w:rsidRPr="00D828D8">
        <w:rPr>
          <w:rFonts w:asciiTheme="majorBidi" w:hAnsiTheme="majorBidi" w:cstheme="majorBidi"/>
        </w:rPr>
        <w:t xml:space="preserve">Par Kurzemes apgabaltiesas </w:t>
      </w:r>
      <w:r w:rsidR="008D1AFF" w:rsidRPr="00D828D8">
        <w:rPr>
          <w:rFonts w:asciiTheme="majorBidi" w:hAnsiTheme="majorBidi" w:cstheme="majorBidi"/>
        </w:rPr>
        <w:t xml:space="preserve">2024. gada 29. janvāra spriedumu </w:t>
      </w:r>
      <w:r w:rsidR="008D1AFF" w:rsidRPr="00D828D8">
        <w:t xml:space="preserve">Noziedzīgu nodarījumu valsts institūciju dienestā izmeklēšanas </w:t>
      </w:r>
      <w:r w:rsidR="008D1AFF" w:rsidRPr="00B74F52">
        <w:t>prokuratūras</w:t>
      </w:r>
      <w:r w:rsidR="008D1AFF" w:rsidRPr="00B74F52">
        <w:rPr>
          <w:rFonts w:asciiTheme="majorBidi" w:hAnsiTheme="majorBidi" w:cstheme="majorBidi"/>
        </w:rPr>
        <w:t xml:space="preserve"> </w:t>
      </w:r>
      <w:r w:rsidRPr="00B74F52">
        <w:rPr>
          <w:rFonts w:asciiTheme="majorBidi" w:hAnsiTheme="majorBidi" w:cstheme="majorBidi"/>
        </w:rPr>
        <w:t xml:space="preserve">prokurors </w:t>
      </w:r>
      <w:r w:rsidR="008D1AFF" w:rsidRPr="00B74F52">
        <w:rPr>
          <w:rFonts w:asciiTheme="majorBidi" w:hAnsiTheme="majorBidi" w:cstheme="majorBidi"/>
        </w:rPr>
        <w:t>K. </w:t>
      </w:r>
      <w:proofErr w:type="spellStart"/>
      <w:r w:rsidR="008D1AFF" w:rsidRPr="00B74F52">
        <w:rPr>
          <w:rFonts w:asciiTheme="majorBidi" w:hAnsiTheme="majorBidi" w:cstheme="majorBidi"/>
        </w:rPr>
        <w:t>Čīma</w:t>
      </w:r>
      <w:proofErr w:type="spellEnd"/>
      <w:r w:rsidRPr="00B74F52">
        <w:rPr>
          <w:rFonts w:asciiTheme="majorBidi" w:hAnsiTheme="majorBidi" w:cstheme="majorBidi"/>
        </w:rPr>
        <w:t xml:space="preserve"> </w:t>
      </w:r>
      <w:r w:rsidRPr="00B74F52">
        <w:rPr>
          <w:rFonts w:asciiTheme="majorBidi" w:hAnsiTheme="majorBidi" w:cstheme="majorBidi"/>
          <w:color w:val="000000"/>
        </w:rPr>
        <w:t>iesniedzis kasācijas protestu</w:t>
      </w:r>
      <w:r w:rsidRPr="00B74F52">
        <w:rPr>
          <w:rFonts w:asciiTheme="majorBidi" w:hAnsiTheme="majorBidi" w:cstheme="majorBidi"/>
        </w:rPr>
        <w:t xml:space="preserve">, kurā lūdz atcelt minēto </w:t>
      </w:r>
      <w:r w:rsidR="008D1AFF" w:rsidRPr="00B74F52">
        <w:rPr>
          <w:rFonts w:asciiTheme="majorBidi" w:hAnsiTheme="majorBidi" w:cstheme="majorBidi"/>
        </w:rPr>
        <w:t xml:space="preserve">spriedumu daļā par procesa par piespiedu ietekmēšanas līdzekļa piemērošanu </w:t>
      </w:r>
      <w:r w:rsidR="008D1AFF" w:rsidRPr="00B74F52">
        <w:t>SIA „</w:t>
      </w:r>
      <w:r w:rsidR="0076710C">
        <w:t>[Nosaukums]</w:t>
      </w:r>
      <w:r w:rsidR="008D1AFF" w:rsidRPr="00B74F52">
        <w:t xml:space="preserve">” </w:t>
      </w:r>
      <w:r w:rsidR="00A85A31" w:rsidRPr="00B74F52">
        <w:rPr>
          <w:rFonts w:asciiTheme="majorBidi" w:hAnsiTheme="majorBidi" w:cstheme="majorBidi"/>
        </w:rPr>
        <w:t xml:space="preserve">izbeigšanu </w:t>
      </w:r>
      <w:r w:rsidRPr="00B74F52">
        <w:rPr>
          <w:rFonts w:asciiTheme="majorBidi" w:hAnsiTheme="majorBidi" w:cstheme="majorBidi"/>
        </w:rPr>
        <w:t xml:space="preserve">un nosūtīt lietu </w:t>
      </w:r>
      <w:r w:rsidR="008D1AFF" w:rsidRPr="00B74F52">
        <w:rPr>
          <w:rFonts w:asciiTheme="majorBidi" w:hAnsiTheme="majorBidi" w:cstheme="majorBidi"/>
        </w:rPr>
        <w:t xml:space="preserve">šajā daļā </w:t>
      </w:r>
      <w:r w:rsidRPr="00B74F52">
        <w:rPr>
          <w:rFonts w:asciiTheme="majorBidi" w:hAnsiTheme="majorBidi" w:cstheme="majorBidi"/>
        </w:rPr>
        <w:t>jaunai izskatīšanai apelācijas instances tiesā.</w:t>
      </w:r>
    </w:p>
    <w:p w14:paraId="78B0B567" w14:textId="77777777" w:rsidR="00000DAC" w:rsidRPr="00D828D8" w:rsidRDefault="001130ED" w:rsidP="001E2BC2">
      <w:pPr>
        <w:spacing w:line="276" w:lineRule="auto"/>
        <w:ind w:firstLine="720"/>
        <w:rPr>
          <w:rFonts w:asciiTheme="majorBidi" w:hAnsiTheme="majorBidi" w:cstheme="majorBidi"/>
        </w:rPr>
      </w:pPr>
      <w:r w:rsidRPr="00D828D8">
        <w:rPr>
          <w:rFonts w:asciiTheme="majorBidi" w:hAnsiTheme="majorBidi" w:cstheme="majorBidi"/>
        </w:rPr>
        <w:t>Kasācijas protestā izteiktais lūgums pamatots ar šādiem argumentiem.</w:t>
      </w:r>
    </w:p>
    <w:p w14:paraId="061BDEC8" w14:textId="5CA1EFDC" w:rsidR="00000DAC" w:rsidRPr="00D828D8" w:rsidRDefault="00000DAC" w:rsidP="001E2BC2">
      <w:pPr>
        <w:spacing w:line="276" w:lineRule="auto"/>
        <w:ind w:firstLine="720"/>
        <w:rPr>
          <w:rFonts w:asciiTheme="majorBidi" w:hAnsiTheme="majorBidi" w:cstheme="majorBidi"/>
        </w:rPr>
      </w:pPr>
      <w:r w:rsidRPr="00D828D8">
        <w:rPr>
          <w:rFonts w:asciiTheme="majorBidi" w:hAnsiTheme="majorBidi" w:cstheme="majorBidi"/>
        </w:rPr>
        <w:t xml:space="preserve">Apelācijas instances tiesa </w:t>
      </w:r>
      <w:r w:rsidR="00AE6024" w:rsidRPr="00D828D8">
        <w:rPr>
          <w:rFonts w:asciiTheme="majorBidi" w:hAnsiTheme="majorBidi" w:cstheme="majorBidi"/>
        </w:rPr>
        <w:t xml:space="preserve">nepamatoti atzinusi, ka </w:t>
      </w:r>
      <w:r w:rsidRPr="00D828D8">
        <w:rPr>
          <w:szCs w:val="24"/>
        </w:rPr>
        <w:t>2022.</w:t>
      </w:r>
      <w:r w:rsidR="00AE6024" w:rsidRPr="00D828D8">
        <w:rPr>
          <w:szCs w:val="24"/>
        </w:rPr>
        <w:t> </w:t>
      </w:r>
      <w:r w:rsidRPr="00D828D8">
        <w:rPr>
          <w:szCs w:val="24"/>
        </w:rPr>
        <w:t>gada 29. marta lēmumā par procesa piespiedu ietekmēšanas līdzekļa piemērošanai juridiska</w:t>
      </w:r>
      <w:r w:rsidR="00E13DB6" w:rsidRPr="00D828D8">
        <w:rPr>
          <w:szCs w:val="24"/>
        </w:rPr>
        <w:t>jai</w:t>
      </w:r>
      <w:r w:rsidRPr="00D828D8">
        <w:rPr>
          <w:szCs w:val="24"/>
        </w:rPr>
        <w:t xml:space="preserve"> personai uzsākšanu un 2022.</w:t>
      </w:r>
      <w:r w:rsidR="00AE6024" w:rsidRPr="00D828D8">
        <w:rPr>
          <w:szCs w:val="24"/>
        </w:rPr>
        <w:t> </w:t>
      </w:r>
      <w:r w:rsidRPr="00D828D8">
        <w:rPr>
          <w:szCs w:val="24"/>
        </w:rPr>
        <w:t>gada 28.</w:t>
      </w:r>
      <w:r w:rsidR="00AE6024" w:rsidRPr="00D828D8">
        <w:rPr>
          <w:szCs w:val="24"/>
        </w:rPr>
        <w:t> </w:t>
      </w:r>
      <w:r w:rsidRPr="00D828D8">
        <w:rPr>
          <w:szCs w:val="24"/>
        </w:rPr>
        <w:t>aprīļa lēmumā par krimināllietas un procesa par piespiedu ietekmēšanas līdzekļa piemērošanu juridiska</w:t>
      </w:r>
      <w:r w:rsidR="00E13DB6" w:rsidRPr="00D828D8">
        <w:rPr>
          <w:szCs w:val="24"/>
        </w:rPr>
        <w:t>jai</w:t>
      </w:r>
      <w:r w:rsidRPr="00D828D8">
        <w:rPr>
          <w:szCs w:val="24"/>
        </w:rPr>
        <w:t xml:space="preserve"> personai nodošanu tiesai ietvertā informācij</w:t>
      </w:r>
      <w:r w:rsidR="00AE6024" w:rsidRPr="00D828D8">
        <w:rPr>
          <w:szCs w:val="24"/>
        </w:rPr>
        <w:t>a</w:t>
      </w:r>
      <w:r w:rsidRPr="00D828D8">
        <w:rPr>
          <w:szCs w:val="24"/>
        </w:rPr>
        <w:t xml:space="preserve"> neatbilst Kriminālprocesa likuma 440. panta un 441.</w:t>
      </w:r>
      <w:r w:rsidR="00AE6024" w:rsidRPr="00D828D8">
        <w:rPr>
          <w:szCs w:val="24"/>
        </w:rPr>
        <w:t> </w:t>
      </w:r>
      <w:r w:rsidRPr="00D828D8">
        <w:rPr>
          <w:szCs w:val="24"/>
        </w:rPr>
        <w:t>panta prasībām</w:t>
      </w:r>
      <w:r w:rsidR="00AE6024" w:rsidRPr="00D828D8">
        <w:rPr>
          <w:szCs w:val="24"/>
        </w:rPr>
        <w:t>, kas liedza</w:t>
      </w:r>
      <w:r w:rsidRPr="00D828D8">
        <w:rPr>
          <w:szCs w:val="24"/>
        </w:rPr>
        <w:t xml:space="preserve"> juridiska</w:t>
      </w:r>
      <w:r w:rsidR="00E13DB6" w:rsidRPr="00D828D8">
        <w:rPr>
          <w:szCs w:val="24"/>
        </w:rPr>
        <w:t>jai</w:t>
      </w:r>
      <w:r w:rsidRPr="00D828D8">
        <w:rPr>
          <w:szCs w:val="24"/>
        </w:rPr>
        <w:t xml:space="preserve"> personai īstenot tiesības uz aizstāvību, savukārt tiesai spriest par juridiska</w:t>
      </w:r>
      <w:r w:rsidR="00E13DB6" w:rsidRPr="00D828D8">
        <w:rPr>
          <w:szCs w:val="24"/>
        </w:rPr>
        <w:t>jai</w:t>
      </w:r>
      <w:r w:rsidRPr="00D828D8">
        <w:rPr>
          <w:szCs w:val="24"/>
        </w:rPr>
        <w:t xml:space="preserve"> personai izvirzītās apsūdzības pamatotību atbilstoši Kriminālprocesa likuma 548.</w:t>
      </w:r>
      <w:r w:rsidR="00AE6024" w:rsidRPr="00D828D8">
        <w:rPr>
          <w:szCs w:val="24"/>
        </w:rPr>
        <w:t> </w:t>
      </w:r>
      <w:r w:rsidRPr="00D828D8">
        <w:rPr>
          <w:szCs w:val="24"/>
        </w:rPr>
        <w:t>panta pirmajai daļai.</w:t>
      </w:r>
    </w:p>
    <w:p w14:paraId="7C8D36ED" w14:textId="28A8CF80" w:rsidR="00000DAC" w:rsidRPr="00D828D8" w:rsidRDefault="00000DAC" w:rsidP="001E2BC2">
      <w:pPr>
        <w:spacing w:line="276" w:lineRule="auto"/>
        <w:ind w:firstLine="720"/>
      </w:pPr>
      <w:r w:rsidRPr="00D828D8">
        <w:rPr>
          <w:rFonts w:asciiTheme="majorBidi" w:hAnsiTheme="majorBidi" w:cstheme="majorBidi"/>
        </w:rPr>
        <w:t>Apelācijas instances tiesa nepareizi piemērojusi Kriminālprocesa likuma 548. panta pirmo daļu.</w:t>
      </w:r>
      <w:r w:rsidR="00AE6024" w:rsidRPr="00D828D8">
        <w:rPr>
          <w:rFonts w:asciiTheme="majorBidi" w:hAnsiTheme="majorBidi" w:cstheme="majorBidi"/>
        </w:rPr>
        <w:t xml:space="preserve"> Tiesa atzinusi </w:t>
      </w:r>
      <w:r w:rsidR="00CC25D5">
        <w:t>[pers. A]</w:t>
      </w:r>
      <w:r w:rsidR="00AE6024" w:rsidRPr="00D828D8">
        <w:rPr>
          <w:rFonts w:asciiTheme="majorBidi" w:hAnsiTheme="majorBidi" w:cstheme="majorBidi"/>
        </w:rPr>
        <w:t xml:space="preserve"> par vainīgu Krimināllikuma </w:t>
      </w:r>
      <w:r w:rsidR="00AE6024" w:rsidRPr="00D828D8">
        <w:t>195.</w:t>
      </w:r>
      <w:r w:rsidR="00AE6024" w:rsidRPr="00D828D8">
        <w:rPr>
          <w:vertAlign w:val="superscript"/>
        </w:rPr>
        <w:t>1</w:t>
      </w:r>
      <w:r w:rsidR="00AE6024" w:rsidRPr="00D828D8">
        <w:t xml:space="preserve"> panta pirmajā daļā paredzētā noziedzīgā nodarījuma izdarīšanā. </w:t>
      </w:r>
      <w:r w:rsidR="00873B27" w:rsidRPr="00D828D8">
        <w:rPr>
          <w:rFonts w:asciiTheme="majorBidi" w:hAnsiTheme="majorBidi" w:cstheme="majorBidi"/>
        </w:rPr>
        <w:t>Lēmumā par krimināllietas un procesa par piespiedu ietekmēšanas līdzekļa piemērošanu juridiska</w:t>
      </w:r>
      <w:r w:rsidR="00E13DB6" w:rsidRPr="00D828D8">
        <w:rPr>
          <w:rFonts w:asciiTheme="majorBidi" w:hAnsiTheme="majorBidi" w:cstheme="majorBidi"/>
        </w:rPr>
        <w:t>jai</w:t>
      </w:r>
      <w:r w:rsidR="00873B27" w:rsidRPr="00D828D8">
        <w:rPr>
          <w:rFonts w:asciiTheme="majorBidi" w:hAnsiTheme="majorBidi" w:cstheme="majorBidi"/>
        </w:rPr>
        <w:t xml:space="preserve"> personai nodošanu tiesai un tiesas debatēs prokurors ir norādījis un pamatojis, ka Krimināllikuma </w:t>
      </w:r>
      <w:r w:rsidR="00873B27" w:rsidRPr="00D828D8">
        <w:t>195.</w:t>
      </w:r>
      <w:r w:rsidR="00873B27" w:rsidRPr="00D828D8">
        <w:rPr>
          <w:vertAlign w:val="superscript"/>
        </w:rPr>
        <w:t>1</w:t>
      </w:r>
      <w:r w:rsidR="00873B27" w:rsidRPr="00D828D8">
        <w:t xml:space="preserve"> panta pirmajā daļā paredzēto noziedzīgo nodarījumu apsūdzētā </w:t>
      </w:r>
      <w:r w:rsidR="00CC25D5">
        <w:t>[pers. A]</w:t>
      </w:r>
      <w:r w:rsidR="00873B27" w:rsidRPr="00D828D8">
        <w:t xml:space="preserve"> ir izdarījusi SIA „</w:t>
      </w:r>
      <w:r w:rsidR="00CC25D5">
        <w:t>[Nosaukums]</w:t>
      </w:r>
      <w:r w:rsidR="00873B27" w:rsidRPr="00D828D8">
        <w:t>” interesēs un labā, lai</w:t>
      </w:r>
      <w:r w:rsidR="007A5338" w:rsidRPr="00D828D8">
        <w:t>,</w:t>
      </w:r>
      <w:r w:rsidR="00873B27" w:rsidRPr="00D828D8">
        <w:t xml:space="preserve"> </w:t>
      </w:r>
      <w:r w:rsidR="007A5338" w:rsidRPr="00D828D8">
        <w:t xml:space="preserve">piedaloties publiskajos iepirkumos, </w:t>
      </w:r>
      <w:r w:rsidR="00873B27" w:rsidRPr="00D828D8">
        <w:t xml:space="preserve">gūtu finansiālu labumu un pieredzi, </w:t>
      </w:r>
      <w:r w:rsidR="00D33F55" w:rsidRPr="00D828D8">
        <w:t>kā arī ir paudis viedokli par SIA „</w:t>
      </w:r>
      <w:r w:rsidR="00A97165">
        <w:t>[Nosaukums]</w:t>
      </w:r>
      <w:r w:rsidR="00D33F55" w:rsidRPr="00D828D8">
        <w:t>” piemērojamo piespiedu ietekmēšanas līdzekli. Minētais ir pamats piespiedu ietekmēšanas līdzekļa piemērošanai juridiska</w:t>
      </w:r>
      <w:r w:rsidR="00E13DB6" w:rsidRPr="00D828D8">
        <w:t>jai</w:t>
      </w:r>
      <w:r w:rsidR="00D33F55" w:rsidRPr="00D828D8">
        <w:t xml:space="preserve"> personai. </w:t>
      </w:r>
    </w:p>
    <w:p w14:paraId="007FB881" w14:textId="7108D6A1" w:rsidR="001130ED" w:rsidRPr="00D828D8" w:rsidRDefault="001130ED" w:rsidP="001E2BC2">
      <w:pPr>
        <w:spacing w:line="276" w:lineRule="auto"/>
        <w:ind w:firstLine="720"/>
        <w:rPr>
          <w:rFonts w:asciiTheme="majorBidi" w:hAnsiTheme="majorBidi" w:cstheme="majorBidi"/>
        </w:rPr>
      </w:pPr>
      <w:r w:rsidRPr="00D828D8">
        <w:rPr>
          <w:rFonts w:asciiTheme="majorBidi" w:hAnsiTheme="majorBidi" w:cstheme="majorBidi"/>
        </w:rPr>
        <w:t xml:space="preserve">Apelācijas instances tiesa </w:t>
      </w:r>
      <w:r w:rsidR="00D33F55" w:rsidRPr="00D828D8">
        <w:rPr>
          <w:rFonts w:asciiTheme="majorBidi" w:hAnsiTheme="majorBidi" w:cstheme="majorBidi"/>
        </w:rPr>
        <w:t>nav norādījusi, kādus Kriminālprocesa likuma 440. pantā minētos apstākļus prokurors nav norādījis un kā izpaud</w:t>
      </w:r>
      <w:r w:rsidR="00F01021" w:rsidRPr="00D828D8">
        <w:rPr>
          <w:rFonts w:asciiTheme="majorBidi" w:hAnsiTheme="majorBidi" w:cstheme="majorBidi"/>
        </w:rPr>
        <w:t xml:space="preserve">ies </w:t>
      </w:r>
      <w:r w:rsidR="00D33F55" w:rsidRPr="00D828D8">
        <w:rPr>
          <w:rFonts w:asciiTheme="majorBidi" w:hAnsiTheme="majorBidi" w:cstheme="majorBidi"/>
        </w:rPr>
        <w:t xml:space="preserve">juridiskās personas </w:t>
      </w:r>
      <w:r w:rsidR="007A5338" w:rsidRPr="00D828D8">
        <w:rPr>
          <w:rFonts w:asciiTheme="majorBidi" w:hAnsiTheme="majorBidi" w:cstheme="majorBidi"/>
        </w:rPr>
        <w:t xml:space="preserve">tiesību </w:t>
      </w:r>
      <w:r w:rsidR="00D33F55" w:rsidRPr="00D828D8">
        <w:rPr>
          <w:rFonts w:asciiTheme="majorBidi" w:hAnsiTheme="majorBidi" w:cstheme="majorBidi"/>
        </w:rPr>
        <w:t>uz aizstāvību</w:t>
      </w:r>
      <w:r w:rsidR="007A5338" w:rsidRPr="00D828D8">
        <w:rPr>
          <w:rFonts w:asciiTheme="majorBidi" w:hAnsiTheme="majorBidi" w:cstheme="majorBidi"/>
        </w:rPr>
        <w:t xml:space="preserve"> pārkāpums</w:t>
      </w:r>
      <w:r w:rsidR="00D33F55" w:rsidRPr="00D828D8">
        <w:rPr>
          <w:rFonts w:asciiTheme="majorBidi" w:hAnsiTheme="majorBidi" w:cstheme="majorBidi"/>
        </w:rPr>
        <w:t xml:space="preserve">. </w:t>
      </w:r>
      <w:r w:rsidR="00AE6024" w:rsidRPr="00D828D8">
        <w:rPr>
          <w:szCs w:val="24"/>
        </w:rPr>
        <w:t>L</w:t>
      </w:r>
      <w:r w:rsidR="00660D66" w:rsidRPr="00D828D8">
        <w:rPr>
          <w:szCs w:val="24"/>
        </w:rPr>
        <w:t>ēmumā par procesa piespiedu ietekmēšanas līdzekļa piemērošanai juridiska</w:t>
      </w:r>
      <w:r w:rsidR="00E13DB6" w:rsidRPr="00D828D8">
        <w:rPr>
          <w:szCs w:val="24"/>
        </w:rPr>
        <w:t>jai</w:t>
      </w:r>
      <w:r w:rsidR="00660D66" w:rsidRPr="00D828D8">
        <w:rPr>
          <w:szCs w:val="24"/>
        </w:rPr>
        <w:t xml:space="preserve"> personai uzsākšanu un l</w:t>
      </w:r>
      <w:r w:rsidR="00AE6024" w:rsidRPr="00D828D8">
        <w:rPr>
          <w:szCs w:val="24"/>
        </w:rPr>
        <w:t>ēmumā par krimināllietas un procesa par piespiedu ietekmēšanas līdzekļa piemērošanu juridiska</w:t>
      </w:r>
      <w:r w:rsidR="00E13DB6" w:rsidRPr="00D828D8">
        <w:rPr>
          <w:szCs w:val="24"/>
        </w:rPr>
        <w:t>jai</w:t>
      </w:r>
      <w:r w:rsidR="00AE6024" w:rsidRPr="00D828D8">
        <w:rPr>
          <w:szCs w:val="24"/>
        </w:rPr>
        <w:t xml:space="preserve"> personai nodošanu tiesai </w:t>
      </w:r>
      <w:r w:rsidR="00AE6024" w:rsidRPr="00D828D8">
        <w:rPr>
          <w:rFonts w:asciiTheme="majorBidi" w:hAnsiTheme="majorBidi" w:cstheme="majorBidi"/>
        </w:rPr>
        <w:t xml:space="preserve">ir </w:t>
      </w:r>
      <w:r w:rsidR="00660D66" w:rsidRPr="00D828D8">
        <w:rPr>
          <w:rFonts w:asciiTheme="majorBidi" w:hAnsiTheme="majorBidi" w:cstheme="majorBidi"/>
        </w:rPr>
        <w:t>norādīt</w:t>
      </w:r>
      <w:r w:rsidR="00F6564B" w:rsidRPr="00D828D8">
        <w:rPr>
          <w:rFonts w:asciiTheme="majorBidi" w:hAnsiTheme="majorBidi" w:cstheme="majorBidi"/>
        </w:rPr>
        <w:t>i</w:t>
      </w:r>
      <w:r w:rsidR="00660D66" w:rsidRPr="00D828D8">
        <w:rPr>
          <w:rFonts w:asciiTheme="majorBidi" w:hAnsiTheme="majorBidi" w:cstheme="majorBidi"/>
        </w:rPr>
        <w:t>: 1) noziedzīgā nodarījuma apstākļi; 2) </w:t>
      </w:r>
      <w:r w:rsidR="00AE6024" w:rsidRPr="00D828D8">
        <w:rPr>
          <w:rFonts w:asciiTheme="majorBidi" w:hAnsiTheme="majorBidi" w:cstheme="majorBidi"/>
        </w:rPr>
        <w:t>fiziskās personas status</w:t>
      </w:r>
      <w:r w:rsidR="00660D66" w:rsidRPr="00D828D8">
        <w:rPr>
          <w:rFonts w:asciiTheme="majorBidi" w:hAnsiTheme="majorBidi" w:cstheme="majorBidi"/>
        </w:rPr>
        <w:t>s</w:t>
      </w:r>
      <w:r w:rsidR="00AE6024" w:rsidRPr="00D828D8">
        <w:rPr>
          <w:rFonts w:asciiTheme="majorBidi" w:hAnsiTheme="majorBidi" w:cstheme="majorBidi"/>
        </w:rPr>
        <w:t xml:space="preserve"> juridiskajā </w:t>
      </w:r>
      <w:r w:rsidR="00E13DB6" w:rsidRPr="00D828D8">
        <w:rPr>
          <w:rFonts w:asciiTheme="majorBidi" w:hAnsiTheme="majorBidi" w:cstheme="majorBidi"/>
        </w:rPr>
        <w:t>institūcijā</w:t>
      </w:r>
      <w:r w:rsidR="00660D66" w:rsidRPr="00D828D8">
        <w:rPr>
          <w:rFonts w:asciiTheme="majorBidi" w:hAnsiTheme="majorBidi" w:cstheme="majorBidi"/>
        </w:rPr>
        <w:t>; 3) </w:t>
      </w:r>
      <w:r w:rsidR="00AE6024" w:rsidRPr="00D828D8">
        <w:rPr>
          <w:rFonts w:asciiTheme="majorBidi" w:hAnsiTheme="majorBidi" w:cstheme="majorBidi"/>
        </w:rPr>
        <w:t>noziedzīgā nodarījuma sekas</w:t>
      </w:r>
      <w:r w:rsidR="00660D66" w:rsidRPr="00D828D8">
        <w:rPr>
          <w:rFonts w:asciiTheme="majorBidi" w:hAnsiTheme="majorBidi" w:cstheme="majorBidi"/>
        </w:rPr>
        <w:t xml:space="preserve">; 4) juridiskās personas lielums, nodarbošanās veids un </w:t>
      </w:r>
      <w:r w:rsidR="00AE6024" w:rsidRPr="00D828D8">
        <w:rPr>
          <w:rFonts w:asciiTheme="majorBidi" w:hAnsiTheme="majorBidi" w:cstheme="majorBidi"/>
        </w:rPr>
        <w:t>zinām</w:t>
      </w:r>
      <w:r w:rsidR="00660D66" w:rsidRPr="00D828D8">
        <w:rPr>
          <w:rFonts w:asciiTheme="majorBidi" w:hAnsiTheme="majorBidi" w:cstheme="majorBidi"/>
        </w:rPr>
        <w:t>ais</w:t>
      </w:r>
      <w:r w:rsidR="00AE6024" w:rsidRPr="00D828D8">
        <w:rPr>
          <w:rFonts w:asciiTheme="majorBidi" w:hAnsiTheme="majorBidi" w:cstheme="majorBidi"/>
        </w:rPr>
        <w:t xml:space="preserve"> finansiāl</w:t>
      </w:r>
      <w:r w:rsidR="00660D66" w:rsidRPr="00D828D8">
        <w:rPr>
          <w:rFonts w:asciiTheme="majorBidi" w:hAnsiTheme="majorBidi" w:cstheme="majorBidi"/>
        </w:rPr>
        <w:t>ais</w:t>
      </w:r>
      <w:r w:rsidR="00AE6024" w:rsidRPr="00D828D8">
        <w:rPr>
          <w:rFonts w:asciiTheme="majorBidi" w:hAnsiTheme="majorBidi" w:cstheme="majorBidi"/>
        </w:rPr>
        <w:t xml:space="preserve"> stāvokli</w:t>
      </w:r>
      <w:r w:rsidR="00660D66" w:rsidRPr="00D828D8">
        <w:rPr>
          <w:rFonts w:asciiTheme="majorBidi" w:hAnsiTheme="majorBidi" w:cstheme="majorBidi"/>
        </w:rPr>
        <w:t>s. Turklāt</w:t>
      </w:r>
      <w:r w:rsidR="00F01021" w:rsidRPr="00D828D8">
        <w:rPr>
          <w:rFonts w:asciiTheme="majorBidi" w:hAnsiTheme="majorBidi" w:cstheme="majorBidi"/>
        </w:rPr>
        <w:t xml:space="preserve"> norādīts, ka</w:t>
      </w:r>
      <w:r w:rsidR="003E226B" w:rsidRPr="00D828D8">
        <w:rPr>
          <w:rFonts w:asciiTheme="majorBidi" w:hAnsiTheme="majorBidi" w:cstheme="majorBidi"/>
        </w:rPr>
        <w:t>, ņemot vērā noziedzīgā nodarījuma izdarīšanas apstākļus,</w:t>
      </w:r>
      <w:r w:rsidR="00660D66" w:rsidRPr="00D828D8">
        <w:rPr>
          <w:rFonts w:asciiTheme="majorBidi" w:hAnsiTheme="majorBidi" w:cstheme="majorBidi"/>
        </w:rPr>
        <w:t xml:space="preserve"> juridiskā persona</w:t>
      </w:r>
      <w:r w:rsidR="003E226B" w:rsidRPr="00D828D8">
        <w:rPr>
          <w:rFonts w:asciiTheme="majorBidi" w:hAnsiTheme="majorBidi" w:cstheme="majorBidi"/>
        </w:rPr>
        <w:t xml:space="preserve"> nevarēja veikt pasākumus, lai novērstu noziedzīgā nodarījuma izdarīšanu.</w:t>
      </w:r>
    </w:p>
    <w:p w14:paraId="30DFE30E" w14:textId="19901044" w:rsidR="003E226B" w:rsidRPr="00D828D8" w:rsidRDefault="003E226B" w:rsidP="001E2BC2">
      <w:pPr>
        <w:spacing w:line="276" w:lineRule="auto"/>
        <w:ind w:firstLine="720"/>
        <w:rPr>
          <w:rFonts w:asciiTheme="majorBidi" w:hAnsiTheme="majorBidi" w:cstheme="majorBidi"/>
        </w:rPr>
      </w:pPr>
      <w:r w:rsidRPr="00D828D8">
        <w:rPr>
          <w:szCs w:val="24"/>
        </w:rPr>
        <w:t xml:space="preserve">Tiesa nav </w:t>
      </w:r>
      <w:r w:rsidR="001E2BC2" w:rsidRPr="00D828D8">
        <w:rPr>
          <w:szCs w:val="24"/>
        </w:rPr>
        <w:t>iz</w:t>
      </w:r>
      <w:r w:rsidRPr="00D828D8">
        <w:rPr>
          <w:szCs w:val="24"/>
        </w:rPr>
        <w:t>vērtējusi iespēju piemērot Kriminālprocesa likuma 455. panta trešo daļu un grozīt 2022. gada 29</w:t>
      </w:r>
      <w:r w:rsidR="00926512" w:rsidRPr="00D828D8">
        <w:rPr>
          <w:szCs w:val="24"/>
        </w:rPr>
        <w:t>.</w:t>
      </w:r>
      <w:r w:rsidR="00996A1E" w:rsidRPr="00D828D8">
        <w:rPr>
          <w:szCs w:val="24"/>
        </w:rPr>
        <w:t> </w:t>
      </w:r>
      <w:r w:rsidRPr="00D828D8">
        <w:rPr>
          <w:szCs w:val="24"/>
        </w:rPr>
        <w:t>marta lēmumu par procesa piespiedu ietekmēšanas līdzekļa piemērošanas juridiska</w:t>
      </w:r>
      <w:r w:rsidR="00E13DB6" w:rsidRPr="00D828D8">
        <w:rPr>
          <w:szCs w:val="24"/>
        </w:rPr>
        <w:t>jai</w:t>
      </w:r>
      <w:r w:rsidRPr="00D828D8">
        <w:rPr>
          <w:szCs w:val="24"/>
        </w:rPr>
        <w:t xml:space="preserve"> personai uzsākšanu, nepasliktinot SIA </w:t>
      </w:r>
      <w:r w:rsidR="003C00CD" w:rsidRPr="00D828D8">
        <w:rPr>
          <w:szCs w:val="24"/>
        </w:rPr>
        <w:t>„</w:t>
      </w:r>
      <w:r w:rsidR="00115880">
        <w:rPr>
          <w:szCs w:val="24"/>
        </w:rPr>
        <w:t>[Nosaukums]</w:t>
      </w:r>
      <w:r w:rsidRPr="00D828D8">
        <w:rPr>
          <w:szCs w:val="24"/>
        </w:rPr>
        <w:t>” stāvokli un nepārkāpjot tās tiesības uz aizstāvību.</w:t>
      </w:r>
    </w:p>
    <w:p w14:paraId="4CFCBBC2" w14:textId="77777777" w:rsidR="001C6AFA" w:rsidRPr="00D828D8" w:rsidRDefault="001C6AFA" w:rsidP="001E2BC2">
      <w:pPr>
        <w:spacing w:line="276" w:lineRule="auto"/>
        <w:ind w:firstLine="720"/>
      </w:pPr>
    </w:p>
    <w:p w14:paraId="1C4314A3" w14:textId="0B78C3F8" w:rsidR="00890B7A" w:rsidRPr="00D828D8" w:rsidRDefault="00890B7A" w:rsidP="001E2BC2">
      <w:pPr>
        <w:autoSpaceDE w:val="0"/>
        <w:autoSpaceDN w:val="0"/>
        <w:adjustRightInd w:val="0"/>
        <w:spacing w:line="276" w:lineRule="auto"/>
        <w:ind w:firstLine="720"/>
        <w:rPr>
          <w:rFonts w:asciiTheme="majorBidi" w:hAnsiTheme="majorBidi" w:cstheme="majorBidi"/>
          <w:szCs w:val="24"/>
        </w:rPr>
      </w:pPr>
      <w:r w:rsidRPr="00D828D8">
        <w:rPr>
          <w:rFonts w:asciiTheme="majorBidi" w:hAnsiTheme="majorBidi" w:cstheme="majorBidi"/>
          <w:kern w:val="0"/>
        </w:rPr>
        <w:lastRenderedPageBreak/>
        <w:t>[6] </w:t>
      </w:r>
      <w:r w:rsidRPr="00D828D8">
        <w:rPr>
          <w:rFonts w:asciiTheme="majorBidi" w:hAnsiTheme="majorBidi" w:cstheme="majorBidi"/>
        </w:rPr>
        <w:t xml:space="preserve">Par Kurzemes apgabaltiesas 2024. gada 29. janvāra spriedumu </w:t>
      </w:r>
      <w:r w:rsidRPr="00D828D8">
        <w:t>aps</w:t>
      </w:r>
      <w:r w:rsidR="00BB1297" w:rsidRPr="00D828D8">
        <w:t>ū</w:t>
      </w:r>
      <w:r w:rsidRPr="00D828D8">
        <w:t xml:space="preserve">dzētās </w:t>
      </w:r>
      <w:r w:rsidR="00115880">
        <w:t>[pers. A]</w:t>
      </w:r>
      <w:r w:rsidRPr="00D828D8">
        <w:t xml:space="preserve"> aizstāvis A. </w:t>
      </w:r>
      <w:proofErr w:type="spellStart"/>
      <w:r w:rsidRPr="00D828D8">
        <w:t>Orehovs</w:t>
      </w:r>
      <w:proofErr w:type="spellEnd"/>
      <w:r w:rsidRPr="00D828D8">
        <w:rPr>
          <w:rFonts w:asciiTheme="majorBidi" w:hAnsiTheme="majorBidi" w:cstheme="majorBidi"/>
        </w:rPr>
        <w:t xml:space="preserve"> </w:t>
      </w:r>
      <w:r w:rsidRPr="00D828D8">
        <w:rPr>
          <w:rFonts w:asciiTheme="majorBidi" w:hAnsiTheme="majorBidi" w:cstheme="majorBidi"/>
          <w:color w:val="000000"/>
        </w:rPr>
        <w:t>iesniedzis kasācijas sūdzību</w:t>
      </w:r>
      <w:r w:rsidRPr="00D828D8">
        <w:rPr>
          <w:rFonts w:asciiTheme="majorBidi" w:hAnsiTheme="majorBidi" w:cstheme="majorBidi"/>
        </w:rPr>
        <w:t>, kurā lūdz atcelt</w:t>
      </w:r>
      <w:r w:rsidR="00996A1E" w:rsidRPr="00D828D8">
        <w:rPr>
          <w:rFonts w:asciiTheme="majorBidi" w:hAnsiTheme="majorBidi" w:cstheme="majorBidi"/>
        </w:rPr>
        <w:t xml:space="preserve"> </w:t>
      </w:r>
      <w:r w:rsidRPr="00D828D8">
        <w:rPr>
          <w:rFonts w:asciiTheme="majorBidi" w:hAnsiTheme="majorBidi" w:cstheme="majorBidi"/>
        </w:rPr>
        <w:t xml:space="preserve">spriedumu daļā par </w:t>
      </w:r>
      <w:r w:rsidR="00115880">
        <w:t>[pers. A]</w:t>
      </w:r>
      <w:r w:rsidRPr="00D828D8">
        <w:rPr>
          <w:rFonts w:asciiTheme="majorBidi" w:hAnsiTheme="majorBidi" w:cstheme="majorBidi"/>
        </w:rPr>
        <w:t xml:space="preserve"> atzīšanu par vainīgu </w:t>
      </w:r>
      <w:r w:rsidR="00BB1297" w:rsidRPr="00D828D8">
        <w:rPr>
          <w:rFonts w:asciiTheme="majorBidi" w:hAnsiTheme="majorBidi" w:cstheme="majorBidi"/>
        </w:rPr>
        <w:t xml:space="preserve">un </w:t>
      </w:r>
      <w:r w:rsidRPr="00D828D8">
        <w:t xml:space="preserve">sodīšanu </w:t>
      </w:r>
      <w:r w:rsidRPr="00D828D8">
        <w:rPr>
          <w:rFonts w:asciiTheme="majorBidi" w:hAnsiTheme="majorBidi" w:cstheme="majorBidi"/>
        </w:rPr>
        <w:t xml:space="preserve">un šajā daļā </w:t>
      </w:r>
      <w:r w:rsidR="006D5F9A" w:rsidRPr="00D828D8">
        <w:rPr>
          <w:rFonts w:asciiTheme="majorBidi" w:hAnsiTheme="majorBidi" w:cstheme="majorBidi"/>
        </w:rPr>
        <w:t xml:space="preserve">lietu nosūtīt </w:t>
      </w:r>
      <w:r w:rsidRPr="00D828D8">
        <w:rPr>
          <w:rFonts w:asciiTheme="majorBidi" w:hAnsiTheme="majorBidi" w:cstheme="majorBidi"/>
        </w:rPr>
        <w:t xml:space="preserve">jaunai izskatīšanai apelācijas instances </w:t>
      </w:r>
      <w:r w:rsidRPr="00D828D8">
        <w:rPr>
          <w:rFonts w:asciiTheme="majorBidi" w:hAnsiTheme="majorBidi" w:cstheme="majorBidi"/>
          <w:szCs w:val="24"/>
        </w:rPr>
        <w:t>tiesā.</w:t>
      </w:r>
    </w:p>
    <w:p w14:paraId="764EEF1D" w14:textId="77777777" w:rsidR="00AC2D67" w:rsidRPr="00D828D8" w:rsidRDefault="00890B7A"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t>Kasācijas sūdzībā izteiktais lūgums pamatots ar šādiem argumentiem.</w:t>
      </w:r>
    </w:p>
    <w:p w14:paraId="255D135F" w14:textId="0546F0F6" w:rsidR="00205BAC" w:rsidRPr="00D828D8" w:rsidRDefault="00AC2D67"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t>[6.1] Apelācijas instances tiesa nepamatoti konstatējusi Krimināllikuma 195.</w:t>
      </w:r>
      <w:r w:rsidRPr="00D828D8">
        <w:rPr>
          <w:rFonts w:asciiTheme="majorBidi" w:hAnsiTheme="majorBidi" w:cstheme="majorBidi"/>
          <w:szCs w:val="24"/>
          <w:vertAlign w:val="superscript"/>
        </w:rPr>
        <w:t>1</w:t>
      </w:r>
      <w:r w:rsidRPr="00D828D8">
        <w:rPr>
          <w:rFonts w:asciiTheme="majorBidi" w:hAnsiTheme="majorBidi" w:cstheme="majorBidi"/>
          <w:szCs w:val="24"/>
        </w:rPr>
        <w:t xml:space="preserve"> panta pirmajā daļā paredzētā noziedzīgā nodarījuma </w:t>
      </w:r>
      <w:r w:rsidR="00926512" w:rsidRPr="00D828D8">
        <w:rPr>
          <w:rFonts w:asciiTheme="majorBidi" w:hAnsiTheme="majorBidi" w:cstheme="majorBidi"/>
          <w:szCs w:val="24"/>
        </w:rPr>
        <w:t xml:space="preserve">sastāva </w:t>
      </w:r>
      <w:r w:rsidRPr="00D828D8">
        <w:rPr>
          <w:rFonts w:asciiTheme="majorBidi" w:hAnsiTheme="majorBidi" w:cstheme="majorBidi"/>
          <w:szCs w:val="24"/>
        </w:rPr>
        <w:t>objektu un objektīvo pusi.</w:t>
      </w:r>
    </w:p>
    <w:p w14:paraId="1DA1839C" w14:textId="46351C2A" w:rsidR="00BB1297" w:rsidRPr="00D828D8" w:rsidRDefault="00BB1297"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t xml:space="preserve">Apelācijas instances tiesa nav norādījusi, kāds konkrēts apdraudējums ir radīts vai varēja tikt radīts tautsaimniecības interesēm finanšu – kredīta sfērā, apsūdzētajai </w:t>
      </w:r>
      <w:r w:rsidR="003505A3">
        <w:t>[pers. A]</w:t>
      </w:r>
      <w:r w:rsidRPr="00D828D8">
        <w:rPr>
          <w:rFonts w:asciiTheme="majorBidi" w:hAnsiTheme="majorBidi" w:cstheme="majorBidi"/>
          <w:szCs w:val="24"/>
        </w:rPr>
        <w:t xml:space="preserve"> izdarot Krimināllikuma 195.</w:t>
      </w:r>
      <w:r w:rsidRPr="00D828D8">
        <w:rPr>
          <w:rFonts w:asciiTheme="majorBidi" w:hAnsiTheme="majorBidi" w:cstheme="majorBidi"/>
          <w:szCs w:val="24"/>
          <w:vertAlign w:val="superscript"/>
        </w:rPr>
        <w:t>1</w:t>
      </w:r>
      <w:r w:rsidRPr="00D828D8">
        <w:rPr>
          <w:rFonts w:asciiTheme="majorBidi" w:hAnsiTheme="majorBidi" w:cstheme="majorBidi"/>
          <w:szCs w:val="24"/>
        </w:rPr>
        <w:t> panta pirmajā daļā paredzēto noziedzīgo nodarījumu</w:t>
      </w:r>
      <w:r w:rsidR="00D90D22" w:rsidRPr="00D828D8">
        <w:rPr>
          <w:rFonts w:asciiTheme="majorBidi" w:hAnsiTheme="majorBidi" w:cstheme="majorBidi"/>
          <w:szCs w:val="24"/>
        </w:rPr>
        <w:t xml:space="preserve">. Tiesa </w:t>
      </w:r>
      <w:r w:rsidR="00750554" w:rsidRPr="00D828D8">
        <w:rPr>
          <w:rFonts w:asciiTheme="majorBidi" w:hAnsiTheme="majorBidi" w:cstheme="majorBidi"/>
          <w:szCs w:val="24"/>
        </w:rPr>
        <w:t xml:space="preserve">nav analizējusi </w:t>
      </w:r>
      <w:r w:rsidR="00D90D22" w:rsidRPr="00D828D8">
        <w:rPr>
          <w:rFonts w:asciiTheme="majorBidi" w:hAnsiTheme="majorBidi" w:cstheme="majorBidi"/>
          <w:szCs w:val="24"/>
        </w:rPr>
        <w:t xml:space="preserve">izdarītā noziedzīgā nodarījuma </w:t>
      </w:r>
      <w:r w:rsidRPr="00D828D8">
        <w:rPr>
          <w:rFonts w:asciiTheme="majorBidi" w:hAnsiTheme="majorBidi" w:cstheme="majorBidi"/>
          <w:szCs w:val="24"/>
        </w:rPr>
        <w:t>kaitīgumu</w:t>
      </w:r>
      <w:r w:rsidR="00CA79D5" w:rsidRPr="00D828D8">
        <w:rPr>
          <w:rFonts w:asciiTheme="majorBidi" w:hAnsiTheme="majorBidi" w:cstheme="majorBidi"/>
          <w:szCs w:val="24"/>
        </w:rPr>
        <w:t>, kas ir noziedzīgā nodarījuma</w:t>
      </w:r>
      <w:r w:rsidR="00926512" w:rsidRPr="00D828D8">
        <w:rPr>
          <w:rFonts w:asciiTheme="majorBidi" w:hAnsiTheme="majorBidi" w:cstheme="majorBidi"/>
          <w:szCs w:val="24"/>
        </w:rPr>
        <w:t xml:space="preserve"> sastāva</w:t>
      </w:r>
      <w:r w:rsidR="00CA79D5" w:rsidRPr="00D828D8">
        <w:rPr>
          <w:rFonts w:asciiTheme="majorBidi" w:hAnsiTheme="majorBidi" w:cstheme="majorBidi"/>
          <w:szCs w:val="24"/>
        </w:rPr>
        <w:t xml:space="preserve"> svarīgākā objektīvās puses pazīme</w:t>
      </w:r>
      <w:r w:rsidR="00696936" w:rsidRPr="00D828D8">
        <w:rPr>
          <w:rFonts w:asciiTheme="majorBidi" w:hAnsiTheme="majorBidi" w:cstheme="majorBidi"/>
          <w:szCs w:val="24"/>
        </w:rPr>
        <w:t>. Tādējādi tiesa</w:t>
      </w:r>
      <w:r w:rsidR="00750554" w:rsidRPr="00D828D8">
        <w:rPr>
          <w:rFonts w:asciiTheme="majorBidi" w:hAnsiTheme="majorBidi" w:cstheme="majorBidi"/>
          <w:szCs w:val="24"/>
        </w:rPr>
        <w:t xml:space="preserve"> </w:t>
      </w:r>
      <w:r w:rsidR="007A5338" w:rsidRPr="00D828D8">
        <w:rPr>
          <w:rFonts w:asciiTheme="majorBidi" w:hAnsiTheme="majorBidi" w:cstheme="majorBidi"/>
          <w:szCs w:val="24"/>
        </w:rPr>
        <w:t xml:space="preserve">pieļāvusi </w:t>
      </w:r>
      <w:r w:rsidR="00750554" w:rsidRPr="00D828D8">
        <w:rPr>
          <w:rFonts w:asciiTheme="majorBidi" w:hAnsiTheme="majorBidi" w:cstheme="majorBidi"/>
          <w:szCs w:val="24"/>
        </w:rPr>
        <w:t xml:space="preserve">Kriminālprocesa likuma 124. panta </w:t>
      </w:r>
      <w:r w:rsidR="007A5338" w:rsidRPr="00D828D8">
        <w:rPr>
          <w:rFonts w:asciiTheme="majorBidi" w:hAnsiTheme="majorBidi" w:cstheme="majorBidi"/>
          <w:szCs w:val="24"/>
        </w:rPr>
        <w:t xml:space="preserve">pirmās </w:t>
      </w:r>
      <w:r w:rsidR="00750554" w:rsidRPr="00D828D8">
        <w:rPr>
          <w:rFonts w:asciiTheme="majorBidi" w:hAnsiTheme="majorBidi" w:cstheme="majorBidi"/>
          <w:szCs w:val="24"/>
        </w:rPr>
        <w:t xml:space="preserve">un </w:t>
      </w:r>
      <w:r w:rsidR="007A5338" w:rsidRPr="00D828D8">
        <w:rPr>
          <w:rFonts w:asciiTheme="majorBidi" w:hAnsiTheme="majorBidi" w:cstheme="majorBidi"/>
          <w:szCs w:val="24"/>
        </w:rPr>
        <w:t>otrās daļas</w:t>
      </w:r>
      <w:r w:rsidR="00750554" w:rsidRPr="00D828D8">
        <w:rPr>
          <w:rFonts w:asciiTheme="majorBidi" w:hAnsiTheme="majorBidi" w:cstheme="majorBidi"/>
          <w:szCs w:val="24"/>
        </w:rPr>
        <w:t xml:space="preserve">, 511. panta </w:t>
      </w:r>
      <w:r w:rsidR="007A5338" w:rsidRPr="00D828D8">
        <w:rPr>
          <w:rFonts w:asciiTheme="majorBidi" w:hAnsiTheme="majorBidi" w:cstheme="majorBidi"/>
          <w:szCs w:val="24"/>
        </w:rPr>
        <w:t>otrās daļas</w:t>
      </w:r>
      <w:r w:rsidR="00750554" w:rsidRPr="00D828D8">
        <w:rPr>
          <w:rFonts w:asciiTheme="majorBidi" w:hAnsiTheme="majorBidi" w:cstheme="majorBidi"/>
          <w:szCs w:val="24"/>
        </w:rPr>
        <w:t>, 527. </w:t>
      </w:r>
      <w:r w:rsidR="007A5338" w:rsidRPr="00D828D8">
        <w:rPr>
          <w:rFonts w:asciiTheme="majorBidi" w:hAnsiTheme="majorBidi" w:cstheme="majorBidi"/>
          <w:szCs w:val="24"/>
        </w:rPr>
        <w:t xml:space="preserve">panta </w:t>
      </w:r>
      <w:r w:rsidR="00750554" w:rsidRPr="00D828D8">
        <w:rPr>
          <w:rFonts w:asciiTheme="majorBidi" w:hAnsiTheme="majorBidi" w:cstheme="majorBidi"/>
          <w:szCs w:val="24"/>
        </w:rPr>
        <w:t>un 564. panta astot</w:t>
      </w:r>
      <w:r w:rsidR="007A5338" w:rsidRPr="00D828D8">
        <w:rPr>
          <w:rFonts w:asciiTheme="majorBidi" w:hAnsiTheme="majorBidi" w:cstheme="majorBidi"/>
          <w:szCs w:val="24"/>
        </w:rPr>
        <w:t>ās</w:t>
      </w:r>
      <w:r w:rsidR="00750554" w:rsidRPr="00D828D8">
        <w:rPr>
          <w:rFonts w:asciiTheme="majorBidi" w:hAnsiTheme="majorBidi" w:cstheme="majorBidi"/>
          <w:szCs w:val="24"/>
        </w:rPr>
        <w:t xml:space="preserve"> </w:t>
      </w:r>
      <w:r w:rsidR="007A5338" w:rsidRPr="00D828D8">
        <w:rPr>
          <w:rFonts w:asciiTheme="majorBidi" w:hAnsiTheme="majorBidi" w:cstheme="majorBidi"/>
          <w:szCs w:val="24"/>
        </w:rPr>
        <w:t>daļas pārkāpumus</w:t>
      </w:r>
      <w:r w:rsidR="00696936" w:rsidRPr="00D828D8">
        <w:rPr>
          <w:rFonts w:asciiTheme="majorBidi" w:hAnsiTheme="majorBidi" w:cstheme="majorBidi"/>
          <w:szCs w:val="24"/>
        </w:rPr>
        <w:t xml:space="preserve">, kas </w:t>
      </w:r>
      <w:r w:rsidR="002E0484" w:rsidRPr="00D828D8">
        <w:rPr>
          <w:rFonts w:asciiTheme="majorBidi" w:hAnsiTheme="majorBidi" w:cstheme="majorBidi"/>
          <w:szCs w:val="24"/>
        </w:rPr>
        <w:t>atzīstami par Kriminālprocesa likuma būtiskiem pārkāpumiem šī likuma 575.</w:t>
      </w:r>
      <w:r w:rsidR="006D5F9A">
        <w:rPr>
          <w:rFonts w:asciiTheme="majorBidi" w:hAnsiTheme="majorBidi" w:cstheme="majorBidi"/>
          <w:szCs w:val="24"/>
        </w:rPr>
        <w:t> </w:t>
      </w:r>
      <w:r w:rsidR="002E0484" w:rsidRPr="00D828D8">
        <w:rPr>
          <w:rFonts w:asciiTheme="majorBidi" w:hAnsiTheme="majorBidi" w:cstheme="majorBidi"/>
          <w:szCs w:val="24"/>
        </w:rPr>
        <w:t>panta trešās daļas izpratnē.</w:t>
      </w:r>
    </w:p>
    <w:p w14:paraId="484D264D" w14:textId="1ADC9B73" w:rsidR="00AC2D67" w:rsidRPr="00D828D8" w:rsidRDefault="00AC2D67"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t>[6.2] Apelācijas instances tiesa</w:t>
      </w:r>
      <w:r w:rsidR="000A530A" w:rsidRPr="00D828D8">
        <w:rPr>
          <w:rFonts w:asciiTheme="majorBidi" w:hAnsiTheme="majorBidi" w:cstheme="majorBidi"/>
          <w:szCs w:val="24"/>
        </w:rPr>
        <w:t xml:space="preserve"> nav izvērtējusi </w:t>
      </w:r>
      <w:r w:rsidRPr="00D828D8">
        <w:rPr>
          <w:rFonts w:asciiTheme="majorBidi" w:hAnsiTheme="majorBidi" w:cstheme="majorBidi"/>
          <w:szCs w:val="24"/>
        </w:rPr>
        <w:t xml:space="preserve">lietā iegūto pierādījumu </w:t>
      </w:r>
      <w:proofErr w:type="spellStart"/>
      <w:r w:rsidRPr="00D828D8">
        <w:rPr>
          <w:rFonts w:asciiTheme="majorBidi" w:hAnsiTheme="majorBidi" w:cstheme="majorBidi"/>
          <w:szCs w:val="24"/>
        </w:rPr>
        <w:t>attiecināmīb</w:t>
      </w:r>
      <w:r w:rsidR="000A530A" w:rsidRPr="00D828D8">
        <w:rPr>
          <w:rFonts w:asciiTheme="majorBidi" w:hAnsiTheme="majorBidi" w:cstheme="majorBidi"/>
          <w:szCs w:val="24"/>
        </w:rPr>
        <w:t>u</w:t>
      </w:r>
      <w:proofErr w:type="spellEnd"/>
      <w:r w:rsidRPr="00D828D8">
        <w:rPr>
          <w:rFonts w:asciiTheme="majorBidi" w:hAnsiTheme="majorBidi" w:cstheme="majorBidi"/>
          <w:szCs w:val="24"/>
        </w:rPr>
        <w:t>, pieļaujamīb</w:t>
      </w:r>
      <w:r w:rsidR="000A530A" w:rsidRPr="00D828D8">
        <w:rPr>
          <w:rFonts w:asciiTheme="majorBidi" w:hAnsiTheme="majorBidi" w:cstheme="majorBidi"/>
          <w:szCs w:val="24"/>
        </w:rPr>
        <w:t>u</w:t>
      </w:r>
      <w:r w:rsidRPr="00D828D8">
        <w:rPr>
          <w:rFonts w:asciiTheme="majorBidi" w:hAnsiTheme="majorBidi" w:cstheme="majorBidi"/>
          <w:szCs w:val="24"/>
        </w:rPr>
        <w:t>, ticamīb</w:t>
      </w:r>
      <w:r w:rsidR="000A530A" w:rsidRPr="00D828D8">
        <w:rPr>
          <w:rFonts w:asciiTheme="majorBidi" w:hAnsiTheme="majorBidi" w:cstheme="majorBidi"/>
          <w:szCs w:val="24"/>
        </w:rPr>
        <w:t>u</w:t>
      </w:r>
      <w:r w:rsidRPr="00D828D8">
        <w:rPr>
          <w:rFonts w:asciiTheme="majorBidi" w:hAnsiTheme="majorBidi" w:cstheme="majorBidi"/>
          <w:szCs w:val="24"/>
        </w:rPr>
        <w:t xml:space="preserve"> un pietiekamīb</w:t>
      </w:r>
      <w:r w:rsidR="000A530A" w:rsidRPr="00D828D8">
        <w:rPr>
          <w:rFonts w:asciiTheme="majorBidi" w:hAnsiTheme="majorBidi" w:cstheme="majorBidi"/>
          <w:szCs w:val="24"/>
        </w:rPr>
        <w:t xml:space="preserve">u, </w:t>
      </w:r>
      <w:r w:rsidRPr="00D828D8">
        <w:rPr>
          <w:rFonts w:asciiTheme="majorBidi" w:hAnsiTheme="majorBidi" w:cstheme="majorBidi"/>
          <w:szCs w:val="24"/>
        </w:rPr>
        <w:t>kā arī</w:t>
      </w:r>
      <w:r w:rsidR="000A530A" w:rsidRPr="00D828D8">
        <w:rPr>
          <w:rFonts w:asciiTheme="majorBidi" w:hAnsiTheme="majorBidi" w:cstheme="majorBidi"/>
          <w:szCs w:val="24"/>
        </w:rPr>
        <w:t xml:space="preserve"> nav novērsusi</w:t>
      </w:r>
      <w:r w:rsidRPr="00D828D8">
        <w:rPr>
          <w:rFonts w:asciiTheme="majorBidi" w:hAnsiTheme="majorBidi" w:cstheme="majorBidi"/>
          <w:szCs w:val="24"/>
        </w:rPr>
        <w:t xml:space="preserve"> pretrun</w:t>
      </w:r>
      <w:r w:rsidR="000A530A" w:rsidRPr="00D828D8">
        <w:rPr>
          <w:rFonts w:asciiTheme="majorBidi" w:hAnsiTheme="majorBidi" w:cstheme="majorBidi"/>
          <w:szCs w:val="24"/>
        </w:rPr>
        <w:t>as</w:t>
      </w:r>
      <w:r w:rsidRPr="00D828D8">
        <w:rPr>
          <w:rFonts w:asciiTheme="majorBidi" w:hAnsiTheme="majorBidi" w:cstheme="majorBidi"/>
          <w:szCs w:val="24"/>
        </w:rPr>
        <w:t xml:space="preserve"> pierādījum</w:t>
      </w:r>
      <w:r w:rsidR="000A530A" w:rsidRPr="00D828D8">
        <w:rPr>
          <w:rFonts w:asciiTheme="majorBidi" w:hAnsiTheme="majorBidi" w:cstheme="majorBidi"/>
          <w:szCs w:val="24"/>
        </w:rPr>
        <w:t xml:space="preserve">os, </w:t>
      </w:r>
      <w:r w:rsidRPr="00D828D8">
        <w:rPr>
          <w:rFonts w:asciiTheme="majorBidi" w:hAnsiTheme="majorBidi" w:cstheme="majorBidi"/>
          <w:szCs w:val="24"/>
        </w:rPr>
        <w:t xml:space="preserve">nav noskaidrojusi šo pretrunu iemeslus un nav pamatojusi, kāpēc atsevišķus pierādījumus tā noraida. </w:t>
      </w:r>
      <w:r w:rsidR="000A530A" w:rsidRPr="00D828D8">
        <w:rPr>
          <w:rFonts w:asciiTheme="majorBidi" w:hAnsiTheme="majorBidi" w:cstheme="majorBidi"/>
          <w:szCs w:val="24"/>
        </w:rPr>
        <w:t>T</w:t>
      </w:r>
      <w:r w:rsidRPr="00D828D8">
        <w:rPr>
          <w:rFonts w:asciiTheme="majorBidi" w:hAnsiTheme="majorBidi" w:cstheme="majorBidi"/>
          <w:szCs w:val="24"/>
        </w:rPr>
        <w:t>iesa nav sniegusi atzinumus par visiem būtisk</w:t>
      </w:r>
      <w:r w:rsidR="000A530A" w:rsidRPr="00D828D8">
        <w:rPr>
          <w:rFonts w:asciiTheme="majorBidi" w:hAnsiTheme="majorBidi" w:cstheme="majorBidi"/>
          <w:szCs w:val="24"/>
        </w:rPr>
        <w:t>iem</w:t>
      </w:r>
      <w:r w:rsidRPr="00D828D8">
        <w:rPr>
          <w:rFonts w:asciiTheme="majorBidi" w:hAnsiTheme="majorBidi" w:cstheme="majorBidi"/>
          <w:szCs w:val="24"/>
        </w:rPr>
        <w:t xml:space="preserve"> apstākļiem, kuru </w:t>
      </w:r>
      <w:proofErr w:type="spellStart"/>
      <w:r w:rsidRPr="00D828D8">
        <w:rPr>
          <w:rFonts w:asciiTheme="majorBidi" w:hAnsiTheme="majorBidi" w:cstheme="majorBidi"/>
          <w:szCs w:val="24"/>
        </w:rPr>
        <w:t>izvērtējumam</w:t>
      </w:r>
      <w:proofErr w:type="spellEnd"/>
      <w:r w:rsidRPr="00D828D8">
        <w:rPr>
          <w:rFonts w:asciiTheme="majorBidi" w:hAnsiTheme="majorBidi" w:cstheme="majorBidi"/>
          <w:szCs w:val="24"/>
        </w:rPr>
        <w:t xml:space="preserve"> ir nozīme lietas taisnīgā izlemšanā</w:t>
      </w:r>
      <w:r w:rsidR="000A530A" w:rsidRPr="00D828D8">
        <w:rPr>
          <w:rFonts w:asciiTheme="majorBidi" w:hAnsiTheme="majorBidi" w:cstheme="majorBidi"/>
          <w:szCs w:val="24"/>
        </w:rPr>
        <w:t>. T</w:t>
      </w:r>
      <w:r w:rsidRPr="00D828D8">
        <w:rPr>
          <w:rFonts w:asciiTheme="majorBidi" w:hAnsiTheme="majorBidi" w:cstheme="majorBidi"/>
          <w:szCs w:val="24"/>
        </w:rPr>
        <w:t>iesas secinājum</w:t>
      </w:r>
      <w:r w:rsidR="000A530A" w:rsidRPr="00D828D8">
        <w:rPr>
          <w:rFonts w:asciiTheme="majorBidi" w:hAnsiTheme="majorBidi" w:cstheme="majorBidi"/>
          <w:szCs w:val="24"/>
        </w:rPr>
        <w:t>i</w:t>
      </w:r>
      <w:r w:rsidRPr="00D828D8">
        <w:rPr>
          <w:rFonts w:asciiTheme="majorBidi" w:hAnsiTheme="majorBidi" w:cstheme="majorBidi"/>
          <w:szCs w:val="24"/>
        </w:rPr>
        <w:t xml:space="preserve"> </w:t>
      </w:r>
      <w:r w:rsidR="000A530A" w:rsidRPr="00D828D8">
        <w:rPr>
          <w:rFonts w:asciiTheme="majorBidi" w:hAnsiTheme="majorBidi" w:cstheme="majorBidi"/>
          <w:szCs w:val="24"/>
        </w:rPr>
        <w:t xml:space="preserve">pamatoti ar </w:t>
      </w:r>
      <w:r w:rsidRPr="00D828D8">
        <w:rPr>
          <w:rFonts w:asciiTheme="majorBidi" w:hAnsiTheme="majorBidi" w:cstheme="majorBidi"/>
          <w:szCs w:val="24"/>
        </w:rPr>
        <w:t>subjektīv</w:t>
      </w:r>
      <w:r w:rsidR="000A530A" w:rsidRPr="00D828D8">
        <w:rPr>
          <w:rFonts w:asciiTheme="majorBidi" w:hAnsiTheme="majorBidi" w:cstheme="majorBidi"/>
          <w:szCs w:val="24"/>
        </w:rPr>
        <w:t>iem</w:t>
      </w:r>
      <w:r w:rsidRPr="00D828D8">
        <w:rPr>
          <w:rFonts w:asciiTheme="majorBidi" w:hAnsiTheme="majorBidi" w:cstheme="majorBidi"/>
          <w:szCs w:val="24"/>
        </w:rPr>
        <w:t xml:space="preserve"> pieņēmum</w:t>
      </w:r>
      <w:r w:rsidR="000A530A" w:rsidRPr="00D828D8">
        <w:rPr>
          <w:rFonts w:asciiTheme="majorBidi" w:hAnsiTheme="majorBidi" w:cstheme="majorBidi"/>
          <w:szCs w:val="24"/>
        </w:rPr>
        <w:t>iem</w:t>
      </w:r>
      <w:r w:rsidR="00A201AB" w:rsidRPr="00D828D8">
        <w:rPr>
          <w:rFonts w:asciiTheme="majorBidi" w:hAnsiTheme="majorBidi" w:cstheme="majorBidi"/>
          <w:szCs w:val="24"/>
        </w:rPr>
        <w:t>,</w:t>
      </w:r>
      <w:r w:rsidR="000A530A" w:rsidRPr="00D828D8">
        <w:rPr>
          <w:rFonts w:asciiTheme="majorBidi" w:hAnsiTheme="majorBidi" w:cstheme="majorBidi"/>
          <w:szCs w:val="24"/>
        </w:rPr>
        <w:t xml:space="preserve"> nevis </w:t>
      </w:r>
      <w:r w:rsidRPr="00D828D8">
        <w:rPr>
          <w:rFonts w:asciiTheme="majorBidi" w:hAnsiTheme="majorBidi" w:cstheme="majorBidi"/>
          <w:szCs w:val="24"/>
        </w:rPr>
        <w:t xml:space="preserve">lietā iegūtajiem pierādījumiem vai likumu. </w:t>
      </w:r>
    </w:p>
    <w:p w14:paraId="3730654A" w14:textId="1F8BC9D3" w:rsidR="007940B1" w:rsidRPr="00D828D8" w:rsidRDefault="0040368D"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t>[6.2.1] </w:t>
      </w:r>
      <w:r w:rsidR="002E0484" w:rsidRPr="00D828D8">
        <w:rPr>
          <w:rFonts w:asciiTheme="majorBidi" w:hAnsiTheme="majorBidi" w:cstheme="majorBidi"/>
          <w:szCs w:val="24"/>
        </w:rPr>
        <w:t xml:space="preserve">Tiesa ir selektīvi atreferējusi </w:t>
      </w:r>
      <w:r w:rsidR="003505A3">
        <w:rPr>
          <w:rFonts w:asciiTheme="majorBidi" w:hAnsiTheme="majorBidi" w:cstheme="majorBidi"/>
          <w:szCs w:val="24"/>
        </w:rPr>
        <w:t>[pers. B]</w:t>
      </w:r>
      <w:r w:rsidR="00F33271" w:rsidRPr="00D828D8">
        <w:rPr>
          <w:rFonts w:asciiTheme="majorBidi" w:hAnsiTheme="majorBidi" w:cstheme="majorBidi"/>
          <w:szCs w:val="24"/>
        </w:rPr>
        <w:t xml:space="preserve"> </w:t>
      </w:r>
      <w:r w:rsidR="002E0484" w:rsidRPr="00D828D8">
        <w:rPr>
          <w:rFonts w:asciiTheme="majorBidi" w:hAnsiTheme="majorBidi" w:cstheme="majorBidi"/>
          <w:szCs w:val="24"/>
        </w:rPr>
        <w:t xml:space="preserve">2021. gada 19. martā </w:t>
      </w:r>
      <w:r w:rsidR="00DE2380" w:rsidRPr="00D828D8">
        <w:rPr>
          <w:rFonts w:asciiTheme="majorBidi" w:hAnsiTheme="majorBidi" w:cstheme="majorBidi"/>
          <w:szCs w:val="24"/>
        </w:rPr>
        <w:t>i</w:t>
      </w:r>
      <w:r w:rsidR="002E0484" w:rsidRPr="00D828D8">
        <w:rPr>
          <w:rFonts w:asciiTheme="majorBidi" w:hAnsiTheme="majorBidi" w:cstheme="majorBidi"/>
          <w:szCs w:val="24"/>
        </w:rPr>
        <w:t xml:space="preserve">zdotās pilnvaras </w:t>
      </w:r>
      <w:r w:rsidR="00DE2380" w:rsidRPr="00D828D8">
        <w:rPr>
          <w:rFonts w:asciiTheme="majorBidi" w:hAnsiTheme="majorBidi" w:cstheme="majorBidi"/>
          <w:szCs w:val="24"/>
        </w:rPr>
        <w:t xml:space="preserve">saturu. Tiesa </w:t>
      </w:r>
      <w:r w:rsidR="009F0A66" w:rsidRPr="00D828D8">
        <w:rPr>
          <w:rFonts w:asciiTheme="majorBidi" w:hAnsiTheme="majorBidi" w:cstheme="majorBidi"/>
          <w:szCs w:val="24"/>
        </w:rPr>
        <w:t xml:space="preserve">secinājusi, ka pēc sava rakstura izsniegtā pilnvara ir </w:t>
      </w:r>
      <w:proofErr w:type="spellStart"/>
      <w:r w:rsidR="009F0A66" w:rsidRPr="00D828D8">
        <w:rPr>
          <w:rFonts w:asciiTheme="majorBidi" w:hAnsiTheme="majorBidi" w:cstheme="majorBidi"/>
          <w:szCs w:val="24"/>
        </w:rPr>
        <w:t>komercpilnvara</w:t>
      </w:r>
      <w:proofErr w:type="spellEnd"/>
      <w:r w:rsidR="009F0A66" w:rsidRPr="00D828D8">
        <w:rPr>
          <w:rFonts w:asciiTheme="majorBidi" w:hAnsiTheme="majorBidi" w:cstheme="majorBidi"/>
          <w:szCs w:val="24"/>
        </w:rPr>
        <w:t xml:space="preserve">, kas ierakstāma komercreģistrā, un </w:t>
      </w:r>
      <w:r w:rsidR="003505A3">
        <w:rPr>
          <w:rFonts w:asciiTheme="majorBidi" w:hAnsiTheme="majorBidi" w:cstheme="majorBidi"/>
          <w:szCs w:val="24"/>
        </w:rPr>
        <w:t>[pers. B]</w:t>
      </w:r>
      <w:r w:rsidR="009F0A66" w:rsidRPr="00D828D8">
        <w:rPr>
          <w:rFonts w:asciiTheme="majorBidi" w:hAnsiTheme="majorBidi" w:cstheme="majorBidi"/>
          <w:szCs w:val="24"/>
        </w:rPr>
        <w:t xml:space="preserve"> pilnvarojumā piešķirto tiesību apjoms ir atbilstošs uzņēmuma vadītāja tiesību apjomam un norāda, ka </w:t>
      </w:r>
      <w:r w:rsidR="003505A3">
        <w:t>[pers. B]</w:t>
      </w:r>
      <w:r w:rsidR="009F0A66" w:rsidRPr="00D828D8">
        <w:rPr>
          <w:rFonts w:asciiTheme="majorBidi" w:hAnsiTheme="majorBidi" w:cstheme="majorBidi"/>
          <w:szCs w:val="24"/>
        </w:rPr>
        <w:t xml:space="preserve"> realizēja faktisko sabiedrības vadību</w:t>
      </w:r>
      <w:r w:rsidR="001D5992" w:rsidRPr="00D828D8">
        <w:rPr>
          <w:rFonts w:asciiTheme="majorBidi" w:hAnsiTheme="majorBidi" w:cstheme="majorBidi"/>
          <w:szCs w:val="24"/>
        </w:rPr>
        <w:t xml:space="preserve">. Tiesa </w:t>
      </w:r>
      <w:r w:rsidR="00DE2380" w:rsidRPr="00D828D8">
        <w:rPr>
          <w:rFonts w:asciiTheme="majorBidi" w:hAnsiTheme="majorBidi" w:cstheme="majorBidi"/>
          <w:szCs w:val="24"/>
        </w:rPr>
        <w:t xml:space="preserve">nav ņēmusi vērā, ka ar minēto pilnvaru </w:t>
      </w:r>
      <w:r w:rsidR="003505A3">
        <w:t>[pers. B]</w:t>
      </w:r>
      <w:r w:rsidR="00DE2380" w:rsidRPr="00D828D8">
        <w:rPr>
          <w:rFonts w:asciiTheme="majorBidi" w:hAnsiTheme="majorBidi" w:cstheme="majorBidi"/>
          <w:szCs w:val="24"/>
        </w:rPr>
        <w:t xml:space="preserve"> tika pilnvarots iesniegt un saņemt no Iepirkumu uzraudzības biroja jebkādus dokumentus un ziņas par </w:t>
      </w:r>
      <w:r w:rsidR="001D5992" w:rsidRPr="00D828D8">
        <w:rPr>
          <w:rFonts w:asciiTheme="majorBidi" w:hAnsiTheme="majorBidi" w:cstheme="majorBidi"/>
          <w:szCs w:val="24"/>
        </w:rPr>
        <w:t>s</w:t>
      </w:r>
      <w:r w:rsidR="00DE2380" w:rsidRPr="00D828D8">
        <w:rPr>
          <w:rFonts w:asciiTheme="majorBidi" w:hAnsiTheme="majorBidi" w:cstheme="majorBidi"/>
          <w:szCs w:val="24"/>
        </w:rPr>
        <w:t xml:space="preserve">abiedrības dalību publiskajos iepirkumos, kā arī </w:t>
      </w:r>
      <w:r w:rsidR="001D5992" w:rsidRPr="00D828D8">
        <w:rPr>
          <w:rFonts w:asciiTheme="majorBidi" w:hAnsiTheme="majorBidi" w:cstheme="majorBidi"/>
          <w:szCs w:val="24"/>
        </w:rPr>
        <w:t>s</w:t>
      </w:r>
      <w:r w:rsidR="00DE2380" w:rsidRPr="00D828D8">
        <w:rPr>
          <w:rFonts w:asciiTheme="majorBidi" w:hAnsiTheme="majorBidi" w:cstheme="majorBidi"/>
          <w:szCs w:val="24"/>
        </w:rPr>
        <w:t xml:space="preserve">abiedrības vārdā iesniegt un saņemt iesniegumus, pieteikumus, paskaidrojumus attiecībās ar valsts pārvaldes iestādēm un trešajām personām visos jautājumos, kas saistīti ar </w:t>
      </w:r>
      <w:r w:rsidR="001D5992" w:rsidRPr="00D828D8">
        <w:rPr>
          <w:rFonts w:asciiTheme="majorBidi" w:hAnsiTheme="majorBidi" w:cstheme="majorBidi"/>
          <w:szCs w:val="24"/>
        </w:rPr>
        <w:t>s</w:t>
      </w:r>
      <w:r w:rsidR="00DE2380" w:rsidRPr="00D828D8">
        <w:rPr>
          <w:rFonts w:asciiTheme="majorBidi" w:hAnsiTheme="majorBidi" w:cstheme="majorBidi"/>
          <w:szCs w:val="24"/>
        </w:rPr>
        <w:t xml:space="preserve">abiedrības dalību publiskajos iepirkumos. </w:t>
      </w:r>
      <w:r w:rsidR="009F0A66" w:rsidRPr="00D828D8">
        <w:rPr>
          <w:rFonts w:asciiTheme="majorBidi" w:hAnsiTheme="majorBidi" w:cstheme="majorBidi"/>
          <w:szCs w:val="24"/>
        </w:rPr>
        <w:t xml:space="preserve">Kasācijas sūdzībā, atsaucoties uz juridiskajā literatūrā pausto par parastās </w:t>
      </w:r>
      <w:proofErr w:type="spellStart"/>
      <w:r w:rsidR="009F0A66" w:rsidRPr="00D828D8">
        <w:rPr>
          <w:rFonts w:asciiTheme="majorBidi" w:hAnsiTheme="majorBidi" w:cstheme="majorBidi"/>
          <w:szCs w:val="24"/>
        </w:rPr>
        <w:t>komercpilnvaras</w:t>
      </w:r>
      <w:proofErr w:type="spellEnd"/>
      <w:r w:rsidR="009F0A66" w:rsidRPr="00D828D8">
        <w:rPr>
          <w:rFonts w:asciiTheme="majorBidi" w:hAnsiTheme="majorBidi" w:cstheme="majorBidi"/>
          <w:szCs w:val="24"/>
        </w:rPr>
        <w:t xml:space="preserve"> saturu, norādīts, ka 2021. gada 19. martā izdotā pilnvara ir uzskatāma par parasto </w:t>
      </w:r>
      <w:proofErr w:type="spellStart"/>
      <w:r w:rsidR="009F0A66" w:rsidRPr="00D828D8">
        <w:rPr>
          <w:rFonts w:asciiTheme="majorBidi" w:hAnsiTheme="majorBidi" w:cstheme="majorBidi"/>
          <w:szCs w:val="24"/>
        </w:rPr>
        <w:t>komercpilnvaru</w:t>
      </w:r>
      <w:proofErr w:type="spellEnd"/>
      <w:r w:rsidR="009F0A66" w:rsidRPr="00D828D8">
        <w:rPr>
          <w:rFonts w:asciiTheme="majorBidi" w:hAnsiTheme="majorBidi" w:cstheme="majorBidi"/>
          <w:szCs w:val="24"/>
        </w:rPr>
        <w:t xml:space="preserve"> Komerclikuma 40. panta pirmās daļas izpratnē, kas pretēji apelācijas instances tiesas norādītajam nav ierakstāma komercreģistrā</w:t>
      </w:r>
      <w:r w:rsidR="00F33271" w:rsidRPr="00D828D8">
        <w:rPr>
          <w:rFonts w:asciiTheme="majorBidi" w:hAnsiTheme="majorBidi" w:cstheme="majorBidi"/>
          <w:szCs w:val="24"/>
        </w:rPr>
        <w:t xml:space="preserve"> vai reģistrējama Valsts ieņēmumu dienestā un </w:t>
      </w:r>
      <w:r w:rsidR="009F0A66" w:rsidRPr="00D828D8">
        <w:rPr>
          <w:rFonts w:asciiTheme="majorBidi" w:hAnsiTheme="majorBidi" w:cstheme="majorBidi"/>
          <w:szCs w:val="24"/>
        </w:rPr>
        <w:t>SIA „Lursoft IT” datu bāzē</w:t>
      </w:r>
      <w:r w:rsidR="00F33271" w:rsidRPr="00D828D8">
        <w:rPr>
          <w:rFonts w:asciiTheme="majorBidi" w:hAnsiTheme="majorBidi" w:cstheme="majorBidi"/>
          <w:szCs w:val="24"/>
        </w:rPr>
        <w:t>.</w:t>
      </w:r>
      <w:r w:rsidR="001E2BC2" w:rsidRPr="00D828D8">
        <w:rPr>
          <w:rFonts w:asciiTheme="majorBidi" w:hAnsiTheme="majorBidi" w:cstheme="majorBidi"/>
          <w:szCs w:val="24"/>
        </w:rPr>
        <w:t xml:space="preserve"> </w:t>
      </w:r>
      <w:r w:rsidR="00F33271" w:rsidRPr="00D828D8">
        <w:rPr>
          <w:rFonts w:asciiTheme="majorBidi" w:hAnsiTheme="majorBidi" w:cstheme="majorBidi"/>
          <w:szCs w:val="24"/>
        </w:rPr>
        <w:t>P</w:t>
      </w:r>
      <w:r w:rsidR="009F0A66" w:rsidRPr="00D828D8">
        <w:rPr>
          <w:rFonts w:asciiTheme="majorBidi" w:hAnsiTheme="majorBidi" w:cstheme="majorBidi"/>
          <w:szCs w:val="24"/>
        </w:rPr>
        <w:t xml:space="preserve">ilnvarojumam </w:t>
      </w:r>
      <w:r w:rsidR="002C3232" w:rsidRPr="00D828D8">
        <w:rPr>
          <w:rFonts w:asciiTheme="majorBidi" w:hAnsiTheme="majorBidi" w:cstheme="majorBidi"/>
          <w:szCs w:val="24"/>
        </w:rPr>
        <w:t>ir</w:t>
      </w:r>
      <w:r w:rsidR="009F0A66" w:rsidRPr="00D828D8">
        <w:rPr>
          <w:rFonts w:asciiTheme="majorBidi" w:hAnsiTheme="majorBidi" w:cstheme="majorBidi"/>
          <w:szCs w:val="24"/>
        </w:rPr>
        <w:t xml:space="preserve"> </w:t>
      </w:r>
      <w:r w:rsidR="007940B1" w:rsidRPr="00D828D8">
        <w:rPr>
          <w:rFonts w:asciiTheme="majorBidi" w:hAnsiTheme="majorBidi" w:cstheme="majorBidi"/>
          <w:szCs w:val="24"/>
        </w:rPr>
        <w:t xml:space="preserve">vairāki likumiskie ierobežojumi, kurus tiesa nav vērtējusi. </w:t>
      </w:r>
    </w:p>
    <w:p w14:paraId="3DB9D646" w14:textId="1EFE5C15" w:rsidR="002E0484" w:rsidRPr="00D828D8" w:rsidRDefault="007940B1"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t>Tiesa nepamatoti secinājusi, ka pilnvara</w:t>
      </w:r>
      <w:r w:rsidR="002C3232" w:rsidRPr="00D828D8">
        <w:rPr>
          <w:rFonts w:asciiTheme="majorBidi" w:hAnsiTheme="majorBidi" w:cstheme="majorBidi"/>
          <w:szCs w:val="24"/>
        </w:rPr>
        <w:t>:</w:t>
      </w:r>
      <w:r w:rsidRPr="00D828D8">
        <w:rPr>
          <w:rFonts w:asciiTheme="majorBidi" w:hAnsiTheme="majorBidi" w:cstheme="majorBidi"/>
          <w:szCs w:val="24"/>
        </w:rPr>
        <w:t xml:space="preserve"> </w:t>
      </w:r>
      <w:r w:rsidR="0040368D" w:rsidRPr="00D828D8">
        <w:rPr>
          <w:rFonts w:asciiTheme="majorBidi" w:hAnsiTheme="majorBidi" w:cstheme="majorBidi"/>
          <w:szCs w:val="24"/>
        </w:rPr>
        <w:t>1) </w:t>
      </w:r>
      <w:r w:rsidRPr="00D828D8">
        <w:rPr>
          <w:rFonts w:asciiTheme="majorBidi" w:hAnsiTheme="majorBidi" w:cstheme="majorBidi"/>
          <w:szCs w:val="24"/>
        </w:rPr>
        <w:t xml:space="preserve">piešķīra </w:t>
      </w:r>
      <w:r w:rsidR="003505A3">
        <w:t>[pers. B]</w:t>
      </w:r>
      <w:r w:rsidRPr="00D828D8">
        <w:rPr>
          <w:rFonts w:asciiTheme="majorBidi" w:hAnsiTheme="majorBidi" w:cstheme="majorBidi"/>
          <w:szCs w:val="24"/>
        </w:rPr>
        <w:t xml:space="preserve"> tādas pašas tiesības kā </w:t>
      </w:r>
      <w:r w:rsidR="0040368D" w:rsidRPr="00D828D8">
        <w:rPr>
          <w:rFonts w:asciiTheme="majorBidi" w:hAnsiTheme="majorBidi" w:cstheme="majorBidi"/>
          <w:szCs w:val="24"/>
        </w:rPr>
        <w:t xml:space="preserve">uzņēmuma </w:t>
      </w:r>
      <w:r w:rsidRPr="00D828D8">
        <w:rPr>
          <w:rFonts w:asciiTheme="majorBidi" w:hAnsiTheme="majorBidi" w:cstheme="majorBidi"/>
          <w:szCs w:val="24"/>
        </w:rPr>
        <w:t>valdes loceklim un dalībniekam</w:t>
      </w:r>
      <w:r w:rsidR="0040368D" w:rsidRPr="00D828D8">
        <w:rPr>
          <w:rFonts w:asciiTheme="majorBidi" w:hAnsiTheme="majorBidi" w:cstheme="majorBidi"/>
          <w:szCs w:val="24"/>
        </w:rPr>
        <w:t>; 2) norāda uz vēlmi slēpt to, kurš īsteno patieso uzņēmuma vadību un ir patiesā labuma guvējs</w:t>
      </w:r>
      <w:r w:rsidRPr="00D828D8">
        <w:rPr>
          <w:rFonts w:asciiTheme="majorBidi" w:hAnsiTheme="majorBidi" w:cstheme="majorBidi"/>
          <w:szCs w:val="24"/>
        </w:rPr>
        <w:t>. Kasācijas sūdzības iesniedzējs, izklāstot Komerclikuma 221. panta astot</w:t>
      </w:r>
      <w:r w:rsidR="00AA36A4" w:rsidRPr="00D828D8">
        <w:rPr>
          <w:rFonts w:asciiTheme="majorBidi" w:hAnsiTheme="majorBidi" w:cstheme="majorBidi"/>
          <w:szCs w:val="24"/>
        </w:rPr>
        <w:t>aj</w:t>
      </w:r>
      <w:r w:rsidRPr="00D828D8">
        <w:rPr>
          <w:rFonts w:asciiTheme="majorBidi" w:hAnsiTheme="majorBidi" w:cstheme="majorBidi"/>
          <w:szCs w:val="24"/>
        </w:rPr>
        <w:t>ā daļ</w:t>
      </w:r>
      <w:r w:rsidR="00AA36A4" w:rsidRPr="00D828D8">
        <w:rPr>
          <w:rFonts w:asciiTheme="majorBidi" w:hAnsiTheme="majorBidi" w:cstheme="majorBidi"/>
          <w:szCs w:val="24"/>
        </w:rPr>
        <w:t>ā</w:t>
      </w:r>
      <w:r w:rsidRPr="00D828D8">
        <w:rPr>
          <w:rFonts w:asciiTheme="majorBidi" w:hAnsiTheme="majorBidi" w:cstheme="majorBidi"/>
          <w:szCs w:val="24"/>
        </w:rPr>
        <w:t xml:space="preserve"> un 223. panta pirmajā daļā noteikto, norādījis, ka</w:t>
      </w:r>
      <w:r w:rsidR="002C3232" w:rsidRPr="00D828D8">
        <w:rPr>
          <w:rFonts w:asciiTheme="majorBidi" w:hAnsiTheme="majorBidi" w:cstheme="majorBidi"/>
          <w:szCs w:val="24"/>
        </w:rPr>
        <w:t>,</w:t>
      </w:r>
      <w:r w:rsidR="00AA36A4" w:rsidRPr="00D828D8">
        <w:rPr>
          <w:rFonts w:asciiTheme="majorBidi" w:hAnsiTheme="majorBidi" w:cstheme="majorBidi"/>
          <w:szCs w:val="24"/>
        </w:rPr>
        <w:t xml:space="preserve"> atšķirībā no valdes locekļa</w:t>
      </w:r>
      <w:r w:rsidR="002C3232" w:rsidRPr="00D828D8">
        <w:rPr>
          <w:rFonts w:asciiTheme="majorBidi" w:hAnsiTheme="majorBidi" w:cstheme="majorBidi"/>
          <w:szCs w:val="24"/>
        </w:rPr>
        <w:t>,</w:t>
      </w:r>
      <w:r w:rsidR="00AA36A4" w:rsidRPr="00D828D8">
        <w:rPr>
          <w:rFonts w:asciiTheme="majorBidi" w:hAnsiTheme="majorBidi" w:cstheme="majorBidi"/>
          <w:szCs w:val="24"/>
        </w:rPr>
        <w:t xml:space="preserve"> </w:t>
      </w:r>
      <w:r w:rsidR="003505A3">
        <w:t>[pers. B]</w:t>
      </w:r>
      <w:r w:rsidR="00AA36A4" w:rsidRPr="00D828D8">
        <w:rPr>
          <w:rFonts w:asciiTheme="majorBidi" w:hAnsiTheme="majorBidi" w:cstheme="majorBidi"/>
          <w:szCs w:val="24"/>
        </w:rPr>
        <w:t xml:space="preserve"> </w:t>
      </w:r>
      <w:r w:rsidRPr="00D828D8">
        <w:rPr>
          <w:rFonts w:asciiTheme="majorBidi" w:hAnsiTheme="majorBidi" w:cstheme="majorBidi"/>
          <w:szCs w:val="24"/>
        </w:rPr>
        <w:t xml:space="preserve">ar 2021. gada 19. marta pilnvaru </w:t>
      </w:r>
      <w:r w:rsidR="00AA36A4" w:rsidRPr="00D828D8">
        <w:rPr>
          <w:rFonts w:asciiTheme="majorBidi" w:hAnsiTheme="majorBidi" w:cstheme="majorBidi"/>
          <w:szCs w:val="24"/>
        </w:rPr>
        <w:t xml:space="preserve">nebija noteikta atlīdzība. </w:t>
      </w:r>
      <w:r w:rsidR="003505A3">
        <w:t>[pers. B]</w:t>
      </w:r>
      <w:r w:rsidR="00AA36A4" w:rsidRPr="00D828D8">
        <w:rPr>
          <w:rFonts w:asciiTheme="majorBidi" w:hAnsiTheme="majorBidi" w:cstheme="majorBidi"/>
          <w:szCs w:val="24"/>
        </w:rPr>
        <w:t xml:space="preserve"> saņēma darba algu </w:t>
      </w:r>
      <w:r w:rsidR="002C3232" w:rsidRPr="00D828D8">
        <w:rPr>
          <w:rFonts w:asciiTheme="majorBidi" w:hAnsiTheme="majorBidi" w:cstheme="majorBidi"/>
          <w:szCs w:val="24"/>
        </w:rPr>
        <w:t>saskaņā ar</w:t>
      </w:r>
      <w:r w:rsidR="00AA36A4" w:rsidRPr="00D828D8">
        <w:rPr>
          <w:rFonts w:asciiTheme="majorBidi" w:hAnsiTheme="majorBidi" w:cstheme="majorBidi"/>
          <w:szCs w:val="24"/>
        </w:rPr>
        <w:t xml:space="preserve"> 2021. gada 26. aprīļa darba līgum</w:t>
      </w:r>
      <w:r w:rsidR="002C3232" w:rsidRPr="00D828D8">
        <w:rPr>
          <w:rFonts w:asciiTheme="majorBidi" w:hAnsiTheme="majorBidi" w:cstheme="majorBidi"/>
          <w:szCs w:val="24"/>
        </w:rPr>
        <w:t xml:space="preserve">u. </w:t>
      </w:r>
      <w:r w:rsidR="00AA36A4" w:rsidRPr="00D828D8">
        <w:rPr>
          <w:rFonts w:asciiTheme="majorBidi" w:hAnsiTheme="majorBidi" w:cstheme="majorBidi"/>
          <w:szCs w:val="24"/>
        </w:rPr>
        <w:t xml:space="preserve">Turklāt ar minēto pilnvaru </w:t>
      </w:r>
      <w:r w:rsidR="003505A3">
        <w:t>[pers. B]</w:t>
      </w:r>
      <w:r w:rsidR="00AA36A4" w:rsidRPr="00D828D8">
        <w:rPr>
          <w:rFonts w:asciiTheme="majorBidi" w:hAnsiTheme="majorBidi" w:cstheme="majorBidi"/>
          <w:szCs w:val="24"/>
        </w:rPr>
        <w:t xml:space="preserve"> netika piešķirtas tiesības lemt par dalībnieku kompetencē ietilpstošajiem jautājumiem, kas noteikti Komerclikuma 210. panta pirmajā daļā. </w:t>
      </w:r>
    </w:p>
    <w:p w14:paraId="39BC1D6D" w14:textId="0F30F7BB" w:rsidR="00AA375A" w:rsidRPr="00D828D8" w:rsidRDefault="0040368D"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lastRenderedPageBreak/>
        <w:t xml:space="preserve">[6.2.2] Tiesas secinājums, ka </w:t>
      </w:r>
      <w:r w:rsidR="00293D57" w:rsidRPr="00D828D8">
        <w:rPr>
          <w:rFonts w:asciiTheme="majorBidi" w:hAnsiTheme="majorBidi" w:cstheme="majorBidi"/>
          <w:szCs w:val="24"/>
        </w:rPr>
        <w:t>SIA „</w:t>
      </w:r>
      <w:r w:rsidR="00B23728">
        <w:rPr>
          <w:rFonts w:asciiTheme="majorBidi" w:hAnsiTheme="majorBidi" w:cstheme="majorBidi"/>
          <w:szCs w:val="24"/>
        </w:rPr>
        <w:t>[Nosaukums]</w:t>
      </w:r>
      <w:r w:rsidR="00293D57" w:rsidRPr="00D828D8">
        <w:rPr>
          <w:rFonts w:asciiTheme="majorBidi" w:hAnsiTheme="majorBidi" w:cstheme="majorBidi"/>
          <w:szCs w:val="24"/>
        </w:rPr>
        <w:t xml:space="preserve">” </w:t>
      </w:r>
      <w:r w:rsidRPr="00D828D8">
        <w:rPr>
          <w:rFonts w:asciiTheme="majorBidi" w:hAnsiTheme="majorBidi" w:cstheme="majorBidi"/>
          <w:szCs w:val="24"/>
        </w:rPr>
        <w:t xml:space="preserve">nevarētu piedalīties apsūdzībā norādītajos publiskajos iepirkumos, </w:t>
      </w:r>
      <w:r w:rsidR="00293D57" w:rsidRPr="00D828D8">
        <w:rPr>
          <w:rFonts w:asciiTheme="majorBidi" w:hAnsiTheme="majorBidi" w:cstheme="majorBidi"/>
          <w:szCs w:val="24"/>
        </w:rPr>
        <w:t xml:space="preserve">ja </w:t>
      </w:r>
      <w:r w:rsidR="00B23728">
        <w:t>[pers. B]</w:t>
      </w:r>
      <w:r w:rsidR="00293D57" w:rsidRPr="00D828D8">
        <w:rPr>
          <w:rFonts w:asciiTheme="majorBidi" w:hAnsiTheme="majorBidi" w:cstheme="majorBidi"/>
          <w:szCs w:val="24"/>
        </w:rPr>
        <w:t xml:space="preserve"> būtu šīs sabiedrības dalībnieks, </w:t>
      </w:r>
      <w:r w:rsidRPr="00D828D8">
        <w:rPr>
          <w:rFonts w:asciiTheme="majorBidi" w:hAnsiTheme="majorBidi" w:cstheme="majorBidi"/>
          <w:szCs w:val="24"/>
        </w:rPr>
        <w:t>nav pamatots ar pierādījumiem un likuma normu.</w:t>
      </w:r>
      <w:r w:rsidR="00AA375A" w:rsidRPr="00D828D8">
        <w:rPr>
          <w:rFonts w:asciiTheme="majorBidi" w:hAnsiTheme="majorBidi" w:cstheme="majorBidi"/>
          <w:szCs w:val="24"/>
        </w:rPr>
        <w:t xml:space="preserve"> </w:t>
      </w:r>
    </w:p>
    <w:p w14:paraId="142671A1" w14:textId="21EDDAA7" w:rsidR="00AA36A4" w:rsidRPr="00D828D8" w:rsidRDefault="00AA375A"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t xml:space="preserve">Tiesa nav ņēmusi vērā </w:t>
      </w:r>
      <w:proofErr w:type="spellStart"/>
      <w:r w:rsidRPr="00D828D8">
        <w:rPr>
          <w:rFonts w:asciiTheme="majorBidi" w:hAnsiTheme="majorBidi" w:cstheme="majorBidi"/>
          <w:szCs w:val="24"/>
        </w:rPr>
        <w:t>Iekšlietu</w:t>
      </w:r>
      <w:proofErr w:type="spellEnd"/>
      <w:r w:rsidRPr="00D828D8">
        <w:rPr>
          <w:rFonts w:asciiTheme="majorBidi" w:hAnsiTheme="majorBidi" w:cstheme="majorBidi"/>
          <w:szCs w:val="24"/>
        </w:rPr>
        <w:t xml:space="preserve"> ministrijas Dienesta pārbaudes komisijas 2021. gada 16. jūlija atzinumā Nr. 1</w:t>
      </w:r>
      <w:r w:rsidRPr="00D828D8">
        <w:rPr>
          <w:rFonts w:asciiTheme="majorBidi" w:hAnsiTheme="majorBidi" w:cstheme="majorBidi"/>
          <w:szCs w:val="24"/>
        </w:rPr>
        <w:noBreakHyphen/>
        <w:t>50/305 norādīto, ka</w:t>
      </w:r>
      <w:r w:rsidR="001E2BC2" w:rsidRPr="00D828D8">
        <w:rPr>
          <w:rFonts w:asciiTheme="majorBidi" w:hAnsiTheme="majorBidi" w:cstheme="majorBidi"/>
          <w:szCs w:val="24"/>
        </w:rPr>
        <w:t>:</w:t>
      </w:r>
      <w:r w:rsidRPr="00D828D8">
        <w:rPr>
          <w:rFonts w:asciiTheme="majorBidi" w:hAnsiTheme="majorBidi" w:cstheme="majorBidi"/>
          <w:szCs w:val="24"/>
        </w:rPr>
        <w:t xml:space="preserve"> 1) </w:t>
      </w:r>
      <w:r w:rsidR="00F1119F">
        <w:rPr>
          <w:rFonts w:asciiTheme="majorBidi" w:hAnsiTheme="majorBidi" w:cstheme="majorBidi"/>
          <w:szCs w:val="24"/>
        </w:rPr>
        <w:t>[pers. C]</w:t>
      </w:r>
      <w:r w:rsidRPr="00D828D8">
        <w:rPr>
          <w:rFonts w:asciiTheme="majorBidi" w:hAnsiTheme="majorBidi" w:cstheme="majorBidi"/>
          <w:szCs w:val="24"/>
        </w:rPr>
        <w:t xml:space="preserve"> un </w:t>
      </w:r>
      <w:r w:rsidR="00F1119F">
        <w:rPr>
          <w:rFonts w:asciiTheme="majorBidi" w:hAnsiTheme="majorBidi" w:cstheme="majorBidi"/>
          <w:szCs w:val="24"/>
        </w:rPr>
        <w:t>[pers. B]</w:t>
      </w:r>
      <w:r w:rsidRPr="00D828D8">
        <w:rPr>
          <w:rFonts w:asciiTheme="majorBidi" w:hAnsiTheme="majorBidi" w:cstheme="majorBidi"/>
          <w:szCs w:val="24"/>
        </w:rPr>
        <w:t xml:space="preserve"> radniecības fakts pats par sevi neliecina par valsts amatpersonas atrašanos interešu konflikt</w:t>
      </w:r>
      <w:r w:rsidR="00F33271" w:rsidRPr="00D828D8">
        <w:rPr>
          <w:rFonts w:asciiTheme="majorBidi" w:hAnsiTheme="majorBidi" w:cstheme="majorBidi"/>
          <w:szCs w:val="24"/>
        </w:rPr>
        <w:t>ā</w:t>
      </w:r>
      <w:r w:rsidRPr="00D828D8">
        <w:rPr>
          <w:rFonts w:asciiTheme="majorBidi" w:hAnsiTheme="majorBidi" w:cstheme="majorBidi"/>
          <w:szCs w:val="24"/>
        </w:rPr>
        <w:t>; 2) </w:t>
      </w:r>
      <w:r w:rsidR="00293D57" w:rsidRPr="00D828D8">
        <w:rPr>
          <w:rFonts w:asciiTheme="majorBidi" w:hAnsiTheme="majorBidi" w:cstheme="majorBidi"/>
          <w:szCs w:val="24"/>
        </w:rPr>
        <w:t xml:space="preserve">dienesta pārbaudes komisija, </w:t>
      </w:r>
      <w:r w:rsidRPr="00D828D8">
        <w:rPr>
          <w:rFonts w:asciiTheme="majorBidi" w:hAnsiTheme="majorBidi" w:cstheme="majorBidi"/>
          <w:szCs w:val="24"/>
        </w:rPr>
        <w:t xml:space="preserve">pārbaudot iepirkuma procedūru materiālus, </w:t>
      </w:r>
      <w:r w:rsidR="00BD4087" w:rsidRPr="00D828D8">
        <w:rPr>
          <w:rFonts w:asciiTheme="majorBidi" w:hAnsiTheme="majorBidi" w:cstheme="majorBidi"/>
          <w:szCs w:val="24"/>
        </w:rPr>
        <w:t>secinājusi</w:t>
      </w:r>
      <w:r w:rsidRPr="00D828D8">
        <w:rPr>
          <w:rFonts w:asciiTheme="majorBidi" w:hAnsiTheme="majorBidi" w:cstheme="majorBidi"/>
          <w:szCs w:val="24"/>
        </w:rPr>
        <w:t xml:space="preserve">, ka </w:t>
      </w:r>
      <w:r w:rsidR="00F1119F">
        <w:rPr>
          <w:rFonts w:asciiTheme="majorBidi" w:hAnsiTheme="majorBidi" w:cstheme="majorBidi"/>
          <w:szCs w:val="24"/>
        </w:rPr>
        <w:t>[pers. C]</w:t>
      </w:r>
      <w:r w:rsidRPr="00D828D8">
        <w:rPr>
          <w:rFonts w:asciiTheme="majorBidi" w:hAnsiTheme="majorBidi" w:cstheme="majorBidi"/>
          <w:szCs w:val="24"/>
        </w:rPr>
        <w:t xml:space="preserve"> </w:t>
      </w:r>
      <w:r w:rsidR="00BD4087" w:rsidRPr="00D828D8">
        <w:rPr>
          <w:rFonts w:asciiTheme="majorBidi" w:hAnsiTheme="majorBidi" w:cstheme="majorBidi"/>
          <w:szCs w:val="24"/>
        </w:rPr>
        <w:t>nav pārkāpusi</w:t>
      </w:r>
      <w:r w:rsidRPr="00D828D8">
        <w:rPr>
          <w:rFonts w:asciiTheme="majorBidi" w:hAnsiTheme="majorBidi" w:cstheme="majorBidi"/>
          <w:szCs w:val="24"/>
        </w:rPr>
        <w:t xml:space="preserve"> likuma „Par interešu konflikta novēršanu valsts amatpersonu darbībā” 11.</w:t>
      </w:r>
      <w:r w:rsidR="00D90D22" w:rsidRPr="00D828D8">
        <w:rPr>
          <w:rFonts w:asciiTheme="majorBidi" w:hAnsiTheme="majorBidi" w:cstheme="majorBidi"/>
          <w:szCs w:val="24"/>
        </w:rPr>
        <w:t> </w:t>
      </w:r>
      <w:r w:rsidRPr="00D828D8">
        <w:rPr>
          <w:rFonts w:asciiTheme="majorBidi" w:hAnsiTheme="majorBidi" w:cstheme="majorBidi"/>
          <w:szCs w:val="24"/>
        </w:rPr>
        <w:t xml:space="preserve">panta pirmajā daļā </w:t>
      </w:r>
      <w:r w:rsidR="00BD4087" w:rsidRPr="00D828D8">
        <w:rPr>
          <w:rFonts w:asciiTheme="majorBidi" w:hAnsiTheme="majorBidi" w:cstheme="majorBidi"/>
          <w:szCs w:val="24"/>
        </w:rPr>
        <w:t>noteikto</w:t>
      </w:r>
      <w:r w:rsidRPr="00D828D8">
        <w:rPr>
          <w:rFonts w:asciiTheme="majorBidi" w:hAnsiTheme="majorBidi" w:cstheme="majorBidi"/>
          <w:szCs w:val="24"/>
        </w:rPr>
        <w:t>.</w:t>
      </w:r>
    </w:p>
    <w:p w14:paraId="2AFBBE98" w14:textId="232F3FA5" w:rsidR="00AA375A" w:rsidRPr="00D828D8" w:rsidRDefault="00AA375A"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t xml:space="preserve">[6.2.3] Tiesa nepamatoti secinājusi, ka </w:t>
      </w:r>
      <w:r w:rsidR="00F1119F">
        <w:rPr>
          <w:rFonts w:asciiTheme="majorBidi" w:hAnsiTheme="majorBidi" w:cstheme="majorBidi"/>
          <w:szCs w:val="24"/>
        </w:rPr>
        <w:t>[pers. A]</w:t>
      </w:r>
      <w:r w:rsidRPr="00D828D8">
        <w:rPr>
          <w:rFonts w:asciiTheme="majorBidi" w:hAnsiTheme="majorBidi" w:cstheme="majorBidi"/>
          <w:szCs w:val="24"/>
        </w:rPr>
        <w:t xml:space="preserve"> apzinājās, ka </w:t>
      </w:r>
      <w:r w:rsidR="00BD4087" w:rsidRPr="00D828D8">
        <w:rPr>
          <w:rFonts w:asciiTheme="majorBidi" w:hAnsiTheme="majorBidi" w:cstheme="majorBidi"/>
          <w:szCs w:val="24"/>
        </w:rPr>
        <w:t xml:space="preserve">tieši </w:t>
      </w:r>
      <w:r w:rsidR="00F1119F">
        <w:rPr>
          <w:rFonts w:asciiTheme="majorBidi" w:hAnsiTheme="majorBidi" w:cstheme="majorBidi"/>
          <w:szCs w:val="24"/>
        </w:rPr>
        <w:t>[pers. B]</w:t>
      </w:r>
      <w:r w:rsidR="009D6AB8" w:rsidRPr="00D828D8">
        <w:rPr>
          <w:rFonts w:asciiTheme="majorBidi" w:hAnsiTheme="majorBidi" w:cstheme="majorBidi"/>
          <w:szCs w:val="24"/>
        </w:rPr>
        <w:t xml:space="preserve"> ir</w:t>
      </w:r>
      <w:r w:rsidR="00BD4087" w:rsidRPr="00D828D8">
        <w:rPr>
          <w:rFonts w:asciiTheme="majorBidi" w:hAnsiTheme="majorBidi" w:cstheme="majorBidi"/>
          <w:szCs w:val="24"/>
        </w:rPr>
        <w:t xml:space="preserve"> realizējis </w:t>
      </w:r>
      <w:r w:rsidRPr="00D828D8">
        <w:rPr>
          <w:rFonts w:asciiTheme="majorBidi" w:hAnsiTheme="majorBidi" w:cstheme="majorBidi"/>
          <w:szCs w:val="24"/>
        </w:rPr>
        <w:t xml:space="preserve">uzņēmuma vadību, piesaistot klientus, ņemot aktīvu dalību iepirkumos, veicot sarunas ar </w:t>
      </w:r>
      <w:r w:rsidR="00E13DB6" w:rsidRPr="00D828D8">
        <w:rPr>
          <w:rFonts w:asciiTheme="majorBidi" w:hAnsiTheme="majorBidi" w:cstheme="majorBidi"/>
          <w:szCs w:val="24"/>
        </w:rPr>
        <w:t>p</w:t>
      </w:r>
      <w:r w:rsidRPr="00D828D8">
        <w:rPr>
          <w:rFonts w:asciiTheme="majorBidi" w:hAnsiTheme="majorBidi" w:cstheme="majorBidi"/>
          <w:szCs w:val="24"/>
        </w:rPr>
        <w:t>iegādātājiem, meklējot finanšu līdzekļus</w:t>
      </w:r>
      <w:r w:rsidR="00B541AC" w:rsidRPr="00D828D8">
        <w:rPr>
          <w:rFonts w:asciiTheme="majorBidi" w:hAnsiTheme="majorBidi" w:cstheme="majorBidi"/>
          <w:szCs w:val="24"/>
        </w:rPr>
        <w:t>. Tiesa ar pierādījumiem</w:t>
      </w:r>
      <w:r w:rsidR="002C3232" w:rsidRPr="00D828D8">
        <w:rPr>
          <w:rFonts w:asciiTheme="majorBidi" w:hAnsiTheme="majorBidi" w:cstheme="majorBidi"/>
          <w:szCs w:val="24"/>
        </w:rPr>
        <w:t xml:space="preserve"> nav pamatojusi secinājumu</w:t>
      </w:r>
      <w:r w:rsidR="00B541AC" w:rsidRPr="00D828D8">
        <w:rPr>
          <w:rFonts w:asciiTheme="majorBidi" w:hAnsiTheme="majorBidi" w:cstheme="majorBidi"/>
          <w:szCs w:val="24"/>
        </w:rPr>
        <w:t>, ka pēc SIA „</w:t>
      </w:r>
      <w:r w:rsidR="00F1119F">
        <w:rPr>
          <w:rFonts w:asciiTheme="majorBidi" w:hAnsiTheme="majorBidi" w:cstheme="majorBidi"/>
          <w:szCs w:val="24"/>
        </w:rPr>
        <w:t>[Nosaukums]</w:t>
      </w:r>
      <w:r w:rsidR="00B541AC" w:rsidRPr="00D828D8">
        <w:rPr>
          <w:rFonts w:asciiTheme="majorBidi" w:hAnsiTheme="majorBidi" w:cstheme="majorBidi"/>
          <w:szCs w:val="24"/>
        </w:rPr>
        <w:t xml:space="preserve">” pārdošanas </w:t>
      </w:r>
      <w:r w:rsidR="00F1119F">
        <w:rPr>
          <w:rFonts w:asciiTheme="majorBidi" w:hAnsiTheme="majorBidi" w:cstheme="majorBidi"/>
          <w:szCs w:val="24"/>
        </w:rPr>
        <w:t>[pers. B]</w:t>
      </w:r>
      <w:r w:rsidR="00B541AC" w:rsidRPr="00D828D8">
        <w:rPr>
          <w:rFonts w:asciiTheme="majorBidi" w:hAnsiTheme="majorBidi" w:cstheme="majorBidi"/>
          <w:szCs w:val="24"/>
        </w:rPr>
        <w:t xml:space="preserve"> </w:t>
      </w:r>
      <w:r w:rsidR="00BD4087" w:rsidRPr="00D828D8">
        <w:rPr>
          <w:rFonts w:asciiTheme="majorBidi" w:hAnsiTheme="majorBidi" w:cstheme="majorBidi"/>
          <w:szCs w:val="24"/>
        </w:rPr>
        <w:t xml:space="preserve">ir </w:t>
      </w:r>
      <w:r w:rsidR="00B541AC" w:rsidRPr="00D828D8">
        <w:rPr>
          <w:rFonts w:asciiTheme="majorBidi" w:hAnsiTheme="majorBidi" w:cstheme="majorBidi"/>
          <w:szCs w:val="24"/>
        </w:rPr>
        <w:t xml:space="preserve">piesaistījis klientus, un nav ņēmusi vērā, ka </w:t>
      </w:r>
      <w:r w:rsidR="00F1119F">
        <w:rPr>
          <w:rFonts w:asciiTheme="majorBidi" w:hAnsiTheme="majorBidi" w:cstheme="majorBidi"/>
          <w:szCs w:val="24"/>
        </w:rPr>
        <w:t>[pers. B]</w:t>
      </w:r>
      <w:r w:rsidR="00B541AC" w:rsidRPr="00D828D8">
        <w:rPr>
          <w:rFonts w:asciiTheme="majorBidi" w:hAnsiTheme="majorBidi" w:cstheme="majorBidi"/>
          <w:szCs w:val="24"/>
        </w:rPr>
        <w:t xml:space="preserve"> aktīva dalība iepirkumos </w:t>
      </w:r>
      <w:r w:rsidR="00BD4087" w:rsidRPr="00D828D8">
        <w:rPr>
          <w:rFonts w:asciiTheme="majorBidi" w:hAnsiTheme="majorBidi" w:cstheme="majorBidi"/>
          <w:szCs w:val="24"/>
        </w:rPr>
        <w:t xml:space="preserve">bija </w:t>
      </w:r>
      <w:r w:rsidR="00B541AC" w:rsidRPr="00D828D8">
        <w:rPr>
          <w:rFonts w:asciiTheme="majorBidi" w:hAnsiTheme="majorBidi" w:cstheme="majorBidi"/>
          <w:szCs w:val="24"/>
        </w:rPr>
        <w:t>viņa darba līgumā noteiktais amata pienākums. Tiesa</w:t>
      </w:r>
      <w:r w:rsidR="00235EF8" w:rsidRPr="00D828D8">
        <w:rPr>
          <w:rFonts w:asciiTheme="majorBidi" w:hAnsiTheme="majorBidi" w:cstheme="majorBidi"/>
          <w:szCs w:val="24"/>
        </w:rPr>
        <w:t xml:space="preserve"> secinājusi,</w:t>
      </w:r>
      <w:r w:rsidR="00B541AC" w:rsidRPr="00D828D8">
        <w:rPr>
          <w:rFonts w:asciiTheme="majorBidi" w:hAnsiTheme="majorBidi" w:cstheme="majorBidi"/>
          <w:szCs w:val="24"/>
        </w:rPr>
        <w:t xml:space="preserve"> ka pēc SIA „</w:t>
      </w:r>
      <w:r w:rsidR="00F1119F">
        <w:rPr>
          <w:rFonts w:asciiTheme="majorBidi" w:hAnsiTheme="majorBidi" w:cstheme="majorBidi"/>
          <w:szCs w:val="24"/>
        </w:rPr>
        <w:t>[Nosaukums]</w:t>
      </w:r>
      <w:r w:rsidR="00B541AC" w:rsidRPr="00D828D8">
        <w:rPr>
          <w:rFonts w:asciiTheme="majorBidi" w:hAnsiTheme="majorBidi" w:cstheme="majorBidi"/>
          <w:szCs w:val="24"/>
        </w:rPr>
        <w:t xml:space="preserve">” pārdošanas </w:t>
      </w:r>
      <w:r w:rsidR="00F1119F">
        <w:rPr>
          <w:rFonts w:asciiTheme="majorBidi" w:hAnsiTheme="majorBidi" w:cstheme="majorBidi"/>
          <w:szCs w:val="24"/>
        </w:rPr>
        <w:t>[pers. B]</w:t>
      </w:r>
      <w:r w:rsidR="00D90D22" w:rsidRPr="00D828D8">
        <w:rPr>
          <w:rFonts w:asciiTheme="majorBidi" w:hAnsiTheme="majorBidi" w:cstheme="majorBidi"/>
          <w:szCs w:val="24"/>
        </w:rPr>
        <w:t xml:space="preserve"> </w:t>
      </w:r>
      <w:r w:rsidR="00B541AC" w:rsidRPr="00D828D8">
        <w:rPr>
          <w:rFonts w:asciiTheme="majorBidi" w:hAnsiTheme="majorBidi" w:cstheme="majorBidi"/>
          <w:szCs w:val="24"/>
        </w:rPr>
        <w:t xml:space="preserve">meklējis </w:t>
      </w:r>
      <w:r w:rsidR="00BA7B71" w:rsidRPr="00D828D8">
        <w:rPr>
          <w:rFonts w:asciiTheme="majorBidi" w:hAnsiTheme="majorBidi" w:cstheme="majorBidi"/>
          <w:szCs w:val="24"/>
        </w:rPr>
        <w:t xml:space="preserve">un piesaistījis </w:t>
      </w:r>
      <w:r w:rsidR="00B541AC" w:rsidRPr="00D828D8">
        <w:rPr>
          <w:rFonts w:asciiTheme="majorBidi" w:hAnsiTheme="majorBidi" w:cstheme="majorBidi"/>
          <w:szCs w:val="24"/>
        </w:rPr>
        <w:t>finanšu līdzekļus</w:t>
      </w:r>
      <w:r w:rsidR="00BA7B71" w:rsidRPr="00D828D8">
        <w:rPr>
          <w:rFonts w:asciiTheme="majorBidi" w:hAnsiTheme="majorBidi" w:cstheme="majorBidi"/>
          <w:szCs w:val="24"/>
        </w:rPr>
        <w:t xml:space="preserve"> uzņēmumam</w:t>
      </w:r>
      <w:r w:rsidR="00B541AC" w:rsidRPr="00D828D8">
        <w:rPr>
          <w:rFonts w:asciiTheme="majorBidi" w:hAnsiTheme="majorBidi" w:cstheme="majorBidi"/>
          <w:szCs w:val="24"/>
        </w:rPr>
        <w:t xml:space="preserve">, </w:t>
      </w:r>
      <w:r w:rsidR="00235EF8" w:rsidRPr="00D828D8">
        <w:rPr>
          <w:rFonts w:asciiTheme="majorBidi" w:hAnsiTheme="majorBidi" w:cstheme="majorBidi"/>
          <w:szCs w:val="24"/>
        </w:rPr>
        <w:t xml:space="preserve">bet </w:t>
      </w:r>
      <w:r w:rsidR="00B541AC" w:rsidRPr="00D828D8">
        <w:rPr>
          <w:rFonts w:asciiTheme="majorBidi" w:hAnsiTheme="majorBidi" w:cstheme="majorBidi"/>
          <w:szCs w:val="24"/>
        </w:rPr>
        <w:t xml:space="preserve">nav izvērtējusi </w:t>
      </w:r>
      <w:r w:rsidR="00F1119F">
        <w:rPr>
          <w:rFonts w:asciiTheme="majorBidi" w:hAnsiTheme="majorBidi" w:cstheme="majorBidi"/>
          <w:szCs w:val="24"/>
        </w:rPr>
        <w:t>[pers. B]</w:t>
      </w:r>
      <w:r w:rsidR="00BA7B71" w:rsidRPr="00D828D8">
        <w:rPr>
          <w:rFonts w:asciiTheme="majorBidi" w:hAnsiTheme="majorBidi" w:cstheme="majorBidi"/>
          <w:szCs w:val="24"/>
        </w:rPr>
        <w:t xml:space="preserve"> liecībās norādīto par </w:t>
      </w:r>
      <w:r w:rsidR="00B541AC" w:rsidRPr="00D828D8">
        <w:rPr>
          <w:rFonts w:asciiTheme="majorBidi" w:hAnsiTheme="majorBidi" w:cstheme="majorBidi"/>
          <w:szCs w:val="24"/>
        </w:rPr>
        <w:t>šādas rīcības iemesl</w:t>
      </w:r>
      <w:r w:rsidR="00BA7B71" w:rsidRPr="00D828D8">
        <w:rPr>
          <w:rFonts w:asciiTheme="majorBidi" w:hAnsiTheme="majorBidi" w:cstheme="majorBidi"/>
          <w:szCs w:val="24"/>
        </w:rPr>
        <w:t xml:space="preserve">iem, </w:t>
      </w:r>
      <w:r w:rsidR="00B541AC" w:rsidRPr="00D828D8">
        <w:rPr>
          <w:rFonts w:asciiTheme="majorBidi" w:hAnsiTheme="majorBidi" w:cstheme="majorBidi"/>
          <w:szCs w:val="24"/>
        </w:rPr>
        <w:t>proti</w:t>
      </w:r>
      <w:r w:rsidR="00BA7B71" w:rsidRPr="00D828D8">
        <w:rPr>
          <w:rFonts w:asciiTheme="majorBidi" w:hAnsiTheme="majorBidi" w:cstheme="majorBidi"/>
          <w:szCs w:val="24"/>
        </w:rPr>
        <w:t>, ka uzņēmumam nebija līdzekļu, lai realizētu kameru iepirkumu, tāpēc tika meklēts aizdevums pirmajai iemaksai.</w:t>
      </w:r>
    </w:p>
    <w:p w14:paraId="237D6826" w14:textId="0B02B172" w:rsidR="008C5885" w:rsidRPr="00D828D8" w:rsidRDefault="008C5885" w:rsidP="00A93165">
      <w:pPr>
        <w:spacing w:line="276" w:lineRule="auto"/>
        <w:ind w:firstLine="720"/>
        <w:rPr>
          <w:rFonts w:asciiTheme="majorBidi" w:hAnsiTheme="majorBidi" w:cstheme="majorBidi"/>
          <w:szCs w:val="24"/>
        </w:rPr>
      </w:pPr>
      <w:r w:rsidRPr="00D828D8">
        <w:rPr>
          <w:rFonts w:asciiTheme="majorBidi" w:hAnsiTheme="majorBidi" w:cstheme="majorBidi"/>
          <w:szCs w:val="24"/>
        </w:rPr>
        <w:t>[6.2.4] </w:t>
      </w:r>
      <w:r w:rsidR="00380B67" w:rsidRPr="00D828D8">
        <w:rPr>
          <w:rFonts w:asciiTheme="majorBidi" w:hAnsiTheme="majorBidi" w:cstheme="majorBidi"/>
          <w:szCs w:val="24"/>
        </w:rPr>
        <w:t xml:space="preserve">Tiesas secinājums, ka starp </w:t>
      </w:r>
      <w:r w:rsidR="00A93165">
        <w:rPr>
          <w:rFonts w:asciiTheme="majorBidi" w:hAnsiTheme="majorBidi" w:cstheme="majorBidi"/>
          <w:szCs w:val="24"/>
        </w:rPr>
        <w:t>[pers. B]</w:t>
      </w:r>
      <w:r w:rsidR="00380B67" w:rsidRPr="00D828D8">
        <w:rPr>
          <w:rFonts w:asciiTheme="majorBidi" w:hAnsiTheme="majorBidi" w:cstheme="majorBidi"/>
          <w:szCs w:val="24"/>
        </w:rPr>
        <w:t xml:space="preserve"> un </w:t>
      </w:r>
      <w:r w:rsidR="00A93165">
        <w:rPr>
          <w:rFonts w:asciiTheme="majorBidi" w:hAnsiTheme="majorBidi" w:cstheme="majorBidi"/>
          <w:szCs w:val="24"/>
        </w:rPr>
        <w:t>[pers. A]</w:t>
      </w:r>
      <w:r w:rsidR="00380B67" w:rsidRPr="00D828D8">
        <w:rPr>
          <w:rFonts w:asciiTheme="majorBidi" w:hAnsiTheme="majorBidi" w:cstheme="majorBidi"/>
          <w:szCs w:val="24"/>
        </w:rPr>
        <w:t xml:space="preserve"> pastāvošā vienošanās </w:t>
      </w:r>
      <w:r w:rsidR="00412559" w:rsidRPr="00D828D8">
        <w:rPr>
          <w:rFonts w:asciiTheme="majorBidi" w:hAnsiTheme="majorBidi" w:cstheme="majorBidi"/>
          <w:szCs w:val="24"/>
        </w:rPr>
        <w:t>par SIA „</w:t>
      </w:r>
      <w:r w:rsidR="00A93165">
        <w:rPr>
          <w:rFonts w:asciiTheme="majorBidi" w:hAnsiTheme="majorBidi" w:cstheme="majorBidi"/>
          <w:szCs w:val="24"/>
        </w:rPr>
        <w:t>[Nosaukums]</w:t>
      </w:r>
      <w:r w:rsidR="00412559" w:rsidRPr="00D828D8">
        <w:rPr>
          <w:rFonts w:asciiTheme="majorBidi" w:hAnsiTheme="majorBidi" w:cstheme="majorBidi"/>
          <w:szCs w:val="24"/>
        </w:rPr>
        <w:t xml:space="preserve">” atpirkšanu tās neveiksmīgās darbības gadījumā </w:t>
      </w:r>
      <w:r w:rsidR="00380B67" w:rsidRPr="00D828D8">
        <w:rPr>
          <w:rFonts w:asciiTheme="majorBidi" w:hAnsiTheme="majorBidi" w:cstheme="majorBidi"/>
          <w:szCs w:val="24"/>
        </w:rPr>
        <w:t>nepārprotami norāda uz fiktīvu SIA „</w:t>
      </w:r>
      <w:r w:rsidR="00A93165">
        <w:rPr>
          <w:rFonts w:asciiTheme="majorBidi" w:hAnsiTheme="majorBidi" w:cstheme="majorBidi"/>
          <w:szCs w:val="24"/>
        </w:rPr>
        <w:t>[Nosaukums]</w:t>
      </w:r>
      <w:r w:rsidR="00380B67" w:rsidRPr="00D828D8">
        <w:rPr>
          <w:rFonts w:asciiTheme="majorBidi" w:hAnsiTheme="majorBidi" w:cstheme="majorBidi"/>
          <w:szCs w:val="24"/>
        </w:rPr>
        <w:t xml:space="preserve">” dalībnieka un patiesā labuma guvēja maiņu, ir pamatots ar tiesas subjektīviem pieņēmumiem. </w:t>
      </w:r>
      <w:r w:rsidRPr="00D828D8">
        <w:rPr>
          <w:rFonts w:asciiTheme="majorBidi" w:hAnsiTheme="majorBidi" w:cstheme="majorBidi"/>
          <w:szCs w:val="24"/>
        </w:rPr>
        <w:t xml:space="preserve">Tiesa </w:t>
      </w:r>
      <w:r w:rsidR="00380B67" w:rsidRPr="00D828D8">
        <w:rPr>
          <w:rFonts w:asciiTheme="majorBidi" w:hAnsiTheme="majorBidi" w:cstheme="majorBidi"/>
          <w:szCs w:val="24"/>
        </w:rPr>
        <w:t>nav ņēmusi vērā</w:t>
      </w:r>
      <w:r w:rsidR="00412559" w:rsidRPr="00D828D8">
        <w:rPr>
          <w:rFonts w:asciiTheme="majorBidi" w:hAnsiTheme="majorBidi" w:cstheme="majorBidi"/>
          <w:szCs w:val="24"/>
        </w:rPr>
        <w:t xml:space="preserve">: 1) liecinieka </w:t>
      </w:r>
      <w:r w:rsidR="00A93165">
        <w:rPr>
          <w:rFonts w:asciiTheme="majorBidi" w:hAnsiTheme="majorBidi" w:cstheme="majorBidi"/>
          <w:szCs w:val="24"/>
        </w:rPr>
        <w:t>[pers. B]</w:t>
      </w:r>
      <w:r w:rsidR="00412559" w:rsidRPr="00D828D8">
        <w:rPr>
          <w:rFonts w:asciiTheme="majorBidi" w:hAnsiTheme="majorBidi" w:cstheme="majorBidi"/>
          <w:szCs w:val="24"/>
        </w:rPr>
        <w:t xml:space="preserve"> un apsūdzētās </w:t>
      </w:r>
      <w:r w:rsidR="00A93165">
        <w:rPr>
          <w:rFonts w:asciiTheme="majorBidi" w:hAnsiTheme="majorBidi" w:cstheme="majorBidi"/>
          <w:szCs w:val="24"/>
        </w:rPr>
        <w:t>[pers. A]</w:t>
      </w:r>
      <w:r w:rsidR="00412559" w:rsidRPr="00D828D8">
        <w:rPr>
          <w:rFonts w:asciiTheme="majorBidi" w:hAnsiTheme="majorBidi" w:cstheme="majorBidi"/>
          <w:szCs w:val="24"/>
        </w:rPr>
        <w:t xml:space="preserve"> liecībās norādīto, </w:t>
      </w:r>
      <w:r w:rsidRPr="00D828D8">
        <w:rPr>
          <w:rFonts w:asciiTheme="majorBidi" w:hAnsiTheme="majorBidi" w:cstheme="majorBidi"/>
          <w:szCs w:val="24"/>
        </w:rPr>
        <w:t xml:space="preserve">ka starp viņiem pastāvošās norunas mērķis bija nepazaudēt </w:t>
      </w:r>
      <w:r w:rsidR="00A93165">
        <w:rPr>
          <w:rFonts w:asciiTheme="majorBidi" w:hAnsiTheme="majorBidi" w:cstheme="majorBidi"/>
          <w:szCs w:val="24"/>
        </w:rPr>
        <w:t>[pers. A]</w:t>
      </w:r>
      <w:r w:rsidRPr="00D828D8">
        <w:rPr>
          <w:rFonts w:asciiTheme="majorBidi" w:hAnsiTheme="majorBidi" w:cstheme="majorBidi"/>
          <w:szCs w:val="24"/>
        </w:rPr>
        <w:t xml:space="preserve"> </w:t>
      </w:r>
      <w:r w:rsidR="00412559" w:rsidRPr="00D828D8">
        <w:rPr>
          <w:rFonts w:asciiTheme="majorBidi" w:hAnsiTheme="majorBidi" w:cstheme="majorBidi"/>
          <w:szCs w:val="24"/>
        </w:rPr>
        <w:t xml:space="preserve">uzņēmumā </w:t>
      </w:r>
      <w:r w:rsidRPr="00D828D8">
        <w:rPr>
          <w:rFonts w:asciiTheme="majorBidi" w:hAnsiTheme="majorBidi" w:cstheme="majorBidi"/>
          <w:szCs w:val="24"/>
        </w:rPr>
        <w:t xml:space="preserve">ieguldītos naudas līdzekļus un iespēja </w:t>
      </w:r>
      <w:r w:rsidR="00A93165">
        <w:rPr>
          <w:rFonts w:asciiTheme="majorBidi" w:hAnsiTheme="majorBidi" w:cstheme="majorBidi"/>
          <w:szCs w:val="24"/>
        </w:rPr>
        <w:t>[pers. B]</w:t>
      </w:r>
      <w:r w:rsidR="00380B67" w:rsidRPr="00D828D8">
        <w:rPr>
          <w:rFonts w:asciiTheme="majorBidi" w:hAnsiTheme="majorBidi" w:cstheme="majorBidi"/>
          <w:szCs w:val="24"/>
        </w:rPr>
        <w:t xml:space="preserve"> palīdzēt </w:t>
      </w:r>
      <w:r w:rsidRPr="00D828D8">
        <w:rPr>
          <w:rFonts w:asciiTheme="majorBidi" w:hAnsiTheme="majorBidi" w:cstheme="majorBidi"/>
          <w:szCs w:val="24"/>
        </w:rPr>
        <w:t xml:space="preserve">uzturēt </w:t>
      </w:r>
      <w:r w:rsidR="002C3232" w:rsidRPr="00D828D8">
        <w:rPr>
          <w:rFonts w:asciiTheme="majorBidi" w:hAnsiTheme="majorBidi" w:cstheme="majorBidi"/>
          <w:szCs w:val="24"/>
        </w:rPr>
        <w:t>apsūdzētās</w:t>
      </w:r>
      <w:r w:rsidR="00412559" w:rsidRPr="00D828D8">
        <w:rPr>
          <w:rFonts w:asciiTheme="majorBidi" w:hAnsiTheme="majorBidi" w:cstheme="majorBidi"/>
          <w:szCs w:val="24"/>
        </w:rPr>
        <w:t xml:space="preserve"> </w:t>
      </w:r>
      <w:r w:rsidRPr="00D828D8">
        <w:rPr>
          <w:rFonts w:asciiTheme="majorBidi" w:hAnsiTheme="majorBidi" w:cstheme="majorBidi"/>
          <w:szCs w:val="24"/>
        </w:rPr>
        <w:t>bērnus</w:t>
      </w:r>
      <w:r w:rsidR="00412559" w:rsidRPr="00D828D8">
        <w:rPr>
          <w:rFonts w:asciiTheme="majorBidi" w:hAnsiTheme="majorBidi" w:cstheme="majorBidi"/>
          <w:szCs w:val="24"/>
        </w:rPr>
        <w:t>; 2) </w:t>
      </w:r>
      <w:r w:rsidR="00380B67" w:rsidRPr="00D828D8">
        <w:rPr>
          <w:rFonts w:asciiTheme="majorBidi" w:hAnsiTheme="majorBidi" w:cstheme="majorBidi"/>
          <w:szCs w:val="24"/>
        </w:rPr>
        <w:t xml:space="preserve">liecinieces </w:t>
      </w:r>
      <w:r w:rsidR="00A93165">
        <w:rPr>
          <w:rFonts w:asciiTheme="majorBidi" w:hAnsiTheme="majorBidi" w:cstheme="majorBidi"/>
          <w:szCs w:val="24"/>
        </w:rPr>
        <w:t>[pers. C]</w:t>
      </w:r>
      <w:r w:rsidR="00380B67" w:rsidRPr="00D828D8">
        <w:rPr>
          <w:rFonts w:asciiTheme="majorBidi" w:hAnsiTheme="majorBidi" w:cstheme="majorBidi"/>
          <w:szCs w:val="24"/>
        </w:rPr>
        <w:t xml:space="preserve"> liecināto, ka </w:t>
      </w:r>
      <w:r w:rsidR="00A93165">
        <w:rPr>
          <w:rFonts w:asciiTheme="majorBidi" w:hAnsiTheme="majorBidi" w:cstheme="majorBidi"/>
          <w:szCs w:val="24"/>
        </w:rPr>
        <w:t>[pers. A]</w:t>
      </w:r>
      <w:r w:rsidR="00380B67" w:rsidRPr="00D828D8">
        <w:rPr>
          <w:rFonts w:asciiTheme="majorBidi" w:hAnsiTheme="majorBidi" w:cstheme="majorBidi"/>
          <w:szCs w:val="24"/>
        </w:rPr>
        <w:t xml:space="preserve"> laulātais </w:t>
      </w:r>
      <w:r w:rsidR="00A93165">
        <w:rPr>
          <w:rFonts w:asciiTheme="majorBidi" w:hAnsiTheme="majorBidi" w:cstheme="majorBidi"/>
          <w:szCs w:val="24"/>
        </w:rPr>
        <w:t xml:space="preserve">[pers. D] </w:t>
      </w:r>
      <w:r w:rsidR="00380B67" w:rsidRPr="00D828D8">
        <w:rPr>
          <w:rFonts w:asciiTheme="majorBidi" w:hAnsiTheme="majorBidi" w:cstheme="majorBidi"/>
          <w:szCs w:val="24"/>
        </w:rPr>
        <w:t xml:space="preserve">(liecinieka </w:t>
      </w:r>
      <w:r w:rsidR="00A93165">
        <w:rPr>
          <w:rFonts w:asciiTheme="majorBidi" w:hAnsiTheme="majorBidi" w:cstheme="majorBidi"/>
          <w:szCs w:val="24"/>
        </w:rPr>
        <w:t>[pers. B]</w:t>
      </w:r>
      <w:r w:rsidR="00380B67" w:rsidRPr="00D828D8">
        <w:rPr>
          <w:rFonts w:asciiTheme="majorBidi" w:hAnsiTheme="majorBidi" w:cstheme="majorBidi"/>
          <w:szCs w:val="24"/>
        </w:rPr>
        <w:t xml:space="preserve"> tēvs) nav aktīvi rūpējies par viņu kopīgiem bērniem.</w:t>
      </w:r>
    </w:p>
    <w:p w14:paraId="01BA34D3" w14:textId="222C99B7" w:rsidR="00890B7A" w:rsidRPr="00D828D8" w:rsidRDefault="000A530A" w:rsidP="001E2BC2">
      <w:pPr>
        <w:spacing w:line="276" w:lineRule="auto"/>
        <w:ind w:firstLine="720"/>
        <w:rPr>
          <w:rFonts w:asciiTheme="majorBidi" w:hAnsiTheme="majorBidi" w:cstheme="majorBidi"/>
          <w:szCs w:val="24"/>
        </w:rPr>
      </w:pPr>
      <w:r w:rsidRPr="00D828D8">
        <w:rPr>
          <w:rFonts w:asciiTheme="majorBidi" w:hAnsiTheme="majorBidi" w:cstheme="majorBidi"/>
          <w:szCs w:val="24"/>
        </w:rPr>
        <w:t>[6.3] </w:t>
      </w:r>
      <w:r w:rsidR="00A201AB" w:rsidRPr="00D828D8">
        <w:rPr>
          <w:rFonts w:asciiTheme="majorBidi" w:hAnsiTheme="majorBidi" w:cstheme="majorBidi"/>
          <w:szCs w:val="24"/>
        </w:rPr>
        <w:t xml:space="preserve">Tiesa nepamatoti nav piemērojusi Kriminālprocesa likuma 19. panta trešo daļu un visas šaubas par </w:t>
      </w:r>
      <w:r w:rsidR="00A856D3">
        <w:rPr>
          <w:rFonts w:asciiTheme="majorBidi" w:hAnsiTheme="majorBidi" w:cstheme="majorBidi"/>
          <w:szCs w:val="24"/>
        </w:rPr>
        <w:t>[pers. A]</w:t>
      </w:r>
      <w:r w:rsidR="00A201AB" w:rsidRPr="00D828D8">
        <w:rPr>
          <w:rFonts w:asciiTheme="majorBidi" w:hAnsiTheme="majorBidi" w:cstheme="majorBidi"/>
          <w:szCs w:val="24"/>
        </w:rPr>
        <w:t xml:space="preserve"> vain</w:t>
      </w:r>
      <w:r w:rsidR="004C31AC" w:rsidRPr="00D828D8">
        <w:rPr>
          <w:rFonts w:asciiTheme="majorBidi" w:hAnsiTheme="majorBidi" w:cstheme="majorBidi"/>
          <w:szCs w:val="24"/>
        </w:rPr>
        <w:t>u</w:t>
      </w:r>
      <w:r w:rsidR="00A201AB" w:rsidRPr="00D828D8">
        <w:rPr>
          <w:rFonts w:asciiTheme="majorBidi" w:hAnsiTheme="majorBidi" w:cstheme="majorBidi"/>
          <w:szCs w:val="24"/>
        </w:rPr>
        <w:t xml:space="preserve"> nav vērtējusi par labu apsūdzētajai.</w:t>
      </w:r>
      <w:r w:rsidR="00412559" w:rsidRPr="00D828D8">
        <w:rPr>
          <w:rFonts w:asciiTheme="majorBidi" w:hAnsiTheme="majorBidi" w:cstheme="majorBidi"/>
          <w:szCs w:val="24"/>
        </w:rPr>
        <w:t xml:space="preserve"> </w:t>
      </w:r>
      <w:r w:rsidR="00417615" w:rsidRPr="00D828D8">
        <w:rPr>
          <w:rFonts w:asciiTheme="majorBidi" w:hAnsiTheme="majorBidi" w:cstheme="majorBidi"/>
          <w:szCs w:val="24"/>
        </w:rPr>
        <w:t xml:space="preserve">Šaubas par </w:t>
      </w:r>
      <w:r w:rsidR="00A856D3">
        <w:rPr>
          <w:rFonts w:asciiTheme="majorBidi" w:hAnsiTheme="majorBidi" w:cstheme="majorBidi"/>
          <w:szCs w:val="24"/>
        </w:rPr>
        <w:t>[pers. A]</w:t>
      </w:r>
      <w:r w:rsidR="00417615" w:rsidRPr="00D828D8">
        <w:rPr>
          <w:rFonts w:asciiTheme="majorBidi" w:hAnsiTheme="majorBidi" w:cstheme="majorBidi"/>
          <w:szCs w:val="24"/>
        </w:rPr>
        <w:t xml:space="preserve"> vainu viņai inkriminēt</w:t>
      </w:r>
      <w:r w:rsidR="000D5E61" w:rsidRPr="00D828D8">
        <w:rPr>
          <w:rFonts w:asciiTheme="majorBidi" w:hAnsiTheme="majorBidi" w:cstheme="majorBidi"/>
          <w:szCs w:val="24"/>
        </w:rPr>
        <w:t>ajā</w:t>
      </w:r>
      <w:r w:rsidR="00417615" w:rsidRPr="00D828D8">
        <w:rPr>
          <w:rFonts w:asciiTheme="majorBidi" w:hAnsiTheme="majorBidi" w:cstheme="majorBidi"/>
          <w:szCs w:val="24"/>
        </w:rPr>
        <w:t xml:space="preserve"> noziedzīg</w:t>
      </w:r>
      <w:r w:rsidR="000D5E61" w:rsidRPr="00D828D8">
        <w:rPr>
          <w:rFonts w:asciiTheme="majorBidi" w:hAnsiTheme="majorBidi" w:cstheme="majorBidi"/>
          <w:szCs w:val="24"/>
        </w:rPr>
        <w:t>ajā</w:t>
      </w:r>
      <w:r w:rsidR="00417615" w:rsidRPr="00D828D8">
        <w:rPr>
          <w:rFonts w:asciiTheme="majorBidi" w:hAnsiTheme="majorBidi" w:cstheme="majorBidi"/>
          <w:szCs w:val="24"/>
        </w:rPr>
        <w:t xml:space="preserve"> nodarījum</w:t>
      </w:r>
      <w:r w:rsidR="000D5E61" w:rsidRPr="00D828D8">
        <w:rPr>
          <w:rFonts w:asciiTheme="majorBidi" w:hAnsiTheme="majorBidi" w:cstheme="majorBidi"/>
          <w:szCs w:val="24"/>
        </w:rPr>
        <w:t>ā</w:t>
      </w:r>
      <w:r w:rsidR="00417615" w:rsidRPr="00D828D8">
        <w:rPr>
          <w:rFonts w:asciiTheme="majorBidi" w:hAnsiTheme="majorBidi" w:cstheme="majorBidi"/>
          <w:szCs w:val="24"/>
        </w:rPr>
        <w:t xml:space="preserve"> rada AS „</w:t>
      </w:r>
      <w:proofErr w:type="spellStart"/>
      <w:r w:rsidR="00417615" w:rsidRPr="00D828D8">
        <w:rPr>
          <w:rFonts w:asciiTheme="majorBidi" w:hAnsiTheme="majorBidi" w:cstheme="majorBidi"/>
          <w:szCs w:val="24"/>
        </w:rPr>
        <w:t>BluOrangeBank</w:t>
      </w:r>
      <w:proofErr w:type="spellEnd"/>
      <w:r w:rsidR="00417615" w:rsidRPr="00D828D8">
        <w:rPr>
          <w:rFonts w:asciiTheme="majorBidi" w:hAnsiTheme="majorBidi" w:cstheme="majorBidi"/>
          <w:szCs w:val="24"/>
        </w:rPr>
        <w:t>” 2021. gada 14. maija vēstulē norādītais, ka SIA „</w:t>
      </w:r>
      <w:r w:rsidR="00A856D3">
        <w:rPr>
          <w:rFonts w:asciiTheme="majorBidi" w:hAnsiTheme="majorBidi" w:cstheme="majorBidi"/>
          <w:szCs w:val="24"/>
        </w:rPr>
        <w:t>[Nosaukums]</w:t>
      </w:r>
      <w:r w:rsidR="00417615" w:rsidRPr="00D828D8">
        <w:rPr>
          <w:rFonts w:asciiTheme="majorBidi" w:hAnsiTheme="majorBidi" w:cstheme="majorBidi"/>
          <w:szCs w:val="24"/>
        </w:rPr>
        <w:t xml:space="preserve">” šķietami slēpjamais patiesais labuma guvējs varētu būt kāds no </w:t>
      </w:r>
      <w:r w:rsidR="00A856D3">
        <w:rPr>
          <w:rFonts w:asciiTheme="majorBidi" w:hAnsiTheme="majorBidi" w:cstheme="majorBidi"/>
          <w:szCs w:val="24"/>
        </w:rPr>
        <w:t>[pers. B]</w:t>
      </w:r>
      <w:r w:rsidR="00417615" w:rsidRPr="00D828D8">
        <w:t xml:space="preserve"> ģimenes locekļiem</w:t>
      </w:r>
      <w:r w:rsidR="00AA4018" w:rsidRPr="00D828D8">
        <w:t>.</w:t>
      </w:r>
      <w:r w:rsidR="00417615" w:rsidRPr="00D828D8">
        <w:t xml:space="preserve"> </w:t>
      </w:r>
      <w:r w:rsidR="00AA4018" w:rsidRPr="00D828D8">
        <w:t>A</w:t>
      </w:r>
      <w:r w:rsidR="00AA4018" w:rsidRPr="00D828D8">
        <w:rPr>
          <w:rFonts w:asciiTheme="majorBidi" w:hAnsiTheme="majorBidi" w:cstheme="majorBidi"/>
          <w:szCs w:val="24"/>
        </w:rPr>
        <w:t xml:space="preserve">pelācijas </w:t>
      </w:r>
      <w:r w:rsidR="00412559" w:rsidRPr="00D828D8">
        <w:rPr>
          <w:rFonts w:asciiTheme="majorBidi" w:hAnsiTheme="majorBidi" w:cstheme="majorBidi"/>
          <w:szCs w:val="24"/>
        </w:rPr>
        <w:t xml:space="preserve">instances tiesa </w:t>
      </w:r>
      <w:r w:rsidR="00AA4018" w:rsidRPr="00D828D8">
        <w:rPr>
          <w:rFonts w:asciiTheme="majorBidi" w:hAnsiTheme="majorBidi" w:cstheme="majorBidi"/>
          <w:szCs w:val="24"/>
        </w:rPr>
        <w:t xml:space="preserve">minēto apstākli </w:t>
      </w:r>
      <w:r w:rsidR="00412559" w:rsidRPr="00D828D8">
        <w:rPr>
          <w:rFonts w:asciiTheme="majorBidi" w:hAnsiTheme="majorBidi" w:cstheme="majorBidi"/>
          <w:szCs w:val="24"/>
        </w:rPr>
        <w:t>nav izvērtējusi</w:t>
      </w:r>
      <w:r w:rsidR="00417615" w:rsidRPr="00D828D8">
        <w:rPr>
          <w:rFonts w:asciiTheme="majorBidi" w:hAnsiTheme="majorBidi" w:cstheme="majorBidi"/>
          <w:szCs w:val="24"/>
        </w:rPr>
        <w:t>.</w:t>
      </w:r>
    </w:p>
    <w:p w14:paraId="3708B631" w14:textId="4E3A3D67" w:rsidR="00A201AB" w:rsidRPr="00D828D8" w:rsidRDefault="00A201AB" w:rsidP="001E2BC2">
      <w:pPr>
        <w:spacing w:line="276" w:lineRule="auto"/>
        <w:ind w:firstLine="720"/>
        <w:rPr>
          <w:rFonts w:asciiTheme="majorBidi" w:hAnsiTheme="majorBidi" w:cstheme="majorBidi"/>
        </w:rPr>
      </w:pPr>
      <w:r w:rsidRPr="00D828D8">
        <w:rPr>
          <w:rFonts w:asciiTheme="majorBidi" w:hAnsiTheme="majorBidi" w:cstheme="majorBidi"/>
          <w:szCs w:val="24"/>
        </w:rPr>
        <w:t>[6.4] Tiesa nav devusi iespēju SIA „</w:t>
      </w:r>
      <w:r w:rsidR="00A856D3">
        <w:rPr>
          <w:rFonts w:asciiTheme="majorBidi" w:hAnsiTheme="majorBidi" w:cstheme="majorBidi"/>
          <w:szCs w:val="24"/>
        </w:rPr>
        <w:t>[Nosaukums]</w:t>
      </w:r>
      <w:r w:rsidRPr="00D828D8">
        <w:rPr>
          <w:rFonts w:asciiTheme="majorBidi" w:hAnsiTheme="majorBidi" w:cstheme="majorBidi"/>
          <w:szCs w:val="24"/>
        </w:rPr>
        <w:t xml:space="preserve">” pārstāvim </w:t>
      </w:r>
      <w:r w:rsidR="00E67D41" w:rsidRPr="00D828D8">
        <w:rPr>
          <w:rFonts w:asciiTheme="majorBidi" w:hAnsiTheme="majorBidi" w:cstheme="majorBidi"/>
          <w:szCs w:val="24"/>
        </w:rPr>
        <w:t>teikt</w:t>
      </w:r>
      <w:r w:rsidRPr="00D828D8">
        <w:rPr>
          <w:rFonts w:asciiTheme="majorBidi" w:hAnsiTheme="majorBidi" w:cstheme="majorBidi"/>
          <w:szCs w:val="24"/>
        </w:rPr>
        <w:t xml:space="preserve"> pēdēj</w:t>
      </w:r>
      <w:r w:rsidR="00E67D41" w:rsidRPr="00D828D8">
        <w:rPr>
          <w:rFonts w:asciiTheme="majorBidi" w:hAnsiTheme="majorBidi" w:cstheme="majorBidi"/>
          <w:szCs w:val="24"/>
        </w:rPr>
        <w:t>o</w:t>
      </w:r>
      <w:r w:rsidRPr="00D828D8">
        <w:rPr>
          <w:rFonts w:asciiTheme="majorBidi" w:hAnsiTheme="majorBidi" w:cstheme="majorBidi"/>
          <w:szCs w:val="24"/>
        </w:rPr>
        <w:t xml:space="preserve"> vārd</w:t>
      </w:r>
      <w:r w:rsidR="00E67D41" w:rsidRPr="00D828D8">
        <w:rPr>
          <w:rFonts w:asciiTheme="majorBidi" w:hAnsiTheme="majorBidi" w:cstheme="majorBidi"/>
          <w:szCs w:val="24"/>
        </w:rPr>
        <w:t xml:space="preserve">u, tādēļ </w:t>
      </w:r>
      <w:r w:rsidR="00054CF2" w:rsidRPr="00D828D8">
        <w:rPr>
          <w:rFonts w:asciiTheme="majorBidi" w:hAnsiTheme="majorBidi" w:cstheme="majorBidi"/>
          <w:szCs w:val="24"/>
        </w:rPr>
        <w:t xml:space="preserve">pieļāvusi </w:t>
      </w:r>
      <w:r w:rsidRPr="00D828D8">
        <w:rPr>
          <w:rFonts w:asciiTheme="majorBidi" w:hAnsiTheme="majorBidi" w:cstheme="majorBidi"/>
          <w:szCs w:val="24"/>
        </w:rPr>
        <w:t xml:space="preserve">Kriminālprocesa likuma 575. panta pirmās daļas 5. punktā </w:t>
      </w:r>
      <w:r w:rsidR="00054CF2" w:rsidRPr="00D828D8">
        <w:rPr>
          <w:rFonts w:asciiTheme="majorBidi" w:hAnsiTheme="majorBidi" w:cstheme="majorBidi"/>
          <w:szCs w:val="24"/>
        </w:rPr>
        <w:t xml:space="preserve">norādīto </w:t>
      </w:r>
      <w:r w:rsidR="000D5E61" w:rsidRPr="00D828D8">
        <w:rPr>
          <w:rFonts w:asciiTheme="majorBidi" w:hAnsiTheme="majorBidi" w:cstheme="majorBidi"/>
          <w:szCs w:val="24"/>
        </w:rPr>
        <w:t xml:space="preserve">šī likuma </w:t>
      </w:r>
      <w:r w:rsidR="00054CF2" w:rsidRPr="00D828D8">
        <w:rPr>
          <w:rFonts w:asciiTheme="majorBidi" w:hAnsiTheme="majorBidi" w:cstheme="majorBidi"/>
          <w:szCs w:val="24"/>
        </w:rPr>
        <w:t>būtisko pārkāpumu</w:t>
      </w:r>
      <w:r w:rsidR="00E67D41" w:rsidRPr="00D828D8">
        <w:rPr>
          <w:rFonts w:asciiTheme="majorBidi" w:hAnsiTheme="majorBidi" w:cstheme="majorBidi"/>
          <w:szCs w:val="24"/>
        </w:rPr>
        <w:t>.</w:t>
      </w:r>
    </w:p>
    <w:p w14:paraId="28152456" w14:textId="77777777" w:rsidR="00890B7A" w:rsidRPr="00D828D8" w:rsidRDefault="00890B7A" w:rsidP="001E2BC2">
      <w:pPr>
        <w:spacing w:line="276" w:lineRule="auto"/>
        <w:ind w:firstLine="720"/>
      </w:pPr>
    </w:p>
    <w:p w14:paraId="4C33E191" w14:textId="708AD7B1" w:rsidR="00645B45" w:rsidRPr="00D828D8" w:rsidRDefault="001130ED" w:rsidP="001E2BC2">
      <w:pPr>
        <w:widowControl w:val="0"/>
        <w:spacing w:line="276" w:lineRule="auto"/>
        <w:ind w:firstLine="720"/>
        <w:contextualSpacing/>
      </w:pPr>
      <w:r w:rsidRPr="00D828D8">
        <w:rPr>
          <w:lang w:eastAsia="zh-CN"/>
        </w:rPr>
        <w:t>[</w:t>
      </w:r>
      <w:r w:rsidR="00417615" w:rsidRPr="00D828D8">
        <w:rPr>
          <w:lang w:eastAsia="zh-CN"/>
        </w:rPr>
        <w:t>7</w:t>
      </w:r>
      <w:r w:rsidRPr="00D828D8">
        <w:rPr>
          <w:lang w:eastAsia="zh-CN"/>
        </w:rPr>
        <w:t xml:space="preserve">] Sakarā ar </w:t>
      </w:r>
      <w:r w:rsidR="00417615" w:rsidRPr="00D828D8">
        <w:rPr>
          <w:lang w:eastAsia="zh-CN"/>
        </w:rPr>
        <w:t>prokurora</w:t>
      </w:r>
      <w:r w:rsidRPr="00D828D8">
        <w:rPr>
          <w:lang w:eastAsia="zh-CN"/>
        </w:rPr>
        <w:t xml:space="preserve"> kasācijas </w:t>
      </w:r>
      <w:r w:rsidR="00417615" w:rsidRPr="00D828D8">
        <w:rPr>
          <w:lang w:eastAsia="zh-CN"/>
        </w:rPr>
        <w:t>protestu</w:t>
      </w:r>
      <w:r w:rsidRPr="00D828D8">
        <w:rPr>
          <w:lang w:eastAsia="zh-CN"/>
        </w:rPr>
        <w:t xml:space="preserve"> apsūdzētā</w:t>
      </w:r>
      <w:r w:rsidR="00417615" w:rsidRPr="00D828D8">
        <w:rPr>
          <w:lang w:eastAsia="zh-CN"/>
        </w:rPr>
        <w:t xml:space="preserve">s </w:t>
      </w:r>
      <w:r w:rsidR="00A856D3">
        <w:rPr>
          <w:rFonts w:asciiTheme="majorBidi" w:hAnsiTheme="majorBidi" w:cstheme="majorBidi"/>
          <w:szCs w:val="24"/>
        </w:rPr>
        <w:t xml:space="preserve">[pers. A] </w:t>
      </w:r>
      <w:r w:rsidRPr="00D828D8">
        <w:rPr>
          <w:lang w:eastAsia="zh-CN"/>
        </w:rPr>
        <w:t xml:space="preserve">aizstāvis </w:t>
      </w:r>
      <w:r w:rsidR="00417615" w:rsidRPr="00D828D8">
        <w:rPr>
          <w:lang w:eastAsia="zh-CN"/>
        </w:rPr>
        <w:t>A. </w:t>
      </w:r>
      <w:proofErr w:type="spellStart"/>
      <w:r w:rsidR="00417615" w:rsidRPr="00D828D8">
        <w:rPr>
          <w:lang w:eastAsia="zh-CN"/>
        </w:rPr>
        <w:t>Orehovs</w:t>
      </w:r>
      <w:proofErr w:type="spellEnd"/>
      <w:r w:rsidRPr="00D828D8">
        <w:rPr>
          <w:lang w:eastAsia="zh-CN"/>
        </w:rPr>
        <w:t xml:space="preserve"> iesniedzis paskaidrojumus, kuros norādījis, ka apelācijas instances tiesa pamatoti </w:t>
      </w:r>
      <w:r w:rsidR="00645B45" w:rsidRPr="00D828D8">
        <w:rPr>
          <w:lang w:eastAsia="zh-CN"/>
        </w:rPr>
        <w:t xml:space="preserve">izbeigusi procesu </w:t>
      </w:r>
      <w:r w:rsidR="00645B45" w:rsidRPr="00D828D8">
        <w:t>par piespiedu ietekmēšanas līdzekļa piemērošanu juridiska</w:t>
      </w:r>
      <w:r w:rsidR="00B71E60" w:rsidRPr="00D828D8">
        <w:t>jai</w:t>
      </w:r>
      <w:r w:rsidR="00645B45" w:rsidRPr="00D828D8">
        <w:t xml:space="preserve"> personai SIA „</w:t>
      </w:r>
      <w:r w:rsidR="00A856D3">
        <w:t>[Nosaukums]</w:t>
      </w:r>
      <w:r w:rsidR="00645B45" w:rsidRPr="00D828D8">
        <w:t>”. 2022. gada 29. marta lēmumā par procesa uzsākšanu piespiedu ietekmēšanas līdzekļa piemērošanai juridiska</w:t>
      </w:r>
      <w:r w:rsidR="00B71E60" w:rsidRPr="00D828D8">
        <w:t>jai</w:t>
      </w:r>
      <w:r w:rsidR="00645B45" w:rsidRPr="00D828D8">
        <w:t xml:space="preserve"> personai un 2022. gada 6. aprīļa lēmumā par šā procesa turpināšanu ietvertais faktisko apstākļu izklāsts neatbilst Kriminālprocesa likuma 439.</w:t>
      </w:r>
      <w:r w:rsidR="00645B45" w:rsidRPr="00D828D8">
        <w:rPr>
          <w:vertAlign w:val="superscript"/>
        </w:rPr>
        <w:t>1</w:t>
      </w:r>
      <w:r w:rsidR="00645B45" w:rsidRPr="00D828D8">
        <w:t> pantā noteiktajām prasībām un Senāta 2012. gada 4. jūnija lēmumā lietā Nr. SKK</w:t>
      </w:r>
      <w:r w:rsidR="00645B45" w:rsidRPr="00D828D8">
        <w:noBreakHyphen/>
        <w:t xml:space="preserve">8/2012 norādītajam. </w:t>
      </w:r>
      <w:r w:rsidR="00223CDD" w:rsidRPr="00D828D8">
        <w:t>L</w:t>
      </w:r>
      <w:r w:rsidR="00645B45" w:rsidRPr="00D828D8">
        <w:t>ēmumos ietvertais faktisko apstākļu izklāsts nav pilnīgs un konkrēts</w:t>
      </w:r>
      <w:r w:rsidR="00597E08" w:rsidRPr="00D828D8">
        <w:t xml:space="preserve">, tajos nav analizēta juridiskās personas faktiskā rīcība, darbību raksturs un radītās sekas, nav norādīts </w:t>
      </w:r>
      <w:r w:rsidR="00597E08" w:rsidRPr="00D828D8">
        <w:lastRenderedPageBreak/>
        <w:t xml:space="preserve">uzņēmuma finansiālais stāvoklis, </w:t>
      </w:r>
      <w:r w:rsidR="00223CDD" w:rsidRPr="00D828D8">
        <w:t xml:space="preserve">tādējādi tika ierobežotas </w:t>
      </w:r>
      <w:r w:rsidR="00597E08" w:rsidRPr="00D828D8">
        <w:t>SIA „</w:t>
      </w:r>
      <w:r w:rsidR="00F1119F">
        <w:t>[Nosaukums]</w:t>
      </w:r>
      <w:r w:rsidR="00597E08" w:rsidRPr="00D828D8">
        <w:t>” tiesības uz aizstāvību.</w:t>
      </w:r>
    </w:p>
    <w:p w14:paraId="068CCA0E" w14:textId="42D3E6BF" w:rsidR="00597E08" w:rsidRPr="00D828D8" w:rsidRDefault="000D5E61" w:rsidP="001E2BC2">
      <w:pPr>
        <w:widowControl w:val="0"/>
        <w:spacing w:line="276" w:lineRule="auto"/>
        <w:ind w:firstLine="720"/>
        <w:contextualSpacing/>
        <w:rPr>
          <w:lang w:eastAsia="zh-CN"/>
        </w:rPr>
      </w:pPr>
      <w:r w:rsidRPr="00D828D8">
        <w:t>P</w:t>
      </w:r>
      <w:r w:rsidR="00597E08" w:rsidRPr="00D828D8">
        <w:t>ar Kriminālprocesa likuma 455. panta trešās daļas piemērošanas iespējamību aizstāvis norādījis, ka tiesa var atzīt par pierādītiem no apsūdzības atšķirīgus noziedzīgā nodarījuma faktiskos apstākļus, tomēr tas nav noteikts kā tiesas imperatīvs pienākums ikvienā gadījumā. Ņemot vērā, ka apelācijas instances tiesa ir konstatējusi juridiskās personas tiesību uz aizstāvību pārkāpumu, Kriminālprocesa likuma 455. panta trešās daļas piemērošana</w:t>
      </w:r>
      <w:r w:rsidR="00143EF6" w:rsidRPr="00D828D8">
        <w:t xml:space="preserve"> nav iespējama.</w:t>
      </w:r>
    </w:p>
    <w:p w14:paraId="7D61461F" w14:textId="269DB7E0" w:rsidR="001130ED" w:rsidRPr="00D828D8" w:rsidRDefault="001130ED" w:rsidP="001130ED">
      <w:pPr>
        <w:widowControl w:val="0"/>
        <w:spacing w:line="276" w:lineRule="auto"/>
        <w:ind w:firstLine="720"/>
        <w:contextualSpacing/>
        <w:rPr>
          <w:lang w:eastAsia="zh-CN"/>
        </w:rPr>
      </w:pPr>
    </w:p>
    <w:p w14:paraId="74986C0C" w14:textId="77777777" w:rsidR="005E3382" w:rsidRPr="00D828D8" w:rsidRDefault="005E3382" w:rsidP="005E3382">
      <w:pPr>
        <w:shd w:val="clear" w:color="auto" w:fill="FFFFFF"/>
        <w:spacing w:line="276" w:lineRule="auto"/>
        <w:jc w:val="center"/>
        <w:rPr>
          <w:rFonts w:asciiTheme="majorBidi" w:hAnsiTheme="majorBidi" w:cstheme="majorBidi"/>
        </w:rPr>
      </w:pPr>
      <w:r w:rsidRPr="00D828D8">
        <w:rPr>
          <w:rFonts w:asciiTheme="majorBidi" w:hAnsiTheme="majorBidi" w:cstheme="majorBidi"/>
          <w:b/>
        </w:rPr>
        <w:t>Motīvu daļa</w:t>
      </w:r>
    </w:p>
    <w:p w14:paraId="0625D63C" w14:textId="77777777" w:rsidR="005E3382" w:rsidRPr="00D828D8" w:rsidRDefault="005E3382" w:rsidP="008218EF">
      <w:pPr>
        <w:spacing w:line="276" w:lineRule="auto"/>
        <w:ind w:firstLine="720"/>
      </w:pPr>
    </w:p>
    <w:p w14:paraId="78D4A23C" w14:textId="709057D1" w:rsidR="00726DFC" w:rsidRPr="00D828D8" w:rsidRDefault="001C6AFA" w:rsidP="00A85A31">
      <w:pPr>
        <w:spacing w:line="276" w:lineRule="auto"/>
        <w:ind w:firstLine="720"/>
      </w:pPr>
      <w:r w:rsidRPr="00D828D8">
        <w:t>[</w:t>
      </w:r>
      <w:r w:rsidR="00143EF6" w:rsidRPr="00D828D8">
        <w:t>8</w:t>
      </w:r>
      <w:r w:rsidRPr="00D828D8">
        <w:t>]</w:t>
      </w:r>
      <w:r w:rsidR="00FA56E0" w:rsidRPr="00D828D8">
        <w:rPr>
          <w:rFonts w:asciiTheme="majorBidi" w:hAnsiTheme="majorBidi" w:cstheme="majorBidi"/>
        </w:rPr>
        <w:t> </w:t>
      </w:r>
      <w:r w:rsidR="00726DFC" w:rsidRPr="00D828D8">
        <w:t xml:space="preserve">Senāts atzīst par nepieciešamu vispirms sniegt vērtējumu apsūdzētās aizstāvja kasācijas sūdzības argumentiem par </w:t>
      </w:r>
      <w:r w:rsidR="00942142">
        <w:rPr>
          <w:rFonts w:asciiTheme="majorBidi" w:hAnsiTheme="majorBidi" w:cstheme="majorBidi"/>
          <w:szCs w:val="24"/>
        </w:rPr>
        <w:t>[pers. A]</w:t>
      </w:r>
      <w:r w:rsidR="00726DFC" w:rsidRPr="00D828D8">
        <w:t xml:space="preserve"> vainīgumu viņai inkriminētajā noziedzīgajā nodarījumā.</w:t>
      </w:r>
    </w:p>
    <w:p w14:paraId="1060C712" w14:textId="388C791D" w:rsidR="00726DFC" w:rsidRPr="00D828D8" w:rsidRDefault="00726DFC" w:rsidP="00A85A31">
      <w:pPr>
        <w:spacing w:line="276" w:lineRule="auto"/>
        <w:ind w:firstLine="720"/>
        <w:rPr>
          <w:rFonts w:asciiTheme="majorBidi" w:hAnsiTheme="majorBidi" w:cstheme="majorBidi"/>
          <w:color w:val="000000"/>
        </w:rPr>
      </w:pPr>
      <w:r w:rsidRPr="00D828D8">
        <w:rPr>
          <w:rFonts w:asciiTheme="majorBidi" w:eastAsiaTheme="majorEastAsia" w:hAnsiTheme="majorBidi" w:cstheme="majorBidi"/>
          <w:iCs/>
        </w:rPr>
        <w:t>[</w:t>
      </w:r>
      <w:r w:rsidR="002706C8" w:rsidRPr="00D828D8">
        <w:rPr>
          <w:rFonts w:asciiTheme="majorBidi" w:eastAsiaTheme="majorEastAsia" w:hAnsiTheme="majorBidi" w:cstheme="majorBidi"/>
          <w:iCs/>
        </w:rPr>
        <w:t>8</w:t>
      </w:r>
      <w:r w:rsidRPr="00D828D8">
        <w:rPr>
          <w:rFonts w:asciiTheme="majorBidi" w:eastAsiaTheme="majorEastAsia" w:hAnsiTheme="majorBidi" w:cstheme="majorBidi"/>
          <w:iCs/>
        </w:rPr>
        <w:t>.1] </w:t>
      </w:r>
      <w:r w:rsidRPr="00D828D8">
        <w:rPr>
          <w:rFonts w:asciiTheme="majorBidi" w:hAnsiTheme="majorBidi" w:cstheme="majorBidi"/>
          <w:color w:val="000000"/>
        </w:rPr>
        <w:t>Kriminālprocesa likuma 569. panta pirmā daļa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tā grozīšanu juridisku iemeslu dēļ. Savukārt Kriminālprocesa likuma 569. panta trešā daļa noteic, ka kasācijas instances tiesa pierādījumus lietā no jauna neizvērtē.</w:t>
      </w:r>
    </w:p>
    <w:p w14:paraId="6BC1A6F9" w14:textId="77777777" w:rsidR="00726DFC" w:rsidRPr="00D828D8" w:rsidRDefault="00726DFC" w:rsidP="00A85A31">
      <w:pPr>
        <w:spacing w:line="276" w:lineRule="auto"/>
        <w:ind w:firstLine="720"/>
        <w:rPr>
          <w:rFonts w:asciiTheme="majorBidi" w:hAnsiTheme="majorBidi" w:cstheme="majorBidi"/>
          <w:color w:val="000000"/>
        </w:rPr>
      </w:pPr>
      <w:r w:rsidRPr="00D828D8">
        <w:rPr>
          <w:rFonts w:asciiTheme="majorBidi" w:hAnsiTheme="majorBidi" w:cstheme="majorBidi"/>
          <w:color w:val="000000"/>
        </w:rPr>
        <w:t>Senāts konstatē, ka kasācijas sūdzības argumenti pamatā ir motivēti ar sūdzības autora atšķirīgo viedokli par lietā iegūto pierādījumu vērtējumu un faktiski pauž sūdzības iesniedzēja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 panta pirmo daļu.</w:t>
      </w:r>
    </w:p>
    <w:p w14:paraId="5E39790F" w14:textId="77777777" w:rsidR="00B62602" w:rsidRPr="00D828D8" w:rsidRDefault="00726DFC" w:rsidP="00A85A31">
      <w:pPr>
        <w:spacing w:line="276" w:lineRule="auto"/>
        <w:ind w:firstLine="720"/>
        <w:rPr>
          <w:rFonts w:asciiTheme="majorBidi" w:hAnsiTheme="majorBidi" w:cstheme="majorBidi"/>
          <w:color w:val="000000"/>
        </w:rPr>
      </w:pPr>
      <w:bookmarkStart w:id="1" w:name="_Hlk107328962"/>
      <w:r w:rsidRPr="00D828D8">
        <w:rPr>
          <w:rFonts w:asciiTheme="majorBidi" w:hAnsiTheme="majorBidi" w:cstheme="majorBidi"/>
          <w:color w:val="000000"/>
        </w:rPr>
        <w:t>Citāda pierādījumu vērtēšana kasācijas sūdzībā, nekā tos ir vērtējusi apelācijas instances tiesa, nevar būt par pamatu apelācijas instances tiesas nolēmuma atcelšanai.</w:t>
      </w:r>
      <w:bookmarkEnd w:id="1"/>
    </w:p>
    <w:p w14:paraId="100E1201" w14:textId="3ADD67C5" w:rsidR="0043492C" w:rsidRPr="00D828D8" w:rsidRDefault="00726DFC" w:rsidP="00A85A31">
      <w:pPr>
        <w:spacing w:line="276" w:lineRule="auto"/>
        <w:ind w:firstLine="720"/>
        <w:rPr>
          <w:rFonts w:asciiTheme="majorBidi" w:hAnsiTheme="majorBidi" w:cstheme="majorBidi"/>
          <w:color w:val="000000"/>
        </w:rPr>
      </w:pPr>
      <w:r w:rsidRPr="00D828D8">
        <w:t>[</w:t>
      </w:r>
      <w:r w:rsidR="002706C8" w:rsidRPr="00D828D8">
        <w:t>8</w:t>
      </w:r>
      <w:r w:rsidRPr="00D828D8">
        <w:t>.2] </w:t>
      </w:r>
      <w:r w:rsidR="00824F3C" w:rsidRPr="00D828D8">
        <w:t xml:space="preserve">Apelācijas instances tiesa </w:t>
      </w:r>
      <w:r w:rsidR="000B7258" w:rsidRPr="00D828D8">
        <w:t>konstatējusi</w:t>
      </w:r>
      <w:r w:rsidR="00824F3C" w:rsidRPr="00D828D8">
        <w:t xml:space="preserve">, ka </w:t>
      </w:r>
      <w:r w:rsidR="0029319E">
        <w:rPr>
          <w:rFonts w:asciiTheme="majorBidi" w:hAnsiTheme="majorBidi" w:cstheme="majorBidi"/>
          <w:szCs w:val="24"/>
        </w:rPr>
        <w:t>[pers. A]</w:t>
      </w:r>
      <w:r w:rsidR="00B62602" w:rsidRPr="00D828D8">
        <w:t xml:space="preserve"> sniedza apzināti nepatiesas ziņas juridiskajai personai, kas nav valsts institūcija un kas ar likumu pilnvarota pieprasīt informāciju par patieso labuma guvēju, kā arī sniedza apzināti nepatiesas ziņas valsts institūcijai par patieso labuma guvēju.</w:t>
      </w:r>
      <w:r w:rsidR="000B7258" w:rsidRPr="00D828D8">
        <w:t xml:space="preserve"> </w:t>
      </w:r>
    </w:p>
    <w:p w14:paraId="3DAF63A9" w14:textId="01BB7F1F" w:rsidR="0043492C" w:rsidRPr="00D828D8" w:rsidRDefault="00AA4018" w:rsidP="00A85A31">
      <w:pPr>
        <w:spacing w:line="276" w:lineRule="auto"/>
        <w:ind w:firstLine="720"/>
        <w:rPr>
          <w:rFonts w:asciiTheme="majorBidi" w:hAnsiTheme="majorBidi" w:cstheme="majorBidi"/>
          <w:color w:val="000000"/>
        </w:rPr>
      </w:pPr>
      <w:r w:rsidRPr="00D828D8">
        <w:t>A</w:t>
      </w:r>
      <w:r w:rsidR="00BB2B6D" w:rsidRPr="00D828D8">
        <w:t>pelācijas instances tiesa</w:t>
      </w:r>
      <w:r w:rsidR="0043492C" w:rsidRPr="00D828D8">
        <w:t xml:space="preserve"> </w:t>
      </w:r>
      <w:r w:rsidR="004659DE" w:rsidRPr="00D828D8">
        <w:t>norādījusi</w:t>
      </w:r>
      <w:r w:rsidR="0043492C" w:rsidRPr="00D828D8">
        <w:t>, ka no objektīvās puses konkrētais noziedzīgais nodarījums izpaužas kā darbība – nepatiesu ziņu sniegšana juridiskai personai, kas ir pilnvarota ar likumu pieprasīt informāciju par darījumu un tajā iesaistīto finanšu līdzekļu vai citas mantas patieso īpašnieku vai patieso labuma guvēju</w:t>
      </w:r>
      <w:r w:rsidR="00301248">
        <w:t>,</w:t>
      </w:r>
      <w:r w:rsidR="0043492C" w:rsidRPr="00D828D8">
        <w:t xml:space="preserve"> un nepatiesu ziņu sniegšana valsts institūcijai</w:t>
      </w:r>
      <w:r w:rsidR="00301248">
        <w:t> –</w:t>
      </w:r>
      <w:r w:rsidR="0043492C" w:rsidRPr="00D828D8">
        <w:t>, noziedzīgais nodarījums ir pabeigts ar minēto darbību izdarīšanas brīdi.</w:t>
      </w:r>
    </w:p>
    <w:p w14:paraId="7581436C" w14:textId="38DF5C17" w:rsidR="00201463" w:rsidRPr="00D828D8" w:rsidRDefault="0043492C" w:rsidP="0029319E">
      <w:pPr>
        <w:spacing w:line="276" w:lineRule="auto"/>
        <w:ind w:firstLine="720"/>
      </w:pPr>
      <w:r w:rsidRPr="00D828D8">
        <w:rPr>
          <w:rFonts w:asciiTheme="majorBidi" w:hAnsiTheme="majorBidi" w:cstheme="majorBidi"/>
          <w:color w:val="000000"/>
        </w:rPr>
        <w:t xml:space="preserve">Tiesa </w:t>
      </w:r>
      <w:r w:rsidR="00BB2B6D" w:rsidRPr="00D828D8">
        <w:t>ir analizējusi lietā konstatēto faktisko apstākļu atbilstību juridiskajai kvalifikācijai pēc Krimināllikuma 195</w:t>
      </w:r>
      <w:r w:rsidR="004659DE" w:rsidRPr="00D828D8">
        <w:t>.</w:t>
      </w:r>
      <w:r w:rsidR="00BB2B6D" w:rsidRPr="00D828D8">
        <w:rPr>
          <w:vertAlign w:val="superscript"/>
        </w:rPr>
        <w:t>1 </w:t>
      </w:r>
      <w:r w:rsidR="00BB2B6D" w:rsidRPr="00D828D8">
        <w:t>panta pirmās daļas. Tiesa</w:t>
      </w:r>
      <w:r w:rsidR="00726DFC" w:rsidRPr="00D828D8">
        <w:t xml:space="preserve">, pamatojoties uz lietā esošajiem un pārbaudītajiem pierādījumiem, tajā skaitā apsūdzētās </w:t>
      </w:r>
      <w:r w:rsidR="0029319E">
        <w:rPr>
          <w:rFonts w:asciiTheme="majorBidi" w:hAnsiTheme="majorBidi" w:cstheme="majorBidi"/>
          <w:szCs w:val="24"/>
        </w:rPr>
        <w:t>[pers. A]</w:t>
      </w:r>
      <w:r w:rsidR="00726DFC" w:rsidRPr="00D828D8">
        <w:t>, liecinieku</w:t>
      </w:r>
      <w:r w:rsidR="00BB2B6D" w:rsidRPr="00D828D8">
        <w:t xml:space="preserve"> </w:t>
      </w:r>
      <w:r w:rsidR="0029319E">
        <w:t>[pers. B]</w:t>
      </w:r>
      <w:r w:rsidR="00BB2B6D" w:rsidRPr="00D828D8">
        <w:t xml:space="preserve">, </w:t>
      </w:r>
      <w:r w:rsidR="0029319E">
        <w:t>[pers. E]</w:t>
      </w:r>
      <w:r w:rsidR="00ED5C05" w:rsidRPr="00D828D8">
        <w:t xml:space="preserve">, </w:t>
      </w:r>
      <w:r w:rsidR="0029319E">
        <w:t>[pers. F]</w:t>
      </w:r>
      <w:r w:rsidR="00ED5C05" w:rsidRPr="00D828D8">
        <w:t xml:space="preserve">, </w:t>
      </w:r>
      <w:r w:rsidR="0029319E">
        <w:t>[pers. C]</w:t>
      </w:r>
      <w:r w:rsidR="00ED5C05" w:rsidRPr="00D828D8">
        <w:t xml:space="preserve"> liecīb</w:t>
      </w:r>
      <w:r w:rsidR="00673C61" w:rsidRPr="00D828D8">
        <w:t xml:space="preserve">ām, </w:t>
      </w:r>
      <w:r w:rsidR="00BB2B6D" w:rsidRPr="00D828D8">
        <w:t xml:space="preserve">Latvijas </w:t>
      </w:r>
      <w:r w:rsidR="002706C8" w:rsidRPr="00D828D8">
        <w:t xml:space="preserve">Republikas </w:t>
      </w:r>
      <w:r w:rsidR="00BB2B6D" w:rsidRPr="00D828D8">
        <w:t>Uzņēmumu reģistra</w:t>
      </w:r>
      <w:r w:rsidR="002706C8" w:rsidRPr="00D828D8">
        <w:t xml:space="preserve"> (turpmāk</w:t>
      </w:r>
      <w:r w:rsidR="00852009">
        <w:t> </w:t>
      </w:r>
      <w:r w:rsidR="00EB4206" w:rsidRPr="00D828D8">
        <w:t xml:space="preserve">– </w:t>
      </w:r>
      <w:r w:rsidR="002706C8" w:rsidRPr="00D828D8">
        <w:t>Reģistrs)</w:t>
      </w:r>
      <w:r w:rsidR="00ED5C05" w:rsidRPr="00D828D8">
        <w:t>, AS „</w:t>
      </w:r>
      <w:proofErr w:type="spellStart"/>
      <w:r w:rsidR="00ED5C05" w:rsidRPr="00D828D8">
        <w:t>BlueOrange</w:t>
      </w:r>
      <w:proofErr w:type="spellEnd"/>
      <w:r w:rsidR="00ED5C05" w:rsidRPr="00D828D8">
        <w:t xml:space="preserve"> </w:t>
      </w:r>
      <w:proofErr w:type="spellStart"/>
      <w:r w:rsidR="00ED5C05" w:rsidRPr="00D828D8">
        <w:t>Bank</w:t>
      </w:r>
      <w:proofErr w:type="spellEnd"/>
      <w:r w:rsidR="00ED5C05" w:rsidRPr="00D828D8">
        <w:t xml:space="preserve">”, Valsts </w:t>
      </w:r>
      <w:r w:rsidR="00996A1E" w:rsidRPr="00D828D8">
        <w:t>i</w:t>
      </w:r>
      <w:r w:rsidR="00ED5C05" w:rsidRPr="00D828D8">
        <w:t>eņēmumu dienesta un SIA „Lursoft IT” atbildēs</w:t>
      </w:r>
      <w:r w:rsidR="00673C61" w:rsidRPr="00D828D8">
        <w:t xml:space="preserve"> </w:t>
      </w:r>
      <w:r w:rsidR="00173DA2" w:rsidRPr="00D828D8">
        <w:t>ietvertajām</w:t>
      </w:r>
      <w:r w:rsidR="004A6671" w:rsidRPr="00D828D8">
        <w:t xml:space="preserve"> ziņām</w:t>
      </w:r>
      <w:r w:rsidR="00673C61" w:rsidRPr="00D828D8">
        <w:t xml:space="preserve"> </w:t>
      </w:r>
      <w:r w:rsidR="00726DFC" w:rsidRPr="00D828D8">
        <w:t xml:space="preserve">un </w:t>
      </w:r>
      <w:r w:rsidR="00852009">
        <w:t>citiem</w:t>
      </w:r>
      <w:r w:rsidR="00726DFC" w:rsidRPr="00D828D8">
        <w:t xml:space="preserve"> rakstveida pierādījumiem lietā</w:t>
      </w:r>
      <w:r w:rsidR="00921D9F">
        <w:t>,</w:t>
      </w:r>
      <w:r w:rsidR="00726DFC" w:rsidRPr="00D828D8">
        <w:t xml:space="preserve"> ir konstatējusi </w:t>
      </w:r>
      <w:r w:rsidR="0029319E">
        <w:rPr>
          <w:rFonts w:asciiTheme="majorBidi" w:hAnsiTheme="majorBidi" w:cstheme="majorBidi"/>
          <w:szCs w:val="24"/>
        </w:rPr>
        <w:t>[pers. A]</w:t>
      </w:r>
      <w:r w:rsidR="00726DFC" w:rsidRPr="00D828D8">
        <w:t xml:space="preserve"> darbībās visas nepieciešamās un obligātās Krimināllikuma </w:t>
      </w:r>
      <w:r w:rsidR="00673C61" w:rsidRPr="00D828D8">
        <w:t>195</w:t>
      </w:r>
      <w:r w:rsidR="00921D9F">
        <w:t>.</w:t>
      </w:r>
      <w:r w:rsidR="00673C61" w:rsidRPr="00D828D8">
        <w:rPr>
          <w:vertAlign w:val="superscript"/>
        </w:rPr>
        <w:t>1 </w:t>
      </w:r>
      <w:r w:rsidR="00673C61" w:rsidRPr="00D828D8">
        <w:t>panta pirmajā daļā</w:t>
      </w:r>
      <w:r w:rsidR="00726DFC" w:rsidRPr="00D828D8">
        <w:t xml:space="preserve"> paredzētā noziedzīgā nodarījuma sastāva pazīmes un atzinusi, ka apsūdzētās </w:t>
      </w:r>
      <w:r w:rsidR="0029319E">
        <w:rPr>
          <w:rFonts w:asciiTheme="majorBidi" w:hAnsiTheme="majorBidi" w:cstheme="majorBidi"/>
          <w:szCs w:val="24"/>
        </w:rPr>
        <w:t>[pers. A]</w:t>
      </w:r>
      <w:r w:rsidR="00726DFC" w:rsidRPr="00D828D8">
        <w:t xml:space="preserve"> vainīgums inkriminētajā noziedzīgajā nodarījumā ir pierādīts ārpus saprātīgām šaubām</w:t>
      </w:r>
      <w:r w:rsidR="00673C61" w:rsidRPr="00D828D8">
        <w:t>.</w:t>
      </w:r>
      <w:r w:rsidR="00201463" w:rsidRPr="00D828D8">
        <w:t xml:space="preserve"> </w:t>
      </w:r>
    </w:p>
    <w:p w14:paraId="4B803BF5" w14:textId="7EC32EA1" w:rsidR="00E71998" w:rsidRPr="00D828D8" w:rsidRDefault="004659DE" w:rsidP="0029319E">
      <w:pPr>
        <w:spacing w:line="276" w:lineRule="auto"/>
        <w:ind w:firstLine="720"/>
      </w:pPr>
      <w:r w:rsidRPr="00D828D8">
        <w:lastRenderedPageBreak/>
        <w:t>Apelācijas instances t</w:t>
      </w:r>
      <w:r w:rsidR="00201463" w:rsidRPr="00D828D8">
        <w:t>iesa konstatējusi, ka</w:t>
      </w:r>
      <w:r w:rsidR="00183585" w:rsidRPr="00D828D8">
        <w:t>:</w:t>
      </w:r>
      <w:r w:rsidR="00201463" w:rsidRPr="00D828D8">
        <w:t xml:space="preserve"> </w:t>
      </w:r>
      <w:r w:rsidR="00223CDD" w:rsidRPr="00D828D8">
        <w:t>1) </w:t>
      </w:r>
      <w:r w:rsidR="00183585" w:rsidRPr="00D828D8">
        <w:t xml:space="preserve">2021. gada 18. martā </w:t>
      </w:r>
      <w:r w:rsidR="00201463" w:rsidRPr="00D828D8">
        <w:t>SIA „</w:t>
      </w:r>
      <w:r w:rsidR="0029319E">
        <w:t>[Nosaukums]</w:t>
      </w:r>
      <w:r w:rsidR="00201463" w:rsidRPr="00D828D8">
        <w:t>” norēķinu kontu AS „</w:t>
      </w:r>
      <w:proofErr w:type="spellStart"/>
      <w:r w:rsidR="00201463" w:rsidRPr="00D828D8">
        <w:t>BlueOrange</w:t>
      </w:r>
      <w:proofErr w:type="spellEnd"/>
      <w:r w:rsidR="00201463" w:rsidRPr="00D828D8">
        <w:t xml:space="preserve"> </w:t>
      </w:r>
      <w:proofErr w:type="spellStart"/>
      <w:r w:rsidR="00201463" w:rsidRPr="00D828D8">
        <w:t>Bank</w:t>
      </w:r>
      <w:proofErr w:type="spellEnd"/>
      <w:r w:rsidR="00201463" w:rsidRPr="00D828D8">
        <w:t>” atvēr</w:t>
      </w:r>
      <w:r w:rsidR="004F3858">
        <w:t>is</w:t>
      </w:r>
      <w:r w:rsidR="00201463" w:rsidRPr="00D828D8">
        <w:t xml:space="preserve"> </w:t>
      </w:r>
      <w:r w:rsidR="0029319E">
        <w:t>[pers. B]</w:t>
      </w:r>
      <w:r w:rsidRPr="00D828D8">
        <w:t>, kuram bija p</w:t>
      </w:r>
      <w:r w:rsidR="00201463" w:rsidRPr="00D828D8">
        <w:t xml:space="preserve">araksta tiesības, lai rīkotos ar </w:t>
      </w:r>
      <w:r w:rsidR="00223CDD" w:rsidRPr="00D828D8">
        <w:t>to</w:t>
      </w:r>
      <w:r w:rsidR="00201463" w:rsidRPr="00D828D8">
        <w:t xml:space="preserve">, tostarp attālināti, </w:t>
      </w:r>
      <w:r w:rsidRPr="00D828D8">
        <w:t xml:space="preserve">un </w:t>
      </w:r>
      <w:r w:rsidR="00201463" w:rsidRPr="00D828D8">
        <w:t>kurš bija norādīts kā patiesais labuma guvējs. Konts tika slēgts 2021.</w:t>
      </w:r>
      <w:r w:rsidR="00AC6B4E" w:rsidRPr="00D828D8">
        <w:t> </w:t>
      </w:r>
      <w:r w:rsidR="00201463" w:rsidRPr="00D828D8">
        <w:t>gada 22.</w:t>
      </w:r>
      <w:r w:rsidR="00AC6B4E" w:rsidRPr="00D828D8">
        <w:t> </w:t>
      </w:r>
      <w:r w:rsidR="00201463" w:rsidRPr="00D828D8">
        <w:t>jūnijā (</w:t>
      </w:r>
      <w:r w:rsidR="00201463" w:rsidRPr="00D828D8">
        <w:rPr>
          <w:rFonts w:eastAsia="Times New Roman" w:cs="Times New Roman"/>
          <w:i/>
        </w:rPr>
        <w:t>1.</w:t>
      </w:r>
      <w:r w:rsidR="00AC6B4E" w:rsidRPr="00D828D8">
        <w:rPr>
          <w:rFonts w:eastAsia="Times New Roman" w:cs="Times New Roman"/>
          <w:i/>
        </w:rPr>
        <w:t> </w:t>
      </w:r>
      <w:r w:rsidR="00201463" w:rsidRPr="00D828D8">
        <w:rPr>
          <w:rFonts w:eastAsia="Times New Roman" w:cs="Times New Roman"/>
          <w:i/>
        </w:rPr>
        <w:t>sējuma 57., 60.-69.</w:t>
      </w:r>
      <w:r w:rsidR="00AC6B4E" w:rsidRPr="00D828D8">
        <w:rPr>
          <w:rFonts w:eastAsia="Times New Roman" w:cs="Times New Roman"/>
          <w:i/>
        </w:rPr>
        <w:t> </w:t>
      </w:r>
      <w:r w:rsidR="00201463" w:rsidRPr="00D828D8">
        <w:rPr>
          <w:rFonts w:eastAsia="Times New Roman" w:cs="Times New Roman"/>
          <w:i/>
        </w:rPr>
        <w:t>lapa</w:t>
      </w:r>
      <w:r w:rsidR="00201463" w:rsidRPr="00D828D8">
        <w:t>)</w:t>
      </w:r>
      <w:r w:rsidR="00183585" w:rsidRPr="00D828D8">
        <w:t>;</w:t>
      </w:r>
      <w:r w:rsidR="00201463" w:rsidRPr="00D828D8">
        <w:t xml:space="preserve"> </w:t>
      </w:r>
      <w:r w:rsidR="00183585" w:rsidRPr="00D828D8">
        <w:t xml:space="preserve">2) 2021. gada 21. aprīlī </w:t>
      </w:r>
      <w:r w:rsidR="00201463" w:rsidRPr="00D828D8">
        <w:t>AS</w:t>
      </w:r>
      <w:r w:rsidR="004E43B3" w:rsidRPr="00D828D8">
        <w:t> </w:t>
      </w:r>
      <w:r w:rsidR="00201463" w:rsidRPr="00D828D8">
        <w:t>“</w:t>
      </w:r>
      <w:proofErr w:type="spellStart"/>
      <w:r w:rsidR="00201463" w:rsidRPr="00D828D8">
        <w:t>BlueOrange</w:t>
      </w:r>
      <w:proofErr w:type="spellEnd"/>
      <w:r w:rsidR="00201463" w:rsidRPr="00D828D8">
        <w:t xml:space="preserve"> </w:t>
      </w:r>
      <w:proofErr w:type="spellStart"/>
      <w:r w:rsidR="00201463" w:rsidRPr="00D828D8">
        <w:t>Bank</w:t>
      </w:r>
      <w:proofErr w:type="spellEnd"/>
      <w:r w:rsidR="00201463" w:rsidRPr="00D828D8">
        <w:t>” juridiskās personas pilnvara</w:t>
      </w:r>
      <w:r w:rsidR="004E43B3" w:rsidRPr="00D828D8">
        <w:t>s</w:t>
      </w:r>
      <w:r w:rsidR="00201463" w:rsidRPr="00D828D8">
        <w:t xml:space="preserve">, parakstu un zīmogu </w:t>
      </w:r>
      <w:r w:rsidR="004E43B3" w:rsidRPr="00D828D8">
        <w:t>paraugu veidlap</w:t>
      </w:r>
      <w:r w:rsidR="00183585" w:rsidRPr="00D828D8">
        <w:t>u</w:t>
      </w:r>
      <w:r w:rsidR="00201463" w:rsidRPr="00D828D8">
        <w:t xml:space="preserve"> aizpildījusi </w:t>
      </w:r>
      <w:r w:rsidR="0029319E">
        <w:t>[pers. A]</w:t>
      </w:r>
      <w:r w:rsidR="004E43B3" w:rsidRPr="00D828D8">
        <w:t xml:space="preserve"> </w:t>
      </w:r>
      <w:r w:rsidR="00201463" w:rsidRPr="00D828D8">
        <w:t xml:space="preserve">un </w:t>
      </w:r>
      <w:r w:rsidR="004E43B3" w:rsidRPr="00D828D8">
        <w:t xml:space="preserve">noradījusi </w:t>
      </w:r>
      <w:r w:rsidR="00201463" w:rsidRPr="00D828D8">
        <w:t xml:space="preserve">sevi kā </w:t>
      </w:r>
      <w:r w:rsidR="004E43B3" w:rsidRPr="00D828D8">
        <w:t>SIA „</w:t>
      </w:r>
      <w:r w:rsidR="0029319E">
        <w:t>[Nosaukums]</w:t>
      </w:r>
      <w:r w:rsidR="004E43B3" w:rsidRPr="00D828D8">
        <w:t xml:space="preserve">” </w:t>
      </w:r>
      <w:r w:rsidR="00201463" w:rsidRPr="00D828D8">
        <w:t xml:space="preserve">pārstāvi un vienīgo </w:t>
      </w:r>
      <w:proofErr w:type="spellStart"/>
      <w:r w:rsidR="00201463" w:rsidRPr="00D828D8">
        <w:t>paraksttiesīgo</w:t>
      </w:r>
      <w:proofErr w:type="spellEnd"/>
      <w:r w:rsidR="00201463" w:rsidRPr="00D828D8">
        <w:t xml:space="preserve"> personu</w:t>
      </w:r>
      <w:r w:rsidR="004C31AC" w:rsidRPr="00D828D8">
        <w:t xml:space="preserve"> </w:t>
      </w:r>
      <w:r w:rsidR="00201463" w:rsidRPr="00D828D8">
        <w:t>(</w:t>
      </w:r>
      <w:r w:rsidR="00201463" w:rsidRPr="00D828D8">
        <w:rPr>
          <w:rFonts w:eastAsia="Times New Roman" w:cs="Times New Roman"/>
          <w:i/>
        </w:rPr>
        <w:t>1.</w:t>
      </w:r>
      <w:r w:rsidR="004E43B3" w:rsidRPr="00D828D8">
        <w:rPr>
          <w:rFonts w:eastAsia="Times New Roman" w:cs="Times New Roman"/>
          <w:i/>
        </w:rPr>
        <w:t> </w:t>
      </w:r>
      <w:r w:rsidR="00201463" w:rsidRPr="00D828D8">
        <w:rPr>
          <w:rFonts w:eastAsia="Times New Roman" w:cs="Times New Roman"/>
          <w:i/>
        </w:rPr>
        <w:t>sējuma 64.-67.</w:t>
      </w:r>
      <w:r w:rsidR="004E43B3" w:rsidRPr="00D828D8">
        <w:rPr>
          <w:rFonts w:eastAsia="Times New Roman" w:cs="Times New Roman"/>
          <w:i/>
        </w:rPr>
        <w:t> </w:t>
      </w:r>
      <w:r w:rsidR="00201463" w:rsidRPr="00D828D8">
        <w:rPr>
          <w:rFonts w:eastAsia="Times New Roman" w:cs="Times New Roman"/>
          <w:i/>
        </w:rPr>
        <w:t>lapa</w:t>
      </w:r>
      <w:r w:rsidR="00201463" w:rsidRPr="00D828D8">
        <w:t>).</w:t>
      </w:r>
    </w:p>
    <w:p w14:paraId="1C82B34E" w14:textId="7A79C6F0" w:rsidR="00886C5E" w:rsidRPr="00D828D8" w:rsidRDefault="004E43B3" w:rsidP="0029319E">
      <w:pPr>
        <w:spacing w:line="276" w:lineRule="auto"/>
        <w:ind w:firstLine="720"/>
      </w:pPr>
      <w:bookmarkStart w:id="2" w:name="_Hlk195538087"/>
      <w:r w:rsidRPr="00D828D8">
        <w:t>T</w:t>
      </w:r>
      <w:r w:rsidR="00886C5E" w:rsidRPr="00D828D8">
        <w:t xml:space="preserve">iesa </w:t>
      </w:r>
      <w:r w:rsidR="00833E3E" w:rsidRPr="00B42879">
        <w:t>secinājusi</w:t>
      </w:r>
      <w:r w:rsidR="00886C5E" w:rsidRPr="00B42879">
        <w:t xml:space="preserve">, ka </w:t>
      </w:r>
      <w:r w:rsidR="0029319E">
        <w:t>[pers. B]</w:t>
      </w:r>
      <w:r w:rsidR="00886C5E" w:rsidRPr="00B42879">
        <w:t xml:space="preserve"> </w:t>
      </w:r>
      <w:r w:rsidR="00D43017" w:rsidRPr="00B42879">
        <w:t>atvēr</w:t>
      </w:r>
      <w:r w:rsidR="00266513" w:rsidRPr="00B42879">
        <w:t>a</w:t>
      </w:r>
      <w:r w:rsidR="00886C5E" w:rsidRPr="00B42879">
        <w:t xml:space="preserve"> </w:t>
      </w:r>
      <w:r w:rsidR="00D43017" w:rsidRPr="00B42879">
        <w:t xml:space="preserve">norēķinu </w:t>
      </w:r>
      <w:r w:rsidR="00886C5E" w:rsidRPr="00B42879">
        <w:t xml:space="preserve">kontu bankā, turklāt </w:t>
      </w:r>
      <w:r w:rsidR="00833E3E" w:rsidRPr="00B42879">
        <w:t>izdarīj</w:t>
      </w:r>
      <w:r w:rsidR="00266513" w:rsidRPr="00B42879">
        <w:t>a</w:t>
      </w:r>
      <w:r w:rsidR="00833E3E" w:rsidRPr="00B42879">
        <w:t xml:space="preserve"> </w:t>
      </w:r>
      <w:r w:rsidR="004F3858" w:rsidRPr="00B42879">
        <w:t xml:space="preserve">to </w:t>
      </w:r>
      <w:r w:rsidR="00886C5E" w:rsidRPr="00B42879">
        <w:t xml:space="preserve">dienā, kad Reģistrs </w:t>
      </w:r>
      <w:r w:rsidR="00833E3E" w:rsidRPr="00B42879">
        <w:t>veic</w:t>
      </w:r>
      <w:r w:rsidR="00266513" w:rsidRPr="00B42879">
        <w:t>a</w:t>
      </w:r>
      <w:r w:rsidR="00833E3E" w:rsidRPr="00B42879">
        <w:t xml:space="preserve"> </w:t>
      </w:r>
      <w:r w:rsidR="00886C5E" w:rsidRPr="00B42879">
        <w:t>izmaiņas komercreģistrā, saskaņā ar kur</w:t>
      </w:r>
      <w:r w:rsidR="00EB4206" w:rsidRPr="00B42879">
        <w:t>ām</w:t>
      </w:r>
      <w:r w:rsidR="00886C5E" w:rsidRPr="00B42879">
        <w:t xml:space="preserve"> vienīgā SIA „</w:t>
      </w:r>
      <w:r w:rsidR="0029319E">
        <w:t>[Nosaukums]</w:t>
      </w:r>
      <w:r w:rsidR="00886C5E" w:rsidRPr="00B42879">
        <w:t xml:space="preserve">” dalībniece un valdes locekle ar paraksta tiesībām, kā arī patiesā labuma guvēja bija </w:t>
      </w:r>
      <w:r w:rsidR="00EB4206" w:rsidRPr="00B42879">
        <w:t xml:space="preserve">norādīta </w:t>
      </w:r>
      <w:r w:rsidR="0029319E">
        <w:rPr>
          <w:rFonts w:asciiTheme="majorBidi" w:hAnsiTheme="majorBidi" w:cstheme="majorBidi"/>
          <w:szCs w:val="24"/>
        </w:rPr>
        <w:t>[pers. A]</w:t>
      </w:r>
      <w:r w:rsidR="00886C5E" w:rsidRPr="00B42879">
        <w:t xml:space="preserve">. </w:t>
      </w:r>
      <w:bookmarkEnd w:id="2"/>
      <w:r w:rsidR="00886C5E" w:rsidRPr="00B42879">
        <w:t>Tiesa secinājusi, ka SIA „</w:t>
      </w:r>
      <w:r w:rsidR="0029319E">
        <w:t>[Nosaukums]</w:t>
      </w:r>
      <w:r w:rsidR="00886C5E" w:rsidRPr="00D828D8">
        <w:t xml:space="preserve">” kapitāldaļu pāreja </w:t>
      </w:r>
      <w:r w:rsidR="0029319E">
        <w:rPr>
          <w:rFonts w:asciiTheme="majorBidi" w:hAnsiTheme="majorBidi" w:cstheme="majorBidi"/>
          <w:szCs w:val="24"/>
        </w:rPr>
        <w:t>[pers. A]</w:t>
      </w:r>
      <w:r w:rsidR="00886C5E" w:rsidRPr="00D828D8">
        <w:t xml:space="preserve"> īpašumā bija formāla</w:t>
      </w:r>
      <w:r w:rsidR="00201463" w:rsidRPr="00D828D8">
        <w:t xml:space="preserve">, jo </w:t>
      </w:r>
      <w:r w:rsidR="0029319E">
        <w:t>[pers. B]</w:t>
      </w:r>
      <w:r w:rsidR="00833E3E" w:rsidRPr="00D828D8">
        <w:t>, atverot SIA „</w:t>
      </w:r>
      <w:r w:rsidR="0029319E">
        <w:t>[Nosaukums]</w:t>
      </w:r>
      <w:r w:rsidR="00833E3E" w:rsidRPr="00D828D8">
        <w:t>” kontu bankā,</w:t>
      </w:r>
      <w:r w:rsidR="00886C5E" w:rsidRPr="00D828D8">
        <w:t xml:space="preserve"> norādīj</w:t>
      </w:r>
      <w:r w:rsidR="00201463" w:rsidRPr="00D828D8">
        <w:t>a</w:t>
      </w:r>
      <w:r w:rsidR="00886C5E" w:rsidRPr="00D828D8">
        <w:t xml:space="preserve"> sevi kā vienīgo patieso labuma guvēju, lai arī 2021. gada 12. mart</w:t>
      </w:r>
      <w:r w:rsidR="00833E3E" w:rsidRPr="00D828D8">
        <w:t>ā</w:t>
      </w:r>
      <w:r w:rsidR="00886C5E" w:rsidRPr="00D828D8">
        <w:t xml:space="preserve"> </w:t>
      </w:r>
      <w:r w:rsidR="00EB4206" w:rsidRPr="00D828D8">
        <w:t xml:space="preserve"> </w:t>
      </w:r>
      <w:r w:rsidR="00886C5E" w:rsidRPr="00D828D8">
        <w:t> veidlapā</w:t>
      </w:r>
      <w:r w:rsidR="00EB4206" w:rsidRPr="00D828D8">
        <w:t> – pieteikums izmaiņām –</w:t>
      </w:r>
      <w:r w:rsidR="00886C5E" w:rsidRPr="00D828D8">
        <w:t xml:space="preserve"> Reģistram sevi kā tādu jau bija norādījusi </w:t>
      </w:r>
      <w:r w:rsidR="0029319E">
        <w:rPr>
          <w:rFonts w:asciiTheme="majorBidi" w:hAnsiTheme="majorBidi" w:cstheme="majorBidi"/>
          <w:szCs w:val="24"/>
        </w:rPr>
        <w:t>[pers. A]</w:t>
      </w:r>
      <w:r w:rsidR="00886C5E" w:rsidRPr="00D828D8">
        <w:t xml:space="preserve">. </w:t>
      </w:r>
    </w:p>
    <w:p w14:paraId="2FB527CB" w14:textId="58FBB78D" w:rsidR="0043492C" w:rsidRPr="00D828D8" w:rsidRDefault="004A6671" w:rsidP="00A85A31">
      <w:pPr>
        <w:spacing w:line="276" w:lineRule="auto"/>
        <w:ind w:firstLine="720"/>
      </w:pPr>
      <w:r w:rsidRPr="00D828D8">
        <w:t>A</w:t>
      </w:r>
      <w:r w:rsidR="00673C61" w:rsidRPr="00D828D8">
        <w:t>pelācijas instances tiesa</w:t>
      </w:r>
      <w:r w:rsidR="003E5A8A" w:rsidRPr="00D828D8">
        <w:t xml:space="preserve"> konstatējusi, ka </w:t>
      </w:r>
      <w:r w:rsidR="00183585" w:rsidRPr="00D828D8">
        <w:t xml:space="preserve">2021. gada 12. martā </w:t>
      </w:r>
      <w:r w:rsidR="0029319E">
        <w:rPr>
          <w:rFonts w:asciiTheme="majorBidi" w:hAnsiTheme="majorBidi" w:cstheme="majorBidi"/>
          <w:szCs w:val="24"/>
        </w:rPr>
        <w:t>[pers. A]</w:t>
      </w:r>
      <w:r w:rsidR="003E5A8A" w:rsidRPr="00D828D8">
        <w:t xml:space="preserve"> </w:t>
      </w:r>
      <w:r w:rsidR="00183585" w:rsidRPr="00D828D8">
        <w:t xml:space="preserve">iesniedza pieteikumu </w:t>
      </w:r>
      <w:r w:rsidR="003E5A8A" w:rsidRPr="00D828D8">
        <w:t>Reģistram, kurā norādīts, ka SIA</w:t>
      </w:r>
      <w:r w:rsidR="002706C8" w:rsidRPr="00D828D8">
        <w:t> „</w:t>
      </w:r>
      <w:r w:rsidR="0029319E">
        <w:t>[Nosaukums]</w:t>
      </w:r>
      <w:r w:rsidR="003E5A8A" w:rsidRPr="00D828D8">
        <w:t xml:space="preserve">” patiesā labuma guvēja ir </w:t>
      </w:r>
      <w:r w:rsidR="0029319E">
        <w:rPr>
          <w:rFonts w:asciiTheme="majorBidi" w:hAnsiTheme="majorBidi" w:cstheme="majorBidi"/>
          <w:szCs w:val="24"/>
        </w:rPr>
        <w:t>[pers. A]</w:t>
      </w:r>
      <w:r w:rsidR="003E5A8A" w:rsidRPr="00D828D8">
        <w:t xml:space="preserve"> kā vienīgā sabiedrības dalībniece, </w:t>
      </w:r>
      <w:r w:rsidR="003A497B" w:rsidRPr="00D828D8">
        <w:t>un apstiprināj</w:t>
      </w:r>
      <w:r w:rsidR="00183585" w:rsidRPr="00D828D8">
        <w:t>a</w:t>
      </w:r>
      <w:r w:rsidR="001E2BC2" w:rsidRPr="00D828D8">
        <w:t xml:space="preserve"> </w:t>
      </w:r>
      <w:r w:rsidR="003E5A8A" w:rsidRPr="00D828D8">
        <w:t>veidlapā ietvertā</w:t>
      </w:r>
      <w:r w:rsidR="003A497B" w:rsidRPr="00D828D8">
        <w:t>s</w:t>
      </w:r>
      <w:r w:rsidR="003E5A8A" w:rsidRPr="00D828D8">
        <w:t xml:space="preserve"> informācija</w:t>
      </w:r>
      <w:r w:rsidR="003A497B" w:rsidRPr="00D828D8">
        <w:t>s</w:t>
      </w:r>
      <w:r w:rsidR="003E5A8A" w:rsidRPr="00D828D8">
        <w:t xml:space="preserve"> </w:t>
      </w:r>
      <w:r w:rsidR="003A497B" w:rsidRPr="00D828D8">
        <w:t>patiesumu</w:t>
      </w:r>
      <w:r w:rsidR="003E5A8A" w:rsidRPr="00D828D8">
        <w:t>. 2021.</w:t>
      </w:r>
      <w:r w:rsidR="002706C8" w:rsidRPr="00D828D8">
        <w:t> </w:t>
      </w:r>
      <w:r w:rsidR="003E5A8A" w:rsidRPr="00D828D8">
        <w:t>gada 21.</w:t>
      </w:r>
      <w:r w:rsidR="002706C8" w:rsidRPr="00D828D8">
        <w:t> </w:t>
      </w:r>
      <w:r w:rsidR="003E5A8A" w:rsidRPr="00D828D8">
        <w:t xml:space="preserve">aprīlī </w:t>
      </w:r>
      <w:r w:rsidR="0029319E">
        <w:rPr>
          <w:rFonts w:asciiTheme="majorBidi" w:hAnsiTheme="majorBidi" w:cstheme="majorBidi"/>
          <w:szCs w:val="24"/>
        </w:rPr>
        <w:t>[pers. A]</w:t>
      </w:r>
      <w:r w:rsidR="003E5A8A" w:rsidRPr="00D828D8">
        <w:t xml:space="preserve"> sniedza informāciju AS</w:t>
      </w:r>
      <w:r w:rsidR="002706C8" w:rsidRPr="00D828D8">
        <w:t> „</w:t>
      </w:r>
      <w:proofErr w:type="spellStart"/>
      <w:r w:rsidR="003E5A8A" w:rsidRPr="00D828D8">
        <w:t>BlueOrange</w:t>
      </w:r>
      <w:proofErr w:type="spellEnd"/>
      <w:r w:rsidR="003E5A8A" w:rsidRPr="00D828D8">
        <w:t xml:space="preserve"> </w:t>
      </w:r>
      <w:proofErr w:type="spellStart"/>
      <w:r w:rsidR="003E5A8A" w:rsidRPr="00D828D8">
        <w:t>Bank</w:t>
      </w:r>
      <w:proofErr w:type="spellEnd"/>
      <w:r w:rsidR="003E5A8A" w:rsidRPr="00D828D8">
        <w:t>”, norādot, ka viņa ir SIA</w:t>
      </w:r>
      <w:r w:rsidR="002706C8" w:rsidRPr="00D828D8">
        <w:t> „</w:t>
      </w:r>
      <w:r w:rsidR="0029319E">
        <w:t>[Nosaukums]</w:t>
      </w:r>
      <w:r w:rsidR="003E5A8A" w:rsidRPr="00D828D8">
        <w:t xml:space="preserve">” patiesā labuma guvēja. Kā Reģistrs, tā </w:t>
      </w:r>
      <w:r w:rsidR="003A497B" w:rsidRPr="00D828D8">
        <w:t>AS “</w:t>
      </w:r>
      <w:proofErr w:type="spellStart"/>
      <w:r w:rsidR="003A497B" w:rsidRPr="00D828D8">
        <w:t>BlueOrange</w:t>
      </w:r>
      <w:proofErr w:type="spellEnd"/>
      <w:r w:rsidR="003A497B" w:rsidRPr="00D828D8">
        <w:t xml:space="preserve"> </w:t>
      </w:r>
      <w:proofErr w:type="spellStart"/>
      <w:r w:rsidR="003A497B" w:rsidRPr="00D828D8">
        <w:t>Bank</w:t>
      </w:r>
      <w:proofErr w:type="spellEnd"/>
      <w:r w:rsidR="003A497B" w:rsidRPr="00D828D8">
        <w:t>”</w:t>
      </w:r>
      <w:r w:rsidR="003E5A8A" w:rsidRPr="00D828D8">
        <w:t xml:space="preserve"> ietilpst to personu lokā, kuras ir tiesīgas prasīt sniegt informāciju par patiesā labuma guvēju. Savukārt </w:t>
      </w:r>
      <w:r w:rsidR="0029319E">
        <w:rPr>
          <w:rFonts w:asciiTheme="majorBidi" w:hAnsiTheme="majorBidi" w:cstheme="majorBidi"/>
          <w:szCs w:val="24"/>
        </w:rPr>
        <w:t>[pers. A]</w:t>
      </w:r>
      <w:r w:rsidR="003E5A8A" w:rsidRPr="00D828D8">
        <w:t xml:space="preserve">, sniedzot ziņas Reģistram un </w:t>
      </w:r>
      <w:r w:rsidR="003A497B" w:rsidRPr="00D828D8">
        <w:t>bankai</w:t>
      </w:r>
      <w:r w:rsidR="003E5A8A" w:rsidRPr="00D828D8">
        <w:t xml:space="preserve">, bija pienākums sniegt patiesu informāciju. </w:t>
      </w:r>
    </w:p>
    <w:p w14:paraId="7F511733" w14:textId="59D0F3D3" w:rsidR="00886C5E" w:rsidRPr="00D828D8" w:rsidRDefault="00E71998" w:rsidP="00A85A31">
      <w:pPr>
        <w:spacing w:line="276" w:lineRule="auto"/>
        <w:ind w:firstLine="720"/>
      </w:pPr>
      <w:r w:rsidRPr="00D828D8">
        <w:t xml:space="preserve">Tiesa atzinusi, ka </w:t>
      </w:r>
      <w:r w:rsidR="00DE21AD" w:rsidRPr="00D828D8">
        <w:t xml:space="preserve">noziedzīgo nodarījumu </w:t>
      </w:r>
      <w:r w:rsidR="0029319E">
        <w:rPr>
          <w:rFonts w:asciiTheme="majorBidi" w:hAnsiTheme="majorBidi" w:cstheme="majorBidi"/>
          <w:szCs w:val="24"/>
        </w:rPr>
        <w:t>[pers. A]</w:t>
      </w:r>
      <w:r w:rsidRPr="00D828D8">
        <w:t xml:space="preserve"> </w:t>
      </w:r>
      <w:r w:rsidR="00DE21AD" w:rsidRPr="00D828D8">
        <w:t>ir izdarījusi tīši</w:t>
      </w:r>
      <w:r w:rsidR="003E5A8A" w:rsidRPr="00D828D8">
        <w:t>, tas ir, vainīgā persona apzin</w:t>
      </w:r>
      <w:r w:rsidR="00DE21AD" w:rsidRPr="00D828D8">
        <w:t>ājusies</w:t>
      </w:r>
      <w:r w:rsidR="003E5A8A" w:rsidRPr="00D828D8">
        <w:t>, ka sniedz nepatiesas ziņas.</w:t>
      </w:r>
      <w:r w:rsidR="00173DA2" w:rsidRPr="00D828D8">
        <w:t xml:space="preserve"> Noziedzīgais nodarījums ir ar formālu sastāv</w:t>
      </w:r>
      <w:r w:rsidR="00A63653" w:rsidRPr="00D828D8">
        <w:t>u</w:t>
      </w:r>
      <w:r w:rsidR="00173DA2" w:rsidRPr="00D828D8">
        <w:t>, nodarījums ir pabeigts ar minēto darbību izdarīšanas brīdi.</w:t>
      </w:r>
    </w:p>
    <w:p w14:paraId="6249D2E3" w14:textId="10741042" w:rsidR="007C5EAE" w:rsidRPr="00D828D8" w:rsidRDefault="007C5EAE" w:rsidP="00A85A31">
      <w:pPr>
        <w:spacing w:line="276" w:lineRule="auto"/>
        <w:ind w:firstLine="720"/>
        <w:rPr>
          <w:rFonts w:asciiTheme="majorBidi" w:hAnsiTheme="majorBidi" w:cstheme="majorBidi"/>
          <w:szCs w:val="24"/>
        </w:rPr>
      </w:pPr>
      <w:r w:rsidRPr="00D828D8">
        <w:rPr>
          <w:rFonts w:asciiTheme="majorBidi" w:hAnsiTheme="majorBidi" w:cstheme="majorBidi"/>
          <w:szCs w:val="24"/>
        </w:rPr>
        <w:t xml:space="preserve">Senāts nekonstatē Kriminālprocesa likuma pārkāpumus pierādījumu vērtēšanā. </w:t>
      </w:r>
    </w:p>
    <w:p w14:paraId="00A335F5" w14:textId="22F8F3C1" w:rsidR="007C5EAE" w:rsidRPr="00D828D8" w:rsidRDefault="007C5EAE" w:rsidP="00A85A31">
      <w:pPr>
        <w:spacing w:line="276" w:lineRule="auto"/>
        <w:ind w:firstLine="720"/>
      </w:pPr>
      <w:r w:rsidRPr="00D828D8">
        <w:t>Senāts konstatē, ka visus būtiskos atzinumus, kuriem ir nozīme lietas taisnīgā izspriešanā, apelācijas instances tiesa ir motivējusi, un motīvu izklāsta apjoms ļauj saprast, kā tiesa nonākusi pie šiem atzinumiem. Fakts, ka kasācijas sūdzības iesniedzējs nepiekrīt tiesas motivācijai, nevar būt par pamatu, lai secinātu, ka tiesas spriedums taisīts, pārkāpjot pamatojuma principu.</w:t>
      </w:r>
    </w:p>
    <w:p w14:paraId="27920FF7" w14:textId="7494A09E" w:rsidR="00B516CC" w:rsidRPr="00D828D8" w:rsidRDefault="00B516CC" w:rsidP="00A85A31">
      <w:pPr>
        <w:spacing w:line="276" w:lineRule="auto"/>
        <w:ind w:firstLine="720"/>
        <w:rPr>
          <w:rFonts w:asciiTheme="majorBidi" w:hAnsiTheme="majorBidi" w:cstheme="majorBidi"/>
          <w:color w:val="auto"/>
          <w:szCs w:val="24"/>
        </w:rPr>
      </w:pPr>
      <w:r w:rsidRPr="00D828D8">
        <w:rPr>
          <w:rFonts w:asciiTheme="majorBidi" w:hAnsiTheme="majorBidi" w:cstheme="majorBidi"/>
          <w:szCs w:val="24"/>
        </w:rPr>
        <w:t xml:space="preserve">Senāts atzīst, ka apelācijas instances tiesas spriedums šajā daļā atbilst Kriminālprocesa likuma 511., 512., 564. panta prasībām. Norādot uz minēto Kriminālprocesa likuma normu pārkāpumiem, kasācijas sūdzības autors faktiski apstrīdējis apelācijas instances tiesas atzinumu </w:t>
      </w:r>
      <w:r w:rsidRPr="00D828D8">
        <w:rPr>
          <w:rFonts w:asciiTheme="majorBidi" w:hAnsiTheme="majorBidi" w:cstheme="majorBidi"/>
          <w:color w:val="auto"/>
          <w:szCs w:val="24"/>
        </w:rPr>
        <w:t xml:space="preserve">par pierādījumu ticamību un pietiekamību </w:t>
      </w:r>
      <w:r w:rsidR="0029319E">
        <w:rPr>
          <w:rFonts w:asciiTheme="majorBidi" w:hAnsiTheme="majorBidi" w:cstheme="majorBidi"/>
          <w:szCs w:val="24"/>
        </w:rPr>
        <w:t>[pers. A]</w:t>
      </w:r>
      <w:r w:rsidR="005E68ED" w:rsidRPr="00D828D8">
        <w:rPr>
          <w:rFonts w:asciiTheme="majorBidi" w:hAnsiTheme="majorBidi" w:cstheme="majorBidi"/>
          <w:color w:val="auto"/>
          <w:szCs w:val="24"/>
        </w:rPr>
        <w:t xml:space="preserve"> inkriminētā noziedzīgā nodarījuma objektīvās puses esībai.</w:t>
      </w:r>
    </w:p>
    <w:p w14:paraId="75845E90" w14:textId="0CD9A67C" w:rsidR="00257D85" w:rsidRPr="00D828D8" w:rsidRDefault="00DC11E2" w:rsidP="00A85A31">
      <w:pPr>
        <w:widowControl w:val="0"/>
        <w:spacing w:line="276" w:lineRule="auto"/>
        <w:ind w:firstLine="720"/>
        <w:rPr>
          <w:rFonts w:asciiTheme="majorBidi" w:hAnsiTheme="majorBidi" w:cstheme="majorBidi"/>
          <w:szCs w:val="24"/>
        </w:rPr>
      </w:pPr>
      <w:r w:rsidRPr="00D828D8">
        <w:rPr>
          <w:color w:val="auto"/>
        </w:rPr>
        <w:t>[8.</w:t>
      </w:r>
      <w:r w:rsidR="008977C9" w:rsidRPr="00D828D8">
        <w:rPr>
          <w:color w:val="auto"/>
        </w:rPr>
        <w:t>3</w:t>
      </w:r>
      <w:r w:rsidRPr="00D828D8">
        <w:rPr>
          <w:color w:val="auto"/>
        </w:rPr>
        <w:t>]</w:t>
      </w:r>
      <w:r w:rsidR="001E2BC2" w:rsidRPr="00D828D8">
        <w:rPr>
          <w:color w:val="auto"/>
        </w:rPr>
        <w:t> </w:t>
      </w:r>
      <w:r w:rsidR="00AA6455" w:rsidRPr="00D828D8">
        <w:rPr>
          <w:rFonts w:asciiTheme="majorBidi" w:hAnsiTheme="majorBidi" w:cstheme="majorBidi"/>
          <w:color w:val="auto"/>
          <w:szCs w:val="24"/>
        </w:rPr>
        <w:t>Attiecībā par kasācijas sūdzībā norād</w:t>
      </w:r>
      <w:r w:rsidR="00D828D8" w:rsidRPr="00D828D8">
        <w:rPr>
          <w:rFonts w:asciiTheme="majorBidi" w:hAnsiTheme="majorBidi" w:cstheme="majorBidi"/>
          <w:color w:val="auto"/>
          <w:szCs w:val="24"/>
        </w:rPr>
        <w:t>ī</w:t>
      </w:r>
      <w:r w:rsidR="00AA6455" w:rsidRPr="00D828D8">
        <w:rPr>
          <w:rFonts w:asciiTheme="majorBidi" w:hAnsiTheme="majorBidi" w:cstheme="majorBidi"/>
          <w:color w:val="auto"/>
          <w:szCs w:val="24"/>
        </w:rPr>
        <w:t>tajiem iebildumiem par to, ka tiesa nav devusi iespēju SIA</w:t>
      </w:r>
      <w:r w:rsidR="00D828D8" w:rsidRPr="00D828D8">
        <w:rPr>
          <w:rFonts w:asciiTheme="majorBidi" w:hAnsiTheme="majorBidi" w:cstheme="majorBidi"/>
          <w:color w:val="auto"/>
          <w:szCs w:val="24"/>
        </w:rPr>
        <w:t> </w:t>
      </w:r>
      <w:r w:rsidR="00AA6455" w:rsidRPr="00D828D8">
        <w:rPr>
          <w:rFonts w:asciiTheme="majorBidi" w:hAnsiTheme="majorBidi" w:cstheme="majorBidi"/>
          <w:color w:val="auto"/>
          <w:szCs w:val="24"/>
        </w:rPr>
        <w:t>„</w:t>
      </w:r>
      <w:r w:rsidR="0029319E">
        <w:rPr>
          <w:rFonts w:asciiTheme="majorBidi" w:hAnsiTheme="majorBidi" w:cstheme="majorBidi"/>
          <w:color w:val="auto"/>
          <w:szCs w:val="24"/>
        </w:rPr>
        <w:t>[Nosaukums]</w:t>
      </w:r>
      <w:r w:rsidR="00AA6455" w:rsidRPr="00D828D8">
        <w:rPr>
          <w:rFonts w:asciiTheme="majorBidi" w:hAnsiTheme="majorBidi" w:cstheme="majorBidi"/>
          <w:color w:val="auto"/>
          <w:szCs w:val="24"/>
        </w:rPr>
        <w:t>” pārstāvim teikt pēdējo vārdu</w:t>
      </w:r>
      <w:r w:rsidR="00D828D8" w:rsidRPr="00D828D8">
        <w:rPr>
          <w:rFonts w:asciiTheme="majorBidi" w:hAnsiTheme="majorBidi" w:cstheme="majorBidi"/>
          <w:color w:val="auto"/>
          <w:szCs w:val="24"/>
        </w:rPr>
        <w:t>,</w:t>
      </w:r>
      <w:r w:rsidR="00AA6455" w:rsidRPr="00D828D8">
        <w:rPr>
          <w:rFonts w:asciiTheme="majorBidi" w:hAnsiTheme="majorBidi" w:cstheme="majorBidi"/>
          <w:color w:val="auto"/>
          <w:szCs w:val="24"/>
        </w:rPr>
        <w:t xml:space="preserve"> Senāts konstatē, ka</w:t>
      </w:r>
      <w:r w:rsidR="00257D85" w:rsidRPr="00D828D8">
        <w:rPr>
          <w:rFonts w:asciiTheme="majorBidi" w:hAnsiTheme="majorBidi" w:cstheme="majorBidi"/>
          <w:szCs w:val="24"/>
        </w:rPr>
        <w:t xml:space="preserve"> </w:t>
      </w:r>
      <w:r w:rsidR="009502D0" w:rsidRPr="00D828D8">
        <w:rPr>
          <w:rFonts w:asciiTheme="majorBidi" w:hAnsiTheme="majorBidi" w:cstheme="majorBidi"/>
          <w:szCs w:val="24"/>
        </w:rPr>
        <w:t xml:space="preserve">apelācijas instances tiesas </w:t>
      </w:r>
      <w:r w:rsidR="002C2D10" w:rsidRPr="00D828D8">
        <w:rPr>
          <w:rFonts w:asciiTheme="majorBidi" w:hAnsiTheme="majorBidi" w:cstheme="majorBidi"/>
          <w:szCs w:val="24"/>
        </w:rPr>
        <w:t xml:space="preserve">2024. gada 29. janvāra sēdē </w:t>
      </w:r>
      <w:r w:rsidR="00DE21AD" w:rsidRPr="00D828D8">
        <w:rPr>
          <w:rFonts w:asciiTheme="majorBidi" w:hAnsiTheme="majorBidi" w:cstheme="majorBidi"/>
          <w:szCs w:val="24"/>
        </w:rPr>
        <w:t>SIA “</w:t>
      </w:r>
      <w:r w:rsidR="0029319E">
        <w:rPr>
          <w:rFonts w:asciiTheme="majorBidi" w:hAnsiTheme="majorBidi" w:cstheme="majorBidi"/>
          <w:szCs w:val="24"/>
        </w:rPr>
        <w:t>[Nosaukums]</w:t>
      </w:r>
      <w:r w:rsidR="00DE21AD" w:rsidRPr="00D828D8">
        <w:rPr>
          <w:rFonts w:asciiTheme="majorBidi" w:hAnsiTheme="majorBidi" w:cstheme="majorBidi"/>
          <w:szCs w:val="24"/>
        </w:rPr>
        <w:t>” pārstāvi</w:t>
      </w:r>
      <w:r w:rsidR="009502D0" w:rsidRPr="00D828D8">
        <w:rPr>
          <w:rFonts w:asciiTheme="majorBidi" w:hAnsiTheme="majorBidi" w:cstheme="majorBidi"/>
          <w:szCs w:val="24"/>
        </w:rPr>
        <w:t>s</w:t>
      </w:r>
      <w:r w:rsidR="00DE21AD" w:rsidRPr="00D828D8">
        <w:rPr>
          <w:rFonts w:asciiTheme="majorBidi" w:hAnsiTheme="majorBidi" w:cstheme="majorBidi"/>
          <w:szCs w:val="24"/>
        </w:rPr>
        <w:t xml:space="preserve"> </w:t>
      </w:r>
      <w:r w:rsidR="0029319E">
        <w:rPr>
          <w:rFonts w:asciiTheme="majorBidi" w:hAnsiTheme="majorBidi" w:cstheme="majorBidi"/>
          <w:szCs w:val="24"/>
        </w:rPr>
        <w:t>[pers</w:t>
      </w:r>
      <w:r w:rsidR="00E659F4">
        <w:rPr>
          <w:rFonts w:asciiTheme="majorBidi" w:hAnsiTheme="majorBidi" w:cstheme="majorBidi"/>
          <w:szCs w:val="24"/>
        </w:rPr>
        <w:t>. G]</w:t>
      </w:r>
      <w:r w:rsidR="00DE21AD" w:rsidRPr="00D828D8">
        <w:rPr>
          <w:rFonts w:asciiTheme="majorBidi" w:hAnsiTheme="majorBidi" w:cstheme="majorBidi"/>
          <w:szCs w:val="24"/>
        </w:rPr>
        <w:t xml:space="preserve"> </w:t>
      </w:r>
      <w:r w:rsidR="009502D0" w:rsidRPr="00D828D8">
        <w:rPr>
          <w:rFonts w:asciiTheme="majorBidi" w:hAnsiTheme="majorBidi" w:cstheme="majorBidi"/>
          <w:szCs w:val="24"/>
        </w:rPr>
        <w:t>nav teicis</w:t>
      </w:r>
      <w:r w:rsidR="00DE21AD" w:rsidRPr="00D828D8">
        <w:rPr>
          <w:rFonts w:asciiTheme="majorBidi" w:hAnsiTheme="majorBidi" w:cstheme="majorBidi"/>
          <w:szCs w:val="24"/>
        </w:rPr>
        <w:t xml:space="preserve"> pēdējo vārdu.</w:t>
      </w:r>
    </w:p>
    <w:p w14:paraId="2DFE4ED4" w14:textId="77777777" w:rsidR="009502D0" w:rsidRPr="00D828D8" w:rsidRDefault="009502D0" w:rsidP="00A85A31">
      <w:pPr>
        <w:pStyle w:val="ListBullet"/>
        <w:widowControl w:val="0"/>
        <w:numPr>
          <w:ilvl w:val="0"/>
          <w:numId w:val="0"/>
        </w:numPr>
        <w:spacing w:after="0"/>
        <w:ind w:firstLine="720"/>
        <w:jc w:val="both"/>
        <w:rPr>
          <w:rFonts w:asciiTheme="majorBidi" w:hAnsiTheme="majorBidi" w:cstheme="majorBidi"/>
          <w:shd w:val="clear" w:color="auto" w:fill="FFFFFF"/>
        </w:rPr>
      </w:pPr>
      <w:r w:rsidRPr="00D828D8">
        <w:rPr>
          <w:rFonts w:asciiTheme="majorBidi" w:hAnsiTheme="majorBidi" w:cstheme="majorBidi"/>
          <w:szCs w:val="24"/>
          <w:shd w:val="clear" w:color="auto" w:fill="FFFFFF"/>
        </w:rPr>
        <w:t xml:space="preserve">Kriminālprocesa likuma 94. panta pirmās daļas 11. un 12. punkts noteic, ka no brīža, kad personai kā juridiskās personas pārstāvim ar procesa virzītāja lēmumu atļauj piedalīties procesā par piespiedu ietekmēšanas līdzekļa piemērošanu, šai personai ir tiesības mutvārdos vai </w:t>
      </w:r>
      <w:proofErr w:type="spellStart"/>
      <w:r w:rsidRPr="00D828D8">
        <w:rPr>
          <w:rFonts w:asciiTheme="majorBidi" w:hAnsiTheme="majorBidi" w:cstheme="majorBidi"/>
          <w:szCs w:val="24"/>
          <w:shd w:val="clear" w:color="auto" w:fill="FFFFFF"/>
        </w:rPr>
        <w:t>rakstveidā</w:t>
      </w:r>
      <w:proofErr w:type="spellEnd"/>
      <w:r w:rsidRPr="00D828D8">
        <w:rPr>
          <w:rFonts w:asciiTheme="majorBidi" w:hAnsiTheme="majorBidi" w:cstheme="majorBidi"/>
          <w:szCs w:val="24"/>
          <w:shd w:val="clear" w:color="auto" w:fill="FFFFFF"/>
        </w:rPr>
        <w:t xml:space="preserve"> paust savu attieksmi pret izteikto pieņēmumu, kā arī liecināt vai atteikties sniegt liecību. Atbilstoši minētā panta otrajai daļai – juridiskās personas pārstāvim tiesā ir tādas pašas tiesības kā apsūdzētajam. Turklāt juridiskās personas pārstāvim procesā par piespiedu </w:t>
      </w:r>
      <w:r w:rsidRPr="00D828D8">
        <w:rPr>
          <w:rFonts w:asciiTheme="majorBidi" w:hAnsiTheme="majorBidi" w:cstheme="majorBidi"/>
          <w:szCs w:val="24"/>
          <w:shd w:val="clear" w:color="auto" w:fill="FFFFFF"/>
        </w:rPr>
        <w:lastRenderedPageBreak/>
        <w:t>ietekmēšanas līdzekļa piemērošanu tiesību pilnīgai realizācijai par juridiskās personas</w:t>
      </w:r>
      <w:r w:rsidRPr="00D828D8">
        <w:rPr>
          <w:rFonts w:asciiTheme="majorBidi" w:hAnsiTheme="majorBidi" w:cstheme="majorBidi"/>
          <w:shd w:val="clear" w:color="auto" w:fill="FFFFFF"/>
        </w:rPr>
        <w:t xml:space="preserve"> līdzekļiem ir tiesības uzaicināt aizstāvi. Kriminālprocesa likuma 71. panta 11. punktā ir noteiktas apsūdzētā tiesības pirmās instances tiesā teikt pēdējo vārdu, bet Kriminālprocesa likuma 72. panta otrajā daļā, apelācijas instances tiesas sēdē apsūdzētajam ir noteiktas tādas pašas tiesības kā pirmās instances tiesā. </w:t>
      </w:r>
    </w:p>
    <w:p w14:paraId="024EA4C3" w14:textId="4506B944" w:rsidR="009502D0" w:rsidRPr="00D828D8" w:rsidRDefault="009502D0" w:rsidP="00A85A31">
      <w:pPr>
        <w:pStyle w:val="ListBullet"/>
        <w:widowControl w:val="0"/>
        <w:numPr>
          <w:ilvl w:val="0"/>
          <w:numId w:val="0"/>
        </w:numPr>
        <w:spacing w:after="0"/>
        <w:ind w:firstLine="720"/>
        <w:jc w:val="both"/>
        <w:rPr>
          <w:rFonts w:asciiTheme="majorBidi" w:hAnsiTheme="majorBidi" w:cstheme="majorBidi"/>
          <w:shd w:val="clear" w:color="auto" w:fill="FFFFFF"/>
        </w:rPr>
      </w:pPr>
      <w:r w:rsidRPr="00D828D8">
        <w:t xml:space="preserve">Kriminālprocesa likuma 86. panta otrās daļas 1. punkts noteic, ka tikai aizstāvamā persona pati pārstāv sevi procesuālajās darbībās, kurās tiek pausts tās subjektīvais viedoklis, arī attieksmes izteikšanā pret aizdomām vai apsūdzību. </w:t>
      </w:r>
      <w:r w:rsidRPr="00D828D8">
        <w:rPr>
          <w:rFonts w:asciiTheme="majorBidi" w:hAnsiTheme="majorBidi" w:cstheme="majorBidi"/>
          <w:shd w:val="clear" w:color="auto" w:fill="FFFFFF"/>
        </w:rPr>
        <w:t>Senāts atzīst, ka no Kriminālprocesa likuma 86. panta otrās daļas 3. punkta izriet, ka aizstāvim nav tiesību teikt pēdējo vārdu, jo tikai aizstāvamā persona pati pārstāv sevi procesuālajās darbībās, kurās tiek pausts tās subjektīvais viedoklis. Šajā tiesību normā ir norādīta pēdējā vārda jēga un būtība – pēdējā vārdā tiek pausts subjektīvs viedoklis, bet tāds viedoklis tiek tik cieši saistīts ar tiesību subjektu, ka tiesības to paust nav nošķiramas no paša tiesību subjekta.</w:t>
      </w:r>
    </w:p>
    <w:p w14:paraId="0DCB552B" w14:textId="0DE52CC7" w:rsidR="00713B92" w:rsidRPr="00D828D8" w:rsidRDefault="00DC11E2" w:rsidP="00A85A31">
      <w:pPr>
        <w:spacing w:line="276" w:lineRule="auto"/>
        <w:ind w:firstLine="720"/>
      </w:pPr>
      <w:r w:rsidRPr="00D828D8">
        <w:rPr>
          <w:rFonts w:asciiTheme="majorBidi" w:hAnsiTheme="majorBidi" w:cstheme="majorBidi"/>
          <w:szCs w:val="24"/>
        </w:rPr>
        <w:t>Senāts jau agrāk ir norādījis, ka juridiskajai personai procesā par piespiedu ietekmēšanas līdzekļa piemērošanu nepiemīt tiesības uz pēdējo vārdu. Tiesības uz pēdējo</w:t>
      </w:r>
      <w:r w:rsidRPr="00D828D8">
        <w:t xml:space="preserve"> vārdu ir īpaši personiskās tiesības</w:t>
      </w:r>
      <w:r w:rsidRPr="00D828D8">
        <w:rPr>
          <w:i/>
          <w:iCs/>
        </w:rPr>
        <w:t xml:space="preserve"> (</w:t>
      </w:r>
      <w:proofErr w:type="spellStart"/>
      <w:r w:rsidRPr="00D828D8">
        <w:rPr>
          <w:i/>
          <w:iCs/>
        </w:rPr>
        <w:t>iura</w:t>
      </w:r>
      <w:proofErr w:type="spellEnd"/>
      <w:r w:rsidRPr="00D828D8">
        <w:rPr>
          <w:i/>
          <w:iCs/>
        </w:rPr>
        <w:t xml:space="preserve"> </w:t>
      </w:r>
      <w:proofErr w:type="spellStart"/>
      <w:r w:rsidRPr="00D828D8">
        <w:rPr>
          <w:i/>
          <w:iCs/>
        </w:rPr>
        <w:t>personalissima</w:t>
      </w:r>
      <w:proofErr w:type="spellEnd"/>
      <w:r w:rsidRPr="00D828D8">
        <w:t>), kas pēc savas būtības nav īstenojamas ne ar aizstāvja, ne pārstāvja starpniecību (</w:t>
      </w:r>
      <w:r w:rsidRPr="00D828D8">
        <w:rPr>
          <w:i/>
          <w:iCs/>
        </w:rPr>
        <w:t xml:space="preserve">Senāta </w:t>
      </w:r>
      <w:r w:rsidR="008977C9" w:rsidRPr="00D828D8">
        <w:rPr>
          <w:i/>
          <w:iCs/>
        </w:rPr>
        <w:t>2024. gada 29. oktobra lēmum</w:t>
      </w:r>
      <w:r w:rsidR="00327C50">
        <w:rPr>
          <w:i/>
          <w:iCs/>
        </w:rPr>
        <w:t>a</w:t>
      </w:r>
      <w:r w:rsidR="008977C9" w:rsidRPr="00D828D8">
        <w:rPr>
          <w:i/>
          <w:iCs/>
        </w:rPr>
        <w:t xml:space="preserve"> lietā </w:t>
      </w:r>
      <w:r w:rsidR="00246686" w:rsidRPr="00D828D8">
        <w:rPr>
          <w:i/>
          <w:iCs/>
        </w:rPr>
        <w:t>Nr. </w:t>
      </w:r>
      <w:r w:rsidR="008977C9" w:rsidRPr="00D828D8">
        <w:rPr>
          <w:i/>
          <w:iCs/>
        </w:rPr>
        <w:t>SKK</w:t>
      </w:r>
      <w:r w:rsidR="00246686" w:rsidRPr="00D828D8">
        <w:rPr>
          <w:i/>
          <w:iCs/>
        </w:rPr>
        <w:noBreakHyphen/>
      </w:r>
      <w:r w:rsidR="008977C9" w:rsidRPr="00D828D8">
        <w:rPr>
          <w:i/>
          <w:iCs/>
        </w:rPr>
        <w:t>78/2024,</w:t>
      </w:r>
      <w:r w:rsidR="008977C9" w:rsidRPr="00D828D8">
        <w:rPr>
          <w:b/>
          <w:bCs/>
        </w:rPr>
        <w:t xml:space="preserve"> </w:t>
      </w:r>
      <w:r w:rsidR="008977C9" w:rsidRPr="00D828D8">
        <w:rPr>
          <w:i/>
          <w:iCs/>
        </w:rPr>
        <w:t>11816006620,</w:t>
      </w:r>
      <w:r w:rsidR="00246686" w:rsidRPr="00D828D8">
        <w:rPr>
          <w:i/>
          <w:iCs/>
        </w:rPr>
        <w:t xml:space="preserve"> </w:t>
      </w:r>
      <w:hyperlink r:id="rId9" w:history="1">
        <w:r w:rsidR="008977C9" w:rsidRPr="00D828D8">
          <w:rPr>
            <w:rStyle w:val="Hyperlink"/>
            <w:i/>
            <w:iCs/>
          </w:rPr>
          <w:t>ECLI:LV:AT:2024:1029.11816006620.3.L</w:t>
        </w:r>
      </w:hyperlink>
      <w:r w:rsidR="00327C50" w:rsidRPr="00327C50">
        <w:rPr>
          <w:i/>
          <w:iCs/>
        </w:rPr>
        <w:t>, 5.1. punkts</w:t>
      </w:r>
      <w:r w:rsidR="008977C9" w:rsidRPr="00D828D8">
        <w:t>).</w:t>
      </w:r>
    </w:p>
    <w:p w14:paraId="263FF818" w14:textId="21E9E13C" w:rsidR="00DE21AD" w:rsidRPr="00D828D8" w:rsidRDefault="00DE21AD" w:rsidP="00A85A31">
      <w:pPr>
        <w:pStyle w:val="NoSpacing"/>
        <w:spacing w:line="276" w:lineRule="auto"/>
        <w:ind w:firstLine="720"/>
        <w:jc w:val="both"/>
      </w:pPr>
      <w:r w:rsidRPr="00D828D8">
        <w:rPr>
          <w:rFonts w:asciiTheme="majorBidi" w:hAnsiTheme="majorBidi" w:cstheme="majorBidi"/>
        </w:rPr>
        <w:t>Ievērojot iepriekš izklāstīto apsvērumu kopumu, Senāts atzīst, ka aizstāvja norādītais arguments</w:t>
      </w:r>
      <w:r w:rsidRPr="00D828D8">
        <w:t xml:space="preserve"> nerada šaubas par pieņemtā nolēmuma tiesiskumu.</w:t>
      </w:r>
    </w:p>
    <w:p w14:paraId="1D9FB03C" w14:textId="447C27D2" w:rsidR="008977C9" w:rsidRPr="00D828D8" w:rsidRDefault="008977C9" w:rsidP="00A85A31">
      <w:pPr>
        <w:spacing w:line="276" w:lineRule="auto"/>
        <w:ind w:firstLine="720"/>
      </w:pPr>
      <w:r w:rsidRPr="00D828D8">
        <w:t>[</w:t>
      </w:r>
      <w:r w:rsidR="00713B92" w:rsidRPr="00D828D8">
        <w:t>8.4</w:t>
      </w:r>
      <w:r w:rsidRPr="00D828D8">
        <w:t>] </w:t>
      </w:r>
      <w:r w:rsidR="00713B92" w:rsidRPr="00D828D8">
        <w:t>Ievērojot minēto</w:t>
      </w:r>
      <w:r w:rsidR="00910CAD" w:rsidRPr="00D828D8">
        <w:t>,</w:t>
      </w:r>
      <w:r w:rsidR="00713B92" w:rsidRPr="00D828D8">
        <w:t xml:space="preserve"> </w:t>
      </w:r>
      <w:r w:rsidRPr="00D828D8">
        <w:t xml:space="preserve">Senāts atzīst, ka apelācijas instances tiesas spriedums </w:t>
      </w:r>
      <w:r w:rsidR="00DE21AD" w:rsidRPr="00D828D8">
        <w:t xml:space="preserve">daļā par apsūdzētās </w:t>
      </w:r>
      <w:r w:rsidR="00C715C9">
        <w:rPr>
          <w:rFonts w:asciiTheme="majorBidi" w:hAnsiTheme="majorBidi" w:cstheme="majorBidi"/>
          <w:szCs w:val="24"/>
        </w:rPr>
        <w:t>[pers. A]</w:t>
      </w:r>
      <w:r w:rsidR="00DE21AD" w:rsidRPr="00D828D8">
        <w:t xml:space="preserve"> atzīšanu par vainīgu un sodīšanu </w:t>
      </w:r>
      <w:r w:rsidRPr="00D828D8">
        <w:t xml:space="preserve">atstājams negrozīts, bet apsūdzētās </w:t>
      </w:r>
      <w:r w:rsidR="00C715C9">
        <w:rPr>
          <w:rFonts w:asciiTheme="majorBidi" w:hAnsiTheme="majorBidi" w:cstheme="majorBidi"/>
          <w:szCs w:val="24"/>
        </w:rPr>
        <w:t>[pers. A]</w:t>
      </w:r>
      <w:r w:rsidRPr="00D828D8">
        <w:t xml:space="preserve"> aizstāvja kasācijas sūdzība noraidāma.</w:t>
      </w:r>
    </w:p>
    <w:p w14:paraId="5E898B9B" w14:textId="77777777" w:rsidR="008977C9" w:rsidRPr="00D828D8" w:rsidRDefault="008977C9" w:rsidP="00A85A31">
      <w:pPr>
        <w:spacing w:line="276" w:lineRule="auto"/>
        <w:ind w:firstLine="720"/>
      </w:pPr>
    </w:p>
    <w:p w14:paraId="0A4A0282" w14:textId="104C3B9C" w:rsidR="008218EF" w:rsidRPr="00D828D8" w:rsidRDefault="00173DA2" w:rsidP="00A85A31">
      <w:pPr>
        <w:spacing w:line="276" w:lineRule="auto"/>
        <w:ind w:firstLine="720"/>
        <w:rPr>
          <w:rFonts w:asciiTheme="majorBidi" w:hAnsiTheme="majorBidi" w:cstheme="majorBidi"/>
        </w:rPr>
      </w:pPr>
      <w:r w:rsidRPr="00D828D8">
        <w:rPr>
          <w:rFonts w:asciiTheme="majorBidi" w:hAnsiTheme="majorBidi" w:cstheme="majorBidi"/>
          <w:szCs w:val="24"/>
        </w:rPr>
        <w:t>[</w:t>
      </w:r>
      <w:r w:rsidR="00713B92" w:rsidRPr="00D828D8">
        <w:rPr>
          <w:rFonts w:asciiTheme="majorBidi" w:hAnsiTheme="majorBidi" w:cstheme="majorBidi"/>
          <w:szCs w:val="24"/>
        </w:rPr>
        <w:t>9</w:t>
      </w:r>
      <w:r w:rsidRPr="00D828D8">
        <w:rPr>
          <w:rFonts w:asciiTheme="majorBidi" w:hAnsiTheme="majorBidi" w:cstheme="majorBidi"/>
          <w:szCs w:val="24"/>
        </w:rPr>
        <w:t>]</w:t>
      </w:r>
      <w:r w:rsidR="008977C9" w:rsidRPr="00D828D8">
        <w:rPr>
          <w:rFonts w:asciiTheme="majorBidi" w:hAnsiTheme="majorBidi" w:cstheme="majorBidi"/>
          <w:szCs w:val="24"/>
        </w:rPr>
        <w:t> </w:t>
      </w:r>
      <w:r w:rsidR="00713B92" w:rsidRPr="00D828D8">
        <w:rPr>
          <w:rFonts w:asciiTheme="majorBidi" w:hAnsiTheme="majorBidi" w:cstheme="majorBidi"/>
          <w:szCs w:val="24"/>
        </w:rPr>
        <w:t>Senāts atzīst, ka izskatāmajā lietā</w:t>
      </w:r>
      <w:r w:rsidR="00FA56E0" w:rsidRPr="00D828D8">
        <w:rPr>
          <w:rFonts w:asciiTheme="majorBidi" w:eastAsia="Times New Roman" w:hAnsiTheme="majorBidi" w:cstheme="majorBidi"/>
          <w:lang w:eastAsia="ru-RU"/>
        </w:rPr>
        <w:t xml:space="preserve"> ir jāsniedz atbilde uz jautājumu, vai apelācijas instances tiesa </w:t>
      </w:r>
      <w:r w:rsidR="003E1E36" w:rsidRPr="00D828D8">
        <w:rPr>
          <w:rFonts w:asciiTheme="majorBidi" w:eastAsia="Times New Roman" w:hAnsiTheme="majorBidi" w:cstheme="majorBidi"/>
          <w:lang w:eastAsia="ru-RU"/>
        </w:rPr>
        <w:t xml:space="preserve">pamatoti </w:t>
      </w:r>
      <w:r w:rsidR="00FA56E0" w:rsidRPr="00D828D8">
        <w:rPr>
          <w:rFonts w:asciiTheme="majorBidi" w:eastAsia="Times New Roman" w:hAnsiTheme="majorBidi" w:cstheme="majorBidi"/>
          <w:lang w:eastAsia="ru-RU"/>
        </w:rPr>
        <w:t>konstatējusi Kriminālprocesa likuma 440. panta un 441. panta pirmās daļas pārkāpumus un izbeigusi procesu par piespiedu ietekmēšanas līdzekļ</w:t>
      </w:r>
      <w:r w:rsidR="00D94691" w:rsidRPr="00D828D8">
        <w:rPr>
          <w:rFonts w:asciiTheme="majorBidi" w:eastAsia="Times New Roman" w:hAnsiTheme="majorBidi" w:cstheme="majorBidi"/>
          <w:lang w:eastAsia="ru-RU"/>
        </w:rPr>
        <w:t>a</w:t>
      </w:r>
      <w:r w:rsidR="00FA56E0" w:rsidRPr="00D828D8">
        <w:rPr>
          <w:rFonts w:asciiTheme="majorBidi" w:eastAsia="Times New Roman" w:hAnsiTheme="majorBidi" w:cstheme="majorBidi"/>
          <w:lang w:eastAsia="ru-RU"/>
        </w:rPr>
        <w:t xml:space="preserve"> piemērošanu juridiskajai personai SIA </w:t>
      </w:r>
      <w:r w:rsidR="00FA56E0" w:rsidRPr="00D828D8">
        <w:t>„</w:t>
      </w:r>
      <w:r w:rsidR="00C715C9">
        <w:t>[Nosaukums]</w:t>
      </w:r>
      <w:r w:rsidR="00FA56E0" w:rsidRPr="00D828D8">
        <w:t>”.</w:t>
      </w:r>
    </w:p>
    <w:p w14:paraId="101B7C13" w14:textId="34A2FBE3" w:rsidR="00437AA5" w:rsidRPr="00D828D8" w:rsidRDefault="008B3726" w:rsidP="00A85A31">
      <w:pPr>
        <w:spacing w:line="276" w:lineRule="auto"/>
        <w:ind w:firstLine="720"/>
      </w:pPr>
      <w:r w:rsidRPr="00D828D8">
        <w:t>[9.1] </w:t>
      </w:r>
      <w:r w:rsidR="00437AA5" w:rsidRPr="00D828D8">
        <w:t>Saistība starp vainojamās fiziskās personas darbību vai bezdarbību un juridiskās personas faktiskajām darbībām ir noteikta Krimināllikuma 12.</w:t>
      </w:r>
      <w:r w:rsidR="00910CAD" w:rsidRPr="00D828D8">
        <w:t> </w:t>
      </w:r>
      <w:r w:rsidR="00437AA5" w:rsidRPr="00D828D8">
        <w:t>pantā.</w:t>
      </w:r>
    </w:p>
    <w:p w14:paraId="09739EE7" w14:textId="65763F03" w:rsidR="00437AA5" w:rsidRPr="00D828D8" w:rsidRDefault="00437AA5" w:rsidP="00A85A31">
      <w:pPr>
        <w:spacing w:line="276" w:lineRule="auto"/>
        <w:ind w:firstLine="720"/>
      </w:pPr>
      <w:r w:rsidRPr="00D828D8">
        <w:t>Saskaņā ar Krimināllikuma 12.</w:t>
      </w:r>
      <w:r w:rsidR="00910CAD" w:rsidRPr="00D828D8">
        <w:t> </w:t>
      </w:r>
      <w:r w:rsidRPr="00D828D8">
        <w:t>pantu par noziedzīgu nodarījumu, ko privāto tiesību juridiskās personas interesēs, šīs personas labā vai tās nepienācīgas pārraudzības vai kontroles rezultātā izdarījusi fiziskā persona, attiecīgā fiziskā persona saucama pie kriminālatbildības, bet juridiskajai personai var piemērot šajā likumā paredzētos piespiedu ietekmēšanas līdzekļus.</w:t>
      </w:r>
    </w:p>
    <w:p w14:paraId="33A3A7A9" w14:textId="68207385" w:rsidR="00437AA5" w:rsidRPr="00D828D8" w:rsidRDefault="00437AA5" w:rsidP="00A85A31">
      <w:pPr>
        <w:spacing w:line="276" w:lineRule="auto"/>
        <w:ind w:firstLine="720"/>
      </w:pPr>
      <w:r w:rsidRPr="00D828D8">
        <w:t>Fiziskā persona vainojama tajā ziņā, ka viņa juridiskās personas prettiesisko vai tiesisko interesi ar savu darbību vai bezdarbību realizē tiesiski neatļautā veidā, par ko Krimināllikuma Sevišķās daļas kādā no pantiem ir paredzēta kriminālatbildība (</w:t>
      </w:r>
      <w:r w:rsidR="00910CAD" w:rsidRPr="00D828D8">
        <w:rPr>
          <w:rFonts w:eastAsia="Times New Roman" w:cs="Times New Roman"/>
          <w:i/>
        </w:rPr>
        <w:t>Krastiņš </w:t>
      </w:r>
      <w:r w:rsidRPr="00D828D8">
        <w:rPr>
          <w:rFonts w:eastAsia="Times New Roman" w:cs="Times New Roman"/>
          <w:i/>
        </w:rPr>
        <w:t>U</w:t>
      </w:r>
      <w:r w:rsidR="005369A0" w:rsidRPr="00D828D8">
        <w:rPr>
          <w:rFonts w:eastAsia="Times New Roman" w:cs="Times New Roman"/>
          <w:i/>
        </w:rPr>
        <w:t>. 70.</w:t>
      </w:r>
      <w:r w:rsidR="005369A0" w:rsidRPr="00D828D8">
        <w:rPr>
          <w:rFonts w:eastAsia="Times New Roman" w:cs="Times New Roman"/>
          <w:i/>
          <w:vertAlign w:val="superscript"/>
        </w:rPr>
        <w:t>1</w:t>
      </w:r>
      <w:r w:rsidR="005369A0" w:rsidRPr="00D828D8">
        <w:rPr>
          <w:rFonts w:eastAsia="Times New Roman" w:cs="Times New Roman"/>
          <w:i/>
        </w:rPr>
        <w:t> panta komentārs</w:t>
      </w:r>
      <w:r w:rsidR="00C0625C">
        <w:rPr>
          <w:rFonts w:eastAsia="Times New Roman" w:cs="Times New Roman"/>
          <w:i/>
        </w:rPr>
        <w:t>.</w:t>
      </w:r>
      <w:r w:rsidRPr="00D828D8">
        <w:rPr>
          <w:rFonts w:eastAsia="Times New Roman" w:cs="Times New Roman"/>
          <w:i/>
        </w:rPr>
        <w:t xml:space="preserve"> </w:t>
      </w:r>
      <w:proofErr w:type="spellStart"/>
      <w:r w:rsidR="005369A0" w:rsidRPr="00D828D8">
        <w:rPr>
          <w:rFonts w:eastAsia="Times New Roman" w:cs="Times New Roman"/>
          <w:i/>
        </w:rPr>
        <w:t>Grām</w:t>
      </w:r>
      <w:proofErr w:type="spellEnd"/>
      <w:r w:rsidR="005369A0" w:rsidRPr="00D828D8">
        <w:rPr>
          <w:rFonts w:eastAsia="Times New Roman" w:cs="Times New Roman"/>
          <w:i/>
        </w:rPr>
        <w:t xml:space="preserve">.: </w:t>
      </w:r>
      <w:r w:rsidRPr="00D828D8">
        <w:rPr>
          <w:rFonts w:eastAsia="Times New Roman" w:cs="Times New Roman"/>
          <w:i/>
        </w:rPr>
        <w:t xml:space="preserve">Krimināllikuma komentāri. </w:t>
      </w:r>
      <w:r w:rsidR="005369A0" w:rsidRPr="00D828D8">
        <w:rPr>
          <w:rFonts w:eastAsia="Times New Roman" w:cs="Times New Roman"/>
          <w:i/>
        </w:rPr>
        <w:t>Pirm</w:t>
      </w:r>
      <w:r w:rsidRPr="00D828D8">
        <w:rPr>
          <w:rFonts w:eastAsia="Times New Roman" w:cs="Times New Roman"/>
          <w:i/>
        </w:rPr>
        <w:t>ā daļa (I-VIII</w:t>
      </w:r>
      <w:r w:rsidR="00910CAD" w:rsidRPr="00D828D8">
        <w:rPr>
          <w:rFonts w:eastAsia="Times New Roman" w:cs="Times New Roman"/>
          <w:i/>
          <w:vertAlign w:val="superscript"/>
        </w:rPr>
        <w:t>2 </w:t>
      </w:r>
      <w:r w:rsidRPr="00D828D8">
        <w:rPr>
          <w:rFonts w:eastAsia="Times New Roman" w:cs="Times New Roman"/>
          <w:i/>
        </w:rPr>
        <w:t xml:space="preserve">nodaļa). </w:t>
      </w:r>
      <w:r w:rsidR="005369A0" w:rsidRPr="00D828D8">
        <w:rPr>
          <w:rFonts w:eastAsia="Times New Roman" w:cs="Times New Roman"/>
          <w:i/>
        </w:rPr>
        <w:t>Trešai</w:t>
      </w:r>
      <w:r w:rsidRPr="00D828D8">
        <w:rPr>
          <w:rFonts w:eastAsia="Times New Roman" w:cs="Times New Roman"/>
          <w:i/>
        </w:rPr>
        <w:t xml:space="preserve">s papildinātais izdevums. </w:t>
      </w:r>
      <w:r w:rsidR="005369A0" w:rsidRPr="00D828D8">
        <w:rPr>
          <w:rFonts w:eastAsia="Times New Roman" w:cs="Times New Roman"/>
          <w:i/>
        </w:rPr>
        <w:t>Krastiņš</w:t>
      </w:r>
      <w:r w:rsidR="00C0625C">
        <w:rPr>
          <w:rFonts w:eastAsia="Times New Roman" w:cs="Times New Roman"/>
          <w:i/>
        </w:rPr>
        <w:t> </w:t>
      </w:r>
      <w:r w:rsidR="005369A0" w:rsidRPr="00D828D8">
        <w:rPr>
          <w:rFonts w:eastAsia="Times New Roman" w:cs="Times New Roman"/>
          <w:i/>
        </w:rPr>
        <w:t xml:space="preserve">U., </w:t>
      </w:r>
      <w:proofErr w:type="spellStart"/>
      <w:r w:rsidR="005369A0" w:rsidRPr="00D828D8">
        <w:rPr>
          <w:rFonts w:eastAsia="Times New Roman" w:cs="Times New Roman"/>
          <w:i/>
        </w:rPr>
        <w:t>Liholaja</w:t>
      </w:r>
      <w:proofErr w:type="spellEnd"/>
      <w:r w:rsidR="005369A0" w:rsidRPr="00D828D8">
        <w:rPr>
          <w:rFonts w:eastAsia="Times New Roman" w:cs="Times New Roman"/>
          <w:i/>
        </w:rPr>
        <w:t xml:space="preserve"> V. </w:t>
      </w:r>
      <w:r w:rsidRPr="00D828D8">
        <w:rPr>
          <w:rFonts w:eastAsia="Times New Roman" w:cs="Times New Roman"/>
          <w:i/>
        </w:rPr>
        <w:t>Rīga: Tiesu namu aģentūra, 20</w:t>
      </w:r>
      <w:r w:rsidR="005369A0" w:rsidRPr="00D828D8">
        <w:rPr>
          <w:rFonts w:eastAsia="Times New Roman" w:cs="Times New Roman"/>
          <w:i/>
        </w:rPr>
        <w:t>21</w:t>
      </w:r>
      <w:r w:rsidRPr="00D828D8">
        <w:rPr>
          <w:rFonts w:eastAsia="Times New Roman" w:cs="Times New Roman"/>
          <w:i/>
        </w:rPr>
        <w:t xml:space="preserve">, </w:t>
      </w:r>
      <w:r w:rsidR="005369A0" w:rsidRPr="00D828D8">
        <w:rPr>
          <w:rFonts w:eastAsia="Times New Roman" w:cs="Times New Roman"/>
          <w:i/>
        </w:rPr>
        <w:t>307</w:t>
      </w:r>
      <w:r w:rsidRPr="00D828D8">
        <w:rPr>
          <w:rFonts w:eastAsia="Times New Roman" w:cs="Times New Roman"/>
          <w:i/>
        </w:rPr>
        <w:t>.</w:t>
      </w:r>
      <w:r w:rsidR="00910CAD" w:rsidRPr="00D828D8">
        <w:rPr>
          <w:rFonts w:eastAsia="Times New Roman" w:cs="Times New Roman"/>
          <w:i/>
        </w:rPr>
        <w:t> </w:t>
      </w:r>
      <w:r w:rsidRPr="00D828D8">
        <w:rPr>
          <w:rFonts w:eastAsia="Times New Roman" w:cs="Times New Roman"/>
          <w:i/>
        </w:rPr>
        <w:t>lpp.</w:t>
      </w:r>
      <w:r w:rsidRPr="00D828D8">
        <w:t>).</w:t>
      </w:r>
    </w:p>
    <w:p w14:paraId="5B53C2D1" w14:textId="2BF38751" w:rsidR="004A0B5E" w:rsidRPr="00D828D8" w:rsidRDefault="00506AF1" w:rsidP="00A85A31">
      <w:pPr>
        <w:spacing w:line="276" w:lineRule="auto"/>
        <w:ind w:firstLine="720"/>
      </w:pPr>
      <w:r w:rsidRPr="00D828D8">
        <w:t xml:space="preserve">Kriminālprocesa likuma </w:t>
      </w:r>
      <w:r w:rsidR="00FB612F" w:rsidRPr="00D828D8">
        <w:t>440. </w:t>
      </w:r>
      <w:r w:rsidR="004A0B5E" w:rsidRPr="00D828D8">
        <w:t xml:space="preserve">pantā noteikts, ka </w:t>
      </w:r>
      <w:proofErr w:type="spellStart"/>
      <w:r w:rsidR="004A0B5E" w:rsidRPr="00D828D8">
        <w:t>pirmstiesas</w:t>
      </w:r>
      <w:proofErr w:type="spellEnd"/>
      <w:r w:rsidR="004A0B5E" w:rsidRPr="00D828D8">
        <w:t xml:space="preserve"> procesā piespiedu ietekmēšanas līdzekļu piemērošanai juridiskajai personai noskaidro: 1)</w:t>
      </w:r>
      <w:r w:rsidR="00143EF6" w:rsidRPr="00D828D8">
        <w:t> </w:t>
      </w:r>
      <w:r w:rsidR="004A0B5E" w:rsidRPr="00D828D8">
        <w:t>noziedzīga nodarījuma izdarīšanas apstākļus; 2)</w:t>
      </w:r>
      <w:r w:rsidR="00143EF6" w:rsidRPr="00D828D8">
        <w:t> </w:t>
      </w:r>
      <w:r w:rsidR="004A0B5E" w:rsidRPr="00D828D8">
        <w:t>fiziskās personas, ja tāda zināma, statusu juridiskās personas institūcijās; 3) juridiskās personas faktisko rīcību; 4)</w:t>
      </w:r>
      <w:r w:rsidR="00143EF6" w:rsidRPr="00D828D8">
        <w:t> </w:t>
      </w:r>
      <w:r w:rsidR="004A0B5E" w:rsidRPr="00D828D8">
        <w:t xml:space="preserve">juridiskās personas veikto darbību raksturu un radušās sekas; 5) juridiskās personas veiktos pasākumus, lai novērstu noziedzīga nodarījuma izdarīšanu; 6) juridiskās personas lielumu, nodarbošanās veidu un finansiālo </w:t>
      </w:r>
      <w:r w:rsidR="004A0B5E" w:rsidRPr="00D828D8">
        <w:lastRenderedPageBreak/>
        <w:t>stāvokli.</w:t>
      </w:r>
      <w:r w:rsidR="00EB2F2A" w:rsidRPr="00D828D8">
        <w:t xml:space="preserve"> Savukārt šī likuma 441.</w:t>
      </w:r>
      <w:r w:rsidR="00EB2F2A" w:rsidRPr="00D828D8">
        <w:rPr>
          <w:vertAlign w:val="superscript"/>
        </w:rPr>
        <w:t>2 </w:t>
      </w:r>
      <w:r w:rsidR="00EB2F2A" w:rsidRPr="00D828D8">
        <w:t>pants noteic, ka lēmumā par procesa piespiedu ietekmēšanas līdzekļa piemērošanai juridiskajai personai nodošanu tiesai prokurors papildus vispārējām prasībām norāda šā likuma 440. pantā minētos apstākļus un pamatojumu piespiedu ietekmēšanas līdzekļa piemērošanai, kā arī juridiskās personas nosaukumu, reģistrācijas numuru un juridisko adresi.</w:t>
      </w:r>
    </w:p>
    <w:p w14:paraId="3765BDF8" w14:textId="2A8BE813" w:rsidR="004A0B5E" w:rsidRPr="00D828D8" w:rsidRDefault="004A0B5E" w:rsidP="00A85A31">
      <w:pPr>
        <w:spacing w:line="276" w:lineRule="auto"/>
        <w:ind w:firstLine="720"/>
      </w:pPr>
      <w:r w:rsidRPr="00D828D8">
        <w:t>Atbilstoši Kriminālprocesa likuma 548. panta pirmās daļas 1.</w:t>
      </w:r>
      <w:r w:rsidR="002C2D10" w:rsidRPr="00D828D8">
        <w:noBreakHyphen/>
      </w:r>
      <w:r w:rsidRPr="00D828D8">
        <w:t>3. punktam, izskatot procesa par piespiedu ietekmēšanas līdzekļa piemērošanu juridiskajai personai materiālus, tiesai jāizlemj: 1)</w:t>
      </w:r>
      <w:r w:rsidR="00143EF6" w:rsidRPr="00D828D8">
        <w:t> </w:t>
      </w:r>
      <w:r w:rsidRPr="00D828D8">
        <w:t>vai ir noticis noziedzīgs nodarījums; 2)</w:t>
      </w:r>
      <w:r w:rsidR="00143EF6" w:rsidRPr="00D828D8">
        <w:t> </w:t>
      </w:r>
      <w:r w:rsidRPr="00D828D8">
        <w:t>vai ir noskaidroti šā likuma 440. pantā minētie apstākļi; 3)</w:t>
      </w:r>
      <w:r w:rsidR="00143EF6" w:rsidRPr="00D828D8">
        <w:t> </w:t>
      </w:r>
      <w:r w:rsidRPr="00D828D8">
        <w:t>vai noziedzīgs nodarījums izdarīts juridiskās personas interesēs, labā vai nepienācīgas pārraudzības vai kontroles rezultātā.</w:t>
      </w:r>
    </w:p>
    <w:p w14:paraId="5C5D5EDF" w14:textId="12FFA922" w:rsidR="008D0C6D" w:rsidRPr="00D828D8" w:rsidRDefault="00E2537B" w:rsidP="00A85A31">
      <w:pPr>
        <w:spacing w:line="276" w:lineRule="auto"/>
        <w:ind w:firstLine="720"/>
      </w:pPr>
      <w:r w:rsidRPr="00D828D8">
        <w:t xml:space="preserve">Senāts norāda, ka pret juridisko personu procesā par piespiedu ietekmēšanas līdzekļa piemērošanu </w:t>
      </w:r>
      <w:r w:rsidR="004E1E63" w:rsidRPr="00D828D8">
        <w:t xml:space="preserve">izteiktā </w:t>
      </w:r>
      <w:r w:rsidRPr="00D828D8">
        <w:t xml:space="preserve">pieņēmuma </w:t>
      </w:r>
      <w:r w:rsidR="00B7440F" w:rsidRPr="00D828D8">
        <w:t xml:space="preserve">saturā jāiekļauj noteikti pamatelementi </w:t>
      </w:r>
      <w:r w:rsidRPr="00D828D8">
        <w:t xml:space="preserve">un </w:t>
      </w:r>
      <w:r w:rsidR="00B7440F" w:rsidRPr="00D828D8">
        <w:t xml:space="preserve">tie </w:t>
      </w:r>
      <w:r w:rsidRPr="00D828D8">
        <w:t>neaprobežojas tikai ar fiziskai personai celt</w:t>
      </w:r>
      <w:r w:rsidR="00A92D50" w:rsidRPr="00D828D8">
        <w:t>ā</w:t>
      </w:r>
      <w:r w:rsidRPr="00D828D8">
        <w:t xml:space="preserve">s apsūdzības būtību. </w:t>
      </w:r>
    </w:p>
    <w:p w14:paraId="7739117F" w14:textId="00B74FBB" w:rsidR="00956BB2" w:rsidRPr="00D828D8" w:rsidRDefault="008D0C6D" w:rsidP="00A85A31">
      <w:pPr>
        <w:spacing w:line="276" w:lineRule="auto"/>
        <w:ind w:firstLine="720"/>
      </w:pPr>
      <w:r w:rsidRPr="00D828D8">
        <w:t xml:space="preserve">Ievērojot iepriekš minēto, secināms, ka </w:t>
      </w:r>
      <w:r w:rsidR="009B0359" w:rsidRPr="00D828D8">
        <w:t xml:space="preserve">pierādāmie </w:t>
      </w:r>
      <w:r w:rsidR="00B33867" w:rsidRPr="00D828D8">
        <w:t xml:space="preserve">apstākļi par </w:t>
      </w:r>
      <w:r w:rsidRPr="00D828D8">
        <w:t xml:space="preserve">juridiskajai personai </w:t>
      </w:r>
      <w:r w:rsidR="00A4356C" w:rsidRPr="00D828D8">
        <w:rPr>
          <w:color w:val="auto"/>
        </w:rPr>
        <w:t>izteikto pieņēmumu</w:t>
      </w:r>
      <w:r w:rsidRPr="00D828D8">
        <w:rPr>
          <w:color w:val="auto"/>
        </w:rPr>
        <w:t xml:space="preserve"> </w:t>
      </w:r>
      <w:r w:rsidRPr="00D828D8">
        <w:t>procesā par piespiedu ietekmēšanas līdzekļa piemērošanu aptver Kriminālprocesa likuma 440. pantā norādītos apstākļus, tas ir, noziedzīga nodarījuma izdarīšanas apstākļus, kā arī fiziskas personas statusu juridiskās personas institūcijās, juridiskās personas faktisko rīcību, tās veikto darbību raksturu un sekas</w:t>
      </w:r>
      <w:r w:rsidR="00D2637C" w:rsidRPr="00D828D8">
        <w:t>, juridiskās personas veiktos pasākumus, lai novērstu noziedzīga nodarījuma izdarīšanu, juridiskās personas lielumu, nodarbošanās veidu un finansiālo stāvokli.</w:t>
      </w:r>
    </w:p>
    <w:p w14:paraId="730D4DB8" w14:textId="4E249FA4" w:rsidR="008D0C6D" w:rsidRPr="00D828D8" w:rsidRDefault="008B3726" w:rsidP="00A85A31">
      <w:pPr>
        <w:spacing w:line="276" w:lineRule="auto"/>
        <w:ind w:firstLine="720"/>
      </w:pPr>
      <w:r w:rsidRPr="00D828D8">
        <w:t>[9.2] </w:t>
      </w:r>
      <w:r w:rsidR="005043C7" w:rsidRPr="00D828D8">
        <w:t xml:space="preserve">Senāts </w:t>
      </w:r>
      <w:r w:rsidR="00996A1E" w:rsidRPr="00D828D8">
        <w:t xml:space="preserve">konstatē, ka </w:t>
      </w:r>
      <w:r w:rsidR="005043C7" w:rsidRPr="00D828D8">
        <w:t>2022. gada 29. marta lēmumā par procesa par piespiedu ietekmēšanas līdzekļ</w:t>
      </w:r>
      <w:r w:rsidR="006A26C6">
        <w:t>a</w:t>
      </w:r>
      <w:r w:rsidR="005043C7" w:rsidRPr="00D828D8">
        <w:t xml:space="preserve"> piemērošanu juridiskajai personai uzsākšanu, gan 2022. gada 28. aprīļa lēmumā par krimināllietas un procesa par piespiedu ietekmēšanas līdzekļ</w:t>
      </w:r>
      <w:r w:rsidR="006A26C6">
        <w:t>a</w:t>
      </w:r>
      <w:r w:rsidR="005043C7" w:rsidRPr="00D828D8">
        <w:t xml:space="preserve"> piemērošanu juridiskajai personai nodošanu tiesai ir norādīts fiziskās personas statuss juridiskajā personā</w:t>
      </w:r>
      <w:r w:rsidR="008A7A01" w:rsidRPr="00D828D8">
        <w:t>, kā arī lēmumā par krimināllietas un procesa par piespiedu ietekmēšanas līdzekļ</w:t>
      </w:r>
      <w:r w:rsidR="006A26C6">
        <w:t>a</w:t>
      </w:r>
      <w:r w:rsidR="008A7A01" w:rsidRPr="00D828D8">
        <w:t xml:space="preserve"> piemērošanu juridiskajai personai nodošanu tiesai ir norādītas noziedzīga nodarījuma sekas, juridiskās personas zināmais finansiālais stāvoklis un nodarbošanās veids</w:t>
      </w:r>
      <w:r w:rsidR="00996A1E" w:rsidRPr="00D828D8">
        <w:t>, un atzīst kasācijas protest</w:t>
      </w:r>
      <w:r w:rsidR="00713CAB">
        <w:t>u par</w:t>
      </w:r>
      <w:r w:rsidR="00996A1E" w:rsidRPr="00D828D8">
        <w:t xml:space="preserve"> pamatot</w:t>
      </w:r>
      <w:r w:rsidR="00713CAB">
        <w:t>u</w:t>
      </w:r>
      <w:r w:rsidR="00996A1E" w:rsidRPr="00D828D8">
        <w:t>.</w:t>
      </w:r>
    </w:p>
    <w:p w14:paraId="0570EB5D" w14:textId="7FF6830D" w:rsidR="008A7A01" w:rsidRPr="00D828D8" w:rsidRDefault="00AB1701" w:rsidP="00A85A31">
      <w:pPr>
        <w:spacing w:line="276" w:lineRule="auto"/>
        <w:ind w:firstLine="720"/>
      </w:pPr>
      <w:r w:rsidRPr="00D828D8">
        <w:t xml:space="preserve">Senāts </w:t>
      </w:r>
      <w:r w:rsidR="00996A1E" w:rsidRPr="00D828D8">
        <w:t>atzīst, ka</w:t>
      </w:r>
      <w:r w:rsidRPr="00D828D8">
        <w:t xml:space="preserve"> a</w:t>
      </w:r>
      <w:r w:rsidR="00157DBD" w:rsidRPr="00D828D8">
        <w:t>pelācijas instances tiesa</w:t>
      </w:r>
      <w:r w:rsidR="00996A1E" w:rsidRPr="00D828D8">
        <w:t xml:space="preserve"> nepamatoti secinājusi, ka</w:t>
      </w:r>
      <w:r w:rsidR="00157DBD" w:rsidRPr="00D828D8">
        <w:t xml:space="preserve"> juri</w:t>
      </w:r>
      <w:r w:rsidRPr="00D828D8">
        <w:t>d</w:t>
      </w:r>
      <w:r w:rsidR="00157DBD" w:rsidRPr="00D828D8">
        <w:t>iskajai persona</w:t>
      </w:r>
      <w:r w:rsidRPr="00D828D8">
        <w:t>i</w:t>
      </w:r>
      <w:r w:rsidR="00157DBD" w:rsidRPr="00D828D8">
        <w:t xml:space="preserve"> nav iespējams īstenot savas tiesības</w:t>
      </w:r>
      <w:r w:rsidRPr="00D828D8">
        <w:t>, jo</w:t>
      </w:r>
      <w:r w:rsidR="00157DBD" w:rsidRPr="00D828D8">
        <w:t xml:space="preserve"> procesuālajos dokumentos nav atspoguļotas ziņas par juridiskās personas noziedzīgā nodarījuma izdarīšanas apstākļiem, tās faktisko rīcību, veikto darb</w:t>
      </w:r>
      <w:r w:rsidRPr="00D828D8">
        <w:t>ī</w:t>
      </w:r>
      <w:r w:rsidR="00157DBD" w:rsidRPr="00D828D8">
        <w:t>bu raksturu un sekām</w:t>
      </w:r>
      <w:r w:rsidR="00B7440F" w:rsidRPr="00D828D8">
        <w:t>.</w:t>
      </w:r>
    </w:p>
    <w:p w14:paraId="379E86D0" w14:textId="5C62892E" w:rsidR="00AF6B08" w:rsidRPr="00D828D8" w:rsidRDefault="00AB1701" w:rsidP="00A85A31">
      <w:pPr>
        <w:spacing w:line="276" w:lineRule="auto"/>
        <w:ind w:firstLine="720"/>
      </w:pPr>
      <w:r w:rsidRPr="00D828D8">
        <w:t>A</w:t>
      </w:r>
      <w:r w:rsidR="00E97A4F" w:rsidRPr="00D828D8">
        <w:t>pelācijas instances tiesa atz</w:t>
      </w:r>
      <w:r w:rsidR="00947A19" w:rsidRPr="00D828D8">
        <w:t>inusi</w:t>
      </w:r>
      <w:r w:rsidR="00E97A4F" w:rsidRPr="00D828D8">
        <w:t xml:space="preserve"> par pierādīt</w:t>
      </w:r>
      <w:r w:rsidR="003B502B" w:rsidRPr="00D828D8">
        <w:t xml:space="preserve">u, ka </w:t>
      </w:r>
      <w:r w:rsidR="00C715C9">
        <w:rPr>
          <w:rFonts w:asciiTheme="majorBidi" w:hAnsiTheme="majorBidi" w:cstheme="majorBidi"/>
          <w:szCs w:val="24"/>
        </w:rPr>
        <w:t>[pers. A]</w:t>
      </w:r>
      <w:r w:rsidR="003B502B" w:rsidRPr="00D828D8">
        <w:t xml:space="preserve"> AS „</w:t>
      </w:r>
      <w:proofErr w:type="spellStart"/>
      <w:r w:rsidR="003B502B" w:rsidRPr="00D828D8">
        <w:t>BlueOrange</w:t>
      </w:r>
      <w:proofErr w:type="spellEnd"/>
      <w:r w:rsidR="003B502B" w:rsidRPr="00D828D8">
        <w:t xml:space="preserve"> </w:t>
      </w:r>
      <w:proofErr w:type="spellStart"/>
      <w:r w:rsidR="003B502B" w:rsidRPr="00D828D8">
        <w:t>Bank</w:t>
      </w:r>
      <w:proofErr w:type="spellEnd"/>
      <w:r w:rsidR="003B502B" w:rsidRPr="00D828D8">
        <w:t>” sniedza apzināti nepatiesas ziņas par SIA „</w:t>
      </w:r>
      <w:r w:rsidR="00C715C9">
        <w:t>[Nosaukums]</w:t>
      </w:r>
      <w:r w:rsidR="003B502B" w:rsidRPr="00D828D8">
        <w:t>” piesaistīto norēķinu kontu Nr. </w:t>
      </w:r>
      <w:r w:rsidR="00C715C9">
        <w:t>[..]</w:t>
      </w:r>
      <w:r w:rsidR="003B502B" w:rsidRPr="00D828D8">
        <w:t xml:space="preserve"> un Nr. </w:t>
      </w:r>
      <w:r w:rsidR="00C715C9">
        <w:t>[..]</w:t>
      </w:r>
      <w:r w:rsidR="003B502B" w:rsidRPr="00D828D8">
        <w:t xml:space="preserve"> patieso labuma guvēju, tostarp, lai SIA „</w:t>
      </w:r>
      <w:r w:rsidR="00C715C9">
        <w:t>[Nosaukums]</w:t>
      </w:r>
      <w:r w:rsidR="003B502B" w:rsidRPr="00D828D8">
        <w:t xml:space="preserve">” varētu piedalīties </w:t>
      </w:r>
      <w:proofErr w:type="spellStart"/>
      <w:r w:rsidR="003B502B" w:rsidRPr="00D828D8">
        <w:t>Iekšlietu</w:t>
      </w:r>
      <w:proofErr w:type="spellEnd"/>
      <w:r w:rsidR="003B502B" w:rsidRPr="00D828D8">
        <w:t xml:space="preserve"> ministrijas Informācijas centra rīkotajos iepirkumos ar identifikācijas Nr. </w:t>
      </w:r>
      <w:r w:rsidR="002925AC">
        <w:t>[</w:t>
      </w:r>
      <w:r w:rsidR="00CC44D5">
        <w:t>..</w:t>
      </w:r>
      <w:r w:rsidR="002925AC">
        <w:t>] „[Nosaukums</w:t>
      </w:r>
      <w:r w:rsidR="00CC44D5">
        <w:t xml:space="preserve"> A</w:t>
      </w:r>
      <w:r w:rsidR="002925AC">
        <w:t>]”</w:t>
      </w:r>
      <w:r w:rsidR="003B502B" w:rsidRPr="00D828D8">
        <w:t xml:space="preserve"> un Nr. </w:t>
      </w:r>
      <w:r w:rsidR="002925AC">
        <w:t>[</w:t>
      </w:r>
      <w:r w:rsidR="00CC44D5">
        <w:t>..</w:t>
      </w:r>
      <w:r w:rsidR="002925AC">
        <w:t>] „[Nosaukums</w:t>
      </w:r>
      <w:r w:rsidR="00CC44D5">
        <w:t xml:space="preserve"> B</w:t>
      </w:r>
      <w:r w:rsidR="002925AC">
        <w:t>]”</w:t>
      </w:r>
      <w:r w:rsidR="003B502B" w:rsidRPr="00D828D8">
        <w:t>.</w:t>
      </w:r>
      <w:r w:rsidRPr="00D828D8">
        <w:t xml:space="preserve"> </w:t>
      </w:r>
      <w:r w:rsidR="00157DBD" w:rsidRPr="00D828D8">
        <w:t>T</w:t>
      </w:r>
      <w:r w:rsidRPr="00D828D8">
        <w:t xml:space="preserve">ādējādi apelācijas instances tiesa ir konstatējusi, ka </w:t>
      </w:r>
      <w:r w:rsidR="004E5440" w:rsidRPr="00D828D8">
        <w:t xml:space="preserve">noziedzīgo nodarījumu izdarījusi </w:t>
      </w:r>
      <w:r w:rsidR="00947A19" w:rsidRPr="00D828D8">
        <w:t>SIA „</w:t>
      </w:r>
      <w:r w:rsidR="00C715C9">
        <w:t>[Nosaukums]</w:t>
      </w:r>
      <w:r w:rsidR="00947A19" w:rsidRPr="00D828D8">
        <w:t xml:space="preserve">” valdes locekle </w:t>
      </w:r>
      <w:r w:rsidR="00C715C9">
        <w:rPr>
          <w:rFonts w:asciiTheme="majorBidi" w:hAnsiTheme="majorBidi" w:cstheme="majorBidi"/>
          <w:szCs w:val="24"/>
        </w:rPr>
        <w:t>[pers. A]</w:t>
      </w:r>
      <w:r w:rsidRPr="00D828D8">
        <w:t>, tur</w:t>
      </w:r>
      <w:r w:rsidR="00C67F9E" w:rsidRPr="00D828D8">
        <w:t>k</w:t>
      </w:r>
      <w:r w:rsidRPr="00D828D8">
        <w:t xml:space="preserve">lāt </w:t>
      </w:r>
      <w:r w:rsidR="00AF6B08" w:rsidRPr="00D828D8">
        <w:t xml:space="preserve">faktiski </w:t>
      </w:r>
      <w:r w:rsidR="00F1291A" w:rsidRPr="00D828D8">
        <w:t>tas</w:t>
      </w:r>
      <w:r w:rsidR="00AF6B08" w:rsidRPr="00D828D8">
        <w:t xml:space="preserve"> </w:t>
      </w:r>
      <w:r w:rsidRPr="00D828D8">
        <w:t>izdarīts SIA „</w:t>
      </w:r>
      <w:r w:rsidR="00C715C9">
        <w:t>[Nosaukums]</w:t>
      </w:r>
      <w:r w:rsidRPr="00D828D8">
        <w:t>”</w:t>
      </w:r>
      <w:r w:rsidR="00F40D24" w:rsidRPr="00D828D8">
        <w:t xml:space="preserve"> </w:t>
      </w:r>
      <w:r w:rsidRPr="00D828D8">
        <w:t xml:space="preserve">interesēs. </w:t>
      </w:r>
    </w:p>
    <w:p w14:paraId="4E2506F0" w14:textId="5285CB5D" w:rsidR="00AF6B08" w:rsidRPr="00D828D8" w:rsidRDefault="00AB1701" w:rsidP="00A85A31">
      <w:pPr>
        <w:spacing w:line="276" w:lineRule="auto"/>
        <w:ind w:firstLine="720"/>
      </w:pPr>
      <w:r w:rsidRPr="00D828D8">
        <w:t>Senāts atzīst par pamatotiem kasācijas protestā paustos argumentus par to, ka</w:t>
      </w:r>
      <w:r w:rsidR="004E5440" w:rsidRPr="00D828D8">
        <w:t xml:space="preserve"> SIA „</w:t>
      </w:r>
      <w:r w:rsidR="00C715C9">
        <w:t>[Nosaukums]</w:t>
      </w:r>
      <w:r w:rsidR="004E5440" w:rsidRPr="00D828D8">
        <w:t>” darbības un griba ir pielīdzināma un izriet no fiziskās personas darbībām un gribas, kas izpaud</w:t>
      </w:r>
      <w:r w:rsidR="00E47672" w:rsidRPr="00D828D8">
        <w:t>ās</w:t>
      </w:r>
      <w:r w:rsidR="004E5440" w:rsidRPr="00D828D8">
        <w:t xml:space="preserve"> noziedzīga nodarījuma izdarīšanā nolūkā piedalīties</w:t>
      </w:r>
      <w:r w:rsidR="00157DBD" w:rsidRPr="00D828D8">
        <w:t xml:space="preserve"> publiskajos iepirkumos.</w:t>
      </w:r>
    </w:p>
    <w:p w14:paraId="76CCB90B" w14:textId="3DAE062C" w:rsidR="00E47672" w:rsidRPr="00D828D8" w:rsidRDefault="008B3726" w:rsidP="00A85A31">
      <w:pPr>
        <w:spacing w:line="276" w:lineRule="auto"/>
        <w:ind w:firstLine="720"/>
      </w:pPr>
      <w:r w:rsidRPr="00D828D8">
        <w:t xml:space="preserve">[9.3] Senāts atzīst, </w:t>
      </w:r>
      <w:r w:rsidRPr="00D828D8">
        <w:rPr>
          <w:color w:val="auto"/>
        </w:rPr>
        <w:t xml:space="preserve">ka </w:t>
      </w:r>
      <w:r w:rsidR="001A0FBF" w:rsidRPr="00D828D8">
        <w:rPr>
          <w:color w:val="auto"/>
        </w:rPr>
        <w:t xml:space="preserve">apelācijas instances tiesa </w:t>
      </w:r>
      <w:r w:rsidR="00446643" w:rsidRPr="00D828D8">
        <w:rPr>
          <w:color w:val="auto"/>
        </w:rPr>
        <w:t xml:space="preserve">nepareizi piemērojusi </w:t>
      </w:r>
      <w:r w:rsidR="001A0FBF" w:rsidRPr="00D828D8">
        <w:rPr>
          <w:color w:val="auto"/>
        </w:rPr>
        <w:t xml:space="preserve">Kriminālprocesa likuma </w:t>
      </w:r>
      <w:r w:rsidR="00B33867" w:rsidRPr="00D828D8">
        <w:rPr>
          <w:rFonts w:asciiTheme="majorBidi" w:eastAsia="Times New Roman" w:hAnsiTheme="majorBidi" w:cstheme="majorBidi"/>
          <w:color w:val="auto"/>
          <w:lang w:eastAsia="ru-RU"/>
        </w:rPr>
        <w:t>440. pant</w:t>
      </w:r>
      <w:r w:rsidR="00D828D8" w:rsidRPr="00D828D8">
        <w:rPr>
          <w:rFonts w:asciiTheme="majorBidi" w:eastAsia="Times New Roman" w:hAnsiTheme="majorBidi" w:cstheme="majorBidi"/>
          <w:color w:val="auto"/>
          <w:lang w:eastAsia="ru-RU"/>
        </w:rPr>
        <w:t xml:space="preserve">u </w:t>
      </w:r>
      <w:r w:rsidR="00B33867" w:rsidRPr="00D828D8">
        <w:rPr>
          <w:rFonts w:asciiTheme="majorBidi" w:eastAsia="Times New Roman" w:hAnsiTheme="majorBidi" w:cstheme="majorBidi"/>
          <w:color w:val="auto"/>
          <w:lang w:eastAsia="ru-RU"/>
        </w:rPr>
        <w:t>un 441. panta pirm</w:t>
      </w:r>
      <w:r w:rsidR="00D828D8" w:rsidRPr="00D828D8">
        <w:rPr>
          <w:rFonts w:asciiTheme="majorBidi" w:eastAsia="Times New Roman" w:hAnsiTheme="majorBidi" w:cstheme="majorBidi"/>
          <w:color w:val="auto"/>
          <w:lang w:eastAsia="ru-RU"/>
        </w:rPr>
        <w:t xml:space="preserve">o </w:t>
      </w:r>
      <w:r w:rsidR="00B33867" w:rsidRPr="00D828D8">
        <w:rPr>
          <w:rFonts w:asciiTheme="majorBidi" w:eastAsia="Times New Roman" w:hAnsiTheme="majorBidi" w:cstheme="majorBidi"/>
          <w:color w:val="auto"/>
          <w:lang w:eastAsia="ru-RU"/>
        </w:rPr>
        <w:t>daļ</w:t>
      </w:r>
      <w:r w:rsidR="00D828D8" w:rsidRPr="00D828D8">
        <w:rPr>
          <w:rFonts w:asciiTheme="majorBidi" w:eastAsia="Times New Roman" w:hAnsiTheme="majorBidi" w:cstheme="majorBidi"/>
          <w:color w:val="auto"/>
          <w:lang w:eastAsia="ru-RU"/>
        </w:rPr>
        <w:t>u</w:t>
      </w:r>
      <w:r w:rsidR="001A0FBF" w:rsidRPr="00D828D8">
        <w:rPr>
          <w:color w:val="auto"/>
        </w:rPr>
        <w:t xml:space="preserve">, kas novedis pie Kriminālprocesa likuma būtiska </w:t>
      </w:r>
      <w:r w:rsidR="001A0FBF" w:rsidRPr="00D828D8">
        <w:rPr>
          <w:color w:val="auto"/>
        </w:rPr>
        <w:lastRenderedPageBreak/>
        <w:t>pārkāpuma šā likuma 575. panta trešās daļas izpratnē</w:t>
      </w:r>
      <w:r w:rsidRPr="00D828D8">
        <w:rPr>
          <w:color w:val="auto"/>
        </w:rPr>
        <w:t xml:space="preserve">, tādējādi </w:t>
      </w:r>
      <w:r w:rsidR="00053CB5" w:rsidRPr="00D828D8">
        <w:rPr>
          <w:color w:val="auto"/>
        </w:rPr>
        <w:t xml:space="preserve">apelācijas instances tiesas spriedums atceļams daļā par </w:t>
      </w:r>
      <w:r w:rsidR="00053CB5" w:rsidRPr="00D828D8">
        <w:t>procesa par piespiedu ietekmēšanas līdzekļ</w:t>
      </w:r>
      <w:r w:rsidR="00E47672" w:rsidRPr="00D828D8">
        <w:t>a</w:t>
      </w:r>
      <w:r w:rsidR="00053CB5" w:rsidRPr="00D828D8">
        <w:t xml:space="preserve"> piemērošanu SIA „</w:t>
      </w:r>
      <w:r w:rsidR="00C715C9">
        <w:t>[Nosaukums]</w:t>
      </w:r>
      <w:r w:rsidR="00053CB5" w:rsidRPr="00D828D8">
        <w:t xml:space="preserve">” </w:t>
      </w:r>
      <w:r w:rsidR="00217658" w:rsidRPr="00D828D8">
        <w:t xml:space="preserve">izbeigšanu </w:t>
      </w:r>
      <w:r w:rsidR="00053CB5" w:rsidRPr="00D828D8">
        <w:t xml:space="preserve">un atceltajā daļā </w:t>
      </w:r>
      <w:r w:rsidR="00217658" w:rsidRPr="00D828D8">
        <w:t xml:space="preserve">lieta </w:t>
      </w:r>
      <w:r w:rsidR="00053CB5" w:rsidRPr="00D828D8">
        <w:t xml:space="preserve">nosūtāma jaunai izskatīšanai apelācijas instances tiesā. </w:t>
      </w:r>
    </w:p>
    <w:p w14:paraId="6458451B" w14:textId="5A1BC7CC" w:rsidR="00053CB5" w:rsidRPr="00D828D8" w:rsidRDefault="00053CB5" w:rsidP="00A85A31">
      <w:pPr>
        <w:spacing w:line="276" w:lineRule="auto"/>
        <w:ind w:firstLine="720"/>
      </w:pPr>
      <w:r w:rsidRPr="00D828D8">
        <w:t>Pārējā daļā spriedums atstājams negrozīts, jo apelācijas instances tiesa, iztiesājot lietu, nav pieļāvusi Krimināllikuma pārkāpumus vai Kriminālprocesa likuma būtiskus pārkāpumus šā likuma 575. panta trešās daļas izpratnē, kas varētu būt par pamatu apelācijas instances tiesas nolēmuma atcelšanai vai grozīšanai.</w:t>
      </w:r>
    </w:p>
    <w:p w14:paraId="6039D51E" w14:textId="77777777" w:rsidR="0079247B" w:rsidRPr="00D828D8" w:rsidRDefault="0079247B" w:rsidP="00A85A31">
      <w:pPr>
        <w:spacing w:line="276" w:lineRule="auto"/>
        <w:ind w:firstLine="720"/>
      </w:pPr>
    </w:p>
    <w:p w14:paraId="4FC569E6" w14:textId="77777777" w:rsidR="00956FAC" w:rsidRPr="00D828D8" w:rsidRDefault="00956FAC" w:rsidP="00956FAC">
      <w:pPr>
        <w:widowControl w:val="0"/>
        <w:spacing w:line="276" w:lineRule="auto"/>
        <w:jc w:val="center"/>
        <w:rPr>
          <w:rFonts w:asciiTheme="majorBidi" w:eastAsia="Times New Roman" w:hAnsiTheme="majorBidi" w:cstheme="majorBidi"/>
          <w:b/>
          <w:szCs w:val="24"/>
        </w:rPr>
      </w:pPr>
      <w:r w:rsidRPr="00D828D8">
        <w:rPr>
          <w:rFonts w:asciiTheme="majorBidi" w:eastAsia="Times New Roman" w:hAnsiTheme="majorBidi" w:cstheme="majorBidi"/>
          <w:b/>
          <w:szCs w:val="24"/>
        </w:rPr>
        <w:t>Rezolutīvā daļa</w:t>
      </w:r>
    </w:p>
    <w:p w14:paraId="637C6E3A" w14:textId="77777777" w:rsidR="00956FAC" w:rsidRPr="00D828D8" w:rsidRDefault="00956FAC" w:rsidP="00956FAC">
      <w:pPr>
        <w:widowControl w:val="0"/>
        <w:spacing w:line="276" w:lineRule="auto"/>
        <w:ind w:firstLine="720"/>
        <w:rPr>
          <w:rFonts w:asciiTheme="majorBidi" w:eastAsia="Times New Roman" w:hAnsiTheme="majorBidi" w:cstheme="majorBidi"/>
          <w:b/>
          <w:szCs w:val="24"/>
        </w:rPr>
      </w:pPr>
    </w:p>
    <w:p w14:paraId="379D8076" w14:textId="4470266B" w:rsidR="00956FAC" w:rsidRPr="00D828D8" w:rsidRDefault="00956FAC" w:rsidP="00956FAC">
      <w:pPr>
        <w:widowControl w:val="0"/>
        <w:tabs>
          <w:tab w:val="left" w:pos="709"/>
        </w:tabs>
        <w:spacing w:line="276" w:lineRule="auto"/>
        <w:ind w:firstLine="720"/>
        <w:rPr>
          <w:rFonts w:asciiTheme="majorBidi" w:eastAsia="Times New Roman" w:hAnsiTheme="majorBidi" w:cstheme="majorBidi"/>
          <w:bCs/>
          <w:szCs w:val="24"/>
        </w:rPr>
      </w:pPr>
      <w:r w:rsidRPr="00D828D8">
        <w:rPr>
          <w:rFonts w:asciiTheme="majorBidi" w:eastAsia="Times New Roman" w:hAnsiTheme="majorBidi" w:cstheme="majorBidi"/>
          <w:szCs w:val="24"/>
        </w:rPr>
        <w:t>P</w:t>
      </w:r>
      <w:r w:rsidRPr="00D828D8">
        <w:rPr>
          <w:rFonts w:asciiTheme="majorBidi" w:eastAsia="Times New Roman" w:hAnsiTheme="majorBidi" w:cstheme="majorBidi"/>
          <w:bCs/>
          <w:szCs w:val="24"/>
        </w:rPr>
        <w:t xml:space="preserve">amatojoties uz </w:t>
      </w:r>
      <w:r w:rsidRPr="00D828D8">
        <w:rPr>
          <w:rFonts w:asciiTheme="majorBidi" w:hAnsiTheme="majorBidi" w:cstheme="majorBidi"/>
          <w:szCs w:val="24"/>
        </w:rPr>
        <w:t>Kriminālprocesa</w:t>
      </w:r>
      <w:r w:rsidRPr="00D828D8">
        <w:rPr>
          <w:rFonts w:asciiTheme="majorBidi" w:eastAsia="Times New Roman" w:hAnsiTheme="majorBidi" w:cstheme="majorBidi"/>
          <w:bCs/>
          <w:szCs w:val="24"/>
        </w:rPr>
        <w:t xml:space="preserve"> likuma 585. un 587. pant</w:t>
      </w:r>
      <w:r w:rsidR="00053CB5" w:rsidRPr="00D828D8">
        <w:rPr>
          <w:rFonts w:asciiTheme="majorBidi" w:eastAsia="Times New Roman" w:hAnsiTheme="majorBidi" w:cstheme="majorBidi"/>
          <w:bCs/>
          <w:szCs w:val="24"/>
        </w:rPr>
        <w:t>a pirmās daļas 2. punktu</w:t>
      </w:r>
      <w:r w:rsidRPr="00D828D8">
        <w:rPr>
          <w:rFonts w:asciiTheme="majorBidi" w:eastAsia="Times New Roman" w:hAnsiTheme="majorBidi" w:cstheme="majorBidi"/>
          <w:bCs/>
          <w:szCs w:val="24"/>
        </w:rPr>
        <w:t>, Senāts</w:t>
      </w:r>
    </w:p>
    <w:p w14:paraId="3055FD18" w14:textId="77777777" w:rsidR="00956FAC" w:rsidRPr="00D828D8" w:rsidRDefault="00956FAC" w:rsidP="00956FAC">
      <w:pPr>
        <w:pStyle w:val="tv213"/>
        <w:widowControl w:val="0"/>
        <w:spacing w:before="0" w:beforeAutospacing="0" w:after="0" w:afterAutospacing="0" w:line="276" w:lineRule="auto"/>
        <w:ind w:firstLine="720"/>
        <w:jc w:val="both"/>
        <w:rPr>
          <w:rFonts w:asciiTheme="majorBidi" w:hAnsiTheme="majorBidi" w:cstheme="majorBidi"/>
          <w:b/>
        </w:rPr>
      </w:pPr>
    </w:p>
    <w:p w14:paraId="6DDB4D78" w14:textId="77777777" w:rsidR="00956FAC" w:rsidRPr="00D828D8" w:rsidRDefault="00956FAC" w:rsidP="00956FAC">
      <w:pPr>
        <w:pStyle w:val="tv213"/>
        <w:widowControl w:val="0"/>
        <w:spacing w:before="0" w:beforeAutospacing="0" w:after="0" w:afterAutospacing="0" w:line="276" w:lineRule="auto"/>
        <w:jc w:val="center"/>
        <w:rPr>
          <w:rFonts w:asciiTheme="majorBidi" w:hAnsiTheme="majorBidi" w:cstheme="majorBidi"/>
          <w:b/>
        </w:rPr>
      </w:pPr>
      <w:r w:rsidRPr="00D828D8">
        <w:rPr>
          <w:rFonts w:asciiTheme="majorBidi" w:hAnsiTheme="majorBidi" w:cstheme="majorBidi"/>
          <w:b/>
        </w:rPr>
        <w:t>nolēma</w:t>
      </w:r>
    </w:p>
    <w:p w14:paraId="1137E6F0" w14:textId="77777777" w:rsidR="00956FAC" w:rsidRPr="00D828D8" w:rsidRDefault="00956FAC" w:rsidP="00956FAC">
      <w:pPr>
        <w:pStyle w:val="tv213"/>
        <w:widowControl w:val="0"/>
        <w:spacing w:before="0" w:beforeAutospacing="0" w:after="0" w:afterAutospacing="0" w:line="276" w:lineRule="auto"/>
        <w:ind w:firstLine="720"/>
        <w:jc w:val="both"/>
        <w:rPr>
          <w:rFonts w:asciiTheme="majorBidi" w:hAnsiTheme="majorBidi" w:cstheme="majorBidi"/>
          <w:b/>
        </w:rPr>
      </w:pPr>
    </w:p>
    <w:p w14:paraId="58DD7F7E" w14:textId="500F5773" w:rsidR="00612156" w:rsidRDefault="00956FAC" w:rsidP="00612156">
      <w:pPr>
        <w:widowControl w:val="0"/>
        <w:tabs>
          <w:tab w:val="left" w:pos="709"/>
        </w:tabs>
        <w:spacing w:line="276" w:lineRule="auto"/>
        <w:ind w:firstLine="720"/>
      </w:pPr>
      <w:r w:rsidRPr="00D828D8">
        <w:rPr>
          <w:rFonts w:asciiTheme="majorBidi" w:eastAsia="Calibri" w:hAnsiTheme="majorBidi" w:cstheme="majorBidi"/>
          <w:iCs/>
          <w:szCs w:val="24"/>
        </w:rPr>
        <w:t xml:space="preserve">atcelt Kurzemes apgabaltiesas 2024. gada 29. janvāra spriedumu </w:t>
      </w:r>
      <w:r w:rsidR="00255B5A" w:rsidRPr="00D828D8">
        <w:rPr>
          <w:rFonts w:asciiTheme="majorBidi" w:eastAsia="Calibri" w:hAnsiTheme="majorBidi" w:cstheme="majorBidi"/>
          <w:iCs/>
          <w:szCs w:val="24"/>
        </w:rPr>
        <w:t xml:space="preserve">daļā par </w:t>
      </w:r>
      <w:r w:rsidR="00255B5A" w:rsidRPr="00D828D8">
        <w:t>procesa par piespiedu ietekmēšanas līdzekļ</w:t>
      </w:r>
      <w:r w:rsidR="00E47672" w:rsidRPr="00D828D8">
        <w:t>a</w:t>
      </w:r>
      <w:r w:rsidR="00255B5A" w:rsidRPr="00D828D8">
        <w:t xml:space="preserve"> piemērošanu SIA „</w:t>
      </w:r>
      <w:r w:rsidR="00C715C9">
        <w:t>[Nosaukums]</w:t>
      </w:r>
      <w:r w:rsidR="00255B5A" w:rsidRPr="00D828D8">
        <w:t xml:space="preserve">”, reģistrācijas </w:t>
      </w:r>
      <w:r w:rsidR="00546F56">
        <w:t>Nr. </w:t>
      </w:r>
      <w:r w:rsidR="00C715C9">
        <w:t>[..]</w:t>
      </w:r>
      <w:r w:rsidR="00054CF2" w:rsidRPr="00D828D8">
        <w:t>,</w:t>
      </w:r>
      <w:r w:rsidR="00255B5A" w:rsidRPr="00D828D8">
        <w:t xml:space="preserve"> </w:t>
      </w:r>
      <w:r w:rsidR="00C0625C" w:rsidRPr="00D828D8">
        <w:t>izbeigšanu</w:t>
      </w:r>
      <w:r w:rsidR="00612156">
        <w:t>;</w:t>
      </w:r>
      <w:r w:rsidR="00612156" w:rsidRPr="00612156">
        <w:rPr>
          <w:rFonts w:cs="Times New Roman"/>
          <w:color w:val="000000"/>
          <w:kern w:val="0"/>
          <w:sz w:val="23"/>
          <w:szCs w:val="23"/>
        </w:rPr>
        <w:t xml:space="preserve"> </w:t>
      </w:r>
    </w:p>
    <w:p w14:paraId="1D2D82C1" w14:textId="117F2EB7" w:rsidR="00255B5A" w:rsidRPr="00D828D8" w:rsidRDefault="00255B5A" w:rsidP="00546F56">
      <w:pPr>
        <w:widowControl w:val="0"/>
        <w:tabs>
          <w:tab w:val="left" w:pos="709"/>
        </w:tabs>
        <w:spacing w:line="276" w:lineRule="auto"/>
        <w:ind w:firstLine="720"/>
      </w:pPr>
      <w:r w:rsidRPr="00D828D8">
        <w:t xml:space="preserve">atceltajā daļā </w:t>
      </w:r>
      <w:r w:rsidR="00612156" w:rsidRPr="00D828D8">
        <w:t xml:space="preserve">lietu </w:t>
      </w:r>
      <w:r w:rsidRPr="00D828D8">
        <w:t>nosūtīt jaunai izskatīšanai Kurzemes apgabaltiesā</w:t>
      </w:r>
      <w:r w:rsidR="004824AB" w:rsidRPr="00D828D8">
        <w:t>;</w:t>
      </w:r>
    </w:p>
    <w:p w14:paraId="4FB3B240" w14:textId="47BB7C62" w:rsidR="004824AB" w:rsidRPr="00D828D8" w:rsidRDefault="004824AB" w:rsidP="00956FAC">
      <w:pPr>
        <w:widowControl w:val="0"/>
        <w:tabs>
          <w:tab w:val="left" w:pos="709"/>
        </w:tabs>
        <w:spacing w:line="276" w:lineRule="auto"/>
        <w:ind w:firstLine="720"/>
      </w:pPr>
      <w:r w:rsidRPr="00D828D8">
        <w:t>p</w:t>
      </w:r>
      <w:r w:rsidR="00255B5A" w:rsidRPr="00D828D8">
        <w:t xml:space="preserve">ārējā daļā Kurzemes apgabaltiesas </w:t>
      </w:r>
      <w:r w:rsidR="00255B5A" w:rsidRPr="00D828D8">
        <w:rPr>
          <w:rFonts w:asciiTheme="majorBidi" w:eastAsia="Calibri" w:hAnsiTheme="majorBidi" w:cstheme="majorBidi"/>
          <w:iCs/>
          <w:szCs w:val="24"/>
        </w:rPr>
        <w:t>2024. gada 29. janvāra spriedumu</w:t>
      </w:r>
      <w:r w:rsidR="00255B5A" w:rsidRPr="00D828D8">
        <w:t xml:space="preserve"> atstāt negrozītu</w:t>
      </w:r>
      <w:r w:rsidRPr="00D828D8">
        <w:t>;</w:t>
      </w:r>
    </w:p>
    <w:p w14:paraId="19D59704" w14:textId="0522E751" w:rsidR="00956FAC" w:rsidRPr="00D828D8" w:rsidRDefault="004824AB" w:rsidP="00956FAC">
      <w:pPr>
        <w:widowControl w:val="0"/>
        <w:tabs>
          <w:tab w:val="left" w:pos="-3120"/>
        </w:tabs>
        <w:spacing w:line="276" w:lineRule="auto"/>
        <w:ind w:firstLine="720"/>
      </w:pPr>
      <w:r w:rsidRPr="00D828D8">
        <w:rPr>
          <w:rFonts w:asciiTheme="majorBidi" w:hAnsiTheme="majorBidi" w:cstheme="majorBidi"/>
          <w:color w:val="000000"/>
          <w:szCs w:val="24"/>
        </w:rPr>
        <w:t xml:space="preserve">apsūdzētās </w:t>
      </w:r>
      <w:r w:rsidR="00C715C9">
        <w:rPr>
          <w:rFonts w:asciiTheme="majorBidi" w:hAnsiTheme="majorBidi" w:cstheme="majorBidi"/>
          <w:szCs w:val="24"/>
        </w:rPr>
        <w:t>[pers. A]</w:t>
      </w:r>
      <w:r w:rsidRPr="00D828D8">
        <w:t xml:space="preserve"> aizstāvja zvērināta advokāta palīga Anatolija </w:t>
      </w:r>
      <w:proofErr w:type="spellStart"/>
      <w:r w:rsidRPr="00D828D8">
        <w:t>Orehova</w:t>
      </w:r>
      <w:proofErr w:type="spellEnd"/>
      <w:r w:rsidRPr="00D828D8">
        <w:t xml:space="preserve"> kasācijas sūdzību noraidīt.</w:t>
      </w:r>
    </w:p>
    <w:p w14:paraId="6DB71913" w14:textId="77777777" w:rsidR="004824AB" w:rsidRPr="00D828D8" w:rsidRDefault="004824AB" w:rsidP="00956FAC">
      <w:pPr>
        <w:widowControl w:val="0"/>
        <w:tabs>
          <w:tab w:val="left" w:pos="-3120"/>
        </w:tabs>
        <w:spacing w:line="276" w:lineRule="auto"/>
        <w:ind w:firstLine="720"/>
        <w:rPr>
          <w:rFonts w:asciiTheme="majorBidi" w:hAnsiTheme="majorBidi" w:cstheme="majorBidi"/>
          <w:color w:val="000000"/>
          <w:szCs w:val="24"/>
        </w:rPr>
      </w:pPr>
    </w:p>
    <w:p w14:paraId="320F41DB" w14:textId="77777777" w:rsidR="00956FAC" w:rsidRPr="00D828D8" w:rsidRDefault="00956FAC" w:rsidP="00956FAC">
      <w:pPr>
        <w:widowControl w:val="0"/>
        <w:tabs>
          <w:tab w:val="left" w:pos="-3120"/>
        </w:tabs>
        <w:spacing w:line="276" w:lineRule="auto"/>
        <w:ind w:firstLine="720"/>
        <w:rPr>
          <w:rFonts w:asciiTheme="majorBidi" w:hAnsiTheme="majorBidi" w:cstheme="majorBidi"/>
          <w:color w:val="000000"/>
          <w:szCs w:val="24"/>
        </w:rPr>
      </w:pPr>
      <w:r w:rsidRPr="00D828D8">
        <w:rPr>
          <w:rFonts w:asciiTheme="majorBidi" w:hAnsiTheme="majorBidi" w:cstheme="majorBidi"/>
          <w:color w:val="000000"/>
          <w:szCs w:val="24"/>
        </w:rPr>
        <w:t>Lēmums nav pārsūdzams.</w:t>
      </w:r>
    </w:p>
    <w:p w14:paraId="6425CA62" w14:textId="77777777" w:rsidR="00956FAC" w:rsidRPr="00D828D8" w:rsidRDefault="00956FAC" w:rsidP="001A0FBF">
      <w:pPr>
        <w:spacing w:line="276" w:lineRule="auto"/>
        <w:ind w:firstLine="720"/>
      </w:pPr>
    </w:p>
    <w:p w14:paraId="6B60215E" w14:textId="4650AA98" w:rsidR="00956FAC" w:rsidRDefault="00956FAC" w:rsidP="00C715C9">
      <w:pPr>
        <w:spacing w:line="276" w:lineRule="auto"/>
      </w:pPr>
    </w:p>
    <w:p w14:paraId="5B3DC135" w14:textId="77777777" w:rsidR="00956FAC" w:rsidRPr="004A0B5E" w:rsidRDefault="00956FAC" w:rsidP="001A0FBF">
      <w:pPr>
        <w:spacing w:line="276" w:lineRule="auto"/>
        <w:ind w:firstLine="720"/>
      </w:pPr>
    </w:p>
    <w:sectPr w:rsidR="00956FAC" w:rsidRPr="004A0B5E" w:rsidSect="00F604D1">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9DAC" w14:textId="77777777" w:rsidR="004E0496" w:rsidRDefault="004E0496" w:rsidP="005E69C1">
      <w:pPr>
        <w:spacing w:line="240" w:lineRule="auto"/>
      </w:pPr>
      <w:r>
        <w:separator/>
      </w:r>
    </w:p>
  </w:endnote>
  <w:endnote w:type="continuationSeparator" w:id="0">
    <w:p w14:paraId="610D83DA" w14:textId="77777777" w:rsidR="004E0496" w:rsidRDefault="004E0496" w:rsidP="005E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59AC" w14:textId="77777777" w:rsidR="00F6564B" w:rsidRPr="00F6564B" w:rsidRDefault="001D6780" w:rsidP="00F6564B">
    <w:pPr>
      <w:widowControl w:val="0"/>
      <w:tabs>
        <w:tab w:val="center" w:pos="4153"/>
        <w:tab w:val="right" w:pos="8306"/>
      </w:tabs>
      <w:suppressAutoHyphens/>
      <w:spacing w:line="240" w:lineRule="auto"/>
      <w:jc w:val="center"/>
      <w:rPr>
        <w:rFonts w:eastAsia="SimSun" w:cs="Times New Roman"/>
        <w:color w:val="auto"/>
        <w:sz w:val="20"/>
        <w:szCs w:val="20"/>
        <w:lang w:eastAsia="hi-IN" w:bidi="hi-IN"/>
        <w14:ligatures w14:val="none"/>
      </w:rPr>
    </w:pPr>
    <w:sdt>
      <w:sdtPr>
        <w:rPr>
          <w:rFonts w:eastAsia="SimSun" w:cs="Times New Roman"/>
          <w:color w:val="auto"/>
          <w:szCs w:val="24"/>
          <w:lang w:eastAsia="hi-IN" w:bidi="hi-IN"/>
          <w14:ligatures w14:val="none"/>
        </w:rPr>
        <w:id w:val="-362288217"/>
        <w:docPartObj>
          <w:docPartGallery w:val="Page Numbers (Top of Page)"/>
          <w:docPartUnique/>
        </w:docPartObj>
      </w:sdtPr>
      <w:sdtEndPr>
        <w:rPr>
          <w:sz w:val="20"/>
          <w:szCs w:val="20"/>
        </w:rPr>
      </w:sdtEndPr>
      <w:sdtContent>
        <w:r w:rsidR="00F6564B" w:rsidRPr="00F6564B">
          <w:rPr>
            <w:rFonts w:eastAsia="SimSun" w:cs="Times New Roman"/>
            <w:bCs/>
            <w:color w:val="auto"/>
            <w:sz w:val="20"/>
            <w:szCs w:val="20"/>
            <w:lang w:eastAsia="hi-IN" w:bidi="hi-IN"/>
            <w14:ligatures w14:val="none"/>
          </w:rPr>
          <w:fldChar w:fldCharType="begin"/>
        </w:r>
        <w:r w:rsidR="00F6564B" w:rsidRPr="00F6564B">
          <w:rPr>
            <w:rFonts w:eastAsia="SimSun" w:cs="Times New Roman"/>
            <w:bCs/>
            <w:color w:val="auto"/>
            <w:sz w:val="20"/>
            <w:szCs w:val="20"/>
            <w:lang w:eastAsia="hi-IN" w:bidi="hi-IN"/>
            <w14:ligatures w14:val="none"/>
          </w:rPr>
          <w:instrText xml:space="preserve"> PAGE </w:instrText>
        </w:r>
        <w:r w:rsidR="00F6564B" w:rsidRPr="00F6564B">
          <w:rPr>
            <w:rFonts w:eastAsia="SimSun" w:cs="Times New Roman"/>
            <w:bCs/>
            <w:color w:val="auto"/>
            <w:sz w:val="20"/>
            <w:szCs w:val="20"/>
            <w:lang w:eastAsia="hi-IN" w:bidi="hi-IN"/>
            <w14:ligatures w14:val="none"/>
          </w:rPr>
          <w:fldChar w:fldCharType="separate"/>
        </w:r>
        <w:r w:rsidR="00F6564B" w:rsidRPr="00F6564B">
          <w:rPr>
            <w:rFonts w:eastAsia="SimSun" w:cs="Times New Roman"/>
            <w:bCs/>
            <w:color w:val="auto"/>
            <w:sz w:val="20"/>
            <w:szCs w:val="20"/>
            <w:lang w:eastAsia="hi-IN" w:bidi="hi-IN"/>
            <w14:ligatures w14:val="none"/>
          </w:rPr>
          <w:t>1</w:t>
        </w:r>
        <w:r w:rsidR="00F6564B" w:rsidRPr="00F6564B">
          <w:rPr>
            <w:rFonts w:eastAsia="SimSun" w:cs="Times New Roman"/>
            <w:bCs/>
            <w:color w:val="auto"/>
            <w:sz w:val="20"/>
            <w:szCs w:val="20"/>
            <w:lang w:eastAsia="hi-IN" w:bidi="hi-IN"/>
            <w14:ligatures w14:val="none"/>
          </w:rPr>
          <w:fldChar w:fldCharType="end"/>
        </w:r>
        <w:r w:rsidR="00F6564B" w:rsidRPr="00F6564B">
          <w:rPr>
            <w:rFonts w:eastAsia="SimSun" w:cs="Times New Roman"/>
            <w:bCs/>
            <w:color w:val="auto"/>
            <w:sz w:val="20"/>
            <w:szCs w:val="20"/>
            <w:lang w:eastAsia="hi-IN" w:bidi="hi-IN"/>
            <w14:ligatures w14:val="none"/>
          </w:rPr>
          <w:t xml:space="preserve"> no</w:t>
        </w:r>
        <w:r w:rsidR="00F6564B" w:rsidRPr="00F6564B">
          <w:rPr>
            <w:rFonts w:eastAsia="SimSun" w:cs="Times New Roman"/>
            <w:color w:val="auto"/>
            <w:sz w:val="20"/>
            <w:szCs w:val="20"/>
            <w:lang w:eastAsia="hi-IN" w:bidi="hi-IN"/>
            <w14:ligatures w14:val="none"/>
          </w:rPr>
          <w:t xml:space="preserve"> </w:t>
        </w:r>
        <w:r w:rsidR="00F6564B" w:rsidRPr="00F6564B">
          <w:rPr>
            <w:rFonts w:eastAsia="SimSun" w:cs="Times New Roman"/>
            <w:bCs/>
            <w:color w:val="auto"/>
            <w:sz w:val="20"/>
            <w:szCs w:val="20"/>
            <w:lang w:eastAsia="hi-IN" w:bidi="hi-IN"/>
            <w14:ligatures w14:val="none"/>
          </w:rPr>
          <w:fldChar w:fldCharType="begin"/>
        </w:r>
        <w:r w:rsidR="00F6564B" w:rsidRPr="00F6564B">
          <w:rPr>
            <w:rFonts w:eastAsia="SimSun" w:cs="Times New Roman"/>
            <w:bCs/>
            <w:color w:val="auto"/>
            <w:sz w:val="20"/>
            <w:szCs w:val="20"/>
            <w:lang w:eastAsia="hi-IN" w:bidi="hi-IN"/>
            <w14:ligatures w14:val="none"/>
          </w:rPr>
          <w:instrText xml:space="preserve"> NUMPAGES  </w:instrText>
        </w:r>
        <w:r w:rsidR="00F6564B" w:rsidRPr="00F6564B">
          <w:rPr>
            <w:rFonts w:eastAsia="SimSun" w:cs="Times New Roman"/>
            <w:bCs/>
            <w:color w:val="auto"/>
            <w:sz w:val="20"/>
            <w:szCs w:val="20"/>
            <w:lang w:eastAsia="hi-IN" w:bidi="hi-IN"/>
            <w14:ligatures w14:val="none"/>
          </w:rPr>
          <w:fldChar w:fldCharType="separate"/>
        </w:r>
        <w:r w:rsidR="00F6564B" w:rsidRPr="00F6564B">
          <w:rPr>
            <w:rFonts w:eastAsia="SimSun" w:cs="Times New Roman"/>
            <w:bCs/>
            <w:color w:val="auto"/>
            <w:sz w:val="20"/>
            <w:szCs w:val="20"/>
            <w:lang w:eastAsia="hi-IN" w:bidi="hi-IN"/>
            <w14:ligatures w14:val="none"/>
          </w:rPr>
          <w:t>3</w:t>
        </w:r>
        <w:r w:rsidR="00F6564B" w:rsidRPr="00F6564B">
          <w:rPr>
            <w:rFonts w:eastAsia="SimSun" w:cs="Times New Roman"/>
            <w:bCs/>
            <w:color w:val="auto"/>
            <w:sz w:val="20"/>
            <w:szCs w:val="20"/>
            <w:lang w:eastAsia="hi-IN" w:bidi="hi-IN"/>
            <w14:ligatures w14:val="none"/>
          </w:rPr>
          <w:fldChar w:fldCharType="end"/>
        </w:r>
      </w:sdtContent>
    </w:sdt>
  </w:p>
  <w:p w14:paraId="4B20DC13" w14:textId="77777777" w:rsidR="00F6564B" w:rsidRDefault="00F6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764D" w14:textId="77777777" w:rsidR="004E0496" w:rsidRDefault="004E0496" w:rsidP="005E69C1">
      <w:pPr>
        <w:spacing w:line="240" w:lineRule="auto"/>
      </w:pPr>
      <w:r>
        <w:separator/>
      </w:r>
    </w:p>
  </w:footnote>
  <w:footnote w:type="continuationSeparator" w:id="0">
    <w:p w14:paraId="4ED671B7" w14:textId="77777777" w:rsidR="004E0496" w:rsidRDefault="004E0496" w:rsidP="005E69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0C21F5"/>
    <w:multiLevelType w:val="hybridMultilevel"/>
    <w:tmpl w:val="4768CDB4"/>
    <w:lvl w:ilvl="0" w:tplc="129EB3CC">
      <w:start w:val="1"/>
      <w:numFmt w:val="decimal"/>
      <w:pStyle w:val="ListParagraph"/>
      <w:lvlText w:val="[%1]"/>
      <w:lvlJc w:val="left"/>
      <w:pPr>
        <w:ind w:left="1212" w:hanging="360"/>
      </w:pPr>
      <w:rPr>
        <w:rFonts w:hint="default"/>
        <w:b w:val="0"/>
        <w:sz w:val="14"/>
        <w:szCs w:val="14"/>
      </w:rPr>
    </w:lvl>
    <w:lvl w:ilvl="1" w:tplc="8A18558A">
      <w:start w:val="1"/>
      <w:numFmt w:val="decimal"/>
      <w:lvlText w:val="%2."/>
      <w:lvlJc w:val="left"/>
      <w:pPr>
        <w:ind w:left="2292" w:hanging="360"/>
      </w:pPr>
      <w:rPr>
        <w:sz w:val="20"/>
        <w:szCs w:val="20"/>
      </w:rPr>
    </w:lvl>
    <w:lvl w:ilvl="2" w:tplc="0809001B">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num w:numId="1" w16cid:durableId="695082080">
    <w:abstractNumId w:val="1"/>
  </w:num>
  <w:num w:numId="2" w16cid:durableId="186024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FA"/>
    <w:rsid w:val="000006AB"/>
    <w:rsid w:val="00000DAC"/>
    <w:rsid w:val="00002D1A"/>
    <w:rsid w:val="00010437"/>
    <w:rsid w:val="00010643"/>
    <w:rsid w:val="000149BB"/>
    <w:rsid w:val="000203C5"/>
    <w:rsid w:val="00021D37"/>
    <w:rsid w:val="0002765F"/>
    <w:rsid w:val="000345CA"/>
    <w:rsid w:val="00041589"/>
    <w:rsid w:val="00053B2D"/>
    <w:rsid w:val="00053CB5"/>
    <w:rsid w:val="00054CF2"/>
    <w:rsid w:val="00067EBB"/>
    <w:rsid w:val="000727F6"/>
    <w:rsid w:val="00075934"/>
    <w:rsid w:val="00077CBB"/>
    <w:rsid w:val="00083F2B"/>
    <w:rsid w:val="000840C2"/>
    <w:rsid w:val="000906CB"/>
    <w:rsid w:val="00092F24"/>
    <w:rsid w:val="000A477B"/>
    <w:rsid w:val="000A530A"/>
    <w:rsid w:val="000A6B46"/>
    <w:rsid w:val="000B05F9"/>
    <w:rsid w:val="000B40B7"/>
    <w:rsid w:val="000B7258"/>
    <w:rsid w:val="000C283B"/>
    <w:rsid w:val="000D4A28"/>
    <w:rsid w:val="000D5E61"/>
    <w:rsid w:val="000E254C"/>
    <w:rsid w:val="000F0ABE"/>
    <w:rsid w:val="000F226B"/>
    <w:rsid w:val="000F39CE"/>
    <w:rsid w:val="000F4E48"/>
    <w:rsid w:val="000F4F99"/>
    <w:rsid w:val="000F743B"/>
    <w:rsid w:val="001130ED"/>
    <w:rsid w:val="001140C6"/>
    <w:rsid w:val="0011476E"/>
    <w:rsid w:val="00115880"/>
    <w:rsid w:val="0011637C"/>
    <w:rsid w:val="00137D57"/>
    <w:rsid w:val="00140A08"/>
    <w:rsid w:val="00143EF6"/>
    <w:rsid w:val="0014680F"/>
    <w:rsid w:val="001511BC"/>
    <w:rsid w:val="00152E08"/>
    <w:rsid w:val="00153453"/>
    <w:rsid w:val="00157DBD"/>
    <w:rsid w:val="001646E4"/>
    <w:rsid w:val="00164B25"/>
    <w:rsid w:val="00165F53"/>
    <w:rsid w:val="0017127D"/>
    <w:rsid w:val="00173DA2"/>
    <w:rsid w:val="001745C0"/>
    <w:rsid w:val="00182D34"/>
    <w:rsid w:val="00183585"/>
    <w:rsid w:val="001A0FBF"/>
    <w:rsid w:val="001A3F61"/>
    <w:rsid w:val="001A67AF"/>
    <w:rsid w:val="001A7357"/>
    <w:rsid w:val="001C2474"/>
    <w:rsid w:val="001C438B"/>
    <w:rsid w:val="001C6AFA"/>
    <w:rsid w:val="001C701F"/>
    <w:rsid w:val="001D13F0"/>
    <w:rsid w:val="001D5992"/>
    <w:rsid w:val="001D5F8A"/>
    <w:rsid w:val="001D6780"/>
    <w:rsid w:val="001E0D9A"/>
    <w:rsid w:val="001E2BC2"/>
    <w:rsid w:val="001E4AB8"/>
    <w:rsid w:val="001E7B04"/>
    <w:rsid w:val="001F0DAE"/>
    <w:rsid w:val="001F44E3"/>
    <w:rsid w:val="001F69F2"/>
    <w:rsid w:val="00201463"/>
    <w:rsid w:val="00205BAC"/>
    <w:rsid w:val="00207371"/>
    <w:rsid w:val="00207E39"/>
    <w:rsid w:val="0021595B"/>
    <w:rsid w:val="002169C7"/>
    <w:rsid w:val="00217658"/>
    <w:rsid w:val="00223CDD"/>
    <w:rsid w:val="002272D3"/>
    <w:rsid w:val="0023008B"/>
    <w:rsid w:val="00235EF8"/>
    <w:rsid w:val="00241543"/>
    <w:rsid w:val="00241D35"/>
    <w:rsid w:val="00243631"/>
    <w:rsid w:val="00245331"/>
    <w:rsid w:val="00246686"/>
    <w:rsid w:val="00255B5A"/>
    <w:rsid w:val="00257D85"/>
    <w:rsid w:val="00263F1F"/>
    <w:rsid w:val="00266513"/>
    <w:rsid w:val="002706C8"/>
    <w:rsid w:val="00286EBF"/>
    <w:rsid w:val="00287579"/>
    <w:rsid w:val="002925AC"/>
    <w:rsid w:val="0029319E"/>
    <w:rsid w:val="00293D57"/>
    <w:rsid w:val="002942BD"/>
    <w:rsid w:val="002A0C7D"/>
    <w:rsid w:val="002B6F70"/>
    <w:rsid w:val="002B7D91"/>
    <w:rsid w:val="002C2D10"/>
    <w:rsid w:val="002C3232"/>
    <w:rsid w:val="002C4684"/>
    <w:rsid w:val="002C691B"/>
    <w:rsid w:val="002C720F"/>
    <w:rsid w:val="002D0242"/>
    <w:rsid w:val="002E0484"/>
    <w:rsid w:val="002E57AF"/>
    <w:rsid w:val="002E5B09"/>
    <w:rsid w:val="002F1EEA"/>
    <w:rsid w:val="002F7063"/>
    <w:rsid w:val="00301248"/>
    <w:rsid w:val="00311B04"/>
    <w:rsid w:val="00315889"/>
    <w:rsid w:val="00315977"/>
    <w:rsid w:val="00320EE7"/>
    <w:rsid w:val="00321B93"/>
    <w:rsid w:val="003253E7"/>
    <w:rsid w:val="00325DB7"/>
    <w:rsid w:val="00327724"/>
    <w:rsid w:val="00327C50"/>
    <w:rsid w:val="0033002F"/>
    <w:rsid w:val="0033124A"/>
    <w:rsid w:val="0033418C"/>
    <w:rsid w:val="00334A0F"/>
    <w:rsid w:val="00334F47"/>
    <w:rsid w:val="00337466"/>
    <w:rsid w:val="003505A3"/>
    <w:rsid w:val="00351BEA"/>
    <w:rsid w:val="00351FC4"/>
    <w:rsid w:val="0035771F"/>
    <w:rsid w:val="00374C97"/>
    <w:rsid w:val="00377F9F"/>
    <w:rsid w:val="00380B67"/>
    <w:rsid w:val="00383278"/>
    <w:rsid w:val="0038538F"/>
    <w:rsid w:val="003934A7"/>
    <w:rsid w:val="003963E6"/>
    <w:rsid w:val="003A0EE4"/>
    <w:rsid w:val="003A1F16"/>
    <w:rsid w:val="003A4368"/>
    <w:rsid w:val="003A497B"/>
    <w:rsid w:val="003A4D34"/>
    <w:rsid w:val="003A4FA9"/>
    <w:rsid w:val="003B502B"/>
    <w:rsid w:val="003C00CD"/>
    <w:rsid w:val="003C0D96"/>
    <w:rsid w:val="003C2E6A"/>
    <w:rsid w:val="003C7233"/>
    <w:rsid w:val="003D2161"/>
    <w:rsid w:val="003D295D"/>
    <w:rsid w:val="003E1E36"/>
    <w:rsid w:val="003E226B"/>
    <w:rsid w:val="003E28C3"/>
    <w:rsid w:val="003E28D1"/>
    <w:rsid w:val="003E3B7A"/>
    <w:rsid w:val="003E565C"/>
    <w:rsid w:val="003E5A8A"/>
    <w:rsid w:val="003F5FC1"/>
    <w:rsid w:val="004024EB"/>
    <w:rsid w:val="0040368D"/>
    <w:rsid w:val="00404AD3"/>
    <w:rsid w:val="00411822"/>
    <w:rsid w:val="00412559"/>
    <w:rsid w:val="00417615"/>
    <w:rsid w:val="004201A7"/>
    <w:rsid w:val="004231C5"/>
    <w:rsid w:val="00423467"/>
    <w:rsid w:val="0043492C"/>
    <w:rsid w:val="00436840"/>
    <w:rsid w:val="00437AA5"/>
    <w:rsid w:val="0044147D"/>
    <w:rsid w:val="00446643"/>
    <w:rsid w:val="00461054"/>
    <w:rsid w:val="004659DE"/>
    <w:rsid w:val="00473852"/>
    <w:rsid w:val="004824AB"/>
    <w:rsid w:val="004826F9"/>
    <w:rsid w:val="0049126A"/>
    <w:rsid w:val="004945B2"/>
    <w:rsid w:val="00496DBB"/>
    <w:rsid w:val="004A0B5E"/>
    <w:rsid w:val="004A20DF"/>
    <w:rsid w:val="004A6671"/>
    <w:rsid w:val="004C2FA1"/>
    <w:rsid w:val="004C31AC"/>
    <w:rsid w:val="004C3666"/>
    <w:rsid w:val="004C728B"/>
    <w:rsid w:val="004D015C"/>
    <w:rsid w:val="004D61E6"/>
    <w:rsid w:val="004D69A2"/>
    <w:rsid w:val="004E0496"/>
    <w:rsid w:val="004E1E63"/>
    <w:rsid w:val="004E2907"/>
    <w:rsid w:val="004E31B4"/>
    <w:rsid w:val="004E420A"/>
    <w:rsid w:val="004E43B3"/>
    <w:rsid w:val="004E5440"/>
    <w:rsid w:val="004F3858"/>
    <w:rsid w:val="004F7836"/>
    <w:rsid w:val="005043C7"/>
    <w:rsid w:val="0050526B"/>
    <w:rsid w:val="00506AF1"/>
    <w:rsid w:val="0051060E"/>
    <w:rsid w:val="00530E6C"/>
    <w:rsid w:val="005352A8"/>
    <w:rsid w:val="005355D2"/>
    <w:rsid w:val="00536023"/>
    <w:rsid w:val="005369A0"/>
    <w:rsid w:val="00543AAF"/>
    <w:rsid w:val="00546F56"/>
    <w:rsid w:val="00550221"/>
    <w:rsid w:val="005607A1"/>
    <w:rsid w:val="005768E2"/>
    <w:rsid w:val="00577829"/>
    <w:rsid w:val="00582155"/>
    <w:rsid w:val="00597E08"/>
    <w:rsid w:val="005A447F"/>
    <w:rsid w:val="005B02A8"/>
    <w:rsid w:val="005B3FE8"/>
    <w:rsid w:val="005C08E6"/>
    <w:rsid w:val="005C1D0B"/>
    <w:rsid w:val="005C3F34"/>
    <w:rsid w:val="005C6CD0"/>
    <w:rsid w:val="005D047D"/>
    <w:rsid w:val="005D1A55"/>
    <w:rsid w:val="005D2206"/>
    <w:rsid w:val="005D3F7B"/>
    <w:rsid w:val="005E2F29"/>
    <w:rsid w:val="005E3382"/>
    <w:rsid w:val="005E553B"/>
    <w:rsid w:val="005E5BEA"/>
    <w:rsid w:val="005E68ED"/>
    <w:rsid w:val="005E69C1"/>
    <w:rsid w:val="005F6E55"/>
    <w:rsid w:val="00602A1A"/>
    <w:rsid w:val="00603722"/>
    <w:rsid w:val="00604906"/>
    <w:rsid w:val="0060704A"/>
    <w:rsid w:val="00612156"/>
    <w:rsid w:val="006228FB"/>
    <w:rsid w:val="006239CA"/>
    <w:rsid w:val="00632D27"/>
    <w:rsid w:val="00635AC8"/>
    <w:rsid w:val="00645B45"/>
    <w:rsid w:val="0065040A"/>
    <w:rsid w:val="00655935"/>
    <w:rsid w:val="006563F5"/>
    <w:rsid w:val="00660D66"/>
    <w:rsid w:val="006726B4"/>
    <w:rsid w:val="00673C61"/>
    <w:rsid w:val="00674C8A"/>
    <w:rsid w:val="00675115"/>
    <w:rsid w:val="006753DF"/>
    <w:rsid w:val="006809CA"/>
    <w:rsid w:val="00687E4C"/>
    <w:rsid w:val="0069112B"/>
    <w:rsid w:val="00691C39"/>
    <w:rsid w:val="00694A71"/>
    <w:rsid w:val="00695DF4"/>
    <w:rsid w:val="00696936"/>
    <w:rsid w:val="00697CF0"/>
    <w:rsid w:val="006A26C6"/>
    <w:rsid w:val="006A3C3C"/>
    <w:rsid w:val="006A5796"/>
    <w:rsid w:val="006C587C"/>
    <w:rsid w:val="006C7DC5"/>
    <w:rsid w:val="006D5F9A"/>
    <w:rsid w:val="006D667E"/>
    <w:rsid w:val="006E0F17"/>
    <w:rsid w:val="006F0694"/>
    <w:rsid w:val="006F31BB"/>
    <w:rsid w:val="006F3FD3"/>
    <w:rsid w:val="006F45E1"/>
    <w:rsid w:val="00700D27"/>
    <w:rsid w:val="007047FB"/>
    <w:rsid w:val="00713B92"/>
    <w:rsid w:val="00713CAB"/>
    <w:rsid w:val="00715765"/>
    <w:rsid w:val="007219D2"/>
    <w:rsid w:val="00723658"/>
    <w:rsid w:val="00724874"/>
    <w:rsid w:val="00726DFC"/>
    <w:rsid w:val="00732829"/>
    <w:rsid w:val="007365FF"/>
    <w:rsid w:val="0074228A"/>
    <w:rsid w:val="00743EF5"/>
    <w:rsid w:val="00746DDF"/>
    <w:rsid w:val="00750554"/>
    <w:rsid w:val="00754F60"/>
    <w:rsid w:val="00756FB4"/>
    <w:rsid w:val="007617C8"/>
    <w:rsid w:val="00765DBA"/>
    <w:rsid w:val="0076710C"/>
    <w:rsid w:val="007741E6"/>
    <w:rsid w:val="007763D4"/>
    <w:rsid w:val="00780910"/>
    <w:rsid w:val="00781458"/>
    <w:rsid w:val="007818F6"/>
    <w:rsid w:val="007836DF"/>
    <w:rsid w:val="0079247B"/>
    <w:rsid w:val="007940B1"/>
    <w:rsid w:val="00795A98"/>
    <w:rsid w:val="007A5338"/>
    <w:rsid w:val="007A5E53"/>
    <w:rsid w:val="007B2F6A"/>
    <w:rsid w:val="007B5272"/>
    <w:rsid w:val="007C5EAE"/>
    <w:rsid w:val="007D5529"/>
    <w:rsid w:val="007E656C"/>
    <w:rsid w:val="007F11C5"/>
    <w:rsid w:val="007F2CD7"/>
    <w:rsid w:val="007F37A0"/>
    <w:rsid w:val="007F684B"/>
    <w:rsid w:val="0080038F"/>
    <w:rsid w:val="0080541A"/>
    <w:rsid w:val="00805EB2"/>
    <w:rsid w:val="00815C96"/>
    <w:rsid w:val="008218EF"/>
    <w:rsid w:val="00824F3C"/>
    <w:rsid w:val="00825712"/>
    <w:rsid w:val="008334C0"/>
    <w:rsid w:val="00833E3E"/>
    <w:rsid w:val="008408CA"/>
    <w:rsid w:val="008507C1"/>
    <w:rsid w:val="00851D91"/>
    <w:rsid w:val="00852009"/>
    <w:rsid w:val="00861A99"/>
    <w:rsid w:val="00865DD7"/>
    <w:rsid w:val="0086784C"/>
    <w:rsid w:val="00873B27"/>
    <w:rsid w:val="008746CF"/>
    <w:rsid w:val="00875555"/>
    <w:rsid w:val="00884D73"/>
    <w:rsid w:val="00886C5E"/>
    <w:rsid w:val="00890B7A"/>
    <w:rsid w:val="008977C9"/>
    <w:rsid w:val="008A3A55"/>
    <w:rsid w:val="008A5DC7"/>
    <w:rsid w:val="008A7A01"/>
    <w:rsid w:val="008B0006"/>
    <w:rsid w:val="008B1EDC"/>
    <w:rsid w:val="008B1F23"/>
    <w:rsid w:val="008B3726"/>
    <w:rsid w:val="008B386D"/>
    <w:rsid w:val="008B4D76"/>
    <w:rsid w:val="008B5C34"/>
    <w:rsid w:val="008B70BE"/>
    <w:rsid w:val="008C5885"/>
    <w:rsid w:val="008C613F"/>
    <w:rsid w:val="008D0C6D"/>
    <w:rsid w:val="008D1AFF"/>
    <w:rsid w:val="008D623A"/>
    <w:rsid w:val="008D72BF"/>
    <w:rsid w:val="008E3587"/>
    <w:rsid w:val="008F0492"/>
    <w:rsid w:val="008F085A"/>
    <w:rsid w:val="008F1418"/>
    <w:rsid w:val="009010A4"/>
    <w:rsid w:val="00903EAC"/>
    <w:rsid w:val="00910CAD"/>
    <w:rsid w:val="009201B6"/>
    <w:rsid w:val="00921D9F"/>
    <w:rsid w:val="00926512"/>
    <w:rsid w:val="00937A14"/>
    <w:rsid w:val="00940C71"/>
    <w:rsid w:val="00942142"/>
    <w:rsid w:val="00947A19"/>
    <w:rsid w:val="009502D0"/>
    <w:rsid w:val="00950DDC"/>
    <w:rsid w:val="00951C20"/>
    <w:rsid w:val="0095233F"/>
    <w:rsid w:val="00956BB2"/>
    <w:rsid w:val="00956FAC"/>
    <w:rsid w:val="0095773C"/>
    <w:rsid w:val="009632BC"/>
    <w:rsid w:val="0096792A"/>
    <w:rsid w:val="009753B7"/>
    <w:rsid w:val="009813C3"/>
    <w:rsid w:val="00981922"/>
    <w:rsid w:val="009830C5"/>
    <w:rsid w:val="00985E1E"/>
    <w:rsid w:val="00986070"/>
    <w:rsid w:val="00996A1E"/>
    <w:rsid w:val="009A6035"/>
    <w:rsid w:val="009B013A"/>
    <w:rsid w:val="009B0359"/>
    <w:rsid w:val="009B3D04"/>
    <w:rsid w:val="009C11FB"/>
    <w:rsid w:val="009C24D9"/>
    <w:rsid w:val="009C674C"/>
    <w:rsid w:val="009D4641"/>
    <w:rsid w:val="009D6127"/>
    <w:rsid w:val="009D6AB8"/>
    <w:rsid w:val="009D7D1C"/>
    <w:rsid w:val="009E2987"/>
    <w:rsid w:val="009E398C"/>
    <w:rsid w:val="009E4F8E"/>
    <w:rsid w:val="009F0A66"/>
    <w:rsid w:val="009F4F6A"/>
    <w:rsid w:val="00A01BF2"/>
    <w:rsid w:val="00A02974"/>
    <w:rsid w:val="00A11FDA"/>
    <w:rsid w:val="00A12546"/>
    <w:rsid w:val="00A12F77"/>
    <w:rsid w:val="00A16C39"/>
    <w:rsid w:val="00A201AB"/>
    <w:rsid w:val="00A277B7"/>
    <w:rsid w:val="00A32555"/>
    <w:rsid w:val="00A3432F"/>
    <w:rsid w:val="00A35A39"/>
    <w:rsid w:val="00A4356C"/>
    <w:rsid w:val="00A459CC"/>
    <w:rsid w:val="00A46034"/>
    <w:rsid w:val="00A5219A"/>
    <w:rsid w:val="00A568B0"/>
    <w:rsid w:val="00A63653"/>
    <w:rsid w:val="00A64444"/>
    <w:rsid w:val="00A73BEB"/>
    <w:rsid w:val="00A856D3"/>
    <w:rsid w:val="00A85A31"/>
    <w:rsid w:val="00A92D50"/>
    <w:rsid w:val="00A93165"/>
    <w:rsid w:val="00A95CB9"/>
    <w:rsid w:val="00A96562"/>
    <w:rsid w:val="00A96B7A"/>
    <w:rsid w:val="00A97165"/>
    <w:rsid w:val="00A97203"/>
    <w:rsid w:val="00AA34D8"/>
    <w:rsid w:val="00AA36A4"/>
    <w:rsid w:val="00AA375A"/>
    <w:rsid w:val="00AA3AE7"/>
    <w:rsid w:val="00AA4018"/>
    <w:rsid w:val="00AA6255"/>
    <w:rsid w:val="00AA6455"/>
    <w:rsid w:val="00AB11AB"/>
    <w:rsid w:val="00AB1701"/>
    <w:rsid w:val="00AB7BDD"/>
    <w:rsid w:val="00AC009B"/>
    <w:rsid w:val="00AC2D67"/>
    <w:rsid w:val="00AC3250"/>
    <w:rsid w:val="00AC6B4E"/>
    <w:rsid w:val="00AD4B13"/>
    <w:rsid w:val="00AD5C79"/>
    <w:rsid w:val="00AE6024"/>
    <w:rsid w:val="00AF0C85"/>
    <w:rsid w:val="00AF6B08"/>
    <w:rsid w:val="00AF6DE8"/>
    <w:rsid w:val="00B0028E"/>
    <w:rsid w:val="00B01C55"/>
    <w:rsid w:val="00B02FA4"/>
    <w:rsid w:val="00B03C62"/>
    <w:rsid w:val="00B05A67"/>
    <w:rsid w:val="00B0620E"/>
    <w:rsid w:val="00B16E03"/>
    <w:rsid w:val="00B175EF"/>
    <w:rsid w:val="00B23728"/>
    <w:rsid w:val="00B26BB9"/>
    <w:rsid w:val="00B316A7"/>
    <w:rsid w:val="00B31847"/>
    <w:rsid w:val="00B33867"/>
    <w:rsid w:val="00B40557"/>
    <w:rsid w:val="00B42038"/>
    <w:rsid w:val="00B42879"/>
    <w:rsid w:val="00B516CC"/>
    <w:rsid w:val="00B52F76"/>
    <w:rsid w:val="00B541AC"/>
    <w:rsid w:val="00B571DE"/>
    <w:rsid w:val="00B62602"/>
    <w:rsid w:val="00B71E60"/>
    <w:rsid w:val="00B7440F"/>
    <w:rsid w:val="00B74760"/>
    <w:rsid w:val="00B74F52"/>
    <w:rsid w:val="00B845AF"/>
    <w:rsid w:val="00B90FC6"/>
    <w:rsid w:val="00B923D9"/>
    <w:rsid w:val="00BA56C9"/>
    <w:rsid w:val="00BA5F0E"/>
    <w:rsid w:val="00BA7B71"/>
    <w:rsid w:val="00BA7BB6"/>
    <w:rsid w:val="00BB1297"/>
    <w:rsid w:val="00BB2B6D"/>
    <w:rsid w:val="00BB4AB7"/>
    <w:rsid w:val="00BC2D01"/>
    <w:rsid w:val="00BC55E8"/>
    <w:rsid w:val="00BD1F50"/>
    <w:rsid w:val="00BD4087"/>
    <w:rsid w:val="00BF01DC"/>
    <w:rsid w:val="00BF3868"/>
    <w:rsid w:val="00C0043E"/>
    <w:rsid w:val="00C00473"/>
    <w:rsid w:val="00C00D63"/>
    <w:rsid w:val="00C057EE"/>
    <w:rsid w:val="00C0625C"/>
    <w:rsid w:val="00C07562"/>
    <w:rsid w:val="00C14B64"/>
    <w:rsid w:val="00C153ED"/>
    <w:rsid w:val="00C15A5C"/>
    <w:rsid w:val="00C160E9"/>
    <w:rsid w:val="00C23FE6"/>
    <w:rsid w:val="00C24DCF"/>
    <w:rsid w:val="00C276CB"/>
    <w:rsid w:val="00C27CFD"/>
    <w:rsid w:val="00C3698A"/>
    <w:rsid w:val="00C36DCC"/>
    <w:rsid w:val="00C3769A"/>
    <w:rsid w:val="00C4272E"/>
    <w:rsid w:val="00C5183E"/>
    <w:rsid w:val="00C52056"/>
    <w:rsid w:val="00C57378"/>
    <w:rsid w:val="00C651FC"/>
    <w:rsid w:val="00C65733"/>
    <w:rsid w:val="00C67F9E"/>
    <w:rsid w:val="00C715C9"/>
    <w:rsid w:val="00C72079"/>
    <w:rsid w:val="00C73FCD"/>
    <w:rsid w:val="00C804DD"/>
    <w:rsid w:val="00C92454"/>
    <w:rsid w:val="00C94843"/>
    <w:rsid w:val="00C95645"/>
    <w:rsid w:val="00C9782C"/>
    <w:rsid w:val="00CA17CF"/>
    <w:rsid w:val="00CA79D5"/>
    <w:rsid w:val="00CB13F2"/>
    <w:rsid w:val="00CB33DA"/>
    <w:rsid w:val="00CB7BB1"/>
    <w:rsid w:val="00CC25D5"/>
    <w:rsid w:val="00CC44D5"/>
    <w:rsid w:val="00CD5C70"/>
    <w:rsid w:val="00CE3AA2"/>
    <w:rsid w:val="00CE4A52"/>
    <w:rsid w:val="00CE6372"/>
    <w:rsid w:val="00CF5EEF"/>
    <w:rsid w:val="00CF7837"/>
    <w:rsid w:val="00D0169B"/>
    <w:rsid w:val="00D12063"/>
    <w:rsid w:val="00D15066"/>
    <w:rsid w:val="00D16AD2"/>
    <w:rsid w:val="00D17CE6"/>
    <w:rsid w:val="00D20CDF"/>
    <w:rsid w:val="00D23351"/>
    <w:rsid w:val="00D2637C"/>
    <w:rsid w:val="00D33F55"/>
    <w:rsid w:val="00D3493C"/>
    <w:rsid w:val="00D43017"/>
    <w:rsid w:val="00D43939"/>
    <w:rsid w:val="00D57684"/>
    <w:rsid w:val="00D57760"/>
    <w:rsid w:val="00D72906"/>
    <w:rsid w:val="00D828D8"/>
    <w:rsid w:val="00D90D22"/>
    <w:rsid w:val="00D94691"/>
    <w:rsid w:val="00DA55BE"/>
    <w:rsid w:val="00DB14F4"/>
    <w:rsid w:val="00DB3699"/>
    <w:rsid w:val="00DB5E6A"/>
    <w:rsid w:val="00DB76C2"/>
    <w:rsid w:val="00DB7712"/>
    <w:rsid w:val="00DC07F6"/>
    <w:rsid w:val="00DC11E2"/>
    <w:rsid w:val="00DC3172"/>
    <w:rsid w:val="00DC4215"/>
    <w:rsid w:val="00DC6D4F"/>
    <w:rsid w:val="00DE21AD"/>
    <w:rsid w:val="00DE2380"/>
    <w:rsid w:val="00DE5495"/>
    <w:rsid w:val="00DE637A"/>
    <w:rsid w:val="00E0280D"/>
    <w:rsid w:val="00E02922"/>
    <w:rsid w:val="00E13DB6"/>
    <w:rsid w:val="00E20846"/>
    <w:rsid w:val="00E2163F"/>
    <w:rsid w:val="00E21B06"/>
    <w:rsid w:val="00E2537B"/>
    <w:rsid w:val="00E30557"/>
    <w:rsid w:val="00E34245"/>
    <w:rsid w:val="00E36D0D"/>
    <w:rsid w:val="00E3741C"/>
    <w:rsid w:val="00E40921"/>
    <w:rsid w:val="00E418D5"/>
    <w:rsid w:val="00E461D3"/>
    <w:rsid w:val="00E47672"/>
    <w:rsid w:val="00E659F4"/>
    <w:rsid w:val="00E66034"/>
    <w:rsid w:val="00E67D41"/>
    <w:rsid w:val="00E71998"/>
    <w:rsid w:val="00E73CF6"/>
    <w:rsid w:val="00E76E9B"/>
    <w:rsid w:val="00E77BCC"/>
    <w:rsid w:val="00E8029F"/>
    <w:rsid w:val="00E80AFF"/>
    <w:rsid w:val="00E857E5"/>
    <w:rsid w:val="00E9713F"/>
    <w:rsid w:val="00E97A4F"/>
    <w:rsid w:val="00EA09CE"/>
    <w:rsid w:val="00EA2965"/>
    <w:rsid w:val="00EA785D"/>
    <w:rsid w:val="00EB2F2A"/>
    <w:rsid w:val="00EB4206"/>
    <w:rsid w:val="00EC07D6"/>
    <w:rsid w:val="00EC294C"/>
    <w:rsid w:val="00EC3A1B"/>
    <w:rsid w:val="00ED3307"/>
    <w:rsid w:val="00ED3B0D"/>
    <w:rsid w:val="00ED522F"/>
    <w:rsid w:val="00ED5C05"/>
    <w:rsid w:val="00ED7989"/>
    <w:rsid w:val="00EE5854"/>
    <w:rsid w:val="00EF01EC"/>
    <w:rsid w:val="00EF20D2"/>
    <w:rsid w:val="00EF66D7"/>
    <w:rsid w:val="00F01021"/>
    <w:rsid w:val="00F0454F"/>
    <w:rsid w:val="00F04E3F"/>
    <w:rsid w:val="00F06424"/>
    <w:rsid w:val="00F1119F"/>
    <w:rsid w:val="00F1291A"/>
    <w:rsid w:val="00F13832"/>
    <w:rsid w:val="00F157D7"/>
    <w:rsid w:val="00F17869"/>
    <w:rsid w:val="00F27F6D"/>
    <w:rsid w:val="00F33271"/>
    <w:rsid w:val="00F37783"/>
    <w:rsid w:val="00F40D24"/>
    <w:rsid w:val="00F417C0"/>
    <w:rsid w:val="00F42175"/>
    <w:rsid w:val="00F55F91"/>
    <w:rsid w:val="00F57132"/>
    <w:rsid w:val="00F5793A"/>
    <w:rsid w:val="00F604D1"/>
    <w:rsid w:val="00F63950"/>
    <w:rsid w:val="00F6564B"/>
    <w:rsid w:val="00F72CD6"/>
    <w:rsid w:val="00F73ADF"/>
    <w:rsid w:val="00F77883"/>
    <w:rsid w:val="00F8671F"/>
    <w:rsid w:val="00F917F9"/>
    <w:rsid w:val="00FA56E0"/>
    <w:rsid w:val="00FA7968"/>
    <w:rsid w:val="00FB612F"/>
    <w:rsid w:val="00FC7EF2"/>
    <w:rsid w:val="00FE18DC"/>
    <w:rsid w:val="00FE3406"/>
    <w:rsid w:val="00FE5A65"/>
    <w:rsid w:val="00FF2427"/>
    <w:rsid w:val="00FF62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AA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AF"/>
    <w:pPr>
      <w:spacing w:after="0" w:line="360" w:lineRule="auto"/>
      <w:jc w:val="both"/>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B5E"/>
    <w:rPr>
      <w:color w:val="0563C1" w:themeColor="hyperlink"/>
      <w:u w:val="single"/>
    </w:rPr>
  </w:style>
  <w:style w:type="character" w:styleId="UnresolvedMention">
    <w:name w:val="Unresolved Mention"/>
    <w:basedOn w:val="DefaultParagraphFont"/>
    <w:uiPriority w:val="99"/>
    <w:semiHidden/>
    <w:unhideWhenUsed/>
    <w:rsid w:val="004A0B5E"/>
    <w:rPr>
      <w:color w:val="605E5C"/>
      <w:shd w:val="clear" w:color="auto" w:fill="E1DFDD"/>
    </w:rPr>
  </w:style>
  <w:style w:type="character" w:styleId="CommentReference">
    <w:name w:val="annotation reference"/>
    <w:basedOn w:val="DefaultParagraphFont"/>
    <w:uiPriority w:val="99"/>
    <w:semiHidden/>
    <w:unhideWhenUsed/>
    <w:rsid w:val="001D13F0"/>
    <w:rPr>
      <w:sz w:val="16"/>
      <w:szCs w:val="16"/>
    </w:rPr>
  </w:style>
  <w:style w:type="paragraph" w:styleId="CommentText">
    <w:name w:val="annotation text"/>
    <w:basedOn w:val="Normal"/>
    <w:link w:val="CommentTextChar"/>
    <w:uiPriority w:val="99"/>
    <w:semiHidden/>
    <w:unhideWhenUsed/>
    <w:rsid w:val="001D13F0"/>
    <w:pPr>
      <w:spacing w:line="240" w:lineRule="auto"/>
    </w:pPr>
    <w:rPr>
      <w:sz w:val="20"/>
      <w:szCs w:val="20"/>
    </w:rPr>
  </w:style>
  <w:style w:type="character" w:customStyle="1" w:styleId="CommentTextChar">
    <w:name w:val="Comment Text Char"/>
    <w:basedOn w:val="DefaultParagraphFont"/>
    <w:link w:val="CommentText"/>
    <w:uiPriority w:val="99"/>
    <w:semiHidden/>
    <w:rsid w:val="001D13F0"/>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D13F0"/>
    <w:rPr>
      <w:b/>
      <w:bCs/>
    </w:rPr>
  </w:style>
  <w:style w:type="character" w:customStyle="1" w:styleId="CommentSubjectChar">
    <w:name w:val="Comment Subject Char"/>
    <w:basedOn w:val="CommentTextChar"/>
    <w:link w:val="CommentSubject"/>
    <w:uiPriority w:val="99"/>
    <w:semiHidden/>
    <w:rsid w:val="001D13F0"/>
    <w:rPr>
      <w:b/>
      <w:bCs/>
      <w:color w:val="000000" w:themeColor="text1"/>
      <w:sz w:val="20"/>
      <w:szCs w:val="20"/>
    </w:rPr>
  </w:style>
  <w:style w:type="paragraph" w:customStyle="1" w:styleId="tv213">
    <w:name w:val="tv213"/>
    <w:basedOn w:val="Normal"/>
    <w:rsid w:val="00956FAC"/>
    <w:pPr>
      <w:spacing w:before="100" w:beforeAutospacing="1" w:after="100" w:afterAutospacing="1" w:line="240" w:lineRule="auto"/>
      <w:jc w:val="left"/>
    </w:pPr>
    <w:rPr>
      <w:rFonts w:eastAsia="Times New Roman" w:cs="Times New Roman"/>
      <w:color w:val="auto"/>
      <w:kern w:val="0"/>
      <w:szCs w:val="24"/>
      <w:lang w:eastAsia="lv-LV"/>
      <w14:ligatures w14:val="none"/>
    </w:rPr>
  </w:style>
  <w:style w:type="table" w:styleId="TableGrid">
    <w:name w:val="Table Grid"/>
    <w:basedOn w:val="TableNormal"/>
    <w:rsid w:val="00956FAC"/>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9C1"/>
    <w:pPr>
      <w:tabs>
        <w:tab w:val="center" w:pos="4513"/>
        <w:tab w:val="right" w:pos="9026"/>
      </w:tabs>
      <w:spacing w:line="240" w:lineRule="auto"/>
    </w:pPr>
  </w:style>
  <w:style w:type="character" w:customStyle="1" w:styleId="HeaderChar">
    <w:name w:val="Header Char"/>
    <w:basedOn w:val="DefaultParagraphFont"/>
    <w:link w:val="Header"/>
    <w:uiPriority w:val="99"/>
    <w:rsid w:val="005E69C1"/>
    <w:rPr>
      <w:color w:val="000000" w:themeColor="text1"/>
    </w:rPr>
  </w:style>
  <w:style w:type="paragraph" w:styleId="Footer">
    <w:name w:val="footer"/>
    <w:basedOn w:val="Normal"/>
    <w:link w:val="FooterChar"/>
    <w:uiPriority w:val="99"/>
    <w:unhideWhenUsed/>
    <w:rsid w:val="005E69C1"/>
    <w:pPr>
      <w:tabs>
        <w:tab w:val="center" w:pos="4513"/>
        <w:tab w:val="right" w:pos="9026"/>
      </w:tabs>
      <w:spacing w:line="240" w:lineRule="auto"/>
    </w:pPr>
  </w:style>
  <w:style w:type="character" w:customStyle="1" w:styleId="FooterChar">
    <w:name w:val="Footer Char"/>
    <w:basedOn w:val="DefaultParagraphFont"/>
    <w:link w:val="Footer"/>
    <w:uiPriority w:val="99"/>
    <w:rsid w:val="005E69C1"/>
    <w:rPr>
      <w:color w:val="000000" w:themeColor="text1"/>
    </w:rPr>
  </w:style>
  <w:style w:type="paragraph" w:customStyle="1" w:styleId="Textbody">
    <w:name w:val="Text body"/>
    <w:basedOn w:val="Normal"/>
    <w:rsid w:val="001130ED"/>
    <w:pPr>
      <w:widowControl w:val="0"/>
      <w:suppressAutoHyphens/>
      <w:autoSpaceDN w:val="0"/>
      <w:spacing w:after="120" w:line="240" w:lineRule="auto"/>
      <w:jc w:val="left"/>
    </w:pPr>
    <w:rPr>
      <w:rFonts w:eastAsia="SimSun" w:cs="Mangal"/>
      <w:color w:val="auto"/>
      <w:kern w:val="3"/>
      <w:szCs w:val="24"/>
      <w:lang w:eastAsia="zh-CN" w:bidi="hi-IN"/>
      <w14:ligatures w14:val="none"/>
    </w:rPr>
  </w:style>
  <w:style w:type="paragraph" w:customStyle="1" w:styleId="ListParagraph1">
    <w:name w:val="List Paragraph1"/>
    <w:basedOn w:val="Normal"/>
    <w:uiPriority w:val="34"/>
    <w:qFormat/>
    <w:rsid w:val="00AC2D67"/>
    <w:pPr>
      <w:widowControl w:val="0"/>
      <w:suppressAutoHyphens/>
      <w:spacing w:after="240" w:line="276" w:lineRule="auto"/>
      <w:ind w:left="720"/>
    </w:pPr>
    <w:rPr>
      <w:rFonts w:ascii="Tahoma" w:eastAsia="SimSun" w:hAnsi="Tahoma" w:cs="Mangal"/>
      <w:kern w:val="0"/>
      <w:sz w:val="20"/>
      <w:szCs w:val="21"/>
      <w:lang w:eastAsia="zh-CN" w:bidi="hi-IN"/>
      <w14:ligatures w14:val="none"/>
    </w:rPr>
  </w:style>
  <w:style w:type="paragraph" w:styleId="ListParagraph">
    <w:name w:val="List Paragraph"/>
    <w:aliases w:val="Rindkopas numeracija"/>
    <w:basedOn w:val="Normal"/>
    <w:autoRedefine/>
    <w:uiPriority w:val="34"/>
    <w:qFormat/>
    <w:rsid w:val="00205BAC"/>
    <w:pPr>
      <w:widowControl w:val="0"/>
      <w:numPr>
        <w:numId w:val="1"/>
      </w:numPr>
      <w:suppressAutoHyphens/>
      <w:spacing w:after="240" w:line="276" w:lineRule="auto"/>
      <w:ind w:left="709" w:hanging="720"/>
    </w:pPr>
    <w:rPr>
      <w:rFonts w:ascii="Arial" w:eastAsia="SimSun" w:hAnsi="Arial" w:cs="Arial"/>
      <w:kern w:val="0"/>
      <w:sz w:val="22"/>
      <w:lang w:eastAsia="zh-CN" w:bidi="hi-IN"/>
      <w14:ligatures w14:val="none"/>
    </w:rPr>
  </w:style>
  <w:style w:type="paragraph" w:styleId="ListBullet">
    <w:name w:val="List Bullet"/>
    <w:basedOn w:val="Normal"/>
    <w:uiPriority w:val="99"/>
    <w:unhideWhenUsed/>
    <w:rsid w:val="00FA56E0"/>
    <w:pPr>
      <w:numPr>
        <w:numId w:val="2"/>
      </w:numPr>
      <w:spacing w:after="200" w:line="276" w:lineRule="auto"/>
      <w:contextualSpacing/>
      <w:jc w:val="left"/>
    </w:pPr>
    <w:rPr>
      <w:color w:val="auto"/>
      <w:kern w:val="0"/>
      <w14:ligatures w14:val="none"/>
    </w:rPr>
  </w:style>
  <w:style w:type="paragraph" w:styleId="Revision">
    <w:name w:val="Revision"/>
    <w:hidden/>
    <w:uiPriority w:val="99"/>
    <w:semiHidden/>
    <w:rsid w:val="003E28D1"/>
    <w:pPr>
      <w:spacing w:after="0" w:line="240" w:lineRule="auto"/>
    </w:pPr>
    <w:rPr>
      <w:color w:val="000000" w:themeColor="text1"/>
    </w:rPr>
  </w:style>
  <w:style w:type="paragraph" w:styleId="NoSpacing">
    <w:name w:val="No Spacing"/>
    <w:uiPriority w:val="1"/>
    <w:qFormat/>
    <w:rsid w:val="00DE21AD"/>
    <w:pPr>
      <w:spacing w:after="0" w:line="240" w:lineRule="auto"/>
    </w:pPr>
    <w:rPr>
      <w:kern w:val="0"/>
      <w14:ligatures w14:val="none"/>
    </w:rPr>
  </w:style>
  <w:style w:type="character" w:styleId="FollowedHyperlink">
    <w:name w:val="FollowedHyperlink"/>
    <w:basedOn w:val="DefaultParagraphFont"/>
    <w:uiPriority w:val="99"/>
    <w:semiHidden/>
    <w:unhideWhenUsed/>
    <w:rsid w:val="00327C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772">
      <w:bodyDiv w:val="1"/>
      <w:marLeft w:val="0"/>
      <w:marRight w:val="0"/>
      <w:marTop w:val="0"/>
      <w:marBottom w:val="0"/>
      <w:divBdr>
        <w:top w:val="none" w:sz="0" w:space="0" w:color="auto"/>
        <w:left w:val="none" w:sz="0" w:space="0" w:color="auto"/>
        <w:bottom w:val="none" w:sz="0" w:space="0" w:color="auto"/>
        <w:right w:val="none" w:sz="0" w:space="0" w:color="auto"/>
      </w:divBdr>
    </w:div>
    <w:div w:id="189343067">
      <w:bodyDiv w:val="1"/>
      <w:marLeft w:val="0"/>
      <w:marRight w:val="0"/>
      <w:marTop w:val="0"/>
      <w:marBottom w:val="0"/>
      <w:divBdr>
        <w:top w:val="none" w:sz="0" w:space="0" w:color="auto"/>
        <w:left w:val="none" w:sz="0" w:space="0" w:color="auto"/>
        <w:bottom w:val="none" w:sz="0" w:space="0" w:color="auto"/>
        <w:right w:val="none" w:sz="0" w:space="0" w:color="auto"/>
      </w:divBdr>
    </w:div>
    <w:div w:id="407508659">
      <w:bodyDiv w:val="1"/>
      <w:marLeft w:val="0"/>
      <w:marRight w:val="0"/>
      <w:marTop w:val="0"/>
      <w:marBottom w:val="0"/>
      <w:divBdr>
        <w:top w:val="none" w:sz="0" w:space="0" w:color="auto"/>
        <w:left w:val="none" w:sz="0" w:space="0" w:color="auto"/>
        <w:bottom w:val="none" w:sz="0" w:space="0" w:color="auto"/>
        <w:right w:val="none" w:sz="0" w:space="0" w:color="auto"/>
      </w:divBdr>
    </w:div>
    <w:div w:id="430585030">
      <w:bodyDiv w:val="1"/>
      <w:marLeft w:val="0"/>
      <w:marRight w:val="0"/>
      <w:marTop w:val="0"/>
      <w:marBottom w:val="0"/>
      <w:divBdr>
        <w:top w:val="none" w:sz="0" w:space="0" w:color="auto"/>
        <w:left w:val="none" w:sz="0" w:space="0" w:color="auto"/>
        <w:bottom w:val="none" w:sz="0" w:space="0" w:color="auto"/>
        <w:right w:val="none" w:sz="0" w:space="0" w:color="auto"/>
      </w:divBdr>
    </w:div>
    <w:div w:id="461384121">
      <w:bodyDiv w:val="1"/>
      <w:marLeft w:val="0"/>
      <w:marRight w:val="0"/>
      <w:marTop w:val="0"/>
      <w:marBottom w:val="0"/>
      <w:divBdr>
        <w:top w:val="none" w:sz="0" w:space="0" w:color="auto"/>
        <w:left w:val="none" w:sz="0" w:space="0" w:color="auto"/>
        <w:bottom w:val="none" w:sz="0" w:space="0" w:color="auto"/>
        <w:right w:val="none" w:sz="0" w:space="0" w:color="auto"/>
      </w:divBdr>
    </w:div>
    <w:div w:id="540561024">
      <w:bodyDiv w:val="1"/>
      <w:marLeft w:val="0"/>
      <w:marRight w:val="0"/>
      <w:marTop w:val="0"/>
      <w:marBottom w:val="0"/>
      <w:divBdr>
        <w:top w:val="none" w:sz="0" w:space="0" w:color="auto"/>
        <w:left w:val="none" w:sz="0" w:space="0" w:color="auto"/>
        <w:bottom w:val="none" w:sz="0" w:space="0" w:color="auto"/>
        <w:right w:val="none" w:sz="0" w:space="0" w:color="auto"/>
      </w:divBdr>
    </w:div>
    <w:div w:id="583150125">
      <w:bodyDiv w:val="1"/>
      <w:marLeft w:val="0"/>
      <w:marRight w:val="0"/>
      <w:marTop w:val="0"/>
      <w:marBottom w:val="0"/>
      <w:divBdr>
        <w:top w:val="none" w:sz="0" w:space="0" w:color="auto"/>
        <w:left w:val="none" w:sz="0" w:space="0" w:color="auto"/>
        <w:bottom w:val="none" w:sz="0" w:space="0" w:color="auto"/>
        <w:right w:val="none" w:sz="0" w:space="0" w:color="auto"/>
      </w:divBdr>
    </w:div>
    <w:div w:id="637419904">
      <w:bodyDiv w:val="1"/>
      <w:marLeft w:val="0"/>
      <w:marRight w:val="0"/>
      <w:marTop w:val="0"/>
      <w:marBottom w:val="0"/>
      <w:divBdr>
        <w:top w:val="none" w:sz="0" w:space="0" w:color="auto"/>
        <w:left w:val="none" w:sz="0" w:space="0" w:color="auto"/>
        <w:bottom w:val="none" w:sz="0" w:space="0" w:color="auto"/>
        <w:right w:val="none" w:sz="0" w:space="0" w:color="auto"/>
      </w:divBdr>
    </w:div>
    <w:div w:id="862984675">
      <w:bodyDiv w:val="1"/>
      <w:marLeft w:val="0"/>
      <w:marRight w:val="0"/>
      <w:marTop w:val="0"/>
      <w:marBottom w:val="0"/>
      <w:divBdr>
        <w:top w:val="none" w:sz="0" w:space="0" w:color="auto"/>
        <w:left w:val="none" w:sz="0" w:space="0" w:color="auto"/>
        <w:bottom w:val="none" w:sz="0" w:space="0" w:color="auto"/>
        <w:right w:val="none" w:sz="0" w:space="0" w:color="auto"/>
      </w:divBdr>
    </w:div>
    <w:div w:id="1048139666">
      <w:bodyDiv w:val="1"/>
      <w:marLeft w:val="0"/>
      <w:marRight w:val="0"/>
      <w:marTop w:val="0"/>
      <w:marBottom w:val="0"/>
      <w:divBdr>
        <w:top w:val="none" w:sz="0" w:space="0" w:color="auto"/>
        <w:left w:val="none" w:sz="0" w:space="0" w:color="auto"/>
        <w:bottom w:val="none" w:sz="0" w:space="0" w:color="auto"/>
        <w:right w:val="none" w:sz="0" w:space="0" w:color="auto"/>
      </w:divBdr>
    </w:div>
    <w:div w:id="1086613755">
      <w:bodyDiv w:val="1"/>
      <w:marLeft w:val="0"/>
      <w:marRight w:val="0"/>
      <w:marTop w:val="0"/>
      <w:marBottom w:val="0"/>
      <w:divBdr>
        <w:top w:val="none" w:sz="0" w:space="0" w:color="auto"/>
        <w:left w:val="none" w:sz="0" w:space="0" w:color="auto"/>
        <w:bottom w:val="none" w:sz="0" w:space="0" w:color="auto"/>
        <w:right w:val="none" w:sz="0" w:space="0" w:color="auto"/>
      </w:divBdr>
    </w:div>
    <w:div w:id="1132164954">
      <w:bodyDiv w:val="1"/>
      <w:marLeft w:val="0"/>
      <w:marRight w:val="0"/>
      <w:marTop w:val="0"/>
      <w:marBottom w:val="0"/>
      <w:divBdr>
        <w:top w:val="none" w:sz="0" w:space="0" w:color="auto"/>
        <w:left w:val="none" w:sz="0" w:space="0" w:color="auto"/>
        <w:bottom w:val="none" w:sz="0" w:space="0" w:color="auto"/>
        <w:right w:val="none" w:sz="0" w:space="0" w:color="auto"/>
      </w:divBdr>
    </w:div>
    <w:div w:id="1231160839">
      <w:bodyDiv w:val="1"/>
      <w:marLeft w:val="0"/>
      <w:marRight w:val="0"/>
      <w:marTop w:val="0"/>
      <w:marBottom w:val="0"/>
      <w:divBdr>
        <w:top w:val="none" w:sz="0" w:space="0" w:color="auto"/>
        <w:left w:val="none" w:sz="0" w:space="0" w:color="auto"/>
        <w:bottom w:val="none" w:sz="0" w:space="0" w:color="auto"/>
        <w:right w:val="none" w:sz="0" w:space="0" w:color="auto"/>
      </w:divBdr>
    </w:div>
    <w:div w:id="1271013746">
      <w:bodyDiv w:val="1"/>
      <w:marLeft w:val="0"/>
      <w:marRight w:val="0"/>
      <w:marTop w:val="0"/>
      <w:marBottom w:val="0"/>
      <w:divBdr>
        <w:top w:val="none" w:sz="0" w:space="0" w:color="auto"/>
        <w:left w:val="none" w:sz="0" w:space="0" w:color="auto"/>
        <w:bottom w:val="none" w:sz="0" w:space="0" w:color="auto"/>
        <w:right w:val="none" w:sz="0" w:space="0" w:color="auto"/>
      </w:divBdr>
    </w:div>
    <w:div w:id="1421951338">
      <w:bodyDiv w:val="1"/>
      <w:marLeft w:val="0"/>
      <w:marRight w:val="0"/>
      <w:marTop w:val="0"/>
      <w:marBottom w:val="0"/>
      <w:divBdr>
        <w:top w:val="none" w:sz="0" w:space="0" w:color="auto"/>
        <w:left w:val="none" w:sz="0" w:space="0" w:color="auto"/>
        <w:bottom w:val="none" w:sz="0" w:space="0" w:color="auto"/>
        <w:right w:val="none" w:sz="0" w:space="0" w:color="auto"/>
      </w:divBdr>
    </w:div>
    <w:div w:id="1704674995">
      <w:bodyDiv w:val="1"/>
      <w:marLeft w:val="0"/>
      <w:marRight w:val="0"/>
      <w:marTop w:val="0"/>
      <w:marBottom w:val="0"/>
      <w:divBdr>
        <w:top w:val="none" w:sz="0" w:space="0" w:color="auto"/>
        <w:left w:val="none" w:sz="0" w:space="0" w:color="auto"/>
        <w:bottom w:val="none" w:sz="0" w:space="0" w:color="auto"/>
        <w:right w:val="none" w:sz="0" w:space="0" w:color="auto"/>
      </w:divBdr>
    </w:div>
    <w:div w:id="1723023252">
      <w:bodyDiv w:val="1"/>
      <w:marLeft w:val="0"/>
      <w:marRight w:val="0"/>
      <w:marTop w:val="0"/>
      <w:marBottom w:val="0"/>
      <w:divBdr>
        <w:top w:val="none" w:sz="0" w:space="0" w:color="auto"/>
        <w:left w:val="none" w:sz="0" w:space="0" w:color="auto"/>
        <w:bottom w:val="none" w:sz="0" w:space="0" w:color="auto"/>
        <w:right w:val="none" w:sz="0" w:space="0" w:color="auto"/>
      </w:divBdr>
    </w:div>
    <w:div w:id="1846703688">
      <w:bodyDiv w:val="1"/>
      <w:marLeft w:val="0"/>
      <w:marRight w:val="0"/>
      <w:marTop w:val="0"/>
      <w:marBottom w:val="0"/>
      <w:divBdr>
        <w:top w:val="none" w:sz="0" w:space="0" w:color="auto"/>
        <w:left w:val="none" w:sz="0" w:space="0" w:color="auto"/>
        <w:bottom w:val="none" w:sz="0" w:space="0" w:color="auto"/>
        <w:right w:val="none" w:sz="0" w:space="0" w:color="auto"/>
      </w:divBdr>
    </w:div>
    <w:div w:id="1876694952">
      <w:bodyDiv w:val="1"/>
      <w:marLeft w:val="0"/>
      <w:marRight w:val="0"/>
      <w:marTop w:val="0"/>
      <w:marBottom w:val="0"/>
      <w:divBdr>
        <w:top w:val="none" w:sz="0" w:space="0" w:color="auto"/>
        <w:left w:val="none" w:sz="0" w:space="0" w:color="auto"/>
        <w:bottom w:val="none" w:sz="0" w:space="0" w:color="auto"/>
        <w:right w:val="none" w:sz="0" w:space="0" w:color="auto"/>
      </w:divBdr>
    </w:div>
    <w:div w:id="1899583764">
      <w:bodyDiv w:val="1"/>
      <w:marLeft w:val="0"/>
      <w:marRight w:val="0"/>
      <w:marTop w:val="0"/>
      <w:marBottom w:val="0"/>
      <w:divBdr>
        <w:top w:val="none" w:sz="0" w:space="0" w:color="auto"/>
        <w:left w:val="none" w:sz="0" w:space="0" w:color="auto"/>
        <w:bottom w:val="none" w:sz="0" w:space="0" w:color="auto"/>
        <w:right w:val="none" w:sz="0" w:space="0" w:color="auto"/>
      </w:divBdr>
    </w:div>
    <w:div w:id="2076927793">
      <w:bodyDiv w:val="1"/>
      <w:marLeft w:val="0"/>
      <w:marRight w:val="0"/>
      <w:marTop w:val="0"/>
      <w:marBottom w:val="0"/>
      <w:divBdr>
        <w:top w:val="none" w:sz="0" w:space="0" w:color="auto"/>
        <w:left w:val="none" w:sz="0" w:space="0" w:color="auto"/>
        <w:bottom w:val="none" w:sz="0" w:space="0" w:color="auto"/>
        <w:right w:val="none" w:sz="0" w:space="0" w:color="auto"/>
      </w:divBdr>
    </w:div>
    <w:div w:id="21212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6583f00-87c4-40f0-be12-a21bc4e7b6c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5422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44D9-C500-4CD0-882D-3DAF0977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18336</Words>
  <Characters>10452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2025-05-21T11:57:00Z</dcterms:created>
  <dcterms:modified xsi:type="dcterms:W3CDTF">2025-08-29T07:12:00Z</dcterms:modified>
</cp:coreProperties>
</file>