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D5EE" w14:textId="77777777" w:rsidR="00BA40CC" w:rsidRPr="0082256B" w:rsidRDefault="00BA40CC" w:rsidP="00BA40CC">
      <w:pPr>
        <w:spacing w:after="0" w:line="276" w:lineRule="auto"/>
        <w:jc w:val="both"/>
        <w:rPr>
          <w:b/>
          <w:bCs/>
        </w:rPr>
      </w:pPr>
      <w:r w:rsidRPr="0082256B">
        <w:rPr>
          <w:b/>
          <w:bCs/>
        </w:rPr>
        <w:t>Senatora atkārtota dalība lietas izskatīšanā kasācijas instances tiesā</w:t>
      </w:r>
    </w:p>
    <w:p w14:paraId="253FE18E" w14:textId="77777777" w:rsidR="00BA40CC" w:rsidRDefault="00BA40CC" w:rsidP="00BA40CC">
      <w:pPr>
        <w:spacing w:after="0" w:line="276" w:lineRule="auto"/>
        <w:jc w:val="both"/>
      </w:pPr>
      <w:r w:rsidRPr="0082256B">
        <w:t xml:space="preserve">Kasācijas instances tiesā senatoram nav ierobežojuma piedalīties lietas izskatīšanā vairākkārt. </w:t>
      </w:r>
    </w:p>
    <w:p w14:paraId="5D9042F1" w14:textId="77777777" w:rsidR="00BA40CC" w:rsidRDefault="00BA40CC" w:rsidP="00BA40CC">
      <w:pPr>
        <w:spacing w:after="0" w:line="276" w:lineRule="auto"/>
        <w:jc w:val="center"/>
        <w:rPr>
          <w:b/>
          <w:szCs w:val="24"/>
        </w:rPr>
      </w:pPr>
    </w:p>
    <w:p w14:paraId="5DF38785" w14:textId="5346C8C0" w:rsidR="00DE3681" w:rsidRPr="00BA40CC" w:rsidRDefault="00DE3681" w:rsidP="00BA40CC">
      <w:pPr>
        <w:spacing w:after="0" w:line="276" w:lineRule="auto"/>
        <w:jc w:val="center"/>
        <w:rPr>
          <w:b/>
          <w:szCs w:val="24"/>
        </w:rPr>
      </w:pPr>
      <w:r w:rsidRPr="00BA40CC">
        <w:rPr>
          <w:b/>
          <w:szCs w:val="24"/>
        </w:rPr>
        <w:t>Latvijas Republikas Senāt</w:t>
      </w:r>
      <w:r w:rsidR="00BA40CC" w:rsidRPr="00BA40CC">
        <w:rPr>
          <w:b/>
          <w:szCs w:val="24"/>
        </w:rPr>
        <w:t>a</w:t>
      </w:r>
    </w:p>
    <w:p w14:paraId="0BA25732" w14:textId="55530E2E" w:rsidR="00BA40CC" w:rsidRPr="00BA40CC" w:rsidRDefault="00BA40CC" w:rsidP="00BA40CC">
      <w:pPr>
        <w:spacing w:after="0" w:line="276" w:lineRule="auto"/>
        <w:jc w:val="center"/>
        <w:rPr>
          <w:b/>
          <w:lang w:eastAsia="lv-LV"/>
        </w:rPr>
      </w:pPr>
      <w:r w:rsidRPr="00BA40CC">
        <w:rPr>
          <w:b/>
          <w:lang w:eastAsia="lv-LV"/>
        </w:rPr>
        <w:t>Krimināllietu departamenta</w:t>
      </w:r>
    </w:p>
    <w:p w14:paraId="69BB3EE4" w14:textId="04C5E137" w:rsidR="00BA40CC" w:rsidRPr="00BA40CC" w:rsidRDefault="00BA40CC" w:rsidP="00BA40CC">
      <w:pPr>
        <w:spacing w:after="0" w:line="276" w:lineRule="auto"/>
        <w:jc w:val="center"/>
        <w:rPr>
          <w:b/>
          <w:szCs w:val="24"/>
        </w:rPr>
      </w:pPr>
      <w:r w:rsidRPr="00BA40CC">
        <w:rPr>
          <w:b/>
        </w:rPr>
        <w:t>2025. gada 3. aprīļa</w:t>
      </w:r>
    </w:p>
    <w:p w14:paraId="62A2EEF4" w14:textId="77777777" w:rsidR="00DE3681" w:rsidRPr="00BA40CC" w:rsidRDefault="00DE3681" w:rsidP="00BA40CC">
      <w:pPr>
        <w:spacing w:after="0" w:line="276" w:lineRule="auto"/>
        <w:jc w:val="center"/>
        <w:rPr>
          <w:b/>
          <w:szCs w:val="24"/>
        </w:rPr>
      </w:pPr>
      <w:r w:rsidRPr="00BA40CC">
        <w:rPr>
          <w:b/>
          <w:szCs w:val="24"/>
        </w:rPr>
        <w:t>LĒMUMS</w:t>
      </w:r>
    </w:p>
    <w:p w14:paraId="5CCF7123" w14:textId="77777777" w:rsidR="00BA40CC" w:rsidRDefault="00BA40CC" w:rsidP="00BA40CC">
      <w:pPr>
        <w:tabs>
          <w:tab w:val="left" w:pos="5529"/>
        </w:tabs>
        <w:spacing w:after="0" w:line="276" w:lineRule="auto"/>
        <w:jc w:val="center"/>
        <w:rPr>
          <w:b/>
          <w:lang w:eastAsia="lv-LV"/>
        </w:rPr>
      </w:pPr>
      <w:r w:rsidRPr="00BA40CC">
        <w:rPr>
          <w:b/>
          <w:lang w:eastAsia="lv-LV"/>
        </w:rPr>
        <w:t>Lieta Nr. 16870002022, SKK</w:t>
      </w:r>
      <w:r w:rsidRPr="00BA40CC">
        <w:rPr>
          <w:b/>
          <w:lang w:eastAsia="lv-LV"/>
        </w:rPr>
        <w:noBreakHyphen/>
        <w:t>235/2025</w:t>
      </w:r>
    </w:p>
    <w:p w14:paraId="48D86C44" w14:textId="346B1D88" w:rsidR="00047D29" w:rsidRPr="00047D29" w:rsidRDefault="00047D29" w:rsidP="00047D29">
      <w:pPr>
        <w:tabs>
          <w:tab w:val="left" w:pos="5529"/>
        </w:tabs>
        <w:spacing w:after="0" w:line="276" w:lineRule="auto"/>
        <w:jc w:val="center"/>
        <w:rPr>
          <w:bCs/>
          <w:lang w:eastAsia="lv-LV"/>
        </w:rPr>
      </w:pPr>
      <w:r w:rsidRPr="00047D29">
        <w:rPr>
          <w:bCs/>
          <w:lang w:eastAsia="lv-LV"/>
        </w:rPr>
        <w:t>ECLI:LV:AT:2025:0403.16870002022.7.L</w:t>
      </w:r>
    </w:p>
    <w:p w14:paraId="207454B8" w14:textId="77777777" w:rsidR="00DE3681" w:rsidRPr="005B1976" w:rsidRDefault="00DE3681" w:rsidP="00DE3681">
      <w:pPr>
        <w:spacing w:after="0" w:line="276" w:lineRule="auto"/>
        <w:jc w:val="center"/>
      </w:pPr>
    </w:p>
    <w:p w14:paraId="29E2D69C" w14:textId="234A1796" w:rsidR="00DE3681" w:rsidRPr="005B1976" w:rsidRDefault="00DE3681" w:rsidP="00DE3681">
      <w:pPr>
        <w:spacing w:after="0" w:line="276" w:lineRule="auto"/>
        <w:ind w:firstLine="709"/>
        <w:jc w:val="both"/>
      </w:pPr>
      <w:r>
        <w:t>Senāts</w:t>
      </w:r>
      <w:r w:rsidRPr="005B1976">
        <w:t xml:space="preserve"> šādā sastāvā: senator</w:t>
      </w:r>
      <w:r>
        <w:t xml:space="preserve">e referente </w:t>
      </w:r>
      <w:r w:rsidR="00031DA0">
        <w:t>Sandra Kaija</w:t>
      </w:r>
      <w:r w:rsidRPr="005B1976">
        <w:t xml:space="preserve">, </w:t>
      </w:r>
      <w:r>
        <w:t xml:space="preserve">senatori </w:t>
      </w:r>
      <w:r w:rsidR="00CA7043">
        <w:t>Ivars Bičkovičs</w:t>
      </w:r>
      <w:r>
        <w:t xml:space="preserve"> un </w:t>
      </w:r>
      <w:r w:rsidR="00031DA0">
        <w:t>Irīna Jansone</w:t>
      </w:r>
      <w:r w:rsidRPr="005B1976">
        <w:rPr>
          <w:rFonts w:eastAsia="Calibri"/>
        </w:rPr>
        <w:t xml:space="preserve"> </w:t>
      </w:r>
      <w:r w:rsidRPr="005B1976">
        <w:t>izskatīja apsūdzēt</w:t>
      </w:r>
      <w:r w:rsidR="00CA7043">
        <w:t xml:space="preserve">ās </w:t>
      </w:r>
      <w:r w:rsidR="00BA40CC">
        <w:t>[pers. A]</w:t>
      </w:r>
      <w:r w:rsidR="00CA7043" w:rsidRPr="00AF0E37">
        <w:t xml:space="preserve"> aizstāv</w:t>
      </w:r>
      <w:r w:rsidR="00031DA0">
        <w:t>ja</w:t>
      </w:r>
      <w:r w:rsidR="00CA7043">
        <w:t xml:space="preserve"> zvērināta advokāt</w:t>
      </w:r>
      <w:r w:rsidR="00031DA0">
        <w:t>a</w:t>
      </w:r>
      <w:r w:rsidR="00CA7043">
        <w:t xml:space="preserve"> </w:t>
      </w:r>
      <w:r w:rsidR="00031DA0">
        <w:t>Saulveža Vārpiņa</w:t>
      </w:r>
      <w:r w:rsidR="00CA7043">
        <w:t xml:space="preserve"> </w:t>
      </w:r>
      <w:r w:rsidRPr="005B1976">
        <w:t>202</w:t>
      </w:r>
      <w:r w:rsidR="00031DA0">
        <w:t>5</w:t>
      </w:r>
      <w:r w:rsidRPr="005B1976">
        <w:t>.</w:t>
      </w:r>
      <w:r>
        <w:t> </w:t>
      </w:r>
      <w:r w:rsidRPr="005B1976">
        <w:t xml:space="preserve">gada </w:t>
      </w:r>
      <w:r w:rsidR="00031DA0">
        <w:t>13. martā</w:t>
      </w:r>
      <w:r w:rsidR="00893D58">
        <w:t xml:space="preserve"> </w:t>
      </w:r>
      <w:r w:rsidRPr="005B1976">
        <w:t>pieteikto noraidījumu senator</w:t>
      </w:r>
      <w:r w:rsidR="00031DA0">
        <w:t>am</w:t>
      </w:r>
      <w:r>
        <w:t xml:space="preserve"> </w:t>
      </w:r>
      <w:r w:rsidR="00CA7043">
        <w:t>I. </w:t>
      </w:r>
      <w:proofErr w:type="spellStart"/>
      <w:r w:rsidR="00CA7043">
        <w:t>Bičkovičam</w:t>
      </w:r>
      <w:proofErr w:type="spellEnd"/>
      <w:r w:rsidR="00031DA0">
        <w:t>.</w:t>
      </w:r>
      <w:r w:rsidRPr="005B1976">
        <w:t xml:space="preserve"> </w:t>
      </w:r>
    </w:p>
    <w:p w14:paraId="7E4FE83F" w14:textId="77777777" w:rsidR="00DE3681" w:rsidRPr="005B1976" w:rsidRDefault="00DE3681" w:rsidP="00DE3681">
      <w:pPr>
        <w:spacing w:after="0" w:line="276" w:lineRule="auto"/>
        <w:ind w:firstLine="720"/>
        <w:jc w:val="both"/>
      </w:pPr>
    </w:p>
    <w:p w14:paraId="0C24A089" w14:textId="77777777" w:rsidR="00DE3681" w:rsidRPr="005B1976" w:rsidRDefault="00DE3681" w:rsidP="00DE3681">
      <w:pPr>
        <w:spacing w:after="0" w:line="276" w:lineRule="auto"/>
        <w:jc w:val="center"/>
        <w:rPr>
          <w:b/>
        </w:rPr>
      </w:pPr>
      <w:r w:rsidRPr="005B1976">
        <w:rPr>
          <w:b/>
        </w:rPr>
        <w:t>Aprakstošā daļa</w:t>
      </w:r>
    </w:p>
    <w:p w14:paraId="2B85AF83" w14:textId="77777777" w:rsidR="002C7CEC" w:rsidRDefault="002C7CEC" w:rsidP="00DE3681">
      <w:pPr>
        <w:spacing w:after="0" w:line="276" w:lineRule="auto"/>
        <w:ind w:firstLine="720"/>
        <w:jc w:val="both"/>
      </w:pPr>
    </w:p>
    <w:p w14:paraId="566AC177" w14:textId="1BFAC7E1" w:rsidR="00DE3681" w:rsidRPr="005B1976" w:rsidRDefault="00DE3681" w:rsidP="00CA7043">
      <w:pPr>
        <w:spacing w:after="0" w:line="276" w:lineRule="auto"/>
        <w:ind w:firstLine="720"/>
        <w:jc w:val="both"/>
      </w:pPr>
      <w:r w:rsidRPr="005B1976">
        <w:t>[1]</w:t>
      </w:r>
      <w:r w:rsidR="00CA7043">
        <w:t> </w:t>
      </w:r>
      <w:r w:rsidRPr="005B1976">
        <w:t xml:space="preserve">Krimināllieta </w:t>
      </w:r>
      <w:r w:rsidR="00BA40CC">
        <w:t>[pers. A]</w:t>
      </w:r>
      <w:r w:rsidRPr="005B1976">
        <w:t xml:space="preserve"> apsūdzībā saņemta Senātā izskatīšanai kasācijas kārtībā sakarā ar apsūdzētā</w:t>
      </w:r>
      <w:r w:rsidR="00CA7043">
        <w:t>s</w:t>
      </w:r>
      <w:r w:rsidRPr="005B1976">
        <w:t xml:space="preserve"> </w:t>
      </w:r>
      <w:r w:rsidR="00BA40CC">
        <w:t>[pers. A]</w:t>
      </w:r>
      <w:r w:rsidR="00031DA0">
        <w:t xml:space="preserve"> aizstāvja S. Vārpiņa</w:t>
      </w:r>
      <w:r w:rsidRPr="005B1976">
        <w:t xml:space="preserve"> kasācijas sūdzīb</w:t>
      </w:r>
      <w:r>
        <w:t>u</w:t>
      </w:r>
      <w:r w:rsidRPr="005B1976">
        <w:t xml:space="preserve"> par </w:t>
      </w:r>
      <w:r w:rsidR="00031DA0">
        <w:t xml:space="preserve">Kurzemes </w:t>
      </w:r>
      <w:r w:rsidR="00CA7043" w:rsidRPr="00AF0E37">
        <w:t>apgabaltiesas 202</w:t>
      </w:r>
      <w:r w:rsidR="00031DA0">
        <w:t>5</w:t>
      </w:r>
      <w:r w:rsidR="00CA7043" w:rsidRPr="00AF0E37">
        <w:t xml:space="preserve">. gada </w:t>
      </w:r>
      <w:r w:rsidR="00031DA0">
        <w:t>3. februāra</w:t>
      </w:r>
      <w:r w:rsidR="00CA7043" w:rsidRPr="00AF0E37">
        <w:t xml:space="preserve"> </w:t>
      </w:r>
      <w:r w:rsidR="00CA7043">
        <w:t>spried</w:t>
      </w:r>
      <w:r w:rsidR="00CA7043" w:rsidRPr="00AF0E37">
        <w:t>umu</w:t>
      </w:r>
      <w:r w:rsidRPr="005B1976">
        <w:t xml:space="preserve">. </w:t>
      </w:r>
    </w:p>
    <w:p w14:paraId="588CD3DC" w14:textId="19DF531F" w:rsidR="00DE3681" w:rsidRPr="005B1976" w:rsidRDefault="00DE3681" w:rsidP="00CA7043">
      <w:pPr>
        <w:spacing w:after="0" w:line="276" w:lineRule="auto"/>
        <w:ind w:firstLine="720"/>
        <w:jc w:val="both"/>
      </w:pPr>
      <w:r w:rsidRPr="005B1976">
        <w:t>Ar Senāta Krimināllietu departamenta priekšsēdētājas Anitas Poļakovas 202</w:t>
      </w:r>
      <w:r w:rsidR="00031DA0">
        <w:t>5</w:t>
      </w:r>
      <w:r w:rsidRPr="005B1976">
        <w:t>.</w:t>
      </w:r>
      <w:r w:rsidR="0085386D">
        <w:t> </w:t>
      </w:r>
      <w:r w:rsidRPr="005B1976">
        <w:t xml:space="preserve">gada </w:t>
      </w:r>
      <w:r w:rsidR="00031DA0">
        <w:t>11. marta</w:t>
      </w:r>
      <w:r w:rsidRPr="005B1976">
        <w:t xml:space="preserve"> rezolūciju noteikts tiesas sastāvs</w:t>
      </w:r>
      <w:r w:rsidR="00CA7043">
        <w:t> </w:t>
      </w:r>
      <w:r w:rsidRPr="005B1976">
        <w:t xml:space="preserve">– senatori </w:t>
      </w:r>
      <w:r w:rsidR="00031DA0">
        <w:t xml:space="preserve">Sandra Kaija, Ivars Bičkovičs un </w:t>
      </w:r>
      <w:r w:rsidR="0085386D">
        <w:t>Irīna Jansone</w:t>
      </w:r>
      <w:r w:rsidRPr="005B1976">
        <w:t>. Noteikts, ka jautājums par kasācijas tiesvedības ierosināšanu tiks izlemts 202</w:t>
      </w:r>
      <w:r w:rsidR="00031DA0">
        <w:t>5</w:t>
      </w:r>
      <w:r w:rsidRPr="005B1976">
        <w:t>.</w:t>
      </w:r>
      <w:r w:rsidR="0085386D">
        <w:t> </w:t>
      </w:r>
      <w:r w:rsidRPr="005B1976">
        <w:t xml:space="preserve">gada </w:t>
      </w:r>
      <w:r w:rsidR="00031DA0">
        <w:t>16. aprīlī</w:t>
      </w:r>
      <w:r w:rsidRPr="005B1976">
        <w:t>.</w:t>
      </w:r>
    </w:p>
    <w:p w14:paraId="2DA892C3" w14:textId="77777777" w:rsidR="00DE3681" w:rsidRPr="005B1976" w:rsidRDefault="00DE3681" w:rsidP="00CA7043">
      <w:pPr>
        <w:spacing w:after="0" w:line="276" w:lineRule="auto"/>
        <w:ind w:firstLine="720"/>
        <w:jc w:val="both"/>
      </w:pPr>
    </w:p>
    <w:p w14:paraId="371315A3" w14:textId="710D6CFE" w:rsidR="00DE3681" w:rsidRPr="005B1976" w:rsidRDefault="00DE3681" w:rsidP="00CA7043">
      <w:pPr>
        <w:spacing w:after="0" w:line="276" w:lineRule="auto"/>
        <w:ind w:firstLine="720"/>
        <w:jc w:val="both"/>
      </w:pPr>
      <w:r w:rsidRPr="005B1976">
        <w:t>[2]</w:t>
      </w:r>
      <w:r w:rsidR="00CA7043">
        <w:t> </w:t>
      </w:r>
      <w:r w:rsidRPr="005B1976">
        <w:t>Senātā 202</w:t>
      </w:r>
      <w:r w:rsidR="00031DA0">
        <w:t>5</w:t>
      </w:r>
      <w:r w:rsidRPr="005B1976">
        <w:t>.</w:t>
      </w:r>
      <w:r w:rsidR="0085386D">
        <w:t> </w:t>
      </w:r>
      <w:r w:rsidRPr="005B1976">
        <w:t xml:space="preserve">gada </w:t>
      </w:r>
      <w:r w:rsidR="00031DA0">
        <w:t>13. martā</w:t>
      </w:r>
      <w:r w:rsidRPr="005B1976">
        <w:t xml:space="preserve"> saņemts apsūdzētā</w:t>
      </w:r>
      <w:r w:rsidR="00CA7043">
        <w:t>s</w:t>
      </w:r>
      <w:r w:rsidRPr="005B1976">
        <w:t xml:space="preserve"> </w:t>
      </w:r>
      <w:r w:rsidR="00BA40CC">
        <w:t>[pers. A]</w:t>
      </w:r>
      <w:r w:rsidR="00CA7043">
        <w:t xml:space="preserve"> aizstāv</w:t>
      </w:r>
      <w:r w:rsidR="00031DA0">
        <w:t>ja</w:t>
      </w:r>
      <w:r w:rsidR="00CA7043">
        <w:t xml:space="preserve"> </w:t>
      </w:r>
      <w:r w:rsidR="00031DA0">
        <w:t>S. Vārpiņa</w:t>
      </w:r>
      <w:r w:rsidR="00CA7043">
        <w:t xml:space="preserve"> </w:t>
      </w:r>
      <w:r w:rsidR="00AA33D6">
        <w:t>iesniegums</w:t>
      </w:r>
      <w:r w:rsidRPr="005B1976">
        <w:t xml:space="preserve">, kurā </w:t>
      </w:r>
      <w:r w:rsidR="00AA33D6">
        <w:t>viņ</w:t>
      </w:r>
      <w:r w:rsidR="00031DA0">
        <w:t>š</w:t>
      </w:r>
      <w:r w:rsidR="00AA33D6">
        <w:t xml:space="preserve"> pietei</w:t>
      </w:r>
      <w:r w:rsidR="00031DA0">
        <w:t>cis</w:t>
      </w:r>
      <w:r w:rsidRPr="005B1976">
        <w:t xml:space="preserve"> noraidījumu senator</w:t>
      </w:r>
      <w:r w:rsidR="00031DA0">
        <w:t>a</w:t>
      </w:r>
      <w:r w:rsidRPr="005B1976">
        <w:t xml:space="preserve">m </w:t>
      </w:r>
      <w:r w:rsidR="0085386D">
        <w:t>I. </w:t>
      </w:r>
      <w:proofErr w:type="spellStart"/>
      <w:r w:rsidR="00AA33D6">
        <w:t>Bičkovičam</w:t>
      </w:r>
      <w:proofErr w:type="spellEnd"/>
      <w:r w:rsidR="00031DA0">
        <w:t>.</w:t>
      </w:r>
    </w:p>
    <w:p w14:paraId="6433115A" w14:textId="767A8037" w:rsidR="00031DA0" w:rsidRDefault="00AA33D6" w:rsidP="00031DA0">
      <w:pPr>
        <w:spacing w:after="0" w:line="276" w:lineRule="auto"/>
        <w:ind w:firstLine="720"/>
        <w:jc w:val="both"/>
      </w:pPr>
      <w:r>
        <w:t>Aizstāv</w:t>
      </w:r>
      <w:r w:rsidR="00031DA0">
        <w:t>is</w:t>
      </w:r>
      <w:r>
        <w:t xml:space="preserve"> </w:t>
      </w:r>
      <w:r w:rsidR="00031DA0">
        <w:t>S. </w:t>
      </w:r>
      <w:proofErr w:type="spellStart"/>
      <w:r w:rsidR="00031DA0">
        <w:t>Vārpiņš</w:t>
      </w:r>
      <w:proofErr w:type="spellEnd"/>
      <w:r w:rsidR="00DE3681" w:rsidRPr="005B1976">
        <w:t xml:space="preserve">, </w:t>
      </w:r>
      <w:r w:rsidR="002605E8">
        <w:t>atsaucoties uz likumu „Par tiesu varu” 15. panta pirmo daļu un Kriminālprocesa likuma 50. panta pirmo daļu</w:t>
      </w:r>
      <w:r w:rsidR="00DE3681" w:rsidRPr="005B1976">
        <w:t>, norādīj</w:t>
      </w:r>
      <w:r w:rsidR="00031DA0">
        <w:t>is, ka senators I. Bičkovičs jau ir piedalījies iepriekš šīs lietas izskatīšanā</w:t>
      </w:r>
      <w:r w:rsidR="00150D0F">
        <w:t>.</w:t>
      </w:r>
    </w:p>
    <w:p w14:paraId="596CDC3F" w14:textId="77777777" w:rsidR="002C7CEC" w:rsidRDefault="002C7CEC" w:rsidP="00DE3681">
      <w:pPr>
        <w:spacing w:after="0" w:line="276" w:lineRule="auto"/>
        <w:jc w:val="center"/>
        <w:rPr>
          <w:b/>
        </w:rPr>
      </w:pPr>
    </w:p>
    <w:p w14:paraId="152C8604" w14:textId="71AEC949" w:rsidR="00DE3681" w:rsidRPr="005B1976" w:rsidRDefault="00DE3681" w:rsidP="00DE3681">
      <w:pPr>
        <w:spacing w:after="0" w:line="276" w:lineRule="auto"/>
        <w:jc w:val="center"/>
        <w:rPr>
          <w:b/>
        </w:rPr>
      </w:pPr>
      <w:r w:rsidRPr="005B1976">
        <w:rPr>
          <w:b/>
        </w:rPr>
        <w:t>Motīvu daļa</w:t>
      </w:r>
    </w:p>
    <w:p w14:paraId="681E02B8" w14:textId="77777777" w:rsidR="00DE3681" w:rsidRPr="005B1976" w:rsidRDefault="00DE3681" w:rsidP="00DE3681">
      <w:pPr>
        <w:spacing w:after="0" w:line="276" w:lineRule="auto"/>
        <w:ind w:firstLine="720"/>
        <w:jc w:val="both"/>
      </w:pPr>
    </w:p>
    <w:p w14:paraId="01AA228E" w14:textId="5FD9ECB3" w:rsidR="00CB31B8" w:rsidRDefault="00DE3681" w:rsidP="00CB31B8">
      <w:pPr>
        <w:spacing w:after="0" w:line="276" w:lineRule="auto"/>
        <w:ind w:firstLine="720"/>
        <w:jc w:val="both"/>
        <w:rPr>
          <w:b/>
          <w:bCs/>
        </w:rPr>
      </w:pPr>
      <w:r w:rsidRPr="005B1976">
        <w:t>[3]</w:t>
      </w:r>
      <w:r w:rsidR="009628A8">
        <w:t> </w:t>
      </w:r>
      <w:r w:rsidR="00CB31B8" w:rsidRPr="00CB056B">
        <w:rPr>
          <w:rFonts w:asciiTheme="majorBidi" w:hAnsiTheme="majorBidi" w:cstheme="majorBidi"/>
        </w:rPr>
        <w:t>Senāts atzīst, ka</w:t>
      </w:r>
      <w:r w:rsidR="00CB31B8">
        <w:rPr>
          <w:rFonts w:asciiTheme="majorBidi" w:hAnsiTheme="majorBidi" w:cstheme="majorBidi"/>
        </w:rPr>
        <w:t xml:space="preserve"> lietā</w:t>
      </w:r>
      <w:r w:rsidR="00CB31B8" w:rsidRPr="00CB056B">
        <w:rPr>
          <w:rFonts w:asciiTheme="majorBidi" w:hAnsiTheme="majorBidi" w:cstheme="majorBidi"/>
        </w:rPr>
        <w:t xml:space="preserve"> ir </w:t>
      </w:r>
      <w:r w:rsidR="00CB31B8">
        <w:rPr>
          <w:rFonts w:asciiTheme="majorBidi" w:hAnsiTheme="majorBidi" w:cstheme="majorBidi"/>
        </w:rPr>
        <w:t>jāsniedz atbilde</w:t>
      </w:r>
      <w:r w:rsidR="00CB31B8" w:rsidRPr="00CB056B">
        <w:rPr>
          <w:rFonts w:asciiTheme="majorBidi" w:hAnsiTheme="majorBidi" w:cstheme="majorBidi"/>
        </w:rPr>
        <w:t xml:space="preserve">, </w:t>
      </w:r>
      <w:r w:rsidR="00CB31B8" w:rsidRPr="00ED5AC6">
        <w:rPr>
          <w:bCs/>
        </w:rPr>
        <w:t xml:space="preserve">vai </w:t>
      </w:r>
      <w:r w:rsidR="00CB31B8">
        <w:rPr>
          <w:bCs/>
        </w:rPr>
        <w:t xml:space="preserve">senatora iepriekšēja piedalīšanās lietas izskatīšanā kasācijas instances tiesā ir </w:t>
      </w:r>
      <w:r w:rsidR="00CB31B8" w:rsidRPr="00CB31B8">
        <w:rPr>
          <w:bCs/>
        </w:rPr>
        <w:t>apstāk</w:t>
      </w:r>
      <w:r w:rsidR="00CB31B8">
        <w:rPr>
          <w:bCs/>
        </w:rPr>
        <w:t>l</w:t>
      </w:r>
      <w:r w:rsidR="00CB31B8" w:rsidRPr="00CB31B8">
        <w:rPr>
          <w:bCs/>
        </w:rPr>
        <w:t>i</w:t>
      </w:r>
      <w:r w:rsidR="00CB31B8">
        <w:rPr>
          <w:bCs/>
        </w:rPr>
        <w:t>s</w:t>
      </w:r>
      <w:r w:rsidR="00CB31B8" w:rsidRPr="00CB31B8">
        <w:rPr>
          <w:bCs/>
        </w:rPr>
        <w:t>, kas liedz atkārtoti piedalīties lietas izskatīšanā kasācijas instances tiesā.</w:t>
      </w:r>
    </w:p>
    <w:p w14:paraId="6B52E77B" w14:textId="6C2EEFCC" w:rsidR="000729FB" w:rsidRDefault="00CB31B8" w:rsidP="00CB31B8">
      <w:pPr>
        <w:spacing w:after="0" w:line="276" w:lineRule="auto"/>
        <w:ind w:firstLine="720"/>
        <w:jc w:val="both"/>
      </w:pPr>
      <w:r>
        <w:t>[3.1] </w:t>
      </w:r>
      <w:r w:rsidR="000729FB" w:rsidRPr="000729FB">
        <w:t>No lietas materiāliem redzams, ka senator</w:t>
      </w:r>
      <w:r w:rsidR="000729FB">
        <w:t xml:space="preserve">s I. Bičkovičs </w:t>
      </w:r>
      <w:r w:rsidR="000729FB" w:rsidRPr="000729FB">
        <w:t xml:space="preserve">piedalījies </w:t>
      </w:r>
      <w:r w:rsidR="00150D0F">
        <w:t xml:space="preserve">konkrētās </w:t>
      </w:r>
      <w:r w:rsidR="000729FB" w:rsidRPr="000729FB">
        <w:t>lietas izskatīšanā kasācijas instances tiesā 202</w:t>
      </w:r>
      <w:r w:rsidR="00150D0F">
        <w:t>4</w:t>
      </w:r>
      <w:r w:rsidR="000729FB" w:rsidRPr="000729FB">
        <w:t>.</w:t>
      </w:r>
      <w:r w:rsidR="000729FB">
        <w:t> </w:t>
      </w:r>
      <w:r w:rsidR="000729FB" w:rsidRPr="000729FB">
        <w:t xml:space="preserve">gada </w:t>
      </w:r>
      <w:r w:rsidR="000729FB">
        <w:t>18. decembrī</w:t>
      </w:r>
      <w:r w:rsidR="000729FB" w:rsidRPr="000729FB">
        <w:t>.</w:t>
      </w:r>
    </w:p>
    <w:p w14:paraId="61CD4C5E" w14:textId="2D651A69" w:rsidR="00DE3681" w:rsidRPr="005B1976" w:rsidRDefault="00CB31B8" w:rsidP="00CB31B8">
      <w:pPr>
        <w:spacing w:after="0" w:line="276" w:lineRule="auto"/>
        <w:ind w:firstLine="720"/>
        <w:jc w:val="both"/>
      </w:pPr>
      <w:r>
        <w:t>[3.2] </w:t>
      </w:r>
      <w:r w:rsidR="00DE3681" w:rsidRPr="005B1976">
        <w:t>Kriminālprocesa likuma 50.</w:t>
      </w:r>
      <w:r w:rsidR="00257D97">
        <w:t> </w:t>
      </w:r>
      <w:r w:rsidR="00DE3681" w:rsidRPr="005B1976">
        <w:t>panta pirmā daļa noteic, ka amatpersona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w:t>
      </w:r>
    </w:p>
    <w:p w14:paraId="06DB6B62" w14:textId="133382D8" w:rsidR="00DE3681" w:rsidRDefault="00DE3681" w:rsidP="00DE3681">
      <w:pPr>
        <w:spacing w:after="0" w:line="276" w:lineRule="auto"/>
        <w:ind w:firstLine="720"/>
        <w:jc w:val="both"/>
      </w:pPr>
      <w:r w:rsidRPr="005B1976">
        <w:t>Kriminālprocesa likuma 52.</w:t>
      </w:r>
      <w:r w:rsidR="006303CF">
        <w:t> </w:t>
      </w:r>
      <w:r w:rsidRPr="005B1976">
        <w:t>pantā noteikti interešu konflikta apstākļi atsevišķām kriminālprocesā iesaistītajām personām. Minētā panta ceturtā</w:t>
      </w:r>
      <w:r w:rsidR="001E360D">
        <w:t>s</w:t>
      </w:r>
      <w:r w:rsidRPr="005B1976">
        <w:t xml:space="preserve"> daļa</w:t>
      </w:r>
      <w:r w:rsidR="001E360D">
        <w:t>s pirmais punkts</w:t>
      </w:r>
      <w:r w:rsidRPr="005B1976">
        <w:t xml:space="preserve"> </w:t>
      </w:r>
      <w:r w:rsidRPr="005B1976">
        <w:lastRenderedPageBreak/>
        <w:t>noteic, ka lietas izskatīšanā tiesā nedrīkst piedalīties tiesnesis, kurš ir</w:t>
      </w:r>
      <w:r w:rsidR="00F0564E">
        <w:t xml:space="preserve"> </w:t>
      </w:r>
      <w:r w:rsidRPr="005B1976">
        <w:t xml:space="preserve">piedalījies </w:t>
      </w:r>
      <w:proofErr w:type="spellStart"/>
      <w:r w:rsidRPr="005B1976">
        <w:t>pirmstiesas</w:t>
      </w:r>
      <w:proofErr w:type="spellEnd"/>
      <w:r w:rsidRPr="005B1976">
        <w:t xml:space="preserve"> kriminālprocesā vai pirmās instances vai apelācijas instances tiesā jebkādā statusā.</w:t>
      </w:r>
    </w:p>
    <w:p w14:paraId="5E0E51D4" w14:textId="77777777" w:rsidR="001E360D" w:rsidRDefault="00CB31B8" w:rsidP="001E360D">
      <w:pPr>
        <w:spacing w:after="0" w:line="276" w:lineRule="auto"/>
        <w:ind w:firstLine="720"/>
        <w:jc w:val="both"/>
      </w:pPr>
      <w:r>
        <w:t>Likuma „Par tiesu varu” 15. panta pirmā daļa noteic, ka t</w:t>
      </w:r>
      <w:r w:rsidRPr="000D5B02">
        <w:t>iesnesis, kas piedalījies lietas izskatīšanā, nevar piedalīties šīs lietas atkārtotā izskatīšanā.</w:t>
      </w:r>
      <w:r>
        <w:t xml:space="preserve"> Saskaņā ar Oficiālo publikāciju un tiesiskās informācijas likuma 9. panta sestās daļas 2. punktu gadījumā, j</w:t>
      </w:r>
      <w:r w:rsidRPr="009F72EB">
        <w:t>a konstatē pretrunu starp</w:t>
      </w:r>
      <w:r>
        <w:t xml:space="preserve"> </w:t>
      </w:r>
      <w:r w:rsidRPr="009F72EB">
        <w:t>vienāda juridiska spēka vispārējo un speciālo tiesību normu, vispārējo tiesību normu piemēro tiktāl, ciktāl to neierobežo speciālā tiesību norma</w:t>
      </w:r>
      <w:r>
        <w:t>. Senāts atzīst, ka Kriminālprocesa likuma 52. panta ceturtās daļas 1. punkts ir speciālā tiesību norma attiecībā pret likuma „Par tiesu varu” 15. panta pirmo daļu, tādējādi</w:t>
      </w:r>
      <w:r w:rsidR="001E360D">
        <w:t>, lemjot par noraidījuma pamatotību, jāpiemēro speciālā tiesību norma.</w:t>
      </w:r>
    </w:p>
    <w:p w14:paraId="2AAA5B6E" w14:textId="2EEEE9AF" w:rsidR="000729FB" w:rsidRDefault="001E360D" w:rsidP="001E360D">
      <w:pPr>
        <w:spacing w:after="0" w:line="276" w:lineRule="auto"/>
        <w:ind w:firstLine="720"/>
        <w:jc w:val="both"/>
      </w:pPr>
      <w:r>
        <w:t>[</w:t>
      </w:r>
      <w:r w:rsidR="00CB31B8">
        <w:t>3.3] </w:t>
      </w:r>
      <w:r>
        <w:t>Senāts norāda, ka a</w:t>
      </w:r>
      <w:r w:rsidR="000729FB">
        <w:t>r 2018. gada 27. septembra likumu</w:t>
      </w:r>
      <w:r w:rsidR="000462E4">
        <w:t xml:space="preserve"> „</w:t>
      </w:r>
      <w:r w:rsidR="000729FB">
        <w:t>Grozījumi Kriminālprocesa likumā” Kriminālprocesa likuma 52. panta ceturtās daļas 1. punkts izteikts jaunā redakcijā, no kuras izriet, ka kasācijas instances tiesas tiesnesis drīkst atkār</w:t>
      </w:r>
      <w:r w:rsidR="00882554">
        <w:t>t</w:t>
      </w:r>
      <w:r w:rsidR="000729FB">
        <w:t>oti piedalīties lietas iztiesāšanā, ja iepriekš jau izskatījis šo lietu kasācijas instances tiesā. Tieslietu ministr</w:t>
      </w:r>
      <w:r w:rsidR="00062A77">
        <w:t>s</w:t>
      </w:r>
      <w:r w:rsidR="000729FB">
        <w:t xml:space="preserve"> 2018. gada 10. septembra vēstulē Saeimas Juridiskajai komisijai, ierosinot grozījumus Kriminālprocesa likuma 52. panta ceturtās daļas 1. punktā, norādīj</w:t>
      </w:r>
      <w:r w:rsidR="00062A77">
        <w:t>is</w:t>
      </w:r>
      <w:r w:rsidR="000729FB">
        <w:t>, ka ar to netiks pārkāptas tiesības uz taisnīgu tiesu, jo kasācijas instances tiesa neskata lietu pēc būtības, bet tikai vērtē, vai ir noticis Krimināllikuma pārkāpums vai Kriminālprocesa likuma būtisks pārkāpums (</w:t>
      </w:r>
      <w:r w:rsidR="00882554">
        <w:rPr>
          <w:i/>
          <w:iCs/>
        </w:rPr>
        <w:t>Tieslietu ministra vēstule Nr. </w:t>
      </w:r>
      <w:hyperlink r:id="rId7" w:history="1">
        <w:r w:rsidR="00882554" w:rsidRPr="00062A77">
          <w:rPr>
            <w:rStyle w:val="Hyperlink"/>
            <w:i/>
            <w:iCs/>
          </w:rPr>
          <w:t>1-11/2357</w:t>
        </w:r>
      </w:hyperlink>
      <w:r w:rsidR="00882554">
        <w:rPr>
          <w:i/>
          <w:iCs/>
        </w:rPr>
        <w:t xml:space="preserve"> par priekšlikumiem „Grozījumi Kriminālprocesa likumā”</w:t>
      </w:r>
      <w:r w:rsidR="00062A77">
        <w:rPr>
          <w:i/>
          <w:iCs/>
        </w:rPr>
        <w:t xml:space="preserve"> (</w:t>
      </w:r>
      <w:proofErr w:type="spellStart"/>
      <w:r w:rsidR="00062A77">
        <w:rPr>
          <w:i/>
          <w:iCs/>
        </w:rPr>
        <w:t>reģ</w:t>
      </w:r>
      <w:proofErr w:type="spellEnd"/>
      <w:r w:rsidR="00062A77">
        <w:rPr>
          <w:i/>
          <w:iCs/>
        </w:rPr>
        <w:t>. Nr. 1118/Lp12) pirms trešā lasījuma</w:t>
      </w:r>
      <w:r w:rsidR="000729FB">
        <w:t>).</w:t>
      </w:r>
    </w:p>
    <w:p w14:paraId="06B8C159" w14:textId="165CD673" w:rsidR="001E360D" w:rsidRDefault="001E360D" w:rsidP="001E360D">
      <w:pPr>
        <w:spacing w:after="0" w:line="276" w:lineRule="auto"/>
        <w:ind w:firstLine="720"/>
        <w:jc w:val="both"/>
      </w:pPr>
      <w:r>
        <w:t>[3.4] Ievērojot minēto, Senāts atzīst, ka s</w:t>
      </w:r>
      <w:r w:rsidRPr="001E360D">
        <w:t>enatora iepriekšējā dalība lietas izskatīšanā kasācijas instances tiesā nav uzskatāma par šķērsli viņa atkārtotai dalībai tās pašas lietas izskatīšanā kasācijas instancē.</w:t>
      </w:r>
    </w:p>
    <w:p w14:paraId="64825A9C" w14:textId="40E4FE27" w:rsidR="000729FB" w:rsidRDefault="001E360D" w:rsidP="001E360D">
      <w:pPr>
        <w:spacing w:after="0" w:line="276" w:lineRule="auto"/>
        <w:ind w:firstLine="720"/>
        <w:jc w:val="both"/>
      </w:pPr>
      <w:r>
        <w:t>[3.5] </w:t>
      </w:r>
      <w:r w:rsidR="000729FB">
        <w:t>Arī Eiropas Cilvēktiesību tiesa ir atzinusi, ka tikai ar faktu, ka tas pats tiesnesis divreiz skata lietu kasācijas kārtībā, nepietiek, lai uzskatītu, ka pastāv pamatotas šaubas par tiesas neitralitāti no objektīvā skatupunkta (</w:t>
      </w:r>
      <w:r w:rsidR="000729FB" w:rsidRPr="000729FB">
        <w:rPr>
          <w:i/>
          <w:iCs/>
        </w:rPr>
        <w:t>Eiropas Cilvēktiesību tiesas 2014.</w:t>
      </w:r>
      <w:r w:rsidR="000729FB">
        <w:rPr>
          <w:i/>
          <w:iCs/>
        </w:rPr>
        <w:t> </w:t>
      </w:r>
      <w:r w:rsidR="000729FB" w:rsidRPr="000729FB">
        <w:rPr>
          <w:i/>
          <w:iCs/>
        </w:rPr>
        <w:t>gada 27.</w:t>
      </w:r>
      <w:r w:rsidR="000729FB">
        <w:rPr>
          <w:i/>
          <w:iCs/>
        </w:rPr>
        <w:t> </w:t>
      </w:r>
      <w:r w:rsidR="000729FB" w:rsidRPr="000729FB">
        <w:rPr>
          <w:i/>
          <w:iCs/>
        </w:rPr>
        <w:t>maija sprieduma lietā „</w:t>
      </w:r>
      <w:proofErr w:type="spellStart"/>
      <w:r w:rsidR="000729FB" w:rsidRPr="000729FB">
        <w:rPr>
          <w:i/>
          <w:iCs/>
        </w:rPr>
        <w:t>Marguš</w:t>
      </w:r>
      <w:proofErr w:type="spellEnd"/>
      <w:r w:rsidR="000729FB" w:rsidRPr="000729FB">
        <w:rPr>
          <w:i/>
          <w:iCs/>
        </w:rPr>
        <w:t xml:space="preserve"> v. </w:t>
      </w:r>
      <w:proofErr w:type="spellStart"/>
      <w:r w:rsidR="000729FB" w:rsidRPr="000729FB">
        <w:rPr>
          <w:i/>
          <w:iCs/>
        </w:rPr>
        <w:t>Croatia</w:t>
      </w:r>
      <w:proofErr w:type="spellEnd"/>
      <w:r w:rsidR="000729FB" w:rsidRPr="000729FB">
        <w:rPr>
          <w:i/>
          <w:iCs/>
        </w:rPr>
        <w:t>”, iesnieguma Nr.</w:t>
      </w:r>
      <w:r w:rsidR="000729FB">
        <w:rPr>
          <w:i/>
          <w:iCs/>
        </w:rPr>
        <w:t> </w:t>
      </w:r>
      <w:hyperlink r:id="rId8" w:history="1">
        <w:r w:rsidR="000729FB" w:rsidRPr="00554D92">
          <w:rPr>
            <w:rStyle w:val="Hyperlink"/>
            <w:i/>
            <w:iCs/>
          </w:rPr>
          <w:t>4455/10</w:t>
        </w:r>
      </w:hyperlink>
      <w:r w:rsidR="000729FB" w:rsidRPr="000729FB">
        <w:rPr>
          <w:i/>
          <w:iCs/>
        </w:rPr>
        <w:t>, 85.</w:t>
      </w:r>
      <w:r w:rsidR="000729FB">
        <w:rPr>
          <w:i/>
          <w:iCs/>
        </w:rPr>
        <w:t> </w:t>
      </w:r>
      <w:r w:rsidR="000729FB" w:rsidRPr="000729FB">
        <w:rPr>
          <w:i/>
          <w:iCs/>
        </w:rPr>
        <w:t>punkts, 2020.</w:t>
      </w:r>
      <w:r w:rsidR="000729FB">
        <w:rPr>
          <w:i/>
          <w:iCs/>
        </w:rPr>
        <w:t> </w:t>
      </w:r>
      <w:r w:rsidR="000729FB" w:rsidRPr="000729FB">
        <w:rPr>
          <w:i/>
          <w:iCs/>
        </w:rPr>
        <w:t>gada 8.</w:t>
      </w:r>
      <w:r w:rsidR="000729FB">
        <w:rPr>
          <w:i/>
          <w:iCs/>
        </w:rPr>
        <w:t> </w:t>
      </w:r>
      <w:r w:rsidR="000729FB" w:rsidRPr="000729FB">
        <w:rPr>
          <w:i/>
          <w:iCs/>
        </w:rPr>
        <w:t>oktobra sprieduma lietā ,,</w:t>
      </w:r>
      <w:proofErr w:type="spellStart"/>
      <w:r w:rsidR="000729FB" w:rsidRPr="000729FB">
        <w:rPr>
          <w:i/>
          <w:iCs/>
        </w:rPr>
        <w:t>Teslya</w:t>
      </w:r>
      <w:proofErr w:type="spellEnd"/>
      <w:r w:rsidR="000729FB" w:rsidRPr="000729FB">
        <w:rPr>
          <w:i/>
          <w:iCs/>
        </w:rPr>
        <w:t xml:space="preserve"> v. </w:t>
      </w:r>
      <w:proofErr w:type="spellStart"/>
      <w:r w:rsidR="000729FB" w:rsidRPr="000729FB">
        <w:rPr>
          <w:i/>
          <w:iCs/>
        </w:rPr>
        <w:t>Ukraine</w:t>
      </w:r>
      <w:proofErr w:type="spellEnd"/>
      <w:r w:rsidR="000729FB" w:rsidRPr="000729FB">
        <w:rPr>
          <w:i/>
          <w:iCs/>
        </w:rPr>
        <w:t>”, iesnieguma Nr.</w:t>
      </w:r>
      <w:r w:rsidR="000729FB">
        <w:rPr>
          <w:i/>
          <w:iCs/>
        </w:rPr>
        <w:t> </w:t>
      </w:r>
      <w:hyperlink r:id="rId9" w:anchor="{%22itemid%22:[%22001-204816%22]}" w:history="1">
        <w:r w:rsidR="000729FB" w:rsidRPr="00554D92">
          <w:rPr>
            <w:rStyle w:val="Hyperlink"/>
            <w:i/>
            <w:iCs/>
          </w:rPr>
          <w:t>52095/11</w:t>
        </w:r>
      </w:hyperlink>
      <w:r w:rsidR="000729FB" w:rsidRPr="000729FB">
        <w:rPr>
          <w:i/>
          <w:iCs/>
        </w:rPr>
        <w:t>, 44.</w:t>
      </w:r>
      <w:r w:rsidR="000729FB">
        <w:rPr>
          <w:i/>
          <w:iCs/>
        </w:rPr>
        <w:t> </w:t>
      </w:r>
      <w:r w:rsidR="000729FB" w:rsidRPr="000729FB">
        <w:rPr>
          <w:i/>
          <w:iCs/>
        </w:rPr>
        <w:t>punkts</w:t>
      </w:r>
      <w:r w:rsidR="000729FB">
        <w:t>).</w:t>
      </w:r>
    </w:p>
    <w:p w14:paraId="77DAEFBB" w14:textId="603BDEE1" w:rsidR="000729FB" w:rsidRDefault="001E360D" w:rsidP="00F0564E">
      <w:pPr>
        <w:spacing w:after="0" w:line="276" w:lineRule="auto"/>
        <w:ind w:firstLine="720"/>
        <w:jc w:val="both"/>
      </w:pPr>
      <w:r>
        <w:t>[3.6] </w:t>
      </w:r>
      <w:r w:rsidR="000729FB">
        <w:t>Tiesas (tiesnešu) objektivitātei ir divas izpausmes – pirmkārt, objektivitāte nozīmē, ka tiesnesis nedrīkst kaut vai netieši būt ieinteresēts lietas iznākumā (tostarp nedrīkst būt saistīts ar lietas dalībniekiem), otrkārt, objektivitāte nozīmē arī to, ka tiesnesis, izspriežot lietu, nedrīkst ietekmēties no personīgajiem aizspriedumiem, emocijām, sabiedrības vai jebkāda cita spiediena (</w:t>
      </w:r>
      <w:r w:rsidR="000729FB" w:rsidRPr="000729FB">
        <w:rPr>
          <w:i/>
          <w:iCs/>
        </w:rPr>
        <w:t xml:space="preserve">Latvijas Republikas Satversmes komentāri. VIII nodaļa. Cilvēka </w:t>
      </w:r>
      <w:proofErr w:type="spellStart"/>
      <w:r w:rsidR="000729FB" w:rsidRPr="000729FB">
        <w:rPr>
          <w:i/>
          <w:iCs/>
        </w:rPr>
        <w:t>pamattiesības</w:t>
      </w:r>
      <w:proofErr w:type="spellEnd"/>
      <w:r w:rsidR="000729FB" w:rsidRPr="000729FB">
        <w:rPr>
          <w:i/>
          <w:iCs/>
        </w:rPr>
        <w:t>. Autoru kolektīvs. Prof. R. Baloža zinātniskajā vadībā. Rīga: Latvijas Vēstnesis, 2011, 142.</w:t>
      </w:r>
      <w:r w:rsidR="000729FB">
        <w:rPr>
          <w:i/>
          <w:iCs/>
        </w:rPr>
        <w:t> </w:t>
      </w:r>
      <w:r w:rsidR="000729FB" w:rsidRPr="000729FB">
        <w:rPr>
          <w:i/>
          <w:iCs/>
        </w:rPr>
        <w:t>lapa</w:t>
      </w:r>
      <w:r w:rsidR="000729FB">
        <w:t>).</w:t>
      </w:r>
    </w:p>
    <w:p w14:paraId="252BC9B4" w14:textId="77777777" w:rsidR="000729FB" w:rsidRDefault="000729FB" w:rsidP="000729FB">
      <w:pPr>
        <w:spacing w:after="0" w:line="276" w:lineRule="auto"/>
        <w:ind w:firstLine="720"/>
        <w:jc w:val="both"/>
      </w:pPr>
      <w:r>
        <w:t xml:space="preserve">Tādējādi tiesām jābūt objektīvām gan subjektīvā, gan objektīvā aspektā. Pirmkārt, subjektīvais aspekts nozīmē, ka tiesai jābūt subjektīvi brīvai no personīgiem aizspriedumiem vai uzskata. Tiesneša personīgā objektivitāte ir </w:t>
      </w:r>
      <w:proofErr w:type="spellStart"/>
      <w:r>
        <w:t>prezumējama</w:t>
      </w:r>
      <w:proofErr w:type="spellEnd"/>
      <w:r>
        <w:t>, ja vien nav pierādījumi par pretējo. Otrkārt, objektīvā aspekta kontekstā jāizvērtē, vai, neatkarīgi no tiesneša personīgās rīcības, pastāv pārbaudāmi fakti, kas liek apsvērt viņa objektivitāti.</w:t>
      </w:r>
    </w:p>
    <w:p w14:paraId="5658D57B" w14:textId="05D8FD0A" w:rsidR="00387557" w:rsidRDefault="001E360D" w:rsidP="001E360D">
      <w:pPr>
        <w:spacing w:after="0" w:line="276" w:lineRule="auto"/>
        <w:ind w:firstLine="720"/>
        <w:jc w:val="both"/>
      </w:pPr>
      <w:r>
        <w:lastRenderedPageBreak/>
        <w:t>[3.</w:t>
      </w:r>
      <w:r w:rsidR="00367595">
        <w:t>7</w:t>
      </w:r>
      <w:r>
        <w:t>] </w:t>
      </w:r>
      <w:r w:rsidR="00002B8D">
        <w:t>A</w:t>
      </w:r>
      <w:r w:rsidR="000729FB">
        <w:t>izstāvis S. </w:t>
      </w:r>
      <w:proofErr w:type="spellStart"/>
      <w:r w:rsidR="000729FB">
        <w:t>Vārpiņš</w:t>
      </w:r>
      <w:proofErr w:type="spellEnd"/>
      <w:r w:rsidR="000729FB">
        <w:t xml:space="preserve"> pieteikumā nav norādījis uz interešu konflikta apstākļiem, kas radītu šaubas par senatora I. </w:t>
      </w:r>
      <w:proofErr w:type="spellStart"/>
      <w:r w:rsidR="000729FB">
        <w:t>Bičkoviča</w:t>
      </w:r>
      <w:proofErr w:type="spellEnd"/>
      <w:r w:rsidR="000729FB">
        <w:t xml:space="preserve"> ieinteresētību lietā ne objektīvā, ne subjektīvā aspektā. </w:t>
      </w:r>
    </w:p>
    <w:p w14:paraId="582EF4B6" w14:textId="3B3F6B19" w:rsidR="009F72EB" w:rsidRDefault="00387557" w:rsidP="001E360D">
      <w:pPr>
        <w:spacing w:after="0" w:line="276" w:lineRule="auto"/>
        <w:ind w:firstLine="720"/>
        <w:jc w:val="both"/>
      </w:pPr>
      <w:r>
        <w:t xml:space="preserve">Ievērojot minēto, </w:t>
      </w:r>
      <w:r w:rsidRPr="005B1976">
        <w:t>Senāts atzīst, ka nav konstatējams pamats senator</w:t>
      </w:r>
      <w:r>
        <w:t>a</w:t>
      </w:r>
      <w:r w:rsidRPr="005B1976">
        <w:t xml:space="preserve"> </w:t>
      </w:r>
      <w:r>
        <w:t>I. </w:t>
      </w:r>
      <w:proofErr w:type="spellStart"/>
      <w:r>
        <w:t>Bičkoviča</w:t>
      </w:r>
      <w:proofErr w:type="spellEnd"/>
      <w:r>
        <w:t xml:space="preserve"> </w:t>
      </w:r>
      <w:r w:rsidRPr="005B1976">
        <w:t>noraidīšanai.</w:t>
      </w:r>
    </w:p>
    <w:p w14:paraId="7B30C0C1" w14:textId="77777777" w:rsidR="00387557" w:rsidRDefault="00387557" w:rsidP="001E360D">
      <w:pPr>
        <w:spacing w:after="0" w:line="276" w:lineRule="auto"/>
        <w:ind w:firstLine="720"/>
        <w:jc w:val="both"/>
      </w:pPr>
    </w:p>
    <w:p w14:paraId="2C7AC3ED" w14:textId="77777777" w:rsidR="00DE3681" w:rsidRPr="005B1976" w:rsidRDefault="00DE3681" w:rsidP="00DE3681">
      <w:pPr>
        <w:spacing w:after="0" w:line="276" w:lineRule="auto"/>
        <w:jc w:val="center"/>
        <w:rPr>
          <w:b/>
        </w:rPr>
      </w:pPr>
      <w:r w:rsidRPr="005B1976">
        <w:rPr>
          <w:b/>
        </w:rPr>
        <w:t>Rezolutīvā daļa</w:t>
      </w:r>
    </w:p>
    <w:p w14:paraId="7CBB1696" w14:textId="77777777" w:rsidR="00DE3681" w:rsidRPr="005B1976" w:rsidRDefault="00DE3681" w:rsidP="00DE3681">
      <w:pPr>
        <w:spacing w:after="0" w:line="276" w:lineRule="auto"/>
        <w:ind w:firstLine="720"/>
        <w:jc w:val="both"/>
      </w:pPr>
    </w:p>
    <w:p w14:paraId="49CCBC76" w14:textId="525F2E9D" w:rsidR="00B9611E" w:rsidRPr="000462E4" w:rsidRDefault="00DE3681" w:rsidP="000462E4">
      <w:pPr>
        <w:spacing w:after="0" w:line="276" w:lineRule="auto"/>
        <w:ind w:firstLine="720"/>
        <w:jc w:val="both"/>
      </w:pPr>
      <w:r w:rsidRPr="005B1976">
        <w:t xml:space="preserve">Pamatojoties uz </w:t>
      </w:r>
      <w:r w:rsidR="00554D92" w:rsidRPr="00554D92">
        <w:t>Kriminālprocesa likuma 52.</w:t>
      </w:r>
      <w:r w:rsidR="00554D92">
        <w:t> </w:t>
      </w:r>
      <w:r w:rsidR="00554D92" w:rsidRPr="00554D92">
        <w:t>panta ceturtās daļas 1.</w:t>
      </w:r>
      <w:r w:rsidR="00265524">
        <w:t> </w:t>
      </w:r>
      <w:r w:rsidR="00554D92" w:rsidRPr="00554D92">
        <w:t>punktu</w:t>
      </w:r>
      <w:r w:rsidR="00B9611E">
        <w:t xml:space="preserve"> un 56. pantu,</w:t>
      </w:r>
      <w:r w:rsidRPr="005B1976">
        <w:t xml:space="preserve"> </w:t>
      </w:r>
      <w:r w:rsidR="00C139D2">
        <w:t>Senāts</w:t>
      </w:r>
    </w:p>
    <w:p w14:paraId="5CD7F472" w14:textId="77777777" w:rsidR="00B9611E" w:rsidRPr="005B1976" w:rsidRDefault="00B9611E" w:rsidP="00DE3681">
      <w:pPr>
        <w:pStyle w:val="ListParagraph"/>
        <w:spacing w:after="0"/>
        <w:ind w:left="62" w:firstLine="658"/>
        <w:jc w:val="both"/>
        <w:rPr>
          <w:sz w:val="20"/>
          <w:szCs w:val="20"/>
        </w:rPr>
      </w:pPr>
    </w:p>
    <w:p w14:paraId="3148C20A" w14:textId="59DDE888" w:rsidR="00DE3681" w:rsidRPr="005B1976" w:rsidRDefault="00DE3681" w:rsidP="00DE3681">
      <w:pPr>
        <w:pStyle w:val="ListParagraph"/>
        <w:spacing w:after="0"/>
        <w:ind w:left="0"/>
        <w:jc w:val="center"/>
        <w:rPr>
          <w:b/>
        </w:rPr>
      </w:pPr>
      <w:r w:rsidRPr="005B1976">
        <w:rPr>
          <w:b/>
        </w:rPr>
        <w:t>nolēma</w:t>
      </w:r>
    </w:p>
    <w:p w14:paraId="4F48C815" w14:textId="77777777" w:rsidR="00DE3681" w:rsidRPr="005B1976" w:rsidRDefault="00DE3681" w:rsidP="00DE3681">
      <w:pPr>
        <w:pStyle w:val="ListParagraph"/>
        <w:spacing w:after="0"/>
        <w:ind w:left="420"/>
        <w:jc w:val="center"/>
        <w:rPr>
          <w:b/>
          <w:sz w:val="20"/>
          <w:szCs w:val="20"/>
        </w:rPr>
      </w:pPr>
    </w:p>
    <w:p w14:paraId="3630AE4A" w14:textId="263697BC" w:rsidR="00DE3681" w:rsidRPr="005B1976" w:rsidRDefault="00DE3681" w:rsidP="00DE3681">
      <w:pPr>
        <w:spacing w:after="0"/>
        <w:ind w:firstLine="720"/>
      </w:pPr>
      <w:r w:rsidRPr="005B1976">
        <w:t>atteikt</w:t>
      </w:r>
      <w:r w:rsidR="00367595">
        <w:t xml:space="preserve"> </w:t>
      </w:r>
      <w:r w:rsidRPr="005B1976">
        <w:t xml:space="preserve">noraidīt senatoru </w:t>
      </w:r>
      <w:r w:rsidR="00FF0EBB">
        <w:t xml:space="preserve">Ivaru </w:t>
      </w:r>
      <w:proofErr w:type="spellStart"/>
      <w:r w:rsidR="00FF0EBB">
        <w:t>Bičkoviču</w:t>
      </w:r>
      <w:proofErr w:type="spellEnd"/>
      <w:r w:rsidRPr="005B1976">
        <w:t xml:space="preserve">. </w:t>
      </w:r>
    </w:p>
    <w:p w14:paraId="5E2547BF" w14:textId="77777777" w:rsidR="00C139D2" w:rsidRDefault="00C139D2" w:rsidP="00DE3681">
      <w:pPr>
        <w:spacing w:after="0"/>
        <w:ind w:firstLine="720"/>
      </w:pPr>
    </w:p>
    <w:p w14:paraId="049B0C80" w14:textId="5E57820E" w:rsidR="00DE3681" w:rsidRPr="005B1976" w:rsidRDefault="00DE3681" w:rsidP="00DE3681">
      <w:pPr>
        <w:spacing w:after="0"/>
        <w:ind w:firstLine="720"/>
      </w:pPr>
      <w:r w:rsidRPr="005B1976">
        <w:t>Lēmums nav pārsūdzams.</w:t>
      </w:r>
    </w:p>
    <w:p w14:paraId="4B3B4624" w14:textId="0A6124F2" w:rsidR="00DE3681" w:rsidRPr="005B1976" w:rsidRDefault="00DE3681" w:rsidP="00C139D2">
      <w:pPr>
        <w:tabs>
          <w:tab w:val="center" w:pos="4967"/>
          <w:tab w:val="left" w:pos="7830"/>
        </w:tabs>
        <w:spacing w:after="0" w:line="240" w:lineRule="auto"/>
        <w:ind w:left="720"/>
        <w:rPr>
          <w:rFonts w:eastAsia="Calibri" w:cs="Times New Roman"/>
          <w:szCs w:val="24"/>
        </w:rPr>
      </w:pPr>
    </w:p>
    <w:p w14:paraId="2F5CBC2E" w14:textId="77777777" w:rsidR="00C139D2" w:rsidRDefault="00C139D2" w:rsidP="00C139D2">
      <w:pPr>
        <w:spacing w:after="0" w:line="240" w:lineRule="auto"/>
        <w:rPr>
          <w:rFonts w:eastAsia="Calibri" w:cs="Times New Roman"/>
          <w:szCs w:val="24"/>
        </w:rPr>
      </w:pPr>
    </w:p>
    <w:p w14:paraId="4A03B60F" w14:textId="77777777" w:rsidR="00C139D2" w:rsidRDefault="00C139D2" w:rsidP="00C139D2">
      <w:pPr>
        <w:spacing w:after="0" w:line="240" w:lineRule="auto"/>
        <w:rPr>
          <w:rFonts w:eastAsia="Calibri" w:cs="Times New Roman"/>
          <w:szCs w:val="24"/>
        </w:rPr>
      </w:pPr>
    </w:p>
    <w:p w14:paraId="46445989" w14:textId="77777777" w:rsidR="00C139D2" w:rsidRDefault="00C139D2" w:rsidP="00C139D2">
      <w:pPr>
        <w:spacing w:after="0" w:line="240" w:lineRule="auto"/>
        <w:rPr>
          <w:rFonts w:eastAsia="Calibri" w:cs="Times New Roman"/>
          <w:szCs w:val="24"/>
        </w:rPr>
      </w:pPr>
    </w:p>
    <w:p w14:paraId="3BFEC365" w14:textId="6486F4FA" w:rsidR="00DE3681" w:rsidRPr="005B1976" w:rsidRDefault="00DE3681" w:rsidP="00FF0EBB">
      <w:pPr>
        <w:spacing w:after="0" w:line="240" w:lineRule="auto"/>
        <w:rPr>
          <w:rFonts w:eastAsia="Calibri" w:cs="Times New Roman"/>
          <w:szCs w:val="24"/>
        </w:rPr>
      </w:pPr>
    </w:p>
    <w:sectPr w:rsidR="00DE3681" w:rsidRPr="005B1976" w:rsidSect="007B11BB">
      <w:footerReference w:type="default" r:id="rId10"/>
      <w:pgSz w:w="11906" w:h="16838"/>
      <w:pgMar w:top="113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39B3" w14:textId="77777777" w:rsidR="00EA39A9" w:rsidRDefault="00EA39A9">
      <w:pPr>
        <w:spacing w:after="0" w:line="240" w:lineRule="auto"/>
      </w:pPr>
      <w:r>
        <w:separator/>
      </w:r>
    </w:p>
  </w:endnote>
  <w:endnote w:type="continuationSeparator" w:id="0">
    <w:p w14:paraId="1AEC5EA6" w14:textId="77777777" w:rsidR="00EA39A9" w:rsidRDefault="00EA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49733"/>
      <w:docPartObj>
        <w:docPartGallery w:val="Page Numbers (Bottom of Page)"/>
        <w:docPartUnique/>
      </w:docPartObj>
    </w:sdtPr>
    <w:sdtEndPr>
      <w:rPr>
        <w:sz w:val="20"/>
        <w:szCs w:val="20"/>
      </w:rPr>
    </w:sdtEndPr>
    <w:sdtContent>
      <w:sdt>
        <w:sdtPr>
          <w:id w:val="-1577820094"/>
          <w:docPartObj>
            <w:docPartGallery w:val="Page Numbers (Top of Page)"/>
            <w:docPartUnique/>
          </w:docPartObj>
        </w:sdtPr>
        <w:sdtEndPr>
          <w:rPr>
            <w:sz w:val="20"/>
            <w:szCs w:val="20"/>
          </w:rPr>
        </w:sdtEndPr>
        <w:sdtContent>
          <w:p w14:paraId="6C15466E" w14:textId="77777777" w:rsidR="007B11BB" w:rsidRPr="00257D97" w:rsidRDefault="00893D58" w:rsidP="00EE6DDE">
            <w:pPr>
              <w:pStyle w:val="Footer"/>
              <w:jc w:val="center"/>
              <w:rPr>
                <w:sz w:val="20"/>
                <w:szCs w:val="20"/>
              </w:rPr>
            </w:pPr>
            <w:r w:rsidRPr="00257D97">
              <w:rPr>
                <w:bCs/>
                <w:sz w:val="20"/>
                <w:szCs w:val="20"/>
              </w:rPr>
              <w:fldChar w:fldCharType="begin"/>
            </w:r>
            <w:r w:rsidRPr="00257D97">
              <w:rPr>
                <w:bCs/>
                <w:sz w:val="20"/>
                <w:szCs w:val="20"/>
              </w:rPr>
              <w:instrText xml:space="preserve"> PAGE </w:instrText>
            </w:r>
            <w:r w:rsidRPr="00257D97">
              <w:rPr>
                <w:bCs/>
                <w:sz w:val="20"/>
                <w:szCs w:val="20"/>
              </w:rPr>
              <w:fldChar w:fldCharType="separate"/>
            </w:r>
            <w:r w:rsidRPr="00257D97">
              <w:rPr>
                <w:bCs/>
                <w:noProof/>
                <w:sz w:val="20"/>
                <w:szCs w:val="20"/>
              </w:rPr>
              <w:t>2</w:t>
            </w:r>
            <w:r w:rsidRPr="00257D97">
              <w:rPr>
                <w:bCs/>
                <w:sz w:val="20"/>
                <w:szCs w:val="20"/>
              </w:rPr>
              <w:fldChar w:fldCharType="end"/>
            </w:r>
            <w:r w:rsidRPr="00257D97">
              <w:rPr>
                <w:sz w:val="20"/>
                <w:szCs w:val="20"/>
              </w:rPr>
              <w:t xml:space="preserve"> no </w:t>
            </w:r>
            <w:r w:rsidRPr="00257D97">
              <w:rPr>
                <w:bCs/>
                <w:sz w:val="20"/>
                <w:szCs w:val="20"/>
              </w:rPr>
              <w:fldChar w:fldCharType="begin"/>
            </w:r>
            <w:r w:rsidRPr="00257D97">
              <w:rPr>
                <w:bCs/>
                <w:sz w:val="20"/>
                <w:szCs w:val="20"/>
              </w:rPr>
              <w:instrText xml:space="preserve"> NUMPAGES  </w:instrText>
            </w:r>
            <w:r w:rsidRPr="00257D97">
              <w:rPr>
                <w:bCs/>
                <w:sz w:val="20"/>
                <w:szCs w:val="20"/>
              </w:rPr>
              <w:fldChar w:fldCharType="separate"/>
            </w:r>
            <w:r w:rsidRPr="00257D97">
              <w:rPr>
                <w:bCs/>
                <w:noProof/>
                <w:sz w:val="20"/>
                <w:szCs w:val="20"/>
              </w:rPr>
              <w:t>2</w:t>
            </w:r>
            <w:r w:rsidRPr="00257D97">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53DE" w14:textId="77777777" w:rsidR="00EA39A9" w:rsidRDefault="00EA39A9">
      <w:pPr>
        <w:spacing w:after="0" w:line="240" w:lineRule="auto"/>
      </w:pPr>
      <w:r>
        <w:separator/>
      </w:r>
    </w:p>
  </w:footnote>
  <w:footnote w:type="continuationSeparator" w:id="0">
    <w:p w14:paraId="7929CBA8" w14:textId="77777777" w:rsidR="00EA39A9" w:rsidRDefault="00EA3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81"/>
    <w:rsid w:val="00002B8D"/>
    <w:rsid w:val="00031DA0"/>
    <w:rsid w:val="000462E4"/>
    <w:rsid w:val="00047D29"/>
    <w:rsid w:val="00062A77"/>
    <w:rsid w:val="000729FB"/>
    <w:rsid w:val="000D5B02"/>
    <w:rsid w:val="001035FB"/>
    <w:rsid w:val="00150D0F"/>
    <w:rsid w:val="00164337"/>
    <w:rsid w:val="00181D5F"/>
    <w:rsid w:val="001E360D"/>
    <w:rsid w:val="00227EC5"/>
    <w:rsid w:val="00257D97"/>
    <w:rsid w:val="002605E8"/>
    <w:rsid w:val="00265524"/>
    <w:rsid w:val="00273643"/>
    <w:rsid w:val="002B59F8"/>
    <w:rsid w:val="002C7CEC"/>
    <w:rsid w:val="003560B6"/>
    <w:rsid w:val="00367595"/>
    <w:rsid w:val="00387557"/>
    <w:rsid w:val="00482B14"/>
    <w:rsid w:val="004F20E9"/>
    <w:rsid w:val="005474D6"/>
    <w:rsid w:val="00554D92"/>
    <w:rsid w:val="005E07FF"/>
    <w:rsid w:val="006303CF"/>
    <w:rsid w:val="006D27FF"/>
    <w:rsid w:val="006E7352"/>
    <w:rsid w:val="00734997"/>
    <w:rsid w:val="007B11BB"/>
    <w:rsid w:val="007D0AEC"/>
    <w:rsid w:val="0081162F"/>
    <w:rsid w:val="0085386D"/>
    <w:rsid w:val="00861A64"/>
    <w:rsid w:val="00882554"/>
    <w:rsid w:val="00893D58"/>
    <w:rsid w:val="008D0648"/>
    <w:rsid w:val="008E006F"/>
    <w:rsid w:val="0094226D"/>
    <w:rsid w:val="00957B57"/>
    <w:rsid w:val="009628A8"/>
    <w:rsid w:val="009B28C1"/>
    <w:rsid w:val="009C5CA5"/>
    <w:rsid w:val="009D13EF"/>
    <w:rsid w:val="009F72EB"/>
    <w:rsid w:val="00AA33D6"/>
    <w:rsid w:val="00B0522C"/>
    <w:rsid w:val="00B5681C"/>
    <w:rsid w:val="00B9611E"/>
    <w:rsid w:val="00BA40CC"/>
    <w:rsid w:val="00C139D2"/>
    <w:rsid w:val="00C36EBA"/>
    <w:rsid w:val="00C8546C"/>
    <w:rsid w:val="00CA7043"/>
    <w:rsid w:val="00CB31B8"/>
    <w:rsid w:val="00CE3FD7"/>
    <w:rsid w:val="00D64534"/>
    <w:rsid w:val="00DA0335"/>
    <w:rsid w:val="00DD3B73"/>
    <w:rsid w:val="00DE3681"/>
    <w:rsid w:val="00E60A02"/>
    <w:rsid w:val="00E81C6C"/>
    <w:rsid w:val="00EA39A9"/>
    <w:rsid w:val="00F0564E"/>
    <w:rsid w:val="00FF0E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7E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81"/>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681"/>
    <w:pPr>
      <w:ind w:left="720"/>
      <w:contextualSpacing/>
    </w:pPr>
  </w:style>
  <w:style w:type="paragraph" w:styleId="Footer">
    <w:name w:val="footer"/>
    <w:basedOn w:val="Normal"/>
    <w:link w:val="FooterChar"/>
    <w:uiPriority w:val="99"/>
    <w:unhideWhenUsed/>
    <w:rsid w:val="00DE36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3681"/>
    <w:rPr>
      <w:kern w:val="0"/>
      <w14:ligatures w14:val="none"/>
    </w:rPr>
  </w:style>
  <w:style w:type="paragraph" w:styleId="Header">
    <w:name w:val="header"/>
    <w:basedOn w:val="Normal"/>
    <w:link w:val="HeaderChar"/>
    <w:uiPriority w:val="99"/>
    <w:unhideWhenUsed/>
    <w:rsid w:val="00257D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7D97"/>
    <w:rPr>
      <w:kern w:val="0"/>
      <w14:ligatures w14:val="none"/>
    </w:rPr>
  </w:style>
  <w:style w:type="paragraph" w:styleId="Revision">
    <w:name w:val="Revision"/>
    <w:hidden/>
    <w:uiPriority w:val="99"/>
    <w:semiHidden/>
    <w:rsid w:val="00893D58"/>
    <w:pPr>
      <w:spacing w:after="0" w:line="240" w:lineRule="auto"/>
    </w:pPr>
    <w:rPr>
      <w:kern w:val="0"/>
      <w14:ligatures w14:val="none"/>
    </w:rPr>
  </w:style>
  <w:style w:type="character" w:styleId="CommentReference">
    <w:name w:val="annotation reference"/>
    <w:basedOn w:val="DefaultParagraphFont"/>
    <w:uiPriority w:val="99"/>
    <w:semiHidden/>
    <w:unhideWhenUsed/>
    <w:rsid w:val="00893D58"/>
    <w:rPr>
      <w:sz w:val="16"/>
      <w:szCs w:val="16"/>
    </w:rPr>
  </w:style>
  <w:style w:type="paragraph" w:styleId="CommentText">
    <w:name w:val="annotation text"/>
    <w:basedOn w:val="Normal"/>
    <w:link w:val="CommentTextChar"/>
    <w:uiPriority w:val="99"/>
    <w:semiHidden/>
    <w:unhideWhenUsed/>
    <w:rsid w:val="00893D58"/>
    <w:pPr>
      <w:spacing w:line="240" w:lineRule="auto"/>
    </w:pPr>
    <w:rPr>
      <w:sz w:val="20"/>
      <w:szCs w:val="20"/>
    </w:rPr>
  </w:style>
  <w:style w:type="character" w:customStyle="1" w:styleId="CommentTextChar">
    <w:name w:val="Comment Text Char"/>
    <w:basedOn w:val="DefaultParagraphFont"/>
    <w:link w:val="CommentText"/>
    <w:uiPriority w:val="99"/>
    <w:semiHidden/>
    <w:rsid w:val="00893D5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D58"/>
    <w:rPr>
      <w:b/>
      <w:bCs/>
    </w:rPr>
  </w:style>
  <w:style w:type="character" w:customStyle="1" w:styleId="CommentSubjectChar">
    <w:name w:val="Comment Subject Char"/>
    <w:basedOn w:val="CommentTextChar"/>
    <w:link w:val="CommentSubject"/>
    <w:uiPriority w:val="99"/>
    <w:semiHidden/>
    <w:rsid w:val="00893D58"/>
    <w:rPr>
      <w:b/>
      <w:bCs/>
      <w:kern w:val="0"/>
      <w:sz w:val="20"/>
      <w:szCs w:val="20"/>
      <w14:ligatures w14:val="none"/>
    </w:rPr>
  </w:style>
  <w:style w:type="table" w:styleId="TableGrid">
    <w:name w:val="Table Grid"/>
    <w:basedOn w:val="TableNormal"/>
    <w:rsid w:val="00FF0EBB"/>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0E9"/>
    <w:rPr>
      <w:color w:val="0563C1" w:themeColor="hyperlink"/>
      <w:u w:val="single"/>
    </w:rPr>
  </w:style>
  <w:style w:type="character" w:styleId="UnresolvedMention">
    <w:name w:val="Unresolved Mention"/>
    <w:basedOn w:val="DefaultParagraphFont"/>
    <w:uiPriority w:val="99"/>
    <w:semiHidden/>
    <w:unhideWhenUsed/>
    <w:rsid w:val="004F20E9"/>
    <w:rPr>
      <w:color w:val="605E5C"/>
      <w:shd w:val="clear" w:color="auto" w:fill="E1DFDD"/>
    </w:rPr>
  </w:style>
  <w:style w:type="character" w:styleId="FollowedHyperlink">
    <w:name w:val="FollowedHyperlink"/>
    <w:basedOn w:val="DefaultParagraphFont"/>
    <w:uiPriority w:val="99"/>
    <w:semiHidden/>
    <w:unhideWhenUsed/>
    <w:rsid w:val="004F2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fre?i=001-144276" TargetMode="External"/><Relationship Id="rId3" Type="http://schemas.openxmlformats.org/officeDocument/2006/relationships/settings" Target="settings.xml"/><Relationship Id="rId7" Type="http://schemas.openxmlformats.org/officeDocument/2006/relationships/hyperlink" Target="https://titania.saeima.lv/LIVS12/SaeimaLIVS12.nsf/0/91D12047F6BE4698C225830500213E14?Open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65CCA-4B85-46C7-8B57-2A90CD17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4164</Words>
  <Characters>2374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2025-05-26T02:33:00Z</dcterms:created>
  <dcterms:modified xsi:type="dcterms:W3CDTF">2025-05-26T05:57:00Z</dcterms:modified>
</cp:coreProperties>
</file>