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6929" w14:textId="77777777" w:rsidR="003311B8" w:rsidRPr="003311B8" w:rsidRDefault="003311B8" w:rsidP="00773543">
      <w:pPr>
        <w:spacing w:line="276" w:lineRule="auto"/>
        <w:jc w:val="both"/>
        <w:rPr>
          <w:b/>
          <w:bCs/>
        </w:rPr>
      </w:pPr>
      <w:r w:rsidRPr="003311B8">
        <w:rPr>
          <w:b/>
          <w:bCs/>
        </w:rPr>
        <w:t>Aizstāvības kvalitātes vērtējums</w:t>
      </w:r>
    </w:p>
    <w:p w14:paraId="78BA8254" w14:textId="190D2FC7" w:rsidR="00BC13E5" w:rsidRDefault="003311B8" w:rsidP="00773543">
      <w:pPr>
        <w:spacing w:line="276" w:lineRule="auto"/>
        <w:jc w:val="both"/>
      </w:pPr>
      <w:r w:rsidRPr="0082256B">
        <w:t>Aizstāvja un apsūdzētā atšķirīg</w:t>
      </w:r>
      <w:r>
        <w:t>ā</w:t>
      </w:r>
      <w:r w:rsidRPr="0082256B">
        <w:t xml:space="preserve"> izpratne par aizstāvības taktiku pati par sevi nenozīmē nekvalitatīvu aizstāvību.</w:t>
      </w:r>
    </w:p>
    <w:p w14:paraId="2C1B7705" w14:textId="77777777" w:rsidR="003311B8" w:rsidRDefault="003311B8" w:rsidP="00773543">
      <w:pPr>
        <w:spacing w:line="276" w:lineRule="auto"/>
        <w:jc w:val="both"/>
      </w:pPr>
    </w:p>
    <w:p w14:paraId="37AF6FCE" w14:textId="77777777" w:rsidR="003311B8" w:rsidRPr="003311B8" w:rsidRDefault="003311B8" w:rsidP="00773543">
      <w:pPr>
        <w:spacing w:line="276" w:lineRule="auto"/>
        <w:jc w:val="both"/>
        <w:rPr>
          <w:b/>
          <w:bCs/>
        </w:rPr>
      </w:pPr>
      <w:r w:rsidRPr="003311B8">
        <w:rPr>
          <w:b/>
          <w:bCs/>
        </w:rPr>
        <w:t xml:space="preserve">Personas </w:t>
      </w:r>
      <w:proofErr w:type="spellStart"/>
      <w:r w:rsidRPr="003311B8">
        <w:rPr>
          <w:b/>
          <w:bCs/>
        </w:rPr>
        <w:t>audiokontroles</w:t>
      </w:r>
      <w:proofErr w:type="spellEnd"/>
      <w:r w:rsidRPr="003311B8">
        <w:rPr>
          <w:b/>
          <w:bCs/>
        </w:rPr>
        <w:t xml:space="preserve"> laikā iegūto ziņu izmantošana pierādīšanā</w:t>
      </w:r>
    </w:p>
    <w:p w14:paraId="06365820" w14:textId="77777777" w:rsidR="003311B8" w:rsidRPr="0082256B" w:rsidRDefault="003311B8" w:rsidP="00773543">
      <w:pPr>
        <w:spacing w:line="276" w:lineRule="auto"/>
        <w:jc w:val="both"/>
        <w:rPr>
          <w:b/>
          <w:bCs/>
        </w:rPr>
      </w:pPr>
      <w:r w:rsidRPr="0082256B">
        <w:t xml:space="preserve">Viens no personas </w:t>
      </w:r>
      <w:proofErr w:type="spellStart"/>
      <w:r w:rsidRPr="0082256B">
        <w:t>audiokontroles</w:t>
      </w:r>
      <w:proofErr w:type="spellEnd"/>
      <w:r w:rsidRPr="0082256B">
        <w:t xml:space="preserve"> (Kriminālprocesa likuma 222.</w:t>
      </w:r>
      <w:r>
        <w:t> </w:t>
      </w:r>
      <w:r w:rsidRPr="0082256B">
        <w:t>pants) veikšanas leģitīmajiem mērķiem ir iegūt ziņas par pierādāmajos apstākļos ietilpstošajiem faktiem, neattaisnoti neiejaucoties personas dzīvē</w:t>
      </w:r>
      <w:r>
        <w:t>.</w:t>
      </w:r>
    </w:p>
    <w:p w14:paraId="2346B914" w14:textId="6DDF797F" w:rsidR="003311B8" w:rsidRDefault="003311B8" w:rsidP="00773543">
      <w:pPr>
        <w:spacing w:line="276" w:lineRule="auto"/>
        <w:jc w:val="both"/>
      </w:pPr>
      <w:r w:rsidRPr="0082256B">
        <w:t xml:space="preserve">Tiesas pēckontroli, tajā skaitā ziņu par faktiem </w:t>
      </w:r>
      <w:proofErr w:type="spellStart"/>
      <w:r w:rsidRPr="0082256B">
        <w:t>attiecināmības</w:t>
      </w:r>
      <w:proofErr w:type="spellEnd"/>
      <w:r w:rsidRPr="0082256B">
        <w:t>, pieļaujamības, ticamības un pierādījumu pietiekamības novērtēšanu, veic tiesa, kas iztiesā krimināllietu pēc būtības.</w:t>
      </w:r>
    </w:p>
    <w:p w14:paraId="42E8C904" w14:textId="77777777" w:rsidR="003311B8" w:rsidRDefault="003311B8" w:rsidP="00773543">
      <w:pPr>
        <w:spacing w:line="276" w:lineRule="auto"/>
        <w:jc w:val="both"/>
      </w:pPr>
    </w:p>
    <w:p w14:paraId="261B0135" w14:textId="77777777" w:rsidR="003311B8" w:rsidRPr="003311B8" w:rsidRDefault="003311B8" w:rsidP="00773543">
      <w:pPr>
        <w:spacing w:line="276" w:lineRule="auto"/>
        <w:jc w:val="both"/>
        <w:rPr>
          <w:lang w:eastAsia="lv-LV"/>
        </w:rPr>
      </w:pPr>
      <w:r w:rsidRPr="003311B8">
        <w:rPr>
          <w:b/>
          <w:bCs/>
        </w:rPr>
        <w:t>Lēmumā par krimināllietas nodošanu tiesai norādītu rakstveida pierādījumu un dokumentu izmantošana tiesas sprieduma pamatošanā</w:t>
      </w:r>
      <w:r w:rsidRPr="003311B8">
        <w:rPr>
          <w:lang w:eastAsia="lv-LV"/>
        </w:rPr>
        <w:t xml:space="preserve"> </w:t>
      </w:r>
    </w:p>
    <w:p w14:paraId="0DD7F699" w14:textId="77777777" w:rsidR="003311B8" w:rsidRPr="0082256B" w:rsidRDefault="003311B8" w:rsidP="00773543">
      <w:pPr>
        <w:spacing w:line="276" w:lineRule="auto"/>
        <w:jc w:val="both"/>
        <w:rPr>
          <w:i/>
          <w:iCs/>
        </w:rPr>
      </w:pPr>
      <w:r w:rsidRPr="0082256B">
        <w:t xml:space="preserve">Tiesa spriedumu var pamatot ar rakstveida pierādījumiem un dokumentiem, kuri norādīti lēmumā par krimināllietas nodošanu tiesai, pat ja </w:t>
      </w:r>
      <w:r w:rsidRPr="00244B7C">
        <w:t>neviena no procesā iesaistītajām personām nav</w:t>
      </w:r>
      <w:r w:rsidRPr="0082256B">
        <w:t xml:space="preserve"> pietei</w:t>
      </w:r>
      <w:r>
        <w:t>kusi</w:t>
      </w:r>
      <w:r w:rsidRPr="0082256B">
        <w:t xml:space="preserve"> lūgumu par šo pierādījumu nolasīšanu vai atskaņošanu</w:t>
      </w:r>
      <w:r w:rsidRPr="0082256B">
        <w:rPr>
          <w:i/>
          <w:iCs/>
        </w:rPr>
        <w:t>.</w:t>
      </w:r>
    </w:p>
    <w:p w14:paraId="475D87C4" w14:textId="311C158A" w:rsidR="003311B8" w:rsidRPr="003258EF" w:rsidRDefault="003311B8" w:rsidP="00773543">
      <w:pPr>
        <w:spacing w:line="276" w:lineRule="auto"/>
        <w:jc w:val="both"/>
        <w:rPr>
          <w:lang w:eastAsia="lv-LV"/>
        </w:rPr>
      </w:pPr>
      <w:r w:rsidRPr="0082256B">
        <w:t>Rakstveida pierādījumu nolasīšana nav priekšnoteikums, lai šos pierādījumus varētu izmantot, izspriežot lietu un pamatojot spriedumu.</w:t>
      </w:r>
    </w:p>
    <w:p w14:paraId="524677EF" w14:textId="77777777" w:rsidR="003311B8" w:rsidRDefault="003311B8" w:rsidP="003311B8">
      <w:pPr>
        <w:spacing w:line="276" w:lineRule="auto"/>
        <w:jc w:val="center"/>
        <w:rPr>
          <w:b/>
        </w:rPr>
      </w:pPr>
    </w:p>
    <w:p w14:paraId="30EF74F0" w14:textId="18F38BCA" w:rsidR="00447EE6" w:rsidRPr="008B4C27" w:rsidRDefault="00447EE6" w:rsidP="003311B8">
      <w:pPr>
        <w:spacing w:line="276" w:lineRule="auto"/>
        <w:jc w:val="center"/>
        <w:rPr>
          <w:b/>
        </w:rPr>
      </w:pPr>
      <w:r w:rsidRPr="008B4C27">
        <w:rPr>
          <w:b/>
        </w:rPr>
        <w:t>Latvijas Republikas Senāt</w:t>
      </w:r>
      <w:r w:rsidR="008B4C27">
        <w:rPr>
          <w:b/>
        </w:rPr>
        <w:t>a</w:t>
      </w:r>
    </w:p>
    <w:p w14:paraId="2EE16FAC" w14:textId="1650B489" w:rsidR="008B4C27" w:rsidRPr="008B4C27" w:rsidRDefault="008B4C27" w:rsidP="003311B8">
      <w:pPr>
        <w:spacing w:line="276" w:lineRule="auto"/>
        <w:jc w:val="center"/>
        <w:rPr>
          <w:b/>
          <w:lang w:eastAsia="lv-LV"/>
        </w:rPr>
      </w:pPr>
      <w:r w:rsidRPr="008B4C27">
        <w:rPr>
          <w:b/>
          <w:lang w:eastAsia="lv-LV"/>
        </w:rPr>
        <w:t>Krimināllietu departament</w:t>
      </w:r>
      <w:r>
        <w:rPr>
          <w:b/>
          <w:lang w:eastAsia="lv-LV"/>
        </w:rPr>
        <w:t>a</w:t>
      </w:r>
    </w:p>
    <w:p w14:paraId="3CF1BF1D" w14:textId="69C6F1D6" w:rsidR="008B4C27" w:rsidRPr="008B4C27" w:rsidRDefault="008B4C27" w:rsidP="003311B8">
      <w:pPr>
        <w:spacing w:line="276" w:lineRule="auto"/>
        <w:jc w:val="center"/>
        <w:rPr>
          <w:b/>
        </w:rPr>
      </w:pPr>
      <w:r w:rsidRPr="008B4C27">
        <w:rPr>
          <w:b/>
        </w:rPr>
        <w:t>2025. gada 16. aprī</w:t>
      </w:r>
      <w:r>
        <w:rPr>
          <w:b/>
        </w:rPr>
        <w:t>ļa</w:t>
      </w:r>
    </w:p>
    <w:p w14:paraId="6D65DEB2" w14:textId="31AC6028" w:rsidR="00447EE6" w:rsidRPr="008B4C27" w:rsidRDefault="006D5C62" w:rsidP="003311B8">
      <w:pPr>
        <w:spacing w:line="276" w:lineRule="auto"/>
        <w:jc w:val="center"/>
        <w:rPr>
          <w:b/>
        </w:rPr>
      </w:pPr>
      <w:r w:rsidRPr="008B4C27">
        <w:rPr>
          <w:b/>
        </w:rPr>
        <w:t>LĒMUMS</w:t>
      </w:r>
    </w:p>
    <w:p w14:paraId="7E22FF9B" w14:textId="77777777" w:rsidR="008B4C27" w:rsidRPr="008B4C27" w:rsidRDefault="008B4C27" w:rsidP="003311B8">
      <w:pPr>
        <w:spacing w:line="276" w:lineRule="auto"/>
        <w:jc w:val="center"/>
        <w:rPr>
          <w:b/>
          <w:lang w:eastAsia="lv-LV"/>
        </w:rPr>
      </w:pPr>
      <w:r w:rsidRPr="008B4C27">
        <w:rPr>
          <w:b/>
          <w:lang w:eastAsia="lv-LV"/>
        </w:rPr>
        <w:t>Lieta Nr. 11860005120, SKK</w:t>
      </w:r>
      <w:r w:rsidRPr="008B4C27">
        <w:rPr>
          <w:b/>
          <w:lang w:eastAsia="lv-LV"/>
        </w:rPr>
        <w:noBreakHyphen/>
        <w:t>25/2025</w:t>
      </w:r>
    </w:p>
    <w:p w14:paraId="536B4ACC" w14:textId="5AAE0B31" w:rsidR="006D5C62" w:rsidRDefault="00231398" w:rsidP="003311B8">
      <w:pPr>
        <w:spacing w:line="276" w:lineRule="auto"/>
        <w:jc w:val="center"/>
      </w:pPr>
      <w:hyperlink r:id="rId8" w:history="1">
        <w:r w:rsidR="003311B8" w:rsidRPr="00231398">
          <w:rPr>
            <w:rStyle w:val="Hyperlink"/>
          </w:rPr>
          <w:t>ECLI:LV:AT:2025:0416.11860005120.5.L</w:t>
        </w:r>
      </w:hyperlink>
    </w:p>
    <w:p w14:paraId="1D1DBD4A" w14:textId="77777777" w:rsidR="003311B8" w:rsidRPr="003258EF" w:rsidRDefault="003311B8" w:rsidP="003311B8">
      <w:pPr>
        <w:spacing w:line="276" w:lineRule="auto"/>
        <w:jc w:val="center"/>
      </w:pPr>
    </w:p>
    <w:p w14:paraId="1609D6F5" w14:textId="4EA572C4" w:rsidR="00447EE6" w:rsidRPr="003258EF" w:rsidRDefault="00447EE6" w:rsidP="00C22356">
      <w:pPr>
        <w:spacing w:line="276" w:lineRule="auto"/>
        <w:ind w:firstLine="720"/>
        <w:jc w:val="both"/>
      </w:pPr>
      <w:r w:rsidRPr="003258EF">
        <w:t>Senāts šādā sastāvā:</w:t>
      </w:r>
      <w:r w:rsidR="006D5C62" w:rsidRPr="003258EF">
        <w:t xml:space="preserve"> senatore referente Sandra Kaija, senator</w:t>
      </w:r>
      <w:r w:rsidR="00144145" w:rsidRPr="003258EF">
        <w:t>i</w:t>
      </w:r>
      <w:r w:rsidR="008C6913" w:rsidRPr="003258EF">
        <w:t xml:space="preserve"> </w:t>
      </w:r>
      <w:r w:rsidR="00144145" w:rsidRPr="003258EF">
        <w:t>Anita Poļakova, Aivars Uminskis</w:t>
      </w:r>
    </w:p>
    <w:p w14:paraId="41A28065" w14:textId="77777777" w:rsidR="006D5C62" w:rsidRPr="003258EF" w:rsidRDefault="006D5C62" w:rsidP="00C22356">
      <w:pPr>
        <w:spacing w:line="276" w:lineRule="auto"/>
        <w:ind w:firstLine="720"/>
        <w:jc w:val="both"/>
        <w:rPr>
          <w:lang w:eastAsia="lv-LV"/>
        </w:rPr>
      </w:pPr>
    </w:p>
    <w:p w14:paraId="7E850A44" w14:textId="3D8AB09F" w:rsidR="00F90281" w:rsidRPr="003258EF" w:rsidRDefault="00F90281" w:rsidP="008B4C27">
      <w:pPr>
        <w:spacing w:line="276" w:lineRule="auto"/>
        <w:ind w:firstLine="720"/>
        <w:jc w:val="both"/>
        <w:rPr>
          <w:lang w:eastAsia="lv-LV"/>
        </w:rPr>
      </w:pPr>
      <w:r w:rsidRPr="003258EF">
        <w:rPr>
          <w:lang w:eastAsia="lv-LV"/>
        </w:rPr>
        <w:t xml:space="preserve">rakstveida procesā izskatīja krimināllietu sakarā ar </w:t>
      </w:r>
      <w:r w:rsidR="00144145" w:rsidRPr="003258EF">
        <w:rPr>
          <w:lang w:eastAsia="lv-LV"/>
        </w:rPr>
        <w:t xml:space="preserve">apsūdzētā </w:t>
      </w:r>
      <w:r w:rsidR="008B4C27">
        <w:rPr>
          <w:lang w:eastAsia="lv-LV"/>
        </w:rPr>
        <w:t>[pers.</w:t>
      </w:r>
      <w:r w:rsidR="009129B3">
        <w:rPr>
          <w:lang w:eastAsia="lv-LV"/>
        </w:rPr>
        <w:t> </w:t>
      </w:r>
      <w:r w:rsidR="008B4C27">
        <w:rPr>
          <w:lang w:eastAsia="lv-LV"/>
        </w:rPr>
        <w:t>A]</w:t>
      </w:r>
      <w:r w:rsidR="00144145" w:rsidRPr="003258EF">
        <w:rPr>
          <w:lang w:eastAsia="lv-LV"/>
        </w:rPr>
        <w:t xml:space="preserve"> kasācijas sūdzību un tās papildinājumiem, viņa aizstāves zvērinātas advokātes Baibas Didrihsones un apsūdzētā </w:t>
      </w:r>
      <w:r w:rsidR="008B4C27">
        <w:rPr>
          <w:lang w:eastAsia="lv-LV"/>
        </w:rPr>
        <w:t>[pers. B]</w:t>
      </w:r>
      <w:r w:rsidR="00144145" w:rsidRPr="003258EF">
        <w:rPr>
          <w:lang w:eastAsia="lv-LV"/>
        </w:rPr>
        <w:t xml:space="preserve"> aizstāvja zvērināta advokāta Egona </w:t>
      </w:r>
      <w:proofErr w:type="spellStart"/>
      <w:r w:rsidR="00144145" w:rsidRPr="003258EF">
        <w:rPr>
          <w:lang w:eastAsia="lv-LV"/>
        </w:rPr>
        <w:t>Rusanova</w:t>
      </w:r>
      <w:proofErr w:type="spellEnd"/>
      <w:r w:rsidR="00144145" w:rsidRPr="003258EF">
        <w:rPr>
          <w:lang w:eastAsia="lv-LV"/>
        </w:rPr>
        <w:t xml:space="preserve"> </w:t>
      </w:r>
      <w:r w:rsidRPr="003258EF">
        <w:rPr>
          <w:lang w:eastAsia="lv-LV"/>
        </w:rPr>
        <w:t xml:space="preserve">kasācijas </w:t>
      </w:r>
      <w:r w:rsidR="00EA6035" w:rsidRPr="003258EF">
        <w:rPr>
          <w:lang w:eastAsia="lv-LV"/>
        </w:rPr>
        <w:t>sūdzīb</w:t>
      </w:r>
      <w:r w:rsidR="009376B9">
        <w:rPr>
          <w:lang w:eastAsia="lv-LV"/>
        </w:rPr>
        <w:t>ām</w:t>
      </w:r>
      <w:r w:rsidRPr="003258EF">
        <w:rPr>
          <w:lang w:eastAsia="lv-LV"/>
        </w:rPr>
        <w:t xml:space="preserve"> par </w:t>
      </w:r>
      <w:r w:rsidR="00144145" w:rsidRPr="003258EF">
        <w:rPr>
          <w:lang w:eastAsia="lv-LV"/>
        </w:rPr>
        <w:t>Rīgas</w:t>
      </w:r>
      <w:r w:rsidR="006C7760" w:rsidRPr="003258EF">
        <w:rPr>
          <w:lang w:eastAsia="lv-LV"/>
        </w:rPr>
        <w:t xml:space="preserve"> </w:t>
      </w:r>
      <w:r w:rsidRPr="003258EF">
        <w:rPr>
          <w:lang w:eastAsia="lv-LV"/>
        </w:rPr>
        <w:t>apgabaltiesas 202</w:t>
      </w:r>
      <w:r w:rsidR="00144145" w:rsidRPr="003258EF">
        <w:rPr>
          <w:lang w:eastAsia="lv-LV"/>
        </w:rPr>
        <w:t>3</w:t>
      </w:r>
      <w:r w:rsidRPr="003258EF">
        <w:rPr>
          <w:lang w:eastAsia="lv-LV"/>
        </w:rPr>
        <w:t xml:space="preserve">. gada </w:t>
      </w:r>
      <w:r w:rsidR="00144145" w:rsidRPr="003258EF">
        <w:rPr>
          <w:lang w:eastAsia="lv-LV"/>
        </w:rPr>
        <w:t>31. oktobra spriedumu</w:t>
      </w:r>
      <w:r w:rsidRPr="003258EF">
        <w:rPr>
          <w:lang w:eastAsia="lv-LV"/>
        </w:rPr>
        <w:t>.</w:t>
      </w:r>
    </w:p>
    <w:p w14:paraId="15A5FC97" w14:textId="77777777" w:rsidR="00F90281" w:rsidRPr="003258EF" w:rsidRDefault="00F90281" w:rsidP="00C22356">
      <w:pPr>
        <w:spacing w:line="276" w:lineRule="auto"/>
        <w:ind w:firstLine="720"/>
        <w:jc w:val="both"/>
        <w:rPr>
          <w:lang w:eastAsia="lv-LV"/>
        </w:rPr>
      </w:pPr>
    </w:p>
    <w:p w14:paraId="12882064" w14:textId="77777777" w:rsidR="00447EE6" w:rsidRPr="003258EF" w:rsidRDefault="00447EE6" w:rsidP="00C22356">
      <w:pPr>
        <w:spacing w:line="276" w:lineRule="auto"/>
        <w:jc w:val="center"/>
        <w:rPr>
          <w:b/>
          <w:shd w:val="clear" w:color="auto" w:fill="FFFFFF"/>
        </w:rPr>
      </w:pPr>
      <w:r w:rsidRPr="003258EF">
        <w:rPr>
          <w:b/>
          <w:shd w:val="clear" w:color="auto" w:fill="FFFFFF"/>
        </w:rPr>
        <w:t>Aprakstošā daļa</w:t>
      </w:r>
    </w:p>
    <w:p w14:paraId="2F0D3F0F" w14:textId="77777777" w:rsidR="006D5C62" w:rsidRPr="003258EF" w:rsidRDefault="006D5C62" w:rsidP="00C22356">
      <w:pPr>
        <w:spacing w:line="276" w:lineRule="auto"/>
        <w:jc w:val="center"/>
        <w:rPr>
          <w:bCs/>
          <w:shd w:val="clear" w:color="auto" w:fill="FFFFFF"/>
        </w:rPr>
      </w:pPr>
    </w:p>
    <w:p w14:paraId="0B4F5653" w14:textId="1F585127" w:rsidR="00447EE6" w:rsidRPr="003258EF" w:rsidRDefault="00447EE6" w:rsidP="00C22356">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[1]</w:t>
      </w:r>
      <w:r w:rsidR="005A6004" w:rsidRPr="003258EF">
        <w:rPr>
          <w:shd w:val="clear" w:color="auto" w:fill="FFFFFF"/>
        </w:rPr>
        <w:t> </w:t>
      </w:r>
      <w:r w:rsidR="00F90281" w:rsidRPr="003258EF">
        <w:rPr>
          <w:shd w:val="clear" w:color="auto" w:fill="FFFFFF"/>
        </w:rPr>
        <w:t>Ar</w:t>
      </w:r>
      <w:r w:rsidR="00C8763C" w:rsidRPr="003258EF">
        <w:rPr>
          <w:shd w:val="clear" w:color="auto" w:fill="FFFFFF"/>
        </w:rPr>
        <w:t xml:space="preserve"> </w:t>
      </w:r>
      <w:r w:rsidR="00144145" w:rsidRPr="003258EF">
        <w:rPr>
          <w:shd w:val="clear" w:color="auto" w:fill="FFFFFF"/>
        </w:rPr>
        <w:t>Ekonomisko lietu</w:t>
      </w:r>
      <w:r w:rsidR="00F90281" w:rsidRPr="003258EF">
        <w:rPr>
          <w:shd w:val="clear" w:color="auto" w:fill="FFFFFF"/>
        </w:rPr>
        <w:t xml:space="preserve"> tiesas 202</w:t>
      </w:r>
      <w:r w:rsidR="006C7760" w:rsidRPr="003258EF">
        <w:rPr>
          <w:shd w:val="clear" w:color="auto" w:fill="FFFFFF"/>
        </w:rPr>
        <w:t>2</w:t>
      </w:r>
      <w:r w:rsidR="00F90281" w:rsidRPr="003258EF">
        <w:rPr>
          <w:shd w:val="clear" w:color="auto" w:fill="FFFFFF"/>
        </w:rPr>
        <w:t xml:space="preserve">. gada </w:t>
      </w:r>
      <w:r w:rsidR="00144145" w:rsidRPr="003258EF">
        <w:rPr>
          <w:shd w:val="clear" w:color="auto" w:fill="FFFFFF"/>
        </w:rPr>
        <w:t>21. novembra</w:t>
      </w:r>
      <w:r w:rsidR="00F90281" w:rsidRPr="003258EF">
        <w:rPr>
          <w:shd w:val="clear" w:color="auto" w:fill="FFFFFF"/>
        </w:rPr>
        <w:t xml:space="preserve"> spriedumu</w:t>
      </w:r>
    </w:p>
    <w:p w14:paraId="440F9E36" w14:textId="1C5B22F7" w:rsidR="00F90281" w:rsidRPr="003258EF" w:rsidRDefault="00240A45" w:rsidP="00C22356">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[1.1] </w:t>
      </w:r>
      <w:r w:rsidR="008B4C27">
        <w:t>[pers.</w:t>
      </w:r>
      <w:r w:rsidR="009129B3">
        <w:t> </w:t>
      </w:r>
      <w:r w:rsidR="008B4C27">
        <w:t>A]</w:t>
      </w:r>
      <w:r w:rsidR="00F90281" w:rsidRPr="003258EF">
        <w:rPr>
          <w:shd w:val="clear" w:color="auto" w:fill="FFFFFF"/>
        </w:rPr>
        <w:t xml:space="preserve">, personas kods </w:t>
      </w:r>
      <w:r w:rsidR="008B4C27">
        <w:rPr>
          <w:shd w:val="clear" w:color="auto" w:fill="FFFFFF"/>
        </w:rPr>
        <w:t>[..]</w:t>
      </w:r>
      <w:r w:rsidR="00F90281" w:rsidRPr="003258EF">
        <w:rPr>
          <w:shd w:val="clear" w:color="auto" w:fill="FFFFFF"/>
        </w:rPr>
        <w:t>,</w:t>
      </w:r>
    </w:p>
    <w:p w14:paraId="09A5255E" w14:textId="04C4D308" w:rsidR="00EA6035" w:rsidRPr="003258EF" w:rsidRDefault="00F90281" w:rsidP="00825D05">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 xml:space="preserve">atzīts par </w:t>
      </w:r>
      <w:r w:rsidR="00240A45" w:rsidRPr="003258EF">
        <w:rPr>
          <w:shd w:val="clear" w:color="auto" w:fill="FFFFFF"/>
        </w:rPr>
        <w:t>vainīgu Krimināllikuma 320. panta pirmajā daļā paredzētajā noziedzīgajā nodarījumā un sodīs ar piespiedu darbu uz 280 stundām, atņemot tiesības ieņemt amatus Latvijas Republikas Valsts policijā uz 2 gadiem.</w:t>
      </w:r>
    </w:p>
    <w:p w14:paraId="1839F52E" w14:textId="70ED181D" w:rsidR="008D7FC5" w:rsidRPr="003258EF" w:rsidRDefault="008D7FC5" w:rsidP="00825D05">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 xml:space="preserve">No </w:t>
      </w:r>
      <w:r w:rsidR="008B4C27">
        <w:t>[pers.</w:t>
      </w:r>
      <w:r w:rsidR="009129B3">
        <w:t> </w:t>
      </w:r>
      <w:r w:rsidR="008B4C27">
        <w:t>A]</w:t>
      </w:r>
      <w:r w:rsidRPr="003258EF">
        <w:rPr>
          <w:shd w:val="clear" w:color="auto" w:fill="FFFFFF"/>
        </w:rPr>
        <w:t xml:space="preserve"> valsts labā piedzīti procesuālie izdevumi par valsts nodrošināto</w:t>
      </w:r>
      <w:r w:rsidR="00B01B47" w:rsidRPr="003258EF">
        <w:rPr>
          <w:shd w:val="clear" w:color="auto" w:fill="FFFFFF"/>
        </w:rPr>
        <w:t xml:space="preserve"> juridisko palīdzību 1347,07 </w:t>
      </w:r>
      <w:proofErr w:type="spellStart"/>
      <w:r w:rsidR="00B01B47" w:rsidRPr="003258EF">
        <w:rPr>
          <w:i/>
          <w:iCs/>
          <w:shd w:val="clear" w:color="auto" w:fill="FFFFFF"/>
        </w:rPr>
        <w:t>euro</w:t>
      </w:r>
      <w:proofErr w:type="spellEnd"/>
      <w:r w:rsidR="00B01B47" w:rsidRPr="003258EF">
        <w:rPr>
          <w:shd w:val="clear" w:color="auto" w:fill="FFFFFF"/>
        </w:rPr>
        <w:t>.</w:t>
      </w:r>
    </w:p>
    <w:p w14:paraId="789FF129" w14:textId="06D1C5CF" w:rsidR="00240A45" w:rsidRPr="003258EF" w:rsidRDefault="00240A45" w:rsidP="00825D05">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lastRenderedPageBreak/>
        <w:t>[1.2] </w:t>
      </w:r>
      <w:r w:rsidR="008B4C27">
        <w:rPr>
          <w:shd w:val="clear" w:color="auto" w:fill="FFFFFF"/>
        </w:rPr>
        <w:t>[Pers.</w:t>
      </w:r>
      <w:r w:rsidR="008B4C27">
        <w:rPr>
          <w:b/>
          <w:bCs/>
          <w:shd w:val="clear" w:color="auto" w:fill="FFFFFF"/>
        </w:rPr>
        <w:t> </w:t>
      </w:r>
      <w:r w:rsidR="008B4C27" w:rsidRPr="008B4C27">
        <w:rPr>
          <w:shd w:val="clear" w:color="auto" w:fill="FFFFFF"/>
        </w:rPr>
        <w:t>B]</w:t>
      </w:r>
      <w:r w:rsidRPr="003258EF">
        <w:rPr>
          <w:shd w:val="clear" w:color="auto" w:fill="FFFFFF"/>
        </w:rPr>
        <w:t xml:space="preserve">, personas kods </w:t>
      </w:r>
      <w:r w:rsidR="008B4C27">
        <w:rPr>
          <w:shd w:val="clear" w:color="auto" w:fill="FFFFFF"/>
        </w:rPr>
        <w:t>[..]</w:t>
      </w:r>
      <w:r w:rsidRPr="003258EF">
        <w:rPr>
          <w:shd w:val="clear" w:color="auto" w:fill="FFFFFF"/>
        </w:rPr>
        <w:t>,</w:t>
      </w:r>
    </w:p>
    <w:p w14:paraId="349D2C68" w14:textId="2DAD438D" w:rsidR="00240A45" w:rsidRPr="003258EF" w:rsidRDefault="00240A45" w:rsidP="00240A45">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atzīts par vainīgu Krimināllikuma 320. panta pirmajā daļā paredzētajā noziedzīgajā nodarījumā un sodīs ar piespiedu darbu uz 200 stundām, atņemot tiesības ieņemt amatus Latvijas Republikas Valsts policijā uz 2 gadiem.</w:t>
      </w:r>
    </w:p>
    <w:p w14:paraId="6F81D901" w14:textId="77777777" w:rsidR="00240A45" w:rsidRPr="003258EF" w:rsidRDefault="00240A45" w:rsidP="005B64B1">
      <w:pPr>
        <w:pStyle w:val="NormalWeb"/>
        <w:shd w:val="clear" w:color="auto" w:fill="FFFFFF"/>
        <w:spacing w:before="0" w:beforeAutospacing="0" w:after="0" w:afterAutospacing="0" w:line="276" w:lineRule="auto"/>
        <w:jc w:val="both"/>
        <w:rPr>
          <w:shd w:val="clear" w:color="auto" w:fill="FFFFFF"/>
        </w:rPr>
      </w:pPr>
    </w:p>
    <w:p w14:paraId="65296B3F" w14:textId="65CADA51" w:rsidR="005B64B1" w:rsidRPr="003258EF" w:rsidRDefault="00230E94" w:rsidP="005B64B1">
      <w:pPr>
        <w:pStyle w:val="NormalWeb"/>
        <w:shd w:val="clear" w:color="auto" w:fill="FFFFFF"/>
        <w:spacing w:before="0" w:beforeAutospacing="0" w:after="0" w:afterAutospacing="0" w:line="276" w:lineRule="auto"/>
        <w:ind w:firstLine="720"/>
        <w:jc w:val="both"/>
        <w:rPr>
          <w:shd w:val="clear" w:color="auto" w:fill="FFFFFF"/>
        </w:rPr>
      </w:pPr>
      <w:r w:rsidRPr="003258EF">
        <w:t>[2] </w:t>
      </w:r>
      <w:r w:rsidR="00905BF5" w:rsidRPr="003258EF">
        <w:t xml:space="preserve">Ar </w:t>
      </w:r>
      <w:r w:rsidR="005B64B1" w:rsidRPr="003258EF">
        <w:t>Ekonomisko lietu tiesas</w:t>
      </w:r>
      <w:r w:rsidR="00905BF5" w:rsidRPr="003258EF">
        <w:t xml:space="preserve"> 2022. gada </w:t>
      </w:r>
      <w:r w:rsidR="005B64B1" w:rsidRPr="003258EF">
        <w:t xml:space="preserve">21. novembra </w:t>
      </w:r>
      <w:r w:rsidR="00905BF5" w:rsidRPr="003258EF">
        <w:t>spriedumu apsūdzēt</w:t>
      </w:r>
      <w:r w:rsidR="005B64B1" w:rsidRPr="003258EF">
        <w:t xml:space="preserve">ie </w:t>
      </w:r>
      <w:r w:rsidR="009129B3">
        <w:t>[pers. A]</w:t>
      </w:r>
      <w:r w:rsidR="005B64B1" w:rsidRPr="003258EF">
        <w:t xml:space="preserve"> un </w:t>
      </w:r>
      <w:r w:rsidR="00882E28">
        <w:t>[pers. B]</w:t>
      </w:r>
      <w:r w:rsidR="005B64B1" w:rsidRPr="003258EF">
        <w:t xml:space="preserve"> atzīti par vainīgiem un sodīti pēc Krimināllikuma 320. panta pirmās daļas par to, ka viņi, būdami valsts amatpersonas, izmantojot savu dienesta stāvokli, pieņēma materiālu vērtību (kukuli) par pieļautu bezdarbību.</w:t>
      </w:r>
    </w:p>
    <w:p w14:paraId="1D5BF5B6" w14:textId="77777777" w:rsidR="005B64B1" w:rsidRPr="003258EF" w:rsidRDefault="005B64B1" w:rsidP="005B64B1">
      <w:pPr>
        <w:pStyle w:val="NormalWeb"/>
        <w:shd w:val="clear" w:color="auto" w:fill="FFFFFF"/>
        <w:spacing w:before="0" w:beforeAutospacing="0" w:after="0" w:afterAutospacing="0" w:line="276" w:lineRule="auto"/>
        <w:ind w:firstLine="720"/>
        <w:jc w:val="both"/>
        <w:rPr>
          <w:shd w:val="clear" w:color="auto" w:fill="FFFFFF"/>
        </w:rPr>
      </w:pPr>
    </w:p>
    <w:p w14:paraId="25DFC4CF" w14:textId="66C1D498" w:rsidR="00230E94" w:rsidRPr="003258EF" w:rsidRDefault="00230E94" w:rsidP="005B64B1">
      <w:pPr>
        <w:pStyle w:val="NormalWeb"/>
        <w:shd w:val="clear" w:color="auto" w:fill="FFFFFF"/>
        <w:spacing w:before="0" w:beforeAutospacing="0" w:after="0" w:afterAutospacing="0" w:line="276" w:lineRule="auto"/>
        <w:ind w:firstLine="720"/>
        <w:jc w:val="both"/>
        <w:rPr>
          <w:shd w:val="clear" w:color="auto" w:fill="FFFFFF"/>
        </w:rPr>
      </w:pPr>
      <w:r w:rsidRPr="003258EF">
        <w:t xml:space="preserve">[3] Ar </w:t>
      </w:r>
      <w:r w:rsidR="005B64B1" w:rsidRPr="003258EF">
        <w:t>Rīgas</w:t>
      </w:r>
      <w:r w:rsidRPr="003258EF">
        <w:t xml:space="preserve"> apgabaltiesas 202</w:t>
      </w:r>
      <w:r w:rsidR="009376B9">
        <w:t>3</w:t>
      </w:r>
      <w:r w:rsidRPr="003258EF">
        <w:t xml:space="preserve">. gada </w:t>
      </w:r>
      <w:r w:rsidR="005B64B1" w:rsidRPr="003258EF">
        <w:t>31. oktobra spriedumu</w:t>
      </w:r>
      <w:r w:rsidRPr="003258EF">
        <w:t>, iztiesājot lietu sakarā ar</w:t>
      </w:r>
      <w:r w:rsidR="00905BF5" w:rsidRPr="003258EF">
        <w:t xml:space="preserve"> </w:t>
      </w:r>
      <w:r w:rsidR="005B64B1" w:rsidRPr="003258EF">
        <w:t xml:space="preserve">Zemgales tiesas apgabala prokuratūras prokurores Santas </w:t>
      </w:r>
      <w:proofErr w:type="spellStart"/>
      <w:r w:rsidR="005B64B1" w:rsidRPr="003258EF">
        <w:t>Janševskas</w:t>
      </w:r>
      <w:proofErr w:type="spellEnd"/>
      <w:r w:rsidR="005B64B1" w:rsidRPr="003258EF">
        <w:t xml:space="preserve"> apelācijas protestu</w:t>
      </w:r>
      <w:r w:rsidR="00905BF5" w:rsidRPr="003258EF">
        <w:t>,</w:t>
      </w:r>
      <w:r w:rsidRPr="003258EF">
        <w:t xml:space="preserve"> </w:t>
      </w:r>
      <w:r w:rsidR="005B64B1" w:rsidRPr="003258EF">
        <w:t>Ekonomisko lietu tiesas</w:t>
      </w:r>
      <w:r w:rsidR="00C55622" w:rsidRPr="003258EF">
        <w:t xml:space="preserve"> 202</w:t>
      </w:r>
      <w:r w:rsidR="00905BF5" w:rsidRPr="003258EF">
        <w:t>2</w:t>
      </w:r>
      <w:r w:rsidR="00C55622" w:rsidRPr="003258EF">
        <w:t xml:space="preserve">. gada </w:t>
      </w:r>
      <w:r w:rsidR="005B64B1" w:rsidRPr="003258EF">
        <w:t>21. novembra</w:t>
      </w:r>
      <w:r w:rsidR="00C55622" w:rsidRPr="003258EF">
        <w:t xml:space="preserve"> spriedums </w:t>
      </w:r>
      <w:r w:rsidR="005B64B1" w:rsidRPr="003258EF">
        <w:t xml:space="preserve">atcelts daļā par </w:t>
      </w:r>
      <w:r w:rsidR="00882E28">
        <w:t>[pers. A]</w:t>
      </w:r>
      <w:r w:rsidR="005B64B1" w:rsidRPr="003258EF">
        <w:t xml:space="preserve"> atzīšanu par vainīgu un sodīšanu pēc Krimināllikuma 320. panta pirmās daļas, par </w:t>
      </w:r>
      <w:r w:rsidR="00882E28">
        <w:t>[pers. B]</w:t>
      </w:r>
      <w:r w:rsidR="00882E28" w:rsidRPr="003258EF">
        <w:t xml:space="preserve"> </w:t>
      </w:r>
      <w:r w:rsidR="005B64B1" w:rsidRPr="003258EF">
        <w:t>atzīšanu par vainīgu un sodīšanu pēc Krimināllikuma 320. panta pirmās daļas.</w:t>
      </w:r>
    </w:p>
    <w:p w14:paraId="7A9BBDC3" w14:textId="7140EF54" w:rsidR="008D7FC5" w:rsidRPr="003258EF" w:rsidRDefault="00B01B47" w:rsidP="00B01B47">
      <w:pPr>
        <w:pStyle w:val="NormalWeb"/>
        <w:shd w:val="clear" w:color="auto" w:fill="FFFFFF"/>
        <w:spacing w:before="0" w:beforeAutospacing="0" w:after="0" w:afterAutospacing="0" w:line="276" w:lineRule="auto"/>
        <w:ind w:firstLine="720"/>
        <w:jc w:val="both"/>
      </w:pPr>
      <w:r w:rsidRPr="003258EF">
        <w:t>[3.1] </w:t>
      </w:r>
      <w:r w:rsidR="005B64B1" w:rsidRPr="003258EF">
        <w:t xml:space="preserve">Ar apelācijas instances tiesas spriedumu </w:t>
      </w:r>
      <w:r w:rsidR="00882E28">
        <w:t>[pers. A]</w:t>
      </w:r>
      <w:r w:rsidR="00882E28" w:rsidRPr="003258EF">
        <w:t xml:space="preserve"> </w:t>
      </w:r>
      <w:r w:rsidR="00882E28">
        <w:t>a</w:t>
      </w:r>
      <w:r w:rsidR="008D7FC5" w:rsidRPr="003258EF">
        <w:t>tzīts par vainīgu Krimināllikuma 320. panta trešajā daļā paredzētajā noziedzīgajā nodarījumā un sodī</w:t>
      </w:r>
      <w:r w:rsidR="009376B9">
        <w:t>t</w:t>
      </w:r>
      <w:r w:rsidR="008D7FC5" w:rsidRPr="003258EF">
        <w:t xml:space="preserve">s ar brīvības atņemšanu uz 2 gadiem 8 mēnešiem, atņemot tiesības ieņemt amatus Latvijas Republikas Valsts policijā uz 4 gadiem; </w:t>
      </w:r>
      <w:r w:rsidR="00070583">
        <w:t>[pers. B]</w:t>
      </w:r>
      <w:r w:rsidR="00070583" w:rsidRPr="003258EF">
        <w:t xml:space="preserve"> </w:t>
      </w:r>
      <w:r w:rsidR="008D7FC5" w:rsidRPr="003258EF">
        <w:t>atzīts par vainīgu Krimināllikuma 320. panta trešajā daļā paredzētajā noziedzīgajā nodarījumā un sodī</w:t>
      </w:r>
      <w:r w:rsidR="00164FA9">
        <w:t>t</w:t>
      </w:r>
      <w:r w:rsidR="008D7FC5" w:rsidRPr="003258EF">
        <w:t>s ar brīvības atņemšanu uz 2 gadiem 5 mēnešiem, atņemot tiesības ieņemt amatus Latvijas Republikas Valsts policijā uz 4 gadiem.</w:t>
      </w:r>
      <w:r w:rsidRPr="003258EF">
        <w:t xml:space="preserve"> </w:t>
      </w:r>
      <w:r w:rsidR="008D7FC5" w:rsidRPr="003258EF">
        <w:t xml:space="preserve">No </w:t>
      </w:r>
      <w:r w:rsidR="003311B8">
        <w:t>[pers. A]</w:t>
      </w:r>
      <w:r w:rsidR="008D7FC5" w:rsidRPr="003258EF">
        <w:t xml:space="preserve"> valsts labā piedzīti procesuālie izdevumi par valsts nodrošinā</w:t>
      </w:r>
      <w:r w:rsidR="00164FA9">
        <w:t>to</w:t>
      </w:r>
      <w:r w:rsidR="008D7FC5" w:rsidRPr="003258EF">
        <w:t xml:space="preserve"> juridisko palīdzību apelācijas instances tiesā 145,20</w:t>
      </w:r>
      <w:r w:rsidR="00164FA9">
        <w:t> </w:t>
      </w:r>
      <w:proofErr w:type="spellStart"/>
      <w:r w:rsidR="008D7FC5" w:rsidRPr="003258EF">
        <w:rPr>
          <w:i/>
          <w:iCs/>
        </w:rPr>
        <w:t>euro</w:t>
      </w:r>
      <w:proofErr w:type="spellEnd"/>
      <w:r w:rsidR="008D7FC5" w:rsidRPr="003258EF">
        <w:t>.</w:t>
      </w:r>
    </w:p>
    <w:p w14:paraId="49A5DAC5" w14:textId="38B917C0" w:rsidR="008D7FC5" w:rsidRPr="003258EF" w:rsidRDefault="00B01B47" w:rsidP="00C22356">
      <w:pPr>
        <w:pStyle w:val="NormalWeb"/>
        <w:shd w:val="clear" w:color="auto" w:fill="FFFFFF"/>
        <w:spacing w:before="0" w:beforeAutospacing="0" w:after="0" w:afterAutospacing="0" w:line="276" w:lineRule="auto"/>
        <w:ind w:firstLine="720"/>
        <w:jc w:val="both"/>
      </w:pPr>
      <w:r w:rsidRPr="003258EF">
        <w:t>[3.2] </w:t>
      </w:r>
      <w:r w:rsidR="008D7FC5" w:rsidRPr="003258EF">
        <w:t xml:space="preserve">Pārējā daļā Ekonomisko lietu tiesas 2022. gada 21. novembra spriedums atstāts negrozīts. </w:t>
      </w:r>
    </w:p>
    <w:p w14:paraId="1A6F778D" w14:textId="77777777" w:rsidR="005B64B1" w:rsidRPr="003258EF" w:rsidRDefault="005B64B1" w:rsidP="008D7FC5">
      <w:pPr>
        <w:pStyle w:val="NormalWeb"/>
        <w:shd w:val="clear" w:color="auto" w:fill="FFFFFF"/>
        <w:spacing w:before="0" w:beforeAutospacing="0" w:after="0" w:afterAutospacing="0" w:line="276" w:lineRule="auto"/>
        <w:jc w:val="both"/>
      </w:pPr>
    </w:p>
    <w:p w14:paraId="7063EE4A" w14:textId="75F980C1" w:rsidR="0016235E" w:rsidRPr="003258EF" w:rsidRDefault="0016235E" w:rsidP="00AF7A17">
      <w:pPr>
        <w:pStyle w:val="NormalWeb"/>
        <w:shd w:val="clear" w:color="auto" w:fill="FFFFFF"/>
        <w:spacing w:before="0" w:beforeAutospacing="0" w:after="0" w:afterAutospacing="0" w:line="276" w:lineRule="auto"/>
        <w:ind w:firstLine="720"/>
        <w:jc w:val="both"/>
      </w:pPr>
      <w:r w:rsidRPr="003258EF">
        <w:t>[</w:t>
      </w:r>
      <w:r w:rsidR="008D7FC5" w:rsidRPr="003258EF">
        <w:t>4</w:t>
      </w:r>
      <w:r w:rsidRPr="003258EF">
        <w:t xml:space="preserve">] Par </w:t>
      </w:r>
      <w:r w:rsidR="008D7FC5" w:rsidRPr="003258EF">
        <w:t>Rīgas</w:t>
      </w:r>
      <w:r w:rsidRPr="003258EF">
        <w:t xml:space="preserve"> apgabaltiesas 202</w:t>
      </w:r>
      <w:r w:rsidR="00164FA9">
        <w:t>3</w:t>
      </w:r>
      <w:r w:rsidRPr="003258EF">
        <w:t xml:space="preserve">. gada </w:t>
      </w:r>
      <w:r w:rsidR="00B01B47" w:rsidRPr="003258EF">
        <w:t>31.</w:t>
      </w:r>
      <w:r w:rsidR="00355CF2" w:rsidRPr="003258EF">
        <w:t> </w:t>
      </w:r>
      <w:r w:rsidR="00B01B47" w:rsidRPr="003258EF">
        <w:t xml:space="preserve">oktobra spriedumu apsūdzētais </w:t>
      </w:r>
      <w:r w:rsidR="00E32E81">
        <w:t>[pers. A]</w:t>
      </w:r>
      <w:r w:rsidR="00B01B47" w:rsidRPr="003258EF">
        <w:t xml:space="preserve"> iesniedzis kasācijas sūdzību un tās papildinājumus</w:t>
      </w:r>
      <w:r w:rsidR="00AF7A17" w:rsidRPr="003258EF">
        <w:t xml:space="preserve"> (turpmāk – kasācijas sūdzība)</w:t>
      </w:r>
      <w:r w:rsidR="00B01B47" w:rsidRPr="003258EF">
        <w:t>, kuros</w:t>
      </w:r>
      <w:r w:rsidRPr="003258EF">
        <w:t xml:space="preserve"> lūdz atcelt minēto </w:t>
      </w:r>
      <w:r w:rsidR="00B01B47" w:rsidRPr="003258EF">
        <w:t>spriedumu</w:t>
      </w:r>
      <w:r w:rsidR="00C40C8E" w:rsidRPr="003258EF">
        <w:t xml:space="preserve"> pilnībā</w:t>
      </w:r>
      <w:r w:rsidR="00B01B47" w:rsidRPr="003258EF">
        <w:t>, izbeigt kriminālprocesu vai</w:t>
      </w:r>
      <w:r w:rsidR="008C6913" w:rsidRPr="003258EF">
        <w:t xml:space="preserve"> lietu nosūtīt jaunai izskatīšanai apelācijas instances tiesā</w:t>
      </w:r>
      <w:r w:rsidR="004F2C41" w:rsidRPr="003258EF">
        <w:t xml:space="preserve">, kā arī lūdz lietu izskatīt mutvārdu procesā. </w:t>
      </w:r>
    </w:p>
    <w:p w14:paraId="1FEACEA8" w14:textId="68653F8E" w:rsidR="00C40C8E" w:rsidRPr="003258EF" w:rsidRDefault="00B15CC8" w:rsidP="00C40C8E">
      <w:pPr>
        <w:pStyle w:val="NormalWeb"/>
        <w:shd w:val="clear" w:color="auto" w:fill="FFFFFF"/>
        <w:spacing w:before="0" w:beforeAutospacing="0" w:after="0" w:afterAutospacing="0" w:line="276" w:lineRule="auto"/>
        <w:ind w:firstLine="720"/>
        <w:jc w:val="both"/>
      </w:pPr>
      <w:r w:rsidRPr="003258EF">
        <w:t xml:space="preserve">Savu lūgumu </w:t>
      </w:r>
      <w:r w:rsidR="00B01B47" w:rsidRPr="003258EF">
        <w:t>apsūdzētais</w:t>
      </w:r>
      <w:r w:rsidR="0016235E" w:rsidRPr="003258EF">
        <w:t xml:space="preserve"> pamatoj</w:t>
      </w:r>
      <w:r w:rsidR="00B01B47" w:rsidRPr="003258EF">
        <w:t>is</w:t>
      </w:r>
      <w:r w:rsidR="0016235E" w:rsidRPr="003258EF">
        <w:t xml:space="preserve"> ar </w:t>
      </w:r>
      <w:r w:rsidRPr="003258EF">
        <w:t>šādiem</w:t>
      </w:r>
      <w:r w:rsidR="00BE0F7B" w:rsidRPr="003258EF">
        <w:t xml:space="preserve"> </w:t>
      </w:r>
      <w:r w:rsidR="0016235E" w:rsidRPr="003258EF">
        <w:t>argument</w:t>
      </w:r>
      <w:r w:rsidRPr="003258EF">
        <w:t>iem</w:t>
      </w:r>
      <w:r w:rsidR="0016235E" w:rsidRPr="003258EF">
        <w:t>.</w:t>
      </w:r>
    </w:p>
    <w:p w14:paraId="342AE664" w14:textId="7D00C6C0" w:rsidR="004732CB" w:rsidRPr="003258EF" w:rsidRDefault="00C40C8E" w:rsidP="005B64B1">
      <w:pPr>
        <w:pStyle w:val="NormalWeb"/>
        <w:shd w:val="clear" w:color="auto" w:fill="FFFFFF"/>
        <w:spacing w:before="0" w:beforeAutospacing="0" w:after="0" w:afterAutospacing="0" w:line="276" w:lineRule="auto"/>
        <w:ind w:firstLine="720"/>
        <w:jc w:val="both"/>
      </w:pPr>
      <w:r w:rsidRPr="003258EF">
        <w:t>[</w:t>
      </w:r>
      <w:r w:rsidR="00B01B47" w:rsidRPr="003258EF">
        <w:t>4</w:t>
      </w:r>
      <w:r w:rsidRPr="003258EF">
        <w:t>.1] </w:t>
      </w:r>
      <w:r w:rsidR="004732CB" w:rsidRPr="003258EF">
        <w:t>Tiesa ir nepamatoti secinājusi, ka starp apsūdzētajiem ir pastāvējusi noziedzīga vienošanās, tādēļ noziedzīgais nodarījums ir izdarīts personu grupā pēc iepriekšējas vienošanās</w:t>
      </w:r>
      <w:r w:rsidR="00FC4AD9">
        <w:t>, kā arī</w:t>
      </w:r>
      <w:r w:rsidR="00AF7A17" w:rsidRPr="003258EF">
        <w:t xml:space="preserve"> </w:t>
      </w:r>
      <w:r w:rsidR="006414DA">
        <w:t>nepamatoti</w:t>
      </w:r>
      <w:r w:rsidR="00AF7A17" w:rsidRPr="003258EF">
        <w:t xml:space="preserve"> konstatējusi apsūdzētā darbībās visas Krimināllikuma 320. panta trešajā daļā paredzētā noziedzīgā nodarījuma sastāva pazīmes. </w:t>
      </w:r>
    </w:p>
    <w:p w14:paraId="53E7145D" w14:textId="7D792941" w:rsidR="00453E25" w:rsidRPr="003258EF" w:rsidRDefault="004732CB" w:rsidP="00C1207F">
      <w:pPr>
        <w:pStyle w:val="NormalWeb"/>
        <w:shd w:val="clear" w:color="auto" w:fill="FFFFFF"/>
        <w:spacing w:before="0" w:beforeAutospacing="0" w:after="0" w:afterAutospacing="0" w:line="276" w:lineRule="auto"/>
        <w:ind w:firstLine="720"/>
        <w:jc w:val="both"/>
      </w:pPr>
      <w:r w:rsidRPr="003258EF">
        <w:t>[4.1.1] </w:t>
      </w:r>
      <w:r w:rsidR="00AF0442" w:rsidRPr="003258EF">
        <w:t>A</w:t>
      </w:r>
      <w:r w:rsidRPr="003258EF">
        <w:t>psūdzīb</w:t>
      </w:r>
      <w:r w:rsidR="00AF0442" w:rsidRPr="003258EF">
        <w:t>ā norādīts</w:t>
      </w:r>
      <w:r w:rsidRPr="003258EF">
        <w:t xml:space="preserve">, ka līdz 2020. gada jūnija vidum </w:t>
      </w:r>
      <w:r w:rsidR="00E32E81">
        <w:t>[pers. A]</w:t>
      </w:r>
      <w:r w:rsidRPr="003258EF">
        <w:t xml:space="preserve"> un </w:t>
      </w:r>
      <w:r w:rsidR="00E32E81">
        <w:t>[pers. B]</w:t>
      </w:r>
      <w:r w:rsidRPr="003258EF">
        <w:t xml:space="preserve"> personu grupā pēc iepriekšējas vienošanās pieņ</w:t>
      </w:r>
      <w:r w:rsidR="00B651D4" w:rsidRPr="003258EF">
        <w:t>ēmuši</w:t>
      </w:r>
      <w:r w:rsidRPr="003258EF">
        <w:t xml:space="preserve"> kukuli no </w:t>
      </w:r>
      <w:r w:rsidR="00E32E81">
        <w:t>[pers. C]</w:t>
      </w:r>
      <w:r w:rsidR="00B651D4" w:rsidRPr="003258EF">
        <w:t>.</w:t>
      </w:r>
      <w:r w:rsidR="006414DA">
        <w:t xml:space="preserve"> </w:t>
      </w:r>
      <w:r w:rsidR="00B651D4" w:rsidRPr="003258EF">
        <w:t>S</w:t>
      </w:r>
      <w:r w:rsidRPr="003258EF">
        <w:t xml:space="preserve">avukārt sākot no 2020. gada jūlija </w:t>
      </w:r>
      <w:r w:rsidR="00E32E81">
        <w:t>[pers. A]</w:t>
      </w:r>
      <w:r w:rsidRPr="003258EF">
        <w:t xml:space="preserve"> un </w:t>
      </w:r>
      <w:r w:rsidR="00E32E81">
        <w:t>[pers. B]</w:t>
      </w:r>
      <w:r w:rsidRPr="003258EF">
        <w:t xml:space="preserve"> pieņēmuši kukuli, bet jau individuāli. </w:t>
      </w:r>
      <w:r w:rsidR="002A5CEA" w:rsidRPr="003258EF">
        <w:t>Apsūdzīb</w:t>
      </w:r>
      <w:r w:rsidR="00B651D4" w:rsidRPr="003258EF">
        <w:t>ā</w:t>
      </w:r>
      <w:r w:rsidR="002A5CEA" w:rsidRPr="003258EF">
        <w:t xml:space="preserve"> </w:t>
      </w:r>
      <w:r w:rsidR="00B651D4" w:rsidRPr="003258EF">
        <w:t>norādītās darbības</w:t>
      </w:r>
      <w:r w:rsidR="002A5CEA" w:rsidRPr="003258EF">
        <w:t xml:space="preserve">, ka katrs apsūdzētais atsevišķi </w:t>
      </w:r>
      <w:r w:rsidR="00C54667">
        <w:t xml:space="preserve">ir </w:t>
      </w:r>
      <w:r w:rsidR="002A5CEA" w:rsidRPr="003258EF">
        <w:t>ņēmis kukuli</w:t>
      </w:r>
      <w:r w:rsidR="00B651D4" w:rsidRPr="003258EF">
        <w:t>, nepamatoti</w:t>
      </w:r>
      <w:r w:rsidR="002A5CEA" w:rsidRPr="003258EF">
        <w:t xml:space="preserve"> kvalificēt</w:t>
      </w:r>
      <w:r w:rsidR="00B651D4" w:rsidRPr="003258EF">
        <w:t>as</w:t>
      </w:r>
      <w:r w:rsidR="002A5CEA" w:rsidRPr="003258EF">
        <w:t xml:space="preserve"> kā izdarīt</w:t>
      </w:r>
      <w:r w:rsidR="00B651D4" w:rsidRPr="003258EF">
        <w:t>as personu</w:t>
      </w:r>
      <w:r w:rsidR="002A5CEA" w:rsidRPr="003258EF">
        <w:t xml:space="preserve"> grupā. </w:t>
      </w:r>
      <w:r w:rsidR="00C1207F" w:rsidRPr="003258EF">
        <w:t>Tiesa a</w:t>
      </w:r>
      <w:r w:rsidR="00AF0442" w:rsidRPr="003258EF">
        <w:t xml:space="preserve">psūdzētā </w:t>
      </w:r>
      <w:r w:rsidR="00E32E81">
        <w:t>[pers. A]</w:t>
      </w:r>
      <w:r w:rsidR="00B651D4" w:rsidRPr="003258EF">
        <w:t xml:space="preserve"> </w:t>
      </w:r>
      <w:r w:rsidR="00AF0442" w:rsidRPr="003258EF">
        <w:t xml:space="preserve">darbības pēc 2020. gada jūlija </w:t>
      </w:r>
      <w:r w:rsidRPr="003258EF">
        <w:t xml:space="preserve">kļūdaini </w:t>
      </w:r>
      <w:r w:rsidR="00B651D4" w:rsidRPr="003258EF">
        <w:t xml:space="preserve">ir </w:t>
      </w:r>
      <w:r w:rsidRPr="003258EF">
        <w:t>kvalificē</w:t>
      </w:r>
      <w:r w:rsidR="00C1207F" w:rsidRPr="003258EF">
        <w:t>jusi</w:t>
      </w:r>
      <w:r w:rsidRPr="003258EF">
        <w:t xml:space="preserve"> pēc Krimināllikuma 320. panta </w:t>
      </w:r>
      <w:r w:rsidR="00C1207F" w:rsidRPr="003258EF">
        <w:t>trešā</w:t>
      </w:r>
      <w:r w:rsidRPr="003258EF">
        <w:t xml:space="preserve">s daļas. </w:t>
      </w:r>
    </w:p>
    <w:p w14:paraId="5DF40BFD" w14:textId="5FF825D8" w:rsidR="000B6739" w:rsidRPr="003258EF" w:rsidRDefault="004732CB" w:rsidP="000B6739">
      <w:pPr>
        <w:pStyle w:val="NormalWeb"/>
        <w:shd w:val="clear" w:color="auto" w:fill="FFFFFF"/>
        <w:spacing w:before="0" w:beforeAutospacing="0" w:after="0" w:afterAutospacing="0" w:line="276" w:lineRule="auto"/>
        <w:ind w:firstLine="720"/>
        <w:jc w:val="both"/>
      </w:pPr>
      <w:r w:rsidRPr="003258EF">
        <w:t xml:space="preserve">[4.1.2] Lietā nav pietiekamu pierādījumu, kas apstiprinātu, ka starp </w:t>
      </w:r>
      <w:r w:rsidR="00E32E81">
        <w:t>[pers. A]</w:t>
      </w:r>
      <w:r w:rsidRPr="003258EF">
        <w:t xml:space="preserve"> un </w:t>
      </w:r>
      <w:r w:rsidR="00E32E81">
        <w:t>[pers. B]</w:t>
      </w:r>
      <w:r w:rsidRPr="003258EF">
        <w:t xml:space="preserve"> ir bijusi vienošanās veikt apsūdzībā norādītās darbības. </w:t>
      </w:r>
      <w:r w:rsidR="008551B7">
        <w:t>I</w:t>
      </w:r>
      <w:r w:rsidR="00453E25" w:rsidRPr="003258EF">
        <w:t xml:space="preserve">r tikai viens tiešs </w:t>
      </w:r>
      <w:r w:rsidR="00453E25" w:rsidRPr="003258EF">
        <w:lastRenderedPageBreak/>
        <w:t xml:space="preserve">pierādījums – </w:t>
      </w:r>
      <w:r w:rsidR="00E32E81">
        <w:t>[pers. C]</w:t>
      </w:r>
      <w:r w:rsidR="00453E25" w:rsidRPr="003258EF">
        <w:t xml:space="preserve"> liecības. Tiesa, izvērtējot liecinieka</w:t>
      </w:r>
      <w:r w:rsidR="00B651D4" w:rsidRPr="003258EF">
        <w:t xml:space="preserve"> </w:t>
      </w:r>
      <w:r w:rsidR="00E32E81">
        <w:t>[pers. C]</w:t>
      </w:r>
      <w:r w:rsidR="00453E25" w:rsidRPr="003258EF">
        <w:t xml:space="preserve"> liecību </w:t>
      </w:r>
      <w:r w:rsidR="00F62862" w:rsidRPr="003258EF">
        <w:t>ticamību</w:t>
      </w:r>
      <w:r w:rsidR="00453E25" w:rsidRPr="003258EF">
        <w:t xml:space="preserve">, nav ņēmusi vērā, ka </w:t>
      </w:r>
      <w:r w:rsidR="008551B7">
        <w:t>viņš</w:t>
      </w:r>
      <w:r w:rsidR="00453E25" w:rsidRPr="003258EF">
        <w:t xml:space="preserve"> ir ieinteresētā persona. Lietā nav pierādījumi, ka </w:t>
      </w:r>
      <w:r w:rsidR="00F62862" w:rsidRPr="003258EF">
        <w:t>apsūdzētais būtu</w:t>
      </w:r>
      <w:r w:rsidR="00453E25" w:rsidRPr="003258EF">
        <w:t xml:space="preserve"> brīdinājis </w:t>
      </w:r>
      <w:r w:rsidR="00E32E81">
        <w:t>[pers. C]</w:t>
      </w:r>
      <w:r w:rsidR="00453E25" w:rsidRPr="003258EF">
        <w:t xml:space="preserve"> par kratīšanām </w:t>
      </w:r>
      <w:r w:rsidR="0012741C">
        <w:t>[Nosaukums]</w:t>
      </w:r>
      <w:r w:rsidR="00453E25" w:rsidRPr="003258EF">
        <w:t xml:space="preserve"> tirgū</w:t>
      </w:r>
      <w:r w:rsidR="00B651D4" w:rsidRPr="003258EF">
        <w:t>.</w:t>
      </w:r>
      <w:r w:rsidR="00453E25" w:rsidRPr="003258EF">
        <w:t xml:space="preserve"> </w:t>
      </w:r>
      <w:r w:rsidR="00B651D4" w:rsidRPr="003258EF">
        <w:t>K</w:t>
      </w:r>
      <w:r w:rsidR="00453E25" w:rsidRPr="003258EF">
        <w:t>opš 2020. gada 11.</w:t>
      </w:r>
      <w:r w:rsidR="00F62862" w:rsidRPr="003258EF">
        <w:t> </w:t>
      </w:r>
      <w:r w:rsidR="00453E25" w:rsidRPr="003258EF">
        <w:t xml:space="preserve">jūnija apsūdzētajam, pildot dienesta pienākumus </w:t>
      </w:r>
      <w:r w:rsidR="0012741C">
        <w:t>[Nosaukums]</w:t>
      </w:r>
      <w:r w:rsidR="00453E25" w:rsidRPr="003258EF">
        <w:t xml:space="preserve"> iecirknī, vairs </w:t>
      </w:r>
      <w:r w:rsidR="00F62862" w:rsidRPr="003258EF">
        <w:t>nebija pieejama</w:t>
      </w:r>
      <w:r w:rsidR="00453E25" w:rsidRPr="003258EF">
        <w:t xml:space="preserve"> slepena informācija par </w:t>
      </w:r>
      <w:r w:rsidR="0012741C">
        <w:t>[Nosaukums</w:t>
      </w:r>
      <w:r w:rsidR="0012741C" w:rsidRPr="0012741C">
        <w:t>]</w:t>
      </w:r>
      <w:r w:rsidR="00453E25" w:rsidRPr="0012741C">
        <w:t xml:space="preserve"> iecirkņa policijas reidiem </w:t>
      </w:r>
      <w:r w:rsidR="0012741C" w:rsidRPr="0012741C">
        <w:t>[Nosaukums]</w:t>
      </w:r>
      <w:r w:rsidR="00453E25" w:rsidRPr="0012741C">
        <w:t xml:space="preserve"> tirgū</w:t>
      </w:r>
      <w:r w:rsidR="00453E25" w:rsidRPr="003258EF">
        <w:t xml:space="preserve">. </w:t>
      </w:r>
      <w:r w:rsidR="00F62862" w:rsidRPr="003258EF">
        <w:t>Tādējādi tiesa nepamatoti konstatējusi</w:t>
      </w:r>
      <w:r w:rsidR="00453E25" w:rsidRPr="003258EF">
        <w:t xml:space="preserve"> </w:t>
      </w:r>
      <w:r w:rsidR="00E32E81">
        <w:t>[pers. A]</w:t>
      </w:r>
      <w:r w:rsidR="00453E25" w:rsidRPr="003258EF">
        <w:t xml:space="preserve"> bezdarbību </w:t>
      </w:r>
      <w:r w:rsidR="00E32E81">
        <w:t>[pers. C]</w:t>
      </w:r>
      <w:r w:rsidR="00453E25" w:rsidRPr="003258EF">
        <w:t xml:space="preserve"> interesēs. </w:t>
      </w:r>
    </w:p>
    <w:p w14:paraId="3A744871" w14:textId="072A8EE1" w:rsidR="00AF7A17" w:rsidRPr="003258EF" w:rsidRDefault="00AF7A17" w:rsidP="000B6739">
      <w:pPr>
        <w:pStyle w:val="NormalWeb"/>
        <w:shd w:val="clear" w:color="auto" w:fill="FFFFFF"/>
        <w:spacing w:before="0" w:beforeAutospacing="0" w:after="0" w:afterAutospacing="0" w:line="276" w:lineRule="auto"/>
        <w:ind w:firstLine="720"/>
        <w:jc w:val="both"/>
      </w:pPr>
      <w:r w:rsidRPr="003258EF">
        <w:t xml:space="preserve">[4.1.3] Iztiesāšanā, tajā skaitā ar liecinieka </w:t>
      </w:r>
      <w:r w:rsidR="00E32E81">
        <w:t>[pers. C]</w:t>
      </w:r>
      <w:r w:rsidRPr="003258EF">
        <w:t xml:space="preserve"> liecībām, nav</w:t>
      </w:r>
      <w:r w:rsidR="00FC4AD9">
        <w:t xml:space="preserve"> pierādīts</w:t>
      </w:r>
      <w:r w:rsidRPr="003258EF">
        <w:t xml:space="preserve"> abu apsūdzēto iepriekšējs nodoms vienoties par kukuļa saņemšanu un kopīgi realizētu noziedzīgo nodarījumu, jo no liecībām izriet, ka </w:t>
      </w:r>
      <w:r w:rsidR="00E32E81">
        <w:t>[pers. C]</w:t>
      </w:r>
      <w:r w:rsidRPr="003258EF">
        <w:t xml:space="preserve"> ar katru no apsūdzētajiem komunicējis atsevišķi par kukuļa pieņemšanu,</w:t>
      </w:r>
      <w:r w:rsidR="00E94DCC" w:rsidRPr="003258EF">
        <w:t xml:space="preserve"> kā</w:t>
      </w:r>
      <w:r w:rsidRPr="003258EF">
        <w:t xml:space="preserve"> arī kukuļus </w:t>
      </w:r>
      <w:r w:rsidR="00E94DCC" w:rsidRPr="003258EF">
        <w:t xml:space="preserve">nodevis </w:t>
      </w:r>
      <w:r w:rsidRPr="003258EF">
        <w:t xml:space="preserve">individuāli. </w:t>
      </w:r>
    </w:p>
    <w:p w14:paraId="10315728" w14:textId="3D4068FD" w:rsidR="00F62862" w:rsidRPr="003258EF" w:rsidRDefault="004732CB" w:rsidP="00E94DCC">
      <w:pPr>
        <w:pStyle w:val="NormalWeb"/>
        <w:shd w:val="clear" w:color="auto" w:fill="FFFFFF"/>
        <w:spacing w:before="0" w:beforeAutospacing="0" w:after="0" w:afterAutospacing="0" w:line="276" w:lineRule="auto"/>
        <w:ind w:firstLine="720"/>
        <w:jc w:val="both"/>
      </w:pPr>
      <w:r w:rsidRPr="003258EF">
        <w:t>[4.2] </w:t>
      </w:r>
      <w:r w:rsidR="00F62862" w:rsidRPr="003258EF">
        <w:t xml:space="preserve">Apelācijas instances tiesa nepamatoti </w:t>
      </w:r>
      <w:r w:rsidR="008551B7">
        <w:t>piešķīrusi</w:t>
      </w:r>
      <w:r w:rsidR="00F62862" w:rsidRPr="003258EF">
        <w:t xml:space="preserve"> augstāku ticamības pakāpi apsūdzētā 2020. gada 4. novembrī sniegtajām liecībām, jo tās apstiprinoties ar </w:t>
      </w:r>
      <w:r w:rsidR="00E32E81">
        <w:t>[pers. C]</w:t>
      </w:r>
      <w:r w:rsidR="00F62862" w:rsidRPr="003258EF">
        <w:t xml:space="preserve"> liecī</w:t>
      </w:r>
      <w:r w:rsidR="000B6739" w:rsidRPr="003258EF">
        <w:t>bā</w:t>
      </w:r>
      <w:r w:rsidR="00F62862" w:rsidRPr="003258EF">
        <w:t xml:space="preserve">m. </w:t>
      </w:r>
      <w:r w:rsidR="00E94DCC" w:rsidRPr="003258EF">
        <w:t xml:space="preserve">Apsūdzētā </w:t>
      </w:r>
      <w:r w:rsidR="00E32E81">
        <w:t>[pers. A]</w:t>
      </w:r>
      <w:r w:rsidR="00E94DCC" w:rsidRPr="003258EF">
        <w:t xml:space="preserve"> </w:t>
      </w:r>
      <w:r w:rsidR="000B6739" w:rsidRPr="003258EF">
        <w:t xml:space="preserve">2020. gada 4. novembrī </w:t>
      </w:r>
      <w:r w:rsidR="00E94DCC" w:rsidRPr="003258EF">
        <w:t xml:space="preserve">sniegtās </w:t>
      </w:r>
      <w:r w:rsidR="000B6739" w:rsidRPr="003258EF">
        <w:t>liecības ir pretrunīgas, proti</w:t>
      </w:r>
      <w:r w:rsidR="00E94DCC" w:rsidRPr="003258EF">
        <w:t xml:space="preserve">, </w:t>
      </w:r>
      <w:r w:rsidR="000B6739" w:rsidRPr="003258EF">
        <w:t>liecību sākum</w:t>
      </w:r>
      <w:r w:rsidR="00E94DCC" w:rsidRPr="003258EF">
        <w:t>ā</w:t>
      </w:r>
      <w:r w:rsidR="000B6739" w:rsidRPr="003258EF">
        <w:t xml:space="preserve"> tiek norādīts, ka apsūdzētais nav pieņēmis kuku</w:t>
      </w:r>
      <w:r w:rsidR="00E94DCC" w:rsidRPr="003258EF">
        <w:t>li</w:t>
      </w:r>
      <w:r w:rsidR="000B6739" w:rsidRPr="003258EF">
        <w:t xml:space="preserve"> </w:t>
      </w:r>
      <w:r w:rsidR="003C503F" w:rsidRPr="003258EF">
        <w:t>150</w:t>
      </w:r>
      <w:r w:rsidR="003C503F">
        <w:t> </w:t>
      </w:r>
      <w:proofErr w:type="spellStart"/>
      <w:r w:rsidR="000B6739" w:rsidRPr="003258EF">
        <w:rPr>
          <w:i/>
          <w:iCs/>
        </w:rPr>
        <w:t>euro</w:t>
      </w:r>
      <w:proofErr w:type="spellEnd"/>
      <w:r w:rsidR="000B6739" w:rsidRPr="003258EF">
        <w:t xml:space="preserve"> katru mēnesi sešu mēnešu </w:t>
      </w:r>
      <w:r w:rsidR="00FC4AD9">
        <w:t>ilgumā</w:t>
      </w:r>
      <w:r w:rsidR="000B6739" w:rsidRPr="003258EF">
        <w:t>, bet</w:t>
      </w:r>
      <w:r w:rsidR="00E94DCC" w:rsidRPr="003258EF">
        <w:t>,</w:t>
      </w:r>
      <w:r w:rsidR="000B6739" w:rsidRPr="003258EF">
        <w:t xml:space="preserve"> </w:t>
      </w:r>
      <w:r w:rsidR="00E94DCC" w:rsidRPr="003258EF">
        <w:t>papildus liecinot</w:t>
      </w:r>
      <w:r w:rsidR="00A17684" w:rsidRPr="003258EF">
        <w:t>,</w:t>
      </w:r>
      <w:r w:rsidR="00E94DCC" w:rsidRPr="003258EF">
        <w:t xml:space="preserve"> </w:t>
      </w:r>
      <w:r w:rsidR="00A17684" w:rsidRPr="003258EF">
        <w:t xml:space="preserve">apsūdzētais </w:t>
      </w:r>
      <w:r w:rsidR="000B6739" w:rsidRPr="003258EF">
        <w:t>norādījis, ka 2020. gada maijā viņam piezvanīja un piedāvāja maksāt 100 </w:t>
      </w:r>
      <w:proofErr w:type="spellStart"/>
      <w:r w:rsidR="000B6739" w:rsidRPr="003258EF">
        <w:rPr>
          <w:i/>
          <w:iCs/>
        </w:rPr>
        <w:t>euro</w:t>
      </w:r>
      <w:proofErr w:type="spellEnd"/>
      <w:r w:rsidR="000B6739" w:rsidRPr="003258EF">
        <w:t xml:space="preserve"> vai 150 </w:t>
      </w:r>
      <w:proofErr w:type="spellStart"/>
      <w:r w:rsidR="000B6739" w:rsidRPr="003258EF">
        <w:rPr>
          <w:i/>
          <w:iCs/>
        </w:rPr>
        <w:t>euro</w:t>
      </w:r>
      <w:proofErr w:type="spellEnd"/>
      <w:r w:rsidR="000B6739" w:rsidRPr="003258EF">
        <w:t xml:space="preserve">. </w:t>
      </w:r>
    </w:p>
    <w:p w14:paraId="6A615A7C" w14:textId="223B11A4" w:rsidR="000B6739" w:rsidRPr="003258EF" w:rsidRDefault="00F62862" w:rsidP="000B6739">
      <w:pPr>
        <w:pStyle w:val="NormalWeb"/>
        <w:shd w:val="clear" w:color="auto" w:fill="FFFFFF"/>
        <w:spacing w:before="0" w:beforeAutospacing="0" w:after="0" w:afterAutospacing="0" w:line="276" w:lineRule="auto"/>
        <w:ind w:firstLine="720"/>
        <w:jc w:val="both"/>
      </w:pPr>
      <w:r w:rsidRPr="003258EF">
        <w:t>[4.3] </w:t>
      </w:r>
      <w:r w:rsidR="004732CB" w:rsidRPr="003258EF">
        <w:t>Saruna</w:t>
      </w:r>
      <w:r w:rsidR="003C503F">
        <w:t>s</w:t>
      </w:r>
      <w:r w:rsidR="004732CB" w:rsidRPr="003258EF">
        <w:t xml:space="preserve"> starp apsūdzēt</w:t>
      </w:r>
      <w:r w:rsidR="00A17684" w:rsidRPr="003258EF">
        <w:t>o</w:t>
      </w:r>
      <w:r w:rsidR="004732CB" w:rsidRPr="003258EF">
        <w:t xml:space="preserve"> </w:t>
      </w:r>
      <w:r w:rsidR="00E32E81">
        <w:t>[pers. A]</w:t>
      </w:r>
      <w:r w:rsidR="004732CB" w:rsidRPr="003258EF">
        <w:t xml:space="preserve"> un </w:t>
      </w:r>
      <w:r w:rsidR="00E32E81">
        <w:t>[pers. C]</w:t>
      </w:r>
      <w:r w:rsidR="004732CB" w:rsidRPr="003258EF">
        <w:t xml:space="preserve"> nav notikušas dabiskā situācijā, bet tās ir speciāli organizētas. No sarunu atšifrējuma izriet, ka </w:t>
      </w:r>
      <w:r w:rsidR="00E32E81">
        <w:t>[pers. C]</w:t>
      </w:r>
      <w:r w:rsidR="004732CB" w:rsidRPr="003258EF">
        <w:t xml:space="preserve"> ir izprovocējis </w:t>
      </w:r>
      <w:r w:rsidR="00070583">
        <w:t>[pers. A]</w:t>
      </w:r>
      <w:r w:rsidR="004732CB" w:rsidRPr="003258EF">
        <w:t xml:space="preserve">, uzsākot telefonsarunu un uzdodot provocējošus jautājumus. </w:t>
      </w:r>
      <w:r w:rsidR="00453E25" w:rsidRPr="003258EF">
        <w:t>Tiesa nepamatoti telefonsarunu ierakstus atzinusi par pieļaujamiem pierādījumiem.</w:t>
      </w:r>
    </w:p>
    <w:p w14:paraId="5B12CD53" w14:textId="02AEC939" w:rsidR="00AF0442" w:rsidRPr="003258EF" w:rsidRDefault="000B6739" w:rsidP="005E1DF5">
      <w:pPr>
        <w:pStyle w:val="NormalWeb"/>
        <w:shd w:val="clear" w:color="auto" w:fill="FFFFFF"/>
        <w:spacing w:before="0" w:beforeAutospacing="0" w:after="0" w:afterAutospacing="0" w:line="276" w:lineRule="auto"/>
        <w:ind w:firstLine="720"/>
        <w:jc w:val="both"/>
      </w:pPr>
      <w:r w:rsidRPr="003258EF">
        <w:t>[4.4] </w:t>
      </w:r>
      <w:r w:rsidR="00AF0442" w:rsidRPr="003258EF">
        <w:t>Ar Ekonomisko lietu tiesas 2022. gada 21.</w:t>
      </w:r>
      <w:r w:rsidR="002A5CEA" w:rsidRPr="003258EF">
        <w:t> </w:t>
      </w:r>
      <w:r w:rsidR="00AF0442" w:rsidRPr="003258EF">
        <w:t>novembra spriedumu no apsūdzēt</w:t>
      </w:r>
      <w:r w:rsidR="003F7B97" w:rsidRPr="003258EF">
        <w:t>ā</w:t>
      </w:r>
      <w:r w:rsidR="00AF0442" w:rsidRPr="003258EF">
        <w:t xml:space="preserve"> valsts labā piedzīti procesuālie izdevum</w:t>
      </w:r>
      <w:r w:rsidR="001847BE" w:rsidRPr="003258EF">
        <w:t>i</w:t>
      </w:r>
      <w:r w:rsidR="00AF0442" w:rsidRPr="003258EF">
        <w:t xml:space="preserve"> par juridiskās palīdzības sniegšanu tiesā 1279,60 </w:t>
      </w:r>
      <w:proofErr w:type="spellStart"/>
      <w:r w:rsidR="00AF0442" w:rsidRPr="003258EF">
        <w:rPr>
          <w:i/>
          <w:iCs/>
        </w:rPr>
        <w:t>euro</w:t>
      </w:r>
      <w:proofErr w:type="spellEnd"/>
      <w:r w:rsidR="00AF0442" w:rsidRPr="003258EF">
        <w:t xml:space="preserve"> un </w:t>
      </w:r>
      <w:proofErr w:type="spellStart"/>
      <w:r w:rsidR="00AF0442" w:rsidRPr="003258EF">
        <w:t>pirmstiesas</w:t>
      </w:r>
      <w:proofErr w:type="spellEnd"/>
      <w:r w:rsidR="00AF0442" w:rsidRPr="003258EF">
        <w:t xml:space="preserve"> procesā 67,47</w:t>
      </w:r>
      <w:r w:rsidR="002A5CEA" w:rsidRPr="003258EF">
        <w:t> </w:t>
      </w:r>
      <w:proofErr w:type="spellStart"/>
      <w:r w:rsidR="00AF0442" w:rsidRPr="003258EF">
        <w:rPr>
          <w:i/>
          <w:iCs/>
        </w:rPr>
        <w:t>euro</w:t>
      </w:r>
      <w:proofErr w:type="spellEnd"/>
      <w:r w:rsidR="00AF0442" w:rsidRPr="003258EF">
        <w:t>, kopā 1347,07 </w:t>
      </w:r>
      <w:proofErr w:type="spellStart"/>
      <w:r w:rsidR="00AF0442" w:rsidRPr="003258EF">
        <w:rPr>
          <w:i/>
          <w:iCs/>
        </w:rPr>
        <w:t>euro</w:t>
      </w:r>
      <w:proofErr w:type="spellEnd"/>
      <w:r w:rsidR="00AF0442" w:rsidRPr="003258EF">
        <w:t xml:space="preserve">. Apelācijas instances tiesa pirmās instances tiesas spriedumu šajā daļā atstājusi negrozītu. </w:t>
      </w:r>
      <w:r w:rsidR="00AF7A17" w:rsidRPr="003258EF">
        <w:t xml:space="preserve">Apsūdzētā aizstāvību </w:t>
      </w:r>
      <w:proofErr w:type="spellStart"/>
      <w:r w:rsidR="00AF7A17" w:rsidRPr="003258EF">
        <w:t>pirmstiesas</w:t>
      </w:r>
      <w:proofErr w:type="spellEnd"/>
      <w:r w:rsidR="00AF7A17" w:rsidRPr="003258EF">
        <w:t xml:space="preserve"> procesā</w:t>
      </w:r>
      <w:r w:rsidR="005C673F">
        <w:t xml:space="preserve"> </w:t>
      </w:r>
      <w:r w:rsidR="00AF0442" w:rsidRPr="003258EF">
        <w:t xml:space="preserve">īstenoja zvērināta advokāte Inta </w:t>
      </w:r>
      <w:proofErr w:type="spellStart"/>
      <w:r w:rsidR="00AF0442" w:rsidRPr="003258EF">
        <w:t>Tūmane</w:t>
      </w:r>
      <w:proofErr w:type="spellEnd"/>
      <w:r w:rsidR="00AF0442" w:rsidRPr="003258EF">
        <w:t xml:space="preserve">. </w:t>
      </w:r>
      <w:r w:rsidR="001847BE" w:rsidRPr="003258EF">
        <w:t>T</w:t>
      </w:r>
      <w:r w:rsidR="00AF0442" w:rsidRPr="003258EF">
        <w:t>iesa nepamatoti atzinusi, ka apsūdzētajam tika</w:t>
      </w:r>
      <w:r w:rsidR="00645E81">
        <w:t xml:space="preserve"> sniegta valsts</w:t>
      </w:r>
      <w:r w:rsidR="00AF0442" w:rsidRPr="003258EF">
        <w:t xml:space="preserve"> nodrošināta juridiskā palīdzība.</w:t>
      </w:r>
    </w:p>
    <w:p w14:paraId="0082A5E8" w14:textId="052361C7" w:rsidR="00C1207F" w:rsidRPr="00FC4AD9" w:rsidRDefault="00C1207F" w:rsidP="00AF0442">
      <w:pPr>
        <w:pStyle w:val="NormalWeb"/>
        <w:shd w:val="clear" w:color="auto" w:fill="FFFFFF"/>
        <w:spacing w:before="0" w:beforeAutospacing="0" w:after="0" w:afterAutospacing="0" w:line="276" w:lineRule="auto"/>
        <w:ind w:firstLine="720"/>
        <w:jc w:val="both"/>
      </w:pPr>
      <w:r w:rsidRPr="003258EF">
        <w:t>[</w:t>
      </w:r>
      <w:r w:rsidR="003F7B97" w:rsidRPr="003258EF">
        <w:t>4</w:t>
      </w:r>
      <w:r w:rsidRPr="003258EF">
        <w:t>.</w:t>
      </w:r>
      <w:r w:rsidR="005E1DF5">
        <w:t>5</w:t>
      </w:r>
      <w:r w:rsidRPr="003258EF">
        <w:t xml:space="preserve">] Apsūdzētajam </w:t>
      </w:r>
      <w:proofErr w:type="spellStart"/>
      <w:r w:rsidRPr="0065282F">
        <w:t>pirmstiesas</w:t>
      </w:r>
      <w:proofErr w:type="spellEnd"/>
      <w:r w:rsidRPr="0065282F">
        <w:t xml:space="preserve"> </w:t>
      </w:r>
      <w:r w:rsidR="005E1DF5" w:rsidRPr="0065282F">
        <w:t xml:space="preserve">kriminālprocesā </w:t>
      </w:r>
      <w:r w:rsidRPr="003258EF">
        <w:t>netika nodrošinātas tiesības uz aizstāvību, kas noteiktas Kriminālprocesa likuma 20.</w:t>
      </w:r>
      <w:r w:rsidR="003F7B97" w:rsidRPr="003258EF">
        <w:t> </w:t>
      </w:r>
      <w:r w:rsidRPr="003258EF">
        <w:t>pantā</w:t>
      </w:r>
      <w:r w:rsidR="003F7B97" w:rsidRPr="003258EF">
        <w:t xml:space="preserve">, jo </w:t>
      </w:r>
      <w:r w:rsidR="00FC4AD9">
        <w:t>advokāta sniegtā juridiskā palīdzība bija nekvalitatīva</w:t>
      </w:r>
      <w:r w:rsidR="00D90ECF" w:rsidRPr="003258EF">
        <w:t>, ievērojot to, ka aizstāvim bija atšķirīga izpratne par aizstāvības taktiku</w:t>
      </w:r>
      <w:r w:rsidR="003F7B97" w:rsidRPr="003258EF">
        <w:t>.</w:t>
      </w:r>
      <w:r w:rsidRPr="003258EF">
        <w:t xml:space="preserve"> </w:t>
      </w:r>
      <w:r w:rsidRPr="0005230E">
        <w:t xml:space="preserve">Tādējādi tika </w:t>
      </w:r>
      <w:r w:rsidRPr="00FC4AD9">
        <w:t>pārkāpti nacionālajos un starptautiskajos cilvēktiesību dokumentos nostiprinātie principi. Apsūdzētajam no viņa neatkarīgu iemeslu dēļ nebija iespējams saņemt juridisku konsultāciju un izvēlēties aizstāvības pozīciju.</w:t>
      </w:r>
    </w:p>
    <w:p w14:paraId="36DBC9C8" w14:textId="57AFC529" w:rsidR="00355CF2" w:rsidRPr="003258EF" w:rsidRDefault="003F7B97" w:rsidP="00355CF2">
      <w:pPr>
        <w:pStyle w:val="NormalWeb"/>
        <w:shd w:val="clear" w:color="auto" w:fill="FFFFFF"/>
        <w:spacing w:before="0" w:beforeAutospacing="0" w:after="0" w:afterAutospacing="0" w:line="276" w:lineRule="auto"/>
        <w:ind w:firstLine="720"/>
        <w:jc w:val="both"/>
        <w:rPr>
          <w:u w:val="single"/>
        </w:rPr>
      </w:pPr>
      <w:r w:rsidRPr="00FC4AD9">
        <w:t>[4.</w:t>
      </w:r>
      <w:r w:rsidR="008F7217">
        <w:t>6</w:t>
      </w:r>
      <w:r w:rsidRPr="00FC4AD9">
        <w:t>]</w:t>
      </w:r>
      <w:r w:rsidR="00B27EC7">
        <w:t> </w:t>
      </w:r>
      <w:r w:rsidR="00172FEF" w:rsidRPr="00FC4AD9">
        <w:t>A</w:t>
      </w:r>
      <w:r w:rsidR="00724328" w:rsidRPr="00FC4AD9">
        <w:t>resta saglabāšana apsūdzēt</w:t>
      </w:r>
      <w:r w:rsidR="00172FEF" w:rsidRPr="00FC4AD9">
        <w:t>ajam</w:t>
      </w:r>
      <w:r w:rsidR="00724328" w:rsidRPr="00FC4AD9">
        <w:t xml:space="preserve"> piederošaj</w:t>
      </w:r>
      <w:r w:rsidR="00172FEF" w:rsidRPr="00FC4AD9">
        <w:t>a</w:t>
      </w:r>
      <w:r w:rsidR="00724328" w:rsidRPr="00FC4AD9">
        <w:t>m nekust</w:t>
      </w:r>
      <w:r w:rsidR="00FC4AD9" w:rsidRPr="00FC4AD9">
        <w:t>a</w:t>
      </w:r>
      <w:r w:rsidR="00724328" w:rsidRPr="00FC4AD9">
        <w:t xml:space="preserve">majam īpašumam </w:t>
      </w:r>
      <w:r w:rsidR="0012741C">
        <w:t>[adrese]</w:t>
      </w:r>
      <w:r w:rsidR="00724328" w:rsidRPr="00FC4AD9">
        <w:t xml:space="preserve"> uzskatāma par nesamērīgu iejaukšanos personas privātajā dzīvē un sodu. </w:t>
      </w:r>
      <w:r w:rsidR="00724328" w:rsidRPr="00B27EC7">
        <w:t xml:space="preserve">Šāda iejaukšanās personas privātajā dzīvē neatbilst </w:t>
      </w:r>
      <w:r w:rsidR="001847BE" w:rsidRPr="00B27EC7">
        <w:t xml:space="preserve">Latvijas Republikas </w:t>
      </w:r>
      <w:r w:rsidR="00724328" w:rsidRPr="00B27EC7">
        <w:t>Satversmē garantētajām tiesībām uz īpašumu un tiesiskās paļāvības principam.</w:t>
      </w:r>
      <w:r w:rsidR="00724328" w:rsidRPr="00940AD0">
        <w:t xml:space="preserve"> </w:t>
      </w:r>
    </w:p>
    <w:p w14:paraId="1EF8C3EB" w14:textId="77777777" w:rsidR="00355CF2" w:rsidRPr="003258EF" w:rsidRDefault="00355CF2" w:rsidP="00355CF2">
      <w:pPr>
        <w:pStyle w:val="NormalWeb"/>
        <w:shd w:val="clear" w:color="auto" w:fill="FFFFFF"/>
        <w:spacing w:before="0" w:beforeAutospacing="0" w:after="0" w:afterAutospacing="0" w:line="276" w:lineRule="auto"/>
        <w:ind w:firstLine="720"/>
        <w:jc w:val="both"/>
        <w:rPr>
          <w:u w:val="single"/>
        </w:rPr>
      </w:pPr>
    </w:p>
    <w:p w14:paraId="66208177" w14:textId="069BCB54" w:rsidR="00355CF2" w:rsidRPr="003258EF" w:rsidRDefault="00724328" w:rsidP="00355CF2">
      <w:pPr>
        <w:pStyle w:val="NormalWeb"/>
        <w:shd w:val="clear" w:color="auto" w:fill="FFFFFF"/>
        <w:spacing w:before="0" w:beforeAutospacing="0" w:after="0" w:afterAutospacing="0" w:line="276" w:lineRule="auto"/>
        <w:ind w:firstLine="720"/>
        <w:jc w:val="both"/>
        <w:rPr>
          <w:u w:val="single"/>
        </w:rPr>
      </w:pPr>
      <w:r w:rsidRPr="003258EF">
        <w:t>[5] </w:t>
      </w:r>
      <w:r w:rsidR="00355CF2" w:rsidRPr="003258EF">
        <w:t>Par Rīgas apgabaltiesas 202</w:t>
      </w:r>
      <w:r w:rsidR="00164FA9">
        <w:t>3</w:t>
      </w:r>
      <w:r w:rsidR="00355CF2" w:rsidRPr="003258EF">
        <w:t xml:space="preserve">. gada 31. oktobra spriedumu apsūdzētā </w:t>
      </w:r>
      <w:r w:rsidR="00070583">
        <w:t>[pers. A]</w:t>
      </w:r>
      <w:r w:rsidR="00355CF2" w:rsidRPr="003258EF">
        <w:t xml:space="preserve"> aizstāve B. D</w:t>
      </w:r>
      <w:r w:rsidR="00EA6EBA" w:rsidRPr="003258EF">
        <w:t>i</w:t>
      </w:r>
      <w:r w:rsidR="00355CF2" w:rsidRPr="003258EF">
        <w:t xml:space="preserve">drihsone iesniegusi kasācijas sūdzību, kurā lūdz atcelt minēto spriedumu pilnībā, izbeigt kriminālprocesu vai lietu nosūtīt jaunai izskatīšanai apelācijas instances tiesā. </w:t>
      </w:r>
    </w:p>
    <w:p w14:paraId="67E3E114" w14:textId="77777777" w:rsidR="000152B4" w:rsidRPr="003258EF" w:rsidRDefault="00355CF2" w:rsidP="000152B4">
      <w:pPr>
        <w:pStyle w:val="NormalWeb"/>
        <w:shd w:val="clear" w:color="auto" w:fill="FFFFFF"/>
        <w:spacing w:before="0" w:beforeAutospacing="0" w:after="0" w:afterAutospacing="0" w:line="276" w:lineRule="auto"/>
        <w:ind w:firstLine="720"/>
        <w:jc w:val="both"/>
      </w:pPr>
      <w:r w:rsidRPr="003258EF">
        <w:t>Savu lūgumu aizstāve pamatojusi ar šādiem argumentiem.</w:t>
      </w:r>
    </w:p>
    <w:p w14:paraId="470B5688" w14:textId="647C58FB" w:rsidR="00FF688F" w:rsidRPr="003258EF" w:rsidRDefault="000152B4" w:rsidP="002234FF">
      <w:pPr>
        <w:pStyle w:val="NormalWeb"/>
        <w:shd w:val="clear" w:color="auto" w:fill="FFFFFF"/>
        <w:spacing w:before="0" w:beforeAutospacing="0" w:after="0" w:afterAutospacing="0" w:line="276" w:lineRule="auto"/>
        <w:ind w:firstLine="720"/>
        <w:jc w:val="both"/>
      </w:pPr>
      <w:r w:rsidRPr="003258EF">
        <w:t xml:space="preserve">[5.1] Tiesa ir nepamatoti secinājusi, ka starp apsūdzētajiem ir pastāvējusi </w:t>
      </w:r>
      <w:r w:rsidR="003C503F" w:rsidRPr="003258EF">
        <w:t>vienošan</w:t>
      </w:r>
      <w:r w:rsidR="003C503F">
        <w:t>ā</w:t>
      </w:r>
      <w:r w:rsidR="003C503F" w:rsidRPr="003258EF">
        <w:t>s</w:t>
      </w:r>
      <w:r w:rsidRPr="003258EF">
        <w:t xml:space="preserve">, tādēļ noziedzīgais nodarījums ir izdarīts personu grupā. </w:t>
      </w:r>
    </w:p>
    <w:p w14:paraId="61BDBDC9" w14:textId="4E491E6D" w:rsidR="002234FF" w:rsidRPr="003258EF" w:rsidRDefault="00FF688F" w:rsidP="00FC4AD9">
      <w:pPr>
        <w:pStyle w:val="NormalWeb"/>
        <w:shd w:val="clear" w:color="auto" w:fill="FFFFFF"/>
        <w:spacing w:before="0" w:beforeAutospacing="0" w:after="0" w:afterAutospacing="0" w:line="276" w:lineRule="auto"/>
        <w:ind w:firstLine="720"/>
        <w:jc w:val="both"/>
      </w:pPr>
      <w:r w:rsidRPr="003258EF">
        <w:lastRenderedPageBreak/>
        <w:t>[5.1.1] </w:t>
      </w:r>
      <w:r w:rsidR="000152B4" w:rsidRPr="003258EF">
        <w:t>Šāds secinājums ir pretrun</w:t>
      </w:r>
      <w:r w:rsidR="00985CF6" w:rsidRPr="003258EF">
        <w:t>ā</w:t>
      </w:r>
      <w:r w:rsidR="000152B4" w:rsidRPr="003258EF">
        <w:t xml:space="preserve"> ar celto apsūdzību, kurā nor</w:t>
      </w:r>
      <w:r w:rsidR="00985CF6" w:rsidRPr="003258EF">
        <w:t>ā</w:t>
      </w:r>
      <w:r w:rsidR="000152B4" w:rsidRPr="003258EF">
        <w:t xml:space="preserve">dīts, ka līdz 2020. gada jūnija vidum </w:t>
      </w:r>
      <w:r w:rsidR="00070583">
        <w:t>[pers. A]</w:t>
      </w:r>
      <w:r w:rsidR="000152B4" w:rsidRPr="003258EF">
        <w:t xml:space="preserve"> un </w:t>
      </w:r>
      <w:r w:rsidR="00070583">
        <w:t>[pers. B]</w:t>
      </w:r>
      <w:r w:rsidR="000152B4" w:rsidRPr="003258EF">
        <w:t xml:space="preserve"> personu grupā pēc </w:t>
      </w:r>
      <w:r w:rsidR="004D6D91" w:rsidRPr="003258EF">
        <w:t>iepriekšēj</w:t>
      </w:r>
      <w:r w:rsidR="004D6D91">
        <w:t>a</w:t>
      </w:r>
      <w:r w:rsidR="004D6D91" w:rsidRPr="003258EF">
        <w:t xml:space="preserve">s </w:t>
      </w:r>
      <w:r w:rsidR="000152B4" w:rsidRPr="003258EF">
        <w:t>vienošanās</w:t>
      </w:r>
      <w:r w:rsidR="001847BE" w:rsidRPr="003258EF">
        <w:t xml:space="preserve"> pieņēmuši</w:t>
      </w:r>
      <w:r w:rsidR="000152B4" w:rsidRPr="003258EF">
        <w:t xml:space="preserve"> kukuli no </w:t>
      </w:r>
      <w:r w:rsidR="00070583">
        <w:t>[pers. C]</w:t>
      </w:r>
      <w:r w:rsidR="000152B4" w:rsidRPr="003258EF">
        <w:t xml:space="preserve">, savukārt sākot no 2020. gada jūlija </w:t>
      </w:r>
      <w:r w:rsidR="00070583">
        <w:t>[pers. A]</w:t>
      </w:r>
      <w:r w:rsidR="000152B4" w:rsidRPr="003258EF">
        <w:t xml:space="preserve"> un </w:t>
      </w:r>
      <w:r w:rsidR="00070583">
        <w:t>[pers. B]</w:t>
      </w:r>
      <w:r w:rsidR="000152B4" w:rsidRPr="003258EF">
        <w:t xml:space="preserve"> pieņēmuši kukuli individuāli. Tādējādi darbības </w:t>
      </w:r>
      <w:r w:rsidR="008746B4">
        <w:t xml:space="preserve">līdz 2020. gada jūlijam kvalificētas kā veiktas </w:t>
      </w:r>
      <w:r w:rsidR="001847BE" w:rsidRPr="003258EF">
        <w:t xml:space="preserve">personu </w:t>
      </w:r>
      <w:r w:rsidR="000152B4" w:rsidRPr="003258EF">
        <w:t>grupā pēc iepriekšējas vienošanās</w:t>
      </w:r>
      <w:r w:rsidR="00FC4AD9">
        <w:t>, bet</w:t>
      </w:r>
      <w:r w:rsidR="000152B4" w:rsidRPr="003258EF">
        <w:t xml:space="preserve"> pārējā</w:t>
      </w:r>
      <w:r w:rsidR="008746B4">
        <w:t>s</w:t>
      </w:r>
      <w:r w:rsidR="000152B4" w:rsidRPr="003258EF">
        <w:t xml:space="preserve"> </w:t>
      </w:r>
      <w:r w:rsidR="00985CF6" w:rsidRPr="003258EF">
        <w:t xml:space="preserve">darbības </w:t>
      </w:r>
      <w:r w:rsidR="000152B4" w:rsidRPr="003258EF">
        <w:t xml:space="preserve">katram apsūdzētajam </w:t>
      </w:r>
      <w:r w:rsidR="00985CF6" w:rsidRPr="003258EF">
        <w:t xml:space="preserve">kvalificētas </w:t>
      </w:r>
      <w:r w:rsidR="000152B4" w:rsidRPr="003258EF">
        <w:t xml:space="preserve">kā individuālas darbības. </w:t>
      </w:r>
      <w:r w:rsidR="00985CF6" w:rsidRPr="003258EF">
        <w:t xml:space="preserve">Tādējādi </w:t>
      </w:r>
      <w:r w:rsidR="00FC4AD9">
        <w:t>katra apsūdzētā atsevišķi veiktās darbības tiesa nepamatoti kvalificējusi kā izdarītas personu grupā pēc iepriekšējas vienošanās.</w:t>
      </w:r>
    </w:p>
    <w:p w14:paraId="19B0E751" w14:textId="2C9F0644" w:rsidR="00FF489D" w:rsidRPr="003258EF" w:rsidRDefault="002234FF" w:rsidP="002234FF">
      <w:pPr>
        <w:pStyle w:val="NormalWeb"/>
        <w:shd w:val="clear" w:color="auto" w:fill="FFFFFF"/>
        <w:spacing w:before="0" w:beforeAutospacing="0" w:after="0" w:afterAutospacing="0" w:line="276" w:lineRule="auto"/>
        <w:ind w:firstLine="720"/>
        <w:jc w:val="both"/>
      </w:pPr>
      <w:r w:rsidRPr="003258EF">
        <w:t>[5.</w:t>
      </w:r>
      <w:r w:rsidR="00FF688F" w:rsidRPr="003258EF">
        <w:t>1.</w:t>
      </w:r>
      <w:r w:rsidRPr="003258EF">
        <w:t>2] </w:t>
      </w:r>
      <w:r w:rsidR="009D0D40" w:rsidRPr="003258EF">
        <w:t xml:space="preserve">Turklāt </w:t>
      </w:r>
      <w:r w:rsidRPr="003258EF">
        <w:t xml:space="preserve">tiesa nav </w:t>
      </w:r>
      <w:r w:rsidR="004D6D91">
        <w:t>pamatojusi</w:t>
      </w:r>
      <w:r w:rsidR="004D6D91" w:rsidRPr="003258EF">
        <w:t xml:space="preserve"> iepriekšēj</w:t>
      </w:r>
      <w:r w:rsidR="004D6D91">
        <w:t>a</w:t>
      </w:r>
      <w:r w:rsidR="004D6D91" w:rsidRPr="003258EF">
        <w:t xml:space="preserve">s </w:t>
      </w:r>
      <w:r w:rsidR="009D0D40" w:rsidRPr="003258EF">
        <w:t>vienošanās esīb</w:t>
      </w:r>
      <w:r w:rsidRPr="003258EF">
        <w:t>u</w:t>
      </w:r>
      <w:r w:rsidR="009D0D40" w:rsidRPr="003258EF">
        <w:t xml:space="preserve"> </w:t>
      </w:r>
      <w:r w:rsidR="00FF489D" w:rsidRPr="003258EF">
        <w:t xml:space="preserve">starp apsūdzēto </w:t>
      </w:r>
      <w:r w:rsidR="00070583">
        <w:t>[pers. A]</w:t>
      </w:r>
      <w:r w:rsidR="00FF489D" w:rsidRPr="003258EF">
        <w:t xml:space="preserve"> un </w:t>
      </w:r>
      <w:r w:rsidR="00070583">
        <w:t>[pers. B]</w:t>
      </w:r>
      <w:r w:rsidR="00FF489D" w:rsidRPr="003258EF">
        <w:t xml:space="preserve"> par Krimināllikuma 320. panta trešajā daļā paredzētā noziedzīgā nodarījuma izdarīšanu</w:t>
      </w:r>
      <w:r w:rsidRPr="003258EF">
        <w:t>.</w:t>
      </w:r>
      <w:r w:rsidR="009D0D40" w:rsidRPr="003258EF">
        <w:t xml:space="preserve"> </w:t>
      </w:r>
      <w:r w:rsidR="00FF489D" w:rsidRPr="003258EF">
        <w:t xml:space="preserve">Nedz </w:t>
      </w:r>
      <w:r w:rsidR="00070583">
        <w:t>[pers. C]</w:t>
      </w:r>
      <w:r w:rsidR="00FF489D" w:rsidRPr="003258EF">
        <w:t xml:space="preserve"> un </w:t>
      </w:r>
      <w:r w:rsidR="00070583">
        <w:t>[pers. A]</w:t>
      </w:r>
      <w:r w:rsidR="00FF489D" w:rsidRPr="003258EF">
        <w:t xml:space="preserve"> </w:t>
      </w:r>
      <w:r w:rsidR="004D6D91" w:rsidRPr="003258EF">
        <w:t>sarakst</w:t>
      </w:r>
      <w:r w:rsidR="004D6D91">
        <w:t>ē</w:t>
      </w:r>
      <w:r w:rsidR="004D6D91" w:rsidRPr="003258EF">
        <w:t xml:space="preserve"> </w:t>
      </w:r>
      <w:r w:rsidR="00FF489D" w:rsidRPr="003258EF">
        <w:t>lietotnē „</w:t>
      </w:r>
      <w:proofErr w:type="spellStart"/>
      <w:r w:rsidR="00B86D74" w:rsidRPr="003258EF">
        <w:t>WhatsApp</w:t>
      </w:r>
      <w:proofErr w:type="spellEnd"/>
      <w:r w:rsidR="00FF489D" w:rsidRPr="003258EF">
        <w:t xml:space="preserve">”, nedz arī </w:t>
      </w:r>
      <w:r w:rsidR="00070583">
        <w:t xml:space="preserve">[pers. B] </w:t>
      </w:r>
      <w:r w:rsidR="00FF489D" w:rsidRPr="003258EF">
        <w:t xml:space="preserve">un </w:t>
      </w:r>
      <w:r w:rsidR="00070583">
        <w:t>[pers. A]</w:t>
      </w:r>
      <w:r w:rsidR="00FF489D" w:rsidRPr="003258EF">
        <w:t xml:space="preserve"> sarakst</w:t>
      </w:r>
      <w:r w:rsidRPr="003258EF">
        <w:t>ē</w:t>
      </w:r>
      <w:r w:rsidR="00FF489D" w:rsidRPr="003258EF">
        <w:t xml:space="preserve"> n</w:t>
      </w:r>
      <w:r w:rsidRPr="003258EF">
        <w:t>av</w:t>
      </w:r>
      <w:r w:rsidR="00FF489D" w:rsidRPr="003258EF">
        <w:t xml:space="preserve"> ziņ</w:t>
      </w:r>
      <w:r w:rsidRPr="003258EF">
        <w:t>u</w:t>
      </w:r>
      <w:r w:rsidR="00FF489D" w:rsidRPr="003258EF">
        <w:t xml:space="preserve"> par to, ka starp apsūdzētajiem būtu pastāvējusi </w:t>
      </w:r>
      <w:r w:rsidRPr="003258EF">
        <w:t xml:space="preserve">šāda </w:t>
      </w:r>
      <w:r w:rsidR="00FF489D" w:rsidRPr="003258EF">
        <w:t xml:space="preserve">vienošanās. </w:t>
      </w:r>
      <w:r w:rsidR="0099238C" w:rsidRPr="003258EF">
        <w:t xml:space="preserve">Lai apgalvotu, ka </w:t>
      </w:r>
      <w:r w:rsidR="00070583">
        <w:t>[pers. A]</w:t>
      </w:r>
      <w:r w:rsidR="0099238C" w:rsidRPr="003258EF">
        <w:t xml:space="preserve"> un </w:t>
      </w:r>
      <w:r w:rsidR="00070583">
        <w:t>[pers. B]</w:t>
      </w:r>
      <w:r w:rsidR="0099238C" w:rsidRPr="003258EF">
        <w:t xml:space="preserve"> noziedzīgās darbības izdarījuši </w:t>
      </w:r>
      <w:r w:rsidR="004D6D91">
        <w:t xml:space="preserve">personu </w:t>
      </w:r>
      <w:r w:rsidR="0099238C" w:rsidRPr="003258EF">
        <w:t>grupā, ir jāpierāda, ka abi apsūdzētie ir piedalīju</w:t>
      </w:r>
      <w:r w:rsidR="001847BE" w:rsidRPr="003258EF">
        <w:t>š</w:t>
      </w:r>
      <w:r w:rsidR="0099238C" w:rsidRPr="003258EF">
        <w:t xml:space="preserve">ies to darbību izdarīšanā, ar kuru tiek realizēts </w:t>
      </w:r>
      <w:r w:rsidR="004D6D91" w:rsidRPr="003258EF">
        <w:t>noziedzīg</w:t>
      </w:r>
      <w:r w:rsidR="004D6D91">
        <w:t>ā</w:t>
      </w:r>
      <w:r w:rsidR="004D6D91" w:rsidRPr="003258EF">
        <w:t xml:space="preserve"> </w:t>
      </w:r>
      <w:r w:rsidR="0099238C" w:rsidRPr="003258EF">
        <w:t xml:space="preserve">nodarījuma sastāvs. </w:t>
      </w:r>
    </w:p>
    <w:p w14:paraId="7D0A6F1B" w14:textId="4557C64E" w:rsidR="0099238C" w:rsidRPr="003258EF" w:rsidRDefault="0099238C" w:rsidP="0099238C">
      <w:pPr>
        <w:pStyle w:val="NormalWeb"/>
        <w:shd w:val="clear" w:color="auto" w:fill="FFFFFF"/>
        <w:spacing w:before="0" w:beforeAutospacing="0" w:after="0" w:afterAutospacing="0" w:line="276" w:lineRule="auto"/>
        <w:ind w:firstLine="720"/>
        <w:jc w:val="both"/>
      </w:pPr>
      <w:r w:rsidRPr="003258EF">
        <w:t>[5.</w:t>
      </w:r>
      <w:r w:rsidR="00FF688F" w:rsidRPr="003258EF">
        <w:t>2</w:t>
      </w:r>
      <w:r w:rsidRPr="003258EF">
        <w:t>] Tiesa nepamatoti atzinusi, ka</w:t>
      </w:r>
      <w:r w:rsidR="00FC4AD9">
        <w:t xml:space="preserve">, </w:t>
      </w:r>
      <w:r w:rsidR="00FC4AD9" w:rsidRPr="003258EF">
        <w:t>iegū</w:t>
      </w:r>
      <w:r w:rsidR="00FC4AD9">
        <w:t xml:space="preserve">stot </w:t>
      </w:r>
      <w:r w:rsidR="00FC4AD9" w:rsidRPr="003258EF">
        <w:t>ziņas par pierādāmajiem apstākļiem</w:t>
      </w:r>
      <w:r w:rsidR="00FC4AD9">
        <w:t xml:space="preserve">, </w:t>
      </w:r>
      <w:r w:rsidR="00FF688F" w:rsidRPr="003258EF">
        <w:t>ir ievērotas</w:t>
      </w:r>
      <w:r w:rsidRPr="003258EF">
        <w:t xml:space="preserve"> Kriminālprocesa likuma 11. nodaļ</w:t>
      </w:r>
      <w:r w:rsidR="009F5833">
        <w:t>ā noteiktās</w:t>
      </w:r>
      <w:r w:rsidRPr="003258EF">
        <w:t xml:space="preserve"> prasības</w:t>
      </w:r>
      <w:r w:rsidR="009F5833">
        <w:t xml:space="preserve"> par</w:t>
      </w:r>
      <w:r w:rsidRPr="003258EF">
        <w:t xml:space="preserve"> </w:t>
      </w:r>
      <w:r w:rsidR="00FC4AD9">
        <w:t xml:space="preserve">personas </w:t>
      </w:r>
      <w:proofErr w:type="spellStart"/>
      <w:r w:rsidR="00FC4AD9">
        <w:t>audiokontroles</w:t>
      </w:r>
      <w:proofErr w:type="spellEnd"/>
      <w:r w:rsidRPr="003258EF">
        <w:t xml:space="preserve"> veikšanas kārtību</w:t>
      </w:r>
      <w:r w:rsidR="00FF688F" w:rsidRPr="003258EF">
        <w:t>.</w:t>
      </w:r>
      <w:r w:rsidRPr="003258EF">
        <w:t xml:space="preserve"> </w:t>
      </w:r>
    </w:p>
    <w:p w14:paraId="3D8A6AF5" w14:textId="535F72B5" w:rsidR="0099238C" w:rsidRPr="003258EF" w:rsidRDefault="0099238C" w:rsidP="00A6749C">
      <w:pPr>
        <w:pStyle w:val="NormalWeb"/>
        <w:shd w:val="clear" w:color="auto" w:fill="FFFFFF"/>
        <w:spacing w:before="0" w:beforeAutospacing="0" w:after="0" w:afterAutospacing="0" w:line="276" w:lineRule="auto"/>
        <w:ind w:firstLine="720"/>
        <w:jc w:val="both"/>
      </w:pPr>
      <w:r w:rsidRPr="003258EF">
        <w:t>[5.</w:t>
      </w:r>
      <w:r w:rsidR="00FF688F" w:rsidRPr="003258EF">
        <w:t>2</w:t>
      </w:r>
      <w:r w:rsidRPr="003258EF">
        <w:t xml:space="preserve">.1] Kriminālprocesa likuma 222. panta otrā daļa noteic, ka personas </w:t>
      </w:r>
      <w:proofErr w:type="spellStart"/>
      <w:r w:rsidRPr="003258EF">
        <w:t>audiokontroli</w:t>
      </w:r>
      <w:proofErr w:type="spellEnd"/>
      <w:r w:rsidRPr="003258EF">
        <w:t xml:space="preserve"> ar šīs personas rakstveida piekrišanu, pamatojoties uz procesa virzītāja lēmumu, veic, ja ir pamats uzskatīt, ka pret šo personu vai tās tuviniekiem var tikt vērsts noziedzīgs nodarījums vai arī šī persona ir vai var tikt iesaistīta noziedzīga nodarījuma izdarīšanā. </w:t>
      </w:r>
      <w:r w:rsidR="00FF688F" w:rsidRPr="003258EF">
        <w:t xml:space="preserve">Šīs </w:t>
      </w:r>
      <w:r w:rsidRPr="003258EF">
        <w:t>izmeklēšanas darbības mērķis ir saistīts ar iespējam</w:t>
      </w:r>
      <w:r w:rsidR="00A6749C" w:rsidRPr="003258EF">
        <w:t>u</w:t>
      </w:r>
      <w:r w:rsidRPr="003258EF">
        <w:t xml:space="preserve"> personas iesaistīšanu noziedzīga nodarījuma</w:t>
      </w:r>
      <w:r w:rsidR="003069DA" w:rsidRPr="003258EF">
        <w:t xml:space="preserve"> izdarīšanā</w:t>
      </w:r>
      <w:r w:rsidRPr="003258EF">
        <w:t xml:space="preserve">, nevis </w:t>
      </w:r>
      <w:r w:rsidR="00CD7F0C" w:rsidRPr="003258EF">
        <w:t>ar</w:t>
      </w:r>
      <w:r w:rsidRPr="003258EF">
        <w:t xml:space="preserve"> ziņu vākšanu par </w:t>
      </w:r>
      <w:r w:rsidR="00D31579" w:rsidRPr="003258EF">
        <w:t>pierādāmajos</w:t>
      </w:r>
      <w:r w:rsidRPr="003258EF">
        <w:t xml:space="preserve"> </w:t>
      </w:r>
      <w:r w:rsidR="00D31579" w:rsidRPr="003258EF">
        <w:t>apstākļos</w:t>
      </w:r>
      <w:r w:rsidRPr="003258EF">
        <w:t xml:space="preserve"> </w:t>
      </w:r>
      <w:r w:rsidR="00D31579" w:rsidRPr="003258EF">
        <w:t>ietilpstošajiem</w:t>
      </w:r>
      <w:r w:rsidRPr="003258EF">
        <w:t xml:space="preserve"> faktiem</w:t>
      </w:r>
      <w:r w:rsidR="00CD7F0C" w:rsidRPr="003258EF">
        <w:t>. Minēto ziņu vākšana saskaņā ar</w:t>
      </w:r>
      <w:r w:rsidRPr="003258EF">
        <w:t xml:space="preserve"> </w:t>
      </w:r>
      <w:r w:rsidR="00D31579" w:rsidRPr="003258EF">
        <w:t>Kriminālprocesa likuma 222. panta pirmās daļas</w:t>
      </w:r>
      <w:r w:rsidRPr="003258EF">
        <w:t xml:space="preserve"> nosacījumiem ir </w:t>
      </w:r>
      <w:r w:rsidR="00CD7F0C" w:rsidRPr="003258EF">
        <w:t xml:space="preserve">paredzēta, ja </w:t>
      </w:r>
      <w:r w:rsidRPr="003258EF">
        <w:t xml:space="preserve">personas </w:t>
      </w:r>
      <w:proofErr w:type="spellStart"/>
      <w:r w:rsidRPr="003258EF">
        <w:t>audiokontrol</w:t>
      </w:r>
      <w:r w:rsidR="00D31579" w:rsidRPr="003258EF">
        <w:t>e</w:t>
      </w:r>
      <w:proofErr w:type="spellEnd"/>
      <w:r w:rsidRPr="003258EF">
        <w:t xml:space="preserve"> </w:t>
      </w:r>
      <w:r w:rsidR="00CD7F0C" w:rsidRPr="003258EF">
        <w:t xml:space="preserve">tiek veikta </w:t>
      </w:r>
      <w:r w:rsidRPr="003258EF">
        <w:t xml:space="preserve">bez </w:t>
      </w:r>
      <w:r w:rsidR="00D31579" w:rsidRPr="003258EF">
        <w:t>šīs</w:t>
      </w:r>
      <w:r w:rsidRPr="003258EF">
        <w:t xml:space="preserve"> personas </w:t>
      </w:r>
      <w:r w:rsidR="00D31579" w:rsidRPr="003258EF">
        <w:t>ziņas</w:t>
      </w:r>
      <w:r w:rsidRPr="003258EF">
        <w:t xml:space="preserve">, pamatojoties uz </w:t>
      </w:r>
      <w:r w:rsidR="00D31579" w:rsidRPr="003258EF">
        <w:t>izmeklēšanas</w:t>
      </w:r>
      <w:r w:rsidRPr="003258EF">
        <w:t xml:space="preserve"> </w:t>
      </w:r>
      <w:r w:rsidR="00D31579" w:rsidRPr="003258EF">
        <w:t>tiesneša</w:t>
      </w:r>
      <w:r w:rsidRPr="003258EF">
        <w:t xml:space="preserve"> </w:t>
      </w:r>
      <w:r w:rsidR="00D31579" w:rsidRPr="003258EF">
        <w:t>lēmumu</w:t>
      </w:r>
      <w:r w:rsidRPr="003258EF">
        <w:t xml:space="preserve">. </w:t>
      </w:r>
      <w:r w:rsidR="00A6749C" w:rsidRPr="003258EF">
        <w:t xml:space="preserve">Tiesa nepamatoti personas </w:t>
      </w:r>
      <w:proofErr w:type="spellStart"/>
      <w:r w:rsidR="00A6749C" w:rsidRPr="003258EF">
        <w:t>audiokontroles</w:t>
      </w:r>
      <w:proofErr w:type="spellEnd"/>
      <w:r w:rsidR="00A6749C" w:rsidRPr="003258EF">
        <w:t xml:space="preserve"> laikā iegūtās ziņas atzinusi par pieļaujamiem pierādījumiem, </w:t>
      </w:r>
      <w:r w:rsidR="00826A65">
        <w:t>jo</w:t>
      </w:r>
      <w:r w:rsidRPr="003258EF">
        <w:t xml:space="preserve"> </w:t>
      </w:r>
      <w:r w:rsidR="00D31579" w:rsidRPr="003258EF">
        <w:t>š</w:t>
      </w:r>
      <w:r w:rsidR="006A4D17" w:rsidRPr="003258EF">
        <w:t>īs</w:t>
      </w:r>
      <w:r w:rsidRPr="003258EF">
        <w:t xml:space="preserve"> </w:t>
      </w:r>
      <w:r w:rsidR="00D31579" w:rsidRPr="003258EF">
        <w:t>izmeklēšanas</w:t>
      </w:r>
      <w:r w:rsidRPr="003258EF">
        <w:t xml:space="preserve"> darbīb</w:t>
      </w:r>
      <w:r w:rsidR="006A4D17" w:rsidRPr="003258EF">
        <w:t>as</w:t>
      </w:r>
      <w:r w:rsidRPr="003258EF">
        <w:t xml:space="preserve"> </w:t>
      </w:r>
      <w:r w:rsidR="00D31579" w:rsidRPr="003258EF">
        <w:t>mērķis</w:t>
      </w:r>
      <w:r w:rsidRPr="003258EF">
        <w:t xml:space="preserve"> ir bijis </w:t>
      </w:r>
      <w:r w:rsidR="00D31579" w:rsidRPr="003258EF">
        <w:t>iegūt</w:t>
      </w:r>
      <w:r w:rsidRPr="003258EF">
        <w:t xml:space="preserve"> </w:t>
      </w:r>
      <w:r w:rsidR="00D31579" w:rsidRPr="003258EF">
        <w:t>ziņas</w:t>
      </w:r>
      <w:r w:rsidRPr="003258EF">
        <w:t xml:space="preserve"> par </w:t>
      </w:r>
      <w:r w:rsidR="00D31579" w:rsidRPr="003258EF">
        <w:t>pier</w:t>
      </w:r>
      <w:r w:rsidR="001847BE" w:rsidRPr="003258EF">
        <w:t>ā</w:t>
      </w:r>
      <w:r w:rsidR="00D31579" w:rsidRPr="003258EF">
        <w:t>dām</w:t>
      </w:r>
      <w:r w:rsidR="001847BE" w:rsidRPr="003258EF">
        <w:t>a</w:t>
      </w:r>
      <w:r w:rsidR="00D31579" w:rsidRPr="003258EF">
        <w:t>jiem</w:t>
      </w:r>
      <w:r w:rsidRPr="003258EF">
        <w:t xml:space="preserve"> </w:t>
      </w:r>
      <w:r w:rsidR="00D31579" w:rsidRPr="003258EF">
        <w:t>apstākļiem</w:t>
      </w:r>
      <w:r w:rsidR="009F5833">
        <w:t>.</w:t>
      </w:r>
    </w:p>
    <w:p w14:paraId="461A92FF" w14:textId="38BDA6A6" w:rsidR="00FF489D" w:rsidRPr="003258EF" w:rsidRDefault="00D31579" w:rsidP="000C0009">
      <w:pPr>
        <w:pStyle w:val="NormalWeb"/>
        <w:shd w:val="clear" w:color="auto" w:fill="FFFFFF"/>
        <w:spacing w:before="0" w:beforeAutospacing="0" w:after="0" w:afterAutospacing="0" w:line="276" w:lineRule="auto"/>
        <w:ind w:firstLine="720"/>
        <w:jc w:val="both"/>
      </w:pPr>
      <w:r w:rsidRPr="003258EF">
        <w:t>[5.</w:t>
      </w:r>
      <w:r w:rsidR="00FF688F" w:rsidRPr="003258EF">
        <w:t>2</w:t>
      </w:r>
      <w:r w:rsidRPr="003258EF">
        <w:t>.2] </w:t>
      </w:r>
      <w:r w:rsidR="000C0009" w:rsidRPr="003258EF">
        <w:t xml:space="preserve">Tiesa nav ņēmusi vērā, ka personas </w:t>
      </w:r>
      <w:proofErr w:type="spellStart"/>
      <w:r w:rsidR="000C0009" w:rsidRPr="003258EF">
        <w:t>audiokontroles</w:t>
      </w:r>
      <w:proofErr w:type="spellEnd"/>
      <w:r w:rsidR="000C0009" w:rsidRPr="003258EF">
        <w:t xml:space="preserve"> laikā iegūtās ziņas </w:t>
      </w:r>
      <w:r w:rsidRPr="003258EF">
        <w:t xml:space="preserve">nav </w:t>
      </w:r>
      <w:r w:rsidR="000C0009" w:rsidRPr="003258EF">
        <w:t>iegūtas</w:t>
      </w:r>
      <w:r w:rsidRPr="003258EF">
        <w:t xml:space="preserve"> dabiskā situācijā, bet </w:t>
      </w:r>
      <w:r w:rsidR="000C0009" w:rsidRPr="003258EF">
        <w:t xml:space="preserve">sarunas </w:t>
      </w:r>
      <w:r w:rsidRPr="003258EF">
        <w:t>ir speciāli organizētas, ierakstot privāt</w:t>
      </w:r>
      <w:r w:rsidR="000C0009" w:rsidRPr="003258EF">
        <w:t>as</w:t>
      </w:r>
      <w:r w:rsidRPr="003258EF">
        <w:t xml:space="preserve"> telefonsarun</w:t>
      </w:r>
      <w:r w:rsidR="000C0009" w:rsidRPr="003258EF">
        <w:t>as</w:t>
      </w:r>
      <w:r w:rsidRPr="003258EF">
        <w:t xml:space="preserve">. </w:t>
      </w:r>
      <w:r w:rsidR="00184CD4">
        <w:t>N</w:t>
      </w:r>
      <w:r w:rsidR="008E002B">
        <w:t xml:space="preserve">o </w:t>
      </w:r>
      <w:r w:rsidR="000C0009" w:rsidRPr="003258EF">
        <w:t xml:space="preserve">lietā esošajiem </w:t>
      </w:r>
      <w:r w:rsidRPr="003258EF">
        <w:t xml:space="preserve">sarunu </w:t>
      </w:r>
      <w:r w:rsidR="00EA2FEB" w:rsidRPr="003258EF">
        <w:t>pārskatiem</w:t>
      </w:r>
      <w:r w:rsidRPr="003258EF">
        <w:t xml:space="preserve"> izriet, ka </w:t>
      </w:r>
      <w:r w:rsidR="00070583">
        <w:t>[pers. C]</w:t>
      </w:r>
      <w:r w:rsidRPr="003258EF">
        <w:t xml:space="preserve"> ir izprovocējis sarunu ar </w:t>
      </w:r>
      <w:r w:rsidR="00070583">
        <w:t>[pers. A]</w:t>
      </w:r>
      <w:r w:rsidRPr="003258EF">
        <w:t>, gan uzs</w:t>
      </w:r>
      <w:r w:rsidR="003069DA" w:rsidRPr="003258EF">
        <w:t>ā</w:t>
      </w:r>
      <w:r w:rsidRPr="003258EF">
        <w:t>kot telefonsarunu, gan uzdodot provocējošus jautājumus</w:t>
      </w:r>
      <w:r w:rsidR="000C0009" w:rsidRPr="003258EF">
        <w:t xml:space="preserve">, </w:t>
      </w:r>
      <w:r w:rsidRPr="003258EF">
        <w:t>rad</w:t>
      </w:r>
      <w:r w:rsidR="000C0009" w:rsidRPr="003258EF">
        <w:t>ot</w:t>
      </w:r>
      <w:r w:rsidRPr="003258EF">
        <w:t xml:space="preserve"> situācij</w:t>
      </w:r>
      <w:r w:rsidR="000C0009" w:rsidRPr="003258EF">
        <w:t>u</w:t>
      </w:r>
      <w:r w:rsidRPr="003258EF">
        <w:t xml:space="preserve">, lai </w:t>
      </w:r>
      <w:r w:rsidR="00070583">
        <w:t>[pers. A]</w:t>
      </w:r>
      <w:r w:rsidRPr="003258EF">
        <w:t xml:space="preserve"> sarunā iekļautu izteicienus, kurus var izmantot pierādīšanā. </w:t>
      </w:r>
      <w:r w:rsidR="00EA6EBA" w:rsidRPr="003258EF">
        <w:t>Apelācijas instances tiesa nepamatoti konstatējusi</w:t>
      </w:r>
      <w:r w:rsidR="000C0009" w:rsidRPr="003258EF">
        <w:t xml:space="preserve">, ka </w:t>
      </w:r>
      <w:r w:rsidR="008E213D">
        <w:t>nav</w:t>
      </w:r>
      <w:r w:rsidR="000C0009" w:rsidRPr="003258EF">
        <w:t xml:space="preserve"> notikusi </w:t>
      </w:r>
      <w:r w:rsidR="00070583">
        <w:t>[pers. A]</w:t>
      </w:r>
      <w:r w:rsidR="000C0009" w:rsidRPr="003258EF">
        <w:t xml:space="preserve"> provocēšana,</w:t>
      </w:r>
      <w:r w:rsidR="00EA6EBA" w:rsidRPr="003258EF">
        <w:t xml:space="preserve"> un nepamatoti atzinusi šo izmeklēšanas darbību rezultātā iegūtās ziņas par pieļaujamām un izmantojamām pierādīšanā. </w:t>
      </w:r>
    </w:p>
    <w:p w14:paraId="7E02C4A1" w14:textId="77777777" w:rsidR="00EA6EBA" w:rsidRPr="003258EF" w:rsidRDefault="00EA6EBA" w:rsidP="00FF489D">
      <w:pPr>
        <w:pStyle w:val="NormalWeb"/>
        <w:shd w:val="clear" w:color="auto" w:fill="FFFFFF"/>
        <w:spacing w:before="0" w:beforeAutospacing="0" w:after="0" w:afterAutospacing="0" w:line="276" w:lineRule="auto"/>
        <w:ind w:firstLine="720"/>
        <w:jc w:val="both"/>
      </w:pPr>
    </w:p>
    <w:p w14:paraId="2FDF6C16" w14:textId="265071E6" w:rsidR="00EA6EBA" w:rsidRPr="003258EF" w:rsidRDefault="00EA6EBA" w:rsidP="00FF489D">
      <w:pPr>
        <w:pStyle w:val="NormalWeb"/>
        <w:shd w:val="clear" w:color="auto" w:fill="FFFFFF"/>
        <w:spacing w:before="0" w:beforeAutospacing="0" w:after="0" w:afterAutospacing="0" w:line="276" w:lineRule="auto"/>
        <w:ind w:firstLine="720"/>
        <w:jc w:val="both"/>
      </w:pPr>
      <w:r w:rsidRPr="003258EF">
        <w:t>[6] Par Rīgas apgabaltiesas 202</w:t>
      </w:r>
      <w:r w:rsidR="00164FA9">
        <w:t>3</w:t>
      </w:r>
      <w:r w:rsidRPr="003258EF">
        <w:t xml:space="preserve">. gada 31. oktobra spriedumu apsūdzētā </w:t>
      </w:r>
      <w:r w:rsidR="00070583">
        <w:t>[pers. B]</w:t>
      </w:r>
      <w:r w:rsidRPr="003258EF">
        <w:t xml:space="preserve"> aizstāvis E. </w:t>
      </w:r>
      <w:proofErr w:type="spellStart"/>
      <w:r w:rsidRPr="003258EF">
        <w:t>Rusanovs</w:t>
      </w:r>
      <w:proofErr w:type="spellEnd"/>
      <w:r w:rsidRPr="003258EF">
        <w:t xml:space="preserve"> iesniedzis kasācijas sūdzību, kurā lūdz atcelt minēto spriedumu </w:t>
      </w:r>
      <w:r w:rsidR="00EA23E4" w:rsidRPr="003258EF">
        <w:t xml:space="preserve">daļā par </w:t>
      </w:r>
      <w:r w:rsidR="00070583">
        <w:t>[pers. B]</w:t>
      </w:r>
      <w:r w:rsidR="00EA23E4" w:rsidRPr="003258EF">
        <w:t xml:space="preserve"> atzīšanu par vainīgu un sodīšanu pēc Krimināllikuma 320. panta trešās daļas un nosūtīt lietu jaunai izskatīšanai apelācijas instances tiesā. </w:t>
      </w:r>
    </w:p>
    <w:p w14:paraId="33B428BD" w14:textId="7C8E92EF" w:rsidR="00871D13" w:rsidRPr="003258EF" w:rsidRDefault="00871D13" w:rsidP="00871D13">
      <w:pPr>
        <w:pStyle w:val="NormalWeb"/>
        <w:shd w:val="clear" w:color="auto" w:fill="FFFFFF"/>
        <w:spacing w:before="0" w:beforeAutospacing="0" w:after="0" w:afterAutospacing="0" w:line="276" w:lineRule="auto"/>
        <w:ind w:firstLine="720"/>
        <w:jc w:val="both"/>
      </w:pPr>
      <w:r w:rsidRPr="003258EF">
        <w:t>Savu lūgumu aizstāvis pamatojis ar šādiem argumentiem.</w:t>
      </w:r>
    </w:p>
    <w:p w14:paraId="5AF63DF8" w14:textId="1297BA39" w:rsidR="00871D13" w:rsidRPr="003258EF" w:rsidRDefault="004D2312" w:rsidP="004D2312">
      <w:pPr>
        <w:pStyle w:val="NormalWeb"/>
        <w:shd w:val="clear" w:color="auto" w:fill="FFFFFF"/>
        <w:spacing w:before="0" w:beforeAutospacing="0" w:after="0" w:afterAutospacing="0" w:line="276" w:lineRule="auto"/>
        <w:ind w:firstLine="720"/>
        <w:jc w:val="both"/>
      </w:pPr>
      <w:r w:rsidRPr="003258EF">
        <w:t xml:space="preserve">[6.1] Apelācijas instances tiesa, atceļot </w:t>
      </w:r>
      <w:r w:rsidR="00196FBB">
        <w:t>pirmās instances tiesas</w:t>
      </w:r>
      <w:r w:rsidRPr="003258EF">
        <w:t xml:space="preserve"> spriedumu daļā par </w:t>
      </w:r>
      <w:r w:rsidR="00070583">
        <w:t>[pers. A]</w:t>
      </w:r>
      <w:r w:rsidRPr="003258EF">
        <w:t xml:space="preserve"> un </w:t>
      </w:r>
      <w:r w:rsidR="00070583">
        <w:t>[pers. B]</w:t>
      </w:r>
      <w:r w:rsidRPr="003258EF">
        <w:t xml:space="preserve"> atzīšanu par vainīgiem un sodīšanu pēc Krimināllikuma 320. panta </w:t>
      </w:r>
      <w:r w:rsidRPr="003258EF">
        <w:lastRenderedPageBreak/>
        <w:t xml:space="preserve">pirmās daļas, atsaukusies uz Kriminālprocesa likuma 563. panta pirmās daļas 3. punktu. </w:t>
      </w:r>
      <w:r w:rsidR="002A2CAA" w:rsidRPr="003258EF">
        <w:t xml:space="preserve">Apelācijas instances tiesas kompetence jauna sprieduma taisīšanā ir noteikta Kriminālprocesa likuma 565. pantā. No apelācijas instances tiesas sprieduma secināms, ka lietā taisīts pēc būtības jauns spriedums atbilstoši Kriminālprocesa likuma 565. panta trešās daļas 1. punktam. Tomēr apelācijas instances tiesa nav atsaukusies uz minēto normu, tādējādi </w:t>
      </w:r>
      <w:r w:rsidR="00DB564B">
        <w:t>nav izpildījusi</w:t>
      </w:r>
      <w:r w:rsidR="002A2CAA" w:rsidRPr="003258EF">
        <w:t xml:space="preserve"> Kriminālprocesa likuma 512. panta pirmajā daļā noteikto prasību, ka tiesa, taisot spriedumu, pamatojas uz procesuālo tiesību normām.</w:t>
      </w:r>
    </w:p>
    <w:p w14:paraId="0B6FC949" w14:textId="11A70017" w:rsidR="00B54D96" w:rsidRPr="003258EF" w:rsidRDefault="002A2CAA" w:rsidP="00B54D96">
      <w:pPr>
        <w:pStyle w:val="NormalWeb"/>
        <w:shd w:val="clear" w:color="auto" w:fill="FFFFFF"/>
        <w:spacing w:before="0" w:beforeAutospacing="0" w:after="0" w:afterAutospacing="0" w:line="276" w:lineRule="auto"/>
        <w:ind w:firstLine="720"/>
        <w:jc w:val="both"/>
      </w:pPr>
      <w:r w:rsidRPr="003258EF">
        <w:t xml:space="preserve">[6.2] Apelācijas instances tiesa, taisot pēc būtības jaunu spriedumu, pretēji Kriminālprocesa likuma 527. panta pirmajā daļā noteiktajam sprieduma aprakstošajā daļā nav sniegusi jaunu par pierādītu atzītā noziedzīgā nodarījuma aprakstu, bet iekļāvusi to sprieduma motīvu daļā. Tādējādi apelācijas instances tiesas spriedums neatbilst Kriminālprocesa likuma 564. panta piektās un astotās daļas, 511. panta otrās daļas un 512. panta pirmās daļas prasībām. </w:t>
      </w:r>
    </w:p>
    <w:p w14:paraId="2B607934" w14:textId="5FEEFC88" w:rsidR="00620B34" w:rsidRPr="003258EF" w:rsidRDefault="00B54D96" w:rsidP="001847BE">
      <w:pPr>
        <w:pStyle w:val="NormalWeb"/>
        <w:shd w:val="clear" w:color="auto" w:fill="FFFFFF"/>
        <w:spacing w:before="0" w:beforeAutospacing="0" w:after="0" w:afterAutospacing="0" w:line="276" w:lineRule="auto"/>
        <w:ind w:firstLine="720"/>
        <w:jc w:val="both"/>
      </w:pPr>
      <w:r w:rsidRPr="003258EF">
        <w:t>[6.3] Apelācijas instances tiesa izdarījusi pretrunīgus secinājumus par</w:t>
      </w:r>
      <w:r w:rsidR="00FC4AD9">
        <w:t xml:space="preserve"> </w:t>
      </w:r>
      <w:r w:rsidR="00070583">
        <w:t>[pers. B]</w:t>
      </w:r>
      <w:r w:rsidR="00FC4AD9" w:rsidRPr="003258EF">
        <w:t xml:space="preserve"> inkriminēt</w:t>
      </w:r>
      <w:r w:rsidR="00FC4AD9">
        <w:t>ā</w:t>
      </w:r>
      <w:r w:rsidR="00FC4AD9" w:rsidRPr="003258EF">
        <w:t xml:space="preserve"> noziedzīg</w:t>
      </w:r>
      <w:r w:rsidR="00FC4AD9">
        <w:t>ā</w:t>
      </w:r>
      <w:r w:rsidR="00FC4AD9" w:rsidRPr="003258EF">
        <w:t xml:space="preserve"> nodarījum</w:t>
      </w:r>
      <w:r w:rsidR="00FC4AD9">
        <w:t>a faktiskajiem</w:t>
      </w:r>
      <w:r w:rsidRPr="003258EF">
        <w:t xml:space="preserve"> apstākļiem. Proti, lai gan </w:t>
      </w:r>
      <w:r w:rsidR="001847BE" w:rsidRPr="003258EF">
        <w:t xml:space="preserve">tiesa </w:t>
      </w:r>
      <w:r w:rsidR="0065282F" w:rsidRPr="003258EF">
        <w:t>spriedumā</w:t>
      </w:r>
      <w:r w:rsidRPr="003258EF">
        <w:t xml:space="preserve"> norādījusi, ka jau kopš 2020. gada aprīļa </w:t>
      </w:r>
      <w:r w:rsidR="00070583">
        <w:t>[pers. A]</w:t>
      </w:r>
      <w:r w:rsidRPr="003258EF">
        <w:t xml:space="preserve"> un </w:t>
      </w:r>
      <w:r w:rsidR="00070583">
        <w:t>[pers. B]</w:t>
      </w:r>
      <w:r w:rsidRPr="003258EF">
        <w:t xml:space="preserve"> personu grupā pēc </w:t>
      </w:r>
      <w:r w:rsidR="008E002B" w:rsidRPr="003258EF">
        <w:t>iepriekšēj</w:t>
      </w:r>
      <w:r w:rsidR="008E002B">
        <w:t>a</w:t>
      </w:r>
      <w:r w:rsidR="008E002B" w:rsidRPr="003258EF">
        <w:t xml:space="preserve">s </w:t>
      </w:r>
      <w:r w:rsidRPr="003258EF">
        <w:t xml:space="preserve">vienošanās </w:t>
      </w:r>
      <w:r w:rsidR="00620B34" w:rsidRPr="003258EF">
        <w:t>pieņēm</w:t>
      </w:r>
      <w:r w:rsidR="001847BE" w:rsidRPr="003258EF">
        <w:t>uši</w:t>
      </w:r>
      <w:r w:rsidRPr="003258EF">
        <w:t xml:space="preserve"> kukuli no </w:t>
      </w:r>
      <w:r w:rsidR="00070583">
        <w:t>[pers. C]</w:t>
      </w:r>
      <w:r w:rsidRPr="003258EF">
        <w:t>,</w:t>
      </w:r>
      <w:r w:rsidR="008E002B">
        <w:t xml:space="preserve"> un</w:t>
      </w:r>
      <w:r w:rsidRPr="003258EF">
        <w:t xml:space="preserve"> šīs darbības </w:t>
      </w:r>
      <w:r w:rsidR="008E002B" w:rsidRPr="003258EF">
        <w:t>izdar</w:t>
      </w:r>
      <w:r w:rsidR="008E002B">
        <w:t>ījuši</w:t>
      </w:r>
      <w:r w:rsidR="008E002B" w:rsidRPr="003258EF">
        <w:t xml:space="preserve"> </w:t>
      </w:r>
      <w:r w:rsidRPr="003258EF">
        <w:t xml:space="preserve">arī divreiz maijā un jūnijā, tomēr </w:t>
      </w:r>
      <w:r w:rsidR="00CF7BED">
        <w:t xml:space="preserve">vienlaikus tiesa atzinusi, ka </w:t>
      </w:r>
      <w:r w:rsidR="00070583">
        <w:t>[pers. B]</w:t>
      </w:r>
      <w:r w:rsidRPr="003258EF">
        <w:t xml:space="preserve"> pi</w:t>
      </w:r>
      <w:r w:rsidR="00620B34" w:rsidRPr="003258EF">
        <w:t>r</w:t>
      </w:r>
      <w:r w:rsidRPr="003258EF">
        <w:t xml:space="preserve">mā iesaistīšanās noziedzīgā nodarījuma izdarīšanā notikusi </w:t>
      </w:r>
      <w:r w:rsidR="00CF7BED">
        <w:t xml:space="preserve">tikai </w:t>
      </w:r>
      <w:r w:rsidRPr="003258EF">
        <w:t>2020. gada jūnijā. Šāds apelācijas instances tiesas secinājums ir acīmredzami pretrunīgs</w:t>
      </w:r>
      <w:r w:rsidR="00CF7BED">
        <w:t>.</w:t>
      </w:r>
      <w:r w:rsidR="00620B34" w:rsidRPr="003258EF">
        <w:t xml:space="preserve"> </w:t>
      </w:r>
    </w:p>
    <w:p w14:paraId="78D15776" w14:textId="5E9EEA70" w:rsidR="00182429" w:rsidRPr="003258EF" w:rsidRDefault="00620B34" w:rsidP="00182429">
      <w:pPr>
        <w:pStyle w:val="NormalWeb"/>
        <w:shd w:val="clear" w:color="auto" w:fill="FFFFFF"/>
        <w:spacing w:before="0" w:beforeAutospacing="0" w:after="0" w:afterAutospacing="0" w:line="276" w:lineRule="auto"/>
        <w:ind w:firstLine="720"/>
        <w:jc w:val="both"/>
      </w:pPr>
      <w:r w:rsidRPr="003258EF">
        <w:t xml:space="preserve">[6.4] Tiesa pieļāvusi Kriminālprocesa likuma </w:t>
      </w:r>
      <w:r w:rsidR="00F078E7" w:rsidRPr="003258EF">
        <w:t xml:space="preserve">15. panta, 18. panta, </w:t>
      </w:r>
      <w:r w:rsidRPr="003258EF">
        <w:t>19. panta otrās un trešās daļas, kā arī 564. panta ceturtās daļas un 128. panta otrās un trešās daļas pārkāpumus.</w:t>
      </w:r>
    </w:p>
    <w:p w14:paraId="4DCCCC60" w14:textId="4B226573" w:rsidR="00182429" w:rsidRPr="003258EF" w:rsidRDefault="00182429" w:rsidP="001847BE">
      <w:pPr>
        <w:pStyle w:val="NormalWeb"/>
        <w:shd w:val="clear" w:color="auto" w:fill="FFFFFF"/>
        <w:spacing w:before="0" w:beforeAutospacing="0" w:after="0" w:afterAutospacing="0" w:line="276" w:lineRule="auto"/>
        <w:ind w:firstLine="720"/>
        <w:jc w:val="both"/>
      </w:pPr>
      <w:r w:rsidRPr="003258EF">
        <w:t xml:space="preserve">[6.4.1] Apelācijas instances tiesa nepamatoti pēc savas iniciatīvas ir pārbaudījusi un pamatojusi notiesājošu spriedumu ar 2021. gada 5. janvāra apskates protokolu, kurā aplūkota apsūdzēto savstarpējā sarakste. Prokurore 2021. gada 5. janvāra apskates protokolu nebija lūgusi pārbaudīt nedz lietas iztiesāšanas laikā pirmās instances tiesā, nedz apelācijas protestā, nedz lietas iztiesāšanā apelācijas instances tiesā. Atbilstoši Kriminālprocesa likuma 561. panta trešajai daļai pirmās instances tiesas sēdes protokolu un protokolā norādītos rakstveida pierādījumus un dokumentus pārbauda tiesas sēdē tikai tad, ja persona, kura īsteno aizstāvību, prokurors un cietušais vai viņa pārstāvis, kā arī kriminālprocesā aizskartais mantas īpašnieks, kura mantai uzlikts arests, pieteicis šādu lūgumu. Tādējādi likumdevējs nav paredzējis apelācijas instances tiesai tiesības pēc pašas iniciatīvas pārbaudīt pierādījumus. </w:t>
      </w:r>
    </w:p>
    <w:p w14:paraId="77D71307" w14:textId="2E70248A" w:rsidR="00F078E7" w:rsidRPr="003258EF" w:rsidRDefault="00182429" w:rsidP="001847BE">
      <w:pPr>
        <w:pStyle w:val="NormalWeb"/>
        <w:shd w:val="clear" w:color="auto" w:fill="FFFFFF"/>
        <w:spacing w:before="0" w:beforeAutospacing="0" w:after="0" w:afterAutospacing="0" w:line="276" w:lineRule="auto"/>
        <w:ind w:firstLine="720"/>
        <w:jc w:val="both"/>
      </w:pPr>
      <w:r w:rsidRPr="003258EF">
        <w:t>[6.4.2] Apelācijas instances tiesa nav ievērojusi Kriminālprocesa likuma 513. pantā paredzēto apspriedes noslēpumu. Atbilstoši Kriminālprocesa likuma 514. panta pirmās daļas 1. un 3. punktam apspriedes laikā tiesa apspriežu</w:t>
      </w:r>
      <w:r w:rsidR="00F078E7" w:rsidRPr="003258EF">
        <w:t xml:space="preserve"> istabā izlemj, vai noticis apsūdzētajam inkriminētais noziedzīgais nodarījums, vai apsūdzētais ir vainīgs šajā noziedzīgā nodarījumā. </w:t>
      </w:r>
      <w:r w:rsidR="001847BE" w:rsidRPr="003258EF">
        <w:t>Ņ</w:t>
      </w:r>
      <w:r w:rsidR="00F078E7" w:rsidRPr="003258EF">
        <w:t>emot vērā apelācijas instances</w:t>
      </w:r>
      <w:r w:rsidR="004A4991">
        <w:t xml:space="preserve"> tiesas</w:t>
      </w:r>
      <w:r w:rsidR="00F078E7" w:rsidRPr="003258EF">
        <w:t xml:space="preserve"> rīcību – pēc savas iniciatīvas pārbaudot 2021. gada 5. janvāra apskates protokolu un uz tā pamata taisot notiesājošu spriedumu</w:t>
      </w:r>
      <w:r w:rsidR="001847BE" w:rsidRPr="003258EF">
        <w:t xml:space="preserve"> –</w:t>
      </w:r>
      <w:r w:rsidR="00F078E7" w:rsidRPr="003258EF">
        <w:t xml:space="preserve">, </w:t>
      </w:r>
      <w:r w:rsidR="004A4991">
        <w:t>secināms, ka</w:t>
      </w:r>
      <w:r w:rsidR="00F078E7" w:rsidRPr="003258EF">
        <w:t xml:space="preserve"> tiesa jau pirms aiziešanas uz apspriežu istabu bija izlēmusi jautājumu par apsūdzēto vain</w:t>
      </w:r>
      <w:r w:rsidR="00852048">
        <w:t>īgum</w:t>
      </w:r>
      <w:r w:rsidR="00F078E7" w:rsidRPr="003258EF">
        <w:t>u.</w:t>
      </w:r>
    </w:p>
    <w:p w14:paraId="0EC9B6BD" w14:textId="141ACFF0" w:rsidR="001731A1" w:rsidRPr="003258EF" w:rsidRDefault="00F078E7" w:rsidP="00F078E7">
      <w:pPr>
        <w:pStyle w:val="NormalWeb"/>
        <w:shd w:val="clear" w:color="auto" w:fill="FFFFFF"/>
        <w:spacing w:before="0" w:beforeAutospacing="0" w:after="0" w:afterAutospacing="0" w:line="276" w:lineRule="auto"/>
        <w:ind w:firstLine="720"/>
        <w:jc w:val="both"/>
      </w:pPr>
      <w:r w:rsidRPr="003258EF">
        <w:t xml:space="preserve">[6.5] Apelācijas instances tiesa pieļāvusi Kriminālprocesa likuma 128. panta otrās daļas, 455. panta, 500. panta, 513. panta un 561. panta trešās daļas pārkāpumu. </w:t>
      </w:r>
    </w:p>
    <w:p w14:paraId="5C5A35E2" w14:textId="44DE7BCB" w:rsidR="001731A1" w:rsidRPr="003258EF" w:rsidRDefault="001731A1" w:rsidP="00046E77">
      <w:pPr>
        <w:pStyle w:val="NormalWeb"/>
        <w:shd w:val="clear" w:color="auto" w:fill="FFFFFF"/>
        <w:spacing w:before="0" w:beforeAutospacing="0" w:after="0" w:afterAutospacing="0" w:line="276" w:lineRule="auto"/>
        <w:ind w:firstLine="720"/>
        <w:jc w:val="both"/>
      </w:pPr>
      <w:r w:rsidRPr="003258EF">
        <w:lastRenderedPageBreak/>
        <w:t xml:space="preserve">Apelācijas instances tiesā aizstāvis lūdza pārbaudīt </w:t>
      </w:r>
      <w:r w:rsidR="00070583">
        <w:t>[pers. B]</w:t>
      </w:r>
      <w:r w:rsidRPr="003258EF">
        <w:t xml:space="preserve"> aizstāvības runu. Apelācijas instances tiesa pārkāpa Kriminālprocesa likuma 561. panta trešajā daļā noteikto prasību un </w:t>
      </w:r>
      <w:r w:rsidRPr="00046E77">
        <w:t xml:space="preserve">nepārbaudīja pirmās instances tiesas sēdes protokolu un protokolā norādītos rakstveida pierādījumus, </w:t>
      </w:r>
      <w:r w:rsidR="0006292E" w:rsidRPr="00046E77">
        <w:t>arī</w:t>
      </w:r>
      <w:r w:rsidRPr="00046E77">
        <w:t xml:space="preserve"> </w:t>
      </w:r>
      <w:r w:rsidR="00070583">
        <w:t>[pers. B]</w:t>
      </w:r>
      <w:r w:rsidRPr="00046E77">
        <w:t xml:space="preserve"> aizstāvības runu.</w:t>
      </w:r>
      <w:r w:rsidR="00046E77" w:rsidRPr="00046E77">
        <w:t xml:space="preserve"> Turklāt p</w:t>
      </w:r>
      <w:r w:rsidRPr="00046E77">
        <w:t>rokurore pirmās instances tiesā tiesu debatēs</w:t>
      </w:r>
      <w:r w:rsidR="006E7FB4">
        <w:t xml:space="preserve"> lūdza izslēgt</w:t>
      </w:r>
      <w:r w:rsidRPr="00046E77">
        <w:t xml:space="preserve"> no </w:t>
      </w:r>
      <w:r w:rsidR="00070583">
        <w:t>[pers. B]</w:t>
      </w:r>
      <w:r w:rsidRPr="00046E77">
        <w:t xml:space="preserve"> un </w:t>
      </w:r>
      <w:r w:rsidR="00070583">
        <w:t>[pers. A]</w:t>
      </w:r>
      <w:r w:rsidRPr="00046E77">
        <w:t xml:space="preserve"> celtās apsūdzības </w:t>
      </w:r>
      <w:r w:rsidR="006E7FB4">
        <w:t xml:space="preserve">faktu, ka </w:t>
      </w:r>
      <w:r w:rsidRPr="00046E77">
        <w:t xml:space="preserve">noziedzīgais nodarījums izdarīts „kukuļdevēja interesēs”. Ņemot vērā, ka </w:t>
      </w:r>
      <w:r w:rsidR="00F704C3" w:rsidRPr="00046E77">
        <w:t xml:space="preserve">apelācijas instances tiesa </w:t>
      </w:r>
      <w:r w:rsidRPr="00046E77">
        <w:t>š</w:t>
      </w:r>
      <w:r w:rsidR="00CF7BED">
        <w:t>o</w:t>
      </w:r>
      <w:r w:rsidRPr="00046E77">
        <w:t xml:space="preserve"> norād</w:t>
      </w:r>
      <w:r w:rsidR="00CF7BED">
        <w:t>i</w:t>
      </w:r>
      <w:r w:rsidRPr="00046E77">
        <w:t xml:space="preserve"> </w:t>
      </w:r>
      <w:r w:rsidR="00F704C3" w:rsidRPr="00352EE1">
        <w:t xml:space="preserve">ir </w:t>
      </w:r>
      <w:r w:rsidR="00CF7BED" w:rsidRPr="00352EE1">
        <w:t>iekļāvusi</w:t>
      </w:r>
      <w:r w:rsidR="00F704C3" w:rsidRPr="00F704C3">
        <w:t xml:space="preserve"> </w:t>
      </w:r>
      <w:r w:rsidR="00F704C3" w:rsidRPr="00352EE1">
        <w:t>spriedumā</w:t>
      </w:r>
      <w:r w:rsidRPr="00CF7BED">
        <w:t>, ir pamats secinājuma</w:t>
      </w:r>
      <w:r w:rsidR="001847BE" w:rsidRPr="00CF7BED">
        <w:t>m</w:t>
      </w:r>
      <w:r w:rsidRPr="00CF7BED">
        <w:t xml:space="preserve">, ka tiesa </w:t>
      </w:r>
      <w:r w:rsidR="008E002B" w:rsidRPr="00CF7BED">
        <w:t xml:space="preserve">nav pārbaudījusi </w:t>
      </w:r>
      <w:r w:rsidRPr="00CF7BED">
        <w:t>pirmās instances tiesas</w:t>
      </w:r>
      <w:r w:rsidRPr="003258EF">
        <w:t xml:space="preserve"> sēžu protokolos fiksētās ziņas. </w:t>
      </w:r>
      <w:r w:rsidR="00EA23E4" w:rsidRPr="003258EF">
        <w:t>A</w:t>
      </w:r>
      <w:r w:rsidRPr="003258EF">
        <w:t>pelācijas instances</w:t>
      </w:r>
      <w:r w:rsidR="00EA23E4" w:rsidRPr="003258EF">
        <w:t xml:space="preserve"> tiesa, nemotivējot, kāpēc aizstāvības pieteikt</w:t>
      </w:r>
      <w:r w:rsidR="0034304B">
        <w:t>ais</w:t>
      </w:r>
      <w:r w:rsidR="00EA23E4" w:rsidRPr="003258EF">
        <w:t xml:space="preserve"> lūgum</w:t>
      </w:r>
      <w:r w:rsidR="0034304B">
        <w:t>s</w:t>
      </w:r>
      <w:r w:rsidR="00EA23E4" w:rsidRPr="003258EF">
        <w:t xml:space="preserve"> ir noraidām</w:t>
      </w:r>
      <w:r w:rsidR="0034304B">
        <w:t>s</w:t>
      </w:r>
      <w:r w:rsidR="00EA23E4" w:rsidRPr="003258EF">
        <w:t xml:space="preserve">, pieļāvusi </w:t>
      </w:r>
      <w:r w:rsidRPr="003258EF">
        <w:t>Kriminālprocesa likuma 564.</w:t>
      </w:r>
      <w:r w:rsidR="00EA23E4" w:rsidRPr="003258EF">
        <w:t> </w:t>
      </w:r>
      <w:r w:rsidRPr="003258EF">
        <w:t xml:space="preserve">panta ceturtās daļas </w:t>
      </w:r>
      <w:r w:rsidR="00EA23E4" w:rsidRPr="003258EF">
        <w:t xml:space="preserve">pārkāpumu. </w:t>
      </w:r>
    </w:p>
    <w:p w14:paraId="54C5D7E0" w14:textId="0DEF8800" w:rsidR="001731A1" w:rsidRPr="003258EF" w:rsidRDefault="00EA23E4" w:rsidP="00CF3736">
      <w:pPr>
        <w:pStyle w:val="NormalWeb"/>
        <w:shd w:val="clear" w:color="auto" w:fill="FFFFFF"/>
        <w:spacing w:before="0" w:beforeAutospacing="0" w:after="0" w:afterAutospacing="0" w:line="276" w:lineRule="auto"/>
        <w:ind w:firstLine="720"/>
        <w:jc w:val="both"/>
      </w:pPr>
      <w:r w:rsidRPr="003258EF">
        <w:t>[6.6] Apelācijas instances tiesa, vērtējot noziedzīgā nodarījuma raksturu</w:t>
      </w:r>
      <w:r w:rsidR="008E002B" w:rsidRPr="008E002B">
        <w:t xml:space="preserve"> </w:t>
      </w:r>
      <w:r w:rsidR="008E002B" w:rsidRPr="003258EF">
        <w:t>un</w:t>
      </w:r>
      <w:r w:rsidR="008E002B" w:rsidRPr="008E002B">
        <w:t xml:space="preserve"> </w:t>
      </w:r>
      <w:r w:rsidR="008E002B" w:rsidRPr="003258EF">
        <w:t>nosakot apsūdzētajiem soda mēru</w:t>
      </w:r>
      <w:r w:rsidRPr="003258EF">
        <w:t xml:space="preserve">, </w:t>
      </w:r>
      <w:r w:rsidR="00946621" w:rsidRPr="003258EF">
        <w:t>abiem apsūdzētajiem</w:t>
      </w:r>
      <w:r w:rsidR="00946621">
        <w:t xml:space="preserve"> kopā</w:t>
      </w:r>
      <w:r w:rsidR="00946621" w:rsidRPr="003258EF">
        <w:t xml:space="preserve"> pamatojusi piemērojamo sodu</w:t>
      </w:r>
      <w:r w:rsidR="00946621">
        <w:t xml:space="preserve">, tādējādi </w:t>
      </w:r>
      <w:r w:rsidRPr="003258EF">
        <w:t xml:space="preserve">pieļāvusi Krimināllikuma 35. panta un 46. panta pārkāpumus, jo nav ievērojusi soda individualizācijas principu. </w:t>
      </w:r>
    </w:p>
    <w:p w14:paraId="28AA459D" w14:textId="77777777" w:rsidR="00B15CC8" w:rsidRPr="003258EF" w:rsidRDefault="00B15CC8" w:rsidP="00BE0F7B">
      <w:pPr>
        <w:pStyle w:val="NormalWeb"/>
        <w:shd w:val="clear" w:color="auto" w:fill="FFFFFF"/>
        <w:spacing w:before="0" w:beforeAutospacing="0" w:after="0" w:afterAutospacing="0" w:line="276" w:lineRule="auto"/>
        <w:jc w:val="both"/>
      </w:pPr>
    </w:p>
    <w:p w14:paraId="7DAF7841" w14:textId="1EDBDF42" w:rsidR="00447EE6" w:rsidRPr="003258EF" w:rsidRDefault="00447EE6" w:rsidP="00C22356">
      <w:pPr>
        <w:shd w:val="clear" w:color="auto" w:fill="FFFFFF"/>
        <w:spacing w:line="276" w:lineRule="auto"/>
        <w:jc w:val="center"/>
        <w:rPr>
          <w:b/>
        </w:rPr>
      </w:pPr>
      <w:r w:rsidRPr="003258EF">
        <w:rPr>
          <w:b/>
        </w:rPr>
        <w:t>Motīvu daļa</w:t>
      </w:r>
    </w:p>
    <w:p w14:paraId="7BD856E9" w14:textId="77777777" w:rsidR="0006292E" w:rsidRPr="003258EF" w:rsidRDefault="0006292E" w:rsidP="00C22356">
      <w:pPr>
        <w:shd w:val="clear" w:color="auto" w:fill="FFFFFF"/>
        <w:spacing w:line="276" w:lineRule="auto"/>
        <w:jc w:val="center"/>
        <w:rPr>
          <w:b/>
        </w:rPr>
      </w:pPr>
    </w:p>
    <w:p w14:paraId="003ACE4D" w14:textId="77777777" w:rsidR="006F33AE" w:rsidRPr="003258EF" w:rsidRDefault="006F33AE" w:rsidP="006F33AE">
      <w:pPr>
        <w:shd w:val="clear" w:color="auto" w:fill="FFFFFF"/>
        <w:spacing w:line="276" w:lineRule="auto"/>
        <w:ind w:firstLine="720"/>
        <w:jc w:val="both"/>
      </w:pPr>
      <w:r w:rsidRPr="003258EF">
        <w:rPr>
          <w:bCs/>
        </w:rPr>
        <w:t>[7] </w:t>
      </w:r>
      <w:r w:rsidRPr="003258EF">
        <w:t xml:space="preserve">Saskaņā ar Kriminālprocesa likuma 583. panta pirmo daļu, ierosinot kasācijas tiesvedību, tiesa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 </w:t>
      </w:r>
    </w:p>
    <w:p w14:paraId="6B09068F" w14:textId="55D3D8CC" w:rsidR="006F33AE" w:rsidRPr="003258EF" w:rsidRDefault="006F33AE" w:rsidP="006F33AE">
      <w:pPr>
        <w:spacing w:line="276" w:lineRule="auto"/>
        <w:ind w:firstLine="720"/>
        <w:jc w:val="both"/>
        <w:rPr>
          <w:rFonts w:ascii="TimesNewRomanPSMT" w:hAnsi="TimesNewRomanPSMT" w:cs="TimesNewRomanPSMT"/>
        </w:rPr>
      </w:pPr>
      <w:r w:rsidRPr="003258EF">
        <w:t xml:space="preserve">Senāts konstatē, ka lēmumu iespējams pieņemt pēc lietā esošajiem materiāliem, jo papildu paskaidrojumi no personām, kurām ir tiesības piedalīties procesā, nav nepieciešami, un konkrētajai lietai nav īpašas nozīmes likuma normu interpretēšanā. Līdz ar to </w:t>
      </w:r>
      <w:r w:rsidRPr="003258EF">
        <w:rPr>
          <w:rFonts w:ascii="TimesNewRomanPSMT" w:hAnsi="TimesNewRomanPSMT" w:cs="TimesNewRomanPSMT"/>
        </w:rPr>
        <w:t xml:space="preserve">apsūdzētā </w:t>
      </w:r>
      <w:r w:rsidR="007A2FD8">
        <w:t>[pers. A]</w:t>
      </w:r>
      <w:r w:rsidRPr="003258EF">
        <w:rPr>
          <w:shd w:val="clear" w:color="auto" w:fill="FFFFFF"/>
        </w:rPr>
        <w:t xml:space="preserve"> lūgums</w:t>
      </w:r>
      <w:r w:rsidRPr="003258EF">
        <w:rPr>
          <w:rFonts w:ascii="TimesNewRomanPSMT" w:hAnsi="TimesNewRomanPSMT" w:cs="TimesNewRomanPSMT"/>
        </w:rPr>
        <w:t xml:space="preserve"> par lietas izskatīšanu tiesas sēdē noraidāms.</w:t>
      </w:r>
    </w:p>
    <w:p w14:paraId="7F09CBCE" w14:textId="77777777" w:rsidR="00DE6A39" w:rsidRPr="00DF2BC8" w:rsidRDefault="00DE6A39" w:rsidP="00DE6A39">
      <w:pPr>
        <w:pStyle w:val="NormalWeb"/>
        <w:shd w:val="clear" w:color="auto" w:fill="FFFFFF"/>
        <w:spacing w:before="0" w:beforeAutospacing="0" w:after="0" w:afterAutospacing="0" w:line="276" w:lineRule="auto"/>
        <w:jc w:val="both"/>
        <w:rPr>
          <w:rFonts w:asciiTheme="majorBidi" w:hAnsiTheme="majorBidi" w:cstheme="majorBidi"/>
        </w:rPr>
      </w:pPr>
    </w:p>
    <w:p w14:paraId="66D53337" w14:textId="2D4022E0" w:rsidR="00DE6A39" w:rsidRPr="00DF2BC8" w:rsidRDefault="00DE6A39" w:rsidP="00DE6A39">
      <w:pPr>
        <w:spacing w:line="276" w:lineRule="auto"/>
        <w:ind w:firstLine="720"/>
        <w:jc w:val="both"/>
        <w:rPr>
          <w:rFonts w:asciiTheme="majorBidi" w:hAnsiTheme="majorBidi" w:cstheme="majorBidi"/>
        </w:rPr>
      </w:pPr>
      <w:bookmarkStart w:id="0" w:name="_Hlk194934437"/>
      <w:r w:rsidRPr="00DF2BC8">
        <w:rPr>
          <w:rFonts w:asciiTheme="majorBidi" w:hAnsiTheme="majorBidi" w:cstheme="majorBidi"/>
        </w:rPr>
        <w:t xml:space="preserve">[8] Senāts atzīst, ka izskatāmajā lietā vispirms ir jāizvērtē, </w:t>
      </w:r>
      <w:r w:rsidRPr="00DF2BC8">
        <w:rPr>
          <w:rFonts w:asciiTheme="majorBidi" w:hAnsiTheme="majorBidi" w:cstheme="majorBidi"/>
          <w:bCs/>
        </w:rPr>
        <w:t xml:space="preserve">vai apelācijas instances tiesas spriedums </w:t>
      </w:r>
      <w:r w:rsidR="00DA29AD">
        <w:rPr>
          <w:rFonts w:asciiTheme="majorBidi" w:hAnsiTheme="majorBidi" w:cstheme="majorBidi"/>
        </w:rPr>
        <w:t>ir</w:t>
      </w:r>
      <w:r w:rsidRPr="00DF2BC8">
        <w:rPr>
          <w:rFonts w:asciiTheme="majorBidi" w:hAnsiTheme="majorBidi" w:cstheme="majorBidi"/>
        </w:rPr>
        <w:t xml:space="preserve"> pretrunīgs.</w:t>
      </w:r>
    </w:p>
    <w:p w14:paraId="1C1AB0CE" w14:textId="40DB3B5B" w:rsidR="00DE6A39" w:rsidRPr="00DF2BC8" w:rsidRDefault="00DE6A39" w:rsidP="00DE6A39">
      <w:pPr>
        <w:spacing w:line="276" w:lineRule="auto"/>
        <w:ind w:firstLine="720"/>
        <w:jc w:val="both"/>
        <w:rPr>
          <w:rFonts w:asciiTheme="majorBidi" w:hAnsiTheme="majorBidi" w:cstheme="majorBidi"/>
          <w:color w:val="000000" w:themeColor="text1"/>
        </w:rPr>
      </w:pPr>
      <w:r w:rsidRPr="00DF2BC8">
        <w:rPr>
          <w:rFonts w:asciiTheme="majorBidi" w:hAnsiTheme="majorBidi" w:cstheme="majorBidi"/>
        </w:rPr>
        <w:t xml:space="preserve">[8.1] Saskaņā ar Kriminālprocesa likuma 511. panta otro daļu spriedumam jābūt tiesiskam un pamatotam. Spriedums ir tiesisks un pamatots, ja tas atbilst Kriminālprocesa likuma 512. panta </w:t>
      </w:r>
      <w:r w:rsidRPr="00DF2BC8">
        <w:rPr>
          <w:rFonts w:asciiTheme="majorBidi" w:hAnsiTheme="majorBidi" w:cstheme="majorBidi"/>
          <w:color w:val="000000" w:themeColor="text1"/>
        </w:rPr>
        <w:t xml:space="preserve">nosacījumiem. Minētās likuma normas attiecināmas arī uz apelācijas instances tiesas nolēmumiem. </w:t>
      </w:r>
    </w:p>
    <w:p w14:paraId="46FD90EC" w14:textId="31CD31D7"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[8.2] Senāts konstatē, ka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procesā </w:t>
      </w:r>
      <w:r w:rsidR="007A2FD8">
        <w:t>[pers. A]</w:t>
      </w:r>
      <w:r w:rsidRPr="00DF2BC8">
        <w:rPr>
          <w:rFonts w:asciiTheme="majorBidi" w:hAnsiTheme="majorBidi" w:cstheme="majorBidi"/>
        </w:rPr>
        <w:t xml:space="preserve"> un </w:t>
      </w:r>
      <w:r w:rsidR="007A2FD8">
        <w:t>[pers. B]</w:t>
      </w:r>
      <w:r w:rsidRPr="00DF2BC8">
        <w:rPr>
          <w:rFonts w:asciiTheme="majorBidi" w:hAnsiTheme="majorBidi" w:cstheme="majorBidi"/>
        </w:rPr>
        <w:t xml:space="preserve"> celta apsūdzība pēc Krimināllikuma 320.</w:t>
      </w:r>
      <w:r w:rsidR="00295F8B">
        <w:rPr>
          <w:rFonts w:asciiTheme="majorBidi" w:hAnsiTheme="majorBidi" w:cstheme="majorBidi"/>
        </w:rPr>
        <w:t> </w:t>
      </w:r>
      <w:r w:rsidRPr="00DF2BC8">
        <w:rPr>
          <w:rFonts w:asciiTheme="majorBidi" w:hAnsiTheme="majorBidi" w:cstheme="majorBidi"/>
        </w:rPr>
        <w:t xml:space="preserve">panta trešās daļas par to, ka apsūdzētie </w:t>
      </w:r>
      <w:r w:rsidR="007A2FD8">
        <w:t>[pers. A]</w:t>
      </w:r>
      <w:r w:rsidRPr="00DF2BC8">
        <w:rPr>
          <w:rFonts w:asciiTheme="majorBidi" w:hAnsiTheme="majorBidi" w:cstheme="majorBidi"/>
        </w:rPr>
        <w:t xml:space="preserve"> un </w:t>
      </w:r>
      <w:r w:rsidR="007A2FD8">
        <w:t>[pers. B]</w:t>
      </w:r>
      <w:r w:rsidRPr="00DF2BC8">
        <w:rPr>
          <w:rFonts w:asciiTheme="majorBidi" w:hAnsiTheme="majorBidi" w:cstheme="majorBidi"/>
        </w:rPr>
        <w:t>, būdami valsts amatpersonas, izmantojot savu dienesta stāvokli, personu grupā pēc iepriekšēj</w:t>
      </w:r>
      <w:r w:rsidR="00B06108">
        <w:rPr>
          <w:rFonts w:asciiTheme="majorBidi" w:hAnsiTheme="majorBidi" w:cstheme="majorBidi"/>
        </w:rPr>
        <w:t>a</w:t>
      </w:r>
      <w:r w:rsidRPr="00DF2BC8">
        <w:rPr>
          <w:rFonts w:asciiTheme="majorBidi" w:hAnsiTheme="majorBidi" w:cstheme="majorBidi"/>
        </w:rPr>
        <w:t>s vienošanās pieņēma kukuļa piedāvājumu pirms nelikumīgas darbības izdarīšanas, kā arī izdarīja materiālo vērtību (kukuļa) pieņemšanu gan par izdarītu nelikumīgu darbību, gan par pieļauto bezdarbību kukuļdevēja interesēs. Ar pirmās instances tiesas spriedumu, tiesai nekonstatējot personu grupas pēc iepriekšēj</w:t>
      </w:r>
      <w:r w:rsidR="00295F8B">
        <w:rPr>
          <w:rFonts w:asciiTheme="majorBidi" w:hAnsiTheme="majorBidi" w:cstheme="majorBidi"/>
        </w:rPr>
        <w:t>a</w:t>
      </w:r>
      <w:r w:rsidRPr="00DF2BC8">
        <w:rPr>
          <w:rFonts w:asciiTheme="majorBidi" w:hAnsiTheme="majorBidi" w:cstheme="majorBidi"/>
        </w:rPr>
        <w:t xml:space="preserve">s vienošanās esību, apsūdzētie atzīti par vainīgiem un sodīti pēc Krimināllikuma 320. panta pirmās daļas. </w:t>
      </w:r>
    </w:p>
    <w:p w14:paraId="08AD8F85" w14:textId="77777777"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lastRenderedPageBreak/>
        <w:t xml:space="preserve">Savukārt apelācijas instances tiesa taisījusi lietā jaunu spriedumu un atzinusi apsūdzētos par vainīgiem Krimināllikuma 320. panta trešajā daļā paredzētajā noziedzīgajā nodarījumā atbilstoši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procesā celtajai apsūdzībai. </w:t>
      </w:r>
    </w:p>
    <w:p w14:paraId="0567965F" w14:textId="3AC2C988"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Pierādītā noziedzīgā nodarījuma aprakstā tiesa norādījusi, ka </w:t>
      </w:r>
      <w:r w:rsidR="007A2FD8">
        <w:t>[pers. A]</w:t>
      </w:r>
      <w:r w:rsidRPr="00DF2BC8">
        <w:rPr>
          <w:rFonts w:asciiTheme="majorBidi" w:hAnsiTheme="majorBidi" w:cstheme="majorBidi"/>
        </w:rPr>
        <w:t xml:space="preserve"> un </w:t>
      </w:r>
      <w:r w:rsidR="007A2FD8">
        <w:t>[pers. B]</w:t>
      </w:r>
      <w:r w:rsidRPr="00DF2BC8">
        <w:rPr>
          <w:rFonts w:asciiTheme="majorBidi" w:hAnsiTheme="majorBidi" w:cstheme="majorBidi"/>
        </w:rPr>
        <w:t xml:space="preserve"> laika posmā no 2020. gada aprīļa līdz septembrim darbojoties personu grupā pēc </w:t>
      </w:r>
      <w:r w:rsidR="00FD247B" w:rsidRPr="00DF2BC8">
        <w:rPr>
          <w:rFonts w:asciiTheme="majorBidi" w:hAnsiTheme="majorBidi" w:cstheme="majorBidi"/>
        </w:rPr>
        <w:t>iepriekšēj</w:t>
      </w:r>
      <w:r w:rsidR="00FD247B">
        <w:rPr>
          <w:rFonts w:asciiTheme="majorBidi" w:hAnsiTheme="majorBidi" w:cstheme="majorBidi"/>
        </w:rPr>
        <w:t>a</w:t>
      </w:r>
      <w:r w:rsidR="00FD247B" w:rsidRPr="00DF2BC8">
        <w:rPr>
          <w:rFonts w:asciiTheme="majorBidi" w:hAnsiTheme="majorBidi" w:cstheme="majorBidi"/>
        </w:rPr>
        <w:t xml:space="preserve">s </w:t>
      </w:r>
      <w:r w:rsidRPr="00DF2BC8">
        <w:rPr>
          <w:rFonts w:asciiTheme="majorBidi" w:hAnsiTheme="majorBidi" w:cstheme="majorBidi"/>
        </w:rPr>
        <w:t>vienošanās pieņēma kukuļa piedāvājumu un turpmāk regulāri pieņēma kukuļus.</w:t>
      </w:r>
    </w:p>
    <w:p w14:paraId="72005EB3" w14:textId="4EEFCBD3"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Vienlaikus apelācijas instances tiesa sprieduma motīvu daļā atzinusi, ka </w:t>
      </w:r>
      <w:r w:rsidR="007A2FD8">
        <w:t>[pers. A]</w:t>
      </w:r>
      <w:r w:rsidRPr="00DF2BC8">
        <w:rPr>
          <w:rFonts w:asciiTheme="majorBidi" w:hAnsiTheme="majorBidi" w:cstheme="majorBidi"/>
        </w:rPr>
        <w:t xml:space="preserve"> prettiesiski veiktās darbības aptver laika periodu no 2020. gada aprīļa, bet </w:t>
      </w:r>
      <w:r w:rsidR="007A2FD8">
        <w:t>[pers. B]</w:t>
      </w:r>
      <w:r w:rsidRPr="00DF2BC8">
        <w:rPr>
          <w:rFonts w:asciiTheme="majorBidi" w:hAnsiTheme="majorBidi" w:cstheme="majorBidi"/>
        </w:rPr>
        <w:t xml:space="preserve"> pirmā iesaistīšanās noziedzīgā nodarījuma izdarīšanā notikusi 2020. gada jūnijā. Pamatojot savu viedokli, tiesa norādījusi, ka apsūdzētā </w:t>
      </w:r>
      <w:r w:rsidR="007A2FD8">
        <w:t>[pers. A]</w:t>
      </w:r>
      <w:r w:rsidRPr="00DF2BC8">
        <w:rPr>
          <w:rFonts w:asciiTheme="majorBidi" w:hAnsiTheme="majorBidi" w:cstheme="majorBidi"/>
        </w:rPr>
        <w:t xml:space="preserve"> darbības laika periodā no 2020. gada aprīļa līdz maijam veido atsevišķu Krimināllikuma 320</w:t>
      </w:r>
      <w:r w:rsidR="00FD247B" w:rsidRPr="00DF2BC8">
        <w:rPr>
          <w:rFonts w:asciiTheme="majorBidi" w:hAnsiTheme="majorBidi" w:cstheme="majorBidi"/>
        </w:rPr>
        <w:t>.</w:t>
      </w:r>
      <w:r w:rsidR="00FD247B">
        <w:rPr>
          <w:rFonts w:asciiTheme="majorBidi" w:hAnsiTheme="majorBidi" w:cstheme="majorBidi"/>
        </w:rPr>
        <w:t> </w:t>
      </w:r>
      <w:r w:rsidRPr="00DF2BC8">
        <w:rPr>
          <w:rFonts w:asciiTheme="majorBidi" w:hAnsiTheme="majorBidi" w:cstheme="majorBidi"/>
        </w:rPr>
        <w:t>panta otrās daļas dispozīcijā aprakstīto noziedzīgo nodarījumu. Savukārt sākot no 2020. gada jūnija apsūdzētie izdarījuši turpinātu noziedzīgu nodarījumu.</w:t>
      </w:r>
    </w:p>
    <w:p w14:paraId="133DEEF8" w14:textId="0E63D0F7"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bCs/>
        </w:rPr>
        <w:t xml:space="preserve">[8.3] Senāts jau agrāk ir norādījis, ka </w:t>
      </w:r>
      <w:r w:rsidRPr="00DF2BC8">
        <w:rPr>
          <w:rFonts w:asciiTheme="majorBidi" w:hAnsiTheme="majorBidi" w:cstheme="majorBidi"/>
        </w:rPr>
        <w:t>Kriminālprocesa likumā ietvertā prasība par sprieduma pamatotību ir saistīta ar sprieduma satura pareizību pēc būtības un attiecas uz tiesas atzinumiem, motīviem un nolēmumiem spriedumā. Visiem tiesas atzinumiem par noziedzīgā nodarījuma apstākļiem, kurus tiesa ietvērusi pierādītā noziedzīgā nodarījuma aprakstā, jābūt pamatotiem ar lietā esošajiem pierādījumiem atbilstoši Kriminālprocesa likuma 124. panta piektajā daļā norādītajam pierādīšanas standartam (</w:t>
      </w:r>
      <w:r w:rsidRPr="00F377CE">
        <w:rPr>
          <w:rFonts w:asciiTheme="majorBidi" w:hAnsiTheme="majorBidi" w:cstheme="majorBidi"/>
        </w:rPr>
        <w:t>sk.</w:t>
      </w:r>
      <w:r w:rsidRPr="00DF2BC8">
        <w:rPr>
          <w:rFonts w:asciiTheme="majorBidi" w:hAnsiTheme="majorBidi" w:cstheme="majorBidi"/>
          <w:i/>
          <w:iCs/>
        </w:rPr>
        <w:t xml:space="preserve"> </w:t>
      </w:r>
      <w:r w:rsidRPr="00DF2BC8">
        <w:rPr>
          <w:rFonts w:asciiTheme="majorBidi" w:hAnsiTheme="majorBidi" w:cstheme="majorBidi"/>
          <w:i/>
        </w:rPr>
        <w:t xml:space="preserve">Senāta 2021. gada 26. februāra </w:t>
      </w:r>
      <w:r w:rsidR="00FD247B" w:rsidRPr="00DF2BC8">
        <w:rPr>
          <w:rFonts w:asciiTheme="majorBidi" w:hAnsiTheme="majorBidi" w:cstheme="majorBidi"/>
          <w:i/>
        </w:rPr>
        <w:t>lēmum</w:t>
      </w:r>
      <w:r w:rsidR="00FD247B">
        <w:rPr>
          <w:rFonts w:asciiTheme="majorBidi" w:hAnsiTheme="majorBidi" w:cstheme="majorBidi"/>
          <w:i/>
        </w:rPr>
        <w:t>a</w:t>
      </w:r>
      <w:r w:rsidR="00FD247B" w:rsidRPr="00DF2BC8">
        <w:rPr>
          <w:rFonts w:asciiTheme="majorBidi" w:hAnsiTheme="majorBidi" w:cstheme="majorBidi"/>
          <w:i/>
        </w:rPr>
        <w:t xml:space="preserve"> </w:t>
      </w:r>
      <w:r w:rsidRPr="00DF2BC8">
        <w:rPr>
          <w:rFonts w:asciiTheme="majorBidi" w:hAnsiTheme="majorBidi" w:cstheme="majorBidi"/>
          <w:i/>
        </w:rPr>
        <w:t>lietā Nr. SKK</w:t>
      </w:r>
      <w:r w:rsidRPr="00DF2BC8">
        <w:rPr>
          <w:rFonts w:asciiTheme="majorBidi" w:hAnsiTheme="majorBidi" w:cstheme="majorBidi"/>
          <w:i/>
        </w:rPr>
        <w:noBreakHyphen/>
        <w:t>4/2021,</w:t>
      </w:r>
      <w:r w:rsidRPr="003501A5">
        <w:rPr>
          <w:rFonts w:asciiTheme="majorBidi" w:hAnsiTheme="majorBidi" w:cstheme="majorBidi"/>
          <w:i/>
          <w:iCs/>
        </w:rPr>
        <w:t xml:space="preserve"> </w:t>
      </w:r>
      <w:hyperlink r:id="rId9" w:history="1">
        <w:r w:rsidRPr="003501A5">
          <w:rPr>
            <w:rStyle w:val="Hyperlink"/>
            <w:rFonts w:asciiTheme="majorBidi" w:eastAsiaTheme="majorEastAsia" w:hAnsiTheme="majorBidi" w:cstheme="majorBidi"/>
            <w:i/>
            <w:iCs/>
            <w:shd w:val="clear" w:color="auto" w:fill="FFFFFF"/>
          </w:rPr>
          <w:t>ECLI:LV:AT:2021:0226.15830014213.11.L</w:t>
        </w:r>
      </w:hyperlink>
      <w:r w:rsidRPr="00DF2BC8">
        <w:rPr>
          <w:rFonts w:asciiTheme="majorBidi" w:hAnsiTheme="majorBidi" w:cstheme="majorBidi"/>
          <w:i/>
          <w:iCs/>
          <w:color w:val="000000"/>
          <w:shd w:val="clear" w:color="auto" w:fill="FFFFFF"/>
        </w:rPr>
        <w:t xml:space="preserve">, </w:t>
      </w:r>
      <w:r w:rsidRPr="00DF2BC8">
        <w:rPr>
          <w:rFonts w:asciiTheme="majorBidi" w:hAnsiTheme="majorBidi" w:cstheme="majorBidi"/>
          <w:i/>
          <w:iCs/>
        </w:rPr>
        <w:t>9.1. punkts</w:t>
      </w:r>
      <w:r w:rsidRPr="00DF2BC8">
        <w:rPr>
          <w:rFonts w:asciiTheme="majorBidi" w:hAnsiTheme="majorBidi" w:cstheme="majorBidi"/>
        </w:rPr>
        <w:t>).</w:t>
      </w:r>
    </w:p>
    <w:p w14:paraId="697019C1" w14:textId="7A8175BE" w:rsidR="00DE6A39" w:rsidRPr="00DF2BC8" w:rsidRDefault="00DE6A39" w:rsidP="00946621">
      <w:pPr>
        <w:spacing w:line="276" w:lineRule="auto"/>
        <w:ind w:firstLine="720"/>
        <w:jc w:val="both"/>
        <w:rPr>
          <w:rFonts w:asciiTheme="majorBidi" w:hAnsiTheme="majorBidi" w:cstheme="majorBidi"/>
        </w:rPr>
      </w:pPr>
      <w:r w:rsidRPr="00DF2BC8">
        <w:rPr>
          <w:rFonts w:asciiTheme="majorBidi" w:hAnsiTheme="majorBidi" w:cstheme="majorBidi"/>
        </w:rPr>
        <w:t>Ievērojot to, ka apelācijas instances tiesa</w:t>
      </w:r>
      <w:r w:rsidR="00946621">
        <w:rPr>
          <w:rFonts w:asciiTheme="majorBidi" w:hAnsiTheme="majorBidi" w:cstheme="majorBidi"/>
        </w:rPr>
        <w:t xml:space="preserve"> </w:t>
      </w:r>
      <w:r w:rsidR="00946621">
        <w:t xml:space="preserve">nav pamatojusi visus apstākļus, kas norādīti pierādītā noziedzīgā nodarījuma aprakstā, proti, par </w:t>
      </w:r>
      <w:r w:rsidR="007A2FD8">
        <w:t>[pers. B]</w:t>
      </w:r>
      <w:r w:rsidR="00946621">
        <w:rPr>
          <w:rFonts w:asciiTheme="majorBidi" w:hAnsiTheme="majorBidi" w:cstheme="majorBidi"/>
        </w:rPr>
        <w:t xml:space="preserve"> dalību kukuļņemšanā no 2020. gada aprīļa līdz jūnijam, </w:t>
      </w:r>
      <w:r w:rsidRPr="00DF2BC8">
        <w:rPr>
          <w:rFonts w:asciiTheme="majorBidi" w:hAnsiTheme="majorBidi" w:cstheme="majorBidi"/>
        </w:rPr>
        <w:t>Senāts atzīst, ka apelācijas instances tiesas spriedums neatbilst Kriminālprocesa likuma</w:t>
      </w:r>
      <w:r w:rsidR="00D731BE">
        <w:rPr>
          <w:rFonts w:asciiTheme="majorBidi" w:hAnsiTheme="majorBidi" w:cstheme="majorBidi"/>
        </w:rPr>
        <w:t xml:space="preserve"> </w:t>
      </w:r>
      <w:r w:rsidR="00FD247B">
        <w:rPr>
          <w:rFonts w:asciiTheme="majorBidi" w:hAnsiTheme="majorBidi" w:cstheme="majorBidi"/>
        </w:rPr>
        <w:t>511. un 512. pantā noteiktajām</w:t>
      </w:r>
      <w:r w:rsidRPr="00DF2BC8">
        <w:rPr>
          <w:rFonts w:asciiTheme="majorBidi" w:hAnsiTheme="majorBidi" w:cstheme="majorBidi"/>
        </w:rPr>
        <w:t xml:space="preserve"> prasībām par tiesisku un pamatotu spriedumu. Tiesas pieļautie tiesību normu pārkāpumi atzīstami par Kriminālprocesa likuma būtiskiem pārkāpumiem šā likuma 575. panta trešās daļas izpratnē, kas noveduši pie nelikumīga nolēmuma. Minētā iemesla dēļ apelācijas instances tiesas spriedums daļā par </w:t>
      </w:r>
      <w:r w:rsidR="007A2FD8">
        <w:t>[pers. A]</w:t>
      </w:r>
      <w:r w:rsidRPr="00DF2BC8">
        <w:rPr>
          <w:rFonts w:asciiTheme="majorBidi" w:hAnsiTheme="majorBidi" w:cstheme="majorBidi"/>
        </w:rPr>
        <w:t xml:space="preserve"> un </w:t>
      </w:r>
      <w:r w:rsidR="007A2FD8">
        <w:t>[pers. B]</w:t>
      </w:r>
      <w:r w:rsidRPr="00DF2BC8">
        <w:rPr>
          <w:rFonts w:asciiTheme="majorBidi" w:hAnsiTheme="majorBidi" w:cstheme="majorBidi"/>
        </w:rPr>
        <w:t xml:space="preserve"> atzīšanu par vainīgiem pēc Krimināllikuma 320</w:t>
      </w:r>
      <w:r w:rsidR="00FD247B" w:rsidRPr="00DF2BC8">
        <w:rPr>
          <w:rFonts w:asciiTheme="majorBidi" w:hAnsiTheme="majorBidi" w:cstheme="majorBidi"/>
        </w:rPr>
        <w:t>.</w:t>
      </w:r>
      <w:r w:rsidR="00FD247B">
        <w:rPr>
          <w:rFonts w:asciiTheme="majorBidi" w:hAnsiTheme="majorBidi" w:cstheme="majorBidi"/>
        </w:rPr>
        <w:t> </w:t>
      </w:r>
      <w:r w:rsidRPr="00DF2BC8">
        <w:rPr>
          <w:rFonts w:asciiTheme="majorBidi" w:hAnsiTheme="majorBidi" w:cstheme="majorBidi"/>
        </w:rPr>
        <w:t>panta trešās daļas un sodīšanu</w:t>
      </w:r>
      <w:r w:rsidRPr="00F9262D">
        <w:rPr>
          <w:rFonts w:asciiTheme="majorBidi" w:hAnsiTheme="majorBidi" w:cstheme="majorBidi"/>
        </w:rPr>
        <w:t>, kā arī daļā par rīcību ar lietiskajiem pierādījumiem,</w:t>
      </w:r>
      <w:r w:rsidRPr="00DF2BC8">
        <w:rPr>
          <w:rFonts w:asciiTheme="majorBidi" w:hAnsiTheme="majorBidi" w:cstheme="majorBidi"/>
        </w:rPr>
        <w:t xml:space="preserve"> ir atceļams un lieta šajā daļā nosūtāma jaunai izskatīšanai apelācijas instances tiesā.</w:t>
      </w:r>
    </w:p>
    <w:p w14:paraId="0C98E3B9" w14:textId="77777777" w:rsidR="00DE6A39" w:rsidRPr="00DF2BC8" w:rsidRDefault="00DE6A39" w:rsidP="00DE6A39">
      <w:pPr>
        <w:spacing w:line="276" w:lineRule="auto"/>
        <w:ind w:firstLine="720"/>
        <w:jc w:val="both"/>
        <w:rPr>
          <w:rFonts w:asciiTheme="majorBidi" w:hAnsiTheme="majorBidi" w:cstheme="majorBidi"/>
        </w:rPr>
      </w:pPr>
    </w:p>
    <w:p w14:paraId="6064E52E" w14:textId="2D172C5B"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[9] Senāta kompetencē ir izlemt arī jautājumu, vai no apsūdzētā </w:t>
      </w:r>
      <w:r w:rsidR="007A2FD8">
        <w:t>[pers. A]</w:t>
      </w:r>
      <w:r w:rsidRPr="00DF2BC8">
        <w:rPr>
          <w:rFonts w:asciiTheme="majorBidi" w:hAnsiTheme="majorBidi" w:cstheme="majorBidi"/>
        </w:rPr>
        <w:t xml:space="preserve"> pamatoti piedzīti procesuālie izdevumi valsts labā par aizstāvību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procesā un pirmās instances tiesā.</w:t>
      </w:r>
    </w:p>
    <w:p w14:paraId="19B8FFAA" w14:textId="262263EC"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[9.1] Senāts konstatē, ka ar pirmās instances tiesas spriedumu no </w:t>
      </w:r>
      <w:r w:rsidR="007A2FD8">
        <w:t>[pers. A]</w:t>
      </w:r>
      <w:r w:rsidRPr="00DF2BC8">
        <w:rPr>
          <w:rFonts w:asciiTheme="majorBidi" w:hAnsiTheme="majorBidi" w:cstheme="majorBidi"/>
        </w:rPr>
        <w:t xml:space="preserve"> piedzīti procesuālie izdevumi valsts labā 1347,07</w:t>
      </w:r>
      <w:r w:rsidR="00164FA9">
        <w:rPr>
          <w:rFonts w:asciiTheme="majorBidi" w:hAnsiTheme="majorBidi" w:cstheme="majorBidi"/>
        </w:rPr>
        <w:t> </w:t>
      </w:r>
      <w:proofErr w:type="spellStart"/>
      <w:r w:rsidRPr="00DF2BC8">
        <w:rPr>
          <w:rFonts w:asciiTheme="majorBidi" w:hAnsiTheme="majorBidi" w:cstheme="majorBidi"/>
          <w:i/>
          <w:iCs/>
        </w:rPr>
        <w:t>euro</w:t>
      </w:r>
      <w:proofErr w:type="spellEnd"/>
      <w:r w:rsidRPr="00DF2BC8">
        <w:rPr>
          <w:rFonts w:asciiTheme="majorBidi" w:hAnsiTheme="majorBidi" w:cstheme="majorBidi"/>
        </w:rPr>
        <w:t>, tai skaitā par aizstāvību pirmās instances tiesā 1279,60</w:t>
      </w:r>
      <w:r w:rsidR="00FD247B">
        <w:rPr>
          <w:rFonts w:asciiTheme="majorBidi" w:hAnsiTheme="majorBidi" w:cstheme="majorBidi"/>
        </w:rPr>
        <w:t> </w:t>
      </w:r>
      <w:proofErr w:type="spellStart"/>
      <w:r w:rsidRPr="00DF2BC8">
        <w:rPr>
          <w:rFonts w:asciiTheme="majorBidi" w:hAnsiTheme="majorBidi" w:cstheme="majorBidi"/>
          <w:i/>
          <w:iCs/>
        </w:rPr>
        <w:t>euro</w:t>
      </w:r>
      <w:proofErr w:type="spellEnd"/>
      <w:r w:rsidRPr="00DF2BC8">
        <w:rPr>
          <w:rFonts w:asciiTheme="majorBidi" w:hAnsiTheme="majorBidi" w:cstheme="majorBidi"/>
        </w:rPr>
        <w:t xml:space="preserve"> un par aizstāvību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procesā 67,</w:t>
      </w:r>
      <w:r w:rsidR="00FD247B" w:rsidRPr="00DF2BC8">
        <w:rPr>
          <w:rFonts w:asciiTheme="majorBidi" w:hAnsiTheme="majorBidi" w:cstheme="majorBidi"/>
        </w:rPr>
        <w:t>47</w:t>
      </w:r>
      <w:r w:rsidR="00FD247B">
        <w:rPr>
          <w:rFonts w:asciiTheme="majorBidi" w:hAnsiTheme="majorBidi" w:cstheme="majorBidi"/>
        </w:rPr>
        <w:t> </w:t>
      </w:r>
      <w:proofErr w:type="spellStart"/>
      <w:r w:rsidRPr="00DF2BC8">
        <w:rPr>
          <w:rFonts w:asciiTheme="majorBidi" w:hAnsiTheme="majorBidi" w:cstheme="majorBidi"/>
          <w:i/>
          <w:iCs/>
        </w:rPr>
        <w:t>euro</w:t>
      </w:r>
      <w:proofErr w:type="spellEnd"/>
      <w:r w:rsidRPr="00DF2BC8">
        <w:rPr>
          <w:rFonts w:asciiTheme="majorBidi" w:hAnsiTheme="majorBidi" w:cstheme="majorBidi"/>
        </w:rPr>
        <w:t>. Apelācijas instances tiesa pirmās instances tiesas spriedumu šajā daļā atstājusi negrozītu.</w:t>
      </w:r>
    </w:p>
    <w:p w14:paraId="6934CA16" w14:textId="6E5F5E5C"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[9.2] Pirmās instances tiesa, atsaucoties uz aizstāves paziņojumiem (</w:t>
      </w:r>
      <w:r w:rsidRPr="00F377CE">
        <w:rPr>
          <w:rFonts w:asciiTheme="majorBidi" w:hAnsiTheme="majorBidi" w:cstheme="majorBidi"/>
          <w:i/>
          <w:iCs/>
        </w:rPr>
        <w:t>lietas 1.</w:t>
      </w:r>
      <w:r w:rsidR="00FD247B" w:rsidRPr="00F377CE">
        <w:rPr>
          <w:rFonts w:asciiTheme="majorBidi" w:hAnsiTheme="majorBidi" w:cstheme="majorBidi"/>
          <w:i/>
          <w:iCs/>
        </w:rPr>
        <w:t> </w:t>
      </w:r>
      <w:r w:rsidRPr="00F377CE">
        <w:rPr>
          <w:rFonts w:asciiTheme="majorBidi" w:hAnsiTheme="majorBidi" w:cstheme="majorBidi"/>
          <w:i/>
          <w:iCs/>
        </w:rPr>
        <w:t>sējuma 137.</w:t>
      </w:r>
      <w:r w:rsidR="002570BD">
        <w:rPr>
          <w:rFonts w:asciiTheme="majorBidi" w:hAnsiTheme="majorBidi" w:cstheme="majorBidi"/>
          <w:i/>
          <w:iCs/>
        </w:rPr>
        <w:t> </w:t>
      </w:r>
      <w:r w:rsidR="00FD247B" w:rsidRPr="00F377CE">
        <w:rPr>
          <w:rFonts w:asciiTheme="majorBidi" w:hAnsiTheme="majorBidi" w:cstheme="majorBidi"/>
          <w:i/>
          <w:iCs/>
        </w:rPr>
        <w:t xml:space="preserve">lapa </w:t>
      </w:r>
      <w:r w:rsidRPr="00F377CE">
        <w:rPr>
          <w:rFonts w:asciiTheme="majorBidi" w:hAnsiTheme="majorBidi" w:cstheme="majorBidi"/>
          <w:i/>
          <w:iCs/>
        </w:rPr>
        <w:t>un 4.</w:t>
      </w:r>
      <w:r w:rsidR="00FD247B" w:rsidRPr="00F377CE">
        <w:rPr>
          <w:rFonts w:asciiTheme="majorBidi" w:hAnsiTheme="majorBidi" w:cstheme="majorBidi"/>
          <w:i/>
          <w:iCs/>
        </w:rPr>
        <w:t> </w:t>
      </w:r>
      <w:r w:rsidRPr="00F377CE">
        <w:rPr>
          <w:rFonts w:asciiTheme="majorBidi" w:hAnsiTheme="majorBidi" w:cstheme="majorBidi"/>
          <w:i/>
          <w:iCs/>
        </w:rPr>
        <w:t>sējuma 74.–75., 96.</w:t>
      </w:r>
      <w:r w:rsidR="00164FA9" w:rsidRPr="00F377CE">
        <w:rPr>
          <w:rFonts w:asciiTheme="majorBidi" w:hAnsiTheme="majorBidi" w:cstheme="majorBidi"/>
          <w:i/>
          <w:iCs/>
        </w:rPr>
        <w:t>–</w:t>
      </w:r>
      <w:r w:rsidRPr="00F377CE">
        <w:rPr>
          <w:rFonts w:asciiTheme="majorBidi" w:hAnsiTheme="majorBidi" w:cstheme="majorBidi"/>
          <w:i/>
          <w:iCs/>
        </w:rPr>
        <w:t>97., 103.</w:t>
      </w:r>
      <w:r w:rsidR="00FD247B" w:rsidRPr="00F377CE">
        <w:rPr>
          <w:rFonts w:asciiTheme="majorBidi" w:hAnsiTheme="majorBidi" w:cstheme="majorBidi"/>
          <w:i/>
          <w:iCs/>
        </w:rPr>
        <w:t>–</w:t>
      </w:r>
      <w:r w:rsidRPr="00F377CE">
        <w:rPr>
          <w:rFonts w:asciiTheme="majorBidi" w:hAnsiTheme="majorBidi" w:cstheme="majorBidi"/>
          <w:i/>
          <w:iCs/>
        </w:rPr>
        <w:t>104., 110.</w:t>
      </w:r>
      <w:r w:rsidR="00FD247B" w:rsidRPr="00F377CE">
        <w:rPr>
          <w:rFonts w:asciiTheme="majorBidi" w:hAnsiTheme="majorBidi" w:cstheme="majorBidi"/>
          <w:i/>
          <w:iCs/>
        </w:rPr>
        <w:t>–</w:t>
      </w:r>
      <w:r w:rsidRPr="00F377CE">
        <w:rPr>
          <w:rFonts w:asciiTheme="majorBidi" w:hAnsiTheme="majorBidi" w:cstheme="majorBidi"/>
          <w:i/>
          <w:iCs/>
        </w:rPr>
        <w:t>111., 122.</w:t>
      </w:r>
      <w:r w:rsidR="00FD247B" w:rsidRPr="00F377CE">
        <w:rPr>
          <w:rFonts w:asciiTheme="majorBidi" w:hAnsiTheme="majorBidi" w:cstheme="majorBidi"/>
          <w:i/>
          <w:iCs/>
        </w:rPr>
        <w:t>–</w:t>
      </w:r>
      <w:r w:rsidRPr="00F377CE">
        <w:rPr>
          <w:rFonts w:asciiTheme="majorBidi" w:hAnsiTheme="majorBidi" w:cstheme="majorBidi"/>
          <w:i/>
          <w:iCs/>
        </w:rPr>
        <w:t>123., 166.</w:t>
      </w:r>
      <w:r w:rsidR="00FD247B" w:rsidRPr="00F377CE">
        <w:rPr>
          <w:rFonts w:asciiTheme="majorBidi" w:hAnsiTheme="majorBidi" w:cstheme="majorBidi"/>
          <w:i/>
          <w:iCs/>
        </w:rPr>
        <w:t>–</w:t>
      </w:r>
      <w:r w:rsidRPr="00F377CE">
        <w:rPr>
          <w:rFonts w:asciiTheme="majorBidi" w:hAnsiTheme="majorBidi" w:cstheme="majorBidi"/>
          <w:i/>
          <w:iCs/>
        </w:rPr>
        <w:t>167.</w:t>
      </w:r>
      <w:r w:rsidR="0051398F">
        <w:rPr>
          <w:rFonts w:asciiTheme="majorBidi" w:hAnsiTheme="majorBidi" w:cstheme="majorBidi"/>
          <w:i/>
          <w:iCs/>
        </w:rPr>
        <w:t> </w:t>
      </w:r>
      <w:r w:rsidRPr="00F377CE">
        <w:rPr>
          <w:rFonts w:asciiTheme="majorBidi" w:hAnsiTheme="majorBidi" w:cstheme="majorBidi"/>
          <w:i/>
          <w:iCs/>
        </w:rPr>
        <w:t>lapa</w:t>
      </w:r>
      <w:r w:rsidRPr="00DF2BC8">
        <w:rPr>
          <w:rFonts w:asciiTheme="majorBidi" w:hAnsiTheme="majorBidi" w:cstheme="majorBidi"/>
        </w:rPr>
        <w:t>), atzinusi, ka 1347,</w:t>
      </w:r>
      <w:r w:rsidR="00FD247B" w:rsidRPr="00DF2BC8">
        <w:rPr>
          <w:rFonts w:asciiTheme="majorBidi" w:hAnsiTheme="majorBidi" w:cstheme="majorBidi"/>
        </w:rPr>
        <w:t>07</w:t>
      </w:r>
      <w:r w:rsidR="00FD247B">
        <w:rPr>
          <w:rFonts w:asciiTheme="majorBidi" w:hAnsiTheme="majorBidi" w:cstheme="majorBidi"/>
        </w:rPr>
        <w:t> </w:t>
      </w:r>
      <w:proofErr w:type="spellStart"/>
      <w:r w:rsidRPr="00DF2BC8">
        <w:rPr>
          <w:rFonts w:asciiTheme="majorBidi" w:hAnsiTheme="majorBidi" w:cstheme="majorBidi"/>
          <w:i/>
          <w:iCs/>
        </w:rPr>
        <w:t>euro</w:t>
      </w:r>
      <w:proofErr w:type="spellEnd"/>
      <w:r w:rsidRPr="00DF2BC8">
        <w:rPr>
          <w:rFonts w:asciiTheme="majorBidi" w:hAnsiTheme="majorBidi" w:cstheme="majorBidi"/>
          <w:i/>
          <w:iCs/>
        </w:rPr>
        <w:t xml:space="preserve"> </w:t>
      </w:r>
      <w:r w:rsidRPr="00DF2BC8">
        <w:rPr>
          <w:rFonts w:asciiTheme="majorBidi" w:hAnsiTheme="majorBidi" w:cstheme="majorBidi"/>
        </w:rPr>
        <w:t>kā procesuālie izdevumi saskaņā ar Kriminālprocesa likuma 367.</w:t>
      </w:r>
      <w:r w:rsidR="00FD247B">
        <w:rPr>
          <w:rFonts w:asciiTheme="majorBidi" w:hAnsiTheme="majorBidi" w:cstheme="majorBidi"/>
        </w:rPr>
        <w:t> </w:t>
      </w:r>
      <w:r w:rsidRPr="00DF2BC8">
        <w:rPr>
          <w:rFonts w:asciiTheme="majorBidi" w:hAnsiTheme="majorBidi" w:cstheme="majorBidi"/>
        </w:rPr>
        <w:t>panta pirmās daļas 4.</w:t>
      </w:r>
      <w:r w:rsidR="00FD247B">
        <w:rPr>
          <w:rFonts w:asciiTheme="majorBidi" w:hAnsiTheme="majorBidi" w:cstheme="majorBidi"/>
        </w:rPr>
        <w:t> </w:t>
      </w:r>
      <w:r w:rsidRPr="00DF2BC8">
        <w:rPr>
          <w:rFonts w:asciiTheme="majorBidi" w:hAnsiTheme="majorBidi" w:cstheme="majorBidi"/>
        </w:rPr>
        <w:t>punktu un 368.</w:t>
      </w:r>
      <w:r w:rsidR="00FD247B">
        <w:rPr>
          <w:rFonts w:asciiTheme="majorBidi" w:hAnsiTheme="majorBidi" w:cstheme="majorBidi"/>
        </w:rPr>
        <w:t> </w:t>
      </w:r>
      <w:r w:rsidRPr="00DF2BC8">
        <w:rPr>
          <w:rFonts w:asciiTheme="majorBidi" w:hAnsiTheme="majorBidi" w:cstheme="majorBidi"/>
        </w:rPr>
        <w:t xml:space="preserve">panta pirmo daļu piedzenami valsts labā no apsūdzētā </w:t>
      </w:r>
      <w:r w:rsidR="007A2FD8">
        <w:t>[pers. A]</w:t>
      </w:r>
      <w:r w:rsidRPr="00DF2BC8">
        <w:rPr>
          <w:rFonts w:asciiTheme="majorBidi" w:hAnsiTheme="majorBidi" w:cstheme="majorBidi"/>
        </w:rPr>
        <w:t>.</w:t>
      </w:r>
    </w:p>
    <w:p w14:paraId="2939AA13" w14:textId="77777777"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lastRenderedPageBreak/>
        <w:t>[9.3] Saskaņā ar Kriminālprocesa likuma 367. panta pirmās daļas 4. punktu procesuālie izdevumi ir samaksa advokātam, kad izdevumus par juridisko palīdzību sedz no valsts līdzekļiem. No minētā panta otrās daļas izriet, ka šos procesuālos izdevumus sākotnēji sedz no valsts līdzekļiem. Savukārt ar tiesas nolēmumu procesuālie izdevumi piedzenami no notiesātajiem valsts labā atbilstoši Kriminālprocesa likuma 368. panta pirmajā daļā noteiktajam.</w:t>
      </w:r>
    </w:p>
    <w:p w14:paraId="243E6CF3" w14:textId="393505F2"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 xml:space="preserve">[9.4] No lietas materiāliem konstatējams, ka apsūdzētā </w:t>
      </w:r>
      <w:r w:rsidR="00995A13">
        <w:t>[pers. A]</w:t>
      </w:r>
      <w:r w:rsidR="00316EED">
        <w:rPr>
          <w:rFonts w:asciiTheme="majorBidi" w:hAnsiTheme="majorBidi" w:cstheme="majorBidi"/>
        </w:rPr>
        <w:t xml:space="preserve"> </w:t>
      </w:r>
      <w:r w:rsidRPr="00DF2BC8">
        <w:rPr>
          <w:rFonts w:asciiTheme="majorBidi" w:hAnsiTheme="majorBidi" w:cstheme="majorBidi"/>
        </w:rPr>
        <w:t xml:space="preserve">aizstāvību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procesā, pamatojoties uz 2021. gada 19. augusta vienošanos Nr. 31/2021, īstenojusi zvērināta advokāte Inta </w:t>
      </w:r>
      <w:proofErr w:type="spellStart"/>
      <w:r w:rsidRPr="00DF2BC8">
        <w:rPr>
          <w:rFonts w:asciiTheme="majorBidi" w:hAnsiTheme="majorBidi" w:cstheme="majorBidi"/>
        </w:rPr>
        <w:t>Tūmane</w:t>
      </w:r>
      <w:proofErr w:type="spellEnd"/>
      <w:r w:rsidRPr="00DF2BC8">
        <w:rPr>
          <w:rFonts w:asciiTheme="majorBidi" w:hAnsiTheme="majorBidi" w:cstheme="majorBidi"/>
        </w:rPr>
        <w:t xml:space="preserve"> (</w:t>
      </w:r>
      <w:r w:rsidR="003501A5" w:rsidRPr="003501A5">
        <w:rPr>
          <w:rFonts w:asciiTheme="majorBidi" w:hAnsiTheme="majorBidi" w:cstheme="majorBidi"/>
          <w:i/>
          <w:iCs/>
        </w:rPr>
        <w:t xml:space="preserve">lietas </w:t>
      </w:r>
      <w:r w:rsidRPr="003501A5">
        <w:rPr>
          <w:rFonts w:asciiTheme="majorBidi" w:hAnsiTheme="majorBidi" w:cstheme="majorBidi"/>
          <w:i/>
          <w:iCs/>
        </w:rPr>
        <w:t>3.</w:t>
      </w:r>
      <w:r w:rsidR="00FD247B" w:rsidRPr="003501A5">
        <w:rPr>
          <w:rFonts w:asciiTheme="majorBidi" w:hAnsiTheme="majorBidi" w:cstheme="majorBidi"/>
          <w:i/>
          <w:iCs/>
        </w:rPr>
        <w:t> </w:t>
      </w:r>
      <w:r w:rsidRPr="003501A5">
        <w:rPr>
          <w:rFonts w:asciiTheme="majorBidi" w:hAnsiTheme="majorBidi" w:cstheme="majorBidi"/>
          <w:i/>
          <w:iCs/>
        </w:rPr>
        <w:t>sējuma 92. lapa</w:t>
      </w:r>
      <w:r w:rsidRPr="00DF2BC8">
        <w:rPr>
          <w:rFonts w:asciiTheme="majorBidi" w:hAnsiTheme="majorBidi" w:cstheme="majorBidi"/>
        </w:rPr>
        <w:t xml:space="preserve">). Savukārt pirmās instances tiesā apsūdzētajam </w:t>
      </w:r>
      <w:r w:rsidR="00995A13">
        <w:t>[pers. A]</w:t>
      </w:r>
      <w:r w:rsidRPr="00DF2BC8">
        <w:rPr>
          <w:rFonts w:asciiTheme="majorBidi" w:hAnsiTheme="majorBidi" w:cstheme="majorBidi"/>
        </w:rPr>
        <w:t xml:space="preserve"> valsts nodrošinātu juridisko palīdzību sniegusi B. Didrihsone. </w:t>
      </w:r>
    </w:p>
    <w:p w14:paraId="09E67C26" w14:textId="56A93DEE"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 xml:space="preserve">Apsūdzētajam </w:t>
      </w:r>
      <w:r w:rsidR="00995A13">
        <w:t>[pers. B]</w:t>
      </w:r>
      <w:r w:rsidRPr="00DF2BC8">
        <w:rPr>
          <w:rFonts w:asciiTheme="majorBidi" w:hAnsiTheme="majorBidi" w:cstheme="majorBidi"/>
        </w:rPr>
        <w:t xml:space="preserve"> valsts nodrošinātu juridisko palīdzību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procesā sniegusi zvērināta advokāte Ilze Skaistkalne. Atbilstoši paziņojumam par valsts nodrošinātās juridiskās palīdzības sniegšanu kriminālprocesā samaksa advokātam ir 67,</w:t>
      </w:r>
      <w:r w:rsidR="00FD247B" w:rsidRPr="00DF2BC8">
        <w:rPr>
          <w:rFonts w:asciiTheme="majorBidi" w:hAnsiTheme="majorBidi" w:cstheme="majorBidi"/>
        </w:rPr>
        <w:t>47</w:t>
      </w:r>
      <w:r w:rsidR="00FD247B">
        <w:rPr>
          <w:rFonts w:asciiTheme="majorBidi" w:hAnsiTheme="majorBidi" w:cstheme="majorBidi"/>
        </w:rPr>
        <w:t> </w:t>
      </w:r>
      <w:proofErr w:type="spellStart"/>
      <w:r w:rsidRPr="00DF2BC8">
        <w:rPr>
          <w:rFonts w:asciiTheme="majorBidi" w:hAnsiTheme="majorBidi" w:cstheme="majorBidi"/>
          <w:i/>
          <w:iCs/>
        </w:rPr>
        <w:t>euro</w:t>
      </w:r>
      <w:proofErr w:type="spellEnd"/>
      <w:r w:rsidRPr="00DF2BC8">
        <w:rPr>
          <w:rFonts w:asciiTheme="majorBidi" w:hAnsiTheme="majorBidi" w:cstheme="majorBidi"/>
        </w:rPr>
        <w:t xml:space="preserve"> (</w:t>
      </w:r>
      <w:r w:rsidR="003501A5" w:rsidRPr="003501A5">
        <w:rPr>
          <w:rFonts w:asciiTheme="majorBidi" w:hAnsiTheme="majorBidi" w:cstheme="majorBidi"/>
          <w:i/>
          <w:iCs/>
        </w:rPr>
        <w:t xml:space="preserve">lietas </w:t>
      </w:r>
      <w:r w:rsidRPr="003501A5">
        <w:rPr>
          <w:rFonts w:asciiTheme="majorBidi" w:hAnsiTheme="majorBidi" w:cstheme="majorBidi"/>
          <w:i/>
          <w:iCs/>
        </w:rPr>
        <w:t>1.</w:t>
      </w:r>
      <w:r w:rsidR="0051398F" w:rsidRPr="003501A5">
        <w:rPr>
          <w:rFonts w:asciiTheme="majorBidi" w:hAnsiTheme="majorBidi" w:cstheme="majorBidi"/>
          <w:i/>
          <w:iCs/>
        </w:rPr>
        <w:t> </w:t>
      </w:r>
      <w:r w:rsidRPr="003501A5">
        <w:rPr>
          <w:rFonts w:asciiTheme="majorBidi" w:hAnsiTheme="majorBidi" w:cstheme="majorBidi"/>
          <w:i/>
          <w:iCs/>
        </w:rPr>
        <w:t>sējuma 136.</w:t>
      </w:r>
      <w:r w:rsidR="00FD247B" w:rsidRPr="003501A5">
        <w:rPr>
          <w:rFonts w:asciiTheme="majorBidi" w:hAnsiTheme="majorBidi" w:cstheme="majorBidi"/>
          <w:i/>
          <w:iCs/>
        </w:rPr>
        <w:t>–</w:t>
      </w:r>
      <w:r w:rsidRPr="003501A5">
        <w:rPr>
          <w:rFonts w:asciiTheme="majorBidi" w:hAnsiTheme="majorBidi" w:cstheme="majorBidi"/>
          <w:i/>
          <w:iCs/>
        </w:rPr>
        <w:t>137. lapa).</w:t>
      </w:r>
      <w:r w:rsidRPr="00DF2BC8">
        <w:rPr>
          <w:rFonts w:asciiTheme="majorBidi" w:hAnsiTheme="majorBidi" w:cstheme="majorBidi"/>
        </w:rPr>
        <w:t xml:space="preserve"> Arī lēmumā par krimināllietas nosūtīšanu tiesai prokurors norādījis, ka lietā ir procesuālie izdevumi par valsts nodrošināt</w:t>
      </w:r>
      <w:r w:rsidR="00316EED">
        <w:rPr>
          <w:rFonts w:asciiTheme="majorBidi" w:hAnsiTheme="majorBidi" w:cstheme="majorBidi"/>
        </w:rPr>
        <w:t>o</w:t>
      </w:r>
      <w:r w:rsidRPr="00DF2BC8">
        <w:rPr>
          <w:rFonts w:asciiTheme="majorBidi" w:hAnsiTheme="majorBidi" w:cstheme="majorBidi"/>
        </w:rPr>
        <w:t xml:space="preserve"> juridiskās palīdzības sniegšanu aizdomās turētajam </w:t>
      </w:r>
      <w:r w:rsidR="00995A13">
        <w:t>[pers. B]</w:t>
      </w:r>
      <w:r w:rsidRPr="00DF2BC8">
        <w:rPr>
          <w:rFonts w:asciiTheme="majorBidi" w:hAnsiTheme="majorBidi" w:cstheme="majorBidi"/>
        </w:rPr>
        <w:t xml:space="preserve"> (</w:t>
      </w:r>
      <w:r w:rsidR="003501A5" w:rsidRPr="003501A5">
        <w:rPr>
          <w:rFonts w:asciiTheme="majorBidi" w:hAnsiTheme="majorBidi" w:cstheme="majorBidi"/>
          <w:i/>
          <w:iCs/>
        </w:rPr>
        <w:t xml:space="preserve">lietas </w:t>
      </w:r>
      <w:r w:rsidRPr="00DE6A39">
        <w:rPr>
          <w:rFonts w:asciiTheme="majorBidi" w:hAnsiTheme="majorBidi" w:cstheme="majorBidi"/>
          <w:i/>
          <w:iCs/>
        </w:rPr>
        <w:t>3.</w:t>
      </w:r>
      <w:r w:rsidR="00FD247B">
        <w:rPr>
          <w:rFonts w:asciiTheme="majorBidi" w:hAnsiTheme="majorBidi" w:cstheme="majorBidi"/>
          <w:i/>
          <w:iCs/>
        </w:rPr>
        <w:t> </w:t>
      </w:r>
      <w:r w:rsidRPr="00DE6A39">
        <w:rPr>
          <w:rFonts w:asciiTheme="majorBidi" w:hAnsiTheme="majorBidi" w:cstheme="majorBidi"/>
          <w:i/>
          <w:iCs/>
        </w:rPr>
        <w:t>sējuma 103</w:t>
      </w:r>
      <w:r w:rsidR="00FD247B" w:rsidRPr="00DE6A39">
        <w:rPr>
          <w:rFonts w:asciiTheme="majorBidi" w:hAnsiTheme="majorBidi" w:cstheme="majorBidi"/>
          <w:i/>
          <w:iCs/>
        </w:rPr>
        <w:t>.</w:t>
      </w:r>
      <w:r w:rsidR="00FD247B">
        <w:rPr>
          <w:rFonts w:asciiTheme="majorBidi" w:hAnsiTheme="majorBidi" w:cstheme="majorBidi"/>
          <w:i/>
          <w:iCs/>
        </w:rPr>
        <w:t> </w:t>
      </w:r>
      <w:r w:rsidRPr="00DE6A39">
        <w:rPr>
          <w:rFonts w:asciiTheme="majorBidi" w:hAnsiTheme="majorBidi" w:cstheme="majorBidi"/>
          <w:i/>
          <w:iCs/>
        </w:rPr>
        <w:t>lapa</w:t>
      </w:r>
      <w:r w:rsidRPr="00DF2BC8">
        <w:rPr>
          <w:rFonts w:asciiTheme="majorBidi" w:hAnsiTheme="majorBidi" w:cstheme="majorBidi"/>
        </w:rPr>
        <w:t>).</w:t>
      </w:r>
    </w:p>
    <w:p w14:paraId="6A35776C" w14:textId="2F9350A3"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 xml:space="preserve">[9.5] Ievērojot minēto, Senāts atzīst, ka apelācijas instances tiesa, atstājot negrozītu pirmās instances tiesas spriedumu daļā par procesuālo izdevumu piedziņu, nav ņēmusi vērā, ka apsūdzētajam </w:t>
      </w:r>
      <w:r w:rsidR="00995A13">
        <w:t>[pers. A]</w:t>
      </w:r>
      <w:r w:rsidRPr="00DF2BC8">
        <w:rPr>
          <w:rFonts w:asciiTheme="majorBidi" w:hAnsiTheme="majorBidi" w:cstheme="majorBidi"/>
        </w:rPr>
        <w:t xml:space="preserve">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procesā valsts nodrošināta juridiskā palīdzība nav sniegta. </w:t>
      </w:r>
    </w:p>
    <w:p w14:paraId="20335E3A" w14:textId="3B17C8E2"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 xml:space="preserve">Turklāt, aprēķinot valsts nodrošinātas juridiskās palīdzības sniegšanas pirmās instances tiesā apmēru, tiesa nav ņēmusi vērā Juridiskās palīdzības administrācijas paziņojumu par samaksas apmēra pārrēķinu </w:t>
      </w:r>
      <w:r w:rsidRPr="00DF2BC8">
        <w:rPr>
          <w:rFonts w:asciiTheme="majorBidi" w:hAnsiTheme="majorBidi" w:cstheme="majorBidi"/>
          <w:i/>
          <w:iCs/>
        </w:rPr>
        <w:t>(</w:t>
      </w:r>
      <w:r w:rsidR="003501A5">
        <w:rPr>
          <w:rFonts w:asciiTheme="majorBidi" w:hAnsiTheme="majorBidi" w:cstheme="majorBidi"/>
          <w:i/>
          <w:iCs/>
        </w:rPr>
        <w:t xml:space="preserve">lietas </w:t>
      </w:r>
      <w:r w:rsidRPr="00DF2BC8">
        <w:rPr>
          <w:rFonts w:asciiTheme="majorBidi" w:hAnsiTheme="majorBidi" w:cstheme="majorBidi"/>
          <w:i/>
          <w:iCs/>
        </w:rPr>
        <w:t>4.</w:t>
      </w:r>
      <w:r w:rsidR="00FD247B">
        <w:rPr>
          <w:rFonts w:asciiTheme="majorBidi" w:hAnsiTheme="majorBidi" w:cstheme="majorBidi"/>
          <w:i/>
          <w:iCs/>
        </w:rPr>
        <w:t> </w:t>
      </w:r>
      <w:r w:rsidRPr="00DF2BC8">
        <w:rPr>
          <w:rFonts w:asciiTheme="majorBidi" w:hAnsiTheme="majorBidi" w:cstheme="majorBidi"/>
          <w:i/>
          <w:iCs/>
        </w:rPr>
        <w:t>sējuma 107. lapa)</w:t>
      </w:r>
      <w:r w:rsidRPr="00DF2BC8">
        <w:rPr>
          <w:rFonts w:asciiTheme="majorBidi" w:hAnsiTheme="majorBidi" w:cstheme="majorBidi"/>
        </w:rPr>
        <w:t xml:space="preserve">. </w:t>
      </w:r>
    </w:p>
    <w:p w14:paraId="6DB29170" w14:textId="726B7DA8"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 xml:space="preserve">Tādējādi apelācijas instances tiesa pieļāvusi Kriminālprocesa likuma 564. panta ceturtās daļas pārkāpumu. Minētās tiesību normas pārkāpums atzīstams par Kriminālprocesa likuma būtisku pārkāpumu šā likuma 575. panta trešās daļas izpratnē, kas novedis </w:t>
      </w:r>
      <w:r w:rsidR="006B15B6" w:rsidRPr="00DF2BC8">
        <w:rPr>
          <w:rFonts w:asciiTheme="majorBidi" w:hAnsiTheme="majorBidi" w:cstheme="majorBidi"/>
        </w:rPr>
        <w:t>pie</w:t>
      </w:r>
      <w:r w:rsidR="006B15B6">
        <w:rPr>
          <w:rFonts w:asciiTheme="majorBidi" w:hAnsiTheme="majorBidi" w:cstheme="majorBidi"/>
        </w:rPr>
        <w:t xml:space="preserve"> nelikumīga nolēmuma šajā daļ</w:t>
      </w:r>
      <w:r w:rsidR="00316EED">
        <w:rPr>
          <w:rFonts w:asciiTheme="majorBidi" w:hAnsiTheme="majorBidi" w:cstheme="majorBidi"/>
        </w:rPr>
        <w:t>ā</w:t>
      </w:r>
      <w:r w:rsidR="006B15B6">
        <w:rPr>
          <w:rFonts w:asciiTheme="majorBidi" w:hAnsiTheme="majorBidi" w:cstheme="majorBidi"/>
        </w:rPr>
        <w:t>.</w:t>
      </w:r>
      <w:r w:rsidRPr="00DF2BC8">
        <w:rPr>
          <w:rFonts w:asciiTheme="majorBidi" w:hAnsiTheme="majorBidi" w:cstheme="majorBidi"/>
        </w:rPr>
        <w:t xml:space="preserve"> </w:t>
      </w:r>
    </w:p>
    <w:p w14:paraId="768262A1" w14:textId="4AE67C64"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 xml:space="preserve">Minētā iemesla dēļ apelācijas instances tiesas spriedums ir atceļams arī daļā par procesuālo izdevumu piedziņu no </w:t>
      </w:r>
      <w:r w:rsidR="00995A13">
        <w:t>[pers. A]</w:t>
      </w:r>
      <w:r w:rsidRPr="00DF2BC8">
        <w:rPr>
          <w:rFonts w:asciiTheme="majorBidi" w:hAnsiTheme="majorBidi" w:cstheme="majorBidi"/>
        </w:rPr>
        <w:t xml:space="preserve"> un lieta šajā daļā nosūtāma jaunai izskatīšanai apelācijas instances tiesā.</w:t>
      </w:r>
    </w:p>
    <w:p w14:paraId="030EBEE4" w14:textId="77777777"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7BDE2CE" w14:textId="113E0B65"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 xml:space="preserve">[10] Senātam jāizvērtē, vai ir pamatots apsūdzētā </w:t>
      </w:r>
      <w:r w:rsidR="00995A13">
        <w:t>[pers. A]</w:t>
      </w:r>
      <w:r w:rsidRPr="00DF2BC8">
        <w:rPr>
          <w:rFonts w:asciiTheme="majorBidi" w:hAnsiTheme="majorBidi" w:cstheme="majorBidi"/>
        </w:rPr>
        <w:t xml:space="preserve"> apgalvojums</w:t>
      </w:r>
      <w:r w:rsidR="00D731BE">
        <w:rPr>
          <w:rFonts w:asciiTheme="majorBidi" w:hAnsiTheme="majorBidi" w:cstheme="majorBidi"/>
        </w:rPr>
        <w:t xml:space="preserve"> </w:t>
      </w:r>
      <w:r w:rsidRPr="00DF2BC8">
        <w:rPr>
          <w:rFonts w:asciiTheme="majorBidi" w:hAnsiTheme="majorBidi" w:cstheme="majorBidi"/>
        </w:rPr>
        <w:t xml:space="preserve">par viņa tiesību uz aizstāvību pārkāpumu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kriminālprocesā.</w:t>
      </w:r>
    </w:p>
    <w:p w14:paraId="7AB2D898" w14:textId="20C09B68"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[10.1</w:t>
      </w:r>
      <w:r w:rsidR="00931C45" w:rsidRPr="00DF2BC8">
        <w:rPr>
          <w:rFonts w:asciiTheme="majorBidi" w:hAnsiTheme="majorBidi" w:cstheme="majorBidi"/>
        </w:rPr>
        <w:t>]</w:t>
      </w:r>
      <w:r w:rsidR="00931C45">
        <w:rPr>
          <w:rFonts w:asciiTheme="majorBidi" w:hAnsiTheme="majorBidi" w:cstheme="majorBidi"/>
        </w:rPr>
        <w:t> </w:t>
      </w:r>
      <w:r w:rsidRPr="00DF2BC8">
        <w:rPr>
          <w:rFonts w:asciiTheme="majorBidi" w:hAnsiTheme="majorBidi" w:cstheme="majorBidi"/>
        </w:rPr>
        <w:t>Kriminālprocesa likum</w:t>
      </w:r>
      <w:r w:rsidR="00D731BE">
        <w:rPr>
          <w:rFonts w:asciiTheme="majorBidi" w:hAnsiTheme="majorBidi" w:cstheme="majorBidi"/>
        </w:rPr>
        <w:t>a</w:t>
      </w:r>
      <w:r w:rsidRPr="00DF2BC8">
        <w:rPr>
          <w:rFonts w:asciiTheme="majorBidi" w:hAnsiTheme="majorBidi" w:cstheme="majorBidi"/>
        </w:rPr>
        <w:t xml:space="preserve"> 20. panta pirmā daļa noteic, ka katrai personai, par kuru izteikts pieņēmums vai apgalvojums, ka tā izdarījusi noziedzīgu nodarījumu, ir tiesības uz aizstāvību. Minētās tiesības uz aizstāvību jāīsteno</w:t>
      </w:r>
      <w:r w:rsidR="00D731BE">
        <w:rPr>
          <w:rFonts w:asciiTheme="majorBidi" w:hAnsiTheme="majorBidi" w:cstheme="majorBidi"/>
        </w:rPr>
        <w:t>,</w:t>
      </w:r>
      <w:r w:rsidRPr="00DF2BC8">
        <w:rPr>
          <w:rFonts w:asciiTheme="majorBidi" w:hAnsiTheme="majorBidi" w:cstheme="majorBidi"/>
        </w:rPr>
        <w:t xml:space="preserve"> </w:t>
      </w:r>
      <w:r w:rsidRPr="00F377CE">
        <w:rPr>
          <w:rFonts w:asciiTheme="majorBidi" w:hAnsiTheme="majorBidi" w:cstheme="majorBidi"/>
        </w:rPr>
        <w:t xml:space="preserve">ievērojot </w:t>
      </w:r>
      <w:r w:rsidR="00D731BE" w:rsidRPr="00F377CE">
        <w:rPr>
          <w:rFonts w:asciiTheme="majorBidi" w:hAnsiTheme="majorBidi" w:cstheme="majorBidi"/>
        </w:rPr>
        <w:t xml:space="preserve">arī </w:t>
      </w:r>
      <w:r w:rsidRPr="00F377CE">
        <w:rPr>
          <w:rFonts w:asciiTheme="majorBidi" w:hAnsiTheme="majorBidi" w:cstheme="majorBidi"/>
        </w:rPr>
        <w:t xml:space="preserve">Eiropas Parlamenta un Padomes 2016. gada 26. oktobra Direktīvu (ES) </w:t>
      </w:r>
      <w:hyperlink r:id="rId10" w:history="1">
        <w:r w:rsidRPr="00F377CE">
          <w:rPr>
            <w:rStyle w:val="Hyperlink"/>
            <w:rFonts w:asciiTheme="majorBidi" w:hAnsiTheme="majorBidi" w:cstheme="majorBidi"/>
            <w:color w:val="auto"/>
            <w:u w:val="none"/>
          </w:rPr>
          <w:t>2016/1919</w:t>
        </w:r>
      </w:hyperlink>
      <w:r w:rsidRPr="00DF2BC8">
        <w:rPr>
          <w:rFonts w:asciiTheme="majorBidi" w:hAnsiTheme="majorBidi" w:cstheme="majorBidi"/>
        </w:rPr>
        <w:t xml:space="preserve"> (turpmāk – Direktīva 2016/1919) par juridisko palīdzību aizdomās turētajiem un apsūdzētajiem kriminālprocesā un pieprasītajām personām Eiropas apcietināšanas ordera procesā</w:t>
      </w:r>
      <w:r w:rsidR="00316EED">
        <w:rPr>
          <w:rFonts w:asciiTheme="majorBidi" w:hAnsiTheme="majorBidi" w:cstheme="majorBidi"/>
        </w:rPr>
        <w:t>.</w:t>
      </w:r>
      <w:r w:rsidRPr="00DF2BC8">
        <w:rPr>
          <w:rFonts w:asciiTheme="majorBidi" w:hAnsiTheme="majorBidi" w:cstheme="majorBidi"/>
        </w:rPr>
        <w:t xml:space="preserve"> </w:t>
      </w:r>
    </w:p>
    <w:p w14:paraId="4D05D55D" w14:textId="40EFF5DB" w:rsidR="00DE6A39"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Saskaņā ar Direktīvas</w:t>
      </w:r>
      <w:r w:rsidR="00D731BE">
        <w:rPr>
          <w:rFonts w:asciiTheme="majorBidi" w:hAnsiTheme="majorBidi" w:cstheme="majorBidi"/>
        </w:rPr>
        <w:t xml:space="preserve"> </w:t>
      </w:r>
      <w:r w:rsidRPr="00DF2BC8">
        <w:rPr>
          <w:rFonts w:asciiTheme="majorBidi" w:hAnsiTheme="majorBidi" w:cstheme="majorBidi"/>
        </w:rPr>
        <w:t>2016/1919 7. panta pirmo daļu dalībvalstis veic nepieciešamos pasākumus, arī attiecībā uz finansējumu, lai nodrošinātu, ka</w:t>
      </w:r>
      <w:r w:rsidR="00D731BE">
        <w:rPr>
          <w:rFonts w:asciiTheme="majorBidi" w:hAnsiTheme="majorBidi" w:cstheme="majorBidi"/>
        </w:rPr>
        <w:t xml:space="preserve"> </w:t>
      </w:r>
      <w:r w:rsidRPr="00DF2BC8">
        <w:rPr>
          <w:rFonts w:asciiTheme="majorBidi" w:hAnsiTheme="majorBidi" w:cstheme="majorBidi"/>
        </w:rPr>
        <w:t>pastāv efektīva un atbilstīgas kvalitātes juridiskās palīdzības sistēma; un</w:t>
      </w:r>
      <w:r w:rsidR="00D731BE">
        <w:rPr>
          <w:rFonts w:asciiTheme="majorBidi" w:hAnsiTheme="majorBidi" w:cstheme="majorBidi"/>
        </w:rPr>
        <w:t xml:space="preserve"> </w:t>
      </w:r>
      <w:r w:rsidRPr="00DF2BC8">
        <w:rPr>
          <w:rFonts w:asciiTheme="majorBidi" w:hAnsiTheme="majorBidi" w:cstheme="majorBidi"/>
        </w:rPr>
        <w:t xml:space="preserve">juridiskās palīdzības pakalpojumiem ir atbilstīga </w:t>
      </w:r>
      <w:r w:rsidRPr="00DF2BC8">
        <w:rPr>
          <w:rFonts w:asciiTheme="majorBidi" w:hAnsiTheme="majorBidi" w:cstheme="majorBidi"/>
        </w:rPr>
        <w:lastRenderedPageBreak/>
        <w:t>kvalitāte, lai garantētu procesa taisnīgu norisi, pienācīgi respektējot juridisko profesiju neatkarību.</w:t>
      </w:r>
    </w:p>
    <w:p w14:paraId="73D73D6E" w14:textId="28DB2625" w:rsidR="00DE6A39" w:rsidRPr="00DF2BC8" w:rsidRDefault="00DE6A39" w:rsidP="00931C45">
      <w:pPr>
        <w:spacing w:line="276" w:lineRule="auto"/>
        <w:ind w:firstLine="720"/>
        <w:jc w:val="both"/>
        <w:rPr>
          <w:rFonts w:asciiTheme="majorBidi" w:hAnsiTheme="majorBidi" w:cstheme="majorBidi"/>
        </w:rPr>
      </w:pPr>
      <w:r w:rsidRPr="00DF2BC8">
        <w:rPr>
          <w:rFonts w:asciiTheme="majorBidi" w:hAnsiTheme="majorBidi" w:cstheme="majorBidi"/>
        </w:rPr>
        <w:t xml:space="preserve">[10.2] Eiropas Cilvēktiesību tiesa </w:t>
      </w:r>
      <w:r w:rsidR="00931C45">
        <w:rPr>
          <w:rFonts w:asciiTheme="majorBidi" w:hAnsiTheme="majorBidi" w:cstheme="majorBidi"/>
        </w:rPr>
        <w:t>(turpmāk</w:t>
      </w:r>
      <w:r w:rsidR="00316EED">
        <w:rPr>
          <w:rFonts w:asciiTheme="majorBidi" w:hAnsiTheme="majorBidi" w:cstheme="majorBidi"/>
        </w:rPr>
        <w:t xml:space="preserve"> arī</w:t>
      </w:r>
      <w:r w:rsidR="00931C45">
        <w:rPr>
          <w:rFonts w:asciiTheme="majorBidi" w:hAnsiTheme="majorBidi" w:cstheme="majorBidi"/>
        </w:rPr>
        <w:t xml:space="preserve"> – ECT) </w:t>
      </w:r>
      <w:r w:rsidRPr="00DF2BC8">
        <w:rPr>
          <w:rFonts w:asciiTheme="majorBidi" w:hAnsiTheme="majorBidi" w:cstheme="majorBidi"/>
        </w:rPr>
        <w:t>ir vairākkārt vērtējusi jautājumus, kas saistīti ar aizstāvja darba kvalitāti un tās ietekmi uz taisnīgu tiesu. Lai gan tiesa ir atzinusi, ka aizstāvis ir neatkarīgs juridiskās palīdzības sniedzējs, tā uzsvērusi valsts pienākumu nodrošināt, ka tiesas process kopumā atbilst taisnīgas tiesas standartiem, kā noteikts Eiropas Cilvēktiesību un pamatbrīvību aizsardzības konvencijas</w:t>
      </w:r>
      <w:r w:rsidR="00931C45">
        <w:rPr>
          <w:rFonts w:asciiTheme="majorBidi" w:hAnsiTheme="majorBidi" w:cstheme="majorBidi"/>
        </w:rPr>
        <w:t xml:space="preserve"> (turpmāk arī – </w:t>
      </w:r>
      <w:r w:rsidR="007649A2">
        <w:rPr>
          <w:rFonts w:asciiTheme="majorBidi" w:hAnsiTheme="majorBidi" w:cstheme="majorBidi"/>
        </w:rPr>
        <w:t>ECTK</w:t>
      </w:r>
      <w:r w:rsidR="00931C45">
        <w:rPr>
          <w:rFonts w:asciiTheme="majorBidi" w:hAnsiTheme="majorBidi" w:cstheme="majorBidi"/>
        </w:rPr>
        <w:t>)</w:t>
      </w:r>
      <w:r w:rsidRPr="00DF2BC8">
        <w:rPr>
          <w:rFonts w:asciiTheme="majorBidi" w:hAnsiTheme="majorBidi" w:cstheme="majorBidi"/>
        </w:rPr>
        <w:t xml:space="preserve"> 6</w:t>
      </w:r>
      <w:r w:rsidR="00931C45" w:rsidRPr="00DF2BC8">
        <w:rPr>
          <w:rFonts w:asciiTheme="majorBidi" w:hAnsiTheme="majorBidi" w:cstheme="majorBidi"/>
        </w:rPr>
        <w:t>.</w:t>
      </w:r>
      <w:r w:rsidR="00931C45">
        <w:t> </w:t>
      </w:r>
      <w:r w:rsidRPr="00DF2BC8">
        <w:rPr>
          <w:rFonts w:asciiTheme="majorBidi" w:hAnsiTheme="majorBidi" w:cstheme="majorBidi"/>
        </w:rPr>
        <w:t>pantā.</w:t>
      </w:r>
    </w:p>
    <w:p w14:paraId="235C8D57" w14:textId="31DEF0E8"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Juridiskās palīdzības sniegšanas kvalitātei kriminālprocesā ir svarīga būtiska nozīme, jo, kā izriet arī no ECT judikatūras, kas </w:t>
      </w:r>
      <w:proofErr w:type="spellStart"/>
      <w:r w:rsidRPr="00DF2BC8">
        <w:rPr>
          <w:rFonts w:asciiTheme="majorBidi" w:hAnsiTheme="majorBidi" w:cstheme="majorBidi"/>
          <w:i/>
          <w:iCs/>
        </w:rPr>
        <w:t>inter</w:t>
      </w:r>
      <w:proofErr w:type="spellEnd"/>
      <w:r w:rsidRPr="00DF2BC8">
        <w:rPr>
          <w:rFonts w:asciiTheme="majorBidi" w:hAnsiTheme="majorBidi" w:cstheme="majorBidi"/>
          <w:i/>
          <w:iCs/>
        </w:rPr>
        <w:t> </w:t>
      </w:r>
      <w:proofErr w:type="spellStart"/>
      <w:r w:rsidRPr="00DF2BC8">
        <w:rPr>
          <w:rFonts w:asciiTheme="majorBidi" w:hAnsiTheme="majorBidi" w:cstheme="majorBidi"/>
          <w:i/>
          <w:iCs/>
        </w:rPr>
        <w:t>alia</w:t>
      </w:r>
      <w:proofErr w:type="spellEnd"/>
      <w:r w:rsidRPr="00DF2BC8">
        <w:rPr>
          <w:rFonts w:asciiTheme="majorBidi" w:hAnsiTheme="majorBidi" w:cstheme="majorBidi"/>
        </w:rPr>
        <w:t xml:space="preserve"> nosaka standartus tiesībām uz advokāta palīdzību, aizstāvja nozīmēšana pati par sevi vien nav pietiekama, lai ECTK 6.</w:t>
      </w:r>
      <w:r w:rsidR="00931C45">
        <w:rPr>
          <w:rFonts w:asciiTheme="majorBidi" w:hAnsiTheme="majorBidi" w:cstheme="majorBidi"/>
        </w:rPr>
        <w:t> </w:t>
      </w:r>
      <w:r w:rsidRPr="00DF2BC8">
        <w:rPr>
          <w:rFonts w:asciiTheme="majorBidi" w:hAnsiTheme="majorBidi" w:cstheme="majorBidi"/>
        </w:rPr>
        <w:t>panta prasības tiktu izpildītas, – nepieciešams reāli nodrošināt kvalitatīvu aizstāvību (</w:t>
      </w:r>
      <w:r w:rsidR="007649A2" w:rsidRPr="00F377CE">
        <w:rPr>
          <w:rFonts w:asciiTheme="majorBidi" w:hAnsiTheme="majorBidi" w:cstheme="majorBidi"/>
          <w:i/>
          <w:iCs/>
        </w:rPr>
        <w:t>Eiropas Cilvēktiesību tiesas 1980. gada 13. maija sprieduma lietā „</w:t>
      </w:r>
      <w:proofErr w:type="spellStart"/>
      <w:r w:rsidRPr="007649A2">
        <w:rPr>
          <w:rFonts w:asciiTheme="majorBidi" w:hAnsiTheme="majorBidi" w:cstheme="majorBidi"/>
          <w:i/>
          <w:iCs/>
        </w:rPr>
        <w:t>Artico</w:t>
      </w:r>
      <w:proofErr w:type="spellEnd"/>
      <w:r w:rsidR="00D731BE">
        <w:rPr>
          <w:rFonts w:asciiTheme="majorBidi" w:hAnsiTheme="majorBidi" w:cstheme="majorBidi"/>
          <w:i/>
          <w:iCs/>
        </w:rPr>
        <w:t xml:space="preserve"> </w:t>
      </w:r>
      <w:r w:rsidRPr="00F377CE">
        <w:rPr>
          <w:rFonts w:asciiTheme="majorBidi" w:hAnsiTheme="majorBidi" w:cstheme="majorBidi"/>
          <w:i/>
          <w:iCs/>
        </w:rPr>
        <w:t>pret Itāliju</w:t>
      </w:r>
      <w:r w:rsidR="007649A2" w:rsidRPr="00F377CE">
        <w:rPr>
          <w:rFonts w:asciiTheme="majorBidi" w:hAnsiTheme="majorBidi" w:cstheme="majorBidi"/>
          <w:i/>
          <w:iCs/>
        </w:rPr>
        <w:t>”, iesnieguma Nr. </w:t>
      </w:r>
      <w:hyperlink r:id="rId11" w:anchor="{%22itemid%22:[%22001-57424%22]}" w:history="1">
        <w:r w:rsidR="007649A2" w:rsidRPr="00F377CE">
          <w:rPr>
            <w:rStyle w:val="Hyperlink"/>
            <w:rFonts w:asciiTheme="majorBidi" w:hAnsiTheme="majorBidi" w:cstheme="majorBidi"/>
            <w:i/>
            <w:iCs/>
          </w:rPr>
          <w:t>6694/74</w:t>
        </w:r>
      </w:hyperlink>
      <w:r w:rsidR="007649A2" w:rsidRPr="00F377CE">
        <w:rPr>
          <w:rFonts w:asciiTheme="majorBidi" w:hAnsiTheme="majorBidi" w:cstheme="majorBidi"/>
          <w:i/>
          <w:iCs/>
        </w:rPr>
        <w:t xml:space="preserve">, </w:t>
      </w:r>
      <w:r w:rsidRPr="00F377CE">
        <w:rPr>
          <w:rFonts w:asciiTheme="majorBidi" w:hAnsiTheme="majorBidi" w:cstheme="majorBidi"/>
          <w:i/>
          <w:iCs/>
        </w:rPr>
        <w:t xml:space="preserve">33. un 36. punkts; 2015. gada 9. aprīļa </w:t>
      </w:r>
      <w:r w:rsidR="007649A2" w:rsidRPr="00F377CE">
        <w:rPr>
          <w:rFonts w:asciiTheme="majorBidi" w:hAnsiTheme="majorBidi" w:cstheme="majorBidi"/>
          <w:i/>
          <w:iCs/>
        </w:rPr>
        <w:t xml:space="preserve">sprieduma </w:t>
      </w:r>
      <w:r w:rsidRPr="00F377CE">
        <w:rPr>
          <w:rFonts w:asciiTheme="majorBidi" w:hAnsiTheme="majorBidi" w:cstheme="majorBidi"/>
          <w:i/>
          <w:iCs/>
        </w:rPr>
        <w:t xml:space="preserve">lietā </w:t>
      </w:r>
      <w:r w:rsidR="007649A2" w:rsidRPr="00F377CE">
        <w:rPr>
          <w:rFonts w:asciiTheme="majorBidi" w:hAnsiTheme="majorBidi" w:cstheme="majorBidi"/>
          <w:i/>
          <w:iCs/>
        </w:rPr>
        <w:t>„</w:t>
      </w:r>
      <w:proofErr w:type="spellStart"/>
      <w:r w:rsidRPr="00F377CE">
        <w:rPr>
          <w:rFonts w:asciiTheme="majorBidi" w:hAnsiTheme="majorBidi" w:cstheme="majorBidi"/>
          <w:i/>
          <w:iCs/>
        </w:rPr>
        <w:t>Vamvakas</w:t>
      </w:r>
      <w:proofErr w:type="spellEnd"/>
      <w:r w:rsidRPr="00F377CE">
        <w:rPr>
          <w:rFonts w:asciiTheme="majorBidi" w:hAnsiTheme="majorBidi" w:cstheme="majorBidi"/>
          <w:i/>
          <w:iCs/>
        </w:rPr>
        <w:t xml:space="preserve"> pret Grieķiju</w:t>
      </w:r>
      <w:r w:rsidR="007649A2" w:rsidRPr="00F377CE">
        <w:rPr>
          <w:rFonts w:asciiTheme="majorBidi" w:hAnsiTheme="majorBidi" w:cstheme="majorBidi"/>
          <w:i/>
          <w:iCs/>
        </w:rPr>
        <w:t>”</w:t>
      </w:r>
      <w:r w:rsidRPr="00F377CE">
        <w:rPr>
          <w:rFonts w:asciiTheme="majorBidi" w:hAnsiTheme="majorBidi" w:cstheme="majorBidi"/>
          <w:i/>
          <w:iCs/>
        </w:rPr>
        <w:t xml:space="preserve"> </w:t>
      </w:r>
      <w:r w:rsidR="007649A2" w:rsidRPr="00F377CE">
        <w:rPr>
          <w:rFonts w:asciiTheme="majorBidi" w:hAnsiTheme="majorBidi" w:cstheme="majorBidi"/>
          <w:i/>
          <w:iCs/>
        </w:rPr>
        <w:t xml:space="preserve">iesnieguma </w:t>
      </w:r>
      <w:r w:rsidRPr="00F377CE">
        <w:rPr>
          <w:rFonts w:asciiTheme="majorBidi" w:hAnsiTheme="majorBidi" w:cstheme="majorBidi"/>
          <w:i/>
          <w:iCs/>
        </w:rPr>
        <w:t>Nr. </w:t>
      </w:r>
      <w:hyperlink r:id="rId12" w:anchor="{%22itemid%22:[%22001-153910%22]}" w:history="1">
        <w:r w:rsidRPr="00F377CE">
          <w:rPr>
            <w:rStyle w:val="Hyperlink"/>
            <w:rFonts w:asciiTheme="majorBidi" w:hAnsiTheme="majorBidi" w:cstheme="majorBidi"/>
            <w:i/>
            <w:iCs/>
          </w:rPr>
          <w:t>2870/11</w:t>
        </w:r>
      </w:hyperlink>
      <w:r w:rsidRPr="00F377CE">
        <w:rPr>
          <w:rFonts w:asciiTheme="majorBidi" w:hAnsiTheme="majorBidi" w:cstheme="majorBidi"/>
          <w:i/>
          <w:iCs/>
        </w:rPr>
        <w:t>, 39.–43. punkts</w:t>
      </w:r>
      <w:r w:rsidRPr="00DF2BC8">
        <w:rPr>
          <w:rFonts w:asciiTheme="majorBidi" w:hAnsiTheme="majorBidi" w:cstheme="majorBidi"/>
        </w:rPr>
        <w:t>).</w:t>
      </w:r>
    </w:p>
    <w:p w14:paraId="30A6F722" w14:textId="7A532318" w:rsidR="00DE6A39" w:rsidRPr="00DF2BC8" w:rsidRDefault="00DE6A39" w:rsidP="00DE6A39">
      <w:pPr>
        <w:spacing w:line="276" w:lineRule="auto"/>
        <w:ind w:firstLine="720"/>
        <w:jc w:val="both"/>
        <w:rPr>
          <w:rFonts w:asciiTheme="majorBidi" w:hAnsiTheme="majorBidi" w:cstheme="majorBidi"/>
          <w:color w:val="000000" w:themeColor="text1"/>
        </w:rPr>
      </w:pPr>
      <w:r w:rsidRPr="00DF2BC8">
        <w:rPr>
          <w:rFonts w:asciiTheme="majorBidi" w:hAnsiTheme="majorBidi" w:cstheme="majorBidi"/>
        </w:rPr>
        <w:t xml:space="preserve">Tomēr ECT arī atzinusi, ka valstij nevar uzlikt atbildību par katru trūkumu advokāta darbībā, kuru tā iecēlusi </w:t>
      </w:r>
      <w:r w:rsidRPr="00DF2BC8">
        <w:rPr>
          <w:rFonts w:asciiTheme="majorBidi" w:hAnsiTheme="majorBidi" w:cstheme="majorBidi"/>
          <w:color w:val="000000" w:themeColor="text1"/>
        </w:rPr>
        <w:t>juridiskās palīdzības nolūkos vai kuru izvēlējies apsūdzētais (</w:t>
      </w:r>
      <w:r w:rsidR="007649A2" w:rsidRPr="00F377CE">
        <w:rPr>
          <w:rFonts w:asciiTheme="majorBidi" w:hAnsiTheme="majorBidi" w:cstheme="majorBidi"/>
          <w:i/>
          <w:iCs/>
          <w:color w:val="000000" w:themeColor="text1"/>
        </w:rPr>
        <w:t xml:space="preserve">Eiropas Cilvēktiesību tiesas </w:t>
      </w:r>
      <w:r w:rsidRPr="00F377CE">
        <w:rPr>
          <w:rFonts w:asciiTheme="majorBidi" w:hAnsiTheme="majorBidi" w:cstheme="majorBidi"/>
          <w:i/>
          <w:iCs/>
          <w:color w:val="000000" w:themeColor="text1"/>
        </w:rPr>
        <w:t xml:space="preserve">2009. gada 20. janvāra </w:t>
      </w:r>
      <w:r w:rsidR="007649A2" w:rsidRPr="00F377CE">
        <w:rPr>
          <w:rFonts w:asciiTheme="majorBidi" w:hAnsiTheme="majorBidi" w:cstheme="majorBidi"/>
          <w:i/>
          <w:iCs/>
          <w:color w:val="000000" w:themeColor="text1"/>
        </w:rPr>
        <w:t xml:space="preserve">sprieduma </w:t>
      </w:r>
      <w:r w:rsidR="00EC4DAD" w:rsidRPr="00F377CE">
        <w:rPr>
          <w:rFonts w:asciiTheme="majorBidi" w:hAnsiTheme="majorBidi" w:cstheme="majorBidi"/>
          <w:i/>
          <w:iCs/>
          <w:color w:val="000000" w:themeColor="text1"/>
        </w:rPr>
        <w:t xml:space="preserve">lietā </w:t>
      </w:r>
      <w:r w:rsidR="007649A2" w:rsidRPr="00F377CE">
        <w:rPr>
          <w:rFonts w:asciiTheme="majorBidi" w:hAnsiTheme="majorBidi" w:cstheme="majorBidi"/>
          <w:i/>
          <w:iCs/>
          <w:color w:val="000000" w:themeColor="text1"/>
        </w:rPr>
        <w:t>„</w:t>
      </w:r>
      <w:proofErr w:type="spellStart"/>
      <w:r w:rsidR="007649A2" w:rsidRPr="00EC4DAD">
        <w:rPr>
          <w:rFonts w:asciiTheme="majorBidi" w:hAnsiTheme="majorBidi" w:cstheme="majorBidi"/>
          <w:i/>
          <w:iCs/>
          <w:color w:val="000000" w:themeColor="text1"/>
        </w:rPr>
        <w:t>Guvec</w:t>
      </w:r>
      <w:proofErr w:type="spellEnd"/>
      <w:r w:rsidR="007649A2" w:rsidRPr="00F377CE">
        <w:rPr>
          <w:rFonts w:asciiTheme="majorBidi" w:hAnsiTheme="majorBidi" w:cstheme="majorBidi"/>
          <w:i/>
          <w:iCs/>
          <w:color w:val="000000" w:themeColor="text1"/>
        </w:rPr>
        <w:t xml:space="preserve"> </w:t>
      </w:r>
      <w:r w:rsidRPr="00F377CE">
        <w:rPr>
          <w:rFonts w:asciiTheme="majorBidi" w:hAnsiTheme="majorBidi" w:cstheme="majorBidi"/>
          <w:i/>
          <w:iCs/>
          <w:color w:val="000000" w:themeColor="text1"/>
        </w:rPr>
        <w:t>pret Turciju</w:t>
      </w:r>
      <w:r w:rsidR="007649A2" w:rsidRPr="00F377CE">
        <w:rPr>
          <w:rFonts w:asciiTheme="majorBidi" w:hAnsiTheme="majorBidi" w:cstheme="majorBidi"/>
          <w:i/>
          <w:iCs/>
          <w:color w:val="000000" w:themeColor="text1"/>
        </w:rPr>
        <w:t>”</w:t>
      </w:r>
      <w:r w:rsidR="00D731BE">
        <w:rPr>
          <w:rFonts w:asciiTheme="majorBidi" w:hAnsiTheme="majorBidi" w:cstheme="majorBidi"/>
          <w:i/>
          <w:iCs/>
          <w:color w:val="000000" w:themeColor="text1"/>
        </w:rPr>
        <w:t xml:space="preserve"> </w:t>
      </w:r>
      <w:r w:rsidR="007649A2" w:rsidRPr="00F377CE">
        <w:rPr>
          <w:rFonts w:asciiTheme="majorBidi" w:hAnsiTheme="majorBidi" w:cstheme="majorBidi"/>
          <w:i/>
          <w:iCs/>
          <w:color w:val="000000" w:themeColor="text1"/>
        </w:rPr>
        <w:t>iesnieguma Nr. </w:t>
      </w:r>
      <w:hyperlink r:id="rId13" w:anchor="{%22itemid%22:[%22001-90700%22]}" w:history="1">
        <w:r w:rsidR="00EC4DAD" w:rsidRPr="00F377CE">
          <w:rPr>
            <w:rStyle w:val="Hyperlink"/>
            <w:rFonts w:asciiTheme="majorBidi" w:hAnsiTheme="majorBidi" w:cstheme="majorBidi"/>
            <w:i/>
            <w:iCs/>
          </w:rPr>
          <w:t>70337/01</w:t>
        </w:r>
      </w:hyperlink>
      <w:r w:rsidRPr="00F377CE">
        <w:rPr>
          <w:rFonts w:asciiTheme="majorBidi" w:hAnsiTheme="majorBidi" w:cstheme="majorBidi"/>
          <w:i/>
          <w:iCs/>
          <w:color w:val="000000" w:themeColor="text1"/>
        </w:rPr>
        <w:t>, 131. punkts</w:t>
      </w:r>
      <w:r w:rsidR="00D731BE">
        <w:rPr>
          <w:rFonts w:asciiTheme="majorBidi" w:hAnsiTheme="majorBidi" w:cstheme="majorBidi"/>
          <w:i/>
          <w:iCs/>
          <w:color w:val="000000" w:themeColor="text1"/>
        </w:rPr>
        <w:t>;</w:t>
      </w:r>
      <w:r w:rsidRPr="00F377CE">
        <w:rPr>
          <w:rFonts w:asciiTheme="majorBidi" w:hAnsiTheme="majorBidi" w:cstheme="majorBidi"/>
          <w:i/>
          <w:iCs/>
          <w:color w:val="000000" w:themeColor="text1"/>
        </w:rPr>
        <w:t xml:space="preserve"> </w:t>
      </w:r>
      <w:r w:rsidR="00EC4DAD" w:rsidRPr="00F377CE">
        <w:rPr>
          <w:rFonts w:asciiTheme="majorBidi" w:hAnsiTheme="majorBidi" w:cstheme="majorBidi"/>
          <w:i/>
          <w:iCs/>
          <w:color w:val="000000" w:themeColor="text1"/>
        </w:rPr>
        <w:t xml:space="preserve">1989. gada 22. jūnija </w:t>
      </w:r>
      <w:r w:rsidRPr="00F377CE">
        <w:rPr>
          <w:rFonts w:asciiTheme="majorBidi" w:hAnsiTheme="majorBidi" w:cstheme="majorBidi"/>
          <w:i/>
          <w:iCs/>
          <w:color w:val="000000" w:themeColor="text1"/>
        </w:rPr>
        <w:t xml:space="preserve">spriedums </w:t>
      </w:r>
      <w:r w:rsidR="00EC4DAD" w:rsidRPr="00F377CE">
        <w:rPr>
          <w:rFonts w:asciiTheme="majorBidi" w:hAnsiTheme="majorBidi" w:cstheme="majorBidi"/>
          <w:i/>
          <w:iCs/>
          <w:color w:val="000000" w:themeColor="text1"/>
        </w:rPr>
        <w:t>lietā „</w:t>
      </w:r>
      <w:proofErr w:type="spellStart"/>
      <w:r w:rsidRPr="00F377CE">
        <w:rPr>
          <w:rFonts w:asciiTheme="majorBidi" w:hAnsiTheme="majorBidi" w:cstheme="majorBidi"/>
          <w:i/>
          <w:iCs/>
          <w:color w:val="000000" w:themeColor="text1"/>
        </w:rPr>
        <w:t>Lagerblom</w:t>
      </w:r>
      <w:proofErr w:type="spellEnd"/>
      <w:r w:rsidRPr="00F377CE">
        <w:rPr>
          <w:rFonts w:asciiTheme="majorBidi" w:hAnsiTheme="majorBidi" w:cstheme="majorBidi"/>
          <w:i/>
          <w:iCs/>
          <w:color w:val="000000" w:themeColor="text1"/>
        </w:rPr>
        <w:t xml:space="preserve"> pret Zviedriju</w:t>
      </w:r>
      <w:r w:rsidR="00EC4DAD" w:rsidRPr="00F377CE">
        <w:rPr>
          <w:rFonts w:asciiTheme="majorBidi" w:hAnsiTheme="majorBidi" w:cstheme="majorBidi"/>
          <w:i/>
          <w:iCs/>
          <w:color w:val="000000" w:themeColor="text1"/>
        </w:rPr>
        <w:t>”, iesnieguma Nr. </w:t>
      </w:r>
      <w:hyperlink r:id="rId14" w:anchor="{%22itemid%22:[%22001-57515%22]}" w:history="1">
        <w:r w:rsidR="00EC4DAD" w:rsidRPr="00F377CE">
          <w:rPr>
            <w:rStyle w:val="Hyperlink"/>
            <w:rFonts w:asciiTheme="majorBidi" w:hAnsiTheme="majorBidi" w:cstheme="majorBidi"/>
            <w:i/>
            <w:iCs/>
          </w:rPr>
          <w:t>11179/84</w:t>
        </w:r>
      </w:hyperlink>
      <w:r w:rsidRPr="00F377CE">
        <w:rPr>
          <w:rFonts w:asciiTheme="majorBidi" w:hAnsiTheme="majorBidi" w:cstheme="majorBidi"/>
          <w:i/>
          <w:iCs/>
          <w:color w:val="000000" w:themeColor="text1"/>
        </w:rPr>
        <w:t>;</w:t>
      </w:r>
      <w:r w:rsidR="00316EED">
        <w:rPr>
          <w:rFonts w:asciiTheme="majorBidi" w:hAnsiTheme="majorBidi" w:cstheme="majorBidi"/>
          <w:i/>
          <w:iCs/>
          <w:color w:val="000000" w:themeColor="text1"/>
        </w:rPr>
        <w:t xml:space="preserve"> </w:t>
      </w:r>
      <w:r w:rsidR="00EC4DAD" w:rsidRPr="00F377CE">
        <w:rPr>
          <w:rFonts w:asciiTheme="majorBidi" w:hAnsiTheme="majorBidi" w:cstheme="majorBidi"/>
          <w:i/>
          <w:iCs/>
          <w:color w:val="000000" w:themeColor="text1"/>
        </w:rPr>
        <w:t>1989. gada 19. decembra</w:t>
      </w:r>
      <w:r w:rsidR="00946621">
        <w:rPr>
          <w:rFonts w:asciiTheme="majorBidi" w:hAnsiTheme="majorBidi" w:cstheme="majorBidi"/>
          <w:i/>
          <w:iCs/>
          <w:color w:val="000000" w:themeColor="text1"/>
        </w:rPr>
        <w:t xml:space="preserve"> </w:t>
      </w:r>
      <w:r w:rsidR="00946621" w:rsidRPr="00F377CE">
        <w:rPr>
          <w:rFonts w:asciiTheme="majorBidi" w:hAnsiTheme="majorBidi" w:cstheme="majorBidi"/>
          <w:i/>
          <w:iCs/>
          <w:color w:val="000000" w:themeColor="text1"/>
        </w:rPr>
        <w:t>spriedum</w:t>
      </w:r>
      <w:r w:rsidR="00D731BE">
        <w:rPr>
          <w:rFonts w:asciiTheme="majorBidi" w:hAnsiTheme="majorBidi" w:cstheme="majorBidi"/>
          <w:i/>
          <w:iCs/>
          <w:color w:val="000000" w:themeColor="text1"/>
        </w:rPr>
        <w:t>a</w:t>
      </w:r>
      <w:r w:rsidR="00946621" w:rsidRPr="00F377CE">
        <w:rPr>
          <w:rFonts w:asciiTheme="majorBidi" w:hAnsiTheme="majorBidi" w:cstheme="majorBidi"/>
          <w:i/>
          <w:iCs/>
          <w:color w:val="000000" w:themeColor="text1"/>
        </w:rPr>
        <w:t xml:space="preserve"> lietā</w:t>
      </w:r>
      <w:r w:rsidR="003501A5">
        <w:rPr>
          <w:rFonts w:asciiTheme="majorBidi" w:hAnsiTheme="majorBidi" w:cstheme="majorBidi"/>
          <w:i/>
          <w:iCs/>
          <w:color w:val="000000" w:themeColor="text1"/>
        </w:rPr>
        <w:t xml:space="preserve"> </w:t>
      </w:r>
      <w:r w:rsidR="00EC4DAD" w:rsidRPr="00F377CE">
        <w:rPr>
          <w:rFonts w:asciiTheme="majorBidi" w:hAnsiTheme="majorBidi" w:cstheme="majorBidi"/>
          <w:i/>
          <w:iCs/>
          <w:color w:val="000000" w:themeColor="text1"/>
        </w:rPr>
        <w:t>„</w:t>
      </w:r>
      <w:proofErr w:type="spellStart"/>
      <w:r w:rsidRPr="00EC4DAD">
        <w:rPr>
          <w:rFonts w:asciiTheme="majorBidi" w:hAnsiTheme="majorBidi" w:cstheme="majorBidi"/>
          <w:i/>
          <w:iCs/>
          <w:color w:val="000000" w:themeColor="text1"/>
        </w:rPr>
        <w:t>Kamasinski</w:t>
      </w:r>
      <w:proofErr w:type="spellEnd"/>
      <w:r w:rsidR="00EC4DAD" w:rsidRPr="00F377CE">
        <w:rPr>
          <w:rFonts w:asciiTheme="majorBidi" w:hAnsiTheme="majorBidi" w:cstheme="majorBidi"/>
          <w:i/>
          <w:iCs/>
          <w:color w:val="000000" w:themeColor="text1"/>
        </w:rPr>
        <w:t xml:space="preserve"> </w:t>
      </w:r>
      <w:r w:rsidRPr="00F377CE">
        <w:rPr>
          <w:rFonts w:asciiTheme="majorBidi" w:hAnsiTheme="majorBidi" w:cstheme="majorBidi"/>
          <w:i/>
          <w:iCs/>
          <w:color w:val="000000" w:themeColor="text1"/>
        </w:rPr>
        <w:t>pret Austriju</w:t>
      </w:r>
      <w:r w:rsidR="00EC4DAD" w:rsidRPr="00F377CE">
        <w:rPr>
          <w:rFonts w:asciiTheme="majorBidi" w:hAnsiTheme="majorBidi" w:cstheme="majorBidi"/>
          <w:i/>
          <w:iCs/>
          <w:color w:val="000000" w:themeColor="text1"/>
        </w:rPr>
        <w:t>”, iesnieguma Nr. </w:t>
      </w:r>
      <w:hyperlink r:id="rId15" w:anchor="{%22itemid%22:[%22001-57614%22]}" w:history="1">
        <w:r w:rsidR="00EC4DAD" w:rsidRPr="00F377CE">
          <w:rPr>
            <w:rStyle w:val="Hyperlink"/>
            <w:rFonts w:asciiTheme="majorBidi" w:hAnsiTheme="majorBidi" w:cstheme="majorBidi"/>
            <w:i/>
            <w:iCs/>
          </w:rPr>
          <w:t>9783/82</w:t>
        </w:r>
      </w:hyperlink>
      <w:r w:rsidRPr="00F377CE">
        <w:rPr>
          <w:rFonts w:asciiTheme="majorBidi" w:hAnsiTheme="majorBidi" w:cstheme="majorBidi"/>
          <w:i/>
          <w:iCs/>
          <w:color w:val="000000" w:themeColor="text1"/>
        </w:rPr>
        <w:t>, 65. punkts</w:t>
      </w:r>
      <w:r w:rsidRPr="00DF2BC8">
        <w:rPr>
          <w:rFonts w:asciiTheme="majorBidi" w:hAnsiTheme="majorBidi" w:cstheme="majorBidi"/>
          <w:color w:val="000000" w:themeColor="text1"/>
        </w:rPr>
        <w:t xml:space="preserve">). </w:t>
      </w:r>
    </w:p>
    <w:p w14:paraId="1063937E" w14:textId="27D5F49F" w:rsidR="00DE6A39" w:rsidRPr="00DF2BC8" w:rsidRDefault="00DE6A39" w:rsidP="00DE6A39">
      <w:pPr>
        <w:spacing w:line="276" w:lineRule="auto"/>
        <w:ind w:firstLine="720"/>
        <w:jc w:val="both"/>
        <w:rPr>
          <w:rFonts w:asciiTheme="majorBidi" w:hAnsiTheme="majorBidi" w:cstheme="majorBidi"/>
          <w:color w:val="000000" w:themeColor="text1"/>
        </w:rPr>
      </w:pPr>
      <w:r w:rsidRPr="00DF2BC8">
        <w:rPr>
          <w:rFonts w:asciiTheme="majorBidi" w:hAnsiTheme="majorBidi" w:cstheme="majorBidi"/>
          <w:color w:val="000000" w:themeColor="text1"/>
        </w:rPr>
        <w:t>ECT ir uzsvērusi, ka, ņemot vērā juridiskās profesijas neatkarību, jautājums par aizstāvības īstenošanu primāri ir risināms starp apsūdzēto un tās aizstāvi. Valstīm jāiejaucas tikai tad, ja advokāta nespēja nodrošināt efektīvu aizstāvību ir acīmredzama vai valsts iestādes par tām tiek informētas (</w:t>
      </w:r>
      <w:r w:rsidR="00F45CE2" w:rsidRPr="00F377CE">
        <w:rPr>
          <w:rFonts w:asciiTheme="majorBidi" w:hAnsiTheme="majorBidi" w:cstheme="majorBidi"/>
          <w:i/>
          <w:iCs/>
          <w:color w:val="000000" w:themeColor="text1"/>
        </w:rPr>
        <w:t xml:space="preserve">Eiropas Cilvēktiesību tiesas 1993. gada 24. novembra </w:t>
      </w:r>
      <w:r w:rsidR="00316EED">
        <w:rPr>
          <w:rFonts w:asciiTheme="majorBidi" w:hAnsiTheme="majorBidi" w:cstheme="majorBidi"/>
          <w:i/>
          <w:iCs/>
          <w:color w:val="000000" w:themeColor="text1"/>
        </w:rPr>
        <w:t xml:space="preserve">sprieduma </w:t>
      </w:r>
      <w:r w:rsidR="00F45CE2" w:rsidRPr="00F377CE">
        <w:rPr>
          <w:rFonts w:asciiTheme="majorBidi" w:hAnsiTheme="majorBidi" w:cstheme="majorBidi"/>
          <w:i/>
          <w:iCs/>
          <w:color w:val="000000" w:themeColor="text1"/>
        </w:rPr>
        <w:t>lietā „</w:t>
      </w:r>
      <w:proofErr w:type="spellStart"/>
      <w:r w:rsidRPr="00A120C0">
        <w:rPr>
          <w:rFonts w:asciiTheme="majorBidi" w:hAnsiTheme="majorBidi" w:cstheme="majorBidi"/>
          <w:i/>
          <w:iCs/>
          <w:color w:val="000000" w:themeColor="text1"/>
        </w:rPr>
        <w:t>Imbrioscia</w:t>
      </w:r>
      <w:proofErr w:type="spellEnd"/>
      <w:r w:rsidR="00F45CE2" w:rsidRPr="00A120C0">
        <w:rPr>
          <w:rFonts w:asciiTheme="majorBidi" w:hAnsiTheme="majorBidi" w:cstheme="majorBidi"/>
          <w:i/>
          <w:iCs/>
          <w:color w:val="000000" w:themeColor="text1"/>
        </w:rPr>
        <w:t xml:space="preserve"> </w:t>
      </w:r>
      <w:r w:rsidRPr="00F377CE">
        <w:rPr>
          <w:rFonts w:asciiTheme="majorBidi" w:hAnsiTheme="majorBidi" w:cstheme="majorBidi"/>
          <w:i/>
          <w:iCs/>
          <w:color w:val="000000" w:themeColor="text1"/>
        </w:rPr>
        <w:t>pret Šveici</w:t>
      </w:r>
      <w:r w:rsidR="00F45CE2" w:rsidRPr="00F377CE">
        <w:rPr>
          <w:rFonts w:asciiTheme="majorBidi" w:hAnsiTheme="majorBidi" w:cstheme="majorBidi"/>
          <w:i/>
          <w:iCs/>
          <w:color w:val="000000" w:themeColor="text1"/>
        </w:rPr>
        <w:t>”</w:t>
      </w:r>
      <w:r w:rsidR="00D039EC">
        <w:rPr>
          <w:rFonts w:asciiTheme="majorBidi" w:hAnsiTheme="majorBidi" w:cstheme="majorBidi"/>
          <w:i/>
          <w:iCs/>
          <w:color w:val="000000" w:themeColor="text1"/>
        </w:rPr>
        <w:t>,</w:t>
      </w:r>
      <w:r w:rsidRPr="00F377CE">
        <w:rPr>
          <w:rFonts w:asciiTheme="majorBidi" w:hAnsiTheme="majorBidi" w:cstheme="majorBidi"/>
          <w:i/>
          <w:iCs/>
          <w:color w:val="000000" w:themeColor="text1"/>
        </w:rPr>
        <w:t xml:space="preserve"> </w:t>
      </w:r>
      <w:r w:rsidR="00F45CE2" w:rsidRPr="00F377CE">
        <w:rPr>
          <w:rFonts w:asciiTheme="majorBidi" w:hAnsiTheme="majorBidi" w:cstheme="majorBidi"/>
          <w:i/>
          <w:iCs/>
          <w:color w:val="000000" w:themeColor="text1"/>
        </w:rPr>
        <w:t>iesnieguma Nr. </w:t>
      </w:r>
      <w:hyperlink r:id="rId16" w:anchor="{%22itemid%22:[%22001-57852%22]}" w:history="1">
        <w:r w:rsidR="00F45CE2" w:rsidRPr="00D039EC">
          <w:rPr>
            <w:rStyle w:val="Hyperlink"/>
            <w:rFonts w:asciiTheme="majorBidi" w:hAnsiTheme="majorBidi" w:cstheme="majorBidi"/>
            <w:i/>
            <w:iCs/>
          </w:rPr>
          <w:t>13972/88</w:t>
        </w:r>
      </w:hyperlink>
      <w:r w:rsidR="00D039EC" w:rsidRPr="00D039EC">
        <w:rPr>
          <w:i/>
          <w:iCs/>
        </w:rPr>
        <w:t>,</w:t>
      </w:r>
      <w:r w:rsidR="00F45CE2" w:rsidRPr="00F377CE" w:rsidDel="00F45CE2">
        <w:rPr>
          <w:rFonts w:asciiTheme="majorBidi" w:hAnsiTheme="majorBidi" w:cstheme="majorBidi"/>
          <w:i/>
          <w:iCs/>
          <w:color w:val="000000" w:themeColor="text1"/>
        </w:rPr>
        <w:t xml:space="preserve"> </w:t>
      </w:r>
      <w:r w:rsidRPr="00F377CE">
        <w:rPr>
          <w:rFonts w:asciiTheme="majorBidi" w:hAnsiTheme="majorBidi" w:cstheme="majorBidi"/>
          <w:i/>
          <w:iCs/>
          <w:color w:val="000000" w:themeColor="text1"/>
        </w:rPr>
        <w:t>41. punkts</w:t>
      </w:r>
      <w:r w:rsidR="00F45CE2" w:rsidRPr="00F377CE">
        <w:rPr>
          <w:rFonts w:asciiTheme="majorBidi" w:hAnsiTheme="majorBidi" w:cstheme="majorBidi"/>
          <w:i/>
          <w:iCs/>
          <w:color w:val="000000" w:themeColor="text1"/>
        </w:rPr>
        <w:t>;</w:t>
      </w:r>
      <w:r w:rsidR="003501A5">
        <w:rPr>
          <w:rFonts w:asciiTheme="majorBidi" w:hAnsiTheme="majorBidi" w:cstheme="majorBidi"/>
          <w:i/>
          <w:iCs/>
          <w:color w:val="000000" w:themeColor="text1"/>
        </w:rPr>
        <w:t xml:space="preserve"> </w:t>
      </w:r>
      <w:r w:rsidRPr="00F377CE">
        <w:rPr>
          <w:rFonts w:asciiTheme="majorBidi" w:hAnsiTheme="majorBidi" w:cstheme="majorBidi"/>
          <w:i/>
          <w:iCs/>
          <w:color w:val="000000" w:themeColor="text1"/>
        </w:rPr>
        <w:t>1998. gada 21</w:t>
      </w:r>
      <w:r w:rsidR="00F45CE2" w:rsidRPr="00F377CE">
        <w:rPr>
          <w:rFonts w:asciiTheme="majorBidi" w:hAnsiTheme="majorBidi" w:cstheme="majorBidi"/>
          <w:i/>
          <w:iCs/>
          <w:color w:val="000000" w:themeColor="text1"/>
        </w:rPr>
        <w:t>. </w:t>
      </w:r>
      <w:r w:rsidRPr="00F377CE">
        <w:rPr>
          <w:rFonts w:asciiTheme="majorBidi" w:hAnsiTheme="majorBidi" w:cstheme="majorBidi"/>
          <w:i/>
          <w:iCs/>
          <w:color w:val="000000" w:themeColor="text1"/>
        </w:rPr>
        <w:t xml:space="preserve">aprīļa </w:t>
      </w:r>
      <w:r w:rsidR="00E85C9C" w:rsidRPr="00F377CE">
        <w:rPr>
          <w:rFonts w:asciiTheme="majorBidi" w:hAnsiTheme="majorBidi" w:cstheme="majorBidi"/>
          <w:i/>
          <w:iCs/>
          <w:color w:val="000000" w:themeColor="text1"/>
        </w:rPr>
        <w:t xml:space="preserve">sprieduma </w:t>
      </w:r>
      <w:r w:rsidRPr="00F377CE">
        <w:rPr>
          <w:rFonts w:asciiTheme="majorBidi" w:hAnsiTheme="majorBidi" w:cstheme="majorBidi"/>
          <w:i/>
          <w:iCs/>
          <w:color w:val="000000" w:themeColor="text1"/>
        </w:rPr>
        <w:t xml:space="preserve">lietā </w:t>
      </w:r>
      <w:r w:rsidR="00F45CE2" w:rsidRPr="00F377CE">
        <w:rPr>
          <w:rFonts w:asciiTheme="majorBidi" w:hAnsiTheme="majorBidi" w:cstheme="majorBidi"/>
          <w:i/>
          <w:iCs/>
          <w:color w:val="000000" w:themeColor="text1"/>
        </w:rPr>
        <w:t>„</w:t>
      </w:r>
      <w:proofErr w:type="spellStart"/>
      <w:r w:rsidRPr="00A120C0">
        <w:rPr>
          <w:rFonts w:asciiTheme="majorBidi" w:hAnsiTheme="majorBidi" w:cstheme="majorBidi"/>
          <w:i/>
          <w:iCs/>
          <w:color w:val="000000" w:themeColor="text1"/>
        </w:rPr>
        <w:t>Daud</w:t>
      </w:r>
      <w:proofErr w:type="spellEnd"/>
      <w:r w:rsidRPr="00A120C0">
        <w:rPr>
          <w:rFonts w:asciiTheme="majorBidi" w:hAnsiTheme="majorBidi" w:cstheme="majorBidi"/>
          <w:i/>
          <w:iCs/>
          <w:color w:val="000000" w:themeColor="text1"/>
        </w:rPr>
        <w:t xml:space="preserve"> pret Portugāli</w:t>
      </w:r>
      <w:r w:rsidR="00F45CE2" w:rsidRPr="00A120C0">
        <w:rPr>
          <w:rFonts w:asciiTheme="majorBidi" w:hAnsiTheme="majorBidi" w:cstheme="majorBidi"/>
          <w:i/>
          <w:iCs/>
          <w:color w:val="000000" w:themeColor="text1"/>
        </w:rPr>
        <w:t>”</w:t>
      </w:r>
      <w:r w:rsidRPr="00F377CE">
        <w:rPr>
          <w:rFonts w:asciiTheme="majorBidi" w:hAnsiTheme="majorBidi" w:cstheme="majorBidi"/>
          <w:i/>
          <w:iCs/>
          <w:color w:val="000000" w:themeColor="text1"/>
        </w:rPr>
        <w:t xml:space="preserve">, </w:t>
      </w:r>
      <w:r w:rsidR="00F45CE2" w:rsidRPr="00F377CE">
        <w:rPr>
          <w:rFonts w:asciiTheme="majorBidi" w:hAnsiTheme="majorBidi" w:cstheme="majorBidi"/>
          <w:i/>
          <w:iCs/>
          <w:color w:val="000000" w:themeColor="text1"/>
        </w:rPr>
        <w:t xml:space="preserve">iesnieguma </w:t>
      </w:r>
      <w:r w:rsidRPr="00F377CE">
        <w:rPr>
          <w:rFonts w:asciiTheme="majorBidi" w:hAnsiTheme="majorBidi" w:cstheme="majorBidi"/>
          <w:i/>
          <w:iCs/>
          <w:color w:val="000000" w:themeColor="text1"/>
        </w:rPr>
        <w:t>Nr. </w:t>
      </w:r>
      <w:hyperlink r:id="rId17" w:anchor="{%22itemid%22:[%22001-58154%22]}" w:history="1">
        <w:r w:rsidRPr="00F377CE">
          <w:rPr>
            <w:rStyle w:val="Hyperlink"/>
            <w:rFonts w:asciiTheme="majorBidi" w:hAnsiTheme="majorBidi" w:cstheme="majorBidi"/>
            <w:i/>
            <w:iCs/>
          </w:rPr>
          <w:t>22600/93</w:t>
        </w:r>
      </w:hyperlink>
      <w:r w:rsidRPr="00F377CE">
        <w:rPr>
          <w:rFonts w:asciiTheme="majorBidi" w:hAnsiTheme="majorBidi" w:cstheme="majorBidi"/>
          <w:i/>
          <w:iCs/>
          <w:color w:val="000000" w:themeColor="text1"/>
        </w:rPr>
        <w:t>, 42. punkts</w:t>
      </w:r>
      <w:r w:rsidR="00E85C9C" w:rsidRPr="00F377CE">
        <w:rPr>
          <w:rFonts w:asciiTheme="majorBidi" w:hAnsiTheme="majorBidi" w:cstheme="majorBidi"/>
          <w:i/>
          <w:iCs/>
          <w:color w:val="000000" w:themeColor="text1"/>
        </w:rPr>
        <w:t>;</w:t>
      </w:r>
      <w:r w:rsidRPr="00F377CE">
        <w:rPr>
          <w:rFonts w:asciiTheme="majorBidi" w:hAnsiTheme="majorBidi" w:cstheme="majorBidi"/>
          <w:i/>
          <w:iCs/>
          <w:color w:val="000000" w:themeColor="text1"/>
        </w:rPr>
        <w:t xml:space="preserve"> 2002. gada 10. </w:t>
      </w:r>
      <w:r w:rsidR="00E85C9C" w:rsidRPr="00F377CE">
        <w:rPr>
          <w:rFonts w:asciiTheme="majorBidi" w:hAnsiTheme="majorBidi" w:cstheme="majorBidi"/>
          <w:i/>
          <w:iCs/>
          <w:color w:val="000000" w:themeColor="text1"/>
        </w:rPr>
        <w:t>oktobra sprieduma lietā „</w:t>
      </w:r>
      <w:proofErr w:type="spellStart"/>
      <w:r w:rsidRPr="00A120C0">
        <w:rPr>
          <w:rFonts w:asciiTheme="majorBidi" w:hAnsiTheme="majorBidi" w:cstheme="majorBidi"/>
          <w:i/>
          <w:iCs/>
          <w:color w:val="000000" w:themeColor="text1"/>
        </w:rPr>
        <w:t>Czekalla</w:t>
      </w:r>
      <w:proofErr w:type="spellEnd"/>
      <w:r w:rsidRPr="00F377CE">
        <w:rPr>
          <w:rFonts w:asciiTheme="majorBidi" w:hAnsiTheme="majorBidi" w:cstheme="majorBidi"/>
          <w:i/>
          <w:iCs/>
          <w:color w:val="000000" w:themeColor="text1"/>
        </w:rPr>
        <w:t> pret Portugāli</w:t>
      </w:r>
      <w:r w:rsidR="00E85C9C" w:rsidRPr="00F377CE">
        <w:rPr>
          <w:rFonts w:asciiTheme="majorBidi" w:hAnsiTheme="majorBidi" w:cstheme="majorBidi"/>
          <w:i/>
          <w:iCs/>
          <w:color w:val="000000" w:themeColor="text1"/>
        </w:rPr>
        <w:t>”</w:t>
      </w:r>
      <w:r w:rsidR="003501A5">
        <w:rPr>
          <w:rFonts w:asciiTheme="majorBidi" w:hAnsiTheme="majorBidi" w:cstheme="majorBidi"/>
          <w:i/>
          <w:iCs/>
          <w:color w:val="000000" w:themeColor="text1"/>
        </w:rPr>
        <w:t xml:space="preserve">, </w:t>
      </w:r>
      <w:r w:rsidR="00E85C9C" w:rsidRPr="00F377CE">
        <w:rPr>
          <w:rFonts w:asciiTheme="majorBidi" w:hAnsiTheme="majorBidi" w:cstheme="majorBidi"/>
          <w:i/>
          <w:iCs/>
          <w:color w:val="000000" w:themeColor="text1"/>
        </w:rPr>
        <w:t>iesnieguma Nr. </w:t>
      </w:r>
      <w:hyperlink r:id="rId18" w:history="1">
        <w:r w:rsidR="00E85C9C" w:rsidRPr="00F377CE">
          <w:rPr>
            <w:rStyle w:val="Hyperlink"/>
            <w:rFonts w:asciiTheme="majorBidi" w:hAnsiTheme="majorBidi" w:cstheme="majorBidi"/>
            <w:i/>
            <w:iCs/>
          </w:rPr>
          <w:t>38830/97</w:t>
        </w:r>
      </w:hyperlink>
      <w:r w:rsidRPr="00F377CE">
        <w:rPr>
          <w:rFonts w:asciiTheme="majorBidi" w:hAnsiTheme="majorBidi" w:cstheme="majorBidi"/>
          <w:i/>
          <w:iCs/>
          <w:color w:val="000000" w:themeColor="text1"/>
        </w:rPr>
        <w:t>, 65., 66., 68. un 71. punkts</w:t>
      </w:r>
      <w:r w:rsidR="00E85C9C" w:rsidRPr="00F377CE">
        <w:rPr>
          <w:rFonts w:asciiTheme="majorBidi" w:hAnsiTheme="majorBidi" w:cstheme="majorBidi"/>
          <w:i/>
          <w:iCs/>
          <w:color w:val="000000" w:themeColor="text1"/>
        </w:rPr>
        <w:t xml:space="preserve">; </w:t>
      </w:r>
      <w:r w:rsidRPr="00F377CE">
        <w:rPr>
          <w:rFonts w:asciiTheme="majorBidi" w:hAnsiTheme="majorBidi" w:cstheme="majorBidi"/>
          <w:i/>
          <w:iCs/>
          <w:color w:val="000000" w:themeColor="text1"/>
        </w:rPr>
        <w:t>2016</w:t>
      </w:r>
      <w:r w:rsidR="00E85C9C" w:rsidRPr="00F377CE">
        <w:rPr>
          <w:rFonts w:asciiTheme="majorBidi" w:hAnsiTheme="majorBidi" w:cstheme="majorBidi"/>
          <w:i/>
          <w:iCs/>
          <w:color w:val="000000" w:themeColor="text1"/>
        </w:rPr>
        <w:t>. </w:t>
      </w:r>
      <w:r w:rsidRPr="00F377CE">
        <w:rPr>
          <w:rFonts w:asciiTheme="majorBidi" w:hAnsiTheme="majorBidi" w:cstheme="majorBidi"/>
          <w:i/>
          <w:iCs/>
          <w:color w:val="000000" w:themeColor="text1"/>
        </w:rPr>
        <w:t>gada 6</w:t>
      </w:r>
      <w:r w:rsidR="00E85C9C" w:rsidRPr="00F377CE">
        <w:rPr>
          <w:rFonts w:asciiTheme="majorBidi" w:hAnsiTheme="majorBidi" w:cstheme="majorBidi"/>
          <w:i/>
          <w:iCs/>
          <w:color w:val="000000" w:themeColor="text1"/>
        </w:rPr>
        <w:t>. </w:t>
      </w:r>
      <w:r w:rsidRPr="00F377CE">
        <w:rPr>
          <w:rFonts w:asciiTheme="majorBidi" w:hAnsiTheme="majorBidi" w:cstheme="majorBidi"/>
          <w:i/>
          <w:iCs/>
          <w:color w:val="000000" w:themeColor="text1"/>
        </w:rPr>
        <w:t xml:space="preserve">oktobra </w:t>
      </w:r>
      <w:r w:rsidR="00E85C9C" w:rsidRPr="00F377CE">
        <w:rPr>
          <w:rFonts w:asciiTheme="majorBidi" w:hAnsiTheme="majorBidi" w:cstheme="majorBidi"/>
          <w:i/>
          <w:iCs/>
          <w:color w:val="000000" w:themeColor="text1"/>
        </w:rPr>
        <w:t>sprieduma lietā „</w:t>
      </w:r>
      <w:proofErr w:type="spellStart"/>
      <w:r w:rsidR="00E85C9C" w:rsidRPr="00F377CE">
        <w:rPr>
          <w:rFonts w:asciiTheme="majorBidi" w:hAnsiTheme="majorBidi" w:cstheme="majorBidi"/>
          <w:i/>
          <w:iCs/>
          <w:color w:val="000000" w:themeColor="text1"/>
        </w:rPr>
        <w:t>Jemeļjanovs</w:t>
      </w:r>
      <w:proofErr w:type="spellEnd"/>
      <w:r w:rsidR="00E85C9C" w:rsidRPr="00F377CE">
        <w:rPr>
          <w:rFonts w:asciiTheme="majorBidi" w:hAnsiTheme="majorBidi" w:cstheme="majorBidi"/>
          <w:i/>
          <w:iCs/>
          <w:color w:val="000000" w:themeColor="text1"/>
        </w:rPr>
        <w:t xml:space="preserve"> pret Latviju</w:t>
      </w:r>
      <w:r w:rsidRPr="00F377CE">
        <w:rPr>
          <w:rFonts w:asciiTheme="majorBidi" w:hAnsiTheme="majorBidi" w:cstheme="majorBidi"/>
          <w:i/>
          <w:iCs/>
          <w:color w:val="000000" w:themeColor="text1"/>
        </w:rPr>
        <w:t xml:space="preserve">, </w:t>
      </w:r>
      <w:r w:rsidR="00E85C9C" w:rsidRPr="00F377CE">
        <w:rPr>
          <w:rFonts w:asciiTheme="majorBidi" w:hAnsiTheme="majorBidi" w:cstheme="majorBidi"/>
          <w:i/>
          <w:iCs/>
          <w:color w:val="000000" w:themeColor="text1"/>
        </w:rPr>
        <w:t>iesnieguma Nr. </w:t>
      </w:r>
      <w:hyperlink r:id="rId19" w:anchor="{%22itemid%22:[%22001-166946%22]}" w:history="1">
        <w:r w:rsidRPr="00F377CE">
          <w:rPr>
            <w:rStyle w:val="Hyperlink"/>
            <w:rFonts w:asciiTheme="majorBidi" w:hAnsiTheme="majorBidi" w:cstheme="majorBidi"/>
            <w:i/>
            <w:iCs/>
          </w:rPr>
          <w:t>37364/05</w:t>
        </w:r>
      </w:hyperlink>
      <w:r w:rsidRPr="00F377CE">
        <w:rPr>
          <w:rFonts w:asciiTheme="majorBidi" w:hAnsiTheme="majorBidi" w:cstheme="majorBidi"/>
          <w:i/>
          <w:iCs/>
          <w:color w:val="000000" w:themeColor="text1"/>
        </w:rPr>
        <w:t>, 80.</w:t>
      </w:r>
      <w:r w:rsidR="00E85C9C" w:rsidRPr="00F377CE">
        <w:rPr>
          <w:i/>
          <w:iCs/>
        </w:rPr>
        <w:t> </w:t>
      </w:r>
      <w:r w:rsidRPr="00F377CE">
        <w:rPr>
          <w:rFonts w:asciiTheme="majorBidi" w:hAnsiTheme="majorBidi" w:cstheme="majorBidi"/>
          <w:i/>
          <w:iCs/>
          <w:color w:val="000000" w:themeColor="text1"/>
        </w:rPr>
        <w:t>punkts</w:t>
      </w:r>
      <w:r w:rsidRPr="00DF2BC8">
        <w:rPr>
          <w:rFonts w:asciiTheme="majorBidi" w:hAnsiTheme="majorBidi" w:cstheme="majorBidi"/>
          <w:color w:val="000000" w:themeColor="text1"/>
        </w:rPr>
        <w:t>).</w:t>
      </w:r>
    </w:p>
    <w:p w14:paraId="571E0ED5" w14:textId="5CB75F50" w:rsidR="00DE6A39" w:rsidRPr="0008460B"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[10.3] </w:t>
      </w:r>
      <w:r w:rsidRPr="00DF2BC8">
        <w:rPr>
          <w:rFonts w:asciiTheme="majorBidi" w:hAnsiTheme="majorBidi" w:cstheme="majorBidi"/>
          <w:shd w:val="clear" w:color="auto" w:fill="FFFFFF"/>
        </w:rPr>
        <w:t xml:space="preserve">Senāts konstatē, ka atbilstoši krimināllietas materiāliem apsūdzētais </w:t>
      </w:r>
      <w:r w:rsidR="00995A13">
        <w:t>[pers. A]</w:t>
      </w:r>
      <w:r w:rsidRPr="00DF2BC8">
        <w:rPr>
          <w:rFonts w:asciiTheme="majorBidi" w:hAnsiTheme="majorBidi" w:cstheme="majorBidi"/>
          <w:shd w:val="clear" w:color="auto" w:fill="FFFFFF"/>
        </w:rPr>
        <w:t xml:space="preserve"> </w:t>
      </w:r>
      <w:proofErr w:type="spellStart"/>
      <w:r w:rsidRPr="00DF2BC8">
        <w:rPr>
          <w:rFonts w:asciiTheme="majorBidi" w:hAnsiTheme="majorBidi" w:cstheme="majorBidi"/>
          <w:shd w:val="clear" w:color="auto" w:fill="FFFFFF"/>
        </w:rPr>
        <w:t>pirmstiesas</w:t>
      </w:r>
      <w:proofErr w:type="spellEnd"/>
      <w:r w:rsidRPr="00DF2BC8">
        <w:rPr>
          <w:rFonts w:asciiTheme="majorBidi" w:hAnsiTheme="majorBidi" w:cstheme="majorBidi"/>
          <w:shd w:val="clear" w:color="auto" w:fill="FFFFFF"/>
        </w:rPr>
        <w:t xml:space="preserve"> kriminālprocesā sākotnēji norādījis, ka aizstāvis viņam nav nepieciešams, nav arī izteicis lūgumu par valsts nodrošinātu juridisko palīdzību. </w:t>
      </w:r>
      <w:r w:rsidRPr="00DF2BC8">
        <w:rPr>
          <w:rFonts w:asciiTheme="majorBidi" w:hAnsiTheme="majorBidi" w:cstheme="majorBidi"/>
        </w:rPr>
        <w:t>Apsūdzētais vienošanos ar aizstāvi I. </w:t>
      </w:r>
      <w:proofErr w:type="spellStart"/>
      <w:r w:rsidRPr="00DF2BC8">
        <w:rPr>
          <w:rFonts w:asciiTheme="majorBidi" w:hAnsiTheme="majorBidi" w:cstheme="majorBidi"/>
        </w:rPr>
        <w:t>Tūmani</w:t>
      </w:r>
      <w:proofErr w:type="spellEnd"/>
      <w:r w:rsidRPr="00DF2BC8">
        <w:rPr>
          <w:rFonts w:asciiTheme="majorBidi" w:hAnsiTheme="majorBidi" w:cstheme="majorBidi"/>
        </w:rPr>
        <w:t xml:space="preserve"> noslēdzis 2021. gada 19. augustā, proti,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kriminālprocesā pēc tam, kad </w:t>
      </w:r>
      <w:r w:rsidR="00E85C9C">
        <w:rPr>
          <w:rFonts w:asciiTheme="majorBidi" w:hAnsiTheme="majorBidi" w:cstheme="majorBidi"/>
        </w:rPr>
        <w:t>tika</w:t>
      </w:r>
      <w:r w:rsidR="00E85C9C" w:rsidRPr="00DF2BC8">
        <w:rPr>
          <w:rFonts w:asciiTheme="majorBidi" w:hAnsiTheme="majorBidi" w:cstheme="majorBidi"/>
        </w:rPr>
        <w:t xml:space="preserve"> </w:t>
      </w:r>
      <w:r w:rsidRPr="00DF2BC8">
        <w:rPr>
          <w:rFonts w:asciiTheme="majorBidi" w:hAnsiTheme="majorBidi" w:cstheme="majorBidi"/>
        </w:rPr>
        <w:t xml:space="preserve">saukts pie kriminālatbildības. Aizstāve 2021. gada 2. septembrī procesa virzītājam iesniegusi lūgumu par kriminālprocesa izbeigšanu daļā pret </w:t>
      </w:r>
      <w:r w:rsidR="00995A13">
        <w:t>[pers. A]</w:t>
      </w:r>
      <w:r w:rsidRPr="00DF2BC8">
        <w:rPr>
          <w:rFonts w:asciiTheme="majorBidi" w:hAnsiTheme="majorBidi" w:cstheme="majorBidi"/>
        </w:rPr>
        <w:t>, kā arī lūgumu par papildu ziņu iegūšanu kriminālprocesā. 2021</w:t>
      </w:r>
      <w:r w:rsidR="00E85C9C" w:rsidRPr="00DF2BC8">
        <w:rPr>
          <w:rFonts w:asciiTheme="majorBidi" w:hAnsiTheme="majorBidi" w:cstheme="majorBidi"/>
        </w:rPr>
        <w:t>.</w:t>
      </w:r>
      <w:r w:rsidR="00E85C9C">
        <w:rPr>
          <w:rFonts w:asciiTheme="majorBidi" w:hAnsiTheme="majorBidi" w:cstheme="majorBidi"/>
        </w:rPr>
        <w:t> </w:t>
      </w:r>
      <w:r w:rsidRPr="00DF2BC8">
        <w:rPr>
          <w:rFonts w:asciiTheme="majorBidi" w:hAnsiTheme="majorBidi" w:cstheme="majorBidi"/>
        </w:rPr>
        <w:t xml:space="preserve">gada 6. septembrī prokurors apsūdzētā </w:t>
      </w:r>
      <w:r w:rsidR="00995A13">
        <w:t>[pers. A]</w:t>
      </w:r>
      <w:r w:rsidRPr="00DF2BC8">
        <w:rPr>
          <w:rFonts w:asciiTheme="majorBidi" w:hAnsiTheme="majorBidi" w:cstheme="majorBidi"/>
        </w:rPr>
        <w:t xml:space="preserve"> aizstāves lūgumu motivēti noraidījis. 2021</w:t>
      </w:r>
      <w:r w:rsidR="00E85C9C" w:rsidRPr="00DF2BC8">
        <w:rPr>
          <w:rFonts w:asciiTheme="majorBidi" w:hAnsiTheme="majorBidi" w:cstheme="majorBidi"/>
        </w:rPr>
        <w:t>.</w:t>
      </w:r>
      <w:r w:rsidR="00E85C9C">
        <w:rPr>
          <w:rFonts w:asciiTheme="majorBidi" w:hAnsiTheme="majorBidi" w:cstheme="majorBidi"/>
        </w:rPr>
        <w:t> </w:t>
      </w:r>
      <w:r w:rsidRPr="00DF2BC8">
        <w:rPr>
          <w:rFonts w:asciiTheme="majorBidi" w:hAnsiTheme="majorBidi" w:cstheme="majorBidi"/>
        </w:rPr>
        <w:t xml:space="preserve">gada 8. septembrī prokurors pieņēmis lēmumu par </w:t>
      </w:r>
      <w:r w:rsidRPr="0008460B">
        <w:rPr>
          <w:rFonts w:asciiTheme="majorBidi" w:hAnsiTheme="majorBidi" w:cstheme="majorBidi"/>
        </w:rPr>
        <w:t xml:space="preserve">krimināllietas nodošanu tiesai. </w:t>
      </w:r>
    </w:p>
    <w:p w14:paraId="372BD4DA" w14:textId="349F3BDA" w:rsidR="00DE6A39" w:rsidRPr="00DF2BC8" w:rsidRDefault="00DE6A39" w:rsidP="00DE6A39">
      <w:pPr>
        <w:spacing w:line="276" w:lineRule="auto"/>
        <w:ind w:firstLine="720"/>
        <w:jc w:val="both"/>
        <w:rPr>
          <w:rFonts w:asciiTheme="majorBidi" w:hAnsiTheme="majorBidi" w:cstheme="majorBidi"/>
          <w:shd w:val="clear" w:color="auto" w:fill="FFFFFF"/>
        </w:rPr>
      </w:pPr>
      <w:proofErr w:type="spellStart"/>
      <w:r w:rsidRPr="0008460B">
        <w:rPr>
          <w:rFonts w:asciiTheme="majorBidi" w:hAnsiTheme="majorBidi" w:cstheme="majorBidi"/>
          <w:shd w:val="clear" w:color="auto" w:fill="FFFFFF"/>
        </w:rPr>
        <w:t>Pirmstiesas</w:t>
      </w:r>
      <w:proofErr w:type="spellEnd"/>
      <w:r w:rsidRPr="0008460B">
        <w:rPr>
          <w:rFonts w:asciiTheme="majorBidi" w:hAnsiTheme="majorBidi" w:cstheme="majorBidi"/>
          <w:shd w:val="clear" w:color="auto" w:fill="FFFFFF"/>
        </w:rPr>
        <w:t xml:space="preserve"> procesā un pirmās instances tiesā a</w:t>
      </w:r>
      <w:r w:rsidRPr="0008460B">
        <w:rPr>
          <w:rFonts w:asciiTheme="majorBidi" w:hAnsiTheme="majorBidi" w:cstheme="majorBidi"/>
        </w:rPr>
        <w:t>psūdzētais</w:t>
      </w:r>
      <w:r w:rsidRPr="00DF2BC8">
        <w:rPr>
          <w:rFonts w:asciiTheme="majorBidi" w:hAnsiTheme="majorBidi" w:cstheme="majorBidi"/>
        </w:rPr>
        <w:t xml:space="preserve"> </w:t>
      </w:r>
      <w:r w:rsidR="00995A13">
        <w:t>[pers. A]</w:t>
      </w:r>
      <w:r w:rsidRPr="00DF2BC8">
        <w:rPr>
          <w:rFonts w:asciiTheme="majorBidi" w:hAnsiTheme="majorBidi" w:cstheme="majorBidi"/>
          <w:shd w:val="clear" w:color="auto" w:fill="FFFFFF"/>
        </w:rPr>
        <w:t xml:space="preserve"> procesa virzītājiem nav sūdzējies par aizstāves </w:t>
      </w:r>
      <w:r w:rsidRPr="00DF2BC8">
        <w:rPr>
          <w:rFonts w:asciiTheme="majorBidi" w:hAnsiTheme="majorBidi" w:cstheme="majorBidi"/>
        </w:rPr>
        <w:t>I. </w:t>
      </w:r>
      <w:proofErr w:type="spellStart"/>
      <w:r w:rsidRPr="00DF2BC8">
        <w:rPr>
          <w:rFonts w:asciiTheme="majorBidi" w:hAnsiTheme="majorBidi" w:cstheme="majorBidi"/>
        </w:rPr>
        <w:t>Tūmanes</w:t>
      </w:r>
      <w:proofErr w:type="spellEnd"/>
      <w:r w:rsidRPr="00DF2BC8">
        <w:rPr>
          <w:rFonts w:asciiTheme="majorBidi" w:hAnsiTheme="majorBidi" w:cstheme="majorBidi"/>
        </w:rPr>
        <w:t xml:space="preserve"> </w:t>
      </w:r>
      <w:r w:rsidRPr="00DF2BC8">
        <w:rPr>
          <w:rFonts w:asciiTheme="majorBidi" w:hAnsiTheme="majorBidi" w:cstheme="majorBidi"/>
          <w:shd w:val="clear" w:color="auto" w:fill="FFFFFF"/>
        </w:rPr>
        <w:t>darba kvalitāti. Apelācijas sūdzību apsūdzētais nav iesniedzis.</w:t>
      </w:r>
    </w:p>
    <w:p w14:paraId="27917003" w14:textId="0D71E36B"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lastRenderedPageBreak/>
        <w:t xml:space="preserve">[10.4] Latvijas Zvērinātu advokātu padome apsūdzētajam </w:t>
      </w:r>
      <w:r w:rsidR="00995A13">
        <w:t>[pers. A]</w:t>
      </w:r>
      <w:r w:rsidRPr="00DF2BC8">
        <w:rPr>
          <w:rFonts w:asciiTheme="majorBidi" w:hAnsiTheme="majorBidi" w:cstheme="majorBidi"/>
        </w:rPr>
        <w:t xml:space="preserve"> sniegusi atbildi (</w:t>
      </w:r>
      <w:r w:rsidR="00E85C9C" w:rsidRPr="003501A5">
        <w:rPr>
          <w:rFonts w:asciiTheme="majorBidi" w:hAnsiTheme="majorBidi" w:cstheme="majorBidi"/>
          <w:i/>
          <w:iCs/>
        </w:rPr>
        <w:t>lietas 5</w:t>
      </w:r>
      <w:r w:rsidR="009456E1" w:rsidRPr="003501A5">
        <w:rPr>
          <w:rFonts w:asciiTheme="majorBidi" w:hAnsiTheme="majorBidi" w:cstheme="majorBidi"/>
          <w:i/>
          <w:iCs/>
        </w:rPr>
        <w:t>.</w:t>
      </w:r>
      <w:r w:rsidR="00E85C9C" w:rsidRPr="003501A5">
        <w:rPr>
          <w:rFonts w:asciiTheme="majorBidi" w:hAnsiTheme="majorBidi" w:cstheme="majorBidi"/>
          <w:i/>
          <w:iCs/>
        </w:rPr>
        <w:t> </w:t>
      </w:r>
      <w:r w:rsidRPr="003501A5">
        <w:rPr>
          <w:rFonts w:asciiTheme="majorBidi" w:hAnsiTheme="majorBidi" w:cstheme="majorBidi"/>
          <w:i/>
          <w:iCs/>
        </w:rPr>
        <w:t>sē</w:t>
      </w:r>
      <w:r w:rsidR="00E85C9C" w:rsidRPr="003501A5">
        <w:rPr>
          <w:rFonts w:asciiTheme="majorBidi" w:hAnsiTheme="majorBidi" w:cstheme="majorBidi"/>
          <w:i/>
          <w:iCs/>
        </w:rPr>
        <w:t>juma</w:t>
      </w:r>
      <w:r w:rsidR="003501A5" w:rsidRPr="003501A5">
        <w:rPr>
          <w:rFonts w:asciiTheme="majorBidi" w:hAnsiTheme="majorBidi" w:cstheme="majorBidi"/>
          <w:i/>
          <w:iCs/>
        </w:rPr>
        <w:t xml:space="preserve"> </w:t>
      </w:r>
      <w:r w:rsidRPr="003501A5">
        <w:rPr>
          <w:rFonts w:asciiTheme="majorBidi" w:hAnsiTheme="majorBidi" w:cstheme="majorBidi"/>
          <w:i/>
          <w:iCs/>
        </w:rPr>
        <w:t>10.</w:t>
      </w:r>
      <w:r w:rsidR="00E85C9C" w:rsidRPr="003501A5">
        <w:rPr>
          <w:rFonts w:asciiTheme="majorBidi" w:hAnsiTheme="majorBidi" w:cstheme="majorBidi"/>
          <w:i/>
          <w:iCs/>
        </w:rPr>
        <w:t> lapa</w:t>
      </w:r>
      <w:r w:rsidRPr="00DF2BC8">
        <w:rPr>
          <w:rFonts w:asciiTheme="majorBidi" w:hAnsiTheme="majorBidi" w:cstheme="majorBidi"/>
        </w:rPr>
        <w:t>) uz sūdzību par aizstāves I.</w:t>
      </w:r>
      <w:r w:rsidR="00E85C9C">
        <w:rPr>
          <w:rFonts w:asciiTheme="majorBidi" w:hAnsiTheme="majorBidi" w:cstheme="majorBidi"/>
        </w:rPr>
        <w:t> </w:t>
      </w:r>
      <w:proofErr w:type="spellStart"/>
      <w:r w:rsidRPr="00DF2BC8">
        <w:rPr>
          <w:rFonts w:asciiTheme="majorBidi" w:hAnsiTheme="majorBidi" w:cstheme="majorBidi"/>
        </w:rPr>
        <w:t>Tūmanes</w:t>
      </w:r>
      <w:proofErr w:type="spellEnd"/>
      <w:r w:rsidRPr="00DF2BC8">
        <w:rPr>
          <w:rFonts w:asciiTheme="majorBidi" w:hAnsiTheme="majorBidi" w:cstheme="majorBidi"/>
        </w:rPr>
        <w:t xml:space="preserve"> rīcību, nenodrošinot viņa aizstāvību un bez brīdinājuma neier</w:t>
      </w:r>
      <w:r w:rsidR="00316EED">
        <w:rPr>
          <w:rFonts w:asciiTheme="majorBidi" w:hAnsiTheme="majorBidi" w:cstheme="majorBidi"/>
        </w:rPr>
        <w:t>o</w:t>
      </w:r>
      <w:r w:rsidRPr="00DF2BC8">
        <w:rPr>
          <w:rFonts w:asciiTheme="majorBidi" w:hAnsiTheme="majorBidi" w:cstheme="majorBidi"/>
        </w:rPr>
        <w:t xml:space="preserve">doties uz tiesas sēdi pirmās instances tiesā. Padome, pārbaudot iesniegto sūdzību, norādījusi, ka apsūdzētais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kriminālprocesā bija noslēdzis vienošanos ar zvērinātu advokāti I.</w:t>
      </w:r>
      <w:r w:rsidR="00E85C9C">
        <w:rPr>
          <w:rFonts w:asciiTheme="majorBidi" w:hAnsiTheme="majorBidi" w:cstheme="majorBidi"/>
        </w:rPr>
        <w:t> </w:t>
      </w:r>
      <w:proofErr w:type="spellStart"/>
      <w:r w:rsidRPr="00DF2BC8">
        <w:rPr>
          <w:rFonts w:asciiTheme="majorBidi" w:hAnsiTheme="majorBidi" w:cstheme="majorBidi"/>
        </w:rPr>
        <w:t>Tūmani</w:t>
      </w:r>
      <w:proofErr w:type="spellEnd"/>
      <w:r w:rsidRPr="00DF2BC8">
        <w:rPr>
          <w:rFonts w:asciiTheme="majorBidi" w:hAnsiTheme="majorBidi" w:cstheme="majorBidi"/>
        </w:rPr>
        <w:t xml:space="preserve"> par aizstāvību krimināllietā Nr.</w:t>
      </w:r>
      <w:r w:rsidR="00E85C9C">
        <w:rPr>
          <w:rFonts w:asciiTheme="majorBidi" w:hAnsiTheme="majorBidi" w:cstheme="majorBidi"/>
        </w:rPr>
        <w:t> </w:t>
      </w:r>
      <w:r w:rsidRPr="00DF2BC8">
        <w:rPr>
          <w:rFonts w:asciiTheme="majorBidi" w:hAnsiTheme="majorBidi" w:cstheme="majorBidi"/>
        </w:rPr>
        <w:t xml:space="preserve">11860005120 Zemgales tiesas apgabala prokuratūrā kriminālvajāšanas posmā, tas norādīts arī </w:t>
      </w:r>
      <w:r w:rsidR="00995A13">
        <w:t>[pers. A]</w:t>
      </w:r>
      <w:r w:rsidRPr="00DF2BC8">
        <w:rPr>
          <w:rFonts w:asciiTheme="majorBidi" w:hAnsiTheme="majorBidi" w:cstheme="majorBidi"/>
        </w:rPr>
        <w:t xml:space="preserve"> izsniegtajā maksājuma kvītī par aizstāves </w:t>
      </w:r>
      <w:r w:rsidR="00316EED">
        <w:rPr>
          <w:rFonts w:asciiTheme="majorBidi" w:hAnsiTheme="majorBidi" w:cstheme="majorBidi"/>
        </w:rPr>
        <w:t xml:space="preserve">juridisko </w:t>
      </w:r>
      <w:r w:rsidRPr="00DF2BC8">
        <w:rPr>
          <w:rFonts w:asciiTheme="majorBidi" w:hAnsiTheme="majorBidi" w:cstheme="majorBidi"/>
        </w:rPr>
        <w:t xml:space="preserve">pakalpojumu saņemšanu. Padome konstatējusi, ka juridiskās palīdzības ietvaros aizstāve sniegusi juridiskās konsultācijas, kā arī sagatavojusi juridiska satura dokumentus. 2021. gada septembrī lieta nodota tiesai. Padome atzinusi, kas tās rīcībā nav ziņu, ka apsūdzētais </w:t>
      </w:r>
      <w:r w:rsidR="00995A13">
        <w:t>[pers. A]</w:t>
      </w:r>
      <w:r w:rsidRPr="00DF2BC8">
        <w:rPr>
          <w:rFonts w:asciiTheme="majorBidi" w:hAnsiTheme="majorBidi" w:cstheme="majorBidi"/>
        </w:rPr>
        <w:t xml:space="preserve"> un aizstāve I.</w:t>
      </w:r>
      <w:r w:rsidR="00E85C9C">
        <w:rPr>
          <w:rFonts w:asciiTheme="majorBidi" w:hAnsiTheme="majorBidi" w:cstheme="majorBidi"/>
        </w:rPr>
        <w:t> </w:t>
      </w:r>
      <w:proofErr w:type="spellStart"/>
      <w:r w:rsidRPr="00DF2BC8">
        <w:rPr>
          <w:rFonts w:asciiTheme="majorBidi" w:hAnsiTheme="majorBidi" w:cstheme="majorBidi"/>
        </w:rPr>
        <w:t>Tūmane</w:t>
      </w:r>
      <w:proofErr w:type="spellEnd"/>
      <w:r w:rsidRPr="00DF2BC8">
        <w:rPr>
          <w:rFonts w:asciiTheme="majorBidi" w:hAnsiTheme="majorBidi" w:cstheme="majorBidi"/>
        </w:rPr>
        <w:t xml:space="preserve"> būtu noslēguši vienošanos par aizstāvību tiesā. Padome arī atzinusi, ka</w:t>
      </w:r>
      <w:r w:rsidR="00773D05">
        <w:rPr>
          <w:rFonts w:asciiTheme="majorBidi" w:hAnsiTheme="majorBidi" w:cstheme="majorBidi"/>
        </w:rPr>
        <w:t>,</w:t>
      </w:r>
      <w:r w:rsidRPr="00DF2BC8">
        <w:rPr>
          <w:rFonts w:asciiTheme="majorBidi" w:hAnsiTheme="majorBidi" w:cstheme="majorBidi"/>
        </w:rPr>
        <w:t xml:space="preserve"> ņemot vērā, ka apsūdzētais izvēlējies neturpināt sadarbību, advokātei I.</w:t>
      </w:r>
      <w:r w:rsidR="00773D05">
        <w:rPr>
          <w:rFonts w:asciiTheme="majorBidi" w:hAnsiTheme="majorBidi" w:cstheme="majorBidi"/>
        </w:rPr>
        <w:t> </w:t>
      </w:r>
      <w:proofErr w:type="spellStart"/>
      <w:r w:rsidRPr="00DF2BC8">
        <w:rPr>
          <w:rFonts w:asciiTheme="majorBidi" w:hAnsiTheme="majorBidi" w:cstheme="majorBidi"/>
        </w:rPr>
        <w:t>Tūmanei</w:t>
      </w:r>
      <w:proofErr w:type="spellEnd"/>
      <w:r w:rsidRPr="00DF2BC8">
        <w:rPr>
          <w:rFonts w:asciiTheme="majorBidi" w:hAnsiTheme="majorBidi" w:cstheme="majorBidi"/>
        </w:rPr>
        <w:t xml:space="preserve"> nebija pamata ierasties uz tiesas sēdi. Padome atzinusi, ka pārkāpumi I.</w:t>
      </w:r>
      <w:r w:rsidR="00773D05">
        <w:t> </w:t>
      </w:r>
      <w:proofErr w:type="spellStart"/>
      <w:r w:rsidRPr="00DF2BC8">
        <w:rPr>
          <w:rFonts w:asciiTheme="majorBidi" w:hAnsiTheme="majorBidi" w:cstheme="majorBidi"/>
        </w:rPr>
        <w:t>Tūmanes</w:t>
      </w:r>
      <w:proofErr w:type="spellEnd"/>
      <w:r w:rsidRPr="00DF2BC8">
        <w:rPr>
          <w:rFonts w:asciiTheme="majorBidi" w:hAnsiTheme="majorBidi" w:cstheme="majorBidi"/>
        </w:rPr>
        <w:t xml:space="preserve"> rīcībā nav konstatējami.</w:t>
      </w:r>
    </w:p>
    <w:p w14:paraId="1182DB24" w14:textId="38BF6BA4"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[10.5] Pirmās, apelācijas un kasācijas instances tiesā apsūdzētajam </w:t>
      </w:r>
      <w:r w:rsidR="00995A13">
        <w:t>[pers. A]</w:t>
      </w:r>
      <w:r w:rsidRPr="00DF2BC8">
        <w:rPr>
          <w:rFonts w:asciiTheme="majorBidi" w:hAnsiTheme="majorBidi" w:cstheme="majorBidi"/>
        </w:rPr>
        <w:t xml:space="preserve"> valsts nodrošinātu juridisko palīdzību sniegusi aizstāve B. Didrihsone.</w:t>
      </w:r>
    </w:p>
    <w:p w14:paraId="641DA275" w14:textId="50B7A5F7"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[10.6] Senāts norāda, ka fakts, ka aizstāvim bija atšķirīga izpratne par aizstāvības taktiku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procesā, pats par sevi nenozīmē, ka aizstāvība ir bijusi nekvalitatīva. I. </w:t>
      </w:r>
      <w:proofErr w:type="spellStart"/>
      <w:r w:rsidRPr="00DF2BC8">
        <w:rPr>
          <w:rFonts w:asciiTheme="majorBidi" w:hAnsiTheme="majorBidi" w:cstheme="majorBidi"/>
        </w:rPr>
        <w:t>Tūmane</w:t>
      </w:r>
      <w:proofErr w:type="spellEnd"/>
      <w:r w:rsidRPr="00DF2BC8">
        <w:rPr>
          <w:rFonts w:asciiTheme="majorBidi" w:hAnsiTheme="majorBidi" w:cstheme="majorBidi"/>
        </w:rPr>
        <w:t xml:space="preserve">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procesā ir īstenojusi apsūdzētā </w:t>
      </w:r>
      <w:r w:rsidR="00995A13">
        <w:t>[pers. A]</w:t>
      </w:r>
      <w:r w:rsidRPr="00DF2BC8">
        <w:rPr>
          <w:rFonts w:asciiTheme="majorBidi" w:hAnsiTheme="majorBidi" w:cstheme="majorBidi"/>
        </w:rPr>
        <w:t xml:space="preserve"> aizstāvību nepilnu mēnesi, minētajā laika posmā aizstāve ir sagatavojusi procesuālus dokumentus, tai skaitā, lūdzot izbeigt kriminālprocesu pret apsūdzēto </w:t>
      </w:r>
      <w:r w:rsidR="00995A13">
        <w:t>[pers. A]</w:t>
      </w:r>
      <w:r w:rsidRPr="00DF2BC8">
        <w:rPr>
          <w:rFonts w:asciiTheme="majorBidi" w:hAnsiTheme="majorBidi" w:cstheme="majorBidi"/>
        </w:rPr>
        <w:t>.</w:t>
      </w:r>
    </w:p>
    <w:p w14:paraId="5FEE4D0D" w14:textId="75AA6AB4"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Ievērojot iepriekš izklāstīto, Senāts nekonstatē aizstāves bezdarbību vai tādus apstākļus, kas acīmredzami norādītu uz aizstāves </w:t>
      </w:r>
      <w:r w:rsidRPr="00DF2BC8">
        <w:rPr>
          <w:rFonts w:asciiTheme="majorBidi" w:hAnsiTheme="majorBidi" w:cstheme="majorBidi"/>
          <w:color w:val="000000" w:themeColor="text1"/>
        </w:rPr>
        <w:t xml:space="preserve">nespēju nodrošināt efektīvu aizstāvību </w:t>
      </w:r>
      <w:proofErr w:type="spellStart"/>
      <w:r w:rsidRPr="00DF2BC8">
        <w:rPr>
          <w:rFonts w:asciiTheme="majorBidi" w:hAnsiTheme="majorBidi" w:cstheme="majorBidi"/>
          <w:color w:val="000000" w:themeColor="text1"/>
        </w:rPr>
        <w:t>pirmstiesas</w:t>
      </w:r>
      <w:proofErr w:type="spellEnd"/>
      <w:r w:rsidRPr="00DF2BC8">
        <w:rPr>
          <w:rFonts w:asciiTheme="majorBidi" w:hAnsiTheme="majorBidi" w:cstheme="majorBidi"/>
          <w:color w:val="000000" w:themeColor="text1"/>
        </w:rPr>
        <w:t xml:space="preserve"> procesā. </w:t>
      </w:r>
      <w:r w:rsidRPr="00DF2BC8">
        <w:rPr>
          <w:rFonts w:asciiTheme="majorBidi" w:hAnsiTheme="majorBidi" w:cstheme="majorBidi"/>
        </w:rPr>
        <w:t xml:space="preserve">Senāts atzīst, ka nav konstatējams apsūdzētā </w:t>
      </w:r>
      <w:r w:rsidR="00995A13">
        <w:t>[pers. A]</w:t>
      </w:r>
      <w:r w:rsidRPr="00DF2BC8">
        <w:rPr>
          <w:rFonts w:asciiTheme="majorBidi" w:hAnsiTheme="majorBidi" w:cstheme="majorBidi"/>
        </w:rPr>
        <w:t xml:space="preserve"> tiesību uz aizstāvību pārkāpums. </w:t>
      </w:r>
    </w:p>
    <w:p w14:paraId="540ED0CD" w14:textId="77777777" w:rsidR="00DE6A39" w:rsidRPr="00DF2BC8" w:rsidRDefault="00DE6A39" w:rsidP="00DE6A39">
      <w:pPr>
        <w:spacing w:line="276" w:lineRule="auto"/>
        <w:ind w:firstLine="720"/>
        <w:jc w:val="both"/>
        <w:rPr>
          <w:rFonts w:asciiTheme="majorBidi" w:hAnsiTheme="majorBidi" w:cstheme="majorBidi"/>
        </w:rPr>
      </w:pPr>
    </w:p>
    <w:p w14:paraId="576D2396" w14:textId="22818BE9"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[11] Senāta kompetencē ir izvērtēt, vai apelācijas instances tiesa ir pieļāvusi Kriminālprocesa likuma būtisku pārkāpumu, atzīstot personas </w:t>
      </w:r>
      <w:proofErr w:type="spellStart"/>
      <w:r w:rsidRPr="00DF2BC8">
        <w:rPr>
          <w:rFonts w:asciiTheme="majorBidi" w:hAnsiTheme="majorBidi" w:cstheme="majorBidi"/>
        </w:rPr>
        <w:t>audiokontroles</w:t>
      </w:r>
      <w:proofErr w:type="spellEnd"/>
      <w:r w:rsidRPr="00DF2BC8">
        <w:rPr>
          <w:rFonts w:asciiTheme="majorBidi" w:hAnsiTheme="majorBidi" w:cstheme="majorBidi"/>
        </w:rPr>
        <w:t xml:space="preserve"> laikā iegūtās ziņas par pieļaujamiem pierādījumiem.</w:t>
      </w:r>
    </w:p>
    <w:p w14:paraId="10FB068A" w14:textId="0709922B"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[11.1] Senātam vispirms jāizvērtē, </w:t>
      </w:r>
      <w:r w:rsidR="00491B81" w:rsidRPr="00C02A9C">
        <w:rPr>
          <w:rFonts w:asciiTheme="majorBidi" w:hAnsiTheme="majorBidi" w:cstheme="majorBidi"/>
        </w:rPr>
        <w:t xml:space="preserve">kādi priekšnosacījumi ir jāievēro, lai varētu veikt </w:t>
      </w:r>
      <w:r w:rsidR="00491B81">
        <w:rPr>
          <w:rFonts w:asciiTheme="majorBidi" w:hAnsiTheme="majorBidi" w:cstheme="majorBidi"/>
        </w:rPr>
        <w:t xml:space="preserve">personas </w:t>
      </w:r>
      <w:proofErr w:type="spellStart"/>
      <w:r w:rsidR="00491B81">
        <w:rPr>
          <w:rFonts w:asciiTheme="majorBidi" w:hAnsiTheme="majorBidi" w:cstheme="majorBidi"/>
        </w:rPr>
        <w:t>audiokontroli</w:t>
      </w:r>
      <w:proofErr w:type="spellEnd"/>
      <w:r w:rsidR="00491B81">
        <w:rPr>
          <w:rFonts w:asciiTheme="majorBidi" w:hAnsiTheme="majorBidi" w:cstheme="majorBidi"/>
        </w:rPr>
        <w:t>.</w:t>
      </w:r>
    </w:p>
    <w:p w14:paraId="093695D5" w14:textId="5B6231CB"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[11.1.1] Kriminālprocesa likuma 210. pants paredz noteikumus, kas jāievēro, veicot speciālās izmeklēšanas darbības. Minētā panta pirmā daļa noteic, ka [..] speciālās izmeklēšanas darbības veic, ja kriminālprocesā pierādāmo apstākļu noskaidrošanai ziņas par faktiem nepieciešams iegūt,</w:t>
      </w:r>
      <w:r w:rsidR="003501A5">
        <w:rPr>
          <w:rFonts w:asciiTheme="majorBidi" w:hAnsiTheme="majorBidi" w:cstheme="majorBidi"/>
        </w:rPr>
        <w:t xml:space="preserve"> </w:t>
      </w:r>
      <w:r w:rsidRPr="00DF2BC8">
        <w:rPr>
          <w:rFonts w:asciiTheme="majorBidi" w:hAnsiTheme="majorBidi" w:cstheme="majorBidi"/>
        </w:rPr>
        <w:t>neinformējot kriminālprocesā iesaistītās personas un tās personas, kuras varētu šīs ziņas sniegt. Savukārt šā panta otrās daļas pirmais teikums paredz, ka speciālās izmeklēšanas darbības, pamatojoties uz izmeklēšanas tiesneša lēmumu, veic procesa virzītājs vai iestādes un personas viņa uzdevumā. Kriminālprocesa likuma 212. panta pirmā daļa noteic, ka izmeklēšanas tiesneša lēmums nav nepieciešams likumā paredzētos gadījumos.</w:t>
      </w:r>
    </w:p>
    <w:p w14:paraId="0E1EBA9D" w14:textId="5C3A35D5"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Savukārt Kriminālprocesa likuma 211. pants noteic, ka speciālās izmeklēšanas darbības rezultātā saistībā ar mazāk smagiem, smagiem vai sevišķi smagiem noziegumiem iegūstama tikai tāda informācija, kura: 1</w:t>
      </w:r>
      <w:r w:rsidR="009826C5" w:rsidRPr="00DF2BC8">
        <w:rPr>
          <w:rFonts w:asciiTheme="majorBidi" w:hAnsiTheme="majorBidi" w:cstheme="majorBidi"/>
        </w:rPr>
        <w:t>)</w:t>
      </w:r>
      <w:r w:rsidR="009826C5">
        <w:rPr>
          <w:rFonts w:asciiTheme="majorBidi" w:hAnsiTheme="majorBidi" w:cstheme="majorBidi"/>
        </w:rPr>
        <w:t> </w:t>
      </w:r>
      <w:r w:rsidRPr="00DF2BC8">
        <w:rPr>
          <w:rFonts w:asciiTheme="majorBidi" w:hAnsiTheme="majorBidi" w:cstheme="majorBidi"/>
        </w:rPr>
        <w:t>nepieciešama kriminālprocesā pierādāmo apstākļu noskaidrošanai; 2) norāda uz cita noziedzīga nodarījuma izdarīšanu vai tā izdarīšanas apstākļiem; 3) nepieciešama tūlītēja būtiska sabiedriskās drošības apdraudējuma novēršanai.</w:t>
      </w:r>
    </w:p>
    <w:p w14:paraId="4BE9CF48" w14:textId="3413EE04"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lastRenderedPageBreak/>
        <w:t xml:space="preserve">[11.1.2] Saskaņā ar Kriminālprocesa likuma 222. panta pirmo daļu personas </w:t>
      </w:r>
      <w:proofErr w:type="spellStart"/>
      <w:r w:rsidRPr="00DF2BC8">
        <w:rPr>
          <w:rFonts w:asciiTheme="majorBidi" w:hAnsiTheme="majorBidi" w:cstheme="majorBidi"/>
        </w:rPr>
        <w:t>audiokontroli</w:t>
      </w:r>
      <w:proofErr w:type="spellEnd"/>
      <w:r w:rsidRPr="00DF2BC8">
        <w:rPr>
          <w:rFonts w:asciiTheme="majorBidi" w:hAnsiTheme="majorBidi" w:cstheme="majorBidi"/>
        </w:rPr>
        <w:t xml:space="preserve"> bez šīs personas ziņas veic, pamatojoties uz izmeklēšanas tiesneša lēmumu, ja ir pamats uzskatīt, ka personas sarunas vai citas skaņas var saturēt ziņas par pierādāmajos apstākļos ietilpstošajiem faktiem, un ja bez šīs darbības nepieciešamo ziņu iegūšana nav iespējama. Minētā</w:t>
      </w:r>
      <w:r w:rsidR="003501A5">
        <w:rPr>
          <w:rFonts w:asciiTheme="majorBidi" w:hAnsiTheme="majorBidi" w:cstheme="majorBidi"/>
        </w:rPr>
        <w:t xml:space="preserve"> </w:t>
      </w:r>
      <w:r w:rsidRPr="00DF2BC8">
        <w:rPr>
          <w:rFonts w:asciiTheme="majorBidi" w:hAnsiTheme="majorBidi" w:cstheme="majorBidi"/>
        </w:rPr>
        <w:t xml:space="preserve">panta otrā daļa noteic, ka personas </w:t>
      </w:r>
      <w:proofErr w:type="spellStart"/>
      <w:r w:rsidRPr="00DF2BC8">
        <w:rPr>
          <w:rFonts w:asciiTheme="majorBidi" w:hAnsiTheme="majorBidi" w:cstheme="majorBidi"/>
        </w:rPr>
        <w:t>audiokontroli</w:t>
      </w:r>
      <w:proofErr w:type="spellEnd"/>
      <w:r w:rsidRPr="00DF2BC8">
        <w:rPr>
          <w:rFonts w:asciiTheme="majorBidi" w:hAnsiTheme="majorBidi" w:cstheme="majorBidi"/>
        </w:rPr>
        <w:t xml:space="preserve"> ar šīs personas rakstveida piekrišanu, pamatojoties uz procesa virzītāja lēmumu, veic, ja ir pamats uzskatīt, ka pret šo personu vai tās tuviniekiem var tikt vērsts noziedzīgs nodarījums vai arī šī persona ir vai var tikt iesaistīta noziedzīga nodarījuma izdarīšanā.</w:t>
      </w:r>
    </w:p>
    <w:p w14:paraId="63C1EA7A" w14:textId="1BAD854F"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[11.1.3] Personas </w:t>
      </w:r>
      <w:proofErr w:type="spellStart"/>
      <w:r w:rsidRPr="00DF2BC8">
        <w:rPr>
          <w:rFonts w:asciiTheme="majorBidi" w:hAnsiTheme="majorBidi" w:cstheme="majorBidi"/>
        </w:rPr>
        <w:t>audiokontrole</w:t>
      </w:r>
      <w:proofErr w:type="spellEnd"/>
      <w:r w:rsidRPr="00DF2BC8">
        <w:rPr>
          <w:rFonts w:asciiTheme="majorBidi" w:hAnsiTheme="majorBidi" w:cstheme="majorBidi"/>
        </w:rPr>
        <w:t xml:space="preserve"> skar personas tiesības uz privāto dzīvi. Lai to piemērotu, ir nepieciešams, lai šāda darbība būtu samērīga un atbilstoša konkrētajam gadījumam. Arī Eiropas Cilvēktiesību tiesa ir norādījusi, lai nodrošinātu personai adekvātu aizsardzību pret patvaļīgu iejaukšanos tās privātajā dzīvē, likumā ir pietiekami skaidri jānosaka kompetentajām iestādēm piešķirtās rīcības brīvības robežas un tās lietošanas veids, ievērojot attiecīgā pasākuma leģitīmo mērķi (</w:t>
      </w:r>
      <w:r w:rsidRPr="00966337">
        <w:rPr>
          <w:rFonts w:asciiTheme="majorBidi" w:hAnsiTheme="majorBidi" w:cstheme="majorBidi"/>
        </w:rPr>
        <w:t>sk.</w:t>
      </w:r>
      <w:r w:rsidRPr="00DF2BC8">
        <w:rPr>
          <w:rFonts w:asciiTheme="majorBidi" w:hAnsiTheme="majorBidi" w:cstheme="majorBidi"/>
          <w:i/>
          <w:iCs/>
        </w:rPr>
        <w:t xml:space="preserve"> Eiropas Cilvēktiesību tiesas 2000</w:t>
      </w:r>
      <w:r w:rsidR="009826C5" w:rsidRPr="00DF2BC8">
        <w:rPr>
          <w:rFonts w:asciiTheme="majorBidi" w:hAnsiTheme="majorBidi" w:cstheme="majorBidi"/>
          <w:i/>
          <w:iCs/>
        </w:rPr>
        <w:t>.</w:t>
      </w:r>
      <w:r w:rsidR="009826C5">
        <w:rPr>
          <w:rFonts w:asciiTheme="majorBidi" w:hAnsiTheme="majorBidi" w:cstheme="majorBidi"/>
          <w:i/>
          <w:iCs/>
        </w:rPr>
        <w:t> </w:t>
      </w:r>
      <w:r w:rsidRPr="00DF2BC8">
        <w:rPr>
          <w:rFonts w:asciiTheme="majorBidi" w:hAnsiTheme="majorBidi" w:cstheme="majorBidi"/>
          <w:i/>
          <w:iCs/>
        </w:rPr>
        <w:t>gada 4</w:t>
      </w:r>
      <w:r w:rsidR="009826C5" w:rsidRPr="00DF2BC8">
        <w:rPr>
          <w:rFonts w:asciiTheme="majorBidi" w:hAnsiTheme="majorBidi" w:cstheme="majorBidi"/>
          <w:i/>
          <w:iCs/>
        </w:rPr>
        <w:t>.</w:t>
      </w:r>
      <w:r w:rsidR="009826C5">
        <w:rPr>
          <w:rFonts w:asciiTheme="majorBidi" w:hAnsiTheme="majorBidi" w:cstheme="majorBidi"/>
          <w:i/>
          <w:iCs/>
        </w:rPr>
        <w:t> </w:t>
      </w:r>
      <w:r w:rsidRPr="00DF2BC8">
        <w:rPr>
          <w:rFonts w:asciiTheme="majorBidi" w:hAnsiTheme="majorBidi" w:cstheme="majorBidi"/>
          <w:i/>
          <w:iCs/>
        </w:rPr>
        <w:t xml:space="preserve">maija sprieduma lietā </w:t>
      </w:r>
      <w:r w:rsidR="009826C5">
        <w:rPr>
          <w:rFonts w:asciiTheme="majorBidi" w:hAnsiTheme="majorBidi" w:cstheme="majorBidi"/>
          <w:i/>
          <w:iCs/>
        </w:rPr>
        <w:t>„</w:t>
      </w:r>
      <w:r w:rsidRPr="00DF2BC8">
        <w:rPr>
          <w:rFonts w:asciiTheme="majorBidi" w:hAnsiTheme="majorBidi" w:cstheme="majorBidi"/>
          <w:i/>
          <w:iCs/>
        </w:rPr>
        <w:t xml:space="preserve">Rotaru </w:t>
      </w:r>
      <w:r w:rsidR="009826C5">
        <w:rPr>
          <w:rFonts w:asciiTheme="majorBidi" w:hAnsiTheme="majorBidi" w:cstheme="majorBidi"/>
          <w:i/>
          <w:iCs/>
        </w:rPr>
        <w:t>pret Rumāniju”</w:t>
      </w:r>
      <w:r w:rsidR="003501A5">
        <w:rPr>
          <w:rFonts w:asciiTheme="majorBidi" w:hAnsiTheme="majorBidi" w:cstheme="majorBidi"/>
          <w:i/>
          <w:iCs/>
        </w:rPr>
        <w:t>,</w:t>
      </w:r>
      <w:r w:rsidR="009826C5">
        <w:rPr>
          <w:rFonts w:asciiTheme="majorBidi" w:hAnsiTheme="majorBidi" w:cstheme="majorBidi"/>
          <w:i/>
          <w:iCs/>
        </w:rPr>
        <w:t xml:space="preserve"> iesnieguma Nr. </w:t>
      </w:r>
      <w:hyperlink r:id="rId20" w:anchor="{%22itemid%22:[%22001-58586%22]}" w:history="1">
        <w:r w:rsidR="009826C5" w:rsidRPr="009826C5">
          <w:rPr>
            <w:rStyle w:val="Hyperlink"/>
            <w:rFonts w:asciiTheme="majorBidi" w:hAnsiTheme="majorBidi" w:cstheme="majorBidi"/>
            <w:i/>
            <w:iCs/>
          </w:rPr>
          <w:t>28341/95</w:t>
        </w:r>
      </w:hyperlink>
      <w:r w:rsidR="003501A5">
        <w:t>,</w:t>
      </w:r>
      <w:r w:rsidRPr="00DF2BC8">
        <w:rPr>
          <w:rFonts w:asciiTheme="majorBidi" w:hAnsiTheme="majorBidi" w:cstheme="majorBidi"/>
          <w:i/>
          <w:iCs/>
        </w:rPr>
        <w:t xml:space="preserve"> 55</w:t>
      </w:r>
      <w:r w:rsidR="009826C5" w:rsidRPr="00DF2BC8">
        <w:rPr>
          <w:rFonts w:asciiTheme="majorBidi" w:hAnsiTheme="majorBidi" w:cstheme="majorBidi"/>
          <w:i/>
          <w:iCs/>
        </w:rPr>
        <w:t>.</w:t>
      </w:r>
      <w:r w:rsidR="009826C5">
        <w:rPr>
          <w:rFonts w:asciiTheme="majorBidi" w:hAnsiTheme="majorBidi" w:cstheme="majorBidi"/>
          <w:i/>
          <w:iCs/>
        </w:rPr>
        <w:t> </w:t>
      </w:r>
      <w:r w:rsidRPr="00DF2BC8">
        <w:rPr>
          <w:rFonts w:asciiTheme="majorBidi" w:hAnsiTheme="majorBidi" w:cstheme="majorBidi"/>
          <w:i/>
          <w:iCs/>
        </w:rPr>
        <w:t>punktu</w:t>
      </w:r>
      <w:r w:rsidRPr="00DF2BC8">
        <w:rPr>
          <w:rFonts w:asciiTheme="majorBidi" w:hAnsiTheme="majorBidi" w:cstheme="majorBidi"/>
        </w:rPr>
        <w:t>).</w:t>
      </w:r>
    </w:p>
    <w:p w14:paraId="214D24B0" w14:textId="0CFA520E"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Kriminālprocesa likuma 222. panta pirmā daļa izvirza priekšnoteikumus personas </w:t>
      </w:r>
      <w:proofErr w:type="spellStart"/>
      <w:r w:rsidRPr="00DF2BC8">
        <w:rPr>
          <w:rFonts w:asciiTheme="majorBidi" w:hAnsiTheme="majorBidi" w:cstheme="majorBidi"/>
        </w:rPr>
        <w:t>audiokontroles</w:t>
      </w:r>
      <w:proofErr w:type="spellEnd"/>
      <w:r w:rsidRPr="00DF2BC8">
        <w:rPr>
          <w:rFonts w:asciiTheme="majorBidi" w:hAnsiTheme="majorBidi" w:cstheme="majorBidi"/>
        </w:rPr>
        <w:t xml:space="preserve"> veikšanai. Tā ir atļauta tikai tad: 1</w:t>
      </w:r>
      <w:r w:rsidR="009826C5" w:rsidRPr="00DF2BC8">
        <w:rPr>
          <w:rFonts w:asciiTheme="majorBidi" w:hAnsiTheme="majorBidi" w:cstheme="majorBidi"/>
        </w:rPr>
        <w:t>)</w:t>
      </w:r>
      <w:r w:rsidR="009826C5">
        <w:rPr>
          <w:rFonts w:asciiTheme="majorBidi" w:hAnsiTheme="majorBidi" w:cstheme="majorBidi"/>
        </w:rPr>
        <w:t> </w:t>
      </w:r>
      <w:r w:rsidRPr="00DF2BC8">
        <w:rPr>
          <w:rFonts w:asciiTheme="majorBidi" w:hAnsiTheme="majorBidi" w:cstheme="majorBidi"/>
        </w:rPr>
        <w:t xml:space="preserve">ja ir pamats uzskatīt, ka personas sarunas vai citas skaņas var saturēt ziņas par pierādāmajos apstākļos ietilpstošajiem faktiem, un 2) ja bez šīs darbības nepieciešamo ziņu iegūšana nav iespējama. </w:t>
      </w:r>
    </w:p>
    <w:p w14:paraId="278529AA" w14:textId="6FAC2D84"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Likums noteic atšķirīgu</w:t>
      </w:r>
      <w:r w:rsidR="00F0576F">
        <w:rPr>
          <w:rFonts w:asciiTheme="majorBidi" w:hAnsiTheme="majorBidi" w:cstheme="majorBidi"/>
        </w:rPr>
        <w:t xml:space="preserve"> </w:t>
      </w:r>
      <w:r w:rsidR="007F095E">
        <w:rPr>
          <w:rFonts w:asciiTheme="majorBidi" w:hAnsiTheme="majorBidi" w:cstheme="majorBidi"/>
        </w:rPr>
        <w:t>pieeju atļaujas sniegšanai</w:t>
      </w:r>
      <w:r w:rsidRPr="00DF2BC8">
        <w:rPr>
          <w:rFonts w:asciiTheme="majorBidi" w:hAnsiTheme="majorBidi" w:cstheme="majorBidi"/>
        </w:rPr>
        <w:t xml:space="preserve"> personas </w:t>
      </w:r>
      <w:proofErr w:type="spellStart"/>
      <w:r w:rsidRPr="00DF2BC8">
        <w:rPr>
          <w:rFonts w:asciiTheme="majorBidi" w:hAnsiTheme="majorBidi" w:cstheme="majorBidi"/>
        </w:rPr>
        <w:t>audiokontroles</w:t>
      </w:r>
      <w:proofErr w:type="spellEnd"/>
      <w:r w:rsidRPr="00DF2BC8">
        <w:rPr>
          <w:rFonts w:asciiTheme="majorBidi" w:hAnsiTheme="majorBidi" w:cstheme="majorBidi"/>
        </w:rPr>
        <w:t xml:space="preserve"> veikšanai. Ja šī darbība tiek veikt</w:t>
      </w:r>
      <w:r w:rsidR="009826C5">
        <w:rPr>
          <w:rFonts w:asciiTheme="majorBidi" w:hAnsiTheme="majorBidi" w:cstheme="majorBidi"/>
        </w:rPr>
        <w:t>a</w:t>
      </w:r>
      <w:r w:rsidRPr="00DF2BC8">
        <w:rPr>
          <w:rFonts w:asciiTheme="majorBidi" w:hAnsiTheme="majorBidi" w:cstheme="majorBidi"/>
        </w:rPr>
        <w:t xml:space="preserve"> bez šīs personas ziņas, to veic, pamatojoties uz izmeklēšanas tiesneša lēmumu. Savukārt, ja ir pamats uzskatīt, ka pret šo personu vai tās tuviniekiem var tikt vērsts noziedzīgs nodarījums vai arī šī persona ir vai var tikt iesaistīta noziedzīga nodarījuma izdarīšanā, tad personas </w:t>
      </w:r>
      <w:proofErr w:type="spellStart"/>
      <w:r w:rsidRPr="00DF2BC8">
        <w:rPr>
          <w:rFonts w:asciiTheme="majorBidi" w:hAnsiTheme="majorBidi" w:cstheme="majorBidi"/>
        </w:rPr>
        <w:t>audiokontroli</w:t>
      </w:r>
      <w:proofErr w:type="spellEnd"/>
      <w:r w:rsidRPr="00DF2BC8">
        <w:rPr>
          <w:rFonts w:asciiTheme="majorBidi" w:hAnsiTheme="majorBidi" w:cstheme="majorBidi"/>
        </w:rPr>
        <w:t xml:space="preserve"> veic ar šīs personas rakstveida piekrišanu, pamatojoties uz procesa virzītāja lēmumu.</w:t>
      </w:r>
    </w:p>
    <w:p w14:paraId="3A9C1B4D" w14:textId="4E3AB39C"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[11.1.4] Ievēro</w:t>
      </w:r>
      <w:r w:rsidR="00966337">
        <w:rPr>
          <w:rFonts w:asciiTheme="majorBidi" w:hAnsiTheme="majorBidi" w:cstheme="majorBidi"/>
        </w:rPr>
        <w:t>jo</w:t>
      </w:r>
      <w:r w:rsidRPr="00DF2BC8">
        <w:rPr>
          <w:rFonts w:asciiTheme="majorBidi" w:hAnsiTheme="majorBidi" w:cstheme="majorBidi"/>
        </w:rPr>
        <w:t xml:space="preserve">t minēto, Senāts norāda, ka sistēmiski skatot Kriminālprocesa likuma normas, speciālo izmeklēšanas darbību, arī personas </w:t>
      </w:r>
      <w:proofErr w:type="spellStart"/>
      <w:r w:rsidRPr="00DF2BC8">
        <w:rPr>
          <w:rFonts w:asciiTheme="majorBidi" w:hAnsiTheme="majorBidi" w:cstheme="majorBidi"/>
        </w:rPr>
        <w:t>audiokontroles</w:t>
      </w:r>
      <w:proofErr w:type="spellEnd"/>
      <w:r w:rsidR="00966337">
        <w:rPr>
          <w:rFonts w:asciiTheme="majorBidi" w:hAnsiTheme="majorBidi" w:cstheme="majorBidi"/>
        </w:rPr>
        <w:t xml:space="preserve"> </w:t>
      </w:r>
      <w:r w:rsidRPr="00DF2BC8">
        <w:rPr>
          <w:rFonts w:asciiTheme="majorBidi" w:hAnsiTheme="majorBidi" w:cstheme="majorBidi"/>
        </w:rPr>
        <w:t xml:space="preserve">viens no izdarīšanas </w:t>
      </w:r>
      <w:r w:rsidR="00AF1FC2">
        <w:rPr>
          <w:rFonts w:asciiTheme="majorBidi" w:hAnsiTheme="majorBidi" w:cstheme="majorBidi"/>
        </w:rPr>
        <w:t xml:space="preserve">leģitīmajiem </w:t>
      </w:r>
      <w:r w:rsidRPr="00DF2BC8">
        <w:rPr>
          <w:rFonts w:asciiTheme="majorBidi" w:hAnsiTheme="majorBidi" w:cstheme="majorBidi"/>
        </w:rPr>
        <w:t xml:space="preserve">mērķiem ir iegūt ziņas par pierādāmajos apstākļos ietilpstošajiem faktiem, vienlaikus neattaisnoti neiejaucoties personas dzīvē. </w:t>
      </w:r>
    </w:p>
    <w:p w14:paraId="11D029D3" w14:textId="77777777"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 xml:space="preserve">[11.2] Tiesas pēckontroli, tajā skaitā arī ziņu par faktiem </w:t>
      </w:r>
      <w:proofErr w:type="spellStart"/>
      <w:r w:rsidRPr="00DF2BC8">
        <w:rPr>
          <w:rFonts w:asciiTheme="majorBidi" w:hAnsiTheme="majorBidi" w:cstheme="majorBidi"/>
        </w:rPr>
        <w:t>attiecināmības</w:t>
      </w:r>
      <w:proofErr w:type="spellEnd"/>
      <w:r w:rsidRPr="00DF2BC8">
        <w:rPr>
          <w:rFonts w:asciiTheme="majorBidi" w:hAnsiTheme="majorBidi" w:cstheme="majorBidi"/>
        </w:rPr>
        <w:t xml:space="preserve">, pieļaujamības, ticamības un pierādījumu pietiekamības novērtēšanu veic tiesa, kas iztiesā krimināllietu pēc būtības. </w:t>
      </w:r>
    </w:p>
    <w:p w14:paraId="79E136C0" w14:textId="4F11E60D" w:rsidR="00DE6A39" w:rsidRPr="00F377CE" w:rsidRDefault="00DE6A39" w:rsidP="00EF263D">
      <w:pPr>
        <w:spacing w:line="276" w:lineRule="auto"/>
        <w:ind w:firstLine="720"/>
        <w:jc w:val="both"/>
        <w:rPr>
          <w:rFonts w:asciiTheme="majorBidi" w:hAnsiTheme="majorBidi" w:cstheme="majorBidi"/>
          <w:i/>
        </w:rPr>
      </w:pPr>
      <w:r w:rsidRPr="00DF2BC8">
        <w:rPr>
          <w:rFonts w:asciiTheme="majorBidi" w:hAnsiTheme="majorBidi" w:cstheme="majorBidi"/>
        </w:rPr>
        <w:t>[11.2.1] Eiropas Cilvēktiesību tiesa ir norādījusi, ka apzinās grūtības, kas ir saistītas ar policijas uzdevumu meklēt un vākt pierādījumus noziedzīgu nodarījumu atklāšanai un izmeklēšanai. Lai veiktu šo uzdevumu, policijai arvien biežāk ir jāizmanto slepenie aģenti, informatori un slēptās darbības, īpaši, cīnoties ar organizēto noziedzību un korupciju. Speciālo izmeklēšanas metožu izmantošana pati par sevi nevar pārkāpt tiesības uz taisnīgu tiesu. Tomēr šādu metožu izmantošanai jābūt stingri noteiktai, lai nodrošinātu, ka tās netiek izmantotas patvaļīgi un netiek pārkāptas personas tiesības. Pierādījumu pieļaujamība galvenokārt tiek regulēta ar valsts likumu, un parasti tās ir valsts tiesas, kas izvērtē pierādījumus savās lietās (</w:t>
      </w:r>
      <w:r w:rsidRPr="00DF2BC8">
        <w:rPr>
          <w:rFonts w:asciiTheme="majorBidi" w:hAnsiTheme="majorBidi" w:cstheme="majorBidi"/>
          <w:i/>
        </w:rPr>
        <w:t>Eiropas Cilvēktiesību tiesas (Lielā palāta) 2008. gada 5. februāra sprieduma lietā „</w:t>
      </w:r>
      <w:proofErr w:type="spellStart"/>
      <w:r w:rsidRPr="00DF2BC8">
        <w:rPr>
          <w:rFonts w:asciiTheme="majorBidi" w:hAnsiTheme="majorBidi" w:cstheme="majorBidi"/>
          <w:i/>
        </w:rPr>
        <w:t>Ramanauskas</w:t>
      </w:r>
      <w:proofErr w:type="spellEnd"/>
      <w:r w:rsidRPr="00DF2BC8">
        <w:rPr>
          <w:rFonts w:asciiTheme="majorBidi" w:hAnsiTheme="majorBidi" w:cstheme="majorBidi"/>
          <w:i/>
        </w:rPr>
        <w:t xml:space="preserve"> </w:t>
      </w:r>
      <w:r w:rsidR="00EF263D">
        <w:rPr>
          <w:rFonts w:asciiTheme="majorBidi" w:hAnsiTheme="majorBidi" w:cstheme="majorBidi"/>
          <w:i/>
        </w:rPr>
        <w:t>pret Lietuvu</w:t>
      </w:r>
      <w:r w:rsidRPr="00DF2BC8">
        <w:rPr>
          <w:rFonts w:asciiTheme="majorBidi" w:hAnsiTheme="majorBidi" w:cstheme="majorBidi"/>
          <w:i/>
        </w:rPr>
        <w:t xml:space="preserve">”, </w:t>
      </w:r>
      <w:r w:rsidR="00EF263D">
        <w:rPr>
          <w:rFonts w:asciiTheme="majorBidi" w:hAnsiTheme="majorBidi" w:cstheme="majorBidi"/>
          <w:i/>
        </w:rPr>
        <w:t>iesnieguma</w:t>
      </w:r>
      <w:r w:rsidR="00EF263D" w:rsidRPr="00DF2BC8">
        <w:rPr>
          <w:rFonts w:asciiTheme="majorBidi" w:hAnsiTheme="majorBidi" w:cstheme="majorBidi"/>
          <w:i/>
        </w:rPr>
        <w:t xml:space="preserve"> </w:t>
      </w:r>
      <w:r w:rsidRPr="00DF2BC8">
        <w:rPr>
          <w:rFonts w:asciiTheme="majorBidi" w:hAnsiTheme="majorBidi" w:cstheme="majorBidi"/>
          <w:i/>
        </w:rPr>
        <w:t>Nr. </w:t>
      </w:r>
      <w:hyperlink r:id="rId21" w:anchor="{%22itemid%22:[%22001-68969%22]}" w:history="1">
        <w:r w:rsidRPr="00EF263D">
          <w:rPr>
            <w:rStyle w:val="Hyperlink"/>
            <w:rFonts w:asciiTheme="majorBidi" w:hAnsiTheme="majorBidi" w:cstheme="majorBidi"/>
            <w:i/>
          </w:rPr>
          <w:t>74420/01</w:t>
        </w:r>
      </w:hyperlink>
      <w:r w:rsidRPr="00DF2BC8">
        <w:rPr>
          <w:rFonts w:asciiTheme="majorBidi" w:hAnsiTheme="majorBidi" w:cstheme="majorBidi"/>
          <w:i/>
        </w:rPr>
        <w:t>, 49.</w:t>
      </w:r>
      <w:r w:rsidR="00EF263D" w:rsidRPr="00DF2BC8">
        <w:rPr>
          <w:rFonts w:asciiTheme="majorBidi" w:hAnsiTheme="majorBidi" w:cstheme="majorBidi"/>
        </w:rPr>
        <w:t>–</w:t>
      </w:r>
      <w:r w:rsidRPr="00DF2BC8">
        <w:rPr>
          <w:rFonts w:asciiTheme="majorBidi" w:hAnsiTheme="majorBidi" w:cstheme="majorBidi"/>
          <w:i/>
        </w:rPr>
        <w:t>52.</w:t>
      </w:r>
      <w:r w:rsidR="00600457">
        <w:rPr>
          <w:rFonts w:asciiTheme="majorBidi" w:hAnsiTheme="majorBidi" w:cstheme="majorBidi"/>
          <w:i/>
        </w:rPr>
        <w:t> </w:t>
      </w:r>
      <w:r w:rsidRPr="00DF2BC8">
        <w:rPr>
          <w:rFonts w:asciiTheme="majorBidi" w:hAnsiTheme="majorBidi" w:cstheme="majorBidi"/>
          <w:i/>
        </w:rPr>
        <w:t>p</w:t>
      </w:r>
      <w:r w:rsidR="00EF263D">
        <w:rPr>
          <w:rFonts w:asciiTheme="majorBidi" w:hAnsiTheme="majorBidi" w:cstheme="majorBidi"/>
          <w:i/>
        </w:rPr>
        <w:t>unkts</w:t>
      </w:r>
      <w:r w:rsidRPr="00DF2BC8">
        <w:rPr>
          <w:rFonts w:asciiTheme="majorBidi" w:hAnsiTheme="majorBidi" w:cstheme="majorBidi"/>
        </w:rPr>
        <w:t>).</w:t>
      </w:r>
    </w:p>
    <w:p w14:paraId="4FFE5F4E" w14:textId="2503F06B" w:rsidR="00DE6A39" w:rsidRPr="00DF2BC8" w:rsidRDefault="00DE6A39" w:rsidP="00BB6A67">
      <w:pPr>
        <w:spacing w:line="276" w:lineRule="auto"/>
        <w:ind w:firstLine="720"/>
        <w:jc w:val="both"/>
        <w:rPr>
          <w:rFonts w:asciiTheme="majorBidi" w:hAnsiTheme="majorBidi" w:cstheme="majorBidi"/>
        </w:rPr>
      </w:pPr>
      <w:r w:rsidRPr="00DF2BC8">
        <w:rPr>
          <w:rFonts w:asciiTheme="majorBidi" w:hAnsiTheme="majorBidi" w:cstheme="majorBidi"/>
        </w:rPr>
        <w:lastRenderedPageBreak/>
        <w:t xml:space="preserve">[11.2.2] Izskatāmajā lietā personas – liecinieka </w:t>
      </w:r>
      <w:r w:rsidR="00995A13">
        <w:t>[pers. C]</w:t>
      </w:r>
      <w:r w:rsidRPr="00DF2BC8">
        <w:rPr>
          <w:rFonts w:asciiTheme="majorBidi" w:hAnsiTheme="majorBidi" w:cstheme="majorBidi"/>
        </w:rPr>
        <w:t xml:space="preserve"> – </w:t>
      </w:r>
      <w:proofErr w:type="spellStart"/>
      <w:r w:rsidRPr="00DF2BC8">
        <w:rPr>
          <w:rFonts w:asciiTheme="majorBidi" w:hAnsiTheme="majorBidi" w:cstheme="majorBidi"/>
        </w:rPr>
        <w:t>audiokontrole</w:t>
      </w:r>
      <w:proofErr w:type="spellEnd"/>
      <w:r w:rsidRPr="00DF2BC8">
        <w:rPr>
          <w:rFonts w:asciiTheme="majorBidi" w:hAnsiTheme="majorBidi" w:cstheme="majorBidi"/>
        </w:rPr>
        <w:t xml:space="preserve"> veikta ar šīs personas rakstveida piekrišanu, pamatojoties uz procesa virzītāja lēmumu. Lēmumā procesa virzītāja ir norādījusi, ka pret </w:t>
      </w:r>
      <w:r w:rsidR="00995A13">
        <w:t>[pers. C]</w:t>
      </w:r>
      <w:r w:rsidRPr="00DF2BC8">
        <w:rPr>
          <w:rFonts w:asciiTheme="majorBidi" w:hAnsiTheme="majorBidi" w:cstheme="majorBidi"/>
        </w:rPr>
        <w:t xml:space="preserve"> tiek vērsts noziedzīgs nodarījums un viņš tiek iesaistīts noziedzīga nodarījuma, kas paredzēts Krimināllikuma 320.</w:t>
      </w:r>
      <w:r w:rsidR="00BB6A67">
        <w:rPr>
          <w:rFonts w:asciiTheme="majorBidi" w:hAnsiTheme="majorBidi" w:cstheme="majorBidi"/>
        </w:rPr>
        <w:t> </w:t>
      </w:r>
      <w:r w:rsidRPr="00DF2BC8">
        <w:rPr>
          <w:rFonts w:asciiTheme="majorBidi" w:hAnsiTheme="majorBidi" w:cstheme="majorBidi"/>
        </w:rPr>
        <w:t>pantā, izdarīšanā, kā arī</w:t>
      </w:r>
      <w:r w:rsidR="00BB6A67">
        <w:rPr>
          <w:rFonts w:asciiTheme="majorBidi" w:hAnsiTheme="majorBidi" w:cstheme="majorBidi"/>
        </w:rPr>
        <w:t>,</w:t>
      </w:r>
      <w:r w:rsidRPr="00DF2BC8">
        <w:rPr>
          <w:rFonts w:asciiTheme="majorBidi" w:hAnsiTheme="majorBidi" w:cstheme="majorBidi"/>
        </w:rPr>
        <w:t xml:space="preserve"> ievērojot to</w:t>
      </w:r>
      <w:r w:rsidR="00EF263D">
        <w:rPr>
          <w:rFonts w:asciiTheme="majorBidi" w:hAnsiTheme="majorBidi" w:cstheme="majorBidi"/>
        </w:rPr>
        <w:t>,</w:t>
      </w:r>
      <w:r w:rsidRPr="00DF2BC8">
        <w:rPr>
          <w:rFonts w:asciiTheme="majorBidi" w:hAnsiTheme="majorBidi" w:cstheme="majorBidi"/>
        </w:rPr>
        <w:t xml:space="preserve"> ka personas </w:t>
      </w:r>
      <w:proofErr w:type="spellStart"/>
      <w:r w:rsidRPr="00DF2BC8">
        <w:rPr>
          <w:rFonts w:asciiTheme="majorBidi" w:hAnsiTheme="majorBidi" w:cstheme="majorBidi"/>
        </w:rPr>
        <w:t>audiokontroles</w:t>
      </w:r>
      <w:proofErr w:type="spellEnd"/>
      <w:r w:rsidRPr="00DF2BC8">
        <w:rPr>
          <w:rFonts w:asciiTheme="majorBidi" w:hAnsiTheme="majorBidi" w:cstheme="majorBidi"/>
        </w:rPr>
        <w:t xml:space="preserve"> laikā var tikt iegūtas ziņas par pierādāmajos apstākļos ietilpstošajām ziņām un bez šīs darbības ziņu iegūšana ir apgrūtināta, nepieciešams veikt minēto speciālo izmeklēšanas darbību, pamatojoties uz Kriminālprocesa likuma 210., 212. un 222. panta otro daļu (</w:t>
      </w:r>
      <w:r w:rsidR="00BB6A67" w:rsidRPr="00F377CE">
        <w:rPr>
          <w:rFonts w:asciiTheme="majorBidi" w:hAnsiTheme="majorBidi" w:cstheme="majorBidi"/>
          <w:i/>
          <w:iCs/>
        </w:rPr>
        <w:t xml:space="preserve">lietas </w:t>
      </w:r>
      <w:r w:rsidRPr="00DF2BC8">
        <w:rPr>
          <w:rFonts w:asciiTheme="majorBidi" w:hAnsiTheme="majorBidi" w:cstheme="majorBidi"/>
          <w:i/>
        </w:rPr>
        <w:t>1.</w:t>
      </w:r>
      <w:r w:rsidR="00BB6A67">
        <w:rPr>
          <w:rFonts w:asciiTheme="majorBidi" w:hAnsiTheme="majorBidi" w:cstheme="majorBidi"/>
          <w:i/>
        </w:rPr>
        <w:t> </w:t>
      </w:r>
      <w:r w:rsidRPr="00DF2BC8">
        <w:rPr>
          <w:rFonts w:asciiTheme="majorBidi" w:hAnsiTheme="majorBidi" w:cstheme="majorBidi"/>
          <w:i/>
        </w:rPr>
        <w:t>sējuma 22.</w:t>
      </w:r>
      <w:r w:rsidR="00BB6A67">
        <w:rPr>
          <w:rFonts w:asciiTheme="majorBidi" w:hAnsiTheme="majorBidi" w:cstheme="majorBidi"/>
          <w:i/>
        </w:rPr>
        <w:t> </w:t>
      </w:r>
      <w:r w:rsidRPr="00DF2BC8">
        <w:rPr>
          <w:rFonts w:asciiTheme="majorBidi" w:hAnsiTheme="majorBidi" w:cstheme="majorBidi"/>
          <w:i/>
        </w:rPr>
        <w:t>lapa</w:t>
      </w:r>
      <w:r w:rsidRPr="00DF2BC8">
        <w:rPr>
          <w:rFonts w:asciiTheme="majorBidi" w:hAnsiTheme="majorBidi" w:cstheme="majorBidi"/>
        </w:rPr>
        <w:t>).</w:t>
      </w:r>
    </w:p>
    <w:p w14:paraId="6C9B2167" w14:textId="14D88167" w:rsidR="00DE6A39" w:rsidRPr="00DF2BC8" w:rsidRDefault="00DE6A39" w:rsidP="00995A13">
      <w:pPr>
        <w:spacing w:line="276" w:lineRule="auto"/>
        <w:ind w:firstLine="720"/>
        <w:jc w:val="both"/>
        <w:rPr>
          <w:rFonts w:asciiTheme="majorBidi" w:hAnsiTheme="majorBidi" w:cstheme="majorBidi"/>
        </w:rPr>
      </w:pPr>
      <w:r w:rsidRPr="00DF2BC8">
        <w:rPr>
          <w:rFonts w:asciiTheme="majorBidi" w:hAnsiTheme="majorBidi" w:cstheme="majorBidi"/>
        </w:rPr>
        <w:t xml:space="preserve">[11.2.3] Apelācijas instances tiesa, veicot pēckontroli pār personas </w:t>
      </w:r>
      <w:proofErr w:type="spellStart"/>
      <w:r w:rsidRPr="00DF2BC8">
        <w:rPr>
          <w:rFonts w:asciiTheme="majorBidi" w:hAnsiTheme="majorBidi" w:cstheme="majorBidi"/>
        </w:rPr>
        <w:t>audiokontroles</w:t>
      </w:r>
      <w:proofErr w:type="spellEnd"/>
      <w:r w:rsidRPr="00DF2BC8">
        <w:rPr>
          <w:rFonts w:asciiTheme="majorBidi" w:hAnsiTheme="majorBidi" w:cstheme="majorBidi"/>
        </w:rPr>
        <w:t xml:space="preserve"> tiesiskumu un atbilstību likuma prasībām, tajā skaitā veicot arī pierādījumu pieļaujamības novērtēšanu, atzinusi, ka </w:t>
      </w:r>
      <w:r w:rsidR="00995A13">
        <w:t>[pers. C]</w:t>
      </w:r>
      <w:r w:rsidRPr="00DF2BC8">
        <w:rPr>
          <w:rFonts w:asciiTheme="majorBidi" w:hAnsiTheme="majorBidi" w:cstheme="majorBidi"/>
        </w:rPr>
        <w:t xml:space="preserve"> </w:t>
      </w:r>
      <w:proofErr w:type="spellStart"/>
      <w:r w:rsidRPr="00DF2BC8">
        <w:rPr>
          <w:rFonts w:asciiTheme="majorBidi" w:hAnsiTheme="majorBidi" w:cstheme="majorBidi"/>
        </w:rPr>
        <w:t>audiokontrole</w:t>
      </w:r>
      <w:proofErr w:type="spellEnd"/>
      <w:r w:rsidRPr="00DF2BC8">
        <w:rPr>
          <w:rFonts w:asciiTheme="majorBidi" w:hAnsiTheme="majorBidi" w:cstheme="majorBidi"/>
        </w:rPr>
        <w:t xml:space="preserve"> ar viņa piekrišanu veikta atbilstoši Kriminālprocesa likuma prasībām. Apelācijas instances tiesa izvērtējusi liecinieku – policijas darbinieku – </w:t>
      </w:r>
      <w:r w:rsidR="00995A13">
        <w:rPr>
          <w:rFonts w:asciiTheme="majorBidi" w:hAnsiTheme="majorBidi" w:cstheme="majorBidi"/>
        </w:rPr>
        <w:t>[pers. D]</w:t>
      </w:r>
      <w:r w:rsidRPr="00DF2BC8">
        <w:rPr>
          <w:rFonts w:asciiTheme="majorBidi" w:hAnsiTheme="majorBidi" w:cstheme="majorBidi"/>
        </w:rPr>
        <w:t xml:space="preserve"> un </w:t>
      </w:r>
      <w:r w:rsidR="00995A13">
        <w:rPr>
          <w:rFonts w:asciiTheme="majorBidi" w:hAnsiTheme="majorBidi" w:cstheme="majorBidi"/>
        </w:rPr>
        <w:t>[pers. E]</w:t>
      </w:r>
      <w:r w:rsidRPr="00DF2BC8">
        <w:rPr>
          <w:rFonts w:asciiTheme="majorBidi" w:hAnsiTheme="majorBidi" w:cstheme="majorBidi"/>
        </w:rPr>
        <w:t xml:space="preserve">, kā arī liecinieka </w:t>
      </w:r>
      <w:r w:rsidR="00995A13">
        <w:t>[pers. C]</w:t>
      </w:r>
      <w:r w:rsidRPr="00DF2BC8">
        <w:rPr>
          <w:rFonts w:asciiTheme="majorBidi" w:hAnsiTheme="majorBidi" w:cstheme="majorBidi"/>
        </w:rPr>
        <w:t xml:space="preserve"> liecībās sniegtās ziņas par speciālās izmeklēšanas darbības norisi, arī to, ka </w:t>
      </w:r>
      <w:r w:rsidR="00995A13">
        <w:t>[pers. C]</w:t>
      </w:r>
      <w:r w:rsidRPr="00DF2BC8">
        <w:rPr>
          <w:rFonts w:asciiTheme="majorBidi" w:hAnsiTheme="majorBidi" w:cstheme="majorBidi"/>
        </w:rPr>
        <w:t xml:space="preserve"> apsūdzētajam </w:t>
      </w:r>
      <w:r w:rsidR="00995A13">
        <w:t xml:space="preserve">[pers. A] </w:t>
      </w:r>
      <w:r w:rsidRPr="00DF2BC8">
        <w:rPr>
          <w:rFonts w:asciiTheme="majorBidi" w:hAnsiTheme="majorBidi" w:cstheme="majorBidi"/>
        </w:rPr>
        <w:t xml:space="preserve">zvanījis pirmais, jo </w:t>
      </w:r>
      <w:r w:rsidR="00995A13">
        <w:t>[pers. C]</w:t>
      </w:r>
      <w:r w:rsidRPr="00DF2BC8">
        <w:rPr>
          <w:rFonts w:asciiTheme="majorBidi" w:hAnsiTheme="majorBidi" w:cstheme="majorBidi"/>
        </w:rPr>
        <w:t xml:space="preserve"> ne vienmēr uzreiz izdevies ierakstīt sarunu, tāpēc atzvanījis, lai sarunu izdotos ierakstīt. Tāpat tiesa ņēmusi vērā pārskatos par personas </w:t>
      </w:r>
      <w:proofErr w:type="spellStart"/>
      <w:r w:rsidRPr="00DF2BC8">
        <w:rPr>
          <w:rFonts w:asciiTheme="majorBidi" w:hAnsiTheme="majorBidi" w:cstheme="majorBidi"/>
        </w:rPr>
        <w:t>audiokontroli</w:t>
      </w:r>
      <w:proofErr w:type="spellEnd"/>
      <w:r w:rsidRPr="00DF2BC8">
        <w:rPr>
          <w:rFonts w:asciiTheme="majorBidi" w:hAnsiTheme="majorBidi" w:cstheme="majorBidi"/>
        </w:rPr>
        <w:t xml:space="preserve"> fiksētās ziņas, ka </w:t>
      </w:r>
      <w:r w:rsidR="00995A13">
        <w:t>[pers. A]</w:t>
      </w:r>
      <w:r w:rsidRPr="00DF2BC8">
        <w:rPr>
          <w:rFonts w:asciiTheme="majorBidi" w:hAnsiTheme="majorBidi" w:cstheme="majorBidi"/>
        </w:rPr>
        <w:t xml:space="preserve"> sniedzis ziņas par Valsts policijas aktivitātēm </w:t>
      </w:r>
      <w:r w:rsidR="0012741C">
        <w:rPr>
          <w:rFonts w:asciiTheme="majorBidi" w:hAnsiTheme="majorBidi" w:cstheme="majorBidi"/>
        </w:rPr>
        <w:t>[Nosaukums]</w:t>
      </w:r>
      <w:r w:rsidRPr="00DF2BC8">
        <w:rPr>
          <w:rFonts w:asciiTheme="majorBidi" w:hAnsiTheme="majorBidi" w:cstheme="majorBidi"/>
        </w:rPr>
        <w:t xml:space="preserve"> tirgū, norādot, ka tās saņēmis no </w:t>
      </w:r>
      <w:r w:rsidR="00995A13">
        <w:t>[pers. B]</w:t>
      </w:r>
      <w:r w:rsidRPr="00DF2BC8">
        <w:rPr>
          <w:rFonts w:asciiTheme="majorBidi" w:hAnsiTheme="majorBidi" w:cstheme="majorBidi"/>
        </w:rPr>
        <w:t xml:space="preserve">. Tiesa atzinusi, ka nav konstatējama apsūdzētā </w:t>
      </w:r>
      <w:r w:rsidR="00995A13">
        <w:t>[pers. A]</w:t>
      </w:r>
      <w:r w:rsidRPr="00DF2BC8">
        <w:rPr>
          <w:rFonts w:asciiTheme="majorBidi" w:hAnsiTheme="majorBidi" w:cstheme="majorBidi"/>
        </w:rPr>
        <w:t xml:space="preserve"> provocēšana izdarīt noziedzīgo nodarījumu.</w:t>
      </w:r>
    </w:p>
    <w:p w14:paraId="165D661B" w14:textId="69C15298" w:rsidR="00DE6A39" w:rsidRPr="00DF2BC8" w:rsidRDefault="00DE6A39" w:rsidP="009061C9">
      <w:pPr>
        <w:spacing w:line="276" w:lineRule="auto"/>
        <w:ind w:firstLine="720"/>
        <w:jc w:val="both"/>
        <w:rPr>
          <w:rFonts w:asciiTheme="majorBidi" w:hAnsiTheme="majorBidi" w:cstheme="majorBidi"/>
        </w:rPr>
      </w:pPr>
      <w:r w:rsidRPr="00DF2BC8">
        <w:rPr>
          <w:rFonts w:asciiTheme="majorBidi" w:hAnsiTheme="majorBidi" w:cstheme="majorBidi"/>
        </w:rPr>
        <w:t xml:space="preserve">Apelācijas instances tiesa arī atzinusi, ka nav konstatējama </w:t>
      </w:r>
      <w:r w:rsidR="00995A13">
        <w:t>[pers. C]</w:t>
      </w:r>
      <w:r w:rsidRPr="00DF2BC8">
        <w:rPr>
          <w:rFonts w:asciiTheme="majorBidi" w:hAnsiTheme="majorBidi" w:cstheme="majorBidi"/>
        </w:rPr>
        <w:t xml:space="preserve"> ieinteresētība apmelot apsūdzētos. Tiesa konstatējusi, ka </w:t>
      </w:r>
      <w:r w:rsidR="00995A13">
        <w:t>[pers. C]</w:t>
      </w:r>
      <w:r w:rsidRPr="00DF2BC8">
        <w:rPr>
          <w:rFonts w:asciiTheme="majorBidi" w:hAnsiTheme="majorBidi" w:cstheme="majorBidi"/>
        </w:rPr>
        <w:t xml:space="preserve"> labprātīgi paziņojis par Valsts policijas amatpersonas </w:t>
      </w:r>
      <w:r w:rsidR="00995A13">
        <w:t>[pers. A]</w:t>
      </w:r>
      <w:r w:rsidRPr="00DF2BC8">
        <w:rPr>
          <w:rFonts w:asciiTheme="majorBidi" w:hAnsiTheme="majorBidi" w:cstheme="majorBidi"/>
        </w:rPr>
        <w:t xml:space="preserve"> kukuļošanas faktu. Tāpat tiesa ņēmusi vērā liecinieka </w:t>
      </w:r>
      <w:r w:rsidR="00995A13">
        <w:rPr>
          <w:rFonts w:asciiTheme="majorBidi" w:hAnsiTheme="majorBidi" w:cstheme="majorBidi"/>
        </w:rPr>
        <w:t>[pers. D]</w:t>
      </w:r>
      <w:r w:rsidRPr="00DF2BC8">
        <w:rPr>
          <w:rFonts w:asciiTheme="majorBidi" w:hAnsiTheme="majorBidi" w:cstheme="majorBidi"/>
        </w:rPr>
        <w:t xml:space="preserve"> liecināto, ka </w:t>
      </w:r>
      <w:r w:rsidR="00995A13">
        <w:t>[pers. C]</w:t>
      </w:r>
      <w:r w:rsidRPr="00DF2BC8">
        <w:rPr>
          <w:rFonts w:asciiTheme="majorBidi" w:hAnsiTheme="majorBidi" w:cstheme="majorBidi"/>
        </w:rPr>
        <w:t xml:space="preserve">, būdams informēts, ka Valsts policijas Iekšējais drošības birojs nevar ietekmēt pret viņu uzsāktā kriminālprocesa par nelegālu cigarešu </w:t>
      </w:r>
      <w:r w:rsidR="002204AD" w:rsidRPr="00DF2BC8">
        <w:rPr>
          <w:rFonts w:asciiTheme="majorBidi" w:hAnsiTheme="majorBidi" w:cstheme="majorBidi"/>
        </w:rPr>
        <w:t>realizācij</w:t>
      </w:r>
      <w:r w:rsidR="002204AD">
        <w:rPr>
          <w:rFonts w:asciiTheme="majorBidi" w:hAnsiTheme="majorBidi" w:cstheme="majorBidi"/>
        </w:rPr>
        <w:t>u</w:t>
      </w:r>
      <w:r w:rsidR="002204AD" w:rsidRPr="00DF2BC8">
        <w:rPr>
          <w:rFonts w:asciiTheme="majorBidi" w:hAnsiTheme="majorBidi" w:cstheme="majorBidi"/>
        </w:rPr>
        <w:t xml:space="preserve"> </w:t>
      </w:r>
      <w:r w:rsidRPr="00DF2BC8">
        <w:rPr>
          <w:rFonts w:asciiTheme="majorBidi" w:hAnsiTheme="majorBidi" w:cstheme="majorBidi"/>
        </w:rPr>
        <w:t xml:space="preserve">virzību, brīvprātīgi piekritis iesaistīties speciālo izmeklēšanas darbību īstenošanā, savukārt lieciniece </w:t>
      </w:r>
      <w:r w:rsidR="00995A13">
        <w:rPr>
          <w:rFonts w:asciiTheme="majorBidi" w:hAnsiTheme="majorBidi" w:cstheme="majorBidi"/>
        </w:rPr>
        <w:t>[pers. E]</w:t>
      </w:r>
      <w:r w:rsidRPr="00DF2BC8">
        <w:rPr>
          <w:rFonts w:asciiTheme="majorBidi" w:hAnsiTheme="majorBidi" w:cstheme="majorBidi"/>
        </w:rPr>
        <w:t xml:space="preserve"> apstiprinājusi, ka nevienam neesot sniegusi ziņas par </w:t>
      </w:r>
      <w:r w:rsidR="00995A13">
        <w:t>[pers. C]</w:t>
      </w:r>
      <w:r w:rsidRPr="00DF2BC8">
        <w:rPr>
          <w:rFonts w:asciiTheme="majorBidi" w:hAnsiTheme="majorBidi" w:cstheme="majorBidi"/>
        </w:rPr>
        <w:t xml:space="preserve"> palīdzību kriminālprocesa izmeklēšanā.</w:t>
      </w:r>
    </w:p>
    <w:p w14:paraId="1822CCB0" w14:textId="77777777" w:rsidR="00DE6A39" w:rsidRPr="00DF2BC8" w:rsidRDefault="00DE6A39" w:rsidP="00DE6A39">
      <w:pPr>
        <w:spacing w:line="276" w:lineRule="auto"/>
        <w:ind w:firstLine="720"/>
        <w:jc w:val="both"/>
        <w:rPr>
          <w:rFonts w:asciiTheme="majorBidi" w:hAnsiTheme="majorBidi" w:cstheme="majorBidi"/>
        </w:rPr>
      </w:pPr>
      <w:r w:rsidRPr="00DF2BC8">
        <w:rPr>
          <w:rFonts w:asciiTheme="majorBidi" w:hAnsiTheme="majorBidi" w:cstheme="majorBidi"/>
        </w:rPr>
        <w:t>Senātam nav pamata apšaubīt apelācijas instances tiesas atzinumus.</w:t>
      </w:r>
    </w:p>
    <w:p w14:paraId="0A133C3B" w14:textId="5A0024BD" w:rsidR="00DE6A39" w:rsidRPr="00DF2BC8" w:rsidRDefault="00DE6A39" w:rsidP="00DE6A39">
      <w:pPr>
        <w:tabs>
          <w:tab w:val="left" w:pos="1710"/>
        </w:tabs>
        <w:spacing w:line="276" w:lineRule="auto"/>
        <w:ind w:firstLine="680"/>
        <w:jc w:val="both"/>
        <w:rPr>
          <w:rFonts w:asciiTheme="majorBidi" w:hAnsiTheme="majorBidi" w:cstheme="majorBidi"/>
          <w:color w:val="000000" w:themeColor="text1"/>
        </w:rPr>
      </w:pPr>
      <w:r w:rsidRPr="00DF2BC8">
        <w:rPr>
          <w:rFonts w:asciiTheme="majorBidi" w:hAnsiTheme="majorBidi" w:cstheme="majorBidi"/>
          <w:color w:val="000000" w:themeColor="text1"/>
        </w:rPr>
        <w:t>[11.3] Atbilstoši Kriminālprocesa likuma 569. pantam kasācijas instances tiesa lietu pēc būtības neizskata, lietas faktiskos apstākļus neskaidro un pierādījumus lietā no jauna neizvērtē. Kriminālprocesa likuma prasību pārkāpumus pierādījumu novērtēšanā, kas varētu būt par pamatu apelācijas instances tiesas sprieduma atcelšanai šajā daļā, Senāts nekonstatē</w:t>
      </w:r>
      <w:r w:rsidR="002204AD">
        <w:rPr>
          <w:rFonts w:asciiTheme="majorBidi" w:hAnsiTheme="majorBidi" w:cstheme="majorBidi"/>
          <w:color w:val="000000" w:themeColor="text1"/>
        </w:rPr>
        <w:t>.</w:t>
      </w:r>
      <w:r w:rsidRPr="00DF2BC8">
        <w:rPr>
          <w:rFonts w:asciiTheme="majorBidi" w:hAnsiTheme="majorBidi" w:cstheme="majorBidi"/>
          <w:color w:val="000000" w:themeColor="text1"/>
        </w:rPr>
        <w:t xml:space="preserve"> </w:t>
      </w:r>
      <w:r w:rsidR="002204AD">
        <w:rPr>
          <w:rFonts w:asciiTheme="majorBidi" w:hAnsiTheme="majorBidi" w:cstheme="majorBidi"/>
          <w:color w:val="000000" w:themeColor="text1"/>
        </w:rPr>
        <w:t>S</w:t>
      </w:r>
      <w:r w:rsidR="002204AD" w:rsidRPr="00DF2BC8">
        <w:rPr>
          <w:rFonts w:asciiTheme="majorBidi" w:hAnsiTheme="majorBidi" w:cstheme="majorBidi"/>
          <w:color w:val="000000" w:themeColor="text1"/>
        </w:rPr>
        <w:t xml:space="preserve">avukārt </w:t>
      </w:r>
      <w:r w:rsidRPr="00DF2BC8">
        <w:rPr>
          <w:rFonts w:asciiTheme="majorBidi" w:hAnsiTheme="majorBidi" w:cstheme="majorBidi"/>
          <w:color w:val="000000" w:themeColor="text1"/>
        </w:rPr>
        <w:t xml:space="preserve">apsūdzētā </w:t>
      </w:r>
      <w:r w:rsidR="007A0A61">
        <w:t>[pers. A]</w:t>
      </w:r>
      <w:r w:rsidRPr="00DF2BC8">
        <w:rPr>
          <w:rFonts w:asciiTheme="majorBidi" w:hAnsiTheme="majorBidi" w:cstheme="majorBidi"/>
          <w:color w:val="000000" w:themeColor="text1"/>
        </w:rPr>
        <w:t xml:space="preserve"> un viņa aizstāves subjektīvais viedoklis par lietā esošo pierādījumu novērtējumu, ja tiesa pierādījumu novērtēšanā nav pieļāvusi Kriminālprocesa likuma būtiskus pārkāpumus, nevar būt par pamatu apelācijas instances tiesas nolēmuma atcelšanai. </w:t>
      </w:r>
    </w:p>
    <w:bookmarkEnd w:id="0"/>
    <w:p w14:paraId="1EFA5111" w14:textId="77777777" w:rsidR="00DE6A39" w:rsidRPr="00DF2BC8" w:rsidRDefault="00DE6A39" w:rsidP="00DE6A39">
      <w:pPr>
        <w:tabs>
          <w:tab w:val="left" w:pos="1710"/>
        </w:tabs>
        <w:spacing w:line="276" w:lineRule="auto"/>
        <w:ind w:firstLine="680"/>
        <w:jc w:val="both"/>
        <w:rPr>
          <w:rFonts w:asciiTheme="majorBidi" w:hAnsiTheme="majorBidi" w:cstheme="majorBidi"/>
        </w:rPr>
      </w:pPr>
    </w:p>
    <w:p w14:paraId="0404C468" w14:textId="61F0FFAB"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[12] Senātam jāsniedz atbilde uz jautājumu, vai apelācijas instances tiesa spriedumā drīkst atsaukties uz lēmumā par lietas nodošanu</w:t>
      </w:r>
      <w:r w:rsidR="00600457">
        <w:rPr>
          <w:rFonts w:asciiTheme="majorBidi" w:hAnsiTheme="majorBidi" w:cstheme="majorBidi"/>
        </w:rPr>
        <w:t xml:space="preserve"> tiesai</w:t>
      </w:r>
      <w:r w:rsidRPr="00DF2BC8">
        <w:rPr>
          <w:rFonts w:asciiTheme="majorBidi" w:hAnsiTheme="majorBidi" w:cstheme="majorBidi"/>
        </w:rPr>
        <w:t xml:space="preserve"> norādītu pierādījumu – apskates </w:t>
      </w:r>
      <w:r w:rsidR="002204AD" w:rsidRPr="00DF2BC8">
        <w:rPr>
          <w:rFonts w:asciiTheme="majorBidi" w:hAnsiTheme="majorBidi" w:cstheme="majorBidi"/>
        </w:rPr>
        <w:t>protokolu</w:t>
      </w:r>
      <w:r w:rsidR="002204AD">
        <w:rPr>
          <w:rFonts w:asciiTheme="majorBidi" w:hAnsiTheme="majorBidi" w:cstheme="majorBidi"/>
        </w:rPr>
        <w:t> </w:t>
      </w:r>
      <w:r w:rsidRPr="00DF2BC8">
        <w:rPr>
          <w:rFonts w:asciiTheme="majorBidi" w:hAnsiTheme="majorBidi" w:cstheme="majorBidi"/>
        </w:rPr>
        <w:t>–</w:t>
      </w:r>
      <w:r w:rsidR="0008460B">
        <w:rPr>
          <w:rFonts w:asciiTheme="majorBidi" w:hAnsiTheme="majorBidi" w:cstheme="majorBidi"/>
        </w:rPr>
        <w:t> </w:t>
      </w:r>
      <w:r w:rsidRPr="00DF2BC8">
        <w:rPr>
          <w:rFonts w:asciiTheme="majorBidi" w:hAnsiTheme="majorBidi" w:cstheme="majorBidi"/>
        </w:rPr>
        <w:t>, ja prokurore apelācijas protestā uz to tieši nav atsaukusies.</w:t>
      </w:r>
    </w:p>
    <w:p w14:paraId="45EF8B58" w14:textId="14201231" w:rsidR="00DE6A39" w:rsidRPr="00DF2BC8" w:rsidRDefault="00DE6A39" w:rsidP="00DE6A39">
      <w:pPr>
        <w:widowControl w:val="0"/>
        <w:spacing w:line="276" w:lineRule="auto"/>
        <w:ind w:firstLine="720"/>
        <w:jc w:val="both"/>
        <w:rPr>
          <w:rFonts w:asciiTheme="majorBidi" w:hAnsiTheme="majorBidi" w:cstheme="majorBidi"/>
        </w:rPr>
      </w:pPr>
      <w:r w:rsidRPr="00DF2BC8">
        <w:rPr>
          <w:rFonts w:asciiTheme="majorBidi" w:hAnsiTheme="majorBidi" w:cstheme="majorBidi"/>
        </w:rPr>
        <w:t xml:space="preserve">[12.1] Prokurore par pirmās instances tiesas spriedumu, ar kuru apsūdzētie </w:t>
      </w:r>
      <w:r w:rsidR="007A0A61">
        <w:t>[pers. A]</w:t>
      </w:r>
      <w:r w:rsidRPr="00DF2BC8">
        <w:rPr>
          <w:rFonts w:asciiTheme="majorBidi" w:hAnsiTheme="majorBidi" w:cstheme="majorBidi"/>
        </w:rPr>
        <w:t xml:space="preserve"> un </w:t>
      </w:r>
      <w:r w:rsidR="007A0A61">
        <w:t>[pers. B]</w:t>
      </w:r>
      <w:r w:rsidRPr="00DF2BC8">
        <w:rPr>
          <w:rFonts w:asciiTheme="majorBidi" w:hAnsiTheme="majorBidi" w:cstheme="majorBidi"/>
        </w:rPr>
        <w:t xml:space="preserve"> atzīti par vainīgiem un sodīti pēc Krimināllikuma 320. panta pirmās daļas, iesniegusi apelācijas protestu, kurā lūgusi apsūdzētos atzīt par vainīgiem un sodīt pēc </w:t>
      </w:r>
      <w:r w:rsidRPr="00DF2BC8">
        <w:rPr>
          <w:rFonts w:asciiTheme="majorBidi" w:hAnsiTheme="majorBidi" w:cstheme="majorBidi"/>
        </w:rPr>
        <w:lastRenderedPageBreak/>
        <w:t>Krimināllikuma 320. panta trešās daļas.</w:t>
      </w:r>
    </w:p>
    <w:p w14:paraId="11C18657" w14:textId="77777777" w:rsidR="00DE6A39" w:rsidRPr="00DF2BC8" w:rsidRDefault="00DE6A39" w:rsidP="00DE6A39">
      <w:pPr>
        <w:widowControl w:val="0"/>
        <w:spacing w:line="276" w:lineRule="auto"/>
        <w:ind w:firstLine="720"/>
        <w:jc w:val="both"/>
        <w:rPr>
          <w:rFonts w:asciiTheme="majorBidi" w:hAnsiTheme="majorBidi" w:cstheme="majorBidi"/>
        </w:rPr>
      </w:pPr>
      <w:r w:rsidRPr="00DF2BC8">
        <w:rPr>
          <w:rFonts w:asciiTheme="majorBidi" w:hAnsiTheme="majorBidi" w:cstheme="majorBidi"/>
        </w:rPr>
        <w:t>Prokurore apelācijas protestā norādījusi, ka apelācijas instances tiesā pārbaudāmi pierādījumi, kuri norādīti lēmumā par krimināllietas nodošanu tiesai, un pirmās instances tiesas sēžu protokoli.</w:t>
      </w:r>
    </w:p>
    <w:p w14:paraId="484B6323" w14:textId="27C51B8E" w:rsidR="00DE6A39" w:rsidRPr="00DF2BC8" w:rsidRDefault="00DE6A39" w:rsidP="00DE6A39">
      <w:pPr>
        <w:widowControl w:val="0"/>
        <w:spacing w:line="276" w:lineRule="auto"/>
        <w:ind w:firstLine="720"/>
        <w:jc w:val="both"/>
        <w:rPr>
          <w:rFonts w:asciiTheme="majorBidi" w:hAnsiTheme="majorBidi" w:cstheme="majorBidi"/>
        </w:rPr>
      </w:pPr>
      <w:r w:rsidRPr="00DF2BC8">
        <w:rPr>
          <w:rFonts w:asciiTheme="majorBidi" w:hAnsiTheme="majorBidi" w:cstheme="majorBidi"/>
        </w:rPr>
        <w:t>[12.2] </w:t>
      </w:r>
      <w:r w:rsidRPr="00DF2BC8">
        <w:rPr>
          <w:rFonts w:asciiTheme="majorBidi" w:hAnsiTheme="majorBidi" w:cstheme="majorBidi"/>
          <w:bCs/>
        </w:rPr>
        <w:t xml:space="preserve">Senāts no lietas materiāliem konstatē, ka </w:t>
      </w:r>
      <w:r w:rsidR="002204AD" w:rsidRPr="00DF2BC8">
        <w:rPr>
          <w:rFonts w:asciiTheme="majorBidi" w:hAnsiTheme="majorBidi" w:cstheme="majorBidi"/>
          <w:bCs/>
        </w:rPr>
        <w:t xml:space="preserve">prokurore </w:t>
      </w:r>
      <w:r w:rsidRPr="00DF2BC8">
        <w:rPr>
          <w:rFonts w:asciiTheme="majorBidi" w:hAnsiTheme="majorBidi" w:cstheme="majorBidi"/>
          <w:bCs/>
        </w:rPr>
        <w:t>lēmumā par krimināllietas nodošanu tiesai ir norādījusi pierādījumus, kas tiks izmantoti tiesā, tai skaitā prokurore norādījusi arī apskates protokolu (</w:t>
      </w:r>
      <w:r w:rsidR="002204AD" w:rsidRPr="00F377CE">
        <w:rPr>
          <w:rFonts w:asciiTheme="majorBidi" w:hAnsiTheme="majorBidi" w:cstheme="majorBidi"/>
          <w:bCs/>
          <w:i/>
          <w:iCs/>
        </w:rPr>
        <w:t xml:space="preserve">lietas </w:t>
      </w:r>
      <w:r w:rsidRPr="00F377CE">
        <w:rPr>
          <w:rFonts w:asciiTheme="majorBidi" w:hAnsiTheme="majorBidi" w:cstheme="majorBidi"/>
          <w:bCs/>
          <w:i/>
          <w:iCs/>
        </w:rPr>
        <w:t>3.</w:t>
      </w:r>
      <w:r w:rsidR="002204AD" w:rsidRPr="00F377CE">
        <w:rPr>
          <w:rFonts w:asciiTheme="majorBidi" w:hAnsiTheme="majorBidi" w:cstheme="majorBidi"/>
          <w:bCs/>
          <w:i/>
          <w:iCs/>
        </w:rPr>
        <w:t> </w:t>
      </w:r>
      <w:r w:rsidRPr="00F377CE">
        <w:rPr>
          <w:rFonts w:asciiTheme="majorBidi" w:hAnsiTheme="majorBidi" w:cstheme="majorBidi"/>
          <w:bCs/>
          <w:i/>
          <w:iCs/>
        </w:rPr>
        <w:t>sējuma 101.</w:t>
      </w:r>
      <w:r w:rsidR="002204AD" w:rsidRPr="00F377CE">
        <w:rPr>
          <w:rFonts w:asciiTheme="majorBidi" w:hAnsiTheme="majorBidi" w:cstheme="majorBidi"/>
          <w:i/>
          <w:iCs/>
        </w:rPr>
        <w:t>–</w:t>
      </w:r>
      <w:r w:rsidRPr="00F377CE">
        <w:rPr>
          <w:rFonts w:asciiTheme="majorBidi" w:hAnsiTheme="majorBidi" w:cstheme="majorBidi"/>
          <w:bCs/>
          <w:i/>
          <w:iCs/>
        </w:rPr>
        <w:t>103. </w:t>
      </w:r>
      <w:r w:rsidR="002204AD" w:rsidRPr="00F377CE">
        <w:rPr>
          <w:rFonts w:asciiTheme="majorBidi" w:hAnsiTheme="majorBidi" w:cstheme="majorBidi"/>
          <w:bCs/>
          <w:i/>
          <w:iCs/>
        </w:rPr>
        <w:t>lapa</w:t>
      </w:r>
      <w:r w:rsidRPr="00DF2BC8">
        <w:rPr>
          <w:rFonts w:asciiTheme="majorBidi" w:hAnsiTheme="majorBidi" w:cstheme="majorBidi"/>
          <w:bCs/>
        </w:rPr>
        <w:t>). Ne pirmās, ne apelācijas instances tiesā personas</w:t>
      </w:r>
      <w:r w:rsidRPr="00DF2BC8">
        <w:rPr>
          <w:rFonts w:asciiTheme="majorBidi" w:hAnsiTheme="majorBidi" w:cstheme="majorBidi"/>
        </w:rPr>
        <w:t>, kuras īsteno aizstāvību, un prokurore nav lūguši nolasīt attiecīgo protokolu.</w:t>
      </w:r>
    </w:p>
    <w:p w14:paraId="0F272403" w14:textId="77777777" w:rsidR="00DE6A39" w:rsidRPr="00DF2BC8" w:rsidRDefault="00DE6A39" w:rsidP="00DE6A39">
      <w:pPr>
        <w:widowControl w:val="0"/>
        <w:spacing w:line="276" w:lineRule="auto"/>
        <w:ind w:firstLine="720"/>
        <w:jc w:val="both"/>
        <w:rPr>
          <w:rFonts w:asciiTheme="majorBidi" w:hAnsiTheme="majorBidi" w:cstheme="majorBidi"/>
        </w:rPr>
      </w:pPr>
      <w:r w:rsidRPr="00DF2BC8">
        <w:rPr>
          <w:rFonts w:asciiTheme="majorBidi" w:hAnsiTheme="majorBidi" w:cstheme="majorBidi"/>
          <w:bCs/>
        </w:rPr>
        <w:t xml:space="preserve">[12.3] Kriminālprocesa likuma 512. panta otrā daļa (likuma redakcijā, kas bija spēkā laikā, kad lieta tika izskatīta apelācijas instances tiesā) noteica, ka tiesa spriedumu pamato ar: 1) pierādījumiem, kuri pārbaudīti tiesas sēdē; 2) pierādījumiem, kurus saskaņā ar šā likuma 125. panta noteikumiem nav nepieciešams pārbaudīt; 3) rakstveida pierādījumiem un dokumentiem, kuri norādīti lēmumā par krimināllietas nodošanu tiesai; 4) ziņām, kas fiksētas konkrētajā kriminālprocesā agrāk sniegtajās liecībās, ja aizstāvība piekritusi šo liecību izmantošanai; 5) personas, kura tiesas sēdē sniedza liecības, konkrētajā </w:t>
      </w:r>
      <w:proofErr w:type="spellStart"/>
      <w:r w:rsidRPr="00DF2BC8">
        <w:rPr>
          <w:rFonts w:asciiTheme="majorBidi" w:hAnsiTheme="majorBidi" w:cstheme="majorBidi"/>
          <w:bCs/>
        </w:rPr>
        <w:t>pirmstiesas</w:t>
      </w:r>
      <w:proofErr w:type="spellEnd"/>
      <w:r w:rsidRPr="00DF2BC8">
        <w:rPr>
          <w:rFonts w:asciiTheme="majorBidi" w:hAnsiTheme="majorBidi" w:cstheme="majorBidi"/>
          <w:bCs/>
        </w:rPr>
        <w:t xml:space="preserve"> kriminālprocesā sniegtajām ziņām.</w:t>
      </w:r>
    </w:p>
    <w:p w14:paraId="6B9D48F3" w14:textId="77777777"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 xml:space="preserve">Savukārt Kriminālprocesa likuma 449. panta trešā daļa noteic, ka rakstveida pierādījumus un citus dokumentus, kas attiecas uz pierādīšanas priekšmetu, tiesas sēdē nolasa vai atskaņo pilnībā vai daļēji, ja persona, kura īsteno aizstāvību, prokurors, cietušais vai viņa pārstāvis un kriminālprocesā aizskartais mantas īpašnieks, kura mantai uzlikts arests, pieteicis šādu lūgumu. </w:t>
      </w:r>
    </w:p>
    <w:p w14:paraId="0C048585" w14:textId="77777777"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Tas nozīmē, ka rakstveida pierādījumu un citu dokumentu nolasīšana nav priekšnoteikums, lai šos pierādījumus varētu izmantot, izspriežot lietu un pamatojot spriedumu.</w:t>
      </w:r>
    </w:p>
    <w:p w14:paraId="248300E1" w14:textId="77777777"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bCs/>
        </w:rPr>
      </w:pPr>
      <w:r w:rsidRPr="00DF2BC8">
        <w:rPr>
          <w:rFonts w:asciiTheme="majorBidi" w:hAnsiTheme="majorBidi" w:cstheme="majorBidi"/>
          <w:color w:val="000000" w:themeColor="text1"/>
        </w:rPr>
        <w:t xml:space="preserve">No minētajām tiesību normām izriet, </w:t>
      </w:r>
      <w:r w:rsidRPr="00DF2BC8">
        <w:rPr>
          <w:rFonts w:asciiTheme="majorBidi" w:hAnsiTheme="majorBidi" w:cstheme="majorBidi"/>
        </w:rPr>
        <w:t xml:space="preserve">ka tiesa spriedumu var pamatot arī ar </w:t>
      </w:r>
      <w:r w:rsidRPr="00DF2BC8">
        <w:rPr>
          <w:rFonts w:asciiTheme="majorBidi" w:hAnsiTheme="majorBidi" w:cstheme="majorBidi"/>
          <w:bCs/>
        </w:rPr>
        <w:t xml:space="preserve">rakstveida pierādījumiem un dokumentiem, kuri norādīti lēmumā par krimināllietas nodošanu tiesai, pat ja neviens nav pieteicis lūgumu par šo pierādījumu nolasīšanu vai atskaņošanu. </w:t>
      </w:r>
    </w:p>
    <w:p w14:paraId="50C58F1B" w14:textId="22055385"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bCs/>
        </w:rPr>
      </w:pPr>
      <w:r w:rsidRPr="00DF2BC8">
        <w:rPr>
          <w:rFonts w:asciiTheme="majorBidi" w:hAnsiTheme="majorBidi" w:cstheme="majorBidi"/>
        </w:rPr>
        <w:t>[12.4] </w:t>
      </w:r>
      <w:r w:rsidRPr="00DF2BC8">
        <w:rPr>
          <w:rFonts w:asciiTheme="majorBidi" w:hAnsiTheme="majorBidi" w:cstheme="majorBidi"/>
          <w:bCs/>
        </w:rPr>
        <w:t xml:space="preserve">Ievērojot minēto, Senāts atzīst, </w:t>
      </w:r>
      <w:r w:rsidRPr="00DF2BC8">
        <w:rPr>
          <w:rFonts w:asciiTheme="majorBidi" w:hAnsiTheme="majorBidi" w:cstheme="majorBidi"/>
          <w:color w:val="000000" w:themeColor="text1"/>
        </w:rPr>
        <w:t xml:space="preserve">ja </w:t>
      </w:r>
      <w:r w:rsidRPr="00DF2BC8">
        <w:rPr>
          <w:rFonts w:asciiTheme="majorBidi" w:hAnsiTheme="majorBidi" w:cstheme="majorBidi"/>
        </w:rPr>
        <w:t xml:space="preserve">apskates protokols </w:t>
      </w:r>
      <w:r w:rsidRPr="00DF2BC8">
        <w:rPr>
          <w:rFonts w:asciiTheme="majorBidi" w:hAnsiTheme="majorBidi" w:cstheme="majorBidi"/>
          <w:color w:val="000000" w:themeColor="text1"/>
        </w:rPr>
        <w:t xml:space="preserve">ir norādīts lēmumā par krimināllietas nodošanu tiesai, tad saskaņā ar Kriminālprocesa likuma 512. panta otro daļu </w:t>
      </w:r>
      <w:r w:rsidRPr="00DF2BC8">
        <w:rPr>
          <w:rFonts w:asciiTheme="majorBidi" w:hAnsiTheme="majorBidi" w:cstheme="majorBidi"/>
        </w:rPr>
        <w:t xml:space="preserve">tiesa spriedumu var pamatot ar </w:t>
      </w:r>
      <w:r w:rsidRPr="00DF2BC8">
        <w:rPr>
          <w:rFonts w:asciiTheme="majorBidi" w:hAnsiTheme="majorBidi" w:cstheme="majorBidi"/>
          <w:color w:val="000000" w:themeColor="text1"/>
        </w:rPr>
        <w:t xml:space="preserve">tajā norādītajām ziņām arī tad, ja tās </w:t>
      </w:r>
      <w:r w:rsidRPr="00DF2BC8">
        <w:rPr>
          <w:rFonts w:asciiTheme="majorBidi" w:hAnsiTheme="majorBidi" w:cstheme="majorBidi"/>
        </w:rPr>
        <w:t>netika</w:t>
      </w:r>
      <w:r w:rsidR="000E42C8">
        <w:rPr>
          <w:rFonts w:asciiTheme="majorBidi" w:hAnsiTheme="majorBidi" w:cstheme="majorBidi"/>
        </w:rPr>
        <w:t xml:space="preserve"> </w:t>
      </w:r>
      <w:r w:rsidR="002204AD">
        <w:rPr>
          <w:rFonts w:asciiTheme="majorBidi" w:hAnsiTheme="majorBidi" w:cstheme="majorBidi"/>
        </w:rPr>
        <w:t>nolasītas</w:t>
      </w:r>
      <w:r w:rsidRPr="00DF2BC8">
        <w:rPr>
          <w:rFonts w:asciiTheme="majorBidi" w:hAnsiTheme="majorBidi" w:cstheme="majorBidi"/>
        </w:rPr>
        <w:t xml:space="preserve"> tiesas sēdē</w:t>
      </w:r>
      <w:r w:rsidRPr="00DF2BC8">
        <w:rPr>
          <w:rFonts w:asciiTheme="majorBidi" w:hAnsiTheme="majorBidi" w:cstheme="majorBidi"/>
          <w:color w:val="000000" w:themeColor="text1"/>
        </w:rPr>
        <w:t xml:space="preserve">. </w:t>
      </w:r>
      <w:r w:rsidRPr="00DF2BC8">
        <w:rPr>
          <w:rFonts w:asciiTheme="majorBidi" w:hAnsiTheme="majorBidi" w:cstheme="majorBidi"/>
          <w:bCs/>
        </w:rPr>
        <w:t xml:space="preserve">Tādējādi Senāts atzīst par nepamatotu apsūdzētā </w:t>
      </w:r>
      <w:r w:rsidR="007A0A61">
        <w:t>[pers. B]</w:t>
      </w:r>
      <w:r w:rsidRPr="00DF2BC8">
        <w:rPr>
          <w:rFonts w:asciiTheme="majorBidi" w:hAnsiTheme="majorBidi" w:cstheme="majorBidi"/>
        </w:rPr>
        <w:t xml:space="preserve"> aizstāvja</w:t>
      </w:r>
      <w:r w:rsidRPr="00DF2BC8">
        <w:rPr>
          <w:rFonts w:asciiTheme="majorBidi" w:hAnsiTheme="majorBidi" w:cstheme="majorBidi"/>
          <w:bCs/>
        </w:rPr>
        <w:t xml:space="preserve"> norādi kasācijas sūdzībā, ka apelācijas instances tiesa, izskatot apelācijas protestu, pieļāvusi Kriminālprocesa likuma pārkāpumu, jo izmantojusi sprieduma pamatošanā ziņas, kuras prokurors nav lūdzis pārbaudīt tiesas sēdē.</w:t>
      </w:r>
    </w:p>
    <w:p w14:paraId="460FD0B5" w14:textId="77777777"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bCs/>
        </w:rPr>
      </w:pPr>
    </w:p>
    <w:p w14:paraId="67C677AF" w14:textId="2615A8EE"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DF2BC8">
        <w:rPr>
          <w:rFonts w:asciiTheme="majorBidi" w:hAnsiTheme="majorBidi" w:cstheme="majorBidi"/>
        </w:rPr>
        <w:t>[13</w:t>
      </w:r>
      <w:r w:rsidR="000E42C8" w:rsidRPr="00DF2BC8">
        <w:rPr>
          <w:rFonts w:asciiTheme="majorBidi" w:hAnsiTheme="majorBidi" w:cstheme="majorBidi"/>
        </w:rPr>
        <w:t>]</w:t>
      </w:r>
      <w:r w:rsidR="000E42C8">
        <w:rPr>
          <w:rFonts w:asciiTheme="majorBidi" w:hAnsiTheme="majorBidi" w:cstheme="majorBidi"/>
        </w:rPr>
        <w:t> </w:t>
      </w:r>
      <w:r w:rsidRPr="00DF2BC8">
        <w:rPr>
          <w:rFonts w:asciiTheme="majorBidi" w:hAnsiTheme="majorBidi" w:cstheme="majorBidi"/>
        </w:rPr>
        <w:t xml:space="preserve">Senātam jāsniedz atbilde, vai </w:t>
      </w:r>
      <w:r w:rsidRPr="00DF2BC8">
        <w:rPr>
          <w:rFonts w:asciiTheme="majorBidi" w:hAnsiTheme="majorBidi" w:cstheme="majorBidi"/>
          <w:color w:val="000000" w:themeColor="text1"/>
        </w:rPr>
        <w:t xml:space="preserve">apsūdzētā </w:t>
      </w:r>
      <w:r w:rsidR="007A0A61">
        <w:t>[pers. B]</w:t>
      </w:r>
      <w:r w:rsidRPr="00DF2BC8">
        <w:rPr>
          <w:rFonts w:asciiTheme="majorBidi" w:hAnsiTheme="majorBidi" w:cstheme="majorBidi"/>
          <w:color w:val="000000" w:themeColor="text1"/>
        </w:rPr>
        <w:t xml:space="preserve"> aizstāvja norādes par apelācijas instances tiesas pieļautiem pārkāpumiem, kas iekļautas lēmuma 6.1., 6.2. un 6.5</w:t>
      </w:r>
      <w:r w:rsidR="000E42C8" w:rsidRPr="00DF2BC8">
        <w:rPr>
          <w:rFonts w:asciiTheme="majorBidi" w:hAnsiTheme="majorBidi" w:cstheme="majorBidi"/>
          <w:color w:val="000000" w:themeColor="text1"/>
        </w:rPr>
        <w:t>.</w:t>
      </w:r>
      <w:r w:rsidR="000E42C8">
        <w:rPr>
          <w:rFonts w:asciiTheme="majorBidi" w:hAnsiTheme="majorBidi" w:cstheme="majorBidi"/>
          <w:color w:val="000000" w:themeColor="text1"/>
        </w:rPr>
        <w:t> </w:t>
      </w:r>
      <w:r w:rsidRPr="00DF2BC8">
        <w:rPr>
          <w:rFonts w:asciiTheme="majorBidi" w:hAnsiTheme="majorBidi" w:cstheme="majorBidi"/>
          <w:color w:val="000000" w:themeColor="text1"/>
        </w:rPr>
        <w:t xml:space="preserve">punktā, ir pamatotas atbilstoši Kriminālprocesa </w:t>
      </w:r>
      <w:r w:rsidR="000E42C8" w:rsidRPr="00DF2BC8">
        <w:rPr>
          <w:rFonts w:asciiTheme="majorBidi" w:hAnsiTheme="majorBidi" w:cstheme="majorBidi"/>
          <w:color w:val="000000" w:themeColor="text1"/>
        </w:rPr>
        <w:t>likum</w:t>
      </w:r>
      <w:r w:rsidR="000E42C8">
        <w:rPr>
          <w:rFonts w:asciiTheme="majorBidi" w:hAnsiTheme="majorBidi" w:cstheme="majorBidi"/>
          <w:color w:val="000000" w:themeColor="text1"/>
        </w:rPr>
        <w:t>ā</w:t>
      </w:r>
      <w:r w:rsidR="000E42C8" w:rsidRPr="00DF2BC8">
        <w:rPr>
          <w:rFonts w:asciiTheme="majorBidi" w:hAnsiTheme="majorBidi" w:cstheme="majorBidi"/>
          <w:color w:val="000000" w:themeColor="text1"/>
        </w:rPr>
        <w:t xml:space="preserve"> </w:t>
      </w:r>
      <w:r w:rsidRPr="00DF2BC8">
        <w:rPr>
          <w:rFonts w:asciiTheme="majorBidi" w:hAnsiTheme="majorBidi" w:cstheme="majorBidi"/>
          <w:color w:val="000000" w:themeColor="text1"/>
        </w:rPr>
        <w:t>noteiktajam.</w:t>
      </w:r>
    </w:p>
    <w:p w14:paraId="43EA5CCD" w14:textId="2B748EDC" w:rsidR="00DE6A39" w:rsidRPr="00DF2BC8" w:rsidRDefault="00DE6A39" w:rsidP="00DE6A39">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DF2BC8">
        <w:rPr>
          <w:rFonts w:asciiTheme="majorBidi" w:hAnsiTheme="majorBidi" w:cstheme="majorBidi"/>
        </w:rPr>
        <w:t>[13.1] </w:t>
      </w:r>
      <w:r w:rsidRPr="00DF2BC8">
        <w:rPr>
          <w:rFonts w:asciiTheme="majorBidi" w:hAnsiTheme="majorBidi" w:cstheme="majorBidi"/>
          <w:color w:val="000000" w:themeColor="text1"/>
        </w:rPr>
        <w:t>Kriminālprocesa likuma 573. panta pirmā daļa noteic, ka nolēmumu tiesiskumu kasācijas kārtībā pārbauda tikai tādā gadījumā, ja kasācijas sūdzībā vai protestā izteiktā prasība pamatota ar</w:t>
      </w:r>
      <w:r w:rsidR="000E42C8">
        <w:rPr>
          <w:rFonts w:asciiTheme="majorBidi" w:hAnsiTheme="majorBidi" w:cstheme="majorBidi"/>
          <w:color w:val="000000" w:themeColor="text1"/>
        </w:rPr>
        <w:t xml:space="preserve"> </w:t>
      </w:r>
      <w:r w:rsidRPr="00DF2BC8">
        <w:rPr>
          <w:rFonts w:asciiTheme="majorBidi" w:hAnsiTheme="majorBidi" w:cstheme="majorBidi"/>
          <w:color w:val="000000" w:themeColor="text1"/>
        </w:rPr>
        <w:t>Krimināllikuma</w:t>
      </w:r>
      <w:r w:rsidR="000E42C8">
        <w:rPr>
          <w:rFonts w:asciiTheme="majorBidi" w:hAnsiTheme="majorBidi" w:cstheme="majorBidi"/>
          <w:color w:val="000000" w:themeColor="text1"/>
        </w:rPr>
        <w:t xml:space="preserve"> </w:t>
      </w:r>
      <w:r w:rsidRPr="00DF2BC8">
        <w:rPr>
          <w:rFonts w:asciiTheme="majorBidi" w:hAnsiTheme="majorBidi" w:cstheme="majorBidi"/>
          <w:color w:val="000000" w:themeColor="text1"/>
        </w:rPr>
        <w:t>pārkāpumu vai šā likuma būtisku pārkāpumu.</w:t>
      </w:r>
    </w:p>
    <w:p w14:paraId="7D93B1D3" w14:textId="77777777" w:rsidR="004B77C8" w:rsidRDefault="00DE6A39" w:rsidP="004B77C8">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DF2BC8">
        <w:rPr>
          <w:rFonts w:asciiTheme="majorBidi" w:hAnsiTheme="majorBidi" w:cstheme="majorBidi"/>
          <w:color w:val="000000" w:themeColor="text1"/>
        </w:rPr>
        <w:lastRenderedPageBreak/>
        <w:t>Kriminālprocesa likuma 575. panta pirmā daļa nosaka, kas ir atzīstami par Kriminālprocesa likuma būtiskiem pārkāpumiem, kas katrā ziņā izraisa tiesas nolēmuma atcelšanu. Savukārt saskaņā ar minētā panta trešo daļu par šā likuma būtisku pārkāpumu var atzīt arī citus Kriminālprocesa likuma pārkāpumus, kas noveduši pie nelikumīga vai netaisnīga nolēmuma.</w:t>
      </w:r>
      <w:r w:rsidR="004B77C8">
        <w:rPr>
          <w:rFonts w:asciiTheme="majorBidi" w:hAnsiTheme="majorBidi" w:cstheme="majorBidi"/>
          <w:color w:val="000000" w:themeColor="text1"/>
        </w:rPr>
        <w:t xml:space="preserve"> </w:t>
      </w:r>
    </w:p>
    <w:p w14:paraId="0C6FA043" w14:textId="77777777" w:rsidR="004B77C8" w:rsidRDefault="00DE6A39" w:rsidP="004B77C8">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Senāts jau agrāk ir norādījis, ka atbilstoši Kriminālprocesa likuma 575. panta trešajai daļai procesuāls pārkāpums var būt pamats nolēmuma pārsūdzēšanai kasācijas kārtībā, ja šis pārkāpums novedis pie nelikumīga nolēmuma. Procesuāla rakstura kļūdas un to ietekme uz nolēmuma likumīgumu ir vērtējamas saprātīgi, samērīgi un taisnīgi. Lai zemākas instances tiesas nolēmumu atzītu par nelikumīgu procesuāla pārkāpuma dēļ, jābūt pamatotām šaubām, ka gadījumā, ja procesuālā kārtība tiktu ievērota, tiktu pieņemts atšķirīgs nolēmums (</w:t>
      </w:r>
      <w:r w:rsidR="000E42C8" w:rsidRPr="00F377CE">
        <w:rPr>
          <w:rFonts w:asciiTheme="majorBidi" w:hAnsiTheme="majorBidi" w:cstheme="majorBidi"/>
          <w:i/>
          <w:iCs/>
        </w:rPr>
        <w:t xml:space="preserve">Senāta 2020. gada 30. oktobra </w:t>
      </w:r>
      <w:r w:rsidR="001C033C" w:rsidRPr="00F377CE">
        <w:rPr>
          <w:rFonts w:asciiTheme="majorBidi" w:hAnsiTheme="majorBidi" w:cstheme="majorBidi"/>
          <w:i/>
          <w:iCs/>
        </w:rPr>
        <w:t xml:space="preserve">lēmuma </w:t>
      </w:r>
      <w:r w:rsidRPr="00F377CE">
        <w:rPr>
          <w:rFonts w:asciiTheme="majorBidi" w:hAnsiTheme="majorBidi" w:cstheme="majorBidi"/>
          <w:i/>
          <w:iCs/>
        </w:rPr>
        <w:t>lietā Nr</w:t>
      </w:r>
      <w:r w:rsidR="000E42C8" w:rsidRPr="00F377CE">
        <w:rPr>
          <w:rFonts w:asciiTheme="majorBidi" w:hAnsiTheme="majorBidi" w:cstheme="majorBidi"/>
          <w:i/>
          <w:iCs/>
        </w:rPr>
        <w:t>. </w:t>
      </w:r>
      <w:r w:rsidRPr="00F377CE">
        <w:rPr>
          <w:rFonts w:asciiTheme="majorBidi" w:hAnsiTheme="majorBidi" w:cstheme="majorBidi"/>
          <w:i/>
          <w:iCs/>
        </w:rPr>
        <w:t>SKK-59/2020,</w:t>
      </w:r>
      <w:r w:rsidR="000E42C8" w:rsidRPr="00F377CE">
        <w:rPr>
          <w:rFonts w:asciiTheme="majorBidi" w:hAnsiTheme="majorBidi" w:cstheme="majorBidi"/>
          <w:i/>
          <w:iCs/>
        </w:rPr>
        <w:t xml:space="preserve"> </w:t>
      </w:r>
      <w:hyperlink r:id="rId22" w:history="1">
        <w:r w:rsidR="001C033C" w:rsidRPr="00F377CE">
          <w:rPr>
            <w:rStyle w:val="Hyperlink"/>
            <w:rFonts w:asciiTheme="majorBidi" w:hAnsiTheme="majorBidi" w:cstheme="majorBidi"/>
            <w:i/>
            <w:iCs/>
          </w:rPr>
          <w:t>ECLI:LV:AT:2020:1030.3870001003.3.L</w:t>
        </w:r>
      </w:hyperlink>
      <w:r w:rsidR="001C033C" w:rsidRPr="00F377CE">
        <w:rPr>
          <w:rFonts w:asciiTheme="majorBidi" w:hAnsiTheme="majorBidi" w:cstheme="majorBidi"/>
          <w:i/>
          <w:iCs/>
        </w:rPr>
        <w:t>,</w:t>
      </w:r>
      <w:r w:rsidRPr="00F377CE">
        <w:rPr>
          <w:rFonts w:asciiTheme="majorBidi" w:hAnsiTheme="majorBidi" w:cstheme="majorBidi"/>
          <w:i/>
          <w:iCs/>
        </w:rPr>
        <w:t xml:space="preserve"> 35.1.</w:t>
      </w:r>
      <w:r w:rsidR="001C033C" w:rsidRPr="00F377CE">
        <w:rPr>
          <w:rFonts w:asciiTheme="majorBidi" w:hAnsiTheme="majorBidi" w:cstheme="majorBidi"/>
          <w:i/>
          <w:iCs/>
        </w:rPr>
        <w:t> punkts</w:t>
      </w:r>
      <w:r w:rsidRPr="00DF2BC8">
        <w:rPr>
          <w:rFonts w:asciiTheme="majorBidi" w:hAnsiTheme="majorBidi" w:cstheme="majorBidi"/>
        </w:rPr>
        <w:t>).</w:t>
      </w:r>
      <w:r w:rsidR="004B77C8">
        <w:rPr>
          <w:rFonts w:asciiTheme="majorBidi" w:hAnsiTheme="majorBidi" w:cstheme="majorBidi"/>
        </w:rPr>
        <w:t xml:space="preserve"> </w:t>
      </w:r>
    </w:p>
    <w:p w14:paraId="341A1BFC" w14:textId="77777777" w:rsidR="004B77C8" w:rsidRDefault="00DE6A39" w:rsidP="004B77C8">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DF2BC8">
        <w:rPr>
          <w:rFonts w:asciiTheme="majorBidi" w:hAnsiTheme="majorBidi" w:cstheme="majorBidi"/>
        </w:rPr>
        <w:t>[13.2</w:t>
      </w:r>
      <w:r w:rsidR="001C033C" w:rsidRPr="00DF2BC8">
        <w:rPr>
          <w:rFonts w:asciiTheme="majorBidi" w:hAnsiTheme="majorBidi" w:cstheme="majorBidi"/>
        </w:rPr>
        <w:t>]</w:t>
      </w:r>
      <w:r w:rsidR="001C033C">
        <w:rPr>
          <w:rFonts w:asciiTheme="majorBidi" w:hAnsiTheme="majorBidi" w:cstheme="majorBidi"/>
        </w:rPr>
        <w:t> </w:t>
      </w:r>
      <w:r w:rsidRPr="00DF2BC8">
        <w:rPr>
          <w:rFonts w:asciiTheme="majorBidi" w:hAnsiTheme="majorBidi" w:cstheme="majorBidi"/>
        </w:rPr>
        <w:t xml:space="preserve">Aizstāvis norādījis, ka apelācijas instances tiesa </w:t>
      </w:r>
      <w:r w:rsidRPr="00DF2BC8">
        <w:rPr>
          <w:rFonts w:asciiTheme="majorBidi" w:hAnsiTheme="majorBidi" w:cstheme="majorBidi"/>
          <w:color w:val="000000" w:themeColor="text1"/>
        </w:rPr>
        <w:t xml:space="preserve">nepamatoti ir noraidījusi viņa lūgumu par pirmās instances tiesas sēdes protokola pārbaudi. </w:t>
      </w:r>
      <w:r w:rsidR="004B77C8">
        <w:rPr>
          <w:rFonts w:asciiTheme="majorBidi" w:hAnsiTheme="majorBidi" w:cstheme="majorBidi"/>
          <w:color w:val="000000" w:themeColor="text1"/>
        </w:rPr>
        <w:t xml:space="preserve"> </w:t>
      </w:r>
    </w:p>
    <w:p w14:paraId="519A932C" w14:textId="1CEA1773" w:rsidR="00DE6A39" w:rsidRPr="004B77C8" w:rsidRDefault="00DE6A39" w:rsidP="004B77C8">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DF2BC8">
        <w:rPr>
          <w:rFonts w:asciiTheme="majorBidi" w:hAnsiTheme="majorBidi" w:cstheme="majorBidi"/>
          <w:color w:val="000000" w:themeColor="text1"/>
        </w:rPr>
        <w:t xml:space="preserve">[13.2.1] No lietas materiāliem Senāts konstatē, ka apelācijas instances tiesa noskaidrojusi, </w:t>
      </w:r>
      <w:r w:rsidRPr="00DF2BC8">
        <w:rPr>
          <w:rFonts w:asciiTheme="majorBidi" w:hAnsiTheme="majorBidi" w:cstheme="majorBidi"/>
        </w:rPr>
        <w:t>vai procesa dalībniekiem ir lūgumi par pirmās instances tiesas sēdes protokolā norādīto rakstveida pierādījumu pārbaudi, lietas dalībnieki norādījuši, ka šādu lūgumu nav (</w:t>
      </w:r>
      <w:r w:rsidR="001C033C" w:rsidRPr="00F377CE">
        <w:rPr>
          <w:rFonts w:asciiTheme="majorBidi" w:hAnsiTheme="majorBidi" w:cstheme="majorBidi"/>
          <w:i/>
          <w:iCs/>
        </w:rPr>
        <w:t xml:space="preserve">apelācijas instances tiesas 2023. gada 31. oktobra sēdes </w:t>
      </w:r>
      <w:proofErr w:type="spellStart"/>
      <w:r w:rsidR="001C033C" w:rsidRPr="00F377CE">
        <w:rPr>
          <w:rFonts w:asciiTheme="majorBidi" w:hAnsiTheme="majorBidi" w:cstheme="majorBidi"/>
          <w:i/>
          <w:iCs/>
        </w:rPr>
        <w:t>audioprotokols</w:t>
      </w:r>
      <w:proofErr w:type="spellEnd"/>
      <w:r w:rsidR="001C033C" w:rsidRPr="00F377CE">
        <w:rPr>
          <w:rFonts w:asciiTheme="majorBidi" w:hAnsiTheme="majorBidi" w:cstheme="majorBidi"/>
          <w:i/>
          <w:iCs/>
        </w:rPr>
        <w:t xml:space="preserve"> </w:t>
      </w:r>
      <w:r w:rsidRPr="00F377CE">
        <w:rPr>
          <w:rFonts w:asciiTheme="majorBidi" w:hAnsiTheme="majorBidi" w:cstheme="majorBidi"/>
          <w:i/>
          <w:iCs/>
        </w:rPr>
        <w:t>00:11:48</w:t>
      </w:r>
      <w:r w:rsidRPr="00DF2BC8">
        <w:rPr>
          <w:rFonts w:asciiTheme="majorBidi" w:hAnsiTheme="majorBidi" w:cstheme="majorBidi"/>
        </w:rPr>
        <w:t xml:space="preserve">). Savukārt tiesas debašu laikā aizstāvis vērsis tiesas uzmanību uz </w:t>
      </w:r>
      <w:r w:rsidR="007A0A61">
        <w:t>[pers. B]</w:t>
      </w:r>
      <w:r w:rsidRPr="00DF2BC8">
        <w:rPr>
          <w:rFonts w:asciiTheme="majorBidi" w:hAnsiTheme="majorBidi" w:cstheme="majorBidi"/>
        </w:rPr>
        <w:t xml:space="preserve"> aizstāvības runā pirmās instances tiesā izteiktajiem argumentiem, lūgumu par tiesas izmeklēšanas atsākšanu nav izteicis.</w:t>
      </w:r>
    </w:p>
    <w:p w14:paraId="320CEE41" w14:textId="3B09916E"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color w:val="000000" w:themeColor="text1"/>
        </w:rPr>
        <w:t>[13.2.2]</w:t>
      </w:r>
      <w:r w:rsidR="001C033C">
        <w:rPr>
          <w:rFonts w:asciiTheme="majorBidi" w:hAnsiTheme="majorBidi" w:cstheme="majorBidi"/>
          <w:color w:val="000000" w:themeColor="text1"/>
        </w:rPr>
        <w:t> </w:t>
      </w:r>
      <w:r w:rsidRPr="00DF2BC8">
        <w:rPr>
          <w:rFonts w:asciiTheme="majorBidi" w:hAnsiTheme="majorBidi" w:cstheme="majorBidi"/>
          <w:color w:val="000000" w:themeColor="text1"/>
        </w:rPr>
        <w:t>N</w:t>
      </w:r>
      <w:r w:rsidRPr="00DF2BC8">
        <w:rPr>
          <w:rFonts w:asciiTheme="majorBidi" w:hAnsiTheme="majorBidi" w:cstheme="majorBidi"/>
        </w:rPr>
        <w:t>o pirmās instances tiesas 2022. gada 29. augusta sēdes protokola konstatējams, ka prokurore tiesas sēdē norādījusi, ka noziedzīgā nodarījuma izdarīšanas brīd</w:t>
      </w:r>
      <w:r w:rsidR="00B54DE5">
        <w:rPr>
          <w:rFonts w:asciiTheme="majorBidi" w:hAnsiTheme="majorBidi" w:cstheme="majorBidi"/>
        </w:rPr>
        <w:t>ī</w:t>
      </w:r>
      <w:r w:rsidRPr="00DF2BC8">
        <w:rPr>
          <w:rFonts w:asciiTheme="majorBidi" w:hAnsiTheme="majorBidi" w:cstheme="majorBidi"/>
        </w:rPr>
        <w:t xml:space="preserve"> Krimināllikuma 320. pantā vairs nebija iekļauta norāde, ka </w:t>
      </w:r>
      <w:r w:rsidR="001C033C">
        <w:rPr>
          <w:rFonts w:asciiTheme="majorBidi" w:hAnsiTheme="majorBidi" w:cstheme="majorBidi"/>
        </w:rPr>
        <w:t>„</w:t>
      </w:r>
      <w:r w:rsidRPr="00DF2BC8">
        <w:rPr>
          <w:rFonts w:asciiTheme="majorBidi" w:hAnsiTheme="majorBidi" w:cstheme="majorBidi"/>
        </w:rPr>
        <w:t>kukuļa pieņemšana notikusi kukuļdevēja interesēs</w:t>
      </w:r>
      <w:r w:rsidR="001C033C">
        <w:rPr>
          <w:rFonts w:asciiTheme="majorBidi" w:hAnsiTheme="majorBidi" w:cstheme="majorBidi"/>
        </w:rPr>
        <w:t>“</w:t>
      </w:r>
      <w:r w:rsidR="001C033C" w:rsidRPr="00DF2BC8">
        <w:rPr>
          <w:rFonts w:asciiTheme="majorBidi" w:hAnsiTheme="majorBidi" w:cstheme="majorBidi"/>
        </w:rPr>
        <w:t xml:space="preserve">, </w:t>
      </w:r>
      <w:r w:rsidRPr="00DF2BC8">
        <w:rPr>
          <w:rFonts w:asciiTheme="majorBidi" w:hAnsiTheme="majorBidi" w:cstheme="majorBidi"/>
        </w:rPr>
        <w:t xml:space="preserve">tāpēc saskaņā ar Kriminālprocesa likuma 462. panta pirmo daļu lūgusi grozīt apsūdzību, izslēdzot norādi apsūdzībā, ka nodarījums izdarīts kukuļdevēja interesēs. </w:t>
      </w:r>
    </w:p>
    <w:p w14:paraId="351D0357" w14:textId="77777777"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rPr>
        <w:t>Apelācijas instances tiesa minēto norādi, ka kukuļa pieņemšana notikusi kukuļdevēja interesēs, atstājusi pierādītā noziedzīgā nodarījuma aprakstā.</w:t>
      </w:r>
    </w:p>
    <w:p w14:paraId="3515DE46" w14:textId="2DE5FC56"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color w:val="000000" w:themeColor="text1"/>
        </w:rPr>
        <w:t>[13.2.3] </w:t>
      </w:r>
      <w:r w:rsidRPr="00DF2BC8">
        <w:rPr>
          <w:rFonts w:asciiTheme="majorBidi" w:hAnsiTheme="majorBidi" w:cstheme="majorBidi"/>
        </w:rPr>
        <w:t>Norāde Krimināllikuma 320. pantā, ka noziedzīgais nodarījums veikts kukuļdevēja, kukuļa piedāvātāja vai citas personas interesēs ir izslēgta,</w:t>
      </w:r>
      <w:r w:rsidRPr="00DF2BC8">
        <w:rPr>
          <w:rFonts w:asciiTheme="majorBidi" w:hAnsiTheme="majorBidi" w:cstheme="majorBidi"/>
          <w:color w:val="000000" w:themeColor="text1"/>
        </w:rPr>
        <w:t xml:space="preserve"> </w:t>
      </w:r>
      <w:r w:rsidRPr="00DF2BC8">
        <w:rPr>
          <w:rFonts w:asciiTheme="majorBidi" w:hAnsiTheme="majorBidi" w:cstheme="majorBidi"/>
        </w:rPr>
        <w:t xml:space="preserve">tādējādi neparedzot procesa virzītājam pienākumu papildus konstatēt, kā interesēs kukuļņēmējs veic savas likumīgās vai nelikumīgās darbības, izmantojot savu dienesta stāvokli (sk. </w:t>
      </w:r>
      <w:r w:rsidRPr="004F34EE">
        <w:rPr>
          <w:rFonts w:asciiTheme="majorBidi" w:hAnsiTheme="majorBidi" w:cstheme="majorBidi"/>
          <w:i/>
          <w:iCs/>
        </w:rPr>
        <w:t xml:space="preserve">Tieslietu </w:t>
      </w:r>
      <w:r w:rsidR="000C1173" w:rsidRPr="004F34EE">
        <w:rPr>
          <w:rFonts w:asciiTheme="majorBidi" w:hAnsiTheme="majorBidi" w:cstheme="majorBidi"/>
          <w:i/>
          <w:iCs/>
        </w:rPr>
        <w:t>ministra vēstule</w:t>
      </w:r>
      <w:r w:rsidR="004F34EE" w:rsidRPr="004F34EE">
        <w:rPr>
          <w:rFonts w:asciiTheme="majorBidi" w:hAnsiTheme="majorBidi" w:cstheme="majorBidi"/>
          <w:i/>
          <w:iCs/>
        </w:rPr>
        <w:t xml:space="preserve"> Nr. </w:t>
      </w:r>
      <w:hyperlink r:id="rId23" w:history="1">
        <w:r w:rsidR="004F34EE" w:rsidRPr="004F34EE">
          <w:rPr>
            <w:rStyle w:val="Hyperlink"/>
            <w:rFonts w:asciiTheme="majorBidi" w:hAnsiTheme="majorBidi" w:cstheme="majorBidi"/>
            <w:i/>
            <w:iCs/>
          </w:rPr>
          <w:t>1-11/464</w:t>
        </w:r>
      </w:hyperlink>
      <w:r w:rsidR="000C1173" w:rsidRPr="004F34EE">
        <w:rPr>
          <w:rFonts w:asciiTheme="majorBidi" w:hAnsiTheme="majorBidi" w:cstheme="majorBidi"/>
          <w:i/>
          <w:iCs/>
        </w:rPr>
        <w:t xml:space="preserve"> </w:t>
      </w:r>
      <w:r w:rsidRPr="004F34EE">
        <w:rPr>
          <w:rFonts w:asciiTheme="majorBidi" w:hAnsiTheme="majorBidi" w:cstheme="majorBidi"/>
          <w:i/>
          <w:iCs/>
        </w:rPr>
        <w:t>par priekšlikum</w:t>
      </w:r>
      <w:r w:rsidR="000C1173" w:rsidRPr="004F34EE">
        <w:rPr>
          <w:rFonts w:asciiTheme="majorBidi" w:hAnsiTheme="majorBidi" w:cstheme="majorBidi"/>
          <w:i/>
          <w:iCs/>
        </w:rPr>
        <w:t>iem</w:t>
      </w:r>
      <w:r w:rsidRPr="004F34EE">
        <w:rPr>
          <w:rFonts w:asciiTheme="majorBidi" w:hAnsiTheme="majorBidi" w:cstheme="majorBidi"/>
          <w:i/>
          <w:iCs/>
        </w:rPr>
        <w:t xml:space="preserve"> </w:t>
      </w:r>
      <w:r w:rsidR="000C1173" w:rsidRPr="004F34EE">
        <w:rPr>
          <w:rFonts w:asciiTheme="majorBidi" w:hAnsiTheme="majorBidi" w:cstheme="majorBidi"/>
          <w:i/>
          <w:iCs/>
        </w:rPr>
        <w:t>„</w:t>
      </w:r>
      <w:r w:rsidRPr="004F34EE">
        <w:rPr>
          <w:rFonts w:asciiTheme="majorBidi" w:hAnsiTheme="majorBidi" w:cstheme="majorBidi"/>
          <w:i/>
          <w:iCs/>
        </w:rPr>
        <w:t>Grozījumiem Krimināllikumā”</w:t>
      </w:r>
      <w:r w:rsidR="000C1173" w:rsidRPr="004F34EE">
        <w:rPr>
          <w:rFonts w:asciiTheme="majorBidi" w:hAnsiTheme="majorBidi" w:cstheme="majorBidi"/>
          <w:i/>
          <w:iCs/>
        </w:rPr>
        <w:t xml:space="preserve"> </w:t>
      </w:r>
      <w:r w:rsidR="004F34EE" w:rsidRPr="004F34EE">
        <w:rPr>
          <w:rFonts w:asciiTheme="majorBidi" w:hAnsiTheme="majorBidi" w:cstheme="majorBidi"/>
          <w:i/>
          <w:iCs/>
        </w:rPr>
        <w:t>(reģ</w:t>
      </w:r>
      <w:r w:rsidR="000C1173" w:rsidRPr="004F34EE">
        <w:rPr>
          <w:rFonts w:asciiTheme="majorBidi" w:hAnsiTheme="majorBidi" w:cstheme="majorBidi"/>
          <w:i/>
          <w:iCs/>
        </w:rPr>
        <w:t>.</w:t>
      </w:r>
      <w:r w:rsidR="004F34EE" w:rsidRPr="004F34EE">
        <w:rPr>
          <w:rFonts w:asciiTheme="majorBidi" w:hAnsiTheme="majorBidi" w:cstheme="majorBidi"/>
          <w:i/>
          <w:iCs/>
        </w:rPr>
        <w:t>nr</w:t>
      </w:r>
      <w:r w:rsidR="004F34EE">
        <w:rPr>
          <w:rFonts w:asciiTheme="majorBidi" w:hAnsiTheme="majorBidi" w:cstheme="majorBidi"/>
          <w:i/>
          <w:iCs/>
        </w:rPr>
        <w:t>.</w:t>
      </w:r>
      <w:r w:rsidR="000C1173" w:rsidRPr="004F34EE">
        <w:rPr>
          <w:rFonts w:asciiTheme="majorBidi" w:hAnsiTheme="majorBidi" w:cstheme="majorBidi"/>
          <w:i/>
          <w:iCs/>
        </w:rPr>
        <w:t> 794/Lp12)</w:t>
      </w:r>
      <w:r w:rsidR="004F34EE">
        <w:rPr>
          <w:rFonts w:asciiTheme="majorBidi" w:hAnsiTheme="majorBidi" w:cstheme="majorBidi"/>
        </w:rPr>
        <w:t>).</w:t>
      </w:r>
      <w:r w:rsidR="000C1173">
        <w:rPr>
          <w:rFonts w:asciiTheme="majorBidi" w:hAnsiTheme="majorBidi" w:cstheme="majorBidi"/>
        </w:rPr>
        <w:t xml:space="preserve"> Minētie</w:t>
      </w:r>
      <w:r w:rsidRPr="00DF2BC8">
        <w:rPr>
          <w:rFonts w:asciiTheme="majorBidi" w:hAnsiTheme="majorBidi" w:cstheme="majorBidi"/>
        </w:rPr>
        <w:t xml:space="preserve"> 2017. gada 8. jūnija grozījumi Krimināllikumā stājās spēkā 2018. gada 1. janvārī.</w:t>
      </w:r>
    </w:p>
    <w:p w14:paraId="22FCE9B7" w14:textId="2D45A80D"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color w:val="000000" w:themeColor="text1"/>
        </w:rPr>
        <w:t>[13.2.4] </w:t>
      </w:r>
      <w:r w:rsidRPr="00DF2BC8">
        <w:rPr>
          <w:rFonts w:asciiTheme="majorBidi" w:hAnsiTheme="majorBidi" w:cstheme="majorBidi"/>
        </w:rPr>
        <w:t>Ievēro</w:t>
      </w:r>
      <w:r w:rsidR="00EE6216">
        <w:rPr>
          <w:rFonts w:asciiTheme="majorBidi" w:hAnsiTheme="majorBidi" w:cstheme="majorBidi"/>
        </w:rPr>
        <w:t>jo</w:t>
      </w:r>
      <w:r w:rsidRPr="00DF2BC8">
        <w:rPr>
          <w:rFonts w:asciiTheme="majorBidi" w:hAnsiTheme="majorBidi" w:cstheme="majorBidi"/>
        </w:rPr>
        <w:t xml:space="preserve">t to, ka izskatāmajā lietā personas apsūdzētas par 2020. gadā veiktajām darbībām, Senāts atzīst, ka apsūdzētā </w:t>
      </w:r>
      <w:r w:rsidR="007A0A61">
        <w:t>[pers. B]</w:t>
      </w:r>
      <w:r w:rsidRPr="00DF2BC8">
        <w:rPr>
          <w:rFonts w:asciiTheme="majorBidi" w:hAnsiTheme="majorBidi" w:cstheme="majorBidi"/>
        </w:rPr>
        <w:t xml:space="preserve"> aizstāvis nav pamatojis, kā norāde pierādītā noziedzīgā nodarījuma aprakstā, ka apsūdzētie savas darbības īstenojuši kukuļdevēja interesēs, ir novedusi pie apsūdzētā </w:t>
      </w:r>
      <w:r w:rsidR="007A0A61">
        <w:t>[pers. B]</w:t>
      </w:r>
      <w:r w:rsidRPr="00DF2BC8">
        <w:rPr>
          <w:rFonts w:asciiTheme="majorBidi" w:hAnsiTheme="majorBidi" w:cstheme="majorBidi"/>
        </w:rPr>
        <w:t xml:space="preserve"> nelikumīgas stāvokļa pasliktināšanas.</w:t>
      </w:r>
    </w:p>
    <w:p w14:paraId="5B9ED37E" w14:textId="31C0FDA8"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rPr>
        <w:t>[13.3]</w:t>
      </w:r>
      <w:r w:rsidR="004F34EE">
        <w:rPr>
          <w:rFonts w:asciiTheme="majorBidi" w:hAnsiTheme="majorBidi" w:cstheme="majorBidi"/>
        </w:rPr>
        <w:t> </w:t>
      </w:r>
      <w:r w:rsidRPr="00DF2BC8">
        <w:rPr>
          <w:rFonts w:asciiTheme="majorBidi" w:hAnsiTheme="majorBidi" w:cstheme="majorBidi"/>
        </w:rPr>
        <w:t xml:space="preserve">Senāts konstatē, ka apsūdzētā </w:t>
      </w:r>
      <w:r w:rsidR="007A0A61">
        <w:t>[pers. B]</w:t>
      </w:r>
      <w:r w:rsidRPr="00DF2BC8">
        <w:rPr>
          <w:rFonts w:asciiTheme="majorBidi" w:hAnsiTheme="majorBidi" w:cstheme="majorBidi"/>
        </w:rPr>
        <w:t xml:space="preserve"> aizstāvis kasācijas sūdzībā nav arī pamatojis, kā tas, ka apelācijas instances tiesa 1) atceļot pirmās instances tiesas spriedumu daļā, atsaukusies tikai uz Kriminālprocesa likuma 563. panta pirmās daļas 3. punktu, bet nav </w:t>
      </w:r>
      <w:r w:rsidRPr="00DF2BC8">
        <w:rPr>
          <w:rFonts w:asciiTheme="majorBidi" w:hAnsiTheme="majorBidi" w:cstheme="majorBidi"/>
        </w:rPr>
        <w:lastRenderedPageBreak/>
        <w:t>atsaukusies uz Kriminālprocesa likuma 565. panta attiecīgo daļu un punktu, kā arī 2</w:t>
      </w:r>
      <w:r w:rsidR="004F34EE" w:rsidRPr="00DF2BC8">
        <w:rPr>
          <w:rFonts w:asciiTheme="majorBidi" w:hAnsiTheme="majorBidi" w:cstheme="majorBidi"/>
        </w:rPr>
        <w:t>)</w:t>
      </w:r>
      <w:r w:rsidR="004F34EE">
        <w:rPr>
          <w:rFonts w:asciiTheme="majorBidi" w:hAnsiTheme="majorBidi" w:cstheme="majorBidi"/>
        </w:rPr>
        <w:t> </w:t>
      </w:r>
      <w:r w:rsidRPr="00DF2BC8">
        <w:rPr>
          <w:rFonts w:asciiTheme="majorBidi" w:hAnsiTheme="majorBidi" w:cstheme="majorBidi"/>
        </w:rPr>
        <w:t>taisot pēc būtības jaunu spriedumu, pierādītā noziedzīgā nodarījuma aprakstu ir sniegusi motīvu, bet ne aprakstošajā daļā, ir novedis pie nelikumīga vai netaisnīga nolēmuma.</w:t>
      </w:r>
    </w:p>
    <w:p w14:paraId="77246395" w14:textId="77777777" w:rsidR="00DE6A39" w:rsidRPr="00DF2BC8" w:rsidRDefault="00DE6A39" w:rsidP="00DE6A39">
      <w:pPr>
        <w:spacing w:line="276" w:lineRule="auto"/>
        <w:jc w:val="both"/>
        <w:rPr>
          <w:rFonts w:asciiTheme="majorBidi" w:hAnsiTheme="majorBidi" w:cstheme="majorBidi"/>
        </w:rPr>
      </w:pPr>
    </w:p>
    <w:p w14:paraId="4A0D5107" w14:textId="6B96AB28"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rPr>
        <w:t xml:space="preserve">[14] Senātam jāizlemj, vai kasācijas instances tiesas kompetencē ir izskatīt jautājumu, kas attiecas uz apsūdzētā </w:t>
      </w:r>
      <w:r w:rsidR="007A0A61">
        <w:t>[pers. A]</w:t>
      </w:r>
      <w:r w:rsidRPr="00DF2BC8">
        <w:rPr>
          <w:rFonts w:asciiTheme="majorBidi" w:hAnsiTheme="majorBidi" w:cstheme="majorBidi"/>
        </w:rPr>
        <w:t xml:space="preserve"> mantai uzlikto arestu.</w:t>
      </w:r>
    </w:p>
    <w:p w14:paraId="7BEA43CB" w14:textId="515C9B95"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rPr>
        <w:t xml:space="preserve">[14.1] Senāts konstatē, ka </w:t>
      </w:r>
      <w:proofErr w:type="spellStart"/>
      <w:r w:rsidRPr="00DF2BC8">
        <w:rPr>
          <w:rFonts w:asciiTheme="majorBidi" w:hAnsiTheme="majorBidi" w:cstheme="majorBidi"/>
        </w:rPr>
        <w:t>pirmstiesas</w:t>
      </w:r>
      <w:proofErr w:type="spellEnd"/>
      <w:r w:rsidRPr="00DF2BC8">
        <w:rPr>
          <w:rFonts w:asciiTheme="majorBidi" w:hAnsiTheme="majorBidi" w:cstheme="majorBidi"/>
        </w:rPr>
        <w:t xml:space="preserve"> procesā uzlikts arests apsūdzētā </w:t>
      </w:r>
      <w:r w:rsidR="007A0A61">
        <w:t>[pers. A]</w:t>
      </w:r>
      <w:r w:rsidRPr="00DF2BC8">
        <w:rPr>
          <w:rFonts w:asciiTheme="majorBidi" w:hAnsiTheme="majorBidi" w:cstheme="majorBidi"/>
        </w:rPr>
        <w:t xml:space="preserve"> mantai – nekustamajam īpašumam </w:t>
      </w:r>
      <w:r w:rsidR="007A0A61" w:rsidRPr="00F41F41">
        <w:rPr>
          <w:rFonts w:asciiTheme="majorBidi" w:hAnsiTheme="majorBidi" w:cstheme="majorBidi"/>
        </w:rPr>
        <w:t>[adrese]</w:t>
      </w:r>
      <w:r w:rsidRPr="00DF2BC8">
        <w:rPr>
          <w:rFonts w:asciiTheme="majorBidi" w:hAnsiTheme="majorBidi" w:cstheme="majorBidi"/>
        </w:rPr>
        <w:t xml:space="preserve"> –, </w:t>
      </w:r>
      <w:r w:rsidR="004F34EE">
        <w:rPr>
          <w:rFonts w:asciiTheme="majorBidi" w:hAnsiTheme="majorBidi" w:cstheme="majorBidi"/>
        </w:rPr>
        <w:t>lai</w:t>
      </w:r>
      <w:r w:rsidRPr="00DF2BC8">
        <w:rPr>
          <w:rFonts w:asciiTheme="majorBidi" w:hAnsiTheme="majorBidi" w:cstheme="majorBidi"/>
        </w:rPr>
        <w:t xml:space="preserve"> nodrošināt</w:t>
      </w:r>
      <w:r w:rsidR="004F34EE">
        <w:rPr>
          <w:rFonts w:asciiTheme="majorBidi" w:hAnsiTheme="majorBidi" w:cstheme="majorBidi"/>
        </w:rPr>
        <w:t>u</w:t>
      </w:r>
      <w:r w:rsidRPr="00DF2BC8">
        <w:rPr>
          <w:rFonts w:asciiTheme="majorBidi" w:hAnsiTheme="majorBidi" w:cstheme="majorBidi"/>
        </w:rPr>
        <w:t xml:space="preserve"> iespējamo mantas konfiskāciju kā papildsodu.</w:t>
      </w:r>
    </w:p>
    <w:p w14:paraId="6537C32C" w14:textId="77777777"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rPr>
        <w:t>Pirmās instances tiesa arestu minētajai mantai ir atcēlusi. Tiesa spriedumā norādījusi, ka tā kā apsūdzētajiem netiek noteikts mantiska rakstura sods, nav piedzenama kaitējuma kompensācija un tā kā lietā netika lemts par iespējami noziedzīgas mantas vērtības piedziņu, tad nav arī pamata saglabāt apsūdzēto mantai piemērotos arestus, tāpēc tie ir atceļami.</w:t>
      </w:r>
    </w:p>
    <w:p w14:paraId="274755B7" w14:textId="77777777"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rPr>
        <w:t xml:space="preserve">Apelācijas instances tiesa šajā daļā spriedumu atstājusi negrozītu. Minētais nolēmums nav pārsūdzēts. </w:t>
      </w:r>
    </w:p>
    <w:p w14:paraId="76B00214" w14:textId="63E55005"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rPr>
        <w:t>[14.2] Saskaņā ar Kriminālprocesa likuma 632. panta 3.</w:t>
      </w:r>
      <w:r w:rsidR="004F34EE" w:rsidRPr="00DF2BC8">
        <w:rPr>
          <w:rFonts w:asciiTheme="majorBidi" w:hAnsiTheme="majorBidi" w:cstheme="majorBidi"/>
          <w:vertAlign w:val="superscript"/>
        </w:rPr>
        <w:t>2</w:t>
      </w:r>
      <w:r w:rsidR="004F34EE">
        <w:rPr>
          <w:rFonts w:asciiTheme="majorBidi" w:hAnsiTheme="majorBidi" w:cstheme="majorBidi"/>
        </w:rPr>
        <w:t> </w:t>
      </w:r>
      <w:r w:rsidRPr="00DF2BC8">
        <w:rPr>
          <w:rFonts w:asciiTheme="majorBidi" w:hAnsiTheme="majorBidi" w:cstheme="majorBidi"/>
        </w:rPr>
        <w:t>daļu pirmās instances vai apelācijas instances tiesas nolēmums, kas nav pārsūdzēts daļā par mantas aresta vai konfiskācijas atcelšanu, daļā par rīcību ar mantu stājas spēkā.</w:t>
      </w:r>
    </w:p>
    <w:p w14:paraId="594CA6BC" w14:textId="151F6405"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rPr>
        <w:t xml:space="preserve">[14.3] Ievērojot to, ka tiesas nolēmums par apsūdzētā </w:t>
      </w:r>
      <w:r w:rsidR="007A0A61">
        <w:t>[pers. A]</w:t>
      </w:r>
      <w:r w:rsidRPr="00DF2BC8">
        <w:rPr>
          <w:rFonts w:asciiTheme="majorBidi" w:hAnsiTheme="majorBidi" w:cstheme="majorBidi"/>
        </w:rPr>
        <w:t xml:space="preserve"> mantai uzliktā aresta atcelšanu ir stājies spēkā, Senāts atzīst, ka minētā jautājuma lemšana nav kasācijas instances tiesa</w:t>
      </w:r>
      <w:r w:rsidR="00773BB8">
        <w:rPr>
          <w:rFonts w:asciiTheme="majorBidi" w:hAnsiTheme="majorBidi" w:cstheme="majorBidi"/>
        </w:rPr>
        <w:t>s</w:t>
      </w:r>
      <w:r w:rsidRPr="00DF2BC8">
        <w:rPr>
          <w:rFonts w:asciiTheme="majorBidi" w:hAnsiTheme="majorBidi" w:cstheme="majorBidi"/>
        </w:rPr>
        <w:t xml:space="preserve"> kompetencē.</w:t>
      </w:r>
    </w:p>
    <w:p w14:paraId="6CA562AB" w14:textId="77777777" w:rsidR="00DE6A39" w:rsidRPr="00DF2BC8" w:rsidRDefault="00DE6A39" w:rsidP="00DE6A39">
      <w:pPr>
        <w:tabs>
          <w:tab w:val="left" w:pos="1710"/>
        </w:tabs>
        <w:spacing w:line="276" w:lineRule="auto"/>
        <w:ind w:firstLine="680"/>
        <w:jc w:val="both"/>
        <w:rPr>
          <w:rFonts w:asciiTheme="majorBidi" w:hAnsiTheme="majorBidi" w:cstheme="majorBidi"/>
        </w:rPr>
      </w:pPr>
    </w:p>
    <w:p w14:paraId="1FC73B4D" w14:textId="61F3D46A" w:rsidR="00DE6A39" w:rsidRPr="00DF2BC8" w:rsidRDefault="00DE6A39" w:rsidP="00DE6A39">
      <w:pPr>
        <w:widowControl w:val="0"/>
        <w:tabs>
          <w:tab w:val="left" w:pos="1710"/>
        </w:tabs>
        <w:spacing w:line="276" w:lineRule="auto"/>
        <w:ind w:firstLine="720"/>
        <w:jc w:val="both"/>
        <w:rPr>
          <w:rFonts w:asciiTheme="majorBidi" w:hAnsiTheme="majorBidi" w:cstheme="majorBidi"/>
        </w:rPr>
      </w:pPr>
      <w:r w:rsidRPr="00DF2BC8">
        <w:rPr>
          <w:rFonts w:asciiTheme="majorBidi" w:hAnsiTheme="majorBidi" w:cstheme="majorBidi"/>
        </w:rPr>
        <w:t>[15</w:t>
      </w:r>
      <w:r w:rsidR="004F34EE" w:rsidRPr="00DF2BC8">
        <w:rPr>
          <w:rFonts w:asciiTheme="majorBidi" w:hAnsiTheme="majorBidi" w:cstheme="majorBidi"/>
        </w:rPr>
        <w:t>]</w:t>
      </w:r>
      <w:r w:rsidR="004F34EE">
        <w:rPr>
          <w:rFonts w:asciiTheme="majorBidi" w:hAnsiTheme="majorBidi" w:cstheme="majorBidi"/>
        </w:rPr>
        <w:t> </w:t>
      </w:r>
      <w:r w:rsidRPr="00DF2BC8">
        <w:rPr>
          <w:rFonts w:asciiTheme="majorBidi" w:hAnsiTheme="majorBidi" w:cstheme="majorBidi"/>
        </w:rPr>
        <w:t xml:space="preserve">Ievērojot to, ka lieta apelācijas kārtībā jāiztiesā no jauna atbilstoši Kriminālprocesa likuma 53. nodaļas prasībām, pārējie kasācijas sūdzību argumenti, kas saistīti ar pierādījumu vērtēšanu un apsūdzētajam </w:t>
      </w:r>
      <w:r w:rsidR="007A0A61">
        <w:t>[pers. B]</w:t>
      </w:r>
      <w:r w:rsidRPr="00DF2BC8">
        <w:rPr>
          <w:rFonts w:asciiTheme="majorBidi" w:hAnsiTheme="majorBidi" w:cstheme="majorBidi"/>
        </w:rPr>
        <w:t xml:space="preserve"> noteikto sodu, izvērtējami apelācijas instances tiesā.</w:t>
      </w:r>
    </w:p>
    <w:p w14:paraId="393AB225" w14:textId="77777777" w:rsidR="00DE6A39" w:rsidRPr="00DF2BC8" w:rsidRDefault="00DE6A39" w:rsidP="00DE6A39">
      <w:pPr>
        <w:tabs>
          <w:tab w:val="left" w:pos="1710"/>
        </w:tabs>
        <w:spacing w:line="276" w:lineRule="auto"/>
        <w:ind w:firstLine="680"/>
        <w:jc w:val="both"/>
        <w:rPr>
          <w:rFonts w:asciiTheme="majorBidi" w:hAnsiTheme="majorBidi" w:cstheme="majorBidi"/>
        </w:rPr>
      </w:pPr>
    </w:p>
    <w:p w14:paraId="1BD0FF9F" w14:textId="241AFDE2" w:rsidR="00DE6A39" w:rsidRPr="00DF2BC8" w:rsidRDefault="00DE6A39" w:rsidP="00DE6A39">
      <w:pPr>
        <w:tabs>
          <w:tab w:val="left" w:pos="1710"/>
        </w:tabs>
        <w:spacing w:line="276" w:lineRule="auto"/>
        <w:ind w:firstLine="680"/>
        <w:jc w:val="both"/>
        <w:rPr>
          <w:rFonts w:asciiTheme="majorBidi" w:hAnsiTheme="majorBidi" w:cstheme="majorBidi"/>
        </w:rPr>
      </w:pPr>
      <w:r w:rsidRPr="00DF2BC8">
        <w:rPr>
          <w:rFonts w:asciiTheme="majorBidi" w:hAnsiTheme="majorBidi" w:cstheme="majorBidi"/>
        </w:rPr>
        <w:t>[16</w:t>
      </w:r>
      <w:r w:rsidR="004F34EE" w:rsidRPr="00DF2BC8">
        <w:rPr>
          <w:rFonts w:asciiTheme="majorBidi" w:hAnsiTheme="majorBidi" w:cstheme="majorBidi"/>
        </w:rPr>
        <w:t>]</w:t>
      </w:r>
      <w:r w:rsidR="004F34EE">
        <w:rPr>
          <w:rFonts w:asciiTheme="majorBidi" w:hAnsiTheme="majorBidi" w:cstheme="majorBidi"/>
        </w:rPr>
        <w:t> </w:t>
      </w:r>
      <w:r w:rsidRPr="00DF2BC8">
        <w:rPr>
          <w:rFonts w:asciiTheme="majorBidi" w:hAnsiTheme="majorBidi" w:cstheme="majorBidi"/>
        </w:rPr>
        <w:t xml:space="preserve">Ar </w:t>
      </w:r>
      <w:r w:rsidRPr="00DF2BC8">
        <w:rPr>
          <w:rFonts w:asciiTheme="majorBidi" w:hAnsiTheme="majorBidi" w:cstheme="majorBidi"/>
          <w:lang w:eastAsia="lv-LV"/>
        </w:rPr>
        <w:t>Rīgas apgabaltiesas 2023. gada 31. oktobra spriedumu</w:t>
      </w:r>
      <w:r w:rsidRPr="00DF2BC8">
        <w:rPr>
          <w:rFonts w:asciiTheme="majorBidi" w:hAnsiTheme="majorBidi" w:cstheme="majorBidi"/>
        </w:rPr>
        <w:t xml:space="preserve"> </w:t>
      </w:r>
      <w:r w:rsidR="007A0A61">
        <w:t>[pers. A]</w:t>
      </w:r>
      <w:r w:rsidRPr="00DF2BC8">
        <w:rPr>
          <w:rFonts w:asciiTheme="majorBidi" w:hAnsiTheme="majorBidi" w:cstheme="majorBidi"/>
        </w:rPr>
        <w:t xml:space="preserve"> un </w:t>
      </w:r>
      <w:r w:rsidR="007A0A61">
        <w:t>[pers. B]</w:t>
      </w:r>
      <w:r w:rsidRPr="00DF2BC8">
        <w:rPr>
          <w:rFonts w:asciiTheme="majorBidi" w:hAnsiTheme="majorBidi" w:cstheme="majorBidi"/>
        </w:rPr>
        <w:t xml:space="preserve"> piemērotie drošības līdzekļi – noteiktas nodarbošanās aizliegums, dzīvesvietas maiņas paziņošana un aizliegums tuvoties noteiktām personām un kontaktēties ar tām – atstāti negrozīti.</w:t>
      </w:r>
    </w:p>
    <w:p w14:paraId="3BEB49DC" w14:textId="0A603EF2" w:rsidR="00DE6A39" w:rsidRPr="00DF2BC8" w:rsidRDefault="00DE6A39" w:rsidP="00DE6A39">
      <w:pPr>
        <w:widowControl w:val="0"/>
        <w:tabs>
          <w:tab w:val="left" w:pos="851"/>
        </w:tabs>
        <w:spacing w:line="276" w:lineRule="auto"/>
        <w:ind w:firstLine="680"/>
        <w:jc w:val="both"/>
        <w:rPr>
          <w:rFonts w:asciiTheme="majorBidi" w:hAnsiTheme="majorBidi" w:cstheme="majorBidi"/>
        </w:rPr>
      </w:pPr>
      <w:r w:rsidRPr="00DF2BC8">
        <w:rPr>
          <w:rFonts w:asciiTheme="majorBidi" w:hAnsiTheme="majorBidi" w:cstheme="majorBidi"/>
        </w:rPr>
        <w:t xml:space="preserve">Senāts atzīst, ka </w:t>
      </w:r>
      <w:r w:rsidR="004F34EE" w:rsidRPr="00DF2BC8">
        <w:rPr>
          <w:rFonts w:asciiTheme="majorBidi" w:hAnsiTheme="majorBidi" w:cstheme="majorBidi"/>
        </w:rPr>
        <w:t>apsūdzētaj</w:t>
      </w:r>
      <w:r w:rsidR="004F34EE">
        <w:rPr>
          <w:rFonts w:asciiTheme="majorBidi" w:hAnsiTheme="majorBidi" w:cstheme="majorBidi"/>
        </w:rPr>
        <w:t>ie</w:t>
      </w:r>
      <w:r w:rsidR="004F34EE" w:rsidRPr="00DF2BC8">
        <w:rPr>
          <w:rFonts w:asciiTheme="majorBidi" w:hAnsiTheme="majorBidi" w:cstheme="majorBidi"/>
        </w:rPr>
        <w:t xml:space="preserve">m </w:t>
      </w:r>
      <w:r w:rsidRPr="00DF2BC8">
        <w:rPr>
          <w:rFonts w:asciiTheme="majorBidi" w:hAnsiTheme="majorBidi" w:cstheme="majorBidi"/>
        </w:rPr>
        <w:t>noteikto drošības līdzekļu piemērošana turpināma. Piemērotie drošības līdzekļi izskatāmajā lietā atzīstami par samērīgiem.</w:t>
      </w:r>
    </w:p>
    <w:p w14:paraId="7C3D4DA0" w14:textId="77777777" w:rsidR="00DE6A39" w:rsidRPr="00DF2BC8" w:rsidRDefault="00DE6A39" w:rsidP="00E856FB">
      <w:pPr>
        <w:shd w:val="clear" w:color="auto" w:fill="FFFFFF"/>
        <w:spacing w:line="276" w:lineRule="auto"/>
        <w:rPr>
          <w:rFonts w:asciiTheme="majorBidi" w:hAnsiTheme="majorBidi" w:cstheme="majorBidi"/>
          <w:bCs/>
        </w:rPr>
      </w:pPr>
    </w:p>
    <w:p w14:paraId="56D7EC5C" w14:textId="77777777" w:rsidR="00DE6A39" w:rsidRPr="00DF2BC8" w:rsidRDefault="00DE6A39" w:rsidP="00DE6A39">
      <w:pPr>
        <w:shd w:val="clear" w:color="auto" w:fill="FFFFFF"/>
        <w:spacing w:line="276" w:lineRule="auto"/>
        <w:ind w:right="5"/>
        <w:jc w:val="center"/>
        <w:rPr>
          <w:rFonts w:asciiTheme="majorBidi" w:hAnsiTheme="majorBidi" w:cstheme="majorBidi"/>
          <w:b/>
          <w:bCs/>
        </w:rPr>
      </w:pPr>
      <w:r w:rsidRPr="00DF2BC8">
        <w:rPr>
          <w:rFonts w:asciiTheme="majorBidi" w:hAnsiTheme="majorBidi" w:cstheme="majorBidi"/>
          <w:b/>
          <w:bCs/>
        </w:rPr>
        <w:t>Rezolutīvā daļa</w:t>
      </w:r>
    </w:p>
    <w:p w14:paraId="34935B5E" w14:textId="77777777" w:rsidR="00DE6A39" w:rsidRPr="00DF2BC8" w:rsidRDefault="00DE6A39" w:rsidP="00DE6A39">
      <w:pPr>
        <w:shd w:val="clear" w:color="auto" w:fill="FFFFFF"/>
        <w:spacing w:line="276" w:lineRule="auto"/>
        <w:ind w:right="5" w:firstLine="566"/>
        <w:jc w:val="both"/>
        <w:rPr>
          <w:rFonts w:asciiTheme="majorBidi" w:hAnsiTheme="majorBidi" w:cstheme="majorBidi"/>
        </w:rPr>
      </w:pPr>
    </w:p>
    <w:p w14:paraId="1424E5BD" w14:textId="77777777" w:rsidR="00DE6A39" w:rsidRPr="00DF2BC8" w:rsidRDefault="00DE6A39" w:rsidP="00DE6A39">
      <w:pPr>
        <w:shd w:val="clear" w:color="auto" w:fill="FFFFFF"/>
        <w:spacing w:line="276" w:lineRule="auto"/>
        <w:ind w:firstLine="720"/>
        <w:jc w:val="both"/>
        <w:rPr>
          <w:rFonts w:asciiTheme="majorBidi" w:hAnsiTheme="majorBidi" w:cstheme="majorBidi"/>
        </w:rPr>
      </w:pPr>
      <w:r w:rsidRPr="00DF2BC8">
        <w:rPr>
          <w:rFonts w:asciiTheme="majorBidi" w:hAnsiTheme="majorBidi" w:cstheme="majorBidi"/>
        </w:rPr>
        <w:t xml:space="preserve">Pamatojoties uz Kriminālprocesa likuma 585. pantu un 587. panta pirmās daļas </w:t>
      </w:r>
      <w:r w:rsidRPr="00DF2BC8">
        <w:rPr>
          <w:rFonts w:asciiTheme="majorBidi" w:hAnsiTheme="majorBidi" w:cstheme="majorBidi"/>
          <w:bCs/>
        </w:rPr>
        <w:t>2. punktu</w:t>
      </w:r>
      <w:r w:rsidRPr="00DF2BC8">
        <w:rPr>
          <w:rFonts w:asciiTheme="majorBidi" w:hAnsiTheme="majorBidi" w:cstheme="majorBidi"/>
        </w:rPr>
        <w:t>, Senāts</w:t>
      </w:r>
    </w:p>
    <w:p w14:paraId="668E4D2A" w14:textId="77777777" w:rsidR="00DE6A39" w:rsidRPr="00DF2BC8" w:rsidRDefault="00DE6A39" w:rsidP="00DE6A39">
      <w:pPr>
        <w:shd w:val="clear" w:color="auto" w:fill="FFFFFF"/>
        <w:spacing w:line="276" w:lineRule="auto"/>
        <w:jc w:val="center"/>
        <w:rPr>
          <w:rFonts w:asciiTheme="majorBidi" w:hAnsiTheme="majorBidi" w:cstheme="majorBidi"/>
          <w:bCs/>
        </w:rPr>
      </w:pPr>
    </w:p>
    <w:p w14:paraId="7C33255D" w14:textId="4FBED4A0" w:rsidR="00DE6A39" w:rsidRPr="00DF2BC8" w:rsidRDefault="00087C18" w:rsidP="00DE6A39">
      <w:pPr>
        <w:shd w:val="clear" w:color="auto" w:fill="FFFFFF"/>
        <w:spacing w:line="276" w:lineRule="auto"/>
        <w:jc w:val="center"/>
        <w:rPr>
          <w:rFonts w:asciiTheme="majorBidi" w:hAnsiTheme="majorBidi" w:cstheme="majorBidi"/>
          <w:b/>
        </w:rPr>
      </w:pPr>
      <w:r>
        <w:rPr>
          <w:rFonts w:asciiTheme="majorBidi" w:hAnsiTheme="majorBidi" w:cstheme="majorBidi"/>
          <w:b/>
        </w:rPr>
        <w:t>n</w:t>
      </w:r>
      <w:r w:rsidR="00DE6A39" w:rsidRPr="00DF2BC8">
        <w:rPr>
          <w:rFonts w:asciiTheme="majorBidi" w:hAnsiTheme="majorBidi" w:cstheme="majorBidi"/>
          <w:b/>
        </w:rPr>
        <w:t>olēma</w:t>
      </w:r>
    </w:p>
    <w:p w14:paraId="512D4A35" w14:textId="77777777" w:rsidR="00DE6A39" w:rsidRPr="00DF2BC8" w:rsidRDefault="00DE6A39" w:rsidP="00DE6A39">
      <w:pPr>
        <w:shd w:val="clear" w:color="auto" w:fill="FFFFFF"/>
        <w:spacing w:line="276" w:lineRule="auto"/>
        <w:jc w:val="center"/>
        <w:rPr>
          <w:rFonts w:asciiTheme="majorBidi" w:hAnsiTheme="majorBidi" w:cstheme="majorBidi"/>
          <w:b/>
        </w:rPr>
      </w:pPr>
    </w:p>
    <w:p w14:paraId="5184C2F9" w14:textId="132B2903" w:rsidR="00DE6A39" w:rsidRPr="00DF2BC8" w:rsidRDefault="00DE6A39" w:rsidP="00DE6A39">
      <w:pPr>
        <w:pStyle w:val="tv213"/>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lastRenderedPageBreak/>
        <w:t>atcelt Rīgas apgabaltiesas 2023. gada 31. oktobra spriedumu</w:t>
      </w:r>
      <w:r w:rsidR="00F9262D">
        <w:rPr>
          <w:rFonts w:asciiTheme="majorBidi" w:hAnsiTheme="majorBidi" w:cstheme="majorBidi"/>
        </w:rPr>
        <w:t xml:space="preserve"> </w:t>
      </w:r>
      <w:r w:rsidRPr="00DF2BC8">
        <w:rPr>
          <w:rFonts w:asciiTheme="majorBidi" w:hAnsiTheme="majorBidi" w:cstheme="majorBidi"/>
        </w:rPr>
        <w:t xml:space="preserve">par </w:t>
      </w:r>
      <w:r w:rsidR="007A0A61">
        <w:t>[pers. A]</w:t>
      </w:r>
      <w:r w:rsidRPr="00DF2BC8">
        <w:rPr>
          <w:rFonts w:asciiTheme="majorBidi" w:hAnsiTheme="majorBidi" w:cstheme="majorBidi"/>
        </w:rPr>
        <w:t xml:space="preserve"> un </w:t>
      </w:r>
      <w:r w:rsidR="007A0A61">
        <w:t>[pers. B]</w:t>
      </w:r>
      <w:r w:rsidRPr="00DF2BC8">
        <w:rPr>
          <w:rFonts w:asciiTheme="majorBidi" w:hAnsiTheme="majorBidi" w:cstheme="majorBidi"/>
        </w:rPr>
        <w:t xml:space="preserve"> atzīšanu par vainīgiem </w:t>
      </w:r>
      <w:r w:rsidR="004F34EE" w:rsidRPr="00DF2BC8">
        <w:rPr>
          <w:rFonts w:asciiTheme="majorBidi" w:hAnsiTheme="majorBidi" w:cstheme="majorBidi"/>
        </w:rPr>
        <w:t xml:space="preserve">un sodīšanu </w:t>
      </w:r>
      <w:r w:rsidRPr="00DF2BC8">
        <w:rPr>
          <w:rFonts w:asciiTheme="majorBidi" w:hAnsiTheme="majorBidi" w:cstheme="majorBidi"/>
        </w:rPr>
        <w:t>pēc Krimināllikuma 320</w:t>
      </w:r>
      <w:r w:rsidR="004F34EE" w:rsidRPr="00DF2BC8">
        <w:rPr>
          <w:rFonts w:asciiTheme="majorBidi" w:hAnsiTheme="majorBidi" w:cstheme="majorBidi"/>
        </w:rPr>
        <w:t>.</w:t>
      </w:r>
      <w:r w:rsidR="004F34EE">
        <w:rPr>
          <w:rFonts w:asciiTheme="majorBidi" w:hAnsiTheme="majorBidi" w:cstheme="majorBidi"/>
        </w:rPr>
        <w:t> </w:t>
      </w:r>
      <w:r w:rsidRPr="00DF2BC8">
        <w:rPr>
          <w:rFonts w:asciiTheme="majorBidi" w:hAnsiTheme="majorBidi" w:cstheme="majorBidi"/>
        </w:rPr>
        <w:t>panta trešās daļas; par procesuālo izdevumu piedziņu</w:t>
      </w:r>
      <w:r w:rsidR="00DD4F01">
        <w:rPr>
          <w:rFonts w:asciiTheme="majorBidi" w:hAnsiTheme="majorBidi" w:cstheme="majorBidi"/>
        </w:rPr>
        <w:t xml:space="preserve"> no </w:t>
      </w:r>
      <w:r w:rsidR="007A0A61">
        <w:t>[pers. A]</w:t>
      </w:r>
      <w:r w:rsidRPr="00DF2BC8">
        <w:rPr>
          <w:rFonts w:asciiTheme="majorBidi" w:hAnsiTheme="majorBidi" w:cstheme="majorBidi"/>
        </w:rPr>
        <w:t xml:space="preserve">; par rīcību ar lietiskajiem pierādījumiem; </w:t>
      </w:r>
    </w:p>
    <w:p w14:paraId="3003F4CB" w14:textId="60A844BD" w:rsidR="00DE6A39" w:rsidRPr="00DF2BC8" w:rsidRDefault="00DE6A39" w:rsidP="00F9262D">
      <w:pPr>
        <w:pStyle w:val="tv213"/>
        <w:spacing w:before="0" w:beforeAutospacing="0" w:after="0" w:afterAutospacing="0" w:line="276" w:lineRule="auto"/>
        <w:ind w:firstLine="720"/>
        <w:jc w:val="both"/>
        <w:rPr>
          <w:rFonts w:asciiTheme="majorBidi" w:hAnsiTheme="majorBidi" w:cstheme="majorBidi"/>
        </w:rPr>
      </w:pPr>
      <w:r w:rsidRPr="00DF2BC8">
        <w:rPr>
          <w:rFonts w:asciiTheme="majorBidi" w:hAnsiTheme="majorBidi" w:cstheme="majorBidi"/>
        </w:rPr>
        <w:t>lietu nosūtīt jaunai izskatīšanai Rīgas apgabaltiesā</w:t>
      </w:r>
      <w:r w:rsidR="00F9262D">
        <w:rPr>
          <w:rFonts w:asciiTheme="majorBidi" w:hAnsiTheme="majorBidi" w:cstheme="majorBidi"/>
        </w:rPr>
        <w:t>;</w:t>
      </w:r>
    </w:p>
    <w:p w14:paraId="22D2D85B" w14:textId="4F940BB4" w:rsidR="00DE6A39" w:rsidRPr="00DF2BC8" w:rsidRDefault="00DE6A39" w:rsidP="00DE6A39">
      <w:pPr>
        <w:widowControl w:val="0"/>
        <w:tabs>
          <w:tab w:val="left" w:pos="709"/>
        </w:tabs>
        <w:spacing w:line="276" w:lineRule="auto"/>
        <w:ind w:firstLine="720"/>
        <w:jc w:val="both"/>
        <w:rPr>
          <w:rFonts w:asciiTheme="majorBidi" w:hAnsiTheme="majorBidi" w:cstheme="majorBidi"/>
          <w:bCs/>
        </w:rPr>
      </w:pPr>
      <w:r w:rsidRPr="00DF2BC8">
        <w:rPr>
          <w:rFonts w:asciiTheme="majorBidi" w:hAnsiTheme="majorBidi" w:cstheme="majorBidi"/>
          <w:bCs/>
        </w:rPr>
        <w:t xml:space="preserve">turpināt piemērot apsūdzētajiem </w:t>
      </w:r>
      <w:r w:rsidR="007A0A61">
        <w:t>[pers. A]</w:t>
      </w:r>
      <w:r w:rsidRPr="00DF2BC8">
        <w:rPr>
          <w:rFonts w:asciiTheme="majorBidi" w:hAnsiTheme="majorBidi" w:cstheme="majorBidi"/>
        </w:rPr>
        <w:t xml:space="preserve"> un </w:t>
      </w:r>
      <w:r w:rsidR="007A0A61">
        <w:t>[pers. B]</w:t>
      </w:r>
      <w:r w:rsidRPr="00DF2BC8">
        <w:rPr>
          <w:rFonts w:asciiTheme="majorBidi" w:hAnsiTheme="majorBidi" w:cstheme="majorBidi"/>
        </w:rPr>
        <w:t xml:space="preserve"> drošības līdzekļus – noteiktas nodarbošanās aizliegumu, dzīvesvietas maiņas paziņošanu un aizliegumu tuvoties noteiktām personām un kontaktēties ar tām.</w:t>
      </w:r>
    </w:p>
    <w:p w14:paraId="0DC2CEEA" w14:textId="77777777" w:rsidR="00DE6A39" w:rsidRPr="00DF2BC8" w:rsidRDefault="00DE6A39" w:rsidP="00DE6A39">
      <w:pPr>
        <w:widowControl w:val="0"/>
        <w:tabs>
          <w:tab w:val="left" w:pos="-3120"/>
        </w:tabs>
        <w:spacing w:line="276" w:lineRule="auto"/>
        <w:ind w:firstLine="720"/>
        <w:jc w:val="both"/>
        <w:rPr>
          <w:rFonts w:asciiTheme="majorBidi" w:hAnsiTheme="majorBidi" w:cstheme="majorBidi"/>
          <w:color w:val="000000"/>
        </w:rPr>
      </w:pPr>
    </w:p>
    <w:p w14:paraId="049D1CB4" w14:textId="295334CA" w:rsidR="00447EE6" w:rsidRPr="005E2702" w:rsidRDefault="00DE6A39" w:rsidP="005E2702">
      <w:pPr>
        <w:widowControl w:val="0"/>
        <w:tabs>
          <w:tab w:val="left" w:pos="-3120"/>
        </w:tabs>
        <w:spacing w:line="276" w:lineRule="auto"/>
        <w:ind w:firstLine="720"/>
        <w:jc w:val="both"/>
        <w:rPr>
          <w:rFonts w:asciiTheme="majorBidi" w:hAnsiTheme="majorBidi" w:cstheme="majorBidi"/>
          <w:color w:val="000000"/>
        </w:rPr>
      </w:pPr>
      <w:r w:rsidRPr="00DF2BC8">
        <w:rPr>
          <w:rFonts w:asciiTheme="majorBidi" w:hAnsiTheme="majorBidi" w:cstheme="majorBidi"/>
          <w:color w:val="000000"/>
        </w:rPr>
        <w:t>Lēmums nav pārsūdzams.</w:t>
      </w:r>
    </w:p>
    <w:sectPr w:rsidR="00447EE6" w:rsidRPr="005E2702" w:rsidSect="00BD04EB">
      <w:footerReference w:type="default" r:id="rId24"/>
      <w:pgSz w:w="12240" w:h="15840"/>
      <w:pgMar w:top="1134" w:right="1610" w:bottom="851" w:left="1701"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E0EB" w14:textId="77777777" w:rsidR="005C159F" w:rsidRDefault="005C159F" w:rsidP="006D5C62">
      <w:r>
        <w:separator/>
      </w:r>
    </w:p>
  </w:endnote>
  <w:endnote w:type="continuationSeparator" w:id="0">
    <w:p w14:paraId="3365876B" w14:textId="77777777" w:rsidR="005C159F" w:rsidRDefault="005C159F" w:rsidP="006D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907515"/>
      <w:docPartObj>
        <w:docPartGallery w:val="Page Numbers (Bottom of Page)"/>
        <w:docPartUnique/>
      </w:docPartObj>
    </w:sdtPr>
    <w:sdtEndPr/>
    <w:sdtContent>
      <w:sdt>
        <w:sdtPr>
          <w:id w:val="1728636285"/>
          <w:docPartObj>
            <w:docPartGallery w:val="Page Numbers (Top of Page)"/>
            <w:docPartUnique/>
          </w:docPartObj>
        </w:sdtPr>
        <w:sdtEndPr/>
        <w:sdtContent>
          <w:p w14:paraId="0D868154" w14:textId="1510DCD6" w:rsidR="006D5C62" w:rsidRDefault="006D5C62" w:rsidP="006D5C62">
            <w:pPr>
              <w:pStyle w:val="Footer"/>
              <w:jc w:val="center"/>
            </w:pPr>
            <w:r w:rsidRPr="006D5C62">
              <w:rPr>
                <w:sz w:val="20"/>
                <w:szCs w:val="20"/>
              </w:rPr>
              <w:fldChar w:fldCharType="begin"/>
            </w:r>
            <w:r w:rsidRPr="006D5C62">
              <w:rPr>
                <w:sz w:val="20"/>
                <w:szCs w:val="20"/>
              </w:rPr>
              <w:instrText xml:space="preserve"> PAGE </w:instrText>
            </w:r>
            <w:r w:rsidRPr="006D5C62">
              <w:rPr>
                <w:sz w:val="20"/>
                <w:szCs w:val="20"/>
              </w:rPr>
              <w:fldChar w:fldCharType="separate"/>
            </w:r>
            <w:r w:rsidRPr="006D5C62">
              <w:rPr>
                <w:noProof/>
                <w:sz w:val="20"/>
                <w:szCs w:val="20"/>
              </w:rPr>
              <w:t>2</w:t>
            </w:r>
            <w:r w:rsidRPr="006D5C62">
              <w:rPr>
                <w:sz w:val="20"/>
                <w:szCs w:val="20"/>
              </w:rPr>
              <w:fldChar w:fldCharType="end"/>
            </w:r>
            <w:r w:rsidRPr="006D5C62">
              <w:rPr>
                <w:sz w:val="20"/>
                <w:szCs w:val="20"/>
              </w:rPr>
              <w:t xml:space="preserve"> no </w:t>
            </w:r>
            <w:r w:rsidRPr="006D5C62">
              <w:rPr>
                <w:sz w:val="20"/>
                <w:szCs w:val="20"/>
              </w:rPr>
              <w:fldChar w:fldCharType="begin"/>
            </w:r>
            <w:r w:rsidRPr="006D5C62">
              <w:rPr>
                <w:sz w:val="20"/>
                <w:szCs w:val="20"/>
              </w:rPr>
              <w:instrText xml:space="preserve"> NUMPAGES  </w:instrText>
            </w:r>
            <w:r w:rsidRPr="006D5C62">
              <w:rPr>
                <w:sz w:val="20"/>
                <w:szCs w:val="20"/>
              </w:rPr>
              <w:fldChar w:fldCharType="separate"/>
            </w:r>
            <w:r w:rsidRPr="006D5C62">
              <w:rPr>
                <w:noProof/>
                <w:sz w:val="20"/>
                <w:szCs w:val="20"/>
              </w:rPr>
              <w:t>2</w:t>
            </w:r>
            <w:r w:rsidRPr="006D5C6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8568" w14:textId="77777777" w:rsidR="005C159F" w:rsidRDefault="005C159F" w:rsidP="006D5C62">
      <w:r>
        <w:separator/>
      </w:r>
    </w:p>
  </w:footnote>
  <w:footnote w:type="continuationSeparator" w:id="0">
    <w:p w14:paraId="7F3B1EF7" w14:textId="77777777" w:rsidR="005C159F" w:rsidRDefault="005C159F" w:rsidP="006D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7A26912"/>
    <w:multiLevelType w:val="hybridMultilevel"/>
    <w:tmpl w:val="045ED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A13D9"/>
    <w:multiLevelType w:val="hybridMultilevel"/>
    <w:tmpl w:val="5E74E10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A5AB6"/>
    <w:multiLevelType w:val="multilevel"/>
    <w:tmpl w:val="78A0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880893">
    <w:abstractNumId w:val="0"/>
  </w:num>
  <w:num w:numId="2" w16cid:durableId="1239289749">
    <w:abstractNumId w:val="3"/>
  </w:num>
  <w:num w:numId="3" w16cid:durableId="1221360231">
    <w:abstractNumId w:val="1"/>
  </w:num>
  <w:num w:numId="4" w16cid:durableId="667907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A9"/>
    <w:rsid w:val="00006655"/>
    <w:rsid w:val="00006F08"/>
    <w:rsid w:val="000152B4"/>
    <w:rsid w:val="000160B7"/>
    <w:rsid w:val="000161EC"/>
    <w:rsid w:val="00016C09"/>
    <w:rsid w:val="0001720E"/>
    <w:rsid w:val="00026722"/>
    <w:rsid w:val="0003538B"/>
    <w:rsid w:val="00036A57"/>
    <w:rsid w:val="000410FD"/>
    <w:rsid w:val="00046E77"/>
    <w:rsid w:val="00047BFA"/>
    <w:rsid w:val="0005230E"/>
    <w:rsid w:val="000567D2"/>
    <w:rsid w:val="000610C1"/>
    <w:rsid w:val="0006292E"/>
    <w:rsid w:val="00066544"/>
    <w:rsid w:val="0006670D"/>
    <w:rsid w:val="00067F77"/>
    <w:rsid w:val="00070486"/>
    <w:rsid w:val="00070583"/>
    <w:rsid w:val="00074526"/>
    <w:rsid w:val="00076924"/>
    <w:rsid w:val="00077D6F"/>
    <w:rsid w:val="00082CA8"/>
    <w:rsid w:val="0008460B"/>
    <w:rsid w:val="00087C18"/>
    <w:rsid w:val="00090C6E"/>
    <w:rsid w:val="00092516"/>
    <w:rsid w:val="000942C4"/>
    <w:rsid w:val="00096A7E"/>
    <w:rsid w:val="000A5327"/>
    <w:rsid w:val="000A5CE9"/>
    <w:rsid w:val="000A7BAE"/>
    <w:rsid w:val="000B2BB3"/>
    <w:rsid w:val="000B3310"/>
    <w:rsid w:val="000B6739"/>
    <w:rsid w:val="000C0009"/>
    <w:rsid w:val="000C1173"/>
    <w:rsid w:val="000C341B"/>
    <w:rsid w:val="000D775B"/>
    <w:rsid w:val="000E02CE"/>
    <w:rsid w:val="000E04C7"/>
    <w:rsid w:val="000E22DA"/>
    <w:rsid w:val="000E252D"/>
    <w:rsid w:val="000E3635"/>
    <w:rsid w:val="000E42C8"/>
    <w:rsid w:val="000F24FE"/>
    <w:rsid w:val="000F49CF"/>
    <w:rsid w:val="001040D8"/>
    <w:rsid w:val="001116AE"/>
    <w:rsid w:val="00113584"/>
    <w:rsid w:val="001164CC"/>
    <w:rsid w:val="00124F65"/>
    <w:rsid w:val="00125C4C"/>
    <w:rsid w:val="00126E1A"/>
    <w:rsid w:val="0012741C"/>
    <w:rsid w:val="00127784"/>
    <w:rsid w:val="00142A91"/>
    <w:rsid w:val="00144145"/>
    <w:rsid w:val="00144BD0"/>
    <w:rsid w:val="00150AC8"/>
    <w:rsid w:val="00155092"/>
    <w:rsid w:val="0015680F"/>
    <w:rsid w:val="00160C9E"/>
    <w:rsid w:val="0016235E"/>
    <w:rsid w:val="00164A83"/>
    <w:rsid w:val="00164FA9"/>
    <w:rsid w:val="00165778"/>
    <w:rsid w:val="00170FE7"/>
    <w:rsid w:val="00172FEF"/>
    <w:rsid w:val="001731A1"/>
    <w:rsid w:val="00173B6E"/>
    <w:rsid w:val="00177A7F"/>
    <w:rsid w:val="00181C5B"/>
    <w:rsid w:val="00182429"/>
    <w:rsid w:val="001847BE"/>
    <w:rsid w:val="00184CD4"/>
    <w:rsid w:val="0018508B"/>
    <w:rsid w:val="00187135"/>
    <w:rsid w:val="00192038"/>
    <w:rsid w:val="00196D95"/>
    <w:rsid w:val="00196FBB"/>
    <w:rsid w:val="001A4752"/>
    <w:rsid w:val="001A6931"/>
    <w:rsid w:val="001B32CB"/>
    <w:rsid w:val="001B70C2"/>
    <w:rsid w:val="001C033C"/>
    <w:rsid w:val="001C120B"/>
    <w:rsid w:val="001C1443"/>
    <w:rsid w:val="001C34DD"/>
    <w:rsid w:val="001C3702"/>
    <w:rsid w:val="001C3AD1"/>
    <w:rsid w:val="001C58FA"/>
    <w:rsid w:val="001D033B"/>
    <w:rsid w:val="001D085A"/>
    <w:rsid w:val="001D237C"/>
    <w:rsid w:val="001D3754"/>
    <w:rsid w:val="001D3CD2"/>
    <w:rsid w:val="001D5A75"/>
    <w:rsid w:val="001D7EDA"/>
    <w:rsid w:val="001D7F7F"/>
    <w:rsid w:val="001E044D"/>
    <w:rsid w:val="001E36D4"/>
    <w:rsid w:val="001F4CE2"/>
    <w:rsid w:val="00204413"/>
    <w:rsid w:val="002121A9"/>
    <w:rsid w:val="00213509"/>
    <w:rsid w:val="002204AD"/>
    <w:rsid w:val="002218D4"/>
    <w:rsid w:val="002229DB"/>
    <w:rsid w:val="002234FF"/>
    <w:rsid w:val="0022595F"/>
    <w:rsid w:val="00226BE5"/>
    <w:rsid w:val="00227134"/>
    <w:rsid w:val="00230E94"/>
    <w:rsid w:val="00231398"/>
    <w:rsid w:val="00235493"/>
    <w:rsid w:val="00235EBE"/>
    <w:rsid w:val="00240A45"/>
    <w:rsid w:val="00244E28"/>
    <w:rsid w:val="00256F5B"/>
    <w:rsid w:val="002570BD"/>
    <w:rsid w:val="00267CD5"/>
    <w:rsid w:val="00267DAD"/>
    <w:rsid w:val="00271E74"/>
    <w:rsid w:val="00271FCD"/>
    <w:rsid w:val="00272EC6"/>
    <w:rsid w:val="002748F8"/>
    <w:rsid w:val="002763BD"/>
    <w:rsid w:val="002769ED"/>
    <w:rsid w:val="0028478B"/>
    <w:rsid w:val="002905B2"/>
    <w:rsid w:val="00292F2E"/>
    <w:rsid w:val="0029480F"/>
    <w:rsid w:val="00295F8B"/>
    <w:rsid w:val="002A0543"/>
    <w:rsid w:val="002A0A39"/>
    <w:rsid w:val="002A2CAA"/>
    <w:rsid w:val="002A5710"/>
    <w:rsid w:val="002A5CEA"/>
    <w:rsid w:val="002A6781"/>
    <w:rsid w:val="002A6D3F"/>
    <w:rsid w:val="002B1E3F"/>
    <w:rsid w:val="002B61EE"/>
    <w:rsid w:val="002B653B"/>
    <w:rsid w:val="002C3C6D"/>
    <w:rsid w:val="002C3E26"/>
    <w:rsid w:val="002D69B9"/>
    <w:rsid w:val="002E555B"/>
    <w:rsid w:val="002F0AA6"/>
    <w:rsid w:val="002F3B15"/>
    <w:rsid w:val="002F6D24"/>
    <w:rsid w:val="00301162"/>
    <w:rsid w:val="00301313"/>
    <w:rsid w:val="003069DA"/>
    <w:rsid w:val="003149E8"/>
    <w:rsid w:val="00314B6A"/>
    <w:rsid w:val="00316EED"/>
    <w:rsid w:val="00321FAE"/>
    <w:rsid w:val="00323A85"/>
    <w:rsid w:val="00323F60"/>
    <w:rsid w:val="0032418F"/>
    <w:rsid w:val="003258EF"/>
    <w:rsid w:val="0033022F"/>
    <w:rsid w:val="003311B8"/>
    <w:rsid w:val="00333D44"/>
    <w:rsid w:val="00334B8C"/>
    <w:rsid w:val="0034304B"/>
    <w:rsid w:val="003501A5"/>
    <w:rsid w:val="00351071"/>
    <w:rsid w:val="00351F9D"/>
    <w:rsid w:val="00352EE1"/>
    <w:rsid w:val="00355CF2"/>
    <w:rsid w:val="0036073E"/>
    <w:rsid w:val="00363E02"/>
    <w:rsid w:val="00367D4F"/>
    <w:rsid w:val="00367E89"/>
    <w:rsid w:val="003718E9"/>
    <w:rsid w:val="00373845"/>
    <w:rsid w:val="003777B7"/>
    <w:rsid w:val="00380D19"/>
    <w:rsid w:val="003813C8"/>
    <w:rsid w:val="003932A9"/>
    <w:rsid w:val="003951E2"/>
    <w:rsid w:val="003A2F37"/>
    <w:rsid w:val="003A3297"/>
    <w:rsid w:val="003A4B4E"/>
    <w:rsid w:val="003A4F91"/>
    <w:rsid w:val="003A7436"/>
    <w:rsid w:val="003B4789"/>
    <w:rsid w:val="003C4082"/>
    <w:rsid w:val="003C503F"/>
    <w:rsid w:val="003C6501"/>
    <w:rsid w:val="003C6F06"/>
    <w:rsid w:val="003D31DE"/>
    <w:rsid w:val="003D4BAA"/>
    <w:rsid w:val="003D6B35"/>
    <w:rsid w:val="003E6BC6"/>
    <w:rsid w:val="003E7DCE"/>
    <w:rsid w:val="003F0C67"/>
    <w:rsid w:val="003F7B97"/>
    <w:rsid w:val="00400890"/>
    <w:rsid w:val="00400CB9"/>
    <w:rsid w:val="00402B96"/>
    <w:rsid w:val="0041197C"/>
    <w:rsid w:val="00412429"/>
    <w:rsid w:val="00414614"/>
    <w:rsid w:val="004247DC"/>
    <w:rsid w:val="00425F57"/>
    <w:rsid w:val="0043055E"/>
    <w:rsid w:val="00431009"/>
    <w:rsid w:val="0043167E"/>
    <w:rsid w:val="00431BC1"/>
    <w:rsid w:val="00443993"/>
    <w:rsid w:val="00447977"/>
    <w:rsid w:val="00447EE6"/>
    <w:rsid w:val="004538FF"/>
    <w:rsid w:val="00453E25"/>
    <w:rsid w:val="00460814"/>
    <w:rsid w:val="004618CE"/>
    <w:rsid w:val="00466347"/>
    <w:rsid w:val="00466C93"/>
    <w:rsid w:val="00467DF7"/>
    <w:rsid w:val="004732CB"/>
    <w:rsid w:val="00475C32"/>
    <w:rsid w:val="004802E1"/>
    <w:rsid w:val="00490B86"/>
    <w:rsid w:val="00491AED"/>
    <w:rsid w:val="00491B81"/>
    <w:rsid w:val="004923F6"/>
    <w:rsid w:val="004A4991"/>
    <w:rsid w:val="004A5836"/>
    <w:rsid w:val="004B2A94"/>
    <w:rsid w:val="004B69AC"/>
    <w:rsid w:val="004B77C8"/>
    <w:rsid w:val="004B7CB2"/>
    <w:rsid w:val="004C147A"/>
    <w:rsid w:val="004C2347"/>
    <w:rsid w:val="004C2B4A"/>
    <w:rsid w:val="004C3076"/>
    <w:rsid w:val="004C34C6"/>
    <w:rsid w:val="004C3573"/>
    <w:rsid w:val="004D2312"/>
    <w:rsid w:val="004D4B6F"/>
    <w:rsid w:val="004D6D91"/>
    <w:rsid w:val="004E0070"/>
    <w:rsid w:val="004E3D02"/>
    <w:rsid w:val="004E4AD5"/>
    <w:rsid w:val="004F0335"/>
    <w:rsid w:val="004F06D3"/>
    <w:rsid w:val="004F07FF"/>
    <w:rsid w:val="004F2C41"/>
    <w:rsid w:val="004F34EE"/>
    <w:rsid w:val="004F56D8"/>
    <w:rsid w:val="0050005E"/>
    <w:rsid w:val="00503AC7"/>
    <w:rsid w:val="00505EB0"/>
    <w:rsid w:val="005068B4"/>
    <w:rsid w:val="0051398F"/>
    <w:rsid w:val="00513D23"/>
    <w:rsid w:val="0051790C"/>
    <w:rsid w:val="00526E9D"/>
    <w:rsid w:val="00531423"/>
    <w:rsid w:val="0053187B"/>
    <w:rsid w:val="00536C57"/>
    <w:rsid w:val="00540625"/>
    <w:rsid w:val="005409D6"/>
    <w:rsid w:val="00547C02"/>
    <w:rsid w:val="005509FC"/>
    <w:rsid w:val="00550B0C"/>
    <w:rsid w:val="00555C22"/>
    <w:rsid w:val="005579BA"/>
    <w:rsid w:val="00561757"/>
    <w:rsid w:val="00567624"/>
    <w:rsid w:val="005778B8"/>
    <w:rsid w:val="005844CC"/>
    <w:rsid w:val="00591588"/>
    <w:rsid w:val="005962EC"/>
    <w:rsid w:val="005A6004"/>
    <w:rsid w:val="005A62CF"/>
    <w:rsid w:val="005B027F"/>
    <w:rsid w:val="005B28DD"/>
    <w:rsid w:val="005B2B02"/>
    <w:rsid w:val="005B2DEA"/>
    <w:rsid w:val="005B5AF4"/>
    <w:rsid w:val="005B64B1"/>
    <w:rsid w:val="005B6FF9"/>
    <w:rsid w:val="005C159F"/>
    <w:rsid w:val="005C2AEE"/>
    <w:rsid w:val="005C673F"/>
    <w:rsid w:val="005D7A08"/>
    <w:rsid w:val="005E1DF5"/>
    <w:rsid w:val="005E2702"/>
    <w:rsid w:val="005E54CD"/>
    <w:rsid w:val="005E551D"/>
    <w:rsid w:val="005F0FC4"/>
    <w:rsid w:val="005F2D68"/>
    <w:rsid w:val="005F698C"/>
    <w:rsid w:val="00600457"/>
    <w:rsid w:val="0060082F"/>
    <w:rsid w:val="00607375"/>
    <w:rsid w:val="0060749F"/>
    <w:rsid w:val="006160CC"/>
    <w:rsid w:val="0061721D"/>
    <w:rsid w:val="00620B34"/>
    <w:rsid w:val="00625DFB"/>
    <w:rsid w:val="006266C1"/>
    <w:rsid w:val="00626BA3"/>
    <w:rsid w:val="00636414"/>
    <w:rsid w:val="006414DA"/>
    <w:rsid w:val="00645E81"/>
    <w:rsid w:val="0065282F"/>
    <w:rsid w:val="00661DAC"/>
    <w:rsid w:val="0066267D"/>
    <w:rsid w:val="00666A8E"/>
    <w:rsid w:val="00666F97"/>
    <w:rsid w:val="006727AA"/>
    <w:rsid w:val="00673170"/>
    <w:rsid w:val="00675228"/>
    <w:rsid w:val="00680628"/>
    <w:rsid w:val="00680F91"/>
    <w:rsid w:val="00682558"/>
    <w:rsid w:val="00684D16"/>
    <w:rsid w:val="00685938"/>
    <w:rsid w:val="006911A0"/>
    <w:rsid w:val="006A2200"/>
    <w:rsid w:val="006A4D17"/>
    <w:rsid w:val="006B15B6"/>
    <w:rsid w:val="006B287B"/>
    <w:rsid w:val="006B2A29"/>
    <w:rsid w:val="006B3BD6"/>
    <w:rsid w:val="006B5909"/>
    <w:rsid w:val="006C3298"/>
    <w:rsid w:val="006C4001"/>
    <w:rsid w:val="006C665E"/>
    <w:rsid w:val="006C7760"/>
    <w:rsid w:val="006D0457"/>
    <w:rsid w:val="006D27FF"/>
    <w:rsid w:val="006D35E2"/>
    <w:rsid w:val="006D47A1"/>
    <w:rsid w:val="006D55F8"/>
    <w:rsid w:val="006D5C62"/>
    <w:rsid w:val="006E002F"/>
    <w:rsid w:val="006E21ED"/>
    <w:rsid w:val="006E5B90"/>
    <w:rsid w:val="006E7FB4"/>
    <w:rsid w:val="006F33AE"/>
    <w:rsid w:val="006F4C75"/>
    <w:rsid w:val="007077EF"/>
    <w:rsid w:val="0071182B"/>
    <w:rsid w:val="00713F72"/>
    <w:rsid w:val="00716B54"/>
    <w:rsid w:val="00717E0C"/>
    <w:rsid w:val="007223BE"/>
    <w:rsid w:val="00724328"/>
    <w:rsid w:val="007311FD"/>
    <w:rsid w:val="00732CCB"/>
    <w:rsid w:val="00737A2C"/>
    <w:rsid w:val="00741496"/>
    <w:rsid w:val="00742497"/>
    <w:rsid w:val="00751A6F"/>
    <w:rsid w:val="00760162"/>
    <w:rsid w:val="00760C89"/>
    <w:rsid w:val="007649A2"/>
    <w:rsid w:val="00773543"/>
    <w:rsid w:val="00773BB8"/>
    <w:rsid w:val="00773D05"/>
    <w:rsid w:val="00786A73"/>
    <w:rsid w:val="007916A0"/>
    <w:rsid w:val="00794836"/>
    <w:rsid w:val="00795196"/>
    <w:rsid w:val="00797724"/>
    <w:rsid w:val="007A00DA"/>
    <w:rsid w:val="007A031A"/>
    <w:rsid w:val="007A0A61"/>
    <w:rsid w:val="007A2857"/>
    <w:rsid w:val="007A2FD8"/>
    <w:rsid w:val="007A7265"/>
    <w:rsid w:val="007B2EC7"/>
    <w:rsid w:val="007B4042"/>
    <w:rsid w:val="007C30FD"/>
    <w:rsid w:val="007C7CA4"/>
    <w:rsid w:val="007D0C0D"/>
    <w:rsid w:val="007D2533"/>
    <w:rsid w:val="007D4444"/>
    <w:rsid w:val="007D5BB2"/>
    <w:rsid w:val="007D745E"/>
    <w:rsid w:val="007E171E"/>
    <w:rsid w:val="007E47E4"/>
    <w:rsid w:val="007E6FB0"/>
    <w:rsid w:val="007E719B"/>
    <w:rsid w:val="007F095E"/>
    <w:rsid w:val="007F569E"/>
    <w:rsid w:val="007F6335"/>
    <w:rsid w:val="007F6F40"/>
    <w:rsid w:val="00800C49"/>
    <w:rsid w:val="00802573"/>
    <w:rsid w:val="00803039"/>
    <w:rsid w:val="0081204F"/>
    <w:rsid w:val="0081226F"/>
    <w:rsid w:val="00814AFF"/>
    <w:rsid w:val="00825D05"/>
    <w:rsid w:val="00826A65"/>
    <w:rsid w:val="00830618"/>
    <w:rsid w:val="00832964"/>
    <w:rsid w:val="00837B93"/>
    <w:rsid w:val="008403C0"/>
    <w:rsid w:val="00841163"/>
    <w:rsid w:val="008411FD"/>
    <w:rsid w:val="00841EB0"/>
    <w:rsid w:val="00842B60"/>
    <w:rsid w:val="0084386A"/>
    <w:rsid w:val="00846942"/>
    <w:rsid w:val="00852048"/>
    <w:rsid w:val="00852892"/>
    <w:rsid w:val="00852914"/>
    <w:rsid w:val="00854F12"/>
    <w:rsid w:val="008551B7"/>
    <w:rsid w:val="00860261"/>
    <w:rsid w:val="00861033"/>
    <w:rsid w:val="0086541C"/>
    <w:rsid w:val="00865A79"/>
    <w:rsid w:val="008671C3"/>
    <w:rsid w:val="00871D13"/>
    <w:rsid w:val="008746B4"/>
    <w:rsid w:val="00880AC7"/>
    <w:rsid w:val="00881BCF"/>
    <w:rsid w:val="00882E28"/>
    <w:rsid w:val="008839E3"/>
    <w:rsid w:val="00885FD7"/>
    <w:rsid w:val="00890483"/>
    <w:rsid w:val="00890740"/>
    <w:rsid w:val="00892891"/>
    <w:rsid w:val="008937E7"/>
    <w:rsid w:val="00894105"/>
    <w:rsid w:val="008B0E68"/>
    <w:rsid w:val="008B143B"/>
    <w:rsid w:val="008B49ED"/>
    <w:rsid w:val="008B4C27"/>
    <w:rsid w:val="008B4DAE"/>
    <w:rsid w:val="008B53A1"/>
    <w:rsid w:val="008C6913"/>
    <w:rsid w:val="008C71FA"/>
    <w:rsid w:val="008D122C"/>
    <w:rsid w:val="008D13A6"/>
    <w:rsid w:val="008D1FFC"/>
    <w:rsid w:val="008D2D7B"/>
    <w:rsid w:val="008D4476"/>
    <w:rsid w:val="008D4790"/>
    <w:rsid w:val="008D652D"/>
    <w:rsid w:val="008D706E"/>
    <w:rsid w:val="008D7FC5"/>
    <w:rsid w:val="008E002B"/>
    <w:rsid w:val="008E0297"/>
    <w:rsid w:val="008E213D"/>
    <w:rsid w:val="008E3FD3"/>
    <w:rsid w:val="008F0317"/>
    <w:rsid w:val="008F7217"/>
    <w:rsid w:val="008F75D8"/>
    <w:rsid w:val="00905BF5"/>
    <w:rsid w:val="009061C9"/>
    <w:rsid w:val="00911EB4"/>
    <w:rsid w:val="009129B3"/>
    <w:rsid w:val="00931962"/>
    <w:rsid w:val="00931C45"/>
    <w:rsid w:val="00933914"/>
    <w:rsid w:val="00934C75"/>
    <w:rsid w:val="009376B9"/>
    <w:rsid w:val="00940AD0"/>
    <w:rsid w:val="00941174"/>
    <w:rsid w:val="009427FF"/>
    <w:rsid w:val="00944622"/>
    <w:rsid w:val="009456E1"/>
    <w:rsid w:val="00946621"/>
    <w:rsid w:val="00951EC5"/>
    <w:rsid w:val="0095333A"/>
    <w:rsid w:val="00955D23"/>
    <w:rsid w:val="009565A2"/>
    <w:rsid w:val="0096089E"/>
    <w:rsid w:val="0096515D"/>
    <w:rsid w:val="0096566E"/>
    <w:rsid w:val="00966337"/>
    <w:rsid w:val="00972027"/>
    <w:rsid w:val="00974256"/>
    <w:rsid w:val="00975408"/>
    <w:rsid w:val="00976DA5"/>
    <w:rsid w:val="0097719F"/>
    <w:rsid w:val="00981709"/>
    <w:rsid w:val="009826C5"/>
    <w:rsid w:val="00985CF6"/>
    <w:rsid w:val="0099238C"/>
    <w:rsid w:val="00992459"/>
    <w:rsid w:val="00995A13"/>
    <w:rsid w:val="009960A7"/>
    <w:rsid w:val="009A4AD5"/>
    <w:rsid w:val="009A7A79"/>
    <w:rsid w:val="009C3CC3"/>
    <w:rsid w:val="009C5D48"/>
    <w:rsid w:val="009C7D50"/>
    <w:rsid w:val="009D0C04"/>
    <w:rsid w:val="009D0D40"/>
    <w:rsid w:val="009E3553"/>
    <w:rsid w:val="009F16D0"/>
    <w:rsid w:val="009F1F91"/>
    <w:rsid w:val="009F5833"/>
    <w:rsid w:val="00A014E1"/>
    <w:rsid w:val="00A02B9E"/>
    <w:rsid w:val="00A10AA2"/>
    <w:rsid w:val="00A11193"/>
    <w:rsid w:val="00A120C0"/>
    <w:rsid w:val="00A12BED"/>
    <w:rsid w:val="00A133B7"/>
    <w:rsid w:val="00A13713"/>
    <w:rsid w:val="00A17684"/>
    <w:rsid w:val="00A20458"/>
    <w:rsid w:val="00A21C5D"/>
    <w:rsid w:val="00A25F26"/>
    <w:rsid w:val="00A274DF"/>
    <w:rsid w:val="00A3598A"/>
    <w:rsid w:val="00A40030"/>
    <w:rsid w:val="00A44D04"/>
    <w:rsid w:val="00A52A45"/>
    <w:rsid w:val="00A56DC1"/>
    <w:rsid w:val="00A651C5"/>
    <w:rsid w:val="00A6749C"/>
    <w:rsid w:val="00A71140"/>
    <w:rsid w:val="00A779F3"/>
    <w:rsid w:val="00A8320C"/>
    <w:rsid w:val="00A832B5"/>
    <w:rsid w:val="00A95013"/>
    <w:rsid w:val="00A97BD7"/>
    <w:rsid w:val="00AA2FDC"/>
    <w:rsid w:val="00AB50BD"/>
    <w:rsid w:val="00AC4B40"/>
    <w:rsid w:val="00AC4E5F"/>
    <w:rsid w:val="00AD2ACD"/>
    <w:rsid w:val="00AD6126"/>
    <w:rsid w:val="00AE06CD"/>
    <w:rsid w:val="00AE097C"/>
    <w:rsid w:val="00AE2665"/>
    <w:rsid w:val="00AE4BDE"/>
    <w:rsid w:val="00AF0442"/>
    <w:rsid w:val="00AF1FC2"/>
    <w:rsid w:val="00AF7A17"/>
    <w:rsid w:val="00B012C3"/>
    <w:rsid w:val="00B01B47"/>
    <w:rsid w:val="00B01EB2"/>
    <w:rsid w:val="00B0500D"/>
    <w:rsid w:val="00B06108"/>
    <w:rsid w:val="00B0656D"/>
    <w:rsid w:val="00B07E2F"/>
    <w:rsid w:val="00B1164C"/>
    <w:rsid w:val="00B1178D"/>
    <w:rsid w:val="00B15CC8"/>
    <w:rsid w:val="00B2080D"/>
    <w:rsid w:val="00B22AB1"/>
    <w:rsid w:val="00B23727"/>
    <w:rsid w:val="00B2607A"/>
    <w:rsid w:val="00B27EC7"/>
    <w:rsid w:val="00B30FDF"/>
    <w:rsid w:val="00B3635A"/>
    <w:rsid w:val="00B376D4"/>
    <w:rsid w:val="00B44B63"/>
    <w:rsid w:val="00B44C36"/>
    <w:rsid w:val="00B501C4"/>
    <w:rsid w:val="00B511EE"/>
    <w:rsid w:val="00B51419"/>
    <w:rsid w:val="00B52080"/>
    <w:rsid w:val="00B5220D"/>
    <w:rsid w:val="00B529B8"/>
    <w:rsid w:val="00B54BB6"/>
    <w:rsid w:val="00B54D96"/>
    <w:rsid w:val="00B54DE5"/>
    <w:rsid w:val="00B54F4B"/>
    <w:rsid w:val="00B651D4"/>
    <w:rsid w:val="00B6741F"/>
    <w:rsid w:val="00B67976"/>
    <w:rsid w:val="00B71DA4"/>
    <w:rsid w:val="00B7393E"/>
    <w:rsid w:val="00B748E9"/>
    <w:rsid w:val="00B809D4"/>
    <w:rsid w:val="00B82370"/>
    <w:rsid w:val="00B82C56"/>
    <w:rsid w:val="00B84A11"/>
    <w:rsid w:val="00B86D74"/>
    <w:rsid w:val="00B925D6"/>
    <w:rsid w:val="00B933BE"/>
    <w:rsid w:val="00B93517"/>
    <w:rsid w:val="00B9548E"/>
    <w:rsid w:val="00BA1D10"/>
    <w:rsid w:val="00BB0340"/>
    <w:rsid w:val="00BB2BED"/>
    <w:rsid w:val="00BB3F87"/>
    <w:rsid w:val="00BB49AE"/>
    <w:rsid w:val="00BB6A67"/>
    <w:rsid w:val="00BB7BB8"/>
    <w:rsid w:val="00BC0BCE"/>
    <w:rsid w:val="00BC13E5"/>
    <w:rsid w:val="00BC2DD7"/>
    <w:rsid w:val="00BC6D0C"/>
    <w:rsid w:val="00BD04EB"/>
    <w:rsid w:val="00BD2B64"/>
    <w:rsid w:val="00BD31E8"/>
    <w:rsid w:val="00BD6E59"/>
    <w:rsid w:val="00BE07C9"/>
    <w:rsid w:val="00BE0F7B"/>
    <w:rsid w:val="00BE4F0F"/>
    <w:rsid w:val="00BE7C37"/>
    <w:rsid w:val="00BF3478"/>
    <w:rsid w:val="00BF452C"/>
    <w:rsid w:val="00C03941"/>
    <w:rsid w:val="00C0529C"/>
    <w:rsid w:val="00C10988"/>
    <w:rsid w:val="00C10E05"/>
    <w:rsid w:val="00C1207F"/>
    <w:rsid w:val="00C134A5"/>
    <w:rsid w:val="00C142B8"/>
    <w:rsid w:val="00C15A4E"/>
    <w:rsid w:val="00C15FA2"/>
    <w:rsid w:val="00C22356"/>
    <w:rsid w:val="00C26235"/>
    <w:rsid w:val="00C27C51"/>
    <w:rsid w:val="00C31075"/>
    <w:rsid w:val="00C336AD"/>
    <w:rsid w:val="00C36B67"/>
    <w:rsid w:val="00C40C8E"/>
    <w:rsid w:val="00C4295C"/>
    <w:rsid w:val="00C440A5"/>
    <w:rsid w:val="00C5023B"/>
    <w:rsid w:val="00C50E21"/>
    <w:rsid w:val="00C5185C"/>
    <w:rsid w:val="00C5197A"/>
    <w:rsid w:val="00C53F3E"/>
    <w:rsid w:val="00C54667"/>
    <w:rsid w:val="00C5474F"/>
    <w:rsid w:val="00C55622"/>
    <w:rsid w:val="00C57187"/>
    <w:rsid w:val="00C60316"/>
    <w:rsid w:val="00C638BF"/>
    <w:rsid w:val="00C71393"/>
    <w:rsid w:val="00C74D15"/>
    <w:rsid w:val="00C82A0A"/>
    <w:rsid w:val="00C8763C"/>
    <w:rsid w:val="00C91571"/>
    <w:rsid w:val="00C91B81"/>
    <w:rsid w:val="00CA1624"/>
    <w:rsid w:val="00CA2FEE"/>
    <w:rsid w:val="00CA3A83"/>
    <w:rsid w:val="00CB5C32"/>
    <w:rsid w:val="00CC1474"/>
    <w:rsid w:val="00CC1D4A"/>
    <w:rsid w:val="00CC6FBC"/>
    <w:rsid w:val="00CD1581"/>
    <w:rsid w:val="00CD7F0C"/>
    <w:rsid w:val="00CE0A9A"/>
    <w:rsid w:val="00CF27C1"/>
    <w:rsid w:val="00CF3736"/>
    <w:rsid w:val="00CF6831"/>
    <w:rsid w:val="00CF7BED"/>
    <w:rsid w:val="00D039EC"/>
    <w:rsid w:val="00D04555"/>
    <w:rsid w:val="00D116EF"/>
    <w:rsid w:val="00D15F7A"/>
    <w:rsid w:val="00D21C72"/>
    <w:rsid w:val="00D270ED"/>
    <w:rsid w:val="00D31050"/>
    <w:rsid w:val="00D31579"/>
    <w:rsid w:val="00D355C9"/>
    <w:rsid w:val="00D36A0F"/>
    <w:rsid w:val="00D45963"/>
    <w:rsid w:val="00D502FB"/>
    <w:rsid w:val="00D50A52"/>
    <w:rsid w:val="00D52874"/>
    <w:rsid w:val="00D5309A"/>
    <w:rsid w:val="00D5720F"/>
    <w:rsid w:val="00D6056F"/>
    <w:rsid w:val="00D65522"/>
    <w:rsid w:val="00D731BE"/>
    <w:rsid w:val="00D734F1"/>
    <w:rsid w:val="00D75A49"/>
    <w:rsid w:val="00D77CC1"/>
    <w:rsid w:val="00D81320"/>
    <w:rsid w:val="00D82D16"/>
    <w:rsid w:val="00D90ECF"/>
    <w:rsid w:val="00D9140E"/>
    <w:rsid w:val="00D93D38"/>
    <w:rsid w:val="00DA14F0"/>
    <w:rsid w:val="00DA29AD"/>
    <w:rsid w:val="00DB20A9"/>
    <w:rsid w:val="00DB34A5"/>
    <w:rsid w:val="00DB34D3"/>
    <w:rsid w:val="00DB564B"/>
    <w:rsid w:val="00DD17E5"/>
    <w:rsid w:val="00DD442C"/>
    <w:rsid w:val="00DD4F01"/>
    <w:rsid w:val="00DE18C8"/>
    <w:rsid w:val="00DE4435"/>
    <w:rsid w:val="00DE6A39"/>
    <w:rsid w:val="00DE7D94"/>
    <w:rsid w:val="00DF04C8"/>
    <w:rsid w:val="00DF3202"/>
    <w:rsid w:val="00DF6969"/>
    <w:rsid w:val="00E044C5"/>
    <w:rsid w:val="00E11CC7"/>
    <w:rsid w:val="00E13FE7"/>
    <w:rsid w:val="00E15128"/>
    <w:rsid w:val="00E17CD1"/>
    <w:rsid w:val="00E225F0"/>
    <w:rsid w:val="00E32A7E"/>
    <w:rsid w:val="00E32E81"/>
    <w:rsid w:val="00E40340"/>
    <w:rsid w:val="00E47CF0"/>
    <w:rsid w:val="00E62BC0"/>
    <w:rsid w:val="00E673AA"/>
    <w:rsid w:val="00E73BE7"/>
    <w:rsid w:val="00E7468D"/>
    <w:rsid w:val="00E76CDB"/>
    <w:rsid w:val="00E800AC"/>
    <w:rsid w:val="00E80874"/>
    <w:rsid w:val="00E81199"/>
    <w:rsid w:val="00E81C6C"/>
    <w:rsid w:val="00E856FB"/>
    <w:rsid w:val="00E85C9C"/>
    <w:rsid w:val="00E94DCC"/>
    <w:rsid w:val="00EA0F07"/>
    <w:rsid w:val="00EA21E5"/>
    <w:rsid w:val="00EA23E4"/>
    <w:rsid w:val="00EA2B0C"/>
    <w:rsid w:val="00EA2FEB"/>
    <w:rsid w:val="00EA3EE3"/>
    <w:rsid w:val="00EA6035"/>
    <w:rsid w:val="00EA648A"/>
    <w:rsid w:val="00EA6EBA"/>
    <w:rsid w:val="00EC4DAD"/>
    <w:rsid w:val="00EC4F6F"/>
    <w:rsid w:val="00EC5D02"/>
    <w:rsid w:val="00ED1216"/>
    <w:rsid w:val="00ED282D"/>
    <w:rsid w:val="00ED2A9A"/>
    <w:rsid w:val="00ED4456"/>
    <w:rsid w:val="00EE6216"/>
    <w:rsid w:val="00EF1531"/>
    <w:rsid w:val="00EF249C"/>
    <w:rsid w:val="00EF263D"/>
    <w:rsid w:val="00EF4A64"/>
    <w:rsid w:val="00EF4CB1"/>
    <w:rsid w:val="00EF6750"/>
    <w:rsid w:val="00F00365"/>
    <w:rsid w:val="00F0576F"/>
    <w:rsid w:val="00F0739D"/>
    <w:rsid w:val="00F078E7"/>
    <w:rsid w:val="00F07B26"/>
    <w:rsid w:val="00F1485F"/>
    <w:rsid w:val="00F24914"/>
    <w:rsid w:val="00F26173"/>
    <w:rsid w:val="00F377CE"/>
    <w:rsid w:val="00F40E6F"/>
    <w:rsid w:val="00F41F41"/>
    <w:rsid w:val="00F45CE2"/>
    <w:rsid w:val="00F477D7"/>
    <w:rsid w:val="00F5198D"/>
    <w:rsid w:val="00F534FE"/>
    <w:rsid w:val="00F62862"/>
    <w:rsid w:val="00F64D67"/>
    <w:rsid w:val="00F654FB"/>
    <w:rsid w:val="00F704C3"/>
    <w:rsid w:val="00F714F9"/>
    <w:rsid w:val="00F72363"/>
    <w:rsid w:val="00F73F43"/>
    <w:rsid w:val="00F740EB"/>
    <w:rsid w:val="00F74A55"/>
    <w:rsid w:val="00F753A1"/>
    <w:rsid w:val="00F77416"/>
    <w:rsid w:val="00F77864"/>
    <w:rsid w:val="00F810B1"/>
    <w:rsid w:val="00F828E7"/>
    <w:rsid w:val="00F85D3A"/>
    <w:rsid w:val="00F86F7D"/>
    <w:rsid w:val="00F90281"/>
    <w:rsid w:val="00F9262D"/>
    <w:rsid w:val="00F975C8"/>
    <w:rsid w:val="00F97F03"/>
    <w:rsid w:val="00FA084F"/>
    <w:rsid w:val="00FB1FEF"/>
    <w:rsid w:val="00FB5D56"/>
    <w:rsid w:val="00FB5E23"/>
    <w:rsid w:val="00FC25C6"/>
    <w:rsid w:val="00FC30A8"/>
    <w:rsid w:val="00FC4AD9"/>
    <w:rsid w:val="00FC58E3"/>
    <w:rsid w:val="00FC6C69"/>
    <w:rsid w:val="00FC7ECF"/>
    <w:rsid w:val="00FD247B"/>
    <w:rsid w:val="00FD4A9E"/>
    <w:rsid w:val="00FD506A"/>
    <w:rsid w:val="00FD5AEA"/>
    <w:rsid w:val="00FD66FB"/>
    <w:rsid w:val="00FD78E0"/>
    <w:rsid w:val="00FE1C38"/>
    <w:rsid w:val="00FF3444"/>
    <w:rsid w:val="00FF489D"/>
    <w:rsid w:val="00FF64E0"/>
    <w:rsid w:val="00FF68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C134A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6D5C62"/>
    <w:pPr>
      <w:tabs>
        <w:tab w:val="center" w:pos="4153"/>
        <w:tab w:val="right" w:pos="8306"/>
      </w:tabs>
    </w:pPr>
  </w:style>
  <w:style w:type="character" w:customStyle="1" w:styleId="HeaderChar">
    <w:name w:val="Header Char"/>
    <w:basedOn w:val="DefaultParagraphFont"/>
    <w:link w:val="Header"/>
    <w:uiPriority w:val="99"/>
    <w:rsid w:val="006D5C62"/>
    <w:rPr>
      <w:rFonts w:eastAsia="Times New Roman" w:cs="Times New Roman"/>
      <w:szCs w:val="24"/>
      <w:lang w:val="lv-LV" w:eastAsia="ru-RU"/>
    </w:rPr>
  </w:style>
  <w:style w:type="paragraph" w:styleId="Footer">
    <w:name w:val="footer"/>
    <w:basedOn w:val="Normal"/>
    <w:link w:val="FooterChar"/>
    <w:uiPriority w:val="99"/>
    <w:unhideWhenUsed/>
    <w:rsid w:val="006D5C62"/>
    <w:pPr>
      <w:tabs>
        <w:tab w:val="center" w:pos="4153"/>
        <w:tab w:val="right" w:pos="8306"/>
      </w:tabs>
    </w:pPr>
  </w:style>
  <w:style w:type="character" w:customStyle="1" w:styleId="FooterChar">
    <w:name w:val="Footer Char"/>
    <w:basedOn w:val="DefaultParagraphFont"/>
    <w:link w:val="Footer"/>
    <w:uiPriority w:val="99"/>
    <w:rsid w:val="006D5C62"/>
    <w:rPr>
      <w:rFonts w:eastAsia="Times New Roman" w:cs="Times New Roman"/>
      <w:szCs w:val="24"/>
      <w:lang w:val="lv-LV" w:eastAsia="ru-RU"/>
    </w:rPr>
  </w:style>
  <w:style w:type="character" w:styleId="Hyperlink">
    <w:name w:val="Hyperlink"/>
    <w:basedOn w:val="DefaultParagraphFont"/>
    <w:uiPriority w:val="99"/>
    <w:unhideWhenUsed/>
    <w:rsid w:val="00EA3EE3"/>
    <w:rPr>
      <w:color w:val="0563C1" w:themeColor="hyperlink"/>
      <w:u w:val="single"/>
    </w:rPr>
  </w:style>
  <w:style w:type="paragraph" w:styleId="ListParagraph">
    <w:name w:val="List Paragraph"/>
    <w:basedOn w:val="Normal"/>
    <w:uiPriority w:val="34"/>
    <w:qFormat/>
    <w:rsid w:val="00142A91"/>
    <w:pPr>
      <w:ind w:left="720"/>
      <w:contextualSpacing/>
    </w:pPr>
  </w:style>
  <w:style w:type="paragraph" w:customStyle="1" w:styleId="tv213">
    <w:name w:val="tv213"/>
    <w:basedOn w:val="Normal"/>
    <w:rsid w:val="006E002F"/>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802573"/>
    <w:rPr>
      <w:color w:val="605E5C"/>
      <w:shd w:val="clear" w:color="auto" w:fill="E1DFDD"/>
    </w:rPr>
  </w:style>
  <w:style w:type="paragraph" w:styleId="Revision">
    <w:name w:val="Revision"/>
    <w:hidden/>
    <w:uiPriority w:val="99"/>
    <w:semiHidden/>
    <w:rsid w:val="00BC13E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C10988"/>
    <w:rPr>
      <w:sz w:val="16"/>
      <w:szCs w:val="16"/>
    </w:rPr>
  </w:style>
  <w:style w:type="paragraph" w:styleId="CommentText">
    <w:name w:val="annotation text"/>
    <w:basedOn w:val="Normal"/>
    <w:link w:val="CommentTextChar"/>
    <w:uiPriority w:val="99"/>
    <w:unhideWhenUsed/>
    <w:rsid w:val="00C10988"/>
    <w:rPr>
      <w:sz w:val="20"/>
      <w:szCs w:val="20"/>
    </w:rPr>
  </w:style>
  <w:style w:type="character" w:customStyle="1" w:styleId="CommentTextChar">
    <w:name w:val="Comment Text Char"/>
    <w:basedOn w:val="DefaultParagraphFont"/>
    <w:link w:val="CommentText"/>
    <w:uiPriority w:val="99"/>
    <w:rsid w:val="00C10988"/>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10988"/>
    <w:rPr>
      <w:b/>
      <w:bCs/>
    </w:rPr>
  </w:style>
  <w:style w:type="character" w:customStyle="1" w:styleId="CommentSubjectChar">
    <w:name w:val="Comment Subject Char"/>
    <w:basedOn w:val="CommentTextChar"/>
    <w:link w:val="CommentSubject"/>
    <w:uiPriority w:val="99"/>
    <w:semiHidden/>
    <w:rsid w:val="00C10988"/>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4A5836"/>
    <w:rPr>
      <w:color w:val="954F72" w:themeColor="followedHyperlink"/>
      <w:u w:val="single"/>
    </w:rPr>
  </w:style>
  <w:style w:type="character" w:customStyle="1" w:styleId="Heading3Char">
    <w:name w:val="Heading 3 Char"/>
    <w:basedOn w:val="DefaultParagraphFont"/>
    <w:link w:val="Heading3"/>
    <w:uiPriority w:val="9"/>
    <w:semiHidden/>
    <w:rsid w:val="00C134A5"/>
    <w:rPr>
      <w:rFonts w:asciiTheme="majorHAnsi" w:eastAsiaTheme="majorEastAsia" w:hAnsiTheme="majorHAnsi" w:cstheme="majorBidi"/>
      <w:color w:val="1F4D78" w:themeColor="accent1" w:themeShade="7F"/>
      <w:szCs w:val="24"/>
      <w:lang w:val="lv-LV" w:eastAsia="ru-RU"/>
    </w:rPr>
  </w:style>
  <w:style w:type="paragraph" w:styleId="NoSpacing">
    <w:name w:val="No Spacing"/>
    <w:uiPriority w:val="1"/>
    <w:qFormat/>
    <w:rsid w:val="005579BA"/>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023">
      <w:bodyDiv w:val="1"/>
      <w:marLeft w:val="0"/>
      <w:marRight w:val="0"/>
      <w:marTop w:val="0"/>
      <w:marBottom w:val="0"/>
      <w:divBdr>
        <w:top w:val="none" w:sz="0" w:space="0" w:color="auto"/>
        <w:left w:val="none" w:sz="0" w:space="0" w:color="auto"/>
        <w:bottom w:val="none" w:sz="0" w:space="0" w:color="auto"/>
        <w:right w:val="none" w:sz="0" w:space="0" w:color="auto"/>
      </w:divBdr>
    </w:div>
    <w:div w:id="135337511">
      <w:bodyDiv w:val="1"/>
      <w:marLeft w:val="0"/>
      <w:marRight w:val="0"/>
      <w:marTop w:val="0"/>
      <w:marBottom w:val="0"/>
      <w:divBdr>
        <w:top w:val="none" w:sz="0" w:space="0" w:color="auto"/>
        <w:left w:val="none" w:sz="0" w:space="0" w:color="auto"/>
        <w:bottom w:val="none" w:sz="0" w:space="0" w:color="auto"/>
        <w:right w:val="none" w:sz="0" w:space="0" w:color="auto"/>
      </w:divBdr>
    </w:div>
    <w:div w:id="243998513">
      <w:bodyDiv w:val="1"/>
      <w:marLeft w:val="0"/>
      <w:marRight w:val="0"/>
      <w:marTop w:val="0"/>
      <w:marBottom w:val="0"/>
      <w:divBdr>
        <w:top w:val="none" w:sz="0" w:space="0" w:color="auto"/>
        <w:left w:val="none" w:sz="0" w:space="0" w:color="auto"/>
        <w:bottom w:val="none" w:sz="0" w:space="0" w:color="auto"/>
        <w:right w:val="none" w:sz="0" w:space="0" w:color="auto"/>
      </w:divBdr>
    </w:div>
    <w:div w:id="279070351">
      <w:bodyDiv w:val="1"/>
      <w:marLeft w:val="0"/>
      <w:marRight w:val="0"/>
      <w:marTop w:val="0"/>
      <w:marBottom w:val="0"/>
      <w:divBdr>
        <w:top w:val="none" w:sz="0" w:space="0" w:color="auto"/>
        <w:left w:val="none" w:sz="0" w:space="0" w:color="auto"/>
        <w:bottom w:val="none" w:sz="0" w:space="0" w:color="auto"/>
        <w:right w:val="none" w:sz="0" w:space="0" w:color="auto"/>
      </w:divBdr>
    </w:div>
    <w:div w:id="394668223">
      <w:bodyDiv w:val="1"/>
      <w:marLeft w:val="0"/>
      <w:marRight w:val="0"/>
      <w:marTop w:val="0"/>
      <w:marBottom w:val="0"/>
      <w:divBdr>
        <w:top w:val="none" w:sz="0" w:space="0" w:color="auto"/>
        <w:left w:val="none" w:sz="0" w:space="0" w:color="auto"/>
        <w:bottom w:val="none" w:sz="0" w:space="0" w:color="auto"/>
        <w:right w:val="none" w:sz="0" w:space="0" w:color="auto"/>
      </w:divBdr>
    </w:div>
    <w:div w:id="419955301">
      <w:bodyDiv w:val="1"/>
      <w:marLeft w:val="0"/>
      <w:marRight w:val="0"/>
      <w:marTop w:val="0"/>
      <w:marBottom w:val="0"/>
      <w:divBdr>
        <w:top w:val="none" w:sz="0" w:space="0" w:color="auto"/>
        <w:left w:val="none" w:sz="0" w:space="0" w:color="auto"/>
        <w:bottom w:val="none" w:sz="0" w:space="0" w:color="auto"/>
        <w:right w:val="none" w:sz="0" w:space="0" w:color="auto"/>
      </w:divBdr>
    </w:div>
    <w:div w:id="462313830">
      <w:bodyDiv w:val="1"/>
      <w:marLeft w:val="0"/>
      <w:marRight w:val="0"/>
      <w:marTop w:val="0"/>
      <w:marBottom w:val="0"/>
      <w:divBdr>
        <w:top w:val="none" w:sz="0" w:space="0" w:color="auto"/>
        <w:left w:val="none" w:sz="0" w:space="0" w:color="auto"/>
        <w:bottom w:val="none" w:sz="0" w:space="0" w:color="auto"/>
        <w:right w:val="none" w:sz="0" w:space="0" w:color="auto"/>
      </w:divBdr>
    </w:div>
    <w:div w:id="702636213">
      <w:bodyDiv w:val="1"/>
      <w:marLeft w:val="0"/>
      <w:marRight w:val="0"/>
      <w:marTop w:val="0"/>
      <w:marBottom w:val="0"/>
      <w:divBdr>
        <w:top w:val="none" w:sz="0" w:space="0" w:color="auto"/>
        <w:left w:val="none" w:sz="0" w:space="0" w:color="auto"/>
        <w:bottom w:val="none" w:sz="0" w:space="0" w:color="auto"/>
        <w:right w:val="none" w:sz="0" w:space="0" w:color="auto"/>
      </w:divBdr>
      <w:divsChild>
        <w:div w:id="1114013476">
          <w:marLeft w:val="0"/>
          <w:marRight w:val="0"/>
          <w:marTop w:val="0"/>
          <w:marBottom w:val="0"/>
          <w:divBdr>
            <w:top w:val="none" w:sz="0" w:space="0" w:color="auto"/>
            <w:left w:val="none" w:sz="0" w:space="0" w:color="auto"/>
            <w:bottom w:val="none" w:sz="0" w:space="0" w:color="auto"/>
            <w:right w:val="none" w:sz="0" w:space="0" w:color="auto"/>
          </w:divBdr>
          <w:divsChild>
            <w:div w:id="306471010">
              <w:marLeft w:val="0"/>
              <w:marRight w:val="0"/>
              <w:marTop w:val="0"/>
              <w:marBottom w:val="0"/>
              <w:divBdr>
                <w:top w:val="none" w:sz="0" w:space="0" w:color="auto"/>
                <w:left w:val="none" w:sz="0" w:space="0" w:color="auto"/>
                <w:bottom w:val="none" w:sz="0" w:space="0" w:color="auto"/>
                <w:right w:val="none" w:sz="0" w:space="0" w:color="auto"/>
              </w:divBdr>
              <w:divsChild>
                <w:div w:id="162162375">
                  <w:marLeft w:val="0"/>
                  <w:marRight w:val="0"/>
                  <w:marTop w:val="0"/>
                  <w:marBottom w:val="0"/>
                  <w:divBdr>
                    <w:top w:val="none" w:sz="0" w:space="0" w:color="auto"/>
                    <w:left w:val="none" w:sz="0" w:space="0" w:color="auto"/>
                    <w:bottom w:val="none" w:sz="0" w:space="0" w:color="auto"/>
                    <w:right w:val="none" w:sz="0" w:space="0" w:color="auto"/>
                  </w:divBdr>
                  <w:divsChild>
                    <w:div w:id="53546652">
                      <w:marLeft w:val="0"/>
                      <w:marRight w:val="0"/>
                      <w:marTop w:val="0"/>
                      <w:marBottom w:val="0"/>
                      <w:divBdr>
                        <w:top w:val="none" w:sz="0" w:space="0" w:color="auto"/>
                        <w:left w:val="none" w:sz="0" w:space="0" w:color="auto"/>
                        <w:bottom w:val="none" w:sz="0" w:space="0" w:color="auto"/>
                        <w:right w:val="none" w:sz="0" w:space="0" w:color="auto"/>
                      </w:divBdr>
                      <w:divsChild>
                        <w:div w:id="2107722871">
                          <w:marLeft w:val="0"/>
                          <w:marRight w:val="0"/>
                          <w:marTop w:val="0"/>
                          <w:marBottom w:val="0"/>
                          <w:divBdr>
                            <w:top w:val="none" w:sz="0" w:space="0" w:color="auto"/>
                            <w:left w:val="none" w:sz="0" w:space="0" w:color="auto"/>
                            <w:bottom w:val="none" w:sz="0" w:space="0" w:color="auto"/>
                            <w:right w:val="none" w:sz="0" w:space="0" w:color="auto"/>
                          </w:divBdr>
                          <w:divsChild>
                            <w:div w:id="1576434803">
                              <w:marLeft w:val="0"/>
                              <w:marRight w:val="0"/>
                              <w:marTop w:val="0"/>
                              <w:marBottom w:val="0"/>
                              <w:divBdr>
                                <w:top w:val="none" w:sz="0" w:space="0" w:color="auto"/>
                                <w:left w:val="none" w:sz="0" w:space="0" w:color="auto"/>
                                <w:bottom w:val="none" w:sz="0" w:space="0" w:color="auto"/>
                                <w:right w:val="none" w:sz="0" w:space="0" w:color="auto"/>
                              </w:divBdr>
                              <w:divsChild>
                                <w:div w:id="796024968">
                                  <w:marLeft w:val="0"/>
                                  <w:marRight w:val="0"/>
                                  <w:marTop w:val="0"/>
                                  <w:marBottom w:val="0"/>
                                  <w:divBdr>
                                    <w:top w:val="none" w:sz="0" w:space="0" w:color="auto"/>
                                    <w:left w:val="none" w:sz="0" w:space="0" w:color="auto"/>
                                    <w:bottom w:val="none" w:sz="0" w:space="0" w:color="auto"/>
                                    <w:right w:val="none" w:sz="0" w:space="0" w:color="auto"/>
                                  </w:divBdr>
                                  <w:divsChild>
                                    <w:div w:id="19935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73519">
      <w:bodyDiv w:val="1"/>
      <w:marLeft w:val="0"/>
      <w:marRight w:val="0"/>
      <w:marTop w:val="0"/>
      <w:marBottom w:val="0"/>
      <w:divBdr>
        <w:top w:val="none" w:sz="0" w:space="0" w:color="auto"/>
        <w:left w:val="none" w:sz="0" w:space="0" w:color="auto"/>
        <w:bottom w:val="none" w:sz="0" w:space="0" w:color="auto"/>
        <w:right w:val="none" w:sz="0" w:space="0" w:color="auto"/>
      </w:divBdr>
    </w:div>
    <w:div w:id="725107164">
      <w:bodyDiv w:val="1"/>
      <w:marLeft w:val="0"/>
      <w:marRight w:val="0"/>
      <w:marTop w:val="0"/>
      <w:marBottom w:val="0"/>
      <w:divBdr>
        <w:top w:val="none" w:sz="0" w:space="0" w:color="auto"/>
        <w:left w:val="none" w:sz="0" w:space="0" w:color="auto"/>
        <w:bottom w:val="none" w:sz="0" w:space="0" w:color="auto"/>
        <w:right w:val="none" w:sz="0" w:space="0" w:color="auto"/>
      </w:divBdr>
    </w:div>
    <w:div w:id="969363978">
      <w:bodyDiv w:val="1"/>
      <w:marLeft w:val="0"/>
      <w:marRight w:val="0"/>
      <w:marTop w:val="0"/>
      <w:marBottom w:val="0"/>
      <w:divBdr>
        <w:top w:val="none" w:sz="0" w:space="0" w:color="auto"/>
        <w:left w:val="none" w:sz="0" w:space="0" w:color="auto"/>
        <w:bottom w:val="none" w:sz="0" w:space="0" w:color="auto"/>
        <w:right w:val="none" w:sz="0" w:space="0" w:color="auto"/>
      </w:divBdr>
    </w:div>
    <w:div w:id="1025063126">
      <w:bodyDiv w:val="1"/>
      <w:marLeft w:val="0"/>
      <w:marRight w:val="0"/>
      <w:marTop w:val="0"/>
      <w:marBottom w:val="0"/>
      <w:divBdr>
        <w:top w:val="none" w:sz="0" w:space="0" w:color="auto"/>
        <w:left w:val="none" w:sz="0" w:space="0" w:color="auto"/>
        <w:bottom w:val="none" w:sz="0" w:space="0" w:color="auto"/>
        <w:right w:val="none" w:sz="0" w:space="0" w:color="auto"/>
      </w:divBdr>
    </w:div>
    <w:div w:id="1067338067">
      <w:bodyDiv w:val="1"/>
      <w:marLeft w:val="0"/>
      <w:marRight w:val="0"/>
      <w:marTop w:val="0"/>
      <w:marBottom w:val="0"/>
      <w:divBdr>
        <w:top w:val="none" w:sz="0" w:space="0" w:color="auto"/>
        <w:left w:val="none" w:sz="0" w:space="0" w:color="auto"/>
        <w:bottom w:val="none" w:sz="0" w:space="0" w:color="auto"/>
        <w:right w:val="none" w:sz="0" w:space="0" w:color="auto"/>
      </w:divBdr>
    </w:div>
    <w:div w:id="1084573325">
      <w:bodyDiv w:val="1"/>
      <w:marLeft w:val="0"/>
      <w:marRight w:val="0"/>
      <w:marTop w:val="0"/>
      <w:marBottom w:val="0"/>
      <w:divBdr>
        <w:top w:val="none" w:sz="0" w:space="0" w:color="auto"/>
        <w:left w:val="none" w:sz="0" w:space="0" w:color="auto"/>
        <w:bottom w:val="none" w:sz="0" w:space="0" w:color="auto"/>
        <w:right w:val="none" w:sz="0" w:space="0" w:color="auto"/>
      </w:divBdr>
    </w:div>
    <w:div w:id="1155683136">
      <w:bodyDiv w:val="1"/>
      <w:marLeft w:val="0"/>
      <w:marRight w:val="0"/>
      <w:marTop w:val="0"/>
      <w:marBottom w:val="0"/>
      <w:divBdr>
        <w:top w:val="none" w:sz="0" w:space="0" w:color="auto"/>
        <w:left w:val="none" w:sz="0" w:space="0" w:color="auto"/>
        <w:bottom w:val="none" w:sz="0" w:space="0" w:color="auto"/>
        <w:right w:val="none" w:sz="0" w:space="0" w:color="auto"/>
      </w:divBdr>
    </w:div>
    <w:div w:id="1280650685">
      <w:bodyDiv w:val="1"/>
      <w:marLeft w:val="0"/>
      <w:marRight w:val="0"/>
      <w:marTop w:val="0"/>
      <w:marBottom w:val="0"/>
      <w:divBdr>
        <w:top w:val="none" w:sz="0" w:space="0" w:color="auto"/>
        <w:left w:val="none" w:sz="0" w:space="0" w:color="auto"/>
        <w:bottom w:val="none" w:sz="0" w:space="0" w:color="auto"/>
        <w:right w:val="none" w:sz="0" w:space="0" w:color="auto"/>
      </w:divBdr>
    </w:div>
    <w:div w:id="1291545849">
      <w:bodyDiv w:val="1"/>
      <w:marLeft w:val="0"/>
      <w:marRight w:val="0"/>
      <w:marTop w:val="0"/>
      <w:marBottom w:val="0"/>
      <w:divBdr>
        <w:top w:val="none" w:sz="0" w:space="0" w:color="auto"/>
        <w:left w:val="none" w:sz="0" w:space="0" w:color="auto"/>
        <w:bottom w:val="none" w:sz="0" w:space="0" w:color="auto"/>
        <w:right w:val="none" w:sz="0" w:space="0" w:color="auto"/>
      </w:divBdr>
      <w:divsChild>
        <w:div w:id="2033455908">
          <w:marLeft w:val="0"/>
          <w:marRight w:val="0"/>
          <w:marTop w:val="0"/>
          <w:marBottom w:val="0"/>
          <w:divBdr>
            <w:top w:val="none" w:sz="0" w:space="0" w:color="auto"/>
            <w:left w:val="none" w:sz="0" w:space="0" w:color="auto"/>
            <w:bottom w:val="none" w:sz="0" w:space="0" w:color="auto"/>
            <w:right w:val="none" w:sz="0" w:space="0" w:color="auto"/>
          </w:divBdr>
          <w:divsChild>
            <w:div w:id="656954404">
              <w:marLeft w:val="0"/>
              <w:marRight w:val="0"/>
              <w:marTop w:val="0"/>
              <w:marBottom w:val="0"/>
              <w:divBdr>
                <w:top w:val="none" w:sz="0" w:space="0" w:color="auto"/>
                <w:left w:val="none" w:sz="0" w:space="0" w:color="auto"/>
                <w:bottom w:val="none" w:sz="0" w:space="0" w:color="auto"/>
                <w:right w:val="none" w:sz="0" w:space="0" w:color="auto"/>
              </w:divBdr>
              <w:divsChild>
                <w:div w:id="1043793484">
                  <w:marLeft w:val="0"/>
                  <w:marRight w:val="0"/>
                  <w:marTop w:val="0"/>
                  <w:marBottom w:val="0"/>
                  <w:divBdr>
                    <w:top w:val="none" w:sz="0" w:space="0" w:color="auto"/>
                    <w:left w:val="none" w:sz="0" w:space="0" w:color="auto"/>
                    <w:bottom w:val="none" w:sz="0" w:space="0" w:color="auto"/>
                    <w:right w:val="none" w:sz="0" w:space="0" w:color="auto"/>
                  </w:divBdr>
                  <w:divsChild>
                    <w:div w:id="1436361131">
                      <w:marLeft w:val="0"/>
                      <w:marRight w:val="0"/>
                      <w:marTop w:val="0"/>
                      <w:marBottom w:val="0"/>
                      <w:divBdr>
                        <w:top w:val="none" w:sz="0" w:space="0" w:color="auto"/>
                        <w:left w:val="none" w:sz="0" w:space="0" w:color="auto"/>
                        <w:bottom w:val="none" w:sz="0" w:space="0" w:color="auto"/>
                        <w:right w:val="none" w:sz="0" w:space="0" w:color="auto"/>
                      </w:divBdr>
                      <w:divsChild>
                        <w:div w:id="837765471">
                          <w:marLeft w:val="0"/>
                          <w:marRight w:val="0"/>
                          <w:marTop w:val="0"/>
                          <w:marBottom w:val="0"/>
                          <w:divBdr>
                            <w:top w:val="none" w:sz="0" w:space="0" w:color="auto"/>
                            <w:left w:val="none" w:sz="0" w:space="0" w:color="auto"/>
                            <w:bottom w:val="none" w:sz="0" w:space="0" w:color="auto"/>
                            <w:right w:val="none" w:sz="0" w:space="0" w:color="auto"/>
                          </w:divBdr>
                          <w:divsChild>
                            <w:div w:id="488060379">
                              <w:marLeft w:val="0"/>
                              <w:marRight w:val="0"/>
                              <w:marTop w:val="0"/>
                              <w:marBottom w:val="0"/>
                              <w:divBdr>
                                <w:top w:val="none" w:sz="0" w:space="0" w:color="auto"/>
                                <w:left w:val="none" w:sz="0" w:space="0" w:color="auto"/>
                                <w:bottom w:val="none" w:sz="0" w:space="0" w:color="auto"/>
                                <w:right w:val="none" w:sz="0" w:space="0" w:color="auto"/>
                              </w:divBdr>
                              <w:divsChild>
                                <w:div w:id="78644899">
                                  <w:marLeft w:val="0"/>
                                  <w:marRight w:val="0"/>
                                  <w:marTop w:val="0"/>
                                  <w:marBottom w:val="0"/>
                                  <w:divBdr>
                                    <w:top w:val="none" w:sz="0" w:space="0" w:color="auto"/>
                                    <w:left w:val="none" w:sz="0" w:space="0" w:color="auto"/>
                                    <w:bottom w:val="none" w:sz="0" w:space="0" w:color="auto"/>
                                    <w:right w:val="none" w:sz="0" w:space="0" w:color="auto"/>
                                  </w:divBdr>
                                  <w:divsChild>
                                    <w:div w:id="8011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97084">
      <w:bodyDiv w:val="1"/>
      <w:marLeft w:val="0"/>
      <w:marRight w:val="0"/>
      <w:marTop w:val="0"/>
      <w:marBottom w:val="0"/>
      <w:divBdr>
        <w:top w:val="none" w:sz="0" w:space="0" w:color="auto"/>
        <w:left w:val="none" w:sz="0" w:space="0" w:color="auto"/>
        <w:bottom w:val="none" w:sz="0" w:space="0" w:color="auto"/>
        <w:right w:val="none" w:sz="0" w:space="0" w:color="auto"/>
      </w:divBdr>
    </w:div>
    <w:div w:id="1447390670">
      <w:bodyDiv w:val="1"/>
      <w:marLeft w:val="0"/>
      <w:marRight w:val="0"/>
      <w:marTop w:val="0"/>
      <w:marBottom w:val="0"/>
      <w:divBdr>
        <w:top w:val="none" w:sz="0" w:space="0" w:color="auto"/>
        <w:left w:val="none" w:sz="0" w:space="0" w:color="auto"/>
        <w:bottom w:val="none" w:sz="0" w:space="0" w:color="auto"/>
        <w:right w:val="none" w:sz="0" w:space="0" w:color="auto"/>
      </w:divBdr>
    </w:div>
    <w:div w:id="1569923647">
      <w:bodyDiv w:val="1"/>
      <w:marLeft w:val="0"/>
      <w:marRight w:val="0"/>
      <w:marTop w:val="0"/>
      <w:marBottom w:val="0"/>
      <w:divBdr>
        <w:top w:val="none" w:sz="0" w:space="0" w:color="auto"/>
        <w:left w:val="none" w:sz="0" w:space="0" w:color="auto"/>
        <w:bottom w:val="none" w:sz="0" w:space="0" w:color="auto"/>
        <w:right w:val="none" w:sz="0" w:space="0" w:color="auto"/>
      </w:divBdr>
      <w:divsChild>
        <w:div w:id="1750930032">
          <w:marLeft w:val="480"/>
          <w:marRight w:val="0"/>
          <w:marTop w:val="0"/>
          <w:marBottom w:val="0"/>
          <w:divBdr>
            <w:top w:val="none" w:sz="0" w:space="0" w:color="auto"/>
            <w:left w:val="none" w:sz="0" w:space="0" w:color="auto"/>
            <w:bottom w:val="none" w:sz="0" w:space="0" w:color="auto"/>
            <w:right w:val="none" w:sz="0" w:space="0" w:color="auto"/>
          </w:divBdr>
        </w:div>
        <w:div w:id="1341588012">
          <w:marLeft w:val="480"/>
          <w:marRight w:val="0"/>
          <w:marTop w:val="0"/>
          <w:marBottom w:val="0"/>
          <w:divBdr>
            <w:top w:val="none" w:sz="0" w:space="0" w:color="auto"/>
            <w:left w:val="none" w:sz="0" w:space="0" w:color="auto"/>
            <w:bottom w:val="none" w:sz="0" w:space="0" w:color="auto"/>
            <w:right w:val="none" w:sz="0" w:space="0" w:color="auto"/>
          </w:divBdr>
        </w:div>
      </w:divsChild>
    </w:div>
    <w:div w:id="1642466596">
      <w:bodyDiv w:val="1"/>
      <w:marLeft w:val="0"/>
      <w:marRight w:val="0"/>
      <w:marTop w:val="0"/>
      <w:marBottom w:val="0"/>
      <w:divBdr>
        <w:top w:val="none" w:sz="0" w:space="0" w:color="auto"/>
        <w:left w:val="none" w:sz="0" w:space="0" w:color="auto"/>
        <w:bottom w:val="none" w:sz="0" w:space="0" w:color="auto"/>
        <w:right w:val="none" w:sz="0" w:space="0" w:color="auto"/>
      </w:divBdr>
    </w:div>
    <w:div w:id="1710492278">
      <w:bodyDiv w:val="1"/>
      <w:marLeft w:val="0"/>
      <w:marRight w:val="0"/>
      <w:marTop w:val="0"/>
      <w:marBottom w:val="0"/>
      <w:divBdr>
        <w:top w:val="none" w:sz="0" w:space="0" w:color="auto"/>
        <w:left w:val="none" w:sz="0" w:space="0" w:color="auto"/>
        <w:bottom w:val="none" w:sz="0" w:space="0" w:color="auto"/>
        <w:right w:val="none" w:sz="0" w:space="0" w:color="auto"/>
      </w:divBdr>
    </w:div>
    <w:div w:id="1753503720">
      <w:bodyDiv w:val="1"/>
      <w:marLeft w:val="0"/>
      <w:marRight w:val="0"/>
      <w:marTop w:val="0"/>
      <w:marBottom w:val="0"/>
      <w:divBdr>
        <w:top w:val="none" w:sz="0" w:space="0" w:color="auto"/>
        <w:left w:val="none" w:sz="0" w:space="0" w:color="auto"/>
        <w:bottom w:val="none" w:sz="0" w:space="0" w:color="auto"/>
        <w:right w:val="none" w:sz="0" w:space="0" w:color="auto"/>
      </w:divBdr>
    </w:div>
    <w:div w:id="1782796582">
      <w:bodyDiv w:val="1"/>
      <w:marLeft w:val="0"/>
      <w:marRight w:val="0"/>
      <w:marTop w:val="0"/>
      <w:marBottom w:val="0"/>
      <w:divBdr>
        <w:top w:val="none" w:sz="0" w:space="0" w:color="auto"/>
        <w:left w:val="none" w:sz="0" w:space="0" w:color="auto"/>
        <w:bottom w:val="none" w:sz="0" w:space="0" w:color="auto"/>
        <w:right w:val="none" w:sz="0" w:space="0" w:color="auto"/>
      </w:divBdr>
      <w:divsChild>
        <w:div w:id="1417052058">
          <w:marLeft w:val="480"/>
          <w:marRight w:val="0"/>
          <w:marTop w:val="0"/>
          <w:marBottom w:val="0"/>
          <w:divBdr>
            <w:top w:val="none" w:sz="0" w:space="0" w:color="auto"/>
            <w:left w:val="none" w:sz="0" w:space="0" w:color="auto"/>
            <w:bottom w:val="none" w:sz="0" w:space="0" w:color="auto"/>
            <w:right w:val="none" w:sz="0" w:space="0" w:color="auto"/>
          </w:divBdr>
        </w:div>
        <w:div w:id="1916237558">
          <w:marLeft w:val="480"/>
          <w:marRight w:val="0"/>
          <w:marTop w:val="0"/>
          <w:marBottom w:val="0"/>
          <w:divBdr>
            <w:top w:val="none" w:sz="0" w:space="0" w:color="auto"/>
            <w:left w:val="none" w:sz="0" w:space="0" w:color="auto"/>
            <w:bottom w:val="none" w:sz="0" w:space="0" w:color="auto"/>
            <w:right w:val="none" w:sz="0" w:space="0" w:color="auto"/>
          </w:divBdr>
        </w:div>
      </w:divsChild>
    </w:div>
    <w:div w:id="1786659825">
      <w:bodyDiv w:val="1"/>
      <w:marLeft w:val="0"/>
      <w:marRight w:val="0"/>
      <w:marTop w:val="0"/>
      <w:marBottom w:val="0"/>
      <w:divBdr>
        <w:top w:val="none" w:sz="0" w:space="0" w:color="auto"/>
        <w:left w:val="none" w:sz="0" w:space="0" w:color="auto"/>
        <w:bottom w:val="none" w:sz="0" w:space="0" w:color="auto"/>
        <w:right w:val="none" w:sz="0" w:space="0" w:color="auto"/>
      </w:divBdr>
    </w:div>
    <w:div w:id="1974171536">
      <w:bodyDiv w:val="1"/>
      <w:marLeft w:val="0"/>
      <w:marRight w:val="0"/>
      <w:marTop w:val="0"/>
      <w:marBottom w:val="0"/>
      <w:divBdr>
        <w:top w:val="none" w:sz="0" w:space="0" w:color="auto"/>
        <w:left w:val="none" w:sz="0" w:space="0" w:color="auto"/>
        <w:bottom w:val="none" w:sz="0" w:space="0" w:color="auto"/>
        <w:right w:val="none" w:sz="0" w:space="0" w:color="auto"/>
      </w:divBdr>
    </w:div>
    <w:div w:id="199498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48cb388-eccc-4bf0-bfd7-b47ee0ac382d" TargetMode="External"/><Relationship Id="rId13" Type="http://schemas.openxmlformats.org/officeDocument/2006/relationships/hyperlink" Target="https://hudoc.echr.coe.int/fre" TargetMode="External"/><Relationship Id="rId18" Type="http://schemas.openxmlformats.org/officeDocument/2006/relationships/hyperlink" Target="https://hudoc.echr.coe.int/app/conversion/docx/?library=ECHR&amp;id=001-60676&amp;filename=CASE%20OF%20CZEKALLA%20v.%20PORTUGAL.docx&amp;logEvent=Fal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hudoc.echr.coe.int/eng" TargetMode="Externa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hyperlink" Target="https://hudoc.echr.coe.int/tu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udoc.echr.coe.int/eng" TargetMode="External"/><Relationship Id="rId23" Type="http://schemas.openxmlformats.org/officeDocument/2006/relationships/hyperlink" Target="https://titania.saeima.lv/LIVS12/saeimalivs12.nsf/0/d12e89828e2995ebc22580c7002658f8/$FILE/2_359-12_17.pdf" TargetMode="External"/><Relationship Id="rId10" Type="http://schemas.openxmlformats.org/officeDocument/2006/relationships/hyperlink" Target="https://eur-lex.europa.eu/legal-content/LV/TXT/?uri=CELEX%3A02016L1919-20161104" TargetMode="External"/><Relationship Id="rId19" Type="http://schemas.openxmlformats.org/officeDocument/2006/relationships/hyperlink" Target="https://hudoc.echr.coe.int/tur" TargetMode="External"/><Relationship Id="rId4" Type="http://schemas.openxmlformats.org/officeDocument/2006/relationships/settings" Target="settings.xml"/><Relationship Id="rId9" Type="http://schemas.openxmlformats.org/officeDocument/2006/relationships/hyperlink" Target="https://manas.tiesas.lv/eTiesasMvc/nolemumi/pdf/440664.pdf" TargetMode="External"/><Relationship Id="rId14" Type="http://schemas.openxmlformats.org/officeDocument/2006/relationships/hyperlink" Target="https://hudoc.echr.coe.int/eng" TargetMode="External"/><Relationship Id="rId22" Type="http://schemas.openxmlformats.org/officeDocument/2006/relationships/hyperlink" Target="https://www.at.gov.lv/downloadlawfile/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9311-F7C7-49CD-9B48-2DAC3F81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32010</Words>
  <Characters>18246</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2025-05-26T08:24:00Z</dcterms:created>
  <dcterms:modified xsi:type="dcterms:W3CDTF">2025-08-29T07:12:00Z</dcterms:modified>
</cp:coreProperties>
</file>