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550D" w14:textId="77777777" w:rsidR="005818BA" w:rsidRDefault="005818BA" w:rsidP="005818BA">
      <w:pPr>
        <w:autoSpaceDE w:val="0"/>
        <w:autoSpaceDN w:val="0"/>
        <w:spacing w:line="276" w:lineRule="auto"/>
        <w:jc w:val="both"/>
        <w:rPr>
          <w:b/>
          <w:bCs/>
          <w:color w:val="0070C0"/>
          <w:lang w:eastAsia="lv-LV"/>
          <w14:ligatures w14:val="standardContextual"/>
        </w:rPr>
      </w:pPr>
      <w:r>
        <w:rPr>
          <w:b/>
          <w:bCs/>
          <w:color w:val="000000"/>
          <w14:ligatures w14:val="standardContextual"/>
        </w:rPr>
        <w:t xml:space="preserve">Administratīvā procesa likuma 253.panta (Spriedums par administratīvā akta atcelšanu vai atzīšanu par spēkā neesošu) būtība </w:t>
      </w:r>
    </w:p>
    <w:p w14:paraId="49FF9BF4" w14:textId="77777777" w:rsidR="005818BA" w:rsidRDefault="005818BA" w:rsidP="005818BA">
      <w:pPr>
        <w:autoSpaceDE w:val="0"/>
        <w:autoSpaceDN w:val="0"/>
        <w:spacing w:line="276" w:lineRule="auto"/>
        <w:jc w:val="both"/>
        <w:rPr>
          <w:color w:val="000000"/>
          <w:lang w:eastAsia="en-US"/>
          <w14:ligatures w14:val="standardContextual"/>
        </w:rPr>
      </w:pPr>
      <w:r>
        <w:rPr>
          <w:color w:val="000000"/>
          <w:lang w:eastAsia="en-US"/>
          <w14:ligatures w14:val="standardContextual"/>
        </w:rPr>
        <w:t xml:space="preserve">Administratīvā procesa likuma 253.panta konstrukcija norāda uz pakārtotības attiecībām starp panta pirmo un tālākajām daļām. Proti, tikai tad, ja tiesa nonākusi pie secinājuma par pārsūdzētā administratīvā akta atcelšanu jeb par </w:t>
      </w:r>
      <w:proofErr w:type="spellStart"/>
      <w:r>
        <w:rPr>
          <w:color w:val="000000"/>
          <w:lang w:eastAsia="en-US"/>
          <w14:ligatures w14:val="standardContextual"/>
        </w:rPr>
        <w:t>pamatprasījuma</w:t>
      </w:r>
      <w:proofErr w:type="spellEnd"/>
      <w:r>
        <w:rPr>
          <w:color w:val="000000"/>
          <w:lang w:eastAsia="en-US"/>
          <w14:ligatures w14:val="standardContextual"/>
        </w:rPr>
        <w:t xml:space="preserve"> pamatotību, tai ir pamats pievērsties jautājumam par to, vai konkrētajā gadījumā ir nepieciešams lemt par izpildes seku novēršanu un vai atceltā administratīvā akta vietā nepieciešams izdot jaunu administratīvo aktu. Izpildes seku novēršana ir apsverama ikvienā gadījumā, kad pārsūdzētais administratīvais akts ir atceļams, jo Administratīvā procesa likums tiecas pēc iespējas mazināt prettiesiska administratīvā akta radītās negatīvās sekas. Savukārt Administratīvā procesa likuma 253.panta sestā daļa ir piemērojama tikai tad, ja šāda nepieciešamība patiešām objektīvi pastāv, un tiesai minētajā normā paredzētā instrumenta piemērošana ir īpaši jāpamato. </w:t>
      </w:r>
    </w:p>
    <w:p w14:paraId="5A8A90F0" w14:textId="6810BB89" w:rsidR="003C6F61" w:rsidRDefault="005818BA" w:rsidP="005818BA">
      <w:pPr>
        <w:autoSpaceDE w:val="0"/>
        <w:autoSpaceDN w:val="0"/>
        <w:spacing w:line="276" w:lineRule="auto"/>
        <w:jc w:val="both"/>
        <w:rPr>
          <w:lang w:eastAsia="en-US"/>
          <w14:ligatures w14:val="standardContextual"/>
        </w:rPr>
      </w:pPr>
      <w:r>
        <w:rPr>
          <w:color w:val="000000"/>
          <w:lang w:eastAsia="en-US"/>
          <w14:ligatures w14:val="standardContextual"/>
        </w:rPr>
        <w:t xml:space="preserve">Ja lietas dalībnieks uzskata, ka faktiskie apstākļi ir tādi, kas pārsūdzētā lēmuma prettiesiskuma konstatēšanas gadījumā prasa tiesiskās attiecības noregulēt  </w:t>
      </w:r>
      <w:r>
        <w:rPr>
          <w:lang w:eastAsia="en-US"/>
          <w14:ligatures w14:val="standardContextual"/>
        </w:rPr>
        <w:t xml:space="preserve">tādējādi, ka atbilstoši Administratīvā procesa likuma 253.panta sestajai daļai tiek izdots jauns administratīvais akts, tam ir jāiesniedz apelācijas sūdzība par pirmās instances tiesas spriedumu daļā, kas pamato jauna nelabvēlīga akta izdošanu, proti, daļā, ar kuru atcelts pārsūdzētais administratīvais akts. </w:t>
      </w:r>
    </w:p>
    <w:p w14:paraId="3813A1E2" w14:textId="77777777" w:rsidR="005818BA" w:rsidRPr="005818BA" w:rsidRDefault="005818BA" w:rsidP="005818BA">
      <w:pPr>
        <w:autoSpaceDE w:val="0"/>
        <w:autoSpaceDN w:val="0"/>
        <w:spacing w:line="276" w:lineRule="auto"/>
        <w:jc w:val="both"/>
        <w:rPr>
          <w:lang w:eastAsia="en-US"/>
          <w14:ligatures w14:val="standardContextual"/>
        </w:rPr>
      </w:pPr>
    </w:p>
    <w:p w14:paraId="10E7223B" w14:textId="0024D431" w:rsidR="003C6F61" w:rsidRPr="00467A51" w:rsidRDefault="003C6F61" w:rsidP="005818BA">
      <w:pPr>
        <w:spacing w:line="276" w:lineRule="auto"/>
        <w:jc w:val="center"/>
        <w:rPr>
          <w:rFonts w:asciiTheme="majorBidi" w:hAnsiTheme="majorBidi" w:cstheme="majorBidi"/>
          <w:b/>
        </w:rPr>
      </w:pPr>
      <w:r w:rsidRPr="00467A51">
        <w:rPr>
          <w:rFonts w:asciiTheme="majorBidi" w:hAnsiTheme="majorBidi" w:cstheme="majorBidi"/>
          <w:b/>
        </w:rPr>
        <w:t>Latvijas Republikas Senāt</w:t>
      </w:r>
      <w:r w:rsidR="005818BA">
        <w:rPr>
          <w:rFonts w:asciiTheme="majorBidi" w:hAnsiTheme="majorBidi" w:cstheme="majorBidi"/>
          <w:b/>
        </w:rPr>
        <w:t>a</w:t>
      </w:r>
      <w:r w:rsidR="005818BA">
        <w:rPr>
          <w:rFonts w:asciiTheme="majorBidi" w:hAnsiTheme="majorBidi" w:cstheme="majorBidi"/>
          <w:b/>
        </w:rPr>
        <w:br/>
        <w:t xml:space="preserve">Administratīvo lietu departamenta </w:t>
      </w:r>
      <w:r w:rsidR="005818BA">
        <w:rPr>
          <w:rFonts w:asciiTheme="majorBidi" w:hAnsiTheme="majorBidi" w:cstheme="majorBidi"/>
          <w:b/>
        </w:rPr>
        <w:br/>
        <w:t>2025.gada 31.marta</w:t>
      </w:r>
    </w:p>
    <w:p w14:paraId="02A302F2" w14:textId="77777777" w:rsidR="005818BA" w:rsidRDefault="003C6F61" w:rsidP="005818BA">
      <w:pPr>
        <w:spacing w:line="276" w:lineRule="auto"/>
        <w:jc w:val="center"/>
        <w:rPr>
          <w:rFonts w:asciiTheme="majorBidi" w:hAnsiTheme="majorBidi" w:cstheme="majorBidi"/>
          <w:b/>
        </w:rPr>
      </w:pPr>
      <w:r w:rsidRPr="00467A51">
        <w:rPr>
          <w:rFonts w:asciiTheme="majorBidi" w:hAnsiTheme="majorBidi" w:cstheme="majorBidi"/>
          <w:b/>
        </w:rPr>
        <w:t>SPRIEDUMS</w:t>
      </w:r>
    </w:p>
    <w:p w14:paraId="6A28DF9E" w14:textId="368E8DF2" w:rsidR="005818BA" w:rsidRPr="005818BA" w:rsidRDefault="005818BA" w:rsidP="005818BA">
      <w:pPr>
        <w:spacing w:line="276" w:lineRule="auto"/>
        <w:jc w:val="center"/>
        <w:rPr>
          <w:rFonts w:asciiTheme="majorBidi" w:hAnsiTheme="majorBidi" w:cstheme="majorBidi"/>
          <w:b/>
          <w:bCs/>
        </w:rPr>
      </w:pPr>
      <w:r w:rsidRPr="005818BA">
        <w:rPr>
          <w:rFonts w:asciiTheme="majorBidi" w:hAnsiTheme="majorBidi" w:cstheme="majorBidi"/>
          <w:b/>
          <w:bCs/>
        </w:rPr>
        <w:t xml:space="preserve">Lieta </w:t>
      </w:r>
      <w:r w:rsidRPr="005818BA">
        <w:rPr>
          <w:rFonts w:asciiTheme="majorBidi" w:hAnsiTheme="majorBidi" w:cstheme="majorBidi"/>
          <w:b/>
          <w:bCs/>
          <w:lang w:eastAsia="lv-LV"/>
        </w:rPr>
        <w:t>Nr. A420167623, SKA-342/2025</w:t>
      </w:r>
    </w:p>
    <w:p w14:paraId="042E4F54" w14:textId="7AE61BE2" w:rsidR="005818BA" w:rsidRPr="005818BA" w:rsidRDefault="005818BA" w:rsidP="005818BA">
      <w:pPr>
        <w:spacing w:line="276" w:lineRule="auto"/>
        <w:jc w:val="center"/>
        <w:rPr>
          <w:rFonts w:asciiTheme="majorBidi" w:hAnsiTheme="majorBidi" w:cstheme="majorBidi"/>
        </w:rPr>
      </w:pPr>
      <w:r w:rsidRPr="005818BA">
        <w:t xml:space="preserve"> </w:t>
      </w:r>
      <w:hyperlink r:id="rId8" w:history="1">
        <w:r w:rsidRPr="004F1BCA">
          <w:rPr>
            <w:rStyle w:val="Hyperlink"/>
          </w:rPr>
          <w:t>ECLI:</w:t>
        </w:r>
        <w:r w:rsidRPr="004F1BCA">
          <w:rPr>
            <w:rStyle w:val="Hyperlink"/>
          </w:rPr>
          <w:t>LV:AT:2025:0331.A420167623.14.S</w:t>
        </w:r>
      </w:hyperlink>
    </w:p>
    <w:p w14:paraId="7E085BFA" w14:textId="77777777" w:rsidR="003C6F61" w:rsidRPr="00467A51" w:rsidRDefault="003C6F61" w:rsidP="005818BA">
      <w:pPr>
        <w:spacing w:line="276" w:lineRule="auto"/>
        <w:ind w:firstLine="709"/>
        <w:jc w:val="center"/>
        <w:rPr>
          <w:rFonts w:asciiTheme="majorBidi" w:hAnsiTheme="majorBidi" w:cstheme="majorBidi"/>
        </w:rPr>
      </w:pPr>
    </w:p>
    <w:p w14:paraId="21BD8C52" w14:textId="577B9AB7" w:rsidR="003C6F61" w:rsidRPr="00467A51" w:rsidRDefault="003C6F61" w:rsidP="005818BA">
      <w:pPr>
        <w:spacing w:line="276" w:lineRule="auto"/>
        <w:ind w:firstLine="720"/>
        <w:jc w:val="both"/>
        <w:rPr>
          <w:rFonts w:asciiTheme="majorBidi" w:hAnsiTheme="majorBidi" w:cstheme="majorBidi"/>
        </w:rPr>
      </w:pPr>
      <w:r w:rsidRPr="00467A51">
        <w:rPr>
          <w:rFonts w:asciiTheme="majorBidi" w:hAnsiTheme="majorBidi" w:cstheme="majorBidi"/>
        </w:rPr>
        <w:t xml:space="preserve">Senāts šādā sastāvā: senatore referente </w:t>
      </w:r>
      <w:r w:rsidR="004503E2">
        <w:rPr>
          <w:rFonts w:asciiTheme="majorBidi" w:hAnsiTheme="majorBidi" w:cstheme="majorBidi"/>
        </w:rPr>
        <w:t xml:space="preserve">Laura </w:t>
      </w:r>
      <w:proofErr w:type="spellStart"/>
      <w:r w:rsidR="004503E2">
        <w:rPr>
          <w:rFonts w:asciiTheme="majorBidi" w:hAnsiTheme="majorBidi" w:cstheme="majorBidi"/>
        </w:rPr>
        <w:t>Konošonoka</w:t>
      </w:r>
      <w:proofErr w:type="spellEnd"/>
      <w:r w:rsidRPr="00467A51">
        <w:rPr>
          <w:rFonts w:asciiTheme="majorBidi" w:hAnsiTheme="majorBidi" w:cstheme="majorBidi"/>
        </w:rPr>
        <w:t>, senator</w:t>
      </w:r>
      <w:r w:rsidR="004503E2">
        <w:rPr>
          <w:rFonts w:asciiTheme="majorBidi" w:hAnsiTheme="majorBidi" w:cstheme="majorBidi"/>
        </w:rPr>
        <w:t>es</w:t>
      </w:r>
      <w:r w:rsidRPr="00467A51">
        <w:rPr>
          <w:rFonts w:asciiTheme="majorBidi" w:hAnsiTheme="majorBidi" w:cstheme="majorBidi"/>
        </w:rPr>
        <w:t xml:space="preserve"> </w:t>
      </w:r>
      <w:r w:rsidR="004503E2">
        <w:rPr>
          <w:rFonts w:asciiTheme="majorBidi" w:hAnsiTheme="majorBidi" w:cstheme="majorBidi"/>
        </w:rPr>
        <w:t>Dzintra Amerika</w:t>
      </w:r>
      <w:r w:rsidRPr="00467A51">
        <w:rPr>
          <w:rFonts w:asciiTheme="majorBidi" w:hAnsiTheme="majorBidi" w:cstheme="majorBidi"/>
        </w:rPr>
        <w:t xml:space="preserve"> un </w:t>
      </w:r>
      <w:r w:rsidR="004503E2">
        <w:rPr>
          <w:rFonts w:asciiTheme="majorBidi" w:hAnsiTheme="majorBidi" w:cstheme="majorBidi"/>
        </w:rPr>
        <w:t>Diāna Makarova</w:t>
      </w:r>
    </w:p>
    <w:p w14:paraId="7FBCDB0F" w14:textId="77777777" w:rsidR="003C6F61" w:rsidRPr="00467A51" w:rsidRDefault="003C6F61" w:rsidP="005818BA">
      <w:pPr>
        <w:spacing w:line="276" w:lineRule="auto"/>
        <w:ind w:firstLine="720"/>
        <w:jc w:val="both"/>
        <w:rPr>
          <w:rFonts w:asciiTheme="majorBidi" w:hAnsiTheme="majorBidi" w:cstheme="majorBidi"/>
        </w:rPr>
      </w:pPr>
    </w:p>
    <w:p w14:paraId="14C9FE5E" w14:textId="61537F6E" w:rsidR="00E21597" w:rsidRDefault="003C6F61" w:rsidP="005818BA">
      <w:pPr>
        <w:spacing w:line="276" w:lineRule="auto"/>
        <w:ind w:firstLine="720"/>
        <w:jc w:val="both"/>
        <w:rPr>
          <w:rFonts w:asciiTheme="majorBidi" w:hAnsiTheme="majorBidi" w:cstheme="majorBidi"/>
        </w:rPr>
      </w:pPr>
      <w:r w:rsidRPr="00467A51">
        <w:rPr>
          <w:rFonts w:asciiTheme="majorBidi" w:hAnsiTheme="majorBidi" w:cstheme="majorBidi"/>
        </w:rPr>
        <w:t>rakstveida procesā izskatīja administratīvo lietu, kas ierosināta, pamatojoties uz</w:t>
      </w:r>
      <w:r w:rsidR="00E21597">
        <w:rPr>
          <w:rFonts w:asciiTheme="majorBidi" w:hAnsiTheme="majorBidi" w:cstheme="majorBidi"/>
        </w:rPr>
        <w:t xml:space="preserve"> </w:t>
      </w:r>
      <w:r w:rsidR="005818BA">
        <w:rPr>
          <w:rFonts w:asciiTheme="majorBidi" w:hAnsiTheme="majorBidi" w:cstheme="majorBidi"/>
        </w:rPr>
        <w:t xml:space="preserve">[pers. A] </w:t>
      </w:r>
      <w:r w:rsidR="00E21597" w:rsidRPr="00E21597">
        <w:rPr>
          <w:rFonts w:asciiTheme="majorBidi" w:hAnsiTheme="majorBidi" w:cstheme="majorBidi"/>
        </w:rPr>
        <w:t>pieteikumu par aizsardzības ministr</w:t>
      </w:r>
      <w:r w:rsidR="00801FF5">
        <w:rPr>
          <w:rFonts w:asciiTheme="majorBidi" w:hAnsiTheme="majorBidi" w:cstheme="majorBidi"/>
        </w:rPr>
        <w:t>a</w:t>
      </w:r>
      <w:r w:rsidR="00E21597" w:rsidRPr="00E21597">
        <w:rPr>
          <w:rFonts w:asciiTheme="majorBidi" w:hAnsiTheme="majorBidi" w:cstheme="majorBidi"/>
        </w:rPr>
        <w:t xml:space="preserve"> 2023.gada 17.aprīļa rīkojuma Nr.</w:t>
      </w:r>
      <w:r w:rsidR="00E21597">
        <w:rPr>
          <w:rFonts w:asciiTheme="majorBidi" w:hAnsiTheme="majorBidi" w:cstheme="majorBidi"/>
        </w:rPr>
        <w:t> </w:t>
      </w:r>
      <w:r w:rsidR="00E21597" w:rsidRPr="00E21597">
        <w:rPr>
          <w:rFonts w:asciiTheme="majorBidi" w:hAnsiTheme="majorBidi" w:cstheme="majorBidi"/>
        </w:rPr>
        <w:t>0308-pn atcelšanu un zaudējumu – nesaņemtās darba samaksas – atlīdzināšanu,</w:t>
      </w:r>
      <w:r w:rsidR="00E21597">
        <w:rPr>
          <w:rFonts w:asciiTheme="majorBidi" w:hAnsiTheme="majorBidi" w:cstheme="majorBidi"/>
        </w:rPr>
        <w:t xml:space="preserve"> sakarā ar </w:t>
      </w:r>
      <w:r w:rsidR="005818BA">
        <w:rPr>
          <w:rFonts w:asciiTheme="majorBidi" w:hAnsiTheme="majorBidi" w:cstheme="majorBidi"/>
        </w:rPr>
        <w:t xml:space="preserve">[pers. A] </w:t>
      </w:r>
      <w:r w:rsidR="00E21597">
        <w:rPr>
          <w:rFonts w:asciiTheme="majorBidi" w:hAnsiTheme="majorBidi" w:cstheme="majorBidi"/>
        </w:rPr>
        <w:t>kasācijas sūdzību par Administratīvās apgabaltiesas 2024.gada 3.oktobra spriedumu.</w:t>
      </w:r>
    </w:p>
    <w:p w14:paraId="048BC888" w14:textId="77777777" w:rsidR="00E21597" w:rsidRDefault="00E21597" w:rsidP="005818BA">
      <w:pPr>
        <w:spacing w:line="276" w:lineRule="auto"/>
        <w:jc w:val="center"/>
        <w:rPr>
          <w:rFonts w:asciiTheme="majorBidi" w:hAnsiTheme="majorBidi" w:cstheme="majorBidi"/>
          <w:b/>
          <w:shd w:val="clear" w:color="auto" w:fill="FFFFFF"/>
        </w:rPr>
      </w:pPr>
    </w:p>
    <w:p w14:paraId="70D3DE89" w14:textId="7F55402C" w:rsidR="003C6F61" w:rsidRPr="00467A51" w:rsidRDefault="003C6F61" w:rsidP="005818BA">
      <w:pPr>
        <w:spacing w:line="276" w:lineRule="auto"/>
        <w:jc w:val="center"/>
        <w:rPr>
          <w:rFonts w:asciiTheme="majorBidi" w:hAnsiTheme="majorBidi" w:cstheme="majorBidi"/>
          <w:b/>
          <w:shd w:val="clear" w:color="auto" w:fill="FFFFFF"/>
        </w:rPr>
      </w:pPr>
      <w:r w:rsidRPr="00467A51">
        <w:rPr>
          <w:rFonts w:asciiTheme="majorBidi" w:hAnsiTheme="majorBidi" w:cstheme="majorBidi"/>
          <w:b/>
          <w:shd w:val="clear" w:color="auto" w:fill="FFFFFF"/>
        </w:rPr>
        <w:t>Aprakstošā daļa</w:t>
      </w:r>
    </w:p>
    <w:p w14:paraId="0B0D0FDB" w14:textId="77777777" w:rsidR="003C6F61" w:rsidRPr="00467A51" w:rsidRDefault="003C6F61" w:rsidP="005818BA">
      <w:pPr>
        <w:spacing w:line="276" w:lineRule="auto"/>
        <w:ind w:firstLine="709"/>
        <w:jc w:val="center"/>
        <w:rPr>
          <w:rFonts w:asciiTheme="majorBidi" w:hAnsiTheme="majorBidi" w:cstheme="majorBidi"/>
          <w:shd w:val="clear" w:color="auto" w:fill="FFFFFF"/>
        </w:rPr>
      </w:pPr>
    </w:p>
    <w:p w14:paraId="75EAE6EC" w14:textId="0447A800" w:rsidR="000F410A" w:rsidRDefault="003C6F61" w:rsidP="005818BA">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r w:rsidRPr="00467A51">
        <w:rPr>
          <w:rFonts w:asciiTheme="majorBidi" w:hAnsiTheme="majorBidi" w:cstheme="majorBidi"/>
          <w:shd w:val="clear" w:color="auto" w:fill="FFFFFF"/>
        </w:rPr>
        <w:t>[1] </w:t>
      </w:r>
      <w:r w:rsidR="003118D8">
        <w:rPr>
          <w:rFonts w:asciiTheme="majorBidi" w:hAnsiTheme="majorBidi" w:cstheme="majorBidi"/>
          <w:shd w:val="clear" w:color="auto" w:fill="FFFFFF"/>
        </w:rPr>
        <w:t xml:space="preserve">Ar </w:t>
      </w:r>
      <w:r w:rsidR="003D5D5C">
        <w:rPr>
          <w:rFonts w:asciiTheme="majorBidi" w:hAnsiTheme="majorBidi" w:cstheme="majorBidi"/>
          <w:shd w:val="clear" w:color="auto" w:fill="FFFFFF"/>
        </w:rPr>
        <w:t>aizsardzības ministra 2023.gada 17.aprīļ</w:t>
      </w:r>
      <w:r w:rsidR="00801FF5">
        <w:rPr>
          <w:rFonts w:asciiTheme="majorBidi" w:hAnsiTheme="majorBidi" w:cstheme="majorBidi"/>
          <w:shd w:val="clear" w:color="auto" w:fill="FFFFFF"/>
        </w:rPr>
        <w:t>a</w:t>
      </w:r>
      <w:r w:rsidR="003D5D5C">
        <w:rPr>
          <w:rFonts w:asciiTheme="majorBidi" w:hAnsiTheme="majorBidi" w:cstheme="majorBidi"/>
          <w:shd w:val="clear" w:color="auto" w:fill="FFFFFF"/>
        </w:rPr>
        <w:t xml:space="preserve"> rīkojumu pieteicējam </w:t>
      </w:r>
      <w:r w:rsidR="005818BA">
        <w:rPr>
          <w:rFonts w:asciiTheme="majorBidi" w:hAnsiTheme="majorBidi" w:cstheme="majorBidi"/>
        </w:rPr>
        <w:t xml:space="preserve">[pers. A] </w:t>
      </w:r>
      <w:r w:rsidR="003D5D5C">
        <w:rPr>
          <w:rFonts w:asciiTheme="majorBidi" w:hAnsiTheme="majorBidi" w:cstheme="majorBidi"/>
          <w:shd w:val="clear" w:color="auto" w:fill="FFFFFF"/>
        </w:rPr>
        <w:t>piemērots disciplinārsods – atbrīvošana no amata</w:t>
      </w:r>
      <w:r w:rsidR="000F410A">
        <w:rPr>
          <w:rFonts w:asciiTheme="majorBidi" w:hAnsiTheme="majorBidi" w:cstheme="majorBidi"/>
          <w:shd w:val="clear" w:color="auto" w:fill="FFFFFF"/>
        </w:rPr>
        <w:t>, un 2023.gada 21.aprīlī viņš atbrīvots no amata</w:t>
      </w:r>
      <w:r w:rsidR="000A5340">
        <w:rPr>
          <w:rFonts w:asciiTheme="majorBidi" w:hAnsiTheme="majorBidi" w:cstheme="majorBidi"/>
          <w:shd w:val="clear" w:color="auto" w:fill="FFFFFF"/>
        </w:rPr>
        <w:t xml:space="preserve"> </w:t>
      </w:r>
      <w:r w:rsidR="000A5340">
        <w:t>[Iestādes nosaukums]</w:t>
      </w:r>
      <w:r w:rsidR="000F410A">
        <w:rPr>
          <w:rFonts w:asciiTheme="majorBidi" w:hAnsiTheme="majorBidi" w:cstheme="majorBidi"/>
          <w:shd w:val="clear" w:color="auto" w:fill="FFFFFF"/>
        </w:rPr>
        <w:t>.</w:t>
      </w:r>
    </w:p>
    <w:p w14:paraId="4D14704E" w14:textId="30DA3573" w:rsidR="00296C14" w:rsidRDefault="00296C14" w:rsidP="005818BA">
      <w:pPr>
        <w:pStyle w:val="NormalWeb"/>
        <w:shd w:val="clear" w:color="auto" w:fill="FFFFFF"/>
        <w:spacing w:before="0" w:beforeAutospacing="0" w:after="0" w:afterAutospacing="0" w:line="276" w:lineRule="auto"/>
        <w:ind w:firstLine="720"/>
        <w:jc w:val="both"/>
      </w:pPr>
      <w:r>
        <w:t xml:space="preserve">Pieteicējs vērsās tiesā ar pieteikumu par </w:t>
      </w:r>
      <w:r w:rsidR="003118D8">
        <w:t>minētā</w:t>
      </w:r>
      <w:r>
        <w:t xml:space="preserve"> rīkojuma atcelšanu un </w:t>
      </w:r>
      <w:r w:rsidRPr="00296C14">
        <w:t xml:space="preserve">zaudējumu – nesaņemtās darba samaksas </w:t>
      </w:r>
      <w:r w:rsidR="00E561A9">
        <w:t>5139,13 </w:t>
      </w:r>
      <w:proofErr w:type="spellStart"/>
      <w:r w:rsidR="00E561A9" w:rsidRPr="00E561A9">
        <w:rPr>
          <w:i/>
          <w:iCs/>
        </w:rPr>
        <w:t>euro</w:t>
      </w:r>
      <w:proofErr w:type="spellEnd"/>
      <w:r w:rsidR="00E561A9">
        <w:t xml:space="preserve"> </w:t>
      </w:r>
      <w:r w:rsidRPr="00296C14">
        <w:t>– atlīdzināšanu.</w:t>
      </w:r>
    </w:p>
    <w:p w14:paraId="3A1DBF98" w14:textId="77777777" w:rsidR="003D5D5C" w:rsidRDefault="003D5D5C" w:rsidP="005818BA">
      <w:pPr>
        <w:pStyle w:val="NormalWeb"/>
        <w:shd w:val="clear" w:color="auto" w:fill="FFFFFF"/>
        <w:spacing w:before="0" w:beforeAutospacing="0" w:after="0" w:afterAutospacing="0" w:line="276" w:lineRule="auto"/>
        <w:ind w:firstLine="720"/>
        <w:jc w:val="both"/>
      </w:pPr>
    </w:p>
    <w:p w14:paraId="54020FB9" w14:textId="152423FC" w:rsidR="003D5D5C" w:rsidRDefault="003D5D5C" w:rsidP="005818BA">
      <w:pPr>
        <w:pStyle w:val="NormalWeb"/>
        <w:shd w:val="clear" w:color="auto" w:fill="FFFFFF"/>
        <w:spacing w:before="0" w:beforeAutospacing="0" w:after="0" w:afterAutospacing="0" w:line="276" w:lineRule="auto"/>
        <w:ind w:firstLine="720"/>
        <w:jc w:val="both"/>
      </w:pPr>
      <w:r>
        <w:lastRenderedPageBreak/>
        <w:t xml:space="preserve">[2] Administratīvā rajona tiesa ar 2023.gada </w:t>
      </w:r>
      <w:r w:rsidR="00B8703C">
        <w:t>15.decembra</w:t>
      </w:r>
      <w:r>
        <w:t xml:space="preserve"> spriedumu apmierināja pieteikumu daļā par pārsūdzētā rīkojuma atcelšanu</w:t>
      </w:r>
      <w:r w:rsidR="00801FF5">
        <w:t xml:space="preserve"> un zaudējumu </w:t>
      </w:r>
      <w:r w:rsidR="00E561A9">
        <w:t>3153,29 </w:t>
      </w:r>
      <w:proofErr w:type="spellStart"/>
      <w:r w:rsidR="00E561A9" w:rsidRPr="00E561A9">
        <w:rPr>
          <w:i/>
          <w:iCs/>
        </w:rPr>
        <w:t>euro</w:t>
      </w:r>
      <w:proofErr w:type="spellEnd"/>
      <w:r w:rsidR="00E561A9">
        <w:t xml:space="preserve"> </w:t>
      </w:r>
      <w:r w:rsidR="00801FF5">
        <w:t xml:space="preserve">atlīdzināšanu. </w:t>
      </w:r>
      <w:r w:rsidRPr="00E561A9">
        <w:t>Pārējā daļā pieteikums noraidīts.</w:t>
      </w:r>
    </w:p>
    <w:p w14:paraId="02A2B773" w14:textId="3ED0A310" w:rsidR="005F64E6" w:rsidRDefault="005F64E6" w:rsidP="005818BA">
      <w:pPr>
        <w:pStyle w:val="NormalWeb"/>
        <w:shd w:val="clear" w:color="auto" w:fill="FFFFFF"/>
        <w:spacing w:before="0" w:beforeAutospacing="0" w:after="0" w:afterAutospacing="0" w:line="276" w:lineRule="auto"/>
        <w:ind w:firstLine="720"/>
        <w:jc w:val="both"/>
      </w:pPr>
      <w:r>
        <w:t xml:space="preserve">Lietas dalībnieki </w:t>
      </w:r>
      <w:r w:rsidR="000F410A">
        <w:t>šo spriedumu nepārsūdzēja.</w:t>
      </w:r>
    </w:p>
    <w:p w14:paraId="54C2F915" w14:textId="77777777" w:rsidR="005F64E6" w:rsidRDefault="005F64E6" w:rsidP="005818BA">
      <w:pPr>
        <w:pStyle w:val="NormalWeb"/>
        <w:shd w:val="clear" w:color="auto" w:fill="FFFFFF"/>
        <w:spacing w:before="0" w:beforeAutospacing="0" w:after="0" w:afterAutospacing="0" w:line="276" w:lineRule="auto"/>
        <w:ind w:firstLine="720"/>
        <w:jc w:val="both"/>
      </w:pPr>
    </w:p>
    <w:p w14:paraId="62C39F4D" w14:textId="48DCA5AA" w:rsidR="00E561A9" w:rsidRDefault="00E561A9" w:rsidP="005818BA">
      <w:pPr>
        <w:pStyle w:val="NormalWeb"/>
        <w:shd w:val="clear" w:color="auto" w:fill="FFFFFF"/>
        <w:spacing w:before="0" w:beforeAutospacing="0" w:after="0" w:afterAutospacing="0" w:line="276" w:lineRule="auto"/>
        <w:ind w:firstLine="720"/>
        <w:jc w:val="both"/>
      </w:pPr>
      <w:r>
        <w:t>[3] </w:t>
      </w:r>
      <w:r w:rsidR="00BF2BAD">
        <w:t>Administratīvajā rajona tiesā 2024.gada 5.februārī saņemts Aizsardzības ministrijas lūgums izskaidrot</w:t>
      </w:r>
      <w:r>
        <w:t>, kā izpildāms 2023.gada 15.decembra spriedums, proti, vai no sprieduma izriet iestādes pienākums atjaunot pieteicēju civildienestā, vai arī iestādei</w:t>
      </w:r>
      <w:r w:rsidR="001C06D8">
        <w:t>, ievērojot spriedumā konstatētās kļūdas pieteicējam piemērotā soda veida izvēlē,</w:t>
      </w:r>
      <w:r>
        <w:t xml:space="preserve"> ir tiesības izdot</w:t>
      </w:r>
      <w:r w:rsidR="001C06D8">
        <w:t xml:space="preserve"> jaunu</w:t>
      </w:r>
      <w:r>
        <w:t xml:space="preserve"> administratīvo aktu</w:t>
      </w:r>
      <w:r w:rsidR="001C06D8">
        <w:t>, nosakot atbilstošāku disciplinārsoda veidu.</w:t>
      </w:r>
    </w:p>
    <w:p w14:paraId="5983848D" w14:textId="283E0622" w:rsidR="00EC47F2" w:rsidRDefault="00801FF5" w:rsidP="005818BA">
      <w:pPr>
        <w:pStyle w:val="NormalWeb"/>
        <w:shd w:val="clear" w:color="auto" w:fill="FFFFFF"/>
        <w:spacing w:before="0" w:beforeAutospacing="0" w:after="0" w:afterAutospacing="0" w:line="276" w:lineRule="auto"/>
        <w:ind w:firstLine="720"/>
        <w:jc w:val="both"/>
      </w:pPr>
      <w:r>
        <w:t>A</w:t>
      </w:r>
      <w:r w:rsidR="00EC47F2" w:rsidRPr="00EC47F2">
        <w:t xml:space="preserve">r Administratīvās rajona tiesas 2024.gada 13.februāra papildspriedumu, pamatojoties uz Administratīvā procesa likuma 253.panta otro daļu, </w:t>
      </w:r>
      <w:r w:rsidR="000A5340">
        <w:t xml:space="preserve">[Iestādes nosaukums] </w:t>
      </w:r>
      <w:r w:rsidR="000F410A">
        <w:t>uzdots atjaunot</w:t>
      </w:r>
      <w:r w:rsidR="00EC47F2" w:rsidRPr="00EC47F2">
        <w:t xml:space="preserve"> pieteicēju valsts civildienestā līdzvērtīgā amatā.</w:t>
      </w:r>
    </w:p>
    <w:p w14:paraId="40C51D47" w14:textId="77777777" w:rsidR="003B33AF" w:rsidRDefault="003B33AF" w:rsidP="005818BA">
      <w:pPr>
        <w:pStyle w:val="NormalWeb"/>
        <w:shd w:val="clear" w:color="auto" w:fill="FFFFFF"/>
        <w:spacing w:before="0" w:beforeAutospacing="0" w:after="0" w:afterAutospacing="0" w:line="276" w:lineRule="auto"/>
        <w:ind w:firstLine="720"/>
        <w:jc w:val="both"/>
      </w:pPr>
    </w:p>
    <w:p w14:paraId="135E7FC4" w14:textId="47BE90CB" w:rsidR="00E16156" w:rsidRDefault="003B33AF" w:rsidP="005818BA">
      <w:pPr>
        <w:pStyle w:val="NormalWeb"/>
        <w:shd w:val="clear" w:color="auto" w:fill="FFFFFF"/>
        <w:spacing w:before="0" w:beforeAutospacing="0" w:after="0" w:afterAutospacing="0" w:line="276" w:lineRule="auto"/>
        <w:ind w:firstLine="720"/>
        <w:jc w:val="both"/>
      </w:pPr>
      <w:r>
        <w:t>[</w:t>
      </w:r>
      <w:r w:rsidR="000F410A">
        <w:t>4</w:t>
      </w:r>
      <w:r>
        <w:t>] </w:t>
      </w:r>
      <w:r w:rsidR="00C56C53">
        <w:t xml:space="preserve">Uzskatot, ka Administratīvā rajona tiesa nepamatoti </w:t>
      </w:r>
      <w:r w:rsidR="00E16156">
        <w:t xml:space="preserve">atceltā rīkojuma vietā </w:t>
      </w:r>
      <w:r w:rsidR="001C06D8">
        <w:t xml:space="preserve">nav </w:t>
      </w:r>
      <w:r w:rsidR="00E16156">
        <w:t>uzdevusi iestādei izdot jaunu nelabvēlīgu administratīvo aktu, kā to paredz Administratīvā procesa likuma 253.panta sestā daļa, Aizsardzības ministrija iesniedza apelācijas sūdzību par papildspriedumu.</w:t>
      </w:r>
    </w:p>
    <w:p w14:paraId="036D6424" w14:textId="77777777" w:rsidR="00E16156" w:rsidRDefault="00E16156" w:rsidP="005818BA">
      <w:pPr>
        <w:pStyle w:val="NormalWeb"/>
        <w:shd w:val="clear" w:color="auto" w:fill="FFFFFF"/>
        <w:spacing w:before="0" w:beforeAutospacing="0" w:after="0" w:afterAutospacing="0" w:line="276" w:lineRule="auto"/>
        <w:ind w:firstLine="720"/>
        <w:jc w:val="both"/>
      </w:pPr>
    </w:p>
    <w:p w14:paraId="4C910448" w14:textId="3A898A79" w:rsidR="00F66EF7" w:rsidRDefault="00E16156" w:rsidP="005818BA">
      <w:pPr>
        <w:pStyle w:val="NormalWeb"/>
        <w:shd w:val="clear" w:color="auto" w:fill="FFFFFF"/>
        <w:spacing w:before="0" w:beforeAutospacing="0" w:after="0" w:afterAutospacing="0" w:line="276" w:lineRule="auto"/>
        <w:ind w:firstLine="720"/>
        <w:jc w:val="both"/>
      </w:pPr>
      <w:r>
        <w:t>[5] </w:t>
      </w:r>
      <w:r w:rsidR="00F66EF7">
        <w:t xml:space="preserve">Ar Administratīvās apgabaltiesas 2024.gada 3.oktobra spriedumu Aizsardzības ministrijas apelācijas sūdzība atzīta par pamatotu, uzdodot </w:t>
      </w:r>
      <w:r w:rsidR="00F66EF7" w:rsidRPr="00F66EF7">
        <w:t xml:space="preserve">ministrijai atceltā rīkojuma vietā izdot jaunu administratīvo aktu par disciplinārsoda noteikšanu </w:t>
      </w:r>
      <w:r>
        <w:t>pieteicējam</w:t>
      </w:r>
      <w:r w:rsidR="00F66EF7" w:rsidRPr="00F66EF7">
        <w:t>, ņemot vērā lietā konstatētos faktus un juridiskos apsvērumus</w:t>
      </w:r>
      <w:r w:rsidR="00F66EF7">
        <w:t>.</w:t>
      </w:r>
    </w:p>
    <w:p w14:paraId="1C37FF3E" w14:textId="7A2A2D94" w:rsidR="00505196" w:rsidRDefault="00505196" w:rsidP="005818BA">
      <w:pPr>
        <w:pStyle w:val="NormalWeb"/>
        <w:shd w:val="clear" w:color="auto" w:fill="FFFFFF"/>
        <w:spacing w:before="0" w:beforeAutospacing="0" w:after="0" w:afterAutospacing="0" w:line="276" w:lineRule="auto"/>
        <w:ind w:firstLine="720"/>
        <w:jc w:val="both"/>
      </w:pPr>
      <w:r>
        <w:t xml:space="preserve">Apgabaltiesa konstatēja, ka pirmās instances tiesa spriedumā, kas nav ticis pārsūdzēts un ir stājies spēkā, atzinusi, ka pieteicējs ir izdarījis </w:t>
      </w:r>
      <w:proofErr w:type="spellStart"/>
      <w:r>
        <w:t>disciplinārpārkāpumu</w:t>
      </w:r>
      <w:proofErr w:type="spellEnd"/>
      <w:r>
        <w:t>, kura dēļ nodarīts būtisks kaitējums valsts interesēm. Viedokli, ka šāda situācija var palikt bez noregulējuma, tiesa nav pamatojusi. Tomēr nav akceptējama situācija, ka gadījumā, ja pārkāpums izdarīts, bet administratīvais akts tiek atcelts tikai tādēļ, ka iestāde nav izdarījusi lietderības apsvērumus par piemērojamo disciplinārsodu, persona par savu prettiesisko rīcību nesaņem nekādu sodu. To prasa arī vienlīdzības princips, jo saistītajās disciplinārlietās citas personas ir sodītas. Pirmās instances tiesa pārsteidzīgi uzdevusi</w:t>
      </w:r>
      <w:r w:rsidR="00130CEC">
        <w:t xml:space="preserve"> iestādei atjaunot pieteicēju valsts civildienestā un nepamatoti nav lēmusi par Administratīvā procesa likuma 253.panta sestās daļas piemērošanu konkrētajā gadījumā.</w:t>
      </w:r>
    </w:p>
    <w:p w14:paraId="77B2E733" w14:textId="77777777" w:rsidR="00505196" w:rsidRDefault="00505196" w:rsidP="005818BA">
      <w:pPr>
        <w:pStyle w:val="NormalWeb"/>
        <w:shd w:val="clear" w:color="auto" w:fill="FFFFFF"/>
        <w:spacing w:before="0" w:beforeAutospacing="0" w:after="0" w:afterAutospacing="0" w:line="276" w:lineRule="auto"/>
        <w:jc w:val="both"/>
      </w:pPr>
    </w:p>
    <w:p w14:paraId="6AE536F1" w14:textId="42489406" w:rsidR="005745C8" w:rsidRDefault="007F5621" w:rsidP="005818BA">
      <w:pPr>
        <w:pStyle w:val="NormalWeb"/>
        <w:shd w:val="clear" w:color="auto" w:fill="FFFFFF"/>
        <w:spacing w:before="0" w:beforeAutospacing="0" w:after="0" w:afterAutospacing="0" w:line="276" w:lineRule="auto"/>
        <w:ind w:firstLine="720"/>
        <w:jc w:val="both"/>
      </w:pPr>
      <w:r>
        <w:t>[</w:t>
      </w:r>
      <w:r w:rsidR="00D2772D">
        <w:t>6</w:t>
      </w:r>
      <w:r>
        <w:t>] </w:t>
      </w:r>
      <w:r w:rsidR="005745C8">
        <w:t xml:space="preserve">Pieteicējs iesniedza kasācijas sūdzību par </w:t>
      </w:r>
      <w:r w:rsidR="00CB57D8">
        <w:t xml:space="preserve">apgabaltiesas spriedumu, norādot, ka </w:t>
      </w:r>
      <w:r w:rsidR="00D2772D">
        <w:t xml:space="preserve">jautājums par </w:t>
      </w:r>
      <w:r w:rsidR="00CB57D8">
        <w:t xml:space="preserve">Administratīvā procesa likuma 253.panta sestās daļas piemērošanu </w:t>
      </w:r>
      <w:r w:rsidR="00D2772D">
        <w:t xml:space="preserve">apelācijas instancē </w:t>
      </w:r>
      <w:r w:rsidR="00CB57D8">
        <w:t xml:space="preserve">varēja tikt vērtēts tikai </w:t>
      </w:r>
      <w:r w:rsidR="00D2772D">
        <w:t>tad</w:t>
      </w:r>
      <w:r w:rsidR="00CB57D8">
        <w:t xml:space="preserve">, ja </w:t>
      </w:r>
      <w:r w:rsidR="002B4A2C">
        <w:t>tiktu iesniegta apelācijas sūdzība par Administratīvās rajona tiesas 2023.gada 15.decembra spriedumu. Tā kā apelācijas sūdzība par minēto spriedumu netika iesniegta</w:t>
      </w:r>
      <w:r w:rsidR="00C7280B">
        <w:t xml:space="preserve"> un tas ir stājies spēkā</w:t>
      </w:r>
      <w:r w:rsidR="002B4A2C">
        <w:t>, apgabaltiesa, izskatot jautājumu par Administratīvā procesa likuma 253.panta sestās daļas piemērošanu, ir pārsniegusi savas kompetences robežas</w:t>
      </w:r>
      <w:r w:rsidR="00D2772D">
        <w:t>.</w:t>
      </w:r>
    </w:p>
    <w:p w14:paraId="78BB1728" w14:textId="77777777" w:rsidR="002B4A2C" w:rsidRDefault="002B4A2C" w:rsidP="005818BA">
      <w:pPr>
        <w:pStyle w:val="NormalWeb"/>
        <w:shd w:val="clear" w:color="auto" w:fill="FFFFFF"/>
        <w:spacing w:before="0" w:beforeAutospacing="0" w:after="0" w:afterAutospacing="0" w:line="276" w:lineRule="auto"/>
        <w:ind w:firstLine="720"/>
        <w:jc w:val="both"/>
      </w:pPr>
    </w:p>
    <w:p w14:paraId="0057FAD0" w14:textId="11FCB827" w:rsidR="003933A3" w:rsidRDefault="002B4A2C" w:rsidP="005818BA">
      <w:pPr>
        <w:pStyle w:val="NormalWeb"/>
        <w:shd w:val="clear" w:color="auto" w:fill="FFFFFF"/>
        <w:spacing w:before="0" w:beforeAutospacing="0" w:after="0" w:afterAutospacing="0" w:line="276" w:lineRule="auto"/>
        <w:ind w:firstLine="720"/>
        <w:jc w:val="both"/>
      </w:pPr>
      <w:r>
        <w:lastRenderedPageBreak/>
        <w:t>[</w:t>
      </w:r>
      <w:r w:rsidR="00822D11">
        <w:t>7</w:t>
      </w:r>
      <w:r>
        <w:t>] </w:t>
      </w:r>
      <w:r w:rsidR="00DF564C">
        <w:t xml:space="preserve">Aizsardzības ministrija kasācijas sūdzību uzskata par nepamatotu un </w:t>
      </w:r>
      <w:r w:rsidR="00D2772D">
        <w:t>norāda, ka tai nebija nepieciešams pārsūdzēt</w:t>
      </w:r>
      <w:r w:rsidR="00822D11" w:rsidRPr="00822D11">
        <w:t xml:space="preserve"> </w:t>
      </w:r>
      <w:r w:rsidR="00822D11">
        <w:t xml:space="preserve">Administratīvās rajona tiesas 2023.gada 15.decembra spriedumu, </w:t>
      </w:r>
      <w:r w:rsidR="00DF564C" w:rsidRPr="002373FA">
        <w:t xml:space="preserve">lūdzot </w:t>
      </w:r>
      <w:r w:rsidR="00822D11">
        <w:t>uzdot</w:t>
      </w:r>
      <w:r w:rsidR="00DF564C" w:rsidRPr="002373FA">
        <w:t xml:space="preserve"> </w:t>
      </w:r>
      <w:r w:rsidR="00DF564C">
        <w:t>iestādei</w:t>
      </w:r>
      <w:r w:rsidR="00DF564C" w:rsidRPr="002373FA">
        <w:t xml:space="preserve"> izdot jaunu administratīvo aktu par disciplinārsoda piemērošanu, jo disciplinārsodu var piemērot tikai ierēdnim, kur</w:t>
      </w:r>
      <w:r w:rsidR="00C7280B">
        <w:t>š</w:t>
      </w:r>
      <w:r w:rsidR="00DF564C" w:rsidRPr="002373FA">
        <w:t xml:space="preserve"> veic ierēdņa amata pienākumus. </w:t>
      </w:r>
      <w:r w:rsidR="00822D11">
        <w:t>M</w:t>
      </w:r>
      <w:r w:rsidR="003933A3">
        <w:t xml:space="preserve">inistrija pārsūdzēja papildspriedumu, </w:t>
      </w:r>
      <w:r w:rsidR="003933A3" w:rsidRPr="002373FA">
        <w:t xml:space="preserve">ar kuru </w:t>
      </w:r>
      <w:r w:rsidR="003933A3">
        <w:t>pirmās instances tiesa</w:t>
      </w:r>
      <w:r w:rsidR="003933A3" w:rsidRPr="002373FA">
        <w:t xml:space="preserve"> nolēma atjaunot pieteicēju amatā.</w:t>
      </w:r>
    </w:p>
    <w:p w14:paraId="22320452" w14:textId="77777777" w:rsidR="003C6F61" w:rsidRPr="00467A51" w:rsidRDefault="003C6F61" w:rsidP="005818BA">
      <w:pPr>
        <w:pStyle w:val="NormalWeb"/>
        <w:shd w:val="clear" w:color="auto" w:fill="FFFFFF"/>
        <w:spacing w:before="0" w:beforeAutospacing="0" w:after="0" w:afterAutospacing="0" w:line="276" w:lineRule="auto"/>
        <w:ind w:firstLine="720"/>
        <w:jc w:val="both"/>
        <w:rPr>
          <w:rFonts w:asciiTheme="majorBidi" w:hAnsiTheme="majorBidi" w:cstheme="majorBidi"/>
          <w:shd w:val="clear" w:color="auto" w:fill="FFFFFF"/>
        </w:rPr>
      </w:pPr>
    </w:p>
    <w:p w14:paraId="4AFCA15D" w14:textId="77777777" w:rsidR="003C6F61" w:rsidRDefault="003C6F61" w:rsidP="005818BA">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Motīvu daļa</w:t>
      </w:r>
    </w:p>
    <w:p w14:paraId="53F714E6" w14:textId="77777777" w:rsidR="00F0648C" w:rsidRDefault="00F0648C" w:rsidP="005818BA">
      <w:pPr>
        <w:shd w:val="clear" w:color="auto" w:fill="FFFFFF"/>
        <w:spacing w:line="276" w:lineRule="auto"/>
        <w:jc w:val="center"/>
        <w:rPr>
          <w:rFonts w:asciiTheme="majorBidi" w:hAnsiTheme="majorBidi" w:cstheme="majorBidi"/>
          <w:b/>
        </w:rPr>
      </w:pPr>
    </w:p>
    <w:p w14:paraId="0250F74E" w14:textId="0BBC82C1" w:rsidR="00822D11" w:rsidRDefault="00F0648C" w:rsidP="005818BA">
      <w:pPr>
        <w:spacing w:line="276" w:lineRule="auto"/>
        <w:ind w:firstLine="720"/>
        <w:jc w:val="both"/>
      </w:pPr>
      <w:r w:rsidRPr="00773952">
        <w:rPr>
          <w:rFonts w:asciiTheme="majorBidi" w:hAnsiTheme="majorBidi" w:cstheme="majorBidi"/>
          <w:bCs/>
        </w:rPr>
        <w:t>[</w:t>
      </w:r>
      <w:r w:rsidR="00822D11">
        <w:rPr>
          <w:rFonts w:asciiTheme="majorBidi" w:hAnsiTheme="majorBidi" w:cstheme="majorBidi"/>
          <w:bCs/>
        </w:rPr>
        <w:t>8</w:t>
      </w:r>
      <w:r w:rsidRPr="00773952">
        <w:rPr>
          <w:rFonts w:asciiTheme="majorBidi" w:hAnsiTheme="majorBidi" w:cstheme="majorBidi"/>
          <w:bCs/>
        </w:rPr>
        <w:t>]</w:t>
      </w:r>
      <w:r w:rsidR="00C21D00">
        <w:t> </w:t>
      </w:r>
      <w:r w:rsidR="00770D36">
        <w:t>Kasācijas tiesvedībā noskaidrojams, vai</w:t>
      </w:r>
      <w:r w:rsidR="00822D11">
        <w:t xml:space="preserve"> apgabaltiesa ir ievērojusi lietas izskatīšanas robežas, piemērojot Administratīvā procesa likuma 253.panta sesto daļu, ja nav iesniegta apelācijas sūdzība par tiesas spriedumu, ar kuru atcelts personai nelabvēlīgs administratīvai</w:t>
      </w:r>
      <w:r w:rsidR="00692EC1">
        <w:t>s</w:t>
      </w:r>
      <w:r w:rsidR="00822D11">
        <w:t xml:space="preserve"> akts.</w:t>
      </w:r>
    </w:p>
    <w:p w14:paraId="6E801FC5" w14:textId="77777777" w:rsidR="009A412E" w:rsidRDefault="009A412E" w:rsidP="005818BA">
      <w:pPr>
        <w:spacing w:line="276" w:lineRule="auto"/>
        <w:ind w:firstLine="720"/>
        <w:jc w:val="both"/>
      </w:pPr>
    </w:p>
    <w:p w14:paraId="597883D6" w14:textId="44F16CC9" w:rsidR="0055237E" w:rsidRDefault="009A412E" w:rsidP="005818BA">
      <w:pPr>
        <w:spacing w:line="276" w:lineRule="auto"/>
        <w:ind w:firstLine="720"/>
        <w:jc w:val="both"/>
      </w:pPr>
      <w:r>
        <w:t>[</w:t>
      </w:r>
      <w:r w:rsidR="00822D11">
        <w:t>9</w:t>
      </w:r>
      <w:r>
        <w:t>]</w:t>
      </w:r>
      <w:r w:rsidR="00B3244F">
        <w:t> </w:t>
      </w:r>
      <w:r w:rsidR="00F751DD" w:rsidRPr="00F751DD">
        <w:t xml:space="preserve">Administratīvā procesa likuma 249.pants noteic, ka tiesa taisa spriedumu par pieteicēja norādīto pieteikuma priekšmetu, nepārsniedzot prasījuma robežas. </w:t>
      </w:r>
      <w:r w:rsidR="0055237E" w:rsidRPr="0055237E">
        <w:t>Savukārt to, kas var būt pieteikuma priekšmets administratīvajā tiesā</w:t>
      </w:r>
      <w:r w:rsidR="00780D0A">
        <w:t>,</w:t>
      </w:r>
      <w:r w:rsidR="0055237E" w:rsidRPr="0055237E">
        <w:t xml:space="preserve"> noteic minētā likuma 184.pants.</w:t>
      </w:r>
      <w:r w:rsidR="0055237E">
        <w:t xml:space="preserve"> </w:t>
      </w:r>
      <w:r w:rsidR="0055237E" w:rsidRPr="0055237E">
        <w:t xml:space="preserve">Atbilstoši šai tiesību normai pieteikumu var iesniegt </w:t>
      </w:r>
      <w:proofErr w:type="spellStart"/>
      <w:r w:rsidR="0055237E">
        <w:t>citstarp</w:t>
      </w:r>
      <w:proofErr w:type="spellEnd"/>
      <w:r w:rsidR="0055237E" w:rsidRPr="0055237E">
        <w:t xml:space="preserve"> par administratīv</w:t>
      </w:r>
      <w:r w:rsidR="00692EC1">
        <w:t>ā</w:t>
      </w:r>
      <w:r w:rsidR="0055237E" w:rsidRPr="0055237E">
        <w:t xml:space="preserve"> akt</w:t>
      </w:r>
      <w:r w:rsidR="0055237E">
        <w:t xml:space="preserve">a atcelšanu vai atzīšanu par spēkā neesošu. </w:t>
      </w:r>
    </w:p>
    <w:p w14:paraId="6D7A1B98" w14:textId="0FF6B8E3" w:rsidR="005E40E8" w:rsidRDefault="00780D0A" w:rsidP="005818BA">
      <w:pPr>
        <w:spacing w:line="276" w:lineRule="auto"/>
        <w:ind w:firstLine="720"/>
        <w:jc w:val="both"/>
      </w:pPr>
      <w:r>
        <w:t>Saskaņā ar</w:t>
      </w:r>
      <w:r w:rsidR="0055237E" w:rsidRPr="0055237E">
        <w:t xml:space="preserve"> Administratīvā procesa likuma 251.panta sest</w:t>
      </w:r>
      <w:r>
        <w:t>o</w:t>
      </w:r>
      <w:r w:rsidR="0055237E" w:rsidRPr="0055237E">
        <w:t xml:space="preserve"> daļ</w:t>
      </w:r>
      <w:r>
        <w:t>u</w:t>
      </w:r>
      <w:r w:rsidR="0055237E" w:rsidRPr="0055237E">
        <w:t xml:space="preserve"> sprieduma rezolutīvajā daļā </w:t>
      </w:r>
      <w:r w:rsidR="001024C2">
        <w:t>jā</w:t>
      </w:r>
      <w:r w:rsidR="0055237E" w:rsidRPr="0055237E">
        <w:t>norāda tiesas spriedum</w:t>
      </w:r>
      <w:r w:rsidR="001024C2">
        <w:t>s</w:t>
      </w:r>
      <w:r w:rsidR="0055237E" w:rsidRPr="0055237E">
        <w:t xml:space="preserve"> par pieteikuma apmierināšanu pilnībā vai daļā vai par tā noraidīšanu pilnībā vai daļā un sprieduma būtīb</w:t>
      </w:r>
      <w:r w:rsidR="001024C2">
        <w:t>a</w:t>
      </w:r>
      <w:r w:rsidR="0055237E">
        <w:t>.</w:t>
      </w:r>
      <w:r w:rsidR="005E40E8">
        <w:t xml:space="preserve"> </w:t>
      </w:r>
      <w:r w:rsidR="001024C2" w:rsidRPr="001024C2">
        <w:t>Sprieduma būtības norādīšana nozīmē, ka, apmierinot pieteikumu pilnībā vai daļā, sprieduma rezolutīvajā daļā papildus ir jānorāda šīs apmierināšanas būtība, kas ir atkarīga no pieteikuma priekšmeta un tiem tiesiskajiem līdzekļiem, kurus tiesa pielieto pieteicēja tiesību aizsardzībai</w:t>
      </w:r>
      <w:r w:rsidR="005E40E8">
        <w:t xml:space="preserve"> (</w:t>
      </w:r>
      <w:r w:rsidR="005E40E8" w:rsidRPr="005E40E8">
        <w:rPr>
          <w:i/>
          <w:iCs/>
        </w:rPr>
        <w:t>Senāta 2009.gada 16.novembra sprieduma lietā Nr. SKA-283/2009, A42451406, 8.punkts</w:t>
      </w:r>
      <w:r w:rsidR="005E40E8">
        <w:t>)</w:t>
      </w:r>
      <w:r w:rsidR="001024C2" w:rsidRPr="001024C2">
        <w:t>. To, ko ietver sprieduma būtība atkarībā no pieteikuma priekšmeta, konkretizē attiecīgi Administratīvā procesa likuma 253.</w:t>
      </w:r>
      <w:r w:rsidR="001024C2">
        <w:t>–</w:t>
      </w:r>
      <w:r w:rsidR="001024C2" w:rsidRPr="001024C2">
        <w:t>256.</w:t>
      </w:r>
      <w:r w:rsidR="001024C2" w:rsidRPr="001024C2">
        <w:rPr>
          <w:vertAlign w:val="superscript"/>
        </w:rPr>
        <w:t>2</w:t>
      </w:r>
      <w:r w:rsidR="001024C2" w:rsidRPr="001024C2">
        <w:t>pants.</w:t>
      </w:r>
      <w:r w:rsidR="001024C2">
        <w:t xml:space="preserve"> </w:t>
      </w:r>
    </w:p>
    <w:p w14:paraId="5B126F03" w14:textId="66D61668" w:rsidR="00B40727" w:rsidRDefault="00B83903" w:rsidP="005818BA">
      <w:pPr>
        <w:spacing w:line="276" w:lineRule="auto"/>
        <w:ind w:firstLine="720"/>
        <w:jc w:val="both"/>
      </w:pPr>
      <w:r>
        <w:t>Proti</w:t>
      </w:r>
      <w:r w:rsidR="001024C2">
        <w:t>, atbilstoši 253.panta pirmajai daļai, ja tiesa atzīst par pamatotu pieteikumu par administratīvā akta atcelšanu</w:t>
      </w:r>
      <w:r w:rsidR="00411245">
        <w:t xml:space="preserve"> vai atzīšanu par spēkā neesošu</w:t>
      </w:r>
      <w:r w:rsidR="001024C2">
        <w:t xml:space="preserve">, tā attiecīgo administratīvo aktu atceļ pilnībā vai kādā daļā </w:t>
      </w:r>
      <w:r w:rsidR="00411245">
        <w:t xml:space="preserve">vai atzīst to par spēkā neesošu. Administratīvā akta atcelšanas gadījumā tiesa </w:t>
      </w:r>
      <w:r w:rsidR="001024C2">
        <w:t>nosaka, ar kuru dienu administratīvais akts uzskatāms par atceltu.</w:t>
      </w:r>
      <w:r w:rsidR="00B40727">
        <w:t xml:space="preserve"> Atbilstoši 253.panta otrajai daļai, ja nepieciešams, it īpaši ja pirms administratīvā </w:t>
      </w:r>
      <w:r w:rsidR="00B40727" w:rsidRPr="00CA1789">
        <w:t>akta atcelšanas uzsākta tā izpilde, tiesa spriedumā norāda, kādā veidā iestādei jānovērš uzsāktās izpildes sekas, un uzdod iestādei šajā nolūkā noteiktā termiņā veikt konkrētas darbības.</w:t>
      </w:r>
      <w:r w:rsidR="00B40727" w:rsidRPr="007F114E">
        <w:t xml:space="preserve"> Atbilstoši </w:t>
      </w:r>
      <w:r w:rsidR="00B40727">
        <w:t>253.</w:t>
      </w:r>
      <w:r w:rsidR="00B40727" w:rsidRPr="007F114E">
        <w:t xml:space="preserve">panta sestajai daļai, ja nepieciešams, tiesa uzdod iestādei atceltā administratīvā akta vietā izdot jaunu administratīvo aktu. </w:t>
      </w:r>
    </w:p>
    <w:p w14:paraId="5795BD3E" w14:textId="2146F36F" w:rsidR="0055237E" w:rsidRDefault="0031041C" w:rsidP="005818BA">
      <w:pPr>
        <w:spacing w:line="276" w:lineRule="auto"/>
        <w:ind w:firstLine="720"/>
        <w:jc w:val="both"/>
      </w:pPr>
      <w:r>
        <w:t xml:space="preserve">Administratīvā procesa likuma </w:t>
      </w:r>
      <w:r w:rsidR="00D6168B">
        <w:t xml:space="preserve">253.panta otrā daļa </w:t>
      </w:r>
      <w:r w:rsidR="00D6168B" w:rsidRPr="00D6168B">
        <w:t>ir vērsta uz tā iepriekšējā stāvokļa atjaunošanu, kas izmainīts ar administratīvo aktu, kuru tiesa atzinusi par prettiesisku</w:t>
      </w:r>
      <w:r w:rsidR="00D6168B">
        <w:t xml:space="preserve"> (</w:t>
      </w:r>
      <w:r w:rsidR="00D6168B" w:rsidRPr="00D6168B">
        <w:rPr>
          <w:i/>
          <w:iCs/>
        </w:rPr>
        <w:t>Senāta 2013.gada 31.janvāra sprieduma lietā Nr. SKA-127/2013, A43004511, 18.punkts</w:t>
      </w:r>
      <w:r w:rsidR="00D6168B">
        <w:t>)</w:t>
      </w:r>
      <w:r>
        <w:t>. Lai tiesa lemtu par uzsāktās izpildes sek</w:t>
      </w:r>
      <w:r w:rsidR="00BD1DB4">
        <w:t>u</w:t>
      </w:r>
      <w:r>
        <w:t xml:space="preserve"> novēršanu, personai pieteikumā tas nav tieši jālūdz</w:t>
      </w:r>
      <w:r w:rsidR="00411245">
        <w:t xml:space="preserve">, jo tas nav atsevišķs prasījums. Jautājums par uzsāktās administratīvā akta izpildes seku novēršanu tiesai ir jāapsver jebkurā gadījumā, kad tā izskata prasījumu par administratīvā akta atcelšanu </w:t>
      </w:r>
      <w:r w:rsidR="003E2876">
        <w:lastRenderedPageBreak/>
        <w:t xml:space="preserve">(sal. </w:t>
      </w:r>
      <w:r w:rsidR="003E2876" w:rsidRPr="00B83903">
        <w:rPr>
          <w:i/>
          <w:iCs/>
        </w:rPr>
        <w:t>Senāta 2011.gada 8.jūlija sprieduma lietā Nr. SKA-426/2011, A42947609, 12.punkts, 2012.gada 22.jūnija sprieduma lietā Nr. SKA-123/2012, A42391306, 8.punkts</w:t>
      </w:r>
      <w:r w:rsidR="006B7B25" w:rsidRPr="00B83903">
        <w:rPr>
          <w:i/>
          <w:iCs/>
        </w:rPr>
        <w:t>, 2018.gada 9.marta sprieduma lietā Nr. SKA-291/2018</w:t>
      </w:r>
      <w:r w:rsidR="002926A1" w:rsidRPr="00B83903">
        <w:rPr>
          <w:i/>
          <w:iCs/>
        </w:rPr>
        <w:t xml:space="preserve">, </w:t>
      </w:r>
      <w:hyperlink r:id="rId9" w:history="1">
        <w:r w:rsidR="002926A1" w:rsidRPr="00B83903">
          <w:rPr>
            <w:rStyle w:val="Hyperlink"/>
            <w:i/>
            <w:iCs/>
          </w:rPr>
          <w:t>ECLI:LV:AT:2018:0309.A420193115.2.S</w:t>
        </w:r>
      </w:hyperlink>
      <w:r w:rsidR="002926A1" w:rsidRPr="00B83903">
        <w:rPr>
          <w:i/>
          <w:iCs/>
        </w:rPr>
        <w:t xml:space="preserve">, </w:t>
      </w:r>
      <w:r w:rsidR="006B7B25" w:rsidRPr="00B83903">
        <w:rPr>
          <w:i/>
          <w:iCs/>
        </w:rPr>
        <w:t>11.punkts</w:t>
      </w:r>
      <w:r w:rsidR="006B7B25">
        <w:t>).</w:t>
      </w:r>
    </w:p>
    <w:p w14:paraId="219D564E" w14:textId="1D4B54E7" w:rsidR="00B86721" w:rsidRDefault="0015759F" w:rsidP="005818BA">
      <w:pPr>
        <w:spacing w:line="276" w:lineRule="auto"/>
        <w:ind w:firstLine="680"/>
        <w:jc w:val="both"/>
      </w:pPr>
      <w:r>
        <w:t>Administratīvā procesa likuma 253.panta sestā daļa</w:t>
      </w:r>
      <w:r w:rsidR="00D644D3">
        <w:t xml:space="preserve"> </w:t>
      </w:r>
      <w:r w:rsidR="00D644D3" w:rsidRPr="00B60E32">
        <w:t>paredz tiesas prerogatīvu izlemt, kuros gadījumos atceltā administratīvā akta vietā ir objektīvi nepieciešama vēl viena administratīvā akta izdošana. Šādas tiesības tiesai piešķirtas, lai tiktu nodrošināta efektīva tiesisko attiecību noregulēšana.</w:t>
      </w:r>
      <w:r w:rsidR="00D644D3" w:rsidRPr="00D644D3">
        <w:t xml:space="preserve"> </w:t>
      </w:r>
      <w:r w:rsidR="00D644D3" w:rsidRPr="00D0700E">
        <w:t>Pamats normas piemērošanai ir administratīvā akta izdošanas nepieciešamība, proti, ja faktiskie apstākļi ir tādi, ka situācija nevar iztikt bez attiecīga tiesiskā regulējuma – nelabvēlīga administratīvā akta</w:t>
      </w:r>
      <w:r w:rsidR="00380E2D">
        <w:t xml:space="preserve">. </w:t>
      </w:r>
      <w:r w:rsidR="00380E2D" w:rsidRPr="00B60E32">
        <w:t>Izlemjot, ka ir nepieciešams uzdot iestādei izdot jaunu administratīvo aktu, tiesa nav saistīta ar to, vai pieteicējs pieteikumā izteicis šādu lūgumu, un šāda tiesas izvēle nav uzskatāma par lietas izspriešanu ārpus pieteicēja prasījuma robežām</w:t>
      </w:r>
      <w:r w:rsidR="00601E90">
        <w:t xml:space="preserve"> (sal. </w:t>
      </w:r>
      <w:r w:rsidR="00601E90" w:rsidRPr="00903586">
        <w:rPr>
          <w:i/>
          <w:iCs/>
        </w:rPr>
        <w:t>Senāta 2011.gada 3.jūnija sprieduma lietā Nr. SKA</w:t>
      </w:r>
      <w:r w:rsidR="00022696">
        <w:rPr>
          <w:i/>
          <w:iCs/>
        </w:rPr>
        <w:noBreakHyphen/>
      </w:r>
      <w:r w:rsidR="00601E90" w:rsidRPr="00903586">
        <w:rPr>
          <w:i/>
          <w:iCs/>
        </w:rPr>
        <w:t>65/2011</w:t>
      </w:r>
      <w:r w:rsidR="00BF2BAD">
        <w:rPr>
          <w:i/>
          <w:iCs/>
        </w:rPr>
        <w:t xml:space="preserve">, </w:t>
      </w:r>
      <w:r w:rsidR="00BF2BAD" w:rsidRPr="00BF2BAD">
        <w:rPr>
          <w:i/>
          <w:iCs/>
        </w:rPr>
        <w:t>A43004509</w:t>
      </w:r>
      <w:r w:rsidR="00BF2BAD">
        <w:rPr>
          <w:i/>
          <w:iCs/>
        </w:rPr>
        <w:t>,</w:t>
      </w:r>
      <w:r w:rsidR="00601E90" w:rsidRPr="00903586">
        <w:rPr>
          <w:i/>
          <w:iCs/>
        </w:rPr>
        <w:t xml:space="preserve"> 14.punkts, 2021.gada 26.novembra sprieduma lietā Nr. SKA-94/2021, </w:t>
      </w:r>
      <w:hyperlink r:id="rId10" w:history="1">
        <w:r w:rsidR="00601E90" w:rsidRPr="00903586">
          <w:rPr>
            <w:rStyle w:val="Hyperlink"/>
            <w:i/>
            <w:iCs/>
          </w:rPr>
          <w:t>ECLI:LV:AT:2021:1126.A420194117.14.S</w:t>
        </w:r>
      </w:hyperlink>
      <w:r w:rsidR="00601E90" w:rsidRPr="00903586">
        <w:rPr>
          <w:i/>
          <w:iCs/>
        </w:rPr>
        <w:t>, 21.punkts</w:t>
      </w:r>
      <w:r w:rsidR="00601E90">
        <w:t>).</w:t>
      </w:r>
    </w:p>
    <w:p w14:paraId="43825CD9" w14:textId="1A1D3629" w:rsidR="00B86721" w:rsidRDefault="00B86721" w:rsidP="005818BA">
      <w:pPr>
        <w:spacing w:line="276" w:lineRule="auto"/>
        <w:ind w:firstLine="680"/>
        <w:jc w:val="both"/>
      </w:pPr>
      <w:r>
        <w:t>Administratīvā procesa likuma 253.panta konstrukcija norāda uz pakārtotības attiecībām starp panta pirmo</w:t>
      </w:r>
      <w:r w:rsidR="0085007C">
        <w:t xml:space="preserve"> un tālākajām daļām.</w:t>
      </w:r>
      <w:r>
        <w:t xml:space="preserve"> Proti, tikai tad, ja </w:t>
      </w:r>
      <w:r w:rsidR="006D4693">
        <w:t>tiesa nonākusi pie secinājuma par pārsūdzētā administratīvā akta atcelšanu</w:t>
      </w:r>
      <w:r w:rsidR="0085007C">
        <w:t xml:space="preserve"> jeb par </w:t>
      </w:r>
      <w:proofErr w:type="spellStart"/>
      <w:r w:rsidR="0085007C">
        <w:t>pamatprasījuma</w:t>
      </w:r>
      <w:proofErr w:type="spellEnd"/>
      <w:r w:rsidR="0085007C">
        <w:t xml:space="preserve"> pamatotību</w:t>
      </w:r>
      <w:r w:rsidR="006D4693">
        <w:t xml:space="preserve">, tai ir pamats pievērsties jautājumam par to, vai konkrētajā gadījumā ir nepieciešams lemt par izpildes seku novēršanu un vai atceltā administratīvā akta vietā nepieciešams izdot jaunu administratīvo aktu. Izpildes seku novēršana ir apsverama ikvienā gadījumā, kad pārsūdzētais administratīvais akts ir atceļams, </w:t>
      </w:r>
      <w:r w:rsidR="006D4693" w:rsidRPr="00D91040">
        <w:t>jo likums tiecas pēc iespējas mazināt</w:t>
      </w:r>
      <w:r w:rsidR="006D4693">
        <w:t xml:space="preserve"> prettiesiska administratīvā akta radītās negatīvās sekas.</w:t>
      </w:r>
      <w:r w:rsidR="00B735B7">
        <w:t xml:space="preserve"> Savukārt Administratīvā procesa likuma 253.panta sestā daļa ir piemērojama tikai tad, ja šāda nepieciešamība patiešām objektīvi pastāv, un tiesai tā īpaši jāpamato.</w:t>
      </w:r>
    </w:p>
    <w:p w14:paraId="2EA00BDE" w14:textId="77777777" w:rsidR="00B735B7" w:rsidRDefault="00B735B7" w:rsidP="005818BA">
      <w:pPr>
        <w:spacing w:line="276" w:lineRule="auto"/>
        <w:ind w:firstLine="680"/>
        <w:jc w:val="both"/>
      </w:pPr>
    </w:p>
    <w:p w14:paraId="17E5B8B4" w14:textId="2E15800D" w:rsidR="00084947" w:rsidRDefault="00084947" w:rsidP="005818BA">
      <w:pPr>
        <w:spacing w:line="276" w:lineRule="auto"/>
        <w:ind w:firstLine="720"/>
        <w:jc w:val="both"/>
      </w:pPr>
      <w:r>
        <w:t>[1</w:t>
      </w:r>
      <w:r w:rsidR="003F2518">
        <w:t>0</w:t>
      </w:r>
      <w:r>
        <w:t xml:space="preserve">] Administratīvās rajona tiesas 2023.gada 15.decembra sprieduma rezolutīvā daļa saturiski atbilst Administratīvā procesa likuma 253.panta pirmās un piektās daļas nosacījumiem, jo ietver gan secinājumu par pieteikuma apmierināšanu daļā, gan arī norādi par pārsūdzētā rīkojuma atcelšanu un iestādes pienākumu izmaksāt pieteicējam atlīdzinājumu. Tā kā lietas dalībnieki spriedumu nepārsūdzēja, tas stājās spēkā. Atbilstoši </w:t>
      </w:r>
      <w:proofErr w:type="spellStart"/>
      <w:r w:rsidRPr="00B735B7">
        <w:rPr>
          <w:i/>
          <w:iCs/>
        </w:rPr>
        <w:t>res</w:t>
      </w:r>
      <w:proofErr w:type="spellEnd"/>
      <w:r w:rsidRPr="00B735B7">
        <w:rPr>
          <w:i/>
          <w:iCs/>
        </w:rPr>
        <w:t xml:space="preserve"> </w:t>
      </w:r>
      <w:proofErr w:type="spellStart"/>
      <w:r w:rsidRPr="00B735B7">
        <w:rPr>
          <w:i/>
          <w:iCs/>
        </w:rPr>
        <w:t>judicata</w:t>
      </w:r>
      <w:proofErr w:type="spellEnd"/>
      <w:r>
        <w:t xml:space="preserve"> principam ar sprieduma stāšanos spēkā konkrētās tiesiskās attiecības tiek galīgi noregulētas un personas var paļauties, ka šis noregulējums paliks nemainīgs.</w:t>
      </w:r>
    </w:p>
    <w:p w14:paraId="56B4C77D" w14:textId="3938310D" w:rsidR="00084947" w:rsidRDefault="00084947" w:rsidP="005818BA">
      <w:pPr>
        <w:spacing w:line="276" w:lineRule="auto"/>
        <w:ind w:firstLine="720"/>
        <w:jc w:val="both"/>
      </w:pPr>
      <w:r>
        <w:t>Ar Administratīvās rajona tiesas 2024.gada 13.februāra papildspriedumu izlemts jautājums par atceltā rīkojuma izpildes seku novēršanu</w:t>
      </w:r>
      <w:r w:rsidR="00C87EF4">
        <w:t>, kā to paredz Administratīvā procesa likuma 253.panta otrā daļa. Papildspriedums tika pārsūdzēts apelācijas kārtībā.</w:t>
      </w:r>
    </w:p>
    <w:p w14:paraId="29E407B1" w14:textId="407F351B" w:rsidR="006511CC" w:rsidRDefault="00C87EF4" w:rsidP="005818BA">
      <w:pPr>
        <w:spacing w:line="276" w:lineRule="auto"/>
        <w:ind w:firstLine="720"/>
        <w:jc w:val="both"/>
      </w:pPr>
      <w:r>
        <w:t xml:space="preserve">No minētā izriet, ka apelācijas instances tiesai varēja tikt nodots tikai jautājums par to, vai pirmās instances tiesa ir pareizi piemērojusi Administratīvā procesa likuma 253.panta otro daļu, jo tikai šis jautājums ir izlemts papildspriedumā. </w:t>
      </w:r>
      <w:r w:rsidR="00A81E89">
        <w:t xml:space="preserve">Kasācijas sūdzības argumenti šajā ziņā ir pamatoti. </w:t>
      </w:r>
      <w:r>
        <w:t xml:space="preserve">Apelācijas instances tiesai nebija </w:t>
      </w:r>
      <w:r w:rsidR="00B314C1">
        <w:t>jāpievēršas</w:t>
      </w:r>
      <w:r>
        <w:t xml:space="preserve"> jautājumam par to, vai konkrētajā lietā bija pamats piemērot Administratīvā procesa likuma 253.panta sesto daļu, jo šis jautājums ir galīgi noregulēts ar spēkā stājušos spriedumu</w:t>
      </w:r>
      <w:r w:rsidR="001C06D8">
        <w:t>, minēto normu nepiemērojot.</w:t>
      </w:r>
    </w:p>
    <w:p w14:paraId="75AA3D48" w14:textId="107623CB" w:rsidR="006511CC" w:rsidRDefault="00C87EF4" w:rsidP="005818BA">
      <w:pPr>
        <w:spacing w:line="276" w:lineRule="auto"/>
        <w:ind w:firstLine="720"/>
        <w:jc w:val="both"/>
      </w:pPr>
      <w:r>
        <w:lastRenderedPageBreak/>
        <w:t xml:space="preserve">Apgabaltiesa spriedumā norādījusi, ka pirmās instances tiesa nekādi nav pamatojusi viedokli, ka attiecīgā situācija (proti, tas, ka pieteicējs ir izdarījis </w:t>
      </w:r>
      <w:proofErr w:type="spellStart"/>
      <w:r>
        <w:t>disciplinārpārkāpumu</w:t>
      </w:r>
      <w:proofErr w:type="spellEnd"/>
      <w:r>
        <w:t xml:space="preserve">, kura dēļ nodarīts būtisks kaitējums valsts interesēm) </w:t>
      </w:r>
      <w:r w:rsidR="006511CC">
        <w:t>var palikt bez noregulējuma. Tomēr šī atziņa nav pareiza. Kā jau minēts, tā ir tiesas izvēle, vai sprieduma rezolutīvajā</w:t>
      </w:r>
      <w:r w:rsidR="00B11B9F">
        <w:t xml:space="preserve"> daļā</w:t>
      </w:r>
      <w:r w:rsidR="006511CC">
        <w:t xml:space="preserve"> lemt tikai par administratīvā akta atcelšanu (kā tas ir konkrētajā gadījumā), vai arī par akta atcelšanu un pienākuma uzlikšanu iestādei izdot jaunu administratīvo aktu, turklāt šī tiesas izvēle ir īpaši jāpamato nevis gadījumā, kad pārsūdzētais administratīvais akts tiek atcelts, bet gan gadījumā, kad tiesa izšķiras papildus piemērot arī Administratīvā procesa likuma 253.panta sestajā daļā paredzēto instrumentu.</w:t>
      </w:r>
      <w:r w:rsidR="00331037">
        <w:t xml:space="preserve"> </w:t>
      </w:r>
      <w:r w:rsidR="005F1084">
        <w:t>Savukārt, j</w:t>
      </w:r>
      <w:r w:rsidR="006511CC">
        <w:t xml:space="preserve">a lietas dalībnieks uzskata, ka faktiskie apstākļi ir tādi, kas </w:t>
      </w:r>
      <w:r w:rsidR="00331037">
        <w:t>pārsūdzētā lēmuma prettiesiskuma konstatēšanas gadījumā prasa tiesiskās attiecības noregulēt tādējādi, ka atbilstoši Administratīvā procesa likuma 253.panta sestajai daļai tiek izdots jauns administratīvais akts, tam ir jāiesniedz apelācijas sūdzība par pirmās instances tiesas spriedumu daļā, kas pamato jauna nelabvēlīga akta izdošanu, proti, daļā, ar kuru atcelts pārsūdzētais administratīvais akts.</w:t>
      </w:r>
    </w:p>
    <w:p w14:paraId="7269A827" w14:textId="6399D701" w:rsidR="00B314C1" w:rsidRDefault="005F1084" w:rsidP="005818BA">
      <w:pPr>
        <w:spacing w:line="276" w:lineRule="auto"/>
        <w:ind w:firstLine="720"/>
        <w:jc w:val="both"/>
      </w:pPr>
      <w:r>
        <w:t>Ievērojot minēto, Senāts secina, ka apgabal</w:t>
      </w:r>
      <w:r w:rsidR="00B314C1" w:rsidRPr="003F2518">
        <w:t>tiesa ir kļūdījusies, nosakot lietas izskatīšanas robežas</w:t>
      </w:r>
      <w:r w:rsidR="003F2518">
        <w:t xml:space="preserve"> un izskatot tādu lietas dalībnieka prasījumu, kas nevarēja tikt nodots izskatīšanai apelācijas kārtībā.</w:t>
      </w:r>
    </w:p>
    <w:p w14:paraId="705BC548" w14:textId="0473FADD" w:rsidR="00084947" w:rsidRDefault="00084947" w:rsidP="005818BA">
      <w:pPr>
        <w:spacing w:line="276" w:lineRule="auto"/>
        <w:ind w:firstLine="720"/>
        <w:jc w:val="both"/>
      </w:pPr>
    </w:p>
    <w:p w14:paraId="0BD33160" w14:textId="4FD6E263" w:rsidR="00084947" w:rsidRDefault="00331037" w:rsidP="005818BA">
      <w:pPr>
        <w:spacing w:line="276" w:lineRule="auto"/>
        <w:ind w:firstLine="720"/>
        <w:jc w:val="both"/>
      </w:pPr>
      <w:r>
        <w:t>[1</w:t>
      </w:r>
      <w:r w:rsidR="003F2518">
        <w:t>1</w:t>
      </w:r>
      <w:r>
        <w:t>] </w:t>
      </w:r>
      <w:r w:rsidR="00A81E89">
        <w:t>Tā kā apgabaltiesa nepamatoti piemērojusi Administratīvā procesa likuma 253.panta sesto daļu</w:t>
      </w:r>
      <w:r w:rsidR="00366536">
        <w:t xml:space="preserve"> un</w:t>
      </w:r>
      <w:r w:rsidR="00A81E89">
        <w:t xml:space="preserve"> pārsniegusi lietas izskatīšanas robežas, Senāts atzīst, ka apgabaltiesas spriedums ir atceļams.</w:t>
      </w:r>
    </w:p>
    <w:p w14:paraId="5401B7AF" w14:textId="77777777" w:rsidR="00C34DAD" w:rsidRDefault="00C34DAD" w:rsidP="005818BA">
      <w:pPr>
        <w:spacing w:line="276" w:lineRule="auto"/>
        <w:ind w:firstLine="720"/>
        <w:jc w:val="both"/>
      </w:pPr>
    </w:p>
    <w:p w14:paraId="56D9EDD7" w14:textId="77777777" w:rsidR="003C6F61" w:rsidRPr="00467A51" w:rsidRDefault="003C6F61" w:rsidP="005818BA">
      <w:pPr>
        <w:shd w:val="clear" w:color="auto" w:fill="FFFFFF"/>
        <w:spacing w:line="276" w:lineRule="auto"/>
        <w:jc w:val="center"/>
        <w:rPr>
          <w:rFonts w:asciiTheme="majorBidi" w:hAnsiTheme="majorBidi" w:cstheme="majorBidi"/>
          <w:b/>
        </w:rPr>
      </w:pPr>
      <w:r w:rsidRPr="00467A51">
        <w:rPr>
          <w:rFonts w:asciiTheme="majorBidi" w:hAnsiTheme="majorBidi" w:cstheme="majorBidi"/>
          <w:b/>
        </w:rPr>
        <w:t>Rezolutīvā daļa</w:t>
      </w:r>
    </w:p>
    <w:p w14:paraId="0186245B" w14:textId="77777777" w:rsidR="003C6F61" w:rsidRPr="00467A51" w:rsidRDefault="003C6F61" w:rsidP="005818BA">
      <w:pPr>
        <w:shd w:val="clear" w:color="auto" w:fill="FFFFFF"/>
        <w:spacing w:line="276" w:lineRule="auto"/>
        <w:ind w:firstLine="709"/>
        <w:jc w:val="center"/>
        <w:rPr>
          <w:rFonts w:asciiTheme="majorBidi" w:hAnsiTheme="majorBidi" w:cstheme="majorBidi"/>
          <w:b/>
        </w:rPr>
      </w:pPr>
    </w:p>
    <w:p w14:paraId="122D62F8" w14:textId="54AAD185" w:rsidR="003C6F61" w:rsidRPr="00467A51" w:rsidRDefault="003C6F61" w:rsidP="005818BA">
      <w:pPr>
        <w:shd w:val="clear" w:color="auto" w:fill="FFFFFF"/>
        <w:spacing w:line="276" w:lineRule="auto"/>
        <w:ind w:firstLine="720"/>
        <w:jc w:val="both"/>
        <w:rPr>
          <w:rFonts w:asciiTheme="majorBidi" w:hAnsiTheme="majorBidi" w:cstheme="majorBidi"/>
        </w:rPr>
      </w:pPr>
      <w:r w:rsidRPr="001B78F4">
        <w:rPr>
          <w:rFonts w:asciiTheme="majorBidi" w:hAnsiTheme="majorBidi" w:cstheme="majorBidi"/>
        </w:rPr>
        <w:t xml:space="preserve">Pamatojoties uz </w:t>
      </w:r>
      <w:r w:rsidRPr="001B78F4">
        <w:rPr>
          <w:rFonts w:asciiTheme="majorBidi" w:eastAsiaTheme="minorHAnsi" w:hAnsiTheme="majorBidi" w:cstheme="majorBidi"/>
          <w:lang w:eastAsia="en-US"/>
        </w:rPr>
        <w:t xml:space="preserve">Administratīvā procesa likuma </w:t>
      </w:r>
      <w:r w:rsidR="00E46258" w:rsidRPr="0089150C">
        <w:rPr>
          <w:rFonts w:eastAsiaTheme="minorHAnsi"/>
          <w:lang w:eastAsia="en-US"/>
        </w:rPr>
        <w:t>129.</w:t>
      </w:r>
      <w:r w:rsidR="00E46258" w:rsidRPr="0089150C">
        <w:rPr>
          <w:rFonts w:eastAsiaTheme="minorHAnsi"/>
          <w:vertAlign w:val="superscript"/>
          <w:lang w:eastAsia="en-US"/>
        </w:rPr>
        <w:t>1</w:t>
      </w:r>
      <w:r w:rsidR="00E46258" w:rsidRPr="0089150C">
        <w:rPr>
          <w:rFonts w:eastAsiaTheme="minorHAnsi"/>
          <w:lang w:eastAsia="en-US"/>
        </w:rPr>
        <w:t xml:space="preserve">panta pirmās daļas 1.punktu, </w:t>
      </w:r>
      <w:r w:rsidRPr="001B78F4">
        <w:rPr>
          <w:rFonts w:asciiTheme="majorBidi" w:eastAsiaTheme="minorHAnsi" w:hAnsiTheme="majorBidi" w:cstheme="majorBidi"/>
          <w:lang w:eastAsia="en-US"/>
        </w:rPr>
        <w:t>348.panta pirmās daļas 2.punktu un 351.pantu</w:t>
      </w:r>
      <w:r w:rsidRPr="001B78F4">
        <w:rPr>
          <w:rFonts w:asciiTheme="majorBidi" w:hAnsiTheme="majorBidi" w:cstheme="majorBidi"/>
        </w:rPr>
        <w:t>, Senāts</w:t>
      </w:r>
    </w:p>
    <w:p w14:paraId="36CA5005" w14:textId="77777777" w:rsidR="00E46258" w:rsidRDefault="00E46258" w:rsidP="005818BA">
      <w:pPr>
        <w:shd w:val="clear" w:color="auto" w:fill="FFFFFF"/>
        <w:spacing w:line="276" w:lineRule="auto"/>
        <w:jc w:val="center"/>
        <w:rPr>
          <w:rFonts w:asciiTheme="majorBidi" w:hAnsiTheme="majorBidi" w:cstheme="majorBidi"/>
          <w:b/>
        </w:rPr>
      </w:pPr>
    </w:p>
    <w:p w14:paraId="723A8880" w14:textId="5010FD18" w:rsidR="003C6F61" w:rsidRPr="00467A51" w:rsidRDefault="003C6F61" w:rsidP="005818BA">
      <w:pPr>
        <w:shd w:val="clear" w:color="auto" w:fill="FFFFFF"/>
        <w:spacing w:line="276" w:lineRule="auto"/>
        <w:jc w:val="center"/>
        <w:rPr>
          <w:rFonts w:asciiTheme="majorBidi" w:hAnsiTheme="majorBidi" w:cstheme="majorBidi"/>
        </w:rPr>
      </w:pPr>
      <w:r w:rsidRPr="00467A51">
        <w:rPr>
          <w:rFonts w:asciiTheme="majorBidi" w:hAnsiTheme="majorBidi" w:cstheme="majorBidi"/>
          <w:b/>
        </w:rPr>
        <w:t>nosprieda</w:t>
      </w:r>
    </w:p>
    <w:p w14:paraId="4A939BFC" w14:textId="77777777" w:rsidR="003C6F61" w:rsidRPr="00467A51" w:rsidRDefault="003C6F61" w:rsidP="005818BA">
      <w:pPr>
        <w:shd w:val="clear" w:color="auto" w:fill="FFFFFF"/>
        <w:spacing w:line="276" w:lineRule="auto"/>
        <w:ind w:firstLine="709"/>
        <w:jc w:val="center"/>
        <w:rPr>
          <w:rFonts w:asciiTheme="majorBidi" w:hAnsiTheme="majorBidi" w:cstheme="majorBidi"/>
          <w:b/>
        </w:rPr>
      </w:pPr>
    </w:p>
    <w:p w14:paraId="3FD29B4E" w14:textId="234A22DC" w:rsidR="005D666E" w:rsidRPr="003F5B4E" w:rsidRDefault="00E46258" w:rsidP="005818BA">
      <w:pPr>
        <w:spacing w:line="276" w:lineRule="auto"/>
        <w:ind w:firstLine="720"/>
        <w:jc w:val="both"/>
      </w:pPr>
      <w:r w:rsidRPr="0089150C">
        <w:t xml:space="preserve">atcelt </w:t>
      </w:r>
      <w:r w:rsidR="00BB6B88">
        <w:rPr>
          <w:rFonts w:asciiTheme="majorBidi" w:hAnsiTheme="majorBidi" w:cstheme="majorBidi"/>
        </w:rPr>
        <w:t>Administratīvās apgabaltiesas 2024.gada 3.oktobra spriedumu</w:t>
      </w:r>
      <w:r w:rsidR="005D666E">
        <w:rPr>
          <w:rFonts w:asciiTheme="majorBidi" w:hAnsiTheme="majorBidi" w:cstheme="majorBidi"/>
        </w:rPr>
        <w:t xml:space="preserve"> un nodot lietu</w:t>
      </w:r>
      <w:r w:rsidR="005D666E" w:rsidRPr="0089150C">
        <w:t xml:space="preserve"> jaunai izskatīšanai Administratīva</w:t>
      </w:r>
      <w:r w:rsidR="005D666E" w:rsidRPr="003F5B4E">
        <w:t>jai apgabaltiesai;</w:t>
      </w:r>
    </w:p>
    <w:p w14:paraId="1F6191AE" w14:textId="5B1B2921" w:rsidR="00E46258" w:rsidRPr="0089150C" w:rsidRDefault="00E46258" w:rsidP="005818BA">
      <w:pPr>
        <w:spacing w:line="276" w:lineRule="auto"/>
        <w:ind w:firstLine="720"/>
        <w:jc w:val="both"/>
      </w:pPr>
      <w:r w:rsidRPr="003F5B4E">
        <w:t xml:space="preserve">atmaksāt </w:t>
      </w:r>
      <w:r w:rsidR="005818BA">
        <w:rPr>
          <w:rFonts w:asciiTheme="majorBidi" w:hAnsiTheme="majorBidi" w:cstheme="majorBidi"/>
        </w:rPr>
        <w:t xml:space="preserve">[pers. A] </w:t>
      </w:r>
      <w:r w:rsidRPr="003F5B4E">
        <w:t>drošības</w:t>
      </w:r>
      <w:r w:rsidRPr="0089150C">
        <w:t xml:space="preserve"> naudu 70 </w:t>
      </w:r>
      <w:proofErr w:type="spellStart"/>
      <w:r w:rsidRPr="0089150C">
        <w:rPr>
          <w:i/>
        </w:rPr>
        <w:t>euro</w:t>
      </w:r>
      <w:proofErr w:type="spellEnd"/>
      <w:r w:rsidRPr="0089150C">
        <w:t>.</w:t>
      </w:r>
    </w:p>
    <w:p w14:paraId="1ECF185C" w14:textId="77777777" w:rsidR="003C6F61" w:rsidRPr="00467A51" w:rsidRDefault="003C6F61" w:rsidP="005818BA">
      <w:pPr>
        <w:spacing w:line="276" w:lineRule="auto"/>
        <w:ind w:firstLine="720"/>
        <w:jc w:val="both"/>
        <w:rPr>
          <w:rFonts w:asciiTheme="majorBidi" w:hAnsiTheme="majorBidi" w:cstheme="majorBidi"/>
        </w:rPr>
      </w:pPr>
    </w:p>
    <w:p w14:paraId="239D0C2B" w14:textId="7A3219F3" w:rsidR="003C6F61" w:rsidRDefault="003C6F61" w:rsidP="005818BA">
      <w:pPr>
        <w:spacing w:line="276" w:lineRule="auto"/>
        <w:ind w:firstLine="720"/>
        <w:jc w:val="both"/>
        <w:rPr>
          <w:rFonts w:asciiTheme="majorBidi" w:hAnsiTheme="majorBidi" w:cstheme="majorBidi"/>
        </w:rPr>
      </w:pPr>
      <w:r w:rsidRPr="00467A51">
        <w:rPr>
          <w:rFonts w:asciiTheme="majorBidi" w:hAnsiTheme="majorBidi" w:cstheme="majorBidi"/>
        </w:rPr>
        <w:t>Spriedums nav pārsūdzams.</w:t>
      </w:r>
    </w:p>
    <w:p w14:paraId="4AF7D4B1" w14:textId="77777777" w:rsidR="00051ABE" w:rsidRDefault="00051ABE" w:rsidP="005818BA">
      <w:pPr>
        <w:spacing w:line="276" w:lineRule="auto"/>
        <w:ind w:firstLine="720"/>
        <w:jc w:val="both"/>
        <w:rPr>
          <w:rFonts w:asciiTheme="majorBidi" w:hAnsiTheme="majorBidi" w:cstheme="majorBidi"/>
          <w:bCs/>
        </w:rPr>
      </w:pPr>
    </w:p>
    <w:p w14:paraId="3A6EED36" w14:textId="77777777" w:rsidR="00051ABE" w:rsidRPr="00467A51" w:rsidRDefault="00051ABE" w:rsidP="00051ABE">
      <w:pPr>
        <w:spacing w:line="276" w:lineRule="auto"/>
        <w:ind w:firstLine="720"/>
        <w:jc w:val="both"/>
        <w:rPr>
          <w:rFonts w:asciiTheme="majorBidi" w:hAnsiTheme="majorBidi" w:cstheme="majorBidi"/>
          <w:bCs/>
        </w:rPr>
      </w:pPr>
    </w:p>
    <w:p w14:paraId="5AE89553" w14:textId="77777777" w:rsidR="003C6F61" w:rsidRPr="00467A51" w:rsidRDefault="003C6F61" w:rsidP="00467A51">
      <w:pPr>
        <w:spacing w:line="276" w:lineRule="auto"/>
        <w:ind w:firstLine="709"/>
        <w:jc w:val="both"/>
        <w:rPr>
          <w:rFonts w:asciiTheme="majorBidi" w:hAnsiTheme="majorBidi" w:cstheme="majorBidi"/>
          <w:bCs/>
        </w:rPr>
      </w:pPr>
    </w:p>
    <w:p w14:paraId="27B58AD6" w14:textId="77777777" w:rsidR="003C6F61" w:rsidRPr="00467A51" w:rsidRDefault="003C6F61" w:rsidP="00467A51">
      <w:pPr>
        <w:spacing w:line="276" w:lineRule="auto"/>
        <w:ind w:firstLine="709"/>
        <w:jc w:val="both"/>
        <w:rPr>
          <w:rFonts w:asciiTheme="majorBidi" w:hAnsiTheme="majorBidi" w:cstheme="majorBidi"/>
          <w:bCs/>
        </w:rPr>
      </w:pPr>
    </w:p>
    <w:p w14:paraId="51C8E6A2" w14:textId="5BB23954" w:rsidR="003A62BD" w:rsidRPr="00467A51" w:rsidRDefault="003C6F61" w:rsidP="00051ABE">
      <w:pPr>
        <w:tabs>
          <w:tab w:val="center" w:pos="1276"/>
          <w:tab w:val="center" w:pos="4678"/>
          <w:tab w:val="center" w:pos="8080"/>
        </w:tabs>
        <w:spacing w:line="276" w:lineRule="auto"/>
        <w:ind w:firstLine="709"/>
        <w:jc w:val="both"/>
        <w:rPr>
          <w:rFonts w:asciiTheme="majorBidi" w:hAnsiTheme="majorBidi" w:cstheme="majorBidi"/>
        </w:rPr>
      </w:pPr>
      <w:r w:rsidRPr="00467A51">
        <w:rPr>
          <w:rFonts w:asciiTheme="majorBidi" w:hAnsiTheme="majorBidi" w:cstheme="majorBidi"/>
        </w:rPr>
        <w:tab/>
      </w:r>
    </w:p>
    <w:sectPr w:rsidR="003A62BD" w:rsidRPr="00467A51" w:rsidSect="00051ABE">
      <w:footerReference w:type="default" r:id="rId11"/>
      <w:pgSz w:w="12240" w:h="15840"/>
      <w:pgMar w:top="1021" w:right="1701"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84A9" w14:textId="77777777" w:rsidR="00795524" w:rsidRDefault="00795524" w:rsidP="00121D30">
      <w:r>
        <w:separator/>
      </w:r>
    </w:p>
  </w:endnote>
  <w:endnote w:type="continuationSeparator" w:id="0">
    <w:p w14:paraId="5D2C1933" w14:textId="77777777" w:rsidR="00795524" w:rsidRDefault="00795524" w:rsidP="00121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00326" w14:textId="6D150538" w:rsidR="00467A51" w:rsidRPr="00F86F32" w:rsidRDefault="00467A51" w:rsidP="00F86F32">
    <w:pPr>
      <w:pStyle w:val="Footer"/>
      <w:jc w:val="center"/>
      <w:rPr>
        <w:sz w:val="20"/>
        <w:szCs w:val="20"/>
      </w:rPr>
    </w:pPr>
    <w:r w:rsidRPr="00F86F32">
      <w:rPr>
        <w:rStyle w:val="PageNumber"/>
        <w:rFonts w:eastAsiaTheme="majorEastAsia"/>
        <w:sz w:val="20"/>
        <w:szCs w:val="20"/>
      </w:rPr>
      <w:fldChar w:fldCharType="begin"/>
    </w:r>
    <w:r w:rsidRPr="00F86F32">
      <w:rPr>
        <w:rStyle w:val="PageNumber"/>
        <w:rFonts w:eastAsiaTheme="majorEastAsia"/>
        <w:sz w:val="20"/>
        <w:szCs w:val="20"/>
      </w:rPr>
      <w:instrText xml:space="preserve">PAGE  </w:instrText>
    </w:r>
    <w:r w:rsidRPr="00F86F32">
      <w:rPr>
        <w:rStyle w:val="PageNumber"/>
        <w:rFonts w:eastAsiaTheme="majorEastAsia"/>
        <w:sz w:val="20"/>
        <w:szCs w:val="20"/>
      </w:rPr>
      <w:fldChar w:fldCharType="separate"/>
    </w:r>
    <w:r w:rsidRPr="00F86F32">
      <w:rPr>
        <w:rStyle w:val="PageNumber"/>
        <w:rFonts w:eastAsiaTheme="majorEastAsia"/>
        <w:sz w:val="20"/>
        <w:szCs w:val="20"/>
      </w:rPr>
      <w:t>1</w:t>
    </w:r>
    <w:r w:rsidRPr="00F86F32">
      <w:rPr>
        <w:rStyle w:val="PageNumber"/>
        <w:rFonts w:eastAsiaTheme="majorEastAsia"/>
        <w:sz w:val="20"/>
        <w:szCs w:val="20"/>
      </w:rPr>
      <w:fldChar w:fldCharType="end"/>
    </w:r>
    <w:r w:rsidRPr="00F86F32">
      <w:rPr>
        <w:rStyle w:val="PageNumber"/>
        <w:rFonts w:eastAsiaTheme="majorEastAsia"/>
        <w:sz w:val="20"/>
        <w:szCs w:val="20"/>
      </w:rPr>
      <w:t xml:space="preserve"> no </w:t>
    </w:r>
    <w:r w:rsidRPr="00F86F32">
      <w:rPr>
        <w:rStyle w:val="PageNumber"/>
        <w:rFonts w:eastAsiaTheme="majorEastAsia"/>
        <w:noProof/>
        <w:sz w:val="20"/>
        <w:szCs w:val="20"/>
      </w:rPr>
      <w:fldChar w:fldCharType="begin"/>
    </w:r>
    <w:r w:rsidRPr="00F86F32">
      <w:rPr>
        <w:rStyle w:val="PageNumber"/>
        <w:rFonts w:eastAsiaTheme="majorEastAsia"/>
        <w:noProof/>
        <w:sz w:val="20"/>
        <w:szCs w:val="20"/>
      </w:rPr>
      <w:instrText xml:space="preserve"> SECTIONPAGES   \* MERGEFORMAT </w:instrText>
    </w:r>
    <w:r w:rsidRPr="00F86F32">
      <w:rPr>
        <w:rStyle w:val="PageNumber"/>
        <w:rFonts w:eastAsiaTheme="majorEastAsia"/>
        <w:noProof/>
        <w:sz w:val="20"/>
        <w:szCs w:val="20"/>
      </w:rPr>
      <w:fldChar w:fldCharType="separate"/>
    </w:r>
    <w:r w:rsidR="00222B1B">
      <w:rPr>
        <w:rStyle w:val="PageNumber"/>
        <w:rFonts w:eastAsiaTheme="majorEastAsia"/>
        <w:noProof/>
        <w:sz w:val="20"/>
        <w:szCs w:val="20"/>
      </w:rPr>
      <w:t>5</w:t>
    </w:r>
    <w:r w:rsidRPr="00F86F32">
      <w:rPr>
        <w:rStyle w:val="PageNumber"/>
        <w:rFonts w:eastAsiaTheme="majorEastAsia"/>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6540D" w14:textId="77777777" w:rsidR="00795524" w:rsidRDefault="00795524" w:rsidP="00121D30">
      <w:r>
        <w:separator/>
      </w:r>
    </w:p>
  </w:footnote>
  <w:footnote w:type="continuationSeparator" w:id="0">
    <w:p w14:paraId="64396668" w14:textId="77777777" w:rsidR="00795524" w:rsidRDefault="00795524" w:rsidP="00121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33D06"/>
    <w:multiLevelType w:val="hybridMultilevel"/>
    <w:tmpl w:val="098CA75E"/>
    <w:lvl w:ilvl="0" w:tplc="E4505CE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2684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4096" w:nlCheck="1" w:checkStyle="0"/>
  <w:activeWritingStyle w:appName="MSWord" w:lang="en-US" w:vendorID="64" w:dllVersion="4096" w:nlCheck="1" w:checkStyle="0"/>
  <w:proofState w:spelling="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61"/>
    <w:rsid w:val="000008C7"/>
    <w:rsid w:val="000022FF"/>
    <w:rsid w:val="0001026D"/>
    <w:rsid w:val="000121B3"/>
    <w:rsid w:val="00013F90"/>
    <w:rsid w:val="00022696"/>
    <w:rsid w:val="00025B1A"/>
    <w:rsid w:val="00031BE1"/>
    <w:rsid w:val="000358A4"/>
    <w:rsid w:val="00035D83"/>
    <w:rsid w:val="0004482D"/>
    <w:rsid w:val="00047984"/>
    <w:rsid w:val="00051ABE"/>
    <w:rsid w:val="00053238"/>
    <w:rsid w:val="00053640"/>
    <w:rsid w:val="00060452"/>
    <w:rsid w:val="00065CFB"/>
    <w:rsid w:val="0007344B"/>
    <w:rsid w:val="00074FBE"/>
    <w:rsid w:val="000822BC"/>
    <w:rsid w:val="00083765"/>
    <w:rsid w:val="000842EB"/>
    <w:rsid w:val="00084947"/>
    <w:rsid w:val="00092503"/>
    <w:rsid w:val="00094DB1"/>
    <w:rsid w:val="000A5340"/>
    <w:rsid w:val="000B156B"/>
    <w:rsid w:val="000B188C"/>
    <w:rsid w:val="000B784E"/>
    <w:rsid w:val="000C6A65"/>
    <w:rsid w:val="000D0A15"/>
    <w:rsid w:val="000D272D"/>
    <w:rsid w:val="000D63E5"/>
    <w:rsid w:val="000D7B02"/>
    <w:rsid w:val="000F410A"/>
    <w:rsid w:val="000F7F52"/>
    <w:rsid w:val="001024C2"/>
    <w:rsid w:val="001027DB"/>
    <w:rsid w:val="00106854"/>
    <w:rsid w:val="0011642D"/>
    <w:rsid w:val="001206A5"/>
    <w:rsid w:val="00121D30"/>
    <w:rsid w:val="0012467B"/>
    <w:rsid w:val="00126174"/>
    <w:rsid w:val="00130CEC"/>
    <w:rsid w:val="00132F87"/>
    <w:rsid w:val="001444E4"/>
    <w:rsid w:val="0015759F"/>
    <w:rsid w:val="00162AF9"/>
    <w:rsid w:val="001645F0"/>
    <w:rsid w:val="00165D22"/>
    <w:rsid w:val="00166837"/>
    <w:rsid w:val="00167D4D"/>
    <w:rsid w:val="0018026B"/>
    <w:rsid w:val="00191BFB"/>
    <w:rsid w:val="00193594"/>
    <w:rsid w:val="001A6845"/>
    <w:rsid w:val="001A68A3"/>
    <w:rsid w:val="001B1243"/>
    <w:rsid w:val="001B78F4"/>
    <w:rsid w:val="001C06D8"/>
    <w:rsid w:val="001C5B18"/>
    <w:rsid w:val="001E6D11"/>
    <w:rsid w:val="001F299E"/>
    <w:rsid w:val="0020069D"/>
    <w:rsid w:val="002011E0"/>
    <w:rsid w:val="00205D36"/>
    <w:rsid w:val="00211EBA"/>
    <w:rsid w:val="00216A6F"/>
    <w:rsid w:val="002178AF"/>
    <w:rsid w:val="00222B1B"/>
    <w:rsid w:val="0022408B"/>
    <w:rsid w:val="00224872"/>
    <w:rsid w:val="0023540B"/>
    <w:rsid w:val="00237039"/>
    <w:rsid w:val="00246DF3"/>
    <w:rsid w:val="002473D1"/>
    <w:rsid w:val="002534AF"/>
    <w:rsid w:val="0025657C"/>
    <w:rsid w:val="00257B7F"/>
    <w:rsid w:val="00260FC3"/>
    <w:rsid w:val="00267394"/>
    <w:rsid w:val="00275CBC"/>
    <w:rsid w:val="002828CD"/>
    <w:rsid w:val="0029195F"/>
    <w:rsid w:val="002926A1"/>
    <w:rsid w:val="00295B71"/>
    <w:rsid w:val="00296C14"/>
    <w:rsid w:val="002A05D1"/>
    <w:rsid w:val="002A13B8"/>
    <w:rsid w:val="002A689C"/>
    <w:rsid w:val="002B361E"/>
    <w:rsid w:val="002B43B2"/>
    <w:rsid w:val="002B4A2C"/>
    <w:rsid w:val="002B56A2"/>
    <w:rsid w:val="002B6440"/>
    <w:rsid w:val="002D5992"/>
    <w:rsid w:val="002D7DBE"/>
    <w:rsid w:val="002F1D3C"/>
    <w:rsid w:val="002F3980"/>
    <w:rsid w:val="002F4374"/>
    <w:rsid w:val="003051CE"/>
    <w:rsid w:val="00306944"/>
    <w:rsid w:val="0031041C"/>
    <w:rsid w:val="00310A21"/>
    <w:rsid w:val="003118D8"/>
    <w:rsid w:val="0033000C"/>
    <w:rsid w:val="00331037"/>
    <w:rsid w:val="00331605"/>
    <w:rsid w:val="00336E62"/>
    <w:rsid w:val="00342A9B"/>
    <w:rsid w:val="003458A9"/>
    <w:rsid w:val="00347F42"/>
    <w:rsid w:val="00350024"/>
    <w:rsid w:val="003532B5"/>
    <w:rsid w:val="00363A42"/>
    <w:rsid w:val="00364EEA"/>
    <w:rsid w:val="0036603C"/>
    <w:rsid w:val="00366536"/>
    <w:rsid w:val="003714E6"/>
    <w:rsid w:val="003768A1"/>
    <w:rsid w:val="00380099"/>
    <w:rsid w:val="00380E2D"/>
    <w:rsid w:val="00393276"/>
    <w:rsid w:val="003933A3"/>
    <w:rsid w:val="00395266"/>
    <w:rsid w:val="00395F9C"/>
    <w:rsid w:val="00396AE5"/>
    <w:rsid w:val="00397848"/>
    <w:rsid w:val="003A120A"/>
    <w:rsid w:val="003A39D9"/>
    <w:rsid w:val="003A62BD"/>
    <w:rsid w:val="003B33AF"/>
    <w:rsid w:val="003C0D39"/>
    <w:rsid w:val="003C2159"/>
    <w:rsid w:val="003C4C85"/>
    <w:rsid w:val="003C6F61"/>
    <w:rsid w:val="003D19A3"/>
    <w:rsid w:val="003D5D5C"/>
    <w:rsid w:val="003D6D83"/>
    <w:rsid w:val="003E2876"/>
    <w:rsid w:val="003E5F7F"/>
    <w:rsid w:val="003E6B73"/>
    <w:rsid w:val="003F244D"/>
    <w:rsid w:val="003F2518"/>
    <w:rsid w:val="003F4B03"/>
    <w:rsid w:val="003F562C"/>
    <w:rsid w:val="003F5B4E"/>
    <w:rsid w:val="00403C51"/>
    <w:rsid w:val="00411245"/>
    <w:rsid w:val="00414B4F"/>
    <w:rsid w:val="00422269"/>
    <w:rsid w:val="00435F39"/>
    <w:rsid w:val="00436D3B"/>
    <w:rsid w:val="004373F1"/>
    <w:rsid w:val="00440DA6"/>
    <w:rsid w:val="004410E7"/>
    <w:rsid w:val="0044203B"/>
    <w:rsid w:val="004503E2"/>
    <w:rsid w:val="00460DBD"/>
    <w:rsid w:val="00463A95"/>
    <w:rsid w:val="00467A51"/>
    <w:rsid w:val="00475ECD"/>
    <w:rsid w:val="00476C2A"/>
    <w:rsid w:val="0047752A"/>
    <w:rsid w:val="004907E4"/>
    <w:rsid w:val="004917AE"/>
    <w:rsid w:val="004A01A3"/>
    <w:rsid w:val="004A0E36"/>
    <w:rsid w:val="004A1487"/>
    <w:rsid w:val="004A6FDF"/>
    <w:rsid w:val="004A7A55"/>
    <w:rsid w:val="004B5A4D"/>
    <w:rsid w:val="004C0134"/>
    <w:rsid w:val="004C0ADC"/>
    <w:rsid w:val="004C2E6B"/>
    <w:rsid w:val="004C7B4C"/>
    <w:rsid w:val="004D1000"/>
    <w:rsid w:val="004D1E72"/>
    <w:rsid w:val="004D4AF5"/>
    <w:rsid w:val="004D534E"/>
    <w:rsid w:val="004E4459"/>
    <w:rsid w:val="004F0BF5"/>
    <w:rsid w:val="004F1A22"/>
    <w:rsid w:val="004F1A61"/>
    <w:rsid w:val="004F1BCA"/>
    <w:rsid w:val="004F6B64"/>
    <w:rsid w:val="004F70C3"/>
    <w:rsid w:val="00500346"/>
    <w:rsid w:val="00500E3E"/>
    <w:rsid w:val="00502A51"/>
    <w:rsid w:val="00505196"/>
    <w:rsid w:val="00505E4D"/>
    <w:rsid w:val="00511FFD"/>
    <w:rsid w:val="00513BC2"/>
    <w:rsid w:val="00517B32"/>
    <w:rsid w:val="0053333A"/>
    <w:rsid w:val="00534898"/>
    <w:rsid w:val="005362A4"/>
    <w:rsid w:val="0054119B"/>
    <w:rsid w:val="0054684A"/>
    <w:rsid w:val="005509BA"/>
    <w:rsid w:val="0055237E"/>
    <w:rsid w:val="00553EE7"/>
    <w:rsid w:val="00566C06"/>
    <w:rsid w:val="00570602"/>
    <w:rsid w:val="00570633"/>
    <w:rsid w:val="005745C8"/>
    <w:rsid w:val="0058129C"/>
    <w:rsid w:val="005818BA"/>
    <w:rsid w:val="005900B5"/>
    <w:rsid w:val="005909B4"/>
    <w:rsid w:val="00596D32"/>
    <w:rsid w:val="005A533D"/>
    <w:rsid w:val="005B189B"/>
    <w:rsid w:val="005B47FF"/>
    <w:rsid w:val="005B5D12"/>
    <w:rsid w:val="005B5E39"/>
    <w:rsid w:val="005B70C4"/>
    <w:rsid w:val="005C2936"/>
    <w:rsid w:val="005C4766"/>
    <w:rsid w:val="005D2D91"/>
    <w:rsid w:val="005D666E"/>
    <w:rsid w:val="005E10ED"/>
    <w:rsid w:val="005E3E86"/>
    <w:rsid w:val="005E40E8"/>
    <w:rsid w:val="005E4D2A"/>
    <w:rsid w:val="005F1084"/>
    <w:rsid w:val="005F1857"/>
    <w:rsid w:val="005F26D9"/>
    <w:rsid w:val="005F3DC5"/>
    <w:rsid w:val="005F64E6"/>
    <w:rsid w:val="00601E90"/>
    <w:rsid w:val="0060316A"/>
    <w:rsid w:val="00605147"/>
    <w:rsid w:val="0060730D"/>
    <w:rsid w:val="0061024E"/>
    <w:rsid w:val="00622476"/>
    <w:rsid w:val="00622A7F"/>
    <w:rsid w:val="00623291"/>
    <w:rsid w:val="00630D27"/>
    <w:rsid w:val="00635EA5"/>
    <w:rsid w:val="0064272D"/>
    <w:rsid w:val="006511CC"/>
    <w:rsid w:val="00653074"/>
    <w:rsid w:val="00672C39"/>
    <w:rsid w:val="0067475F"/>
    <w:rsid w:val="00674CBA"/>
    <w:rsid w:val="00676866"/>
    <w:rsid w:val="00677263"/>
    <w:rsid w:val="00681355"/>
    <w:rsid w:val="0068300D"/>
    <w:rsid w:val="006925FE"/>
    <w:rsid w:val="00692EC1"/>
    <w:rsid w:val="006974F1"/>
    <w:rsid w:val="006B220F"/>
    <w:rsid w:val="006B4714"/>
    <w:rsid w:val="006B5207"/>
    <w:rsid w:val="006B7B25"/>
    <w:rsid w:val="006C1816"/>
    <w:rsid w:val="006C54AD"/>
    <w:rsid w:val="006D38D2"/>
    <w:rsid w:val="006D4693"/>
    <w:rsid w:val="006E2635"/>
    <w:rsid w:val="006E5DD9"/>
    <w:rsid w:val="006F2924"/>
    <w:rsid w:val="006F2B11"/>
    <w:rsid w:val="00703767"/>
    <w:rsid w:val="007164E9"/>
    <w:rsid w:val="00717DFE"/>
    <w:rsid w:val="00721046"/>
    <w:rsid w:val="00730679"/>
    <w:rsid w:val="00731186"/>
    <w:rsid w:val="00732398"/>
    <w:rsid w:val="00733DA3"/>
    <w:rsid w:val="00744022"/>
    <w:rsid w:val="00770D36"/>
    <w:rsid w:val="007714F2"/>
    <w:rsid w:val="00772EDF"/>
    <w:rsid w:val="00773952"/>
    <w:rsid w:val="007777EC"/>
    <w:rsid w:val="00780D0A"/>
    <w:rsid w:val="007872A3"/>
    <w:rsid w:val="00792B45"/>
    <w:rsid w:val="00793CF5"/>
    <w:rsid w:val="00795524"/>
    <w:rsid w:val="00795F32"/>
    <w:rsid w:val="007A318A"/>
    <w:rsid w:val="007B4A53"/>
    <w:rsid w:val="007B602D"/>
    <w:rsid w:val="007C05C0"/>
    <w:rsid w:val="007C1560"/>
    <w:rsid w:val="007C5759"/>
    <w:rsid w:val="007D3BB5"/>
    <w:rsid w:val="007D4473"/>
    <w:rsid w:val="007D53E6"/>
    <w:rsid w:val="007E63E4"/>
    <w:rsid w:val="007F05B1"/>
    <w:rsid w:val="007F114E"/>
    <w:rsid w:val="007F54F5"/>
    <w:rsid w:val="007F5621"/>
    <w:rsid w:val="008002D0"/>
    <w:rsid w:val="00801FF5"/>
    <w:rsid w:val="0080542D"/>
    <w:rsid w:val="00821605"/>
    <w:rsid w:val="00822D11"/>
    <w:rsid w:val="00830526"/>
    <w:rsid w:val="00831577"/>
    <w:rsid w:val="00834D08"/>
    <w:rsid w:val="008356E9"/>
    <w:rsid w:val="00835D35"/>
    <w:rsid w:val="00841CFA"/>
    <w:rsid w:val="00846F99"/>
    <w:rsid w:val="00847D55"/>
    <w:rsid w:val="0085007C"/>
    <w:rsid w:val="0085148D"/>
    <w:rsid w:val="00851798"/>
    <w:rsid w:val="00851C72"/>
    <w:rsid w:val="008654D1"/>
    <w:rsid w:val="00875C91"/>
    <w:rsid w:val="00875E3F"/>
    <w:rsid w:val="0087600F"/>
    <w:rsid w:val="0088010D"/>
    <w:rsid w:val="00891284"/>
    <w:rsid w:val="00893F01"/>
    <w:rsid w:val="00896635"/>
    <w:rsid w:val="008A56D6"/>
    <w:rsid w:val="008C38FF"/>
    <w:rsid w:val="008D2107"/>
    <w:rsid w:val="008D3E75"/>
    <w:rsid w:val="008E44B0"/>
    <w:rsid w:val="008E6BB4"/>
    <w:rsid w:val="008F0E98"/>
    <w:rsid w:val="008F456D"/>
    <w:rsid w:val="008F4C3F"/>
    <w:rsid w:val="008F50B0"/>
    <w:rsid w:val="008F65ED"/>
    <w:rsid w:val="00903586"/>
    <w:rsid w:val="00904ED9"/>
    <w:rsid w:val="00905001"/>
    <w:rsid w:val="00905C97"/>
    <w:rsid w:val="00910D4F"/>
    <w:rsid w:val="00917643"/>
    <w:rsid w:val="00932A7F"/>
    <w:rsid w:val="00932EB8"/>
    <w:rsid w:val="00933F34"/>
    <w:rsid w:val="00934B56"/>
    <w:rsid w:val="00937368"/>
    <w:rsid w:val="00937F32"/>
    <w:rsid w:val="00940D9B"/>
    <w:rsid w:val="00951A4C"/>
    <w:rsid w:val="0095381A"/>
    <w:rsid w:val="00963D8A"/>
    <w:rsid w:val="009650E4"/>
    <w:rsid w:val="00965CAF"/>
    <w:rsid w:val="00966EFD"/>
    <w:rsid w:val="009768D6"/>
    <w:rsid w:val="00980BDF"/>
    <w:rsid w:val="009842A7"/>
    <w:rsid w:val="00991BE2"/>
    <w:rsid w:val="00992238"/>
    <w:rsid w:val="009A412E"/>
    <w:rsid w:val="009B122C"/>
    <w:rsid w:val="009C1B87"/>
    <w:rsid w:val="009C486D"/>
    <w:rsid w:val="009C508F"/>
    <w:rsid w:val="009D1BB7"/>
    <w:rsid w:val="009D7F6E"/>
    <w:rsid w:val="009E0962"/>
    <w:rsid w:val="009E65B4"/>
    <w:rsid w:val="009F3BD2"/>
    <w:rsid w:val="009F562C"/>
    <w:rsid w:val="00A02517"/>
    <w:rsid w:val="00A03792"/>
    <w:rsid w:val="00A048CC"/>
    <w:rsid w:val="00A059D4"/>
    <w:rsid w:val="00A40CEA"/>
    <w:rsid w:val="00A4120A"/>
    <w:rsid w:val="00A47232"/>
    <w:rsid w:val="00A50BE3"/>
    <w:rsid w:val="00A55EE2"/>
    <w:rsid w:val="00A6103C"/>
    <w:rsid w:val="00A619C5"/>
    <w:rsid w:val="00A65E7A"/>
    <w:rsid w:val="00A67B56"/>
    <w:rsid w:val="00A70D0B"/>
    <w:rsid w:val="00A72786"/>
    <w:rsid w:val="00A7306E"/>
    <w:rsid w:val="00A734B6"/>
    <w:rsid w:val="00A76D4B"/>
    <w:rsid w:val="00A81E89"/>
    <w:rsid w:val="00A82B93"/>
    <w:rsid w:val="00A87800"/>
    <w:rsid w:val="00A90DDC"/>
    <w:rsid w:val="00A92D54"/>
    <w:rsid w:val="00A95D8C"/>
    <w:rsid w:val="00A96CB5"/>
    <w:rsid w:val="00AA3F16"/>
    <w:rsid w:val="00AA3F43"/>
    <w:rsid w:val="00AB46FF"/>
    <w:rsid w:val="00AB61CD"/>
    <w:rsid w:val="00AC7131"/>
    <w:rsid w:val="00AE084F"/>
    <w:rsid w:val="00AE52C8"/>
    <w:rsid w:val="00AE5E9E"/>
    <w:rsid w:val="00AF0A91"/>
    <w:rsid w:val="00AF1433"/>
    <w:rsid w:val="00AF588D"/>
    <w:rsid w:val="00AF5DCC"/>
    <w:rsid w:val="00B01F04"/>
    <w:rsid w:val="00B0368C"/>
    <w:rsid w:val="00B07A9C"/>
    <w:rsid w:val="00B107C5"/>
    <w:rsid w:val="00B11B9F"/>
    <w:rsid w:val="00B23152"/>
    <w:rsid w:val="00B24A56"/>
    <w:rsid w:val="00B24F2D"/>
    <w:rsid w:val="00B26C69"/>
    <w:rsid w:val="00B30710"/>
    <w:rsid w:val="00B314C1"/>
    <w:rsid w:val="00B316E1"/>
    <w:rsid w:val="00B3244F"/>
    <w:rsid w:val="00B339F1"/>
    <w:rsid w:val="00B35BD3"/>
    <w:rsid w:val="00B40727"/>
    <w:rsid w:val="00B425C8"/>
    <w:rsid w:val="00B46875"/>
    <w:rsid w:val="00B4789E"/>
    <w:rsid w:val="00B50420"/>
    <w:rsid w:val="00B52AE3"/>
    <w:rsid w:val="00B60E32"/>
    <w:rsid w:val="00B62D1D"/>
    <w:rsid w:val="00B735B7"/>
    <w:rsid w:val="00B73AFE"/>
    <w:rsid w:val="00B83903"/>
    <w:rsid w:val="00B84016"/>
    <w:rsid w:val="00B86721"/>
    <w:rsid w:val="00B8703C"/>
    <w:rsid w:val="00B94110"/>
    <w:rsid w:val="00BA0055"/>
    <w:rsid w:val="00BA1CFC"/>
    <w:rsid w:val="00BA236A"/>
    <w:rsid w:val="00BA26B9"/>
    <w:rsid w:val="00BB2C00"/>
    <w:rsid w:val="00BB6B88"/>
    <w:rsid w:val="00BB6D18"/>
    <w:rsid w:val="00BD1836"/>
    <w:rsid w:val="00BD1DB4"/>
    <w:rsid w:val="00BD69F2"/>
    <w:rsid w:val="00BE1F08"/>
    <w:rsid w:val="00BF0BEA"/>
    <w:rsid w:val="00BF2BAD"/>
    <w:rsid w:val="00BF54F7"/>
    <w:rsid w:val="00C11543"/>
    <w:rsid w:val="00C116E9"/>
    <w:rsid w:val="00C1517E"/>
    <w:rsid w:val="00C158E9"/>
    <w:rsid w:val="00C21D00"/>
    <w:rsid w:val="00C27114"/>
    <w:rsid w:val="00C31141"/>
    <w:rsid w:val="00C34DAD"/>
    <w:rsid w:val="00C42996"/>
    <w:rsid w:val="00C449A0"/>
    <w:rsid w:val="00C461DF"/>
    <w:rsid w:val="00C47355"/>
    <w:rsid w:val="00C47E37"/>
    <w:rsid w:val="00C50DE5"/>
    <w:rsid w:val="00C54941"/>
    <w:rsid w:val="00C55C83"/>
    <w:rsid w:val="00C55D98"/>
    <w:rsid w:val="00C56C53"/>
    <w:rsid w:val="00C56CB7"/>
    <w:rsid w:val="00C61ACF"/>
    <w:rsid w:val="00C661B0"/>
    <w:rsid w:val="00C7280B"/>
    <w:rsid w:val="00C74FDA"/>
    <w:rsid w:val="00C87EF4"/>
    <w:rsid w:val="00C924A1"/>
    <w:rsid w:val="00C93710"/>
    <w:rsid w:val="00CA1789"/>
    <w:rsid w:val="00CB57D8"/>
    <w:rsid w:val="00CB6D52"/>
    <w:rsid w:val="00CC1958"/>
    <w:rsid w:val="00CC4D35"/>
    <w:rsid w:val="00CD10A9"/>
    <w:rsid w:val="00CD2D32"/>
    <w:rsid w:val="00CD3AEB"/>
    <w:rsid w:val="00CD43ED"/>
    <w:rsid w:val="00CE5065"/>
    <w:rsid w:val="00CE5C49"/>
    <w:rsid w:val="00CE70B0"/>
    <w:rsid w:val="00CF428A"/>
    <w:rsid w:val="00CF571D"/>
    <w:rsid w:val="00D063F9"/>
    <w:rsid w:val="00D0700E"/>
    <w:rsid w:val="00D14917"/>
    <w:rsid w:val="00D1777D"/>
    <w:rsid w:val="00D243E2"/>
    <w:rsid w:val="00D2772D"/>
    <w:rsid w:val="00D362CA"/>
    <w:rsid w:val="00D4150F"/>
    <w:rsid w:val="00D42395"/>
    <w:rsid w:val="00D43050"/>
    <w:rsid w:val="00D44D61"/>
    <w:rsid w:val="00D47B64"/>
    <w:rsid w:val="00D5112C"/>
    <w:rsid w:val="00D51513"/>
    <w:rsid w:val="00D540A4"/>
    <w:rsid w:val="00D6168B"/>
    <w:rsid w:val="00D644D3"/>
    <w:rsid w:val="00D66DDB"/>
    <w:rsid w:val="00D66E2B"/>
    <w:rsid w:val="00D674B5"/>
    <w:rsid w:val="00D709D3"/>
    <w:rsid w:val="00D75352"/>
    <w:rsid w:val="00D776F9"/>
    <w:rsid w:val="00D813D6"/>
    <w:rsid w:val="00D83FB4"/>
    <w:rsid w:val="00D847E7"/>
    <w:rsid w:val="00D91040"/>
    <w:rsid w:val="00D94278"/>
    <w:rsid w:val="00DA6824"/>
    <w:rsid w:val="00DB6D49"/>
    <w:rsid w:val="00DB7B29"/>
    <w:rsid w:val="00DC255A"/>
    <w:rsid w:val="00DC2A81"/>
    <w:rsid w:val="00DC49D0"/>
    <w:rsid w:val="00DC6FCD"/>
    <w:rsid w:val="00DC71CD"/>
    <w:rsid w:val="00DD4ED3"/>
    <w:rsid w:val="00DE09D7"/>
    <w:rsid w:val="00DE482F"/>
    <w:rsid w:val="00DE6AAD"/>
    <w:rsid w:val="00DE7D76"/>
    <w:rsid w:val="00DF4668"/>
    <w:rsid w:val="00DF4DF9"/>
    <w:rsid w:val="00DF564C"/>
    <w:rsid w:val="00E00F31"/>
    <w:rsid w:val="00E01C3C"/>
    <w:rsid w:val="00E03A29"/>
    <w:rsid w:val="00E05E28"/>
    <w:rsid w:val="00E10C62"/>
    <w:rsid w:val="00E10F6C"/>
    <w:rsid w:val="00E16156"/>
    <w:rsid w:val="00E16FDF"/>
    <w:rsid w:val="00E21597"/>
    <w:rsid w:val="00E2590C"/>
    <w:rsid w:val="00E44CFF"/>
    <w:rsid w:val="00E46258"/>
    <w:rsid w:val="00E561A9"/>
    <w:rsid w:val="00E6682D"/>
    <w:rsid w:val="00E726A0"/>
    <w:rsid w:val="00E760B4"/>
    <w:rsid w:val="00E77281"/>
    <w:rsid w:val="00E92024"/>
    <w:rsid w:val="00E926DD"/>
    <w:rsid w:val="00E9341B"/>
    <w:rsid w:val="00E9377A"/>
    <w:rsid w:val="00E97738"/>
    <w:rsid w:val="00EA71CB"/>
    <w:rsid w:val="00EC126F"/>
    <w:rsid w:val="00EC47F2"/>
    <w:rsid w:val="00EE1B56"/>
    <w:rsid w:val="00EE3EE7"/>
    <w:rsid w:val="00EE4439"/>
    <w:rsid w:val="00EF3EA3"/>
    <w:rsid w:val="00EF70C2"/>
    <w:rsid w:val="00EF7A14"/>
    <w:rsid w:val="00F01428"/>
    <w:rsid w:val="00F03667"/>
    <w:rsid w:val="00F04E57"/>
    <w:rsid w:val="00F0648C"/>
    <w:rsid w:val="00F124AC"/>
    <w:rsid w:val="00F306FD"/>
    <w:rsid w:val="00F314F3"/>
    <w:rsid w:val="00F3199E"/>
    <w:rsid w:val="00F34FB5"/>
    <w:rsid w:val="00F3544F"/>
    <w:rsid w:val="00F463D4"/>
    <w:rsid w:val="00F4648B"/>
    <w:rsid w:val="00F46594"/>
    <w:rsid w:val="00F50C3E"/>
    <w:rsid w:val="00F66EF7"/>
    <w:rsid w:val="00F70BE8"/>
    <w:rsid w:val="00F73CBD"/>
    <w:rsid w:val="00F7477D"/>
    <w:rsid w:val="00F751DD"/>
    <w:rsid w:val="00F772A6"/>
    <w:rsid w:val="00F815A2"/>
    <w:rsid w:val="00F81B54"/>
    <w:rsid w:val="00F82B1E"/>
    <w:rsid w:val="00F82BF9"/>
    <w:rsid w:val="00F84C68"/>
    <w:rsid w:val="00F853A0"/>
    <w:rsid w:val="00F9044B"/>
    <w:rsid w:val="00F9260B"/>
    <w:rsid w:val="00FA2A54"/>
    <w:rsid w:val="00FA5BB1"/>
    <w:rsid w:val="00FB1C79"/>
    <w:rsid w:val="00FC0BB3"/>
    <w:rsid w:val="00FC5578"/>
    <w:rsid w:val="00FE034D"/>
    <w:rsid w:val="00FE32A3"/>
    <w:rsid w:val="00FE673D"/>
    <w:rsid w:val="00FE76F6"/>
    <w:rsid w:val="00FF0BA5"/>
    <w:rsid w:val="00FF23D9"/>
    <w:rsid w:val="00FF29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6F52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F61"/>
    <w:pPr>
      <w:spacing w:after="0" w:line="240" w:lineRule="auto"/>
    </w:pPr>
    <w:rPr>
      <w:rFonts w:eastAsia="Times New Roman" w:cs="Times New Roman"/>
      <w:kern w:val="0"/>
      <w:szCs w:val="24"/>
      <w:lang w:val="lv-LV" w:eastAsia="ru-RU"/>
      <w14:ligatures w14:val="none"/>
    </w:rPr>
  </w:style>
  <w:style w:type="paragraph" w:styleId="Heading1">
    <w:name w:val="heading 1"/>
    <w:basedOn w:val="Normal"/>
    <w:next w:val="Normal"/>
    <w:link w:val="Heading1Char"/>
    <w:uiPriority w:val="9"/>
    <w:qFormat/>
    <w:rsid w:val="003C6F61"/>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3C6F61"/>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3C6F61"/>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3C6F61"/>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val="en-US" w:eastAsia="en-US"/>
      <w14:ligatures w14:val="standardContextual"/>
    </w:rPr>
  </w:style>
  <w:style w:type="paragraph" w:styleId="Heading5">
    <w:name w:val="heading 5"/>
    <w:basedOn w:val="Normal"/>
    <w:next w:val="Normal"/>
    <w:link w:val="Heading5Char"/>
    <w:uiPriority w:val="9"/>
    <w:semiHidden/>
    <w:unhideWhenUsed/>
    <w:qFormat/>
    <w:rsid w:val="003C6F61"/>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val="en-US" w:eastAsia="en-US"/>
      <w14:ligatures w14:val="standardContextual"/>
    </w:rPr>
  </w:style>
  <w:style w:type="paragraph" w:styleId="Heading6">
    <w:name w:val="heading 6"/>
    <w:basedOn w:val="Normal"/>
    <w:next w:val="Normal"/>
    <w:link w:val="Heading6Char"/>
    <w:uiPriority w:val="9"/>
    <w:semiHidden/>
    <w:unhideWhenUsed/>
    <w:qFormat/>
    <w:rsid w:val="003C6F61"/>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val="en-US" w:eastAsia="en-US"/>
      <w14:ligatures w14:val="standardContextual"/>
    </w:rPr>
  </w:style>
  <w:style w:type="paragraph" w:styleId="Heading7">
    <w:name w:val="heading 7"/>
    <w:basedOn w:val="Normal"/>
    <w:next w:val="Normal"/>
    <w:link w:val="Heading7Char"/>
    <w:uiPriority w:val="9"/>
    <w:semiHidden/>
    <w:unhideWhenUsed/>
    <w:qFormat/>
    <w:rsid w:val="003C6F61"/>
    <w:pPr>
      <w:keepNext/>
      <w:keepLines/>
      <w:spacing w:before="40" w:line="259" w:lineRule="auto"/>
      <w:outlineLvl w:val="6"/>
    </w:pPr>
    <w:rPr>
      <w:rFonts w:asciiTheme="minorHAnsi" w:eastAsiaTheme="majorEastAsia" w:hAnsiTheme="minorHAnsi" w:cstheme="majorBidi"/>
      <w:color w:val="595959" w:themeColor="text1" w:themeTint="A6"/>
      <w:kern w:val="2"/>
      <w:szCs w:val="22"/>
      <w:lang w:val="en-US" w:eastAsia="en-US"/>
      <w14:ligatures w14:val="standardContextual"/>
    </w:rPr>
  </w:style>
  <w:style w:type="paragraph" w:styleId="Heading8">
    <w:name w:val="heading 8"/>
    <w:basedOn w:val="Normal"/>
    <w:next w:val="Normal"/>
    <w:link w:val="Heading8Char"/>
    <w:uiPriority w:val="9"/>
    <w:semiHidden/>
    <w:unhideWhenUsed/>
    <w:qFormat/>
    <w:rsid w:val="003C6F61"/>
    <w:pPr>
      <w:keepNext/>
      <w:keepLines/>
      <w:spacing w:line="259" w:lineRule="auto"/>
      <w:outlineLvl w:val="7"/>
    </w:pPr>
    <w:rPr>
      <w:rFonts w:asciiTheme="minorHAnsi" w:eastAsiaTheme="majorEastAsia" w:hAnsiTheme="minorHAnsi" w:cstheme="majorBidi"/>
      <w:i/>
      <w:iCs/>
      <w:color w:val="272727" w:themeColor="text1" w:themeTint="D8"/>
      <w:kern w:val="2"/>
      <w:szCs w:val="22"/>
      <w:lang w:val="en-US" w:eastAsia="en-US"/>
      <w14:ligatures w14:val="standardContextual"/>
    </w:rPr>
  </w:style>
  <w:style w:type="paragraph" w:styleId="Heading9">
    <w:name w:val="heading 9"/>
    <w:basedOn w:val="Normal"/>
    <w:next w:val="Normal"/>
    <w:link w:val="Heading9Char"/>
    <w:uiPriority w:val="9"/>
    <w:semiHidden/>
    <w:unhideWhenUsed/>
    <w:qFormat/>
    <w:rsid w:val="003C6F61"/>
    <w:pPr>
      <w:keepNext/>
      <w:keepLines/>
      <w:spacing w:line="259" w:lineRule="auto"/>
      <w:outlineLvl w:val="8"/>
    </w:pPr>
    <w:rPr>
      <w:rFonts w:asciiTheme="minorHAnsi" w:eastAsiaTheme="majorEastAsia" w:hAnsiTheme="minorHAnsi" w:cstheme="majorBidi"/>
      <w:color w:val="272727" w:themeColor="text1" w:themeTint="D8"/>
      <w:kern w:val="2"/>
      <w:szCs w:val="22"/>
      <w:lang w:val="en-US"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6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6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6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6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C6F6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C6F6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C6F6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C6F6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C6F6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C6F61"/>
    <w:pPr>
      <w:spacing w:after="80"/>
      <w:contextualSpacing/>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3C6F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6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3C6F6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C6F61"/>
    <w:pPr>
      <w:spacing w:before="160" w:after="160" w:line="259" w:lineRule="auto"/>
      <w:jc w:val="center"/>
    </w:pPr>
    <w:rPr>
      <w:rFonts w:eastAsiaTheme="minorHAnsi" w:cstheme="minorBidi"/>
      <w:i/>
      <w:iCs/>
      <w:color w:val="404040" w:themeColor="text1" w:themeTint="BF"/>
      <w:kern w:val="2"/>
      <w:szCs w:val="22"/>
      <w:lang w:val="en-US" w:eastAsia="en-US"/>
      <w14:ligatures w14:val="standardContextual"/>
    </w:rPr>
  </w:style>
  <w:style w:type="character" w:customStyle="1" w:styleId="QuoteChar">
    <w:name w:val="Quote Char"/>
    <w:basedOn w:val="DefaultParagraphFont"/>
    <w:link w:val="Quote"/>
    <w:uiPriority w:val="29"/>
    <w:rsid w:val="003C6F61"/>
    <w:rPr>
      <w:i/>
      <w:iCs/>
      <w:color w:val="404040" w:themeColor="text1" w:themeTint="BF"/>
    </w:rPr>
  </w:style>
  <w:style w:type="paragraph" w:styleId="ListParagraph">
    <w:name w:val="List Paragraph"/>
    <w:basedOn w:val="Normal"/>
    <w:uiPriority w:val="34"/>
    <w:qFormat/>
    <w:rsid w:val="003C6F61"/>
    <w:pPr>
      <w:spacing w:after="160" w:line="259" w:lineRule="auto"/>
      <w:ind w:left="720"/>
      <w:contextualSpacing/>
    </w:pPr>
    <w:rPr>
      <w:rFonts w:eastAsiaTheme="minorHAnsi" w:cstheme="minorBidi"/>
      <w:kern w:val="2"/>
      <w:szCs w:val="22"/>
      <w:lang w:val="en-US" w:eastAsia="en-US"/>
      <w14:ligatures w14:val="standardContextual"/>
    </w:rPr>
  </w:style>
  <w:style w:type="character" w:styleId="IntenseEmphasis">
    <w:name w:val="Intense Emphasis"/>
    <w:basedOn w:val="DefaultParagraphFont"/>
    <w:uiPriority w:val="21"/>
    <w:qFormat/>
    <w:rsid w:val="003C6F61"/>
    <w:rPr>
      <w:i/>
      <w:iCs/>
      <w:color w:val="2F5496" w:themeColor="accent1" w:themeShade="BF"/>
    </w:rPr>
  </w:style>
  <w:style w:type="paragraph" w:styleId="IntenseQuote">
    <w:name w:val="Intense Quote"/>
    <w:basedOn w:val="Normal"/>
    <w:next w:val="Normal"/>
    <w:link w:val="IntenseQuoteChar"/>
    <w:uiPriority w:val="30"/>
    <w:qFormat/>
    <w:rsid w:val="003C6F61"/>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val="en-US" w:eastAsia="en-US"/>
      <w14:ligatures w14:val="standardContextual"/>
    </w:rPr>
  </w:style>
  <w:style w:type="character" w:customStyle="1" w:styleId="IntenseQuoteChar">
    <w:name w:val="Intense Quote Char"/>
    <w:basedOn w:val="DefaultParagraphFont"/>
    <w:link w:val="IntenseQuote"/>
    <w:uiPriority w:val="30"/>
    <w:rsid w:val="003C6F61"/>
    <w:rPr>
      <w:i/>
      <w:iCs/>
      <w:color w:val="2F5496" w:themeColor="accent1" w:themeShade="BF"/>
    </w:rPr>
  </w:style>
  <w:style w:type="character" w:styleId="IntenseReference">
    <w:name w:val="Intense Reference"/>
    <w:basedOn w:val="DefaultParagraphFont"/>
    <w:uiPriority w:val="32"/>
    <w:qFormat/>
    <w:rsid w:val="003C6F61"/>
    <w:rPr>
      <w:b/>
      <w:bCs/>
      <w:smallCaps/>
      <w:color w:val="2F5496" w:themeColor="accent1" w:themeShade="BF"/>
      <w:spacing w:val="5"/>
    </w:rPr>
  </w:style>
  <w:style w:type="paragraph" w:styleId="NormalWeb">
    <w:name w:val="Normal (Web)"/>
    <w:basedOn w:val="Normal"/>
    <w:uiPriority w:val="99"/>
    <w:rsid w:val="003C6F61"/>
    <w:pPr>
      <w:spacing w:before="100" w:beforeAutospacing="1" w:after="100" w:afterAutospacing="1"/>
    </w:pPr>
    <w:rPr>
      <w:lang w:eastAsia="lv-LV"/>
    </w:rPr>
  </w:style>
  <w:style w:type="paragraph" w:styleId="Header">
    <w:name w:val="header"/>
    <w:basedOn w:val="Normal"/>
    <w:link w:val="HeaderChar"/>
    <w:uiPriority w:val="99"/>
    <w:unhideWhenUsed/>
    <w:rsid w:val="003C6F61"/>
    <w:pPr>
      <w:tabs>
        <w:tab w:val="center" w:pos="4513"/>
        <w:tab w:val="right" w:pos="9026"/>
      </w:tabs>
    </w:pPr>
  </w:style>
  <w:style w:type="character" w:customStyle="1" w:styleId="HeaderChar">
    <w:name w:val="Header Char"/>
    <w:basedOn w:val="DefaultParagraphFont"/>
    <w:link w:val="Header"/>
    <w:uiPriority w:val="99"/>
    <w:rsid w:val="003C6F61"/>
    <w:rPr>
      <w:rFonts w:eastAsia="Times New Roman" w:cs="Times New Roman"/>
      <w:kern w:val="0"/>
      <w:szCs w:val="24"/>
      <w:lang w:val="lv-LV" w:eastAsia="ru-RU"/>
      <w14:ligatures w14:val="none"/>
    </w:rPr>
  </w:style>
  <w:style w:type="paragraph" w:styleId="Footer">
    <w:name w:val="footer"/>
    <w:basedOn w:val="Normal"/>
    <w:link w:val="FooterChar"/>
    <w:unhideWhenUsed/>
    <w:rsid w:val="003C6F61"/>
    <w:pPr>
      <w:tabs>
        <w:tab w:val="center" w:pos="4513"/>
        <w:tab w:val="right" w:pos="9026"/>
      </w:tabs>
    </w:pPr>
  </w:style>
  <w:style w:type="character" w:customStyle="1" w:styleId="FooterChar">
    <w:name w:val="Footer Char"/>
    <w:basedOn w:val="DefaultParagraphFont"/>
    <w:link w:val="Footer"/>
    <w:rsid w:val="003C6F61"/>
    <w:rPr>
      <w:rFonts w:eastAsia="Times New Roman" w:cs="Times New Roman"/>
      <w:kern w:val="0"/>
      <w:szCs w:val="24"/>
      <w:lang w:val="lv-LV" w:eastAsia="ru-RU"/>
      <w14:ligatures w14:val="none"/>
    </w:rPr>
  </w:style>
  <w:style w:type="character" w:styleId="PageNumber">
    <w:name w:val="page number"/>
    <w:basedOn w:val="DefaultParagraphFont"/>
    <w:rsid w:val="003C6F61"/>
  </w:style>
  <w:style w:type="character" w:styleId="Hyperlink">
    <w:name w:val="Hyperlink"/>
    <w:basedOn w:val="DefaultParagraphFont"/>
    <w:uiPriority w:val="99"/>
    <w:unhideWhenUsed/>
    <w:rsid w:val="003C6F61"/>
    <w:rPr>
      <w:color w:val="0563C1" w:themeColor="hyperlink"/>
      <w:u w:val="single"/>
    </w:rPr>
  </w:style>
  <w:style w:type="paragraph" w:styleId="FootnoteText">
    <w:name w:val="footnote text"/>
    <w:basedOn w:val="Normal"/>
    <w:link w:val="FootnoteTextChar"/>
    <w:semiHidden/>
    <w:unhideWhenUsed/>
    <w:rsid w:val="00121D30"/>
    <w:pPr>
      <w:widowControl w:val="0"/>
    </w:pPr>
    <w:rPr>
      <w:rFonts w:ascii="Calibri" w:eastAsia="Calibri" w:hAnsi="Calibri"/>
      <w:sz w:val="20"/>
      <w:szCs w:val="20"/>
      <w:lang w:eastAsia="en-US"/>
    </w:rPr>
  </w:style>
  <w:style w:type="character" w:customStyle="1" w:styleId="FootnoteTextChar">
    <w:name w:val="Footnote Text Char"/>
    <w:basedOn w:val="DefaultParagraphFont"/>
    <w:link w:val="FootnoteText"/>
    <w:uiPriority w:val="99"/>
    <w:semiHidden/>
    <w:rsid w:val="00121D30"/>
    <w:rPr>
      <w:rFonts w:ascii="Calibri" w:eastAsia="Calibri" w:hAnsi="Calibri" w:cs="Times New Roman"/>
      <w:kern w:val="0"/>
      <w:sz w:val="20"/>
      <w:szCs w:val="20"/>
      <w:lang w:val="lv-LV"/>
      <w14:ligatures w14:val="none"/>
    </w:rPr>
  </w:style>
  <w:style w:type="character" w:styleId="FootnoteReference">
    <w:name w:val="footnote reference"/>
    <w:basedOn w:val="DefaultParagraphFont"/>
    <w:semiHidden/>
    <w:unhideWhenUsed/>
    <w:rsid w:val="00121D30"/>
    <w:rPr>
      <w:vertAlign w:val="superscript"/>
    </w:rPr>
  </w:style>
  <w:style w:type="character" w:styleId="CommentReference">
    <w:name w:val="annotation reference"/>
    <w:basedOn w:val="DefaultParagraphFont"/>
    <w:uiPriority w:val="99"/>
    <w:semiHidden/>
    <w:unhideWhenUsed/>
    <w:rsid w:val="00467A51"/>
    <w:rPr>
      <w:sz w:val="16"/>
      <w:szCs w:val="16"/>
    </w:rPr>
  </w:style>
  <w:style w:type="paragraph" w:styleId="CommentText">
    <w:name w:val="annotation text"/>
    <w:basedOn w:val="Normal"/>
    <w:link w:val="CommentTextChar"/>
    <w:uiPriority w:val="99"/>
    <w:unhideWhenUsed/>
    <w:rsid w:val="00467A51"/>
    <w:rPr>
      <w:sz w:val="20"/>
      <w:szCs w:val="20"/>
    </w:rPr>
  </w:style>
  <w:style w:type="character" w:customStyle="1" w:styleId="CommentTextChar">
    <w:name w:val="Comment Text Char"/>
    <w:basedOn w:val="DefaultParagraphFont"/>
    <w:link w:val="CommentText"/>
    <w:uiPriority w:val="99"/>
    <w:rsid w:val="00467A51"/>
    <w:rPr>
      <w:rFonts w:eastAsia="Times New Roman" w:cs="Times New Roman"/>
      <w:kern w:val="0"/>
      <w:sz w:val="20"/>
      <w:szCs w:val="20"/>
      <w:lang w:val="lv-LV" w:eastAsia="ru-RU"/>
      <w14:ligatures w14:val="none"/>
    </w:rPr>
  </w:style>
  <w:style w:type="paragraph" w:styleId="CommentSubject">
    <w:name w:val="annotation subject"/>
    <w:basedOn w:val="CommentText"/>
    <w:next w:val="CommentText"/>
    <w:link w:val="CommentSubjectChar"/>
    <w:uiPriority w:val="99"/>
    <w:semiHidden/>
    <w:unhideWhenUsed/>
    <w:rsid w:val="00467A51"/>
    <w:rPr>
      <w:b/>
      <w:bCs/>
    </w:rPr>
  </w:style>
  <w:style w:type="character" w:customStyle="1" w:styleId="CommentSubjectChar">
    <w:name w:val="Comment Subject Char"/>
    <w:basedOn w:val="CommentTextChar"/>
    <w:link w:val="CommentSubject"/>
    <w:uiPriority w:val="99"/>
    <w:semiHidden/>
    <w:rsid w:val="00467A51"/>
    <w:rPr>
      <w:rFonts w:eastAsia="Times New Roman" w:cs="Times New Roman"/>
      <w:b/>
      <w:bCs/>
      <w:kern w:val="0"/>
      <w:sz w:val="20"/>
      <w:szCs w:val="20"/>
      <w:lang w:val="lv-LV" w:eastAsia="ru-RU"/>
      <w14:ligatures w14:val="none"/>
    </w:rPr>
  </w:style>
  <w:style w:type="paragraph" w:styleId="Revision">
    <w:name w:val="Revision"/>
    <w:hidden/>
    <w:uiPriority w:val="99"/>
    <w:semiHidden/>
    <w:rsid w:val="001027DB"/>
    <w:pPr>
      <w:spacing w:after="0" w:line="240" w:lineRule="auto"/>
    </w:pPr>
    <w:rPr>
      <w:rFonts w:eastAsia="Times New Roman" w:cs="Times New Roman"/>
      <w:kern w:val="0"/>
      <w:szCs w:val="24"/>
      <w:lang w:val="lv-LV" w:eastAsia="ru-RU"/>
      <w14:ligatures w14:val="none"/>
    </w:rPr>
  </w:style>
  <w:style w:type="character" w:styleId="UnresolvedMention">
    <w:name w:val="Unresolved Mention"/>
    <w:basedOn w:val="DefaultParagraphFont"/>
    <w:uiPriority w:val="99"/>
    <w:semiHidden/>
    <w:unhideWhenUsed/>
    <w:rsid w:val="00065CFB"/>
    <w:rPr>
      <w:color w:val="605E5C"/>
      <w:shd w:val="clear" w:color="auto" w:fill="E1DFDD"/>
    </w:rPr>
  </w:style>
  <w:style w:type="paragraph" w:customStyle="1" w:styleId="tv213">
    <w:name w:val="tv213"/>
    <w:basedOn w:val="Normal"/>
    <w:rsid w:val="00DF564C"/>
    <w:pPr>
      <w:spacing w:before="100" w:beforeAutospacing="1" w:after="100" w:afterAutospacing="1"/>
    </w:pPr>
    <w:rPr>
      <w:lang w:eastAsia="lv-LV"/>
    </w:rPr>
  </w:style>
  <w:style w:type="character" w:styleId="FollowedHyperlink">
    <w:name w:val="FollowedHyperlink"/>
    <w:basedOn w:val="DefaultParagraphFont"/>
    <w:uiPriority w:val="99"/>
    <w:semiHidden/>
    <w:unhideWhenUsed/>
    <w:rsid w:val="006B7B25"/>
    <w:rPr>
      <w:color w:val="954F72" w:themeColor="followedHyperlink"/>
      <w:u w:val="single"/>
    </w:rPr>
  </w:style>
  <w:style w:type="paragraph" w:styleId="NoSpacing">
    <w:name w:val="No Spacing"/>
    <w:uiPriority w:val="1"/>
    <w:qFormat/>
    <w:rsid w:val="00963D8A"/>
    <w:pPr>
      <w:spacing w:after="0" w:line="240" w:lineRule="auto"/>
    </w:pPr>
    <w:rPr>
      <w:rFonts w:eastAsia="Times New Roman" w:cs="Times New Roman"/>
      <w:kern w:val="0"/>
      <w:szCs w:val="24"/>
      <w:lang w:val="lv-LV" w:eastAsia="ru-RU"/>
      <w14:ligatures w14:val="none"/>
    </w:rPr>
  </w:style>
  <w:style w:type="paragraph" w:customStyle="1" w:styleId="Default">
    <w:name w:val="Default"/>
    <w:rsid w:val="005818BA"/>
    <w:pPr>
      <w:autoSpaceDE w:val="0"/>
      <w:autoSpaceDN w:val="0"/>
      <w:adjustRightInd w:val="0"/>
      <w:spacing w:after="0" w:line="240" w:lineRule="auto"/>
    </w:pPr>
    <w:rPr>
      <w:rFonts w:cs="Times New Roman"/>
      <w:color w:val="000000"/>
      <w:kern w:val="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80093">
      <w:bodyDiv w:val="1"/>
      <w:marLeft w:val="0"/>
      <w:marRight w:val="0"/>
      <w:marTop w:val="0"/>
      <w:marBottom w:val="0"/>
      <w:divBdr>
        <w:top w:val="none" w:sz="0" w:space="0" w:color="auto"/>
        <w:left w:val="none" w:sz="0" w:space="0" w:color="auto"/>
        <w:bottom w:val="none" w:sz="0" w:space="0" w:color="auto"/>
        <w:right w:val="none" w:sz="0" w:space="0" w:color="auto"/>
      </w:divBdr>
    </w:div>
    <w:div w:id="189343670">
      <w:bodyDiv w:val="1"/>
      <w:marLeft w:val="0"/>
      <w:marRight w:val="0"/>
      <w:marTop w:val="0"/>
      <w:marBottom w:val="0"/>
      <w:divBdr>
        <w:top w:val="none" w:sz="0" w:space="0" w:color="auto"/>
        <w:left w:val="none" w:sz="0" w:space="0" w:color="auto"/>
        <w:bottom w:val="none" w:sz="0" w:space="0" w:color="auto"/>
        <w:right w:val="none" w:sz="0" w:space="0" w:color="auto"/>
      </w:divBdr>
    </w:div>
    <w:div w:id="544414212">
      <w:bodyDiv w:val="1"/>
      <w:marLeft w:val="0"/>
      <w:marRight w:val="0"/>
      <w:marTop w:val="0"/>
      <w:marBottom w:val="0"/>
      <w:divBdr>
        <w:top w:val="none" w:sz="0" w:space="0" w:color="auto"/>
        <w:left w:val="none" w:sz="0" w:space="0" w:color="auto"/>
        <w:bottom w:val="none" w:sz="0" w:space="0" w:color="auto"/>
        <w:right w:val="none" w:sz="0" w:space="0" w:color="auto"/>
      </w:divBdr>
    </w:div>
    <w:div w:id="1143502739">
      <w:bodyDiv w:val="1"/>
      <w:marLeft w:val="0"/>
      <w:marRight w:val="0"/>
      <w:marTop w:val="0"/>
      <w:marBottom w:val="0"/>
      <w:divBdr>
        <w:top w:val="none" w:sz="0" w:space="0" w:color="auto"/>
        <w:left w:val="none" w:sz="0" w:space="0" w:color="auto"/>
        <w:bottom w:val="none" w:sz="0" w:space="0" w:color="auto"/>
        <w:right w:val="none" w:sz="0" w:space="0" w:color="auto"/>
      </w:divBdr>
      <w:divsChild>
        <w:div w:id="863252950">
          <w:marLeft w:val="0"/>
          <w:marRight w:val="0"/>
          <w:marTop w:val="0"/>
          <w:marBottom w:val="0"/>
          <w:divBdr>
            <w:top w:val="none" w:sz="0" w:space="0" w:color="auto"/>
            <w:left w:val="none" w:sz="0" w:space="0" w:color="auto"/>
            <w:bottom w:val="none" w:sz="0" w:space="0" w:color="auto"/>
            <w:right w:val="none" w:sz="0" w:space="0" w:color="auto"/>
          </w:divBdr>
        </w:div>
      </w:divsChild>
    </w:div>
    <w:div w:id="1145899617">
      <w:bodyDiv w:val="1"/>
      <w:marLeft w:val="0"/>
      <w:marRight w:val="0"/>
      <w:marTop w:val="0"/>
      <w:marBottom w:val="0"/>
      <w:divBdr>
        <w:top w:val="none" w:sz="0" w:space="0" w:color="auto"/>
        <w:left w:val="none" w:sz="0" w:space="0" w:color="auto"/>
        <w:bottom w:val="none" w:sz="0" w:space="0" w:color="auto"/>
        <w:right w:val="none" w:sz="0" w:space="0" w:color="auto"/>
      </w:divBdr>
      <w:divsChild>
        <w:div w:id="1458910570">
          <w:marLeft w:val="0"/>
          <w:marRight w:val="0"/>
          <w:marTop w:val="0"/>
          <w:marBottom w:val="0"/>
          <w:divBdr>
            <w:top w:val="none" w:sz="0" w:space="0" w:color="auto"/>
            <w:left w:val="none" w:sz="0" w:space="0" w:color="auto"/>
            <w:bottom w:val="none" w:sz="0" w:space="0" w:color="auto"/>
            <w:right w:val="none" w:sz="0" w:space="0" w:color="auto"/>
          </w:divBdr>
        </w:div>
      </w:divsChild>
    </w:div>
    <w:div w:id="1259102758">
      <w:bodyDiv w:val="1"/>
      <w:marLeft w:val="0"/>
      <w:marRight w:val="0"/>
      <w:marTop w:val="0"/>
      <w:marBottom w:val="0"/>
      <w:divBdr>
        <w:top w:val="none" w:sz="0" w:space="0" w:color="auto"/>
        <w:left w:val="none" w:sz="0" w:space="0" w:color="auto"/>
        <w:bottom w:val="none" w:sz="0" w:space="0" w:color="auto"/>
        <w:right w:val="none" w:sz="0" w:space="0" w:color="auto"/>
      </w:divBdr>
    </w:div>
    <w:div w:id="1276710144">
      <w:bodyDiv w:val="1"/>
      <w:marLeft w:val="0"/>
      <w:marRight w:val="0"/>
      <w:marTop w:val="0"/>
      <w:marBottom w:val="0"/>
      <w:divBdr>
        <w:top w:val="none" w:sz="0" w:space="0" w:color="auto"/>
        <w:left w:val="none" w:sz="0" w:space="0" w:color="auto"/>
        <w:bottom w:val="none" w:sz="0" w:space="0" w:color="auto"/>
        <w:right w:val="none" w:sz="0" w:space="0" w:color="auto"/>
      </w:divBdr>
    </w:div>
    <w:div w:id="1447507043">
      <w:bodyDiv w:val="1"/>
      <w:marLeft w:val="0"/>
      <w:marRight w:val="0"/>
      <w:marTop w:val="0"/>
      <w:marBottom w:val="0"/>
      <w:divBdr>
        <w:top w:val="none" w:sz="0" w:space="0" w:color="auto"/>
        <w:left w:val="none" w:sz="0" w:space="0" w:color="auto"/>
        <w:bottom w:val="none" w:sz="0" w:space="0" w:color="auto"/>
        <w:right w:val="none" w:sz="0" w:space="0" w:color="auto"/>
      </w:divBdr>
    </w:div>
    <w:div w:id="1605919593">
      <w:bodyDiv w:val="1"/>
      <w:marLeft w:val="0"/>
      <w:marRight w:val="0"/>
      <w:marTop w:val="0"/>
      <w:marBottom w:val="0"/>
      <w:divBdr>
        <w:top w:val="none" w:sz="0" w:space="0" w:color="auto"/>
        <w:left w:val="none" w:sz="0" w:space="0" w:color="auto"/>
        <w:bottom w:val="none" w:sz="0" w:space="0" w:color="auto"/>
        <w:right w:val="none" w:sz="0" w:space="0" w:color="auto"/>
      </w:divBdr>
    </w:div>
    <w:div w:id="1719670440">
      <w:bodyDiv w:val="1"/>
      <w:marLeft w:val="0"/>
      <w:marRight w:val="0"/>
      <w:marTop w:val="0"/>
      <w:marBottom w:val="0"/>
      <w:divBdr>
        <w:top w:val="none" w:sz="0" w:space="0" w:color="auto"/>
        <w:left w:val="none" w:sz="0" w:space="0" w:color="auto"/>
        <w:bottom w:val="none" w:sz="0" w:space="0" w:color="auto"/>
        <w:right w:val="none" w:sz="0" w:space="0" w:color="auto"/>
      </w:divBdr>
    </w:div>
    <w:div w:id="1865945676">
      <w:bodyDiv w:val="1"/>
      <w:marLeft w:val="0"/>
      <w:marRight w:val="0"/>
      <w:marTop w:val="0"/>
      <w:marBottom w:val="0"/>
      <w:divBdr>
        <w:top w:val="none" w:sz="0" w:space="0" w:color="auto"/>
        <w:left w:val="none" w:sz="0" w:space="0" w:color="auto"/>
        <w:bottom w:val="none" w:sz="0" w:space="0" w:color="auto"/>
        <w:right w:val="none" w:sz="0" w:space="0" w:color="auto"/>
      </w:divBdr>
    </w:div>
    <w:div w:id="1973561289">
      <w:bodyDiv w:val="1"/>
      <w:marLeft w:val="0"/>
      <w:marRight w:val="0"/>
      <w:marTop w:val="0"/>
      <w:marBottom w:val="0"/>
      <w:divBdr>
        <w:top w:val="none" w:sz="0" w:space="0" w:color="auto"/>
        <w:left w:val="none" w:sz="0" w:space="0" w:color="auto"/>
        <w:bottom w:val="none" w:sz="0" w:space="0" w:color="auto"/>
        <w:right w:val="none" w:sz="0" w:space="0" w:color="auto"/>
      </w:divBdr>
    </w:div>
    <w:div w:id="19835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ca940865-72eb-4f6d-917b-4cc32c52d9b9"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eclinolemumi/ECLI:LV:AT:2021:1126.A420194117.14.S" TargetMode="External"/><Relationship Id="rId4" Type="http://schemas.openxmlformats.org/officeDocument/2006/relationships/settings" Target="settings.xml"/><Relationship Id="rId9" Type="http://schemas.openxmlformats.org/officeDocument/2006/relationships/hyperlink" Target="https://manas.tiesas.lv/eTiesasMvc/eclinolemumi/ECLI:LV:AT:2018:0309.A420193115.2.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5E6DD0-A694-47C4-ADD6-BD86E4DD7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9142</Words>
  <Characters>5211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2025-06-26T05:08:00Z</dcterms:created>
  <dcterms:modified xsi:type="dcterms:W3CDTF">2025-08-27T12:51:00Z</dcterms:modified>
</cp:coreProperties>
</file>