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3E0E" w14:textId="4D868117" w:rsidR="00A10C51" w:rsidRDefault="00A10C51" w:rsidP="00A10C51">
      <w:pPr>
        <w:spacing w:after="160" w:line="276" w:lineRule="auto"/>
        <w:contextualSpacing/>
        <w:jc w:val="both"/>
        <w:rPr>
          <w:b/>
          <w:bCs/>
          <w14:ligatures w14:val="standardContextual"/>
        </w:rPr>
      </w:pPr>
      <w:r>
        <w:rPr>
          <w:b/>
          <w:bCs/>
          <w14:ligatures w14:val="standardContextual"/>
        </w:rPr>
        <w:t>Patologanatomisko izmeklējumu veikšana neietilpst atlīdzinājumu no Ārstniecības riska fonda tvērumā</w:t>
      </w:r>
    </w:p>
    <w:p w14:paraId="5EBECFAA" w14:textId="77777777" w:rsidR="00A10C51" w:rsidRDefault="00A10C51" w:rsidP="00A10C51">
      <w:pPr>
        <w:spacing w:after="160" w:line="276" w:lineRule="auto"/>
        <w:contextualSpacing/>
        <w:jc w:val="both"/>
        <w:rPr>
          <w:b/>
          <w:bCs/>
          <w14:ligatures w14:val="standardContextual"/>
        </w:rPr>
      </w:pPr>
    </w:p>
    <w:p w14:paraId="6F40BDAB" w14:textId="1C32FC20" w:rsidR="00FE5040" w:rsidRDefault="00FE5040" w:rsidP="00A10C51">
      <w:pPr>
        <w:spacing w:line="276" w:lineRule="auto"/>
        <w:contextualSpacing/>
        <w:jc w:val="both"/>
        <w:rPr>
          <w:b/>
          <w:bCs/>
          <w14:ligatures w14:val="standardContextual"/>
        </w:rPr>
      </w:pPr>
      <w:r>
        <w:rPr>
          <w:b/>
          <w:bCs/>
          <w14:ligatures w14:val="standardContextual"/>
        </w:rPr>
        <w:t>Ministru kabineta tiesības precizēt kaitējuma un atlīdzinājuma apmēra noteikšanu, ja atlīdzinājums tiek izmaksāts no Ārstniecības riska fonda</w:t>
      </w:r>
    </w:p>
    <w:p w14:paraId="21B94A3A" w14:textId="77777777" w:rsidR="00FE5040" w:rsidRDefault="00FE5040" w:rsidP="00A10C51">
      <w:pPr>
        <w:autoSpaceDE w:val="0"/>
        <w:autoSpaceDN w:val="0"/>
        <w:spacing w:line="276" w:lineRule="auto"/>
        <w:jc w:val="both"/>
        <w:rPr>
          <w14:ligatures w14:val="standardContextual"/>
        </w:rPr>
      </w:pPr>
      <w:r>
        <w:rPr>
          <w14:ligatures w14:val="standardContextual"/>
        </w:rPr>
        <w:t>Ministru kabinetam ir no tiesību normām izrietošas tiesības noteikt kārtību, kādā novērtē pacientam radītā kaitējuma apmēru, atkarībā no kā tiek izmaksāta attiecīga atlīdzība. Radītā kaitējuma apmēra novērtēšanas kārtības izveide jau pēc būtības pieprasa noteikt kritērijus, atbilstoši kuriem nodarītā kaitējuma apmēru līdzīgos gadījumos ir iespējams noteikt pēc iespējas vienlīdzīgi un taisnīgi, kas arī ir Ministru kabineta 2013.gada 5.novembra noteikumu Nr. 1268 „Ārstniecības riska fonda darbības noteikumi” mērķis. Minētajos noteikumos noteiktie atlīdzināšanas apmēri kopumā ietilpst Pacientu tiesību likuma 16.panta otrajā daļā noteiktās maksimālās kaitējuma atlīdzības robežās, un sīkāk tiek regulēta tikai atlīdzības apmēra individualizēta noteikšana konkrētos gadījumos, lai sasniegtu Pacientu tiesību likuma 16.panta pirmās daļas mērķi – atlīdzināt kaitējumu, kas nodarīts ar ārstniecību. Respektīvi, sīkāk regulēts, kādi apstākļi ir jāņem vērā, lai kaitējuma atlīdzības apmērs būtu atbilstošs Pacientu tiesību likuma 16.panta pirmajai daļai un taisnīgs.</w:t>
      </w:r>
    </w:p>
    <w:p w14:paraId="5C614559" w14:textId="77777777" w:rsidR="00FE5040" w:rsidRDefault="00FE5040" w:rsidP="00A10C51">
      <w:pPr>
        <w:spacing w:line="276" w:lineRule="auto"/>
        <w:jc w:val="both"/>
      </w:pPr>
      <w:r>
        <w:rPr>
          <w14:ligatures w14:val="standardContextual"/>
        </w:rPr>
        <w:t xml:space="preserve">Līdz ar to Ministru kabinets, izdodot Ministru kabineta 2013.gada 5.novembra noteikumus Nr. 1268 „Ārstniecības riska fonda darbības noteikumi”, ir rīkojies savas kompetences ietvaros. </w:t>
      </w:r>
    </w:p>
    <w:p w14:paraId="2957AE8C" w14:textId="77777777" w:rsidR="00FE5040" w:rsidRDefault="00FE5040" w:rsidP="00A10C51">
      <w:pPr>
        <w:autoSpaceDE w:val="0"/>
        <w:autoSpaceDN w:val="0"/>
        <w:spacing w:line="276" w:lineRule="auto"/>
        <w:jc w:val="both"/>
        <w:rPr>
          <w:b/>
          <w:bCs/>
          <w:color w:val="4472C4"/>
          <w14:ligatures w14:val="standardContextual"/>
        </w:rPr>
      </w:pPr>
    </w:p>
    <w:p w14:paraId="23CFF918" w14:textId="77777777" w:rsidR="00FE5040" w:rsidRDefault="00FE5040" w:rsidP="00A10C51">
      <w:pPr>
        <w:spacing w:line="276" w:lineRule="auto"/>
        <w:jc w:val="both"/>
        <w:rPr>
          <w:b/>
          <w:bCs/>
          <w14:ligatures w14:val="standardContextual"/>
        </w:rPr>
      </w:pPr>
      <w:proofErr w:type="spellStart"/>
      <w:r>
        <w:rPr>
          <w:b/>
          <w:bCs/>
          <w14:ligatures w14:val="standardContextual"/>
        </w:rPr>
        <w:t>Pamatslimības</w:t>
      </w:r>
      <w:proofErr w:type="spellEnd"/>
      <w:r>
        <w:rPr>
          <w:b/>
          <w:bCs/>
          <w14:ligatures w14:val="standardContextual"/>
        </w:rPr>
        <w:t xml:space="preserve"> komplikācijas kā kaitējuma smagumu ietekmējošs apstāklis</w:t>
      </w:r>
    </w:p>
    <w:p w14:paraId="7C93C516" w14:textId="77777777" w:rsidR="00FE5040" w:rsidRDefault="00FE5040" w:rsidP="00A10C51">
      <w:pPr>
        <w:spacing w:line="276" w:lineRule="auto"/>
        <w:jc w:val="both"/>
        <w:rPr>
          <w14:ligatures w14:val="standardContextual"/>
        </w:rPr>
      </w:pPr>
      <w:r>
        <w:rPr>
          <w14:ligatures w14:val="standardContextual"/>
        </w:rPr>
        <w:t xml:space="preserve">Ministru kabineta 2013.gada 5.novembra noteikumu Nr. 1268 „Ārstniecības riska fonda darbības noteikumi” 2.pielikuma 3.3.1.punkts, kas paredz kaitējuma smagumu procentos par ārstniecības procesā nediagnosticētām un/vai neārstētām </w:t>
      </w:r>
      <w:proofErr w:type="spellStart"/>
      <w:r>
        <w:rPr>
          <w14:ligatures w14:val="standardContextual"/>
        </w:rPr>
        <w:t>pamatslimības</w:t>
      </w:r>
      <w:proofErr w:type="spellEnd"/>
      <w:r>
        <w:rPr>
          <w14:ligatures w14:val="standardContextual"/>
        </w:rPr>
        <w:t xml:space="preserve"> komplikācijām, ir attiecināms uz tām komplikācijām, kas bijušas saslimšanai, kuras dēļ pacients konkrētajā gadījumā atradās ārstniecības iestādē. Situācijā, kad pienācīgi netiek diagnosticēta un ārstēta tā pacienta saslimšana, kuras dēļ tas galvenokārt vērsies ārstniecības iestādē, nav pieļaujama būtiski mazāka kaitējuma smaguma apmēra noteikšana un Ministru kabineta 2013.gada 5.novembra noteikumu Nr. 1268 „Ārstniecības riska fonda darbības noteikumi” 2.pielikuma 3.3.1.punkta piemērošana.  </w:t>
      </w:r>
    </w:p>
    <w:p w14:paraId="4014A999" w14:textId="77777777" w:rsidR="00FE5040" w:rsidRDefault="00FE5040" w:rsidP="00A10C51">
      <w:pPr>
        <w:spacing w:line="276" w:lineRule="auto"/>
        <w:jc w:val="both"/>
        <w:rPr>
          <w14:ligatures w14:val="standardContextual"/>
        </w:rPr>
      </w:pPr>
    </w:p>
    <w:p w14:paraId="73BB1BDC" w14:textId="77777777" w:rsidR="00FE5040" w:rsidRDefault="00FE5040" w:rsidP="00A10C51">
      <w:pPr>
        <w:spacing w:line="276" w:lineRule="auto"/>
        <w:jc w:val="both"/>
        <w:rPr>
          <w:b/>
          <w:bCs/>
          <w14:ligatures w14:val="standardContextual"/>
        </w:rPr>
      </w:pPr>
      <w:r>
        <w:rPr>
          <w:b/>
          <w:bCs/>
          <w14:ligatures w14:val="standardContextual"/>
        </w:rPr>
        <w:t xml:space="preserve">Pacienta </w:t>
      </w:r>
      <w:proofErr w:type="spellStart"/>
      <w:r>
        <w:rPr>
          <w:b/>
          <w:bCs/>
          <w14:ligatures w14:val="standardContextual"/>
        </w:rPr>
        <w:t>līdzestības</w:t>
      </w:r>
      <w:proofErr w:type="spellEnd"/>
      <w:r>
        <w:rPr>
          <w:b/>
          <w:bCs/>
          <w14:ligatures w14:val="standardContextual"/>
        </w:rPr>
        <w:t xml:space="preserve"> vērtēšana </w:t>
      </w:r>
    </w:p>
    <w:p w14:paraId="6C28B97C" w14:textId="77777777" w:rsidR="00FE5040" w:rsidRDefault="00FE5040" w:rsidP="00A10C51">
      <w:pPr>
        <w:spacing w:line="276" w:lineRule="auto"/>
        <w:jc w:val="both"/>
        <w:rPr>
          <w14:ligatures w14:val="standardContextual"/>
        </w:rPr>
      </w:pPr>
      <w:r>
        <w:rPr>
          <w14:ligatures w14:val="standardContextual"/>
        </w:rPr>
        <w:t xml:space="preserve">Tieši ārstniecības personām ir speciālas zināšanas medicīnā un spēja apzināties, kādi faktori var būtiski ietekmēt ārstniecības procesu. Vērtējot pacienta </w:t>
      </w:r>
      <w:proofErr w:type="spellStart"/>
      <w:r>
        <w:rPr>
          <w14:ligatures w14:val="standardContextual"/>
        </w:rPr>
        <w:t>līdzestību</w:t>
      </w:r>
      <w:proofErr w:type="spellEnd"/>
      <w:r>
        <w:rPr>
          <w14:ligatures w14:val="standardContextual"/>
        </w:rPr>
        <w:t xml:space="preserve">, vērā ņemams, ka pacientam var trūkt nepieciešamo zināšanu, lai par kādu faktu informētu ārstniecības personas. Ja pacients neapzinājās, ka informēšana par konkrēta medikamenta lietošanas pārtraukšana varētu norādīt uz kādas saslimšanas risku, un par to neinformēja ārstniecības personas, to nevar iztulkot to kā </w:t>
      </w:r>
      <w:proofErr w:type="spellStart"/>
      <w:r>
        <w:rPr>
          <w14:ligatures w14:val="standardContextual"/>
        </w:rPr>
        <w:t>nelīdzestību</w:t>
      </w:r>
      <w:proofErr w:type="spellEnd"/>
      <w:r>
        <w:rPr>
          <w14:ligatures w14:val="standardContextual"/>
        </w:rPr>
        <w:t xml:space="preserve"> savas veselības aprūpē.</w:t>
      </w:r>
    </w:p>
    <w:p w14:paraId="27AF1CD8" w14:textId="77777777" w:rsidR="00FE5040" w:rsidRDefault="00FE5040" w:rsidP="00A10C51">
      <w:pPr>
        <w:spacing w:line="276" w:lineRule="auto"/>
        <w:jc w:val="both"/>
        <w:rPr>
          <w14:ligatures w14:val="standardContextual"/>
        </w:rPr>
      </w:pPr>
    </w:p>
    <w:p w14:paraId="03F26429" w14:textId="77777777" w:rsidR="00FE5040" w:rsidRDefault="00FE5040" w:rsidP="00A10C51">
      <w:pPr>
        <w:spacing w:line="276" w:lineRule="auto"/>
        <w:jc w:val="both"/>
        <w:rPr>
          <w:b/>
          <w:bCs/>
          <w14:ligatures w14:val="standardContextual"/>
        </w:rPr>
      </w:pPr>
      <w:r>
        <w:rPr>
          <w:b/>
          <w:bCs/>
          <w14:ligatures w14:val="standardContextual"/>
        </w:rPr>
        <w:t>Pacienta sākotnējā veselības stāvokļa novērtējuma ietekme uz atlīdzības noteikšanu</w:t>
      </w:r>
    </w:p>
    <w:p w14:paraId="04F93CA2" w14:textId="77777777" w:rsidR="00FE5040" w:rsidRDefault="00FE5040" w:rsidP="00A10C51">
      <w:pPr>
        <w:spacing w:line="276" w:lineRule="auto"/>
        <w:jc w:val="both"/>
        <w:rPr>
          <w14:ligatures w14:val="standardContextual"/>
        </w:rPr>
      </w:pPr>
      <w:r>
        <w:rPr>
          <w14:ligatures w14:val="standardContextual"/>
        </w:rPr>
        <w:t xml:space="preserve">Kaitējums pacientam ir atlīdzināms tiktāl, ciktāl tas ir cēloniskā sakarā ar ārstniecību. Tādēļ, ja pacients jau pirms ārstniecības ir ar saslimšanām, kas pašas par sevi var veicināt tālāku nelabvēlīgu seku (kaitējuma) iestāšanos, tas attiecīgi samazina nelabvēlīgo seku rašanos tieši un tikai ārstniecības dēļ. Līdz ar to, nosakot taisnīgu atlīdzību, ir pamats </w:t>
      </w:r>
      <w:r>
        <w:rPr>
          <w14:ligatures w14:val="standardContextual"/>
        </w:rPr>
        <w:lastRenderedPageBreak/>
        <w:t>ņemt vērā tādus apstākļus, piemēram, hroniskas saslimšanas, kas objektīvi varēja ietekmēt kaitējuma smagumu neatkarīgi no ārstniecības personu darbībām.</w:t>
      </w:r>
    </w:p>
    <w:p w14:paraId="22CB48BD" w14:textId="77777777" w:rsidR="00FE5040" w:rsidRDefault="00FE5040" w:rsidP="00A10C51">
      <w:pPr>
        <w:spacing w:line="276" w:lineRule="auto"/>
        <w:jc w:val="both"/>
        <w:rPr>
          <w:rFonts w:ascii="Calibri" w:hAnsi="Calibri" w:cs="Calibri"/>
          <w:sz w:val="22"/>
          <w:szCs w:val="22"/>
          <w14:ligatures w14:val="standardContextual"/>
        </w:rPr>
      </w:pPr>
    </w:p>
    <w:p w14:paraId="6BB24D74" w14:textId="77777777" w:rsidR="00FE5040" w:rsidRDefault="00FE5040" w:rsidP="00A10C51">
      <w:pPr>
        <w:spacing w:line="276" w:lineRule="auto"/>
        <w:jc w:val="both"/>
        <w:rPr>
          <w:b/>
          <w:bCs/>
          <w14:ligatures w14:val="standardContextual"/>
        </w:rPr>
      </w:pPr>
      <w:r>
        <w:rPr>
          <w:b/>
          <w:bCs/>
          <w14:ligatures w14:val="standardContextual"/>
        </w:rPr>
        <w:t>Ārstniecības personas darbības atbilstības novērtējums</w:t>
      </w:r>
    </w:p>
    <w:p w14:paraId="73C049C2" w14:textId="24713556" w:rsidR="00FE5040" w:rsidRDefault="00FE5040" w:rsidP="00A10C51">
      <w:pPr>
        <w:spacing w:line="276" w:lineRule="auto"/>
        <w:jc w:val="both"/>
        <w:rPr>
          <w14:ligatures w14:val="standardContextual"/>
        </w:rPr>
      </w:pPr>
      <w:r>
        <w:rPr>
          <w14:ligatures w14:val="standardContextual"/>
        </w:rPr>
        <w:t>Tas, vai konkrētā gadījumā ir saskatāma ārstniecības personu daļēji atbilstoša vai neatbilstoša darbība, vienmēr ir novērtējams atbilstoši visiem konkrētā gadījuma apstākļiem. Noteiktas pozīcijas atzīmēšana  pacientam veiktajās asinsanalīzēs, ja analīžu rezultāts vispār netiek novērtēts, neliecina par ārstniecības personu ieguldījumu ar to saistītas saslimšanas atpazīšanā.</w:t>
      </w:r>
    </w:p>
    <w:p w14:paraId="7F47D6A5" w14:textId="77777777" w:rsidR="00FE5040" w:rsidRPr="00FE5040" w:rsidRDefault="00FE5040" w:rsidP="00A10C51">
      <w:pPr>
        <w:spacing w:line="276" w:lineRule="auto"/>
        <w:jc w:val="both"/>
        <w:rPr>
          <w14:ligatures w14:val="standardContextual"/>
        </w:rPr>
      </w:pPr>
    </w:p>
    <w:p w14:paraId="0F6ED383" w14:textId="2185B8ED" w:rsidR="00FE5040" w:rsidRPr="00D45AED" w:rsidRDefault="00522062" w:rsidP="00A10C51">
      <w:pPr>
        <w:spacing w:before="120" w:line="276" w:lineRule="auto"/>
        <w:jc w:val="center"/>
        <w:rPr>
          <w:b/>
          <w:lang w:eastAsia="ru-RU"/>
        </w:rPr>
      </w:pPr>
      <w:r w:rsidRPr="00D45AED">
        <w:rPr>
          <w:b/>
          <w:lang w:eastAsia="ru-RU"/>
        </w:rPr>
        <w:t>Latvijas Republikas Senāt</w:t>
      </w:r>
      <w:r w:rsidR="00FE5040">
        <w:rPr>
          <w:b/>
          <w:lang w:eastAsia="ru-RU"/>
        </w:rPr>
        <w:t>a</w:t>
      </w:r>
      <w:r w:rsidR="00FE5040">
        <w:rPr>
          <w:b/>
          <w:lang w:eastAsia="ru-RU"/>
        </w:rPr>
        <w:br/>
        <w:t xml:space="preserve">Administratīvo lietu departamenta </w:t>
      </w:r>
      <w:r w:rsidR="00FE5040">
        <w:rPr>
          <w:b/>
          <w:lang w:eastAsia="ru-RU"/>
        </w:rPr>
        <w:br/>
        <w:t>2025.gada 3.jūnija</w:t>
      </w:r>
    </w:p>
    <w:p w14:paraId="04B1FF97" w14:textId="77777777" w:rsidR="00522062" w:rsidRDefault="00522062" w:rsidP="00A10C51">
      <w:pPr>
        <w:spacing w:line="276" w:lineRule="auto"/>
        <w:jc w:val="center"/>
        <w:rPr>
          <w:b/>
          <w:lang w:eastAsia="ru-RU"/>
        </w:rPr>
      </w:pPr>
      <w:r w:rsidRPr="00D45AED">
        <w:rPr>
          <w:b/>
          <w:lang w:eastAsia="ru-RU"/>
        </w:rPr>
        <w:t>SPRIEDUMS</w:t>
      </w:r>
    </w:p>
    <w:p w14:paraId="77F2120E" w14:textId="7E127075" w:rsidR="00FE5040" w:rsidRPr="00FE5040" w:rsidRDefault="00FE5040" w:rsidP="00A10C51">
      <w:pPr>
        <w:spacing w:line="276" w:lineRule="auto"/>
        <w:jc w:val="center"/>
        <w:rPr>
          <w:b/>
          <w:bCs/>
        </w:rPr>
      </w:pPr>
      <w:r w:rsidRPr="00FE5040">
        <w:rPr>
          <w:b/>
          <w:bCs/>
        </w:rPr>
        <w:t>Lieta Nr. </w:t>
      </w:r>
      <w:r w:rsidRPr="00FE5040">
        <w:rPr>
          <w:rFonts w:cs="Arial"/>
          <w:b/>
          <w:bCs/>
          <w:iCs/>
          <w:szCs w:val="20"/>
        </w:rPr>
        <w:t>A420230622</w:t>
      </w:r>
      <w:r w:rsidRPr="00FE5040">
        <w:rPr>
          <w:b/>
          <w:bCs/>
        </w:rPr>
        <w:t>, SKA</w:t>
      </w:r>
      <w:bookmarkStart w:id="0" w:name="_Hlk129772518"/>
      <w:r w:rsidRPr="00FE5040">
        <w:rPr>
          <w:b/>
          <w:bCs/>
        </w:rPr>
        <w:noBreakHyphen/>
      </w:r>
      <w:bookmarkEnd w:id="0"/>
      <w:r w:rsidRPr="00FE5040">
        <w:rPr>
          <w:b/>
          <w:bCs/>
        </w:rPr>
        <w:t>393/2025</w:t>
      </w:r>
    </w:p>
    <w:p w14:paraId="0553A2E6" w14:textId="613411D0" w:rsidR="00FE5040" w:rsidRPr="00FE5040" w:rsidRDefault="00FE5040" w:rsidP="00A10C51">
      <w:pPr>
        <w:spacing w:line="276" w:lineRule="auto"/>
        <w:jc w:val="center"/>
        <w:rPr>
          <w:lang w:eastAsia="ru-RU"/>
        </w:rPr>
      </w:pPr>
      <w:r w:rsidRPr="00FE5040">
        <w:t xml:space="preserve"> </w:t>
      </w:r>
      <w:hyperlink r:id="rId8" w:history="1">
        <w:r w:rsidRPr="008F3572">
          <w:rPr>
            <w:rStyle w:val="Hyperlink"/>
          </w:rPr>
          <w:t>ECLI:LV:AT:2</w:t>
        </w:r>
        <w:r w:rsidRPr="008F3572">
          <w:rPr>
            <w:rStyle w:val="Hyperlink"/>
          </w:rPr>
          <w:t>025:0603.A420230622.17.S</w:t>
        </w:r>
      </w:hyperlink>
    </w:p>
    <w:p w14:paraId="0F6869AF" w14:textId="77777777" w:rsidR="00522062" w:rsidRDefault="00522062" w:rsidP="00A10C51">
      <w:pPr>
        <w:spacing w:line="276" w:lineRule="auto"/>
        <w:ind w:firstLine="720"/>
        <w:jc w:val="both"/>
      </w:pPr>
    </w:p>
    <w:p w14:paraId="33AB15B9" w14:textId="7CD3DF3F" w:rsidR="00522062" w:rsidRDefault="00522062" w:rsidP="00A10C51">
      <w:pPr>
        <w:spacing w:line="276" w:lineRule="auto"/>
        <w:ind w:firstLine="720"/>
        <w:jc w:val="both"/>
      </w:pPr>
      <w:r>
        <w:t xml:space="preserve">Senāts šādā sastāvā: senatore referente Rudīte Vīduša, </w:t>
      </w:r>
      <w:r w:rsidRPr="009650AC">
        <w:t>senator</w:t>
      </w:r>
      <w:r w:rsidR="00FD4D4B">
        <w:t>es</w:t>
      </w:r>
      <w:r w:rsidRPr="009650AC">
        <w:t xml:space="preserve"> </w:t>
      </w:r>
      <w:r w:rsidR="008714E5">
        <w:rPr>
          <w:noProof/>
          <w:lang w:eastAsia="ru-RU"/>
        </w:rPr>
        <w:t>Anita</w:t>
      </w:r>
      <w:r w:rsidR="00AF0F3D">
        <w:rPr>
          <w:noProof/>
          <w:lang w:eastAsia="ru-RU"/>
        </w:rPr>
        <w:t> </w:t>
      </w:r>
      <w:r w:rsidR="008714E5">
        <w:rPr>
          <w:noProof/>
          <w:lang w:eastAsia="ru-RU"/>
        </w:rPr>
        <w:t>Kovaļevska</w:t>
      </w:r>
      <w:r w:rsidRPr="009650AC">
        <w:t xml:space="preserve"> un </w:t>
      </w:r>
      <w:r w:rsidR="008714E5">
        <w:rPr>
          <w:noProof/>
          <w:lang w:eastAsia="ru-RU"/>
        </w:rPr>
        <w:t>Indra Meldere</w:t>
      </w:r>
    </w:p>
    <w:p w14:paraId="456D280F" w14:textId="77777777" w:rsidR="00522062" w:rsidRDefault="00522062" w:rsidP="00A10C51">
      <w:pPr>
        <w:spacing w:line="276" w:lineRule="auto"/>
        <w:ind w:firstLine="720"/>
        <w:jc w:val="both"/>
      </w:pPr>
    </w:p>
    <w:p w14:paraId="07A696BA" w14:textId="25F97780" w:rsidR="00522062" w:rsidRPr="00224707" w:rsidRDefault="00522062" w:rsidP="00A10C51">
      <w:pPr>
        <w:spacing w:line="276" w:lineRule="auto"/>
        <w:ind w:firstLine="720"/>
        <w:jc w:val="both"/>
        <w:rPr>
          <w:color w:val="000000"/>
          <w:shd w:val="clear" w:color="auto" w:fill="FFFFFF"/>
        </w:rPr>
      </w:pPr>
      <w:r>
        <w:rPr>
          <w:lang w:eastAsia="en-US"/>
        </w:rPr>
        <w:t xml:space="preserve">rakstveida procesā izskatīja administratīvo lietu, </w:t>
      </w:r>
      <w:r>
        <w:t>kas ierosināta, pamatojoties uz</w:t>
      </w:r>
      <w:r w:rsidR="0023340F">
        <w:t xml:space="preserve"> </w:t>
      </w:r>
      <w:r w:rsidR="0023340F">
        <w:rPr>
          <w:color w:val="000000"/>
          <w:shd w:val="clear" w:color="auto" w:fill="FFFFFF"/>
        </w:rPr>
        <w:t>[pers. A]</w:t>
      </w:r>
      <w:r w:rsidR="00224707" w:rsidRPr="00224707">
        <w:rPr>
          <w:color w:val="000000"/>
          <w:shd w:val="clear" w:color="auto" w:fill="FFFFFF"/>
        </w:rPr>
        <w:t xml:space="preserve">, </w:t>
      </w:r>
      <w:r w:rsidR="0023340F">
        <w:rPr>
          <w:color w:val="000000"/>
          <w:shd w:val="clear" w:color="auto" w:fill="FFFFFF"/>
        </w:rPr>
        <w:t>[pers. B]</w:t>
      </w:r>
      <w:r w:rsidR="00224707" w:rsidRPr="00224707">
        <w:rPr>
          <w:color w:val="000000"/>
          <w:shd w:val="clear" w:color="auto" w:fill="FFFFFF"/>
        </w:rPr>
        <w:t xml:space="preserve">, </w:t>
      </w:r>
      <w:r w:rsidR="0023340F">
        <w:rPr>
          <w:color w:val="000000"/>
          <w:shd w:val="clear" w:color="auto" w:fill="FFFFFF"/>
        </w:rPr>
        <w:t>[pers. C]</w:t>
      </w:r>
      <w:r w:rsidR="00224707" w:rsidRPr="00224707">
        <w:rPr>
          <w:color w:val="000000"/>
          <w:shd w:val="clear" w:color="auto" w:fill="FFFFFF"/>
        </w:rPr>
        <w:t xml:space="preserve">, </w:t>
      </w:r>
      <w:r w:rsidR="0023340F">
        <w:rPr>
          <w:color w:val="000000"/>
          <w:shd w:val="clear" w:color="auto" w:fill="FFFFFF"/>
        </w:rPr>
        <w:t xml:space="preserve">[pers. D] </w:t>
      </w:r>
      <w:r w:rsidR="00224707" w:rsidRPr="00224707">
        <w:rPr>
          <w:color w:val="000000"/>
          <w:shd w:val="clear" w:color="auto" w:fill="FFFFFF"/>
        </w:rPr>
        <w:t xml:space="preserve">un </w:t>
      </w:r>
      <w:r w:rsidR="0023340F">
        <w:rPr>
          <w:color w:val="000000"/>
          <w:shd w:val="clear" w:color="auto" w:fill="FFFFFF"/>
        </w:rPr>
        <w:t xml:space="preserve">[pers. E] </w:t>
      </w:r>
      <w:r w:rsidR="00E600C6">
        <w:rPr>
          <w:color w:val="000000"/>
          <w:shd w:val="clear" w:color="auto" w:fill="FFFFFF"/>
        </w:rPr>
        <w:t>pieteikumu par labvēlīga administratīvā akta izdošanu, ar kuru izmaksātu atlīdzību 142 290 </w:t>
      </w:r>
      <w:r w:rsidR="00E600C6">
        <w:rPr>
          <w:i/>
          <w:iCs/>
          <w:color w:val="000000"/>
          <w:shd w:val="clear" w:color="auto" w:fill="FFFFFF"/>
        </w:rPr>
        <w:t xml:space="preserve">euro </w:t>
      </w:r>
      <w:r w:rsidR="00E600C6">
        <w:rPr>
          <w:color w:val="000000"/>
          <w:shd w:val="clear" w:color="auto" w:fill="FFFFFF"/>
        </w:rPr>
        <w:t xml:space="preserve">no Ārstniecības riska fonda par </w:t>
      </w:r>
      <w:r w:rsidR="0023340F">
        <w:rPr>
          <w:color w:val="000000"/>
          <w:shd w:val="clear" w:color="auto" w:fill="FFFFFF"/>
        </w:rPr>
        <w:t xml:space="preserve">[pers. F] </w:t>
      </w:r>
      <w:r w:rsidR="00E600C6">
        <w:rPr>
          <w:color w:val="000000"/>
          <w:shd w:val="clear" w:color="auto" w:fill="FFFFFF"/>
        </w:rPr>
        <w:t>dzīvībai nodarīto kaitējumu</w:t>
      </w:r>
      <w:r w:rsidR="00224707" w:rsidRPr="00224707">
        <w:rPr>
          <w:color w:val="000000"/>
          <w:shd w:val="clear" w:color="auto" w:fill="FFFFFF"/>
        </w:rPr>
        <w:t>,</w:t>
      </w:r>
      <w:r w:rsidR="00E600C6">
        <w:rPr>
          <w:color w:val="000000"/>
          <w:shd w:val="clear" w:color="auto" w:fill="FFFFFF"/>
        </w:rPr>
        <w:t xml:space="preserve"> sakarā ar</w:t>
      </w:r>
      <w:r w:rsidR="0023340F">
        <w:rPr>
          <w:color w:val="000000"/>
          <w:shd w:val="clear" w:color="auto" w:fill="FFFFFF"/>
        </w:rPr>
        <w:t xml:space="preserve"> [pers. A]</w:t>
      </w:r>
      <w:r w:rsidR="00E600C6" w:rsidRPr="00224707">
        <w:rPr>
          <w:color w:val="000000"/>
          <w:shd w:val="clear" w:color="auto" w:fill="FFFFFF"/>
        </w:rPr>
        <w:t xml:space="preserve">, </w:t>
      </w:r>
      <w:r w:rsidR="0023340F">
        <w:rPr>
          <w:color w:val="000000"/>
          <w:shd w:val="clear" w:color="auto" w:fill="FFFFFF"/>
        </w:rPr>
        <w:t>[pers. B]</w:t>
      </w:r>
      <w:r w:rsidR="00E600C6" w:rsidRPr="00224707">
        <w:rPr>
          <w:color w:val="000000"/>
          <w:shd w:val="clear" w:color="auto" w:fill="FFFFFF"/>
        </w:rPr>
        <w:t xml:space="preserve">, </w:t>
      </w:r>
      <w:r w:rsidR="0023340F">
        <w:rPr>
          <w:color w:val="000000"/>
          <w:shd w:val="clear" w:color="auto" w:fill="FFFFFF"/>
        </w:rPr>
        <w:t>[pers. C]</w:t>
      </w:r>
      <w:r w:rsidR="00E600C6" w:rsidRPr="00224707">
        <w:rPr>
          <w:color w:val="000000"/>
          <w:shd w:val="clear" w:color="auto" w:fill="FFFFFF"/>
        </w:rPr>
        <w:t xml:space="preserve">, </w:t>
      </w:r>
      <w:r w:rsidR="0023340F">
        <w:rPr>
          <w:color w:val="000000"/>
          <w:shd w:val="clear" w:color="auto" w:fill="FFFFFF"/>
        </w:rPr>
        <w:t xml:space="preserve">[pers. D] </w:t>
      </w:r>
      <w:r w:rsidR="00E600C6" w:rsidRPr="00224707">
        <w:rPr>
          <w:color w:val="000000"/>
          <w:shd w:val="clear" w:color="auto" w:fill="FFFFFF"/>
        </w:rPr>
        <w:t>un</w:t>
      </w:r>
      <w:r w:rsidR="0023340F">
        <w:rPr>
          <w:color w:val="000000"/>
          <w:shd w:val="clear" w:color="auto" w:fill="FFFFFF"/>
        </w:rPr>
        <w:t xml:space="preserve"> [pers. E]</w:t>
      </w:r>
      <w:r w:rsidR="00E600C6">
        <w:rPr>
          <w:color w:val="000000"/>
          <w:shd w:val="clear" w:color="auto" w:fill="FFFFFF"/>
        </w:rPr>
        <w:t xml:space="preserve">, </w:t>
      </w:r>
      <w:r w:rsidR="00224707" w:rsidRPr="00224707">
        <w:rPr>
          <w:color w:val="000000"/>
          <w:shd w:val="clear" w:color="auto" w:fill="FFFFFF"/>
        </w:rPr>
        <w:t>kā</w:t>
      </w:r>
      <w:r w:rsidR="00224707">
        <w:rPr>
          <w:color w:val="000000"/>
          <w:shd w:val="clear" w:color="auto" w:fill="FFFFFF"/>
        </w:rPr>
        <w:t xml:space="preserve"> </w:t>
      </w:r>
      <w:r w:rsidR="00224707" w:rsidRPr="00224707">
        <w:rPr>
          <w:color w:val="000000"/>
          <w:shd w:val="clear" w:color="auto" w:fill="FFFFFF"/>
        </w:rPr>
        <w:t>arī Veselības inspekcijas kasācijas sūdzībām par Administratīvās apgabaltiesas</w:t>
      </w:r>
      <w:r w:rsidR="00224707">
        <w:rPr>
          <w:color w:val="000000"/>
          <w:shd w:val="clear" w:color="auto" w:fill="FFFFFF"/>
        </w:rPr>
        <w:t xml:space="preserve"> </w:t>
      </w:r>
      <w:r w:rsidR="00224707" w:rsidRPr="00224707">
        <w:rPr>
          <w:color w:val="000000"/>
          <w:shd w:val="clear" w:color="auto" w:fill="FFFFFF"/>
        </w:rPr>
        <w:t>2024.gada 7.novembra spriedumu</w:t>
      </w:r>
      <w:r w:rsidR="00C4189B">
        <w:rPr>
          <w:color w:val="000000"/>
          <w:shd w:val="clear" w:color="auto" w:fill="FFFFFF"/>
        </w:rPr>
        <w:t>.</w:t>
      </w:r>
    </w:p>
    <w:p w14:paraId="1CF117CB" w14:textId="77777777" w:rsidR="00522062" w:rsidRDefault="00522062" w:rsidP="00A10C51">
      <w:pPr>
        <w:autoSpaceDE w:val="0"/>
        <w:autoSpaceDN w:val="0"/>
        <w:adjustRightInd w:val="0"/>
        <w:spacing w:line="276" w:lineRule="auto"/>
        <w:ind w:firstLine="720"/>
        <w:jc w:val="both"/>
      </w:pPr>
    </w:p>
    <w:p w14:paraId="682A7F64" w14:textId="77777777" w:rsidR="00522062" w:rsidRDefault="00522062" w:rsidP="00A10C51">
      <w:pPr>
        <w:spacing w:line="276" w:lineRule="auto"/>
        <w:jc w:val="center"/>
        <w:rPr>
          <w:b/>
        </w:rPr>
      </w:pPr>
      <w:r w:rsidRPr="0083065B">
        <w:rPr>
          <w:b/>
        </w:rPr>
        <w:t>Aprakstošā daļa</w:t>
      </w:r>
    </w:p>
    <w:p w14:paraId="23FF7A2B" w14:textId="77777777" w:rsidR="0059737A" w:rsidRDefault="0059737A" w:rsidP="00A10C51">
      <w:pPr>
        <w:spacing w:line="276" w:lineRule="auto"/>
        <w:jc w:val="center"/>
        <w:rPr>
          <w:b/>
        </w:rPr>
      </w:pPr>
    </w:p>
    <w:p w14:paraId="41914CC7" w14:textId="2A9D4B92" w:rsidR="00E9159C" w:rsidRPr="00E9159C" w:rsidRDefault="00E9159C" w:rsidP="00A10C51">
      <w:pPr>
        <w:spacing w:line="276" w:lineRule="auto"/>
        <w:ind w:firstLine="720"/>
        <w:jc w:val="both"/>
        <w:rPr>
          <w:i/>
          <w:iCs/>
        </w:rPr>
      </w:pPr>
      <w:r w:rsidRPr="00C2686E">
        <w:rPr>
          <w:i/>
          <w:iCs/>
        </w:rPr>
        <w:t>Lietas apstākļi</w:t>
      </w:r>
    </w:p>
    <w:p w14:paraId="50370C8A" w14:textId="024CAB3E" w:rsidR="00685D45" w:rsidRDefault="0059737A" w:rsidP="00A10C51">
      <w:pPr>
        <w:autoSpaceDE w:val="0"/>
        <w:autoSpaceDN w:val="0"/>
        <w:adjustRightInd w:val="0"/>
        <w:spacing w:line="276" w:lineRule="auto"/>
        <w:ind w:firstLine="720"/>
        <w:jc w:val="both"/>
        <w:rPr>
          <w:rFonts w:asciiTheme="majorBidi" w:hAnsiTheme="majorBidi" w:cstheme="majorBidi"/>
        </w:rPr>
      </w:pPr>
      <w:r>
        <w:rPr>
          <w:bCs/>
        </w:rPr>
        <w:t>[1]</w:t>
      </w:r>
      <w:r w:rsidR="001B1153">
        <w:rPr>
          <w:bCs/>
        </w:rPr>
        <w:t> </w:t>
      </w:r>
      <w:r w:rsidR="0023340F">
        <w:rPr>
          <w:color w:val="000000"/>
          <w:shd w:val="clear" w:color="auto" w:fill="FFFFFF"/>
        </w:rPr>
        <w:t>[pers. F]</w:t>
      </w:r>
      <w:r w:rsidR="00685D45" w:rsidRPr="00685D45">
        <w:rPr>
          <w:rFonts w:asciiTheme="majorBidi" w:hAnsiTheme="majorBidi" w:cstheme="majorBidi"/>
        </w:rPr>
        <w:t xml:space="preserve"> 2020.gada 7.martā sajuta spēcīgas, izstarojošas sāpes krusta kaula rajonā un izsauca Neatliekamās medicīniskās palīdzības dienestu, kas viņu nogādāja SIA</w:t>
      </w:r>
      <w:r w:rsidR="006C58E8">
        <w:rPr>
          <w:rFonts w:asciiTheme="majorBidi" w:hAnsiTheme="majorBidi" w:cstheme="majorBidi"/>
        </w:rPr>
        <w:t> </w:t>
      </w:r>
      <w:r w:rsidR="00FD4D4B">
        <w:rPr>
          <w:rFonts w:asciiTheme="majorBidi" w:hAnsiTheme="majorBidi" w:cstheme="majorBidi"/>
        </w:rPr>
        <w:t>„</w:t>
      </w:r>
      <w:r w:rsidR="0023340F">
        <w:rPr>
          <w:rFonts w:asciiTheme="majorBidi" w:hAnsiTheme="majorBidi" w:cstheme="majorBidi"/>
        </w:rPr>
        <w:t>[Slimnīcas nosaukums]</w:t>
      </w:r>
      <w:r w:rsidR="00685D45" w:rsidRPr="00685D45">
        <w:rPr>
          <w:rFonts w:asciiTheme="majorBidi" w:hAnsiTheme="majorBidi" w:cstheme="majorBidi"/>
        </w:rPr>
        <w:t>”</w:t>
      </w:r>
      <w:r w:rsidR="00355170">
        <w:rPr>
          <w:rFonts w:asciiTheme="majorBidi" w:hAnsiTheme="majorBidi" w:cstheme="majorBidi"/>
        </w:rPr>
        <w:t xml:space="preserve"> slimnīcā</w:t>
      </w:r>
      <w:r w:rsidR="00685D45" w:rsidRPr="00685D45">
        <w:rPr>
          <w:rFonts w:asciiTheme="majorBidi" w:hAnsiTheme="majorBidi" w:cstheme="majorBidi"/>
        </w:rPr>
        <w:t xml:space="preserve">, kur veikta viņas veselības stāvokļa pārbaude un ārstniecība. Paciente </w:t>
      </w:r>
      <w:r w:rsidR="00685D45">
        <w:rPr>
          <w:rFonts w:asciiTheme="majorBidi" w:hAnsiTheme="majorBidi" w:cstheme="majorBidi"/>
        </w:rPr>
        <w:t>turpmākajās dienās</w:t>
      </w:r>
      <w:r w:rsidR="00685D45" w:rsidRPr="00685D45">
        <w:rPr>
          <w:rFonts w:asciiTheme="majorBidi" w:hAnsiTheme="majorBidi" w:cstheme="majorBidi"/>
        </w:rPr>
        <w:t xml:space="preserve"> sūdz</w:t>
      </w:r>
      <w:r w:rsidR="00685D45">
        <w:rPr>
          <w:rFonts w:asciiTheme="majorBidi" w:hAnsiTheme="majorBidi" w:cstheme="majorBidi"/>
        </w:rPr>
        <w:t>ējās</w:t>
      </w:r>
      <w:r w:rsidR="00685D45" w:rsidRPr="00685D45">
        <w:rPr>
          <w:rFonts w:asciiTheme="majorBidi" w:hAnsiTheme="majorBidi" w:cstheme="majorBidi"/>
        </w:rPr>
        <w:t xml:space="preserve"> par veselības stāvokli, tostarp sāp</w:t>
      </w:r>
      <w:r w:rsidR="00685D45">
        <w:rPr>
          <w:rFonts w:asciiTheme="majorBidi" w:hAnsiTheme="majorBidi" w:cstheme="majorBidi"/>
        </w:rPr>
        <w:t>ēm</w:t>
      </w:r>
      <w:r w:rsidR="00685D45" w:rsidRPr="00685D45">
        <w:rPr>
          <w:rFonts w:asciiTheme="majorBidi" w:hAnsiTheme="majorBidi" w:cstheme="majorBidi"/>
        </w:rPr>
        <w:t xml:space="preserve"> sirds apvidū, elpas trūkum</w:t>
      </w:r>
      <w:r w:rsidR="00685D45">
        <w:rPr>
          <w:rFonts w:asciiTheme="majorBidi" w:hAnsiTheme="majorBidi" w:cstheme="majorBidi"/>
        </w:rPr>
        <w:t>u</w:t>
      </w:r>
      <w:r w:rsidR="00685D45" w:rsidRPr="00685D45">
        <w:rPr>
          <w:rFonts w:asciiTheme="majorBidi" w:hAnsiTheme="majorBidi" w:cstheme="majorBidi"/>
        </w:rPr>
        <w:t>, aizdus</w:t>
      </w:r>
      <w:r w:rsidR="00685D45">
        <w:rPr>
          <w:rFonts w:asciiTheme="majorBidi" w:hAnsiTheme="majorBidi" w:cstheme="majorBidi"/>
        </w:rPr>
        <w:t>u</w:t>
      </w:r>
      <w:r w:rsidR="00685D45" w:rsidRPr="00685D45">
        <w:rPr>
          <w:rFonts w:asciiTheme="majorBidi" w:hAnsiTheme="majorBidi" w:cstheme="majorBidi"/>
        </w:rPr>
        <w:t>, drebuļi</w:t>
      </w:r>
      <w:r w:rsidR="00685D45">
        <w:rPr>
          <w:rFonts w:asciiTheme="majorBidi" w:hAnsiTheme="majorBidi" w:cstheme="majorBidi"/>
        </w:rPr>
        <w:t>em</w:t>
      </w:r>
      <w:r w:rsidR="00685D45" w:rsidRPr="00685D45">
        <w:rPr>
          <w:rFonts w:asciiTheme="majorBidi" w:hAnsiTheme="majorBidi" w:cstheme="majorBidi"/>
        </w:rPr>
        <w:t>, sāp</w:t>
      </w:r>
      <w:r w:rsidR="00685D45">
        <w:rPr>
          <w:rFonts w:asciiTheme="majorBidi" w:hAnsiTheme="majorBidi" w:cstheme="majorBidi"/>
        </w:rPr>
        <w:t>ēm</w:t>
      </w:r>
      <w:r w:rsidR="00685D45" w:rsidRPr="00685D45">
        <w:rPr>
          <w:rFonts w:asciiTheme="majorBidi" w:hAnsiTheme="majorBidi" w:cstheme="majorBidi"/>
        </w:rPr>
        <w:t xml:space="preserve"> vēdera lejasdaļā, klepu. 2020.gada 20.martā slimnīcā konstatēta pacientes bioloģiskā nāve. Pacientei 2020.gada 23.martā veikta pēcnāves patologanatomiskā izmeklēšana, kurai viņas piederīgie (mantinieki) nebija devuši atļauju (viņiem par tās veikšanu netika iepriekš paziņots). </w:t>
      </w:r>
      <w:r w:rsidR="0023250C">
        <w:rPr>
          <w:rFonts w:asciiTheme="majorBidi" w:hAnsiTheme="majorBidi" w:cstheme="majorBidi"/>
        </w:rPr>
        <w:t>Izmeklēšanā</w:t>
      </w:r>
      <w:r w:rsidR="00160784">
        <w:rPr>
          <w:rFonts w:asciiTheme="majorBidi" w:hAnsiTheme="majorBidi" w:cstheme="majorBidi"/>
        </w:rPr>
        <w:t xml:space="preserve"> konstatēts, ka</w:t>
      </w:r>
      <w:r w:rsidR="0023250C">
        <w:rPr>
          <w:rFonts w:asciiTheme="majorBidi" w:hAnsiTheme="majorBidi" w:cstheme="majorBidi"/>
        </w:rPr>
        <w:t xml:space="preserve"> pacientes nāves cēlonis ir abpusēja plaušu artēriju trombembolija</w:t>
      </w:r>
      <w:r w:rsidR="00A206DB">
        <w:rPr>
          <w:rFonts w:asciiTheme="majorBidi" w:hAnsiTheme="majorBidi" w:cstheme="majorBidi"/>
        </w:rPr>
        <w:t xml:space="preserve"> (turpmāk – PATE)</w:t>
      </w:r>
      <w:r w:rsidR="0023250C">
        <w:rPr>
          <w:rFonts w:asciiTheme="majorBidi" w:hAnsiTheme="majorBidi" w:cstheme="majorBidi"/>
        </w:rPr>
        <w:t>, abu apakšstilbu dziļo vēnu tromboze</w:t>
      </w:r>
      <w:r w:rsidR="00A206DB">
        <w:rPr>
          <w:rFonts w:asciiTheme="majorBidi" w:hAnsiTheme="majorBidi" w:cstheme="majorBidi"/>
        </w:rPr>
        <w:t xml:space="preserve"> (turpmāk</w:t>
      </w:r>
      <w:r w:rsidR="0090233E">
        <w:rPr>
          <w:rFonts w:asciiTheme="majorBidi" w:hAnsiTheme="majorBidi" w:cstheme="majorBidi"/>
        </w:rPr>
        <w:t> </w:t>
      </w:r>
      <w:r w:rsidR="00A206DB">
        <w:rPr>
          <w:rFonts w:asciiTheme="majorBidi" w:hAnsiTheme="majorBidi" w:cstheme="majorBidi"/>
        </w:rPr>
        <w:t>–</w:t>
      </w:r>
      <w:r w:rsidR="0090233E">
        <w:rPr>
          <w:rFonts w:asciiTheme="majorBidi" w:hAnsiTheme="majorBidi" w:cstheme="majorBidi"/>
        </w:rPr>
        <w:t> </w:t>
      </w:r>
      <w:r w:rsidR="00A206DB">
        <w:rPr>
          <w:rFonts w:asciiTheme="majorBidi" w:hAnsiTheme="majorBidi" w:cstheme="majorBidi"/>
        </w:rPr>
        <w:t>DVT)</w:t>
      </w:r>
      <w:r w:rsidR="0023250C">
        <w:rPr>
          <w:rFonts w:asciiTheme="majorBidi" w:hAnsiTheme="majorBidi" w:cstheme="majorBidi"/>
        </w:rPr>
        <w:t>.</w:t>
      </w:r>
    </w:p>
    <w:p w14:paraId="27257200" w14:textId="77777777" w:rsidR="005B214A" w:rsidRDefault="005B214A" w:rsidP="00A10C51">
      <w:pPr>
        <w:autoSpaceDE w:val="0"/>
        <w:autoSpaceDN w:val="0"/>
        <w:adjustRightInd w:val="0"/>
        <w:spacing w:line="276" w:lineRule="auto"/>
        <w:ind w:firstLine="720"/>
        <w:jc w:val="both"/>
        <w:rPr>
          <w:bCs/>
        </w:rPr>
      </w:pPr>
    </w:p>
    <w:p w14:paraId="077E178E" w14:textId="37FACCC0" w:rsidR="0059737A" w:rsidRPr="00685D45" w:rsidRDefault="005B214A" w:rsidP="00A10C51">
      <w:pPr>
        <w:autoSpaceDE w:val="0"/>
        <w:autoSpaceDN w:val="0"/>
        <w:adjustRightInd w:val="0"/>
        <w:spacing w:line="276" w:lineRule="auto"/>
        <w:ind w:firstLine="720"/>
        <w:jc w:val="both"/>
        <w:rPr>
          <w:rFonts w:asciiTheme="majorBidi" w:hAnsiTheme="majorBidi" w:cstheme="majorBidi"/>
        </w:rPr>
      </w:pPr>
      <w:r>
        <w:rPr>
          <w:bCs/>
        </w:rPr>
        <w:t>[2] </w:t>
      </w:r>
      <w:r w:rsidR="00685D45" w:rsidRPr="00685D45">
        <w:rPr>
          <w:bCs/>
        </w:rPr>
        <w:t>Veselības ministrija</w:t>
      </w:r>
      <w:r w:rsidR="00685D45">
        <w:rPr>
          <w:bCs/>
        </w:rPr>
        <w:t xml:space="preserve"> ar</w:t>
      </w:r>
      <w:r w:rsidR="00685D45" w:rsidRPr="00685D45">
        <w:rPr>
          <w:bCs/>
        </w:rPr>
        <w:t xml:space="preserve"> 2022.gada 25.maija lēmumu Nr.</w:t>
      </w:r>
      <w:r w:rsidR="00685D45">
        <w:rPr>
          <w:bCs/>
        </w:rPr>
        <w:t> </w:t>
      </w:r>
      <w:r w:rsidR="00685D45" w:rsidRPr="00685D45">
        <w:rPr>
          <w:bCs/>
        </w:rPr>
        <w:t>01-23.3/2594 atstā</w:t>
      </w:r>
      <w:r w:rsidR="00685D45">
        <w:rPr>
          <w:bCs/>
        </w:rPr>
        <w:t>ja</w:t>
      </w:r>
      <w:r w:rsidR="00685D45" w:rsidRPr="00685D45">
        <w:rPr>
          <w:bCs/>
        </w:rPr>
        <w:t xml:space="preserve"> negrozīt</w:t>
      </w:r>
      <w:r w:rsidR="00685D45">
        <w:rPr>
          <w:bCs/>
        </w:rPr>
        <w:t>u</w:t>
      </w:r>
      <w:r w:rsidR="00685D45" w:rsidRPr="00685D45">
        <w:rPr>
          <w:bCs/>
        </w:rPr>
        <w:t xml:space="preserve"> Veselības inspekcijas 2021.gada 22.decembra lēmum</w:t>
      </w:r>
      <w:r w:rsidR="00685D45">
        <w:rPr>
          <w:bCs/>
        </w:rPr>
        <w:t>u</w:t>
      </w:r>
      <w:r w:rsidR="00685D45" w:rsidRPr="00685D45">
        <w:rPr>
          <w:bCs/>
        </w:rPr>
        <w:t xml:space="preserve"> Nr.</w:t>
      </w:r>
      <w:r w:rsidR="00685D45">
        <w:rPr>
          <w:bCs/>
        </w:rPr>
        <w:t> </w:t>
      </w:r>
      <w:r w:rsidR="00685D45" w:rsidRPr="00685D45">
        <w:rPr>
          <w:bCs/>
        </w:rPr>
        <w:t>2.1.1.-1./655, ar kuru atteikts izmaksāt pacientes mantiniekiem, pieteicējiem –</w:t>
      </w:r>
      <w:r w:rsidR="0023340F">
        <w:rPr>
          <w:bCs/>
        </w:rPr>
        <w:t xml:space="preserve"> </w:t>
      </w:r>
      <w:r w:rsidR="0023340F">
        <w:rPr>
          <w:color w:val="000000"/>
          <w:shd w:val="clear" w:color="auto" w:fill="FFFFFF"/>
        </w:rPr>
        <w:t>[pers. A]</w:t>
      </w:r>
      <w:r w:rsidR="00685D45" w:rsidRPr="00685D45">
        <w:rPr>
          <w:bCs/>
        </w:rPr>
        <w:t xml:space="preserve">, </w:t>
      </w:r>
      <w:r w:rsidR="0023340F">
        <w:rPr>
          <w:color w:val="000000"/>
          <w:shd w:val="clear" w:color="auto" w:fill="FFFFFF"/>
        </w:rPr>
        <w:t>[pers. B]</w:t>
      </w:r>
      <w:r w:rsidR="00685D45" w:rsidRPr="00685D45">
        <w:rPr>
          <w:bCs/>
        </w:rPr>
        <w:t xml:space="preserve">, </w:t>
      </w:r>
      <w:r w:rsidR="0023340F">
        <w:rPr>
          <w:color w:val="000000"/>
          <w:shd w:val="clear" w:color="auto" w:fill="FFFFFF"/>
        </w:rPr>
        <w:t xml:space="preserve">[pers. </w:t>
      </w:r>
      <w:r w:rsidR="0023340F">
        <w:rPr>
          <w:color w:val="000000"/>
          <w:shd w:val="clear" w:color="auto" w:fill="FFFFFF"/>
        </w:rPr>
        <w:lastRenderedPageBreak/>
        <w:t>C]</w:t>
      </w:r>
      <w:r w:rsidR="00685D45" w:rsidRPr="00685D45">
        <w:rPr>
          <w:bCs/>
        </w:rPr>
        <w:t xml:space="preserve">, </w:t>
      </w:r>
      <w:r w:rsidR="0023340F">
        <w:rPr>
          <w:color w:val="000000"/>
          <w:shd w:val="clear" w:color="auto" w:fill="FFFFFF"/>
        </w:rPr>
        <w:t xml:space="preserve">[pers. D] </w:t>
      </w:r>
      <w:r w:rsidR="00685D45" w:rsidRPr="00685D45">
        <w:rPr>
          <w:bCs/>
        </w:rPr>
        <w:t>un</w:t>
      </w:r>
      <w:r w:rsidR="0023340F">
        <w:rPr>
          <w:bCs/>
        </w:rPr>
        <w:t xml:space="preserve"> </w:t>
      </w:r>
      <w:r w:rsidR="0023340F">
        <w:rPr>
          <w:color w:val="000000"/>
          <w:shd w:val="clear" w:color="auto" w:fill="FFFFFF"/>
        </w:rPr>
        <w:t xml:space="preserve">[pers. E] </w:t>
      </w:r>
      <w:r w:rsidR="00685D45" w:rsidRPr="00685D45">
        <w:rPr>
          <w:bCs/>
        </w:rPr>
        <w:t xml:space="preserve">– atlīdzību no Ārstniecības riska fonda par </w:t>
      </w:r>
      <w:r w:rsidR="0023340F">
        <w:rPr>
          <w:color w:val="000000"/>
          <w:shd w:val="clear" w:color="auto" w:fill="FFFFFF"/>
        </w:rPr>
        <w:t xml:space="preserve">[pers. F] </w:t>
      </w:r>
      <w:r w:rsidR="00685D45" w:rsidRPr="00685D45">
        <w:rPr>
          <w:bCs/>
        </w:rPr>
        <w:t xml:space="preserve">dzīvībai nodarīto kaitējumu </w:t>
      </w:r>
      <w:r w:rsidR="00685D45" w:rsidRPr="00C3539C">
        <w:rPr>
          <w:bCs/>
        </w:rPr>
        <w:t>(arī morālo kaitējumu),</w:t>
      </w:r>
      <w:r w:rsidR="00685D45">
        <w:rPr>
          <w:bCs/>
        </w:rPr>
        <w:t xml:space="preserve"> tostarp atlīdzību par pacientes pēcnāves izmeklēšanu, jo nav konstatējama kaitējuma es</w:t>
      </w:r>
      <w:r w:rsidR="006C58E8">
        <w:rPr>
          <w:bCs/>
        </w:rPr>
        <w:t>ība</w:t>
      </w:r>
      <w:r w:rsidR="00685D45" w:rsidRPr="00685D45">
        <w:rPr>
          <w:bCs/>
        </w:rPr>
        <w:t>.</w:t>
      </w:r>
    </w:p>
    <w:p w14:paraId="51038A86" w14:textId="131EFF3B" w:rsidR="00685D45" w:rsidRPr="002355CB" w:rsidRDefault="00685D45" w:rsidP="00A10C51">
      <w:pPr>
        <w:autoSpaceDE w:val="0"/>
        <w:autoSpaceDN w:val="0"/>
        <w:adjustRightInd w:val="0"/>
        <w:spacing w:line="276" w:lineRule="auto"/>
        <w:jc w:val="both"/>
        <w:rPr>
          <w:rFonts w:asciiTheme="majorBidi" w:hAnsiTheme="majorBidi" w:cstheme="majorBidi"/>
        </w:rPr>
      </w:pPr>
    </w:p>
    <w:p w14:paraId="6F047798" w14:textId="41A1D00E" w:rsidR="003A375E" w:rsidRDefault="00522062" w:rsidP="00A10C51">
      <w:pPr>
        <w:autoSpaceDE w:val="0"/>
        <w:autoSpaceDN w:val="0"/>
        <w:adjustRightInd w:val="0"/>
        <w:spacing w:line="276" w:lineRule="auto"/>
        <w:ind w:firstLine="720"/>
        <w:jc w:val="both"/>
        <w:rPr>
          <w:rFonts w:asciiTheme="majorBidi" w:hAnsiTheme="majorBidi" w:cstheme="majorBidi"/>
        </w:rPr>
      </w:pPr>
      <w:r w:rsidRPr="005B214A">
        <w:rPr>
          <w:rFonts w:asciiTheme="majorBidi" w:hAnsiTheme="majorBidi" w:cstheme="majorBidi"/>
        </w:rPr>
        <w:t>[</w:t>
      </w:r>
      <w:r w:rsidR="005B214A" w:rsidRPr="005B214A">
        <w:rPr>
          <w:rFonts w:asciiTheme="majorBidi" w:hAnsiTheme="majorBidi" w:cstheme="majorBidi"/>
        </w:rPr>
        <w:t>3</w:t>
      </w:r>
      <w:r w:rsidRPr="005B214A">
        <w:rPr>
          <w:rFonts w:asciiTheme="majorBidi" w:hAnsiTheme="majorBidi" w:cstheme="majorBidi"/>
        </w:rPr>
        <w:t>]</w:t>
      </w:r>
      <w:r w:rsidR="001B1153">
        <w:rPr>
          <w:rFonts w:asciiTheme="majorBidi" w:hAnsiTheme="majorBidi" w:cstheme="majorBidi"/>
        </w:rPr>
        <w:t> </w:t>
      </w:r>
      <w:r w:rsidR="00B934C1">
        <w:rPr>
          <w:rFonts w:asciiTheme="majorBidi" w:hAnsiTheme="majorBidi" w:cstheme="majorBidi"/>
        </w:rPr>
        <w:t>Nepiekrītot Veselības ministrijas lēmumam,</w:t>
      </w:r>
      <w:r w:rsidR="00414086">
        <w:rPr>
          <w:rFonts w:asciiTheme="majorBidi" w:hAnsiTheme="majorBidi" w:cstheme="majorBidi"/>
        </w:rPr>
        <w:t xml:space="preserve"> </w:t>
      </w:r>
      <w:r w:rsidR="00B934C1">
        <w:rPr>
          <w:rFonts w:asciiTheme="majorBidi" w:hAnsiTheme="majorBidi" w:cstheme="majorBidi"/>
        </w:rPr>
        <w:t xml:space="preserve">pieteicēji to pārsūdzēja </w:t>
      </w:r>
      <w:r w:rsidR="00A5676B">
        <w:rPr>
          <w:rFonts w:asciiTheme="majorBidi" w:hAnsiTheme="majorBidi" w:cstheme="majorBidi"/>
        </w:rPr>
        <w:t>A</w:t>
      </w:r>
      <w:r w:rsidR="00B934C1">
        <w:rPr>
          <w:rFonts w:asciiTheme="majorBidi" w:hAnsiTheme="majorBidi" w:cstheme="majorBidi"/>
        </w:rPr>
        <w:t>dministratīvajā rajona tiesā</w:t>
      </w:r>
      <w:r w:rsidR="0021106D">
        <w:rPr>
          <w:rFonts w:asciiTheme="majorBidi" w:hAnsiTheme="majorBidi" w:cstheme="majorBidi"/>
        </w:rPr>
        <w:t>.</w:t>
      </w:r>
      <w:r w:rsidR="00A5676B">
        <w:rPr>
          <w:rFonts w:asciiTheme="majorBidi" w:hAnsiTheme="majorBidi" w:cstheme="majorBidi"/>
        </w:rPr>
        <w:t xml:space="preserve"> </w:t>
      </w:r>
      <w:r w:rsidR="0021106D">
        <w:rPr>
          <w:rFonts w:asciiTheme="majorBidi" w:hAnsiTheme="majorBidi" w:cstheme="majorBidi"/>
        </w:rPr>
        <w:t>T</w:t>
      </w:r>
      <w:r w:rsidR="00280BF4">
        <w:rPr>
          <w:rFonts w:asciiTheme="majorBidi" w:hAnsiTheme="majorBidi" w:cstheme="majorBidi"/>
        </w:rPr>
        <w:t>iesvedības laikā nozīmēt</w:t>
      </w:r>
      <w:r w:rsidR="0090233E">
        <w:rPr>
          <w:rFonts w:asciiTheme="majorBidi" w:hAnsiTheme="majorBidi" w:cstheme="majorBidi"/>
        </w:rPr>
        <w:t>ajā</w:t>
      </w:r>
      <w:r w:rsidR="00280BF4">
        <w:rPr>
          <w:rFonts w:asciiTheme="majorBidi" w:hAnsiTheme="majorBidi" w:cstheme="majorBidi"/>
        </w:rPr>
        <w:t xml:space="preserve"> tiesu medicīnisk</w:t>
      </w:r>
      <w:r w:rsidR="0090233E">
        <w:rPr>
          <w:rFonts w:asciiTheme="majorBidi" w:hAnsiTheme="majorBidi" w:cstheme="majorBidi"/>
        </w:rPr>
        <w:t xml:space="preserve">ajā </w:t>
      </w:r>
      <w:r w:rsidR="00280BF4">
        <w:rPr>
          <w:rFonts w:asciiTheme="majorBidi" w:hAnsiTheme="majorBidi" w:cstheme="majorBidi"/>
        </w:rPr>
        <w:t>ekspertīz</w:t>
      </w:r>
      <w:r w:rsidR="0090233E">
        <w:rPr>
          <w:rFonts w:asciiTheme="majorBidi" w:hAnsiTheme="majorBidi" w:cstheme="majorBidi"/>
        </w:rPr>
        <w:t>ē</w:t>
      </w:r>
      <w:r w:rsidR="00280BF4">
        <w:rPr>
          <w:rFonts w:asciiTheme="majorBidi" w:hAnsiTheme="majorBidi" w:cstheme="majorBidi"/>
        </w:rPr>
        <w:t xml:space="preserve"> secinā</w:t>
      </w:r>
      <w:r w:rsidR="0090233E">
        <w:rPr>
          <w:rFonts w:asciiTheme="majorBidi" w:hAnsiTheme="majorBidi" w:cstheme="majorBidi"/>
        </w:rPr>
        <w:t>ts</w:t>
      </w:r>
      <w:r w:rsidR="0021106D">
        <w:rPr>
          <w:rFonts w:asciiTheme="majorBidi" w:hAnsiTheme="majorBidi" w:cstheme="majorBidi"/>
        </w:rPr>
        <w:t>,</w:t>
      </w:r>
      <w:r w:rsidR="007C767D">
        <w:rPr>
          <w:rFonts w:asciiTheme="majorBidi" w:hAnsiTheme="majorBidi" w:cstheme="majorBidi"/>
        </w:rPr>
        <w:t xml:space="preserve"> ka</w:t>
      </w:r>
      <w:r w:rsidR="000B3230">
        <w:rPr>
          <w:rFonts w:asciiTheme="majorBidi" w:hAnsiTheme="majorBidi" w:cstheme="majorBidi"/>
        </w:rPr>
        <w:t xml:space="preserve"> </w:t>
      </w:r>
      <w:r w:rsidR="00364E48">
        <w:rPr>
          <w:rFonts w:asciiTheme="majorBidi" w:hAnsiTheme="majorBidi" w:cstheme="majorBidi"/>
        </w:rPr>
        <w:t xml:space="preserve">D-dimēru paaugstinātais līmenis asinīs bija pamats ārstniecības personām veikt D-dimēru izvērtējumu dinamikā, kas netika darīts un līdz ar to netika </w:t>
      </w:r>
      <w:r w:rsidR="00CC5ABB">
        <w:rPr>
          <w:rFonts w:asciiTheme="majorBidi" w:hAnsiTheme="majorBidi" w:cstheme="majorBidi"/>
        </w:rPr>
        <w:t xml:space="preserve">izmantots </w:t>
      </w:r>
      <w:r w:rsidR="00EF0B67">
        <w:rPr>
          <w:rFonts w:asciiTheme="majorBidi" w:hAnsiTheme="majorBidi" w:cstheme="majorBidi"/>
        </w:rPr>
        <w:t>DVT</w:t>
      </w:r>
      <w:r w:rsidR="00CC5ABB">
        <w:rPr>
          <w:rFonts w:asciiTheme="majorBidi" w:hAnsiTheme="majorBidi" w:cstheme="majorBidi"/>
        </w:rPr>
        <w:t xml:space="preserve"> noteikšanas algoritms</w:t>
      </w:r>
      <w:r w:rsidR="00397D7E">
        <w:rPr>
          <w:rFonts w:asciiTheme="majorBidi" w:hAnsiTheme="majorBidi" w:cstheme="majorBidi"/>
        </w:rPr>
        <w:t>. I</w:t>
      </w:r>
      <w:r w:rsidR="0021106D">
        <w:rPr>
          <w:rFonts w:asciiTheme="majorBidi" w:hAnsiTheme="majorBidi" w:cstheme="majorBidi"/>
        </w:rPr>
        <w:t xml:space="preserve">evērojot izmeklējumu rezultātus un pacientes sūdzības, </w:t>
      </w:r>
      <w:r w:rsidR="003A375E">
        <w:rPr>
          <w:rFonts w:asciiTheme="majorBidi" w:hAnsiTheme="majorBidi" w:cstheme="majorBidi"/>
        </w:rPr>
        <w:t>ārstniecības personām bija jāredz</w:t>
      </w:r>
      <w:r w:rsidR="00515A11">
        <w:rPr>
          <w:rFonts w:asciiTheme="majorBidi" w:hAnsiTheme="majorBidi" w:cstheme="majorBidi"/>
        </w:rPr>
        <w:t xml:space="preserve"> </w:t>
      </w:r>
      <w:r w:rsidR="003A375E">
        <w:rPr>
          <w:rFonts w:asciiTheme="majorBidi" w:hAnsiTheme="majorBidi" w:cstheme="majorBidi"/>
        </w:rPr>
        <w:t>kopsakars starp simptomiem un izmeklējumu rezultātiem un jādomā par PATE attīstības iespējamību.</w:t>
      </w:r>
    </w:p>
    <w:p w14:paraId="595E915C" w14:textId="2DA3C19B" w:rsidR="005B214A" w:rsidRDefault="003A375E" w:rsidP="00A10C5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Rajona tiesa</w:t>
      </w:r>
      <w:r w:rsidR="00A5676B">
        <w:rPr>
          <w:rFonts w:asciiTheme="majorBidi" w:hAnsiTheme="majorBidi" w:cstheme="majorBidi"/>
        </w:rPr>
        <w:t xml:space="preserve"> ar 2023.gada 24.oktobra spriedumu pieteikumu apmierināja daļā par 78 259,50</w:t>
      </w:r>
      <w:r w:rsidR="00C56DA5">
        <w:rPr>
          <w:rFonts w:asciiTheme="majorBidi" w:hAnsiTheme="majorBidi" w:cstheme="majorBidi"/>
        </w:rPr>
        <w:t> </w:t>
      </w:r>
      <w:r w:rsidR="00A5676B">
        <w:rPr>
          <w:rFonts w:asciiTheme="majorBidi" w:hAnsiTheme="majorBidi" w:cstheme="majorBidi"/>
          <w:i/>
          <w:iCs/>
        </w:rPr>
        <w:t>euro</w:t>
      </w:r>
      <w:r w:rsidR="00A5676B">
        <w:rPr>
          <w:rFonts w:asciiTheme="majorBidi" w:hAnsiTheme="majorBidi" w:cstheme="majorBidi"/>
        </w:rPr>
        <w:t xml:space="preserve"> atlīdzīb</w:t>
      </w:r>
      <w:r w:rsidR="00280BF4">
        <w:rPr>
          <w:rFonts w:asciiTheme="majorBidi" w:hAnsiTheme="majorBidi" w:cstheme="majorBidi"/>
        </w:rPr>
        <w:t>as izmaksu.</w:t>
      </w:r>
    </w:p>
    <w:p w14:paraId="6213CA99" w14:textId="1CB82D46" w:rsidR="005B214A" w:rsidRDefault="00414086" w:rsidP="00A10C5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Veselības </w:t>
      </w:r>
      <w:r w:rsidR="00CF0D83">
        <w:rPr>
          <w:rFonts w:asciiTheme="majorBidi" w:hAnsiTheme="majorBidi" w:cstheme="majorBidi"/>
        </w:rPr>
        <w:t>i</w:t>
      </w:r>
      <w:r>
        <w:rPr>
          <w:rFonts w:asciiTheme="majorBidi" w:hAnsiTheme="majorBidi" w:cstheme="majorBidi"/>
        </w:rPr>
        <w:t>nspekcija par r</w:t>
      </w:r>
      <w:r w:rsidR="005B214A" w:rsidRPr="005B214A">
        <w:rPr>
          <w:rFonts w:asciiTheme="majorBidi" w:hAnsiTheme="majorBidi" w:cstheme="majorBidi"/>
        </w:rPr>
        <w:t>ajona tiesas spriedumu</w:t>
      </w:r>
      <w:r>
        <w:rPr>
          <w:rFonts w:asciiTheme="majorBidi" w:hAnsiTheme="majorBidi" w:cstheme="majorBidi"/>
        </w:rPr>
        <w:t xml:space="preserve"> iesniedza apelācijas sūdzību. Pieteicēji par rajona tiesas spriedumu iesniedza pretapelācijas sūdzību.</w:t>
      </w:r>
    </w:p>
    <w:p w14:paraId="56FFD70E" w14:textId="77777777" w:rsidR="00E9159C" w:rsidRDefault="00E9159C" w:rsidP="00A10C51">
      <w:pPr>
        <w:autoSpaceDE w:val="0"/>
        <w:autoSpaceDN w:val="0"/>
        <w:adjustRightInd w:val="0"/>
        <w:spacing w:line="276" w:lineRule="auto"/>
        <w:ind w:firstLine="720"/>
        <w:jc w:val="both"/>
        <w:rPr>
          <w:rFonts w:asciiTheme="majorBidi" w:hAnsiTheme="majorBidi" w:cstheme="majorBidi"/>
        </w:rPr>
      </w:pPr>
    </w:p>
    <w:p w14:paraId="41672BCC" w14:textId="6F1839B8" w:rsidR="00E9159C" w:rsidRPr="00E9159C" w:rsidRDefault="00E9159C" w:rsidP="00A10C51">
      <w:pPr>
        <w:widowControl w:val="0"/>
        <w:spacing w:line="276" w:lineRule="auto"/>
        <w:ind w:firstLine="720"/>
        <w:jc w:val="both"/>
        <w:rPr>
          <w:i/>
          <w:iCs/>
        </w:rPr>
      </w:pPr>
      <w:r w:rsidRPr="00297410">
        <w:rPr>
          <w:i/>
          <w:iCs/>
        </w:rPr>
        <w:t>Administratīvās apgabaltiesas spriedums</w:t>
      </w:r>
    </w:p>
    <w:p w14:paraId="42F325AF" w14:textId="0775672F" w:rsidR="005B214A" w:rsidRDefault="00E9159C" w:rsidP="00A10C5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 </w:t>
      </w:r>
      <w:r w:rsidR="008050F9">
        <w:rPr>
          <w:rFonts w:asciiTheme="majorBidi" w:hAnsiTheme="majorBidi" w:cstheme="majorBidi"/>
        </w:rPr>
        <w:t>Administratīvā a</w:t>
      </w:r>
      <w:r w:rsidR="005B214A" w:rsidRPr="005B214A">
        <w:rPr>
          <w:rFonts w:asciiTheme="majorBidi" w:hAnsiTheme="majorBidi" w:cstheme="majorBidi"/>
        </w:rPr>
        <w:t>pgabaltiesa pievienoj</w:t>
      </w:r>
      <w:r w:rsidR="005B214A">
        <w:rPr>
          <w:rFonts w:asciiTheme="majorBidi" w:hAnsiTheme="majorBidi" w:cstheme="majorBidi"/>
        </w:rPr>
        <w:t>ās</w:t>
      </w:r>
      <w:r w:rsidR="005B214A" w:rsidRPr="005B214A">
        <w:rPr>
          <w:rFonts w:asciiTheme="majorBidi" w:hAnsiTheme="majorBidi" w:cstheme="majorBidi"/>
        </w:rPr>
        <w:t xml:space="preserve"> pirmās instances tiesas spriedumā ietvertajai motivācijai</w:t>
      </w:r>
      <w:r w:rsidR="003A375E">
        <w:rPr>
          <w:rFonts w:asciiTheme="majorBidi" w:hAnsiTheme="majorBidi" w:cstheme="majorBidi"/>
        </w:rPr>
        <w:t xml:space="preserve"> un </w:t>
      </w:r>
      <w:r w:rsidR="005B214A">
        <w:rPr>
          <w:rFonts w:asciiTheme="majorBidi" w:hAnsiTheme="majorBidi" w:cstheme="majorBidi"/>
        </w:rPr>
        <w:t>apmieri</w:t>
      </w:r>
      <w:r w:rsidR="00414086">
        <w:rPr>
          <w:rFonts w:asciiTheme="majorBidi" w:hAnsiTheme="majorBidi" w:cstheme="majorBidi"/>
        </w:rPr>
        <w:t>nāja</w:t>
      </w:r>
      <w:r w:rsidR="005B214A">
        <w:rPr>
          <w:rFonts w:asciiTheme="majorBidi" w:hAnsiTheme="majorBidi" w:cstheme="majorBidi"/>
        </w:rPr>
        <w:t xml:space="preserve"> pieteikumu daļā par 78 259,50</w:t>
      </w:r>
      <w:r w:rsidR="00C56DA5">
        <w:rPr>
          <w:rFonts w:asciiTheme="majorBidi" w:hAnsiTheme="majorBidi" w:cstheme="majorBidi"/>
        </w:rPr>
        <w:t> </w:t>
      </w:r>
      <w:r w:rsidR="005B214A">
        <w:rPr>
          <w:rFonts w:asciiTheme="majorBidi" w:hAnsiTheme="majorBidi" w:cstheme="majorBidi"/>
          <w:i/>
          <w:iCs/>
        </w:rPr>
        <w:t>euro</w:t>
      </w:r>
      <w:r w:rsidR="005B214A">
        <w:rPr>
          <w:rFonts w:asciiTheme="majorBidi" w:hAnsiTheme="majorBidi" w:cstheme="majorBidi"/>
        </w:rPr>
        <w:t xml:space="preserve"> atlīdzības izmaksu.</w:t>
      </w:r>
      <w:r w:rsidR="005B214A" w:rsidRPr="005B214A">
        <w:rPr>
          <w:rFonts w:asciiTheme="majorBidi" w:hAnsiTheme="majorBidi" w:cstheme="majorBidi"/>
        </w:rPr>
        <w:t xml:space="preserve"> </w:t>
      </w:r>
      <w:r w:rsidR="003A1CD4">
        <w:rPr>
          <w:rFonts w:asciiTheme="majorBidi" w:hAnsiTheme="majorBidi" w:cstheme="majorBidi"/>
        </w:rPr>
        <w:t>Apgabaltiesa s</w:t>
      </w:r>
      <w:r w:rsidR="005B214A" w:rsidRPr="005B214A">
        <w:rPr>
          <w:rFonts w:asciiTheme="majorBidi" w:hAnsiTheme="majorBidi" w:cstheme="majorBidi"/>
        </w:rPr>
        <w:t>priedumu ir pamatojusi ar turpmāk minētajiem apsvērumiem.</w:t>
      </w:r>
    </w:p>
    <w:p w14:paraId="4215C88D" w14:textId="43333B71" w:rsidR="00073744" w:rsidRPr="003431DB" w:rsidRDefault="00760BA0" w:rsidP="00A10C5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414086">
        <w:rPr>
          <w:rFonts w:asciiTheme="majorBidi" w:eastAsiaTheme="minorHAnsi" w:hAnsiTheme="majorBidi" w:cstheme="majorBidi"/>
          <w:lang w:eastAsia="en-US"/>
          <w14:ligatures w14:val="standardContextual"/>
        </w:rPr>
        <w:t>1</w:t>
      </w:r>
      <w:r>
        <w:rPr>
          <w:rFonts w:asciiTheme="majorBidi" w:eastAsiaTheme="minorHAnsi" w:hAnsiTheme="majorBidi" w:cstheme="majorBidi"/>
          <w:lang w:eastAsia="en-US"/>
          <w14:ligatures w14:val="standardContextual"/>
        </w:rPr>
        <w:t>]</w:t>
      </w:r>
      <w:r w:rsidR="003431DB">
        <w:rPr>
          <w:rFonts w:asciiTheme="majorBidi" w:eastAsiaTheme="minorHAnsi" w:hAnsiTheme="majorBidi" w:cstheme="majorBidi"/>
          <w:lang w:eastAsia="en-US"/>
          <w14:ligatures w14:val="standardContextual"/>
        </w:rPr>
        <w:t> Ievērojot, ka</w:t>
      </w:r>
      <w:r w:rsidR="001A6650">
        <w:rPr>
          <w:rFonts w:asciiTheme="majorBidi" w:eastAsiaTheme="minorHAnsi" w:hAnsiTheme="majorBidi" w:cstheme="majorBidi"/>
          <w:lang w:eastAsia="en-US"/>
          <w14:ligatures w14:val="standardContextual"/>
        </w:rPr>
        <w:t xml:space="preserve"> </w:t>
      </w:r>
      <w:r w:rsidR="00CC2C42">
        <w:rPr>
          <w:rFonts w:asciiTheme="majorBidi" w:eastAsiaTheme="minorHAnsi" w:hAnsiTheme="majorBidi" w:cstheme="majorBidi"/>
          <w:lang w:eastAsia="en-US"/>
          <w14:ligatures w14:val="standardContextual"/>
        </w:rPr>
        <w:t xml:space="preserve">Veselības </w:t>
      </w:r>
      <w:r w:rsidR="003431DB">
        <w:rPr>
          <w:rFonts w:asciiTheme="majorBidi" w:eastAsiaTheme="minorHAnsi" w:hAnsiTheme="majorBidi" w:cstheme="majorBidi"/>
          <w:lang w:eastAsia="en-US"/>
          <w14:ligatures w14:val="standardContextual"/>
        </w:rPr>
        <w:t>inspekcija tiesvedības laikā atzina pieteikumu daļā par kaitējuma esību un 23 477,85</w:t>
      </w:r>
      <w:r w:rsidR="00C56DA5">
        <w:rPr>
          <w:rFonts w:asciiTheme="majorBidi" w:eastAsiaTheme="minorHAnsi" w:hAnsiTheme="majorBidi" w:cstheme="majorBidi"/>
          <w:lang w:eastAsia="en-US"/>
          <w14:ligatures w14:val="standardContextual"/>
        </w:rPr>
        <w:t> </w:t>
      </w:r>
      <w:r w:rsidR="003431DB">
        <w:rPr>
          <w:rFonts w:asciiTheme="majorBidi" w:eastAsiaTheme="minorHAnsi" w:hAnsiTheme="majorBidi" w:cstheme="majorBidi"/>
          <w:i/>
          <w:iCs/>
          <w:lang w:eastAsia="en-US"/>
          <w14:ligatures w14:val="standardContextual"/>
        </w:rPr>
        <w:t>euro</w:t>
      </w:r>
      <w:r w:rsidR="003431DB">
        <w:rPr>
          <w:rFonts w:asciiTheme="majorBidi" w:eastAsiaTheme="minorHAnsi" w:hAnsiTheme="majorBidi" w:cstheme="majorBidi"/>
          <w:lang w:eastAsia="en-US"/>
          <w14:ligatures w14:val="standardContextual"/>
        </w:rPr>
        <w:t xml:space="preserve"> atlīd</w:t>
      </w:r>
      <w:r w:rsidR="00EB381B">
        <w:rPr>
          <w:rFonts w:asciiTheme="majorBidi" w:eastAsiaTheme="minorHAnsi" w:hAnsiTheme="majorBidi" w:cstheme="majorBidi"/>
          <w:lang w:eastAsia="en-US"/>
          <w14:ligatures w14:val="standardContextual"/>
        </w:rPr>
        <w:t xml:space="preserve">zību, lietā vairs </w:t>
      </w:r>
      <w:r w:rsidR="00FD4D4B">
        <w:rPr>
          <w:rFonts w:asciiTheme="majorBidi" w:eastAsiaTheme="minorHAnsi" w:hAnsiTheme="majorBidi" w:cstheme="majorBidi"/>
          <w:lang w:eastAsia="en-US"/>
          <w14:ligatures w14:val="standardContextual"/>
        </w:rPr>
        <w:t>nav</w:t>
      </w:r>
      <w:r w:rsidR="00EB381B">
        <w:rPr>
          <w:rFonts w:asciiTheme="majorBidi" w:eastAsiaTheme="minorHAnsi" w:hAnsiTheme="majorBidi" w:cstheme="majorBidi"/>
          <w:lang w:eastAsia="en-US"/>
          <w14:ligatures w14:val="standardContextual"/>
        </w:rPr>
        <w:t xml:space="preserve"> strīd</w:t>
      </w:r>
      <w:r w:rsidR="00FD4D4B">
        <w:rPr>
          <w:rFonts w:asciiTheme="majorBidi" w:eastAsiaTheme="minorHAnsi" w:hAnsiTheme="majorBidi" w:cstheme="majorBidi"/>
          <w:lang w:eastAsia="en-US"/>
          <w14:ligatures w14:val="standardContextual"/>
        </w:rPr>
        <w:t>a</w:t>
      </w:r>
      <w:r w:rsidR="00EB381B">
        <w:rPr>
          <w:rFonts w:asciiTheme="majorBidi" w:eastAsiaTheme="minorHAnsi" w:hAnsiTheme="majorBidi" w:cstheme="majorBidi"/>
          <w:lang w:eastAsia="en-US"/>
          <w14:ligatures w14:val="standardContextual"/>
        </w:rPr>
        <w:t xml:space="preserve"> par pacientes dzīvībai nodarītā kaitējuma esību, bet par kaitējuma un atlīdzības apmēru.</w:t>
      </w:r>
    </w:p>
    <w:p w14:paraId="1E91CECD" w14:textId="36477159" w:rsidR="00073744" w:rsidRDefault="00760BA0" w:rsidP="00A10C5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2</w:t>
      </w:r>
      <w:r>
        <w:rPr>
          <w:rFonts w:asciiTheme="majorBidi" w:eastAsiaTheme="minorHAnsi" w:hAnsiTheme="majorBidi" w:cstheme="majorBidi"/>
          <w:lang w:eastAsia="en-US"/>
          <w14:ligatures w14:val="standardContextual"/>
        </w:rPr>
        <w:t>]</w:t>
      </w:r>
      <w:r w:rsidR="001B1153">
        <w:rPr>
          <w:rFonts w:asciiTheme="majorBidi" w:eastAsiaTheme="minorHAnsi" w:hAnsiTheme="majorBidi" w:cstheme="majorBidi"/>
          <w:lang w:eastAsia="en-US"/>
          <w14:ligatures w14:val="standardContextual"/>
        </w:rPr>
        <w:t> </w:t>
      </w:r>
      <w:r w:rsidR="0021106D">
        <w:rPr>
          <w:rFonts w:asciiTheme="majorBidi" w:eastAsiaTheme="minorHAnsi" w:hAnsiTheme="majorBidi" w:cstheme="majorBidi"/>
          <w:lang w:eastAsia="en-US"/>
          <w14:ligatures w14:val="standardContextual"/>
        </w:rPr>
        <w:t xml:space="preserve">Nevar piekrist pieteicējiem, ka paciente ārstniecības procesā bija praktiski vesela </w:t>
      </w:r>
      <w:r w:rsidR="0021106D" w:rsidRPr="00A14660">
        <w:t xml:space="preserve">Ministru kabineta 2013.gada 5.novembra noteikumu Nr. 1268 „Ārstniecības riska fonda darbības noteikumi” (turpmāk – </w:t>
      </w:r>
      <w:r w:rsidR="00E75B9B" w:rsidRPr="00E75B9B">
        <w:t>Ārstniecības riska fonda noteikumi</w:t>
      </w:r>
      <w:r w:rsidR="0021106D" w:rsidRPr="00A14660">
        <w:t>)</w:t>
      </w:r>
      <w:r w:rsidR="0021106D">
        <w:t xml:space="preserve"> izpratnē. </w:t>
      </w:r>
      <w:r w:rsidR="00FD4D4B">
        <w:t>Ā</w:t>
      </w:r>
      <w:r w:rsidR="0021106D">
        <w:t>rstniecības procesa sākumā pacientei bija divas hroniskas saslimšanas – arteriālā hipertensija un ateroskleroze</w:t>
      </w:r>
      <w:r w:rsidR="00CC2C42">
        <w:t xml:space="preserve"> –</w:t>
      </w:r>
      <w:r w:rsidR="0021106D">
        <w:t xml:space="preserve">, kas ir tiešā saistībā ar </w:t>
      </w:r>
      <w:r w:rsidR="0021106D" w:rsidRPr="0021106D">
        <w:t>DVT</w:t>
      </w:r>
      <w:r w:rsidR="00782E0A">
        <w:t xml:space="preserve">. Līdz ar to pareizs ir </w:t>
      </w:r>
      <w:r w:rsidR="00CC2C42">
        <w:t xml:space="preserve">Veselības </w:t>
      </w:r>
      <w:r w:rsidR="00782E0A">
        <w:t xml:space="preserve">inspekcijas viedoklis, ka, nosakot atlīdzību, piemērojams ir </w:t>
      </w:r>
      <w:r w:rsidR="00FF72E2" w:rsidRPr="008A1ADB">
        <w:rPr>
          <w:rFonts w:asciiTheme="majorBidi" w:hAnsiTheme="majorBidi" w:cstheme="majorBidi"/>
        </w:rPr>
        <w:t>Ārstniecības riska fonda noteikum</w:t>
      </w:r>
      <w:r w:rsidR="00FF72E2">
        <w:rPr>
          <w:rFonts w:asciiTheme="majorBidi" w:hAnsiTheme="majorBidi" w:cstheme="majorBidi"/>
        </w:rPr>
        <w:t>u</w:t>
      </w:r>
      <w:r w:rsidR="00782E0A">
        <w:t xml:space="preserve"> 2.pielikuma</w:t>
      </w:r>
      <w:r w:rsidR="00E00BC9">
        <w:t xml:space="preserve"> (turpmāk – 2.pielikums)</w:t>
      </w:r>
      <w:r w:rsidR="00782E0A">
        <w:t xml:space="preserve"> 2.1.4.apakšpunkts un tajā noteikt</w:t>
      </w:r>
      <w:r w:rsidR="009626E7">
        <w:t>ā</w:t>
      </w:r>
      <w:r w:rsidR="00782E0A">
        <w:t xml:space="preserve"> koeficient</w:t>
      </w:r>
      <w:r w:rsidR="00AA2D0D">
        <w:t>a vērtība</w:t>
      </w:r>
      <w:r w:rsidR="00782E0A">
        <w:t xml:space="preserve"> 0,40.</w:t>
      </w:r>
    </w:p>
    <w:p w14:paraId="4B13BE4E" w14:textId="04E6F55C" w:rsidR="00AA2D0D" w:rsidRDefault="00073744" w:rsidP="00A10C5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3</w:t>
      </w:r>
      <w:r>
        <w:rPr>
          <w:rFonts w:asciiTheme="majorBidi" w:eastAsiaTheme="minorHAnsi" w:hAnsiTheme="majorBidi" w:cstheme="majorBidi"/>
          <w:lang w:eastAsia="en-US"/>
          <w14:ligatures w14:val="standardContextual"/>
        </w:rPr>
        <w:t>]</w:t>
      </w:r>
      <w:r w:rsidR="007B55E1">
        <w:rPr>
          <w:rFonts w:asciiTheme="majorBidi" w:eastAsiaTheme="minorHAnsi" w:hAnsiTheme="majorBidi" w:cstheme="majorBidi"/>
          <w:lang w:eastAsia="en-US"/>
          <w14:ligatures w14:val="standardContextual"/>
        </w:rPr>
        <w:t> </w:t>
      </w:r>
      <w:r w:rsidR="00CC2C42">
        <w:rPr>
          <w:rFonts w:asciiTheme="majorBidi" w:eastAsiaTheme="minorHAnsi" w:hAnsiTheme="majorBidi" w:cstheme="majorBidi"/>
          <w:lang w:eastAsia="en-US"/>
          <w14:ligatures w14:val="standardContextual"/>
        </w:rPr>
        <w:t>Veselības in</w:t>
      </w:r>
      <w:r w:rsidR="001A6650">
        <w:rPr>
          <w:rFonts w:asciiTheme="majorBidi" w:eastAsiaTheme="minorHAnsi" w:hAnsiTheme="majorBidi" w:cstheme="majorBidi"/>
          <w:lang w:eastAsia="en-US"/>
          <w14:ligatures w14:val="standardContextual"/>
        </w:rPr>
        <w:t>spekcija</w:t>
      </w:r>
      <w:r w:rsidR="007B55E1">
        <w:rPr>
          <w:rFonts w:asciiTheme="majorBidi" w:eastAsiaTheme="minorHAnsi" w:hAnsiTheme="majorBidi" w:cstheme="majorBidi"/>
          <w:lang w:eastAsia="en-US"/>
          <w14:ligatures w14:val="standardContextual"/>
        </w:rPr>
        <w:t xml:space="preserve"> nav sniegusi objektīvus un pārliecinošus pierādījumus, lai secinātu, ka paredzamā slimības norises gaita, veicot </w:t>
      </w:r>
      <w:r w:rsidR="00AA2D0D">
        <w:rPr>
          <w:rFonts w:asciiTheme="majorBidi" w:eastAsiaTheme="minorHAnsi" w:hAnsiTheme="majorBidi" w:cstheme="majorBidi"/>
          <w:lang w:eastAsia="en-US"/>
          <w14:ligatures w14:val="standardContextual"/>
        </w:rPr>
        <w:t xml:space="preserve">atbilstošu ārstniecību, ir atipiska. Līdz ar to ir piemērojams </w:t>
      </w:r>
      <w:r w:rsidR="00FD4D4B">
        <w:rPr>
          <w:rFonts w:asciiTheme="majorBidi" w:eastAsiaTheme="minorHAnsi" w:hAnsiTheme="majorBidi" w:cstheme="majorBidi"/>
          <w:lang w:eastAsia="en-US"/>
          <w14:ligatures w14:val="standardContextual"/>
        </w:rPr>
        <w:t xml:space="preserve">Ārstniecības riska fonda noteikumu </w:t>
      </w:r>
      <w:r w:rsidR="00AA2D0D">
        <w:rPr>
          <w:rFonts w:asciiTheme="majorBidi" w:eastAsiaTheme="minorHAnsi" w:hAnsiTheme="majorBidi" w:cstheme="majorBidi"/>
          <w:lang w:eastAsia="en-US"/>
          <w14:ligatures w14:val="standardContextual"/>
        </w:rPr>
        <w:t>2.pielikuma 2.2.1.apakšpunkts un tajā noteiktā koeficienta vērtība 0.</w:t>
      </w:r>
    </w:p>
    <w:p w14:paraId="2E4DBAC8" w14:textId="0C02D47C" w:rsidR="004A35F6" w:rsidRDefault="004A35F6" w:rsidP="00A10C5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43190B">
        <w:rPr>
          <w:rFonts w:asciiTheme="majorBidi" w:eastAsiaTheme="minorHAnsi" w:hAnsiTheme="majorBidi" w:cstheme="majorBidi"/>
          <w:lang w:eastAsia="en-US"/>
          <w14:ligatures w14:val="standardContextual"/>
        </w:rPr>
        <w:t> </w:t>
      </w:r>
      <w:r w:rsidR="00FD4D4B">
        <w:rPr>
          <w:rFonts w:asciiTheme="majorBidi" w:eastAsiaTheme="minorHAnsi" w:hAnsiTheme="majorBidi" w:cstheme="majorBidi"/>
          <w:lang w:eastAsia="en-US"/>
          <w14:ligatures w14:val="standardContextual"/>
        </w:rPr>
        <w:t>Ā</w:t>
      </w:r>
      <w:r w:rsidR="0043190B">
        <w:rPr>
          <w:rFonts w:asciiTheme="majorBidi" w:eastAsiaTheme="minorHAnsi" w:hAnsiTheme="majorBidi" w:cstheme="majorBidi"/>
          <w:lang w:eastAsia="en-US"/>
          <w14:ligatures w14:val="standardContextual"/>
        </w:rPr>
        <w:t>rstniecības personu darbība nebija vērsta uz kaitējuma seku novēršanu, līdz ar to ir piemērojams 2.pielikuma 2.4.1.apakšpunkts un tajā noteiktā koeficienta vērtība 0.</w:t>
      </w:r>
    </w:p>
    <w:p w14:paraId="423A0CA2" w14:textId="4A8682E2" w:rsidR="0043190B" w:rsidRDefault="0043190B" w:rsidP="00A10C5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5</w:t>
      </w:r>
      <w:r>
        <w:rPr>
          <w:rFonts w:asciiTheme="majorBidi" w:eastAsiaTheme="minorHAnsi" w:hAnsiTheme="majorBidi" w:cstheme="majorBidi"/>
          <w:lang w:eastAsia="en-US"/>
          <w14:ligatures w14:val="standardContextual"/>
        </w:rPr>
        <w:t>]</w:t>
      </w:r>
      <w:r w:rsidR="00687B84">
        <w:rPr>
          <w:rFonts w:asciiTheme="majorBidi" w:eastAsiaTheme="minorHAnsi" w:hAnsiTheme="majorBidi" w:cstheme="majorBidi"/>
          <w:lang w:eastAsia="en-US"/>
          <w14:ligatures w14:val="standardContextual"/>
        </w:rPr>
        <w:t> </w:t>
      </w:r>
      <w:r w:rsidR="00D15E96">
        <w:rPr>
          <w:rFonts w:asciiTheme="majorBidi" w:eastAsiaTheme="minorHAnsi" w:hAnsiTheme="majorBidi" w:cstheme="majorBidi"/>
          <w:lang w:eastAsia="en-US"/>
          <w14:ligatures w14:val="standardContextual"/>
        </w:rPr>
        <w:t>Ievērojot, ka pacientes nāvi izraisīja nevis pamatslimība, bet nediagnosticēta saslimšana PATE, kas netika atbilstoši ārstēta, piemērojams ir 2.pielikuma 3.1.apakšpunkts.</w:t>
      </w:r>
      <w:r w:rsidR="00E16FBC">
        <w:rPr>
          <w:rFonts w:asciiTheme="majorBidi" w:eastAsiaTheme="minorHAnsi" w:hAnsiTheme="majorBidi" w:cstheme="majorBidi"/>
          <w:lang w:eastAsia="en-US"/>
          <w14:ligatures w14:val="standardContextual"/>
        </w:rPr>
        <w:t xml:space="preserve"> Līdz ar to kaitējuma apmērs nosakāms līdz 100 %.</w:t>
      </w:r>
    </w:p>
    <w:p w14:paraId="5E9B063D" w14:textId="2B180609" w:rsidR="00E16FBC" w:rsidRDefault="00E16FBC" w:rsidP="00A10C5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6</w:t>
      </w:r>
      <w:r>
        <w:rPr>
          <w:rFonts w:asciiTheme="majorBidi" w:eastAsiaTheme="minorHAnsi" w:hAnsiTheme="majorBidi" w:cstheme="majorBidi"/>
          <w:lang w:eastAsia="en-US"/>
          <w14:ligatures w14:val="standardContextual"/>
        </w:rPr>
        <w:t>]</w:t>
      </w:r>
      <w:r w:rsidR="001A3C2A">
        <w:rPr>
          <w:rFonts w:asciiTheme="majorBidi" w:eastAsiaTheme="minorHAnsi" w:hAnsiTheme="majorBidi" w:cstheme="majorBidi"/>
          <w:lang w:eastAsia="en-US"/>
          <w14:ligatures w14:val="standardContextual"/>
        </w:rPr>
        <w:t xml:space="preserve"> Vērtējot pacientes līdzestību, rajona tiesa pareizi secināja, ka vismaz no 2020.gada februāra medikaments </w:t>
      </w:r>
      <w:r w:rsidR="001A3C2A">
        <w:rPr>
          <w:rFonts w:asciiTheme="majorBidi" w:eastAsiaTheme="minorHAnsi" w:hAnsiTheme="majorBidi" w:cstheme="majorBidi"/>
          <w:i/>
          <w:iCs/>
          <w:lang w:eastAsia="en-US"/>
          <w14:ligatures w14:val="standardContextual"/>
        </w:rPr>
        <w:t xml:space="preserve">Clopidogrel </w:t>
      </w:r>
      <w:r w:rsidR="001A3C2A">
        <w:rPr>
          <w:rFonts w:asciiTheme="majorBidi" w:eastAsiaTheme="minorHAnsi" w:hAnsiTheme="majorBidi" w:cstheme="majorBidi"/>
          <w:lang w:eastAsia="en-US"/>
          <w14:ligatures w14:val="standardContextual"/>
        </w:rPr>
        <w:t>pacientei vairs nebija izrakstīts, tādēļ ir saprotams, ka paciente</w:t>
      </w:r>
      <w:r w:rsidR="00687B84">
        <w:rPr>
          <w:rFonts w:asciiTheme="majorBidi" w:eastAsiaTheme="minorHAnsi" w:hAnsiTheme="majorBidi" w:cstheme="majorBidi"/>
          <w:lang w:eastAsia="en-US"/>
          <w14:ligatures w14:val="standardContextual"/>
        </w:rPr>
        <w:t>,</w:t>
      </w:r>
      <w:r w:rsidR="001A3C2A">
        <w:rPr>
          <w:rFonts w:asciiTheme="majorBidi" w:eastAsiaTheme="minorHAnsi" w:hAnsiTheme="majorBidi" w:cstheme="majorBidi"/>
          <w:lang w:eastAsia="en-US"/>
          <w14:ligatures w14:val="standardContextual"/>
        </w:rPr>
        <w:t xml:space="preserve"> nonākot slimnīcā un nosaucot aktuāli lietotos medikamentus, neminēja iepriekš izrakstīto medikamentu.</w:t>
      </w:r>
      <w:r w:rsidR="00BB32C0">
        <w:rPr>
          <w:rFonts w:asciiTheme="majorBidi" w:eastAsiaTheme="minorHAnsi" w:hAnsiTheme="majorBidi" w:cstheme="majorBidi"/>
          <w:lang w:eastAsia="en-US"/>
          <w14:ligatures w14:val="standardContextual"/>
        </w:rPr>
        <w:t xml:space="preserve"> Apstākļu kopums neliecina par pacientes nelīdzestību ārstniecības epizodē</w:t>
      </w:r>
      <w:r w:rsidR="00077776">
        <w:rPr>
          <w:rFonts w:asciiTheme="majorBidi" w:eastAsiaTheme="minorHAnsi" w:hAnsiTheme="majorBidi" w:cstheme="majorBidi"/>
          <w:lang w:eastAsia="en-US"/>
          <w14:ligatures w14:val="standardContextual"/>
        </w:rPr>
        <w:t>,</w:t>
      </w:r>
      <w:r w:rsidR="00BB32C0">
        <w:rPr>
          <w:rFonts w:asciiTheme="majorBidi" w:eastAsiaTheme="minorHAnsi" w:hAnsiTheme="majorBidi" w:cstheme="majorBidi"/>
          <w:lang w:eastAsia="en-US"/>
          <w14:ligatures w14:val="standardContextual"/>
        </w:rPr>
        <w:t xml:space="preserve"> un tādēļ piemērojams ir 2.pielikuma </w:t>
      </w:r>
      <w:r w:rsidR="00E819D0">
        <w:rPr>
          <w:rFonts w:asciiTheme="majorBidi" w:eastAsiaTheme="minorHAnsi" w:hAnsiTheme="majorBidi" w:cstheme="majorBidi"/>
          <w:lang w:eastAsia="en-US"/>
          <w14:ligatures w14:val="standardContextual"/>
        </w:rPr>
        <w:t>2.3.1.apakšpunkts un tajā noteiktā koeficienta vērtība 0.</w:t>
      </w:r>
    </w:p>
    <w:p w14:paraId="26357025" w14:textId="5F169B03" w:rsidR="00187042" w:rsidRDefault="00187042" w:rsidP="00A10C5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lastRenderedPageBreak/>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7</w:t>
      </w:r>
      <w:r>
        <w:rPr>
          <w:rFonts w:asciiTheme="majorBidi" w:eastAsiaTheme="minorHAnsi" w:hAnsiTheme="majorBidi" w:cstheme="majorBidi"/>
          <w:lang w:eastAsia="en-US"/>
          <w14:ligatures w14:val="standardContextual"/>
        </w:rPr>
        <w:t xml:space="preserve">] Nav pamata izmaksāt atlīdzību par to, ka slimnīcā pēc pacientes nāves veikta patologanatomiskā izmeklēšana likumā neatļautā veidā. Atbilstoši likuma „Par miruša cilvēka ķermeņa aizsardzību un cilvēka audu un orgānu izmantošanu medicīnā” 6.panta pirmās daļas </w:t>
      </w:r>
      <w:r w:rsidR="003D4656">
        <w:rPr>
          <w:rFonts w:asciiTheme="majorBidi" w:eastAsiaTheme="minorHAnsi" w:hAnsiTheme="majorBidi" w:cstheme="majorBidi"/>
          <w:lang w:eastAsia="en-US"/>
          <w14:ligatures w14:val="standardContextual"/>
        </w:rPr>
        <w:t>2.</w:t>
      </w:r>
      <w:r>
        <w:rPr>
          <w:rFonts w:asciiTheme="majorBidi" w:eastAsiaTheme="minorHAnsi" w:hAnsiTheme="majorBidi" w:cstheme="majorBidi"/>
          <w:lang w:eastAsia="en-US"/>
          <w14:ligatures w14:val="standardContextual"/>
        </w:rPr>
        <w:t>punkt</w:t>
      </w:r>
      <w:r w:rsidR="00B66155">
        <w:rPr>
          <w:rFonts w:asciiTheme="majorBidi" w:eastAsiaTheme="minorHAnsi" w:hAnsiTheme="majorBidi" w:cstheme="majorBidi"/>
          <w:lang w:eastAsia="en-US"/>
          <w14:ligatures w14:val="standardContextual"/>
        </w:rPr>
        <w:t>am</w:t>
      </w:r>
      <w:r>
        <w:rPr>
          <w:rFonts w:asciiTheme="majorBidi" w:eastAsiaTheme="minorHAnsi" w:hAnsiTheme="majorBidi" w:cstheme="majorBidi"/>
          <w:lang w:eastAsia="en-US"/>
          <w14:ligatures w14:val="standardContextual"/>
        </w:rPr>
        <w:t>, neņemot vērā mirušā cilvēka dzīves laikā izteikto gribu, patologanatomiskā izmeklēšana obligāti izdarāma, ja nāves cēlonis ir dzīves laikā nediagnosticēta slimība vai nediagnosticēti profilaktisko pasākumu, ārstēšanas vai slimības sarežģījumi.</w:t>
      </w:r>
      <w:r w:rsidR="00687B84">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 xml:space="preserve">Ievērojot pacientes </w:t>
      </w:r>
      <w:bookmarkStart w:id="1" w:name="OLE_LINK1"/>
      <w:r>
        <w:rPr>
          <w:rFonts w:asciiTheme="majorBidi" w:eastAsiaTheme="minorHAnsi" w:hAnsiTheme="majorBidi" w:cstheme="majorBidi"/>
          <w:lang w:eastAsia="en-US"/>
          <w14:ligatures w14:val="standardContextual"/>
        </w:rPr>
        <w:t>ārstējošā ārsta izrakstā-e</w:t>
      </w:r>
      <w:r w:rsidR="00456B29">
        <w:rPr>
          <w:rFonts w:asciiTheme="majorBidi" w:eastAsiaTheme="minorHAnsi" w:hAnsiTheme="majorBidi" w:cstheme="majorBidi"/>
          <w:lang w:eastAsia="en-US"/>
          <w14:ligatures w14:val="standardContextual"/>
        </w:rPr>
        <w:t>pik</w:t>
      </w:r>
      <w:r>
        <w:rPr>
          <w:rFonts w:asciiTheme="majorBidi" w:eastAsiaTheme="minorHAnsi" w:hAnsiTheme="majorBidi" w:cstheme="majorBidi"/>
          <w:lang w:eastAsia="en-US"/>
          <w14:ligatures w14:val="standardContextual"/>
        </w:rPr>
        <w:t>rīzē</w:t>
      </w:r>
      <w:bookmarkEnd w:id="1"/>
      <w:r>
        <w:rPr>
          <w:rFonts w:asciiTheme="majorBidi" w:eastAsiaTheme="minorHAnsi" w:hAnsiTheme="majorBidi" w:cstheme="majorBidi"/>
          <w:lang w:eastAsia="en-US"/>
          <w14:ligatures w14:val="standardContextual"/>
        </w:rPr>
        <w:t xml:space="preserve"> konstatēto pēkšņo, neskaidro nāvi, kur kā pamata (galīgā klīniskā) </w:t>
      </w:r>
      <w:r w:rsidR="00895C27">
        <w:rPr>
          <w:rFonts w:asciiTheme="majorBidi" w:eastAsiaTheme="minorHAnsi" w:hAnsiTheme="majorBidi" w:cstheme="majorBidi"/>
          <w:lang w:eastAsia="en-US"/>
          <w14:ligatures w14:val="standardContextual"/>
        </w:rPr>
        <w:t>diagnozē norādītas aizdomas par PATE, patologanatomiskā izmeklēšana noteikta pamatoti.</w:t>
      </w:r>
    </w:p>
    <w:p w14:paraId="7E5F0F3F" w14:textId="0B4F8AD2" w:rsidR="00895C27" w:rsidRDefault="00895C27" w:rsidP="00A10C51">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4</w:t>
      </w: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8</w:t>
      </w:r>
      <w:r>
        <w:rPr>
          <w:rFonts w:asciiTheme="majorBidi" w:eastAsiaTheme="minorHAnsi" w:hAnsiTheme="majorBidi" w:cstheme="majorBidi"/>
          <w:lang w:eastAsia="en-US"/>
          <w14:ligatures w14:val="standardContextual"/>
        </w:rPr>
        <w:t xml:space="preserve">] Pieteicēju argumenti, ka </w:t>
      </w:r>
      <w:r w:rsidR="00CC2C42">
        <w:rPr>
          <w:rFonts w:asciiTheme="majorBidi" w:eastAsiaTheme="minorHAnsi" w:hAnsiTheme="majorBidi" w:cstheme="majorBidi"/>
          <w:lang w:eastAsia="en-US"/>
          <w14:ligatures w14:val="standardContextual"/>
        </w:rPr>
        <w:t xml:space="preserve">Veselības </w:t>
      </w:r>
      <w:r>
        <w:rPr>
          <w:rFonts w:asciiTheme="majorBidi" w:eastAsiaTheme="minorHAnsi" w:hAnsiTheme="majorBidi" w:cstheme="majorBidi"/>
          <w:lang w:eastAsia="en-US"/>
          <w14:ligatures w14:val="standardContextual"/>
        </w:rPr>
        <w:t>inspekcijas galīgajā atzinumā secinātais ir pretrunā ar vairākiem tiesas ekspertīzes atzinuma secinājumiem</w:t>
      </w:r>
      <w:r w:rsidR="00AA08CE">
        <w:rPr>
          <w:rFonts w:asciiTheme="majorBidi" w:eastAsiaTheme="minorHAnsi" w:hAnsiTheme="majorBidi" w:cstheme="majorBidi"/>
          <w:lang w:eastAsia="en-US"/>
          <w14:ligatures w14:val="standardContextual"/>
        </w:rPr>
        <w:t>, ir ņemti vērā</w:t>
      </w:r>
      <w:r w:rsidR="00077776">
        <w:rPr>
          <w:rFonts w:asciiTheme="majorBidi" w:eastAsiaTheme="minorHAnsi" w:hAnsiTheme="majorBidi" w:cstheme="majorBidi"/>
          <w:lang w:eastAsia="en-US"/>
          <w14:ligatures w14:val="standardContextual"/>
        </w:rPr>
        <w:t>,</w:t>
      </w:r>
      <w:r w:rsidR="00AA08CE">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rajona tiesa</w:t>
      </w:r>
      <w:r w:rsidR="00077776">
        <w:rPr>
          <w:rFonts w:asciiTheme="majorBidi" w:eastAsiaTheme="minorHAnsi" w:hAnsiTheme="majorBidi" w:cstheme="majorBidi"/>
          <w:lang w:eastAsia="en-US"/>
          <w14:ligatures w14:val="standardContextual"/>
        </w:rPr>
        <w:t>i</w:t>
      </w:r>
      <w:r>
        <w:rPr>
          <w:rFonts w:asciiTheme="majorBidi" w:eastAsiaTheme="minorHAnsi" w:hAnsiTheme="majorBidi" w:cstheme="majorBidi"/>
          <w:lang w:eastAsia="en-US"/>
          <w14:ligatures w14:val="standardContextual"/>
        </w:rPr>
        <w:t xml:space="preserve"> izvērtēj</w:t>
      </w:r>
      <w:r w:rsidR="00077776">
        <w:rPr>
          <w:rFonts w:asciiTheme="majorBidi" w:eastAsiaTheme="minorHAnsi" w:hAnsiTheme="majorBidi" w:cstheme="majorBidi"/>
          <w:lang w:eastAsia="en-US"/>
          <w14:ligatures w14:val="standardContextual"/>
        </w:rPr>
        <w:t>ot</w:t>
      </w:r>
      <w:r>
        <w:rPr>
          <w:rFonts w:asciiTheme="majorBidi" w:eastAsiaTheme="minorHAnsi" w:hAnsiTheme="majorBidi" w:cstheme="majorBidi"/>
          <w:lang w:eastAsia="en-US"/>
          <w14:ligatures w14:val="standardContextual"/>
        </w:rPr>
        <w:t xml:space="preserve"> lietas faktus un to nozīmi lietā.</w:t>
      </w:r>
    </w:p>
    <w:p w14:paraId="1B3253BC" w14:textId="77777777" w:rsidR="002402B6" w:rsidRDefault="002402B6" w:rsidP="00A10C51">
      <w:pPr>
        <w:autoSpaceDE w:val="0"/>
        <w:autoSpaceDN w:val="0"/>
        <w:adjustRightInd w:val="0"/>
        <w:spacing w:line="276" w:lineRule="auto"/>
        <w:jc w:val="both"/>
        <w:rPr>
          <w:rFonts w:asciiTheme="majorBidi" w:eastAsiaTheme="minorHAnsi" w:hAnsiTheme="majorBidi" w:cstheme="majorBidi"/>
          <w:lang w:eastAsia="en-US"/>
          <w14:ligatures w14:val="standardContextual"/>
        </w:rPr>
      </w:pPr>
    </w:p>
    <w:p w14:paraId="0FC5F78E" w14:textId="5EE72FB6" w:rsidR="00E9159C" w:rsidRPr="00E9159C" w:rsidRDefault="00E9159C" w:rsidP="00A10C51">
      <w:pPr>
        <w:autoSpaceDE w:val="0"/>
        <w:autoSpaceDN w:val="0"/>
        <w:adjustRightInd w:val="0"/>
        <w:spacing w:line="276" w:lineRule="auto"/>
        <w:ind w:firstLine="720"/>
        <w:jc w:val="both"/>
        <w:rPr>
          <w:rFonts w:eastAsiaTheme="minorHAnsi"/>
          <w:i/>
          <w:iCs/>
          <w:lang w:eastAsia="en-US"/>
        </w:rPr>
      </w:pPr>
      <w:r w:rsidRPr="00C2686E">
        <w:rPr>
          <w:i/>
        </w:rPr>
        <w:t>Pieteicēj</w:t>
      </w:r>
      <w:r>
        <w:rPr>
          <w:i/>
        </w:rPr>
        <w:t>u</w:t>
      </w:r>
      <w:r w:rsidRPr="00C2686E">
        <w:rPr>
          <w:i/>
        </w:rPr>
        <w:t xml:space="preserve"> </w:t>
      </w:r>
      <w:r w:rsidRPr="00C2686E">
        <w:rPr>
          <w:rFonts w:eastAsiaTheme="minorHAnsi"/>
          <w:i/>
          <w:iCs/>
          <w:lang w:eastAsia="en-US"/>
        </w:rPr>
        <w:t>kasācijas sūdzības argumenti</w:t>
      </w:r>
    </w:p>
    <w:p w14:paraId="30C79DE4" w14:textId="0347662E" w:rsidR="00132B6B" w:rsidRPr="002355CB" w:rsidRDefault="00522062" w:rsidP="00A10C51">
      <w:pPr>
        <w:autoSpaceDE w:val="0"/>
        <w:autoSpaceDN w:val="0"/>
        <w:adjustRightInd w:val="0"/>
        <w:spacing w:line="276" w:lineRule="auto"/>
        <w:ind w:firstLine="720"/>
        <w:jc w:val="both"/>
        <w:rPr>
          <w:rFonts w:asciiTheme="majorBidi" w:eastAsia="Calibri" w:hAnsiTheme="majorBidi" w:cstheme="majorBidi"/>
          <w:lang w:eastAsia="en-US"/>
        </w:rPr>
      </w:pPr>
      <w:r w:rsidRPr="002355CB">
        <w:rPr>
          <w:rFonts w:asciiTheme="majorBidi" w:hAnsiTheme="majorBidi" w:cstheme="majorBidi"/>
        </w:rPr>
        <w:t>[</w:t>
      </w:r>
      <w:r w:rsidR="00E9159C">
        <w:rPr>
          <w:rFonts w:asciiTheme="majorBidi" w:hAnsiTheme="majorBidi" w:cstheme="majorBidi"/>
        </w:rPr>
        <w:t>5</w:t>
      </w:r>
      <w:r w:rsidRPr="002355CB">
        <w:rPr>
          <w:rFonts w:asciiTheme="majorBidi" w:hAnsiTheme="majorBidi" w:cstheme="majorBidi"/>
        </w:rPr>
        <w:t>]</w:t>
      </w:r>
      <w:r w:rsidR="001B1153">
        <w:rPr>
          <w:rFonts w:asciiTheme="majorBidi" w:hAnsiTheme="majorBidi" w:cstheme="majorBidi"/>
        </w:rPr>
        <w:t> </w:t>
      </w:r>
      <w:r w:rsidRPr="002355CB">
        <w:rPr>
          <w:rFonts w:asciiTheme="majorBidi" w:hAnsiTheme="majorBidi" w:cstheme="majorBidi"/>
        </w:rPr>
        <w:t>Pieteicēj</w:t>
      </w:r>
      <w:r w:rsidR="00CF0D83">
        <w:rPr>
          <w:rFonts w:asciiTheme="majorBidi" w:hAnsiTheme="majorBidi" w:cstheme="majorBidi"/>
        </w:rPr>
        <w:t>i</w:t>
      </w:r>
      <w:r w:rsidRPr="002355CB">
        <w:rPr>
          <w:rFonts w:asciiTheme="majorBidi" w:hAnsiTheme="majorBidi" w:cstheme="majorBidi"/>
        </w:rPr>
        <w:t xml:space="preserve"> par apgabaltiesas spriedumu iesniedza kasācijas sūdzību</w:t>
      </w:r>
      <w:r w:rsidR="00A3124E">
        <w:rPr>
          <w:rFonts w:asciiTheme="majorBidi" w:hAnsiTheme="majorBidi" w:cstheme="majorBidi"/>
        </w:rPr>
        <w:t>, kurā i</w:t>
      </w:r>
      <w:r w:rsidR="00EE6405" w:rsidRPr="002355CB">
        <w:rPr>
          <w:rFonts w:asciiTheme="majorBidi" w:eastAsia="Calibri" w:hAnsiTheme="majorBidi" w:cstheme="majorBidi"/>
          <w:lang w:eastAsia="en-US"/>
        </w:rPr>
        <w:t>zvirzīj</w:t>
      </w:r>
      <w:r w:rsidR="00CF0D83">
        <w:rPr>
          <w:rFonts w:asciiTheme="majorBidi" w:eastAsia="Calibri" w:hAnsiTheme="majorBidi" w:cstheme="majorBidi"/>
          <w:lang w:eastAsia="en-US"/>
        </w:rPr>
        <w:t>uši</w:t>
      </w:r>
      <w:r w:rsidR="00EE6405" w:rsidRPr="002355CB">
        <w:rPr>
          <w:rFonts w:asciiTheme="majorBidi" w:eastAsia="Calibri" w:hAnsiTheme="majorBidi" w:cstheme="majorBidi"/>
          <w:lang w:eastAsia="en-US"/>
        </w:rPr>
        <w:t xml:space="preserve"> </w:t>
      </w:r>
      <w:r w:rsidR="00A3124E">
        <w:rPr>
          <w:rFonts w:asciiTheme="majorBidi" w:eastAsia="Calibri" w:hAnsiTheme="majorBidi" w:cstheme="majorBidi"/>
          <w:lang w:eastAsia="en-US"/>
        </w:rPr>
        <w:t>turpmāk minētos</w:t>
      </w:r>
      <w:r w:rsidR="00EE6405" w:rsidRPr="002355CB">
        <w:rPr>
          <w:rFonts w:asciiTheme="majorBidi" w:eastAsia="Calibri" w:hAnsiTheme="majorBidi" w:cstheme="majorBidi"/>
          <w:lang w:eastAsia="en-US"/>
        </w:rPr>
        <w:t xml:space="preserve"> pamatus sprieduma atcelšanai.</w:t>
      </w:r>
    </w:p>
    <w:p w14:paraId="05149A3C" w14:textId="3552389C" w:rsidR="00B5162F" w:rsidRDefault="00522062" w:rsidP="00A10C51">
      <w:pPr>
        <w:spacing w:line="276" w:lineRule="auto"/>
        <w:ind w:firstLine="720"/>
        <w:jc w:val="both"/>
        <w:rPr>
          <w:rFonts w:asciiTheme="majorBidi" w:hAnsiTheme="majorBidi" w:cstheme="majorBidi"/>
        </w:rPr>
      </w:pPr>
      <w:bookmarkStart w:id="2" w:name="_Hlk98934771"/>
      <w:r w:rsidRPr="002355CB">
        <w:rPr>
          <w:rFonts w:asciiTheme="majorBidi" w:hAnsiTheme="majorBidi" w:cstheme="majorBidi"/>
        </w:rPr>
        <w:t>[</w:t>
      </w:r>
      <w:r w:rsidR="00E9159C">
        <w:rPr>
          <w:rFonts w:asciiTheme="majorBidi" w:hAnsiTheme="majorBidi" w:cstheme="majorBidi"/>
        </w:rPr>
        <w:t>5</w:t>
      </w:r>
      <w:r w:rsidRPr="002355CB">
        <w:rPr>
          <w:rFonts w:asciiTheme="majorBidi" w:hAnsiTheme="majorBidi" w:cstheme="majorBidi"/>
        </w:rPr>
        <w:t>.1]</w:t>
      </w:r>
      <w:r w:rsidR="001B1153">
        <w:rPr>
          <w:rFonts w:asciiTheme="majorBidi" w:hAnsiTheme="majorBidi" w:cstheme="majorBidi"/>
        </w:rPr>
        <w:t> </w:t>
      </w:r>
      <w:r w:rsidR="00132B6B">
        <w:rPr>
          <w:rFonts w:asciiTheme="majorBidi" w:hAnsiTheme="majorBidi" w:cstheme="majorBidi"/>
        </w:rPr>
        <w:t>Apgabaltiesa ir pārkāpusi Administratīvā procesa likuma 145.panta trešo daļu, 301.panta otro daļu un trešās daļas 1.punkta prasības</w:t>
      </w:r>
      <w:r w:rsidR="005A3D63">
        <w:rPr>
          <w:rFonts w:asciiTheme="majorBidi" w:hAnsiTheme="majorBidi" w:cstheme="majorBidi"/>
        </w:rPr>
        <w:t>, ierosinot</w:t>
      </w:r>
      <w:r w:rsidR="00202E24">
        <w:rPr>
          <w:rFonts w:asciiTheme="majorBidi" w:hAnsiTheme="majorBidi" w:cstheme="majorBidi"/>
        </w:rPr>
        <w:t xml:space="preserve"> </w:t>
      </w:r>
      <w:r w:rsidR="005A3D63">
        <w:rPr>
          <w:rFonts w:asciiTheme="majorBidi" w:hAnsiTheme="majorBidi" w:cstheme="majorBidi"/>
        </w:rPr>
        <w:t xml:space="preserve">apelācijas tiesvedību </w:t>
      </w:r>
      <w:r w:rsidR="00202E24">
        <w:rPr>
          <w:rFonts w:asciiTheme="majorBidi" w:hAnsiTheme="majorBidi" w:cstheme="majorBidi"/>
        </w:rPr>
        <w:t xml:space="preserve">un skatot lietu </w:t>
      </w:r>
      <w:r w:rsidR="005A3D63">
        <w:rPr>
          <w:rFonts w:asciiTheme="majorBidi" w:hAnsiTheme="majorBidi" w:cstheme="majorBidi"/>
        </w:rPr>
        <w:t>daļā, kurā pirmās instances tiesas spriedums jau bija stājies spēkā</w:t>
      </w:r>
      <w:r w:rsidR="00202E24">
        <w:rPr>
          <w:rFonts w:asciiTheme="majorBidi" w:hAnsiTheme="majorBidi" w:cstheme="majorBidi"/>
        </w:rPr>
        <w:t xml:space="preserve"> –</w:t>
      </w:r>
      <w:r w:rsidR="00CC2C42">
        <w:rPr>
          <w:rFonts w:asciiTheme="majorBidi" w:hAnsiTheme="majorBidi" w:cstheme="majorBidi"/>
        </w:rPr>
        <w:t xml:space="preserve">Veselības </w:t>
      </w:r>
      <w:r w:rsidR="005A3D63">
        <w:rPr>
          <w:rFonts w:asciiTheme="majorBidi" w:hAnsiTheme="majorBidi" w:cstheme="majorBidi"/>
        </w:rPr>
        <w:t>inspekcija ar 2023.gada 25.augusta vēstuli</w:t>
      </w:r>
      <w:r w:rsidR="003C0450">
        <w:rPr>
          <w:rFonts w:asciiTheme="majorBidi" w:hAnsiTheme="majorBidi" w:cstheme="majorBidi"/>
        </w:rPr>
        <w:t xml:space="preserve">, kurā tika sniegti </w:t>
      </w:r>
      <w:r w:rsidR="005A3D63">
        <w:rPr>
          <w:rFonts w:asciiTheme="majorBidi" w:hAnsiTheme="majorBidi" w:cstheme="majorBidi"/>
        </w:rPr>
        <w:t>papildu paskaidrojum</w:t>
      </w:r>
      <w:r w:rsidR="003C0450">
        <w:rPr>
          <w:rFonts w:asciiTheme="majorBidi" w:hAnsiTheme="majorBidi" w:cstheme="majorBidi"/>
        </w:rPr>
        <w:t>i tiesai,</w:t>
      </w:r>
      <w:r w:rsidR="005A3D63">
        <w:rPr>
          <w:rFonts w:asciiTheme="majorBidi" w:hAnsiTheme="majorBidi" w:cstheme="majorBidi"/>
        </w:rPr>
        <w:t xml:space="preserve"> atzina pieteikumu daļā par atlīdzību</w:t>
      </w:r>
      <w:r w:rsidR="00202E24">
        <w:rPr>
          <w:rFonts w:asciiTheme="majorBidi" w:hAnsiTheme="majorBidi" w:cstheme="majorBidi"/>
        </w:rPr>
        <w:t xml:space="preserve"> </w:t>
      </w:r>
      <w:r w:rsidR="005A3D63">
        <w:rPr>
          <w:rFonts w:asciiTheme="majorBidi" w:hAnsiTheme="majorBidi" w:cstheme="majorBidi"/>
        </w:rPr>
        <w:t>23 477,85</w:t>
      </w:r>
      <w:r w:rsidR="00C56DA5">
        <w:rPr>
          <w:rFonts w:asciiTheme="majorBidi" w:hAnsiTheme="majorBidi" w:cstheme="majorBidi"/>
        </w:rPr>
        <w:t> </w:t>
      </w:r>
      <w:r w:rsidR="005A3D63">
        <w:rPr>
          <w:rFonts w:asciiTheme="majorBidi" w:hAnsiTheme="majorBidi" w:cstheme="majorBidi"/>
          <w:i/>
          <w:iCs/>
        </w:rPr>
        <w:t>euro</w:t>
      </w:r>
      <w:r w:rsidR="005A3D63">
        <w:rPr>
          <w:rFonts w:asciiTheme="majorBidi" w:hAnsiTheme="majorBidi" w:cstheme="majorBidi"/>
        </w:rPr>
        <w:t>.</w:t>
      </w:r>
    </w:p>
    <w:p w14:paraId="1A38318C" w14:textId="0FEC420C" w:rsidR="00202E24" w:rsidRPr="00202E24" w:rsidRDefault="00202E24" w:rsidP="00A10C51">
      <w:pPr>
        <w:spacing w:line="276" w:lineRule="auto"/>
        <w:ind w:firstLine="720"/>
        <w:jc w:val="both"/>
        <w:rPr>
          <w:rFonts w:asciiTheme="majorBidi" w:hAnsiTheme="majorBidi" w:cstheme="majorBidi"/>
        </w:rPr>
      </w:pPr>
      <w:r>
        <w:rPr>
          <w:rFonts w:asciiTheme="majorBidi" w:hAnsiTheme="majorBidi" w:cstheme="majorBidi"/>
        </w:rPr>
        <w:t xml:space="preserve">Līdz ar to nepamatots ir apgabaltiesas secinājums, ka lietā vairs </w:t>
      </w:r>
      <w:r w:rsidR="003C0450">
        <w:rPr>
          <w:rFonts w:asciiTheme="majorBidi" w:hAnsiTheme="majorBidi" w:cstheme="majorBidi"/>
        </w:rPr>
        <w:t>nav</w:t>
      </w:r>
      <w:r>
        <w:rPr>
          <w:rFonts w:asciiTheme="majorBidi" w:hAnsiTheme="majorBidi" w:cstheme="majorBidi"/>
        </w:rPr>
        <w:t xml:space="preserve"> strīd</w:t>
      </w:r>
      <w:r w:rsidR="003C0450">
        <w:rPr>
          <w:rFonts w:asciiTheme="majorBidi" w:hAnsiTheme="majorBidi" w:cstheme="majorBidi"/>
        </w:rPr>
        <w:t>a</w:t>
      </w:r>
      <w:r>
        <w:rPr>
          <w:rFonts w:asciiTheme="majorBidi" w:hAnsiTheme="majorBidi" w:cstheme="majorBidi"/>
        </w:rPr>
        <w:t xml:space="preserve"> par pacientes dzīvībai nodarītā kaitējuma esību, bet par kaitējuma un atlīdzības apmēru. Patiesībā strīds nepastāv arī par inspekcijas atzīto kaitējuma atlīdzību daļā 23 477,85</w:t>
      </w:r>
      <w:r w:rsidR="0068514D">
        <w:rPr>
          <w:rFonts w:asciiTheme="majorBidi" w:hAnsiTheme="majorBidi" w:cstheme="majorBidi"/>
        </w:rPr>
        <w:t> </w:t>
      </w:r>
      <w:r>
        <w:rPr>
          <w:rFonts w:asciiTheme="majorBidi" w:hAnsiTheme="majorBidi" w:cstheme="majorBidi"/>
          <w:i/>
          <w:iCs/>
        </w:rPr>
        <w:t>euro</w:t>
      </w:r>
      <w:r>
        <w:rPr>
          <w:rFonts w:asciiTheme="majorBidi" w:hAnsiTheme="majorBidi" w:cstheme="majorBidi"/>
        </w:rPr>
        <w:t>. No tā izriet, ka apelācijas instances tiesā izskatīt varēja strīdu tikai daļā par noteikto kaitējuma atlīdzību, kas pārsniedz inspekcijas atzīto.</w:t>
      </w:r>
    </w:p>
    <w:p w14:paraId="23D92F30" w14:textId="59A8A045" w:rsidR="009A7753" w:rsidRDefault="009A7753" w:rsidP="00A10C51">
      <w:pPr>
        <w:spacing w:line="276" w:lineRule="auto"/>
        <w:ind w:firstLine="720"/>
        <w:jc w:val="both"/>
      </w:pPr>
      <w:r>
        <w:rPr>
          <w:rFonts w:asciiTheme="majorBidi" w:hAnsiTheme="majorBidi" w:cstheme="majorBidi"/>
        </w:rPr>
        <w:t>[</w:t>
      </w:r>
      <w:r w:rsidR="00E9159C">
        <w:rPr>
          <w:rFonts w:asciiTheme="majorBidi" w:hAnsiTheme="majorBidi" w:cstheme="majorBidi"/>
        </w:rPr>
        <w:t>5</w:t>
      </w:r>
      <w:r>
        <w:rPr>
          <w:rFonts w:asciiTheme="majorBidi" w:hAnsiTheme="majorBidi" w:cstheme="majorBidi"/>
        </w:rPr>
        <w:t>.2]</w:t>
      </w:r>
      <w:r w:rsidR="001B1153">
        <w:rPr>
          <w:rFonts w:asciiTheme="majorBidi" w:hAnsiTheme="majorBidi" w:cstheme="majorBidi"/>
        </w:rPr>
        <w:t> </w:t>
      </w:r>
      <w:r w:rsidR="007051F5">
        <w:rPr>
          <w:rFonts w:asciiTheme="majorBidi" w:hAnsiTheme="majorBidi" w:cstheme="majorBidi"/>
        </w:rPr>
        <w:t>Preta</w:t>
      </w:r>
      <w:r w:rsidR="00A47E4F">
        <w:rPr>
          <w:rFonts w:asciiTheme="majorBidi" w:hAnsiTheme="majorBidi" w:cstheme="majorBidi"/>
        </w:rPr>
        <w:t xml:space="preserve">pelācijas sūdzībā norādīti </w:t>
      </w:r>
      <w:r w:rsidR="00D64C7B" w:rsidRPr="00EF5A36">
        <w:rPr>
          <w:rFonts w:asciiTheme="majorBidi" w:hAnsiTheme="majorBidi" w:cstheme="majorBidi"/>
        </w:rPr>
        <w:t xml:space="preserve">saturiski jauni </w:t>
      </w:r>
      <w:r w:rsidR="00A47E4F" w:rsidRPr="00EF5A36">
        <w:rPr>
          <w:rFonts w:asciiTheme="majorBidi" w:hAnsiTheme="majorBidi" w:cstheme="majorBidi"/>
        </w:rPr>
        <w:t>argumenti,</w:t>
      </w:r>
      <w:r w:rsidR="00A47E4F">
        <w:rPr>
          <w:rFonts w:asciiTheme="majorBidi" w:hAnsiTheme="majorBidi" w:cstheme="majorBidi"/>
        </w:rPr>
        <w:t xml:space="preserve"> kādēļ rajona tiesa kļūdaini piemērojusi </w:t>
      </w:r>
      <w:r w:rsidR="00A47E4F">
        <w:t>2.pielikuma 2.1.4.apakšpunktu</w:t>
      </w:r>
      <w:r w:rsidR="00CF4833">
        <w:t>. Šie argumenti</w:t>
      </w:r>
      <w:r w:rsidR="004601AC">
        <w:t xml:space="preserve"> </w:t>
      </w:r>
      <w:r w:rsidR="00CF4833">
        <w:t xml:space="preserve">varētu </w:t>
      </w:r>
      <w:r w:rsidR="004601AC">
        <w:t>ietekmēt lietas rezultātu, taču</w:t>
      </w:r>
      <w:r w:rsidR="00A47E4F">
        <w:t xml:space="preserve"> apgabaltiesa </w:t>
      </w:r>
      <w:r w:rsidR="004601AC">
        <w:t xml:space="preserve">tos </w:t>
      </w:r>
      <w:r w:rsidR="00A47E4F">
        <w:t xml:space="preserve">nav izvērtējusi. </w:t>
      </w:r>
      <w:r w:rsidR="00CF4833">
        <w:t>A</w:t>
      </w:r>
      <w:r w:rsidR="00A47E4F">
        <w:t xml:space="preserve">pgabaltiesa </w:t>
      </w:r>
      <w:r w:rsidR="00CF4833">
        <w:t xml:space="preserve">tādējādi </w:t>
      </w:r>
      <w:r w:rsidR="00A47E4F">
        <w:t>ir pārkāpusi Administratīvā procesa likuma 154.panta pirmo daļu.</w:t>
      </w:r>
    </w:p>
    <w:p w14:paraId="603DD04F" w14:textId="0CC72E0C" w:rsidR="00105CFA" w:rsidRDefault="00E8500B" w:rsidP="00A10C51">
      <w:pPr>
        <w:spacing w:line="276" w:lineRule="auto"/>
        <w:ind w:firstLine="720"/>
        <w:jc w:val="both"/>
      </w:pPr>
      <w:r w:rsidRPr="006B724E">
        <w:t xml:space="preserve">Nav izprotams, ko </w:t>
      </w:r>
      <w:r w:rsidR="00C4148E" w:rsidRPr="006B724E">
        <w:t xml:space="preserve">apzīmē </w:t>
      </w:r>
      <w:r w:rsidR="006B724E" w:rsidRPr="006B724E">
        <w:t xml:space="preserve">2021.gada 18.maija </w:t>
      </w:r>
      <w:r w:rsidR="00FF72E2" w:rsidRPr="008A1ADB">
        <w:rPr>
          <w:rFonts w:asciiTheme="majorBidi" w:hAnsiTheme="majorBidi" w:cstheme="majorBidi"/>
        </w:rPr>
        <w:t>Ārstniecības riska fonda noteikum</w:t>
      </w:r>
      <w:r w:rsidR="00FF72E2">
        <w:rPr>
          <w:rFonts w:asciiTheme="majorBidi" w:hAnsiTheme="majorBidi" w:cstheme="majorBidi"/>
        </w:rPr>
        <w:t xml:space="preserve">u </w:t>
      </w:r>
      <w:r w:rsidR="006B724E" w:rsidRPr="006B724E">
        <w:t xml:space="preserve">grozījumu </w:t>
      </w:r>
      <w:r w:rsidRPr="006B724E">
        <w:t>anotācijā</w:t>
      </w:r>
      <w:r w:rsidR="006B724E" w:rsidRPr="006B724E">
        <w:t xml:space="preserve"> (turpmāk – anotācija)</w:t>
      </w:r>
      <w:r w:rsidRPr="006B724E">
        <w:t xml:space="preserve"> ietvertā frāze „</w:t>
      </w:r>
      <w:r w:rsidRPr="00CF4833">
        <w:t>pozitīva prognoze</w:t>
      </w:r>
      <w:r w:rsidRPr="006B724E">
        <w:t>”, uz</w:t>
      </w:r>
      <w:r>
        <w:t xml:space="preserve"> kuru atsaucās rajona tiesa, lai pamatotu 2.pielikuma 2.1.4.apakšpunkta piemērošanu.</w:t>
      </w:r>
      <w:r w:rsidR="00AC348A">
        <w:t xml:space="preserve"> </w:t>
      </w:r>
      <w:r w:rsidR="00105CFA">
        <w:t>Gan rajona tiesas, gan apgabaltiesas spriedumos nav atrodams pamatojums, kādēļ uzskatāms, ka pacientei konstatētās slimības – ateroskleroze un arteriālā hipertensija – liecinātu, ka pacientei pozitīva prognoze atbilstoši 2.pielikuma 2.1.4.apakšpunktam ar lielāku varbūtību ir mazāka, salīdzinot ar sākotnēji praktiski veselu pacientu.</w:t>
      </w:r>
    </w:p>
    <w:p w14:paraId="1A9FB14E" w14:textId="55792A7D" w:rsidR="00C4148E" w:rsidRDefault="00C4148E" w:rsidP="00A10C51">
      <w:pPr>
        <w:spacing w:line="276" w:lineRule="auto"/>
        <w:ind w:firstLine="720"/>
        <w:jc w:val="both"/>
      </w:pPr>
      <w:r>
        <w:t>2.pielikuma 2.1.apakšpunkts, padarot atlīdzības apmēru atkarīgu no personas veselības stāvokļa un traucējumiem, ar kuriem persona vērsusies ārstniecības iestādē, ir pretrunā ar Pacientu tiesību likuma 16.panta pirmo daļu, kas neparedz šādu diferencēšanu un pēc būtības pārkāpj arī Pacientu tiesību likuma 3.panta otrajā daļā ietverto diskriminācijas aizliegumu. Vadoties no šādas kārtības, pacientiem ar jebkādām hroniskām slimībām, kas ir tiešā vai netiešā saistībā ar ārstniecības personas radīto kaitējumu, nekad nebūs iespējams pilnā apmērā saņemt atlīdzību no Ārstniecības riska fonda.</w:t>
      </w:r>
    </w:p>
    <w:p w14:paraId="50877735" w14:textId="7D9B84CC" w:rsidR="00E8500B" w:rsidRPr="00105CFA" w:rsidRDefault="00581030" w:rsidP="00A10C51">
      <w:pPr>
        <w:spacing w:line="276" w:lineRule="auto"/>
        <w:ind w:firstLine="720"/>
        <w:jc w:val="both"/>
      </w:pPr>
      <w:r>
        <w:lastRenderedPageBreak/>
        <w:t>[5.</w:t>
      </w:r>
      <w:r w:rsidR="00B7626A">
        <w:t>3</w:t>
      </w:r>
      <w:r>
        <w:t>] </w:t>
      </w:r>
      <w:r w:rsidR="00FF72E2" w:rsidRPr="008A1ADB">
        <w:rPr>
          <w:rFonts w:asciiTheme="majorBidi" w:hAnsiTheme="majorBidi" w:cstheme="majorBidi"/>
        </w:rPr>
        <w:t>Ārstniecības riska fonda noteikum</w:t>
      </w:r>
      <w:r w:rsidR="00FF72E2">
        <w:rPr>
          <w:rFonts w:asciiTheme="majorBidi" w:hAnsiTheme="majorBidi" w:cstheme="majorBidi"/>
        </w:rPr>
        <w:t>u</w:t>
      </w:r>
      <w:r w:rsidR="00C4148E">
        <w:t xml:space="preserve"> ietvaros Ministru kabinets nav tiesīgs radīt materi</w:t>
      </w:r>
      <w:r w:rsidR="00E00BC9">
        <w:t>ālo</w:t>
      </w:r>
      <w:r w:rsidR="00C4148E">
        <w:t xml:space="preserve"> tiesību normas, kas </w:t>
      </w:r>
      <w:r w:rsidR="006A4E71">
        <w:t>noteiktu</w:t>
      </w:r>
      <w:r w:rsidR="00C4148E">
        <w:t xml:space="preserve"> kritērijus kaitējuma esības vai neesības noteikšanai un attiecīgi kritērijus tam, kad pacientam izmaksājama pilna vai samazināta atlīdzība, jo Pacientu tiesību likuma 16.panta trešā daļa Ministru kabinetu pilnvaro noregulēt tikai procesu, kādā atlīdzība izmaksājama. Ievērojot Administratīvā procesa likuma 15.panta sesto daļu, pretruna normatīvajos aktos novēršama, piemērojot augstāka juridiskā spēka tiesību normu – Pacientu tiesību likuma 16.panta otrās daļas 1.punktu.</w:t>
      </w:r>
    </w:p>
    <w:p w14:paraId="12EBA973" w14:textId="65C4F724" w:rsidR="00522062" w:rsidRDefault="00B122A1"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hAnsiTheme="majorBidi" w:cstheme="majorBidi"/>
        </w:rPr>
        <w:t>[</w:t>
      </w:r>
      <w:r w:rsidR="00E9159C">
        <w:rPr>
          <w:rFonts w:asciiTheme="majorBidi" w:hAnsiTheme="majorBidi" w:cstheme="majorBidi"/>
        </w:rPr>
        <w:t>5</w:t>
      </w:r>
      <w:r w:rsidR="009A7753">
        <w:rPr>
          <w:rFonts w:asciiTheme="majorBidi" w:hAnsiTheme="majorBidi" w:cstheme="majorBidi"/>
        </w:rPr>
        <w:t>.</w:t>
      </w:r>
      <w:r w:rsidR="00B7626A">
        <w:rPr>
          <w:rFonts w:asciiTheme="majorBidi" w:hAnsiTheme="majorBidi" w:cstheme="majorBidi"/>
        </w:rPr>
        <w:t>4</w:t>
      </w:r>
      <w:r>
        <w:rPr>
          <w:rFonts w:asciiTheme="majorBidi" w:hAnsiTheme="majorBidi" w:cstheme="majorBidi"/>
        </w:rPr>
        <w:t>]</w:t>
      </w:r>
      <w:r w:rsidR="0001449E">
        <w:rPr>
          <w:rFonts w:asciiTheme="majorBidi" w:hAnsiTheme="majorBidi" w:cstheme="majorBidi"/>
        </w:rPr>
        <w:t> </w:t>
      </w:r>
      <w:r w:rsidR="003D4656">
        <w:rPr>
          <w:rFonts w:asciiTheme="majorBidi" w:hAnsiTheme="majorBidi" w:cstheme="majorBidi"/>
        </w:rPr>
        <w:t xml:space="preserve">Apgabaltiesa ir nepareizi interpretējusi un piemērojusi </w:t>
      </w:r>
      <w:r w:rsidR="003D4656">
        <w:rPr>
          <w:rFonts w:asciiTheme="majorBidi" w:eastAsiaTheme="minorHAnsi" w:hAnsiTheme="majorBidi" w:cstheme="majorBidi"/>
          <w:lang w:eastAsia="en-US"/>
          <w14:ligatures w14:val="standardContextual"/>
        </w:rPr>
        <w:t>likuma „Par miruša cilvēka ķermeņa aizsardzību un cilvēka audu un orgānu izmantošanu medicīnā” 6.panta pirmās daļas 2.punktu.</w:t>
      </w:r>
      <w:r w:rsidR="0001449E">
        <w:rPr>
          <w:rFonts w:asciiTheme="majorBidi" w:eastAsiaTheme="minorHAnsi" w:hAnsiTheme="majorBidi" w:cstheme="majorBidi"/>
          <w:lang w:eastAsia="en-US"/>
          <w14:ligatures w14:val="standardContextual"/>
        </w:rPr>
        <w:t xml:space="preserve"> </w:t>
      </w:r>
      <w:r w:rsidR="003D4656">
        <w:rPr>
          <w:rFonts w:asciiTheme="majorBidi" w:eastAsiaTheme="minorHAnsi" w:hAnsiTheme="majorBidi" w:cstheme="majorBidi"/>
          <w:lang w:eastAsia="en-US"/>
          <w14:ligatures w14:val="standardContextual"/>
        </w:rPr>
        <w:t>No ārstējošā ārsta izrakst</w:t>
      </w:r>
      <w:r w:rsidR="00CF4833">
        <w:rPr>
          <w:rFonts w:asciiTheme="majorBidi" w:eastAsiaTheme="minorHAnsi" w:hAnsiTheme="majorBidi" w:cstheme="majorBidi"/>
          <w:lang w:eastAsia="en-US"/>
          <w14:ligatures w14:val="standardContextual"/>
        </w:rPr>
        <w:t>a</w:t>
      </w:r>
      <w:r w:rsidR="003D4656">
        <w:rPr>
          <w:rFonts w:asciiTheme="majorBidi" w:eastAsiaTheme="minorHAnsi" w:hAnsiTheme="majorBidi" w:cstheme="majorBidi"/>
          <w:lang w:eastAsia="en-US"/>
          <w14:ligatures w14:val="standardContextual"/>
        </w:rPr>
        <w:t>-e</w:t>
      </w:r>
      <w:r w:rsidR="00456B29">
        <w:rPr>
          <w:rFonts w:asciiTheme="majorBidi" w:eastAsiaTheme="minorHAnsi" w:hAnsiTheme="majorBidi" w:cstheme="majorBidi"/>
          <w:lang w:eastAsia="en-US"/>
          <w14:ligatures w14:val="standardContextual"/>
        </w:rPr>
        <w:t>pikr</w:t>
      </w:r>
      <w:r w:rsidR="003D4656">
        <w:rPr>
          <w:rFonts w:asciiTheme="majorBidi" w:eastAsiaTheme="minorHAnsi" w:hAnsiTheme="majorBidi" w:cstheme="majorBidi"/>
          <w:lang w:eastAsia="en-US"/>
          <w14:ligatures w14:val="standardContextual"/>
        </w:rPr>
        <w:t>īzes secināms, ka slimnīcas ārstniecības person</w:t>
      </w:r>
      <w:r w:rsidR="0001449E">
        <w:rPr>
          <w:rFonts w:asciiTheme="majorBidi" w:eastAsiaTheme="minorHAnsi" w:hAnsiTheme="majorBidi" w:cstheme="majorBidi"/>
          <w:lang w:eastAsia="en-US"/>
          <w14:ligatures w14:val="standardContextual"/>
        </w:rPr>
        <w:t>ām</w:t>
      </w:r>
      <w:r w:rsidR="003D4656">
        <w:rPr>
          <w:rFonts w:asciiTheme="majorBidi" w:eastAsiaTheme="minorHAnsi" w:hAnsiTheme="majorBidi" w:cstheme="majorBidi"/>
          <w:lang w:eastAsia="en-US"/>
          <w14:ligatures w14:val="standardContextual"/>
        </w:rPr>
        <w:t xml:space="preserve"> pacientes nāves iestāšanās brīdī nāves iemesls bija pietiekami skaidrs</w:t>
      </w:r>
      <w:r w:rsidR="0001449E">
        <w:rPr>
          <w:rFonts w:asciiTheme="majorBidi" w:eastAsiaTheme="minorHAnsi" w:hAnsiTheme="majorBidi" w:cstheme="majorBidi"/>
          <w:lang w:eastAsia="en-US"/>
          <w14:ligatures w14:val="standardContextual"/>
        </w:rPr>
        <w:t xml:space="preserve">. Minētā tiesību norma nenosaka obligāti veikt patologanatomisko </w:t>
      </w:r>
      <w:r w:rsidR="00B2733B">
        <w:rPr>
          <w:rFonts w:asciiTheme="majorBidi" w:eastAsiaTheme="minorHAnsi" w:hAnsiTheme="majorBidi" w:cstheme="majorBidi"/>
          <w:lang w:eastAsia="en-US"/>
          <w14:ligatures w14:val="standardContextual"/>
        </w:rPr>
        <w:t>izmeklēšanu</w:t>
      </w:r>
      <w:r w:rsidR="0001449E">
        <w:rPr>
          <w:rFonts w:asciiTheme="majorBidi" w:eastAsiaTheme="minorHAnsi" w:hAnsiTheme="majorBidi" w:cstheme="majorBidi"/>
          <w:lang w:eastAsia="en-US"/>
          <w14:ligatures w14:val="standardContextual"/>
        </w:rPr>
        <w:t>, ja ārstam ir šaubas par zināmas, dzīves laikā uzstādītas diagnozes pareizību.</w:t>
      </w:r>
      <w:r w:rsidR="00B2733B">
        <w:rPr>
          <w:rFonts w:asciiTheme="majorBidi" w:eastAsiaTheme="minorHAnsi" w:hAnsiTheme="majorBidi" w:cstheme="majorBidi"/>
          <w:lang w:eastAsia="en-US"/>
          <w14:ligatures w14:val="standardContextual"/>
        </w:rPr>
        <w:t xml:space="preserve"> Pretlikumīgi veiktā patologanatomiskā izmeklēšana apliecina pamatu saņemt 100 % atlīdzību no Ārstniecības riska fonda atbilstoši Pacientu tiesību likuma 16.panta otrās daļas 1.punktam.</w:t>
      </w:r>
    </w:p>
    <w:p w14:paraId="1D322D46" w14:textId="474AFF2F" w:rsidR="00045CD5" w:rsidRPr="00045CD5" w:rsidRDefault="005172C5"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E9159C">
        <w:rPr>
          <w:rFonts w:asciiTheme="majorBidi" w:eastAsiaTheme="minorHAnsi" w:hAnsiTheme="majorBidi" w:cstheme="majorBidi"/>
          <w:lang w:eastAsia="en-US"/>
          <w14:ligatures w14:val="standardContextual"/>
        </w:rPr>
        <w:t>5</w:t>
      </w:r>
      <w:r>
        <w:rPr>
          <w:rFonts w:asciiTheme="majorBidi" w:eastAsiaTheme="minorHAnsi" w:hAnsiTheme="majorBidi" w:cstheme="majorBidi"/>
          <w:lang w:eastAsia="en-US"/>
          <w14:ligatures w14:val="standardContextual"/>
        </w:rPr>
        <w:t>.</w:t>
      </w:r>
      <w:r w:rsidR="00B7626A">
        <w:rPr>
          <w:rFonts w:asciiTheme="majorBidi" w:eastAsiaTheme="minorHAnsi" w:hAnsiTheme="majorBidi" w:cstheme="majorBidi"/>
          <w:lang w:eastAsia="en-US"/>
          <w14:ligatures w14:val="standardContextual"/>
        </w:rPr>
        <w:t>5</w:t>
      </w:r>
      <w:r>
        <w:rPr>
          <w:rFonts w:asciiTheme="majorBidi" w:eastAsiaTheme="minorHAnsi" w:hAnsiTheme="majorBidi" w:cstheme="majorBidi"/>
          <w:lang w:eastAsia="en-US"/>
          <w14:ligatures w14:val="standardContextual"/>
        </w:rPr>
        <w:t>] Nav pareiz</w:t>
      </w:r>
      <w:r w:rsidR="00CF4833">
        <w:rPr>
          <w:rFonts w:asciiTheme="majorBidi" w:eastAsiaTheme="minorHAnsi" w:hAnsiTheme="majorBidi" w:cstheme="majorBidi"/>
          <w:lang w:eastAsia="en-US"/>
          <w14:ligatures w14:val="standardContextual"/>
        </w:rPr>
        <w:t xml:space="preserve">i, ka </w:t>
      </w:r>
      <w:r>
        <w:rPr>
          <w:rFonts w:asciiTheme="majorBidi" w:eastAsiaTheme="minorHAnsi" w:hAnsiTheme="majorBidi" w:cstheme="majorBidi"/>
          <w:lang w:eastAsia="en-US"/>
          <w14:ligatures w14:val="standardContextual"/>
        </w:rPr>
        <w:t xml:space="preserve">apgabaltiesa </w:t>
      </w:r>
      <w:r w:rsidR="00045CD5">
        <w:rPr>
          <w:rFonts w:asciiTheme="majorBidi" w:eastAsiaTheme="minorHAnsi" w:hAnsiTheme="majorBidi" w:cstheme="majorBidi"/>
          <w:lang w:eastAsia="en-US"/>
          <w14:ligatures w14:val="standardContextual"/>
        </w:rPr>
        <w:t>no atbildētāja par labu pieteicējam piesprie</w:t>
      </w:r>
      <w:r w:rsidR="00CF4833">
        <w:rPr>
          <w:rFonts w:asciiTheme="majorBidi" w:eastAsiaTheme="minorHAnsi" w:hAnsiTheme="majorBidi" w:cstheme="majorBidi"/>
          <w:lang w:eastAsia="en-US"/>
          <w14:ligatures w14:val="standardContextual"/>
        </w:rPr>
        <w:t>dusi</w:t>
      </w:r>
      <w:r w:rsidR="00045CD5">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samaksāto valsts nodevu 30</w:t>
      </w:r>
      <w:r w:rsidR="00CF4833">
        <w:rPr>
          <w:rFonts w:asciiTheme="majorBidi" w:eastAsiaTheme="minorHAnsi" w:hAnsiTheme="majorBidi" w:cstheme="majorBidi"/>
          <w:lang w:eastAsia="en-US"/>
          <w14:ligatures w14:val="standardContextual"/>
        </w:rPr>
        <w:t> </w:t>
      </w:r>
      <w:r>
        <w:rPr>
          <w:rFonts w:asciiTheme="majorBidi" w:eastAsiaTheme="minorHAnsi" w:hAnsiTheme="majorBidi" w:cstheme="majorBidi"/>
          <w:i/>
          <w:iCs/>
          <w:lang w:eastAsia="en-US"/>
          <w14:ligatures w14:val="standardContextual"/>
        </w:rPr>
        <w:t>euro</w:t>
      </w:r>
      <w:r>
        <w:rPr>
          <w:rFonts w:asciiTheme="majorBidi" w:eastAsiaTheme="minorHAnsi" w:hAnsiTheme="majorBidi" w:cstheme="majorBidi"/>
          <w:lang w:eastAsia="en-US"/>
          <w14:ligatures w14:val="standardContextual"/>
        </w:rPr>
        <w:t xml:space="preserve"> </w:t>
      </w:r>
      <w:r w:rsidR="00045CD5">
        <w:rPr>
          <w:rFonts w:asciiTheme="majorBidi" w:eastAsiaTheme="minorHAnsi" w:hAnsiTheme="majorBidi" w:cstheme="majorBidi"/>
          <w:lang w:eastAsia="en-US"/>
          <w14:ligatures w14:val="standardContextual"/>
        </w:rPr>
        <w:t xml:space="preserve">tikai par pieteikumu. Atbilstoši Administratīvā procesa likuma 126.panta pirmajai daļai valsts nodeva atlīdzināma, ja pieteikums pilnība vai daļā apmierināts. Līdz ar to, ievērojot, ka apgabaltiesa apmierināja pieteikumu daļā, atlīdzināma </w:t>
      </w:r>
      <w:r w:rsidR="00DF1DAA">
        <w:rPr>
          <w:rFonts w:asciiTheme="majorBidi" w:eastAsiaTheme="minorHAnsi" w:hAnsiTheme="majorBidi" w:cstheme="majorBidi"/>
          <w:lang w:eastAsia="en-US"/>
          <w14:ligatures w14:val="standardContextual"/>
        </w:rPr>
        <w:t>arī</w:t>
      </w:r>
      <w:r w:rsidR="00045CD5">
        <w:rPr>
          <w:rFonts w:asciiTheme="majorBidi" w:eastAsiaTheme="minorHAnsi" w:hAnsiTheme="majorBidi" w:cstheme="majorBidi"/>
          <w:lang w:eastAsia="en-US"/>
          <w14:ligatures w14:val="standardContextual"/>
        </w:rPr>
        <w:t xml:space="preserve"> valsts nodeva </w:t>
      </w:r>
      <w:r w:rsidR="001B598C">
        <w:rPr>
          <w:rFonts w:asciiTheme="majorBidi" w:eastAsiaTheme="minorHAnsi" w:hAnsiTheme="majorBidi" w:cstheme="majorBidi"/>
          <w:lang w:eastAsia="en-US"/>
          <w14:ligatures w14:val="standardContextual"/>
        </w:rPr>
        <w:t>6</w:t>
      </w:r>
      <w:r w:rsidR="00045CD5">
        <w:rPr>
          <w:rFonts w:asciiTheme="majorBidi" w:eastAsiaTheme="minorHAnsi" w:hAnsiTheme="majorBidi" w:cstheme="majorBidi"/>
          <w:lang w:eastAsia="en-US"/>
          <w14:ligatures w14:val="standardContextual"/>
        </w:rPr>
        <w:t>0</w:t>
      </w:r>
      <w:r w:rsidR="00CF4833">
        <w:rPr>
          <w:rFonts w:asciiTheme="majorBidi" w:eastAsiaTheme="minorHAnsi" w:hAnsiTheme="majorBidi" w:cstheme="majorBidi"/>
          <w:lang w:eastAsia="en-US"/>
          <w14:ligatures w14:val="standardContextual"/>
        </w:rPr>
        <w:t> </w:t>
      </w:r>
      <w:r w:rsidR="00045CD5">
        <w:rPr>
          <w:rFonts w:asciiTheme="majorBidi" w:eastAsiaTheme="minorHAnsi" w:hAnsiTheme="majorBidi" w:cstheme="majorBidi"/>
          <w:i/>
          <w:iCs/>
          <w:lang w:eastAsia="en-US"/>
          <w14:ligatures w14:val="standardContextual"/>
        </w:rPr>
        <w:t>euro</w:t>
      </w:r>
      <w:r w:rsidR="00045CD5">
        <w:rPr>
          <w:rFonts w:asciiTheme="majorBidi" w:eastAsiaTheme="minorHAnsi" w:hAnsiTheme="majorBidi" w:cstheme="majorBidi"/>
          <w:lang w:eastAsia="en-US"/>
          <w14:ligatures w14:val="standardContextual"/>
        </w:rPr>
        <w:t xml:space="preserve"> par pretapelācijas sūdzību</w:t>
      </w:r>
      <w:r w:rsidR="00E341EA">
        <w:rPr>
          <w:rFonts w:asciiTheme="majorBidi" w:eastAsiaTheme="minorHAnsi" w:hAnsiTheme="majorBidi" w:cstheme="majorBidi"/>
          <w:lang w:eastAsia="en-US"/>
          <w14:ligatures w14:val="standardContextual"/>
        </w:rPr>
        <w:t xml:space="preserve"> neatkarīgi no tā, vai pretapelācijas sūdzība bija pamatota</w:t>
      </w:r>
      <w:r w:rsidR="00045CD5">
        <w:rPr>
          <w:rFonts w:asciiTheme="majorBidi" w:eastAsiaTheme="minorHAnsi" w:hAnsiTheme="majorBidi" w:cstheme="majorBidi"/>
          <w:lang w:eastAsia="en-US"/>
          <w14:ligatures w14:val="standardContextual"/>
        </w:rPr>
        <w:t>.</w:t>
      </w:r>
    </w:p>
    <w:p w14:paraId="75D059F2" w14:textId="77777777" w:rsidR="00522062" w:rsidRDefault="00522062" w:rsidP="00A10C51">
      <w:pPr>
        <w:spacing w:line="276" w:lineRule="auto"/>
        <w:jc w:val="both"/>
        <w:rPr>
          <w:rFonts w:asciiTheme="majorBidi" w:hAnsiTheme="majorBidi" w:cstheme="majorBidi"/>
          <w:highlight w:val="yellow"/>
        </w:rPr>
      </w:pPr>
    </w:p>
    <w:p w14:paraId="19D01CC4" w14:textId="2F6641B9" w:rsidR="00E9159C" w:rsidRPr="00E9159C" w:rsidRDefault="00E9159C" w:rsidP="00A10C51">
      <w:pPr>
        <w:autoSpaceDE w:val="0"/>
        <w:autoSpaceDN w:val="0"/>
        <w:adjustRightInd w:val="0"/>
        <w:spacing w:line="276" w:lineRule="auto"/>
        <w:ind w:firstLine="720"/>
        <w:jc w:val="both"/>
        <w:rPr>
          <w:rFonts w:eastAsiaTheme="minorHAnsi"/>
          <w:i/>
          <w:iCs/>
          <w:lang w:eastAsia="en-US"/>
        </w:rPr>
      </w:pPr>
      <w:r>
        <w:rPr>
          <w:i/>
        </w:rPr>
        <w:t>Veselības inspekcijas</w:t>
      </w:r>
      <w:r w:rsidRPr="00C2686E">
        <w:rPr>
          <w:i/>
        </w:rPr>
        <w:t xml:space="preserve"> </w:t>
      </w:r>
      <w:r w:rsidRPr="00C2686E">
        <w:rPr>
          <w:rFonts w:eastAsiaTheme="minorHAnsi"/>
          <w:i/>
          <w:iCs/>
          <w:lang w:eastAsia="en-US"/>
        </w:rPr>
        <w:t>kasācijas sūdzības argumenti</w:t>
      </w:r>
    </w:p>
    <w:p w14:paraId="55178975" w14:textId="1465026A" w:rsidR="00522062" w:rsidRPr="002355CB" w:rsidRDefault="00522062" w:rsidP="00A10C51">
      <w:pPr>
        <w:pStyle w:val="NoSpacing"/>
        <w:spacing w:line="276" w:lineRule="auto"/>
        <w:ind w:firstLine="720"/>
        <w:jc w:val="both"/>
        <w:rPr>
          <w:rFonts w:asciiTheme="majorBidi" w:hAnsiTheme="majorBidi" w:cstheme="majorBidi"/>
        </w:rPr>
      </w:pPr>
      <w:r w:rsidRPr="002355CB">
        <w:rPr>
          <w:rFonts w:asciiTheme="majorBidi" w:hAnsiTheme="majorBidi" w:cstheme="majorBidi"/>
        </w:rPr>
        <w:t>[</w:t>
      </w:r>
      <w:r w:rsidR="00E9159C">
        <w:rPr>
          <w:rFonts w:asciiTheme="majorBidi" w:hAnsiTheme="majorBidi" w:cstheme="majorBidi"/>
        </w:rPr>
        <w:t>6</w:t>
      </w:r>
      <w:r w:rsidRPr="002355CB">
        <w:rPr>
          <w:rFonts w:asciiTheme="majorBidi" w:hAnsiTheme="majorBidi" w:cstheme="majorBidi"/>
        </w:rPr>
        <w:t>]</w:t>
      </w:r>
      <w:bookmarkEnd w:id="2"/>
      <w:r w:rsidR="001B1153">
        <w:rPr>
          <w:rFonts w:asciiTheme="majorBidi" w:hAnsiTheme="majorBidi" w:cstheme="majorBidi"/>
        </w:rPr>
        <w:t> </w:t>
      </w:r>
      <w:r w:rsidR="00CC2C42">
        <w:rPr>
          <w:rFonts w:asciiTheme="majorBidi" w:hAnsiTheme="majorBidi" w:cstheme="majorBidi"/>
        </w:rPr>
        <w:t>Veselības i</w:t>
      </w:r>
      <w:r w:rsidR="00CF0D83">
        <w:rPr>
          <w:rFonts w:asciiTheme="majorBidi" w:hAnsiTheme="majorBidi" w:cstheme="majorBidi"/>
        </w:rPr>
        <w:t>nspekcija iesnie</w:t>
      </w:r>
      <w:r w:rsidR="00BD3D42">
        <w:rPr>
          <w:rFonts w:asciiTheme="majorBidi" w:hAnsiTheme="majorBidi" w:cstheme="majorBidi"/>
        </w:rPr>
        <w:t>dza</w:t>
      </w:r>
      <w:r w:rsidR="00CF0D83">
        <w:rPr>
          <w:rFonts w:asciiTheme="majorBidi" w:hAnsiTheme="majorBidi" w:cstheme="majorBidi"/>
        </w:rPr>
        <w:t xml:space="preserve"> kasācijas sūdzību par apgabaltiesas spriedumu un norāda turpmāk minētos argumentus.</w:t>
      </w:r>
    </w:p>
    <w:p w14:paraId="363C0298" w14:textId="245FD394" w:rsidR="00522062" w:rsidRDefault="00522062" w:rsidP="00A10C51">
      <w:pPr>
        <w:spacing w:line="276" w:lineRule="auto"/>
        <w:ind w:firstLine="709"/>
        <w:jc w:val="both"/>
      </w:pPr>
      <w:r w:rsidRPr="002355CB">
        <w:rPr>
          <w:rFonts w:asciiTheme="majorBidi" w:hAnsiTheme="majorBidi" w:cstheme="majorBidi"/>
        </w:rPr>
        <w:t>[</w:t>
      </w:r>
      <w:r w:rsidR="00E9159C">
        <w:rPr>
          <w:rFonts w:asciiTheme="majorBidi" w:hAnsiTheme="majorBidi" w:cstheme="majorBidi"/>
        </w:rPr>
        <w:t>6</w:t>
      </w:r>
      <w:r>
        <w:rPr>
          <w:rFonts w:asciiTheme="majorBidi" w:hAnsiTheme="majorBidi" w:cstheme="majorBidi"/>
        </w:rPr>
        <w:t>.1</w:t>
      </w:r>
      <w:r w:rsidRPr="002355CB">
        <w:rPr>
          <w:rFonts w:asciiTheme="majorBidi" w:hAnsiTheme="majorBidi" w:cstheme="majorBidi"/>
        </w:rPr>
        <w:t>]</w:t>
      </w:r>
      <w:r w:rsidR="002E2659">
        <w:rPr>
          <w:rFonts w:asciiTheme="majorBidi" w:hAnsiTheme="majorBidi" w:cstheme="majorBidi"/>
        </w:rPr>
        <w:t xml:space="preserve"> Apgabaltiesa nepareizi piemērojusi </w:t>
      </w:r>
      <w:r w:rsidR="00685414">
        <w:t>2.pielikuma 3.1.apakšpunktu, kļūdaini uzskatot, ka nāves iestāšanās ir noteicošais kritērijs 3.1.apakšpunkta piemērošanā.</w:t>
      </w:r>
    </w:p>
    <w:p w14:paraId="160B5686" w14:textId="60BCF2D2" w:rsidR="009940CE" w:rsidRDefault="00685414" w:rsidP="00A10C51">
      <w:pPr>
        <w:spacing w:line="276" w:lineRule="auto"/>
        <w:ind w:firstLine="709"/>
        <w:jc w:val="both"/>
      </w:pPr>
      <w:r>
        <w:t>2.pielikuma 3.1.apakšpunkt</w:t>
      </w:r>
      <w:r w:rsidR="000F62F6">
        <w:t>u</w:t>
      </w:r>
      <w:r>
        <w:t xml:space="preserve"> </w:t>
      </w:r>
      <w:r w:rsidR="000F62F6">
        <w:t>un</w:t>
      </w:r>
      <w:r>
        <w:t xml:space="preserve"> 3.3.1.</w:t>
      </w:r>
      <w:r w:rsidR="000F62F6">
        <w:t>apakšpunktu nošķir tas, vai netika atbilstoši diagnosticēta un ārstēta saslimšana (</w:t>
      </w:r>
      <w:r w:rsidR="00EA1B09">
        <w:t>suverēna saslimšana</w:t>
      </w:r>
      <w:r w:rsidR="000F62F6">
        <w:t>) vai pamatslimības komplikācija.</w:t>
      </w:r>
      <w:r w:rsidR="009940CE">
        <w:t xml:space="preserve"> Nav saprotams, kādēļ apgabaltiesa, atzīstot, ka DVT ir tiešā saistībā ar pacientei pastāvošajām hroniskajām saslimšanām, ir konstatēj</w:t>
      </w:r>
      <w:r w:rsidR="00DB4121">
        <w:t>usi</w:t>
      </w:r>
      <w:r w:rsidR="009940CE">
        <w:t>, ka DVT un PATE ir neatkarīgas saslimšanas, kas pacientei netika diagnosticētas un ārstētas.</w:t>
      </w:r>
    </w:p>
    <w:p w14:paraId="04D9BE54" w14:textId="40EB05BB" w:rsidR="00685414" w:rsidRDefault="007A0D71" w:rsidP="00A10C51">
      <w:pPr>
        <w:spacing w:line="276" w:lineRule="auto"/>
        <w:ind w:firstLine="709"/>
        <w:jc w:val="both"/>
      </w:pPr>
      <w:r>
        <w:t>Ievērojot zinātniskajā literatūrā pausto</w:t>
      </w:r>
      <w:r w:rsidR="009940CE">
        <w:t>,</w:t>
      </w:r>
      <w:r>
        <w:t xml:space="preserve"> konstatējams,</w:t>
      </w:r>
      <w:r w:rsidR="009940CE">
        <w:t xml:space="preserve"> ka pacientes hroniskās saslimšanas tiešā veidā ietekmēja DVT, kas savukārt komplicējās ar PATE attīstību un izraidīja pacientes nāvi.</w:t>
      </w:r>
      <w:r w:rsidR="00946417">
        <w:t xml:space="preserve"> Tādējādi secināms, ka piemērojams ir 2.pielikuma 3.3.1.apakšpunks, jo DVT un PATE bija pamatslimību komplikācijas, kas netika diagnosticētas un ārstēta</w:t>
      </w:r>
      <w:r w:rsidR="006626E9">
        <w:t>s.</w:t>
      </w:r>
      <w:r w:rsidR="00685414">
        <w:t xml:space="preserve"> </w:t>
      </w:r>
    </w:p>
    <w:p w14:paraId="621FD358" w14:textId="3E692DE2" w:rsidR="00094542" w:rsidRPr="007A7336" w:rsidRDefault="00094542" w:rsidP="00A10C51">
      <w:pPr>
        <w:spacing w:line="276" w:lineRule="auto"/>
        <w:ind w:firstLine="709"/>
        <w:jc w:val="both"/>
      </w:pPr>
      <w:r>
        <w:t>[</w:t>
      </w:r>
      <w:r w:rsidR="00E9159C">
        <w:t>6</w:t>
      </w:r>
      <w:r>
        <w:t>.2]</w:t>
      </w:r>
      <w:r w:rsidR="00502C67">
        <w:t> Pārsūdzētajā spriedumā ir pieļauts materiāl</w:t>
      </w:r>
      <w:r w:rsidR="00E00BC9">
        <w:t xml:space="preserve">o </w:t>
      </w:r>
      <w:r w:rsidR="00502C67">
        <w:t>tiesību norm</w:t>
      </w:r>
      <w:r w:rsidR="002F65D3">
        <w:t>u</w:t>
      </w:r>
      <w:r w:rsidR="009140AA">
        <w:t xml:space="preserve"> – </w:t>
      </w:r>
      <w:r w:rsidR="00502C67">
        <w:t>2.pielikuma 2.2.1.apakšpunkta</w:t>
      </w:r>
      <w:r w:rsidR="007A7336">
        <w:t xml:space="preserve"> un 2.4.1.</w:t>
      </w:r>
      <w:r w:rsidR="00AF39E1">
        <w:t>apakšpunkta</w:t>
      </w:r>
      <w:r w:rsidR="00502C67">
        <w:t xml:space="preserve"> </w:t>
      </w:r>
      <w:r w:rsidR="009140AA">
        <w:t xml:space="preserve">– </w:t>
      </w:r>
      <w:r w:rsidR="00502C67">
        <w:t>piemērošanas pārkāpums</w:t>
      </w:r>
      <w:r w:rsidR="007A7336">
        <w:t>, kā arī Administratīvā procesa likuma 154.pant</w:t>
      </w:r>
      <w:r w:rsidR="00AF39E1">
        <w:t>a pārkāpums</w:t>
      </w:r>
      <w:r w:rsidR="00502C67">
        <w:t>.</w:t>
      </w:r>
      <w:r w:rsidR="007051F5">
        <w:t xml:space="preserve"> Apgabaltiesa nav vērtējusi apelācijas sūdzībā ietvert</w:t>
      </w:r>
      <w:r w:rsidR="007818E1">
        <w:t>os argumentus</w:t>
      </w:r>
      <w:r w:rsidR="007051F5">
        <w:t>, kas liecina par pacientes slimības atipisku norises gaitu, ievērojot, ka slimība no</w:t>
      </w:r>
      <w:r w:rsidR="000215E1">
        <w:t>risinājās a</w:t>
      </w:r>
      <w:r w:rsidR="007051F5">
        <w:t>simptomātisk</w:t>
      </w:r>
      <w:r w:rsidR="000215E1">
        <w:t>i</w:t>
      </w:r>
      <w:r w:rsidR="007A7336">
        <w:t xml:space="preserve">, kā arī </w:t>
      </w:r>
      <w:r w:rsidR="00C9744F">
        <w:t xml:space="preserve">par </w:t>
      </w:r>
      <w:r w:rsidR="007A7336">
        <w:t xml:space="preserve">to, ka ārstniecības personu darbības bija daļēji atbilstošas </w:t>
      </w:r>
      <w:r w:rsidR="00EF5A36">
        <w:t>Ā</w:t>
      </w:r>
      <w:r w:rsidR="007A7336">
        <w:t>rstniecības likuma 9.</w:t>
      </w:r>
      <w:r w:rsidR="007A7336">
        <w:rPr>
          <w:vertAlign w:val="superscript"/>
        </w:rPr>
        <w:t>1</w:t>
      </w:r>
      <w:r w:rsidR="007A7336">
        <w:t>panta pirmajai daļai.</w:t>
      </w:r>
    </w:p>
    <w:p w14:paraId="3617FDC6" w14:textId="7952C637" w:rsidR="00A83C88" w:rsidRDefault="00A83C88" w:rsidP="00A10C51">
      <w:pPr>
        <w:spacing w:line="276" w:lineRule="auto"/>
        <w:ind w:firstLine="709"/>
        <w:jc w:val="both"/>
      </w:pPr>
      <w:r>
        <w:lastRenderedPageBreak/>
        <w:t>[</w:t>
      </w:r>
      <w:r w:rsidR="00E9159C">
        <w:t>6</w:t>
      </w:r>
      <w:r>
        <w:t>.3]</w:t>
      </w:r>
      <w:r w:rsidR="000641F1">
        <w:t> Apgabaltiesa</w:t>
      </w:r>
      <w:r w:rsidR="00CC0DAA">
        <w:t>, vērtējot pacientes līdzestību, nav pievērsusi uzmanību</w:t>
      </w:r>
      <w:r w:rsidR="007E3FCA">
        <w:t xml:space="preserve">, ka pacientei bija jāinformē ārstniecības personas par medikamenta </w:t>
      </w:r>
      <w:r w:rsidR="007E3FCA">
        <w:rPr>
          <w:i/>
          <w:iCs/>
        </w:rPr>
        <w:t>Clopidogrel</w:t>
      </w:r>
      <w:r w:rsidR="007E3FCA">
        <w:t xml:space="preserve"> izrakstīšanu un lietošanu pirms stacionēšanās slimnīcā. Šāda informācija bija būtiska, jo</w:t>
      </w:r>
      <w:r w:rsidR="00FA64AA">
        <w:t>,</w:t>
      </w:r>
      <w:r w:rsidR="007E3FCA">
        <w:t xml:space="preserve"> pārtraucot medikamentu lietošanu, trombocītu agregācija pakāpeniski atjaunojās sākotnējā līmenī piecu dienu laikā pēc ārstēšanās pārtraukšanas</w:t>
      </w:r>
      <w:r w:rsidR="00FA64AA">
        <w:t>. Informācija varēja ietekmēt lēmumu par nodrošināmo ārstniecības stratēģiju. Līdz ar to paciente atzīstama par daļēji līdzestīgu atbilstoši 2.pielikuma 2.3.2.apakšpunktam.</w:t>
      </w:r>
    </w:p>
    <w:p w14:paraId="6F6BFE23" w14:textId="77777777" w:rsidR="00522062" w:rsidRPr="002355CB" w:rsidRDefault="00522062" w:rsidP="00A10C51">
      <w:pPr>
        <w:spacing w:line="276" w:lineRule="auto"/>
        <w:ind w:firstLine="720"/>
        <w:jc w:val="both"/>
        <w:rPr>
          <w:rFonts w:asciiTheme="majorBidi" w:hAnsiTheme="majorBidi" w:cstheme="majorBidi"/>
        </w:rPr>
      </w:pPr>
    </w:p>
    <w:p w14:paraId="1D018080" w14:textId="77777777" w:rsidR="00522062" w:rsidRPr="002355CB" w:rsidRDefault="00522062" w:rsidP="00A10C51">
      <w:pPr>
        <w:spacing w:line="276" w:lineRule="auto"/>
        <w:jc w:val="center"/>
        <w:rPr>
          <w:rFonts w:asciiTheme="majorBidi" w:hAnsiTheme="majorBidi" w:cstheme="majorBidi"/>
          <w:b/>
        </w:rPr>
      </w:pPr>
      <w:r w:rsidRPr="00CE44AE">
        <w:rPr>
          <w:rFonts w:asciiTheme="majorBidi" w:hAnsiTheme="majorBidi" w:cstheme="majorBidi"/>
          <w:b/>
        </w:rPr>
        <w:t>Motīvu daļa</w:t>
      </w:r>
    </w:p>
    <w:p w14:paraId="5DAB64AC" w14:textId="77777777" w:rsidR="00522062" w:rsidRPr="002355CB" w:rsidRDefault="00522062" w:rsidP="00A10C51">
      <w:pPr>
        <w:spacing w:line="276" w:lineRule="auto"/>
        <w:jc w:val="center"/>
        <w:rPr>
          <w:rFonts w:asciiTheme="majorBidi" w:hAnsiTheme="majorBidi" w:cstheme="majorBidi"/>
          <w:bCs/>
        </w:rPr>
      </w:pPr>
    </w:p>
    <w:p w14:paraId="4F4606F6" w14:textId="7D841FF6" w:rsidR="00D15134" w:rsidRDefault="00522062" w:rsidP="00A10C51">
      <w:pPr>
        <w:autoSpaceDE w:val="0"/>
        <w:autoSpaceDN w:val="0"/>
        <w:adjustRightInd w:val="0"/>
        <w:spacing w:line="276" w:lineRule="auto"/>
        <w:ind w:firstLine="720"/>
        <w:jc w:val="both"/>
        <w:rPr>
          <w:rFonts w:asciiTheme="majorBidi" w:hAnsiTheme="majorBidi" w:cstheme="majorBidi"/>
        </w:rPr>
      </w:pPr>
      <w:r w:rsidRPr="00FE6A32">
        <w:rPr>
          <w:rFonts w:asciiTheme="majorBidi" w:hAnsiTheme="majorBidi" w:cstheme="majorBidi"/>
        </w:rPr>
        <w:t>[</w:t>
      </w:r>
      <w:r w:rsidR="008966CE">
        <w:rPr>
          <w:rFonts w:asciiTheme="majorBidi" w:hAnsiTheme="majorBidi" w:cstheme="majorBidi"/>
        </w:rPr>
        <w:t>7</w:t>
      </w:r>
      <w:r w:rsidRPr="00FE6A32">
        <w:rPr>
          <w:rFonts w:asciiTheme="majorBidi" w:hAnsiTheme="majorBidi" w:cstheme="majorBidi"/>
        </w:rPr>
        <w:t>]</w:t>
      </w:r>
      <w:r w:rsidR="001B1153">
        <w:rPr>
          <w:rFonts w:asciiTheme="majorBidi" w:hAnsiTheme="majorBidi" w:cstheme="majorBidi"/>
        </w:rPr>
        <w:t> </w:t>
      </w:r>
      <w:r w:rsidR="00CC2C42">
        <w:rPr>
          <w:rFonts w:asciiTheme="majorBidi" w:hAnsiTheme="majorBidi" w:cstheme="majorBidi"/>
        </w:rPr>
        <w:t>Veselības i</w:t>
      </w:r>
      <w:r w:rsidR="00FA25B3">
        <w:rPr>
          <w:rFonts w:asciiTheme="majorBidi" w:hAnsiTheme="majorBidi" w:cstheme="majorBidi"/>
        </w:rPr>
        <w:t>nspekcija, sniedzot atbildi uz Senāta papildu paskaidrojumu pieprasījumu, 2025.gada 22.janvārī vēstul</w:t>
      </w:r>
      <w:r w:rsidR="00CF4833">
        <w:rPr>
          <w:rFonts w:asciiTheme="majorBidi" w:hAnsiTheme="majorBidi" w:cstheme="majorBidi"/>
        </w:rPr>
        <w:t>ē</w:t>
      </w:r>
      <w:r w:rsidR="00FA25B3">
        <w:rPr>
          <w:rFonts w:asciiTheme="majorBidi" w:hAnsiTheme="majorBidi" w:cstheme="majorBidi"/>
        </w:rPr>
        <w:t xml:space="preserve"> </w:t>
      </w:r>
      <w:r w:rsidR="00CF4833">
        <w:rPr>
          <w:rFonts w:asciiTheme="majorBidi" w:hAnsiTheme="majorBidi" w:cstheme="majorBidi"/>
        </w:rPr>
        <w:t>precizēja</w:t>
      </w:r>
      <w:r w:rsidR="00FA25B3">
        <w:rPr>
          <w:rFonts w:asciiTheme="majorBidi" w:hAnsiTheme="majorBidi" w:cstheme="majorBidi"/>
        </w:rPr>
        <w:t xml:space="preserve">, ka apgabaltiesas spriedumu pārsūdz daļā, kas pārsniedz </w:t>
      </w:r>
      <w:r w:rsidR="00815B38">
        <w:rPr>
          <w:rFonts w:asciiTheme="majorBidi" w:hAnsiTheme="majorBidi" w:cstheme="majorBidi"/>
        </w:rPr>
        <w:t xml:space="preserve">inspekcijas jau iepriekš atzīto atlīdzību </w:t>
      </w:r>
      <w:r w:rsidR="00FA25B3">
        <w:rPr>
          <w:rFonts w:asciiTheme="majorBidi" w:hAnsiTheme="majorBidi" w:cstheme="majorBidi"/>
        </w:rPr>
        <w:t>23 477,85</w:t>
      </w:r>
      <w:r w:rsidR="00C56DA5">
        <w:rPr>
          <w:rFonts w:asciiTheme="majorBidi" w:hAnsiTheme="majorBidi" w:cstheme="majorBidi"/>
        </w:rPr>
        <w:t> </w:t>
      </w:r>
      <w:r w:rsidR="00FA25B3">
        <w:rPr>
          <w:rFonts w:asciiTheme="majorBidi" w:hAnsiTheme="majorBidi" w:cstheme="majorBidi"/>
          <w:i/>
          <w:iCs/>
        </w:rPr>
        <w:t>euro</w:t>
      </w:r>
      <w:r w:rsidR="00FA25B3">
        <w:rPr>
          <w:rFonts w:asciiTheme="majorBidi" w:hAnsiTheme="majorBidi" w:cstheme="majorBidi"/>
        </w:rPr>
        <w:t>.</w:t>
      </w:r>
    </w:p>
    <w:p w14:paraId="0FB83001" w14:textId="718209D7" w:rsidR="00815B38" w:rsidRDefault="00815B38" w:rsidP="00A10C51">
      <w:pPr>
        <w:autoSpaceDE w:val="0"/>
        <w:autoSpaceDN w:val="0"/>
        <w:adjustRightInd w:val="0"/>
        <w:spacing w:line="276" w:lineRule="auto"/>
        <w:jc w:val="both"/>
        <w:rPr>
          <w:rFonts w:asciiTheme="majorBidi" w:hAnsiTheme="majorBidi" w:cstheme="majorBidi"/>
        </w:rPr>
      </w:pPr>
      <w:r>
        <w:rPr>
          <w:rFonts w:asciiTheme="majorBidi" w:hAnsiTheme="majorBidi" w:cstheme="majorBidi"/>
        </w:rPr>
        <w:tab/>
        <w:t xml:space="preserve">Ievērojot minēto, Senāts secina, ka lietā vairs </w:t>
      </w:r>
      <w:r w:rsidR="00CF4833">
        <w:rPr>
          <w:rFonts w:asciiTheme="majorBidi" w:hAnsiTheme="majorBidi" w:cstheme="majorBidi"/>
        </w:rPr>
        <w:t>nav</w:t>
      </w:r>
      <w:r>
        <w:rPr>
          <w:rFonts w:asciiTheme="majorBidi" w:hAnsiTheme="majorBidi" w:cstheme="majorBidi"/>
        </w:rPr>
        <w:t xml:space="preserve"> strīd</w:t>
      </w:r>
      <w:r w:rsidR="00CF4833">
        <w:rPr>
          <w:rFonts w:asciiTheme="majorBidi" w:hAnsiTheme="majorBidi" w:cstheme="majorBidi"/>
        </w:rPr>
        <w:t>a</w:t>
      </w:r>
      <w:r>
        <w:rPr>
          <w:rFonts w:asciiTheme="majorBidi" w:hAnsiTheme="majorBidi" w:cstheme="majorBidi"/>
        </w:rPr>
        <w:t xml:space="preserve"> par kaitējuma esību un atlīdzību inspekcijas atzītajā daļā. Līdz ar to pieteicēju kasācijas sūdzības argumenti</w:t>
      </w:r>
      <w:r w:rsidR="00EB5F32">
        <w:rPr>
          <w:rFonts w:asciiTheme="majorBidi" w:hAnsiTheme="majorBidi" w:cstheme="majorBidi"/>
        </w:rPr>
        <w:t xml:space="preserve">em </w:t>
      </w:r>
      <w:r>
        <w:rPr>
          <w:rFonts w:asciiTheme="majorBidi" w:hAnsiTheme="majorBidi" w:cstheme="majorBidi"/>
        </w:rPr>
        <w:t>par šo jautājumu</w:t>
      </w:r>
      <w:r w:rsidR="00EB5F32">
        <w:rPr>
          <w:rFonts w:asciiTheme="majorBidi" w:hAnsiTheme="majorBidi" w:cstheme="majorBidi"/>
        </w:rPr>
        <w:t xml:space="preserve"> </w:t>
      </w:r>
      <w:r w:rsidR="008866E4">
        <w:rPr>
          <w:rFonts w:asciiTheme="majorBidi" w:hAnsiTheme="majorBidi" w:cstheme="majorBidi"/>
        </w:rPr>
        <w:t>turpmāks izvērtējums nav nepieciešams.</w:t>
      </w:r>
    </w:p>
    <w:p w14:paraId="1034D18C" w14:textId="77777777" w:rsidR="006A751B" w:rsidRDefault="006A751B" w:rsidP="00A10C51">
      <w:pPr>
        <w:keepNext/>
        <w:spacing w:line="276" w:lineRule="auto"/>
        <w:ind w:firstLine="720"/>
        <w:jc w:val="both"/>
      </w:pPr>
    </w:p>
    <w:p w14:paraId="3EC624B9" w14:textId="7EBA49ED" w:rsidR="006A751B" w:rsidRDefault="006A751B" w:rsidP="00A10C51">
      <w:pPr>
        <w:spacing w:line="276" w:lineRule="auto"/>
        <w:ind w:firstLine="720"/>
        <w:jc w:val="both"/>
        <w:rPr>
          <w:rFonts w:asciiTheme="majorBidi" w:hAnsiTheme="majorBidi" w:cstheme="majorBidi"/>
        </w:rPr>
      </w:pPr>
      <w:r>
        <w:rPr>
          <w:rFonts w:asciiTheme="majorBidi" w:hAnsiTheme="majorBidi" w:cstheme="majorBidi"/>
        </w:rPr>
        <w:t>[</w:t>
      </w:r>
      <w:r w:rsidR="00B7626A">
        <w:rPr>
          <w:rFonts w:asciiTheme="majorBidi" w:hAnsiTheme="majorBidi" w:cstheme="majorBidi"/>
        </w:rPr>
        <w:t>8</w:t>
      </w:r>
      <w:r>
        <w:rPr>
          <w:rFonts w:asciiTheme="majorBidi" w:hAnsiTheme="majorBidi" w:cstheme="majorBidi"/>
        </w:rPr>
        <w:t xml:space="preserve">] Pieteicēji kasācijas sūdzībā norāda, ka Ministru kabinets, izdodot </w:t>
      </w:r>
      <w:r w:rsidRPr="00FF72E2">
        <w:rPr>
          <w:rFonts w:asciiTheme="majorBidi" w:hAnsiTheme="majorBidi" w:cstheme="majorBidi"/>
        </w:rPr>
        <w:t>Ārstniecības riska fonda noteikum</w:t>
      </w:r>
      <w:r>
        <w:rPr>
          <w:rFonts w:asciiTheme="majorBidi" w:hAnsiTheme="majorBidi" w:cstheme="majorBidi"/>
        </w:rPr>
        <w:t xml:space="preserve">us, ir rīkojies </w:t>
      </w:r>
      <w:r>
        <w:rPr>
          <w:rFonts w:asciiTheme="majorBidi" w:hAnsiTheme="majorBidi" w:cstheme="majorBidi"/>
          <w:i/>
          <w:iCs/>
        </w:rPr>
        <w:t>ultra vires</w:t>
      </w:r>
      <w:r>
        <w:rPr>
          <w:rFonts w:asciiTheme="majorBidi" w:hAnsiTheme="majorBidi" w:cstheme="majorBidi"/>
        </w:rPr>
        <w:t xml:space="preserve">, jo Pacientu tiesību likuma 16.panta trešā daļa Ministru kabinetu pilnvaro noregulēt tikai procesu, kādā atlīdzība izmaksājama, nevis radīt jaunas materiālo tiesību normas, ar kurām noteikt kritērijus kaitējuma esības un atlīdzības apmēra noteikšanai. </w:t>
      </w:r>
    </w:p>
    <w:p w14:paraId="55578EE5" w14:textId="4E1C26A7" w:rsidR="006A751B" w:rsidRDefault="006A751B" w:rsidP="00A10C51">
      <w:pPr>
        <w:spacing w:line="276" w:lineRule="auto"/>
        <w:ind w:firstLine="720"/>
        <w:jc w:val="both"/>
        <w:rPr>
          <w:rFonts w:asciiTheme="majorBidi" w:hAnsiTheme="majorBidi" w:cstheme="majorBidi"/>
        </w:rPr>
      </w:pPr>
      <w:r>
        <w:rPr>
          <w:rFonts w:asciiTheme="majorBidi" w:hAnsiTheme="majorBidi" w:cstheme="majorBidi"/>
        </w:rPr>
        <w:t>Šāds viedoklis nav pamatots.</w:t>
      </w:r>
    </w:p>
    <w:p w14:paraId="1B11D962" w14:textId="15DF16F1" w:rsidR="006A751B" w:rsidRDefault="006A751B" w:rsidP="00A10C51">
      <w:pPr>
        <w:spacing w:line="276" w:lineRule="auto"/>
        <w:ind w:firstLine="720"/>
        <w:jc w:val="both"/>
        <w:rPr>
          <w:rFonts w:asciiTheme="majorBidi" w:hAnsiTheme="majorBidi" w:cstheme="majorBidi"/>
        </w:rPr>
      </w:pPr>
      <w:r>
        <w:rPr>
          <w:rFonts w:asciiTheme="majorBidi" w:hAnsiTheme="majorBidi" w:cstheme="majorBidi"/>
        </w:rPr>
        <w:t xml:space="preserve">Pacientu tiesību likuma 16.panta trešā daļa paredz Ministru kabinetam tiesības noteikt kārtību, kādā novērtē pacientam radītā kaitējuma apmēru, atkarībā no kā tiek izmaksāta attiecīga atlīdzība. Radītā kaitējuma apmēra novērtēšanas kārtības izveide jau pēc būtības pieprasa noteikt kritērijus, atbilstoši kuriem nodarītā kaitējuma apmēru līdzīgos gadījumos ir iespējams noteikt pēc iespējas vienlīdzīgi un taisnīgi, kas arī ir </w:t>
      </w:r>
      <w:r w:rsidRPr="00FF72E2">
        <w:rPr>
          <w:rFonts w:asciiTheme="majorBidi" w:hAnsiTheme="majorBidi" w:cstheme="majorBidi"/>
        </w:rPr>
        <w:t>Ārstniecības riska fonda noteikum</w:t>
      </w:r>
      <w:r>
        <w:rPr>
          <w:rFonts w:asciiTheme="majorBidi" w:hAnsiTheme="majorBidi" w:cstheme="majorBidi"/>
        </w:rPr>
        <w:t xml:space="preserve">u mērķis. Noteikumos noteiktie atlīdzināšanas apmēri kopumā ietilpst Pacientu tiesību likuma 16.panta otrajā daļā noteiktās maksimālās kaitējuma atlīdzības robežās, un sīkāk tiek regulēta tikai atlīdzības apmēra </w:t>
      </w:r>
      <w:r w:rsidR="00CE4B63">
        <w:rPr>
          <w:rFonts w:asciiTheme="majorBidi" w:hAnsiTheme="majorBidi" w:cstheme="majorBidi"/>
        </w:rPr>
        <w:t xml:space="preserve">individualizēta </w:t>
      </w:r>
      <w:r>
        <w:rPr>
          <w:rFonts w:asciiTheme="majorBidi" w:hAnsiTheme="majorBidi" w:cstheme="majorBidi"/>
        </w:rPr>
        <w:t>noteikšana</w:t>
      </w:r>
      <w:r w:rsidR="00CE4B63">
        <w:rPr>
          <w:rFonts w:asciiTheme="majorBidi" w:hAnsiTheme="majorBidi" w:cstheme="majorBidi"/>
        </w:rPr>
        <w:t xml:space="preserve"> konkrētos gadījumos</w:t>
      </w:r>
      <w:r>
        <w:rPr>
          <w:rFonts w:asciiTheme="majorBidi" w:hAnsiTheme="majorBidi" w:cstheme="majorBidi"/>
        </w:rPr>
        <w:t>, lai sasniegtu Pacientu tiesību likuma 16.panta pirmās daļas mērķi – atlīdzināt kaitējumu, kas nodarīts ar ārstniecību</w:t>
      </w:r>
      <w:r w:rsidR="00CE4B63">
        <w:rPr>
          <w:rFonts w:asciiTheme="majorBidi" w:hAnsiTheme="majorBidi" w:cstheme="majorBidi"/>
        </w:rPr>
        <w:t>. Respektīvi</w:t>
      </w:r>
      <w:r>
        <w:rPr>
          <w:rFonts w:asciiTheme="majorBidi" w:hAnsiTheme="majorBidi" w:cstheme="majorBidi"/>
        </w:rPr>
        <w:t>, sīkāk regulē</w:t>
      </w:r>
      <w:r w:rsidR="00CE4B63">
        <w:rPr>
          <w:rFonts w:asciiTheme="majorBidi" w:hAnsiTheme="majorBidi" w:cstheme="majorBidi"/>
        </w:rPr>
        <w:t>ts</w:t>
      </w:r>
      <w:r>
        <w:rPr>
          <w:rFonts w:asciiTheme="majorBidi" w:hAnsiTheme="majorBidi" w:cstheme="majorBidi"/>
        </w:rPr>
        <w:t xml:space="preserve">, kādi apstākļi ir jāņem vērā, lai kaitējuma atlīdzības apmērs būtu atbilstošs </w:t>
      </w:r>
      <w:r w:rsidR="00CE4B63">
        <w:rPr>
          <w:rFonts w:asciiTheme="majorBidi" w:hAnsiTheme="majorBidi" w:cstheme="majorBidi"/>
        </w:rPr>
        <w:t xml:space="preserve">Pacientu tiesību likuma 16.panta pirmajai daļai un </w:t>
      </w:r>
      <w:r>
        <w:rPr>
          <w:rFonts w:asciiTheme="majorBidi" w:hAnsiTheme="majorBidi" w:cstheme="majorBidi"/>
        </w:rPr>
        <w:t>taisnīgs.</w:t>
      </w:r>
    </w:p>
    <w:p w14:paraId="16CD578D" w14:textId="795249E5" w:rsidR="006A751B" w:rsidRDefault="006A751B" w:rsidP="00A10C51">
      <w:pPr>
        <w:spacing w:line="276" w:lineRule="auto"/>
        <w:ind w:firstLine="720"/>
        <w:jc w:val="both"/>
        <w:rPr>
          <w:rFonts w:asciiTheme="majorBidi" w:hAnsiTheme="majorBidi" w:cstheme="majorBidi"/>
        </w:rPr>
      </w:pPr>
      <w:r>
        <w:rPr>
          <w:rFonts w:asciiTheme="majorBidi" w:hAnsiTheme="majorBidi" w:cstheme="majorBidi"/>
        </w:rPr>
        <w:t xml:space="preserve">Līdz ar to Senāts secina, ka Ministru kabinets, izdodot </w:t>
      </w:r>
      <w:r w:rsidRPr="008A1ADB">
        <w:rPr>
          <w:rFonts w:asciiTheme="majorBidi" w:hAnsiTheme="majorBidi" w:cstheme="majorBidi"/>
        </w:rPr>
        <w:t>Ārstniecības riska fonda noteikum</w:t>
      </w:r>
      <w:r>
        <w:rPr>
          <w:rFonts w:asciiTheme="majorBidi" w:hAnsiTheme="majorBidi" w:cstheme="majorBidi"/>
        </w:rPr>
        <w:t>us, ir rīkojies savas kompetences ietvaros</w:t>
      </w:r>
      <w:r w:rsidR="00CE4B63">
        <w:rPr>
          <w:rFonts w:asciiTheme="majorBidi" w:hAnsiTheme="majorBidi" w:cstheme="majorBidi"/>
        </w:rPr>
        <w:t>, tādēļ</w:t>
      </w:r>
      <w:r>
        <w:rPr>
          <w:rFonts w:asciiTheme="majorBidi" w:hAnsiTheme="majorBidi" w:cstheme="majorBidi"/>
        </w:rPr>
        <w:t xml:space="preserve"> pieteicēju arguments ir noraidāms.</w:t>
      </w:r>
    </w:p>
    <w:p w14:paraId="4442E6AD" w14:textId="77777777" w:rsidR="006A751B" w:rsidRDefault="006A751B" w:rsidP="00A10C51">
      <w:pPr>
        <w:autoSpaceDE w:val="0"/>
        <w:autoSpaceDN w:val="0"/>
        <w:adjustRightInd w:val="0"/>
        <w:spacing w:line="276" w:lineRule="auto"/>
        <w:ind w:firstLine="720"/>
        <w:jc w:val="both"/>
        <w:rPr>
          <w:rFonts w:asciiTheme="majorBidi" w:hAnsiTheme="majorBidi" w:cstheme="majorBidi"/>
        </w:rPr>
      </w:pPr>
    </w:p>
    <w:p w14:paraId="20BEE34E" w14:textId="7F65A4EE" w:rsidR="00EF5A36" w:rsidRDefault="00EF5A36" w:rsidP="00A10C51">
      <w:pPr>
        <w:keepNext/>
        <w:spacing w:line="276" w:lineRule="auto"/>
        <w:ind w:firstLine="720"/>
        <w:jc w:val="both"/>
      </w:pPr>
      <w:r>
        <w:t>[</w:t>
      </w:r>
      <w:r w:rsidR="00714F77">
        <w:t>9</w:t>
      </w:r>
      <w:r>
        <w:t>]</w:t>
      </w:r>
      <w:r w:rsidR="00B011AD">
        <w:t> </w:t>
      </w:r>
      <w:r w:rsidR="00CC2C42">
        <w:t>Veselības i</w:t>
      </w:r>
      <w:r w:rsidR="00B011AD">
        <w:t xml:space="preserve">nspekcija apelācijas </w:t>
      </w:r>
      <w:r w:rsidR="00B011AD" w:rsidRPr="00714F77">
        <w:t>sūdzībā, atsaucoties uz zinātnisko literatūru, uzsvēra, ka piemērojams ir 2.pielikuma 2.2.2.apakšpunkt</w:t>
      </w:r>
      <w:r w:rsidR="00FD06D3" w:rsidRPr="00714F77">
        <w:t>s</w:t>
      </w:r>
      <w:r w:rsidR="00B011AD" w:rsidRPr="00714F77">
        <w:t xml:space="preserve"> (atipiska slimības norises gaita), jo nepastāv klīniskā noteiktība, kā tieši var diagnosticēt DVT</w:t>
      </w:r>
      <w:r w:rsidR="000A46B3" w:rsidRPr="00714F77">
        <w:t xml:space="preserve">, turklāt </w:t>
      </w:r>
      <w:r w:rsidR="00FC0964" w:rsidRPr="00714F77">
        <w:t xml:space="preserve">veicot </w:t>
      </w:r>
      <w:r w:rsidR="00CF4833" w:rsidRPr="00714F77">
        <w:t xml:space="preserve">pacientei </w:t>
      </w:r>
      <w:r w:rsidR="00FC0964" w:rsidRPr="00714F77">
        <w:t>izmeklējumus,</w:t>
      </w:r>
      <w:r w:rsidR="000A46B3" w:rsidRPr="00714F77">
        <w:t xml:space="preserve"> netika konstatēti DVT raksturīgi simptomi</w:t>
      </w:r>
      <w:r w:rsidR="00B011AD" w:rsidRPr="00714F77">
        <w:t>.</w:t>
      </w:r>
      <w:r w:rsidR="00FD06D3" w:rsidRPr="00714F77">
        <w:t xml:space="preserve"> </w:t>
      </w:r>
    </w:p>
    <w:p w14:paraId="7FB29F29" w14:textId="504A05E8" w:rsidR="00714F77" w:rsidRDefault="00714F77" w:rsidP="00A10C51">
      <w:pPr>
        <w:keepNext/>
        <w:spacing w:line="276" w:lineRule="auto"/>
        <w:ind w:firstLine="720"/>
        <w:jc w:val="both"/>
      </w:pPr>
      <w:r>
        <w:t xml:space="preserve">Kasācijas sūdzībā Veselības inspekcija norāda, ka apgabaltiesa šos argumentus nenovērtēja, taču būtībā redzams, ka Veselības inspekcija nepiekrīt apgabaltiesas </w:t>
      </w:r>
      <w:r>
        <w:lastRenderedPageBreak/>
        <w:t>secinājumiem par to, vai bija paredzama atipiska slimības norises gaita, un tam, kā ir piemērojamas tiesību normas.</w:t>
      </w:r>
    </w:p>
    <w:p w14:paraId="4C12D70A" w14:textId="42D1695A" w:rsidR="009D05D1" w:rsidRDefault="009D05D1" w:rsidP="00A10C51">
      <w:pPr>
        <w:keepNext/>
        <w:spacing w:line="276" w:lineRule="auto"/>
        <w:ind w:firstLine="720"/>
        <w:jc w:val="both"/>
      </w:pPr>
      <w:r>
        <w:t>Senāts konstatē, ka Veselības inspekcija, norādot, ka jāpiemēro norma par atipisku paredzamo slimības gaitu, to būtībā vienādo ar asimptomātisku DVT norisi</w:t>
      </w:r>
      <w:r w:rsidR="006E41D7">
        <w:t xml:space="preserve"> un vērš uzmanību, ka ārstiem bija grūtības to diagnosticēt</w:t>
      </w:r>
      <w:r>
        <w:t xml:space="preserve">. Lai arī Senāts saprot, ka asimptomātiska norise var apgrūtināt slimības diagnosticēšanu, nav saprotams, kādēļ tas būtu saistāms ar </w:t>
      </w:r>
      <w:r w:rsidR="006E41D7">
        <w:t xml:space="preserve">normā minēto kritēriju – </w:t>
      </w:r>
      <w:r>
        <w:t>atipisku paredz</w:t>
      </w:r>
      <w:r w:rsidR="006E41D7">
        <w:t>a</w:t>
      </w:r>
      <w:r>
        <w:t>mo slimības norisi. Administratīvās rajona tiesas spriedumā ir norādīts uz to, ka asimptomātiska DVT norise ir apmēram 70 % gadījumu; Veselības inspekcijas kasācijas sūdzībā norādīts uz mazāku asimptomātiskas saslimšanas īpatsvaru – 57,3 % gadījumu –, taču arī tas apliecina, ka asimptomātiska DVT nav atipiska. Līdz ar to zinātniskie avoti, uz ko norādījusi Veselības inspekcija, nevar ietekmēt apgabaltiesas secinājumus par to, ka nav piemērojams Ārstniecības riska fonda noteikumu 2.pielikuma 2.2.2.apakšpunkts. Apgabaltiesa pamatoti norādījusi, ka rajona tiesas spriedumā pietiekami argumentēts, kādēļ šis punkts nav piemērojams.</w:t>
      </w:r>
      <w:r w:rsidR="005D45E0">
        <w:t xml:space="preserve"> Turklāt rajona tiesas spriedumā ir norādīts uz to, ka saslimšanu bija iespējams diagnosticēt arī konkrētajā gadījumā (D-dimēru tests, kam netika pievērsta uzmanība).</w:t>
      </w:r>
    </w:p>
    <w:p w14:paraId="718BBB14" w14:textId="76592F3B" w:rsidR="009D05D1" w:rsidRDefault="009D05D1" w:rsidP="00A10C51">
      <w:pPr>
        <w:keepNext/>
        <w:spacing w:line="276" w:lineRule="auto"/>
        <w:ind w:firstLine="720"/>
        <w:jc w:val="both"/>
      </w:pPr>
      <w:r>
        <w:t>Līdz ar to Veselības inspekcijas kasācijas sūdzība šajā daļā nav pamatota.</w:t>
      </w:r>
    </w:p>
    <w:p w14:paraId="31388EE9" w14:textId="77777777" w:rsidR="00714F77" w:rsidRDefault="00714F77" w:rsidP="00A10C51">
      <w:pPr>
        <w:keepNext/>
        <w:spacing w:line="276" w:lineRule="auto"/>
        <w:ind w:firstLine="720"/>
        <w:jc w:val="both"/>
      </w:pPr>
    </w:p>
    <w:p w14:paraId="395F37B1" w14:textId="0DB3C000" w:rsidR="00250C26" w:rsidRDefault="00250C26" w:rsidP="00A10C51">
      <w:pPr>
        <w:keepNext/>
        <w:spacing w:line="276" w:lineRule="auto"/>
        <w:ind w:firstLine="720"/>
        <w:jc w:val="both"/>
      </w:pPr>
      <w:r>
        <w:t>[</w:t>
      </w:r>
      <w:r w:rsidR="00714F77">
        <w:t>10</w:t>
      </w:r>
      <w:r>
        <w:t>] Pieteicēji pretapelācijas sūdzībā iebild</w:t>
      </w:r>
      <w:r w:rsidR="00714F77">
        <w:t>a</w:t>
      </w:r>
      <w:r>
        <w:t xml:space="preserve"> rajona tiesas sprieduma secinājumam par 2.pielikuma 2.1.4.apakšpunkta piemērošanu, to pamatojot ar argumentu par tiešas saistības neesību starp hroniskajām saslimšanām un attiecīgo saslimšanu, kas radīja kaitējumu. </w:t>
      </w:r>
    </w:p>
    <w:p w14:paraId="0D0B90DE" w14:textId="4341D5A2" w:rsidR="004C13BC" w:rsidRDefault="004C13BC" w:rsidP="00A10C51">
      <w:pPr>
        <w:keepNext/>
        <w:spacing w:line="276" w:lineRule="auto"/>
        <w:ind w:firstLine="720"/>
        <w:jc w:val="both"/>
      </w:pPr>
      <w:r>
        <w:t>Lai izprastu, vai pieteicēj</w:t>
      </w:r>
      <w:r w:rsidR="00456B29">
        <w:t>u</w:t>
      </w:r>
      <w:r>
        <w:t xml:space="preserve"> argumentācijai ir nozīme lietā, ir jāapskata piemērojamās tiesību normas. Ārstniecības riska fonda noteikumu 2.pielikuma 2.1.apakšpunkts paredz vērtēt kritēriju – veselības stāvoklis, slimības raksturs un smagums ārstniecības procesa sākumā. Tostarp apakšpunktā noteikti koeficienti šādos gadījumos: </w:t>
      </w:r>
    </w:p>
    <w:p w14:paraId="1D23565D" w14:textId="17CB531C" w:rsidR="004C13BC" w:rsidRDefault="004C13BC" w:rsidP="00A10C51">
      <w:pPr>
        <w:keepNext/>
        <w:spacing w:line="276" w:lineRule="auto"/>
        <w:ind w:firstLine="720"/>
        <w:jc w:val="both"/>
      </w:pPr>
      <w:r>
        <w:t>2.1.1. ārstniecības procesa sākumā pacients ir praktiski vesels (koeficients 0);</w:t>
      </w:r>
    </w:p>
    <w:p w14:paraId="6FB4FD22" w14:textId="6DAABFFE" w:rsidR="004C13BC" w:rsidRDefault="004C13BC" w:rsidP="00A10C51">
      <w:pPr>
        <w:keepNext/>
        <w:spacing w:line="276" w:lineRule="auto"/>
        <w:ind w:firstLine="720"/>
        <w:jc w:val="both"/>
      </w:pPr>
      <w:r>
        <w:t>2.1.2. ārstniecības procesa sākumā pacientam ir hroniska slimība daļējā saistībā ar attiecīgo saslimšanu (koeficients 0,15);</w:t>
      </w:r>
    </w:p>
    <w:p w14:paraId="0D5FE8E8" w14:textId="5E1A7274" w:rsidR="004C13BC" w:rsidRDefault="004C13BC" w:rsidP="00A10C51">
      <w:pPr>
        <w:keepNext/>
        <w:spacing w:line="276" w:lineRule="auto"/>
        <w:ind w:firstLine="720"/>
        <w:jc w:val="both"/>
      </w:pPr>
      <w:r>
        <w:t>2.1.3. ārstniecības procesa sākumā pacientam ir viena hroniska slimība tiešā saistībā ar attiecīgo saslimšanu (koeficients 0,30);</w:t>
      </w:r>
    </w:p>
    <w:p w14:paraId="18A07951" w14:textId="270A98F6" w:rsidR="004C13BC" w:rsidRDefault="004C13BC" w:rsidP="00A10C51">
      <w:pPr>
        <w:keepNext/>
        <w:spacing w:line="276" w:lineRule="auto"/>
        <w:ind w:firstLine="720"/>
        <w:jc w:val="both"/>
      </w:pPr>
      <w:r>
        <w:t>2.1.4. ārstniecības procesa sākumā pacientam ir vairākas hroniskas slimības tiešā saistībā ar attiecīgo saslimšanu (koeficients 0,40).</w:t>
      </w:r>
    </w:p>
    <w:p w14:paraId="13712376" w14:textId="26A31F10" w:rsidR="00E23283" w:rsidRDefault="004C13BC" w:rsidP="00A10C51">
      <w:pPr>
        <w:keepNext/>
        <w:spacing w:line="276" w:lineRule="auto"/>
        <w:ind w:firstLine="720"/>
        <w:jc w:val="both"/>
      </w:pPr>
      <w:r>
        <w:t>Senāts, ievērojot noteikumu 9.</w:t>
      </w:r>
      <w:r w:rsidRPr="00E23283">
        <w:rPr>
          <w:vertAlign w:val="superscript"/>
        </w:rPr>
        <w:t>1</w:t>
      </w:r>
      <w:r>
        <w:t>punktā ietverto aprēķina formulu, secina, ka, jo lielāka saistība ir attiecīgajai saslimšanai ar iepriekš pastāvošu hronisku slimību vai slimībām, jo mazāks tiek noteikts tieši ar ārstniecību nodarītais kaitējuma smaguma apmērs.</w:t>
      </w:r>
      <w:r w:rsidR="00E23283">
        <w:t xml:space="preserve"> Ārstniecības riska fonda noteikumu grozījumu anotācijā </w:t>
      </w:r>
      <w:r w:rsidR="00E23283">
        <w:rPr>
          <w:rFonts w:asciiTheme="majorBidi" w:hAnsiTheme="majorBidi" w:cstheme="majorBidi"/>
        </w:rPr>
        <w:t>(</w:t>
      </w:r>
      <w:r w:rsidR="00E23283" w:rsidRPr="00E270FE">
        <w:rPr>
          <w:rFonts w:asciiTheme="majorBidi" w:hAnsiTheme="majorBidi" w:cstheme="majorBidi"/>
          <w:i/>
          <w:iCs/>
        </w:rPr>
        <w:t xml:space="preserve">2021.gada 18.maija grozījumu </w:t>
      </w:r>
      <w:r w:rsidR="00E23283" w:rsidRPr="00995C4B">
        <w:rPr>
          <w:rFonts w:asciiTheme="majorBidi" w:hAnsiTheme="majorBidi" w:cstheme="majorBidi"/>
          <w:i/>
          <w:iCs/>
        </w:rPr>
        <w:t>Ārstniecības riska fonda noteikum</w:t>
      </w:r>
      <w:r w:rsidR="00E23283">
        <w:rPr>
          <w:rFonts w:asciiTheme="majorBidi" w:hAnsiTheme="majorBidi" w:cstheme="majorBidi"/>
          <w:i/>
          <w:iCs/>
        </w:rPr>
        <w:t>os</w:t>
      </w:r>
      <w:r w:rsidR="00E23283" w:rsidRPr="00E270FE">
        <w:rPr>
          <w:rFonts w:asciiTheme="majorBidi" w:hAnsiTheme="majorBidi" w:cstheme="majorBidi"/>
          <w:i/>
          <w:iCs/>
        </w:rPr>
        <w:t xml:space="preserve"> </w:t>
      </w:r>
      <w:hyperlink r:id="rId9" w:history="1">
        <w:r w:rsidR="00E23283" w:rsidRPr="00E270FE">
          <w:rPr>
            <w:rStyle w:val="Hyperlink"/>
            <w:rFonts w:asciiTheme="majorBidi" w:hAnsiTheme="majorBidi" w:cstheme="majorBidi"/>
            <w:i/>
            <w:iCs/>
          </w:rPr>
          <w:t>anotācijas</w:t>
        </w:r>
      </w:hyperlink>
      <w:r w:rsidR="00E23283" w:rsidRPr="00E270FE">
        <w:rPr>
          <w:rFonts w:asciiTheme="majorBidi" w:hAnsiTheme="majorBidi" w:cstheme="majorBidi"/>
          <w:i/>
          <w:iCs/>
        </w:rPr>
        <w:t xml:space="preserve"> 13.lpp.</w:t>
      </w:r>
      <w:r w:rsidR="00E23283">
        <w:rPr>
          <w:rFonts w:asciiTheme="majorBidi" w:hAnsiTheme="majorBidi" w:cstheme="majorBidi"/>
        </w:rPr>
        <w:t xml:space="preserve">) </w:t>
      </w:r>
      <w:r w:rsidR="00E23283">
        <w:t xml:space="preserve">skaidrots, ka pacienta sākotnējā veselības stāvokļa izvērtējums pirms ārstniecības procesa uzsākšanas ir būtisks, novērtējot izraisītā kaitējuma smagumu pacientam. Ja pacientam ir viena vai vairākas saslimšanas tiešā saistībā ar veselības traucējumiem, kuru novēršanai pacients ir vērsies </w:t>
      </w:r>
      <w:r w:rsidR="00E23283">
        <w:lastRenderedPageBreak/>
        <w:t xml:space="preserve">ārstniecības iestādē veselības aprūpes pakalpojuma saņemšanai, pozitīva prognoze šādam pacientam ar lielāku varbūtību ir mazāka, salīdzinot ar sākotnēji praktiski veselu pacientu. </w:t>
      </w:r>
    </w:p>
    <w:p w14:paraId="1C4622E4" w14:textId="4E04B898" w:rsidR="00E23283" w:rsidRDefault="00E23283" w:rsidP="00A10C51">
      <w:pPr>
        <w:keepNext/>
        <w:spacing w:line="276" w:lineRule="auto"/>
        <w:ind w:firstLine="720"/>
        <w:jc w:val="both"/>
      </w:pPr>
      <w:r>
        <w:t>Tas saskan ar Pacientu tiesību likuma 16.panta pirmo daļu. Likuma norma paredz, ka p</w:t>
      </w:r>
      <w:r w:rsidRPr="00E450D0">
        <w:t>acientam ir tiesības uz atlīdzību par viņa dzīvībai vai veselībai nodarīto kaitējumu (arī morālo kaitējumu), kuru ar savu darbību vai bezdarbību nodarījušas ārstniecības iestādē strādājošās ārstniecības personas vai radījuši apstākļi ārstniecības laikā</w:t>
      </w:r>
      <w:r>
        <w:t xml:space="preserve">. Tātad kaitējums ir atlīdzināms tiktāl, ciktāl tas ir cēloniskā sakarā ar ārstniecību. Tādēļ, ja pacients jau pirms ārstniecības ir ar saslimšanām, kas pašas par sevi var veicināt tālāku nelabvēlīgu seku (kaitējuma) iestāšanos, tas attiecīgi samazina nelabvēlīgo seku rašanos tieši un tikai ārstniecības dēļ. </w:t>
      </w:r>
      <w:r>
        <w:rPr>
          <w:rFonts w:asciiTheme="majorBidi" w:hAnsiTheme="majorBidi" w:cstheme="majorBidi"/>
        </w:rPr>
        <w:t xml:space="preserve">Līdz ar to, nosakot taisnīgu atlīdzību, ir pamats ņemt vērā tādus apstākļus, piemēram, hroniskas saslimšanas, kas objektīvi varēja ietekmēt kaitējuma smagumu neatkarīgi no ārstniecības personu darbībām. </w:t>
      </w:r>
    </w:p>
    <w:p w14:paraId="6714071E" w14:textId="51A80B36" w:rsidR="00E23283" w:rsidRDefault="00E23283" w:rsidP="00A10C51">
      <w:pPr>
        <w:keepNext/>
        <w:spacing w:line="276" w:lineRule="auto"/>
        <w:ind w:firstLine="720"/>
        <w:jc w:val="both"/>
      </w:pPr>
      <w:r>
        <w:t xml:space="preserve">Rajona tiesas spriedumā, kura motivācijai pievienojusies apgabaltiesa, ar atsauci uz klīniskajām vadlīnijām konstatēts, ka </w:t>
      </w:r>
      <w:r w:rsidRPr="0026000A">
        <w:t>veselības traucējumi jeb saslimšanas, kas tiešā veidā ir saistītas ar DV</w:t>
      </w:r>
      <w:r>
        <w:t>T</w:t>
      </w:r>
      <w:r w:rsidRPr="0026000A">
        <w:t xml:space="preserve"> un tās</w:t>
      </w:r>
      <w:r>
        <w:t xml:space="preserve"> </w:t>
      </w:r>
      <w:r w:rsidRPr="0026000A">
        <w:t>komplikāciju jeb blakni PATE</w:t>
      </w:r>
      <w:r>
        <w:t>,</w:t>
      </w:r>
      <w:r w:rsidRPr="0026000A">
        <w:t xml:space="preserve"> ir gan ateroskleroze, gan arī arteriāla hipertensija</w:t>
      </w:r>
      <w:r>
        <w:t xml:space="preserve">, un abas šīs saslimšanas bija pacientei konstatētas. Rajona tiesa turklāt izvērtēja pieteicēju viedokli, ka </w:t>
      </w:r>
      <w:r w:rsidRPr="0026000A">
        <w:t>koeficientam jābūt 0</w:t>
      </w:r>
      <w:r>
        <w:t xml:space="preserve"> tādēļ</w:t>
      </w:r>
      <w:r w:rsidRPr="0026000A">
        <w:t xml:space="preserve">, </w:t>
      </w:r>
      <w:r>
        <w:t>ka</w:t>
      </w:r>
      <w:r w:rsidRPr="0026000A">
        <w:t xml:space="preserve"> pacientes nāvi izraisīja abpusēja PATE un abu apakšstilbu</w:t>
      </w:r>
      <w:r>
        <w:t xml:space="preserve"> </w:t>
      </w:r>
      <w:r w:rsidRPr="0026000A">
        <w:t xml:space="preserve">DVT, nevis </w:t>
      </w:r>
      <w:r w:rsidR="0023340F">
        <w:t xml:space="preserve">[Slimnīcas nosaukums] </w:t>
      </w:r>
      <w:r w:rsidRPr="0026000A">
        <w:t>konstatētās saslimšanas</w:t>
      </w:r>
      <w:r>
        <w:t>. Līdz ar to apgabaltiesas secinājumi par hronisko saslimšanu ietekmi uz kaitējuma smaguma apmēru ir atbilstoši tiesību normām.</w:t>
      </w:r>
    </w:p>
    <w:p w14:paraId="08872E5A" w14:textId="53C49C39" w:rsidR="00E23283" w:rsidRDefault="0026000A" w:rsidP="00A10C51">
      <w:pPr>
        <w:keepNext/>
        <w:spacing w:line="276" w:lineRule="auto"/>
        <w:ind w:firstLine="720"/>
        <w:jc w:val="both"/>
      </w:pPr>
      <w:r>
        <w:t>Kasācijas sūdzībā pieteicēji argumentē, ka Ārstniecības riska fonda noteikumu anotācijā ietvertais skaidrojums par noteikumu 2.1.punkta jēgu ir neloģisks un neatbilst Pacientu tiesību likuma 16.panta pirmajai daļai</w:t>
      </w:r>
      <w:r w:rsidR="00F01D75">
        <w:t>, turklāt pretēji Pacientu tiesību likuma 3.panta otrajai daļai rada diskrimināciju pret personām to veselības stāvokļa dēļ</w:t>
      </w:r>
      <w:r>
        <w:t xml:space="preserve">. </w:t>
      </w:r>
      <w:r w:rsidR="00E23283">
        <w:t>Kā, atsaucoties uz publikāciju, skaidro pieteicēji, apstāklis, kas patiešām ietekmē pacienta atveseļošanās un dzīvildzes prognozi, ir DVT ārstēšana: ārstētas DVT gadījumā PATE attīstības risks ir zem 8 %, bet letalitātes risks ir zem 2 %. Salīdzinājumam neārstētas DVT gadījumā PATE risks pieaug līdz 30–50 %, bet letalitāte ir 12–15 %. Tātad PATE attīstības risks un letalitāte ir atkarīgs nevis no tā, vai pacientam ir vai nav ateroskleroze un arteriāla hipertensija, bet gan no tā, vai DVT pacients saņēmis atbilstošu antikoagulantu terapiju.</w:t>
      </w:r>
    </w:p>
    <w:p w14:paraId="777642AC" w14:textId="1E7D9ED8" w:rsidR="00E23283" w:rsidRDefault="00E23283" w:rsidP="00A10C51">
      <w:pPr>
        <w:keepNext/>
        <w:spacing w:line="276" w:lineRule="auto"/>
        <w:ind w:firstLine="720"/>
        <w:jc w:val="both"/>
      </w:pPr>
      <w:r>
        <w:rPr>
          <w:rFonts w:asciiTheme="majorBidi" w:hAnsiTheme="majorBidi" w:cstheme="majorBidi"/>
        </w:rPr>
        <w:t xml:space="preserve">Jau iepriekš minēto apsvērumu dēļ Senāts šādam skatpunktam nepiekrīt. Turklāt tas, ka tiek vērtēta nelabvēlīgo seku </w:t>
      </w:r>
      <w:r>
        <w:t>cēloņsakarība tieši ar ārstniecību, nerada diskrimināciju veselības stāvokļa dēļ.</w:t>
      </w:r>
    </w:p>
    <w:p w14:paraId="1A90CAC8" w14:textId="730C9134" w:rsidR="00E450D0" w:rsidRDefault="00D15A3E" w:rsidP="00A10C51">
      <w:pPr>
        <w:keepNext/>
        <w:spacing w:line="276" w:lineRule="auto"/>
        <w:ind w:firstLine="720"/>
        <w:jc w:val="both"/>
      </w:pPr>
      <w:r>
        <w:t>T</w:t>
      </w:r>
      <w:r w:rsidR="00E450D0">
        <w:t>urklāt rajona tiesas spriedumā, kura motivācijai apgabaltiesa pievienojusies, būtībā ir sniegts skaidrojums par normas jēgu</w:t>
      </w:r>
      <w:r w:rsidR="0052060F">
        <w:t>, no kura izriet, ka rajona tiesa pieteicēju viedokli noraida.</w:t>
      </w:r>
      <w:r w:rsidR="006A751B">
        <w:t xml:space="preserve"> Līdz ar to sīkāks pretapelācijas sūdzības argumentu izvērtējums nevarētu novest pie cita rezultāta.</w:t>
      </w:r>
    </w:p>
    <w:p w14:paraId="6A08664C" w14:textId="77777777" w:rsidR="00855491" w:rsidRDefault="00855491" w:rsidP="00A10C51">
      <w:pPr>
        <w:spacing w:line="276" w:lineRule="auto"/>
        <w:ind w:firstLine="720"/>
        <w:jc w:val="both"/>
        <w:rPr>
          <w:rFonts w:asciiTheme="majorBidi" w:eastAsiaTheme="minorHAnsi" w:hAnsiTheme="majorBidi" w:cstheme="majorBidi"/>
          <w:lang w:eastAsia="en-US"/>
          <w14:ligatures w14:val="standardContextual"/>
        </w:rPr>
      </w:pPr>
    </w:p>
    <w:p w14:paraId="4FDD5C9E" w14:textId="3859B07D" w:rsidR="008C660A" w:rsidRDefault="00855491"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[1</w:t>
      </w:r>
      <w:r w:rsidR="00C435B0">
        <w:rPr>
          <w:rFonts w:asciiTheme="majorBidi" w:eastAsiaTheme="minorHAnsi" w:hAnsiTheme="majorBidi" w:cstheme="majorBidi"/>
          <w:lang w:eastAsia="en-US"/>
          <w14:ligatures w14:val="standardContextual"/>
        </w:rPr>
        <w:t>1</w:t>
      </w:r>
      <w:r>
        <w:rPr>
          <w:rFonts w:asciiTheme="majorBidi" w:eastAsiaTheme="minorHAnsi" w:hAnsiTheme="majorBidi" w:cstheme="majorBidi"/>
          <w:lang w:eastAsia="en-US"/>
          <w14:ligatures w14:val="standardContextual"/>
        </w:rPr>
        <w:t>]</w:t>
      </w:r>
      <w:r w:rsidR="00412DB5">
        <w:rPr>
          <w:rFonts w:asciiTheme="majorBidi" w:eastAsiaTheme="minorHAnsi" w:hAnsiTheme="majorBidi" w:cstheme="majorBidi"/>
          <w:lang w:eastAsia="en-US"/>
          <w14:ligatures w14:val="standardContextual"/>
        </w:rPr>
        <w:t> </w:t>
      </w:r>
      <w:r w:rsidR="0032293E">
        <w:rPr>
          <w:rFonts w:asciiTheme="majorBidi" w:eastAsiaTheme="minorHAnsi" w:hAnsiTheme="majorBidi" w:cstheme="majorBidi"/>
          <w:lang w:eastAsia="en-US"/>
          <w14:ligatures w14:val="standardContextual"/>
        </w:rPr>
        <w:t>Veselības i</w:t>
      </w:r>
      <w:r w:rsidR="00412DB5">
        <w:rPr>
          <w:rFonts w:asciiTheme="majorBidi" w:eastAsiaTheme="minorHAnsi" w:hAnsiTheme="majorBidi" w:cstheme="majorBidi"/>
          <w:lang w:eastAsia="en-US"/>
          <w14:ligatures w14:val="standardContextual"/>
        </w:rPr>
        <w:t xml:space="preserve">nspekcija kasācijas sūdzībā iebilst apgabaltiesas secinājumam, ka izskatāmajā lietā piemērojams </w:t>
      </w:r>
      <w:r w:rsidR="00E32AF5">
        <w:rPr>
          <w:rFonts w:asciiTheme="majorBidi" w:eastAsiaTheme="minorHAnsi" w:hAnsiTheme="majorBidi" w:cstheme="majorBidi"/>
          <w:lang w:eastAsia="en-US"/>
          <w14:ligatures w14:val="standardContextual"/>
        </w:rPr>
        <w:t xml:space="preserve">Ārstniecības </w:t>
      </w:r>
      <w:r w:rsidR="00C435B0">
        <w:rPr>
          <w:rFonts w:asciiTheme="majorBidi" w:eastAsiaTheme="minorHAnsi" w:hAnsiTheme="majorBidi" w:cstheme="majorBidi"/>
          <w:lang w:eastAsia="en-US"/>
          <w14:ligatures w14:val="standardContextual"/>
        </w:rPr>
        <w:t xml:space="preserve">riska </w:t>
      </w:r>
      <w:r w:rsidR="00E32AF5">
        <w:rPr>
          <w:rFonts w:asciiTheme="majorBidi" w:eastAsiaTheme="minorHAnsi" w:hAnsiTheme="majorBidi" w:cstheme="majorBidi"/>
          <w:lang w:eastAsia="en-US"/>
          <w14:ligatures w14:val="standardContextual"/>
        </w:rPr>
        <w:t xml:space="preserve">fonda noteikumu </w:t>
      </w:r>
      <w:r w:rsidR="00412DB5">
        <w:rPr>
          <w:rFonts w:asciiTheme="majorBidi" w:eastAsiaTheme="minorHAnsi" w:hAnsiTheme="majorBidi" w:cstheme="majorBidi"/>
          <w:lang w:eastAsia="en-US"/>
          <w14:ligatures w14:val="standardContextual"/>
        </w:rPr>
        <w:t>2.pielikuma 3.1.apakšpunkts</w:t>
      </w:r>
      <w:r w:rsidR="008C660A">
        <w:rPr>
          <w:rFonts w:asciiTheme="majorBidi" w:eastAsiaTheme="minorHAnsi" w:hAnsiTheme="majorBidi" w:cstheme="majorBidi"/>
          <w:lang w:eastAsia="en-US"/>
          <w14:ligatures w14:val="standardContextual"/>
        </w:rPr>
        <w:t>, kas paredz kaitējuma smaguma noteikšanu 100 % apmērā, ja</w:t>
      </w:r>
      <w:r w:rsidR="008C660A" w:rsidRPr="008C660A">
        <w:t xml:space="preserve"> </w:t>
      </w:r>
      <w:r w:rsidR="008C660A">
        <w:t>n</w:t>
      </w:r>
      <w:r w:rsidR="008C660A" w:rsidRPr="008C660A">
        <w:rPr>
          <w:rFonts w:asciiTheme="majorBidi" w:eastAsiaTheme="minorHAnsi" w:hAnsiTheme="majorBidi" w:cstheme="majorBidi"/>
          <w:lang w:eastAsia="en-US"/>
          <w14:ligatures w14:val="standardContextual"/>
        </w:rPr>
        <w:t>av diagnosticēta saslimšana un/vai nav nodrošināta adekvāta ārstēšana, un tas izraisījis pacienta nāvi</w:t>
      </w:r>
      <w:r w:rsidR="00412DB5">
        <w:rPr>
          <w:rFonts w:asciiTheme="majorBidi" w:eastAsiaTheme="minorHAnsi" w:hAnsiTheme="majorBidi" w:cstheme="majorBidi"/>
          <w:lang w:eastAsia="en-US"/>
          <w14:ligatures w14:val="standardContextual"/>
        </w:rPr>
        <w:t xml:space="preserve">. </w:t>
      </w:r>
      <w:r w:rsidR="008C660A">
        <w:rPr>
          <w:rFonts w:asciiTheme="majorBidi" w:eastAsiaTheme="minorHAnsi" w:hAnsiTheme="majorBidi" w:cstheme="majorBidi"/>
          <w:lang w:eastAsia="en-US"/>
          <w14:ligatures w14:val="standardContextual"/>
        </w:rPr>
        <w:t xml:space="preserve">Inspekcijas ieskatā, bija jāpiemēro 2.pielikuma 3.3.1.apakšpunkts, kas </w:t>
      </w:r>
      <w:r w:rsidR="008C660A" w:rsidRPr="008C660A">
        <w:rPr>
          <w:rFonts w:asciiTheme="majorBidi" w:eastAsiaTheme="minorHAnsi" w:hAnsiTheme="majorBidi" w:cstheme="majorBidi"/>
          <w:lang w:eastAsia="en-US"/>
          <w14:ligatures w14:val="standardContextual"/>
        </w:rPr>
        <w:t>paredz kaitējuma smagum</w:t>
      </w:r>
      <w:r w:rsidR="00447844">
        <w:rPr>
          <w:rFonts w:asciiTheme="majorBidi" w:eastAsiaTheme="minorHAnsi" w:hAnsiTheme="majorBidi" w:cstheme="majorBidi"/>
          <w:lang w:eastAsia="en-US"/>
          <w14:ligatures w14:val="standardContextual"/>
        </w:rPr>
        <w:t xml:space="preserve">a noteikšanu 50 % apmērā </w:t>
      </w:r>
      <w:r w:rsidR="008C660A" w:rsidRPr="008C660A">
        <w:rPr>
          <w:rFonts w:asciiTheme="majorBidi" w:eastAsiaTheme="minorHAnsi" w:hAnsiTheme="majorBidi" w:cstheme="majorBidi"/>
          <w:lang w:eastAsia="en-US"/>
          <w14:ligatures w14:val="standardContextual"/>
        </w:rPr>
        <w:t>par ārstniecības procesā nediagnosticētām un/vai neārstētām pamatslimības komplikācijām</w:t>
      </w:r>
      <w:r w:rsidR="00447844">
        <w:rPr>
          <w:rFonts w:asciiTheme="majorBidi" w:eastAsiaTheme="minorHAnsi" w:hAnsiTheme="majorBidi" w:cstheme="majorBidi"/>
          <w:lang w:eastAsia="en-US"/>
          <w14:ligatures w14:val="standardContextual"/>
        </w:rPr>
        <w:t>.</w:t>
      </w:r>
      <w:r w:rsidR="008C660A" w:rsidRPr="008C660A">
        <w:rPr>
          <w:rFonts w:asciiTheme="majorBidi" w:eastAsiaTheme="minorHAnsi" w:hAnsiTheme="majorBidi" w:cstheme="majorBidi"/>
          <w:lang w:eastAsia="en-US"/>
          <w14:ligatures w14:val="standardContextual"/>
        </w:rPr>
        <w:t xml:space="preserve"> </w:t>
      </w:r>
      <w:r w:rsidR="008C660A">
        <w:rPr>
          <w:rFonts w:asciiTheme="majorBidi" w:eastAsiaTheme="minorHAnsi" w:hAnsiTheme="majorBidi" w:cstheme="majorBidi"/>
          <w:lang w:eastAsia="en-US"/>
          <w14:ligatures w14:val="standardContextual"/>
        </w:rPr>
        <w:t xml:space="preserve">Inspekcija nepiekrīt </w:t>
      </w:r>
      <w:r w:rsidR="008C660A">
        <w:rPr>
          <w:rFonts w:asciiTheme="majorBidi" w:eastAsiaTheme="minorHAnsi" w:hAnsiTheme="majorBidi" w:cstheme="majorBidi"/>
          <w:lang w:eastAsia="en-US"/>
          <w14:ligatures w14:val="standardContextual"/>
        </w:rPr>
        <w:lastRenderedPageBreak/>
        <w:t>tiesas secinājumam, ka p</w:t>
      </w:r>
      <w:r w:rsidR="008C660A" w:rsidRPr="008C660A">
        <w:rPr>
          <w:rFonts w:asciiTheme="majorBidi" w:eastAsiaTheme="minorHAnsi" w:hAnsiTheme="majorBidi" w:cstheme="majorBidi"/>
          <w:lang w:eastAsia="en-US"/>
          <w14:ligatures w14:val="standardContextual"/>
        </w:rPr>
        <w:t xml:space="preserve">acientei attīstījusies </w:t>
      </w:r>
      <w:r w:rsidR="00456B29">
        <w:rPr>
          <w:rFonts w:asciiTheme="majorBidi" w:eastAsiaTheme="minorHAnsi" w:hAnsiTheme="majorBidi" w:cstheme="majorBidi"/>
          <w:lang w:eastAsia="en-US"/>
          <w14:ligatures w14:val="standardContextual"/>
        </w:rPr>
        <w:t>DVT</w:t>
      </w:r>
      <w:r w:rsidR="008C660A" w:rsidRPr="008C660A">
        <w:rPr>
          <w:rFonts w:asciiTheme="majorBidi" w:eastAsiaTheme="minorHAnsi" w:hAnsiTheme="majorBidi" w:cstheme="majorBidi"/>
          <w:lang w:eastAsia="en-US"/>
          <w14:ligatures w14:val="standardContextual"/>
        </w:rPr>
        <w:t xml:space="preserve"> un PATE ir suverēnas saslimšanas</w:t>
      </w:r>
      <w:r w:rsidR="00447844">
        <w:rPr>
          <w:rFonts w:asciiTheme="majorBidi" w:eastAsiaTheme="minorHAnsi" w:hAnsiTheme="majorBidi" w:cstheme="majorBidi"/>
          <w:lang w:eastAsia="en-US"/>
          <w14:ligatures w14:val="standardContextual"/>
        </w:rPr>
        <w:t>,</w:t>
      </w:r>
      <w:r w:rsidR="008C660A" w:rsidRPr="008C660A">
        <w:rPr>
          <w:rFonts w:asciiTheme="majorBidi" w:eastAsiaTheme="minorHAnsi" w:hAnsiTheme="majorBidi" w:cstheme="majorBidi"/>
          <w:lang w:eastAsia="en-US"/>
          <w14:ligatures w14:val="standardContextual"/>
        </w:rPr>
        <w:t xml:space="preserve"> nevis pamatslimību (primārās arteriālās hipertensijas un aterosklerozes) komplikācijas. </w:t>
      </w:r>
    </w:p>
    <w:p w14:paraId="743F7E88" w14:textId="10C92364" w:rsidR="00E32AF5" w:rsidRDefault="00447844" w:rsidP="00A10C51">
      <w:pPr>
        <w:spacing w:line="276" w:lineRule="auto"/>
        <w:ind w:firstLine="709"/>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Senāts atzīst par pamatotu ap</w:t>
      </w:r>
      <w:r w:rsidR="00E32AF5">
        <w:rPr>
          <w:rFonts w:asciiTheme="majorBidi" w:eastAsiaTheme="minorHAnsi" w:hAnsiTheme="majorBidi" w:cstheme="majorBidi"/>
          <w:lang w:eastAsia="en-US"/>
          <w14:ligatures w14:val="standardContextual"/>
        </w:rPr>
        <w:t>gabaltiesa</w:t>
      </w:r>
      <w:r>
        <w:rPr>
          <w:rFonts w:asciiTheme="majorBidi" w:eastAsiaTheme="minorHAnsi" w:hAnsiTheme="majorBidi" w:cstheme="majorBidi"/>
          <w:lang w:eastAsia="en-US"/>
          <w14:ligatures w14:val="standardContextual"/>
        </w:rPr>
        <w:t>s veikto tiesību normu interpretāciju. Tiesa</w:t>
      </w:r>
      <w:r w:rsidR="00E32AF5">
        <w:rPr>
          <w:rFonts w:asciiTheme="majorBidi" w:eastAsiaTheme="minorHAnsi" w:hAnsiTheme="majorBidi" w:cstheme="majorBidi"/>
          <w:lang w:eastAsia="en-US"/>
          <w14:ligatures w14:val="standardContextual"/>
        </w:rPr>
        <w:t xml:space="preserve"> pamatoti ir uzskatījusi, ka noteikumu 2.pielikuma 3.3.1.punkts, kas paredz kaitējuma smagumu procentos par ā</w:t>
      </w:r>
      <w:r w:rsidR="00E32AF5" w:rsidRPr="00E32AF5">
        <w:rPr>
          <w:rFonts w:asciiTheme="majorBidi" w:eastAsiaTheme="minorHAnsi" w:hAnsiTheme="majorBidi" w:cstheme="majorBidi"/>
          <w:lang w:eastAsia="en-US"/>
          <w14:ligatures w14:val="standardContextual"/>
        </w:rPr>
        <w:t>rstniecības procesā nediagnosticēt</w:t>
      </w:r>
      <w:r w:rsidR="00E32AF5">
        <w:rPr>
          <w:rFonts w:asciiTheme="majorBidi" w:eastAsiaTheme="minorHAnsi" w:hAnsiTheme="majorBidi" w:cstheme="majorBidi"/>
          <w:lang w:eastAsia="en-US"/>
          <w14:ligatures w14:val="standardContextual"/>
        </w:rPr>
        <w:t>ām</w:t>
      </w:r>
      <w:r w:rsidR="00E32AF5" w:rsidRPr="00E32AF5">
        <w:rPr>
          <w:rFonts w:asciiTheme="majorBidi" w:eastAsiaTheme="minorHAnsi" w:hAnsiTheme="majorBidi" w:cstheme="majorBidi"/>
          <w:lang w:eastAsia="en-US"/>
          <w14:ligatures w14:val="standardContextual"/>
        </w:rPr>
        <w:t xml:space="preserve"> un/vai neārstēt</w:t>
      </w:r>
      <w:r w:rsidR="00E32AF5">
        <w:rPr>
          <w:rFonts w:asciiTheme="majorBidi" w:eastAsiaTheme="minorHAnsi" w:hAnsiTheme="majorBidi" w:cstheme="majorBidi"/>
          <w:lang w:eastAsia="en-US"/>
          <w14:ligatures w14:val="standardContextual"/>
        </w:rPr>
        <w:t xml:space="preserve">ām </w:t>
      </w:r>
      <w:r w:rsidR="00E32AF5" w:rsidRPr="00E32AF5">
        <w:rPr>
          <w:rFonts w:asciiTheme="majorBidi" w:eastAsiaTheme="minorHAnsi" w:hAnsiTheme="majorBidi" w:cstheme="majorBidi"/>
          <w:lang w:eastAsia="en-US"/>
          <w14:ligatures w14:val="standardContextual"/>
        </w:rPr>
        <w:t>pamatslimības komplikācij</w:t>
      </w:r>
      <w:r w:rsidR="00E32AF5">
        <w:rPr>
          <w:rFonts w:asciiTheme="majorBidi" w:eastAsiaTheme="minorHAnsi" w:hAnsiTheme="majorBidi" w:cstheme="majorBidi"/>
          <w:lang w:eastAsia="en-US"/>
          <w14:ligatures w14:val="standardContextual"/>
        </w:rPr>
        <w:t xml:space="preserve">ām, ir attiecināms uz tām komplikācijām, kas bijušas saslimšanai, </w:t>
      </w:r>
      <w:r w:rsidR="00041967">
        <w:rPr>
          <w:rFonts w:asciiTheme="majorBidi" w:eastAsiaTheme="minorHAnsi" w:hAnsiTheme="majorBidi" w:cstheme="majorBidi"/>
          <w:lang w:eastAsia="en-US"/>
          <w14:ligatures w14:val="standardContextual"/>
        </w:rPr>
        <w:t xml:space="preserve">kuras dēļ pacients </w:t>
      </w:r>
      <w:r w:rsidR="00C435B0">
        <w:rPr>
          <w:rFonts w:asciiTheme="majorBidi" w:eastAsiaTheme="minorHAnsi" w:hAnsiTheme="majorBidi" w:cstheme="majorBidi"/>
          <w:lang w:eastAsia="en-US"/>
          <w14:ligatures w14:val="standardContextual"/>
        </w:rPr>
        <w:t xml:space="preserve">konkrētajā gadījumā </w:t>
      </w:r>
      <w:r w:rsidR="00456B29">
        <w:rPr>
          <w:rFonts w:asciiTheme="majorBidi" w:eastAsiaTheme="minorHAnsi" w:hAnsiTheme="majorBidi" w:cstheme="majorBidi"/>
          <w:lang w:eastAsia="en-US"/>
          <w14:ligatures w14:val="standardContextual"/>
        </w:rPr>
        <w:t>atradās</w:t>
      </w:r>
      <w:r w:rsidR="00041967">
        <w:rPr>
          <w:rFonts w:asciiTheme="majorBidi" w:eastAsiaTheme="minorHAnsi" w:hAnsiTheme="majorBidi" w:cstheme="majorBidi"/>
          <w:lang w:eastAsia="en-US"/>
          <w14:ligatures w14:val="standardContextual"/>
        </w:rPr>
        <w:t xml:space="preserve"> </w:t>
      </w:r>
      <w:r w:rsidR="00E32AF5">
        <w:rPr>
          <w:rFonts w:asciiTheme="majorBidi" w:eastAsiaTheme="minorHAnsi" w:hAnsiTheme="majorBidi" w:cstheme="majorBidi"/>
          <w:lang w:eastAsia="en-US"/>
          <w14:ligatures w14:val="standardContextual"/>
        </w:rPr>
        <w:t xml:space="preserve">ārstniecības iestādē. Šajā gadījumā konkrētā saslimšana bija nevis pacientes hroniskās </w:t>
      </w:r>
      <w:r w:rsidR="00C435B0">
        <w:rPr>
          <w:rFonts w:asciiTheme="majorBidi" w:eastAsiaTheme="minorHAnsi" w:hAnsiTheme="majorBidi" w:cstheme="majorBidi"/>
          <w:lang w:eastAsia="en-US"/>
          <w14:ligatures w14:val="standardContextual"/>
        </w:rPr>
        <w:t>saslimšanas</w:t>
      </w:r>
      <w:r w:rsidR="00E32AF5">
        <w:rPr>
          <w:rFonts w:asciiTheme="majorBidi" w:eastAsiaTheme="minorHAnsi" w:hAnsiTheme="majorBidi" w:cstheme="majorBidi"/>
          <w:lang w:eastAsia="en-US"/>
          <w14:ligatures w14:val="standardContextual"/>
        </w:rPr>
        <w:t xml:space="preserve">, bet gan </w:t>
      </w:r>
      <w:r>
        <w:rPr>
          <w:rFonts w:asciiTheme="majorBidi" w:eastAsiaTheme="minorHAnsi" w:hAnsiTheme="majorBidi" w:cstheme="majorBidi"/>
          <w:lang w:eastAsia="en-US"/>
          <w14:ligatures w14:val="standardContextual"/>
        </w:rPr>
        <w:t>DVT un PATE, kas netika diagnosticētas un atbilstoši ārstētas. Saprotams, ka šīs saslimšanas ir saistītas ar hroniskajām saslimšanām, bet visam konkrētās ārstniecības epizodes tvērumam bija jābūt vērstam</w:t>
      </w:r>
      <w:r w:rsidR="00C435B0">
        <w:rPr>
          <w:rFonts w:asciiTheme="majorBidi" w:eastAsiaTheme="minorHAnsi" w:hAnsiTheme="majorBidi" w:cstheme="majorBidi"/>
          <w:lang w:eastAsia="en-US"/>
          <w14:ligatures w14:val="standardContextual"/>
        </w:rPr>
        <w:t xml:space="preserve"> galvenokārt</w:t>
      </w:r>
      <w:r>
        <w:rPr>
          <w:rFonts w:asciiTheme="majorBidi" w:eastAsiaTheme="minorHAnsi" w:hAnsiTheme="majorBidi" w:cstheme="majorBidi"/>
          <w:lang w:eastAsia="en-US"/>
          <w14:ligatures w14:val="standardContextual"/>
        </w:rPr>
        <w:t xml:space="preserve"> tieši uz konkrēto saslimšanu diagnosticēšanu un ārstēšanu, un tādēļ ir pamatoti un taisnīgi uzskatīt, ka kaitējuma smagums ir saistāms ar </w:t>
      </w:r>
      <w:r w:rsidR="00041967">
        <w:rPr>
          <w:rFonts w:asciiTheme="majorBidi" w:eastAsiaTheme="minorHAnsi" w:hAnsiTheme="majorBidi" w:cstheme="majorBidi"/>
          <w:lang w:eastAsia="en-US"/>
          <w14:ligatures w14:val="standardContextual"/>
        </w:rPr>
        <w:t>galveno</w:t>
      </w:r>
      <w:r>
        <w:rPr>
          <w:rFonts w:asciiTheme="majorBidi" w:eastAsiaTheme="minorHAnsi" w:hAnsiTheme="majorBidi" w:cstheme="majorBidi"/>
          <w:lang w:eastAsia="en-US"/>
          <w14:ligatures w14:val="standardContextual"/>
        </w:rPr>
        <w:t xml:space="preserve"> šīs ārstniecības epizodes tvērumu. Būtiski mazāka kaitējuma smaguma apmēra noteikšana būtu attaisnojama, ja ārstniecības procesā būtu pareizi diagnosticēta un ārstēta saslimšana, </w:t>
      </w:r>
      <w:r w:rsidR="00041967">
        <w:rPr>
          <w:rFonts w:asciiTheme="majorBidi" w:eastAsiaTheme="minorHAnsi" w:hAnsiTheme="majorBidi" w:cstheme="majorBidi"/>
          <w:lang w:eastAsia="en-US"/>
          <w14:ligatures w14:val="standardContextual"/>
        </w:rPr>
        <w:t>kuras dēļ pacients galvenokārt nonācis</w:t>
      </w:r>
      <w:r>
        <w:rPr>
          <w:rFonts w:asciiTheme="majorBidi" w:eastAsiaTheme="minorHAnsi" w:hAnsiTheme="majorBidi" w:cstheme="majorBidi"/>
          <w:lang w:eastAsia="en-US"/>
          <w14:ligatures w14:val="standardContextual"/>
        </w:rPr>
        <w:t xml:space="preserve"> ārstniecības iestādē, un tikai tās komplikācijas būtu palikušas nepienācīgi novērtētas un/vai ārstētas. </w:t>
      </w:r>
    </w:p>
    <w:p w14:paraId="3555D664" w14:textId="67F78C5C" w:rsidR="00447844" w:rsidRDefault="00447844"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Savukārt tas, ka pacientam ir bijušas ar konkrēto saslimšanu saistītas hroniskas saslimšanas, ietekmē kaitējuma atlīdzinājuma apmēru atbilstoši Ārstniecības riska fonda noteikumu 2.pielikuma 2.1.apakšpunktā, kā tas skaidrots iepriekš.</w:t>
      </w:r>
    </w:p>
    <w:p w14:paraId="40A31B33" w14:textId="77777777" w:rsidR="00480072" w:rsidRDefault="00480072" w:rsidP="00A10C51">
      <w:pPr>
        <w:spacing w:line="276" w:lineRule="auto"/>
        <w:ind w:firstLine="720"/>
        <w:jc w:val="both"/>
        <w:rPr>
          <w:rFonts w:asciiTheme="majorBidi" w:eastAsiaTheme="minorHAnsi" w:hAnsiTheme="majorBidi" w:cstheme="majorBidi"/>
          <w:lang w:eastAsia="en-US"/>
          <w14:ligatures w14:val="standardContextual"/>
        </w:rPr>
      </w:pPr>
    </w:p>
    <w:p w14:paraId="4739B9EA" w14:textId="6CF6D424" w:rsidR="00E21AE5" w:rsidRDefault="00480072"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[1</w:t>
      </w:r>
      <w:r w:rsidR="00C435B0">
        <w:rPr>
          <w:rFonts w:asciiTheme="majorBidi" w:eastAsiaTheme="minorHAnsi" w:hAnsiTheme="majorBidi" w:cstheme="majorBidi"/>
          <w:lang w:eastAsia="en-US"/>
          <w14:ligatures w14:val="standardContextual"/>
        </w:rPr>
        <w:t>2</w:t>
      </w:r>
      <w:r>
        <w:rPr>
          <w:rFonts w:asciiTheme="majorBidi" w:eastAsiaTheme="minorHAnsi" w:hAnsiTheme="majorBidi" w:cstheme="majorBidi"/>
          <w:lang w:eastAsia="en-US"/>
          <w14:ligatures w14:val="standardContextual"/>
        </w:rPr>
        <w:t>]</w:t>
      </w:r>
      <w:r w:rsidR="00F6639F">
        <w:rPr>
          <w:rFonts w:asciiTheme="majorBidi" w:eastAsiaTheme="minorHAnsi" w:hAnsiTheme="majorBidi" w:cstheme="majorBidi"/>
          <w:lang w:eastAsia="en-US"/>
          <w14:ligatures w14:val="standardContextual"/>
        </w:rPr>
        <w:t> </w:t>
      </w:r>
      <w:r w:rsidR="00456B29" w:rsidRPr="00456B29">
        <w:rPr>
          <w:rFonts w:asciiTheme="majorBidi" w:eastAsiaTheme="minorHAnsi" w:hAnsiTheme="majorBidi" w:cstheme="majorBidi"/>
          <w:lang w:eastAsia="en-US"/>
          <w14:ligatures w14:val="standardContextual"/>
        </w:rPr>
        <w:t>Veselības inspekcija norāda, ka apgabaltiesa nepamatoti piemērojusi Ārstniecības riska fonda noteikumu 2.pielikuma 2.3.1.apakšpunktu, jo tiesas konstatētie apstākļi liecina, ka paciente nebija pilnībā līdzestīga.</w:t>
      </w:r>
      <w:r w:rsidR="00F6639F">
        <w:rPr>
          <w:rFonts w:asciiTheme="majorBidi" w:eastAsiaTheme="minorHAnsi" w:hAnsiTheme="majorBidi" w:cstheme="majorBidi"/>
          <w:lang w:eastAsia="en-US"/>
          <w14:ligatures w14:val="standardContextual"/>
        </w:rPr>
        <w:t xml:space="preserve"> </w:t>
      </w:r>
      <w:r w:rsidR="00E21AE5">
        <w:rPr>
          <w:rFonts w:asciiTheme="majorBidi" w:eastAsiaTheme="minorHAnsi" w:hAnsiTheme="majorBidi" w:cstheme="majorBidi"/>
          <w:lang w:eastAsia="en-US"/>
          <w14:ligatures w14:val="standardContextual"/>
        </w:rPr>
        <w:t>Proti, pacientei bija jāsniedz informācija par agrāk lietoto</w:t>
      </w:r>
      <w:r w:rsidR="00E21AE5" w:rsidRPr="00E21AE5">
        <w:rPr>
          <w:rFonts w:asciiTheme="majorBidi" w:eastAsiaTheme="minorHAnsi" w:hAnsiTheme="majorBidi" w:cstheme="majorBidi"/>
          <w:lang w:eastAsia="en-US"/>
          <w14:ligatures w14:val="standardContextual"/>
        </w:rPr>
        <w:t xml:space="preserve"> medikamen</w:t>
      </w:r>
      <w:r w:rsidR="00E21AE5">
        <w:rPr>
          <w:rFonts w:asciiTheme="majorBidi" w:eastAsiaTheme="minorHAnsi" w:hAnsiTheme="majorBidi" w:cstheme="majorBidi"/>
          <w:lang w:eastAsia="en-US"/>
          <w14:ligatures w14:val="standardContextual"/>
        </w:rPr>
        <w:t>tu</w:t>
      </w:r>
      <w:r w:rsidR="00E21AE5" w:rsidRPr="00E21AE5">
        <w:rPr>
          <w:rFonts w:asciiTheme="majorBidi" w:eastAsiaTheme="minorHAnsi" w:hAnsiTheme="majorBidi" w:cstheme="majorBidi"/>
          <w:lang w:eastAsia="en-US"/>
          <w14:ligatures w14:val="standardContextual"/>
        </w:rPr>
        <w:t xml:space="preserve"> </w:t>
      </w:r>
      <w:r w:rsidR="00E21AE5" w:rsidRPr="00E21AE5">
        <w:rPr>
          <w:rFonts w:asciiTheme="majorBidi" w:eastAsiaTheme="minorHAnsi" w:hAnsiTheme="majorBidi" w:cstheme="majorBidi"/>
          <w:i/>
          <w:iCs/>
          <w:lang w:eastAsia="en-US"/>
          <w14:ligatures w14:val="standardContextual"/>
        </w:rPr>
        <w:t>Clopidogrel</w:t>
      </w:r>
      <w:r w:rsidR="00E21AE5" w:rsidRPr="00E21AE5">
        <w:rPr>
          <w:rFonts w:asciiTheme="majorBidi" w:eastAsiaTheme="minorHAnsi" w:hAnsiTheme="majorBidi" w:cstheme="majorBidi"/>
          <w:lang w:eastAsia="en-US"/>
          <w14:ligatures w14:val="standardContextual"/>
        </w:rPr>
        <w:t>, jo tā lietošanas pārtraukums var</w:t>
      </w:r>
      <w:r w:rsidR="00E21AE5">
        <w:rPr>
          <w:rFonts w:asciiTheme="majorBidi" w:eastAsiaTheme="minorHAnsi" w:hAnsiTheme="majorBidi" w:cstheme="majorBidi"/>
          <w:lang w:eastAsia="en-US"/>
          <w14:ligatures w14:val="standardContextual"/>
        </w:rPr>
        <w:t>ot</w:t>
      </w:r>
      <w:r w:rsidR="00E21AE5" w:rsidRPr="00E21AE5">
        <w:rPr>
          <w:rFonts w:asciiTheme="majorBidi" w:eastAsiaTheme="minorHAnsi" w:hAnsiTheme="majorBidi" w:cstheme="majorBidi"/>
          <w:lang w:eastAsia="en-US"/>
          <w14:ligatures w14:val="standardContextual"/>
        </w:rPr>
        <w:t xml:space="preserve"> izraisīt jaunu trombu veidošanos, </w:t>
      </w:r>
      <w:r w:rsidR="00E21AE5">
        <w:rPr>
          <w:rFonts w:asciiTheme="majorBidi" w:eastAsiaTheme="minorHAnsi" w:hAnsiTheme="majorBidi" w:cstheme="majorBidi"/>
          <w:lang w:eastAsia="en-US"/>
          <w14:ligatures w14:val="standardContextual"/>
        </w:rPr>
        <w:t>tātad</w:t>
      </w:r>
      <w:r w:rsidR="00E21AE5" w:rsidRPr="00E21AE5">
        <w:rPr>
          <w:rFonts w:asciiTheme="majorBidi" w:eastAsiaTheme="minorHAnsi" w:hAnsiTheme="majorBidi" w:cstheme="majorBidi"/>
          <w:lang w:eastAsia="en-US"/>
          <w14:ligatures w14:val="standardContextual"/>
        </w:rPr>
        <w:t xml:space="preserve"> </w:t>
      </w:r>
      <w:r w:rsidR="00E21AE5">
        <w:rPr>
          <w:rFonts w:asciiTheme="majorBidi" w:eastAsiaTheme="minorHAnsi" w:hAnsiTheme="majorBidi" w:cstheme="majorBidi"/>
          <w:lang w:eastAsia="en-US"/>
          <w14:ligatures w14:val="standardContextual"/>
        </w:rPr>
        <w:t>p</w:t>
      </w:r>
      <w:r w:rsidR="00E21AE5" w:rsidRPr="00E21AE5">
        <w:rPr>
          <w:rFonts w:asciiTheme="majorBidi" w:eastAsiaTheme="minorHAnsi" w:hAnsiTheme="majorBidi" w:cstheme="majorBidi"/>
          <w:lang w:eastAsia="en-US"/>
          <w14:ligatures w14:val="standardContextual"/>
        </w:rPr>
        <w:t xml:space="preserve">acientei pastāvēja lielāks risks trombu attīstībai. </w:t>
      </w:r>
      <w:r w:rsidR="00E21AE5">
        <w:rPr>
          <w:rFonts w:asciiTheme="majorBidi" w:eastAsiaTheme="minorHAnsi" w:hAnsiTheme="majorBidi" w:cstheme="majorBidi"/>
          <w:lang w:eastAsia="en-US"/>
          <w14:ligatures w14:val="standardContextual"/>
        </w:rPr>
        <w:t>J</w:t>
      </w:r>
      <w:r w:rsidR="00E21AE5" w:rsidRPr="00E21AE5">
        <w:rPr>
          <w:rFonts w:asciiTheme="majorBidi" w:eastAsiaTheme="minorHAnsi" w:hAnsiTheme="majorBidi" w:cstheme="majorBidi"/>
          <w:lang w:eastAsia="en-US"/>
          <w14:ligatures w14:val="standardContextual"/>
        </w:rPr>
        <w:t xml:space="preserve">a </w:t>
      </w:r>
      <w:r w:rsidR="00E21AE5">
        <w:rPr>
          <w:rFonts w:asciiTheme="majorBidi" w:eastAsiaTheme="minorHAnsi" w:hAnsiTheme="majorBidi" w:cstheme="majorBidi"/>
          <w:lang w:eastAsia="en-US"/>
          <w14:ligatures w14:val="standardContextual"/>
        </w:rPr>
        <w:t>p</w:t>
      </w:r>
      <w:r w:rsidR="00E21AE5" w:rsidRPr="00E21AE5">
        <w:rPr>
          <w:rFonts w:asciiTheme="majorBidi" w:eastAsiaTheme="minorHAnsi" w:hAnsiTheme="majorBidi" w:cstheme="majorBidi"/>
          <w:lang w:eastAsia="en-US"/>
          <w14:ligatures w14:val="standardContextual"/>
        </w:rPr>
        <w:t xml:space="preserve">aciente ārstniecības personām sniegtu informāciju par medikamenta </w:t>
      </w:r>
      <w:r w:rsidR="00E21AE5" w:rsidRPr="00E21AE5">
        <w:rPr>
          <w:rFonts w:asciiTheme="majorBidi" w:eastAsiaTheme="minorHAnsi" w:hAnsiTheme="majorBidi" w:cstheme="majorBidi"/>
          <w:i/>
          <w:iCs/>
          <w:lang w:eastAsia="en-US"/>
          <w14:ligatures w14:val="standardContextual"/>
        </w:rPr>
        <w:t>Clopidogrel</w:t>
      </w:r>
      <w:r w:rsidR="00E21AE5" w:rsidRPr="00E21AE5">
        <w:rPr>
          <w:rFonts w:asciiTheme="majorBidi" w:eastAsiaTheme="minorHAnsi" w:hAnsiTheme="majorBidi" w:cstheme="majorBidi"/>
          <w:lang w:eastAsia="en-US"/>
          <w14:ligatures w14:val="standardContextual"/>
        </w:rPr>
        <w:t xml:space="preserve"> lietošanu, tad ārstniecības personas varētu atbilstoši rīkoties un konstatēt citus riska faktorus, kas varētu iestāties, ņemot vērā medikamenta </w:t>
      </w:r>
      <w:r w:rsidR="00E21AE5" w:rsidRPr="00E21AE5">
        <w:rPr>
          <w:rFonts w:asciiTheme="majorBidi" w:eastAsiaTheme="minorHAnsi" w:hAnsiTheme="majorBidi" w:cstheme="majorBidi"/>
          <w:i/>
          <w:iCs/>
          <w:lang w:eastAsia="en-US"/>
          <w14:ligatures w14:val="standardContextual"/>
        </w:rPr>
        <w:t>Clopidogrel</w:t>
      </w:r>
      <w:r w:rsidR="00E21AE5" w:rsidRPr="00E21AE5">
        <w:rPr>
          <w:rFonts w:asciiTheme="majorBidi" w:eastAsiaTheme="minorHAnsi" w:hAnsiTheme="majorBidi" w:cstheme="majorBidi"/>
          <w:lang w:eastAsia="en-US"/>
          <w14:ligatures w14:val="standardContextual"/>
        </w:rPr>
        <w:t xml:space="preserve"> lietošanu.</w:t>
      </w:r>
    </w:p>
    <w:p w14:paraId="490F858C" w14:textId="7ACBB7B6" w:rsidR="00480072" w:rsidRDefault="00F6639F"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 xml:space="preserve">Senāts šādam </w:t>
      </w:r>
      <w:r w:rsidR="00C435B0">
        <w:rPr>
          <w:rFonts w:asciiTheme="majorBidi" w:eastAsiaTheme="minorHAnsi" w:hAnsiTheme="majorBidi" w:cstheme="majorBidi"/>
          <w:lang w:eastAsia="en-US"/>
          <w14:ligatures w14:val="standardContextual"/>
        </w:rPr>
        <w:t>viedoklim</w:t>
      </w:r>
      <w:r>
        <w:rPr>
          <w:rFonts w:asciiTheme="majorBidi" w:eastAsiaTheme="minorHAnsi" w:hAnsiTheme="majorBidi" w:cstheme="majorBidi"/>
          <w:lang w:eastAsia="en-US"/>
          <w14:ligatures w14:val="standardContextual"/>
        </w:rPr>
        <w:t xml:space="preserve"> nepiekrīt.</w:t>
      </w:r>
    </w:p>
    <w:p w14:paraId="46D5868A" w14:textId="7D0FC2FC" w:rsidR="00352B25" w:rsidRDefault="00F6639F"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Vērtējot līdzestību, vērā ņemams, ka tieši ārstniecības personām ir speciālas zināšanas medicīnā un spēja apzināties, kādi faktori var būtiski ietekmēt ārstniecības procesu.</w:t>
      </w:r>
      <w:r w:rsidR="00352B25">
        <w:rPr>
          <w:rFonts w:asciiTheme="majorBidi" w:eastAsiaTheme="minorHAnsi" w:hAnsiTheme="majorBidi" w:cstheme="majorBidi"/>
          <w:lang w:eastAsia="en-US"/>
          <w14:ligatures w14:val="standardContextual"/>
        </w:rPr>
        <w:t xml:space="preserve"> </w:t>
      </w:r>
      <w:r>
        <w:rPr>
          <w:rFonts w:asciiTheme="majorBidi" w:eastAsiaTheme="minorHAnsi" w:hAnsiTheme="majorBidi" w:cstheme="majorBidi"/>
          <w:lang w:eastAsia="en-US"/>
          <w14:ligatures w14:val="standardContextual"/>
        </w:rPr>
        <w:t xml:space="preserve">Apgabaltiesa </w:t>
      </w:r>
      <w:r w:rsidR="00C435B0">
        <w:rPr>
          <w:rFonts w:asciiTheme="majorBidi" w:eastAsiaTheme="minorHAnsi" w:hAnsiTheme="majorBidi" w:cstheme="majorBidi"/>
          <w:lang w:eastAsia="en-US"/>
          <w14:ligatures w14:val="standardContextual"/>
        </w:rPr>
        <w:t xml:space="preserve">pamatoti </w:t>
      </w:r>
      <w:r>
        <w:rPr>
          <w:rFonts w:asciiTheme="majorBidi" w:eastAsiaTheme="minorHAnsi" w:hAnsiTheme="majorBidi" w:cstheme="majorBidi"/>
          <w:lang w:eastAsia="en-US"/>
          <w14:ligatures w14:val="standardContextual"/>
        </w:rPr>
        <w:t>ir secinājusi, ka pacientei nav bijis pienākum</w:t>
      </w:r>
      <w:r w:rsidR="00041967">
        <w:rPr>
          <w:rFonts w:asciiTheme="majorBidi" w:eastAsiaTheme="minorHAnsi" w:hAnsiTheme="majorBidi" w:cstheme="majorBidi"/>
          <w:lang w:eastAsia="en-US"/>
          <w14:ligatures w14:val="standardContextual"/>
        </w:rPr>
        <w:t>a</w:t>
      </w:r>
      <w:r>
        <w:rPr>
          <w:rFonts w:asciiTheme="majorBidi" w:eastAsiaTheme="minorHAnsi" w:hAnsiTheme="majorBidi" w:cstheme="majorBidi"/>
          <w:lang w:eastAsia="en-US"/>
          <w14:ligatures w14:val="standardContextual"/>
        </w:rPr>
        <w:t xml:space="preserve"> informēt ārstniecības personas par medikamenta </w:t>
      </w:r>
      <w:r>
        <w:rPr>
          <w:rFonts w:asciiTheme="majorBidi" w:eastAsiaTheme="minorHAnsi" w:hAnsiTheme="majorBidi" w:cstheme="majorBidi"/>
          <w:i/>
          <w:iCs/>
          <w:lang w:eastAsia="en-US"/>
          <w14:ligatures w14:val="standardContextual"/>
        </w:rPr>
        <w:t xml:space="preserve">Clopidogrel </w:t>
      </w:r>
      <w:r>
        <w:rPr>
          <w:rFonts w:asciiTheme="majorBidi" w:eastAsiaTheme="minorHAnsi" w:hAnsiTheme="majorBidi" w:cstheme="majorBidi"/>
          <w:lang w:eastAsia="en-US"/>
          <w14:ligatures w14:val="standardContextual"/>
        </w:rPr>
        <w:t>lietošanu, jo pacientei medikaments vismaz no 2020.gada februāra vairs nebija izrakstīts</w:t>
      </w:r>
      <w:r w:rsidR="00352B25">
        <w:rPr>
          <w:rFonts w:asciiTheme="majorBidi" w:eastAsiaTheme="minorHAnsi" w:hAnsiTheme="majorBidi" w:cstheme="majorBidi"/>
          <w:lang w:eastAsia="en-US"/>
          <w14:ligatures w14:val="standardContextual"/>
        </w:rPr>
        <w:t>, līdz ar to paciente to nenorādīja kā aktuāli lietotu medikamentu.</w:t>
      </w:r>
      <w:r w:rsidR="00E21AE5">
        <w:rPr>
          <w:rFonts w:asciiTheme="majorBidi" w:eastAsiaTheme="minorHAnsi" w:hAnsiTheme="majorBidi" w:cstheme="majorBidi"/>
          <w:lang w:eastAsia="en-US"/>
          <w14:ligatures w14:val="standardContextual"/>
        </w:rPr>
        <w:t xml:space="preserve"> Pārmest, ka pacients neapzinājās, ka medikamenta lietošanas pārtraukšana varētu norādīt uz DVT risku, un iztulkot to kā nelīdzestību savas veselības aprūpē, ir neadekvāti</w:t>
      </w:r>
      <w:r w:rsidR="00C435B0">
        <w:rPr>
          <w:rFonts w:asciiTheme="majorBidi" w:eastAsiaTheme="minorHAnsi" w:hAnsiTheme="majorBidi" w:cstheme="majorBidi"/>
          <w:lang w:eastAsia="en-US"/>
          <w14:ligatures w14:val="standardContextual"/>
        </w:rPr>
        <w:t xml:space="preserve"> un pārliek saslimšanas diagnosticēšanu uz pacientu</w:t>
      </w:r>
      <w:r w:rsidR="00E21AE5">
        <w:rPr>
          <w:rFonts w:asciiTheme="majorBidi" w:eastAsiaTheme="minorHAnsi" w:hAnsiTheme="majorBidi" w:cstheme="majorBidi"/>
          <w:lang w:eastAsia="en-US"/>
          <w14:ligatures w14:val="standardContextual"/>
        </w:rPr>
        <w:t xml:space="preserve">. </w:t>
      </w:r>
      <w:r w:rsidR="00585713">
        <w:rPr>
          <w:rFonts w:asciiTheme="majorBidi" w:eastAsiaTheme="minorHAnsi" w:hAnsiTheme="majorBidi" w:cstheme="majorBidi"/>
          <w:lang w:eastAsia="en-US"/>
          <w14:ligatures w14:val="standardContextual"/>
        </w:rPr>
        <w:t>Ārstniecības personas</w:t>
      </w:r>
      <w:r w:rsidR="009D7DDF">
        <w:rPr>
          <w:rFonts w:asciiTheme="majorBidi" w:eastAsiaTheme="minorHAnsi" w:hAnsiTheme="majorBidi" w:cstheme="majorBidi"/>
          <w:lang w:eastAsia="en-US"/>
          <w14:ligatures w14:val="standardContextual"/>
        </w:rPr>
        <w:t xml:space="preserve"> nev</w:t>
      </w:r>
      <w:r w:rsidR="00585713">
        <w:rPr>
          <w:rFonts w:asciiTheme="majorBidi" w:eastAsiaTheme="minorHAnsi" w:hAnsiTheme="majorBidi" w:cstheme="majorBidi"/>
          <w:lang w:eastAsia="en-US"/>
          <w14:ligatures w14:val="standardContextual"/>
        </w:rPr>
        <w:t>ar</w:t>
      </w:r>
      <w:r w:rsidR="009D7DDF">
        <w:rPr>
          <w:rFonts w:asciiTheme="majorBidi" w:eastAsiaTheme="minorHAnsi" w:hAnsiTheme="majorBidi" w:cstheme="majorBidi"/>
          <w:lang w:eastAsia="en-US"/>
          <w14:ligatures w14:val="standardContextual"/>
        </w:rPr>
        <w:t xml:space="preserve"> paļauties uz pacienta proaktīvu iesaisti, </w:t>
      </w:r>
      <w:r w:rsidR="00585713">
        <w:rPr>
          <w:rFonts w:asciiTheme="majorBidi" w:eastAsiaTheme="minorHAnsi" w:hAnsiTheme="majorBidi" w:cstheme="majorBidi"/>
          <w:lang w:eastAsia="en-US"/>
          <w14:ligatures w14:val="standardContextual"/>
        </w:rPr>
        <w:t>j</w:t>
      </w:r>
      <w:r w:rsidR="00456B29">
        <w:rPr>
          <w:rFonts w:asciiTheme="majorBidi" w:eastAsiaTheme="minorHAnsi" w:hAnsiTheme="majorBidi" w:cstheme="majorBidi"/>
          <w:lang w:eastAsia="en-US"/>
          <w14:ligatures w14:val="standardContextual"/>
        </w:rPr>
        <w:t>o</w:t>
      </w:r>
      <w:r w:rsidR="009D7DDF">
        <w:rPr>
          <w:rFonts w:asciiTheme="majorBidi" w:eastAsiaTheme="minorHAnsi" w:hAnsiTheme="majorBidi" w:cstheme="majorBidi"/>
          <w:lang w:eastAsia="en-US"/>
          <w14:ligatures w14:val="standardContextual"/>
        </w:rPr>
        <w:t xml:space="preserve"> pacientam var trūkt nepieciešam</w:t>
      </w:r>
      <w:r w:rsidR="00041967">
        <w:rPr>
          <w:rFonts w:asciiTheme="majorBidi" w:eastAsiaTheme="minorHAnsi" w:hAnsiTheme="majorBidi" w:cstheme="majorBidi"/>
          <w:lang w:eastAsia="en-US"/>
          <w14:ligatures w14:val="standardContextual"/>
        </w:rPr>
        <w:t>o</w:t>
      </w:r>
      <w:r w:rsidR="009D7DDF">
        <w:rPr>
          <w:rFonts w:asciiTheme="majorBidi" w:eastAsiaTheme="minorHAnsi" w:hAnsiTheme="majorBidi" w:cstheme="majorBidi"/>
          <w:lang w:eastAsia="en-US"/>
          <w14:ligatures w14:val="standardContextual"/>
        </w:rPr>
        <w:t xml:space="preserve"> zināšan</w:t>
      </w:r>
      <w:r w:rsidR="00041967">
        <w:rPr>
          <w:rFonts w:asciiTheme="majorBidi" w:eastAsiaTheme="minorHAnsi" w:hAnsiTheme="majorBidi" w:cstheme="majorBidi"/>
          <w:lang w:eastAsia="en-US"/>
          <w14:ligatures w14:val="standardContextual"/>
        </w:rPr>
        <w:t>u</w:t>
      </w:r>
      <w:r w:rsidR="009D7DDF">
        <w:rPr>
          <w:rFonts w:asciiTheme="majorBidi" w:eastAsiaTheme="minorHAnsi" w:hAnsiTheme="majorBidi" w:cstheme="majorBidi"/>
          <w:lang w:eastAsia="en-US"/>
          <w14:ligatures w14:val="standardContextual"/>
        </w:rPr>
        <w:t>, lai par attiecīgo faktu informētu.</w:t>
      </w:r>
    </w:p>
    <w:p w14:paraId="2A2ADCDE" w14:textId="77777777" w:rsidR="003E2C0E" w:rsidRDefault="003E2C0E" w:rsidP="00A10C51">
      <w:pPr>
        <w:spacing w:line="276" w:lineRule="auto"/>
        <w:ind w:firstLine="720"/>
        <w:jc w:val="both"/>
        <w:rPr>
          <w:rFonts w:asciiTheme="majorBidi" w:eastAsiaTheme="minorHAnsi" w:hAnsiTheme="majorBidi" w:cstheme="majorBidi"/>
          <w:lang w:eastAsia="en-US"/>
          <w14:ligatures w14:val="standardContextual"/>
        </w:rPr>
      </w:pPr>
    </w:p>
    <w:p w14:paraId="3727F1EE" w14:textId="52C5D433" w:rsidR="003E2C0E" w:rsidRDefault="003E2C0E"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w:t>
      </w:r>
      <w:r w:rsidR="00C435B0">
        <w:rPr>
          <w:rFonts w:asciiTheme="majorBidi" w:eastAsiaTheme="minorHAnsi" w:hAnsiTheme="majorBidi" w:cstheme="majorBidi"/>
          <w:lang w:eastAsia="en-US"/>
          <w14:ligatures w14:val="standardContextual"/>
        </w:rPr>
        <w:t>13</w:t>
      </w:r>
      <w:r>
        <w:rPr>
          <w:rFonts w:asciiTheme="majorBidi" w:eastAsiaTheme="minorHAnsi" w:hAnsiTheme="majorBidi" w:cstheme="majorBidi"/>
          <w:lang w:eastAsia="en-US"/>
          <w14:ligatures w14:val="standardContextual"/>
        </w:rPr>
        <w:t>]</w:t>
      </w:r>
      <w:r w:rsidR="00F05EFF">
        <w:rPr>
          <w:rFonts w:asciiTheme="majorBidi" w:eastAsiaTheme="minorHAnsi" w:hAnsiTheme="majorBidi" w:cstheme="majorBidi"/>
          <w:lang w:eastAsia="en-US"/>
          <w14:ligatures w14:val="standardContextual"/>
        </w:rPr>
        <w:t> </w:t>
      </w:r>
      <w:r>
        <w:rPr>
          <w:rFonts w:asciiTheme="majorBidi" w:eastAsiaTheme="minorHAnsi" w:hAnsiTheme="majorBidi" w:cstheme="majorBidi"/>
          <w:lang w:eastAsia="en-US"/>
          <w14:ligatures w14:val="standardContextual"/>
        </w:rPr>
        <w:t>Veselības inspekcija iebilst arī tam, kā apgabaltiesa novērtējusi Ārstniecības riska fonda noteikumu 2.pielikuma 2.4.apakšpunktā ietverto kritēriju – ā</w:t>
      </w:r>
      <w:r w:rsidRPr="003E2C0E">
        <w:rPr>
          <w:rFonts w:asciiTheme="majorBidi" w:eastAsiaTheme="minorHAnsi" w:hAnsiTheme="majorBidi" w:cstheme="majorBidi"/>
          <w:lang w:eastAsia="en-US"/>
          <w14:ligatures w14:val="standardContextual"/>
        </w:rPr>
        <w:t>rstniecības personas darbības atbilstīb</w:t>
      </w:r>
      <w:r>
        <w:rPr>
          <w:rFonts w:asciiTheme="majorBidi" w:eastAsiaTheme="minorHAnsi" w:hAnsiTheme="majorBidi" w:cstheme="majorBidi"/>
          <w:lang w:eastAsia="en-US"/>
          <w14:ligatures w14:val="standardContextual"/>
        </w:rPr>
        <w:t>u</w:t>
      </w:r>
      <w:r w:rsidRPr="003E2C0E">
        <w:rPr>
          <w:rFonts w:asciiTheme="majorBidi" w:eastAsiaTheme="minorHAnsi" w:hAnsiTheme="majorBidi" w:cstheme="majorBidi"/>
          <w:lang w:eastAsia="en-US"/>
          <w14:ligatures w14:val="standardContextual"/>
        </w:rPr>
        <w:t xml:space="preserve"> Ārstniecības likuma 9.</w:t>
      </w:r>
      <w:r w:rsidRPr="003E2C0E">
        <w:rPr>
          <w:rFonts w:asciiTheme="majorBidi" w:eastAsiaTheme="minorHAnsi" w:hAnsiTheme="majorBidi" w:cstheme="majorBidi"/>
          <w:vertAlign w:val="superscript"/>
          <w:lang w:eastAsia="en-US"/>
          <w14:ligatures w14:val="standardContextual"/>
        </w:rPr>
        <w:t>1</w:t>
      </w:r>
      <w:r w:rsidRPr="003E2C0E">
        <w:rPr>
          <w:rFonts w:asciiTheme="majorBidi" w:eastAsiaTheme="minorHAnsi" w:hAnsiTheme="majorBidi" w:cstheme="majorBidi"/>
          <w:lang w:eastAsia="en-US"/>
          <w14:ligatures w14:val="standardContextual"/>
        </w:rPr>
        <w:t>panta pirmajai daļai, tās ieguldījum</w:t>
      </w:r>
      <w:r>
        <w:rPr>
          <w:rFonts w:asciiTheme="majorBidi" w:eastAsiaTheme="minorHAnsi" w:hAnsiTheme="majorBidi" w:cstheme="majorBidi"/>
          <w:lang w:eastAsia="en-US"/>
          <w14:ligatures w14:val="standardContextual"/>
        </w:rPr>
        <w:t>u</w:t>
      </w:r>
      <w:r w:rsidRPr="003E2C0E">
        <w:rPr>
          <w:rFonts w:asciiTheme="majorBidi" w:eastAsiaTheme="minorHAnsi" w:hAnsiTheme="majorBidi" w:cstheme="majorBidi"/>
          <w:lang w:eastAsia="en-US"/>
          <w14:ligatures w14:val="standardContextual"/>
        </w:rPr>
        <w:t xml:space="preserve"> pacienta veselības traucējumu atpazīšanā un veselības stāvokļa uzlabošanā</w:t>
      </w:r>
      <w:r>
        <w:rPr>
          <w:rFonts w:asciiTheme="majorBidi" w:eastAsiaTheme="minorHAnsi" w:hAnsiTheme="majorBidi" w:cstheme="majorBidi"/>
          <w:lang w:eastAsia="en-US"/>
          <w14:ligatures w14:val="standardContextual"/>
        </w:rPr>
        <w:t>. Inspekcijas ieskatā, pie konstatētajiem faktiskajiem apstākļiem bija pamats piemērot 2.4.2.apakšpunktu (</w:t>
      </w:r>
      <w:r w:rsidRPr="003E2C0E">
        <w:rPr>
          <w:rFonts w:asciiTheme="majorBidi" w:eastAsiaTheme="minorHAnsi" w:hAnsiTheme="majorBidi" w:cstheme="majorBidi"/>
          <w:lang w:eastAsia="en-US"/>
          <w14:ligatures w14:val="standardContextual"/>
        </w:rPr>
        <w:t xml:space="preserve">ārstniecības personas darbība bija daļēji atbilstoša, bet veselības </w:t>
      </w:r>
      <w:r w:rsidRPr="003E2C0E">
        <w:rPr>
          <w:rFonts w:asciiTheme="majorBidi" w:eastAsiaTheme="minorHAnsi" w:hAnsiTheme="majorBidi" w:cstheme="majorBidi"/>
          <w:lang w:eastAsia="en-US"/>
          <w14:ligatures w14:val="standardContextual"/>
        </w:rPr>
        <w:lastRenderedPageBreak/>
        <w:t>traucējumi tika atpazīti novēloti un darbība nebija vērsta uz kaitējuma seku novēršanu</w:t>
      </w:r>
      <w:r>
        <w:rPr>
          <w:rFonts w:asciiTheme="majorBidi" w:eastAsiaTheme="minorHAnsi" w:hAnsiTheme="majorBidi" w:cstheme="majorBidi"/>
          <w:lang w:eastAsia="en-US"/>
          <w14:ligatures w14:val="standardContextual"/>
        </w:rPr>
        <w:t>), nevis, kā to atzinusi apgabaltiesa, 2.4.1.apakšpunktu (</w:t>
      </w:r>
      <w:r w:rsidRPr="003E2C0E">
        <w:rPr>
          <w:rFonts w:asciiTheme="majorBidi" w:eastAsiaTheme="minorHAnsi" w:hAnsiTheme="majorBidi" w:cstheme="majorBidi"/>
          <w:lang w:eastAsia="en-US"/>
          <w14:ligatures w14:val="standardContextual"/>
        </w:rPr>
        <w:t>ārstniecības personas darbība nebija atbilstoša, veselības traucējumi tika atpazīti novēloti un darbība nebija vērsta uz kaitējuma seku novēršanu</w:t>
      </w:r>
      <w:r>
        <w:rPr>
          <w:rFonts w:asciiTheme="majorBidi" w:eastAsiaTheme="minorHAnsi" w:hAnsiTheme="majorBidi" w:cstheme="majorBidi"/>
          <w:lang w:eastAsia="en-US"/>
          <w14:ligatures w14:val="standardContextual"/>
        </w:rPr>
        <w:t xml:space="preserve">). Par būtisku inspekcija uzskata to, ka </w:t>
      </w:r>
      <w:r w:rsidR="003C45C5">
        <w:rPr>
          <w:rFonts w:asciiTheme="majorBidi" w:eastAsiaTheme="minorHAnsi" w:hAnsiTheme="majorBidi" w:cstheme="majorBidi"/>
          <w:lang w:eastAsia="en-US"/>
          <w14:ligatures w14:val="standardContextual"/>
        </w:rPr>
        <w:t xml:space="preserve">ārstniecības personas </w:t>
      </w:r>
      <w:r w:rsidR="003C45C5" w:rsidRPr="003C45C5">
        <w:rPr>
          <w:rFonts w:asciiTheme="majorBidi" w:eastAsiaTheme="minorHAnsi" w:hAnsiTheme="majorBidi" w:cstheme="majorBidi"/>
          <w:lang w:eastAsia="en-US"/>
          <w14:ligatures w14:val="standardContextual"/>
        </w:rPr>
        <w:t xml:space="preserve">izvērtēja </w:t>
      </w:r>
      <w:r w:rsidR="003C45C5">
        <w:rPr>
          <w:rFonts w:asciiTheme="majorBidi" w:eastAsiaTheme="minorHAnsi" w:hAnsiTheme="majorBidi" w:cstheme="majorBidi"/>
          <w:lang w:eastAsia="en-US"/>
          <w14:ligatures w14:val="standardContextual"/>
        </w:rPr>
        <w:t>p</w:t>
      </w:r>
      <w:r w:rsidR="003C45C5" w:rsidRPr="003C45C5">
        <w:rPr>
          <w:rFonts w:asciiTheme="majorBidi" w:eastAsiaTheme="minorHAnsi" w:hAnsiTheme="majorBidi" w:cstheme="majorBidi"/>
          <w:lang w:eastAsia="en-US"/>
          <w14:ligatures w14:val="standardContextual"/>
        </w:rPr>
        <w:t xml:space="preserve">acientes sūdzības, objektīvo veselības stāvokli un nozīmēja veikt asins analīzes. </w:t>
      </w:r>
      <w:r w:rsidR="00C435B0">
        <w:rPr>
          <w:rFonts w:asciiTheme="majorBidi" w:eastAsiaTheme="minorHAnsi" w:hAnsiTheme="majorBidi" w:cstheme="majorBidi"/>
          <w:lang w:eastAsia="en-US"/>
          <w14:ligatures w14:val="standardContextual"/>
        </w:rPr>
        <w:t>Inspekcija uzsver, ka ā</w:t>
      </w:r>
      <w:r w:rsidR="003C45C5" w:rsidRPr="003C45C5">
        <w:rPr>
          <w:rFonts w:asciiTheme="majorBidi" w:eastAsiaTheme="minorHAnsi" w:hAnsiTheme="majorBidi" w:cstheme="majorBidi"/>
          <w:lang w:eastAsia="en-US"/>
          <w14:ligatures w14:val="standardContextual"/>
        </w:rPr>
        <w:t xml:space="preserve">rstniecības personu darbības vispārīgi atbilda vispārpieņemtajai praksei medicīnā, tomēr ārstniecības persona korekti neizvērtēja asins analīzēs konstatētos rādītājus korelācijā ar </w:t>
      </w:r>
      <w:r w:rsidR="003C45C5">
        <w:rPr>
          <w:rFonts w:asciiTheme="majorBidi" w:eastAsiaTheme="minorHAnsi" w:hAnsiTheme="majorBidi" w:cstheme="majorBidi"/>
          <w:lang w:eastAsia="en-US"/>
          <w14:ligatures w14:val="standardContextual"/>
        </w:rPr>
        <w:t>p</w:t>
      </w:r>
      <w:r w:rsidR="003C45C5" w:rsidRPr="003C45C5">
        <w:rPr>
          <w:rFonts w:asciiTheme="majorBidi" w:eastAsiaTheme="minorHAnsi" w:hAnsiTheme="majorBidi" w:cstheme="majorBidi"/>
          <w:lang w:eastAsia="en-US"/>
          <w14:ligatures w14:val="standardContextual"/>
        </w:rPr>
        <w:t>acientes pastāvošo veselības stāvokli</w:t>
      </w:r>
      <w:r w:rsidR="003C45C5">
        <w:rPr>
          <w:rFonts w:asciiTheme="majorBidi" w:eastAsiaTheme="minorHAnsi" w:hAnsiTheme="majorBidi" w:cstheme="majorBidi"/>
          <w:lang w:eastAsia="en-US"/>
          <w14:ligatures w14:val="standardContextual"/>
        </w:rPr>
        <w:t>.</w:t>
      </w:r>
    </w:p>
    <w:p w14:paraId="35CC9506" w14:textId="096984B5" w:rsidR="003C45C5" w:rsidRDefault="003C45C5"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 xml:space="preserve">Tātad būtībā viedokļi atšķiras </w:t>
      </w:r>
      <w:r w:rsidR="00456B29">
        <w:rPr>
          <w:rFonts w:asciiTheme="majorBidi" w:eastAsiaTheme="minorHAnsi" w:hAnsiTheme="majorBidi" w:cstheme="majorBidi"/>
          <w:lang w:eastAsia="en-US"/>
          <w14:ligatures w14:val="standardContextual"/>
        </w:rPr>
        <w:t>par to</w:t>
      </w:r>
      <w:r>
        <w:rPr>
          <w:rFonts w:asciiTheme="majorBidi" w:eastAsiaTheme="minorHAnsi" w:hAnsiTheme="majorBidi" w:cstheme="majorBidi"/>
          <w:lang w:eastAsia="en-US"/>
          <w14:ligatures w14:val="standardContextual"/>
        </w:rPr>
        <w:t>, vai gadījumā, ka</w:t>
      </w:r>
      <w:r w:rsidR="00456B29">
        <w:rPr>
          <w:rFonts w:asciiTheme="majorBidi" w:eastAsiaTheme="minorHAnsi" w:hAnsiTheme="majorBidi" w:cstheme="majorBidi"/>
          <w:lang w:eastAsia="en-US"/>
          <w14:ligatures w14:val="standardContextual"/>
        </w:rPr>
        <w:t>d</w:t>
      </w:r>
      <w:r>
        <w:rPr>
          <w:rFonts w:asciiTheme="majorBidi" w:eastAsiaTheme="minorHAnsi" w:hAnsiTheme="majorBidi" w:cstheme="majorBidi"/>
          <w:lang w:eastAsia="en-US"/>
          <w14:ligatures w14:val="standardContextual"/>
        </w:rPr>
        <w:t xml:space="preserve"> vispārīgi ir nozīmētas vajadzīgās analīzes, bet tajās esošā informācija nav pamanīta vai pareizi novērtēta, ir pamats atzīt, ka ārstniecības personu darbība bija vismaz daļēji atbilstoša Ārstniecības likuma 9.</w:t>
      </w:r>
      <w:r w:rsidRPr="003C45C5">
        <w:rPr>
          <w:rFonts w:asciiTheme="majorBidi" w:eastAsiaTheme="minorHAnsi" w:hAnsiTheme="majorBidi" w:cstheme="majorBidi"/>
          <w:vertAlign w:val="superscript"/>
          <w:lang w:eastAsia="en-US"/>
          <w14:ligatures w14:val="standardContextual"/>
        </w:rPr>
        <w:t>1</w:t>
      </w:r>
      <w:r>
        <w:rPr>
          <w:rFonts w:asciiTheme="majorBidi" w:eastAsiaTheme="minorHAnsi" w:hAnsiTheme="majorBidi" w:cstheme="majorBidi"/>
          <w:lang w:eastAsia="en-US"/>
          <w14:ligatures w14:val="standardContextual"/>
        </w:rPr>
        <w:t>panta pirmajai daļai (ā</w:t>
      </w:r>
      <w:r w:rsidRPr="003C45C5">
        <w:rPr>
          <w:rFonts w:asciiTheme="majorBidi" w:eastAsiaTheme="minorHAnsi" w:hAnsiTheme="majorBidi" w:cstheme="majorBidi"/>
          <w:lang w:eastAsia="en-US"/>
          <w14:ligatures w14:val="standardContextual"/>
        </w:rPr>
        <w:t>rstniecību veic atbilstoši klīniskajām vadlīnijām, klīniskajiem algoritmiem un klīniskajiem ceļiem vai ārstniecībā izmantojamo metožu un zāļu lietošanas drošības un ārstēšanas efektivitātes novērtējumam</w:t>
      </w:r>
      <w:r>
        <w:rPr>
          <w:rFonts w:asciiTheme="majorBidi" w:eastAsiaTheme="minorHAnsi" w:hAnsiTheme="majorBidi" w:cstheme="majorBidi"/>
          <w:lang w:eastAsia="en-US"/>
          <w14:ligatures w14:val="standardContextual"/>
        </w:rPr>
        <w:t>)</w:t>
      </w:r>
      <w:r w:rsidRPr="003C45C5">
        <w:rPr>
          <w:rFonts w:asciiTheme="majorBidi" w:eastAsiaTheme="minorHAnsi" w:hAnsiTheme="majorBidi" w:cstheme="majorBidi"/>
          <w:lang w:eastAsia="en-US"/>
          <w14:ligatures w14:val="standardContextual"/>
        </w:rPr>
        <w:t>.</w:t>
      </w:r>
    </w:p>
    <w:p w14:paraId="708479F0" w14:textId="25216120" w:rsidR="00E32AF5" w:rsidRDefault="00B7626A"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 xml:space="preserve">Tas, vai konkrētā gadījumā ir saskatāma ārstniecības personu daļēji atbilstoša vai neatbilstoša darbība, vienmēr ir novērtējams atbilstoši </w:t>
      </w:r>
      <w:r w:rsidR="00C435B0">
        <w:rPr>
          <w:rFonts w:asciiTheme="majorBidi" w:eastAsiaTheme="minorHAnsi" w:hAnsiTheme="majorBidi" w:cstheme="majorBidi"/>
          <w:lang w:eastAsia="en-US"/>
          <w14:ligatures w14:val="standardContextual"/>
        </w:rPr>
        <w:t xml:space="preserve">visiem </w:t>
      </w:r>
      <w:r>
        <w:rPr>
          <w:rFonts w:asciiTheme="majorBidi" w:eastAsiaTheme="minorHAnsi" w:hAnsiTheme="majorBidi" w:cstheme="majorBidi"/>
          <w:lang w:eastAsia="en-US"/>
          <w14:ligatures w14:val="standardContextual"/>
        </w:rPr>
        <w:t xml:space="preserve">konkrētā gadījuma apstākļiem. Šajā gadījumā Senāts nesaskata </w:t>
      </w:r>
      <w:r w:rsidR="00456B29">
        <w:rPr>
          <w:rFonts w:asciiTheme="majorBidi" w:eastAsiaTheme="minorHAnsi" w:hAnsiTheme="majorBidi" w:cstheme="majorBidi"/>
          <w:lang w:eastAsia="en-US"/>
          <w14:ligatures w14:val="standardContextual"/>
        </w:rPr>
        <w:t>tiesību normu pārkāpumus</w:t>
      </w:r>
      <w:r>
        <w:rPr>
          <w:rFonts w:asciiTheme="majorBidi" w:eastAsiaTheme="minorHAnsi" w:hAnsiTheme="majorBidi" w:cstheme="majorBidi"/>
          <w:lang w:eastAsia="en-US"/>
          <w14:ligatures w14:val="standardContextual"/>
        </w:rPr>
        <w:t xml:space="preserve"> apgabaltiesas novērtējumā (pievienojoties rajona tiesas sprieduma motivācijai). Senāts neatkārto visu tiesas novērtēto apstākļu kopumu, bet norāda, ka konkrētajā gadījumā jo īpaši piekrīt, ka </w:t>
      </w:r>
      <w:r w:rsidRPr="00B7626A">
        <w:rPr>
          <w:rFonts w:asciiTheme="majorBidi" w:eastAsiaTheme="minorHAnsi" w:hAnsiTheme="majorBidi" w:cstheme="majorBidi"/>
          <w:lang w:eastAsia="en-US"/>
          <w14:ligatures w14:val="standardContextual"/>
        </w:rPr>
        <w:t>tas vien, ka pacientei veiktajās asinsanalīzēs bija atzīmēta pozīcija D-dimēri, pats par sevi neliecina par ārstniecības personu</w:t>
      </w:r>
      <w:r>
        <w:rPr>
          <w:rFonts w:asciiTheme="majorBidi" w:eastAsiaTheme="minorHAnsi" w:hAnsiTheme="majorBidi" w:cstheme="majorBidi"/>
          <w:lang w:eastAsia="en-US"/>
          <w14:ligatures w14:val="standardContextual"/>
        </w:rPr>
        <w:t xml:space="preserve"> </w:t>
      </w:r>
      <w:r w:rsidRPr="00B7626A">
        <w:rPr>
          <w:rFonts w:asciiTheme="majorBidi" w:eastAsiaTheme="minorHAnsi" w:hAnsiTheme="majorBidi" w:cstheme="majorBidi"/>
          <w:lang w:eastAsia="en-US"/>
          <w14:ligatures w14:val="standardContextual"/>
        </w:rPr>
        <w:t xml:space="preserve">ieguldījumu PATE atpazīšanā. </w:t>
      </w:r>
      <w:r>
        <w:rPr>
          <w:rFonts w:asciiTheme="majorBidi" w:eastAsiaTheme="minorHAnsi" w:hAnsiTheme="majorBidi" w:cstheme="majorBidi"/>
          <w:lang w:eastAsia="en-US"/>
          <w14:ligatures w14:val="standardContextual"/>
        </w:rPr>
        <w:t>No specifisku analīžu veikšanas nav jēgas, ja rezultāts vispār netiek novērtēts, turklāt ņemot vērā arī citus riska faktorus un hroniskās saslimšanas.</w:t>
      </w:r>
    </w:p>
    <w:p w14:paraId="5C6CEFD2" w14:textId="77777777" w:rsidR="00B7626A" w:rsidRDefault="00B7626A" w:rsidP="00A10C51">
      <w:pPr>
        <w:spacing w:line="276" w:lineRule="auto"/>
        <w:ind w:firstLine="720"/>
        <w:rPr>
          <w:rFonts w:asciiTheme="majorBidi" w:eastAsiaTheme="minorHAnsi" w:hAnsiTheme="majorBidi" w:cstheme="majorBidi"/>
          <w:lang w:eastAsia="en-US"/>
          <w14:ligatures w14:val="standardContextual"/>
        </w:rPr>
      </w:pPr>
    </w:p>
    <w:p w14:paraId="77B3A1E3" w14:textId="3D99D505" w:rsidR="00E32AF5" w:rsidRDefault="00E32AF5"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hAnsiTheme="majorBidi" w:cstheme="majorBidi"/>
        </w:rPr>
        <w:t>[1</w:t>
      </w:r>
      <w:r w:rsidR="00C435B0">
        <w:rPr>
          <w:rFonts w:asciiTheme="majorBidi" w:hAnsiTheme="majorBidi" w:cstheme="majorBidi"/>
        </w:rPr>
        <w:t>4</w:t>
      </w:r>
      <w:r>
        <w:rPr>
          <w:rFonts w:asciiTheme="majorBidi" w:hAnsiTheme="majorBidi" w:cstheme="majorBidi"/>
        </w:rPr>
        <w:t xml:space="preserve">] Kasācijas sūdzībā pieteicēji norāda, ka apgabaltiesa ir nepareizi interpretējusi </w:t>
      </w:r>
      <w:r>
        <w:rPr>
          <w:rFonts w:asciiTheme="majorBidi" w:eastAsiaTheme="minorHAnsi" w:hAnsiTheme="majorBidi" w:cstheme="majorBidi"/>
          <w:lang w:eastAsia="en-US"/>
          <w14:ligatures w14:val="standardContextual"/>
        </w:rPr>
        <w:t>likuma „Par miruša cilvēka ķermeņa aizsardzību un cilvēka audu un orgānu izmantošanu medicīnā” 6.panta pirmās daļas 2.punktu, tādējādi nonākot pie nepareiza secinājuma, ka veiktā patologanatomiskā izmeklēšana ir bijusi tiesiska. Pieteicēji uzskata, ka no Ārstniecības riska fonda ir nosakāma atlīdzība par veikto prettiesisko patologanatomisko izmeklēšanu.</w:t>
      </w:r>
    </w:p>
    <w:p w14:paraId="41567707" w14:textId="77777777" w:rsidR="00E32AF5" w:rsidRDefault="00E32AF5"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Senāts vērš uzmanību, ka atbilstoši Pacientu tiesību likuma 16.panta pirmajai un trešajai daļai pacientam (tā mantiniekiem) ir tiesības saņemt atlīdzību no Ārstniecības riska fonda par pacienta dzīvībai vai veselībai nodarīto kaitējumu. Līdz ar to secināms, ka Ārstniecības riska fonds neaptver jautājumus, kas saistīti ar nemantiskā kaitējuma atlīdzību par iespējami prettiesisku patologanatomisko izmeklējumu veikšanu.</w:t>
      </w:r>
    </w:p>
    <w:p w14:paraId="137FC4EE" w14:textId="77777777" w:rsidR="00AB41C7" w:rsidRDefault="00AB41C7" w:rsidP="00A10C51">
      <w:pPr>
        <w:spacing w:line="276" w:lineRule="auto"/>
        <w:ind w:firstLine="720"/>
        <w:jc w:val="both"/>
        <w:rPr>
          <w:rFonts w:asciiTheme="majorBidi" w:eastAsiaTheme="minorHAnsi" w:hAnsiTheme="majorBidi" w:cstheme="majorBidi"/>
          <w:lang w:eastAsia="en-US"/>
          <w14:ligatures w14:val="standardContextual"/>
        </w:rPr>
      </w:pPr>
    </w:p>
    <w:p w14:paraId="27B2A50C" w14:textId="4FD88510" w:rsidR="00AB41C7" w:rsidRPr="003D77F1" w:rsidRDefault="00AB41C7" w:rsidP="00A10C51">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[1</w:t>
      </w:r>
      <w:r w:rsidR="00C435B0">
        <w:rPr>
          <w:rFonts w:asciiTheme="majorBidi" w:eastAsiaTheme="minorHAnsi" w:hAnsiTheme="majorBidi" w:cstheme="majorBidi"/>
          <w:lang w:eastAsia="en-US"/>
          <w14:ligatures w14:val="standardContextual"/>
        </w:rPr>
        <w:t>5</w:t>
      </w:r>
      <w:r>
        <w:rPr>
          <w:rFonts w:asciiTheme="majorBidi" w:eastAsiaTheme="minorHAnsi" w:hAnsiTheme="majorBidi" w:cstheme="majorBidi"/>
          <w:lang w:eastAsia="en-US"/>
          <w14:ligatures w14:val="standardContextual"/>
        </w:rPr>
        <w:t xml:space="preserve">] Pieteicēji uzskata, ka atbilstoši Administratīvā procesa likuma 126.panta </w:t>
      </w:r>
      <w:r w:rsidRPr="003D77F1">
        <w:rPr>
          <w:rFonts w:asciiTheme="majorBidi" w:eastAsiaTheme="minorHAnsi" w:hAnsiTheme="majorBidi" w:cstheme="majorBidi"/>
          <w:lang w:eastAsia="en-US"/>
          <w14:ligatures w14:val="standardContextual"/>
        </w:rPr>
        <w:t>pirmajai daļai valsts nodeva pieteicējiem atlīdzināma arī par pretapelācijas sūdzību, neatkarīgi no tā, vai pretapelācijas sūdzība ir bijusi pamatota. Senāts tam nepiekrīt.</w:t>
      </w:r>
    </w:p>
    <w:p w14:paraId="28C6CC08" w14:textId="6D083843" w:rsidR="00DB01E1" w:rsidRPr="003D77F1" w:rsidRDefault="00DB01E1" w:rsidP="00A10C51">
      <w:pPr>
        <w:pStyle w:val="NoSpacing"/>
        <w:spacing w:line="276" w:lineRule="auto"/>
        <w:ind w:firstLine="709"/>
        <w:jc w:val="both"/>
        <w:rPr>
          <w:lang w:eastAsia="ru-RU"/>
        </w:rPr>
      </w:pPr>
      <w:r w:rsidRPr="003D77F1">
        <w:rPr>
          <w:lang w:eastAsia="ru-RU"/>
        </w:rPr>
        <w:t xml:space="preserve">Viens no valsts nodevas (drošības naudas) mērķiem ir atturēt personas no neapdomātu un nepamatotu pieteikumu (sūdzību) iesniegšanas tiesā. Tas nozīmē, ka procesa dalībniekam, pirms iesniegt apelācijas sūdzību, ir nepieciešams pienācīgi apdomāt tās iesniegšanas nepieciešamību un pamatotību. Valsts nodeva (drošības nauda) kā finansiāla barjera netieši ierobežo Latvijas Republikas Satversmes 92.panta pirmajā teikumā ietvertās tiesības uz pieeju tiesai. Taču šis ierobežojums ir attaisnojams ar leģitīmu mērķi – citu cilvēku tiesību aizsardzību. Mazinoties nepamatotu sūdzību </w:t>
      </w:r>
      <w:r w:rsidRPr="003D77F1">
        <w:rPr>
          <w:lang w:eastAsia="ru-RU"/>
        </w:rPr>
        <w:lastRenderedPageBreak/>
        <w:t>iesniegšanai, tiesa ātrāk var izskatīt citu cilvēku pamatotās sūdzības un tādējādi efektīvāk aizsargāt viņu tiesības (</w:t>
      </w:r>
      <w:r w:rsidRPr="003D77F1">
        <w:rPr>
          <w:i/>
          <w:lang w:eastAsia="ru-RU"/>
        </w:rPr>
        <w:t>Senāta 2016.gada 29.janvāra lēmuma lietā Nr. SKA</w:t>
      </w:r>
      <w:r w:rsidRPr="003D77F1">
        <w:rPr>
          <w:i/>
          <w:lang w:eastAsia="ru-RU"/>
        </w:rPr>
        <w:noBreakHyphen/>
        <w:t>687/2016</w:t>
      </w:r>
      <w:r w:rsidR="002E344E" w:rsidRPr="003D77F1">
        <w:rPr>
          <w:i/>
          <w:lang w:eastAsia="ru-RU"/>
        </w:rPr>
        <w:t>,</w:t>
      </w:r>
      <w:r w:rsidRPr="003D77F1">
        <w:rPr>
          <w:i/>
          <w:lang w:eastAsia="ru-RU"/>
        </w:rPr>
        <w:t xml:space="preserve"> </w:t>
      </w:r>
      <w:r w:rsidRPr="003D77F1">
        <w:rPr>
          <w:i/>
        </w:rPr>
        <w:t>A420193115</w:t>
      </w:r>
      <w:r w:rsidR="002E344E" w:rsidRPr="003D77F1">
        <w:rPr>
          <w:i/>
        </w:rPr>
        <w:t>,</w:t>
      </w:r>
      <w:r w:rsidRPr="003D77F1">
        <w:rPr>
          <w:i/>
        </w:rPr>
        <w:t xml:space="preserve"> 7.punkts</w:t>
      </w:r>
      <w:r w:rsidRPr="003D77F1">
        <w:rPr>
          <w:lang w:eastAsia="ru-RU"/>
        </w:rPr>
        <w:t>).</w:t>
      </w:r>
    </w:p>
    <w:p w14:paraId="6D8E278B" w14:textId="5D29262A" w:rsidR="00DB01E1" w:rsidRPr="003D77F1" w:rsidRDefault="00DB01E1" w:rsidP="00A10C51">
      <w:pPr>
        <w:pStyle w:val="NoSpacing"/>
        <w:spacing w:line="276" w:lineRule="auto"/>
        <w:ind w:firstLine="567"/>
        <w:jc w:val="both"/>
        <w:rPr>
          <w:lang w:eastAsia="ru-RU"/>
        </w:rPr>
      </w:pPr>
      <w:r w:rsidRPr="003D77F1">
        <w:t>Senāts jau agrāk ir norādījis, ka analoģiski arī valsts nodeva par apelācijas sūdzību tiek atmaksāta, ja sūdzība ir pamatota (Administratīvā procesa likuma 126.pants), savukārt nepamatotas sūdzības gadījumā persona samaksāto nodevu zaudē (</w:t>
      </w:r>
      <w:r w:rsidRPr="003D77F1">
        <w:rPr>
          <w:i/>
        </w:rPr>
        <w:t>Senāta 20</w:t>
      </w:r>
      <w:r w:rsidR="002E344E" w:rsidRPr="003D77F1">
        <w:rPr>
          <w:i/>
        </w:rPr>
        <w:t>20</w:t>
      </w:r>
      <w:r w:rsidRPr="003D77F1">
        <w:rPr>
          <w:i/>
        </w:rPr>
        <w:t xml:space="preserve">.gada </w:t>
      </w:r>
      <w:r w:rsidR="002E344E" w:rsidRPr="003D77F1">
        <w:rPr>
          <w:i/>
        </w:rPr>
        <w:t>6.marta</w:t>
      </w:r>
      <w:r w:rsidRPr="003D77F1">
        <w:rPr>
          <w:i/>
        </w:rPr>
        <w:t xml:space="preserve"> </w:t>
      </w:r>
      <w:r w:rsidR="002E344E" w:rsidRPr="00FA646E">
        <w:rPr>
          <w:i/>
        </w:rPr>
        <w:t>sprie</w:t>
      </w:r>
      <w:r w:rsidR="00FA646E">
        <w:rPr>
          <w:i/>
        </w:rPr>
        <w:t xml:space="preserve">duma lietā Nr. SKA-259/2020, </w:t>
      </w:r>
      <w:hyperlink r:id="rId10" w:history="1">
        <w:r w:rsidR="00FA646E" w:rsidRPr="00FA646E">
          <w:rPr>
            <w:rStyle w:val="Hyperlink"/>
            <w:i/>
          </w:rPr>
          <w:t>ECLI:LV:AT:2020:0306.A420358716.13.S</w:t>
        </w:r>
      </w:hyperlink>
      <w:r w:rsidR="00FA646E">
        <w:rPr>
          <w:i/>
        </w:rPr>
        <w:t>, 3., 4.punkts</w:t>
      </w:r>
      <w:r w:rsidRPr="00FA646E">
        <w:t>).</w:t>
      </w:r>
    </w:p>
    <w:p w14:paraId="6EA3AF1D" w14:textId="77777777" w:rsidR="00DB01E1" w:rsidRPr="003D77F1" w:rsidRDefault="00DB01E1" w:rsidP="00A10C51">
      <w:pPr>
        <w:spacing w:line="276" w:lineRule="auto"/>
        <w:ind w:firstLine="720"/>
        <w:jc w:val="both"/>
        <w:rPr>
          <w:rFonts w:asciiTheme="majorBidi" w:eastAsiaTheme="minorHAnsi" w:hAnsiTheme="majorBidi" w:cstheme="majorBidi"/>
          <w:lang w:eastAsia="en-US"/>
          <w14:ligatures w14:val="standardContextual"/>
        </w:rPr>
      </w:pPr>
    </w:p>
    <w:p w14:paraId="40FACC6E" w14:textId="2BF63859" w:rsidR="00AB41C7" w:rsidRPr="003D77F1" w:rsidRDefault="00AB41C7" w:rsidP="00A10C51">
      <w:pPr>
        <w:spacing w:line="276" w:lineRule="auto"/>
        <w:ind w:firstLine="720"/>
        <w:jc w:val="both"/>
        <w:rPr>
          <w:rFonts w:asciiTheme="majorBidi" w:eastAsiaTheme="minorHAnsi" w:hAnsiTheme="majorBidi" w:cstheme="majorBidi"/>
          <w:lang w:eastAsia="en-US"/>
          <w14:ligatures w14:val="standardContextual"/>
        </w:rPr>
      </w:pPr>
      <w:r w:rsidRPr="003D77F1">
        <w:rPr>
          <w:rFonts w:asciiTheme="majorBidi" w:eastAsiaTheme="minorHAnsi" w:hAnsiTheme="majorBidi" w:cstheme="majorBidi"/>
          <w:lang w:eastAsia="en-US"/>
          <w14:ligatures w14:val="standardContextual"/>
        </w:rPr>
        <w:t>Līdz ar to apgabaltiesa ir pamatoti secinājusi, ka izskatāmajā lietā valsts nodeva ir atlīdzināma tikai par pieteikumu, kas ticis apmierināts daļā, savukārt valsts nodeva par pretapelācijas sūdzību, kas atzīta par nepamatotu, nav atlīdzināma.</w:t>
      </w:r>
    </w:p>
    <w:p w14:paraId="01DFAEFE" w14:textId="77777777" w:rsidR="00E32AF5" w:rsidRPr="003D77F1" w:rsidRDefault="00E32AF5" w:rsidP="00A10C51">
      <w:pPr>
        <w:spacing w:line="276" w:lineRule="auto"/>
        <w:ind w:firstLine="720"/>
        <w:jc w:val="both"/>
        <w:rPr>
          <w:rFonts w:asciiTheme="majorBidi" w:eastAsiaTheme="minorHAnsi" w:hAnsiTheme="majorBidi" w:cstheme="majorBidi"/>
          <w:lang w:eastAsia="en-US"/>
          <w14:ligatures w14:val="standardContextual"/>
        </w:rPr>
      </w:pPr>
    </w:p>
    <w:p w14:paraId="779E8ED3" w14:textId="2BFA2412" w:rsidR="00522062" w:rsidRPr="003D77F1" w:rsidRDefault="007D25C8" w:rsidP="00A10C51">
      <w:pPr>
        <w:spacing w:line="276" w:lineRule="auto"/>
        <w:ind w:firstLine="720"/>
        <w:jc w:val="both"/>
        <w:rPr>
          <w:rFonts w:asciiTheme="majorBidi" w:hAnsiTheme="majorBidi" w:cstheme="majorBidi"/>
          <w:color w:val="000000"/>
        </w:rPr>
      </w:pPr>
      <w:r w:rsidRPr="003D77F1">
        <w:rPr>
          <w:rFonts w:asciiTheme="majorBidi" w:hAnsiTheme="majorBidi" w:cstheme="majorBidi"/>
        </w:rPr>
        <w:t>[</w:t>
      </w:r>
      <w:r w:rsidR="00480072" w:rsidRPr="003D77F1">
        <w:rPr>
          <w:rFonts w:asciiTheme="majorBidi" w:hAnsiTheme="majorBidi" w:cstheme="majorBidi"/>
        </w:rPr>
        <w:t>1</w:t>
      </w:r>
      <w:r w:rsidR="00C435B0" w:rsidRPr="003D77F1">
        <w:rPr>
          <w:rFonts w:asciiTheme="majorBidi" w:hAnsiTheme="majorBidi" w:cstheme="majorBidi"/>
        </w:rPr>
        <w:t>6</w:t>
      </w:r>
      <w:r w:rsidRPr="003D77F1">
        <w:rPr>
          <w:rFonts w:asciiTheme="majorBidi" w:hAnsiTheme="majorBidi" w:cstheme="majorBidi"/>
        </w:rPr>
        <w:t>]</w:t>
      </w:r>
      <w:r w:rsidR="001B1153" w:rsidRPr="003D77F1">
        <w:rPr>
          <w:rFonts w:asciiTheme="majorBidi" w:hAnsiTheme="majorBidi" w:cstheme="majorBidi"/>
        </w:rPr>
        <w:t> </w:t>
      </w:r>
      <w:r w:rsidR="00522062" w:rsidRPr="003D77F1">
        <w:rPr>
          <w:rFonts w:asciiTheme="majorBidi" w:hAnsiTheme="majorBidi" w:cstheme="majorBidi"/>
        </w:rPr>
        <w:t xml:space="preserve">Rezumējot iepriekš secināto, </w:t>
      </w:r>
      <w:r w:rsidR="00C435B0" w:rsidRPr="003D77F1">
        <w:rPr>
          <w:rFonts w:asciiTheme="majorBidi" w:hAnsiTheme="majorBidi" w:cstheme="majorBidi"/>
        </w:rPr>
        <w:t>kasācijas sūdzīb</w:t>
      </w:r>
      <w:r w:rsidR="008D763B">
        <w:rPr>
          <w:rFonts w:asciiTheme="majorBidi" w:hAnsiTheme="majorBidi" w:cstheme="majorBidi"/>
        </w:rPr>
        <w:t>u</w:t>
      </w:r>
      <w:r w:rsidR="00C435B0" w:rsidRPr="003D77F1">
        <w:rPr>
          <w:rFonts w:asciiTheme="majorBidi" w:hAnsiTheme="majorBidi" w:cstheme="majorBidi"/>
        </w:rPr>
        <w:t xml:space="preserve"> argumenti nevar būt pamats apgabaltiesas sprieduma atcelšanai.</w:t>
      </w:r>
    </w:p>
    <w:p w14:paraId="76ABC55B" w14:textId="77777777" w:rsidR="00F6513C" w:rsidRPr="003D77F1" w:rsidRDefault="00F6513C" w:rsidP="00A10C51">
      <w:pPr>
        <w:spacing w:line="276" w:lineRule="auto"/>
        <w:ind w:firstLine="720"/>
        <w:jc w:val="both"/>
        <w:rPr>
          <w:rFonts w:asciiTheme="majorBidi" w:hAnsiTheme="majorBidi" w:cstheme="majorBidi"/>
          <w:color w:val="000000"/>
        </w:rPr>
      </w:pPr>
    </w:p>
    <w:p w14:paraId="213649AC" w14:textId="32F5A360" w:rsidR="008677D8" w:rsidRPr="003D77F1" w:rsidRDefault="00F6513C" w:rsidP="00A10C51">
      <w:pPr>
        <w:spacing w:line="276" w:lineRule="auto"/>
        <w:ind w:firstLine="720"/>
        <w:jc w:val="both"/>
        <w:rPr>
          <w:rFonts w:asciiTheme="majorBidi" w:hAnsiTheme="majorBidi" w:cstheme="majorBidi"/>
          <w:color w:val="000000"/>
        </w:rPr>
      </w:pPr>
      <w:r w:rsidRPr="003D77F1">
        <w:rPr>
          <w:rFonts w:asciiTheme="majorBidi" w:hAnsiTheme="majorBidi" w:cstheme="majorBidi"/>
          <w:color w:val="000000"/>
        </w:rPr>
        <w:t>[17]</w:t>
      </w:r>
      <w:r w:rsidR="00F05EFF">
        <w:rPr>
          <w:rFonts w:asciiTheme="majorBidi" w:hAnsiTheme="majorBidi" w:cstheme="majorBidi"/>
          <w:color w:val="000000"/>
        </w:rPr>
        <w:t> </w:t>
      </w:r>
      <w:r w:rsidR="008677D8" w:rsidRPr="003D77F1">
        <w:rPr>
          <w:rFonts w:asciiTheme="majorBidi" w:hAnsiTheme="majorBidi" w:cstheme="majorBidi"/>
          <w:color w:val="000000"/>
        </w:rPr>
        <w:t xml:space="preserve">Pieteicēji pēc kasācijas sūdzības iesniegšanas </w:t>
      </w:r>
      <w:r w:rsidRPr="003D77F1">
        <w:rPr>
          <w:rFonts w:asciiTheme="majorBidi" w:hAnsiTheme="majorBidi" w:cstheme="majorBidi"/>
          <w:color w:val="000000"/>
        </w:rPr>
        <w:t xml:space="preserve">– noraidījumu un </w:t>
      </w:r>
      <w:r w:rsidR="00B112D1" w:rsidRPr="003D77F1">
        <w:rPr>
          <w:rFonts w:asciiTheme="majorBidi" w:hAnsiTheme="majorBidi" w:cstheme="majorBidi"/>
          <w:color w:val="000000"/>
        </w:rPr>
        <w:t xml:space="preserve">ar kasācijas sūdzības izskatīšanu saistītu </w:t>
      </w:r>
      <w:r w:rsidRPr="003D77F1">
        <w:rPr>
          <w:rFonts w:asciiTheme="majorBidi" w:hAnsiTheme="majorBidi" w:cstheme="majorBidi"/>
          <w:color w:val="000000"/>
        </w:rPr>
        <w:t xml:space="preserve">procesuālu lūgumu iesniegšanai noteiktajā termiņā – </w:t>
      </w:r>
      <w:r w:rsidR="008677D8" w:rsidRPr="003D77F1">
        <w:rPr>
          <w:rFonts w:asciiTheme="majorBidi" w:hAnsiTheme="majorBidi" w:cstheme="majorBidi"/>
          <w:color w:val="000000"/>
        </w:rPr>
        <w:t xml:space="preserve">iesniedza arī lūgumu vērsties ar pieteikumu Satversmes tiesā par Ārstniecības riska fonda noteikumu 9.1.apakšpunkta un 2.pielikuma 2.1.apakšpunkta atbilstību Satversmes 64. un 91.pantam. Senāts norāda, ka </w:t>
      </w:r>
      <w:r w:rsidR="00456B29" w:rsidRPr="003D77F1">
        <w:rPr>
          <w:rFonts w:asciiTheme="majorBidi" w:hAnsiTheme="majorBidi" w:cstheme="majorBidi"/>
          <w:color w:val="000000"/>
        </w:rPr>
        <w:t>konkrētajā gadījumā</w:t>
      </w:r>
      <w:r w:rsidR="008677D8" w:rsidRPr="003D77F1">
        <w:rPr>
          <w:rFonts w:asciiTheme="majorBidi" w:hAnsiTheme="majorBidi" w:cstheme="majorBidi"/>
          <w:color w:val="000000"/>
        </w:rPr>
        <w:t xml:space="preserve"> </w:t>
      </w:r>
      <w:r w:rsidR="005B6809" w:rsidRPr="003D77F1">
        <w:rPr>
          <w:rFonts w:asciiTheme="majorBidi" w:hAnsiTheme="majorBidi" w:cstheme="majorBidi"/>
          <w:color w:val="000000"/>
        </w:rPr>
        <w:t xml:space="preserve">nav iesniegts tikai </w:t>
      </w:r>
      <w:r w:rsidR="008677D8" w:rsidRPr="003D77F1">
        <w:rPr>
          <w:rFonts w:asciiTheme="majorBidi" w:hAnsiTheme="majorBidi" w:cstheme="majorBidi"/>
          <w:color w:val="000000"/>
        </w:rPr>
        <w:t xml:space="preserve">lūgums </w:t>
      </w:r>
      <w:r w:rsidR="005B6809" w:rsidRPr="003D77F1">
        <w:rPr>
          <w:rFonts w:asciiTheme="majorBidi" w:hAnsiTheme="majorBidi" w:cstheme="majorBidi"/>
          <w:color w:val="000000"/>
        </w:rPr>
        <w:t xml:space="preserve">vērsties ar pieteikumu Satversmes tiesā, balstoties uz kasācijas sūdzībā jau minētajiem argumentiem. Lūgumā </w:t>
      </w:r>
      <w:r w:rsidR="00456B29" w:rsidRPr="003D77F1">
        <w:rPr>
          <w:rFonts w:asciiTheme="majorBidi" w:hAnsiTheme="majorBidi" w:cstheme="majorBidi"/>
          <w:color w:val="000000"/>
        </w:rPr>
        <w:t xml:space="preserve">būtībā </w:t>
      </w:r>
      <w:r w:rsidR="005B6809" w:rsidRPr="003D77F1">
        <w:rPr>
          <w:rFonts w:asciiTheme="majorBidi" w:hAnsiTheme="majorBidi" w:cstheme="majorBidi"/>
          <w:color w:val="000000"/>
        </w:rPr>
        <w:t xml:space="preserve">ir </w:t>
      </w:r>
      <w:r w:rsidR="00456B29" w:rsidRPr="003D77F1">
        <w:rPr>
          <w:rFonts w:asciiTheme="majorBidi" w:hAnsiTheme="majorBidi" w:cstheme="majorBidi"/>
          <w:color w:val="000000"/>
        </w:rPr>
        <w:t>paplašin</w:t>
      </w:r>
      <w:r w:rsidR="005B6809" w:rsidRPr="003D77F1">
        <w:rPr>
          <w:rFonts w:asciiTheme="majorBidi" w:hAnsiTheme="majorBidi" w:cstheme="majorBidi"/>
          <w:color w:val="000000"/>
        </w:rPr>
        <w:t>āt</w:t>
      </w:r>
      <w:r w:rsidR="00456B29" w:rsidRPr="003D77F1">
        <w:rPr>
          <w:rFonts w:asciiTheme="majorBidi" w:hAnsiTheme="majorBidi" w:cstheme="majorBidi"/>
          <w:color w:val="000000"/>
        </w:rPr>
        <w:t>a kasācijas sūdzīb</w:t>
      </w:r>
      <w:r w:rsidR="005B6809" w:rsidRPr="003D77F1">
        <w:rPr>
          <w:rFonts w:asciiTheme="majorBidi" w:hAnsiTheme="majorBidi" w:cstheme="majorBidi"/>
          <w:color w:val="000000"/>
        </w:rPr>
        <w:t>a</w:t>
      </w:r>
      <w:r w:rsidR="00456B29" w:rsidRPr="003D77F1">
        <w:rPr>
          <w:rFonts w:asciiTheme="majorBidi" w:hAnsiTheme="majorBidi" w:cstheme="majorBidi"/>
          <w:color w:val="000000"/>
        </w:rPr>
        <w:t>, sniedzot plašāku argumentāciju par iespējamiem tiesību normu piemērošanas pārkāpumiem, tādēļ to nevar atzīt par procesuālu lūgumu, kas saistīts tikai ar</w:t>
      </w:r>
      <w:r w:rsidR="008677D8" w:rsidRPr="003D77F1">
        <w:rPr>
          <w:rFonts w:asciiTheme="majorBidi" w:hAnsiTheme="majorBidi" w:cstheme="majorBidi"/>
          <w:color w:val="000000"/>
        </w:rPr>
        <w:t xml:space="preserve"> kasācijas sūdzības izskatīšanu</w:t>
      </w:r>
      <w:r w:rsidR="00456B29" w:rsidRPr="003D77F1">
        <w:rPr>
          <w:rFonts w:asciiTheme="majorBidi" w:hAnsiTheme="majorBidi" w:cstheme="majorBidi"/>
          <w:color w:val="000000"/>
        </w:rPr>
        <w:t xml:space="preserve"> un kas būtu pieļaujams laikā pēc kasācijas sūdzības iesniegšanas termiņa beigām</w:t>
      </w:r>
      <w:r w:rsidRPr="003D77F1">
        <w:rPr>
          <w:rFonts w:asciiTheme="majorBidi" w:hAnsiTheme="majorBidi" w:cstheme="majorBidi"/>
          <w:color w:val="000000"/>
        </w:rPr>
        <w:t xml:space="preserve">. </w:t>
      </w:r>
    </w:p>
    <w:p w14:paraId="2EBF0165" w14:textId="58A1DBA4" w:rsidR="00F6513C" w:rsidRDefault="00F6513C" w:rsidP="00A10C51">
      <w:pPr>
        <w:spacing w:line="276" w:lineRule="auto"/>
        <w:ind w:firstLine="720"/>
        <w:jc w:val="both"/>
        <w:rPr>
          <w:rFonts w:asciiTheme="majorBidi" w:hAnsiTheme="majorBidi" w:cstheme="majorBidi"/>
          <w:color w:val="000000"/>
        </w:rPr>
      </w:pPr>
      <w:r w:rsidRPr="003D77F1">
        <w:rPr>
          <w:rFonts w:asciiTheme="majorBidi" w:hAnsiTheme="majorBidi" w:cstheme="majorBidi"/>
          <w:color w:val="000000"/>
        </w:rPr>
        <w:t xml:space="preserve">Vienlaikus Senāts norāda, ka argumenti par tiesību normu iespējamo neatbilstību Satversmei bija izteikti jau kasācijas sūdzībā un Senāts </w:t>
      </w:r>
      <w:r w:rsidR="005B6809" w:rsidRPr="003D77F1">
        <w:rPr>
          <w:rFonts w:asciiTheme="majorBidi" w:hAnsiTheme="majorBidi" w:cstheme="majorBidi"/>
          <w:color w:val="000000"/>
        </w:rPr>
        <w:t xml:space="preserve">uz kasācijas sūdzībā izteiktajiem argumentiem jau ir atbildējis, </w:t>
      </w:r>
      <w:r w:rsidRPr="003D77F1">
        <w:rPr>
          <w:rFonts w:asciiTheme="majorBidi" w:hAnsiTheme="majorBidi" w:cstheme="majorBidi"/>
          <w:color w:val="000000"/>
        </w:rPr>
        <w:t>tos atzīst</w:t>
      </w:r>
      <w:r w:rsidR="005B6809" w:rsidRPr="003D77F1">
        <w:rPr>
          <w:rFonts w:asciiTheme="majorBidi" w:hAnsiTheme="majorBidi" w:cstheme="majorBidi"/>
          <w:color w:val="000000"/>
        </w:rPr>
        <w:t>ot</w:t>
      </w:r>
      <w:r w:rsidRPr="003D77F1">
        <w:rPr>
          <w:rFonts w:asciiTheme="majorBidi" w:hAnsiTheme="majorBidi" w:cstheme="majorBidi"/>
          <w:color w:val="000000"/>
        </w:rPr>
        <w:t xml:space="preserve"> par nepamatotiem (</w:t>
      </w:r>
      <w:r w:rsidRPr="003D77F1">
        <w:rPr>
          <w:rFonts w:asciiTheme="majorBidi" w:hAnsiTheme="majorBidi" w:cstheme="majorBidi"/>
          <w:i/>
          <w:iCs/>
          <w:color w:val="000000"/>
        </w:rPr>
        <w:t>šā sprieduma 8., 10.punkts</w:t>
      </w:r>
      <w:r w:rsidRPr="003D77F1">
        <w:rPr>
          <w:rFonts w:asciiTheme="majorBidi" w:hAnsiTheme="majorBidi" w:cstheme="majorBidi"/>
          <w:color w:val="000000"/>
        </w:rPr>
        <w:t>).</w:t>
      </w:r>
    </w:p>
    <w:p w14:paraId="18DA2978" w14:textId="77777777" w:rsidR="00522062" w:rsidRPr="00095955" w:rsidRDefault="00522062" w:rsidP="00A10C51">
      <w:pPr>
        <w:spacing w:line="276" w:lineRule="auto"/>
        <w:ind w:firstLine="720"/>
        <w:jc w:val="both"/>
        <w:rPr>
          <w:b/>
          <w:sz w:val="14"/>
          <w:szCs w:val="14"/>
        </w:rPr>
      </w:pPr>
    </w:p>
    <w:p w14:paraId="04759AF8" w14:textId="77777777" w:rsidR="00522062" w:rsidRPr="00095955" w:rsidRDefault="00522062" w:rsidP="00A10C51">
      <w:pPr>
        <w:spacing w:line="276" w:lineRule="auto"/>
        <w:jc w:val="center"/>
        <w:rPr>
          <w:b/>
        </w:rPr>
      </w:pPr>
      <w:r w:rsidRPr="00095955">
        <w:rPr>
          <w:b/>
        </w:rPr>
        <w:t>Rezolutīvā daļa</w:t>
      </w:r>
    </w:p>
    <w:p w14:paraId="2EC6BC50" w14:textId="77777777" w:rsidR="00522062" w:rsidRPr="007D38DF" w:rsidRDefault="00522062" w:rsidP="00A10C51">
      <w:pPr>
        <w:spacing w:line="276" w:lineRule="auto"/>
        <w:ind w:firstLine="720"/>
        <w:jc w:val="both"/>
        <w:rPr>
          <w:sz w:val="14"/>
          <w:szCs w:val="14"/>
          <w:highlight w:val="yellow"/>
        </w:rPr>
      </w:pPr>
    </w:p>
    <w:p w14:paraId="193326F3" w14:textId="17E370B7" w:rsidR="00522062" w:rsidRPr="00095955" w:rsidRDefault="00522062" w:rsidP="00A10C51">
      <w:pPr>
        <w:spacing w:line="276" w:lineRule="auto"/>
        <w:ind w:firstLine="720"/>
        <w:jc w:val="both"/>
      </w:pPr>
      <w:r w:rsidRPr="00095955">
        <w:t xml:space="preserve">Pamatojoties uz </w:t>
      </w:r>
      <w:r w:rsidRPr="00095955">
        <w:rPr>
          <w:rFonts w:eastAsia="Calibri"/>
          <w:lang w:eastAsia="en-US"/>
        </w:rPr>
        <w:t xml:space="preserve">Administratīvā procesa likuma 348.panta pirmās daļas </w:t>
      </w:r>
      <w:r w:rsidR="00C435B0">
        <w:rPr>
          <w:rFonts w:eastAsia="Calibri"/>
          <w:lang w:eastAsia="en-US"/>
        </w:rPr>
        <w:t>1</w:t>
      </w:r>
      <w:r w:rsidRPr="00095955">
        <w:rPr>
          <w:rFonts w:eastAsia="Calibri"/>
          <w:lang w:eastAsia="en-US"/>
        </w:rPr>
        <w:t>.punktu un 351.pantu</w:t>
      </w:r>
      <w:r w:rsidRPr="00095955">
        <w:t>, Senāts</w:t>
      </w:r>
    </w:p>
    <w:p w14:paraId="5A6A029B" w14:textId="77777777" w:rsidR="00522062" w:rsidRPr="007D38DF" w:rsidRDefault="00522062" w:rsidP="00A10C51">
      <w:pPr>
        <w:spacing w:line="276" w:lineRule="auto"/>
        <w:ind w:firstLine="720"/>
        <w:jc w:val="both"/>
        <w:rPr>
          <w:strike/>
          <w:sz w:val="14"/>
          <w:szCs w:val="14"/>
          <w:highlight w:val="yellow"/>
        </w:rPr>
      </w:pPr>
    </w:p>
    <w:p w14:paraId="2FF2D558" w14:textId="77777777" w:rsidR="00522062" w:rsidRPr="00786697" w:rsidRDefault="00522062" w:rsidP="00A10C51">
      <w:pPr>
        <w:spacing w:line="276" w:lineRule="auto"/>
        <w:jc w:val="center"/>
        <w:rPr>
          <w:b/>
        </w:rPr>
      </w:pPr>
      <w:r w:rsidRPr="00786697">
        <w:rPr>
          <w:b/>
        </w:rPr>
        <w:t>nosprieda</w:t>
      </w:r>
    </w:p>
    <w:p w14:paraId="11EF4D10" w14:textId="77777777" w:rsidR="00522062" w:rsidRPr="007D38DF" w:rsidRDefault="00522062" w:rsidP="00A10C51">
      <w:pPr>
        <w:spacing w:line="276" w:lineRule="auto"/>
        <w:ind w:firstLine="720"/>
        <w:jc w:val="center"/>
        <w:rPr>
          <w:b/>
          <w:sz w:val="14"/>
          <w:szCs w:val="14"/>
          <w:highlight w:val="yellow"/>
        </w:rPr>
      </w:pPr>
    </w:p>
    <w:p w14:paraId="546A7B5E" w14:textId="0B896729" w:rsidR="00DE289C" w:rsidRPr="007D38DF" w:rsidRDefault="006965E7" w:rsidP="00A10C51">
      <w:pPr>
        <w:spacing w:line="276" w:lineRule="auto"/>
        <w:ind w:firstLine="720"/>
        <w:jc w:val="both"/>
        <w:rPr>
          <w:sz w:val="14"/>
          <w:szCs w:val="14"/>
          <w:highlight w:val="yellow"/>
        </w:rPr>
      </w:pPr>
      <w:r w:rsidRPr="00786697">
        <w:t>a</w:t>
      </w:r>
      <w:r w:rsidR="00DE289C" w:rsidRPr="00786697">
        <w:t>t</w:t>
      </w:r>
      <w:r w:rsidR="00C435B0">
        <w:t xml:space="preserve">stāt negrozītu </w:t>
      </w:r>
      <w:r w:rsidR="00522062" w:rsidRPr="00786697">
        <w:t>Administratīvās apgabaltiesas 202</w:t>
      </w:r>
      <w:r w:rsidR="00786697">
        <w:t>4</w:t>
      </w:r>
      <w:r w:rsidR="00522062" w:rsidRPr="00786697">
        <w:t xml:space="preserve">.gada </w:t>
      </w:r>
      <w:r w:rsidR="00786697">
        <w:t>7</w:t>
      </w:r>
      <w:r w:rsidR="00522062" w:rsidRPr="00786697">
        <w:t>.</w:t>
      </w:r>
      <w:r w:rsidR="00786697">
        <w:t>novembra</w:t>
      </w:r>
      <w:r w:rsidR="00522062" w:rsidRPr="00786697">
        <w:t xml:space="preserve"> spriedumu</w:t>
      </w:r>
      <w:r w:rsidR="00C435B0">
        <w:t>, bet</w:t>
      </w:r>
      <w:r w:rsidR="0023340F">
        <w:rPr>
          <w:color w:val="000000"/>
          <w:shd w:val="clear" w:color="auto" w:fill="FFFFFF"/>
        </w:rPr>
        <w:t xml:space="preserve"> [pers. A]</w:t>
      </w:r>
      <w:r w:rsidR="00786697" w:rsidRPr="00224707">
        <w:rPr>
          <w:color w:val="000000"/>
          <w:shd w:val="clear" w:color="auto" w:fill="FFFFFF"/>
        </w:rPr>
        <w:t xml:space="preserve">, </w:t>
      </w:r>
      <w:r w:rsidR="0023340F">
        <w:rPr>
          <w:color w:val="000000"/>
          <w:shd w:val="clear" w:color="auto" w:fill="FFFFFF"/>
        </w:rPr>
        <w:t>[pers. B]</w:t>
      </w:r>
      <w:r w:rsidR="00786697" w:rsidRPr="00224707">
        <w:rPr>
          <w:color w:val="000000"/>
          <w:shd w:val="clear" w:color="auto" w:fill="FFFFFF"/>
        </w:rPr>
        <w:t xml:space="preserve">, </w:t>
      </w:r>
      <w:r w:rsidR="0023340F">
        <w:rPr>
          <w:color w:val="000000"/>
          <w:shd w:val="clear" w:color="auto" w:fill="FFFFFF"/>
        </w:rPr>
        <w:t>[pers. C]</w:t>
      </w:r>
      <w:r w:rsidR="00786697" w:rsidRPr="00224707">
        <w:rPr>
          <w:color w:val="000000"/>
          <w:shd w:val="clear" w:color="auto" w:fill="FFFFFF"/>
        </w:rPr>
        <w:t xml:space="preserve">, </w:t>
      </w:r>
      <w:r w:rsidR="0023340F">
        <w:rPr>
          <w:color w:val="000000"/>
          <w:shd w:val="clear" w:color="auto" w:fill="FFFFFF"/>
        </w:rPr>
        <w:t xml:space="preserve">[pers. D] </w:t>
      </w:r>
      <w:r w:rsidR="00786697" w:rsidRPr="00224707">
        <w:rPr>
          <w:color w:val="000000"/>
          <w:shd w:val="clear" w:color="auto" w:fill="FFFFFF"/>
        </w:rPr>
        <w:t xml:space="preserve">un </w:t>
      </w:r>
      <w:r w:rsidR="0023340F">
        <w:rPr>
          <w:color w:val="000000"/>
          <w:shd w:val="clear" w:color="auto" w:fill="FFFFFF"/>
        </w:rPr>
        <w:t xml:space="preserve">[pers. E] </w:t>
      </w:r>
      <w:r w:rsidR="00786697">
        <w:t xml:space="preserve">kasācijas sūdzību </w:t>
      </w:r>
      <w:r w:rsidR="00C435B0">
        <w:t>un Veselības inspekcijas kasācijas sūdzību noraidīt</w:t>
      </w:r>
      <w:r w:rsidR="00786697">
        <w:t>.</w:t>
      </w:r>
      <w:r w:rsidR="00786697">
        <w:cr/>
      </w:r>
    </w:p>
    <w:p w14:paraId="5A90A925" w14:textId="77777777" w:rsidR="00522062" w:rsidRPr="00786697" w:rsidRDefault="00522062" w:rsidP="00A10C51">
      <w:pPr>
        <w:spacing w:line="276" w:lineRule="auto"/>
        <w:ind w:firstLine="720"/>
        <w:jc w:val="both"/>
      </w:pPr>
      <w:r w:rsidRPr="00786697">
        <w:t>Spriedums nav pārsūdzams.</w:t>
      </w:r>
    </w:p>
    <w:p w14:paraId="2B8E18C9" w14:textId="77777777" w:rsidR="00522062" w:rsidRPr="007D38DF" w:rsidRDefault="00522062" w:rsidP="00756E34">
      <w:pPr>
        <w:spacing w:line="276" w:lineRule="auto"/>
        <w:jc w:val="both"/>
        <w:rPr>
          <w:bCs/>
          <w:color w:val="FFFFFF"/>
          <w:highlight w:val="yellow"/>
        </w:rPr>
      </w:pPr>
    </w:p>
    <w:p w14:paraId="62BDBAA4" w14:textId="77777777" w:rsidR="00756E34" w:rsidRPr="007D38DF" w:rsidRDefault="00756E34" w:rsidP="00756E34">
      <w:pPr>
        <w:spacing w:line="276" w:lineRule="auto"/>
        <w:jc w:val="both"/>
        <w:rPr>
          <w:bCs/>
          <w:color w:val="FFFFFF"/>
          <w:highlight w:val="yellow"/>
        </w:rPr>
      </w:pPr>
    </w:p>
    <w:p w14:paraId="0559A938" w14:textId="77777777" w:rsidR="00522062" w:rsidRPr="007D38DF" w:rsidRDefault="00522062" w:rsidP="00756E34">
      <w:pPr>
        <w:spacing w:line="276" w:lineRule="auto"/>
        <w:jc w:val="both"/>
        <w:rPr>
          <w:bCs/>
          <w:color w:val="FFFFFF"/>
          <w:highlight w:val="yellow"/>
        </w:rPr>
      </w:pPr>
    </w:p>
    <w:p w14:paraId="5BBD86C9" w14:textId="77777777" w:rsidR="00522062" w:rsidRPr="007D38DF" w:rsidRDefault="00522062" w:rsidP="00756E34">
      <w:pPr>
        <w:spacing w:line="276" w:lineRule="auto"/>
        <w:jc w:val="both"/>
        <w:rPr>
          <w:bCs/>
          <w:color w:val="FFFFFF"/>
          <w:highlight w:val="yellow"/>
        </w:rPr>
      </w:pPr>
    </w:p>
    <w:p w14:paraId="4F07CE33" w14:textId="77777777" w:rsidR="002718AC" w:rsidRPr="00756E34" w:rsidRDefault="002718AC" w:rsidP="007445DA">
      <w:pPr>
        <w:spacing w:line="276" w:lineRule="auto"/>
        <w:rPr>
          <w:sz w:val="2"/>
          <w:szCs w:val="2"/>
        </w:rPr>
      </w:pPr>
    </w:p>
    <w:sectPr w:rsidR="002718AC" w:rsidRPr="00756E34" w:rsidSect="00145DD7">
      <w:footerReference w:type="even" r:id="rId11"/>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E83D" w14:textId="77777777" w:rsidR="00A01038" w:rsidRDefault="00A01038">
      <w:r>
        <w:separator/>
      </w:r>
    </w:p>
  </w:endnote>
  <w:endnote w:type="continuationSeparator" w:id="0">
    <w:p w14:paraId="3E37F80F" w14:textId="77777777" w:rsidR="00A01038" w:rsidRDefault="00A0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ED08" w14:textId="77777777" w:rsidR="003F47F3" w:rsidRDefault="00D218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22D2A" w14:textId="77777777" w:rsidR="003F47F3" w:rsidRDefault="003F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2604" w14:textId="77777777" w:rsidR="003F47F3" w:rsidRDefault="00D218D1">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6EB6" w14:textId="77777777" w:rsidR="00A01038" w:rsidRDefault="00A01038">
      <w:r>
        <w:separator/>
      </w:r>
    </w:p>
  </w:footnote>
  <w:footnote w:type="continuationSeparator" w:id="0">
    <w:p w14:paraId="5CEDA42C" w14:textId="77777777" w:rsidR="00A01038" w:rsidRDefault="00A01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9D5"/>
    <w:multiLevelType w:val="hybridMultilevel"/>
    <w:tmpl w:val="947CE4E0"/>
    <w:lvl w:ilvl="0" w:tplc="AD28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8759B"/>
    <w:multiLevelType w:val="hybridMultilevel"/>
    <w:tmpl w:val="93522986"/>
    <w:lvl w:ilvl="0" w:tplc="7C5C3E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6486044"/>
    <w:multiLevelType w:val="hybridMultilevel"/>
    <w:tmpl w:val="06983960"/>
    <w:lvl w:ilvl="0" w:tplc="7B1E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4669331">
    <w:abstractNumId w:val="0"/>
  </w:num>
  <w:num w:numId="2" w16cid:durableId="1270622845">
    <w:abstractNumId w:val="2"/>
  </w:num>
  <w:num w:numId="3" w16cid:durableId="153970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396F"/>
    <w:rsid w:val="00004990"/>
    <w:rsid w:val="00013564"/>
    <w:rsid w:val="0001449E"/>
    <w:rsid w:val="000215E1"/>
    <w:rsid w:val="000256AB"/>
    <w:rsid w:val="00026D45"/>
    <w:rsid w:val="0004136B"/>
    <w:rsid w:val="00041967"/>
    <w:rsid w:val="000440DC"/>
    <w:rsid w:val="00044CE0"/>
    <w:rsid w:val="00045CD5"/>
    <w:rsid w:val="00056E10"/>
    <w:rsid w:val="00057373"/>
    <w:rsid w:val="0006322B"/>
    <w:rsid w:val="000641F1"/>
    <w:rsid w:val="000664EE"/>
    <w:rsid w:val="00066A0D"/>
    <w:rsid w:val="000720A0"/>
    <w:rsid w:val="00073744"/>
    <w:rsid w:val="00073EF2"/>
    <w:rsid w:val="00075D60"/>
    <w:rsid w:val="00077651"/>
    <w:rsid w:val="00077776"/>
    <w:rsid w:val="000777DE"/>
    <w:rsid w:val="00080A16"/>
    <w:rsid w:val="00084383"/>
    <w:rsid w:val="00094542"/>
    <w:rsid w:val="00095955"/>
    <w:rsid w:val="00097E38"/>
    <w:rsid w:val="000A217D"/>
    <w:rsid w:val="000A46B3"/>
    <w:rsid w:val="000B0978"/>
    <w:rsid w:val="000B3230"/>
    <w:rsid w:val="000B4407"/>
    <w:rsid w:val="000B6174"/>
    <w:rsid w:val="000C56C1"/>
    <w:rsid w:val="000C7684"/>
    <w:rsid w:val="000D7177"/>
    <w:rsid w:val="000F5CEC"/>
    <w:rsid w:val="000F62F6"/>
    <w:rsid w:val="00105CFA"/>
    <w:rsid w:val="00110FC9"/>
    <w:rsid w:val="0011152C"/>
    <w:rsid w:val="00112A9A"/>
    <w:rsid w:val="0011542F"/>
    <w:rsid w:val="00115DFD"/>
    <w:rsid w:val="001300C5"/>
    <w:rsid w:val="00132B6B"/>
    <w:rsid w:val="0013713F"/>
    <w:rsid w:val="00145DD7"/>
    <w:rsid w:val="001507BD"/>
    <w:rsid w:val="00160784"/>
    <w:rsid w:val="00161828"/>
    <w:rsid w:val="001776A8"/>
    <w:rsid w:val="0018268D"/>
    <w:rsid w:val="00187042"/>
    <w:rsid w:val="00193F27"/>
    <w:rsid w:val="00196013"/>
    <w:rsid w:val="001A20F1"/>
    <w:rsid w:val="001A3C2A"/>
    <w:rsid w:val="001A60AB"/>
    <w:rsid w:val="001A6650"/>
    <w:rsid w:val="001B1153"/>
    <w:rsid w:val="001B598C"/>
    <w:rsid w:val="001E6ECD"/>
    <w:rsid w:val="001E7970"/>
    <w:rsid w:val="001F62DA"/>
    <w:rsid w:val="00202E24"/>
    <w:rsid w:val="00210EA5"/>
    <w:rsid w:val="0021106D"/>
    <w:rsid w:val="00212032"/>
    <w:rsid w:val="0022279B"/>
    <w:rsid w:val="00224707"/>
    <w:rsid w:val="00224714"/>
    <w:rsid w:val="0023250C"/>
    <w:rsid w:val="0023340F"/>
    <w:rsid w:val="002402B6"/>
    <w:rsid w:val="002411A9"/>
    <w:rsid w:val="002416AC"/>
    <w:rsid w:val="00250C26"/>
    <w:rsid w:val="00253562"/>
    <w:rsid w:val="0025364C"/>
    <w:rsid w:val="0026000A"/>
    <w:rsid w:val="002618E0"/>
    <w:rsid w:val="002653E9"/>
    <w:rsid w:val="00270381"/>
    <w:rsid w:val="00270F47"/>
    <w:rsid w:val="002718AC"/>
    <w:rsid w:val="00272CE9"/>
    <w:rsid w:val="0027313F"/>
    <w:rsid w:val="002809B4"/>
    <w:rsid w:val="00280BF4"/>
    <w:rsid w:val="00295B54"/>
    <w:rsid w:val="002A48B8"/>
    <w:rsid w:val="002B53C5"/>
    <w:rsid w:val="002C2610"/>
    <w:rsid w:val="002C4E5D"/>
    <w:rsid w:val="002C705B"/>
    <w:rsid w:val="002D06D8"/>
    <w:rsid w:val="002D180C"/>
    <w:rsid w:val="002D4FCA"/>
    <w:rsid w:val="002D5291"/>
    <w:rsid w:val="002D7C04"/>
    <w:rsid w:val="002E2599"/>
    <w:rsid w:val="002E2659"/>
    <w:rsid w:val="002E344E"/>
    <w:rsid w:val="002F65D3"/>
    <w:rsid w:val="002F779F"/>
    <w:rsid w:val="00301E19"/>
    <w:rsid w:val="00302AFE"/>
    <w:rsid w:val="00304C15"/>
    <w:rsid w:val="00307460"/>
    <w:rsid w:val="00317ACF"/>
    <w:rsid w:val="0032293E"/>
    <w:rsid w:val="00324C58"/>
    <w:rsid w:val="003265CE"/>
    <w:rsid w:val="00326604"/>
    <w:rsid w:val="00326D5B"/>
    <w:rsid w:val="00327C34"/>
    <w:rsid w:val="003431DB"/>
    <w:rsid w:val="003443F5"/>
    <w:rsid w:val="003456AF"/>
    <w:rsid w:val="00347318"/>
    <w:rsid w:val="00352B25"/>
    <w:rsid w:val="00352F9F"/>
    <w:rsid w:val="00355170"/>
    <w:rsid w:val="00356222"/>
    <w:rsid w:val="003635A7"/>
    <w:rsid w:val="00364E48"/>
    <w:rsid w:val="0037070B"/>
    <w:rsid w:val="00382307"/>
    <w:rsid w:val="00397D7E"/>
    <w:rsid w:val="003A1CD4"/>
    <w:rsid w:val="003A375E"/>
    <w:rsid w:val="003B05F3"/>
    <w:rsid w:val="003B2AB3"/>
    <w:rsid w:val="003B2EA2"/>
    <w:rsid w:val="003C0450"/>
    <w:rsid w:val="003C1C56"/>
    <w:rsid w:val="003C30D7"/>
    <w:rsid w:val="003C45C5"/>
    <w:rsid w:val="003C59B6"/>
    <w:rsid w:val="003C5C7C"/>
    <w:rsid w:val="003D263A"/>
    <w:rsid w:val="003D4656"/>
    <w:rsid w:val="003D654A"/>
    <w:rsid w:val="003D6859"/>
    <w:rsid w:val="003D77F1"/>
    <w:rsid w:val="003E1AEF"/>
    <w:rsid w:val="003E2C0E"/>
    <w:rsid w:val="003F0F94"/>
    <w:rsid w:val="003F47F3"/>
    <w:rsid w:val="00412DB5"/>
    <w:rsid w:val="00414086"/>
    <w:rsid w:val="00417473"/>
    <w:rsid w:val="00421186"/>
    <w:rsid w:val="00421719"/>
    <w:rsid w:val="00422016"/>
    <w:rsid w:val="00430EF0"/>
    <w:rsid w:val="0043190B"/>
    <w:rsid w:val="00432EB6"/>
    <w:rsid w:val="00437514"/>
    <w:rsid w:val="00444FE3"/>
    <w:rsid w:val="00447397"/>
    <w:rsid w:val="00447844"/>
    <w:rsid w:val="00452DE1"/>
    <w:rsid w:val="0045406C"/>
    <w:rsid w:val="00456B29"/>
    <w:rsid w:val="004601AC"/>
    <w:rsid w:val="004671FE"/>
    <w:rsid w:val="00470F5C"/>
    <w:rsid w:val="00475C55"/>
    <w:rsid w:val="00480072"/>
    <w:rsid w:val="004811C5"/>
    <w:rsid w:val="0048346E"/>
    <w:rsid w:val="00492E42"/>
    <w:rsid w:val="004A35F6"/>
    <w:rsid w:val="004A58D6"/>
    <w:rsid w:val="004B6AAE"/>
    <w:rsid w:val="004C0658"/>
    <w:rsid w:val="004C13BC"/>
    <w:rsid w:val="004C3B37"/>
    <w:rsid w:val="004C59FE"/>
    <w:rsid w:val="004C6100"/>
    <w:rsid w:val="004C76D3"/>
    <w:rsid w:val="004D08EA"/>
    <w:rsid w:val="004D203D"/>
    <w:rsid w:val="004E1156"/>
    <w:rsid w:val="004E465E"/>
    <w:rsid w:val="004F0AF1"/>
    <w:rsid w:val="004F48AB"/>
    <w:rsid w:val="00502C67"/>
    <w:rsid w:val="005128FC"/>
    <w:rsid w:val="00515A11"/>
    <w:rsid w:val="005172C5"/>
    <w:rsid w:val="0052060F"/>
    <w:rsid w:val="00522062"/>
    <w:rsid w:val="00535B31"/>
    <w:rsid w:val="0054545A"/>
    <w:rsid w:val="00546F5E"/>
    <w:rsid w:val="00547147"/>
    <w:rsid w:val="005471AF"/>
    <w:rsid w:val="00561077"/>
    <w:rsid w:val="0056174B"/>
    <w:rsid w:val="00570B19"/>
    <w:rsid w:val="00581030"/>
    <w:rsid w:val="00585713"/>
    <w:rsid w:val="00590033"/>
    <w:rsid w:val="00590F34"/>
    <w:rsid w:val="0059737A"/>
    <w:rsid w:val="005A02AF"/>
    <w:rsid w:val="005A3D63"/>
    <w:rsid w:val="005B03B9"/>
    <w:rsid w:val="005B214A"/>
    <w:rsid w:val="005B6809"/>
    <w:rsid w:val="005C50D0"/>
    <w:rsid w:val="005C782B"/>
    <w:rsid w:val="005D32DD"/>
    <w:rsid w:val="005D37FA"/>
    <w:rsid w:val="005D45E0"/>
    <w:rsid w:val="005E3299"/>
    <w:rsid w:val="005F1CC1"/>
    <w:rsid w:val="005F66E4"/>
    <w:rsid w:val="00623257"/>
    <w:rsid w:val="006271A8"/>
    <w:rsid w:val="00641B35"/>
    <w:rsid w:val="006448C9"/>
    <w:rsid w:val="00647D9B"/>
    <w:rsid w:val="006534A5"/>
    <w:rsid w:val="00656C40"/>
    <w:rsid w:val="006626E9"/>
    <w:rsid w:val="00667CF0"/>
    <w:rsid w:val="0067019C"/>
    <w:rsid w:val="0067225F"/>
    <w:rsid w:val="006814B8"/>
    <w:rsid w:val="00684C0B"/>
    <w:rsid w:val="0068514D"/>
    <w:rsid w:val="00685414"/>
    <w:rsid w:val="00685D45"/>
    <w:rsid w:val="00687B84"/>
    <w:rsid w:val="00687E8A"/>
    <w:rsid w:val="006965E7"/>
    <w:rsid w:val="006A1FF1"/>
    <w:rsid w:val="006A4E71"/>
    <w:rsid w:val="006A58D4"/>
    <w:rsid w:val="006A5F4D"/>
    <w:rsid w:val="006A751B"/>
    <w:rsid w:val="006A7D9A"/>
    <w:rsid w:val="006B100F"/>
    <w:rsid w:val="006B724E"/>
    <w:rsid w:val="006C58E8"/>
    <w:rsid w:val="006C5BBB"/>
    <w:rsid w:val="006D76F7"/>
    <w:rsid w:val="006E41D7"/>
    <w:rsid w:val="006F2CDD"/>
    <w:rsid w:val="007051CF"/>
    <w:rsid w:val="007051F5"/>
    <w:rsid w:val="00706190"/>
    <w:rsid w:val="00714F77"/>
    <w:rsid w:val="00730682"/>
    <w:rsid w:val="0073143C"/>
    <w:rsid w:val="00733A09"/>
    <w:rsid w:val="007424A5"/>
    <w:rsid w:val="00743F6F"/>
    <w:rsid w:val="007445DA"/>
    <w:rsid w:val="007472E6"/>
    <w:rsid w:val="0075173A"/>
    <w:rsid w:val="0075361D"/>
    <w:rsid w:val="00756E34"/>
    <w:rsid w:val="00760BA0"/>
    <w:rsid w:val="00760FEF"/>
    <w:rsid w:val="00772B78"/>
    <w:rsid w:val="007753AF"/>
    <w:rsid w:val="007818E1"/>
    <w:rsid w:val="00782E0A"/>
    <w:rsid w:val="00786697"/>
    <w:rsid w:val="00790571"/>
    <w:rsid w:val="0079565C"/>
    <w:rsid w:val="00795DF7"/>
    <w:rsid w:val="007A07D0"/>
    <w:rsid w:val="007A0D71"/>
    <w:rsid w:val="007A7336"/>
    <w:rsid w:val="007B55E1"/>
    <w:rsid w:val="007C00E8"/>
    <w:rsid w:val="007C1020"/>
    <w:rsid w:val="007C45CF"/>
    <w:rsid w:val="007C6F04"/>
    <w:rsid w:val="007C74A5"/>
    <w:rsid w:val="007C767D"/>
    <w:rsid w:val="007D25C8"/>
    <w:rsid w:val="007D38DF"/>
    <w:rsid w:val="007E37A8"/>
    <w:rsid w:val="007E3FCA"/>
    <w:rsid w:val="007F4E23"/>
    <w:rsid w:val="007F6C61"/>
    <w:rsid w:val="008050F9"/>
    <w:rsid w:val="00806E32"/>
    <w:rsid w:val="00812F7B"/>
    <w:rsid w:val="00815B38"/>
    <w:rsid w:val="008160AC"/>
    <w:rsid w:val="00824B5F"/>
    <w:rsid w:val="008278AC"/>
    <w:rsid w:val="008354CC"/>
    <w:rsid w:val="00835C48"/>
    <w:rsid w:val="00855491"/>
    <w:rsid w:val="00861332"/>
    <w:rsid w:val="00863029"/>
    <w:rsid w:val="00863A3E"/>
    <w:rsid w:val="0086699D"/>
    <w:rsid w:val="008677D8"/>
    <w:rsid w:val="00871465"/>
    <w:rsid w:val="008714E5"/>
    <w:rsid w:val="00873595"/>
    <w:rsid w:val="00876015"/>
    <w:rsid w:val="00876C64"/>
    <w:rsid w:val="00876E91"/>
    <w:rsid w:val="0088028A"/>
    <w:rsid w:val="00880830"/>
    <w:rsid w:val="00881FBD"/>
    <w:rsid w:val="008866E4"/>
    <w:rsid w:val="00895500"/>
    <w:rsid w:val="00895C27"/>
    <w:rsid w:val="008966CE"/>
    <w:rsid w:val="008A1540"/>
    <w:rsid w:val="008A3AC3"/>
    <w:rsid w:val="008A47E8"/>
    <w:rsid w:val="008A5911"/>
    <w:rsid w:val="008A61EB"/>
    <w:rsid w:val="008B2B99"/>
    <w:rsid w:val="008C1FB5"/>
    <w:rsid w:val="008C660A"/>
    <w:rsid w:val="008D3DCC"/>
    <w:rsid w:val="008D47F7"/>
    <w:rsid w:val="008D763B"/>
    <w:rsid w:val="008E5344"/>
    <w:rsid w:val="008E5879"/>
    <w:rsid w:val="008E7F1B"/>
    <w:rsid w:val="008F3572"/>
    <w:rsid w:val="008F48AE"/>
    <w:rsid w:val="0090233E"/>
    <w:rsid w:val="009065B9"/>
    <w:rsid w:val="009075ED"/>
    <w:rsid w:val="00911E79"/>
    <w:rsid w:val="009140AA"/>
    <w:rsid w:val="00916CA3"/>
    <w:rsid w:val="00924434"/>
    <w:rsid w:val="00927299"/>
    <w:rsid w:val="00927465"/>
    <w:rsid w:val="00934BC1"/>
    <w:rsid w:val="0093587B"/>
    <w:rsid w:val="00937B68"/>
    <w:rsid w:val="00944CFE"/>
    <w:rsid w:val="00946417"/>
    <w:rsid w:val="00953942"/>
    <w:rsid w:val="009626E7"/>
    <w:rsid w:val="00970C89"/>
    <w:rsid w:val="00976DEE"/>
    <w:rsid w:val="00982EBD"/>
    <w:rsid w:val="00985C47"/>
    <w:rsid w:val="00985EED"/>
    <w:rsid w:val="00991CDB"/>
    <w:rsid w:val="00992F79"/>
    <w:rsid w:val="009940CE"/>
    <w:rsid w:val="00995A25"/>
    <w:rsid w:val="00995C4B"/>
    <w:rsid w:val="009A5EAF"/>
    <w:rsid w:val="009A7753"/>
    <w:rsid w:val="009B03DE"/>
    <w:rsid w:val="009B3312"/>
    <w:rsid w:val="009B37A6"/>
    <w:rsid w:val="009B3B31"/>
    <w:rsid w:val="009B5C2E"/>
    <w:rsid w:val="009C4F0A"/>
    <w:rsid w:val="009D05D1"/>
    <w:rsid w:val="009D42F9"/>
    <w:rsid w:val="009D50AC"/>
    <w:rsid w:val="009D688A"/>
    <w:rsid w:val="009D74EA"/>
    <w:rsid w:val="009D7DDF"/>
    <w:rsid w:val="009F37EA"/>
    <w:rsid w:val="009F649F"/>
    <w:rsid w:val="00A01038"/>
    <w:rsid w:val="00A01877"/>
    <w:rsid w:val="00A03388"/>
    <w:rsid w:val="00A05638"/>
    <w:rsid w:val="00A10C51"/>
    <w:rsid w:val="00A1160C"/>
    <w:rsid w:val="00A14060"/>
    <w:rsid w:val="00A206DB"/>
    <w:rsid w:val="00A20F28"/>
    <w:rsid w:val="00A22F35"/>
    <w:rsid w:val="00A2630F"/>
    <w:rsid w:val="00A30100"/>
    <w:rsid w:val="00A3124E"/>
    <w:rsid w:val="00A35B2C"/>
    <w:rsid w:val="00A373E2"/>
    <w:rsid w:val="00A41052"/>
    <w:rsid w:val="00A443F5"/>
    <w:rsid w:val="00A45C34"/>
    <w:rsid w:val="00A45C7D"/>
    <w:rsid w:val="00A47E4F"/>
    <w:rsid w:val="00A5081F"/>
    <w:rsid w:val="00A538C9"/>
    <w:rsid w:val="00A54652"/>
    <w:rsid w:val="00A5676B"/>
    <w:rsid w:val="00A677CE"/>
    <w:rsid w:val="00A83C88"/>
    <w:rsid w:val="00A920D3"/>
    <w:rsid w:val="00AA0779"/>
    <w:rsid w:val="00AA08CE"/>
    <w:rsid w:val="00AA2D0D"/>
    <w:rsid w:val="00AA2F2D"/>
    <w:rsid w:val="00AB24CD"/>
    <w:rsid w:val="00AB29B4"/>
    <w:rsid w:val="00AB41C7"/>
    <w:rsid w:val="00AB653E"/>
    <w:rsid w:val="00AC133C"/>
    <w:rsid w:val="00AC2A42"/>
    <w:rsid w:val="00AC348A"/>
    <w:rsid w:val="00AC44B5"/>
    <w:rsid w:val="00AD794B"/>
    <w:rsid w:val="00AE564D"/>
    <w:rsid w:val="00AE5AA2"/>
    <w:rsid w:val="00AF0F3D"/>
    <w:rsid w:val="00AF39E1"/>
    <w:rsid w:val="00AF43CC"/>
    <w:rsid w:val="00AF68F8"/>
    <w:rsid w:val="00AF788A"/>
    <w:rsid w:val="00B00666"/>
    <w:rsid w:val="00B011AD"/>
    <w:rsid w:val="00B112D1"/>
    <w:rsid w:val="00B11961"/>
    <w:rsid w:val="00B122A1"/>
    <w:rsid w:val="00B16231"/>
    <w:rsid w:val="00B25D2F"/>
    <w:rsid w:val="00B268D0"/>
    <w:rsid w:val="00B2733B"/>
    <w:rsid w:val="00B31E9B"/>
    <w:rsid w:val="00B33800"/>
    <w:rsid w:val="00B34BEA"/>
    <w:rsid w:val="00B37BDE"/>
    <w:rsid w:val="00B4077D"/>
    <w:rsid w:val="00B45CCD"/>
    <w:rsid w:val="00B47615"/>
    <w:rsid w:val="00B5162F"/>
    <w:rsid w:val="00B63008"/>
    <w:rsid w:val="00B66155"/>
    <w:rsid w:val="00B711C0"/>
    <w:rsid w:val="00B75824"/>
    <w:rsid w:val="00B7626A"/>
    <w:rsid w:val="00B77A41"/>
    <w:rsid w:val="00B830A1"/>
    <w:rsid w:val="00B83A31"/>
    <w:rsid w:val="00B84180"/>
    <w:rsid w:val="00B84E53"/>
    <w:rsid w:val="00B9068A"/>
    <w:rsid w:val="00B934C1"/>
    <w:rsid w:val="00B96EA9"/>
    <w:rsid w:val="00BB32C0"/>
    <w:rsid w:val="00BB480B"/>
    <w:rsid w:val="00BB57F7"/>
    <w:rsid w:val="00BB69CA"/>
    <w:rsid w:val="00BC48E3"/>
    <w:rsid w:val="00BD3D42"/>
    <w:rsid w:val="00BD42F0"/>
    <w:rsid w:val="00BD5F51"/>
    <w:rsid w:val="00BD70E1"/>
    <w:rsid w:val="00BD7165"/>
    <w:rsid w:val="00BE271F"/>
    <w:rsid w:val="00BF5009"/>
    <w:rsid w:val="00C01889"/>
    <w:rsid w:val="00C12C90"/>
    <w:rsid w:val="00C13F0E"/>
    <w:rsid w:val="00C15E27"/>
    <w:rsid w:val="00C32FB5"/>
    <w:rsid w:val="00C3303F"/>
    <w:rsid w:val="00C3539C"/>
    <w:rsid w:val="00C3796C"/>
    <w:rsid w:val="00C4148E"/>
    <w:rsid w:val="00C4189B"/>
    <w:rsid w:val="00C435B0"/>
    <w:rsid w:val="00C442F8"/>
    <w:rsid w:val="00C5626D"/>
    <w:rsid w:val="00C56BCE"/>
    <w:rsid w:val="00C56DA5"/>
    <w:rsid w:val="00C626AD"/>
    <w:rsid w:val="00C705B3"/>
    <w:rsid w:val="00C80154"/>
    <w:rsid w:val="00C85292"/>
    <w:rsid w:val="00C86FB5"/>
    <w:rsid w:val="00C87EAB"/>
    <w:rsid w:val="00C95A29"/>
    <w:rsid w:val="00C9744F"/>
    <w:rsid w:val="00CB3C37"/>
    <w:rsid w:val="00CB5677"/>
    <w:rsid w:val="00CC0DAA"/>
    <w:rsid w:val="00CC1DE6"/>
    <w:rsid w:val="00CC2C42"/>
    <w:rsid w:val="00CC41C1"/>
    <w:rsid w:val="00CC5160"/>
    <w:rsid w:val="00CC5ABB"/>
    <w:rsid w:val="00CD556D"/>
    <w:rsid w:val="00CE090B"/>
    <w:rsid w:val="00CE0B3E"/>
    <w:rsid w:val="00CE44AE"/>
    <w:rsid w:val="00CE4B63"/>
    <w:rsid w:val="00CE4C7F"/>
    <w:rsid w:val="00CF0D83"/>
    <w:rsid w:val="00CF29BE"/>
    <w:rsid w:val="00CF4833"/>
    <w:rsid w:val="00D124F7"/>
    <w:rsid w:val="00D15134"/>
    <w:rsid w:val="00D157F7"/>
    <w:rsid w:val="00D15A3E"/>
    <w:rsid w:val="00D15DF5"/>
    <w:rsid w:val="00D15E96"/>
    <w:rsid w:val="00D218D1"/>
    <w:rsid w:val="00D318C3"/>
    <w:rsid w:val="00D3581A"/>
    <w:rsid w:val="00D361AB"/>
    <w:rsid w:val="00D41E08"/>
    <w:rsid w:val="00D5281B"/>
    <w:rsid w:val="00D57E17"/>
    <w:rsid w:val="00D61C70"/>
    <w:rsid w:val="00D62CC7"/>
    <w:rsid w:val="00D64C7B"/>
    <w:rsid w:val="00D66987"/>
    <w:rsid w:val="00D7091C"/>
    <w:rsid w:val="00D746F2"/>
    <w:rsid w:val="00D75D8B"/>
    <w:rsid w:val="00D90368"/>
    <w:rsid w:val="00D91521"/>
    <w:rsid w:val="00D92357"/>
    <w:rsid w:val="00DA08F3"/>
    <w:rsid w:val="00DA146A"/>
    <w:rsid w:val="00DA51E7"/>
    <w:rsid w:val="00DB01E1"/>
    <w:rsid w:val="00DB4121"/>
    <w:rsid w:val="00DC0D0A"/>
    <w:rsid w:val="00DC362C"/>
    <w:rsid w:val="00DE0CB7"/>
    <w:rsid w:val="00DE289C"/>
    <w:rsid w:val="00DF1DAA"/>
    <w:rsid w:val="00DF52D5"/>
    <w:rsid w:val="00DF7231"/>
    <w:rsid w:val="00E00BC9"/>
    <w:rsid w:val="00E0665C"/>
    <w:rsid w:val="00E12EA7"/>
    <w:rsid w:val="00E16FBC"/>
    <w:rsid w:val="00E17DB3"/>
    <w:rsid w:val="00E21AE5"/>
    <w:rsid w:val="00E23283"/>
    <w:rsid w:val="00E24BFE"/>
    <w:rsid w:val="00E270FE"/>
    <w:rsid w:val="00E277E1"/>
    <w:rsid w:val="00E32AF5"/>
    <w:rsid w:val="00E341EA"/>
    <w:rsid w:val="00E420D0"/>
    <w:rsid w:val="00E450D0"/>
    <w:rsid w:val="00E4554E"/>
    <w:rsid w:val="00E600C6"/>
    <w:rsid w:val="00E60C87"/>
    <w:rsid w:val="00E705EA"/>
    <w:rsid w:val="00E7408A"/>
    <w:rsid w:val="00E75B9B"/>
    <w:rsid w:val="00E819D0"/>
    <w:rsid w:val="00E84AE2"/>
    <w:rsid w:val="00E8500B"/>
    <w:rsid w:val="00E9159C"/>
    <w:rsid w:val="00EA1B09"/>
    <w:rsid w:val="00EA7758"/>
    <w:rsid w:val="00EB2E20"/>
    <w:rsid w:val="00EB381B"/>
    <w:rsid w:val="00EB5F32"/>
    <w:rsid w:val="00EC6521"/>
    <w:rsid w:val="00ED0710"/>
    <w:rsid w:val="00EE6405"/>
    <w:rsid w:val="00EE717A"/>
    <w:rsid w:val="00EF0B67"/>
    <w:rsid w:val="00EF5A36"/>
    <w:rsid w:val="00F01A96"/>
    <w:rsid w:val="00F01D75"/>
    <w:rsid w:val="00F02721"/>
    <w:rsid w:val="00F02EC6"/>
    <w:rsid w:val="00F05EFF"/>
    <w:rsid w:val="00F14C2A"/>
    <w:rsid w:val="00F2676F"/>
    <w:rsid w:val="00F274DF"/>
    <w:rsid w:val="00F3420A"/>
    <w:rsid w:val="00F433AE"/>
    <w:rsid w:val="00F443F1"/>
    <w:rsid w:val="00F477A4"/>
    <w:rsid w:val="00F51E73"/>
    <w:rsid w:val="00F57406"/>
    <w:rsid w:val="00F6513C"/>
    <w:rsid w:val="00F6639F"/>
    <w:rsid w:val="00F87F24"/>
    <w:rsid w:val="00FA25B3"/>
    <w:rsid w:val="00FA37AE"/>
    <w:rsid w:val="00FA646E"/>
    <w:rsid w:val="00FA64AA"/>
    <w:rsid w:val="00FB28CC"/>
    <w:rsid w:val="00FB7AFA"/>
    <w:rsid w:val="00FC0964"/>
    <w:rsid w:val="00FC5868"/>
    <w:rsid w:val="00FD039C"/>
    <w:rsid w:val="00FD06D3"/>
    <w:rsid w:val="00FD29F5"/>
    <w:rsid w:val="00FD361D"/>
    <w:rsid w:val="00FD4C65"/>
    <w:rsid w:val="00FD4D4B"/>
    <w:rsid w:val="00FD69B5"/>
    <w:rsid w:val="00FE0B4E"/>
    <w:rsid w:val="00FE428F"/>
    <w:rsid w:val="00FE5040"/>
    <w:rsid w:val="00FE6122"/>
    <w:rsid w:val="00FF1C83"/>
    <w:rsid w:val="00FF72E2"/>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3B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1B"/>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5220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20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2062"/>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522062"/>
    <w:rPr>
      <w:rFonts w:asciiTheme="majorHAnsi" w:eastAsiaTheme="majorEastAsia" w:hAnsiTheme="majorHAnsi" w:cstheme="majorBidi"/>
      <w:i/>
      <w:iCs/>
      <w:color w:val="2F5496" w:themeColor="accent1" w:themeShade="BF"/>
      <w:kern w:val="0"/>
      <w:szCs w:val="24"/>
      <w:lang w:val="lv-LV" w:eastAsia="lv-LV"/>
      <w14:ligatures w14:val="none"/>
    </w:rPr>
  </w:style>
  <w:style w:type="character" w:customStyle="1" w:styleId="FooterChar">
    <w:name w:val="Footer Char"/>
    <w:basedOn w:val="DefaultParagraphFont"/>
    <w:link w:val="Footer"/>
    <w:uiPriority w:val="99"/>
    <w:rsid w:val="00522062"/>
    <w:rPr>
      <w:rFonts w:eastAsia="Times New Roman" w:cs="Times New Roman"/>
      <w:kern w:val="0"/>
      <w:szCs w:val="24"/>
      <w:lang w:val="lv-LV" w:eastAsia="lv-LV"/>
      <w14:ligatures w14:val="none"/>
    </w:rPr>
  </w:style>
  <w:style w:type="paragraph" w:styleId="Footer">
    <w:name w:val="footer"/>
    <w:basedOn w:val="Normal"/>
    <w:link w:val="FooterChar"/>
    <w:uiPriority w:val="99"/>
    <w:rsid w:val="00522062"/>
    <w:pPr>
      <w:tabs>
        <w:tab w:val="center" w:pos="4153"/>
        <w:tab w:val="right" w:pos="8306"/>
      </w:tabs>
    </w:pPr>
  </w:style>
  <w:style w:type="character" w:customStyle="1" w:styleId="HeaderChar">
    <w:name w:val="Header Char"/>
    <w:basedOn w:val="DefaultParagraphFont"/>
    <w:link w:val="Header"/>
    <w:rsid w:val="00522062"/>
    <w:rPr>
      <w:rFonts w:eastAsia="Times New Roman" w:cs="Times New Roman"/>
      <w:kern w:val="0"/>
      <w:szCs w:val="24"/>
      <w:lang w:val="lv-LV" w:eastAsia="lv-LV"/>
      <w14:ligatures w14:val="none"/>
    </w:rPr>
  </w:style>
  <w:style w:type="paragraph" w:styleId="Header">
    <w:name w:val="header"/>
    <w:basedOn w:val="Normal"/>
    <w:link w:val="HeaderChar"/>
    <w:rsid w:val="00522062"/>
    <w:pPr>
      <w:tabs>
        <w:tab w:val="center" w:pos="4153"/>
        <w:tab w:val="right" w:pos="8306"/>
      </w:tabs>
    </w:pPr>
  </w:style>
  <w:style w:type="character" w:customStyle="1" w:styleId="CommentTextChar">
    <w:name w:val="Comment Text Char"/>
    <w:basedOn w:val="DefaultParagraphFont"/>
    <w:link w:val="CommentText"/>
    <w:uiPriority w:val="99"/>
    <w:rsid w:val="00522062"/>
    <w:rPr>
      <w:rFonts w:eastAsia="Times New Roman" w:cs="Times New Roman"/>
      <w:kern w:val="0"/>
      <w:sz w:val="20"/>
      <w:szCs w:val="20"/>
      <w:lang w:val="lv-LV" w:eastAsia="lv-LV"/>
      <w14:ligatures w14:val="none"/>
    </w:rPr>
  </w:style>
  <w:style w:type="paragraph" w:styleId="CommentText">
    <w:name w:val="annotation text"/>
    <w:basedOn w:val="Normal"/>
    <w:link w:val="CommentTextChar"/>
    <w:uiPriority w:val="99"/>
    <w:unhideWhenUsed/>
    <w:rsid w:val="00522062"/>
    <w:rPr>
      <w:sz w:val="20"/>
      <w:szCs w:val="20"/>
    </w:rPr>
  </w:style>
  <w:style w:type="character" w:customStyle="1" w:styleId="CommentSubjectChar">
    <w:name w:val="Comment Subject Char"/>
    <w:basedOn w:val="CommentTextChar"/>
    <w:link w:val="CommentSubject"/>
    <w:uiPriority w:val="99"/>
    <w:semiHidden/>
    <w:rsid w:val="00522062"/>
    <w:rPr>
      <w:rFonts w:eastAsia="Times New Roman" w:cs="Times New Roman"/>
      <w:b/>
      <w:bCs/>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522062"/>
    <w:rPr>
      <w:b/>
      <w:bCs/>
    </w:rPr>
  </w:style>
  <w:style w:type="character" w:customStyle="1" w:styleId="BodyTextChar">
    <w:name w:val="Body Text Char"/>
    <w:basedOn w:val="DefaultParagraphFont"/>
    <w:link w:val="BodyText"/>
    <w:uiPriority w:val="99"/>
    <w:semiHidden/>
    <w:rsid w:val="00522062"/>
    <w:rPr>
      <w:rFonts w:eastAsia="Times New Roman" w:cs="Times New Roman"/>
      <w:kern w:val="0"/>
      <w:szCs w:val="24"/>
      <w:lang w:val="lv-LV" w:eastAsia="lv-LV"/>
      <w14:ligatures w14:val="none"/>
    </w:rPr>
  </w:style>
  <w:style w:type="paragraph" w:styleId="BodyText">
    <w:name w:val="Body Text"/>
    <w:basedOn w:val="Normal"/>
    <w:link w:val="BodyTextChar"/>
    <w:uiPriority w:val="99"/>
    <w:semiHidden/>
    <w:unhideWhenUsed/>
    <w:rsid w:val="00522062"/>
    <w:pPr>
      <w:spacing w:after="120"/>
    </w:pPr>
  </w:style>
  <w:style w:type="paragraph" w:styleId="NoSpacing">
    <w:name w:val="No Spacing"/>
    <w:uiPriority w:val="1"/>
    <w:qFormat/>
    <w:rsid w:val="00522062"/>
    <w:pPr>
      <w:spacing w:after="0" w:line="240" w:lineRule="auto"/>
    </w:pPr>
    <w:rPr>
      <w:rFonts w:eastAsia="Times New Roman" w:cs="Times New Roman"/>
      <w:kern w:val="0"/>
      <w:szCs w:val="24"/>
      <w:lang w:val="lv-LV" w:eastAsia="lv-LV"/>
      <w14:ligatures w14:val="none"/>
    </w:rPr>
  </w:style>
  <w:style w:type="character" w:styleId="PageNumber">
    <w:name w:val="page number"/>
    <w:basedOn w:val="DefaultParagraphFont"/>
    <w:rsid w:val="00522062"/>
  </w:style>
  <w:style w:type="paragraph" w:customStyle="1" w:styleId="tv213">
    <w:name w:val="tv213"/>
    <w:basedOn w:val="Normal"/>
    <w:rsid w:val="006D76F7"/>
    <w:pPr>
      <w:spacing w:before="100" w:beforeAutospacing="1" w:after="100" w:afterAutospacing="1"/>
    </w:pPr>
  </w:style>
  <w:style w:type="character" w:styleId="Hyperlink">
    <w:name w:val="Hyperlink"/>
    <w:basedOn w:val="DefaultParagraphFont"/>
    <w:uiPriority w:val="99"/>
    <w:unhideWhenUsed/>
    <w:rsid w:val="004C0658"/>
    <w:rPr>
      <w:color w:val="0563C1" w:themeColor="hyperlink"/>
      <w:u w:val="single"/>
    </w:rPr>
  </w:style>
  <w:style w:type="character" w:styleId="UnresolvedMention">
    <w:name w:val="Unresolved Mention"/>
    <w:basedOn w:val="DefaultParagraphFont"/>
    <w:uiPriority w:val="99"/>
    <w:semiHidden/>
    <w:unhideWhenUsed/>
    <w:rsid w:val="00013564"/>
    <w:rPr>
      <w:color w:val="605E5C"/>
      <w:shd w:val="clear" w:color="auto" w:fill="E1DFDD"/>
    </w:rPr>
  </w:style>
  <w:style w:type="character" w:styleId="FollowedHyperlink">
    <w:name w:val="FollowedHyperlink"/>
    <w:basedOn w:val="DefaultParagraphFont"/>
    <w:uiPriority w:val="99"/>
    <w:semiHidden/>
    <w:unhideWhenUsed/>
    <w:rsid w:val="00863A3E"/>
    <w:rPr>
      <w:color w:val="954F72" w:themeColor="followedHyperlink"/>
      <w:u w:val="single"/>
    </w:rPr>
  </w:style>
  <w:style w:type="paragraph" w:styleId="ListParagraph">
    <w:name w:val="List Paragraph"/>
    <w:basedOn w:val="Normal"/>
    <w:uiPriority w:val="34"/>
    <w:qFormat/>
    <w:rsid w:val="00880830"/>
    <w:pPr>
      <w:ind w:left="720"/>
      <w:contextualSpacing/>
    </w:pPr>
  </w:style>
  <w:style w:type="character" w:styleId="CommentReference">
    <w:name w:val="annotation reference"/>
    <w:basedOn w:val="DefaultParagraphFont"/>
    <w:uiPriority w:val="99"/>
    <w:semiHidden/>
    <w:unhideWhenUsed/>
    <w:rsid w:val="009D74EA"/>
    <w:rPr>
      <w:sz w:val="16"/>
      <w:szCs w:val="16"/>
    </w:rPr>
  </w:style>
  <w:style w:type="paragraph" w:customStyle="1" w:styleId="Default">
    <w:name w:val="Default"/>
    <w:rsid w:val="00FE5040"/>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8826">
      <w:bodyDiv w:val="1"/>
      <w:marLeft w:val="0"/>
      <w:marRight w:val="0"/>
      <w:marTop w:val="0"/>
      <w:marBottom w:val="0"/>
      <w:divBdr>
        <w:top w:val="none" w:sz="0" w:space="0" w:color="auto"/>
        <w:left w:val="none" w:sz="0" w:space="0" w:color="auto"/>
        <w:bottom w:val="none" w:sz="0" w:space="0" w:color="auto"/>
        <w:right w:val="none" w:sz="0" w:space="0" w:color="auto"/>
      </w:divBdr>
    </w:div>
    <w:div w:id="14146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a14cd8d-65fa-453e-99d7-79e9b4538bc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407065.pdf" TargetMode="External"/><Relationship Id="rId4" Type="http://schemas.openxmlformats.org/officeDocument/2006/relationships/settings" Target="settings.xml"/><Relationship Id="rId9" Type="http://schemas.openxmlformats.org/officeDocument/2006/relationships/hyperlink" Target="https://likumi.lv/wwwraksti/ANOTACIJAS/TAP/2021_05/VMANOT_150421_ARF_896.902.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47B3-7871-4517-A614-591AAECD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22720</Words>
  <Characters>12951</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2025-07-23T07:56:00Z</dcterms:created>
  <dcterms:modified xsi:type="dcterms:W3CDTF">2025-09-05T07:34:00Z</dcterms:modified>
</cp:coreProperties>
</file>