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794DA" w14:textId="77777777" w:rsidR="0096531A" w:rsidRPr="0006004C" w:rsidRDefault="0096531A" w:rsidP="0096531A">
      <w:pPr>
        <w:autoSpaceDE w:val="0"/>
        <w:autoSpaceDN w:val="0"/>
        <w:spacing w:line="276" w:lineRule="auto"/>
        <w:contextualSpacing/>
        <w:jc w:val="both"/>
        <w:rPr>
          <w:rFonts w:asciiTheme="majorBidi" w:hAnsiTheme="majorBidi" w:cstheme="majorBidi"/>
          <w:b/>
          <w:bCs/>
        </w:rPr>
      </w:pPr>
      <w:r w:rsidRPr="0006004C">
        <w:rPr>
          <w:rFonts w:asciiTheme="majorBidi" w:hAnsiTheme="majorBidi" w:cstheme="majorBidi"/>
          <w:b/>
          <w:bCs/>
          <w14:ligatures w14:val="standardContextual"/>
        </w:rPr>
        <w:t>Kļūšana par Transportlīdzekļu apdrošinātāju biroja biedru un</w:t>
      </w:r>
      <w:r w:rsidRPr="0006004C">
        <w:rPr>
          <w:rFonts w:asciiTheme="majorBidi" w:hAnsiTheme="majorBidi" w:cstheme="majorBidi"/>
          <w:b/>
          <w:bCs/>
          <w:color w:val="000000"/>
          <w14:ligatures w14:val="standardContextual"/>
        </w:rPr>
        <w:t xml:space="preserve"> izslēgšanas lēmuma no </w:t>
      </w:r>
      <w:r w:rsidRPr="0006004C">
        <w:rPr>
          <w:rFonts w:asciiTheme="majorBidi" w:hAnsiTheme="majorBidi" w:cstheme="majorBidi"/>
          <w:b/>
          <w:bCs/>
          <w14:ligatures w14:val="standardContextual"/>
        </w:rPr>
        <w:t>Transportlīdzekļu apdrošinātāju biroja</w:t>
      </w:r>
      <w:r w:rsidRPr="0006004C">
        <w:rPr>
          <w:rFonts w:asciiTheme="majorBidi" w:hAnsiTheme="majorBidi" w:cstheme="majorBidi"/>
          <w:b/>
          <w:bCs/>
          <w:color w:val="000000"/>
          <w14:ligatures w14:val="standardContextual"/>
        </w:rPr>
        <w:t xml:space="preserve"> </w:t>
      </w:r>
      <w:r w:rsidRPr="0006004C">
        <w:rPr>
          <w:rFonts w:asciiTheme="majorBidi" w:hAnsiTheme="majorBidi" w:cstheme="majorBidi"/>
          <w:b/>
          <w:bCs/>
          <w14:ligatures w14:val="standardContextual"/>
        </w:rPr>
        <w:t>tiesiskā daba</w:t>
      </w:r>
    </w:p>
    <w:p w14:paraId="0B96478A" w14:textId="77777777" w:rsidR="0096531A" w:rsidRPr="0006004C" w:rsidRDefault="0096531A" w:rsidP="0096531A">
      <w:pPr>
        <w:spacing w:line="276" w:lineRule="auto"/>
        <w:contextualSpacing/>
        <w:jc w:val="both"/>
        <w:rPr>
          <w:rFonts w:asciiTheme="majorBidi" w:hAnsiTheme="majorBidi" w:cstheme="majorBidi"/>
        </w:rPr>
      </w:pPr>
      <w:r w:rsidRPr="0006004C">
        <w:rPr>
          <w:rFonts w:asciiTheme="majorBidi" w:hAnsiTheme="majorBidi" w:cstheme="majorBidi"/>
        </w:rPr>
        <w:t xml:space="preserve">Obligāto civiltiesisko transportlīdzekļu īpašnieku apdrošināšanu ir tiesības veikt apdrošinātājam, kurš ir Transportlīdzekļu apdrošinātāju biroja biedrs un obligātās civiltiesiskās transportlīdzekļu apdrošināšanas garantijas fonda dalībnieks. Par minētā biroja biedru var būt tikai tāds apdrošinātājs, kas ir tiesīgs veikt sauszemes transportlīdzekļu īpašnieku civiltiesiskās atbildības obligāto apdrošināšanu. Garantijas naudas samaksa ir tiesību normās ietverts priekšnoteikums gan tam, lai apdrošinātājs iegūtu tiesības veikt obligāto civiltiesisko transportlīdzekļu apdrošināšanu, gan tam, lai apdrošinātājs būtu biroja biedrs. Vienlaikus paša pakalpojuma sniegšanas tiesību iegūšanai ir nepieciešams arī apliecinājums par apdrošinātāja esību biroja biedra statusā. </w:t>
      </w:r>
    </w:p>
    <w:p w14:paraId="1F433288" w14:textId="77777777" w:rsidR="0096531A" w:rsidRPr="0006004C" w:rsidRDefault="0096531A" w:rsidP="0096531A">
      <w:pPr>
        <w:spacing w:line="276" w:lineRule="auto"/>
        <w:contextualSpacing/>
        <w:jc w:val="both"/>
        <w:rPr>
          <w:rFonts w:asciiTheme="majorBidi" w:hAnsiTheme="majorBidi" w:cstheme="majorBidi"/>
        </w:rPr>
      </w:pPr>
      <w:r w:rsidRPr="0006004C">
        <w:rPr>
          <w:rFonts w:asciiTheme="majorBidi" w:hAnsiTheme="majorBidi" w:cstheme="majorBidi"/>
        </w:rPr>
        <w:t>Transportlīdzekļu apdrošinātāju birojā sākotnēji tiek pieņemts lēmums par topošā biedra uzņemšanu birojā un par pienākumu tam noteiktā termiņā izpildīt tiesību normā ietverto priekšnoteikumu par garantijas naudas samaksu. Tas nodrošina to, ka par biroja biedru kļūst tāds apdrošinātājs, kas ir tiesīgs veikt minēto apdrošināšanu. Šāds lēmums uzskatāms par administratīvo aktu ar tādu nosacījumu, kas nodrošina, lai administratīvais akts nākotnē atbilstu tiesību normām (būtu izpildīti visi tiesību normās norādītie priekšnoteikumi labvēlīga administratīvā akta izdošanai), jo izdošanas brīdī tām neatbilst. Neizpildot šos priekšnoteikumus administratīvajā aktā noteiktajā termiņā, persona neiegūst tiesības, ko ar administratīvo aktu plānots piešķirt.</w:t>
      </w:r>
    </w:p>
    <w:p w14:paraId="5A8A90F0" w14:textId="3CF7DBFC" w:rsidR="003C6F61" w:rsidRDefault="0096531A" w:rsidP="00A61CA4">
      <w:pPr>
        <w:spacing w:line="276" w:lineRule="auto"/>
        <w:contextualSpacing/>
        <w:jc w:val="both"/>
        <w:rPr>
          <w:rFonts w:asciiTheme="majorBidi" w:hAnsiTheme="majorBidi" w:cstheme="majorBidi"/>
        </w:rPr>
      </w:pPr>
      <w:r w:rsidRPr="0006004C">
        <w:rPr>
          <w:rFonts w:asciiTheme="majorBidi" w:hAnsiTheme="majorBidi" w:cstheme="majorBidi"/>
        </w:rPr>
        <w:t>Ja persona nav izpildījusi tiesību normās noteikto priekšnoteikumu (samaksājusi vienreizējo iemaksu garantijas fondā) izslēgšanas lēmums no biroja nav uzskatāms par patstāvīgu administratīvo aktu, bet gan par iepriekšējā procesa turpinājumu – procesuālu lēmumu, ar kuru tiek noskaidrota iepriekš izdotā administratīvā akta spēkā esība. Pēc būtības ar izslēgšanas lēmumu konstatēts tikai tas, ka persona nebija izpildījusi uzņemšanas lēmumā minētos nosacījumus biedra tiesību iegūšanai un ka uzņemšanas lēmums tādējādi nebija stājies spēkā.</w:t>
      </w:r>
    </w:p>
    <w:p w14:paraId="356C9D75" w14:textId="77777777" w:rsidR="00A61CA4" w:rsidRPr="0006004C" w:rsidRDefault="00A61CA4" w:rsidP="00A61CA4">
      <w:pPr>
        <w:spacing w:line="276" w:lineRule="auto"/>
        <w:contextualSpacing/>
        <w:jc w:val="both"/>
        <w:rPr>
          <w:rFonts w:asciiTheme="majorBidi" w:hAnsiTheme="majorBidi" w:cstheme="majorBidi"/>
        </w:rPr>
      </w:pPr>
    </w:p>
    <w:p w14:paraId="24163BD1" w14:textId="77777777" w:rsidR="0096531A" w:rsidRPr="0006004C" w:rsidRDefault="003C6F61" w:rsidP="0096531A">
      <w:pPr>
        <w:spacing w:line="276" w:lineRule="auto"/>
        <w:jc w:val="center"/>
        <w:rPr>
          <w:rFonts w:asciiTheme="majorBidi" w:hAnsiTheme="majorBidi" w:cstheme="majorBidi"/>
          <w:b/>
        </w:rPr>
      </w:pPr>
      <w:r w:rsidRPr="0006004C">
        <w:rPr>
          <w:rFonts w:asciiTheme="majorBidi" w:hAnsiTheme="majorBidi" w:cstheme="majorBidi"/>
          <w:b/>
        </w:rPr>
        <w:t>Latvijas Republikas Senāt</w:t>
      </w:r>
      <w:r w:rsidR="0096531A" w:rsidRPr="0006004C">
        <w:rPr>
          <w:rFonts w:asciiTheme="majorBidi" w:hAnsiTheme="majorBidi" w:cstheme="majorBidi"/>
          <w:b/>
        </w:rPr>
        <w:t>a</w:t>
      </w:r>
      <w:r w:rsidR="0096531A" w:rsidRPr="0006004C">
        <w:rPr>
          <w:rFonts w:asciiTheme="majorBidi" w:hAnsiTheme="majorBidi" w:cstheme="majorBidi"/>
          <w:b/>
        </w:rPr>
        <w:br/>
        <w:t>Administratīvo lietu departamenta</w:t>
      </w:r>
    </w:p>
    <w:p w14:paraId="10E7223B" w14:textId="1B3AA383" w:rsidR="003C6F61" w:rsidRPr="0006004C" w:rsidRDefault="0096531A" w:rsidP="0096531A">
      <w:pPr>
        <w:spacing w:line="276" w:lineRule="auto"/>
        <w:jc w:val="center"/>
        <w:rPr>
          <w:rFonts w:asciiTheme="majorBidi" w:hAnsiTheme="majorBidi" w:cstheme="majorBidi"/>
          <w:b/>
        </w:rPr>
      </w:pPr>
      <w:r w:rsidRPr="0006004C">
        <w:rPr>
          <w:rFonts w:asciiTheme="majorBidi" w:hAnsiTheme="majorBidi" w:cstheme="majorBidi"/>
          <w:b/>
        </w:rPr>
        <w:t xml:space="preserve">2025.gada 3.jūnija </w:t>
      </w:r>
    </w:p>
    <w:p w14:paraId="07262C10" w14:textId="77777777" w:rsidR="0096531A" w:rsidRPr="0006004C" w:rsidRDefault="003C6F61" w:rsidP="0096531A">
      <w:pPr>
        <w:spacing w:line="276" w:lineRule="auto"/>
        <w:jc w:val="center"/>
        <w:rPr>
          <w:rFonts w:asciiTheme="majorBidi" w:hAnsiTheme="majorBidi" w:cstheme="majorBidi"/>
          <w:b/>
        </w:rPr>
      </w:pPr>
      <w:r w:rsidRPr="0006004C">
        <w:rPr>
          <w:rFonts w:asciiTheme="majorBidi" w:hAnsiTheme="majorBidi" w:cstheme="majorBidi"/>
          <w:b/>
        </w:rPr>
        <w:t>SPRIEDUMS</w:t>
      </w:r>
    </w:p>
    <w:p w14:paraId="1FFBF0A8" w14:textId="475894A9" w:rsidR="0096531A" w:rsidRPr="0006004C" w:rsidRDefault="0096531A" w:rsidP="0096531A">
      <w:pPr>
        <w:spacing w:line="276" w:lineRule="auto"/>
        <w:jc w:val="center"/>
        <w:rPr>
          <w:rFonts w:asciiTheme="majorBidi" w:hAnsiTheme="majorBidi" w:cstheme="majorBidi"/>
          <w:b/>
        </w:rPr>
      </w:pPr>
      <w:r w:rsidRPr="0006004C">
        <w:rPr>
          <w:rFonts w:asciiTheme="majorBidi" w:hAnsiTheme="majorBidi" w:cstheme="majorBidi"/>
          <w:b/>
        </w:rPr>
        <w:t>Lieta Nr. A420145622</w:t>
      </w:r>
      <w:r w:rsidRPr="0006004C">
        <w:rPr>
          <w:rFonts w:asciiTheme="majorBidi" w:hAnsiTheme="majorBidi" w:cstheme="majorBidi"/>
          <w:b/>
          <w:lang w:eastAsia="lv-LV"/>
        </w:rPr>
        <w:t>, SKA-32/2025</w:t>
      </w:r>
    </w:p>
    <w:p w14:paraId="180DC354" w14:textId="176FBADC" w:rsidR="0096531A" w:rsidRPr="0006004C" w:rsidRDefault="0096531A" w:rsidP="0096531A">
      <w:pPr>
        <w:spacing w:line="276" w:lineRule="auto"/>
        <w:jc w:val="center"/>
        <w:rPr>
          <w:rFonts w:asciiTheme="majorBidi" w:hAnsiTheme="majorBidi" w:cstheme="majorBidi"/>
        </w:rPr>
      </w:pPr>
      <w:r w:rsidRPr="0006004C">
        <w:rPr>
          <w:rFonts w:asciiTheme="majorBidi" w:hAnsiTheme="majorBidi" w:cstheme="majorBidi"/>
        </w:rPr>
        <w:t xml:space="preserve"> </w:t>
      </w:r>
      <w:hyperlink r:id="rId7" w:history="1">
        <w:r w:rsidRPr="000D7E1B">
          <w:rPr>
            <w:rStyle w:val="Hyperlink"/>
            <w:rFonts w:asciiTheme="majorBidi" w:hAnsiTheme="majorBidi" w:cstheme="majorBidi"/>
          </w:rPr>
          <w:t>ECLI:LV:AT:2025:0603.A420145622.18.S</w:t>
        </w:r>
      </w:hyperlink>
    </w:p>
    <w:p w14:paraId="7E085BFA" w14:textId="77777777" w:rsidR="003C6F61" w:rsidRPr="0006004C" w:rsidRDefault="003C6F61" w:rsidP="0096531A">
      <w:pPr>
        <w:spacing w:line="276" w:lineRule="auto"/>
        <w:ind w:firstLine="709"/>
        <w:jc w:val="center"/>
        <w:rPr>
          <w:rFonts w:asciiTheme="majorBidi" w:hAnsiTheme="majorBidi" w:cstheme="majorBidi"/>
        </w:rPr>
      </w:pPr>
    </w:p>
    <w:p w14:paraId="21BD8C52" w14:textId="2C0BDF15" w:rsidR="003C6F61" w:rsidRPr="0006004C" w:rsidRDefault="003C6F61" w:rsidP="0096531A">
      <w:pPr>
        <w:spacing w:line="276" w:lineRule="auto"/>
        <w:ind w:firstLine="720"/>
        <w:jc w:val="both"/>
        <w:rPr>
          <w:rFonts w:asciiTheme="majorBidi" w:hAnsiTheme="majorBidi" w:cstheme="majorBidi"/>
        </w:rPr>
      </w:pPr>
      <w:r w:rsidRPr="0006004C">
        <w:rPr>
          <w:rFonts w:asciiTheme="majorBidi" w:hAnsiTheme="majorBidi" w:cstheme="majorBidi"/>
        </w:rPr>
        <w:t xml:space="preserve">Senāts šādā sastāvā: senatore referente </w:t>
      </w:r>
      <w:r w:rsidR="00D51285" w:rsidRPr="0006004C">
        <w:rPr>
          <w:rFonts w:asciiTheme="majorBidi" w:hAnsiTheme="majorBidi" w:cstheme="majorBidi"/>
        </w:rPr>
        <w:t>Indra Meldere</w:t>
      </w:r>
      <w:r w:rsidRPr="0006004C">
        <w:rPr>
          <w:rFonts w:asciiTheme="majorBidi" w:hAnsiTheme="majorBidi" w:cstheme="majorBidi"/>
        </w:rPr>
        <w:t>, senator</w:t>
      </w:r>
      <w:r w:rsidR="00D51285" w:rsidRPr="0006004C">
        <w:rPr>
          <w:rFonts w:asciiTheme="majorBidi" w:hAnsiTheme="majorBidi" w:cstheme="majorBidi"/>
        </w:rPr>
        <w:t>es</w:t>
      </w:r>
      <w:r w:rsidRPr="0006004C">
        <w:rPr>
          <w:rFonts w:asciiTheme="majorBidi" w:hAnsiTheme="majorBidi" w:cstheme="majorBidi"/>
        </w:rPr>
        <w:t xml:space="preserve"> </w:t>
      </w:r>
      <w:r w:rsidR="00D51285" w:rsidRPr="0006004C">
        <w:rPr>
          <w:rFonts w:asciiTheme="majorBidi" w:hAnsiTheme="majorBidi" w:cstheme="majorBidi"/>
        </w:rPr>
        <w:t>Anita Kovaļevska</w:t>
      </w:r>
      <w:r w:rsidRPr="0006004C">
        <w:rPr>
          <w:rFonts w:asciiTheme="majorBidi" w:hAnsiTheme="majorBidi" w:cstheme="majorBidi"/>
        </w:rPr>
        <w:t xml:space="preserve"> un </w:t>
      </w:r>
      <w:r w:rsidR="00D51285" w:rsidRPr="0006004C">
        <w:rPr>
          <w:rFonts w:asciiTheme="majorBidi" w:hAnsiTheme="majorBidi" w:cstheme="majorBidi"/>
        </w:rPr>
        <w:t>Rudīte Vīduša</w:t>
      </w:r>
    </w:p>
    <w:p w14:paraId="7FBCDB0F" w14:textId="77777777" w:rsidR="003C6F61" w:rsidRPr="0006004C" w:rsidRDefault="003C6F61" w:rsidP="0096531A">
      <w:pPr>
        <w:spacing w:line="276" w:lineRule="auto"/>
        <w:ind w:firstLine="720"/>
        <w:jc w:val="both"/>
        <w:rPr>
          <w:rFonts w:asciiTheme="majorBidi" w:hAnsiTheme="majorBidi" w:cstheme="majorBidi"/>
        </w:rPr>
      </w:pPr>
    </w:p>
    <w:p w14:paraId="0B2CD446" w14:textId="1D24C076" w:rsidR="003C6F61" w:rsidRPr="0006004C" w:rsidRDefault="003C6F61" w:rsidP="0096531A">
      <w:pPr>
        <w:spacing w:line="276" w:lineRule="auto"/>
        <w:ind w:firstLine="720"/>
        <w:jc w:val="both"/>
        <w:rPr>
          <w:rFonts w:asciiTheme="majorBidi" w:hAnsiTheme="majorBidi" w:cstheme="majorBidi"/>
        </w:rPr>
      </w:pPr>
      <w:r w:rsidRPr="0006004C">
        <w:rPr>
          <w:rFonts w:asciiTheme="majorBidi" w:hAnsiTheme="majorBidi" w:cstheme="majorBidi"/>
        </w:rPr>
        <w:t xml:space="preserve">rakstveida procesā izskatīja administratīvo lietu, kas ierosināta, </w:t>
      </w:r>
      <w:r w:rsidR="006C66B4" w:rsidRPr="0006004C">
        <w:rPr>
          <w:rFonts w:asciiTheme="majorBidi" w:hAnsiTheme="majorBidi" w:cstheme="majorBidi"/>
        </w:rPr>
        <w:t xml:space="preserve">pamatojoties uz </w:t>
      </w:r>
      <w:r w:rsidR="000C7655" w:rsidRPr="0006004C">
        <w:rPr>
          <w:rFonts w:asciiTheme="majorBidi" w:hAnsiTheme="majorBidi" w:cstheme="majorBidi"/>
        </w:rPr>
        <w:t xml:space="preserve">Eiropas komercsabiedrības „Balcia Insurance SE” pieteikumu par biedrības „Latvijas Transportlīdzekļu apdrošinātāju birojs” 2021.gada 28.jūlija lēmuma Nr. 4 atcelšanu daļā par iestāšanās naudas samaksu un biroja valdes 2021.gada 9.augusta lēmuma Nr. 15 atzīšanu par prettiesisku, un zaudējumu atlīdzināšanu, sakarā ar Eiropas komercsabiedrības </w:t>
      </w:r>
      <w:r w:rsidR="00F665F5" w:rsidRPr="0006004C">
        <w:rPr>
          <w:rFonts w:asciiTheme="majorBidi" w:hAnsiTheme="majorBidi" w:cstheme="majorBidi"/>
        </w:rPr>
        <w:br/>
      </w:r>
      <w:r w:rsidR="000C7655" w:rsidRPr="0006004C">
        <w:rPr>
          <w:rFonts w:asciiTheme="majorBidi" w:hAnsiTheme="majorBidi" w:cstheme="majorBidi"/>
        </w:rPr>
        <w:lastRenderedPageBreak/>
        <w:t>„Balcia Insurance SE” kasācijas sūdzību par Administratīvās apgabaltiesas 2022.gada</w:t>
      </w:r>
      <w:r w:rsidR="00621DB6" w:rsidRPr="0006004C">
        <w:rPr>
          <w:rFonts w:asciiTheme="majorBidi" w:hAnsiTheme="majorBidi" w:cstheme="majorBidi"/>
        </w:rPr>
        <w:t> </w:t>
      </w:r>
      <w:r w:rsidR="000C7655" w:rsidRPr="0006004C">
        <w:rPr>
          <w:rFonts w:asciiTheme="majorBidi" w:hAnsiTheme="majorBidi" w:cstheme="majorBidi"/>
        </w:rPr>
        <w:t>30.novembra spriedumu daļā par biroja valdes 2021.gada 9.augusta lēmuma Nr. 15 atzīšanu par prettiesisku</w:t>
      </w:r>
      <w:r w:rsidRPr="0006004C">
        <w:rPr>
          <w:rFonts w:asciiTheme="majorBidi" w:hAnsiTheme="majorBidi" w:cstheme="majorBidi"/>
        </w:rPr>
        <w:t>.</w:t>
      </w:r>
    </w:p>
    <w:p w14:paraId="062CCB0A" w14:textId="77777777" w:rsidR="005E0F35" w:rsidRPr="0006004C" w:rsidRDefault="005E0F35" w:rsidP="0096531A">
      <w:pPr>
        <w:spacing w:line="276" w:lineRule="auto"/>
        <w:ind w:firstLine="720"/>
        <w:jc w:val="both"/>
        <w:rPr>
          <w:rFonts w:asciiTheme="majorBidi" w:hAnsiTheme="majorBidi" w:cstheme="majorBidi"/>
        </w:rPr>
      </w:pPr>
    </w:p>
    <w:p w14:paraId="70D3DE89" w14:textId="77777777" w:rsidR="003C6F61" w:rsidRPr="0006004C" w:rsidRDefault="003C6F61" w:rsidP="0096531A">
      <w:pPr>
        <w:spacing w:line="276" w:lineRule="auto"/>
        <w:jc w:val="center"/>
        <w:rPr>
          <w:rFonts w:asciiTheme="majorBidi" w:hAnsiTheme="majorBidi" w:cstheme="majorBidi"/>
          <w:b/>
          <w:shd w:val="clear" w:color="auto" w:fill="FFFFFF"/>
        </w:rPr>
      </w:pPr>
      <w:r w:rsidRPr="0006004C">
        <w:rPr>
          <w:rFonts w:asciiTheme="majorBidi" w:hAnsiTheme="majorBidi" w:cstheme="majorBidi"/>
          <w:b/>
          <w:shd w:val="clear" w:color="auto" w:fill="FFFFFF"/>
        </w:rPr>
        <w:t>Aprakstošā daļa</w:t>
      </w:r>
    </w:p>
    <w:p w14:paraId="0B0D0FDB" w14:textId="77777777" w:rsidR="003C6F61" w:rsidRPr="0006004C" w:rsidRDefault="003C6F61" w:rsidP="0096531A">
      <w:pPr>
        <w:spacing w:line="276" w:lineRule="auto"/>
        <w:ind w:firstLine="709"/>
        <w:jc w:val="center"/>
        <w:rPr>
          <w:rFonts w:asciiTheme="majorBidi" w:hAnsiTheme="majorBidi" w:cstheme="majorBidi"/>
          <w:shd w:val="clear" w:color="auto" w:fill="FFFFFF"/>
        </w:rPr>
      </w:pPr>
    </w:p>
    <w:p w14:paraId="3997FEFF" w14:textId="56D0E484" w:rsidR="004F0F5E" w:rsidRPr="0006004C" w:rsidRDefault="003C6F61" w:rsidP="0096531A">
      <w:pPr>
        <w:pStyle w:val="NormalWeb"/>
        <w:shd w:val="clear" w:color="auto" w:fill="FFFFFF"/>
        <w:spacing w:before="0" w:beforeAutospacing="0" w:after="0" w:afterAutospacing="0" w:line="276" w:lineRule="auto"/>
        <w:ind w:firstLine="720"/>
        <w:jc w:val="both"/>
        <w:rPr>
          <w:rFonts w:asciiTheme="majorBidi" w:hAnsiTheme="majorBidi" w:cstheme="majorBidi"/>
        </w:rPr>
      </w:pPr>
      <w:r w:rsidRPr="0006004C">
        <w:rPr>
          <w:rFonts w:asciiTheme="majorBidi" w:hAnsiTheme="majorBidi" w:cstheme="majorBidi"/>
          <w:shd w:val="clear" w:color="auto" w:fill="FFFFFF"/>
        </w:rPr>
        <w:t>[1] </w:t>
      </w:r>
      <w:r w:rsidR="008B39F2" w:rsidRPr="0006004C">
        <w:rPr>
          <w:rFonts w:asciiTheme="majorBidi" w:hAnsiTheme="majorBidi" w:cstheme="majorBidi"/>
          <w:shd w:val="clear" w:color="auto" w:fill="FFFFFF"/>
        </w:rPr>
        <w:t xml:space="preserve">Ar </w:t>
      </w:r>
      <w:r w:rsidR="00830F2D" w:rsidRPr="0006004C">
        <w:rPr>
          <w:rFonts w:asciiTheme="majorBidi" w:hAnsiTheme="majorBidi" w:cstheme="majorBidi"/>
          <w:shd w:val="clear" w:color="auto" w:fill="FFFFFF"/>
        </w:rPr>
        <w:t xml:space="preserve">biedrības „Latvijas Transportlīdzekļu apdrošinātāju birojs” (turpmāk – birojs) </w:t>
      </w:r>
      <w:r w:rsidR="004F0F5E" w:rsidRPr="0006004C">
        <w:rPr>
          <w:rFonts w:asciiTheme="majorBidi" w:hAnsiTheme="majorBidi" w:cstheme="majorBidi"/>
          <w:shd w:val="clear" w:color="auto" w:fill="FFFFFF"/>
        </w:rPr>
        <w:t>biedru kopsapulces 2021.gada 28.jūlija lēmumu Nr. </w:t>
      </w:r>
      <w:r w:rsidR="003C5D82" w:rsidRPr="0006004C">
        <w:rPr>
          <w:rFonts w:asciiTheme="majorBidi" w:hAnsiTheme="majorBidi" w:cstheme="majorBidi"/>
          <w:shd w:val="clear" w:color="auto" w:fill="FFFFFF"/>
        </w:rPr>
        <w:t>4</w:t>
      </w:r>
      <w:r w:rsidR="004F0F5E" w:rsidRPr="0006004C">
        <w:rPr>
          <w:rFonts w:asciiTheme="majorBidi" w:hAnsiTheme="majorBidi" w:cstheme="majorBidi"/>
          <w:shd w:val="clear" w:color="auto" w:fill="FFFFFF"/>
        </w:rPr>
        <w:t xml:space="preserve"> </w:t>
      </w:r>
      <w:r w:rsidR="00830F2D" w:rsidRPr="0006004C">
        <w:rPr>
          <w:rFonts w:asciiTheme="majorBidi" w:hAnsiTheme="majorBidi" w:cstheme="majorBidi"/>
          <w:shd w:val="clear" w:color="auto" w:fill="FFFFFF"/>
        </w:rPr>
        <w:t xml:space="preserve">(turpmāk – uzņemšanas lēmums) </w:t>
      </w:r>
      <w:r w:rsidR="00FE4AA0" w:rsidRPr="0006004C">
        <w:rPr>
          <w:rFonts w:asciiTheme="majorBidi" w:hAnsiTheme="majorBidi" w:cstheme="majorBidi"/>
          <w:shd w:val="clear" w:color="auto" w:fill="FFFFFF"/>
        </w:rPr>
        <w:t>p</w:t>
      </w:r>
      <w:r w:rsidR="004F0F5E" w:rsidRPr="0006004C">
        <w:rPr>
          <w:rFonts w:asciiTheme="majorBidi" w:hAnsiTheme="majorBidi" w:cstheme="majorBidi"/>
          <w:shd w:val="clear" w:color="auto" w:fill="FFFFFF"/>
        </w:rPr>
        <w:t xml:space="preserve">ieteicēja Eiropas komercsabiedrība „Balcia Insurance SE” uzņemta par biroja biedru un pieteicējai noteikts pienākums līdz 2021.gada 7.augustam samaksāt </w:t>
      </w:r>
      <w:r w:rsidR="00D60898" w:rsidRPr="0006004C">
        <w:rPr>
          <w:rFonts w:asciiTheme="majorBidi" w:hAnsiTheme="majorBidi" w:cstheme="majorBidi"/>
          <w:shd w:val="clear" w:color="auto" w:fill="FFFFFF"/>
        </w:rPr>
        <w:t xml:space="preserve">vienreizējo iemaksu obligātās civiltiesiskās transportlīdzekļu apdrošināšanas garantijas fondā (turpmāk – garantijas fonds) un </w:t>
      </w:r>
      <w:r w:rsidR="004F0F5E" w:rsidRPr="0006004C">
        <w:rPr>
          <w:rFonts w:asciiTheme="majorBidi" w:hAnsiTheme="majorBidi" w:cstheme="majorBidi"/>
          <w:shd w:val="clear" w:color="auto" w:fill="FFFFFF"/>
        </w:rPr>
        <w:t>iestāšanās naudu. Ar šo lēmumu biroja valde pilnvarota lemt par pieteicējas izslēgšanu no biroja, ja līdz minētajam datumam pieteicēja nesamaksās vienreizējo iemaksu garantijas fondā</w:t>
      </w:r>
      <w:r w:rsidR="00D60898" w:rsidRPr="0006004C">
        <w:rPr>
          <w:rFonts w:asciiTheme="majorBidi" w:hAnsiTheme="majorBidi" w:cstheme="majorBidi"/>
          <w:shd w:val="clear" w:color="auto" w:fill="FFFFFF"/>
        </w:rPr>
        <w:t xml:space="preserve"> un iestāšanās naudu</w:t>
      </w:r>
      <w:r w:rsidR="004F0F5E" w:rsidRPr="0006004C">
        <w:rPr>
          <w:rFonts w:asciiTheme="majorBidi" w:hAnsiTheme="majorBidi" w:cstheme="majorBidi"/>
          <w:shd w:val="clear" w:color="auto" w:fill="FFFFFF"/>
        </w:rPr>
        <w:t>.</w:t>
      </w:r>
      <w:r w:rsidR="008E0467" w:rsidRPr="0006004C">
        <w:rPr>
          <w:rFonts w:asciiTheme="majorBidi" w:hAnsiTheme="majorBidi" w:cstheme="majorBidi"/>
          <w:shd w:val="clear" w:color="auto" w:fill="FFFFFF"/>
        </w:rPr>
        <w:t xml:space="preserve"> </w:t>
      </w:r>
      <w:r w:rsidR="004F0F5E" w:rsidRPr="0006004C">
        <w:rPr>
          <w:rFonts w:asciiTheme="majorBidi" w:hAnsiTheme="majorBidi" w:cstheme="majorBidi"/>
          <w:shd w:val="clear" w:color="auto" w:fill="FFFFFF"/>
        </w:rPr>
        <w:t xml:space="preserve">Tā kā pieteicēja minētos maksājumus līdz 2021.gada 7.augustam nebija </w:t>
      </w:r>
      <w:r w:rsidR="00D60898" w:rsidRPr="0006004C">
        <w:rPr>
          <w:rFonts w:asciiTheme="majorBidi" w:hAnsiTheme="majorBidi" w:cstheme="majorBidi"/>
          <w:shd w:val="clear" w:color="auto" w:fill="FFFFFF"/>
        </w:rPr>
        <w:t>veikusi</w:t>
      </w:r>
      <w:r w:rsidR="004F0F5E" w:rsidRPr="0006004C">
        <w:rPr>
          <w:rFonts w:asciiTheme="majorBidi" w:hAnsiTheme="majorBidi" w:cstheme="majorBidi"/>
          <w:shd w:val="clear" w:color="auto" w:fill="FFFFFF"/>
        </w:rPr>
        <w:t xml:space="preserve">, biroja valde ar 2021.gada 9.augusta lēmumu </w:t>
      </w:r>
      <w:r w:rsidR="003C5D82" w:rsidRPr="0006004C">
        <w:rPr>
          <w:rFonts w:asciiTheme="majorBidi" w:hAnsiTheme="majorBidi" w:cstheme="majorBidi"/>
          <w:shd w:val="clear" w:color="auto" w:fill="FFFFFF"/>
        </w:rPr>
        <w:t xml:space="preserve">Nr. 15 </w:t>
      </w:r>
      <w:r w:rsidR="004F0F5E" w:rsidRPr="0006004C">
        <w:rPr>
          <w:rFonts w:asciiTheme="majorBidi" w:hAnsiTheme="majorBidi" w:cstheme="majorBidi"/>
          <w:shd w:val="clear" w:color="auto" w:fill="FFFFFF"/>
        </w:rPr>
        <w:t>izslēdza pieteicēju no biroja</w:t>
      </w:r>
      <w:r w:rsidR="00FE4AA0" w:rsidRPr="0006004C">
        <w:rPr>
          <w:rFonts w:asciiTheme="majorBidi" w:hAnsiTheme="majorBidi" w:cstheme="majorBidi"/>
          <w:shd w:val="clear" w:color="auto" w:fill="FFFFFF"/>
        </w:rPr>
        <w:t xml:space="preserve"> (turpmāk – izslēgšanas lēmums)</w:t>
      </w:r>
      <w:r w:rsidR="004F0F5E" w:rsidRPr="0006004C">
        <w:rPr>
          <w:rFonts w:asciiTheme="majorBidi" w:hAnsiTheme="majorBidi" w:cstheme="majorBidi"/>
          <w:shd w:val="clear" w:color="auto" w:fill="FFFFFF"/>
        </w:rPr>
        <w:t xml:space="preserve">. </w:t>
      </w:r>
    </w:p>
    <w:p w14:paraId="78FA8A1A" w14:textId="77777777" w:rsidR="00F314F3" w:rsidRPr="0006004C" w:rsidRDefault="00F314F3" w:rsidP="0096531A">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2A0521D8" w14:textId="5F56FD42" w:rsidR="003C6F61" w:rsidRPr="0006004C" w:rsidRDefault="003C6F61" w:rsidP="0096531A">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06004C">
        <w:rPr>
          <w:rFonts w:asciiTheme="majorBidi" w:hAnsiTheme="majorBidi" w:cstheme="majorBidi"/>
          <w:shd w:val="clear" w:color="auto" w:fill="FFFFFF"/>
        </w:rPr>
        <w:t>[2] Pieteicēja vērsās tiesā ar pieteikumu</w:t>
      </w:r>
      <w:r w:rsidR="003C5D82" w:rsidRPr="0006004C">
        <w:rPr>
          <w:rFonts w:asciiTheme="majorBidi" w:hAnsiTheme="majorBidi" w:cstheme="majorBidi"/>
          <w:shd w:val="clear" w:color="auto" w:fill="FFFFFF"/>
        </w:rPr>
        <w:t xml:space="preserve">, pārsūdzot </w:t>
      </w:r>
      <w:r w:rsidR="00FE4AA0" w:rsidRPr="0006004C">
        <w:rPr>
          <w:rFonts w:asciiTheme="majorBidi" w:hAnsiTheme="majorBidi" w:cstheme="majorBidi"/>
          <w:shd w:val="clear" w:color="auto" w:fill="FFFFFF"/>
        </w:rPr>
        <w:t>uzņemšanas lēmumu</w:t>
      </w:r>
      <w:r w:rsidR="003C5D82" w:rsidRPr="0006004C">
        <w:rPr>
          <w:rFonts w:asciiTheme="majorBidi" w:hAnsiTheme="majorBidi" w:cstheme="majorBidi"/>
          <w:shd w:val="clear" w:color="auto" w:fill="FFFFFF"/>
        </w:rPr>
        <w:t xml:space="preserve"> daļā par iestāšanās naudas samaksu, kā arī pārsūdzot </w:t>
      </w:r>
      <w:r w:rsidR="00FE4AA0" w:rsidRPr="0006004C">
        <w:rPr>
          <w:rFonts w:asciiTheme="majorBidi" w:hAnsiTheme="majorBidi" w:cstheme="majorBidi"/>
          <w:shd w:val="clear" w:color="auto" w:fill="FFFFFF"/>
        </w:rPr>
        <w:t>izslēgšanas</w:t>
      </w:r>
      <w:r w:rsidR="003C5D82" w:rsidRPr="0006004C">
        <w:rPr>
          <w:rFonts w:asciiTheme="majorBidi" w:hAnsiTheme="majorBidi" w:cstheme="majorBidi"/>
          <w:shd w:val="clear" w:color="auto" w:fill="FFFFFF"/>
        </w:rPr>
        <w:t xml:space="preserve"> lēmum</w:t>
      </w:r>
      <w:r w:rsidR="00FE4AA0" w:rsidRPr="0006004C">
        <w:rPr>
          <w:rFonts w:asciiTheme="majorBidi" w:hAnsiTheme="majorBidi" w:cstheme="majorBidi"/>
          <w:shd w:val="clear" w:color="auto" w:fill="FFFFFF"/>
        </w:rPr>
        <w:t>u</w:t>
      </w:r>
      <w:r w:rsidR="00830F2D" w:rsidRPr="0006004C">
        <w:rPr>
          <w:rFonts w:asciiTheme="majorBidi" w:hAnsiTheme="majorBidi" w:cstheme="majorBidi"/>
          <w:shd w:val="clear" w:color="auto" w:fill="FFFFFF"/>
        </w:rPr>
        <w:t xml:space="preserve"> un</w:t>
      </w:r>
      <w:r w:rsidR="00A00B0F" w:rsidRPr="0006004C">
        <w:rPr>
          <w:rFonts w:asciiTheme="majorBidi" w:hAnsiTheme="majorBidi" w:cstheme="majorBidi"/>
          <w:shd w:val="clear" w:color="auto" w:fill="FFFFFF"/>
        </w:rPr>
        <w:t xml:space="preserve"> prasot atlīdzinājumu</w:t>
      </w:r>
      <w:r w:rsidR="00955134" w:rsidRPr="0006004C">
        <w:rPr>
          <w:rFonts w:asciiTheme="majorBidi" w:hAnsiTheme="majorBidi" w:cstheme="majorBidi"/>
          <w:shd w:val="clear" w:color="auto" w:fill="FFFFFF"/>
        </w:rPr>
        <w:t>.</w:t>
      </w:r>
    </w:p>
    <w:p w14:paraId="21F023DA" w14:textId="77777777" w:rsidR="003C6F61" w:rsidRPr="0006004C" w:rsidRDefault="003C6F61" w:rsidP="0096531A">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47C088F9" w14:textId="2E55AE44" w:rsidR="003C5D82" w:rsidRPr="0006004C" w:rsidRDefault="003C6F61" w:rsidP="0096531A">
      <w:pPr>
        <w:spacing w:line="276" w:lineRule="auto"/>
        <w:ind w:firstLine="720"/>
        <w:jc w:val="both"/>
        <w:rPr>
          <w:rFonts w:asciiTheme="majorBidi" w:hAnsiTheme="majorBidi" w:cstheme="majorBidi"/>
          <w:shd w:val="clear" w:color="auto" w:fill="FFFFFF"/>
        </w:rPr>
      </w:pPr>
      <w:r w:rsidRPr="0006004C">
        <w:rPr>
          <w:rFonts w:asciiTheme="majorBidi" w:hAnsiTheme="majorBidi" w:cstheme="majorBidi"/>
          <w:shd w:val="clear" w:color="auto" w:fill="FFFFFF"/>
        </w:rPr>
        <w:t>[3]</w:t>
      </w:r>
      <w:r w:rsidR="008803F2" w:rsidRPr="0006004C">
        <w:rPr>
          <w:rFonts w:asciiTheme="majorBidi" w:hAnsiTheme="majorBidi" w:cstheme="majorBidi"/>
          <w:shd w:val="clear" w:color="auto" w:fill="FFFFFF"/>
        </w:rPr>
        <w:t> </w:t>
      </w:r>
      <w:r w:rsidR="003C5D82" w:rsidRPr="0006004C">
        <w:rPr>
          <w:rFonts w:asciiTheme="majorBidi" w:hAnsiTheme="majorBidi" w:cstheme="majorBidi"/>
          <w:shd w:val="clear" w:color="auto" w:fill="FFFFFF"/>
        </w:rPr>
        <w:t xml:space="preserve">Ar Finanšu ministrijas 2022.gada 16.maija lēmumu Nr. 1.1-7/12/53 biroja </w:t>
      </w:r>
      <w:r w:rsidR="00FE4AA0" w:rsidRPr="0006004C">
        <w:rPr>
          <w:rFonts w:asciiTheme="majorBidi" w:hAnsiTheme="majorBidi" w:cstheme="majorBidi"/>
          <w:shd w:val="clear" w:color="auto" w:fill="FFFFFF"/>
        </w:rPr>
        <w:t>uzņemšanas lēmums</w:t>
      </w:r>
      <w:r w:rsidR="003C5D82" w:rsidRPr="0006004C">
        <w:rPr>
          <w:rFonts w:asciiTheme="majorBidi" w:hAnsiTheme="majorBidi" w:cstheme="majorBidi"/>
          <w:shd w:val="clear" w:color="auto" w:fill="FFFFFF"/>
        </w:rPr>
        <w:t xml:space="preserve"> daļā par pienākumu pieteicējai samaksāt iestāšanās naudu atzīts par prettiesisku.</w:t>
      </w:r>
      <w:r w:rsidR="00FE4AA0" w:rsidRPr="0006004C">
        <w:rPr>
          <w:rFonts w:asciiTheme="majorBidi" w:hAnsiTheme="majorBidi" w:cstheme="majorBidi"/>
          <w:shd w:val="clear" w:color="auto" w:fill="FFFFFF"/>
        </w:rPr>
        <w:t xml:space="preserve"> Secīgi ar Administratīvās rajona tiesas 2022.gada </w:t>
      </w:r>
      <w:r w:rsidR="00E7656F" w:rsidRPr="0006004C">
        <w:rPr>
          <w:rFonts w:asciiTheme="majorBidi" w:hAnsiTheme="majorBidi" w:cstheme="majorBidi"/>
          <w:shd w:val="clear" w:color="auto" w:fill="FFFFFF"/>
        </w:rPr>
        <w:t>7.jūnija spriedumā ietverto lēmumu</w:t>
      </w:r>
      <w:r w:rsidR="00FE4AA0" w:rsidRPr="0006004C">
        <w:rPr>
          <w:rFonts w:asciiTheme="majorBidi" w:hAnsiTheme="majorBidi" w:cstheme="majorBidi"/>
          <w:shd w:val="clear" w:color="auto" w:fill="FFFFFF"/>
        </w:rPr>
        <w:t xml:space="preserve"> izbeigta tiesvedība </w:t>
      </w:r>
      <w:r w:rsidR="00E7656F" w:rsidRPr="0006004C">
        <w:rPr>
          <w:rFonts w:asciiTheme="majorBidi" w:hAnsiTheme="majorBidi" w:cstheme="majorBidi"/>
          <w:shd w:val="clear" w:color="auto" w:fill="FFFFFF"/>
        </w:rPr>
        <w:t xml:space="preserve">lietas </w:t>
      </w:r>
      <w:r w:rsidR="00FE4AA0" w:rsidRPr="0006004C">
        <w:rPr>
          <w:rFonts w:asciiTheme="majorBidi" w:hAnsiTheme="majorBidi" w:cstheme="majorBidi"/>
          <w:shd w:val="clear" w:color="auto" w:fill="FFFFFF"/>
        </w:rPr>
        <w:t xml:space="preserve">daļā par uzņemšanas lēmuma atcelšanu daļā par iestāšanās naudas samaksu. </w:t>
      </w:r>
    </w:p>
    <w:p w14:paraId="375C2555" w14:textId="19FC48E1" w:rsidR="00F9260B" w:rsidRPr="0006004C" w:rsidRDefault="00F9260B" w:rsidP="0096531A">
      <w:pPr>
        <w:spacing w:line="276" w:lineRule="auto"/>
        <w:ind w:firstLine="720"/>
        <w:jc w:val="both"/>
        <w:rPr>
          <w:rFonts w:asciiTheme="majorBidi" w:hAnsiTheme="majorBidi" w:cstheme="majorBidi"/>
          <w:shd w:val="clear" w:color="auto" w:fill="FFFFFF"/>
        </w:rPr>
      </w:pPr>
    </w:p>
    <w:p w14:paraId="3E422E8F" w14:textId="2AF4A544" w:rsidR="00CE3649" w:rsidRPr="0006004C" w:rsidRDefault="00CE3649" w:rsidP="0096531A">
      <w:pPr>
        <w:autoSpaceDE w:val="0"/>
        <w:autoSpaceDN w:val="0"/>
        <w:adjustRightInd w:val="0"/>
        <w:spacing w:line="276" w:lineRule="auto"/>
        <w:ind w:firstLine="720"/>
        <w:jc w:val="both"/>
        <w:rPr>
          <w:rFonts w:asciiTheme="majorBidi" w:hAnsiTheme="majorBidi" w:cstheme="majorBidi"/>
          <w:shd w:val="clear" w:color="auto" w:fill="FFFFFF"/>
          <w:lang w:eastAsia="lv-LV"/>
        </w:rPr>
      </w:pPr>
      <w:r w:rsidRPr="0006004C">
        <w:rPr>
          <w:rFonts w:asciiTheme="majorBidi" w:hAnsiTheme="majorBidi" w:cstheme="majorBidi"/>
          <w:shd w:val="clear" w:color="auto" w:fill="FFFFFF"/>
          <w:lang w:eastAsia="lv-LV"/>
        </w:rPr>
        <w:t>[4]</w:t>
      </w:r>
      <w:r w:rsidR="00B77486" w:rsidRPr="0006004C">
        <w:rPr>
          <w:rFonts w:asciiTheme="majorBidi" w:hAnsiTheme="majorBidi" w:cstheme="majorBidi"/>
          <w:shd w:val="clear" w:color="auto" w:fill="FFFFFF"/>
          <w:lang w:eastAsia="lv-LV"/>
        </w:rPr>
        <w:t> </w:t>
      </w:r>
      <w:r w:rsidR="003C5D82" w:rsidRPr="0006004C">
        <w:rPr>
          <w:rFonts w:asciiTheme="majorBidi" w:hAnsiTheme="majorBidi" w:cstheme="majorBidi"/>
          <w:shd w:val="clear" w:color="auto" w:fill="FFFFFF"/>
          <w:lang w:eastAsia="lv-LV"/>
        </w:rPr>
        <w:t>Administratīvā apgabaltiesa ar 2022.gada 30.novembra spriedumu</w:t>
      </w:r>
      <w:r w:rsidR="00FE4AA0" w:rsidRPr="0006004C">
        <w:rPr>
          <w:rFonts w:asciiTheme="majorBidi" w:hAnsiTheme="majorBidi" w:cstheme="majorBidi"/>
          <w:shd w:val="clear" w:color="auto" w:fill="FFFFFF"/>
          <w:lang w:eastAsia="lv-LV"/>
        </w:rPr>
        <w:t xml:space="preserve"> noraidīja pieteikumu daļā par izslēgšanas lēmuma atzīšanu par prettiesisku, kā arī atstāja negrozītu Administratīvās rajona tiesas spriedumā iekļauto lēmumu atstāt bez izskatīšanas pieteikumu daļā par zaudējumu atlīdzināšanu. Spriedumā norādīti turpmāk minētie argumenti.</w:t>
      </w:r>
    </w:p>
    <w:p w14:paraId="241C2E61" w14:textId="2F183B19" w:rsidR="00FE4AA0" w:rsidRPr="0006004C" w:rsidRDefault="00FE4AA0" w:rsidP="0096531A">
      <w:pPr>
        <w:autoSpaceDE w:val="0"/>
        <w:autoSpaceDN w:val="0"/>
        <w:adjustRightInd w:val="0"/>
        <w:spacing w:line="276" w:lineRule="auto"/>
        <w:ind w:firstLine="720"/>
        <w:jc w:val="both"/>
        <w:rPr>
          <w:rFonts w:asciiTheme="majorBidi" w:hAnsiTheme="majorBidi" w:cstheme="majorBidi"/>
          <w:shd w:val="clear" w:color="auto" w:fill="FFFFFF"/>
          <w:lang w:eastAsia="lv-LV"/>
        </w:rPr>
      </w:pPr>
      <w:r w:rsidRPr="0006004C">
        <w:rPr>
          <w:rFonts w:asciiTheme="majorBidi" w:hAnsiTheme="majorBidi" w:cstheme="majorBidi"/>
          <w:shd w:val="clear" w:color="auto" w:fill="FFFFFF"/>
          <w:lang w:eastAsia="lv-LV"/>
        </w:rPr>
        <w:t xml:space="preserve">[4.1] Ņemot vērā Sauszemes transportlīdzekļu īpašnieku civiltiesiskās atbildības obligātās apdrošināšanas likuma (turpmāk – Apdrošināšanas likums) 1.panta 6.punktā un 17.panta piektajā daļā noteikto, </w:t>
      </w:r>
      <w:r w:rsidR="00310821" w:rsidRPr="0006004C">
        <w:rPr>
          <w:rFonts w:asciiTheme="majorBidi" w:hAnsiTheme="majorBidi" w:cstheme="majorBidi"/>
          <w:shd w:val="clear" w:color="auto" w:fill="FFFFFF"/>
          <w:lang w:eastAsia="lv-LV"/>
        </w:rPr>
        <w:t xml:space="preserve">secināms, ka maksājumu veikšanas pienākums attiecas uz apdrošinātāju, kas ir biroja biedrs. </w:t>
      </w:r>
      <w:r w:rsidR="00FB41CE" w:rsidRPr="0006004C">
        <w:rPr>
          <w:rFonts w:asciiTheme="majorBidi" w:hAnsiTheme="majorBidi" w:cstheme="majorBidi"/>
          <w:shd w:val="clear" w:color="auto" w:fill="FFFFFF"/>
          <w:lang w:eastAsia="lv-LV"/>
        </w:rPr>
        <w:t xml:space="preserve">Tas nozīmē, ka </w:t>
      </w:r>
      <w:r w:rsidR="00310821" w:rsidRPr="0006004C">
        <w:rPr>
          <w:rFonts w:asciiTheme="majorBidi" w:hAnsiTheme="majorBidi" w:cstheme="majorBidi"/>
          <w:shd w:val="clear" w:color="auto" w:fill="FFFFFF"/>
          <w:lang w:eastAsia="lv-LV"/>
        </w:rPr>
        <w:t xml:space="preserve">maksāšanas pienākums ir saistīts ar biedra pienākumu izpildi. Uzņemšanas lēmumā noteiktais pienākums </w:t>
      </w:r>
      <w:r w:rsidR="00D60898" w:rsidRPr="0006004C">
        <w:rPr>
          <w:rFonts w:asciiTheme="majorBidi" w:hAnsiTheme="majorBidi" w:cstheme="majorBidi"/>
          <w:shd w:val="clear" w:color="auto" w:fill="FFFFFF"/>
          <w:lang w:eastAsia="lv-LV"/>
        </w:rPr>
        <w:t>izpildīt</w:t>
      </w:r>
      <w:r w:rsidR="00310821" w:rsidRPr="0006004C">
        <w:rPr>
          <w:rFonts w:asciiTheme="majorBidi" w:hAnsiTheme="majorBidi" w:cstheme="majorBidi"/>
          <w:shd w:val="clear" w:color="auto" w:fill="FFFFFF"/>
          <w:lang w:eastAsia="lv-LV"/>
        </w:rPr>
        <w:t xml:space="preserve"> maksājumus un šā pienākuma nepildīšana ir saistīta </w:t>
      </w:r>
      <w:r w:rsidR="00E7656F" w:rsidRPr="0006004C">
        <w:rPr>
          <w:rFonts w:asciiTheme="majorBidi" w:hAnsiTheme="majorBidi" w:cstheme="majorBidi"/>
          <w:shd w:val="clear" w:color="auto" w:fill="FFFFFF"/>
          <w:lang w:eastAsia="lv-LV"/>
        </w:rPr>
        <w:t>iespējamību tikt izslēgtam no biroja</w:t>
      </w:r>
      <w:r w:rsidR="00310821" w:rsidRPr="0006004C">
        <w:rPr>
          <w:rFonts w:asciiTheme="majorBidi" w:hAnsiTheme="majorBidi" w:cstheme="majorBidi"/>
          <w:shd w:val="clear" w:color="auto" w:fill="FFFFFF"/>
          <w:lang w:eastAsia="lv-LV"/>
        </w:rPr>
        <w:t>, nevis ar uzņemšanu biroja biedru skaitā.</w:t>
      </w:r>
    </w:p>
    <w:p w14:paraId="7BBB726C" w14:textId="162D3CBE" w:rsidR="00310821" w:rsidRPr="0006004C" w:rsidRDefault="00310821" w:rsidP="0096531A">
      <w:pPr>
        <w:autoSpaceDE w:val="0"/>
        <w:autoSpaceDN w:val="0"/>
        <w:adjustRightInd w:val="0"/>
        <w:spacing w:line="276" w:lineRule="auto"/>
        <w:ind w:firstLine="720"/>
        <w:jc w:val="both"/>
        <w:rPr>
          <w:rFonts w:asciiTheme="majorBidi" w:hAnsiTheme="majorBidi" w:cstheme="majorBidi"/>
          <w:shd w:val="clear" w:color="auto" w:fill="FFFFFF"/>
          <w:lang w:eastAsia="lv-LV"/>
        </w:rPr>
      </w:pPr>
      <w:r w:rsidRPr="0006004C">
        <w:rPr>
          <w:rFonts w:asciiTheme="majorBidi" w:hAnsiTheme="majorBidi" w:cstheme="majorBidi"/>
          <w:shd w:val="clear" w:color="auto" w:fill="FFFFFF"/>
          <w:lang w:eastAsia="lv-LV"/>
        </w:rPr>
        <w:t xml:space="preserve">[4.2] No Ministru kabineta 2005.gada 22.marta noteikumu Nr. 195 „Sauszemes transportlīdzekļu īpašnieku civiltiesiskās atbildības obligātās apdrošināšanas garantijas fonda izveidošanas, uzkrāšanas un administrēšanas kārtība” (turpmāk – Garantijas fonda noteikumi) 9. un 10.punkta, Apdrošināšanas un pārapdrošināšanas likuma 22.panta ceturtās daļas izriet, ka iemaksas garantijas fondā ir nosacījums, lai Finanšu un kapitāla tirgus </w:t>
      </w:r>
      <w:r w:rsidRPr="0006004C">
        <w:rPr>
          <w:rFonts w:asciiTheme="majorBidi" w:hAnsiTheme="majorBidi" w:cstheme="majorBidi"/>
          <w:shd w:val="clear" w:color="auto" w:fill="FFFFFF"/>
          <w:lang w:eastAsia="lv-LV"/>
        </w:rPr>
        <w:lastRenderedPageBreak/>
        <w:t xml:space="preserve">komisija pieņemtu lēmumu par licences izsniegšanu obligātās apdrošināšanas veikšanai. Licences saņemšanas nosacījums ir apstāklis, ka apdrošināšanas sabiedrība ir biroja biedrs. </w:t>
      </w:r>
    </w:p>
    <w:p w14:paraId="31FE1DFD" w14:textId="28F84EF1" w:rsidR="00310821" w:rsidRPr="0006004C" w:rsidRDefault="00310821" w:rsidP="0096531A">
      <w:pPr>
        <w:autoSpaceDE w:val="0"/>
        <w:autoSpaceDN w:val="0"/>
        <w:adjustRightInd w:val="0"/>
        <w:spacing w:line="276" w:lineRule="auto"/>
        <w:ind w:firstLine="720"/>
        <w:jc w:val="both"/>
        <w:rPr>
          <w:rFonts w:asciiTheme="majorBidi" w:hAnsiTheme="majorBidi" w:cstheme="majorBidi"/>
          <w:shd w:val="clear" w:color="auto" w:fill="FFFFFF"/>
          <w:lang w:eastAsia="lv-LV"/>
        </w:rPr>
      </w:pPr>
      <w:r w:rsidRPr="0006004C">
        <w:rPr>
          <w:rFonts w:asciiTheme="majorBidi" w:hAnsiTheme="majorBidi" w:cstheme="majorBidi"/>
          <w:shd w:val="clear" w:color="auto" w:fill="FFFFFF"/>
          <w:lang w:eastAsia="lv-LV"/>
        </w:rPr>
        <w:t>[4.3] Biroja statūtu 3.6.punkts, kas paredz</w:t>
      </w:r>
      <w:r w:rsidR="00C800D4" w:rsidRPr="0006004C">
        <w:rPr>
          <w:rFonts w:asciiTheme="majorBidi" w:hAnsiTheme="majorBidi" w:cstheme="majorBidi"/>
          <w:shd w:val="clear" w:color="auto" w:fill="FFFFFF"/>
          <w:lang w:eastAsia="lv-LV"/>
        </w:rPr>
        <w:t>, ka</w:t>
      </w:r>
      <w:r w:rsidRPr="0006004C">
        <w:rPr>
          <w:rFonts w:asciiTheme="majorBidi" w:hAnsiTheme="majorBidi" w:cstheme="majorBidi"/>
          <w:shd w:val="clear" w:color="auto" w:fill="FFFFFF"/>
          <w:lang w:eastAsia="lv-LV"/>
        </w:rPr>
        <w:t xml:space="preserve"> biedrs iegūst biedra tiesības ar brīdi, kad tas samaksājis iestāšanās naudu, iemaksu garantijas fondā un ieguvis tiesības veikt obligāto apdrošināšanu</w:t>
      </w:r>
      <w:r w:rsidR="00C800D4" w:rsidRPr="0006004C">
        <w:rPr>
          <w:rFonts w:asciiTheme="majorBidi" w:hAnsiTheme="majorBidi" w:cstheme="majorBidi"/>
          <w:shd w:val="clear" w:color="auto" w:fill="FFFFFF"/>
          <w:lang w:eastAsia="lv-LV"/>
        </w:rPr>
        <w:t>,</w:t>
      </w:r>
      <w:r w:rsidRPr="0006004C">
        <w:rPr>
          <w:rFonts w:asciiTheme="majorBidi" w:hAnsiTheme="majorBidi" w:cstheme="majorBidi"/>
          <w:shd w:val="clear" w:color="auto" w:fill="FFFFFF"/>
          <w:lang w:eastAsia="lv-LV"/>
        </w:rPr>
        <w:t xml:space="preserve"> ir pretrunā Apdrošināšanas un pārapdrošināšanas likuma 22.panta ceturtajai daļai</w:t>
      </w:r>
      <w:r w:rsidR="00452CD9" w:rsidRPr="0006004C">
        <w:rPr>
          <w:rFonts w:asciiTheme="majorBidi" w:hAnsiTheme="majorBidi" w:cstheme="majorBidi"/>
          <w:shd w:val="clear" w:color="auto" w:fill="FFFFFF"/>
          <w:lang w:eastAsia="lv-LV"/>
        </w:rPr>
        <w:t>. Biroja statūtu 3.6.punktā ietverti savstarpēji izslēdzoši noteikumi. Tādējādi pieteicēja ar uzņemšanas lēmumu kļuva par biroja biedru, bet ar izslēgšanas lēmumu</w:t>
      </w:r>
      <w:r w:rsidR="00C800D4" w:rsidRPr="0006004C">
        <w:rPr>
          <w:rFonts w:asciiTheme="majorBidi" w:hAnsiTheme="majorBidi" w:cstheme="majorBidi"/>
          <w:shd w:val="clear" w:color="auto" w:fill="FFFFFF"/>
          <w:lang w:eastAsia="lv-LV"/>
        </w:rPr>
        <w:t xml:space="preserve"> no</w:t>
      </w:r>
      <w:r w:rsidR="00452CD9" w:rsidRPr="0006004C">
        <w:rPr>
          <w:rFonts w:asciiTheme="majorBidi" w:hAnsiTheme="majorBidi" w:cstheme="majorBidi"/>
          <w:shd w:val="clear" w:color="auto" w:fill="FFFFFF"/>
          <w:lang w:eastAsia="lv-LV"/>
        </w:rPr>
        <w:t xml:space="preserve"> tā tika izslēgta</w:t>
      </w:r>
      <w:r w:rsidR="00C800D4" w:rsidRPr="0006004C">
        <w:rPr>
          <w:rFonts w:asciiTheme="majorBidi" w:hAnsiTheme="majorBidi" w:cstheme="majorBidi"/>
          <w:shd w:val="clear" w:color="auto" w:fill="FFFFFF"/>
          <w:lang w:eastAsia="lv-LV"/>
        </w:rPr>
        <w:t>.</w:t>
      </w:r>
    </w:p>
    <w:p w14:paraId="11C087E8" w14:textId="500756BF" w:rsidR="00452CD9" w:rsidRPr="0006004C" w:rsidRDefault="00452CD9" w:rsidP="0096531A">
      <w:pPr>
        <w:autoSpaceDE w:val="0"/>
        <w:autoSpaceDN w:val="0"/>
        <w:adjustRightInd w:val="0"/>
        <w:spacing w:line="276" w:lineRule="auto"/>
        <w:ind w:firstLine="720"/>
        <w:jc w:val="both"/>
        <w:rPr>
          <w:rFonts w:asciiTheme="majorBidi" w:hAnsiTheme="majorBidi" w:cstheme="majorBidi"/>
          <w:shd w:val="clear" w:color="auto" w:fill="FFFFFF"/>
          <w:lang w:eastAsia="lv-LV"/>
        </w:rPr>
      </w:pPr>
      <w:r w:rsidRPr="0006004C">
        <w:rPr>
          <w:rFonts w:asciiTheme="majorBidi" w:hAnsiTheme="majorBidi" w:cstheme="majorBidi"/>
          <w:shd w:val="clear" w:color="auto" w:fill="FFFFFF"/>
          <w:lang w:eastAsia="lv-LV"/>
        </w:rPr>
        <w:t xml:space="preserve">[4.4] No Biedrību un nodibinājumu likuma 35.panta pirmās daļas izriet, ka papildus šajā normā noteiktajai biedru sapulces kompetencei </w:t>
      </w:r>
      <w:r w:rsidR="00830F2D" w:rsidRPr="0006004C">
        <w:rPr>
          <w:rFonts w:asciiTheme="majorBidi" w:hAnsiTheme="majorBidi" w:cstheme="majorBidi"/>
          <w:shd w:val="clear" w:color="auto" w:fill="FFFFFF"/>
          <w:lang w:eastAsia="lv-LV"/>
        </w:rPr>
        <w:t xml:space="preserve">tās kompetence </w:t>
      </w:r>
      <w:r w:rsidRPr="0006004C">
        <w:rPr>
          <w:rFonts w:asciiTheme="majorBidi" w:hAnsiTheme="majorBidi" w:cstheme="majorBidi"/>
          <w:shd w:val="clear" w:color="auto" w:fill="FFFFFF"/>
          <w:lang w:eastAsia="lv-LV"/>
        </w:rPr>
        <w:t>var būt noteikta arī citos likumos. Atbilstoši Apdrošināšanas likuma 46.panta otrās daļas 3.punktam bied</w:t>
      </w:r>
      <w:r w:rsidR="00C800D4" w:rsidRPr="0006004C">
        <w:rPr>
          <w:rFonts w:asciiTheme="majorBidi" w:hAnsiTheme="majorBidi" w:cstheme="majorBidi"/>
          <w:shd w:val="clear" w:color="auto" w:fill="FFFFFF"/>
          <w:lang w:eastAsia="lv-LV"/>
        </w:rPr>
        <w:t>r</w:t>
      </w:r>
      <w:r w:rsidRPr="0006004C">
        <w:rPr>
          <w:rFonts w:asciiTheme="majorBidi" w:hAnsiTheme="majorBidi" w:cstheme="majorBidi"/>
          <w:shd w:val="clear" w:color="auto" w:fill="FFFFFF"/>
          <w:lang w:eastAsia="lv-LV"/>
        </w:rPr>
        <w:t xml:space="preserve">u kopsapulcei ir tiesības pieņemt lēmumu par apdrošinātāja izslēgšanu no biroja, ja atkārtoti netiek pildīti šā likuma 17.pantā noteiktie apdrošinātāja pienākumi, tostarp pienākums veikt samaksu garantijas fondā. Tādējādi Apdrošināšanas likumā noteiktās biroja biedru kopsapulces lēmumi, kas skar jautājumus par maksājumiem garantijas fondā, ir ekskluzīvā biedru kopsapulces kompetencē. Birojam nebija tiesību statūtos iekļaut normu, kas šajos jautājumos piešķir tiesības lēmumus pieņemt biroja valdei. </w:t>
      </w:r>
      <w:r w:rsidR="00702247" w:rsidRPr="0006004C">
        <w:rPr>
          <w:rFonts w:asciiTheme="majorBidi" w:hAnsiTheme="majorBidi" w:cstheme="majorBidi"/>
          <w:shd w:val="clear" w:color="auto" w:fill="FFFFFF"/>
          <w:lang w:eastAsia="lv-LV"/>
        </w:rPr>
        <w:t xml:space="preserve">Līdz ar to </w:t>
      </w:r>
      <w:r w:rsidRPr="0006004C">
        <w:rPr>
          <w:rFonts w:asciiTheme="majorBidi" w:hAnsiTheme="majorBidi" w:cstheme="majorBidi"/>
          <w:shd w:val="clear" w:color="auto" w:fill="FFFFFF"/>
          <w:lang w:eastAsia="lv-LV"/>
        </w:rPr>
        <w:t xml:space="preserve">biroja statūtu 3.5.punkts neatbilst Apdrošināšanas likuma 46.panta otrās daļas 3.punktam un apgabaltiesa to nepiemēro. Biroja biedru kopsapulcei arī nebija tiesību pilnvarot biroja valdi pieņemt izslēgšanas lēmumu. </w:t>
      </w:r>
    </w:p>
    <w:p w14:paraId="7E39EB88" w14:textId="7BD73A33" w:rsidR="00452CD9" w:rsidRPr="0006004C" w:rsidRDefault="00452CD9" w:rsidP="0096531A">
      <w:pPr>
        <w:autoSpaceDE w:val="0"/>
        <w:autoSpaceDN w:val="0"/>
        <w:adjustRightInd w:val="0"/>
        <w:spacing w:line="276" w:lineRule="auto"/>
        <w:ind w:firstLine="720"/>
        <w:jc w:val="both"/>
        <w:rPr>
          <w:rFonts w:asciiTheme="majorBidi" w:hAnsiTheme="majorBidi" w:cstheme="majorBidi"/>
          <w:shd w:val="clear" w:color="auto" w:fill="FFFFFF"/>
          <w:lang w:eastAsia="lv-LV"/>
        </w:rPr>
      </w:pPr>
      <w:r w:rsidRPr="0006004C">
        <w:rPr>
          <w:rFonts w:asciiTheme="majorBidi" w:hAnsiTheme="majorBidi" w:cstheme="majorBidi"/>
          <w:shd w:val="clear" w:color="auto" w:fill="FFFFFF"/>
          <w:lang w:eastAsia="lv-LV"/>
        </w:rPr>
        <w:t xml:space="preserve">Tā kā biroja valdei nebija tiesību pieņemt izslēgšanas lēmumu, secināms, ka izslēgšanas lēmums ir pieņemts, pieļaujot procesuālu pārkāpumu. </w:t>
      </w:r>
    </w:p>
    <w:p w14:paraId="488238A9" w14:textId="4497B79A" w:rsidR="00452CD9" w:rsidRPr="0006004C" w:rsidRDefault="00452CD9" w:rsidP="0096531A">
      <w:pPr>
        <w:autoSpaceDE w:val="0"/>
        <w:autoSpaceDN w:val="0"/>
        <w:adjustRightInd w:val="0"/>
        <w:spacing w:line="276" w:lineRule="auto"/>
        <w:ind w:firstLine="720"/>
        <w:jc w:val="both"/>
        <w:rPr>
          <w:rFonts w:asciiTheme="majorBidi" w:hAnsiTheme="majorBidi" w:cstheme="majorBidi"/>
          <w:shd w:val="clear" w:color="auto" w:fill="FFFFFF"/>
          <w:lang w:eastAsia="lv-LV"/>
        </w:rPr>
      </w:pPr>
      <w:r w:rsidRPr="0006004C">
        <w:rPr>
          <w:rFonts w:asciiTheme="majorBidi" w:hAnsiTheme="majorBidi" w:cstheme="majorBidi"/>
          <w:shd w:val="clear" w:color="auto" w:fill="FFFFFF"/>
          <w:lang w:eastAsia="lv-LV"/>
        </w:rPr>
        <w:t>[4.5] </w:t>
      </w:r>
      <w:r w:rsidR="00EC2ACA" w:rsidRPr="0006004C">
        <w:rPr>
          <w:rFonts w:asciiTheme="majorBidi" w:hAnsiTheme="majorBidi" w:cstheme="majorBidi"/>
          <w:shd w:val="clear" w:color="auto" w:fill="FFFFFF"/>
          <w:lang w:eastAsia="lv-LV"/>
        </w:rPr>
        <w:t>Ņemot vērā, ka</w:t>
      </w:r>
      <w:r w:rsidRPr="0006004C">
        <w:rPr>
          <w:rFonts w:asciiTheme="majorBidi" w:hAnsiTheme="majorBidi" w:cstheme="majorBidi"/>
          <w:shd w:val="clear" w:color="auto" w:fill="FFFFFF"/>
          <w:lang w:eastAsia="lv-LV"/>
        </w:rPr>
        <w:t xml:space="preserve"> </w:t>
      </w:r>
      <w:r w:rsidR="002531C0" w:rsidRPr="0006004C">
        <w:rPr>
          <w:rFonts w:asciiTheme="majorBidi" w:hAnsiTheme="majorBidi" w:cstheme="majorBidi"/>
          <w:shd w:val="clear" w:color="auto" w:fill="FFFFFF"/>
          <w:lang w:eastAsia="lv-LV"/>
        </w:rPr>
        <w:t xml:space="preserve">uzņemšanas lēmums </w:t>
      </w:r>
      <w:r w:rsidRPr="0006004C">
        <w:rPr>
          <w:rFonts w:asciiTheme="majorBidi" w:hAnsiTheme="majorBidi" w:cstheme="majorBidi"/>
          <w:shd w:val="clear" w:color="auto" w:fill="FFFFFF"/>
          <w:lang w:eastAsia="lv-LV"/>
        </w:rPr>
        <w:t xml:space="preserve">ar Finanšu ministrijas lēmumu </w:t>
      </w:r>
      <w:r w:rsidR="00AD30C0" w:rsidRPr="0006004C">
        <w:rPr>
          <w:rFonts w:asciiTheme="majorBidi" w:hAnsiTheme="majorBidi" w:cstheme="majorBidi"/>
          <w:shd w:val="clear" w:color="auto" w:fill="FFFFFF"/>
          <w:lang w:eastAsia="lv-LV"/>
        </w:rPr>
        <w:t xml:space="preserve">atzīts par prettiesisku </w:t>
      </w:r>
      <w:r w:rsidRPr="0006004C">
        <w:rPr>
          <w:rFonts w:asciiTheme="majorBidi" w:hAnsiTheme="majorBidi" w:cstheme="majorBidi"/>
          <w:shd w:val="clear" w:color="auto" w:fill="FFFFFF"/>
          <w:lang w:eastAsia="lv-LV"/>
        </w:rPr>
        <w:t>daļā par pienākumu maksāt iestāšanās naudu, tad prettiesisks ir arī izslēgšanas lēmums attiecīgajā daļā.</w:t>
      </w:r>
      <w:r w:rsidR="00AD30C0" w:rsidRPr="0006004C">
        <w:rPr>
          <w:rFonts w:asciiTheme="majorBidi" w:hAnsiTheme="majorBidi" w:cstheme="majorBidi"/>
          <w:shd w:val="clear" w:color="auto" w:fill="FFFFFF"/>
          <w:lang w:eastAsia="lv-LV"/>
        </w:rPr>
        <w:t xml:space="preserve"> </w:t>
      </w:r>
    </w:p>
    <w:p w14:paraId="7B47E464" w14:textId="0B6B5D19" w:rsidR="00AD30C0" w:rsidRPr="0006004C" w:rsidRDefault="00AD30C0" w:rsidP="0096531A">
      <w:pPr>
        <w:autoSpaceDE w:val="0"/>
        <w:autoSpaceDN w:val="0"/>
        <w:adjustRightInd w:val="0"/>
        <w:spacing w:line="276" w:lineRule="auto"/>
        <w:ind w:firstLine="720"/>
        <w:jc w:val="both"/>
        <w:rPr>
          <w:rFonts w:asciiTheme="majorBidi" w:hAnsiTheme="majorBidi" w:cstheme="majorBidi"/>
          <w:shd w:val="clear" w:color="auto" w:fill="FFFFFF"/>
          <w:lang w:eastAsia="lv-LV"/>
        </w:rPr>
      </w:pPr>
      <w:r w:rsidRPr="0006004C">
        <w:rPr>
          <w:rFonts w:asciiTheme="majorBidi" w:hAnsiTheme="majorBidi" w:cstheme="majorBidi"/>
          <w:shd w:val="clear" w:color="auto" w:fill="FFFFFF"/>
          <w:lang w:eastAsia="lv-LV"/>
        </w:rPr>
        <w:t xml:space="preserve">[4.6] Tas, ka pieteicēja nebija veikusi vienreizējo iemaksu garantijas fondā, varētu būt patstāvīgs pamats pieteicējas izslēgšanai no biroja. Tomēr, lai pieteicēja saņemtu licenci obligātās apdrošināšanai veikšanai, tai bija nepieciešams iesniegt Finanšu un kapitāla </w:t>
      </w:r>
      <w:r w:rsidR="00A00B0F" w:rsidRPr="0006004C">
        <w:rPr>
          <w:rFonts w:asciiTheme="majorBidi" w:hAnsiTheme="majorBidi" w:cstheme="majorBidi"/>
          <w:shd w:val="clear" w:color="auto" w:fill="FFFFFF"/>
          <w:lang w:eastAsia="lv-LV"/>
        </w:rPr>
        <w:t xml:space="preserve">tirgus </w:t>
      </w:r>
      <w:r w:rsidRPr="0006004C">
        <w:rPr>
          <w:rFonts w:asciiTheme="majorBidi" w:hAnsiTheme="majorBidi" w:cstheme="majorBidi"/>
          <w:shd w:val="clear" w:color="auto" w:fill="FFFFFF"/>
          <w:lang w:eastAsia="lv-LV"/>
        </w:rPr>
        <w:t xml:space="preserve">komisijai rakstveida apliecinājumu, ka </w:t>
      </w:r>
      <w:r w:rsidR="00A00B0F" w:rsidRPr="0006004C">
        <w:rPr>
          <w:rFonts w:asciiTheme="majorBidi" w:hAnsiTheme="majorBidi" w:cstheme="majorBidi"/>
          <w:shd w:val="clear" w:color="auto" w:fill="FFFFFF"/>
          <w:lang w:eastAsia="lv-LV"/>
        </w:rPr>
        <w:t>pieteicēja</w:t>
      </w:r>
      <w:r w:rsidRPr="0006004C">
        <w:rPr>
          <w:rFonts w:asciiTheme="majorBidi" w:hAnsiTheme="majorBidi" w:cstheme="majorBidi"/>
          <w:shd w:val="clear" w:color="auto" w:fill="FFFFFF"/>
          <w:lang w:eastAsia="lv-LV"/>
        </w:rPr>
        <w:t xml:space="preserve"> ir garantijas fonda dalībniece. Tā kā pieteicēja garantijas naudu nebija samaksājusi un </w:t>
      </w:r>
      <w:r w:rsidR="00DF3A5A" w:rsidRPr="0006004C">
        <w:rPr>
          <w:rFonts w:asciiTheme="majorBidi" w:hAnsiTheme="majorBidi" w:cstheme="majorBidi"/>
          <w:shd w:val="clear" w:color="auto" w:fill="FFFFFF"/>
          <w:lang w:eastAsia="lv-LV"/>
        </w:rPr>
        <w:t xml:space="preserve">līdz ar to </w:t>
      </w:r>
      <w:r w:rsidRPr="0006004C">
        <w:rPr>
          <w:rFonts w:asciiTheme="majorBidi" w:hAnsiTheme="majorBidi" w:cstheme="majorBidi"/>
          <w:shd w:val="clear" w:color="auto" w:fill="FFFFFF"/>
          <w:lang w:eastAsia="lv-LV"/>
        </w:rPr>
        <w:t>nevarēja saņemt licenci, tam, vai pieteicēja bija biroja biedrs, nebija izšķirošas nozīmes. Tāpēc arī tam, vai pieteicēja atbilstoši Apdrošināšanas likuma 17.pantam atkārtoti nebija pildījusi kādus biedra pienākumus, nebija izšķirošas nozīmes.</w:t>
      </w:r>
    </w:p>
    <w:p w14:paraId="2FA3B483" w14:textId="041C63AC" w:rsidR="00AD30C0" w:rsidRPr="0006004C" w:rsidRDefault="00AD30C0" w:rsidP="0096531A">
      <w:pPr>
        <w:autoSpaceDE w:val="0"/>
        <w:autoSpaceDN w:val="0"/>
        <w:adjustRightInd w:val="0"/>
        <w:spacing w:line="276" w:lineRule="auto"/>
        <w:ind w:firstLine="720"/>
        <w:jc w:val="both"/>
        <w:rPr>
          <w:rFonts w:asciiTheme="majorBidi" w:hAnsiTheme="majorBidi" w:cstheme="majorBidi"/>
          <w:shd w:val="clear" w:color="auto" w:fill="FFFFFF"/>
          <w:lang w:eastAsia="lv-LV"/>
        </w:rPr>
      </w:pPr>
      <w:r w:rsidRPr="0006004C">
        <w:rPr>
          <w:rFonts w:asciiTheme="majorBidi" w:hAnsiTheme="majorBidi" w:cstheme="majorBidi"/>
          <w:shd w:val="clear" w:color="auto" w:fill="FFFFFF"/>
          <w:lang w:eastAsia="lv-LV"/>
        </w:rPr>
        <w:t>[4.7] Izslēgšanas lēmuma pieņemšanā ir pieļauti procesuāli pārkāpumi, tomēr tas, ka pieteicēja nebija veikusi vienreizējo iemaksu garantijas fondā, nav savienojams ar pieteicējas atrašanos biedru skaitā. Tādējādi pieteicēja bija izslēdzama no biroja biedru skaita.</w:t>
      </w:r>
    </w:p>
    <w:p w14:paraId="7812AD5C" w14:textId="77777777" w:rsidR="00BE1CE3" w:rsidRPr="0006004C" w:rsidRDefault="00BE1CE3" w:rsidP="0096531A">
      <w:pPr>
        <w:autoSpaceDE w:val="0"/>
        <w:autoSpaceDN w:val="0"/>
        <w:adjustRightInd w:val="0"/>
        <w:spacing w:line="276" w:lineRule="auto"/>
        <w:ind w:firstLine="720"/>
        <w:jc w:val="both"/>
        <w:rPr>
          <w:rFonts w:asciiTheme="majorBidi" w:hAnsiTheme="majorBidi" w:cstheme="majorBidi"/>
          <w:shd w:val="clear" w:color="auto" w:fill="FFFFFF"/>
          <w:lang w:eastAsia="lv-LV"/>
        </w:rPr>
      </w:pPr>
    </w:p>
    <w:p w14:paraId="08484082" w14:textId="6B213BBD" w:rsidR="00BE1CE3" w:rsidRPr="0006004C" w:rsidRDefault="00BE1CE3" w:rsidP="0096531A">
      <w:pPr>
        <w:autoSpaceDE w:val="0"/>
        <w:autoSpaceDN w:val="0"/>
        <w:adjustRightInd w:val="0"/>
        <w:spacing w:line="276" w:lineRule="auto"/>
        <w:ind w:firstLine="720"/>
        <w:jc w:val="both"/>
        <w:rPr>
          <w:rFonts w:asciiTheme="majorBidi" w:hAnsiTheme="majorBidi" w:cstheme="majorBidi"/>
          <w:shd w:val="clear" w:color="auto" w:fill="FFFFFF"/>
          <w:lang w:eastAsia="lv-LV"/>
        </w:rPr>
      </w:pPr>
      <w:r w:rsidRPr="0006004C">
        <w:rPr>
          <w:rFonts w:asciiTheme="majorBidi" w:hAnsiTheme="majorBidi" w:cstheme="majorBidi"/>
          <w:shd w:val="clear" w:color="auto" w:fill="FFFFFF"/>
          <w:lang w:eastAsia="lv-LV"/>
        </w:rPr>
        <w:t xml:space="preserve">[5] Pieteicēja iesniedza kasācijas sūdzību, pārsūdzot spriedumu daļā par </w:t>
      </w:r>
      <w:r w:rsidR="00883F24" w:rsidRPr="0006004C">
        <w:rPr>
          <w:rFonts w:asciiTheme="majorBidi" w:hAnsiTheme="majorBidi" w:cstheme="majorBidi"/>
          <w:shd w:val="clear" w:color="auto" w:fill="FFFFFF"/>
          <w:lang w:eastAsia="lv-LV"/>
        </w:rPr>
        <w:t>i</w:t>
      </w:r>
      <w:r w:rsidRPr="0006004C">
        <w:rPr>
          <w:rFonts w:asciiTheme="majorBidi" w:hAnsiTheme="majorBidi" w:cstheme="majorBidi"/>
          <w:shd w:val="clear" w:color="auto" w:fill="FFFFFF"/>
          <w:lang w:eastAsia="lv-LV"/>
        </w:rPr>
        <w:t>zslēgšanas lēmuma atzīšanu par prettiesisku. Kasācijas sūdzībā norādīti turpmāk minētie argumenti.</w:t>
      </w:r>
    </w:p>
    <w:p w14:paraId="2141416A" w14:textId="227A93C8" w:rsidR="00DF684A" w:rsidRPr="0006004C" w:rsidRDefault="00BE1CE3" w:rsidP="0096531A">
      <w:pPr>
        <w:autoSpaceDE w:val="0"/>
        <w:autoSpaceDN w:val="0"/>
        <w:adjustRightInd w:val="0"/>
        <w:spacing w:line="276" w:lineRule="auto"/>
        <w:ind w:firstLine="720"/>
        <w:jc w:val="both"/>
        <w:rPr>
          <w:rFonts w:asciiTheme="majorBidi" w:hAnsiTheme="majorBidi" w:cstheme="majorBidi"/>
          <w:shd w:val="clear" w:color="auto" w:fill="FFFFFF"/>
          <w:lang w:eastAsia="lv-LV"/>
        </w:rPr>
      </w:pPr>
      <w:r w:rsidRPr="0006004C">
        <w:rPr>
          <w:rFonts w:asciiTheme="majorBidi" w:hAnsiTheme="majorBidi" w:cstheme="majorBidi"/>
          <w:shd w:val="clear" w:color="auto" w:fill="FFFFFF"/>
          <w:lang w:eastAsia="lv-LV"/>
        </w:rPr>
        <w:t>[5.1]</w:t>
      </w:r>
      <w:r w:rsidR="000F5FE4" w:rsidRPr="0006004C">
        <w:rPr>
          <w:rFonts w:asciiTheme="majorBidi" w:hAnsiTheme="majorBidi" w:cstheme="majorBidi"/>
          <w:shd w:val="clear" w:color="auto" w:fill="FFFFFF"/>
          <w:lang w:eastAsia="lv-LV"/>
        </w:rPr>
        <w:t> Nepamatoti nav piemērots Administratīvā procesa likuma 74.panta pirmās daļas 2.punkts. Apgabaltiesa nepamatoti secinājusi, ka biroja valde ir iestāde un biroja lēmējinstitūcija, tādēļ izslēgšanas lēmums ir spēkā neesošs.</w:t>
      </w:r>
      <w:r w:rsidR="00DF684A" w:rsidRPr="0006004C">
        <w:rPr>
          <w:rFonts w:asciiTheme="majorBidi" w:hAnsiTheme="majorBidi" w:cstheme="majorBidi"/>
          <w:shd w:val="clear" w:color="auto" w:fill="FFFFFF"/>
          <w:lang w:eastAsia="lv-LV"/>
        </w:rPr>
        <w:t xml:space="preserve"> Tas ir pretrunā pašas apgabaltiesas atzītajam, ka lēmumu par pieteicējas izslēgšanu no biroja bija tiesīga pieņem</w:t>
      </w:r>
      <w:r w:rsidR="002531C0" w:rsidRPr="0006004C">
        <w:rPr>
          <w:rFonts w:asciiTheme="majorBidi" w:hAnsiTheme="majorBidi" w:cstheme="majorBidi"/>
          <w:shd w:val="clear" w:color="auto" w:fill="FFFFFF"/>
          <w:lang w:eastAsia="lv-LV"/>
        </w:rPr>
        <w:t>t</w:t>
      </w:r>
      <w:r w:rsidR="00DF684A" w:rsidRPr="0006004C">
        <w:rPr>
          <w:rFonts w:asciiTheme="majorBidi" w:hAnsiTheme="majorBidi" w:cstheme="majorBidi"/>
          <w:shd w:val="clear" w:color="auto" w:fill="FFFFFF"/>
          <w:lang w:eastAsia="lv-LV"/>
        </w:rPr>
        <w:t xml:space="preserve"> </w:t>
      </w:r>
      <w:r w:rsidR="00DF684A" w:rsidRPr="0006004C">
        <w:rPr>
          <w:rFonts w:asciiTheme="majorBidi" w:hAnsiTheme="majorBidi" w:cstheme="majorBidi"/>
          <w:shd w:val="clear" w:color="auto" w:fill="FFFFFF"/>
          <w:lang w:eastAsia="lv-LV"/>
        </w:rPr>
        <w:lastRenderedPageBreak/>
        <w:t>biroja biedru kopsapulce. Kaut arī apgabaltiesa atzinusi, ka ir ticis pieļauts procesuāls pārkāpums, tā nav vērtējusi šāda pārkāpuma būtiskumu un to, vai šāds pārkāpums padara izslēgšanas lēmumu par spēkā neesošu.</w:t>
      </w:r>
      <w:r w:rsidR="00142EF9" w:rsidRPr="0006004C">
        <w:rPr>
          <w:rFonts w:asciiTheme="majorBidi" w:hAnsiTheme="majorBidi" w:cstheme="majorBidi"/>
          <w:shd w:val="clear" w:color="auto" w:fill="FFFFFF"/>
          <w:lang w:eastAsia="lv-LV"/>
        </w:rPr>
        <w:t xml:space="preserve"> Tas, ka izslēgšanas lēmumu ir pieņēmusi biroja valde, kam nav tiesību šādu lēmumu pieņemt, nozīmē, ka ir pieļauts būtisks procesuāls pārkāpums, kura dēļ izslēgšanas lēmums ir spēkā neesošs – lēmums ir pieņemts </w:t>
      </w:r>
      <w:r w:rsidR="00142EF9" w:rsidRPr="0006004C">
        <w:rPr>
          <w:rFonts w:asciiTheme="majorBidi" w:hAnsiTheme="majorBidi" w:cstheme="majorBidi"/>
          <w:i/>
          <w:iCs/>
          <w:shd w:val="clear" w:color="auto" w:fill="FFFFFF"/>
          <w:lang w:eastAsia="lv-LV"/>
        </w:rPr>
        <w:t>ultra vires</w:t>
      </w:r>
      <w:r w:rsidR="00142EF9" w:rsidRPr="0006004C">
        <w:rPr>
          <w:rFonts w:asciiTheme="majorBidi" w:hAnsiTheme="majorBidi" w:cstheme="majorBidi"/>
          <w:shd w:val="clear" w:color="auto" w:fill="FFFFFF"/>
          <w:lang w:eastAsia="lv-LV"/>
        </w:rPr>
        <w:t>.</w:t>
      </w:r>
    </w:p>
    <w:p w14:paraId="3A7C9BC3" w14:textId="4F7EF0E6" w:rsidR="00BE1CE3" w:rsidRPr="0006004C" w:rsidRDefault="00DF684A" w:rsidP="0096531A">
      <w:pPr>
        <w:autoSpaceDE w:val="0"/>
        <w:autoSpaceDN w:val="0"/>
        <w:adjustRightInd w:val="0"/>
        <w:spacing w:line="276" w:lineRule="auto"/>
        <w:ind w:firstLine="720"/>
        <w:jc w:val="both"/>
        <w:rPr>
          <w:rFonts w:asciiTheme="majorBidi" w:hAnsiTheme="majorBidi" w:cstheme="majorBidi"/>
          <w:shd w:val="clear" w:color="auto" w:fill="FFFFFF"/>
          <w:lang w:eastAsia="lv-LV"/>
        </w:rPr>
      </w:pPr>
      <w:r w:rsidRPr="0006004C">
        <w:rPr>
          <w:rFonts w:asciiTheme="majorBidi" w:hAnsiTheme="majorBidi" w:cstheme="majorBidi"/>
          <w:shd w:val="clear" w:color="auto" w:fill="FFFFFF"/>
          <w:lang w:eastAsia="lv-LV"/>
        </w:rPr>
        <w:t>[5.2] </w:t>
      </w:r>
      <w:r w:rsidR="001F5B8A" w:rsidRPr="0006004C">
        <w:rPr>
          <w:rFonts w:asciiTheme="majorBidi" w:hAnsiTheme="majorBidi" w:cstheme="majorBidi"/>
          <w:shd w:val="clear" w:color="auto" w:fill="FFFFFF"/>
          <w:lang w:eastAsia="lv-LV"/>
        </w:rPr>
        <w:t xml:space="preserve">Nepareizi piemērots Apdrošināšanas likuma 46.panta otrās daļas 3.punkts kopsakarā ar šā likuma 17.pantu. Apgabaltiesa nav ņēmusi vērā, ka atbilstoši minētajām tiesību normām apdrošinātāju izslēgt no biedru </w:t>
      </w:r>
      <w:r w:rsidR="00883F24" w:rsidRPr="0006004C">
        <w:rPr>
          <w:rFonts w:asciiTheme="majorBidi" w:hAnsiTheme="majorBidi" w:cstheme="majorBidi"/>
          <w:shd w:val="clear" w:color="auto" w:fill="FFFFFF"/>
          <w:lang w:eastAsia="lv-LV"/>
        </w:rPr>
        <w:t>skaita</w:t>
      </w:r>
      <w:r w:rsidR="001F5B8A" w:rsidRPr="0006004C">
        <w:rPr>
          <w:rFonts w:asciiTheme="majorBidi" w:hAnsiTheme="majorBidi" w:cstheme="majorBidi"/>
          <w:shd w:val="clear" w:color="auto" w:fill="FFFFFF"/>
          <w:lang w:eastAsia="lv-LV"/>
        </w:rPr>
        <w:t xml:space="preserve"> var tikai par atkārtotu pienākumu nepildīšanu.</w:t>
      </w:r>
      <w:r w:rsidR="00142EF9" w:rsidRPr="0006004C">
        <w:rPr>
          <w:rFonts w:asciiTheme="majorBidi" w:hAnsiTheme="majorBidi" w:cstheme="majorBidi"/>
          <w:shd w:val="clear" w:color="auto" w:fill="FFFFFF"/>
          <w:lang w:eastAsia="lv-LV"/>
        </w:rPr>
        <w:t xml:space="preserve"> </w:t>
      </w:r>
      <w:r w:rsidR="00027BE8" w:rsidRPr="0006004C">
        <w:rPr>
          <w:rFonts w:asciiTheme="majorBidi" w:hAnsiTheme="majorBidi" w:cstheme="majorBidi"/>
          <w:shd w:val="clear" w:color="auto" w:fill="FFFFFF"/>
          <w:lang w:eastAsia="lv-LV"/>
        </w:rPr>
        <w:t>Apgabaltiesa nav konstatējusi, ka pieteicēja atkārtoti nepildīja pienākumu veik</w:t>
      </w:r>
      <w:r w:rsidR="00695803" w:rsidRPr="0006004C">
        <w:rPr>
          <w:rFonts w:asciiTheme="majorBidi" w:hAnsiTheme="majorBidi" w:cstheme="majorBidi"/>
          <w:shd w:val="clear" w:color="auto" w:fill="FFFFFF"/>
          <w:lang w:eastAsia="lv-LV"/>
        </w:rPr>
        <w:t>t</w:t>
      </w:r>
      <w:r w:rsidR="00027BE8" w:rsidRPr="0006004C">
        <w:rPr>
          <w:rFonts w:asciiTheme="majorBidi" w:hAnsiTheme="majorBidi" w:cstheme="majorBidi"/>
          <w:shd w:val="clear" w:color="auto" w:fill="FFFFFF"/>
          <w:lang w:eastAsia="lv-LV"/>
        </w:rPr>
        <w:t xml:space="preserve"> iemaksas garantijas fondā.</w:t>
      </w:r>
    </w:p>
    <w:p w14:paraId="5CB1635F" w14:textId="5384177B" w:rsidR="00A00B0F" w:rsidRPr="0006004C" w:rsidRDefault="00027BE8" w:rsidP="0096531A">
      <w:pPr>
        <w:autoSpaceDE w:val="0"/>
        <w:autoSpaceDN w:val="0"/>
        <w:adjustRightInd w:val="0"/>
        <w:spacing w:line="276" w:lineRule="auto"/>
        <w:ind w:firstLine="720"/>
        <w:jc w:val="both"/>
        <w:rPr>
          <w:rFonts w:asciiTheme="majorBidi" w:hAnsiTheme="majorBidi" w:cstheme="majorBidi"/>
          <w:shd w:val="clear" w:color="auto" w:fill="FFFFFF"/>
          <w:lang w:eastAsia="lv-LV"/>
        </w:rPr>
      </w:pPr>
      <w:r w:rsidRPr="0006004C">
        <w:rPr>
          <w:rFonts w:asciiTheme="majorBidi" w:hAnsiTheme="majorBidi" w:cstheme="majorBidi"/>
          <w:shd w:val="clear" w:color="auto" w:fill="FFFFFF"/>
          <w:lang w:eastAsia="lv-LV"/>
        </w:rPr>
        <w:t>[5.3] </w:t>
      </w:r>
      <w:r w:rsidR="00695803" w:rsidRPr="0006004C">
        <w:rPr>
          <w:rFonts w:asciiTheme="majorBidi" w:hAnsiTheme="majorBidi" w:cstheme="majorBidi"/>
          <w:shd w:val="clear" w:color="auto" w:fill="FFFFFF"/>
          <w:lang w:eastAsia="lv-LV"/>
        </w:rPr>
        <w:t>Apgabaltiesa pārkāpusi Administratīvā procesa likuma 250.panta otro daļu</w:t>
      </w:r>
      <w:r w:rsidR="009865F1" w:rsidRPr="0006004C">
        <w:rPr>
          <w:rFonts w:asciiTheme="majorBidi" w:hAnsiTheme="majorBidi" w:cstheme="majorBidi"/>
          <w:shd w:val="clear" w:color="auto" w:fill="FFFFFF"/>
          <w:lang w:eastAsia="lv-LV"/>
        </w:rPr>
        <w:t>,</w:t>
      </w:r>
      <w:r w:rsidR="00145C29" w:rsidRPr="0006004C">
        <w:rPr>
          <w:rFonts w:asciiTheme="majorBidi" w:hAnsiTheme="majorBidi" w:cstheme="majorBidi"/>
          <w:shd w:val="clear" w:color="auto" w:fill="FFFFFF"/>
          <w:lang w:eastAsia="lv-LV"/>
        </w:rPr>
        <w:t xml:space="preserve"> </w:t>
      </w:r>
      <w:r w:rsidR="00695803" w:rsidRPr="0006004C">
        <w:rPr>
          <w:rFonts w:asciiTheme="majorBidi" w:hAnsiTheme="majorBidi" w:cstheme="majorBidi"/>
          <w:shd w:val="clear" w:color="auto" w:fill="FFFFFF"/>
          <w:lang w:eastAsia="lv-LV"/>
        </w:rPr>
        <w:t>247.panta pirmo daļu</w:t>
      </w:r>
      <w:r w:rsidR="00A00B0F" w:rsidRPr="0006004C">
        <w:rPr>
          <w:rFonts w:asciiTheme="majorBidi" w:hAnsiTheme="majorBidi" w:cstheme="majorBidi"/>
          <w:shd w:val="clear" w:color="auto" w:fill="FFFFFF"/>
          <w:lang w:eastAsia="lv-LV"/>
        </w:rPr>
        <w:t xml:space="preserve"> un 65.panta otro daļu</w:t>
      </w:r>
      <w:r w:rsidR="00695803" w:rsidRPr="0006004C">
        <w:rPr>
          <w:rFonts w:asciiTheme="majorBidi" w:hAnsiTheme="majorBidi" w:cstheme="majorBidi"/>
          <w:shd w:val="clear" w:color="auto" w:fill="FFFFFF"/>
          <w:lang w:eastAsia="lv-LV"/>
        </w:rPr>
        <w:t xml:space="preserve">. </w:t>
      </w:r>
    </w:p>
    <w:p w14:paraId="705E4B28" w14:textId="73863E77" w:rsidR="00695803" w:rsidRPr="0006004C" w:rsidRDefault="00695803" w:rsidP="0096531A">
      <w:pPr>
        <w:autoSpaceDE w:val="0"/>
        <w:autoSpaceDN w:val="0"/>
        <w:adjustRightInd w:val="0"/>
        <w:spacing w:line="276" w:lineRule="auto"/>
        <w:ind w:firstLine="720"/>
        <w:jc w:val="both"/>
        <w:rPr>
          <w:rFonts w:asciiTheme="majorBidi" w:hAnsiTheme="majorBidi" w:cstheme="majorBidi"/>
          <w:shd w:val="clear" w:color="auto" w:fill="FFFFFF"/>
          <w:lang w:eastAsia="lv-LV"/>
        </w:rPr>
      </w:pPr>
    </w:p>
    <w:p w14:paraId="549627BE" w14:textId="46E1E16D" w:rsidR="00985D63" w:rsidRPr="0006004C" w:rsidRDefault="00B507EA" w:rsidP="0096531A">
      <w:pPr>
        <w:autoSpaceDE w:val="0"/>
        <w:autoSpaceDN w:val="0"/>
        <w:adjustRightInd w:val="0"/>
        <w:spacing w:line="276" w:lineRule="auto"/>
        <w:ind w:firstLine="720"/>
        <w:jc w:val="both"/>
        <w:rPr>
          <w:rFonts w:asciiTheme="majorBidi" w:hAnsiTheme="majorBidi" w:cstheme="majorBidi"/>
          <w:shd w:val="clear" w:color="auto" w:fill="FFFFFF"/>
          <w:lang w:eastAsia="lv-LV"/>
        </w:rPr>
      </w:pPr>
      <w:r w:rsidRPr="0006004C">
        <w:rPr>
          <w:rFonts w:asciiTheme="majorBidi" w:hAnsiTheme="majorBidi" w:cstheme="majorBidi"/>
          <w:shd w:val="clear" w:color="auto" w:fill="FFFFFF"/>
          <w:lang w:eastAsia="lv-LV"/>
        </w:rPr>
        <w:t>[6] Paskaidrojumā par kasācijas sūdzību birojs norādījis, ka kasācijas sūdzība nav pamatota</w:t>
      </w:r>
      <w:r w:rsidR="002C069A" w:rsidRPr="0006004C">
        <w:rPr>
          <w:rFonts w:asciiTheme="majorBidi" w:hAnsiTheme="majorBidi" w:cstheme="majorBidi"/>
          <w:shd w:val="clear" w:color="auto" w:fill="FFFFFF"/>
          <w:lang w:eastAsia="lv-LV"/>
        </w:rPr>
        <w:t>.</w:t>
      </w:r>
    </w:p>
    <w:p w14:paraId="293198EC" w14:textId="77777777" w:rsidR="00B507EA" w:rsidRPr="0006004C" w:rsidRDefault="00B507EA" w:rsidP="0096531A">
      <w:pPr>
        <w:autoSpaceDE w:val="0"/>
        <w:autoSpaceDN w:val="0"/>
        <w:adjustRightInd w:val="0"/>
        <w:spacing w:line="276" w:lineRule="auto"/>
        <w:ind w:firstLine="720"/>
        <w:jc w:val="both"/>
        <w:rPr>
          <w:rFonts w:asciiTheme="majorBidi" w:hAnsiTheme="majorBidi" w:cstheme="majorBidi"/>
          <w:bCs/>
        </w:rPr>
      </w:pPr>
    </w:p>
    <w:p w14:paraId="3117F8F9" w14:textId="49510F32" w:rsidR="00CE3649" w:rsidRPr="0006004C" w:rsidRDefault="00B25C45" w:rsidP="0096531A">
      <w:pPr>
        <w:autoSpaceDE w:val="0"/>
        <w:autoSpaceDN w:val="0"/>
        <w:adjustRightInd w:val="0"/>
        <w:spacing w:line="276" w:lineRule="auto"/>
        <w:ind w:firstLine="720"/>
        <w:jc w:val="both"/>
        <w:rPr>
          <w:rFonts w:asciiTheme="majorBidi" w:hAnsiTheme="majorBidi" w:cstheme="majorBidi"/>
          <w:bCs/>
        </w:rPr>
      </w:pPr>
      <w:r w:rsidRPr="0006004C">
        <w:rPr>
          <w:rFonts w:asciiTheme="majorBidi" w:hAnsiTheme="majorBidi" w:cstheme="majorBidi"/>
          <w:bCs/>
        </w:rPr>
        <w:t>[</w:t>
      </w:r>
      <w:r w:rsidR="00B507EA" w:rsidRPr="0006004C">
        <w:rPr>
          <w:rFonts w:asciiTheme="majorBidi" w:hAnsiTheme="majorBidi" w:cstheme="majorBidi"/>
          <w:bCs/>
        </w:rPr>
        <w:t>7</w:t>
      </w:r>
      <w:r w:rsidRPr="0006004C">
        <w:rPr>
          <w:rFonts w:asciiTheme="majorBidi" w:hAnsiTheme="majorBidi" w:cstheme="majorBidi"/>
          <w:bCs/>
        </w:rPr>
        <w:t>] </w:t>
      </w:r>
      <w:r w:rsidR="00735176" w:rsidRPr="0006004C">
        <w:rPr>
          <w:rFonts w:asciiTheme="majorBidi" w:hAnsiTheme="majorBidi" w:cstheme="majorBidi"/>
          <w:bCs/>
        </w:rPr>
        <w:t xml:space="preserve">Birojs, atbildot uz Senāta aicinājumu paust viedokli par to, vai pieteikums daļā par izslēgšanas lēmuma atzīšanu par prettiesisku ir izskatāms </w:t>
      </w:r>
      <w:r w:rsidR="002531C0" w:rsidRPr="0006004C">
        <w:rPr>
          <w:rFonts w:asciiTheme="majorBidi" w:hAnsiTheme="majorBidi" w:cstheme="majorBidi"/>
          <w:bCs/>
        </w:rPr>
        <w:t xml:space="preserve">administratīvā </w:t>
      </w:r>
      <w:r w:rsidR="00735176" w:rsidRPr="0006004C">
        <w:rPr>
          <w:rFonts w:asciiTheme="majorBidi" w:hAnsiTheme="majorBidi" w:cstheme="majorBidi"/>
          <w:bCs/>
        </w:rPr>
        <w:t>procesa kārtībā, norādījis, ka izslēgšanas lēmums nav administratīv</w:t>
      </w:r>
      <w:r w:rsidR="002531C0" w:rsidRPr="0006004C">
        <w:rPr>
          <w:rFonts w:asciiTheme="majorBidi" w:hAnsiTheme="majorBidi" w:cstheme="majorBidi"/>
          <w:bCs/>
        </w:rPr>
        <w:t>ai</w:t>
      </w:r>
      <w:r w:rsidR="00735176" w:rsidRPr="0006004C">
        <w:rPr>
          <w:rFonts w:asciiTheme="majorBidi" w:hAnsiTheme="majorBidi" w:cstheme="majorBidi"/>
          <w:bCs/>
        </w:rPr>
        <w:t>s akts. Tādēļ tiesvedība lietā būtu izbeidzama, pamatojoties uz Administratīvā procesa likuma 282.panta 1.punktu.</w:t>
      </w:r>
    </w:p>
    <w:p w14:paraId="011A323A" w14:textId="306875D5" w:rsidR="00284D51" w:rsidRPr="0006004C" w:rsidRDefault="00284D51" w:rsidP="0096531A">
      <w:pPr>
        <w:autoSpaceDE w:val="0"/>
        <w:autoSpaceDN w:val="0"/>
        <w:adjustRightInd w:val="0"/>
        <w:spacing w:line="276" w:lineRule="auto"/>
        <w:ind w:firstLine="720"/>
        <w:jc w:val="both"/>
        <w:rPr>
          <w:rFonts w:asciiTheme="majorBidi" w:hAnsiTheme="majorBidi" w:cstheme="majorBidi"/>
          <w:bCs/>
        </w:rPr>
      </w:pPr>
      <w:r w:rsidRPr="0006004C">
        <w:rPr>
          <w:rFonts w:asciiTheme="majorBidi" w:hAnsiTheme="majorBidi" w:cstheme="majorBidi"/>
          <w:bCs/>
        </w:rPr>
        <w:t>Finanšu ministrija paudusi viedokli, ka tiesvedība lietā i</w:t>
      </w:r>
      <w:r w:rsidR="00883F24" w:rsidRPr="0006004C">
        <w:rPr>
          <w:rFonts w:asciiTheme="majorBidi" w:hAnsiTheme="majorBidi" w:cstheme="majorBidi"/>
          <w:bCs/>
        </w:rPr>
        <w:t>r</w:t>
      </w:r>
      <w:r w:rsidRPr="0006004C">
        <w:rPr>
          <w:rFonts w:asciiTheme="majorBidi" w:hAnsiTheme="majorBidi" w:cstheme="majorBidi"/>
          <w:bCs/>
        </w:rPr>
        <w:t xml:space="preserve"> izbeidzama.</w:t>
      </w:r>
    </w:p>
    <w:p w14:paraId="4FDC27C6" w14:textId="27AE1687" w:rsidR="00284D51" w:rsidRPr="0006004C" w:rsidRDefault="00284D51" w:rsidP="0096531A">
      <w:pPr>
        <w:autoSpaceDE w:val="0"/>
        <w:autoSpaceDN w:val="0"/>
        <w:adjustRightInd w:val="0"/>
        <w:spacing w:line="276" w:lineRule="auto"/>
        <w:ind w:firstLine="720"/>
        <w:jc w:val="both"/>
        <w:rPr>
          <w:rFonts w:asciiTheme="majorBidi" w:hAnsiTheme="majorBidi" w:cstheme="majorBidi"/>
          <w:bCs/>
        </w:rPr>
      </w:pPr>
      <w:r w:rsidRPr="0006004C">
        <w:rPr>
          <w:rFonts w:asciiTheme="majorBidi" w:hAnsiTheme="majorBidi" w:cstheme="majorBidi"/>
          <w:bCs/>
        </w:rPr>
        <w:t>Pieteicēja paudusi viedokli, ka izslēgšanas lēmums ir administratīva</w:t>
      </w:r>
      <w:r w:rsidR="00883F24" w:rsidRPr="0006004C">
        <w:rPr>
          <w:rFonts w:asciiTheme="majorBidi" w:hAnsiTheme="majorBidi" w:cstheme="majorBidi"/>
          <w:bCs/>
        </w:rPr>
        <w:t>is</w:t>
      </w:r>
      <w:r w:rsidRPr="0006004C">
        <w:rPr>
          <w:rFonts w:asciiTheme="majorBidi" w:hAnsiTheme="majorBidi" w:cstheme="majorBidi"/>
          <w:bCs/>
        </w:rPr>
        <w:t xml:space="preserve"> akt</w:t>
      </w:r>
      <w:r w:rsidR="00883F24" w:rsidRPr="0006004C">
        <w:rPr>
          <w:rFonts w:asciiTheme="majorBidi" w:hAnsiTheme="majorBidi" w:cstheme="majorBidi"/>
          <w:bCs/>
        </w:rPr>
        <w:t>s</w:t>
      </w:r>
      <w:r w:rsidRPr="0006004C">
        <w:rPr>
          <w:rFonts w:asciiTheme="majorBidi" w:hAnsiTheme="majorBidi" w:cstheme="majorBidi"/>
          <w:bCs/>
        </w:rPr>
        <w:t>, tādēļ lietas iz</w:t>
      </w:r>
      <w:r w:rsidR="00883F24" w:rsidRPr="0006004C">
        <w:rPr>
          <w:rFonts w:asciiTheme="majorBidi" w:hAnsiTheme="majorBidi" w:cstheme="majorBidi"/>
          <w:bCs/>
        </w:rPr>
        <w:t>b</w:t>
      </w:r>
      <w:r w:rsidRPr="0006004C">
        <w:rPr>
          <w:rFonts w:asciiTheme="majorBidi" w:hAnsiTheme="majorBidi" w:cstheme="majorBidi"/>
          <w:bCs/>
        </w:rPr>
        <w:t>ei</w:t>
      </w:r>
      <w:r w:rsidR="004818EF" w:rsidRPr="0006004C">
        <w:rPr>
          <w:rFonts w:asciiTheme="majorBidi" w:hAnsiTheme="majorBidi" w:cstheme="majorBidi"/>
          <w:bCs/>
        </w:rPr>
        <w:t>g</w:t>
      </w:r>
      <w:r w:rsidRPr="0006004C">
        <w:rPr>
          <w:rFonts w:asciiTheme="majorBidi" w:hAnsiTheme="majorBidi" w:cstheme="majorBidi"/>
          <w:bCs/>
        </w:rPr>
        <w:t>šanai nav pamata.</w:t>
      </w:r>
    </w:p>
    <w:p w14:paraId="41F85008" w14:textId="77777777" w:rsidR="00B25C45" w:rsidRPr="0006004C" w:rsidRDefault="00B25C45" w:rsidP="0096531A">
      <w:pPr>
        <w:autoSpaceDE w:val="0"/>
        <w:autoSpaceDN w:val="0"/>
        <w:adjustRightInd w:val="0"/>
        <w:spacing w:line="276" w:lineRule="auto"/>
        <w:ind w:firstLine="720"/>
        <w:jc w:val="both"/>
        <w:rPr>
          <w:rFonts w:asciiTheme="majorBidi" w:hAnsiTheme="majorBidi" w:cstheme="majorBidi"/>
          <w:bCs/>
        </w:rPr>
      </w:pPr>
    </w:p>
    <w:p w14:paraId="4AFCA15D" w14:textId="77777777" w:rsidR="003C6F61" w:rsidRPr="0006004C" w:rsidRDefault="003C6F61" w:rsidP="0096531A">
      <w:pPr>
        <w:shd w:val="clear" w:color="auto" w:fill="FFFFFF"/>
        <w:spacing w:line="276" w:lineRule="auto"/>
        <w:jc w:val="center"/>
        <w:rPr>
          <w:rFonts w:asciiTheme="majorBidi" w:hAnsiTheme="majorBidi" w:cstheme="majorBidi"/>
          <w:b/>
        </w:rPr>
      </w:pPr>
      <w:r w:rsidRPr="0006004C">
        <w:rPr>
          <w:rFonts w:asciiTheme="majorBidi" w:hAnsiTheme="majorBidi" w:cstheme="majorBidi"/>
          <w:b/>
        </w:rPr>
        <w:t>Motīvu daļa</w:t>
      </w:r>
    </w:p>
    <w:p w14:paraId="53F714E6" w14:textId="77777777" w:rsidR="00F0648C" w:rsidRPr="0006004C" w:rsidRDefault="00F0648C" w:rsidP="0096531A">
      <w:pPr>
        <w:shd w:val="clear" w:color="auto" w:fill="FFFFFF"/>
        <w:spacing w:line="276" w:lineRule="auto"/>
        <w:jc w:val="center"/>
        <w:rPr>
          <w:rFonts w:asciiTheme="majorBidi" w:hAnsiTheme="majorBidi" w:cstheme="majorBidi"/>
          <w:bCs/>
        </w:rPr>
      </w:pPr>
    </w:p>
    <w:p w14:paraId="6000F851" w14:textId="5282DF6C" w:rsidR="00B41D2F" w:rsidRPr="0006004C" w:rsidRDefault="00852903" w:rsidP="0096531A">
      <w:pPr>
        <w:spacing w:line="276" w:lineRule="auto"/>
        <w:ind w:firstLine="720"/>
        <w:jc w:val="both"/>
        <w:rPr>
          <w:rFonts w:asciiTheme="majorBidi" w:hAnsiTheme="majorBidi" w:cstheme="majorBidi"/>
        </w:rPr>
      </w:pPr>
      <w:r w:rsidRPr="0006004C">
        <w:rPr>
          <w:rFonts w:asciiTheme="majorBidi" w:hAnsiTheme="majorBidi" w:cstheme="majorBidi"/>
        </w:rPr>
        <w:t>[</w:t>
      </w:r>
      <w:r w:rsidR="00735176" w:rsidRPr="0006004C">
        <w:rPr>
          <w:rFonts w:asciiTheme="majorBidi" w:hAnsiTheme="majorBidi" w:cstheme="majorBidi"/>
        </w:rPr>
        <w:t>8</w:t>
      </w:r>
      <w:r w:rsidRPr="0006004C">
        <w:rPr>
          <w:rFonts w:asciiTheme="majorBidi" w:hAnsiTheme="majorBidi" w:cstheme="majorBidi"/>
        </w:rPr>
        <w:t>] </w:t>
      </w:r>
      <w:r w:rsidR="0078609D" w:rsidRPr="0006004C">
        <w:rPr>
          <w:rFonts w:asciiTheme="majorBidi" w:hAnsiTheme="majorBidi" w:cstheme="majorBidi"/>
        </w:rPr>
        <w:t>Atbilstoši Administratīvā procesa likuma 184.panta pirmajai un otrajai daļai pieteikumu administratīvajā tiesā var iesniegt citastarp par administratīvā akta atcelšanu un administratīvā akta atzīšanu par prettiesisku. Pieteicēja ir vērsusies tiesā ar pieteikumu par izslēgšanas lēmuma atcelšanu (vēlāk pieteikuma priekšmets grozīts uz izslēgšanas lēmuma atzīšanu par prettiesisku), uzskatot, ka šis lēmums ir administratīv</w:t>
      </w:r>
      <w:r w:rsidR="002531C0" w:rsidRPr="0006004C">
        <w:rPr>
          <w:rFonts w:asciiTheme="majorBidi" w:hAnsiTheme="majorBidi" w:cstheme="majorBidi"/>
        </w:rPr>
        <w:t>ai</w:t>
      </w:r>
      <w:r w:rsidR="0078609D" w:rsidRPr="0006004C">
        <w:rPr>
          <w:rFonts w:asciiTheme="majorBidi" w:hAnsiTheme="majorBidi" w:cstheme="majorBidi"/>
        </w:rPr>
        <w:t>s akts</w:t>
      </w:r>
      <w:r w:rsidR="00B5080D" w:rsidRPr="0006004C">
        <w:rPr>
          <w:rFonts w:asciiTheme="majorBidi" w:hAnsiTheme="majorBidi" w:cstheme="majorBidi"/>
        </w:rPr>
        <w:t>.</w:t>
      </w:r>
      <w:r w:rsidR="0078609D" w:rsidRPr="0006004C">
        <w:rPr>
          <w:rFonts w:asciiTheme="majorBidi" w:hAnsiTheme="majorBidi" w:cstheme="majorBidi"/>
        </w:rPr>
        <w:t xml:space="preserve"> Tomēr pārējie lietas dalībnieki paskaidrojumos lietā pauduši argumentus, ka izslēgšanas lēmums nav patstāvīgs administratīv</w:t>
      </w:r>
      <w:r w:rsidR="002531C0" w:rsidRPr="0006004C">
        <w:rPr>
          <w:rFonts w:asciiTheme="majorBidi" w:hAnsiTheme="majorBidi" w:cstheme="majorBidi"/>
        </w:rPr>
        <w:t>ai</w:t>
      </w:r>
      <w:r w:rsidR="0078609D" w:rsidRPr="0006004C">
        <w:rPr>
          <w:rFonts w:asciiTheme="majorBidi" w:hAnsiTheme="majorBidi" w:cstheme="majorBidi"/>
        </w:rPr>
        <w:t xml:space="preserve">s akts. Tādējādi </w:t>
      </w:r>
      <w:r w:rsidR="00B41D2F" w:rsidRPr="0006004C">
        <w:rPr>
          <w:rFonts w:asciiTheme="majorBidi" w:hAnsiTheme="majorBidi" w:cstheme="majorBidi"/>
        </w:rPr>
        <w:t xml:space="preserve">Senātam visupirms jānoskaidro, kāda ir izslēgšanas lēmuma tiesiskā daba, lai secinātu, vai lieta ir izskatāma </w:t>
      </w:r>
      <w:r w:rsidR="002531C0" w:rsidRPr="0006004C">
        <w:rPr>
          <w:rFonts w:asciiTheme="majorBidi" w:hAnsiTheme="majorBidi" w:cstheme="majorBidi"/>
        </w:rPr>
        <w:t xml:space="preserve">administratīvā </w:t>
      </w:r>
      <w:r w:rsidR="00B41D2F" w:rsidRPr="0006004C">
        <w:rPr>
          <w:rFonts w:asciiTheme="majorBidi" w:hAnsiTheme="majorBidi" w:cstheme="majorBidi"/>
        </w:rPr>
        <w:t xml:space="preserve">procesa kārtībā. </w:t>
      </w:r>
    </w:p>
    <w:p w14:paraId="35437B0E" w14:textId="77777777" w:rsidR="00B41D2F" w:rsidRPr="0006004C" w:rsidRDefault="00B41D2F" w:rsidP="0096531A">
      <w:pPr>
        <w:spacing w:line="276" w:lineRule="auto"/>
        <w:ind w:firstLine="720"/>
        <w:jc w:val="both"/>
        <w:rPr>
          <w:rFonts w:asciiTheme="majorBidi" w:hAnsiTheme="majorBidi" w:cstheme="majorBidi"/>
        </w:rPr>
      </w:pPr>
    </w:p>
    <w:p w14:paraId="45528926" w14:textId="1E575102" w:rsidR="00883F24" w:rsidRPr="0006004C" w:rsidRDefault="00B41D2F" w:rsidP="0096531A">
      <w:pPr>
        <w:spacing w:line="276" w:lineRule="auto"/>
        <w:ind w:firstLine="720"/>
        <w:jc w:val="both"/>
        <w:rPr>
          <w:rFonts w:asciiTheme="majorBidi" w:hAnsiTheme="majorBidi" w:cstheme="majorBidi"/>
        </w:rPr>
      </w:pPr>
      <w:r w:rsidRPr="0006004C">
        <w:rPr>
          <w:rFonts w:asciiTheme="majorBidi" w:hAnsiTheme="majorBidi" w:cstheme="majorBidi"/>
        </w:rPr>
        <w:t>[9] </w:t>
      </w:r>
      <w:r w:rsidR="00883F24" w:rsidRPr="0006004C">
        <w:rPr>
          <w:rFonts w:asciiTheme="majorBidi" w:hAnsiTheme="majorBidi" w:cstheme="majorBidi"/>
        </w:rPr>
        <w:t xml:space="preserve">Pieteicēja viedoklī par tiesvedības izbeigšanu norādījusi, ka Senāts </w:t>
      </w:r>
      <w:r w:rsidR="003A656B" w:rsidRPr="0006004C">
        <w:rPr>
          <w:rFonts w:asciiTheme="majorBidi" w:hAnsiTheme="majorBidi" w:cstheme="majorBidi"/>
        </w:rPr>
        <w:t>2022.gada</w:t>
      </w:r>
      <w:r w:rsidR="002C0EFF" w:rsidRPr="0006004C">
        <w:rPr>
          <w:rFonts w:asciiTheme="majorBidi" w:hAnsiTheme="majorBidi" w:cstheme="majorBidi"/>
        </w:rPr>
        <w:t xml:space="preserve"> </w:t>
      </w:r>
      <w:r w:rsidR="003A656B" w:rsidRPr="0006004C">
        <w:rPr>
          <w:rFonts w:asciiTheme="majorBidi" w:hAnsiTheme="majorBidi" w:cstheme="majorBidi"/>
        </w:rPr>
        <w:t xml:space="preserve">1.februāra </w:t>
      </w:r>
      <w:r w:rsidR="00883F24" w:rsidRPr="0006004C">
        <w:rPr>
          <w:rFonts w:asciiTheme="majorBidi" w:hAnsiTheme="majorBidi" w:cstheme="majorBidi"/>
        </w:rPr>
        <w:t>lēmumā</w:t>
      </w:r>
      <w:r w:rsidR="0078609D" w:rsidRPr="0006004C">
        <w:rPr>
          <w:rFonts w:asciiTheme="majorBidi" w:hAnsiTheme="majorBidi" w:cstheme="majorBidi"/>
        </w:rPr>
        <w:t xml:space="preserve"> </w:t>
      </w:r>
      <w:r w:rsidR="003A656B" w:rsidRPr="0006004C">
        <w:rPr>
          <w:rFonts w:asciiTheme="majorBidi" w:hAnsiTheme="majorBidi" w:cstheme="majorBidi"/>
        </w:rPr>
        <w:t>lietā Nr. SKA-564</w:t>
      </w:r>
      <w:r w:rsidR="00055E85" w:rsidRPr="0006004C">
        <w:rPr>
          <w:rFonts w:asciiTheme="majorBidi" w:hAnsiTheme="majorBidi" w:cstheme="majorBidi"/>
        </w:rPr>
        <w:t>/2022</w:t>
      </w:r>
      <w:r w:rsidR="003A656B" w:rsidRPr="0006004C">
        <w:rPr>
          <w:rFonts w:asciiTheme="majorBidi" w:hAnsiTheme="majorBidi" w:cstheme="majorBidi"/>
        </w:rPr>
        <w:t xml:space="preserve">, </w:t>
      </w:r>
      <w:hyperlink r:id="rId8" w:history="1">
        <w:r w:rsidR="003A656B" w:rsidRPr="0006004C">
          <w:rPr>
            <w:rStyle w:val="Hyperlink"/>
            <w:rFonts w:asciiTheme="majorBidi" w:hAnsiTheme="majorBidi" w:cstheme="majorBidi"/>
          </w:rPr>
          <w:t>ECLI:LV:AT:2022:0201.SKA056422.3.L</w:t>
        </w:r>
      </w:hyperlink>
      <w:r w:rsidR="003A656B" w:rsidRPr="0006004C">
        <w:rPr>
          <w:rFonts w:asciiTheme="majorBidi" w:hAnsiTheme="majorBidi" w:cstheme="majorBidi"/>
        </w:rPr>
        <w:t xml:space="preserve"> </w:t>
      </w:r>
      <w:r w:rsidR="0078609D" w:rsidRPr="0006004C">
        <w:rPr>
          <w:rFonts w:asciiTheme="majorBidi" w:hAnsiTheme="majorBidi" w:cstheme="majorBidi"/>
        </w:rPr>
        <w:t>(turpmāk –</w:t>
      </w:r>
      <w:r w:rsidR="003A656B" w:rsidRPr="0006004C">
        <w:rPr>
          <w:rFonts w:asciiTheme="majorBidi" w:hAnsiTheme="majorBidi" w:cstheme="majorBidi"/>
        </w:rPr>
        <w:t xml:space="preserve"> 1.februāra </w:t>
      </w:r>
      <w:r w:rsidR="0078609D" w:rsidRPr="0006004C">
        <w:rPr>
          <w:rFonts w:asciiTheme="majorBidi" w:hAnsiTheme="majorBidi" w:cstheme="majorBidi"/>
        </w:rPr>
        <w:t>lēmums)</w:t>
      </w:r>
      <w:r w:rsidR="003A656B" w:rsidRPr="0006004C">
        <w:rPr>
          <w:rFonts w:asciiTheme="majorBidi" w:hAnsiTheme="majorBidi" w:cstheme="majorBidi"/>
        </w:rPr>
        <w:t xml:space="preserve">, kā arī 2022.gada 27.oktobra lēmumā lietā </w:t>
      </w:r>
      <w:r w:rsidR="002C0EFF" w:rsidRPr="0006004C">
        <w:rPr>
          <w:rFonts w:asciiTheme="majorBidi" w:hAnsiTheme="majorBidi" w:cstheme="majorBidi"/>
        </w:rPr>
        <w:br/>
      </w:r>
      <w:r w:rsidR="003A656B" w:rsidRPr="0006004C">
        <w:rPr>
          <w:rFonts w:asciiTheme="majorBidi" w:hAnsiTheme="majorBidi" w:cstheme="majorBidi"/>
        </w:rPr>
        <w:t>Nr. SKA-1032</w:t>
      </w:r>
      <w:r w:rsidR="002C069A" w:rsidRPr="0006004C">
        <w:rPr>
          <w:rFonts w:asciiTheme="majorBidi" w:hAnsiTheme="majorBidi" w:cstheme="majorBidi"/>
        </w:rPr>
        <w:t>/2022</w:t>
      </w:r>
      <w:r w:rsidR="003A656B" w:rsidRPr="0006004C">
        <w:rPr>
          <w:rFonts w:asciiTheme="majorBidi" w:hAnsiTheme="majorBidi" w:cstheme="majorBidi"/>
        </w:rPr>
        <w:t xml:space="preserve">, </w:t>
      </w:r>
      <w:hyperlink r:id="rId9" w:history="1">
        <w:r w:rsidR="003A656B" w:rsidRPr="0006004C">
          <w:rPr>
            <w:rStyle w:val="Hyperlink"/>
            <w:rFonts w:asciiTheme="majorBidi" w:hAnsiTheme="majorBidi" w:cstheme="majorBidi"/>
          </w:rPr>
          <w:t>ECLI:LV:AT:2022:1027.SKA103222.3.L</w:t>
        </w:r>
      </w:hyperlink>
      <w:r w:rsidR="003A656B" w:rsidRPr="0006004C">
        <w:rPr>
          <w:rFonts w:asciiTheme="majorBidi" w:hAnsiTheme="majorBidi" w:cstheme="majorBidi"/>
        </w:rPr>
        <w:t xml:space="preserve"> (turpmāk – 27.oktobra lēmums)</w:t>
      </w:r>
      <w:r w:rsidR="00883F24" w:rsidRPr="0006004C">
        <w:rPr>
          <w:rFonts w:asciiTheme="majorBidi" w:hAnsiTheme="majorBidi" w:cstheme="majorBidi"/>
        </w:rPr>
        <w:t xml:space="preserve"> jau ir novērtējis, ka izslēgšanas lēmums ir administratīvais akts.</w:t>
      </w:r>
      <w:r w:rsidR="003A656B" w:rsidRPr="0006004C">
        <w:rPr>
          <w:rFonts w:asciiTheme="majorBidi" w:hAnsiTheme="majorBidi" w:cstheme="majorBidi"/>
        </w:rPr>
        <w:t xml:space="preserve"> </w:t>
      </w:r>
    </w:p>
    <w:p w14:paraId="36BA473C" w14:textId="02E0CAB2" w:rsidR="001D71E7" w:rsidRPr="0006004C" w:rsidRDefault="001D71E7" w:rsidP="0096531A">
      <w:pPr>
        <w:spacing w:line="276" w:lineRule="auto"/>
        <w:ind w:firstLine="720"/>
        <w:jc w:val="both"/>
        <w:rPr>
          <w:rFonts w:asciiTheme="majorBidi" w:hAnsiTheme="majorBidi" w:cstheme="majorBidi"/>
        </w:rPr>
      </w:pPr>
      <w:r w:rsidRPr="0006004C">
        <w:rPr>
          <w:rFonts w:asciiTheme="majorBidi" w:hAnsiTheme="majorBidi" w:cstheme="majorBidi"/>
        </w:rPr>
        <w:t xml:space="preserve">Senāts vispārīgi piekrīt pieteicējai, ka biroja lēmums par biedra izslēgšanu no biroja saskaņā ar </w:t>
      </w:r>
      <w:r w:rsidR="002C069A" w:rsidRPr="0006004C">
        <w:rPr>
          <w:rFonts w:asciiTheme="majorBidi" w:hAnsiTheme="majorBidi" w:cstheme="majorBidi"/>
        </w:rPr>
        <w:t>Apdrošināšanas</w:t>
      </w:r>
      <w:r w:rsidRPr="0006004C">
        <w:rPr>
          <w:rFonts w:asciiTheme="majorBidi" w:hAnsiTheme="majorBidi" w:cstheme="majorBidi"/>
        </w:rPr>
        <w:t xml:space="preserve"> likuma </w:t>
      </w:r>
      <w:r w:rsidR="002C069A" w:rsidRPr="0006004C">
        <w:rPr>
          <w:rFonts w:asciiTheme="majorBidi" w:hAnsiTheme="majorBidi" w:cstheme="majorBidi"/>
        </w:rPr>
        <w:t>46.panta otrās daļas 3.punktu</w:t>
      </w:r>
      <w:r w:rsidRPr="0006004C">
        <w:rPr>
          <w:rFonts w:asciiTheme="majorBidi" w:hAnsiTheme="majorBidi" w:cstheme="majorBidi"/>
        </w:rPr>
        <w:t xml:space="preserve"> var būt patstāvīgs administratīv</w:t>
      </w:r>
      <w:r w:rsidR="002531C0" w:rsidRPr="0006004C">
        <w:rPr>
          <w:rFonts w:asciiTheme="majorBidi" w:hAnsiTheme="majorBidi" w:cstheme="majorBidi"/>
        </w:rPr>
        <w:t>ai</w:t>
      </w:r>
      <w:r w:rsidRPr="0006004C">
        <w:rPr>
          <w:rFonts w:asciiTheme="majorBidi" w:hAnsiTheme="majorBidi" w:cstheme="majorBidi"/>
        </w:rPr>
        <w:t xml:space="preserve">s akts. Tomēr tā tas ir gadījumā, ja no biroja tiek izslēgts biedrs, kas biedra </w:t>
      </w:r>
      <w:r w:rsidRPr="0006004C">
        <w:rPr>
          <w:rFonts w:asciiTheme="majorBidi" w:hAnsiTheme="majorBidi" w:cstheme="majorBidi"/>
        </w:rPr>
        <w:lastRenderedPageBreak/>
        <w:t>tiesības vispār ir ieguvis. Šādā gadījumā uzskatāms, ka ar biroja lēmumu tiek atņemtas jau iepriekš piešķirtas biedra tiesības. Senāts nepiekrīt pieteicējas viedoklī par tiesvedības izbeigšanu norādītajam, ka Senāts jau ir pārbaudījis šajā lietā pārsūdzētā izslēgšanas lēmuma tiesisko dabu un atzinis to par administratīvo aktu.</w:t>
      </w:r>
    </w:p>
    <w:p w14:paraId="1702496B" w14:textId="4DFA29DB" w:rsidR="00E97D1D" w:rsidRPr="0006004C" w:rsidRDefault="00F70447" w:rsidP="0096531A">
      <w:pPr>
        <w:spacing w:line="276" w:lineRule="auto"/>
        <w:ind w:firstLine="720"/>
        <w:jc w:val="both"/>
        <w:rPr>
          <w:rFonts w:asciiTheme="majorBidi" w:hAnsiTheme="majorBidi" w:cstheme="majorBidi"/>
        </w:rPr>
      </w:pPr>
      <w:r w:rsidRPr="0006004C">
        <w:rPr>
          <w:rFonts w:asciiTheme="majorBidi" w:hAnsiTheme="majorBidi" w:cstheme="majorBidi"/>
        </w:rPr>
        <w:t>Senāt</w:t>
      </w:r>
      <w:r w:rsidR="00E97D1D" w:rsidRPr="0006004C">
        <w:rPr>
          <w:rFonts w:asciiTheme="majorBidi" w:hAnsiTheme="majorBidi" w:cstheme="majorBidi"/>
        </w:rPr>
        <w:t>s</w:t>
      </w:r>
      <w:r w:rsidRPr="0006004C">
        <w:rPr>
          <w:rFonts w:asciiTheme="majorBidi" w:hAnsiTheme="majorBidi" w:cstheme="majorBidi"/>
        </w:rPr>
        <w:t xml:space="preserve"> 1.februāra lēmumā </w:t>
      </w:r>
      <w:r w:rsidR="00E97D1D" w:rsidRPr="0006004C">
        <w:rPr>
          <w:rFonts w:asciiTheme="majorBidi" w:hAnsiTheme="majorBidi" w:cstheme="majorBidi"/>
        </w:rPr>
        <w:t xml:space="preserve">ir analizējis, kādā </w:t>
      </w:r>
      <w:bookmarkStart w:id="0" w:name="_Hlk197508934"/>
      <w:r w:rsidR="00E97D1D" w:rsidRPr="0006004C">
        <w:rPr>
          <w:rFonts w:asciiTheme="majorBidi" w:hAnsiTheme="majorBidi" w:cstheme="majorBidi"/>
        </w:rPr>
        <w:t xml:space="preserve">– publisko vai privāto tiesību – </w:t>
      </w:r>
      <w:bookmarkEnd w:id="0"/>
      <w:r w:rsidR="00E97D1D" w:rsidRPr="0006004C">
        <w:rPr>
          <w:rFonts w:asciiTheme="majorBidi" w:hAnsiTheme="majorBidi" w:cstheme="majorBidi"/>
        </w:rPr>
        <w:t xml:space="preserve">jomā birojs </w:t>
      </w:r>
      <w:bookmarkStart w:id="1" w:name="_Hlk197509075"/>
      <w:r w:rsidR="00E97D1D" w:rsidRPr="0006004C">
        <w:rPr>
          <w:rFonts w:asciiTheme="majorBidi" w:hAnsiTheme="majorBidi" w:cstheme="majorBidi"/>
        </w:rPr>
        <w:t xml:space="preserve">organizē un uzrauga obligāto transportlīdzekļu </w:t>
      </w:r>
      <w:r w:rsidR="007D6E3B" w:rsidRPr="0006004C">
        <w:rPr>
          <w:rFonts w:asciiTheme="majorBidi" w:hAnsiTheme="majorBidi" w:cstheme="majorBidi"/>
        </w:rPr>
        <w:t xml:space="preserve">īpašnieku </w:t>
      </w:r>
      <w:r w:rsidR="002531C0" w:rsidRPr="0006004C">
        <w:rPr>
          <w:rFonts w:asciiTheme="majorBidi" w:hAnsiTheme="majorBidi" w:cstheme="majorBidi"/>
        </w:rPr>
        <w:t xml:space="preserve">civiltiesiskās atbildības obligāto </w:t>
      </w:r>
      <w:r w:rsidR="00E97D1D" w:rsidRPr="0006004C">
        <w:rPr>
          <w:rFonts w:asciiTheme="majorBidi" w:hAnsiTheme="majorBidi" w:cstheme="majorBidi"/>
        </w:rPr>
        <w:t>apdrošināšanu.</w:t>
      </w:r>
      <w:bookmarkEnd w:id="1"/>
      <w:r w:rsidR="00E97D1D" w:rsidRPr="0006004C">
        <w:rPr>
          <w:rFonts w:asciiTheme="majorBidi" w:hAnsiTheme="majorBidi" w:cstheme="majorBidi"/>
        </w:rPr>
        <w:t xml:space="preserve"> Secīgi Senāts pārbaudīja, kādā – publisko vai privāto tiesību – </w:t>
      </w:r>
      <w:r w:rsidR="001D71E7" w:rsidRPr="0006004C">
        <w:rPr>
          <w:rFonts w:asciiTheme="majorBidi" w:hAnsiTheme="majorBidi" w:cstheme="majorBidi"/>
        </w:rPr>
        <w:t xml:space="preserve">jomā </w:t>
      </w:r>
      <w:r w:rsidR="00E97D1D" w:rsidRPr="0006004C">
        <w:rPr>
          <w:rFonts w:asciiTheme="majorBidi" w:hAnsiTheme="majorBidi" w:cstheme="majorBidi"/>
        </w:rPr>
        <w:t xml:space="preserve">tiek pieņemti biroja lēmumi par jauna biedra uzņemšanu un biedra izslēgšanu no biroja. </w:t>
      </w:r>
      <w:r w:rsidR="007D6E3B" w:rsidRPr="0006004C">
        <w:rPr>
          <w:rFonts w:asciiTheme="majorBidi" w:hAnsiTheme="majorBidi" w:cstheme="majorBidi"/>
        </w:rPr>
        <w:t xml:space="preserve">Tāpat </w:t>
      </w:r>
      <w:r w:rsidR="00E97D1D" w:rsidRPr="0006004C">
        <w:rPr>
          <w:rFonts w:asciiTheme="majorBidi" w:hAnsiTheme="majorBidi" w:cstheme="majorBidi"/>
        </w:rPr>
        <w:t>Senāts arī vērtēja, kāda būtu šādu lēmumu apstrīdēšanas un pārsūdzēšanas kārtība</w:t>
      </w:r>
      <w:r w:rsidR="002531C0" w:rsidRPr="0006004C">
        <w:rPr>
          <w:rFonts w:asciiTheme="majorBidi" w:hAnsiTheme="majorBidi" w:cstheme="majorBidi"/>
        </w:rPr>
        <w:t>,</w:t>
      </w:r>
      <w:r w:rsidR="007D6E3B" w:rsidRPr="0006004C">
        <w:rPr>
          <w:rFonts w:asciiTheme="majorBidi" w:hAnsiTheme="majorBidi" w:cstheme="majorBidi"/>
        </w:rPr>
        <w:t xml:space="preserve"> un</w:t>
      </w:r>
      <w:r w:rsidR="00E97D1D" w:rsidRPr="0006004C">
        <w:rPr>
          <w:rFonts w:asciiTheme="majorBidi" w:hAnsiTheme="majorBidi" w:cstheme="majorBidi"/>
        </w:rPr>
        <w:t xml:space="preserve"> 1.februāra lēmumā secināj</w:t>
      </w:r>
      <w:r w:rsidR="007D6E3B" w:rsidRPr="0006004C">
        <w:rPr>
          <w:rFonts w:asciiTheme="majorBidi" w:hAnsiTheme="majorBidi" w:cstheme="majorBidi"/>
        </w:rPr>
        <w:t>a</w:t>
      </w:r>
      <w:r w:rsidR="00E97D1D" w:rsidRPr="0006004C">
        <w:rPr>
          <w:rFonts w:asciiTheme="majorBidi" w:hAnsiTheme="majorBidi" w:cstheme="majorBidi"/>
        </w:rPr>
        <w:t>, ka birojs, organizējot un uzraugot transportlīdzekļu</w:t>
      </w:r>
      <w:r w:rsidR="007D6E3B" w:rsidRPr="0006004C">
        <w:rPr>
          <w:rFonts w:asciiTheme="majorBidi" w:hAnsiTheme="majorBidi" w:cstheme="majorBidi"/>
        </w:rPr>
        <w:t xml:space="preserve"> īpašnieku</w:t>
      </w:r>
      <w:r w:rsidR="00E97D1D" w:rsidRPr="0006004C">
        <w:rPr>
          <w:rFonts w:asciiTheme="majorBidi" w:hAnsiTheme="majorBidi" w:cstheme="majorBidi"/>
        </w:rPr>
        <w:t xml:space="preserve"> </w:t>
      </w:r>
      <w:r w:rsidR="002531C0" w:rsidRPr="0006004C">
        <w:rPr>
          <w:rFonts w:asciiTheme="majorBidi" w:hAnsiTheme="majorBidi" w:cstheme="majorBidi"/>
        </w:rPr>
        <w:t xml:space="preserve">civiltiesiskās atbildības obligāto </w:t>
      </w:r>
      <w:r w:rsidR="00E97D1D" w:rsidRPr="0006004C">
        <w:rPr>
          <w:rFonts w:asciiTheme="majorBidi" w:hAnsiTheme="majorBidi" w:cstheme="majorBidi"/>
        </w:rPr>
        <w:t xml:space="preserve">apdrošināšanu, darbojas publisko tiesību jomā. Attiecīgi </w:t>
      </w:r>
      <w:r w:rsidRPr="0006004C">
        <w:rPr>
          <w:rFonts w:asciiTheme="majorBidi" w:hAnsiTheme="majorBidi" w:cstheme="majorBidi"/>
        </w:rPr>
        <w:t xml:space="preserve">biroja lēmumi par jauna biedra uzņemšanu birojā un lēmumi par biedra izslēgšanu no biroja </w:t>
      </w:r>
      <w:r w:rsidR="00E97D1D" w:rsidRPr="0006004C">
        <w:rPr>
          <w:rFonts w:asciiTheme="majorBidi" w:hAnsiTheme="majorBidi" w:cstheme="majorBidi"/>
        </w:rPr>
        <w:t xml:space="preserve">principā </w:t>
      </w:r>
      <w:r w:rsidRPr="0006004C">
        <w:rPr>
          <w:rFonts w:asciiTheme="majorBidi" w:hAnsiTheme="majorBidi" w:cstheme="majorBidi"/>
        </w:rPr>
        <w:t xml:space="preserve">ir pārsūdzami </w:t>
      </w:r>
      <w:r w:rsidR="002531C0" w:rsidRPr="0006004C">
        <w:rPr>
          <w:rFonts w:asciiTheme="majorBidi" w:hAnsiTheme="majorBidi" w:cstheme="majorBidi"/>
        </w:rPr>
        <w:t xml:space="preserve">administratīvā </w:t>
      </w:r>
      <w:r w:rsidRPr="0006004C">
        <w:rPr>
          <w:rFonts w:asciiTheme="majorBidi" w:hAnsiTheme="majorBidi" w:cstheme="majorBidi"/>
        </w:rPr>
        <w:t xml:space="preserve">procesa kārtībā. </w:t>
      </w:r>
      <w:r w:rsidR="00894FF2" w:rsidRPr="0006004C">
        <w:rPr>
          <w:rFonts w:asciiTheme="majorBidi" w:hAnsiTheme="majorBidi" w:cstheme="majorBidi"/>
        </w:rPr>
        <w:t>Tomēr</w:t>
      </w:r>
      <w:r w:rsidR="001D71E7" w:rsidRPr="0006004C">
        <w:rPr>
          <w:rFonts w:asciiTheme="majorBidi" w:hAnsiTheme="majorBidi" w:cstheme="majorBidi"/>
        </w:rPr>
        <w:t xml:space="preserve"> ne</w:t>
      </w:r>
      <w:r w:rsidR="00894FF2" w:rsidRPr="0006004C">
        <w:rPr>
          <w:rFonts w:asciiTheme="majorBidi" w:hAnsiTheme="majorBidi" w:cstheme="majorBidi"/>
        </w:rPr>
        <w:t xml:space="preserve"> šā lēmuma 8.punktā, uz kuru viedoklī norādījusi pieteicēja, ne arī citos </w:t>
      </w:r>
      <w:r w:rsidR="001D71E7" w:rsidRPr="0006004C">
        <w:rPr>
          <w:rFonts w:asciiTheme="majorBidi" w:hAnsiTheme="majorBidi" w:cstheme="majorBidi"/>
        </w:rPr>
        <w:t xml:space="preserve">lēmuma </w:t>
      </w:r>
      <w:r w:rsidR="00894FF2" w:rsidRPr="0006004C">
        <w:rPr>
          <w:rFonts w:asciiTheme="majorBidi" w:hAnsiTheme="majorBidi" w:cstheme="majorBidi"/>
        </w:rPr>
        <w:t xml:space="preserve">punktos nav pēc būtības vērtēta konkrētā izslēgšanas lēmuma </w:t>
      </w:r>
      <w:r w:rsidR="001D71E7" w:rsidRPr="0006004C">
        <w:rPr>
          <w:rFonts w:asciiTheme="majorBidi" w:hAnsiTheme="majorBidi" w:cstheme="majorBidi"/>
        </w:rPr>
        <w:t>tiesiskā</w:t>
      </w:r>
      <w:r w:rsidR="00894FF2" w:rsidRPr="0006004C">
        <w:rPr>
          <w:rFonts w:asciiTheme="majorBidi" w:hAnsiTheme="majorBidi" w:cstheme="majorBidi"/>
        </w:rPr>
        <w:t xml:space="preserve"> daba.</w:t>
      </w:r>
      <w:r w:rsidR="00E97D1D" w:rsidRPr="0006004C">
        <w:rPr>
          <w:rFonts w:asciiTheme="majorBidi" w:hAnsiTheme="majorBidi" w:cstheme="majorBidi"/>
        </w:rPr>
        <w:t xml:space="preserve"> Tādēļ Senāta 1.februāra lēmums nav šķērslis šā jautājuma vērtēšanai šajā lietā. </w:t>
      </w:r>
    </w:p>
    <w:p w14:paraId="275A91CB" w14:textId="0443087B" w:rsidR="000F7901" w:rsidRPr="0006004C" w:rsidRDefault="00A36E15" w:rsidP="0096531A">
      <w:pPr>
        <w:spacing w:line="276" w:lineRule="auto"/>
        <w:ind w:firstLine="720"/>
        <w:jc w:val="both"/>
        <w:rPr>
          <w:rFonts w:asciiTheme="majorBidi" w:hAnsiTheme="majorBidi" w:cstheme="majorBidi"/>
        </w:rPr>
      </w:pPr>
      <w:r w:rsidRPr="0006004C">
        <w:rPr>
          <w:rFonts w:asciiTheme="majorBidi" w:hAnsiTheme="majorBidi" w:cstheme="majorBidi"/>
        </w:rPr>
        <w:t xml:space="preserve">Šāds detalizēts vērtējums nav izdarīts arī Senāta 27.oktobra lēmumā, kaut arī </w:t>
      </w:r>
      <w:r w:rsidR="002531C0" w:rsidRPr="0006004C">
        <w:rPr>
          <w:rFonts w:asciiTheme="majorBidi" w:hAnsiTheme="majorBidi" w:cstheme="majorBidi"/>
        </w:rPr>
        <w:t xml:space="preserve">minētā </w:t>
      </w:r>
      <w:r w:rsidRPr="0006004C">
        <w:rPr>
          <w:rFonts w:asciiTheme="majorBidi" w:hAnsiTheme="majorBidi" w:cstheme="majorBidi"/>
        </w:rPr>
        <w:t xml:space="preserve">lēmuma 8.punktā vārdiskais teksts par to </w:t>
      </w:r>
      <w:r w:rsidR="007D6E3B" w:rsidRPr="0006004C">
        <w:rPr>
          <w:rFonts w:asciiTheme="majorBidi" w:hAnsiTheme="majorBidi" w:cstheme="majorBidi"/>
        </w:rPr>
        <w:t xml:space="preserve">šķietami </w:t>
      </w:r>
      <w:r w:rsidRPr="0006004C">
        <w:rPr>
          <w:rFonts w:asciiTheme="majorBidi" w:hAnsiTheme="majorBidi" w:cstheme="majorBidi"/>
        </w:rPr>
        <w:t xml:space="preserve">liecina. </w:t>
      </w:r>
      <w:r w:rsidR="00720C35" w:rsidRPr="0006004C">
        <w:rPr>
          <w:rFonts w:asciiTheme="majorBidi" w:hAnsiTheme="majorBidi" w:cstheme="majorBidi"/>
        </w:rPr>
        <w:t>Proti, Senāta 27.oktobra lēmumā nav analizēta</w:t>
      </w:r>
      <w:r w:rsidR="00AC277D" w:rsidRPr="0006004C">
        <w:rPr>
          <w:rFonts w:asciiTheme="majorBidi" w:hAnsiTheme="majorBidi" w:cstheme="majorBidi"/>
        </w:rPr>
        <w:t xml:space="preserve"> konkrētā</w:t>
      </w:r>
      <w:r w:rsidR="00720C35" w:rsidRPr="0006004C">
        <w:rPr>
          <w:rFonts w:asciiTheme="majorBidi" w:hAnsiTheme="majorBidi" w:cstheme="majorBidi"/>
        </w:rPr>
        <w:t xml:space="preserve"> izslēgšanas lēmuma tiesiskā daba kopsakarā ar uzņemšanas lēmumā ietverto nosacījumu, kas ar izslēgšanas lēmumu ir nesaraujami saistīti, būtību.</w:t>
      </w:r>
      <w:r w:rsidRPr="0006004C">
        <w:rPr>
          <w:rFonts w:asciiTheme="majorBidi" w:hAnsiTheme="majorBidi" w:cstheme="majorBidi"/>
        </w:rPr>
        <w:t xml:space="preserve"> </w:t>
      </w:r>
      <w:r w:rsidR="00AC277D" w:rsidRPr="0006004C">
        <w:rPr>
          <w:rFonts w:asciiTheme="majorBidi" w:hAnsiTheme="majorBidi" w:cstheme="majorBidi"/>
        </w:rPr>
        <w:t>Turklāt minētā Senāta atziņa izteikta lietā par atlīdzinājumu, vērtējot, vai prasījums par zaudējumiem saistībā ar izslēgšanas lēmumu ir pieļaujams</w:t>
      </w:r>
      <w:r w:rsidR="008D6708" w:rsidRPr="0006004C">
        <w:rPr>
          <w:rFonts w:asciiTheme="majorBidi" w:hAnsiTheme="majorBidi" w:cstheme="majorBidi"/>
        </w:rPr>
        <w:t>,</w:t>
      </w:r>
      <w:r w:rsidR="00AC277D" w:rsidRPr="0006004C">
        <w:rPr>
          <w:rFonts w:asciiTheme="majorBidi" w:hAnsiTheme="majorBidi" w:cstheme="majorBidi"/>
        </w:rPr>
        <w:t xml:space="preserve"> kamēr nav izskatīta lieta par paša izslēgšanas lēmuma tiesiskumu. </w:t>
      </w:r>
      <w:r w:rsidR="00E97D1D" w:rsidRPr="0006004C">
        <w:rPr>
          <w:rFonts w:asciiTheme="majorBidi" w:hAnsiTheme="majorBidi" w:cstheme="majorBidi"/>
        </w:rPr>
        <w:t>Jautājums par i</w:t>
      </w:r>
      <w:r w:rsidR="00E54135" w:rsidRPr="0006004C">
        <w:rPr>
          <w:rFonts w:asciiTheme="majorBidi" w:hAnsiTheme="majorBidi" w:cstheme="majorBidi"/>
        </w:rPr>
        <w:t>zslēgšanas lēmuma tiesisk</w:t>
      </w:r>
      <w:r w:rsidR="00E97D1D" w:rsidRPr="0006004C">
        <w:rPr>
          <w:rFonts w:asciiTheme="majorBidi" w:hAnsiTheme="majorBidi" w:cstheme="majorBidi"/>
        </w:rPr>
        <w:t>o</w:t>
      </w:r>
      <w:r w:rsidR="00E54135" w:rsidRPr="0006004C">
        <w:rPr>
          <w:rFonts w:asciiTheme="majorBidi" w:hAnsiTheme="majorBidi" w:cstheme="majorBidi"/>
        </w:rPr>
        <w:t xml:space="preserve"> dab</w:t>
      </w:r>
      <w:r w:rsidR="00E97D1D" w:rsidRPr="0006004C">
        <w:rPr>
          <w:rFonts w:asciiTheme="majorBidi" w:hAnsiTheme="majorBidi" w:cstheme="majorBidi"/>
        </w:rPr>
        <w:t>u</w:t>
      </w:r>
      <w:r w:rsidR="00E54135" w:rsidRPr="0006004C">
        <w:rPr>
          <w:rFonts w:asciiTheme="majorBidi" w:hAnsiTheme="majorBidi" w:cstheme="majorBidi"/>
        </w:rPr>
        <w:t xml:space="preserve"> nav bijis </w:t>
      </w:r>
      <w:r w:rsidR="00E97D1D" w:rsidRPr="0006004C">
        <w:rPr>
          <w:rFonts w:asciiTheme="majorBidi" w:hAnsiTheme="majorBidi" w:cstheme="majorBidi"/>
        </w:rPr>
        <w:t xml:space="preserve">minētās </w:t>
      </w:r>
      <w:r w:rsidR="00E54135" w:rsidRPr="0006004C">
        <w:rPr>
          <w:rFonts w:asciiTheme="majorBidi" w:hAnsiTheme="majorBidi" w:cstheme="majorBidi"/>
        </w:rPr>
        <w:t xml:space="preserve">lietas </w:t>
      </w:r>
      <w:r w:rsidR="001D71E7" w:rsidRPr="0006004C">
        <w:rPr>
          <w:rFonts w:asciiTheme="majorBidi" w:hAnsiTheme="majorBidi" w:cstheme="majorBidi"/>
        </w:rPr>
        <w:t>nepieciešamais risināmais jautājums</w:t>
      </w:r>
      <w:r w:rsidR="00E54135" w:rsidRPr="0006004C">
        <w:rPr>
          <w:rFonts w:asciiTheme="majorBidi" w:hAnsiTheme="majorBidi" w:cstheme="majorBidi"/>
        </w:rPr>
        <w:t>.</w:t>
      </w:r>
      <w:r w:rsidR="000F7901" w:rsidRPr="0006004C">
        <w:rPr>
          <w:rFonts w:asciiTheme="majorBidi" w:hAnsiTheme="majorBidi" w:cstheme="majorBidi"/>
        </w:rPr>
        <w:t xml:space="preserve"> Tādēļ Senāta 27.oktobra lēmuma 8.punktā norādītais par izslēgšanas lēmumu kā patstāvīgu administratīvu aktu ir izteikts tikai kā</w:t>
      </w:r>
      <w:r w:rsidR="005534F7" w:rsidRPr="0006004C">
        <w:rPr>
          <w:rFonts w:asciiTheme="majorBidi" w:hAnsiTheme="majorBidi" w:cstheme="majorBidi"/>
        </w:rPr>
        <w:t xml:space="preserve"> pieļāvums</w:t>
      </w:r>
      <w:r w:rsidR="000F7901" w:rsidRPr="0006004C">
        <w:rPr>
          <w:rFonts w:asciiTheme="majorBidi" w:hAnsiTheme="majorBidi" w:cstheme="majorBidi"/>
        </w:rPr>
        <w:t xml:space="preserve">, ka minētais lēmums tāds ir. </w:t>
      </w:r>
    </w:p>
    <w:p w14:paraId="558DB594" w14:textId="0DEC2089" w:rsidR="00720C35" w:rsidRPr="0006004C" w:rsidRDefault="000F7901" w:rsidP="0096531A">
      <w:pPr>
        <w:spacing w:line="276" w:lineRule="auto"/>
        <w:ind w:firstLine="720"/>
        <w:jc w:val="both"/>
        <w:rPr>
          <w:rFonts w:asciiTheme="majorBidi" w:hAnsiTheme="majorBidi" w:cstheme="majorBidi"/>
        </w:rPr>
      </w:pPr>
      <w:r w:rsidRPr="0006004C">
        <w:rPr>
          <w:rFonts w:asciiTheme="majorBidi" w:hAnsiTheme="majorBidi" w:cstheme="majorBidi"/>
        </w:rPr>
        <w:t>Līdz ar to Senāts atzīst, ka nevienā lietā nav pēc būtības pārbaudīts, vai izslēgšanas lēmums ir patstāvīgs administratīv</w:t>
      </w:r>
      <w:r w:rsidR="00A51A66" w:rsidRPr="0006004C">
        <w:rPr>
          <w:rFonts w:asciiTheme="majorBidi" w:hAnsiTheme="majorBidi" w:cstheme="majorBidi"/>
        </w:rPr>
        <w:t>ai</w:t>
      </w:r>
      <w:r w:rsidRPr="0006004C">
        <w:rPr>
          <w:rFonts w:asciiTheme="majorBidi" w:hAnsiTheme="majorBidi" w:cstheme="majorBidi"/>
        </w:rPr>
        <w:t>s akts šajā konkrētajā gadījumā. Tā kā pieteikums par izslēgšanas lēmuma atzīšanu par prettiesisku ir risināms pašreiz izskatāmajā lietā, tad tieši šajā lietā ir pēc būtības pārbaudāma izslēgšanas lēmuma tiesiskā daba.</w:t>
      </w:r>
      <w:r w:rsidR="00046C7D" w:rsidRPr="0006004C">
        <w:rPr>
          <w:rFonts w:asciiTheme="majorBidi" w:hAnsiTheme="majorBidi" w:cstheme="majorBidi"/>
        </w:rPr>
        <w:t xml:space="preserve"> Ne </w:t>
      </w:r>
      <w:r w:rsidR="008E38A5" w:rsidRPr="0006004C">
        <w:rPr>
          <w:rFonts w:asciiTheme="majorBidi" w:hAnsiTheme="majorBidi" w:cstheme="majorBidi"/>
        </w:rPr>
        <w:t xml:space="preserve">Senāta </w:t>
      </w:r>
      <w:r w:rsidR="00E54135" w:rsidRPr="0006004C">
        <w:rPr>
          <w:rFonts w:asciiTheme="majorBidi" w:hAnsiTheme="majorBidi" w:cstheme="majorBidi"/>
        </w:rPr>
        <w:t>1.februāra lēmuma 8.punktā</w:t>
      </w:r>
      <w:r w:rsidR="00046C7D" w:rsidRPr="0006004C">
        <w:rPr>
          <w:rFonts w:asciiTheme="majorBidi" w:hAnsiTheme="majorBidi" w:cstheme="majorBidi"/>
        </w:rPr>
        <w:t xml:space="preserve"> norādītais,</w:t>
      </w:r>
      <w:r w:rsidR="00E54135" w:rsidRPr="0006004C">
        <w:rPr>
          <w:rFonts w:asciiTheme="majorBidi" w:hAnsiTheme="majorBidi" w:cstheme="majorBidi"/>
        </w:rPr>
        <w:t xml:space="preserve"> ne </w:t>
      </w:r>
      <w:r w:rsidR="008E38A5" w:rsidRPr="0006004C">
        <w:rPr>
          <w:rFonts w:asciiTheme="majorBidi" w:hAnsiTheme="majorBidi" w:cstheme="majorBidi"/>
        </w:rPr>
        <w:t xml:space="preserve">27.oktobra lēmuma 8.punktā norādītais </w:t>
      </w:r>
      <w:r w:rsidR="00046C7D" w:rsidRPr="0006004C">
        <w:rPr>
          <w:rFonts w:asciiTheme="majorBidi" w:hAnsiTheme="majorBidi" w:cstheme="majorBidi"/>
        </w:rPr>
        <w:t>nav šķērslis šādas pārbaudes veikšanai</w:t>
      </w:r>
      <w:r w:rsidR="008E38A5" w:rsidRPr="0006004C">
        <w:rPr>
          <w:rFonts w:asciiTheme="majorBidi" w:hAnsiTheme="majorBidi" w:cstheme="majorBidi"/>
        </w:rPr>
        <w:t xml:space="preserve">. </w:t>
      </w:r>
    </w:p>
    <w:p w14:paraId="1417A270" w14:textId="77777777" w:rsidR="00883F24" w:rsidRPr="0006004C" w:rsidRDefault="00883F24" w:rsidP="0096531A">
      <w:pPr>
        <w:spacing w:line="276" w:lineRule="auto"/>
        <w:ind w:firstLine="720"/>
        <w:jc w:val="both"/>
        <w:rPr>
          <w:rFonts w:asciiTheme="majorBidi" w:hAnsiTheme="majorBidi" w:cstheme="majorBidi"/>
        </w:rPr>
      </w:pPr>
    </w:p>
    <w:p w14:paraId="5E39D8BA" w14:textId="1482B3A7" w:rsidR="00205AB2" w:rsidRPr="0006004C" w:rsidRDefault="00883F24" w:rsidP="0096531A">
      <w:pPr>
        <w:spacing w:line="276" w:lineRule="auto"/>
        <w:ind w:firstLine="720"/>
        <w:jc w:val="both"/>
        <w:rPr>
          <w:rFonts w:asciiTheme="majorBidi" w:hAnsiTheme="majorBidi" w:cstheme="majorBidi"/>
        </w:rPr>
      </w:pPr>
      <w:r w:rsidRPr="0006004C">
        <w:rPr>
          <w:rFonts w:asciiTheme="majorBidi" w:hAnsiTheme="majorBidi" w:cstheme="majorBidi"/>
        </w:rPr>
        <w:t>[1</w:t>
      </w:r>
      <w:r w:rsidR="0078609D" w:rsidRPr="0006004C">
        <w:rPr>
          <w:rFonts w:asciiTheme="majorBidi" w:hAnsiTheme="majorBidi" w:cstheme="majorBidi"/>
        </w:rPr>
        <w:t>0</w:t>
      </w:r>
      <w:r w:rsidRPr="0006004C">
        <w:rPr>
          <w:rFonts w:asciiTheme="majorBidi" w:hAnsiTheme="majorBidi" w:cstheme="majorBidi"/>
        </w:rPr>
        <w:t>] </w:t>
      </w:r>
      <w:r w:rsidR="00956B7E" w:rsidRPr="0006004C">
        <w:rPr>
          <w:rFonts w:asciiTheme="majorBidi" w:hAnsiTheme="majorBidi" w:cstheme="majorBidi"/>
        </w:rPr>
        <w:t>Lai pārbaudītu, vai izslēgšanas lēmums ir patstāvīgs administratīv</w:t>
      </w:r>
      <w:r w:rsidR="00A51A66" w:rsidRPr="0006004C">
        <w:rPr>
          <w:rFonts w:asciiTheme="majorBidi" w:hAnsiTheme="majorBidi" w:cstheme="majorBidi"/>
        </w:rPr>
        <w:t>ai</w:t>
      </w:r>
      <w:r w:rsidR="00956B7E" w:rsidRPr="0006004C">
        <w:rPr>
          <w:rFonts w:asciiTheme="majorBidi" w:hAnsiTheme="majorBidi" w:cstheme="majorBidi"/>
        </w:rPr>
        <w:t>s akts</w:t>
      </w:r>
      <w:r w:rsidR="00BF0491" w:rsidRPr="0006004C">
        <w:rPr>
          <w:rFonts w:asciiTheme="majorBidi" w:hAnsiTheme="majorBidi" w:cstheme="majorBidi"/>
        </w:rPr>
        <w:t xml:space="preserve"> šajā konkrētajā gadījumā</w:t>
      </w:r>
      <w:r w:rsidR="00956B7E" w:rsidRPr="0006004C">
        <w:rPr>
          <w:rFonts w:asciiTheme="majorBidi" w:hAnsiTheme="majorBidi" w:cstheme="majorBidi"/>
        </w:rPr>
        <w:t xml:space="preserve">, ir jāpārbauda, </w:t>
      </w:r>
      <w:r w:rsidR="00CB6E23" w:rsidRPr="0006004C">
        <w:rPr>
          <w:rFonts w:asciiTheme="majorBidi" w:hAnsiTheme="majorBidi" w:cstheme="majorBidi"/>
        </w:rPr>
        <w:t xml:space="preserve">kādas tieši tiesiskās attiecības tika nodibinātas </w:t>
      </w:r>
      <w:r w:rsidR="00956B7E" w:rsidRPr="0006004C">
        <w:rPr>
          <w:rFonts w:asciiTheme="majorBidi" w:hAnsiTheme="majorBidi" w:cstheme="majorBidi"/>
        </w:rPr>
        <w:t>ar uzņemšanas lēmumu</w:t>
      </w:r>
      <w:r w:rsidR="00205AB2" w:rsidRPr="0006004C">
        <w:rPr>
          <w:rFonts w:asciiTheme="majorBidi" w:hAnsiTheme="majorBidi" w:cstheme="majorBidi"/>
        </w:rPr>
        <w:t>.</w:t>
      </w:r>
    </w:p>
    <w:p w14:paraId="5609C20F" w14:textId="15BB2FFB" w:rsidR="00A711CF" w:rsidRPr="0006004C" w:rsidRDefault="00A711CF" w:rsidP="0096531A">
      <w:pPr>
        <w:spacing w:line="276" w:lineRule="auto"/>
        <w:ind w:firstLine="720"/>
        <w:jc w:val="both"/>
        <w:rPr>
          <w:rFonts w:asciiTheme="majorBidi" w:hAnsiTheme="majorBidi" w:cstheme="majorBidi"/>
        </w:rPr>
      </w:pPr>
      <w:r w:rsidRPr="0006004C">
        <w:rPr>
          <w:rFonts w:asciiTheme="majorBidi" w:hAnsiTheme="majorBidi" w:cstheme="majorBidi"/>
        </w:rPr>
        <w:t xml:space="preserve">No </w:t>
      </w:r>
      <w:r w:rsidR="008D6708" w:rsidRPr="0006004C">
        <w:rPr>
          <w:rFonts w:asciiTheme="majorBidi" w:hAnsiTheme="majorBidi" w:cstheme="majorBidi"/>
        </w:rPr>
        <w:t xml:space="preserve">pieteikuma izriet, ka pieteicēja </w:t>
      </w:r>
      <w:r w:rsidR="00055E85" w:rsidRPr="0006004C">
        <w:rPr>
          <w:rFonts w:asciiTheme="majorBidi" w:hAnsiTheme="majorBidi" w:cstheme="majorBidi"/>
        </w:rPr>
        <w:t>vērsās birojā ar iesniegumu</w:t>
      </w:r>
      <w:r w:rsidR="008D6708" w:rsidRPr="0006004C">
        <w:rPr>
          <w:rFonts w:asciiTheme="majorBidi" w:hAnsiTheme="majorBidi" w:cstheme="majorBidi"/>
        </w:rPr>
        <w:t xml:space="preserve"> par labvēlīga administratīvā akta izdošanu – pieteicējas uzņemšanu par biroja biedru. Tādējādi ar uzņemšanas lēmumu kā pieteicējai labvēlīgu </w:t>
      </w:r>
      <w:r w:rsidR="00A51A66" w:rsidRPr="0006004C">
        <w:rPr>
          <w:rFonts w:asciiTheme="majorBidi" w:hAnsiTheme="majorBidi" w:cstheme="majorBidi"/>
        </w:rPr>
        <w:t xml:space="preserve">administratīvo </w:t>
      </w:r>
      <w:r w:rsidR="008D6708" w:rsidRPr="0006004C">
        <w:rPr>
          <w:rFonts w:asciiTheme="majorBidi" w:hAnsiTheme="majorBidi" w:cstheme="majorBidi"/>
        </w:rPr>
        <w:t>aktu paredzēts piešķirt biedra tiesības. V</w:t>
      </w:r>
      <w:r w:rsidRPr="0006004C">
        <w:rPr>
          <w:rFonts w:asciiTheme="majorBidi" w:hAnsiTheme="majorBidi" w:cstheme="majorBidi"/>
        </w:rPr>
        <w:t xml:space="preserve">ienlaikus tajā </w:t>
      </w:r>
      <w:r w:rsidR="0033363E" w:rsidRPr="0006004C">
        <w:rPr>
          <w:rFonts w:asciiTheme="majorBidi" w:hAnsiTheme="majorBidi" w:cstheme="majorBidi"/>
        </w:rPr>
        <w:t>pieteicējai noteikti divi pienākumi</w:t>
      </w:r>
      <w:r w:rsidRPr="0006004C">
        <w:rPr>
          <w:rFonts w:asciiTheme="majorBidi" w:hAnsiTheme="majorBidi" w:cstheme="majorBidi"/>
        </w:rPr>
        <w:t xml:space="preserve">: </w:t>
      </w:r>
      <w:r w:rsidR="0033363E" w:rsidRPr="0006004C">
        <w:rPr>
          <w:rFonts w:asciiTheme="majorBidi" w:hAnsiTheme="majorBidi" w:cstheme="majorBidi"/>
        </w:rPr>
        <w:t>noteiktā termiņā</w:t>
      </w:r>
      <w:r w:rsidR="00956B7E" w:rsidRPr="0006004C">
        <w:rPr>
          <w:rFonts w:asciiTheme="majorBidi" w:hAnsiTheme="majorBidi" w:cstheme="majorBidi"/>
        </w:rPr>
        <w:t xml:space="preserve"> samaksāt iestāšanās naudu un garantijas naudu.</w:t>
      </w:r>
      <w:r w:rsidR="00855D92" w:rsidRPr="0006004C">
        <w:rPr>
          <w:rFonts w:asciiTheme="majorBidi" w:hAnsiTheme="majorBidi" w:cstheme="majorBidi"/>
        </w:rPr>
        <w:t xml:space="preserve"> </w:t>
      </w:r>
      <w:r w:rsidR="00E54135" w:rsidRPr="0006004C">
        <w:rPr>
          <w:rFonts w:asciiTheme="majorBidi" w:hAnsiTheme="majorBidi" w:cstheme="majorBidi"/>
        </w:rPr>
        <w:t xml:space="preserve">Uzņemšanas lēmumā arī norādīts, ka biroja valde tiek pilnvarota izslēgt pieteicēju no biroja, ja iestāšanās nauda un </w:t>
      </w:r>
      <w:r w:rsidR="008D6708" w:rsidRPr="0006004C">
        <w:rPr>
          <w:rFonts w:asciiTheme="majorBidi" w:hAnsiTheme="majorBidi" w:cstheme="majorBidi"/>
        </w:rPr>
        <w:t>garantijas</w:t>
      </w:r>
      <w:r w:rsidR="00E54135" w:rsidRPr="0006004C">
        <w:rPr>
          <w:rFonts w:asciiTheme="majorBidi" w:hAnsiTheme="majorBidi" w:cstheme="majorBidi"/>
        </w:rPr>
        <w:t xml:space="preserve"> nauda netiks samaksāta. </w:t>
      </w:r>
      <w:r w:rsidR="00253F1C" w:rsidRPr="0006004C">
        <w:rPr>
          <w:rFonts w:asciiTheme="majorBidi" w:hAnsiTheme="majorBidi" w:cstheme="majorBidi"/>
        </w:rPr>
        <w:t xml:space="preserve">Pieteicēja viedoklī par tiesvedības izbeigšanu norādījusi, ka </w:t>
      </w:r>
      <w:r w:rsidR="00E54135" w:rsidRPr="0006004C">
        <w:rPr>
          <w:rFonts w:asciiTheme="majorBidi" w:hAnsiTheme="majorBidi" w:cstheme="majorBidi"/>
        </w:rPr>
        <w:t xml:space="preserve">uzņemšanas lēmumā </w:t>
      </w:r>
      <w:r w:rsidR="00E54135" w:rsidRPr="0006004C">
        <w:rPr>
          <w:rFonts w:asciiTheme="majorBidi" w:hAnsiTheme="majorBidi" w:cstheme="majorBidi"/>
        </w:rPr>
        <w:lastRenderedPageBreak/>
        <w:t>noteiktie</w:t>
      </w:r>
      <w:r w:rsidR="00253F1C" w:rsidRPr="0006004C">
        <w:rPr>
          <w:rFonts w:asciiTheme="majorBidi" w:hAnsiTheme="majorBidi" w:cstheme="majorBidi"/>
        </w:rPr>
        <w:t xml:space="preserve"> pienākumi ir administratīvā akta nosacījumi – uzdevumi, kuru neizpildes gadījumā uzņemšanas lēmums joprojām ir spēkā. Senāts turpmāk norādīto apsvērum</w:t>
      </w:r>
      <w:r w:rsidR="00055E85" w:rsidRPr="0006004C">
        <w:rPr>
          <w:rFonts w:asciiTheme="majorBidi" w:hAnsiTheme="majorBidi" w:cstheme="majorBidi"/>
        </w:rPr>
        <w:t>u</w:t>
      </w:r>
      <w:r w:rsidR="00253F1C" w:rsidRPr="0006004C">
        <w:rPr>
          <w:rFonts w:asciiTheme="majorBidi" w:hAnsiTheme="majorBidi" w:cstheme="majorBidi"/>
        </w:rPr>
        <w:t xml:space="preserve"> dēļ šādam pieteicējas viedoklim nepiekrīt. </w:t>
      </w:r>
    </w:p>
    <w:p w14:paraId="539049D5" w14:textId="77777777" w:rsidR="00205AB2" w:rsidRPr="0006004C" w:rsidRDefault="00205AB2" w:rsidP="0096531A">
      <w:pPr>
        <w:spacing w:line="276" w:lineRule="auto"/>
        <w:ind w:firstLine="720"/>
        <w:jc w:val="both"/>
        <w:rPr>
          <w:rFonts w:asciiTheme="majorBidi" w:hAnsiTheme="majorBidi" w:cstheme="majorBidi"/>
        </w:rPr>
      </w:pPr>
    </w:p>
    <w:p w14:paraId="2C6FC731" w14:textId="0B73FE69" w:rsidR="00956B7E" w:rsidRPr="0006004C" w:rsidRDefault="00205AB2" w:rsidP="0096531A">
      <w:pPr>
        <w:spacing w:line="276" w:lineRule="auto"/>
        <w:ind w:firstLine="720"/>
        <w:jc w:val="both"/>
        <w:rPr>
          <w:rFonts w:asciiTheme="majorBidi" w:hAnsiTheme="majorBidi" w:cstheme="majorBidi"/>
        </w:rPr>
      </w:pPr>
      <w:r w:rsidRPr="0006004C">
        <w:rPr>
          <w:rFonts w:asciiTheme="majorBidi" w:hAnsiTheme="majorBidi" w:cstheme="majorBidi"/>
        </w:rPr>
        <w:t>[11] </w:t>
      </w:r>
      <w:r w:rsidR="00956B7E" w:rsidRPr="0006004C">
        <w:rPr>
          <w:rFonts w:asciiTheme="majorBidi" w:hAnsiTheme="majorBidi" w:cstheme="majorBidi"/>
        </w:rPr>
        <w:t>Atbilstoši Administratīvā procesa likuma 68.panta pirmajai daļai, ja piemērojamā tiesību norma paredz administratīvā akta darbību ierobežojoša nosacījuma (piemēram, termiņa, priekšnoteikuma, uzdevuma, atrunas) iekļaušanu administratīvajā aktā, iestāde to norāda administratīvajā aktā.</w:t>
      </w:r>
      <w:r w:rsidR="00253F1C" w:rsidRPr="0006004C">
        <w:rPr>
          <w:rFonts w:asciiTheme="majorBidi" w:hAnsiTheme="majorBidi" w:cstheme="majorBidi"/>
        </w:rPr>
        <w:t xml:space="preserve"> Šā panta otrajā daļā noteikts: ja piemērojamā tiesību norma neparedz ierobežojoša nosacījuma iekļaušanu administratīvajā aktā, iestāde to var ietvert: 1) ja pati var lemt par attiecīgā administratīvā akta izdošanu vai tā saturu; 2) lai panāktu administratīvā akta atbilstību tiesību normām.</w:t>
      </w:r>
    </w:p>
    <w:p w14:paraId="058BF4D6" w14:textId="10FE4776" w:rsidR="00253F1C" w:rsidRPr="0006004C" w:rsidRDefault="00BB5386" w:rsidP="0096531A">
      <w:pPr>
        <w:spacing w:line="276" w:lineRule="auto"/>
        <w:ind w:firstLine="720"/>
        <w:jc w:val="both"/>
        <w:rPr>
          <w:rFonts w:asciiTheme="majorBidi" w:hAnsiTheme="majorBidi" w:cstheme="majorBidi"/>
        </w:rPr>
      </w:pPr>
      <w:r w:rsidRPr="0006004C">
        <w:rPr>
          <w:rFonts w:asciiTheme="majorBidi" w:hAnsiTheme="majorBidi" w:cstheme="majorBidi"/>
        </w:rPr>
        <w:t>Tātad administratīvajā aktā var paredzēt nosacījumus, lai panāktu administratīvā akta atbilstību tiesību normām (kādi apstākļi, kuriem obligāti jāiestājas, nav iestājušies), taču šo trūkumu visai viegli var novērst, un lietas apstākļi liecina, ka šāda novēršana ir ticama (</w:t>
      </w:r>
      <w:r w:rsidRPr="0006004C">
        <w:rPr>
          <w:rFonts w:asciiTheme="majorBidi" w:hAnsiTheme="majorBidi" w:cstheme="majorBidi"/>
          <w:i/>
          <w:iCs/>
        </w:rPr>
        <w:t>Briede J. Nosacījuma iekļaušana administratīvajā aktā un tā kontrole tiesā</w:t>
      </w:r>
      <w:r w:rsidR="00A51A66" w:rsidRPr="0006004C">
        <w:rPr>
          <w:rFonts w:asciiTheme="majorBidi" w:hAnsiTheme="majorBidi" w:cstheme="majorBidi"/>
          <w:i/>
          <w:iCs/>
        </w:rPr>
        <w:t>.</w:t>
      </w:r>
      <w:r w:rsidRPr="0006004C">
        <w:rPr>
          <w:rFonts w:asciiTheme="majorBidi" w:hAnsiTheme="majorBidi" w:cstheme="majorBidi"/>
          <w:i/>
          <w:iCs/>
        </w:rPr>
        <w:t xml:space="preserve"> Jurista Vārds, </w:t>
      </w:r>
      <w:r w:rsidR="00CA49F0" w:rsidRPr="0006004C">
        <w:rPr>
          <w:rFonts w:asciiTheme="majorBidi" w:hAnsiTheme="majorBidi" w:cstheme="majorBidi"/>
          <w:i/>
          <w:iCs/>
        </w:rPr>
        <w:t>19.12.2023</w:t>
      </w:r>
      <w:r w:rsidR="00F7268B" w:rsidRPr="0006004C">
        <w:rPr>
          <w:rFonts w:asciiTheme="majorBidi" w:hAnsiTheme="majorBidi" w:cstheme="majorBidi"/>
          <w:i/>
          <w:iCs/>
        </w:rPr>
        <w:t>.</w:t>
      </w:r>
      <w:r w:rsidRPr="0006004C">
        <w:rPr>
          <w:rFonts w:asciiTheme="majorBidi" w:hAnsiTheme="majorBidi" w:cstheme="majorBidi"/>
          <w:i/>
          <w:iCs/>
        </w:rPr>
        <w:t>, Nr. 51/52 (1317/1318)</w:t>
      </w:r>
      <w:r w:rsidR="00DE600B" w:rsidRPr="0006004C">
        <w:rPr>
          <w:rFonts w:asciiTheme="majorBidi" w:hAnsiTheme="majorBidi" w:cstheme="majorBidi"/>
          <w:i/>
          <w:iCs/>
        </w:rPr>
        <w:t>,</w:t>
      </w:r>
      <w:r w:rsidR="006B73A6" w:rsidRPr="0006004C">
        <w:rPr>
          <w:rFonts w:asciiTheme="majorBidi" w:hAnsiTheme="majorBidi" w:cstheme="majorBidi"/>
          <w:i/>
          <w:iCs/>
        </w:rPr>
        <w:t xml:space="preserve"> 19.lpp</w:t>
      </w:r>
      <w:r w:rsidR="00E360ED" w:rsidRPr="0006004C">
        <w:rPr>
          <w:rFonts w:asciiTheme="majorBidi" w:hAnsiTheme="majorBidi" w:cstheme="majorBidi"/>
          <w:i/>
          <w:iCs/>
        </w:rPr>
        <w:t>.</w:t>
      </w:r>
      <w:r w:rsidRPr="0006004C">
        <w:rPr>
          <w:rFonts w:asciiTheme="majorBidi" w:hAnsiTheme="majorBidi" w:cstheme="majorBidi"/>
        </w:rPr>
        <w:t>), gan nosacījumus, kas ierobežo administratīvā akta darbību. Administratīvais akts parasti stājas spēkā līdz ar tā paziņošanas brīdi. Tomēr, ja nosacījums</w:t>
      </w:r>
      <w:r w:rsidR="00C30B89" w:rsidRPr="0006004C">
        <w:rPr>
          <w:rFonts w:asciiTheme="majorBidi" w:hAnsiTheme="majorBidi" w:cstheme="majorBidi"/>
        </w:rPr>
        <w:t xml:space="preserve"> (termiņš vai priekšnoteikums)</w:t>
      </w:r>
      <w:r w:rsidRPr="0006004C">
        <w:rPr>
          <w:rFonts w:asciiTheme="majorBidi" w:hAnsiTheme="majorBidi" w:cstheme="majorBidi"/>
        </w:rPr>
        <w:t xml:space="preserve"> nosaka brīdi, kad administratīvā akta adresāts </w:t>
      </w:r>
      <w:r w:rsidR="00055E85" w:rsidRPr="0006004C">
        <w:rPr>
          <w:rFonts w:asciiTheme="majorBidi" w:hAnsiTheme="majorBidi" w:cstheme="majorBidi"/>
        </w:rPr>
        <w:t>var sākt izmantot piešķirtās tiesības, tiesību teorijā un praksē nošķir administratīvā akta materiālo un procesuālo spēkā</w:t>
      </w:r>
      <w:r w:rsidRPr="0006004C">
        <w:rPr>
          <w:rFonts w:asciiTheme="majorBidi" w:hAnsiTheme="majorBidi" w:cstheme="majorBidi"/>
        </w:rPr>
        <w:t xml:space="preserve"> esību. Procesuālā spēkā esība iestājas līdz ar administratīvā akta paziņošanu. Savukārt materiālā spēkā esība iestājas tad, kad iestājušies nosacījumā noteiktie apstākļi. Ja administratīvajā aktā ir ietverts priekšnoteikums, lai administratīvais akts stātos spēkā, bet tajā minētie apstākļi neiestājas, administratīvais akts neiegūst savu spēku (</w:t>
      </w:r>
      <w:r w:rsidRPr="0006004C">
        <w:rPr>
          <w:rFonts w:asciiTheme="majorBidi" w:hAnsiTheme="majorBidi" w:cstheme="majorBidi"/>
          <w:i/>
          <w:iCs/>
        </w:rPr>
        <w:t xml:space="preserve">Briede J. </w:t>
      </w:r>
      <w:r w:rsidR="00104B69" w:rsidRPr="0006004C">
        <w:rPr>
          <w:rFonts w:asciiTheme="majorBidi" w:hAnsiTheme="majorBidi" w:cstheme="majorBidi"/>
          <w:i/>
          <w:iCs/>
        </w:rPr>
        <w:t>Administratīvā akta nosacījuma ietekme uz administratīvā akta spēkā esību</w:t>
      </w:r>
      <w:r w:rsidR="00A51A66" w:rsidRPr="0006004C">
        <w:rPr>
          <w:rFonts w:asciiTheme="majorBidi" w:hAnsiTheme="majorBidi" w:cstheme="majorBidi"/>
          <w:i/>
          <w:iCs/>
        </w:rPr>
        <w:t>.</w:t>
      </w:r>
      <w:r w:rsidR="00104B69" w:rsidRPr="0006004C">
        <w:rPr>
          <w:rFonts w:asciiTheme="majorBidi" w:hAnsiTheme="majorBidi" w:cstheme="majorBidi"/>
          <w:i/>
          <w:iCs/>
        </w:rPr>
        <w:t xml:space="preserve"> Jurista Vārds</w:t>
      </w:r>
      <w:r w:rsidR="00A51A66" w:rsidRPr="0006004C">
        <w:rPr>
          <w:rFonts w:asciiTheme="majorBidi" w:hAnsiTheme="majorBidi" w:cstheme="majorBidi"/>
          <w:i/>
          <w:iCs/>
        </w:rPr>
        <w:t>,</w:t>
      </w:r>
      <w:r w:rsidR="00104B69" w:rsidRPr="0006004C">
        <w:rPr>
          <w:rFonts w:asciiTheme="majorBidi" w:hAnsiTheme="majorBidi" w:cstheme="majorBidi"/>
          <w:i/>
          <w:iCs/>
        </w:rPr>
        <w:t xml:space="preserve"> </w:t>
      </w:r>
      <w:r w:rsidR="00CA49F0" w:rsidRPr="0006004C">
        <w:rPr>
          <w:rFonts w:asciiTheme="majorBidi" w:hAnsiTheme="majorBidi" w:cstheme="majorBidi"/>
          <w:i/>
          <w:iCs/>
        </w:rPr>
        <w:t>17.12.2024</w:t>
      </w:r>
      <w:r w:rsidR="00F7268B" w:rsidRPr="0006004C">
        <w:rPr>
          <w:rFonts w:asciiTheme="majorBidi" w:hAnsiTheme="majorBidi" w:cstheme="majorBidi"/>
          <w:i/>
          <w:iCs/>
        </w:rPr>
        <w:t>.</w:t>
      </w:r>
      <w:r w:rsidR="00104B69" w:rsidRPr="0006004C">
        <w:rPr>
          <w:rFonts w:asciiTheme="majorBidi" w:hAnsiTheme="majorBidi" w:cstheme="majorBidi"/>
          <w:i/>
          <w:iCs/>
        </w:rPr>
        <w:t>, Nr. 51/52 (1369/1370</w:t>
      </w:r>
      <w:r w:rsidRPr="0006004C">
        <w:rPr>
          <w:rFonts w:asciiTheme="majorBidi" w:hAnsiTheme="majorBidi" w:cstheme="majorBidi"/>
          <w:i/>
          <w:iCs/>
        </w:rPr>
        <w:t>)</w:t>
      </w:r>
      <w:r w:rsidR="00DE600B" w:rsidRPr="0006004C">
        <w:rPr>
          <w:rFonts w:asciiTheme="majorBidi" w:hAnsiTheme="majorBidi" w:cstheme="majorBidi"/>
          <w:i/>
          <w:iCs/>
        </w:rPr>
        <w:t xml:space="preserve">, </w:t>
      </w:r>
      <w:r w:rsidR="001B16C6" w:rsidRPr="0006004C">
        <w:rPr>
          <w:rFonts w:asciiTheme="majorBidi" w:hAnsiTheme="majorBidi" w:cstheme="majorBidi"/>
          <w:i/>
          <w:iCs/>
        </w:rPr>
        <w:t>20.lpp</w:t>
      </w:r>
      <w:r w:rsidR="00015D26" w:rsidRPr="0006004C">
        <w:rPr>
          <w:rFonts w:asciiTheme="majorBidi" w:hAnsiTheme="majorBidi" w:cstheme="majorBidi"/>
          <w:i/>
          <w:iCs/>
        </w:rPr>
        <w:t>.</w:t>
      </w:r>
      <w:r w:rsidR="00104B69" w:rsidRPr="0006004C">
        <w:rPr>
          <w:rFonts w:asciiTheme="majorBidi" w:hAnsiTheme="majorBidi" w:cstheme="majorBidi"/>
        </w:rPr>
        <w:t>)</w:t>
      </w:r>
      <w:r w:rsidRPr="0006004C">
        <w:rPr>
          <w:rFonts w:asciiTheme="majorBidi" w:hAnsiTheme="majorBidi" w:cstheme="majorBidi"/>
        </w:rPr>
        <w:t>.</w:t>
      </w:r>
      <w:r w:rsidR="00DF6C3B" w:rsidRPr="0006004C">
        <w:rPr>
          <w:rFonts w:asciiTheme="majorBidi" w:hAnsiTheme="majorBidi" w:cstheme="majorBidi"/>
        </w:rPr>
        <w:t xml:space="preserve"> Savukārt uzdevums ir ne tikai administratīvā akta sastāvdaļa, bet arī papildu pienākums. Uzdevums pats ir administratīvais akts. Uzdevums ir kāda administratīvā akta blakus nosacījums tādēļ, ka tas attiecas uz galveno administratīvo aktu (</w:t>
      </w:r>
      <w:r w:rsidR="00DF6C3B" w:rsidRPr="0006004C">
        <w:rPr>
          <w:rFonts w:asciiTheme="majorBidi" w:hAnsiTheme="majorBidi" w:cstheme="majorBidi"/>
          <w:i/>
          <w:iCs/>
        </w:rPr>
        <w:t>Paine F. J. Vācijas vispārīgās administratīvās tiesības. Vācijas Administratīvā procesa likums</w:t>
      </w:r>
      <w:r w:rsidR="00D46A30" w:rsidRPr="0006004C">
        <w:rPr>
          <w:rFonts w:asciiTheme="majorBidi" w:hAnsiTheme="majorBidi" w:cstheme="majorBidi"/>
          <w:i/>
          <w:iCs/>
        </w:rPr>
        <w:t xml:space="preserve">. </w:t>
      </w:r>
      <w:r w:rsidR="00A51A66" w:rsidRPr="0006004C">
        <w:rPr>
          <w:rFonts w:asciiTheme="majorBidi" w:hAnsiTheme="majorBidi" w:cstheme="majorBidi"/>
          <w:i/>
          <w:iCs/>
        </w:rPr>
        <w:t xml:space="preserve">Rīga: </w:t>
      </w:r>
      <w:r w:rsidR="00D46A30" w:rsidRPr="0006004C">
        <w:rPr>
          <w:rFonts w:asciiTheme="majorBidi" w:hAnsiTheme="majorBidi" w:cstheme="majorBidi"/>
          <w:i/>
          <w:iCs/>
        </w:rPr>
        <w:t>Tiesu Namu Aģentūra, 2002, 152.lpp</w:t>
      </w:r>
      <w:r w:rsidR="00A51A66" w:rsidRPr="0006004C">
        <w:rPr>
          <w:rFonts w:asciiTheme="majorBidi" w:hAnsiTheme="majorBidi" w:cstheme="majorBidi"/>
          <w:i/>
          <w:iCs/>
        </w:rPr>
        <w:t>.</w:t>
      </w:r>
      <w:r w:rsidR="00D46A30" w:rsidRPr="0006004C">
        <w:rPr>
          <w:rFonts w:asciiTheme="majorBidi" w:hAnsiTheme="majorBidi" w:cstheme="majorBidi"/>
        </w:rPr>
        <w:t xml:space="preserve">). </w:t>
      </w:r>
      <w:r w:rsidR="00253F1C" w:rsidRPr="0006004C">
        <w:rPr>
          <w:rFonts w:asciiTheme="majorBidi" w:hAnsiTheme="majorBidi" w:cstheme="majorBidi"/>
        </w:rPr>
        <w:t>Uzdevums ir vienīgais no nosacījumu veidiem, kas ir izpildāms administratīvā akta spēkā esības laikā (priekšnoteikuma neizpildes dēļ administratīvais akts parasti vai nu nemaz nestājas spēkā vai – atceļoša priekšnosacījuma gadījumā – zaudē spēku, tāpēc to vairs nevajag atcelt (</w:t>
      </w:r>
      <w:r w:rsidR="00D46A30" w:rsidRPr="0006004C">
        <w:rPr>
          <w:rFonts w:asciiTheme="majorBidi" w:hAnsiTheme="majorBidi" w:cstheme="majorBidi"/>
          <w:i/>
          <w:iCs/>
        </w:rPr>
        <w:t>Briede J. Administratīvā akta nosacījuma ietekme uz administratīvā akta spēkā esību</w:t>
      </w:r>
      <w:r w:rsidR="00A51A66" w:rsidRPr="0006004C">
        <w:rPr>
          <w:rFonts w:asciiTheme="majorBidi" w:hAnsiTheme="majorBidi" w:cstheme="majorBidi"/>
          <w:i/>
          <w:iCs/>
        </w:rPr>
        <w:t>.</w:t>
      </w:r>
      <w:r w:rsidR="00D46A30" w:rsidRPr="0006004C">
        <w:rPr>
          <w:rFonts w:asciiTheme="majorBidi" w:hAnsiTheme="majorBidi" w:cstheme="majorBidi"/>
          <w:i/>
          <w:iCs/>
        </w:rPr>
        <w:t xml:space="preserve"> Jurista Vārds</w:t>
      </w:r>
      <w:r w:rsidR="00A51A66" w:rsidRPr="0006004C">
        <w:rPr>
          <w:rFonts w:asciiTheme="majorBidi" w:hAnsiTheme="majorBidi" w:cstheme="majorBidi"/>
          <w:i/>
          <w:iCs/>
        </w:rPr>
        <w:t>.</w:t>
      </w:r>
      <w:r w:rsidR="00D46A30" w:rsidRPr="0006004C">
        <w:rPr>
          <w:rFonts w:asciiTheme="majorBidi" w:hAnsiTheme="majorBidi" w:cstheme="majorBidi"/>
          <w:i/>
          <w:iCs/>
        </w:rPr>
        <w:t xml:space="preserve"> </w:t>
      </w:r>
      <w:r w:rsidR="00DA74FC" w:rsidRPr="0006004C">
        <w:rPr>
          <w:rFonts w:asciiTheme="majorBidi" w:hAnsiTheme="majorBidi" w:cstheme="majorBidi"/>
          <w:i/>
          <w:iCs/>
        </w:rPr>
        <w:t>17.12.2024.</w:t>
      </w:r>
      <w:r w:rsidR="00D46A30" w:rsidRPr="0006004C">
        <w:rPr>
          <w:rFonts w:asciiTheme="majorBidi" w:hAnsiTheme="majorBidi" w:cstheme="majorBidi"/>
          <w:i/>
          <w:iCs/>
        </w:rPr>
        <w:t>, Nr. 51/52 (1369/1370)</w:t>
      </w:r>
      <w:r w:rsidR="00DE600B" w:rsidRPr="0006004C">
        <w:rPr>
          <w:rFonts w:asciiTheme="majorBidi" w:hAnsiTheme="majorBidi" w:cstheme="majorBidi"/>
          <w:i/>
          <w:iCs/>
        </w:rPr>
        <w:t xml:space="preserve">, </w:t>
      </w:r>
      <w:r w:rsidR="00E360ED" w:rsidRPr="0006004C">
        <w:rPr>
          <w:rFonts w:asciiTheme="majorBidi" w:hAnsiTheme="majorBidi" w:cstheme="majorBidi"/>
          <w:i/>
          <w:iCs/>
        </w:rPr>
        <w:t>22.lpp.</w:t>
      </w:r>
      <w:r w:rsidR="00253F1C" w:rsidRPr="0006004C">
        <w:rPr>
          <w:rFonts w:asciiTheme="majorBidi" w:hAnsiTheme="majorBidi" w:cstheme="majorBidi"/>
        </w:rPr>
        <w:t xml:space="preserve">). </w:t>
      </w:r>
    </w:p>
    <w:p w14:paraId="07D7B450" w14:textId="77777777" w:rsidR="00033576" w:rsidRPr="0006004C" w:rsidRDefault="00033576" w:rsidP="0096531A">
      <w:pPr>
        <w:spacing w:line="276" w:lineRule="auto"/>
        <w:ind w:firstLine="720"/>
        <w:jc w:val="both"/>
        <w:rPr>
          <w:rFonts w:asciiTheme="majorBidi" w:hAnsiTheme="majorBidi" w:cstheme="majorBidi"/>
        </w:rPr>
      </w:pPr>
    </w:p>
    <w:p w14:paraId="3A89C5DD" w14:textId="364AD9C6" w:rsidR="00226FB6" w:rsidRPr="0006004C" w:rsidRDefault="00855D92" w:rsidP="0096531A">
      <w:pPr>
        <w:spacing w:line="276" w:lineRule="auto"/>
        <w:ind w:firstLine="720"/>
        <w:jc w:val="both"/>
        <w:rPr>
          <w:rFonts w:asciiTheme="majorBidi" w:hAnsiTheme="majorBidi" w:cstheme="majorBidi"/>
        </w:rPr>
      </w:pPr>
      <w:r w:rsidRPr="0006004C">
        <w:rPr>
          <w:rFonts w:asciiTheme="majorBidi" w:hAnsiTheme="majorBidi" w:cstheme="majorBidi"/>
        </w:rPr>
        <w:t>[1</w:t>
      </w:r>
      <w:r w:rsidR="00205AB2" w:rsidRPr="0006004C">
        <w:rPr>
          <w:rFonts w:asciiTheme="majorBidi" w:hAnsiTheme="majorBidi" w:cstheme="majorBidi"/>
        </w:rPr>
        <w:t>2</w:t>
      </w:r>
      <w:r w:rsidRPr="0006004C">
        <w:rPr>
          <w:rFonts w:asciiTheme="majorBidi" w:hAnsiTheme="majorBidi" w:cstheme="majorBidi"/>
        </w:rPr>
        <w:t>] </w:t>
      </w:r>
      <w:r w:rsidR="00226FB6" w:rsidRPr="0006004C">
        <w:rPr>
          <w:rFonts w:asciiTheme="majorBidi" w:hAnsiTheme="majorBidi" w:cstheme="majorBidi"/>
        </w:rPr>
        <w:t>Apdrošināšanas un pārapdrošināšanas likuma 22.panta ceturtajā daļā (</w:t>
      </w:r>
      <w:r w:rsidR="00226FB6" w:rsidRPr="0006004C">
        <w:rPr>
          <w:rFonts w:asciiTheme="majorBidi" w:hAnsiTheme="majorBidi" w:cstheme="majorBidi"/>
          <w:i/>
          <w:iCs/>
        </w:rPr>
        <w:t xml:space="preserve">redakcijā, </w:t>
      </w:r>
      <w:r w:rsidR="00EF5D63" w:rsidRPr="0006004C">
        <w:rPr>
          <w:rFonts w:asciiTheme="majorBidi" w:hAnsiTheme="majorBidi" w:cstheme="majorBidi"/>
          <w:i/>
          <w:iCs/>
        </w:rPr>
        <w:t xml:space="preserve">kas </w:t>
      </w:r>
      <w:r w:rsidR="00226FB6" w:rsidRPr="0006004C">
        <w:rPr>
          <w:rFonts w:asciiTheme="majorBidi" w:hAnsiTheme="majorBidi" w:cstheme="majorBidi"/>
          <w:i/>
          <w:iCs/>
        </w:rPr>
        <w:t>bija spēkā no 2021.gada 12.jūlija līdz 19.oktobrim</w:t>
      </w:r>
      <w:r w:rsidR="00226FB6" w:rsidRPr="0006004C">
        <w:rPr>
          <w:rFonts w:asciiTheme="majorBidi" w:hAnsiTheme="majorBidi" w:cstheme="majorBidi"/>
        </w:rPr>
        <w:t>) noteikts: ja nedzīvības apdrošināšanas sabiedrība vēlas saņemt apdrošināšanas licenci šā likuma 19.panta pirmās daļas 10.punktā noteiktajā nedzīvības apdrošināšanas veidā un plāno veikt sauszemes transportlīdzekļu īpašnieku civiltiesiskās atbildības obligāto apdrošināšanu, tā iesniedz Finanšu un kapitāla tirgus komisijai rakstveida apliecinājumu, ka apdrošināšanas sabiedrība ir biroja biedrs un attiecīgā garantijas fonda dalībniece. Garantijas fonda noteikumu 9.punktā (</w:t>
      </w:r>
      <w:r w:rsidR="00226FB6" w:rsidRPr="0006004C">
        <w:rPr>
          <w:rFonts w:asciiTheme="majorBidi" w:hAnsiTheme="majorBidi" w:cstheme="majorBidi"/>
          <w:i/>
          <w:iCs/>
        </w:rPr>
        <w:t xml:space="preserve">redakcijā, </w:t>
      </w:r>
      <w:r w:rsidR="00ED5932" w:rsidRPr="0006004C">
        <w:rPr>
          <w:rFonts w:asciiTheme="majorBidi" w:hAnsiTheme="majorBidi" w:cstheme="majorBidi"/>
          <w:i/>
          <w:iCs/>
        </w:rPr>
        <w:t xml:space="preserve">kas </w:t>
      </w:r>
      <w:r w:rsidR="00226FB6" w:rsidRPr="0006004C">
        <w:rPr>
          <w:rFonts w:asciiTheme="majorBidi" w:hAnsiTheme="majorBidi" w:cstheme="majorBidi"/>
          <w:i/>
          <w:iCs/>
        </w:rPr>
        <w:t>bija spēkā no 2021.gada</w:t>
      </w:r>
      <w:r w:rsidR="00ED5932" w:rsidRPr="0006004C">
        <w:rPr>
          <w:rFonts w:asciiTheme="majorBidi" w:hAnsiTheme="majorBidi" w:cstheme="majorBidi"/>
          <w:i/>
          <w:iCs/>
        </w:rPr>
        <w:t> </w:t>
      </w:r>
      <w:r w:rsidR="00226FB6" w:rsidRPr="0006004C">
        <w:rPr>
          <w:rFonts w:asciiTheme="majorBidi" w:hAnsiTheme="majorBidi" w:cstheme="majorBidi"/>
          <w:i/>
          <w:iCs/>
        </w:rPr>
        <w:t>1.jūlija līdz 2025.gada 22.janvārim</w:t>
      </w:r>
      <w:r w:rsidR="00226FB6" w:rsidRPr="0006004C">
        <w:rPr>
          <w:rFonts w:asciiTheme="majorBidi" w:hAnsiTheme="majorBidi" w:cstheme="majorBidi"/>
        </w:rPr>
        <w:t xml:space="preserve">) bija noteikts, </w:t>
      </w:r>
      <w:r w:rsidR="00226FB6" w:rsidRPr="0006004C">
        <w:rPr>
          <w:rFonts w:asciiTheme="majorBidi" w:hAnsiTheme="majorBidi" w:cstheme="majorBidi"/>
        </w:rPr>
        <w:lastRenderedPageBreak/>
        <w:t>ka apdrošinātājs, kurš vēlas iegūt tiesības veikt sauszemes transportlīdzekļu īpašnieku civiltiesiskās atbildības obligāto apdrošināšanu, vispirms veic vienreizējo iemaksu fondā. Vienreizējās iemaksas apmērs ir 7000</w:t>
      </w:r>
      <w:r w:rsidR="002F28B7" w:rsidRPr="0006004C">
        <w:rPr>
          <w:rFonts w:asciiTheme="majorBidi" w:hAnsiTheme="majorBidi" w:cstheme="majorBidi"/>
        </w:rPr>
        <w:t> </w:t>
      </w:r>
      <w:r w:rsidR="00226FB6" w:rsidRPr="0006004C">
        <w:rPr>
          <w:rFonts w:asciiTheme="majorBidi" w:hAnsiTheme="majorBidi" w:cstheme="majorBidi"/>
          <w:i/>
          <w:iCs/>
        </w:rPr>
        <w:t>euro</w:t>
      </w:r>
      <w:r w:rsidR="00226FB6" w:rsidRPr="0006004C">
        <w:rPr>
          <w:rFonts w:asciiTheme="majorBidi" w:hAnsiTheme="majorBidi" w:cstheme="majorBidi"/>
        </w:rPr>
        <w:t>.</w:t>
      </w:r>
    </w:p>
    <w:p w14:paraId="1242D574" w14:textId="1FC70BED" w:rsidR="0042650F" w:rsidRPr="0006004C" w:rsidRDefault="00226FB6" w:rsidP="0096531A">
      <w:pPr>
        <w:spacing w:line="276" w:lineRule="auto"/>
        <w:ind w:firstLine="720"/>
        <w:jc w:val="both"/>
        <w:rPr>
          <w:rFonts w:asciiTheme="majorBidi" w:hAnsiTheme="majorBidi" w:cstheme="majorBidi"/>
        </w:rPr>
      </w:pPr>
      <w:r w:rsidRPr="0006004C">
        <w:rPr>
          <w:rFonts w:asciiTheme="majorBidi" w:hAnsiTheme="majorBidi" w:cstheme="majorBidi"/>
        </w:rPr>
        <w:t>Apdrošināšanas likuma (</w:t>
      </w:r>
      <w:r w:rsidRPr="0006004C">
        <w:rPr>
          <w:rFonts w:asciiTheme="majorBidi" w:hAnsiTheme="majorBidi" w:cstheme="majorBidi"/>
          <w:i/>
          <w:iCs/>
        </w:rPr>
        <w:t xml:space="preserve">redakcijā, </w:t>
      </w:r>
      <w:r w:rsidR="00740AFA" w:rsidRPr="0006004C">
        <w:rPr>
          <w:rFonts w:asciiTheme="majorBidi" w:hAnsiTheme="majorBidi" w:cstheme="majorBidi"/>
          <w:i/>
          <w:iCs/>
        </w:rPr>
        <w:t xml:space="preserve">kas </w:t>
      </w:r>
      <w:r w:rsidRPr="0006004C">
        <w:rPr>
          <w:rFonts w:asciiTheme="majorBidi" w:hAnsiTheme="majorBidi" w:cstheme="majorBidi"/>
          <w:i/>
          <w:iCs/>
        </w:rPr>
        <w:t>bija spēkā no 2021.gada 1.jūlija līdz 2022.gada 3.janvārim</w:t>
      </w:r>
      <w:r w:rsidRPr="0006004C">
        <w:rPr>
          <w:rFonts w:asciiTheme="majorBidi" w:hAnsiTheme="majorBidi" w:cstheme="majorBidi"/>
        </w:rPr>
        <w:t>) 1.panta 6.punktā noteiks, ka apdrošinātājs ir persona, kurai ir tiesības veikt transportlīdzekļa īpašnieka vai tiesīgā lietotāja civiltiesiskās atbildības apdrošināšanu un kura ir Latvijas Transportlīdzekļu apdrošinātāju biroja biedrs. Šā likuma 43.panta pirmajā daļā noteikts, ka sauszemes transportlīdzekļu īpašnieku civiltiesiskās atbildības obligātās apdrošināšanas sistēmas sekmīgu darbību valstī atbilstoši savam darbības mērķim un uzdevumiem nodrošina birojs, kurā apvienojušās visas apdrošināšanas sabiedrības, kurām ir tiesības veikt sauszemes transportlīdzekļu īpašnieku civiltiesiskās atbildības obligāto apdrošināšanu Latvijas Republikā.</w:t>
      </w:r>
      <w:r w:rsidR="0042650F" w:rsidRPr="0006004C">
        <w:rPr>
          <w:rFonts w:asciiTheme="majorBidi" w:hAnsiTheme="majorBidi" w:cstheme="majorBidi"/>
        </w:rPr>
        <w:t xml:space="preserve"> </w:t>
      </w:r>
    </w:p>
    <w:p w14:paraId="35265953" w14:textId="64789EF6" w:rsidR="00934655" w:rsidRPr="0006004C" w:rsidRDefault="0042650F" w:rsidP="0096531A">
      <w:pPr>
        <w:spacing w:line="276" w:lineRule="auto"/>
        <w:ind w:firstLine="720"/>
        <w:jc w:val="both"/>
        <w:rPr>
          <w:rFonts w:asciiTheme="majorBidi" w:hAnsiTheme="majorBidi" w:cstheme="majorBidi"/>
        </w:rPr>
      </w:pPr>
      <w:r w:rsidRPr="0006004C">
        <w:rPr>
          <w:rFonts w:asciiTheme="majorBidi" w:hAnsiTheme="majorBidi" w:cstheme="majorBidi"/>
        </w:rPr>
        <w:t xml:space="preserve">No minētajām tiesību normām izriet: obligāto civiltiesisko transportlīdzekļu īpašnieku apdrošināšanu ir tiesības </w:t>
      </w:r>
      <w:r w:rsidR="00EC3642" w:rsidRPr="0006004C">
        <w:rPr>
          <w:rFonts w:asciiTheme="majorBidi" w:hAnsiTheme="majorBidi" w:cstheme="majorBidi"/>
        </w:rPr>
        <w:t xml:space="preserve">veikt </w:t>
      </w:r>
      <w:r w:rsidRPr="0006004C">
        <w:rPr>
          <w:rFonts w:asciiTheme="majorBidi" w:hAnsiTheme="majorBidi" w:cstheme="majorBidi"/>
        </w:rPr>
        <w:t xml:space="preserve">apdrošinātājam, kurš citastarp ir biroja biedrs un garantijas fonda dalībnieks (samaksājis garantijas naudu). Savukārt par biroja biedru var būt tikai tāds apdrošinātājs, kas ir tiesīgs </w:t>
      </w:r>
      <w:r w:rsidR="00C672D8" w:rsidRPr="0006004C">
        <w:rPr>
          <w:rFonts w:asciiTheme="majorBidi" w:hAnsiTheme="majorBidi" w:cstheme="majorBidi"/>
        </w:rPr>
        <w:t xml:space="preserve">veikt </w:t>
      </w:r>
      <w:r w:rsidRPr="0006004C">
        <w:rPr>
          <w:rFonts w:asciiTheme="majorBidi" w:hAnsiTheme="majorBidi" w:cstheme="majorBidi"/>
        </w:rPr>
        <w:t xml:space="preserve">sauszemes transportlīdzekļu īpašnieku civiltiesiskās atbildības obligāto apdrošināšanu. </w:t>
      </w:r>
      <w:r w:rsidR="00D541FE" w:rsidRPr="0006004C">
        <w:rPr>
          <w:rFonts w:asciiTheme="majorBidi" w:hAnsiTheme="majorBidi" w:cstheme="majorBidi"/>
        </w:rPr>
        <w:t xml:space="preserve">Tādējādi garantijas naudas samaksa ir tiesību normās </w:t>
      </w:r>
      <w:r w:rsidR="00F3403F" w:rsidRPr="0006004C">
        <w:rPr>
          <w:rFonts w:asciiTheme="majorBidi" w:hAnsiTheme="majorBidi" w:cstheme="majorBidi"/>
        </w:rPr>
        <w:t xml:space="preserve">ietverts priekšnoteikums </w:t>
      </w:r>
      <w:r w:rsidR="00D541FE" w:rsidRPr="0006004C">
        <w:rPr>
          <w:rFonts w:asciiTheme="majorBidi" w:hAnsiTheme="majorBidi" w:cstheme="majorBidi"/>
        </w:rPr>
        <w:t xml:space="preserve">gan tam, lai apdrošinātājs iegūtu tiesības veikt obligāto civiltiesisko transportlīdzekļu apdrošināšanu, gan tam, lai apdrošinātājs būtu biroja biedrs. Vienlaikus paša pakalpojuma sniegšanas tiesību iegūšanai ir nepieciešams arī apliecinājums par apdrošinātāja esību biroja biedra statusā. Tiesību normas neparedz detalizētāku kārtību, kādā secīgi notiek tiesību veikt </w:t>
      </w:r>
      <w:r w:rsidR="00B75E25" w:rsidRPr="0006004C">
        <w:rPr>
          <w:rFonts w:asciiTheme="majorBidi" w:hAnsiTheme="majorBidi" w:cstheme="majorBidi"/>
        </w:rPr>
        <w:t xml:space="preserve">obligāto civiltiesisko transportlīdzekļu </w:t>
      </w:r>
      <w:r w:rsidR="00D541FE" w:rsidRPr="0006004C">
        <w:rPr>
          <w:rFonts w:asciiTheme="majorBidi" w:hAnsiTheme="majorBidi" w:cstheme="majorBidi"/>
        </w:rPr>
        <w:t>apdrošināšanu iegūšana, kā vien to, ka pirms tiesību iegūšanas ir jāsamaksā garantijas nauda (Garantijas fonda noteikumu 9.punkts)</w:t>
      </w:r>
      <w:r w:rsidR="00B75E25" w:rsidRPr="0006004C">
        <w:rPr>
          <w:rFonts w:asciiTheme="majorBidi" w:hAnsiTheme="majorBidi" w:cstheme="majorBidi"/>
        </w:rPr>
        <w:t>,</w:t>
      </w:r>
      <w:r w:rsidR="00D541FE" w:rsidRPr="0006004C">
        <w:rPr>
          <w:rFonts w:asciiTheme="majorBidi" w:hAnsiTheme="majorBidi" w:cstheme="majorBidi"/>
        </w:rPr>
        <w:t xml:space="preserve"> kā arī topošajam apdrošinātājam </w:t>
      </w:r>
      <w:r w:rsidR="009D3FEF" w:rsidRPr="0006004C">
        <w:rPr>
          <w:rFonts w:asciiTheme="majorBidi" w:hAnsiTheme="majorBidi" w:cstheme="majorBidi"/>
        </w:rPr>
        <w:t xml:space="preserve">jābūt </w:t>
      </w:r>
      <w:r w:rsidR="00D541FE" w:rsidRPr="0006004C">
        <w:rPr>
          <w:rFonts w:asciiTheme="majorBidi" w:hAnsiTheme="majorBidi" w:cstheme="majorBidi"/>
        </w:rPr>
        <w:t>biroja biedr</w:t>
      </w:r>
      <w:r w:rsidR="009D3FEF" w:rsidRPr="0006004C">
        <w:rPr>
          <w:rFonts w:asciiTheme="majorBidi" w:hAnsiTheme="majorBidi" w:cstheme="majorBidi"/>
        </w:rPr>
        <w:t>am (tātad jābūt jau tiesīgam veikt minēto apdrošināšanu)</w:t>
      </w:r>
      <w:r w:rsidR="00D541FE" w:rsidRPr="0006004C">
        <w:rPr>
          <w:rFonts w:asciiTheme="majorBidi" w:hAnsiTheme="majorBidi" w:cstheme="majorBidi"/>
        </w:rPr>
        <w:t xml:space="preserve">. </w:t>
      </w:r>
      <w:r w:rsidR="00B75E25" w:rsidRPr="0006004C">
        <w:rPr>
          <w:rFonts w:asciiTheme="majorBidi" w:hAnsiTheme="majorBidi" w:cstheme="majorBidi"/>
        </w:rPr>
        <w:t>Senāts atzīst, ka šād</w:t>
      </w:r>
      <w:r w:rsidR="00C672D8" w:rsidRPr="0006004C">
        <w:rPr>
          <w:rFonts w:asciiTheme="majorBidi" w:hAnsiTheme="majorBidi" w:cstheme="majorBidi"/>
        </w:rPr>
        <w:t>ā</w:t>
      </w:r>
      <w:r w:rsidR="00B75E25" w:rsidRPr="0006004C">
        <w:rPr>
          <w:rFonts w:asciiTheme="majorBidi" w:hAnsiTheme="majorBidi" w:cstheme="majorBidi"/>
        </w:rPr>
        <w:t xml:space="preserve"> situācij</w:t>
      </w:r>
      <w:r w:rsidR="00C672D8" w:rsidRPr="0006004C">
        <w:rPr>
          <w:rFonts w:asciiTheme="majorBidi" w:hAnsiTheme="majorBidi" w:cstheme="majorBidi"/>
        </w:rPr>
        <w:t xml:space="preserve">ā tiesību normām </w:t>
      </w:r>
      <w:r w:rsidR="00B75E25" w:rsidRPr="0006004C">
        <w:rPr>
          <w:rFonts w:asciiTheme="majorBidi" w:hAnsiTheme="majorBidi" w:cstheme="majorBidi"/>
        </w:rPr>
        <w:t xml:space="preserve">ir atbilstoši, ka birojā sākotnēji tiek pieņemts lēmums </w:t>
      </w:r>
      <w:r w:rsidR="004B1A95" w:rsidRPr="0006004C">
        <w:rPr>
          <w:rFonts w:asciiTheme="majorBidi" w:hAnsiTheme="majorBidi" w:cstheme="majorBidi"/>
        </w:rPr>
        <w:t>par</w:t>
      </w:r>
      <w:r w:rsidR="00B75E25" w:rsidRPr="0006004C">
        <w:rPr>
          <w:rFonts w:asciiTheme="majorBidi" w:hAnsiTheme="majorBidi" w:cstheme="majorBidi"/>
        </w:rPr>
        <w:t xml:space="preserve"> topoš</w:t>
      </w:r>
      <w:r w:rsidR="004B1A95" w:rsidRPr="0006004C">
        <w:rPr>
          <w:rFonts w:asciiTheme="majorBidi" w:hAnsiTheme="majorBidi" w:cstheme="majorBidi"/>
        </w:rPr>
        <w:t>ā</w:t>
      </w:r>
      <w:r w:rsidR="00B75E25" w:rsidRPr="0006004C">
        <w:rPr>
          <w:rFonts w:asciiTheme="majorBidi" w:hAnsiTheme="majorBidi" w:cstheme="majorBidi"/>
        </w:rPr>
        <w:t xml:space="preserve"> </w:t>
      </w:r>
      <w:r w:rsidR="004B1A95" w:rsidRPr="0006004C">
        <w:rPr>
          <w:rFonts w:asciiTheme="majorBidi" w:hAnsiTheme="majorBidi" w:cstheme="majorBidi"/>
        </w:rPr>
        <w:t>biedra uzņemšanu</w:t>
      </w:r>
      <w:r w:rsidR="00B75E25" w:rsidRPr="0006004C">
        <w:rPr>
          <w:rFonts w:asciiTheme="majorBidi" w:hAnsiTheme="majorBidi" w:cstheme="majorBidi"/>
        </w:rPr>
        <w:t xml:space="preserve"> </w:t>
      </w:r>
      <w:r w:rsidR="004B1A95" w:rsidRPr="0006004C">
        <w:rPr>
          <w:rFonts w:asciiTheme="majorBidi" w:hAnsiTheme="majorBidi" w:cstheme="majorBidi"/>
        </w:rPr>
        <w:t>birojā</w:t>
      </w:r>
      <w:r w:rsidR="00B75E25" w:rsidRPr="0006004C">
        <w:rPr>
          <w:rFonts w:asciiTheme="majorBidi" w:hAnsiTheme="majorBidi" w:cstheme="majorBidi"/>
        </w:rPr>
        <w:t xml:space="preserve"> un </w:t>
      </w:r>
      <w:r w:rsidR="004B1A95" w:rsidRPr="0006004C">
        <w:rPr>
          <w:rFonts w:asciiTheme="majorBidi" w:hAnsiTheme="majorBidi" w:cstheme="majorBidi"/>
        </w:rPr>
        <w:t xml:space="preserve">par pienākumu </w:t>
      </w:r>
      <w:r w:rsidR="00310DF8" w:rsidRPr="0006004C">
        <w:rPr>
          <w:rFonts w:asciiTheme="majorBidi" w:hAnsiTheme="majorBidi" w:cstheme="majorBidi"/>
        </w:rPr>
        <w:t xml:space="preserve">tam </w:t>
      </w:r>
      <w:r w:rsidR="00B75E25" w:rsidRPr="0006004C">
        <w:rPr>
          <w:rFonts w:asciiTheme="majorBidi" w:hAnsiTheme="majorBidi" w:cstheme="majorBidi"/>
        </w:rPr>
        <w:t>noteiktā termiņā izpild</w:t>
      </w:r>
      <w:r w:rsidR="004B1A95" w:rsidRPr="0006004C">
        <w:rPr>
          <w:rFonts w:asciiTheme="majorBidi" w:hAnsiTheme="majorBidi" w:cstheme="majorBidi"/>
        </w:rPr>
        <w:t>īt</w:t>
      </w:r>
      <w:r w:rsidR="00B75E25" w:rsidRPr="0006004C">
        <w:rPr>
          <w:rFonts w:asciiTheme="majorBidi" w:hAnsiTheme="majorBidi" w:cstheme="majorBidi"/>
        </w:rPr>
        <w:t xml:space="preserve"> tiesību normā </w:t>
      </w:r>
      <w:r w:rsidR="00310DF8" w:rsidRPr="0006004C">
        <w:rPr>
          <w:rFonts w:asciiTheme="majorBidi" w:hAnsiTheme="majorBidi" w:cstheme="majorBidi"/>
        </w:rPr>
        <w:t xml:space="preserve">ietverto </w:t>
      </w:r>
      <w:r w:rsidR="004B1A95" w:rsidRPr="0006004C">
        <w:rPr>
          <w:rFonts w:asciiTheme="majorBidi" w:hAnsiTheme="majorBidi" w:cstheme="majorBidi"/>
        </w:rPr>
        <w:t>priekšnoteikumu</w:t>
      </w:r>
      <w:r w:rsidR="00723679" w:rsidRPr="0006004C">
        <w:rPr>
          <w:rFonts w:asciiTheme="majorBidi" w:hAnsiTheme="majorBidi" w:cstheme="majorBidi"/>
        </w:rPr>
        <w:t xml:space="preserve"> par garantijas naudas samaksu</w:t>
      </w:r>
      <w:r w:rsidR="00B75E25" w:rsidRPr="0006004C">
        <w:rPr>
          <w:rFonts w:asciiTheme="majorBidi" w:hAnsiTheme="majorBidi" w:cstheme="majorBidi"/>
        </w:rPr>
        <w:t>.</w:t>
      </w:r>
      <w:r w:rsidR="00723679" w:rsidRPr="0006004C">
        <w:rPr>
          <w:rFonts w:asciiTheme="majorBidi" w:hAnsiTheme="majorBidi" w:cstheme="majorBidi"/>
        </w:rPr>
        <w:t xml:space="preserve"> Tas nodrošina arī to, ka par biroja biedru kļūst tāds apdrošinātājs, kas ir tiesīgs veikt minēto apdrošināšanu. </w:t>
      </w:r>
      <w:r w:rsidR="00310DF8" w:rsidRPr="0006004C">
        <w:rPr>
          <w:rFonts w:asciiTheme="majorBidi" w:hAnsiTheme="majorBidi" w:cstheme="majorBidi"/>
        </w:rPr>
        <w:t xml:space="preserve">Šāds lēmums uzskatāms par administratīvo aktu ar tādu nosacījumu, kas nodrošina, lai administratīvais akts nākotnē atbilstu tiesību normām (būtu izpildīti visi tiesību normās norādītie priekšnoteikumi labvēlīga administratīvā akta izdošanai), jo izdošanas brīdī tām neatbilst. Neizpildot šos priekšnoteikumus administratīvajā aktā noteiktajā termiņā, persona neiegūst tiesības, ko ar administratīvo aktu plānots piešķirt. </w:t>
      </w:r>
    </w:p>
    <w:p w14:paraId="30F48F84" w14:textId="77777777" w:rsidR="007F6D0C" w:rsidRPr="0006004C" w:rsidRDefault="007F6D0C" w:rsidP="0096531A">
      <w:pPr>
        <w:spacing w:line="276" w:lineRule="auto"/>
        <w:ind w:firstLine="720"/>
        <w:jc w:val="both"/>
        <w:rPr>
          <w:rFonts w:asciiTheme="majorBidi" w:hAnsiTheme="majorBidi" w:cstheme="majorBidi"/>
        </w:rPr>
      </w:pPr>
    </w:p>
    <w:p w14:paraId="1DDCA600" w14:textId="79B45629" w:rsidR="00205AB2" w:rsidRPr="0006004C" w:rsidRDefault="007F6D0C" w:rsidP="0096531A">
      <w:pPr>
        <w:spacing w:line="276" w:lineRule="auto"/>
        <w:ind w:firstLine="720"/>
        <w:jc w:val="both"/>
        <w:rPr>
          <w:rFonts w:asciiTheme="majorBidi" w:hAnsiTheme="majorBidi" w:cstheme="majorBidi"/>
        </w:rPr>
      </w:pPr>
      <w:r w:rsidRPr="0006004C">
        <w:rPr>
          <w:rFonts w:asciiTheme="majorBidi" w:hAnsiTheme="majorBidi" w:cstheme="majorBidi"/>
        </w:rPr>
        <w:t>[1</w:t>
      </w:r>
      <w:r w:rsidR="00205AB2" w:rsidRPr="0006004C">
        <w:rPr>
          <w:rFonts w:asciiTheme="majorBidi" w:hAnsiTheme="majorBidi" w:cstheme="majorBidi"/>
        </w:rPr>
        <w:t>3</w:t>
      </w:r>
      <w:r w:rsidRPr="0006004C">
        <w:rPr>
          <w:rFonts w:asciiTheme="majorBidi" w:hAnsiTheme="majorBidi" w:cstheme="majorBidi"/>
        </w:rPr>
        <w:t>] </w:t>
      </w:r>
      <w:r w:rsidR="00B83881" w:rsidRPr="0006004C">
        <w:rPr>
          <w:rFonts w:asciiTheme="majorBidi" w:hAnsiTheme="majorBidi" w:cstheme="majorBidi"/>
        </w:rPr>
        <w:t>Tā kā</w:t>
      </w:r>
      <w:r w:rsidR="008019D4" w:rsidRPr="0006004C">
        <w:rPr>
          <w:rFonts w:asciiTheme="majorBidi" w:hAnsiTheme="majorBidi" w:cstheme="majorBidi"/>
        </w:rPr>
        <w:t xml:space="preserve"> garantijas naudas samaksa ir priekšnoteikums tam, lai </w:t>
      </w:r>
      <w:r w:rsidR="00001FAD" w:rsidRPr="0006004C">
        <w:rPr>
          <w:rFonts w:asciiTheme="majorBidi" w:hAnsiTheme="majorBidi" w:cstheme="majorBidi"/>
        </w:rPr>
        <w:t>apdrošinātājs</w:t>
      </w:r>
      <w:r w:rsidR="008019D4" w:rsidRPr="0006004C">
        <w:rPr>
          <w:rFonts w:asciiTheme="majorBidi" w:hAnsiTheme="majorBidi" w:cstheme="majorBidi"/>
        </w:rPr>
        <w:t xml:space="preserve"> kļūtu par biroja biedru</w:t>
      </w:r>
      <w:r w:rsidR="00B83881" w:rsidRPr="0006004C">
        <w:rPr>
          <w:rFonts w:asciiTheme="majorBidi" w:hAnsiTheme="majorBidi" w:cstheme="majorBidi"/>
        </w:rPr>
        <w:t>,</w:t>
      </w:r>
      <w:r w:rsidR="00310DF8" w:rsidRPr="0006004C">
        <w:rPr>
          <w:rFonts w:asciiTheme="majorBidi" w:hAnsiTheme="majorBidi" w:cstheme="majorBidi"/>
        </w:rPr>
        <w:t xml:space="preserve"> tas nav</w:t>
      </w:r>
      <w:r w:rsidR="00253F1C" w:rsidRPr="0006004C">
        <w:rPr>
          <w:rFonts w:asciiTheme="majorBidi" w:hAnsiTheme="majorBidi" w:cstheme="majorBidi"/>
        </w:rPr>
        <w:t xml:space="preserve"> uzdevums, kas būtu jāizpilda</w:t>
      </w:r>
      <w:r w:rsidR="00E54135" w:rsidRPr="0006004C">
        <w:rPr>
          <w:rFonts w:asciiTheme="majorBidi" w:hAnsiTheme="majorBidi" w:cstheme="majorBidi"/>
        </w:rPr>
        <w:t xml:space="preserve"> jau biedra tiesības ieguvušam</w:t>
      </w:r>
      <w:r w:rsidR="00253F1C" w:rsidRPr="0006004C">
        <w:rPr>
          <w:rFonts w:asciiTheme="majorBidi" w:hAnsiTheme="majorBidi" w:cstheme="majorBidi"/>
        </w:rPr>
        <w:t xml:space="preserve"> biedram</w:t>
      </w:r>
      <w:r w:rsidR="008019D4" w:rsidRPr="0006004C">
        <w:rPr>
          <w:rFonts w:asciiTheme="majorBidi" w:hAnsiTheme="majorBidi" w:cstheme="majorBidi"/>
        </w:rPr>
        <w:t>.</w:t>
      </w:r>
      <w:r w:rsidR="00253F1C" w:rsidRPr="0006004C">
        <w:rPr>
          <w:rFonts w:asciiTheme="majorBidi" w:hAnsiTheme="majorBidi" w:cstheme="majorBidi"/>
        </w:rPr>
        <w:t xml:space="preserve"> </w:t>
      </w:r>
      <w:r w:rsidR="00310DF8" w:rsidRPr="0006004C">
        <w:rPr>
          <w:rFonts w:asciiTheme="majorBidi" w:hAnsiTheme="majorBidi" w:cstheme="majorBidi"/>
        </w:rPr>
        <w:t xml:space="preserve">Līdz ar to </w:t>
      </w:r>
      <w:r w:rsidR="00D46A30" w:rsidRPr="0006004C">
        <w:rPr>
          <w:rFonts w:asciiTheme="majorBidi" w:hAnsiTheme="majorBidi" w:cstheme="majorBidi"/>
        </w:rPr>
        <w:t>uzņemšanas lēmumā ietvertais nosacījums</w:t>
      </w:r>
      <w:r w:rsidR="00937BFC" w:rsidRPr="0006004C">
        <w:rPr>
          <w:rFonts w:asciiTheme="majorBidi" w:hAnsiTheme="majorBidi" w:cstheme="majorBidi"/>
        </w:rPr>
        <w:t xml:space="preserve"> </w:t>
      </w:r>
      <w:r w:rsidR="00D46A30" w:rsidRPr="0006004C">
        <w:rPr>
          <w:rFonts w:asciiTheme="majorBidi" w:hAnsiTheme="majorBidi" w:cstheme="majorBidi"/>
        </w:rPr>
        <w:t>pēc būtības paredz to, ka biedrs par tādu kļūst tad, kad ir samaksāta garantijas naud</w:t>
      </w:r>
      <w:r w:rsidR="004B1A95" w:rsidRPr="0006004C">
        <w:rPr>
          <w:rFonts w:asciiTheme="majorBidi" w:hAnsiTheme="majorBidi" w:cstheme="majorBidi"/>
        </w:rPr>
        <w:t>a</w:t>
      </w:r>
      <w:r w:rsidR="00D46A30" w:rsidRPr="0006004C">
        <w:rPr>
          <w:rFonts w:asciiTheme="majorBidi" w:hAnsiTheme="majorBidi" w:cstheme="majorBidi"/>
        </w:rPr>
        <w:t>. U</w:t>
      </w:r>
      <w:r w:rsidR="00253F1C" w:rsidRPr="0006004C">
        <w:rPr>
          <w:rFonts w:asciiTheme="majorBidi" w:hAnsiTheme="majorBidi" w:cstheme="majorBidi"/>
        </w:rPr>
        <w:t xml:space="preserve">zņemšanas lēmumā </w:t>
      </w:r>
      <w:r w:rsidR="0097269B" w:rsidRPr="0006004C">
        <w:rPr>
          <w:rFonts w:asciiTheme="majorBidi" w:hAnsiTheme="majorBidi" w:cstheme="majorBidi"/>
        </w:rPr>
        <w:t>noteiktais pienākums</w:t>
      </w:r>
      <w:r w:rsidR="00253F1C" w:rsidRPr="0006004C">
        <w:rPr>
          <w:rFonts w:asciiTheme="majorBidi" w:hAnsiTheme="majorBidi" w:cstheme="majorBidi"/>
        </w:rPr>
        <w:t xml:space="preserve"> līdz noteiktam datumam samaksāt garantijas naudu jeb izpildīt tiesību normā </w:t>
      </w:r>
      <w:r w:rsidR="0097269B" w:rsidRPr="0006004C">
        <w:rPr>
          <w:rFonts w:asciiTheme="majorBidi" w:hAnsiTheme="majorBidi" w:cstheme="majorBidi"/>
        </w:rPr>
        <w:t>paredzēto</w:t>
      </w:r>
      <w:r w:rsidR="00310DF8" w:rsidRPr="0006004C">
        <w:rPr>
          <w:rFonts w:asciiTheme="majorBidi" w:hAnsiTheme="majorBidi" w:cstheme="majorBidi"/>
        </w:rPr>
        <w:t xml:space="preserve"> priekšnoteikumu</w:t>
      </w:r>
      <w:r w:rsidR="00253F1C" w:rsidRPr="0006004C">
        <w:rPr>
          <w:rFonts w:asciiTheme="majorBidi" w:hAnsiTheme="majorBidi" w:cstheme="majorBidi"/>
        </w:rPr>
        <w:t xml:space="preserve"> nosaka brīdi, ar kuru </w:t>
      </w:r>
      <w:r w:rsidR="00D46A30" w:rsidRPr="0006004C">
        <w:rPr>
          <w:rFonts w:asciiTheme="majorBidi" w:hAnsiTheme="majorBidi" w:cstheme="majorBidi"/>
        </w:rPr>
        <w:t xml:space="preserve">potenciālais biroja biedrs šīs tiesības iegūst, tātad nosaka brīdi, ar kuru </w:t>
      </w:r>
      <w:r w:rsidR="00BF0491" w:rsidRPr="0006004C">
        <w:rPr>
          <w:rFonts w:asciiTheme="majorBidi" w:hAnsiTheme="majorBidi" w:cstheme="majorBidi"/>
        </w:rPr>
        <w:t xml:space="preserve">uzņemšanas lēmums </w:t>
      </w:r>
      <w:r w:rsidR="00E342E7" w:rsidRPr="0006004C">
        <w:rPr>
          <w:rFonts w:asciiTheme="majorBidi" w:hAnsiTheme="majorBidi" w:cstheme="majorBidi"/>
        </w:rPr>
        <w:t xml:space="preserve">materiāli tiesiskā nozīmē </w:t>
      </w:r>
      <w:r w:rsidR="00BF0491" w:rsidRPr="0006004C">
        <w:rPr>
          <w:rFonts w:asciiTheme="majorBidi" w:hAnsiTheme="majorBidi" w:cstheme="majorBidi"/>
        </w:rPr>
        <w:t>stājas spēkā</w:t>
      </w:r>
      <w:r w:rsidR="00253F1C" w:rsidRPr="0006004C">
        <w:rPr>
          <w:rFonts w:asciiTheme="majorBidi" w:hAnsiTheme="majorBidi" w:cstheme="majorBidi"/>
        </w:rPr>
        <w:t xml:space="preserve">. </w:t>
      </w:r>
      <w:r w:rsidR="00904D28" w:rsidRPr="0006004C">
        <w:rPr>
          <w:rFonts w:asciiTheme="majorBidi" w:hAnsiTheme="majorBidi" w:cstheme="majorBidi"/>
        </w:rPr>
        <w:t xml:space="preserve">No administratīvā procesa viedokļa šāds lēmums uzskatāms par administratīvo aktu, kura materiālā spēkā stāšanās nesakrīt ar procesuālo spēkā stāšanos (lēmuma paziņošanas brīdis). </w:t>
      </w:r>
      <w:r w:rsidR="00904D28" w:rsidRPr="0006004C">
        <w:rPr>
          <w:rFonts w:asciiTheme="majorBidi" w:hAnsiTheme="majorBidi" w:cstheme="majorBidi"/>
        </w:rPr>
        <w:lastRenderedPageBreak/>
        <w:t>Proti, materiālajai spēkā esībai noteikts vēlāks termiņš, turklāt administratīvā akta spēkā stāšanās atkarīga no tā, ir vai nav izpildīti tajā ietvertie priekšnoteikumi (sal. sk.</w:t>
      </w:r>
      <w:r w:rsidR="00904D28" w:rsidRPr="0006004C">
        <w:rPr>
          <w:rFonts w:asciiTheme="majorBidi" w:hAnsiTheme="majorBidi" w:cstheme="majorBidi"/>
          <w:i/>
          <w:iCs/>
        </w:rPr>
        <w:t xml:space="preserve"> Senāta 2017.gada </w:t>
      </w:r>
      <w:r w:rsidR="00F07840" w:rsidRPr="0006004C">
        <w:rPr>
          <w:rFonts w:asciiTheme="majorBidi" w:hAnsiTheme="majorBidi" w:cstheme="majorBidi"/>
          <w:i/>
          <w:iCs/>
        </w:rPr>
        <w:t>24.februāra sprieduma lietā Nr. </w:t>
      </w:r>
      <w:hyperlink r:id="rId10" w:history="1">
        <w:r w:rsidR="00F07840" w:rsidRPr="0006004C">
          <w:rPr>
            <w:rStyle w:val="Hyperlink"/>
            <w:rFonts w:asciiTheme="majorBidi" w:hAnsiTheme="majorBidi" w:cstheme="majorBidi"/>
            <w:i/>
            <w:iCs/>
          </w:rPr>
          <w:t>SKA-118/2017</w:t>
        </w:r>
      </w:hyperlink>
      <w:r w:rsidR="0001783F" w:rsidRPr="0006004C">
        <w:rPr>
          <w:rFonts w:asciiTheme="majorBidi" w:hAnsiTheme="majorBidi" w:cstheme="majorBidi"/>
          <w:i/>
          <w:iCs/>
        </w:rPr>
        <w:t>, A420601112,</w:t>
      </w:r>
      <w:r w:rsidR="00F07840" w:rsidRPr="0006004C">
        <w:rPr>
          <w:rFonts w:asciiTheme="majorBidi" w:hAnsiTheme="majorBidi" w:cstheme="majorBidi"/>
          <w:i/>
          <w:iCs/>
        </w:rPr>
        <w:t xml:space="preserve"> 7.punktu</w:t>
      </w:r>
      <w:r w:rsidR="00904D28" w:rsidRPr="0006004C">
        <w:rPr>
          <w:rFonts w:asciiTheme="majorBidi" w:hAnsiTheme="majorBidi" w:cstheme="majorBidi"/>
        </w:rPr>
        <w:t>).</w:t>
      </w:r>
      <w:r w:rsidR="00205AB2" w:rsidRPr="0006004C">
        <w:rPr>
          <w:rFonts w:asciiTheme="majorBidi" w:hAnsiTheme="majorBidi" w:cstheme="majorBidi"/>
        </w:rPr>
        <w:t xml:space="preserve"> </w:t>
      </w:r>
      <w:r w:rsidR="00904D28" w:rsidRPr="0006004C">
        <w:rPr>
          <w:rFonts w:asciiTheme="majorBidi" w:hAnsiTheme="majorBidi" w:cstheme="majorBidi"/>
        </w:rPr>
        <w:t xml:space="preserve">Sekojoši </w:t>
      </w:r>
      <w:r w:rsidRPr="0006004C">
        <w:rPr>
          <w:rFonts w:asciiTheme="majorBidi" w:hAnsiTheme="majorBidi" w:cstheme="majorBidi"/>
        </w:rPr>
        <w:t>biroja valdes 2021.gada 8.augusta</w:t>
      </w:r>
      <w:r w:rsidR="00904D28" w:rsidRPr="0006004C">
        <w:rPr>
          <w:rFonts w:asciiTheme="majorBidi" w:hAnsiTheme="majorBidi" w:cstheme="majorBidi"/>
        </w:rPr>
        <w:t xml:space="preserve"> sēdē</w:t>
      </w:r>
      <w:r w:rsidR="00A35AE5" w:rsidRPr="0006004C">
        <w:rPr>
          <w:rFonts w:asciiTheme="majorBidi" w:hAnsiTheme="majorBidi" w:cstheme="majorBidi"/>
        </w:rPr>
        <w:t>, kurā pieņemts izslēgšanas lēmums,</w:t>
      </w:r>
      <w:r w:rsidR="00904D28" w:rsidRPr="0006004C">
        <w:rPr>
          <w:rFonts w:asciiTheme="majorBidi" w:hAnsiTheme="majorBidi" w:cstheme="majorBidi"/>
        </w:rPr>
        <w:t xml:space="preserve"> tika pārbaudīts, vai uzņemšanas lēmums ir stājies spēkā – vai ir izpildīti uzņemšanas lēmumā ietvertie nosacījumi. </w:t>
      </w:r>
      <w:r w:rsidRPr="0006004C">
        <w:rPr>
          <w:rFonts w:asciiTheme="majorBidi" w:hAnsiTheme="majorBidi" w:cstheme="majorBidi"/>
        </w:rPr>
        <w:t>Tā kā</w:t>
      </w:r>
      <w:r w:rsidR="00904D28" w:rsidRPr="0006004C">
        <w:rPr>
          <w:rFonts w:asciiTheme="majorBidi" w:hAnsiTheme="majorBidi" w:cstheme="majorBidi"/>
        </w:rPr>
        <w:t xml:space="preserve"> uzņemšanas lēmumā ietvertie nosacījumi n</w:t>
      </w:r>
      <w:r w:rsidRPr="0006004C">
        <w:rPr>
          <w:rFonts w:asciiTheme="majorBidi" w:hAnsiTheme="majorBidi" w:cstheme="majorBidi"/>
        </w:rPr>
        <w:t>ebija</w:t>
      </w:r>
      <w:r w:rsidR="00904D28" w:rsidRPr="0006004C">
        <w:rPr>
          <w:rFonts w:asciiTheme="majorBidi" w:hAnsiTheme="majorBidi" w:cstheme="majorBidi"/>
        </w:rPr>
        <w:t xml:space="preserve"> izpildīti, </w:t>
      </w:r>
      <w:r w:rsidRPr="0006004C">
        <w:rPr>
          <w:rFonts w:asciiTheme="majorBidi" w:hAnsiTheme="majorBidi" w:cstheme="majorBidi"/>
        </w:rPr>
        <w:t>secināms, ka</w:t>
      </w:r>
      <w:r w:rsidR="00904D28" w:rsidRPr="0006004C">
        <w:rPr>
          <w:rFonts w:asciiTheme="majorBidi" w:hAnsiTheme="majorBidi" w:cstheme="majorBidi"/>
        </w:rPr>
        <w:t xml:space="preserve"> </w:t>
      </w:r>
      <w:r w:rsidR="00205AB2" w:rsidRPr="0006004C">
        <w:rPr>
          <w:rFonts w:asciiTheme="majorBidi" w:hAnsiTheme="majorBidi" w:cstheme="majorBidi"/>
        </w:rPr>
        <w:t xml:space="preserve">uzņemšanas lēmums nestājās spēkā un </w:t>
      </w:r>
      <w:r w:rsidR="00904D28" w:rsidRPr="0006004C">
        <w:rPr>
          <w:rFonts w:asciiTheme="majorBidi" w:hAnsiTheme="majorBidi" w:cstheme="majorBidi"/>
        </w:rPr>
        <w:t>pieteicēja pēc būtības n</w:t>
      </w:r>
      <w:r w:rsidRPr="0006004C">
        <w:rPr>
          <w:rFonts w:asciiTheme="majorBidi" w:hAnsiTheme="majorBidi" w:cstheme="majorBidi"/>
        </w:rPr>
        <w:t>ebija</w:t>
      </w:r>
      <w:r w:rsidR="00904D28" w:rsidRPr="0006004C">
        <w:rPr>
          <w:rFonts w:asciiTheme="majorBidi" w:hAnsiTheme="majorBidi" w:cstheme="majorBidi"/>
        </w:rPr>
        <w:t xml:space="preserve"> kļuvusi par biroja biedru. </w:t>
      </w:r>
    </w:p>
    <w:p w14:paraId="3D87BB7A" w14:textId="2FE89F5E" w:rsidR="00904D28" w:rsidRPr="0006004C" w:rsidRDefault="00904D28" w:rsidP="0096531A">
      <w:pPr>
        <w:spacing w:line="276" w:lineRule="auto"/>
        <w:ind w:firstLine="720"/>
        <w:jc w:val="both"/>
        <w:rPr>
          <w:rFonts w:asciiTheme="majorBidi" w:hAnsiTheme="majorBidi" w:cstheme="majorBidi"/>
        </w:rPr>
      </w:pPr>
      <w:r w:rsidRPr="0006004C">
        <w:rPr>
          <w:rFonts w:asciiTheme="majorBidi" w:hAnsiTheme="majorBidi" w:cstheme="majorBidi"/>
        </w:rPr>
        <w:t>No iepriekš</w:t>
      </w:r>
      <w:r w:rsidR="00FF750C" w:rsidRPr="0006004C">
        <w:rPr>
          <w:rFonts w:asciiTheme="majorBidi" w:hAnsiTheme="majorBidi" w:cstheme="majorBidi"/>
        </w:rPr>
        <w:t xml:space="preserve"> minētā </w:t>
      </w:r>
      <w:r w:rsidR="00A35AE5" w:rsidRPr="0006004C">
        <w:rPr>
          <w:rFonts w:asciiTheme="majorBidi" w:hAnsiTheme="majorBidi" w:cstheme="majorBidi"/>
        </w:rPr>
        <w:t>secināms</w:t>
      </w:r>
      <w:r w:rsidRPr="0006004C">
        <w:rPr>
          <w:rFonts w:asciiTheme="majorBidi" w:hAnsiTheme="majorBidi" w:cstheme="majorBidi"/>
        </w:rPr>
        <w:t xml:space="preserve">, ka izslēgšanas lēmums </w:t>
      </w:r>
      <w:r w:rsidR="00D752FB" w:rsidRPr="0006004C">
        <w:rPr>
          <w:rFonts w:asciiTheme="majorBidi" w:hAnsiTheme="majorBidi" w:cstheme="majorBidi"/>
        </w:rPr>
        <w:t xml:space="preserve">šādā gadījumā </w:t>
      </w:r>
      <w:r w:rsidRPr="0006004C">
        <w:rPr>
          <w:rFonts w:asciiTheme="majorBidi" w:hAnsiTheme="majorBidi" w:cstheme="majorBidi"/>
        </w:rPr>
        <w:t>nav uzskatāms par patstāvīgu administratīvo aktu, bet gan par iepriekšējā procesa turpinājumu – procesuālu lēmumu, ar kuru tiek noskaidrota iepriekš izdotā administratīvā akta spēkā esība. Izslēgšanas lēmuma rezolutīvā daļa acīmredzami formulēta tā, lai atbilstu uzņemšanas lēmumā ietvertajam formulējumam uzņem</w:t>
      </w:r>
      <w:r w:rsidR="007F6D0C" w:rsidRPr="0006004C">
        <w:rPr>
          <w:rFonts w:asciiTheme="majorBidi" w:hAnsiTheme="majorBidi" w:cstheme="majorBidi"/>
        </w:rPr>
        <w:t>t</w:t>
      </w:r>
      <w:r w:rsidRPr="0006004C">
        <w:rPr>
          <w:rFonts w:asciiTheme="majorBidi" w:hAnsiTheme="majorBidi" w:cstheme="majorBidi"/>
        </w:rPr>
        <w:t xml:space="preserve"> pieteicēju par </w:t>
      </w:r>
      <w:r w:rsidR="007F6D0C" w:rsidRPr="0006004C">
        <w:rPr>
          <w:rFonts w:asciiTheme="majorBidi" w:hAnsiTheme="majorBidi" w:cstheme="majorBidi"/>
        </w:rPr>
        <w:t xml:space="preserve">biroja </w:t>
      </w:r>
      <w:r w:rsidRPr="0006004C">
        <w:rPr>
          <w:rFonts w:asciiTheme="majorBidi" w:hAnsiTheme="majorBidi" w:cstheme="majorBidi"/>
        </w:rPr>
        <w:t xml:space="preserve">biedru, tādēļ šķietami rada iespaidu, ka ar </w:t>
      </w:r>
      <w:r w:rsidR="007F6D0C" w:rsidRPr="0006004C">
        <w:rPr>
          <w:rFonts w:asciiTheme="majorBidi" w:hAnsiTheme="majorBidi" w:cstheme="majorBidi"/>
        </w:rPr>
        <w:t xml:space="preserve">to </w:t>
      </w:r>
      <w:r w:rsidRPr="0006004C">
        <w:rPr>
          <w:rFonts w:asciiTheme="majorBidi" w:hAnsiTheme="majorBidi" w:cstheme="majorBidi"/>
        </w:rPr>
        <w:t>tiek atņemtas kādas iepriekš piešķirtas tiesības. Tomēr pēc būtības ar šādu lēmumu konstatēts tikai tas, ka pieteicēja nebija izpildījusi uzņemšanas lēmumā minēto</w:t>
      </w:r>
      <w:r w:rsidR="007F6D0C" w:rsidRPr="0006004C">
        <w:rPr>
          <w:rFonts w:asciiTheme="majorBidi" w:hAnsiTheme="majorBidi" w:cstheme="majorBidi"/>
        </w:rPr>
        <w:t>s</w:t>
      </w:r>
      <w:r w:rsidRPr="0006004C">
        <w:rPr>
          <w:rFonts w:asciiTheme="majorBidi" w:hAnsiTheme="majorBidi" w:cstheme="majorBidi"/>
        </w:rPr>
        <w:t xml:space="preserve"> nosacījumu</w:t>
      </w:r>
      <w:r w:rsidR="007F6D0C" w:rsidRPr="0006004C">
        <w:rPr>
          <w:rFonts w:asciiTheme="majorBidi" w:hAnsiTheme="majorBidi" w:cstheme="majorBidi"/>
        </w:rPr>
        <w:t>s</w:t>
      </w:r>
      <w:r w:rsidRPr="0006004C">
        <w:rPr>
          <w:rFonts w:asciiTheme="majorBidi" w:hAnsiTheme="majorBidi" w:cstheme="majorBidi"/>
        </w:rPr>
        <w:t xml:space="preserve"> biedra tiesību iegūšanai un ka uzņemšanas lēmums </w:t>
      </w:r>
      <w:r w:rsidR="007F6D0C" w:rsidRPr="0006004C">
        <w:rPr>
          <w:rFonts w:asciiTheme="majorBidi" w:hAnsiTheme="majorBidi" w:cstheme="majorBidi"/>
        </w:rPr>
        <w:t>tādējādi n</w:t>
      </w:r>
      <w:r w:rsidRPr="0006004C">
        <w:rPr>
          <w:rFonts w:asciiTheme="majorBidi" w:hAnsiTheme="majorBidi" w:cstheme="majorBidi"/>
        </w:rPr>
        <w:t xml:space="preserve">ebija stājies spēkā. </w:t>
      </w:r>
    </w:p>
    <w:p w14:paraId="1800853E" w14:textId="77777777" w:rsidR="00E7656F" w:rsidRPr="0006004C" w:rsidRDefault="00E7656F" w:rsidP="0096531A">
      <w:pPr>
        <w:spacing w:line="276" w:lineRule="auto"/>
        <w:ind w:firstLine="720"/>
        <w:jc w:val="both"/>
        <w:rPr>
          <w:rFonts w:asciiTheme="majorBidi" w:hAnsiTheme="majorBidi" w:cstheme="majorBidi"/>
        </w:rPr>
      </w:pPr>
    </w:p>
    <w:p w14:paraId="692D0EA0" w14:textId="66460DE9" w:rsidR="000D56AB" w:rsidRPr="0006004C" w:rsidRDefault="000D56AB" w:rsidP="0096531A">
      <w:pPr>
        <w:spacing w:line="276" w:lineRule="auto"/>
        <w:ind w:firstLine="720"/>
        <w:jc w:val="both"/>
        <w:rPr>
          <w:rFonts w:asciiTheme="majorBidi" w:hAnsiTheme="majorBidi" w:cstheme="majorBidi"/>
        </w:rPr>
      </w:pPr>
      <w:r w:rsidRPr="0006004C">
        <w:rPr>
          <w:rFonts w:asciiTheme="majorBidi" w:hAnsiTheme="majorBidi" w:cstheme="majorBidi"/>
        </w:rPr>
        <w:t xml:space="preserve">[14] Senāts detalizētāk nepievērsīsies iestāšanās naudas kā nosacījuma vērtēšanai, jo šis nosacījums ar Finanšu ministrijas lēmumu tika atcelts. Turklāt </w:t>
      </w:r>
      <w:r w:rsidR="009E0B5A" w:rsidRPr="0006004C">
        <w:rPr>
          <w:rFonts w:asciiTheme="majorBidi" w:hAnsiTheme="majorBidi" w:cstheme="majorBidi"/>
        </w:rPr>
        <w:t xml:space="preserve">arī </w:t>
      </w:r>
      <w:r w:rsidRPr="0006004C">
        <w:rPr>
          <w:rFonts w:asciiTheme="majorBidi" w:hAnsiTheme="majorBidi" w:cstheme="majorBidi"/>
        </w:rPr>
        <w:t>ar garantijas naudas nesamaksāšanu uzņemšanas lēmumā noteiktajā termiņā bija pietiekami, lai uzņemšanas lēmums nestātos spēkā.</w:t>
      </w:r>
      <w:r w:rsidR="00F81E49" w:rsidRPr="0006004C">
        <w:rPr>
          <w:rFonts w:asciiTheme="majorBidi" w:hAnsiTheme="majorBidi" w:cstheme="majorBidi"/>
        </w:rPr>
        <w:t xml:space="preserve"> Argumenti par to, ka garantijas nauda netika maksāta tādēļ, ka pastāvēja strīds par iestāšanās naudu un ka abi šie maksājumi bija noteikti kā kumulatīvi, nemaina izslēgšanas lēmuma tiesisko dabu. </w:t>
      </w:r>
      <w:r w:rsidR="009E0B5A" w:rsidRPr="0006004C">
        <w:rPr>
          <w:rFonts w:asciiTheme="majorBidi" w:hAnsiTheme="majorBidi" w:cstheme="majorBidi"/>
        </w:rPr>
        <w:t>Pieteicējas argumenti par iestāšanās naudas prettiesiskumu un izvirzītā nosacījuma ietekmi uz zaudējumu rašanos</w:t>
      </w:r>
      <w:r w:rsidR="00F81E49" w:rsidRPr="0006004C">
        <w:rPr>
          <w:rFonts w:asciiTheme="majorBidi" w:hAnsiTheme="majorBidi" w:cstheme="majorBidi"/>
        </w:rPr>
        <w:t xml:space="preserve"> var</w:t>
      </w:r>
      <w:r w:rsidR="009E0B5A" w:rsidRPr="0006004C">
        <w:rPr>
          <w:rFonts w:asciiTheme="majorBidi" w:hAnsiTheme="majorBidi" w:cstheme="majorBidi"/>
        </w:rPr>
        <w:t>ētu</w:t>
      </w:r>
      <w:r w:rsidR="00F81E49" w:rsidRPr="0006004C">
        <w:rPr>
          <w:rFonts w:asciiTheme="majorBidi" w:hAnsiTheme="majorBidi" w:cstheme="majorBidi"/>
        </w:rPr>
        <w:t xml:space="preserve"> tikt vērtēt</w:t>
      </w:r>
      <w:r w:rsidR="009E0B5A" w:rsidRPr="0006004C">
        <w:rPr>
          <w:rFonts w:asciiTheme="majorBidi" w:hAnsiTheme="majorBidi" w:cstheme="majorBidi"/>
        </w:rPr>
        <w:t>i</w:t>
      </w:r>
      <w:r w:rsidR="00F81E49" w:rsidRPr="0006004C">
        <w:rPr>
          <w:rFonts w:asciiTheme="majorBidi" w:hAnsiTheme="majorBidi" w:cstheme="majorBidi"/>
        </w:rPr>
        <w:t xml:space="preserve"> lietā pa</w:t>
      </w:r>
      <w:r w:rsidR="00962B3B" w:rsidRPr="0006004C">
        <w:rPr>
          <w:rFonts w:asciiTheme="majorBidi" w:hAnsiTheme="majorBidi" w:cstheme="majorBidi"/>
        </w:rPr>
        <w:t>r</w:t>
      </w:r>
      <w:r w:rsidR="00F81E49" w:rsidRPr="0006004C">
        <w:rPr>
          <w:rFonts w:asciiTheme="majorBidi" w:hAnsiTheme="majorBidi" w:cstheme="majorBidi"/>
        </w:rPr>
        <w:t xml:space="preserve"> atlīdzinājumu</w:t>
      </w:r>
      <w:r w:rsidR="009E0B5A" w:rsidRPr="0006004C">
        <w:rPr>
          <w:rFonts w:asciiTheme="majorBidi" w:hAnsiTheme="majorBidi" w:cstheme="majorBidi"/>
        </w:rPr>
        <w:t>, ja pieteicēja uz to norādītu</w:t>
      </w:r>
      <w:r w:rsidR="00F81E49" w:rsidRPr="0006004C">
        <w:rPr>
          <w:rFonts w:asciiTheme="majorBidi" w:hAnsiTheme="majorBidi" w:cstheme="majorBidi"/>
        </w:rPr>
        <w:t>.</w:t>
      </w:r>
    </w:p>
    <w:p w14:paraId="6553BF75" w14:textId="77777777" w:rsidR="00125315" w:rsidRPr="0006004C" w:rsidRDefault="00125315" w:rsidP="0096531A">
      <w:pPr>
        <w:spacing w:line="276" w:lineRule="auto"/>
        <w:ind w:firstLine="720"/>
        <w:jc w:val="both"/>
        <w:rPr>
          <w:rFonts w:asciiTheme="majorBidi" w:hAnsiTheme="majorBidi" w:cstheme="majorBidi"/>
        </w:rPr>
      </w:pPr>
    </w:p>
    <w:p w14:paraId="7A27D53E" w14:textId="067AB2A8" w:rsidR="00E94A97" w:rsidRPr="0006004C" w:rsidRDefault="00E94A97" w:rsidP="0096531A">
      <w:pPr>
        <w:spacing w:line="276" w:lineRule="auto"/>
        <w:ind w:firstLine="720"/>
        <w:jc w:val="both"/>
        <w:rPr>
          <w:rFonts w:asciiTheme="majorBidi" w:hAnsiTheme="majorBidi" w:cstheme="majorBidi"/>
        </w:rPr>
      </w:pPr>
      <w:r w:rsidRPr="0006004C">
        <w:rPr>
          <w:rFonts w:asciiTheme="majorBidi" w:hAnsiTheme="majorBidi" w:cstheme="majorBidi"/>
        </w:rPr>
        <w:t>[1</w:t>
      </w:r>
      <w:r w:rsidR="000D56AB" w:rsidRPr="0006004C">
        <w:rPr>
          <w:rFonts w:asciiTheme="majorBidi" w:hAnsiTheme="majorBidi" w:cstheme="majorBidi"/>
        </w:rPr>
        <w:t>5</w:t>
      </w:r>
      <w:r w:rsidRPr="0006004C">
        <w:rPr>
          <w:rFonts w:asciiTheme="majorBidi" w:hAnsiTheme="majorBidi" w:cstheme="majorBidi"/>
        </w:rPr>
        <w:t xml:space="preserve">] Pieteicēja viedoklī par tiesvedības izbeigšanu norādījusi: pat ja tiek atzīts, ka izslēgšanas lēmums nav administratīvais akts, tas tomēr kā starplēmums vai procesuāls lēmums būtiski skar pieteicējas tiesības </w:t>
      </w:r>
      <w:r w:rsidR="000D56AB" w:rsidRPr="0006004C">
        <w:rPr>
          <w:rFonts w:asciiTheme="majorBidi" w:hAnsiTheme="majorBidi" w:cstheme="majorBidi"/>
        </w:rPr>
        <w:t>vai būtiski apgrūtina to īstenošanu</w:t>
      </w:r>
      <w:r w:rsidR="00E82016" w:rsidRPr="0006004C">
        <w:rPr>
          <w:rFonts w:asciiTheme="majorBidi" w:hAnsiTheme="majorBidi" w:cstheme="majorBidi"/>
        </w:rPr>
        <w:t>.</w:t>
      </w:r>
      <w:r w:rsidRPr="0006004C">
        <w:rPr>
          <w:rFonts w:asciiTheme="majorBidi" w:hAnsiTheme="majorBidi" w:cstheme="majorBidi"/>
        </w:rPr>
        <w:t xml:space="preserve"> Tādējādi pieteicēja uzskata, ka izslēgšanas lēmums ir administratīv</w:t>
      </w:r>
      <w:r w:rsidR="009E0B5A" w:rsidRPr="0006004C">
        <w:rPr>
          <w:rFonts w:asciiTheme="majorBidi" w:hAnsiTheme="majorBidi" w:cstheme="majorBidi"/>
        </w:rPr>
        <w:t>ai</w:t>
      </w:r>
      <w:r w:rsidRPr="0006004C">
        <w:rPr>
          <w:rFonts w:asciiTheme="majorBidi" w:hAnsiTheme="majorBidi" w:cstheme="majorBidi"/>
        </w:rPr>
        <w:t>s akts arī atbilstoši Administratīvā procesa likuma 1.panta trešās daļas 3.punktā ietvertajam izņēmumam. Senāts atzīst, ka pieteicēja nav pamatojusi, kā izslēgšanas lēmums būtiski aizskar pieteicējas tiesības vai tiesiskās intereses</w:t>
      </w:r>
      <w:r w:rsidR="00E82016" w:rsidRPr="0006004C">
        <w:rPr>
          <w:rFonts w:asciiTheme="majorBidi" w:hAnsiTheme="majorBidi" w:cstheme="majorBidi"/>
        </w:rPr>
        <w:t xml:space="preserve"> vai būtiski apgrūtina to īstenošanu. No lietas materiāliem izriet, ka pieteicēja ir panākusi tās uzņemšanu par</w:t>
      </w:r>
      <w:r w:rsidR="007D6E3B" w:rsidRPr="0006004C">
        <w:rPr>
          <w:rFonts w:asciiTheme="majorBidi" w:hAnsiTheme="majorBidi" w:cstheme="majorBidi"/>
        </w:rPr>
        <w:t xml:space="preserve"> biroja</w:t>
      </w:r>
      <w:r w:rsidR="00E82016" w:rsidRPr="0006004C">
        <w:rPr>
          <w:rFonts w:asciiTheme="majorBidi" w:hAnsiTheme="majorBidi" w:cstheme="majorBidi"/>
        </w:rPr>
        <w:t xml:space="preserve"> biedru, samaksājot tikai garantijas naudu</w:t>
      </w:r>
      <w:r w:rsidR="00F81E49" w:rsidRPr="0006004C">
        <w:rPr>
          <w:rFonts w:asciiTheme="majorBidi" w:hAnsiTheme="majorBidi" w:cstheme="majorBidi"/>
        </w:rPr>
        <w:t>.</w:t>
      </w:r>
      <w:r w:rsidR="00E82016" w:rsidRPr="0006004C">
        <w:rPr>
          <w:rFonts w:asciiTheme="majorBidi" w:hAnsiTheme="majorBidi" w:cstheme="majorBidi"/>
        </w:rPr>
        <w:t xml:space="preserve"> </w:t>
      </w:r>
      <w:r w:rsidR="00F81E49" w:rsidRPr="0006004C">
        <w:rPr>
          <w:rFonts w:asciiTheme="majorBidi" w:hAnsiTheme="majorBidi" w:cstheme="majorBidi"/>
        </w:rPr>
        <w:t>Pieteicēja ir vērsusies tiesā arī par atlīdzinājumu saistībā ar uzņemšanas lēmuma apstrīdēto daļu,</w:t>
      </w:r>
      <w:r w:rsidR="00DD4905" w:rsidRPr="0006004C">
        <w:rPr>
          <w:rFonts w:asciiTheme="majorBidi" w:hAnsiTheme="majorBidi" w:cstheme="majorBidi"/>
        </w:rPr>
        <w:t xml:space="preserve"> kas ar Finanšu ministrijas lēmumu tika atzīts par prettiesisku,</w:t>
      </w:r>
      <w:r w:rsidR="00F81E49" w:rsidRPr="0006004C">
        <w:rPr>
          <w:rFonts w:asciiTheme="majorBidi" w:hAnsiTheme="majorBidi" w:cstheme="majorBidi"/>
        </w:rPr>
        <w:t xml:space="preserve"> un saistībā ar to Administratīvajā rajona tiesā ir ierosināta lieta. </w:t>
      </w:r>
    </w:p>
    <w:p w14:paraId="33AB9559" w14:textId="77777777" w:rsidR="00253F1C" w:rsidRPr="0006004C" w:rsidRDefault="00253F1C" w:rsidP="0096531A">
      <w:pPr>
        <w:spacing w:line="276" w:lineRule="auto"/>
        <w:ind w:firstLine="720"/>
        <w:jc w:val="both"/>
        <w:rPr>
          <w:rFonts w:asciiTheme="majorBidi" w:hAnsiTheme="majorBidi" w:cstheme="majorBidi"/>
        </w:rPr>
      </w:pPr>
    </w:p>
    <w:p w14:paraId="3242C954" w14:textId="31D85814" w:rsidR="00062A99" w:rsidRPr="0006004C" w:rsidRDefault="00062A99" w:rsidP="0096531A">
      <w:pPr>
        <w:spacing w:line="276" w:lineRule="auto"/>
        <w:ind w:firstLine="720"/>
        <w:jc w:val="both"/>
        <w:rPr>
          <w:rFonts w:asciiTheme="majorBidi" w:hAnsiTheme="majorBidi" w:cstheme="majorBidi"/>
        </w:rPr>
      </w:pPr>
      <w:r w:rsidRPr="0006004C">
        <w:rPr>
          <w:rFonts w:asciiTheme="majorBidi" w:hAnsiTheme="majorBidi" w:cstheme="majorBidi"/>
        </w:rPr>
        <w:t>[1</w:t>
      </w:r>
      <w:r w:rsidR="00E82016" w:rsidRPr="0006004C">
        <w:rPr>
          <w:rFonts w:asciiTheme="majorBidi" w:hAnsiTheme="majorBidi" w:cstheme="majorBidi"/>
        </w:rPr>
        <w:t>6</w:t>
      </w:r>
      <w:r w:rsidRPr="0006004C">
        <w:rPr>
          <w:rFonts w:asciiTheme="majorBidi" w:hAnsiTheme="majorBidi" w:cstheme="majorBidi"/>
        </w:rPr>
        <w:t>] Tā kā izslēgšanas lēmums nav administratīv</w:t>
      </w:r>
      <w:r w:rsidR="009E0B5A" w:rsidRPr="0006004C">
        <w:rPr>
          <w:rFonts w:asciiTheme="majorBidi" w:hAnsiTheme="majorBidi" w:cstheme="majorBidi"/>
        </w:rPr>
        <w:t>ai</w:t>
      </w:r>
      <w:r w:rsidRPr="0006004C">
        <w:rPr>
          <w:rFonts w:asciiTheme="majorBidi" w:hAnsiTheme="majorBidi" w:cstheme="majorBidi"/>
        </w:rPr>
        <w:t>s akts,</w:t>
      </w:r>
      <w:r w:rsidR="00BF0491" w:rsidRPr="0006004C">
        <w:rPr>
          <w:rFonts w:asciiTheme="majorBidi" w:hAnsiTheme="majorBidi" w:cstheme="majorBidi"/>
        </w:rPr>
        <w:t xml:space="preserve"> pieteikums daļā par izslēgšanas lēmuma atzīšanu par prettiesisku nav izskatāms Administratīvā procesa likumā noteiktajā kārtībā.</w:t>
      </w:r>
      <w:r w:rsidRPr="0006004C">
        <w:rPr>
          <w:rFonts w:asciiTheme="majorBidi" w:hAnsiTheme="majorBidi" w:cstheme="majorBidi"/>
        </w:rPr>
        <w:t xml:space="preserve"> </w:t>
      </w:r>
      <w:r w:rsidR="00BF0491" w:rsidRPr="0006004C">
        <w:rPr>
          <w:rFonts w:asciiTheme="majorBidi" w:hAnsiTheme="majorBidi" w:cstheme="majorBidi"/>
        </w:rPr>
        <w:t xml:space="preserve">Tādējādi tiesas spriedums ir atceļams un tiesvedība lietā izbeidzama, pamatojoties uz Administratīvā procesa likuma 282.panta 1.punktu. Attiecīgi </w:t>
      </w:r>
      <w:r w:rsidRPr="0006004C">
        <w:rPr>
          <w:rFonts w:asciiTheme="majorBidi" w:hAnsiTheme="majorBidi" w:cstheme="majorBidi"/>
        </w:rPr>
        <w:t xml:space="preserve">Senāts </w:t>
      </w:r>
      <w:r w:rsidR="003D26CF" w:rsidRPr="0006004C">
        <w:rPr>
          <w:rFonts w:asciiTheme="majorBidi" w:hAnsiTheme="majorBidi" w:cstheme="majorBidi"/>
        </w:rPr>
        <w:t xml:space="preserve">nevērtē kasācijas sūdzībā norādītos argumentus par to, vai izslēgšanas lēmumu ir pieņēmusi </w:t>
      </w:r>
      <w:r w:rsidR="003D26CF" w:rsidRPr="0006004C">
        <w:rPr>
          <w:rFonts w:asciiTheme="majorBidi" w:hAnsiTheme="majorBidi" w:cstheme="majorBidi"/>
        </w:rPr>
        <w:lastRenderedPageBreak/>
        <w:t>kompetentā biroja institūcija un vai ir ievēroti citi priekšnoteikumi šāda lēmuma pieņemšanai</w:t>
      </w:r>
      <w:r w:rsidR="00F81E49" w:rsidRPr="0006004C">
        <w:rPr>
          <w:rFonts w:asciiTheme="majorBidi" w:hAnsiTheme="majorBidi" w:cstheme="majorBidi"/>
        </w:rPr>
        <w:t>, kā arī nevērtē pārējos kasācijas sūdzības argumentus</w:t>
      </w:r>
      <w:r w:rsidR="003D26CF" w:rsidRPr="0006004C">
        <w:rPr>
          <w:rFonts w:asciiTheme="majorBidi" w:hAnsiTheme="majorBidi" w:cstheme="majorBidi"/>
        </w:rPr>
        <w:t xml:space="preserve">. </w:t>
      </w:r>
    </w:p>
    <w:p w14:paraId="48C3F933" w14:textId="77777777" w:rsidR="00B41D2F" w:rsidRPr="0006004C" w:rsidRDefault="00B41D2F" w:rsidP="0096531A">
      <w:pPr>
        <w:spacing w:line="276" w:lineRule="auto"/>
        <w:ind w:firstLine="720"/>
        <w:jc w:val="both"/>
        <w:rPr>
          <w:rFonts w:asciiTheme="majorBidi" w:hAnsiTheme="majorBidi" w:cstheme="majorBidi"/>
        </w:rPr>
      </w:pPr>
    </w:p>
    <w:p w14:paraId="56D9EDD7" w14:textId="24953EF7" w:rsidR="003C6F61" w:rsidRPr="0006004C" w:rsidRDefault="003C6F61" w:rsidP="0096531A">
      <w:pPr>
        <w:spacing w:line="276" w:lineRule="auto"/>
        <w:jc w:val="center"/>
        <w:rPr>
          <w:rFonts w:asciiTheme="majorBidi" w:hAnsiTheme="majorBidi" w:cstheme="majorBidi"/>
          <w:b/>
        </w:rPr>
      </w:pPr>
      <w:r w:rsidRPr="0006004C">
        <w:rPr>
          <w:rFonts w:asciiTheme="majorBidi" w:hAnsiTheme="majorBidi" w:cstheme="majorBidi"/>
          <w:b/>
        </w:rPr>
        <w:t>Rezolutīvā daļa</w:t>
      </w:r>
    </w:p>
    <w:p w14:paraId="0186245B" w14:textId="77777777" w:rsidR="003C6F61" w:rsidRPr="0006004C" w:rsidRDefault="003C6F61" w:rsidP="0096531A">
      <w:pPr>
        <w:shd w:val="clear" w:color="auto" w:fill="FFFFFF"/>
        <w:spacing w:line="276" w:lineRule="auto"/>
        <w:ind w:firstLine="709"/>
        <w:jc w:val="center"/>
        <w:rPr>
          <w:rFonts w:asciiTheme="majorBidi" w:hAnsiTheme="majorBidi" w:cstheme="majorBidi"/>
          <w:b/>
        </w:rPr>
      </w:pPr>
    </w:p>
    <w:p w14:paraId="122D62F8" w14:textId="77D11FA1" w:rsidR="003C6F61" w:rsidRPr="0006004C" w:rsidRDefault="003C6F61" w:rsidP="0096531A">
      <w:pPr>
        <w:shd w:val="clear" w:color="auto" w:fill="FFFFFF"/>
        <w:spacing w:line="276" w:lineRule="auto"/>
        <w:ind w:firstLine="720"/>
        <w:jc w:val="both"/>
        <w:rPr>
          <w:rFonts w:asciiTheme="majorBidi" w:hAnsiTheme="majorBidi" w:cstheme="majorBidi"/>
        </w:rPr>
      </w:pPr>
      <w:r w:rsidRPr="0006004C">
        <w:rPr>
          <w:rFonts w:asciiTheme="majorBidi" w:hAnsiTheme="majorBidi" w:cstheme="majorBidi"/>
        </w:rPr>
        <w:t xml:space="preserve">Pamatojoties uz </w:t>
      </w:r>
      <w:r w:rsidRPr="0006004C">
        <w:rPr>
          <w:rFonts w:asciiTheme="majorBidi" w:eastAsiaTheme="minorHAnsi" w:hAnsiTheme="majorBidi" w:cstheme="majorBidi"/>
          <w:lang w:eastAsia="en-US"/>
        </w:rPr>
        <w:t>Administratīvā procesa likuma</w:t>
      </w:r>
      <w:r w:rsidR="00E46258" w:rsidRPr="0006004C">
        <w:rPr>
          <w:rFonts w:asciiTheme="majorBidi" w:eastAsiaTheme="minorHAnsi" w:hAnsiTheme="majorBidi" w:cstheme="majorBidi"/>
          <w:lang w:eastAsia="en-US"/>
        </w:rPr>
        <w:t xml:space="preserve">, </w:t>
      </w:r>
      <w:r w:rsidRPr="0006004C">
        <w:rPr>
          <w:rFonts w:asciiTheme="majorBidi" w:eastAsiaTheme="minorHAnsi" w:hAnsiTheme="majorBidi" w:cstheme="majorBidi"/>
          <w:lang w:eastAsia="en-US"/>
        </w:rPr>
        <w:t xml:space="preserve">348.panta pirmās daļas </w:t>
      </w:r>
      <w:r w:rsidR="00BE1CE3" w:rsidRPr="0006004C">
        <w:rPr>
          <w:rFonts w:asciiTheme="majorBidi" w:eastAsiaTheme="minorHAnsi" w:hAnsiTheme="majorBidi" w:cstheme="majorBidi"/>
          <w:lang w:eastAsia="en-US"/>
        </w:rPr>
        <w:t>3</w:t>
      </w:r>
      <w:r w:rsidRPr="0006004C">
        <w:rPr>
          <w:rFonts w:asciiTheme="majorBidi" w:eastAsiaTheme="minorHAnsi" w:hAnsiTheme="majorBidi" w:cstheme="majorBidi"/>
          <w:lang w:eastAsia="en-US"/>
        </w:rPr>
        <w:t>.punktu</w:t>
      </w:r>
      <w:r w:rsidR="00BF0491" w:rsidRPr="0006004C">
        <w:rPr>
          <w:rFonts w:asciiTheme="majorBidi" w:eastAsiaTheme="minorHAnsi" w:hAnsiTheme="majorBidi" w:cstheme="majorBidi"/>
          <w:lang w:eastAsia="en-US"/>
        </w:rPr>
        <w:t>, 282.panta 1.punktu</w:t>
      </w:r>
      <w:r w:rsidRPr="0006004C">
        <w:rPr>
          <w:rFonts w:asciiTheme="majorBidi" w:eastAsiaTheme="minorHAnsi" w:hAnsiTheme="majorBidi" w:cstheme="majorBidi"/>
          <w:lang w:eastAsia="en-US"/>
        </w:rPr>
        <w:t xml:space="preserve"> un 351.pantu</w:t>
      </w:r>
      <w:r w:rsidRPr="0006004C">
        <w:rPr>
          <w:rFonts w:asciiTheme="majorBidi" w:hAnsiTheme="majorBidi" w:cstheme="majorBidi"/>
        </w:rPr>
        <w:t>, Senāts</w:t>
      </w:r>
    </w:p>
    <w:p w14:paraId="36CA5005" w14:textId="77777777" w:rsidR="00E46258" w:rsidRPr="0006004C" w:rsidRDefault="00E46258" w:rsidP="0096531A">
      <w:pPr>
        <w:shd w:val="clear" w:color="auto" w:fill="FFFFFF"/>
        <w:spacing w:line="276" w:lineRule="auto"/>
        <w:jc w:val="center"/>
        <w:rPr>
          <w:rFonts w:asciiTheme="majorBidi" w:hAnsiTheme="majorBidi" w:cstheme="majorBidi"/>
          <w:b/>
        </w:rPr>
      </w:pPr>
    </w:p>
    <w:p w14:paraId="723A8880" w14:textId="5B727002" w:rsidR="003C6F61" w:rsidRPr="0006004C" w:rsidRDefault="003C6F61" w:rsidP="0096531A">
      <w:pPr>
        <w:shd w:val="clear" w:color="auto" w:fill="FFFFFF"/>
        <w:spacing w:line="276" w:lineRule="auto"/>
        <w:jc w:val="center"/>
        <w:rPr>
          <w:rFonts w:asciiTheme="majorBidi" w:hAnsiTheme="majorBidi" w:cstheme="majorBidi"/>
        </w:rPr>
      </w:pPr>
      <w:r w:rsidRPr="0006004C">
        <w:rPr>
          <w:rFonts w:asciiTheme="majorBidi" w:hAnsiTheme="majorBidi" w:cstheme="majorBidi"/>
          <w:b/>
        </w:rPr>
        <w:t>no</w:t>
      </w:r>
      <w:r w:rsidR="00BF0491" w:rsidRPr="0006004C">
        <w:rPr>
          <w:rFonts w:asciiTheme="majorBidi" w:hAnsiTheme="majorBidi" w:cstheme="majorBidi"/>
          <w:b/>
        </w:rPr>
        <w:t>sprieda</w:t>
      </w:r>
    </w:p>
    <w:p w14:paraId="4A939BFC" w14:textId="77777777" w:rsidR="003C6F61" w:rsidRPr="0006004C" w:rsidRDefault="003C6F61" w:rsidP="0096531A">
      <w:pPr>
        <w:shd w:val="clear" w:color="auto" w:fill="FFFFFF"/>
        <w:spacing w:line="276" w:lineRule="auto"/>
        <w:ind w:firstLine="709"/>
        <w:jc w:val="center"/>
        <w:rPr>
          <w:rFonts w:asciiTheme="majorBidi" w:hAnsiTheme="majorBidi" w:cstheme="majorBidi"/>
          <w:b/>
        </w:rPr>
      </w:pPr>
    </w:p>
    <w:p w14:paraId="04467E22" w14:textId="3000CF4C" w:rsidR="00E46258" w:rsidRPr="0006004C" w:rsidRDefault="00E46258" w:rsidP="0096531A">
      <w:pPr>
        <w:spacing w:line="276" w:lineRule="auto"/>
        <w:ind w:firstLine="720"/>
        <w:jc w:val="both"/>
        <w:rPr>
          <w:rFonts w:asciiTheme="majorBidi" w:hAnsiTheme="majorBidi" w:cstheme="majorBidi"/>
        </w:rPr>
      </w:pPr>
      <w:r w:rsidRPr="0006004C">
        <w:rPr>
          <w:rFonts w:asciiTheme="majorBidi" w:hAnsiTheme="majorBidi" w:cstheme="majorBidi"/>
        </w:rPr>
        <w:t>atcelt Administratīvās apgabaltiesas 202</w:t>
      </w:r>
      <w:r w:rsidR="00BE1CE3" w:rsidRPr="0006004C">
        <w:rPr>
          <w:rFonts w:asciiTheme="majorBidi" w:hAnsiTheme="majorBidi" w:cstheme="majorBidi"/>
        </w:rPr>
        <w:t>2</w:t>
      </w:r>
      <w:r w:rsidRPr="0006004C">
        <w:rPr>
          <w:rFonts w:asciiTheme="majorBidi" w:hAnsiTheme="majorBidi" w:cstheme="majorBidi"/>
        </w:rPr>
        <w:t xml:space="preserve">.gada </w:t>
      </w:r>
      <w:r w:rsidR="00BE1CE3" w:rsidRPr="0006004C">
        <w:rPr>
          <w:rFonts w:asciiTheme="majorBidi" w:hAnsiTheme="majorBidi" w:cstheme="majorBidi"/>
        </w:rPr>
        <w:t>30.novembra</w:t>
      </w:r>
      <w:r w:rsidRPr="0006004C">
        <w:rPr>
          <w:rFonts w:asciiTheme="majorBidi" w:hAnsiTheme="majorBidi" w:cstheme="majorBidi"/>
        </w:rPr>
        <w:t xml:space="preserve"> spriedumu</w:t>
      </w:r>
      <w:r w:rsidR="008042C6" w:rsidRPr="0006004C">
        <w:rPr>
          <w:rFonts w:asciiTheme="majorBidi" w:hAnsiTheme="majorBidi" w:cstheme="majorBidi"/>
        </w:rPr>
        <w:t xml:space="preserve"> </w:t>
      </w:r>
      <w:r w:rsidR="00BE1CE3" w:rsidRPr="0006004C">
        <w:rPr>
          <w:rFonts w:asciiTheme="majorBidi" w:hAnsiTheme="majorBidi" w:cstheme="majorBidi"/>
        </w:rPr>
        <w:t xml:space="preserve">daļā, ar kuru noraidīts Eiropas komercsabiedrības „Balcia Insurance SE” pieteikums daļā par </w:t>
      </w:r>
      <w:r w:rsidR="00055E85" w:rsidRPr="0006004C">
        <w:rPr>
          <w:rFonts w:asciiTheme="majorBidi" w:hAnsiTheme="majorBidi" w:cstheme="majorBidi"/>
        </w:rPr>
        <w:t>biedrības „Latvijas Transportlīdzekļu apdrošinātāju birojs” valdes 2021.gada 9.augusta lēmuma Nr. 15 atzīšanu par prettiesisku</w:t>
      </w:r>
      <w:r w:rsidR="00FA26E6" w:rsidRPr="0006004C">
        <w:rPr>
          <w:rFonts w:asciiTheme="majorBidi" w:hAnsiTheme="majorBidi" w:cstheme="majorBidi"/>
        </w:rPr>
        <w:t>,</w:t>
      </w:r>
      <w:r w:rsidR="00055E85" w:rsidRPr="0006004C">
        <w:rPr>
          <w:rFonts w:asciiTheme="majorBidi" w:hAnsiTheme="majorBidi" w:cstheme="majorBidi"/>
        </w:rPr>
        <w:t xml:space="preserve"> </w:t>
      </w:r>
      <w:r w:rsidR="00BE1CE3" w:rsidRPr="0006004C">
        <w:rPr>
          <w:rFonts w:asciiTheme="majorBidi" w:hAnsiTheme="majorBidi" w:cstheme="majorBidi"/>
        </w:rPr>
        <w:t>un šajā daļā tiesvedību izbeigt</w:t>
      </w:r>
      <w:r w:rsidR="00055E85" w:rsidRPr="0006004C">
        <w:rPr>
          <w:rFonts w:asciiTheme="majorBidi" w:hAnsiTheme="majorBidi" w:cstheme="majorBidi"/>
        </w:rPr>
        <w:t>.</w:t>
      </w:r>
    </w:p>
    <w:p w14:paraId="1ECF185C" w14:textId="77777777" w:rsidR="003C6F61" w:rsidRPr="0006004C" w:rsidRDefault="003C6F61" w:rsidP="0096531A">
      <w:pPr>
        <w:spacing w:line="276" w:lineRule="auto"/>
        <w:ind w:firstLine="720"/>
        <w:jc w:val="both"/>
        <w:rPr>
          <w:rFonts w:asciiTheme="majorBidi" w:hAnsiTheme="majorBidi" w:cstheme="majorBidi"/>
        </w:rPr>
      </w:pPr>
    </w:p>
    <w:p w14:paraId="09E63B45" w14:textId="77777777" w:rsidR="003C6F61" w:rsidRPr="0006004C" w:rsidRDefault="003C6F61" w:rsidP="0096531A">
      <w:pPr>
        <w:spacing w:line="276" w:lineRule="auto"/>
        <w:ind w:firstLine="720"/>
        <w:jc w:val="both"/>
        <w:rPr>
          <w:rFonts w:asciiTheme="majorBidi" w:hAnsiTheme="majorBidi" w:cstheme="majorBidi"/>
        </w:rPr>
      </w:pPr>
      <w:r w:rsidRPr="0006004C">
        <w:rPr>
          <w:rFonts w:asciiTheme="majorBidi" w:hAnsiTheme="majorBidi" w:cstheme="majorBidi"/>
        </w:rPr>
        <w:t>Spriedums nav pārsūdzams.</w:t>
      </w:r>
    </w:p>
    <w:p w14:paraId="27B58AD6" w14:textId="77777777" w:rsidR="003C6F61" w:rsidRDefault="003C6F61" w:rsidP="00DD4905">
      <w:pPr>
        <w:spacing w:line="276" w:lineRule="auto"/>
        <w:jc w:val="both"/>
        <w:rPr>
          <w:rFonts w:asciiTheme="majorBidi" w:hAnsiTheme="majorBidi" w:cstheme="majorBidi"/>
          <w:bCs/>
        </w:rPr>
      </w:pPr>
    </w:p>
    <w:p w14:paraId="31660E49" w14:textId="77777777" w:rsidR="00AA544D" w:rsidRDefault="00AA544D" w:rsidP="00DD4905">
      <w:pPr>
        <w:spacing w:line="276" w:lineRule="auto"/>
        <w:jc w:val="both"/>
        <w:rPr>
          <w:rFonts w:asciiTheme="majorBidi" w:hAnsiTheme="majorBidi" w:cstheme="majorBidi"/>
          <w:bCs/>
        </w:rPr>
      </w:pPr>
    </w:p>
    <w:p w14:paraId="51C8E6A2" w14:textId="2A9C1146" w:rsidR="003A62BD" w:rsidRPr="00467A51" w:rsidRDefault="003A62BD" w:rsidP="004F4A4E">
      <w:pPr>
        <w:tabs>
          <w:tab w:val="center" w:pos="1276"/>
          <w:tab w:val="center" w:pos="4678"/>
          <w:tab w:val="center" w:pos="8080"/>
        </w:tabs>
        <w:spacing w:line="276" w:lineRule="auto"/>
        <w:ind w:firstLine="709"/>
        <w:jc w:val="both"/>
        <w:rPr>
          <w:rFonts w:asciiTheme="majorBidi" w:hAnsiTheme="majorBidi" w:cstheme="majorBidi"/>
        </w:rPr>
      </w:pPr>
    </w:p>
    <w:sectPr w:rsidR="003A62BD" w:rsidRPr="00467A51" w:rsidSect="00E7656F">
      <w:footerReference w:type="default" r:id="rId11"/>
      <w:pgSz w:w="12240" w:h="15840"/>
      <w:pgMar w:top="1134" w:right="1701" w:bottom="85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CE1C2" w14:textId="77777777" w:rsidR="00D228BB" w:rsidRDefault="00D228BB" w:rsidP="00121D30">
      <w:r>
        <w:separator/>
      </w:r>
    </w:p>
  </w:endnote>
  <w:endnote w:type="continuationSeparator" w:id="0">
    <w:p w14:paraId="2725EEAB" w14:textId="77777777" w:rsidR="00D228BB" w:rsidRDefault="00D228BB" w:rsidP="00121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0326" w14:textId="227C91D7" w:rsidR="00467A51" w:rsidRPr="00F86F32" w:rsidRDefault="00467A51" w:rsidP="00F86F32">
    <w:pPr>
      <w:pStyle w:val="Footer"/>
      <w:jc w:val="center"/>
      <w:rPr>
        <w:sz w:val="20"/>
        <w:szCs w:val="20"/>
      </w:rPr>
    </w:pPr>
    <w:r w:rsidRPr="00F86F32">
      <w:rPr>
        <w:rStyle w:val="PageNumber"/>
        <w:rFonts w:eastAsiaTheme="majorEastAsia"/>
        <w:sz w:val="20"/>
        <w:szCs w:val="20"/>
      </w:rPr>
      <w:fldChar w:fldCharType="begin"/>
    </w:r>
    <w:r w:rsidRPr="00F86F32">
      <w:rPr>
        <w:rStyle w:val="PageNumber"/>
        <w:rFonts w:eastAsiaTheme="majorEastAsia"/>
        <w:sz w:val="20"/>
        <w:szCs w:val="20"/>
      </w:rPr>
      <w:instrText xml:space="preserve">PAGE  </w:instrText>
    </w:r>
    <w:r w:rsidRPr="00F86F32">
      <w:rPr>
        <w:rStyle w:val="PageNumber"/>
        <w:rFonts w:eastAsiaTheme="majorEastAsia"/>
        <w:sz w:val="20"/>
        <w:szCs w:val="20"/>
      </w:rPr>
      <w:fldChar w:fldCharType="separate"/>
    </w:r>
    <w:r w:rsidRPr="00F86F32">
      <w:rPr>
        <w:rStyle w:val="PageNumber"/>
        <w:rFonts w:eastAsiaTheme="majorEastAsia"/>
        <w:sz w:val="20"/>
        <w:szCs w:val="20"/>
      </w:rPr>
      <w:t>1</w:t>
    </w:r>
    <w:r w:rsidRPr="00F86F32">
      <w:rPr>
        <w:rStyle w:val="PageNumber"/>
        <w:rFonts w:eastAsiaTheme="majorEastAsia"/>
        <w:sz w:val="20"/>
        <w:szCs w:val="20"/>
      </w:rPr>
      <w:fldChar w:fldCharType="end"/>
    </w:r>
    <w:r w:rsidRPr="00F86F32">
      <w:rPr>
        <w:rStyle w:val="PageNumber"/>
        <w:rFonts w:eastAsiaTheme="majorEastAsia"/>
        <w:sz w:val="20"/>
        <w:szCs w:val="20"/>
      </w:rPr>
      <w:t xml:space="preserve"> no </w:t>
    </w:r>
    <w:r w:rsidRPr="00F86F32">
      <w:rPr>
        <w:rStyle w:val="PageNumber"/>
        <w:rFonts w:eastAsiaTheme="majorEastAsia"/>
        <w:noProof/>
        <w:sz w:val="20"/>
        <w:szCs w:val="20"/>
      </w:rPr>
      <w:fldChar w:fldCharType="begin"/>
    </w:r>
    <w:r w:rsidRPr="00F86F32">
      <w:rPr>
        <w:rStyle w:val="PageNumber"/>
        <w:rFonts w:eastAsiaTheme="majorEastAsia"/>
        <w:noProof/>
        <w:sz w:val="20"/>
        <w:szCs w:val="20"/>
      </w:rPr>
      <w:instrText xml:space="preserve"> SECTIONPAGES   \* MERGEFORMAT </w:instrText>
    </w:r>
    <w:r w:rsidRPr="00F86F32">
      <w:rPr>
        <w:rStyle w:val="PageNumber"/>
        <w:rFonts w:eastAsiaTheme="majorEastAsia"/>
        <w:noProof/>
        <w:sz w:val="20"/>
        <w:szCs w:val="20"/>
      </w:rPr>
      <w:fldChar w:fldCharType="separate"/>
    </w:r>
    <w:r w:rsidR="008B1687">
      <w:rPr>
        <w:rStyle w:val="PageNumber"/>
        <w:rFonts w:eastAsiaTheme="majorEastAsia"/>
        <w:noProof/>
        <w:sz w:val="20"/>
        <w:szCs w:val="20"/>
      </w:rPr>
      <w:t>9</w:t>
    </w:r>
    <w:r w:rsidRPr="00F86F32">
      <w:rPr>
        <w:rStyle w:val="PageNumber"/>
        <w:rFonts w:eastAsiaTheme="majorEastAsia"/>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95B21" w14:textId="77777777" w:rsidR="00D228BB" w:rsidRDefault="00D228BB" w:rsidP="00121D30">
      <w:r>
        <w:separator/>
      </w:r>
    </w:p>
  </w:footnote>
  <w:footnote w:type="continuationSeparator" w:id="0">
    <w:p w14:paraId="514FDE78" w14:textId="77777777" w:rsidR="00D228BB" w:rsidRDefault="00D228BB" w:rsidP="00121D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fr-FR" w:vendorID="64" w:dllVersion="4096" w:nlCheck="1" w:checkStyle="0"/>
  <w:activeWritingStyle w:appName="MSWord" w:lang="en-US" w:vendorID="64" w:dllVersion="4096" w:nlCheck="1" w:checkStyle="0"/>
  <w:proofState w:spelling="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61"/>
    <w:rsid w:val="000008C7"/>
    <w:rsid w:val="00001FAD"/>
    <w:rsid w:val="000035CD"/>
    <w:rsid w:val="000064E8"/>
    <w:rsid w:val="000121B3"/>
    <w:rsid w:val="00015D26"/>
    <w:rsid w:val="00016808"/>
    <w:rsid w:val="0001783F"/>
    <w:rsid w:val="00017EA3"/>
    <w:rsid w:val="0002142F"/>
    <w:rsid w:val="00026491"/>
    <w:rsid w:val="00027BE8"/>
    <w:rsid w:val="00031BE1"/>
    <w:rsid w:val="00033576"/>
    <w:rsid w:val="0003542B"/>
    <w:rsid w:val="000358A4"/>
    <w:rsid w:val="00035D83"/>
    <w:rsid w:val="0004251A"/>
    <w:rsid w:val="00043C74"/>
    <w:rsid w:val="0004482D"/>
    <w:rsid w:val="00045A5E"/>
    <w:rsid w:val="00046C7D"/>
    <w:rsid w:val="00050B5E"/>
    <w:rsid w:val="00053640"/>
    <w:rsid w:val="00055E85"/>
    <w:rsid w:val="0006004C"/>
    <w:rsid w:val="00060452"/>
    <w:rsid w:val="00062A99"/>
    <w:rsid w:val="00065CFB"/>
    <w:rsid w:val="00073FB4"/>
    <w:rsid w:val="00075E23"/>
    <w:rsid w:val="000822BC"/>
    <w:rsid w:val="00084212"/>
    <w:rsid w:val="000A0B73"/>
    <w:rsid w:val="000A65AA"/>
    <w:rsid w:val="000B188C"/>
    <w:rsid w:val="000B1D68"/>
    <w:rsid w:val="000B784E"/>
    <w:rsid w:val="000C4135"/>
    <w:rsid w:val="000C6A65"/>
    <w:rsid w:val="000C7655"/>
    <w:rsid w:val="000D272D"/>
    <w:rsid w:val="000D56AB"/>
    <w:rsid w:val="000D63E5"/>
    <w:rsid w:val="000D6699"/>
    <w:rsid w:val="000D7E1B"/>
    <w:rsid w:val="000E2066"/>
    <w:rsid w:val="000E2CB6"/>
    <w:rsid w:val="000F3B13"/>
    <w:rsid w:val="000F5FE4"/>
    <w:rsid w:val="000F7901"/>
    <w:rsid w:val="000F7F52"/>
    <w:rsid w:val="001027DB"/>
    <w:rsid w:val="00104B69"/>
    <w:rsid w:val="00106854"/>
    <w:rsid w:val="0010740E"/>
    <w:rsid w:val="00111694"/>
    <w:rsid w:val="0011325A"/>
    <w:rsid w:val="00114108"/>
    <w:rsid w:val="00116426"/>
    <w:rsid w:val="0011642D"/>
    <w:rsid w:val="00117F69"/>
    <w:rsid w:val="001206A5"/>
    <w:rsid w:val="00121D30"/>
    <w:rsid w:val="0012467B"/>
    <w:rsid w:val="00125315"/>
    <w:rsid w:val="00126620"/>
    <w:rsid w:val="001275BB"/>
    <w:rsid w:val="00127C14"/>
    <w:rsid w:val="00134FF9"/>
    <w:rsid w:val="001371AD"/>
    <w:rsid w:val="00137DDD"/>
    <w:rsid w:val="00140584"/>
    <w:rsid w:val="00141C06"/>
    <w:rsid w:val="00142501"/>
    <w:rsid w:val="00142EF9"/>
    <w:rsid w:val="001444E4"/>
    <w:rsid w:val="00145C29"/>
    <w:rsid w:val="00154569"/>
    <w:rsid w:val="00162AF9"/>
    <w:rsid w:val="00166837"/>
    <w:rsid w:val="00181B58"/>
    <w:rsid w:val="00187EBC"/>
    <w:rsid w:val="00192C12"/>
    <w:rsid w:val="00193594"/>
    <w:rsid w:val="001A68A3"/>
    <w:rsid w:val="001A7433"/>
    <w:rsid w:val="001B1243"/>
    <w:rsid w:val="001B16C6"/>
    <w:rsid w:val="001B2459"/>
    <w:rsid w:val="001B78F4"/>
    <w:rsid w:val="001C1ADF"/>
    <w:rsid w:val="001C2E53"/>
    <w:rsid w:val="001D0F1D"/>
    <w:rsid w:val="001D71E7"/>
    <w:rsid w:val="001D77A6"/>
    <w:rsid w:val="001E3399"/>
    <w:rsid w:val="001E7CF6"/>
    <w:rsid w:val="001F1C10"/>
    <w:rsid w:val="001F5B8A"/>
    <w:rsid w:val="002011E0"/>
    <w:rsid w:val="002034EC"/>
    <w:rsid w:val="00205AB2"/>
    <w:rsid w:val="00211EBA"/>
    <w:rsid w:val="00214F59"/>
    <w:rsid w:val="0021624C"/>
    <w:rsid w:val="0022139A"/>
    <w:rsid w:val="0022408B"/>
    <w:rsid w:val="00224DE1"/>
    <w:rsid w:val="00226FB6"/>
    <w:rsid w:val="00227EF8"/>
    <w:rsid w:val="00236B03"/>
    <w:rsid w:val="00237CB6"/>
    <w:rsid w:val="002433C1"/>
    <w:rsid w:val="00245DB6"/>
    <w:rsid w:val="00246DF3"/>
    <w:rsid w:val="002531C0"/>
    <w:rsid w:val="002534AF"/>
    <w:rsid w:val="00253F1C"/>
    <w:rsid w:val="00257E34"/>
    <w:rsid w:val="002609DB"/>
    <w:rsid w:val="00260FC3"/>
    <w:rsid w:val="002634F7"/>
    <w:rsid w:val="00263A5A"/>
    <w:rsid w:val="00275CBC"/>
    <w:rsid w:val="00276116"/>
    <w:rsid w:val="0027745E"/>
    <w:rsid w:val="00280198"/>
    <w:rsid w:val="002809C2"/>
    <w:rsid w:val="00280FED"/>
    <w:rsid w:val="00281C5E"/>
    <w:rsid w:val="00284D51"/>
    <w:rsid w:val="002869BC"/>
    <w:rsid w:val="0029195F"/>
    <w:rsid w:val="00295B71"/>
    <w:rsid w:val="002A05D1"/>
    <w:rsid w:val="002C069A"/>
    <w:rsid w:val="002C0EFF"/>
    <w:rsid w:val="002C1820"/>
    <w:rsid w:val="002C1D9E"/>
    <w:rsid w:val="002D0773"/>
    <w:rsid w:val="002D5992"/>
    <w:rsid w:val="002D6BFA"/>
    <w:rsid w:val="002E4BE0"/>
    <w:rsid w:val="002E7F53"/>
    <w:rsid w:val="002F13F5"/>
    <w:rsid w:val="002F1D3C"/>
    <w:rsid w:val="002F23D8"/>
    <w:rsid w:val="002F2705"/>
    <w:rsid w:val="002F28B7"/>
    <w:rsid w:val="002F3980"/>
    <w:rsid w:val="002F7F20"/>
    <w:rsid w:val="00304E89"/>
    <w:rsid w:val="00310821"/>
    <w:rsid w:val="00310A21"/>
    <w:rsid w:val="00310DF8"/>
    <w:rsid w:val="0031267A"/>
    <w:rsid w:val="00314926"/>
    <w:rsid w:val="00323A1C"/>
    <w:rsid w:val="003260A5"/>
    <w:rsid w:val="003271D2"/>
    <w:rsid w:val="00331605"/>
    <w:rsid w:val="0033363E"/>
    <w:rsid w:val="00335268"/>
    <w:rsid w:val="0033791F"/>
    <w:rsid w:val="00342A9B"/>
    <w:rsid w:val="00342CF3"/>
    <w:rsid w:val="003458A9"/>
    <w:rsid w:val="003476A0"/>
    <w:rsid w:val="00350024"/>
    <w:rsid w:val="00355E3E"/>
    <w:rsid w:val="0036397F"/>
    <w:rsid w:val="00363A42"/>
    <w:rsid w:val="00375687"/>
    <w:rsid w:val="00386A58"/>
    <w:rsid w:val="00390FCE"/>
    <w:rsid w:val="00395230"/>
    <w:rsid w:val="00395266"/>
    <w:rsid w:val="00395F9C"/>
    <w:rsid w:val="003A120A"/>
    <w:rsid w:val="003A62BD"/>
    <w:rsid w:val="003A656B"/>
    <w:rsid w:val="003A6959"/>
    <w:rsid w:val="003B49DF"/>
    <w:rsid w:val="003C5D82"/>
    <w:rsid w:val="003C6F1D"/>
    <w:rsid w:val="003C6F61"/>
    <w:rsid w:val="003D045C"/>
    <w:rsid w:val="003D26CF"/>
    <w:rsid w:val="003D5198"/>
    <w:rsid w:val="003D6D83"/>
    <w:rsid w:val="003E1525"/>
    <w:rsid w:val="003E161A"/>
    <w:rsid w:val="003E3FDF"/>
    <w:rsid w:val="003E5325"/>
    <w:rsid w:val="003E5F7F"/>
    <w:rsid w:val="003E66E8"/>
    <w:rsid w:val="003E6B73"/>
    <w:rsid w:val="003F244D"/>
    <w:rsid w:val="003F3DF4"/>
    <w:rsid w:val="003F4B03"/>
    <w:rsid w:val="003F562C"/>
    <w:rsid w:val="003F68FC"/>
    <w:rsid w:val="00400A13"/>
    <w:rsid w:val="004032EA"/>
    <w:rsid w:val="00411689"/>
    <w:rsid w:val="004153D8"/>
    <w:rsid w:val="00420AF5"/>
    <w:rsid w:val="00423561"/>
    <w:rsid w:val="0042650F"/>
    <w:rsid w:val="00427594"/>
    <w:rsid w:val="00432888"/>
    <w:rsid w:val="0043457E"/>
    <w:rsid w:val="00436716"/>
    <w:rsid w:val="00440DA6"/>
    <w:rsid w:val="004410E7"/>
    <w:rsid w:val="00452CD9"/>
    <w:rsid w:val="00460DBD"/>
    <w:rsid w:val="00461762"/>
    <w:rsid w:val="004624AE"/>
    <w:rsid w:val="004632C5"/>
    <w:rsid w:val="0046792A"/>
    <w:rsid w:val="00467A51"/>
    <w:rsid w:val="00471DC6"/>
    <w:rsid w:val="00475AFD"/>
    <w:rsid w:val="00476C2A"/>
    <w:rsid w:val="0048111A"/>
    <w:rsid w:val="004818EF"/>
    <w:rsid w:val="00483A21"/>
    <w:rsid w:val="00493EE3"/>
    <w:rsid w:val="004972A1"/>
    <w:rsid w:val="004A01A3"/>
    <w:rsid w:val="004A1487"/>
    <w:rsid w:val="004A6FDF"/>
    <w:rsid w:val="004A7A55"/>
    <w:rsid w:val="004B1A95"/>
    <w:rsid w:val="004B1C2B"/>
    <w:rsid w:val="004B1D01"/>
    <w:rsid w:val="004B501C"/>
    <w:rsid w:val="004C0134"/>
    <w:rsid w:val="004C6D41"/>
    <w:rsid w:val="004C7B4C"/>
    <w:rsid w:val="004D02DD"/>
    <w:rsid w:val="004D1000"/>
    <w:rsid w:val="004D3D71"/>
    <w:rsid w:val="004D3D96"/>
    <w:rsid w:val="004D62AA"/>
    <w:rsid w:val="004D631D"/>
    <w:rsid w:val="004E1D2B"/>
    <w:rsid w:val="004E4459"/>
    <w:rsid w:val="004F0F5E"/>
    <w:rsid w:val="004F1A61"/>
    <w:rsid w:val="004F2520"/>
    <w:rsid w:val="004F4A4E"/>
    <w:rsid w:val="004F6B64"/>
    <w:rsid w:val="00500E3E"/>
    <w:rsid w:val="00501779"/>
    <w:rsid w:val="00502A51"/>
    <w:rsid w:val="005072B0"/>
    <w:rsid w:val="005077C4"/>
    <w:rsid w:val="0051498A"/>
    <w:rsid w:val="00517B32"/>
    <w:rsid w:val="0053137E"/>
    <w:rsid w:val="005331A1"/>
    <w:rsid w:val="00534898"/>
    <w:rsid w:val="005356A7"/>
    <w:rsid w:val="0054725A"/>
    <w:rsid w:val="005534F7"/>
    <w:rsid w:val="00553EE7"/>
    <w:rsid w:val="00556285"/>
    <w:rsid w:val="005610A6"/>
    <w:rsid w:val="00561C96"/>
    <w:rsid w:val="00565516"/>
    <w:rsid w:val="00570602"/>
    <w:rsid w:val="00570633"/>
    <w:rsid w:val="00585515"/>
    <w:rsid w:val="00586650"/>
    <w:rsid w:val="005900B5"/>
    <w:rsid w:val="005909B4"/>
    <w:rsid w:val="00596D32"/>
    <w:rsid w:val="005A0E23"/>
    <w:rsid w:val="005A3525"/>
    <w:rsid w:val="005A533D"/>
    <w:rsid w:val="005A5D00"/>
    <w:rsid w:val="005B1ACE"/>
    <w:rsid w:val="005B1ED0"/>
    <w:rsid w:val="005B5649"/>
    <w:rsid w:val="005B5827"/>
    <w:rsid w:val="005B5D12"/>
    <w:rsid w:val="005B70C4"/>
    <w:rsid w:val="005C3C8C"/>
    <w:rsid w:val="005C4766"/>
    <w:rsid w:val="005C5339"/>
    <w:rsid w:val="005C6791"/>
    <w:rsid w:val="005C6C58"/>
    <w:rsid w:val="005D0858"/>
    <w:rsid w:val="005D192E"/>
    <w:rsid w:val="005D2D91"/>
    <w:rsid w:val="005E0F35"/>
    <w:rsid w:val="005E3E86"/>
    <w:rsid w:val="005F1857"/>
    <w:rsid w:val="005F26D9"/>
    <w:rsid w:val="005F2BB4"/>
    <w:rsid w:val="005F3DC5"/>
    <w:rsid w:val="006009DF"/>
    <w:rsid w:val="0060316A"/>
    <w:rsid w:val="0061024E"/>
    <w:rsid w:val="0061285D"/>
    <w:rsid w:val="00613AC4"/>
    <w:rsid w:val="00621DB6"/>
    <w:rsid w:val="0062288F"/>
    <w:rsid w:val="00623291"/>
    <w:rsid w:val="006233D7"/>
    <w:rsid w:val="00630D27"/>
    <w:rsid w:val="00635EA5"/>
    <w:rsid w:val="006365B5"/>
    <w:rsid w:val="0064272D"/>
    <w:rsid w:val="006545A0"/>
    <w:rsid w:val="00664B6C"/>
    <w:rsid w:val="00665CAF"/>
    <w:rsid w:val="006677A8"/>
    <w:rsid w:val="00667E07"/>
    <w:rsid w:val="00670BA8"/>
    <w:rsid w:val="00672C39"/>
    <w:rsid w:val="00676866"/>
    <w:rsid w:val="00677263"/>
    <w:rsid w:val="006808C7"/>
    <w:rsid w:val="00681355"/>
    <w:rsid w:val="0068225B"/>
    <w:rsid w:val="00684406"/>
    <w:rsid w:val="00691663"/>
    <w:rsid w:val="006925FE"/>
    <w:rsid w:val="00695803"/>
    <w:rsid w:val="006974F1"/>
    <w:rsid w:val="006A53E6"/>
    <w:rsid w:val="006A5700"/>
    <w:rsid w:val="006B0B9A"/>
    <w:rsid w:val="006B5207"/>
    <w:rsid w:val="006B6181"/>
    <w:rsid w:val="006B73A6"/>
    <w:rsid w:val="006C1816"/>
    <w:rsid w:val="006C66B4"/>
    <w:rsid w:val="006D38D2"/>
    <w:rsid w:val="006D3CC6"/>
    <w:rsid w:val="006D6981"/>
    <w:rsid w:val="006E0F0D"/>
    <w:rsid w:val="006E3800"/>
    <w:rsid w:val="006E5DD9"/>
    <w:rsid w:val="006F2B11"/>
    <w:rsid w:val="006F7345"/>
    <w:rsid w:val="00702247"/>
    <w:rsid w:val="00703767"/>
    <w:rsid w:val="0070459C"/>
    <w:rsid w:val="00704B20"/>
    <w:rsid w:val="00705F3A"/>
    <w:rsid w:val="00710AFC"/>
    <w:rsid w:val="0071135D"/>
    <w:rsid w:val="007128BB"/>
    <w:rsid w:val="007164E9"/>
    <w:rsid w:val="00720C35"/>
    <w:rsid w:val="007223D6"/>
    <w:rsid w:val="00723679"/>
    <w:rsid w:val="00723FEB"/>
    <w:rsid w:val="00727501"/>
    <w:rsid w:val="00732398"/>
    <w:rsid w:val="00733DA3"/>
    <w:rsid w:val="00735176"/>
    <w:rsid w:val="00740AFA"/>
    <w:rsid w:val="00742998"/>
    <w:rsid w:val="00744008"/>
    <w:rsid w:val="00744022"/>
    <w:rsid w:val="00745370"/>
    <w:rsid w:val="007509FD"/>
    <w:rsid w:val="00754644"/>
    <w:rsid w:val="00757053"/>
    <w:rsid w:val="00761823"/>
    <w:rsid w:val="00763E10"/>
    <w:rsid w:val="007662DD"/>
    <w:rsid w:val="007714F2"/>
    <w:rsid w:val="007719C0"/>
    <w:rsid w:val="00773952"/>
    <w:rsid w:val="007739AD"/>
    <w:rsid w:val="00776830"/>
    <w:rsid w:val="0078131B"/>
    <w:rsid w:val="0078609D"/>
    <w:rsid w:val="00786B68"/>
    <w:rsid w:val="00787160"/>
    <w:rsid w:val="00792B45"/>
    <w:rsid w:val="00793485"/>
    <w:rsid w:val="00793CF5"/>
    <w:rsid w:val="00797502"/>
    <w:rsid w:val="007B602D"/>
    <w:rsid w:val="007C05C0"/>
    <w:rsid w:val="007C1EF1"/>
    <w:rsid w:val="007C2FA9"/>
    <w:rsid w:val="007C5759"/>
    <w:rsid w:val="007D2ED5"/>
    <w:rsid w:val="007D4473"/>
    <w:rsid w:val="007D53E6"/>
    <w:rsid w:val="007D6485"/>
    <w:rsid w:val="007D6E3B"/>
    <w:rsid w:val="007E22FB"/>
    <w:rsid w:val="007E2ED2"/>
    <w:rsid w:val="007E3B77"/>
    <w:rsid w:val="007E6C07"/>
    <w:rsid w:val="007F05B1"/>
    <w:rsid w:val="007F65C5"/>
    <w:rsid w:val="007F6D0C"/>
    <w:rsid w:val="008019D4"/>
    <w:rsid w:val="008031B4"/>
    <w:rsid w:val="008042C6"/>
    <w:rsid w:val="00805B34"/>
    <w:rsid w:val="008068BD"/>
    <w:rsid w:val="008101B7"/>
    <w:rsid w:val="00825ED7"/>
    <w:rsid w:val="00830F2D"/>
    <w:rsid w:val="00831577"/>
    <w:rsid w:val="00831E83"/>
    <w:rsid w:val="00835D35"/>
    <w:rsid w:val="00841CFA"/>
    <w:rsid w:val="0084450E"/>
    <w:rsid w:val="00846F99"/>
    <w:rsid w:val="00850E59"/>
    <w:rsid w:val="0085148D"/>
    <w:rsid w:val="00851798"/>
    <w:rsid w:val="00851C72"/>
    <w:rsid w:val="00852903"/>
    <w:rsid w:val="00855D92"/>
    <w:rsid w:val="00857E14"/>
    <w:rsid w:val="008610F7"/>
    <w:rsid w:val="00862694"/>
    <w:rsid w:val="00863B48"/>
    <w:rsid w:val="00870B76"/>
    <w:rsid w:val="00875C91"/>
    <w:rsid w:val="0087600F"/>
    <w:rsid w:val="008803F2"/>
    <w:rsid w:val="00883F24"/>
    <w:rsid w:val="00886133"/>
    <w:rsid w:val="00891284"/>
    <w:rsid w:val="00892852"/>
    <w:rsid w:val="008937AE"/>
    <w:rsid w:val="00893D51"/>
    <w:rsid w:val="00893F01"/>
    <w:rsid w:val="00894FF2"/>
    <w:rsid w:val="00896635"/>
    <w:rsid w:val="008A4036"/>
    <w:rsid w:val="008A56D6"/>
    <w:rsid w:val="008B1687"/>
    <w:rsid w:val="008B39F2"/>
    <w:rsid w:val="008B626C"/>
    <w:rsid w:val="008B6A35"/>
    <w:rsid w:val="008C26D1"/>
    <w:rsid w:val="008C3113"/>
    <w:rsid w:val="008C38FF"/>
    <w:rsid w:val="008D2107"/>
    <w:rsid w:val="008D22E1"/>
    <w:rsid w:val="008D6708"/>
    <w:rsid w:val="008D7685"/>
    <w:rsid w:val="008D7C20"/>
    <w:rsid w:val="008E0467"/>
    <w:rsid w:val="008E2330"/>
    <w:rsid w:val="008E38A5"/>
    <w:rsid w:val="008E3E19"/>
    <w:rsid w:val="008E5966"/>
    <w:rsid w:val="008F456D"/>
    <w:rsid w:val="008F50B0"/>
    <w:rsid w:val="008F5C9D"/>
    <w:rsid w:val="008F65ED"/>
    <w:rsid w:val="008F6F1C"/>
    <w:rsid w:val="00904D28"/>
    <w:rsid w:val="00904ED9"/>
    <w:rsid w:val="00905001"/>
    <w:rsid w:val="00905C97"/>
    <w:rsid w:val="00910D4F"/>
    <w:rsid w:val="00913217"/>
    <w:rsid w:val="00914080"/>
    <w:rsid w:val="00931A02"/>
    <w:rsid w:val="00931E81"/>
    <w:rsid w:val="00932A7F"/>
    <w:rsid w:val="00932EB8"/>
    <w:rsid w:val="00934655"/>
    <w:rsid w:val="00934733"/>
    <w:rsid w:val="00934B56"/>
    <w:rsid w:val="00937368"/>
    <w:rsid w:val="00937BFC"/>
    <w:rsid w:val="00937DF8"/>
    <w:rsid w:val="00941FAB"/>
    <w:rsid w:val="00950E58"/>
    <w:rsid w:val="0095381A"/>
    <w:rsid w:val="00955134"/>
    <w:rsid w:val="00955476"/>
    <w:rsid w:val="00956B7E"/>
    <w:rsid w:val="009606AB"/>
    <w:rsid w:val="00962B3B"/>
    <w:rsid w:val="009650E4"/>
    <w:rsid w:val="0096531A"/>
    <w:rsid w:val="00966EFD"/>
    <w:rsid w:val="0097269B"/>
    <w:rsid w:val="00974A1A"/>
    <w:rsid w:val="00980BDF"/>
    <w:rsid w:val="00981E6C"/>
    <w:rsid w:val="009844CE"/>
    <w:rsid w:val="00985D63"/>
    <w:rsid w:val="00986341"/>
    <w:rsid w:val="009865F1"/>
    <w:rsid w:val="00991BE2"/>
    <w:rsid w:val="0099439E"/>
    <w:rsid w:val="009A1B67"/>
    <w:rsid w:val="009A237C"/>
    <w:rsid w:val="009B65D0"/>
    <w:rsid w:val="009C19CB"/>
    <w:rsid w:val="009C20D7"/>
    <w:rsid w:val="009C486D"/>
    <w:rsid w:val="009D3FEF"/>
    <w:rsid w:val="009D419C"/>
    <w:rsid w:val="009D428B"/>
    <w:rsid w:val="009D5E54"/>
    <w:rsid w:val="009D7F6E"/>
    <w:rsid w:val="009E0962"/>
    <w:rsid w:val="009E0B5A"/>
    <w:rsid w:val="009E27C8"/>
    <w:rsid w:val="009E3052"/>
    <w:rsid w:val="009E65B4"/>
    <w:rsid w:val="009F1FFE"/>
    <w:rsid w:val="009F3736"/>
    <w:rsid w:val="009F3BD2"/>
    <w:rsid w:val="009F562C"/>
    <w:rsid w:val="00A00B0F"/>
    <w:rsid w:val="00A059D4"/>
    <w:rsid w:val="00A11427"/>
    <w:rsid w:val="00A15552"/>
    <w:rsid w:val="00A208A2"/>
    <w:rsid w:val="00A21D7B"/>
    <w:rsid w:val="00A23A94"/>
    <w:rsid w:val="00A32C4D"/>
    <w:rsid w:val="00A343A6"/>
    <w:rsid w:val="00A35AE5"/>
    <w:rsid w:val="00A36E15"/>
    <w:rsid w:val="00A37E10"/>
    <w:rsid w:val="00A4120A"/>
    <w:rsid w:val="00A41D56"/>
    <w:rsid w:val="00A43809"/>
    <w:rsid w:val="00A4646B"/>
    <w:rsid w:val="00A50BE3"/>
    <w:rsid w:val="00A50CF0"/>
    <w:rsid w:val="00A51A66"/>
    <w:rsid w:val="00A619C5"/>
    <w:rsid w:val="00A61CA4"/>
    <w:rsid w:val="00A67B56"/>
    <w:rsid w:val="00A70D0B"/>
    <w:rsid w:val="00A711CF"/>
    <w:rsid w:val="00A71803"/>
    <w:rsid w:val="00A734B6"/>
    <w:rsid w:val="00A76D4B"/>
    <w:rsid w:val="00A824C1"/>
    <w:rsid w:val="00A83B4B"/>
    <w:rsid w:val="00A87800"/>
    <w:rsid w:val="00A90288"/>
    <w:rsid w:val="00A90DDC"/>
    <w:rsid w:val="00A91C61"/>
    <w:rsid w:val="00A92D54"/>
    <w:rsid w:val="00A94616"/>
    <w:rsid w:val="00A959F3"/>
    <w:rsid w:val="00A95D8C"/>
    <w:rsid w:val="00A97A85"/>
    <w:rsid w:val="00AA137D"/>
    <w:rsid w:val="00AA139B"/>
    <w:rsid w:val="00AA3F16"/>
    <w:rsid w:val="00AA53A5"/>
    <w:rsid w:val="00AA544D"/>
    <w:rsid w:val="00AB1ABF"/>
    <w:rsid w:val="00AB25FA"/>
    <w:rsid w:val="00AB46FF"/>
    <w:rsid w:val="00AB61CD"/>
    <w:rsid w:val="00AC06BA"/>
    <w:rsid w:val="00AC22E1"/>
    <w:rsid w:val="00AC277D"/>
    <w:rsid w:val="00AC2E6D"/>
    <w:rsid w:val="00AC7131"/>
    <w:rsid w:val="00AD024D"/>
    <w:rsid w:val="00AD0851"/>
    <w:rsid w:val="00AD2AC0"/>
    <w:rsid w:val="00AD30C0"/>
    <w:rsid w:val="00AD39DB"/>
    <w:rsid w:val="00AD48EB"/>
    <w:rsid w:val="00AD4B6D"/>
    <w:rsid w:val="00AD58E6"/>
    <w:rsid w:val="00AE084F"/>
    <w:rsid w:val="00AE52C8"/>
    <w:rsid w:val="00AE5E9E"/>
    <w:rsid w:val="00AF0376"/>
    <w:rsid w:val="00AF04BD"/>
    <w:rsid w:val="00AF0A91"/>
    <w:rsid w:val="00AF1433"/>
    <w:rsid w:val="00AF168B"/>
    <w:rsid w:val="00AF2E85"/>
    <w:rsid w:val="00AF652C"/>
    <w:rsid w:val="00AF68B1"/>
    <w:rsid w:val="00AF7E8C"/>
    <w:rsid w:val="00B000CD"/>
    <w:rsid w:val="00B01F04"/>
    <w:rsid w:val="00B06A4B"/>
    <w:rsid w:val="00B07A9C"/>
    <w:rsid w:val="00B17BFA"/>
    <w:rsid w:val="00B24F2D"/>
    <w:rsid w:val="00B25C45"/>
    <w:rsid w:val="00B26C69"/>
    <w:rsid w:val="00B30710"/>
    <w:rsid w:val="00B316E1"/>
    <w:rsid w:val="00B40EAF"/>
    <w:rsid w:val="00B41D2F"/>
    <w:rsid w:val="00B46875"/>
    <w:rsid w:val="00B507EA"/>
    <w:rsid w:val="00B5080D"/>
    <w:rsid w:val="00B528B0"/>
    <w:rsid w:val="00B52E1A"/>
    <w:rsid w:val="00B56318"/>
    <w:rsid w:val="00B6053B"/>
    <w:rsid w:val="00B60CCC"/>
    <w:rsid w:val="00B62D1D"/>
    <w:rsid w:val="00B65D99"/>
    <w:rsid w:val="00B75DEB"/>
    <w:rsid w:val="00B75E25"/>
    <w:rsid w:val="00B7638B"/>
    <w:rsid w:val="00B77486"/>
    <w:rsid w:val="00B80DFB"/>
    <w:rsid w:val="00B83881"/>
    <w:rsid w:val="00B84DA8"/>
    <w:rsid w:val="00B92A9B"/>
    <w:rsid w:val="00B92E97"/>
    <w:rsid w:val="00B94110"/>
    <w:rsid w:val="00BA1CFC"/>
    <w:rsid w:val="00BA26B9"/>
    <w:rsid w:val="00BA5BD9"/>
    <w:rsid w:val="00BB1BF4"/>
    <w:rsid w:val="00BB5386"/>
    <w:rsid w:val="00BC0FF3"/>
    <w:rsid w:val="00BC2FBF"/>
    <w:rsid w:val="00BC468B"/>
    <w:rsid w:val="00BC6C56"/>
    <w:rsid w:val="00BD05C8"/>
    <w:rsid w:val="00BD1836"/>
    <w:rsid w:val="00BD5743"/>
    <w:rsid w:val="00BE1CE3"/>
    <w:rsid w:val="00BE1F08"/>
    <w:rsid w:val="00BE3C22"/>
    <w:rsid w:val="00BE4268"/>
    <w:rsid w:val="00BF0491"/>
    <w:rsid w:val="00BF49F8"/>
    <w:rsid w:val="00C0014F"/>
    <w:rsid w:val="00C11543"/>
    <w:rsid w:val="00C1517E"/>
    <w:rsid w:val="00C22707"/>
    <w:rsid w:val="00C27114"/>
    <w:rsid w:val="00C30B89"/>
    <w:rsid w:val="00C31141"/>
    <w:rsid w:val="00C4464C"/>
    <w:rsid w:val="00C45A09"/>
    <w:rsid w:val="00C46525"/>
    <w:rsid w:val="00C47E37"/>
    <w:rsid w:val="00C5164C"/>
    <w:rsid w:val="00C52749"/>
    <w:rsid w:val="00C55C83"/>
    <w:rsid w:val="00C55D98"/>
    <w:rsid w:val="00C60C72"/>
    <w:rsid w:val="00C61ACF"/>
    <w:rsid w:val="00C621E2"/>
    <w:rsid w:val="00C661B0"/>
    <w:rsid w:val="00C672D8"/>
    <w:rsid w:val="00C67764"/>
    <w:rsid w:val="00C71638"/>
    <w:rsid w:val="00C74FDA"/>
    <w:rsid w:val="00C76C9E"/>
    <w:rsid w:val="00C76F9A"/>
    <w:rsid w:val="00C800D4"/>
    <w:rsid w:val="00C815A6"/>
    <w:rsid w:val="00C964CC"/>
    <w:rsid w:val="00C96974"/>
    <w:rsid w:val="00CA2ACE"/>
    <w:rsid w:val="00CA49F0"/>
    <w:rsid w:val="00CA4F14"/>
    <w:rsid w:val="00CB2D30"/>
    <w:rsid w:val="00CB6D52"/>
    <w:rsid w:val="00CB6E23"/>
    <w:rsid w:val="00CB7511"/>
    <w:rsid w:val="00CC1958"/>
    <w:rsid w:val="00CC4D35"/>
    <w:rsid w:val="00CD10A9"/>
    <w:rsid w:val="00CD19C5"/>
    <w:rsid w:val="00CD2D32"/>
    <w:rsid w:val="00CD43ED"/>
    <w:rsid w:val="00CD79FD"/>
    <w:rsid w:val="00CE051B"/>
    <w:rsid w:val="00CE3649"/>
    <w:rsid w:val="00CE42D6"/>
    <w:rsid w:val="00CE4A45"/>
    <w:rsid w:val="00CF3A27"/>
    <w:rsid w:val="00CF3A97"/>
    <w:rsid w:val="00CF5480"/>
    <w:rsid w:val="00CF571D"/>
    <w:rsid w:val="00D003B8"/>
    <w:rsid w:val="00D012A5"/>
    <w:rsid w:val="00D0298D"/>
    <w:rsid w:val="00D05CAF"/>
    <w:rsid w:val="00D1777D"/>
    <w:rsid w:val="00D228BB"/>
    <w:rsid w:val="00D23E65"/>
    <w:rsid w:val="00D243E2"/>
    <w:rsid w:val="00D27020"/>
    <w:rsid w:val="00D30462"/>
    <w:rsid w:val="00D30F74"/>
    <w:rsid w:val="00D32479"/>
    <w:rsid w:val="00D33605"/>
    <w:rsid w:val="00D36DC2"/>
    <w:rsid w:val="00D42395"/>
    <w:rsid w:val="00D43050"/>
    <w:rsid w:val="00D46A30"/>
    <w:rsid w:val="00D47B64"/>
    <w:rsid w:val="00D5112C"/>
    <w:rsid w:val="00D51285"/>
    <w:rsid w:val="00D540A4"/>
    <w:rsid w:val="00D541FE"/>
    <w:rsid w:val="00D54480"/>
    <w:rsid w:val="00D54E89"/>
    <w:rsid w:val="00D60898"/>
    <w:rsid w:val="00D64F3C"/>
    <w:rsid w:val="00D65742"/>
    <w:rsid w:val="00D65B3F"/>
    <w:rsid w:val="00D66E2B"/>
    <w:rsid w:val="00D70030"/>
    <w:rsid w:val="00D709D3"/>
    <w:rsid w:val="00D73C12"/>
    <w:rsid w:val="00D752FB"/>
    <w:rsid w:val="00D776F9"/>
    <w:rsid w:val="00D813D6"/>
    <w:rsid w:val="00D81C9C"/>
    <w:rsid w:val="00D838D9"/>
    <w:rsid w:val="00D84841"/>
    <w:rsid w:val="00D8537E"/>
    <w:rsid w:val="00D859C5"/>
    <w:rsid w:val="00D86A1C"/>
    <w:rsid w:val="00DA0116"/>
    <w:rsid w:val="00DA74FC"/>
    <w:rsid w:val="00DB6B1B"/>
    <w:rsid w:val="00DC1365"/>
    <w:rsid w:val="00DC1EA0"/>
    <w:rsid w:val="00DC255A"/>
    <w:rsid w:val="00DC2A81"/>
    <w:rsid w:val="00DC49D0"/>
    <w:rsid w:val="00DD064B"/>
    <w:rsid w:val="00DD1564"/>
    <w:rsid w:val="00DD208E"/>
    <w:rsid w:val="00DD2DD4"/>
    <w:rsid w:val="00DD4905"/>
    <w:rsid w:val="00DD4ED3"/>
    <w:rsid w:val="00DD72D7"/>
    <w:rsid w:val="00DE09D7"/>
    <w:rsid w:val="00DE2B93"/>
    <w:rsid w:val="00DE42F3"/>
    <w:rsid w:val="00DE482F"/>
    <w:rsid w:val="00DE600B"/>
    <w:rsid w:val="00DE6AAD"/>
    <w:rsid w:val="00DF07EF"/>
    <w:rsid w:val="00DF118B"/>
    <w:rsid w:val="00DF2062"/>
    <w:rsid w:val="00DF3A5A"/>
    <w:rsid w:val="00DF4668"/>
    <w:rsid w:val="00DF684A"/>
    <w:rsid w:val="00DF6C3B"/>
    <w:rsid w:val="00E01C3C"/>
    <w:rsid w:val="00E03A29"/>
    <w:rsid w:val="00E05E28"/>
    <w:rsid w:val="00E10C62"/>
    <w:rsid w:val="00E10F6C"/>
    <w:rsid w:val="00E12641"/>
    <w:rsid w:val="00E16FDF"/>
    <w:rsid w:val="00E23E5D"/>
    <w:rsid w:val="00E33D95"/>
    <w:rsid w:val="00E342E7"/>
    <w:rsid w:val="00E360ED"/>
    <w:rsid w:val="00E405F7"/>
    <w:rsid w:val="00E46258"/>
    <w:rsid w:val="00E53F5B"/>
    <w:rsid w:val="00E54135"/>
    <w:rsid w:val="00E64A44"/>
    <w:rsid w:val="00E6682D"/>
    <w:rsid w:val="00E726A0"/>
    <w:rsid w:val="00E760B4"/>
    <w:rsid w:val="00E7656F"/>
    <w:rsid w:val="00E77281"/>
    <w:rsid w:val="00E82016"/>
    <w:rsid w:val="00E85B49"/>
    <w:rsid w:val="00E94A97"/>
    <w:rsid w:val="00E97370"/>
    <w:rsid w:val="00E97B71"/>
    <w:rsid w:val="00E97D1D"/>
    <w:rsid w:val="00EA3188"/>
    <w:rsid w:val="00EA4CAD"/>
    <w:rsid w:val="00EB1B0C"/>
    <w:rsid w:val="00EB20EB"/>
    <w:rsid w:val="00EC053C"/>
    <w:rsid w:val="00EC1A09"/>
    <w:rsid w:val="00EC2ACA"/>
    <w:rsid w:val="00EC3642"/>
    <w:rsid w:val="00ED5932"/>
    <w:rsid w:val="00EE1B56"/>
    <w:rsid w:val="00EE24B5"/>
    <w:rsid w:val="00EE2631"/>
    <w:rsid w:val="00EE573F"/>
    <w:rsid w:val="00EE6B3B"/>
    <w:rsid w:val="00EF0F15"/>
    <w:rsid w:val="00EF3EA3"/>
    <w:rsid w:val="00EF5D63"/>
    <w:rsid w:val="00EF621A"/>
    <w:rsid w:val="00EF70C2"/>
    <w:rsid w:val="00EF7A14"/>
    <w:rsid w:val="00F01428"/>
    <w:rsid w:val="00F03B5D"/>
    <w:rsid w:val="00F0648C"/>
    <w:rsid w:val="00F07369"/>
    <w:rsid w:val="00F07840"/>
    <w:rsid w:val="00F10DC0"/>
    <w:rsid w:val="00F124AC"/>
    <w:rsid w:val="00F15A74"/>
    <w:rsid w:val="00F225D4"/>
    <w:rsid w:val="00F303BD"/>
    <w:rsid w:val="00F306FD"/>
    <w:rsid w:val="00F3098A"/>
    <w:rsid w:val="00F314F3"/>
    <w:rsid w:val="00F31BAC"/>
    <w:rsid w:val="00F33BE5"/>
    <w:rsid w:val="00F3403F"/>
    <w:rsid w:val="00F34FB5"/>
    <w:rsid w:val="00F357C7"/>
    <w:rsid w:val="00F404D4"/>
    <w:rsid w:val="00F46594"/>
    <w:rsid w:val="00F539A7"/>
    <w:rsid w:val="00F61347"/>
    <w:rsid w:val="00F63049"/>
    <w:rsid w:val="00F6580B"/>
    <w:rsid w:val="00F665F5"/>
    <w:rsid w:val="00F70447"/>
    <w:rsid w:val="00F70BE8"/>
    <w:rsid w:val="00F7268B"/>
    <w:rsid w:val="00F73CBD"/>
    <w:rsid w:val="00F74EB6"/>
    <w:rsid w:val="00F752F7"/>
    <w:rsid w:val="00F756BE"/>
    <w:rsid w:val="00F757EC"/>
    <w:rsid w:val="00F767D7"/>
    <w:rsid w:val="00F80E84"/>
    <w:rsid w:val="00F81E49"/>
    <w:rsid w:val="00F82B1E"/>
    <w:rsid w:val="00F853A0"/>
    <w:rsid w:val="00F9260B"/>
    <w:rsid w:val="00FA26E6"/>
    <w:rsid w:val="00FA592E"/>
    <w:rsid w:val="00FB13DC"/>
    <w:rsid w:val="00FB41CE"/>
    <w:rsid w:val="00FC0BB3"/>
    <w:rsid w:val="00FC5578"/>
    <w:rsid w:val="00FC7C18"/>
    <w:rsid w:val="00FD1531"/>
    <w:rsid w:val="00FE034D"/>
    <w:rsid w:val="00FE0CA1"/>
    <w:rsid w:val="00FE32A3"/>
    <w:rsid w:val="00FE44EA"/>
    <w:rsid w:val="00FE4AA0"/>
    <w:rsid w:val="00FE67C8"/>
    <w:rsid w:val="00FE7006"/>
    <w:rsid w:val="00FE76F6"/>
    <w:rsid w:val="00FF02A7"/>
    <w:rsid w:val="00FF61BE"/>
    <w:rsid w:val="00FF653C"/>
    <w:rsid w:val="00FF75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6F52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F61"/>
    <w:pPr>
      <w:spacing w:after="0" w:line="240" w:lineRule="auto"/>
    </w:pPr>
    <w:rPr>
      <w:rFonts w:eastAsia="Times New Roman" w:cs="Times New Roman"/>
      <w:kern w:val="0"/>
      <w:szCs w:val="24"/>
      <w:lang w:val="lv-LV" w:eastAsia="ru-RU"/>
      <w14:ligatures w14:val="none"/>
    </w:rPr>
  </w:style>
  <w:style w:type="paragraph" w:styleId="Heading1">
    <w:name w:val="heading 1"/>
    <w:basedOn w:val="Normal"/>
    <w:next w:val="Normal"/>
    <w:link w:val="Heading1Char"/>
    <w:uiPriority w:val="9"/>
    <w:qFormat/>
    <w:rsid w:val="003C6F6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3C6F6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3C6F6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3C6F61"/>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3C6F61"/>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3C6F61"/>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3C6F61"/>
    <w:pPr>
      <w:keepNext/>
      <w:keepLines/>
      <w:spacing w:before="40" w:line="259" w:lineRule="auto"/>
      <w:outlineLvl w:val="6"/>
    </w:pPr>
    <w:rPr>
      <w:rFonts w:asciiTheme="minorHAnsi" w:eastAsiaTheme="majorEastAsia" w:hAnsiTheme="minorHAnsi" w:cstheme="majorBidi"/>
      <w:color w:val="595959" w:themeColor="text1" w:themeTint="A6"/>
      <w:kern w:val="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3C6F61"/>
    <w:pPr>
      <w:keepNext/>
      <w:keepLines/>
      <w:spacing w:line="259" w:lineRule="auto"/>
      <w:outlineLvl w:val="7"/>
    </w:pPr>
    <w:rPr>
      <w:rFonts w:asciiTheme="minorHAnsi" w:eastAsiaTheme="majorEastAsia" w:hAnsiTheme="minorHAnsi" w:cstheme="majorBidi"/>
      <w:i/>
      <w:iCs/>
      <w:color w:val="272727" w:themeColor="text1" w:themeTint="D8"/>
      <w:kern w:val="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3C6F61"/>
    <w:pPr>
      <w:keepNext/>
      <w:keepLines/>
      <w:spacing w:line="259" w:lineRule="auto"/>
      <w:outlineLvl w:val="8"/>
    </w:pPr>
    <w:rPr>
      <w:rFonts w:asciiTheme="minorHAnsi" w:eastAsiaTheme="majorEastAsia" w:hAnsiTheme="minorHAnsi" w:cstheme="majorBidi"/>
      <w:color w:val="272727" w:themeColor="text1" w:themeTint="D8"/>
      <w:kern w:val="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F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6F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6F6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6F6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C6F6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C6F6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6F6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6F6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6F6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6F61"/>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3C6F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F6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3C6F6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6F61"/>
    <w:pPr>
      <w:spacing w:before="160" w:after="160" w:line="259" w:lineRule="auto"/>
      <w:jc w:val="center"/>
    </w:pPr>
    <w:rPr>
      <w:rFonts w:eastAsiaTheme="minorHAnsi" w:cstheme="minorBidi"/>
      <w:i/>
      <w:iCs/>
      <w:color w:val="404040" w:themeColor="text1" w:themeTint="BF"/>
      <w:kern w:val="2"/>
      <w:szCs w:val="22"/>
      <w:lang w:val="en-US" w:eastAsia="en-US"/>
      <w14:ligatures w14:val="standardContextual"/>
    </w:rPr>
  </w:style>
  <w:style w:type="character" w:customStyle="1" w:styleId="QuoteChar">
    <w:name w:val="Quote Char"/>
    <w:basedOn w:val="DefaultParagraphFont"/>
    <w:link w:val="Quote"/>
    <w:uiPriority w:val="29"/>
    <w:rsid w:val="003C6F61"/>
    <w:rPr>
      <w:i/>
      <w:iCs/>
      <w:color w:val="404040" w:themeColor="text1" w:themeTint="BF"/>
    </w:rPr>
  </w:style>
  <w:style w:type="paragraph" w:styleId="ListParagraph">
    <w:name w:val="List Paragraph"/>
    <w:basedOn w:val="Normal"/>
    <w:uiPriority w:val="34"/>
    <w:qFormat/>
    <w:rsid w:val="003C6F61"/>
    <w:pPr>
      <w:spacing w:after="160" w:line="259" w:lineRule="auto"/>
      <w:ind w:left="720"/>
      <w:contextualSpacing/>
    </w:pPr>
    <w:rPr>
      <w:rFonts w:eastAsiaTheme="minorHAnsi" w:cstheme="minorBidi"/>
      <w:kern w:val="2"/>
      <w:szCs w:val="22"/>
      <w:lang w:val="en-US" w:eastAsia="en-US"/>
      <w14:ligatures w14:val="standardContextual"/>
    </w:rPr>
  </w:style>
  <w:style w:type="character" w:styleId="IntenseEmphasis">
    <w:name w:val="Intense Emphasis"/>
    <w:basedOn w:val="DefaultParagraphFont"/>
    <w:uiPriority w:val="21"/>
    <w:qFormat/>
    <w:rsid w:val="003C6F61"/>
    <w:rPr>
      <w:i/>
      <w:iCs/>
      <w:color w:val="2F5496" w:themeColor="accent1" w:themeShade="BF"/>
    </w:rPr>
  </w:style>
  <w:style w:type="paragraph" w:styleId="IntenseQuote">
    <w:name w:val="Intense Quote"/>
    <w:basedOn w:val="Normal"/>
    <w:next w:val="Normal"/>
    <w:link w:val="IntenseQuoteChar"/>
    <w:uiPriority w:val="30"/>
    <w:qFormat/>
    <w:rsid w:val="003C6F6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lang w:val="en-US" w:eastAsia="en-US"/>
      <w14:ligatures w14:val="standardContextual"/>
    </w:rPr>
  </w:style>
  <w:style w:type="character" w:customStyle="1" w:styleId="IntenseQuoteChar">
    <w:name w:val="Intense Quote Char"/>
    <w:basedOn w:val="DefaultParagraphFont"/>
    <w:link w:val="IntenseQuote"/>
    <w:uiPriority w:val="30"/>
    <w:rsid w:val="003C6F61"/>
    <w:rPr>
      <w:i/>
      <w:iCs/>
      <w:color w:val="2F5496" w:themeColor="accent1" w:themeShade="BF"/>
    </w:rPr>
  </w:style>
  <w:style w:type="character" w:styleId="IntenseReference">
    <w:name w:val="Intense Reference"/>
    <w:basedOn w:val="DefaultParagraphFont"/>
    <w:uiPriority w:val="32"/>
    <w:qFormat/>
    <w:rsid w:val="003C6F61"/>
    <w:rPr>
      <w:b/>
      <w:bCs/>
      <w:smallCaps/>
      <w:color w:val="2F5496" w:themeColor="accent1" w:themeShade="BF"/>
      <w:spacing w:val="5"/>
    </w:rPr>
  </w:style>
  <w:style w:type="paragraph" w:styleId="NormalWeb">
    <w:name w:val="Normal (Web)"/>
    <w:basedOn w:val="Normal"/>
    <w:uiPriority w:val="99"/>
    <w:rsid w:val="003C6F61"/>
    <w:pPr>
      <w:spacing w:before="100" w:beforeAutospacing="1" w:after="100" w:afterAutospacing="1"/>
    </w:pPr>
    <w:rPr>
      <w:lang w:eastAsia="lv-LV"/>
    </w:rPr>
  </w:style>
  <w:style w:type="paragraph" w:styleId="Header">
    <w:name w:val="header"/>
    <w:basedOn w:val="Normal"/>
    <w:link w:val="HeaderChar"/>
    <w:uiPriority w:val="99"/>
    <w:unhideWhenUsed/>
    <w:rsid w:val="003C6F61"/>
    <w:pPr>
      <w:tabs>
        <w:tab w:val="center" w:pos="4513"/>
        <w:tab w:val="right" w:pos="9026"/>
      </w:tabs>
    </w:pPr>
  </w:style>
  <w:style w:type="character" w:customStyle="1" w:styleId="HeaderChar">
    <w:name w:val="Header Char"/>
    <w:basedOn w:val="DefaultParagraphFont"/>
    <w:link w:val="Header"/>
    <w:uiPriority w:val="99"/>
    <w:rsid w:val="003C6F61"/>
    <w:rPr>
      <w:rFonts w:eastAsia="Times New Roman" w:cs="Times New Roman"/>
      <w:kern w:val="0"/>
      <w:szCs w:val="24"/>
      <w:lang w:val="lv-LV" w:eastAsia="ru-RU"/>
      <w14:ligatures w14:val="none"/>
    </w:rPr>
  </w:style>
  <w:style w:type="paragraph" w:styleId="Footer">
    <w:name w:val="footer"/>
    <w:basedOn w:val="Normal"/>
    <w:link w:val="FooterChar"/>
    <w:unhideWhenUsed/>
    <w:rsid w:val="003C6F61"/>
    <w:pPr>
      <w:tabs>
        <w:tab w:val="center" w:pos="4513"/>
        <w:tab w:val="right" w:pos="9026"/>
      </w:tabs>
    </w:pPr>
  </w:style>
  <w:style w:type="character" w:customStyle="1" w:styleId="FooterChar">
    <w:name w:val="Footer Char"/>
    <w:basedOn w:val="DefaultParagraphFont"/>
    <w:link w:val="Footer"/>
    <w:rsid w:val="003C6F61"/>
    <w:rPr>
      <w:rFonts w:eastAsia="Times New Roman" w:cs="Times New Roman"/>
      <w:kern w:val="0"/>
      <w:szCs w:val="24"/>
      <w:lang w:val="lv-LV" w:eastAsia="ru-RU"/>
      <w14:ligatures w14:val="none"/>
    </w:rPr>
  </w:style>
  <w:style w:type="character" w:styleId="PageNumber">
    <w:name w:val="page number"/>
    <w:basedOn w:val="DefaultParagraphFont"/>
    <w:rsid w:val="003C6F61"/>
  </w:style>
  <w:style w:type="character" w:styleId="Hyperlink">
    <w:name w:val="Hyperlink"/>
    <w:basedOn w:val="DefaultParagraphFont"/>
    <w:uiPriority w:val="99"/>
    <w:unhideWhenUsed/>
    <w:rsid w:val="003C6F61"/>
    <w:rPr>
      <w:color w:val="0563C1" w:themeColor="hyperlink"/>
      <w:u w:val="single"/>
    </w:rPr>
  </w:style>
  <w:style w:type="paragraph" w:styleId="FootnoteText">
    <w:name w:val="footnote text"/>
    <w:basedOn w:val="Normal"/>
    <w:link w:val="FootnoteTextChar"/>
    <w:uiPriority w:val="99"/>
    <w:semiHidden/>
    <w:unhideWhenUsed/>
    <w:rsid w:val="00121D30"/>
    <w:pPr>
      <w:widowControl w:val="0"/>
    </w:pPr>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121D30"/>
    <w:rPr>
      <w:rFonts w:ascii="Calibri" w:eastAsia="Calibri" w:hAnsi="Calibri" w:cs="Times New Roman"/>
      <w:kern w:val="0"/>
      <w:sz w:val="20"/>
      <w:szCs w:val="20"/>
      <w:lang w:val="lv-LV"/>
      <w14:ligatures w14:val="none"/>
    </w:rPr>
  </w:style>
  <w:style w:type="character" w:styleId="FootnoteReference">
    <w:name w:val="footnote reference"/>
    <w:basedOn w:val="DefaultParagraphFont"/>
    <w:uiPriority w:val="99"/>
    <w:semiHidden/>
    <w:unhideWhenUsed/>
    <w:rsid w:val="00121D30"/>
    <w:rPr>
      <w:vertAlign w:val="superscript"/>
    </w:rPr>
  </w:style>
  <w:style w:type="character" w:styleId="CommentReference">
    <w:name w:val="annotation reference"/>
    <w:basedOn w:val="DefaultParagraphFont"/>
    <w:uiPriority w:val="99"/>
    <w:semiHidden/>
    <w:unhideWhenUsed/>
    <w:rsid w:val="00467A51"/>
    <w:rPr>
      <w:sz w:val="16"/>
      <w:szCs w:val="16"/>
    </w:rPr>
  </w:style>
  <w:style w:type="paragraph" w:styleId="CommentText">
    <w:name w:val="annotation text"/>
    <w:basedOn w:val="Normal"/>
    <w:link w:val="CommentTextChar"/>
    <w:uiPriority w:val="99"/>
    <w:unhideWhenUsed/>
    <w:rsid w:val="00467A51"/>
    <w:rPr>
      <w:sz w:val="20"/>
      <w:szCs w:val="20"/>
    </w:rPr>
  </w:style>
  <w:style w:type="character" w:customStyle="1" w:styleId="CommentTextChar">
    <w:name w:val="Comment Text Char"/>
    <w:basedOn w:val="DefaultParagraphFont"/>
    <w:link w:val="CommentText"/>
    <w:uiPriority w:val="99"/>
    <w:rsid w:val="00467A51"/>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467A51"/>
    <w:rPr>
      <w:b/>
      <w:bCs/>
    </w:rPr>
  </w:style>
  <w:style w:type="character" w:customStyle="1" w:styleId="CommentSubjectChar">
    <w:name w:val="Comment Subject Char"/>
    <w:basedOn w:val="CommentTextChar"/>
    <w:link w:val="CommentSubject"/>
    <w:uiPriority w:val="99"/>
    <w:semiHidden/>
    <w:rsid w:val="00467A51"/>
    <w:rPr>
      <w:rFonts w:eastAsia="Times New Roman" w:cs="Times New Roman"/>
      <w:b/>
      <w:bCs/>
      <w:kern w:val="0"/>
      <w:sz w:val="20"/>
      <w:szCs w:val="20"/>
      <w:lang w:val="lv-LV" w:eastAsia="ru-RU"/>
      <w14:ligatures w14:val="none"/>
    </w:rPr>
  </w:style>
  <w:style w:type="paragraph" w:styleId="Revision">
    <w:name w:val="Revision"/>
    <w:hidden/>
    <w:uiPriority w:val="99"/>
    <w:semiHidden/>
    <w:rsid w:val="001027DB"/>
    <w:pPr>
      <w:spacing w:after="0" w:line="240" w:lineRule="auto"/>
    </w:pPr>
    <w:rPr>
      <w:rFonts w:eastAsia="Times New Roman" w:cs="Times New Roman"/>
      <w:kern w:val="0"/>
      <w:szCs w:val="24"/>
      <w:lang w:val="lv-LV" w:eastAsia="ru-RU"/>
      <w14:ligatures w14:val="none"/>
    </w:rPr>
  </w:style>
  <w:style w:type="character" w:styleId="UnresolvedMention">
    <w:name w:val="Unresolved Mention"/>
    <w:basedOn w:val="DefaultParagraphFont"/>
    <w:uiPriority w:val="99"/>
    <w:semiHidden/>
    <w:unhideWhenUsed/>
    <w:rsid w:val="00065CFB"/>
    <w:rPr>
      <w:color w:val="605E5C"/>
      <w:shd w:val="clear" w:color="auto" w:fill="E1DFDD"/>
    </w:rPr>
  </w:style>
  <w:style w:type="paragraph" w:customStyle="1" w:styleId="Default">
    <w:name w:val="Default"/>
    <w:rsid w:val="0096531A"/>
    <w:pPr>
      <w:autoSpaceDE w:val="0"/>
      <w:autoSpaceDN w:val="0"/>
      <w:adjustRightInd w:val="0"/>
      <w:spacing w:after="0" w:line="240" w:lineRule="auto"/>
    </w:pPr>
    <w:rPr>
      <w:rFonts w:cs="Times New Roman"/>
      <w:color w:val="000000"/>
      <w:kern w:val="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0093">
      <w:bodyDiv w:val="1"/>
      <w:marLeft w:val="0"/>
      <w:marRight w:val="0"/>
      <w:marTop w:val="0"/>
      <w:marBottom w:val="0"/>
      <w:divBdr>
        <w:top w:val="none" w:sz="0" w:space="0" w:color="auto"/>
        <w:left w:val="none" w:sz="0" w:space="0" w:color="auto"/>
        <w:bottom w:val="none" w:sz="0" w:space="0" w:color="auto"/>
        <w:right w:val="none" w:sz="0" w:space="0" w:color="auto"/>
      </w:divBdr>
    </w:div>
    <w:div w:id="189343670">
      <w:bodyDiv w:val="1"/>
      <w:marLeft w:val="0"/>
      <w:marRight w:val="0"/>
      <w:marTop w:val="0"/>
      <w:marBottom w:val="0"/>
      <w:divBdr>
        <w:top w:val="none" w:sz="0" w:space="0" w:color="auto"/>
        <w:left w:val="none" w:sz="0" w:space="0" w:color="auto"/>
        <w:bottom w:val="none" w:sz="0" w:space="0" w:color="auto"/>
        <w:right w:val="none" w:sz="0" w:space="0" w:color="auto"/>
      </w:divBdr>
    </w:div>
    <w:div w:id="1143502739">
      <w:bodyDiv w:val="1"/>
      <w:marLeft w:val="0"/>
      <w:marRight w:val="0"/>
      <w:marTop w:val="0"/>
      <w:marBottom w:val="0"/>
      <w:divBdr>
        <w:top w:val="none" w:sz="0" w:space="0" w:color="auto"/>
        <w:left w:val="none" w:sz="0" w:space="0" w:color="auto"/>
        <w:bottom w:val="none" w:sz="0" w:space="0" w:color="auto"/>
        <w:right w:val="none" w:sz="0" w:space="0" w:color="auto"/>
      </w:divBdr>
      <w:divsChild>
        <w:div w:id="863252950">
          <w:marLeft w:val="0"/>
          <w:marRight w:val="0"/>
          <w:marTop w:val="0"/>
          <w:marBottom w:val="0"/>
          <w:divBdr>
            <w:top w:val="none" w:sz="0" w:space="0" w:color="auto"/>
            <w:left w:val="none" w:sz="0" w:space="0" w:color="auto"/>
            <w:bottom w:val="none" w:sz="0" w:space="0" w:color="auto"/>
            <w:right w:val="none" w:sz="0" w:space="0" w:color="auto"/>
          </w:divBdr>
        </w:div>
      </w:divsChild>
    </w:div>
    <w:div w:id="1145899617">
      <w:bodyDiv w:val="1"/>
      <w:marLeft w:val="0"/>
      <w:marRight w:val="0"/>
      <w:marTop w:val="0"/>
      <w:marBottom w:val="0"/>
      <w:divBdr>
        <w:top w:val="none" w:sz="0" w:space="0" w:color="auto"/>
        <w:left w:val="none" w:sz="0" w:space="0" w:color="auto"/>
        <w:bottom w:val="none" w:sz="0" w:space="0" w:color="auto"/>
        <w:right w:val="none" w:sz="0" w:space="0" w:color="auto"/>
      </w:divBdr>
      <w:divsChild>
        <w:div w:id="1458910570">
          <w:marLeft w:val="0"/>
          <w:marRight w:val="0"/>
          <w:marTop w:val="0"/>
          <w:marBottom w:val="0"/>
          <w:divBdr>
            <w:top w:val="none" w:sz="0" w:space="0" w:color="auto"/>
            <w:left w:val="none" w:sz="0" w:space="0" w:color="auto"/>
            <w:bottom w:val="none" w:sz="0" w:space="0" w:color="auto"/>
            <w:right w:val="none" w:sz="0" w:space="0" w:color="auto"/>
          </w:divBdr>
        </w:div>
      </w:divsChild>
    </w:div>
    <w:div w:id="1447507043">
      <w:bodyDiv w:val="1"/>
      <w:marLeft w:val="0"/>
      <w:marRight w:val="0"/>
      <w:marTop w:val="0"/>
      <w:marBottom w:val="0"/>
      <w:divBdr>
        <w:top w:val="none" w:sz="0" w:space="0" w:color="auto"/>
        <w:left w:val="none" w:sz="0" w:space="0" w:color="auto"/>
        <w:bottom w:val="none" w:sz="0" w:space="0" w:color="auto"/>
        <w:right w:val="none" w:sz="0" w:space="0" w:color="auto"/>
      </w:divBdr>
    </w:div>
    <w:div w:id="186594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2:0201.SKA056422.3.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ateway.elieta.lv/api/v1/PublicMaterialDownload/02863ee0-ff95-4d92-bc3c-1e48834e0c3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manas.tiesas.lv/eTiesasMvc/nolemumi/pdf/300304.pdf" TargetMode="External"/><Relationship Id="rId4" Type="http://schemas.openxmlformats.org/officeDocument/2006/relationships/webSettings" Target="webSettings.xml"/><Relationship Id="rId9" Type="http://schemas.openxmlformats.org/officeDocument/2006/relationships/hyperlink" Target="https://manas.tiesas.lv/eTiesasMvc/eclinolemumi/ECLI:LV:AT:2022:1027.SKA103222.3.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61BFE-94A6-4B58-BF3E-65CE91E28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17364</Words>
  <Characters>9899</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2025-08-20T08:42:00Z</dcterms:created>
  <dcterms:modified xsi:type="dcterms:W3CDTF">2025-09-05T07:35:00Z</dcterms:modified>
</cp:coreProperties>
</file>