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9FC4" w14:textId="01718F7C" w:rsidR="001E5CEF" w:rsidRPr="004F6618" w:rsidRDefault="00484486" w:rsidP="001E5CEF">
      <w:pPr>
        <w:spacing w:line="276" w:lineRule="auto"/>
        <w:jc w:val="both"/>
        <w:rPr>
          <w:rFonts w:asciiTheme="majorBidi" w:hAnsiTheme="majorBidi" w:cstheme="majorBidi"/>
          <w:b/>
        </w:rPr>
      </w:pPr>
      <w:r>
        <w:rPr>
          <w:rFonts w:asciiTheme="majorBidi" w:hAnsiTheme="majorBidi" w:cstheme="majorBidi"/>
          <w:b/>
          <w:bCs/>
        </w:rPr>
        <w:t>Dzīvokļa īpašnieka tiesības uz</w:t>
      </w:r>
      <w:r w:rsidR="00D53364">
        <w:rPr>
          <w:rFonts w:asciiTheme="majorBidi" w:hAnsiTheme="majorBidi" w:cstheme="majorBidi"/>
          <w:b/>
          <w:bCs/>
        </w:rPr>
        <w:t xml:space="preserve"> informāciju par jautājumiem, kas attiecas uz pārvaldīšanas uzdevumu</w:t>
      </w:r>
      <w:r w:rsidR="004F6618">
        <w:rPr>
          <w:rFonts w:asciiTheme="majorBidi" w:hAnsiTheme="majorBidi" w:cstheme="majorBidi"/>
          <w:b/>
          <w:bCs/>
        </w:rPr>
        <w:t xml:space="preserve">. Pārvaldnieka un </w:t>
      </w:r>
      <w:r w:rsidR="009C4E85">
        <w:rPr>
          <w:rFonts w:asciiTheme="majorBidi" w:hAnsiTheme="majorBidi" w:cstheme="majorBidi"/>
          <w:b/>
          <w:bCs/>
        </w:rPr>
        <w:t xml:space="preserve">komunālo </w:t>
      </w:r>
      <w:r w:rsidR="004F6618">
        <w:rPr>
          <w:rFonts w:asciiTheme="majorBidi" w:hAnsiTheme="majorBidi" w:cstheme="majorBidi"/>
          <w:b/>
          <w:bCs/>
        </w:rPr>
        <w:t xml:space="preserve">pakalpojumu sniedzēju </w:t>
      </w:r>
      <w:r w:rsidR="004F6618">
        <w:rPr>
          <w:rFonts w:asciiTheme="majorBidi" w:hAnsiTheme="majorBidi" w:cstheme="majorBidi"/>
          <w:b/>
        </w:rPr>
        <w:t xml:space="preserve">informācijas sniegšanas pienākuma </w:t>
      </w:r>
      <w:r w:rsidR="004F6618" w:rsidRPr="004F6618">
        <w:rPr>
          <w:rFonts w:asciiTheme="majorBidi" w:hAnsiTheme="majorBidi" w:cstheme="majorBidi"/>
          <w:b/>
        </w:rPr>
        <w:t>nošķiršana.</w:t>
      </w:r>
      <w:r w:rsidR="001E5CEF" w:rsidRPr="004F6618">
        <w:rPr>
          <w:rFonts w:asciiTheme="majorBidi" w:hAnsiTheme="majorBidi" w:cstheme="majorBidi"/>
          <w:b/>
        </w:rPr>
        <w:t xml:space="preserve"> </w:t>
      </w:r>
    </w:p>
    <w:p w14:paraId="4A395607" w14:textId="5906EBCE" w:rsidR="00484486" w:rsidRPr="00484486" w:rsidRDefault="0006189F" w:rsidP="00484486">
      <w:pPr>
        <w:spacing w:line="276" w:lineRule="auto"/>
        <w:jc w:val="both"/>
        <w:rPr>
          <w:rFonts w:asciiTheme="majorBidi" w:hAnsiTheme="majorBidi" w:cstheme="majorBidi"/>
          <w:bCs/>
        </w:rPr>
      </w:pPr>
      <w:r>
        <w:rPr>
          <w:rFonts w:asciiTheme="majorBidi" w:hAnsiTheme="majorBidi" w:cstheme="majorBidi"/>
          <w:bCs/>
        </w:rPr>
        <w:t>T</w:t>
      </w:r>
      <w:r w:rsidRPr="00BA3A9A">
        <w:rPr>
          <w:rFonts w:asciiTheme="majorBidi" w:hAnsiTheme="majorBidi" w:cstheme="majorBidi"/>
          <w:bCs/>
        </w:rPr>
        <w:t>iesības uz informāciju ir dzīvokļa īpašnieka būtiskas tiesības, kas nodrošina viņa iespēju līdzdarboties mājas pārvaldīšanā</w:t>
      </w:r>
      <w:r>
        <w:rPr>
          <w:rFonts w:asciiTheme="majorBidi" w:hAnsiTheme="majorBidi" w:cstheme="majorBidi"/>
          <w:bCs/>
        </w:rPr>
        <w:t xml:space="preserve">. </w:t>
      </w:r>
      <w:r w:rsidRPr="00BA3A9A">
        <w:t xml:space="preserve">Pārvaldnieka pienākumu sniegt </w:t>
      </w:r>
      <w:r w:rsidR="00053AC2">
        <w:t xml:space="preserve">atsevišķam </w:t>
      </w:r>
      <w:r w:rsidRPr="00BA3A9A">
        <w:t>dzīvokļa īpašniekam informāciju</w:t>
      </w:r>
      <w:r>
        <w:t xml:space="preserve">, tostarp par </w:t>
      </w:r>
      <w:r w:rsidRPr="00BA3A9A">
        <w:rPr>
          <w:rFonts w:asciiTheme="majorBidi" w:hAnsiTheme="majorBidi" w:cstheme="majorBidi"/>
          <w:bCs/>
        </w:rPr>
        <w:t>jautājumiem, kas attiecas uz pārvaldīšanas uzdevumu</w:t>
      </w:r>
      <w:r>
        <w:rPr>
          <w:rFonts w:asciiTheme="majorBidi" w:hAnsiTheme="majorBidi" w:cstheme="majorBidi"/>
          <w:bCs/>
        </w:rPr>
        <w:t>,</w:t>
      </w:r>
      <w:r w:rsidRPr="00BA3A9A">
        <w:t xml:space="preserve"> paredz </w:t>
      </w:r>
      <w:r w:rsidRPr="00BA3A9A">
        <w:rPr>
          <w:rFonts w:asciiTheme="majorBidi" w:hAnsiTheme="majorBidi" w:cstheme="majorBidi"/>
          <w:bCs/>
        </w:rPr>
        <w:t>Dzīvojamo māju pārvaldīšanas likuma 14.</w:t>
      </w:r>
      <w:r>
        <w:rPr>
          <w:rFonts w:asciiTheme="majorBidi" w:hAnsiTheme="majorBidi" w:cstheme="majorBidi"/>
          <w:bCs/>
        </w:rPr>
        <w:t> </w:t>
      </w:r>
      <w:r w:rsidRPr="00BA3A9A">
        <w:rPr>
          <w:rFonts w:asciiTheme="majorBidi" w:hAnsiTheme="majorBidi" w:cstheme="majorBidi"/>
          <w:bCs/>
        </w:rPr>
        <w:t>panta otrā daļa</w:t>
      </w:r>
      <w:r>
        <w:rPr>
          <w:rFonts w:asciiTheme="majorBidi" w:hAnsiTheme="majorBidi" w:cstheme="majorBidi"/>
        </w:rPr>
        <w:t>.</w:t>
      </w:r>
      <w:r w:rsidR="00484486">
        <w:rPr>
          <w:rFonts w:asciiTheme="majorBidi" w:hAnsiTheme="majorBidi" w:cstheme="majorBidi"/>
        </w:rPr>
        <w:t xml:space="preserve"> </w:t>
      </w:r>
      <w:r w:rsidR="004F6618">
        <w:rPr>
          <w:rFonts w:asciiTheme="majorBidi" w:hAnsiTheme="majorBidi" w:cstheme="majorBidi"/>
          <w:bCs/>
        </w:rPr>
        <w:t xml:space="preserve">Savukārt </w:t>
      </w:r>
      <w:r w:rsidR="00484486" w:rsidRPr="00484486">
        <w:rPr>
          <w:rFonts w:asciiTheme="majorBidi" w:hAnsiTheme="majorBidi" w:cstheme="majorBidi"/>
          <w:bCs/>
        </w:rPr>
        <w:t>minētā likuma 17.</w:t>
      </w:r>
      <w:r w:rsidR="00484486" w:rsidRPr="00484486">
        <w:rPr>
          <w:rFonts w:asciiTheme="majorBidi" w:hAnsiTheme="majorBidi" w:cstheme="majorBidi"/>
          <w:bCs/>
          <w:vertAlign w:val="superscript"/>
        </w:rPr>
        <w:t>4 </w:t>
      </w:r>
      <w:r w:rsidR="00484486" w:rsidRPr="00484486">
        <w:rPr>
          <w:rFonts w:asciiTheme="majorBidi" w:hAnsiTheme="majorBidi" w:cstheme="majorBidi"/>
          <w:bCs/>
        </w:rPr>
        <w:t>panta pirmā daļa (pakalpojumu sniedzēju pienākums sniegt informāciju par to piedāvāto pakalpojumu cenu) attiecas uz tā paša likuma 6. panta otrās daļas 1. punkta „b” apakšpunktā minēt</w:t>
      </w:r>
      <w:r w:rsidR="00484486">
        <w:rPr>
          <w:rFonts w:asciiTheme="majorBidi" w:hAnsiTheme="majorBidi" w:cstheme="majorBidi"/>
          <w:bCs/>
        </w:rPr>
        <w:t>ajiem</w:t>
      </w:r>
      <w:r w:rsidR="00484486" w:rsidRPr="00484486">
        <w:rPr>
          <w:rFonts w:asciiTheme="majorBidi" w:hAnsiTheme="majorBidi" w:cstheme="majorBidi"/>
          <w:bCs/>
        </w:rPr>
        <w:t xml:space="preserve"> pakalpojumu sniedzēj</w:t>
      </w:r>
      <w:r w:rsidR="00484486">
        <w:rPr>
          <w:rFonts w:asciiTheme="majorBidi" w:hAnsiTheme="majorBidi" w:cstheme="majorBidi"/>
          <w:bCs/>
        </w:rPr>
        <w:t>iem</w:t>
      </w:r>
      <w:r w:rsidR="00484486" w:rsidRPr="00484486">
        <w:rPr>
          <w:rFonts w:asciiTheme="majorBidi" w:hAnsiTheme="majorBidi" w:cstheme="majorBidi"/>
          <w:bCs/>
        </w:rPr>
        <w:t>, proti, person</w:t>
      </w:r>
      <w:r w:rsidR="00484486">
        <w:rPr>
          <w:rFonts w:asciiTheme="majorBidi" w:hAnsiTheme="majorBidi" w:cstheme="majorBidi"/>
          <w:bCs/>
        </w:rPr>
        <w:t>ām</w:t>
      </w:r>
      <w:r w:rsidR="00484486" w:rsidRPr="00484486">
        <w:rPr>
          <w:rFonts w:asciiTheme="majorBidi" w:hAnsiTheme="majorBidi" w:cstheme="majorBidi"/>
          <w:bCs/>
        </w:rPr>
        <w:t>, kas nodrošina dzīvojamās mājas uzturēšanai nepieciešamos pakalpojumus jeb t. s. komunālos pakalpojumus, kuri ir jānošķir no pārvaldīšanas pakalpojuma.</w:t>
      </w:r>
    </w:p>
    <w:p w14:paraId="19C9F810" w14:textId="77777777" w:rsidR="001E5CEF" w:rsidRPr="002D6904" w:rsidRDefault="001E5CEF" w:rsidP="001E5CEF">
      <w:pPr>
        <w:spacing w:line="276" w:lineRule="auto"/>
        <w:jc w:val="both"/>
        <w:rPr>
          <w:rFonts w:asciiTheme="majorBidi" w:hAnsiTheme="majorBidi" w:cstheme="majorBidi"/>
        </w:rPr>
      </w:pPr>
    </w:p>
    <w:p w14:paraId="764C1375" w14:textId="6D1CC7BB" w:rsidR="004A65C8" w:rsidRPr="004A65C8" w:rsidRDefault="00053AC2" w:rsidP="004A65C8">
      <w:pPr>
        <w:spacing w:line="276" w:lineRule="auto"/>
        <w:jc w:val="both"/>
        <w:rPr>
          <w:rFonts w:asciiTheme="majorBidi" w:hAnsiTheme="majorBidi" w:cstheme="majorBidi"/>
          <w:b/>
          <w:bCs/>
        </w:rPr>
      </w:pPr>
      <w:r>
        <w:rPr>
          <w:rFonts w:asciiTheme="majorBidi" w:hAnsiTheme="majorBidi" w:cstheme="majorBidi"/>
          <w:b/>
          <w:bCs/>
        </w:rPr>
        <w:t xml:space="preserve">Dzīvokļa īpašnieka tiesības uz informāciju par </w:t>
      </w:r>
      <w:r w:rsidR="004A65C8" w:rsidRPr="004A65C8">
        <w:rPr>
          <w:rFonts w:asciiTheme="majorBidi" w:hAnsiTheme="majorBidi" w:cstheme="majorBidi"/>
          <w:b/>
          <w:bCs/>
        </w:rPr>
        <w:t xml:space="preserve">pārvaldnieka nākamajam kalendārajam gadam sagatavotās pārvaldīšanas darbu tāmes pozīciju veidošanos </w:t>
      </w:r>
    </w:p>
    <w:p w14:paraId="3C506BDC" w14:textId="459764B0" w:rsidR="00316F6A" w:rsidRDefault="00316F6A" w:rsidP="004A65C8">
      <w:pPr>
        <w:spacing w:line="276" w:lineRule="auto"/>
        <w:jc w:val="both"/>
        <w:rPr>
          <w:rFonts w:asciiTheme="majorBidi" w:hAnsiTheme="majorBidi" w:cstheme="majorBidi"/>
        </w:rPr>
      </w:pPr>
      <w:r>
        <w:rPr>
          <w:rFonts w:asciiTheme="majorBidi" w:hAnsiTheme="majorBidi" w:cstheme="majorBidi"/>
        </w:rPr>
        <w:t>Ja dzīvokļu īpašnieku un pārvaldnieka tiesiskajās attiecībās ir piemērojami</w:t>
      </w:r>
      <w:r w:rsidR="009833B6" w:rsidRPr="009833B6">
        <w:rPr>
          <w:rFonts w:asciiTheme="majorBidi" w:hAnsiTheme="majorBidi" w:cstheme="majorBidi"/>
          <w:bCs/>
        </w:rPr>
        <w:t xml:space="preserve"> </w:t>
      </w:r>
      <w:r w:rsidR="009833B6" w:rsidRPr="00BA3A9A">
        <w:rPr>
          <w:rFonts w:asciiTheme="majorBidi" w:hAnsiTheme="majorBidi" w:cstheme="majorBidi"/>
          <w:bCs/>
        </w:rPr>
        <w:t>Ministru kabineta 2017.</w:t>
      </w:r>
      <w:r w:rsidR="009C4E85">
        <w:rPr>
          <w:rFonts w:asciiTheme="majorBidi" w:hAnsiTheme="majorBidi" w:cstheme="majorBidi"/>
          <w:bCs/>
        </w:rPr>
        <w:t> </w:t>
      </w:r>
      <w:r w:rsidR="009833B6" w:rsidRPr="00BA3A9A">
        <w:rPr>
          <w:rFonts w:asciiTheme="majorBidi" w:hAnsiTheme="majorBidi" w:cstheme="majorBidi"/>
          <w:bCs/>
        </w:rPr>
        <w:t>gada 11.</w:t>
      </w:r>
      <w:r w:rsidR="009C4E85">
        <w:rPr>
          <w:rFonts w:asciiTheme="majorBidi" w:hAnsiTheme="majorBidi" w:cstheme="majorBidi"/>
          <w:bCs/>
        </w:rPr>
        <w:t> </w:t>
      </w:r>
      <w:r w:rsidR="009833B6" w:rsidRPr="00BA3A9A">
        <w:rPr>
          <w:rFonts w:asciiTheme="majorBidi" w:hAnsiTheme="majorBidi" w:cstheme="majorBidi"/>
          <w:bCs/>
        </w:rPr>
        <w:t>jūlija noteikum</w:t>
      </w:r>
      <w:r w:rsidR="009833B6">
        <w:rPr>
          <w:rFonts w:asciiTheme="majorBidi" w:hAnsiTheme="majorBidi" w:cstheme="majorBidi"/>
          <w:bCs/>
        </w:rPr>
        <w:t>i</w:t>
      </w:r>
      <w:r w:rsidR="009833B6" w:rsidRPr="00BA3A9A">
        <w:rPr>
          <w:rFonts w:asciiTheme="majorBidi" w:hAnsiTheme="majorBidi" w:cstheme="majorBidi"/>
          <w:bCs/>
        </w:rPr>
        <w:t xml:space="preserve"> Nr. 408 „Dzīvojamās mājas pārvaldīšanas un apsaimniekošanas maksas aprēķināšanas noteikumi”</w:t>
      </w:r>
      <w:r>
        <w:rPr>
          <w:rFonts w:asciiTheme="majorBidi" w:hAnsiTheme="majorBidi" w:cstheme="majorBidi"/>
        </w:rPr>
        <w:t xml:space="preserve">, tad atsevišķam dzīvokļa īpašniekam ir tiesības saņemt informāciju par pārvaldnieka nākamajam kalendārajam gadam sagatavotās dzīvojamās mājas pārvaldīšanas darbu tāmes pozīciju veidošanos, proti, saņemt tāmē iekļautas konkrētas pozīcijas apmēra pamatojumu, lai dzīvokļa īpašnieks saprātīgi varētu noskaidrot, kāpēc </w:t>
      </w:r>
      <w:r w:rsidR="00DA16E5">
        <w:rPr>
          <w:rFonts w:asciiTheme="majorBidi" w:hAnsiTheme="majorBidi" w:cstheme="majorBidi"/>
        </w:rPr>
        <w:t>norādīt</w:t>
      </w:r>
      <w:r>
        <w:rPr>
          <w:rFonts w:asciiTheme="majorBidi" w:hAnsiTheme="majorBidi" w:cstheme="majorBidi"/>
        </w:rPr>
        <w:t>ās izmaksas ir ieplānotas tieši konkrētajā apmērā.</w:t>
      </w:r>
    </w:p>
    <w:p w14:paraId="0FF325D3" w14:textId="77777777" w:rsidR="001E5CEF" w:rsidRPr="002D6904" w:rsidRDefault="001E5CEF" w:rsidP="001E5CEF">
      <w:pPr>
        <w:spacing w:line="276" w:lineRule="auto"/>
        <w:jc w:val="both"/>
        <w:rPr>
          <w:rFonts w:asciiTheme="majorBidi" w:hAnsiTheme="majorBidi" w:cstheme="majorBidi"/>
        </w:rPr>
      </w:pPr>
    </w:p>
    <w:p w14:paraId="5362FA23" w14:textId="6CE9D5D7" w:rsidR="00E9059E" w:rsidRPr="007C5D97" w:rsidRDefault="00E9059E" w:rsidP="00640DE5">
      <w:pPr>
        <w:tabs>
          <w:tab w:val="left" w:pos="0"/>
        </w:tabs>
        <w:spacing w:line="276" w:lineRule="auto"/>
        <w:ind w:right="26"/>
        <w:jc w:val="center"/>
        <w:rPr>
          <w:b/>
        </w:rPr>
      </w:pPr>
      <w:r w:rsidRPr="007C5D97">
        <w:rPr>
          <w:b/>
        </w:rPr>
        <w:t>Latvijas Republikas Senāt</w:t>
      </w:r>
      <w:r w:rsidR="007C5D97" w:rsidRPr="007C5D97">
        <w:rPr>
          <w:b/>
        </w:rPr>
        <w:t>a</w:t>
      </w:r>
    </w:p>
    <w:p w14:paraId="222D02CD" w14:textId="02563561" w:rsidR="007C5D97" w:rsidRPr="007C5D97" w:rsidRDefault="007C5D97" w:rsidP="007C5D97">
      <w:pPr>
        <w:tabs>
          <w:tab w:val="left" w:pos="0"/>
        </w:tabs>
        <w:spacing w:line="276" w:lineRule="auto"/>
        <w:ind w:right="28"/>
        <w:jc w:val="center"/>
        <w:rPr>
          <w:b/>
        </w:rPr>
      </w:pPr>
      <w:r w:rsidRPr="007C5D97">
        <w:rPr>
          <w:b/>
        </w:rPr>
        <w:t>Civillietu departamenta</w:t>
      </w:r>
    </w:p>
    <w:p w14:paraId="4BE3506A" w14:textId="213D6101" w:rsidR="007C5D97" w:rsidRPr="007C5D97" w:rsidRDefault="007C5D97" w:rsidP="00640DE5">
      <w:pPr>
        <w:tabs>
          <w:tab w:val="left" w:pos="0"/>
        </w:tabs>
        <w:spacing w:line="276" w:lineRule="auto"/>
        <w:ind w:right="26"/>
        <w:jc w:val="center"/>
        <w:rPr>
          <w:b/>
        </w:rPr>
      </w:pPr>
      <w:r w:rsidRPr="007C5D97">
        <w:rPr>
          <w:b/>
        </w:rPr>
        <w:t>2025.gada 10.jūlija</w:t>
      </w:r>
    </w:p>
    <w:p w14:paraId="1722FF89" w14:textId="77777777" w:rsidR="00E9059E" w:rsidRPr="007C5D97" w:rsidRDefault="00E9059E" w:rsidP="00640DE5">
      <w:pPr>
        <w:tabs>
          <w:tab w:val="left" w:pos="0"/>
        </w:tabs>
        <w:spacing w:line="276" w:lineRule="auto"/>
        <w:ind w:right="26"/>
        <w:jc w:val="center"/>
        <w:rPr>
          <w:b/>
        </w:rPr>
      </w:pPr>
      <w:r w:rsidRPr="007C5D97">
        <w:rPr>
          <w:b/>
        </w:rPr>
        <w:t>SPRIEDUMS</w:t>
      </w:r>
    </w:p>
    <w:p w14:paraId="5CB35566" w14:textId="77777777" w:rsidR="007C5D97" w:rsidRDefault="007C5D97" w:rsidP="007C5D97">
      <w:pPr>
        <w:tabs>
          <w:tab w:val="left" w:pos="0"/>
        </w:tabs>
        <w:spacing w:line="276" w:lineRule="auto"/>
        <w:ind w:right="28"/>
        <w:jc w:val="center"/>
        <w:rPr>
          <w:b/>
        </w:rPr>
      </w:pPr>
      <w:r w:rsidRPr="007C5D97">
        <w:rPr>
          <w:b/>
        </w:rPr>
        <w:t>Lieta Nr. </w:t>
      </w:r>
      <w:r w:rsidRPr="007C5D97">
        <w:rPr>
          <w:rFonts w:asciiTheme="majorBidi" w:hAnsiTheme="majorBidi" w:cstheme="majorBidi"/>
          <w:b/>
          <w:lang w:eastAsia="lv-LV"/>
        </w:rPr>
        <w:t>C771024623</w:t>
      </w:r>
      <w:r w:rsidRPr="007C5D97">
        <w:rPr>
          <w:b/>
        </w:rPr>
        <w:t>, SKC-567/2025</w:t>
      </w:r>
    </w:p>
    <w:bookmarkStart w:id="0" w:name="_Hlk207005211"/>
    <w:p w14:paraId="15F7F9F7" w14:textId="23D055AD" w:rsidR="007C5D97" w:rsidRPr="00902341" w:rsidRDefault="00902341" w:rsidP="00F34339">
      <w:pPr>
        <w:tabs>
          <w:tab w:val="left" w:pos="0"/>
        </w:tabs>
        <w:spacing w:line="276" w:lineRule="auto"/>
        <w:ind w:right="28"/>
        <w:jc w:val="center"/>
        <w:rPr>
          <w:rStyle w:val="Hyperlink"/>
          <w:bCs/>
        </w:rPr>
      </w:pPr>
      <w:r>
        <w:rPr>
          <w:bCs/>
        </w:rPr>
        <w:fldChar w:fldCharType="begin"/>
      </w:r>
      <w:r>
        <w:rPr>
          <w:bCs/>
        </w:rPr>
        <w:instrText>HYPERLINK "https://gateway.elieta.lv/api/v1/PublicMaterialDownload/271244ed-4baa-4071-815e-313e380f7ee4"</w:instrText>
      </w:r>
      <w:r>
        <w:rPr>
          <w:bCs/>
        </w:rPr>
      </w:r>
      <w:r>
        <w:rPr>
          <w:bCs/>
        </w:rPr>
        <w:fldChar w:fldCharType="separate"/>
      </w:r>
      <w:r w:rsidR="00F34339" w:rsidRPr="00902341">
        <w:rPr>
          <w:rStyle w:val="Hyperlink"/>
          <w:bCs/>
        </w:rPr>
        <w:t>ECLI:LV:AT:2025:0710.C771024623.11.S</w:t>
      </w:r>
    </w:p>
    <w:p w14:paraId="2A5F5DC1" w14:textId="7CAD774C" w:rsidR="00E9059E" w:rsidRPr="00BA3A9A" w:rsidRDefault="00902341" w:rsidP="00640DE5">
      <w:pPr>
        <w:spacing w:line="276" w:lineRule="auto"/>
        <w:ind w:firstLine="567"/>
      </w:pPr>
      <w:r>
        <w:rPr>
          <w:bCs/>
        </w:rPr>
        <w:fldChar w:fldCharType="end"/>
      </w:r>
    </w:p>
    <w:bookmarkEnd w:id="0"/>
    <w:p w14:paraId="279C7926" w14:textId="006309D8" w:rsidR="00E9059E" w:rsidRPr="00BA3A9A" w:rsidRDefault="00E9059E" w:rsidP="00640DE5">
      <w:pPr>
        <w:spacing w:line="276" w:lineRule="auto"/>
        <w:ind w:firstLine="720"/>
        <w:jc w:val="both"/>
      </w:pPr>
      <w:r w:rsidRPr="00BA3A9A">
        <w:t>Senāts šādā sastāvā: senatore referente Zane Pētersone, senator</w:t>
      </w:r>
      <w:r w:rsidR="00905242" w:rsidRPr="00BA3A9A">
        <w:t>es Dzintra Balta</w:t>
      </w:r>
      <w:r w:rsidRPr="00BA3A9A">
        <w:t xml:space="preserve"> un Marika Senkāne</w:t>
      </w:r>
      <w:bookmarkStart w:id="1" w:name="Dropdown15"/>
    </w:p>
    <w:p w14:paraId="38E07DF2" w14:textId="77777777" w:rsidR="00E9059E" w:rsidRPr="00BA3A9A" w:rsidRDefault="00E9059E" w:rsidP="00640DE5">
      <w:pPr>
        <w:spacing w:line="276" w:lineRule="auto"/>
        <w:ind w:firstLine="720"/>
        <w:jc w:val="both"/>
      </w:pPr>
    </w:p>
    <w:p w14:paraId="174C9046" w14:textId="71B234EB" w:rsidR="00E9059E" w:rsidRPr="00BA3A9A" w:rsidRDefault="00E9059E" w:rsidP="00640DE5">
      <w:pPr>
        <w:spacing w:line="276" w:lineRule="auto"/>
        <w:ind w:firstLine="720"/>
        <w:jc w:val="both"/>
      </w:pPr>
      <w:r w:rsidRPr="00BA3A9A">
        <w:t xml:space="preserve">izskatīja rakstveida procesā civillietu </w:t>
      </w:r>
      <w:bookmarkEnd w:id="1"/>
      <w:r w:rsidR="007C5D97">
        <w:t>[pers. A]</w:t>
      </w:r>
      <w:r w:rsidR="00905242" w:rsidRPr="00BA3A9A">
        <w:t xml:space="preserve"> (</w:t>
      </w:r>
      <w:r w:rsidR="007C5D97">
        <w:t>[</w:t>
      </w:r>
      <w:r w:rsidR="007C5D97" w:rsidRPr="007C5D97">
        <w:rPr>
          <w:i/>
          <w:iCs/>
        </w:rPr>
        <w:t>pers. A</w:t>
      </w:r>
      <w:r w:rsidR="007C5D97">
        <w:t>]</w:t>
      </w:r>
      <w:r w:rsidR="00905242" w:rsidRPr="00BA3A9A">
        <w:t xml:space="preserve">) </w:t>
      </w:r>
      <w:r w:rsidRPr="00BA3A9A">
        <w:t xml:space="preserve">prasībā pret </w:t>
      </w:r>
      <w:r w:rsidR="00905242" w:rsidRPr="00BA3A9A">
        <w:t>dzīvokļu īpašnieku kooperatīvo sabiedrību</w:t>
      </w:r>
      <w:r w:rsidR="007C5D97">
        <w:t xml:space="preserve"> </w:t>
      </w:r>
      <w:r w:rsidR="00905242" w:rsidRPr="00BA3A9A">
        <w:t xml:space="preserve">„Jubilejas” par pienākuma uzlikšanu sniegt informāciju </w:t>
      </w:r>
      <w:r w:rsidRPr="00BA3A9A">
        <w:t xml:space="preserve">sakarā ar </w:t>
      </w:r>
      <w:r w:rsidR="007C5D97">
        <w:t>[pers. A]</w:t>
      </w:r>
      <w:r w:rsidR="00905242" w:rsidRPr="00BA3A9A">
        <w:t xml:space="preserve"> </w:t>
      </w:r>
      <w:r w:rsidRPr="00BA3A9A">
        <w:t xml:space="preserve">kasācijas sūdzību par </w:t>
      </w:r>
      <w:r w:rsidR="00905242" w:rsidRPr="00BA3A9A">
        <w:t>Rīgas</w:t>
      </w:r>
      <w:r w:rsidRPr="00BA3A9A">
        <w:rPr>
          <w:lang w:eastAsia="lv-LV"/>
        </w:rPr>
        <w:t xml:space="preserve"> apgabaltiesas 202</w:t>
      </w:r>
      <w:r w:rsidR="00905242" w:rsidRPr="00BA3A9A">
        <w:rPr>
          <w:lang w:eastAsia="lv-LV"/>
        </w:rPr>
        <w:t>5</w:t>
      </w:r>
      <w:r w:rsidRPr="00BA3A9A">
        <w:rPr>
          <w:lang w:eastAsia="lv-LV"/>
        </w:rPr>
        <w:t xml:space="preserve">.gada </w:t>
      </w:r>
      <w:r w:rsidR="00905242" w:rsidRPr="00BA3A9A">
        <w:rPr>
          <w:lang w:eastAsia="lv-LV"/>
        </w:rPr>
        <w:t>2</w:t>
      </w:r>
      <w:r w:rsidRPr="00BA3A9A">
        <w:rPr>
          <w:lang w:eastAsia="lv-LV"/>
        </w:rPr>
        <w:t>.</w:t>
      </w:r>
      <w:r w:rsidR="00905242" w:rsidRPr="00BA3A9A">
        <w:rPr>
          <w:lang w:eastAsia="lv-LV"/>
        </w:rPr>
        <w:t>aprīļa</w:t>
      </w:r>
      <w:r w:rsidRPr="00BA3A9A">
        <w:rPr>
          <w:lang w:eastAsia="lv-LV"/>
        </w:rPr>
        <w:t xml:space="preserve"> </w:t>
      </w:r>
      <w:r w:rsidRPr="00BA3A9A">
        <w:t>spriedumu.</w:t>
      </w:r>
    </w:p>
    <w:p w14:paraId="6F477B5C" w14:textId="77777777" w:rsidR="00E9059E" w:rsidRPr="00BA3A9A" w:rsidRDefault="00E9059E" w:rsidP="00640DE5">
      <w:pPr>
        <w:spacing w:line="276" w:lineRule="auto"/>
        <w:ind w:firstLine="720"/>
        <w:jc w:val="both"/>
        <w:rPr>
          <w:b/>
        </w:rPr>
      </w:pPr>
    </w:p>
    <w:p w14:paraId="24545F86" w14:textId="77777777" w:rsidR="00E9059E" w:rsidRPr="00BA3A9A" w:rsidRDefault="00E9059E" w:rsidP="00640DE5">
      <w:pPr>
        <w:spacing w:line="276" w:lineRule="auto"/>
        <w:jc w:val="center"/>
        <w:rPr>
          <w:b/>
        </w:rPr>
      </w:pPr>
      <w:r w:rsidRPr="00BA3A9A">
        <w:rPr>
          <w:b/>
          <w:bCs/>
        </w:rPr>
        <w:t>Aprakstošā daļa</w:t>
      </w:r>
    </w:p>
    <w:p w14:paraId="53E16F1F" w14:textId="77777777" w:rsidR="00E9059E" w:rsidRPr="00BA3A9A" w:rsidRDefault="00E9059E" w:rsidP="00640DE5">
      <w:pPr>
        <w:spacing w:line="276" w:lineRule="auto"/>
        <w:jc w:val="center"/>
        <w:rPr>
          <w:b/>
          <w:bCs/>
        </w:rPr>
      </w:pPr>
    </w:p>
    <w:p w14:paraId="236AD2CC" w14:textId="6D38EEA1" w:rsidR="0099231E" w:rsidRPr="00BA3A9A" w:rsidRDefault="00E9059E" w:rsidP="003C0C96">
      <w:pPr>
        <w:spacing w:line="276" w:lineRule="auto"/>
        <w:ind w:right="-2" w:firstLine="709"/>
        <w:jc w:val="both"/>
        <w:rPr>
          <w:rFonts w:asciiTheme="majorBidi" w:hAnsiTheme="majorBidi" w:cstheme="majorBidi"/>
        </w:rPr>
      </w:pPr>
      <w:r w:rsidRPr="00BA3A9A">
        <w:t xml:space="preserve">[1] </w:t>
      </w:r>
      <w:r w:rsidR="007C5D97">
        <w:t>[Pers. A]</w:t>
      </w:r>
      <w:r w:rsidR="007C5D97" w:rsidRPr="00BA3A9A">
        <w:t xml:space="preserve"> (</w:t>
      </w:r>
      <w:r w:rsidR="007C5D97">
        <w:t>[</w:t>
      </w:r>
      <w:r w:rsidR="007C5D97" w:rsidRPr="007C5D97">
        <w:rPr>
          <w:i/>
          <w:iCs/>
        </w:rPr>
        <w:t>pers. A</w:t>
      </w:r>
      <w:r w:rsidR="007C5D97">
        <w:t>]</w:t>
      </w:r>
      <w:r w:rsidR="007C5D97" w:rsidRPr="00BA3A9A">
        <w:t xml:space="preserve">) </w:t>
      </w:r>
      <w:r w:rsidRPr="00BA3A9A">
        <w:rPr>
          <w:rFonts w:asciiTheme="majorBidi" w:hAnsiTheme="majorBidi" w:cstheme="majorBidi"/>
        </w:rPr>
        <w:t>202</w:t>
      </w:r>
      <w:r w:rsidR="00A33B45" w:rsidRPr="00BA3A9A">
        <w:rPr>
          <w:rFonts w:asciiTheme="majorBidi" w:hAnsiTheme="majorBidi" w:cstheme="majorBidi"/>
        </w:rPr>
        <w:t>3</w:t>
      </w:r>
      <w:r w:rsidRPr="00BA3A9A">
        <w:rPr>
          <w:rFonts w:asciiTheme="majorBidi" w:hAnsiTheme="majorBidi" w:cstheme="majorBidi"/>
        </w:rPr>
        <w:t xml:space="preserve">.gada </w:t>
      </w:r>
      <w:r w:rsidR="00A33B45" w:rsidRPr="00BA3A9A">
        <w:rPr>
          <w:rFonts w:asciiTheme="majorBidi" w:hAnsiTheme="majorBidi" w:cstheme="majorBidi"/>
        </w:rPr>
        <w:t>16</w:t>
      </w:r>
      <w:r w:rsidRPr="00BA3A9A">
        <w:rPr>
          <w:rFonts w:asciiTheme="majorBidi" w:hAnsiTheme="majorBidi" w:cstheme="majorBidi"/>
        </w:rPr>
        <w:t>.</w:t>
      </w:r>
      <w:r w:rsidR="00A33B45" w:rsidRPr="00BA3A9A">
        <w:rPr>
          <w:rFonts w:asciiTheme="majorBidi" w:hAnsiTheme="majorBidi" w:cstheme="majorBidi"/>
        </w:rPr>
        <w:t>martā</w:t>
      </w:r>
      <w:r w:rsidRPr="00BA3A9A">
        <w:rPr>
          <w:rFonts w:asciiTheme="majorBidi" w:hAnsiTheme="majorBidi" w:cstheme="majorBidi"/>
        </w:rPr>
        <w:t xml:space="preserve"> cēla tiesā prasību pret</w:t>
      </w:r>
      <w:r w:rsidR="00A33B45" w:rsidRPr="00BA3A9A">
        <w:rPr>
          <w:rFonts w:asciiTheme="majorBidi" w:hAnsiTheme="majorBidi" w:cstheme="majorBidi"/>
        </w:rPr>
        <w:t xml:space="preserve"> dzīvokļu īpašnieku kooperatīvo sabiedrību</w:t>
      </w:r>
      <w:r w:rsidR="007C5D97">
        <w:rPr>
          <w:rFonts w:asciiTheme="majorBidi" w:hAnsiTheme="majorBidi" w:cstheme="majorBidi"/>
        </w:rPr>
        <w:t xml:space="preserve"> </w:t>
      </w:r>
      <w:r w:rsidR="003C0C96" w:rsidRPr="00BA3A9A">
        <w:rPr>
          <w:rFonts w:asciiTheme="majorBidi" w:hAnsiTheme="majorBidi" w:cstheme="majorBidi"/>
        </w:rPr>
        <w:t xml:space="preserve">(turpmāk – DzĪKS) </w:t>
      </w:r>
      <w:r w:rsidR="00A33B45" w:rsidRPr="00BA3A9A">
        <w:rPr>
          <w:rFonts w:asciiTheme="majorBidi" w:hAnsiTheme="majorBidi" w:cstheme="majorBidi"/>
        </w:rPr>
        <w:t>„Jubilejas”</w:t>
      </w:r>
      <w:r w:rsidRPr="00BA3A9A">
        <w:rPr>
          <w:rFonts w:asciiTheme="majorBidi" w:hAnsiTheme="majorBidi" w:cstheme="majorBidi"/>
        </w:rPr>
        <w:t>, lūdzot</w:t>
      </w:r>
      <w:r w:rsidR="0099231E" w:rsidRPr="00BA3A9A">
        <w:rPr>
          <w:rFonts w:asciiTheme="majorBidi" w:hAnsiTheme="majorBidi" w:cstheme="majorBidi"/>
        </w:rPr>
        <w:t xml:space="preserve"> uzlikt </w:t>
      </w:r>
      <w:r w:rsidR="003C0C96" w:rsidRPr="00BA3A9A">
        <w:rPr>
          <w:rFonts w:asciiTheme="majorBidi" w:hAnsiTheme="majorBidi" w:cstheme="majorBidi"/>
        </w:rPr>
        <w:t>DzĪKS</w:t>
      </w:r>
      <w:r w:rsidR="00043D23" w:rsidRPr="00BA3A9A">
        <w:rPr>
          <w:rFonts w:asciiTheme="majorBidi" w:hAnsiTheme="majorBidi" w:cstheme="majorBidi"/>
        </w:rPr>
        <w:t> </w:t>
      </w:r>
      <w:r w:rsidR="0099231E" w:rsidRPr="00BA3A9A">
        <w:rPr>
          <w:rFonts w:asciiTheme="majorBidi" w:hAnsiTheme="majorBidi" w:cstheme="majorBidi"/>
        </w:rPr>
        <w:t>„Jubilejas”</w:t>
      </w:r>
      <w:r w:rsidR="00FA30B8" w:rsidRPr="00BA3A9A">
        <w:rPr>
          <w:rFonts w:asciiTheme="majorBidi" w:hAnsiTheme="majorBidi" w:cstheme="majorBidi"/>
        </w:rPr>
        <w:t xml:space="preserve"> </w:t>
      </w:r>
      <w:r w:rsidR="0099231E" w:rsidRPr="00BA3A9A">
        <w:rPr>
          <w:rFonts w:asciiTheme="majorBidi" w:hAnsiTheme="majorBidi" w:cstheme="majorBidi"/>
        </w:rPr>
        <w:t xml:space="preserve">pienākumu izsniegt </w:t>
      </w:r>
      <w:r w:rsidR="003C0C96" w:rsidRPr="00BA3A9A">
        <w:rPr>
          <w:rFonts w:asciiTheme="majorBidi" w:hAnsiTheme="majorBidi" w:cstheme="majorBidi"/>
        </w:rPr>
        <w:t xml:space="preserve">prasītājam </w:t>
      </w:r>
      <w:r w:rsidR="0099231E" w:rsidRPr="00BA3A9A">
        <w:rPr>
          <w:rFonts w:asciiTheme="majorBidi" w:hAnsiTheme="majorBidi" w:cstheme="majorBidi"/>
        </w:rPr>
        <w:t>ekonomiski pamatotus aprēķinus ar vispusīgu un pilnīgu informāciju par juridisko pakalpojumu</w:t>
      </w:r>
      <w:r w:rsidR="0099231E" w:rsidRPr="00BA3A9A">
        <w:t xml:space="preserve"> nodrošināšanu 2023.gadā.</w:t>
      </w:r>
    </w:p>
    <w:p w14:paraId="67139378" w14:textId="0D918A14" w:rsidR="00E9059E" w:rsidRPr="00BA3A9A" w:rsidRDefault="00E9059E" w:rsidP="00640DE5">
      <w:pPr>
        <w:spacing w:line="276" w:lineRule="auto"/>
        <w:ind w:right="-2" w:firstLine="709"/>
        <w:jc w:val="both"/>
      </w:pPr>
      <w:r w:rsidRPr="00BA3A9A">
        <w:t>Prasības pieteikumā norādīti šādi apstākļi.</w:t>
      </w:r>
    </w:p>
    <w:p w14:paraId="708DB77B" w14:textId="5967DCDE" w:rsidR="00E9059E" w:rsidRPr="00BA3A9A" w:rsidRDefault="00E9059E" w:rsidP="003C0C96">
      <w:pPr>
        <w:spacing w:line="276" w:lineRule="auto"/>
        <w:ind w:firstLine="720"/>
        <w:jc w:val="both"/>
        <w:rPr>
          <w:rFonts w:asciiTheme="majorBidi" w:hAnsiTheme="majorBidi" w:cstheme="majorBidi"/>
          <w:bCs/>
        </w:rPr>
      </w:pPr>
      <w:r w:rsidRPr="00BA3A9A">
        <w:lastRenderedPageBreak/>
        <w:t xml:space="preserve">[1.1] </w:t>
      </w:r>
      <w:r w:rsidR="007C5D97">
        <w:t xml:space="preserve">[Pers. A] </w:t>
      </w:r>
      <w:r w:rsidR="0099231E" w:rsidRPr="00BA3A9A">
        <w:rPr>
          <w:rFonts w:asciiTheme="majorBidi" w:hAnsiTheme="majorBidi" w:cstheme="majorBidi"/>
          <w:bCs/>
        </w:rPr>
        <w:t>ir dzīvokļa Nr. </w:t>
      </w:r>
      <w:r w:rsidR="007C5D97">
        <w:rPr>
          <w:rFonts w:asciiTheme="majorBidi" w:hAnsiTheme="majorBidi" w:cstheme="majorBidi"/>
          <w:bCs/>
        </w:rPr>
        <w:t>[..]</w:t>
      </w:r>
      <w:r w:rsidR="0099231E" w:rsidRPr="00BA3A9A">
        <w:rPr>
          <w:rFonts w:asciiTheme="majorBidi" w:hAnsiTheme="majorBidi" w:cstheme="majorBidi"/>
          <w:bCs/>
        </w:rPr>
        <w:t xml:space="preserve"> </w:t>
      </w:r>
      <w:r w:rsidR="007C5D97">
        <w:rPr>
          <w:rFonts w:asciiTheme="majorBidi" w:hAnsiTheme="majorBidi" w:cstheme="majorBidi"/>
          <w:bCs/>
        </w:rPr>
        <w:t>[adrese A]</w:t>
      </w:r>
      <w:r w:rsidR="0099231E" w:rsidRPr="00BA3A9A">
        <w:rPr>
          <w:rFonts w:asciiTheme="majorBidi" w:hAnsiTheme="majorBidi" w:cstheme="majorBidi"/>
          <w:bCs/>
        </w:rPr>
        <w:t xml:space="preserve"> (pirms nosaukuma maiņas </w:t>
      </w:r>
      <w:r w:rsidR="003C0C96" w:rsidRPr="00BA3A9A">
        <w:rPr>
          <w:rFonts w:asciiTheme="majorBidi" w:hAnsiTheme="majorBidi" w:cstheme="majorBidi"/>
          <w:bCs/>
        </w:rPr>
        <w:t>–</w:t>
      </w:r>
      <w:r w:rsidR="007C5D97">
        <w:rPr>
          <w:rFonts w:asciiTheme="majorBidi" w:hAnsiTheme="majorBidi" w:cstheme="majorBidi"/>
          <w:bCs/>
        </w:rPr>
        <w:t>adrese)</w:t>
      </w:r>
      <w:r w:rsidR="0099231E" w:rsidRPr="00BA3A9A">
        <w:rPr>
          <w:rFonts w:asciiTheme="majorBidi" w:hAnsiTheme="majorBidi" w:cstheme="majorBidi"/>
          <w:bCs/>
        </w:rPr>
        <w:t xml:space="preserve">, </w:t>
      </w:r>
      <w:r w:rsidR="000D6347">
        <w:rPr>
          <w:rFonts w:asciiTheme="majorBidi" w:hAnsiTheme="majorBidi" w:cstheme="majorBidi"/>
          <w:bCs/>
        </w:rPr>
        <w:t xml:space="preserve">Rīgā, </w:t>
      </w:r>
      <w:r w:rsidR="0099231E" w:rsidRPr="00BA3A9A">
        <w:rPr>
          <w:rFonts w:asciiTheme="majorBidi" w:hAnsiTheme="majorBidi" w:cstheme="majorBidi"/>
          <w:bCs/>
        </w:rPr>
        <w:t xml:space="preserve">īpašnieks </w:t>
      </w:r>
      <w:r w:rsidR="003C0C96" w:rsidRPr="00BA3A9A">
        <w:rPr>
          <w:rFonts w:asciiTheme="majorBidi" w:hAnsiTheme="majorBidi" w:cstheme="majorBidi"/>
          <w:bCs/>
        </w:rPr>
        <w:t xml:space="preserve">kopš 1993.gada 14.janvāra </w:t>
      </w:r>
      <w:r w:rsidR="0099231E" w:rsidRPr="00BA3A9A">
        <w:rPr>
          <w:rFonts w:asciiTheme="majorBidi" w:hAnsiTheme="majorBidi" w:cstheme="majorBidi"/>
          <w:bCs/>
        </w:rPr>
        <w:t xml:space="preserve">un </w:t>
      </w:r>
      <w:r w:rsidR="003C0C96" w:rsidRPr="00BA3A9A">
        <w:rPr>
          <w:rFonts w:asciiTheme="majorBidi" w:hAnsiTheme="majorBidi" w:cstheme="majorBidi"/>
        </w:rPr>
        <w:t>DzĪKS</w:t>
      </w:r>
      <w:r w:rsidR="0099231E" w:rsidRPr="00BA3A9A">
        <w:rPr>
          <w:rFonts w:asciiTheme="majorBidi" w:hAnsiTheme="majorBidi" w:cstheme="majorBidi"/>
        </w:rPr>
        <w:t> „Jubilejas”</w:t>
      </w:r>
      <w:r w:rsidR="00FA30B8" w:rsidRPr="00BA3A9A">
        <w:rPr>
          <w:rFonts w:asciiTheme="majorBidi" w:hAnsiTheme="majorBidi" w:cstheme="majorBidi"/>
        </w:rPr>
        <w:t xml:space="preserve"> </w:t>
      </w:r>
      <w:r w:rsidR="0099231E" w:rsidRPr="00BA3A9A">
        <w:rPr>
          <w:rFonts w:asciiTheme="majorBidi" w:hAnsiTheme="majorBidi" w:cstheme="majorBidi"/>
        </w:rPr>
        <w:t>biedrs.</w:t>
      </w:r>
    </w:p>
    <w:p w14:paraId="55F8F51D" w14:textId="320D9811" w:rsidR="0099231E" w:rsidRPr="00BA3A9A" w:rsidRDefault="0099231E" w:rsidP="00640DE5">
      <w:pPr>
        <w:spacing w:line="276" w:lineRule="auto"/>
        <w:ind w:right="-2" w:firstLine="709"/>
        <w:jc w:val="both"/>
        <w:rPr>
          <w:rFonts w:asciiTheme="majorBidi" w:hAnsiTheme="majorBidi" w:cstheme="majorBidi"/>
          <w:bCs/>
        </w:rPr>
      </w:pPr>
      <w:r w:rsidRPr="00BA3A9A">
        <w:rPr>
          <w:rFonts w:asciiTheme="majorBidi" w:hAnsiTheme="majorBidi" w:cstheme="majorBidi"/>
          <w:bCs/>
        </w:rPr>
        <w:t xml:space="preserve">[1.2] </w:t>
      </w:r>
      <w:r w:rsidR="007C5D97">
        <w:t xml:space="preserve">[Pers. A] </w:t>
      </w:r>
      <w:r w:rsidRPr="00BA3A9A">
        <w:rPr>
          <w:rFonts w:asciiTheme="majorBidi" w:hAnsiTheme="majorBidi" w:cstheme="majorBidi"/>
        </w:rPr>
        <w:t>2022.gada oktobrī no</w:t>
      </w:r>
      <w:r w:rsidRPr="00BA3A9A">
        <w:rPr>
          <w:rFonts w:asciiTheme="majorBidi" w:hAnsiTheme="majorBidi" w:cstheme="majorBidi"/>
          <w:bCs/>
        </w:rPr>
        <w:t xml:space="preserve"> </w:t>
      </w:r>
      <w:r w:rsidRPr="00BA3A9A">
        <w:rPr>
          <w:rFonts w:asciiTheme="majorBidi" w:hAnsiTheme="majorBidi" w:cstheme="majorBidi"/>
        </w:rPr>
        <w:t>DzĪKS „Jubilejas” saņēm</w:t>
      </w:r>
      <w:r w:rsidR="005C7EB1" w:rsidRPr="00BA3A9A">
        <w:rPr>
          <w:rFonts w:asciiTheme="majorBidi" w:hAnsiTheme="majorBidi" w:cstheme="majorBidi"/>
        </w:rPr>
        <w:t>a</w:t>
      </w:r>
      <w:r w:rsidRPr="00BA3A9A">
        <w:rPr>
          <w:rFonts w:asciiTheme="majorBidi" w:hAnsiTheme="majorBidi" w:cstheme="majorBidi"/>
        </w:rPr>
        <w:t xml:space="preserve"> obligāti veicamo dzīvojamās mājas uzturēšanas un pārvaldīšanas darbu plānotās ieņēmumu un izdevumu tāmes 2023.gadam kopsavilkumu, kurā izdevumu pozīcijā „Juridiskie pakalpojumi” plānotie izdevumi norādīti 1512,59 </w:t>
      </w:r>
      <w:r w:rsidRPr="00BA3A9A">
        <w:rPr>
          <w:rFonts w:asciiTheme="majorBidi" w:hAnsiTheme="majorBidi" w:cstheme="majorBidi"/>
          <w:i/>
          <w:iCs/>
        </w:rPr>
        <w:t>euro</w:t>
      </w:r>
      <w:r w:rsidRPr="00BA3A9A">
        <w:rPr>
          <w:rFonts w:asciiTheme="majorBidi" w:hAnsiTheme="majorBidi" w:cstheme="majorBidi"/>
        </w:rPr>
        <w:t>.</w:t>
      </w:r>
    </w:p>
    <w:p w14:paraId="4AE04834" w14:textId="5D1D1852" w:rsidR="0099231E" w:rsidRPr="00BA3A9A" w:rsidRDefault="005C7EB1" w:rsidP="005C7EB1">
      <w:pPr>
        <w:spacing w:line="276" w:lineRule="auto"/>
        <w:ind w:right="-2" w:firstLine="709"/>
        <w:jc w:val="both"/>
        <w:rPr>
          <w:rFonts w:asciiTheme="majorBidi" w:hAnsiTheme="majorBidi" w:cstheme="majorBidi"/>
        </w:rPr>
      </w:pPr>
      <w:r w:rsidRPr="00BA3A9A">
        <w:rPr>
          <w:rFonts w:asciiTheme="majorBidi" w:hAnsiTheme="majorBidi" w:cstheme="majorBidi"/>
          <w:bCs/>
        </w:rPr>
        <w:t xml:space="preserve">[1.3] </w:t>
      </w:r>
      <w:r w:rsidR="007C5D97">
        <w:t xml:space="preserve">[Pers. A] </w:t>
      </w:r>
      <w:r w:rsidR="0099231E" w:rsidRPr="00BA3A9A">
        <w:rPr>
          <w:rFonts w:asciiTheme="majorBidi" w:hAnsiTheme="majorBidi" w:cstheme="majorBidi"/>
        </w:rPr>
        <w:t xml:space="preserve">2023.gada 25.janvārī </w:t>
      </w:r>
      <w:r w:rsidR="003C0C96" w:rsidRPr="00BA3A9A">
        <w:rPr>
          <w:rFonts w:asciiTheme="majorBidi" w:hAnsiTheme="majorBidi" w:cstheme="majorBidi"/>
        </w:rPr>
        <w:t xml:space="preserve">iesniedza </w:t>
      </w:r>
      <w:r w:rsidR="0099231E" w:rsidRPr="00BA3A9A">
        <w:rPr>
          <w:rFonts w:asciiTheme="majorBidi" w:hAnsiTheme="majorBidi" w:cstheme="majorBidi"/>
        </w:rPr>
        <w:t>DzĪKS „Jubilejas” valdei iesniegumu ar lūgumu izsniegt ekonomiski pamatotu aprēķinu par juridisko pakalpojumu nodrošināšanu 2023.gadā.</w:t>
      </w:r>
      <w:r w:rsidRPr="00BA3A9A">
        <w:rPr>
          <w:rFonts w:asciiTheme="majorBidi" w:hAnsiTheme="majorBidi" w:cstheme="majorBidi"/>
        </w:rPr>
        <w:t xml:space="preserve"> </w:t>
      </w:r>
      <w:r w:rsidR="0099231E" w:rsidRPr="00BA3A9A">
        <w:rPr>
          <w:rFonts w:asciiTheme="majorBidi" w:hAnsiTheme="majorBidi" w:cstheme="majorBidi"/>
          <w:bCs/>
        </w:rPr>
        <w:t>Atbilde uz minēto iesniegumu līdz prasības celšanai tiesā nav saņemta.</w:t>
      </w:r>
    </w:p>
    <w:p w14:paraId="193ED799" w14:textId="099E4DA7" w:rsidR="0099231E" w:rsidRPr="00BA3A9A" w:rsidRDefault="0099231E" w:rsidP="00640DE5">
      <w:pPr>
        <w:spacing w:line="276" w:lineRule="auto"/>
        <w:ind w:right="-2" w:firstLine="709"/>
        <w:jc w:val="both"/>
        <w:rPr>
          <w:rFonts w:asciiTheme="majorBidi" w:hAnsiTheme="majorBidi" w:cstheme="majorBidi"/>
          <w:bCs/>
        </w:rPr>
      </w:pPr>
      <w:r w:rsidRPr="00BA3A9A">
        <w:rPr>
          <w:rFonts w:asciiTheme="majorBidi" w:hAnsiTheme="majorBidi" w:cstheme="majorBidi"/>
          <w:bCs/>
        </w:rPr>
        <w:t>[1.</w:t>
      </w:r>
      <w:r w:rsidR="00F32564" w:rsidRPr="00BA3A9A">
        <w:rPr>
          <w:rFonts w:asciiTheme="majorBidi" w:hAnsiTheme="majorBidi" w:cstheme="majorBidi"/>
          <w:bCs/>
        </w:rPr>
        <w:t>4</w:t>
      </w:r>
      <w:r w:rsidRPr="00BA3A9A">
        <w:rPr>
          <w:rFonts w:asciiTheme="majorBidi" w:hAnsiTheme="majorBidi" w:cstheme="majorBidi"/>
          <w:bCs/>
        </w:rPr>
        <w:t>] Prasība pamatota ar Dzīvojamo māju pārvaldīšanas likuma 1.panta 2.punktu</w:t>
      </w:r>
      <w:r w:rsidR="003C0C96" w:rsidRPr="00BA3A9A">
        <w:rPr>
          <w:rFonts w:asciiTheme="majorBidi" w:hAnsiTheme="majorBidi" w:cstheme="majorBidi"/>
          <w:bCs/>
        </w:rPr>
        <w:t xml:space="preserve"> un</w:t>
      </w:r>
      <w:r w:rsidRPr="00BA3A9A">
        <w:rPr>
          <w:rFonts w:asciiTheme="majorBidi" w:hAnsiTheme="majorBidi" w:cstheme="majorBidi"/>
          <w:bCs/>
        </w:rPr>
        <w:t xml:space="preserve"> 17.</w:t>
      </w:r>
      <w:r w:rsidRPr="00BA3A9A">
        <w:rPr>
          <w:rFonts w:asciiTheme="majorBidi" w:hAnsiTheme="majorBidi" w:cstheme="majorBidi"/>
          <w:bCs/>
          <w:vertAlign w:val="superscript"/>
        </w:rPr>
        <w:t>4</w:t>
      </w:r>
      <w:r w:rsidRPr="00BA3A9A">
        <w:rPr>
          <w:rFonts w:asciiTheme="majorBidi" w:hAnsiTheme="majorBidi" w:cstheme="majorBidi"/>
          <w:bCs/>
        </w:rPr>
        <w:t>panta pirmo daļu.</w:t>
      </w:r>
    </w:p>
    <w:p w14:paraId="1081EA8C" w14:textId="77777777" w:rsidR="00E9059E" w:rsidRPr="00BA3A9A" w:rsidRDefault="00E9059E" w:rsidP="00640DE5">
      <w:pPr>
        <w:spacing w:line="276" w:lineRule="auto"/>
        <w:jc w:val="both"/>
      </w:pPr>
    </w:p>
    <w:p w14:paraId="630FC3E4" w14:textId="79B5E98C" w:rsidR="00E9059E" w:rsidRPr="00BA3A9A" w:rsidRDefault="00E9059E" w:rsidP="00640DE5">
      <w:pPr>
        <w:spacing w:line="276" w:lineRule="auto"/>
        <w:ind w:firstLine="720"/>
        <w:jc w:val="both"/>
      </w:pPr>
      <w:r w:rsidRPr="00BA3A9A">
        <w:t xml:space="preserve">[2] Atbildētāja </w:t>
      </w:r>
      <w:r w:rsidR="0099231E" w:rsidRPr="00BA3A9A">
        <w:rPr>
          <w:rFonts w:asciiTheme="majorBidi" w:hAnsiTheme="majorBidi" w:cstheme="majorBidi"/>
        </w:rPr>
        <w:t>DzĪKS „Jubilejas”</w:t>
      </w:r>
      <w:r w:rsidRPr="00BA3A9A">
        <w:t xml:space="preserve"> iesniedza rakstveida paskaidrojumus, norādot, ka prasību neatzīst šādu iemeslu dēļ.</w:t>
      </w:r>
    </w:p>
    <w:p w14:paraId="70C4320C" w14:textId="27235BAE" w:rsidR="002E7331" w:rsidRPr="00BA3A9A" w:rsidRDefault="00E9059E" w:rsidP="00640DE5">
      <w:pPr>
        <w:spacing w:line="276" w:lineRule="auto"/>
        <w:ind w:firstLine="708"/>
        <w:jc w:val="both"/>
        <w:rPr>
          <w:rFonts w:asciiTheme="majorBidi" w:hAnsiTheme="majorBidi" w:cstheme="majorBidi"/>
          <w:bCs/>
        </w:rPr>
      </w:pPr>
      <w:r w:rsidRPr="00BA3A9A">
        <w:t xml:space="preserve">[2.1] </w:t>
      </w:r>
      <w:r w:rsidR="002E7331" w:rsidRPr="00BA3A9A">
        <w:rPr>
          <w:rFonts w:asciiTheme="majorBidi" w:hAnsiTheme="majorBidi" w:cstheme="majorBidi"/>
          <w:bCs/>
        </w:rPr>
        <w:t>Pārvaldīšanas maksa 2023.gad</w:t>
      </w:r>
      <w:r w:rsidR="00E05FAA" w:rsidRPr="00BA3A9A">
        <w:rPr>
          <w:rFonts w:asciiTheme="majorBidi" w:hAnsiTheme="majorBidi" w:cstheme="majorBidi"/>
          <w:bCs/>
        </w:rPr>
        <w:t>am</w:t>
      </w:r>
      <w:r w:rsidR="002E7331" w:rsidRPr="00BA3A9A">
        <w:rPr>
          <w:rFonts w:asciiTheme="majorBidi" w:hAnsiTheme="majorBidi" w:cstheme="majorBidi"/>
          <w:bCs/>
        </w:rPr>
        <w:t xml:space="preserve"> tika aprēķināta, pamatojoties uz dzīvokļu īpašnieku kopības</w:t>
      </w:r>
      <w:r w:rsidR="00EE125E" w:rsidRPr="00BA3A9A">
        <w:rPr>
          <w:rFonts w:asciiTheme="majorBidi" w:hAnsiTheme="majorBidi" w:cstheme="majorBidi"/>
          <w:bCs/>
        </w:rPr>
        <w:t xml:space="preserve"> </w:t>
      </w:r>
      <w:r w:rsidR="00E05FAA" w:rsidRPr="00BA3A9A">
        <w:rPr>
          <w:rFonts w:asciiTheme="majorBidi" w:hAnsiTheme="majorBidi" w:cstheme="majorBidi"/>
          <w:bCs/>
        </w:rPr>
        <w:t xml:space="preserve">2013.gada 22.oktobra lēmumu, kopības </w:t>
      </w:r>
      <w:r w:rsidR="00EE125E" w:rsidRPr="00BA3A9A">
        <w:rPr>
          <w:rFonts w:asciiTheme="majorBidi" w:hAnsiTheme="majorBidi" w:cstheme="majorBidi"/>
          <w:bCs/>
        </w:rPr>
        <w:t xml:space="preserve">un </w:t>
      </w:r>
      <w:r w:rsidR="002E7331" w:rsidRPr="00BA3A9A">
        <w:rPr>
          <w:rFonts w:asciiTheme="majorBidi" w:hAnsiTheme="majorBidi" w:cstheme="majorBidi"/>
          <w:bCs/>
        </w:rPr>
        <w:t>DzĪKS „Jubilejas” noslēgto pārvaldīšanas līgumu un Ministru kabineta 2017.gada 11.jūlija noteikum</w:t>
      </w:r>
      <w:r w:rsidR="00943967" w:rsidRPr="00BA3A9A">
        <w:rPr>
          <w:rFonts w:asciiTheme="majorBidi" w:hAnsiTheme="majorBidi" w:cstheme="majorBidi"/>
          <w:bCs/>
        </w:rPr>
        <w:t>iem</w:t>
      </w:r>
      <w:r w:rsidR="002E7331" w:rsidRPr="00BA3A9A">
        <w:rPr>
          <w:rFonts w:asciiTheme="majorBidi" w:hAnsiTheme="majorBidi" w:cstheme="majorBidi"/>
          <w:bCs/>
        </w:rPr>
        <w:t xml:space="preserve"> Nr. 408 „Dzīvojamās mājas pārvaldīšanas un apsaimniekošanas maksas aprēķināšanas noteikumi”</w:t>
      </w:r>
      <w:r w:rsidR="00E05FAA" w:rsidRPr="00BA3A9A">
        <w:rPr>
          <w:rFonts w:asciiTheme="majorBidi" w:hAnsiTheme="majorBidi" w:cstheme="majorBidi"/>
          <w:bCs/>
        </w:rPr>
        <w:t>. Atbilstoši šo noteikumu</w:t>
      </w:r>
      <w:r w:rsidR="002E7331" w:rsidRPr="00BA3A9A">
        <w:rPr>
          <w:rFonts w:asciiTheme="majorBidi" w:hAnsiTheme="majorBidi" w:cstheme="majorBidi"/>
          <w:bCs/>
        </w:rPr>
        <w:t xml:space="preserve"> 10.punkt</w:t>
      </w:r>
      <w:r w:rsidR="00E05FAA" w:rsidRPr="00BA3A9A">
        <w:rPr>
          <w:rFonts w:asciiTheme="majorBidi" w:hAnsiTheme="majorBidi" w:cstheme="majorBidi"/>
          <w:bCs/>
        </w:rPr>
        <w:t>am</w:t>
      </w:r>
      <w:r w:rsidR="00EE125E" w:rsidRPr="00BA3A9A">
        <w:rPr>
          <w:rFonts w:asciiTheme="majorBidi" w:hAnsiTheme="majorBidi" w:cstheme="majorBidi"/>
          <w:bCs/>
        </w:rPr>
        <w:t xml:space="preserve"> </w:t>
      </w:r>
      <w:r w:rsidR="002E7331" w:rsidRPr="00BA3A9A">
        <w:rPr>
          <w:rFonts w:asciiTheme="majorBidi" w:hAnsiTheme="majorBidi" w:cstheme="majorBidi"/>
          <w:bCs/>
        </w:rPr>
        <w:t xml:space="preserve">dzīvokļu īpašniekiem 2022.gada oktobra un novembra rēķinos </w:t>
      </w:r>
      <w:r w:rsidR="00E05FAA" w:rsidRPr="00BA3A9A">
        <w:rPr>
          <w:rFonts w:asciiTheme="majorBidi" w:hAnsiTheme="majorBidi" w:cstheme="majorBidi"/>
          <w:bCs/>
        </w:rPr>
        <w:t xml:space="preserve">tika </w:t>
      </w:r>
      <w:r w:rsidR="002E7331" w:rsidRPr="00BA3A9A">
        <w:rPr>
          <w:rFonts w:asciiTheme="majorBidi" w:hAnsiTheme="majorBidi" w:cstheme="majorBidi"/>
          <w:bCs/>
        </w:rPr>
        <w:t>paziņots, ka 2023.gadā pārvaldīšanas tarifs būs 0,5772 </w:t>
      </w:r>
      <w:r w:rsidR="002E7331" w:rsidRPr="00BA3A9A">
        <w:rPr>
          <w:rFonts w:asciiTheme="majorBidi" w:hAnsiTheme="majorBidi" w:cstheme="majorBidi"/>
          <w:bCs/>
          <w:i/>
          <w:iCs/>
        </w:rPr>
        <w:t>euro</w:t>
      </w:r>
      <w:r w:rsidR="002E7331" w:rsidRPr="00BA3A9A">
        <w:rPr>
          <w:rFonts w:asciiTheme="majorBidi" w:hAnsiTheme="majorBidi" w:cstheme="majorBidi"/>
          <w:bCs/>
        </w:rPr>
        <w:t>/m</w:t>
      </w:r>
      <w:r w:rsidR="002E7331" w:rsidRPr="00BA3A9A">
        <w:rPr>
          <w:rFonts w:asciiTheme="majorBidi" w:hAnsiTheme="majorBidi" w:cstheme="majorBidi"/>
          <w:bCs/>
          <w:vertAlign w:val="superscript"/>
        </w:rPr>
        <w:t>2</w:t>
      </w:r>
      <w:r w:rsidR="002E7331" w:rsidRPr="00BA3A9A">
        <w:rPr>
          <w:rFonts w:asciiTheme="majorBidi" w:hAnsiTheme="majorBidi" w:cstheme="majorBidi"/>
          <w:bCs/>
        </w:rPr>
        <w:t>. Dzīvokļu īpašnieku kopība nav pieņēmusi lēmumu par pārvaldīšanas maksājumu apstiprināšanu vai noraidīšanu, tādē</w:t>
      </w:r>
      <w:r w:rsidR="00E05FAA" w:rsidRPr="00BA3A9A">
        <w:rPr>
          <w:rFonts w:asciiTheme="majorBidi" w:hAnsiTheme="majorBidi" w:cstheme="majorBidi"/>
          <w:bCs/>
        </w:rPr>
        <w:t>ļ</w:t>
      </w:r>
      <w:r w:rsidR="002E7331" w:rsidRPr="00BA3A9A">
        <w:rPr>
          <w:rFonts w:asciiTheme="majorBidi" w:hAnsiTheme="majorBidi" w:cstheme="majorBidi"/>
          <w:bCs/>
        </w:rPr>
        <w:t xml:space="preserve"> pārvaldnie</w:t>
      </w:r>
      <w:r w:rsidR="00E05FAA" w:rsidRPr="00BA3A9A">
        <w:rPr>
          <w:rFonts w:asciiTheme="majorBidi" w:hAnsiTheme="majorBidi" w:cstheme="majorBidi"/>
          <w:bCs/>
        </w:rPr>
        <w:t xml:space="preserve">ces </w:t>
      </w:r>
      <w:r w:rsidR="002E7331" w:rsidRPr="00BA3A9A">
        <w:rPr>
          <w:rFonts w:asciiTheme="majorBidi" w:hAnsiTheme="majorBidi" w:cstheme="majorBidi"/>
          <w:bCs/>
        </w:rPr>
        <w:t>aprēķinātie pārvaldīšanas maksājumi stāj</w:t>
      </w:r>
      <w:r w:rsidR="00E05FAA" w:rsidRPr="00BA3A9A">
        <w:rPr>
          <w:rFonts w:asciiTheme="majorBidi" w:hAnsiTheme="majorBidi" w:cstheme="majorBidi"/>
          <w:bCs/>
        </w:rPr>
        <w:t>ās</w:t>
      </w:r>
      <w:r w:rsidR="002E7331" w:rsidRPr="00BA3A9A">
        <w:rPr>
          <w:rFonts w:asciiTheme="majorBidi" w:hAnsiTheme="majorBidi" w:cstheme="majorBidi"/>
          <w:bCs/>
        </w:rPr>
        <w:t xml:space="preserve"> spēkā 2023.gada 1.janvārī.</w:t>
      </w:r>
    </w:p>
    <w:p w14:paraId="4F824534" w14:textId="46CD1076" w:rsidR="002E7331" w:rsidRPr="00BA3A9A" w:rsidRDefault="002E7331" w:rsidP="00640DE5">
      <w:pPr>
        <w:spacing w:line="276" w:lineRule="auto"/>
        <w:ind w:firstLine="708"/>
        <w:jc w:val="both"/>
        <w:rPr>
          <w:rFonts w:asciiTheme="majorBidi" w:hAnsiTheme="majorBidi" w:cstheme="majorBidi"/>
          <w:bCs/>
        </w:rPr>
      </w:pPr>
      <w:r w:rsidRPr="00BA3A9A">
        <w:rPr>
          <w:rFonts w:asciiTheme="majorBidi" w:hAnsiTheme="majorBidi" w:cstheme="majorBidi"/>
          <w:bCs/>
        </w:rPr>
        <w:t xml:space="preserve">[2.2] </w:t>
      </w:r>
      <w:r w:rsidR="00A771BF">
        <w:rPr>
          <w:rFonts w:asciiTheme="majorBidi" w:hAnsiTheme="majorBidi" w:cstheme="majorBidi"/>
          <w:bCs/>
        </w:rPr>
        <w:t>N</w:t>
      </w:r>
      <w:r w:rsidR="00E05FAA" w:rsidRPr="00BA3A9A">
        <w:rPr>
          <w:rFonts w:asciiTheme="majorBidi" w:hAnsiTheme="majorBidi" w:cstheme="majorBidi"/>
          <w:bCs/>
        </w:rPr>
        <w:t>ormatīvie akti</w:t>
      </w:r>
      <w:r w:rsidR="00A771BF">
        <w:rPr>
          <w:rFonts w:asciiTheme="majorBidi" w:hAnsiTheme="majorBidi" w:cstheme="majorBidi"/>
          <w:bCs/>
        </w:rPr>
        <w:t xml:space="preserve"> neparedz </w:t>
      </w:r>
      <w:r w:rsidR="00E05FAA" w:rsidRPr="00BA3A9A">
        <w:rPr>
          <w:rFonts w:asciiTheme="majorBidi" w:hAnsiTheme="majorBidi" w:cstheme="majorBidi"/>
          <w:bCs/>
        </w:rPr>
        <w:t>pārvaldnieka pienākum</w:t>
      </w:r>
      <w:r w:rsidR="00A771BF">
        <w:rPr>
          <w:rFonts w:asciiTheme="majorBidi" w:hAnsiTheme="majorBidi" w:cstheme="majorBidi"/>
          <w:bCs/>
        </w:rPr>
        <w:t>u</w:t>
      </w:r>
      <w:r w:rsidR="00E05FAA" w:rsidRPr="00BA3A9A">
        <w:rPr>
          <w:rFonts w:asciiTheme="majorBidi" w:hAnsiTheme="majorBidi" w:cstheme="majorBidi"/>
          <w:bCs/>
        </w:rPr>
        <w:t xml:space="preserve"> izsniegt prasītājam ekonomiski pamatotus aprēķinus par nākamā gada budžeta (tāmes) pozīcijām. </w:t>
      </w:r>
      <w:r w:rsidR="00B95BC2" w:rsidRPr="00BA3A9A">
        <w:rPr>
          <w:rFonts w:asciiTheme="majorBidi" w:hAnsiTheme="majorBidi" w:cstheme="majorBidi"/>
          <w:bCs/>
        </w:rPr>
        <w:t xml:space="preserve">Prasītājs prasību pamato ar </w:t>
      </w:r>
      <w:r w:rsidRPr="00BA3A9A">
        <w:rPr>
          <w:rFonts w:asciiTheme="majorBidi" w:hAnsiTheme="majorBidi" w:cstheme="majorBidi"/>
          <w:bCs/>
        </w:rPr>
        <w:t>Dzīvojamo māju pārvaldīšanas likuma 17.</w:t>
      </w:r>
      <w:r w:rsidRPr="00BA3A9A">
        <w:rPr>
          <w:rFonts w:asciiTheme="majorBidi" w:hAnsiTheme="majorBidi" w:cstheme="majorBidi"/>
          <w:bCs/>
          <w:vertAlign w:val="superscript"/>
        </w:rPr>
        <w:t>4</w:t>
      </w:r>
      <w:r w:rsidRPr="00BA3A9A">
        <w:rPr>
          <w:rFonts w:asciiTheme="majorBidi" w:hAnsiTheme="majorBidi" w:cstheme="majorBidi"/>
          <w:bCs/>
        </w:rPr>
        <w:t>panta pirm</w:t>
      </w:r>
      <w:r w:rsidR="00B95BC2" w:rsidRPr="00BA3A9A">
        <w:rPr>
          <w:rFonts w:asciiTheme="majorBidi" w:hAnsiTheme="majorBidi" w:cstheme="majorBidi"/>
          <w:bCs/>
        </w:rPr>
        <w:t>o</w:t>
      </w:r>
      <w:r w:rsidRPr="00BA3A9A">
        <w:rPr>
          <w:rFonts w:asciiTheme="majorBidi" w:hAnsiTheme="majorBidi" w:cstheme="majorBidi"/>
          <w:bCs/>
        </w:rPr>
        <w:t xml:space="preserve"> daļ</w:t>
      </w:r>
      <w:r w:rsidR="00B95BC2" w:rsidRPr="00BA3A9A">
        <w:rPr>
          <w:rFonts w:asciiTheme="majorBidi" w:hAnsiTheme="majorBidi" w:cstheme="majorBidi"/>
          <w:bCs/>
        </w:rPr>
        <w:t>u, taču minētā tiesību norma</w:t>
      </w:r>
      <w:r w:rsidRPr="00BA3A9A">
        <w:rPr>
          <w:rFonts w:asciiTheme="majorBidi" w:hAnsiTheme="majorBidi" w:cstheme="majorBidi"/>
          <w:bCs/>
        </w:rPr>
        <w:t xml:space="preserve"> attiecas uz dzīvojamās mājas uzturēšanai nepieciešamajiem pakalpojumiem, kuri ir noteikti </w:t>
      </w:r>
      <w:r w:rsidR="00EE125E" w:rsidRPr="00BA3A9A">
        <w:rPr>
          <w:rFonts w:asciiTheme="majorBidi" w:hAnsiTheme="majorBidi" w:cstheme="majorBidi"/>
          <w:bCs/>
        </w:rPr>
        <w:t>minētā</w:t>
      </w:r>
      <w:r w:rsidRPr="00BA3A9A">
        <w:rPr>
          <w:rFonts w:asciiTheme="majorBidi" w:hAnsiTheme="majorBidi" w:cstheme="majorBidi"/>
          <w:bCs/>
        </w:rPr>
        <w:t xml:space="preserve"> likuma 17.</w:t>
      </w:r>
      <w:r w:rsidRPr="00BA3A9A">
        <w:rPr>
          <w:rFonts w:asciiTheme="majorBidi" w:hAnsiTheme="majorBidi" w:cstheme="majorBidi"/>
          <w:bCs/>
          <w:vertAlign w:val="superscript"/>
        </w:rPr>
        <w:t>2</w:t>
      </w:r>
      <w:r w:rsidRPr="00BA3A9A">
        <w:rPr>
          <w:rFonts w:asciiTheme="majorBidi" w:hAnsiTheme="majorBidi" w:cstheme="majorBidi"/>
          <w:bCs/>
        </w:rPr>
        <w:t>pantā, t. i., komunālo pakalpojumu sniedzēj</w:t>
      </w:r>
      <w:r w:rsidR="00E05FAA" w:rsidRPr="00BA3A9A">
        <w:rPr>
          <w:rFonts w:asciiTheme="majorBidi" w:hAnsiTheme="majorBidi" w:cstheme="majorBidi"/>
          <w:bCs/>
        </w:rPr>
        <w:t>u pakalpojumiem</w:t>
      </w:r>
      <w:r w:rsidRPr="00BA3A9A">
        <w:rPr>
          <w:rFonts w:asciiTheme="majorBidi" w:hAnsiTheme="majorBidi" w:cstheme="majorBidi"/>
          <w:bCs/>
        </w:rPr>
        <w:t>, nevis uz pārvaldnieka sniegtajiem pakalpojumiem.</w:t>
      </w:r>
    </w:p>
    <w:p w14:paraId="0BB987AD" w14:textId="5B8EDC6F" w:rsidR="00043D23" w:rsidRPr="00BA3A9A" w:rsidRDefault="002E7331" w:rsidP="00043D23">
      <w:pPr>
        <w:spacing w:line="276" w:lineRule="auto"/>
        <w:ind w:firstLine="708"/>
        <w:jc w:val="both"/>
        <w:rPr>
          <w:rFonts w:asciiTheme="majorBidi" w:hAnsiTheme="majorBidi" w:cstheme="majorBidi"/>
          <w:bCs/>
        </w:rPr>
      </w:pPr>
      <w:r w:rsidRPr="00BA3A9A">
        <w:rPr>
          <w:rFonts w:asciiTheme="majorBidi" w:hAnsiTheme="majorBidi" w:cstheme="majorBidi"/>
          <w:bCs/>
        </w:rPr>
        <w:t xml:space="preserve">[2.3] </w:t>
      </w:r>
      <w:r w:rsidR="0025089E">
        <w:t xml:space="preserve">[Pers. A] </w:t>
      </w:r>
      <w:r w:rsidR="00043D23" w:rsidRPr="00BA3A9A">
        <w:rPr>
          <w:rFonts w:asciiTheme="majorBidi" w:hAnsiTheme="majorBidi" w:cstheme="majorBidi"/>
          <w:bCs/>
        </w:rPr>
        <w:t>katru gadu iesniedz DzĪKS „Jubilejas” daudzus iesniegumus ar vairākiem pieprasījumiem un daudzus prasības pieteikumus tiesā, kas pārslogo DzĪKS „Jubilejas” lietvedības un ārpakalpojumu juristu darbu.</w:t>
      </w:r>
    </w:p>
    <w:p w14:paraId="3084A901" w14:textId="7C4F6A95" w:rsidR="002E7331" w:rsidRPr="00BA3A9A" w:rsidRDefault="002E7331" w:rsidP="00043D23">
      <w:pPr>
        <w:spacing w:line="276" w:lineRule="auto"/>
        <w:ind w:firstLine="708"/>
        <w:jc w:val="both"/>
        <w:rPr>
          <w:rFonts w:asciiTheme="majorBidi" w:hAnsiTheme="majorBidi" w:cstheme="majorBidi"/>
          <w:bCs/>
        </w:rPr>
      </w:pPr>
      <w:r w:rsidRPr="00BA3A9A">
        <w:rPr>
          <w:rFonts w:asciiTheme="majorBidi" w:hAnsiTheme="majorBidi" w:cstheme="majorBidi"/>
          <w:bCs/>
        </w:rPr>
        <w:t>DzĪKS</w:t>
      </w:r>
      <w:r w:rsidR="00043D23" w:rsidRPr="00BA3A9A">
        <w:rPr>
          <w:rFonts w:asciiTheme="majorBidi" w:hAnsiTheme="majorBidi" w:cstheme="majorBidi"/>
          <w:bCs/>
        </w:rPr>
        <w:t> </w:t>
      </w:r>
      <w:r w:rsidRPr="00BA3A9A">
        <w:rPr>
          <w:rFonts w:asciiTheme="majorBidi" w:hAnsiTheme="majorBidi" w:cstheme="majorBidi"/>
          <w:bCs/>
        </w:rPr>
        <w:t xml:space="preserve">„Jubilejas” 2023.gada 14.februārī nosūtīja </w:t>
      </w:r>
      <w:r w:rsidR="0025089E">
        <w:t xml:space="preserve">[pers. A] </w:t>
      </w:r>
      <w:r w:rsidRPr="00BA3A9A">
        <w:rPr>
          <w:rFonts w:asciiTheme="majorBidi" w:hAnsiTheme="majorBidi" w:cstheme="majorBidi"/>
          <w:bCs/>
        </w:rPr>
        <w:t>starpatbildi, norādot, ka pēc būtības atbildes uz prasītāja iesniegumiem, t</w:t>
      </w:r>
      <w:r w:rsidR="00043D23" w:rsidRPr="00BA3A9A">
        <w:rPr>
          <w:rFonts w:asciiTheme="majorBidi" w:hAnsiTheme="majorBidi" w:cstheme="majorBidi"/>
          <w:bCs/>
        </w:rPr>
        <w:t>ostarp</w:t>
      </w:r>
      <w:r w:rsidRPr="00BA3A9A">
        <w:rPr>
          <w:rFonts w:asciiTheme="majorBidi" w:hAnsiTheme="majorBidi" w:cstheme="majorBidi"/>
          <w:bCs/>
        </w:rPr>
        <w:t xml:space="preserve"> uz 2023.gada 25.janvāra iesniegumu, un dokumentu sagatavošana notiks 2023.gada aprīlī. 2023.gada 11.maijā prasītājam atkār</w:t>
      </w:r>
      <w:r w:rsidR="00EE125E" w:rsidRPr="00BA3A9A">
        <w:rPr>
          <w:rFonts w:asciiTheme="majorBidi" w:hAnsiTheme="majorBidi" w:cstheme="majorBidi"/>
          <w:bCs/>
        </w:rPr>
        <w:t>toti</w:t>
      </w:r>
      <w:r w:rsidRPr="00BA3A9A">
        <w:rPr>
          <w:rFonts w:asciiTheme="majorBidi" w:hAnsiTheme="majorBidi" w:cstheme="majorBidi"/>
          <w:bCs/>
        </w:rPr>
        <w:t xml:space="preserve"> tika nosūtīt starpatbilde Nr. 118</w:t>
      </w:r>
      <w:r w:rsidR="00043D23" w:rsidRPr="00BA3A9A">
        <w:rPr>
          <w:rFonts w:asciiTheme="majorBidi" w:hAnsiTheme="majorBidi" w:cstheme="majorBidi"/>
          <w:bCs/>
        </w:rPr>
        <w:t> </w:t>
      </w:r>
      <w:r w:rsidRPr="00BA3A9A">
        <w:rPr>
          <w:rFonts w:asciiTheme="majorBidi" w:hAnsiTheme="majorBidi" w:cstheme="majorBidi"/>
          <w:bCs/>
        </w:rPr>
        <w:t>par atbildes sniegšanas termiņa pagarināšanu.</w:t>
      </w:r>
    </w:p>
    <w:p w14:paraId="6C546A1C" w14:textId="7B33193E" w:rsidR="002E7331" w:rsidRPr="00BA3A9A" w:rsidRDefault="002E7331" w:rsidP="003164D9">
      <w:pPr>
        <w:spacing w:line="276" w:lineRule="auto"/>
        <w:ind w:firstLine="708"/>
        <w:jc w:val="both"/>
        <w:rPr>
          <w:rFonts w:asciiTheme="majorBidi" w:hAnsiTheme="majorBidi" w:cstheme="majorBidi"/>
          <w:bCs/>
        </w:rPr>
      </w:pPr>
      <w:r w:rsidRPr="00BA3A9A">
        <w:rPr>
          <w:rFonts w:asciiTheme="majorBidi" w:hAnsiTheme="majorBidi" w:cstheme="majorBidi"/>
          <w:bCs/>
        </w:rPr>
        <w:t xml:space="preserve">Atbilde uz 2023.gada 25.janvāra iesniegumu </w:t>
      </w:r>
      <w:r w:rsidR="00043D23" w:rsidRPr="00BA3A9A">
        <w:rPr>
          <w:rFonts w:asciiTheme="majorBidi" w:hAnsiTheme="majorBidi" w:cstheme="majorBidi"/>
          <w:bCs/>
        </w:rPr>
        <w:t xml:space="preserve">tika </w:t>
      </w:r>
      <w:r w:rsidRPr="00BA3A9A">
        <w:rPr>
          <w:rFonts w:asciiTheme="majorBidi" w:hAnsiTheme="majorBidi" w:cstheme="majorBidi"/>
          <w:bCs/>
        </w:rPr>
        <w:t>sniegta 2023.gada 29.augusta vēstulē Nr.</w:t>
      </w:r>
      <w:r w:rsidR="00043D23" w:rsidRPr="00BA3A9A">
        <w:rPr>
          <w:rFonts w:asciiTheme="majorBidi" w:hAnsiTheme="majorBidi" w:cstheme="majorBidi"/>
          <w:bCs/>
        </w:rPr>
        <w:t> </w:t>
      </w:r>
      <w:r w:rsidRPr="00BA3A9A">
        <w:rPr>
          <w:rFonts w:asciiTheme="majorBidi" w:hAnsiTheme="majorBidi" w:cstheme="majorBidi"/>
          <w:bCs/>
        </w:rPr>
        <w:t>203, kurā norādīts, ka pārvaldniekam nav pienākuma izsniegt ekonomiski pamatotu aprēķinu par nākamā gada budžeta (tāmes) pozīcijām</w:t>
      </w:r>
      <w:r w:rsidR="00B95BC2" w:rsidRPr="00BA3A9A">
        <w:rPr>
          <w:rFonts w:asciiTheme="majorBidi" w:hAnsiTheme="majorBidi" w:cstheme="majorBidi"/>
          <w:bCs/>
        </w:rPr>
        <w:t>, jo pārvaldnie</w:t>
      </w:r>
      <w:r w:rsidR="00043D23" w:rsidRPr="00BA3A9A">
        <w:rPr>
          <w:rFonts w:asciiTheme="majorBidi" w:hAnsiTheme="majorBidi" w:cstheme="majorBidi"/>
          <w:bCs/>
        </w:rPr>
        <w:t>ks</w:t>
      </w:r>
      <w:r w:rsidR="00B95BC2" w:rsidRPr="00BA3A9A">
        <w:rPr>
          <w:rFonts w:asciiTheme="majorBidi" w:hAnsiTheme="majorBidi" w:cstheme="majorBidi"/>
          <w:bCs/>
        </w:rPr>
        <w:t xml:space="preserve"> par šo līdzekļu izlietojumu sniedz pārskatu</w:t>
      </w:r>
      <w:r w:rsidR="00F2742B" w:rsidRPr="00BA3A9A">
        <w:rPr>
          <w:rFonts w:asciiTheme="majorBidi" w:hAnsiTheme="majorBidi" w:cstheme="majorBidi"/>
          <w:bCs/>
        </w:rPr>
        <w:t xml:space="preserve">. </w:t>
      </w:r>
    </w:p>
    <w:p w14:paraId="42EEA25A" w14:textId="77777777" w:rsidR="00E9059E" w:rsidRPr="00BA3A9A" w:rsidRDefault="00E9059E" w:rsidP="00640DE5">
      <w:pPr>
        <w:spacing w:line="276" w:lineRule="auto"/>
        <w:jc w:val="both"/>
      </w:pPr>
    </w:p>
    <w:p w14:paraId="2337829E" w14:textId="74D9103D" w:rsidR="00B83461" w:rsidRPr="00BA3A9A" w:rsidRDefault="00E9059E" w:rsidP="00F061DA">
      <w:pPr>
        <w:spacing w:line="276" w:lineRule="auto"/>
        <w:ind w:firstLine="720"/>
        <w:jc w:val="both"/>
      </w:pPr>
      <w:r w:rsidRPr="00BA3A9A">
        <w:t xml:space="preserve">[3] Ar </w:t>
      </w:r>
      <w:r w:rsidR="005660FC" w:rsidRPr="00BA3A9A">
        <w:t>Rīgas pilsētas</w:t>
      </w:r>
      <w:r w:rsidRPr="00BA3A9A">
        <w:t xml:space="preserve"> tiesas 202</w:t>
      </w:r>
      <w:r w:rsidR="005660FC" w:rsidRPr="00BA3A9A">
        <w:t>4</w:t>
      </w:r>
      <w:r w:rsidRPr="00BA3A9A">
        <w:t xml:space="preserve">.gada </w:t>
      </w:r>
      <w:r w:rsidR="005660FC" w:rsidRPr="00BA3A9A">
        <w:t>11</w:t>
      </w:r>
      <w:r w:rsidRPr="00BA3A9A">
        <w:t>.</w:t>
      </w:r>
      <w:r w:rsidR="005660FC" w:rsidRPr="00BA3A9A">
        <w:t>jūnija</w:t>
      </w:r>
      <w:r w:rsidRPr="00BA3A9A">
        <w:t xml:space="preserve"> spriedumu prasība </w:t>
      </w:r>
      <w:r w:rsidR="005660FC" w:rsidRPr="00BA3A9A">
        <w:t>apmierināta</w:t>
      </w:r>
      <w:r w:rsidRPr="00BA3A9A">
        <w:t>.</w:t>
      </w:r>
      <w:r w:rsidR="00F061DA" w:rsidRPr="00BA3A9A">
        <w:t xml:space="preserve"> </w:t>
      </w:r>
      <w:r w:rsidR="005F6E5C" w:rsidRPr="00BA3A9A">
        <w:t>Tiesa nosprieda:</w:t>
      </w:r>
    </w:p>
    <w:p w14:paraId="0A8E4A25" w14:textId="5F4A9F21" w:rsidR="00B83461" w:rsidRPr="00BA3A9A" w:rsidRDefault="005F6E5C" w:rsidP="005F6E5C">
      <w:pPr>
        <w:spacing w:line="276" w:lineRule="auto"/>
        <w:ind w:firstLine="720"/>
        <w:jc w:val="both"/>
      </w:pPr>
      <w:r w:rsidRPr="00BA3A9A">
        <w:lastRenderedPageBreak/>
        <w:t xml:space="preserve">1) uzlikt par pienākumu DzĪKS „Jubilejas” 30 dienu laikā no sprieduma spēkā stāšanās dienas sagatavot un uzrādīt </w:t>
      </w:r>
      <w:r w:rsidR="0025089E">
        <w:t xml:space="preserve">[pers. A] </w:t>
      </w:r>
      <w:r w:rsidRPr="00BA3A9A">
        <w:t xml:space="preserve">ekonomiski pamatotu aprēķinu ar vispusīgu un pilnīgu informāciju par juridisko pakalpojumu nodrošināšanu 2023.gadā dzīvojamai mājai </w:t>
      </w:r>
      <w:r w:rsidR="0025089E">
        <w:t>[adrese A]</w:t>
      </w:r>
      <w:r w:rsidRPr="00BA3A9A">
        <w:t xml:space="preserve">, ar kuru </w:t>
      </w:r>
      <w:r w:rsidR="0025089E">
        <w:t xml:space="preserve">[pers. A] </w:t>
      </w:r>
      <w:r w:rsidRPr="00BA3A9A">
        <w:t>var iepazīties</w:t>
      </w:r>
      <w:r w:rsidR="00F061DA" w:rsidRPr="00BA3A9A">
        <w:t>,</w:t>
      </w:r>
      <w:r w:rsidRPr="00BA3A9A">
        <w:t xml:space="preserve"> iepriekš saskaņojot iepazīšanās laiku ar DzĪKS „Jubilejas”;</w:t>
      </w:r>
    </w:p>
    <w:p w14:paraId="73F3A8E9" w14:textId="3A41D4D2" w:rsidR="005F6E5C" w:rsidRPr="00BA3A9A" w:rsidRDefault="005F6E5C" w:rsidP="005F6E5C">
      <w:pPr>
        <w:spacing w:line="276" w:lineRule="auto"/>
        <w:ind w:firstLine="720"/>
        <w:jc w:val="both"/>
        <w:rPr>
          <w:i/>
          <w:iCs/>
        </w:rPr>
      </w:pPr>
      <w:r w:rsidRPr="00BA3A9A">
        <w:t>2) piedzīt no DzĪKS „Jubilejas” valsts labā valsts nodevu 70 </w:t>
      </w:r>
      <w:r w:rsidRPr="00BA3A9A">
        <w:rPr>
          <w:i/>
          <w:iCs/>
        </w:rPr>
        <w:t xml:space="preserve">euro </w:t>
      </w:r>
      <w:r w:rsidRPr="00BA3A9A">
        <w:t>un ar lietas izskatīšanu saistītos izdevumus 19</w:t>
      </w:r>
      <w:r w:rsidRPr="00BA3A9A">
        <w:rPr>
          <w:i/>
          <w:iCs/>
        </w:rPr>
        <w:t> euro.</w:t>
      </w:r>
    </w:p>
    <w:p w14:paraId="75A466FB" w14:textId="77777777" w:rsidR="00E9059E" w:rsidRPr="00BA3A9A" w:rsidRDefault="00E9059E" w:rsidP="00B03D10">
      <w:pPr>
        <w:spacing w:line="276" w:lineRule="auto"/>
        <w:jc w:val="both"/>
      </w:pPr>
    </w:p>
    <w:p w14:paraId="3F0FA95D" w14:textId="50163068" w:rsidR="00E9059E" w:rsidRPr="00BA3A9A" w:rsidRDefault="00E9059E" w:rsidP="00640DE5">
      <w:pPr>
        <w:spacing w:line="276" w:lineRule="auto"/>
        <w:ind w:firstLine="720"/>
        <w:jc w:val="both"/>
      </w:pPr>
      <w:r w:rsidRPr="00BA3A9A">
        <w:t xml:space="preserve">[4] </w:t>
      </w:r>
      <w:r w:rsidR="005660FC" w:rsidRPr="00BA3A9A">
        <w:t xml:space="preserve">Atbildētāja </w:t>
      </w:r>
      <w:r w:rsidR="005660FC" w:rsidRPr="00BA3A9A">
        <w:rPr>
          <w:rFonts w:asciiTheme="majorBidi" w:hAnsiTheme="majorBidi" w:cstheme="majorBidi"/>
          <w:bCs/>
        </w:rPr>
        <w:t>DzĪKS</w:t>
      </w:r>
      <w:r w:rsidR="00F061DA" w:rsidRPr="00BA3A9A">
        <w:rPr>
          <w:rFonts w:asciiTheme="majorBidi" w:hAnsiTheme="majorBidi" w:cstheme="majorBidi"/>
          <w:bCs/>
        </w:rPr>
        <w:t> </w:t>
      </w:r>
      <w:r w:rsidR="005660FC" w:rsidRPr="00BA3A9A">
        <w:rPr>
          <w:rFonts w:asciiTheme="majorBidi" w:hAnsiTheme="majorBidi" w:cstheme="majorBidi"/>
          <w:bCs/>
        </w:rPr>
        <w:t>„Jubilejas”</w:t>
      </w:r>
      <w:r w:rsidRPr="00BA3A9A">
        <w:t xml:space="preserve"> iesniedza apelācijas sūdzību par minēto spriedumu</w:t>
      </w:r>
      <w:r w:rsidR="00980EF5" w:rsidRPr="00BA3A9A">
        <w:t>, pārsūdzot to pilnā apjomā.</w:t>
      </w:r>
    </w:p>
    <w:p w14:paraId="56E12A21" w14:textId="77777777" w:rsidR="00E9059E" w:rsidRPr="00BA3A9A" w:rsidRDefault="00E9059E" w:rsidP="00640DE5">
      <w:pPr>
        <w:spacing w:line="276" w:lineRule="auto"/>
        <w:ind w:firstLine="720"/>
        <w:jc w:val="both"/>
      </w:pPr>
    </w:p>
    <w:p w14:paraId="512558A3" w14:textId="7D325073" w:rsidR="00C420E8" w:rsidRPr="00BA3A9A" w:rsidRDefault="00E9059E" w:rsidP="00F061DA">
      <w:pPr>
        <w:spacing w:line="276" w:lineRule="auto"/>
        <w:ind w:firstLine="720"/>
        <w:jc w:val="both"/>
      </w:pPr>
      <w:r w:rsidRPr="00BA3A9A">
        <w:t xml:space="preserve">[5] Ar </w:t>
      </w:r>
      <w:r w:rsidR="00A8285D" w:rsidRPr="00BA3A9A">
        <w:t>Rīgas</w:t>
      </w:r>
      <w:r w:rsidRPr="00BA3A9A">
        <w:t xml:space="preserve"> apgabaltiesas 202</w:t>
      </w:r>
      <w:r w:rsidR="00A8285D" w:rsidRPr="00BA3A9A">
        <w:t>5</w:t>
      </w:r>
      <w:r w:rsidRPr="00BA3A9A">
        <w:t xml:space="preserve">.gada </w:t>
      </w:r>
      <w:r w:rsidR="00A8285D" w:rsidRPr="00BA3A9A">
        <w:t>2</w:t>
      </w:r>
      <w:r w:rsidRPr="00BA3A9A">
        <w:t>.</w:t>
      </w:r>
      <w:r w:rsidR="00A8285D" w:rsidRPr="00BA3A9A">
        <w:t>aprīļa</w:t>
      </w:r>
      <w:r w:rsidRPr="00BA3A9A">
        <w:t xml:space="preserve"> spriedumu prasība noraidīta</w:t>
      </w:r>
      <w:r w:rsidR="00F061DA" w:rsidRPr="00BA3A9A">
        <w:t>, n</w:t>
      </w:r>
      <w:r w:rsidR="00C420E8" w:rsidRPr="00BA3A9A">
        <w:t xml:space="preserve">o </w:t>
      </w:r>
      <w:r w:rsidR="0025089E">
        <w:t xml:space="preserve">[pers. A] </w:t>
      </w:r>
      <w:r w:rsidR="00F2742B" w:rsidRPr="00BA3A9A">
        <w:rPr>
          <w:rFonts w:asciiTheme="majorBidi" w:hAnsiTheme="majorBidi" w:cstheme="majorBidi"/>
          <w:bCs/>
        </w:rPr>
        <w:t>DzĪKS</w:t>
      </w:r>
      <w:r w:rsidR="00F061DA" w:rsidRPr="00BA3A9A">
        <w:rPr>
          <w:rFonts w:asciiTheme="majorBidi" w:hAnsiTheme="majorBidi" w:cstheme="majorBidi"/>
          <w:bCs/>
        </w:rPr>
        <w:t> </w:t>
      </w:r>
      <w:r w:rsidR="00C420E8" w:rsidRPr="00BA3A9A">
        <w:t>„Jubilejas” labā piedzīta valsts nodeva 70 </w:t>
      </w:r>
      <w:r w:rsidR="00C420E8" w:rsidRPr="00BA3A9A">
        <w:rPr>
          <w:i/>
          <w:iCs/>
        </w:rPr>
        <w:t>euro</w:t>
      </w:r>
      <w:r w:rsidR="00F061DA" w:rsidRPr="00BA3A9A">
        <w:t xml:space="preserve"> un</w:t>
      </w:r>
      <w:r w:rsidR="00F061DA" w:rsidRPr="00BA3A9A">
        <w:rPr>
          <w:rFonts w:asciiTheme="majorBidi" w:hAnsiTheme="majorBidi" w:cstheme="majorBidi"/>
          <w:bCs/>
        </w:rPr>
        <w:t xml:space="preserve"> DzĪKS </w:t>
      </w:r>
      <w:r w:rsidR="00F061DA" w:rsidRPr="00BA3A9A">
        <w:t xml:space="preserve">„Jubilejas” noteiktas tiesības saņemt likumiskos sešus procentus no šīs summas līdz sprieduma izpildei.  </w:t>
      </w:r>
      <w:r w:rsidR="00C420E8" w:rsidRPr="00BA3A9A">
        <w:t xml:space="preserve"> </w:t>
      </w:r>
    </w:p>
    <w:p w14:paraId="5CED770F" w14:textId="77777777" w:rsidR="00E9059E" w:rsidRPr="00BA3A9A" w:rsidRDefault="00E9059E" w:rsidP="00640DE5">
      <w:pPr>
        <w:spacing w:line="276" w:lineRule="auto"/>
        <w:ind w:firstLine="720"/>
        <w:jc w:val="both"/>
      </w:pPr>
      <w:r w:rsidRPr="00BA3A9A">
        <w:t>Spriedums pamatots ar šādiem motīviem.</w:t>
      </w:r>
    </w:p>
    <w:p w14:paraId="7C91A3CC" w14:textId="77777777" w:rsidR="00A22E5E" w:rsidRPr="00BA3A9A" w:rsidRDefault="00E9059E" w:rsidP="00640DE5">
      <w:pPr>
        <w:spacing w:line="276" w:lineRule="auto"/>
        <w:ind w:right="-2" w:firstLine="709"/>
        <w:jc w:val="both"/>
      </w:pPr>
      <w:r w:rsidRPr="00BA3A9A">
        <w:t>[5.1]</w:t>
      </w:r>
      <w:r w:rsidR="00265346" w:rsidRPr="00BA3A9A">
        <w:t xml:space="preserve"> </w:t>
      </w:r>
      <w:r w:rsidR="00A22E5E" w:rsidRPr="00BA3A9A">
        <w:t xml:space="preserve">Prasītājs ir paskaidrojis, ka vēlas noskaidrot, kā atbildētāja 2023.gada izdevumu tāmē aprēķinājusi provizoriskos izdevumus par juridiskajiem pakalpojumiem, tādēļ </w:t>
      </w:r>
      <w:r w:rsidR="00A22E5E" w:rsidRPr="00BA3A9A">
        <w:rPr>
          <w:rFonts w:asciiTheme="majorBidi" w:hAnsiTheme="majorBidi" w:cstheme="majorBidi"/>
        </w:rPr>
        <w:t xml:space="preserve">2023.gada 25.janvārī </w:t>
      </w:r>
      <w:r w:rsidR="00A22E5E" w:rsidRPr="00BA3A9A">
        <w:t xml:space="preserve">iesniedzis atbildētājai informācijas pieprasījumu, uz kuru atbildi nav saņēmis. </w:t>
      </w:r>
    </w:p>
    <w:p w14:paraId="2A539F92" w14:textId="73847D4F" w:rsidR="001E4305" w:rsidRPr="00BA3A9A" w:rsidRDefault="001E4305" w:rsidP="00640DE5">
      <w:pPr>
        <w:spacing w:line="276" w:lineRule="auto"/>
        <w:ind w:right="-2" w:firstLine="709"/>
        <w:jc w:val="both"/>
        <w:rPr>
          <w:rFonts w:asciiTheme="majorBidi" w:hAnsiTheme="majorBidi" w:cstheme="majorBidi"/>
        </w:rPr>
      </w:pPr>
      <w:r w:rsidRPr="00BA3A9A">
        <w:rPr>
          <w:rFonts w:asciiTheme="majorBidi" w:hAnsiTheme="majorBidi" w:cstheme="majorBidi"/>
          <w:bCs/>
        </w:rPr>
        <w:t xml:space="preserve">DzĪKS „Jubilejas” </w:t>
      </w:r>
      <w:r w:rsidR="0025089E">
        <w:t xml:space="preserve">[pers. A] </w:t>
      </w:r>
      <w:r w:rsidRPr="00BA3A9A">
        <w:rPr>
          <w:rFonts w:asciiTheme="majorBidi" w:hAnsiTheme="majorBidi" w:cstheme="majorBidi"/>
        </w:rPr>
        <w:t xml:space="preserve">atbildi uz 2023.gada 25.janvāra iesniegumu </w:t>
      </w:r>
      <w:r w:rsidR="001D69A2" w:rsidRPr="00BA3A9A">
        <w:rPr>
          <w:rFonts w:asciiTheme="majorBidi" w:hAnsiTheme="majorBidi" w:cstheme="majorBidi"/>
        </w:rPr>
        <w:t xml:space="preserve">ir </w:t>
      </w:r>
      <w:r w:rsidRPr="00BA3A9A">
        <w:rPr>
          <w:rFonts w:asciiTheme="majorBidi" w:hAnsiTheme="majorBidi" w:cstheme="majorBidi"/>
        </w:rPr>
        <w:t>sniegusi 2023.gada 29.augustā, ko apstiprina atbildētājas paskaidrojumi un pierādījumi lietā.</w:t>
      </w:r>
    </w:p>
    <w:p w14:paraId="4C3CA7CF" w14:textId="3B6C7780" w:rsidR="007F2784" w:rsidRPr="00BA3A9A" w:rsidRDefault="00431D70" w:rsidP="007F2784">
      <w:pPr>
        <w:spacing w:line="276" w:lineRule="auto"/>
        <w:ind w:firstLine="708"/>
        <w:jc w:val="both"/>
        <w:rPr>
          <w:rFonts w:asciiTheme="majorBidi" w:hAnsiTheme="majorBidi" w:cstheme="majorBidi"/>
          <w:bCs/>
        </w:rPr>
      </w:pPr>
      <w:r w:rsidRPr="00BA3A9A">
        <w:t>[5.</w:t>
      </w:r>
      <w:r w:rsidR="007F2784" w:rsidRPr="00BA3A9A">
        <w:t>2</w:t>
      </w:r>
      <w:r w:rsidRPr="00BA3A9A">
        <w:t xml:space="preserve">] </w:t>
      </w:r>
      <w:r w:rsidR="007F2784" w:rsidRPr="00BA3A9A">
        <w:rPr>
          <w:rFonts w:asciiTheme="majorBidi" w:hAnsiTheme="majorBidi" w:cstheme="majorBidi"/>
          <w:bCs/>
        </w:rPr>
        <w:t>DzĪKS „Jubilejas”</w:t>
      </w:r>
      <w:r w:rsidR="007F2784" w:rsidRPr="00BA3A9A">
        <w:t xml:space="preserve"> </w:t>
      </w:r>
      <w:r w:rsidR="001E4305" w:rsidRPr="00BA3A9A">
        <w:t>2023.gada 29.aug</w:t>
      </w:r>
      <w:r w:rsidR="00F2742B" w:rsidRPr="00BA3A9A">
        <w:t>usta</w:t>
      </w:r>
      <w:r w:rsidR="001E4305" w:rsidRPr="00BA3A9A">
        <w:t xml:space="preserve"> atbildē ir norādījusi,</w:t>
      </w:r>
      <w:r w:rsidRPr="00BA3A9A">
        <w:t xml:space="preserve"> </w:t>
      </w:r>
      <w:r w:rsidRPr="00BA3A9A">
        <w:rPr>
          <w:rFonts w:asciiTheme="majorBidi" w:hAnsiTheme="majorBidi" w:cstheme="majorBidi"/>
        </w:rPr>
        <w:t>ka saskaņā ar Ministru kabineta 2017.gada 11.jūlija noteikumu Nr. 408 „Dzīvojamās mājas pārvaldīšanas un apsaimniekošanas maksas aprēķināšanas noteikumi” 10.punktu dzīvokļu īpašniekiem 2022.gada oktobra un novembra rēķinos paziņots, ka 2023.gadā pārvaldīšanas maksa būs 0,5772 </w:t>
      </w:r>
      <w:r w:rsidRPr="00BA3A9A">
        <w:rPr>
          <w:rFonts w:asciiTheme="majorBidi" w:hAnsiTheme="majorBidi" w:cstheme="majorBidi"/>
          <w:i/>
          <w:iCs/>
        </w:rPr>
        <w:t>euro</w:t>
      </w:r>
      <w:r w:rsidRPr="00BA3A9A">
        <w:rPr>
          <w:rFonts w:asciiTheme="majorBidi" w:hAnsiTheme="majorBidi" w:cstheme="majorBidi"/>
        </w:rPr>
        <w:t>/m</w:t>
      </w:r>
      <w:r w:rsidRPr="00BA3A9A">
        <w:rPr>
          <w:rFonts w:asciiTheme="majorBidi" w:hAnsiTheme="majorBidi" w:cstheme="majorBidi"/>
          <w:vertAlign w:val="superscript"/>
        </w:rPr>
        <w:t>2</w:t>
      </w:r>
      <w:r w:rsidRPr="00BA3A9A">
        <w:rPr>
          <w:rFonts w:asciiTheme="majorBidi" w:hAnsiTheme="majorBidi" w:cstheme="majorBidi"/>
        </w:rPr>
        <w:t>.</w:t>
      </w:r>
      <w:r w:rsidR="007F2784" w:rsidRPr="00BA3A9A">
        <w:rPr>
          <w:rFonts w:asciiTheme="majorBidi" w:hAnsiTheme="majorBidi" w:cstheme="majorBidi"/>
          <w:bCs/>
        </w:rPr>
        <w:t xml:space="preserve"> Dzīvokļu īpašnieku kopība nav pieņēmusi lēmumu par pārvaldīšanas maksājumu apstiprināšanu vai noraidīšanu, tādēļ pārvaldnieces aprēķinātie pārvaldīšanas maksājumi stājās spēkā 2023.gada 1.janvārī.</w:t>
      </w:r>
    </w:p>
    <w:p w14:paraId="752F29E3" w14:textId="6450CA76" w:rsidR="00431D70" w:rsidRPr="00BA3A9A" w:rsidRDefault="007F2784" w:rsidP="00640DE5">
      <w:pPr>
        <w:spacing w:line="276" w:lineRule="auto"/>
        <w:ind w:right="-2" w:firstLine="709"/>
        <w:jc w:val="both"/>
        <w:rPr>
          <w:rFonts w:asciiTheme="majorBidi" w:hAnsiTheme="majorBidi" w:cstheme="majorBidi"/>
        </w:rPr>
      </w:pPr>
      <w:r w:rsidRPr="00BA3A9A">
        <w:rPr>
          <w:rFonts w:asciiTheme="majorBidi" w:hAnsiTheme="majorBidi" w:cstheme="majorBidi"/>
        </w:rPr>
        <w:t xml:space="preserve">Tāpat atbildētāja </w:t>
      </w:r>
      <w:r w:rsidRPr="00BA3A9A">
        <w:t xml:space="preserve">2023.gada 29.augusta atbildē norādījusi, ka </w:t>
      </w:r>
      <w:r w:rsidR="00431D70" w:rsidRPr="00BA3A9A">
        <w:rPr>
          <w:rFonts w:asciiTheme="majorBidi" w:hAnsiTheme="majorBidi" w:cstheme="majorBidi"/>
        </w:rPr>
        <w:t>tāmē iekļautās pozīcijas „Juridiskie pakalpojumi” izdevumi aprēķināti, ņemot vērā 2022.gada un 2021.gada izdevumus pozīcijā „Juridiskie pakalpojumi”, tos provizoriski koriģējot atbilstoši pārvaldīšanas plāniem. Pozīcijā galvenokārt ir iekļauti izdevumi par juridisko pakalpojumu sniedzēja pakalpojumiem, parādu piedziņas izdevumi, valsts nodevas par tiesāšanās un piedziņas procesiem.</w:t>
      </w:r>
    </w:p>
    <w:p w14:paraId="2A4BAE0D" w14:textId="4EC2B73C" w:rsidR="005144B2" w:rsidRPr="00BA3A9A" w:rsidRDefault="00431D70" w:rsidP="00640DE5">
      <w:pPr>
        <w:spacing w:line="276" w:lineRule="auto"/>
        <w:ind w:right="-2" w:firstLine="709"/>
        <w:jc w:val="both"/>
      </w:pPr>
      <w:r w:rsidRPr="00BA3A9A">
        <w:t>[5.</w:t>
      </w:r>
      <w:r w:rsidR="007F2784" w:rsidRPr="00BA3A9A">
        <w:t>3</w:t>
      </w:r>
      <w:r w:rsidRPr="00BA3A9A">
        <w:t xml:space="preserve">] </w:t>
      </w:r>
      <w:r w:rsidR="00907C42" w:rsidRPr="00BA3A9A">
        <w:t>Ministru kabineta noteikumu Nr. 408 „Dzīvojamās mājas pārvaldīšanas un apsaimniekošanas maksas aprēķināšanas noteikumi” nosaka kārtību, kādā dzīvojamās mājas pārvaldnieks citastarp sastāda dzīvojamās mājas uzturēšanas un apsaimniekošanas darbu tāmi kalendāra</w:t>
      </w:r>
      <w:r w:rsidR="002A62DB">
        <w:t>jam</w:t>
      </w:r>
      <w:r w:rsidR="00907C42" w:rsidRPr="00BA3A9A">
        <w:t xml:space="preserve"> gadam; kārtību, kādā paziņo dzīvokļu īpašniekiem pārvaldīšanas maksājumu apmēru kalendāra</w:t>
      </w:r>
      <w:r w:rsidR="002A62DB">
        <w:t>jam</w:t>
      </w:r>
      <w:r w:rsidR="00907C42" w:rsidRPr="00BA3A9A">
        <w:t xml:space="preserve"> gadam; kārtību, kādā informē dzīvokļu īpašniekus par tāmē paredzētajām izmaksām; </w:t>
      </w:r>
      <w:r w:rsidR="0072368B">
        <w:t>un</w:t>
      </w:r>
      <w:r w:rsidR="00907C42" w:rsidRPr="00BA3A9A">
        <w:t xml:space="preserve"> kārtību, kādā sagatavo dzīvokļu īpašniekiem pārskatu par pārvaldīšanas maksājumu izlietošanu kārtējā gadā. </w:t>
      </w:r>
    </w:p>
    <w:p w14:paraId="0AF58289" w14:textId="75411BBF" w:rsidR="00907C42" w:rsidRPr="00BA3A9A" w:rsidRDefault="00907C42" w:rsidP="00640DE5">
      <w:pPr>
        <w:spacing w:line="276" w:lineRule="auto"/>
        <w:ind w:right="-2" w:firstLine="709"/>
        <w:jc w:val="both"/>
      </w:pPr>
      <w:r w:rsidRPr="00BA3A9A">
        <w:t>Pārvaldnieks tāmē ietver šajos Ministru kabineta noteikumos norādīto informāciju, tostarp maksājumu par pārvaldīšanas pakalpojumu.</w:t>
      </w:r>
      <w:r w:rsidR="005144B2" w:rsidRPr="00BA3A9A">
        <w:t xml:space="preserve"> Pakalpojuma cenu veido </w:t>
      </w:r>
      <w:r w:rsidR="005144B2" w:rsidRPr="00BA3A9A">
        <w:lastRenderedPageBreak/>
        <w:t xml:space="preserve">tiešās izmaksas, pakalpojuma netiešās izmaksas un atlīdzība par pārvaldīšanu, ja tā tāmē nav ietverta kā atsevišķa pozīcija. </w:t>
      </w:r>
    </w:p>
    <w:p w14:paraId="671B072F" w14:textId="2C4C270A" w:rsidR="00F705E7" w:rsidRPr="00BA3A9A" w:rsidRDefault="00907C42" w:rsidP="00F705E7">
      <w:pPr>
        <w:spacing w:line="276" w:lineRule="auto"/>
        <w:ind w:right="-2" w:firstLine="709"/>
        <w:jc w:val="both"/>
        <w:rPr>
          <w:rFonts w:asciiTheme="majorBidi" w:hAnsiTheme="majorBidi" w:cstheme="majorBidi"/>
        </w:rPr>
      </w:pPr>
      <w:r w:rsidRPr="00BA3A9A">
        <w:t>[5.4]</w:t>
      </w:r>
      <w:r w:rsidR="00F705E7" w:rsidRPr="00BA3A9A">
        <w:t xml:space="preserve"> P</w:t>
      </w:r>
      <w:r w:rsidR="00431D70" w:rsidRPr="00BA3A9A">
        <w:t xml:space="preserve">ar aprēķinātajiem pārvaldīšanas maksājumiem 2023.gadam </w:t>
      </w:r>
      <w:r w:rsidR="00431D70" w:rsidRPr="00BA3A9A">
        <w:rPr>
          <w:rFonts w:asciiTheme="majorBidi" w:hAnsiTheme="majorBidi" w:cstheme="majorBidi"/>
          <w:bCs/>
        </w:rPr>
        <w:t>DzĪKS</w:t>
      </w:r>
      <w:r w:rsidR="00FB5533" w:rsidRPr="00BA3A9A">
        <w:rPr>
          <w:rFonts w:asciiTheme="majorBidi" w:hAnsiTheme="majorBidi" w:cstheme="majorBidi"/>
          <w:bCs/>
        </w:rPr>
        <w:t> </w:t>
      </w:r>
      <w:r w:rsidR="00431D70" w:rsidRPr="00BA3A9A">
        <w:rPr>
          <w:rFonts w:asciiTheme="majorBidi" w:hAnsiTheme="majorBidi" w:cstheme="majorBidi"/>
          <w:bCs/>
        </w:rPr>
        <w:t>„Jubilejas”</w:t>
      </w:r>
      <w:r w:rsidR="00FB5533" w:rsidRPr="00BA3A9A">
        <w:rPr>
          <w:rFonts w:asciiTheme="majorBidi" w:hAnsiTheme="majorBidi" w:cstheme="majorBidi"/>
          <w:bCs/>
        </w:rPr>
        <w:t xml:space="preserve"> rakstiski</w:t>
      </w:r>
      <w:r w:rsidR="00431D70" w:rsidRPr="00BA3A9A">
        <w:t xml:space="preserve"> 2022.gada 1.oktobra rēķinā</w:t>
      </w:r>
      <w:r w:rsidR="00FB5533" w:rsidRPr="00BA3A9A">
        <w:t xml:space="preserve"> </w:t>
      </w:r>
      <w:r w:rsidR="00431D70" w:rsidRPr="00BA3A9A">
        <w:t xml:space="preserve">paziņoja </w:t>
      </w:r>
      <w:r w:rsidR="0025089E">
        <w:t>[pers. A]</w:t>
      </w:r>
      <w:r w:rsidR="00431D70" w:rsidRPr="00BA3A9A">
        <w:t xml:space="preserve">. Rēķinā </w:t>
      </w:r>
      <w:r w:rsidR="00F705E7" w:rsidRPr="00BA3A9A">
        <w:t xml:space="preserve">arī </w:t>
      </w:r>
      <w:r w:rsidR="00431D70" w:rsidRPr="00BA3A9A">
        <w:t>iekļaut</w:t>
      </w:r>
      <w:r w:rsidR="00F705E7" w:rsidRPr="00BA3A9A">
        <w:t>s</w:t>
      </w:r>
      <w:r w:rsidR="00431D70" w:rsidRPr="00BA3A9A">
        <w:t xml:space="preserve"> paziņojum</w:t>
      </w:r>
      <w:r w:rsidR="00F705E7" w:rsidRPr="00BA3A9A">
        <w:t>s</w:t>
      </w:r>
      <w:r w:rsidR="00431D70" w:rsidRPr="00BA3A9A">
        <w:t xml:space="preserve">, ka no 2022.gada 21.oktobra </w:t>
      </w:r>
      <w:r w:rsidR="00F705E7" w:rsidRPr="00BA3A9A">
        <w:t>mājaslapā</w:t>
      </w:r>
      <w:r w:rsidR="00431D70" w:rsidRPr="00BA3A9A">
        <w:t xml:space="preserve"> </w:t>
      </w:r>
      <w:r w:rsidR="00431D70" w:rsidRPr="00BA3A9A">
        <w:rPr>
          <w:i/>
          <w:iCs/>
        </w:rPr>
        <w:t>www.jubilejas.lv</w:t>
      </w:r>
      <w:r w:rsidR="00431D70" w:rsidRPr="00BA3A9A">
        <w:t xml:space="preserve"> vai </w:t>
      </w:r>
      <w:r w:rsidR="00A45D5A" w:rsidRPr="00BA3A9A">
        <w:t>biroj</w:t>
      </w:r>
      <w:r w:rsidR="00431D70" w:rsidRPr="00BA3A9A">
        <w:t>ā A. Saharova ielā 3-1, Rīgā, var iepazīties ar tāmes kopsavilkumu un remontdarbu apkopojumu.</w:t>
      </w:r>
      <w:r w:rsidR="00431D70" w:rsidRPr="00BA3A9A">
        <w:rPr>
          <w:rFonts w:asciiTheme="majorBidi" w:hAnsiTheme="majorBidi" w:cstheme="majorBidi"/>
        </w:rPr>
        <w:t xml:space="preserve"> </w:t>
      </w:r>
    </w:p>
    <w:p w14:paraId="6DBFB09F" w14:textId="105F05D1" w:rsidR="00431D70" w:rsidRPr="00BA3A9A" w:rsidRDefault="0025089E" w:rsidP="00F705E7">
      <w:pPr>
        <w:spacing w:line="276" w:lineRule="auto"/>
        <w:ind w:right="-2" w:firstLine="709"/>
        <w:jc w:val="both"/>
        <w:rPr>
          <w:rFonts w:asciiTheme="majorBidi" w:hAnsiTheme="majorBidi" w:cstheme="majorBidi"/>
        </w:rPr>
      </w:pPr>
      <w:r>
        <w:t xml:space="preserve">[Pers. A] </w:t>
      </w:r>
      <w:r w:rsidR="00F705E7" w:rsidRPr="00BA3A9A">
        <w:t xml:space="preserve">pats </w:t>
      </w:r>
      <w:r w:rsidR="00431D70" w:rsidRPr="00BA3A9A">
        <w:t>prasībā norādījis, ka 2022.gada oktobrī ir saņēmis Obligāti veicamo dzīvojamās mājas uzturēšanas un pārvaldīšanas darbu plānoto ieņēmumu un izdevumu tāmi 2023.gadam.</w:t>
      </w:r>
    </w:p>
    <w:p w14:paraId="4A2A0E9E" w14:textId="14F84B00" w:rsidR="0003120B" w:rsidRPr="00BA3A9A" w:rsidRDefault="00431D70" w:rsidP="0025089E">
      <w:pPr>
        <w:spacing w:line="276" w:lineRule="auto"/>
        <w:ind w:right="-2" w:firstLine="709"/>
        <w:jc w:val="both"/>
      </w:pPr>
      <w:r w:rsidRPr="00BA3A9A">
        <w:t>[5.</w:t>
      </w:r>
      <w:r w:rsidR="00A27EC5" w:rsidRPr="00BA3A9A">
        <w:t>5</w:t>
      </w:r>
      <w:r w:rsidRPr="00BA3A9A">
        <w:t xml:space="preserve">] </w:t>
      </w:r>
      <w:r w:rsidR="0085165F" w:rsidRPr="00BA3A9A">
        <w:t xml:space="preserve">Dzīvojamās mājas </w:t>
      </w:r>
      <w:r w:rsidR="0025089E">
        <w:rPr>
          <w:rFonts w:asciiTheme="majorBidi" w:hAnsiTheme="majorBidi" w:cstheme="majorBidi"/>
          <w:bCs/>
        </w:rPr>
        <w:t>[adrese A]</w:t>
      </w:r>
      <w:r w:rsidR="0085165F" w:rsidRPr="00BA3A9A">
        <w:rPr>
          <w:rFonts w:asciiTheme="majorBidi" w:hAnsiTheme="majorBidi" w:cstheme="majorBidi"/>
          <w:bCs/>
        </w:rPr>
        <w:t xml:space="preserve">, </w:t>
      </w:r>
      <w:r w:rsidR="0085165F" w:rsidRPr="00BA3A9A">
        <w:t>d</w:t>
      </w:r>
      <w:r w:rsidR="0003120B" w:rsidRPr="00BA3A9A">
        <w:t xml:space="preserve">zīvokļu īpašnieku kopība, kurā ir arī </w:t>
      </w:r>
      <w:r w:rsidR="0025089E">
        <w:t>[pers. A]</w:t>
      </w:r>
      <w:r w:rsidR="0003120B" w:rsidRPr="00BA3A9A">
        <w:t>, nav izmantojusi savas</w:t>
      </w:r>
      <w:r w:rsidR="0085165F" w:rsidRPr="00BA3A9A">
        <w:t xml:space="preserve"> </w:t>
      </w:r>
      <w:r w:rsidR="0003120B" w:rsidRPr="00BA3A9A">
        <w:t>tiesības</w:t>
      </w:r>
      <w:r w:rsidR="0085165F" w:rsidRPr="00BA3A9A">
        <w:t xml:space="preserve"> un nav lēmusi </w:t>
      </w:r>
      <w:r w:rsidR="0003120B" w:rsidRPr="00BA3A9A">
        <w:t>par atšķirīgu</w:t>
      </w:r>
      <w:r w:rsidR="00A27EC5" w:rsidRPr="00BA3A9A">
        <w:t xml:space="preserve"> maksu</w:t>
      </w:r>
      <w:r w:rsidR="0003120B" w:rsidRPr="00BA3A9A">
        <w:t xml:space="preserve">, </w:t>
      </w:r>
      <w:r w:rsidR="00A27EC5" w:rsidRPr="00BA3A9A">
        <w:t>tostarp</w:t>
      </w:r>
      <w:r w:rsidR="0003120B" w:rsidRPr="00BA3A9A">
        <w:t xml:space="preserve"> par juridiskiem pakalpojumiem,</w:t>
      </w:r>
      <w:r w:rsidR="0085165F" w:rsidRPr="00BA3A9A">
        <w:t xml:space="preserve"> </w:t>
      </w:r>
      <w:r w:rsidR="00A27EC5" w:rsidRPr="00BA3A9A">
        <w:t xml:space="preserve">kā arī </w:t>
      </w:r>
      <w:r w:rsidR="0003120B" w:rsidRPr="00BA3A9A">
        <w:t>nav norādījusi priekšlikumus pārvaldīšanas darbīb</w:t>
      </w:r>
      <w:r w:rsidR="00A27EC5" w:rsidRPr="00BA3A9A">
        <w:t>u</w:t>
      </w:r>
      <w:r w:rsidR="0003120B" w:rsidRPr="00BA3A9A">
        <w:t xml:space="preserve"> nodrošināšanai (piemēram, cits pakalpojuma</w:t>
      </w:r>
      <w:r w:rsidR="0085165F" w:rsidRPr="00BA3A9A">
        <w:t xml:space="preserve"> </w:t>
      </w:r>
      <w:r w:rsidR="0003120B" w:rsidRPr="00BA3A9A">
        <w:t>sniedzējs, citas darba veikšanas metodes).</w:t>
      </w:r>
      <w:r w:rsidR="0085165F" w:rsidRPr="00BA3A9A">
        <w:t xml:space="preserve"> Tādējādi </w:t>
      </w:r>
      <w:r w:rsidR="0003120B" w:rsidRPr="00BA3A9A">
        <w:t>pārvaldni</w:t>
      </w:r>
      <w:r w:rsidR="0085165F" w:rsidRPr="00BA3A9A">
        <w:t>eces</w:t>
      </w:r>
      <w:r w:rsidR="0003120B" w:rsidRPr="00BA3A9A">
        <w:t xml:space="preserve"> sastādītais</w:t>
      </w:r>
      <w:r w:rsidR="0085165F" w:rsidRPr="00BA3A9A">
        <w:t xml:space="preserve"> </w:t>
      </w:r>
      <w:r w:rsidR="0003120B" w:rsidRPr="00BA3A9A">
        <w:t xml:space="preserve">uzturēšanas darbu plāns un aprēķinātie pārvaldīšanas maksājumi 2023.gadam atbilstoši </w:t>
      </w:r>
      <w:r w:rsidR="0085165F" w:rsidRPr="00BA3A9A">
        <w:t>Ministru kabineta</w:t>
      </w:r>
      <w:r w:rsidRPr="00BA3A9A">
        <w:t xml:space="preserve"> </w:t>
      </w:r>
      <w:r w:rsidRPr="00BA3A9A">
        <w:rPr>
          <w:rFonts w:asciiTheme="majorBidi" w:hAnsiTheme="majorBidi" w:cstheme="majorBidi"/>
        </w:rPr>
        <w:t>2017.gada 11.jūlija</w:t>
      </w:r>
      <w:r w:rsidR="0085165F" w:rsidRPr="00BA3A9A">
        <w:t xml:space="preserve"> noteikum</w:t>
      </w:r>
      <w:r w:rsidRPr="00BA3A9A">
        <w:t>u</w:t>
      </w:r>
      <w:r w:rsidR="0085165F" w:rsidRPr="00BA3A9A">
        <w:rPr>
          <w:rFonts w:asciiTheme="majorBidi" w:hAnsiTheme="majorBidi" w:cstheme="majorBidi"/>
        </w:rPr>
        <w:t xml:space="preserve"> Nr. 408</w:t>
      </w:r>
      <w:r w:rsidR="0085165F" w:rsidRPr="00BA3A9A">
        <w:t xml:space="preserve"> </w:t>
      </w:r>
      <w:r w:rsidR="0085165F" w:rsidRPr="00BA3A9A">
        <w:rPr>
          <w:rFonts w:asciiTheme="majorBidi" w:hAnsiTheme="majorBidi" w:cstheme="majorBidi"/>
        </w:rPr>
        <w:t xml:space="preserve">„Dzīvojamās mājas pārvaldīšanas un apsaimniekošanas maksas aprēķināšanas noteikumi” </w:t>
      </w:r>
      <w:r w:rsidR="0003120B" w:rsidRPr="00BA3A9A">
        <w:t>18.punktam stāj</w:t>
      </w:r>
      <w:r w:rsidR="00A27EC5" w:rsidRPr="00BA3A9A">
        <w:t>ās</w:t>
      </w:r>
      <w:r w:rsidR="0003120B" w:rsidRPr="00BA3A9A">
        <w:t xml:space="preserve"> spēkā 2023.gada 1.janvārī.</w:t>
      </w:r>
    </w:p>
    <w:p w14:paraId="1F12DF1A" w14:textId="24FC91A5" w:rsidR="00A27EC5" w:rsidRPr="00BA3A9A" w:rsidRDefault="00004E86" w:rsidP="00A27EC5">
      <w:pPr>
        <w:spacing w:line="276" w:lineRule="auto"/>
        <w:ind w:right="-2" w:firstLine="709"/>
        <w:jc w:val="both"/>
        <w:rPr>
          <w:rFonts w:asciiTheme="majorBidi" w:hAnsiTheme="majorBidi" w:cstheme="majorBidi"/>
        </w:rPr>
      </w:pPr>
      <w:r w:rsidRPr="00BA3A9A">
        <w:t>[5.</w:t>
      </w:r>
      <w:r w:rsidR="0029006F" w:rsidRPr="00BA3A9A">
        <w:t>6</w:t>
      </w:r>
      <w:r w:rsidRPr="00BA3A9A">
        <w:t>] </w:t>
      </w:r>
      <w:r w:rsidR="00431D70" w:rsidRPr="00BA3A9A">
        <w:t xml:space="preserve">Ievērojot minēto, </w:t>
      </w:r>
      <w:r w:rsidR="00431D70" w:rsidRPr="00BA3A9A">
        <w:rPr>
          <w:rFonts w:asciiTheme="majorBidi" w:hAnsiTheme="majorBidi" w:cstheme="majorBidi"/>
        </w:rPr>
        <w:t>n</w:t>
      </w:r>
      <w:r w:rsidR="00F03650" w:rsidRPr="00BA3A9A">
        <w:rPr>
          <w:rFonts w:asciiTheme="majorBidi" w:hAnsiTheme="majorBidi" w:cstheme="majorBidi"/>
        </w:rPr>
        <w:t>av</w:t>
      </w:r>
      <w:r w:rsidR="00061D10" w:rsidRPr="00BA3A9A">
        <w:rPr>
          <w:rFonts w:asciiTheme="majorBidi" w:hAnsiTheme="majorBidi" w:cstheme="majorBidi"/>
        </w:rPr>
        <w:t xml:space="preserve"> konstatējams </w:t>
      </w:r>
      <w:r w:rsidR="0025089E">
        <w:t xml:space="preserve">[pers. A] </w:t>
      </w:r>
      <w:r w:rsidR="00061D10" w:rsidRPr="00BA3A9A">
        <w:rPr>
          <w:rFonts w:asciiTheme="majorBidi" w:hAnsiTheme="majorBidi" w:cstheme="majorBidi"/>
        </w:rPr>
        <w:t xml:space="preserve">tiesību aizskārums, jo </w:t>
      </w:r>
      <w:r w:rsidR="00F03650" w:rsidRPr="00BA3A9A">
        <w:rPr>
          <w:rFonts w:asciiTheme="majorBidi" w:hAnsiTheme="majorBidi" w:cstheme="majorBidi"/>
        </w:rPr>
        <w:t xml:space="preserve">DzĪKS „Jubilejas” </w:t>
      </w:r>
      <w:r w:rsidR="00E7673F" w:rsidRPr="00BA3A9A">
        <w:rPr>
          <w:rFonts w:asciiTheme="majorBidi" w:hAnsiTheme="majorBidi" w:cstheme="majorBidi"/>
        </w:rPr>
        <w:t xml:space="preserve">ir </w:t>
      </w:r>
      <w:r w:rsidR="00061D10" w:rsidRPr="00BA3A9A">
        <w:rPr>
          <w:rFonts w:asciiTheme="majorBidi" w:hAnsiTheme="majorBidi" w:cstheme="majorBidi"/>
        </w:rPr>
        <w:t xml:space="preserve">informējusi </w:t>
      </w:r>
      <w:r w:rsidR="007816EE" w:rsidRPr="00BA3A9A">
        <w:t xml:space="preserve">dzīvojamās mājas </w:t>
      </w:r>
      <w:r w:rsidR="0025089E">
        <w:rPr>
          <w:rFonts w:asciiTheme="majorBidi" w:hAnsiTheme="majorBidi" w:cstheme="majorBidi"/>
          <w:bCs/>
        </w:rPr>
        <w:t>[adrese A]</w:t>
      </w:r>
      <w:r w:rsidR="007816EE" w:rsidRPr="00BA3A9A">
        <w:rPr>
          <w:rFonts w:asciiTheme="majorBidi" w:hAnsiTheme="majorBidi" w:cstheme="majorBidi"/>
          <w:bCs/>
        </w:rPr>
        <w:t>,</w:t>
      </w:r>
      <w:r w:rsidR="007816EE" w:rsidRPr="00BA3A9A">
        <w:rPr>
          <w:rFonts w:asciiTheme="majorBidi" w:hAnsiTheme="majorBidi" w:cstheme="majorBidi"/>
        </w:rPr>
        <w:t xml:space="preserve"> </w:t>
      </w:r>
      <w:r w:rsidR="00061D10" w:rsidRPr="00BA3A9A">
        <w:rPr>
          <w:rFonts w:asciiTheme="majorBidi" w:hAnsiTheme="majorBidi" w:cstheme="majorBidi"/>
        </w:rPr>
        <w:t>dzīvokļu īpašniekus par tāmē paredzētajām izmaksām un 2023.gada 29.augusta atbild</w:t>
      </w:r>
      <w:r w:rsidR="00F03650" w:rsidRPr="00BA3A9A">
        <w:rPr>
          <w:rFonts w:asciiTheme="majorBidi" w:hAnsiTheme="majorBidi" w:cstheme="majorBidi"/>
        </w:rPr>
        <w:t>ē</w:t>
      </w:r>
      <w:r w:rsidR="00061D10" w:rsidRPr="00BA3A9A">
        <w:rPr>
          <w:rFonts w:asciiTheme="majorBidi" w:hAnsiTheme="majorBidi" w:cstheme="majorBidi"/>
        </w:rPr>
        <w:t xml:space="preserve"> uz </w:t>
      </w:r>
      <w:r w:rsidR="0025089E">
        <w:rPr>
          <w:rFonts w:asciiTheme="majorBidi" w:hAnsiTheme="majorBidi" w:cstheme="majorBidi"/>
        </w:rPr>
        <w:t>[</w:t>
      </w:r>
      <w:r w:rsidR="0025089E">
        <w:t xml:space="preserve">pers. A] </w:t>
      </w:r>
      <w:r w:rsidR="00061D10" w:rsidRPr="00BA3A9A">
        <w:rPr>
          <w:rFonts w:asciiTheme="majorBidi" w:hAnsiTheme="majorBidi" w:cstheme="majorBidi"/>
        </w:rPr>
        <w:t>2023.gada 25.janvāra iesniegumu</w:t>
      </w:r>
      <w:r w:rsidR="00A27EC5" w:rsidRPr="00BA3A9A">
        <w:rPr>
          <w:rFonts w:asciiTheme="majorBidi" w:hAnsiTheme="majorBidi" w:cstheme="majorBidi"/>
        </w:rPr>
        <w:t xml:space="preserve"> izskaidrojusi, ka plānotie izdevumi 2023.gadam pozīcijā „Juridiskie pakalpojumi” noteikti, ņemot vērā 2022.gada un 2021.gada izdevumus, kas ietver izdevumus par juridisko pakalpojumu sniedzēja pakalpojumiem, parādu piedziņas izdevumus, valsts nodevas par tiesvedībām un piedziņas procesiem.</w:t>
      </w:r>
    </w:p>
    <w:p w14:paraId="0D3643D5" w14:textId="77777777" w:rsidR="00A27EC5" w:rsidRPr="00BA3A9A" w:rsidRDefault="00A27EC5" w:rsidP="00E7673F">
      <w:pPr>
        <w:spacing w:line="276" w:lineRule="auto"/>
        <w:ind w:firstLine="720"/>
        <w:jc w:val="both"/>
      </w:pPr>
    </w:p>
    <w:p w14:paraId="09311A92" w14:textId="234922EF" w:rsidR="00E7673F" w:rsidRPr="00BA3A9A" w:rsidRDefault="00E9059E" w:rsidP="00E7673F">
      <w:pPr>
        <w:spacing w:line="276" w:lineRule="auto"/>
        <w:ind w:firstLine="720"/>
        <w:jc w:val="both"/>
      </w:pPr>
      <w:r w:rsidRPr="00BA3A9A">
        <w:t xml:space="preserve">[6] Prasītājs </w:t>
      </w:r>
      <w:r w:rsidR="0025089E">
        <w:t xml:space="preserve">[pers. A] </w:t>
      </w:r>
      <w:r w:rsidRPr="00BA3A9A">
        <w:t>par minēto spriedumu iesniedza kasācijas sūdzību,</w:t>
      </w:r>
      <w:r w:rsidR="007427D5" w:rsidRPr="00BA3A9A">
        <w:t xml:space="preserve"> pārsūdzot </w:t>
      </w:r>
      <w:r w:rsidR="00EE0EB3" w:rsidRPr="00BA3A9A">
        <w:t>spriedumu</w:t>
      </w:r>
      <w:r w:rsidR="007427D5" w:rsidRPr="00BA3A9A">
        <w:t xml:space="preserve"> pilnā apjomā</w:t>
      </w:r>
      <w:r w:rsidR="00E7673F" w:rsidRPr="00BA3A9A">
        <w:t xml:space="preserve"> un </w:t>
      </w:r>
      <w:r w:rsidR="00A27EC5" w:rsidRPr="00BA3A9A">
        <w:t xml:space="preserve">norādot </w:t>
      </w:r>
      <w:r w:rsidR="00E7673F" w:rsidRPr="00BA3A9A">
        <w:t>šād</w:t>
      </w:r>
      <w:r w:rsidR="00A27EC5" w:rsidRPr="00BA3A9A">
        <w:t>us</w:t>
      </w:r>
      <w:r w:rsidR="00E7673F" w:rsidRPr="00BA3A9A">
        <w:t xml:space="preserve"> argument</w:t>
      </w:r>
      <w:r w:rsidR="00A27EC5" w:rsidRPr="00BA3A9A">
        <w:t>us</w:t>
      </w:r>
      <w:r w:rsidR="00E7673F" w:rsidRPr="00BA3A9A">
        <w:t>.</w:t>
      </w:r>
    </w:p>
    <w:p w14:paraId="4581B5F9" w14:textId="3A1EC29D" w:rsidR="00E7673F" w:rsidRPr="00BA3A9A" w:rsidRDefault="00E7673F" w:rsidP="00640DE5">
      <w:pPr>
        <w:spacing w:line="276" w:lineRule="auto"/>
        <w:ind w:firstLine="720"/>
        <w:jc w:val="both"/>
      </w:pPr>
      <w:r w:rsidRPr="00BA3A9A">
        <w:t>[6.1] Apelācijas instances</w:t>
      </w:r>
      <w:r w:rsidR="00061D10" w:rsidRPr="00BA3A9A">
        <w:t xml:space="preserve"> </w:t>
      </w:r>
      <w:r w:rsidR="00061D10" w:rsidRPr="00BA3A9A">
        <w:rPr>
          <w:rFonts w:asciiTheme="majorBidi" w:hAnsiTheme="majorBidi" w:cstheme="majorBidi"/>
          <w:bCs/>
        </w:rPr>
        <w:t xml:space="preserve">tiesa </w:t>
      </w:r>
      <w:r w:rsidR="00EE0EB3" w:rsidRPr="00BA3A9A">
        <w:rPr>
          <w:rFonts w:asciiTheme="majorBidi" w:hAnsiTheme="majorBidi" w:cstheme="majorBidi"/>
          <w:bCs/>
        </w:rPr>
        <w:t xml:space="preserve">ir piemērojusi neatbilstošas likuma normas. Tiesa ir </w:t>
      </w:r>
      <w:r w:rsidR="00061D10" w:rsidRPr="00BA3A9A">
        <w:rPr>
          <w:rFonts w:asciiTheme="majorBidi" w:hAnsiTheme="majorBidi" w:cstheme="majorBidi"/>
          <w:bCs/>
        </w:rPr>
        <w:t xml:space="preserve">kļūdaini </w:t>
      </w:r>
      <w:r w:rsidR="00C01DA3" w:rsidRPr="00BA3A9A">
        <w:rPr>
          <w:rFonts w:asciiTheme="majorBidi" w:hAnsiTheme="majorBidi" w:cstheme="majorBidi"/>
          <w:bCs/>
        </w:rPr>
        <w:t>iz</w:t>
      </w:r>
      <w:r w:rsidR="00061D10" w:rsidRPr="00BA3A9A">
        <w:rPr>
          <w:rFonts w:asciiTheme="majorBidi" w:hAnsiTheme="majorBidi" w:cstheme="majorBidi"/>
          <w:bCs/>
        </w:rPr>
        <w:t>tulkojusi Dzīvojamo māju pārvaldīšanas likuma 17.</w:t>
      </w:r>
      <w:r w:rsidR="00061D10" w:rsidRPr="00BA3A9A">
        <w:rPr>
          <w:rFonts w:asciiTheme="majorBidi" w:hAnsiTheme="majorBidi" w:cstheme="majorBidi"/>
          <w:bCs/>
          <w:vertAlign w:val="superscript"/>
        </w:rPr>
        <w:t>4</w:t>
      </w:r>
      <w:r w:rsidR="00061D10" w:rsidRPr="00BA3A9A">
        <w:rPr>
          <w:rFonts w:asciiTheme="majorBidi" w:hAnsiTheme="majorBidi" w:cstheme="majorBidi"/>
          <w:bCs/>
        </w:rPr>
        <w:t xml:space="preserve">pantu, jo </w:t>
      </w:r>
      <w:r w:rsidR="00EE0EB3" w:rsidRPr="00BA3A9A">
        <w:rPr>
          <w:rFonts w:asciiTheme="majorBidi" w:hAnsiTheme="majorBidi" w:cstheme="majorBidi"/>
          <w:bCs/>
        </w:rPr>
        <w:t xml:space="preserve">saskaņā ar to </w:t>
      </w:r>
      <w:r w:rsidR="00061D10" w:rsidRPr="00BA3A9A">
        <w:rPr>
          <w:rFonts w:asciiTheme="majorBidi" w:hAnsiTheme="majorBidi" w:cstheme="majorBidi"/>
          <w:bCs/>
        </w:rPr>
        <w:t>prasītājam kā dzīvokļa īpašniekam ir tiesības saņemt vispusīgu un pilnīgu informāciju par plānoto juridisko pakalpojumu cenām.</w:t>
      </w:r>
    </w:p>
    <w:p w14:paraId="2D6AEF57" w14:textId="036623CA" w:rsidR="00061D10" w:rsidRPr="00BA3A9A" w:rsidRDefault="00E7673F" w:rsidP="00640DE5">
      <w:pPr>
        <w:spacing w:line="276" w:lineRule="auto"/>
        <w:ind w:firstLine="720"/>
        <w:jc w:val="both"/>
      </w:pPr>
      <w:r w:rsidRPr="00BA3A9A">
        <w:t>[6.2] </w:t>
      </w:r>
      <w:r w:rsidR="00C01DA3" w:rsidRPr="00BA3A9A">
        <w:t xml:space="preserve">Prasītāja </w:t>
      </w:r>
      <w:r w:rsidR="00C01DA3" w:rsidRPr="00BA3A9A">
        <w:rPr>
          <w:rFonts w:asciiTheme="majorBidi" w:hAnsiTheme="majorBidi" w:cstheme="majorBidi"/>
        </w:rPr>
        <w:t>t</w:t>
      </w:r>
      <w:r w:rsidR="00061D10" w:rsidRPr="00BA3A9A">
        <w:rPr>
          <w:rFonts w:asciiTheme="majorBidi" w:hAnsiTheme="majorBidi" w:cstheme="majorBidi"/>
        </w:rPr>
        <w:t>iesības saņemt Dzīvojamo māju pārvaldīšanas likuma 17.</w:t>
      </w:r>
      <w:r w:rsidR="00061D10" w:rsidRPr="00BA3A9A">
        <w:rPr>
          <w:rFonts w:asciiTheme="majorBidi" w:hAnsiTheme="majorBidi" w:cstheme="majorBidi"/>
          <w:vertAlign w:val="superscript"/>
        </w:rPr>
        <w:t>4</w:t>
      </w:r>
      <w:r w:rsidR="00061D10" w:rsidRPr="00BA3A9A">
        <w:rPr>
          <w:rFonts w:asciiTheme="majorBidi" w:hAnsiTheme="majorBidi" w:cstheme="majorBidi"/>
        </w:rPr>
        <w:t>panta pirmajā daļā norādīto informāciju ir a</w:t>
      </w:r>
      <w:r w:rsidR="00A97127" w:rsidRPr="00BA3A9A">
        <w:rPr>
          <w:rFonts w:asciiTheme="majorBidi" w:hAnsiTheme="majorBidi" w:cstheme="majorBidi"/>
        </w:rPr>
        <w:t>pstiprinātas</w:t>
      </w:r>
      <w:r w:rsidR="00061D10" w:rsidRPr="00BA3A9A">
        <w:rPr>
          <w:rFonts w:asciiTheme="majorBidi" w:hAnsiTheme="majorBidi" w:cstheme="majorBidi"/>
        </w:rPr>
        <w:t xml:space="preserve"> ar Rīgas apgabaltiesas 2024.gada 27.novembra spriedumu</w:t>
      </w:r>
      <w:r w:rsidR="00A97127" w:rsidRPr="00BA3A9A">
        <w:rPr>
          <w:rFonts w:asciiTheme="majorBidi" w:hAnsiTheme="majorBidi" w:cstheme="majorBidi"/>
        </w:rPr>
        <w:t xml:space="preserve"> līdzīgā lietā Nr. CA-1003-24/8</w:t>
      </w:r>
      <w:r w:rsidR="00061D10" w:rsidRPr="00BA3A9A">
        <w:rPr>
          <w:rFonts w:asciiTheme="majorBidi" w:hAnsiTheme="majorBidi" w:cstheme="majorBidi"/>
        </w:rPr>
        <w:t xml:space="preserve">, </w:t>
      </w:r>
      <w:r w:rsidR="00A97127" w:rsidRPr="00BA3A9A">
        <w:rPr>
          <w:rFonts w:asciiTheme="majorBidi" w:hAnsiTheme="majorBidi" w:cstheme="majorBidi"/>
        </w:rPr>
        <w:t>kuru tiesa</w:t>
      </w:r>
      <w:r w:rsidR="00061D10" w:rsidRPr="00BA3A9A">
        <w:rPr>
          <w:rFonts w:asciiTheme="majorBidi" w:hAnsiTheme="majorBidi" w:cstheme="majorBidi"/>
        </w:rPr>
        <w:t xml:space="preserve">, izskatot </w:t>
      </w:r>
      <w:r w:rsidR="00A97127" w:rsidRPr="00BA3A9A">
        <w:rPr>
          <w:rFonts w:asciiTheme="majorBidi" w:hAnsiTheme="majorBidi" w:cstheme="majorBidi"/>
        </w:rPr>
        <w:t xml:space="preserve">konkrēto </w:t>
      </w:r>
      <w:r w:rsidR="00061D10" w:rsidRPr="00BA3A9A">
        <w:rPr>
          <w:rFonts w:asciiTheme="majorBidi" w:hAnsiTheme="majorBidi" w:cstheme="majorBidi"/>
        </w:rPr>
        <w:t>lietu, nav ņ</w:t>
      </w:r>
      <w:r w:rsidR="00A97127" w:rsidRPr="00BA3A9A">
        <w:rPr>
          <w:rFonts w:asciiTheme="majorBidi" w:hAnsiTheme="majorBidi" w:cstheme="majorBidi"/>
        </w:rPr>
        <w:t xml:space="preserve">ēmusi </w:t>
      </w:r>
      <w:r w:rsidR="00061D10" w:rsidRPr="00BA3A9A">
        <w:rPr>
          <w:rFonts w:asciiTheme="majorBidi" w:hAnsiTheme="majorBidi" w:cstheme="majorBidi"/>
        </w:rPr>
        <w:t>vērā.</w:t>
      </w:r>
    </w:p>
    <w:p w14:paraId="1D3E303F" w14:textId="77777777" w:rsidR="00E9059E" w:rsidRPr="00BA3A9A" w:rsidRDefault="00E9059E" w:rsidP="00640DE5">
      <w:pPr>
        <w:spacing w:line="276" w:lineRule="auto"/>
        <w:jc w:val="both"/>
        <w:rPr>
          <w:bCs/>
        </w:rPr>
      </w:pPr>
    </w:p>
    <w:p w14:paraId="75CD994E" w14:textId="1D3B6D18" w:rsidR="00E9059E" w:rsidRPr="00BA3A9A" w:rsidRDefault="00E9059E" w:rsidP="00640DE5">
      <w:pPr>
        <w:shd w:val="clear" w:color="auto" w:fill="FFFFFF"/>
        <w:spacing w:line="276" w:lineRule="auto"/>
        <w:ind w:firstLine="709"/>
        <w:jc w:val="both"/>
      </w:pPr>
      <w:r w:rsidRPr="00BA3A9A">
        <w:t xml:space="preserve">[7] Atbildētāja </w:t>
      </w:r>
      <w:r w:rsidR="005660FC" w:rsidRPr="00BA3A9A">
        <w:rPr>
          <w:rFonts w:asciiTheme="majorBidi" w:hAnsiTheme="majorBidi" w:cstheme="majorBidi"/>
          <w:bCs/>
        </w:rPr>
        <w:t>DzĪKS „Jubilejas”</w:t>
      </w:r>
      <w:r w:rsidR="00E1270E" w:rsidRPr="00BA3A9A">
        <w:t xml:space="preserve"> </w:t>
      </w:r>
      <w:r w:rsidRPr="00BA3A9A">
        <w:t>iesniedza rakstveida paskaidrojumus par kasācijas sūdzību, uzskatot to par nepamatotu.</w:t>
      </w:r>
    </w:p>
    <w:p w14:paraId="6B7F3CEB" w14:textId="77777777" w:rsidR="00E9059E" w:rsidRPr="00BA3A9A" w:rsidRDefault="00E9059E" w:rsidP="00640DE5">
      <w:pPr>
        <w:spacing w:line="276" w:lineRule="auto"/>
        <w:jc w:val="both"/>
      </w:pPr>
    </w:p>
    <w:p w14:paraId="0B50FFAE" w14:textId="77777777" w:rsidR="00E9059E" w:rsidRPr="00BA3A9A" w:rsidRDefault="00E9059E" w:rsidP="00640DE5">
      <w:pPr>
        <w:spacing w:line="276" w:lineRule="auto"/>
        <w:jc w:val="center"/>
        <w:rPr>
          <w:b/>
          <w:bCs/>
        </w:rPr>
      </w:pPr>
      <w:r w:rsidRPr="00BA3A9A">
        <w:rPr>
          <w:b/>
          <w:bCs/>
        </w:rPr>
        <w:t>Motīvu daļa</w:t>
      </w:r>
    </w:p>
    <w:p w14:paraId="3D6D76E0" w14:textId="77777777" w:rsidR="00E9059E" w:rsidRPr="00BA3A9A" w:rsidRDefault="00E9059E" w:rsidP="00640DE5">
      <w:pPr>
        <w:spacing w:line="276" w:lineRule="auto"/>
        <w:jc w:val="center"/>
        <w:rPr>
          <w:b/>
          <w:bCs/>
        </w:rPr>
      </w:pPr>
    </w:p>
    <w:p w14:paraId="727C44D1" w14:textId="7D97D57D" w:rsidR="00E9059E" w:rsidRPr="00BA3A9A" w:rsidRDefault="00E9059E" w:rsidP="00640DE5">
      <w:pPr>
        <w:shd w:val="clear" w:color="auto" w:fill="FFFFFF"/>
        <w:spacing w:line="276" w:lineRule="auto"/>
        <w:ind w:firstLine="709"/>
        <w:jc w:val="both"/>
      </w:pPr>
      <w:r w:rsidRPr="00BA3A9A">
        <w:t xml:space="preserve">[8] Pārbaudījis sprieduma likumību attiecībā uz argumentiem, kas minēti kasācijas sūdzībā, kā to nosaka Civilprocesa likuma 473.panta pirmā daļa, Senāts atzīst, ka apelācijas instances tiesas spriedums ir atceļams un lieta nododama jaunai izskatīšanai </w:t>
      </w:r>
      <w:r w:rsidR="00A8285D" w:rsidRPr="00BA3A9A">
        <w:t>Rīgas</w:t>
      </w:r>
      <w:r w:rsidRPr="00BA3A9A">
        <w:t xml:space="preserve"> apgabaltiesā.</w:t>
      </w:r>
    </w:p>
    <w:p w14:paraId="485C94D7" w14:textId="77777777" w:rsidR="003C0C96" w:rsidRPr="00BA3A9A" w:rsidRDefault="003C0C96" w:rsidP="00640DE5">
      <w:pPr>
        <w:shd w:val="clear" w:color="auto" w:fill="FFFFFF"/>
        <w:spacing w:line="276" w:lineRule="auto"/>
        <w:ind w:firstLine="709"/>
        <w:jc w:val="both"/>
      </w:pPr>
    </w:p>
    <w:p w14:paraId="654BB3A5" w14:textId="2D63B784" w:rsidR="003164D9" w:rsidRPr="00BA3A9A" w:rsidRDefault="003C0C96" w:rsidP="00640DE5">
      <w:pPr>
        <w:shd w:val="clear" w:color="auto" w:fill="FFFFFF"/>
        <w:spacing w:line="276" w:lineRule="auto"/>
        <w:ind w:firstLine="709"/>
        <w:jc w:val="both"/>
      </w:pPr>
      <w:r w:rsidRPr="00BA3A9A">
        <w:t>[9]</w:t>
      </w:r>
      <w:r w:rsidR="003164D9" w:rsidRPr="00BA3A9A">
        <w:t xml:space="preserve"> </w:t>
      </w:r>
      <w:r w:rsidR="00F71E90" w:rsidRPr="00BA3A9A">
        <w:t>Galvenais tiesību jautājums lietā ir par to</w:t>
      </w:r>
      <w:r w:rsidR="003164D9" w:rsidRPr="00BA3A9A">
        <w:t xml:space="preserve">, vai </w:t>
      </w:r>
      <w:r w:rsidR="0089593F" w:rsidRPr="00BA3A9A">
        <w:t>atsevišķ</w:t>
      </w:r>
      <w:r w:rsidR="003164D9" w:rsidRPr="00BA3A9A">
        <w:t>am dzīvokļa īpašniekam ir tiesības saņemt informāciju par pārvaldnieka nākamajam kalendāra</w:t>
      </w:r>
      <w:r w:rsidR="002A62DB">
        <w:t>jam</w:t>
      </w:r>
      <w:r w:rsidR="003164D9" w:rsidRPr="00BA3A9A">
        <w:t xml:space="preserve"> gadam sa</w:t>
      </w:r>
      <w:r w:rsidR="00DE04D8" w:rsidRPr="00BA3A9A">
        <w:t>gatavo</w:t>
      </w:r>
      <w:r w:rsidR="003164D9" w:rsidRPr="00BA3A9A">
        <w:t>tās dzīvojamās mājas pārvaldīšanas darbu tām</w:t>
      </w:r>
      <w:r w:rsidR="006B1746" w:rsidRPr="00BA3A9A">
        <w:t>es</w:t>
      </w:r>
      <w:r w:rsidR="003164D9" w:rsidRPr="00BA3A9A">
        <w:t xml:space="preserve"> pozīciju veidošanos</w:t>
      </w:r>
      <w:r w:rsidR="00030B4F" w:rsidRPr="00BA3A9A">
        <w:t xml:space="preserve">, proti, saņemt </w:t>
      </w:r>
      <w:r w:rsidR="00F83AA6" w:rsidRPr="00BA3A9A">
        <w:t xml:space="preserve">tāmē iekļautas konkrētas pozīcijas apmēra </w:t>
      </w:r>
      <w:r w:rsidR="00030B4F" w:rsidRPr="00BA3A9A">
        <w:t>pamatojumu.</w:t>
      </w:r>
    </w:p>
    <w:p w14:paraId="65D4E21C" w14:textId="77777777" w:rsidR="00EA0223" w:rsidRPr="00BA3A9A" w:rsidRDefault="00EA0223" w:rsidP="00640DE5">
      <w:pPr>
        <w:shd w:val="clear" w:color="auto" w:fill="FFFFFF"/>
        <w:spacing w:line="276" w:lineRule="auto"/>
        <w:ind w:firstLine="709"/>
        <w:jc w:val="both"/>
      </w:pPr>
    </w:p>
    <w:p w14:paraId="5366B3EC" w14:textId="1161851A" w:rsidR="00806179" w:rsidRPr="00BA3A9A" w:rsidRDefault="003164D9" w:rsidP="00640DE5">
      <w:pPr>
        <w:shd w:val="clear" w:color="auto" w:fill="FFFFFF"/>
        <w:spacing w:line="276" w:lineRule="auto"/>
        <w:ind w:firstLine="709"/>
        <w:jc w:val="both"/>
        <w:rPr>
          <w:rFonts w:asciiTheme="majorBidi" w:hAnsiTheme="majorBidi" w:cstheme="majorBidi"/>
          <w:bCs/>
        </w:rPr>
      </w:pPr>
      <w:r w:rsidRPr="00BA3A9A">
        <w:t>[1</w:t>
      </w:r>
      <w:r w:rsidR="00EA0223" w:rsidRPr="00BA3A9A">
        <w:t>0</w:t>
      </w:r>
      <w:r w:rsidRPr="00BA3A9A">
        <w:t xml:space="preserve">] </w:t>
      </w:r>
      <w:r w:rsidR="006A41BE" w:rsidRPr="00BA3A9A">
        <w:t xml:space="preserve">Prasītājs uzskata, ka viņam šādas tiesības </w:t>
      </w:r>
      <w:r w:rsidR="009F3DCF">
        <w:t>paredz</w:t>
      </w:r>
      <w:r w:rsidR="006A41BE" w:rsidRPr="00BA3A9A">
        <w:t xml:space="preserve"> </w:t>
      </w:r>
      <w:r w:rsidR="006A41BE" w:rsidRPr="00BA3A9A">
        <w:rPr>
          <w:rFonts w:asciiTheme="majorBidi" w:hAnsiTheme="majorBidi" w:cstheme="majorBidi"/>
          <w:bCs/>
        </w:rPr>
        <w:t>Dzīvojamo māju pārvaldīšanas likuma 17.</w:t>
      </w:r>
      <w:r w:rsidR="006A41BE" w:rsidRPr="00BA3A9A">
        <w:rPr>
          <w:rFonts w:asciiTheme="majorBidi" w:hAnsiTheme="majorBidi" w:cstheme="majorBidi"/>
          <w:bCs/>
          <w:vertAlign w:val="superscript"/>
        </w:rPr>
        <w:t>4</w:t>
      </w:r>
      <w:r w:rsidR="006A41BE" w:rsidRPr="00BA3A9A">
        <w:rPr>
          <w:rFonts w:asciiTheme="majorBidi" w:hAnsiTheme="majorBidi" w:cstheme="majorBidi"/>
          <w:bCs/>
        </w:rPr>
        <w:t>panta pirmā daļa.</w:t>
      </w:r>
      <w:r w:rsidR="00394271" w:rsidRPr="00BA3A9A">
        <w:rPr>
          <w:rFonts w:asciiTheme="majorBidi" w:hAnsiTheme="majorBidi" w:cstheme="majorBidi"/>
          <w:bCs/>
        </w:rPr>
        <w:t xml:space="preserve"> </w:t>
      </w:r>
      <w:r w:rsidR="00806179" w:rsidRPr="00BA3A9A">
        <w:rPr>
          <w:rFonts w:asciiTheme="majorBidi" w:hAnsiTheme="majorBidi" w:cstheme="majorBidi"/>
          <w:bCs/>
        </w:rPr>
        <w:t>Savukārt atbildētāja uzskata, ka pārvaldniekam saskaņā ar normatīvajiem aktiem vispār nav pienākuma sniegt dzīvokļa īpašniekam aprēķinus par nākamā gada tāmes pozīcijām un ka Dzīvojamo māju pārvaldīšanas likuma 17.</w:t>
      </w:r>
      <w:r w:rsidR="00806179" w:rsidRPr="00BA3A9A">
        <w:rPr>
          <w:rFonts w:asciiTheme="majorBidi" w:hAnsiTheme="majorBidi" w:cstheme="majorBidi"/>
          <w:bCs/>
          <w:vertAlign w:val="superscript"/>
        </w:rPr>
        <w:t>4</w:t>
      </w:r>
      <w:r w:rsidR="00806179" w:rsidRPr="00BA3A9A">
        <w:rPr>
          <w:rFonts w:asciiTheme="majorBidi" w:hAnsiTheme="majorBidi" w:cstheme="majorBidi"/>
          <w:bCs/>
        </w:rPr>
        <w:t>panta pirmā daļa attiecas uz komunālo pakalpojumu sniedzēju pakalpojumiem, nevis uz pārvaldnieka sniegtajiem pakalpojumiem.</w:t>
      </w:r>
    </w:p>
    <w:p w14:paraId="7D12B79E" w14:textId="477A66E5" w:rsidR="003A3E94" w:rsidRPr="00BA3A9A" w:rsidRDefault="00F71E90" w:rsidP="00640DE5">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w:t>
      </w:r>
      <w:r w:rsidR="00EA0223" w:rsidRPr="00BA3A9A">
        <w:rPr>
          <w:rFonts w:asciiTheme="majorBidi" w:hAnsiTheme="majorBidi" w:cstheme="majorBidi"/>
          <w:bCs/>
        </w:rPr>
        <w:t>10</w:t>
      </w:r>
      <w:r w:rsidRPr="00BA3A9A">
        <w:rPr>
          <w:rFonts w:asciiTheme="majorBidi" w:hAnsiTheme="majorBidi" w:cstheme="majorBidi"/>
          <w:bCs/>
        </w:rPr>
        <w:t>.</w:t>
      </w:r>
      <w:r w:rsidR="00EA0223" w:rsidRPr="00BA3A9A">
        <w:rPr>
          <w:rFonts w:asciiTheme="majorBidi" w:hAnsiTheme="majorBidi" w:cstheme="majorBidi"/>
          <w:bCs/>
        </w:rPr>
        <w:t>1</w:t>
      </w:r>
      <w:r w:rsidRPr="00BA3A9A">
        <w:rPr>
          <w:rFonts w:asciiTheme="majorBidi" w:hAnsiTheme="majorBidi" w:cstheme="majorBidi"/>
          <w:bCs/>
        </w:rPr>
        <w:t xml:space="preserve">] </w:t>
      </w:r>
      <w:r w:rsidR="00394271" w:rsidRPr="00BA3A9A">
        <w:rPr>
          <w:rFonts w:asciiTheme="majorBidi" w:hAnsiTheme="majorBidi" w:cstheme="majorBidi"/>
          <w:bCs/>
        </w:rPr>
        <w:t>Lai gan prasība pamatota ar šo tiesību normu</w:t>
      </w:r>
      <w:r w:rsidR="004611E7" w:rsidRPr="00BA3A9A">
        <w:rPr>
          <w:rFonts w:asciiTheme="majorBidi" w:hAnsiTheme="majorBidi" w:cstheme="majorBidi"/>
          <w:bCs/>
        </w:rPr>
        <w:t xml:space="preserve"> un pusēm ir strīds par t</w:t>
      </w:r>
      <w:r w:rsidRPr="00BA3A9A">
        <w:rPr>
          <w:rFonts w:asciiTheme="majorBidi" w:hAnsiTheme="majorBidi" w:cstheme="majorBidi"/>
          <w:bCs/>
        </w:rPr>
        <w:t>ās iztulkošanu un piemērošanu</w:t>
      </w:r>
      <w:r w:rsidR="00394271" w:rsidRPr="00BA3A9A">
        <w:rPr>
          <w:rFonts w:asciiTheme="majorBidi" w:hAnsiTheme="majorBidi" w:cstheme="majorBidi"/>
          <w:bCs/>
        </w:rPr>
        <w:t xml:space="preserve">, apgabaltiesa vispār nav pievērsusies nedz šīs tiesību normas analīzei, nedz arī pārbaudījusi, vai un kādas tiesību normas </w:t>
      </w:r>
      <w:r w:rsidR="007546CF" w:rsidRPr="00BA3A9A">
        <w:rPr>
          <w:rFonts w:asciiTheme="majorBidi" w:hAnsiTheme="majorBidi" w:cstheme="majorBidi"/>
          <w:bCs/>
        </w:rPr>
        <w:t xml:space="preserve">dzīvokļa īpašniekam </w:t>
      </w:r>
      <w:r w:rsidR="00394271" w:rsidRPr="00BA3A9A">
        <w:rPr>
          <w:rFonts w:asciiTheme="majorBidi" w:hAnsiTheme="majorBidi" w:cstheme="majorBidi"/>
          <w:bCs/>
        </w:rPr>
        <w:t xml:space="preserve">dod </w:t>
      </w:r>
      <w:r w:rsidR="007546CF" w:rsidRPr="00BA3A9A">
        <w:rPr>
          <w:rFonts w:asciiTheme="majorBidi" w:hAnsiTheme="majorBidi" w:cstheme="majorBidi"/>
          <w:bCs/>
        </w:rPr>
        <w:t>tiesības uz iepriekšminētās informācijas saņemšanu no dzīvojamās mājas pārvaldnieka.</w:t>
      </w:r>
      <w:r w:rsidR="00394271" w:rsidRPr="00BA3A9A">
        <w:rPr>
          <w:rFonts w:asciiTheme="majorBidi" w:hAnsiTheme="majorBidi" w:cstheme="majorBidi"/>
          <w:bCs/>
        </w:rPr>
        <w:t xml:space="preserve"> </w:t>
      </w:r>
    </w:p>
    <w:p w14:paraId="1E74D386" w14:textId="1025E61F" w:rsidR="000E7319" w:rsidRPr="00BA3A9A" w:rsidRDefault="00806179" w:rsidP="00640DE5">
      <w:pPr>
        <w:shd w:val="clear" w:color="auto" w:fill="FFFFFF"/>
        <w:spacing w:line="276" w:lineRule="auto"/>
        <w:ind w:firstLine="709"/>
        <w:jc w:val="both"/>
      </w:pPr>
      <w:r w:rsidRPr="00BA3A9A">
        <w:rPr>
          <w:rFonts w:asciiTheme="majorBidi" w:hAnsiTheme="majorBidi" w:cstheme="majorBidi"/>
          <w:bCs/>
        </w:rPr>
        <w:t xml:space="preserve">Tā vietā apgabaltiesa apsvērusi apstākļus, par kuriem pusēm nemaz nav strīda, piemēram, to, ka </w:t>
      </w:r>
      <w:r w:rsidR="0025089E">
        <w:t xml:space="preserve">[pers. A] </w:t>
      </w:r>
      <w:r w:rsidRPr="00BA3A9A">
        <w:t xml:space="preserve">2022.gada oktobrī ir saņēmis Obligāti veicamo dzīvojamās mājas uzturēšanas un pārvaldīšanas darbu plānoto ieņēmumu un izdevumu tāmi 2023.gadam </w:t>
      </w:r>
      <w:r w:rsidR="000E7319" w:rsidRPr="00BA3A9A">
        <w:t xml:space="preserve">un ka </w:t>
      </w:r>
      <w:r w:rsidRPr="00BA3A9A">
        <w:t>pārvaldnieces aprēķināt</w:t>
      </w:r>
      <w:r w:rsidR="000E7319" w:rsidRPr="00BA3A9A">
        <w:t xml:space="preserve">ā pārvaldīšanas maksa </w:t>
      </w:r>
      <w:r w:rsidRPr="00BA3A9A">
        <w:t>stājās spēkā 2023.gada 1.janvārī</w:t>
      </w:r>
      <w:r w:rsidR="000E7319" w:rsidRPr="00BA3A9A">
        <w:t>.</w:t>
      </w:r>
    </w:p>
    <w:p w14:paraId="63AA5C3E" w14:textId="6002D304" w:rsidR="00806179" w:rsidRPr="00BA3A9A" w:rsidRDefault="0025089E" w:rsidP="00640DE5">
      <w:pPr>
        <w:shd w:val="clear" w:color="auto" w:fill="FFFFFF"/>
        <w:spacing w:line="276" w:lineRule="auto"/>
        <w:ind w:firstLine="709"/>
        <w:jc w:val="both"/>
        <w:rPr>
          <w:rFonts w:asciiTheme="majorBidi" w:hAnsiTheme="majorBidi" w:cstheme="majorBidi"/>
          <w:bCs/>
        </w:rPr>
      </w:pPr>
      <w:r>
        <w:t xml:space="preserve">[Pers. A] </w:t>
      </w:r>
      <w:r w:rsidR="000E7319" w:rsidRPr="00BA3A9A">
        <w:t>šādus apstākļus neapstrīd, bet tiem nav sakara ar jautājumu, vai dzīvokļa īpašniekam ir tiesības saņemt pamatojumu tāmē ietvertajām pozīcijām.</w:t>
      </w:r>
      <w:r w:rsidR="00806179" w:rsidRPr="00BA3A9A">
        <w:rPr>
          <w:rFonts w:asciiTheme="majorBidi" w:hAnsiTheme="majorBidi" w:cstheme="majorBidi"/>
          <w:bCs/>
        </w:rPr>
        <w:t xml:space="preserve"> </w:t>
      </w:r>
    </w:p>
    <w:p w14:paraId="1C2F4F60" w14:textId="26D411FD" w:rsidR="0027511F" w:rsidRPr="00BA3A9A" w:rsidRDefault="00F71E90" w:rsidP="0027511F">
      <w:pPr>
        <w:spacing w:line="276" w:lineRule="auto"/>
        <w:ind w:firstLine="720"/>
        <w:jc w:val="both"/>
        <w:rPr>
          <w:rFonts w:asciiTheme="majorBidi" w:hAnsiTheme="majorBidi" w:cstheme="majorBidi"/>
        </w:rPr>
      </w:pPr>
      <w:r w:rsidRPr="00BA3A9A">
        <w:rPr>
          <w:rFonts w:asciiTheme="majorBidi" w:hAnsiTheme="majorBidi" w:cstheme="majorBidi"/>
        </w:rPr>
        <w:t>[</w:t>
      </w:r>
      <w:r w:rsidR="00EA0223" w:rsidRPr="00BA3A9A">
        <w:rPr>
          <w:rFonts w:asciiTheme="majorBidi" w:hAnsiTheme="majorBidi" w:cstheme="majorBidi"/>
        </w:rPr>
        <w:t>10</w:t>
      </w:r>
      <w:r w:rsidR="009B510D" w:rsidRPr="00BA3A9A">
        <w:rPr>
          <w:rFonts w:asciiTheme="majorBidi" w:hAnsiTheme="majorBidi" w:cstheme="majorBidi"/>
        </w:rPr>
        <w:t>.2</w:t>
      </w:r>
      <w:r w:rsidRPr="00BA3A9A">
        <w:rPr>
          <w:rFonts w:asciiTheme="majorBidi" w:hAnsiTheme="majorBidi" w:cstheme="majorBidi"/>
        </w:rPr>
        <w:t>] Civilprocesa likuma 189.panta trešā daļa noteic, ka spriedumam jābūt likumīgam un pamatotam. Proti, taisot spriedumu, tiesa to pamato ar materiālo un procesuālo tiesību normām (190.panta pirmā daļa), kā arī ar apstākļiem, kas nodibināti ar pierādījumiem lietā (190.panta otrā daļa).</w:t>
      </w:r>
    </w:p>
    <w:p w14:paraId="509648A5" w14:textId="77777777" w:rsidR="000E6DE8" w:rsidRPr="00BA3A9A" w:rsidRDefault="0027511F" w:rsidP="000E6DE8">
      <w:pPr>
        <w:spacing w:line="276" w:lineRule="auto"/>
        <w:ind w:firstLine="720"/>
        <w:jc w:val="both"/>
        <w:rPr>
          <w:rFonts w:asciiTheme="majorBidi" w:hAnsiTheme="majorBidi" w:cstheme="majorBidi"/>
        </w:rPr>
      </w:pPr>
      <w:r w:rsidRPr="00BA3A9A">
        <w:rPr>
          <w:rFonts w:asciiTheme="majorBidi" w:hAnsiTheme="majorBidi" w:cstheme="majorBidi"/>
        </w:rPr>
        <w:t>Civilprocesa likuma 193.panta piektā daļa paredz, ka tiesa sprieduma motīvu daļā citastarp norāda tiesas piemērotos normatīvos aktus un konstatēto lietas apstākļu juridisko novērtējumu.</w:t>
      </w:r>
    </w:p>
    <w:p w14:paraId="069A8FBB" w14:textId="77A358E5" w:rsidR="000E6DE8" w:rsidRPr="00BA3A9A" w:rsidRDefault="000E6DE8" w:rsidP="000E6DE8">
      <w:pPr>
        <w:spacing w:line="276" w:lineRule="auto"/>
        <w:ind w:firstLine="720"/>
        <w:jc w:val="both"/>
        <w:rPr>
          <w:rFonts w:asciiTheme="majorBidi" w:hAnsiTheme="majorBidi" w:cstheme="majorBidi"/>
        </w:rPr>
      </w:pPr>
      <w:r w:rsidRPr="00BA3A9A">
        <w:rPr>
          <w:rFonts w:asciiTheme="majorBidi" w:hAnsiTheme="majorBidi" w:cstheme="majorBidi"/>
        </w:rPr>
        <w:t>Turklāt tiesai ir pienākums spriedumā analizēt lietas dalībnieku</w:t>
      </w:r>
      <w:r w:rsidRPr="00BA3A9A">
        <w:rPr>
          <w:rFonts w:asciiTheme="majorBidi" w:hAnsiTheme="majorBidi" w:cstheme="majorBidi"/>
          <w14:ligatures w14:val="standardContextual"/>
        </w:rPr>
        <w:t xml:space="preserve"> argumentus, jo tas nodrošina lietas dalībnieku tiesības uz taisnīgu tiesu, kas ietver arī tiesības būt uzklausītam.</w:t>
      </w:r>
      <w:r w:rsidRPr="00BA3A9A">
        <w:rPr>
          <w:rFonts w:asciiTheme="majorBidi" w:hAnsiTheme="majorBidi" w:cstheme="majorBidi"/>
          <w:bCs/>
        </w:rPr>
        <w:t xml:space="preserve"> Tiesības tikt uzklausītam ir uzskatāmas par efektīvām tikai tādā gadījumā, ja persona tiek faktiski uzklausīta, proti, tās apsvērumi tiek pienācīgi izvērtēti. Tāpēc iepretim lietas dalībnieku tiesībām sniegt paskaidrojumus, izvirzīt argumentus un iebildumus ir tiesas pienākums atbildēt uz lietas dalībnieku teikto.</w:t>
      </w:r>
      <w:r w:rsidRPr="00BA3A9A">
        <w:rPr>
          <w:rFonts w:asciiTheme="majorBidi" w:hAnsiTheme="majorBidi" w:cstheme="majorBidi"/>
          <w14:ligatures w14:val="standardContextual"/>
        </w:rPr>
        <w:t xml:space="preserve"> Tiesai nav pienākuma sniegt detalizētu atbildi uz katru procesa dalībnieku argumentu, jo tiesai jāatbild tikai uz tādiem argumentiem, kas attiecas uz lietu un ir nozīmīgi, tomēr, ja tiesa argumentu atzīst par nebūtisku, tiesai tas jāpamato</w:t>
      </w:r>
      <w:r w:rsidRPr="00BA3A9A">
        <w:rPr>
          <w:rFonts w:asciiTheme="majorBidi" w:hAnsiTheme="majorBidi" w:cstheme="majorBidi"/>
          <w:bCs/>
        </w:rPr>
        <w:t xml:space="preserve"> (sk. </w:t>
      </w:r>
      <w:r w:rsidRPr="00BA3A9A">
        <w:rPr>
          <w:rFonts w:asciiTheme="majorBidi" w:hAnsiTheme="majorBidi" w:cstheme="majorBidi"/>
          <w:bCs/>
          <w:i/>
          <w:iCs/>
        </w:rPr>
        <w:t>Senāta 2025.gada 1.aprīļa sprieduma lietā Nr. SKA-121/2025,</w:t>
      </w:r>
      <w:r w:rsidRPr="00BA3A9A">
        <w:rPr>
          <w:rFonts w:asciiTheme="majorBidi" w:hAnsiTheme="majorBidi" w:cstheme="majorBidi"/>
          <w:i/>
          <w:iCs/>
        </w:rPr>
        <w:t xml:space="preserve"> ECLI:LV:AT:2025:0401.A420117821.24.S,</w:t>
      </w:r>
      <w:r w:rsidRPr="00BA3A9A">
        <w:rPr>
          <w:rFonts w:asciiTheme="majorBidi" w:hAnsiTheme="majorBidi" w:cstheme="majorBidi"/>
          <w:bCs/>
          <w:i/>
          <w:iCs/>
        </w:rPr>
        <w:t xml:space="preserve"> 6.punktu un tajā minēto Eiropas Cilvēktiesību tiesas judikatūru, Senāta 2025.gada 13.maija sprieduma lietā Nr. SKC-2/2025, </w:t>
      </w:r>
      <w:r w:rsidRPr="00BA3A9A">
        <w:rPr>
          <w:rFonts w:asciiTheme="majorBidi" w:hAnsiTheme="majorBidi" w:cstheme="majorBidi"/>
          <w:i/>
          <w:iCs/>
        </w:rPr>
        <w:t>ECLI:LV:AT:2025:0513.C30575718.22.S</w:t>
      </w:r>
      <w:r w:rsidRPr="00BA3A9A">
        <w:rPr>
          <w:rFonts w:asciiTheme="majorBidi" w:hAnsiTheme="majorBidi" w:cstheme="majorBidi"/>
          <w:bCs/>
          <w:i/>
          <w:iCs/>
        </w:rPr>
        <w:t>, 18.1.punktu</w:t>
      </w:r>
      <w:r w:rsidRPr="00BA3A9A">
        <w:rPr>
          <w:rFonts w:asciiTheme="majorBidi" w:hAnsiTheme="majorBidi" w:cstheme="majorBidi"/>
          <w:bCs/>
        </w:rPr>
        <w:t>).</w:t>
      </w:r>
    </w:p>
    <w:p w14:paraId="157C17E0" w14:textId="090E688B" w:rsidR="000E6DE8" w:rsidRPr="00BA3A9A" w:rsidRDefault="000E6DE8" w:rsidP="000E6DE8">
      <w:pPr>
        <w:spacing w:line="276" w:lineRule="auto"/>
        <w:ind w:firstLine="720"/>
        <w:jc w:val="both"/>
        <w:rPr>
          <w:rFonts w:asciiTheme="majorBidi" w:hAnsiTheme="majorBidi" w:cstheme="majorBidi"/>
        </w:rPr>
      </w:pPr>
      <w:r w:rsidRPr="00BA3A9A">
        <w:rPr>
          <w:rFonts w:asciiTheme="majorBidi" w:hAnsiTheme="majorBidi" w:cstheme="majorBidi"/>
        </w:rPr>
        <w:t>[</w:t>
      </w:r>
      <w:r w:rsidR="00EA0223" w:rsidRPr="00BA3A9A">
        <w:rPr>
          <w:rFonts w:asciiTheme="majorBidi" w:hAnsiTheme="majorBidi" w:cstheme="majorBidi"/>
        </w:rPr>
        <w:t>10</w:t>
      </w:r>
      <w:r w:rsidRPr="00BA3A9A">
        <w:rPr>
          <w:rFonts w:asciiTheme="majorBidi" w:hAnsiTheme="majorBidi" w:cstheme="majorBidi"/>
        </w:rPr>
        <w:t>.</w:t>
      </w:r>
      <w:r w:rsidR="00EA0223" w:rsidRPr="00BA3A9A">
        <w:rPr>
          <w:rFonts w:asciiTheme="majorBidi" w:hAnsiTheme="majorBidi" w:cstheme="majorBidi"/>
        </w:rPr>
        <w:t>3</w:t>
      </w:r>
      <w:r w:rsidRPr="00BA3A9A">
        <w:rPr>
          <w:rFonts w:asciiTheme="majorBidi" w:hAnsiTheme="majorBidi" w:cstheme="majorBidi"/>
        </w:rPr>
        <w:t>] Ievērojot minēto, spriedums taisīts, pārkāpjot Civilprocesa likuma 189.panta trešās daļas un 190.panta prasības par sprieduma pamatotību un 193.panta piektās daļas prasības par sprieduma motīvu daļas saturu.</w:t>
      </w:r>
    </w:p>
    <w:p w14:paraId="36895F52" w14:textId="77777777" w:rsidR="000E6DE8" w:rsidRPr="00BA3A9A" w:rsidRDefault="000E6DE8" w:rsidP="000E6DE8">
      <w:pPr>
        <w:spacing w:line="276" w:lineRule="auto"/>
        <w:ind w:firstLine="720"/>
        <w:jc w:val="both"/>
        <w:rPr>
          <w:rFonts w:asciiTheme="majorBidi" w:hAnsiTheme="majorBidi" w:cstheme="majorBidi"/>
        </w:rPr>
      </w:pPr>
    </w:p>
    <w:p w14:paraId="70B8E343" w14:textId="350DD6DE" w:rsidR="00EA0223" w:rsidRPr="00BA3A9A" w:rsidRDefault="00D53CB5" w:rsidP="00640DE5">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lastRenderedPageBreak/>
        <w:t>[</w:t>
      </w:r>
      <w:r w:rsidR="00EA0223" w:rsidRPr="00BA3A9A">
        <w:rPr>
          <w:rFonts w:asciiTheme="majorBidi" w:hAnsiTheme="majorBidi" w:cstheme="majorBidi"/>
          <w:bCs/>
        </w:rPr>
        <w:t>11</w:t>
      </w:r>
      <w:r w:rsidRPr="00BA3A9A">
        <w:rPr>
          <w:rFonts w:asciiTheme="majorBidi" w:hAnsiTheme="majorBidi" w:cstheme="majorBidi"/>
          <w:bCs/>
        </w:rPr>
        <w:t xml:space="preserve">] </w:t>
      </w:r>
      <w:r w:rsidR="00D31C8A" w:rsidRPr="00BA3A9A">
        <w:rPr>
          <w:rFonts w:asciiTheme="majorBidi" w:hAnsiTheme="majorBidi" w:cstheme="majorBidi"/>
          <w:bCs/>
        </w:rPr>
        <w:t xml:space="preserve">Analizējot jautājumu par </w:t>
      </w:r>
      <w:r w:rsidR="000B5AC1" w:rsidRPr="00BA3A9A">
        <w:rPr>
          <w:rFonts w:asciiTheme="majorBidi" w:hAnsiTheme="majorBidi" w:cstheme="majorBidi"/>
          <w:bCs/>
        </w:rPr>
        <w:t>lietā piemērojamām tiesību normām</w:t>
      </w:r>
      <w:r w:rsidR="00D31C8A" w:rsidRPr="00BA3A9A">
        <w:rPr>
          <w:rFonts w:asciiTheme="majorBidi" w:hAnsiTheme="majorBidi" w:cstheme="majorBidi"/>
          <w:bCs/>
        </w:rPr>
        <w:t>,</w:t>
      </w:r>
      <w:r w:rsidR="000B5AC1" w:rsidRPr="00BA3A9A">
        <w:rPr>
          <w:rFonts w:asciiTheme="majorBidi" w:hAnsiTheme="majorBidi" w:cstheme="majorBidi"/>
          <w:bCs/>
        </w:rPr>
        <w:t xml:space="preserve"> Senāts </w:t>
      </w:r>
      <w:r w:rsidR="00D31C8A" w:rsidRPr="00BA3A9A">
        <w:rPr>
          <w:rFonts w:asciiTheme="majorBidi" w:hAnsiTheme="majorBidi" w:cstheme="majorBidi"/>
          <w:bCs/>
        </w:rPr>
        <w:t>vispirms atbildēs uz kasācijas sūdzības argumentu par Dzīvojamo māju pārvaldīšanas likuma 17.</w:t>
      </w:r>
      <w:r w:rsidR="00D31C8A" w:rsidRPr="00BA3A9A">
        <w:rPr>
          <w:rFonts w:asciiTheme="majorBidi" w:hAnsiTheme="majorBidi" w:cstheme="majorBidi"/>
          <w:bCs/>
          <w:vertAlign w:val="superscript"/>
        </w:rPr>
        <w:t>4</w:t>
      </w:r>
      <w:r w:rsidR="00D31C8A" w:rsidRPr="00BA3A9A">
        <w:rPr>
          <w:rFonts w:asciiTheme="majorBidi" w:hAnsiTheme="majorBidi" w:cstheme="majorBidi"/>
          <w:bCs/>
        </w:rPr>
        <w:t>panta pirmās daļas piemērojamību konkrētās lietas apstākļiem</w:t>
      </w:r>
      <w:r w:rsidR="000B5AC1" w:rsidRPr="00BA3A9A">
        <w:rPr>
          <w:rFonts w:asciiTheme="majorBidi" w:hAnsiTheme="majorBidi" w:cstheme="majorBidi"/>
          <w:bCs/>
        </w:rPr>
        <w:t>.</w:t>
      </w:r>
    </w:p>
    <w:p w14:paraId="78EFAA74" w14:textId="71D8716D" w:rsidR="001D2AF6" w:rsidRPr="00BA3A9A" w:rsidRDefault="00EA0223" w:rsidP="001D2AF6">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 xml:space="preserve">[11.1] </w:t>
      </w:r>
      <w:r w:rsidR="00E10F0E" w:rsidRPr="00BA3A9A">
        <w:rPr>
          <w:rFonts w:asciiTheme="majorBidi" w:hAnsiTheme="majorBidi" w:cstheme="majorBidi"/>
          <w:bCs/>
        </w:rPr>
        <w:t>Dzīvojamo māju pārvaldīšanas likuma 17.</w:t>
      </w:r>
      <w:r w:rsidR="00E10F0E" w:rsidRPr="00BA3A9A">
        <w:rPr>
          <w:rFonts w:asciiTheme="majorBidi" w:hAnsiTheme="majorBidi" w:cstheme="majorBidi"/>
          <w:bCs/>
          <w:vertAlign w:val="superscript"/>
        </w:rPr>
        <w:t>4</w:t>
      </w:r>
      <w:r w:rsidR="00E10F0E" w:rsidRPr="00BA3A9A">
        <w:rPr>
          <w:rFonts w:asciiTheme="majorBidi" w:hAnsiTheme="majorBidi" w:cstheme="majorBidi"/>
          <w:bCs/>
        </w:rPr>
        <w:t>panta pirmā daļa noteic</w:t>
      </w:r>
      <w:r w:rsidR="001D2AF6" w:rsidRPr="00BA3A9A">
        <w:rPr>
          <w:rFonts w:asciiTheme="majorBidi" w:hAnsiTheme="majorBidi" w:cstheme="majorBidi"/>
          <w:bCs/>
        </w:rPr>
        <w:t>, ka pakalpojuma sniedzēja pienākums ir veikt ekonomiski pamatotus aprēķinus un nodrošināt dzīvojamās mājas īpašniekam iespēju saņemt vispusīgu un pilnīgu informāciju par tā piedāvāto pakalpojumu cenu.</w:t>
      </w:r>
    </w:p>
    <w:p w14:paraId="4B54996C" w14:textId="0656913E" w:rsidR="00FC1673" w:rsidRPr="00BA3A9A" w:rsidRDefault="00D53CB5" w:rsidP="00FC1673">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Senāts atzīst, ka</w:t>
      </w:r>
      <w:r w:rsidR="0089593F" w:rsidRPr="00BA3A9A">
        <w:rPr>
          <w:rFonts w:asciiTheme="majorBidi" w:hAnsiTheme="majorBidi" w:cstheme="majorBidi"/>
          <w:bCs/>
        </w:rPr>
        <w:t xml:space="preserve"> </w:t>
      </w:r>
      <w:r w:rsidR="00E10F0E" w:rsidRPr="00BA3A9A">
        <w:rPr>
          <w:rFonts w:asciiTheme="majorBidi" w:hAnsiTheme="majorBidi" w:cstheme="majorBidi"/>
          <w:bCs/>
        </w:rPr>
        <w:t xml:space="preserve">šī tiesību </w:t>
      </w:r>
      <w:r w:rsidRPr="00BA3A9A">
        <w:rPr>
          <w:rFonts w:asciiTheme="majorBidi" w:hAnsiTheme="majorBidi" w:cstheme="majorBidi"/>
          <w:bCs/>
        </w:rPr>
        <w:t>norma uz lietas apstākļiem nav attiecināma</w:t>
      </w:r>
      <w:r w:rsidR="00E10F0E" w:rsidRPr="00BA3A9A">
        <w:rPr>
          <w:rFonts w:asciiTheme="majorBidi" w:hAnsiTheme="majorBidi" w:cstheme="majorBidi"/>
          <w:bCs/>
        </w:rPr>
        <w:t>, jo</w:t>
      </w:r>
      <w:r w:rsidR="0089593F" w:rsidRPr="00BA3A9A">
        <w:rPr>
          <w:rFonts w:asciiTheme="majorBidi" w:hAnsiTheme="majorBidi" w:cstheme="majorBidi"/>
          <w:bCs/>
        </w:rPr>
        <w:t xml:space="preserve">, kā to pareizi norādījusi atbildētāja, </w:t>
      </w:r>
      <w:r w:rsidR="00E10F0E" w:rsidRPr="00BA3A9A">
        <w:rPr>
          <w:rFonts w:asciiTheme="majorBidi" w:hAnsiTheme="majorBidi" w:cstheme="majorBidi"/>
          <w:bCs/>
        </w:rPr>
        <w:t>tā reglamentē komunālo pakalpojumu sniedzēju informācijas sniegšanas pienākumu, nevis dzīvojamās mājas pārvaldnieka pienākumu</w:t>
      </w:r>
      <w:r w:rsidR="00FC1673" w:rsidRPr="00BA3A9A">
        <w:rPr>
          <w:rFonts w:asciiTheme="majorBidi" w:hAnsiTheme="majorBidi" w:cstheme="majorBidi"/>
          <w:bCs/>
        </w:rPr>
        <w:t xml:space="preserve"> sniegt informāciju par jautājumiem, kas attiecas uz pārvaldīšanas uzdevumu. </w:t>
      </w:r>
    </w:p>
    <w:p w14:paraId="268BF597" w14:textId="7054169E" w:rsidR="00966C0C" w:rsidRPr="00BA3A9A" w:rsidRDefault="00D31C8A" w:rsidP="00FC1673">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 xml:space="preserve">[11.2] </w:t>
      </w:r>
      <w:r w:rsidR="00FC1673" w:rsidRPr="00BA3A9A">
        <w:rPr>
          <w:rFonts w:asciiTheme="majorBidi" w:hAnsiTheme="majorBidi" w:cstheme="majorBidi"/>
          <w:bCs/>
        </w:rPr>
        <w:t>K</w:t>
      </w:r>
      <w:r w:rsidR="00966C0C" w:rsidRPr="00BA3A9A">
        <w:rPr>
          <w:rFonts w:asciiTheme="majorBidi" w:hAnsiTheme="majorBidi" w:cstheme="majorBidi"/>
          <w:bCs/>
        </w:rPr>
        <w:t>onkrētā tiesību norma ir jāiztulko sistēmiski ar citām Dzīvojamo māju pārvaldīšanas likuma normām</w:t>
      </w:r>
      <w:r w:rsidR="00D53CB5" w:rsidRPr="00BA3A9A">
        <w:rPr>
          <w:rFonts w:asciiTheme="majorBidi" w:hAnsiTheme="majorBidi" w:cstheme="majorBidi"/>
          <w:bCs/>
        </w:rPr>
        <w:t>.</w:t>
      </w:r>
      <w:r w:rsidR="00966C0C" w:rsidRPr="00BA3A9A">
        <w:rPr>
          <w:rFonts w:asciiTheme="majorBidi" w:hAnsiTheme="majorBidi" w:cstheme="majorBidi"/>
          <w:bCs/>
        </w:rPr>
        <w:t xml:space="preserve"> </w:t>
      </w:r>
    </w:p>
    <w:p w14:paraId="771CC40E" w14:textId="77777777" w:rsidR="00342459" w:rsidRPr="00BA3A9A" w:rsidRDefault="00966C0C" w:rsidP="00966C0C">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 xml:space="preserve">Atbilstoši Dzīvojamo māju pārvaldīšanas likuma 6.panta otrās daļas 1.punkta „b” apakšpunktam turpmāk šajā likumā ar terminu „dzīvojamās mājas uzturēšanai nepieciešamais pakalpojums” tiek apzīmēta siltumenerģijas, arī dabasgāzes, piegāde, ūdensapgādes un kanalizācijas pakalpojumu nodrošināšana, sadzīves atkritumu izvešana, </w:t>
      </w:r>
      <w:r w:rsidR="00EB5ED7" w:rsidRPr="00BA3A9A">
        <w:rPr>
          <w:rFonts w:asciiTheme="majorBidi" w:hAnsiTheme="majorBidi" w:cstheme="majorBidi"/>
          <w:bCs/>
        </w:rPr>
        <w:t xml:space="preserve">kas tiek nodrošināta, </w:t>
      </w:r>
      <w:r w:rsidRPr="00BA3A9A">
        <w:rPr>
          <w:rFonts w:asciiTheme="majorBidi" w:hAnsiTheme="majorBidi" w:cstheme="majorBidi"/>
          <w:bCs/>
        </w:rPr>
        <w:t>slēdzot attiecīgu līgumu ar pakalpojuma sniedzēju.</w:t>
      </w:r>
      <w:r w:rsidR="004B7CC0" w:rsidRPr="00BA3A9A">
        <w:rPr>
          <w:rFonts w:asciiTheme="majorBidi" w:hAnsiTheme="majorBidi" w:cstheme="majorBidi"/>
          <w:bCs/>
        </w:rPr>
        <w:t xml:space="preserve"> </w:t>
      </w:r>
    </w:p>
    <w:p w14:paraId="25B90A8E" w14:textId="159F36EB" w:rsidR="00D53CB5" w:rsidRPr="00BA3A9A" w:rsidRDefault="004B7CC0" w:rsidP="00966C0C">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 xml:space="preserve">Citiem vārdiem, </w:t>
      </w:r>
      <w:r w:rsidR="00FC1673" w:rsidRPr="00BA3A9A">
        <w:rPr>
          <w:rFonts w:asciiTheme="majorBidi" w:hAnsiTheme="majorBidi" w:cstheme="majorBidi"/>
          <w:bCs/>
        </w:rPr>
        <w:t xml:space="preserve">ar </w:t>
      </w:r>
      <w:r w:rsidRPr="00BA3A9A">
        <w:rPr>
          <w:rFonts w:asciiTheme="majorBidi" w:hAnsiTheme="majorBidi" w:cstheme="majorBidi"/>
          <w:bCs/>
        </w:rPr>
        <w:t>dzīvojamās mājas uzturēšanai nepieciešamie</w:t>
      </w:r>
      <w:r w:rsidR="0089593F" w:rsidRPr="00BA3A9A">
        <w:rPr>
          <w:rFonts w:asciiTheme="majorBidi" w:hAnsiTheme="majorBidi" w:cstheme="majorBidi"/>
          <w:bCs/>
        </w:rPr>
        <w:t>m</w:t>
      </w:r>
      <w:r w:rsidRPr="00BA3A9A">
        <w:rPr>
          <w:rFonts w:asciiTheme="majorBidi" w:hAnsiTheme="majorBidi" w:cstheme="majorBidi"/>
          <w:bCs/>
        </w:rPr>
        <w:t xml:space="preserve"> pakalpojumiem </w:t>
      </w:r>
      <w:r w:rsidR="005D43A9" w:rsidRPr="00BA3A9A">
        <w:rPr>
          <w:rFonts w:asciiTheme="majorBidi" w:hAnsiTheme="majorBidi" w:cstheme="majorBidi"/>
          <w:bCs/>
        </w:rPr>
        <w:t xml:space="preserve">iepriekšminētā likuma izpratnē </w:t>
      </w:r>
      <w:r w:rsidRPr="00BA3A9A">
        <w:rPr>
          <w:rFonts w:asciiTheme="majorBidi" w:hAnsiTheme="majorBidi" w:cstheme="majorBidi"/>
          <w:bCs/>
        </w:rPr>
        <w:t>tiek saprasti t. s. komunālie pakalpojumi</w:t>
      </w:r>
      <w:r w:rsidR="005D43A9" w:rsidRPr="00BA3A9A">
        <w:rPr>
          <w:rFonts w:asciiTheme="majorBidi" w:hAnsiTheme="majorBidi" w:cstheme="majorBidi"/>
          <w:bCs/>
        </w:rPr>
        <w:t xml:space="preserve">. Šie pakalpojumi ir jānošķir no pārvaldīšanas pakalpojuma (sal. </w:t>
      </w:r>
      <w:r w:rsidR="005D43A9" w:rsidRPr="00BA3A9A">
        <w:rPr>
          <w:rFonts w:asciiTheme="majorBidi" w:hAnsiTheme="majorBidi" w:cstheme="majorBidi"/>
          <w:bCs/>
          <w:i/>
          <w:iCs/>
        </w:rPr>
        <w:t>Senāta paplašinātā sastāva 2021.gada 22.aprīļa sprieduma lietā Nr. SKC</w:t>
      </w:r>
      <w:r w:rsidR="005D43A9" w:rsidRPr="00BA3A9A">
        <w:rPr>
          <w:rFonts w:asciiTheme="majorBidi" w:hAnsiTheme="majorBidi" w:cstheme="majorBidi"/>
          <w:bCs/>
          <w:i/>
          <w:iCs/>
        </w:rPr>
        <w:noBreakHyphen/>
        <w:t>5/2021, ECLI:LV:AT:2021:0422.C17153914.12.S, 6.1.punkts</w:t>
      </w:r>
      <w:r w:rsidR="005D43A9" w:rsidRPr="00BA3A9A">
        <w:rPr>
          <w:rFonts w:asciiTheme="majorBidi" w:hAnsiTheme="majorBidi" w:cstheme="majorBidi"/>
          <w:bCs/>
        </w:rPr>
        <w:t>)</w:t>
      </w:r>
      <w:r w:rsidRPr="00BA3A9A">
        <w:rPr>
          <w:rFonts w:asciiTheme="majorBidi" w:hAnsiTheme="majorBidi" w:cstheme="majorBidi"/>
          <w:bCs/>
        </w:rPr>
        <w:t>.</w:t>
      </w:r>
    </w:p>
    <w:p w14:paraId="1454CA5C" w14:textId="35DAF1EC" w:rsidR="003164D9" w:rsidRPr="00BA3A9A" w:rsidRDefault="00D31C8A" w:rsidP="00640DE5">
      <w:pPr>
        <w:shd w:val="clear" w:color="auto" w:fill="FFFFFF"/>
        <w:spacing w:line="276" w:lineRule="auto"/>
        <w:ind w:firstLine="709"/>
        <w:jc w:val="both"/>
      </w:pPr>
      <w:r w:rsidRPr="00BA3A9A">
        <w:rPr>
          <w:rFonts w:asciiTheme="majorBidi" w:hAnsiTheme="majorBidi" w:cstheme="majorBidi"/>
          <w:bCs/>
        </w:rPr>
        <w:t xml:space="preserve">[11.3] </w:t>
      </w:r>
      <w:r w:rsidR="001A2DA4" w:rsidRPr="00BA3A9A">
        <w:rPr>
          <w:rFonts w:asciiTheme="majorBidi" w:hAnsiTheme="majorBidi" w:cstheme="majorBidi"/>
          <w:bCs/>
        </w:rPr>
        <w:t xml:space="preserve">No Dzīvojamo māju pārvaldīšanas likuma </w:t>
      </w:r>
      <w:r w:rsidR="00CC230A" w:rsidRPr="00BA3A9A">
        <w:rPr>
          <w:rFonts w:asciiTheme="majorBidi" w:hAnsiTheme="majorBidi" w:cstheme="majorBidi"/>
          <w:bCs/>
        </w:rPr>
        <w:t>redzams, ka tā 17.</w:t>
      </w:r>
      <w:r w:rsidR="00CC230A" w:rsidRPr="00BA3A9A">
        <w:rPr>
          <w:rFonts w:asciiTheme="majorBidi" w:hAnsiTheme="majorBidi" w:cstheme="majorBidi"/>
          <w:bCs/>
          <w:vertAlign w:val="superscript"/>
        </w:rPr>
        <w:t>4</w:t>
      </w:r>
      <w:r w:rsidR="00CC230A" w:rsidRPr="00BA3A9A">
        <w:rPr>
          <w:rFonts w:asciiTheme="majorBidi" w:hAnsiTheme="majorBidi" w:cstheme="majorBidi"/>
          <w:bCs/>
        </w:rPr>
        <w:t>pants ir lasāms kopsakarā ar 17.</w:t>
      </w:r>
      <w:r w:rsidR="00CC230A" w:rsidRPr="00BA3A9A">
        <w:rPr>
          <w:rFonts w:asciiTheme="majorBidi" w:hAnsiTheme="majorBidi" w:cstheme="majorBidi"/>
          <w:bCs/>
          <w:vertAlign w:val="superscript"/>
        </w:rPr>
        <w:t xml:space="preserve">2 </w:t>
      </w:r>
      <w:r w:rsidR="00CC230A" w:rsidRPr="00BA3A9A">
        <w:rPr>
          <w:rFonts w:asciiTheme="majorBidi" w:hAnsiTheme="majorBidi" w:cstheme="majorBidi"/>
          <w:bCs/>
        </w:rPr>
        <w:t>un</w:t>
      </w:r>
      <w:r w:rsidR="00CC230A" w:rsidRPr="00BA3A9A">
        <w:rPr>
          <w:rFonts w:asciiTheme="majorBidi" w:hAnsiTheme="majorBidi" w:cstheme="majorBidi"/>
          <w:bCs/>
          <w:vertAlign w:val="superscript"/>
        </w:rPr>
        <w:t xml:space="preserve"> </w:t>
      </w:r>
      <w:r w:rsidR="00CC230A" w:rsidRPr="00BA3A9A">
        <w:rPr>
          <w:rFonts w:asciiTheme="majorBidi" w:hAnsiTheme="majorBidi" w:cstheme="majorBidi"/>
          <w:bCs/>
        </w:rPr>
        <w:t>17.</w:t>
      </w:r>
      <w:r w:rsidR="00CC230A" w:rsidRPr="00BA3A9A">
        <w:rPr>
          <w:rFonts w:asciiTheme="majorBidi" w:hAnsiTheme="majorBidi" w:cstheme="majorBidi"/>
          <w:bCs/>
          <w:vertAlign w:val="superscript"/>
        </w:rPr>
        <w:t>3</w:t>
      </w:r>
      <w:r w:rsidR="00CC230A" w:rsidRPr="00BA3A9A">
        <w:rPr>
          <w:rFonts w:asciiTheme="majorBidi" w:hAnsiTheme="majorBidi" w:cstheme="majorBidi"/>
          <w:bCs/>
        </w:rPr>
        <w:t>pantu, jo t</w:t>
      </w:r>
      <w:r w:rsidR="004B7CC0" w:rsidRPr="00BA3A9A">
        <w:rPr>
          <w:rFonts w:asciiTheme="majorBidi" w:hAnsiTheme="majorBidi" w:cstheme="majorBidi"/>
          <w:bCs/>
        </w:rPr>
        <w:t>ie</w:t>
      </w:r>
      <w:r w:rsidR="00CC230A" w:rsidRPr="00BA3A9A">
        <w:rPr>
          <w:rFonts w:asciiTheme="majorBidi" w:hAnsiTheme="majorBidi" w:cstheme="majorBidi"/>
          <w:bCs/>
        </w:rPr>
        <w:t xml:space="preserve"> vienoti regulē līgumus par dzīvojamās mājas uzturēšanai nepieciešamo pakalpojumu</w:t>
      </w:r>
      <w:r w:rsidR="004B7CC0" w:rsidRPr="00BA3A9A">
        <w:rPr>
          <w:rFonts w:asciiTheme="majorBidi" w:hAnsiTheme="majorBidi" w:cstheme="majorBidi"/>
          <w:bCs/>
        </w:rPr>
        <w:t xml:space="preserve"> nodrošināšanu</w:t>
      </w:r>
      <w:r w:rsidR="00342459" w:rsidRPr="00BA3A9A">
        <w:rPr>
          <w:rFonts w:asciiTheme="majorBidi" w:hAnsiTheme="majorBidi" w:cstheme="majorBidi"/>
          <w:bCs/>
        </w:rPr>
        <w:t>, tostarp maksājumu veikšanu tieši par šiem pakalpojumiem (17.</w:t>
      </w:r>
      <w:r w:rsidR="00342459" w:rsidRPr="00BA3A9A">
        <w:rPr>
          <w:rFonts w:asciiTheme="majorBidi" w:hAnsiTheme="majorBidi" w:cstheme="majorBidi"/>
          <w:bCs/>
          <w:vertAlign w:val="superscript"/>
        </w:rPr>
        <w:t>3</w:t>
      </w:r>
      <w:r w:rsidR="00342459" w:rsidRPr="00BA3A9A">
        <w:rPr>
          <w:rFonts w:asciiTheme="majorBidi" w:hAnsiTheme="majorBidi" w:cstheme="majorBidi"/>
          <w:bCs/>
        </w:rPr>
        <w:t>pants) un tieši šo pakalpojumu sniedzēja pienākumus (17.</w:t>
      </w:r>
      <w:r w:rsidR="00342459" w:rsidRPr="00BA3A9A">
        <w:rPr>
          <w:rFonts w:asciiTheme="majorBidi" w:hAnsiTheme="majorBidi" w:cstheme="majorBidi"/>
          <w:bCs/>
          <w:vertAlign w:val="superscript"/>
        </w:rPr>
        <w:t>4</w:t>
      </w:r>
      <w:r w:rsidR="00342459" w:rsidRPr="00BA3A9A">
        <w:rPr>
          <w:rFonts w:asciiTheme="majorBidi" w:hAnsiTheme="majorBidi" w:cstheme="majorBidi"/>
          <w:bCs/>
        </w:rPr>
        <w:t>pants)</w:t>
      </w:r>
      <w:r w:rsidR="00CC230A" w:rsidRPr="00BA3A9A">
        <w:rPr>
          <w:rFonts w:asciiTheme="majorBidi" w:hAnsiTheme="majorBidi" w:cstheme="majorBidi"/>
          <w:bCs/>
        </w:rPr>
        <w:t>.</w:t>
      </w:r>
      <w:r w:rsidR="006A41BE" w:rsidRPr="00BA3A9A">
        <w:t xml:space="preserve"> </w:t>
      </w:r>
    </w:p>
    <w:p w14:paraId="23CE7318" w14:textId="5848C162" w:rsidR="00D31C8A" w:rsidRPr="00BA3A9A" w:rsidRDefault="0037741C" w:rsidP="00D31C8A">
      <w:pPr>
        <w:shd w:val="clear" w:color="auto" w:fill="FFFFFF"/>
        <w:spacing w:line="276" w:lineRule="auto"/>
        <w:ind w:firstLine="709"/>
        <w:jc w:val="both"/>
      </w:pPr>
      <w:r w:rsidRPr="00BA3A9A">
        <w:rPr>
          <w:rFonts w:asciiTheme="majorBidi" w:hAnsiTheme="majorBidi" w:cstheme="majorBidi"/>
          <w:bCs/>
        </w:rPr>
        <w:t>Dzīvojamo māju pārvaldīšanas likuma 17.</w:t>
      </w:r>
      <w:r w:rsidRPr="00BA3A9A">
        <w:rPr>
          <w:rFonts w:asciiTheme="majorBidi" w:hAnsiTheme="majorBidi" w:cstheme="majorBidi"/>
          <w:bCs/>
          <w:vertAlign w:val="superscript"/>
        </w:rPr>
        <w:t>2</w:t>
      </w:r>
      <w:r w:rsidRPr="00BA3A9A">
        <w:t xml:space="preserve">panta pirmā daļa noteic, ka līgumu par dzīvojamās mājas uzturēšanai nepieciešamā pakalpojuma nodrošināšanu (turpmāk – pakalpojuma līgums) slēdz dzīvojamās mājas īpašnieks un attiecīgā pakalpojuma sniedzējs, ņemot vērā šā panta otrās daļas noteikumus. </w:t>
      </w:r>
      <w:r w:rsidR="00B01E5E" w:rsidRPr="00BA3A9A">
        <w:t>Savukārt šā</w:t>
      </w:r>
      <w:r w:rsidR="00D31C8A" w:rsidRPr="00BA3A9A">
        <w:t xml:space="preserve"> likuma </w:t>
      </w:r>
      <w:r w:rsidR="00D31C8A" w:rsidRPr="00BA3A9A">
        <w:rPr>
          <w:rFonts w:asciiTheme="majorBidi" w:hAnsiTheme="majorBidi" w:cstheme="majorBidi"/>
          <w:bCs/>
        </w:rPr>
        <w:t>17.</w:t>
      </w:r>
      <w:r w:rsidR="00D31C8A" w:rsidRPr="00BA3A9A">
        <w:rPr>
          <w:rFonts w:asciiTheme="majorBidi" w:hAnsiTheme="majorBidi" w:cstheme="majorBidi"/>
          <w:bCs/>
          <w:vertAlign w:val="superscript"/>
        </w:rPr>
        <w:t>4</w:t>
      </w:r>
      <w:r w:rsidR="00D31C8A" w:rsidRPr="00BA3A9A">
        <w:rPr>
          <w:rFonts w:asciiTheme="majorBidi" w:hAnsiTheme="majorBidi" w:cstheme="majorBidi"/>
          <w:bCs/>
        </w:rPr>
        <w:t>panta otrā daļa paredz pakalpojuma sniedzēja pienākumu noslēgt pakalpojuma līgumu ar dzīvojamās mājas īpašnieku</w:t>
      </w:r>
      <w:r w:rsidR="00A310E1" w:rsidRPr="00BA3A9A">
        <w:rPr>
          <w:rFonts w:asciiTheme="majorBidi" w:hAnsiTheme="majorBidi" w:cstheme="majorBidi"/>
          <w:bCs/>
        </w:rPr>
        <w:t>, ko, ņemot vērā 17.</w:t>
      </w:r>
      <w:r w:rsidR="00A310E1" w:rsidRPr="00BA3A9A">
        <w:rPr>
          <w:rFonts w:asciiTheme="majorBidi" w:hAnsiTheme="majorBidi" w:cstheme="majorBidi"/>
          <w:bCs/>
          <w:vertAlign w:val="superscript"/>
        </w:rPr>
        <w:t>2</w:t>
      </w:r>
      <w:r w:rsidR="00A310E1" w:rsidRPr="00BA3A9A">
        <w:t xml:space="preserve">panta otrās daļas noteikumus, dzīvokļu īpašnieku vārdā ar pakalpojuma sniedzēju var slēgt arī pārvaldnieks. </w:t>
      </w:r>
    </w:p>
    <w:p w14:paraId="4C4FD967" w14:textId="77777777" w:rsidR="00B01E5E" w:rsidRPr="00BA3A9A" w:rsidRDefault="00B01E5E" w:rsidP="00B01E5E">
      <w:pPr>
        <w:shd w:val="clear" w:color="auto" w:fill="FFFFFF"/>
        <w:spacing w:line="276" w:lineRule="auto"/>
        <w:ind w:firstLine="709"/>
        <w:jc w:val="both"/>
      </w:pPr>
      <w:r w:rsidRPr="00BA3A9A">
        <w:t xml:space="preserve">Atbilstoši </w:t>
      </w:r>
      <w:r w:rsidRPr="00BA3A9A">
        <w:rPr>
          <w:rFonts w:asciiTheme="majorBidi" w:hAnsiTheme="majorBidi" w:cstheme="majorBidi"/>
          <w:bCs/>
        </w:rPr>
        <w:t>17.</w:t>
      </w:r>
      <w:r w:rsidRPr="00BA3A9A">
        <w:rPr>
          <w:rFonts w:asciiTheme="majorBidi" w:hAnsiTheme="majorBidi" w:cstheme="majorBidi"/>
          <w:bCs/>
          <w:vertAlign w:val="superscript"/>
        </w:rPr>
        <w:t>2</w:t>
      </w:r>
      <w:r w:rsidRPr="00BA3A9A">
        <w:t xml:space="preserve">panta trešās daļas 6.punktam pakalpojuma līgumā norādāma kārtība, kādā pakalpojuma sniedzējs sniedz informāciju dzīvojamās mājas īpašniekam. Savukārt </w:t>
      </w:r>
      <w:r w:rsidRPr="00BA3A9A">
        <w:rPr>
          <w:rFonts w:asciiTheme="majorBidi" w:hAnsiTheme="majorBidi" w:cstheme="majorBidi"/>
          <w:bCs/>
        </w:rPr>
        <w:t>17.</w:t>
      </w:r>
      <w:r w:rsidRPr="00BA3A9A">
        <w:rPr>
          <w:rFonts w:asciiTheme="majorBidi" w:hAnsiTheme="majorBidi" w:cstheme="majorBidi"/>
          <w:bCs/>
          <w:vertAlign w:val="superscript"/>
        </w:rPr>
        <w:t>4</w:t>
      </w:r>
      <w:r w:rsidRPr="00BA3A9A">
        <w:rPr>
          <w:rFonts w:asciiTheme="majorBidi" w:hAnsiTheme="majorBidi" w:cstheme="majorBidi"/>
          <w:bCs/>
        </w:rPr>
        <w:t>panta pirmā daļa paredz pakalpojuma sniedzēja pienākumu šādu informāciju sniegt un sniedzamās informācijas saturu.</w:t>
      </w:r>
      <w:r w:rsidRPr="00BA3A9A">
        <w:t xml:space="preserve"> </w:t>
      </w:r>
    </w:p>
    <w:p w14:paraId="2BD11618" w14:textId="0168AC2C" w:rsidR="00D31C8A" w:rsidRPr="00BA3A9A" w:rsidRDefault="00D31C8A" w:rsidP="0037741C">
      <w:pPr>
        <w:shd w:val="clear" w:color="auto" w:fill="FFFFFF"/>
        <w:spacing w:line="276" w:lineRule="auto"/>
        <w:ind w:firstLine="709"/>
        <w:jc w:val="both"/>
      </w:pPr>
      <w:r w:rsidRPr="00BA3A9A">
        <w:t>Tātad ar pakalpojuma sniedzēj</w:t>
      </w:r>
      <w:r w:rsidR="00A310E1" w:rsidRPr="00BA3A9A">
        <w:t xml:space="preserve">u minēto normu izpratnē </w:t>
      </w:r>
      <w:r w:rsidRPr="00BA3A9A">
        <w:t>tiek saprast</w:t>
      </w:r>
      <w:r w:rsidR="00A310E1" w:rsidRPr="00BA3A9A">
        <w:t>s</w:t>
      </w:r>
      <w:r w:rsidRPr="00BA3A9A">
        <w:t xml:space="preserve"> </w:t>
      </w:r>
      <w:r w:rsidRPr="00BA3A9A">
        <w:rPr>
          <w:rFonts w:asciiTheme="majorBidi" w:hAnsiTheme="majorBidi" w:cstheme="majorBidi"/>
          <w:bCs/>
        </w:rPr>
        <w:t>Dzīvojamo māju pārvaldīšanas likuma 6.panta otrās daļas 1.punkta „b” apakšpunktā minēto pakalpojumu sniedzēj</w:t>
      </w:r>
      <w:r w:rsidR="00A310E1" w:rsidRPr="00BA3A9A">
        <w:rPr>
          <w:rFonts w:asciiTheme="majorBidi" w:hAnsiTheme="majorBidi" w:cstheme="majorBidi"/>
          <w:bCs/>
        </w:rPr>
        <w:t>s</w:t>
      </w:r>
      <w:r w:rsidRPr="00BA3A9A">
        <w:rPr>
          <w:rFonts w:asciiTheme="majorBidi" w:hAnsiTheme="majorBidi" w:cstheme="majorBidi"/>
          <w:bCs/>
        </w:rPr>
        <w:t>.</w:t>
      </w:r>
    </w:p>
    <w:p w14:paraId="047153A4" w14:textId="0EE93386" w:rsidR="00B01E5E" w:rsidRPr="00BA3A9A" w:rsidRDefault="00E10F0E" w:rsidP="00640DE5">
      <w:pPr>
        <w:shd w:val="clear" w:color="auto" w:fill="FFFFFF"/>
        <w:spacing w:line="276" w:lineRule="auto"/>
        <w:ind w:firstLine="709"/>
        <w:jc w:val="both"/>
      </w:pPr>
      <w:r w:rsidRPr="00BA3A9A">
        <w:t>[</w:t>
      </w:r>
      <w:r w:rsidR="00B01E5E" w:rsidRPr="00BA3A9A">
        <w:t>11.4</w:t>
      </w:r>
      <w:r w:rsidRPr="00BA3A9A">
        <w:t xml:space="preserve">] </w:t>
      </w:r>
      <w:r w:rsidR="0025089E">
        <w:t xml:space="preserve">[Pers. A] </w:t>
      </w:r>
      <w:r w:rsidR="00477712" w:rsidRPr="00BA3A9A">
        <w:t xml:space="preserve">prasībā lūdz sniegt informāciju nevis par </w:t>
      </w:r>
      <w:r w:rsidR="00477712" w:rsidRPr="00BA3A9A">
        <w:rPr>
          <w:rFonts w:asciiTheme="majorBidi" w:hAnsiTheme="majorBidi" w:cstheme="majorBidi"/>
          <w:bCs/>
        </w:rPr>
        <w:t>Dzīvojamo māju pārvaldīšanas likuma 6.panta otrās daļas 1.punkta „b” apakšpunktā minētā (</w:t>
      </w:r>
      <w:r w:rsidR="00477712" w:rsidRPr="00BA3A9A">
        <w:t xml:space="preserve">komunālā) pakalpojuma cenas pamatojumu, bet gan par pārvaldnieka 2023.gadā plānoto juridisko pakalpojumu izdevumu pamatojumu, kas veido </w:t>
      </w:r>
      <w:r w:rsidR="001D67DC" w:rsidRPr="00BA3A9A">
        <w:t xml:space="preserve">maksu par </w:t>
      </w:r>
      <w:r w:rsidR="00477712" w:rsidRPr="00BA3A9A">
        <w:t xml:space="preserve">pārvaldīšanas pakalpojumu. </w:t>
      </w:r>
      <w:r w:rsidR="00B01E5E" w:rsidRPr="00BA3A9A">
        <w:lastRenderedPageBreak/>
        <w:t xml:space="preserve">Līdz ar to </w:t>
      </w:r>
      <w:r w:rsidR="00477712" w:rsidRPr="00BA3A9A">
        <w:rPr>
          <w:rFonts w:asciiTheme="majorBidi" w:hAnsiTheme="majorBidi" w:cstheme="majorBidi"/>
          <w:bCs/>
        </w:rPr>
        <w:t>Dzīvojamo māju pārvaldīšanas likuma 17.</w:t>
      </w:r>
      <w:r w:rsidR="00477712" w:rsidRPr="00BA3A9A">
        <w:rPr>
          <w:rFonts w:asciiTheme="majorBidi" w:hAnsiTheme="majorBidi" w:cstheme="majorBidi"/>
          <w:bCs/>
          <w:vertAlign w:val="superscript"/>
        </w:rPr>
        <w:t>4</w:t>
      </w:r>
      <w:r w:rsidR="00477712" w:rsidRPr="00BA3A9A">
        <w:rPr>
          <w:rFonts w:asciiTheme="majorBidi" w:hAnsiTheme="majorBidi" w:cstheme="majorBidi"/>
          <w:bCs/>
        </w:rPr>
        <w:t>panta pirmā daļa</w:t>
      </w:r>
      <w:r w:rsidR="001D67DC" w:rsidRPr="00BA3A9A">
        <w:rPr>
          <w:rFonts w:asciiTheme="majorBidi" w:hAnsiTheme="majorBidi" w:cstheme="majorBidi"/>
          <w:bCs/>
        </w:rPr>
        <w:t xml:space="preserve"> uz šādu informācijas pieprasījumu nav attiecināma.</w:t>
      </w:r>
    </w:p>
    <w:p w14:paraId="5EC9AAC3" w14:textId="1734C13D" w:rsidR="00AA7D22" w:rsidRPr="00BA3A9A" w:rsidRDefault="00B01E5E" w:rsidP="00AA7D22">
      <w:pPr>
        <w:shd w:val="clear" w:color="auto" w:fill="FFFFFF"/>
        <w:spacing w:line="276" w:lineRule="auto"/>
        <w:ind w:firstLine="709"/>
        <w:jc w:val="both"/>
      </w:pPr>
      <w:r w:rsidRPr="00BA3A9A">
        <w:t xml:space="preserve">[11.5] </w:t>
      </w:r>
      <w:r w:rsidR="00E10F0E" w:rsidRPr="00BA3A9A">
        <w:t xml:space="preserve">Ievērojot minēto, nav pamatota kasācijas sūdzības iesniedzēja atsaukšanās uz Rīgas apgabaltiesas </w:t>
      </w:r>
      <w:r w:rsidR="00E10F0E" w:rsidRPr="00BA3A9A">
        <w:rPr>
          <w:rFonts w:asciiTheme="majorBidi" w:hAnsiTheme="majorBidi" w:cstheme="majorBidi"/>
        </w:rPr>
        <w:t>2024.gada 27.novembra spriedumu līdzīgā lietā Nr. CA</w:t>
      </w:r>
      <w:r w:rsidRPr="00BA3A9A">
        <w:rPr>
          <w:rFonts w:asciiTheme="majorBidi" w:hAnsiTheme="majorBidi" w:cstheme="majorBidi"/>
        </w:rPr>
        <w:noBreakHyphen/>
      </w:r>
      <w:r w:rsidR="00E10F0E" w:rsidRPr="00BA3A9A">
        <w:rPr>
          <w:rFonts w:asciiTheme="majorBidi" w:hAnsiTheme="majorBidi" w:cstheme="majorBidi"/>
        </w:rPr>
        <w:t>1003</w:t>
      </w:r>
      <w:r w:rsidRPr="00BA3A9A">
        <w:rPr>
          <w:rFonts w:asciiTheme="majorBidi" w:hAnsiTheme="majorBidi" w:cstheme="majorBidi"/>
        </w:rPr>
        <w:noBreakHyphen/>
      </w:r>
      <w:r w:rsidR="00E10F0E" w:rsidRPr="00BA3A9A">
        <w:rPr>
          <w:rFonts w:asciiTheme="majorBidi" w:hAnsiTheme="majorBidi" w:cstheme="majorBidi"/>
        </w:rPr>
        <w:t>24/8</w:t>
      </w:r>
      <w:r w:rsidRPr="00BA3A9A">
        <w:rPr>
          <w:rFonts w:asciiTheme="majorBidi" w:hAnsiTheme="majorBidi" w:cstheme="majorBidi"/>
        </w:rPr>
        <w:t>,</w:t>
      </w:r>
      <w:r w:rsidRPr="00BA3A9A">
        <w:rPr>
          <w:rFonts w:asciiTheme="majorBidi" w:hAnsiTheme="majorBidi" w:cstheme="majorBidi"/>
          <w:i/>
          <w:iCs/>
        </w:rPr>
        <w:t xml:space="preserve"> </w:t>
      </w:r>
      <w:r w:rsidRPr="00BA3A9A">
        <w:rPr>
          <w:rFonts w:asciiTheme="majorBidi" w:hAnsiTheme="majorBidi" w:cstheme="majorBidi"/>
        </w:rPr>
        <w:t>ECLI:LV:</w:t>
      </w:r>
      <w:r w:rsidR="00477712" w:rsidRPr="00BA3A9A">
        <w:rPr>
          <w:rFonts w:asciiTheme="majorBidi" w:hAnsiTheme="majorBidi" w:cstheme="majorBidi"/>
        </w:rPr>
        <w:t>R</w:t>
      </w:r>
      <w:r w:rsidRPr="00BA3A9A">
        <w:rPr>
          <w:rFonts w:asciiTheme="majorBidi" w:hAnsiTheme="majorBidi" w:cstheme="majorBidi"/>
        </w:rPr>
        <w:t>AT:202</w:t>
      </w:r>
      <w:r w:rsidR="00477712" w:rsidRPr="00BA3A9A">
        <w:rPr>
          <w:rFonts w:asciiTheme="majorBidi" w:hAnsiTheme="majorBidi" w:cstheme="majorBidi"/>
        </w:rPr>
        <w:t>4</w:t>
      </w:r>
      <w:r w:rsidRPr="00BA3A9A">
        <w:rPr>
          <w:rFonts w:asciiTheme="majorBidi" w:hAnsiTheme="majorBidi" w:cstheme="majorBidi"/>
        </w:rPr>
        <w:t>:1</w:t>
      </w:r>
      <w:r w:rsidR="00477712" w:rsidRPr="00BA3A9A">
        <w:rPr>
          <w:rFonts w:asciiTheme="majorBidi" w:hAnsiTheme="majorBidi" w:cstheme="majorBidi"/>
        </w:rPr>
        <w:t>127</w:t>
      </w:r>
      <w:r w:rsidRPr="00BA3A9A">
        <w:rPr>
          <w:rFonts w:asciiTheme="majorBidi" w:hAnsiTheme="majorBidi" w:cstheme="majorBidi"/>
        </w:rPr>
        <w:t>.</w:t>
      </w:r>
      <w:r w:rsidR="00477712" w:rsidRPr="00BA3A9A">
        <w:rPr>
          <w:rFonts w:asciiTheme="majorBidi" w:hAnsiTheme="majorBidi" w:cstheme="majorBidi"/>
        </w:rPr>
        <w:t>C7</w:t>
      </w:r>
      <w:r w:rsidRPr="00BA3A9A">
        <w:rPr>
          <w:rFonts w:asciiTheme="majorBidi" w:hAnsiTheme="majorBidi" w:cstheme="majorBidi"/>
        </w:rPr>
        <w:t>71</w:t>
      </w:r>
      <w:r w:rsidR="00477712" w:rsidRPr="00BA3A9A">
        <w:rPr>
          <w:rFonts w:asciiTheme="majorBidi" w:hAnsiTheme="majorBidi" w:cstheme="majorBidi"/>
        </w:rPr>
        <w:t>135623</w:t>
      </w:r>
      <w:r w:rsidRPr="00BA3A9A">
        <w:rPr>
          <w:rFonts w:asciiTheme="majorBidi" w:hAnsiTheme="majorBidi" w:cstheme="majorBidi"/>
        </w:rPr>
        <w:t>.</w:t>
      </w:r>
      <w:r w:rsidR="00477712" w:rsidRPr="00BA3A9A">
        <w:rPr>
          <w:rFonts w:asciiTheme="majorBidi" w:hAnsiTheme="majorBidi" w:cstheme="majorBidi"/>
        </w:rPr>
        <w:t>7</w:t>
      </w:r>
      <w:r w:rsidRPr="00BA3A9A">
        <w:rPr>
          <w:rFonts w:asciiTheme="majorBidi" w:hAnsiTheme="majorBidi" w:cstheme="majorBidi"/>
        </w:rPr>
        <w:t>.S</w:t>
      </w:r>
      <w:r w:rsidR="001D67DC" w:rsidRPr="00BA3A9A">
        <w:rPr>
          <w:rFonts w:asciiTheme="majorBidi" w:hAnsiTheme="majorBidi" w:cstheme="majorBidi"/>
        </w:rPr>
        <w:t>, ar kuru tiesa</w:t>
      </w:r>
      <w:r w:rsidR="00AA7D22" w:rsidRPr="00BA3A9A">
        <w:rPr>
          <w:rFonts w:asciiTheme="majorBidi" w:hAnsiTheme="majorBidi" w:cstheme="majorBidi"/>
        </w:rPr>
        <w:t xml:space="preserve">, pamatojoties uz </w:t>
      </w:r>
      <w:r w:rsidR="00AA7D22" w:rsidRPr="00BA3A9A">
        <w:rPr>
          <w:rFonts w:asciiTheme="majorBidi" w:hAnsiTheme="majorBidi" w:cstheme="majorBidi"/>
          <w:bCs/>
        </w:rPr>
        <w:t>Dzīvojamo māju pārvaldīšanas likuma 17.</w:t>
      </w:r>
      <w:r w:rsidR="00AA7D22" w:rsidRPr="00BA3A9A">
        <w:rPr>
          <w:rFonts w:asciiTheme="majorBidi" w:hAnsiTheme="majorBidi" w:cstheme="majorBidi"/>
          <w:bCs/>
          <w:vertAlign w:val="superscript"/>
        </w:rPr>
        <w:t>4</w:t>
      </w:r>
      <w:r w:rsidR="00AA7D22" w:rsidRPr="00BA3A9A">
        <w:rPr>
          <w:rFonts w:asciiTheme="majorBidi" w:hAnsiTheme="majorBidi" w:cstheme="majorBidi"/>
          <w:bCs/>
        </w:rPr>
        <w:t>panta pirmo daļu,</w:t>
      </w:r>
      <w:r w:rsidR="001D67DC" w:rsidRPr="00BA3A9A">
        <w:rPr>
          <w:rFonts w:asciiTheme="majorBidi" w:hAnsiTheme="majorBidi" w:cstheme="majorBidi"/>
        </w:rPr>
        <w:t xml:space="preserve"> apmierināja </w:t>
      </w:r>
      <w:r w:rsidR="0025089E">
        <w:t xml:space="preserve">[pers. A] </w:t>
      </w:r>
      <w:r w:rsidR="001D67DC" w:rsidRPr="00BA3A9A">
        <w:rPr>
          <w:rFonts w:asciiTheme="majorBidi" w:hAnsiTheme="majorBidi" w:cstheme="majorBidi"/>
        </w:rPr>
        <w:t>prasību pret DzĪKS „Jubilejas” par pienākuma uzlikšanu izsniegt ekonomiski pamatotus aprēķinus par tās pašas 2023.gada tāmes kopsavilkuma citu pozīciju</w:t>
      </w:r>
      <w:r w:rsidR="00AA7D22" w:rsidRPr="00BA3A9A">
        <w:rPr>
          <w:rFonts w:asciiTheme="majorBidi" w:hAnsiTheme="majorBidi" w:cstheme="majorBidi"/>
        </w:rPr>
        <w:t xml:space="preserve"> – „Mājas konstruktīvie elementi”</w:t>
      </w:r>
      <w:r w:rsidR="001D67DC" w:rsidRPr="00BA3A9A">
        <w:rPr>
          <w:rFonts w:asciiTheme="majorBidi" w:hAnsiTheme="majorBidi" w:cstheme="majorBidi"/>
        </w:rPr>
        <w:t xml:space="preserve">. </w:t>
      </w:r>
      <w:r w:rsidR="00AA7D22" w:rsidRPr="00BA3A9A">
        <w:rPr>
          <w:rFonts w:asciiTheme="majorBidi" w:hAnsiTheme="majorBidi" w:cstheme="majorBidi"/>
        </w:rPr>
        <w:t>Iepriekš</w:t>
      </w:r>
      <w:r w:rsidR="0025089E">
        <w:rPr>
          <w:rFonts w:asciiTheme="majorBidi" w:hAnsiTheme="majorBidi" w:cstheme="majorBidi"/>
        </w:rPr>
        <w:t xml:space="preserve"> </w:t>
      </w:r>
      <w:r w:rsidR="00AA7D22" w:rsidRPr="00BA3A9A">
        <w:rPr>
          <w:rFonts w:asciiTheme="majorBidi" w:hAnsiTheme="majorBidi" w:cstheme="majorBidi"/>
        </w:rPr>
        <w:t xml:space="preserve">norādīto iemeslu dēļ </w:t>
      </w:r>
      <w:r w:rsidR="00AA7D22" w:rsidRPr="00BA3A9A">
        <w:rPr>
          <w:rFonts w:asciiTheme="majorBidi" w:hAnsiTheme="majorBidi" w:cstheme="majorBidi"/>
          <w:bCs/>
        </w:rPr>
        <w:t>Dzīvojamo māju pārvaldīšanas likuma 17.</w:t>
      </w:r>
      <w:r w:rsidR="00AA7D22" w:rsidRPr="00BA3A9A">
        <w:rPr>
          <w:rFonts w:asciiTheme="majorBidi" w:hAnsiTheme="majorBidi" w:cstheme="majorBidi"/>
          <w:bCs/>
          <w:vertAlign w:val="superscript"/>
        </w:rPr>
        <w:t>4</w:t>
      </w:r>
      <w:r w:rsidR="00AA7D22" w:rsidRPr="00BA3A9A">
        <w:rPr>
          <w:rFonts w:asciiTheme="majorBidi" w:hAnsiTheme="majorBidi" w:cstheme="majorBidi"/>
          <w:bCs/>
        </w:rPr>
        <w:t xml:space="preserve">panta pirmā daļa </w:t>
      </w:r>
      <w:r w:rsidR="00334C4B" w:rsidRPr="00BA3A9A">
        <w:rPr>
          <w:rFonts w:asciiTheme="majorBidi" w:hAnsiTheme="majorBidi" w:cstheme="majorBidi"/>
          <w:bCs/>
        </w:rPr>
        <w:t xml:space="preserve">attiecībā uz </w:t>
      </w:r>
      <w:r w:rsidR="00506BD6" w:rsidRPr="00BA3A9A">
        <w:rPr>
          <w:rFonts w:asciiTheme="majorBidi" w:hAnsiTheme="majorBidi" w:cstheme="majorBidi"/>
          <w:bCs/>
        </w:rPr>
        <w:t xml:space="preserve">pārvaldnieka sagatavotās </w:t>
      </w:r>
      <w:r w:rsidR="00334C4B" w:rsidRPr="00BA3A9A">
        <w:rPr>
          <w:rFonts w:asciiTheme="majorBidi" w:hAnsiTheme="majorBidi" w:cstheme="majorBidi"/>
          <w:bCs/>
        </w:rPr>
        <w:t xml:space="preserve">tāmes pozīcijām nav </w:t>
      </w:r>
      <w:r w:rsidR="00AA7D22" w:rsidRPr="00BA3A9A">
        <w:rPr>
          <w:rFonts w:asciiTheme="majorBidi" w:hAnsiTheme="majorBidi" w:cstheme="majorBidi"/>
          <w:bCs/>
        </w:rPr>
        <w:t>piemērojama, bet š</w:t>
      </w:r>
      <w:r w:rsidR="00AA7D22" w:rsidRPr="00BA3A9A">
        <w:t>is spriedums kasācijas kārtībā netika pārsūdzēts un Senāts</w:t>
      </w:r>
      <w:r w:rsidR="00334C4B" w:rsidRPr="00BA3A9A">
        <w:t xml:space="preserve"> </w:t>
      </w:r>
      <w:r w:rsidR="00485BD0" w:rsidRPr="00BA3A9A">
        <w:t xml:space="preserve">minētajā lietā </w:t>
      </w:r>
      <w:r w:rsidR="00334C4B" w:rsidRPr="00BA3A9A">
        <w:t xml:space="preserve">skaidrojumu par piemērojamām normām nav sniedzis. </w:t>
      </w:r>
      <w:r w:rsidR="00AA7D22" w:rsidRPr="00BA3A9A">
        <w:t xml:space="preserve"> </w:t>
      </w:r>
    </w:p>
    <w:p w14:paraId="392D1504" w14:textId="77777777" w:rsidR="00C860FF" w:rsidRPr="00BA3A9A" w:rsidRDefault="00C860FF" w:rsidP="00AA7D22">
      <w:pPr>
        <w:shd w:val="clear" w:color="auto" w:fill="FFFFFF"/>
        <w:spacing w:line="276" w:lineRule="auto"/>
        <w:ind w:firstLine="709"/>
        <w:jc w:val="both"/>
      </w:pPr>
    </w:p>
    <w:p w14:paraId="24CEC7BB" w14:textId="77777777" w:rsidR="009708F1" w:rsidRPr="00BA3A9A" w:rsidRDefault="00C860FF" w:rsidP="009708F1">
      <w:pPr>
        <w:shd w:val="clear" w:color="auto" w:fill="FFFFFF"/>
        <w:spacing w:line="276" w:lineRule="auto"/>
        <w:ind w:firstLine="709"/>
        <w:jc w:val="both"/>
      </w:pPr>
      <w:r w:rsidRPr="00BA3A9A">
        <w:t xml:space="preserve">[12] Vienlaikus Senāts nepiekrīt atbildētājas uzskatam, ka </w:t>
      </w:r>
      <w:r w:rsidRPr="00BA3A9A">
        <w:rPr>
          <w:rFonts w:asciiTheme="majorBidi" w:hAnsiTheme="majorBidi" w:cstheme="majorBidi"/>
          <w:bCs/>
        </w:rPr>
        <w:t>pārvaldniekam nav pienākuma sniegt prasītājam pamatotu aprēķinu par nākamā gada tāmes pozīcijām.</w:t>
      </w:r>
      <w:r w:rsidR="009708F1" w:rsidRPr="00BA3A9A">
        <w:t xml:space="preserve"> </w:t>
      </w:r>
    </w:p>
    <w:p w14:paraId="3B911C11" w14:textId="1A06FEA9" w:rsidR="00C860FF" w:rsidRPr="00BA3A9A" w:rsidRDefault="009708F1" w:rsidP="004913F2">
      <w:pPr>
        <w:shd w:val="clear" w:color="auto" w:fill="FFFFFF"/>
        <w:spacing w:line="276" w:lineRule="auto"/>
        <w:ind w:firstLine="709"/>
        <w:jc w:val="both"/>
        <w:rPr>
          <w:rFonts w:asciiTheme="majorBidi" w:hAnsiTheme="majorBidi" w:cstheme="majorBidi"/>
          <w:bCs/>
        </w:rPr>
      </w:pPr>
      <w:r w:rsidRPr="00BA3A9A">
        <w:t>Pārvaldnieka pienākumu sni</w:t>
      </w:r>
      <w:r w:rsidR="004913F2" w:rsidRPr="00BA3A9A">
        <w:t>e</w:t>
      </w:r>
      <w:r w:rsidRPr="00BA3A9A">
        <w:t>gt</w:t>
      </w:r>
      <w:r w:rsidR="004913F2" w:rsidRPr="00BA3A9A">
        <w:t xml:space="preserve"> </w:t>
      </w:r>
      <w:r w:rsidRPr="00BA3A9A">
        <w:t xml:space="preserve">dzīvokļa īpašniekam informāciju </w:t>
      </w:r>
      <w:r w:rsidR="004913F2" w:rsidRPr="00BA3A9A">
        <w:t xml:space="preserve">paredz </w:t>
      </w:r>
      <w:r w:rsidR="004913F2" w:rsidRPr="00BA3A9A">
        <w:rPr>
          <w:rFonts w:asciiTheme="majorBidi" w:hAnsiTheme="majorBidi" w:cstheme="majorBidi"/>
          <w:bCs/>
        </w:rPr>
        <w:t xml:space="preserve">Dzīvojamo māju pārvaldīšanas likuma 14.panta otrā daļa. Tā noteic, ka pārvaldnieka pienākums ir sniegt dzīvojamās mājas īpašniekam aktuālu, nepārprotamu un pilnīgu informāciju par dzīvojamās mājas īpašniekam saistošiem normatīvajiem aktiem un no tiem izrietošajām saistībām, par pārvaldnieka saistībām, kas izriet no pārvaldīšanas uzdevuma, kā arī – pēc dzīvojamās mājas īpašnieka pieprasījuma – par jautājumiem, kas attiecas uz pārvaldīšanas uzdevumu. </w:t>
      </w:r>
    </w:p>
    <w:p w14:paraId="26DCD837" w14:textId="0A72E167" w:rsidR="004913F2" w:rsidRPr="00BA3A9A" w:rsidRDefault="004913F2" w:rsidP="004913F2">
      <w:pPr>
        <w:shd w:val="clear" w:color="auto" w:fill="FFFFFF"/>
        <w:spacing w:line="276" w:lineRule="auto"/>
        <w:ind w:firstLine="709"/>
        <w:jc w:val="both"/>
      </w:pPr>
      <w:r w:rsidRPr="00BA3A9A">
        <w:t>Par informāciju</w:t>
      </w:r>
      <w:r w:rsidRPr="00BA3A9A">
        <w:rPr>
          <w:rFonts w:asciiTheme="majorBidi" w:hAnsiTheme="majorBidi" w:cstheme="majorBidi"/>
          <w:bCs/>
        </w:rPr>
        <w:t xml:space="preserve"> par jautājumiem, kas attiecas uz pārvaldīšanas uzdevumu,</w:t>
      </w:r>
      <w:r w:rsidRPr="00BA3A9A">
        <w:t xml:space="preserve"> ir atzīstama arī informācija par pārvaldnieka nākamajam kalendāra</w:t>
      </w:r>
      <w:r w:rsidR="002A62DB">
        <w:t>jam</w:t>
      </w:r>
      <w:r w:rsidRPr="00BA3A9A">
        <w:t xml:space="preserve"> gadam sa</w:t>
      </w:r>
      <w:r w:rsidR="00506BD6" w:rsidRPr="00BA3A9A">
        <w:t>gatavo</w:t>
      </w:r>
      <w:r w:rsidRPr="00BA3A9A">
        <w:t xml:space="preserve">tās dzīvojamās mājas uzturēšanas un apsaimniekošanas (pārvaldīšanas) darbu tāmes pozīciju veidošanos, tostarp </w:t>
      </w:r>
      <w:r w:rsidR="00035FB2" w:rsidRPr="00BA3A9A">
        <w:t xml:space="preserve">plānoto </w:t>
      </w:r>
      <w:r w:rsidRPr="00BA3A9A">
        <w:t>izdevumu pamatojumu.</w:t>
      </w:r>
    </w:p>
    <w:p w14:paraId="40BCADA0" w14:textId="712CC105" w:rsidR="00A15BEF" w:rsidRPr="00BA3A9A" w:rsidRDefault="00A15BEF" w:rsidP="00F84A39">
      <w:pPr>
        <w:pStyle w:val="naisf"/>
        <w:widowControl w:val="0"/>
        <w:suppressAutoHyphens/>
        <w:spacing w:before="0" w:after="0" w:line="276" w:lineRule="auto"/>
        <w:ind w:firstLine="720"/>
        <w:rPr>
          <w:lang w:val="lv-LV"/>
        </w:rPr>
      </w:pPr>
      <w:r w:rsidRPr="00BA3A9A">
        <w:rPr>
          <w:spacing w:val="-1"/>
          <w:lang w:val="lv-LV"/>
        </w:rPr>
        <w:t xml:space="preserve">Apstāklis, ka </w:t>
      </w:r>
      <w:r w:rsidR="00A37951" w:rsidRPr="00A37951">
        <w:rPr>
          <w:lang w:val="lv-LV"/>
        </w:rPr>
        <w:t>[</w:t>
      </w:r>
      <w:r w:rsidR="001A79C6">
        <w:rPr>
          <w:lang w:val="lv-LV"/>
        </w:rPr>
        <w:t>p</w:t>
      </w:r>
      <w:r w:rsidR="00A37951" w:rsidRPr="00A37951">
        <w:rPr>
          <w:lang w:val="lv-LV"/>
        </w:rPr>
        <w:t xml:space="preserve">ers. A] </w:t>
      </w:r>
      <w:r w:rsidRPr="00BA3A9A">
        <w:rPr>
          <w:spacing w:val="-1"/>
          <w:lang w:val="lv-LV"/>
        </w:rPr>
        <w:t xml:space="preserve">ir prasībā norādījis nepareizo likuma normu, pats par sevi nav pamats prasības noraidīšanai. Senāts, atsaucoties uz tiesību doktrīnas atziņu, daudzkārt norādījis, ka tiesību normas nenorādīšana </w:t>
      </w:r>
      <w:r w:rsidRPr="00BA3A9A">
        <w:rPr>
          <w:lang w:val="lv-LV"/>
        </w:rPr>
        <w:t xml:space="preserve">vai nepareiza norādīšana neatņem prasītājam tiesības uz tiesas aizsardzību, </w:t>
      </w:r>
      <w:r w:rsidRPr="00BA3A9A">
        <w:rPr>
          <w:iCs/>
          <w:lang w:val="lv-LV"/>
        </w:rPr>
        <w:t>jo jāievēro princips</w:t>
      </w:r>
      <w:r w:rsidRPr="00BA3A9A">
        <w:rPr>
          <w:i/>
          <w:iCs/>
          <w:lang w:val="lv-LV"/>
        </w:rPr>
        <w:t xml:space="preserve"> jura novit curia – </w:t>
      </w:r>
      <w:r w:rsidRPr="00BA3A9A">
        <w:rPr>
          <w:lang w:val="lv-LV"/>
        </w:rPr>
        <w:t xml:space="preserve">tiesai pašai jāzina likumi </w:t>
      </w:r>
      <w:r w:rsidRPr="00BA3A9A">
        <w:rPr>
          <w:iCs/>
          <w:lang w:val="lv-LV"/>
        </w:rPr>
        <w:t>(</w:t>
      </w:r>
      <w:r w:rsidRPr="00BA3A9A">
        <w:rPr>
          <w:lang w:val="lv-LV"/>
        </w:rPr>
        <w:t>sk.</w:t>
      </w:r>
      <w:r w:rsidRPr="00BA3A9A">
        <w:rPr>
          <w:i/>
          <w:iCs/>
          <w:lang w:val="lv-LV"/>
        </w:rPr>
        <w:t xml:space="preserve"> Bukovskis V. Civīlprocesa mācības grāmata. Rīga: Autora izdevums, 1933, </w:t>
      </w:r>
      <w:hyperlink r:id="rId7" w:history="1">
        <w:r w:rsidRPr="00BA3A9A">
          <w:rPr>
            <w:i/>
            <w:iCs/>
            <w:lang w:val="lv-LV"/>
          </w:rPr>
          <w:t>304.–305.lpp</w:t>
        </w:r>
      </w:hyperlink>
      <w:r w:rsidRPr="00BA3A9A">
        <w:rPr>
          <w:i/>
          <w:iCs/>
          <w:lang w:val="lv-LV"/>
        </w:rPr>
        <w:t xml:space="preserve">.; Senāta </w:t>
      </w:r>
      <w:bookmarkStart w:id="2" w:name="_Hlk203733048"/>
      <w:r w:rsidRPr="00BA3A9A">
        <w:rPr>
          <w:i/>
          <w:iCs/>
          <w:lang w:val="lv-LV"/>
        </w:rPr>
        <w:t>2012.gada 1.februāra sprieduma lietā Nr.</w:t>
      </w:r>
      <w:r w:rsidR="00F84A39" w:rsidRPr="00BA3A9A">
        <w:rPr>
          <w:i/>
          <w:iCs/>
          <w:lang w:val="lv-LV"/>
        </w:rPr>
        <w:t> </w:t>
      </w:r>
      <w:r w:rsidRPr="00BA3A9A">
        <w:rPr>
          <w:i/>
          <w:iCs/>
          <w:lang w:val="lv-LV"/>
        </w:rPr>
        <w:t>SKC</w:t>
      </w:r>
      <w:r w:rsidR="00F84A39" w:rsidRPr="00BA3A9A">
        <w:rPr>
          <w:i/>
          <w:iCs/>
          <w:lang w:val="lv-LV"/>
        </w:rPr>
        <w:noBreakHyphen/>
      </w:r>
      <w:r w:rsidRPr="00BA3A9A">
        <w:rPr>
          <w:i/>
          <w:iCs/>
          <w:lang w:val="lv-LV"/>
        </w:rPr>
        <w:t>10/2012,</w:t>
      </w:r>
      <w:r w:rsidRPr="00BA3A9A">
        <w:rPr>
          <w:rFonts w:ascii="Helvetica" w:hAnsi="Helvetica"/>
          <w:b/>
          <w:bCs/>
          <w:sz w:val="18"/>
          <w:szCs w:val="18"/>
          <w:shd w:val="clear" w:color="auto" w:fill="FFFFFF"/>
          <w:lang w:val="lv-LV"/>
        </w:rPr>
        <w:t xml:space="preserve"> </w:t>
      </w:r>
      <w:r w:rsidRPr="00BA3A9A">
        <w:rPr>
          <w:rFonts w:asciiTheme="majorBidi" w:hAnsiTheme="majorBidi" w:cstheme="majorBidi"/>
          <w:i/>
          <w:iCs/>
          <w:shd w:val="clear" w:color="auto" w:fill="FFFFFF"/>
          <w:lang w:val="lv-LV"/>
        </w:rPr>
        <w:t>C02031808</w:t>
      </w:r>
      <w:bookmarkEnd w:id="2"/>
      <w:r w:rsidRPr="00BA3A9A">
        <w:rPr>
          <w:rFonts w:asciiTheme="majorBidi" w:hAnsiTheme="majorBidi" w:cstheme="majorBidi"/>
          <w:i/>
          <w:iCs/>
          <w:shd w:val="clear" w:color="auto" w:fill="FFFFFF"/>
          <w:lang w:val="lv-LV"/>
        </w:rPr>
        <w:t>, 12.punktu,</w:t>
      </w:r>
      <w:r w:rsidRPr="00BA3A9A">
        <w:rPr>
          <w:rFonts w:ascii="Helvetica" w:hAnsi="Helvetica"/>
          <w:b/>
          <w:bCs/>
          <w:sz w:val="18"/>
          <w:szCs w:val="18"/>
          <w:shd w:val="clear" w:color="auto" w:fill="FFFFFF"/>
          <w:lang w:val="lv-LV"/>
        </w:rPr>
        <w:t xml:space="preserve"> </w:t>
      </w:r>
      <w:bookmarkStart w:id="3" w:name="_Hlk203732947"/>
      <w:r w:rsidRPr="00BA3A9A">
        <w:rPr>
          <w:i/>
          <w:iCs/>
          <w:spacing w:val="-1"/>
          <w:lang w:val="lv-LV"/>
        </w:rPr>
        <w:t>2015.gada 27.februāra sprieduma lietā Nr.</w:t>
      </w:r>
      <w:r w:rsidR="00F84A39" w:rsidRPr="00BA3A9A">
        <w:rPr>
          <w:i/>
          <w:iCs/>
          <w:spacing w:val="-1"/>
          <w:lang w:val="lv-LV"/>
        </w:rPr>
        <w:t> </w:t>
      </w:r>
      <w:r w:rsidRPr="00BA3A9A">
        <w:rPr>
          <w:i/>
          <w:iCs/>
          <w:spacing w:val="-1"/>
          <w:lang w:val="lv-LV"/>
        </w:rPr>
        <w:t>SKC</w:t>
      </w:r>
      <w:r w:rsidR="00F84A39" w:rsidRPr="00BA3A9A">
        <w:rPr>
          <w:i/>
          <w:iCs/>
          <w:spacing w:val="-1"/>
          <w:lang w:val="lv-LV"/>
        </w:rPr>
        <w:noBreakHyphen/>
      </w:r>
      <w:r w:rsidRPr="00BA3A9A">
        <w:rPr>
          <w:i/>
          <w:iCs/>
          <w:spacing w:val="-1"/>
          <w:lang w:val="lv-LV"/>
        </w:rPr>
        <w:t xml:space="preserve">41/2015, </w:t>
      </w:r>
      <w:r w:rsidRPr="00BA3A9A">
        <w:rPr>
          <w:i/>
          <w:iCs/>
          <w:lang w:val="lv-LV"/>
        </w:rPr>
        <w:t>C30597910</w:t>
      </w:r>
      <w:bookmarkEnd w:id="3"/>
      <w:r w:rsidRPr="00BA3A9A">
        <w:rPr>
          <w:i/>
          <w:iCs/>
          <w:spacing w:val="-1"/>
          <w:lang w:val="lv-LV"/>
        </w:rPr>
        <w:t xml:space="preserve">, 7.punktu, </w:t>
      </w:r>
      <w:bookmarkStart w:id="4" w:name="_Hlk203732797"/>
      <w:r w:rsidRPr="00BA3A9A">
        <w:rPr>
          <w:i/>
          <w:iCs/>
          <w:spacing w:val="-1"/>
          <w:lang w:val="lv-LV"/>
        </w:rPr>
        <w:t>2024.gada 8.maija sprieduma lietā Nr. SKC</w:t>
      </w:r>
      <w:r w:rsidR="00F84A39" w:rsidRPr="00BA3A9A">
        <w:rPr>
          <w:i/>
          <w:iCs/>
          <w:spacing w:val="-1"/>
          <w:lang w:val="lv-LV"/>
        </w:rPr>
        <w:noBreakHyphen/>
      </w:r>
      <w:r w:rsidRPr="00BA3A9A">
        <w:rPr>
          <w:i/>
          <w:iCs/>
          <w:spacing w:val="-1"/>
          <w:lang w:val="lv-LV"/>
        </w:rPr>
        <w:t xml:space="preserve">176/2024, </w:t>
      </w:r>
      <w:hyperlink r:id="rId8" w:history="1">
        <w:r w:rsidR="00F84A39" w:rsidRPr="00BA3A9A">
          <w:rPr>
            <w:rStyle w:val="Hyperlink"/>
            <w:i/>
            <w:iCs/>
            <w:color w:val="auto"/>
            <w:spacing w:val="-1"/>
            <w:u w:val="none"/>
            <w:lang w:val="lv-LV"/>
          </w:rPr>
          <w:t>ECLI:LV:AT:2024:0508.C68195420.21.S</w:t>
        </w:r>
      </w:hyperlink>
      <w:bookmarkEnd w:id="4"/>
      <w:r w:rsidRPr="00BA3A9A">
        <w:rPr>
          <w:i/>
          <w:iCs/>
          <w:spacing w:val="-1"/>
          <w:lang w:val="lv-LV"/>
        </w:rPr>
        <w:t>, 10.2.punktu, u. c.</w:t>
      </w:r>
      <w:r w:rsidRPr="00BA3A9A">
        <w:rPr>
          <w:iCs/>
          <w:spacing w:val="-1"/>
          <w:lang w:val="lv-LV"/>
        </w:rPr>
        <w:t>).</w:t>
      </w:r>
      <w:r w:rsidRPr="00BA3A9A">
        <w:rPr>
          <w:i/>
          <w:iCs/>
          <w:spacing w:val="-1"/>
          <w:lang w:val="lv-LV"/>
        </w:rPr>
        <w:t xml:space="preserve"> </w:t>
      </w:r>
      <w:r w:rsidRPr="00BA3A9A">
        <w:rPr>
          <w:spacing w:val="-1"/>
          <w:lang w:val="lv-LV"/>
        </w:rPr>
        <w:t xml:space="preserve">Līdz ar to apgabaltiesai bija patstāvīgi jāizvērtē </w:t>
      </w:r>
      <w:r w:rsidR="00BA3A9A" w:rsidRPr="00BA3A9A">
        <w:rPr>
          <w:spacing w:val="-1"/>
          <w:lang w:val="lv-LV"/>
        </w:rPr>
        <w:t>lietas faktiskie apstākļi</w:t>
      </w:r>
      <w:r w:rsidR="00BA3A9A">
        <w:rPr>
          <w:spacing w:val="-1"/>
          <w:lang w:val="lv-LV"/>
        </w:rPr>
        <w:t>,</w:t>
      </w:r>
      <w:r w:rsidR="00BA3A9A" w:rsidRPr="00BA3A9A">
        <w:rPr>
          <w:spacing w:val="-1"/>
          <w:lang w:val="lv-LV"/>
        </w:rPr>
        <w:t xml:space="preserve"> jāsameklē un jāpiemēro faktiskajiem apstākļiem atbilstošā </w:t>
      </w:r>
      <w:r w:rsidR="00BA3A9A" w:rsidRPr="00BA3A9A">
        <w:rPr>
          <w:lang w:val="lv-LV"/>
        </w:rPr>
        <w:t xml:space="preserve">tiesību </w:t>
      </w:r>
      <w:r w:rsidRPr="00BA3A9A">
        <w:rPr>
          <w:lang w:val="lv-LV"/>
        </w:rPr>
        <w:t>norma</w:t>
      </w:r>
      <w:r w:rsidR="00F84A39" w:rsidRPr="00BA3A9A">
        <w:rPr>
          <w:lang w:val="lv-LV"/>
        </w:rPr>
        <w:t>, ko tiesa nav darījusi</w:t>
      </w:r>
      <w:r w:rsidRPr="00BA3A9A">
        <w:rPr>
          <w:lang w:val="lv-LV"/>
        </w:rPr>
        <w:t>.</w:t>
      </w:r>
    </w:p>
    <w:p w14:paraId="49D50AE4" w14:textId="0B25CC9D" w:rsidR="000A74D5" w:rsidRPr="00BA3A9A" w:rsidRDefault="000A74D5" w:rsidP="000A74D5">
      <w:pPr>
        <w:shd w:val="clear" w:color="auto" w:fill="FFFFFF"/>
        <w:spacing w:line="276" w:lineRule="auto"/>
        <w:ind w:firstLine="709"/>
        <w:jc w:val="both"/>
      </w:pPr>
      <w:r w:rsidRPr="00BA3A9A">
        <w:t xml:space="preserve">Tādējādi Senāts atzīst, ka </w:t>
      </w:r>
      <w:r w:rsidR="003F79A7" w:rsidRPr="00BA3A9A">
        <w:t>atsevišķ</w:t>
      </w:r>
      <w:r w:rsidRPr="00BA3A9A">
        <w:t>am dzīvokļa īpašniekam ir tiesības saņemt informāciju par pārvaldnieka nākamajam kalendāra</w:t>
      </w:r>
      <w:r w:rsidR="002A62DB">
        <w:t>jam</w:t>
      </w:r>
      <w:r w:rsidRPr="00BA3A9A">
        <w:t xml:space="preserve"> gadam sa</w:t>
      </w:r>
      <w:r w:rsidR="00BA3A9A">
        <w:t>gatavo</w:t>
      </w:r>
      <w:r w:rsidRPr="00BA3A9A">
        <w:t>tās dzīvojamās mājas pārvaldīšanas darbu tāmes pozīciju veidošanos, proti, saņemt tāmē iekļautas konkrētas pozīcijas apmēra pamatojumu.</w:t>
      </w:r>
    </w:p>
    <w:p w14:paraId="475646E1" w14:textId="77777777" w:rsidR="00A15BEF" w:rsidRPr="00BA3A9A" w:rsidRDefault="00A15BEF" w:rsidP="004913F2">
      <w:pPr>
        <w:shd w:val="clear" w:color="auto" w:fill="FFFFFF"/>
        <w:spacing w:line="276" w:lineRule="auto"/>
        <w:ind w:firstLine="709"/>
        <w:jc w:val="both"/>
        <w:rPr>
          <w:rFonts w:asciiTheme="majorBidi" w:hAnsiTheme="majorBidi" w:cstheme="majorBidi"/>
          <w:bCs/>
        </w:rPr>
      </w:pPr>
    </w:p>
    <w:p w14:paraId="121864F5" w14:textId="21B65A73" w:rsidR="002348D2" w:rsidRPr="00BA3A9A" w:rsidRDefault="00F84A39" w:rsidP="00A37951">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 xml:space="preserve">[13] Turklāt </w:t>
      </w:r>
      <w:r w:rsidR="00A37951">
        <w:t xml:space="preserve">[pers. A] </w:t>
      </w:r>
      <w:r w:rsidRPr="00BA3A9A">
        <w:rPr>
          <w:spacing w:val="-1"/>
        </w:rPr>
        <w:t>tiesības uz informāciju par tāmes izmaksu veidošanos noteic arī līgums, proti,</w:t>
      </w:r>
      <w:r w:rsidRPr="00BA3A9A">
        <w:rPr>
          <w:rFonts w:asciiTheme="majorBidi" w:hAnsiTheme="majorBidi" w:cstheme="majorBidi"/>
          <w:bCs/>
        </w:rPr>
        <w:t xml:space="preserve"> </w:t>
      </w:r>
      <w:r w:rsidR="002348D2" w:rsidRPr="00BA3A9A">
        <w:rPr>
          <w:rFonts w:asciiTheme="majorBidi" w:hAnsiTheme="majorBidi" w:cstheme="majorBidi"/>
          <w:bCs/>
        </w:rPr>
        <w:t xml:space="preserve">dzīvojamās mājas </w:t>
      </w:r>
      <w:r w:rsidR="00A37951">
        <w:rPr>
          <w:rFonts w:asciiTheme="majorBidi" w:hAnsiTheme="majorBidi" w:cstheme="majorBidi"/>
          <w:bCs/>
        </w:rPr>
        <w:t>[adrese]</w:t>
      </w:r>
      <w:r w:rsidR="002348D2" w:rsidRPr="00BA3A9A">
        <w:rPr>
          <w:rFonts w:asciiTheme="majorBidi" w:hAnsiTheme="majorBidi" w:cstheme="majorBidi"/>
          <w:bCs/>
        </w:rPr>
        <w:t xml:space="preserve"> (šobrīd –</w:t>
      </w:r>
      <w:r w:rsidR="00A37951">
        <w:rPr>
          <w:rFonts w:asciiTheme="majorBidi" w:hAnsiTheme="majorBidi" w:cstheme="majorBidi"/>
          <w:bCs/>
        </w:rPr>
        <w:t xml:space="preserve"> [adrese A</w:t>
      </w:r>
      <w:r w:rsidR="002348D2" w:rsidRPr="00BA3A9A">
        <w:rPr>
          <w:rFonts w:asciiTheme="majorBidi" w:hAnsiTheme="majorBidi" w:cstheme="majorBidi"/>
          <w:bCs/>
        </w:rPr>
        <w:t xml:space="preserve">), Rīgā, </w:t>
      </w:r>
      <w:r w:rsidRPr="00BA3A9A">
        <w:rPr>
          <w:rFonts w:asciiTheme="majorBidi" w:hAnsiTheme="majorBidi" w:cstheme="majorBidi"/>
          <w:bCs/>
        </w:rPr>
        <w:t>dzīvokļu īpašnieku kopības un DzĪKS „Jubilejas” pārvaldīšanas līgum</w:t>
      </w:r>
      <w:r w:rsidR="002348D2" w:rsidRPr="00BA3A9A">
        <w:rPr>
          <w:rFonts w:asciiTheme="majorBidi" w:hAnsiTheme="majorBidi" w:cstheme="majorBidi"/>
          <w:bCs/>
        </w:rPr>
        <w:t>s.</w:t>
      </w:r>
    </w:p>
    <w:p w14:paraId="073782A7" w14:textId="1DE5E3B7" w:rsidR="001238F8" w:rsidRPr="00BA3A9A" w:rsidRDefault="002348D2" w:rsidP="001238F8">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lastRenderedPageBreak/>
        <w:t xml:space="preserve">[13.1] </w:t>
      </w:r>
      <w:bookmarkStart w:id="5" w:name="_Hlk203733169"/>
      <w:r w:rsidR="00F84A39" w:rsidRPr="00BA3A9A">
        <w:rPr>
          <w:rFonts w:asciiTheme="majorBidi" w:hAnsiTheme="majorBidi" w:cstheme="majorBidi"/>
          <w:bCs/>
        </w:rPr>
        <w:t>Ministru kabineta 2017.gada 11.jūlija noteikum</w:t>
      </w:r>
      <w:r w:rsidRPr="00BA3A9A">
        <w:rPr>
          <w:rFonts w:asciiTheme="majorBidi" w:hAnsiTheme="majorBidi" w:cstheme="majorBidi"/>
          <w:bCs/>
        </w:rPr>
        <w:t>i</w:t>
      </w:r>
      <w:r w:rsidR="00F84A39" w:rsidRPr="00BA3A9A">
        <w:rPr>
          <w:rFonts w:asciiTheme="majorBidi" w:hAnsiTheme="majorBidi" w:cstheme="majorBidi"/>
          <w:bCs/>
        </w:rPr>
        <w:t xml:space="preserve"> Nr. 408 „Dzīvojamās mājas pārvaldīšanas un apsaimniekošanas maksas aprēķināšanas noteikumi”</w:t>
      </w:r>
      <w:r w:rsidRPr="00BA3A9A">
        <w:rPr>
          <w:rFonts w:asciiTheme="majorBidi" w:hAnsiTheme="majorBidi" w:cstheme="majorBidi"/>
          <w:bCs/>
        </w:rPr>
        <w:t xml:space="preserve"> </w:t>
      </w:r>
      <w:bookmarkEnd w:id="5"/>
      <w:r w:rsidRPr="00BA3A9A">
        <w:rPr>
          <w:rFonts w:asciiTheme="majorBidi" w:hAnsiTheme="majorBidi" w:cstheme="majorBidi"/>
          <w:bCs/>
        </w:rPr>
        <w:t>(turpmāk – Ministru kabineta noteikumi Nr. 408) kā normatīvais akts pušu attiecībā</w:t>
      </w:r>
      <w:r w:rsidR="00D06C31">
        <w:rPr>
          <w:rFonts w:asciiTheme="majorBidi" w:hAnsiTheme="majorBidi" w:cstheme="majorBidi"/>
          <w:bCs/>
        </w:rPr>
        <w:t>m</w:t>
      </w:r>
      <w:r w:rsidRPr="00BA3A9A">
        <w:rPr>
          <w:rFonts w:asciiTheme="majorBidi" w:hAnsiTheme="majorBidi" w:cstheme="majorBidi"/>
          <w:bCs/>
        </w:rPr>
        <w:t xml:space="preserve"> nav piemērojam</w:t>
      </w:r>
      <w:r w:rsidR="00D06C31">
        <w:rPr>
          <w:rFonts w:asciiTheme="majorBidi" w:hAnsiTheme="majorBidi" w:cstheme="majorBidi"/>
          <w:bCs/>
        </w:rPr>
        <w:t>s</w:t>
      </w:r>
      <w:r w:rsidR="00F84A39" w:rsidRPr="00BA3A9A">
        <w:rPr>
          <w:rFonts w:asciiTheme="majorBidi" w:hAnsiTheme="majorBidi" w:cstheme="majorBidi"/>
          <w:bCs/>
        </w:rPr>
        <w:t xml:space="preserve">. </w:t>
      </w:r>
    </w:p>
    <w:p w14:paraId="0E03B86E" w14:textId="45D6E9C7" w:rsidR="001238F8" w:rsidRPr="00BA3A9A" w:rsidRDefault="002348D2" w:rsidP="001238F8">
      <w:pPr>
        <w:shd w:val="clear" w:color="auto" w:fill="FFFFFF"/>
        <w:spacing w:line="276" w:lineRule="auto"/>
        <w:ind w:firstLine="709"/>
        <w:jc w:val="both"/>
        <w:rPr>
          <w:spacing w:val="-1"/>
        </w:rPr>
      </w:pPr>
      <w:r w:rsidRPr="00BA3A9A">
        <w:rPr>
          <w:rFonts w:asciiTheme="majorBidi" w:hAnsiTheme="majorBidi" w:cstheme="majorBidi"/>
          <w:bCs/>
        </w:rPr>
        <w:t>Šie noteikumi ir i</w:t>
      </w:r>
      <w:r w:rsidRPr="00BA3A9A">
        <w:rPr>
          <w:spacing w:val="-1"/>
        </w:rPr>
        <w:t>zdoti saskaņā ar likuma „</w:t>
      </w:r>
      <w:bookmarkStart w:id="6" w:name="_Hlk203733262"/>
      <w:r>
        <w:fldChar w:fldCharType="begin"/>
      </w:r>
      <w:r>
        <w:instrText>HYPERLINK "https://likumi.lv/ta/id/35770-par-valsts-un-pasvaldibu-dzivojamo-maju-privatizaciju" \t "_blank"</w:instrText>
      </w:r>
      <w:r>
        <w:fldChar w:fldCharType="separate"/>
      </w:r>
      <w:r w:rsidRPr="00BA3A9A">
        <w:rPr>
          <w:rStyle w:val="Hyperlink"/>
          <w:color w:val="auto"/>
          <w:spacing w:val="-1"/>
          <w:u w:val="none"/>
        </w:rPr>
        <w:t>Par valsts un pašvaldību</w:t>
      </w:r>
      <w:r w:rsidRPr="00BA3A9A">
        <w:rPr>
          <w:rStyle w:val="Hyperlink"/>
          <w:color w:val="auto"/>
          <w:spacing w:val="-1"/>
          <w:u w:val="none"/>
        </w:rPr>
        <w:br/>
        <w:t>dzīvojamo māju privatizāciju</w:t>
      </w:r>
      <w:r>
        <w:fldChar w:fldCharType="end"/>
      </w:r>
      <w:r w:rsidRPr="00BA3A9A">
        <w:rPr>
          <w:spacing w:val="-1"/>
        </w:rPr>
        <w:t>” 50.panta ceturto daļu</w:t>
      </w:r>
      <w:bookmarkEnd w:id="6"/>
      <w:r w:rsidRPr="00BA3A9A">
        <w:rPr>
          <w:spacing w:val="-1"/>
        </w:rPr>
        <w:t xml:space="preserve">, atbilstoši </w:t>
      </w:r>
      <w:r w:rsidR="00D06C31" w:rsidRPr="00BA3A9A">
        <w:rPr>
          <w:spacing w:val="-1"/>
        </w:rPr>
        <w:t xml:space="preserve">kurai </w:t>
      </w:r>
      <w:r w:rsidR="001238F8" w:rsidRPr="00BA3A9A">
        <w:rPr>
          <w:spacing w:val="-1"/>
        </w:rPr>
        <w:t xml:space="preserve">šie Ministru kabineta noteikumi ir piemērojami līdz </w:t>
      </w:r>
      <w:r w:rsidRPr="00BA3A9A">
        <w:rPr>
          <w:spacing w:val="-1"/>
        </w:rPr>
        <w:t>brīdim, kad dzīvokļu īpašnieku sabiedrība vai ar dzīvokļu īpašnieku savstarpēju līgumu pilnvarota persona ar nodošanas-pieņemšanas aktu pārņem dzīvojamās mājas pārvaldīšanas tiesības</w:t>
      </w:r>
      <w:r w:rsidR="00D17548">
        <w:rPr>
          <w:spacing w:val="-1"/>
        </w:rPr>
        <w:t xml:space="preserve"> (sk. arī </w:t>
      </w:r>
      <w:r w:rsidR="00D17548" w:rsidRPr="00DC6006">
        <w:rPr>
          <w:i/>
          <w:iCs/>
          <w:spacing w:val="-1"/>
        </w:rPr>
        <w:t xml:space="preserve">Senāta paplašinātā sastāva </w:t>
      </w:r>
      <w:bookmarkStart w:id="7" w:name="_Hlk203733369"/>
      <w:r w:rsidR="00D17548" w:rsidRPr="00DC6006">
        <w:rPr>
          <w:i/>
          <w:iCs/>
          <w:spacing w:val="-1"/>
        </w:rPr>
        <w:t>2021.gada 22.aprīļa sprieduma lietā Nr.</w:t>
      </w:r>
      <w:r w:rsidR="00D17548">
        <w:rPr>
          <w:i/>
          <w:iCs/>
          <w:spacing w:val="-1"/>
        </w:rPr>
        <w:t> </w:t>
      </w:r>
      <w:r w:rsidR="00D17548" w:rsidRPr="00DC6006">
        <w:rPr>
          <w:i/>
          <w:iCs/>
          <w:spacing w:val="-1"/>
        </w:rPr>
        <w:t>SKC</w:t>
      </w:r>
      <w:r w:rsidR="00D17548" w:rsidRPr="00DC6006">
        <w:rPr>
          <w:i/>
          <w:iCs/>
          <w:spacing w:val="-1"/>
        </w:rPr>
        <w:noBreakHyphen/>
        <w:t xml:space="preserve">1/2021, ECLI:LV:AT:2021:0422.C29653615.3.S, </w:t>
      </w:r>
      <w:bookmarkEnd w:id="7"/>
      <w:r w:rsidR="00D17548" w:rsidRPr="00DC6006">
        <w:rPr>
          <w:i/>
          <w:iCs/>
          <w:spacing w:val="-1"/>
        </w:rPr>
        <w:t>9.2.punkt</w:t>
      </w:r>
      <w:r w:rsidR="00D17548">
        <w:rPr>
          <w:i/>
          <w:iCs/>
          <w:spacing w:val="-1"/>
        </w:rPr>
        <w:t>u</w:t>
      </w:r>
      <w:r w:rsidR="00D17548">
        <w:rPr>
          <w:spacing w:val="-1"/>
        </w:rPr>
        <w:t>)</w:t>
      </w:r>
      <w:r w:rsidRPr="00BA3A9A">
        <w:rPr>
          <w:spacing w:val="-1"/>
        </w:rPr>
        <w:t>.</w:t>
      </w:r>
      <w:r w:rsidR="001238F8" w:rsidRPr="00BA3A9A">
        <w:rPr>
          <w:spacing w:val="-1"/>
        </w:rPr>
        <w:t xml:space="preserve"> </w:t>
      </w:r>
    </w:p>
    <w:p w14:paraId="4132CCDC" w14:textId="0404E5EC" w:rsidR="002348D2" w:rsidRPr="00BA3A9A" w:rsidRDefault="001238F8" w:rsidP="001238F8">
      <w:pPr>
        <w:shd w:val="clear" w:color="auto" w:fill="FFFFFF"/>
        <w:spacing w:line="276" w:lineRule="auto"/>
        <w:ind w:firstLine="709"/>
        <w:jc w:val="both"/>
        <w:rPr>
          <w:rFonts w:asciiTheme="majorBidi" w:hAnsiTheme="majorBidi" w:cstheme="majorBidi"/>
          <w:bCs/>
        </w:rPr>
      </w:pPr>
      <w:r w:rsidRPr="00BA3A9A">
        <w:rPr>
          <w:spacing w:val="-1"/>
        </w:rPr>
        <w:t xml:space="preserve">Lietā nav strīda un no pušu paskaidrojumiem izriet, ka dzīvokļu īpašnieki ir pārņēmuši </w:t>
      </w:r>
      <w:r w:rsidRPr="00BA3A9A">
        <w:rPr>
          <w:rFonts w:asciiTheme="majorBidi" w:hAnsiTheme="majorBidi" w:cstheme="majorBidi"/>
          <w:bCs/>
        </w:rPr>
        <w:t>dzīvojamās mājas</w:t>
      </w:r>
      <w:r w:rsidR="00A37951">
        <w:rPr>
          <w:rFonts w:asciiTheme="majorBidi" w:hAnsiTheme="majorBidi" w:cstheme="majorBidi"/>
          <w:bCs/>
        </w:rPr>
        <w:t xml:space="preserve"> [adrese A]</w:t>
      </w:r>
      <w:r w:rsidRPr="00BA3A9A">
        <w:rPr>
          <w:rFonts w:asciiTheme="majorBidi" w:hAnsiTheme="majorBidi" w:cstheme="majorBidi"/>
          <w:bCs/>
        </w:rPr>
        <w:t xml:space="preserve">, pārvaldīšanas tiesības, tādēļ Ministru kabineta noteikumi Nr. 408 kā normatīvais akts pušu attiecības neregulē. </w:t>
      </w:r>
    </w:p>
    <w:p w14:paraId="36A59AB0" w14:textId="75EEABC9" w:rsidR="00826A88" w:rsidRPr="00BA3A9A" w:rsidRDefault="001238F8" w:rsidP="001238F8">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 xml:space="preserve">[13.2] Taču, kā </w:t>
      </w:r>
      <w:r w:rsidR="00826A88" w:rsidRPr="00BA3A9A">
        <w:rPr>
          <w:rFonts w:asciiTheme="majorBidi" w:hAnsiTheme="majorBidi" w:cstheme="majorBidi"/>
          <w:bCs/>
        </w:rPr>
        <w:t xml:space="preserve">atbildētāja norādījusi un prasītājs nav apstrīdējis, pārvaldīšanas līguma 3.1.2.3.punktā noteikts, ka pārvaldīšanas darba plāns un nākama gada budžeta projekts, t. sk. pārvaldīšanas maksas aprēķins, ja līgumā nav noteikta cita kārtība, tiek izstrādāts un akceptēts, kā arī stājas spēkā atbilstoši </w:t>
      </w:r>
      <w:bookmarkStart w:id="8" w:name="_Hlk203733469"/>
      <w:r w:rsidR="00826A88" w:rsidRPr="00BA3A9A">
        <w:rPr>
          <w:rFonts w:asciiTheme="majorBidi" w:hAnsiTheme="majorBidi" w:cstheme="majorBidi"/>
          <w:bCs/>
        </w:rPr>
        <w:t>Ministru kabineta 2008.gada 9.decembra noteikumu Nr. 1014 „Kārtība, kādā aprēķināma maksa par dzīvojamās mājas pārvaldīšanu un apsaimniekošanu”</w:t>
      </w:r>
      <w:bookmarkEnd w:id="8"/>
      <w:r w:rsidR="00826A88" w:rsidRPr="00BA3A9A">
        <w:rPr>
          <w:rFonts w:asciiTheme="majorBidi" w:hAnsiTheme="majorBidi" w:cstheme="majorBidi"/>
          <w:bCs/>
        </w:rPr>
        <w:t xml:space="preserve"> noteiktajai kārtībai vai šo noteikumu spēka zaudēšanas gadījumā atbilstoši kārtībai, kādu nosaka statusu mainošais tiesību akts, kas regulē analoģiskas tiesiskās attiecības, vai saskaņā ar dzīvokļu īpašnieku kopības lēmumu.</w:t>
      </w:r>
    </w:p>
    <w:p w14:paraId="1737A987" w14:textId="2CB617F5" w:rsidR="00514530" w:rsidRPr="00BA3A9A" w:rsidRDefault="003519F6" w:rsidP="001238F8">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 xml:space="preserve">Tādējādi attiecībā uz minētajiem jautājumiem Ministru kabineta noteikumu Nr. 408 normas ir kļuvušas par pušu līguma noteikumiem. </w:t>
      </w:r>
    </w:p>
    <w:p w14:paraId="72DB3F3E" w14:textId="40472952" w:rsidR="0015578E" w:rsidRPr="00BA3A9A" w:rsidRDefault="00514530" w:rsidP="0015578E">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[13.3]</w:t>
      </w:r>
      <w:r w:rsidR="00826A88" w:rsidRPr="00BA3A9A">
        <w:rPr>
          <w:rFonts w:asciiTheme="majorBidi" w:hAnsiTheme="majorBidi" w:cstheme="majorBidi"/>
          <w:bCs/>
        </w:rPr>
        <w:t xml:space="preserve"> </w:t>
      </w:r>
      <w:r w:rsidRPr="00BA3A9A">
        <w:rPr>
          <w:rFonts w:asciiTheme="majorBidi" w:hAnsiTheme="majorBidi" w:cstheme="majorBidi"/>
          <w:bCs/>
        </w:rPr>
        <w:t>Ministru kabineta noteikumu Nr. 408</w:t>
      </w:r>
      <w:r w:rsidR="0015578E" w:rsidRPr="00BA3A9A">
        <w:rPr>
          <w:rFonts w:asciiTheme="majorBidi" w:hAnsiTheme="majorBidi" w:cstheme="majorBidi"/>
          <w:bCs/>
        </w:rPr>
        <w:t xml:space="preserve"> </w:t>
      </w:r>
      <w:bookmarkStart w:id="9" w:name="_Hlk203733566"/>
      <w:r w:rsidR="0015578E" w:rsidRPr="00BA3A9A">
        <w:rPr>
          <w:rFonts w:asciiTheme="majorBidi" w:hAnsiTheme="majorBidi" w:cstheme="majorBidi"/>
          <w:bCs/>
        </w:rPr>
        <w:t xml:space="preserve">26.punkts </w:t>
      </w:r>
      <w:bookmarkEnd w:id="9"/>
      <w:r w:rsidR="0015578E" w:rsidRPr="00BA3A9A">
        <w:rPr>
          <w:rFonts w:asciiTheme="majorBidi" w:hAnsiTheme="majorBidi" w:cstheme="majorBidi"/>
          <w:bCs/>
        </w:rPr>
        <w:t>noteic, ka pārvaldniekam ir pienākums savā grāmatvedības politikas aprakstā norādīt pārvaldīšanas darbību ietvaros nodrošināto pakalpojumu veidojošo izmaksu (tai skaitā netiešo izmaksu) veidošanas metodes.</w:t>
      </w:r>
      <w:bookmarkStart w:id="10" w:name="p27"/>
      <w:bookmarkStart w:id="11" w:name="p-629667"/>
      <w:bookmarkEnd w:id="10"/>
      <w:bookmarkEnd w:id="11"/>
      <w:r w:rsidR="0015578E" w:rsidRPr="00BA3A9A">
        <w:rPr>
          <w:rFonts w:asciiTheme="majorBidi" w:hAnsiTheme="majorBidi" w:cstheme="majorBidi"/>
          <w:bCs/>
        </w:rPr>
        <w:t xml:space="preserve"> Savukārt </w:t>
      </w:r>
      <w:bookmarkStart w:id="12" w:name="_Hlk203733586"/>
      <w:r w:rsidR="0015578E" w:rsidRPr="00BA3A9A">
        <w:rPr>
          <w:rFonts w:asciiTheme="majorBidi" w:hAnsiTheme="majorBidi" w:cstheme="majorBidi"/>
          <w:bCs/>
        </w:rPr>
        <w:t xml:space="preserve">27.punkts </w:t>
      </w:r>
      <w:bookmarkEnd w:id="12"/>
      <w:r w:rsidR="0015578E" w:rsidRPr="00BA3A9A">
        <w:rPr>
          <w:rFonts w:asciiTheme="majorBidi" w:hAnsiTheme="majorBidi" w:cstheme="majorBidi"/>
          <w:bCs/>
        </w:rPr>
        <w:t>paredz, ka pārvaldnieks četru nedēļu laikā pēc dzīvokļa īpašnieka rakstiska lūguma saņemšanas izsniedz dzīvokļa īpašniekam informāciju par ieņēmumiem un izdevumiem, kas attiecināmi uz dzīvojamo māju, tai skaitā informāciju par izmaksu veidošanas metodēm.</w:t>
      </w:r>
    </w:p>
    <w:p w14:paraId="25598F1E" w14:textId="08D383A6" w:rsidR="0015578E" w:rsidRPr="00BA3A9A" w:rsidRDefault="0015578E" w:rsidP="0015578E">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Š</w:t>
      </w:r>
      <w:r w:rsidR="00077FC9" w:rsidRPr="00BA3A9A">
        <w:rPr>
          <w:rFonts w:asciiTheme="majorBidi" w:hAnsiTheme="majorBidi" w:cstheme="majorBidi"/>
          <w:bCs/>
        </w:rPr>
        <w:t xml:space="preserve">ī </w:t>
      </w:r>
      <w:r w:rsidRPr="00BA3A9A">
        <w:rPr>
          <w:rFonts w:asciiTheme="majorBidi" w:hAnsiTheme="majorBidi" w:cstheme="majorBidi"/>
          <w:bCs/>
        </w:rPr>
        <w:t>no</w:t>
      </w:r>
      <w:r w:rsidR="00077FC9" w:rsidRPr="00BA3A9A">
        <w:rPr>
          <w:rFonts w:asciiTheme="majorBidi" w:hAnsiTheme="majorBidi" w:cstheme="majorBidi"/>
          <w:bCs/>
        </w:rPr>
        <w:t>rma</w:t>
      </w:r>
      <w:r w:rsidRPr="00BA3A9A">
        <w:rPr>
          <w:rFonts w:asciiTheme="majorBidi" w:hAnsiTheme="majorBidi" w:cstheme="majorBidi"/>
          <w:bCs/>
        </w:rPr>
        <w:t xml:space="preserve"> konkretizē Dzīvojamo māju pārvaldīšanas likuma </w:t>
      </w:r>
      <w:bookmarkStart w:id="13" w:name="_Hlk203733619"/>
      <w:r w:rsidRPr="00BA3A9A">
        <w:rPr>
          <w:rFonts w:asciiTheme="majorBidi" w:hAnsiTheme="majorBidi" w:cstheme="majorBidi"/>
          <w:bCs/>
        </w:rPr>
        <w:t xml:space="preserve">14.panta otrajā daļā </w:t>
      </w:r>
      <w:bookmarkEnd w:id="13"/>
      <w:r w:rsidRPr="00BA3A9A">
        <w:rPr>
          <w:rFonts w:asciiTheme="majorBidi" w:hAnsiTheme="majorBidi" w:cstheme="majorBidi"/>
          <w:bCs/>
        </w:rPr>
        <w:t>noteikto pārvaldnieka informācijas sniegšanas pienākumu tieši attiecībā uz Ministru kabineta noteikumu Nr. 408 kārtībā izstrādāt</w:t>
      </w:r>
      <w:r w:rsidR="00077FC9" w:rsidRPr="00BA3A9A">
        <w:rPr>
          <w:rFonts w:asciiTheme="majorBidi" w:hAnsiTheme="majorBidi" w:cstheme="majorBidi"/>
          <w:bCs/>
        </w:rPr>
        <w:t>ajiem dokumentiem – ne tikai dzīvojamās mājas pārvaldīšanas ieņēmumu un izdevumu pārskatu par iepriekšējo kalendār</w:t>
      </w:r>
      <w:r w:rsidR="002A62DB">
        <w:rPr>
          <w:rFonts w:asciiTheme="majorBidi" w:hAnsiTheme="majorBidi" w:cstheme="majorBidi"/>
          <w:bCs/>
        </w:rPr>
        <w:t>o</w:t>
      </w:r>
      <w:r w:rsidR="00077FC9" w:rsidRPr="00BA3A9A">
        <w:rPr>
          <w:rFonts w:asciiTheme="majorBidi" w:hAnsiTheme="majorBidi" w:cstheme="majorBidi"/>
          <w:bCs/>
        </w:rPr>
        <w:t xml:space="preserve"> gadu, bet arī </w:t>
      </w:r>
      <w:r w:rsidRPr="00BA3A9A">
        <w:rPr>
          <w:rFonts w:asciiTheme="majorBidi" w:hAnsiTheme="majorBidi" w:cstheme="majorBidi"/>
          <w:bCs/>
        </w:rPr>
        <w:t>dzīvojamās mājas uzturēšanas un apsaimniekošanas (pārvaldīšanas) darbu tāmi.</w:t>
      </w:r>
    </w:p>
    <w:p w14:paraId="2445D7EB" w14:textId="15C95FE7" w:rsidR="00EC4D41" w:rsidRPr="00BA3A9A" w:rsidRDefault="00EC4D41" w:rsidP="00EC4D41">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 xml:space="preserve">[13.4] Pretējā gadījumā dzīvokļu īpašniekiem šaubu gadījumā nebūtu iespēju pārliecināties par </w:t>
      </w:r>
      <w:r w:rsidR="00C240E7" w:rsidRPr="00BA3A9A">
        <w:rPr>
          <w:rFonts w:asciiTheme="majorBidi" w:hAnsiTheme="majorBidi" w:cstheme="majorBidi"/>
          <w:bCs/>
        </w:rPr>
        <w:t xml:space="preserve">tāmē norādīto izmaksu pamatotību un attiecīgi </w:t>
      </w:r>
      <w:r w:rsidRPr="00BA3A9A">
        <w:rPr>
          <w:rFonts w:asciiTheme="majorBidi" w:hAnsiTheme="majorBidi" w:cstheme="majorBidi"/>
          <w:bCs/>
        </w:rPr>
        <w:t xml:space="preserve">pārvaldnieka piedāvātās pārvaldīšanas pakalpojuma cenas pamatotību un </w:t>
      </w:r>
      <w:r w:rsidR="000F1F1F">
        <w:rPr>
          <w:rFonts w:asciiTheme="majorBidi" w:hAnsiTheme="majorBidi" w:cstheme="majorBidi"/>
          <w:bCs/>
        </w:rPr>
        <w:t>pieņem</w:t>
      </w:r>
      <w:r w:rsidRPr="00BA3A9A">
        <w:rPr>
          <w:rFonts w:asciiTheme="majorBidi" w:hAnsiTheme="majorBidi" w:cstheme="majorBidi"/>
          <w:bCs/>
        </w:rPr>
        <w:t xml:space="preserve">t informētu </w:t>
      </w:r>
      <w:r w:rsidR="000F1F1F">
        <w:rPr>
          <w:rFonts w:asciiTheme="majorBidi" w:hAnsiTheme="majorBidi" w:cstheme="majorBidi"/>
          <w:bCs/>
        </w:rPr>
        <w:t>lēmumu</w:t>
      </w:r>
      <w:r w:rsidRPr="00BA3A9A">
        <w:rPr>
          <w:rFonts w:asciiTheme="majorBidi" w:hAnsiTheme="majorBidi" w:cstheme="majorBidi"/>
          <w:bCs/>
        </w:rPr>
        <w:t xml:space="preserve"> par to Ministru kabineta noteikumu Nr. 408 </w:t>
      </w:r>
      <w:bookmarkStart w:id="14" w:name="_Hlk203733686"/>
      <w:r w:rsidRPr="00BA3A9A">
        <w:rPr>
          <w:rFonts w:asciiTheme="majorBidi" w:hAnsiTheme="majorBidi" w:cstheme="majorBidi"/>
          <w:bCs/>
        </w:rPr>
        <w:t xml:space="preserve">14.punktā </w:t>
      </w:r>
      <w:bookmarkEnd w:id="14"/>
      <w:r w:rsidRPr="00BA3A9A">
        <w:rPr>
          <w:rFonts w:asciiTheme="majorBidi" w:hAnsiTheme="majorBidi" w:cstheme="majorBidi"/>
          <w:bCs/>
        </w:rPr>
        <w:t>noteiktajā kārtībā.</w:t>
      </w:r>
    </w:p>
    <w:p w14:paraId="3359DC12" w14:textId="703FA3EE" w:rsidR="00EC4D41" w:rsidRPr="00BA3A9A" w:rsidRDefault="00EC4D41" w:rsidP="00EC4D41">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 xml:space="preserve">Proti, Ministru kabineta noteikumu Nr. 408 </w:t>
      </w:r>
      <w:bookmarkStart w:id="15" w:name="_Hlk203733713"/>
      <w:r w:rsidRPr="00BA3A9A">
        <w:rPr>
          <w:rFonts w:asciiTheme="majorBidi" w:hAnsiTheme="majorBidi" w:cstheme="majorBidi"/>
          <w:bCs/>
        </w:rPr>
        <w:t>10.punkts</w:t>
      </w:r>
      <w:bookmarkEnd w:id="15"/>
      <w:r w:rsidRPr="00BA3A9A">
        <w:rPr>
          <w:rFonts w:asciiTheme="majorBidi" w:hAnsiTheme="majorBidi" w:cstheme="majorBidi"/>
          <w:bCs/>
        </w:rPr>
        <w:t xml:space="preserve"> noteic, ka par aprēķinātajiem pārvaldīšanas izdevumiem nākamajam kalendāra</w:t>
      </w:r>
      <w:r w:rsidR="002A62DB">
        <w:rPr>
          <w:rFonts w:asciiTheme="majorBidi" w:hAnsiTheme="majorBidi" w:cstheme="majorBidi"/>
          <w:bCs/>
        </w:rPr>
        <w:t>jam</w:t>
      </w:r>
      <w:r w:rsidRPr="00BA3A9A">
        <w:rPr>
          <w:rFonts w:asciiTheme="majorBidi" w:hAnsiTheme="majorBidi" w:cstheme="majorBidi"/>
          <w:bCs/>
        </w:rPr>
        <w:t xml:space="preserve"> gadam pārvaldnieks rakstiski paziņo dzīvokļa īpašniekam līdz attiecīgā gada 15.oktobrim. Savukārt 14.punkts paredz, ka ne vēlāk kā sešu nedēļu laikā pēc šo noteikumu 10.punktā minētajā paziņojumā norādītās dienas dzīvokļu īpašnieku kopība pieņem lēmumu par pārvaldnieka sagatavotā </w:t>
      </w:r>
      <w:r w:rsidRPr="00BA3A9A">
        <w:rPr>
          <w:rFonts w:asciiTheme="majorBidi" w:hAnsiTheme="majorBidi" w:cstheme="majorBidi"/>
          <w:bCs/>
        </w:rPr>
        <w:lastRenderedPageBreak/>
        <w:t>dzīvojamās mājas uzturēšanas darbu plāna un aprēķināto pārvaldīšanas maksājumu apstiprināšanu vai noraidīšanu.</w:t>
      </w:r>
    </w:p>
    <w:p w14:paraId="4389A02A" w14:textId="75B713EF" w:rsidR="00EC4D41" w:rsidRPr="00BA3A9A" w:rsidRDefault="00F83DEC" w:rsidP="00EC4D41">
      <w:pPr>
        <w:shd w:val="clear" w:color="auto" w:fill="FFFFFF"/>
        <w:spacing w:line="276" w:lineRule="auto"/>
        <w:ind w:firstLine="709"/>
        <w:jc w:val="both"/>
        <w:rPr>
          <w:rFonts w:asciiTheme="majorBidi" w:hAnsiTheme="majorBidi" w:cstheme="majorBidi"/>
          <w:bCs/>
        </w:rPr>
      </w:pPr>
      <w:r>
        <w:rPr>
          <w:rFonts w:asciiTheme="majorBidi" w:hAnsiTheme="majorBidi" w:cstheme="majorBidi"/>
          <w:bCs/>
        </w:rPr>
        <w:t xml:space="preserve">Arī gadījumā, kad dzīvokļa īpašnieks attiecīgo informāciju pieprasa pēc iepriekšminētā lēmuma pieņemšanai noteiktā termiņa, tam arvien var būt leģitīms mērķis. Proti, </w:t>
      </w:r>
      <w:r w:rsidR="00EC4D41" w:rsidRPr="00BA3A9A">
        <w:rPr>
          <w:rFonts w:asciiTheme="majorBidi" w:hAnsiTheme="majorBidi" w:cstheme="majorBidi"/>
          <w:bCs/>
        </w:rPr>
        <w:t>bez pienācīgas informācijas par pārvaldnieka piedāvātās pārvaldīšanas pakalpojuma cenas pamatotīb</w:t>
      </w:r>
      <w:r w:rsidR="00BD7B3F" w:rsidRPr="00BA3A9A">
        <w:rPr>
          <w:rFonts w:asciiTheme="majorBidi" w:hAnsiTheme="majorBidi" w:cstheme="majorBidi"/>
          <w:bCs/>
        </w:rPr>
        <w:t>u</w:t>
      </w:r>
      <w:r w:rsidR="00EC4D41" w:rsidRPr="00BA3A9A">
        <w:rPr>
          <w:rFonts w:asciiTheme="majorBidi" w:hAnsiTheme="majorBidi" w:cstheme="majorBidi"/>
          <w:bCs/>
        </w:rPr>
        <w:t xml:space="preserve"> dzīvokļu īpašniekiem </w:t>
      </w:r>
      <w:r w:rsidR="00BD7B3F" w:rsidRPr="00BA3A9A">
        <w:rPr>
          <w:rFonts w:asciiTheme="majorBidi" w:hAnsiTheme="majorBidi" w:cstheme="majorBidi"/>
          <w:bCs/>
        </w:rPr>
        <w:t xml:space="preserve">var būt apgrūtināti </w:t>
      </w:r>
      <w:r w:rsidR="00EC4D41" w:rsidRPr="00BA3A9A">
        <w:rPr>
          <w:rFonts w:asciiTheme="majorBidi" w:hAnsiTheme="majorBidi" w:cstheme="majorBidi"/>
          <w:bCs/>
        </w:rPr>
        <w:t xml:space="preserve">apsvērt, vai konkrētajam pārvaldniekam joprojām uzticēt pārvaldīšanas uzdevumu.  </w:t>
      </w:r>
    </w:p>
    <w:p w14:paraId="040ED59B" w14:textId="3C401CB2" w:rsidR="00EC4D41" w:rsidRPr="00BA3A9A" w:rsidRDefault="00EC4D41" w:rsidP="00077FC9">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T</w:t>
      </w:r>
      <w:r w:rsidR="00BD7B3F" w:rsidRPr="00BA3A9A">
        <w:rPr>
          <w:rFonts w:asciiTheme="majorBidi" w:hAnsiTheme="majorBidi" w:cstheme="majorBidi"/>
          <w:bCs/>
        </w:rPr>
        <w:t>ādējādi t</w:t>
      </w:r>
      <w:r w:rsidR="00077FC9" w:rsidRPr="00BA3A9A">
        <w:rPr>
          <w:rFonts w:asciiTheme="majorBidi" w:hAnsiTheme="majorBidi" w:cstheme="majorBidi"/>
          <w:bCs/>
        </w:rPr>
        <w:t xml:space="preserve">iesības uz informāciju ir dzīvokļa īpašnieka būtiskas tiesības, kas nodrošina viņa iespēju līdzdarboties mājas pārvaldīšanā. </w:t>
      </w:r>
    </w:p>
    <w:p w14:paraId="42059A08" w14:textId="7027808E" w:rsidR="00D34C25" w:rsidRPr="00BA3A9A" w:rsidRDefault="00C240E7" w:rsidP="00C41B73">
      <w:pPr>
        <w:shd w:val="clear" w:color="auto" w:fill="FFFFFF"/>
        <w:spacing w:line="276" w:lineRule="auto"/>
        <w:ind w:firstLine="709"/>
        <w:jc w:val="both"/>
        <w:rPr>
          <w:rFonts w:asciiTheme="majorBidi" w:hAnsiTheme="majorBidi" w:cstheme="majorBidi"/>
          <w:bCs/>
        </w:rPr>
      </w:pPr>
      <w:r w:rsidRPr="00BA3A9A">
        <w:rPr>
          <w:rFonts w:asciiTheme="majorBidi" w:hAnsiTheme="majorBidi" w:cstheme="majorBidi"/>
          <w:bCs/>
        </w:rPr>
        <w:t xml:space="preserve">[13.5] </w:t>
      </w:r>
      <w:r w:rsidR="00D34C25" w:rsidRPr="00BA3A9A">
        <w:rPr>
          <w:rFonts w:asciiTheme="majorBidi" w:hAnsiTheme="majorBidi" w:cstheme="majorBidi"/>
          <w:bCs/>
        </w:rPr>
        <w:t xml:space="preserve">Apgabaltiesa nav sniegusi vērtējumu Ministru kabineta noteikumu Nr. 408 27.punktam, kas veido pušu pārvaldīšanas līguma noteikumus. </w:t>
      </w:r>
    </w:p>
    <w:p w14:paraId="47FCF5F6" w14:textId="797CC103" w:rsidR="001238F8" w:rsidRPr="00BA3A9A" w:rsidRDefault="00514530" w:rsidP="00C41B73">
      <w:pPr>
        <w:shd w:val="clear" w:color="auto" w:fill="FFFFFF"/>
        <w:spacing w:line="276" w:lineRule="auto"/>
        <w:ind w:firstLine="709"/>
        <w:jc w:val="both"/>
        <w:rPr>
          <w:spacing w:val="-1"/>
        </w:rPr>
      </w:pPr>
      <w:r w:rsidRPr="00BA3A9A">
        <w:rPr>
          <w:rFonts w:asciiTheme="majorBidi" w:hAnsiTheme="majorBidi" w:cstheme="majorBidi"/>
          <w:bCs/>
        </w:rPr>
        <w:t xml:space="preserve">Turklāt tiesa nav sniegusi vērtējumu arī pārvaldīšanas līguma 3.1.8.punktam, kas tieši paredz pārvaldnieka </w:t>
      </w:r>
      <w:r w:rsidR="00882015" w:rsidRPr="00BA3A9A">
        <w:rPr>
          <w:rFonts w:asciiTheme="majorBidi" w:hAnsiTheme="majorBidi" w:cstheme="majorBidi"/>
          <w:bCs/>
        </w:rPr>
        <w:t xml:space="preserve">informācijas sniegšanas </w:t>
      </w:r>
      <w:r w:rsidRPr="00BA3A9A">
        <w:rPr>
          <w:rFonts w:asciiTheme="majorBidi" w:hAnsiTheme="majorBidi" w:cstheme="majorBidi"/>
          <w:bCs/>
        </w:rPr>
        <w:t>pienākumu.</w:t>
      </w:r>
      <w:r w:rsidR="00826A88" w:rsidRPr="00BA3A9A">
        <w:rPr>
          <w:rFonts w:asciiTheme="majorBidi" w:hAnsiTheme="majorBidi" w:cstheme="majorBidi"/>
          <w:bCs/>
        </w:rPr>
        <w:t xml:space="preserve">  </w:t>
      </w:r>
    </w:p>
    <w:p w14:paraId="1DBBE4CD" w14:textId="77777777" w:rsidR="009708F1" w:rsidRPr="00BA3A9A" w:rsidRDefault="009708F1" w:rsidP="00AA7D22">
      <w:pPr>
        <w:shd w:val="clear" w:color="auto" w:fill="FFFFFF"/>
        <w:spacing w:line="276" w:lineRule="auto"/>
        <w:ind w:firstLine="709"/>
        <w:jc w:val="both"/>
        <w:rPr>
          <w:rFonts w:asciiTheme="majorBidi" w:hAnsiTheme="majorBidi" w:cstheme="majorBidi"/>
          <w:bCs/>
        </w:rPr>
      </w:pPr>
    </w:p>
    <w:p w14:paraId="45A15A07" w14:textId="5E8661C7" w:rsidR="00350198" w:rsidRPr="00BA3A9A" w:rsidRDefault="003164D9" w:rsidP="00640DE5">
      <w:pPr>
        <w:shd w:val="clear" w:color="auto" w:fill="FFFFFF"/>
        <w:spacing w:line="276" w:lineRule="auto"/>
        <w:ind w:firstLine="709"/>
        <w:jc w:val="both"/>
        <w:rPr>
          <w:rFonts w:asciiTheme="majorBidi" w:hAnsiTheme="majorBidi" w:cstheme="majorBidi"/>
        </w:rPr>
      </w:pPr>
      <w:r w:rsidRPr="00BA3A9A">
        <w:t>[1</w:t>
      </w:r>
      <w:r w:rsidR="005A5921" w:rsidRPr="00BA3A9A">
        <w:t>4</w:t>
      </w:r>
      <w:r w:rsidRPr="00BA3A9A">
        <w:t xml:space="preserve">] </w:t>
      </w:r>
      <w:r w:rsidR="00350198" w:rsidRPr="00BA3A9A">
        <w:t xml:space="preserve">Senāts arī atzīst, ka apgabaltiesa bez pietiekama pamata secinājusi, ka </w:t>
      </w:r>
      <w:r w:rsidR="00350198" w:rsidRPr="00BA3A9A">
        <w:rPr>
          <w:rFonts w:asciiTheme="majorBidi" w:hAnsiTheme="majorBidi" w:cstheme="majorBidi"/>
        </w:rPr>
        <w:t xml:space="preserve">neesot konstatējams </w:t>
      </w:r>
      <w:r w:rsidR="00A37951">
        <w:t xml:space="preserve">[pers. A] </w:t>
      </w:r>
      <w:r w:rsidR="00350198" w:rsidRPr="00BA3A9A">
        <w:rPr>
          <w:rFonts w:asciiTheme="majorBidi" w:hAnsiTheme="majorBidi" w:cstheme="majorBidi"/>
        </w:rPr>
        <w:t xml:space="preserve">tiesību aizskārums, jo DzĪKS „Jubilejas” 2023.gada 29.augusta atbildē uz </w:t>
      </w:r>
      <w:r w:rsidR="00A37951">
        <w:t xml:space="preserve">[pers. A] </w:t>
      </w:r>
      <w:r w:rsidR="00350198" w:rsidRPr="00BA3A9A">
        <w:rPr>
          <w:rFonts w:asciiTheme="majorBidi" w:hAnsiTheme="majorBidi" w:cstheme="majorBidi"/>
        </w:rPr>
        <w:t>2023.gada 25.janvāra iesniegumu izskaidrojusi, ka plānotie izdevumi 2023.gadam pozīcijā „Juridiskie pakalpojumi” noteikti, ņemot vērā 2022.gada un 2021.gada izdevumus, kas ietver izdevumus par juridisko pakalpojumu sniedzēja pakalpojumiem, parādu piedziņas izdevumus, valsts nodevas par tiesvedībām un piedziņas procesiem.</w:t>
      </w:r>
    </w:p>
    <w:p w14:paraId="0CEF15C6" w14:textId="4AE804D5" w:rsidR="00350198" w:rsidRPr="00BA3A9A" w:rsidRDefault="00350198" w:rsidP="0004042B">
      <w:pPr>
        <w:shd w:val="clear" w:color="auto" w:fill="FFFFFF"/>
        <w:spacing w:line="276" w:lineRule="auto"/>
        <w:ind w:firstLine="709"/>
        <w:jc w:val="both"/>
      </w:pPr>
      <w:r w:rsidRPr="00BA3A9A">
        <w:t xml:space="preserve">Pirmkārt, tiesa nav ņēmusi vērā, ka laikā, kad prasītājs cēla prasību, šī atbilde nebija sniegta. Lai gan vispārīgi atbildētājs var tiesvedības laikā novērst prasītāja tiesību aizskārumu, </w:t>
      </w:r>
      <w:r w:rsidR="0004042B" w:rsidRPr="00BA3A9A">
        <w:t>tas nenozīmē, ka prasība bija celta nepamatoti un prasītājam jāsedz tiesas izdevumi.</w:t>
      </w:r>
    </w:p>
    <w:p w14:paraId="6ACAACD1" w14:textId="19CDDC81" w:rsidR="0004042B" w:rsidRPr="00BA3A9A" w:rsidRDefault="00350198" w:rsidP="00640DE5">
      <w:pPr>
        <w:shd w:val="clear" w:color="auto" w:fill="FFFFFF"/>
        <w:spacing w:line="276" w:lineRule="auto"/>
        <w:ind w:firstLine="709"/>
        <w:jc w:val="both"/>
        <w:rPr>
          <w:rFonts w:asciiTheme="majorBidi" w:hAnsiTheme="majorBidi" w:cstheme="majorBidi"/>
        </w:rPr>
      </w:pPr>
      <w:r w:rsidRPr="00BA3A9A">
        <w:t xml:space="preserve">Otrkārt, </w:t>
      </w:r>
      <w:r w:rsidR="0004042B" w:rsidRPr="00BA3A9A">
        <w:t>tiesa nav apsvērusi</w:t>
      </w:r>
      <w:r w:rsidR="0004042B" w:rsidRPr="00BA3A9A">
        <w:rPr>
          <w:rFonts w:asciiTheme="majorBidi" w:hAnsiTheme="majorBidi" w:cstheme="majorBidi"/>
        </w:rPr>
        <w:t xml:space="preserve"> DzĪKS „Jubilejas” 2023.gada 29.augusta atbildē sniegtās informācijas saturu, proti, vai tā dzīvokļa īpašniekam sniedz tādas ziņas, no kurām viņš saprātīgi varētu noskaidrot, kāpēc</w:t>
      </w:r>
      <w:r w:rsidR="00277DD4" w:rsidRPr="00BA3A9A">
        <w:rPr>
          <w:rFonts w:asciiTheme="majorBidi" w:hAnsiTheme="majorBidi" w:cstheme="majorBidi"/>
        </w:rPr>
        <w:t xml:space="preserve"> </w:t>
      </w:r>
      <w:r w:rsidR="0004042B" w:rsidRPr="00BA3A9A">
        <w:rPr>
          <w:rFonts w:asciiTheme="majorBidi" w:hAnsiTheme="majorBidi" w:cstheme="majorBidi"/>
        </w:rPr>
        <w:t>konkrētās izmaksas ir ieplānotas tieši konkrētajā apmērā.</w:t>
      </w:r>
      <w:r w:rsidR="00277DD4" w:rsidRPr="00BA3A9A">
        <w:rPr>
          <w:rFonts w:asciiTheme="majorBidi" w:hAnsiTheme="majorBidi" w:cstheme="majorBidi"/>
        </w:rPr>
        <w:t xml:space="preserve"> </w:t>
      </w:r>
    </w:p>
    <w:p w14:paraId="612B1418" w14:textId="77777777" w:rsidR="003164D9" w:rsidRPr="00BA3A9A" w:rsidRDefault="003164D9" w:rsidP="00640DE5">
      <w:pPr>
        <w:shd w:val="clear" w:color="auto" w:fill="FFFFFF"/>
        <w:spacing w:line="276" w:lineRule="auto"/>
        <w:ind w:firstLine="709"/>
        <w:jc w:val="both"/>
      </w:pPr>
    </w:p>
    <w:p w14:paraId="1095B17A" w14:textId="56E3F6D7" w:rsidR="003164D9" w:rsidRPr="00BA3A9A" w:rsidRDefault="003164D9" w:rsidP="003164D9">
      <w:pPr>
        <w:spacing w:line="276" w:lineRule="auto"/>
        <w:ind w:firstLine="720"/>
        <w:jc w:val="both"/>
      </w:pPr>
      <w:r w:rsidRPr="00BA3A9A">
        <w:t>[1</w:t>
      </w:r>
      <w:r w:rsidR="005A5921" w:rsidRPr="00BA3A9A">
        <w:t>5</w:t>
      </w:r>
      <w:r w:rsidRPr="00BA3A9A">
        <w:t>] Iepriekš izklāstīto argumentu kopums Senāta ieskatā ļauj secināt, ka konstatētie trūkumi materiālo tiesību normu piemērošanā un procesuālie pārkāpumi liet</w:t>
      </w:r>
      <w:r w:rsidR="00F97B30" w:rsidRPr="00BA3A9A">
        <w:t>ā piemērojamo tiesību normu</w:t>
      </w:r>
      <w:r w:rsidRPr="00BA3A9A">
        <w:t xml:space="preserve"> noskaidrošanā</w:t>
      </w:r>
      <w:r w:rsidR="005A5921" w:rsidRPr="00BA3A9A">
        <w:t xml:space="preserve">, līguma noteikumu </w:t>
      </w:r>
      <w:r w:rsidR="007F61E4" w:rsidRPr="00BA3A9A">
        <w:t xml:space="preserve">un atbildētājas atbildes </w:t>
      </w:r>
      <w:r w:rsidR="005A5921" w:rsidRPr="00BA3A9A">
        <w:t>vērtēšanā</w:t>
      </w:r>
      <w:r w:rsidRPr="00BA3A9A">
        <w:t xml:space="preserve"> un spriedumā izdarīto secinājumu pamatošanā vērtējami kā tādi, kas varēja novest pie lietas nepareizas izspriešanas. Tas ir pamats sprieduma atcelšanai.</w:t>
      </w:r>
    </w:p>
    <w:p w14:paraId="7ABE45C4" w14:textId="77777777" w:rsidR="00E9059E" w:rsidRPr="00BA3A9A" w:rsidRDefault="00E9059E" w:rsidP="00640DE5">
      <w:pPr>
        <w:shd w:val="clear" w:color="auto" w:fill="FFFFFF"/>
        <w:spacing w:line="276" w:lineRule="auto"/>
        <w:ind w:firstLine="709"/>
        <w:jc w:val="both"/>
      </w:pPr>
    </w:p>
    <w:p w14:paraId="18BC02D7" w14:textId="77777777" w:rsidR="00E9059E" w:rsidRPr="00BA3A9A" w:rsidRDefault="00E9059E" w:rsidP="00640DE5">
      <w:pPr>
        <w:shd w:val="clear" w:color="auto" w:fill="FFFFFF"/>
        <w:spacing w:line="276" w:lineRule="auto"/>
        <w:jc w:val="center"/>
      </w:pPr>
      <w:r w:rsidRPr="00BA3A9A">
        <w:rPr>
          <w:b/>
          <w:bCs/>
        </w:rPr>
        <w:t>Rezolutīvā daļa</w:t>
      </w:r>
    </w:p>
    <w:p w14:paraId="7FC5A4FA" w14:textId="77777777" w:rsidR="00E9059E" w:rsidRPr="00BA3A9A" w:rsidRDefault="00E9059E" w:rsidP="00640DE5">
      <w:pPr>
        <w:spacing w:line="276" w:lineRule="auto"/>
        <w:jc w:val="center"/>
        <w:rPr>
          <w:b/>
          <w:bCs/>
        </w:rPr>
      </w:pPr>
    </w:p>
    <w:p w14:paraId="5C5717D5" w14:textId="77777777" w:rsidR="00E9059E" w:rsidRPr="00BA3A9A" w:rsidRDefault="00E9059E" w:rsidP="003C0C96">
      <w:pPr>
        <w:spacing w:after="240" w:line="276" w:lineRule="auto"/>
        <w:ind w:firstLine="720"/>
        <w:jc w:val="both"/>
      </w:pPr>
      <w:r w:rsidRPr="00BA3A9A">
        <w:t>Ņemot vērā minēto un pamatojoties uz Civilprocesa likuma 474.panta 2.punktu un 475.pantu, Senāts</w:t>
      </w:r>
    </w:p>
    <w:p w14:paraId="143A40E4" w14:textId="77777777" w:rsidR="00E9059E" w:rsidRPr="00BA3A9A" w:rsidRDefault="00E9059E" w:rsidP="00640DE5">
      <w:pPr>
        <w:spacing w:line="276" w:lineRule="auto"/>
        <w:jc w:val="center"/>
        <w:rPr>
          <w:b/>
        </w:rPr>
      </w:pPr>
      <w:r w:rsidRPr="00BA3A9A">
        <w:rPr>
          <w:b/>
        </w:rPr>
        <w:t>nosprieda</w:t>
      </w:r>
    </w:p>
    <w:p w14:paraId="19D81DA2" w14:textId="77777777" w:rsidR="00E9059E" w:rsidRPr="00BA3A9A" w:rsidRDefault="00E9059E" w:rsidP="00640DE5">
      <w:pPr>
        <w:spacing w:line="276" w:lineRule="auto"/>
        <w:jc w:val="center"/>
        <w:rPr>
          <w:b/>
        </w:rPr>
      </w:pPr>
    </w:p>
    <w:p w14:paraId="12F5892D" w14:textId="4CA46173" w:rsidR="00E9059E" w:rsidRPr="00BA3A9A" w:rsidRDefault="00E9059E" w:rsidP="00640DE5">
      <w:pPr>
        <w:shd w:val="clear" w:color="auto" w:fill="FFFFFF"/>
        <w:spacing w:line="276" w:lineRule="auto"/>
        <w:ind w:firstLine="720"/>
        <w:jc w:val="both"/>
      </w:pPr>
      <w:r w:rsidRPr="00BA3A9A">
        <w:t xml:space="preserve">atcelt </w:t>
      </w:r>
      <w:r w:rsidR="00A8285D" w:rsidRPr="00BA3A9A">
        <w:t>Rīgas</w:t>
      </w:r>
      <w:r w:rsidRPr="00BA3A9A">
        <w:t xml:space="preserve"> apgabaltiesas 202</w:t>
      </w:r>
      <w:r w:rsidR="00A8285D" w:rsidRPr="00BA3A9A">
        <w:t>5</w:t>
      </w:r>
      <w:r w:rsidRPr="00BA3A9A">
        <w:t xml:space="preserve">.gada </w:t>
      </w:r>
      <w:r w:rsidR="00A8285D" w:rsidRPr="00BA3A9A">
        <w:t>2</w:t>
      </w:r>
      <w:r w:rsidRPr="00BA3A9A">
        <w:t>.</w:t>
      </w:r>
      <w:r w:rsidR="00A8285D" w:rsidRPr="00BA3A9A">
        <w:t>aprīļa</w:t>
      </w:r>
      <w:r w:rsidRPr="00BA3A9A">
        <w:t xml:space="preserve"> spriedumu un nodot lietu jaunai izskatīšanai </w:t>
      </w:r>
      <w:r w:rsidR="00A8285D" w:rsidRPr="00BA3A9A">
        <w:t>Rīgas</w:t>
      </w:r>
      <w:r w:rsidRPr="00BA3A9A">
        <w:t xml:space="preserve"> apgabaltiesai</w:t>
      </w:r>
      <w:r w:rsidR="00A33B45" w:rsidRPr="00BA3A9A">
        <w:t>.</w:t>
      </w:r>
    </w:p>
    <w:p w14:paraId="330EDC22" w14:textId="77777777" w:rsidR="00E9059E" w:rsidRPr="00BA3A9A" w:rsidRDefault="00E9059E" w:rsidP="00640DE5">
      <w:pPr>
        <w:shd w:val="clear" w:color="auto" w:fill="FFFFFF"/>
        <w:spacing w:line="276" w:lineRule="auto"/>
        <w:ind w:firstLine="709"/>
        <w:jc w:val="both"/>
      </w:pPr>
      <w:r w:rsidRPr="00BA3A9A">
        <w:t>Spriedums nav pārsūdzams.</w:t>
      </w:r>
    </w:p>
    <w:sectPr w:rsidR="00E9059E" w:rsidRPr="00BA3A9A" w:rsidSect="00640DE5">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B871" w14:textId="77777777" w:rsidR="001031F8" w:rsidRDefault="001031F8" w:rsidP="0099231E">
      <w:r>
        <w:separator/>
      </w:r>
    </w:p>
  </w:endnote>
  <w:endnote w:type="continuationSeparator" w:id="0">
    <w:p w14:paraId="4D3970BC" w14:textId="77777777" w:rsidR="001031F8" w:rsidRDefault="001031F8" w:rsidP="0099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F78E" w14:textId="05784C6E" w:rsidR="007A1766" w:rsidRPr="009F6403" w:rsidRDefault="007A1766" w:rsidP="007A1766">
    <w:pPr>
      <w:pStyle w:val="Footer"/>
      <w:jc w:val="center"/>
      <w:rPr>
        <w:sz w:val="20"/>
        <w:szCs w:val="20"/>
      </w:rPr>
    </w:pPr>
    <w:r w:rsidRPr="009F6403">
      <w:rPr>
        <w:rStyle w:val="PageNumber"/>
        <w:rFonts w:eastAsiaTheme="majorEastAsia"/>
        <w:sz w:val="20"/>
        <w:szCs w:val="20"/>
      </w:rPr>
      <w:fldChar w:fldCharType="begin"/>
    </w:r>
    <w:r w:rsidRPr="009F6403">
      <w:rPr>
        <w:rStyle w:val="PageNumber"/>
        <w:rFonts w:eastAsiaTheme="majorEastAsia"/>
        <w:sz w:val="20"/>
        <w:szCs w:val="20"/>
      </w:rPr>
      <w:instrText xml:space="preserve">PAGE  </w:instrText>
    </w:r>
    <w:r w:rsidRPr="009F6403">
      <w:rPr>
        <w:rStyle w:val="PageNumber"/>
        <w:rFonts w:eastAsiaTheme="majorEastAsia"/>
        <w:sz w:val="20"/>
        <w:szCs w:val="20"/>
      </w:rPr>
      <w:fldChar w:fldCharType="separate"/>
    </w:r>
    <w:r>
      <w:rPr>
        <w:rStyle w:val="PageNumber"/>
        <w:rFonts w:eastAsiaTheme="majorEastAsia"/>
        <w:sz w:val="20"/>
        <w:szCs w:val="20"/>
      </w:rPr>
      <w:t>1</w:t>
    </w:r>
    <w:r w:rsidRPr="009F6403">
      <w:rPr>
        <w:rStyle w:val="PageNumber"/>
        <w:rFonts w:eastAsiaTheme="majorEastAsia"/>
        <w:sz w:val="20"/>
        <w:szCs w:val="20"/>
      </w:rPr>
      <w:fldChar w:fldCharType="end"/>
    </w:r>
    <w:r w:rsidRPr="009F6403">
      <w:rPr>
        <w:rStyle w:val="PageNumber"/>
        <w:rFonts w:eastAsiaTheme="majorEastAsia"/>
        <w:sz w:val="20"/>
        <w:szCs w:val="20"/>
      </w:rPr>
      <w:t xml:space="preserve"> no </w:t>
    </w:r>
    <w:r w:rsidRPr="009F6403">
      <w:rPr>
        <w:rStyle w:val="PageNumber"/>
        <w:rFonts w:eastAsiaTheme="majorEastAsia"/>
        <w:noProof/>
        <w:sz w:val="20"/>
        <w:szCs w:val="20"/>
      </w:rPr>
      <w:fldChar w:fldCharType="begin"/>
    </w:r>
    <w:r w:rsidRPr="009F6403">
      <w:rPr>
        <w:rStyle w:val="PageNumber"/>
        <w:rFonts w:eastAsiaTheme="majorEastAsia"/>
        <w:noProof/>
        <w:sz w:val="20"/>
        <w:szCs w:val="20"/>
      </w:rPr>
      <w:instrText xml:space="preserve"> SECTIONPAGES   \* MERGEFORMAT </w:instrText>
    </w:r>
    <w:r w:rsidRPr="009F6403">
      <w:rPr>
        <w:rStyle w:val="PageNumber"/>
        <w:rFonts w:eastAsiaTheme="majorEastAsia"/>
        <w:noProof/>
        <w:sz w:val="20"/>
        <w:szCs w:val="20"/>
      </w:rPr>
      <w:fldChar w:fldCharType="separate"/>
    </w:r>
    <w:r w:rsidR="00AB011E">
      <w:rPr>
        <w:rStyle w:val="PageNumber"/>
        <w:rFonts w:eastAsiaTheme="majorEastAsia"/>
        <w:noProof/>
        <w:sz w:val="20"/>
        <w:szCs w:val="20"/>
      </w:rPr>
      <w:t>9</w:t>
    </w:r>
    <w:r w:rsidRPr="009F6403">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6335" w14:textId="77777777" w:rsidR="001031F8" w:rsidRDefault="001031F8" w:rsidP="0099231E">
      <w:r>
        <w:separator/>
      </w:r>
    </w:p>
  </w:footnote>
  <w:footnote w:type="continuationSeparator" w:id="0">
    <w:p w14:paraId="11B18A37" w14:textId="77777777" w:rsidR="001031F8" w:rsidRDefault="001031F8" w:rsidP="00992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F2B"/>
    <w:multiLevelType w:val="hybridMultilevel"/>
    <w:tmpl w:val="481E2DD2"/>
    <w:lvl w:ilvl="0" w:tplc="B27A9C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1393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9E"/>
    <w:rsid w:val="00004E86"/>
    <w:rsid w:val="00017D67"/>
    <w:rsid w:val="00030B4F"/>
    <w:rsid w:val="0003120B"/>
    <w:rsid w:val="00035FB2"/>
    <w:rsid w:val="0004042B"/>
    <w:rsid w:val="00043D23"/>
    <w:rsid w:val="00053AC2"/>
    <w:rsid w:val="00056799"/>
    <w:rsid w:val="0006189F"/>
    <w:rsid w:val="00061D10"/>
    <w:rsid w:val="00077FC9"/>
    <w:rsid w:val="000A74D5"/>
    <w:rsid w:val="000B5AC1"/>
    <w:rsid w:val="000D6347"/>
    <w:rsid w:val="000E6DE8"/>
    <w:rsid w:val="000E7319"/>
    <w:rsid w:val="000F1F1F"/>
    <w:rsid w:val="001031F8"/>
    <w:rsid w:val="00112CA5"/>
    <w:rsid w:val="001238F8"/>
    <w:rsid w:val="001262F5"/>
    <w:rsid w:val="0015578E"/>
    <w:rsid w:val="00194FC0"/>
    <w:rsid w:val="001A2DA4"/>
    <w:rsid w:val="001A79C6"/>
    <w:rsid w:val="001D2AF6"/>
    <w:rsid w:val="001D67DC"/>
    <w:rsid w:val="001D69A2"/>
    <w:rsid w:val="001E1E74"/>
    <w:rsid w:val="001E4305"/>
    <w:rsid w:val="001E5CEF"/>
    <w:rsid w:val="001F5E01"/>
    <w:rsid w:val="00206397"/>
    <w:rsid w:val="00226C94"/>
    <w:rsid w:val="002348D2"/>
    <w:rsid w:val="0025089E"/>
    <w:rsid w:val="002544BE"/>
    <w:rsid w:val="00265346"/>
    <w:rsid w:val="00274E97"/>
    <w:rsid w:val="0027511F"/>
    <w:rsid w:val="00276CAD"/>
    <w:rsid w:val="00277DD4"/>
    <w:rsid w:val="00283704"/>
    <w:rsid w:val="0029006F"/>
    <w:rsid w:val="002A62DB"/>
    <w:rsid w:val="002E7331"/>
    <w:rsid w:val="00301B82"/>
    <w:rsid w:val="003079FB"/>
    <w:rsid w:val="003164D9"/>
    <w:rsid w:val="00316F6A"/>
    <w:rsid w:val="00325CC4"/>
    <w:rsid w:val="00334C4B"/>
    <w:rsid w:val="00342459"/>
    <w:rsid w:val="00350198"/>
    <w:rsid w:val="003519F6"/>
    <w:rsid w:val="00361BAF"/>
    <w:rsid w:val="0037741C"/>
    <w:rsid w:val="003813AC"/>
    <w:rsid w:val="00394271"/>
    <w:rsid w:val="003A3E94"/>
    <w:rsid w:val="003B102D"/>
    <w:rsid w:val="003B23F0"/>
    <w:rsid w:val="003C0C96"/>
    <w:rsid w:val="003C23B4"/>
    <w:rsid w:val="003D2A55"/>
    <w:rsid w:val="003F79A7"/>
    <w:rsid w:val="004277A0"/>
    <w:rsid w:val="00431D70"/>
    <w:rsid w:val="00457102"/>
    <w:rsid w:val="004611E7"/>
    <w:rsid w:val="00464BB7"/>
    <w:rsid w:val="00467281"/>
    <w:rsid w:val="00477712"/>
    <w:rsid w:val="00484486"/>
    <w:rsid w:val="00485BD0"/>
    <w:rsid w:val="00487583"/>
    <w:rsid w:val="004913F2"/>
    <w:rsid w:val="004A65C8"/>
    <w:rsid w:val="004B7CC0"/>
    <w:rsid w:val="004E6F7A"/>
    <w:rsid w:val="004F6618"/>
    <w:rsid w:val="00506BD6"/>
    <w:rsid w:val="005144B2"/>
    <w:rsid w:val="00514530"/>
    <w:rsid w:val="00520658"/>
    <w:rsid w:val="00540F29"/>
    <w:rsid w:val="005660FC"/>
    <w:rsid w:val="00576F70"/>
    <w:rsid w:val="005A5921"/>
    <w:rsid w:val="005C7EB1"/>
    <w:rsid w:val="005D43A9"/>
    <w:rsid w:val="005F6E5C"/>
    <w:rsid w:val="006204B6"/>
    <w:rsid w:val="00626FED"/>
    <w:rsid w:val="00635716"/>
    <w:rsid w:val="00640DE5"/>
    <w:rsid w:val="00665858"/>
    <w:rsid w:val="006A390D"/>
    <w:rsid w:val="006A41BE"/>
    <w:rsid w:val="006A7C06"/>
    <w:rsid w:val="006B1746"/>
    <w:rsid w:val="006B501F"/>
    <w:rsid w:val="006F11CE"/>
    <w:rsid w:val="0072368B"/>
    <w:rsid w:val="007360D4"/>
    <w:rsid w:val="00736433"/>
    <w:rsid w:val="00740BD9"/>
    <w:rsid w:val="007427D5"/>
    <w:rsid w:val="007546CF"/>
    <w:rsid w:val="007816EE"/>
    <w:rsid w:val="00790E51"/>
    <w:rsid w:val="007A1766"/>
    <w:rsid w:val="007A3B0A"/>
    <w:rsid w:val="007C5D97"/>
    <w:rsid w:val="007D341A"/>
    <w:rsid w:val="007F2784"/>
    <w:rsid w:val="007F61E4"/>
    <w:rsid w:val="00806179"/>
    <w:rsid w:val="00826A88"/>
    <w:rsid w:val="0085165F"/>
    <w:rsid w:val="00854D0F"/>
    <w:rsid w:val="008569DC"/>
    <w:rsid w:val="00882015"/>
    <w:rsid w:val="0089593F"/>
    <w:rsid w:val="008A69D9"/>
    <w:rsid w:val="008C7E34"/>
    <w:rsid w:val="008E3862"/>
    <w:rsid w:val="00902341"/>
    <w:rsid w:val="00904E75"/>
    <w:rsid w:val="00905242"/>
    <w:rsid w:val="00907C42"/>
    <w:rsid w:val="00943967"/>
    <w:rsid w:val="00966C0C"/>
    <w:rsid w:val="009708F1"/>
    <w:rsid w:val="00980EF5"/>
    <w:rsid w:val="009833B6"/>
    <w:rsid w:val="0099231E"/>
    <w:rsid w:val="009B510D"/>
    <w:rsid w:val="009C4E85"/>
    <w:rsid w:val="009E6AD3"/>
    <w:rsid w:val="009F3DCF"/>
    <w:rsid w:val="00A15BEF"/>
    <w:rsid w:val="00A22E5E"/>
    <w:rsid w:val="00A27EC5"/>
    <w:rsid w:val="00A310E1"/>
    <w:rsid w:val="00A33B45"/>
    <w:rsid w:val="00A37951"/>
    <w:rsid w:val="00A45D5A"/>
    <w:rsid w:val="00A771BF"/>
    <w:rsid w:val="00A8285D"/>
    <w:rsid w:val="00A97127"/>
    <w:rsid w:val="00AA7D22"/>
    <w:rsid w:val="00AB011E"/>
    <w:rsid w:val="00B01E5E"/>
    <w:rsid w:val="00B03D10"/>
    <w:rsid w:val="00B07874"/>
    <w:rsid w:val="00B104A2"/>
    <w:rsid w:val="00B437C5"/>
    <w:rsid w:val="00B83461"/>
    <w:rsid w:val="00B92801"/>
    <w:rsid w:val="00B9409E"/>
    <w:rsid w:val="00B95BC2"/>
    <w:rsid w:val="00BA3A9A"/>
    <w:rsid w:val="00BD0F0B"/>
    <w:rsid w:val="00BD7B3F"/>
    <w:rsid w:val="00C01DA3"/>
    <w:rsid w:val="00C240E7"/>
    <w:rsid w:val="00C41B73"/>
    <w:rsid w:val="00C420E8"/>
    <w:rsid w:val="00C448DC"/>
    <w:rsid w:val="00C860FF"/>
    <w:rsid w:val="00CC230A"/>
    <w:rsid w:val="00D06C31"/>
    <w:rsid w:val="00D1675E"/>
    <w:rsid w:val="00D17548"/>
    <w:rsid w:val="00D31C8A"/>
    <w:rsid w:val="00D34C25"/>
    <w:rsid w:val="00D53364"/>
    <w:rsid w:val="00D53CB5"/>
    <w:rsid w:val="00DA16E5"/>
    <w:rsid w:val="00DE04D8"/>
    <w:rsid w:val="00E05FAA"/>
    <w:rsid w:val="00E10F0E"/>
    <w:rsid w:val="00E1270E"/>
    <w:rsid w:val="00E148AE"/>
    <w:rsid w:val="00E63F8E"/>
    <w:rsid w:val="00E666DC"/>
    <w:rsid w:val="00E7673F"/>
    <w:rsid w:val="00E810C2"/>
    <w:rsid w:val="00E9059E"/>
    <w:rsid w:val="00EA0223"/>
    <w:rsid w:val="00EA473F"/>
    <w:rsid w:val="00EB5ED7"/>
    <w:rsid w:val="00EC0C43"/>
    <w:rsid w:val="00EC4D41"/>
    <w:rsid w:val="00EE0EB3"/>
    <w:rsid w:val="00EE125E"/>
    <w:rsid w:val="00F03650"/>
    <w:rsid w:val="00F061DA"/>
    <w:rsid w:val="00F139DB"/>
    <w:rsid w:val="00F1693C"/>
    <w:rsid w:val="00F242B3"/>
    <w:rsid w:val="00F2742B"/>
    <w:rsid w:val="00F32564"/>
    <w:rsid w:val="00F34339"/>
    <w:rsid w:val="00F705E7"/>
    <w:rsid w:val="00F71E90"/>
    <w:rsid w:val="00F813C1"/>
    <w:rsid w:val="00F83AA6"/>
    <w:rsid w:val="00F83DEC"/>
    <w:rsid w:val="00F84A39"/>
    <w:rsid w:val="00F97B30"/>
    <w:rsid w:val="00FA30B8"/>
    <w:rsid w:val="00FA5FFA"/>
    <w:rsid w:val="00FB51E4"/>
    <w:rsid w:val="00FB5533"/>
    <w:rsid w:val="00FC16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2E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E7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905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05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5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5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5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5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5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5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5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5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5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5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5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5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59E"/>
    <w:rPr>
      <w:rFonts w:eastAsiaTheme="majorEastAsia" w:cstheme="majorBidi"/>
      <w:color w:val="272727" w:themeColor="text1" w:themeTint="D8"/>
    </w:rPr>
  </w:style>
  <w:style w:type="paragraph" w:styleId="Title">
    <w:name w:val="Title"/>
    <w:basedOn w:val="Normal"/>
    <w:next w:val="Normal"/>
    <w:link w:val="TitleChar"/>
    <w:uiPriority w:val="10"/>
    <w:qFormat/>
    <w:rsid w:val="00E905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59E"/>
    <w:pPr>
      <w:spacing w:before="160"/>
      <w:jc w:val="center"/>
    </w:pPr>
    <w:rPr>
      <w:i/>
      <w:iCs/>
      <w:color w:val="404040" w:themeColor="text1" w:themeTint="BF"/>
    </w:rPr>
  </w:style>
  <w:style w:type="character" w:customStyle="1" w:styleId="QuoteChar">
    <w:name w:val="Quote Char"/>
    <w:basedOn w:val="DefaultParagraphFont"/>
    <w:link w:val="Quote"/>
    <w:uiPriority w:val="29"/>
    <w:rsid w:val="00E9059E"/>
    <w:rPr>
      <w:i/>
      <w:iCs/>
      <w:color w:val="404040" w:themeColor="text1" w:themeTint="BF"/>
    </w:rPr>
  </w:style>
  <w:style w:type="paragraph" w:styleId="ListParagraph">
    <w:name w:val="List Paragraph"/>
    <w:basedOn w:val="Normal"/>
    <w:uiPriority w:val="34"/>
    <w:qFormat/>
    <w:rsid w:val="00E9059E"/>
    <w:pPr>
      <w:ind w:left="720"/>
      <w:contextualSpacing/>
    </w:pPr>
  </w:style>
  <w:style w:type="character" w:styleId="IntenseEmphasis">
    <w:name w:val="Intense Emphasis"/>
    <w:basedOn w:val="DefaultParagraphFont"/>
    <w:uiPriority w:val="21"/>
    <w:qFormat/>
    <w:rsid w:val="00E9059E"/>
    <w:rPr>
      <w:i/>
      <w:iCs/>
      <w:color w:val="2F5496" w:themeColor="accent1" w:themeShade="BF"/>
    </w:rPr>
  </w:style>
  <w:style w:type="paragraph" w:styleId="IntenseQuote">
    <w:name w:val="Intense Quote"/>
    <w:basedOn w:val="Normal"/>
    <w:next w:val="Normal"/>
    <w:link w:val="IntenseQuoteChar"/>
    <w:uiPriority w:val="30"/>
    <w:qFormat/>
    <w:rsid w:val="00E90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59E"/>
    <w:rPr>
      <w:i/>
      <w:iCs/>
      <w:color w:val="2F5496" w:themeColor="accent1" w:themeShade="BF"/>
    </w:rPr>
  </w:style>
  <w:style w:type="character" w:styleId="IntenseReference">
    <w:name w:val="Intense Reference"/>
    <w:basedOn w:val="DefaultParagraphFont"/>
    <w:uiPriority w:val="32"/>
    <w:qFormat/>
    <w:rsid w:val="00E9059E"/>
    <w:rPr>
      <w:b/>
      <w:bCs/>
      <w:smallCaps/>
      <w:color w:val="2F5496" w:themeColor="accent1" w:themeShade="BF"/>
      <w:spacing w:val="5"/>
    </w:rPr>
  </w:style>
  <w:style w:type="paragraph" w:styleId="Footer">
    <w:name w:val="footer"/>
    <w:basedOn w:val="Normal"/>
    <w:link w:val="FooterChar"/>
    <w:uiPriority w:val="99"/>
    <w:rsid w:val="00E9059E"/>
    <w:pPr>
      <w:tabs>
        <w:tab w:val="center" w:pos="4153"/>
        <w:tab w:val="right" w:pos="8306"/>
      </w:tabs>
    </w:pPr>
  </w:style>
  <w:style w:type="character" w:customStyle="1" w:styleId="FooterChar">
    <w:name w:val="Footer Char"/>
    <w:basedOn w:val="DefaultParagraphFont"/>
    <w:link w:val="Footer"/>
    <w:uiPriority w:val="99"/>
    <w:rsid w:val="00E9059E"/>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E9059E"/>
  </w:style>
  <w:style w:type="paragraph" w:styleId="BodyText2">
    <w:name w:val="Body Text 2"/>
    <w:basedOn w:val="Normal"/>
    <w:link w:val="BodyText2Char"/>
    <w:rsid w:val="00E9059E"/>
    <w:pPr>
      <w:jc w:val="right"/>
    </w:pPr>
    <w:rPr>
      <w:rFonts w:ascii="Garamond" w:hAnsi="Garamond"/>
      <w:sz w:val="28"/>
      <w:szCs w:val="28"/>
    </w:rPr>
  </w:style>
  <w:style w:type="character" w:customStyle="1" w:styleId="BodyText2Char">
    <w:name w:val="Body Text 2 Char"/>
    <w:basedOn w:val="DefaultParagraphFont"/>
    <w:link w:val="BodyText2"/>
    <w:rsid w:val="00E9059E"/>
    <w:rPr>
      <w:rFonts w:ascii="Garamond" w:eastAsia="Times New Roman" w:hAnsi="Garamond" w:cs="Times New Roman"/>
      <w:kern w:val="0"/>
      <w:sz w:val="28"/>
      <w:szCs w:val="28"/>
      <w14:ligatures w14:val="none"/>
    </w:rPr>
  </w:style>
  <w:style w:type="table" w:styleId="TableGrid">
    <w:name w:val="Table Grid"/>
    <w:basedOn w:val="TableNormal"/>
    <w:uiPriority w:val="39"/>
    <w:rsid w:val="00E9059E"/>
    <w:pPr>
      <w:spacing w:after="0" w:line="240" w:lineRule="auto"/>
    </w:pPr>
    <w:rPr>
      <w:rFonts w:ascii="Times New Roman" w:eastAsia="Times New Roman" w:hAnsi="Times New Roman" w:cs="Times New Roman"/>
      <w:kern w:val="0"/>
      <w:sz w:val="24"/>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9059E"/>
    <w:rPr>
      <w:rFonts w:eastAsiaTheme="minorHAnsi"/>
      <w:lang w:eastAsia="ru-RU"/>
    </w:rPr>
  </w:style>
  <w:style w:type="character" w:styleId="Hyperlink">
    <w:name w:val="Hyperlink"/>
    <w:basedOn w:val="DefaultParagraphFont"/>
    <w:uiPriority w:val="99"/>
    <w:unhideWhenUsed/>
    <w:rsid w:val="00E9059E"/>
    <w:rPr>
      <w:color w:val="0000FF"/>
      <w:u w:val="single"/>
    </w:rPr>
  </w:style>
  <w:style w:type="character" w:styleId="UnresolvedMention">
    <w:name w:val="Unresolved Mention"/>
    <w:basedOn w:val="DefaultParagraphFont"/>
    <w:uiPriority w:val="99"/>
    <w:semiHidden/>
    <w:unhideWhenUsed/>
    <w:rsid w:val="00E9059E"/>
    <w:rPr>
      <w:color w:val="605E5C"/>
      <w:shd w:val="clear" w:color="auto" w:fill="E1DFDD"/>
    </w:rPr>
  </w:style>
  <w:style w:type="paragraph" w:styleId="FootnoteText">
    <w:name w:val="footnote text"/>
    <w:basedOn w:val="Normal"/>
    <w:link w:val="FootnoteTextChar"/>
    <w:uiPriority w:val="99"/>
    <w:unhideWhenUsed/>
    <w:rsid w:val="0099231E"/>
    <w:rPr>
      <w:rFonts w:eastAsia="Calibri"/>
      <w:sz w:val="20"/>
      <w:szCs w:val="20"/>
    </w:rPr>
  </w:style>
  <w:style w:type="character" w:customStyle="1" w:styleId="FootnoteTextChar">
    <w:name w:val="Footnote Text Char"/>
    <w:basedOn w:val="DefaultParagraphFont"/>
    <w:link w:val="FootnoteText"/>
    <w:uiPriority w:val="99"/>
    <w:rsid w:val="0099231E"/>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9231E"/>
    <w:rPr>
      <w:vertAlign w:val="superscript"/>
    </w:rPr>
  </w:style>
  <w:style w:type="paragraph" w:styleId="Header">
    <w:name w:val="header"/>
    <w:basedOn w:val="Normal"/>
    <w:link w:val="HeaderChar"/>
    <w:uiPriority w:val="99"/>
    <w:unhideWhenUsed/>
    <w:rsid w:val="00640DE5"/>
    <w:pPr>
      <w:tabs>
        <w:tab w:val="center" w:pos="4513"/>
        <w:tab w:val="right" w:pos="9026"/>
      </w:tabs>
    </w:pPr>
  </w:style>
  <w:style w:type="character" w:customStyle="1" w:styleId="HeaderChar">
    <w:name w:val="Header Char"/>
    <w:basedOn w:val="DefaultParagraphFont"/>
    <w:link w:val="Header"/>
    <w:uiPriority w:val="99"/>
    <w:rsid w:val="00640DE5"/>
    <w:rPr>
      <w:rFonts w:ascii="Times New Roman" w:eastAsia="Times New Roman" w:hAnsi="Times New Roman" w:cs="Times New Roman"/>
      <w:kern w:val="0"/>
      <w:sz w:val="24"/>
      <w:szCs w:val="24"/>
      <w14:ligatures w14:val="none"/>
    </w:rPr>
  </w:style>
  <w:style w:type="paragraph" w:customStyle="1" w:styleId="naisf">
    <w:name w:val="naisf"/>
    <w:basedOn w:val="Normal"/>
    <w:rsid w:val="00A15BEF"/>
    <w:pPr>
      <w:autoSpaceDN w:val="0"/>
      <w:spacing w:before="75" w:after="75"/>
      <w:ind w:firstLine="375"/>
      <w:jc w:val="both"/>
    </w:pPr>
    <w:rPr>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9030">
      <w:bodyDiv w:val="1"/>
      <w:marLeft w:val="0"/>
      <w:marRight w:val="0"/>
      <w:marTop w:val="0"/>
      <w:marBottom w:val="0"/>
      <w:divBdr>
        <w:top w:val="none" w:sz="0" w:space="0" w:color="auto"/>
        <w:left w:val="none" w:sz="0" w:space="0" w:color="auto"/>
        <w:bottom w:val="none" w:sz="0" w:space="0" w:color="auto"/>
        <w:right w:val="none" w:sz="0" w:space="0" w:color="auto"/>
      </w:divBdr>
    </w:div>
    <w:div w:id="791898402">
      <w:bodyDiv w:val="1"/>
      <w:marLeft w:val="0"/>
      <w:marRight w:val="0"/>
      <w:marTop w:val="0"/>
      <w:marBottom w:val="0"/>
      <w:divBdr>
        <w:top w:val="none" w:sz="0" w:space="0" w:color="auto"/>
        <w:left w:val="none" w:sz="0" w:space="0" w:color="auto"/>
        <w:bottom w:val="none" w:sz="0" w:space="0" w:color="auto"/>
        <w:right w:val="none" w:sz="0" w:space="0" w:color="auto"/>
      </w:divBdr>
      <w:divsChild>
        <w:div w:id="454638260">
          <w:marLeft w:val="0"/>
          <w:marRight w:val="0"/>
          <w:marTop w:val="0"/>
          <w:marBottom w:val="0"/>
          <w:divBdr>
            <w:top w:val="none" w:sz="0" w:space="0" w:color="auto"/>
            <w:left w:val="none" w:sz="0" w:space="0" w:color="auto"/>
            <w:bottom w:val="none" w:sz="0" w:space="0" w:color="auto"/>
            <w:right w:val="none" w:sz="0" w:space="0" w:color="auto"/>
          </w:divBdr>
        </w:div>
        <w:div w:id="588079385">
          <w:marLeft w:val="0"/>
          <w:marRight w:val="0"/>
          <w:marTop w:val="0"/>
          <w:marBottom w:val="0"/>
          <w:divBdr>
            <w:top w:val="none" w:sz="0" w:space="0" w:color="auto"/>
            <w:left w:val="none" w:sz="0" w:space="0" w:color="auto"/>
            <w:bottom w:val="none" w:sz="0" w:space="0" w:color="auto"/>
            <w:right w:val="none" w:sz="0" w:space="0" w:color="auto"/>
          </w:divBdr>
        </w:div>
      </w:divsChild>
    </w:div>
    <w:div w:id="1040785564">
      <w:bodyDiv w:val="1"/>
      <w:marLeft w:val="0"/>
      <w:marRight w:val="0"/>
      <w:marTop w:val="0"/>
      <w:marBottom w:val="0"/>
      <w:divBdr>
        <w:top w:val="none" w:sz="0" w:space="0" w:color="auto"/>
        <w:left w:val="none" w:sz="0" w:space="0" w:color="auto"/>
        <w:bottom w:val="none" w:sz="0" w:space="0" w:color="auto"/>
        <w:right w:val="none" w:sz="0" w:space="0" w:color="auto"/>
      </w:divBdr>
    </w:div>
    <w:div w:id="1449472048">
      <w:bodyDiv w:val="1"/>
      <w:marLeft w:val="0"/>
      <w:marRight w:val="0"/>
      <w:marTop w:val="0"/>
      <w:marBottom w:val="0"/>
      <w:divBdr>
        <w:top w:val="none" w:sz="0" w:space="0" w:color="auto"/>
        <w:left w:val="none" w:sz="0" w:space="0" w:color="auto"/>
        <w:bottom w:val="none" w:sz="0" w:space="0" w:color="auto"/>
        <w:right w:val="none" w:sz="0" w:space="0" w:color="auto"/>
      </w:divBdr>
    </w:div>
    <w:div w:id="1653801041">
      <w:bodyDiv w:val="1"/>
      <w:marLeft w:val="0"/>
      <w:marRight w:val="0"/>
      <w:marTop w:val="0"/>
      <w:marBottom w:val="0"/>
      <w:divBdr>
        <w:top w:val="none" w:sz="0" w:space="0" w:color="auto"/>
        <w:left w:val="none" w:sz="0" w:space="0" w:color="auto"/>
        <w:bottom w:val="none" w:sz="0" w:space="0" w:color="auto"/>
        <w:right w:val="none" w:sz="0" w:space="0" w:color="auto"/>
      </w:divBdr>
    </w:div>
    <w:div w:id="1835559782">
      <w:bodyDiv w:val="1"/>
      <w:marLeft w:val="0"/>
      <w:marRight w:val="0"/>
      <w:marTop w:val="0"/>
      <w:marBottom w:val="0"/>
      <w:divBdr>
        <w:top w:val="none" w:sz="0" w:space="0" w:color="auto"/>
        <w:left w:val="none" w:sz="0" w:space="0" w:color="auto"/>
        <w:bottom w:val="none" w:sz="0" w:space="0" w:color="auto"/>
        <w:right w:val="none" w:sz="0" w:space="0" w:color="auto"/>
      </w:divBdr>
    </w:div>
    <w:div w:id="1839804738">
      <w:bodyDiv w:val="1"/>
      <w:marLeft w:val="0"/>
      <w:marRight w:val="0"/>
      <w:marTop w:val="0"/>
      <w:marBottom w:val="0"/>
      <w:divBdr>
        <w:top w:val="none" w:sz="0" w:space="0" w:color="auto"/>
        <w:left w:val="none" w:sz="0" w:space="0" w:color="auto"/>
        <w:bottom w:val="none" w:sz="0" w:space="0" w:color="auto"/>
        <w:right w:val="none" w:sz="0" w:space="0" w:color="auto"/>
      </w:divBdr>
    </w:div>
    <w:div w:id="2121296041">
      <w:bodyDiv w:val="1"/>
      <w:marLeft w:val="0"/>
      <w:marRight w:val="0"/>
      <w:marTop w:val="0"/>
      <w:marBottom w:val="0"/>
      <w:divBdr>
        <w:top w:val="none" w:sz="0" w:space="0" w:color="auto"/>
        <w:left w:val="none" w:sz="0" w:space="0" w:color="auto"/>
        <w:bottom w:val="none" w:sz="0" w:space="0" w:color="auto"/>
        <w:right w:val="none" w:sz="0" w:space="0" w:color="auto"/>
      </w:divBdr>
      <w:divsChild>
        <w:div w:id="555628642">
          <w:marLeft w:val="0"/>
          <w:marRight w:val="0"/>
          <w:marTop w:val="0"/>
          <w:marBottom w:val="0"/>
          <w:divBdr>
            <w:top w:val="none" w:sz="0" w:space="0" w:color="auto"/>
            <w:left w:val="none" w:sz="0" w:space="0" w:color="auto"/>
            <w:bottom w:val="none" w:sz="0" w:space="0" w:color="auto"/>
            <w:right w:val="none" w:sz="0" w:space="0" w:color="auto"/>
          </w:divBdr>
        </w:div>
        <w:div w:id="267196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93101588&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4%26procnum%3D0176%26sort%3D1%26liststep%3D10%26%3DPar%25C4%2581d%25C4%25ABt%26plparam1%3Dlist%26pljmimetype%3D1%26%3DIzdruk%25C4%2581t" TargetMode="External"/><Relationship Id="rId3" Type="http://schemas.openxmlformats.org/officeDocument/2006/relationships/settings" Target="settings.xml"/><Relationship Id="rId7" Type="http://schemas.openxmlformats.org/officeDocument/2006/relationships/hyperlink" Target="http://304.-305.l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18138</Words>
  <Characters>10339</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2025-07-18T07:29:00Z</dcterms:created>
  <dcterms:modified xsi:type="dcterms:W3CDTF">2025-08-27T09:37:00Z</dcterms:modified>
</cp:coreProperties>
</file>