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1CEF0" w14:textId="62DC6DBA" w:rsidR="007D376D" w:rsidRPr="00FD3373" w:rsidRDefault="00FD3373" w:rsidP="007766B0">
      <w:pPr>
        <w:spacing w:line="276" w:lineRule="auto"/>
        <w:jc w:val="both"/>
        <w:rPr>
          <w:b/>
          <w:bCs/>
          <w:lang w:eastAsia="lv-LV"/>
        </w:rPr>
      </w:pPr>
      <w:r>
        <w:rPr>
          <w:b/>
          <w:bCs/>
        </w:rPr>
        <w:t>Pieteicēja norādīts tiesvedības turpināšanas nepieciešamības pamatojums administratīvā akta atzīšanai par prettiesisku</w:t>
      </w:r>
    </w:p>
    <w:p w14:paraId="1DDF10EB" w14:textId="7A8904BA" w:rsidR="00FD3373" w:rsidRPr="00011547" w:rsidRDefault="007D376D" w:rsidP="007766B0">
      <w:pPr>
        <w:spacing w:before="240" w:line="276" w:lineRule="auto"/>
        <w:jc w:val="center"/>
        <w:rPr>
          <w:b/>
        </w:rPr>
      </w:pPr>
      <w:r w:rsidRPr="00011547">
        <w:rPr>
          <w:b/>
        </w:rPr>
        <w:t>Latvijas Republikas Senāt</w:t>
      </w:r>
      <w:r w:rsidR="00FD3373">
        <w:rPr>
          <w:b/>
        </w:rPr>
        <w:t>a</w:t>
      </w:r>
      <w:r w:rsidR="00FD3373">
        <w:rPr>
          <w:b/>
        </w:rPr>
        <w:br/>
        <w:t>Administratīvo lietu departamenta</w:t>
      </w:r>
      <w:r w:rsidR="00FD3373">
        <w:rPr>
          <w:b/>
        </w:rPr>
        <w:br/>
        <w:t>2025.gada 14.augusta</w:t>
      </w:r>
    </w:p>
    <w:p w14:paraId="1715E119" w14:textId="77777777" w:rsidR="00FD3373" w:rsidRDefault="00E367DA" w:rsidP="007766B0">
      <w:pPr>
        <w:spacing w:line="276" w:lineRule="auto"/>
        <w:contextualSpacing/>
        <w:jc w:val="center"/>
        <w:rPr>
          <w:b/>
        </w:rPr>
      </w:pPr>
      <w:r w:rsidRPr="001E0942">
        <w:rPr>
          <w:b/>
        </w:rPr>
        <w:t xml:space="preserve">RĪCĪBAS SĒDES </w:t>
      </w:r>
      <w:r w:rsidR="00BA57C4" w:rsidRPr="001E0942">
        <w:rPr>
          <w:b/>
        </w:rPr>
        <w:t>LĒMUMS</w:t>
      </w:r>
    </w:p>
    <w:p w14:paraId="36D9B4C8" w14:textId="703F57D9" w:rsidR="00FD3373" w:rsidRPr="00FD3373" w:rsidRDefault="00FD3373" w:rsidP="007766B0">
      <w:pPr>
        <w:spacing w:line="276" w:lineRule="auto"/>
        <w:contextualSpacing/>
        <w:jc w:val="center"/>
        <w:rPr>
          <w:b/>
          <w:bCs/>
          <w:lang w:eastAsia="lv-LV"/>
        </w:rPr>
      </w:pPr>
      <w:r w:rsidRPr="00FD3373">
        <w:rPr>
          <w:b/>
          <w:bCs/>
        </w:rPr>
        <w:t>Lieta Nr. A420109225</w:t>
      </w:r>
      <w:r w:rsidRPr="00FD3373">
        <w:rPr>
          <w:b/>
          <w:bCs/>
          <w:lang w:eastAsia="lv-LV"/>
        </w:rPr>
        <w:t>, SKA-734/2025</w:t>
      </w:r>
    </w:p>
    <w:p w14:paraId="36E1EA09" w14:textId="09022382" w:rsidR="00FD3373" w:rsidRPr="00AC310C" w:rsidRDefault="00FD3373" w:rsidP="007766B0">
      <w:pPr>
        <w:spacing w:line="276" w:lineRule="auto"/>
        <w:contextualSpacing/>
        <w:jc w:val="center"/>
        <w:rPr>
          <w:b/>
          <w:bCs/>
        </w:rPr>
      </w:pPr>
      <w:r>
        <w:t xml:space="preserve"> </w:t>
      </w:r>
      <w:hyperlink r:id="rId8" w:history="1">
        <w:r w:rsidRPr="00AC310C">
          <w:rPr>
            <w:rStyle w:val="Hyperlink"/>
          </w:rPr>
          <w:t>ECLI:LV:AT:2025:0814.A420109225.9.L</w:t>
        </w:r>
      </w:hyperlink>
    </w:p>
    <w:p w14:paraId="3F9C3441" w14:textId="77777777" w:rsidR="00BA57C4" w:rsidRPr="001E0942" w:rsidRDefault="00BA57C4" w:rsidP="007766B0">
      <w:pPr>
        <w:spacing w:line="276" w:lineRule="auto"/>
        <w:ind w:firstLine="720"/>
        <w:contextualSpacing/>
        <w:jc w:val="both"/>
      </w:pPr>
    </w:p>
    <w:p w14:paraId="4090C746" w14:textId="7139E31E" w:rsidR="00097ED5" w:rsidRPr="00FE215A" w:rsidRDefault="00E367DA" w:rsidP="007766B0">
      <w:pPr>
        <w:spacing w:line="276" w:lineRule="auto"/>
        <w:ind w:firstLine="720"/>
        <w:jc w:val="both"/>
        <w:rPr>
          <w:color w:val="000000"/>
        </w:rPr>
      </w:pPr>
      <w:r w:rsidRPr="00FE215A">
        <w:rPr>
          <w:color w:val="000000"/>
        </w:rPr>
        <w:t>[1] </w:t>
      </w:r>
      <w:r w:rsidR="00E128F2" w:rsidRPr="00FE215A">
        <w:rPr>
          <w:color w:val="000000"/>
        </w:rPr>
        <w:t xml:space="preserve">Senātā saņemta </w:t>
      </w:r>
      <w:r w:rsidR="00DA2621" w:rsidRPr="00FE215A">
        <w:rPr>
          <w:color w:val="000000"/>
        </w:rPr>
        <w:t>pieteicēja</w:t>
      </w:r>
      <w:r w:rsidR="00F537F6" w:rsidRPr="00FE215A">
        <w:rPr>
          <w:color w:val="000000"/>
        </w:rPr>
        <w:t xml:space="preserve"> </w:t>
      </w:r>
      <w:r w:rsidR="00EC7D76">
        <w:rPr>
          <w:color w:val="000000"/>
        </w:rPr>
        <w:t xml:space="preserve">[pers. A] </w:t>
      </w:r>
      <w:r w:rsidR="00EA4A23" w:rsidRPr="00FE215A">
        <w:rPr>
          <w:color w:val="000000"/>
        </w:rPr>
        <w:t xml:space="preserve">blakus sūdzība par Administratīvās </w:t>
      </w:r>
      <w:r w:rsidR="00BB0ACF" w:rsidRPr="00FE215A">
        <w:rPr>
          <w:color w:val="000000"/>
        </w:rPr>
        <w:t>rajona tiesas</w:t>
      </w:r>
      <w:r w:rsidR="00EA4A23" w:rsidRPr="00FE215A">
        <w:rPr>
          <w:color w:val="000000"/>
        </w:rPr>
        <w:t xml:space="preserve"> 202</w:t>
      </w:r>
      <w:r w:rsidR="001836EB" w:rsidRPr="00FE215A">
        <w:rPr>
          <w:color w:val="000000"/>
        </w:rPr>
        <w:t>5</w:t>
      </w:r>
      <w:r w:rsidR="00EA4A23" w:rsidRPr="00FE215A">
        <w:rPr>
          <w:color w:val="000000"/>
        </w:rPr>
        <w:t xml:space="preserve">.gada </w:t>
      </w:r>
      <w:r w:rsidR="00A958E0" w:rsidRPr="00FE215A">
        <w:rPr>
          <w:color w:val="000000"/>
        </w:rPr>
        <w:t>10</w:t>
      </w:r>
      <w:r w:rsidR="00EA4A23" w:rsidRPr="00FE215A">
        <w:rPr>
          <w:color w:val="000000"/>
        </w:rPr>
        <w:t>.</w:t>
      </w:r>
      <w:r w:rsidR="00A958E0" w:rsidRPr="00FE215A">
        <w:rPr>
          <w:color w:val="000000"/>
        </w:rPr>
        <w:t>jūnija</w:t>
      </w:r>
      <w:r w:rsidR="00EA4A23" w:rsidRPr="00FE215A">
        <w:rPr>
          <w:color w:val="000000"/>
        </w:rPr>
        <w:t xml:space="preserve"> </w:t>
      </w:r>
      <w:r w:rsidR="00097ED5" w:rsidRPr="00FE215A">
        <w:rPr>
          <w:color w:val="000000"/>
        </w:rPr>
        <w:t xml:space="preserve">lēmumu, ar kuru </w:t>
      </w:r>
      <w:r w:rsidR="00A958E0" w:rsidRPr="00FE215A">
        <w:rPr>
          <w:color w:val="000000"/>
        </w:rPr>
        <w:t>izbeigta tiesvedība administratīvajā lietā</w:t>
      </w:r>
      <w:r w:rsidR="0014305F">
        <w:rPr>
          <w:color w:val="000000"/>
        </w:rPr>
        <w:t>.</w:t>
      </w:r>
    </w:p>
    <w:p w14:paraId="41AC4B70" w14:textId="77777777" w:rsidR="00616FD6" w:rsidRPr="00FE215A" w:rsidRDefault="00616FD6" w:rsidP="007766B0">
      <w:pPr>
        <w:spacing w:line="276" w:lineRule="auto"/>
        <w:ind w:firstLine="720"/>
        <w:jc w:val="both"/>
        <w:rPr>
          <w:color w:val="000000"/>
        </w:rPr>
      </w:pPr>
    </w:p>
    <w:p w14:paraId="416AA372" w14:textId="30CDFF5B" w:rsidR="00433A13" w:rsidRPr="00FE215A" w:rsidRDefault="00097ED5" w:rsidP="007766B0">
      <w:pPr>
        <w:spacing w:line="276" w:lineRule="auto"/>
        <w:ind w:firstLine="720"/>
        <w:contextualSpacing/>
        <w:jc w:val="both"/>
      </w:pPr>
      <w:r w:rsidRPr="00FE215A">
        <w:t>[2] </w:t>
      </w:r>
      <w:r w:rsidR="00B67045" w:rsidRPr="00FE215A">
        <w:t>Tiesas</w:t>
      </w:r>
      <w:r w:rsidR="004A5554" w:rsidRPr="00FE215A">
        <w:rPr>
          <w:color w:val="000000"/>
        </w:rPr>
        <w:t xml:space="preserve"> lēmum</w:t>
      </w:r>
      <w:r w:rsidR="007E567B" w:rsidRPr="00FE215A">
        <w:rPr>
          <w:color w:val="000000"/>
        </w:rPr>
        <w:t>s</w:t>
      </w:r>
      <w:r w:rsidR="00E1246A" w:rsidRPr="00FE215A">
        <w:rPr>
          <w:color w:val="000000"/>
        </w:rPr>
        <w:t xml:space="preserve"> </w:t>
      </w:r>
      <w:r w:rsidR="007E567B" w:rsidRPr="00FE215A">
        <w:rPr>
          <w:color w:val="000000"/>
        </w:rPr>
        <w:t xml:space="preserve">pamatots </w:t>
      </w:r>
      <w:r w:rsidR="007E567B" w:rsidRPr="00FE215A">
        <w:t xml:space="preserve">ar </w:t>
      </w:r>
      <w:r w:rsidR="00FF2BD5" w:rsidRPr="00FE215A">
        <w:t>to,</w:t>
      </w:r>
      <w:r w:rsidR="00A958E0" w:rsidRPr="00FE215A">
        <w:t xml:space="preserve"> </w:t>
      </w:r>
      <w:r w:rsidR="00A11414" w:rsidRPr="00FE215A">
        <w:t xml:space="preserve">ka pieteicējam ir atjaunotas pārtrauktās aizgādības tiesības </w:t>
      </w:r>
      <w:r w:rsidR="00F741D3" w:rsidRPr="00FE215A">
        <w:t xml:space="preserve">un vairs nav pieļaujams prasījums par </w:t>
      </w:r>
      <w:r w:rsidR="00D95315" w:rsidRPr="00FE215A">
        <w:t xml:space="preserve">Rīgas bāriņtiesas </w:t>
      </w:r>
      <w:r w:rsidR="00F741D3" w:rsidRPr="00FE215A">
        <w:t xml:space="preserve">lēmuma, ar kuru pieteicējam atteikts atjaunot pārtrauktās aizgādības tiesības, atcelšanu. </w:t>
      </w:r>
      <w:r w:rsidR="004C24C6">
        <w:t xml:space="preserve">Tā kā tiesvedības laikā mainījās lietas tiesiskie un faktiskie apstākļi, </w:t>
      </w:r>
      <w:r w:rsidR="00A11414" w:rsidRPr="00FE215A">
        <w:t>tiesa aicināja pieteicēju sniegt viedokli, vai pieteicējs joprojām ir ieinteresēts tiesvedības turpināšanā vai arī piekrīt tiesvedības izbeigšanai lietā. Pieteicējs norādīj</w:t>
      </w:r>
      <w:r w:rsidR="004C24C6">
        <w:t>a</w:t>
      </w:r>
      <w:r w:rsidR="00A11414" w:rsidRPr="00FE215A">
        <w:t xml:space="preserve">, ka ir ieinteresēts tiesvedības turpināšanā, jo pieteicējam ir būtiski turpināt lietas izskatīšanu un pārbaudīt </w:t>
      </w:r>
      <w:r w:rsidR="0014305F">
        <w:t>pārsūdzētā</w:t>
      </w:r>
      <w:r w:rsidR="00A11414" w:rsidRPr="00FE215A">
        <w:t xml:space="preserve"> lēmuma pamatotību un tiesiskumu, jo tas būtiski ietekmē pieteicēja tiesiskās intereses, kā arī rada bīstamu praksi. </w:t>
      </w:r>
      <w:r w:rsidR="00B67045" w:rsidRPr="00FE215A">
        <w:t>Tiesa norādīja, ka p</w:t>
      </w:r>
      <w:r w:rsidR="00A11414" w:rsidRPr="00FE215A">
        <w:t>ersonas tiesības prasīt lēmuma prettiesiskuma konstatēšanu nav beznosacījuma</w:t>
      </w:r>
      <w:r w:rsidR="004C24C6">
        <w:t>,</w:t>
      </w:r>
      <w:r w:rsidR="00A11414" w:rsidRPr="00FE215A">
        <w:t xml:space="preserve"> un šāds prasījums pieļaujams vienīgi personas tiesību vai tiesisko interešu aizsardzībai – lai novērstu līdzīgu gadījumu atkārtošanos vai pieprasītu atlīdzinājumu. Izvērtējot pieteicēja viedokli, tiesa </w:t>
      </w:r>
      <w:r w:rsidR="00B67045" w:rsidRPr="00FE215A">
        <w:t>konstatēja</w:t>
      </w:r>
      <w:r w:rsidR="00A11414" w:rsidRPr="00FE215A">
        <w:t xml:space="preserve">, ka pieteicējs </w:t>
      </w:r>
      <w:r w:rsidR="00B67045" w:rsidRPr="00FE215A">
        <w:t>nav</w:t>
      </w:r>
      <w:r w:rsidR="00A11414" w:rsidRPr="00FE215A">
        <w:t xml:space="preserve"> pamatojis savu prasījumu atbilstoši Administratīvā procesa likuma 184.panta otrās daļas nosacījumiem</w:t>
      </w:r>
      <w:r w:rsidR="00F741D3" w:rsidRPr="00FE215A">
        <w:t>,</w:t>
      </w:r>
      <w:r w:rsidR="00B67045" w:rsidRPr="00FE215A">
        <w:t xml:space="preserve"> t</w:t>
      </w:r>
      <w:r w:rsidR="00F741D3" w:rsidRPr="00FE215A">
        <w:t>ādējādi tiesvedība lietā ir izbeidzama.</w:t>
      </w:r>
    </w:p>
    <w:p w14:paraId="3EA376AD" w14:textId="5BC5F7D1" w:rsidR="00A055DA" w:rsidRPr="00FE215A" w:rsidRDefault="00A055DA" w:rsidP="007766B0">
      <w:pPr>
        <w:spacing w:line="276" w:lineRule="auto"/>
        <w:ind w:firstLine="720"/>
        <w:jc w:val="both"/>
        <w:rPr>
          <w:color w:val="000000"/>
        </w:rPr>
      </w:pPr>
    </w:p>
    <w:p w14:paraId="702A71F4" w14:textId="748A6421" w:rsidR="00B610DE" w:rsidRPr="00FE215A" w:rsidRDefault="002F3FB4" w:rsidP="007766B0">
      <w:pPr>
        <w:spacing w:line="276" w:lineRule="auto"/>
        <w:ind w:firstLine="720"/>
        <w:jc w:val="both"/>
        <w:rPr>
          <w:lang w:eastAsia="lv-LV"/>
        </w:rPr>
      </w:pPr>
      <w:r w:rsidRPr="00FE215A">
        <w:rPr>
          <w:color w:val="000000"/>
        </w:rPr>
        <w:t>[</w:t>
      </w:r>
      <w:r w:rsidR="00FB1330" w:rsidRPr="00FE215A">
        <w:rPr>
          <w:color w:val="000000"/>
        </w:rPr>
        <w:t>3</w:t>
      </w:r>
      <w:r w:rsidRPr="00FE215A">
        <w:rPr>
          <w:color w:val="000000"/>
        </w:rPr>
        <w:t>] </w:t>
      </w:r>
      <w:r w:rsidR="00CA519C" w:rsidRPr="00FE215A">
        <w:t xml:space="preserve">Par </w:t>
      </w:r>
      <w:r w:rsidR="00E64071">
        <w:t>tiesas</w:t>
      </w:r>
      <w:r w:rsidR="00CA519C" w:rsidRPr="00FE215A">
        <w:t xml:space="preserve"> lēmumu </w:t>
      </w:r>
      <w:r w:rsidR="000805D1" w:rsidRPr="00FE215A">
        <w:t>pieteicēj</w:t>
      </w:r>
      <w:r w:rsidR="00A958E0" w:rsidRPr="00FE215A">
        <w:t>s</w:t>
      </w:r>
      <w:r w:rsidR="00CA519C" w:rsidRPr="00FE215A">
        <w:t xml:space="preserve"> iesniedza bl</w:t>
      </w:r>
      <w:r w:rsidR="00CA519C" w:rsidRPr="00FE215A">
        <w:rPr>
          <w:lang w:eastAsia="lv-LV"/>
        </w:rPr>
        <w:t>akus sūdzību</w:t>
      </w:r>
      <w:r w:rsidR="002D78CD" w:rsidRPr="00FE215A">
        <w:rPr>
          <w:lang w:eastAsia="lv-LV"/>
        </w:rPr>
        <w:t xml:space="preserve">, </w:t>
      </w:r>
      <w:r w:rsidR="00FF2BD5" w:rsidRPr="00FE215A">
        <w:rPr>
          <w:lang w:eastAsia="lv-LV"/>
        </w:rPr>
        <w:t xml:space="preserve">kurā </w:t>
      </w:r>
      <w:r w:rsidR="002D78CD" w:rsidRPr="00FE215A">
        <w:rPr>
          <w:lang w:eastAsia="lv-LV"/>
        </w:rPr>
        <w:t>norād</w:t>
      </w:r>
      <w:r w:rsidR="0014305F">
        <w:rPr>
          <w:lang w:eastAsia="lv-LV"/>
        </w:rPr>
        <w:t>a</w:t>
      </w:r>
      <w:r w:rsidR="00D86772" w:rsidRPr="00FE215A">
        <w:rPr>
          <w:lang w:eastAsia="lv-LV"/>
        </w:rPr>
        <w:t>, ka</w:t>
      </w:r>
      <w:r w:rsidR="00B67045" w:rsidRPr="00FE215A">
        <w:rPr>
          <w:lang w:eastAsia="lv-LV"/>
        </w:rPr>
        <w:t xml:space="preserve"> vēlas izmantot savas </w:t>
      </w:r>
      <w:r w:rsidR="00B67045" w:rsidRPr="00FE215A">
        <w:t>tiesības vērsties pret Rīgas bāriņtiesu, pamatojoties uz Valsts pārvaldes iestāžu nodarīto zaudējumu atlīdzināšanas likum</w:t>
      </w:r>
      <w:r w:rsidR="00E670BF">
        <w:t>u</w:t>
      </w:r>
      <w:r w:rsidR="000C6C38" w:rsidRPr="00FE215A">
        <w:t>.</w:t>
      </w:r>
      <w:r w:rsidR="00B67045" w:rsidRPr="00FE215A">
        <w:t xml:space="preserve"> Brīdī, kad tiesa lū</w:t>
      </w:r>
      <w:r w:rsidR="004C24C6">
        <w:t>dza</w:t>
      </w:r>
      <w:r w:rsidR="00B67045" w:rsidRPr="00FE215A">
        <w:t xml:space="preserve"> sniegt viedokli par tiesvedības turpināšanu izskatāmajā lietā, Senāts nebija izskatījis Rīgas bāriņtiesas kasācijas sūdzību lietā Nr. A420229521. </w:t>
      </w:r>
      <w:r w:rsidR="004C24C6">
        <w:t xml:space="preserve">Minētajā lietā </w:t>
      </w:r>
      <w:r w:rsidR="00B67045" w:rsidRPr="00FE215A">
        <w:t>Senāt</w:t>
      </w:r>
      <w:r w:rsidR="00425BEB" w:rsidRPr="00FE215A">
        <w:t>s</w:t>
      </w:r>
      <w:r w:rsidR="00B67045" w:rsidRPr="00FE215A">
        <w:t xml:space="preserve"> Rīgas bāriņtiesas lēmum</w:t>
      </w:r>
      <w:r w:rsidR="00425BEB" w:rsidRPr="00FE215A">
        <w:t>u</w:t>
      </w:r>
      <w:r w:rsidR="00B67045" w:rsidRPr="00FE215A">
        <w:t xml:space="preserve">, ar kuru nolemts pārtraukt aizgādības tiesības pieteicējam, </w:t>
      </w:r>
      <w:r w:rsidR="00425BEB" w:rsidRPr="00FE215A">
        <w:t>atzina</w:t>
      </w:r>
      <w:r w:rsidR="00B67045" w:rsidRPr="00FE215A">
        <w:t xml:space="preserve"> par spēkā neesošu</w:t>
      </w:r>
      <w:r w:rsidR="00425BEB" w:rsidRPr="00FE215A">
        <w:t xml:space="preserve">, tādējādi no tā brīža pieteicējam radušās tiesības lūgt atlīdzināt zaudējumus. Tiesa nav lūgusi pieteicēju sniegt viedokli </w:t>
      </w:r>
      <w:r w:rsidR="003137F2" w:rsidRPr="00FE215A">
        <w:t xml:space="preserve">par tiesvedības turpināšanu </w:t>
      </w:r>
      <w:r w:rsidR="00425BEB" w:rsidRPr="00FE215A">
        <w:t>pēc Senāta lēmuma, l</w:t>
      </w:r>
      <w:r w:rsidR="00B67045" w:rsidRPr="00FE215A">
        <w:t xml:space="preserve">īdz ar to pieteicējam nav bijusi iespēja norādīt, ka </w:t>
      </w:r>
      <w:r w:rsidR="00B610DE">
        <w:t>viņš</w:t>
      </w:r>
      <w:r w:rsidR="00B67045" w:rsidRPr="00FE215A">
        <w:t xml:space="preserve"> vēlas izmantot savas tiesības prasīt atlīdzinājumu un šo tiesību izlietojumam ir nepieciešams tiesas vērtējums par attiecīgā administratīvā akta tiesiskumu.</w:t>
      </w:r>
      <w:r w:rsidR="00B610DE">
        <w:t xml:space="preserve"> Pieteicēja norāde, ka ar pārsūdzēto lēmumu ir radīts bīstams precedents, pati par sevi ir pamatojums tiesvedības turpināšanai, jo norāda uz to, ka pieteicējs vēlas panākt līdzīgu gadījumu neatkārtošanos nākotnē.</w:t>
      </w:r>
    </w:p>
    <w:p w14:paraId="40B78106" w14:textId="5D0A71D5" w:rsidR="006D7A66" w:rsidRPr="00FE215A" w:rsidRDefault="006D7A66" w:rsidP="007766B0">
      <w:pPr>
        <w:tabs>
          <w:tab w:val="left" w:pos="1276"/>
        </w:tabs>
        <w:spacing w:line="276" w:lineRule="auto"/>
        <w:ind w:firstLine="720"/>
        <w:jc w:val="both"/>
        <w:rPr>
          <w:color w:val="000000"/>
        </w:rPr>
      </w:pPr>
      <w:r>
        <w:rPr>
          <w:color w:val="000000"/>
        </w:rPr>
        <w:t>[4</w:t>
      </w:r>
      <w:r w:rsidRPr="00FE215A">
        <w:rPr>
          <w:color w:val="000000"/>
        </w:rPr>
        <w:t>] Saskaņā ar Administratīvā procesa likuma 320.</w:t>
      </w:r>
      <w:r w:rsidRPr="00FE215A">
        <w:rPr>
          <w:color w:val="000000"/>
          <w:vertAlign w:val="superscript"/>
        </w:rPr>
        <w:t>1</w:t>
      </w:r>
      <w:r w:rsidRPr="00FE215A">
        <w:rPr>
          <w:color w:val="000000"/>
        </w:rPr>
        <w:t>pantu senatoru kolēģija var pieņemt vienbalsīgu lēmumu par atteikšanos izskatīt blakus sūdzību, ja tā ir acīmredzami nepamatota.</w:t>
      </w:r>
    </w:p>
    <w:p w14:paraId="5ADDA329" w14:textId="1E9172BA" w:rsidR="006D7A66" w:rsidRPr="00FE215A" w:rsidRDefault="006D7A66" w:rsidP="007766B0">
      <w:pPr>
        <w:spacing w:line="276" w:lineRule="auto"/>
        <w:ind w:firstLine="720"/>
        <w:jc w:val="both"/>
        <w:rPr>
          <w:color w:val="000000"/>
        </w:rPr>
      </w:pPr>
      <w:r w:rsidRPr="00FE215A">
        <w:rPr>
          <w:color w:val="000000"/>
        </w:rPr>
        <w:lastRenderedPageBreak/>
        <w:t xml:space="preserve">Pārbaudot pārsūdzēto </w:t>
      </w:r>
      <w:r w:rsidR="00D437B2">
        <w:rPr>
          <w:color w:val="000000"/>
        </w:rPr>
        <w:t>tiesas</w:t>
      </w:r>
      <w:r w:rsidRPr="00FE215A">
        <w:rPr>
          <w:color w:val="000000"/>
        </w:rPr>
        <w:t xml:space="preserve"> lēmumu, blakus sūdzību un lietas materiālus, senatoru kolēģija atzīst par pareizu Administratīvās rajona tiesas lēmumā secināto, savukārt pieteicēja blakus sūdzība ir acīmredzami nepamatota.</w:t>
      </w:r>
    </w:p>
    <w:p w14:paraId="6895DBE8" w14:textId="77777777" w:rsidR="001D2DA5" w:rsidRPr="00FE215A" w:rsidRDefault="001D2DA5" w:rsidP="007766B0">
      <w:pPr>
        <w:spacing w:line="276" w:lineRule="auto"/>
        <w:ind w:firstLine="720"/>
        <w:jc w:val="both"/>
      </w:pPr>
    </w:p>
    <w:p w14:paraId="19BB8670" w14:textId="2C00197D" w:rsidR="0014305F" w:rsidRDefault="003E524E" w:rsidP="007766B0">
      <w:pPr>
        <w:spacing w:line="276" w:lineRule="auto"/>
        <w:ind w:firstLine="720"/>
        <w:jc w:val="both"/>
      </w:pPr>
      <w:r w:rsidRPr="00FE215A">
        <w:t>[</w:t>
      </w:r>
      <w:r w:rsidR="006D7A66">
        <w:t>5</w:t>
      </w:r>
      <w:r w:rsidRPr="00FE215A">
        <w:t>] </w:t>
      </w:r>
      <w:r w:rsidR="00864A92">
        <w:t>Senatoru kolēģija konstatē, ka t</w:t>
      </w:r>
      <w:r w:rsidR="0014305F">
        <w:t>iesa, lūdzot pieteicēj</w:t>
      </w:r>
      <w:r w:rsidR="00E670BF">
        <w:t>u</w:t>
      </w:r>
      <w:r w:rsidR="0014305F">
        <w:t xml:space="preserve"> sniegt viedokli par tiesvedības turpināšanu, norādīja, ka saskaņā ar Administratīvā procesa likuma 184.panta otro daļu tiesvedība par administratīvā akta tiesiskuma izvērtējumu turpināma, ja tas nepieciešams atlīdzinājumu pieprasīšanai vai lai novērstu līdzīgu gadījumu atkārtošanos (</w:t>
      </w:r>
      <w:r w:rsidR="0014305F">
        <w:rPr>
          <w:i/>
          <w:iCs/>
        </w:rPr>
        <w:t>lietas 2.sējuma 32.lapa</w:t>
      </w:r>
      <w:r w:rsidR="0014305F">
        <w:t>).</w:t>
      </w:r>
    </w:p>
    <w:p w14:paraId="74C1E5E2" w14:textId="5C103712" w:rsidR="00A56D9A" w:rsidRDefault="00724CEB" w:rsidP="007766B0">
      <w:pPr>
        <w:spacing w:line="276" w:lineRule="auto"/>
        <w:ind w:firstLine="720"/>
        <w:jc w:val="both"/>
      </w:pPr>
      <w:r>
        <w:t>Pieteicējs</w:t>
      </w:r>
      <w:r w:rsidR="00864A92">
        <w:t xml:space="preserve"> blakus sūdzībā norāda, ka savā</w:t>
      </w:r>
      <w:r>
        <w:t xml:space="preserve"> viedoklī par tiesvedības turpināšanu</w:t>
      </w:r>
      <w:r w:rsidR="00864A92">
        <w:t xml:space="preserve"> bija norādījis, ka ar pārsūdzēto</w:t>
      </w:r>
      <w:r w:rsidR="0001743E">
        <w:t xml:space="preserve"> administratīvo</w:t>
      </w:r>
      <w:r w:rsidR="00864A92">
        <w:t xml:space="preserve"> aktu ir radīts bīstams precedents. Pieteicēja ieskatā šāda norāde ir pamatojums tiesvedības turpināšanai</w:t>
      </w:r>
      <w:r w:rsidR="00A56D9A">
        <w:t>, jo liecina, ka pieteicējs nevēlas līdzīgu gadījumu atkārtošanos</w:t>
      </w:r>
      <w:r w:rsidR="00864A92">
        <w:t xml:space="preserve">. </w:t>
      </w:r>
      <w:r w:rsidR="00CF7756">
        <w:t>Pieteicējs</w:t>
      </w:r>
      <w:r w:rsidR="00A56D9A">
        <w:t xml:space="preserve"> blakus sūdzīb</w:t>
      </w:r>
      <w:r w:rsidR="00E670BF">
        <w:t>ā</w:t>
      </w:r>
      <w:r w:rsidR="00CF7756">
        <w:t xml:space="preserve"> iebilst arī pret to, ka tiesa ir atsaukusies uz Senāta 2019.gada 30.aprīļa lēmumā lietā Nr. </w:t>
      </w:r>
      <w:r w:rsidR="00E670BF">
        <w:t>SKA-</w:t>
      </w:r>
      <w:r w:rsidR="00CF7756">
        <w:t>1199/2019, izteiktajā atziņām, jo tās</w:t>
      </w:r>
      <w:r w:rsidR="00A56D9A">
        <w:t xml:space="preserve"> esot</w:t>
      </w:r>
      <w:r w:rsidR="00CF7756">
        <w:t xml:space="preserve"> izteiktas pirms grozījumiem Administratīvā procesa likuma 184.panta otrajā daļā.</w:t>
      </w:r>
    </w:p>
    <w:p w14:paraId="317933FE" w14:textId="50449F97" w:rsidR="0001743E" w:rsidRDefault="00FF04CD" w:rsidP="007766B0">
      <w:pPr>
        <w:spacing w:line="276" w:lineRule="auto"/>
        <w:ind w:firstLine="720"/>
        <w:jc w:val="both"/>
      </w:pPr>
      <w:r>
        <w:t>Pieteicēja</w:t>
      </w:r>
      <w:r w:rsidR="00E670BF">
        <w:t>m</w:t>
      </w:r>
      <w:r>
        <w:t xml:space="preserve"> ir taisnība, ka kopš 2021.gada 1.decembra Administratīvā procesa likuma 184.panta otrā daļa ir izteikta citā redakcijā. Taču minētie grozījum</w:t>
      </w:r>
      <w:r w:rsidR="00E670BF">
        <w:t>i</w:t>
      </w:r>
      <w:r>
        <w:t xml:space="preserve"> nemainīja tiesību normas būtību, ka pieteikumu par administratīvā akta atzīšanu par prettiesisku var iesniegt</w:t>
      </w:r>
      <w:r w:rsidR="00AD5EF0">
        <w:t xml:space="preserve">, ja </w:t>
      </w:r>
      <w:r w:rsidR="00E670BF">
        <w:t xml:space="preserve">tas </w:t>
      </w:r>
      <w:r w:rsidR="00AD5EF0" w:rsidRPr="00AD5EF0">
        <w:t>ir nepieciešams atlīdzinājuma pieprasīšanai vai lai novērstu līdzīgu gadījumu atkārtošanos.</w:t>
      </w:r>
      <w:r w:rsidR="00A56D9A">
        <w:t xml:space="preserve"> Līdz ar to Senāta atziņas, kas paustas pirms šiem grozījumiem, ir piemērojamas</w:t>
      </w:r>
      <w:r w:rsidR="0001743E">
        <w:t xml:space="preserve"> arī izskatāmajā gadījumā</w:t>
      </w:r>
      <w:r w:rsidR="00A56D9A">
        <w:t>.</w:t>
      </w:r>
    </w:p>
    <w:p w14:paraId="3DE40554" w14:textId="224BF957" w:rsidR="00AD5EF0" w:rsidRPr="006D7A66" w:rsidRDefault="0001743E" w:rsidP="007766B0">
      <w:pPr>
        <w:spacing w:line="276" w:lineRule="auto"/>
        <w:ind w:firstLine="720"/>
        <w:jc w:val="both"/>
      </w:pPr>
      <w:r>
        <w:t xml:space="preserve">Lai tiesa varētu novērtēt, vai ir pieļaujama tiesvedība par administratīvā </w:t>
      </w:r>
      <w:r w:rsidRPr="0001743E">
        <w:t xml:space="preserve">akta atzīšanu par </w:t>
      </w:r>
      <w:r w:rsidR="00AD5EF0" w:rsidRPr="0001743E">
        <w:t>prettiesisku, lai novērstu līdzīgu gadījumu atkārtošanos, tai jāpārbauda, vai pastāv pietiekami ticama iespēja, ka tādos pašos tiesiskajos un faktiskajos apstākļos samērā tuvā laikā iestāde varētu rīkoties tāpat (</w:t>
      </w:r>
      <w:r w:rsidRPr="0001743E">
        <w:t xml:space="preserve">sal. </w:t>
      </w:r>
      <w:r w:rsidRPr="00D437B2">
        <w:rPr>
          <w:i/>
          <w:iCs/>
        </w:rPr>
        <w:t>Senāta 2019.gada 30.aprīļa lēmum</w:t>
      </w:r>
      <w:r w:rsidR="00E975E7">
        <w:rPr>
          <w:i/>
          <w:iCs/>
        </w:rPr>
        <w:t>a</w:t>
      </w:r>
      <w:r w:rsidRPr="00D437B2">
        <w:rPr>
          <w:i/>
          <w:iCs/>
        </w:rPr>
        <w:t xml:space="preserve"> lietā Nr. </w:t>
      </w:r>
      <w:r w:rsidR="00E670BF" w:rsidRPr="00D437B2">
        <w:rPr>
          <w:i/>
          <w:iCs/>
        </w:rPr>
        <w:t>SKA-</w:t>
      </w:r>
      <w:r w:rsidRPr="00D437B2">
        <w:rPr>
          <w:i/>
          <w:iCs/>
        </w:rPr>
        <w:t>1199/2019,</w:t>
      </w:r>
      <w:r w:rsidR="00D437B2" w:rsidRPr="00D437B2">
        <w:rPr>
          <w:i/>
          <w:iCs/>
        </w:rPr>
        <w:t xml:space="preserve"> </w:t>
      </w:r>
      <w:hyperlink r:id="rId9" w:history="1">
        <w:r w:rsidR="00D437B2" w:rsidRPr="00D437B2">
          <w:rPr>
            <w:rStyle w:val="Hyperlink"/>
            <w:i/>
            <w:iCs/>
          </w:rPr>
          <w:t>ECLI:LV:AT:2019:0430.A420248318.7.L</w:t>
        </w:r>
      </w:hyperlink>
      <w:r w:rsidR="00D437B2" w:rsidRPr="00D437B2">
        <w:rPr>
          <w:i/>
          <w:iCs/>
        </w:rPr>
        <w:t>,</w:t>
      </w:r>
      <w:r w:rsidRPr="00D437B2">
        <w:rPr>
          <w:i/>
          <w:iCs/>
        </w:rPr>
        <w:t xml:space="preserve"> 5.punkts</w:t>
      </w:r>
      <w:r w:rsidR="00AD5EF0" w:rsidRPr="00D437B2">
        <w:t>).</w:t>
      </w:r>
      <w:r w:rsidR="00AD5EF0" w:rsidRPr="0001743E">
        <w:t xml:space="preserve"> </w:t>
      </w:r>
      <w:r>
        <w:t>Tiesa pamatoti norādīja, ka pieteicējs ir izteicis tikai vispārēju apsvērumu par to, ka bāriņtiesa izveidojusi bīstamu precedentu vai piekopj nepareizu praksi, kas pēc būtības ļauj citām personām panāk</w:t>
      </w:r>
      <w:r w:rsidR="00E670BF">
        <w:t>t</w:t>
      </w:r>
      <w:r>
        <w:t xml:space="preserve"> prettiesiskus un nepamatotus lēmumus, sniedzot selektīvi izvēlētu informāciju. Pieteicējs nav norādījis apstākļus, kas liecina tieši par pieteicēja interešu aizskārumu</w:t>
      </w:r>
      <w:r w:rsidR="006D7A66">
        <w:t>, ka samērā tuvā nākotnē iestāde varētu izdot tāda paša satura nelabvēlīgu administratīvo aktu.</w:t>
      </w:r>
    </w:p>
    <w:p w14:paraId="6C64FD10" w14:textId="672EAF16" w:rsidR="0014305F" w:rsidRDefault="0014305F" w:rsidP="007766B0">
      <w:pPr>
        <w:spacing w:line="276" w:lineRule="auto"/>
        <w:ind w:firstLine="720"/>
        <w:jc w:val="both"/>
      </w:pPr>
      <w:r>
        <w:t xml:space="preserve">Pieteicējs viedoklī par tiesvedības turpināšanu </w:t>
      </w:r>
      <w:r w:rsidR="00B15B6E">
        <w:t xml:space="preserve">nebija norādījis nodomu pieprasīt atlīdzinājumu. Tikai blakus sūdzībā pieteicējs </w:t>
      </w:r>
      <w:r w:rsidR="00724CEB">
        <w:t>norād</w:t>
      </w:r>
      <w:r w:rsidR="006D7A66">
        <w:t>a</w:t>
      </w:r>
      <w:r w:rsidR="00724CEB">
        <w:t>, ka viņam ir radušās tiesības lūgt atlīdzināt zaudējumus, kas nodarīti ar prettiesisko Rīgas bāriņtiesas 2021.gada 4.augusta lēmumu Nr. 1-6/1476, ar kuru pieteicējam bija pārtrauktas dēla aizgādības tiesības. Tātad pieteicējs uz tiesas lūgumu sniegt viedokli par tiesvedības turpināšanu konkrētajā lietā n</w:t>
      </w:r>
      <w:r w:rsidR="006D7A66">
        <w:t>ebija</w:t>
      </w:r>
      <w:r w:rsidR="00724CEB">
        <w:t xml:space="preserve"> norādījis, ka tas nepieciešams atlīdzinājuma pieprasīšanai, bet, kā pieteicējs vērš uzmanību blakus sūdzībā, bija norādījis, ka vēl nav noslēgusies tiesvedība citā administratīvajā lietā </w:t>
      </w:r>
      <w:r w:rsidR="00724CEB" w:rsidRPr="00FE215A">
        <w:t>Nr. A420229521</w:t>
      </w:r>
      <w:r w:rsidR="00724CEB">
        <w:t>, kuras pieteikuma priekšmets bija Rīgas bāriņtiesas 2021.gada 4.augusta lēmum</w:t>
      </w:r>
      <w:r w:rsidR="001238A3">
        <w:t>s</w:t>
      </w:r>
      <w:r w:rsidR="00724CEB">
        <w:t xml:space="preserve"> Nr. 1-6/1476. Arī blakus sūdzībā tiesības pieprasīt atlīdzinājumu pieteicējs saista tieši ar minēto lēmumu, kas nav šīs lietas pieteikuma priekšmets.</w:t>
      </w:r>
    </w:p>
    <w:p w14:paraId="5E0ED932" w14:textId="524E3526" w:rsidR="006D7A66" w:rsidRDefault="00864A92" w:rsidP="007766B0">
      <w:pPr>
        <w:spacing w:line="276" w:lineRule="auto"/>
        <w:ind w:firstLine="720"/>
        <w:jc w:val="both"/>
      </w:pPr>
      <w:r>
        <w:t>Tas, ka tiesvedības turpināšana ir nepieciešama atlīdzinājuma pieprasīšanai, ir jānorāda tiesai, kas lemj par tiesvedības turpināšanu vai izbeigšanu. Šād</w:t>
      </w:r>
      <w:r w:rsidR="001238A3">
        <w:t>a</w:t>
      </w:r>
      <w:r>
        <w:t xml:space="preserve"> pamatojuma </w:t>
      </w:r>
      <w:r>
        <w:lastRenderedPageBreak/>
        <w:t>norādīšana tikai blakus sūdzībā nav pieļaujama, jo blakus sūdzībā ir jānorāda argumenti</w:t>
      </w:r>
      <w:r w:rsidR="006D7A66">
        <w:t>, kā izpaužas</w:t>
      </w:r>
      <w:r>
        <w:t xml:space="preserve"> tiesas lēmuma nepareizību, nevis jāizvirza </w:t>
      </w:r>
      <w:r w:rsidR="00CF7756">
        <w:t>tāds tiesvedības turpināšanas pamats, kas nav bijis norādīts tiesai un par ko tiesa nav lēmusi.</w:t>
      </w:r>
    </w:p>
    <w:p w14:paraId="4BCD5168" w14:textId="1898A0F4" w:rsidR="00864A92" w:rsidRPr="0014305F" w:rsidRDefault="006D7A66" w:rsidP="007766B0">
      <w:pPr>
        <w:spacing w:line="276" w:lineRule="auto"/>
        <w:ind w:firstLine="720"/>
        <w:jc w:val="both"/>
        <w:rPr>
          <w:i/>
          <w:iCs/>
        </w:rPr>
      </w:pPr>
      <w:r>
        <w:t xml:space="preserve">Ņemot vērā minēto, senatoru kolēģija atzīst, ka minētie </w:t>
      </w:r>
      <w:r w:rsidR="00CF7756">
        <w:t>blakus sūdzības argumenti ir acīmredzami nepamatoti.</w:t>
      </w:r>
    </w:p>
    <w:p w14:paraId="26C601B4" w14:textId="39DA991F" w:rsidR="00515AEA" w:rsidRPr="00FE215A" w:rsidRDefault="00515AEA" w:rsidP="007766B0">
      <w:pPr>
        <w:tabs>
          <w:tab w:val="left" w:pos="1276"/>
        </w:tabs>
        <w:spacing w:line="276" w:lineRule="auto"/>
        <w:ind w:firstLine="720"/>
        <w:jc w:val="both"/>
        <w:rPr>
          <w:color w:val="000000"/>
        </w:rPr>
      </w:pPr>
    </w:p>
    <w:p w14:paraId="56F8F8B7" w14:textId="77777777" w:rsidR="00641825" w:rsidRPr="00FE215A" w:rsidRDefault="00641825" w:rsidP="007766B0">
      <w:pPr>
        <w:spacing w:line="276" w:lineRule="auto"/>
        <w:ind w:firstLine="720"/>
        <w:jc w:val="both"/>
        <w:rPr>
          <w:color w:val="000000"/>
        </w:rPr>
      </w:pPr>
      <w:r w:rsidRPr="00FE215A">
        <w:rPr>
          <w:color w:val="000000"/>
        </w:rPr>
        <w:t>Pamatojoties uz Administratīvā procesa likuma 320.</w:t>
      </w:r>
      <w:r w:rsidRPr="00FE215A">
        <w:rPr>
          <w:color w:val="000000"/>
          <w:vertAlign w:val="superscript"/>
        </w:rPr>
        <w:t>1</w:t>
      </w:r>
      <w:r w:rsidRPr="00FE215A">
        <w:rPr>
          <w:color w:val="000000"/>
        </w:rPr>
        <w:t>pantu, 324.panta pirmo daļu un 338.panta astoto daļu, senatoru kolēģija</w:t>
      </w:r>
    </w:p>
    <w:p w14:paraId="10FB909D" w14:textId="77777777" w:rsidR="00BA57C4" w:rsidRPr="00EF268D" w:rsidRDefault="00BA57C4" w:rsidP="007766B0">
      <w:pPr>
        <w:spacing w:line="276" w:lineRule="auto"/>
        <w:ind w:firstLine="720"/>
        <w:jc w:val="both"/>
        <w:rPr>
          <w:color w:val="000000"/>
        </w:rPr>
      </w:pPr>
    </w:p>
    <w:p w14:paraId="1DE79DB2" w14:textId="77777777" w:rsidR="00BA57C4" w:rsidRPr="00EF268D" w:rsidRDefault="00BA57C4" w:rsidP="007766B0">
      <w:pPr>
        <w:tabs>
          <w:tab w:val="left" w:pos="2700"/>
          <w:tab w:val="left" w:pos="6660"/>
        </w:tabs>
        <w:spacing w:line="276" w:lineRule="auto"/>
        <w:ind w:firstLine="720"/>
        <w:contextualSpacing/>
        <w:jc w:val="center"/>
        <w:rPr>
          <w:rFonts w:asciiTheme="majorBidi" w:hAnsiTheme="majorBidi" w:cstheme="majorBidi"/>
          <w:b/>
        </w:rPr>
      </w:pPr>
      <w:r w:rsidRPr="00EF268D">
        <w:rPr>
          <w:rFonts w:asciiTheme="majorBidi" w:hAnsiTheme="majorBidi" w:cstheme="majorBidi"/>
          <w:b/>
        </w:rPr>
        <w:t>nolēma</w:t>
      </w:r>
    </w:p>
    <w:p w14:paraId="59997427" w14:textId="77777777" w:rsidR="00BA57C4" w:rsidRPr="00EF268D" w:rsidRDefault="00BA57C4" w:rsidP="007766B0">
      <w:pPr>
        <w:spacing w:line="276" w:lineRule="auto"/>
        <w:ind w:firstLine="720"/>
        <w:jc w:val="both"/>
        <w:rPr>
          <w:color w:val="000000"/>
        </w:rPr>
      </w:pPr>
    </w:p>
    <w:p w14:paraId="45576332" w14:textId="733EEC24" w:rsidR="00DB682A" w:rsidRPr="00E1246A" w:rsidRDefault="00D06FF8" w:rsidP="007766B0">
      <w:pPr>
        <w:spacing w:line="276" w:lineRule="auto"/>
        <w:ind w:firstLine="720"/>
        <w:jc w:val="both"/>
        <w:rPr>
          <w:color w:val="000000"/>
        </w:rPr>
      </w:pPr>
      <w:r w:rsidRPr="00EF268D">
        <w:rPr>
          <w:color w:val="000000"/>
        </w:rPr>
        <w:t>atteikt</w:t>
      </w:r>
      <w:r w:rsidR="004961C2" w:rsidRPr="00EF268D">
        <w:rPr>
          <w:color w:val="000000"/>
        </w:rPr>
        <w:t xml:space="preserve"> </w:t>
      </w:r>
      <w:r w:rsidR="00515AEA" w:rsidRPr="00EF268D">
        <w:rPr>
          <w:color w:val="000000"/>
        </w:rPr>
        <w:t xml:space="preserve">izskatīt </w:t>
      </w:r>
      <w:r w:rsidR="00EC7D76">
        <w:rPr>
          <w:color w:val="000000"/>
        </w:rPr>
        <w:t xml:space="preserve">[pers. A] </w:t>
      </w:r>
      <w:r w:rsidR="005F6D23" w:rsidRPr="00EF268D">
        <w:rPr>
          <w:color w:val="000000"/>
        </w:rPr>
        <w:t xml:space="preserve">blakus </w:t>
      </w:r>
      <w:r w:rsidR="00515AEA" w:rsidRPr="00EF268D">
        <w:rPr>
          <w:color w:val="000000"/>
        </w:rPr>
        <w:t xml:space="preserve">sūdzību par </w:t>
      </w:r>
      <w:r w:rsidR="00D17627" w:rsidRPr="007D376D">
        <w:rPr>
          <w:color w:val="000000"/>
        </w:rPr>
        <w:t xml:space="preserve">Administratīvās </w:t>
      </w:r>
      <w:r w:rsidR="00D17627">
        <w:rPr>
          <w:color w:val="000000"/>
        </w:rPr>
        <w:t>rajona tiesas</w:t>
      </w:r>
      <w:r w:rsidR="00D17627" w:rsidRPr="007D376D">
        <w:rPr>
          <w:color w:val="000000"/>
        </w:rPr>
        <w:t xml:space="preserve"> </w:t>
      </w:r>
      <w:r w:rsidR="00A958E0" w:rsidRPr="007D376D">
        <w:rPr>
          <w:color w:val="000000"/>
        </w:rPr>
        <w:t>202</w:t>
      </w:r>
      <w:r w:rsidR="00A958E0">
        <w:rPr>
          <w:color w:val="000000"/>
        </w:rPr>
        <w:t>5</w:t>
      </w:r>
      <w:r w:rsidR="00A958E0" w:rsidRPr="007D376D">
        <w:rPr>
          <w:color w:val="000000"/>
        </w:rPr>
        <w:t xml:space="preserve">.gada </w:t>
      </w:r>
      <w:r w:rsidR="00A958E0">
        <w:rPr>
          <w:color w:val="000000"/>
        </w:rPr>
        <w:t>10</w:t>
      </w:r>
      <w:r w:rsidR="00A958E0" w:rsidRPr="007D376D">
        <w:rPr>
          <w:color w:val="000000"/>
        </w:rPr>
        <w:t>.</w:t>
      </w:r>
      <w:r w:rsidR="00A958E0">
        <w:rPr>
          <w:color w:val="000000"/>
        </w:rPr>
        <w:t>jūnija</w:t>
      </w:r>
      <w:r w:rsidR="00A958E0" w:rsidRPr="007D376D">
        <w:rPr>
          <w:color w:val="000000"/>
        </w:rPr>
        <w:t xml:space="preserve"> </w:t>
      </w:r>
      <w:r w:rsidR="00A958E0">
        <w:rPr>
          <w:color w:val="000000"/>
        </w:rPr>
        <w:t>lēmumu</w:t>
      </w:r>
      <w:r w:rsidR="00A958E0" w:rsidRPr="007D376D">
        <w:rPr>
          <w:color w:val="000000"/>
        </w:rPr>
        <w:t xml:space="preserve">, ar kuru </w:t>
      </w:r>
      <w:r w:rsidR="00A958E0" w:rsidRPr="00A958E0">
        <w:rPr>
          <w:color w:val="000000"/>
        </w:rPr>
        <w:t>izbeigt</w:t>
      </w:r>
      <w:r w:rsidR="00A958E0">
        <w:rPr>
          <w:color w:val="000000"/>
        </w:rPr>
        <w:t>a</w:t>
      </w:r>
      <w:r w:rsidR="00A958E0" w:rsidRPr="00A958E0">
        <w:rPr>
          <w:color w:val="000000"/>
        </w:rPr>
        <w:t xml:space="preserve"> tiesvedīb</w:t>
      </w:r>
      <w:r w:rsidR="00A958E0">
        <w:rPr>
          <w:color w:val="000000"/>
        </w:rPr>
        <w:t>a</w:t>
      </w:r>
      <w:r w:rsidR="00A958E0" w:rsidRPr="00A958E0">
        <w:rPr>
          <w:color w:val="000000"/>
        </w:rPr>
        <w:t xml:space="preserve"> administratīvajā lietā</w:t>
      </w:r>
      <w:r w:rsidR="00DB682A" w:rsidRPr="0096350B">
        <w:t>.</w:t>
      </w:r>
    </w:p>
    <w:p w14:paraId="0D313DA6" w14:textId="44854DF4" w:rsidR="007D376D" w:rsidRDefault="007D376D" w:rsidP="007766B0">
      <w:pPr>
        <w:spacing w:line="276" w:lineRule="auto"/>
        <w:ind w:firstLine="720"/>
        <w:jc w:val="both"/>
        <w:rPr>
          <w:color w:val="000000"/>
        </w:rPr>
      </w:pPr>
    </w:p>
    <w:p w14:paraId="6A327C11" w14:textId="043F5875" w:rsidR="00BA57C4" w:rsidRPr="007D376D" w:rsidRDefault="00BA57C4" w:rsidP="007766B0">
      <w:pPr>
        <w:spacing w:line="276" w:lineRule="auto"/>
        <w:ind w:firstLine="720"/>
        <w:jc w:val="both"/>
        <w:rPr>
          <w:color w:val="000000"/>
        </w:rPr>
      </w:pPr>
      <w:r w:rsidRPr="007D376D">
        <w:rPr>
          <w:color w:val="000000"/>
        </w:rPr>
        <w:t>Lēmums nav pārsūdzams.</w:t>
      </w:r>
    </w:p>
    <w:p w14:paraId="3B6A9C60" w14:textId="69D6771C" w:rsidR="00120869" w:rsidRPr="0019488F" w:rsidRDefault="00120869" w:rsidP="007766B0">
      <w:pPr>
        <w:spacing w:line="276" w:lineRule="auto"/>
        <w:ind w:firstLine="720"/>
        <w:jc w:val="both"/>
        <w:rPr>
          <w:color w:val="000000"/>
          <w:sz w:val="20"/>
          <w:szCs w:val="20"/>
        </w:rPr>
      </w:pPr>
    </w:p>
    <w:p w14:paraId="05629859" w14:textId="77777777" w:rsidR="00416552" w:rsidRPr="00AF25A6" w:rsidRDefault="00416552" w:rsidP="007766B0">
      <w:pPr>
        <w:spacing w:line="276" w:lineRule="auto"/>
        <w:ind w:firstLine="720"/>
        <w:jc w:val="both"/>
        <w:rPr>
          <w:color w:val="000000"/>
        </w:rPr>
      </w:pPr>
    </w:p>
    <w:p w14:paraId="63A46E32" w14:textId="48F45A65" w:rsidR="00384818" w:rsidRDefault="00384818" w:rsidP="007766B0">
      <w:pPr>
        <w:spacing w:line="276" w:lineRule="auto"/>
        <w:ind w:firstLine="720"/>
        <w:jc w:val="both"/>
        <w:rPr>
          <w:color w:val="000000"/>
        </w:rPr>
      </w:pPr>
    </w:p>
    <w:p w14:paraId="3B83F0E3" w14:textId="77777777" w:rsidR="00384818" w:rsidRPr="00FE2105" w:rsidRDefault="00384818" w:rsidP="007766B0">
      <w:pPr>
        <w:spacing w:line="276" w:lineRule="auto"/>
        <w:ind w:firstLine="720"/>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0"/>
        <w:gridCol w:w="2842"/>
        <w:gridCol w:w="2852"/>
      </w:tblGrid>
      <w:tr w:rsidR="00384818" w:rsidRPr="00587DA8" w14:paraId="34535CA7" w14:textId="77777777" w:rsidTr="00384818">
        <w:tc>
          <w:tcPr>
            <w:tcW w:w="3020" w:type="dxa"/>
            <w:hideMark/>
          </w:tcPr>
          <w:p w14:paraId="75729C23" w14:textId="77777777" w:rsidR="00384818" w:rsidRPr="000C78DC" w:rsidRDefault="00384818" w:rsidP="007766B0">
            <w:pPr>
              <w:tabs>
                <w:tab w:val="left" w:pos="2700"/>
                <w:tab w:val="left" w:pos="6660"/>
              </w:tabs>
              <w:spacing w:line="276" w:lineRule="auto"/>
              <w:ind w:firstLine="318"/>
              <w:jc w:val="center"/>
              <w:rPr>
                <w:rFonts w:asciiTheme="majorBidi" w:hAnsiTheme="majorBidi" w:cstheme="majorBidi"/>
                <w:sz w:val="24"/>
              </w:rPr>
            </w:pPr>
            <w:r w:rsidRPr="000C78DC">
              <w:rPr>
                <w:rFonts w:asciiTheme="majorBidi" w:hAnsiTheme="majorBidi" w:cstheme="majorBidi"/>
                <w:sz w:val="24"/>
              </w:rPr>
              <w:t>Senatore L. Slica</w:t>
            </w:r>
          </w:p>
        </w:tc>
        <w:tc>
          <w:tcPr>
            <w:tcW w:w="3020" w:type="dxa"/>
            <w:hideMark/>
          </w:tcPr>
          <w:p w14:paraId="48DCE7FF" w14:textId="1ED2B0A3" w:rsidR="00384818" w:rsidRPr="000C78DC" w:rsidRDefault="00384818" w:rsidP="007766B0">
            <w:pPr>
              <w:tabs>
                <w:tab w:val="left" w:pos="2700"/>
                <w:tab w:val="left" w:pos="6660"/>
              </w:tabs>
              <w:spacing w:line="276" w:lineRule="auto"/>
              <w:jc w:val="right"/>
              <w:rPr>
                <w:rFonts w:asciiTheme="majorBidi" w:hAnsiTheme="majorBidi" w:cstheme="majorBidi"/>
                <w:sz w:val="24"/>
              </w:rPr>
            </w:pPr>
            <w:r w:rsidRPr="000C78DC">
              <w:rPr>
                <w:rFonts w:asciiTheme="majorBidi" w:hAnsiTheme="majorBidi" w:cstheme="majorBidi"/>
                <w:sz w:val="24"/>
              </w:rPr>
              <w:t>Senator</w:t>
            </w:r>
            <w:r w:rsidR="00123D43" w:rsidRPr="000C78DC">
              <w:rPr>
                <w:rFonts w:asciiTheme="majorBidi" w:hAnsiTheme="majorBidi" w:cstheme="majorBidi"/>
                <w:sz w:val="24"/>
              </w:rPr>
              <w:t>s</w:t>
            </w:r>
            <w:r w:rsidRPr="000C78DC">
              <w:rPr>
                <w:rFonts w:asciiTheme="majorBidi" w:hAnsiTheme="majorBidi" w:cstheme="majorBidi"/>
                <w:sz w:val="24"/>
              </w:rPr>
              <w:t xml:space="preserve"> </w:t>
            </w:r>
            <w:r w:rsidR="00746D94" w:rsidRPr="000C78DC">
              <w:rPr>
                <w:rFonts w:asciiTheme="majorBidi" w:hAnsiTheme="majorBidi" w:cstheme="majorBidi"/>
                <w:sz w:val="24"/>
              </w:rPr>
              <w:t>E</w:t>
            </w:r>
            <w:r w:rsidRPr="000C78DC">
              <w:rPr>
                <w:rFonts w:asciiTheme="majorBidi" w:hAnsiTheme="majorBidi" w:cstheme="majorBidi"/>
                <w:sz w:val="24"/>
              </w:rPr>
              <w:t>. </w:t>
            </w:r>
            <w:r w:rsidR="00746D94" w:rsidRPr="000C78DC">
              <w:rPr>
                <w:rFonts w:asciiTheme="majorBidi" w:hAnsiTheme="majorBidi" w:cstheme="majorBidi"/>
                <w:sz w:val="24"/>
              </w:rPr>
              <w:t>Darapoļskis</w:t>
            </w:r>
          </w:p>
        </w:tc>
        <w:tc>
          <w:tcPr>
            <w:tcW w:w="3021" w:type="dxa"/>
            <w:hideMark/>
          </w:tcPr>
          <w:p w14:paraId="5DBCF016" w14:textId="78427BCA" w:rsidR="00384818" w:rsidRPr="000C78DC" w:rsidRDefault="00384818" w:rsidP="007766B0">
            <w:pPr>
              <w:tabs>
                <w:tab w:val="left" w:pos="2700"/>
                <w:tab w:val="left" w:pos="6660"/>
              </w:tabs>
              <w:spacing w:line="276" w:lineRule="auto"/>
              <w:jc w:val="right"/>
              <w:rPr>
                <w:rFonts w:asciiTheme="majorBidi" w:hAnsiTheme="majorBidi" w:cstheme="majorBidi"/>
                <w:sz w:val="24"/>
              </w:rPr>
            </w:pPr>
            <w:r w:rsidRPr="000C78DC">
              <w:rPr>
                <w:rFonts w:asciiTheme="majorBidi" w:hAnsiTheme="majorBidi" w:cstheme="majorBidi"/>
                <w:sz w:val="24"/>
              </w:rPr>
              <w:t>Senator</w:t>
            </w:r>
            <w:r w:rsidR="00123D43" w:rsidRPr="000C78DC">
              <w:rPr>
                <w:rFonts w:asciiTheme="majorBidi" w:hAnsiTheme="majorBidi" w:cstheme="majorBidi"/>
                <w:sz w:val="24"/>
              </w:rPr>
              <w:t xml:space="preserve">e </w:t>
            </w:r>
            <w:r w:rsidR="00A958E0">
              <w:rPr>
                <w:rFonts w:asciiTheme="majorBidi" w:hAnsiTheme="majorBidi" w:cstheme="majorBidi"/>
                <w:sz w:val="24"/>
              </w:rPr>
              <w:t>L</w:t>
            </w:r>
            <w:r w:rsidR="00123D43" w:rsidRPr="000C78DC">
              <w:rPr>
                <w:rFonts w:asciiTheme="majorBidi" w:hAnsiTheme="majorBidi" w:cstheme="majorBidi"/>
                <w:sz w:val="24"/>
              </w:rPr>
              <w:t>. </w:t>
            </w:r>
            <w:r w:rsidR="00A958E0">
              <w:rPr>
                <w:rFonts w:asciiTheme="majorBidi" w:hAnsiTheme="majorBidi" w:cstheme="majorBidi"/>
                <w:sz w:val="24"/>
              </w:rPr>
              <w:t>Konošonoka</w:t>
            </w:r>
          </w:p>
        </w:tc>
      </w:tr>
    </w:tbl>
    <w:p w14:paraId="79CB111A" w14:textId="77777777" w:rsidR="00BA57C4" w:rsidRPr="001C22FB" w:rsidRDefault="00BA57C4" w:rsidP="007766B0">
      <w:pPr>
        <w:spacing w:line="276" w:lineRule="auto"/>
        <w:ind w:firstLine="720"/>
        <w:jc w:val="center"/>
        <w:rPr>
          <w:rFonts w:asciiTheme="majorBidi" w:hAnsiTheme="majorBidi" w:cstheme="majorBidi"/>
          <w:sz w:val="2"/>
          <w:szCs w:val="2"/>
        </w:rPr>
      </w:pPr>
    </w:p>
    <w:sectPr w:rsidR="00BA57C4" w:rsidRPr="001C22FB" w:rsidSect="00AF25A6">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6A4A6" w14:textId="77777777" w:rsidR="007F66D2" w:rsidRDefault="007F66D2" w:rsidP="00D657BA">
      <w:r>
        <w:separator/>
      </w:r>
    </w:p>
  </w:endnote>
  <w:endnote w:type="continuationSeparator" w:id="0">
    <w:p w14:paraId="3238F689" w14:textId="77777777" w:rsidR="007F66D2" w:rsidRDefault="007F66D2"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6C13DC8" w14:textId="47D20E0B" w:rsidR="00684A29" w:rsidRPr="00F64E84" w:rsidRDefault="009B528C"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00BC03E3" w:rsidRPr="00F64E84">
              <w:rPr>
                <w:noProof/>
                <w:sz w:val="20"/>
                <w:szCs w:val="20"/>
              </w:rPr>
              <w:t>2</w:t>
            </w:r>
            <w:r w:rsidRPr="00F64E84">
              <w:rPr>
                <w:sz w:val="20"/>
                <w:szCs w:val="20"/>
              </w:rPr>
              <w:fldChar w:fldCharType="end"/>
            </w:r>
            <w:r w:rsidRPr="00F64E84">
              <w:rPr>
                <w:sz w:val="20"/>
                <w:szCs w:val="20"/>
              </w:rPr>
              <w:t xml:space="preserve"> no </w:t>
            </w:r>
            <w:r w:rsidR="009C07E7" w:rsidRPr="00F64E84">
              <w:rPr>
                <w:noProof/>
                <w:sz w:val="20"/>
                <w:szCs w:val="20"/>
              </w:rPr>
              <w:fldChar w:fldCharType="begin"/>
            </w:r>
            <w:r w:rsidR="009C07E7" w:rsidRPr="00F64E84">
              <w:rPr>
                <w:noProof/>
                <w:sz w:val="20"/>
                <w:szCs w:val="20"/>
              </w:rPr>
              <w:instrText xml:space="preserve"> NUMPAGES  </w:instrText>
            </w:r>
            <w:r w:rsidR="009C07E7" w:rsidRPr="00F64E84">
              <w:rPr>
                <w:noProof/>
                <w:sz w:val="20"/>
                <w:szCs w:val="20"/>
              </w:rPr>
              <w:fldChar w:fldCharType="separate"/>
            </w:r>
            <w:r w:rsidR="00BC03E3" w:rsidRPr="00F64E84">
              <w:rPr>
                <w:noProof/>
                <w:sz w:val="20"/>
                <w:szCs w:val="20"/>
              </w:rPr>
              <w:t>2</w:t>
            </w:r>
            <w:r w:rsidR="009C07E7"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AF7E4" w14:textId="77777777" w:rsidR="007F66D2" w:rsidRDefault="007F66D2" w:rsidP="00D657BA">
      <w:r>
        <w:separator/>
      </w:r>
    </w:p>
  </w:footnote>
  <w:footnote w:type="continuationSeparator" w:id="0">
    <w:p w14:paraId="4EFB8A3E" w14:textId="77777777" w:rsidR="007F66D2" w:rsidRDefault="007F66D2" w:rsidP="00D65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AA4810"/>
    <w:multiLevelType w:val="hybridMultilevel"/>
    <w:tmpl w:val="7E200898"/>
    <w:lvl w:ilvl="0" w:tplc="6E4E31F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87565928">
    <w:abstractNumId w:val="0"/>
  </w:num>
  <w:num w:numId="2" w16cid:durableId="874732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A7"/>
    <w:rsid w:val="0001104C"/>
    <w:rsid w:val="0001157F"/>
    <w:rsid w:val="00015622"/>
    <w:rsid w:val="00017086"/>
    <w:rsid w:val="0001743E"/>
    <w:rsid w:val="000238D5"/>
    <w:rsid w:val="0002632A"/>
    <w:rsid w:val="000266ED"/>
    <w:rsid w:val="00026725"/>
    <w:rsid w:val="0002673E"/>
    <w:rsid w:val="00026782"/>
    <w:rsid w:val="00030128"/>
    <w:rsid w:val="000302F0"/>
    <w:rsid w:val="000322E3"/>
    <w:rsid w:val="000328B3"/>
    <w:rsid w:val="00035C4F"/>
    <w:rsid w:val="00037B5D"/>
    <w:rsid w:val="00045503"/>
    <w:rsid w:val="0004680C"/>
    <w:rsid w:val="00066B11"/>
    <w:rsid w:val="00071D1F"/>
    <w:rsid w:val="00071D83"/>
    <w:rsid w:val="0007271A"/>
    <w:rsid w:val="00074640"/>
    <w:rsid w:val="00076317"/>
    <w:rsid w:val="0007642B"/>
    <w:rsid w:val="000805D1"/>
    <w:rsid w:val="00086D5E"/>
    <w:rsid w:val="00093467"/>
    <w:rsid w:val="00093C91"/>
    <w:rsid w:val="00094FCD"/>
    <w:rsid w:val="00097ED5"/>
    <w:rsid w:val="000A1C94"/>
    <w:rsid w:val="000A1D61"/>
    <w:rsid w:val="000A2E48"/>
    <w:rsid w:val="000A6E67"/>
    <w:rsid w:val="000A7224"/>
    <w:rsid w:val="000B0CA4"/>
    <w:rsid w:val="000B163B"/>
    <w:rsid w:val="000B1DA4"/>
    <w:rsid w:val="000B2147"/>
    <w:rsid w:val="000B2326"/>
    <w:rsid w:val="000B701F"/>
    <w:rsid w:val="000C02BD"/>
    <w:rsid w:val="000C04BF"/>
    <w:rsid w:val="000C257C"/>
    <w:rsid w:val="000C652A"/>
    <w:rsid w:val="000C6C38"/>
    <w:rsid w:val="000C6D40"/>
    <w:rsid w:val="000C78DC"/>
    <w:rsid w:val="000C7D0C"/>
    <w:rsid w:val="000D0D53"/>
    <w:rsid w:val="000D0E1D"/>
    <w:rsid w:val="000D1A2C"/>
    <w:rsid w:val="000D1CAA"/>
    <w:rsid w:val="000E7065"/>
    <w:rsid w:val="000F4D06"/>
    <w:rsid w:val="000F64A9"/>
    <w:rsid w:val="00101AA5"/>
    <w:rsid w:val="001022C7"/>
    <w:rsid w:val="00107F2C"/>
    <w:rsid w:val="00111E71"/>
    <w:rsid w:val="0011307D"/>
    <w:rsid w:val="00113E66"/>
    <w:rsid w:val="00116B5E"/>
    <w:rsid w:val="00120869"/>
    <w:rsid w:val="001238A3"/>
    <w:rsid w:val="00123D43"/>
    <w:rsid w:val="00124E0A"/>
    <w:rsid w:val="00125244"/>
    <w:rsid w:val="00127E26"/>
    <w:rsid w:val="0013314F"/>
    <w:rsid w:val="0013422C"/>
    <w:rsid w:val="00141618"/>
    <w:rsid w:val="00142F3A"/>
    <w:rsid w:val="0014305F"/>
    <w:rsid w:val="0014393E"/>
    <w:rsid w:val="00150400"/>
    <w:rsid w:val="00151861"/>
    <w:rsid w:val="0015186D"/>
    <w:rsid w:val="001566CB"/>
    <w:rsid w:val="001612F2"/>
    <w:rsid w:val="00162F60"/>
    <w:rsid w:val="00163389"/>
    <w:rsid w:val="00165FA0"/>
    <w:rsid w:val="00167023"/>
    <w:rsid w:val="00171097"/>
    <w:rsid w:val="00176C22"/>
    <w:rsid w:val="00177F53"/>
    <w:rsid w:val="0018070F"/>
    <w:rsid w:val="001836EB"/>
    <w:rsid w:val="00183880"/>
    <w:rsid w:val="00183A64"/>
    <w:rsid w:val="00184AD4"/>
    <w:rsid w:val="00191112"/>
    <w:rsid w:val="00192D5E"/>
    <w:rsid w:val="0019488F"/>
    <w:rsid w:val="00195ACC"/>
    <w:rsid w:val="001A0234"/>
    <w:rsid w:val="001A5AA6"/>
    <w:rsid w:val="001A7C59"/>
    <w:rsid w:val="001A7D5B"/>
    <w:rsid w:val="001B2080"/>
    <w:rsid w:val="001B228D"/>
    <w:rsid w:val="001B6902"/>
    <w:rsid w:val="001C22FB"/>
    <w:rsid w:val="001C28C1"/>
    <w:rsid w:val="001C2B8A"/>
    <w:rsid w:val="001C53A3"/>
    <w:rsid w:val="001C66AE"/>
    <w:rsid w:val="001C7B7F"/>
    <w:rsid w:val="001D069C"/>
    <w:rsid w:val="001D1CB0"/>
    <w:rsid w:val="001D2CB2"/>
    <w:rsid w:val="001D2D0E"/>
    <w:rsid w:val="001D2DA5"/>
    <w:rsid w:val="001D3163"/>
    <w:rsid w:val="001E0942"/>
    <w:rsid w:val="001E1A63"/>
    <w:rsid w:val="001E5BBA"/>
    <w:rsid w:val="001E6CED"/>
    <w:rsid w:val="001E7EFF"/>
    <w:rsid w:val="001F07BD"/>
    <w:rsid w:val="001F5783"/>
    <w:rsid w:val="0020278D"/>
    <w:rsid w:val="0020373F"/>
    <w:rsid w:val="0020706D"/>
    <w:rsid w:val="002072DA"/>
    <w:rsid w:val="0020745C"/>
    <w:rsid w:val="00212017"/>
    <w:rsid w:val="00212C8A"/>
    <w:rsid w:val="00221D53"/>
    <w:rsid w:val="002239B3"/>
    <w:rsid w:val="002251C6"/>
    <w:rsid w:val="00225409"/>
    <w:rsid w:val="002262A8"/>
    <w:rsid w:val="002308F7"/>
    <w:rsid w:val="00231B34"/>
    <w:rsid w:val="00242622"/>
    <w:rsid w:val="0024335F"/>
    <w:rsid w:val="00245F1C"/>
    <w:rsid w:val="00246F1F"/>
    <w:rsid w:val="00250533"/>
    <w:rsid w:val="002525C2"/>
    <w:rsid w:val="00254BB6"/>
    <w:rsid w:val="002566D5"/>
    <w:rsid w:val="002641AE"/>
    <w:rsid w:val="00270632"/>
    <w:rsid w:val="00272B01"/>
    <w:rsid w:val="00277484"/>
    <w:rsid w:val="002837DF"/>
    <w:rsid w:val="002840F8"/>
    <w:rsid w:val="00285B64"/>
    <w:rsid w:val="0029102B"/>
    <w:rsid w:val="002917F5"/>
    <w:rsid w:val="00292527"/>
    <w:rsid w:val="002945EF"/>
    <w:rsid w:val="00294707"/>
    <w:rsid w:val="00294770"/>
    <w:rsid w:val="00295DC8"/>
    <w:rsid w:val="002974BF"/>
    <w:rsid w:val="002A0096"/>
    <w:rsid w:val="002A7B9B"/>
    <w:rsid w:val="002B581A"/>
    <w:rsid w:val="002B62C3"/>
    <w:rsid w:val="002C1396"/>
    <w:rsid w:val="002C3558"/>
    <w:rsid w:val="002C4247"/>
    <w:rsid w:val="002C66B7"/>
    <w:rsid w:val="002C75BF"/>
    <w:rsid w:val="002C775D"/>
    <w:rsid w:val="002C7D40"/>
    <w:rsid w:val="002D14F7"/>
    <w:rsid w:val="002D1675"/>
    <w:rsid w:val="002D24DA"/>
    <w:rsid w:val="002D341F"/>
    <w:rsid w:val="002D5E27"/>
    <w:rsid w:val="002D7763"/>
    <w:rsid w:val="002D78CD"/>
    <w:rsid w:val="002E2D30"/>
    <w:rsid w:val="002E3B8E"/>
    <w:rsid w:val="002E5426"/>
    <w:rsid w:val="002F3C1F"/>
    <w:rsid w:val="002F3FB4"/>
    <w:rsid w:val="002F44DB"/>
    <w:rsid w:val="002F760B"/>
    <w:rsid w:val="0030451E"/>
    <w:rsid w:val="0030568F"/>
    <w:rsid w:val="003063F5"/>
    <w:rsid w:val="00310AB0"/>
    <w:rsid w:val="003137F2"/>
    <w:rsid w:val="00313D23"/>
    <w:rsid w:val="00330A62"/>
    <w:rsid w:val="00331E78"/>
    <w:rsid w:val="00333844"/>
    <w:rsid w:val="00333862"/>
    <w:rsid w:val="00337094"/>
    <w:rsid w:val="00337EA3"/>
    <w:rsid w:val="00342CA3"/>
    <w:rsid w:val="00344BA5"/>
    <w:rsid w:val="00345F2C"/>
    <w:rsid w:val="00350F3F"/>
    <w:rsid w:val="00352724"/>
    <w:rsid w:val="003646AB"/>
    <w:rsid w:val="003679E8"/>
    <w:rsid w:val="003704B6"/>
    <w:rsid w:val="00371DA1"/>
    <w:rsid w:val="00372179"/>
    <w:rsid w:val="003744C7"/>
    <w:rsid w:val="003765FA"/>
    <w:rsid w:val="00380C8E"/>
    <w:rsid w:val="003821AA"/>
    <w:rsid w:val="003829C2"/>
    <w:rsid w:val="003833AC"/>
    <w:rsid w:val="00384818"/>
    <w:rsid w:val="00386052"/>
    <w:rsid w:val="00391EAC"/>
    <w:rsid w:val="00392405"/>
    <w:rsid w:val="003941F7"/>
    <w:rsid w:val="00395B22"/>
    <w:rsid w:val="00395C15"/>
    <w:rsid w:val="003A2149"/>
    <w:rsid w:val="003A32F1"/>
    <w:rsid w:val="003A4E72"/>
    <w:rsid w:val="003A5F27"/>
    <w:rsid w:val="003A76D9"/>
    <w:rsid w:val="003B1943"/>
    <w:rsid w:val="003B5838"/>
    <w:rsid w:val="003C0DA5"/>
    <w:rsid w:val="003C0ED3"/>
    <w:rsid w:val="003C1F94"/>
    <w:rsid w:val="003C3743"/>
    <w:rsid w:val="003D6E80"/>
    <w:rsid w:val="003D78A9"/>
    <w:rsid w:val="003D7D6B"/>
    <w:rsid w:val="003E07AA"/>
    <w:rsid w:val="003E1775"/>
    <w:rsid w:val="003E46D5"/>
    <w:rsid w:val="003E524E"/>
    <w:rsid w:val="003E6FEF"/>
    <w:rsid w:val="003F20BF"/>
    <w:rsid w:val="003F551E"/>
    <w:rsid w:val="00401EAE"/>
    <w:rsid w:val="004079A3"/>
    <w:rsid w:val="00410AB2"/>
    <w:rsid w:val="00410DD4"/>
    <w:rsid w:val="00416552"/>
    <w:rsid w:val="00424913"/>
    <w:rsid w:val="00425BEB"/>
    <w:rsid w:val="004277B4"/>
    <w:rsid w:val="00427DA8"/>
    <w:rsid w:val="004321CF"/>
    <w:rsid w:val="00433A13"/>
    <w:rsid w:val="00436309"/>
    <w:rsid w:val="0044004A"/>
    <w:rsid w:val="00442231"/>
    <w:rsid w:val="00442695"/>
    <w:rsid w:val="00442837"/>
    <w:rsid w:val="00443C32"/>
    <w:rsid w:val="00444A65"/>
    <w:rsid w:val="00446F44"/>
    <w:rsid w:val="00447D17"/>
    <w:rsid w:val="004515CE"/>
    <w:rsid w:val="00451FED"/>
    <w:rsid w:val="0045640D"/>
    <w:rsid w:val="00462CB2"/>
    <w:rsid w:val="004675E3"/>
    <w:rsid w:val="004712CE"/>
    <w:rsid w:val="004716A6"/>
    <w:rsid w:val="00476509"/>
    <w:rsid w:val="00476AEA"/>
    <w:rsid w:val="00480D89"/>
    <w:rsid w:val="00480E14"/>
    <w:rsid w:val="00485A10"/>
    <w:rsid w:val="00485BFA"/>
    <w:rsid w:val="004867C8"/>
    <w:rsid w:val="00490766"/>
    <w:rsid w:val="0049502C"/>
    <w:rsid w:val="0049615B"/>
    <w:rsid w:val="004961C2"/>
    <w:rsid w:val="00496553"/>
    <w:rsid w:val="00496659"/>
    <w:rsid w:val="004A18F2"/>
    <w:rsid w:val="004A2EB7"/>
    <w:rsid w:val="004A41E3"/>
    <w:rsid w:val="004A52E8"/>
    <w:rsid w:val="004A5554"/>
    <w:rsid w:val="004A7AEB"/>
    <w:rsid w:val="004B1C33"/>
    <w:rsid w:val="004B501A"/>
    <w:rsid w:val="004B5701"/>
    <w:rsid w:val="004C11EA"/>
    <w:rsid w:val="004C182D"/>
    <w:rsid w:val="004C24C6"/>
    <w:rsid w:val="004C4089"/>
    <w:rsid w:val="004C4A3D"/>
    <w:rsid w:val="004C59CD"/>
    <w:rsid w:val="004C5AD6"/>
    <w:rsid w:val="004D0855"/>
    <w:rsid w:val="004D5241"/>
    <w:rsid w:val="004D5F35"/>
    <w:rsid w:val="004E1F4F"/>
    <w:rsid w:val="004E50A9"/>
    <w:rsid w:val="004E6738"/>
    <w:rsid w:val="004F0793"/>
    <w:rsid w:val="004F11B3"/>
    <w:rsid w:val="004F1B61"/>
    <w:rsid w:val="004F6473"/>
    <w:rsid w:val="004F6A57"/>
    <w:rsid w:val="005003B1"/>
    <w:rsid w:val="00503CB7"/>
    <w:rsid w:val="00505950"/>
    <w:rsid w:val="00505966"/>
    <w:rsid w:val="00510818"/>
    <w:rsid w:val="00512638"/>
    <w:rsid w:val="00515AEA"/>
    <w:rsid w:val="0051622C"/>
    <w:rsid w:val="00526F98"/>
    <w:rsid w:val="00534451"/>
    <w:rsid w:val="00535195"/>
    <w:rsid w:val="00535687"/>
    <w:rsid w:val="00540AF3"/>
    <w:rsid w:val="0054185A"/>
    <w:rsid w:val="00543AC4"/>
    <w:rsid w:val="00545D9D"/>
    <w:rsid w:val="00551A32"/>
    <w:rsid w:val="00556BBB"/>
    <w:rsid w:val="005608BF"/>
    <w:rsid w:val="00561AA1"/>
    <w:rsid w:val="00562743"/>
    <w:rsid w:val="00563DDC"/>
    <w:rsid w:val="00565008"/>
    <w:rsid w:val="00566077"/>
    <w:rsid w:val="00567916"/>
    <w:rsid w:val="0057135D"/>
    <w:rsid w:val="00571F41"/>
    <w:rsid w:val="00575F1C"/>
    <w:rsid w:val="00576E29"/>
    <w:rsid w:val="00581481"/>
    <w:rsid w:val="0058170F"/>
    <w:rsid w:val="00582712"/>
    <w:rsid w:val="00582E53"/>
    <w:rsid w:val="00585777"/>
    <w:rsid w:val="00585F81"/>
    <w:rsid w:val="0058790D"/>
    <w:rsid w:val="00587DA8"/>
    <w:rsid w:val="00592B14"/>
    <w:rsid w:val="00596059"/>
    <w:rsid w:val="0059633E"/>
    <w:rsid w:val="0059648F"/>
    <w:rsid w:val="00597155"/>
    <w:rsid w:val="00597C8B"/>
    <w:rsid w:val="005A4263"/>
    <w:rsid w:val="005A68E9"/>
    <w:rsid w:val="005B0596"/>
    <w:rsid w:val="005B2733"/>
    <w:rsid w:val="005B3F3E"/>
    <w:rsid w:val="005C1A13"/>
    <w:rsid w:val="005C39BE"/>
    <w:rsid w:val="005C4232"/>
    <w:rsid w:val="005C7FF1"/>
    <w:rsid w:val="005D0FCA"/>
    <w:rsid w:val="005E1CDE"/>
    <w:rsid w:val="005E2908"/>
    <w:rsid w:val="005E5AA8"/>
    <w:rsid w:val="005E6042"/>
    <w:rsid w:val="005F18FC"/>
    <w:rsid w:val="005F2CEA"/>
    <w:rsid w:val="005F4555"/>
    <w:rsid w:val="005F6D23"/>
    <w:rsid w:val="0060045C"/>
    <w:rsid w:val="00602069"/>
    <w:rsid w:val="0060252A"/>
    <w:rsid w:val="00602B8F"/>
    <w:rsid w:val="006078CF"/>
    <w:rsid w:val="00612BE2"/>
    <w:rsid w:val="00613BEB"/>
    <w:rsid w:val="00616FD6"/>
    <w:rsid w:val="00622C0C"/>
    <w:rsid w:val="00623832"/>
    <w:rsid w:val="00632035"/>
    <w:rsid w:val="00633FD7"/>
    <w:rsid w:val="006359C2"/>
    <w:rsid w:val="00640CBD"/>
    <w:rsid w:val="00641825"/>
    <w:rsid w:val="006426C8"/>
    <w:rsid w:val="006456DF"/>
    <w:rsid w:val="006517F1"/>
    <w:rsid w:val="00656DBC"/>
    <w:rsid w:val="00660EB7"/>
    <w:rsid w:val="006615C8"/>
    <w:rsid w:val="0066224E"/>
    <w:rsid w:val="006622F3"/>
    <w:rsid w:val="0066633C"/>
    <w:rsid w:val="00666E2D"/>
    <w:rsid w:val="00670551"/>
    <w:rsid w:val="00670758"/>
    <w:rsid w:val="0067078D"/>
    <w:rsid w:val="0067278A"/>
    <w:rsid w:val="0067682C"/>
    <w:rsid w:val="00677F02"/>
    <w:rsid w:val="00684604"/>
    <w:rsid w:val="00684A29"/>
    <w:rsid w:val="00695C92"/>
    <w:rsid w:val="006A1AE8"/>
    <w:rsid w:val="006A282D"/>
    <w:rsid w:val="006A3F31"/>
    <w:rsid w:val="006A470A"/>
    <w:rsid w:val="006A5CDE"/>
    <w:rsid w:val="006A7257"/>
    <w:rsid w:val="006B2C1F"/>
    <w:rsid w:val="006B4238"/>
    <w:rsid w:val="006C11FF"/>
    <w:rsid w:val="006C1B45"/>
    <w:rsid w:val="006C7D00"/>
    <w:rsid w:val="006D4254"/>
    <w:rsid w:val="006D50C7"/>
    <w:rsid w:val="006D5115"/>
    <w:rsid w:val="006D51BE"/>
    <w:rsid w:val="006D715B"/>
    <w:rsid w:val="006D7A66"/>
    <w:rsid w:val="006E035C"/>
    <w:rsid w:val="006E4621"/>
    <w:rsid w:val="006E5460"/>
    <w:rsid w:val="006E5A7C"/>
    <w:rsid w:val="006F1192"/>
    <w:rsid w:val="006F270F"/>
    <w:rsid w:val="006F62CF"/>
    <w:rsid w:val="006F6ED5"/>
    <w:rsid w:val="00700B14"/>
    <w:rsid w:val="007022B1"/>
    <w:rsid w:val="00703A9D"/>
    <w:rsid w:val="00704B3A"/>
    <w:rsid w:val="00704F22"/>
    <w:rsid w:val="00705151"/>
    <w:rsid w:val="00705741"/>
    <w:rsid w:val="00707226"/>
    <w:rsid w:val="007118CF"/>
    <w:rsid w:val="00716129"/>
    <w:rsid w:val="00724CEB"/>
    <w:rsid w:val="00725511"/>
    <w:rsid w:val="00725766"/>
    <w:rsid w:val="00735A51"/>
    <w:rsid w:val="00740523"/>
    <w:rsid w:val="00740CF4"/>
    <w:rsid w:val="00740F4F"/>
    <w:rsid w:val="00746D94"/>
    <w:rsid w:val="00750126"/>
    <w:rsid w:val="00751A84"/>
    <w:rsid w:val="007570FD"/>
    <w:rsid w:val="0075799B"/>
    <w:rsid w:val="00761E11"/>
    <w:rsid w:val="007705D5"/>
    <w:rsid w:val="00771797"/>
    <w:rsid w:val="007729C5"/>
    <w:rsid w:val="007738CA"/>
    <w:rsid w:val="007738CD"/>
    <w:rsid w:val="00773E74"/>
    <w:rsid w:val="007742B6"/>
    <w:rsid w:val="007751A4"/>
    <w:rsid w:val="007766B0"/>
    <w:rsid w:val="00777D6A"/>
    <w:rsid w:val="00782854"/>
    <w:rsid w:val="00783BB2"/>
    <w:rsid w:val="00784B15"/>
    <w:rsid w:val="00784CA7"/>
    <w:rsid w:val="00792794"/>
    <w:rsid w:val="00792E39"/>
    <w:rsid w:val="007A18EE"/>
    <w:rsid w:val="007A26C1"/>
    <w:rsid w:val="007A2815"/>
    <w:rsid w:val="007A3BCB"/>
    <w:rsid w:val="007A6942"/>
    <w:rsid w:val="007A7C2D"/>
    <w:rsid w:val="007B1F88"/>
    <w:rsid w:val="007B459B"/>
    <w:rsid w:val="007C0BD2"/>
    <w:rsid w:val="007C3855"/>
    <w:rsid w:val="007D376D"/>
    <w:rsid w:val="007D78C4"/>
    <w:rsid w:val="007D7A62"/>
    <w:rsid w:val="007E00FB"/>
    <w:rsid w:val="007E1176"/>
    <w:rsid w:val="007E1A10"/>
    <w:rsid w:val="007E1A1D"/>
    <w:rsid w:val="007E4EBD"/>
    <w:rsid w:val="007E567B"/>
    <w:rsid w:val="007E68BB"/>
    <w:rsid w:val="007E767E"/>
    <w:rsid w:val="007E78DE"/>
    <w:rsid w:val="007E7ABB"/>
    <w:rsid w:val="007F065A"/>
    <w:rsid w:val="007F2E96"/>
    <w:rsid w:val="007F32A4"/>
    <w:rsid w:val="007F66D2"/>
    <w:rsid w:val="00802F78"/>
    <w:rsid w:val="00804A44"/>
    <w:rsid w:val="00806BEE"/>
    <w:rsid w:val="0080794A"/>
    <w:rsid w:val="00810555"/>
    <w:rsid w:val="008156E9"/>
    <w:rsid w:val="008166C2"/>
    <w:rsid w:val="00817CE7"/>
    <w:rsid w:val="00820822"/>
    <w:rsid w:val="00821181"/>
    <w:rsid w:val="008246CD"/>
    <w:rsid w:val="008328D4"/>
    <w:rsid w:val="008356B4"/>
    <w:rsid w:val="008367B6"/>
    <w:rsid w:val="0084012E"/>
    <w:rsid w:val="00840365"/>
    <w:rsid w:val="008411BF"/>
    <w:rsid w:val="00843A01"/>
    <w:rsid w:val="00846BFB"/>
    <w:rsid w:val="00852305"/>
    <w:rsid w:val="00852AA2"/>
    <w:rsid w:val="008540A0"/>
    <w:rsid w:val="008554BA"/>
    <w:rsid w:val="0085609D"/>
    <w:rsid w:val="00862AE8"/>
    <w:rsid w:val="00864A92"/>
    <w:rsid w:val="00866CFA"/>
    <w:rsid w:val="008725F4"/>
    <w:rsid w:val="00872D38"/>
    <w:rsid w:val="00872EED"/>
    <w:rsid w:val="008759CE"/>
    <w:rsid w:val="008812CB"/>
    <w:rsid w:val="00884A3D"/>
    <w:rsid w:val="00887538"/>
    <w:rsid w:val="008876AB"/>
    <w:rsid w:val="0089063C"/>
    <w:rsid w:val="00890B9A"/>
    <w:rsid w:val="00895D33"/>
    <w:rsid w:val="00897741"/>
    <w:rsid w:val="00897BBB"/>
    <w:rsid w:val="00897D64"/>
    <w:rsid w:val="008A290F"/>
    <w:rsid w:val="008A493F"/>
    <w:rsid w:val="008A50B1"/>
    <w:rsid w:val="008A53F5"/>
    <w:rsid w:val="008A7E50"/>
    <w:rsid w:val="008B2901"/>
    <w:rsid w:val="008B6555"/>
    <w:rsid w:val="008C441F"/>
    <w:rsid w:val="008C4BE3"/>
    <w:rsid w:val="008C7336"/>
    <w:rsid w:val="008D13BD"/>
    <w:rsid w:val="008D4936"/>
    <w:rsid w:val="008D6775"/>
    <w:rsid w:val="008D7F8A"/>
    <w:rsid w:val="008E366B"/>
    <w:rsid w:val="008E485B"/>
    <w:rsid w:val="008E5D68"/>
    <w:rsid w:val="008E618A"/>
    <w:rsid w:val="008F0592"/>
    <w:rsid w:val="008F2304"/>
    <w:rsid w:val="008F51B2"/>
    <w:rsid w:val="008F70D2"/>
    <w:rsid w:val="00900FA9"/>
    <w:rsid w:val="009017C4"/>
    <w:rsid w:val="00901A6D"/>
    <w:rsid w:val="00904090"/>
    <w:rsid w:val="00905A1E"/>
    <w:rsid w:val="0091172B"/>
    <w:rsid w:val="00911CC1"/>
    <w:rsid w:val="0091301B"/>
    <w:rsid w:val="00913BE7"/>
    <w:rsid w:val="00913D36"/>
    <w:rsid w:val="00915822"/>
    <w:rsid w:val="009200A3"/>
    <w:rsid w:val="00921496"/>
    <w:rsid w:val="00921965"/>
    <w:rsid w:val="009258F9"/>
    <w:rsid w:val="009275BC"/>
    <w:rsid w:val="009316FA"/>
    <w:rsid w:val="00931787"/>
    <w:rsid w:val="00931C53"/>
    <w:rsid w:val="00937A4B"/>
    <w:rsid w:val="0094063A"/>
    <w:rsid w:val="00942F32"/>
    <w:rsid w:val="00943577"/>
    <w:rsid w:val="00944B12"/>
    <w:rsid w:val="009459BC"/>
    <w:rsid w:val="00946732"/>
    <w:rsid w:val="00946931"/>
    <w:rsid w:val="00951F8A"/>
    <w:rsid w:val="00952778"/>
    <w:rsid w:val="0095387A"/>
    <w:rsid w:val="00953ABA"/>
    <w:rsid w:val="00955A2C"/>
    <w:rsid w:val="00961232"/>
    <w:rsid w:val="0096350B"/>
    <w:rsid w:val="00964539"/>
    <w:rsid w:val="00965D62"/>
    <w:rsid w:val="009670F0"/>
    <w:rsid w:val="009704D9"/>
    <w:rsid w:val="00975C1D"/>
    <w:rsid w:val="00980EDD"/>
    <w:rsid w:val="00980F14"/>
    <w:rsid w:val="009810C2"/>
    <w:rsid w:val="009817EC"/>
    <w:rsid w:val="00990739"/>
    <w:rsid w:val="00993DFC"/>
    <w:rsid w:val="009944F1"/>
    <w:rsid w:val="0099655D"/>
    <w:rsid w:val="009A7AA8"/>
    <w:rsid w:val="009B0157"/>
    <w:rsid w:val="009B0385"/>
    <w:rsid w:val="009B0E30"/>
    <w:rsid w:val="009B4578"/>
    <w:rsid w:val="009B528C"/>
    <w:rsid w:val="009C0676"/>
    <w:rsid w:val="009C07E7"/>
    <w:rsid w:val="009C11B8"/>
    <w:rsid w:val="009C7F50"/>
    <w:rsid w:val="009D18BB"/>
    <w:rsid w:val="009D3A56"/>
    <w:rsid w:val="009D3A98"/>
    <w:rsid w:val="009D6ABE"/>
    <w:rsid w:val="009D6DE1"/>
    <w:rsid w:val="009D7C65"/>
    <w:rsid w:val="009E641D"/>
    <w:rsid w:val="009F1089"/>
    <w:rsid w:val="009F26EB"/>
    <w:rsid w:val="009F2DBA"/>
    <w:rsid w:val="009F6CA4"/>
    <w:rsid w:val="00A01890"/>
    <w:rsid w:val="00A020F1"/>
    <w:rsid w:val="00A02DF1"/>
    <w:rsid w:val="00A03649"/>
    <w:rsid w:val="00A051AF"/>
    <w:rsid w:val="00A055DA"/>
    <w:rsid w:val="00A0680B"/>
    <w:rsid w:val="00A10435"/>
    <w:rsid w:val="00A11414"/>
    <w:rsid w:val="00A14A64"/>
    <w:rsid w:val="00A14EA9"/>
    <w:rsid w:val="00A2136D"/>
    <w:rsid w:val="00A218A5"/>
    <w:rsid w:val="00A26E9E"/>
    <w:rsid w:val="00A376F2"/>
    <w:rsid w:val="00A428C8"/>
    <w:rsid w:val="00A43413"/>
    <w:rsid w:val="00A466F5"/>
    <w:rsid w:val="00A52D9C"/>
    <w:rsid w:val="00A55AC8"/>
    <w:rsid w:val="00A56D9A"/>
    <w:rsid w:val="00A57D30"/>
    <w:rsid w:val="00A61B4F"/>
    <w:rsid w:val="00A6274D"/>
    <w:rsid w:val="00A65493"/>
    <w:rsid w:val="00A67AE8"/>
    <w:rsid w:val="00A74D05"/>
    <w:rsid w:val="00A81877"/>
    <w:rsid w:val="00A82746"/>
    <w:rsid w:val="00A87742"/>
    <w:rsid w:val="00A90219"/>
    <w:rsid w:val="00A90AEC"/>
    <w:rsid w:val="00A91624"/>
    <w:rsid w:val="00A9168A"/>
    <w:rsid w:val="00A91D1A"/>
    <w:rsid w:val="00A94780"/>
    <w:rsid w:val="00A95282"/>
    <w:rsid w:val="00A958E0"/>
    <w:rsid w:val="00AB0260"/>
    <w:rsid w:val="00AB4FCC"/>
    <w:rsid w:val="00AC173F"/>
    <w:rsid w:val="00AC229B"/>
    <w:rsid w:val="00AC3107"/>
    <w:rsid w:val="00AC310C"/>
    <w:rsid w:val="00AC60E0"/>
    <w:rsid w:val="00AD0DE4"/>
    <w:rsid w:val="00AD5EF0"/>
    <w:rsid w:val="00AD603C"/>
    <w:rsid w:val="00AD6BB3"/>
    <w:rsid w:val="00AE14E8"/>
    <w:rsid w:val="00AE3254"/>
    <w:rsid w:val="00AE4CA6"/>
    <w:rsid w:val="00AE52D2"/>
    <w:rsid w:val="00AE57A9"/>
    <w:rsid w:val="00AE57E3"/>
    <w:rsid w:val="00AF03AE"/>
    <w:rsid w:val="00AF0544"/>
    <w:rsid w:val="00AF2253"/>
    <w:rsid w:val="00AF25A6"/>
    <w:rsid w:val="00AF2699"/>
    <w:rsid w:val="00AF2F5E"/>
    <w:rsid w:val="00AF2FF2"/>
    <w:rsid w:val="00AF6713"/>
    <w:rsid w:val="00AF7289"/>
    <w:rsid w:val="00AF7D3C"/>
    <w:rsid w:val="00B00464"/>
    <w:rsid w:val="00B13799"/>
    <w:rsid w:val="00B15B6E"/>
    <w:rsid w:val="00B16853"/>
    <w:rsid w:val="00B2051C"/>
    <w:rsid w:val="00B21FE1"/>
    <w:rsid w:val="00B220F8"/>
    <w:rsid w:val="00B22276"/>
    <w:rsid w:val="00B251C5"/>
    <w:rsid w:val="00B26CF8"/>
    <w:rsid w:val="00B27D33"/>
    <w:rsid w:val="00B3045A"/>
    <w:rsid w:val="00B31D53"/>
    <w:rsid w:val="00B325B7"/>
    <w:rsid w:val="00B355FB"/>
    <w:rsid w:val="00B377DD"/>
    <w:rsid w:val="00B42F6A"/>
    <w:rsid w:val="00B44462"/>
    <w:rsid w:val="00B4523A"/>
    <w:rsid w:val="00B45C11"/>
    <w:rsid w:val="00B503BD"/>
    <w:rsid w:val="00B54A97"/>
    <w:rsid w:val="00B57D73"/>
    <w:rsid w:val="00B610DE"/>
    <w:rsid w:val="00B668FD"/>
    <w:rsid w:val="00B67045"/>
    <w:rsid w:val="00B7135D"/>
    <w:rsid w:val="00B73D71"/>
    <w:rsid w:val="00B76409"/>
    <w:rsid w:val="00B8086B"/>
    <w:rsid w:val="00B814DB"/>
    <w:rsid w:val="00B857ED"/>
    <w:rsid w:val="00B85DFE"/>
    <w:rsid w:val="00B9507B"/>
    <w:rsid w:val="00BA0DBA"/>
    <w:rsid w:val="00BA1A3C"/>
    <w:rsid w:val="00BA57C4"/>
    <w:rsid w:val="00BA5F87"/>
    <w:rsid w:val="00BA69DE"/>
    <w:rsid w:val="00BB0ACF"/>
    <w:rsid w:val="00BB74AC"/>
    <w:rsid w:val="00BC03E3"/>
    <w:rsid w:val="00BC30AD"/>
    <w:rsid w:val="00BC6B82"/>
    <w:rsid w:val="00BC7001"/>
    <w:rsid w:val="00BD2306"/>
    <w:rsid w:val="00BD2EB0"/>
    <w:rsid w:val="00BD5171"/>
    <w:rsid w:val="00BD56C3"/>
    <w:rsid w:val="00BE14A1"/>
    <w:rsid w:val="00BE67BF"/>
    <w:rsid w:val="00BE735C"/>
    <w:rsid w:val="00BF5323"/>
    <w:rsid w:val="00BF6F99"/>
    <w:rsid w:val="00BF7845"/>
    <w:rsid w:val="00C00861"/>
    <w:rsid w:val="00C01F5E"/>
    <w:rsid w:val="00C02049"/>
    <w:rsid w:val="00C02568"/>
    <w:rsid w:val="00C03C8F"/>
    <w:rsid w:val="00C03FB9"/>
    <w:rsid w:val="00C05034"/>
    <w:rsid w:val="00C05134"/>
    <w:rsid w:val="00C06FE7"/>
    <w:rsid w:val="00C12F4F"/>
    <w:rsid w:val="00C13AFE"/>
    <w:rsid w:val="00C15578"/>
    <w:rsid w:val="00C2321B"/>
    <w:rsid w:val="00C23D76"/>
    <w:rsid w:val="00C24066"/>
    <w:rsid w:val="00C2496A"/>
    <w:rsid w:val="00C26F24"/>
    <w:rsid w:val="00C32A76"/>
    <w:rsid w:val="00C32F8D"/>
    <w:rsid w:val="00C3447D"/>
    <w:rsid w:val="00C35340"/>
    <w:rsid w:val="00C37EB2"/>
    <w:rsid w:val="00C4098E"/>
    <w:rsid w:val="00C4470B"/>
    <w:rsid w:val="00C45DEF"/>
    <w:rsid w:val="00C507BA"/>
    <w:rsid w:val="00C52CCF"/>
    <w:rsid w:val="00C53109"/>
    <w:rsid w:val="00C538AA"/>
    <w:rsid w:val="00C610D8"/>
    <w:rsid w:val="00C617F3"/>
    <w:rsid w:val="00C622BE"/>
    <w:rsid w:val="00C62B74"/>
    <w:rsid w:val="00C67398"/>
    <w:rsid w:val="00C67CCE"/>
    <w:rsid w:val="00C70DD3"/>
    <w:rsid w:val="00C717F5"/>
    <w:rsid w:val="00C72B4B"/>
    <w:rsid w:val="00C74CC9"/>
    <w:rsid w:val="00C81E30"/>
    <w:rsid w:val="00C82BAD"/>
    <w:rsid w:val="00C8343A"/>
    <w:rsid w:val="00C87999"/>
    <w:rsid w:val="00C92ACD"/>
    <w:rsid w:val="00C94EFB"/>
    <w:rsid w:val="00C9503B"/>
    <w:rsid w:val="00CA2472"/>
    <w:rsid w:val="00CA2604"/>
    <w:rsid w:val="00CA2D8E"/>
    <w:rsid w:val="00CA519C"/>
    <w:rsid w:val="00CA63DE"/>
    <w:rsid w:val="00CA67A0"/>
    <w:rsid w:val="00CB22CC"/>
    <w:rsid w:val="00CB303E"/>
    <w:rsid w:val="00CB407C"/>
    <w:rsid w:val="00CC1906"/>
    <w:rsid w:val="00CC1BDD"/>
    <w:rsid w:val="00CC226D"/>
    <w:rsid w:val="00CC2B3E"/>
    <w:rsid w:val="00CC5715"/>
    <w:rsid w:val="00CC60E7"/>
    <w:rsid w:val="00CC6C0E"/>
    <w:rsid w:val="00CD52A7"/>
    <w:rsid w:val="00CE2294"/>
    <w:rsid w:val="00CE2AA1"/>
    <w:rsid w:val="00CF0FDB"/>
    <w:rsid w:val="00CF3568"/>
    <w:rsid w:val="00CF3F34"/>
    <w:rsid w:val="00CF4607"/>
    <w:rsid w:val="00CF7756"/>
    <w:rsid w:val="00D000B2"/>
    <w:rsid w:val="00D06FF8"/>
    <w:rsid w:val="00D16D8D"/>
    <w:rsid w:val="00D17627"/>
    <w:rsid w:val="00D17F55"/>
    <w:rsid w:val="00D211F3"/>
    <w:rsid w:val="00D24DF2"/>
    <w:rsid w:val="00D25285"/>
    <w:rsid w:val="00D30388"/>
    <w:rsid w:val="00D32841"/>
    <w:rsid w:val="00D40D4A"/>
    <w:rsid w:val="00D41F7C"/>
    <w:rsid w:val="00D43310"/>
    <w:rsid w:val="00D437B2"/>
    <w:rsid w:val="00D50FB5"/>
    <w:rsid w:val="00D52FA8"/>
    <w:rsid w:val="00D53B30"/>
    <w:rsid w:val="00D53CBF"/>
    <w:rsid w:val="00D61CEB"/>
    <w:rsid w:val="00D657BA"/>
    <w:rsid w:val="00D753BA"/>
    <w:rsid w:val="00D757D9"/>
    <w:rsid w:val="00D81459"/>
    <w:rsid w:val="00D853C0"/>
    <w:rsid w:val="00D86772"/>
    <w:rsid w:val="00D8791E"/>
    <w:rsid w:val="00D87D7B"/>
    <w:rsid w:val="00D94DB3"/>
    <w:rsid w:val="00D95315"/>
    <w:rsid w:val="00DA1BE8"/>
    <w:rsid w:val="00DA2621"/>
    <w:rsid w:val="00DA30B0"/>
    <w:rsid w:val="00DA5682"/>
    <w:rsid w:val="00DA5AC4"/>
    <w:rsid w:val="00DA5D41"/>
    <w:rsid w:val="00DB0D5E"/>
    <w:rsid w:val="00DB18C9"/>
    <w:rsid w:val="00DB27FA"/>
    <w:rsid w:val="00DB63D6"/>
    <w:rsid w:val="00DB64B4"/>
    <w:rsid w:val="00DB682A"/>
    <w:rsid w:val="00DB696E"/>
    <w:rsid w:val="00DC349D"/>
    <w:rsid w:val="00DC3A3A"/>
    <w:rsid w:val="00DC5EF6"/>
    <w:rsid w:val="00DC6430"/>
    <w:rsid w:val="00DD0462"/>
    <w:rsid w:val="00DD1970"/>
    <w:rsid w:val="00DD2460"/>
    <w:rsid w:val="00DD36C5"/>
    <w:rsid w:val="00DE018F"/>
    <w:rsid w:val="00DE0D89"/>
    <w:rsid w:val="00DE18EE"/>
    <w:rsid w:val="00DE4253"/>
    <w:rsid w:val="00DE56AE"/>
    <w:rsid w:val="00DE7235"/>
    <w:rsid w:val="00DE7237"/>
    <w:rsid w:val="00DE7452"/>
    <w:rsid w:val="00DE76D8"/>
    <w:rsid w:val="00DF43A9"/>
    <w:rsid w:val="00DF4BDD"/>
    <w:rsid w:val="00E01A01"/>
    <w:rsid w:val="00E02841"/>
    <w:rsid w:val="00E0655B"/>
    <w:rsid w:val="00E101ED"/>
    <w:rsid w:val="00E1210F"/>
    <w:rsid w:val="00E1246A"/>
    <w:rsid w:val="00E12512"/>
    <w:rsid w:val="00E128F2"/>
    <w:rsid w:val="00E2193C"/>
    <w:rsid w:val="00E367DA"/>
    <w:rsid w:val="00E3719F"/>
    <w:rsid w:val="00E3789E"/>
    <w:rsid w:val="00E408A8"/>
    <w:rsid w:val="00E409C6"/>
    <w:rsid w:val="00E43F9A"/>
    <w:rsid w:val="00E47B99"/>
    <w:rsid w:val="00E513A6"/>
    <w:rsid w:val="00E528EC"/>
    <w:rsid w:val="00E54B67"/>
    <w:rsid w:val="00E56FDE"/>
    <w:rsid w:val="00E608CF"/>
    <w:rsid w:val="00E64071"/>
    <w:rsid w:val="00E670BF"/>
    <w:rsid w:val="00E757A0"/>
    <w:rsid w:val="00E76243"/>
    <w:rsid w:val="00E80FBB"/>
    <w:rsid w:val="00E815DA"/>
    <w:rsid w:val="00E8220F"/>
    <w:rsid w:val="00E84173"/>
    <w:rsid w:val="00E87996"/>
    <w:rsid w:val="00E92C58"/>
    <w:rsid w:val="00E962C7"/>
    <w:rsid w:val="00E975E7"/>
    <w:rsid w:val="00EA2BBC"/>
    <w:rsid w:val="00EA2C10"/>
    <w:rsid w:val="00EA3859"/>
    <w:rsid w:val="00EA4A23"/>
    <w:rsid w:val="00EB438F"/>
    <w:rsid w:val="00EB50BD"/>
    <w:rsid w:val="00EC1548"/>
    <w:rsid w:val="00EC3FE0"/>
    <w:rsid w:val="00EC4F5F"/>
    <w:rsid w:val="00EC7D76"/>
    <w:rsid w:val="00ED13FF"/>
    <w:rsid w:val="00ED364B"/>
    <w:rsid w:val="00ED6A1E"/>
    <w:rsid w:val="00EE642B"/>
    <w:rsid w:val="00EE65CD"/>
    <w:rsid w:val="00EE66FE"/>
    <w:rsid w:val="00EF2650"/>
    <w:rsid w:val="00EF268D"/>
    <w:rsid w:val="00EF4334"/>
    <w:rsid w:val="00EF591E"/>
    <w:rsid w:val="00F04C99"/>
    <w:rsid w:val="00F0597C"/>
    <w:rsid w:val="00F05C1D"/>
    <w:rsid w:val="00F071FF"/>
    <w:rsid w:val="00F11F8A"/>
    <w:rsid w:val="00F12CFE"/>
    <w:rsid w:val="00F2195B"/>
    <w:rsid w:val="00F226CF"/>
    <w:rsid w:val="00F271E0"/>
    <w:rsid w:val="00F324DB"/>
    <w:rsid w:val="00F35B0E"/>
    <w:rsid w:val="00F42CCA"/>
    <w:rsid w:val="00F51A8A"/>
    <w:rsid w:val="00F5200A"/>
    <w:rsid w:val="00F523F0"/>
    <w:rsid w:val="00F537F6"/>
    <w:rsid w:val="00F54BFA"/>
    <w:rsid w:val="00F550AA"/>
    <w:rsid w:val="00F55622"/>
    <w:rsid w:val="00F5766D"/>
    <w:rsid w:val="00F601F1"/>
    <w:rsid w:val="00F611CE"/>
    <w:rsid w:val="00F620CB"/>
    <w:rsid w:val="00F635FE"/>
    <w:rsid w:val="00F64AA6"/>
    <w:rsid w:val="00F64E84"/>
    <w:rsid w:val="00F6538F"/>
    <w:rsid w:val="00F66408"/>
    <w:rsid w:val="00F66B6F"/>
    <w:rsid w:val="00F67164"/>
    <w:rsid w:val="00F71F17"/>
    <w:rsid w:val="00F7342B"/>
    <w:rsid w:val="00F741D3"/>
    <w:rsid w:val="00F74753"/>
    <w:rsid w:val="00F8097D"/>
    <w:rsid w:val="00F83448"/>
    <w:rsid w:val="00F84F30"/>
    <w:rsid w:val="00F859F3"/>
    <w:rsid w:val="00F85E82"/>
    <w:rsid w:val="00F90290"/>
    <w:rsid w:val="00F9221A"/>
    <w:rsid w:val="00F939A7"/>
    <w:rsid w:val="00F96519"/>
    <w:rsid w:val="00F96987"/>
    <w:rsid w:val="00FA0628"/>
    <w:rsid w:val="00FA4F46"/>
    <w:rsid w:val="00FA5D1A"/>
    <w:rsid w:val="00FB0256"/>
    <w:rsid w:val="00FB1330"/>
    <w:rsid w:val="00FB138D"/>
    <w:rsid w:val="00FB2B22"/>
    <w:rsid w:val="00FC1A19"/>
    <w:rsid w:val="00FC3FB6"/>
    <w:rsid w:val="00FC5813"/>
    <w:rsid w:val="00FC5C56"/>
    <w:rsid w:val="00FC7A44"/>
    <w:rsid w:val="00FD0E32"/>
    <w:rsid w:val="00FD1E4E"/>
    <w:rsid w:val="00FD3373"/>
    <w:rsid w:val="00FD756C"/>
    <w:rsid w:val="00FE0BB6"/>
    <w:rsid w:val="00FE1167"/>
    <w:rsid w:val="00FE1C94"/>
    <w:rsid w:val="00FE2105"/>
    <w:rsid w:val="00FE215A"/>
    <w:rsid w:val="00FE2F19"/>
    <w:rsid w:val="00FE3278"/>
    <w:rsid w:val="00FE3801"/>
    <w:rsid w:val="00FE5CB7"/>
    <w:rsid w:val="00FE6849"/>
    <w:rsid w:val="00FE7E92"/>
    <w:rsid w:val="00FF04CD"/>
    <w:rsid w:val="00FF1069"/>
    <w:rsid w:val="00FF1703"/>
    <w:rsid w:val="00FF1DDE"/>
    <w:rsid w:val="00FF2885"/>
    <w:rsid w:val="00FF2BD5"/>
    <w:rsid w:val="00FF3982"/>
    <w:rsid w:val="00FF412E"/>
    <w:rsid w:val="00FF437D"/>
    <w:rsid w:val="00FF62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2">
    <w:name w:val="Unresolved Mention2"/>
    <w:basedOn w:val="DefaultParagraphFont"/>
    <w:uiPriority w:val="99"/>
    <w:semiHidden/>
    <w:unhideWhenUsed/>
    <w:rsid w:val="000E7065"/>
    <w:rPr>
      <w:color w:val="605E5C"/>
      <w:shd w:val="clear" w:color="auto" w:fill="E1DFDD"/>
    </w:rPr>
  </w:style>
  <w:style w:type="paragraph" w:styleId="ListParagraph">
    <w:name w:val="List Paragraph"/>
    <w:basedOn w:val="Normal"/>
    <w:uiPriority w:val="34"/>
    <w:qFormat/>
    <w:rsid w:val="00124E0A"/>
    <w:pPr>
      <w:ind w:left="720"/>
      <w:contextualSpacing/>
    </w:pPr>
  </w:style>
  <w:style w:type="character" w:styleId="UnresolvedMention">
    <w:name w:val="Unresolved Mention"/>
    <w:basedOn w:val="DefaultParagraphFont"/>
    <w:uiPriority w:val="99"/>
    <w:semiHidden/>
    <w:unhideWhenUsed/>
    <w:rsid w:val="002E2D30"/>
    <w:rPr>
      <w:color w:val="605E5C"/>
      <w:shd w:val="clear" w:color="auto" w:fill="E1DFDD"/>
    </w:rPr>
  </w:style>
  <w:style w:type="character" w:customStyle="1" w:styleId="cf01">
    <w:name w:val="cf01"/>
    <w:basedOn w:val="DefaultParagraphFont"/>
    <w:rsid w:val="000C257C"/>
    <w:rPr>
      <w:rFonts w:ascii="Segoe UI" w:hAnsi="Segoe UI" w:cs="Segoe UI" w:hint="default"/>
      <w:sz w:val="18"/>
      <w:szCs w:val="18"/>
    </w:rPr>
  </w:style>
  <w:style w:type="paragraph" w:customStyle="1" w:styleId="pf0">
    <w:name w:val="pf0"/>
    <w:basedOn w:val="Normal"/>
    <w:rsid w:val="006359C2"/>
    <w:pPr>
      <w:spacing w:before="100" w:beforeAutospacing="1" w:after="100" w:afterAutospacing="1"/>
    </w:pPr>
    <w:rPr>
      <w:lang w:eastAsia="lv-LV"/>
    </w:rPr>
  </w:style>
  <w:style w:type="paragraph" w:styleId="NoSpacing">
    <w:name w:val="No Spacing"/>
    <w:basedOn w:val="Normal"/>
    <w:link w:val="NoSpacingChar"/>
    <w:uiPriority w:val="1"/>
    <w:qFormat/>
    <w:rsid w:val="001D2DA5"/>
    <w:pPr>
      <w:spacing w:before="100" w:after="100"/>
    </w:pPr>
    <w:rPr>
      <w:lang w:eastAsia="en-GB"/>
    </w:rPr>
  </w:style>
  <w:style w:type="character" w:customStyle="1" w:styleId="NoSpacingChar">
    <w:name w:val="No Spacing Char"/>
    <w:link w:val="NoSpacing"/>
    <w:uiPriority w:val="1"/>
    <w:locked/>
    <w:rsid w:val="001D2DA5"/>
    <w:rPr>
      <w:rFonts w:eastAsia="Times New Roman" w:cs="Times New Roman"/>
      <w:szCs w:val="24"/>
      <w:lang w:val="lv-LV" w:eastAsia="en-GB"/>
    </w:rPr>
  </w:style>
  <w:style w:type="character" w:styleId="CommentReference">
    <w:name w:val="annotation reference"/>
    <w:basedOn w:val="DefaultParagraphFont"/>
    <w:uiPriority w:val="99"/>
    <w:semiHidden/>
    <w:unhideWhenUsed/>
    <w:rsid w:val="00543AC4"/>
    <w:rPr>
      <w:sz w:val="16"/>
      <w:szCs w:val="16"/>
    </w:rPr>
  </w:style>
  <w:style w:type="paragraph" w:styleId="CommentText">
    <w:name w:val="annotation text"/>
    <w:basedOn w:val="Normal"/>
    <w:link w:val="CommentTextChar"/>
    <w:uiPriority w:val="99"/>
    <w:unhideWhenUsed/>
    <w:rsid w:val="00543AC4"/>
    <w:rPr>
      <w:sz w:val="20"/>
      <w:szCs w:val="20"/>
    </w:rPr>
  </w:style>
  <w:style w:type="character" w:customStyle="1" w:styleId="CommentTextChar">
    <w:name w:val="Comment Text Char"/>
    <w:basedOn w:val="DefaultParagraphFont"/>
    <w:link w:val="CommentText"/>
    <w:uiPriority w:val="99"/>
    <w:rsid w:val="00543AC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43AC4"/>
    <w:rPr>
      <w:b/>
      <w:bCs/>
    </w:rPr>
  </w:style>
  <w:style w:type="character" w:customStyle="1" w:styleId="CommentSubjectChar">
    <w:name w:val="Comment Subject Char"/>
    <w:basedOn w:val="CommentTextChar"/>
    <w:link w:val="CommentSubject"/>
    <w:uiPriority w:val="99"/>
    <w:semiHidden/>
    <w:rsid w:val="00543AC4"/>
    <w:rPr>
      <w:rFonts w:eastAsia="Times New Roman" w:cs="Times New Roman"/>
      <w:b/>
      <w:bCs/>
      <w:sz w:val="20"/>
      <w:szCs w:val="20"/>
      <w:lang w:eastAsia="ru-RU"/>
    </w:rPr>
  </w:style>
  <w:style w:type="character" w:customStyle="1" w:styleId="cf11">
    <w:name w:val="cf11"/>
    <w:basedOn w:val="DefaultParagraphFont"/>
    <w:rsid w:val="00FF2BD5"/>
    <w:rPr>
      <w:rFonts w:ascii="Segoe UI" w:hAnsi="Segoe UI" w:cs="Segoe UI" w:hint="default"/>
      <w:i/>
      <w:iCs/>
      <w:sz w:val="18"/>
      <w:szCs w:val="18"/>
    </w:rPr>
  </w:style>
  <w:style w:type="paragraph" w:styleId="NormalWeb">
    <w:name w:val="Normal (Web)"/>
    <w:basedOn w:val="Normal"/>
    <w:uiPriority w:val="99"/>
    <w:unhideWhenUsed/>
    <w:rsid w:val="00F90290"/>
    <w:pPr>
      <w:spacing w:before="100" w:beforeAutospacing="1" w:after="100" w:afterAutospacing="1"/>
    </w:pPr>
    <w:rPr>
      <w:lang w:eastAsia="lv-LV"/>
    </w:rPr>
  </w:style>
  <w:style w:type="paragraph" w:customStyle="1" w:styleId="Default">
    <w:name w:val="Default"/>
    <w:rsid w:val="00FD337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5059">
      <w:bodyDiv w:val="1"/>
      <w:marLeft w:val="0"/>
      <w:marRight w:val="0"/>
      <w:marTop w:val="0"/>
      <w:marBottom w:val="0"/>
      <w:divBdr>
        <w:top w:val="none" w:sz="0" w:space="0" w:color="auto"/>
        <w:left w:val="none" w:sz="0" w:space="0" w:color="auto"/>
        <w:bottom w:val="none" w:sz="0" w:space="0" w:color="auto"/>
        <w:right w:val="none" w:sz="0" w:space="0" w:color="auto"/>
      </w:divBdr>
    </w:div>
    <w:div w:id="73674852">
      <w:bodyDiv w:val="1"/>
      <w:marLeft w:val="0"/>
      <w:marRight w:val="0"/>
      <w:marTop w:val="0"/>
      <w:marBottom w:val="0"/>
      <w:divBdr>
        <w:top w:val="none" w:sz="0" w:space="0" w:color="auto"/>
        <w:left w:val="none" w:sz="0" w:space="0" w:color="auto"/>
        <w:bottom w:val="none" w:sz="0" w:space="0" w:color="auto"/>
        <w:right w:val="none" w:sz="0" w:space="0" w:color="auto"/>
      </w:divBdr>
    </w:div>
    <w:div w:id="124352739">
      <w:bodyDiv w:val="1"/>
      <w:marLeft w:val="0"/>
      <w:marRight w:val="0"/>
      <w:marTop w:val="0"/>
      <w:marBottom w:val="0"/>
      <w:divBdr>
        <w:top w:val="none" w:sz="0" w:space="0" w:color="auto"/>
        <w:left w:val="none" w:sz="0" w:space="0" w:color="auto"/>
        <w:bottom w:val="none" w:sz="0" w:space="0" w:color="auto"/>
        <w:right w:val="none" w:sz="0" w:space="0" w:color="auto"/>
      </w:divBdr>
    </w:div>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357045161">
      <w:bodyDiv w:val="1"/>
      <w:marLeft w:val="0"/>
      <w:marRight w:val="0"/>
      <w:marTop w:val="0"/>
      <w:marBottom w:val="0"/>
      <w:divBdr>
        <w:top w:val="none" w:sz="0" w:space="0" w:color="auto"/>
        <w:left w:val="none" w:sz="0" w:space="0" w:color="auto"/>
        <w:bottom w:val="none" w:sz="0" w:space="0" w:color="auto"/>
        <w:right w:val="none" w:sz="0" w:space="0" w:color="auto"/>
      </w:divBdr>
    </w:div>
    <w:div w:id="473643390">
      <w:bodyDiv w:val="1"/>
      <w:marLeft w:val="0"/>
      <w:marRight w:val="0"/>
      <w:marTop w:val="0"/>
      <w:marBottom w:val="0"/>
      <w:divBdr>
        <w:top w:val="none" w:sz="0" w:space="0" w:color="auto"/>
        <w:left w:val="none" w:sz="0" w:space="0" w:color="auto"/>
        <w:bottom w:val="none" w:sz="0" w:space="0" w:color="auto"/>
        <w:right w:val="none" w:sz="0" w:space="0" w:color="auto"/>
      </w:divBdr>
    </w:div>
    <w:div w:id="478350811">
      <w:bodyDiv w:val="1"/>
      <w:marLeft w:val="0"/>
      <w:marRight w:val="0"/>
      <w:marTop w:val="0"/>
      <w:marBottom w:val="0"/>
      <w:divBdr>
        <w:top w:val="none" w:sz="0" w:space="0" w:color="auto"/>
        <w:left w:val="none" w:sz="0" w:space="0" w:color="auto"/>
        <w:bottom w:val="none" w:sz="0" w:space="0" w:color="auto"/>
        <w:right w:val="none" w:sz="0" w:space="0" w:color="auto"/>
      </w:divBdr>
    </w:div>
    <w:div w:id="500900302">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1124232056">
      <w:bodyDiv w:val="1"/>
      <w:marLeft w:val="0"/>
      <w:marRight w:val="0"/>
      <w:marTop w:val="0"/>
      <w:marBottom w:val="0"/>
      <w:divBdr>
        <w:top w:val="none" w:sz="0" w:space="0" w:color="auto"/>
        <w:left w:val="none" w:sz="0" w:space="0" w:color="auto"/>
        <w:bottom w:val="none" w:sz="0" w:space="0" w:color="auto"/>
        <w:right w:val="none" w:sz="0" w:space="0" w:color="auto"/>
      </w:divBdr>
    </w:div>
    <w:div w:id="1222014010">
      <w:bodyDiv w:val="1"/>
      <w:marLeft w:val="0"/>
      <w:marRight w:val="0"/>
      <w:marTop w:val="0"/>
      <w:marBottom w:val="0"/>
      <w:divBdr>
        <w:top w:val="none" w:sz="0" w:space="0" w:color="auto"/>
        <w:left w:val="none" w:sz="0" w:space="0" w:color="auto"/>
        <w:bottom w:val="none" w:sz="0" w:space="0" w:color="auto"/>
        <w:right w:val="none" w:sz="0" w:space="0" w:color="auto"/>
      </w:divBdr>
    </w:div>
    <w:div w:id="1404137405">
      <w:bodyDiv w:val="1"/>
      <w:marLeft w:val="0"/>
      <w:marRight w:val="0"/>
      <w:marTop w:val="0"/>
      <w:marBottom w:val="0"/>
      <w:divBdr>
        <w:top w:val="none" w:sz="0" w:space="0" w:color="auto"/>
        <w:left w:val="none" w:sz="0" w:space="0" w:color="auto"/>
        <w:bottom w:val="none" w:sz="0" w:space="0" w:color="auto"/>
        <w:right w:val="none" w:sz="0" w:space="0" w:color="auto"/>
      </w:divBdr>
    </w:div>
    <w:div w:id="1527668646">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 w:id="1899321421">
      <w:bodyDiv w:val="1"/>
      <w:marLeft w:val="0"/>
      <w:marRight w:val="0"/>
      <w:marTop w:val="0"/>
      <w:marBottom w:val="0"/>
      <w:divBdr>
        <w:top w:val="none" w:sz="0" w:space="0" w:color="auto"/>
        <w:left w:val="none" w:sz="0" w:space="0" w:color="auto"/>
        <w:bottom w:val="none" w:sz="0" w:space="0" w:color="auto"/>
        <w:right w:val="none" w:sz="0" w:space="0" w:color="auto"/>
      </w:divBdr>
    </w:div>
    <w:div w:id="1935550472">
      <w:bodyDiv w:val="1"/>
      <w:marLeft w:val="0"/>
      <w:marRight w:val="0"/>
      <w:marTop w:val="0"/>
      <w:marBottom w:val="0"/>
      <w:divBdr>
        <w:top w:val="none" w:sz="0" w:space="0" w:color="auto"/>
        <w:left w:val="none" w:sz="0" w:space="0" w:color="auto"/>
        <w:bottom w:val="none" w:sz="0" w:space="0" w:color="auto"/>
        <w:right w:val="none" w:sz="0" w:space="0" w:color="auto"/>
      </w:divBdr>
    </w:div>
    <w:div w:id="1976373217">
      <w:bodyDiv w:val="1"/>
      <w:marLeft w:val="0"/>
      <w:marRight w:val="0"/>
      <w:marTop w:val="0"/>
      <w:marBottom w:val="0"/>
      <w:divBdr>
        <w:top w:val="none" w:sz="0" w:space="0" w:color="auto"/>
        <w:left w:val="none" w:sz="0" w:space="0" w:color="auto"/>
        <w:bottom w:val="none" w:sz="0" w:space="0" w:color="auto"/>
        <w:right w:val="none" w:sz="0" w:space="0" w:color="auto"/>
      </w:divBdr>
    </w:div>
    <w:div w:id="214519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57118ad5-69a3-4794-a0d8-a20dfbcc80b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9:0430.A420248318.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2C762-9FEF-4B06-B451-C255F8C7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4736</Words>
  <Characters>2700</Characters>
  <Application>Microsoft Office Word</Application>
  <DocSecurity>0</DocSecurity>
  <Lines>22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2025-09-03T07:30:00Z</dcterms:created>
  <dcterms:modified xsi:type="dcterms:W3CDTF">2025-09-03T07:30:00Z</dcterms:modified>
</cp:coreProperties>
</file>