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B89B" w14:textId="77777777" w:rsidR="005C1E8B" w:rsidRPr="00712D44" w:rsidRDefault="005C1E8B" w:rsidP="005C1E8B">
      <w:pPr>
        <w:spacing w:line="276" w:lineRule="auto"/>
        <w:jc w:val="both"/>
        <w:rPr>
          <w:b/>
          <w:bCs/>
        </w:rPr>
      </w:pPr>
      <w:r w:rsidRPr="00712D44">
        <w:rPr>
          <w:b/>
          <w:bCs/>
        </w:rPr>
        <w:t>Kasācijas protestā ietverto un lietas iztiesāšanā izteikto argumentu nošķiršana</w:t>
      </w:r>
    </w:p>
    <w:p w14:paraId="48F2DB97" w14:textId="77777777" w:rsidR="005C1E8B" w:rsidRPr="00553020" w:rsidRDefault="005C1E8B" w:rsidP="005C1E8B">
      <w:pPr>
        <w:spacing w:line="276" w:lineRule="auto"/>
        <w:jc w:val="both"/>
      </w:pPr>
      <w:r w:rsidRPr="00553020">
        <w:t>Argumenti, kas pamato apelācijas instances tiesas nolēmuma neatbilstību tiesību normām, ir jānorāda kasācijas protestā. Bez ievērības ir atstājama, piemēram, norāde, ka kasācijas protestā tiek uzturēti arī tādi argumenti, kas izteikti lietas gaitā, jo Senātam nav pamata pievērsties tādu argumentu pārbaudei, kas ir izteikti pirms pārsūdzētā nolēmuma pieņemšanas.</w:t>
      </w:r>
    </w:p>
    <w:p w14:paraId="007E2FC8" w14:textId="77777777" w:rsidR="00873773" w:rsidRDefault="00873773" w:rsidP="005C1E8B">
      <w:pPr>
        <w:widowControl w:val="0"/>
        <w:spacing w:line="276" w:lineRule="auto"/>
        <w:jc w:val="both"/>
        <w:rPr>
          <w:lang w:eastAsia="lv-LV"/>
        </w:rPr>
      </w:pPr>
    </w:p>
    <w:p w14:paraId="33A6CE26" w14:textId="77777777" w:rsidR="005C1E8B" w:rsidRDefault="005C1E8B" w:rsidP="005C1E8B">
      <w:pPr>
        <w:spacing w:line="276" w:lineRule="auto"/>
        <w:jc w:val="both"/>
        <w:rPr>
          <w:b/>
          <w:bCs/>
        </w:rPr>
      </w:pPr>
      <w:r w:rsidRPr="005220CE">
        <w:rPr>
          <w:b/>
          <w:bCs/>
        </w:rPr>
        <w:t xml:space="preserve">Kasācijas protestā </w:t>
      </w:r>
      <w:r>
        <w:rPr>
          <w:b/>
          <w:bCs/>
        </w:rPr>
        <w:t xml:space="preserve">jānorāda </w:t>
      </w:r>
      <w:r w:rsidRPr="005220CE">
        <w:rPr>
          <w:b/>
          <w:bCs/>
        </w:rPr>
        <w:t xml:space="preserve">tādi tiesību normu pārkāpumi, kas varēja ietekmēt pārsūdzētā nolēmuma galīgo </w:t>
      </w:r>
      <w:r>
        <w:rPr>
          <w:b/>
          <w:bCs/>
        </w:rPr>
        <w:t>rezultātu</w:t>
      </w:r>
    </w:p>
    <w:p w14:paraId="213F68D7" w14:textId="77777777" w:rsidR="005C1E8B" w:rsidRPr="00553020" w:rsidRDefault="005C1E8B" w:rsidP="005C1E8B">
      <w:pPr>
        <w:spacing w:line="276" w:lineRule="auto"/>
        <w:jc w:val="both"/>
      </w:pPr>
      <w:r w:rsidRPr="00553020">
        <w:t>Kasācijas protestā jānorāda un jāmotivē tādi</w:t>
      </w:r>
      <w:r>
        <w:t xml:space="preserve"> </w:t>
      </w:r>
      <w:r w:rsidRPr="00553020">
        <w:t>tiesību normu pārkāpumi, kas var</w:t>
      </w:r>
      <w:r>
        <w:t xml:space="preserve">ēja </w:t>
      </w:r>
      <w:r w:rsidRPr="00553020">
        <w:t>ietekmēt pārsūdzētā nolēmuma galīgo rezultātu;</w:t>
      </w:r>
      <w:r>
        <w:t xml:space="preserve"> pārkāpumi</w:t>
      </w:r>
      <w:r w:rsidRPr="00553020">
        <w:t xml:space="preserve">, kas nemaina tiesas nolēmuma galīgo rezultātu, nevar būt par pamatu nolēmuma atcelšanai. Apelācijas instances tiesas kļūdaina atsauce uz personas atteikšanos sniegt liecību kā personas aizturēšanas iemeslu nav pamats tās nolēmuma atcelšanai, ja pārējie tiesas konstatētie apstākļi ir pietiekami, lai atzītu, ka aizturēšana notikusi pamatoti. </w:t>
      </w:r>
    </w:p>
    <w:p w14:paraId="28460546" w14:textId="77777777" w:rsidR="005C1E8B" w:rsidRDefault="005C1E8B" w:rsidP="005C1E8B">
      <w:pPr>
        <w:widowControl w:val="0"/>
        <w:spacing w:line="276" w:lineRule="auto"/>
        <w:jc w:val="both"/>
        <w:rPr>
          <w:lang w:eastAsia="lv-LV"/>
        </w:rPr>
      </w:pPr>
    </w:p>
    <w:p w14:paraId="302B2E1C" w14:textId="2093D473" w:rsidR="005C1E8B" w:rsidRDefault="005C1E8B" w:rsidP="005C1E8B">
      <w:pPr>
        <w:spacing w:line="276" w:lineRule="auto"/>
        <w:jc w:val="both"/>
        <w:rPr>
          <w:b/>
          <w:bCs/>
        </w:rPr>
      </w:pPr>
      <w:r w:rsidRPr="00553020">
        <w:rPr>
          <w:b/>
          <w:bCs/>
        </w:rPr>
        <w:t>Krimināllikuma 317.</w:t>
      </w:r>
      <w:r w:rsidR="000662F0">
        <w:rPr>
          <w:b/>
          <w:bCs/>
        </w:rPr>
        <w:t> </w:t>
      </w:r>
      <w:r w:rsidRPr="00553020">
        <w:rPr>
          <w:b/>
          <w:bCs/>
        </w:rPr>
        <w:t>pantā</w:t>
      </w:r>
      <w:r w:rsidR="002779F1">
        <w:rPr>
          <w:b/>
          <w:bCs/>
        </w:rPr>
        <w:t xml:space="preserve"> (Dienesta pilnvaru pārsniegšana)</w:t>
      </w:r>
      <w:r w:rsidRPr="00553020">
        <w:rPr>
          <w:b/>
          <w:bCs/>
        </w:rPr>
        <w:t xml:space="preserve"> paredzētā noziedzīgā nodarījuma objektīvās </w:t>
      </w:r>
      <w:r>
        <w:rPr>
          <w:b/>
          <w:bCs/>
        </w:rPr>
        <w:t xml:space="preserve">un subjektīvās </w:t>
      </w:r>
      <w:r w:rsidRPr="00553020">
        <w:rPr>
          <w:b/>
          <w:bCs/>
        </w:rPr>
        <w:t>puses konstatēšana</w:t>
      </w:r>
    </w:p>
    <w:p w14:paraId="0394AC36" w14:textId="77777777" w:rsidR="005C1E8B" w:rsidRDefault="005C1E8B" w:rsidP="005C1E8B">
      <w:pPr>
        <w:spacing w:line="276" w:lineRule="auto"/>
        <w:jc w:val="both"/>
      </w:pPr>
      <w:r>
        <w:t xml:space="preserve">Lai piemērotu </w:t>
      </w:r>
      <w:r w:rsidRPr="009E4706">
        <w:t>Krimināllikuma 317.</w:t>
      </w:r>
      <w:r>
        <w:t> </w:t>
      </w:r>
      <w:r w:rsidRPr="009E4706">
        <w:t>pant</w:t>
      </w:r>
      <w:r>
        <w:t>u, ir jākonstatē, ka dienesta pilnvaru pārsniegšana ir acīmredzama.</w:t>
      </w:r>
    </w:p>
    <w:p w14:paraId="799F4464" w14:textId="77777777" w:rsidR="005C1E8B" w:rsidRPr="00553020" w:rsidRDefault="005C1E8B" w:rsidP="005C1E8B">
      <w:pPr>
        <w:spacing w:line="276" w:lineRule="auto"/>
        <w:jc w:val="both"/>
      </w:pPr>
      <w:r w:rsidRPr="00553020">
        <w:t>T</w:t>
      </w:r>
      <w:r>
        <w:t>ādēļ t</w:t>
      </w:r>
      <w:r w:rsidRPr="00553020">
        <w:t>iesību normas pārkāpuma konstatēšana vien valsts amatpersonas rīcībā nav pietiekama, lai atzītu par pierādītu Krimināllikuma 317. pantā paredzētā noziedzīgā nodarījuma objektīvo pusi. Ņemot vērā, ka tiesībsargājošo iestāžu darbiniekiem pienākumi nereti ir jāveic sarežģītos un emocionāli saspringtos apstākļos, balstoties uz nepilnīgu informāciju un pieņemot lēmumus steidzamības kārtā, vēlāk konstatēta kļūda pati par sevi nevar būt pamats kriminālatbildības kā visbargākās juridiskās atbildības veida piemērošanai. Turklāt atsevišķa normatīvā akta neprecīza ievērošana ne vienmēr liecina par valsts amatpersonas ļaunprātīgu rīcību.</w:t>
      </w:r>
    </w:p>
    <w:p w14:paraId="7BAC5B5A" w14:textId="77777777" w:rsidR="005C1E8B" w:rsidRDefault="005C1E8B" w:rsidP="005C1E8B">
      <w:pPr>
        <w:widowControl w:val="0"/>
        <w:spacing w:line="276" w:lineRule="auto"/>
        <w:jc w:val="both"/>
        <w:rPr>
          <w:lang w:eastAsia="lv-LV"/>
        </w:rPr>
      </w:pPr>
    </w:p>
    <w:p w14:paraId="2DBCCB72" w14:textId="77777777" w:rsidR="005C1E8B" w:rsidRPr="00553020" w:rsidRDefault="005C1E8B" w:rsidP="005C1E8B">
      <w:pPr>
        <w:spacing w:line="276" w:lineRule="auto"/>
        <w:jc w:val="both"/>
        <w:rPr>
          <w:b/>
          <w:bCs/>
        </w:rPr>
      </w:pPr>
      <w:r w:rsidRPr="00553020">
        <w:rPr>
          <w:b/>
          <w:bCs/>
        </w:rPr>
        <w:t xml:space="preserve">Policijas darbinieka tiesības </w:t>
      </w:r>
      <w:r>
        <w:rPr>
          <w:b/>
          <w:bCs/>
        </w:rPr>
        <w:t>pie</w:t>
      </w:r>
      <w:r w:rsidRPr="00553020">
        <w:rPr>
          <w:b/>
          <w:bCs/>
        </w:rPr>
        <w:t>lietot fizisku spēku un speciālos līdzekļus</w:t>
      </w:r>
    </w:p>
    <w:p w14:paraId="3ED5ADBB" w14:textId="258A69B5" w:rsidR="005C1E8B" w:rsidRPr="00553020" w:rsidRDefault="005C1E8B" w:rsidP="005C1E8B">
      <w:pPr>
        <w:spacing w:line="276" w:lineRule="auto"/>
        <w:jc w:val="both"/>
      </w:pPr>
      <w:r w:rsidRPr="00553020">
        <w:t>Likuma „Par policiju” 13. panta pirmās daļas 5. un 6.</w:t>
      </w:r>
      <w:r w:rsidR="008301F4">
        <w:t> </w:t>
      </w:r>
      <w:r w:rsidRPr="00553020">
        <w:t>punkts nosaka fiziskā spēka un speciālo līdzekļu pielietošanas vispārīgos priekšnoteikumus, neatkarīgi no tiesisko attiecību regulējuma veida, tajā skaitā kriminālprocesā, kur šādu līdzekļu pielietošana var būt īpaši nepieciešama, lai novērstu tiesisko interešu apdraudējumu, nodrošinātu procesuālo darbību izpildi un garantētu efektīvu noziedzīgu nodarījumu izmeklēšanu gadījumos, kad persona nepamatoti nepakļaujas valsts varas pārstāvju likumīgajām prasībām.</w:t>
      </w:r>
    </w:p>
    <w:p w14:paraId="12092577" w14:textId="77777777" w:rsidR="005C1E8B" w:rsidRDefault="005C1E8B" w:rsidP="005C1E8B">
      <w:pPr>
        <w:spacing w:line="276" w:lineRule="auto"/>
        <w:jc w:val="both"/>
        <w:rPr>
          <w:b/>
          <w:bCs/>
        </w:rPr>
      </w:pPr>
    </w:p>
    <w:p w14:paraId="0600A03E" w14:textId="5BC790C1" w:rsidR="005C1E8B" w:rsidRPr="00553020" w:rsidRDefault="005C1E8B" w:rsidP="005C1E8B">
      <w:pPr>
        <w:spacing w:line="276" w:lineRule="auto"/>
        <w:jc w:val="both"/>
        <w:rPr>
          <w:b/>
          <w:bCs/>
        </w:rPr>
      </w:pPr>
      <w:r w:rsidRPr="00553020">
        <w:rPr>
          <w:b/>
          <w:bCs/>
        </w:rPr>
        <w:t>Tiesas blakus lēmuma pārsūdzamība</w:t>
      </w:r>
    </w:p>
    <w:p w14:paraId="61100D10" w14:textId="77777777" w:rsidR="005C1E8B" w:rsidRPr="00553020" w:rsidRDefault="005C1E8B" w:rsidP="005C1E8B">
      <w:pPr>
        <w:spacing w:line="276" w:lineRule="auto"/>
        <w:jc w:val="both"/>
      </w:pPr>
      <w:r w:rsidRPr="00553020">
        <w:t>No Kriminālprocesa likuma sistēmas izriet, ka nav pārsūdzami tikai tie procesa virzītāja lēmumi, kuru nepārsūdzamība likumā skaidri noteikta. Attiecībā uz tiesas blakus lēmumu šāds izņēmums likumā nav paredzēts, tādēļ prokuroram kā procesā iesaistītai personai ir tiesības to pārsūdzēt.</w:t>
      </w:r>
    </w:p>
    <w:p w14:paraId="7BBF51A4" w14:textId="77777777" w:rsidR="005C1E8B" w:rsidRDefault="005C1E8B" w:rsidP="005C1E8B">
      <w:pPr>
        <w:widowControl w:val="0"/>
        <w:spacing w:line="276" w:lineRule="auto"/>
        <w:jc w:val="both"/>
        <w:rPr>
          <w:lang w:eastAsia="lv-LV"/>
        </w:rPr>
      </w:pPr>
    </w:p>
    <w:p w14:paraId="266C91AE" w14:textId="77777777" w:rsidR="005C1E8B" w:rsidRPr="00712D44" w:rsidRDefault="005C1E8B" w:rsidP="005C1E8B">
      <w:pPr>
        <w:spacing w:line="276" w:lineRule="auto"/>
        <w:jc w:val="both"/>
        <w:rPr>
          <w:b/>
          <w:bCs/>
        </w:rPr>
      </w:pPr>
      <w:r>
        <w:rPr>
          <w:b/>
          <w:bCs/>
        </w:rPr>
        <w:t>P</w:t>
      </w:r>
      <w:r w:rsidRPr="00712D44">
        <w:rPr>
          <w:b/>
          <w:bCs/>
        </w:rPr>
        <w:t xml:space="preserve">riekšnoteikumi tiesas blakus lēmuma pieņemšanai par prokurora pieļautu pārkāpumu </w:t>
      </w:r>
    </w:p>
    <w:p w14:paraId="2E1D8CDD" w14:textId="77777777" w:rsidR="005C1E8B" w:rsidRPr="00553020" w:rsidRDefault="005C1E8B" w:rsidP="005C1E8B">
      <w:pPr>
        <w:spacing w:line="276" w:lineRule="auto"/>
        <w:jc w:val="both"/>
      </w:pPr>
      <w:r w:rsidRPr="00553020">
        <w:t>Lemjot par blakus lēmuma pieņemšanu prokurora iespējami pieļauto pārkāpumu dēļ, tiesai jāievēro īpaša piesardzība, jo tiesas un prokurora atšķirīgs viedoklis par tiesību normu piemērošanu vai pierādījumu vērtējumu ir dabiska kriminālprocesa sastāvdaļa un tādēļ tas vien nav pietiekams pamats šāda lēmuma pieņemšanai.</w:t>
      </w:r>
    </w:p>
    <w:p w14:paraId="04278CD3" w14:textId="77777777" w:rsidR="005C1E8B" w:rsidRDefault="005C1E8B" w:rsidP="005C1E8B">
      <w:pPr>
        <w:widowControl w:val="0"/>
        <w:spacing w:line="276" w:lineRule="auto"/>
        <w:jc w:val="both"/>
        <w:rPr>
          <w:lang w:eastAsia="lv-LV"/>
        </w:rPr>
      </w:pPr>
    </w:p>
    <w:p w14:paraId="4F291C74" w14:textId="68F6CD5A" w:rsidR="00E8590F" w:rsidRPr="00513E3F" w:rsidRDefault="00E8590F" w:rsidP="00513E3F">
      <w:pPr>
        <w:widowControl w:val="0"/>
        <w:spacing w:line="276" w:lineRule="auto"/>
        <w:jc w:val="center"/>
        <w:rPr>
          <w:b/>
        </w:rPr>
      </w:pPr>
      <w:r w:rsidRPr="00513E3F">
        <w:rPr>
          <w:b/>
        </w:rPr>
        <w:t>Latvijas Republikas Senāt</w:t>
      </w:r>
      <w:r w:rsidR="00513E3F" w:rsidRPr="00513E3F">
        <w:rPr>
          <w:b/>
        </w:rPr>
        <w:t>a</w:t>
      </w:r>
    </w:p>
    <w:p w14:paraId="580E16A4" w14:textId="7C5B5512" w:rsidR="00513E3F" w:rsidRPr="00513E3F" w:rsidRDefault="00513E3F" w:rsidP="00513E3F">
      <w:pPr>
        <w:widowControl w:val="0"/>
        <w:spacing w:line="276" w:lineRule="auto"/>
        <w:jc w:val="center"/>
        <w:rPr>
          <w:b/>
          <w:lang w:eastAsia="lv-LV"/>
        </w:rPr>
      </w:pPr>
      <w:r w:rsidRPr="00513E3F">
        <w:rPr>
          <w:b/>
          <w:lang w:eastAsia="lv-LV"/>
        </w:rPr>
        <w:t>Krimināllietu departamenta</w:t>
      </w:r>
    </w:p>
    <w:p w14:paraId="7378F42F" w14:textId="320F16F5" w:rsidR="00513E3F" w:rsidRPr="00513E3F" w:rsidRDefault="00513E3F" w:rsidP="00513E3F">
      <w:pPr>
        <w:widowControl w:val="0"/>
        <w:spacing w:line="276" w:lineRule="auto"/>
        <w:jc w:val="center"/>
        <w:rPr>
          <w:b/>
        </w:rPr>
      </w:pPr>
      <w:r w:rsidRPr="00513E3F">
        <w:rPr>
          <w:b/>
        </w:rPr>
        <w:t>2025. gada 15. augusta</w:t>
      </w:r>
    </w:p>
    <w:p w14:paraId="773560EF" w14:textId="62702F71" w:rsidR="00E8590F" w:rsidRPr="00513E3F" w:rsidRDefault="00E8590F" w:rsidP="00513E3F">
      <w:pPr>
        <w:widowControl w:val="0"/>
        <w:spacing w:line="276" w:lineRule="auto"/>
        <w:jc w:val="center"/>
        <w:rPr>
          <w:b/>
        </w:rPr>
      </w:pPr>
      <w:r w:rsidRPr="00513E3F">
        <w:rPr>
          <w:b/>
        </w:rPr>
        <w:t>LĒMUMS</w:t>
      </w:r>
    </w:p>
    <w:p w14:paraId="29873BCA" w14:textId="77777777" w:rsidR="00513E3F" w:rsidRPr="00513E3F" w:rsidRDefault="00513E3F" w:rsidP="00513E3F">
      <w:pPr>
        <w:widowControl w:val="0"/>
        <w:spacing w:line="276" w:lineRule="auto"/>
        <w:jc w:val="center"/>
        <w:rPr>
          <w:b/>
          <w:lang w:eastAsia="lv-LV"/>
        </w:rPr>
      </w:pPr>
      <w:r w:rsidRPr="00513E3F">
        <w:rPr>
          <w:b/>
          <w:lang w:eastAsia="lv-LV"/>
        </w:rPr>
        <w:t>Lieta Nr. 11819003215, SKK-63/2025</w:t>
      </w:r>
    </w:p>
    <w:p w14:paraId="25D6DC2E" w14:textId="0703821F" w:rsidR="00D10AD6" w:rsidRDefault="00513E3F" w:rsidP="00513E3F">
      <w:pPr>
        <w:widowControl w:val="0"/>
        <w:spacing w:line="276" w:lineRule="auto"/>
        <w:jc w:val="center"/>
      </w:pPr>
      <w:hyperlink r:id="rId7" w:history="1">
        <w:r w:rsidRPr="00513E3F">
          <w:rPr>
            <w:rStyle w:val="Hyperlink"/>
          </w:rPr>
          <w:t>ECLI:LV:</w:t>
        </w:r>
        <w:r w:rsidRPr="00513E3F">
          <w:rPr>
            <w:rStyle w:val="Hyperlink"/>
          </w:rPr>
          <w:t>A</w:t>
        </w:r>
        <w:r w:rsidRPr="00513E3F">
          <w:rPr>
            <w:rStyle w:val="Hyperlink"/>
          </w:rPr>
          <w:t>T:2025:0815.11819003215.9.L</w:t>
        </w:r>
      </w:hyperlink>
    </w:p>
    <w:p w14:paraId="656BEE17" w14:textId="77777777" w:rsidR="00513E3F" w:rsidRPr="00033DE9" w:rsidRDefault="00513E3F" w:rsidP="00D10AD6">
      <w:pPr>
        <w:widowControl w:val="0"/>
        <w:spacing w:line="276" w:lineRule="auto"/>
        <w:jc w:val="center"/>
      </w:pPr>
    </w:p>
    <w:p w14:paraId="59F19E39" w14:textId="1DADA58F" w:rsidR="00E8590F" w:rsidRDefault="00E8590F" w:rsidP="00D10AD6">
      <w:pPr>
        <w:widowControl w:val="0"/>
        <w:spacing w:line="276" w:lineRule="auto"/>
        <w:ind w:firstLine="720"/>
        <w:jc w:val="both"/>
      </w:pPr>
      <w:r>
        <w:t xml:space="preserve">Senāts </w:t>
      </w:r>
      <w:r w:rsidRPr="00011547">
        <w:t>šādā sastāvā</w:t>
      </w:r>
      <w:r>
        <w:t>: senators referents Māris Leja</w:t>
      </w:r>
      <w:r w:rsidRPr="00033DE9">
        <w:t xml:space="preserve">, </w:t>
      </w:r>
      <w:r w:rsidRPr="00554004">
        <w:t>senator</w:t>
      </w:r>
      <w:r w:rsidR="00033DE9" w:rsidRPr="00554004">
        <w:t>es Aija Branta un Anita Poļakova</w:t>
      </w:r>
    </w:p>
    <w:p w14:paraId="078DFBAF" w14:textId="77777777" w:rsidR="003E4812" w:rsidRPr="00554004" w:rsidRDefault="003E4812" w:rsidP="00D10AD6">
      <w:pPr>
        <w:widowControl w:val="0"/>
        <w:spacing w:line="276" w:lineRule="auto"/>
        <w:ind w:firstLine="720"/>
        <w:jc w:val="both"/>
      </w:pPr>
    </w:p>
    <w:p w14:paraId="254FE872" w14:textId="16231A55" w:rsidR="00E8590F" w:rsidRDefault="00E8590F" w:rsidP="00D10AD6">
      <w:pPr>
        <w:widowControl w:val="0"/>
        <w:spacing w:line="276" w:lineRule="auto"/>
        <w:ind w:firstLine="720"/>
        <w:jc w:val="both"/>
      </w:pPr>
      <w:r w:rsidRPr="00554004">
        <w:t xml:space="preserve">rakstveida procesā izskatīja krimināllietu sakarā ar </w:t>
      </w:r>
      <w:r w:rsidR="00D6174D" w:rsidRPr="00554004">
        <w:t xml:space="preserve">Rīgas tiesas </w:t>
      </w:r>
      <w:r w:rsidR="00D6174D">
        <w:t>apgabala prokuratūras prokurora Jāņa Baumaņa kasācijas protestu par Latgales apgabaltiesas 2024</w:t>
      </w:r>
      <w:r w:rsidR="00347BE1">
        <w:t>. </w:t>
      </w:r>
      <w:r w:rsidR="00D6174D">
        <w:t>gada 4.</w:t>
      </w:r>
      <w:r w:rsidR="00347BE1">
        <w:t> </w:t>
      </w:r>
      <w:r w:rsidR="00D6174D">
        <w:t>aprīļa lēmumu un Latgales apgabaltiesas 2024.</w:t>
      </w:r>
      <w:r w:rsidR="00347BE1">
        <w:t> </w:t>
      </w:r>
      <w:r w:rsidR="00D6174D">
        <w:t>gada 4.</w:t>
      </w:r>
      <w:r w:rsidR="00347BE1">
        <w:t> </w:t>
      </w:r>
      <w:r w:rsidR="00D6174D">
        <w:t>aprīļa blakus lēmumu.</w:t>
      </w:r>
    </w:p>
    <w:p w14:paraId="3BE547DC" w14:textId="77777777" w:rsidR="00D10AD6" w:rsidRDefault="00D10AD6" w:rsidP="00D10AD6">
      <w:pPr>
        <w:widowControl w:val="0"/>
        <w:spacing w:line="276" w:lineRule="auto"/>
        <w:ind w:firstLine="720"/>
        <w:jc w:val="both"/>
      </w:pPr>
    </w:p>
    <w:p w14:paraId="05951AEF" w14:textId="77777777" w:rsidR="00E8590F" w:rsidRDefault="00E8590F" w:rsidP="00D10AD6">
      <w:pPr>
        <w:widowControl w:val="0"/>
        <w:spacing w:line="276" w:lineRule="auto"/>
        <w:jc w:val="center"/>
        <w:rPr>
          <w:b/>
          <w:shd w:val="clear" w:color="auto" w:fill="FFFFFF"/>
        </w:rPr>
      </w:pPr>
      <w:r w:rsidRPr="00011547">
        <w:rPr>
          <w:b/>
          <w:shd w:val="clear" w:color="auto" w:fill="FFFFFF"/>
        </w:rPr>
        <w:t>Aprakstošā daļa</w:t>
      </w:r>
    </w:p>
    <w:p w14:paraId="5E286A8E" w14:textId="77777777" w:rsidR="00D10AD6" w:rsidRPr="00011547" w:rsidRDefault="00D10AD6" w:rsidP="00D10AD6">
      <w:pPr>
        <w:widowControl w:val="0"/>
        <w:spacing w:line="276" w:lineRule="auto"/>
        <w:jc w:val="center"/>
        <w:rPr>
          <w:shd w:val="clear" w:color="auto" w:fill="FFFFFF"/>
        </w:rPr>
      </w:pPr>
    </w:p>
    <w:p w14:paraId="1A47DD80" w14:textId="31EB0831" w:rsidR="00AD514E" w:rsidRDefault="00347BE1" w:rsidP="00D10AD6">
      <w:pPr>
        <w:widowControl w:val="0"/>
        <w:spacing w:line="276" w:lineRule="auto"/>
        <w:ind w:firstLine="720"/>
        <w:jc w:val="both"/>
        <w:rPr>
          <w:rFonts w:asciiTheme="majorBidi" w:hAnsiTheme="majorBidi" w:cstheme="majorBidi"/>
        </w:rPr>
      </w:pPr>
      <w:r>
        <w:rPr>
          <w:rFonts w:asciiTheme="majorBidi" w:hAnsiTheme="majorBidi" w:cstheme="majorBidi"/>
        </w:rPr>
        <w:t>[1]</w:t>
      </w:r>
      <w:r w:rsidR="00AD514E">
        <w:rPr>
          <w:rFonts w:asciiTheme="majorBidi" w:hAnsiTheme="majorBidi" w:cstheme="majorBidi"/>
        </w:rPr>
        <w:t> </w:t>
      </w:r>
      <w:r w:rsidRPr="00347BE1">
        <w:rPr>
          <w:rFonts w:asciiTheme="majorBidi" w:hAnsiTheme="majorBidi" w:cstheme="majorBidi"/>
        </w:rPr>
        <w:t>Ar Rīgas rajona tiesas 2023.</w:t>
      </w:r>
      <w:r w:rsidR="002E28DF">
        <w:rPr>
          <w:rFonts w:asciiTheme="majorBidi" w:hAnsiTheme="majorBidi" w:cstheme="majorBidi"/>
        </w:rPr>
        <w:t> </w:t>
      </w:r>
      <w:r w:rsidRPr="00347BE1">
        <w:rPr>
          <w:rFonts w:asciiTheme="majorBidi" w:hAnsiTheme="majorBidi" w:cstheme="majorBidi"/>
        </w:rPr>
        <w:t>gada 16.</w:t>
      </w:r>
      <w:r w:rsidR="002E28DF">
        <w:rPr>
          <w:rFonts w:asciiTheme="majorBidi" w:hAnsiTheme="majorBidi" w:cstheme="majorBidi"/>
        </w:rPr>
        <w:t> </w:t>
      </w:r>
      <w:r w:rsidRPr="00347BE1">
        <w:rPr>
          <w:rFonts w:asciiTheme="majorBidi" w:hAnsiTheme="majorBidi" w:cstheme="majorBidi"/>
        </w:rPr>
        <w:t>janvāra spriedumu</w:t>
      </w:r>
    </w:p>
    <w:p w14:paraId="6F52EE73" w14:textId="4075392E" w:rsidR="00AD514E" w:rsidRDefault="00642A86" w:rsidP="00D10AD6">
      <w:pPr>
        <w:widowControl w:val="0"/>
        <w:spacing w:line="276" w:lineRule="auto"/>
        <w:ind w:firstLine="720"/>
        <w:jc w:val="both"/>
        <w:rPr>
          <w:rFonts w:asciiTheme="majorBidi" w:hAnsiTheme="majorBidi" w:cstheme="majorBidi"/>
        </w:rPr>
      </w:pPr>
      <w:r>
        <w:rPr>
          <w:rFonts w:asciiTheme="majorBidi" w:hAnsiTheme="majorBidi" w:cstheme="majorBidi"/>
        </w:rPr>
        <w:t>[1.1] </w:t>
      </w:r>
      <w:r w:rsidR="00513E3F">
        <w:rPr>
          <w:rFonts w:asciiTheme="majorBidi" w:hAnsiTheme="majorBidi" w:cstheme="majorBidi"/>
        </w:rPr>
        <w:t>[pers. A]</w:t>
      </w:r>
      <w:r w:rsidR="00347BE1" w:rsidRPr="00347BE1">
        <w:rPr>
          <w:rFonts w:asciiTheme="majorBidi" w:hAnsiTheme="majorBidi" w:cstheme="majorBidi"/>
        </w:rPr>
        <w:t xml:space="preserve">, personas kods </w:t>
      </w:r>
      <w:r w:rsidR="00513E3F">
        <w:rPr>
          <w:rFonts w:asciiTheme="majorBidi" w:hAnsiTheme="majorBidi" w:cstheme="majorBidi"/>
        </w:rPr>
        <w:t>[..]</w:t>
      </w:r>
      <w:r w:rsidR="00AD514E">
        <w:rPr>
          <w:rFonts w:asciiTheme="majorBidi" w:hAnsiTheme="majorBidi" w:cstheme="majorBidi"/>
        </w:rPr>
        <w:t>,</w:t>
      </w:r>
    </w:p>
    <w:p w14:paraId="155BAEBC" w14:textId="51B49722" w:rsidR="00AD514E" w:rsidRDefault="00AD514E" w:rsidP="00D10AD6">
      <w:pPr>
        <w:widowControl w:val="0"/>
        <w:spacing w:line="276" w:lineRule="auto"/>
        <w:ind w:firstLine="720"/>
        <w:jc w:val="both"/>
        <w:rPr>
          <w:rFonts w:asciiTheme="majorBidi" w:hAnsiTheme="majorBidi" w:cstheme="majorBidi"/>
        </w:rPr>
      </w:pPr>
      <w:r w:rsidRPr="00347BE1">
        <w:rPr>
          <w:rFonts w:asciiTheme="majorBidi" w:hAnsiTheme="majorBidi" w:cstheme="majorBidi"/>
        </w:rPr>
        <w:t>atzīt</w:t>
      </w:r>
      <w:r>
        <w:rPr>
          <w:rFonts w:asciiTheme="majorBidi" w:hAnsiTheme="majorBidi" w:cstheme="majorBidi"/>
        </w:rPr>
        <w:t>s</w:t>
      </w:r>
      <w:r w:rsidRPr="00347BE1">
        <w:rPr>
          <w:rFonts w:asciiTheme="majorBidi" w:hAnsiTheme="majorBidi" w:cstheme="majorBidi"/>
        </w:rPr>
        <w:t xml:space="preserve"> par nevainīg</w:t>
      </w:r>
      <w:r>
        <w:rPr>
          <w:rFonts w:asciiTheme="majorBidi" w:hAnsiTheme="majorBidi" w:cstheme="majorBidi"/>
        </w:rPr>
        <w:t>u</w:t>
      </w:r>
      <w:r w:rsidRPr="00347BE1">
        <w:rPr>
          <w:rFonts w:asciiTheme="majorBidi" w:hAnsiTheme="majorBidi" w:cstheme="majorBidi"/>
        </w:rPr>
        <w:t xml:space="preserve"> pret viņ</w:t>
      </w:r>
      <w:r>
        <w:rPr>
          <w:rFonts w:asciiTheme="majorBidi" w:hAnsiTheme="majorBidi" w:cstheme="majorBidi"/>
        </w:rPr>
        <w:t>u</w:t>
      </w:r>
      <w:r w:rsidRPr="00347BE1">
        <w:rPr>
          <w:rFonts w:asciiTheme="majorBidi" w:hAnsiTheme="majorBidi" w:cstheme="majorBidi"/>
        </w:rPr>
        <w:t xml:space="preserve"> celtajā apsūdzībā pēc Krimināllikuma 317.</w:t>
      </w:r>
      <w:r>
        <w:rPr>
          <w:rFonts w:asciiTheme="majorBidi" w:hAnsiTheme="majorBidi" w:cstheme="majorBidi"/>
        </w:rPr>
        <w:t> </w:t>
      </w:r>
      <w:r w:rsidRPr="00347BE1">
        <w:rPr>
          <w:rFonts w:asciiTheme="majorBidi" w:hAnsiTheme="majorBidi" w:cstheme="majorBidi"/>
        </w:rPr>
        <w:t>panta otrās daļas un attaisnot</w:t>
      </w:r>
      <w:r>
        <w:rPr>
          <w:rFonts w:asciiTheme="majorBidi" w:hAnsiTheme="majorBidi" w:cstheme="majorBidi"/>
        </w:rPr>
        <w:t>s</w:t>
      </w:r>
      <w:r w:rsidR="00642A86">
        <w:rPr>
          <w:rFonts w:asciiTheme="majorBidi" w:hAnsiTheme="majorBidi" w:cstheme="majorBidi"/>
        </w:rPr>
        <w:t>.</w:t>
      </w:r>
    </w:p>
    <w:p w14:paraId="2ADBABB6" w14:textId="7FF8E2D5" w:rsidR="00642A86" w:rsidRDefault="00642A86" w:rsidP="00D10AD6">
      <w:pPr>
        <w:widowControl w:val="0"/>
        <w:spacing w:line="276" w:lineRule="auto"/>
        <w:ind w:firstLine="720"/>
        <w:jc w:val="both"/>
        <w:rPr>
          <w:rFonts w:asciiTheme="majorBidi" w:hAnsiTheme="majorBidi" w:cstheme="majorBidi"/>
        </w:rPr>
      </w:pPr>
      <w:r>
        <w:rPr>
          <w:rFonts w:asciiTheme="majorBidi" w:hAnsiTheme="majorBidi" w:cstheme="majorBidi"/>
        </w:rPr>
        <w:t>[1.2] </w:t>
      </w:r>
      <w:r w:rsidR="00513E3F">
        <w:rPr>
          <w:rFonts w:asciiTheme="majorBidi" w:hAnsiTheme="majorBidi" w:cstheme="majorBidi"/>
        </w:rPr>
        <w:t>[pers. B]</w:t>
      </w:r>
      <w:r w:rsidR="00347BE1" w:rsidRPr="00347BE1">
        <w:rPr>
          <w:rFonts w:asciiTheme="majorBidi" w:hAnsiTheme="majorBidi" w:cstheme="majorBidi"/>
        </w:rPr>
        <w:t xml:space="preserve">, personas kods </w:t>
      </w:r>
      <w:r w:rsidR="00513E3F">
        <w:rPr>
          <w:rFonts w:asciiTheme="majorBidi" w:hAnsiTheme="majorBidi" w:cstheme="majorBidi"/>
        </w:rPr>
        <w:t>[..]</w:t>
      </w:r>
      <w:r w:rsidR="00347BE1" w:rsidRPr="00347BE1">
        <w:rPr>
          <w:rFonts w:asciiTheme="majorBidi" w:hAnsiTheme="majorBidi" w:cstheme="majorBidi"/>
        </w:rPr>
        <w:t>,</w:t>
      </w:r>
    </w:p>
    <w:p w14:paraId="609E1569" w14:textId="14C5B9A9" w:rsidR="00347BE1" w:rsidRDefault="00347BE1" w:rsidP="00D10AD6">
      <w:pPr>
        <w:widowControl w:val="0"/>
        <w:spacing w:line="276" w:lineRule="auto"/>
        <w:ind w:firstLine="720"/>
        <w:jc w:val="both"/>
        <w:rPr>
          <w:rFonts w:asciiTheme="majorBidi" w:hAnsiTheme="majorBidi" w:cstheme="majorBidi"/>
        </w:rPr>
      </w:pPr>
      <w:r w:rsidRPr="00347BE1">
        <w:rPr>
          <w:rFonts w:asciiTheme="majorBidi" w:hAnsiTheme="majorBidi" w:cstheme="majorBidi"/>
        </w:rPr>
        <w:t>atzīt</w:t>
      </w:r>
      <w:r w:rsidR="00642A86">
        <w:rPr>
          <w:rFonts w:asciiTheme="majorBidi" w:hAnsiTheme="majorBidi" w:cstheme="majorBidi"/>
        </w:rPr>
        <w:t>a</w:t>
      </w:r>
      <w:r w:rsidRPr="00347BE1">
        <w:rPr>
          <w:rFonts w:asciiTheme="majorBidi" w:hAnsiTheme="majorBidi" w:cstheme="majorBidi"/>
        </w:rPr>
        <w:t xml:space="preserve"> par nevainīg</w:t>
      </w:r>
      <w:r w:rsidR="00642A86">
        <w:rPr>
          <w:rFonts w:asciiTheme="majorBidi" w:hAnsiTheme="majorBidi" w:cstheme="majorBidi"/>
        </w:rPr>
        <w:t>u</w:t>
      </w:r>
      <w:r w:rsidRPr="00347BE1">
        <w:rPr>
          <w:rFonts w:asciiTheme="majorBidi" w:hAnsiTheme="majorBidi" w:cstheme="majorBidi"/>
        </w:rPr>
        <w:t xml:space="preserve"> pret viņ</w:t>
      </w:r>
      <w:r w:rsidR="00642A86">
        <w:rPr>
          <w:rFonts w:asciiTheme="majorBidi" w:hAnsiTheme="majorBidi" w:cstheme="majorBidi"/>
        </w:rPr>
        <w:t>u</w:t>
      </w:r>
      <w:r w:rsidRPr="00347BE1">
        <w:rPr>
          <w:rFonts w:asciiTheme="majorBidi" w:hAnsiTheme="majorBidi" w:cstheme="majorBidi"/>
        </w:rPr>
        <w:t xml:space="preserve"> celtajā apsūdzībā pēc Krimināllikuma 317.</w:t>
      </w:r>
      <w:r w:rsidR="002E28DF">
        <w:rPr>
          <w:rFonts w:asciiTheme="majorBidi" w:hAnsiTheme="majorBidi" w:cstheme="majorBidi"/>
        </w:rPr>
        <w:t> </w:t>
      </w:r>
      <w:r w:rsidRPr="00347BE1">
        <w:rPr>
          <w:rFonts w:asciiTheme="majorBidi" w:hAnsiTheme="majorBidi" w:cstheme="majorBidi"/>
        </w:rPr>
        <w:t>panta otrās daļas un attaisnot</w:t>
      </w:r>
      <w:r w:rsidR="00642A86">
        <w:rPr>
          <w:rFonts w:asciiTheme="majorBidi" w:hAnsiTheme="majorBidi" w:cstheme="majorBidi"/>
        </w:rPr>
        <w:t>a</w:t>
      </w:r>
      <w:r w:rsidRPr="00347BE1">
        <w:rPr>
          <w:rFonts w:asciiTheme="majorBidi" w:hAnsiTheme="majorBidi" w:cstheme="majorBidi"/>
        </w:rPr>
        <w:t>.</w:t>
      </w:r>
    </w:p>
    <w:p w14:paraId="3C976B9D" w14:textId="77777777" w:rsidR="00770751" w:rsidRPr="00347BE1" w:rsidRDefault="00770751" w:rsidP="00D10AD6">
      <w:pPr>
        <w:widowControl w:val="0"/>
        <w:spacing w:line="276" w:lineRule="auto"/>
        <w:ind w:firstLine="720"/>
        <w:jc w:val="both"/>
        <w:rPr>
          <w:rFonts w:asciiTheme="majorBidi" w:hAnsiTheme="majorBidi" w:cstheme="majorBidi"/>
        </w:rPr>
      </w:pPr>
    </w:p>
    <w:p w14:paraId="59A0F1D6" w14:textId="4AFE7CDB" w:rsidR="004A3596" w:rsidRPr="007B6F5A" w:rsidRDefault="00347BE1" w:rsidP="0004530F">
      <w:pPr>
        <w:widowControl w:val="0"/>
        <w:spacing w:line="276" w:lineRule="auto"/>
        <w:ind w:firstLine="720"/>
        <w:jc w:val="both"/>
        <w:rPr>
          <w:rFonts w:asciiTheme="majorBidi" w:hAnsiTheme="majorBidi" w:cstheme="majorBidi"/>
        </w:rPr>
      </w:pPr>
      <w:r w:rsidRPr="00347BE1">
        <w:rPr>
          <w:rFonts w:asciiTheme="majorBidi" w:hAnsiTheme="majorBidi" w:cstheme="majorBidi"/>
        </w:rPr>
        <w:t>[2</w:t>
      </w:r>
      <w:r w:rsidRPr="00920804">
        <w:rPr>
          <w:rFonts w:asciiTheme="majorBidi" w:hAnsiTheme="majorBidi" w:cstheme="majorBidi"/>
        </w:rPr>
        <w:t>]</w:t>
      </w:r>
      <w:r w:rsidR="00642A86" w:rsidRPr="00FA11B9">
        <w:rPr>
          <w:rFonts w:asciiTheme="majorBidi" w:hAnsiTheme="majorBidi" w:cstheme="majorBidi"/>
        </w:rPr>
        <w:t> </w:t>
      </w:r>
      <w:r w:rsidR="00920804" w:rsidRPr="00FA11B9">
        <w:rPr>
          <w:rFonts w:asciiTheme="majorBidi" w:hAnsiTheme="majorBidi" w:cstheme="majorBidi"/>
        </w:rPr>
        <w:t xml:space="preserve">Apsūdzētajiem </w:t>
      </w:r>
      <w:r w:rsidR="0004530F">
        <w:rPr>
          <w:rFonts w:asciiTheme="majorBidi" w:hAnsiTheme="majorBidi" w:cstheme="majorBidi"/>
        </w:rPr>
        <w:t>[pers. A]</w:t>
      </w:r>
      <w:r w:rsidR="00920804" w:rsidRPr="00FA11B9">
        <w:rPr>
          <w:rFonts w:asciiTheme="majorBidi" w:hAnsiTheme="majorBidi" w:cstheme="majorBidi"/>
        </w:rPr>
        <w:t xml:space="preserve"> un </w:t>
      </w:r>
      <w:r w:rsidR="0004530F">
        <w:rPr>
          <w:rFonts w:asciiTheme="majorBidi" w:hAnsiTheme="majorBidi" w:cstheme="majorBidi"/>
        </w:rPr>
        <w:t>[pers. B]</w:t>
      </w:r>
      <w:r w:rsidR="00920804" w:rsidRPr="00FA11B9">
        <w:rPr>
          <w:rFonts w:asciiTheme="majorBidi" w:hAnsiTheme="majorBidi" w:cstheme="majorBidi"/>
        </w:rPr>
        <w:t xml:space="preserve"> celta apsūdzība pēc Krimināllikuma 317. panta otrās daļas par </w:t>
      </w:r>
      <w:r w:rsidR="00CB0738" w:rsidRPr="00CB0738">
        <w:rPr>
          <w:rFonts w:asciiTheme="majorBidi" w:hAnsiTheme="majorBidi" w:cstheme="majorBidi"/>
        </w:rPr>
        <w:t xml:space="preserve">to, ka </w:t>
      </w:r>
      <w:r w:rsidR="004A3596">
        <w:rPr>
          <w:rFonts w:asciiTheme="majorBidi" w:hAnsiTheme="majorBidi" w:cstheme="majorBidi"/>
        </w:rPr>
        <w:t>viņi</w:t>
      </w:r>
      <w:r w:rsidR="004A3596" w:rsidRPr="007B6F5A">
        <w:rPr>
          <w:rFonts w:asciiTheme="majorBidi" w:hAnsiTheme="majorBidi" w:cstheme="majorBidi"/>
        </w:rPr>
        <w:t xml:space="preserve">, būdami Valsts policijas amatpersonas, naktī no 2015. gada 30. jūnija uz 1. jūliju personīgi, kā arī iesaistot viņiem padotos policijas darbiniekus, </w:t>
      </w:r>
      <w:r w:rsidR="0004530F">
        <w:rPr>
          <w:rFonts w:asciiTheme="majorBidi" w:hAnsiTheme="majorBidi" w:cstheme="majorBidi"/>
        </w:rPr>
        <w:t>[adrese]</w:t>
      </w:r>
      <w:r w:rsidR="004A3596">
        <w:rPr>
          <w:rFonts w:asciiTheme="majorBidi" w:hAnsiTheme="majorBidi" w:cstheme="majorBidi"/>
        </w:rPr>
        <w:t>,</w:t>
      </w:r>
      <w:r w:rsidR="004A3596" w:rsidRPr="007B6F5A">
        <w:rPr>
          <w:rFonts w:asciiTheme="majorBidi" w:hAnsiTheme="majorBidi" w:cstheme="majorBidi"/>
        </w:rPr>
        <w:t xml:space="preserve"> veica pasākumus, k</w:t>
      </w:r>
      <w:r w:rsidR="004A3596">
        <w:rPr>
          <w:rFonts w:asciiTheme="majorBidi" w:hAnsiTheme="majorBidi" w:cstheme="majorBidi"/>
        </w:rPr>
        <w:t>uru</w:t>
      </w:r>
      <w:r w:rsidR="004A3596" w:rsidRPr="007B6F5A">
        <w:rPr>
          <w:rFonts w:asciiTheme="majorBidi" w:hAnsiTheme="majorBidi" w:cstheme="majorBidi"/>
        </w:rPr>
        <w:t xml:space="preserve"> rezultātā nelikumīgi tika uzsākts kriminālprocess p</w:t>
      </w:r>
      <w:r w:rsidR="0082382B">
        <w:rPr>
          <w:rFonts w:asciiTheme="majorBidi" w:hAnsiTheme="majorBidi" w:cstheme="majorBidi"/>
        </w:rPr>
        <w:t>ēc</w:t>
      </w:r>
      <w:r w:rsidR="00DF399D">
        <w:rPr>
          <w:rFonts w:asciiTheme="majorBidi" w:hAnsiTheme="majorBidi" w:cstheme="majorBidi"/>
        </w:rPr>
        <w:t xml:space="preserve"> </w:t>
      </w:r>
      <w:r w:rsidR="004A3596" w:rsidRPr="007B6F5A">
        <w:rPr>
          <w:rFonts w:asciiTheme="majorBidi" w:hAnsiTheme="majorBidi" w:cstheme="majorBidi"/>
        </w:rPr>
        <w:t>Krimināllikuma 143. panta otrā</w:t>
      </w:r>
      <w:r w:rsidR="0082382B">
        <w:rPr>
          <w:rFonts w:asciiTheme="majorBidi" w:hAnsiTheme="majorBidi" w:cstheme="majorBidi"/>
        </w:rPr>
        <w:t>s</w:t>
      </w:r>
      <w:r w:rsidR="004A3596" w:rsidRPr="007B6F5A">
        <w:rPr>
          <w:rFonts w:asciiTheme="majorBidi" w:hAnsiTheme="majorBidi" w:cstheme="majorBidi"/>
        </w:rPr>
        <w:t xml:space="preserve"> daļ</w:t>
      </w:r>
      <w:r w:rsidR="0082382B">
        <w:rPr>
          <w:rFonts w:asciiTheme="majorBidi" w:hAnsiTheme="majorBidi" w:cstheme="majorBidi"/>
        </w:rPr>
        <w:t>as</w:t>
      </w:r>
      <w:r w:rsidR="004A3596" w:rsidRPr="007B6F5A">
        <w:rPr>
          <w:rFonts w:asciiTheme="majorBidi" w:hAnsiTheme="majorBidi" w:cstheme="majorBidi"/>
        </w:rPr>
        <w:t xml:space="preserve"> </w:t>
      </w:r>
      <w:r w:rsidR="007557FE">
        <w:rPr>
          <w:rFonts w:asciiTheme="majorBidi" w:hAnsiTheme="majorBidi" w:cstheme="majorBidi"/>
        </w:rPr>
        <w:t>p</w:t>
      </w:r>
      <w:r w:rsidR="007557FE" w:rsidRPr="007557FE">
        <w:rPr>
          <w:rFonts w:asciiTheme="majorBidi" w:hAnsiTheme="majorBidi" w:cstheme="majorBidi"/>
        </w:rPr>
        <w:t>ar nelikumīgu iekļūšanu mājoklī pret tajā dzīvojošās personas</w:t>
      </w:r>
      <w:r w:rsidR="007557FE">
        <w:rPr>
          <w:rFonts w:asciiTheme="majorBidi" w:hAnsiTheme="majorBidi" w:cstheme="majorBidi"/>
        </w:rPr>
        <w:t xml:space="preserve"> – </w:t>
      </w:r>
      <w:r w:rsidR="0004530F">
        <w:rPr>
          <w:rFonts w:asciiTheme="majorBidi" w:hAnsiTheme="majorBidi" w:cstheme="majorBidi"/>
        </w:rPr>
        <w:t>[pers.</w:t>
      </w:r>
      <w:r w:rsidR="008301F4">
        <w:rPr>
          <w:rFonts w:asciiTheme="majorBidi" w:hAnsiTheme="majorBidi" w:cstheme="majorBidi"/>
        </w:rPr>
        <w:t> </w:t>
      </w:r>
      <w:r w:rsidR="0004530F">
        <w:rPr>
          <w:rFonts w:asciiTheme="majorBidi" w:hAnsiTheme="majorBidi" w:cstheme="majorBidi"/>
        </w:rPr>
        <w:t>C]</w:t>
      </w:r>
      <w:r w:rsidR="007557FE">
        <w:rPr>
          <w:rFonts w:asciiTheme="majorBidi" w:hAnsiTheme="majorBidi" w:cstheme="majorBidi"/>
        </w:rPr>
        <w:t xml:space="preserve"> – </w:t>
      </w:r>
      <w:r w:rsidR="007557FE" w:rsidRPr="007557FE">
        <w:rPr>
          <w:rFonts w:asciiTheme="majorBidi" w:hAnsiTheme="majorBidi" w:cstheme="majorBidi"/>
        </w:rPr>
        <w:t>gribu</w:t>
      </w:r>
      <w:r w:rsidR="007557FE">
        <w:rPr>
          <w:rFonts w:asciiTheme="majorBidi" w:hAnsiTheme="majorBidi" w:cstheme="majorBidi"/>
        </w:rPr>
        <w:t xml:space="preserve"> </w:t>
      </w:r>
      <w:r w:rsidR="004A3596">
        <w:rPr>
          <w:rFonts w:asciiTheme="majorBidi" w:hAnsiTheme="majorBidi" w:cstheme="majorBidi"/>
        </w:rPr>
        <w:t xml:space="preserve">un </w:t>
      </w:r>
      <w:r w:rsidR="004A3596" w:rsidRPr="007B6F5A">
        <w:rPr>
          <w:rFonts w:asciiTheme="majorBidi" w:hAnsiTheme="majorBidi" w:cstheme="majorBidi"/>
        </w:rPr>
        <w:t xml:space="preserve">nepamatoti aizturētas divas personas – </w:t>
      </w:r>
      <w:r w:rsidR="0004530F">
        <w:rPr>
          <w:rFonts w:asciiTheme="majorBidi" w:hAnsiTheme="majorBidi" w:cstheme="majorBidi"/>
        </w:rPr>
        <w:t>[pers. D]</w:t>
      </w:r>
      <w:r w:rsidR="004A3596" w:rsidRPr="007B6F5A">
        <w:rPr>
          <w:rFonts w:asciiTheme="majorBidi" w:hAnsiTheme="majorBidi" w:cstheme="majorBidi"/>
        </w:rPr>
        <w:t xml:space="preserve"> </w:t>
      </w:r>
      <w:r w:rsidR="000C21D3">
        <w:rPr>
          <w:rFonts w:asciiTheme="majorBidi" w:hAnsiTheme="majorBidi" w:cstheme="majorBidi"/>
        </w:rPr>
        <w:t xml:space="preserve">(inkriminētā noziedzīgā nodarījuma laikā – </w:t>
      </w:r>
      <w:r w:rsidR="0004530F">
        <w:rPr>
          <w:rFonts w:asciiTheme="majorBidi" w:hAnsiTheme="majorBidi" w:cstheme="majorBidi"/>
        </w:rPr>
        <w:t>[Uzvārds]</w:t>
      </w:r>
      <w:r w:rsidR="000C21D3">
        <w:rPr>
          <w:rFonts w:asciiTheme="majorBidi" w:hAnsiTheme="majorBidi" w:cstheme="majorBidi"/>
        </w:rPr>
        <w:t xml:space="preserve">) </w:t>
      </w:r>
      <w:r w:rsidR="004A3596" w:rsidRPr="007B6F5A">
        <w:rPr>
          <w:rFonts w:asciiTheme="majorBidi" w:hAnsiTheme="majorBidi" w:cstheme="majorBidi"/>
        </w:rPr>
        <w:t xml:space="preserve">un </w:t>
      </w:r>
      <w:r w:rsidR="0004530F">
        <w:rPr>
          <w:rFonts w:asciiTheme="majorBidi" w:hAnsiTheme="majorBidi" w:cstheme="majorBidi"/>
        </w:rPr>
        <w:t>[pers. E]</w:t>
      </w:r>
      <w:r w:rsidR="004A3596">
        <w:rPr>
          <w:rFonts w:asciiTheme="majorBidi" w:hAnsiTheme="majorBidi" w:cstheme="majorBidi"/>
        </w:rPr>
        <w:t xml:space="preserve"> –</w:t>
      </w:r>
      <w:r w:rsidR="004A3596" w:rsidRPr="007B6F5A">
        <w:rPr>
          <w:rFonts w:asciiTheme="majorBidi" w:hAnsiTheme="majorBidi" w:cstheme="majorBidi"/>
        </w:rPr>
        <w:t>, kā arī, nepastāvot likumā paredzēt</w:t>
      </w:r>
      <w:r w:rsidR="00FA5B47">
        <w:rPr>
          <w:rFonts w:asciiTheme="majorBidi" w:hAnsiTheme="majorBidi" w:cstheme="majorBidi"/>
        </w:rPr>
        <w:t>aj</w:t>
      </w:r>
      <w:r w:rsidR="004A3596" w:rsidRPr="007B6F5A">
        <w:rPr>
          <w:rFonts w:asciiTheme="majorBidi" w:hAnsiTheme="majorBidi" w:cstheme="majorBidi"/>
        </w:rPr>
        <w:t xml:space="preserve">iem nosacījumiem, pret </w:t>
      </w:r>
      <w:r w:rsidR="0004530F">
        <w:rPr>
          <w:rFonts w:asciiTheme="majorBidi" w:hAnsiTheme="majorBidi" w:cstheme="majorBidi"/>
        </w:rPr>
        <w:t>[pers.</w:t>
      </w:r>
      <w:r w:rsidR="008301F4">
        <w:rPr>
          <w:rFonts w:asciiTheme="majorBidi" w:hAnsiTheme="majorBidi" w:cstheme="majorBidi"/>
        </w:rPr>
        <w:t> </w:t>
      </w:r>
      <w:r w:rsidR="0004530F">
        <w:rPr>
          <w:rFonts w:asciiTheme="majorBidi" w:hAnsiTheme="majorBidi" w:cstheme="majorBidi"/>
        </w:rPr>
        <w:t>D]</w:t>
      </w:r>
      <w:r w:rsidR="004A3596" w:rsidRPr="007B6F5A">
        <w:rPr>
          <w:rFonts w:asciiTheme="majorBidi" w:hAnsiTheme="majorBidi" w:cstheme="majorBidi"/>
        </w:rPr>
        <w:t xml:space="preserve"> pielietots fizisks spēks un speciālie līdzekļi (roku dzelž</w:t>
      </w:r>
      <w:r w:rsidR="004A3596">
        <w:rPr>
          <w:rFonts w:asciiTheme="majorBidi" w:hAnsiTheme="majorBidi" w:cstheme="majorBidi"/>
        </w:rPr>
        <w:t>i</w:t>
      </w:r>
      <w:r w:rsidR="004A3596" w:rsidRPr="007B6F5A">
        <w:rPr>
          <w:rFonts w:asciiTheme="majorBidi" w:hAnsiTheme="majorBidi" w:cstheme="majorBidi"/>
        </w:rPr>
        <w:t xml:space="preserve">). </w:t>
      </w:r>
      <w:r w:rsidR="004A3596">
        <w:rPr>
          <w:rFonts w:asciiTheme="majorBidi" w:hAnsiTheme="majorBidi" w:cstheme="majorBidi"/>
        </w:rPr>
        <w:t>Tāpat</w:t>
      </w:r>
      <w:r w:rsidR="004A3596" w:rsidRPr="007B6F5A">
        <w:rPr>
          <w:rFonts w:asciiTheme="majorBidi" w:hAnsiTheme="majorBidi" w:cstheme="majorBidi"/>
        </w:rPr>
        <w:t xml:space="preserve"> laikā līdz 2015. gada 17. novembrim apsūdzētie veica pasākumus, lai tiktu nelikumīgi</w:t>
      </w:r>
      <w:r w:rsidR="004A3596">
        <w:rPr>
          <w:rFonts w:asciiTheme="majorBidi" w:hAnsiTheme="majorBidi" w:cstheme="majorBidi"/>
        </w:rPr>
        <w:t xml:space="preserve"> turpināts</w:t>
      </w:r>
      <w:r w:rsidR="004A3596" w:rsidRPr="007B6F5A">
        <w:rPr>
          <w:rFonts w:asciiTheme="majorBidi" w:hAnsiTheme="majorBidi" w:cstheme="majorBidi"/>
        </w:rPr>
        <w:t xml:space="preserve"> uzsāktais kriminālprocess</w:t>
      </w:r>
      <w:r w:rsidR="004A3596">
        <w:rPr>
          <w:rFonts w:asciiTheme="majorBidi" w:hAnsiTheme="majorBidi" w:cstheme="majorBidi"/>
        </w:rPr>
        <w:t xml:space="preserve"> un</w:t>
      </w:r>
      <w:r w:rsidR="004A3596" w:rsidRPr="007B6F5A">
        <w:rPr>
          <w:rFonts w:asciiTheme="majorBidi" w:hAnsiTheme="majorBidi" w:cstheme="majorBidi"/>
        </w:rPr>
        <w:t xml:space="preserve"> </w:t>
      </w:r>
      <w:r w:rsidR="0004530F">
        <w:rPr>
          <w:rFonts w:asciiTheme="majorBidi" w:hAnsiTheme="majorBidi" w:cstheme="majorBidi"/>
        </w:rPr>
        <w:t>[pers.</w:t>
      </w:r>
      <w:r w:rsidR="008301F4">
        <w:rPr>
          <w:rFonts w:asciiTheme="majorBidi" w:hAnsiTheme="majorBidi" w:cstheme="majorBidi"/>
        </w:rPr>
        <w:t> </w:t>
      </w:r>
      <w:r w:rsidR="0004530F">
        <w:rPr>
          <w:rFonts w:asciiTheme="majorBidi" w:hAnsiTheme="majorBidi" w:cstheme="majorBidi"/>
        </w:rPr>
        <w:t>D]</w:t>
      </w:r>
      <w:r w:rsidR="004A3596" w:rsidRPr="007B6F5A">
        <w:rPr>
          <w:rFonts w:asciiTheme="majorBidi" w:hAnsiTheme="majorBidi" w:cstheme="majorBidi"/>
        </w:rPr>
        <w:t xml:space="preserve"> un </w:t>
      </w:r>
      <w:r w:rsidR="0004530F">
        <w:rPr>
          <w:rFonts w:asciiTheme="majorBidi" w:hAnsiTheme="majorBidi" w:cstheme="majorBidi"/>
        </w:rPr>
        <w:t>[pers. E]</w:t>
      </w:r>
      <w:r w:rsidR="004A3596" w:rsidRPr="007B6F5A">
        <w:rPr>
          <w:rFonts w:asciiTheme="majorBidi" w:hAnsiTheme="majorBidi" w:cstheme="majorBidi"/>
        </w:rPr>
        <w:t xml:space="preserve"> </w:t>
      </w:r>
      <w:r w:rsidR="004A3596" w:rsidRPr="007B6F5A">
        <w:rPr>
          <w:rFonts w:asciiTheme="majorBidi" w:hAnsiTheme="majorBidi" w:cstheme="majorBidi"/>
        </w:rPr>
        <w:lastRenderedPageBreak/>
        <w:t>tiktu</w:t>
      </w:r>
      <w:r w:rsidR="004A3596">
        <w:rPr>
          <w:rFonts w:asciiTheme="majorBidi" w:hAnsiTheme="majorBidi" w:cstheme="majorBidi"/>
        </w:rPr>
        <w:t xml:space="preserve"> nelikumīgi </w:t>
      </w:r>
      <w:r w:rsidR="004A3596" w:rsidRPr="007B6F5A">
        <w:rPr>
          <w:rFonts w:asciiTheme="majorBidi" w:hAnsiTheme="majorBidi" w:cstheme="majorBidi"/>
        </w:rPr>
        <w:t>sauktas pie kriminālatbildības.</w:t>
      </w:r>
    </w:p>
    <w:p w14:paraId="0087089D" w14:textId="77777777" w:rsidR="0027028D" w:rsidRDefault="004A3596" w:rsidP="0027028D">
      <w:pPr>
        <w:widowControl w:val="0"/>
        <w:spacing w:line="276" w:lineRule="auto"/>
        <w:ind w:firstLine="720"/>
        <w:jc w:val="both"/>
        <w:rPr>
          <w:rFonts w:asciiTheme="majorBidi" w:hAnsiTheme="majorBidi" w:cstheme="majorBidi"/>
        </w:rPr>
      </w:pPr>
      <w:r>
        <w:rPr>
          <w:rFonts w:asciiTheme="majorBidi" w:hAnsiTheme="majorBidi" w:cstheme="majorBidi"/>
        </w:rPr>
        <w:t xml:space="preserve">Saskaņā ar celto apsūdzību ar šādām </w:t>
      </w:r>
      <w:r w:rsidRPr="007B6F5A">
        <w:rPr>
          <w:rFonts w:asciiTheme="majorBidi" w:hAnsiTheme="majorBidi" w:cstheme="majorBidi"/>
        </w:rPr>
        <w:t>darbīb</w:t>
      </w:r>
      <w:r>
        <w:rPr>
          <w:rFonts w:asciiTheme="majorBidi" w:hAnsiTheme="majorBidi" w:cstheme="majorBidi"/>
        </w:rPr>
        <w:t>ām apsūdzētie</w:t>
      </w:r>
      <w:r w:rsidRPr="007B6F5A">
        <w:rPr>
          <w:rFonts w:asciiTheme="majorBidi" w:hAnsiTheme="majorBidi" w:cstheme="majorBidi"/>
        </w:rPr>
        <w:t xml:space="preserve"> acīmredzami pārsniedza valsts amatpersonai ar likumu un uzliktu uzdevumu piešķirto tiesību un pilnvaru robežas, radīja būtisku kaitējumu valsts varai, pārvaldības kārtībai un ar likumu aizsargātām personu interesēm.</w:t>
      </w:r>
    </w:p>
    <w:p w14:paraId="3B8C008A" w14:textId="77777777" w:rsidR="0027028D" w:rsidRDefault="0027028D">
      <w:pPr>
        <w:widowControl w:val="0"/>
        <w:spacing w:line="276" w:lineRule="auto"/>
        <w:jc w:val="both"/>
        <w:rPr>
          <w:rFonts w:asciiTheme="majorBidi" w:hAnsiTheme="majorBidi" w:cstheme="majorBidi"/>
        </w:rPr>
      </w:pPr>
    </w:p>
    <w:p w14:paraId="7CC56E5A" w14:textId="094297CD" w:rsidR="00347BE1" w:rsidRPr="00347BE1" w:rsidRDefault="00642A86" w:rsidP="00DB4389">
      <w:pPr>
        <w:widowControl w:val="0"/>
        <w:spacing w:line="276" w:lineRule="auto"/>
        <w:ind w:firstLine="720"/>
        <w:jc w:val="both"/>
        <w:rPr>
          <w:rFonts w:asciiTheme="majorBidi" w:hAnsiTheme="majorBidi" w:cstheme="majorBidi"/>
          <w:b/>
          <w:bCs/>
        </w:rPr>
      </w:pPr>
      <w:r w:rsidRPr="00FA11B9">
        <w:rPr>
          <w:rFonts w:asciiTheme="majorBidi" w:hAnsiTheme="majorBidi" w:cstheme="majorBidi"/>
        </w:rPr>
        <w:t>[3] </w:t>
      </w:r>
      <w:r w:rsidR="00D375EA">
        <w:rPr>
          <w:rFonts w:asciiTheme="majorBidi" w:hAnsiTheme="majorBidi" w:cstheme="majorBidi"/>
        </w:rPr>
        <w:t>A</w:t>
      </w:r>
      <w:r w:rsidR="00D375EA" w:rsidRPr="00347BE1">
        <w:rPr>
          <w:rFonts w:asciiTheme="majorBidi" w:hAnsiTheme="majorBidi" w:cstheme="majorBidi"/>
        </w:rPr>
        <w:t>r Latgales apgabaltiesas 2024.</w:t>
      </w:r>
      <w:r w:rsidR="00D375EA">
        <w:rPr>
          <w:rFonts w:asciiTheme="majorBidi" w:hAnsiTheme="majorBidi" w:cstheme="majorBidi"/>
        </w:rPr>
        <w:t> </w:t>
      </w:r>
      <w:r w:rsidR="00D375EA" w:rsidRPr="00347BE1">
        <w:rPr>
          <w:rFonts w:asciiTheme="majorBidi" w:hAnsiTheme="majorBidi" w:cstheme="majorBidi"/>
        </w:rPr>
        <w:t>gada 4.</w:t>
      </w:r>
      <w:r w:rsidR="00D375EA">
        <w:rPr>
          <w:rFonts w:asciiTheme="majorBidi" w:hAnsiTheme="majorBidi" w:cstheme="majorBidi"/>
        </w:rPr>
        <w:t> </w:t>
      </w:r>
      <w:r w:rsidR="00D375EA" w:rsidRPr="00347BE1">
        <w:rPr>
          <w:rFonts w:asciiTheme="majorBidi" w:hAnsiTheme="majorBidi" w:cstheme="majorBidi"/>
        </w:rPr>
        <w:t>aprīļa lēmumu</w:t>
      </w:r>
      <w:r w:rsidR="00D375EA">
        <w:rPr>
          <w:rFonts w:asciiTheme="majorBidi" w:hAnsiTheme="majorBidi" w:cstheme="majorBidi"/>
        </w:rPr>
        <w:t>, iztiesājot lietu</w:t>
      </w:r>
      <w:r w:rsidR="00347BE1" w:rsidRPr="00920804">
        <w:rPr>
          <w:rFonts w:asciiTheme="majorBidi" w:hAnsiTheme="majorBidi" w:cstheme="majorBidi"/>
        </w:rPr>
        <w:t xml:space="preserve"> apelācijas kārtībā</w:t>
      </w:r>
      <w:r w:rsidR="00347BE1" w:rsidRPr="00347BE1">
        <w:rPr>
          <w:rFonts w:asciiTheme="majorBidi" w:hAnsiTheme="majorBidi" w:cstheme="majorBidi"/>
        </w:rPr>
        <w:t xml:space="preserve"> s</w:t>
      </w:r>
      <w:r w:rsidR="00347BE1">
        <w:rPr>
          <w:rFonts w:asciiTheme="majorBidi" w:hAnsiTheme="majorBidi" w:cstheme="majorBidi"/>
        </w:rPr>
        <w:t>akarā</w:t>
      </w:r>
      <w:r w:rsidR="00347BE1" w:rsidRPr="00347BE1">
        <w:rPr>
          <w:rFonts w:asciiTheme="majorBidi" w:hAnsiTheme="majorBidi" w:cstheme="majorBidi"/>
        </w:rPr>
        <w:t xml:space="preserve"> ar R</w:t>
      </w:r>
      <w:r w:rsidR="00347BE1" w:rsidRPr="00347BE1">
        <w:rPr>
          <w:rFonts w:asciiTheme="majorBidi" w:hAnsiTheme="majorBidi" w:cstheme="majorBidi" w:hint="eastAsia"/>
        </w:rPr>
        <w:t>ī</w:t>
      </w:r>
      <w:r w:rsidR="00347BE1" w:rsidRPr="00347BE1">
        <w:rPr>
          <w:rFonts w:asciiTheme="majorBidi" w:hAnsiTheme="majorBidi" w:cstheme="majorBidi"/>
        </w:rPr>
        <w:t>gas tiesas apgabala prokurat</w:t>
      </w:r>
      <w:r w:rsidR="00347BE1" w:rsidRPr="00347BE1">
        <w:rPr>
          <w:rFonts w:asciiTheme="majorBidi" w:hAnsiTheme="majorBidi" w:cstheme="majorBidi" w:hint="eastAsia"/>
        </w:rPr>
        <w:t>ū</w:t>
      </w:r>
      <w:r w:rsidR="00347BE1" w:rsidRPr="00347BE1">
        <w:rPr>
          <w:rFonts w:asciiTheme="majorBidi" w:hAnsiTheme="majorBidi" w:cstheme="majorBidi"/>
        </w:rPr>
        <w:t>ras prokurora J</w:t>
      </w:r>
      <w:r w:rsidR="00E62673">
        <w:rPr>
          <w:rFonts w:asciiTheme="majorBidi" w:hAnsiTheme="majorBidi" w:cstheme="majorBidi"/>
        </w:rPr>
        <w:t>. </w:t>
      </w:r>
      <w:r w:rsidR="00347BE1" w:rsidRPr="00347BE1">
        <w:rPr>
          <w:rFonts w:asciiTheme="majorBidi" w:hAnsiTheme="majorBidi" w:cstheme="majorBidi"/>
        </w:rPr>
        <w:t>Bauma</w:t>
      </w:r>
      <w:r w:rsidR="00347BE1" w:rsidRPr="00347BE1">
        <w:rPr>
          <w:rFonts w:asciiTheme="majorBidi" w:hAnsiTheme="majorBidi" w:cstheme="majorBidi" w:hint="eastAsia"/>
        </w:rPr>
        <w:t>ņ</w:t>
      </w:r>
      <w:r w:rsidR="00347BE1" w:rsidRPr="00347BE1">
        <w:rPr>
          <w:rFonts w:asciiTheme="majorBidi" w:hAnsiTheme="majorBidi" w:cstheme="majorBidi"/>
        </w:rPr>
        <w:t>a apel</w:t>
      </w:r>
      <w:r w:rsidR="00347BE1" w:rsidRPr="00347BE1">
        <w:rPr>
          <w:rFonts w:asciiTheme="majorBidi" w:hAnsiTheme="majorBidi" w:cstheme="majorBidi" w:hint="eastAsia"/>
        </w:rPr>
        <w:t>ā</w:t>
      </w:r>
      <w:r w:rsidR="00347BE1" w:rsidRPr="00347BE1">
        <w:rPr>
          <w:rFonts w:asciiTheme="majorBidi" w:hAnsiTheme="majorBidi" w:cstheme="majorBidi"/>
        </w:rPr>
        <w:t>cijas protestu un cietu</w:t>
      </w:r>
      <w:r w:rsidR="00347BE1" w:rsidRPr="00347BE1">
        <w:rPr>
          <w:rFonts w:asciiTheme="majorBidi" w:hAnsiTheme="majorBidi" w:cstheme="majorBidi" w:hint="eastAsia"/>
        </w:rPr>
        <w:t>šā</w:t>
      </w:r>
      <w:r w:rsidR="00347BE1" w:rsidRPr="00347BE1">
        <w:rPr>
          <w:rFonts w:asciiTheme="majorBidi" w:hAnsiTheme="majorBidi" w:cstheme="majorBidi"/>
        </w:rPr>
        <w:t xml:space="preserve">s </w:t>
      </w:r>
      <w:r w:rsidR="00DB4389">
        <w:rPr>
          <w:rFonts w:asciiTheme="majorBidi" w:hAnsiTheme="majorBidi" w:cstheme="majorBidi"/>
        </w:rPr>
        <w:t>[pers.</w:t>
      </w:r>
      <w:r w:rsidR="008301F4">
        <w:rPr>
          <w:rFonts w:asciiTheme="majorBidi" w:hAnsiTheme="majorBidi" w:cstheme="majorBidi"/>
        </w:rPr>
        <w:t> </w:t>
      </w:r>
      <w:r w:rsidR="00DB4389">
        <w:rPr>
          <w:rFonts w:asciiTheme="majorBidi" w:hAnsiTheme="majorBidi" w:cstheme="majorBidi"/>
        </w:rPr>
        <w:t>D]</w:t>
      </w:r>
      <w:r w:rsidR="00347BE1" w:rsidRPr="00347BE1">
        <w:rPr>
          <w:rFonts w:asciiTheme="majorBidi" w:hAnsiTheme="majorBidi" w:cstheme="majorBidi"/>
        </w:rPr>
        <w:t xml:space="preserve"> apel</w:t>
      </w:r>
      <w:r w:rsidR="00347BE1" w:rsidRPr="00347BE1">
        <w:rPr>
          <w:rFonts w:asciiTheme="majorBidi" w:hAnsiTheme="majorBidi" w:cstheme="majorBidi" w:hint="eastAsia"/>
        </w:rPr>
        <w:t>ā</w:t>
      </w:r>
      <w:r w:rsidR="00347BE1" w:rsidRPr="00347BE1">
        <w:rPr>
          <w:rFonts w:asciiTheme="majorBidi" w:hAnsiTheme="majorBidi" w:cstheme="majorBidi"/>
        </w:rPr>
        <w:t>cijas s</w:t>
      </w:r>
      <w:r w:rsidR="00347BE1" w:rsidRPr="00347BE1">
        <w:rPr>
          <w:rFonts w:asciiTheme="majorBidi" w:hAnsiTheme="majorBidi" w:cstheme="majorBidi" w:hint="eastAsia"/>
        </w:rPr>
        <w:t>ū</w:t>
      </w:r>
      <w:r w:rsidR="00347BE1" w:rsidRPr="00347BE1">
        <w:rPr>
          <w:rFonts w:asciiTheme="majorBidi" w:hAnsiTheme="majorBidi" w:cstheme="majorBidi"/>
        </w:rPr>
        <w:t>dz</w:t>
      </w:r>
      <w:r w:rsidR="00347BE1" w:rsidRPr="00347BE1">
        <w:rPr>
          <w:rFonts w:asciiTheme="majorBidi" w:hAnsiTheme="majorBidi" w:cstheme="majorBidi" w:hint="eastAsia"/>
        </w:rPr>
        <w:t>ī</w:t>
      </w:r>
      <w:r w:rsidR="00347BE1" w:rsidRPr="00347BE1">
        <w:rPr>
          <w:rFonts w:asciiTheme="majorBidi" w:hAnsiTheme="majorBidi" w:cstheme="majorBidi"/>
        </w:rPr>
        <w:t>bu, Rīgas rajona tiesas 2023.</w:t>
      </w:r>
      <w:r w:rsidR="002E28DF">
        <w:rPr>
          <w:rFonts w:asciiTheme="majorBidi" w:hAnsiTheme="majorBidi" w:cstheme="majorBidi"/>
        </w:rPr>
        <w:t> </w:t>
      </w:r>
      <w:r w:rsidR="00347BE1" w:rsidRPr="00347BE1">
        <w:rPr>
          <w:rFonts w:asciiTheme="majorBidi" w:hAnsiTheme="majorBidi" w:cstheme="majorBidi"/>
        </w:rPr>
        <w:t>gada 16.</w:t>
      </w:r>
      <w:r w:rsidR="002E28DF">
        <w:rPr>
          <w:rFonts w:asciiTheme="majorBidi" w:hAnsiTheme="majorBidi" w:cstheme="majorBidi"/>
        </w:rPr>
        <w:t> </w:t>
      </w:r>
      <w:r w:rsidR="00347BE1" w:rsidRPr="00347BE1">
        <w:rPr>
          <w:rFonts w:asciiTheme="majorBidi" w:hAnsiTheme="majorBidi" w:cstheme="majorBidi"/>
        </w:rPr>
        <w:t>janvāra spriedums atstāts negrozīts.</w:t>
      </w:r>
    </w:p>
    <w:p w14:paraId="5FCF552F" w14:textId="429D6BFE" w:rsidR="00347BE1" w:rsidRDefault="00D375EA" w:rsidP="00D10AD6">
      <w:pPr>
        <w:widowControl w:val="0"/>
        <w:spacing w:line="276" w:lineRule="auto"/>
        <w:ind w:firstLine="720"/>
        <w:jc w:val="both"/>
        <w:rPr>
          <w:rFonts w:asciiTheme="majorBidi" w:hAnsiTheme="majorBidi" w:cstheme="majorBidi"/>
        </w:rPr>
      </w:pPr>
      <w:r>
        <w:rPr>
          <w:rFonts w:asciiTheme="majorBidi" w:hAnsiTheme="majorBidi" w:cstheme="majorBidi"/>
        </w:rPr>
        <w:t xml:space="preserve">Ar </w:t>
      </w:r>
      <w:r w:rsidR="00347BE1">
        <w:rPr>
          <w:rFonts w:asciiTheme="majorBidi" w:hAnsiTheme="majorBidi" w:cstheme="majorBidi"/>
        </w:rPr>
        <w:t>Latgales apgabaltiesa</w:t>
      </w:r>
      <w:r>
        <w:rPr>
          <w:rFonts w:asciiTheme="majorBidi" w:hAnsiTheme="majorBidi" w:cstheme="majorBidi"/>
        </w:rPr>
        <w:t>s</w:t>
      </w:r>
      <w:r w:rsidR="00347BE1" w:rsidRPr="00347BE1">
        <w:rPr>
          <w:rFonts w:asciiTheme="majorBidi" w:hAnsiTheme="majorBidi" w:cstheme="majorBidi"/>
        </w:rPr>
        <w:t xml:space="preserve"> </w:t>
      </w:r>
      <w:r w:rsidRPr="00347BE1">
        <w:rPr>
          <w:rFonts w:asciiTheme="majorBidi" w:hAnsiTheme="majorBidi" w:cstheme="majorBidi"/>
        </w:rPr>
        <w:t>2024.</w:t>
      </w:r>
      <w:r>
        <w:rPr>
          <w:rFonts w:asciiTheme="majorBidi" w:hAnsiTheme="majorBidi" w:cstheme="majorBidi"/>
        </w:rPr>
        <w:t> </w:t>
      </w:r>
      <w:r w:rsidRPr="00347BE1">
        <w:rPr>
          <w:rFonts w:asciiTheme="majorBidi" w:hAnsiTheme="majorBidi" w:cstheme="majorBidi"/>
        </w:rPr>
        <w:t>gada 4.</w:t>
      </w:r>
      <w:r>
        <w:rPr>
          <w:rFonts w:asciiTheme="majorBidi" w:hAnsiTheme="majorBidi" w:cstheme="majorBidi"/>
        </w:rPr>
        <w:t> </w:t>
      </w:r>
      <w:r w:rsidRPr="00347BE1">
        <w:rPr>
          <w:rFonts w:asciiTheme="majorBidi" w:hAnsiTheme="majorBidi" w:cstheme="majorBidi"/>
        </w:rPr>
        <w:t xml:space="preserve">aprīļa </w:t>
      </w:r>
      <w:r>
        <w:rPr>
          <w:rFonts w:asciiTheme="majorBidi" w:hAnsiTheme="majorBidi" w:cstheme="majorBidi"/>
        </w:rPr>
        <w:t xml:space="preserve">blakus </w:t>
      </w:r>
      <w:r w:rsidRPr="00347BE1">
        <w:rPr>
          <w:rFonts w:asciiTheme="majorBidi" w:hAnsiTheme="majorBidi" w:cstheme="majorBidi"/>
        </w:rPr>
        <w:t>lēmumu</w:t>
      </w:r>
      <w:r w:rsidRPr="00347BE1" w:rsidDel="00D375EA">
        <w:rPr>
          <w:rFonts w:asciiTheme="majorBidi" w:hAnsiTheme="majorBidi" w:cstheme="majorBidi"/>
        </w:rPr>
        <w:t xml:space="preserve"> </w:t>
      </w:r>
      <w:r w:rsidR="00347BE1">
        <w:rPr>
          <w:rFonts w:asciiTheme="majorBidi" w:hAnsiTheme="majorBidi" w:cstheme="majorBidi"/>
        </w:rPr>
        <w:t xml:space="preserve">nolemts </w:t>
      </w:r>
      <w:r w:rsidR="00347BE1" w:rsidRPr="00347BE1">
        <w:rPr>
          <w:rFonts w:asciiTheme="majorBidi" w:hAnsiTheme="majorBidi" w:cstheme="majorBidi"/>
        </w:rPr>
        <w:t>inform</w:t>
      </w:r>
      <w:r w:rsidR="00347BE1" w:rsidRPr="00347BE1">
        <w:rPr>
          <w:rFonts w:asciiTheme="majorBidi" w:hAnsiTheme="majorBidi" w:cstheme="majorBidi" w:hint="eastAsia"/>
        </w:rPr>
        <w:t>ē</w:t>
      </w:r>
      <w:r w:rsidR="00347BE1" w:rsidRPr="00347BE1">
        <w:rPr>
          <w:rFonts w:asciiTheme="majorBidi" w:hAnsiTheme="majorBidi" w:cstheme="majorBidi"/>
        </w:rPr>
        <w:t xml:space="preserve">t </w:t>
      </w:r>
      <w:r w:rsidR="00347BE1" w:rsidRPr="00347BE1">
        <w:rPr>
          <w:rFonts w:asciiTheme="majorBidi" w:hAnsiTheme="majorBidi" w:cstheme="majorBidi" w:hint="eastAsia"/>
        </w:rPr>
        <w:t>Ģ</w:t>
      </w:r>
      <w:r w:rsidR="00347BE1" w:rsidRPr="00347BE1">
        <w:rPr>
          <w:rFonts w:asciiTheme="majorBidi" w:hAnsiTheme="majorBidi" w:cstheme="majorBidi"/>
        </w:rPr>
        <w:t>ener</w:t>
      </w:r>
      <w:r w:rsidR="00347BE1" w:rsidRPr="00347BE1">
        <w:rPr>
          <w:rFonts w:asciiTheme="majorBidi" w:hAnsiTheme="majorBidi" w:cstheme="majorBidi" w:hint="eastAsia"/>
        </w:rPr>
        <w:t>ā</w:t>
      </w:r>
      <w:r w:rsidR="00347BE1" w:rsidRPr="00347BE1">
        <w:rPr>
          <w:rFonts w:asciiTheme="majorBidi" w:hAnsiTheme="majorBidi" w:cstheme="majorBidi"/>
        </w:rPr>
        <w:t>lprokurat</w:t>
      </w:r>
      <w:r w:rsidR="00347BE1" w:rsidRPr="00347BE1">
        <w:rPr>
          <w:rFonts w:asciiTheme="majorBidi" w:hAnsiTheme="majorBidi" w:cstheme="majorBidi" w:hint="eastAsia"/>
        </w:rPr>
        <w:t>ū</w:t>
      </w:r>
      <w:r w:rsidR="00347BE1" w:rsidRPr="00347BE1">
        <w:rPr>
          <w:rFonts w:asciiTheme="majorBidi" w:hAnsiTheme="majorBidi" w:cstheme="majorBidi"/>
        </w:rPr>
        <w:t>ru un R</w:t>
      </w:r>
      <w:r w:rsidR="00347BE1" w:rsidRPr="00347BE1">
        <w:rPr>
          <w:rFonts w:asciiTheme="majorBidi" w:hAnsiTheme="majorBidi" w:cstheme="majorBidi" w:hint="eastAsia"/>
        </w:rPr>
        <w:t>ī</w:t>
      </w:r>
      <w:r w:rsidR="00347BE1" w:rsidRPr="00347BE1">
        <w:rPr>
          <w:rFonts w:asciiTheme="majorBidi" w:hAnsiTheme="majorBidi" w:cstheme="majorBidi"/>
        </w:rPr>
        <w:t>gas tiesas apgabala prokurat</w:t>
      </w:r>
      <w:r w:rsidR="00347BE1" w:rsidRPr="00347BE1">
        <w:rPr>
          <w:rFonts w:asciiTheme="majorBidi" w:hAnsiTheme="majorBidi" w:cstheme="majorBidi" w:hint="eastAsia"/>
        </w:rPr>
        <w:t>ū</w:t>
      </w:r>
      <w:r w:rsidR="00347BE1" w:rsidRPr="00347BE1">
        <w:rPr>
          <w:rFonts w:asciiTheme="majorBidi" w:hAnsiTheme="majorBidi" w:cstheme="majorBidi"/>
        </w:rPr>
        <w:t xml:space="preserve">ru par </w:t>
      </w:r>
      <w:r>
        <w:rPr>
          <w:rFonts w:asciiTheme="majorBidi" w:hAnsiTheme="majorBidi" w:cstheme="majorBidi"/>
        </w:rPr>
        <w:t xml:space="preserve">pirmstiesas kriminālprocesā </w:t>
      </w:r>
      <w:r w:rsidRPr="00347BE1">
        <w:rPr>
          <w:rFonts w:asciiTheme="majorBidi" w:hAnsiTheme="majorBidi" w:cstheme="majorBidi"/>
        </w:rPr>
        <w:t>R</w:t>
      </w:r>
      <w:r w:rsidRPr="00347BE1">
        <w:rPr>
          <w:rFonts w:asciiTheme="majorBidi" w:hAnsiTheme="majorBidi" w:cstheme="majorBidi" w:hint="eastAsia"/>
        </w:rPr>
        <w:t>ī</w:t>
      </w:r>
      <w:r w:rsidRPr="00347BE1">
        <w:rPr>
          <w:rFonts w:asciiTheme="majorBidi" w:hAnsiTheme="majorBidi" w:cstheme="majorBidi"/>
        </w:rPr>
        <w:t>gas tiesas apgabala</w:t>
      </w:r>
      <w:r>
        <w:rPr>
          <w:rFonts w:asciiTheme="majorBidi" w:hAnsiTheme="majorBidi" w:cstheme="majorBidi"/>
        </w:rPr>
        <w:t xml:space="preserve"> </w:t>
      </w:r>
      <w:r w:rsidRPr="00347BE1">
        <w:rPr>
          <w:rFonts w:asciiTheme="majorBidi" w:hAnsiTheme="majorBidi" w:cstheme="majorBidi"/>
        </w:rPr>
        <w:t>prokurat</w:t>
      </w:r>
      <w:r w:rsidRPr="00347BE1">
        <w:rPr>
          <w:rFonts w:asciiTheme="majorBidi" w:hAnsiTheme="majorBidi" w:cstheme="majorBidi" w:hint="eastAsia"/>
        </w:rPr>
        <w:t>ū</w:t>
      </w:r>
      <w:r w:rsidRPr="00347BE1">
        <w:rPr>
          <w:rFonts w:asciiTheme="majorBidi" w:hAnsiTheme="majorBidi" w:cstheme="majorBidi"/>
        </w:rPr>
        <w:t>ras prokuror</w:t>
      </w:r>
      <w:r>
        <w:rPr>
          <w:rFonts w:asciiTheme="majorBidi" w:hAnsiTheme="majorBidi" w:cstheme="majorBidi"/>
        </w:rPr>
        <w:t>a</w:t>
      </w:r>
      <w:r w:rsidRPr="00347BE1">
        <w:rPr>
          <w:rFonts w:asciiTheme="majorBidi" w:hAnsiTheme="majorBidi" w:cstheme="majorBidi"/>
        </w:rPr>
        <w:t xml:space="preserve"> Vadim</w:t>
      </w:r>
      <w:r>
        <w:rPr>
          <w:rFonts w:asciiTheme="majorBidi" w:hAnsiTheme="majorBidi" w:cstheme="majorBidi"/>
        </w:rPr>
        <w:t>a</w:t>
      </w:r>
      <w:r w:rsidRPr="00347BE1">
        <w:rPr>
          <w:rFonts w:asciiTheme="majorBidi" w:hAnsiTheme="majorBidi" w:cstheme="majorBidi"/>
        </w:rPr>
        <w:t xml:space="preserve"> I</w:t>
      </w:r>
      <w:r w:rsidRPr="00347BE1">
        <w:rPr>
          <w:rFonts w:asciiTheme="majorBidi" w:hAnsiTheme="majorBidi" w:cstheme="majorBidi" w:hint="eastAsia"/>
        </w:rPr>
        <w:t>ļ</w:t>
      </w:r>
      <w:r w:rsidRPr="00347BE1">
        <w:rPr>
          <w:rFonts w:asciiTheme="majorBidi" w:hAnsiTheme="majorBidi" w:cstheme="majorBidi"/>
        </w:rPr>
        <w:t>asov</w:t>
      </w:r>
      <w:r>
        <w:rPr>
          <w:rFonts w:asciiTheme="majorBidi" w:hAnsiTheme="majorBidi" w:cstheme="majorBidi"/>
        </w:rPr>
        <w:t xml:space="preserve">a un iztiesāšanā </w:t>
      </w:r>
      <w:r w:rsidR="00681271" w:rsidRPr="00347BE1">
        <w:rPr>
          <w:rFonts w:asciiTheme="majorBidi" w:hAnsiTheme="majorBidi" w:cstheme="majorBidi"/>
        </w:rPr>
        <w:t>R</w:t>
      </w:r>
      <w:r w:rsidR="00681271" w:rsidRPr="00347BE1">
        <w:rPr>
          <w:rFonts w:asciiTheme="majorBidi" w:hAnsiTheme="majorBidi" w:cstheme="majorBidi" w:hint="eastAsia"/>
        </w:rPr>
        <w:t>ī</w:t>
      </w:r>
      <w:r w:rsidR="00681271" w:rsidRPr="00347BE1">
        <w:rPr>
          <w:rFonts w:asciiTheme="majorBidi" w:hAnsiTheme="majorBidi" w:cstheme="majorBidi"/>
        </w:rPr>
        <w:t>gas tiesas apga</w:t>
      </w:r>
      <w:r w:rsidR="00681271">
        <w:rPr>
          <w:rFonts w:asciiTheme="majorBidi" w:hAnsiTheme="majorBidi" w:cstheme="majorBidi"/>
        </w:rPr>
        <w:t>b</w:t>
      </w:r>
      <w:r w:rsidR="00681271" w:rsidRPr="00347BE1">
        <w:rPr>
          <w:rFonts w:asciiTheme="majorBidi" w:hAnsiTheme="majorBidi" w:cstheme="majorBidi"/>
        </w:rPr>
        <w:t>ala</w:t>
      </w:r>
      <w:r w:rsidR="00681271">
        <w:rPr>
          <w:rFonts w:asciiTheme="majorBidi" w:hAnsiTheme="majorBidi" w:cstheme="majorBidi"/>
        </w:rPr>
        <w:t xml:space="preserve"> </w:t>
      </w:r>
      <w:r w:rsidR="00681271" w:rsidRPr="00347BE1">
        <w:rPr>
          <w:rFonts w:asciiTheme="majorBidi" w:hAnsiTheme="majorBidi" w:cstheme="majorBidi"/>
        </w:rPr>
        <w:t>prokurat</w:t>
      </w:r>
      <w:r w:rsidR="00681271" w:rsidRPr="00347BE1">
        <w:rPr>
          <w:rFonts w:asciiTheme="majorBidi" w:hAnsiTheme="majorBidi" w:cstheme="majorBidi" w:hint="eastAsia"/>
        </w:rPr>
        <w:t>ū</w:t>
      </w:r>
      <w:r w:rsidR="00681271" w:rsidRPr="00347BE1">
        <w:rPr>
          <w:rFonts w:asciiTheme="majorBidi" w:hAnsiTheme="majorBidi" w:cstheme="majorBidi"/>
        </w:rPr>
        <w:t>ras prokuror</w:t>
      </w:r>
      <w:r w:rsidR="00681271">
        <w:rPr>
          <w:rFonts w:asciiTheme="majorBidi" w:hAnsiTheme="majorBidi" w:cstheme="majorBidi"/>
        </w:rPr>
        <w:t>a</w:t>
      </w:r>
      <w:r w:rsidR="00681271" w:rsidRPr="00347BE1">
        <w:rPr>
          <w:rFonts w:asciiTheme="majorBidi" w:hAnsiTheme="majorBidi" w:cstheme="majorBidi"/>
        </w:rPr>
        <w:t xml:space="preserve"> J</w:t>
      </w:r>
      <w:r w:rsidR="00681271">
        <w:rPr>
          <w:rFonts w:asciiTheme="majorBidi" w:hAnsiTheme="majorBidi" w:cstheme="majorBidi"/>
        </w:rPr>
        <w:t>. </w:t>
      </w:r>
      <w:r w:rsidR="00681271" w:rsidRPr="00347BE1">
        <w:rPr>
          <w:rFonts w:asciiTheme="majorBidi" w:hAnsiTheme="majorBidi" w:cstheme="majorBidi"/>
        </w:rPr>
        <w:t>Bauma</w:t>
      </w:r>
      <w:r w:rsidR="00681271">
        <w:rPr>
          <w:rFonts w:asciiTheme="majorBidi" w:hAnsiTheme="majorBidi" w:cstheme="majorBidi"/>
        </w:rPr>
        <w:t>ņa pieļautajiem</w:t>
      </w:r>
      <w:r w:rsidR="00347BE1" w:rsidRPr="00347BE1">
        <w:rPr>
          <w:rFonts w:asciiTheme="majorBidi" w:hAnsiTheme="majorBidi" w:cstheme="majorBidi"/>
        </w:rPr>
        <w:t xml:space="preserve"> ties</w:t>
      </w:r>
      <w:r w:rsidR="00347BE1" w:rsidRPr="00347BE1">
        <w:rPr>
          <w:rFonts w:asciiTheme="majorBidi" w:hAnsiTheme="majorBidi" w:cstheme="majorBidi" w:hint="eastAsia"/>
        </w:rPr>
        <w:t>ī</w:t>
      </w:r>
      <w:r w:rsidR="00347BE1" w:rsidRPr="00347BE1">
        <w:rPr>
          <w:rFonts w:asciiTheme="majorBidi" w:hAnsiTheme="majorBidi" w:cstheme="majorBidi"/>
        </w:rPr>
        <w:t>bu normu p</w:t>
      </w:r>
      <w:r w:rsidR="00347BE1" w:rsidRPr="00347BE1">
        <w:rPr>
          <w:rFonts w:asciiTheme="majorBidi" w:hAnsiTheme="majorBidi" w:cstheme="majorBidi" w:hint="eastAsia"/>
        </w:rPr>
        <w:t>ā</w:t>
      </w:r>
      <w:r w:rsidR="00347BE1" w:rsidRPr="00347BE1">
        <w:rPr>
          <w:rFonts w:asciiTheme="majorBidi" w:hAnsiTheme="majorBidi" w:cstheme="majorBidi"/>
        </w:rPr>
        <w:t>rk</w:t>
      </w:r>
      <w:r w:rsidR="00347BE1" w:rsidRPr="00347BE1">
        <w:rPr>
          <w:rFonts w:asciiTheme="majorBidi" w:hAnsiTheme="majorBidi" w:cstheme="majorBidi" w:hint="eastAsia"/>
        </w:rPr>
        <w:t>ā</w:t>
      </w:r>
      <w:r w:rsidR="00347BE1" w:rsidRPr="00347BE1">
        <w:rPr>
          <w:rFonts w:asciiTheme="majorBidi" w:hAnsiTheme="majorBidi" w:cstheme="majorBidi"/>
        </w:rPr>
        <w:t>pumiem</w:t>
      </w:r>
      <w:r w:rsidR="00770751">
        <w:rPr>
          <w:rFonts w:asciiTheme="majorBidi" w:hAnsiTheme="majorBidi" w:cstheme="majorBidi"/>
        </w:rPr>
        <w:t>.</w:t>
      </w:r>
    </w:p>
    <w:p w14:paraId="46C7708B" w14:textId="77777777" w:rsidR="003B258A" w:rsidRDefault="003B258A" w:rsidP="00D10AD6">
      <w:pPr>
        <w:widowControl w:val="0"/>
        <w:spacing w:line="276" w:lineRule="auto"/>
        <w:ind w:firstLine="720"/>
        <w:jc w:val="both"/>
        <w:rPr>
          <w:rFonts w:asciiTheme="majorBidi" w:hAnsiTheme="majorBidi" w:cstheme="majorBidi"/>
        </w:rPr>
      </w:pPr>
    </w:p>
    <w:p w14:paraId="61998C5B" w14:textId="79D4C93F" w:rsidR="00544E7A" w:rsidRDefault="00770751" w:rsidP="00D10AD6">
      <w:pPr>
        <w:widowControl w:val="0"/>
        <w:spacing w:line="276" w:lineRule="auto"/>
        <w:ind w:firstLine="720"/>
        <w:jc w:val="both"/>
        <w:rPr>
          <w:rFonts w:asciiTheme="majorBidi" w:hAnsiTheme="majorBidi" w:cstheme="majorBidi"/>
        </w:rPr>
      </w:pPr>
      <w:r>
        <w:rPr>
          <w:rFonts w:asciiTheme="majorBidi" w:hAnsiTheme="majorBidi" w:cstheme="majorBidi"/>
        </w:rPr>
        <w:t>[</w:t>
      </w:r>
      <w:r w:rsidR="00681271">
        <w:rPr>
          <w:rFonts w:asciiTheme="majorBidi" w:hAnsiTheme="majorBidi" w:cstheme="majorBidi"/>
        </w:rPr>
        <w:t>4</w:t>
      </w:r>
      <w:r>
        <w:rPr>
          <w:rFonts w:asciiTheme="majorBidi" w:hAnsiTheme="majorBidi" w:cstheme="majorBidi"/>
        </w:rPr>
        <w:t>]</w:t>
      </w:r>
      <w:r w:rsidR="00681271">
        <w:rPr>
          <w:rFonts w:asciiTheme="majorBidi" w:hAnsiTheme="majorBidi" w:cstheme="majorBidi"/>
        </w:rPr>
        <w:t> </w:t>
      </w:r>
      <w:r>
        <w:rPr>
          <w:rFonts w:asciiTheme="majorBidi" w:hAnsiTheme="majorBidi" w:cstheme="majorBidi"/>
        </w:rPr>
        <w:t xml:space="preserve">Par </w:t>
      </w:r>
      <w:r w:rsidRPr="00347BE1">
        <w:rPr>
          <w:rFonts w:asciiTheme="majorBidi" w:hAnsiTheme="majorBidi" w:cstheme="majorBidi"/>
        </w:rPr>
        <w:t>Latgales apgabaltiesas 2024.</w:t>
      </w:r>
      <w:r w:rsidR="00681271">
        <w:rPr>
          <w:rFonts w:asciiTheme="majorBidi" w:hAnsiTheme="majorBidi" w:cstheme="majorBidi"/>
        </w:rPr>
        <w:t> </w:t>
      </w:r>
      <w:r w:rsidRPr="00347BE1">
        <w:rPr>
          <w:rFonts w:asciiTheme="majorBidi" w:hAnsiTheme="majorBidi" w:cstheme="majorBidi"/>
        </w:rPr>
        <w:t>gada 4.</w:t>
      </w:r>
      <w:r w:rsidR="00681271">
        <w:rPr>
          <w:rFonts w:asciiTheme="majorBidi" w:hAnsiTheme="majorBidi" w:cstheme="majorBidi"/>
        </w:rPr>
        <w:t> </w:t>
      </w:r>
      <w:r w:rsidRPr="00347BE1">
        <w:rPr>
          <w:rFonts w:asciiTheme="majorBidi" w:hAnsiTheme="majorBidi" w:cstheme="majorBidi"/>
        </w:rPr>
        <w:t>aprīļa lēmumu</w:t>
      </w:r>
      <w:r>
        <w:rPr>
          <w:rFonts w:asciiTheme="majorBidi" w:hAnsiTheme="majorBidi" w:cstheme="majorBidi"/>
        </w:rPr>
        <w:t xml:space="preserve"> un blakus lēmumu Rīgas tiesas apgabala prokuratūras prokurors J</w:t>
      </w:r>
      <w:r w:rsidR="00E62673">
        <w:rPr>
          <w:rFonts w:asciiTheme="majorBidi" w:hAnsiTheme="majorBidi" w:cstheme="majorBidi"/>
        </w:rPr>
        <w:t>. </w:t>
      </w:r>
      <w:r>
        <w:rPr>
          <w:rFonts w:asciiTheme="majorBidi" w:hAnsiTheme="majorBidi" w:cstheme="majorBidi"/>
        </w:rPr>
        <w:t>Baumanis</w:t>
      </w:r>
      <w:r w:rsidR="00681271" w:rsidRPr="00681271">
        <w:rPr>
          <w:rFonts w:asciiTheme="majorBidi" w:hAnsiTheme="majorBidi" w:cstheme="majorBidi"/>
        </w:rPr>
        <w:t xml:space="preserve"> </w:t>
      </w:r>
      <w:r w:rsidR="00681271">
        <w:rPr>
          <w:rFonts w:asciiTheme="majorBidi" w:hAnsiTheme="majorBidi" w:cstheme="majorBidi"/>
        </w:rPr>
        <w:t>iesniedzis kasācijas protestu, kurā lūdz</w:t>
      </w:r>
      <w:r w:rsidR="00544E7A" w:rsidRPr="00544E7A">
        <w:rPr>
          <w:rFonts w:asciiTheme="majorBidi" w:hAnsiTheme="majorBidi" w:cstheme="majorBidi"/>
        </w:rPr>
        <w:t xml:space="preserve"> atcelt apelācijas instances tiesas </w:t>
      </w:r>
      <w:r w:rsidR="00544E7A">
        <w:rPr>
          <w:rFonts w:asciiTheme="majorBidi" w:hAnsiTheme="majorBidi" w:cstheme="majorBidi"/>
        </w:rPr>
        <w:t>lēmumu</w:t>
      </w:r>
      <w:r w:rsidR="00544E7A" w:rsidRPr="00544E7A">
        <w:rPr>
          <w:rFonts w:asciiTheme="majorBidi" w:hAnsiTheme="majorBidi" w:cstheme="majorBidi"/>
        </w:rPr>
        <w:t xml:space="preserve"> un no</w:t>
      </w:r>
      <w:r w:rsidR="00544E7A">
        <w:rPr>
          <w:rFonts w:asciiTheme="majorBidi" w:hAnsiTheme="majorBidi" w:cstheme="majorBidi"/>
        </w:rPr>
        <w:t>sūtīt</w:t>
      </w:r>
      <w:r w:rsidR="00544E7A" w:rsidRPr="00544E7A">
        <w:rPr>
          <w:rFonts w:asciiTheme="majorBidi" w:hAnsiTheme="majorBidi" w:cstheme="majorBidi"/>
        </w:rPr>
        <w:t xml:space="preserve"> </w:t>
      </w:r>
      <w:r w:rsidR="00681271" w:rsidRPr="00544E7A">
        <w:rPr>
          <w:rFonts w:asciiTheme="majorBidi" w:hAnsiTheme="majorBidi" w:cstheme="majorBidi"/>
        </w:rPr>
        <w:t xml:space="preserve">lietu </w:t>
      </w:r>
      <w:r w:rsidR="00544E7A" w:rsidRPr="00544E7A">
        <w:rPr>
          <w:rFonts w:asciiTheme="majorBidi" w:hAnsiTheme="majorBidi" w:cstheme="majorBidi"/>
        </w:rPr>
        <w:t xml:space="preserve">jaunai izskatīšanai, </w:t>
      </w:r>
      <w:r w:rsidR="00681271">
        <w:rPr>
          <w:rFonts w:asciiTheme="majorBidi" w:hAnsiTheme="majorBidi" w:cstheme="majorBidi"/>
        </w:rPr>
        <w:t xml:space="preserve">kā arī </w:t>
      </w:r>
      <w:r w:rsidR="00544E7A" w:rsidRPr="00544E7A">
        <w:rPr>
          <w:rFonts w:asciiTheme="majorBidi" w:hAnsiTheme="majorBidi" w:cstheme="majorBidi"/>
        </w:rPr>
        <w:t xml:space="preserve">atcelt blakus lēmumu, </w:t>
      </w:r>
      <w:r w:rsidR="00681271">
        <w:rPr>
          <w:rFonts w:asciiTheme="majorBidi" w:hAnsiTheme="majorBidi" w:cstheme="majorBidi"/>
        </w:rPr>
        <w:t xml:space="preserve">tā vietā </w:t>
      </w:r>
      <w:r w:rsidR="00544E7A" w:rsidRPr="00544E7A">
        <w:rPr>
          <w:rFonts w:asciiTheme="majorBidi" w:hAnsiTheme="majorBidi" w:cstheme="majorBidi"/>
        </w:rPr>
        <w:t>pieņemot jaunu</w:t>
      </w:r>
      <w:r w:rsidR="00544E7A">
        <w:rPr>
          <w:rFonts w:asciiTheme="majorBidi" w:hAnsiTheme="majorBidi" w:cstheme="majorBidi"/>
        </w:rPr>
        <w:t>.</w:t>
      </w:r>
    </w:p>
    <w:p w14:paraId="236AFE86" w14:textId="7C5CFCE9" w:rsidR="00770751" w:rsidRPr="000D15C5" w:rsidRDefault="00681271" w:rsidP="00D10AD6">
      <w:pPr>
        <w:widowControl w:val="0"/>
        <w:spacing w:line="276" w:lineRule="auto"/>
        <w:ind w:firstLine="720"/>
        <w:jc w:val="both"/>
        <w:rPr>
          <w:rFonts w:asciiTheme="majorBidi" w:hAnsiTheme="majorBidi" w:cstheme="majorBidi"/>
        </w:rPr>
      </w:pPr>
      <w:r>
        <w:rPr>
          <w:rFonts w:asciiTheme="majorBidi" w:hAnsiTheme="majorBidi" w:cstheme="majorBidi"/>
        </w:rPr>
        <w:t>Savus lūgumus prokurors pamatojis</w:t>
      </w:r>
      <w:r w:rsidR="00770751" w:rsidRPr="000D15C5">
        <w:rPr>
          <w:rFonts w:asciiTheme="majorBidi" w:hAnsiTheme="majorBidi" w:cstheme="majorBidi"/>
        </w:rPr>
        <w:t xml:space="preserve"> ar šādiem argumentiem.</w:t>
      </w:r>
    </w:p>
    <w:p w14:paraId="4B158604" w14:textId="01ED7D5A" w:rsidR="001A3592" w:rsidRDefault="0046152F" w:rsidP="00DB4389">
      <w:pPr>
        <w:widowControl w:val="0"/>
        <w:spacing w:line="276" w:lineRule="auto"/>
        <w:ind w:firstLine="720"/>
        <w:jc w:val="both"/>
        <w:rPr>
          <w:rFonts w:asciiTheme="majorBidi" w:hAnsiTheme="majorBidi" w:cstheme="majorBidi"/>
        </w:rPr>
      </w:pPr>
      <w:bookmarkStart w:id="0" w:name="_Hlk203403214"/>
      <w:bookmarkStart w:id="1" w:name="_Hlk203470293"/>
      <w:bookmarkStart w:id="2" w:name="_Hlk205221707"/>
      <w:r>
        <w:rPr>
          <w:rFonts w:asciiTheme="majorBidi" w:hAnsiTheme="majorBidi" w:cstheme="majorBidi"/>
        </w:rPr>
        <w:t>[</w:t>
      </w:r>
      <w:r w:rsidR="00E5568E">
        <w:rPr>
          <w:rFonts w:asciiTheme="majorBidi" w:hAnsiTheme="majorBidi" w:cstheme="majorBidi"/>
        </w:rPr>
        <w:t>4</w:t>
      </w:r>
      <w:r>
        <w:rPr>
          <w:rFonts w:asciiTheme="majorBidi" w:hAnsiTheme="majorBidi" w:cstheme="majorBidi"/>
        </w:rPr>
        <w:t>.1]</w:t>
      </w:r>
      <w:r w:rsidR="00681271">
        <w:rPr>
          <w:rFonts w:asciiTheme="majorBidi" w:hAnsiTheme="majorBidi" w:cstheme="majorBidi"/>
        </w:rPr>
        <w:t> </w:t>
      </w:r>
      <w:r>
        <w:rPr>
          <w:rFonts w:asciiTheme="majorBidi" w:hAnsiTheme="majorBidi" w:cstheme="majorBidi"/>
        </w:rPr>
        <w:t>A</w:t>
      </w:r>
      <w:r w:rsidRPr="00C25DE0">
        <w:rPr>
          <w:rFonts w:asciiTheme="majorBidi" w:hAnsiTheme="majorBidi" w:cstheme="majorBidi"/>
        </w:rPr>
        <w:t xml:space="preserve">pelācijas </w:t>
      </w:r>
      <w:r w:rsidR="00681271">
        <w:rPr>
          <w:rFonts w:asciiTheme="majorBidi" w:hAnsiTheme="majorBidi" w:cstheme="majorBidi"/>
        </w:rPr>
        <w:t xml:space="preserve">instances tiesa pārkāpusi </w:t>
      </w:r>
      <w:r w:rsidR="00681271" w:rsidRPr="00C25DE0">
        <w:rPr>
          <w:rFonts w:asciiTheme="majorBidi" w:hAnsiTheme="majorBidi" w:cstheme="majorBidi"/>
        </w:rPr>
        <w:t>Krimināllikuma 23.</w:t>
      </w:r>
      <w:r w:rsidR="00681271">
        <w:rPr>
          <w:rFonts w:asciiTheme="majorBidi" w:hAnsiTheme="majorBidi" w:cstheme="majorBidi"/>
        </w:rPr>
        <w:t> </w:t>
      </w:r>
      <w:r w:rsidR="00681271" w:rsidRPr="00C25DE0">
        <w:rPr>
          <w:rFonts w:asciiTheme="majorBidi" w:hAnsiTheme="majorBidi" w:cstheme="majorBidi"/>
        </w:rPr>
        <w:t>panta pirmo daļu</w:t>
      </w:r>
      <w:r w:rsidR="00681271">
        <w:rPr>
          <w:rFonts w:asciiTheme="majorBidi" w:hAnsiTheme="majorBidi" w:cstheme="majorBidi"/>
        </w:rPr>
        <w:t>, jo pretēji</w:t>
      </w:r>
      <w:r w:rsidR="00681271" w:rsidRPr="00C25DE0">
        <w:rPr>
          <w:rFonts w:asciiTheme="majorBidi" w:hAnsiTheme="majorBidi" w:cstheme="majorBidi"/>
        </w:rPr>
        <w:t xml:space="preserve"> </w:t>
      </w:r>
      <w:r w:rsidR="00681271">
        <w:rPr>
          <w:rFonts w:asciiTheme="majorBidi" w:hAnsiTheme="majorBidi" w:cstheme="majorBidi"/>
        </w:rPr>
        <w:t xml:space="preserve">apelācijas </w:t>
      </w:r>
      <w:r w:rsidRPr="00C25DE0">
        <w:rPr>
          <w:rFonts w:asciiTheme="majorBidi" w:hAnsiTheme="majorBidi" w:cstheme="majorBidi"/>
        </w:rPr>
        <w:t xml:space="preserve">protestā </w:t>
      </w:r>
      <w:r w:rsidR="00681271">
        <w:rPr>
          <w:rFonts w:asciiTheme="majorBidi" w:hAnsiTheme="majorBidi" w:cstheme="majorBidi"/>
        </w:rPr>
        <w:t>norādītajam</w:t>
      </w:r>
      <w:r w:rsidRPr="00C25DE0">
        <w:rPr>
          <w:rFonts w:asciiTheme="majorBidi" w:hAnsiTheme="majorBidi" w:cstheme="majorBidi"/>
        </w:rPr>
        <w:t xml:space="preserve"> </w:t>
      </w:r>
      <w:r>
        <w:rPr>
          <w:rFonts w:asciiTheme="majorBidi" w:hAnsiTheme="majorBidi" w:cstheme="majorBidi"/>
        </w:rPr>
        <w:t xml:space="preserve">apsūdzētajiem </w:t>
      </w:r>
      <w:r w:rsidR="00DB4389">
        <w:rPr>
          <w:rFonts w:asciiTheme="majorBidi" w:hAnsiTheme="majorBidi" w:cstheme="majorBidi"/>
        </w:rPr>
        <w:t>[pers.</w:t>
      </w:r>
      <w:r w:rsidR="008301F4">
        <w:rPr>
          <w:rFonts w:asciiTheme="majorBidi" w:hAnsiTheme="majorBidi" w:cstheme="majorBidi"/>
        </w:rPr>
        <w:t> </w:t>
      </w:r>
      <w:r w:rsidR="00DB4389">
        <w:rPr>
          <w:rFonts w:asciiTheme="majorBidi" w:hAnsiTheme="majorBidi" w:cstheme="majorBidi"/>
        </w:rPr>
        <w:t>A]</w:t>
      </w:r>
      <w:r w:rsidR="00E62673">
        <w:rPr>
          <w:rFonts w:asciiTheme="majorBidi" w:hAnsiTheme="majorBidi" w:cstheme="majorBidi"/>
        </w:rPr>
        <w:t xml:space="preserve"> un </w:t>
      </w:r>
      <w:r w:rsidR="00DB4389">
        <w:rPr>
          <w:rFonts w:asciiTheme="majorBidi" w:hAnsiTheme="majorBidi" w:cstheme="majorBidi"/>
        </w:rPr>
        <w:t>[pers. B]</w:t>
      </w:r>
      <w:r w:rsidR="00E62673">
        <w:rPr>
          <w:rFonts w:asciiTheme="majorBidi" w:hAnsiTheme="majorBidi" w:cstheme="majorBidi"/>
        </w:rPr>
        <w:t xml:space="preserve"> </w:t>
      </w:r>
      <w:r w:rsidRPr="00C25DE0">
        <w:rPr>
          <w:rFonts w:asciiTheme="majorBidi" w:hAnsiTheme="majorBidi" w:cstheme="majorBidi"/>
        </w:rPr>
        <w:t xml:space="preserve">inkriminētās darbības </w:t>
      </w:r>
      <w:r w:rsidR="00681271">
        <w:rPr>
          <w:rFonts w:asciiTheme="majorBidi" w:hAnsiTheme="majorBidi" w:cstheme="majorBidi"/>
        </w:rPr>
        <w:t xml:space="preserve">nav vērtējusi </w:t>
      </w:r>
      <w:r w:rsidRPr="00C25DE0">
        <w:rPr>
          <w:rFonts w:asciiTheme="majorBidi" w:hAnsiTheme="majorBidi" w:cstheme="majorBidi"/>
        </w:rPr>
        <w:t xml:space="preserve">kā komplicētu </w:t>
      </w:r>
      <w:r>
        <w:rPr>
          <w:rFonts w:asciiTheme="majorBidi" w:hAnsiTheme="majorBidi" w:cstheme="majorBidi"/>
        </w:rPr>
        <w:t xml:space="preserve">atsevišķu (vienotu) </w:t>
      </w:r>
      <w:r w:rsidRPr="00C25DE0">
        <w:rPr>
          <w:rFonts w:asciiTheme="majorBidi" w:hAnsiTheme="majorBidi" w:cstheme="majorBidi"/>
        </w:rPr>
        <w:t>noziedzīgu nodarījumu</w:t>
      </w:r>
      <w:r>
        <w:rPr>
          <w:rFonts w:asciiTheme="majorBidi" w:hAnsiTheme="majorBidi" w:cstheme="majorBidi"/>
        </w:rPr>
        <w:t>.</w:t>
      </w:r>
    </w:p>
    <w:p w14:paraId="4B5F5A51" w14:textId="45D9BBFF" w:rsidR="0046152F" w:rsidRDefault="00637398" w:rsidP="00E61311">
      <w:pPr>
        <w:widowControl w:val="0"/>
        <w:spacing w:line="276" w:lineRule="auto"/>
        <w:ind w:firstLine="720"/>
        <w:jc w:val="both"/>
        <w:rPr>
          <w:rFonts w:asciiTheme="majorBidi" w:hAnsiTheme="majorBidi" w:cstheme="majorBidi"/>
        </w:rPr>
      </w:pPr>
      <w:r>
        <w:rPr>
          <w:rFonts w:asciiTheme="majorBidi" w:hAnsiTheme="majorBidi" w:cstheme="majorBidi"/>
        </w:rPr>
        <w:t>A</w:t>
      </w:r>
      <w:r w:rsidR="001A3592">
        <w:rPr>
          <w:rFonts w:asciiTheme="majorBidi" w:hAnsiTheme="majorBidi" w:cstheme="majorBidi"/>
        </w:rPr>
        <w:t>psūdzētajiem inkriminēt</w:t>
      </w:r>
      <w:r>
        <w:rPr>
          <w:rFonts w:asciiTheme="majorBidi" w:hAnsiTheme="majorBidi" w:cstheme="majorBidi"/>
        </w:rPr>
        <w:t>ās</w:t>
      </w:r>
      <w:r w:rsidR="001A3592">
        <w:rPr>
          <w:rFonts w:asciiTheme="majorBidi" w:hAnsiTheme="majorBidi" w:cstheme="majorBidi"/>
        </w:rPr>
        <w:t xml:space="preserve"> darbīb</w:t>
      </w:r>
      <w:r>
        <w:rPr>
          <w:rFonts w:asciiTheme="majorBidi" w:hAnsiTheme="majorBidi" w:cstheme="majorBidi"/>
        </w:rPr>
        <w:t>as nav vērtējamas</w:t>
      </w:r>
      <w:r w:rsidR="001A3592" w:rsidRPr="001A3592">
        <w:rPr>
          <w:rFonts w:asciiTheme="majorBidi" w:hAnsiTheme="majorBidi" w:cstheme="majorBidi"/>
        </w:rPr>
        <w:t xml:space="preserve"> </w:t>
      </w:r>
      <w:r w:rsidR="001A3592">
        <w:rPr>
          <w:rFonts w:asciiTheme="majorBidi" w:hAnsiTheme="majorBidi" w:cstheme="majorBidi"/>
        </w:rPr>
        <w:t xml:space="preserve">atsevišķi, </w:t>
      </w:r>
      <w:r>
        <w:rPr>
          <w:rFonts w:asciiTheme="majorBidi" w:hAnsiTheme="majorBidi" w:cstheme="majorBidi"/>
        </w:rPr>
        <w:t xml:space="preserve">izraujot no šo darbību konteksta </w:t>
      </w:r>
      <w:r w:rsidR="002B7AC2">
        <w:rPr>
          <w:rFonts w:asciiTheme="majorBidi" w:hAnsiTheme="majorBidi" w:cstheme="majorBidi"/>
        </w:rPr>
        <w:t xml:space="preserve">piedraudējumu pieņemt </w:t>
      </w:r>
      <w:r w:rsidR="001A3592" w:rsidRPr="00090BF3">
        <w:rPr>
          <w:rFonts w:asciiTheme="majorBidi" w:hAnsiTheme="majorBidi" w:cstheme="majorBidi"/>
        </w:rPr>
        <w:t xml:space="preserve">policijas </w:t>
      </w:r>
      <w:r w:rsidR="002B7AC2">
        <w:rPr>
          <w:rFonts w:asciiTheme="majorBidi" w:hAnsiTheme="majorBidi" w:cstheme="majorBidi"/>
        </w:rPr>
        <w:t xml:space="preserve">lēmumu par </w:t>
      </w:r>
      <w:r w:rsidR="001A3592" w:rsidRPr="00090BF3">
        <w:rPr>
          <w:rFonts w:asciiTheme="majorBidi" w:hAnsiTheme="majorBidi" w:cstheme="majorBidi"/>
        </w:rPr>
        <w:t>nošķiršan</w:t>
      </w:r>
      <w:r w:rsidR="002B7AC2">
        <w:rPr>
          <w:rFonts w:asciiTheme="majorBidi" w:hAnsiTheme="majorBidi" w:cstheme="majorBidi"/>
        </w:rPr>
        <w:t>u</w:t>
      </w:r>
      <w:r>
        <w:rPr>
          <w:rFonts w:asciiTheme="majorBidi" w:hAnsiTheme="majorBidi" w:cstheme="majorBidi"/>
        </w:rPr>
        <w:t xml:space="preserve">, jo </w:t>
      </w:r>
      <w:r w:rsidR="001A3592" w:rsidRPr="00090BF3">
        <w:rPr>
          <w:rFonts w:asciiTheme="majorBidi" w:hAnsiTheme="majorBidi" w:cstheme="majorBidi"/>
        </w:rPr>
        <w:t>apsūdzēt</w:t>
      </w:r>
      <w:r w:rsidR="001A3592">
        <w:rPr>
          <w:rFonts w:asciiTheme="majorBidi" w:hAnsiTheme="majorBidi" w:cstheme="majorBidi"/>
        </w:rPr>
        <w:t>ajiem</w:t>
      </w:r>
      <w:r w:rsidR="001A3592" w:rsidRPr="00090BF3">
        <w:rPr>
          <w:rFonts w:asciiTheme="majorBidi" w:hAnsiTheme="majorBidi" w:cstheme="majorBidi"/>
        </w:rPr>
        <w:t xml:space="preserve"> </w:t>
      </w:r>
      <w:r w:rsidR="001A3592">
        <w:rPr>
          <w:rFonts w:asciiTheme="majorBidi" w:hAnsiTheme="majorBidi" w:cstheme="majorBidi"/>
        </w:rPr>
        <w:t>nav</w:t>
      </w:r>
      <w:r w:rsidR="001A3592" w:rsidRPr="00090BF3">
        <w:rPr>
          <w:rFonts w:asciiTheme="majorBidi" w:hAnsiTheme="majorBidi" w:cstheme="majorBidi"/>
        </w:rPr>
        <w:t xml:space="preserve"> inkriminēta noziedzīgu nodarījumu kopība.</w:t>
      </w:r>
    </w:p>
    <w:p w14:paraId="7BF6CCFF" w14:textId="0D138799" w:rsidR="00544E7A" w:rsidRDefault="00770751" w:rsidP="00D10AD6">
      <w:pPr>
        <w:widowControl w:val="0"/>
        <w:spacing w:line="276" w:lineRule="auto"/>
        <w:ind w:firstLine="720"/>
        <w:jc w:val="both"/>
        <w:rPr>
          <w:rFonts w:asciiTheme="majorBidi" w:hAnsiTheme="majorBidi" w:cstheme="majorBidi"/>
        </w:rPr>
      </w:pPr>
      <w:r>
        <w:rPr>
          <w:rFonts w:asciiTheme="majorBidi" w:hAnsiTheme="majorBidi" w:cstheme="majorBidi"/>
        </w:rPr>
        <w:t>[</w:t>
      </w:r>
      <w:r w:rsidR="00E5568E">
        <w:rPr>
          <w:rFonts w:asciiTheme="majorBidi" w:hAnsiTheme="majorBidi" w:cstheme="majorBidi"/>
        </w:rPr>
        <w:t>4</w:t>
      </w:r>
      <w:r>
        <w:rPr>
          <w:rFonts w:asciiTheme="majorBidi" w:hAnsiTheme="majorBidi" w:cstheme="majorBidi"/>
        </w:rPr>
        <w:t>.</w:t>
      </w:r>
      <w:r w:rsidR="00E62673">
        <w:rPr>
          <w:rFonts w:asciiTheme="majorBidi" w:hAnsiTheme="majorBidi" w:cstheme="majorBidi"/>
        </w:rPr>
        <w:t>2</w:t>
      </w:r>
      <w:r>
        <w:rPr>
          <w:rFonts w:asciiTheme="majorBidi" w:hAnsiTheme="majorBidi" w:cstheme="majorBidi"/>
        </w:rPr>
        <w:t>]</w:t>
      </w:r>
      <w:r w:rsidR="00681271">
        <w:rPr>
          <w:rFonts w:asciiTheme="majorBidi" w:hAnsiTheme="majorBidi" w:cstheme="majorBidi"/>
        </w:rPr>
        <w:t> </w:t>
      </w:r>
      <w:r w:rsidR="00637398">
        <w:rPr>
          <w:rFonts w:asciiTheme="majorBidi" w:hAnsiTheme="majorBidi" w:cstheme="majorBidi"/>
        </w:rPr>
        <w:t>T</w:t>
      </w:r>
      <w:r w:rsidR="00B16373" w:rsidRPr="00B16373">
        <w:rPr>
          <w:rFonts w:asciiTheme="majorBidi" w:hAnsiTheme="majorBidi" w:cstheme="majorBidi"/>
        </w:rPr>
        <w:t>iesa</w:t>
      </w:r>
      <w:r w:rsidR="00684ABF">
        <w:rPr>
          <w:rFonts w:asciiTheme="majorBidi" w:hAnsiTheme="majorBidi" w:cstheme="majorBidi"/>
        </w:rPr>
        <w:t xml:space="preserve"> </w:t>
      </w:r>
      <w:r w:rsidR="00B16373" w:rsidRPr="00B16373">
        <w:rPr>
          <w:rFonts w:asciiTheme="majorBidi" w:hAnsiTheme="majorBidi" w:cstheme="majorBidi"/>
        </w:rPr>
        <w:t>nepareizi interpretēj</w:t>
      </w:r>
      <w:r w:rsidR="002E28DF">
        <w:rPr>
          <w:rFonts w:asciiTheme="majorBidi" w:hAnsiTheme="majorBidi" w:cstheme="majorBidi"/>
        </w:rPr>
        <w:t>usi</w:t>
      </w:r>
      <w:r w:rsidR="00D85E92">
        <w:rPr>
          <w:rFonts w:asciiTheme="majorBidi" w:hAnsiTheme="majorBidi" w:cstheme="majorBidi"/>
        </w:rPr>
        <w:t xml:space="preserve"> Kriminālprocesa likuma 13. pantu</w:t>
      </w:r>
      <w:r w:rsidR="00E5568E">
        <w:rPr>
          <w:rFonts w:asciiTheme="majorBidi" w:hAnsiTheme="majorBidi" w:cstheme="majorBidi"/>
        </w:rPr>
        <w:t>, jo</w:t>
      </w:r>
      <w:r w:rsidR="002E28DF">
        <w:rPr>
          <w:rFonts w:asciiTheme="majorBidi" w:hAnsiTheme="majorBidi" w:cstheme="majorBidi"/>
        </w:rPr>
        <w:t xml:space="preserve"> </w:t>
      </w:r>
      <w:r w:rsidR="00B16373" w:rsidRPr="00B16373">
        <w:rPr>
          <w:rFonts w:asciiTheme="majorBidi" w:hAnsiTheme="majorBidi" w:cstheme="majorBidi"/>
        </w:rPr>
        <w:t>kļūdaini atz</w:t>
      </w:r>
      <w:r w:rsidR="002E28DF">
        <w:rPr>
          <w:rFonts w:asciiTheme="majorBidi" w:hAnsiTheme="majorBidi" w:cstheme="majorBidi"/>
        </w:rPr>
        <w:t>inusi</w:t>
      </w:r>
      <w:r w:rsidR="00B16373" w:rsidRPr="00B16373">
        <w:rPr>
          <w:rFonts w:asciiTheme="majorBidi" w:hAnsiTheme="majorBidi" w:cstheme="majorBidi"/>
        </w:rPr>
        <w:t>, ka apsūdzēto darbības</w:t>
      </w:r>
      <w:r w:rsidR="00E5568E">
        <w:rPr>
          <w:rFonts w:asciiTheme="majorBidi" w:hAnsiTheme="majorBidi" w:cstheme="majorBidi"/>
        </w:rPr>
        <w:t xml:space="preserve"> – fiziska spēka pielietošana pret cietušo </w:t>
      </w:r>
      <w:r w:rsidR="00DB4389">
        <w:rPr>
          <w:rFonts w:asciiTheme="majorBidi" w:hAnsiTheme="majorBidi" w:cstheme="majorBidi"/>
        </w:rPr>
        <w:t>[pers. D]</w:t>
      </w:r>
      <w:r w:rsidR="00E5568E">
        <w:rPr>
          <w:rFonts w:asciiTheme="majorBidi" w:hAnsiTheme="majorBidi" w:cstheme="majorBidi"/>
        </w:rPr>
        <w:t xml:space="preserve"> – lietā konstatētajos apstākļos, proti, kad cietusī </w:t>
      </w:r>
      <w:r w:rsidR="00E61311">
        <w:rPr>
          <w:rFonts w:asciiTheme="majorBidi" w:hAnsiTheme="majorBidi" w:cstheme="majorBidi"/>
        </w:rPr>
        <w:t xml:space="preserve">iepriekš </w:t>
      </w:r>
      <w:r w:rsidR="00E5568E">
        <w:rPr>
          <w:rFonts w:asciiTheme="majorBidi" w:hAnsiTheme="majorBidi" w:cstheme="majorBidi"/>
        </w:rPr>
        <w:t>nav fiziski pretojusies,</w:t>
      </w:r>
      <w:r w:rsidR="00B16373" w:rsidRPr="00B16373">
        <w:rPr>
          <w:rFonts w:asciiTheme="majorBidi" w:hAnsiTheme="majorBidi" w:cstheme="majorBidi"/>
        </w:rPr>
        <w:t xml:space="preserve"> </w:t>
      </w:r>
      <w:r w:rsidR="00544E7A">
        <w:rPr>
          <w:rFonts w:asciiTheme="majorBidi" w:hAnsiTheme="majorBidi" w:cstheme="majorBidi"/>
        </w:rPr>
        <w:t>bija</w:t>
      </w:r>
      <w:r w:rsidR="00B16373" w:rsidRPr="00B16373">
        <w:rPr>
          <w:rFonts w:asciiTheme="majorBidi" w:hAnsiTheme="majorBidi" w:cstheme="majorBidi"/>
        </w:rPr>
        <w:t xml:space="preserve"> tiesiskas.</w:t>
      </w:r>
    </w:p>
    <w:p w14:paraId="78DF014B" w14:textId="730C77EE" w:rsidR="00684ABF" w:rsidRDefault="00A54A13" w:rsidP="00DB4389">
      <w:pPr>
        <w:widowControl w:val="0"/>
        <w:spacing w:line="276" w:lineRule="auto"/>
        <w:ind w:firstLine="720"/>
        <w:jc w:val="both"/>
        <w:rPr>
          <w:rFonts w:asciiTheme="majorBidi" w:hAnsiTheme="majorBidi" w:cstheme="majorBidi"/>
        </w:rPr>
      </w:pPr>
      <w:r>
        <w:rPr>
          <w:rFonts w:asciiTheme="majorBidi" w:hAnsiTheme="majorBidi" w:cstheme="majorBidi"/>
        </w:rPr>
        <w:t>[</w:t>
      </w:r>
      <w:r w:rsidR="00E5568E">
        <w:rPr>
          <w:rFonts w:asciiTheme="majorBidi" w:hAnsiTheme="majorBidi" w:cstheme="majorBidi"/>
        </w:rPr>
        <w:t>4</w:t>
      </w:r>
      <w:r>
        <w:rPr>
          <w:rFonts w:asciiTheme="majorBidi" w:hAnsiTheme="majorBidi" w:cstheme="majorBidi"/>
        </w:rPr>
        <w:t>.</w:t>
      </w:r>
      <w:r w:rsidR="00E62673">
        <w:rPr>
          <w:rFonts w:asciiTheme="majorBidi" w:hAnsiTheme="majorBidi" w:cstheme="majorBidi"/>
        </w:rPr>
        <w:t>3</w:t>
      </w:r>
      <w:r>
        <w:rPr>
          <w:rFonts w:asciiTheme="majorBidi" w:hAnsiTheme="majorBidi" w:cstheme="majorBidi"/>
        </w:rPr>
        <w:t>]</w:t>
      </w:r>
      <w:r w:rsidR="00E5568E">
        <w:rPr>
          <w:rFonts w:asciiTheme="majorBidi" w:hAnsiTheme="majorBidi" w:cstheme="majorBidi"/>
        </w:rPr>
        <w:t> </w:t>
      </w:r>
      <w:r w:rsidR="00637398">
        <w:rPr>
          <w:rFonts w:asciiTheme="majorBidi" w:hAnsiTheme="majorBidi" w:cstheme="majorBidi"/>
        </w:rPr>
        <w:t xml:space="preserve">Savu secinājumu par to, ka </w:t>
      </w:r>
      <w:r w:rsidR="00DB4389">
        <w:rPr>
          <w:rFonts w:asciiTheme="majorBidi" w:hAnsiTheme="majorBidi" w:cstheme="majorBidi"/>
        </w:rPr>
        <w:t>[pers.</w:t>
      </w:r>
      <w:r w:rsidR="008301F4">
        <w:rPr>
          <w:rFonts w:asciiTheme="majorBidi" w:hAnsiTheme="majorBidi" w:cstheme="majorBidi"/>
        </w:rPr>
        <w:t> </w:t>
      </w:r>
      <w:r w:rsidR="00DB4389">
        <w:rPr>
          <w:rFonts w:asciiTheme="majorBidi" w:hAnsiTheme="majorBidi" w:cstheme="majorBidi"/>
        </w:rPr>
        <w:t>D]</w:t>
      </w:r>
      <w:r w:rsidR="00637398">
        <w:rPr>
          <w:rFonts w:asciiTheme="majorBidi" w:hAnsiTheme="majorBidi" w:cstheme="majorBidi"/>
        </w:rPr>
        <w:t xml:space="preserve"> tika aizturēta tiesiski,</w:t>
      </w:r>
      <w:r w:rsidR="00637398" w:rsidRPr="00EC01ED">
        <w:rPr>
          <w:rFonts w:asciiTheme="majorBidi" w:hAnsiTheme="majorBidi" w:cstheme="majorBidi"/>
        </w:rPr>
        <w:t xml:space="preserve"> </w:t>
      </w:r>
      <w:r w:rsidR="00305F2E">
        <w:rPr>
          <w:rFonts w:asciiTheme="majorBidi" w:hAnsiTheme="majorBidi" w:cstheme="majorBidi"/>
        </w:rPr>
        <w:t xml:space="preserve">apelācijas instances </w:t>
      </w:r>
      <w:r w:rsidR="00637398">
        <w:rPr>
          <w:rFonts w:asciiTheme="majorBidi" w:hAnsiTheme="majorBidi" w:cstheme="majorBidi"/>
        </w:rPr>
        <w:t xml:space="preserve">tiesa saistījusi ar </w:t>
      </w:r>
      <w:r w:rsidR="00DB4389">
        <w:rPr>
          <w:rFonts w:asciiTheme="majorBidi" w:hAnsiTheme="majorBidi" w:cstheme="majorBidi"/>
        </w:rPr>
        <w:t>[pers. D]</w:t>
      </w:r>
      <w:r w:rsidR="00305F2E">
        <w:rPr>
          <w:rFonts w:asciiTheme="majorBidi" w:hAnsiTheme="majorBidi" w:cstheme="majorBidi"/>
        </w:rPr>
        <w:t xml:space="preserve"> </w:t>
      </w:r>
      <w:r w:rsidR="00305F2E" w:rsidRPr="00EC01ED">
        <w:rPr>
          <w:rFonts w:asciiTheme="majorBidi" w:hAnsiTheme="majorBidi" w:cstheme="majorBidi"/>
        </w:rPr>
        <w:t xml:space="preserve">atteikšanos </w:t>
      </w:r>
      <w:r w:rsidR="00305F2E">
        <w:rPr>
          <w:rFonts w:asciiTheme="majorBidi" w:hAnsiTheme="majorBidi" w:cstheme="majorBidi"/>
        </w:rPr>
        <w:t xml:space="preserve">liecināt, un tādējādi </w:t>
      </w:r>
      <w:r w:rsidR="00E5568E">
        <w:rPr>
          <w:rFonts w:asciiTheme="majorBidi" w:hAnsiTheme="majorBidi" w:cstheme="majorBidi"/>
        </w:rPr>
        <w:t>nepareizi piemērojusi Kriminālprocesa likuma 60.</w:t>
      </w:r>
      <w:r w:rsidR="00E5568E" w:rsidRPr="00684ABF">
        <w:rPr>
          <w:rFonts w:asciiTheme="majorBidi" w:hAnsiTheme="majorBidi" w:cstheme="majorBidi"/>
          <w:vertAlign w:val="superscript"/>
        </w:rPr>
        <w:t>2</w:t>
      </w:r>
      <w:r w:rsidR="00E5568E">
        <w:rPr>
          <w:rFonts w:asciiTheme="majorBidi" w:hAnsiTheme="majorBidi" w:cstheme="majorBidi"/>
          <w:vertAlign w:val="superscript"/>
        </w:rPr>
        <w:t> </w:t>
      </w:r>
      <w:r w:rsidR="00E5568E">
        <w:rPr>
          <w:rFonts w:asciiTheme="majorBidi" w:hAnsiTheme="majorBidi" w:cstheme="majorBidi"/>
        </w:rPr>
        <w:t>pirmās daļas 8. punktu</w:t>
      </w:r>
      <w:r w:rsidR="00684ABF">
        <w:rPr>
          <w:rFonts w:asciiTheme="majorBidi" w:hAnsiTheme="majorBidi" w:cstheme="majorBidi"/>
        </w:rPr>
        <w:t>.</w:t>
      </w:r>
    </w:p>
    <w:p w14:paraId="79C19F03" w14:textId="1DF8E049" w:rsidR="000C21D3" w:rsidRDefault="00A54A13" w:rsidP="00DB4389">
      <w:pPr>
        <w:widowControl w:val="0"/>
        <w:spacing w:line="276" w:lineRule="auto"/>
        <w:ind w:firstLine="720"/>
        <w:jc w:val="both"/>
      </w:pPr>
      <w:r w:rsidRPr="00EC01ED">
        <w:rPr>
          <w:rFonts w:asciiTheme="majorBidi" w:hAnsiTheme="majorBidi" w:cstheme="majorBidi"/>
        </w:rPr>
        <w:t>[</w:t>
      </w:r>
      <w:r w:rsidR="00E5568E">
        <w:rPr>
          <w:rFonts w:asciiTheme="majorBidi" w:hAnsiTheme="majorBidi" w:cstheme="majorBidi"/>
        </w:rPr>
        <w:t>4</w:t>
      </w:r>
      <w:r w:rsidRPr="00EC01ED">
        <w:rPr>
          <w:rFonts w:asciiTheme="majorBidi" w:hAnsiTheme="majorBidi" w:cstheme="majorBidi"/>
        </w:rPr>
        <w:t>.</w:t>
      </w:r>
      <w:r w:rsidR="00E62673">
        <w:rPr>
          <w:rFonts w:asciiTheme="majorBidi" w:hAnsiTheme="majorBidi" w:cstheme="majorBidi"/>
        </w:rPr>
        <w:t>4</w:t>
      </w:r>
      <w:r w:rsidRPr="00EC01ED">
        <w:rPr>
          <w:rFonts w:asciiTheme="majorBidi" w:hAnsiTheme="majorBidi" w:cstheme="majorBidi"/>
        </w:rPr>
        <w:t>]</w:t>
      </w:r>
      <w:r w:rsidR="00563A02">
        <w:rPr>
          <w:rFonts w:asciiTheme="majorBidi" w:hAnsiTheme="majorBidi" w:cstheme="majorBidi"/>
        </w:rPr>
        <w:t> </w:t>
      </w:r>
      <w:r w:rsidRPr="00C44A2F">
        <w:rPr>
          <w:rFonts w:asciiTheme="majorBidi" w:hAnsiTheme="majorBidi" w:cstheme="majorBidi"/>
        </w:rPr>
        <w:t xml:space="preserve">Apelācijas instances tiesa nav </w:t>
      </w:r>
      <w:r w:rsidR="00DB2864">
        <w:rPr>
          <w:rFonts w:asciiTheme="majorBidi" w:hAnsiTheme="majorBidi" w:cstheme="majorBidi"/>
        </w:rPr>
        <w:t>iz</w:t>
      </w:r>
      <w:r w:rsidRPr="00C44A2F">
        <w:rPr>
          <w:rFonts w:asciiTheme="majorBidi" w:hAnsiTheme="majorBidi" w:cstheme="majorBidi"/>
        </w:rPr>
        <w:t xml:space="preserve">vērtējusi </w:t>
      </w:r>
      <w:r w:rsidR="00E5568E">
        <w:rPr>
          <w:rFonts w:asciiTheme="majorBidi" w:hAnsiTheme="majorBidi" w:cstheme="majorBidi"/>
        </w:rPr>
        <w:t xml:space="preserve">pretrunas </w:t>
      </w:r>
      <w:r w:rsidRPr="00C44A2F">
        <w:rPr>
          <w:rFonts w:asciiTheme="majorBidi" w:hAnsiTheme="majorBidi" w:cstheme="majorBidi"/>
        </w:rPr>
        <w:t>pirmās instances tiesas spriedum</w:t>
      </w:r>
      <w:r w:rsidR="00684ABF">
        <w:rPr>
          <w:rFonts w:asciiTheme="majorBidi" w:hAnsiTheme="majorBidi" w:cstheme="majorBidi"/>
        </w:rPr>
        <w:t xml:space="preserve">ā </w:t>
      </w:r>
      <w:r>
        <w:rPr>
          <w:rFonts w:asciiTheme="majorBidi" w:hAnsiTheme="majorBidi" w:cstheme="majorBidi"/>
        </w:rPr>
        <w:t>par</w:t>
      </w:r>
      <w:r w:rsidRPr="00C44A2F">
        <w:rPr>
          <w:rFonts w:asciiTheme="majorBidi" w:hAnsiTheme="majorBidi" w:cstheme="majorBidi"/>
        </w:rPr>
        <w:t xml:space="preserve"> </w:t>
      </w:r>
      <w:r w:rsidR="00DB4389">
        <w:rPr>
          <w:rFonts w:asciiTheme="majorBidi" w:hAnsiTheme="majorBidi" w:cstheme="majorBidi"/>
        </w:rPr>
        <w:t>[pers. D]</w:t>
      </w:r>
      <w:r w:rsidR="00D85E92">
        <w:rPr>
          <w:rFonts w:asciiTheme="majorBidi" w:hAnsiTheme="majorBidi" w:cstheme="majorBidi"/>
        </w:rPr>
        <w:t xml:space="preserve"> </w:t>
      </w:r>
      <w:r w:rsidRPr="00C44A2F">
        <w:rPr>
          <w:rFonts w:asciiTheme="majorBidi" w:hAnsiTheme="majorBidi" w:cstheme="majorBidi"/>
        </w:rPr>
        <w:t>aizturēšan</w:t>
      </w:r>
      <w:r w:rsidR="00E62673">
        <w:rPr>
          <w:rFonts w:asciiTheme="majorBidi" w:hAnsiTheme="majorBidi" w:cstheme="majorBidi"/>
        </w:rPr>
        <w:t>as apstākļiem</w:t>
      </w:r>
      <w:r w:rsidR="00BC0712">
        <w:rPr>
          <w:rFonts w:asciiTheme="majorBidi" w:hAnsiTheme="majorBidi" w:cstheme="majorBidi"/>
        </w:rPr>
        <w:t>, tajā skaitā</w:t>
      </w:r>
      <w:r w:rsidR="00637398" w:rsidRPr="00637398">
        <w:t xml:space="preserve"> </w:t>
      </w:r>
      <w:r w:rsidR="00637398">
        <w:t xml:space="preserve">nav ņēmusi vērā, ka </w:t>
      </w:r>
      <w:r w:rsidR="00DB4389">
        <w:t>[pers. D]</w:t>
      </w:r>
      <w:r w:rsidR="00637398">
        <w:t xml:space="preserve"> aizturēšanas laiks apsūdzībā ir norādīts „pēc plkst. 23.00”, savukārt pirmās instances tiesa, spriedumā izklāstot apsūdzību, norādījusi „ap plkst. 22.45”</w:t>
      </w:r>
      <w:r w:rsidR="00684ABF">
        <w:t xml:space="preserve">, </w:t>
      </w:r>
      <w:r w:rsidR="00DB2864">
        <w:t xml:space="preserve">un </w:t>
      </w:r>
      <w:r w:rsidR="002D1E5C">
        <w:t xml:space="preserve">tādējādi </w:t>
      </w:r>
      <w:r w:rsidR="005C178D">
        <w:t>faktiski grozījusi apsūdzību uz smagāku</w:t>
      </w:r>
      <w:r w:rsidR="002D1E5C">
        <w:t>.</w:t>
      </w:r>
    </w:p>
    <w:p w14:paraId="31EE4809" w14:textId="36180A13" w:rsidR="00A54A13" w:rsidRDefault="00A54A13" w:rsidP="00D10AD6">
      <w:pPr>
        <w:widowControl w:val="0"/>
        <w:spacing w:line="276" w:lineRule="auto"/>
        <w:ind w:firstLine="720"/>
        <w:jc w:val="both"/>
        <w:rPr>
          <w:rFonts w:asciiTheme="majorBidi" w:hAnsiTheme="majorBidi" w:cstheme="majorBidi"/>
        </w:rPr>
      </w:pPr>
      <w:r>
        <w:rPr>
          <w:rFonts w:asciiTheme="majorBidi" w:hAnsiTheme="majorBidi" w:cstheme="majorBidi"/>
        </w:rPr>
        <w:t>[</w:t>
      </w:r>
      <w:r w:rsidR="00DB2864">
        <w:rPr>
          <w:rFonts w:asciiTheme="majorBidi" w:hAnsiTheme="majorBidi" w:cstheme="majorBidi"/>
        </w:rPr>
        <w:t>4</w:t>
      </w:r>
      <w:r>
        <w:rPr>
          <w:rFonts w:asciiTheme="majorBidi" w:hAnsiTheme="majorBidi" w:cstheme="majorBidi"/>
        </w:rPr>
        <w:t>.5]</w:t>
      </w:r>
      <w:r w:rsidR="00DB2864">
        <w:rPr>
          <w:rFonts w:asciiTheme="majorBidi" w:hAnsiTheme="majorBidi" w:cstheme="majorBidi"/>
        </w:rPr>
        <w:t> </w:t>
      </w:r>
      <w:r w:rsidR="00637398">
        <w:rPr>
          <w:rFonts w:asciiTheme="majorBidi" w:hAnsiTheme="majorBidi" w:cstheme="majorBidi"/>
        </w:rPr>
        <w:t>P</w:t>
      </w:r>
      <w:r w:rsidR="003A4470">
        <w:rPr>
          <w:rFonts w:asciiTheme="majorBidi" w:hAnsiTheme="majorBidi" w:cstheme="majorBidi"/>
        </w:rPr>
        <w:t>irmās instances tiesa</w:t>
      </w:r>
      <w:r w:rsidR="003E017A">
        <w:rPr>
          <w:rFonts w:asciiTheme="majorBidi" w:hAnsiTheme="majorBidi" w:cstheme="majorBidi"/>
        </w:rPr>
        <w:t xml:space="preserve"> </w:t>
      </w:r>
      <w:r w:rsidRPr="00BD11CD">
        <w:rPr>
          <w:rFonts w:asciiTheme="majorBidi" w:hAnsiTheme="majorBidi" w:cstheme="majorBidi"/>
        </w:rPr>
        <w:t>n</w:t>
      </w:r>
      <w:r>
        <w:rPr>
          <w:rFonts w:asciiTheme="majorBidi" w:hAnsiTheme="majorBidi" w:cstheme="majorBidi"/>
        </w:rPr>
        <w:t xml:space="preserve">av </w:t>
      </w:r>
      <w:r w:rsidR="00DB2864">
        <w:rPr>
          <w:rFonts w:asciiTheme="majorBidi" w:hAnsiTheme="majorBidi" w:cstheme="majorBidi"/>
        </w:rPr>
        <w:t>iz</w:t>
      </w:r>
      <w:r>
        <w:rPr>
          <w:rFonts w:asciiTheme="majorBidi" w:hAnsiTheme="majorBidi" w:cstheme="majorBidi"/>
        </w:rPr>
        <w:t>vērtējusi</w:t>
      </w:r>
      <w:r w:rsidRPr="00BD11CD">
        <w:rPr>
          <w:rFonts w:asciiTheme="majorBidi" w:hAnsiTheme="majorBidi" w:cstheme="majorBidi"/>
        </w:rPr>
        <w:t xml:space="preserve"> </w:t>
      </w:r>
      <w:r w:rsidR="0068142B">
        <w:rPr>
          <w:rFonts w:asciiTheme="majorBidi" w:hAnsiTheme="majorBidi" w:cstheme="majorBidi"/>
        </w:rPr>
        <w:t>lietā esošās ziņas, kas norāda</w:t>
      </w:r>
      <w:r w:rsidR="006B17D9">
        <w:rPr>
          <w:rFonts w:asciiTheme="majorBidi" w:hAnsiTheme="majorBidi" w:cstheme="majorBidi"/>
        </w:rPr>
        <w:t xml:space="preserve"> uz</w:t>
      </w:r>
      <w:r w:rsidR="0068142B">
        <w:rPr>
          <w:rFonts w:asciiTheme="majorBidi" w:hAnsiTheme="majorBidi" w:cstheme="majorBidi"/>
        </w:rPr>
        <w:t xml:space="preserve"> </w:t>
      </w:r>
      <w:r w:rsidRPr="00BD11CD">
        <w:rPr>
          <w:rFonts w:asciiTheme="majorBidi" w:hAnsiTheme="majorBidi" w:cstheme="majorBidi"/>
        </w:rPr>
        <w:t>inkriminētā noziedzīg</w:t>
      </w:r>
      <w:r>
        <w:rPr>
          <w:rFonts w:asciiTheme="majorBidi" w:hAnsiTheme="majorBidi" w:cstheme="majorBidi"/>
        </w:rPr>
        <w:t>ā</w:t>
      </w:r>
      <w:r w:rsidRPr="00BD11CD">
        <w:rPr>
          <w:rFonts w:asciiTheme="majorBidi" w:hAnsiTheme="majorBidi" w:cstheme="majorBidi"/>
        </w:rPr>
        <w:t xml:space="preserve"> nodarījuma subjektīvās puses </w:t>
      </w:r>
      <w:r w:rsidR="0068142B">
        <w:rPr>
          <w:rFonts w:asciiTheme="majorBidi" w:hAnsiTheme="majorBidi" w:cstheme="majorBidi"/>
        </w:rPr>
        <w:t>esību apsūdzēto darbībās</w:t>
      </w:r>
      <w:r w:rsidRPr="00BD11CD">
        <w:rPr>
          <w:rFonts w:asciiTheme="majorBidi" w:hAnsiTheme="majorBidi" w:cstheme="majorBidi"/>
        </w:rPr>
        <w:t xml:space="preserve">, proti, </w:t>
      </w:r>
      <w:r w:rsidR="0068142B">
        <w:rPr>
          <w:rFonts w:asciiTheme="majorBidi" w:hAnsiTheme="majorBidi" w:cstheme="majorBidi"/>
        </w:rPr>
        <w:t>ziņas, no kurām izriet, ka</w:t>
      </w:r>
      <w:r w:rsidR="00477779">
        <w:rPr>
          <w:rFonts w:asciiTheme="majorBidi" w:hAnsiTheme="majorBidi" w:cstheme="majorBidi"/>
        </w:rPr>
        <w:t xml:space="preserve"> </w:t>
      </w:r>
      <w:r>
        <w:rPr>
          <w:rFonts w:asciiTheme="majorBidi" w:hAnsiTheme="majorBidi" w:cstheme="majorBidi"/>
        </w:rPr>
        <w:t>apsūdzētie</w:t>
      </w:r>
      <w:r w:rsidRPr="00BD11CD">
        <w:rPr>
          <w:rFonts w:asciiTheme="majorBidi" w:hAnsiTheme="majorBidi" w:cstheme="majorBidi"/>
        </w:rPr>
        <w:t xml:space="preserve"> zināj</w:t>
      </w:r>
      <w:r w:rsidR="0068142B">
        <w:rPr>
          <w:rFonts w:asciiTheme="majorBidi" w:hAnsiTheme="majorBidi" w:cstheme="majorBidi"/>
        </w:rPr>
        <w:t>uši</w:t>
      </w:r>
      <w:r w:rsidRPr="00BD11CD">
        <w:rPr>
          <w:rFonts w:asciiTheme="majorBidi" w:hAnsiTheme="majorBidi" w:cstheme="majorBidi"/>
        </w:rPr>
        <w:t xml:space="preserve"> par </w:t>
      </w:r>
      <w:r w:rsidR="003174E7">
        <w:rPr>
          <w:rFonts w:asciiTheme="majorBidi" w:hAnsiTheme="majorBidi" w:cstheme="majorBidi"/>
        </w:rPr>
        <w:t>[pers. D]</w:t>
      </w:r>
      <w:r w:rsidRPr="00BD11CD">
        <w:rPr>
          <w:rFonts w:asciiTheme="majorBidi" w:hAnsiTheme="majorBidi" w:cstheme="majorBidi"/>
        </w:rPr>
        <w:t xml:space="preserve"> vēršanos policijā </w:t>
      </w:r>
      <w:r w:rsidR="006B17D9">
        <w:rPr>
          <w:rFonts w:asciiTheme="majorBidi" w:hAnsiTheme="majorBidi" w:cstheme="majorBidi"/>
        </w:rPr>
        <w:t>saistībā ar</w:t>
      </w:r>
      <w:r w:rsidR="006B17D9" w:rsidRPr="00BD11CD">
        <w:rPr>
          <w:rFonts w:asciiTheme="majorBidi" w:hAnsiTheme="majorBidi" w:cstheme="majorBidi"/>
        </w:rPr>
        <w:t xml:space="preserve"> </w:t>
      </w:r>
      <w:r w:rsidR="0068142B">
        <w:rPr>
          <w:rFonts w:asciiTheme="majorBidi" w:hAnsiTheme="majorBidi" w:cstheme="majorBidi"/>
        </w:rPr>
        <w:t xml:space="preserve">viņas </w:t>
      </w:r>
      <w:r w:rsidRPr="00BD11CD">
        <w:rPr>
          <w:rFonts w:asciiTheme="majorBidi" w:hAnsiTheme="majorBidi" w:cstheme="majorBidi"/>
        </w:rPr>
        <w:t xml:space="preserve">vīra </w:t>
      </w:r>
      <w:r w:rsidR="003174E7">
        <w:rPr>
          <w:rFonts w:asciiTheme="majorBidi" w:hAnsiTheme="majorBidi" w:cstheme="majorBidi"/>
        </w:rPr>
        <w:t>[pers. C]</w:t>
      </w:r>
      <w:r w:rsidRPr="00BD11CD">
        <w:rPr>
          <w:rFonts w:asciiTheme="majorBidi" w:hAnsiTheme="majorBidi" w:cstheme="majorBidi"/>
        </w:rPr>
        <w:t xml:space="preserve"> vardarbību</w:t>
      </w:r>
      <w:r w:rsidR="003E017A">
        <w:rPr>
          <w:rFonts w:asciiTheme="majorBidi" w:hAnsiTheme="majorBidi" w:cstheme="majorBidi"/>
        </w:rPr>
        <w:t xml:space="preserve">. </w:t>
      </w:r>
      <w:r w:rsidR="00305F2E">
        <w:rPr>
          <w:rFonts w:asciiTheme="majorBidi" w:hAnsiTheme="majorBidi" w:cstheme="majorBidi"/>
        </w:rPr>
        <w:t xml:space="preserve">Savukārt </w:t>
      </w:r>
      <w:r w:rsidR="003A4470">
        <w:rPr>
          <w:rFonts w:asciiTheme="majorBidi" w:hAnsiTheme="majorBidi" w:cstheme="majorBidi"/>
        </w:rPr>
        <w:t>a</w:t>
      </w:r>
      <w:r w:rsidR="003E017A">
        <w:rPr>
          <w:rFonts w:asciiTheme="majorBidi" w:hAnsiTheme="majorBidi" w:cstheme="majorBidi"/>
        </w:rPr>
        <w:t xml:space="preserve">pelācijas instances tiesa, </w:t>
      </w:r>
      <w:r w:rsidR="00305F2E">
        <w:rPr>
          <w:rFonts w:asciiTheme="majorBidi" w:hAnsiTheme="majorBidi" w:cstheme="majorBidi"/>
        </w:rPr>
        <w:t xml:space="preserve">nepamatoti atzīstot par iespējamu neatkārtot pirmās instances tiesas spriedumā minētos pierādījumus un atzinumus saskaņā ar </w:t>
      </w:r>
      <w:r w:rsidR="003A4470" w:rsidRPr="00BD11CD">
        <w:rPr>
          <w:rFonts w:asciiTheme="majorBidi" w:hAnsiTheme="majorBidi" w:cstheme="majorBidi"/>
        </w:rPr>
        <w:lastRenderedPageBreak/>
        <w:t>Kriminālprocesa likuma 564.</w:t>
      </w:r>
      <w:r w:rsidR="003A4470">
        <w:rPr>
          <w:rFonts w:asciiTheme="majorBidi" w:hAnsiTheme="majorBidi" w:cstheme="majorBidi"/>
        </w:rPr>
        <w:t> </w:t>
      </w:r>
      <w:r w:rsidR="003A4470" w:rsidRPr="00BD11CD">
        <w:rPr>
          <w:rFonts w:asciiTheme="majorBidi" w:hAnsiTheme="majorBidi" w:cstheme="majorBidi"/>
        </w:rPr>
        <w:t>panta sesto daļu</w:t>
      </w:r>
      <w:r w:rsidR="003A4470">
        <w:rPr>
          <w:rFonts w:asciiTheme="majorBidi" w:hAnsiTheme="majorBidi" w:cstheme="majorBidi"/>
        </w:rPr>
        <w:t>, nav novērsusi pirmās instances tiesas pieļautos pārkāpumus pierādījumu vērtēšanā</w:t>
      </w:r>
      <w:r>
        <w:rPr>
          <w:rFonts w:asciiTheme="majorBidi" w:hAnsiTheme="majorBidi" w:cstheme="majorBidi"/>
        </w:rPr>
        <w:t>.</w:t>
      </w:r>
    </w:p>
    <w:bookmarkEnd w:id="0"/>
    <w:p w14:paraId="1177CE82" w14:textId="7DC8D3BC" w:rsidR="00A54A13" w:rsidRDefault="00C44A2F" w:rsidP="00E61311">
      <w:pPr>
        <w:widowControl w:val="0"/>
        <w:spacing w:line="276" w:lineRule="auto"/>
        <w:ind w:firstLine="720"/>
        <w:jc w:val="both"/>
        <w:rPr>
          <w:rFonts w:asciiTheme="majorBidi" w:hAnsiTheme="majorBidi" w:cstheme="majorBidi"/>
        </w:rPr>
      </w:pPr>
      <w:r>
        <w:rPr>
          <w:rFonts w:asciiTheme="majorBidi" w:hAnsiTheme="majorBidi" w:cstheme="majorBidi"/>
        </w:rPr>
        <w:t>[</w:t>
      </w:r>
      <w:r w:rsidR="003A4470">
        <w:rPr>
          <w:rFonts w:asciiTheme="majorBidi" w:hAnsiTheme="majorBidi" w:cstheme="majorBidi"/>
        </w:rPr>
        <w:t>4</w:t>
      </w:r>
      <w:r>
        <w:rPr>
          <w:rFonts w:asciiTheme="majorBidi" w:hAnsiTheme="majorBidi" w:cstheme="majorBidi"/>
        </w:rPr>
        <w:t>.6]</w:t>
      </w:r>
      <w:r w:rsidR="003A4470">
        <w:rPr>
          <w:rFonts w:asciiTheme="majorBidi" w:hAnsiTheme="majorBidi" w:cstheme="majorBidi"/>
        </w:rPr>
        <w:t> Apelācijas instances tiesa</w:t>
      </w:r>
      <w:r w:rsidR="00D91055">
        <w:rPr>
          <w:rFonts w:asciiTheme="majorBidi" w:hAnsiTheme="majorBidi" w:cstheme="majorBidi"/>
        </w:rPr>
        <w:t xml:space="preserve">s blakus lēmums </w:t>
      </w:r>
      <w:r w:rsidR="00D91055" w:rsidRPr="00C44A2F">
        <w:rPr>
          <w:rFonts w:asciiTheme="majorBidi" w:hAnsiTheme="majorBidi" w:cstheme="majorBidi"/>
        </w:rPr>
        <w:t xml:space="preserve">neatbilst </w:t>
      </w:r>
      <w:r w:rsidR="00D91055">
        <w:rPr>
          <w:rFonts w:asciiTheme="majorBidi" w:hAnsiTheme="majorBidi" w:cstheme="majorBidi"/>
        </w:rPr>
        <w:t xml:space="preserve">Kriminālprocesa </w:t>
      </w:r>
      <w:r w:rsidR="00D91055" w:rsidRPr="00C44A2F">
        <w:rPr>
          <w:rFonts w:asciiTheme="majorBidi" w:hAnsiTheme="majorBidi" w:cstheme="majorBidi"/>
        </w:rPr>
        <w:t>likum</w:t>
      </w:r>
      <w:r w:rsidR="00D91055">
        <w:rPr>
          <w:rFonts w:asciiTheme="majorBidi" w:hAnsiTheme="majorBidi" w:cstheme="majorBidi"/>
        </w:rPr>
        <w:t>a</w:t>
      </w:r>
      <w:r w:rsidR="00D91055" w:rsidRPr="00C44A2F">
        <w:rPr>
          <w:rFonts w:asciiTheme="majorBidi" w:hAnsiTheme="majorBidi" w:cstheme="majorBidi"/>
        </w:rPr>
        <w:t xml:space="preserve"> </w:t>
      </w:r>
      <w:r w:rsidR="00D91055">
        <w:rPr>
          <w:rFonts w:asciiTheme="majorBidi" w:hAnsiTheme="majorBidi" w:cstheme="majorBidi"/>
        </w:rPr>
        <w:t xml:space="preserve">533. panta </w:t>
      </w:r>
      <w:r w:rsidR="00D91055" w:rsidRPr="00C44A2F">
        <w:rPr>
          <w:rFonts w:asciiTheme="majorBidi" w:hAnsiTheme="majorBidi" w:cstheme="majorBidi"/>
        </w:rPr>
        <w:t>prasībām un nav izpildāms</w:t>
      </w:r>
      <w:r w:rsidR="00D91055">
        <w:rPr>
          <w:rFonts w:asciiTheme="majorBidi" w:hAnsiTheme="majorBidi" w:cstheme="majorBidi"/>
        </w:rPr>
        <w:t>, jo tiesa</w:t>
      </w:r>
      <w:r w:rsidR="003A4470">
        <w:rPr>
          <w:rFonts w:asciiTheme="majorBidi" w:hAnsiTheme="majorBidi" w:cstheme="majorBidi"/>
        </w:rPr>
        <w:t xml:space="preserve"> nav atklājusi, kādas konkrētas tiesību normas un kādā veidā attiecīgais prokurors pārkāpis, </w:t>
      </w:r>
      <w:r w:rsidR="00E61311">
        <w:rPr>
          <w:rFonts w:asciiTheme="majorBidi" w:hAnsiTheme="majorBidi" w:cstheme="majorBidi"/>
        </w:rPr>
        <w:t xml:space="preserve">blakus </w:t>
      </w:r>
      <w:r w:rsidR="003A4470">
        <w:rPr>
          <w:rFonts w:asciiTheme="majorBidi" w:hAnsiTheme="majorBidi" w:cstheme="majorBidi"/>
        </w:rPr>
        <w:t xml:space="preserve">lēmuma motīvu daļā norādot vienīgi to, ka </w:t>
      </w:r>
      <w:r w:rsidRPr="00C44A2F">
        <w:rPr>
          <w:rFonts w:asciiTheme="majorBidi" w:hAnsiTheme="majorBidi" w:cstheme="majorBidi"/>
        </w:rPr>
        <w:t>prokurors J</w:t>
      </w:r>
      <w:r w:rsidR="00E62673">
        <w:rPr>
          <w:rFonts w:asciiTheme="majorBidi" w:hAnsiTheme="majorBidi" w:cstheme="majorBidi"/>
        </w:rPr>
        <w:t>. </w:t>
      </w:r>
      <w:r w:rsidRPr="00C44A2F">
        <w:rPr>
          <w:rFonts w:asciiTheme="majorBidi" w:hAnsiTheme="majorBidi" w:cstheme="majorBidi"/>
        </w:rPr>
        <w:t>Baumanis apsūdzību pamatoj</w:t>
      </w:r>
      <w:r w:rsidR="003A4470">
        <w:rPr>
          <w:rFonts w:asciiTheme="majorBidi" w:hAnsiTheme="majorBidi" w:cstheme="majorBidi"/>
        </w:rPr>
        <w:t>is</w:t>
      </w:r>
      <w:r w:rsidRPr="00C44A2F">
        <w:rPr>
          <w:rFonts w:asciiTheme="majorBidi" w:hAnsiTheme="majorBidi" w:cstheme="majorBidi"/>
        </w:rPr>
        <w:t xml:space="preserve"> ar subjektīviem un teorētiskiem pieņēmumiem</w:t>
      </w:r>
      <w:r w:rsidR="00D85E92">
        <w:rPr>
          <w:rFonts w:asciiTheme="majorBidi" w:hAnsiTheme="majorBidi" w:cstheme="majorBidi"/>
        </w:rPr>
        <w:t xml:space="preserve">, </w:t>
      </w:r>
      <w:r w:rsidR="003A4470">
        <w:rPr>
          <w:rFonts w:asciiTheme="majorBidi" w:hAnsiTheme="majorBidi" w:cstheme="majorBidi"/>
        </w:rPr>
        <w:t xml:space="preserve">savukārt </w:t>
      </w:r>
      <w:r w:rsidR="00E62673">
        <w:rPr>
          <w:rFonts w:asciiTheme="majorBidi" w:hAnsiTheme="majorBidi" w:cstheme="majorBidi"/>
        </w:rPr>
        <w:t>p</w:t>
      </w:r>
      <w:r w:rsidRPr="00C44A2F">
        <w:rPr>
          <w:rFonts w:asciiTheme="majorBidi" w:hAnsiTheme="majorBidi" w:cstheme="majorBidi"/>
        </w:rPr>
        <w:t>rokuror</w:t>
      </w:r>
      <w:r w:rsidR="003A4470">
        <w:rPr>
          <w:rFonts w:asciiTheme="majorBidi" w:hAnsiTheme="majorBidi" w:cstheme="majorBidi"/>
        </w:rPr>
        <w:t>u</w:t>
      </w:r>
      <w:r w:rsidRPr="00C44A2F">
        <w:rPr>
          <w:rFonts w:asciiTheme="majorBidi" w:hAnsiTheme="majorBidi" w:cstheme="majorBidi"/>
        </w:rPr>
        <w:t xml:space="preserve"> V</w:t>
      </w:r>
      <w:r w:rsidR="00E62673">
        <w:rPr>
          <w:rFonts w:asciiTheme="majorBidi" w:hAnsiTheme="majorBidi" w:cstheme="majorBidi"/>
        </w:rPr>
        <w:t>.</w:t>
      </w:r>
      <w:r w:rsidR="00E62673">
        <w:t> </w:t>
      </w:r>
      <w:r w:rsidRPr="00C44A2F">
        <w:rPr>
          <w:rFonts w:asciiTheme="majorBidi" w:hAnsiTheme="majorBidi" w:cstheme="majorBidi"/>
        </w:rPr>
        <w:t>Iļasov</w:t>
      </w:r>
      <w:r w:rsidR="003A4470">
        <w:rPr>
          <w:rFonts w:asciiTheme="majorBidi" w:hAnsiTheme="majorBidi" w:cstheme="majorBidi"/>
        </w:rPr>
        <w:t xml:space="preserve">u pieminot vienīgi </w:t>
      </w:r>
      <w:r w:rsidRPr="00C44A2F">
        <w:rPr>
          <w:rFonts w:asciiTheme="majorBidi" w:hAnsiTheme="majorBidi" w:cstheme="majorBidi"/>
        </w:rPr>
        <w:t>blakus lēmum</w:t>
      </w:r>
      <w:r w:rsidR="003A4470">
        <w:rPr>
          <w:rFonts w:asciiTheme="majorBidi" w:hAnsiTheme="majorBidi" w:cstheme="majorBidi"/>
        </w:rPr>
        <w:t>a</w:t>
      </w:r>
      <w:r w:rsidR="00E62673">
        <w:rPr>
          <w:rFonts w:asciiTheme="majorBidi" w:hAnsiTheme="majorBidi" w:cstheme="majorBidi"/>
        </w:rPr>
        <w:t xml:space="preserve"> </w:t>
      </w:r>
      <w:r w:rsidRPr="00C44A2F">
        <w:rPr>
          <w:rFonts w:asciiTheme="majorBidi" w:hAnsiTheme="majorBidi" w:cstheme="majorBidi"/>
        </w:rPr>
        <w:t>rezolutīvajā daļā</w:t>
      </w:r>
      <w:r>
        <w:rPr>
          <w:rFonts w:asciiTheme="majorBidi" w:hAnsiTheme="majorBidi" w:cstheme="majorBidi"/>
        </w:rPr>
        <w:t>.</w:t>
      </w:r>
      <w:bookmarkEnd w:id="1"/>
    </w:p>
    <w:bookmarkEnd w:id="2"/>
    <w:p w14:paraId="58F9E2A0" w14:textId="77777777" w:rsidR="00DB2864" w:rsidRDefault="00DB2864" w:rsidP="00D10AD6">
      <w:pPr>
        <w:widowControl w:val="0"/>
        <w:spacing w:line="276" w:lineRule="auto"/>
        <w:ind w:firstLine="720"/>
        <w:jc w:val="both"/>
        <w:rPr>
          <w:rFonts w:asciiTheme="majorBidi" w:hAnsiTheme="majorBidi" w:cstheme="majorBidi"/>
        </w:rPr>
      </w:pPr>
    </w:p>
    <w:p w14:paraId="60A0D928" w14:textId="01168B62" w:rsidR="0035764B" w:rsidRDefault="0035764B" w:rsidP="00D10AD6">
      <w:pPr>
        <w:widowControl w:val="0"/>
        <w:spacing w:line="276" w:lineRule="auto"/>
        <w:ind w:firstLine="720"/>
        <w:jc w:val="both"/>
        <w:rPr>
          <w:rFonts w:asciiTheme="majorBidi" w:hAnsiTheme="majorBidi" w:cstheme="majorBidi"/>
        </w:rPr>
      </w:pPr>
      <w:r>
        <w:rPr>
          <w:rFonts w:asciiTheme="majorBidi" w:hAnsiTheme="majorBidi" w:cstheme="majorBidi"/>
        </w:rPr>
        <w:t>[</w:t>
      </w:r>
      <w:r w:rsidR="00DB2864">
        <w:rPr>
          <w:rFonts w:asciiTheme="majorBidi" w:hAnsiTheme="majorBidi" w:cstheme="majorBidi"/>
        </w:rPr>
        <w:t>5</w:t>
      </w:r>
      <w:r>
        <w:rPr>
          <w:rFonts w:asciiTheme="majorBidi" w:hAnsiTheme="majorBidi" w:cstheme="majorBidi"/>
        </w:rPr>
        <w:t>]</w:t>
      </w:r>
      <w:r w:rsidR="002D521B">
        <w:rPr>
          <w:rFonts w:asciiTheme="majorBidi" w:hAnsiTheme="majorBidi" w:cstheme="majorBidi"/>
        </w:rPr>
        <w:t> </w:t>
      </w:r>
      <w:r>
        <w:rPr>
          <w:rFonts w:asciiTheme="majorBidi" w:hAnsiTheme="majorBidi" w:cstheme="majorBidi"/>
        </w:rPr>
        <w:t xml:space="preserve">Par prokurora kasācijas protestu rakstveida iebildumus iesniedzis apsūdzētā </w:t>
      </w:r>
      <w:r w:rsidR="003174E7">
        <w:rPr>
          <w:rFonts w:asciiTheme="majorBidi" w:hAnsiTheme="majorBidi" w:cstheme="majorBidi"/>
        </w:rPr>
        <w:t>[pers. A]</w:t>
      </w:r>
      <w:r>
        <w:rPr>
          <w:rFonts w:asciiTheme="majorBidi" w:hAnsiTheme="majorBidi" w:cstheme="majorBidi"/>
        </w:rPr>
        <w:t xml:space="preserve"> aizstāvis zvērināts advokāts A</w:t>
      </w:r>
      <w:r w:rsidR="008C3A71">
        <w:rPr>
          <w:rFonts w:asciiTheme="majorBidi" w:hAnsiTheme="majorBidi" w:cstheme="majorBidi"/>
        </w:rPr>
        <w:t xml:space="preserve">ldis </w:t>
      </w:r>
      <w:r>
        <w:rPr>
          <w:rFonts w:asciiTheme="majorBidi" w:hAnsiTheme="majorBidi" w:cstheme="majorBidi"/>
        </w:rPr>
        <w:t xml:space="preserve">Pundurs, </w:t>
      </w:r>
      <w:r w:rsidR="00D85E92">
        <w:rPr>
          <w:rFonts w:asciiTheme="majorBidi" w:hAnsiTheme="majorBidi" w:cstheme="majorBidi"/>
        </w:rPr>
        <w:t xml:space="preserve">lūdzot kasācijas protestu </w:t>
      </w:r>
      <w:r w:rsidR="00CC0DEA">
        <w:rPr>
          <w:rFonts w:asciiTheme="majorBidi" w:hAnsiTheme="majorBidi" w:cstheme="majorBidi"/>
        </w:rPr>
        <w:t>noraidīt</w:t>
      </w:r>
      <w:r>
        <w:rPr>
          <w:rFonts w:asciiTheme="majorBidi" w:hAnsiTheme="majorBidi" w:cstheme="majorBidi"/>
        </w:rPr>
        <w:t>.</w:t>
      </w:r>
    </w:p>
    <w:p w14:paraId="5A2F2352" w14:textId="77777777" w:rsidR="00D10AD6" w:rsidRDefault="00D10AD6" w:rsidP="00D10AD6">
      <w:pPr>
        <w:widowControl w:val="0"/>
        <w:spacing w:line="276" w:lineRule="auto"/>
        <w:ind w:firstLine="720"/>
        <w:jc w:val="both"/>
        <w:rPr>
          <w:rFonts w:asciiTheme="majorBidi" w:hAnsiTheme="majorBidi" w:cstheme="majorBidi"/>
        </w:rPr>
      </w:pPr>
    </w:p>
    <w:p w14:paraId="0C4E913E" w14:textId="77777777" w:rsidR="00E8590F" w:rsidRDefault="00E8590F" w:rsidP="00D10AD6">
      <w:pPr>
        <w:widowControl w:val="0"/>
        <w:shd w:val="clear" w:color="auto" w:fill="FFFFFF"/>
        <w:spacing w:line="276" w:lineRule="auto"/>
        <w:jc w:val="center"/>
        <w:rPr>
          <w:b/>
        </w:rPr>
      </w:pPr>
      <w:r w:rsidRPr="00011547">
        <w:rPr>
          <w:b/>
        </w:rPr>
        <w:t>Motīvu daļa</w:t>
      </w:r>
    </w:p>
    <w:p w14:paraId="3D1DBD07" w14:textId="77777777" w:rsidR="00D10AD6" w:rsidRPr="00011547" w:rsidRDefault="00D10AD6" w:rsidP="00D10AD6">
      <w:pPr>
        <w:widowControl w:val="0"/>
        <w:shd w:val="clear" w:color="auto" w:fill="FFFFFF"/>
        <w:spacing w:line="276" w:lineRule="auto"/>
        <w:jc w:val="center"/>
      </w:pPr>
    </w:p>
    <w:p w14:paraId="2FBBF030" w14:textId="3C272C9F" w:rsidR="009F05D2" w:rsidRDefault="009F05D2" w:rsidP="00D10AD6">
      <w:pPr>
        <w:widowControl w:val="0"/>
        <w:spacing w:line="276" w:lineRule="auto"/>
        <w:ind w:firstLine="720"/>
        <w:jc w:val="both"/>
        <w:rPr>
          <w:rFonts w:asciiTheme="majorBidi" w:hAnsiTheme="majorBidi" w:cstheme="majorBidi"/>
        </w:rPr>
      </w:pPr>
      <w:r>
        <w:rPr>
          <w:rFonts w:asciiTheme="majorBidi" w:hAnsiTheme="majorBidi" w:cstheme="majorBidi"/>
        </w:rPr>
        <w:t>[</w:t>
      </w:r>
      <w:r w:rsidR="00ED2A9F">
        <w:rPr>
          <w:rFonts w:asciiTheme="majorBidi" w:hAnsiTheme="majorBidi" w:cstheme="majorBidi"/>
        </w:rPr>
        <w:t>6</w:t>
      </w:r>
      <w:r>
        <w:rPr>
          <w:rFonts w:asciiTheme="majorBidi" w:hAnsiTheme="majorBidi" w:cstheme="majorBidi"/>
        </w:rPr>
        <w:t>]</w:t>
      </w:r>
      <w:r w:rsidR="00A26E46">
        <w:rPr>
          <w:rFonts w:asciiTheme="majorBidi" w:hAnsiTheme="majorBidi" w:cstheme="majorBidi"/>
        </w:rPr>
        <w:t> </w:t>
      </w:r>
      <w:r w:rsidRPr="003F5117">
        <w:rPr>
          <w:rFonts w:asciiTheme="majorBidi" w:hAnsiTheme="majorBidi" w:cstheme="majorBidi"/>
        </w:rPr>
        <w:t>Senāt</w:t>
      </w:r>
      <w:r w:rsidR="002D1E5C">
        <w:rPr>
          <w:rFonts w:asciiTheme="majorBidi" w:hAnsiTheme="majorBidi" w:cstheme="majorBidi"/>
        </w:rPr>
        <w:t>s</w:t>
      </w:r>
      <w:r w:rsidRPr="003F5117">
        <w:rPr>
          <w:rFonts w:asciiTheme="majorBidi" w:hAnsiTheme="majorBidi" w:cstheme="majorBidi"/>
        </w:rPr>
        <w:t xml:space="preserve"> </w:t>
      </w:r>
      <w:r w:rsidR="006D42AC">
        <w:rPr>
          <w:rFonts w:asciiTheme="majorBidi" w:hAnsiTheme="majorBidi" w:cstheme="majorBidi"/>
        </w:rPr>
        <w:t xml:space="preserve">atzīst, ka izskatāmajā lietā </w:t>
      </w:r>
      <w:r w:rsidR="004B22F1">
        <w:rPr>
          <w:rFonts w:asciiTheme="majorBidi" w:hAnsiTheme="majorBidi" w:cstheme="majorBidi"/>
        </w:rPr>
        <w:t>ir</w:t>
      </w:r>
      <w:r w:rsidRPr="003F5117">
        <w:rPr>
          <w:rFonts w:asciiTheme="majorBidi" w:hAnsiTheme="majorBidi" w:cstheme="majorBidi"/>
        </w:rPr>
        <w:t xml:space="preserve"> </w:t>
      </w:r>
      <w:r w:rsidR="004B22F1">
        <w:rPr>
          <w:rFonts w:asciiTheme="majorBidi" w:hAnsiTheme="majorBidi" w:cstheme="majorBidi"/>
        </w:rPr>
        <w:t>jā</w:t>
      </w:r>
      <w:r w:rsidRPr="003F5117">
        <w:rPr>
          <w:rFonts w:asciiTheme="majorBidi" w:hAnsiTheme="majorBidi" w:cstheme="majorBidi"/>
        </w:rPr>
        <w:t>atbild uz</w:t>
      </w:r>
      <w:r w:rsidR="002D1E5C">
        <w:rPr>
          <w:rFonts w:asciiTheme="majorBidi" w:hAnsiTheme="majorBidi" w:cstheme="majorBidi"/>
        </w:rPr>
        <w:t xml:space="preserve"> šādiem</w:t>
      </w:r>
      <w:r w:rsidRPr="003F5117">
        <w:rPr>
          <w:rFonts w:asciiTheme="majorBidi" w:hAnsiTheme="majorBidi" w:cstheme="majorBidi"/>
        </w:rPr>
        <w:t xml:space="preserve"> jautājum</w:t>
      </w:r>
      <w:r>
        <w:rPr>
          <w:rFonts w:asciiTheme="majorBidi" w:hAnsiTheme="majorBidi" w:cstheme="majorBidi"/>
        </w:rPr>
        <w:t>iem: 1) vai tiesas blakus</w:t>
      </w:r>
      <w:r w:rsidR="0035764B">
        <w:rPr>
          <w:rFonts w:asciiTheme="majorBidi" w:hAnsiTheme="majorBidi" w:cstheme="majorBidi"/>
        </w:rPr>
        <w:t xml:space="preserve"> lēmums ir pārsūdzams</w:t>
      </w:r>
      <w:r w:rsidR="006D42AC">
        <w:rPr>
          <w:rFonts w:asciiTheme="majorBidi" w:hAnsiTheme="majorBidi" w:cstheme="majorBidi"/>
        </w:rPr>
        <w:t xml:space="preserve"> un</w:t>
      </w:r>
      <w:r w:rsidR="004B22F1">
        <w:rPr>
          <w:rFonts w:asciiTheme="majorBidi" w:hAnsiTheme="majorBidi" w:cstheme="majorBidi"/>
        </w:rPr>
        <w:t>,</w:t>
      </w:r>
      <w:r w:rsidR="006D42AC">
        <w:rPr>
          <w:rFonts w:asciiTheme="majorBidi" w:hAnsiTheme="majorBidi" w:cstheme="majorBidi"/>
        </w:rPr>
        <w:t xml:space="preserve"> apstiprinošas atbildes gadījumā</w:t>
      </w:r>
      <w:r w:rsidR="004B22F1">
        <w:rPr>
          <w:rFonts w:asciiTheme="majorBidi" w:hAnsiTheme="majorBidi" w:cstheme="majorBidi"/>
        </w:rPr>
        <w:t>,</w:t>
      </w:r>
      <w:r w:rsidR="006D42AC">
        <w:rPr>
          <w:rFonts w:asciiTheme="majorBidi" w:hAnsiTheme="majorBidi" w:cstheme="majorBidi"/>
        </w:rPr>
        <w:t xml:space="preserve"> </w:t>
      </w:r>
      <w:r w:rsidR="002D1E5C">
        <w:rPr>
          <w:rFonts w:asciiTheme="majorBidi" w:hAnsiTheme="majorBidi" w:cstheme="majorBidi"/>
        </w:rPr>
        <w:t>v</w:t>
      </w:r>
      <w:r w:rsidR="002D1E5C" w:rsidRPr="002D1E5C">
        <w:rPr>
          <w:rFonts w:asciiTheme="majorBidi" w:hAnsiTheme="majorBidi" w:cstheme="majorBidi"/>
        </w:rPr>
        <w:t>ai tiesa, pieņemot blakus lēmumu</w:t>
      </w:r>
      <w:r w:rsidR="004B22F1">
        <w:rPr>
          <w:rFonts w:asciiTheme="majorBidi" w:hAnsiTheme="majorBidi" w:cstheme="majorBidi"/>
        </w:rPr>
        <w:t>,</w:t>
      </w:r>
      <w:r w:rsidR="002D1E5C" w:rsidRPr="002D1E5C">
        <w:rPr>
          <w:rFonts w:asciiTheme="majorBidi" w:hAnsiTheme="majorBidi" w:cstheme="majorBidi"/>
        </w:rPr>
        <w:t xml:space="preserve"> </w:t>
      </w:r>
      <w:r w:rsidR="004B22F1">
        <w:rPr>
          <w:rFonts w:asciiTheme="majorBidi" w:hAnsiTheme="majorBidi" w:cstheme="majorBidi"/>
        </w:rPr>
        <w:t xml:space="preserve">pareizi piemērojusi </w:t>
      </w:r>
      <w:r w:rsidR="002D1E5C" w:rsidRPr="002D1E5C">
        <w:rPr>
          <w:rFonts w:asciiTheme="majorBidi" w:hAnsiTheme="majorBidi" w:cstheme="majorBidi"/>
        </w:rPr>
        <w:t>Kriminālprocesa likuma 533.</w:t>
      </w:r>
      <w:r w:rsidR="002D1E5C">
        <w:rPr>
          <w:rFonts w:asciiTheme="majorBidi" w:hAnsiTheme="majorBidi" w:cstheme="majorBidi"/>
        </w:rPr>
        <w:t> </w:t>
      </w:r>
      <w:r w:rsidR="002D1E5C" w:rsidRPr="002D1E5C">
        <w:rPr>
          <w:rFonts w:asciiTheme="majorBidi" w:hAnsiTheme="majorBidi" w:cstheme="majorBidi"/>
        </w:rPr>
        <w:t>panta pirm</w:t>
      </w:r>
      <w:r w:rsidR="004B22F1">
        <w:rPr>
          <w:rFonts w:asciiTheme="majorBidi" w:hAnsiTheme="majorBidi" w:cstheme="majorBidi"/>
        </w:rPr>
        <w:t>o</w:t>
      </w:r>
      <w:r w:rsidR="002D1E5C" w:rsidRPr="002D1E5C">
        <w:rPr>
          <w:rFonts w:asciiTheme="majorBidi" w:hAnsiTheme="majorBidi" w:cstheme="majorBidi"/>
        </w:rPr>
        <w:t xml:space="preserve"> daļ</w:t>
      </w:r>
      <w:r w:rsidR="004B22F1">
        <w:rPr>
          <w:rFonts w:asciiTheme="majorBidi" w:hAnsiTheme="majorBidi" w:cstheme="majorBidi"/>
        </w:rPr>
        <w:t>u;</w:t>
      </w:r>
      <w:r w:rsidR="0035764B">
        <w:rPr>
          <w:rFonts w:asciiTheme="majorBidi" w:hAnsiTheme="majorBidi" w:cstheme="majorBidi"/>
        </w:rPr>
        <w:t xml:space="preserve"> </w:t>
      </w:r>
      <w:r w:rsidR="004B22F1">
        <w:rPr>
          <w:rFonts w:asciiTheme="majorBidi" w:hAnsiTheme="majorBidi" w:cstheme="majorBidi"/>
        </w:rPr>
        <w:t>2</w:t>
      </w:r>
      <w:r>
        <w:rPr>
          <w:rFonts w:asciiTheme="majorBidi" w:hAnsiTheme="majorBidi" w:cstheme="majorBidi"/>
        </w:rPr>
        <w:t>)</w:t>
      </w:r>
      <w:r w:rsidR="004B22F1">
        <w:rPr>
          <w:rFonts w:asciiTheme="majorBidi" w:hAnsiTheme="majorBidi" w:cstheme="majorBidi"/>
        </w:rPr>
        <w:t> </w:t>
      </w:r>
      <w:r>
        <w:rPr>
          <w:rFonts w:asciiTheme="majorBidi" w:hAnsiTheme="majorBidi" w:cstheme="majorBidi"/>
        </w:rPr>
        <w:t>vai kasācijas protestā norādīti tādi Krimināllikuma vai Kriminālprocesa likuma pārkāpumi, kas</w:t>
      </w:r>
      <w:r w:rsidRPr="009F05D2">
        <w:rPr>
          <w:rFonts w:asciiTheme="majorBidi" w:hAnsiTheme="majorBidi" w:cstheme="majorBidi"/>
        </w:rPr>
        <w:t xml:space="preserve"> noveduši pie nelikumīga vai netaisnīga nolēmuma.</w:t>
      </w:r>
    </w:p>
    <w:p w14:paraId="5FB22729" w14:textId="77777777" w:rsidR="009F05D2" w:rsidRDefault="009F05D2" w:rsidP="00D10AD6">
      <w:pPr>
        <w:widowControl w:val="0"/>
        <w:spacing w:line="276" w:lineRule="auto"/>
        <w:ind w:firstLine="720"/>
        <w:jc w:val="both"/>
        <w:rPr>
          <w:rFonts w:asciiTheme="majorBidi" w:hAnsiTheme="majorBidi" w:cstheme="majorBidi"/>
        </w:rPr>
      </w:pPr>
    </w:p>
    <w:p w14:paraId="2AEAE4D3" w14:textId="6B68E6FA" w:rsidR="005837C7" w:rsidRDefault="00E44B7B" w:rsidP="00D10AD6">
      <w:pPr>
        <w:widowControl w:val="0"/>
        <w:spacing w:line="276" w:lineRule="auto"/>
        <w:ind w:firstLine="720"/>
        <w:jc w:val="both"/>
        <w:rPr>
          <w:rFonts w:asciiTheme="majorBidi" w:hAnsiTheme="majorBidi" w:cstheme="majorBidi"/>
        </w:rPr>
      </w:pPr>
      <w:r>
        <w:rPr>
          <w:rFonts w:asciiTheme="majorBidi" w:hAnsiTheme="majorBidi" w:cstheme="majorBidi"/>
        </w:rPr>
        <w:t>[</w:t>
      </w:r>
      <w:r w:rsidR="004B22F1">
        <w:rPr>
          <w:rFonts w:asciiTheme="majorBidi" w:hAnsiTheme="majorBidi" w:cstheme="majorBidi"/>
        </w:rPr>
        <w:t>7] </w:t>
      </w:r>
      <w:r>
        <w:rPr>
          <w:rFonts w:asciiTheme="majorBidi" w:hAnsiTheme="majorBidi" w:cstheme="majorBidi"/>
        </w:rPr>
        <w:t>Saskaņā ar Kriminālprocesa likuma 533. panta pirmo daļu t</w:t>
      </w:r>
      <w:r w:rsidRPr="009F05D2">
        <w:rPr>
          <w:rFonts w:asciiTheme="majorBidi" w:hAnsiTheme="majorBidi" w:cstheme="majorBidi"/>
        </w:rPr>
        <w:t>iesa reizē ar galīgo nolēmumu var pieņemt blakus lēmumu, kurā kompetentai institūcijai vai amatpersonai norāda uz krimināllietā konstatētajiem tiesību normu pārkāpumiem, to cēloņiem un veicinošiem apstākļiem un pieprasa tos novērst.</w:t>
      </w:r>
    </w:p>
    <w:p w14:paraId="548AA02F" w14:textId="4FFE178F" w:rsidR="008560A6" w:rsidRDefault="00D61EAF" w:rsidP="00D10AD6">
      <w:pPr>
        <w:widowControl w:val="0"/>
        <w:spacing w:line="276" w:lineRule="auto"/>
        <w:ind w:firstLine="720"/>
        <w:jc w:val="both"/>
        <w:rPr>
          <w:rFonts w:asciiTheme="majorBidi" w:hAnsiTheme="majorBidi" w:cstheme="majorBidi"/>
        </w:rPr>
      </w:pPr>
      <w:r>
        <w:rPr>
          <w:rFonts w:asciiTheme="majorBidi" w:hAnsiTheme="majorBidi" w:cstheme="majorBidi"/>
        </w:rPr>
        <w:t>[7.1] </w:t>
      </w:r>
      <w:r w:rsidR="005837C7">
        <w:rPr>
          <w:rFonts w:asciiTheme="majorBidi" w:hAnsiTheme="majorBidi" w:cstheme="majorBidi"/>
        </w:rPr>
        <w:t>Kriminālprocesa likum</w:t>
      </w:r>
      <w:r w:rsidR="00882B41">
        <w:rPr>
          <w:rFonts w:asciiTheme="majorBidi" w:hAnsiTheme="majorBidi" w:cstheme="majorBidi"/>
        </w:rPr>
        <w:t xml:space="preserve">s </w:t>
      </w:r>
      <w:r w:rsidR="00882B41" w:rsidRPr="00477779">
        <w:rPr>
          <w:rFonts w:asciiTheme="majorBidi" w:hAnsiTheme="majorBidi" w:cstheme="majorBidi"/>
          <w:i/>
          <w:iCs/>
        </w:rPr>
        <w:t>expressis verbis</w:t>
      </w:r>
      <w:r w:rsidR="008560A6">
        <w:rPr>
          <w:rFonts w:asciiTheme="majorBidi" w:hAnsiTheme="majorBidi" w:cstheme="majorBidi"/>
        </w:rPr>
        <w:t xml:space="preserve"> </w:t>
      </w:r>
      <w:r w:rsidR="00882B41">
        <w:rPr>
          <w:rFonts w:asciiTheme="majorBidi" w:hAnsiTheme="majorBidi" w:cstheme="majorBidi"/>
        </w:rPr>
        <w:t>nenoteic</w:t>
      </w:r>
      <w:r w:rsidR="008560A6">
        <w:rPr>
          <w:rFonts w:asciiTheme="majorBidi" w:hAnsiTheme="majorBidi" w:cstheme="majorBidi"/>
        </w:rPr>
        <w:t xml:space="preserve">, vai tiesas blakus lēmums ir pārsūdzams. </w:t>
      </w:r>
      <w:r w:rsidR="00882B41">
        <w:rPr>
          <w:rFonts w:asciiTheme="majorBidi" w:hAnsiTheme="majorBidi" w:cstheme="majorBidi"/>
        </w:rPr>
        <w:t xml:space="preserve">Tomēr </w:t>
      </w:r>
      <w:r w:rsidR="005837C7">
        <w:rPr>
          <w:rFonts w:asciiTheme="majorBidi" w:hAnsiTheme="majorBidi" w:cstheme="majorBidi"/>
        </w:rPr>
        <w:t>šā</w:t>
      </w:r>
      <w:r w:rsidR="008560A6">
        <w:rPr>
          <w:rFonts w:asciiTheme="majorBidi" w:hAnsiTheme="majorBidi" w:cstheme="majorBidi"/>
        </w:rPr>
        <w:t xml:space="preserve"> likuma 533. panta ceturtā daļ</w:t>
      </w:r>
      <w:r w:rsidR="00882B41">
        <w:rPr>
          <w:rFonts w:asciiTheme="majorBidi" w:hAnsiTheme="majorBidi" w:cstheme="majorBidi"/>
        </w:rPr>
        <w:t>a</w:t>
      </w:r>
      <w:r w:rsidR="008560A6">
        <w:rPr>
          <w:rFonts w:asciiTheme="majorBidi" w:hAnsiTheme="majorBidi" w:cstheme="majorBidi"/>
        </w:rPr>
        <w:t xml:space="preserve"> notei</w:t>
      </w:r>
      <w:r w:rsidR="00882B41">
        <w:rPr>
          <w:rFonts w:asciiTheme="majorBidi" w:hAnsiTheme="majorBidi" w:cstheme="majorBidi"/>
        </w:rPr>
        <w:t>c</w:t>
      </w:r>
      <w:r w:rsidR="008560A6">
        <w:rPr>
          <w:rFonts w:asciiTheme="majorBidi" w:hAnsiTheme="majorBidi" w:cstheme="majorBidi"/>
        </w:rPr>
        <w:t xml:space="preserve">, ka </w:t>
      </w:r>
      <w:r w:rsidR="00882B41">
        <w:rPr>
          <w:rFonts w:asciiTheme="majorBidi" w:hAnsiTheme="majorBidi" w:cstheme="majorBidi"/>
        </w:rPr>
        <w:t>tiesas blakus lēmums</w:t>
      </w:r>
      <w:r w:rsidR="00882B41" w:rsidRPr="00E44B7B">
        <w:rPr>
          <w:rFonts w:asciiTheme="majorBidi" w:hAnsiTheme="majorBidi" w:cstheme="majorBidi"/>
        </w:rPr>
        <w:t xml:space="preserve"> </w:t>
      </w:r>
      <w:r w:rsidR="008560A6" w:rsidRPr="00E44B7B">
        <w:rPr>
          <w:rFonts w:asciiTheme="majorBidi" w:hAnsiTheme="majorBidi" w:cstheme="majorBidi"/>
        </w:rPr>
        <w:t>stājas spēkā vienlaikus ar spriedumu.</w:t>
      </w:r>
    </w:p>
    <w:p w14:paraId="3BB2F5CC" w14:textId="4D5FB09C" w:rsidR="00CC0006" w:rsidRDefault="00882B41" w:rsidP="00C04C00">
      <w:pPr>
        <w:widowControl w:val="0"/>
        <w:spacing w:line="276" w:lineRule="auto"/>
        <w:ind w:firstLine="720"/>
        <w:jc w:val="both"/>
        <w:rPr>
          <w:rFonts w:asciiTheme="majorBidi" w:hAnsiTheme="majorBidi" w:cstheme="majorBidi"/>
        </w:rPr>
      </w:pPr>
      <w:r>
        <w:rPr>
          <w:rFonts w:asciiTheme="majorBidi" w:hAnsiTheme="majorBidi" w:cstheme="majorBidi"/>
        </w:rPr>
        <w:t>Likumā noteiktais tiesas</w:t>
      </w:r>
      <w:r w:rsidR="00CC0006" w:rsidRPr="00CC0006">
        <w:rPr>
          <w:rFonts w:asciiTheme="majorBidi" w:hAnsiTheme="majorBidi" w:cstheme="majorBidi"/>
        </w:rPr>
        <w:t xml:space="preserve"> blakus lēmuma spēkā </w:t>
      </w:r>
      <w:r w:rsidRPr="00CC0006">
        <w:rPr>
          <w:rFonts w:asciiTheme="majorBidi" w:hAnsiTheme="majorBidi" w:cstheme="majorBidi"/>
        </w:rPr>
        <w:t>stāšan</w:t>
      </w:r>
      <w:r>
        <w:rPr>
          <w:rFonts w:asciiTheme="majorBidi" w:hAnsiTheme="majorBidi" w:cstheme="majorBidi"/>
        </w:rPr>
        <w:t>ās</w:t>
      </w:r>
      <w:r w:rsidR="00477779">
        <w:rPr>
          <w:rFonts w:asciiTheme="majorBidi" w:hAnsiTheme="majorBidi" w:cstheme="majorBidi"/>
        </w:rPr>
        <w:t xml:space="preserve"> brīdis</w:t>
      </w:r>
      <w:r>
        <w:rPr>
          <w:rFonts w:asciiTheme="majorBidi" w:hAnsiTheme="majorBidi" w:cstheme="majorBidi"/>
        </w:rPr>
        <w:t xml:space="preserve"> –</w:t>
      </w:r>
      <w:r w:rsidRPr="00CC0006">
        <w:rPr>
          <w:rFonts w:asciiTheme="majorBidi" w:hAnsiTheme="majorBidi" w:cstheme="majorBidi"/>
        </w:rPr>
        <w:t xml:space="preserve"> </w:t>
      </w:r>
      <w:r w:rsidR="00CC0006" w:rsidRPr="00CC0006">
        <w:rPr>
          <w:rFonts w:asciiTheme="majorBidi" w:hAnsiTheme="majorBidi" w:cstheme="majorBidi"/>
        </w:rPr>
        <w:t>vienlaikus ar spriedumu</w:t>
      </w:r>
      <w:r>
        <w:rPr>
          <w:rFonts w:asciiTheme="majorBidi" w:hAnsiTheme="majorBidi" w:cstheme="majorBidi"/>
        </w:rPr>
        <w:t xml:space="preserve"> –</w:t>
      </w:r>
      <w:r w:rsidR="00477779">
        <w:rPr>
          <w:rFonts w:asciiTheme="majorBidi" w:hAnsiTheme="majorBidi" w:cstheme="majorBidi"/>
        </w:rPr>
        <w:t xml:space="preserve"> </w:t>
      </w:r>
      <w:r w:rsidR="00CC0006" w:rsidRPr="00CC0006">
        <w:rPr>
          <w:rFonts w:asciiTheme="majorBidi" w:hAnsiTheme="majorBidi" w:cstheme="majorBidi"/>
        </w:rPr>
        <w:t xml:space="preserve">pats par sevi </w:t>
      </w:r>
      <w:r>
        <w:rPr>
          <w:rFonts w:asciiTheme="majorBidi" w:hAnsiTheme="majorBidi" w:cstheme="majorBidi"/>
        </w:rPr>
        <w:t>nerada pamatu secinājumam</w:t>
      </w:r>
      <w:r w:rsidR="00C04C00">
        <w:rPr>
          <w:rFonts w:asciiTheme="majorBidi" w:hAnsiTheme="majorBidi" w:cstheme="majorBidi"/>
        </w:rPr>
        <w:t>, ka šāds lēmums ir pārsūdzams</w:t>
      </w:r>
      <w:r w:rsidR="000C21D3">
        <w:rPr>
          <w:rFonts w:asciiTheme="majorBidi" w:hAnsiTheme="majorBidi" w:cstheme="majorBidi"/>
        </w:rPr>
        <w:t>.</w:t>
      </w:r>
      <w:r>
        <w:rPr>
          <w:rFonts w:asciiTheme="majorBidi" w:hAnsiTheme="majorBidi" w:cstheme="majorBidi"/>
        </w:rPr>
        <w:t xml:space="preserve"> </w:t>
      </w:r>
      <w:r w:rsidR="00CC0006" w:rsidRPr="00CC0006">
        <w:rPr>
          <w:rFonts w:asciiTheme="majorBidi" w:hAnsiTheme="majorBidi" w:cstheme="majorBidi"/>
        </w:rPr>
        <w:t>Spēkā stāšanās atlikšana var būt pamatota arī ar cit</w:t>
      </w:r>
      <w:r w:rsidR="00CC0006">
        <w:rPr>
          <w:rFonts w:asciiTheme="majorBidi" w:hAnsiTheme="majorBidi" w:cstheme="majorBidi"/>
        </w:rPr>
        <w:t>iem</w:t>
      </w:r>
      <w:r w:rsidR="00CC0006" w:rsidRPr="00CC0006">
        <w:rPr>
          <w:rFonts w:asciiTheme="majorBidi" w:hAnsiTheme="majorBidi" w:cstheme="majorBidi"/>
        </w:rPr>
        <w:t xml:space="preserve"> apsvērum</w:t>
      </w:r>
      <w:r w:rsidR="00CC0006">
        <w:rPr>
          <w:rFonts w:asciiTheme="majorBidi" w:hAnsiTheme="majorBidi" w:cstheme="majorBidi"/>
        </w:rPr>
        <w:t>iem</w:t>
      </w:r>
      <w:r w:rsidR="00CC0006" w:rsidRPr="00CC0006">
        <w:rPr>
          <w:rFonts w:asciiTheme="majorBidi" w:hAnsiTheme="majorBidi" w:cstheme="majorBidi"/>
        </w:rPr>
        <w:t xml:space="preserve">, piemēram, iespēju, ka blakus lēmumu augstākas instances tiesa var atcelt pēc savas iniciatīvas. </w:t>
      </w:r>
      <w:r>
        <w:rPr>
          <w:rFonts w:asciiTheme="majorBidi" w:hAnsiTheme="majorBidi" w:cstheme="majorBidi"/>
        </w:rPr>
        <w:t xml:space="preserve">Tādējādi </w:t>
      </w:r>
      <w:r w:rsidR="00CC0006" w:rsidRPr="00CC0006">
        <w:rPr>
          <w:rFonts w:asciiTheme="majorBidi" w:hAnsiTheme="majorBidi" w:cstheme="majorBidi"/>
        </w:rPr>
        <w:t>jautājum</w:t>
      </w:r>
      <w:r>
        <w:rPr>
          <w:rFonts w:asciiTheme="majorBidi" w:hAnsiTheme="majorBidi" w:cstheme="majorBidi"/>
        </w:rPr>
        <w:t>i</w:t>
      </w:r>
      <w:r w:rsidR="00CC0006" w:rsidRPr="00CC0006">
        <w:rPr>
          <w:rFonts w:asciiTheme="majorBidi" w:hAnsiTheme="majorBidi" w:cstheme="majorBidi"/>
        </w:rPr>
        <w:t xml:space="preserve"> par tiesas blakus lēmuma spēkā stāšanās brīdi un tā pārsūdz</w:t>
      </w:r>
      <w:r>
        <w:rPr>
          <w:rFonts w:asciiTheme="majorBidi" w:hAnsiTheme="majorBidi" w:cstheme="majorBidi"/>
        </w:rPr>
        <w:t xml:space="preserve">ību </w:t>
      </w:r>
      <w:r w:rsidR="00CC0006" w:rsidRPr="00CC0006">
        <w:rPr>
          <w:rFonts w:asciiTheme="majorBidi" w:hAnsiTheme="majorBidi" w:cstheme="majorBidi"/>
        </w:rPr>
        <w:t>ir konceptuāli nošķirami.</w:t>
      </w:r>
    </w:p>
    <w:p w14:paraId="7E5BB8E7" w14:textId="420F152A" w:rsidR="00D61EAF" w:rsidRDefault="00295B91" w:rsidP="00D10AD6">
      <w:pPr>
        <w:widowControl w:val="0"/>
        <w:spacing w:line="276" w:lineRule="auto"/>
        <w:ind w:firstLine="720"/>
        <w:jc w:val="both"/>
      </w:pPr>
      <w:r>
        <w:rPr>
          <w:rFonts w:asciiTheme="majorBidi" w:hAnsiTheme="majorBidi" w:cstheme="majorBidi"/>
        </w:rPr>
        <w:t xml:space="preserve">Juridiskajā literatūrā pausts viedoklis, ka </w:t>
      </w:r>
      <w:r w:rsidR="00BC74A8" w:rsidRPr="00BC74A8">
        <w:rPr>
          <w:rFonts w:asciiTheme="majorBidi" w:hAnsiTheme="majorBidi" w:cstheme="majorBidi"/>
        </w:rPr>
        <w:t xml:space="preserve">Kriminālprocesa likumā paredzētās tiesības iesniegt sūdzību caurvij nostādne – lēmums ir pārsūdzams, izņemot Kriminālprocesa likumā noteiktos gadījumus </w:t>
      </w:r>
      <w:r w:rsidR="00BC74A8" w:rsidRPr="00BC74A8">
        <w:t>(</w:t>
      </w:r>
      <w:r w:rsidR="00BC74A8" w:rsidRPr="00BC74A8">
        <w:rPr>
          <w:i/>
          <w:iCs/>
        </w:rPr>
        <w:t>Zeppa-Priedīte</w:t>
      </w:r>
      <w:r>
        <w:rPr>
          <w:i/>
          <w:iCs/>
        </w:rPr>
        <w:t> </w:t>
      </w:r>
      <w:r w:rsidR="00BC74A8" w:rsidRPr="00BC74A8">
        <w:rPr>
          <w:i/>
          <w:iCs/>
        </w:rPr>
        <w:t>V. 336. panta komentārs. Grām.: Kriminālprocesa likuma komentāri. A</w:t>
      </w:r>
      <w:r>
        <w:rPr>
          <w:i/>
          <w:iCs/>
        </w:rPr>
        <w:t> </w:t>
      </w:r>
      <w:r w:rsidR="00BC74A8" w:rsidRPr="00BC74A8">
        <w:rPr>
          <w:i/>
          <w:iCs/>
        </w:rPr>
        <w:t>daļa. Zinātniska monogrāfija prof.</w:t>
      </w:r>
      <w:r w:rsidR="00B545B9">
        <w:rPr>
          <w:i/>
          <w:iCs/>
        </w:rPr>
        <w:t> </w:t>
      </w:r>
      <w:r w:rsidR="00BC74A8" w:rsidRPr="00BC74A8">
        <w:rPr>
          <w:i/>
          <w:iCs/>
        </w:rPr>
        <w:t>K.</w:t>
      </w:r>
      <w:r>
        <w:rPr>
          <w:i/>
          <w:iCs/>
        </w:rPr>
        <w:t> </w:t>
      </w:r>
      <w:r w:rsidR="00BC74A8" w:rsidRPr="00BC74A8">
        <w:rPr>
          <w:i/>
          <w:iCs/>
        </w:rPr>
        <w:t>Stradas</w:t>
      </w:r>
      <w:r>
        <w:rPr>
          <w:i/>
          <w:iCs/>
        </w:rPr>
        <w:noBreakHyphen/>
      </w:r>
      <w:r w:rsidR="00BC74A8" w:rsidRPr="00BC74A8">
        <w:rPr>
          <w:i/>
          <w:iCs/>
        </w:rPr>
        <w:t>Rozenbergas zinātniskā redakcijā. Rīga: Latvijas Vēstnesis, 2019, 900. lpp.</w:t>
      </w:r>
      <w:r w:rsidR="00BC74A8" w:rsidRPr="00BC74A8">
        <w:t>).</w:t>
      </w:r>
    </w:p>
    <w:p w14:paraId="6F800EDA" w14:textId="2A3E88E3" w:rsidR="00D61EAF" w:rsidRDefault="003E369C" w:rsidP="00F533F9">
      <w:pPr>
        <w:widowControl w:val="0"/>
        <w:spacing w:line="276" w:lineRule="auto"/>
        <w:ind w:firstLine="720"/>
        <w:jc w:val="both"/>
      </w:pPr>
      <w:r>
        <w:t>Minētais viedoklis atbilst Kriminālprocesa likuma 336. panta trešajā daļā noteiktajam.</w:t>
      </w:r>
      <w:r w:rsidR="001954DF">
        <w:t xml:space="preserve"> </w:t>
      </w:r>
      <w:r w:rsidR="00D61EAF" w:rsidRPr="00356BE8">
        <w:t xml:space="preserve">Līdz ar to no Kriminālprocesa likuma sistēmiskās uzbūves izriet, ka </w:t>
      </w:r>
      <w:r w:rsidR="00D61EAF">
        <w:t xml:space="preserve">nav </w:t>
      </w:r>
      <w:r w:rsidR="00D61EAF" w:rsidRPr="00356BE8">
        <w:t xml:space="preserve">pārsūdzami tikai tie nolēmumi, kuru </w:t>
      </w:r>
      <w:r w:rsidR="00D61EAF">
        <w:t>ne</w:t>
      </w:r>
      <w:r w:rsidR="00D61EAF" w:rsidRPr="00356BE8">
        <w:t>pārsūdzamīb</w:t>
      </w:r>
      <w:r w:rsidR="00D61EAF">
        <w:t>a</w:t>
      </w:r>
      <w:r w:rsidR="00D61EAF" w:rsidRPr="00356BE8">
        <w:t xml:space="preserve"> likumā ir skaidri</w:t>
      </w:r>
      <w:r w:rsidR="00D61EAF">
        <w:t xml:space="preserve"> noteikta.</w:t>
      </w:r>
    </w:p>
    <w:p w14:paraId="4ABCCF04" w14:textId="00BC1E56" w:rsidR="00882B41" w:rsidRDefault="00110597" w:rsidP="00DF399D">
      <w:pPr>
        <w:widowControl w:val="0"/>
        <w:spacing w:line="276" w:lineRule="auto"/>
        <w:ind w:firstLine="720"/>
        <w:jc w:val="both"/>
        <w:rPr>
          <w:rFonts w:asciiTheme="majorBidi" w:hAnsiTheme="majorBidi" w:cstheme="majorBidi"/>
        </w:rPr>
      </w:pPr>
      <w:r>
        <w:rPr>
          <w:rFonts w:asciiTheme="majorBidi" w:hAnsiTheme="majorBidi" w:cstheme="majorBidi"/>
        </w:rPr>
        <w:t>Kriminālprocesa likum</w:t>
      </w:r>
      <w:r w:rsidR="008C3A71">
        <w:rPr>
          <w:rFonts w:asciiTheme="majorBidi" w:hAnsiTheme="majorBidi" w:cstheme="majorBidi"/>
        </w:rPr>
        <w:t xml:space="preserve">s neparedz izņēmumu tiesas </w:t>
      </w:r>
      <w:r>
        <w:rPr>
          <w:rFonts w:asciiTheme="majorBidi" w:hAnsiTheme="majorBidi" w:cstheme="majorBidi"/>
        </w:rPr>
        <w:t>blakus lēmuma pārsūdz</w:t>
      </w:r>
      <w:r w:rsidR="008C3A71">
        <w:rPr>
          <w:rFonts w:asciiTheme="majorBidi" w:hAnsiTheme="majorBidi" w:cstheme="majorBidi"/>
        </w:rPr>
        <w:t>ībai</w:t>
      </w:r>
      <w:r>
        <w:rPr>
          <w:rFonts w:asciiTheme="majorBidi" w:hAnsiTheme="majorBidi" w:cstheme="majorBidi"/>
        </w:rPr>
        <w:t>.</w:t>
      </w:r>
      <w:r w:rsidR="00DC4F07">
        <w:rPr>
          <w:rFonts w:asciiTheme="majorBidi" w:hAnsiTheme="majorBidi" w:cstheme="majorBidi"/>
        </w:rPr>
        <w:t xml:space="preserve"> Līdz ar to blakus lēmumu var pārsūdzēt procesā iesaistītā persona (sk.Kriminālprocesa likuma </w:t>
      </w:r>
      <w:r w:rsidR="00DC4F07">
        <w:rPr>
          <w:rFonts w:asciiTheme="majorBidi" w:hAnsiTheme="majorBidi" w:cstheme="majorBidi"/>
        </w:rPr>
        <w:lastRenderedPageBreak/>
        <w:t>336. panta pirmo daļu).</w:t>
      </w:r>
    </w:p>
    <w:p w14:paraId="51C6F704" w14:textId="38FA93FA" w:rsidR="00C735EA" w:rsidRPr="00647F6F" w:rsidRDefault="00E3545A" w:rsidP="00DC4F07">
      <w:pPr>
        <w:widowControl w:val="0"/>
        <w:spacing w:line="276" w:lineRule="auto"/>
        <w:ind w:firstLine="720"/>
        <w:jc w:val="both"/>
        <w:rPr>
          <w:rFonts w:asciiTheme="majorBidi" w:hAnsiTheme="majorBidi" w:cstheme="majorBidi"/>
        </w:rPr>
      </w:pPr>
      <w:r>
        <w:rPr>
          <w:rFonts w:asciiTheme="majorBidi" w:hAnsiTheme="majorBidi" w:cstheme="majorBidi"/>
        </w:rPr>
        <w:t>S</w:t>
      </w:r>
      <w:r w:rsidR="00356BE8" w:rsidRPr="00356BE8">
        <w:rPr>
          <w:rFonts w:asciiTheme="majorBidi" w:hAnsiTheme="majorBidi" w:cstheme="majorBidi"/>
        </w:rPr>
        <w:t>ecinājums</w:t>
      </w:r>
      <w:r>
        <w:rPr>
          <w:rFonts w:asciiTheme="majorBidi" w:hAnsiTheme="majorBidi" w:cstheme="majorBidi"/>
        </w:rPr>
        <w:t>, ka blakus lēmums ir pārsūdzams,</w:t>
      </w:r>
      <w:r w:rsidR="00356BE8" w:rsidRPr="00356BE8">
        <w:rPr>
          <w:rFonts w:asciiTheme="majorBidi" w:hAnsiTheme="majorBidi" w:cstheme="majorBidi"/>
        </w:rPr>
        <w:t xml:space="preserve"> saskan </w:t>
      </w:r>
      <w:r>
        <w:rPr>
          <w:rFonts w:asciiTheme="majorBidi" w:hAnsiTheme="majorBidi" w:cstheme="majorBidi"/>
        </w:rPr>
        <w:t xml:space="preserve">arī </w:t>
      </w:r>
      <w:r w:rsidR="00356BE8" w:rsidRPr="00356BE8">
        <w:rPr>
          <w:rFonts w:asciiTheme="majorBidi" w:hAnsiTheme="majorBidi" w:cstheme="majorBidi"/>
        </w:rPr>
        <w:t xml:space="preserve">ar Senāta </w:t>
      </w:r>
      <w:r w:rsidR="00C04C00">
        <w:rPr>
          <w:rFonts w:asciiTheme="majorBidi" w:hAnsiTheme="majorBidi" w:cstheme="majorBidi"/>
        </w:rPr>
        <w:t xml:space="preserve">līdzšinējo </w:t>
      </w:r>
      <w:r w:rsidR="00356BE8" w:rsidRPr="00356BE8">
        <w:rPr>
          <w:rFonts w:asciiTheme="majorBidi" w:hAnsiTheme="majorBidi" w:cstheme="majorBidi"/>
        </w:rPr>
        <w:t>judikatūru</w:t>
      </w:r>
      <w:r w:rsidR="00696A34" w:rsidRPr="00647F6F">
        <w:rPr>
          <w:rFonts w:asciiTheme="majorBidi" w:hAnsiTheme="majorBidi" w:cstheme="majorBidi"/>
        </w:rPr>
        <w:t xml:space="preserve"> (sk.</w:t>
      </w:r>
      <w:r w:rsidR="00563A02">
        <w:rPr>
          <w:rFonts w:asciiTheme="majorBidi" w:hAnsiTheme="majorBidi" w:cstheme="majorBidi"/>
        </w:rPr>
        <w:t> </w:t>
      </w:r>
      <w:r w:rsidR="00696A34" w:rsidRPr="00647F6F">
        <w:rPr>
          <w:i/>
          <w:iCs/>
          <w:color w:val="000000" w:themeColor="text1"/>
        </w:rPr>
        <w:t>Senāta 2024. gada 19. decembra lēmumu lietā Nr. SKK</w:t>
      </w:r>
      <w:r w:rsidR="00637398">
        <w:rPr>
          <w:i/>
          <w:iCs/>
          <w:color w:val="000000" w:themeColor="text1"/>
        </w:rPr>
        <w:noBreakHyphen/>
      </w:r>
      <w:r w:rsidR="00696A34" w:rsidRPr="00647F6F">
        <w:rPr>
          <w:i/>
          <w:iCs/>
          <w:color w:val="000000" w:themeColor="text1"/>
        </w:rPr>
        <w:t>63/2024</w:t>
      </w:r>
      <w:r w:rsidR="00696A34">
        <w:rPr>
          <w:i/>
          <w:iCs/>
          <w:color w:val="000000" w:themeColor="text1"/>
        </w:rPr>
        <w:t>,</w:t>
      </w:r>
      <w:r w:rsidR="00696A34" w:rsidRPr="00647F6F">
        <w:rPr>
          <w:i/>
          <w:iCs/>
          <w:color w:val="000000" w:themeColor="text1"/>
        </w:rPr>
        <w:t xml:space="preserve"> </w:t>
      </w:r>
      <w:hyperlink r:id="rId8" w:history="1">
        <w:r w:rsidR="00696A34" w:rsidRPr="00647F6F">
          <w:rPr>
            <w:rStyle w:val="Hyperlink"/>
            <w:i/>
            <w:iCs/>
            <w:color w:val="000000" w:themeColor="text1"/>
            <w:u w:val="none"/>
          </w:rPr>
          <w:t>ECLI:LV:AT:2024:1219.11511002713.23.L</w:t>
        </w:r>
      </w:hyperlink>
      <w:r w:rsidR="00696A34" w:rsidRPr="00D85E03">
        <w:t>)</w:t>
      </w:r>
      <w:r w:rsidR="00696A34" w:rsidRPr="00647F6F">
        <w:rPr>
          <w:i/>
          <w:iCs/>
        </w:rPr>
        <w:t>.</w:t>
      </w:r>
    </w:p>
    <w:p w14:paraId="57531E97" w14:textId="2908A722" w:rsidR="008A1CE4" w:rsidRPr="00D96504" w:rsidRDefault="009F05D2" w:rsidP="00D10AD6">
      <w:pPr>
        <w:widowControl w:val="0"/>
        <w:spacing w:line="276" w:lineRule="auto"/>
        <w:ind w:firstLine="720"/>
        <w:jc w:val="both"/>
        <w:rPr>
          <w:rFonts w:eastAsia="Calibri"/>
        </w:rPr>
      </w:pPr>
      <w:r>
        <w:rPr>
          <w:rFonts w:asciiTheme="majorBidi" w:hAnsiTheme="majorBidi" w:cstheme="majorBidi"/>
        </w:rPr>
        <w:t>[</w:t>
      </w:r>
      <w:r w:rsidR="009D6D5B">
        <w:rPr>
          <w:rFonts w:asciiTheme="majorBidi" w:hAnsiTheme="majorBidi" w:cstheme="majorBidi"/>
        </w:rPr>
        <w:t>7</w:t>
      </w:r>
      <w:r w:rsidR="00D61EAF">
        <w:rPr>
          <w:rFonts w:asciiTheme="majorBidi" w:hAnsiTheme="majorBidi" w:cstheme="majorBidi"/>
        </w:rPr>
        <w:t>.2</w:t>
      </w:r>
      <w:r w:rsidR="00EF6D57">
        <w:rPr>
          <w:rFonts w:eastAsia="Calibri"/>
        </w:rPr>
        <w:t>]</w:t>
      </w:r>
      <w:r w:rsidR="00D61EAF">
        <w:rPr>
          <w:rFonts w:eastAsia="Calibri"/>
        </w:rPr>
        <w:t> Pirms pievēr</w:t>
      </w:r>
      <w:r w:rsidR="00120170">
        <w:rPr>
          <w:rFonts w:eastAsia="Calibri"/>
        </w:rPr>
        <w:t>sties</w:t>
      </w:r>
      <w:r w:rsidR="00D61EAF">
        <w:rPr>
          <w:rFonts w:eastAsia="Calibri"/>
        </w:rPr>
        <w:t xml:space="preserve"> </w:t>
      </w:r>
      <w:r w:rsidR="00D96504">
        <w:rPr>
          <w:rFonts w:eastAsia="Calibri"/>
        </w:rPr>
        <w:t>kasācijas protesta argumentiem par</w:t>
      </w:r>
      <w:r w:rsidR="00E3545A">
        <w:rPr>
          <w:rFonts w:eastAsia="Calibri"/>
        </w:rPr>
        <w:t xml:space="preserve"> tiesas</w:t>
      </w:r>
      <w:r w:rsidR="00D96504">
        <w:rPr>
          <w:rFonts w:eastAsia="Calibri"/>
        </w:rPr>
        <w:t xml:space="preserve"> blakus lēmumu</w:t>
      </w:r>
      <w:r w:rsidR="00120170">
        <w:rPr>
          <w:rFonts w:eastAsia="Calibri"/>
        </w:rPr>
        <w:t>,</w:t>
      </w:r>
      <w:r w:rsidR="00D96504">
        <w:rPr>
          <w:rFonts w:eastAsia="Calibri"/>
        </w:rPr>
        <w:t xml:space="preserve"> </w:t>
      </w:r>
      <w:r w:rsidR="00B93C2D">
        <w:rPr>
          <w:rFonts w:eastAsia="Calibri"/>
        </w:rPr>
        <w:t xml:space="preserve">Senāts </w:t>
      </w:r>
      <w:r w:rsidR="00E3545A">
        <w:rPr>
          <w:rFonts w:eastAsia="Calibri"/>
        </w:rPr>
        <w:t>atgādina</w:t>
      </w:r>
      <w:r w:rsidR="00B93C2D">
        <w:rPr>
          <w:rFonts w:eastAsia="Calibri"/>
        </w:rPr>
        <w:t xml:space="preserve">, </w:t>
      </w:r>
      <w:r w:rsidR="009F2504" w:rsidRPr="009F2504">
        <w:rPr>
          <w:rFonts w:eastAsia="Calibri"/>
        </w:rPr>
        <w:t xml:space="preserve">ka </w:t>
      </w:r>
      <w:r w:rsidR="009F2504" w:rsidRPr="00D61EAF">
        <w:rPr>
          <w:rFonts w:eastAsia="Calibri"/>
        </w:rPr>
        <w:t xml:space="preserve">tiesa ir tiesīga pieņemt </w:t>
      </w:r>
      <w:r w:rsidR="00D61EAF">
        <w:rPr>
          <w:rFonts w:eastAsia="Calibri"/>
        </w:rPr>
        <w:t xml:space="preserve">blakus lēmumu </w:t>
      </w:r>
      <w:r w:rsidR="009F2504" w:rsidRPr="00D61EAF">
        <w:rPr>
          <w:rFonts w:eastAsia="Calibri"/>
        </w:rPr>
        <w:t>tikai jautājumos, kas neskar konkrētās lietas izskatīšanu pēc būtības</w:t>
      </w:r>
      <w:r w:rsidR="00F47E55" w:rsidRPr="00F47E55">
        <w:rPr>
          <w:rFonts w:eastAsia="Calibri"/>
        </w:rPr>
        <w:t xml:space="preserve"> (</w:t>
      </w:r>
      <w:r w:rsidR="009F2504" w:rsidRPr="009D1489">
        <w:rPr>
          <w:rFonts w:eastAsia="Calibri"/>
        </w:rPr>
        <w:t>sk.</w:t>
      </w:r>
      <w:r w:rsidR="00563A02">
        <w:rPr>
          <w:rFonts w:eastAsia="Calibri"/>
        </w:rPr>
        <w:t> </w:t>
      </w:r>
      <w:r w:rsidR="009F2504" w:rsidRPr="009D1489">
        <w:rPr>
          <w:rFonts w:eastAsia="Calibri"/>
        </w:rPr>
        <w:t>arī</w:t>
      </w:r>
      <w:r w:rsidR="009F2504">
        <w:rPr>
          <w:rFonts w:eastAsia="Calibri"/>
        </w:rPr>
        <w:t xml:space="preserve"> </w:t>
      </w:r>
      <w:r w:rsidR="00F47E55" w:rsidRPr="00F47E55">
        <w:rPr>
          <w:i/>
          <w:iCs/>
        </w:rPr>
        <w:t>Senāta 2022. gada 16. septembra lēmuma lietā Nr.</w:t>
      </w:r>
      <w:r w:rsidR="00797D31">
        <w:rPr>
          <w:i/>
          <w:iCs/>
        </w:rPr>
        <w:t> </w:t>
      </w:r>
      <w:r w:rsidR="00F47E55" w:rsidRPr="00F47E55">
        <w:rPr>
          <w:i/>
          <w:iCs/>
        </w:rPr>
        <w:t xml:space="preserve">SKK-89/2022, </w:t>
      </w:r>
      <w:hyperlink r:id="rId9" w:history="1">
        <w:r w:rsidR="00F47E55" w:rsidRPr="00F47E55">
          <w:rPr>
            <w:rStyle w:val="Hyperlink"/>
            <w:i/>
            <w:iCs/>
            <w:color w:val="auto"/>
            <w:u w:val="none"/>
          </w:rPr>
          <w:t>ECLI:LV:AT:2022:0916.11860000518.5.L</w:t>
        </w:r>
      </w:hyperlink>
      <w:r w:rsidR="00F47E55" w:rsidRPr="00F47E55">
        <w:rPr>
          <w:rFonts w:eastAsia="Calibri"/>
          <w:i/>
          <w:iCs/>
        </w:rPr>
        <w:t>, 7.8. punkt</w:t>
      </w:r>
      <w:r w:rsidR="00D96504">
        <w:rPr>
          <w:rFonts w:eastAsia="Calibri"/>
          <w:i/>
          <w:iCs/>
        </w:rPr>
        <w:t>u</w:t>
      </w:r>
      <w:r w:rsidR="00F47E55" w:rsidRPr="00F47E55">
        <w:rPr>
          <w:rFonts w:eastAsia="Calibri"/>
        </w:rPr>
        <w:t>)</w:t>
      </w:r>
      <w:r w:rsidR="003F4ADB">
        <w:rPr>
          <w:rFonts w:eastAsia="Calibri"/>
        </w:rPr>
        <w:t>, ta</w:t>
      </w:r>
      <w:r w:rsidR="006B17D9">
        <w:rPr>
          <w:rFonts w:eastAsia="Calibri"/>
        </w:rPr>
        <w:t>jā</w:t>
      </w:r>
      <w:r w:rsidR="003F4ADB">
        <w:rPr>
          <w:rFonts w:eastAsia="Calibri"/>
        </w:rPr>
        <w:t xml:space="preserve"> skaitā</w:t>
      </w:r>
      <w:r w:rsidR="008A1CE4" w:rsidRPr="008A1CE4">
        <w:rPr>
          <w:rFonts w:eastAsia="Calibri"/>
        </w:rPr>
        <w:t xml:space="preserve"> </w:t>
      </w:r>
      <w:r w:rsidR="003F4ADB">
        <w:rPr>
          <w:rFonts w:eastAsia="Calibri"/>
        </w:rPr>
        <w:t>par</w:t>
      </w:r>
      <w:r w:rsidR="003F4ADB" w:rsidRPr="008A1CE4">
        <w:rPr>
          <w:rFonts w:eastAsia="Calibri"/>
        </w:rPr>
        <w:t xml:space="preserve"> </w:t>
      </w:r>
      <w:r w:rsidR="008A1CE4" w:rsidRPr="008A1CE4">
        <w:rPr>
          <w:rFonts w:eastAsia="Calibri"/>
        </w:rPr>
        <w:t>prokurora pieļaut</w:t>
      </w:r>
      <w:r w:rsidR="003F4ADB">
        <w:rPr>
          <w:rFonts w:eastAsia="Calibri"/>
        </w:rPr>
        <w:t>ajiem</w:t>
      </w:r>
      <w:r w:rsidR="008A1CE4" w:rsidRPr="008A1CE4">
        <w:rPr>
          <w:rFonts w:eastAsia="Calibri"/>
        </w:rPr>
        <w:t xml:space="preserve"> tiesību normu pārkāpumi</w:t>
      </w:r>
      <w:r w:rsidR="003F4ADB">
        <w:rPr>
          <w:rFonts w:eastAsia="Calibri"/>
        </w:rPr>
        <w:t>em</w:t>
      </w:r>
      <w:r w:rsidR="00DE5EE3">
        <w:rPr>
          <w:rFonts w:eastAsia="Calibri"/>
        </w:rPr>
        <w:t xml:space="preserve"> (</w:t>
      </w:r>
      <w:r w:rsidR="00DE5EE3" w:rsidRPr="009D1489">
        <w:rPr>
          <w:rFonts w:eastAsia="Calibri"/>
        </w:rPr>
        <w:t>sk.</w:t>
      </w:r>
      <w:r w:rsidR="00563A02">
        <w:rPr>
          <w:rFonts w:eastAsia="Calibri"/>
        </w:rPr>
        <w:t> </w:t>
      </w:r>
      <w:r w:rsidR="00DE5EE3" w:rsidRPr="009D1489">
        <w:rPr>
          <w:rFonts w:eastAsia="Calibri"/>
        </w:rPr>
        <w:t>piemēram,</w:t>
      </w:r>
      <w:r w:rsidR="00DE5EE3" w:rsidRPr="00DE5EE3">
        <w:rPr>
          <w:rFonts w:eastAsia="Calibri"/>
          <w:i/>
          <w:iCs/>
        </w:rPr>
        <w:t xml:space="preserve"> Senāta 2021.</w:t>
      </w:r>
      <w:r w:rsidR="00733AD9">
        <w:rPr>
          <w:rFonts w:eastAsia="Calibri"/>
          <w:i/>
          <w:iCs/>
        </w:rPr>
        <w:t> </w:t>
      </w:r>
      <w:r w:rsidR="00DE5EE3" w:rsidRPr="00DE5EE3">
        <w:rPr>
          <w:rFonts w:eastAsia="Calibri"/>
          <w:i/>
          <w:iCs/>
        </w:rPr>
        <w:t>gada 31.</w:t>
      </w:r>
      <w:r w:rsidR="00733AD9">
        <w:rPr>
          <w:rFonts w:eastAsia="Calibri"/>
          <w:i/>
          <w:iCs/>
        </w:rPr>
        <w:t> </w:t>
      </w:r>
      <w:r w:rsidR="00DE5EE3" w:rsidRPr="00DE5EE3">
        <w:rPr>
          <w:rFonts w:eastAsia="Calibri"/>
          <w:i/>
          <w:iCs/>
        </w:rPr>
        <w:t>marta lēmumu lietā Nr. SKK-51/</w:t>
      </w:r>
      <w:r w:rsidR="00DE5EE3" w:rsidRPr="009D1489">
        <w:rPr>
          <w:rFonts w:eastAsia="Calibri"/>
          <w:i/>
          <w:iCs/>
        </w:rPr>
        <w:t>2021</w:t>
      </w:r>
      <w:r w:rsidR="009D1489" w:rsidRPr="009D1489">
        <w:rPr>
          <w:rFonts w:eastAsia="Calibri"/>
          <w:i/>
          <w:iCs/>
        </w:rPr>
        <w:t>,</w:t>
      </w:r>
      <w:r w:rsidR="009D1489">
        <w:rPr>
          <w:rFonts w:eastAsia="Calibri"/>
          <w:i/>
          <w:iCs/>
        </w:rPr>
        <w:t xml:space="preserve"> </w:t>
      </w:r>
      <w:hyperlink r:id="rId10" w:history="1">
        <w:r w:rsidR="00DE5EE3" w:rsidRPr="009D1489">
          <w:rPr>
            <w:rStyle w:val="Hyperlink"/>
            <w:rFonts w:eastAsia="Calibri"/>
            <w:i/>
            <w:iCs/>
            <w:color w:val="auto"/>
            <w:u w:val="none"/>
          </w:rPr>
          <w:t>ECLI:LV:AT:2021:0331.11815003517.7.L</w:t>
        </w:r>
      </w:hyperlink>
      <w:r w:rsidR="00DE5EE3" w:rsidRPr="009D1489">
        <w:rPr>
          <w:rFonts w:eastAsia="Calibri"/>
        </w:rPr>
        <w:t>).</w:t>
      </w:r>
    </w:p>
    <w:p w14:paraId="16B87960" w14:textId="63EEDD7C" w:rsidR="00550DE5" w:rsidRDefault="00550DE5" w:rsidP="00D10AD6">
      <w:pPr>
        <w:widowControl w:val="0"/>
        <w:spacing w:line="276" w:lineRule="auto"/>
        <w:ind w:firstLine="720"/>
        <w:jc w:val="both"/>
      </w:pPr>
      <w:r w:rsidRPr="00DE1099">
        <w:t xml:space="preserve">Tiesa var pieņemt </w:t>
      </w:r>
      <w:r w:rsidR="003F4ADB" w:rsidRPr="00DE1099">
        <w:t xml:space="preserve">blakus lēmumu </w:t>
      </w:r>
      <w:r w:rsidRPr="00DE1099">
        <w:t>jebkurā tiesu instancē pēc savas iniciatīvas, un t</w:t>
      </w:r>
      <w:r w:rsidR="00D96504">
        <w:t>ai</w:t>
      </w:r>
      <w:r w:rsidRPr="00DE1099">
        <w:t xml:space="preserve"> nav saistošs procesā iesaistītās personas viedoklis par šo jautājumu. Turklāt nav izšķirošas nozīmes, vai par šo jautājumu ir vai nav iesniegts prokurora apelācijas protests vai apsūdzētā apelācijas sūdzīb</w:t>
      </w:r>
      <w:r w:rsidR="00DE1099">
        <w:t>a</w:t>
      </w:r>
      <w:r w:rsidRPr="00DE1099">
        <w:t xml:space="preserve"> </w:t>
      </w:r>
      <w:r w:rsidR="00DE1099" w:rsidRPr="00DE1099">
        <w:t>(</w:t>
      </w:r>
      <w:r w:rsidR="00DE1099" w:rsidRPr="00DE1099">
        <w:rPr>
          <w:i/>
          <w:iCs/>
          <w:color w:val="000000" w:themeColor="text1"/>
        </w:rPr>
        <w:t>Senāta 2024. gada 19. decembra lēmuma lietā Nr. SKK</w:t>
      </w:r>
      <w:r w:rsidR="00015B45">
        <w:rPr>
          <w:i/>
          <w:iCs/>
          <w:color w:val="000000" w:themeColor="text1"/>
        </w:rPr>
        <w:noBreakHyphen/>
      </w:r>
      <w:r w:rsidR="00DE1099" w:rsidRPr="00DE1099">
        <w:rPr>
          <w:i/>
          <w:iCs/>
          <w:color w:val="000000" w:themeColor="text1"/>
        </w:rPr>
        <w:t>63/2024</w:t>
      </w:r>
      <w:r w:rsidR="00E3545A">
        <w:rPr>
          <w:i/>
          <w:iCs/>
          <w:color w:val="000000" w:themeColor="text1"/>
        </w:rPr>
        <w:t xml:space="preserve">, </w:t>
      </w:r>
      <w:hyperlink r:id="rId11" w:history="1">
        <w:r w:rsidR="00DE1099" w:rsidRPr="00DE1099">
          <w:rPr>
            <w:rStyle w:val="Hyperlink"/>
            <w:i/>
            <w:iCs/>
            <w:color w:val="000000" w:themeColor="text1"/>
            <w:u w:val="none"/>
          </w:rPr>
          <w:t>ECLI:LV:AT:2024:1219.11511002713.23.L</w:t>
        </w:r>
      </w:hyperlink>
      <w:r w:rsidR="00E3545A">
        <w:rPr>
          <w:i/>
          <w:iCs/>
          <w:color w:val="000000" w:themeColor="text1"/>
        </w:rPr>
        <w:t>,</w:t>
      </w:r>
      <w:r w:rsidR="00DE1099" w:rsidRPr="00DE1099">
        <w:rPr>
          <w:i/>
          <w:iCs/>
          <w:color w:val="000000" w:themeColor="text1"/>
        </w:rPr>
        <w:t xml:space="preserve"> </w:t>
      </w:r>
      <w:r w:rsidRPr="00DE1099">
        <w:rPr>
          <w:i/>
          <w:iCs/>
          <w:color w:val="000000" w:themeColor="text1"/>
        </w:rPr>
        <w:t>25</w:t>
      </w:r>
      <w:r w:rsidR="00DE1099" w:rsidRPr="00DE1099">
        <w:rPr>
          <w:i/>
          <w:iCs/>
          <w:color w:val="000000" w:themeColor="text1"/>
        </w:rPr>
        <w:t>. </w:t>
      </w:r>
      <w:r w:rsidRPr="00DE1099">
        <w:rPr>
          <w:i/>
          <w:iCs/>
          <w:color w:val="000000" w:themeColor="text1"/>
        </w:rPr>
        <w:t>punkts</w:t>
      </w:r>
      <w:r w:rsidR="00DE1099">
        <w:t>).</w:t>
      </w:r>
    </w:p>
    <w:p w14:paraId="0F56845E" w14:textId="343FFF19" w:rsidR="00E3545A" w:rsidRDefault="00015B45" w:rsidP="00D10AD6">
      <w:pPr>
        <w:widowControl w:val="0"/>
        <w:spacing w:line="276" w:lineRule="auto"/>
        <w:ind w:firstLine="720"/>
        <w:jc w:val="both"/>
        <w:rPr>
          <w:rFonts w:eastAsia="Calibri"/>
        </w:rPr>
      </w:pPr>
      <w:r>
        <w:rPr>
          <w:rFonts w:eastAsia="Calibri"/>
        </w:rPr>
        <w:t xml:space="preserve">Tādējādi </w:t>
      </w:r>
      <w:r w:rsidR="000B6CE1" w:rsidRPr="00015B45">
        <w:rPr>
          <w:rFonts w:eastAsia="Calibri"/>
        </w:rPr>
        <w:t>vispārīgos nosacījumus</w:t>
      </w:r>
      <w:r w:rsidR="000B6CE1" w:rsidRPr="00015B45" w:rsidDel="00015B45">
        <w:rPr>
          <w:rFonts w:eastAsia="Calibri"/>
        </w:rPr>
        <w:t xml:space="preserve"> </w:t>
      </w:r>
      <w:r w:rsidR="000B6CE1">
        <w:rPr>
          <w:rFonts w:eastAsia="Calibri"/>
        </w:rPr>
        <w:t xml:space="preserve">blakus lēmuma pieņemšanai </w:t>
      </w:r>
      <w:r>
        <w:rPr>
          <w:rFonts w:eastAsia="Calibri"/>
        </w:rPr>
        <w:t>a</w:t>
      </w:r>
      <w:r w:rsidR="00E3545A" w:rsidRPr="00015B45">
        <w:rPr>
          <w:rFonts w:eastAsia="Calibri"/>
        </w:rPr>
        <w:t>pelācijas instances tiesa ir ievērojusi.</w:t>
      </w:r>
    </w:p>
    <w:p w14:paraId="6FA33510" w14:textId="4C009852" w:rsidR="00BC09AA" w:rsidRDefault="00F53835" w:rsidP="00D10AD6">
      <w:pPr>
        <w:widowControl w:val="0"/>
        <w:spacing w:line="276" w:lineRule="auto"/>
        <w:ind w:firstLine="720"/>
        <w:jc w:val="both"/>
        <w:rPr>
          <w:rFonts w:eastAsia="Calibri"/>
        </w:rPr>
      </w:pPr>
      <w:r>
        <w:rPr>
          <w:rFonts w:eastAsia="Calibri"/>
        </w:rPr>
        <w:t>[</w:t>
      </w:r>
      <w:r w:rsidR="00D96504">
        <w:rPr>
          <w:rFonts w:eastAsia="Calibri"/>
        </w:rPr>
        <w:t>7</w:t>
      </w:r>
      <w:r>
        <w:rPr>
          <w:rFonts w:eastAsia="Calibri"/>
        </w:rPr>
        <w:t>.</w:t>
      </w:r>
      <w:r w:rsidR="004A3596">
        <w:rPr>
          <w:rFonts w:eastAsia="Calibri"/>
        </w:rPr>
        <w:t>3</w:t>
      </w:r>
      <w:r>
        <w:rPr>
          <w:rFonts w:eastAsia="Calibri"/>
        </w:rPr>
        <w:t>]</w:t>
      </w:r>
      <w:r w:rsidR="00523750">
        <w:rPr>
          <w:rFonts w:eastAsia="Calibri"/>
        </w:rPr>
        <w:t> </w:t>
      </w:r>
      <w:r w:rsidR="009D1489" w:rsidRPr="009D1489">
        <w:rPr>
          <w:rFonts w:eastAsia="Calibri"/>
        </w:rPr>
        <w:t xml:space="preserve">Vienlaikus Senāts </w:t>
      </w:r>
      <w:r w:rsidR="006B17D9">
        <w:rPr>
          <w:rFonts w:eastAsia="Calibri"/>
        </w:rPr>
        <w:t>atzīst</w:t>
      </w:r>
      <w:r w:rsidR="009D1489" w:rsidRPr="009D1489">
        <w:rPr>
          <w:rFonts w:eastAsia="Calibri"/>
        </w:rPr>
        <w:t>, ka apelācijas instances tiesa</w:t>
      </w:r>
      <w:r w:rsidR="00E3545A">
        <w:rPr>
          <w:rFonts w:eastAsia="Calibri"/>
        </w:rPr>
        <w:t xml:space="preserve"> </w:t>
      </w:r>
      <w:r w:rsidR="009D1489" w:rsidRPr="009D1489">
        <w:rPr>
          <w:rFonts w:eastAsia="Calibri"/>
        </w:rPr>
        <w:t xml:space="preserve">nav ievērojusi </w:t>
      </w:r>
      <w:r w:rsidR="00E3545A">
        <w:rPr>
          <w:rFonts w:eastAsia="Calibri"/>
        </w:rPr>
        <w:t>blakus lēmumam</w:t>
      </w:r>
      <w:r w:rsidR="009D1489" w:rsidRPr="009D1489">
        <w:rPr>
          <w:rFonts w:eastAsia="Calibri"/>
        </w:rPr>
        <w:t xml:space="preserve"> izvirzītās saturiskās prasības, proti, nav konkretizējusi </w:t>
      </w:r>
      <w:r w:rsidR="006B17D9">
        <w:rPr>
          <w:rFonts w:eastAsia="Calibri"/>
        </w:rPr>
        <w:t xml:space="preserve">tās </w:t>
      </w:r>
      <w:r w:rsidR="009D1489" w:rsidRPr="009D1489">
        <w:rPr>
          <w:rFonts w:eastAsia="Calibri"/>
        </w:rPr>
        <w:t>konstatētos tiesību normu pārkāpumu</w:t>
      </w:r>
      <w:r w:rsidR="009D1489">
        <w:rPr>
          <w:rFonts w:eastAsia="Calibri"/>
        </w:rPr>
        <w:t>s</w:t>
      </w:r>
      <w:r w:rsidR="009D1489" w:rsidRPr="009D1489">
        <w:rPr>
          <w:rFonts w:eastAsia="Calibri"/>
        </w:rPr>
        <w:t>.</w:t>
      </w:r>
    </w:p>
    <w:p w14:paraId="1B080E05" w14:textId="06B75C4E" w:rsidR="00BC09AA" w:rsidRDefault="00BC09AA" w:rsidP="00821202">
      <w:pPr>
        <w:widowControl w:val="0"/>
        <w:spacing w:line="276" w:lineRule="auto"/>
        <w:ind w:firstLine="720"/>
        <w:jc w:val="both"/>
        <w:rPr>
          <w:rFonts w:asciiTheme="majorBidi" w:hAnsiTheme="majorBidi" w:cstheme="majorBidi"/>
        </w:rPr>
      </w:pPr>
      <w:r>
        <w:rPr>
          <w:rFonts w:eastAsia="Calibri"/>
        </w:rPr>
        <w:t xml:space="preserve">No blakus lēmuma </w:t>
      </w:r>
      <w:r>
        <w:rPr>
          <w:rFonts w:asciiTheme="majorBidi" w:hAnsiTheme="majorBidi" w:cstheme="majorBidi"/>
        </w:rPr>
        <w:t>motīvu daļas izriet, ka apelācijas instances tiesa izteikusi attieksmi pret pirmās instances tiesas</w:t>
      </w:r>
      <w:r w:rsidR="006B17D9">
        <w:rPr>
          <w:rFonts w:asciiTheme="majorBidi" w:hAnsiTheme="majorBidi" w:cstheme="majorBidi"/>
        </w:rPr>
        <w:t xml:space="preserve"> taisīto</w:t>
      </w:r>
      <w:r>
        <w:rPr>
          <w:rFonts w:asciiTheme="majorBidi" w:hAnsiTheme="majorBidi" w:cstheme="majorBidi"/>
        </w:rPr>
        <w:t xml:space="preserve"> </w:t>
      </w:r>
      <w:r w:rsidR="006B17D9">
        <w:rPr>
          <w:rFonts w:asciiTheme="majorBidi" w:hAnsiTheme="majorBidi" w:cstheme="majorBidi"/>
        </w:rPr>
        <w:t xml:space="preserve">attaisnojošo </w:t>
      </w:r>
      <w:r>
        <w:rPr>
          <w:rFonts w:asciiTheme="majorBidi" w:hAnsiTheme="majorBidi" w:cstheme="majorBidi"/>
        </w:rPr>
        <w:t>spriedumu</w:t>
      </w:r>
      <w:r w:rsidR="00C30F2B">
        <w:rPr>
          <w:rFonts w:asciiTheme="majorBidi" w:hAnsiTheme="majorBidi" w:cstheme="majorBidi"/>
        </w:rPr>
        <w:t xml:space="preserve"> un</w:t>
      </w:r>
      <w:r w:rsidR="00D15A53">
        <w:rPr>
          <w:rFonts w:asciiTheme="majorBidi" w:hAnsiTheme="majorBidi" w:cstheme="majorBidi"/>
        </w:rPr>
        <w:t xml:space="preserve"> sniegusi</w:t>
      </w:r>
      <w:r w:rsidRPr="00F47E55">
        <w:rPr>
          <w:rFonts w:asciiTheme="majorBidi" w:hAnsiTheme="majorBidi" w:cstheme="majorBidi"/>
        </w:rPr>
        <w:t xml:space="preserve"> vērtējum</w:t>
      </w:r>
      <w:r w:rsidR="00D15A53">
        <w:rPr>
          <w:rFonts w:asciiTheme="majorBidi" w:hAnsiTheme="majorBidi" w:cstheme="majorBidi"/>
        </w:rPr>
        <w:t>u</w:t>
      </w:r>
      <w:r w:rsidRPr="00F47E55">
        <w:rPr>
          <w:rFonts w:asciiTheme="majorBidi" w:hAnsiTheme="majorBidi" w:cstheme="majorBidi"/>
        </w:rPr>
        <w:t xml:space="preserve"> prokurora rīcīb</w:t>
      </w:r>
      <w:r>
        <w:rPr>
          <w:rFonts w:asciiTheme="majorBidi" w:hAnsiTheme="majorBidi" w:cstheme="majorBidi"/>
        </w:rPr>
        <w:t>ai</w:t>
      </w:r>
      <w:r w:rsidRPr="00F47E55">
        <w:rPr>
          <w:rFonts w:asciiTheme="majorBidi" w:hAnsiTheme="majorBidi" w:cstheme="majorBidi"/>
        </w:rPr>
        <w:t xml:space="preserve">, norādot, </w:t>
      </w:r>
      <w:r>
        <w:rPr>
          <w:rFonts w:asciiTheme="majorBidi" w:hAnsiTheme="majorBidi" w:cstheme="majorBidi"/>
        </w:rPr>
        <w:t xml:space="preserve">ka </w:t>
      </w:r>
      <w:r w:rsidR="00145291">
        <w:rPr>
          <w:rFonts w:asciiTheme="majorBidi" w:hAnsiTheme="majorBidi" w:cstheme="majorBidi"/>
        </w:rPr>
        <w:t>p</w:t>
      </w:r>
      <w:r w:rsidR="00145291" w:rsidRPr="00F47E55">
        <w:rPr>
          <w:rFonts w:asciiTheme="majorBidi" w:hAnsiTheme="majorBidi" w:cstheme="majorBidi"/>
        </w:rPr>
        <w:t>rokurors J</w:t>
      </w:r>
      <w:r w:rsidR="00145291">
        <w:rPr>
          <w:rFonts w:asciiTheme="majorBidi" w:hAnsiTheme="majorBidi" w:cstheme="majorBidi"/>
        </w:rPr>
        <w:t>. </w:t>
      </w:r>
      <w:r w:rsidR="00145291" w:rsidRPr="00F47E55">
        <w:rPr>
          <w:rFonts w:asciiTheme="majorBidi" w:hAnsiTheme="majorBidi" w:cstheme="majorBidi"/>
        </w:rPr>
        <w:t>Baumanis uztur</w:t>
      </w:r>
      <w:r w:rsidR="00145291" w:rsidRPr="00F47E55">
        <w:rPr>
          <w:rFonts w:asciiTheme="majorBidi" w:hAnsiTheme="majorBidi" w:cstheme="majorBidi" w:hint="eastAsia"/>
        </w:rPr>
        <w:t>ē</w:t>
      </w:r>
      <w:r w:rsidR="00145291" w:rsidRPr="00F47E55">
        <w:rPr>
          <w:rFonts w:asciiTheme="majorBidi" w:hAnsiTheme="majorBidi" w:cstheme="majorBidi"/>
        </w:rPr>
        <w:t>to aps</w:t>
      </w:r>
      <w:r w:rsidR="00145291" w:rsidRPr="00F47E55">
        <w:rPr>
          <w:rFonts w:asciiTheme="majorBidi" w:hAnsiTheme="majorBidi" w:cstheme="majorBidi" w:hint="eastAsia"/>
        </w:rPr>
        <w:t>ū</w:t>
      </w:r>
      <w:r w:rsidR="00145291" w:rsidRPr="00F47E55">
        <w:rPr>
          <w:rFonts w:asciiTheme="majorBidi" w:hAnsiTheme="majorBidi" w:cstheme="majorBidi"/>
        </w:rPr>
        <w:t>dz</w:t>
      </w:r>
      <w:r w:rsidR="00145291" w:rsidRPr="00F47E55">
        <w:rPr>
          <w:rFonts w:asciiTheme="majorBidi" w:hAnsiTheme="majorBidi" w:cstheme="majorBidi" w:hint="eastAsia"/>
        </w:rPr>
        <w:t>ī</w:t>
      </w:r>
      <w:r w:rsidR="00145291" w:rsidRPr="00F47E55">
        <w:rPr>
          <w:rFonts w:asciiTheme="majorBidi" w:hAnsiTheme="majorBidi" w:cstheme="majorBidi"/>
        </w:rPr>
        <w:t>bu pamatoj</w:t>
      </w:r>
      <w:r w:rsidR="00145291">
        <w:rPr>
          <w:rFonts w:asciiTheme="majorBidi" w:hAnsiTheme="majorBidi" w:cstheme="majorBidi"/>
        </w:rPr>
        <w:t>is</w:t>
      </w:r>
      <w:r w:rsidR="00145291" w:rsidRPr="00F47E55">
        <w:rPr>
          <w:rFonts w:asciiTheme="majorBidi" w:hAnsiTheme="majorBidi" w:cstheme="majorBidi"/>
        </w:rPr>
        <w:t xml:space="preserve"> tikai ar</w:t>
      </w:r>
      <w:r w:rsidR="00145291">
        <w:rPr>
          <w:rFonts w:asciiTheme="majorBidi" w:hAnsiTheme="majorBidi" w:cstheme="majorBidi"/>
        </w:rPr>
        <w:t xml:space="preserve"> </w:t>
      </w:r>
      <w:r w:rsidR="00145291" w:rsidRPr="00F47E55">
        <w:rPr>
          <w:rFonts w:asciiTheme="majorBidi" w:hAnsiTheme="majorBidi" w:cstheme="majorBidi"/>
        </w:rPr>
        <w:t>subjekt</w:t>
      </w:r>
      <w:r w:rsidR="00145291" w:rsidRPr="00F47E55">
        <w:rPr>
          <w:rFonts w:asciiTheme="majorBidi" w:hAnsiTheme="majorBidi" w:cstheme="majorBidi" w:hint="eastAsia"/>
        </w:rPr>
        <w:t>ī</w:t>
      </w:r>
      <w:r w:rsidR="00145291" w:rsidRPr="00F47E55">
        <w:rPr>
          <w:rFonts w:asciiTheme="majorBidi" w:hAnsiTheme="majorBidi" w:cstheme="majorBidi"/>
        </w:rPr>
        <w:t>viem un teor</w:t>
      </w:r>
      <w:r w:rsidR="00145291" w:rsidRPr="00F47E55">
        <w:rPr>
          <w:rFonts w:asciiTheme="majorBidi" w:hAnsiTheme="majorBidi" w:cstheme="majorBidi" w:hint="eastAsia"/>
        </w:rPr>
        <w:t>ē</w:t>
      </w:r>
      <w:r w:rsidR="00145291" w:rsidRPr="00F47E55">
        <w:rPr>
          <w:rFonts w:asciiTheme="majorBidi" w:hAnsiTheme="majorBidi" w:cstheme="majorBidi"/>
        </w:rPr>
        <w:t>tiskiem pie</w:t>
      </w:r>
      <w:r w:rsidR="00145291" w:rsidRPr="00F47E55">
        <w:rPr>
          <w:rFonts w:asciiTheme="majorBidi" w:hAnsiTheme="majorBidi" w:cstheme="majorBidi" w:hint="eastAsia"/>
        </w:rPr>
        <w:t>ņē</w:t>
      </w:r>
      <w:r w:rsidR="00145291" w:rsidRPr="00F47E55">
        <w:rPr>
          <w:rFonts w:asciiTheme="majorBidi" w:hAnsiTheme="majorBidi" w:cstheme="majorBidi"/>
        </w:rPr>
        <w:t>mumiem</w:t>
      </w:r>
      <w:r w:rsidR="00145291">
        <w:rPr>
          <w:rFonts w:asciiTheme="majorBidi" w:hAnsiTheme="majorBidi" w:cstheme="majorBidi"/>
        </w:rPr>
        <w:t xml:space="preserve">, </w:t>
      </w:r>
      <w:r w:rsidR="00C30F2B">
        <w:rPr>
          <w:rFonts w:asciiTheme="majorBidi" w:hAnsiTheme="majorBidi" w:cstheme="majorBidi"/>
        </w:rPr>
        <w:t xml:space="preserve">kaut </w:t>
      </w:r>
      <w:r w:rsidRPr="00F47E55">
        <w:rPr>
          <w:rFonts w:asciiTheme="majorBidi" w:hAnsiTheme="majorBidi" w:cstheme="majorBidi"/>
        </w:rPr>
        <w:t>pier</w:t>
      </w:r>
      <w:r w:rsidRPr="00F47E55">
        <w:rPr>
          <w:rFonts w:asciiTheme="majorBidi" w:hAnsiTheme="majorBidi" w:cstheme="majorBidi" w:hint="eastAsia"/>
        </w:rPr>
        <w:t>ā</w:t>
      </w:r>
      <w:r w:rsidRPr="00F47E55">
        <w:rPr>
          <w:rFonts w:asciiTheme="majorBidi" w:hAnsiTheme="majorBidi" w:cstheme="majorBidi"/>
        </w:rPr>
        <w:t>d</w:t>
      </w:r>
      <w:r w:rsidRPr="00F47E55">
        <w:rPr>
          <w:rFonts w:asciiTheme="majorBidi" w:hAnsiTheme="majorBidi" w:cstheme="majorBidi" w:hint="eastAsia"/>
        </w:rPr>
        <w:t>ī</w:t>
      </w:r>
      <w:r w:rsidRPr="00F47E55">
        <w:rPr>
          <w:rFonts w:asciiTheme="majorBidi" w:hAnsiTheme="majorBidi" w:cstheme="majorBidi"/>
        </w:rPr>
        <w:t>jumi ac</w:t>
      </w:r>
      <w:r w:rsidRPr="00F47E55">
        <w:rPr>
          <w:rFonts w:asciiTheme="majorBidi" w:hAnsiTheme="majorBidi" w:cstheme="majorBidi" w:hint="eastAsia"/>
        </w:rPr>
        <w:t>ī</w:t>
      </w:r>
      <w:r w:rsidRPr="00F47E55">
        <w:rPr>
          <w:rFonts w:asciiTheme="majorBidi" w:hAnsiTheme="majorBidi" w:cstheme="majorBidi"/>
        </w:rPr>
        <w:t>mredzami nor</w:t>
      </w:r>
      <w:r w:rsidRPr="00F47E55">
        <w:rPr>
          <w:rFonts w:asciiTheme="majorBidi" w:hAnsiTheme="majorBidi" w:cstheme="majorBidi" w:hint="eastAsia"/>
        </w:rPr>
        <w:t>ā</w:t>
      </w:r>
      <w:r w:rsidRPr="00F47E55">
        <w:rPr>
          <w:rFonts w:asciiTheme="majorBidi" w:hAnsiTheme="majorBidi" w:cstheme="majorBidi"/>
        </w:rPr>
        <w:t xml:space="preserve">da uz </w:t>
      </w:r>
      <w:r>
        <w:rPr>
          <w:rFonts w:asciiTheme="majorBidi" w:hAnsiTheme="majorBidi" w:cstheme="majorBidi"/>
        </w:rPr>
        <w:t xml:space="preserve">apsūdzēto </w:t>
      </w:r>
      <w:r w:rsidR="00821202">
        <w:rPr>
          <w:rFonts w:asciiTheme="majorBidi" w:hAnsiTheme="majorBidi" w:cstheme="majorBidi"/>
        </w:rPr>
        <w:t>[pers.</w:t>
      </w:r>
      <w:r w:rsidR="008301F4">
        <w:rPr>
          <w:rFonts w:asciiTheme="majorBidi" w:hAnsiTheme="majorBidi" w:cstheme="majorBidi"/>
        </w:rPr>
        <w:t> </w:t>
      </w:r>
      <w:r w:rsidR="00821202">
        <w:rPr>
          <w:rFonts w:asciiTheme="majorBidi" w:hAnsiTheme="majorBidi" w:cstheme="majorBidi"/>
        </w:rPr>
        <w:t>A]</w:t>
      </w:r>
      <w:r w:rsidR="00145291">
        <w:rPr>
          <w:rFonts w:asciiTheme="majorBidi" w:hAnsiTheme="majorBidi" w:cstheme="majorBidi"/>
        </w:rPr>
        <w:t xml:space="preserve"> un </w:t>
      </w:r>
      <w:r w:rsidR="00821202">
        <w:rPr>
          <w:rFonts w:asciiTheme="majorBidi" w:hAnsiTheme="majorBidi" w:cstheme="majorBidi"/>
        </w:rPr>
        <w:t>[pers. B]</w:t>
      </w:r>
      <w:r w:rsidR="00145291">
        <w:rPr>
          <w:rFonts w:asciiTheme="majorBidi" w:hAnsiTheme="majorBidi" w:cstheme="majorBidi"/>
        </w:rPr>
        <w:t xml:space="preserve"> </w:t>
      </w:r>
      <w:r w:rsidRPr="00F47E55">
        <w:rPr>
          <w:rFonts w:asciiTheme="majorBidi" w:hAnsiTheme="majorBidi" w:cstheme="majorBidi"/>
        </w:rPr>
        <w:t>nevain</w:t>
      </w:r>
      <w:r w:rsidRPr="00F47E55">
        <w:rPr>
          <w:rFonts w:asciiTheme="majorBidi" w:hAnsiTheme="majorBidi" w:cstheme="majorBidi" w:hint="eastAsia"/>
        </w:rPr>
        <w:t>ī</w:t>
      </w:r>
      <w:r w:rsidRPr="00F47E55">
        <w:rPr>
          <w:rFonts w:asciiTheme="majorBidi" w:hAnsiTheme="majorBidi" w:cstheme="majorBidi"/>
        </w:rPr>
        <w:t>gumu</w:t>
      </w:r>
      <w:r>
        <w:rPr>
          <w:rFonts w:asciiTheme="majorBidi" w:hAnsiTheme="majorBidi" w:cstheme="majorBidi"/>
        </w:rPr>
        <w:t>.</w:t>
      </w:r>
    </w:p>
    <w:p w14:paraId="46F59758" w14:textId="397AC84E" w:rsidR="00BC09AA" w:rsidRDefault="00145291" w:rsidP="00D10AD6">
      <w:pPr>
        <w:widowControl w:val="0"/>
        <w:spacing w:line="276" w:lineRule="auto"/>
        <w:ind w:firstLine="720"/>
        <w:jc w:val="both"/>
        <w:rPr>
          <w:rFonts w:eastAsia="Calibri"/>
        </w:rPr>
      </w:pPr>
      <w:r>
        <w:rPr>
          <w:rFonts w:asciiTheme="majorBidi" w:hAnsiTheme="majorBidi" w:cstheme="majorBidi"/>
        </w:rPr>
        <w:t xml:space="preserve">Apelācijas instances tiesa atzinusi, ka konstatētās nepilnības pirmstiesas kriminālprocesā un pretrunas </w:t>
      </w:r>
      <w:r w:rsidRPr="00F47E55">
        <w:rPr>
          <w:rFonts w:asciiTheme="majorBidi" w:hAnsiTheme="majorBidi" w:cstheme="majorBidi"/>
        </w:rPr>
        <w:t>pier</w:t>
      </w:r>
      <w:r w:rsidRPr="00F47E55">
        <w:rPr>
          <w:rFonts w:asciiTheme="majorBidi" w:hAnsiTheme="majorBidi" w:cstheme="majorBidi" w:hint="eastAsia"/>
        </w:rPr>
        <w:t>ā</w:t>
      </w:r>
      <w:r w:rsidRPr="00F47E55">
        <w:rPr>
          <w:rFonts w:asciiTheme="majorBidi" w:hAnsiTheme="majorBidi" w:cstheme="majorBidi"/>
        </w:rPr>
        <w:t>d</w:t>
      </w:r>
      <w:r w:rsidRPr="00F47E55">
        <w:rPr>
          <w:rFonts w:asciiTheme="majorBidi" w:hAnsiTheme="majorBidi" w:cstheme="majorBidi" w:hint="eastAsia"/>
        </w:rPr>
        <w:t>ī</w:t>
      </w:r>
      <w:r w:rsidRPr="00F47E55">
        <w:rPr>
          <w:rFonts w:asciiTheme="majorBidi" w:hAnsiTheme="majorBidi" w:cstheme="majorBidi"/>
        </w:rPr>
        <w:t>jumu prezent</w:t>
      </w:r>
      <w:r w:rsidRPr="00F47E55">
        <w:rPr>
          <w:rFonts w:asciiTheme="majorBidi" w:hAnsiTheme="majorBidi" w:cstheme="majorBidi" w:hint="eastAsia"/>
        </w:rPr>
        <w:t>ēš</w:t>
      </w:r>
      <w:r w:rsidRPr="00F47E55">
        <w:rPr>
          <w:rFonts w:asciiTheme="majorBidi" w:hAnsiTheme="majorBidi" w:cstheme="majorBidi"/>
        </w:rPr>
        <w:t>an</w:t>
      </w:r>
      <w:r w:rsidRPr="00F47E55">
        <w:rPr>
          <w:rFonts w:asciiTheme="majorBidi" w:hAnsiTheme="majorBidi" w:cstheme="majorBidi" w:hint="eastAsia"/>
        </w:rPr>
        <w:t>ā</w:t>
      </w:r>
      <w:r w:rsidRPr="00F47E55">
        <w:rPr>
          <w:rFonts w:asciiTheme="majorBidi" w:hAnsiTheme="majorBidi" w:cstheme="majorBidi"/>
        </w:rPr>
        <w:t xml:space="preserve"> pirm</w:t>
      </w:r>
      <w:r w:rsidRPr="00F47E55">
        <w:rPr>
          <w:rFonts w:asciiTheme="majorBidi" w:hAnsiTheme="majorBidi" w:cstheme="majorBidi" w:hint="eastAsia"/>
        </w:rPr>
        <w:t>ā</w:t>
      </w:r>
      <w:r w:rsidRPr="00F47E55">
        <w:rPr>
          <w:rFonts w:asciiTheme="majorBidi" w:hAnsiTheme="majorBidi" w:cstheme="majorBidi"/>
        </w:rPr>
        <w:t>s un apel</w:t>
      </w:r>
      <w:r w:rsidRPr="00F47E55">
        <w:rPr>
          <w:rFonts w:asciiTheme="majorBidi" w:hAnsiTheme="majorBidi" w:cstheme="majorBidi" w:hint="eastAsia"/>
        </w:rPr>
        <w:t>ā</w:t>
      </w:r>
      <w:r w:rsidRPr="00F47E55">
        <w:rPr>
          <w:rFonts w:asciiTheme="majorBidi" w:hAnsiTheme="majorBidi" w:cstheme="majorBidi"/>
        </w:rPr>
        <w:t>cijas instances ties</w:t>
      </w:r>
      <w:r w:rsidRPr="00F47E55">
        <w:rPr>
          <w:rFonts w:asciiTheme="majorBidi" w:hAnsiTheme="majorBidi" w:cstheme="majorBidi" w:hint="eastAsia"/>
        </w:rPr>
        <w:t>ā</w:t>
      </w:r>
      <w:r>
        <w:rPr>
          <w:rFonts w:asciiTheme="majorBidi" w:hAnsiTheme="majorBidi" w:cstheme="majorBidi"/>
        </w:rPr>
        <w:t xml:space="preserve"> ir pirmstiesas kriminālprocesu uzraugošā </w:t>
      </w:r>
      <w:r w:rsidRPr="00F47E55">
        <w:rPr>
          <w:rFonts w:asciiTheme="majorBidi" w:hAnsiTheme="majorBidi" w:cstheme="majorBidi"/>
        </w:rPr>
        <w:t>prokuror</w:t>
      </w:r>
      <w:r>
        <w:rPr>
          <w:rFonts w:asciiTheme="majorBidi" w:hAnsiTheme="majorBidi" w:cstheme="majorBidi"/>
        </w:rPr>
        <w:t>a</w:t>
      </w:r>
      <w:r w:rsidRPr="00F47E55">
        <w:rPr>
          <w:rFonts w:asciiTheme="majorBidi" w:hAnsiTheme="majorBidi" w:cstheme="majorBidi"/>
        </w:rPr>
        <w:t xml:space="preserve"> un v</w:t>
      </w:r>
      <w:r w:rsidRPr="00F47E55">
        <w:rPr>
          <w:rFonts w:asciiTheme="majorBidi" w:hAnsiTheme="majorBidi" w:cstheme="majorBidi" w:hint="eastAsia"/>
        </w:rPr>
        <w:t>ē</w:t>
      </w:r>
      <w:r w:rsidRPr="00F47E55">
        <w:rPr>
          <w:rFonts w:asciiTheme="majorBidi" w:hAnsiTheme="majorBidi" w:cstheme="majorBidi"/>
        </w:rPr>
        <w:t>l</w:t>
      </w:r>
      <w:r w:rsidRPr="00F47E55">
        <w:rPr>
          <w:rFonts w:asciiTheme="majorBidi" w:hAnsiTheme="majorBidi" w:cstheme="majorBidi" w:hint="eastAsia"/>
        </w:rPr>
        <w:t>ā</w:t>
      </w:r>
      <w:r w:rsidRPr="00F47E55">
        <w:rPr>
          <w:rFonts w:asciiTheme="majorBidi" w:hAnsiTheme="majorBidi" w:cstheme="majorBidi"/>
        </w:rPr>
        <w:t>k cit</w:t>
      </w:r>
      <w:r>
        <w:rPr>
          <w:rFonts w:asciiTheme="majorBidi" w:hAnsiTheme="majorBidi" w:cstheme="majorBidi"/>
        </w:rPr>
        <w:t>a</w:t>
      </w:r>
      <w:r w:rsidRPr="00F47E55">
        <w:rPr>
          <w:rFonts w:asciiTheme="majorBidi" w:hAnsiTheme="majorBidi" w:cstheme="majorBidi"/>
        </w:rPr>
        <w:t xml:space="preserve"> prokuror</w:t>
      </w:r>
      <w:r>
        <w:rPr>
          <w:rFonts w:asciiTheme="majorBidi" w:hAnsiTheme="majorBidi" w:cstheme="majorBidi"/>
        </w:rPr>
        <w:t xml:space="preserve">a – valsts apsūdzības uzturētāja tiesā – </w:t>
      </w:r>
      <w:r w:rsidRPr="00F47E55">
        <w:rPr>
          <w:rFonts w:asciiTheme="majorBidi" w:hAnsiTheme="majorBidi" w:cstheme="majorBidi"/>
        </w:rPr>
        <w:t>pie</w:t>
      </w:r>
      <w:r w:rsidRPr="00F47E55">
        <w:rPr>
          <w:rFonts w:asciiTheme="majorBidi" w:hAnsiTheme="majorBidi" w:cstheme="majorBidi" w:hint="eastAsia"/>
        </w:rPr>
        <w:t>ļ</w:t>
      </w:r>
      <w:r>
        <w:rPr>
          <w:rFonts w:asciiTheme="majorBidi" w:hAnsiTheme="majorBidi" w:cstheme="majorBidi"/>
        </w:rPr>
        <w:t>autā</w:t>
      </w:r>
      <w:r w:rsidRPr="00F47E55">
        <w:rPr>
          <w:rFonts w:asciiTheme="majorBidi" w:hAnsiTheme="majorBidi" w:cstheme="majorBidi"/>
        </w:rPr>
        <w:t xml:space="preserve"> profesion</w:t>
      </w:r>
      <w:r w:rsidRPr="00F47E55">
        <w:rPr>
          <w:rFonts w:asciiTheme="majorBidi" w:hAnsiTheme="majorBidi" w:cstheme="majorBidi" w:hint="eastAsia"/>
        </w:rPr>
        <w:t>ā</w:t>
      </w:r>
      <w:r w:rsidRPr="00F47E55">
        <w:rPr>
          <w:rFonts w:asciiTheme="majorBidi" w:hAnsiTheme="majorBidi" w:cstheme="majorBidi"/>
        </w:rPr>
        <w:t>l</w:t>
      </w:r>
      <w:r>
        <w:rPr>
          <w:rFonts w:asciiTheme="majorBidi" w:hAnsiTheme="majorBidi" w:cstheme="majorBidi"/>
        </w:rPr>
        <w:t>ā</w:t>
      </w:r>
      <w:r w:rsidRPr="00F47E55">
        <w:rPr>
          <w:rFonts w:asciiTheme="majorBidi" w:hAnsiTheme="majorBidi" w:cstheme="majorBidi"/>
        </w:rPr>
        <w:t xml:space="preserve"> nolaid</w:t>
      </w:r>
      <w:r w:rsidRPr="00F47E55">
        <w:rPr>
          <w:rFonts w:asciiTheme="majorBidi" w:hAnsiTheme="majorBidi" w:cstheme="majorBidi" w:hint="eastAsia"/>
        </w:rPr>
        <w:t>ī</w:t>
      </w:r>
      <w:r w:rsidRPr="00F47E55">
        <w:rPr>
          <w:rFonts w:asciiTheme="majorBidi" w:hAnsiTheme="majorBidi" w:cstheme="majorBidi"/>
        </w:rPr>
        <w:t>b</w:t>
      </w:r>
      <w:r>
        <w:rPr>
          <w:rFonts w:asciiTheme="majorBidi" w:hAnsiTheme="majorBidi" w:cstheme="majorBidi"/>
        </w:rPr>
        <w:t>a.</w:t>
      </w:r>
    </w:p>
    <w:p w14:paraId="73A7EA13" w14:textId="3EE0E746" w:rsidR="009D74D7" w:rsidRDefault="009628D5" w:rsidP="003136CC">
      <w:pPr>
        <w:widowControl w:val="0"/>
        <w:spacing w:line="276" w:lineRule="auto"/>
        <w:ind w:firstLine="720"/>
        <w:jc w:val="both"/>
        <w:rPr>
          <w:rFonts w:eastAsia="Calibri"/>
        </w:rPr>
      </w:pPr>
      <w:r>
        <w:rPr>
          <w:rFonts w:eastAsia="Calibri"/>
        </w:rPr>
        <w:t xml:space="preserve">Senāts atzīst, ka apelācijas instances tiesas blakus lēmuma saturs ir vispārīgs un </w:t>
      </w:r>
      <w:r w:rsidR="009D74D7">
        <w:rPr>
          <w:rFonts w:eastAsia="Calibri"/>
        </w:rPr>
        <w:t>nekonkretizē</w:t>
      </w:r>
      <w:r>
        <w:rPr>
          <w:rFonts w:eastAsia="Calibri"/>
        </w:rPr>
        <w:t xml:space="preserve"> </w:t>
      </w:r>
      <w:r w:rsidRPr="00E3545A">
        <w:rPr>
          <w:rFonts w:asciiTheme="majorBidi" w:hAnsiTheme="majorBidi" w:cstheme="majorBidi"/>
        </w:rPr>
        <w:t>prokuroru pieļaut</w:t>
      </w:r>
      <w:r w:rsidR="009D74D7">
        <w:rPr>
          <w:rFonts w:asciiTheme="majorBidi" w:hAnsiTheme="majorBidi" w:cstheme="majorBidi"/>
        </w:rPr>
        <w:t>us</w:t>
      </w:r>
      <w:r w:rsidRPr="00E3545A">
        <w:rPr>
          <w:rFonts w:asciiTheme="majorBidi" w:hAnsiTheme="majorBidi" w:cstheme="majorBidi"/>
        </w:rPr>
        <w:t xml:space="preserve"> tiesību normu pārkāpum</w:t>
      </w:r>
      <w:r w:rsidR="009D74D7">
        <w:rPr>
          <w:rFonts w:asciiTheme="majorBidi" w:hAnsiTheme="majorBidi" w:cstheme="majorBidi"/>
        </w:rPr>
        <w:t>us pirmstiesas kriminālprocesā un iztiesāšanā, kā arī pretrunas pierādījumu prezentēšanā</w:t>
      </w:r>
      <w:r>
        <w:rPr>
          <w:rFonts w:asciiTheme="majorBidi" w:hAnsiTheme="majorBidi" w:cstheme="majorBidi"/>
        </w:rPr>
        <w:t xml:space="preserve">, tiesai aprobežojoties </w:t>
      </w:r>
      <w:r>
        <w:rPr>
          <w:rFonts w:eastAsia="Calibri"/>
        </w:rPr>
        <w:t xml:space="preserve">vienīgi ar neapmierinātības paušanu </w:t>
      </w:r>
      <w:r w:rsidRPr="00EF6D57">
        <w:rPr>
          <w:rFonts w:eastAsia="Calibri"/>
        </w:rPr>
        <w:t xml:space="preserve">par </w:t>
      </w:r>
      <w:r>
        <w:rPr>
          <w:rFonts w:eastAsia="Calibri"/>
        </w:rPr>
        <w:t>apsūdzības celšanu, apelācijas protesta iesniegšanu un uzturēšanu apelācijas instances tiesā kā tādu.</w:t>
      </w:r>
      <w:r w:rsidR="009D74D7">
        <w:rPr>
          <w:rFonts w:eastAsia="Calibri"/>
        </w:rPr>
        <w:t xml:space="preserve"> </w:t>
      </w:r>
      <w:r w:rsidR="009D1489">
        <w:rPr>
          <w:rFonts w:eastAsia="Calibri"/>
        </w:rPr>
        <w:t xml:space="preserve">Turklāt </w:t>
      </w:r>
      <w:r w:rsidR="009D74D7">
        <w:rPr>
          <w:rFonts w:eastAsia="Calibri"/>
        </w:rPr>
        <w:t>a</w:t>
      </w:r>
      <w:r w:rsidR="0001176E">
        <w:rPr>
          <w:rFonts w:eastAsia="Calibri"/>
        </w:rPr>
        <w:t xml:space="preserve">pelācijas instances </w:t>
      </w:r>
      <w:r w:rsidR="009D1489">
        <w:rPr>
          <w:rFonts w:eastAsia="Calibri"/>
        </w:rPr>
        <w:t>tiesa nav ņēmusi vērā, ka</w:t>
      </w:r>
      <w:r w:rsidR="003136CC">
        <w:rPr>
          <w:rFonts w:eastAsia="Calibri"/>
        </w:rPr>
        <w:t>,</w:t>
      </w:r>
      <w:r w:rsidR="009D1489">
        <w:rPr>
          <w:rFonts w:eastAsia="Calibri"/>
        </w:rPr>
        <w:t xml:space="preserve"> </w:t>
      </w:r>
      <w:r w:rsidR="003136CC">
        <w:rPr>
          <w:rFonts w:eastAsia="Calibri"/>
        </w:rPr>
        <w:t xml:space="preserve">vērtējot </w:t>
      </w:r>
      <w:r w:rsidR="00EF6D57">
        <w:rPr>
          <w:rFonts w:eastAsia="Calibri"/>
        </w:rPr>
        <w:t xml:space="preserve">valsts apsūdzības uzturētāja </w:t>
      </w:r>
      <w:r w:rsidR="003136CC">
        <w:rPr>
          <w:rFonts w:eastAsia="Calibri"/>
        </w:rPr>
        <w:t xml:space="preserve">iespējamos </w:t>
      </w:r>
      <w:r w:rsidR="00EF6D57">
        <w:rPr>
          <w:rFonts w:eastAsia="Calibri"/>
        </w:rPr>
        <w:t>tiesību normu pārkāpum</w:t>
      </w:r>
      <w:r w:rsidR="003136CC">
        <w:rPr>
          <w:rFonts w:eastAsia="Calibri"/>
        </w:rPr>
        <w:t>us,</w:t>
      </w:r>
      <w:r w:rsidR="00EF6D57">
        <w:rPr>
          <w:rFonts w:eastAsia="Calibri"/>
        </w:rPr>
        <w:t xml:space="preserve"> </w:t>
      </w:r>
      <w:r w:rsidR="000B33F6" w:rsidRPr="000B33F6">
        <w:rPr>
          <w:rFonts w:eastAsia="Calibri"/>
        </w:rPr>
        <w:t xml:space="preserve">jāievēro </w:t>
      </w:r>
      <w:r w:rsidR="0082382B">
        <w:rPr>
          <w:rFonts w:eastAsia="Calibri"/>
        </w:rPr>
        <w:t xml:space="preserve">īpaša </w:t>
      </w:r>
      <w:r w:rsidR="000B33F6" w:rsidRPr="000B33F6">
        <w:rPr>
          <w:rFonts w:eastAsia="Calibri"/>
        </w:rPr>
        <w:t xml:space="preserve">piesardzība, jo </w:t>
      </w:r>
      <w:r w:rsidR="00BC09AA">
        <w:rPr>
          <w:rFonts w:eastAsia="Calibri"/>
        </w:rPr>
        <w:t xml:space="preserve">Kriminālprocesa </w:t>
      </w:r>
      <w:r w:rsidR="000B33F6" w:rsidRPr="000B33F6">
        <w:rPr>
          <w:rFonts w:eastAsia="Calibri"/>
        </w:rPr>
        <w:t xml:space="preserve">likuma sistēma pēc būtības paredz, ka </w:t>
      </w:r>
      <w:r w:rsidR="00B74974">
        <w:rPr>
          <w:rFonts w:eastAsia="Calibri"/>
        </w:rPr>
        <w:t>prokurora</w:t>
      </w:r>
      <w:r w:rsidR="005D54A1">
        <w:rPr>
          <w:rFonts w:eastAsia="Calibri"/>
        </w:rPr>
        <w:t xml:space="preserve"> </w:t>
      </w:r>
      <w:r w:rsidR="000B33F6" w:rsidRPr="000B33F6">
        <w:rPr>
          <w:rFonts w:eastAsia="Calibri"/>
        </w:rPr>
        <w:t xml:space="preserve">viedoklis var atšķirties </w:t>
      </w:r>
      <w:r w:rsidR="000B33F6">
        <w:rPr>
          <w:rFonts w:eastAsia="Calibri"/>
        </w:rPr>
        <w:t xml:space="preserve">no tiesas viedokļa </w:t>
      </w:r>
      <w:r w:rsidR="000B33F6" w:rsidRPr="000B33F6">
        <w:rPr>
          <w:rFonts w:eastAsia="Calibri"/>
        </w:rPr>
        <w:t>gan tiesību normu piemērošanā, gan pierādījumu vērtējumā. Šāda viedokļu atšķirība ir dabiska kriminālprocesa sastāvdaļa</w:t>
      </w:r>
      <w:r w:rsidR="000B33F6">
        <w:rPr>
          <w:rFonts w:eastAsia="Calibri"/>
        </w:rPr>
        <w:t xml:space="preserve">. </w:t>
      </w:r>
      <w:r w:rsidR="008A1CE4" w:rsidRPr="008A1CE4">
        <w:rPr>
          <w:rFonts w:eastAsia="Calibri"/>
        </w:rPr>
        <w:t>Tādējādi vienīgi atšķirīgs tiesas viedoklis par šiem jautājumiem nav uzskatāms par pietiekamu pamatu blakus lēmuma pieņemšanai.</w:t>
      </w:r>
    </w:p>
    <w:p w14:paraId="22A14398" w14:textId="50022EF5" w:rsidR="009628D5" w:rsidRDefault="009D74D7" w:rsidP="00D10AD6">
      <w:pPr>
        <w:widowControl w:val="0"/>
        <w:spacing w:line="276" w:lineRule="auto"/>
        <w:ind w:firstLine="720"/>
        <w:jc w:val="both"/>
        <w:rPr>
          <w:rFonts w:eastAsia="Calibri"/>
        </w:rPr>
      </w:pPr>
      <w:r>
        <w:rPr>
          <w:rFonts w:asciiTheme="majorBidi" w:hAnsiTheme="majorBidi" w:cstheme="majorBidi"/>
        </w:rPr>
        <w:t xml:space="preserve">Ievērojot </w:t>
      </w:r>
      <w:r w:rsidR="004F3A15">
        <w:rPr>
          <w:rFonts w:asciiTheme="majorBidi" w:hAnsiTheme="majorBidi" w:cstheme="majorBidi"/>
        </w:rPr>
        <w:t>to, ka</w:t>
      </w:r>
      <w:r>
        <w:rPr>
          <w:rFonts w:asciiTheme="majorBidi" w:hAnsiTheme="majorBidi" w:cstheme="majorBidi"/>
        </w:rPr>
        <w:t xml:space="preserve"> </w:t>
      </w:r>
      <w:r w:rsidRPr="00EF6D57">
        <w:rPr>
          <w:rFonts w:eastAsia="Calibri"/>
        </w:rPr>
        <w:t>apelācijas instances tiesa</w:t>
      </w:r>
      <w:r>
        <w:rPr>
          <w:rFonts w:eastAsia="Calibri"/>
        </w:rPr>
        <w:t xml:space="preserve"> blakus lēmumā</w:t>
      </w:r>
      <w:r w:rsidRPr="00EF6D57">
        <w:rPr>
          <w:rFonts w:eastAsia="Calibri"/>
        </w:rPr>
        <w:t xml:space="preserve"> nav norādījusi tādus faktiskos un tiesiskos apstākļus, kas</w:t>
      </w:r>
      <w:r w:rsidRPr="00733AD9">
        <w:rPr>
          <w:rFonts w:eastAsia="Calibri"/>
        </w:rPr>
        <w:t xml:space="preserve"> atbilst Kriminālprocesa likuma 533.</w:t>
      </w:r>
      <w:r>
        <w:rPr>
          <w:rFonts w:eastAsia="Calibri"/>
        </w:rPr>
        <w:t> </w:t>
      </w:r>
      <w:r w:rsidRPr="00733AD9">
        <w:rPr>
          <w:rFonts w:eastAsia="Calibri"/>
        </w:rPr>
        <w:t xml:space="preserve">panta pirmajā daļā </w:t>
      </w:r>
      <w:r w:rsidRPr="00733AD9">
        <w:rPr>
          <w:rFonts w:eastAsia="Calibri"/>
        </w:rPr>
        <w:lastRenderedPageBreak/>
        <w:t>noteiktajām prasībām</w:t>
      </w:r>
      <w:r w:rsidR="004F3A15">
        <w:rPr>
          <w:rFonts w:eastAsia="Calibri"/>
        </w:rPr>
        <w:t>, tās pieņemtais</w:t>
      </w:r>
      <w:r>
        <w:rPr>
          <w:rFonts w:eastAsia="Calibri"/>
        </w:rPr>
        <w:t xml:space="preserve"> </w:t>
      </w:r>
      <w:r w:rsidRPr="00EF6D57">
        <w:rPr>
          <w:rFonts w:eastAsia="Calibri"/>
        </w:rPr>
        <w:t>blakus lēmums</w:t>
      </w:r>
      <w:r>
        <w:rPr>
          <w:rFonts w:eastAsia="Calibri"/>
        </w:rPr>
        <w:t xml:space="preserve"> </w:t>
      </w:r>
      <w:r w:rsidRPr="00EF6D57">
        <w:rPr>
          <w:rFonts w:eastAsia="Calibri"/>
        </w:rPr>
        <w:t>ir atceļams.</w:t>
      </w:r>
    </w:p>
    <w:p w14:paraId="2509B783" w14:textId="2B52803A" w:rsidR="00DE1099" w:rsidRDefault="00DE1099" w:rsidP="00D10AD6">
      <w:pPr>
        <w:widowControl w:val="0"/>
        <w:spacing w:line="276" w:lineRule="auto"/>
        <w:ind w:firstLine="720"/>
        <w:jc w:val="both"/>
      </w:pPr>
      <w:r w:rsidRPr="00DE1099">
        <w:rPr>
          <w:rFonts w:eastAsia="Calibri"/>
        </w:rPr>
        <w:t xml:space="preserve">Senāts jau iepriekš </w:t>
      </w:r>
      <w:r w:rsidR="0001176E">
        <w:rPr>
          <w:rFonts w:eastAsia="Calibri"/>
        </w:rPr>
        <w:t>norādījis</w:t>
      </w:r>
      <w:r w:rsidRPr="00DE1099">
        <w:rPr>
          <w:rFonts w:eastAsia="Calibri"/>
        </w:rPr>
        <w:t xml:space="preserve">, ka </w:t>
      </w:r>
      <w:r>
        <w:rPr>
          <w:rFonts w:eastAsia="Calibri"/>
        </w:rPr>
        <w:t>t</w:t>
      </w:r>
      <w:r w:rsidRPr="00DE1099">
        <w:t>iesai rūpīgi jāvērtē, vai katrā gadījumā, kad tiek konstatēts iespējamais Kriminālprocesa likuma pārkāpums, ir jāpieņem blakus lēmums. Pārsteidzīgi un nepamatoti ir pieņemt lēmumu par atšķirīgu viedokli par Krimināllikuma normas piemērošanu. Šādos gadījumos ir jāatturas no blakus lēmumu pieņemšanas (</w:t>
      </w:r>
      <w:r w:rsidR="0001176E">
        <w:t>sk.</w:t>
      </w:r>
      <w:r w:rsidR="00A26E46">
        <w:t> </w:t>
      </w:r>
      <w:r w:rsidRPr="00DE1099">
        <w:rPr>
          <w:i/>
          <w:iCs/>
          <w:color w:val="000000" w:themeColor="text1"/>
        </w:rPr>
        <w:t>Senāta 2024. gada 19. decembra lēmuma lietā Nr. SKK-63/2024</w:t>
      </w:r>
      <w:r w:rsidR="009D1489">
        <w:rPr>
          <w:i/>
          <w:iCs/>
          <w:color w:val="000000" w:themeColor="text1"/>
        </w:rPr>
        <w:t xml:space="preserve">, </w:t>
      </w:r>
      <w:hyperlink r:id="rId12" w:history="1">
        <w:r w:rsidRPr="00DE1099">
          <w:rPr>
            <w:rStyle w:val="Hyperlink"/>
            <w:i/>
            <w:iCs/>
            <w:color w:val="000000" w:themeColor="text1"/>
            <w:u w:val="none"/>
          </w:rPr>
          <w:t>ECLI:LV:AT:2024:1219.11511002713.23.L</w:t>
        </w:r>
      </w:hyperlink>
      <w:r w:rsidR="009D1489">
        <w:rPr>
          <w:i/>
          <w:iCs/>
          <w:color w:val="000000" w:themeColor="text1"/>
        </w:rPr>
        <w:t>,</w:t>
      </w:r>
      <w:r w:rsidRPr="00DE1099">
        <w:rPr>
          <w:i/>
          <w:iCs/>
          <w:color w:val="000000" w:themeColor="text1"/>
        </w:rPr>
        <w:t xml:space="preserve"> 25. punkts</w:t>
      </w:r>
      <w:r w:rsidRPr="00DE1099">
        <w:t>).</w:t>
      </w:r>
    </w:p>
    <w:p w14:paraId="07CAA77B" w14:textId="0E8654B4" w:rsidR="00AF45CA" w:rsidRDefault="00AF45CA" w:rsidP="00D10AD6">
      <w:pPr>
        <w:widowControl w:val="0"/>
        <w:spacing w:line="276" w:lineRule="auto"/>
        <w:ind w:firstLine="720"/>
        <w:jc w:val="both"/>
      </w:pPr>
      <w:r w:rsidRPr="00D9281C">
        <w:rPr>
          <w:rFonts w:eastAsia="Calibri"/>
          <w:color w:val="000000" w:themeColor="text1"/>
        </w:rPr>
        <w:t xml:space="preserve">Senāts </w:t>
      </w:r>
      <w:r>
        <w:rPr>
          <w:rFonts w:eastAsia="Calibri"/>
          <w:color w:val="000000" w:themeColor="text1"/>
        </w:rPr>
        <w:t>nekonstatē apstākļus, kas būtu par pamatu jauna tiesas blakus lēmuma pieņemšanai un prokurora kasācijas protestā izteiktā lūguma apmierināšanai.</w:t>
      </w:r>
    </w:p>
    <w:p w14:paraId="2FCB6D33" w14:textId="77777777" w:rsidR="00DC2BE8" w:rsidRDefault="00DC2BE8" w:rsidP="00D10AD6">
      <w:pPr>
        <w:widowControl w:val="0"/>
        <w:spacing w:line="276" w:lineRule="auto"/>
        <w:ind w:firstLine="720"/>
        <w:jc w:val="both"/>
      </w:pPr>
      <w:bookmarkStart w:id="3" w:name="_Hlk203073242"/>
    </w:p>
    <w:p w14:paraId="427187D1" w14:textId="6638ABDF" w:rsidR="002D1E5C" w:rsidRPr="00DC2BE8" w:rsidRDefault="007A4103" w:rsidP="00D10AD6">
      <w:pPr>
        <w:widowControl w:val="0"/>
        <w:spacing w:line="276" w:lineRule="auto"/>
        <w:ind w:firstLine="720"/>
        <w:jc w:val="both"/>
      </w:pPr>
      <w:r w:rsidRPr="000D0D79">
        <w:rPr>
          <w:rFonts w:eastAsia="Calibri"/>
        </w:rPr>
        <w:t>[</w:t>
      </w:r>
      <w:r w:rsidR="00D96504" w:rsidRPr="000D0D79">
        <w:rPr>
          <w:rFonts w:eastAsia="Calibri"/>
        </w:rPr>
        <w:t>8</w:t>
      </w:r>
      <w:r w:rsidRPr="000D0D79">
        <w:rPr>
          <w:rFonts w:eastAsia="Calibri"/>
        </w:rPr>
        <w:t>]</w:t>
      </w:r>
      <w:r w:rsidR="00342E23">
        <w:rPr>
          <w:rFonts w:eastAsia="Calibri"/>
        </w:rPr>
        <w:t> </w:t>
      </w:r>
      <w:r w:rsidR="000D0D79" w:rsidRPr="000D0D79">
        <w:t xml:space="preserve">Tālāk Senātam </w:t>
      </w:r>
      <w:r w:rsidR="00342E23">
        <w:t>jāsniedz atbilde uz to</w:t>
      </w:r>
      <w:r w:rsidR="00967283" w:rsidRPr="000D0D79">
        <w:rPr>
          <w:rFonts w:eastAsia="Calibri"/>
        </w:rPr>
        <w:t xml:space="preserve">, </w:t>
      </w:r>
      <w:r w:rsidR="00967283" w:rsidRPr="000D0D79">
        <w:rPr>
          <w:rFonts w:asciiTheme="majorBidi" w:hAnsiTheme="majorBidi" w:cstheme="majorBidi"/>
        </w:rPr>
        <w:t xml:space="preserve">vai prokurora kasācijas protestā </w:t>
      </w:r>
      <w:r w:rsidR="00697C5A" w:rsidRPr="000D0D79">
        <w:rPr>
          <w:rFonts w:asciiTheme="majorBidi" w:hAnsiTheme="majorBidi" w:cstheme="majorBidi"/>
        </w:rPr>
        <w:t xml:space="preserve">ir </w:t>
      </w:r>
      <w:r w:rsidR="00967283" w:rsidRPr="000D0D79">
        <w:rPr>
          <w:rFonts w:asciiTheme="majorBidi" w:hAnsiTheme="majorBidi" w:cstheme="majorBidi"/>
        </w:rPr>
        <w:t xml:space="preserve">norādīti Krimināllikuma vai </w:t>
      </w:r>
      <w:r w:rsidR="00305F2E" w:rsidRPr="000D0D79">
        <w:rPr>
          <w:rFonts w:asciiTheme="majorBidi" w:hAnsiTheme="majorBidi" w:cstheme="majorBidi"/>
        </w:rPr>
        <w:t xml:space="preserve">tādi </w:t>
      </w:r>
      <w:r w:rsidR="00967283" w:rsidRPr="000D0D79">
        <w:rPr>
          <w:rFonts w:asciiTheme="majorBidi" w:hAnsiTheme="majorBidi" w:cstheme="majorBidi"/>
        </w:rPr>
        <w:t>Kriminālprocesa likuma pārkāpumi, kas noveduši pie nelikumīga vai netaisnīga nolēmuma.</w:t>
      </w:r>
    </w:p>
    <w:p w14:paraId="6284B704" w14:textId="1BCC42B4" w:rsidR="00851C18" w:rsidRDefault="000D0D79" w:rsidP="0027028D">
      <w:pPr>
        <w:widowControl w:val="0"/>
        <w:spacing w:line="276" w:lineRule="auto"/>
        <w:ind w:firstLine="720"/>
        <w:jc w:val="both"/>
        <w:rPr>
          <w:rFonts w:asciiTheme="majorBidi" w:hAnsiTheme="majorBidi" w:cstheme="majorBidi"/>
        </w:rPr>
      </w:pPr>
      <w:r>
        <w:rPr>
          <w:rFonts w:asciiTheme="majorBidi" w:hAnsiTheme="majorBidi" w:cstheme="majorBidi"/>
        </w:rPr>
        <w:t>[8.1]</w:t>
      </w:r>
      <w:r w:rsidR="009E2521">
        <w:rPr>
          <w:rFonts w:asciiTheme="majorBidi" w:hAnsiTheme="majorBidi" w:cstheme="majorBidi"/>
        </w:rPr>
        <w:t> </w:t>
      </w:r>
      <w:r w:rsidR="00342E23" w:rsidRPr="0086129D">
        <w:rPr>
          <w:rFonts w:asciiTheme="majorBidi" w:hAnsiTheme="majorBidi" w:cstheme="majorBidi"/>
        </w:rPr>
        <w:t xml:space="preserve">Pirms </w:t>
      </w:r>
      <w:r w:rsidR="00342E23">
        <w:rPr>
          <w:rFonts w:asciiTheme="majorBidi" w:hAnsiTheme="majorBidi" w:cstheme="majorBidi"/>
        </w:rPr>
        <w:t>pievērsties</w:t>
      </w:r>
      <w:r w:rsidR="00342E23" w:rsidRPr="0086129D">
        <w:rPr>
          <w:rFonts w:asciiTheme="majorBidi" w:hAnsiTheme="majorBidi" w:cstheme="majorBidi"/>
        </w:rPr>
        <w:t xml:space="preserve"> kasācijas protesta vērtēšana</w:t>
      </w:r>
      <w:r w:rsidR="00342E23">
        <w:rPr>
          <w:rFonts w:asciiTheme="majorBidi" w:hAnsiTheme="majorBidi" w:cstheme="majorBidi"/>
        </w:rPr>
        <w:t>i</w:t>
      </w:r>
      <w:r w:rsidR="00342E23" w:rsidRPr="0086129D">
        <w:rPr>
          <w:rFonts w:asciiTheme="majorBidi" w:hAnsiTheme="majorBidi" w:cstheme="majorBidi"/>
        </w:rPr>
        <w:t xml:space="preserve"> Senāts </w:t>
      </w:r>
      <w:r w:rsidR="002E3151">
        <w:rPr>
          <w:rFonts w:asciiTheme="majorBidi" w:hAnsiTheme="majorBidi" w:cstheme="majorBidi"/>
        </w:rPr>
        <w:t>atzīst</w:t>
      </w:r>
      <w:r w:rsidR="002E3151" w:rsidRPr="0086129D">
        <w:rPr>
          <w:rFonts w:asciiTheme="majorBidi" w:hAnsiTheme="majorBidi" w:cstheme="majorBidi"/>
        </w:rPr>
        <w:t xml:space="preserve"> </w:t>
      </w:r>
      <w:r w:rsidR="00342E23" w:rsidRPr="0086129D">
        <w:rPr>
          <w:rFonts w:asciiTheme="majorBidi" w:hAnsiTheme="majorBidi" w:cstheme="majorBidi"/>
        </w:rPr>
        <w:t xml:space="preserve">par nepieciešamu </w:t>
      </w:r>
      <w:r w:rsidR="00342E23">
        <w:rPr>
          <w:rFonts w:asciiTheme="majorBidi" w:hAnsiTheme="majorBidi" w:cstheme="majorBidi"/>
        </w:rPr>
        <w:t xml:space="preserve">konspektīvi aprakstīt </w:t>
      </w:r>
      <w:r w:rsidR="00342E23" w:rsidRPr="0086129D">
        <w:rPr>
          <w:rFonts w:asciiTheme="majorBidi" w:hAnsiTheme="majorBidi" w:cstheme="majorBidi"/>
        </w:rPr>
        <w:t>apelācijas instances tiesas galvenos secinājumus</w:t>
      </w:r>
      <w:r w:rsidR="00342E23">
        <w:rPr>
          <w:rFonts w:asciiTheme="majorBidi" w:hAnsiTheme="majorBidi" w:cstheme="majorBidi"/>
        </w:rPr>
        <w:t>.</w:t>
      </w:r>
    </w:p>
    <w:p w14:paraId="1EE5CB90" w14:textId="7B03F96D" w:rsidR="004F2172" w:rsidRDefault="004216C4" w:rsidP="0027028D">
      <w:pPr>
        <w:widowControl w:val="0"/>
        <w:spacing w:line="276" w:lineRule="auto"/>
        <w:ind w:firstLine="720"/>
        <w:jc w:val="both"/>
      </w:pPr>
      <w:r>
        <w:t>A</w:t>
      </w:r>
      <w:r w:rsidRPr="004216C4">
        <w:t>pelācijas instances tiesa</w:t>
      </w:r>
      <w:r>
        <w:t xml:space="preserve"> </w:t>
      </w:r>
      <w:r w:rsidR="008E208E">
        <w:t>atzinusi</w:t>
      </w:r>
      <w:r w:rsidRPr="004216C4">
        <w:t>, ka</w:t>
      </w:r>
      <w:r>
        <w:t xml:space="preserve"> </w:t>
      </w:r>
      <w:r w:rsidR="008E208E">
        <w:t xml:space="preserve">lietā esošie un pirmās instances tiesā detalizēti pārbaudītie un novērtētie pierādījumi apstiprina </w:t>
      </w:r>
      <w:r>
        <w:t xml:space="preserve">apsūdzēto </w:t>
      </w:r>
      <w:r w:rsidR="008E208E" w:rsidRPr="004216C4">
        <w:t>nevainīgum</w:t>
      </w:r>
      <w:r w:rsidR="008E208E">
        <w:t xml:space="preserve">u. Tiesa </w:t>
      </w:r>
      <w:r w:rsidR="0069481B">
        <w:t>secinājusi</w:t>
      </w:r>
      <w:r w:rsidR="008E208E">
        <w:t>, ka</w:t>
      </w:r>
      <w:r w:rsidR="0060092A">
        <w:t>:</w:t>
      </w:r>
    </w:p>
    <w:p w14:paraId="283D9D3A" w14:textId="1239F55C" w:rsidR="0060092A" w:rsidRDefault="0086129D" w:rsidP="00A26E46">
      <w:pPr>
        <w:pStyle w:val="ListParagraph"/>
        <w:widowControl w:val="0"/>
        <w:numPr>
          <w:ilvl w:val="0"/>
          <w:numId w:val="5"/>
        </w:numPr>
        <w:spacing w:line="276" w:lineRule="auto"/>
        <w:ind w:left="0" w:firstLine="426"/>
        <w:contextualSpacing w:val="0"/>
        <w:jc w:val="both"/>
      </w:pPr>
      <w:r>
        <w:t>v</w:t>
      </w:r>
      <w:r w:rsidRPr="0086129D">
        <w:t xml:space="preserve">eicot dienesta pienākumus, apsūdzētie ir rīkojušies atbilstoši normatīvajos aktos noteiktajam pienākumam uzsākt kriminālprocesu gadījumos, </w:t>
      </w:r>
      <w:r w:rsidR="0060092A">
        <w:t xml:space="preserve">ja tiek </w:t>
      </w:r>
      <w:r w:rsidRPr="0086129D">
        <w:t>saņemtas ziņas, kas liecina par iespējama noziedzīga nodarījuma izdarīšanu</w:t>
      </w:r>
      <w:r>
        <w:t xml:space="preserve"> </w:t>
      </w:r>
      <w:r w:rsidR="004F2172">
        <w:t>(</w:t>
      </w:r>
      <w:r w:rsidR="004F2172" w:rsidRPr="004A3596">
        <w:t>sk</w:t>
      </w:r>
      <w:r w:rsidR="004F2172" w:rsidRPr="0086129D">
        <w:rPr>
          <w:i/>
          <w:iCs/>
        </w:rPr>
        <w:t>.</w:t>
      </w:r>
      <w:r w:rsidR="00A31537">
        <w:rPr>
          <w:i/>
          <w:iCs/>
        </w:rPr>
        <w:t> </w:t>
      </w:r>
      <w:r w:rsidR="004A3596">
        <w:rPr>
          <w:i/>
          <w:iCs/>
        </w:rPr>
        <w:t xml:space="preserve">apelācijas instances </w:t>
      </w:r>
      <w:r w:rsidR="004F2172" w:rsidRPr="0086129D">
        <w:rPr>
          <w:i/>
          <w:iCs/>
        </w:rPr>
        <w:t>tiesas lēmuma 13.</w:t>
      </w:r>
      <w:r w:rsidR="005A02AA" w:rsidRPr="0086129D">
        <w:rPr>
          <w:i/>
          <w:iCs/>
        </w:rPr>
        <w:t> </w:t>
      </w:r>
      <w:r w:rsidR="004F2172" w:rsidRPr="0086129D">
        <w:rPr>
          <w:i/>
          <w:iCs/>
        </w:rPr>
        <w:t>punktu</w:t>
      </w:r>
      <w:r w:rsidR="004F2172">
        <w:t>)</w:t>
      </w:r>
      <w:r w:rsidR="008E6211">
        <w:t>;</w:t>
      </w:r>
    </w:p>
    <w:p w14:paraId="17B75868" w14:textId="2DF131F8" w:rsidR="004F2172" w:rsidRDefault="0060092A" w:rsidP="00A26E46">
      <w:pPr>
        <w:pStyle w:val="ListParagraph"/>
        <w:widowControl w:val="0"/>
        <w:numPr>
          <w:ilvl w:val="0"/>
          <w:numId w:val="5"/>
        </w:numPr>
        <w:spacing w:line="276" w:lineRule="auto"/>
        <w:ind w:left="0" w:firstLine="426"/>
        <w:contextualSpacing w:val="0"/>
        <w:jc w:val="both"/>
      </w:pPr>
      <w:r>
        <w:t>konkrētajā gadījumā pastāvēj</w:t>
      </w:r>
      <w:r w:rsidR="0069481B">
        <w:t>is</w:t>
      </w:r>
      <w:r>
        <w:t xml:space="preserve"> </w:t>
      </w:r>
      <w:r w:rsidR="004F2172" w:rsidRPr="004F2172">
        <w:t>tiesisks</w:t>
      </w:r>
      <w:r w:rsidR="004F2172">
        <w:t xml:space="preserve"> </w:t>
      </w:r>
      <w:r w:rsidR="004F2172" w:rsidRPr="004F2172">
        <w:t>pamats</w:t>
      </w:r>
      <w:r>
        <w:t xml:space="preserve"> </w:t>
      </w:r>
      <w:r w:rsidR="004F2172" w:rsidRPr="004F2172">
        <w:t>uzsākt kriminālprocesu</w:t>
      </w:r>
      <w:r w:rsidR="004F2172">
        <w:t xml:space="preserve"> </w:t>
      </w:r>
      <w:r w:rsidR="004F2172" w:rsidRPr="004F2172">
        <w:t>pēc Krimināllikuma 143.</w:t>
      </w:r>
      <w:r w:rsidR="004F2172">
        <w:t> </w:t>
      </w:r>
      <w:r w:rsidR="004F2172" w:rsidRPr="004F2172">
        <w:t>panta otrās daļas par nelikumīgu</w:t>
      </w:r>
      <w:r w:rsidR="004F2172">
        <w:t xml:space="preserve"> </w:t>
      </w:r>
      <w:r w:rsidR="004F2172" w:rsidRPr="004F2172">
        <w:t xml:space="preserve">iekļūšanu </w:t>
      </w:r>
      <w:r w:rsidR="0080087A">
        <w:t>[pers. C]</w:t>
      </w:r>
      <w:r w:rsidR="004F2172" w:rsidRPr="004F2172">
        <w:t xml:space="preserve"> mājoklī </w:t>
      </w:r>
      <w:r w:rsidR="0080087A">
        <w:t>[adrese]</w:t>
      </w:r>
      <w:r w:rsidR="004F2172">
        <w:t xml:space="preserve"> (</w:t>
      </w:r>
      <w:r w:rsidR="004F2172" w:rsidRPr="002462F6">
        <w:t>sk</w:t>
      </w:r>
      <w:r w:rsidR="00D22ABE">
        <w:t>.</w:t>
      </w:r>
      <w:r w:rsidR="00A31537">
        <w:rPr>
          <w:i/>
          <w:iCs/>
        </w:rPr>
        <w:t> </w:t>
      </w:r>
      <w:r w:rsidR="004A3596">
        <w:rPr>
          <w:i/>
          <w:iCs/>
        </w:rPr>
        <w:t xml:space="preserve">apelācijas instances </w:t>
      </w:r>
      <w:r w:rsidR="004F2172" w:rsidRPr="0060092A">
        <w:rPr>
          <w:i/>
          <w:iCs/>
        </w:rPr>
        <w:t>tiesas lēmuma 13.1. punktu</w:t>
      </w:r>
      <w:r w:rsidR="004F2172">
        <w:t>);</w:t>
      </w:r>
    </w:p>
    <w:p w14:paraId="73F5EA7A" w14:textId="043A9ACE" w:rsidR="005027B9" w:rsidRPr="004F2172" w:rsidRDefault="005027B9" w:rsidP="00A26E46">
      <w:pPr>
        <w:pStyle w:val="ListParagraph"/>
        <w:widowControl w:val="0"/>
        <w:numPr>
          <w:ilvl w:val="0"/>
          <w:numId w:val="5"/>
        </w:numPr>
        <w:spacing w:line="276" w:lineRule="auto"/>
        <w:ind w:left="0" w:firstLine="426"/>
        <w:contextualSpacing w:val="0"/>
        <w:jc w:val="both"/>
      </w:pPr>
      <w:r w:rsidRPr="00143BFD">
        <w:t xml:space="preserve">lēmums </w:t>
      </w:r>
      <w:r>
        <w:t xml:space="preserve">par </w:t>
      </w:r>
      <w:r w:rsidRPr="00143BFD">
        <w:t>aizturēšanu pieņemts</w:t>
      </w:r>
      <w:r>
        <w:t xml:space="preserve">, konstatējot </w:t>
      </w:r>
      <w:r w:rsidRPr="00143BFD">
        <w:t>Kriminālprocesa likuma 264.</w:t>
      </w:r>
      <w:r>
        <w:t> </w:t>
      </w:r>
      <w:r w:rsidRPr="00143BFD">
        <w:t>panta pirmās</w:t>
      </w:r>
      <w:r>
        <w:t xml:space="preserve"> </w:t>
      </w:r>
      <w:r w:rsidRPr="00143BFD">
        <w:t>daļas 1.</w:t>
      </w:r>
      <w:r>
        <w:t> </w:t>
      </w:r>
      <w:r w:rsidRPr="00143BFD">
        <w:t xml:space="preserve">punkta </w:t>
      </w:r>
      <w:r>
        <w:t>nosacījumus</w:t>
      </w:r>
      <w:r w:rsidRPr="00143BFD">
        <w:t xml:space="preserve"> </w:t>
      </w:r>
      <w:r>
        <w:t>(</w:t>
      </w:r>
      <w:r w:rsidRPr="002462F6">
        <w:t>sk</w:t>
      </w:r>
      <w:r w:rsidRPr="005A02AA">
        <w:rPr>
          <w:i/>
          <w:iCs/>
        </w:rPr>
        <w:t>.</w:t>
      </w:r>
      <w:r w:rsidR="00A31537">
        <w:rPr>
          <w:i/>
          <w:iCs/>
        </w:rPr>
        <w:t> </w:t>
      </w:r>
      <w:r w:rsidR="004A3596">
        <w:rPr>
          <w:i/>
          <w:iCs/>
        </w:rPr>
        <w:t xml:space="preserve">apelācijas instances </w:t>
      </w:r>
      <w:r w:rsidRPr="005A02AA">
        <w:rPr>
          <w:i/>
          <w:iCs/>
        </w:rPr>
        <w:t>tiesas lēmuma 15. punktu</w:t>
      </w:r>
      <w:r>
        <w:t>);</w:t>
      </w:r>
    </w:p>
    <w:p w14:paraId="749EEBF5" w14:textId="5C999343" w:rsidR="00143BFD" w:rsidRDefault="0086129D" w:rsidP="00A26E46">
      <w:pPr>
        <w:pStyle w:val="ListParagraph"/>
        <w:widowControl w:val="0"/>
        <w:numPr>
          <w:ilvl w:val="0"/>
          <w:numId w:val="5"/>
        </w:numPr>
        <w:spacing w:line="276" w:lineRule="auto"/>
        <w:ind w:left="0" w:firstLine="426"/>
        <w:contextualSpacing w:val="0"/>
        <w:jc w:val="both"/>
      </w:pPr>
      <w:r>
        <w:t>a</w:t>
      </w:r>
      <w:r w:rsidRPr="0086129D">
        <w:t>psūdzētie stādīj</w:t>
      </w:r>
      <w:r w:rsidR="0069481B">
        <w:t>ušies</w:t>
      </w:r>
      <w:r w:rsidRPr="0086129D">
        <w:t xml:space="preserve"> </w:t>
      </w:r>
      <w:r w:rsidR="00821202">
        <w:t>[pers. D]</w:t>
      </w:r>
      <w:r w:rsidR="00CD04C0">
        <w:t xml:space="preserve"> un </w:t>
      </w:r>
      <w:r w:rsidR="00821202">
        <w:t>[pers. E]</w:t>
      </w:r>
      <w:r w:rsidR="00CD04C0">
        <w:t xml:space="preserve"> </w:t>
      </w:r>
      <w:r w:rsidR="0069481B" w:rsidRPr="0086129D">
        <w:t xml:space="preserve">priekšā </w:t>
      </w:r>
      <w:r w:rsidRPr="0086129D">
        <w:t>kā policijas darbinieki, uzrādīj</w:t>
      </w:r>
      <w:r w:rsidR="0069481B">
        <w:t>uši</w:t>
      </w:r>
      <w:r w:rsidRPr="0086129D">
        <w:t xml:space="preserve"> dienesta apliecības un vairākkārt izskaidroj</w:t>
      </w:r>
      <w:r w:rsidR="0069481B">
        <w:t xml:space="preserve">uši aizturēšanas iemeslu – </w:t>
      </w:r>
      <w:r w:rsidR="00143BFD" w:rsidRPr="00143BFD">
        <w:t xml:space="preserve">par </w:t>
      </w:r>
      <w:r w:rsidR="0069481B" w:rsidRPr="00143BFD">
        <w:t>Krimināllikuma 143.</w:t>
      </w:r>
      <w:r w:rsidR="0069481B">
        <w:t> </w:t>
      </w:r>
      <w:r w:rsidR="0069481B" w:rsidRPr="00143BFD">
        <w:t>panta otrajā</w:t>
      </w:r>
      <w:r w:rsidR="0069481B">
        <w:t xml:space="preserve"> </w:t>
      </w:r>
      <w:r w:rsidR="0069481B" w:rsidRPr="00143BFD">
        <w:t>daļā</w:t>
      </w:r>
      <w:r w:rsidR="0069481B">
        <w:t xml:space="preserve"> paredzētā </w:t>
      </w:r>
      <w:r w:rsidR="00143BFD" w:rsidRPr="00143BFD">
        <w:t>noziedzīg</w:t>
      </w:r>
      <w:r w:rsidR="0069481B">
        <w:t>ā</w:t>
      </w:r>
      <w:r w:rsidR="00143BFD" w:rsidRPr="00143BFD">
        <w:t xml:space="preserve"> nodarījuma izdarīšanu</w:t>
      </w:r>
      <w:r w:rsidR="004A3596">
        <w:t xml:space="preserve"> </w:t>
      </w:r>
      <w:r w:rsidR="00143BFD">
        <w:t>(</w:t>
      </w:r>
      <w:r w:rsidR="00143BFD" w:rsidRPr="002462F6">
        <w:t>sk</w:t>
      </w:r>
      <w:r w:rsidR="00143BFD" w:rsidRPr="00CD04C0">
        <w:rPr>
          <w:i/>
          <w:iCs/>
        </w:rPr>
        <w:t>.</w:t>
      </w:r>
      <w:r w:rsidR="00A31537">
        <w:rPr>
          <w:i/>
          <w:iCs/>
        </w:rPr>
        <w:t> </w:t>
      </w:r>
      <w:r w:rsidR="004A3596">
        <w:rPr>
          <w:i/>
          <w:iCs/>
        </w:rPr>
        <w:t xml:space="preserve">apelācijas instances </w:t>
      </w:r>
      <w:r w:rsidR="00143BFD" w:rsidRPr="00CD04C0">
        <w:rPr>
          <w:i/>
          <w:iCs/>
        </w:rPr>
        <w:t>tiesas lēmuma 14.1.2. punktu</w:t>
      </w:r>
      <w:r w:rsidR="00143BFD">
        <w:t>);</w:t>
      </w:r>
    </w:p>
    <w:p w14:paraId="1CBA5D25" w14:textId="33DC8C2D" w:rsidR="0058095B" w:rsidRDefault="00821202" w:rsidP="00A26E46">
      <w:pPr>
        <w:pStyle w:val="ListParagraph"/>
        <w:widowControl w:val="0"/>
        <w:numPr>
          <w:ilvl w:val="0"/>
          <w:numId w:val="5"/>
        </w:numPr>
        <w:spacing w:line="276" w:lineRule="auto"/>
        <w:ind w:left="0" w:firstLine="426"/>
        <w:contextualSpacing w:val="0"/>
        <w:jc w:val="both"/>
      </w:pPr>
      <w:r>
        <w:t>[pers. D]</w:t>
      </w:r>
      <w:r w:rsidR="00143BFD" w:rsidRPr="00143BFD">
        <w:t xml:space="preserve"> pretošanās un nepakļaušanās policijas darbinieku prasībām bija pamats fiziska</w:t>
      </w:r>
      <w:r w:rsidR="00143BFD">
        <w:t xml:space="preserve"> </w:t>
      </w:r>
      <w:r w:rsidR="00143BFD" w:rsidRPr="00143BFD">
        <w:t xml:space="preserve">spēka pielietošanai – rokas aizlaušanai aiz muguras </w:t>
      </w:r>
      <w:r w:rsidR="00A621E1">
        <w:t xml:space="preserve">– </w:t>
      </w:r>
      <w:r w:rsidR="00143BFD" w:rsidRPr="00143BFD">
        <w:t>un spec</w:t>
      </w:r>
      <w:r w:rsidR="00810483">
        <w:t xml:space="preserve">iālo </w:t>
      </w:r>
      <w:r w:rsidR="00143BFD" w:rsidRPr="00143BFD">
        <w:t>līdzekļu (roku dzelžu) pielietošanai</w:t>
      </w:r>
      <w:r w:rsidR="00A621E1">
        <w:t>,</w:t>
      </w:r>
      <w:r w:rsidR="00305F2E">
        <w:t xml:space="preserve"> nesamērīga spēka pielietošana pret </w:t>
      </w:r>
      <w:r>
        <w:t>[pers. D]</w:t>
      </w:r>
      <w:r w:rsidR="00305F2E">
        <w:t xml:space="preserve"> netika konstatēta</w:t>
      </w:r>
      <w:r w:rsidR="00143BFD">
        <w:t xml:space="preserve"> </w:t>
      </w:r>
      <w:r w:rsidR="00143BFD" w:rsidRPr="00143BFD">
        <w:t>(</w:t>
      </w:r>
      <w:r w:rsidR="00143BFD" w:rsidRPr="00A31537">
        <w:t>sk</w:t>
      </w:r>
      <w:r w:rsidR="00143BFD" w:rsidRPr="005A02AA">
        <w:rPr>
          <w:i/>
          <w:iCs/>
        </w:rPr>
        <w:t>.</w:t>
      </w:r>
      <w:r w:rsidR="00A31537">
        <w:rPr>
          <w:i/>
          <w:iCs/>
        </w:rPr>
        <w:t> </w:t>
      </w:r>
      <w:r w:rsidR="004A3596">
        <w:rPr>
          <w:i/>
          <w:iCs/>
        </w:rPr>
        <w:t xml:space="preserve">apelācijas instances </w:t>
      </w:r>
      <w:r w:rsidR="00143BFD" w:rsidRPr="005A02AA">
        <w:rPr>
          <w:i/>
          <w:iCs/>
        </w:rPr>
        <w:t>tiesas lēmuma 17.1.</w:t>
      </w:r>
      <w:r w:rsidR="004A3596">
        <w:rPr>
          <w:i/>
          <w:iCs/>
        </w:rPr>
        <w:t> </w:t>
      </w:r>
      <w:r w:rsidR="00143BFD" w:rsidRPr="005A02AA">
        <w:rPr>
          <w:i/>
          <w:iCs/>
        </w:rPr>
        <w:t>punktu</w:t>
      </w:r>
      <w:r w:rsidR="00143BFD" w:rsidRPr="00143BFD">
        <w:t>)</w:t>
      </w:r>
      <w:r w:rsidR="0058095B">
        <w:t>;</w:t>
      </w:r>
    </w:p>
    <w:p w14:paraId="12AD374D" w14:textId="48D837B6" w:rsidR="00CD04C0" w:rsidRDefault="00CD04C0" w:rsidP="00DF399D">
      <w:pPr>
        <w:pStyle w:val="ListParagraph"/>
        <w:widowControl w:val="0"/>
        <w:numPr>
          <w:ilvl w:val="0"/>
          <w:numId w:val="5"/>
        </w:numPr>
        <w:spacing w:line="276" w:lineRule="auto"/>
        <w:ind w:left="0" w:firstLine="426"/>
        <w:contextualSpacing w:val="0"/>
        <w:jc w:val="both"/>
      </w:pPr>
      <w:r w:rsidRPr="00CD04C0">
        <w:t>Kriminālprocesa likumā noteiktais 48 stundu</w:t>
      </w:r>
      <w:r>
        <w:t xml:space="preserve"> aizturēšanas</w:t>
      </w:r>
      <w:r w:rsidRPr="00CD04C0">
        <w:t xml:space="preserve"> termiņš </w:t>
      </w:r>
      <w:r w:rsidR="0069481B">
        <w:t>ticis ievērots</w:t>
      </w:r>
      <w:r w:rsidRPr="00CD04C0">
        <w:t>, un</w:t>
      </w:r>
      <w:r w:rsidR="00DF399D">
        <w:t xml:space="preserve"> šajā sakarā </w:t>
      </w:r>
      <w:r w:rsidRPr="00CD04C0">
        <w:t xml:space="preserve">apsūdzētie </w:t>
      </w:r>
      <w:r w:rsidR="0069481B">
        <w:t xml:space="preserve">nav veikuši </w:t>
      </w:r>
      <w:r w:rsidRPr="00CD04C0">
        <w:t xml:space="preserve">tādas darbības, kas acīmredzami pārsniegtu </w:t>
      </w:r>
      <w:r w:rsidR="00810483">
        <w:t>tiem</w:t>
      </w:r>
      <w:r w:rsidRPr="00CD04C0">
        <w:t xml:space="preserve"> ar Kriminālprocesa likuma 268.</w:t>
      </w:r>
      <w:r w:rsidR="00B85AC6">
        <w:t> </w:t>
      </w:r>
      <w:r w:rsidRPr="00CD04C0">
        <w:t>pantu noteiktās dienesta pilnvaras</w:t>
      </w:r>
      <w:r w:rsidR="005A02AA" w:rsidRPr="005A02AA">
        <w:t xml:space="preserve"> </w:t>
      </w:r>
      <w:r w:rsidR="005A02AA">
        <w:t>(</w:t>
      </w:r>
      <w:r w:rsidR="005A02AA" w:rsidRPr="004A3596">
        <w:t>sk</w:t>
      </w:r>
      <w:r w:rsidR="005A02AA" w:rsidRPr="00DF399D">
        <w:rPr>
          <w:i/>
          <w:iCs/>
        </w:rPr>
        <w:t>.</w:t>
      </w:r>
      <w:r w:rsidR="00A31537" w:rsidRPr="00DF399D">
        <w:rPr>
          <w:i/>
          <w:iCs/>
        </w:rPr>
        <w:t> </w:t>
      </w:r>
      <w:r w:rsidR="004A3596" w:rsidRPr="00DF399D">
        <w:rPr>
          <w:i/>
          <w:iCs/>
        </w:rPr>
        <w:t xml:space="preserve">apelācijas instances </w:t>
      </w:r>
      <w:r w:rsidR="005A02AA" w:rsidRPr="00DF399D">
        <w:rPr>
          <w:i/>
          <w:iCs/>
        </w:rPr>
        <w:t>tiesas lēmuma 21.</w:t>
      </w:r>
      <w:r w:rsidR="004A3596" w:rsidRPr="00DF399D">
        <w:rPr>
          <w:i/>
          <w:iCs/>
        </w:rPr>
        <w:t> </w:t>
      </w:r>
      <w:r w:rsidR="005A02AA" w:rsidRPr="00DF399D">
        <w:rPr>
          <w:i/>
          <w:iCs/>
        </w:rPr>
        <w:t>punktu</w:t>
      </w:r>
      <w:r w:rsidR="005A02AA" w:rsidRPr="00143BFD">
        <w:t>)</w:t>
      </w:r>
      <w:r>
        <w:t>;</w:t>
      </w:r>
    </w:p>
    <w:p w14:paraId="683A7B10" w14:textId="63F70D2C" w:rsidR="005A02AA" w:rsidRDefault="00810483" w:rsidP="00A26E46">
      <w:pPr>
        <w:pStyle w:val="ListParagraph"/>
        <w:widowControl w:val="0"/>
        <w:numPr>
          <w:ilvl w:val="0"/>
          <w:numId w:val="5"/>
        </w:numPr>
        <w:spacing w:line="276" w:lineRule="auto"/>
        <w:ind w:left="0" w:firstLine="426"/>
        <w:contextualSpacing w:val="0"/>
        <w:jc w:val="both"/>
      </w:pPr>
      <w:r>
        <w:rPr>
          <w:rStyle w:val="Strong"/>
          <w:rFonts w:eastAsiaTheme="majorEastAsia"/>
          <w:b w:val="0"/>
          <w:bCs w:val="0"/>
        </w:rPr>
        <w:t xml:space="preserve">apsūdzēto izteiktais </w:t>
      </w:r>
      <w:r w:rsidR="00CD04C0" w:rsidRPr="00CD04C0">
        <w:rPr>
          <w:rStyle w:val="Strong"/>
          <w:rFonts w:eastAsiaTheme="majorEastAsia"/>
          <w:b w:val="0"/>
          <w:bCs w:val="0"/>
        </w:rPr>
        <w:t>brīdinājums par iespēju pieņemt lēmumu par nošķiršanu</w:t>
      </w:r>
      <w:r>
        <w:rPr>
          <w:rStyle w:val="Strong"/>
          <w:rFonts w:eastAsiaTheme="majorEastAsia"/>
          <w:b w:val="0"/>
          <w:bCs w:val="0"/>
        </w:rPr>
        <w:t xml:space="preserve"> </w:t>
      </w:r>
      <w:r w:rsidR="0069481B">
        <w:rPr>
          <w:rStyle w:val="Strong"/>
          <w:rFonts w:eastAsiaTheme="majorEastAsia"/>
          <w:b w:val="0"/>
          <w:bCs w:val="0"/>
        </w:rPr>
        <w:t>atzīstams par</w:t>
      </w:r>
      <w:r w:rsidR="00CD04C0" w:rsidRPr="00CD04C0">
        <w:rPr>
          <w:rStyle w:val="Strong"/>
          <w:rFonts w:eastAsiaTheme="majorEastAsia"/>
          <w:b w:val="0"/>
          <w:bCs w:val="0"/>
        </w:rPr>
        <w:t xml:space="preserve"> personas informēšan</w:t>
      </w:r>
      <w:r w:rsidR="0069481B">
        <w:rPr>
          <w:rStyle w:val="Strong"/>
          <w:rFonts w:eastAsiaTheme="majorEastAsia"/>
          <w:b w:val="0"/>
          <w:bCs w:val="0"/>
        </w:rPr>
        <w:t>u</w:t>
      </w:r>
      <w:r w:rsidR="00CD04C0" w:rsidRPr="00CD04C0">
        <w:rPr>
          <w:rStyle w:val="Strong"/>
          <w:rFonts w:eastAsiaTheme="majorEastAsia"/>
          <w:b w:val="0"/>
          <w:bCs w:val="0"/>
        </w:rPr>
        <w:t xml:space="preserve"> par iespējam</w:t>
      </w:r>
      <w:r>
        <w:rPr>
          <w:rStyle w:val="Strong"/>
          <w:rFonts w:eastAsiaTheme="majorEastAsia"/>
          <w:b w:val="0"/>
          <w:bCs w:val="0"/>
        </w:rPr>
        <w:t>u</w:t>
      </w:r>
      <w:r w:rsidR="00CD04C0" w:rsidRPr="00CD04C0">
        <w:rPr>
          <w:rStyle w:val="Strong"/>
          <w:rFonts w:eastAsiaTheme="majorEastAsia"/>
          <w:b w:val="0"/>
          <w:bCs w:val="0"/>
        </w:rPr>
        <w:t xml:space="preserve"> situācijas risinājumu, nevis draudu izteikšan</w:t>
      </w:r>
      <w:r w:rsidR="0069481B">
        <w:rPr>
          <w:rStyle w:val="Strong"/>
          <w:rFonts w:eastAsiaTheme="majorEastAsia"/>
          <w:b w:val="0"/>
          <w:bCs w:val="0"/>
        </w:rPr>
        <w:t>u</w:t>
      </w:r>
      <w:r w:rsidR="00306BE1">
        <w:rPr>
          <w:rStyle w:val="Strong"/>
          <w:rFonts w:eastAsiaTheme="majorEastAsia"/>
          <w:b w:val="0"/>
          <w:bCs w:val="0"/>
        </w:rPr>
        <w:t xml:space="preserve"> </w:t>
      </w:r>
      <w:r w:rsidR="00306BE1">
        <w:t>(</w:t>
      </w:r>
      <w:r w:rsidR="00306BE1" w:rsidRPr="004A3596">
        <w:t>sk</w:t>
      </w:r>
      <w:r w:rsidR="00306BE1" w:rsidRPr="00CD04C0">
        <w:rPr>
          <w:i/>
          <w:iCs/>
        </w:rPr>
        <w:t>.</w:t>
      </w:r>
      <w:r w:rsidR="00306BE1">
        <w:rPr>
          <w:i/>
          <w:iCs/>
        </w:rPr>
        <w:t xml:space="preserve"> apelācijas instances </w:t>
      </w:r>
      <w:r w:rsidR="00306BE1" w:rsidRPr="00CD04C0">
        <w:rPr>
          <w:i/>
          <w:iCs/>
        </w:rPr>
        <w:t xml:space="preserve">tiesas lēmuma </w:t>
      </w:r>
      <w:r w:rsidR="00306BE1">
        <w:rPr>
          <w:i/>
          <w:iCs/>
        </w:rPr>
        <w:t>19</w:t>
      </w:r>
      <w:r w:rsidR="00306BE1" w:rsidRPr="00CD04C0">
        <w:rPr>
          <w:i/>
          <w:iCs/>
        </w:rPr>
        <w:t>.</w:t>
      </w:r>
      <w:r w:rsidR="00306BE1">
        <w:rPr>
          <w:i/>
          <w:iCs/>
        </w:rPr>
        <w:t> </w:t>
      </w:r>
      <w:r w:rsidR="00306BE1" w:rsidRPr="00CD04C0">
        <w:rPr>
          <w:i/>
          <w:iCs/>
        </w:rPr>
        <w:t>punktu</w:t>
      </w:r>
      <w:r w:rsidR="00306BE1" w:rsidRPr="00143BFD">
        <w:t>)</w:t>
      </w:r>
      <w:r w:rsidR="005A02AA">
        <w:t>.</w:t>
      </w:r>
    </w:p>
    <w:p w14:paraId="2DF1C8AC" w14:textId="12520458" w:rsidR="007E6787" w:rsidRPr="007E6787" w:rsidRDefault="005A02AA" w:rsidP="00D10AD6">
      <w:pPr>
        <w:widowControl w:val="0"/>
        <w:spacing w:line="276" w:lineRule="auto"/>
        <w:ind w:firstLine="709"/>
        <w:jc w:val="both"/>
        <w:rPr>
          <w:rFonts w:asciiTheme="majorBidi" w:hAnsiTheme="majorBidi" w:cstheme="majorBidi"/>
        </w:rPr>
      </w:pPr>
      <w:r>
        <w:t>[8.</w:t>
      </w:r>
      <w:r w:rsidR="0069481B">
        <w:t>2</w:t>
      </w:r>
      <w:r>
        <w:t>]</w:t>
      </w:r>
      <w:r w:rsidR="0069481B">
        <w:t> </w:t>
      </w:r>
      <w:r w:rsidR="008A33BE" w:rsidRPr="008A33BE">
        <w:t xml:space="preserve">Senāts </w:t>
      </w:r>
      <w:r w:rsidR="0069481B">
        <w:t>konstatē, ka kasācijas protestā prokurors pamatā</w:t>
      </w:r>
      <w:r w:rsidR="008A33BE" w:rsidRPr="008A33BE">
        <w:t xml:space="preserve"> atkārto </w:t>
      </w:r>
      <w:r w:rsidR="0069481B">
        <w:t xml:space="preserve">savus apelācijas </w:t>
      </w:r>
      <w:r w:rsidR="0069481B">
        <w:lastRenderedPageBreak/>
        <w:t xml:space="preserve">protesta </w:t>
      </w:r>
      <w:r w:rsidR="008A33BE" w:rsidRPr="008A33BE">
        <w:t xml:space="preserve">argumentus, </w:t>
      </w:r>
      <w:r w:rsidR="0069481B">
        <w:t>kurus apelācijas instances tiesa ir</w:t>
      </w:r>
      <w:r w:rsidR="008E6211">
        <w:t xml:space="preserve"> </w:t>
      </w:r>
      <w:r w:rsidR="008A33BE" w:rsidRPr="008A33BE">
        <w:t>izvērtē</w:t>
      </w:r>
      <w:r w:rsidR="0069481B">
        <w:t>jusi</w:t>
      </w:r>
      <w:r w:rsidR="008A33BE" w:rsidRPr="008A33BE">
        <w:t xml:space="preserve"> un motivēti noraidī</w:t>
      </w:r>
      <w:r w:rsidR="0069481B">
        <w:t>jusi</w:t>
      </w:r>
      <w:r w:rsidR="008A33BE" w:rsidRPr="008A33BE">
        <w:t>.</w:t>
      </w:r>
      <w:bookmarkStart w:id="4" w:name="_Hlk203504772"/>
      <w:r w:rsidR="00476F17">
        <w:t xml:space="preserve"> </w:t>
      </w:r>
      <w:r w:rsidR="0069481B">
        <w:rPr>
          <w:rFonts w:asciiTheme="majorBidi" w:hAnsiTheme="majorBidi" w:cstheme="majorBidi"/>
        </w:rPr>
        <w:t>Turklāt</w:t>
      </w:r>
      <w:r w:rsidR="007E6787" w:rsidRPr="007E6787">
        <w:rPr>
          <w:rFonts w:asciiTheme="majorBidi" w:hAnsiTheme="majorBidi" w:cstheme="majorBidi"/>
        </w:rPr>
        <w:t xml:space="preserve"> prokurors </w:t>
      </w:r>
      <w:r w:rsidR="0069481B">
        <w:rPr>
          <w:rFonts w:asciiTheme="majorBidi" w:hAnsiTheme="majorBidi" w:cstheme="majorBidi"/>
        </w:rPr>
        <w:t>protestējis vienīgi</w:t>
      </w:r>
      <w:r w:rsidR="007E6787" w:rsidRPr="007E6787">
        <w:rPr>
          <w:rFonts w:asciiTheme="majorBidi" w:hAnsiTheme="majorBidi" w:cstheme="majorBidi"/>
        </w:rPr>
        <w:t xml:space="preserve"> </w:t>
      </w:r>
      <w:r w:rsidR="00476F17">
        <w:rPr>
          <w:rFonts w:asciiTheme="majorBidi" w:hAnsiTheme="majorBidi" w:cstheme="majorBidi"/>
        </w:rPr>
        <w:t>daļu</w:t>
      </w:r>
      <w:r w:rsidR="00F845C7">
        <w:rPr>
          <w:rFonts w:asciiTheme="majorBidi" w:hAnsiTheme="majorBidi" w:cstheme="majorBidi"/>
        </w:rPr>
        <w:t xml:space="preserve"> </w:t>
      </w:r>
      <w:r w:rsidR="00476F17">
        <w:rPr>
          <w:rFonts w:asciiTheme="majorBidi" w:hAnsiTheme="majorBidi" w:cstheme="majorBidi"/>
        </w:rPr>
        <w:t xml:space="preserve">no </w:t>
      </w:r>
      <w:r w:rsidR="007E6787" w:rsidRPr="007E6787">
        <w:rPr>
          <w:rFonts w:asciiTheme="majorBidi" w:hAnsiTheme="majorBidi" w:cstheme="majorBidi"/>
        </w:rPr>
        <w:t>apelācijas instances tiesas secinājum</w:t>
      </w:r>
      <w:r w:rsidR="00476F17">
        <w:rPr>
          <w:rFonts w:asciiTheme="majorBidi" w:hAnsiTheme="majorBidi" w:cstheme="majorBidi"/>
        </w:rPr>
        <w:t>iem</w:t>
      </w:r>
      <w:r w:rsidR="007E6787" w:rsidRPr="007E6787">
        <w:rPr>
          <w:rFonts w:asciiTheme="majorBidi" w:hAnsiTheme="majorBidi" w:cstheme="majorBidi"/>
        </w:rPr>
        <w:t xml:space="preserve">, </w:t>
      </w:r>
      <w:r w:rsidR="00F845C7" w:rsidRPr="007E6787">
        <w:rPr>
          <w:rFonts w:asciiTheme="majorBidi" w:hAnsiTheme="majorBidi" w:cstheme="majorBidi"/>
        </w:rPr>
        <w:t>k</w:t>
      </w:r>
      <w:r w:rsidR="00F845C7">
        <w:rPr>
          <w:rFonts w:asciiTheme="majorBidi" w:hAnsiTheme="majorBidi" w:cstheme="majorBidi"/>
        </w:rPr>
        <w:t>as</w:t>
      </w:r>
      <w:r w:rsidR="00F845C7" w:rsidRPr="007E6787">
        <w:rPr>
          <w:rFonts w:asciiTheme="majorBidi" w:hAnsiTheme="majorBidi" w:cstheme="majorBidi"/>
        </w:rPr>
        <w:t xml:space="preserve"> kalpoju</w:t>
      </w:r>
      <w:r w:rsidR="00851C18">
        <w:rPr>
          <w:rFonts w:asciiTheme="majorBidi" w:hAnsiTheme="majorBidi" w:cstheme="majorBidi"/>
        </w:rPr>
        <w:t>š</w:t>
      </w:r>
      <w:r w:rsidR="00F845C7">
        <w:rPr>
          <w:rFonts w:asciiTheme="majorBidi" w:hAnsiTheme="majorBidi" w:cstheme="majorBidi"/>
        </w:rPr>
        <w:t>i</w:t>
      </w:r>
      <w:r w:rsidR="00F845C7" w:rsidRPr="007E6787">
        <w:rPr>
          <w:rFonts w:asciiTheme="majorBidi" w:hAnsiTheme="majorBidi" w:cstheme="majorBidi"/>
        </w:rPr>
        <w:t xml:space="preserve"> </w:t>
      </w:r>
      <w:r w:rsidR="007E6787" w:rsidRPr="007E6787">
        <w:rPr>
          <w:rFonts w:asciiTheme="majorBidi" w:hAnsiTheme="majorBidi" w:cstheme="majorBidi"/>
        </w:rPr>
        <w:t>par pamatu apsūdzēto attaisnošanai –</w:t>
      </w:r>
      <w:r w:rsidR="00476F17">
        <w:rPr>
          <w:rFonts w:asciiTheme="majorBidi" w:hAnsiTheme="majorBidi" w:cstheme="majorBidi"/>
        </w:rPr>
        <w:t xml:space="preserve"> </w:t>
      </w:r>
      <w:r w:rsidR="007E6787" w:rsidRPr="007E6787">
        <w:rPr>
          <w:rFonts w:asciiTheme="majorBidi" w:hAnsiTheme="majorBidi" w:cstheme="majorBidi"/>
        </w:rPr>
        <w:t xml:space="preserve">attiecībā uz aizturēšanas un fiziskā spēka pielietošanas tiesiskumu. </w:t>
      </w:r>
      <w:r w:rsidR="00F845C7">
        <w:rPr>
          <w:rFonts w:asciiTheme="majorBidi" w:hAnsiTheme="majorBidi" w:cstheme="majorBidi"/>
        </w:rPr>
        <w:t>P</w:t>
      </w:r>
      <w:r w:rsidR="007E6787" w:rsidRPr="007E6787">
        <w:rPr>
          <w:rFonts w:asciiTheme="majorBidi" w:hAnsiTheme="majorBidi" w:cstheme="majorBidi"/>
        </w:rPr>
        <w:t xml:space="preserve">rotestā </w:t>
      </w:r>
      <w:r w:rsidR="00F845C7">
        <w:rPr>
          <w:rFonts w:asciiTheme="majorBidi" w:hAnsiTheme="majorBidi" w:cstheme="majorBidi"/>
        </w:rPr>
        <w:t xml:space="preserve">prokurors </w:t>
      </w:r>
      <w:r w:rsidR="007E6787" w:rsidRPr="007E6787">
        <w:rPr>
          <w:rFonts w:asciiTheme="majorBidi" w:hAnsiTheme="majorBidi" w:cstheme="majorBidi"/>
        </w:rPr>
        <w:t xml:space="preserve">nav </w:t>
      </w:r>
      <w:r w:rsidR="00F845C7" w:rsidRPr="007E6787">
        <w:rPr>
          <w:rFonts w:asciiTheme="majorBidi" w:hAnsiTheme="majorBidi" w:cstheme="majorBidi"/>
        </w:rPr>
        <w:t>apstrīdē</w:t>
      </w:r>
      <w:r w:rsidR="00F845C7">
        <w:rPr>
          <w:rFonts w:asciiTheme="majorBidi" w:hAnsiTheme="majorBidi" w:cstheme="majorBidi"/>
        </w:rPr>
        <w:t>jis</w:t>
      </w:r>
      <w:r w:rsidR="00F845C7" w:rsidRPr="007E6787">
        <w:rPr>
          <w:rFonts w:asciiTheme="majorBidi" w:hAnsiTheme="majorBidi" w:cstheme="majorBidi"/>
        </w:rPr>
        <w:t xml:space="preserve"> </w:t>
      </w:r>
      <w:r w:rsidR="007E6787" w:rsidRPr="007E6787">
        <w:rPr>
          <w:rFonts w:asciiTheme="majorBidi" w:hAnsiTheme="majorBidi" w:cstheme="majorBidi"/>
        </w:rPr>
        <w:t>apelācijas instances tiesas vērtējum</w:t>
      </w:r>
      <w:r w:rsidR="00F845C7">
        <w:rPr>
          <w:rFonts w:asciiTheme="majorBidi" w:hAnsiTheme="majorBidi" w:cstheme="majorBidi"/>
        </w:rPr>
        <w:t>u</w:t>
      </w:r>
      <w:r w:rsidR="007E6787" w:rsidRPr="007E6787">
        <w:rPr>
          <w:rFonts w:asciiTheme="majorBidi" w:hAnsiTheme="majorBidi" w:cstheme="majorBidi"/>
        </w:rPr>
        <w:t xml:space="preserve"> par kriminālprocesa uzsākšanas tiesiskā pamata es</w:t>
      </w:r>
      <w:r w:rsidR="00F845C7">
        <w:rPr>
          <w:rFonts w:asciiTheme="majorBidi" w:hAnsiTheme="majorBidi" w:cstheme="majorBidi"/>
        </w:rPr>
        <w:t>ību</w:t>
      </w:r>
      <w:r w:rsidR="007E6787" w:rsidRPr="007E6787">
        <w:rPr>
          <w:rFonts w:asciiTheme="majorBidi" w:hAnsiTheme="majorBidi" w:cstheme="majorBidi"/>
        </w:rPr>
        <w:t xml:space="preserve">, kā arī par </w:t>
      </w:r>
      <w:r w:rsidR="00821202">
        <w:rPr>
          <w:rFonts w:asciiTheme="majorBidi" w:hAnsiTheme="majorBidi" w:cstheme="majorBidi"/>
        </w:rPr>
        <w:t>[pers.</w:t>
      </w:r>
      <w:r w:rsidR="00821202">
        <w:t> D]</w:t>
      </w:r>
      <w:r w:rsidR="007E6787" w:rsidRPr="007E6787">
        <w:rPr>
          <w:rFonts w:asciiTheme="majorBidi" w:hAnsiTheme="majorBidi" w:cstheme="majorBidi"/>
        </w:rPr>
        <w:t xml:space="preserve"> aizturēšanas ilguma atbilstību likumā noteiktajām prasībām.</w:t>
      </w:r>
    </w:p>
    <w:p w14:paraId="4490787A" w14:textId="2FA95C25" w:rsidR="00873773" w:rsidRDefault="00471A2D" w:rsidP="00D10AD6">
      <w:pPr>
        <w:widowControl w:val="0"/>
        <w:spacing w:line="276" w:lineRule="auto"/>
        <w:ind w:firstLine="720"/>
        <w:jc w:val="both"/>
        <w:rPr>
          <w:rFonts w:asciiTheme="majorBidi" w:hAnsiTheme="majorBidi" w:cstheme="majorBidi"/>
        </w:rPr>
      </w:pPr>
      <w:r>
        <w:rPr>
          <w:rFonts w:asciiTheme="majorBidi" w:hAnsiTheme="majorBidi" w:cstheme="majorBidi"/>
        </w:rPr>
        <w:t>Saskaņā ar Kriminālprocesa likuma 584. panta pirmo daļu t</w:t>
      </w:r>
      <w:r w:rsidRPr="00471A2D">
        <w:rPr>
          <w:rFonts w:asciiTheme="majorBidi" w:hAnsiTheme="majorBidi" w:cstheme="majorBidi"/>
        </w:rPr>
        <w:t>iesas nolēmumu tiesiskuma pārbaude notiek kasācijas sūdzībā vai protestā izteikto prasību apjomā un ietvaros</w:t>
      </w:r>
      <w:r>
        <w:rPr>
          <w:rFonts w:asciiTheme="majorBidi" w:hAnsiTheme="majorBidi" w:cstheme="majorBidi"/>
        </w:rPr>
        <w:t>. Savukārt šā panta otrā daļa noteic, ka k</w:t>
      </w:r>
      <w:r w:rsidRPr="00471A2D">
        <w:rPr>
          <w:rFonts w:asciiTheme="majorBidi" w:hAnsiTheme="majorBidi" w:cstheme="majorBidi"/>
        </w:rPr>
        <w:t>asācijas instances tiesa drīkst pārsniegt kasācijas sūdzībā vai protestā izteikto prasību apjomu un ietvarus gadījumos, kad tā konstatē šā likuma</w:t>
      </w:r>
      <w:r w:rsidR="00F845C7">
        <w:rPr>
          <w:rFonts w:asciiTheme="majorBidi" w:hAnsiTheme="majorBidi" w:cstheme="majorBidi"/>
        </w:rPr>
        <w:t xml:space="preserve"> </w:t>
      </w:r>
      <w:hyperlink r:id="rId13" w:anchor="p574" w:history="1">
        <w:r w:rsidRPr="00471A2D">
          <w:rPr>
            <w:rStyle w:val="Hyperlink"/>
            <w:rFonts w:asciiTheme="majorBidi" w:hAnsiTheme="majorBidi" w:cstheme="majorBidi"/>
            <w:color w:val="auto"/>
            <w:u w:val="none"/>
          </w:rPr>
          <w:t>574.</w:t>
        </w:r>
      </w:hyperlink>
      <w:r w:rsidR="00F845C7">
        <w:t xml:space="preserve"> </w:t>
      </w:r>
      <w:r w:rsidRPr="00471A2D">
        <w:rPr>
          <w:rFonts w:asciiTheme="majorBidi" w:hAnsiTheme="majorBidi" w:cstheme="majorBidi"/>
        </w:rPr>
        <w:t>un</w:t>
      </w:r>
      <w:r w:rsidR="00F845C7">
        <w:rPr>
          <w:rFonts w:asciiTheme="majorBidi" w:hAnsiTheme="majorBidi" w:cstheme="majorBidi"/>
        </w:rPr>
        <w:t xml:space="preserve"> </w:t>
      </w:r>
      <w:hyperlink r:id="rId14" w:anchor="p575" w:history="1">
        <w:r w:rsidRPr="00471A2D">
          <w:rPr>
            <w:rStyle w:val="Hyperlink"/>
            <w:rFonts w:asciiTheme="majorBidi" w:hAnsiTheme="majorBidi" w:cstheme="majorBidi"/>
            <w:color w:val="auto"/>
            <w:u w:val="none"/>
          </w:rPr>
          <w:t>575.</w:t>
        </w:r>
        <w:r>
          <w:rPr>
            <w:rStyle w:val="Hyperlink"/>
            <w:rFonts w:asciiTheme="majorBidi" w:hAnsiTheme="majorBidi" w:cstheme="majorBidi"/>
            <w:color w:val="auto"/>
            <w:u w:val="none"/>
          </w:rPr>
          <w:t> </w:t>
        </w:r>
        <w:r w:rsidRPr="00471A2D">
          <w:rPr>
            <w:rStyle w:val="Hyperlink"/>
            <w:rFonts w:asciiTheme="majorBidi" w:hAnsiTheme="majorBidi" w:cstheme="majorBidi"/>
            <w:color w:val="auto"/>
            <w:u w:val="none"/>
          </w:rPr>
          <w:t>pantā</w:t>
        </w:r>
      </w:hyperlink>
      <w:r w:rsidR="00F845C7">
        <w:rPr>
          <w:rFonts w:asciiTheme="majorBidi" w:hAnsiTheme="majorBidi" w:cstheme="majorBidi"/>
        </w:rPr>
        <w:t xml:space="preserve"> </w:t>
      </w:r>
      <w:r w:rsidRPr="00471A2D">
        <w:rPr>
          <w:rFonts w:asciiTheme="majorBidi" w:hAnsiTheme="majorBidi" w:cstheme="majorBidi"/>
        </w:rPr>
        <w:t>norādītos pārkāpumus un tie nav norādīti sūdzībā vai protestā.</w:t>
      </w:r>
    </w:p>
    <w:p w14:paraId="5EA593A8" w14:textId="4459EF91" w:rsidR="00873773" w:rsidRPr="005334DE" w:rsidRDefault="00F676D3" w:rsidP="00D10AD6">
      <w:pPr>
        <w:widowControl w:val="0"/>
        <w:spacing w:line="276" w:lineRule="auto"/>
        <w:ind w:firstLine="720"/>
        <w:jc w:val="both"/>
        <w:rPr>
          <w:bCs/>
        </w:rPr>
      </w:pPr>
      <w:r w:rsidRPr="00F676D3">
        <w:rPr>
          <w:rFonts w:asciiTheme="majorBidi" w:hAnsiTheme="majorBidi" w:cstheme="majorBidi"/>
        </w:rPr>
        <w:t>T</w:t>
      </w:r>
      <w:r w:rsidR="00810483">
        <w:rPr>
          <w:rFonts w:asciiTheme="majorBidi" w:hAnsiTheme="majorBidi" w:cstheme="majorBidi"/>
        </w:rPr>
        <w:t>omēr</w:t>
      </w:r>
      <w:r w:rsidRPr="00F676D3">
        <w:rPr>
          <w:rFonts w:asciiTheme="majorBidi" w:hAnsiTheme="majorBidi" w:cstheme="majorBidi"/>
        </w:rPr>
        <w:t xml:space="preserve">, </w:t>
      </w:r>
      <w:r>
        <w:rPr>
          <w:rFonts w:asciiTheme="majorBidi" w:hAnsiTheme="majorBidi" w:cstheme="majorBidi"/>
        </w:rPr>
        <w:t>pārsniedzot</w:t>
      </w:r>
      <w:r>
        <w:rPr>
          <w:bCs/>
        </w:rPr>
        <w:t xml:space="preserve"> </w:t>
      </w:r>
      <w:r w:rsidR="00873773" w:rsidRPr="00873773">
        <w:rPr>
          <w:bCs/>
        </w:rPr>
        <w:t>kasācijas sūdzības vai protesta apjomu un ietvarus, kasācijas instances tiesa nevar pasliktināt apsūdzētā stāvokli</w:t>
      </w:r>
      <w:r>
        <w:rPr>
          <w:bCs/>
        </w:rPr>
        <w:t>.</w:t>
      </w:r>
      <w:r w:rsidR="00810483">
        <w:rPr>
          <w:bCs/>
        </w:rPr>
        <w:t xml:space="preserve"> </w:t>
      </w:r>
      <w:r w:rsidR="005B1959" w:rsidRPr="00873773">
        <w:rPr>
          <w:rFonts w:asciiTheme="majorBidi" w:hAnsiTheme="majorBidi" w:cstheme="majorBidi"/>
        </w:rPr>
        <w:t xml:space="preserve">Senāts jau iepriekš atzinis, ka </w:t>
      </w:r>
      <w:r w:rsidR="00873773">
        <w:rPr>
          <w:rFonts w:asciiTheme="majorBidi" w:hAnsiTheme="majorBidi" w:cstheme="majorBidi"/>
        </w:rPr>
        <w:t>gadījumā, j</w:t>
      </w:r>
      <w:r w:rsidR="00873773" w:rsidRPr="00873773">
        <w:rPr>
          <w:rFonts w:asciiTheme="majorBidi" w:hAnsiTheme="majorBidi" w:cstheme="majorBidi"/>
        </w:rPr>
        <w:t>a prokurors kasācijas protestā, kurā lūdz atcelt apelācijas instances tiesas nolēmumu pilnībā, nav argumentēti apstrīdējis un atspēkojis visus apelācijas instances tiesas atzinumus, kas bijuši par pamatu apelācijas instances tiesas lēmumam atstāt negrozītu pirmās instances tiesas attaisnojošo spriedumu, kasācijas instances tiesa nevar pārsniegt kasācijas protesta apjomu un atcelt apelācijas instances tiesas nolēmumu, un nosūtīt lietu jaunai izskatīšanai apelācijas instances tiesai, jo tādējādi tiktu pasliktināts apsūdzētā stāvoklis lietā</w:t>
      </w:r>
      <w:r w:rsidR="00873773">
        <w:rPr>
          <w:rFonts w:asciiTheme="majorBidi" w:hAnsiTheme="majorBidi" w:cstheme="majorBidi"/>
        </w:rPr>
        <w:t xml:space="preserve"> </w:t>
      </w:r>
      <w:r w:rsidR="00873773" w:rsidRPr="00873773">
        <w:rPr>
          <w:bCs/>
        </w:rPr>
        <w:t>(</w:t>
      </w:r>
      <w:r w:rsidR="00873773">
        <w:rPr>
          <w:bCs/>
        </w:rPr>
        <w:t>sk.</w:t>
      </w:r>
      <w:r w:rsidR="00FD28C1">
        <w:rPr>
          <w:bCs/>
        </w:rPr>
        <w:t> </w:t>
      </w:r>
      <w:r w:rsidR="000A4D1E">
        <w:rPr>
          <w:bCs/>
          <w:i/>
          <w:iCs/>
        </w:rPr>
        <w:t>Senāta</w:t>
      </w:r>
      <w:r w:rsidR="00873773" w:rsidRPr="00873773">
        <w:rPr>
          <w:bCs/>
          <w:i/>
          <w:iCs/>
        </w:rPr>
        <w:t xml:space="preserve"> 2018. gada 27. aprīļa lēmum</w:t>
      </w:r>
      <w:r w:rsidR="00306BE1">
        <w:rPr>
          <w:bCs/>
          <w:i/>
          <w:iCs/>
        </w:rPr>
        <w:t>u</w:t>
      </w:r>
      <w:r w:rsidR="00873773" w:rsidRPr="00873773">
        <w:rPr>
          <w:bCs/>
          <w:i/>
          <w:iCs/>
        </w:rPr>
        <w:t xml:space="preserve"> lietā Nr. </w:t>
      </w:r>
      <w:bookmarkStart w:id="5" w:name="OLE_LINK1"/>
      <w:r w:rsidR="00873773" w:rsidRPr="00873773">
        <w:rPr>
          <w:bCs/>
          <w:i/>
          <w:iCs/>
        </w:rPr>
        <w:t>SKK-21/2018</w:t>
      </w:r>
      <w:bookmarkEnd w:id="5"/>
      <w:r w:rsidR="00873773" w:rsidRPr="00873773">
        <w:rPr>
          <w:bCs/>
          <w:i/>
          <w:iCs/>
        </w:rPr>
        <w:t xml:space="preserve">, </w:t>
      </w:r>
      <w:hyperlink r:id="rId15" w:history="1">
        <w:r w:rsidR="00873773" w:rsidRPr="005334DE">
          <w:rPr>
            <w:rStyle w:val="Hyperlink"/>
            <w:bCs/>
            <w:i/>
            <w:iCs/>
            <w:color w:val="auto"/>
            <w:u w:val="none"/>
            <w:lang w:eastAsia="lv-LV"/>
          </w:rPr>
          <w:t>ECLI:LV:AT:2018:0427.15830105308.1.L</w:t>
        </w:r>
      </w:hyperlink>
      <w:r w:rsidR="00873773" w:rsidRPr="005334DE">
        <w:rPr>
          <w:bCs/>
          <w:lang w:eastAsia="lv-LV"/>
        </w:rPr>
        <w:t>)</w:t>
      </w:r>
      <w:r w:rsidR="00873773" w:rsidRPr="005334DE">
        <w:rPr>
          <w:rFonts w:asciiTheme="majorBidi" w:hAnsiTheme="majorBidi" w:cstheme="majorBidi"/>
        </w:rPr>
        <w:t>.</w:t>
      </w:r>
    </w:p>
    <w:p w14:paraId="687885B7" w14:textId="3E645E87" w:rsidR="004A3596" w:rsidRDefault="00F676D3" w:rsidP="00403269">
      <w:pPr>
        <w:widowControl w:val="0"/>
        <w:spacing w:line="276" w:lineRule="auto"/>
        <w:ind w:firstLine="720"/>
        <w:jc w:val="both"/>
      </w:pPr>
      <w:r w:rsidRPr="00F676D3">
        <w:rPr>
          <w:rFonts w:asciiTheme="majorBidi" w:hAnsiTheme="majorBidi" w:cstheme="majorBidi"/>
        </w:rPr>
        <w:t>Ievērojot</w:t>
      </w:r>
      <w:r w:rsidR="00810483">
        <w:rPr>
          <w:rFonts w:asciiTheme="majorBidi" w:hAnsiTheme="majorBidi" w:cstheme="majorBidi"/>
        </w:rPr>
        <w:t xml:space="preserve"> minēto</w:t>
      </w:r>
      <w:r w:rsidRPr="00F676D3">
        <w:rPr>
          <w:rFonts w:asciiTheme="majorBidi" w:hAnsiTheme="majorBidi" w:cstheme="majorBidi"/>
        </w:rPr>
        <w:t>,</w:t>
      </w:r>
      <w:r w:rsidR="00810483">
        <w:rPr>
          <w:rFonts w:asciiTheme="majorBidi" w:hAnsiTheme="majorBidi" w:cstheme="majorBidi"/>
        </w:rPr>
        <w:t xml:space="preserve"> </w:t>
      </w:r>
      <w:r w:rsidRPr="00F676D3">
        <w:rPr>
          <w:rFonts w:asciiTheme="majorBidi" w:hAnsiTheme="majorBidi" w:cstheme="majorBidi"/>
        </w:rPr>
        <w:t xml:space="preserve">Senātam </w:t>
      </w:r>
      <w:r w:rsidR="00C77EC5">
        <w:rPr>
          <w:rFonts w:asciiTheme="majorBidi" w:hAnsiTheme="majorBidi" w:cstheme="majorBidi"/>
        </w:rPr>
        <w:t>ir saistoš</w:t>
      </w:r>
      <w:r w:rsidR="0026135C">
        <w:rPr>
          <w:rFonts w:asciiTheme="majorBidi" w:hAnsiTheme="majorBidi" w:cstheme="majorBidi"/>
        </w:rPr>
        <w:t>i</w:t>
      </w:r>
      <w:r w:rsidR="00C77EC5">
        <w:rPr>
          <w:rFonts w:asciiTheme="majorBidi" w:hAnsiTheme="majorBidi" w:cstheme="majorBidi"/>
        </w:rPr>
        <w:t xml:space="preserve"> </w:t>
      </w:r>
      <w:r w:rsidR="0026135C">
        <w:rPr>
          <w:rFonts w:asciiTheme="majorBidi" w:hAnsiTheme="majorBidi" w:cstheme="majorBidi"/>
        </w:rPr>
        <w:t>apelācijas</w:t>
      </w:r>
      <w:r w:rsidR="00C77EC5">
        <w:rPr>
          <w:rFonts w:asciiTheme="majorBidi" w:hAnsiTheme="majorBidi" w:cstheme="majorBidi"/>
        </w:rPr>
        <w:t xml:space="preserve"> instances tiesas </w:t>
      </w:r>
      <w:r w:rsidR="00191E7F">
        <w:rPr>
          <w:rFonts w:asciiTheme="majorBidi" w:hAnsiTheme="majorBidi" w:cstheme="majorBidi"/>
        </w:rPr>
        <w:t>secinājumi par</w:t>
      </w:r>
      <w:r w:rsidR="00C77EC5">
        <w:rPr>
          <w:rFonts w:asciiTheme="majorBidi" w:hAnsiTheme="majorBidi" w:cstheme="majorBidi"/>
        </w:rPr>
        <w:t xml:space="preserve"> tiesisk</w:t>
      </w:r>
      <w:r w:rsidR="00191E7F">
        <w:rPr>
          <w:rFonts w:asciiTheme="majorBidi" w:hAnsiTheme="majorBidi" w:cstheme="majorBidi"/>
        </w:rPr>
        <w:t>a</w:t>
      </w:r>
      <w:r w:rsidR="00C77EC5">
        <w:rPr>
          <w:rFonts w:asciiTheme="majorBidi" w:hAnsiTheme="majorBidi" w:cstheme="majorBidi"/>
        </w:rPr>
        <w:t xml:space="preserve"> pamat</w:t>
      </w:r>
      <w:r w:rsidR="00191E7F">
        <w:rPr>
          <w:rFonts w:asciiTheme="majorBidi" w:hAnsiTheme="majorBidi" w:cstheme="majorBidi"/>
        </w:rPr>
        <w:t>a</w:t>
      </w:r>
      <w:r w:rsidR="00C77EC5">
        <w:rPr>
          <w:rFonts w:asciiTheme="majorBidi" w:hAnsiTheme="majorBidi" w:cstheme="majorBidi"/>
        </w:rPr>
        <w:t xml:space="preserve"> </w:t>
      </w:r>
      <w:r w:rsidR="00191E7F">
        <w:rPr>
          <w:rFonts w:asciiTheme="majorBidi" w:hAnsiTheme="majorBidi" w:cstheme="majorBidi"/>
        </w:rPr>
        <w:t xml:space="preserve">pastāvēšanu </w:t>
      </w:r>
      <w:r w:rsidR="00C77EC5" w:rsidRPr="00F676D3">
        <w:rPr>
          <w:rFonts w:asciiTheme="majorBidi" w:hAnsiTheme="majorBidi" w:cstheme="majorBidi"/>
        </w:rPr>
        <w:t>kriminālprocesa uzsākšana</w:t>
      </w:r>
      <w:r w:rsidR="00C77EC5">
        <w:rPr>
          <w:rFonts w:asciiTheme="majorBidi" w:hAnsiTheme="majorBidi" w:cstheme="majorBidi"/>
        </w:rPr>
        <w:t xml:space="preserve">i pēc Krimināllikuma 143. panta otrās daļas </w:t>
      </w:r>
      <w:r w:rsidR="003E0369">
        <w:t>sakarā ar</w:t>
      </w:r>
      <w:r w:rsidR="00C77EC5" w:rsidRPr="004F2172">
        <w:t xml:space="preserve"> </w:t>
      </w:r>
      <w:r w:rsidR="00821202">
        <w:t>[pers. D]</w:t>
      </w:r>
      <w:r w:rsidR="00306BE1">
        <w:t xml:space="preserve"> </w:t>
      </w:r>
      <w:r w:rsidR="00CB732A">
        <w:t xml:space="preserve">un </w:t>
      </w:r>
      <w:r w:rsidR="00821202">
        <w:t>[pers. E]</w:t>
      </w:r>
      <w:r w:rsidR="00CB732A">
        <w:t xml:space="preserve"> </w:t>
      </w:r>
      <w:r w:rsidR="00C77EC5" w:rsidRPr="004F2172">
        <w:t>nelikumīgu</w:t>
      </w:r>
      <w:r w:rsidR="00C77EC5">
        <w:t xml:space="preserve"> </w:t>
      </w:r>
      <w:r w:rsidR="00C77EC5" w:rsidRPr="004F2172">
        <w:t xml:space="preserve">iekļūšanu </w:t>
      </w:r>
      <w:r w:rsidR="00821202">
        <w:t>[pers. C]</w:t>
      </w:r>
      <w:r w:rsidR="00C77EC5" w:rsidRPr="004F2172">
        <w:t xml:space="preserve"> mājoklī </w:t>
      </w:r>
      <w:r w:rsidR="00821202">
        <w:t>[adrese]</w:t>
      </w:r>
      <w:r w:rsidR="00C77EC5">
        <w:t xml:space="preserve">, </w:t>
      </w:r>
      <w:r w:rsidR="0026135C">
        <w:t xml:space="preserve">kā arī par to, ka </w:t>
      </w:r>
      <w:r w:rsidR="0026135C" w:rsidRPr="00CD04C0">
        <w:t xml:space="preserve">apsūdzētie </w:t>
      </w:r>
      <w:r w:rsidR="00191E7F">
        <w:t xml:space="preserve">nav veikuši </w:t>
      </w:r>
      <w:r w:rsidR="0026135C" w:rsidRPr="00CD04C0">
        <w:t>darbības, kas acīmredzami pārsniegtu dienesta pilnvaras</w:t>
      </w:r>
      <w:r w:rsidR="0026135C">
        <w:t xml:space="preserve"> attiecībā uz </w:t>
      </w:r>
      <w:r w:rsidR="00403269">
        <w:t>[pers. D]</w:t>
      </w:r>
      <w:r w:rsidR="0026135C">
        <w:t xml:space="preserve"> aizturēšanas ilgumu.</w:t>
      </w:r>
    </w:p>
    <w:p w14:paraId="627C50F5" w14:textId="397D76F8" w:rsidR="00F676D3" w:rsidRDefault="00F676D3" w:rsidP="00D10AD6">
      <w:pPr>
        <w:widowControl w:val="0"/>
        <w:spacing w:line="276" w:lineRule="auto"/>
        <w:ind w:firstLine="720"/>
        <w:jc w:val="both"/>
        <w:rPr>
          <w:rFonts w:asciiTheme="majorBidi" w:hAnsiTheme="majorBidi" w:cstheme="majorBidi"/>
        </w:rPr>
      </w:pPr>
      <w:bookmarkStart w:id="6" w:name="_Hlk205224406"/>
      <w:r>
        <w:rPr>
          <w:rFonts w:asciiTheme="majorBidi" w:hAnsiTheme="majorBidi" w:cstheme="majorBidi"/>
        </w:rPr>
        <w:t>[</w:t>
      </w:r>
      <w:r w:rsidR="009E2521">
        <w:rPr>
          <w:rFonts w:asciiTheme="majorBidi" w:hAnsiTheme="majorBidi" w:cstheme="majorBidi"/>
        </w:rPr>
        <w:t>8.</w:t>
      </w:r>
      <w:r w:rsidR="004A6ABC">
        <w:rPr>
          <w:rFonts w:asciiTheme="majorBidi" w:hAnsiTheme="majorBidi" w:cstheme="majorBidi"/>
        </w:rPr>
        <w:t>3</w:t>
      </w:r>
      <w:r>
        <w:rPr>
          <w:rFonts w:asciiTheme="majorBidi" w:hAnsiTheme="majorBidi" w:cstheme="majorBidi"/>
        </w:rPr>
        <w:t>]</w:t>
      </w:r>
      <w:r w:rsidR="0035688E">
        <w:rPr>
          <w:rFonts w:asciiTheme="majorBidi" w:hAnsiTheme="majorBidi" w:cstheme="majorBidi"/>
        </w:rPr>
        <w:t xml:space="preserve"> Senāts atzīst, ka prokurors kasācijas protestā nav norādījis </w:t>
      </w:r>
      <w:r w:rsidRPr="00F676D3">
        <w:rPr>
          <w:rFonts w:asciiTheme="majorBidi" w:hAnsiTheme="majorBidi" w:cstheme="majorBidi"/>
        </w:rPr>
        <w:t xml:space="preserve">Krimināllikuma vai </w:t>
      </w:r>
      <w:r w:rsidR="00305F2E">
        <w:rPr>
          <w:rFonts w:asciiTheme="majorBidi" w:hAnsiTheme="majorBidi" w:cstheme="majorBidi"/>
        </w:rPr>
        <w:t>tādus</w:t>
      </w:r>
      <w:r w:rsidR="00305F2E" w:rsidRPr="00F676D3">
        <w:rPr>
          <w:rFonts w:asciiTheme="majorBidi" w:hAnsiTheme="majorBidi" w:cstheme="majorBidi"/>
        </w:rPr>
        <w:t xml:space="preserve"> </w:t>
      </w:r>
      <w:r w:rsidRPr="00F676D3">
        <w:rPr>
          <w:rFonts w:asciiTheme="majorBidi" w:hAnsiTheme="majorBidi" w:cstheme="majorBidi"/>
        </w:rPr>
        <w:t xml:space="preserve">Kriminālprocesa likuma </w:t>
      </w:r>
      <w:r w:rsidR="00A55FC9">
        <w:rPr>
          <w:rFonts w:asciiTheme="majorBidi" w:hAnsiTheme="majorBidi" w:cstheme="majorBidi"/>
        </w:rPr>
        <w:t xml:space="preserve">būtiskus </w:t>
      </w:r>
      <w:r w:rsidRPr="00F676D3">
        <w:rPr>
          <w:rFonts w:asciiTheme="majorBidi" w:hAnsiTheme="majorBidi" w:cstheme="majorBidi"/>
        </w:rPr>
        <w:t>pārkāpum</w:t>
      </w:r>
      <w:r w:rsidR="00A55FC9">
        <w:rPr>
          <w:rFonts w:asciiTheme="majorBidi" w:hAnsiTheme="majorBidi" w:cstheme="majorBidi"/>
        </w:rPr>
        <w:t>us</w:t>
      </w:r>
      <w:r w:rsidRPr="00F676D3">
        <w:rPr>
          <w:rFonts w:asciiTheme="majorBidi" w:hAnsiTheme="majorBidi" w:cstheme="majorBidi"/>
        </w:rPr>
        <w:t>, kas noveduši pie nelikumīga vai netaisnīga nolēmuma.</w:t>
      </w:r>
    </w:p>
    <w:p w14:paraId="6ED5FE59" w14:textId="069259E7" w:rsidR="00E02048" w:rsidRPr="0027028D" w:rsidRDefault="00946C18" w:rsidP="00E02048">
      <w:pPr>
        <w:widowControl w:val="0"/>
        <w:spacing w:line="276" w:lineRule="auto"/>
        <w:ind w:firstLine="720"/>
        <w:jc w:val="both"/>
      </w:pPr>
      <w:r>
        <w:t>P</w:t>
      </w:r>
      <w:r w:rsidR="00E02048">
        <w:t>rokurora kasācijas protesta argumenti ir pamatoti ar viņa subjektīvo viedokli par lietā esošo pierādījumu vērtējumu, savukārt lietā iegūto pierādījumu izvērtēšanu atbilstoši likumam veic tā tiesa, kas izskata lietu pēc būtības. Kasatora argumenti faktiski pauž viņa neapmierinātību ar tiem secinājumiem, kādus izdarījusi apelācijas instances tiesa, izvērtējot lietā iegūtos pierādījumus, un vērsti uz to, lai panāktu apelācijas instances tiesas nolēmuma atcelšanu nevis juridisku, bet faktisku iemeslu dēļ, kas ir pretrunā ar Kriminālprocesa likuma 569. panta pirmo daļu.</w:t>
      </w:r>
    </w:p>
    <w:p w14:paraId="0E34D588" w14:textId="01A2635C" w:rsidR="00726D84" w:rsidRDefault="00D9727A" w:rsidP="00726D84">
      <w:pPr>
        <w:widowControl w:val="0"/>
        <w:spacing w:line="276" w:lineRule="auto"/>
        <w:ind w:firstLine="720"/>
        <w:jc w:val="both"/>
        <w:rPr>
          <w:rFonts w:asciiTheme="majorBidi" w:hAnsiTheme="majorBidi" w:cstheme="majorBidi"/>
        </w:rPr>
      </w:pPr>
      <w:r>
        <w:rPr>
          <w:rFonts w:asciiTheme="majorBidi" w:hAnsiTheme="majorBidi" w:cstheme="majorBidi"/>
        </w:rPr>
        <w:t>[</w:t>
      </w:r>
      <w:r w:rsidR="009E2521">
        <w:rPr>
          <w:rFonts w:asciiTheme="majorBidi" w:hAnsiTheme="majorBidi" w:cstheme="majorBidi"/>
        </w:rPr>
        <w:t>8.</w:t>
      </w:r>
      <w:r w:rsidR="004A6ABC">
        <w:rPr>
          <w:rFonts w:asciiTheme="majorBidi" w:hAnsiTheme="majorBidi" w:cstheme="majorBidi"/>
        </w:rPr>
        <w:t>3</w:t>
      </w:r>
      <w:r w:rsidR="00F676D3">
        <w:rPr>
          <w:rFonts w:asciiTheme="majorBidi" w:hAnsiTheme="majorBidi" w:cstheme="majorBidi"/>
        </w:rPr>
        <w:t>.1</w:t>
      </w:r>
      <w:r>
        <w:rPr>
          <w:rFonts w:asciiTheme="majorBidi" w:hAnsiTheme="majorBidi" w:cstheme="majorBidi"/>
        </w:rPr>
        <w:t>]</w:t>
      </w:r>
      <w:r w:rsidR="005C178D">
        <w:rPr>
          <w:rFonts w:asciiTheme="majorBidi" w:hAnsiTheme="majorBidi" w:cstheme="majorBidi"/>
        </w:rPr>
        <w:t> </w:t>
      </w:r>
      <w:r w:rsidR="00306BE1">
        <w:rPr>
          <w:rFonts w:asciiTheme="majorBidi" w:hAnsiTheme="majorBidi" w:cstheme="majorBidi"/>
        </w:rPr>
        <w:t>Pretēji</w:t>
      </w:r>
      <w:r w:rsidR="00E92996">
        <w:rPr>
          <w:rFonts w:asciiTheme="majorBidi" w:hAnsiTheme="majorBidi" w:cstheme="majorBidi"/>
        </w:rPr>
        <w:t xml:space="preserve"> kasācijas protestā</w:t>
      </w:r>
      <w:r w:rsidR="00E92996" w:rsidDel="00E92996">
        <w:rPr>
          <w:rFonts w:asciiTheme="majorBidi" w:hAnsiTheme="majorBidi" w:cstheme="majorBidi"/>
        </w:rPr>
        <w:t xml:space="preserve"> </w:t>
      </w:r>
      <w:r w:rsidR="00726D84">
        <w:rPr>
          <w:rFonts w:asciiTheme="majorBidi" w:hAnsiTheme="majorBidi" w:cstheme="majorBidi"/>
        </w:rPr>
        <w:t>norādīt</w:t>
      </w:r>
      <w:r w:rsidR="00306BE1">
        <w:rPr>
          <w:rFonts w:asciiTheme="majorBidi" w:hAnsiTheme="majorBidi" w:cstheme="majorBidi"/>
        </w:rPr>
        <w:t>ajam</w:t>
      </w:r>
      <w:r w:rsidR="00726D84">
        <w:rPr>
          <w:rFonts w:asciiTheme="majorBidi" w:hAnsiTheme="majorBidi" w:cstheme="majorBidi"/>
        </w:rPr>
        <w:t xml:space="preserve"> tiesa apsūdzētajiem inkriminētās darbības </w:t>
      </w:r>
      <w:r w:rsidR="00306BE1">
        <w:rPr>
          <w:rFonts w:asciiTheme="majorBidi" w:hAnsiTheme="majorBidi" w:cstheme="majorBidi"/>
        </w:rPr>
        <w:t xml:space="preserve">nav </w:t>
      </w:r>
      <w:r w:rsidR="00726D84">
        <w:rPr>
          <w:rFonts w:asciiTheme="majorBidi" w:hAnsiTheme="majorBidi" w:cstheme="majorBidi"/>
        </w:rPr>
        <w:t>vērtējusi kā noziedzīgu nodarījumu kopību</w:t>
      </w:r>
      <w:r w:rsidR="00306BE1">
        <w:rPr>
          <w:rFonts w:asciiTheme="majorBidi" w:hAnsiTheme="majorBidi" w:cstheme="majorBidi"/>
        </w:rPr>
        <w:t>, bet gan</w:t>
      </w:r>
      <w:r w:rsidR="00726D84">
        <w:rPr>
          <w:rFonts w:asciiTheme="majorBidi" w:hAnsiTheme="majorBidi" w:cstheme="majorBidi"/>
        </w:rPr>
        <w:t xml:space="preserve"> secīgi vērtējusi apsūdzētajiem inkriminētās darbības, </w:t>
      </w:r>
      <w:r w:rsidR="00306BE1">
        <w:rPr>
          <w:rFonts w:asciiTheme="majorBidi" w:hAnsiTheme="majorBidi" w:cstheme="majorBidi"/>
        </w:rPr>
        <w:t xml:space="preserve">un tādējādi </w:t>
      </w:r>
      <w:r w:rsidR="00726D84">
        <w:rPr>
          <w:rFonts w:asciiTheme="majorBidi" w:hAnsiTheme="majorBidi" w:cstheme="majorBidi"/>
        </w:rPr>
        <w:t>vispusīgi pārbaudījusi pierādīšanas priekšmetā ietilpstošos faktus.</w:t>
      </w:r>
    </w:p>
    <w:p w14:paraId="1BF07955" w14:textId="59970798" w:rsidR="00726D84" w:rsidRDefault="00726D84" w:rsidP="00726D84">
      <w:pPr>
        <w:widowControl w:val="0"/>
        <w:spacing w:line="276" w:lineRule="auto"/>
        <w:ind w:firstLine="720"/>
        <w:jc w:val="both"/>
        <w:rPr>
          <w:rFonts w:asciiTheme="majorBidi" w:hAnsiTheme="majorBidi" w:cstheme="majorBidi"/>
        </w:rPr>
      </w:pPr>
      <w:r w:rsidRPr="00765CCB">
        <w:rPr>
          <w:rFonts w:asciiTheme="majorBidi" w:hAnsiTheme="majorBidi" w:cstheme="majorBidi"/>
        </w:rPr>
        <w:t xml:space="preserve">Lai izvērtētu, vai </w:t>
      </w:r>
      <w:r>
        <w:rPr>
          <w:rFonts w:asciiTheme="majorBidi" w:hAnsiTheme="majorBidi" w:cstheme="majorBidi"/>
        </w:rPr>
        <w:t xml:space="preserve">pierādījumi ir pietiekami </w:t>
      </w:r>
      <w:r w:rsidRPr="00765CCB">
        <w:rPr>
          <w:rFonts w:asciiTheme="majorBidi" w:hAnsiTheme="majorBidi" w:cstheme="majorBidi"/>
        </w:rPr>
        <w:t>Krimināllikuma 317.</w:t>
      </w:r>
      <w:r>
        <w:rPr>
          <w:rFonts w:asciiTheme="majorBidi" w:hAnsiTheme="majorBidi" w:cstheme="majorBidi"/>
        </w:rPr>
        <w:t> </w:t>
      </w:r>
      <w:r w:rsidRPr="00765CCB">
        <w:rPr>
          <w:rFonts w:asciiTheme="majorBidi" w:hAnsiTheme="majorBidi" w:cstheme="majorBidi"/>
        </w:rPr>
        <w:t>panta otrajā daļā paredzētā noziedzīgā nodarījuma objektīv</w:t>
      </w:r>
      <w:r>
        <w:rPr>
          <w:rFonts w:asciiTheme="majorBidi" w:hAnsiTheme="majorBidi" w:cstheme="majorBidi"/>
        </w:rPr>
        <w:t>ās puses konstatēšanai</w:t>
      </w:r>
      <w:r w:rsidRPr="00765CCB">
        <w:rPr>
          <w:rFonts w:asciiTheme="majorBidi" w:hAnsiTheme="majorBidi" w:cstheme="majorBidi"/>
        </w:rPr>
        <w:t>, tiesai jāanalizē katrs</w:t>
      </w:r>
      <w:r>
        <w:rPr>
          <w:rFonts w:asciiTheme="majorBidi" w:hAnsiTheme="majorBidi" w:cstheme="majorBidi"/>
        </w:rPr>
        <w:t xml:space="preserve"> </w:t>
      </w:r>
      <w:r>
        <w:rPr>
          <w:rFonts w:asciiTheme="majorBidi" w:hAnsiTheme="majorBidi" w:cstheme="majorBidi"/>
        </w:rPr>
        <w:lastRenderedPageBreak/>
        <w:t>inkriminētā noziedzīgā nodarījuma</w:t>
      </w:r>
      <w:r w:rsidRPr="00765CCB">
        <w:rPr>
          <w:rFonts w:asciiTheme="majorBidi" w:hAnsiTheme="majorBidi" w:cstheme="majorBidi"/>
        </w:rPr>
        <w:t xml:space="preserve"> posms secī</w:t>
      </w:r>
      <w:r>
        <w:rPr>
          <w:rFonts w:asciiTheme="majorBidi" w:hAnsiTheme="majorBidi" w:cstheme="majorBidi"/>
        </w:rPr>
        <w:t>gi</w:t>
      </w:r>
      <w:r w:rsidRPr="00765CCB">
        <w:rPr>
          <w:rFonts w:asciiTheme="majorBidi" w:hAnsiTheme="majorBidi" w:cstheme="majorBidi"/>
        </w:rPr>
        <w:t xml:space="preserve">, noskaidrojot, vai </w:t>
      </w:r>
      <w:r>
        <w:rPr>
          <w:rFonts w:asciiTheme="majorBidi" w:hAnsiTheme="majorBidi" w:cstheme="majorBidi"/>
        </w:rPr>
        <w:t>apsūdzētie ir</w:t>
      </w:r>
      <w:r w:rsidRPr="00765CCB">
        <w:rPr>
          <w:rFonts w:asciiTheme="majorBidi" w:hAnsiTheme="majorBidi" w:cstheme="majorBidi"/>
        </w:rPr>
        <w:t xml:space="preserve"> pieļ</w:t>
      </w:r>
      <w:r>
        <w:rPr>
          <w:rFonts w:asciiTheme="majorBidi" w:hAnsiTheme="majorBidi" w:cstheme="majorBidi"/>
        </w:rPr>
        <w:t>āvuši</w:t>
      </w:r>
      <w:r w:rsidRPr="00765CCB">
        <w:rPr>
          <w:rFonts w:asciiTheme="majorBidi" w:hAnsiTheme="majorBidi" w:cstheme="majorBidi"/>
        </w:rPr>
        <w:t xml:space="preserve"> </w:t>
      </w:r>
      <w:r>
        <w:rPr>
          <w:rFonts w:asciiTheme="majorBidi" w:hAnsiTheme="majorBidi" w:cstheme="majorBidi"/>
        </w:rPr>
        <w:t xml:space="preserve">apsūdzībā norādītos </w:t>
      </w:r>
      <w:r w:rsidRPr="00765CCB">
        <w:rPr>
          <w:rFonts w:asciiTheme="majorBidi" w:hAnsiTheme="majorBidi" w:cstheme="majorBidi"/>
        </w:rPr>
        <w:t>tiesību norm</w:t>
      </w:r>
      <w:r w:rsidR="00311927">
        <w:rPr>
          <w:rFonts w:asciiTheme="majorBidi" w:hAnsiTheme="majorBidi" w:cstheme="majorBidi"/>
        </w:rPr>
        <w:t>u</w:t>
      </w:r>
      <w:r w:rsidRPr="00765CCB">
        <w:rPr>
          <w:rFonts w:asciiTheme="majorBidi" w:hAnsiTheme="majorBidi" w:cstheme="majorBidi"/>
        </w:rPr>
        <w:t xml:space="preserve"> pārkāpum</w:t>
      </w:r>
      <w:r>
        <w:rPr>
          <w:rFonts w:asciiTheme="majorBidi" w:hAnsiTheme="majorBidi" w:cstheme="majorBidi"/>
        </w:rPr>
        <w:t>u</w:t>
      </w:r>
      <w:r w:rsidR="00311927">
        <w:rPr>
          <w:rFonts w:asciiTheme="majorBidi" w:hAnsiTheme="majorBidi" w:cstheme="majorBidi"/>
        </w:rPr>
        <w:t>s</w:t>
      </w:r>
      <w:r w:rsidR="00E92996">
        <w:rPr>
          <w:rFonts w:asciiTheme="majorBidi" w:hAnsiTheme="majorBidi" w:cstheme="majorBidi"/>
        </w:rPr>
        <w:t>,</w:t>
      </w:r>
      <w:r w:rsidRPr="00765CCB">
        <w:rPr>
          <w:rFonts w:asciiTheme="majorBidi" w:hAnsiTheme="majorBidi" w:cstheme="majorBidi"/>
        </w:rPr>
        <w:t xml:space="preserve"> un, ja ir, </w:t>
      </w:r>
      <w:r w:rsidR="00311927">
        <w:rPr>
          <w:rFonts w:asciiTheme="majorBidi" w:hAnsiTheme="majorBidi" w:cstheme="majorBidi"/>
        </w:rPr>
        <w:t xml:space="preserve">vai </w:t>
      </w:r>
      <w:r>
        <w:rPr>
          <w:rFonts w:asciiTheme="majorBidi" w:hAnsiTheme="majorBidi" w:cstheme="majorBidi"/>
        </w:rPr>
        <w:t>šie pārkāpumi</w:t>
      </w:r>
      <w:r w:rsidRPr="00765CCB">
        <w:rPr>
          <w:rFonts w:asciiTheme="majorBidi" w:hAnsiTheme="majorBidi" w:cstheme="majorBidi"/>
        </w:rPr>
        <w:t xml:space="preserve"> pēc sava rakstura </w:t>
      </w:r>
      <w:r>
        <w:rPr>
          <w:rFonts w:asciiTheme="majorBidi" w:hAnsiTheme="majorBidi" w:cstheme="majorBidi"/>
        </w:rPr>
        <w:t>atzīstami</w:t>
      </w:r>
      <w:r w:rsidRPr="00765CCB">
        <w:rPr>
          <w:rFonts w:asciiTheme="majorBidi" w:hAnsiTheme="majorBidi" w:cstheme="majorBidi"/>
        </w:rPr>
        <w:t xml:space="preserve"> par </w:t>
      </w:r>
      <w:r>
        <w:rPr>
          <w:rFonts w:asciiTheme="majorBidi" w:hAnsiTheme="majorBidi" w:cstheme="majorBidi"/>
        </w:rPr>
        <w:t xml:space="preserve">apsūdzētajiem piešķirto </w:t>
      </w:r>
      <w:r w:rsidRPr="00765CCB">
        <w:rPr>
          <w:rFonts w:asciiTheme="majorBidi" w:hAnsiTheme="majorBidi" w:cstheme="majorBidi"/>
        </w:rPr>
        <w:t xml:space="preserve">tiesību un pilnvaru robežu </w:t>
      </w:r>
      <w:r w:rsidR="00851C18">
        <w:rPr>
          <w:rFonts w:asciiTheme="majorBidi" w:hAnsiTheme="majorBidi" w:cstheme="majorBidi"/>
        </w:rPr>
        <w:t xml:space="preserve">acīmredzamu </w:t>
      </w:r>
      <w:r w:rsidRPr="00765CCB">
        <w:rPr>
          <w:rFonts w:asciiTheme="majorBidi" w:hAnsiTheme="majorBidi" w:cstheme="majorBidi"/>
        </w:rPr>
        <w:t>pārsniegšanu</w:t>
      </w:r>
      <w:r>
        <w:rPr>
          <w:rFonts w:asciiTheme="majorBidi" w:hAnsiTheme="majorBidi" w:cstheme="majorBidi"/>
        </w:rPr>
        <w:t>.</w:t>
      </w:r>
    </w:p>
    <w:p w14:paraId="736B6AD2" w14:textId="77777777" w:rsidR="00726D84" w:rsidRDefault="00726D84" w:rsidP="00726D84">
      <w:pPr>
        <w:widowControl w:val="0"/>
        <w:spacing w:line="276" w:lineRule="auto"/>
        <w:ind w:firstLine="720"/>
        <w:jc w:val="both"/>
        <w:rPr>
          <w:rFonts w:asciiTheme="majorBidi" w:hAnsiTheme="majorBidi" w:cstheme="majorBidi"/>
        </w:rPr>
      </w:pPr>
      <w:r>
        <w:rPr>
          <w:rFonts w:asciiTheme="majorBidi" w:hAnsiTheme="majorBidi" w:cstheme="majorBidi"/>
        </w:rPr>
        <w:t>Apelācijas instances tiesa apsūdzēto pieļautus tiesību normu pārkāpumus nav konstatējusi.</w:t>
      </w:r>
    </w:p>
    <w:p w14:paraId="7AEDFC49" w14:textId="7CAB0A7F" w:rsidR="00726D84" w:rsidRDefault="00726D84" w:rsidP="00726D84">
      <w:pPr>
        <w:widowControl w:val="0"/>
        <w:spacing w:line="276" w:lineRule="auto"/>
        <w:ind w:firstLine="720"/>
        <w:jc w:val="both"/>
        <w:rPr>
          <w:shd w:val="clear" w:color="auto" w:fill="FFFFFF"/>
          <w:lang w:eastAsia="lv-LV"/>
        </w:rPr>
      </w:pPr>
      <w:r>
        <w:rPr>
          <w:rFonts w:asciiTheme="majorBidi" w:hAnsiTheme="majorBidi" w:cstheme="majorBidi"/>
        </w:rPr>
        <w:t>Senāts vērš uzmanību arī uz to, ka</w:t>
      </w:r>
      <w:r w:rsidR="00851C18">
        <w:rPr>
          <w:rFonts w:asciiTheme="majorBidi" w:hAnsiTheme="majorBidi" w:cstheme="majorBidi"/>
        </w:rPr>
        <w:t>, lai piemērotu Krimināllikuma 317. pantu,</w:t>
      </w:r>
      <w:r>
        <w:rPr>
          <w:rFonts w:asciiTheme="majorBidi" w:hAnsiTheme="majorBidi" w:cstheme="majorBidi"/>
        </w:rPr>
        <w:t xml:space="preserve"> dienesta pilnvaru pārsniegšanai jābūt acīmredzamai, proti, amatpersonas uzvedībai jābūt tādai, par kuru nav ne mazāko šaubu, ka tā iziet ārpus normatīvajos aktos valsts amatpersonai piešķirtās kompetences robežām (</w:t>
      </w:r>
      <w:r w:rsidRPr="00202F58">
        <w:rPr>
          <w:shd w:val="clear" w:color="auto" w:fill="FFFFFF"/>
          <w:lang w:eastAsia="lv-LV"/>
        </w:rPr>
        <w:t>sk.</w:t>
      </w:r>
      <w:r>
        <w:rPr>
          <w:shd w:val="clear" w:color="auto" w:fill="FFFFFF"/>
          <w:lang w:eastAsia="lv-LV"/>
        </w:rPr>
        <w:t> </w:t>
      </w:r>
      <w:r w:rsidRPr="00202F58">
        <w:rPr>
          <w:i/>
          <w:iCs/>
          <w:shd w:val="clear" w:color="auto" w:fill="FFFFFF"/>
          <w:lang w:eastAsia="lv-LV"/>
        </w:rPr>
        <w:t>U.</w:t>
      </w:r>
      <w:r>
        <w:rPr>
          <w:i/>
          <w:iCs/>
          <w:shd w:val="clear" w:color="auto" w:fill="FFFFFF"/>
          <w:lang w:eastAsia="lv-LV"/>
        </w:rPr>
        <w:t> </w:t>
      </w:r>
      <w:r w:rsidRPr="00202F58">
        <w:rPr>
          <w:i/>
          <w:iCs/>
          <w:shd w:val="clear" w:color="auto" w:fill="FFFFFF"/>
          <w:lang w:eastAsia="lv-LV"/>
        </w:rPr>
        <w:t>Krastiņš, V.</w:t>
      </w:r>
      <w:r>
        <w:rPr>
          <w:i/>
          <w:iCs/>
          <w:shd w:val="clear" w:color="auto" w:fill="FFFFFF"/>
          <w:lang w:eastAsia="lv-LV"/>
        </w:rPr>
        <w:t> </w:t>
      </w:r>
      <w:r w:rsidRPr="00202F58">
        <w:rPr>
          <w:i/>
          <w:iCs/>
          <w:shd w:val="clear" w:color="auto" w:fill="FFFFFF"/>
          <w:lang w:eastAsia="lv-LV"/>
        </w:rPr>
        <w:t>Liholaja,</w:t>
      </w:r>
      <w:r>
        <w:rPr>
          <w:shd w:val="clear" w:color="auto" w:fill="FFFFFF"/>
          <w:lang w:eastAsia="lv-LV"/>
        </w:rPr>
        <w:t xml:space="preserve"> </w:t>
      </w:r>
      <w:r w:rsidRPr="00202F58">
        <w:rPr>
          <w:i/>
          <w:iCs/>
          <w:shd w:val="clear" w:color="auto" w:fill="FFFFFF"/>
          <w:lang w:eastAsia="lv-LV"/>
        </w:rPr>
        <w:t>D.</w:t>
      </w:r>
      <w:r>
        <w:rPr>
          <w:i/>
          <w:iCs/>
          <w:shd w:val="clear" w:color="auto" w:fill="FFFFFF"/>
          <w:lang w:eastAsia="lv-LV"/>
        </w:rPr>
        <w:t> </w:t>
      </w:r>
      <w:r w:rsidRPr="00202F58">
        <w:rPr>
          <w:i/>
          <w:iCs/>
          <w:shd w:val="clear" w:color="auto" w:fill="FFFFFF"/>
          <w:lang w:eastAsia="lv-LV"/>
        </w:rPr>
        <w:t>Hamkova. Krimināllikuma komentāri</w:t>
      </w:r>
      <w:r>
        <w:rPr>
          <w:i/>
          <w:iCs/>
          <w:shd w:val="clear" w:color="auto" w:fill="FFFFFF"/>
          <w:lang w:eastAsia="lv-LV"/>
        </w:rPr>
        <w:t>. T</w:t>
      </w:r>
      <w:r w:rsidRPr="00202F58">
        <w:rPr>
          <w:i/>
          <w:iCs/>
          <w:shd w:val="clear" w:color="auto" w:fill="FFFFFF"/>
          <w:lang w:eastAsia="lv-LV"/>
        </w:rPr>
        <w:t>rešā daļa (XVIII</w:t>
      </w:r>
      <w:r>
        <w:rPr>
          <w:i/>
          <w:iCs/>
          <w:shd w:val="clear" w:color="auto" w:fill="FFFFFF"/>
          <w:lang w:eastAsia="lv-LV"/>
        </w:rPr>
        <w:noBreakHyphen/>
      </w:r>
      <w:r w:rsidRPr="00202F58">
        <w:rPr>
          <w:i/>
          <w:iCs/>
          <w:shd w:val="clear" w:color="auto" w:fill="FFFFFF"/>
          <w:lang w:eastAsia="lv-LV"/>
        </w:rPr>
        <w:t>XXV</w:t>
      </w:r>
      <w:r>
        <w:rPr>
          <w:i/>
          <w:iCs/>
          <w:shd w:val="clear" w:color="auto" w:fill="FFFFFF"/>
          <w:lang w:eastAsia="lv-LV"/>
        </w:rPr>
        <w:t> </w:t>
      </w:r>
      <w:r w:rsidRPr="00202F58">
        <w:rPr>
          <w:i/>
          <w:iCs/>
          <w:shd w:val="clear" w:color="auto" w:fill="FFFFFF"/>
          <w:lang w:eastAsia="lv-LV"/>
        </w:rPr>
        <w:t>nodaļa).</w:t>
      </w:r>
      <w:r>
        <w:rPr>
          <w:i/>
          <w:iCs/>
          <w:shd w:val="clear" w:color="auto" w:fill="FFFFFF"/>
          <w:lang w:eastAsia="lv-LV"/>
        </w:rPr>
        <w:t xml:space="preserve"> Trešais papildinātais izdevums.</w:t>
      </w:r>
      <w:r w:rsidRPr="00202F58">
        <w:rPr>
          <w:i/>
          <w:iCs/>
          <w:shd w:val="clear" w:color="auto" w:fill="FFFFFF"/>
          <w:lang w:eastAsia="lv-LV"/>
        </w:rPr>
        <w:t xml:space="preserve"> </w:t>
      </w:r>
      <w:r>
        <w:rPr>
          <w:i/>
          <w:iCs/>
          <w:shd w:val="clear" w:color="auto" w:fill="FFFFFF"/>
          <w:lang w:eastAsia="lv-LV"/>
        </w:rPr>
        <w:t xml:space="preserve">Rīga: </w:t>
      </w:r>
      <w:r w:rsidRPr="00202F58">
        <w:rPr>
          <w:i/>
          <w:iCs/>
          <w:shd w:val="clear" w:color="auto" w:fill="FFFFFF"/>
          <w:lang w:eastAsia="lv-LV"/>
        </w:rPr>
        <w:t>T</w:t>
      </w:r>
      <w:r>
        <w:rPr>
          <w:i/>
          <w:iCs/>
          <w:shd w:val="clear" w:color="auto" w:fill="FFFFFF"/>
          <w:lang w:eastAsia="lv-LV"/>
        </w:rPr>
        <w:t>iesu namu aģentūra</w:t>
      </w:r>
      <w:r w:rsidRPr="00202F58">
        <w:rPr>
          <w:i/>
          <w:iCs/>
          <w:shd w:val="clear" w:color="auto" w:fill="FFFFFF"/>
          <w:lang w:eastAsia="lv-LV"/>
        </w:rPr>
        <w:t>, 20</w:t>
      </w:r>
      <w:r>
        <w:rPr>
          <w:i/>
          <w:iCs/>
          <w:shd w:val="clear" w:color="auto" w:fill="FFFFFF"/>
          <w:lang w:eastAsia="lv-LV"/>
        </w:rPr>
        <w:t>23</w:t>
      </w:r>
      <w:r w:rsidRPr="00202F58">
        <w:rPr>
          <w:i/>
          <w:iCs/>
          <w:shd w:val="clear" w:color="auto" w:fill="FFFFFF"/>
          <w:lang w:eastAsia="lv-LV"/>
        </w:rPr>
        <w:t xml:space="preserve">, </w:t>
      </w:r>
      <w:r>
        <w:rPr>
          <w:i/>
          <w:iCs/>
          <w:shd w:val="clear" w:color="auto" w:fill="FFFFFF"/>
          <w:lang w:eastAsia="lv-LV"/>
        </w:rPr>
        <w:t>573</w:t>
      </w:r>
      <w:r w:rsidRPr="00202F58">
        <w:rPr>
          <w:i/>
          <w:iCs/>
          <w:shd w:val="clear" w:color="auto" w:fill="FFFFFF"/>
          <w:lang w:eastAsia="lv-LV"/>
        </w:rPr>
        <w:t>.</w:t>
      </w:r>
      <w:r>
        <w:rPr>
          <w:i/>
          <w:iCs/>
          <w:shd w:val="clear" w:color="auto" w:fill="FFFFFF"/>
          <w:lang w:eastAsia="lv-LV"/>
        </w:rPr>
        <w:t> </w:t>
      </w:r>
      <w:r w:rsidRPr="00202F58">
        <w:rPr>
          <w:i/>
          <w:iCs/>
          <w:shd w:val="clear" w:color="auto" w:fill="FFFFFF"/>
          <w:lang w:eastAsia="lv-LV"/>
        </w:rPr>
        <w:t>lpp.</w:t>
      </w:r>
      <w:r w:rsidRPr="00E871DD">
        <w:rPr>
          <w:shd w:val="clear" w:color="auto" w:fill="FFFFFF"/>
          <w:lang w:eastAsia="lv-LV"/>
        </w:rPr>
        <w:t>).</w:t>
      </w:r>
    </w:p>
    <w:p w14:paraId="16F4826B" w14:textId="77777777" w:rsidR="00726D84" w:rsidRDefault="00726D84" w:rsidP="00726D84">
      <w:pPr>
        <w:widowControl w:val="0"/>
        <w:spacing w:line="276" w:lineRule="auto"/>
        <w:ind w:firstLine="720"/>
        <w:jc w:val="both"/>
        <w:rPr>
          <w:rFonts w:asciiTheme="majorBidi" w:hAnsiTheme="majorBidi" w:cstheme="majorBidi"/>
        </w:rPr>
      </w:pPr>
      <w:r>
        <w:rPr>
          <w:rFonts w:asciiTheme="majorBidi" w:hAnsiTheme="majorBidi" w:cstheme="majorBidi"/>
        </w:rPr>
        <w:t>Tādējādi</w:t>
      </w:r>
      <w:r w:rsidRPr="005D440E">
        <w:rPr>
          <w:rFonts w:asciiTheme="majorBidi" w:hAnsiTheme="majorBidi" w:cstheme="majorBidi"/>
        </w:rPr>
        <w:t xml:space="preserve"> </w:t>
      </w:r>
      <w:r>
        <w:rPr>
          <w:rFonts w:asciiTheme="majorBidi" w:hAnsiTheme="majorBidi" w:cstheme="majorBidi"/>
        </w:rPr>
        <w:t>ar</w:t>
      </w:r>
      <w:r w:rsidRPr="005D440E">
        <w:rPr>
          <w:rFonts w:asciiTheme="majorBidi" w:hAnsiTheme="majorBidi" w:cstheme="majorBidi"/>
        </w:rPr>
        <w:t xml:space="preserve"> konstatē</w:t>
      </w:r>
      <w:r>
        <w:rPr>
          <w:rFonts w:asciiTheme="majorBidi" w:hAnsiTheme="majorBidi" w:cstheme="majorBidi"/>
        </w:rPr>
        <w:t>jumu</w:t>
      </w:r>
      <w:r w:rsidRPr="005D440E">
        <w:rPr>
          <w:rFonts w:asciiTheme="majorBidi" w:hAnsiTheme="majorBidi" w:cstheme="majorBidi"/>
        </w:rPr>
        <w:t xml:space="preserve"> </w:t>
      </w:r>
      <w:r>
        <w:rPr>
          <w:rFonts w:asciiTheme="majorBidi" w:hAnsiTheme="majorBidi" w:cstheme="majorBidi"/>
        </w:rPr>
        <w:t xml:space="preserve">par pieļautiem </w:t>
      </w:r>
      <w:r w:rsidRPr="005D440E">
        <w:rPr>
          <w:rFonts w:asciiTheme="majorBidi" w:hAnsiTheme="majorBidi" w:cstheme="majorBidi"/>
        </w:rPr>
        <w:t>tiesību normu pārkāpumi</w:t>
      </w:r>
      <w:r>
        <w:rPr>
          <w:rFonts w:asciiTheme="majorBidi" w:hAnsiTheme="majorBidi" w:cstheme="majorBidi"/>
        </w:rPr>
        <w:t>em nav pietiekami</w:t>
      </w:r>
      <w:r w:rsidRPr="005D440E">
        <w:rPr>
          <w:rFonts w:asciiTheme="majorBidi" w:hAnsiTheme="majorBidi" w:cstheme="majorBidi"/>
        </w:rPr>
        <w:t>, lai atzītu</w:t>
      </w:r>
      <w:r>
        <w:rPr>
          <w:rFonts w:asciiTheme="majorBidi" w:hAnsiTheme="majorBidi" w:cstheme="majorBidi"/>
        </w:rPr>
        <w:t xml:space="preserve"> par pierādītu</w:t>
      </w:r>
      <w:r w:rsidRPr="005D440E">
        <w:rPr>
          <w:rFonts w:asciiTheme="majorBidi" w:hAnsiTheme="majorBidi" w:cstheme="majorBidi"/>
        </w:rPr>
        <w:t xml:space="preserve"> Krimināllikuma 317.</w:t>
      </w:r>
      <w:r>
        <w:rPr>
          <w:rFonts w:asciiTheme="majorBidi" w:hAnsiTheme="majorBidi" w:cstheme="majorBidi"/>
        </w:rPr>
        <w:t> </w:t>
      </w:r>
      <w:r w:rsidRPr="005D440E">
        <w:rPr>
          <w:rFonts w:asciiTheme="majorBidi" w:hAnsiTheme="majorBidi" w:cstheme="majorBidi"/>
        </w:rPr>
        <w:t>pantā paredzētā noziedzīgā nodarījuma objektīv</w:t>
      </w:r>
      <w:r>
        <w:rPr>
          <w:rFonts w:asciiTheme="majorBidi" w:hAnsiTheme="majorBidi" w:cstheme="majorBidi"/>
        </w:rPr>
        <w:t>o pusi</w:t>
      </w:r>
      <w:r w:rsidRPr="005D440E">
        <w:rPr>
          <w:rFonts w:asciiTheme="majorBidi" w:hAnsiTheme="majorBidi" w:cstheme="majorBidi"/>
        </w:rPr>
        <w:t>.</w:t>
      </w:r>
    </w:p>
    <w:p w14:paraId="3D3C0D20" w14:textId="77777777" w:rsidR="00726D84" w:rsidRDefault="00726D84" w:rsidP="00726D84">
      <w:pPr>
        <w:widowControl w:val="0"/>
        <w:spacing w:line="276" w:lineRule="auto"/>
        <w:ind w:firstLine="720"/>
        <w:jc w:val="both"/>
        <w:rPr>
          <w:rFonts w:asciiTheme="majorBidi" w:hAnsiTheme="majorBidi" w:cstheme="majorBidi"/>
        </w:rPr>
      </w:pPr>
      <w:r w:rsidRPr="00F16269">
        <w:rPr>
          <w:rFonts w:asciiTheme="majorBidi" w:hAnsiTheme="majorBidi" w:cstheme="majorBidi"/>
        </w:rPr>
        <w:t xml:space="preserve">Ņemot vērā, ka nereti tiesībsargājošo iestāžu darbiniekiem pienākumi jāveic sarežģītos un emocionāli saspringtos apstākļos, </w:t>
      </w:r>
      <w:r>
        <w:rPr>
          <w:rFonts w:asciiTheme="majorBidi" w:hAnsiTheme="majorBidi" w:cstheme="majorBidi"/>
        </w:rPr>
        <w:t>turklāt</w:t>
      </w:r>
      <w:r w:rsidRPr="00F16269">
        <w:rPr>
          <w:rFonts w:asciiTheme="majorBidi" w:hAnsiTheme="majorBidi" w:cstheme="majorBidi"/>
        </w:rPr>
        <w:t xml:space="preserve"> balstoties uz nepilnīgu informāciju un pieņemot lēmumus steidzamības kārtā, vēlāk konstatēta kļūda pati par sevi </w:t>
      </w:r>
      <w:r>
        <w:rPr>
          <w:rFonts w:asciiTheme="majorBidi" w:hAnsiTheme="majorBidi" w:cstheme="majorBidi"/>
        </w:rPr>
        <w:t>nav pamats</w:t>
      </w:r>
      <w:r w:rsidRPr="00F16269">
        <w:rPr>
          <w:rFonts w:asciiTheme="majorBidi" w:hAnsiTheme="majorBidi" w:cstheme="majorBidi"/>
        </w:rPr>
        <w:t xml:space="preserve"> kriminālatbildības kā visbargāk</w:t>
      </w:r>
      <w:r>
        <w:rPr>
          <w:rFonts w:asciiTheme="majorBidi" w:hAnsiTheme="majorBidi" w:cstheme="majorBidi"/>
        </w:rPr>
        <w:t>ās</w:t>
      </w:r>
      <w:r w:rsidRPr="00F16269">
        <w:rPr>
          <w:rFonts w:asciiTheme="majorBidi" w:hAnsiTheme="majorBidi" w:cstheme="majorBidi"/>
        </w:rPr>
        <w:t xml:space="preserve"> juridiskās atbildības forma</w:t>
      </w:r>
      <w:r>
        <w:rPr>
          <w:rFonts w:asciiTheme="majorBidi" w:hAnsiTheme="majorBidi" w:cstheme="majorBidi"/>
        </w:rPr>
        <w:t xml:space="preserve">s </w:t>
      </w:r>
      <w:r w:rsidRPr="00F16269">
        <w:rPr>
          <w:rFonts w:asciiTheme="majorBidi" w:hAnsiTheme="majorBidi" w:cstheme="majorBidi"/>
        </w:rPr>
        <w:t>piemērošanai</w:t>
      </w:r>
      <w:r>
        <w:rPr>
          <w:rFonts w:asciiTheme="majorBidi" w:hAnsiTheme="majorBidi" w:cstheme="majorBidi"/>
        </w:rPr>
        <w:t>.</w:t>
      </w:r>
    </w:p>
    <w:p w14:paraId="43D05EB0" w14:textId="77777777" w:rsidR="00726D84" w:rsidRDefault="00726D84" w:rsidP="00726D84">
      <w:pPr>
        <w:widowControl w:val="0"/>
        <w:spacing w:line="276" w:lineRule="auto"/>
        <w:ind w:firstLine="720"/>
        <w:jc w:val="both"/>
      </w:pPr>
      <w:r>
        <w:rPr>
          <w:shd w:val="clear" w:color="auto" w:fill="FFFFFF"/>
          <w:lang w:eastAsia="lv-LV"/>
        </w:rPr>
        <w:t>Turklāt a</w:t>
      </w:r>
      <w:r w:rsidRPr="007334ED">
        <w:t>tsevišķa normatīva akta neprecīza ievērošana ne vienmēr liecina par apsūdzētās personas ļaunprātīgu rīcību (</w:t>
      </w:r>
      <w:r w:rsidRPr="007E3A04">
        <w:t>sk.</w:t>
      </w:r>
      <w:r>
        <w:rPr>
          <w:i/>
          <w:iCs/>
        </w:rPr>
        <w:t> </w:t>
      </w:r>
      <w:r w:rsidRPr="007334ED">
        <w:rPr>
          <w:i/>
          <w:iCs/>
        </w:rPr>
        <w:t>Senāta 2007. gada 25. aprīļa lēmumu lietā Nr. SKK-164/2007</w:t>
      </w:r>
      <w:r>
        <w:rPr>
          <w:i/>
          <w:iCs/>
        </w:rPr>
        <w:t xml:space="preserve">, </w:t>
      </w:r>
      <w:r w:rsidRPr="007334ED">
        <w:rPr>
          <w:i/>
          <w:iCs/>
        </w:rPr>
        <w:t>11810010804</w:t>
      </w:r>
      <w:r w:rsidRPr="007334ED">
        <w:t>).</w:t>
      </w:r>
    </w:p>
    <w:p w14:paraId="19AE149D" w14:textId="1D46B09D" w:rsidR="00814A9D" w:rsidRDefault="00726D84" w:rsidP="00816C05">
      <w:pPr>
        <w:widowControl w:val="0"/>
        <w:spacing w:line="276" w:lineRule="auto"/>
        <w:ind w:firstLine="720"/>
        <w:jc w:val="both"/>
        <w:rPr>
          <w:rFonts w:asciiTheme="majorBidi" w:hAnsiTheme="majorBidi" w:cstheme="majorBidi"/>
        </w:rPr>
      </w:pPr>
      <w:r>
        <w:rPr>
          <w:rFonts w:asciiTheme="majorBidi" w:hAnsiTheme="majorBidi" w:cstheme="majorBidi"/>
        </w:rPr>
        <w:t>[8.3.2]</w:t>
      </w:r>
      <w:r w:rsidR="0027028D">
        <w:rPr>
          <w:rFonts w:asciiTheme="majorBidi" w:hAnsiTheme="majorBidi" w:cstheme="majorBidi"/>
        </w:rPr>
        <w:t> </w:t>
      </w:r>
      <w:r w:rsidR="003379B8">
        <w:rPr>
          <w:rFonts w:asciiTheme="majorBidi" w:hAnsiTheme="majorBidi" w:cstheme="majorBidi"/>
        </w:rPr>
        <w:t>A</w:t>
      </w:r>
      <w:r w:rsidR="00814A9D">
        <w:rPr>
          <w:rFonts w:asciiTheme="majorBidi" w:hAnsiTheme="majorBidi" w:cstheme="majorBidi"/>
        </w:rPr>
        <w:t xml:space="preserve">pelācijas instances tiesa </w:t>
      </w:r>
      <w:r w:rsidR="007516D9">
        <w:rPr>
          <w:rFonts w:asciiTheme="majorBidi" w:hAnsiTheme="majorBidi" w:cstheme="majorBidi"/>
        </w:rPr>
        <w:t>secināj</w:t>
      </w:r>
      <w:r w:rsidR="00476F17">
        <w:rPr>
          <w:rFonts w:asciiTheme="majorBidi" w:hAnsiTheme="majorBidi" w:cstheme="majorBidi"/>
        </w:rPr>
        <w:t>umus</w:t>
      </w:r>
      <w:r w:rsidR="00B87A17">
        <w:rPr>
          <w:rFonts w:asciiTheme="majorBidi" w:hAnsiTheme="majorBidi" w:cstheme="majorBidi"/>
        </w:rPr>
        <w:t xml:space="preserve"> par fiziska spēka pielietošan</w:t>
      </w:r>
      <w:r w:rsidR="003379B8">
        <w:rPr>
          <w:rFonts w:asciiTheme="majorBidi" w:hAnsiTheme="majorBidi" w:cstheme="majorBidi"/>
        </w:rPr>
        <w:t xml:space="preserve">as pamatotību </w:t>
      </w:r>
      <w:r w:rsidR="00B87A17">
        <w:rPr>
          <w:rFonts w:asciiTheme="majorBidi" w:hAnsiTheme="majorBidi" w:cstheme="majorBidi"/>
        </w:rPr>
        <w:t xml:space="preserve">pret </w:t>
      </w:r>
      <w:r w:rsidR="002B5F8D">
        <w:rPr>
          <w:rFonts w:asciiTheme="majorBidi" w:hAnsiTheme="majorBidi" w:cstheme="majorBidi"/>
        </w:rPr>
        <w:t xml:space="preserve">[pers. D] </w:t>
      </w:r>
      <w:r w:rsidR="00476F17">
        <w:rPr>
          <w:rFonts w:asciiTheme="majorBidi" w:hAnsiTheme="majorBidi" w:cstheme="majorBidi"/>
        </w:rPr>
        <w:t xml:space="preserve">ir </w:t>
      </w:r>
      <w:r w:rsidR="00814A9D">
        <w:rPr>
          <w:rFonts w:asciiTheme="majorBidi" w:hAnsiTheme="majorBidi" w:cstheme="majorBidi"/>
        </w:rPr>
        <w:t>pamatojusi ar tiesību normām, kuru piemērošanas pareizība kasācijas protestā nav apstrīdēta.</w:t>
      </w:r>
      <w:r w:rsidR="00816C05">
        <w:rPr>
          <w:rFonts w:asciiTheme="majorBidi" w:hAnsiTheme="majorBidi" w:cstheme="majorBidi"/>
        </w:rPr>
        <w:t xml:space="preserve"> Ievērojot minēto, kasācijas protestā norādītais Kriminālprocesa likuma 13. panta iespējamais pārkāpums nevar ietekmēt</w:t>
      </w:r>
      <w:r w:rsidR="00816C05" w:rsidRPr="00816C05">
        <w:rPr>
          <w:rFonts w:asciiTheme="majorBidi" w:hAnsiTheme="majorBidi" w:cstheme="majorBidi"/>
        </w:rPr>
        <w:t xml:space="preserve"> Senāta secinājumus par pārsūdzētā nolēmuma tiesiskumu un pamatotību</w:t>
      </w:r>
      <w:r w:rsidR="00816C05">
        <w:rPr>
          <w:rFonts w:asciiTheme="majorBidi" w:hAnsiTheme="majorBidi" w:cstheme="majorBidi"/>
        </w:rPr>
        <w:t>.</w:t>
      </w:r>
    </w:p>
    <w:p w14:paraId="46598421" w14:textId="44F7D1A3" w:rsidR="00814A9D" w:rsidRDefault="00814A9D" w:rsidP="00D10AD6">
      <w:pPr>
        <w:widowControl w:val="0"/>
        <w:spacing w:line="276" w:lineRule="auto"/>
        <w:ind w:firstLine="720"/>
        <w:jc w:val="both"/>
        <w:rPr>
          <w:rFonts w:asciiTheme="majorBidi" w:hAnsiTheme="majorBidi" w:cstheme="majorBidi"/>
        </w:rPr>
      </w:pPr>
      <w:r>
        <w:t>A</w:t>
      </w:r>
      <w:r w:rsidRPr="00800F28">
        <w:t>pelācijas instances tiesa</w:t>
      </w:r>
      <w:r>
        <w:t xml:space="preserve"> ir</w:t>
      </w:r>
      <w:r w:rsidRPr="00C65AAB">
        <w:rPr>
          <w:rFonts w:asciiTheme="majorBidi" w:hAnsiTheme="majorBidi" w:cstheme="majorBidi"/>
        </w:rPr>
        <w:t xml:space="preserve"> norādījusi, ka s</w:t>
      </w:r>
      <w:r w:rsidRPr="006115CF">
        <w:rPr>
          <w:rFonts w:asciiTheme="majorBidi" w:hAnsiTheme="majorBidi" w:cstheme="majorBidi"/>
        </w:rPr>
        <w:t xml:space="preserve">askaņā ar likuma </w:t>
      </w:r>
      <w:r w:rsidR="00E5423E">
        <w:rPr>
          <w:rFonts w:asciiTheme="majorBidi" w:hAnsiTheme="majorBidi" w:cstheme="majorBidi"/>
        </w:rPr>
        <w:t>„</w:t>
      </w:r>
      <w:r w:rsidRPr="006115CF">
        <w:rPr>
          <w:rFonts w:asciiTheme="majorBidi" w:hAnsiTheme="majorBidi" w:cstheme="majorBidi"/>
        </w:rPr>
        <w:t>Par policiju” 12.</w:t>
      </w:r>
      <w:r w:rsidRPr="00C65AAB">
        <w:rPr>
          <w:rFonts w:asciiTheme="majorBidi" w:hAnsiTheme="majorBidi" w:cstheme="majorBidi"/>
        </w:rPr>
        <w:t> </w:t>
      </w:r>
      <w:r w:rsidRPr="006115CF">
        <w:rPr>
          <w:rFonts w:asciiTheme="majorBidi" w:hAnsiTheme="majorBidi" w:cstheme="majorBidi"/>
        </w:rPr>
        <w:t>panta pirmās daļas 7.</w:t>
      </w:r>
      <w:r w:rsidRPr="00C65AAB">
        <w:rPr>
          <w:rFonts w:asciiTheme="majorBidi" w:hAnsiTheme="majorBidi" w:cstheme="majorBidi"/>
        </w:rPr>
        <w:t> </w:t>
      </w:r>
      <w:r w:rsidRPr="006115CF">
        <w:rPr>
          <w:rFonts w:asciiTheme="majorBidi" w:hAnsiTheme="majorBidi" w:cstheme="majorBidi"/>
        </w:rPr>
        <w:t>punktu un 13.</w:t>
      </w:r>
      <w:r w:rsidR="00E5423E">
        <w:rPr>
          <w:rFonts w:asciiTheme="majorBidi" w:hAnsiTheme="majorBidi" w:cstheme="majorBidi"/>
        </w:rPr>
        <w:t> </w:t>
      </w:r>
      <w:r>
        <w:rPr>
          <w:rFonts w:asciiTheme="majorBidi" w:hAnsiTheme="majorBidi" w:cstheme="majorBidi"/>
        </w:rPr>
        <w:t>p</w:t>
      </w:r>
      <w:r w:rsidRPr="006115CF">
        <w:rPr>
          <w:rFonts w:asciiTheme="majorBidi" w:hAnsiTheme="majorBidi" w:cstheme="majorBidi"/>
        </w:rPr>
        <w:t>anta</w:t>
      </w:r>
      <w:r w:rsidRPr="00C65AAB">
        <w:rPr>
          <w:rFonts w:asciiTheme="majorBidi" w:hAnsiTheme="majorBidi" w:cstheme="majorBidi"/>
        </w:rPr>
        <w:t xml:space="preserve"> </w:t>
      </w:r>
      <w:r w:rsidRPr="006115CF">
        <w:rPr>
          <w:rFonts w:asciiTheme="majorBidi" w:hAnsiTheme="majorBidi" w:cstheme="majorBidi"/>
        </w:rPr>
        <w:t>pirmās daļas 5.</w:t>
      </w:r>
      <w:r w:rsidR="00E5423E">
        <w:rPr>
          <w:rFonts w:asciiTheme="majorBidi" w:hAnsiTheme="majorBidi" w:cstheme="majorBidi"/>
        </w:rPr>
        <w:t xml:space="preserve"> </w:t>
      </w:r>
      <w:r w:rsidRPr="006115CF">
        <w:rPr>
          <w:rFonts w:asciiTheme="majorBidi" w:hAnsiTheme="majorBidi" w:cstheme="majorBidi"/>
        </w:rPr>
        <w:t>un 6.</w:t>
      </w:r>
      <w:r w:rsidRPr="00C65AAB">
        <w:rPr>
          <w:rFonts w:asciiTheme="majorBidi" w:hAnsiTheme="majorBidi" w:cstheme="majorBidi"/>
        </w:rPr>
        <w:t> </w:t>
      </w:r>
      <w:r>
        <w:rPr>
          <w:rFonts w:asciiTheme="majorBidi" w:hAnsiTheme="majorBidi" w:cstheme="majorBidi"/>
        </w:rPr>
        <w:t>p</w:t>
      </w:r>
      <w:r w:rsidRPr="006115CF">
        <w:rPr>
          <w:rFonts w:asciiTheme="majorBidi" w:hAnsiTheme="majorBidi" w:cstheme="majorBidi"/>
        </w:rPr>
        <w:t>unktu</w:t>
      </w:r>
      <w:r w:rsidRPr="00C65AAB">
        <w:rPr>
          <w:rFonts w:asciiTheme="majorBidi" w:hAnsiTheme="majorBidi" w:cstheme="majorBidi"/>
        </w:rPr>
        <w:t xml:space="preserve"> </w:t>
      </w:r>
      <w:r w:rsidRPr="006115CF">
        <w:rPr>
          <w:rFonts w:asciiTheme="majorBidi" w:hAnsiTheme="majorBidi" w:cstheme="majorBidi"/>
        </w:rPr>
        <w:t>aizturēšanas kārtība paredz,</w:t>
      </w:r>
      <w:r>
        <w:rPr>
          <w:rFonts w:asciiTheme="majorBidi" w:hAnsiTheme="majorBidi" w:cstheme="majorBidi"/>
        </w:rPr>
        <w:t xml:space="preserve"> ka gadījumā,</w:t>
      </w:r>
      <w:r w:rsidRPr="006115CF">
        <w:rPr>
          <w:rFonts w:asciiTheme="majorBidi" w:hAnsiTheme="majorBidi" w:cstheme="majorBidi"/>
        </w:rPr>
        <w:t xml:space="preserve"> ja</w:t>
      </w:r>
      <w:r w:rsidRPr="00C65AAB">
        <w:rPr>
          <w:rFonts w:asciiTheme="majorBidi" w:hAnsiTheme="majorBidi" w:cstheme="majorBidi"/>
        </w:rPr>
        <w:t xml:space="preserve"> </w:t>
      </w:r>
      <w:r w:rsidRPr="006115CF">
        <w:rPr>
          <w:rFonts w:asciiTheme="majorBidi" w:hAnsiTheme="majorBidi" w:cstheme="majorBidi"/>
        </w:rPr>
        <w:t>persona nepakļaujas policijas darbinieku prasībām un pretojas tiem, policijas darbinieki,</w:t>
      </w:r>
      <w:r w:rsidRPr="00C65AAB">
        <w:rPr>
          <w:rFonts w:asciiTheme="majorBidi" w:hAnsiTheme="majorBidi" w:cstheme="majorBidi"/>
        </w:rPr>
        <w:t xml:space="preserve"> aizturot personu, drīkst pielietot pret personu fizisku spēku un speciālos līdzekļus</w:t>
      </w:r>
      <w:r>
        <w:rPr>
          <w:rFonts w:asciiTheme="majorBidi" w:hAnsiTheme="majorBidi" w:cstheme="majorBidi"/>
        </w:rPr>
        <w:t xml:space="preserve"> </w:t>
      </w:r>
      <w:r w:rsidRPr="00143BFD">
        <w:t>(</w:t>
      </w:r>
      <w:r w:rsidRPr="00E5423E">
        <w:t>sk</w:t>
      </w:r>
      <w:r w:rsidRPr="00C65AAB">
        <w:rPr>
          <w:i/>
          <w:iCs/>
        </w:rPr>
        <w:t>.</w:t>
      </w:r>
      <w:r w:rsidR="000F25FF">
        <w:rPr>
          <w:i/>
          <w:iCs/>
        </w:rPr>
        <w:t> </w:t>
      </w:r>
      <w:r w:rsidR="00A31537">
        <w:rPr>
          <w:i/>
          <w:iCs/>
        </w:rPr>
        <w:t xml:space="preserve">apelācijas instances </w:t>
      </w:r>
      <w:r w:rsidRPr="00C65AAB">
        <w:rPr>
          <w:i/>
          <w:iCs/>
        </w:rPr>
        <w:t>tiesas lēmuma 17.1.</w:t>
      </w:r>
      <w:r w:rsidR="00A31537">
        <w:rPr>
          <w:i/>
          <w:iCs/>
        </w:rPr>
        <w:t> </w:t>
      </w:r>
      <w:r w:rsidRPr="00C65AAB">
        <w:rPr>
          <w:i/>
          <w:iCs/>
        </w:rPr>
        <w:t>punktu</w:t>
      </w:r>
      <w:r w:rsidRPr="00143BFD">
        <w:t>)</w:t>
      </w:r>
      <w:r>
        <w:t>.</w:t>
      </w:r>
    </w:p>
    <w:p w14:paraId="46B0F75E" w14:textId="19552D62" w:rsidR="007D5D34" w:rsidRDefault="007D5D34" w:rsidP="00D10AD6">
      <w:pPr>
        <w:widowControl w:val="0"/>
        <w:spacing w:line="276" w:lineRule="auto"/>
        <w:ind w:firstLine="720"/>
        <w:jc w:val="both"/>
        <w:rPr>
          <w:rFonts w:asciiTheme="majorBidi" w:hAnsiTheme="majorBidi" w:cstheme="majorBidi"/>
        </w:rPr>
      </w:pPr>
      <w:r>
        <w:t xml:space="preserve">Likuma </w:t>
      </w:r>
      <w:r w:rsidR="00E5423E">
        <w:t>„</w:t>
      </w:r>
      <w:r>
        <w:t>Par policiju” 13.</w:t>
      </w:r>
      <w:r w:rsidR="007B47DF">
        <w:t> </w:t>
      </w:r>
      <w:r>
        <w:t>panta pirmā daļa noteic, ka p</w:t>
      </w:r>
      <w:r w:rsidRPr="00BE6179">
        <w:rPr>
          <w:rFonts w:asciiTheme="majorBidi" w:hAnsiTheme="majorBidi" w:cstheme="majorBidi"/>
        </w:rPr>
        <w:t>olicijas darbiniekam, pildot dienesta pienākumus, ir tiesības lietot fizisku spēku</w:t>
      </w:r>
      <w:r>
        <w:rPr>
          <w:rFonts w:asciiTheme="majorBidi" w:hAnsiTheme="majorBidi" w:cstheme="majorBidi"/>
        </w:rPr>
        <w:t xml:space="preserve"> un</w:t>
      </w:r>
      <w:r w:rsidRPr="00BE6179">
        <w:rPr>
          <w:rFonts w:asciiTheme="majorBidi" w:hAnsiTheme="majorBidi" w:cstheme="majorBidi"/>
        </w:rPr>
        <w:t xml:space="preserve"> speciālos cīņas paņēmienus, lai aizturētu un nogādātu policijas iestādē likumpārkāpējus</w:t>
      </w:r>
      <w:r>
        <w:rPr>
          <w:rFonts w:asciiTheme="majorBidi" w:hAnsiTheme="majorBidi" w:cstheme="majorBidi"/>
        </w:rPr>
        <w:t xml:space="preserve"> (5. punkts) vai</w:t>
      </w:r>
      <w:r w:rsidRPr="00BE6179">
        <w:rPr>
          <w:rFonts w:asciiTheme="majorBidi" w:hAnsiTheme="majorBidi" w:cstheme="majorBidi"/>
        </w:rPr>
        <w:t xml:space="preserve"> pārtrauktu ļaunprātīgu nepakļaušanos likumīgām prasībām, kuras izvirza policijas darbinieki </w:t>
      </w:r>
      <w:r>
        <w:rPr>
          <w:rFonts w:asciiTheme="majorBidi" w:hAnsiTheme="majorBidi" w:cstheme="majorBidi"/>
        </w:rPr>
        <w:t>(6. punkts).</w:t>
      </w:r>
    </w:p>
    <w:p w14:paraId="43A22392" w14:textId="4C832A1C" w:rsidR="008806D8" w:rsidRDefault="008806D8" w:rsidP="00D10AD6">
      <w:pPr>
        <w:widowControl w:val="0"/>
        <w:spacing w:line="276" w:lineRule="auto"/>
        <w:ind w:firstLine="720"/>
        <w:jc w:val="both"/>
      </w:pPr>
      <w:r w:rsidRPr="008806D8">
        <w:t xml:space="preserve">Minētā tiesību norma nosaka fiziskā spēka un speciālo līdzekļu pielietošanas </w:t>
      </w:r>
      <w:r w:rsidR="003E5896">
        <w:t xml:space="preserve">vispārīgos </w:t>
      </w:r>
      <w:r w:rsidRPr="008806D8">
        <w:t xml:space="preserve">priekšnoteikumus, </w:t>
      </w:r>
      <w:r w:rsidR="00B4500B">
        <w:t>neatkarīgi no tiesisko attiecību regulējuma veida</w:t>
      </w:r>
      <w:r w:rsidR="00A47610">
        <w:t xml:space="preserve">, </w:t>
      </w:r>
      <w:r w:rsidR="00FE1C65">
        <w:t xml:space="preserve">tajā skaitā </w:t>
      </w:r>
      <w:r w:rsidR="00A47610">
        <w:t xml:space="preserve">kriminālprocesā, </w:t>
      </w:r>
      <w:r w:rsidR="00A47610" w:rsidRPr="00A47610">
        <w:t xml:space="preserve">kur šādu līdzekļu pielietošana var būt īpaši nepieciešama, lai novērstu </w:t>
      </w:r>
      <w:r w:rsidR="00AD49B3">
        <w:t xml:space="preserve">tiesisko interešu </w:t>
      </w:r>
      <w:r w:rsidR="00A47610" w:rsidRPr="00A47610">
        <w:t xml:space="preserve">apdraudējumu, nodrošinātu procesuālo darbību izpildi un garantētu efektīvu noziedzīgu nodarījumu izmeklēšanu gadījumos, kad persona nepamatoti nepakļaujas </w:t>
      </w:r>
      <w:r w:rsidR="00AD49B3">
        <w:t xml:space="preserve">valsts varas pārstāvju </w:t>
      </w:r>
      <w:r w:rsidR="00A47610" w:rsidRPr="00A47610">
        <w:t>likumīg</w:t>
      </w:r>
      <w:r w:rsidR="00AD49B3">
        <w:t>ajām</w:t>
      </w:r>
      <w:r w:rsidR="00A47610" w:rsidRPr="00A47610">
        <w:t xml:space="preserve"> prasībām.</w:t>
      </w:r>
    </w:p>
    <w:bookmarkEnd w:id="4"/>
    <w:p w14:paraId="20C1064E" w14:textId="73042C4E" w:rsidR="00A12102" w:rsidRDefault="00A12102" w:rsidP="00D10AD6">
      <w:pPr>
        <w:widowControl w:val="0"/>
        <w:spacing w:line="276" w:lineRule="auto"/>
        <w:ind w:firstLine="720"/>
        <w:jc w:val="both"/>
      </w:pPr>
      <w:r>
        <w:lastRenderedPageBreak/>
        <w:t xml:space="preserve">Apelācijas instances tiesa secinājusi, ka </w:t>
      </w:r>
      <w:r w:rsidR="00821202">
        <w:t>[pers. D]</w:t>
      </w:r>
      <w:r>
        <w:t xml:space="preserve"> sākotnēji nav pakļāvusies policijas darbinieku prasībām, jo ignorējusi viņu aicinājumu labprātīgi izpildīt viņu likumīgās prasības, bet pēc tam – pret</w:t>
      </w:r>
      <w:r w:rsidR="003379B8">
        <w:t>o</w:t>
      </w:r>
      <w:r>
        <w:t>jusies tām.</w:t>
      </w:r>
    </w:p>
    <w:p w14:paraId="44FAEF1E" w14:textId="053AD351" w:rsidR="00BD0D57" w:rsidRDefault="007B47DF" w:rsidP="00D10AD6">
      <w:pPr>
        <w:widowControl w:val="0"/>
        <w:spacing w:line="276" w:lineRule="auto"/>
        <w:ind w:firstLine="720"/>
        <w:jc w:val="both"/>
      </w:pPr>
      <w:r>
        <w:t>A</w:t>
      </w:r>
      <w:r w:rsidR="00BD0D57" w:rsidRPr="00800F28">
        <w:t>pelācijas instances tiesa</w:t>
      </w:r>
      <w:r w:rsidR="00BD0D57">
        <w:t xml:space="preserve"> </w:t>
      </w:r>
      <w:r w:rsidR="00A12102">
        <w:t>norādījusi, ka no</w:t>
      </w:r>
      <w:r w:rsidR="00BD0D57" w:rsidRPr="00800F28">
        <w:t xml:space="preserve"> videoierakst</w:t>
      </w:r>
      <w:r w:rsidR="00A12102">
        <w:t>a</w:t>
      </w:r>
      <w:r w:rsidR="00B4500B">
        <w:t>, kurā fiksēta aizturēšanas gaita</w:t>
      </w:r>
      <w:r w:rsidR="00A12102">
        <w:t>, izriet, ka</w:t>
      </w:r>
      <w:r w:rsidR="00BD0D57" w:rsidRPr="00BD0D57">
        <w:t xml:space="preserve"> vispirms policijas darbinieki </w:t>
      </w:r>
      <w:r w:rsidR="0080087A">
        <w:t>[pers. D]</w:t>
      </w:r>
      <w:r>
        <w:t xml:space="preserve"> un </w:t>
      </w:r>
      <w:r w:rsidR="0080087A">
        <w:t>[pers. E]</w:t>
      </w:r>
      <w:r>
        <w:t xml:space="preserve"> </w:t>
      </w:r>
      <w:r w:rsidR="00BD0D57" w:rsidRPr="00BD0D57">
        <w:t>izskaidroj</w:t>
      </w:r>
      <w:r w:rsidR="00A12102">
        <w:t>uši</w:t>
      </w:r>
      <w:r w:rsidR="00BD0D57" w:rsidRPr="00BD0D57">
        <w:t>, ka ir uzsākts kriminālprocess par iespējamu nelikumīgu iekļūšanu mājoklī, un informēj</w:t>
      </w:r>
      <w:r w:rsidR="00A12102">
        <w:t>uši</w:t>
      </w:r>
      <w:r w:rsidR="00BD0D57" w:rsidRPr="00BD0D57">
        <w:t xml:space="preserve">, ka </w:t>
      </w:r>
      <w:r>
        <w:t>viņas</w:t>
      </w:r>
      <w:r w:rsidR="00BD0D57" w:rsidRPr="00BD0D57">
        <w:t xml:space="preserve"> tiek aizturētas. Abas sievietes tika atkārtoti – vismaz divas reizes – </w:t>
      </w:r>
      <w:r w:rsidR="00017FD9">
        <w:t xml:space="preserve">tika </w:t>
      </w:r>
      <w:r w:rsidR="00BD0D57" w:rsidRPr="00BD0D57">
        <w:t>aicinātas sekot policijas darbiniekiem, skaidrojot, ka atteikšanās gadījumā tiks pielietots fizisks spēks vai speciālie līdzekļi.</w:t>
      </w:r>
      <w:r w:rsidR="00BD0D57">
        <w:rPr>
          <w:b/>
          <w:bCs/>
        </w:rPr>
        <w:t xml:space="preserve"> </w:t>
      </w:r>
      <w:r w:rsidR="00BD0D57" w:rsidRPr="00BD0D57">
        <w:t xml:space="preserve">Pēc tam, kad </w:t>
      </w:r>
      <w:r w:rsidR="00821202">
        <w:t>[pers. D]</w:t>
      </w:r>
      <w:r w:rsidR="00BD0D57">
        <w:t xml:space="preserve"> </w:t>
      </w:r>
      <w:r w:rsidR="00BD0D57" w:rsidRPr="00BD0D57">
        <w:t>turpināj</w:t>
      </w:r>
      <w:r w:rsidR="00A12102">
        <w:t>usi</w:t>
      </w:r>
      <w:r w:rsidR="00BD0D57" w:rsidRPr="00BD0D57">
        <w:t xml:space="preserve"> ignorēt policijas darbinieku likumīgās prasības, viens no </w:t>
      </w:r>
      <w:r w:rsidR="00F0710A">
        <w:t xml:space="preserve">policijas </w:t>
      </w:r>
      <w:r w:rsidR="00BD0D57" w:rsidRPr="00BD0D57">
        <w:t>darbiniekiem piegāj</w:t>
      </w:r>
      <w:r w:rsidR="00A12102">
        <w:t>is</w:t>
      </w:r>
      <w:r w:rsidR="00BD0D57" w:rsidRPr="00BD0D57">
        <w:t xml:space="preserve"> pie viņas un cent</w:t>
      </w:r>
      <w:r w:rsidR="00A12102">
        <w:t>ie</w:t>
      </w:r>
      <w:r w:rsidR="00BD0D57" w:rsidRPr="00BD0D57">
        <w:t>s satvert</w:t>
      </w:r>
      <w:r w:rsidR="00B4500B">
        <w:t xml:space="preserve"> </w:t>
      </w:r>
      <w:r w:rsidR="00BD0D57" w:rsidRPr="00BD0D57">
        <w:t xml:space="preserve">kreiso roku, </w:t>
      </w:r>
      <w:r w:rsidR="00063F2D">
        <w:t>lai pieceltu</w:t>
      </w:r>
      <w:r w:rsidR="00E83B58">
        <w:t xml:space="preserve"> viņu</w:t>
      </w:r>
      <w:r w:rsidR="00063F2D">
        <w:t xml:space="preserve"> no gultas, </w:t>
      </w:r>
      <w:r w:rsidR="00BD0D57" w:rsidRPr="00BD0D57">
        <w:t xml:space="preserve">taču </w:t>
      </w:r>
      <w:r w:rsidR="001D3D15">
        <w:t>[pers. D]</w:t>
      </w:r>
      <w:r>
        <w:t xml:space="preserve"> </w:t>
      </w:r>
      <w:r w:rsidR="00BD0D57" w:rsidRPr="00BD0D57">
        <w:t>no tvēriena izvairīj</w:t>
      </w:r>
      <w:r w:rsidR="00A12102">
        <w:t>u</w:t>
      </w:r>
      <w:r w:rsidR="00BD0D57" w:rsidRPr="00BD0D57">
        <w:t>s</w:t>
      </w:r>
      <w:r w:rsidR="00A12102">
        <w:t>ies</w:t>
      </w:r>
      <w:r w:rsidR="00BD0D57" w:rsidRPr="00BD0D57">
        <w:t xml:space="preserve"> un tam pretoj</w:t>
      </w:r>
      <w:r w:rsidR="00A12102">
        <w:t>usie</w:t>
      </w:r>
      <w:r w:rsidR="00BD0D57" w:rsidRPr="00BD0D57">
        <w:t>s. Pēc brīža pie viņas pienāc</w:t>
      </w:r>
      <w:r w:rsidR="00A12102">
        <w:t>is</w:t>
      </w:r>
      <w:r w:rsidR="00BD0D57" w:rsidRPr="00BD0D57">
        <w:t xml:space="preserve"> </w:t>
      </w:r>
      <w:r w:rsidR="00BD0D57">
        <w:t>cits</w:t>
      </w:r>
      <w:r w:rsidR="00BD0D57" w:rsidRPr="00BD0D57">
        <w:t xml:space="preserve"> policijas darbinieks, kurš</w:t>
      </w:r>
      <w:r w:rsidR="00BD0D57">
        <w:t xml:space="preserve"> viņu</w:t>
      </w:r>
      <w:r w:rsidR="00BD0D57" w:rsidRPr="00BD0D57">
        <w:t xml:space="preserve"> aiz kreisās rokas pacēl</w:t>
      </w:r>
      <w:r w:rsidR="00A12102">
        <w:t>is</w:t>
      </w:r>
      <w:r w:rsidR="00BD0D57" w:rsidRPr="00BD0D57">
        <w:t xml:space="preserve"> no gultas. Kad </w:t>
      </w:r>
      <w:r w:rsidR="001852F2">
        <w:t>[pers. D]</w:t>
      </w:r>
      <w:r w:rsidR="006E599D">
        <w:t>,</w:t>
      </w:r>
      <w:r w:rsidR="00BD0D57" w:rsidRPr="00BD0D57">
        <w:t xml:space="preserve"> stā</w:t>
      </w:r>
      <w:r w:rsidR="00BD0D57">
        <w:t>v</w:t>
      </w:r>
      <w:r w:rsidR="006E599D">
        <w:t>ot</w:t>
      </w:r>
      <w:r w:rsidR="00BD0D57" w:rsidRPr="00BD0D57">
        <w:t xml:space="preserve"> pie gultas, </w:t>
      </w:r>
      <w:r w:rsidR="006E599D">
        <w:t>centusies izlauzties no tvēriena, policijas darbinieks aizlauzis aiz muguras viņas kreiso roku</w:t>
      </w:r>
      <w:r w:rsidR="00BD0D57" w:rsidRPr="00BD0D57">
        <w:t>.</w:t>
      </w:r>
    </w:p>
    <w:p w14:paraId="62BEAA26" w14:textId="5A96B5EB" w:rsidR="00452B0B" w:rsidRPr="00E83B58" w:rsidRDefault="005B2E27" w:rsidP="00D10AD6">
      <w:pPr>
        <w:widowControl w:val="0"/>
        <w:spacing w:line="276" w:lineRule="auto"/>
        <w:ind w:firstLine="720"/>
        <w:jc w:val="both"/>
      </w:pPr>
      <w:r>
        <w:t>P</w:t>
      </w:r>
      <w:r w:rsidR="00452B0B">
        <w:t xml:space="preserve">irmās instances tiesa, </w:t>
      </w:r>
      <w:r w:rsidR="00E83B58" w:rsidRPr="00E83B58">
        <w:t>pamatojoties uz tiesu medicīniskās ekspertīzes eksperta atzinumu un eksperta liecībām par to, ka</w:t>
      </w:r>
      <w:r w:rsidR="00452B0B">
        <w:t xml:space="preserve"> </w:t>
      </w:r>
      <w:r w:rsidR="001852F2">
        <w:t>[pers. D]</w:t>
      </w:r>
      <w:r w:rsidR="00E83B58" w:rsidRPr="00E83B58">
        <w:t xml:space="preserve"> konstatētie miesas bojājumi uz plaukstas locītavām raksturīgi gadījumiem, kad persona</w:t>
      </w:r>
      <w:r>
        <w:t xml:space="preserve"> </w:t>
      </w:r>
      <w:r w:rsidRPr="00E83B58">
        <w:t>pretojoties</w:t>
      </w:r>
      <w:r w:rsidR="00E83B58" w:rsidRPr="00E83B58">
        <w:t xml:space="preserve"> roku dzelžos kustina rokas, atzinusi, ka pielietotais spēks un speclīdzekļi bijuši samērīgi ar cietušās </w:t>
      </w:r>
      <w:r w:rsidR="001852F2">
        <w:t>[pers. D]</w:t>
      </w:r>
      <w:r w:rsidR="00E83B58" w:rsidRPr="00E83B58">
        <w:t xml:space="preserve"> rīcību </w:t>
      </w:r>
      <w:r w:rsidR="00452B0B">
        <w:t>(</w:t>
      </w:r>
      <w:r w:rsidR="00452B0B" w:rsidRPr="0074368F">
        <w:t>sk</w:t>
      </w:r>
      <w:r w:rsidR="00452B0B" w:rsidRPr="00452B0B">
        <w:rPr>
          <w:i/>
          <w:iCs/>
        </w:rPr>
        <w:t>.</w:t>
      </w:r>
      <w:r w:rsidR="009E2521">
        <w:rPr>
          <w:i/>
          <w:iCs/>
        </w:rPr>
        <w:t> </w:t>
      </w:r>
      <w:r w:rsidR="00F0710A">
        <w:rPr>
          <w:i/>
          <w:iCs/>
        </w:rPr>
        <w:t xml:space="preserve">pirmās </w:t>
      </w:r>
      <w:r w:rsidR="00A31537">
        <w:rPr>
          <w:i/>
          <w:iCs/>
        </w:rPr>
        <w:t xml:space="preserve">instances </w:t>
      </w:r>
      <w:r w:rsidR="00452B0B" w:rsidRPr="00452B0B">
        <w:rPr>
          <w:i/>
          <w:iCs/>
        </w:rPr>
        <w:t>tiesas sprieduma 103.11. punktu</w:t>
      </w:r>
      <w:r w:rsidR="00452B0B">
        <w:t>)</w:t>
      </w:r>
      <w:r w:rsidR="00E83B58" w:rsidRPr="00E83B58">
        <w:t>.</w:t>
      </w:r>
      <w:r>
        <w:t xml:space="preserve"> </w:t>
      </w:r>
      <w:r w:rsidR="00452B0B">
        <w:t>Minētajiem secinājumiem pievienoj</w:t>
      </w:r>
      <w:r w:rsidR="005A7164">
        <w:t>usies</w:t>
      </w:r>
      <w:r w:rsidR="00452B0B">
        <w:t xml:space="preserve"> arī apelācijas instances tiesa</w:t>
      </w:r>
      <w:r w:rsidR="004316AC">
        <w:t xml:space="preserve"> (</w:t>
      </w:r>
      <w:r w:rsidR="004316AC" w:rsidRPr="0074368F">
        <w:t>sk</w:t>
      </w:r>
      <w:r w:rsidR="004316AC" w:rsidRPr="004316AC">
        <w:rPr>
          <w:i/>
          <w:iCs/>
        </w:rPr>
        <w:t>.</w:t>
      </w:r>
      <w:r w:rsidR="009E2521">
        <w:rPr>
          <w:i/>
          <w:iCs/>
        </w:rPr>
        <w:t> </w:t>
      </w:r>
      <w:r w:rsidR="0074368F">
        <w:rPr>
          <w:i/>
          <w:iCs/>
        </w:rPr>
        <w:t xml:space="preserve">apelācijas instances </w:t>
      </w:r>
      <w:r w:rsidR="004316AC" w:rsidRPr="004316AC">
        <w:rPr>
          <w:i/>
          <w:iCs/>
        </w:rPr>
        <w:t>tiesas lēmuma 17.1. punktu</w:t>
      </w:r>
      <w:r w:rsidR="004316AC">
        <w:t>)</w:t>
      </w:r>
      <w:r w:rsidR="00452B0B">
        <w:t>.</w:t>
      </w:r>
    </w:p>
    <w:p w14:paraId="40A5E858" w14:textId="56DA0C0C" w:rsidR="007B47DF" w:rsidRDefault="005A7164" w:rsidP="00D10AD6">
      <w:pPr>
        <w:widowControl w:val="0"/>
        <w:spacing w:line="276" w:lineRule="auto"/>
        <w:ind w:firstLine="720"/>
        <w:jc w:val="both"/>
      </w:pPr>
      <w:r>
        <w:t xml:space="preserve">Ievērojot minēto, pretēji kasācijas protestā norādītajam tiesas </w:t>
      </w:r>
      <w:r w:rsidR="00063F2D" w:rsidRPr="00063F2D">
        <w:t>secinājum</w:t>
      </w:r>
      <w:r>
        <w:t>i šajā daļā nav patvaļīgi, bet pamatoti ar lietā esošajiem pierādījumiem</w:t>
      </w:r>
      <w:r w:rsidR="00063F2D">
        <w:t xml:space="preserve">. </w:t>
      </w:r>
      <w:r>
        <w:t>A</w:t>
      </w:r>
      <w:r w:rsidR="00063F2D">
        <w:t>pelācijas instances tiesa</w:t>
      </w:r>
      <w:r>
        <w:t xml:space="preserve"> pamatoti</w:t>
      </w:r>
      <w:r w:rsidR="00063F2D">
        <w:t xml:space="preserve"> atsau</w:t>
      </w:r>
      <w:r>
        <w:t>kusies</w:t>
      </w:r>
      <w:r w:rsidR="00063F2D">
        <w:t xml:space="preserve"> uz </w:t>
      </w:r>
      <w:r w:rsidR="00FE1C65">
        <w:t>l</w:t>
      </w:r>
      <w:r w:rsidR="00063F2D">
        <w:t xml:space="preserve">ikuma </w:t>
      </w:r>
      <w:r w:rsidR="009E2521">
        <w:t>„</w:t>
      </w:r>
      <w:r w:rsidR="00063F2D">
        <w:t>Par policiju” 13. panta pirmās daļas 5. un 6. punktu.</w:t>
      </w:r>
    </w:p>
    <w:p w14:paraId="356ED53D" w14:textId="73C04CEF" w:rsidR="00D66452" w:rsidRDefault="00D66452" w:rsidP="00D10AD6">
      <w:pPr>
        <w:widowControl w:val="0"/>
        <w:spacing w:line="276" w:lineRule="auto"/>
        <w:ind w:firstLine="720"/>
        <w:jc w:val="both"/>
        <w:rPr>
          <w:i/>
          <w:iCs/>
        </w:rPr>
      </w:pPr>
      <w:r>
        <w:t xml:space="preserve">Arī </w:t>
      </w:r>
      <w:r w:rsidRPr="00063F2D">
        <w:t>Eiropas Cilvēktiesību tiesa ir norādījusi, ka speciālo līdzekļu, ieskaitot roku dzelžus, lietošana pati par sevi nerada Konvencijas 3.</w:t>
      </w:r>
      <w:r w:rsidR="00A55FC9">
        <w:t> </w:t>
      </w:r>
      <w:r w:rsidRPr="00063F2D">
        <w:t>panta pārkāpumu, ja šis līdzeklis tiek izmantots saistībā ar likumīgu brīvības atņemšanu un nav saistīts ar tādu spēka izmantošanu vai citu cilvēku klātbūtni (</w:t>
      </w:r>
      <w:r w:rsidRPr="00063F2D">
        <w:rPr>
          <w:i/>
        </w:rPr>
        <w:t>public exposure</w:t>
      </w:r>
      <w:r w:rsidRPr="00063F2D">
        <w:t>), kas pārsniedz saprātīgi nepieciešamo. Šādos gadījumos ir svarīgi izvērtēt, vai ir pamats domāt, ka persona varētu izvairīties no aizturēšanas, bēgt, ievainot kādu, nodarīt citu kaitējumu vai slēpt pierādījumus (</w:t>
      </w:r>
      <w:bookmarkStart w:id="7" w:name="_Hlk514760888"/>
      <w:r w:rsidRPr="00063F2D">
        <w:rPr>
          <w:i/>
        </w:rPr>
        <w:t>Eiropas Cilvēktiesību tiesas 2012.</w:t>
      </w:r>
      <w:r w:rsidR="00A55FC9">
        <w:rPr>
          <w:i/>
        </w:rPr>
        <w:t> </w:t>
      </w:r>
      <w:r w:rsidRPr="00063F2D">
        <w:rPr>
          <w:i/>
        </w:rPr>
        <w:t>gada 15.</w:t>
      </w:r>
      <w:r w:rsidR="00A55FC9">
        <w:rPr>
          <w:i/>
        </w:rPr>
        <w:t> </w:t>
      </w:r>
      <w:r w:rsidRPr="00063F2D">
        <w:rPr>
          <w:i/>
        </w:rPr>
        <w:t>maija sprieduma lietā „Kaverzin v. Ukraine”, iesnieguma Nr. </w:t>
      </w:r>
      <w:hyperlink r:id="rId16" w:history="1">
        <w:r w:rsidRPr="00A55FC9">
          <w:rPr>
            <w:rStyle w:val="Hyperlink"/>
            <w:i/>
          </w:rPr>
          <w:t>23893/03</w:t>
        </w:r>
      </w:hyperlink>
      <w:r w:rsidRPr="00063F2D">
        <w:rPr>
          <w:i/>
        </w:rPr>
        <w:t xml:space="preserve">, </w:t>
      </w:r>
      <w:bookmarkEnd w:id="7"/>
      <w:r w:rsidRPr="00063F2D">
        <w:rPr>
          <w:i/>
        </w:rPr>
        <w:t>155.</w:t>
      </w:r>
      <w:r w:rsidR="00A55FC9">
        <w:rPr>
          <w:i/>
        </w:rPr>
        <w:t> </w:t>
      </w:r>
      <w:r w:rsidRPr="00063F2D">
        <w:rPr>
          <w:i/>
        </w:rPr>
        <w:t>punkts</w:t>
      </w:r>
      <w:r w:rsidRPr="00063F2D">
        <w:t xml:space="preserve">; </w:t>
      </w:r>
      <w:bookmarkStart w:id="8" w:name="_Hlk514760900"/>
      <w:r w:rsidRPr="00063F2D">
        <w:rPr>
          <w:i/>
        </w:rPr>
        <w:t>2014.</w:t>
      </w:r>
      <w:r w:rsidR="00A55FC9">
        <w:rPr>
          <w:i/>
        </w:rPr>
        <w:t> </w:t>
      </w:r>
      <w:r w:rsidRPr="00063F2D">
        <w:rPr>
          <w:i/>
        </w:rPr>
        <w:t>gada 17.</w:t>
      </w:r>
      <w:r w:rsidR="00A55FC9">
        <w:rPr>
          <w:i/>
        </w:rPr>
        <w:t> </w:t>
      </w:r>
      <w:r w:rsidRPr="00063F2D">
        <w:rPr>
          <w:i/>
        </w:rPr>
        <w:t>jūlija sprieduma lietā „Svinarenko and Slyadnev v. Russia”, iesniegumu Nr. </w:t>
      </w:r>
      <w:hyperlink r:id="rId17" w:history="1">
        <w:r w:rsidRPr="00A55FC9">
          <w:rPr>
            <w:rStyle w:val="Hyperlink"/>
            <w:i/>
          </w:rPr>
          <w:t>32541/08</w:t>
        </w:r>
      </w:hyperlink>
      <w:r w:rsidRPr="00063F2D">
        <w:rPr>
          <w:i/>
        </w:rPr>
        <w:t xml:space="preserve"> un </w:t>
      </w:r>
      <w:hyperlink r:id="rId18" w:history="1">
        <w:r w:rsidRPr="00A55FC9">
          <w:rPr>
            <w:rStyle w:val="Hyperlink"/>
            <w:i/>
          </w:rPr>
          <w:t>43441/08</w:t>
        </w:r>
      </w:hyperlink>
      <w:r w:rsidRPr="00063F2D">
        <w:rPr>
          <w:i/>
        </w:rPr>
        <w:t xml:space="preserve">, </w:t>
      </w:r>
      <w:bookmarkEnd w:id="8"/>
      <w:r w:rsidRPr="00063F2D">
        <w:rPr>
          <w:i/>
        </w:rPr>
        <w:t>117.</w:t>
      </w:r>
      <w:r w:rsidR="00A55FC9">
        <w:rPr>
          <w:i/>
        </w:rPr>
        <w:t> </w:t>
      </w:r>
      <w:r w:rsidRPr="00063F2D">
        <w:rPr>
          <w:i/>
        </w:rPr>
        <w:t>punkts</w:t>
      </w:r>
      <w:r w:rsidRPr="00063F2D">
        <w:t>). Tomēr veids, kādā tiek lietoti speciālie līdzekļi, nedrīkst pārsniegt minimālo cietsirdības līmeni, kas varētu novest pie Konvencijas 3.</w:t>
      </w:r>
      <w:r w:rsidR="00A55FC9">
        <w:t> </w:t>
      </w:r>
      <w:r w:rsidRPr="00063F2D">
        <w:t xml:space="preserve">panta pārkāpuma </w:t>
      </w:r>
      <w:r w:rsidRPr="00063F2D">
        <w:rPr>
          <w:iCs/>
        </w:rPr>
        <w:t>(</w:t>
      </w:r>
      <w:bookmarkStart w:id="9" w:name="_Hlk514760907"/>
      <w:r w:rsidRPr="00063F2D">
        <w:rPr>
          <w:i/>
        </w:rPr>
        <w:t>Eiropas Cilvēktiesību tiesas</w:t>
      </w:r>
      <w:r w:rsidRPr="00063F2D">
        <w:rPr>
          <w:i/>
          <w:iCs/>
        </w:rPr>
        <w:t xml:space="preserve"> 2010.</w:t>
      </w:r>
      <w:r w:rsidR="00A55FC9">
        <w:rPr>
          <w:i/>
          <w:iCs/>
        </w:rPr>
        <w:t> </w:t>
      </w:r>
      <w:r w:rsidRPr="00063F2D">
        <w:rPr>
          <w:i/>
          <w:iCs/>
        </w:rPr>
        <w:t>gada 21.</w:t>
      </w:r>
      <w:r w:rsidR="00A55FC9">
        <w:rPr>
          <w:i/>
          <w:iCs/>
        </w:rPr>
        <w:t> </w:t>
      </w:r>
      <w:r w:rsidRPr="00063F2D">
        <w:rPr>
          <w:i/>
          <w:iCs/>
        </w:rPr>
        <w:t>decembra sprieduma lietā „Kuzmenko v. Russia”, iesnieguma Nr. </w:t>
      </w:r>
      <w:hyperlink r:id="rId19" w:history="1">
        <w:r w:rsidRPr="00A55FC9">
          <w:rPr>
            <w:rStyle w:val="Hyperlink"/>
            <w:i/>
            <w:iCs/>
          </w:rPr>
          <w:t>18541/04</w:t>
        </w:r>
        <w:bookmarkEnd w:id="9"/>
      </w:hyperlink>
      <w:r w:rsidRPr="00063F2D">
        <w:rPr>
          <w:i/>
          <w:iCs/>
        </w:rPr>
        <w:t>, 45.</w:t>
      </w:r>
      <w:r w:rsidR="00A55FC9">
        <w:rPr>
          <w:i/>
          <w:iCs/>
        </w:rPr>
        <w:t> </w:t>
      </w:r>
      <w:r w:rsidRPr="00063F2D">
        <w:rPr>
          <w:i/>
          <w:iCs/>
        </w:rPr>
        <w:t>punkts</w:t>
      </w:r>
      <w:r w:rsidRPr="00063F2D">
        <w:rPr>
          <w:iCs/>
        </w:rPr>
        <w:t>)</w:t>
      </w:r>
      <w:r w:rsidRPr="00063F2D">
        <w:rPr>
          <w:i/>
          <w:iCs/>
        </w:rPr>
        <w:t>.</w:t>
      </w:r>
    </w:p>
    <w:p w14:paraId="0E8DE2CA" w14:textId="2F6C1666" w:rsidR="00E83B58" w:rsidRDefault="00953845" w:rsidP="00D10AD6">
      <w:pPr>
        <w:widowControl w:val="0"/>
        <w:spacing w:line="276" w:lineRule="auto"/>
        <w:ind w:firstLine="720"/>
        <w:jc w:val="both"/>
      </w:pPr>
      <w:r>
        <w:t>K</w:t>
      </w:r>
      <w:r w:rsidR="00E83B58" w:rsidRPr="00AD612A">
        <w:t xml:space="preserve">asācijas </w:t>
      </w:r>
      <w:r w:rsidR="00E83B58">
        <w:t>protestā</w:t>
      </w:r>
      <w:r w:rsidR="00E83B58" w:rsidRPr="00AD612A">
        <w:t xml:space="preserve"> </w:t>
      </w:r>
      <w:r w:rsidR="00521E5F">
        <w:t>apgalvotais</w:t>
      </w:r>
      <w:r w:rsidR="00E83B58" w:rsidRPr="00AD612A">
        <w:t xml:space="preserve">, ka </w:t>
      </w:r>
      <w:r w:rsidR="001852F2">
        <w:t>[pers. D]</w:t>
      </w:r>
      <w:r w:rsidR="00E83B58" w:rsidRPr="00AD612A">
        <w:t xml:space="preserve"> aizturēšanas videoierakst</w:t>
      </w:r>
      <w:r w:rsidR="00CE2ED6">
        <w:t>s</w:t>
      </w:r>
      <w:r w:rsidR="00E83B58" w:rsidRPr="00AD612A">
        <w:t xml:space="preserve"> viennozīmīgi </w:t>
      </w:r>
      <w:r w:rsidR="00C640C0">
        <w:t>apstiprina</w:t>
      </w:r>
      <w:r w:rsidR="00E83B58" w:rsidRPr="00AD612A">
        <w:t xml:space="preserve">, ka viņa </w:t>
      </w:r>
      <w:r w:rsidR="00D62A73">
        <w:t xml:space="preserve">nav </w:t>
      </w:r>
      <w:r w:rsidR="00E83B58" w:rsidRPr="00AD612A">
        <w:t>pretoj</w:t>
      </w:r>
      <w:r w:rsidR="00D62A73">
        <w:t>usies</w:t>
      </w:r>
      <w:r w:rsidR="00E83B58" w:rsidRPr="00AD612A">
        <w:t xml:space="preserve"> aizturēšanai, </w:t>
      </w:r>
      <w:r w:rsidR="00E83B58">
        <w:t xml:space="preserve">faktiski </w:t>
      </w:r>
      <w:r w:rsidR="00D62A73">
        <w:t xml:space="preserve">pamatots ar prokurora </w:t>
      </w:r>
      <w:r w:rsidR="00E83B58">
        <w:t>neapmierinātību ar tiem secinājumiem, kādus izdarījusi apelācijas instances tiesa, izvērtējot lietā iegūtos pierādījumus, un tas ir vērsts uz to, lai panāktu apelācijas instances tiesas nolēmuma atcelšanu nevis juridisku, bet faktisku iemeslu dēļ, kas ir pretrunā ar Kriminālprocesa likuma 569. panta pirmo daļu.</w:t>
      </w:r>
      <w:r w:rsidR="005B2E27">
        <w:t xml:space="preserve"> </w:t>
      </w:r>
      <w:r w:rsidR="00E83B58">
        <w:t xml:space="preserve">Saskaņā ar </w:t>
      </w:r>
      <w:r w:rsidR="005B2E27">
        <w:t xml:space="preserve">šā </w:t>
      </w:r>
      <w:r w:rsidR="00E83B58">
        <w:t xml:space="preserve">likuma 569. panta trešo daļu </w:t>
      </w:r>
      <w:r w:rsidR="00E83B58">
        <w:lastRenderedPageBreak/>
        <w:t>kasācijas instances tiesa pierādījumus lietā no jauna neizvērtē.</w:t>
      </w:r>
    </w:p>
    <w:p w14:paraId="6AC7519E" w14:textId="383D1EBE" w:rsidR="00797323" w:rsidRDefault="00FE1C65" w:rsidP="00CB23C2">
      <w:pPr>
        <w:widowControl w:val="0"/>
        <w:spacing w:line="276" w:lineRule="auto"/>
        <w:ind w:firstLine="720"/>
        <w:jc w:val="both"/>
        <w:rPr>
          <w:rFonts w:asciiTheme="majorBidi" w:hAnsiTheme="majorBidi" w:cstheme="majorBidi"/>
        </w:rPr>
      </w:pPr>
      <w:r>
        <w:t>[</w:t>
      </w:r>
      <w:r w:rsidR="00C77C91">
        <w:t>8</w:t>
      </w:r>
      <w:r w:rsidR="00FE565B">
        <w:t>.</w:t>
      </w:r>
      <w:r w:rsidR="004A6ABC">
        <w:t>3</w:t>
      </w:r>
      <w:r w:rsidR="00FE565B">
        <w:t>.</w:t>
      </w:r>
      <w:r w:rsidR="00B31E2B">
        <w:t>3</w:t>
      </w:r>
      <w:r>
        <w:t>]</w:t>
      </w:r>
      <w:r w:rsidR="00E5423E">
        <w:t> </w:t>
      </w:r>
      <w:r w:rsidR="005B2E27">
        <w:rPr>
          <w:rFonts w:asciiTheme="majorBidi" w:hAnsiTheme="majorBidi" w:cstheme="majorBidi"/>
        </w:rPr>
        <w:t xml:space="preserve">Senāts </w:t>
      </w:r>
      <w:r w:rsidR="00192230">
        <w:rPr>
          <w:rFonts w:asciiTheme="majorBidi" w:hAnsiTheme="majorBidi" w:cstheme="majorBidi"/>
        </w:rPr>
        <w:t>atzīst</w:t>
      </w:r>
      <w:r w:rsidR="005B2E27">
        <w:rPr>
          <w:rFonts w:asciiTheme="majorBidi" w:hAnsiTheme="majorBidi" w:cstheme="majorBidi"/>
        </w:rPr>
        <w:t xml:space="preserve">, ka </w:t>
      </w:r>
      <w:r w:rsidR="00192230">
        <w:rPr>
          <w:rFonts w:asciiTheme="majorBidi" w:hAnsiTheme="majorBidi" w:cstheme="majorBidi"/>
        </w:rPr>
        <w:t xml:space="preserve">kasācijas protestā norādītais arguments par </w:t>
      </w:r>
      <w:r w:rsidR="006B26D4">
        <w:rPr>
          <w:rFonts w:asciiTheme="majorBidi" w:hAnsiTheme="majorBidi" w:cstheme="majorBidi"/>
        </w:rPr>
        <w:t xml:space="preserve">to, ka </w:t>
      </w:r>
      <w:r w:rsidR="00192230">
        <w:rPr>
          <w:rFonts w:asciiTheme="majorBidi" w:hAnsiTheme="majorBidi" w:cstheme="majorBidi"/>
        </w:rPr>
        <w:t>apelācijas instances tiesa</w:t>
      </w:r>
      <w:r w:rsidR="006B26D4">
        <w:rPr>
          <w:rFonts w:asciiTheme="majorBidi" w:hAnsiTheme="majorBidi" w:cstheme="majorBidi"/>
        </w:rPr>
        <w:t xml:space="preserve"> </w:t>
      </w:r>
      <w:r w:rsidR="001852F2">
        <w:rPr>
          <w:rFonts w:asciiTheme="majorBidi" w:hAnsiTheme="majorBidi" w:cstheme="majorBidi"/>
        </w:rPr>
        <w:t>[pers. D]</w:t>
      </w:r>
      <w:r w:rsidR="006B26D4">
        <w:rPr>
          <w:rFonts w:asciiTheme="majorBidi" w:hAnsiTheme="majorBidi" w:cstheme="majorBidi"/>
        </w:rPr>
        <w:t xml:space="preserve"> aizturēšanas tiesiskumu kļūdaini pamatojusi ar</w:t>
      </w:r>
      <w:r w:rsidR="00192230">
        <w:rPr>
          <w:rFonts w:asciiTheme="majorBidi" w:hAnsiTheme="majorBidi" w:cstheme="majorBidi"/>
        </w:rPr>
        <w:t xml:space="preserve"> </w:t>
      </w:r>
      <w:r w:rsidR="001852F2">
        <w:rPr>
          <w:rFonts w:asciiTheme="majorBidi" w:hAnsiTheme="majorBidi" w:cstheme="majorBidi"/>
        </w:rPr>
        <w:t>[pers. D]</w:t>
      </w:r>
      <w:r w:rsidR="00192230">
        <w:rPr>
          <w:rFonts w:asciiTheme="majorBidi" w:hAnsiTheme="majorBidi" w:cstheme="majorBidi"/>
        </w:rPr>
        <w:t xml:space="preserve"> atteikšanos sniegt liecību</w:t>
      </w:r>
      <w:r w:rsidR="006B26D4">
        <w:rPr>
          <w:rFonts w:asciiTheme="majorBidi" w:hAnsiTheme="majorBidi" w:cstheme="majorBidi"/>
        </w:rPr>
        <w:t>,</w:t>
      </w:r>
      <w:r w:rsidR="00192230">
        <w:rPr>
          <w:rFonts w:asciiTheme="majorBidi" w:hAnsiTheme="majorBidi" w:cstheme="majorBidi"/>
        </w:rPr>
        <w:t xml:space="preserve"> </w:t>
      </w:r>
      <w:r w:rsidR="00683E7F">
        <w:rPr>
          <w:rFonts w:asciiTheme="majorBidi" w:hAnsiTheme="majorBidi" w:cstheme="majorBidi"/>
        </w:rPr>
        <w:t>nevar būt par iemeslu</w:t>
      </w:r>
      <w:r w:rsidR="00797323" w:rsidRPr="00797323">
        <w:rPr>
          <w:rFonts w:asciiTheme="majorBidi" w:hAnsiTheme="majorBidi" w:cstheme="majorBidi"/>
        </w:rPr>
        <w:t xml:space="preserve"> apelācijas instances tiesas lēmuma atcelšanai, jo </w:t>
      </w:r>
      <w:r w:rsidR="006B26D4">
        <w:rPr>
          <w:rFonts w:asciiTheme="majorBidi" w:hAnsiTheme="majorBidi" w:cstheme="majorBidi"/>
        </w:rPr>
        <w:t>nerada šaubas par Kriminālprocesa likuma 264. panta pirmās daļas 1. punkta piemērošanas pareizību</w:t>
      </w:r>
      <w:r w:rsidR="0028293D">
        <w:rPr>
          <w:rFonts w:asciiTheme="majorBidi" w:hAnsiTheme="majorBidi" w:cstheme="majorBidi"/>
        </w:rPr>
        <w:t>, ņemot vērā, ka</w:t>
      </w:r>
      <w:r w:rsidR="006B26D4" w:rsidRPr="00797323">
        <w:rPr>
          <w:rFonts w:asciiTheme="majorBidi" w:hAnsiTheme="majorBidi" w:cstheme="majorBidi"/>
        </w:rPr>
        <w:t xml:space="preserve"> </w:t>
      </w:r>
      <w:r w:rsidR="00797323" w:rsidRPr="00797323">
        <w:rPr>
          <w:rFonts w:asciiTheme="majorBidi" w:hAnsiTheme="majorBidi" w:cstheme="majorBidi"/>
        </w:rPr>
        <w:t xml:space="preserve">tiesa aizturēšanas likumību ir </w:t>
      </w:r>
      <w:r w:rsidR="00E83B58">
        <w:rPr>
          <w:rFonts w:asciiTheme="majorBidi" w:hAnsiTheme="majorBidi" w:cstheme="majorBidi"/>
        </w:rPr>
        <w:t xml:space="preserve">pamatojusi ar </w:t>
      </w:r>
      <w:r w:rsidR="00797323" w:rsidRPr="00797323">
        <w:rPr>
          <w:rFonts w:asciiTheme="majorBidi" w:hAnsiTheme="majorBidi" w:cstheme="majorBidi"/>
        </w:rPr>
        <w:t xml:space="preserve">vairāku </w:t>
      </w:r>
      <w:r w:rsidR="00797323">
        <w:rPr>
          <w:rFonts w:asciiTheme="majorBidi" w:hAnsiTheme="majorBidi" w:cstheme="majorBidi"/>
        </w:rPr>
        <w:t xml:space="preserve">citu </w:t>
      </w:r>
      <w:r w:rsidR="00797323" w:rsidRPr="00797323">
        <w:rPr>
          <w:rFonts w:asciiTheme="majorBidi" w:hAnsiTheme="majorBidi" w:cstheme="majorBidi"/>
        </w:rPr>
        <w:t xml:space="preserve">apstākļu kopumu, kas atbilst Kriminālprocesa likuma noteiktajiem aizturēšanas </w:t>
      </w:r>
      <w:r w:rsidR="00A23F0A">
        <w:rPr>
          <w:rFonts w:asciiTheme="majorBidi" w:hAnsiTheme="majorBidi" w:cstheme="majorBidi"/>
        </w:rPr>
        <w:t>nosacījumiem</w:t>
      </w:r>
      <w:r w:rsidR="00797323" w:rsidRPr="00797323">
        <w:rPr>
          <w:rFonts w:asciiTheme="majorBidi" w:hAnsiTheme="majorBidi" w:cstheme="majorBidi"/>
        </w:rPr>
        <w:t>.</w:t>
      </w:r>
    </w:p>
    <w:p w14:paraId="74D3FACB" w14:textId="77777777" w:rsidR="00F637AD" w:rsidRPr="00F637AD" w:rsidRDefault="00F637AD" w:rsidP="00D10AD6">
      <w:pPr>
        <w:widowControl w:val="0"/>
        <w:spacing w:line="276" w:lineRule="auto"/>
        <w:ind w:firstLine="720"/>
        <w:jc w:val="both"/>
        <w:rPr>
          <w:rFonts w:asciiTheme="majorBidi" w:hAnsiTheme="majorBidi" w:cstheme="majorBidi"/>
        </w:rPr>
      </w:pPr>
      <w:r>
        <w:rPr>
          <w:rFonts w:asciiTheme="majorBidi" w:hAnsiTheme="majorBidi" w:cstheme="majorBidi"/>
        </w:rPr>
        <w:t>Kriminālprocesa likuma 264. panta pirmās daļas 1. punkts, uz kuru atsaukusies apelācijas instances tiesa, noteic, ka p</w:t>
      </w:r>
      <w:r w:rsidRPr="00F637AD">
        <w:rPr>
          <w:rFonts w:asciiTheme="majorBidi" w:hAnsiTheme="majorBidi" w:cstheme="majorBidi"/>
        </w:rPr>
        <w:t>ersonu var aizturēt tad, ja ir pamats pieņēmumam par tāda noziedzīga nodarījuma izdarīšanu, par kuru var piemērot brīvības atņemšanas sodu, un persona pārsteigta tieši noziedzīga nodarījuma izdarīšanas brīdī, tūlīt pēc tam vai arī bēgot no noziedzīga nodarījuma izdarīšanas vietas</w:t>
      </w:r>
      <w:r>
        <w:rPr>
          <w:rFonts w:asciiTheme="majorBidi" w:hAnsiTheme="majorBidi" w:cstheme="majorBidi"/>
        </w:rPr>
        <w:t>.</w:t>
      </w:r>
    </w:p>
    <w:p w14:paraId="2108E89B" w14:textId="3F8E0A32" w:rsidR="00221B12" w:rsidRDefault="00F637AD" w:rsidP="00D10AD6">
      <w:pPr>
        <w:widowControl w:val="0"/>
        <w:spacing w:line="276" w:lineRule="auto"/>
        <w:ind w:firstLine="720"/>
        <w:jc w:val="both"/>
        <w:rPr>
          <w:rFonts w:asciiTheme="majorBidi" w:hAnsiTheme="majorBidi" w:cstheme="majorBidi"/>
        </w:rPr>
      </w:pPr>
      <w:r>
        <w:rPr>
          <w:rFonts w:asciiTheme="majorBidi" w:hAnsiTheme="majorBidi" w:cstheme="majorBidi"/>
        </w:rPr>
        <w:t xml:space="preserve">No apelācijas instances tiesas lēmuma izriet, ka </w:t>
      </w:r>
      <w:r w:rsidR="003379B8">
        <w:rPr>
          <w:rFonts w:asciiTheme="majorBidi" w:hAnsiTheme="majorBidi" w:cstheme="majorBidi"/>
        </w:rPr>
        <w:t>tiesa ir</w:t>
      </w:r>
      <w:r>
        <w:rPr>
          <w:rFonts w:asciiTheme="majorBidi" w:hAnsiTheme="majorBidi" w:cstheme="majorBidi"/>
        </w:rPr>
        <w:t xml:space="preserve"> konstatējusi </w:t>
      </w:r>
      <w:r w:rsidR="003B2EA8">
        <w:rPr>
          <w:rFonts w:asciiTheme="majorBidi" w:hAnsiTheme="majorBidi" w:cstheme="majorBidi"/>
        </w:rPr>
        <w:t>aizturēšanas</w:t>
      </w:r>
      <w:r>
        <w:rPr>
          <w:rFonts w:asciiTheme="majorBidi" w:hAnsiTheme="majorBidi" w:cstheme="majorBidi"/>
        </w:rPr>
        <w:t xml:space="preserve"> nosacījumus, pamatojoties uz šādu apstākļu kopumu:</w:t>
      </w:r>
      <w:r w:rsidR="00011172">
        <w:rPr>
          <w:rFonts w:asciiTheme="majorBidi" w:hAnsiTheme="majorBidi" w:cstheme="majorBidi"/>
        </w:rPr>
        <w:t xml:space="preserve"> </w:t>
      </w:r>
      <w:r w:rsidR="00221B12">
        <w:rPr>
          <w:rFonts w:asciiTheme="majorBidi" w:hAnsiTheme="majorBidi" w:cstheme="majorBidi"/>
        </w:rPr>
        <w:t>1)</w:t>
      </w:r>
      <w:r w:rsidR="002462F6">
        <w:rPr>
          <w:rFonts w:asciiTheme="majorBidi" w:hAnsiTheme="majorBidi" w:cstheme="majorBidi"/>
        </w:rPr>
        <w:t> </w:t>
      </w:r>
      <w:r w:rsidR="00221B12">
        <w:rPr>
          <w:rFonts w:asciiTheme="majorBidi" w:hAnsiTheme="majorBidi" w:cstheme="majorBidi"/>
        </w:rPr>
        <w:t xml:space="preserve">kriminālprocess uzsākts par </w:t>
      </w:r>
      <w:r w:rsidR="00192230">
        <w:rPr>
          <w:rFonts w:asciiTheme="majorBidi" w:hAnsiTheme="majorBidi" w:cstheme="majorBidi"/>
        </w:rPr>
        <w:t xml:space="preserve">Krimināllikuma 143. panta otrajā daļā paredzēto </w:t>
      </w:r>
      <w:r w:rsidR="00221B12">
        <w:rPr>
          <w:rFonts w:asciiTheme="majorBidi" w:hAnsiTheme="majorBidi" w:cstheme="majorBidi"/>
        </w:rPr>
        <w:t>noziedzīg</w:t>
      </w:r>
      <w:r w:rsidR="00192230">
        <w:rPr>
          <w:rFonts w:asciiTheme="majorBidi" w:hAnsiTheme="majorBidi" w:cstheme="majorBidi"/>
        </w:rPr>
        <w:t>o</w:t>
      </w:r>
      <w:r w:rsidR="00221B12">
        <w:rPr>
          <w:rFonts w:asciiTheme="majorBidi" w:hAnsiTheme="majorBidi" w:cstheme="majorBidi"/>
        </w:rPr>
        <w:t xml:space="preserve"> nodarījum</w:t>
      </w:r>
      <w:r w:rsidR="00192230">
        <w:rPr>
          <w:rFonts w:asciiTheme="majorBidi" w:hAnsiTheme="majorBidi" w:cstheme="majorBidi"/>
        </w:rPr>
        <w:t>u, par kura</w:t>
      </w:r>
      <w:r w:rsidR="00221B12">
        <w:rPr>
          <w:rFonts w:asciiTheme="majorBidi" w:hAnsiTheme="majorBidi" w:cstheme="majorBidi"/>
        </w:rPr>
        <w:t xml:space="preserve"> izdarīšanu </w:t>
      </w:r>
      <w:r w:rsidR="002A7264">
        <w:rPr>
          <w:rFonts w:asciiTheme="majorBidi" w:hAnsiTheme="majorBidi" w:cstheme="majorBidi"/>
        </w:rPr>
        <w:t>paredzēts</w:t>
      </w:r>
      <w:r w:rsidR="00221B12">
        <w:rPr>
          <w:rFonts w:asciiTheme="majorBidi" w:hAnsiTheme="majorBidi" w:cstheme="majorBidi"/>
        </w:rPr>
        <w:t xml:space="preserve"> brīvības atņemšanas </w:t>
      </w:r>
      <w:r w:rsidR="00192230">
        <w:rPr>
          <w:rFonts w:asciiTheme="majorBidi" w:hAnsiTheme="majorBidi" w:cstheme="majorBidi"/>
        </w:rPr>
        <w:t>sods;</w:t>
      </w:r>
      <w:r w:rsidR="00221B12">
        <w:rPr>
          <w:rFonts w:asciiTheme="majorBidi" w:hAnsiTheme="majorBidi" w:cstheme="majorBidi"/>
        </w:rPr>
        <w:t xml:space="preserve"> 2)</w:t>
      </w:r>
      <w:r w:rsidR="00E5423E">
        <w:rPr>
          <w:rFonts w:asciiTheme="majorBidi" w:hAnsiTheme="majorBidi" w:cstheme="majorBidi"/>
        </w:rPr>
        <w:t> </w:t>
      </w:r>
      <w:r w:rsidR="001852F2">
        <w:rPr>
          <w:rFonts w:asciiTheme="majorBidi" w:hAnsiTheme="majorBidi" w:cstheme="majorBidi"/>
        </w:rPr>
        <w:t>[pers. D]</w:t>
      </w:r>
      <w:r w:rsidR="00A23F0A">
        <w:rPr>
          <w:rFonts w:asciiTheme="majorBidi" w:hAnsiTheme="majorBidi" w:cstheme="majorBidi"/>
        </w:rPr>
        <w:t xml:space="preserve"> turpināj</w:t>
      </w:r>
      <w:r w:rsidR="00192230">
        <w:rPr>
          <w:rFonts w:asciiTheme="majorBidi" w:hAnsiTheme="majorBidi" w:cstheme="majorBidi"/>
        </w:rPr>
        <w:t>usi</w:t>
      </w:r>
      <w:r w:rsidR="00A23F0A">
        <w:rPr>
          <w:rFonts w:asciiTheme="majorBidi" w:hAnsiTheme="majorBidi" w:cstheme="majorBidi"/>
        </w:rPr>
        <w:t xml:space="preserve"> izmeklējamo noziedzīgo nodarījumu </w:t>
      </w:r>
      <w:r w:rsidR="00A23F0A" w:rsidRPr="00A23F0A">
        <w:rPr>
          <w:rFonts w:asciiTheme="majorBidi" w:hAnsiTheme="majorBidi" w:cstheme="majorBidi"/>
        </w:rPr>
        <w:t>līdz pat</w:t>
      </w:r>
      <w:r w:rsidR="00A23F0A">
        <w:rPr>
          <w:rFonts w:asciiTheme="majorBidi" w:hAnsiTheme="majorBidi" w:cstheme="majorBidi"/>
        </w:rPr>
        <w:t xml:space="preserve"> viņas </w:t>
      </w:r>
      <w:r w:rsidR="00A23F0A" w:rsidRPr="00A23F0A">
        <w:rPr>
          <w:rFonts w:asciiTheme="majorBidi" w:hAnsiTheme="majorBidi" w:cstheme="majorBidi"/>
        </w:rPr>
        <w:t>aizturēšanas brīdim</w:t>
      </w:r>
      <w:r w:rsidR="00221B12">
        <w:rPr>
          <w:rFonts w:asciiTheme="majorBidi" w:hAnsiTheme="majorBidi" w:cstheme="majorBidi"/>
        </w:rPr>
        <w:t>; 3)</w:t>
      </w:r>
      <w:r w:rsidR="00E5423E">
        <w:rPr>
          <w:rFonts w:asciiTheme="majorBidi" w:hAnsiTheme="majorBidi" w:cstheme="majorBidi"/>
        </w:rPr>
        <w:t> </w:t>
      </w:r>
      <w:r w:rsidR="001852F2">
        <w:rPr>
          <w:rFonts w:asciiTheme="majorBidi" w:hAnsiTheme="majorBidi" w:cstheme="majorBidi"/>
        </w:rPr>
        <w:t>[pers. D]</w:t>
      </w:r>
      <w:r w:rsidR="00192230">
        <w:rPr>
          <w:rFonts w:asciiTheme="majorBidi" w:hAnsiTheme="majorBidi" w:cstheme="majorBidi"/>
        </w:rPr>
        <w:t xml:space="preserve"> </w:t>
      </w:r>
      <w:r>
        <w:rPr>
          <w:rFonts w:asciiTheme="majorBidi" w:hAnsiTheme="majorBidi" w:cstheme="majorBidi"/>
        </w:rPr>
        <w:t xml:space="preserve">rīcība </w:t>
      </w:r>
      <w:r w:rsidR="00192230">
        <w:rPr>
          <w:rFonts w:asciiTheme="majorBidi" w:hAnsiTheme="majorBidi" w:cstheme="majorBidi"/>
        </w:rPr>
        <w:t xml:space="preserve">bijusi </w:t>
      </w:r>
      <w:r>
        <w:rPr>
          <w:rFonts w:asciiTheme="majorBidi" w:hAnsiTheme="majorBidi" w:cstheme="majorBidi"/>
        </w:rPr>
        <w:t>neprognozējama un agresīva</w:t>
      </w:r>
      <w:r w:rsidR="002A7264">
        <w:rPr>
          <w:rFonts w:asciiTheme="majorBidi" w:hAnsiTheme="majorBidi" w:cstheme="majorBidi"/>
        </w:rPr>
        <w:t>,</w:t>
      </w:r>
      <w:r>
        <w:rPr>
          <w:rFonts w:asciiTheme="majorBidi" w:hAnsiTheme="majorBidi" w:cstheme="majorBidi"/>
        </w:rPr>
        <w:t xml:space="preserve"> viņa attei</w:t>
      </w:r>
      <w:r w:rsidR="00192230">
        <w:rPr>
          <w:rFonts w:asciiTheme="majorBidi" w:hAnsiTheme="majorBidi" w:cstheme="majorBidi"/>
        </w:rPr>
        <w:t>kusies</w:t>
      </w:r>
      <w:r>
        <w:rPr>
          <w:rFonts w:asciiTheme="majorBidi" w:hAnsiTheme="majorBidi" w:cstheme="majorBidi"/>
        </w:rPr>
        <w:t xml:space="preserve"> labprātīgi atstāt privātmājas teritoriju; 4)</w:t>
      </w:r>
      <w:r w:rsidR="00E5423E">
        <w:rPr>
          <w:rFonts w:asciiTheme="majorBidi" w:hAnsiTheme="majorBidi" w:cstheme="majorBidi"/>
        </w:rPr>
        <w:t> </w:t>
      </w:r>
      <w:r w:rsidR="00192230">
        <w:rPr>
          <w:rFonts w:asciiTheme="majorBidi" w:hAnsiTheme="majorBidi" w:cstheme="majorBidi"/>
        </w:rPr>
        <w:t>procesa virzītājam bijis pamats šaubīties par to</w:t>
      </w:r>
      <w:r w:rsidR="00221B12">
        <w:rPr>
          <w:rFonts w:asciiTheme="majorBidi" w:hAnsiTheme="majorBidi" w:cstheme="majorBidi"/>
        </w:rPr>
        <w:t xml:space="preserve">, </w:t>
      </w:r>
      <w:r w:rsidR="00192230">
        <w:rPr>
          <w:rFonts w:asciiTheme="majorBidi" w:hAnsiTheme="majorBidi" w:cstheme="majorBidi"/>
        </w:rPr>
        <w:t>vai</w:t>
      </w:r>
      <w:r w:rsidR="00221B12">
        <w:rPr>
          <w:rFonts w:asciiTheme="majorBidi" w:hAnsiTheme="majorBidi" w:cstheme="majorBidi"/>
        </w:rPr>
        <w:t xml:space="preserve"> pēc </w:t>
      </w:r>
      <w:r w:rsidR="00192230">
        <w:rPr>
          <w:rFonts w:asciiTheme="majorBidi" w:hAnsiTheme="majorBidi" w:cstheme="majorBidi"/>
        </w:rPr>
        <w:t xml:space="preserve">noziedzīgā </w:t>
      </w:r>
      <w:r w:rsidR="00221B12">
        <w:rPr>
          <w:rFonts w:asciiTheme="majorBidi" w:hAnsiTheme="majorBidi" w:cstheme="majorBidi"/>
        </w:rPr>
        <w:t xml:space="preserve">nodarījuma pārtraukšanas </w:t>
      </w:r>
      <w:r w:rsidR="001852F2">
        <w:rPr>
          <w:rFonts w:asciiTheme="majorBidi" w:hAnsiTheme="majorBidi" w:cstheme="majorBidi"/>
        </w:rPr>
        <w:t>[pers. D]</w:t>
      </w:r>
      <w:r>
        <w:rPr>
          <w:rFonts w:asciiTheme="majorBidi" w:hAnsiTheme="majorBidi" w:cstheme="majorBidi"/>
        </w:rPr>
        <w:t xml:space="preserve"> </w:t>
      </w:r>
      <w:r w:rsidR="00221B12">
        <w:rPr>
          <w:rFonts w:asciiTheme="majorBidi" w:hAnsiTheme="majorBidi" w:cstheme="majorBidi"/>
        </w:rPr>
        <w:t>bū</w:t>
      </w:r>
      <w:r>
        <w:rPr>
          <w:rFonts w:asciiTheme="majorBidi" w:hAnsiTheme="majorBidi" w:cstheme="majorBidi"/>
        </w:rPr>
        <w:t>s</w:t>
      </w:r>
      <w:r w:rsidR="00221B12">
        <w:rPr>
          <w:rFonts w:asciiTheme="majorBidi" w:hAnsiTheme="majorBidi" w:cstheme="majorBidi"/>
        </w:rPr>
        <w:t xml:space="preserve"> sasniedzama un iera</w:t>
      </w:r>
      <w:r>
        <w:rPr>
          <w:rFonts w:asciiTheme="majorBidi" w:hAnsiTheme="majorBidi" w:cstheme="majorBidi"/>
        </w:rPr>
        <w:t>dīsies</w:t>
      </w:r>
      <w:r w:rsidR="00221B12">
        <w:rPr>
          <w:rFonts w:asciiTheme="majorBidi" w:hAnsiTheme="majorBidi" w:cstheme="majorBidi"/>
        </w:rPr>
        <w:t xml:space="preserve"> uz kriminālprocesuālo darbību veikšanu</w:t>
      </w:r>
      <w:r>
        <w:rPr>
          <w:rFonts w:asciiTheme="majorBidi" w:hAnsiTheme="majorBidi" w:cstheme="majorBidi"/>
        </w:rPr>
        <w:t xml:space="preserve"> (</w:t>
      </w:r>
      <w:r w:rsidRPr="005B2E27">
        <w:rPr>
          <w:rFonts w:asciiTheme="majorBidi" w:hAnsiTheme="majorBidi" w:cstheme="majorBidi"/>
        </w:rPr>
        <w:t>sk.</w:t>
      </w:r>
      <w:r w:rsidRPr="00F637AD">
        <w:rPr>
          <w:rFonts w:asciiTheme="majorBidi" w:hAnsiTheme="majorBidi" w:cstheme="majorBidi"/>
          <w:i/>
          <w:iCs/>
        </w:rPr>
        <w:t xml:space="preserve"> </w:t>
      </w:r>
      <w:r w:rsidR="00216F4D">
        <w:rPr>
          <w:rFonts w:asciiTheme="majorBidi" w:hAnsiTheme="majorBidi" w:cstheme="majorBidi"/>
          <w:i/>
          <w:iCs/>
        </w:rPr>
        <w:t xml:space="preserve">apelācijas instances </w:t>
      </w:r>
      <w:r w:rsidRPr="00F637AD">
        <w:rPr>
          <w:rFonts w:asciiTheme="majorBidi" w:hAnsiTheme="majorBidi" w:cstheme="majorBidi"/>
          <w:i/>
          <w:iCs/>
        </w:rPr>
        <w:t>tiesas lēmuma 15. punktu</w:t>
      </w:r>
      <w:r>
        <w:rPr>
          <w:rFonts w:asciiTheme="majorBidi" w:hAnsiTheme="majorBidi" w:cstheme="majorBidi"/>
        </w:rPr>
        <w:t>).</w:t>
      </w:r>
    </w:p>
    <w:p w14:paraId="1653BD49" w14:textId="3D1350BE" w:rsidR="00E22BA5" w:rsidRDefault="00E22BA5" w:rsidP="0027028D">
      <w:pPr>
        <w:widowControl w:val="0"/>
        <w:spacing w:line="276" w:lineRule="auto"/>
        <w:ind w:firstLine="720"/>
        <w:jc w:val="both"/>
        <w:rPr>
          <w:rFonts w:asciiTheme="majorBidi" w:hAnsiTheme="majorBidi" w:cstheme="majorBidi"/>
        </w:rPr>
      </w:pPr>
      <w:r>
        <w:rPr>
          <w:rFonts w:asciiTheme="majorBidi" w:hAnsiTheme="majorBidi" w:cstheme="majorBidi"/>
        </w:rPr>
        <w:t>Minēto apstākļu kopumu prokurors kasācijas protestā nav motivēti apstrīdējis.</w:t>
      </w:r>
    </w:p>
    <w:p w14:paraId="1E60A68A" w14:textId="6954C563" w:rsidR="004316AC" w:rsidRDefault="00AE42C3" w:rsidP="00D10AD6">
      <w:pPr>
        <w:widowControl w:val="0"/>
        <w:spacing w:line="276" w:lineRule="auto"/>
        <w:ind w:firstLine="720"/>
        <w:jc w:val="both"/>
        <w:rPr>
          <w:rFonts w:asciiTheme="majorBidi" w:hAnsiTheme="majorBidi" w:cstheme="majorBidi"/>
        </w:rPr>
      </w:pPr>
      <w:r>
        <w:rPr>
          <w:rFonts w:asciiTheme="majorBidi" w:hAnsiTheme="majorBidi" w:cstheme="majorBidi"/>
        </w:rPr>
        <w:t>Saistībā ar</w:t>
      </w:r>
      <w:r w:rsidR="0013116E" w:rsidRPr="0013116E">
        <w:rPr>
          <w:rFonts w:asciiTheme="majorBidi" w:hAnsiTheme="majorBidi" w:cstheme="majorBidi"/>
        </w:rPr>
        <w:t xml:space="preserve"> kasācijas protestā norādīto </w:t>
      </w:r>
      <w:r w:rsidR="0013116E">
        <w:rPr>
          <w:rFonts w:asciiTheme="majorBidi" w:hAnsiTheme="majorBidi" w:cstheme="majorBidi"/>
        </w:rPr>
        <w:t>argumentu</w:t>
      </w:r>
      <w:r>
        <w:rPr>
          <w:rFonts w:asciiTheme="majorBidi" w:hAnsiTheme="majorBidi" w:cstheme="majorBidi"/>
        </w:rPr>
        <w:t xml:space="preserve"> par to</w:t>
      </w:r>
      <w:r w:rsidR="0013116E" w:rsidRPr="0013116E">
        <w:rPr>
          <w:rFonts w:asciiTheme="majorBidi" w:hAnsiTheme="majorBidi" w:cstheme="majorBidi"/>
        </w:rPr>
        <w:t xml:space="preserve">, ka apelācijas instances tiesa </w:t>
      </w:r>
      <w:r w:rsidR="0086123A">
        <w:rPr>
          <w:rFonts w:asciiTheme="majorBidi" w:hAnsiTheme="majorBidi" w:cstheme="majorBidi"/>
        </w:rPr>
        <w:t>[pers. D]</w:t>
      </w:r>
      <w:r w:rsidR="0013116E" w:rsidRPr="0013116E">
        <w:rPr>
          <w:rFonts w:asciiTheme="majorBidi" w:hAnsiTheme="majorBidi" w:cstheme="majorBidi"/>
        </w:rPr>
        <w:t xml:space="preserve"> aizturēšanu </w:t>
      </w:r>
      <w:r w:rsidR="0013116E">
        <w:rPr>
          <w:rFonts w:asciiTheme="majorBidi" w:hAnsiTheme="majorBidi" w:cstheme="majorBidi"/>
        </w:rPr>
        <w:t xml:space="preserve">ir </w:t>
      </w:r>
      <w:r w:rsidR="0013116E" w:rsidRPr="0013116E">
        <w:rPr>
          <w:rFonts w:asciiTheme="majorBidi" w:hAnsiTheme="majorBidi" w:cstheme="majorBidi"/>
        </w:rPr>
        <w:t xml:space="preserve">nepamatoti saistījusi ar viņas atteikšanos liecināt, Senāts </w:t>
      </w:r>
      <w:r w:rsidR="004316AC">
        <w:rPr>
          <w:rFonts w:asciiTheme="majorBidi" w:hAnsiTheme="majorBidi" w:cstheme="majorBidi"/>
        </w:rPr>
        <w:t>vērš</w:t>
      </w:r>
      <w:r w:rsidR="0013116E" w:rsidRPr="0013116E">
        <w:rPr>
          <w:rFonts w:asciiTheme="majorBidi" w:hAnsiTheme="majorBidi" w:cstheme="majorBidi"/>
        </w:rPr>
        <w:t xml:space="preserve"> </w:t>
      </w:r>
      <w:r w:rsidR="004316AC">
        <w:rPr>
          <w:rFonts w:asciiTheme="majorBidi" w:hAnsiTheme="majorBidi" w:cstheme="majorBidi"/>
        </w:rPr>
        <w:t>uzmanību uz to, ka tā</w:t>
      </w:r>
      <w:r w:rsidR="004316AC" w:rsidRPr="00AD612A">
        <w:rPr>
          <w:rFonts w:asciiTheme="majorBidi" w:hAnsiTheme="majorBidi" w:cstheme="majorBidi"/>
        </w:rPr>
        <w:t xml:space="preserve"> kompetencē ir izvērtēt, vai apelācijas instances tiesa </w:t>
      </w:r>
      <w:r w:rsidR="00311927">
        <w:rPr>
          <w:rFonts w:asciiTheme="majorBidi" w:hAnsiTheme="majorBidi" w:cstheme="majorBidi"/>
        </w:rPr>
        <w:t xml:space="preserve">ir </w:t>
      </w:r>
      <w:r w:rsidR="004316AC" w:rsidRPr="00AD612A">
        <w:rPr>
          <w:rFonts w:asciiTheme="majorBidi" w:hAnsiTheme="majorBidi" w:cstheme="majorBidi"/>
        </w:rPr>
        <w:t>pieļāvusi tādus kasācijas sūdzībā</w:t>
      </w:r>
      <w:r w:rsidR="004316AC">
        <w:rPr>
          <w:rFonts w:asciiTheme="majorBidi" w:hAnsiTheme="majorBidi" w:cstheme="majorBidi"/>
        </w:rPr>
        <w:t xml:space="preserve"> vai protestā</w:t>
      </w:r>
      <w:r w:rsidR="004316AC" w:rsidRPr="00AD612A">
        <w:rPr>
          <w:rFonts w:asciiTheme="majorBidi" w:hAnsiTheme="majorBidi" w:cstheme="majorBidi"/>
        </w:rPr>
        <w:t xml:space="preserve"> norādītus tiesību normu pārkāpumus, kas varētu būt ietekmējuši tiesas nolēmuma galīgo rezultātu</w:t>
      </w:r>
      <w:r w:rsidR="004316AC">
        <w:rPr>
          <w:rFonts w:asciiTheme="majorBidi" w:hAnsiTheme="majorBidi" w:cstheme="majorBidi"/>
        </w:rPr>
        <w:t xml:space="preserve"> </w:t>
      </w:r>
      <w:r w:rsidR="004316AC" w:rsidRPr="00001821">
        <w:rPr>
          <w:rFonts w:eastAsia="Aptos" w:cs="Arial"/>
          <w:kern w:val="2"/>
          <w14:ligatures w14:val="standardContextual"/>
        </w:rPr>
        <w:t>(</w:t>
      </w:r>
      <w:r w:rsidR="004316AC" w:rsidRPr="00335E6D">
        <w:rPr>
          <w:rFonts w:eastAsia="Aptos" w:cs="Arial"/>
          <w:kern w:val="2"/>
          <w14:ligatures w14:val="standardContextual"/>
        </w:rPr>
        <w:t>sk</w:t>
      </w:r>
      <w:r w:rsidR="004316AC" w:rsidRPr="002F3101">
        <w:rPr>
          <w:rFonts w:eastAsia="Aptos" w:cs="Arial"/>
          <w:i/>
          <w:iCs/>
          <w:kern w:val="2"/>
          <w14:ligatures w14:val="standardContextual"/>
        </w:rPr>
        <w:t>.</w:t>
      </w:r>
      <w:r w:rsidR="00F0710A">
        <w:rPr>
          <w:rFonts w:eastAsia="Aptos" w:cs="Arial"/>
          <w:kern w:val="2"/>
          <w14:ligatures w14:val="standardContextual"/>
        </w:rPr>
        <w:t> </w:t>
      </w:r>
      <w:r w:rsidR="00513C3E">
        <w:rPr>
          <w:rFonts w:eastAsia="Aptos" w:cs="Arial"/>
          <w:kern w:val="2"/>
          <w14:ligatures w14:val="standardContextual"/>
        </w:rPr>
        <w:t>sal.</w:t>
      </w:r>
      <w:r w:rsidR="00F0710A">
        <w:rPr>
          <w:rFonts w:eastAsia="Aptos" w:cs="Arial"/>
          <w:i/>
          <w:iCs/>
          <w:kern w:val="2"/>
          <w14:ligatures w14:val="standardContextual"/>
        </w:rPr>
        <w:t> </w:t>
      </w:r>
      <w:r w:rsidR="004316AC" w:rsidRPr="00001821">
        <w:rPr>
          <w:rFonts w:eastAsia="Aptos" w:cs="Arial"/>
          <w:i/>
          <w:iCs/>
          <w:kern w:val="2"/>
          <w14:ligatures w14:val="standardContextual"/>
        </w:rPr>
        <w:t>Senāta 2020. gada 24. septembra rīcības sēdes lēmuma lietā Nr. SKA-287/2020</w:t>
      </w:r>
      <w:r w:rsidR="005B2E27">
        <w:rPr>
          <w:rFonts w:eastAsia="Aptos" w:cs="Arial"/>
          <w:i/>
          <w:iCs/>
          <w:kern w:val="2"/>
          <w14:ligatures w14:val="standardContextual"/>
        </w:rPr>
        <w:t xml:space="preserve">, </w:t>
      </w:r>
      <w:hyperlink r:id="rId20" w:history="1">
        <w:r w:rsidR="004316AC" w:rsidRPr="00001821">
          <w:rPr>
            <w:rFonts w:eastAsia="Aptos" w:cs="Arial"/>
            <w:i/>
            <w:iCs/>
            <w:kern w:val="2"/>
            <w14:ligatures w14:val="standardContextual"/>
          </w:rPr>
          <w:t>ECLI:LV:AT:2020:0924.A420249016.9.L</w:t>
        </w:r>
      </w:hyperlink>
      <w:r w:rsidR="005B2E27">
        <w:rPr>
          <w:rFonts w:eastAsia="Aptos" w:cs="Arial"/>
          <w:i/>
          <w:iCs/>
          <w:kern w:val="2"/>
          <w14:ligatures w14:val="standardContextual"/>
        </w:rPr>
        <w:t>,</w:t>
      </w:r>
      <w:r w:rsidR="004316AC" w:rsidRPr="00001821">
        <w:rPr>
          <w:rFonts w:eastAsia="Aptos" w:cs="Arial"/>
          <w:i/>
          <w:iCs/>
          <w:kern w:val="2"/>
          <w14:ligatures w14:val="standardContextual"/>
        </w:rPr>
        <w:t xml:space="preserve"> 3. un 4. punkt</w:t>
      </w:r>
      <w:r w:rsidR="00513C3E">
        <w:rPr>
          <w:rFonts w:eastAsia="Aptos" w:cs="Arial"/>
          <w:i/>
          <w:iCs/>
          <w:kern w:val="2"/>
          <w14:ligatures w14:val="standardContextual"/>
        </w:rPr>
        <w:t>u</w:t>
      </w:r>
      <w:r w:rsidR="004316AC" w:rsidRPr="00001821">
        <w:rPr>
          <w:rFonts w:eastAsia="Aptos" w:cs="Arial"/>
          <w:kern w:val="2"/>
          <w14:ligatures w14:val="standardContextual"/>
        </w:rPr>
        <w:t>)</w:t>
      </w:r>
      <w:r w:rsidR="004316AC" w:rsidRPr="00AD612A">
        <w:rPr>
          <w:rFonts w:asciiTheme="majorBidi" w:hAnsiTheme="majorBidi" w:cstheme="majorBidi"/>
        </w:rPr>
        <w:t>.</w:t>
      </w:r>
    </w:p>
    <w:p w14:paraId="1BE89C83" w14:textId="575E266C" w:rsidR="004316AC" w:rsidRDefault="005B2E27" w:rsidP="00D10AD6">
      <w:pPr>
        <w:widowControl w:val="0"/>
        <w:spacing w:line="276" w:lineRule="auto"/>
        <w:ind w:firstLine="720"/>
        <w:jc w:val="both"/>
        <w:rPr>
          <w:rFonts w:asciiTheme="majorBidi" w:hAnsiTheme="majorBidi" w:cstheme="majorBidi"/>
        </w:rPr>
      </w:pPr>
      <w:r>
        <w:rPr>
          <w:rFonts w:asciiTheme="majorBidi" w:hAnsiTheme="majorBidi" w:cstheme="majorBidi"/>
        </w:rPr>
        <w:t xml:space="preserve">Ievērojot minēto, </w:t>
      </w:r>
      <w:r w:rsidR="00513C3E">
        <w:rPr>
          <w:rFonts w:asciiTheme="majorBidi" w:hAnsiTheme="majorBidi" w:cstheme="majorBidi"/>
        </w:rPr>
        <w:t xml:space="preserve">pat tad, ja </w:t>
      </w:r>
      <w:r w:rsidR="00513C3E" w:rsidRPr="0013116E">
        <w:rPr>
          <w:rFonts w:asciiTheme="majorBidi" w:hAnsiTheme="majorBidi" w:cstheme="majorBidi"/>
        </w:rPr>
        <w:t>apelācijas instances tiesa</w:t>
      </w:r>
      <w:r w:rsidR="00513C3E">
        <w:rPr>
          <w:rFonts w:asciiTheme="majorBidi" w:hAnsiTheme="majorBidi" w:cstheme="majorBidi"/>
        </w:rPr>
        <w:t xml:space="preserve">, pamatojot secinājumu par </w:t>
      </w:r>
      <w:r w:rsidR="0086123A">
        <w:rPr>
          <w:rFonts w:asciiTheme="majorBidi" w:hAnsiTheme="majorBidi" w:cstheme="majorBidi"/>
        </w:rPr>
        <w:t>[pers. D]</w:t>
      </w:r>
      <w:r w:rsidR="00513C3E">
        <w:rPr>
          <w:rFonts w:asciiTheme="majorBidi" w:hAnsiTheme="majorBidi" w:cstheme="majorBidi"/>
        </w:rPr>
        <w:t xml:space="preserve"> aizturēšanas tiesiskumu, būtu kļūdaini atsaukusies uz viņas</w:t>
      </w:r>
      <w:r w:rsidR="00513C3E" w:rsidRPr="0013116E">
        <w:rPr>
          <w:rFonts w:asciiTheme="majorBidi" w:hAnsiTheme="majorBidi" w:cstheme="majorBidi"/>
        </w:rPr>
        <w:t xml:space="preserve"> </w:t>
      </w:r>
      <w:r w:rsidR="00513C3E">
        <w:rPr>
          <w:rFonts w:asciiTheme="majorBidi" w:hAnsiTheme="majorBidi" w:cstheme="majorBidi"/>
        </w:rPr>
        <w:t xml:space="preserve">atteikšanos sniegt liecības, minētais apstāklis nav pietiekams apelācijas instances tiesas nolēmuma atcelšanai, jo </w:t>
      </w:r>
      <w:r w:rsidR="0013116E">
        <w:rPr>
          <w:rFonts w:asciiTheme="majorBidi" w:hAnsiTheme="majorBidi" w:cstheme="majorBidi"/>
        </w:rPr>
        <w:t>p</w:t>
      </w:r>
      <w:r w:rsidR="0013116E" w:rsidRPr="0013116E">
        <w:rPr>
          <w:rFonts w:asciiTheme="majorBidi" w:hAnsiTheme="majorBidi" w:cstheme="majorBidi"/>
        </w:rPr>
        <w:t>ārējie</w:t>
      </w:r>
      <w:r w:rsidR="004316AC">
        <w:rPr>
          <w:rFonts w:asciiTheme="majorBidi" w:hAnsiTheme="majorBidi" w:cstheme="majorBidi"/>
        </w:rPr>
        <w:t xml:space="preserve"> </w:t>
      </w:r>
      <w:r w:rsidR="00513C3E">
        <w:rPr>
          <w:rFonts w:asciiTheme="majorBidi" w:hAnsiTheme="majorBidi" w:cstheme="majorBidi"/>
        </w:rPr>
        <w:t>tiesas</w:t>
      </w:r>
      <w:r w:rsidR="00513C3E" w:rsidRPr="0013116E">
        <w:rPr>
          <w:rFonts w:asciiTheme="majorBidi" w:hAnsiTheme="majorBidi" w:cstheme="majorBidi"/>
        </w:rPr>
        <w:t xml:space="preserve"> </w:t>
      </w:r>
      <w:r w:rsidR="0013116E" w:rsidRPr="0013116E">
        <w:rPr>
          <w:rFonts w:asciiTheme="majorBidi" w:hAnsiTheme="majorBidi" w:cstheme="majorBidi"/>
        </w:rPr>
        <w:t xml:space="preserve">konstatētie apstākļi ir pietiekami, lai atzītu, ka </w:t>
      </w:r>
      <w:r w:rsidR="0086123A">
        <w:rPr>
          <w:rFonts w:asciiTheme="majorBidi" w:hAnsiTheme="majorBidi" w:cstheme="majorBidi"/>
        </w:rPr>
        <w:t>[pers. D]</w:t>
      </w:r>
      <w:r w:rsidR="0013116E" w:rsidRPr="0013116E">
        <w:rPr>
          <w:rFonts w:asciiTheme="majorBidi" w:hAnsiTheme="majorBidi" w:cstheme="majorBidi"/>
        </w:rPr>
        <w:t xml:space="preserve"> aizturēšana notikusi atbilstoši Kriminālprocesa likuma 264.</w:t>
      </w:r>
      <w:r w:rsidR="00335E6D">
        <w:rPr>
          <w:rFonts w:asciiTheme="majorBidi" w:hAnsiTheme="majorBidi" w:cstheme="majorBidi"/>
        </w:rPr>
        <w:t> </w:t>
      </w:r>
      <w:r w:rsidR="0013116E" w:rsidRPr="0013116E">
        <w:rPr>
          <w:rFonts w:asciiTheme="majorBidi" w:hAnsiTheme="majorBidi" w:cstheme="majorBidi"/>
        </w:rPr>
        <w:t>panta pirmās daļas 1.</w:t>
      </w:r>
      <w:r w:rsidR="00335E6D">
        <w:rPr>
          <w:rFonts w:asciiTheme="majorBidi" w:hAnsiTheme="majorBidi" w:cstheme="majorBidi"/>
        </w:rPr>
        <w:t> </w:t>
      </w:r>
      <w:r w:rsidR="0013116E" w:rsidRPr="0013116E">
        <w:rPr>
          <w:rFonts w:asciiTheme="majorBidi" w:hAnsiTheme="majorBidi" w:cstheme="majorBidi"/>
        </w:rPr>
        <w:t>punktam</w:t>
      </w:r>
      <w:r w:rsidR="004316AC">
        <w:rPr>
          <w:rFonts w:asciiTheme="majorBidi" w:hAnsiTheme="majorBidi" w:cstheme="majorBidi"/>
        </w:rPr>
        <w:t>.</w:t>
      </w:r>
    </w:p>
    <w:p w14:paraId="561EF41A" w14:textId="65A579A9" w:rsidR="00D92D05" w:rsidRDefault="00E22BA5" w:rsidP="00D46AB4">
      <w:pPr>
        <w:widowControl w:val="0"/>
        <w:spacing w:line="276" w:lineRule="auto"/>
        <w:ind w:firstLine="720"/>
        <w:jc w:val="both"/>
        <w:rPr>
          <w:rFonts w:asciiTheme="majorBidi" w:hAnsiTheme="majorBidi" w:cstheme="majorBidi"/>
        </w:rPr>
      </w:pPr>
      <w:r>
        <w:rPr>
          <w:rFonts w:asciiTheme="majorBidi" w:hAnsiTheme="majorBidi" w:cstheme="majorBidi"/>
        </w:rPr>
        <w:t>[</w:t>
      </w:r>
      <w:r w:rsidR="00513C3E">
        <w:rPr>
          <w:rFonts w:asciiTheme="majorBidi" w:hAnsiTheme="majorBidi" w:cstheme="majorBidi"/>
        </w:rPr>
        <w:t>8.</w:t>
      </w:r>
      <w:r w:rsidR="004A6ABC">
        <w:rPr>
          <w:rFonts w:asciiTheme="majorBidi" w:hAnsiTheme="majorBidi" w:cstheme="majorBidi"/>
        </w:rPr>
        <w:t>3</w:t>
      </w:r>
      <w:r w:rsidR="00513C3E">
        <w:rPr>
          <w:rFonts w:asciiTheme="majorBidi" w:hAnsiTheme="majorBidi" w:cstheme="majorBidi"/>
        </w:rPr>
        <w:t>.4</w:t>
      </w:r>
      <w:r>
        <w:rPr>
          <w:rFonts w:asciiTheme="majorBidi" w:hAnsiTheme="majorBidi" w:cstheme="majorBidi"/>
        </w:rPr>
        <w:t>]</w:t>
      </w:r>
      <w:r w:rsidR="00513C3E">
        <w:rPr>
          <w:rFonts w:asciiTheme="majorBidi" w:hAnsiTheme="majorBidi" w:cstheme="majorBidi"/>
        </w:rPr>
        <w:t> </w:t>
      </w:r>
      <w:r w:rsidR="005334DE">
        <w:rPr>
          <w:rFonts w:asciiTheme="majorBidi" w:hAnsiTheme="majorBidi" w:cstheme="majorBidi"/>
        </w:rPr>
        <w:t>Saistībā ar</w:t>
      </w:r>
      <w:r w:rsidR="00D46AB4" w:rsidRPr="005334DE">
        <w:rPr>
          <w:rFonts w:asciiTheme="majorBidi" w:hAnsiTheme="majorBidi" w:cstheme="majorBidi"/>
        </w:rPr>
        <w:t xml:space="preserve"> kasācijas protesta argumentu par to, ka tiesa nav izvērtējusi lietā esošās ziņas, kas norāda uz inkriminētā noziedzīgā nodarījuma subjektīvās puses esību apsūdzēto darbībās, </w:t>
      </w:r>
      <w:r w:rsidR="004A1072" w:rsidRPr="004A1072">
        <w:rPr>
          <w:rFonts w:asciiTheme="majorBidi" w:hAnsiTheme="majorBidi" w:cstheme="majorBidi"/>
        </w:rPr>
        <w:t>Senāts norāda, ka tiesai nav pienākuma analizēt noziedzīgā nodarījuma subjektīvo pusi, ja</w:t>
      </w:r>
      <w:r w:rsidR="00B333B5">
        <w:rPr>
          <w:rFonts w:asciiTheme="majorBidi" w:hAnsiTheme="majorBidi" w:cstheme="majorBidi"/>
        </w:rPr>
        <w:t xml:space="preserve"> tā</w:t>
      </w:r>
      <w:r w:rsidR="004A1072" w:rsidRPr="004A1072">
        <w:rPr>
          <w:rFonts w:asciiTheme="majorBidi" w:hAnsiTheme="majorBidi" w:cstheme="majorBidi"/>
        </w:rPr>
        <w:t xml:space="preserve"> </w:t>
      </w:r>
      <w:r w:rsidR="004A1072">
        <w:rPr>
          <w:rFonts w:asciiTheme="majorBidi" w:hAnsiTheme="majorBidi" w:cstheme="majorBidi"/>
        </w:rPr>
        <w:t xml:space="preserve">nav </w:t>
      </w:r>
      <w:r w:rsidR="004A1072" w:rsidRPr="004A1072">
        <w:rPr>
          <w:rFonts w:asciiTheme="majorBidi" w:hAnsiTheme="majorBidi" w:cstheme="majorBidi"/>
        </w:rPr>
        <w:t>konstatē</w:t>
      </w:r>
      <w:r w:rsidR="00B333B5">
        <w:rPr>
          <w:rFonts w:asciiTheme="majorBidi" w:hAnsiTheme="majorBidi" w:cstheme="majorBidi"/>
        </w:rPr>
        <w:t>jusi</w:t>
      </w:r>
      <w:r w:rsidR="004A1072">
        <w:rPr>
          <w:rFonts w:asciiTheme="majorBidi" w:hAnsiTheme="majorBidi" w:cstheme="majorBidi"/>
        </w:rPr>
        <w:t xml:space="preserve"> noziedzīgā nodarījuma</w:t>
      </w:r>
      <w:r w:rsidR="004A1072" w:rsidRPr="004A1072">
        <w:rPr>
          <w:rFonts w:asciiTheme="majorBidi" w:hAnsiTheme="majorBidi" w:cstheme="majorBidi"/>
        </w:rPr>
        <w:t xml:space="preserve"> objektīv</w:t>
      </w:r>
      <w:r w:rsidR="00B333B5">
        <w:rPr>
          <w:rFonts w:asciiTheme="majorBidi" w:hAnsiTheme="majorBidi" w:cstheme="majorBidi"/>
        </w:rPr>
        <w:t>o</w:t>
      </w:r>
      <w:r w:rsidR="004A1072" w:rsidRPr="004A1072">
        <w:rPr>
          <w:rFonts w:asciiTheme="majorBidi" w:hAnsiTheme="majorBidi" w:cstheme="majorBidi"/>
        </w:rPr>
        <w:t xml:space="preserve"> pus</w:t>
      </w:r>
      <w:r w:rsidR="00B333B5">
        <w:rPr>
          <w:rFonts w:asciiTheme="majorBidi" w:hAnsiTheme="majorBidi" w:cstheme="majorBidi"/>
        </w:rPr>
        <w:t>i</w:t>
      </w:r>
      <w:r w:rsidR="004A1072">
        <w:rPr>
          <w:rFonts w:asciiTheme="majorBidi" w:hAnsiTheme="majorBidi" w:cstheme="majorBidi"/>
        </w:rPr>
        <w:t xml:space="preserve"> –</w:t>
      </w:r>
      <w:r w:rsidR="00CB23C2">
        <w:rPr>
          <w:rFonts w:asciiTheme="majorBidi" w:hAnsiTheme="majorBidi" w:cstheme="majorBidi"/>
        </w:rPr>
        <w:t xml:space="preserve"> </w:t>
      </w:r>
      <w:r w:rsidR="00646B2D">
        <w:rPr>
          <w:rFonts w:asciiTheme="majorBidi" w:hAnsiTheme="majorBidi" w:cstheme="majorBidi"/>
        </w:rPr>
        <w:t xml:space="preserve">izskatāmajā gadījumā </w:t>
      </w:r>
      <w:r w:rsidR="004A1072">
        <w:rPr>
          <w:rFonts w:asciiTheme="majorBidi" w:hAnsiTheme="majorBidi" w:cstheme="majorBidi"/>
        </w:rPr>
        <w:t xml:space="preserve">apsūdzēto </w:t>
      </w:r>
      <w:r w:rsidR="00B333B5">
        <w:rPr>
          <w:rFonts w:asciiTheme="majorBidi" w:hAnsiTheme="majorBidi" w:cstheme="majorBidi"/>
        </w:rPr>
        <w:t>pieļaut</w:t>
      </w:r>
      <w:r w:rsidR="00646B2D">
        <w:rPr>
          <w:rFonts w:asciiTheme="majorBidi" w:hAnsiTheme="majorBidi" w:cstheme="majorBidi"/>
        </w:rPr>
        <w:t>u</w:t>
      </w:r>
      <w:r w:rsidR="00B333B5">
        <w:rPr>
          <w:rFonts w:asciiTheme="majorBidi" w:hAnsiTheme="majorBidi" w:cstheme="majorBidi"/>
        </w:rPr>
        <w:t xml:space="preserve">s </w:t>
      </w:r>
      <w:r w:rsidR="004A1072">
        <w:rPr>
          <w:rFonts w:asciiTheme="majorBidi" w:hAnsiTheme="majorBidi" w:cstheme="majorBidi"/>
        </w:rPr>
        <w:t>tiesību normu pārkāpum</w:t>
      </w:r>
      <w:r w:rsidR="00A359D5">
        <w:rPr>
          <w:rFonts w:asciiTheme="majorBidi" w:hAnsiTheme="majorBidi" w:cstheme="majorBidi"/>
        </w:rPr>
        <w:t>us</w:t>
      </w:r>
      <w:r w:rsidR="00B333B5">
        <w:rPr>
          <w:rFonts w:asciiTheme="majorBidi" w:hAnsiTheme="majorBidi" w:cstheme="majorBidi"/>
        </w:rPr>
        <w:t xml:space="preserve">, </w:t>
      </w:r>
      <w:r w:rsidR="00646B2D">
        <w:rPr>
          <w:rFonts w:asciiTheme="majorBidi" w:hAnsiTheme="majorBidi" w:cstheme="majorBidi"/>
        </w:rPr>
        <w:t>kuri</w:t>
      </w:r>
      <w:r w:rsidR="00646B2D" w:rsidRPr="00765CCB">
        <w:rPr>
          <w:rFonts w:asciiTheme="majorBidi" w:hAnsiTheme="majorBidi" w:cstheme="majorBidi"/>
        </w:rPr>
        <w:t xml:space="preserve"> </w:t>
      </w:r>
      <w:r w:rsidR="00B333B5" w:rsidRPr="00765CCB">
        <w:rPr>
          <w:rFonts w:asciiTheme="majorBidi" w:hAnsiTheme="majorBidi" w:cstheme="majorBidi"/>
        </w:rPr>
        <w:t xml:space="preserve">pēc sava rakstura </w:t>
      </w:r>
      <w:r w:rsidR="00646B2D">
        <w:rPr>
          <w:rFonts w:asciiTheme="majorBidi" w:hAnsiTheme="majorBidi" w:cstheme="majorBidi"/>
        </w:rPr>
        <w:t>atbilstu</w:t>
      </w:r>
      <w:r w:rsidR="00B333B5" w:rsidRPr="00765CCB">
        <w:rPr>
          <w:rFonts w:asciiTheme="majorBidi" w:hAnsiTheme="majorBidi" w:cstheme="majorBidi"/>
        </w:rPr>
        <w:t xml:space="preserve"> tiesību un pilnvaru </w:t>
      </w:r>
      <w:r w:rsidR="00E30EDD">
        <w:rPr>
          <w:rFonts w:asciiTheme="majorBidi" w:hAnsiTheme="majorBidi" w:cstheme="majorBidi"/>
        </w:rPr>
        <w:t xml:space="preserve">robežu </w:t>
      </w:r>
      <w:r w:rsidR="0018366A">
        <w:rPr>
          <w:rFonts w:asciiTheme="majorBidi" w:hAnsiTheme="majorBidi" w:cstheme="majorBidi"/>
        </w:rPr>
        <w:t xml:space="preserve">acīmredzamai </w:t>
      </w:r>
      <w:r w:rsidR="00B333B5" w:rsidRPr="00765CCB">
        <w:rPr>
          <w:rFonts w:asciiTheme="majorBidi" w:hAnsiTheme="majorBidi" w:cstheme="majorBidi"/>
        </w:rPr>
        <w:t>pārsniegšan</w:t>
      </w:r>
      <w:r w:rsidR="009E40CF">
        <w:rPr>
          <w:rFonts w:asciiTheme="majorBidi" w:hAnsiTheme="majorBidi" w:cstheme="majorBidi"/>
        </w:rPr>
        <w:t>a</w:t>
      </w:r>
      <w:r w:rsidR="00646B2D">
        <w:rPr>
          <w:rFonts w:asciiTheme="majorBidi" w:hAnsiTheme="majorBidi" w:cstheme="majorBidi"/>
        </w:rPr>
        <w:t>i</w:t>
      </w:r>
      <w:r w:rsidR="00B333B5">
        <w:rPr>
          <w:rFonts w:asciiTheme="majorBidi" w:hAnsiTheme="majorBidi" w:cstheme="majorBidi"/>
        </w:rPr>
        <w:t>.</w:t>
      </w:r>
    </w:p>
    <w:p w14:paraId="55A03DE0" w14:textId="6E7D2061" w:rsidR="004A1072" w:rsidRDefault="00C20695" w:rsidP="00D10AD6">
      <w:pPr>
        <w:widowControl w:val="0"/>
        <w:spacing w:line="276" w:lineRule="auto"/>
        <w:ind w:firstLine="720"/>
        <w:jc w:val="both"/>
      </w:pPr>
      <w:r>
        <w:t xml:space="preserve">Tāpat </w:t>
      </w:r>
      <w:r w:rsidR="009E40CF">
        <w:t>S</w:t>
      </w:r>
      <w:r w:rsidR="004A1072">
        <w:t xml:space="preserve">enāts vērš uzmanību uz to, ka </w:t>
      </w:r>
      <w:r w:rsidR="004A1072" w:rsidRPr="0092630E">
        <w:t xml:space="preserve">no tiesību normām, kas reglamentē tiesvedību kasācijas instances tiesā, izriet kasācijas instances tiesas uzdevums pārbaudīt to, vai zemākas </w:t>
      </w:r>
      <w:r w:rsidR="004A1072" w:rsidRPr="0092630E">
        <w:lastRenderedPageBreak/>
        <w:t>instances tiesas spriedums ir pareizs no tiesību normu piemērošanas viedokļa. Senāts vēlreiz neizskata lietu pēc būtības. Līdz ar to Senātam</w:t>
      </w:r>
      <w:r w:rsidR="004A1072" w:rsidRPr="00B47AF1">
        <w:t xml:space="preserve"> nav jāpievēršas lietas gaitā minētajiem argumentiem un jāpārbauda to pamatotība, jo </w:t>
      </w:r>
      <w:r w:rsidR="007C628D">
        <w:t>šādā gadījumā</w:t>
      </w:r>
      <w:r w:rsidR="007C628D" w:rsidRPr="00B47AF1">
        <w:t xml:space="preserve"> </w:t>
      </w:r>
      <w:r w:rsidR="004A1072" w:rsidRPr="00B47AF1">
        <w:t xml:space="preserve">Senāts lietu izskatītu pēc būtības. </w:t>
      </w:r>
      <w:r w:rsidR="007C628D">
        <w:t>Tas nozīmē, ka v</w:t>
      </w:r>
      <w:r w:rsidR="004A1072" w:rsidRPr="00B47AF1">
        <w:t>isi argumenti, kas pamato zemākas instances tiesas sprieduma neatbilstību tiesību normām, ir jānorāda kasācijas sūdzībā</w:t>
      </w:r>
      <w:r w:rsidR="004A1072">
        <w:t xml:space="preserve"> (protestā)</w:t>
      </w:r>
      <w:r w:rsidR="004A1072" w:rsidRPr="00B47AF1">
        <w:t xml:space="preserve">. Pretējā gadījumā Senātam nav pamata pievērsties jebkādu citu argumentu pārbaudei un apšaubīt tiesas sprieduma tiesiskumu uz tādu argumentu pamata, kas ir izteikti pirms paša </w:t>
      </w:r>
      <w:r w:rsidR="004A1072">
        <w:t>nolēmuma</w:t>
      </w:r>
      <w:r w:rsidR="004A1072" w:rsidRPr="00B47AF1">
        <w:t xml:space="preserve"> pieņemšanas. Līdz ar to bez ievērības ir atstājama, piemēram, norāde, ka kasācijas sūdzībā </w:t>
      </w:r>
      <w:r w:rsidR="004A1072">
        <w:t xml:space="preserve">(protestā) </w:t>
      </w:r>
      <w:r w:rsidR="004A1072" w:rsidRPr="00B47AF1">
        <w:t>tiek uzturēti arī tādi argumenti, kas izteikti lietas gaitā (</w:t>
      </w:r>
      <w:r w:rsidR="004A1072" w:rsidRPr="00F0475F">
        <w:rPr>
          <w:rFonts w:eastAsia="Aptos"/>
          <w:kern w:val="2"/>
          <w14:ligatures w14:val="standardContextual"/>
        </w:rPr>
        <w:t>sk</w:t>
      </w:r>
      <w:r w:rsidR="004A1072" w:rsidRPr="0092630E">
        <w:rPr>
          <w:rFonts w:eastAsia="Aptos"/>
          <w:i/>
          <w:iCs/>
          <w:kern w:val="2"/>
          <w14:ligatures w14:val="standardContextual"/>
        </w:rPr>
        <w:t>.</w:t>
      </w:r>
      <w:r w:rsidR="00B545B9">
        <w:rPr>
          <w:rFonts w:eastAsia="Aptos"/>
          <w:i/>
          <w:iCs/>
          <w:kern w:val="2"/>
          <w14:ligatures w14:val="standardContextual"/>
        </w:rPr>
        <w:t> </w:t>
      </w:r>
      <w:r w:rsidR="004E5FF8">
        <w:rPr>
          <w:rFonts w:eastAsia="Aptos"/>
          <w:kern w:val="2"/>
          <w14:ligatures w14:val="standardContextual"/>
        </w:rPr>
        <w:t>sal.</w:t>
      </w:r>
      <w:r w:rsidR="004A1072" w:rsidRPr="0092630E">
        <w:rPr>
          <w:rFonts w:eastAsia="Aptos"/>
          <w:i/>
          <w:iCs/>
          <w:kern w:val="2"/>
          <w14:ligatures w14:val="standardContextual"/>
        </w:rPr>
        <w:t xml:space="preserve"> </w:t>
      </w:r>
      <w:r w:rsidR="004A1072" w:rsidRPr="0092630E">
        <w:rPr>
          <w:i/>
          <w:iCs/>
        </w:rPr>
        <w:t>Senāta 2023. gada 31. oktobra sprieduma lietā Nr. SKA-4/2023</w:t>
      </w:r>
      <w:r w:rsidR="007E3A04" w:rsidRPr="005334DE">
        <w:rPr>
          <w:i/>
          <w:iCs/>
        </w:rPr>
        <w:t xml:space="preserve">, </w:t>
      </w:r>
      <w:hyperlink r:id="rId21" w:history="1">
        <w:r w:rsidR="004A1072" w:rsidRPr="005334DE">
          <w:rPr>
            <w:rStyle w:val="Hyperlink"/>
            <w:rFonts w:eastAsiaTheme="minorHAnsi"/>
            <w:i/>
            <w:iCs/>
            <w:color w:val="auto"/>
            <w:u w:val="none"/>
            <w:lang w:eastAsia="en-US"/>
          </w:rPr>
          <w:t>ECLI:LV:AT:2023:1031.A43008017.12.S</w:t>
        </w:r>
      </w:hyperlink>
      <w:r w:rsidR="007E3A04">
        <w:rPr>
          <w:b/>
          <w:i/>
          <w:iCs/>
        </w:rPr>
        <w:t>,</w:t>
      </w:r>
      <w:r w:rsidR="004A1072" w:rsidRPr="0092630E">
        <w:rPr>
          <w:i/>
          <w:iCs/>
        </w:rPr>
        <w:t xml:space="preserve"> 25.</w:t>
      </w:r>
      <w:r w:rsidR="00F0475F">
        <w:rPr>
          <w:i/>
          <w:iCs/>
        </w:rPr>
        <w:t> </w:t>
      </w:r>
      <w:r w:rsidR="004A1072" w:rsidRPr="0092630E">
        <w:rPr>
          <w:i/>
          <w:iCs/>
        </w:rPr>
        <w:t>punkt</w:t>
      </w:r>
      <w:r w:rsidR="004E5FF8">
        <w:rPr>
          <w:i/>
          <w:iCs/>
        </w:rPr>
        <w:t>u</w:t>
      </w:r>
      <w:r w:rsidR="004A1072" w:rsidRPr="0092630E">
        <w:t>).</w:t>
      </w:r>
    </w:p>
    <w:p w14:paraId="5F81305D" w14:textId="28014B16" w:rsidR="0018366A" w:rsidRPr="005C178D" w:rsidRDefault="006D4545" w:rsidP="0018366A">
      <w:pPr>
        <w:spacing w:after="10" w:line="276" w:lineRule="auto"/>
        <w:ind w:right="6" w:firstLine="720"/>
        <w:jc w:val="both"/>
      </w:pPr>
      <w:r>
        <w:t>[</w:t>
      </w:r>
      <w:r w:rsidR="00137820">
        <w:t>8.</w:t>
      </w:r>
      <w:r w:rsidR="004A6ABC">
        <w:t>3</w:t>
      </w:r>
      <w:r w:rsidR="00137820">
        <w:t>.</w:t>
      </w:r>
      <w:r w:rsidR="004534CD">
        <w:t>5</w:t>
      </w:r>
      <w:r>
        <w:t>]</w:t>
      </w:r>
      <w:r w:rsidR="00F32893">
        <w:t> </w:t>
      </w:r>
      <w:r w:rsidR="0035622F">
        <w:t>Senāts atzīst, ka prokurora kasācijas protestā ietvertā norād</w:t>
      </w:r>
      <w:r w:rsidR="0035622F" w:rsidRPr="0018366A">
        <w:t>e</w:t>
      </w:r>
      <w:r w:rsidR="0018366A" w:rsidRPr="005C178D">
        <w:t xml:space="preserve"> par to, ka tiesa apsūdzību ir grozījusi uz smagāku</w:t>
      </w:r>
      <w:r w:rsidR="0018366A">
        <w:t xml:space="preserve"> </w:t>
      </w:r>
      <w:r w:rsidR="0018366A">
        <w:rPr>
          <w:rFonts w:asciiTheme="majorBidi" w:hAnsiTheme="majorBidi" w:cstheme="majorBidi"/>
        </w:rPr>
        <w:t>i</w:t>
      </w:r>
      <w:r w:rsidR="0018366A" w:rsidRPr="0018366A">
        <w:rPr>
          <w:rFonts w:asciiTheme="majorBidi" w:hAnsiTheme="majorBidi" w:cstheme="majorBidi"/>
        </w:rPr>
        <w:t>r nepamatota, jo tiesa apsūdzētos viņiem celtajā apsūdzībā ir attaisnojusi</w:t>
      </w:r>
      <w:r w:rsidR="0018366A">
        <w:rPr>
          <w:rFonts w:asciiTheme="majorBidi" w:hAnsiTheme="majorBidi" w:cstheme="majorBidi"/>
        </w:rPr>
        <w:t>.</w:t>
      </w:r>
    </w:p>
    <w:p w14:paraId="40581666" w14:textId="122CE016" w:rsidR="00CE3BD5" w:rsidRDefault="00E668F8" w:rsidP="00D10AD6">
      <w:pPr>
        <w:widowControl w:val="0"/>
        <w:spacing w:line="276" w:lineRule="auto"/>
        <w:ind w:firstLine="709"/>
        <w:jc w:val="both"/>
      </w:pPr>
      <w:r>
        <w:rPr>
          <w:rFonts w:asciiTheme="majorBidi" w:hAnsiTheme="majorBidi" w:cstheme="majorBidi"/>
        </w:rPr>
        <w:t xml:space="preserve">Rezumējot minēto, </w:t>
      </w:r>
      <w:r w:rsidR="00CE3BD5">
        <w:t>Senāts konstatē, ka prokurora protestā ietvertās norādes par apelācijas instances tiesas pieļautiem Krimināllikuma un Kriminālprocesa likuma pārkāpumiem nav guvušas apstiprinājumu.</w:t>
      </w:r>
    </w:p>
    <w:p w14:paraId="2BC0D78C" w14:textId="77777777" w:rsidR="00E668F8" w:rsidRDefault="00E668F8" w:rsidP="00D10AD6">
      <w:pPr>
        <w:widowControl w:val="0"/>
        <w:spacing w:line="276" w:lineRule="auto"/>
        <w:ind w:firstLine="709"/>
        <w:jc w:val="both"/>
      </w:pPr>
    </w:p>
    <w:bookmarkEnd w:id="3"/>
    <w:bookmarkEnd w:id="6"/>
    <w:p w14:paraId="0F83904A" w14:textId="412B000C" w:rsidR="00E8590F" w:rsidRDefault="00E8590F" w:rsidP="00D10AD6">
      <w:pPr>
        <w:widowControl w:val="0"/>
        <w:shd w:val="clear" w:color="auto" w:fill="FFFFFF"/>
        <w:spacing w:line="276" w:lineRule="auto"/>
        <w:jc w:val="center"/>
        <w:rPr>
          <w:b/>
        </w:rPr>
      </w:pPr>
      <w:r w:rsidRPr="00847F44">
        <w:rPr>
          <w:b/>
        </w:rPr>
        <w:t>Rezolutīvā daļa</w:t>
      </w:r>
    </w:p>
    <w:p w14:paraId="57BE0483" w14:textId="77777777" w:rsidR="00D10AD6" w:rsidRPr="00847F44" w:rsidRDefault="00D10AD6" w:rsidP="00D10AD6">
      <w:pPr>
        <w:widowControl w:val="0"/>
        <w:shd w:val="clear" w:color="auto" w:fill="FFFFFF"/>
        <w:spacing w:line="276" w:lineRule="auto"/>
        <w:jc w:val="center"/>
        <w:rPr>
          <w:b/>
        </w:rPr>
      </w:pPr>
    </w:p>
    <w:p w14:paraId="45430D8C" w14:textId="0FAF8D20" w:rsidR="00E8590F" w:rsidRPr="00295063" w:rsidRDefault="00E8590F" w:rsidP="00D10AD6">
      <w:pPr>
        <w:widowControl w:val="0"/>
        <w:spacing w:line="276" w:lineRule="auto"/>
        <w:ind w:firstLine="720"/>
        <w:jc w:val="both"/>
      </w:pPr>
      <w:r w:rsidRPr="00F765F8">
        <w:t>Pamatojoties uz Kriminālprocesa likuma 585.</w:t>
      </w:r>
      <w:r w:rsidR="007120B6">
        <w:t xml:space="preserve"> pantu</w:t>
      </w:r>
      <w:r w:rsidRPr="00F765F8">
        <w:t xml:space="preserve"> un </w:t>
      </w:r>
      <w:r w:rsidRPr="00295063">
        <w:t xml:space="preserve">587. panta </w:t>
      </w:r>
      <w:r w:rsidR="00295063">
        <w:t xml:space="preserve">pirmās daļas </w:t>
      </w:r>
      <w:r w:rsidR="00AE1EED" w:rsidRPr="00295063">
        <w:t>1</w:t>
      </w:r>
      <w:r w:rsidRPr="00295063">
        <w:t>.</w:t>
      </w:r>
      <w:r w:rsidR="007120B6" w:rsidRPr="00295063">
        <w:t xml:space="preserve"> un </w:t>
      </w:r>
      <w:r w:rsidR="00AE1EED" w:rsidRPr="00295063">
        <w:t>3</w:t>
      </w:r>
      <w:r w:rsidR="007120B6" w:rsidRPr="00295063">
        <w:t>.</w:t>
      </w:r>
      <w:r w:rsidRPr="00295063">
        <w:t> punktu, Senāts</w:t>
      </w:r>
    </w:p>
    <w:p w14:paraId="0F956FCF" w14:textId="77777777" w:rsidR="00E8590F" w:rsidRDefault="00E8590F" w:rsidP="00D10AD6">
      <w:pPr>
        <w:widowControl w:val="0"/>
        <w:shd w:val="clear" w:color="auto" w:fill="FFFFFF"/>
        <w:spacing w:line="276" w:lineRule="auto"/>
        <w:jc w:val="center"/>
        <w:rPr>
          <w:b/>
        </w:rPr>
      </w:pPr>
    </w:p>
    <w:p w14:paraId="72EF0CB9" w14:textId="77777777" w:rsidR="00E8590F" w:rsidRDefault="00E8590F" w:rsidP="00D10AD6">
      <w:pPr>
        <w:widowControl w:val="0"/>
        <w:shd w:val="clear" w:color="auto" w:fill="FFFFFF"/>
        <w:spacing w:line="276" w:lineRule="auto"/>
        <w:jc w:val="center"/>
        <w:rPr>
          <w:b/>
        </w:rPr>
      </w:pPr>
      <w:r w:rsidRPr="00A53E41">
        <w:rPr>
          <w:b/>
        </w:rPr>
        <w:t>no</w:t>
      </w:r>
      <w:r>
        <w:rPr>
          <w:b/>
        </w:rPr>
        <w:t>lēma</w:t>
      </w:r>
    </w:p>
    <w:p w14:paraId="57C7FBB5" w14:textId="77777777" w:rsidR="00E8590F" w:rsidRPr="00A53E41" w:rsidRDefault="00E8590F" w:rsidP="00D10AD6">
      <w:pPr>
        <w:widowControl w:val="0"/>
        <w:shd w:val="clear" w:color="auto" w:fill="FFFFFF"/>
        <w:spacing w:line="276" w:lineRule="auto"/>
        <w:jc w:val="center"/>
        <w:rPr>
          <w:b/>
        </w:rPr>
      </w:pPr>
    </w:p>
    <w:p w14:paraId="2048947D" w14:textId="31DE9D51" w:rsidR="007F08F1" w:rsidRPr="00295063" w:rsidRDefault="007F08F1" w:rsidP="00D10AD6">
      <w:pPr>
        <w:widowControl w:val="0"/>
        <w:spacing w:line="276" w:lineRule="auto"/>
        <w:ind w:firstLine="709"/>
        <w:jc w:val="both"/>
        <w:rPr>
          <w:bCs/>
        </w:rPr>
      </w:pPr>
      <w:r>
        <w:rPr>
          <w:bCs/>
        </w:rPr>
        <w:t>atcelt Latgales</w:t>
      </w:r>
      <w:r w:rsidRPr="00C15E51">
        <w:rPr>
          <w:bCs/>
        </w:rPr>
        <w:t xml:space="preserve"> apgabaltiesas 202</w:t>
      </w:r>
      <w:r>
        <w:rPr>
          <w:bCs/>
        </w:rPr>
        <w:t>4</w:t>
      </w:r>
      <w:r w:rsidRPr="00C15E51">
        <w:rPr>
          <w:bCs/>
        </w:rPr>
        <w:t>.</w:t>
      </w:r>
      <w:r>
        <w:rPr>
          <w:bCs/>
        </w:rPr>
        <w:t> </w:t>
      </w:r>
      <w:r w:rsidRPr="00C15E51">
        <w:rPr>
          <w:bCs/>
        </w:rPr>
        <w:t xml:space="preserve">gada </w:t>
      </w:r>
      <w:r>
        <w:rPr>
          <w:bCs/>
        </w:rPr>
        <w:t>4</w:t>
      </w:r>
      <w:r w:rsidRPr="00C15E51">
        <w:rPr>
          <w:bCs/>
        </w:rPr>
        <w:t>.</w:t>
      </w:r>
      <w:r w:rsidR="00D10AD6">
        <w:rPr>
          <w:bCs/>
        </w:rPr>
        <w:t> </w:t>
      </w:r>
      <w:r>
        <w:rPr>
          <w:bCs/>
        </w:rPr>
        <w:t>aprīļa</w:t>
      </w:r>
      <w:r w:rsidRPr="00C15E51">
        <w:rPr>
          <w:bCs/>
        </w:rPr>
        <w:t xml:space="preserve"> </w:t>
      </w:r>
      <w:r>
        <w:rPr>
          <w:bCs/>
        </w:rPr>
        <w:t>blakus lēmumu</w:t>
      </w:r>
      <w:r w:rsidRPr="00295063">
        <w:rPr>
          <w:bCs/>
        </w:rPr>
        <w:t>;</w:t>
      </w:r>
    </w:p>
    <w:p w14:paraId="41C43BB0" w14:textId="521E88D9" w:rsidR="00AE1EED" w:rsidRPr="00AE1EED" w:rsidRDefault="00D10AD6" w:rsidP="00D10AD6">
      <w:pPr>
        <w:widowControl w:val="0"/>
        <w:spacing w:line="276" w:lineRule="auto"/>
        <w:ind w:firstLine="709"/>
        <w:jc w:val="both"/>
      </w:pPr>
      <w:r>
        <w:t xml:space="preserve">atstāt negrozītu Latgales apgabaltiesas 2024. gada 4. aprīļa lēmumu, bet </w:t>
      </w:r>
      <w:r w:rsidR="00AE1EED" w:rsidRPr="00AE1EED">
        <w:rPr>
          <w:bCs/>
        </w:rPr>
        <w:t>Rīgas tiesas apgabala prokuratūras prokurora J. Baumaņa kasācijas protestu noraidīt.</w:t>
      </w:r>
    </w:p>
    <w:p w14:paraId="2E103B2D" w14:textId="77777777" w:rsidR="00E8590F" w:rsidRDefault="00E8590F" w:rsidP="00D10AD6">
      <w:pPr>
        <w:widowControl w:val="0"/>
        <w:spacing w:line="276" w:lineRule="auto"/>
        <w:ind w:firstLine="709"/>
      </w:pPr>
    </w:p>
    <w:p w14:paraId="3FBB00D1" w14:textId="77777777" w:rsidR="00E8590F" w:rsidRDefault="00E8590F" w:rsidP="00D10AD6">
      <w:pPr>
        <w:widowControl w:val="0"/>
        <w:spacing w:line="276" w:lineRule="auto"/>
        <w:ind w:firstLine="720"/>
        <w:jc w:val="both"/>
      </w:pPr>
      <w:r w:rsidRPr="00F765F8">
        <w:t>Lēmums nav pārsūdzams.</w:t>
      </w:r>
    </w:p>
    <w:p w14:paraId="1307CDFB" w14:textId="77777777" w:rsidR="006300E8" w:rsidRDefault="006300E8" w:rsidP="00D10AD6">
      <w:pPr>
        <w:widowControl w:val="0"/>
        <w:spacing w:line="276" w:lineRule="auto"/>
      </w:pPr>
    </w:p>
    <w:sectPr w:rsidR="006300E8" w:rsidSect="00E8590F">
      <w:footerReference w:type="default" r:id="rId2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FB31A" w14:textId="77777777" w:rsidR="009D6D5B" w:rsidRDefault="009D6D5B" w:rsidP="009D6D5B">
      <w:r>
        <w:separator/>
      </w:r>
    </w:p>
  </w:endnote>
  <w:endnote w:type="continuationSeparator" w:id="0">
    <w:p w14:paraId="0D782F57" w14:textId="77777777" w:rsidR="009D6D5B" w:rsidRDefault="009D6D5B" w:rsidP="009D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942139"/>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31DFFD80" w14:textId="3F74A61B" w:rsidR="00642A86" w:rsidRDefault="00642A86" w:rsidP="00642A86">
            <w:pPr>
              <w:pStyle w:val="Footer"/>
              <w:jc w:val="center"/>
            </w:pPr>
            <w:r w:rsidRPr="00642A86">
              <w:rPr>
                <w:sz w:val="20"/>
                <w:szCs w:val="20"/>
              </w:rPr>
              <w:fldChar w:fldCharType="begin"/>
            </w:r>
            <w:r w:rsidRPr="00642A86">
              <w:rPr>
                <w:sz w:val="20"/>
                <w:szCs w:val="20"/>
              </w:rPr>
              <w:instrText xml:space="preserve"> PAGE </w:instrText>
            </w:r>
            <w:r w:rsidRPr="00642A86">
              <w:rPr>
                <w:sz w:val="20"/>
                <w:szCs w:val="20"/>
              </w:rPr>
              <w:fldChar w:fldCharType="separate"/>
            </w:r>
            <w:r w:rsidRPr="00642A86">
              <w:rPr>
                <w:noProof/>
                <w:sz w:val="20"/>
                <w:szCs w:val="20"/>
              </w:rPr>
              <w:t>2</w:t>
            </w:r>
            <w:r w:rsidRPr="00642A86">
              <w:rPr>
                <w:sz w:val="20"/>
                <w:szCs w:val="20"/>
              </w:rPr>
              <w:fldChar w:fldCharType="end"/>
            </w:r>
            <w:r w:rsidRPr="00642A86">
              <w:rPr>
                <w:sz w:val="20"/>
                <w:szCs w:val="20"/>
              </w:rPr>
              <w:t xml:space="preserve"> no </w:t>
            </w:r>
            <w:r w:rsidRPr="00642A86">
              <w:rPr>
                <w:sz w:val="20"/>
                <w:szCs w:val="20"/>
              </w:rPr>
              <w:fldChar w:fldCharType="begin"/>
            </w:r>
            <w:r w:rsidRPr="00642A86">
              <w:rPr>
                <w:sz w:val="20"/>
                <w:szCs w:val="20"/>
              </w:rPr>
              <w:instrText xml:space="preserve"> NUMPAGES  </w:instrText>
            </w:r>
            <w:r w:rsidRPr="00642A86">
              <w:rPr>
                <w:sz w:val="20"/>
                <w:szCs w:val="20"/>
              </w:rPr>
              <w:fldChar w:fldCharType="separate"/>
            </w:r>
            <w:r w:rsidRPr="00642A86">
              <w:rPr>
                <w:noProof/>
                <w:sz w:val="20"/>
                <w:szCs w:val="20"/>
              </w:rPr>
              <w:t>2</w:t>
            </w:r>
            <w:r w:rsidRPr="00642A86">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3C604" w14:textId="77777777" w:rsidR="009D6D5B" w:rsidRDefault="009D6D5B" w:rsidP="009D6D5B">
      <w:r>
        <w:separator/>
      </w:r>
    </w:p>
  </w:footnote>
  <w:footnote w:type="continuationSeparator" w:id="0">
    <w:p w14:paraId="4F1CD330" w14:textId="77777777" w:rsidR="009D6D5B" w:rsidRDefault="009D6D5B" w:rsidP="009D6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D1D75"/>
    <w:multiLevelType w:val="hybridMultilevel"/>
    <w:tmpl w:val="71FC3818"/>
    <w:lvl w:ilvl="0" w:tplc="37A402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C0212F3"/>
    <w:multiLevelType w:val="multilevel"/>
    <w:tmpl w:val="1CE60E20"/>
    <w:lvl w:ilvl="0">
      <w:start w:val="1"/>
      <w:numFmt w:val="bullet"/>
      <w:lvlText w:val=""/>
      <w:lvlJc w:val="left"/>
      <w:pPr>
        <w:tabs>
          <w:tab w:val="num" w:pos="720"/>
        </w:tabs>
        <w:ind w:left="720" w:hanging="360"/>
      </w:pPr>
      <w:rPr>
        <w:rFonts w:ascii="Symbol" w:hAnsi="Symbol" w:hint="default"/>
        <w:sz w:val="20"/>
        <w:lang w:val="lv-LV"/>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76AEA"/>
    <w:multiLevelType w:val="hybridMultilevel"/>
    <w:tmpl w:val="371E01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8298D"/>
    <w:multiLevelType w:val="hybridMultilevel"/>
    <w:tmpl w:val="9B4E9102"/>
    <w:lvl w:ilvl="0" w:tplc="85E651A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6931D5"/>
    <w:multiLevelType w:val="hybridMultilevel"/>
    <w:tmpl w:val="69D0BF7E"/>
    <w:lvl w:ilvl="0" w:tplc="F9167E02">
      <w:start w:val="1"/>
      <w:numFmt w:val="bullet"/>
      <w:pStyle w:val="ML-5tx-pti"/>
      <w:lvlText w:val=""/>
      <w:lvlJc w:val="left"/>
      <w:pPr>
        <w:ind w:left="1856" w:hanging="360"/>
      </w:pPr>
      <w:rPr>
        <w:rFonts w:ascii="Symbol" w:hAnsi="Symbol" w:hint="default"/>
      </w:rPr>
    </w:lvl>
    <w:lvl w:ilvl="1" w:tplc="04260003">
      <w:start w:val="1"/>
      <w:numFmt w:val="bullet"/>
      <w:lvlText w:val="o"/>
      <w:lvlJc w:val="left"/>
      <w:pPr>
        <w:ind w:left="2576" w:hanging="360"/>
      </w:pPr>
      <w:rPr>
        <w:rFonts w:ascii="Courier New" w:hAnsi="Courier New" w:cs="Courier New" w:hint="default"/>
      </w:rPr>
    </w:lvl>
    <w:lvl w:ilvl="2" w:tplc="04260005" w:tentative="1">
      <w:start w:val="1"/>
      <w:numFmt w:val="bullet"/>
      <w:lvlText w:val=""/>
      <w:lvlJc w:val="left"/>
      <w:pPr>
        <w:ind w:left="3296" w:hanging="360"/>
      </w:pPr>
      <w:rPr>
        <w:rFonts w:ascii="Wingdings" w:hAnsi="Wingdings" w:hint="default"/>
      </w:rPr>
    </w:lvl>
    <w:lvl w:ilvl="3" w:tplc="04260001" w:tentative="1">
      <w:start w:val="1"/>
      <w:numFmt w:val="bullet"/>
      <w:lvlText w:val=""/>
      <w:lvlJc w:val="left"/>
      <w:pPr>
        <w:ind w:left="4016" w:hanging="360"/>
      </w:pPr>
      <w:rPr>
        <w:rFonts w:ascii="Symbol" w:hAnsi="Symbol" w:hint="default"/>
      </w:rPr>
    </w:lvl>
    <w:lvl w:ilvl="4" w:tplc="04260003" w:tentative="1">
      <w:start w:val="1"/>
      <w:numFmt w:val="bullet"/>
      <w:lvlText w:val="o"/>
      <w:lvlJc w:val="left"/>
      <w:pPr>
        <w:ind w:left="4736" w:hanging="360"/>
      </w:pPr>
      <w:rPr>
        <w:rFonts w:ascii="Courier New" w:hAnsi="Courier New" w:cs="Courier New" w:hint="default"/>
      </w:rPr>
    </w:lvl>
    <w:lvl w:ilvl="5" w:tplc="04260005" w:tentative="1">
      <w:start w:val="1"/>
      <w:numFmt w:val="bullet"/>
      <w:lvlText w:val=""/>
      <w:lvlJc w:val="left"/>
      <w:pPr>
        <w:ind w:left="5456" w:hanging="360"/>
      </w:pPr>
      <w:rPr>
        <w:rFonts w:ascii="Wingdings" w:hAnsi="Wingdings" w:hint="default"/>
      </w:rPr>
    </w:lvl>
    <w:lvl w:ilvl="6" w:tplc="04260001" w:tentative="1">
      <w:start w:val="1"/>
      <w:numFmt w:val="bullet"/>
      <w:lvlText w:val=""/>
      <w:lvlJc w:val="left"/>
      <w:pPr>
        <w:ind w:left="6176" w:hanging="360"/>
      </w:pPr>
      <w:rPr>
        <w:rFonts w:ascii="Symbol" w:hAnsi="Symbol" w:hint="default"/>
      </w:rPr>
    </w:lvl>
    <w:lvl w:ilvl="7" w:tplc="04260003" w:tentative="1">
      <w:start w:val="1"/>
      <w:numFmt w:val="bullet"/>
      <w:lvlText w:val="o"/>
      <w:lvlJc w:val="left"/>
      <w:pPr>
        <w:ind w:left="6896" w:hanging="360"/>
      </w:pPr>
      <w:rPr>
        <w:rFonts w:ascii="Courier New" w:hAnsi="Courier New" w:cs="Courier New" w:hint="default"/>
      </w:rPr>
    </w:lvl>
    <w:lvl w:ilvl="8" w:tplc="04260005" w:tentative="1">
      <w:start w:val="1"/>
      <w:numFmt w:val="bullet"/>
      <w:lvlText w:val=""/>
      <w:lvlJc w:val="left"/>
      <w:pPr>
        <w:ind w:left="7616" w:hanging="360"/>
      </w:pPr>
      <w:rPr>
        <w:rFonts w:ascii="Wingdings" w:hAnsi="Wingdings" w:hint="default"/>
      </w:rPr>
    </w:lvl>
  </w:abstractNum>
  <w:abstractNum w:abstractNumId="5" w15:restartNumberingAfterBreak="0">
    <w:nsid w:val="73E15ABD"/>
    <w:multiLevelType w:val="hybridMultilevel"/>
    <w:tmpl w:val="54688C72"/>
    <w:lvl w:ilvl="0" w:tplc="92E025EC">
      <w:start w:val="3"/>
      <w:numFmt w:val="decimal"/>
      <w:lvlText w:val="%1)"/>
      <w:lvlJc w:val="left"/>
      <w:pPr>
        <w:ind w:left="1080" w:hanging="360"/>
      </w:pPr>
      <w:rPr>
        <w:rFonts w:eastAsia="Apto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FE0659"/>
    <w:multiLevelType w:val="hybridMultilevel"/>
    <w:tmpl w:val="6602F898"/>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757190">
    <w:abstractNumId w:val="0"/>
  </w:num>
  <w:num w:numId="2" w16cid:durableId="182745351">
    <w:abstractNumId w:val="5"/>
  </w:num>
  <w:num w:numId="3" w16cid:durableId="1334138631">
    <w:abstractNumId w:val="6"/>
  </w:num>
  <w:num w:numId="4" w16cid:durableId="103816503">
    <w:abstractNumId w:val="4"/>
  </w:num>
  <w:num w:numId="5" w16cid:durableId="947781971">
    <w:abstractNumId w:val="3"/>
  </w:num>
  <w:num w:numId="6" w16cid:durableId="2069836748">
    <w:abstractNumId w:val="1"/>
  </w:num>
  <w:num w:numId="7" w16cid:durableId="967587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0F"/>
    <w:rsid w:val="00001821"/>
    <w:rsid w:val="00011172"/>
    <w:rsid w:val="000112A3"/>
    <w:rsid w:val="0001176E"/>
    <w:rsid w:val="00015B45"/>
    <w:rsid w:val="00017FD9"/>
    <w:rsid w:val="00033DE9"/>
    <w:rsid w:val="00040AF9"/>
    <w:rsid w:val="0004405B"/>
    <w:rsid w:val="0004530F"/>
    <w:rsid w:val="0005053B"/>
    <w:rsid w:val="00051915"/>
    <w:rsid w:val="00060F92"/>
    <w:rsid w:val="00063BD1"/>
    <w:rsid w:val="00063F2D"/>
    <w:rsid w:val="000653A5"/>
    <w:rsid w:val="000662F0"/>
    <w:rsid w:val="00067F01"/>
    <w:rsid w:val="00090BF3"/>
    <w:rsid w:val="00097494"/>
    <w:rsid w:val="000A0662"/>
    <w:rsid w:val="000A4D1E"/>
    <w:rsid w:val="000B33F6"/>
    <w:rsid w:val="000B4680"/>
    <w:rsid w:val="000B6CE1"/>
    <w:rsid w:val="000C21D3"/>
    <w:rsid w:val="000C32B9"/>
    <w:rsid w:val="000D0D79"/>
    <w:rsid w:val="000D6DAE"/>
    <w:rsid w:val="000E15A6"/>
    <w:rsid w:val="000E265B"/>
    <w:rsid w:val="000F25FF"/>
    <w:rsid w:val="00104A78"/>
    <w:rsid w:val="00110597"/>
    <w:rsid w:val="001138D5"/>
    <w:rsid w:val="00117FCD"/>
    <w:rsid w:val="00120170"/>
    <w:rsid w:val="0013116E"/>
    <w:rsid w:val="001337DB"/>
    <w:rsid w:val="00136D01"/>
    <w:rsid w:val="00137820"/>
    <w:rsid w:val="00143BFD"/>
    <w:rsid w:val="00145291"/>
    <w:rsid w:val="00157188"/>
    <w:rsid w:val="00163678"/>
    <w:rsid w:val="00170DCA"/>
    <w:rsid w:val="0018366A"/>
    <w:rsid w:val="001852F2"/>
    <w:rsid w:val="00190BB1"/>
    <w:rsid w:val="00191E7F"/>
    <w:rsid w:val="00192230"/>
    <w:rsid w:val="00193B92"/>
    <w:rsid w:val="001954DF"/>
    <w:rsid w:val="001A3592"/>
    <w:rsid w:val="001B2665"/>
    <w:rsid w:val="001B5A21"/>
    <w:rsid w:val="001C1A45"/>
    <w:rsid w:val="001C4D34"/>
    <w:rsid w:val="001C5EE1"/>
    <w:rsid w:val="001C64A9"/>
    <w:rsid w:val="001D3AAB"/>
    <w:rsid w:val="001D3D15"/>
    <w:rsid w:val="001E77FB"/>
    <w:rsid w:val="00204B80"/>
    <w:rsid w:val="00210774"/>
    <w:rsid w:val="00216F4D"/>
    <w:rsid w:val="00221B12"/>
    <w:rsid w:val="002267AD"/>
    <w:rsid w:val="002330AF"/>
    <w:rsid w:val="002462F6"/>
    <w:rsid w:val="002475D7"/>
    <w:rsid w:val="00247E9E"/>
    <w:rsid w:val="0026135C"/>
    <w:rsid w:val="00263D99"/>
    <w:rsid w:val="0027028D"/>
    <w:rsid w:val="002779F1"/>
    <w:rsid w:val="0028293D"/>
    <w:rsid w:val="002900FC"/>
    <w:rsid w:val="00295063"/>
    <w:rsid w:val="00295B91"/>
    <w:rsid w:val="002960CE"/>
    <w:rsid w:val="002A7264"/>
    <w:rsid w:val="002A78D1"/>
    <w:rsid w:val="002B2CD2"/>
    <w:rsid w:val="002B5671"/>
    <w:rsid w:val="002B5F8D"/>
    <w:rsid w:val="002B6672"/>
    <w:rsid w:val="002B7AC2"/>
    <w:rsid w:val="002C6C32"/>
    <w:rsid w:val="002D0A59"/>
    <w:rsid w:val="002D1E5C"/>
    <w:rsid w:val="002D2553"/>
    <w:rsid w:val="002D521B"/>
    <w:rsid w:val="002D676E"/>
    <w:rsid w:val="002D68C7"/>
    <w:rsid w:val="002D696D"/>
    <w:rsid w:val="002D76B9"/>
    <w:rsid w:val="002E28DF"/>
    <w:rsid w:val="002E3151"/>
    <w:rsid w:val="002F22AB"/>
    <w:rsid w:val="002F3101"/>
    <w:rsid w:val="003015DB"/>
    <w:rsid w:val="00305F2E"/>
    <w:rsid w:val="00306BE1"/>
    <w:rsid w:val="00311927"/>
    <w:rsid w:val="003136CC"/>
    <w:rsid w:val="003174E7"/>
    <w:rsid w:val="003215D7"/>
    <w:rsid w:val="00332487"/>
    <w:rsid w:val="00334A8A"/>
    <w:rsid w:val="00335349"/>
    <w:rsid w:val="00335E6D"/>
    <w:rsid w:val="003379B8"/>
    <w:rsid w:val="00342E23"/>
    <w:rsid w:val="00347BE1"/>
    <w:rsid w:val="0035622F"/>
    <w:rsid w:val="0035688E"/>
    <w:rsid w:val="00356BE8"/>
    <w:rsid w:val="0035764B"/>
    <w:rsid w:val="003A0128"/>
    <w:rsid w:val="003A4470"/>
    <w:rsid w:val="003A6F45"/>
    <w:rsid w:val="003B258A"/>
    <w:rsid w:val="003B2EA8"/>
    <w:rsid w:val="003D061A"/>
    <w:rsid w:val="003E017A"/>
    <w:rsid w:val="003E0369"/>
    <w:rsid w:val="003E2849"/>
    <w:rsid w:val="003E369C"/>
    <w:rsid w:val="003E4812"/>
    <w:rsid w:val="003E5896"/>
    <w:rsid w:val="003F4ADB"/>
    <w:rsid w:val="00403269"/>
    <w:rsid w:val="00411AD6"/>
    <w:rsid w:val="004150A7"/>
    <w:rsid w:val="004216C4"/>
    <w:rsid w:val="00423FFD"/>
    <w:rsid w:val="004316AC"/>
    <w:rsid w:val="004359B3"/>
    <w:rsid w:val="00452B0B"/>
    <w:rsid w:val="004534CD"/>
    <w:rsid w:val="0046152F"/>
    <w:rsid w:val="00465ADA"/>
    <w:rsid w:val="00471A2D"/>
    <w:rsid w:val="0047503D"/>
    <w:rsid w:val="00476F17"/>
    <w:rsid w:val="00477779"/>
    <w:rsid w:val="00482D32"/>
    <w:rsid w:val="004929BF"/>
    <w:rsid w:val="004A1072"/>
    <w:rsid w:val="004A3596"/>
    <w:rsid w:val="004A6ABC"/>
    <w:rsid w:val="004B22F1"/>
    <w:rsid w:val="004C226A"/>
    <w:rsid w:val="004C4189"/>
    <w:rsid w:val="004D3006"/>
    <w:rsid w:val="004E45D5"/>
    <w:rsid w:val="004E5FF8"/>
    <w:rsid w:val="004F2172"/>
    <w:rsid w:val="004F3A15"/>
    <w:rsid w:val="00500C8D"/>
    <w:rsid w:val="005027B9"/>
    <w:rsid w:val="00510E61"/>
    <w:rsid w:val="00513C3E"/>
    <w:rsid w:val="00513E3F"/>
    <w:rsid w:val="00517EDA"/>
    <w:rsid w:val="00521E5F"/>
    <w:rsid w:val="00523750"/>
    <w:rsid w:val="00531022"/>
    <w:rsid w:val="005334DE"/>
    <w:rsid w:val="00541E50"/>
    <w:rsid w:val="00544985"/>
    <w:rsid w:val="00544E7A"/>
    <w:rsid w:val="00550DE5"/>
    <w:rsid w:val="00553737"/>
    <w:rsid w:val="00554004"/>
    <w:rsid w:val="005569D8"/>
    <w:rsid w:val="00563A02"/>
    <w:rsid w:val="00565DF9"/>
    <w:rsid w:val="00567F2B"/>
    <w:rsid w:val="0058095B"/>
    <w:rsid w:val="00580C94"/>
    <w:rsid w:val="00580FD3"/>
    <w:rsid w:val="005837C7"/>
    <w:rsid w:val="00587D6B"/>
    <w:rsid w:val="005A02AA"/>
    <w:rsid w:val="005A08EF"/>
    <w:rsid w:val="005A246A"/>
    <w:rsid w:val="005A7164"/>
    <w:rsid w:val="005B1959"/>
    <w:rsid w:val="005B2E27"/>
    <w:rsid w:val="005C178D"/>
    <w:rsid w:val="005C1E8B"/>
    <w:rsid w:val="005C5DCA"/>
    <w:rsid w:val="005D440E"/>
    <w:rsid w:val="005D54A1"/>
    <w:rsid w:val="005F4471"/>
    <w:rsid w:val="005F5977"/>
    <w:rsid w:val="005F6A2C"/>
    <w:rsid w:val="005F6A5F"/>
    <w:rsid w:val="0060092A"/>
    <w:rsid w:val="006115CF"/>
    <w:rsid w:val="006300E8"/>
    <w:rsid w:val="00633EBD"/>
    <w:rsid w:val="00637398"/>
    <w:rsid w:val="00642A86"/>
    <w:rsid w:val="00646B2D"/>
    <w:rsid w:val="00647F6F"/>
    <w:rsid w:val="00651936"/>
    <w:rsid w:val="00654042"/>
    <w:rsid w:val="00655D02"/>
    <w:rsid w:val="00681271"/>
    <w:rsid w:val="0068142B"/>
    <w:rsid w:val="00681B47"/>
    <w:rsid w:val="00683E7F"/>
    <w:rsid w:val="00684ABF"/>
    <w:rsid w:val="0069481B"/>
    <w:rsid w:val="00696A34"/>
    <w:rsid w:val="00697C5A"/>
    <w:rsid w:val="006A7B61"/>
    <w:rsid w:val="006B1298"/>
    <w:rsid w:val="006B17D9"/>
    <w:rsid w:val="006B26D4"/>
    <w:rsid w:val="006C48DC"/>
    <w:rsid w:val="006D2299"/>
    <w:rsid w:val="006D42AC"/>
    <w:rsid w:val="006D4545"/>
    <w:rsid w:val="006D58E8"/>
    <w:rsid w:val="006E2D92"/>
    <w:rsid w:val="006E599D"/>
    <w:rsid w:val="006F3EB2"/>
    <w:rsid w:val="006F437E"/>
    <w:rsid w:val="006F7538"/>
    <w:rsid w:val="006F7DAA"/>
    <w:rsid w:val="007120B6"/>
    <w:rsid w:val="00726D84"/>
    <w:rsid w:val="0072762E"/>
    <w:rsid w:val="007334ED"/>
    <w:rsid w:val="00733AD9"/>
    <w:rsid w:val="00736508"/>
    <w:rsid w:val="0074368F"/>
    <w:rsid w:val="007510D6"/>
    <w:rsid w:val="007516D9"/>
    <w:rsid w:val="007557FE"/>
    <w:rsid w:val="00765CCB"/>
    <w:rsid w:val="0076642C"/>
    <w:rsid w:val="00770751"/>
    <w:rsid w:val="00780733"/>
    <w:rsid w:val="007903CB"/>
    <w:rsid w:val="00797323"/>
    <w:rsid w:val="00797D31"/>
    <w:rsid w:val="007A4103"/>
    <w:rsid w:val="007B432F"/>
    <w:rsid w:val="007B47DF"/>
    <w:rsid w:val="007B6F5A"/>
    <w:rsid w:val="007C628D"/>
    <w:rsid w:val="007D1492"/>
    <w:rsid w:val="007D5D34"/>
    <w:rsid w:val="007D671B"/>
    <w:rsid w:val="007D69B4"/>
    <w:rsid w:val="007E0E07"/>
    <w:rsid w:val="007E3A04"/>
    <w:rsid w:val="007E600C"/>
    <w:rsid w:val="007E6080"/>
    <w:rsid w:val="007E6787"/>
    <w:rsid w:val="007E7E52"/>
    <w:rsid w:val="007F08F1"/>
    <w:rsid w:val="007F5775"/>
    <w:rsid w:val="0080087A"/>
    <w:rsid w:val="00800F28"/>
    <w:rsid w:val="0080587A"/>
    <w:rsid w:val="00810483"/>
    <w:rsid w:val="00814A9D"/>
    <w:rsid w:val="00815DCD"/>
    <w:rsid w:val="00816C05"/>
    <w:rsid w:val="00821202"/>
    <w:rsid w:val="0082382B"/>
    <w:rsid w:val="008265E0"/>
    <w:rsid w:val="008301F4"/>
    <w:rsid w:val="00851C18"/>
    <w:rsid w:val="00854CC7"/>
    <w:rsid w:val="008560A6"/>
    <w:rsid w:val="0086123A"/>
    <w:rsid w:val="0086129D"/>
    <w:rsid w:val="00873773"/>
    <w:rsid w:val="00876D47"/>
    <w:rsid w:val="008806D8"/>
    <w:rsid w:val="00881A11"/>
    <w:rsid w:val="00882B41"/>
    <w:rsid w:val="008948AC"/>
    <w:rsid w:val="008A0525"/>
    <w:rsid w:val="008A1CE4"/>
    <w:rsid w:val="008A33BE"/>
    <w:rsid w:val="008A4CC5"/>
    <w:rsid w:val="008C3A71"/>
    <w:rsid w:val="008D7973"/>
    <w:rsid w:val="008E208E"/>
    <w:rsid w:val="008E6211"/>
    <w:rsid w:val="008F6DA6"/>
    <w:rsid w:val="00920804"/>
    <w:rsid w:val="00923C98"/>
    <w:rsid w:val="0092630E"/>
    <w:rsid w:val="00946C18"/>
    <w:rsid w:val="0095321E"/>
    <w:rsid w:val="00953845"/>
    <w:rsid w:val="00954201"/>
    <w:rsid w:val="00957BD9"/>
    <w:rsid w:val="009628D5"/>
    <w:rsid w:val="00967283"/>
    <w:rsid w:val="00972766"/>
    <w:rsid w:val="009728ED"/>
    <w:rsid w:val="00974E0F"/>
    <w:rsid w:val="00987001"/>
    <w:rsid w:val="00992361"/>
    <w:rsid w:val="009A37C8"/>
    <w:rsid w:val="009A7087"/>
    <w:rsid w:val="009C3F06"/>
    <w:rsid w:val="009C5C0A"/>
    <w:rsid w:val="009C7967"/>
    <w:rsid w:val="009D1489"/>
    <w:rsid w:val="009D671B"/>
    <w:rsid w:val="009D6D5B"/>
    <w:rsid w:val="009D74D7"/>
    <w:rsid w:val="009E03D0"/>
    <w:rsid w:val="009E2521"/>
    <w:rsid w:val="009E329C"/>
    <w:rsid w:val="009E40CF"/>
    <w:rsid w:val="009F05D2"/>
    <w:rsid w:val="009F08B5"/>
    <w:rsid w:val="009F2504"/>
    <w:rsid w:val="009F74A7"/>
    <w:rsid w:val="00A0051E"/>
    <w:rsid w:val="00A12102"/>
    <w:rsid w:val="00A15D88"/>
    <w:rsid w:val="00A23F0A"/>
    <w:rsid w:val="00A25CE1"/>
    <w:rsid w:val="00A26E46"/>
    <w:rsid w:val="00A31537"/>
    <w:rsid w:val="00A359D5"/>
    <w:rsid w:val="00A47610"/>
    <w:rsid w:val="00A54A13"/>
    <w:rsid w:val="00A551C2"/>
    <w:rsid w:val="00A55FC9"/>
    <w:rsid w:val="00A56346"/>
    <w:rsid w:val="00A621E1"/>
    <w:rsid w:val="00A7534C"/>
    <w:rsid w:val="00A8018C"/>
    <w:rsid w:val="00A86065"/>
    <w:rsid w:val="00A90A48"/>
    <w:rsid w:val="00A929D3"/>
    <w:rsid w:val="00AA045D"/>
    <w:rsid w:val="00AA34C2"/>
    <w:rsid w:val="00AB294B"/>
    <w:rsid w:val="00AB44C1"/>
    <w:rsid w:val="00AB4AE4"/>
    <w:rsid w:val="00AB756A"/>
    <w:rsid w:val="00AC318D"/>
    <w:rsid w:val="00AD0D47"/>
    <w:rsid w:val="00AD49B3"/>
    <w:rsid w:val="00AD514E"/>
    <w:rsid w:val="00AD612A"/>
    <w:rsid w:val="00AD6553"/>
    <w:rsid w:val="00AE1EED"/>
    <w:rsid w:val="00AE42C3"/>
    <w:rsid w:val="00AF45CA"/>
    <w:rsid w:val="00B16373"/>
    <w:rsid w:val="00B233D2"/>
    <w:rsid w:val="00B31E2B"/>
    <w:rsid w:val="00B333B5"/>
    <w:rsid w:val="00B362C1"/>
    <w:rsid w:val="00B4500B"/>
    <w:rsid w:val="00B47AF1"/>
    <w:rsid w:val="00B545B9"/>
    <w:rsid w:val="00B73536"/>
    <w:rsid w:val="00B740AE"/>
    <w:rsid w:val="00B74974"/>
    <w:rsid w:val="00B773A0"/>
    <w:rsid w:val="00B80561"/>
    <w:rsid w:val="00B85AC6"/>
    <w:rsid w:val="00B86DF6"/>
    <w:rsid w:val="00B87198"/>
    <w:rsid w:val="00B87A17"/>
    <w:rsid w:val="00B93C2D"/>
    <w:rsid w:val="00BC0712"/>
    <w:rsid w:val="00BC09AA"/>
    <w:rsid w:val="00BC1B93"/>
    <w:rsid w:val="00BC5D89"/>
    <w:rsid w:val="00BC74A8"/>
    <w:rsid w:val="00BD0D57"/>
    <w:rsid w:val="00BD11CD"/>
    <w:rsid w:val="00BD4B2D"/>
    <w:rsid w:val="00BD693E"/>
    <w:rsid w:val="00BE5FF9"/>
    <w:rsid w:val="00BE6179"/>
    <w:rsid w:val="00BE7D98"/>
    <w:rsid w:val="00BF1CA2"/>
    <w:rsid w:val="00BF4263"/>
    <w:rsid w:val="00BF53B8"/>
    <w:rsid w:val="00C01C34"/>
    <w:rsid w:val="00C04C00"/>
    <w:rsid w:val="00C076AC"/>
    <w:rsid w:val="00C11586"/>
    <w:rsid w:val="00C149DD"/>
    <w:rsid w:val="00C15E51"/>
    <w:rsid w:val="00C20695"/>
    <w:rsid w:val="00C25DE0"/>
    <w:rsid w:val="00C30F2B"/>
    <w:rsid w:val="00C3375D"/>
    <w:rsid w:val="00C36BA1"/>
    <w:rsid w:val="00C42D85"/>
    <w:rsid w:val="00C44A2F"/>
    <w:rsid w:val="00C51A5F"/>
    <w:rsid w:val="00C640C0"/>
    <w:rsid w:val="00C65AAB"/>
    <w:rsid w:val="00C735EA"/>
    <w:rsid w:val="00C777FB"/>
    <w:rsid w:val="00C77C91"/>
    <w:rsid w:val="00C77EC5"/>
    <w:rsid w:val="00C80071"/>
    <w:rsid w:val="00C80389"/>
    <w:rsid w:val="00C80E39"/>
    <w:rsid w:val="00C91C7E"/>
    <w:rsid w:val="00CA1311"/>
    <w:rsid w:val="00CA1B09"/>
    <w:rsid w:val="00CB0738"/>
    <w:rsid w:val="00CB23C2"/>
    <w:rsid w:val="00CB732A"/>
    <w:rsid w:val="00CC0006"/>
    <w:rsid w:val="00CC0DEA"/>
    <w:rsid w:val="00CD04C0"/>
    <w:rsid w:val="00CD2DC3"/>
    <w:rsid w:val="00CE2837"/>
    <w:rsid w:val="00CE2ED6"/>
    <w:rsid w:val="00CE3A32"/>
    <w:rsid w:val="00CE3BD5"/>
    <w:rsid w:val="00CE6517"/>
    <w:rsid w:val="00CE700E"/>
    <w:rsid w:val="00D10AD6"/>
    <w:rsid w:val="00D15A53"/>
    <w:rsid w:val="00D22ABE"/>
    <w:rsid w:val="00D34C8E"/>
    <w:rsid w:val="00D375EA"/>
    <w:rsid w:val="00D41816"/>
    <w:rsid w:val="00D46AB4"/>
    <w:rsid w:val="00D6174D"/>
    <w:rsid w:val="00D61EAF"/>
    <w:rsid w:val="00D62A73"/>
    <w:rsid w:val="00D66452"/>
    <w:rsid w:val="00D74D8C"/>
    <w:rsid w:val="00D85E03"/>
    <w:rsid w:val="00D85E92"/>
    <w:rsid w:val="00D8785D"/>
    <w:rsid w:val="00D91055"/>
    <w:rsid w:val="00D9281C"/>
    <w:rsid w:val="00D9281F"/>
    <w:rsid w:val="00D92D05"/>
    <w:rsid w:val="00D96504"/>
    <w:rsid w:val="00D9727A"/>
    <w:rsid w:val="00DA064D"/>
    <w:rsid w:val="00DB2864"/>
    <w:rsid w:val="00DB4389"/>
    <w:rsid w:val="00DC2BE8"/>
    <w:rsid w:val="00DC4F07"/>
    <w:rsid w:val="00DD6ECA"/>
    <w:rsid w:val="00DE1099"/>
    <w:rsid w:val="00DE5EE3"/>
    <w:rsid w:val="00DF399D"/>
    <w:rsid w:val="00E006D4"/>
    <w:rsid w:val="00E02048"/>
    <w:rsid w:val="00E06EC0"/>
    <w:rsid w:val="00E06F88"/>
    <w:rsid w:val="00E1713A"/>
    <w:rsid w:val="00E22BA5"/>
    <w:rsid w:val="00E30C67"/>
    <w:rsid w:val="00E30EDD"/>
    <w:rsid w:val="00E32A36"/>
    <w:rsid w:val="00E3545A"/>
    <w:rsid w:val="00E36586"/>
    <w:rsid w:val="00E4479D"/>
    <w:rsid w:val="00E44B7B"/>
    <w:rsid w:val="00E508DB"/>
    <w:rsid w:val="00E5136F"/>
    <w:rsid w:val="00E52D56"/>
    <w:rsid w:val="00E5423E"/>
    <w:rsid w:val="00E5568E"/>
    <w:rsid w:val="00E6085D"/>
    <w:rsid w:val="00E61311"/>
    <w:rsid w:val="00E62673"/>
    <w:rsid w:val="00E668F8"/>
    <w:rsid w:val="00E75A78"/>
    <w:rsid w:val="00E83B58"/>
    <w:rsid w:val="00E8590F"/>
    <w:rsid w:val="00E92996"/>
    <w:rsid w:val="00EC01ED"/>
    <w:rsid w:val="00EC101E"/>
    <w:rsid w:val="00EC1D60"/>
    <w:rsid w:val="00EC4DAF"/>
    <w:rsid w:val="00EC722D"/>
    <w:rsid w:val="00ED1DE6"/>
    <w:rsid w:val="00ED2A9F"/>
    <w:rsid w:val="00EE1C84"/>
    <w:rsid w:val="00EE4C75"/>
    <w:rsid w:val="00EF6D57"/>
    <w:rsid w:val="00F0475F"/>
    <w:rsid w:val="00F0710A"/>
    <w:rsid w:val="00F1082C"/>
    <w:rsid w:val="00F16269"/>
    <w:rsid w:val="00F20FEB"/>
    <w:rsid w:val="00F252D4"/>
    <w:rsid w:val="00F32893"/>
    <w:rsid w:val="00F41828"/>
    <w:rsid w:val="00F432A5"/>
    <w:rsid w:val="00F47E55"/>
    <w:rsid w:val="00F533F9"/>
    <w:rsid w:val="00F53835"/>
    <w:rsid w:val="00F637AD"/>
    <w:rsid w:val="00F676D3"/>
    <w:rsid w:val="00F80BC1"/>
    <w:rsid w:val="00F845C7"/>
    <w:rsid w:val="00F90B36"/>
    <w:rsid w:val="00FA11B9"/>
    <w:rsid w:val="00FA15E2"/>
    <w:rsid w:val="00FA4780"/>
    <w:rsid w:val="00FA5B47"/>
    <w:rsid w:val="00FB345F"/>
    <w:rsid w:val="00FC743A"/>
    <w:rsid w:val="00FD28C1"/>
    <w:rsid w:val="00FD74E2"/>
    <w:rsid w:val="00FE1C65"/>
    <w:rsid w:val="00FE4CC3"/>
    <w:rsid w:val="00FE565B"/>
    <w:rsid w:val="00FF54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FD4C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90F"/>
    <w:pPr>
      <w:spacing w:after="0" w:line="240" w:lineRule="auto"/>
    </w:pPr>
    <w:rPr>
      <w:rFonts w:eastAsia="Times New Roman" w:cs="Times New Roman"/>
      <w:kern w:val="0"/>
      <w:lang w:val="lv-LV" w:eastAsia="ru-RU"/>
      <w14:ligatures w14:val="none"/>
    </w:rPr>
  </w:style>
  <w:style w:type="paragraph" w:styleId="Heading1">
    <w:name w:val="heading 1"/>
    <w:basedOn w:val="Normal"/>
    <w:next w:val="Normal"/>
    <w:link w:val="Heading1Char"/>
    <w:uiPriority w:val="9"/>
    <w:qFormat/>
    <w:rsid w:val="00E859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59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590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590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590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859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59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59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59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9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59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590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590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8590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859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59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59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59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59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90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9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590F"/>
    <w:pPr>
      <w:spacing w:before="160"/>
      <w:jc w:val="center"/>
    </w:pPr>
    <w:rPr>
      <w:i/>
      <w:iCs/>
      <w:color w:val="404040" w:themeColor="text1" w:themeTint="BF"/>
    </w:rPr>
  </w:style>
  <w:style w:type="character" w:customStyle="1" w:styleId="QuoteChar">
    <w:name w:val="Quote Char"/>
    <w:basedOn w:val="DefaultParagraphFont"/>
    <w:link w:val="Quote"/>
    <w:uiPriority w:val="29"/>
    <w:rsid w:val="00E8590F"/>
    <w:rPr>
      <w:i/>
      <w:iCs/>
      <w:color w:val="404040" w:themeColor="text1" w:themeTint="BF"/>
    </w:rPr>
  </w:style>
  <w:style w:type="paragraph" w:styleId="ListParagraph">
    <w:name w:val="List Paragraph"/>
    <w:basedOn w:val="Normal"/>
    <w:link w:val="ListParagraphChar"/>
    <w:uiPriority w:val="34"/>
    <w:qFormat/>
    <w:rsid w:val="00E8590F"/>
    <w:pPr>
      <w:ind w:left="720"/>
      <w:contextualSpacing/>
    </w:pPr>
  </w:style>
  <w:style w:type="character" w:styleId="IntenseEmphasis">
    <w:name w:val="Intense Emphasis"/>
    <w:basedOn w:val="DefaultParagraphFont"/>
    <w:uiPriority w:val="21"/>
    <w:qFormat/>
    <w:rsid w:val="00E8590F"/>
    <w:rPr>
      <w:i/>
      <w:iCs/>
      <w:color w:val="2F5496" w:themeColor="accent1" w:themeShade="BF"/>
    </w:rPr>
  </w:style>
  <w:style w:type="paragraph" w:styleId="IntenseQuote">
    <w:name w:val="Intense Quote"/>
    <w:basedOn w:val="Normal"/>
    <w:next w:val="Normal"/>
    <w:link w:val="IntenseQuoteChar"/>
    <w:uiPriority w:val="30"/>
    <w:qFormat/>
    <w:rsid w:val="00E85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590F"/>
    <w:rPr>
      <w:i/>
      <w:iCs/>
      <w:color w:val="2F5496" w:themeColor="accent1" w:themeShade="BF"/>
    </w:rPr>
  </w:style>
  <w:style w:type="character" w:styleId="IntenseReference">
    <w:name w:val="Intense Reference"/>
    <w:basedOn w:val="DefaultParagraphFont"/>
    <w:uiPriority w:val="32"/>
    <w:qFormat/>
    <w:rsid w:val="00E8590F"/>
    <w:rPr>
      <w:b/>
      <w:bCs/>
      <w:smallCaps/>
      <w:color w:val="2F5496" w:themeColor="accent1" w:themeShade="BF"/>
      <w:spacing w:val="5"/>
    </w:rPr>
  </w:style>
  <w:style w:type="table" w:styleId="TableGrid">
    <w:name w:val="Table Grid"/>
    <w:basedOn w:val="TableNormal"/>
    <w:rsid w:val="00E8590F"/>
    <w:pPr>
      <w:spacing w:after="0" w:line="240" w:lineRule="auto"/>
    </w:pPr>
    <w:rPr>
      <w:rFonts w:eastAsia="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8590F"/>
    <w:pPr>
      <w:spacing w:before="100" w:beforeAutospacing="1" w:after="100" w:afterAutospacing="1"/>
    </w:pPr>
    <w:rPr>
      <w:lang w:eastAsia="lv-LV"/>
    </w:rPr>
  </w:style>
  <w:style w:type="character" w:styleId="Hyperlink">
    <w:name w:val="Hyperlink"/>
    <w:uiPriority w:val="99"/>
    <w:unhideWhenUsed/>
    <w:qFormat/>
    <w:rsid w:val="00F47E55"/>
    <w:rPr>
      <w:color w:val="0000FF"/>
      <w:u w:val="single"/>
    </w:rPr>
  </w:style>
  <w:style w:type="character" w:customStyle="1" w:styleId="ListParagraphChar">
    <w:name w:val="List Paragraph Char"/>
    <w:basedOn w:val="DefaultParagraphFont"/>
    <w:link w:val="ListParagraph"/>
    <w:uiPriority w:val="34"/>
    <w:rsid w:val="00F53835"/>
    <w:rPr>
      <w:rFonts w:eastAsia="Times New Roman" w:cs="Times New Roman"/>
      <w:kern w:val="0"/>
      <w:lang w:val="lv-LV" w:eastAsia="ru-RU"/>
      <w14:ligatures w14:val="none"/>
    </w:rPr>
  </w:style>
  <w:style w:type="paragraph" w:styleId="FootnoteText">
    <w:name w:val="footnote text"/>
    <w:aliases w:val="Fußnote"/>
    <w:basedOn w:val="Normal"/>
    <w:link w:val="FootnoteTextChar"/>
    <w:uiPriority w:val="99"/>
    <w:rsid w:val="009D6D5B"/>
    <w:pPr>
      <w:ind w:left="284" w:hanging="284"/>
    </w:pPr>
    <w:rPr>
      <w:sz w:val="20"/>
      <w:szCs w:val="20"/>
      <w:lang w:eastAsia="lv-LV"/>
    </w:rPr>
  </w:style>
  <w:style w:type="character" w:customStyle="1" w:styleId="FootnoteTextChar">
    <w:name w:val="Footnote Text Char"/>
    <w:aliases w:val="Fußnote Char"/>
    <w:basedOn w:val="DefaultParagraphFont"/>
    <w:link w:val="FootnoteText"/>
    <w:uiPriority w:val="99"/>
    <w:rsid w:val="009D6D5B"/>
    <w:rPr>
      <w:rFonts w:eastAsia="Times New Roman" w:cs="Times New Roman"/>
      <w:kern w:val="0"/>
      <w:sz w:val="20"/>
      <w:szCs w:val="20"/>
      <w:lang w:val="lv-LV" w:eastAsia="lv-LV"/>
      <w14:ligatures w14:val="none"/>
    </w:rPr>
  </w:style>
  <w:style w:type="character" w:styleId="FootnoteReference">
    <w:name w:val="footnote reference"/>
    <w:aliases w:val="Footnote Reference Number,Footnote symbol"/>
    <w:uiPriority w:val="99"/>
    <w:rsid w:val="009D6D5B"/>
    <w:rPr>
      <w:vertAlign w:val="superscript"/>
    </w:rPr>
  </w:style>
  <w:style w:type="paragraph" w:customStyle="1" w:styleId="ML-5tx-pti">
    <w:name w:val="ML-5tx-pti"/>
    <w:basedOn w:val="ListParagraph"/>
    <w:link w:val="ML-5tx-ptiChar"/>
    <w:qFormat/>
    <w:rsid w:val="009D6D5B"/>
    <w:pPr>
      <w:numPr>
        <w:numId w:val="4"/>
      </w:numPr>
      <w:spacing w:before="60"/>
      <w:ind w:left="568" w:hanging="284"/>
      <w:contextualSpacing w:val="0"/>
      <w:jc w:val="both"/>
    </w:pPr>
    <w:rPr>
      <w:spacing w:val="-3"/>
      <w:sz w:val="21"/>
      <w:szCs w:val="21"/>
      <w:lang w:eastAsia="lv-LV"/>
    </w:rPr>
  </w:style>
  <w:style w:type="character" w:customStyle="1" w:styleId="ML-5tx-ptiChar">
    <w:name w:val="ML-5tx-pti Char"/>
    <w:basedOn w:val="DefaultParagraphFont"/>
    <w:link w:val="ML-5tx-pti"/>
    <w:rsid w:val="009D6D5B"/>
    <w:rPr>
      <w:rFonts w:eastAsia="Times New Roman" w:cs="Times New Roman"/>
      <w:spacing w:val="-3"/>
      <w:kern w:val="0"/>
      <w:sz w:val="21"/>
      <w:szCs w:val="21"/>
      <w:lang w:val="lv-LV" w:eastAsia="lv-LV"/>
      <w14:ligatures w14:val="none"/>
    </w:rPr>
  </w:style>
  <w:style w:type="character" w:customStyle="1" w:styleId="markedcontent">
    <w:name w:val="markedcontent"/>
    <w:basedOn w:val="DefaultParagraphFont"/>
    <w:rsid w:val="00210774"/>
  </w:style>
  <w:style w:type="character" w:customStyle="1" w:styleId="FootnoteCharacters">
    <w:name w:val="Footnote Characters"/>
    <w:rsid w:val="007334ED"/>
    <w:rPr>
      <w:vertAlign w:val="superscript"/>
    </w:rPr>
  </w:style>
  <w:style w:type="character" w:styleId="CommentReference">
    <w:name w:val="annotation reference"/>
    <w:basedOn w:val="DefaultParagraphFont"/>
    <w:uiPriority w:val="99"/>
    <w:semiHidden/>
    <w:unhideWhenUsed/>
    <w:rsid w:val="007120B6"/>
    <w:rPr>
      <w:sz w:val="16"/>
      <w:szCs w:val="16"/>
    </w:rPr>
  </w:style>
  <w:style w:type="paragraph" w:styleId="CommentText">
    <w:name w:val="annotation text"/>
    <w:basedOn w:val="Normal"/>
    <w:link w:val="CommentTextChar"/>
    <w:uiPriority w:val="99"/>
    <w:unhideWhenUsed/>
    <w:rsid w:val="007120B6"/>
    <w:rPr>
      <w:sz w:val="20"/>
      <w:szCs w:val="20"/>
    </w:rPr>
  </w:style>
  <w:style w:type="character" w:customStyle="1" w:styleId="CommentTextChar">
    <w:name w:val="Comment Text Char"/>
    <w:basedOn w:val="DefaultParagraphFont"/>
    <w:link w:val="CommentText"/>
    <w:uiPriority w:val="99"/>
    <w:rsid w:val="007120B6"/>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7120B6"/>
    <w:rPr>
      <w:b/>
      <w:bCs/>
    </w:rPr>
  </w:style>
  <w:style w:type="character" w:customStyle="1" w:styleId="CommentSubjectChar">
    <w:name w:val="Comment Subject Char"/>
    <w:basedOn w:val="CommentTextChar"/>
    <w:link w:val="CommentSubject"/>
    <w:uiPriority w:val="99"/>
    <w:semiHidden/>
    <w:rsid w:val="007120B6"/>
    <w:rPr>
      <w:rFonts w:eastAsia="Times New Roman" w:cs="Times New Roman"/>
      <w:b/>
      <w:bCs/>
      <w:kern w:val="0"/>
      <w:sz w:val="20"/>
      <w:szCs w:val="20"/>
      <w:lang w:val="lv-LV" w:eastAsia="ru-RU"/>
      <w14:ligatures w14:val="none"/>
    </w:rPr>
  </w:style>
  <w:style w:type="paragraph" w:styleId="NoSpacing">
    <w:name w:val="No Spacing"/>
    <w:link w:val="NoSpacingChar"/>
    <w:uiPriority w:val="1"/>
    <w:qFormat/>
    <w:rsid w:val="00C3375D"/>
    <w:pPr>
      <w:spacing w:after="0" w:line="240" w:lineRule="auto"/>
    </w:pPr>
    <w:rPr>
      <w:rFonts w:asciiTheme="minorHAnsi" w:hAnsiTheme="minorHAnsi"/>
      <w:kern w:val="0"/>
      <w:sz w:val="21"/>
      <w:szCs w:val="21"/>
      <w:lang w:val="lv-LV"/>
      <w14:ligatures w14:val="none"/>
    </w:rPr>
  </w:style>
  <w:style w:type="character" w:customStyle="1" w:styleId="NoSpacingChar">
    <w:name w:val="No Spacing Char"/>
    <w:link w:val="NoSpacing"/>
    <w:uiPriority w:val="1"/>
    <w:locked/>
    <w:rsid w:val="00C3375D"/>
    <w:rPr>
      <w:rFonts w:asciiTheme="minorHAnsi" w:hAnsiTheme="minorHAnsi"/>
      <w:kern w:val="0"/>
      <w:sz w:val="21"/>
      <w:szCs w:val="21"/>
      <w:lang w:val="lv-LV"/>
      <w14:ligatures w14:val="none"/>
    </w:rPr>
  </w:style>
  <w:style w:type="character" w:styleId="Strong">
    <w:name w:val="Strong"/>
    <w:basedOn w:val="DefaultParagraphFont"/>
    <w:uiPriority w:val="22"/>
    <w:qFormat/>
    <w:rsid w:val="00CD04C0"/>
    <w:rPr>
      <w:b/>
      <w:bCs/>
    </w:rPr>
  </w:style>
  <w:style w:type="character" w:styleId="UnresolvedMention">
    <w:name w:val="Unresolved Mention"/>
    <w:basedOn w:val="DefaultParagraphFont"/>
    <w:uiPriority w:val="99"/>
    <w:semiHidden/>
    <w:unhideWhenUsed/>
    <w:rsid w:val="00471A2D"/>
    <w:rPr>
      <w:color w:val="605E5C"/>
      <w:shd w:val="clear" w:color="auto" w:fill="E1DFDD"/>
    </w:rPr>
  </w:style>
  <w:style w:type="paragraph" w:styleId="BodyText2">
    <w:name w:val="Body Text 2"/>
    <w:basedOn w:val="Normal"/>
    <w:link w:val="BodyText2Char"/>
    <w:semiHidden/>
    <w:unhideWhenUsed/>
    <w:rsid w:val="005B1959"/>
    <w:pPr>
      <w:jc w:val="right"/>
    </w:pPr>
    <w:rPr>
      <w:rFonts w:ascii="Garamond" w:eastAsia="Calibri" w:hAnsi="Garamond"/>
      <w:sz w:val="28"/>
      <w:szCs w:val="28"/>
      <w:lang w:eastAsia="en-US"/>
    </w:rPr>
  </w:style>
  <w:style w:type="character" w:customStyle="1" w:styleId="BodyText2Char">
    <w:name w:val="Body Text 2 Char"/>
    <w:basedOn w:val="DefaultParagraphFont"/>
    <w:link w:val="BodyText2"/>
    <w:semiHidden/>
    <w:rsid w:val="005B1959"/>
    <w:rPr>
      <w:rFonts w:ascii="Garamond" w:eastAsia="Calibri" w:hAnsi="Garamond" w:cs="Times New Roman"/>
      <w:kern w:val="0"/>
      <w:sz w:val="28"/>
      <w:szCs w:val="28"/>
      <w:lang w:val="lv-LV"/>
      <w14:ligatures w14:val="none"/>
    </w:rPr>
  </w:style>
  <w:style w:type="paragraph" w:styleId="Revision">
    <w:name w:val="Revision"/>
    <w:hidden/>
    <w:uiPriority w:val="99"/>
    <w:semiHidden/>
    <w:rsid w:val="00033DE9"/>
    <w:pPr>
      <w:spacing w:after="0" w:line="240" w:lineRule="auto"/>
    </w:pPr>
    <w:rPr>
      <w:rFonts w:eastAsia="Times New Roman" w:cs="Times New Roman"/>
      <w:kern w:val="0"/>
      <w:lang w:val="lv-LV" w:eastAsia="ru-RU"/>
      <w14:ligatures w14:val="none"/>
    </w:rPr>
  </w:style>
  <w:style w:type="paragraph" w:styleId="Header">
    <w:name w:val="header"/>
    <w:basedOn w:val="Normal"/>
    <w:link w:val="HeaderChar"/>
    <w:uiPriority w:val="99"/>
    <w:unhideWhenUsed/>
    <w:rsid w:val="00642A86"/>
    <w:pPr>
      <w:tabs>
        <w:tab w:val="center" w:pos="4680"/>
        <w:tab w:val="right" w:pos="9360"/>
      </w:tabs>
    </w:pPr>
  </w:style>
  <w:style w:type="character" w:customStyle="1" w:styleId="HeaderChar">
    <w:name w:val="Header Char"/>
    <w:basedOn w:val="DefaultParagraphFont"/>
    <w:link w:val="Header"/>
    <w:uiPriority w:val="99"/>
    <w:rsid w:val="00642A86"/>
    <w:rPr>
      <w:rFonts w:eastAsia="Times New Roman" w:cs="Times New Roman"/>
      <w:kern w:val="0"/>
      <w:lang w:val="lv-LV" w:eastAsia="ru-RU"/>
      <w14:ligatures w14:val="none"/>
    </w:rPr>
  </w:style>
  <w:style w:type="paragraph" w:styleId="Footer">
    <w:name w:val="footer"/>
    <w:basedOn w:val="Normal"/>
    <w:link w:val="FooterChar"/>
    <w:uiPriority w:val="99"/>
    <w:unhideWhenUsed/>
    <w:rsid w:val="00642A86"/>
    <w:pPr>
      <w:tabs>
        <w:tab w:val="center" w:pos="4680"/>
        <w:tab w:val="right" w:pos="9360"/>
      </w:tabs>
    </w:pPr>
  </w:style>
  <w:style w:type="character" w:customStyle="1" w:styleId="FooterChar">
    <w:name w:val="Footer Char"/>
    <w:basedOn w:val="DefaultParagraphFont"/>
    <w:link w:val="Footer"/>
    <w:uiPriority w:val="99"/>
    <w:rsid w:val="00642A86"/>
    <w:rPr>
      <w:rFonts w:eastAsia="Times New Roman" w:cs="Times New Roman"/>
      <w:kern w:val="0"/>
      <w:lang w:val="lv-LV" w:eastAsia="ru-RU"/>
      <w14:ligatures w14:val="none"/>
    </w:rPr>
  </w:style>
  <w:style w:type="character" w:styleId="FollowedHyperlink">
    <w:name w:val="FollowedHyperlink"/>
    <w:basedOn w:val="DefaultParagraphFont"/>
    <w:uiPriority w:val="99"/>
    <w:semiHidden/>
    <w:unhideWhenUsed/>
    <w:rsid w:val="00D61E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3404">
      <w:bodyDiv w:val="1"/>
      <w:marLeft w:val="0"/>
      <w:marRight w:val="0"/>
      <w:marTop w:val="0"/>
      <w:marBottom w:val="0"/>
      <w:divBdr>
        <w:top w:val="none" w:sz="0" w:space="0" w:color="auto"/>
        <w:left w:val="none" w:sz="0" w:space="0" w:color="auto"/>
        <w:bottom w:val="none" w:sz="0" w:space="0" w:color="auto"/>
        <w:right w:val="none" w:sz="0" w:space="0" w:color="auto"/>
      </w:divBdr>
    </w:div>
    <w:div w:id="118844932">
      <w:bodyDiv w:val="1"/>
      <w:marLeft w:val="0"/>
      <w:marRight w:val="0"/>
      <w:marTop w:val="0"/>
      <w:marBottom w:val="0"/>
      <w:divBdr>
        <w:top w:val="none" w:sz="0" w:space="0" w:color="auto"/>
        <w:left w:val="none" w:sz="0" w:space="0" w:color="auto"/>
        <w:bottom w:val="none" w:sz="0" w:space="0" w:color="auto"/>
        <w:right w:val="none" w:sz="0" w:space="0" w:color="auto"/>
      </w:divBdr>
    </w:div>
    <w:div w:id="146555963">
      <w:bodyDiv w:val="1"/>
      <w:marLeft w:val="0"/>
      <w:marRight w:val="0"/>
      <w:marTop w:val="0"/>
      <w:marBottom w:val="0"/>
      <w:divBdr>
        <w:top w:val="none" w:sz="0" w:space="0" w:color="auto"/>
        <w:left w:val="none" w:sz="0" w:space="0" w:color="auto"/>
        <w:bottom w:val="none" w:sz="0" w:space="0" w:color="auto"/>
        <w:right w:val="none" w:sz="0" w:space="0" w:color="auto"/>
      </w:divBdr>
    </w:div>
    <w:div w:id="153228766">
      <w:bodyDiv w:val="1"/>
      <w:marLeft w:val="0"/>
      <w:marRight w:val="0"/>
      <w:marTop w:val="0"/>
      <w:marBottom w:val="0"/>
      <w:divBdr>
        <w:top w:val="none" w:sz="0" w:space="0" w:color="auto"/>
        <w:left w:val="none" w:sz="0" w:space="0" w:color="auto"/>
        <w:bottom w:val="none" w:sz="0" w:space="0" w:color="auto"/>
        <w:right w:val="none" w:sz="0" w:space="0" w:color="auto"/>
      </w:divBdr>
    </w:div>
    <w:div w:id="185676068">
      <w:bodyDiv w:val="1"/>
      <w:marLeft w:val="0"/>
      <w:marRight w:val="0"/>
      <w:marTop w:val="0"/>
      <w:marBottom w:val="0"/>
      <w:divBdr>
        <w:top w:val="none" w:sz="0" w:space="0" w:color="auto"/>
        <w:left w:val="none" w:sz="0" w:space="0" w:color="auto"/>
        <w:bottom w:val="none" w:sz="0" w:space="0" w:color="auto"/>
        <w:right w:val="none" w:sz="0" w:space="0" w:color="auto"/>
      </w:divBdr>
    </w:div>
    <w:div w:id="187303715">
      <w:bodyDiv w:val="1"/>
      <w:marLeft w:val="0"/>
      <w:marRight w:val="0"/>
      <w:marTop w:val="0"/>
      <w:marBottom w:val="0"/>
      <w:divBdr>
        <w:top w:val="none" w:sz="0" w:space="0" w:color="auto"/>
        <w:left w:val="none" w:sz="0" w:space="0" w:color="auto"/>
        <w:bottom w:val="none" w:sz="0" w:space="0" w:color="auto"/>
        <w:right w:val="none" w:sz="0" w:space="0" w:color="auto"/>
      </w:divBdr>
    </w:div>
    <w:div w:id="231432163">
      <w:bodyDiv w:val="1"/>
      <w:marLeft w:val="0"/>
      <w:marRight w:val="0"/>
      <w:marTop w:val="0"/>
      <w:marBottom w:val="0"/>
      <w:divBdr>
        <w:top w:val="none" w:sz="0" w:space="0" w:color="auto"/>
        <w:left w:val="none" w:sz="0" w:space="0" w:color="auto"/>
        <w:bottom w:val="none" w:sz="0" w:space="0" w:color="auto"/>
        <w:right w:val="none" w:sz="0" w:space="0" w:color="auto"/>
      </w:divBdr>
    </w:div>
    <w:div w:id="234703210">
      <w:bodyDiv w:val="1"/>
      <w:marLeft w:val="0"/>
      <w:marRight w:val="0"/>
      <w:marTop w:val="0"/>
      <w:marBottom w:val="0"/>
      <w:divBdr>
        <w:top w:val="none" w:sz="0" w:space="0" w:color="auto"/>
        <w:left w:val="none" w:sz="0" w:space="0" w:color="auto"/>
        <w:bottom w:val="none" w:sz="0" w:space="0" w:color="auto"/>
        <w:right w:val="none" w:sz="0" w:space="0" w:color="auto"/>
      </w:divBdr>
    </w:div>
    <w:div w:id="257373280">
      <w:bodyDiv w:val="1"/>
      <w:marLeft w:val="0"/>
      <w:marRight w:val="0"/>
      <w:marTop w:val="0"/>
      <w:marBottom w:val="0"/>
      <w:divBdr>
        <w:top w:val="none" w:sz="0" w:space="0" w:color="auto"/>
        <w:left w:val="none" w:sz="0" w:space="0" w:color="auto"/>
        <w:bottom w:val="none" w:sz="0" w:space="0" w:color="auto"/>
        <w:right w:val="none" w:sz="0" w:space="0" w:color="auto"/>
      </w:divBdr>
    </w:div>
    <w:div w:id="342512310">
      <w:bodyDiv w:val="1"/>
      <w:marLeft w:val="0"/>
      <w:marRight w:val="0"/>
      <w:marTop w:val="0"/>
      <w:marBottom w:val="0"/>
      <w:divBdr>
        <w:top w:val="none" w:sz="0" w:space="0" w:color="auto"/>
        <w:left w:val="none" w:sz="0" w:space="0" w:color="auto"/>
        <w:bottom w:val="none" w:sz="0" w:space="0" w:color="auto"/>
        <w:right w:val="none" w:sz="0" w:space="0" w:color="auto"/>
      </w:divBdr>
    </w:div>
    <w:div w:id="403067127">
      <w:bodyDiv w:val="1"/>
      <w:marLeft w:val="0"/>
      <w:marRight w:val="0"/>
      <w:marTop w:val="0"/>
      <w:marBottom w:val="0"/>
      <w:divBdr>
        <w:top w:val="none" w:sz="0" w:space="0" w:color="auto"/>
        <w:left w:val="none" w:sz="0" w:space="0" w:color="auto"/>
        <w:bottom w:val="none" w:sz="0" w:space="0" w:color="auto"/>
        <w:right w:val="none" w:sz="0" w:space="0" w:color="auto"/>
      </w:divBdr>
    </w:div>
    <w:div w:id="493570384">
      <w:bodyDiv w:val="1"/>
      <w:marLeft w:val="0"/>
      <w:marRight w:val="0"/>
      <w:marTop w:val="0"/>
      <w:marBottom w:val="0"/>
      <w:divBdr>
        <w:top w:val="none" w:sz="0" w:space="0" w:color="auto"/>
        <w:left w:val="none" w:sz="0" w:space="0" w:color="auto"/>
        <w:bottom w:val="none" w:sz="0" w:space="0" w:color="auto"/>
        <w:right w:val="none" w:sz="0" w:space="0" w:color="auto"/>
      </w:divBdr>
    </w:div>
    <w:div w:id="518010717">
      <w:bodyDiv w:val="1"/>
      <w:marLeft w:val="0"/>
      <w:marRight w:val="0"/>
      <w:marTop w:val="0"/>
      <w:marBottom w:val="0"/>
      <w:divBdr>
        <w:top w:val="none" w:sz="0" w:space="0" w:color="auto"/>
        <w:left w:val="none" w:sz="0" w:space="0" w:color="auto"/>
        <w:bottom w:val="none" w:sz="0" w:space="0" w:color="auto"/>
        <w:right w:val="none" w:sz="0" w:space="0" w:color="auto"/>
      </w:divBdr>
    </w:div>
    <w:div w:id="554005096">
      <w:bodyDiv w:val="1"/>
      <w:marLeft w:val="0"/>
      <w:marRight w:val="0"/>
      <w:marTop w:val="0"/>
      <w:marBottom w:val="0"/>
      <w:divBdr>
        <w:top w:val="none" w:sz="0" w:space="0" w:color="auto"/>
        <w:left w:val="none" w:sz="0" w:space="0" w:color="auto"/>
        <w:bottom w:val="none" w:sz="0" w:space="0" w:color="auto"/>
        <w:right w:val="none" w:sz="0" w:space="0" w:color="auto"/>
      </w:divBdr>
    </w:div>
    <w:div w:id="628977047">
      <w:bodyDiv w:val="1"/>
      <w:marLeft w:val="0"/>
      <w:marRight w:val="0"/>
      <w:marTop w:val="0"/>
      <w:marBottom w:val="0"/>
      <w:divBdr>
        <w:top w:val="none" w:sz="0" w:space="0" w:color="auto"/>
        <w:left w:val="none" w:sz="0" w:space="0" w:color="auto"/>
        <w:bottom w:val="none" w:sz="0" w:space="0" w:color="auto"/>
        <w:right w:val="none" w:sz="0" w:space="0" w:color="auto"/>
      </w:divBdr>
    </w:div>
    <w:div w:id="657349639">
      <w:bodyDiv w:val="1"/>
      <w:marLeft w:val="0"/>
      <w:marRight w:val="0"/>
      <w:marTop w:val="0"/>
      <w:marBottom w:val="0"/>
      <w:divBdr>
        <w:top w:val="none" w:sz="0" w:space="0" w:color="auto"/>
        <w:left w:val="none" w:sz="0" w:space="0" w:color="auto"/>
        <w:bottom w:val="none" w:sz="0" w:space="0" w:color="auto"/>
        <w:right w:val="none" w:sz="0" w:space="0" w:color="auto"/>
      </w:divBdr>
    </w:div>
    <w:div w:id="669285976">
      <w:bodyDiv w:val="1"/>
      <w:marLeft w:val="0"/>
      <w:marRight w:val="0"/>
      <w:marTop w:val="0"/>
      <w:marBottom w:val="0"/>
      <w:divBdr>
        <w:top w:val="none" w:sz="0" w:space="0" w:color="auto"/>
        <w:left w:val="none" w:sz="0" w:space="0" w:color="auto"/>
        <w:bottom w:val="none" w:sz="0" w:space="0" w:color="auto"/>
        <w:right w:val="none" w:sz="0" w:space="0" w:color="auto"/>
      </w:divBdr>
    </w:div>
    <w:div w:id="794328458">
      <w:bodyDiv w:val="1"/>
      <w:marLeft w:val="0"/>
      <w:marRight w:val="0"/>
      <w:marTop w:val="0"/>
      <w:marBottom w:val="0"/>
      <w:divBdr>
        <w:top w:val="none" w:sz="0" w:space="0" w:color="auto"/>
        <w:left w:val="none" w:sz="0" w:space="0" w:color="auto"/>
        <w:bottom w:val="none" w:sz="0" w:space="0" w:color="auto"/>
        <w:right w:val="none" w:sz="0" w:space="0" w:color="auto"/>
      </w:divBdr>
    </w:div>
    <w:div w:id="836264947">
      <w:bodyDiv w:val="1"/>
      <w:marLeft w:val="0"/>
      <w:marRight w:val="0"/>
      <w:marTop w:val="0"/>
      <w:marBottom w:val="0"/>
      <w:divBdr>
        <w:top w:val="none" w:sz="0" w:space="0" w:color="auto"/>
        <w:left w:val="none" w:sz="0" w:space="0" w:color="auto"/>
        <w:bottom w:val="none" w:sz="0" w:space="0" w:color="auto"/>
        <w:right w:val="none" w:sz="0" w:space="0" w:color="auto"/>
      </w:divBdr>
    </w:div>
    <w:div w:id="901674452">
      <w:bodyDiv w:val="1"/>
      <w:marLeft w:val="0"/>
      <w:marRight w:val="0"/>
      <w:marTop w:val="0"/>
      <w:marBottom w:val="0"/>
      <w:divBdr>
        <w:top w:val="none" w:sz="0" w:space="0" w:color="auto"/>
        <w:left w:val="none" w:sz="0" w:space="0" w:color="auto"/>
        <w:bottom w:val="none" w:sz="0" w:space="0" w:color="auto"/>
        <w:right w:val="none" w:sz="0" w:space="0" w:color="auto"/>
      </w:divBdr>
    </w:div>
    <w:div w:id="921914227">
      <w:bodyDiv w:val="1"/>
      <w:marLeft w:val="0"/>
      <w:marRight w:val="0"/>
      <w:marTop w:val="0"/>
      <w:marBottom w:val="0"/>
      <w:divBdr>
        <w:top w:val="none" w:sz="0" w:space="0" w:color="auto"/>
        <w:left w:val="none" w:sz="0" w:space="0" w:color="auto"/>
        <w:bottom w:val="none" w:sz="0" w:space="0" w:color="auto"/>
        <w:right w:val="none" w:sz="0" w:space="0" w:color="auto"/>
      </w:divBdr>
    </w:div>
    <w:div w:id="924536360">
      <w:bodyDiv w:val="1"/>
      <w:marLeft w:val="0"/>
      <w:marRight w:val="0"/>
      <w:marTop w:val="0"/>
      <w:marBottom w:val="0"/>
      <w:divBdr>
        <w:top w:val="none" w:sz="0" w:space="0" w:color="auto"/>
        <w:left w:val="none" w:sz="0" w:space="0" w:color="auto"/>
        <w:bottom w:val="none" w:sz="0" w:space="0" w:color="auto"/>
        <w:right w:val="none" w:sz="0" w:space="0" w:color="auto"/>
      </w:divBdr>
    </w:div>
    <w:div w:id="987708756">
      <w:bodyDiv w:val="1"/>
      <w:marLeft w:val="0"/>
      <w:marRight w:val="0"/>
      <w:marTop w:val="0"/>
      <w:marBottom w:val="0"/>
      <w:divBdr>
        <w:top w:val="none" w:sz="0" w:space="0" w:color="auto"/>
        <w:left w:val="none" w:sz="0" w:space="0" w:color="auto"/>
        <w:bottom w:val="none" w:sz="0" w:space="0" w:color="auto"/>
        <w:right w:val="none" w:sz="0" w:space="0" w:color="auto"/>
      </w:divBdr>
    </w:div>
    <w:div w:id="1023819897">
      <w:bodyDiv w:val="1"/>
      <w:marLeft w:val="0"/>
      <w:marRight w:val="0"/>
      <w:marTop w:val="0"/>
      <w:marBottom w:val="0"/>
      <w:divBdr>
        <w:top w:val="none" w:sz="0" w:space="0" w:color="auto"/>
        <w:left w:val="none" w:sz="0" w:space="0" w:color="auto"/>
        <w:bottom w:val="none" w:sz="0" w:space="0" w:color="auto"/>
        <w:right w:val="none" w:sz="0" w:space="0" w:color="auto"/>
      </w:divBdr>
    </w:div>
    <w:div w:id="1029646888">
      <w:bodyDiv w:val="1"/>
      <w:marLeft w:val="0"/>
      <w:marRight w:val="0"/>
      <w:marTop w:val="0"/>
      <w:marBottom w:val="0"/>
      <w:divBdr>
        <w:top w:val="none" w:sz="0" w:space="0" w:color="auto"/>
        <w:left w:val="none" w:sz="0" w:space="0" w:color="auto"/>
        <w:bottom w:val="none" w:sz="0" w:space="0" w:color="auto"/>
        <w:right w:val="none" w:sz="0" w:space="0" w:color="auto"/>
      </w:divBdr>
    </w:div>
    <w:div w:id="1047753729">
      <w:bodyDiv w:val="1"/>
      <w:marLeft w:val="0"/>
      <w:marRight w:val="0"/>
      <w:marTop w:val="0"/>
      <w:marBottom w:val="0"/>
      <w:divBdr>
        <w:top w:val="none" w:sz="0" w:space="0" w:color="auto"/>
        <w:left w:val="none" w:sz="0" w:space="0" w:color="auto"/>
        <w:bottom w:val="none" w:sz="0" w:space="0" w:color="auto"/>
        <w:right w:val="none" w:sz="0" w:space="0" w:color="auto"/>
      </w:divBdr>
    </w:div>
    <w:div w:id="1119884358">
      <w:bodyDiv w:val="1"/>
      <w:marLeft w:val="0"/>
      <w:marRight w:val="0"/>
      <w:marTop w:val="0"/>
      <w:marBottom w:val="0"/>
      <w:divBdr>
        <w:top w:val="none" w:sz="0" w:space="0" w:color="auto"/>
        <w:left w:val="none" w:sz="0" w:space="0" w:color="auto"/>
        <w:bottom w:val="none" w:sz="0" w:space="0" w:color="auto"/>
        <w:right w:val="none" w:sz="0" w:space="0" w:color="auto"/>
      </w:divBdr>
    </w:div>
    <w:div w:id="1241254406">
      <w:bodyDiv w:val="1"/>
      <w:marLeft w:val="0"/>
      <w:marRight w:val="0"/>
      <w:marTop w:val="0"/>
      <w:marBottom w:val="0"/>
      <w:divBdr>
        <w:top w:val="none" w:sz="0" w:space="0" w:color="auto"/>
        <w:left w:val="none" w:sz="0" w:space="0" w:color="auto"/>
        <w:bottom w:val="none" w:sz="0" w:space="0" w:color="auto"/>
        <w:right w:val="none" w:sz="0" w:space="0" w:color="auto"/>
      </w:divBdr>
    </w:div>
    <w:div w:id="1295479310">
      <w:bodyDiv w:val="1"/>
      <w:marLeft w:val="0"/>
      <w:marRight w:val="0"/>
      <w:marTop w:val="0"/>
      <w:marBottom w:val="0"/>
      <w:divBdr>
        <w:top w:val="none" w:sz="0" w:space="0" w:color="auto"/>
        <w:left w:val="none" w:sz="0" w:space="0" w:color="auto"/>
        <w:bottom w:val="none" w:sz="0" w:space="0" w:color="auto"/>
        <w:right w:val="none" w:sz="0" w:space="0" w:color="auto"/>
      </w:divBdr>
    </w:div>
    <w:div w:id="1387559521">
      <w:bodyDiv w:val="1"/>
      <w:marLeft w:val="0"/>
      <w:marRight w:val="0"/>
      <w:marTop w:val="0"/>
      <w:marBottom w:val="0"/>
      <w:divBdr>
        <w:top w:val="none" w:sz="0" w:space="0" w:color="auto"/>
        <w:left w:val="none" w:sz="0" w:space="0" w:color="auto"/>
        <w:bottom w:val="none" w:sz="0" w:space="0" w:color="auto"/>
        <w:right w:val="none" w:sz="0" w:space="0" w:color="auto"/>
      </w:divBdr>
    </w:div>
    <w:div w:id="1394158522">
      <w:bodyDiv w:val="1"/>
      <w:marLeft w:val="0"/>
      <w:marRight w:val="0"/>
      <w:marTop w:val="0"/>
      <w:marBottom w:val="0"/>
      <w:divBdr>
        <w:top w:val="none" w:sz="0" w:space="0" w:color="auto"/>
        <w:left w:val="none" w:sz="0" w:space="0" w:color="auto"/>
        <w:bottom w:val="none" w:sz="0" w:space="0" w:color="auto"/>
        <w:right w:val="none" w:sz="0" w:space="0" w:color="auto"/>
      </w:divBdr>
    </w:div>
    <w:div w:id="1420172932">
      <w:bodyDiv w:val="1"/>
      <w:marLeft w:val="0"/>
      <w:marRight w:val="0"/>
      <w:marTop w:val="0"/>
      <w:marBottom w:val="0"/>
      <w:divBdr>
        <w:top w:val="none" w:sz="0" w:space="0" w:color="auto"/>
        <w:left w:val="none" w:sz="0" w:space="0" w:color="auto"/>
        <w:bottom w:val="none" w:sz="0" w:space="0" w:color="auto"/>
        <w:right w:val="none" w:sz="0" w:space="0" w:color="auto"/>
      </w:divBdr>
    </w:div>
    <w:div w:id="1421173193">
      <w:bodyDiv w:val="1"/>
      <w:marLeft w:val="0"/>
      <w:marRight w:val="0"/>
      <w:marTop w:val="0"/>
      <w:marBottom w:val="0"/>
      <w:divBdr>
        <w:top w:val="none" w:sz="0" w:space="0" w:color="auto"/>
        <w:left w:val="none" w:sz="0" w:space="0" w:color="auto"/>
        <w:bottom w:val="none" w:sz="0" w:space="0" w:color="auto"/>
        <w:right w:val="none" w:sz="0" w:space="0" w:color="auto"/>
      </w:divBdr>
    </w:div>
    <w:div w:id="1426150875">
      <w:bodyDiv w:val="1"/>
      <w:marLeft w:val="0"/>
      <w:marRight w:val="0"/>
      <w:marTop w:val="0"/>
      <w:marBottom w:val="0"/>
      <w:divBdr>
        <w:top w:val="none" w:sz="0" w:space="0" w:color="auto"/>
        <w:left w:val="none" w:sz="0" w:space="0" w:color="auto"/>
        <w:bottom w:val="none" w:sz="0" w:space="0" w:color="auto"/>
        <w:right w:val="none" w:sz="0" w:space="0" w:color="auto"/>
      </w:divBdr>
    </w:div>
    <w:div w:id="1480920246">
      <w:bodyDiv w:val="1"/>
      <w:marLeft w:val="0"/>
      <w:marRight w:val="0"/>
      <w:marTop w:val="0"/>
      <w:marBottom w:val="0"/>
      <w:divBdr>
        <w:top w:val="none" w:sz="0" w:space="0" w:color="auto"/>
        <w:left w:val="none" w:sz="0" w:space="0" w:color="auto"/>
        <w:bottom w:val="none" w:sz="0" w:space="0" w:color="auto"/>
        <w:right w:val="none" w:sz="0" w:space="0" w:color="auto"/>
      </w:divBdr>
    </w:div>
    <w:div w:id="1499078997">
      <w:bodyDiv w:val="1"/>
      <w:marLeft w:val="0"/>
      <w:marRight w:val="0"/>
      <w:marTop w:val="0"/>
      <w:marBottom w:val="0"/>
      <w:divBdr>
        <w:top w:val="none" w:sz="0" w:space="0" w:color="auto"/>
        <w:left w:val="none" w:sz="0" w:space="0" w:color="auto"/>
        <w:bottom w:val="none" w:sz="0" w:space="0" w:color="auto"/>
        <w:right w:val="none" w:sz="0" w:space="0" w:color="auto"/>
      </w:divBdr>
    </w:div>
    <w:div w:id="1515878241">
      <w:bodyDiv w:val="1"/>
      <w:marLeft w:val="0"/>
      <w:marRight w:val="0"/>
      <w:marTop w:val="0"/>
      <w:marBottom w:val="0"/>
      <w:divBdr>
        <w:top w:val="none" w:sz="0" w:space="0" w:color="auto"/>
        <w:left w:val="none" w:sz="0" w:space="0" w:color="auto"/>
        <w:bottom w:val="none" w:sz="0" w:space="0" w:color="auto"/>
        <w:right w:val="none" w:sz="0" w:space="0" w:color="auto"/>
      </w:divBdr>
    </w:div>
    <w:div w:id="1532720196">
      <w:bodyDiv w:val="1"/>
      <w:marLeft w:val="0"/>
      <w:marRight w:val="0"/>
      <w:marTop w:val="0"/>
      <w:marBottom w:val="0"/>
      <w:divBdr>
        <w:top w:val="none" w:sz="0" w:space="0" w:color="auto"/>
        <w:left w:val="none" w:sz="0" w:space="0" w:color="auto"/>
        <w:bottom w:val="none" w:sz="0" w:space="0" w:color="auto"/>
        <w:right w:val="none" w:sz="0" w:space="0" w:color="auto"/>
      </w:divBdr>
    </w:div>
    <w:div w:id="1537041653">
      <w:bodyDiv w:val="1"/>
      <w:marLeft w:val="0"/>
      <w:marRight w:val="0"/>
      <w:marTop w:val="0"/>
      <w:marBottom w:val="0"/>
      <w:divBdr>
        <w:top w:val="none" w:sz="0" w:space="0" w:color="auto"/>
        <w:left w:val="none" w:sz="0" w:space="0" w:color="auto"/>
        <w:bottom w:val="none" w:sz="0" w:space="0" w:color="auto"/>
        <w:right w:val="none" w:sz="0" w:space="0" w:color="auto"/>
      </w:divBdr>
    </w:div>
    <w:div w:id="1599097869">
      <w:bodyDiv w:val="1"/>
      <w:marLeft w:val="0"/>
      <w:marRight w:val="0"/>
      <w:marTop w:val="0"/>
      <w:marBottom w:val="0"/>
      <w:divBdr>
        <w:top w:val="none" w:sz="0" w:space="0" w:color="auto"/>
        <w:left w:val="none" w:sz="0" w:space="0" w:color="auto"/>
        <w:bottom w:val="none" w:sz="0" w:space="0" w:color="auto"/>
        <w:right w:val="none" w:sz="0" w:space="0" w:color="auto"/>
      </w:divBdr>
    </w:div>
    <w:div w:id="1610622668">
      <w:bodyDiv w:val="1"/>
      <w:marLeft w:val="0"/>
      <w:marRight w:val="0"/>
      <w:marTop w:val="0"/>
      <w:marBottom w:val="0"/>
      <w:divBdr>
        <w:top w:val="none" w:sz="0" w:space="0" w:color="auto"/>
        <w:left w:val="none" w:sz="0" w:space="0" w:color="auto"/>
        <w:bottom w:val="none" w:sz="0" w:space="0" w:color="auto"/>
        <w:right w:val="none" w:sz="0" w:space="0" w:color="auto"/>
      </w:divBdr>
    </w:div>
    <w:div w:id="1613440194">
      <w:bodyDiv w:val="1"/>
      <w:marLeft w:val="0"/>
      <w:marRight w:val="0"/>
      <w:marTop w:val="0"/>
      <w:marBottom w:val="0"/>
      <w:divBdr>
        <w:top w:val="none" w:sz="0" w:space="0" w:color="auto"/>
        <w:left w:val="none" w:sz="0" w:space="0" w:color="auto"/>
        <w:bottom w:val="none" w:sz="0" w:space="0" w:color="auto"/>
        <w:right w:val="none" w:sz="0" w:space="0" w:color="auto"/>
      </w:divBdr>
    </w:div>
    <w:div w:id="1651594627">
      <w:bodyDiv w:val="1"/>
      <w:marLeft w:val="0"/>
      <w:marRight w:val="0"/>
      <w:marTop w:val="0"/>
      <w:marBottom w:val="0"/>
      <w:divBdr>
        <w:top w:val="none" w:sz="0" w:space="0" w:color="auto"/>
        <w:left w:val="none" w:sz="0" w:space="0" w:color="auto"/>
        <w:bottom w:val="none" w:sz="0" w:space="0" w:color="auto"/>
        <w:right w:val="none" w:sz="0" w:space="0" w:color="auto"/>
      </w:divBdr>
    </w:div>
    <w:div w:id="1656835924">
      <w:bodyDiv w:val="1"/>
      <w:marLeft w:val="0"/>
      <w:marRight w:val="0"/>
      <w:marTop w:val="0"/>
      <w:marBottom w:val="0"/>
      <w:divBdr>
        <w:top w:val="none" w:sz="0" w:space="0" w:color="auto"/>
        <w:left w:val="none" w:sz="0" w:space="0" w:color="auto"/>
        <w:bottom w:val="none" w:sz="0" w:space="0" w:color="auto"/>
        <w:right w:val="none" w:sz="0" w:space="0" w:color="auto"/>
      </w:divBdr>
    </w:div>
    <w:div w:id="1676420472">
      <w:bodyDiv w:val="1"/>
      <w:marLeft w:val="0"/>
      <w:marRight w:val="0"/>
      <w:marTop w:val="0"/>
      <w:marBottom w:val="0"/>
      <w:divBdr>
        <w:top w:val="none" w:sz="0" w:space="0" w:color="auto"/>
        <w:left w:val="none" w:sz="0" w:space="0" w:color="auto"/>
        <w:bottom w:val="none" w:sz="0" w:space="0" w:color="auto"/>
        <w:right w:val="none" w:sz="0" w:space="0" w:color="auto"/>
      </w:divBdr>
    </w:div>
    <w:div w:id="1702783786">
      <w:bodyDiv w:val="1"/>
      <w:marLeft w:val="0"/>
      <w:marRight w:val="0"/>
      <w:marTop w:val="0"/>
      <w:marBottom w:val="0"/>
      <w:divBdr>
        <w:top w:val="none" w:sz="0" w:space="0" w:color="auto"/>
        <w:left w:val="none" w:sz="0" w:space="0" w:color="auto"/>
        <w:bottom w:val="none" w:sz="0" w:space="0" w:color="auto"/>
        <w:right w:val="none" w:sz="0" w:space="0" w:color="auto"/>
      </w:divBdr>
    </w:div>
    <w:div w:id="1705791609">
      <w:bodyDiv w:val="1"/>
      <w:marLeft w:val="0"/>
      <w:marRight w:val="0"/>
      <w:marTop w:val="0"/>
      <w:marBottom w:val="0"/>
      <w:divBdr>
        <w:top w:val="none" w:sz="0" w:space="0" w:color="auto"/>
        <w:left w:val="none" w:sz="0" w:space="0" w:color="auto"/>
        <w:bottom w:val="none" w:sz="0" w:space="0" w:color="auto"/>
        <w:right w:val="none" w:sz="0" w:space="0" w:color="auto"/>
      </w:divBdr>
    </w:div>
    <w:div w:id="1727147251">
      <w:bodyDiv w:val="1"/>
      <w:marLeft w:val="0"/>
      <w:marRight w:val="0"/>
      <w:marTop w:val="0"/>
      <w:marBottom w:val="0"/>
      <w:divBdr>
        <w:top w:val="none" w:sz="0" w:space="0" w:color="auto"/>
        <w:left w:val="none" w:sz="0" w:space="0" w:color="auto"/>
        <w:bottom w:val="none" w:sz="0" w:space="0" w:color="auto"/>
        <w:right w:val="none" w:sz="0" w:space="0" w:color="auto"/>
      </w:divBdr>
    </w:div>
    <w:div w:id="1736274388">
      <w:bodyDiv w:val="1"/>
      <w:marLeft w:val="0"/>
      <w:marRight w:val="0"/>
      <w:marTop w:val="0"/>
      <w:marBottom w:val="0"/>
      <w:divBdr>
        <w:top w:val="none" w:sz="0" w:space="0" w:color="auto"/>
        <w:left w:val="none" w:sz="0" w:space="0" w:color="auto"/>
        <w:bottom w:val="none" w:sz="0" w:space="0" w:color="auto"/>
        <w:right w:val="none" w:sz="0" w:space="0" w:color="auto"/>
      </w:divBdr>
    </w:div>
    <w:div w:id="1760325721">
      <w:bodyDiv w:val="1"/>
      <w:marLeft w:val="0"/>
      <w:marRight w:val="0"/>
      <w:marTop w:val="0"/>
      <w:marBottom w:val="0"/>
      <w:divBdr>
        <w:top w:val="none" w:sz="0" w:space="0" w:color="auto"/>
        <w:left w:val="none" w:sz="0" w:space="0" w:color="auto"/>
        <w:bottom w:val="none" w:sz="0" w:space="0" w:color="auto"/>
        <w:right w:val="none" w:sz="0" w:space="0" w:color="auto"/>
      </w:divBdr>
    </w:div>
    <w:div w:id="1785423543">
      <w:bodyDiv w:val="1"/>
      <w:marLeft w:val="0"/>
      <w:marRight w:val="0"/>
      <w:marTop w:val="0"/>
      <w:marBottom w:val="0"/>
      <w:divBdr>
        <w:top w:val="none" w:sz="0" w:space="0" w:color="auto"/>
        <w:left w:val="none" w:sz="0" w:space="0" w:color="auto"/>
        <w:bottom w:val="none" w:sz="0" w:space="0" w:color="auto"/>
        <w:right w:val="none" w:sz="0" w:space="0" w:color="auto"/>
      </w:divBdr>
    </w:div>
    <w:div w:id="1801603855">
      <w:bodyDiv w:val="1"/>
      <w:marLeft w:val="0"/>
      <w:marRight w:val="0"/>
      <w:marTop w:val="0"/>
      <w:marBottom w:val="0"/>
      <w:divBdr>
        <w:top w:val="none" w:sz="0" w:space="0" w:color="auto"/>
        <w:left w:val="none" w:sz="0" w:space="0" w:color="auto"/>
        <w:bottom w:val="none" w:sz="0" w:space="0" w:color="auto"/>
        <w:right w:val="none" w:sz="0" w:space="0" w:color="auto"/>
      </w:divBdr>
    </w:div>
    <w:div w:id="1815296339">
      <w:bodyDiv w:val="1"/>
      <w:marLeft w:val="0"/>
      <w:marRight w:val="0"/>
      <w:marTop w:val="0"/>
      <w:marBottom w:val="0"/>
      <w:divBdr>
        <w:top w:val="none" w:sz="0" w:space="0" w:color="auto"/>
        <w:left w:val="none" w:sz="0" w:space="0" w:color="auto"/>
        <w:bottom w:val="none" w:sz="0" w:space="0" w:color="auto"/>
        <w:right w:val="none" w:sz="0" w:space="0" w:color="auto"/>
      </w:divBdr>
    </w:div>
    <w:div w:id="1817792727">
      <w:bodyDiv w:val="1"/>
      <w:marLeft w:val="0"/>
      <w:marRight w:val="0"/>
      <w:marTop w:val="0"/>
      <w:marBottom w:val="0"/>
      <w:divBdr>
        <w:top w:val="none" w:sz="0" w:space="0" w:color="auto"/>
        <w:left w:val="none" w:sz="0" w:space="0" w:color="auto"/>
        <w:bottom w:val="none" w:sz="0" w:space="0" w:color="auto"/>
        <w:right w:val="none" w:sz="0" w:space="0" w:color="auto"/>
      </w:divBdr>
    </w:div>
    <w:div w:id="1828128337">
      <w:bodyDiv w:val="1"/>
      <w:marLeft w:val="0"/>
      <w:marRight w:val="0"/>
      <w:marTop w:val="0"/>
      <w:marBottom w:val="0"/>
      <w:divBdr>
        <w:top w:val="none" w:sz="0" w:space="0" w:color="auto"/>
        <w:left w:val="none" w:sz="0" w:space="0" w:color="auto"/>
        <w:bottom w:val="none" w:sz="0" w:space="0" w:color="auto"/>
        <w:right w:val="none" w:sz="0" w:space="0" w:color="auto"/>
      </w:divBdr>
    </w:div>
    <w:div w:id="1896116428">
      <w:bodyDiv w:val="1"/>
      <w:marLeft w:val="0"/>
      <w:marRight w:val="0"/>
      <w:marTop w:val="0"/>
      <w:marBottom w:val="0"/>
      <w:divBdr>
        <w:top w:val="none" w:sz="0" w:space="0" w:color="auto"/>
        <w:left w:val="none" w:sz="0" w:space="0" w:color="auto"/>
        <w:bottom w:val="none" w:sz="0" w:space="0" w:color="auto"/>
        <w:right w:val="none" w:sz="0" w:space="0" w:color="auto"/>
      </w:divBdr>
    </w:div>
    <w:div w:id="1953052316">
      <w:bodyDiv w:val="1"/>
      <w:marLeft w:val="0"/>
      <w:marRight w:val="0"/>
      <w:marTop w:val="0"/>
      <w:marBottom w:val="0"/>
      <w:divBdr>
        <w:top w:val="none" w:sz="0" w:space="0" w:color="auto"/>
        <w:left w:val="none" w:sz="0" w:space="0" w:color="auto"/>
        <w:bottom w:val="none" w:sz="0" w:space="0" w:color="auto"/>
        <w:right w:val="none" w:sz="0" w:space="0" w:color="auto"/>
      </w:divBdr>
    </w:div>
    <w:div w:id="2027824845">
      <w:bodyDiv w:val="1"/>
      <w:marLeft w:val="0"/>
      <w:marRight w:val="0"/>
      <w:marTop w:val="0"/>
      <w:marBottom w:val="0"/>
      <w:divBdr>
        <w:top w:val="none" w:sz="0" w:space="0" w:color="auto"/>
        <w:left w:val="none" w:sz="0" w:space="0" w:color="auto"/>
        <w:bottom w:val="none" w:sz="0" w:space="0" w:color="auto"/>
        <w:right w:val="none" w:sz="0" w:space="0" w:color="auto"/>
      </w:divBdr>
    </w:div>
    <w:div w:id="2061632963">
      <w:bodyDiv w:val="1"/>
      <w:marLeft w:val="0"/>
      <w:marRight w:val="0"/>
      <w:marTop w:val="0"/>
      <w:marBottom w:val="0"/>
      <w:divBdr>
        <w:top w:val="none" w:sz="0" w:space="0" w:color="auto"/>
        <w:left w:val="none" w:sz="0" w:space="0" w:color="auto"/>
        <w:bottom w:val="none" w:sz="0" w:space="0" w:color="auto"/>
        <w:right w:val="none" w:sz="0" w:space="0" w:color="auto"/>
      </w:divBdr>
    </w:div>
    <w:div w:id="208024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6472.pdf" TargetMode="External"/><Relationship Id="rId13" Type="http://schemas.openxmlformats.org/officeDocument/2006/relationships/hyperlink" Target="https://likumi.lv/ta/id/107820" TargetMode="External"/><Relationship Id="rId18" Type="http://schemas.openxmlformats.org/officeDocument/2006/relationships/hyperlink" Target="https://hudoc.echr.coe.int/eng?i=002-9586" TargetMode="External"/><Relationship Id="rId3" Type="http://schemas.openxmlformats.org/officeDocument/2006/relationships/settings" Target="settings.xml"/><Relationship Id="rId21" Type="http://schemas.openxmlformats.org/officeDocument/2006/relationships/hyperlink" Target="https://manas.tiesas.lv/eTiesasMvc/nolemumi/pdf/516942.pdf" TargetMode="External"/><Relationship Id="rId7" Type="http://schemas.openxmlformats.org/officeDocument/2006/relationships/hyperlink" Target="https://gateway.elieta.lv/api/v1/PublicMaterialDownload/669fcbdd-c570-4dad-821c-9aae456915cc" TargetMode="External"/><Relationship Id="rId12" Type="http://schemas.openxmlformats.org/officeDocument/2006/relationships/hyperlink" Target="https://manas.tiesas.lv/eTiesasMvc/nolemumi/pdf/546472.pdf" TargetMode="External"/><Relationship Id="rId17" Type="http://schemas.openxmlformats.org/officeDocument/2006/relationships/hyperlink" Target="https://hudoc.echr.coe.int/eng?i=002-9586" TargetMode="External"/><Relationship Id="rId2" Type="http://schemas.openxmlformats.org/officeDocument/2006/relationships/styles" Target="styles.xml"/><Relationship Id="rId16" Type="http://schemas.openxmlformats.org/officeDocument/2006/relationships/hyperlink" Target="https://hudoc.echr.coe.int/eng?i=001-110895" TargetMode="External"/><Relationship Id="rId20" Type="http://schemas.openxmlformats.org/officeDocument/2006/relationships/hyperlink" Target="https://manas.tiesas.lv/eTiesasMvc/eclinolemumi/ECLI:LV:AT:2020:0924.A420249016.9.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nolemumi/pdf/546472.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t.gov.lv/downloadlawfile/5449" TargetMode="External"/><Relationship Id="rId23" Type="http://schemas.openxmlformats.org/officeDocument/2006/relationships/fontTable" Target="fontTable.xml"/><Relationship Id="rId10" Type="http://schemas.openxmlformats.org/officeDocument/2006/relationships/hyperlink" Target="https://manas.tiesas.lv/eTiesasMvc/nolemumi/pdf/444290.pdf" TargetMode="External"/><Relationship Id="rId19" Type="http://schemas.openxmlformats.org/officeDocument/2006/relationships/hyperlink" Target="https://hudoc.echr.coe.int/eng?i=001-102336" TargetMode="External"/><Relationship Id="rId4" Type="http://schemas.openxmlformats.org/officeDocument/2006/relationships/webSettings" Target="webSettings.xml"/><Relationship Id="rId9" Type="http://schemas.openxmlformats.org/officeDocument/2006/relationships/hyperlink" Target="https://manas.tiesas.lv/eTiesasMvc/nolemumi/pdf/485950.pdf" TargetMode="External"/><Relationship Id="rId14" Type="http://schemas.openxmlformats.org/officeDocument/2006/relationships/hyperlink" Target="https://likumi.lv/ta/id/10782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21388</Words>
  <Characters>12192</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2025-09-11T13:46:00Z</dcterms:created>
  <dcterms:modified xsi:type="dcterms:W3CDTF">2025-09-12T09:44:00Z</dcterms:modified>
</cp:coreProperties>
</file>