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583A" w14:textId="77777777" w:rsidR="006513C5" w:rsidRPr="006513C5" w:rsidRDefault="006513C5" w:rsidP="006513C5">
      <w:pPr>
        <w:spacing w:line="276" w:lineRule="auto"/>
        <w:jc w:val="both"/>
        <w:rPr>
          <w:b/>
          <w:bCs/>
          <w:lang w:eastAsia="lv-LV"/>
        </w:rPr>
      </w:pPr>
      <w:r w:rsidRPr="006513C5">
        <w:rPr>
          <w:b/>
          <w:bCs/>
          <w:lang w:eastAsia="lv-LV"/>
        </w:rPr>
        <w:t>No pirmās instances tiesas sprieduma atšķirīga soda mēra noteikšanas pamatojums apelācijas instances tiesas nolēmumā</w:t>
      </w:r>
    </w:p>
    <w:p w14:paraId="220C9066" w14:textId="77777777" w:rsidR="006513C5" w:rsidRPr="006513C5" w:rsidRDefault="006513C5" w:rsidP="006513C5">
      <w:pPr>
        <w:spacing w:line="276" w:lineRule="auto"/>
        <w:jc w:val="both"/>
        <w:rPr>
          <w:lang w:eastAsia="lv-LV"/>
        </w:rPr>
      </w:pPr>
      <w:r w:rsidRPr="006513C5">
        <w:rPr>
          <w:lang w:eastAsia="lv-LV"/>
        </w:rPr>
        <w:t>Apelācijas instances tiesa, konstatējot tam pamatu, var mainīt piemēroto soda mēru, taču šāds lēmums nevar būt patvaļīgs. Apelācijas instances tiesa, īstenojot tai piešķirtās pilnvaras lietas atkārtotā izskatīšanā pēc būtības, jebkādas izmaiņas personai noteiktajā sodā nolēmumā pamato ar konkrētiem, juridiskiem argumentiem, kas izriet no lietā konstatētajiem faktiskajiem apstākļiem un tiesību normu pareizas piemērošanas.</w:t>
      </w:r>
    </w:p>
    <w:p w14:paraId="64C048E7" w14:textId="77777777" w:rsidR="00881231" w:rsidRPr="006513C5" w:rsidRDefault="00881231" w:rsidP="006513C5">
      <w:pPr>
        <w:spacing w:line="276" w:lineRule="auto"/>
        <w:rPr>
          <w:b/>
          <w:bCs/>
          <w:lang w:eastAsia="lv-LV"/>
        </w:rPr>
      </w:pPr>
    </w:p>
    <w:p w14:paraId="30EF74F0" w14:textId="71ABEED6" w:rsidR="00447EE6" w:rsidRPr="006513C5" w:rsidRDefault="00447EE6" w:rsidP="006513C5">
      <w:pPr>
        <w:spacing w:line="276" w:lineRule="auto"/>
        <w:jc w:val="center"/>
        <w:rPr>
          <w:b/>
          <w:bCs/>
        </w:rPr>
      </w:pPr>
      <w:r w:rsidRPr="006513C5">
        <w:rPr>
          <w:b/>
          <w:bCs/>
        </w:rPr>
        <w:t>Latvijas Republikas Senāt</w:t>
      </w:r>
      <w:r w:rsidR="006513C5" w:rsidRPr="006513C5">
        <w:rPr>
          <w:b/>
          <w:bCs/>
        </w:rPr>
        <w:t>a</w:t>
      </w:r>
    </w:p>
    <w:p w14:paraId="73B932D2" w14:textId="7416DF62" w:rsidR="006513C5" w:rsidRPr="006513C5" w:rsidRDefault="006513C5" w:rsidP="006513C5">
      <w:pPr>
        <w:spacing w:line="276" w:lineRule="auto"/>
        <w:jc w:val="center"/>
        <w:rPr>
          <w:b/>
          <w:bCs/>
          <w:lang w:eastAsia="lv-LV"/>
        </w:rPr>
      </w:pPr>
      <w:r w:rsidRPr="006513C5">
        <w:rPr>
          <w:b/>
          <w:bCs/>
          <w:lang w:eastAsia="lv-LV"/>
        </w:rPr>
        <w:t>Krimināllietu departament</w:t>
      </w:r>
      <w:r w:rsidRPr="006513C5">
        <w:rPr>
          <w:b/>
          <w:bCs/>
          <w:lang w:eastAsia="lv-LV"/>
        </w:rPr>
        <w:t>a</w:t>
      </w:r>
    </w:p>
    <w:p w14:paraId="68016C51" w14:textId="01B80FCE" w:rsidR="006513C5" w:rsidRPr="006513C5" w:rsidRDefault="006513C5" w:rsidP="006513C5">
      <w:pPr>
        <w:spacing w:line="276" w:lineRule="auto"/>
        <w:jc w:val="center"/>
        <w:rPr>
          <w:b/>
          <w:bCs/>
        </w:rPr>
      </w:pPr>
      <w:r w:rsidRPr="006513C5">
        <w:rPr>
          <w:b/>
          <w:bCs/>
        </w:rPr>
        <w:t>2025. gada 27. august</w:t>
      </w:r>
      <w:r w:rsidRPr="006513C5">
        <w:rPr>
          <w:b/>
          <w:bCs/>
        </w:rPr>
        <w:t>a</w:t>
      </w:r>
    </w:p>
    <w:p w14:paraId="6D65DEB2" w14:textId="1A75EA7D" w:rsidR="00447EE6" w:rsidRPr="006513C5" w:rsidRDefault="006D5C62" w:rsidP="006513C5">
      <w:pPr>
        <w:spacing w:line="276" w:lineRule="auto"/>
        <w:jc w:val="center"/>
        <w:rPr>
          <w:b/>
          <w:bCs/>
        </w:rPr>
      </w:pPr>
      <w:r w:rsidRPr="006513C5">
        <w:rPr>
          <w:b/>
          <w:bCs/>
        </w:rPr>
        <w:t>LĒMUMS</w:t>
      </w:r>
    </w:p>
    <w:p w14:paraId="5E8B5B4C" w14:textId="77777777" w:rsidR="006513C5" w:rsidRPr="006513C5" w:rsidRDefault="006513C5" w:rsidP="006513C5">
      <w:pPr>
        <w:spacing w:line="276" w:lineRule="auto"/>
        <w:jc w:val="center"/>
        <w:rPr>
          <w:b/>
          <w:bCs/>
          <w:lang w:eastAsia="lv-LV"/>
        </w:rPr>
      </w:pPr>
      <w:r w:rsidRPr="006513C5">
        <w:rPr>
          <w:b/>
          <w:bCs/>
          <w:lang w:eastAsia="lv-LV"/>
        </w:rPr>
        <w:t>Lieta Nr. 12814000719, SKK</w:t>
      </w:r>
      <w:r w:rsidRPr="006513C5">
        <w:rPr>
          <w:b/>
          <w:bCs/>
          <w:lang w:eastAsia="lv-LV"/>
        </w:rPr>
        <w:noBreakHyphen/>
        <w:t>101/2025</w:t>
      </w:r>
    </w:p>
    <w:p w14:paraId="781D45C0" w14:textId="44B4DD1C" w:rsidR="00447EE6" w:rsidRPr="003E7DCE" w:rsidRDefault="006513C5" w:rsidP="006513C5">
      <w:pPr>
        <w:spacing w:line="276" w:lineRule="auto"/>
        <w:jc w:val="center"/>
      </w:pPr>
      <w:hyperlink r:id="rId8" w:history="1">
        <w:r w:rsidRPr="006513C5">
          <w:rPr>
            <w:rStyle w:val="Hyperlink"/>
          </w:rPr>
          <w:t>ECLI:LV:AT:2025:082</w:t>
        </w:r>
        <w:r w:rsidRPr="006513C5">
          <w:rPr>
            <w:rStyle w:val="Hyperlink"/>
          </w:rPr>
          <w:t>7</w:t>
        </w:r>
        <w:r w:rsidRPr="006513C5">
          <w:rPr>
            <w:rStyle w:val="Hyperlink"/>
          </w:rPr>
          <w:t>.12814000719.8.L</w:t>
        </w:r>
      </w:hyperlink>
    </w:p>
    <w:p w14:paraId="536B4ACC" w14:textId="77777777" w:rsidR="006D5C62" w:rsidRPr="00272EC6" w:rsidRDefault="006D5C62" w:rsidP="0058698A">
      <w:pPr>
        <w:spacing w:line="276" w:lineRule="auto"/>
        <w:ind w:firstLine="720"/>
        <w:jc w:val="center"/>
      </w:pPr>
    </w:p>
    <w:p w14:paraId="1609D6F5" w14:textId="411B2B22" w:rsidR="00447EE6" w:rsidRDefault="00447EE6" w:rsidP="0058698A">
      <w:pPr>
        <w:spacing w:line="276" w:lineRule="auto"/>
        <w:ind w:firstLine="720"/>
        <w:jc w:val="both"/>
      </w:pPr>
      <w:r w:rsidRPr="00272EC6">
        <w:t>Senāts šādā sastāvā:</w:t>
      </w:r>
      <w:r w:rsidR="006D5C62" w:rsidRPr="00272EC6">
        <w:t xml:space="preserve"> senatore referente Sandra Kaija, senator</w:t>
      </w:r>
      <w:r w:rsidR="004D780A">
        <w:t>i</w:t>
      </w:r>
      <w:r w:rsidR="008C6913">
        <w:t xml:space="preserve"> Inguna Radzeviča</w:t>
      </w:r>
      <w:r w:rsidR="00A303AF">
        <w:t xml:space="preserve"> un</w:t>
      </w:r>
      <w:r w:rsidR="00E7163F">
        <w:t xml:space="preserve"> </w:t>
      </w:r>
      <w:r w:rsidR="004D780A">
        <w:t>Aivars Uminskis</w:t>
      </w:r>
    </w:p>
    <w:p w14:paraId="41A28065" w14:textId="77777777" w:rsidR="006D5C62" w:rsidRDefault="006D5C62" w:rsidP="0058698A">
      <w:pPr>
        <w:spacing w:line="276" w:lineRule="auto"/>
        <w:ind w:firstLine="720"/>
        <w:jc w:val="both"/>
        <w:rPr>
          <w:lang w:eastAsia="lv-LV"/>
        </w:rPr>
      </w:pPr>
    </w:p>
    <w:p w14:paraId="7E850A44" w14:textId="2AF1C9E6" w:rsidR="00F90281" w:rsidRDefault="00F90281" w:rsidP="0058698A">
      <w:pPr>
        <w:spacing w:line="276" w:lineRule="auto"/>
        <w:ind w:firstLine="720"/>
        <w:jc w:val="both"/>
        <w:rPr>
          <w:lang w:eastAsia="lv-LV"/>
        </w:rPr>
      </w:pPr>
      <w:r>
        <w:rPr>
          <w:lang w:eastAsia="lv-LV"/>
        </w:rPr>
        <w:t xml:space="preserve">rakstveida procesā izskatīja krimināllietu sakarā ar </w:t>
      </w:r>
      <w:r w:rsidR="004D780A">
        <w:rPr>
          <w:lang w:eastAsia="lv-LV"/>
        </w:rPr>
        <w:t xml:space="preserve">Nodokļu un muitas lietu prokuratūras </w:t>
      </w:r>
      <w:r w:rsidR="009C6AF4">
        <w:rPr>
          <w:lang w:eastAsia="lv-LV"/>
        </w:rPr>
        <w:t>prokurore</w:t>
      </w:r>
      <w:r w:rsidR="00077777">
        <w:rPr>
          <w:lang w:eastAsia="lv-LV"/>
        </w:rPr>
        <w:t>s</w:t>
      </w:r>
      <w:r w:rsidR="009C6AF4">
        <w:rPr>
          <w:lang w:eastAsia="lv-LV"/>
        </w:rPr>
        <w:t xml:space="preserve"> </w:t>
      </w:r>
      <w:r w:rsidR="004D780A">
        <w:rPr>
          <w:lang w:eastAsia="lv-LV"/>
        </w:rPr>
        <w:t>Oksanas Vasiļevskas</w:t>
      </w:r>
      <w:r w:rsidR="007B1868">
        <w:rPr>
          <w:lang w:eastAsia="lv-LV"/>
        </w:rPr>
        <w:t xml:space="preserve"> </w:t>
      </w:r>
      <w:r>
        <w:rPr>
          <w:lang w:eastAsia="lv-LV"/>
        </w:rPr>
        <w:t xml:space="preserve">kasācijas </w:t>
      </w:r>
      <w:r w:rsidR="004D780A">
        <w:rPr>
          <w:lang w:eastAsia="lv-LV"/>
        </w:rPr>
        <w:t>protestu</w:t>
      </w:r>
      <w:r>
        <w:rPr>
          <w:lang w:eastAsia="lv-LV"/>
        </w:rPr>
        <w:t xml:space="preserve"> </w:t>
      </w:r>
      <w:r w:rsidR="009C6AF4">
        <w:rPr>
          <w:lang w:eastAsia="lv-LV"/>
        </w:rPr>
        <w:t xml:space="preserve">un tā papildinājumiem </w:t>
      </w:r>
      <w:r>
        <w:rPr>
          <w:lang w:eastAsia="lv-LV"/>
        </w:rPr>
        <w:t xml:space="preserve">par </w:t>
      </w:r>
      <w:r w:rsidR="004D780A">
        <w:rPr>
          <w:lang w:eastAsia="lv-LV"/>
        </w:rPr>
        <w:t>Kurzemes</w:t>
      </w:r>
      <w:r w:rsidR="006C7760">
        <w:rPr>
          <w:lang w:eastAsia="lv-LV"/>
        </w:rPr>
        <w:t xml:space="preserve"> </w:t>
      </w:r>
      <w:r>
        <w:rPr>
          <w:lang w:eastAsia="lv-LV"/>
        </w:rPr>
        <w:t xml:space="preserve">apgabaltiesas 2024. gada </w:t>
      </w:r>
      <w:r w:rsidR="004D780A">
        <w:rPr>
          <w:lang w:eastAsia="lv-LV"/>
        </w:rPr>
        <w:t>19. augusta</w:t>
      </w:r>
      <w:r>
        <w:rPr>
          <w:lang w:eastAsia="lv-LV"/>
        </w:rPr>
        <w:t xml:space="preserve"> </w:t>
      </w:r>
      <w:r w:rsidR="004F4923">
        <w:rPr>
          <w:lang w:eastAsia="lv-LV"/>
        </w:rPr>
        <w:t>spriedumu</w:t>
      </w:r>
      <w:r>
        <w:rPr>
          <w:lang w:eastAsia="lv-LV"/>
        </w:rPr>
        <w:t>.</w:t>
      </w:r>
    </w:p>
    <w:p w14:paraId="15A5FC97" w14:textId="77777777" w:rsidR="00F90281" w:rsidRDefault="00F90281" w:rsidP="0058698A">
      <w:pPr>
        <w:spacing w:line="276" w:lineRule="auto"/>
        <w:ind w:firstLine="720"/>
        <w:jc w:val="both"/>
        <w:rPr>
          <w:lang w:eastAsia="lv-LV"/>
        </w:rPr>
      </w:pPr>
    </w:p>
    <w:p w14:paraId="12882064" w14:textId="77777777" w:rsidR="00447EE6" w:rsidRDefault="00447EE6" w:rsidP="0058698A">
      <w:pPr>
        <w:spacing w:line="276" w:lineRule="auto"/>
        <w:jc w:val="center"/>
        <w:rPr>
          <w:b/>
          <w:shd w:val="clear" w:color="auto" w:fill="FFFFFF"/>
        </w:rPr>
      </w:pPr>
      <w:r w:rsidRPr="00011547">
        <w:rPr>
          <w:b/>
          <w:shd w:val="clear" w:color="auto" w:fill="FFFFFF"/>
        </w:rPr>
        <w:t>Aprakstošā daļa</w:t>
      </w:r>
    </w:p>
    <w:p w14:paraId="2F0D3F0F" w14:textId="77777777" w:rsidR="006D5C62" w:rsidRPr="006D5C62" w:rsidRDefault="006D5C62" w:rsidP="0058698A">
      <w:pPr>
        <w:spacing w:line="276" w:lineRule="auto"/>
        <w:ind w:firstLine="720"/>
        <w:jc w:val="center"/>
        <w:rPr>
          <w:bCs/>
          <w:shd w:val="clear" w:color="auto" w:fill="FFFFFF"/>
        </w:rPr>
      </w:pPr>
    </w:p>
    <w:p w14:paraId="0B4F5653" w14:textId="7D78F696" w:rsidR="00447EE6" w:rsidRDefault="00447EE6" w:rsidP="0058698A">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5A6004">
        <w:rPr>
          <w:shd w:val="clear" w:color="auto" w:fill="FFFFFF"/>
        </w:rPr>
        <w:t> </w:t>
      </w:r>
      <w:r w:rsidR="00F90281">
        <w:rPr>
          <w:shd w:val="clear" w:color="auto" w:fill="FFFFFF"/>
        </w:rPr>
        <w:t xml:space="preserve">Ar </w:t>
      </w:r>
      <w:r w:rsidR="000B326F">
        <w:rPr>
          <w:shd w:val="clear" w:color="auto" w:fill="FFFFFF"/>
        </w:rPr>
        <w:t>Kurzemes rajona</w:t>
      </w:r>
      <w:r w:rsidR="004F4923">
        <w:rPr>
          <w:shd w:val="clear" w:color="auto" w:fill="FFFFFF"/>
        </w:rPr>
        <w:t xml:space="preserve"> tiesas</w:t>
      </w:r>
      <w:r w:rsidR="00F90281">
        <w:rPr>
          <w:shd w:val="clear" w:color="auto" w:fill="FFFFFF"/>
        </w:rPr>
        <w:t xml:space="preserve"> 202</w:t>
      </w:r>
      <w:r w:rsidR="000B326F">
        <w:rPr>
          <w:shd w:val="clear" w:color="auto" w:fill="FFFFFF"/>
        </w:rPr>
        <w:t>4</w:t>
      </w:r>
      <w:r w:rsidR="00F90281">
        <w:rPr>
          <w:shd w:val="clear" w:color="auto" w:fill="FFFFFF"/>
        </w:rPr>
        <w:t xml:space="preserve">. gada </w:t>
      </w:r>
      <w:r w:rsidR="000B326F">
        <w:rPr>
          <w:shd w:val="clear" w:color="auto" w:fill="FFFFFF"/>
        </w:rPr>
        <w:t>23.</w:t>
      </w:r>
      <w:r w:rsidR="000B326F">
        <w:t> maija</w:t>
      </w:r>
      <w:r w:rsidR="00F90281">
        <w:rPr>
          <w:shd w:val="clear" w:color="auto" w:fill="FFFFFF"/>
        </w:rPr>
        <w:t xml:space="preserve"> spriedumu</w:t>
      </w:r>
    </w:p>
    <w:p w14:paraId="440F9E36" w14:textId="43A9D07B" w:rsidR="00F90281" w:rsidRDefault="006513C5" w:rsidP="006513C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[pers.</w:t>
      </w:r>
      <w:r w:rsidR="00342B3B">
        <w:rPr>
          <w:shd w:val="clear" w:color="auto" w:fill="FFFFFF"/>
        </w:rPr>
        <w:t> </w:t>
      </w:r>
      <w:r>
        <w:rPr>
          <w:shd w:val="clear" w:color="auto" w:fill="FFFFFF"/>
        </w:rPr>
        <w:t>A]</w:t>
      </w:r>
      <w:r w:rsidR="00F90281">
        <w:rPr>
          <w:shd w:val="clear" w:color="auto" w:fill="FFFFFF"/>
        </w:rPr>
        <w:t xml:space="preserve">, personas kods </w:t>
      </w:r>
      <w:r>
        <w:rPr>
          <w:shd w:val="clear" w:color="auto" w:fill="FFFFFF"/>
        </w:rPr>
        <w:t>[..]</w:t>
      </w:r>
      <w:r w:rsidR="00F90281">
        <w:rPr>
          <w:shd w:val="clear" w:color="auto" w:fill="FFFFFF"/>
        </w:rPr>
        <w:t>,</w:t>
      </w:r>
    </w:p>
    <w:p w14:paraId="075B4B3F" w14:textId="13F6BE94" w:rsidR="000B326F" w:rsidRDefault="000B326F" w:rsidP="0058698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atzīts par vainīgu Krimināllikuma 217.</w:t>
      </w:r>
      <w:r w:rsidRPr="000B326F">
        <w:rPr>
          <w:shd w:val="clear" w:color="auto" w:fill="FFFFFF"/>
          <w:vertAlign w:val="superscript"/>
        </w:rPr>
        <w:t>1</w:t>
      </w:r>
      <w:r>
        <w:rPr>
          <w:shd w:val="clear" w:color="auto" w:fill="FFFFFF"/>
        </w:rPr>
        <w:t> pantā paredzētajā noziedzīgajā nodarījumā un sodīts ar brīvības atņemšanu uz 1 gadu, atņemot tiesības ieņemt valdes locekļa amatu kapitālsabiedrībā uz 1 gadu 6 mēnešiem;</w:t>
      </w:r>
    </w:p>
    <w:p w14:paraId="09A5255E" w14:textId="4050C2DB" w:rsidR="00EA6035" w:rsidRDefault="00F90281" w:rsidP="0058698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atzīts </w:t>
      </w:r>
      <w:r w:rsidR="004F4923">
        <w:rPr>
          <w:shd w:val="clear" w:color="auto" w:fill="FFFFFF"/>
        </w:rPr>
        <w:t xml:space="preserve">par vainīgu Krimināllikuma 218. panta otrajā daļā paredzētajā noziedzīgajā nodarījumā un sodīts ar </w:t>
      </w:r>
      <w:r w:rsidR="002B6BEF">
        <w:rPr>
          <w:shd w:val="clear" w:color="auto" w:fill="FFFFFF"/>
        </w:rPr>
        <w:t xml:space="preserve">brīvības atņemšanu uz </w:t>
      </w:r>
      <w:r w:rsidR="000B326F">
        <w:rPr>
          <w:shd w:val="clear" w:color="auto" w:fill="FFFFFF"/>
        </w:rPr>
        <w:t>2 gadiem, atņemot tiesības ieņemt valdes locekļa amatu kapitālsabiedrībā uz 3 gadiem.</w:t>
      </w:r>
    </w:p>
    <w:p w14:paraId="104A0938" w14:textId="46D37837" w:rsidR="000B326F" w:rsidRDefault="000B326F" w:rsidP="0058698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Saskaņā ar Krimināllikuma 50. panta pirmo un trešo daļu galīgais sods </w:t>
      </w:r>
      <w:r w:rsidR="00D23FE6">
        <w:rPr>
          <w:shd w:val="clear" w:color="auto" w:fill="FFFFFF"/>
        </w:rPr>
        <w:t>[pers.</w:t>
      </w:r>
      <w:r w:rsidR="00342B3B">
        <w:rPr>
          <w:shd w:val="clear" w:color="auto" w:fill="FFFFFF"/>
        </w:rPr>
        <w:t> </w:t>
      </w:r>
      <w:r w:rsidR="00D23FE6">
        <w:rPr>
          <w:shd w:val="clear" w:color="auto" w:fill="FFFFFF"/>
        </w:rPr>
        <w:t>A]</w:t>
      </w:r>
      <w:r w:rsidR="00D23FE6">
        <w:rPr>
          <w:shd w:val="clear" w:color="auto" w:fill="FFFFFF"/>
        </w:rPr>
        <w:t xml:space="preserve"> </w:t>
      </w:r>
      <w:r>
        <w:rPr>
          <w:shd w:val="clear" w:color="auto" w:fill="FFFFFF"/>
        </w:rPr>
        <w:t>noteikts brīvības atņemšana uz 2 gadiem 6 mēnešiem,</w:t>
      </w:r>
      <w:r w:rsidRPr="000B326F">
        <w:rPr>
          <w:shd w:val="clear" w:color="auto" w:fill="FFFFFF"/>
        </w:rPr>
        <w:t xml:space="preserve"> </w:t>
      </w:r>
      <w:r>
        <w:rPr>
          <w:shd w:val="clear" w:color="auto" w:fill="FFFFFF"/>
        </w:rPr>
        <w:t>atņemot tiesības ieņemt valdes locekļa amatu kapitālsabiedrībā uz 3 gadiem 6 mēnešiem.</w:t>
      </w:r>
    </w:p>
    <w:p w14:paraId="5C4AF7F8" w14:textId="59987DAA" w:rsidR="000B326F" w:rsidRDefault="000B326F" w:rsidP="0058698A">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No </w:t>
      </w:r>
      <w:r w:rsidR="00D23FE6">
        <w:rPr>
          <w:shd w:val="clear" w:color="auto" w:fill="FFFFFF"/>
        </w:rPr>
        <w:t>[pers.</w:t>
      </w:r>
      <w:r w:rsidR="00342B3B">
        <w:rPr>
          <w:shd w:val="clear" w:color="auto" w:fill="FFFFFF"/>
        </w:rPr>
        <w:t> </w:t>
      </w:r>
      <w:r w:rsidR="00D23FE6">
        <w:rPr>
          <w:shd w:val="clear" w:color="auto" w:fill="FFFFFF"/>
        </w:rPr>
        <w:t>A]</w:t>
      </w:r>
      <w:r>
        <w:rPr>
          <w:shd w:val="clear" w:color="auto" w:fill="FFFFFF"/>
        </w:rPr>
        <w:t xml:space="preserve"> valsts labā </w:t>
      </w:r>
      <w:r w:rsidRPr="00731886">
        <w:rPr>
          <w:shd w:val="clear" w:color="auto" w:fill="FFFFFF"/>
        </w:rPr>
        <w:t>piedzīta kaitējuma kompensācija</w:t>
      </w:r>
      <w:r>
        <w:rPr>
          <w:shd w:val="clear" w:color="auto" w:fill="FFFFFF"/>
        </w:rPr>
        <w:t xml:space="preserve"> 525 934,70 </w:t>
      </w:r>
      <w:r w:rsidRPr="002B6BEF">
        <w:rPr>
          <w:i/>
          <w:iCs/>
          <w:shd w:val="clear" w:color="auto" w:fill="FFFFFF"/>
        </w:rPr>
        <w:t>euro</w:t>
      </w:r>
      <w:r>
        <w:rPr>
          <w:shd w:val="clear" w:color="auto" w:fill="FFFFFF"/>
        </w:rPr>
        <w:t>.</w:t>
      </w:r>
    </w:p>
    <w:p w14:paraId="3A21D171" w14:textId="77777777" w:rsidR="002B6BEF" w:rsidRDefault="002B6BEF" w:rsidP="0058698A">
      <w:pPr>
        <w:pStyle w:val="NormalWeb"/>
        <w:shd w:val="clear" w:color="auto" w:fill="FFFFFF"/>
        <w:spacing w:before="0" w:beforeAutospacing="0" w:after="0" w:afterAutospacing="0" w:line="276" w:lineRule="auto"/>
        <w:ind w:firstLine="720"/>
        <w:jc w:val="both"/>
        <w:rPr>
          <w:shd w:val="clear" w:color="auto" w:fill="FFFFFF"/>
        </w:rPr>
      </w:pPr>
    </w:p>
    <w:p w14:paraId="67759194" w14:textId="58598BC5" w:rsidR="006D5C62" w:rsidRDefault="00230E94" w:rsidP="0058698A">
      <w:pPr>
        <w:pStyle w:val="NormalWeb"/>
        <w:shd w:val="clear" w:color="auto" w:fill="FFFFFF"/>
        <w:spacing w:before="0" w:beforeAutospacing="0" w:after="0" w:afterAutospacing="0" w:line="276" w:lineRule="auto"/>
        <w:ind w:firstLine="720"/>
        <w:jc w:val="both"/>
      </w:pPr>
      <w:r>
        <w:t>[2] </w:t>
      </w:r>
      <w:r w:rsidR="00905BF5">
        <w:t xml:space="preserve">Ar </w:t>
      </w:r>
      <w:r w:rsidR="000B326F">
        <w:t>Kurzemes rajona</w:t>
      </w:r>
      <w:r w:rsidR="00EF0C90">
        <w:t xml:space="preserve"> tiesas</w:t>
      </w:r>
      <w:r w:rsidR="00905BF5">
        <w:t xml:space="preserve"> 202</w:t>
      </w:r>
      <w:r w:rsidR="000B326F">
        <w:t>4</w:t>
      </w:r>
      <w:r w:rsidR="00905BF5">
        <w:t xml:space="preserve">. gada </w:t>
      </w:r>
      <w:r w:rsidR="00EF0C90">
        <w:t>2</w:t>
      </w:r>
      <w:r w:rsidR="000B326F">
        <w:t>3. maija</w:t>
      </w:r>
      <w:r w:rsidR="00905BF5">
        <w:t xml:space="preserve"> spriedumu apsūdzētais </w:t>
      </w:r>
      <w:r w:rsidR="00D23FE6">
        <w:rPr>
          <w:shd w:val="clear" w:color="auto" w:fill="FFFFFF"/>
        </w:rPr>
        <w:t>[pers.</w:t>
      </w:r>
      <w:r w:rsidR="00342B3B">
        <w:rPr>
          <w:shd w:val="clear" w:color="auto" w:fill="FFFFFF"/>
        </w:rPr>
        <w:t> </w:t>
      </w:r>
      <w:r w:rsidR="00D23FE6">
        <w:rPr>
          <w:shd w:val="clear" w:color="auto" w:fill="FFFFFF"/>
        </w:rPr>
        <w:t>A]</w:t>
      </w:r>
      <w:r w:rsidR="00905BF5">
        <w:t xml:space="preserve"> atzīts par </w:t>
      </w:r>
      <w:r w:rsidR="00EF0C90">
        <w:t>vainīgu un sodīts</w:t>
      </w:r>
      <w:r w:rsidR="00905BF5">
        <w:t xml:space="preserve"> pēc </w:t>
      </w:r>
      <w:r w:rsidR="00236DF1">
        <w:t>Krimināllikuma 217.</w:t>
      </w:r>
      <w:r w:rsidR="00236DF1" w:rsidRPr="000B326F">
        <w:rPr>
          <w:vertAlign w:val="superscript"/>
        </w:rPr>
        <w:t>1</w:t>
      </w:r>
      <w:r w:rsidR="00236DF1">
        <w:t> panta par to, ka viņš izmaksāja grāmatvedības uzskaitē neuzrādīt</w:t>
      </w:r>
      <w:r w:rsidR="000B51CB">
        <w:t>u</w:t>
      </w:r>
      <w:r w:rsidR="00236DF1">
        <w:t xml:space="preserve"> darba samaksu ievērojamā apmērā</w:t>
      </w:r>
      <w:r w:rsidR="000B51CB">
        <w:t>,</w:t>
      </w:r>
      <w:r w:rsidR="00236DF1">
        <w:t xml:space="preserve"> </w:t>
      </w:r>
      <w:r w:rsidR="000B51CB">
        <w:t xml:space="preserve">kā arī pēc </w:t>
      </w:r>
      <w:r w:rsidR="00905BF5">
        <w:t xml:space="preserve">Krimināllikuma </w:t>
      </w:r>
      <w:r w:rsidR="00EF0C90">
        <w:t>218</w:t>
      </w:r>
      <w:r w:rsidR="00905BF5">
        <w:t xml:space="preserve">. panta </w:t>
      </w:r>
      <w:r w:rsidR="00EF0C90">
        <w:t xml:space="preserve">otrās </w:t>
      </w:r>
      <w:r w:rsidR="00905BF5">
        <w:t>daļas par to, ka viņš</w:t>
      </w:r>
      <w:r w:rsidR="00EF0C90">
        <w:t xml:space="preserve"> izvairījās no nodokļu nomaksas, nodarot valstij zaudējumus lielā apmērā</w:t>
      </w:r>
      <w:r w:rsidR="000B326F">
        <w:t>.</w:t>
      </w:r>
    </w:p>
    <w:p w14:paraId="0245AE92" w14:textId="77777777" w:rsidR="00EF0C90" w:rsidRDefault="00EF0C90" w:rsidP="0058698A">
      <w:pPr>
        <w:pStyle w:val="NormalWeb"/>
        <w:shd w:val="clear" w:color="auto" w:fill="FFFFFF"/>
        <w:spacing w:before="0" w:beforeAutospacing="0" w:after="0" w:afterAutospacing="0" w:line="276" w:lineRule="auto"/>
        <w:ind w:firstLine="720"/>
        <w:jc w:val="both"/>
      </w:pPr>
    </w:p>
    <w:p w14:paraId="25DFC4CF" w14:textId="74EF31C6" w:rsidR="00230E94" w:rsidRDefault="00230E94" w:rsidP="0058698A">
      <w:pPr>
        <w:pStyle w:val="NormalWeb"/>
        <w:shd w:val="clear" w:color="auto" w:fill="FFFFFF"/>
        <w:spacing w:before="0" w:beforeAutospacing="0" w:after="0" w:afterAutospacing="0" w:line="276" w:lineRule="auto"/>
        <w:ind w:firstLine="720"/>
        <w:jc w:val="both"/>
      </w:pPr>
      <w:r>
        <w:t xml:space="preserve">[3] Ar </w:t>
      </w:r>
      <w:r w:rsidR="00662714">
        <w:t>Kurzemes</w:t>
      </w:r>
      <w:r>
        <w:t xml:space="preserve"> apgabaltiesas 2024. gada </w:t>
      </w:r>
      <w:r w:rsidR="00662714">
        <w:t>19. augusta</w:t>
      </w:r>
      <w:r w:rsidR="00905BF5">
        <w:t xml:space="preserve"> </w:t>
      </w:r>
      <w:r w:rsidR="00EF0C90">
        <w:t>spriedumu</w:t>
      </w:r>
      <w:r>
        <w:t>, iztiesājot lietu sakarā ar</w:t>
      </w:r>
      <w:r w:rsidR="00905BF5">
        <w:t xml:space="preserve"> </w:t>
      </w:r>
      <w:r w:rsidR="00662714">
        <w:t xml:space="preserve">apsūdzētā </w:t>
      </w:r>
      <w:r w:rsidR="00D23FE6">
        <w:rPr>
          <w:shd w:val="clear" w:color="auto" w:fill="FFFFFF"/>
        </w:rPr>
        <w:t>[pers.</w:t>
      </w:r>
      <w:r w:rsidR="00342B3B">
        <w:rPr>
          <w:shd w:val="clear" w:color="auto" w:fill="FFFFFF"/>
        </w:rPr>
        <w:t> </w:t>
      </w:r>
      <w:r w:rsidR="00D23FE6">
        <w:rPr>
          <w:shd w:val="clear" w:color="auto" w:fill="FFFFFF"/>
        </w:rPr>
        <w:t>A]</w:t>
      </w:r>
      <w:r w:rsidR="00662714">
        <w:t xml:space="preserve"> aizstāvja zvērināta advokāta Edgara </w:t>
      </w:r>
      <w:proofErr w:type="spellStart"/>
      <w:r w:rsidR="00662714">
        <w:t>Mačuka</w:t>
      </w:r>
      <w:proofErr w:type="spellEnd"/>
      <w:r w:rsidR="00662714">
        <w:t xml:space="preserve"> apelācijas sūdzību</w:t>
      </w:r>
      <w:r w:rsidR="00EF0C90">
        <w:t>,</w:t>
      </w:r>
      <w:r w:rsidR="00662714">
        <w:t xml:space="preserve"> Kurzemes rajona</w:t>
      </w:r>
      <w:r w:rsidR="00EF0C90">
        <w:t xml:space="preserve"> tiesa</w:t>
      </w:r>
      <w:r w:rsidR="00C55622">
        <w:t>s 202</w:t>
      </w:r>
      <w:r w:rsidR="00662714">
        <w:t>4</w:t>
      </w:r>
      <w:r w:rsidR="00C55622">
        <w:t xml:space="preserve">. gada </w:t>
      </w:r>
      <w:r w:rsidR="00662714">
        <w:t>23. maija</w:t>
      </w:r>
      <w:r w:rsidR="00EF0C90">
        <w:t xml:space="preserve"> spriedums atcelts daļā par </w:t>
      </w:r>
      <w:r w:rsidR="00D23FE6">
        <w:rPr>
          <w:shd w:val="clear" w:color="auto" w:fill="FFFFFF"/>
        </w:rPr>
        <w:t>[pers.</w:t>
      </w:r>
      <w:r w:rsidR="00342B3B">
        <w:rPr>
          <w:shd w:val="clear" w:color="auto" w:fill="FFFFFF"/>
        </w:rPr>
        <w:t> </w:t>
      </w:r>
      <w:r w:rsidR="00D23FE6">
        <w:rPr>
          <w:shd w:val="clear" w:color="auto" w:fill="FFFFFF"/>
        </w:rPr>
        <w:t>A]</w:t>
      </w:r>
      <w:r w:rsidR="00EF0C90">
        <w:t xml:space="preserve"> noteikto sodu pēc </w:t>
      </w:r>
      <w:r w:rsidR="000B51CB">
        <w:t>Krimināllikuma 217.</w:t>
      </w:r>
      <w:r w:rsidR="000B51CB" w:rsidRPr="00662714">
        <w:rPr>
          <w:vertAlign w:val="superscript"/>
        </w:rPr>
        <w:t>1</w:t>
      </w:r>
      <w:r w:rsidR="000B51CB" w:rsidRPr="00E352CF">
        <w:t> </w:t>
      </w:r>
      <w:r w:rsidR="000B51CB">
        <w:t xml:space="preserve">panta, </w:t>
      </w:r>
      <w:r w:rsidR="00EF0C90">
        <w:t>Krimināllikuma 218. panta otrās daļas</w:t>
      </w:r>
      <w:r w:rsidR="00662714">
        <w:t xml:space="preserve"> un daļā par noteikto galīgo sodu saskaņā ar Krimināllikuma 50. panta pirm</w:t>
      </w:r>
      <w:r w:rsidR="009A2D92">
        <w:t xml:space="preserve">o </w:t>
      </w:r>
      <w:r w:rsidR="00662714">
        <w:t>un treš</w:t>
      </w:r>
      <w:r w:rsidR="009A2D92">
        <w:t>o</w:t>
      </w:r>
      <w:r w:rsidR="00662714">
        <w:t xml:space="preserve"> daļ</w:t>
      </w:r>
      <w:r w:rsidR="009A2D92">
        <w:t>u</w:t>
      </w:r>
      <w:r w:rsidR="00662714">
        <w:t>.</w:t>
      </w:r>
    </w:p>
    <w:p w14:paraId="6388DCB1" w14:textId="4514DF19" w:rsidR="00662714" w:rsidRDefault="00EF0C90" w:rsidP="0058698A">
      <w:pPr>
        <w:pStyle w:val="NormalWeb"/>
        <w:shd w:val="clear" w:color="auto" w:fill="FFFFFF"/>
        <w:spacing w:before="0" w:beforeAutospacing="0" w:after="0" w:afterAutospacing="0" w:line="276" w:lineRule="auto"/>
        <w:ind w:firstLine="720"/>
        <w:jc w:val="both"/>
      </w:pPr>
      <w:r>
        <w:t xml:space="preserve">Ar </w:t>
      </w:r>
      <w:r w:rsidR="00662714">
        <w:t>Kurzemes</w:t>
      </w:r>
      <w:r>
        <w:t xml:space="preserve"> apgabaltiesas 2024. gada </w:t>
      </w:r>
      <w:r w:rsidR="00662714">
        <w:t>19. augusta</w:t>
      </w:r>
      <w:r>
        <w:t xml:space="preserve"> spriedumu </w:t>
      </w:r>
      <w:r w:rsidR="00D23FE6">
        <w:rPr>
          <w:shd w:val="clear" w:color="auto" w:fill="FFFFFF"/>
        </w:rPr>
        <w:t>[pers.</w:t>
      </w:r>
      <w:r w:rsidR="00342B3B">
        <w:rPr>
          <w:shd w:val="clear" w:color="auto" w:fill="FFFFFF"/>
        </w:rPr>
        <w:t> </w:t>
      </w:r>
      <w:r w:rsidR="00D23FE6">
        <w:rPr>
          <w:shd w:val="clear" w:color="auto" w:fill="FFFFFF"/>
        </w:rPr>
        <w:t>A]</w:t>
      </w:r>
      <w:r>
        <w:t xml:space="preserve"> sodīts </w:t>
      </w:r>
      <w:r w:rsidR="000B51CB">
        <w:t>pēc Krimināllikuma 217.</w:t>
      </w:r>
      <w:r w:rsidR="000B51CB" w:rsidRPr="00662714">
        <w:rPr>
          <w:vertAlign w:val="superscript"/>
        </w:rPr>
        <w:t>1</w:t>
      </w:r>
      <w:r w:rsidR="000B51CB">
        <w:t xml:space="preserve"> panta ar </w:t>
      </w:r>
      <w:r w:rsidR="000B51CB">
        <w:rPr>
          <w:shd w:val="clear" w:color="auto" w:fill="FFFFFF"/>
        </w:rPr>
        <w:t>brīvības atņemšanu uz 6 mēnešiem, atņemot tiesības ieņemt valdes locekļa amatu kapitālsabiedrībā uz 1 gadu 6 mēnešiem,</w:t>
      </w:r>
      <w:r w:rsidR="000B51CB">
        <w:t xml:space="preserve"> </w:t>
      </w:r>
      <w:r>
        <w:t>pēc Krimināllikuma 218. panta otrās daļas</w:t>
      </w:r>
      <w:r w:rsidR="00662714">
        <w:t xml:space="preserve"> </w:t>
      </w:r>
      <w:r>
        <w:t xml:space="preserve">ar brīvības atņemšanu uz </w:t>
      </w:r>
      <w:r w:rsidR="00662714">
        <w:t>1</w:t>
      </w:r>
      <w:r w:rsidR="00662714" w:rsidRPr="00662714">
        <w:t xml:space="preserve"> gad</w:t>
      </w:r>
      <w:r w:rsidR="00662714">
        <w:t>u 6 mēnešiem</w:t>
      </w:r>
      <w:r w:rsidR="00662714" w:rsidRPr="00662714">
        <w:t>, atņemot tiesības ieņemt valdes locekļa amatu kapitālsabiedrībā uz 3 gadiem</w:t>
      </w:r>
      <w:r w:rsidR="00662714">
        <w:rPr>
          <w:shd w:val="clear" w:color="auto" w:fill="FFFFFF"/>
        </w:rPr>
        <w:t xml:space="preserve">. Saskaņā ar Krimināllikuma 50. panta pirmo un trešo daļu galīgais sods </w:t>
      </w:r>
      <w:r w:rsidR="00D23FE6">
        <w:rPr>
          <w:shd w:val="clear" w:color="auto" w:fill="FFFFFF"/>
        </w:rPr>
        <w:t>[pers.</w:t>
      </w:r>
      <w:r w:rsidR="00342B3B">
        <w:rPr>
          <w:shd w:val="clear" w:color="auto" w:fill="FFFFFF"/>
        </w:rPr>
        <w:t> </w:t>
      </w:r>
      <w:r w:rsidR="00D23FE6">
        <w:rPr>
          <w:shd w:val="clear" w:color="auto" w:fill="FFFFFF"/>
        </w:rPr>
        <w:t>A]</w:t>
      </w:r>
      <w:r w:rsidR="00662714">
        <w:rPr>
          <w:shd w:val="clear" w:color="auto" w:fill="FFFFFF"/>
        </w:rPr>
        <w:t xml:space="preserve"> noteikts brīvības atņemšana uz 1 gadu 9 mēnešiem, atņemot tiesības ieņemt valdes locekļa amatu kapitālsabiedrībā uz 3 gadiem 6 mēnešiem</w:t>
      </w:r>
      <w:r w:rsidR="002F3311">
        <w:rPr>
          <w:shd w:val="clear" w:color="auto" w:fill="FFFFFF"/>
        </w:rPr>
        <w:t>.</w:t>
      </w:r>
    </w:p>
    <w:p w14:paraId="0A2E8539" w14:textId="6EC79327" w:rsidR="000B326F" w:rsidRDefault="000B326F" w:rsidP="0058698A">
      <w:pPr>
        <w:pStyle w:val="NormalWeb"/>
        <w:shd w:val="clear" w:color="auto" w:fill="FFFFFF"/>
        <w:spacing w:before="0" w:beforeAutospacing="0" w:after="0" w:afterAutospacing="0" w:line="276" w:lineRule="auto"/>
        <w:ind w:firstLine="720"/>
        <w:jc w:val="both"/>
        <w:rPr>
          <w:shd w:val="clear" w:color="auto" w:fill="FFFFFF"/>
        </w:rPr>
      </w:pPr>
      <w:r w:rsidRPr="002B6BEF">
        <w:rPr>
          <w:shd w:val="clear" w:color="auto" w:fill="FFFFFF"/>
        </w:rPr>
        <w:t>Saskaņā ar Krimināllikuma 55.</w:t>
      </w:r>
      <w:r>
        <w:rPr>
          <w:shd w:val="clear" w:color="auto" w:fill="FFFFFF"/>
        </w:rPr>
        <w:t> </w:t>
      </w:r>
      <w:r w:rsidRPr="002B6BEF">
        <w:rPr>
          <w:shd w:val="clear" w:color="auto" w:fill="FFFFFF"/>
        </w:rPr>
        <w:t xml:space="preserve">pantu </w:t>
      </w:r>
      <w:r w:rsidR="00D23FE6">
        <w:rPr>
          <w:shd w:val="clear" w:color="auto" w:fill="FFFFFF"/>
        </w:rPr>
        <w:t>[pers.</w:t>
      </w:r>
      <w:r w:rsidR="00342B3B">
        <w:rPr>
          <w:shd w:val="clear" w:color="auto" w:fill="FFFFFF"/>
        </w:rPr>
        <w:t> </w:t>
      </w:r>
      <w:r w:rsidR="00D23FE6">
        <w:rPr>
          <w:shd w:val="clear" w:color="auto" w:fill="FFFFFF"/>
        </w:rPr>
        <w:t>A]</w:t>
      </w:r>
      <w:r w:rsidRPr="002B6BEF">
        <w:rPr>
          <w:shd w:val="clear" w:color="auto" w:fill="FFFFFF"/>
        </w:rPr>
        <w:t xml:space="preserve"> notiesāts nosacīti ar pārbaudes laiku uz </w:t>
      </w:r>
      <w:r w:rsidR="00662714">
        <w:rPr>
          <w:shd w:val="clear" w:color="auto" w:fill="FFFFFF"/>
        </w:rPr>
        <w:t>3 gadiem</w:t>
      </w:r>
      <w:r>
        <w:rPr>
          <w:shd w:val="clear" w:color="auto" w:fill="FFFFFF"/>
        </w:rPr>
        <w:t>.</w:t>
      </w:r>
    </w:p>
    <w:p w14:paraId="390B34AB" w14:textId="3CBAC280" w:rsidR="00D15877" w:rsidRDefault="00D15877" w:rsidP="0058698A">
      <w:pPr>
        <w:pStyle w:val="NormalWeb"/>
        <w:shd w:val="clear" w:color="auto" w:fill="FFFFFF"/>
        <w:spacing w:before="0" w:beforeAutospacing="0" w:after="0" w:afterAutospacing="0" w:line="276" w:lineRule="auto"/>
        <w:ind w:firstLine="720"/>
        <w:jc w:val="both"/>
      </w:pPr>
      <w:r>
        <w:t>Pārējā daļā pirmās instances tiesas spriedums atstāts negrozīts.</w:t>
      </w:r>
    </w:p>
    <w:p w14:paraId="2DDCB47E" w14:textId="77777777" w:rsidR="00EF249C" w:rsidRDefault="00EF249C" w:rsidP="0058698A">
      <w:pPr>
        <w:pStyle w:val="NormalWeb"/>
        <w:shd w:val="clear" w:color="auto" w:fill="FFFFFF"/>
        <w:spacing w:before="0" w:beforeAutospacing="0" w:after="0" w:afterAutospacing="0" w:line="276" w:lineRule="auto"/>
        <w:ind w:firstLine="720"/>
        <w:jc w:val="both"/>
      </w:pPr>
    </w:p>
    <w:p w14:paraId="496FED81" w14:textId="3A2EE8DA" w:rsidR="00F77416" w:rsidRDefault="00F77416" w:rsidP="0058698A">
      <w:pPr>
        <w:pStyle w:val="NormalWeb"/>
        <w:shd w:val="clear" w:color="auto" w:fill="FFFFFF"/>
        <w:spacing w:before="0" w:beforeAutospacing="0" w:after="0" w:afterAutospacing="0" w:line="276" w:lineRule="auto"/>
        <w:ind w:firstLine="720"/>
        <w:jc w:val="both"/>
      </w:pPr>
      <w:r>
        <w:t xml:space="preserve">[4] Par </w:t>
      </w:r>
      <w:r w:rsidR="009C6AF4">
        <w:t>Kurzemes</w:t>
      </w:r>
      <w:r>
        <w:t xml:space="preserve"> apgabaltiesas 2024. gada </w:t>
      </w:r>
      <w:r w:rsidR="009C6AF4">
        <w:t>19. augusta</w:t>
      </w:r>
      <w:r>
        <w:t xml:space="preserve"> </w:t>
      </w:r>
      <w:r w:rsidR="00D15877">
        <w:t>spriedumu</w:t>
      </w:r>
      <w:r w:rsidR="00B15CC8" w:rsidRPr="00B15CC8">
        <w:t xml:space="preserve"> </w:t>
      </w:r>
      <w:r w:rsidR="009C6AF4">
        <w:t>Nodokļu un muitas lietu prokuratūras prokurore O. Vasiļevska iesniegusi kasācijas protestu un tā papildinājumus</w:t>
      </w:r>
      <w:r>
        <w:t>, kur</w:t>
      </w:r>
      <w:r w:rsidR="009C6AF4">
        <w:t>os</w:t>
      </w:r>
      <w:r>
        <w:t xml:space="preserve"> lūdz atcelt </w:t>
      </w:r>
      <w:r w:rsidR="008C6913">
        <w:t xml:space="preserve">minēto </w:t>
      </w:r>
      <w:r w:rsidR="00D15877">
        <w:t>spriedumu</w:t>
      </w:r>
      <w:r w:rsidR="00C40C8E">
        <w:t xml:space="preserve"> </w:t>
      </w:r>
      <w:r w:rsidR="009C6AF4">
        <w:t xml:space="preserve">daļā par </w:t>
      </w:r>
      <w:r w:rsidR="00D23FE6">
        <w:rPr>
          <w:shd w:val="clear" w:color="auto" w:fill="FFFFFF"/>
        </w:rPr>
        <w:t>[pers.</w:t>
      </w:r>
      <w:r w:rsidR="00342B3B">
        <w:rPr>
          <w:shd w:val="clear" w:color="auto" w:fill="FFFFFF"/>
        </w:rPr>
        <w:t> </w:t>
      </w:r>
      <w:r w:rsidR="00D23FE6">
        <w:rPr>
          <w:shd w:val="clear" w:color="auto" w:fill="FFFFFF"/>
        </w:rPr>
        <w:t>A]</w:t>
      </w:r>
      <w:r w:rsidR="009C6AF4">
        <w:t xml:space="preserve"> noteikto sodu</w:t>
      </w:r>
      <w:r w:rsidR="008C6913">
        <w:t xml:space="preserve"> un nosūtīt</w:t>
      </w:r>
      <w:r w:rsidR="009C6AF4">
        <w:t xml:space="preserve"> </w:t>
      </w:r>
      <w:r w:rsidR="002F3311">
        <w:t xml:space="preserve">lietu </w:t>
      </w:r>
      <w:r w:rsidR="009C6AF4">
        <w:t>šajā daļā</w:t>
      </w:r>
      <w:r w:rsidR="008C6913">
        <w:t xml:space="preserve"> jaunai izskatīšanai</w:t>
      </w:r>
      <w:r w:rsidR="008C6913" w:rsidRPr="008C6913">
        <w:t xml:space="preserve"> </w:t>
      </w:r>
      <w:r w:rsidR="008C6913">
        <w:t>apelācijas instances tiesā.</w:t>
      </w:r>
    </w:p>
    <w:p w14:paraId="467D9F99" w14:textId="2809B075" w:rsidR="00921A85" w:rsidRDefault="00B15CC8" w:rsidP="0058698A">
      <w:pPr>
        <w:pStyle w:val="NormalWeb"/>
        <w:shd w:val="clear" w:color="auto" w:fill="FFFFFF"/>
        <w:spacing w:before="0" w:beforeAutospacing="0" w:after="0" w:afterAutospacing="0" w:line="276" w:lineRule="auto"/>
        <w:ind w:firstLine="720"/>
        <w:jc w:val="both"/>
      </w:pPr>
      <w:r>
        <w:t>Savu lūgumu</w:t>
      </w:r>
      <w:r w:rsidR="00D15877">
        <w:t xml:space="preserve"> </w:t>
      </w:r>
      <w:r w:rsidR="009C6AF4">
        <w:t>prokurore</w:t>
      </w:r>
      <w:r w:rsidR="00D15877">
        <w:t xml:space="preserve"> </w:t>
      </w:r>
      <w:r w:rsidR="00F77416">
        <w:t>pamato</w:t>
      </w:r>
      <w:r w:rsidR="009C6AF4">
        <w:t>jusi</w:t>
      </w:r>
      <w:r w:rsidR="00F77416">
        <w:t xml:space="preserve"> ar </w:t>
      </w:r>
      <w:r>
        <w:t>šādiem</w:t>
      </w:r>
      <w:r w:rsidR="00F77416">
        <w:t xml:space="preserve"> argumentiem.</w:t>
      </w:r>
    </w:p>
    <w:p w14:paraId="7960CD3A" w14:textId="0E65E048" w:rsidR="00921A85" w:rsidRPr="00132365" w:rsidRDefault="008C6913" w:rsidP="0058698A">
      <w:pPr>
        <w:pStyle w:val="NormalWeb"/>
        <w:shd w:val="clear" w:color="auto" w:fill="FFFFFF"/>
        <w:spacing w:before="0" w:beforeAutospacing="0" w:after="0" w:afterAutospacing="0" w:line="276" w:lineRule="auto"/>
        <w:ind w:firstLine="720"/>
        <w:jc w:val="both"/>
      </w:pPr>
      <w:r>
        <w:t>[4.1] </w:t>
      </w:r>
      <w:r w:rsidR="00D15877" w:rsidRPr="00D15877">
        <w:t xml:space="preserve">Apelācijas instances tiesa </w:t>
      </w:r>
      <w:r w:rsidR="00921A85">
        <w:t xml:space="preserve">pieļāvusi Krimināllikuma 46. panta trešās daļas pārkāpumu, jo noteikusi apsūdzētajam mazāku brīvības atņemšanas soda mēru, nekā to bija noteikusi pirmās instances tiesa. </w:t>
      </w:r>
      <w:r w:rsidR="004A7756">
        <w:t>Apelācijas instances t</w:t>
      </w:r>
      <w:r w:rsidR="00921A85">
        <w:t xml:space="preserve">iesa norādījusi, ka pirmās instances tiesa </w:t>
      </w:r>
      <w:r w:rsidR="00D23FE6">
        <w:rPr>
          <w:shd w:val="clear" w:color="auto" w:fill="FFFFFF"/>
        </w:rPr>
        <w:t>[pers.</w:t>
      </w:r>
      <w:r w:rsidR="00342B3B">
        <w:rPr>
          <w:shd w:val="clear" w:color="auto" w:fill="FFFFFF"/>
        </w:rPr>
        <w:t> </w:t>
      </w:r>
      <w:r w:rsidR="00D23FE6">
        <w:rPr>
          <w:shd w:val="clear" w:color="auto" w:fill="FFFFFF"/>
        </w:rPr>
        <w:t>A]</w:t>
      </w:r>
      <w:r w:rsidR="00D23FE6">
        <w:rPr>
          <w:shd w:val="clear" w:color="auto" w:fill="FFFFFF"/>
        </w:rPr>
        <w:t xml:space="preserve"> </w:t>
      </w:r>
      <w:r w:rsidR="00921A85">
        <w:t>pamatsodu – brīvības atņemšanu – noteikusi pantu sankcijās paredzētā soda vidējā apmērā, nemotivējot to. Šāds Kurzemes apgabaltiesas secinājums ir pretrunā ar pirmās instances tiesas spriedumā norādīt</w:t>
      </w:r>
      <w:r w:rsidR="00061406">
        <w:t>o</w:t>
      </w:r>
      <w:r w:rsidR="00921A85">
        <w:t>, un tieši, pirmās instances tiesa, izvērtējot piemērojam</w:t>
      </w:r>
      <w:r w:rsidR="00E86E0E">
        <w:t>ā</w:t>
      </w:r>
      <w:r w:rsidR="00921A85">
        <w:t xml:space="preserve"> soda mēru, ir ņēmusi vērā, ka ir konstatēts viens atbildību mīkstinošs apstāklis un nav konstatēti atbildību pastiprinoši apstākļi, kas dod pamatu par abiem </w:t>
      </w:r>
      <w:r w:rsidR="00921A85" w:rsidRPr="00132365">
        <w:t>noziedzīgajiem nodarījumiem noteikt sodu atbilstoši sankcijas vidējam apmēram. Tāpat pirmās instances tiesa</w:t>
      </w:r>
      <w:r w:rsidR="00E86E0E">
        <w:t xml:space="preserve">, </w:t>
      </w:r>
      <w:r w:rsidR="00921A85" w:rsidRPr="00132365">
        <w:t>no</w:t>
      </w:r>
      <w:r w:rsidR="00E86E0E">
        <w:t>sakot sodu,</w:t>
      </w:r>
      <w:r w:rsidR="00921A85" w:rsidRPr="00132365">
        <w:t xml:space="preserve"> ņēmusi vērā apstākli, ka apsūdzētais piekritis neveikt pierādījumu pārbaudi iztiesāšanā. Apelācijas instances tiesa, pastāvot tiem pašiem sodu ietekmējošajiem apstākļiem, nepamatoti noteikusi zemāku sodu par katru no </w:t>
      </w:r>
      <w:r w:rsidR="00D23FE6">
        <w:rPr>
          <w:shd w:val="clear" w:color="auto" w:fill="FFFFFF"/>
        </w:rPr>
        <w:t>[pers.</w:t>
      </w:r>
      <w:r w:rsidR="00342B3B">
        <w:rPr>
          <w:shd w:val="clear" w:color="auto" w:fill="FFFFFF"/>
        </w:rPr>
        <w:t> </w:t>
      </w:r>
      <w:r w:rsidR="00D23FE6">
        <w:rPr>
          <w:shd w:val="clear" w:color="auto" w:fill="FFFFFF"/>
        </w:rPr>
        <w:t>A]</w:t>
      </w:r>
      <w:r w:rsidR="00921A85" w:rsidRPr="00132365">
        <w:t xml:space="preserve"> izdarītajiem noziedzīgajiem nodarījumiem. </w:t>
      </w:r>
    </w:p>
    <w:p w14:paraId="35D387EF" w14:textId="2117FE62" w:rsidR="00921A85" w:rsidRDefault="00921A85" w:rsidP="0058698A">
      <w:pPr>
        <w:pStyle w:val="NormalWeb"/>
        <w:shd w:val="clear" w:color="auto" w:fill="FFFFFF"/>
        <w:spacing w:before="0" w:beforeAutospacing="0" w:after="0" w:afterAutospacing="0" w:line="276" w:lineRule="auto"/>
        <w:ind w:firstLine="720"/>
        <w:jc w:val="both"/>
      </w:pPr>
      <w:r w:rsidRPr="00DE4EFF">
        <w:t>[4.2] Tiesa nepareizi piemērojusi Krimināllikuma 55.</w:t>
      </w:r>
      <w:r w:rsidR="004415CF" w:rsidRPr="00DE4EFF">
        <w:t> </w:t>
      </w:r>
      <w:r w:rsidRPr="00DE4EFF">
        <w:t>pantu, jo spriedumā nav izvērtēti un ņemti vērā visi Krimināllikuma 55.</w:t>
      </w:r>
      <w:r w:rsidR="004415CF" w:rsidRPr="00DE4EFF">
        <w:t> </w:t>
      </w:r>
      <w:r w:rsidRPr="00DE4EFF">
        <w:t xml:space="preserve">panta pirmajā daļā norādītie apstākļi, proti, </w:t>
      </w:r>
      <w:r w:rsidR="00132365" w:rsidRPr="00DE4EFF">
        <w:t>apelācijas</w:t>
      </w:r>
      <w:r w:rsidR="00EB2BC2" w:rsidRPr="00DE4EFF">
        <w:t xml:space="preserve"> insta</w:t>
      </w:r>
      <w:r w:rsidR="00EB2BC2">
        <w:t>nces tiesa</w:t>
      </w:r>
      <w:r w:rsidRPr="00A318B5">
        <w:t xml:space="preserve"> savu pārliecību ir pamatojusi tikai ar apsūdzētā personību raksturojošajām ziņām un centieniem atlīdzināt radīto kaitējumu, nevis</w:t>
      </w:r>
      <w:r w:rsidR="00A318B5" w:rsidRPr="00BE7A7B">
        <w:t xml:space="preserve"> ņemot vērā</w:t>
      </w:r>
      <w:r w:rsidRPr="00A318B5">
        <w:t xml:space="preserve"> visu</w:t>
      </w:r>
      <w:r w:rsidR="00A318B5" w:rsidRPr="00A318B5">
        <w:t>s</w:t>
      </w:r>
      <w:r w:rsidRPr="00A318B5">
        <w:t xml:space="preserve"> Krimināllikuma 55.</w:t>
      </w:r>
      <w:r w:rsidR="004415CF" w:rsidRPr="00A318B5">
        <w:t> </w:t>
      </w:r>
      <w:r w:rsidRPr="00A318B5">
        <w:t>panta pirmajā daļā norādīto</w:t>
      </w:r>
      <w:r w:rsidR="00A318B5" w:rsidRPr="00A318B5">
        <w:t>s</w:t>
      </w:r>
      <w:r w:rsidRPr="00A318B5">
        <w:t xml:space="preserve"> apstākļu</w:t>
      </w:r>
      <w:r w:rsidR="00A318B5" w:rsidRPr="00A318B5">
        <w:t>s</w:t>
      </w:r>
      <w:r w:rsidRPr="00A318B5">
        <w:t>, ieskaitot</w:t>
      </w:r>
      <w:r w:rsidRPr="00921A85">
        <w:t xml:space="preserve"> izdarītā noziedzīgā nodarījuma raksturu un radīto kaitējumu.</w:t>
      </w:r>
      <w:bookmarkStart w:id="0" w:name="_Hlk205477405"/>
    </w:p>
    <w:bookmarkEnd w:id="0"/>
    <w:p w14:paraId="7542B1DF" w14:textId="147E572E" w:rsidR="00C23A3F" w:rsidRDefault="00640502" w:rsidP="0058698A">
      <w:pPr>
        <w:pStyle w:val="NormalWeb"/>
        <w:shd w:val="clear" w:color="auto" w:fill="FFFFFF"/>
        <w:spacing w:before="0" w:beforeAutospacing="0" w:after="0" w:afterAutospacing="0" w:line="276" w:lineRule="auto"/>
        <w:ind w:firstLine="720"/>
        <w:jc w:val="both"/>
      </w:pPr>
      <w:r>
        <w:rPr>
          <w:shd w:val="clear" w:color="auto" w:fill="FFFFFF"/>
        </w:rPr>
        <w:lastRenderedPageBreak/>
        <w:t>[</w:t>
      </w:r>
      <w:r>
        <w:rPr>
          <w:shd w:val="clear" w:color="auto" w:fill="FFFFFF"/>
        </w:rPr>
        <w:t>P</w:t>
      </w:r>
      <w:r>
        <w:rPr>
          <w:shd w:val="clear" w:color="auto" w:fill="FFFFFF"/>
        </w:rPr>
        <w:t>ers.</w:t>
      </w:r>
      <w:r w:rsidR="00342B3B">
        <w:rPr>
          <w:shd w:val="clear" w:color="auto" w:fill="FFFFFF"/>
        </w:rPr>
        <w:t> </w:t>
      </w:r>
      <w:r>
        <w:rPr>
          <w:shd w:val="clear" w:color="auto" w:fill="FFFFFF"/>
        </w:rPr>
        <w:t>A]</w:t>
      </w:r>
      <w:r w:rsidR="004415CF" w:rsidRPr="004415CF">
        <w:t xml:space="preserve"> noziedzīg</w:t>
      </w:r>
      <w:r w:rsidR="00A318B5">
        <w:t>o</w:t>
      </w:r>
      <w:r w:rsidR="004415CF" w:rsidRPr="004415CF">
        <w:t>s nodarījumus ir izdarījis laika posmā no 2017.</w:t>
      </w:r>
      <w:r w:rsidR="004415CF">
        <w:t> </w:t>
      </w:r>
      <w:r w:rsidR="004415CF" w:rsidRPr="004415CF">
        <w:t>gada 1.</w:t>
      </w:r>
      <w:r w:rsidR="004415CF">
        <w:t> </w:t>
      </w:r>
      <w:r w:rsidR="004415CF" w:rsidRPr="004415CF">
        <w:t>jūlija līdz 2018.</w:t>
      </w:r>
      <w:r w:rsidR="004415CF">
        <w:t> </w:t>
      </w:r>
      <w:r w:rsidR="004415CF" w:rsidRPr="004415CF">
        <w:t>gada 31.</w:t>
      </w:r>
      <w:r w:rsidR="004415CF">
        <w:t> </w:t>
      </w:r>
      <w:r w:rsidR="004415CF" w:rsidRPr="004415CF">
        <w:t>decembrim, proti, pretlikumīgās darbības veiktas ilgstoši</w:t>
      </w:r>
      <w:r w:rsidR="00247B8F">
        <w:t>. P</w:t>
      </w:r>
      <w:r w:rsidR="004415CF" w:rsidRPr="00A318B5">
        <w:t>usotr</w:t>
      </w:r>
      <w:r w:rsidR="00247B8F">
        <w:t>u</w:t>
      </w:r>
      <w:r w:rsidR="004415CF" w:rsidRPr="00A318B5">
        <w:t xml:space="preserve"> gad</w:t>
      </w:r>
      <w:r w:rsidR="00247B8F">
        <w:t>u</w:t>
      </w:r>
      <w:r w:rsidR="004415CF" w:rsidRPr="00A318B5">
        <w:t xml:space="preserve"> apsūdzētais izmaksājis </w:t>
      </w:r>
      <w:r w:rsidR="00247B8F">
        <w:t>grāmatvedības uzskaitē neuzrādīt</w:t>
      </w:r>
      <w:r w:rsidR="002F3311">
        <w:t>u</w:t>
      </w:r>
      <w:r w:rsidR="00247B8F">
        <w:t xml:space="preserve"> darba </w:t>
      </w:r>
      <w:r w:rsidR="00247B8F" w:rsidRPr="000D77F5">
        <w:t xml:space="preserve">samaksu </w:t>
      </w:r>
      <w:r w:rsidR="00BD5AA6" w:rsidRPr="003728DA">
        <w:t>nepilnu miljonu</w:t>
      </w:r>
      <w:r w:rsidR="003728DA">
        <w:t xml:space="preserve"> </w:t>
      </w:r>
      <w:r w:rsidR="004415CF" w:rsidRPr="003728DA">
        <w:rPr>
          <w:i/>
          <w:iCs/>
        </w:rPr>
        <w:t>euro</w:t>
      </w:r>
      <w:r w:rsidR="004415CF" w:rsidRPr="003728DA">
        <w:t>, kas</w:t>
      </w:r>
      <w:r w:rsidR="003728DA" w:rsidRPr="003728DA">
        <w:t xml:space="preserve"> vairāk kā</w:t>
      </w:r>
      <w:r w:rsidR="004415CF" w:rsidRPr="003728DA">
        <w:t xml:space="preserve"> </w:t>
      </w:r>
      <w:r w:rsidR="003728DA" w:rsidRPr="003728DA">
        <w:t xml:space="preserve">220 </w:t>
      </w:r>
      <w:r w:rsidR="00247B8F" w:rsidRPr="003728DA">
        <w:t xml:space="preserve">reizes </w:t>
      </w:r>
      <w:r w:rsidR="004415CF" w:rsidRPr="003728DA">
        <w:t>pārsniedz</w:t>
      </w:r>
      <w:r w:rsidR="004415CF" w:rsidRPr="000D77F5">
        <w:t xml:space="preserve"> apmēru, kas noteic nodarījuma kvalifikāciju pēc Krimināllikuma</w:t>
      </w:r>
      <w:r w:rsidR="002F3311" w:rsidRPr="000D77F5">
        <w:t> </w:t>
      </w:r>
      <w:r w:rsidR="004415CF" w:rsidRPr="000D77F5">
        <w:t>217.</w:t>
      </w:r>
      <w:r w:rsidR="004415CF" w:rsidRPr="000D77F5">
        <w:rPr>
          <w:vertAlign w:val="superscript"/>
        </w:rPr>
        <w:t>1</w:t>
      </w:r>
      <w:r w:rsidR="004415CF" w:rsidRPr="000D77F5">
        <w:t> panta</w:t>
      </w:r>
      <w:r w:rsidR="00247B8F" w:rsidRPr="000D77F5">
        <w:t xml:space="preserve">, </w:t>
      </w:r>
      <w:r w:rsidR="00E86E0E" w:rsidRPr="000D77F5">
        <w:t>s</w:t>
      </w:r>
      <w:r w:rsidR="00247B8F" w:rsidRPr="000D77F5">
        <w:t>avukārt</w:t>
      </w:r>
      <w:r w:rsidR="004415CF" w:rsidRPr="000D77F5">
        <w:t xml:space="preserve"> </w:t>
      </w:r>
      <w:r w:rsidR="00247B8F" w:rsidRPr="000D77F5">
        <w:t>izvairoties no nodokļu maksājumu nomaksas, apsūdzētais nodarīja</w:t>
      </w:r>
      <w:r w:rsidR="004415CF" w:rsidRPr="000D77F5">
        <w:t xml:space="preserve"> valstij</w:t>
      </w:r>
      <w:r w:rsidR="00132365" w:rsidRPr="000D77F5">
        <w:t xml:space="preserve"> </w:t>
      </w:r>
      <w:r w:rsidR="00247B8F" w:rsidRPr="000D77F5">
        <w:t>zaudējumus</w:t>
      </w:r>
      <w:r w:rsidR="004415CF" w:rsidRPr="000D77F5">
        <w:t xml:space="preserve"> 540</w:t>
      </w:r>
      <w:r w:rsidR="002F3311" w:rsidRPr="000D77F5">
        <w:t> </w:t>
      </w:r>
      <w:r w:rsidR="004415CF" w:rsidRPr="000D77F5">
        <w:t>934,70</w:t>
      </w:r>
      <w:r w:rsidR="00530B9B" w:rsidRPr="000D77F5">
        <w:t> </w:t>
      </w:r>
      <w:r w:rsidR="004415CF" w:rsidRPr="000D77F5">
        <w:rPr>
          <w:i/>
          <w:iCs/>
        </w:rPr>
        <w:t>euro</w:t>
      </w:r>
      <w:r w:rsidR="00247B8F" w:rsidRPr="000D77F5">
        <w:rPr>
          <w:i/>
          <w:iCs/>
        </w:rPr>
        <w:t xml:space="preserve">, </w:t>
      </w:r>
      <w:r w:rsidR="00247B8F" w:rsidRPr="000D77F5">
        <w:t>kas</w:t>
      </w:r>
      <w:r w:rsidR="00247B8F" w:rsidRPr="000D77F5">
        <w:rPr>
          <w:i/>
          <w:iCs/>
        </w:rPr>
        <w:t xml:space="preserve"> </w:t>
      </w:r>
      <w:r w:rsidR="00247B8F" w:rsidRPr="000D77F5">
        <w:t>gandrīz</w:t>
      </w:r>
      <w:r w:rsidR="00EB2BC2" w:rsidRPr="000D77F5">
        <w:t xml:space="preserve"> </w:t>
      </w:r>
      <w:r w:rsidR="00247B8F" w:rsidRPr="000D77F5">
        <w:t>25 reizes</w:t>
      </w:r>
      <w:r w:rsidR="004415CF" w:rsidRPr="000D77F5">
        <w:t xml:space="preserve"> pārsniedz apmēru, kas noteic </w:t>
      </w:r>
      <w:r w:rsidR="00247B8F" w:rsidRPr="000D77F5">
        <w:t xml:space="preserve">noziedzīgā </w:t>
      </w:r>
      <w:r w:rsidR="004415CF" w:rsidRPr="000D77F5">
        <w:t>nodarījuma kvalifikāciju pēc Krimināllikuma</w:t>
      </w:r>
      <w:r w:rsidR="004415CF" w:rsidRPr="00A318B5">
        <w:t xml:space="preserve"> 218. panta otrās daļas.</w:t>
      </w:r>
      <w:r w:rsidR="004415CF" w:rsidRPr="004415CF">
        <w:t xml:space="preserve"> </w:t>
      </w:r>
      <w:r w:rsidR="00530B9B">
        <w:t>Krimināllikuma 55. panta piemērošana</w:t>
      </w:r>
      <w:r w:rsidR="004415CF" w:rsidRPr="004415CF">
        <w:t xml:space="preserve"> šajā gadījumā nav samērīga ar noziedzīgā nodarījuma raksturu un radīto kaitējumu</w:t>
      </w:r>
      <w:r w:rsidR="00087E1E">
        <w:t>, tā neatbilst sabiedrības interesēm</w:t>
      </w:r>
      <w:r w:rsidR="00132365">
        <w:t xml:space="preserve"> </w:t>
      </w:r>
      <w:r w:rsidR="00087E1E">
        <w:t xml:space="preserve">un </w:t>
      </w:r>
      <w:r w:rsidR="004415CF" w:rsidRPr="004415CF">
        <w:t xml:space="preserve">neveicina arī soda </w:t>
      </w:r>
      <w:proofErr w:type="spellStart"/>
      <w:r w:rsidR="004415CF" w:rsidRPr="004415CF">
        <w:t>prevencijas</w:t>
      </w:r>
      <w:proofErr w:type="spellEnd"/>
      <w:r w:rsidR="004415CF" w:rsidRPr="004415CF">
        <w:t xml:space="preserve"> uzdevumu izpildi, jo nenostiprina ne vainīgās personas, ne citu personu pārliecību par nepieciešamību pildīt likumus un atturēties no noziedzīgu nodarījumu izdarīšanas.</w:t>
      </w:r>
    </w:p>
    <w:p w14:paraId="3BAA2A0E" w14:textId="77777777" w:rsidR="00C23A3F" w:rsidRDefault="00C23A3F" w:rsidP="0058698A">
      <w:pPr>
        <w:pStyle w:val="NormalWeb"/>
        <w:shd w:val="clear" w:color="auto" w:fill="FFFFFF"/>
        <w:spacing w:before="0" w:beforeAutospacing="0" w:after="0" w:afterAutospacing="0" w:line="276" w:lineRule="auto"/>
        <w:ind w:firstLine="720"/>
        <w:jc w:val="both"/>
      </w:pPr>
    </w:p>
    <w:p w14:paraId="134E2CC4" w14:textId="6CFAA4E6" w:rsidR="00C23A3F" w:rsidRPr="007E42A2" w:rsidRDefault="00C23A3F" w:rsidP="0058698A">
      <w:pPr>
        <w:pStyle w:val="NormalWeb"/>
        <w:shd w:val="clear" w:color="auto" w:fill="FFFFFF"/>
        <w:spacing w:before="0" w:beforeAutospacing="0" w:after="0" w:afterAutospacing="0" w:line="276" w:lineRule="auto"/>
        <w:ind w:firstLine="720"/>
        <w:jc w:val="both"/>
        <w:rPr>
          <w:bCs/>
        </w:rPr>
      </w:pPr>
      <w:r w:rsidRPr="00C23A3F">
        <w:rPr>
          <w:iCs/>
        </w:rPr>
        <w:t>[</w:t>
      </w:r>
      <w:r w:rsidRPr="007E42A2">
        <w:rPr>
          <w:iCs/>
        </w:rPr>
        <w:t>5</w:t>
      </w:r>
      <w:r w:rsidRPr="00C23A3F">
        <w:rPr>
          <w:iCs/>
        </w:rPr>
        <w:t xml:space="preserve">] Iebildumus par </w:t>
      </w:r>
      <w:r w:rsidR="00B1484B" w:rsidRPr="007E42A2">
        <w:t xml:space="preserve">Nodokļu un muitas lietu prokuratūras prokurores O. Vasiļevskas kasācijas protestu </w:t>
      </w:r>
      <w:r w:rsidRPr="00C23A3F">
        <w:rPr>
          <w:iCs/>
        </w:rPr>
        <w:t xml:space="preserve">iesniedzis apsūdzētā </w:t>
      </w:r>
      <w:r w:rsidR="00640502">
        <w:rPr>
          <w:shd w:val="clear" w:color="auto" w:fill="FFFFFF"/>
        </w:rPr>
        <w:t>[pers.</w:t>
      </w:r>
      <w:r w:rsidR="00342B3B">
        <w:rPr>
          <w:shd w:val="clear" w:color="auto" w:fill="FFFFFF"/>
        </w:rPr>
        <w:t> </w:t>
      </w:r>
      <w:r w:rsidR="00640502">
        <w:rPr>
          <w:shd w:val="clear" w:color="auto" w:fill="FFFFFF"/>
        </w:rPr>
        <w:t>A]</w:t>
      </w:r>
      <w:r w:rsidR="00B1484B" w:rsidRPr="007E42A2">
        <w:t xml:space="preserve"> </w:t>
      </w:r>
      <w:r w:rsidRPr="00C23A3F">
        <w:rPr>
          <w:iCs/>
        </w:rPr>
        <w:t xml:space="preserve">aizstāvis </w:t>
      </w:r>
      <w:r w:rsidR="002F3311" w:rsidRPr="007E42A2">
        <w:rPr>
          <w:iCs/>
        </w:rPr>
        <w:t>E</w:t>
      </w:r>
      <w:r w:rsidR="002F3311">
        <w:rPr>
          <w:iCs/>
        </w:rPr>
        <w:t>. </w:t>
      </w:r>
      <w:proofErr w:type="spellStart"/>
      <w:r w:rsidR="00B1484B" w:rsidRPr="007E42A2">
        <w:rPr>
          <w:iCs/>
        </w:rPr>
        <w:t>Mačuks</w:t>
      </w:r>
      <w:proofErr w:type="spellEnd"/>
      <w:r w:rsidRPr="00C23A3F">
        <w:rPr>
          <w:iCs/>
        </w:rPr>
        <w:t xml:space="preserve">. </w:t>
      </w:r>
      <w:r w:rsidRPr="007E42A2">
        <w:rPr>
          <w:iCs/>
        </w:rPr>
        <w:t xml:space="preserve">Aizstāvis norāda, ka </w:t>
      </w:r>
      <w:r w:rsidR="00B1484B" w:rsidRPr="007E42A2">
        <w:rPr>
          <w:iCs/>
        </w:rPr>
        <w:t xml:space="preserve">apelācijas instances tiesa ir izvērtējusi visus sodu ietekmējošos apstākļus, kā arī pamatojusi savu pārliecību </w:t>
      </w:r>
      <w:r w:rsidR="00640502">
        <w:rPr>
          <w:shd w:val="clear" w:color="auto" w:fill="FFFFFF"/>
        </w:rPr>
        <w:t>[pers.</w:t>
      </w:r>
      <w:r w:rsidR="00342B3B">
        <w:rPr>
          <w:shd w:val="clear" w:color="auto" w:fill="FFFFFF"/>
        </w:rPr>
        <w:t> </w:t>
      </w:r>
      <w:r w:rsidR="00640502">
        <w:rPr>
          <w:shd w:val="clear" w:color="auto" w:fill="FFFFFF"/>
        </w:rPr>
        <w:t>A]</w:t>
      </w:r>
      <w:r w:rsidR="00B1484B" w:rsidRPr="007E42A2">
        <w:t xml:space="preserve"> nosacītai notiesāšanai. S</w:t>
      </w:r>
      <w:r w:rsidR="00B1484B" w:rsidRPr="007E42A2">
        <w:rPr>
          <w:iCs/>
        </w:rPr>
        <w:t xml:space="preserve">avukārt </w:t>
      </w:r>
      <w:r w:rsidRPr="007E42A2">
        <w:rPr>
          <w:iCs/>
        </w:rPr>
        <w:t>prokuror</w:t>
      </w:r>
      <w:r w:rsidR="00B1484B" w:rsidRPr="007E42A2">
        <w:rPr>
          <w:iCs/>
        </w:rPr>
        <w:t>e</w:t>
      </w:r>
      <w:r w:rsidRPr="007E42A2">
        <w:rPr>
          <w:iCs/>
        </w:rPr>
        <w:t xml:space="preserve"> kasācijas protestā </w:t>
      </w:r>
      <w:r w:rsidR="00B1484B" w:rsidRPr="007E42A2">
        <w:rPr>
          <w:iCs/>
        </w:rPr>
        <w:t>nav pamatojusi, kādus pārkāpumus pieļāvusi apelācijas instances tiesa</w:t>
      </w:r>
      <w:r w:rsidR="007E42A2" w:rsidRPr="007E42A2">
        <w:rPr>
          <w:iCs/>
        </w:rPr>
        <w:t xml:space="preserve">, </w:t>
      </w:r>
      <w:r w:rsidRPr="007E42A2">
        <w:rPr>
          <w:bCs/>
        </w:rPr>
        <w:t>tādējādi kasācijas protestā nav izteikta tāda prasība, kas pamatota ar Krimināllikuma pārkāpumu vai Kriminālprocesa likuma būtisku pārkāpumu.</w:t>
      </w:r>
    </w:p>
    <w:p w14:paraId="0B74002A" w14:textId="77777777" w:rsidR="00C23A3F" w:rsidRPr="007E42A2" w:rsidRDefault="00C23A3F" w:rsidP="0058698A">
      <w:pPr>
        <w:pStyle w:val="NormalWeb"/>
        <w:shd w:val="clear" w:color="auto" w:fill="FFFFFF"/>
        <w:spacing w:before="0" w:beforeAutospacing="0" w:after="0" w:afterAutospacing="0" w:line="276" w:lineRule="auto"/>
        <w:ind w:firstLine="720"/>
        <w:jc w:val="both"/>
      </w:pPr>
    </w:p>
    <w:p w14:paraId="7DAF7841" w14:textId="1EDBDF42" w:rsidR="00447EE6" w:rsidRPr="007E42A2" w:rsidRDefault="00447EE6" w:rsidP="0058698A">
      <w:pPr>
        <w:shd w:val="clear" w:color="auto" w:fill="FFFFFF"/>
        <w:spacing w:line="276" w:lineRule="auto"/>
        <w:jc w:val="center"/>
        <w:rPr>
          <w:b/>
        </w:rPr>
      </w:pPr>
      <w:r w:rsidRPr="007E42A2">
        <w:rPr>
          <w:b/>
        </w:rPr>
        <w:t>Motīvu daļa</w:t>
      </w:r>
    </w:p>
    <w:p w14:paraId="633D2DB5" w14:textId="77777777" w:rsidR="006D5C62" w:rsidRPr="007E42A2" w:rsidRDefault="006D5C62" w:rsidP="0058698A">
      <w:pPr>
        <w:shd w:val="clear" w:color="auto" w:fill="FFFFFF"/>
        <w:spacing w:line="276" w:lineRule="auto"/>
        <w:ind w:firstLine="720"/>
        <w:jc w:val="center"/>
        <w:rPr>
          <w:bCs/>
        </w:rPr>
      </w:pPr>
    </w:p>
    <w:p w14:paraId="7D86695E" w14:textId="7E66E96D" w:rsidR="00731886" w:rsidRPr="007E42A2" w:rsidRDefault="00107481" w:rsidP="0058698A">
      <w:pPr>
        <w:spacing w:line="276" w:lineRule="auto"/>
        <w:ind w:firstLine="720"/>
        <w:jc w:val="both"/>
      </w:pPr>
      <w:r w:rsidRPr="007E42A2">
        <w:rPr>
          <w:rFonts w:asciiTheme="majorBidi" w:hAnsiTheme="majorBidi" w:cstheme="majorBidi"/>
        </w:rPr>
        <w:t>[</w:t>
      </w:r>
      <w:r w:rsidR="007E42A2">
        <w:rPr>
          <w:rFonts w:asciiTheme="majorBidi" w:hAnsiTheme="majorBidi" w:cstheme="majorBidi"/>
        </w:rPr>
        <w:t>6</w:t>
      </w:r>
      <w:r w:rsidRPr="007E42A2">
        <w:rPr>
          <w:rFonts w:asciiTheme="majorBidi" w:hAnsiTheme="majorBidi" w:cstheme="majorBidi"/>
        </w:rPr>
        <w:t>]</w:t>
      </w:r>
      <w:r w:rsidR="00FB4A2E" w:rsidRPr="007E42A2">
        <w:rPr>
          <w:rFonts w:asciiTheme="majorBidi" w:hAnsiTheme="majorBidi" w:cstheme="majorBidi"/>
        </w:rPr>
        <w:t> </w:t>
      </w:r>
      <w:r w:rsidR="00731886" w:rsidRPr="007E42A2">
        <w:t xml:space="preserve">Senāts konstatē, ka vispirms kasācijas instances tiesas kompetencē ir sniegt atbildi, vai tiesa ir pieļāvusi Kriminālprocesa likuma 564. panta ceturtās daļas pārkāpumu, nosakot apsūdzētajam </w:t>
      </w:r>
      <w:r w:rsidR="00CD0AD6">
        <w:rPr>
          <w:shd w:val="clear" w:color="auto" w:fill="FFFFFF"/>
        </w:rPr>
        <w:t>[pers.</w:t>
      </w:r>
      <w:r w:rsidR="00342B3B">
        <w:rPr>
          <w:shd w:val="clear" w:color="auto" w:fill="FFFFFF"/>
        </w:rPr>
        <w:t> </w:t>
      </w:r>
      <w:r w:rsidR="00CD0AD6">
        <w:rPr>
          <w:shd w:val="clear" w:color="auto" w:fill="FFFFFF"/>
        </w:rPr>
        <w:t>A]</w:t>
      </w:r>
      <w:r w:rsidR="00731886" w:rsidRPr="007E42A2">
        <w:t xml:space="preserve"> brīvības atņemšanas soda mēru.</w:t>
      </w:r>
    </w:p>
    <w:p w14:paraId="433CB5C9" w14:textId="58ACFEFF" w:rsidR="00E443EC" w:rsidRDefault="00731886" w:rsidP="0058698A">
      <w:pPr>
        <w:spacing w:line="276" w:lineRule="auto"/>
        <w:ind w:firstLine="720"/>
        <w:jc w:val="both"/>
        <w:rPr>
          <w:bCs/>
        </w:rPr>
      </w:pPr>
      <w:r w:rsidRPr="007E42A2">
        <w:t>[</w:t>
      </w:r>
      <w:r w:rsidR="007E42A2">
        <w:t>6</w:t>
      </w:r>
      <w:r w:rsidRPr="007E42A2">
        <w:t>.1] </w:t>
      </w:r>
      <w:r w:rsidR="00E443EC" w:rsidRPr="007E42A2">
        <w:rPr>
          <w:bCs/>
        </w:rPr>
        <w:t>Saskaņā ar Kriminālprocesa likuma 511. panta otro daļu spriedumam jābūt tiesiskam un pamatotam. Atbilstoši šā likuma 512. panta pirmajai daļai</w:t>
      </w:r>
      <w:r w:rsidR="00E443EC" w:rsidRPr="003A746C">
        <w:rPr>
          <w:bCs/>
        </w:rPr>
        <w:t xml:space="preserve"> tiesa, taisot spriedumu, pamatojas uz materiālo un procesuālo tiesību normām. Savukārt </w:t>
      </w:r>
      <w:r w:rsidR="00E443EC">
        <w:rPr>
          <w:bCs/>
        </w:rPr>
        <w:t>a</w:t>
      </w:r>
      <w:r w:rsidR="00E443EC" w:rsidRPr="003A746C">
        <w:rPr>
          <w:bCs/>
        </w:rPr>
        <w:t>pelācijas instances tiesas nolēmuma saturs noteikts Kriminālprocesa likuma 564.</w:t>
      </w:r>
      <w:r w:rsidR="00E443EC">
        <w:rPr>
          <w:bCs/>
        </w:rPr>
        <w:t> </w:t>
      </w:r>
      <w:r w:rsidR="00E443EC" w:rsidRPr="003A746C">
        <w:rPr>
          <w:bCs/>
        </w:rPr>
        <w:t>pantā. Atbilstoši šā panta ceturtajai daļai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5C712BBB" w14:textId="175D709E" w:rsidR="00E443EC" w:rsidRDefault="00E443EC" w:rsidP="0058698A">
      <w:pPr>
        <w:spacing w:line="276" w:lineRule="auto"/>
        <w:ind w:firstLine="720"/>
        <w:jc w:val="both"/>
      </w:pPr>
      <w:r>
        <w:rPr>
          <w:bCs/>
        </w:rPr>
        <w:t xml:space="preserve">No minētā secināms, ka </w:t>
      </w:r>
      <w:r w:rsidRPr="003A746C">
        <w:rPr>
          <w:bCs/>
        </w:rPr>
        <w:t xml:space="preserve">likumdevējs ir izvirzījis konkrētas prasības notiesājoša sprieduma motīvu daļai, </w:t>
      </w:r>
      <w:r>
        <w:rPr>
          <w:bCs/>
        </w:rPr>
        <w:t>tai skaitā,</w:t>
      </w:r>
      <w:r w:rsidRPr="003A746C">
        <w:rPr>
          <w:bCs/>
        </w:rPr>
        <w:t xml:space="preserve"> nepieciešamību norādīt motīvus soda </w:t>
      </w:r>
      <w:r w:rsidR="00314357">
        <w:rPr>
          <w:bCs/>
        </w:rPr>
        <w:t xml:space="preserve">veida un mēra </w:t>
      </w:r>
      <w:r w:rsidRPr="003A746C">
        <w:rPr>
          <w:bCs/>
        </w:rPr>
        <w:t>piemērošan</w:t>
      </w:r>
      <w:r w:rsidR="000D6A3A">
        <w:rPr>
          <w:bCs/>
        </w:rPr>
        <w:t>ai</w:t>
      </w:r>
      <w:r w:rsidRPr="003A746C">
        <w:rPr>
          <w:bCs/>
        </w:rPr>
        <w:t>.</w:t>
      </w:r>
    </w:p>
    <w:p w14:paraId="1237AF8C" w14:textId="612366B2" w:rsidR="00E4714F" w:rsidRDefault="00E443EC" w:rsidP="0058698A">
      <w:pPr>
        <w:spacing w:line="276" w:lineRule="auto"/>
        <w:ind w:firstLine="720"/>
        <w:jc w:val="both"/>
        <w:rPr>
          <w:bCs/>
        </w:rPr>
      </w:pPr>
      <w:r>
        <w:rPr>
          <w:bCs/>
        </w:rPr>
        <w:t>[</w:t>
      </w:r>
      <w:r w:rsidR="007E42A2">
        <w:rPr>
          <w:bCs/>
        </w:rPr>
        <w:t>6</w:t>
      </w:r>
      <w:r>
        <w:rPr>
          <w:bCs/>
        </w:rPr>
        <w:t>.2] </w:t>
      </w:r>
      <w:r w:rsidR="00731886">
        <w:t>A</w:t>
      </w:r>
      <w:r w:rsidR="00E4714F">
        <w:rPr>
          <w:bCs/>
        </w:rPr>
        <w:t>pelācijas instances tiesa, atceļot pirmās instances tiesas spriedumu daļā par apsūdzētajam noteikto sod</w:t>
      </w:r>
      <w:r w:rsidR="005A1F74">
        <w:rPr>
          <w:bCs/>
        </w:rPr>
        <w:t>u</w:t>
      </w:r>
      <w:r w:rsidR="00E4714F">
        <w:rPr>
          <w:bCs/>
        </w:rPr>
        <w:t xml:space="preserve"> pēc Krimināllikuma 218. panta otrās daļas un Krimināllikuma 217.</w:t>
      </w:r>
      <w:r w:rsidR="00E4714F" w:rsidRPr="0025559E">
        <w:rPr>
          <w:bCs/>
          <w:vertAlign w:val="superscript"/>
        </w:rPr>
        <w:t>1</w:t>
      </w:r>
      <w:r w:rsidR="00E4714F">
        <w:rPr>
          <w:bCs/>
        </w:rPr>
        <w:t xml:space="preserve"> panta, norādījusi, ka pirmās instances tiesa </w:t>
      </w:r>
      <w:r w:rsidR="007A5CF1">
        <w:rPr>
          <w:shd w:val="clear" w:color="auto" w:fill="FFFFFF"/>
        </w:rPr>
        <w:t>[pers.</w:t>
      </w:r>
      <w:r w:rsidR="00342B3B">
        <w:rPr>
          <w:shd w:val="clear" w:color="auto" w:fill="FFFFFF"/>
        </w:rPr>
        <w:t> </w:t>
      </w:r>
      <w:r w:rsidR="007A5CF1">
        <w:rPr>
          <w:shd w:val="clear" w:color="auto" w:fill="FFFFFF"/>
        </w:rPr>
        <w:t>A]</w:t>
      </w:r>
      <w:r w:rsidR="00E4714F" w:rsidRPr="0025559E">
        <w:rPr>
          <w:bCs/>
        </w:rPr>
        <w:t xml:space="preserve"> pamatsodu – brīvības atņemšanu </w:t>
      </w:r>
      <w:r w:rsidR="00E4714F">
        <w:rPr>
          <w:bCs/>
        </w:rPr>
        <w:t>–</w:t>
      </w:r>
      <w:r w:rsidR="00E4714F" w:rsidRPr="0025559E">
        <w:rPr>
          <w:bCs/>
        </w:rPr>
        <w:t xml:space="preserve"> </w:t>
      </w:r>
      <w:r w:rsidR="00932057">
        <w:rPr>
          <w:bCs/>
        </w:rPr>
        <w:t xml:space="preserve">piemērojusi </w:t>
      </w:r>
      <w:r w:rsidR="005A1F74">
        <w:rPr>
          <w:bCs/>
        </w:rPr>
        <w:t xml:space="preserve">pamatoti, taču soda mēru noteikusi </w:t>
      </w:r>
      <w:r w:rsidR="00E4714F" w:rsidRPr="0025559E">
        <w:rPr>
          <w:bCs/>
        </w:rPr>
        <w:t>pantu sankcijās paredzētā soda vidējā apmērā, nemotivējot to.</w:t>
      </w:r>
    </w:p>
    <w:p w14:paraId="49B5733D" w14:textId="59D76F3F" w:rsidR="00731886" w:rsidRDefault="00731886" w:rsidP="0058698A">
      <w:pPr>
        <w:spacing w:line="276" w:lineRule="auto"/>
        <w:ind w:firstLine="720"/>
        <w:jc w:val="both"/>
        <w:rPr>
          <w:bCs/>
        </w:rPr>
      </w:pPr>
      <w:r>
        <w:rPr>
          <w:bCs/>
        </w:rPr>
        <w:lastRenderedPageBreak/>
        <w:t>[</w:t>
      </w:r>
      <w:r w:rsidR="007E42A2">
        <w:rPr>
          <w:bCs/>
        </w:rPr>
        <w:t>6</w:t>
      </w:r>
      <w:r>
        <w:rPr>
          <w:bCs/>
        </w:rPr>
        <w:t>.</w:t>
      </w:r>
      <w:r w:rsidR="00E443EC">
        <w:rPr>
          <w:bCs/>
        </w:rPr>
        <w:t>3</w:t>
      </w:r>
      <w:r>
        <w:rPr>
          <w:bCs/>
        </w:rPr>
        <w:t xml:space="preserve">] Pirmās instances tiesa, </w:t>
      </w:r>
      <w:r w:rsidR="00B77B1B">
        <w:rPr>
          <w:bCs/>
        </w:rPr>
        <w:t>n</w:t>
      </w:r>
      <w:r w:rsidR="00B77B1B" w:rsidRPr="00731886">
        <w:rPr>
          <w:bCs/>
        </w:rPr>
        <w:t xml:space="preserve">osakot </w:t>
      </w:r>
      <w:r w:rsidR="007A5CF1">
        <w:rPr>
          <w:shd w:val="clear" w:color="auto" w:fill="FFFFFF"/>
        </w:rPr>
        <w:t>[pers.</w:t>
      </w:r>
      <w:r w:rsidR="00342B3B">
        <w:rPr>
          <w:shd w:val="clear" w:color="auto" w:fill="FFFFFF"/>
        </w:rPr>
        <w:t> </w:t>
      </w:r>
      <w:r w:rsidR="007A5CF1">
        <w:rPr>
          <w:shd w:val="clear" w:color="auto" w:fill="FFFFFF"/>
        </w:rPr>
        <w:t>A]</w:t>
      </w:r>
      <w:r w:rsidR="00E73C8A" w:rsidRPr="0025559E">
        <w:rPr>
          <w:bCs/>
        </w:rPr>
        <w:t xml:space="preserve"> </w:t>
      </w:r>
      <w:r w:rsidRPr="00731886">
        <w:rPr>
          <w:bCs/>
        </w:rPr>
        <w:t>soda mēru</w:t>
      </w:r>
      <w:r>
        <w:rPr>
          <w:bCs/>
        </w:rPr>
        <w:t xml:space="preserve">, </w:t>
      </w:r>
      <w:r w:rsidR="00B77B1B">
        <w:rPr>
          <w:bCs/>
        </w:rPr>
        <w:t>ņēmusi vērā</w:t>
      </w:r>
      <w:r w:rsidR="00B77B1B" w:rsidRPr="00731886">
        <w:rPr>
          <w:bCs/>
        </w:rPr>
        <w:t xml:space="preserve"> vien</w:t>
      </w:r>
      <w:r w:rsidR="00B77B1B">
        <w:rPr>
          <w:bCs/>
        </w:rPr>
        <w:t>u</w:t>
      </w:r>
      <w:r w:rsidR="00B77B1B" w:rsidRPr="00731886">
        <w:rPr>
          <w:bCs/>
        </w:rPr>
        <w:t xml:space="preserve"> atbildību mīkstinoš</w:t>
      </w:r>
      <w:r w:rsidR="00B77B1B">
        <w:rPr>
          <w:bCs/>
        </w:rPr>
        <w:t>o</w:t>
      </w:r>
      <w:r w:rsidR="00B77B1B" w:rsidRPr="00731886">
        <w:rPr>
          <w:bCs/>
        </w:rPr>
        <w:t xml:space="preserve"> apstākli</w:t>
      </w:r>
      <w:r w:rsidR="00B77B1B">
        <w:rPr>
          <w:bCs/>
        </w:rPr>
        <w:t xml:space="preserve"> s</w:t>
      </w:r>
      <w:r w:rsidR="00B77B1B" w:rsidRPr="00731886">
        <w:rPr>
          <w:bCs/>
        </w:rPr>
        <w:t>askaņā ar Krimināllikuma 47.</w:t>
      </w:r>
      <w:r w:rsidR="00B77B1B">
        <w:rPr>
          <w:bCs/>
        </w:rPr>
        <w:t> </w:t>
      </w:r>
      <w:r w:rsidR="00B77B1B" w:rsidRPr="00731886">
        <w:rPr>
          <w:bCs/>
        </w:rPr>
        <w:t>panta otro daļu</w:t>
      </w:r>
      <w:r w:rsidR="00B77B1B">
        <w:rPr>
          <w:bCs/>
        </w:rPr>
        <w:t>, proti, ka</w:t>
      </w:r>
      <w:r w:rsidR="00E73C8A">
        <w:rPr>
          <w:bCs/>
        </w:rPr>
        <w:t xml:space="preserve"> </w:t>
      </w:r>
      <w:r w:rsidR="008D4CAB">
        <w:rPr>
          <w:bCs/>
        </w:rPr>
        <w:t xml:space="preserve">abos noziedzīgajos nodarījumos </w:t>
      </w:r>
      <w:r w:rsidR="00B77B1B">
        <w:rPr>
          <w:bCs/>
        </w:rPr>
        <w:t xml:space="preserve">apsūdzētais </w:t>
      </w:r>
      <w:r w:rsidR="00E73C8A">
        <w:rPr>
          <w:bCs/>
        </w:rPr>
        <w:t>atzini</w:t>
      </w:r>
      <w:r w:rsidR="00B77B1B">
        <w:rPr>
          <w:bCs/>
        </w:rPr>
        <w:t>s</w:t>
      </w:r>
      <w:r w:rsidR="00E73C8A" w:rsidRPr="00731886">
        <w:rPr>
          <w:bCs/>
        </w:rPr>
        <w:t xml:space="preserve"> sav</w:t>
      </w:r>
      <w:r w:rsidR="00B77B1B">
        <w:rPr>
          <w:bCs/>
        </w:rPr>
        <w:t>u</w:t>
      </w:r>
      <w:r w:rsidR="00E73C8A" w:rsidRPr="00731886">
        <w:rPr>
          <w:bCs/>
        </w:rPr>
        <w:t xml:space="preserve"> vain</w:t>
      </w:r>
      <w:r w:rsidR="00B77B1B">
        <w:rPr>
          <w:bCs/>
        </w:rPr>
        <w:t xml:space="preserve">u </w:t>
      </w:r>
      <w:r w:rsidR="00E73C8A" w:rsidRPr="00731886">
        <w:rPr>
          <w:bCs/>
        </w:rPr>
        <w:t xml:space="preserve">un </w:t>
      </w:r>
      <w:r w:rsidR="00B77B1B" w:rsidRPr="00731886">
        <w:rPr>
          <w:bCs/>
        </w:rPr>
        <w:t>izdarīt</w:t>
      </w:r>
      <w:r w:rsidR="00B77B1B">
        <w:rPr>
          <w:bCs/>
        </w:rPr>
        <w:t xml:space="preserve">o </w:t>
      </w:r>
      <w:r w:rsidR="00B77B1B" w:rsidRPr="00731886">
        <w:rPr>
          <w:bCs/>
        </w:rPr>
        <w:t>nožēlo</w:t>
      </w:r>
      <w:r w:rsidR="00B77B1B">
        <w:rPr>
          <w:bCs/>
        </w:rPr>
        <w:t xml:space="preserve">jis. Tiesa </w:t>
      </w:r>
      <w:r w:rsidR="00E73C8A" w:rsidRPr="00731886">
        <w:rPr>
          <w:bCs/>
        </w:rPr>
        <w:t>nav konstatē</w:t>
      </w:r>
      <w:r w:rsidR="00B77B1B">
        <w:rPr>
          <w:bCs/>
        </w:rPr>
        <w:t>jusi</w:t>
      </w:r>
      <w:r w:rsidR="00E73C8A" w:rsidRPr="00731886">
        <w:rPr>
          <w:bCs/>
        </w:rPr>
        <w:t xml:space="preserve"> atbildību pastiprinoš</w:t>
      </w:r>
      <w:r w:rsidR="00932057">
        <w:rPr>
          <w:bCs/>
        </w:rPr>
        <w:t>u</w:t>
      </w:r>
      <w:r w:rsidR="00B77B1B">
        <w:rPr>
          <w:bCs/>
        </w:rPr>
        <w:t>s</w:t>
      </w:r>
      <w:r w:rsidR="00E73C8A" w:rsidRPr="00731886">
        <w:rPr>
          <w:bCs/>
        </w:rPr>
        <w:t xml:space="preserve"> apstākļ</w:t>
      </w:r>
      <w:r w:rsidR="00B77B1B">
        <w:rPr>
          <w:bCs/>
        </w:rPr>
        <w:t>us. Tāpat tiesa ņēmusi vērā</w:t>
      </w:r>
      <w:r w:rsidR="001C77C7">
        <w:rPr>
          <w:bCs/>
        </w:rPr>
        <w:t>, ka</w:t>
      </w:r>
      <w:r w:rsidR="00B77B1B">
        <w:rPr>
          <w:bCs/>
        </w:rPr>
        <w:t xml:space="preserve"> apsūdzētais </w:t>
      </w:r>
      <w:r w:rsidR="00B77B1B" w:rsidRPr="00731886">
        <w:rPr>
          <w:bCs/>
        </w:rPr>
        <w:t>piekritis neveikt pierādījumu pārbaudi iztiesāšanā</w:t>
      </w:r>
      <w:r w:rsidR="00B77B1B">
        <w:rPr>
          <w:bCs/>
        </w:rPr>
        <w:t>.</w:t>
      </w:r>
    </w:p>
    <w:p w14:paraId="5281AC01" w14:textId="2B3104E8" w:rsidR="00B77B1B" w:rsidRDefault="00B77B1B" w:rsidP="00881231">
      <w:pPr>
        <w:spacing w:line="276" w:lineRule="auto"/>
        <w:ind w:firstLine="720"/>
        <w:jc w:val="both"/>
        <w:rPr>
          <w:shd w:val="clear" w:color="auto" w:fill="FFFFFF"/>
        </w:rPr>
      </w:pPr>
      <w:r>
        <w:rPr>
          <w:bCs/>
        </w:rPr>
        <w:t xml:space="preserve">Ievērojot minētos apstākļus, pirmās instances tiesa </w:t>
      </w:r>
      <w:r w:rsidR="007A5CF1">
        <w:rPr>
          <w:shd w:val="clear" w:color="auto" w:fill="FFFFFF"/>
        </w:rPr>
        <w:t>[pers.</w:t>
      </w:r>
      <w:r w:rsidR="00342B3B">
        <w:rPr>
          <w:shd w:val="clear" w:color="auto" w:fill="FFFFFF"/>
        </w:rPr>
        <w:t> </w:t>
      </w:r>
      <w:r w:rsidR="007A5CF1">
        <w:rPr>
          <w:shd w:val="clear" w:color="auto" w:fill="FFFFFF"/>
        </w:rPr>
        <w:t>A]</w:t>
      </w:r>
      <w:r>
        <w:rPr>
          <w:bCs/>
        </w:rPr>
        <w:t xml:space="preserve"> par </w:t>
      </w:r>
      <w:r>
        <w:rPr>
          <w:shd w:val="clear" w:color="auto" w:fill="FFFFFF"/>
        </w:rPr>
        <w:t>Krimināllikuma</w:t>
      </w:r>
      <w:r w:rsidR="00881231">
        <w:rPr>
          <w:shd w:val="clear" w:color="auto" w:fill="FFFFFF"/>
        </w:rPr>
        <w:t> </w:t>
      </w:r>
      <w:r>
        <w:rPr>
          <w:shd w:val="clear" w:color="auto" w:fill="FFFFFF"/>
        </w:rPr>
        <w:t>217.</w:t>
      </w:r>
      <w:r w:rsidRPr="000B326F">
        <w:rPr>
          <w:shd w:val="clear" w:color="auto" w:fill="FFFFFF"/>
          <w:vertAlign w:val="superscript"/>
        </w:rPr>
        <w:t>1</w:t>
      </w:r>
      <w:r>
        <w:rPr>
          <w:shd w:val="clear" w:color="auto" w:fill="FFFFFF"/>
        </w:rPr>
        <w:t> pantā paredzēto noziedzīgo nodarījumu sodījusi ar brīvības atņemšanu uz 1 gadu, bet par Krimināllikuma 218. panta otrajā daļā paredzēto noziedzīgo nodarījumu</w:t>
      </w:r>
      <w:r w:rsidR="008D4CAB">
        <w:rPr>
          <w:shd w:val="clear" w:color="auto" w:fill="FFFFFF"/>
        </w:rPr>
        <w:t> –</w:t>
      </w:r>
      <w:r w:rsidR="00881231">
        <w:rPr>
          <w:shd w:val="clear" w:color="auto" w:fill="FFFFFF"/>
        </w:rPr>
        <w:t> </w:t>
      </w:r>
      <w:r>
        <w:rPr>
          <w:shd w:val="clear" w:color="auto" w:fill="FFFFFF"/>
        </w:rPr>
        <w:t>ar brīvības atņemšanu uz 2 gadiem.</w:t>
      </w:r>
    </w:p>
    <w:p w14:paraId="7DB1A0AE" w14:textId="64AE5585" w:rsidR="00E4714F" w:rsidRDefault="00B77B1B" w:rsidP="0058698A">
      <w:pPr>
        <w:spacing w:line="276" w:lineRule="auto"/>
        <w:ind w:firstLine="720"/>
        <w:jc w:val="both"/>
        <w:rPr>
          <w:bCs/>
        </w:rPr>
      </w:pPr>
      <w:r>
        <w:rPr>
          <w:shd w:val="clear" w:color="auto" w:fill="FFFFFF"/>
        </w:rPr>
        <w:t>[</w:t>
      </w:r>
      <w:r w:rsidR="007E42A2">
        <w:rPr>
          <w:shd w:val="clear" w:color="auto" w:fill="FFFFFF"/>
        </w:rPr>
        <w:t>6</w:t>
      </w:r>
      <w:r>
        <w:rPr>
          <w:shd w:val="clear" w:color="auto" w:fill="FFFFFF"/>
        </w:rPr>
        <w:t>.</w:t>
      </w:r>
      <w:r w:rsidR="00E443EC">
        <w:rPr>
          <w:shd w:val="clear" w:color="auto" w:fill="FFFFFF"/>
        </w:rPr>
        <w:t>4</w:t>
      </w:r>
      <w:r>
        <w:rPr>
          <w:shd w:val="clear" w:color="auto" w:fill="FFFFFF"/>
        </w:rPr>
        <w:t>] </w:t>
      </w:r>
      <w:r w:rsidR="00E443EC">
        <w:rPr>
          <w:shd w:val="clear" w:color="auto" w:fill="FFFFFF"/>
        </w:rPr>
        <w:t>Savukārt a</w:t>
      </w:r>
      <w:r w:rsidR="00E4714F" w:rsidRPr="0025559E">
        <w:rPr>
          <w:bCs/>
        </w:rPr>
        <w:t>pelācijas instances tiesa, ņemot vērā atbildību pastiprinošu apstākļu neesību, vienu atbildību mīkstinošo apstākli</w:t>
      </w:r>
      <w:r w:rsidR="00E443EC">
        <w:rPr>
          <w:bCs/>
        </w:rPr>
        <w:t xml:space="preserve"> – apsūdzētā savas vainas atzīšanu un izdarītā nožēlošanu –</w:t>
      </w:r>
      <w:r w:rsidR="00E4714F" w:rsidRPr="0025559E">
        <w:rPr>
          <w:bCs/>
        </w:rPr>
        <w:t>, kā arī apsūdzētā sadarbību ar procesa virzītāju, veicinot</w:t>
      </w:r>
      <w:r w:rsidR="00E4714F">
        <w:rPr>
          <w:bCs/>
        </w:rPr>
        <w:t xml:space="preserve"> </w:t>
      </w:r>
      <w:r w:rsidR="00E4714F" w:rsidRPr="0025559E">
        <w:rPr>
          <w:bCs/>
        </w:rPr>
        <w:t>tiesisko attiecību efektī</w:t>
      </w:r>
      <w:r w:rsidR="00932057">
        <w:rPr>
          <w:bCs/>
        </w:rPr>
        <w:t>v</w:t>
      </w:r>
      <w:r w:rsidR="00E4714F" w:rsidRPr="0025559E">
        <w:rPr>
          <w:bCs/>
        </w:rPr>
        <w:t>āku noregulējumu, atz</w:t>
      </w:r>
      <w:r w:rsidR="00E4714F">
        <w:rPr>
          <w:bCs/>
        </w:rPr>
        <w:t>inusi</w:t>
      </w:r>
      <w:r w:rsidR="00E4714F" w:rsidRPr="0025559E">
        <w:rPr>
          <w:bCs/>
        </w:rPr>
        <w:t>, ka taisnīgs un individualizēts soda mērs par</w:t>
      </w:r>
      <w:r w:rsidR="00E4714F">
        <w:rPr>
          <w:bCs/>
        </w:rPr>
        <w:t xml:space="preserve"> </w:t>
      </w:r>
      <w:r w:rsidR="00E4714F" w:rsidRPr="0025559E">
        <w:rPr>
          <w:bCs/>
        </w:rPr>
        <w:t>katru noziedzīgo nodarījumu ir brīvības atņemšana zem pantu sankcijās paredzētā vidējā apmēra,</w:t>
      </w:r>
      <w:r w:rsidR="00E4714F">
        <w:rPr>
          <w:bCs/>
        </w:rPr>
        <w:t xml:space="preserve"> </w:t>
      </w:r>
      <w:r w:rsidR="001C77C7">
        <w:rPr>
          <w:bCs/>
        </w:rPr>
        <w:t>proti</w:t>
      </w:r>
      <w:r w:rsidR="00E4714F" w:rsidRPr="0025559E">
        <w:rPr>
          <w:bCs/>
        </w:rPr>
        <w:t>, par</w:t>
      </w:r>
      <w:r w:rsidR="00E4714F">
        <w:rPr>
          <w:bCs/>
        </w:rPr>
        <w:t xml:space="preserve"> </w:t>
      </w:r>
      <w:r w:rsidR="00E4714F" w:rsidRPr="0025559E">
        <w:rPr>
          <w:bCs/>
        </w:rPr>
        <w:t>noziedzīgo nodarījumu pēc Krimināllikuma 217.</w:t>
      </w:r>
      <w:r w:rsidR="00E4714F" w:rsidRPr="0025559E">
        <w:rPr>
          <w:bCs/>
          <w:vertAlign w:val="superscript"/>
        </w:rPr>
        <w:t>1</w:t>
      </w:r>
      <w:r w:rsidR="00932057" w:rsidRPr="00DE4EFF">
        <w:rPr>
          <w:bCs/>
        </w:rPr>
        <w:t> </w:t>
      </w:r>
      <w:r w:rsidR="00E4714F" w:rsidRPr="0025559E">
        <w:rPr>
          <w:bCs/>
        </w:rPr>
        <w:t xml:space="preserve">panta </w:t>
      </w:r>
      <w:r w:rsidR="00E4714F">
        <w:rPr>
          <w:bCs/>
        </w:rPr>
        <w:t xml:space="preserve">– </w:t>
      </w:r>
      <w:r w:rsidR="00E4714F" w:rsidRPr="0025559E">
        <w:rPr>
          <w:bCs/>
        </w:rPr>
        <w:t xml:space="preserve">brīvības atņemšana uz </w:t>
      </w:r>
      <w:r w:rsidR="00E4714F">
        <w:rPr>
          <w:bCs/>
        </w:rPr>
        <w:t>6</w:t>
      </w:r>
      <w:r w:rsidR="00E4714F" w:rsidRPr="0025559E">
        <w:rPr>
          <w:bCs/>
        </w:rPr>
        <w:t xml:space="preserve"> mēnešiem, savukārt</w:t>
      </w:r>
      <w:r w:rsidR="00E4714F">
        <w:rPr>
          <w:bCs/>
        </w:rPr>
        <w:t xml:space="preserve"> </w:t>
      </w:r>
      <w:r w:rsidR="008D4CAB">
        <w:rPr>
          <w:bCs/>
        </w:rPr>
        <w:t xml:space="preserve">par noziedzīgu nodarījumu </w:t>
      </w:r>
      <w:r w:rsidR="00E4714F" w:rsidRPr="0025559E">
        <w:rPr>
          <w:bCs/>
        </w:rPr>
        <w:t>pēc Krimināllikuma 218.</w:t>
      </w:r>
      <w:r w:rsidR="00E4714F">
        <w:rPr>
          <w:bCs/>
        </w:rPr>
        <w:t> </w:t>
      </w:r>
      <w:r w:rsidR="00E4714F" w:rsidRPr="0025559E">
        <w:rPr>
          <w:bCs/>
        </w:rPr>
        <w:t>panta otrās daļas</w:t>
      </w:r>
      <w:r w:rsidR="00E4714F">
        <w:rPr>
          <w:bCs/>
        </w:rPr>
        <w:t xml:space="preserve"> – </w:t>
      </w:r>
      <w:r w:rsidR="00E4714F" w:rsidRPr="0025559E">
        <w:rPr>
          <w:bCs/>
        </w:rPr>
        <w:t xml:space="preserve">brīvības atņemšana uz </w:t>
      </w:r>
      <w:r w:rsidR="00E4714F">
        <w:rPr>
          <w:bCs/>
        </w:rPr>
        <w:t>1</w:t>
      </w:r>
      <w:r w:rsidR="00E4714F" w:rsidRPr="0025559E">
        <w:rPr>
          <w:bCs/>
        </w:rPr>
        <w:t xml:space="preserve">gadu </w:t>
      </w:r>
      <w:r w:rsidR="00E4714F">
        <w:rPr>
          <w:bCs/>
        </w:rPr>
        <w:t>6</w:t>
      </w:r>
      <w:r w:rsidR="00E4714F" w:rsidRPr="0025559E">
        <w:rPr>
          <w:bCs/>
        </w:rPr>
        <w:t xml:space="preserve"> mēnešiem</w:t>
      </w:r>
      <w:r w:rsidR="00E4714F">
        <w:rPr>
          <w:bCs/>
        </w:rPr>
        <w:t>.</w:t>
      </w:r>
    </w:p>
    <w:p w14:paraId="18856F75" w14:textId="4721FCD5" w:rsidR="00B0350D" w:rsidRDefault="004A66CE" w:rsidP="0058698A">
      <w:pPr>
        <w:spacing w:line="276" w:lineRule="auto"/>
        <w:ind w:firstLine="720"/>
        <w:jc w:val="both"/>
        <w:rPr>
          <w:rFonts w:asciiTheme="majorBidi" w:hAnsiTheme="majorBidi" w:cstheme="majorBidi"/>
        </w:rPr>
      </w:pPr>
      <w:r>
        <w:rPr>
          <w:bCs/>
        </w:rPr>
        <w:t>[</w:t>
      </w:r>
      <w:r w:rsidR="007E42A2">
        <w:rPr>
          <w:bCs/>
        </w:rPr>
        <w:t>6</w:t>
      </w:r>
      <w:r>
        <w:rPr>
          <w:bCs/>
        </w:rPr>
        <w:t>.5] </w:t>
      </w:r>
      <w:r w:rsidR="007C3E16">
        <w:rPr>
          <w:bCs/>
        </w:rPr>
        <w:t>Senāts konstatē</w:t>
      </w:r>
      <w:r w:rsidR="00C71ED7">
        <w:rPr>
          <w:bCs/>
        </w:rPr>
        <w:t>, ka</w:t>
      </w:r>
      <w:r w:rsidR="007C3E16">
        <w:rPr>
          <w:bCs/>
        </w:rPr>
        <w:t xml:space="preserve"> apelācijas instances tiesa samazinājusi apsūdzētajam noteikto sod</w:t>
      </w:r>
      <w:r w:rsidR="00FA13BC">
        <w:rPr>
          <w:bCs/>
        </w:rPr>
        <w:t>a</w:t>
      </w:r>
      <w:r w:rsidR="007C3E16">
        <w:rPr>
          <w:bCs/>
        </w:rPr>
        <w:t xml:space="preserve"> </w:t>
      </w:r>
      <w:r w:rsidR="00FA13BC">
        <w:rPr>
          <w:bCs/>
        </w:rPr>
        <w:t xml:space="preserve">mēru </w:t>
      </w:r>
      <w:r w:rsidR="007C3E16">
        <w:rPr>
          <w:bCs/>
        </w:rPr>
        <w:t>par abiem noziedzīgajiem nodarījumiem,</w:t>
      </w:r>
      <w:r w:rsidR="007C3E16" w:rsidRPr="007C3E16">
        <w:rPr>
          <w:rFonts w:asciiTheme="majorBidi" w:hAnsiTheme="majorBidi" w:cstheme="majorBidi"/>
        </w:rPr>
        <w:t xml:space="preserve"> </w:t>
      </w:r>
      <w:r w:rsidR="007C3E16">
        <w:rPr>
          <w:rFonts w:asciiTheme="majorBidi" w:hAnsiTheme="majorBidi" w:cstheme="majorBidi"/>
        </w:rPr>
        <w:t>nekonstatējot jaunus soda mēru ietekmējoš</w:t>
      </w:r>
      <w:r w:rsidR="00C71ED7">
        <w:rPr>
          <w:rFonts w:asciiTheme="majorBidi" w:hAnsiTheme="majorBidi" w:cstheme="majorBidi"/>
        </w:rPr>
        <w:t>u</w:t>
      </w:r>
      <w:r w:rsidR="007C3E16">
        <w:rPr>
          <w:rFonts w:asciiTheme="majorBidi" w:hAnsiTheme="majorBidi" w:cstheme="majorBidi"/>
        </w:rPr>
        <w:t>s apstākļus.</w:t>
      </w:r>
    </w:p>
    <w:p w14:paraId="2FBAFDBE" w14:textId="5FE24222" w:rsidR="006E4977" w:rsidRPr="006E4977" w:rsidRDefault="008943FD" w:rsidP="0058698A">
      <w:pPr>
        <w:spacing w:line="276" w:lineRule="auto"/>
        <w:ind w:firstLine="720"/>
        <w:jc w:val="both"/>
        <w:rPr>
          <w:rFonts w:asciiTheme="majorBidi" w:hAnsiTheme="majorBidi" w:cstheme="majorBidi"/>
        </w:rPr>
      </w:pPr>
      <w:r w:rsidRPr="00F26562">
        <w:rPr>
          <w:rFonts w:asciiTheme="majorBidi" w:hAnsiTheme="majorBidi" w:cstheme="majorBidi"/>
        </w:rPr>
        <w:t>Neapšaubāmi, a</w:t>
      </w:r>
      <w:r w:rsidR="00B0350D" w:rsidRPr="00B0350D">
        <w:rPr>
          <w:rFonts w:asciiTheme="majorBidi" w:hAnsiTheme="majorBidi" w:cstheme="majorBidi"/>
        </w:rPr>
        <w:t>pelācijas instances tiesas kompetencē ir gan pārbaudīt pirmās instances nolēmuma tiesiskumu, gan arī, konstatējot tam pamatu, mainīt piemēroto soda mēru</w:t>
      </w:r>
      <w:r w:rsidRPr="00F26562">
        <w:rPr>
          <w:rFonts w:asciiTheme="majorBidi" w:hAnsiTheme="majorBidi" w:cstheme="majorBidi"/>
        </w:rPr>
        <w:t>, t</w:t>
      </w:r>
      <w:r w:rsidR="00B0350D" w:rsidRPr="00B0350D">
        <w:rPr>
          <w:rFonts w:asciiTheme="majorBidi" w:hAnsiTheme="majorBidi" w:cstheme="majorBidi"/>
        </w:rPr>
        <w:t>aču šād</w:t>
      </w:r>
      <w:r w:rsidR="00322A38" w:rsidRPr="00F26562">
        <w:rPr>
          <w:rFonts w:asciiTheme="majorBidi" w:hAnsiTheme="majorBidi" w:cstheme="majorBidi"/>
        </w:rPr>
        <w:t>s</w:t>
      </w:r>
      <w:r w:rsidR="00B0350D" w:rsidRPr="00B0350D">
        <w:rPr>
          <w:rFonts w:asciiTheme="majorBidi" w:hAnsiTheme="majorBidi" w:cstheme="majorBidi"/>
        </w:rPr>
        <w:t xml:space="preserve"> </w:t>
      </w:r>
      <w:r w:rsidR="00322A38" w:rsidRPr="00F26562">
        <w:rPr>
          <w:rFonts w:asciiTheme="majorBidi" w:hAnsiTheme="majorBidi" w:cstheme="majorBidi"/>
        </w:rPr>
        <w:t>lēmums</w:t>
      </w:r>
      <w:r w:rsidR="00B0350D" w:rsidRPr="00B0350D">
        <w:rPr>
          <w:rFonts w:asciiTheme="majorBidi" w:hAnsiTheme="majorBidi" w:cstheme="majorBidi"/>
        </w:rPr>
        <w:t xml:space="preserve"> nevar būt patvaļīg</w:t>
      </w:r>
      <w:r w:rsidR="00322A38" w:rsidRPr="00F26562">
        <w:rPr>
          <w:rFonts w:asciiTheme="majorBidi" w:hAnsiTheme="majorBidi" w:cstheme="majorBidi"/>
        </w:rPr>
        <w:t>s</w:t>
      </w:r>
      <w:r w:rsidR="00B0350D" w:rsidRPr="00B0350D">
        <w:rPr>
          <w:rFonts w:asciiTheme="majorBidi" w:hAnsiTheme="majorBidi" w:cstheme="majorBidi"/>
        </w:rPr>
        <w:t>.</w:t>
      </w:r>
      <w:r w:rsidR="006E4977">
        <w:rPr>
          <w:rFonts w:asciiTheme="majorBidi" w:hAnsiTheme="majorBidi" w:cstheme="majorBidi"/>
        </w:rPr>
        <w:t xml:space="preserve"> </w:t>
      </w:r>
      <w:r w:rsidR="006E4977" w:rsidRPr="006E4977">
        <w:rPr>
          <w:rFonts w:asciiTheme="majorBidi" w:hAnsiTheme="majorBidi" w:cstheme="majorBidi"/>
        </w:rPr>
        <w:t xml:space="preserve">Apelācijas instances tiesai, īstenojot tai piešķirtās pilnvaras lietas atkārtotā izskatīšanā pēc būtības, ir jāpamato jebkādas izmaiņas </w:t>
      </w:r>
      <w:r w:rsidR="001C77C7">
        <w:rPr>
          <w:rFonts w:asciiTheme="majorBidi" w:hAnsiTheme="majorBidi" w:cstheme="majorBidi"/>
        </w:rPr>
        <w:t xml:space="preserve">personai noteiktajā </w:t>
      </w:r>
      <w:r w:rsidR="006E4977" w:rsidRPr="006E4977">
        <w:rPr>
          <w:rFonts w:asciiTheme="majorBidi" w:hAnsiTheme="majorBidi" w:cstheme="majorBidi"/>
        </w:rPr>
        <w:t xml:space="preserve">sodā, un pieņemtajam lēmumam jābūt </w:t>
      </w:r>
      <w:r w:rsidR="001C77C7">
        <w:rPr>
          <w:rFonts w:asciiTheme="majorBidi" w:hAnsiTheme="majorBidi" w:cstheme="majorBidi"/>
        </w:rPr>
        <w:t xml:space="preserve">pamatotam ar </w:t>
      </w:r>
      <w:r w:rsidR="006E4977" w:rsidRPr="006E4977">
        <w:rPr>
          <w:rFonts w:asciiTheme="majorBidi" w:hAnsiTheme="majorBidi" w:cstheme="majorBidi"/>
        </w:rPr>
        <w:t>konkrētiem, juridiski</w:t>
      </w:r>
      <w:r w:rsidR="008D4CAB">
        <w:rPr>
          <w:rFonts w:asciiTheme="majorBidi" w:hAnsiTheme="majorBidi" w:cstheme="majorBidi"/>
        </w:rPr>
        <w:t>em</w:t>
      </w:r>
      <w:r w:rsidR="000D77F5" w:rsidRPr="006E4977">
        <w:rPr>
          <w:rFonts w:asciiTheme="majorBidi" w:hAnsiTheme="majorBidi" w:cstheme="majorBidi"/>
        </w:rPr>
        <w:t xml:space="preserve"> </w:t>
      </w:r>
      <w:r w:rsidR="006E4977" w:rsidRPr="006E4977">
        <w:rPr>
          <w:rFonts w:asciiTheme="majorBidi" w:hAnsiTheme="majorBidi" w:cstheme="majorBidi"/>
        </w:rPr>
        <w:t xml:space="preserve">argumentiem, kas izriet no lietā konstatētajiem </w:t>
      </w:r>
      <w:r w:rsidR="004D760F">
        <w:rPr>
          <w:rFonts w:asciiTheme="majorBidi" w:hAnsiTheme="majorBidi" w:cstheme="majorBidi"/>
        </w:rPr>
        <w:t xml:space="preserve">faktiskajiem </w:t>
      </w:r>
      <w:r w:rsidR="006E4977" w:rsidRPr="006E4977">
        <w:rPr>
          <w:rFonts w:asciiTheme="majorBidi" w:hAnsiTheme="majorBidi" w:cstheme="majorBidi"/>
        </w:rPr>
        <w:t>apstākļiem un tiesību normu pareizas piemērošanas.</w:t>
      </w:r>
    </w:p>
    <w:p w14:paraId="42C9F94F" w14:textId="10F55E41" w:rsidR="00B0350D" w:rsidRDefault="00B0350D" w:rsidP="0058698A">
      <w:pPr>
        <w:spacing w:line="276" w:lineRule="auto"/>
        <w:ind w:firstLine="720"/>
        <w:jc w:val="both"/>
      </w:pPr>
      <w:r w:rsidRPr="003A746C">
        <w:t>Satversmes tiesa norādījusi, ka motivēta nolēmuma mērķis ir nodrošināt, lai gan lietas dalībnieki, gan sabiedrība varētu saprast, kā tiesa nonākusi pie tieši tāda un ne citāda lietas iznākuma</w:t>
      </w:r>
      <w:r w:rsidR="00C71ED7">
        <w:t>,</w:t>
      </w:r>
      <w:r w:rsidRPr="003A746C">
        <w:t xml:space="preserve"> tādējādi izslē</w:t>
      </w:r>
      <w:r w:rsidR="00C71ED7">
        <w:t>dzot</w:t>
      </w:r>
      <w:r w:rsidRPr="003A746C">
        <w:t xml:space="preserve"> tiesas patvaļas iespējamību (</w:t>
      </w:r>
      <w:bookmarkStart w:id="1" w:name="_Hlk208920556"/>
      <w:r w:rsidRPr="00EB0481">
        <w:rPr>
          <w:i/>
          <w:iCs/>
        </w:rPr>
        <w:t>Satversmes tiesas 2018.</w:t>
      </w:r>
      <w:r>
        <w:rPr>
          <w:i/>
          <w:iCs/>
        </w:rPr>
        <w:t> </w:t>
      </w:r>
      <w:r w:rsidRPr="00EB0481">
        <w:rPr>
          <w:i/>
          <w:iCs/>
        </w:rPr>
        <w:t>gada 15.</w:t>
      </w:r>
      <w:r>
        <w:rPr>
          <w:i/>
          <w:iCs/>
        </w:rPr>
        <w:t> </w:t>
      </w:r>
      <w:r w:rsidRPr="00EB0481">
        <w:rPr>
          <w:i/>
          <w:iCs/>
        </w:rPr>
        <w:t>marta sprieduma lietā Nr. </w:t>
      </w:r>
      <w:hyperlink r:id="rId9" w:anchor="search=2017-16-01" w:history="1">
        <w:r w:rsidRPr="00F5359A">
          <w:rPr>
            <w:rStyle w:val="Hyperlink"/>
            <w:i/>
            <w:iCs/>
          </w:rPr>
          <w:t>2017</w:t>
        </w:r>
        <w:r w:rsidR="00C71ED7">
          <w:rPr>
            <w:rStyle w:val="Hyperlink"/>
            <w:i/>
            <w:iCs/>
          </w:rPr>
          <w:noBreakHyphen/>
        </w:r>
        <w:r w:rsidRPr="00F5359A">
          <w:rPr>
            <w:rStyle w:val="Hyperlink"/>
            <w:i/>
            <w:iCs/>
          </w:rPr>
          <w:t>16</w:t>
        </w:r>
        <w:r w:rsidR="00C71ED7">
          <w:rPr>
            <w:rStyle w:val="Hyperlink"/>
            <w:i/>
            <w:iCs/>
          </w:rPr>
          <w:noBreakHyphen/>
        </w:r>
        <w:r w:rsidRPr="00F5359A">
          <w:rPr>
            <w:rStyle w:val="Hyperlink"/>
            <w:i/>
            <w:iCs/>
          </w:rPr>
          <w:t>01</w:t>
        </w:r>
      </w:hyperlink>
      <w:r w:rsidRPr="00EB0481">
        <w:rPr>
          <w:i/>
          <w:iCs/>
        </w:rPr>
        <w:t xml:space="preserve"> </w:t>
      </w:r>
      <w:bookmarkEnd w:id="1"/>
      <w:r w:rsidRPr="00EB0481">
        <w:rPr>
          <w:i/>
          <w:iCs/>
        </w:rPr>
        <w:t>16.</w:t>
      </w:r>
      <w:r w:rsidR="00C71ED7">
        <w:rPr>
          <w:i/>
          <w:iCs/>
        </w:rPr>
        <w:t> </w:t>
      </w:r>
      <w:r w:rsidRPr="00EB0481">
        <w:rPr>
          <w:i/>
          <w:iCs/>
        </w:rPr>
        <w:t>punkts</w:t>
      </w:r>
      <w:r w:rsidRPr="003A746C">
        <w:t>).</w:t>
      </w:r>
    </w:p>
    <w:p w14:paraId="6E2D1C3E" w14:textId="060FED2B" w:rsidR="004D760F" w:rsidRPr="004D760F" w:rsidRDefault="00B0350D" w:rsidP="000D77F5">
      <w:pPr>
        <w:widowControl w:val="0"/>
        <w:spacing w:line="276" w:lineRule="auto"/>
        <w:ind w:firstLine="720"/>
        <w:jc w:val="both"/>
        <w:rPr>
          <w:rFonts w:asciiTheme="majorBidi" w:hAnsiTheme="majorBidi" w:cstheme="majorBidi"/>
          <w:b/>
          <w:i/>
          <w:iCs/>
        </w:rPr>
      </w:pPr>
      <w:r>
        <w:t xml:space="preserve">Senāts ir uzsvēris, ka tiesas nolēmuma pamatotība ir viens no procesuālā taisnīguma nodrošināšanas līdzekļiem, un atbilstoši tai tiesai ir pienākums motivēt savu nolēmumu. </w:t>
      </w:r>
      <w:r>
        <w:rPr>
          <w:color w:val="000000"/>
        </w:rPr>
        <w:t xml:space="preserve">Kriminālprocesa likuma prasība par motivētu nolēmumu ir ievērota, ja tiesa </w:t>
      </w:r>
      <w:r w:rsidRPr="002C4772">
        <w:rPr>
          <w:color w:val="000000"/>
        </w:rPr>
        <w:t>ir motivējusi visus būtiskos atzinumus, kuriem ir nozīme lietas taisnīgā izspriešanā, un</w:t>
      </w:r>
      <w:r>
        <w:rPr>
          <w:color w:val="000000"/>
        </w:rPr>
        <w:t xml:space="preserve"> motīvu izklāsta apjoms ļauj saprast, kā tiesa nonākusi pie šiem </w:t>
      </w:r>
      <w:r w:rsidRPr="003D223A">
        <w:rPr>
          <w:color w:val="000000"/>
        </w:rPr>
        <w:t>atzinumiem (</w:t>
      </w:r>
      <w:r w:rsidR="00405510">
        <w:rPr>
          <w:color w:val="000000"/>
        </w:rPr>
        <w:t>sk. </w:t>
      </w:r>
      <w:bookmarkStart w:id="2" w:name="_Hlk208920582"/>
      <w:r w:rsidRPr="003D223A">
        <w:rPr>
          <w:bCs/>
          <w:i/>
          <w:iCs/>
        </w:rPr>
        <w:t xml:space="preserve">Senāta 2022. gada 5. jūlija </w:t>
      </w:r>
      <w:r w:rsidRPr="00EC74A9">
        <w:rPr>
          <w:rFonts w:asciiTheme="majorBidi" w:hAnsiTheme="majorBidi" w:cstheme="majorBidi"/>
          <w:i/>
          <w:iCs/>
          <w:color w:val="000000" w:themeColor="text1"/>
        </w:rPr>
        <w:t>lēmuma lietā Nr. </w:t>
      </w:r>
      <w:r w:rsidRPr="003D223A">
        <w:rPr>
          <w:bCs/>
          <w:i/>
          <w:iCs/>
        </w:rPr>
        <w:t>SKK</w:t>
      </w:r>
      <w:r w:rsidR="00405510">
        <w:rPr>
          <w:bCs/>
          <w:i/>
          <w:iCs/>
        </w:rPr>
        <w:noBreakHyphen/>
      </w:r>
      <w:r w:rsidRPr="003D223A">
        <w:rPr>
          <w:bCs/>
          <w:i/>
          <w:iCs/>
        </w:rPr>
        <w:t>1/2022</w:t>
      </w:r>
      <w:r w:rsidR="00405510">
        <w:rPr>
          <w:bCs/>
          <w:i/>
          <w:iCs/>
        </w:rPr>
        <w:t>,</w:t>
      </w:r>
      <w:r w:rsidRPr="003D223A">
        <w:rPr>
          <w:bCs/>
          <w:i/>
          <w:iCs/>
        </w:rPr>
        <w:t xml:space="preserve"> </w:t>
      </w:r>
      <w:hyperlink r:id="rId10" w:history="1">
        <w:r w:rsidR="00405510" w:rsidRPr="00405510">
          <w:rPr>
            <w:rStyle w:val="Hyperlink"/>
            <w:bCs/>
            <w:i/>
            <w:iCs/>
          </w:rPr>
          <w:t>ECLI:LV:AT:2022:0705.11816006914.4.L</w:t>
        </w:r>
      </w:hyperlink>
      <w:bookmarkEnd w:id="2"/>
      <w:r w:rsidRPr="003D223A">
        <w:rPr>
          <w:bCs/>
          <w:i/>
          <w:iCs/>
        </w:rPr>
        <w:t>, 18.</w:t>
      </w:r>
      <w:r>
        <w:rPr>
          <w:bCs/>
          <w:i/>
          <w:iCs/>
        </w:rPr>
        <w:t> </w:t>
      </w:r>
      <w:r w:rsidRPr="00EC74A9">
        <w:rPr>
          <w:rFonts w:asciiTheme="majorBidi" w:hAnsiTheme="majorBidi" w:cstheme="majorBidi"/>
          <w:i/>
          <w:iCs/>
          <w:color w:val="000000" w:themeColor="text1"/>
        </w:rPr>
        <w:t>punkt</w:t>
      </w:r>
      <w:r w:rsidR="00405510">
        <w:rPr>
          <w:rFonts w:asciiTheme="majorBidi" w:hAnsiTheme="majorBidi" w:cstheme="majorBidi"/>
          <w:i/>
          <w:iCs/>
          <w:color w:val="000000" w:themeColor="text1"/>
        </w:rPr>
        <w:t>u</w:t>
      </w:r>
      <w:r w:rsidRPr="003D223A">
        <w:rPr>
          <w:color w:val="000000"/>
        </w:rPr>
        <w:t>).</w:t>
      </w:r>
      <w:r w:rsidR="004D760F">
        <w:t xml:space="preserve"> </w:t>
      </w:r>
    </w:p>
    <w:p w14:paraId="0780B313" w14:textId="72698EAD" w:rsidR="00F26562" w:rsidRDefault="008943FD" w:rsidP="0058698A">
      <w:pPr>
        <w:spacing w:line="276" w:lineRule="auto"/>
        <w:ind w:firstLine="720"/>
        <w:jc w:val="both"/>
        <w:rPr>
          <w:rFonts w:asciiTheme="majorBidi" w:hAnsiTheme="majorBidi" w:cstheme="majorBidi"/>
        </w:rPr>
      </w:pPr>
      <w:r>
        <w:rPr>
          <w:rFonts w:eastAsia="TimesNewRomanPSMT"/>
        </w:rPr>
        <w:t>[</w:t>
      </w:r>
      <w:r w:rsidR="007E42A2">
        <w:rPr>
          <w:rFonts w:eastAsia="TimesNewRomanPSMT"/>
        </w:rPr>
        <w:t>6</w:t>
      </w:r>
      <w:r>
        <w:rPr>
          <w:rFonts w:eastAsia="TimesNewRomanPSMT"/>
        </w:rPr>
        <w:t>.6] </w:t>
      </w:r>
      <w:r w:rsidRPr="003D223A">
        <w:rPr>
          <w:rFonts w:eastAsia="TimesNewRomanPSMT"/>
        </w:rPr>
        <w:t>S</w:t>
      </w:r>
      <w:r w:rsidRPr="003D223A">
        <w:t xml:space="preserve">enāts atzīst, ka apelācijas instances tiesas </w:t>
      </w:r>
      <w:r>
        <w:t>lēmums par apsūdzētajam noteiktā soda mēra samazināšanu</w:t>
      </w:r>
      <w:r w:rsidRPr="003D223A">
        <w:t xml:space="preserve"> nav pamatots</w:t>
      </w:r>
      <w:r>
        <w:t>,</w:t>
      </w:r>
      <w:r w:rsidRPr="003D223A">
        <w:t xml:space="preserve"> un motīvu izklāsta apjoms neļauj saprast, kā tiesa nonākusi pie šāda</w:t>
      </w:r>
      <w:r>
        <w:t xml:space="preserve"> no pirmās instances tiesas sprieduma atšķirīga</w:t>
      </w:r>
      <w:r w:rsidRPr="003D223A">
        <w:t xml:space="preserve"> atzinuma</w:t>
      </w:r>
      <w:r>
        <w:t xml:space="preserve"> vienādos </w:t>
      </w:r>
      <w:r w:rsidR="0092788F">
        <w:t xml:space="preserve">faktiskajos un </w:t>
      </w:r>
      <w:r>
        <w:t>tiesiskajos apstākļos.</w:t>
      </w:r>
      <w:r w:rsidRPr="003D223A">
        <w:t xml:space="preserve"> Apelācijas instances tiesa nav norādījusi tādus</w:t>
      </w:r>
      <w:r>
        <w:t xml:space="preserve"> sodu ietekmējoš</w:t>
      </w:r>
      <w:r w:rsidR="00C67497">
        <w:t>u</w:t>
      </w:r>
      <w:r>
        <w:t>s</w:t>
      </w:r>
      <w:r w:rsidRPr="003D223A">
        <w:t xml:space="preserve"> apstākļus, ko pirmās instances tiesa nebūtu izvērtējusi, proti, apelācijas </w:t>
      </w:r>
      <w:r w:rsidRPr="003D223A">
        <w:lastRenderedPageBreak/>
        <w:t>instances tiesa nav norādījusi argumentus par to, kā izpaudusies pirmās instances tiesas sprieduma nepareizība.</w:t>
      </w:r>
      <w:r>
        <w:t xml:space="preserve"> </w:t>
      </w:r>
      <w:r w:rsidR="00F26562">
        <w:t>Tiesa</w:t>
      </w:r>
      <w:r w:rsidR="006E4977">
        <w:t>s</w:t>
      </w:r>
      <w:r w:rsidR="00F26562">
        <w:t xml:space="preserve"> </w:t>
      </w:r>
      <w:r w:rsidR="00F26562" w:rsidRPr="006E4977">
        <w:t>n</w:t>
      </w:r>
      <w:r w:rsidR="00F26562" w:rsidRPr="00F26562">
        <w:rPr>
          <w:rFonts w:asciiTheme="majorBidi" w:hAnsiTheme="majorBidi" w:cstheme="majorBidi"/>
        </w:rPr>
        <w:t>olēmums, kas ne</w:t>
      </w:r>
      <w:r w:rsidR="006E4977" w:rsidRPr="006E4977">
        <w:rPr>
          <w:rFonts w:asciiTheme="majorBidi" w:hAnsiTheme="majorBidi" w:cstheme="majorBidi"/>
        </w:rPr>
        <w:t>ļauj saprast</w:t>
      </w:r>
      <w:r w:rsidR="00F26562" w:rsidRPr="00F26562">
        <w:rPr>
          <w:rFonts w:asciiTheme="majorBidi" w:hAnsiTheme="majorBidi" w:cstheme="majorBidi"/>
        </w:rPr>
        <w:t xml:space="preserve">, kāpēc </w:t>
      </w:r>
      <w:r w:rsidR="006E4977" w:rsidRPr="006E4977">
        <w:rPr>
          <w:rFonts w:asciiTheme="majorBidi" w:hAnsiTheme="majorBidi" w:cstheme="majorBidi"/>
        </w:rPr>
        <w:t xml:space="preserve">apsūdzētajam </w:t>
      </w:r>
      <w:r w:rsidR="00F26562" w:rsidRPr="00F26562">
        <w:rPr>
          <w:rFonts w:asciiTheme="majorBidi" w:hAnsiTheme="majorBidi" w:cstheme="majorBidi"/>
        </w:rPr>
        <w:t xml:space="preserve">tiek </w:t>
      </w:r>
      <w:r w:rsidR="006E4977" w:rsidRPr="006E4977">
        <w:rPr>
          <w:rFonts w:asciiTheme="majorBidi" w:hAnsiTheme="majorBidi" w:cstheme="majorBidi"/>
        </w:rPr>
        <w:t>noteikts</w:t>
      </w:r>
      <w:r w:rsidR="00F26562" w:rsidRPr="00F26562">
        <w:rPr>
          <w:rFonts w:asciiTheme="majorBidi" w:hAnsiTheme="majorBidi" w:cstheme="majorBidi"/>
        </w:rPr>
        <w:t xml:space="preserve"> citāds soda mērs, neatbilst Kriminālprocesa likuma prasībām par motivētu spriedumu un </w:t>
      </w:r>
      <w:r w:rsidR="006E4977" w:rsidRPr="006E4977">
        <w:rPr>
          <w:rFonts w:asciiTheme="majorBidi" w:hAnsiTheme="majorBidi" w:cstheme="majorBidi"/>
        </w:rPr>
        <w:t>ne</w:t>
      </w:r>
      <w:r w:rsidR="00F26562" w:rsidRPr="00F26562">
        <w:rPr>
          <w:rFonts w:asciiTheme="majorBidi" w:hAnsiTheme="majorBidi" w:cstheme="majorBidi"/>
        </w:rPr>
        <w:t>var tikt uzskatīts par tiesisku</w:t>
      </w:r>
      <w:r w:rsidR="006E4977" w:rsidRPr="006E4977">
        <w:rPr>
          <w:rFonts w:asciiTheme="majorBidi" w:hAnsiTheme="majorBidi" w:cstheme="majorBidi"/>
        </w:rPr>
        <w:t xml:space="preserve"> un pamatotu.</w:t>
      </w:r>
    </w:p>
    <w:p w14:paraId="3D348975" w14:textId="1E0651B1" w:rsidR="006E4977" w:rsidRDefault="006E4977" w:rsidP="0058698A">
      <w:pPr>
        <w:spacing w:line="276" w:lineRule="auto"/>
        <w:ind w:firstLine="720"/>
        <w:jc w:val="both"/>
        <w:rPr>
          <w:bCs/>
        </w:rPr>
      </w:pPr>
      <w:r w:rsidRPr="00BF7B49">
        <w:t xml:space="preserve">Senāts atzīst, ka apelācijas instances tiesa, atceļot </w:t>
      </w:r>
      <w:r w:rsidR="009E2FE4">
        <w:rPr>
          <w:shd w:val="clear" w:color="auto" w:fill="FFFFFF"/>
        </w:rPr>
        <w:t>Kurzemes rajona tiesas 2024. gada 23.</w:t>
      </w:r>
      <w:r w:rsidR="009E2FE4">
        <w:t> maija</w:t>
      </w:r>
      <w:r w:rsidR="009E2FE4">
        <w:rPr>
          <w:shd w:val="clear" w:color="auto" w:fill="FFFFFF"/>
        </w:rPr>
        <w:t xml:space="preserve"> spriedumu</w:t>
      </w:r>
      <w:r w:rsidRPr="00BF7B49">
        <w:t xml:space="preserve"> daļā</w:t>
      </w:r>
      <w:r w:rsidR="009E2FE4">
        <w:t xml:space="preserve"> par </w:t>
      </w:r>
      <w:r w:rsidR="007A5CF1">
        <w:rPr>
          <w:shd w:val="clear" w:color="auto" w:fill="FFFFFF"/>
        </w:rPr>
        <w:t>[pers.</w:t>
      </w:r>
      <w:r w:rsidR="00342B3B">
        <w:rPr>
          <w:shd w:val="clear" w:color="auto" w:fill="FFFFFF"/>
        </w:rPr>
        <w:t> </w:t>
      </w:r>
      <w:r w:rsidR="007A5CF1">
        <w:rPr>
          <w:shd w:val="clear" w:color="auto" w:fill="FFFFFF"/>
        </w:rPr>
        <w:t>A]</w:t>
      </w:r>
      <w:r w:rsidR="009E2FE4">
        <w:t xml:space="preserve"> noteikto sodu pēc Krimināllikuma 217.</w:t>
      </w:r>
      <w:r w:rsidR="009E2FE4" w:rsidRPr="00662714">
        <w:rPr>
          <w:vertAlign w:val="superscript"/>
        </w:rPr>
        <w:t>1</w:t>
      </w:r>
      <w:r w:rsidR="009E2FE4" w:rsidRPr="00DE4EFF">
        <w:t> </w:t>
      </w:r>
      <w:r w:rsidR="009E2FE4">
        <w:t>panta un Krimināllikuma 218. panta otrās daļas,</w:t>
      </w:r>
      <w:r w:rsidRPr="00BF7B49">
        <w:t xml:space="preserve"> </w:t>
      </w:r>
      <w:r w:rsidR="009E2FE4">
        <w:t xml:space="preserve">savu lēmumu par apsūdzētajam </w:t>
      </w:r>
      <w:r w:rsidR="001B3E68">
        <w:t xml:space="preserve">[pers. A] </w:t>
      </w:r>
      <w:r w:rsidR="009E2FE4">
        <w:t xml:space="preserve">noteiktā soda mēra samazināšanu nav pamatojusi atbilstoši </w:t>
      </w:r>
      <w:r w:rsidRPr="00BF7B49">
        <w:t xml:space="preserve">Kriminālprocesa likuma 564. panta ceturtās daļas prasībām. </w:t>
      </w:r>
      <w:r>
        <w:t>Atbilstoši Kriminālprocesa likuma 511. panta otrās daļas prasībām n</w:t>
      </w:r>
      <w:r w:rsidRPr="00BF7B49">
        <w:t>emotivēts apelācijas instances tiesas spriedums nav atzīstams</w:t>
      </w:r>
      <w:r w:rsidRPr="006F4EDB">
        <w:t xml:space="preserve"> par </w:t>
      </w:r>
      <w:r>
        <w:t xml:space="preserve">tiesisku un pamatotu. </w:t>
      </w:r>
      <w:r>
        <w:rPr>
          <w:bCs/>
        </w:rPr>
        <w:t>Minētie pārkāpumi atzīstami par Kriminālprocesa likuma būtiskiem pārkāpumiem šā likuma 575. panta trešās daļas izpratnē, jo norādītajā daļā noveda pie nelikumīga nolēmuma</w:t>
      </w:r>
      <w:r w:rsidR="00E1224B">
        <w:rPr>
          <w:bCs/>
        </w:rPr>
        <w:t xml:space="preserve">, un </w:t>
      </w:r>
      <w:r w:rsidR="00E1224B" w:rsidRPr="00AB4EED">
        <w:t xml:space="preserve">ir pamats apelācijas instances tiesas </w:t>
      </w:r>
      <w:r w:rsidR="00E1224B">
        <w:t>sprieduma a</w:t>
      </w:r>
      <w:r w:rsidR="00E1224B" w:rsidRPr="00AB4EED">
        <w:t>tcelšanai šajā daļā un lietas nosūtīšanai jaunai izskatīšanai apelācijas instances tiesā.</w:t>
      </w:r>
    </w:p>
    <w:p w14:paraId="7F7BB8D2" w14:textId="796EB1C2" w:rsidR="00E1224B" w:rsidRDefault="00E1224B" w:rsidP="0058698A">
      <w:pPr>
        <w:spacing w:line="276" w:lineRule="auto"/>
        <w:ind w:firstLine="720"/>
        <w:jc w:val="both"/>
        <w:rPr>
          <w:bCs/>
        </w:rPr>
      </w:pPr>
      <w:r w:rsidRPr="009E2FE4">
        <w:rPr>
          <w:rFonts w:asciiTheme="majorBidi" w:hAnsiTheme="majorBidi" w:cstheme="majorBidi"/>
        </w:rPr>
        <w:t>Ievērojot minēto,</w:t>
      </w:r>
      <w:r>
        <w:rPr>
          <w:rFonts w:asciiTheme="majorBidi" w:hAnsiTheme="majorBidi" w:cstheme="majorBidi"/>
        </w:rPr>
        <w:t xml:space="preserve"> spriedums ir atceļams arī daļā par galīgā soda noteikšanu </w:t>
      </w:r>
      <w:r>
        <w:t xml:space="preserve">apsūdzētajam </w:t>
      </w:r>
      <w:r w:rsidR="007A5CF1">
        <w:rPr>
          <w:shd w:val="clear" w:color="auto" w:fill="FFFFFF"/>
        </w:rPr>
        <w:t>[pers.</w:t>
      </w:r>
      <w:r w:rsidR="00342B3B">
        <w:rPr>
          <w:shd w:val="clear" w:color="auto" w:fill="FFFFFF"/>
        </w:rPr>
        <w:t> </w:t>
      </w:r>
      <w:r w:rsidR="007A5CF1">
        <w:rPr>
          <w:shd w:val="clear" w:color="auto" w:fill="FFFFFF"/>
        </w:rPr>
        <w:t>A]</w:t>
      </w:r>
      <w:r>
        <w:rPr>
          <w:bCs/>
        </w:rPr>
        <w:t>.</w:t>
      </w:r>
    </w:p>
    <w:p w14:paraId="4A0D1CA2" w14:textId="77777777" w:rsidR="00E1224B" w:rsidRPr="00F26562" w:rsidRDefault="00E1224B" w:rsidP="0058698A">
      <w:pPr>
        <w:spacing w:line="276" w:lineRule="auto"/>
        <w:ind w:firstLine="720"/>
        <w:jc w:val="both"/>
        <w:rPr>
          <w:rFonts w:asciiTheme="majorBidi" w:hAnsiTheme="majorBidi" w:cstheme="majorBidi"/>
        </w:rPr>
      </w:pPr>
    </w:p>
    <w:p w14:paraId="14FCB3DF" w14:textId="5915D7EC" w:rsidR="00FB4A2E" w:rsidRDefault="00D249DB" w:rsidP="0058698A">
      <w:pPr>
        <w:spacing w:line="276" w:lineRule="auto"/>
        <w:ind w:firstLine="720"/>
        <w:jc w:val="both"/>
      </w:pPr>
      <w:r>
        <w:rPr>
          <w:rFonts w:asciiTheme="majorBidi" w:hAnsiTheme="majorBidi" w:cstheme="majorBidi"/>
        </w:rPr>
        <w:t>[</w:t>
      </w:r>
      <w:r w:rsidR="007E42A2">
        <w:rPr>
          <w:rFonts w:asciiTheme="majorBidi" w:hAnsiTheme="majorBidi" w:cstheme="majorBidi"/>
        </w:rPr>
        <w:t>7</w:t>
      </w:r>
      <w:r>
        <w:rPr>
          <w:rFonts w:asciiTheme="majorBidi" w:hAnsiTheme="majorBidi" w:cstheme="majorBidi"/>
        </w:rPr>
        <w:t>]</w:t>
      </w:r>
      <w:r>
        <w:t> </w:t>
      </w:r>
      <w:r w:rsidR="00FB4A2E" w:rsidRPr="00042DAC">
        <w:t>Senāts konstatē, ka kasācijas instances tiesas kompetencē ir sniegt atbildi</w:t>
      </w:r>
      <w:r w:rsidR="00FB4A2E">
        <w:t xml:space="preserve"> arī uz jautājumu, vai tiesa ir</w:t>
      </w:r>
      <w:r w:rsidR="00FB4A2E" w:rsidRPr="00940A7C">
        <w:t xml:space="preserve"> pieļāvusi </w:t>
      </w:r>
      <w:r w:rsidR="00FB4A2E">
        <w:t xml:space="preserve">Krimināllikuma 55. panta </w:t>
      </w:r>
      <w:r w:rsidR="00ED7A27">
        <w:t>pirmās</w:t>
      </w:r>
      <w:r w:rsidR="00ED7A27" w:rsidRPr="00132365">
        <w:t xml:space="preserve"> </w:t>
      </w:r>
      <w:r w:rsidR="00FB4A2E" w:rsidRPr="00132365">
        <w:t xml:space="preserve">daļas </w:t>
      </w:r>
      <w:r w:rsidR="00FB4A2E" w:rsidRPr="00940A7C">
        <w:t>pārkāpumu</w:t>
      </w:r>
      <w:r w:rsidR="00FB4A2E">
        <w:t xml:space="preserve">, </w:t>
      </w:r>
      <w:r w:rsidR="007A5CF1">
        <w:rPr>
          <w:shd w:val="clear" w:color="auto" w:fill="FFFFFF"/>
        </w:rPr>
        <w:t>[pers.</w:t>
      </w:r>
      <w:r w:rsidR="00342B3B">
        <w:rPr>
          <w:shd w:val="clear" w:color="auto" w:fill="FFFFFF"/>
        </w:rPr>
        <w:t> </w:t>
      </w:r>
      <w:r w:rsidR="007A5CF1">
        <w:rPr>
          <w:shd w:val="clear" w:color="auto" w:fill="FFFFFF"/>
        </w:rPr>
        <w:t>A]</w:t>
      </w:r>
      <w:r w:rsidR="00FB4A2E">
        <w:t xml:space="preserve"> notiesājot nosacīti.</w:t>
      </w:r>
    </w:p>
    <w:p w14:paraId="36A74C63" w14:textId="24870942" w:rsidR="00FB34CF" w:rsidRPr="00DE4EFF" w:rsidRDefault="00ED7A27" w:rsidP="0058698A">
      <w:pPr>
        <w:spacing w:line="276" w:lineRule="auto"/>
        <w:ind w:firstLine="720"/>
        <w:jc w:val="both"/>
      </w:pPr>
      <w:r>
        <w:rPr>
          <w:rFonts w:asciiTheme="majorBidi" w:hAnsiTheme="majorBidi" w:cstheme="majorBidi"/>
        </w:rPr>
        <w:t>[</w:t>
      </w:r>
      <w:r w:rsidR="007E42A2">
        <w:rPr>
          <w:rFonts w:asciiTheme="majorBidi" w:hAnsiTheme="majorBidi" w:cstheme="majorBidi"/>
        </w:rPr>
        <w:t>7</w:t>
      </w:r>
      <w:r>
        <w:rPr>
          <w:rFonts w:asciiTheme="majorBidi" w:hAnsiTheme="majorBidi" w:cstheme="majorBidi"/>
        </w:rPr>
        <w:t>.1]</w:t>
      </w:r>
      <w:r>
        <w:t> </w:t>
      </w:r>
      <w:r w:rsidR="00D249DB">
        <w:t xml:space="preserve">Saskaņā ar Krimināllikuma 55. panta pirmo daļu (likuma redakcijā līdz 2024. gada 31. decembrim), ja, nosakot sodu – brīvības atņemšana – ilgāku par trim mēnešiem, bet ne ilgāku par pieciem gadiem, vai ne ilgāku par trim gadiem, ja izdarīts sevišķi smags noziegums, tiesa, ņemot vērā izdarītā noziedzīgā nodarījuma raksturu un radīto kaitējumu, vainīgā personību un citus lietas apstākļus, iegūst pārliecību, ka </w:t>
      </w:r>
      <w:r w:rsidR="00D249DB" w:rsidRPr="00DE4EFF">
        <w:t xml:space="preserve">vainīgais, sodu neizciešot, turpmāk neizdarīs likumpārkāpumus, tā vainīgo var notiesāt nosacīti. Minētā panta ceturtajā daļā </w:t>
      </w:r>
      <w:r w:rsidR="00835C9E" w:rsidRPr="00DE4EFF">
        <w:t>no</w:t>
      </w:r>
      <w:r w:rsidR="00D249DB" w:rsidRPr="00DE4EFF">
        <w:t>teikts, ka nosacīti notiesājot, spriedumā norādāmi apstākļi, kuru dēļ tiesa atzinusi par lietderīgu sodu neizpildīt.</w:t>
      </w:r>
    </w:p>
    <w:p w14:paraId="65F37B7D" w14:textId="3F200CC4" w:rsidR="00FB34CF" w:rsidRDefault="00D249DB" w:rsidP="0058698A">
      <w:pPr>
        <w:spacing w:line="276" w:lineRule="auto"/>
        <w:ind w:firstLine="720"/>
        <w:jc w:val="both"/>
      </w:pPr>
      <w:bookmarkStart w:id="3" w:name="_Hlk205477425"/>
      <w:r w:rsidRPr="00DE4EFF">
        <w:t>Tādējādi nosacītas notiesāšanas priekšnoteikum</w:t>
      </w:r>
      <w:r w:rsidR="00325477" w:rsidRPr="00DE4EFF">
        <w:t>s</w:t>
      </w:r>
      <w:r w:rsidRPr="00DE4EFF">
        <w:t xml:space="preserve"> ir tiesas pārliecība, ka apsūdzētais, sodu neizciešot, turpmāk neizdarīs likumpārkāpumus</w:t>
      </w:r>
      <w:r w:rsidR="00620234" w:rsidRPr="00DE4EFF">
        <w:t xml:space="preserve">. </w:t>
      </w:r>
      <w:r w:rsidR="00620234" w:rsidRPr="00DE4EFF">
        <w:rPr>
          <w:rFonts w:asciiTheme="majorBidi" w:hAnsiTheme="majorBidi" w:cstheme="majorBidi"/>
        </w:rPr>
        <w:t>Turklāt tiesas pārliecība</w:t>
      </w:r>
      <w:r w:rsidR="00ED7A27">
        <w:rPr>
          <w:rFonts w:asciiTheme="majorBidi" w:hAnsiTheme="majorBidi" w:cstheme="majorBidi"/>
        </w:rPr>
        <w:t xml:space="preserve"> nevar būt</w:t>
      </w:r>
      <w:r w:rsidR="00620234" w:rsidRPr="00FB34CF">
        <w:rPr>
          <w:rFonts w:asciiTheme="majorBidi" w:hAnsiTheme="majorBidi" w:cstheme="majorBidi"/>
        </w:rPr>
        <w:t xml:space="preserve"> subjektīv</w:t>
      </w:r>
      <w:r w:rsidR="00FB34CF">
        <w:rPr>
          <w:rFonts w:asciiTheme="majorBidi" w:hAnsiTheme="majorBidi" w:cstheme="majorBidi"/>
        </w:rPr>
        <w:t xml:space="preserve">a, </w:t>
      </w:r>
      <w:r w:rsidR="00325477" w:rsidRPr="00B42CEF">
        <w:rPr>
          <w:rFonts w:asciiTheme="majorBidi" w:hAnsiTheme="majorBidi" w:cstheme="majorBidi"/>
        </w:rPr>
        <w:t xml:space="preserve">bet </w:t>
      </w:r>
      <w:r w:rsidR="00ED7A27">
        <w:rPr>
          <w:rFonts w:asciiTheme="majorBidi" w:hAnsiTheme="majorBidi" w:cstheme="majorBidi"/>
        </w:rPr>
        <w:t>tai jābūt o</w:t>
      </w:r>
      <w:r w:rsidR="00325477" w:rsidRPr="00FB34CF">
        <w:rPr>
          <w:rFonts w:asciiTheme="majorBidi" w:hAnsiTheme="majorBidi" w:cstheme="majorBidi"/>
        </w:rPr>
        <w:t>bjektīvi pamatot</w:t>
      </w:r>
      <w:r w:rsidR="00620234" w:rsidRPr="00FB34CF">
        <w:rPr>
          <w:rFonts w:asciiTheme="majorBidi" w:hAnsiTheme="majorBidi" w:cstheme="majorBidi"/>
        </w:rPr>
        <w:t>a</w:t>
      </w:r>
      <w:r w:rsidR="00ED7A27">
        <w:rPr>
          <w:rFonts w:asciiTheme="majorBidi" w:hAnsiTheme="majorBidi" w:cstheme="majorBidi"/>
        </w:rPr>
        <w:t>i</w:t>
      </w:r>
      <w:r w:rsidR="00620234">
        <w:rPr>
          <w:rFonts w:asciiTheme="majorBidi" w:hAnsiTheme="majorBidi" w:cstheme="majorBidi"/>
        </w:rPr>
        <w:t>, ņemot vērā lietas apstākļus.</w:t>
      </w:r>
      <w:bookmarkEnd w:id="3"/>
    </w:p>
    <w:p w14:paraId="19931AEA" w14:textId="6382E4B8" w:rsidR="00D249DB" w:rsidRDefault="00D249DB" w:rsidP="0058698A">
      <w:pPr>
        <w:spacing w:line="276" w:lineRule="auto"/>
        <w:ind w:firstLine="720"/>
        <w:jc w:val="both"/>
      </w:pPr>
      <w:r>
        <w:t>Senāta judikatūrā norādīts, ka Krimināllikuma 55. panta pirmajā daļā sniegts to apstākļu uzskaitījums, kas tiesai jāņem vērā, piemērojot nosacītu notiesāšanu. Tiesai nav tiesību ignorēt kādu no šiem likumā norādītajiem apstākļiem (</w:t>
      </w:r>
      <w:bookmarkStart w:id="4" w:name="_Hlk208920592"/>
      <w:r w:rsidRPr="00D249DB">
        <w:rPr>
          <w:i/>
          <w:iCs/>
        </w:rPr>
        <w:t>Senāta 2009. gada 27. oktobra lēmums lietā Nr. </w:t>
      </w:r>
      <w:hyperlink r:id="rId11" w:history="1">
        <w:r w:rsidRPr="00D249DB">
          <w:rPr>
            <w:rStyle w:val="Hyperlink"/>
            <w:i/>
            <w:iCs/>
          </w:rPr>
          <w:t>SKK</w:t>
        </w:r>
        <w:r w:rsidR="00835C9E">
          <w:rPr>
            <w:rStyle w:val="Hyperlink"/>
            <w:i/>
            <w:iCs/>
          </w:rPr>
          <w:noBreakHyphen/>
        </w:r>
        <w:r w:rsidRPr="00D249DB">
          <w:rPr>
            <w:rStyle w:val="Hyperlink"/>
            <w:i/>
            <w:iCs/>
          </w:rPr>
          <w:t>567/2009</w:t>
        </w:r>
      </w:hyperlink>
      <w:r w:rsidRPr="00D249DB">
        <w:rPr>
          <w:i/>
          <w:iCs/>
        </w:rPr>
        <w:t>, 11092049806</w:t>
      </w:r>
      <w:r>
        <w:t>)</w:t>
      </w:r>
      <w:bookmarkEnd w:id="4"/>
      <w:r>
        <w:t>.</w:t>
      </w:r>
    </w:p>
    <w:p w14:paraId="7C669317" w14:textId="1DD44D09" w:rsidR="00ED7A27" w:rsidRDefault="00D249DB" w:rsidP="0058698A">
      <w:pPr>
        <w:spacing w:line="276" w:lineRule="auto"/>
        <w:ind w:firstLine="720"/>
        <w:jc w:val="both"/>
      </w:pPr>
      <w:r>
        <w:t>[</w:t>
      </w:r>
      <w:r w:rsidR="007E42A2">
        <w:t>7</w:t>
      </w:r>
      <w:r>
        <w:t>.</w:t>
      </w:r>
      <w:r w:rsidR="00ED7A27">
        <w:t>2</w:t>
      </w:r>
      <w:r>
        <w:t xml:space="preserve">] Senāts atzīst par pamatotu prokurores kasācijas protestā norādīto, ka apelācijas instances tiesa, nosakot apsūdzētajam </w:t>
      </w:r>
      <w:r w:rsidR="007A5CF1">
        <w:rPr>
          <w:shd w:val="clear" w:color="auto" w:fill="FFFFFF"/>
        </w:rPr>
        <w:t>[pers.</w:t>
      </w:r>
      <w:r w:rsidR="00342B3B">
        <w:rPr>
          <w:shd w:val="clear" w:color="auto" w:fill="FFFFFF"/>
        </w:rPr>
        <w:t> </w:t>
      </w:r>
      <w:r w:rsidR="007A5CF1">
        <w:rPr>
          <w:shd w:val="clear" w:color="auto" w:fill="FFFFFF"/>
        </w:rPr>
        <w:t>A]</w:t>
      </w:r>
      <w:r>
        <w:t xml:space="preserve"> sodu, piemērojot Krimināllikuma 55. pantu, minētās tiesību normas un judikatūrā paustās atziņas nav ievērojusi.</w:t>
      </w:r>
    </w:p>
    <w:p w14:paraId="1C073510" w14:textId="2F8D4614" w:rsidR="00ED7A27" w:rsidRDefault="000B3156" w:rsidP="0058698A">
      <w:pPr>
        <w:spacing w:line="276" w:lineRule="auto"/>
        <w:ind w:firstLine="720"/>
        <w:jc w:val="both"/>
        <w:rPr>
          <w:rFonts w:asciiTheme="majorBidi" w:hAnsiTheme="majorBidi" w:cstheme="majorBidi"/>
        </w:rPr>
      </w:pPr>
      <w:r>
        <w:rPr>
          <w:rFonts w:asciiTheme="majorBidi" w:hAnsiTheme="majorBidi" w:cstheme="majorBidi"/>
        </w:rPr>
        <w:t>[</w:t>
      </w:r>
      <w:r w:rsidR="007E42A2">
        <w:rPr>
          <w:rFonts w:asciiTheme="majorBidi" w:hAnsiTheme="majorBidi" w:cstheme="majorBidi"/>
        </w:rPr>
        <w:t>7</w:t>
      </w:r>
      <w:r>
        <w:rPr>
          <w:rFonts w:asciiTheme="majorBidi" w:hAnsiTheme="majorBidi" w:cstheme="majorBidi"/>
        </w:rPr>
        <w:t>.2.1] </w:t>
      </w:r>
      <w:r w:rsidR="002636A6">
        <w:rPr>
          <w:rFonts w:asciiTheme="majorBidi" w:hAnsiTheme="majorBidi" w:cstheme="majorBidi"/>
        </w:rPr>
        <w:t xml:space="preserve">Apelācijas instances tiesa, pamatojot Krimināllikuma 55. panta piemērošanu, norādījusi, ka </w:t>
      </w:r>
      <w:r w:rsidR="002636A6" w:rsidRPr="002636A6">
        <w:rPr>
          <w:rFonts w:asciiTheme="majorBidi" w:hAnsiTheme="majorBidi" w:cstheme="majorBidi"/>
        </w:rPr>
        <w:t>apsūdzētā personību</w:t>
      </w:r>
      <w:r w:rsidR="002636A6">
        <w:rPr>
          <w:rFonts w:asciiTheme="majorBidi" w:hAnsiTheme="majorBidi" w:cstheme="majorBidi"/>
        </w:rPr>
        <w:t xml:space="preserve"> </w:t>
      </w:r>
      <w:r w:rsidR="002636A6" w:rsidRPr="002636A6">
        <w:rPr>
          <w:rFonts w:asciiTheme="majorBidi" w:hAnsiTheme="majorBidi" w:cstheme="majorBidi"/>
        </w:rPr>
        <w:t>raksturojošās ziņas, kas skar nozīmīgus cilvēka dzīves un darbības aspektus, ir būtisks</w:t>
      </w:r>
      <w:r w:rsidR="002636A6">
        <w:rPr>
          <w:rFonts w:asciiTheme="majorBidi" w:hAnsiTheme="majorBidi" w:cstheme="majorBidi"/>
        </w:rPr>
        <w:t xml:space="preserve"> </w:t>
      </w:r>
      <w:r w:rsidR="002636A6" w:rsidRPr="002636A6">
        <w:rPr>
          <w:rFonts w:asciiTheme="majorBidi" w:hAnsiTheme="majorBidi" w:cstheme="majorBidi"/>
        </w:rPr>
        <w:t>apstāklis, kas ļauj individualizēt sodu. Atbilstoši krimināltiesību doktrīnā nostiprinātajām atziņām</w:t>
      </w:r>
      <w:r w:rsidR="002636A6">
        <w:rPr>
          <w:rFonts w:asciiTheme="majorBidi" w:hAnsiTheme="majorBidi" w:cstheme="majorBidi"/>
        </w:rPr>
        <w:t xml:space="preserve"> </w:t>
      </w:r>
      <w:r w:rsidR="002636A6" w:rsidRPr="002636A6">
        <w:rPr>
          <w:rFonts w:asciiTheme="majorBidi" w:hAnsiTheme="majorBidi" w:cstheme="majorBidi"/>
        </w:rPr>
        <w:t xml:space="preserve">vainīgā personība ir svarīgākā sastāvdaļa soda </w:t>
      </w:r>
      <w:r w:rsidR="002636A6" w:rsidRPr="002636A6">
        <w:rPr>
          <w:rFonts w:asciiTheme="majorBidi" w:hAnsiTheme="majorBidi" w:cstheme="majorBidi"/>
        </w:rPr>
        <w:lastRenderedPageBreak/>
        <w:t>individualizācijā. Personību raksturojošo ziņu</w:t>
      </w:r>
      <w:r w:rsidR="002636A6">
        <w:rPr>
          <w:rFonts w:asciiTheme="majorBidi" w:hAnsiTheme="majorBidi" w:cstheme="majorBidi"/>
        </w:rPr>
        <w:t xml:space="preserve"> </w:t>
      </w:r>
      <w:r w:rsidR="002636A6" w:rsidRPr="002636A6">
        <w:rPr>
          <w:rFonts w:asciiTheme="majorBidi" w:hAnsiTheme="majorBidi" w:cstheme="majorBidi"/>
        </w:rPr>
        <w:t>izvērtēšana ļauj, no vienas puses, noskaidrot personas noziedzīgās uzvedības cēloņus, tās</w:t>
      </w:r>
      <w:r w:rsidR="002636A6">
        <w:rPr>
          <w:rFonts w:asciiTheme="majorBidi" w:hAnsiTheme="majorBidi" w:cstheme="majorBidi"/>
        </w:rPr>
        <w:t xml:space="preserve"> </w:t>
      </w:r>
      <w:r w:rsidR="002636A6" w:rsidRPr="002636A6">
        <w:rPr>
          <w:rFonts w:asciiTheme="majorBidi" w:hAnsiTheme="majorBidi" w:cstheme="majorBidi"/>
        </w:rPr>
        <w:t>noziedzīgo tieksmju stabilitāti, bet, no otras puses, noteikt maksimāli lietderīgāko sodu.</w:t>
      </w:r>
    </w:p>
    <w:p w14:paraId="5387BD0D" w14:textId="67C6B0B8" w:rsidR="00D249DB" w:rsidRDefault="000B3156" w:rsidP="0058698A">
      <w:pPr>
        <w:spacing w:line="276" w:lineRule="auto"/>
        <w:ind w:firstLine="720"/>
        <w:jc w:val="both"/>
        <w:rPr>
          <w:rFonts w:asciiTheme="majorBidi" w:hAnsiTheme="majorBidi" w:cstheme="majorBidi"/>
        </w:rPr>
      </w:pPr>
      <w:r>
        <w:rPr>
          <w:rFonts w:asciiTheme="majorBidi" w:hAnsiTheme="majorBidi" w:cstheme="majorBidi"/>
        </w:rPr>
        <w:t>[</w:t>
      </w:r>
      <w:r w:rsidR="007E42A2">
        <w:rPr>
          <w:rFonts w:asciiTheme="majorBidi" w:hAnsiTheme="majorBidi" w:cstheme="majorBidi"/>
        </w:rPr>
        <w:t>7</w:t>
      </w:r>
      <w:r>
        <w:rPr>
          <w:rFonts w:asciiTheme="majorBidi" w:hAnsiTheme="majorBidi" w:cstheme="majorBidi"/>
        </w:rPr>
        <w:t>.2.</w:t>
      </w:r>
      <w:r w:rsidR="007E42A2">
        <w:rPr>
          <w:rFonts w:asciiTheme="majorBidi" w:hAnsiTheme="majorBidi" w:cstheme="majorBidi"/>
        </w:rPr>
        <w:t>2</w:t>
      </w:r>
      <w:r>
        <w:rPr>
          <w:rFonts w:asciiTheme="majorBidi" w:hAnsiTheme="majorBidi" w:cstheme="majorBidi"/>
        </w:rPr>
        <w:t>] </w:t>
      </w:r>
      <w:r w:rsidR="00D249DB" w:rsidRPr="00D249DB">
        <w:rPr>
          <w:rFonts w:asciiTheme="majorBidi" w:hAnsiTheme="majorBidi" w:cstheme="majorBidi"/>
        </w:rPr>
        <w:t>Senāts atzīst, ka pretēji Krimināllikuma 55.</w:t>
      </w:r>
      <w:r w:rsidR="00D249DB">
        <w:rPr>
          <w:rFonts w:asciiTheme="majorBidi" w:hAnsiTheme="majorBidi" w:cstheme="majorBidi"/>
        </w:rPr>
        <w:t> </w:t>
      </w:r>
      <w:r w:rsidR="00D249DB" w:rsidRPr="00D249DB">
        <w:rPr>
          <w:rFonts w:asciiTheme="majorBidi" w:hAnsiTheme="majorBidi" w:cstheme="majorBidi"/>
        </w:rPr>
        <w:t>panta nosacījumiem un tiesu prakses atziņām, apelācijas instances tiesa pārmērīgi lielu nozīmi piešķīrusi faktiem, kas saistīti ar apsūdzēt</w:t>
      </w:r>
      <w:r w:rsidR="00D249DB">
        <w:rPr>
          <w:rFonts w:asciiTheme="majorBidi" w:hAnsiTheme="majorBidi" w:cstheme="majorBidi"/>
        </w:rPr>
        <w:t>ā</w:t>
      </w:r>
      <w:r w:rsidR="00D249DB" w:rsidRPr="00D249DB">
        <w:rPr>
          <w:rFonts w:asciiTheme="majorBidi" w:hAnsiTheme="majorBidi" w:cstheme="majorBidi"/>
        </w:rPr>
        <w:t xml:space="preserve"> personību, bet </w:t>
      </w:r>
      <w:r w:rsidR="00ED7A27">
        <w:rPr>
          <w:rFonts w:asciiTheme="majorBidi" w:hAnsiTheme="majorBidi" w:cstheme="majorBidi"/>
        </w:rPr>
        <w:t xml:space="preserve">faktiski </w:t>
      </w:r>
      <w:r w:rsidR="00D249DB" w:rsidRPr="00D249DB">
        <w:rPr>
          <w:rFonts w:asciiTheme="majorBidi" w:hAnsiTheme="majorBidi" w:cstheme="majorBidi"/>
        </w:rPr>
        <w:t>nav vērtējusi izdarīto noziedzīgo nodarījumu raksturu, radīto kait</w:t>
      </w:r>
      <w:r w:rsidR="002A15F6">
        <w:rPr>
          <w:rFonts w:asciiTheme="majorBidi" w:hAnsiTheme="majorBidi" w:cstheme="majorBidi"/>
        </w:rPr>
        <w:t>ējumu</w:t>
      </w:r>
      <w:r w:rsidR="00986BD6">
        <w:rPr>
          <w:rFonts w:asciiTheme="majorBidi" w:hAnsiTheme="majorBidi" w:cstheme="majorBidi"/>
        </w:rPr>
        <w:t xml:space="preserve"> un citus lietas apstākļus</w:t>
      </w:r>
      <w:r w:rsidR="00E772BA">
        <w:rPr>
          <w:rFonts w:asciiTheme="majorBidi" w:hAnsiTheme="majorBidi" w:cstheme="majorBidi"/>
        </w:rPr>
        <w:t>.</w:t>
      </w:r>
    </w:p>
    <w:p w14:paraId="2EB9383D" w14:textId="345E3530" w:rsidR="00ED7A27" w:rsidRPr="000D77F5" w:rsidRDefault="002A15F6" w:rsidP="007B1868">
      <w:pPr>
        <w:spacing w:line="276" w:lineRule="auto"/>
        <w:ind w:firstLine="720"/>
        <w:jc w:val="both"/>
        <w:rPr>
          <w:rFonts w:asciiTheme="majorBidi" w:hAnsiTheme="majorBidi" w:cstheme="majorBidi"/>
        </w:rPr>
      </w:pPr>
      <w:r>
        <w:rPr>
          <w:rFonts w:asciiTheme="majorBidi" w:hAnsiTheme="majorBidi" w:cstheme="majorBidi"/>
        </w:rPr>
        <w:t>Tiesa</w:t>
      </w:r>
      <w:r w:rsidR="004B74C1">
        <w:rPr>
          <w:rFonts w:asciiTheme="majorBidi" w:hAnsiTheme="majorBidi" w:cstheme="majorBidi"/>
        </w:rPr>
        <w:t>, lai arī norādījusi</w:t>
      </w:r>
      <w:r w:rsidR="007B1868">
        <w:rPr>
          <w:rFonts w:asciiTheme="majorBidi" w:hAnsiTheme="majorBidi" w:cstheme="majorBidi"/>
        </w:rPr>
        <w:t xml:space="preserve">, ka apsūdzētais </w:t>
      </w:r>
      <w:r w:rsidR="007B1868" w:rsidRPr="00A318B5">
        <w:t xml:space="preserve">izmaksājis </w:t>
      </w:r>
      <w:r w:rsidR="007B1868">
        <w:t xml:space="preserve">grāmatvedības uzskaitē neuzrādītu </w:t>
      </w:r>
      <w:r w:rsidR="007B1868" w:rsidRPr="000D77F5">
        <w:t xml:space="preserve">darba samaksu </w:t>
      </w:r>
      <w:r w:rsidR="003728DA" w:rsidRPr="00FB4609">
        <w:t>972</w:t>
      </w:r>
      <w:r w:rsidR="003728DA">
        <w:t> </w:t>
      </w:r>
      <w:r w:rsidR="003728DA" w:rsidRPr="00FB4609">
        <w:t>803,21</w:t>
      </w:r>
      <w:r w:rsidR="003728DA">
        <w:t> </w:t>
      </w:r>
      <w:r w:rsidR="007B1868" w:rsidRPr="003728DA">
        <w:rPr>
          <w:i/>
          <w:iCs/>
        </w:rPr>
        <w:t>euro</w:t>
      </w:r>
      <w:r w:rsidR="007B1868" w:rsidRPr="003728DA">
        <w:t xml:space="preserve">, </w:t>
      </w:r>
      <w:r w:rsidR="007B1868" w:rsidRPr="000D77F5">
        <w:t>savukārt izvairoties no nodokļu maksājumu nomaksas, apsūdzētais nodarījis valstij zaudējumus 540 934,70 </w:t>
      </w:r>
      <w:r w:rsidR="007B1868" w:rsidRPr="000D77F5">
        <w:rPr>
          <w:i/>
          <w:iCs/>
        </w:rPr>
        <w:t xml:space="preserve">euro, </w:t>
      </w:r>
      <w:r w:rsidR="007B1868" w:rsidRPr="000D77F5">
        <w:t xml:space="preserve">kas vairākas reizes pārsniedz apmēru, kas noteic noziedzīgo nodarījumu kvalifikāciju, </w:t>
      </w:r>
      <w:r w:rsidR="004B74C1">
        <w:rPr>
          <w:rFonts w:asciiTheme="majorBidi" w:hAnsiTheme="majorBidi" w:cstheme="majorBidi"/>
        </w:rPr>
        <w:t>taču</w:t>
      </w:r>
      <w:r w:rsidRPr="000D77F5">
        <w:rPr>
          <w:rFonts w:asciiTheme="majorBidi" w:hAnsiTheme="majorBidi" w:cstheme="majorBidi"/>
        </w:rPr>
        <w:t xml:space="preserve"> atzinusi, ka tas </w:t>
      </w:r>
      <w:r w:rsidR="004D760F" w:rsidRPr="000D77F5">
        <w:rPr>
          <w:rFonts w:asciiTheme="majorBidi" w:hAnsiTheme="majorBidi" w:cstheme="majorBidi"/>
        </w:rPr>
        <w:t xml:space="preserve">jau </w:t>
      </w:r>
      <w:r w:rsidR="000D77F5" w:rsidRPr="000D77F5">
        <w:rPr>
          <w:rFonts w:asciiTheme="majorBidi" w:hAnsiTheme="majorBidi" w:cstheme="majorBidi"/>
        </w:rPr>
        <w:t xml:space="preserve">ir </w:t>
      </w:r>
      <w:r w:rsidRPr="000D77F5">
        <w:rPr>
          <w:rFonts w:asciiTheme="majorBidi" w:hAnsiTheme="majorBidi" w:cstheme="majorBidi"/>
        </w:rPr>
        <w:t>ņemts vērā, nosakot apsūdzētajam panta sankcijā paredzēto visbargāko soda veidu</w:t>
      </w:r>
      <w:r w:rsidR="00ED7A27" w:rsidRPr="000D77F5">
        <w:rPr>
          <w:rFonts w:asciiTheme="majorBidi" w:hAnsiTheme="majorBidi" w:cstheme="majorBidi"/>
        </w:rPr>
        <w:t xml:space="preserve"> </w:t>
      </w:r>
      <w:r w:rsidR="00394309" w:rsidRPr="000D77F5">
        <w:rPr>
          <w:rFonts w:asciiTheme="majorBidi" w:hAnsiTheme="majorBidi" w:cstheme="majorBidi"/>
        </w:rPr>
        <w:t> </w:t>
      </w:r>
      <w:r w:rsidR="00ED7A27" w:rsidRPr="000D77F5">
        <w:rPr>
          <w:rFonts w:asciiTheme="majorBidi" w:hAnsiTheme="majorBidi" w:cstheme="majorBidi"/>
        </w:rPr>
        <w:t>– brīvības atņemšanu</w:t>
      </w:r>
      <w:r w:rsidRPr="000D77F5">
        <w:rPr>
          <w:rFonts w:asciiTheme="majorBidi" w:hAnsiTheme="majorBidi" w:cstheme="majorBidi"/>
        </w:rPr>
        <w:t>.</w:t>
      </w:r>
    </w:p>
    <w:p w14:paraId="01E3FB25" w14:textId="29325EA2" w:rsidR="002636A6" w:rsidRDefault="00986BD6" w:rsidP="0058698A">
      <w:pPr>
        <w:spacing w:line="276" w:lineRule="auto"/>
        <w:ind w:firstLine="720"/>
        <w:jc w:val="both"/>
        <w:rPr>
          <w:rFonts w:asciiTheme="majorBidi" w:hAnsiTheme="majorBidi" w:cstheme="majorBidi"/>
        </w:rPr>
      </w:pPr>
      <w:r w:rsidRPr="000D77F5">
        <w:t>Senāts norāda, ka apelācijas instances tiesa</w:t>
      </w:r>
      <w:r w:rsidR="004B74C1">
        <w:t xml:space="preserve"> pretēji Krimināllikuma 55. panta pirmajā daļā noteiktajam</w:t>
      </w:r>
      <w:r w:rsidRPr="000D77F5">
        <w:t xml:space="preserve">, lemjot par nosacītu notiesāšanu, </w:t>
      </w:r>
      <w:r w:rsidR="002636A6" w:rsidRPr="000D77F5">
        <w:rPr>
          <w:rFonts w:asciiTheme="majorBidi" w:hAnsiTheme="majorBidi" w:cstheme="majorBidi"/>
        </w:rPr>
        <w:t xml:space="preserve">nav vērtējusi izdarīto noziedzīgo nodarījumu raksturu, to, ka noziedzīgi nodarījumi bija turpināti </w:t>
      </w:r>
      <w:r w:rsidR="00061406" w:rsidRPr="000D77F5">
        <w:rPr>
          <w:rFonts w:asciiTheme="majorBidi" w:hAnsiTheme="majorBidi" w:cstheme="majorBidi"/>
        </w:rPr>
        <w:t xml:space="preserve">pusotru gadu, </w:t>
      </w:r>
      <w:r w:rsidR="00132365" w:rsidRPr="000D77F5">
        <w:rPr>
          <w:rFonts w:asciiTheme="majorBidi" w:hAnsiTheme="majorBidi" w:cstheme="majorBidi"/>
        </w:rPr>
        <w:t xml:space="preserve">apsūdzētais </w:t>
      </w:r>
      <w:r w:rsidR="00132365" w:rsidRPr="000D77F5">
        <w:t>grāmatvedības uzskaitē neuzrādīt</w:t>
      </w:r>
      <w:r w:rsidR="006442F6" w:rsidRPr="000D77F5">
        <w:t>u</w:t>
      </w:r>
      <w:r w:rsidR="00132365" w:rsidRPr="000D77F5">
        <w:t xml:space="preserve"> darba samaksu</w:t>
      </w:r>
      <w:r w:rsidR="007B1868" w:rsidRPr="000D77F5">
        <w:t xml:space="preserve"> </w:t>
      </w:r>
      <w:r w:rsidR="003728DA" w:rsidRPr="00FB4609">
        <w:t>972</w:t>
      </w:r>
      <w:r w:rsidR="003728DA">
        <w:t> </w:t>
      </w:r>
      <w:r w:rsidR="003728DA" w:rsidRPr="00FB4609">
        <w:t>803,21</w:t>
      </w:r>
      <w:r w:rsidR="003728DA">
        <w:t> </w:t>
      </w:r>
      <w:r w:rsidR="007B1868" w:rsidRPr="003728DA">
        <w:rPr>
          <w:i/>
          <w:iCs/>
        </w:rPr>
        <w:t>euro</w:t>
      </w:r>
      <w:r w:rsidR="00132365" w:rsidRPr="000D77F5">
        <w:rPr>
          <w:rFonts w:asciiTheme="majorBidi" w:hAnsiTheme="majorBidi" w:cstheme="majorBidi"/>
        </w:rPr>
        <w:t xml:space="preserve"> </w:t>
      </w:r>
      <w:r w:rsidR="00061406" w:rsidRPr="000D77F5">
        <w:rPr>
          <w:rFonts w:asciiTheme="majorBidi" w:hAnsiTheme="majorBidi" w:cstheme="majorBidi"/>
        </w:rPr>
        <w:t>izmaksā</w:t>
      </w:r>
      <w:r w:rsidR="00132365" w:rsidRPr="000D77F5">
        <w:rPr>
          <w:rFonts w:asciiTheme="majorBidi" w:hAnsiTheme="majorBidi" w:cstheme="majorBidi"/>
        </w:rPr>
        <w:t>ja</w:t>
      </w:r>
      <w:r w:rsidR="00061406" w:rsidRPr="000D77F5">
        <w:rPr>
          <w:rFonts w:asciiTheme="majorBidi" w:hAnsiTheme="majorBidi" w:cstheme="majorBidi"/>
        </w:rPr>
        <w:t xml:space="preserve"> sistemātiski vairākām personām</w:t>
      </w:r>
      <w:r w:rsidR="002636A6" w:rsidRPr="000D77F5">
        <w:rPr>
          <w:rFonts w:asciiTheme="majorBidi" w:hAnsiTheme="majorBidi" w:cstheme="majorBidi"/>
        </w:rPr>
        <w:t xml:space="preserve">, </w:t>
      </w:r>
      <w:r w:rsidR="000D77F5" w:rsidRPr="000D77F5">
        <w:rPr>
          <w:rFonts w:asciiTheme="majorBidi" w:hAnsiTheme="majorBidi" w:cstheme="majorBidi"/>
        </w:rPr>
        <w:t>turklāt</w:t>
      </w:r>
      <w:r w:rsidR="007B1868" w:rsidRPr="000D77F5">
        <w:rPr>
          <w:rFonts w:asciiTheme="majorBidi" w:hAnsiTheme="majorBidi" w:cstheme="majorBidi"/>
        </w:rPr>
        <w:t xml:space="preserve"> </w:t>
      </w:r>
      <w:r w:rsidR="007B1868" w:rsidRPr="000D77F5">
        <w:t>izvairoties no nodokļu maksājumu nomaksas,</w:t>
      </w:r>
      <w:r w:rsidR="002636A6" w:rsidRPr="000D77F5">
        <w:rPr>
          <w:rFonts w:asciiTheme="majorBidi" w:hAnsiTheme="majorBidi" w:cstheme="majorBidi"/>
        </w:rPr>
        <w:t xml:space="preserve"> valstij nodarītais zaudējums</w:t>
      </w:r>
      <w:r w:rsidRPr="000D77F5">
        <w:rPr>
          <w:rFonts w:asciiTheme="majorBidi" w:hAnsiTheme="majorBidi" w:cstheme="majorBidi"/>
        </w:rPr>
        <w:t xml:space="preserve"> </w:t>
      </w:r>
      <w:r w:rsidR="000D77F5" w:rsidRPr="000D77F5">
        <w:t>540 934,70 </w:t>
      </w:r>
      <w:r w:rsidR="000D77F5" w:rsidRPr="000D77F5">
        <w:rPr>
          <w:i/>
          <w:iCs/>
        </w:rPr>
        <w:t>euro</w:t>
      </w:r>
      <w:r w:rsidR="000D77F5" w:rsidRPr="000D77F5">
        <w:rPr>
          <w:rFonts w:asciiTheme="majorBidi" w:hAnsiTheme="majorBidi" w:cstheme="majorBidi"/>
        </w:rPr>
        <w:t xml:space="preserve"> </w:t>
      </w:r>
      <w:r w:rsidR="00ED7A27" w:rsidRPr="000D77F5">
        <w:rPr>
          <w:rFonts w:asciiTheme="majorBidi" w:hAnsiTheme="majorBidi" w:cstheme="majorBidi"/>
        </w:rPr>
        <w:t>daudzkārt</w:t>
      </w:r>
      <w:r w:rsidR="002636A6" w:rsidRPr="000D77F5">
        <w:rPr>
          <w:rFonts w:asciiTheme="majorBidi" w:hAnsiTheme="majorBidi" w:cstheme="majorBidi"/>
        </w:rPr>
        <w:t xml:space="preserve"> pārsniedz minimālo robežu, ar kuru </w:t>
      </w:r>
      <w:r w:rsidR="006442F6" w:rsidRPr="000D77F5">
        <w:rPr>
          <w:rFonts w:asciiTheme="majorBidi" w:hAnsiTheme="majorBidi" w:cstheme="majorBidi"/>
        </w:rPr>
        <w:t xml:space="preserve">atbilstoši likuma „Par Krimināllikuma spēkā stāšanās un piemērošanas kārtību” 20. pantam apmērs </w:t>
      </w:r>
      <w:r w:rsidR="002636A6" w:rsidRPr="000D77F5">
        <w:rPr>
          <w:rFonts w:asciiTheme="majorBidi" w:hAnsiTheme="majorBidi" w:cstheme="majorBidi"/>
        </w:rPr>
        <w:t>uzskatām</w:t>
      </w:r>
      <w:r w:rsidR="006442F6" w:rsidRPr="000D77F5">
        <w:rPr>
          <w:rFonts w:asciiTheme="majorBidi" w:hAnsiTheme="majorBidi" w:cstheme="majorBidi"/>
        </w:rPr>
        <w:t>s</w:t>
      </w:r>
      <w:r w:rsidR="002636A6" w:rsidRPr="000D77F5">
        <w:rPr>
          <w:rFonts w:asciiTheme="majorBidi" w:hAnsiTheme="majorBidi" w:cstheme="majorBidi"/>
        </w:rPr>
        <w:t xml:space="preserve"> par liel</w:t>
      </w:r>
      <w:r w:rsidR="006442F6" w:rsidRPr="000D77F5">
        <w:rPr>
          <w:rFonts w:asciiTheme="majorBidi" w:hAnsiTheme="majorBidi" w:cstheme="majorBidi"/>
        </w:rPr>
        <w:t>u</w:t>
      </w:r>
      <w:r w:rsidR="002636A6" w:rsidRPr="000D77F5">
        <w:rPr>
          <w:rFonts w:asciiTheme="majorBidi" w:hAnsiTheme="majorBidi" w:cstheme="majorBidi"/>
        </w:rPr>
        <w:t>.</w:t>
      </w:r>
    </w:p>
    <w:p w14:paraId="2F8EA5DF" w14:textId="77777777" w:rsidR="004B74C1" w:rsidRPr="000D77F5" w:rsidRDefault="004B74C1" w:rsidP="004B74C1">
      <w:pPr>
        <w:spacing w:line="276" w:lineRule="auto"/>
        <w:ind w:firstLine="720"/>
        <w:jc w:val="both"/>
        <w:rPr>
          <w:rFonts w:asciiTheme="majorBidi" w:hAnsiTheme="majorBidi" w:cstheme="majorBidi"/>
        </w:rPr>
      </w:pPr>
      <w:r w:rsidRPr="000D77F5">
        <w:rPr>
          <w:rFonts w:asciiTheme="majorBidi" w:hAnsiTheme="majorBidi" w:cstheme="majorBidi"/>
        </w:rPr>
        <w:t>Senāts jau agrāk ir norādījis, ja ar noziedzīgo nodarījumu nodarītais kaitējums vairākas reizes pārsniedz apmēru, no kura atzīstams, ka noziegums izdarīts lielā apmērā, tad nodarījumam piemīt salīdzinoši augstāka kaitīguma pakāpe, kas apsūdzētajam inkriminētos noziedzīgos nodarījumus izceļ līdzīgu noziegumu vidū (sk. </w:t>
      </w:r>
      <w:bookmarkStart w:id="5" w:name="_Hlk208920603"/>
      <w:r w:rsidRPr="000D77F5">
        <w:rPr>
          <w:rFonts w:asciiTheme="majorBidi" w:hAnsiTheme="majorBidi" w:cstheme="majorBidi"/>
          <w:i/>
          <w:iCs/>
        </w:rPr>
        <w:t>Senāta 2021.</w:t>
      </w:r>
      <w:r w:rsidRPr="000D77F5">
        <w:t> </w:t>
      </w:r>
      <w:r w:rsidRPr="000D77F5">
        <w:rPr>
          <w:rFonts w:asciiTheme="majorBidi" w:hAnsiTheme="majorBidi" w:cstheme="majorBidi"/>
          <w:i/>
          <w:iCs/>
        </w:rPr>
        <w:t>gada 3. jūnija lēmums lietā Nr. SKK</w:t>
      </w:r>
      <w:r w:rsidRPr="000D77F5">
        <w:rPr>
          <w:rFonts w:asciiTheme="majorBidi" w:hAnsiTheme="majorBidi" w:cstheme="majorBidi"/>
          <w:i/>
          <w:iCs/>
        </w:rPr>
        <w:noBreakHyphen/>
        <w:t xml:space="preserve">342/2021, </w:t>
      </w:r>
      <w:hyperlink r:id="rId12" w:history="1">
        <w:r w:rsidRPr="000D77F5">
          <w:rPr>
            <w:rStyle w:val="Hyperlink"/>
            <w:rFonts w:asciiTheme="majorBidi" w:hAnsiTheme="majorBidi" w:cstheme="majorBidi"/>
            <w:i/>
            <w:iCs/>
          </w:rPr>
          <w:t>ECLI:LV:AT:2021:0603.11517018309.14.L</w:t>
        </w:r>
      </w:hyperlink>
      <w:bookmarkEnd w:id="5"/>
      <w:r w:rsidRPr="000D77F5">
        <w:rPr>
          <w:i/>
          <w:iCs/>
        </w:rPr>
        <w:t>, 6.3. punktu</w:t>
      </w:r>
      <w:r w:rsidRPr="000D77F5">
        <w:rPr>
          <w:rFonts w:asciiTheme="majorBidi" w:hAnsiTheme="majorBidi" w:cstheme="majorBidi"/>
        </w:rPr>
        <w:t>).</w:t>
      </w:r>
    </w:p>
    <w:p w14:paraId="1D1398F3" w14:textId="221390DC" w:rsidR="000B3156" w:rsidRDefault="000B3156" w:rsidP="0058698A">
      <w:pPr>
        <w:spacing w:line="276" w:lineRule="auto"/>
        <w:ind w:firstLine="720"/>
        <w:jc w:val="both"/>
      </w:pPr>
      <w:r w:rsidRPr="000D77F5">
        <w:rPr>
          <w:rFonts w:asciiTheme="majorBidi" w:hAnsiTheme="majorBidi" w:cstheme="majorBidi"/>
        </w:rPr>
        <w:t>[</w:t>
      </w:r>
      <w:r w:rsidR="007E42A2" w:rsidRPr="000D77F5">
        <w:rPr>
          <w:rFonts w:asciiTheme="majorBidi" w:hAnsiTheme="majorBidi" w:cstheme="majorBidi"/>
        </w:rPr>
        <w:t>7</w:t>
      </w:r>
      <w:r w:rsidRPr="000D77F5">
        <w:rPr>
          <w:rFonts w:asciiTheme="majorBidi" w:hAnsiTheme="majorBidi" w:cstheme="majorBidi"/>
        </w:rPr>
        <w:t xml:space="preserve">.3] Senāts atzīst, ka apelācijas instances tiesa, </w:t>
      </w:r>
      <w:r w:rsidRPr="000D77F5">
        <w:t xml:space="preserve">lemjot par </w:t>
      </w:r>
      <w:r w:rsidRPr="000D77F5">
        <w:rPr>
          <w:rFonts w:asciiTheme="majorBidi" w:hAnsiTheme="majorBidi" w:cstheme="majorBidi"/>
        </w:rPr>
        <w:t xml:space="preserve">apsūdzētā </w:t>
      </w:r>
      <w:r w:rsidR="007A5CF1">
        <w:rPr>
          <w:shd w:val="clear" w:color="auto" w:fill="FFFFFF"/>
        </w:rPr>
        <w:t>[pers.</w:t>
      </w:r>
      <w:r w:rsidR="00342B3B">
        <w:rPr>
          <w:shd w:val="clear" w:color="auto" w:fill="FFFFFF"/>
        </w:rPr>
        <w:t> </w:t>
      </w:r>
      <w:r w:rsidR="007A5CF1">
        <w:rPr>
          <w:shd w:val="clear" w:color="auto" w:fill="FFFFFF"/>
        </w:rPr>
        <w:t>A]</w:t>
      </w:r>
      <w:r w:rsidRPr="000D77F5">
        <w:rPr>
          <w:rFonts w:asciiTheme="majorBidi" w:hAnsiTheme="majorBidi" w:cstheme="majorBidi"/>
        </w:rPr>
        <w:t xml:space="preserve"> nosacītu notiesāšanu, </w:t>
      </w:r>
      <w:r w:rsidRPr="000D77F5">
        <w:t>nav izvērtējusi visus Krimināllikuma 55. panta pirmajā daļā norādītos apstākļus</w:t>
      </w:r>
      <w:r w:rsidRPr="000D77F5">
        <w:rPr>
          <w:rFonts w:asciiTheme="majorBidi" w:hAnsiTheme="majorBidi" w:cstheme="majorBidi"/>
        </w:rPr>
        <w:t xml:space="preserve">. </w:t>
      </w:r>
      <w:r w:rsidRPr="000D77F5">
        <w:t>Tādējādi apelācijas instances tiesa ir pārkāpusi Krimināllikuma 55. panta pirmo daļu</w:t>
      </w:r>
      <w:r w:rsidR="000D77F5" w:rsidRPr="000D77F5">
        <w:t xml:space="preserve"> un</w:t>
      </w:r>
      <w:r w:rsidRPr="000D77F5">
        <w:t xml:space="preserve"> </w:t>
      </w:r>
      <w:r w:rsidR="00BF41A0" w:rsidRPr="000D77F5">
        <w:t xml:space="preserve">līdz ar to </w:t>
      </w:r>
      <w:r w:rsidRPr="000D77F5">
        <w:t>pieļāvusi Kriminālprocesa likuma 574.</w:t>
      </w:r>
      <w:r w:rsidR="00132365" w:rsidRPr="000D77F5">
        <w:t> </w:t>
      </w:r>
      <w:r w:rsidRPr="000D77F5">
        <w:t>panta 1.</w:t>
      </w:r>
      <w:r w:rsidR="006442F6" w:rsidRPr="000D77F5">
        <w:t> </w:t>
      </w:r>
      <w:r w:rsidRPr="000D77F5">
        <w:t>punktā norādīto</w:t>
      </w:r>
      <w:r w:rsidRPr="00AB4EED">
        <w:t xml:space="preserve"> pārkāpumu, proti, nepareizi piemērojusi Krimināllikuma Vispārīgās daļas pantu, kas ir pamats apelācijas instances tiesas </w:t>
      </w:r>
      <w:r w:rsidR="00881231">
        <w:t>sprieduma</w:t>
      </w:r>
      <w:r w:rsidRPr="00AB4EED">
        <w:t xml:space="preserve"> atcelšanai šajā daļā un lietas nosūtīšanai jaunai izskatīšanai apelācijas instances tiesā.</w:t>
      </w:r>
    </w:p>
    <w:p w14:paraId="5261561B" w14:textId="6AF12EA9" w:rsidR="000B3156" w:rsidRDefault="000B3156" w:rsidP="0058698A">
      <w:pPr>
        <w:spacing w:line="276" w:lineRule="auto"/>
        <w:ind w:firstLine="720"/>
        <w:jc w:val="both"/>
        <w:rPr>
          <w:rFonts w:asciiTheme="majorBidi" w:hAnsiTheme="majorBidi" w:cstheme="majorBidi"/>
        </w:rPr>
      </w:pPr>
    </w:p>
    <w:p w14:paraId="2C58F029" w14:textId="68CC1B2B" w:rsidR="0025559E" w:rsidRDefault="00874495" w:rsidP="0058698A">
      <w:pPr>
        <w:spacing w:line="276" w:lineRule="auto"/>
        <w:ind w:firstLine="720"/>
        <w:jc w:val="both"/>
        <w:rPr>
          <w:rFonts w:asciiTheme="majorBidi" w:hAnsiTheme="majorBidi" w:cstheme="majorBidi"/>
        </w:rPr>
      </w:pPr>
      <w:r>
        <w:rPr>
          <w:rFonts w:asciiTheme="majorBidi" w:hAnsiTheme="majorBidi" w:cstheme="majorBidi"/>
        </w:rPr>
        <w:t>[</w:t>
      </w:r>
      <w:r w:rsidR="007E42A2">
        <w:rPr>
          <w:rFonts w:asciiTheme="majorBidi" w:hAnsiTheme="majorBidi" w:cstheme="majorBidi"/>
        </w:rPr>
        <w:t>8</w:t>
      </w:r>
      <w:r>
        <w:rPr>
          <w:rFonts w:asciiTheme="majorBidi" w:hAnsiTheme="majorBidi" w:cstheme="majorBidi"/>
        </w:rPr>
        <w:t>] </w:t>
      </w:r>
      <w:bookmarkStart w:id="6" w:name="_Hlk154559983"/>
      <w:proofErr w:type="spellStart"/>
      <w:r w:rsidR="0025559E" w:rsidRPr="0025559E">
        <w:rPr>
          <w:rFonts w:asciiTheme="majorBidi" w:hAnsiTheme="majorBidi" w:cstheme="majorBidi"/>
        </w:rPr>
        <w:t>Pirmstiesas</w:t>
      </w:r>
      <w:proofErr w:type="spellEnd"/>
      <w:r w:rsidR="0025559E" w:rsidRPr="0025559E">
        <w:rPr>
          <w:rFonts w:asciiTheme="majorBidi" w:hAnsiTheme="majorBidi" w:cstheme="majorBidi"/>
        </w:rPr>
        <w:t xml:space="preserve"> kriminālprocesā apsūdzētajam </w:t>
      </w:r>
      <w:r w:rsidR="007A5CF1">
        <w:rPr>
          <w:shd w:val="clear" w:color="auto" w:fill="FFFFFF"/>
        </w:rPr>
        <w:t>[pers.</w:t>
      </w:r>
      <w:r w:rsidR="00342B3B">
        <w:rPr>
          <w:shd w:val="clear" w:color="auto" w:fill="FFFFFF"/>
        </w:rPr>
        <w:t> </w:t>
      </w:r>
      <w:r w:rsidR="007A5CF1">
        <w:rPr>
          <w:shd w:val="clear" w:color="auto" w:fill="FFFFFF"/>
        </w:rPr>
        <w:t>A]</w:t>
      </w:r>
      <w:r w:rsidR="0025559E">
        <w:rPr>
          <w:rFonts w:asciiTheme="majorBidi" w:hAnsiTheme="majorBidi" w:cstheme="majorBidi"/>
        </w:rPr>
        <w:t xml:space="preserve"> </w:t>
      </w:r>
      <w:r w:rsidR="0025559E" w:rsidRPr="0025559E">
        <w:rPr>
          <w:rFonts w:asciiTheme="majorBidi" w:hAnsiTheme="majorBidi" w:cstheme="majorBidi"/>
        </w:rPr>
        <w:t>ir piemēroti drošības līdzekļi –</w:t>
      </w:r>
      <w:r w:rsidR="0025559E">
        <w:rPr>
          <w:rFonts w:asciiTheme="majorBidi" w:hAnsiTheme="majorBidi" w:cstheme="majorBidi"/>
        </w:rPr>
        <w:t xml:space="preserve"> </w:t>
      </w:r>
      <w:r w:rsidR="0025559E" w:rsidRPr="0025559E">
        <w:rPr>
          <w:rFonts w:asciiTheme="majorBidi" w:hAnsiTheme="majorBidi" w:cstheme="majorBidi"/>
        </w:rPr>
        <w:t>aizliegums izbraukt no valsts</w:t>
      </w:r>
      <w:r w:rsidR="0025559E">
        <w:rPr>
          <w:rFonts w:asciiTheme="majorBidi" w:hAnsiTheme="majorBidi" w:cstheme="majorBidi"/>
        </w:rPr>
        <w:t xml:space="preserve"> un </w:t>
      </w:r>
      <w:r w:rsidR="0025559E" w:rsidRPr="0025559E">
        <w:rPr>
          <w:rFonts w:asciiTheme="majorBidi" w:hAnsiTheme="majorBidi" w:cstheme="majorBidi"/>
        </w:rPr>
        <w:t>dzīvesvietas maiņas paziņošan</w:t>
      </w:r>
      <w:r w:rsidR="003D49D6">
        <w:rPr>
          <w:rFonts w:asciiTheme="majorBidi" w:hAnsiTheme="majorBidi" w:cstheme="majorBidi"/>
        </w:rPr>
        <w:t>a</w:t>
      </w:r>
      <w:r w:rsidR="0025559E" w:rsidRPr="0025559E">
        <w:rPr>
          <w:rFonts w:asciiTheme="majorBidi" w:hAnsiTheme="majorBidi" w:cstheme="majorBidi"/>
        </w:rPr>
        <w:t xml:space="preserve"> –, kuri ar pirmās un apelācijas instances tiesas spriedumu atstāti negrozīti. Senāts atzīst, ka apsūdzētajam noteikto drošības līdzekļu piemērošana turpināma. Piemērotie drošības līdzekļi izskatāmajā lietā atzīstami par samērīgiem.</w:t>
      </w:r>
    </w:p>
    <w:p w14:paraId="413A39D8" w14:textId="77777777" w:rsidR="00881231" w:rsidRDefault="00881231" w:rsidP="0058698A">
      <w:pPr>
        <w:spacing w:line="276" w:lineRule="auto"/>
        <w:ind w:firstLine="720"/>
        <w:jc w:val="both"/>
        <w:rPr>
          <w:rFonts w:asciiTheme="majorBidi" w:hAnsiTheme="majorBidi" w:cstheme="majorBidi"/>
        </w:rPr>
      </w:pPr>
    </w:p>
    <w:p w14:paraId="52D8DD1E" w14:textId="77777777" w:rsidR="00881231" w:rsidRDefault="00881231" w:rsidP="0058698A">
      <w:pPr>
        <w:spacing w:line="276" w:lineRule="auto"/>
        <w:ind w:firstLine="720"/>
        <w:jc w:val="both"/>
        <w:rPr>
          <w:rFonts w:asciiTheme="majorBidi" w:hAnsiTheme="majorBidi" w:cstheme="majorBidi"/>
        </w:rPr>
      </w:pPr>
    </w:p>
    <w:p w14:paraId="433DE105" w14:textId="77777777" w:rsidR="00881231" w:rsidRDefault="00881231" w:rsidP="0058698A">
      <w:pPr>
        <w:spacing w:line="276" w:lineRule="auto"/>
        <w:ind w:firstLine="720"/>
        <w:jc w:val="both"/>
        <w:rPr>
          <w:rFonts w:asciiTheme="majorBidi" w:hAnsiTheme="majorBidi" w:cstheme="majorBidi"/>
        </w:rPr>
      </w:pPr>
    </w:p>
    <w:bookmarkEnd w:id="6"/>
    <w:p w14:paraId="12CBFC44" w14:textId="31AF0F07" w:rsidR="00447EE6" w:rsidRPr="006E002F" w:rsidRDefault="00447EE6" w:rsidP="0058698A">
      <w:pPr>
        <w:shd w:val="clear" w:color="auto" w:fill="FFFFFF"/>
        <w:spacing w:line="276" w:lineRule="auto"/>
        <w:ind w:right="5"/>
        <w:jc w:val="center"/>
        <w:rPr>
          <w:b/>
          <w:bCs/>
        </w:rPr>
      </w:pPr>
      <w:r w:rsidRPr="006E002F">
        <w:rPr>
          <w:b/>
          <w:bCs/>
        </w:rPr>
        <w:lastRenderedPageBreak/>
        <w:t>Rezolutīvā daļa</w:t>
      </w:r>
    </w:p>
    <w:p w14:paraId="6CD28450" w14:textId="77777777" w:rsidR="006D5C62" w:rsidRPr="006E002F" w:rsidRDefault="006D5C62" w:rsidP="0058698A">
      <w:pPr>
        <w:shd w:val="clear" w:color="auto" w:fill="FFFFFF"/>
        <w:spacing w:line="276" w:lineRule="auto"/>
        <w:ind w:right="5" w:firstLine="720"/>
        <w:jc w:val="both"/>
      </w:pPr>
    </w:p>
    <w:p w14:paraId="369988FB" w14:textId="0A4629FF" w:rsidR="00447EE6" w:rsidRDefault="00447EE6" w:rsidP="0058698A">
      <w:pPr>
        <w:shd w:val="clear" w:color="auto" w:fill="FFFFFF"/>
        <w:spacing w:line="276" w:lineRule="auto"/>
        <w:ind w:firstLine="720"/>
        <w:jc w:val="both"/>
      </w:pPr>
      <w:r w:rsidRPr="00107481">
        <w:t xml:space="preserve">Pamatojoties uz </w:t>
      </w:r>
      <w:r w:rsidR="00F90281" w:rsidRPr="00107481">
        <w:rPr>
          <w:rFonts w:asciiTheme="majorBidi" w:hAnsiTheme="majorBidi" w:cstheme="majorBidi"/>
        </w:rPr>
        <w:t>Kriminālprocesa likuma 585. pantu un 587. panta pirmās daļas 2. punktu, Senāts</w:t>
      </w:r>
    </w:p>
    <w:p w14:paraId="3B28DB94" w14:textId="77777777" w:rsidR="00447EE6" w:rsidRPr="006D5C62" w:rsidRDefault="00447EE6" w:rsidP="0058698A">
      <w:pPr>
        <w:shd w:val="clear" w:color="auto" w:fill="FFFFFF"/>
        <w:spacing w:line="276" w:lineRule="auto"/>
        <w:ind w:firstLine="720"/>
        <w:jc w:val="center"/>
        <w:rPr>
          <w:bCs/>
        </w:rPr>
      </w:pPr>
    </w:p>
    <w:p w14:paraId="297C80CD" w14:textId="7FC2FD37" w:rsidR="00447EE6" w:rsidRDefault="00447EE6" w:rsidP="0058698A">
      <w:pPr>
        <w:shd w:val="clear" w:color="auto" w:fill="FFFFFF"/>
        <w:spacing w:line="276" w:lineRule="auto"/>
        <w:jc w:val="center"/>
        <w:rPr>
          <w:b/>
        </w:rPr>
      </w:pPr>
      <w:r w:rsidRPr="00A53E41">
        <w:rPr>
          <w:b/>
        </w:rPr>
        <w:t>no</w:t>
      </w:r>
      <w:r w:rsidR="006D5C62">
        <w:rPr>
          <w:b/>
        </w:rPr>
        <w:t>lēma</w:t>
      </w:r>
    </w:p>
    <w:p w14:paraId="28660F9E" w14:textId="77777777" w:rsidR="00447EE6" w:rsidRDefault="00447EE6" w:rsidP="0058698A">
      <w:pPr>
        <w:shd w:val="clear" w:color="auto" w:fill="FFFFFF"/>
        <w:spacing w:line="276" w:lineRule="auto"/>
        <w:ind w:firstLine="720"/>
        <w:jc w:val="center"/>
        <w:rPr>
          <w:bCs/>
        </w:rPr>
      </w:pPr>
    </w:p>
    <w:p w14:paraId="60471758" w14:textId="6D449D96" w:rsidR="00FB4A2E" w:rsidRDefault="00BB3EA1" w:rsidP="0058698A">
      <w:pPr>
        <w:spacing w:line="276" w:lineRule="auto"/>
        <w:ind w:firstLine="720"/>
        <w:jc w:val="both"/>
      </w:pPr>
      <w:r w:rsidRPr="00BB3EA1">
        <w:rPr>
          <w:rFonts w:asciiTheme="majorBidi" w:hAnsiTheme="majorBidi" w:cstheme="majorBidi"/>
        </w:rPr>
        <w:t xml:space="preserve">atcelt </w:t>
      </w:r>
      <w:r>
        <w:rPr>
          <w:lang w:eastAsia="lv-LV"/>
        </w:rPr>
        <w:t>Kurzemes apgabaltiesas 2024. gada 19. augusta spriedumu</w:t>
      </w:r>
      <w:r w:rsidRPr="00BB3EA1">
        <w:rPr>
          <w:rFonts w:asciiTheme="majorBidi" w:hAnsiTheme="majorBidi" w:cstheme="majorBidi"/>
        </w:rPr>
        <w:t xml:space="preserve"> daļā par </w:t>
      </w:r>
      <w:r w:rsidR="00FB4A2E" w:rsidRPr="00B155DF">
        <w:t>apsūdzētaj</w:t>
      </w:r>
      <w:r w:rsidR="00FB4A2E">
        <w:t xml:space="preserve">am </w:t>
      </w:r>
      <w:r w:rsidR="007A5CF1">
        <w:rPr>
          <w:shd w:val="clear" w:color="auto" w:fill="FFFFFF"/>
        </w:rPr>
        <w:t>[pers.</w:t>
      </w:r>
      <w:r w:rsidR="00342B3B">
        <w:rPr>
          <w:shd w:val="clear" w:color="auto" w:fill="FFFFFF"/>
        </w:rPr>
        <w:t> </w:t>
      </w:r>
      <w:r w:rsidR="007A5CF1">
        <w:rPr>
          <w:shd w:val="clear" w:color="auto" w:fill="FFFFFF"/>
        </w:rPr>
        <w:t>A]</w:t>
      </w:r>
      <w:r w:rsidR="00FB4A2E">
        <w:rPr>
          <w:rFonts w:asciiTheme="majorBidi" w:hAnsiTheme="majorBidi" w:cstheme="majorBidi"/>
        </w:rPr>
        <w:t xml:space="preserve"> noteikto </w:t>
      </w:r>
      <w:r w:rsidR="00FB4A2E" w:rsidRPr="00797823">
        <w:rPr>
          <w:rFonts w:asciiTheme="majorBidi" w:hAnsiTheme="majorBidi" w:cstheme="majorBidi"/>
        </w:rPr>
        <w:t>sodu pēc Krimināllikuma</w:t>
      </w:r>
      <w:r w:rsidR="00FB4A2E">
        <w:rPr>
          <w:rFonts w:asciiTheme="majorBidi" w:hAnsiTheme="majorBidi" w:cstheme="majorBidi"/>
        </w:rPr>
        <w:t xml:space="preserve"> </w:t>
      </w:r>
      <w:r w:rsidR="00FB4A2E">
        <w:rPr>
          <w:shd w:val="clear" w:color="auto" w:fill="FFFFFF"/>
        </w:rPr>
        <w:t>217.</w:t>
      </w:r>
      <w:r w:rsidR="00FB4A2E" w:rsidRPr="000B326F">
        <w:rPr>
          <w:shd w:val="clear" w:color="auto" w:fill="FFFFFF"/>
          <w:vertAlign w:val="superscript"/>
        </w:rPr>
        <w:t>1</w:t>
      </w:r>
      <w:r w:rsidR="00FB4A2E">
        <w:rPr>
          <w:shd w:val="clear" w:color="auto" w:fill="FFFFFF"/>
        </w:rPr>
        <w:t> panta un 218. panta otrās daļas</w:t>
      </w:r>
      <w:r w:rsidR="00FB4A2E" w:rsidRPr="00797823">
        <w:rPr>
          <w:rFonts w:asciiTheme="majorBidi" w:hAnsiTheme="majorBidi" w:cstheme="majorBidi"/>
        </w:rPr>
        <w:t>, par galīgo sodu saskaņā ar Krimināllikuma 50.</w:t>
      </w:r>
      <w:r w:rsidR="00FB4A2E">
        <w:rPr>
          <w:rFonts w:asciiTheme="majorBidi" w:hAnsiTheme="majorBidi" w:cstheme="majorBidi"/>
        </w:rPr>
        <w:t> </w:t>
      </w:r>
      <w:r w:rsidR="00FB4A2E" w:rsidRPr="00797823">
        <w:rPr>
          <w:rFonts w:asciiTheme="majorBidi" w:hAnsiTheme="majorBidi" w:cstheme="majorBidi"/>
        </w:rPr>
        <w:t xml:space="preserve">panta pirmo </w:t>
      </w:r>
      <w:r w:rsidR="00FB4A2E">
        <w:rPr>
          <w:rFonts w:asciiTheme="majorBidi" w:hAnsiTheme="majorBidi" w:cstheme="majorBidi"/>
        </w:rPr>
        <w:t xml:space="preserve">un trešo </w:t>
      </w:r>
      <w:r w:rsidR="00FB4A2E" w:rsidRPr="00797823">
        <w:rPr>
          <w:rFonts w:asciiTheme="majorBidi" w:hAnsiTheme="majorBidi" w:cstheme="majorBidi"/>
        </w:rPr>
        <w:t>daļu un</w:t>
      </w:r>
      <w:r w:rsidR="00FB4A2E">
        <w:rPr>
          <w:rFonts w:asciiTheme="majorBidi" w:hAnsiTheme="majorBidi" w:cstheme="majorBidi"/>
        </w:rPr>
        <w:t xml:space="preserve"> nosacītu notiesāšanu saskaņā ar </w:t>
      </w:r>
      <w:r w:rsidR="00FB4A2E" w:rsidRPr="00B155DF">
        <w:t xml:space="preserve">Krimināllikuma </w:t>
      </w:r>
      <w:r w:rsidR="00FB4A2E" w:rsidRPr="00B42436">
        <w:t>55. pantu</w:t>
      </w:r>
      <w:r w:rsidR="00FB4A2E">
        <w:t>;</w:t>
      </w:r>
    </w:p>
    <w:p w14:paraId="7E236D6F" w14:textId="38E148F0" w:rsidR="00BB3EA1" w:rsidRPr="00BB3EA1" w:rsidRDefault="00BB3EA1" w:rsidP="0058698A">
      <w:pPr>
        <w:spacing w:line="276" w:lineRule="auto"/>
        <w:ind w:firstLine="720"/>
        <w:jc w:val="both"/>
        <w:rPr>
          <w:rFonts w:asciiTheme="majorBidi" w:hAnsiTheme="majorBidi" w:cstheme="majorBidi"/>
        </w:rPr>
      </w:pPr>
      <w:r w:rsidRPr="00BB3EA1">
        <w:rPr>
          <w:rFonts w:asciiTheme="majorBidi" w:hAnsiTheme="majorBidi" w:cstheme="majorBidi"/>
        </w:rPr>
        <w:t xml:space="preserve">atceltajā daļā lietu nosūtīt jaunai izskatīšanai </w:t>
      </w:r>
      <w:r>
        <w:rPr>
          <w:rFonts w:asciiTheme="majorBidi" w:hAnsiTheme="majorBidi" w:cstheme="majorBidi"/>
        </w:rPr>
        <w:t>Kurzemes</w:t>
      </w:r>
      <w:r w:rsidRPr="00BB3EA1">
        <w:rPr>
          <w:rFonts w:asciiTheme="majorBidi" w:hAnsiTheme="majorBidi" w:cstheme="majorBidi"/>
        </w:rPr>
        <w:t xml:space="preserve"> apgabaltiesai;</w:t>
      </w:r>
    </w:p>
    <w:p w14:paraId="1243BA9F" w14:textId="77777777" w:rsidR="00FE300C" w:rsidRDefault="00BB3EA1" w:rsidP="0058698A">
      <w:pPr>
        <w:spacing w:line="276" w:lineRule="auto"/>
        <w:ind w:firstLine="720"/>
        <w:jc w:val="both"/>
        <w:rPr>
          <w:rFonts w:asciiTheme="majorBidi" w:hAnsiTheme="majorBidi" w:cstheme="majorBidi"/>
        </w:rPr>
      </w:pPr>
      <w:r w:rsidRPr="00BB3EA1">
        <w:rPr>
          <w:rFonts w:asciiTheme="majorBidi" w:hAnsiTheme="majorBidi" w:cstheme="majorBidi"/>
        </w:rPr>
        <w:t xml:space="preserve">pārējā daļā </w:t>
      </w:r>
      <w:r>
        <w:rPr>
          <w:lang w:eastAsia="lv-LV"/>
        </w:rPr>
        <w:t xml:space="preserve">Kurzemes apgabaltiesas 2024. gada 19. augusta </w:t>
      </w:r>
      <w:r w:rsidRPr="00BB3EA1">
        <w:rPr>
          <w:rFonts w:asciiTheme="majorBidi" w:hAnsiTheme="majorBidi" w:cstheme="majorBidi"/>
        </w:rPr>
        <w:t>spriedumu atstāt negrozītu</w:t>
      </w:r>
      <w:r w:rsidR="00FE300C">
        <w:rPr>
          <w:rFonts w:asciiTheme="majorBidi" w:hAnsiTheme="majorBidi" w:cstheme="majorBidi"/>
        </w:rPr>
        <w:t>;</w:t>
      </w:r>
    </w:p>
    <w:p w14:paraId="302A3396" w14:textId="4E8DB0D4" w:rsidR="00BB3EA1" w:rsidRPr="00FE300C" w:rsidRDefault="00FE300C" w:rsidP="00FE300C">
      <w:pPr>
        <w:shd w:val="clear" w:color="auto" w:fill="FFFFFF"/>
        <w:spacing w:line="276" w:lineRule="auto"/>
        <w:ind w:firstLine="720"/>
        <w:jc w:val="both"/>
        <w:rPr>
          <w:bCs/>
        </w:rPr>
      </w:pPr>
      <w:r w:rsidRPr="004923DE">
        <w:rPr>
          <w:bCs/>
        </w:rPr>
        <w:t xml:space="preserve">turpināt piemērot apsūdzētajam </w:t>
      </w:r>
      <w:r w:rsidR="007A5CF1">
        <w:rPr>
          <w:shd w:val="clear" w:color="auto" w:fill="FFFFFF"/>
        </w:rPr>
        <w:t>[pers.</w:t>
      </w:r>
      <w:r w:rsidR="00342B3B">
        <w:rPr>
          <w:shd w:val="clear" w:color="auto" w:fill="FFFFFF"/>
        </w:rPr>
        <w:t> </w:t>
      </w:r>
      <w:r w:rsidR="007A5CF1">
        <w:rPr>
          <w:shd w:val="clear" w:color="auto" w:fill="FFFFFF"/>
        </w:rPr>
        <w:t>A]</w:t>
      </w:r>
      <w:r>
        <w:rPr>
          <w:rFonts w:asciiTheme="majorBidi" w:hAnsiTheme="majorBidi" w:cstheme="majorBidi"/>
        </w:rPr>
        <w:t xml:space="preserve"> </w:t>
      </w:r>
      <w:r w:rsidRPr="004923DE">
        <w:rPr>
          <w:bCs/>
        </w:rPr>
        <w:t>drošības līdzek</w:t>
      </w:r>
      <w:r>
        <w:rPr>
          <w:bCs/>
        </w:rPr>
        <w:t>ļus</w:t>
      </w:r>
      <w:r w:rsidRPr="004923DE">
        <w:rPr>
          <w:bCs/>
        </w:rPr>
        <w:t xml:space="preserve"> – </w:t>
      </w:r>
      <w:r w:rsidRPr="0025559E">
        <w:rPr>
          <w:rFonts w:asciiTheme="majorBidi" w:hAnsiTheme="majorBidi" w:cstheme="majorBidi"/>
        </w:rPr>
        <w:t>aizliegums izbraukt no valsts</w:t>
      </w:r>
      <w:r>
        <w:rPr>
          <w:rFonts w:asciiTheme="majorBidi" w:hAnsiTheme="majorBidi" w:cstheme="majorBidi"/>
        </w:rPr>
        <w:t xml:space="preserve"> un </w:t>
      </w:r>
      <w:r w:rsidRPr="0025559E">
        <w:rPr>
          <w:rFonts w:asciiTheme="majorBidi" w:hAnsiTheme="majorBidi" w:cstheme="majorBidi"/>
        </w:rPr>
        <w:t>dzīvesvietas maiņas paziņošan</w:t>
      </w:r>
      <w:r>
        <w:rPr>
          <w:rFonts w:asciiTheme="majorBidi" w:hAnsiTheme="majorBidi" w:cstheme="majorBidi"/>
        </w:rPr>
        <w:t>a</w:t>
      </w:r>
      <w:r w:rsidR="00BB3EA1" w:rsidRPr="00BB3EA1">
        <w:rPr>
          <w:rFonts w:asciiTheme="majorBidi" w:hAnsiTheme="majorBidi" w:cstheme="majorBidi"/>
        </w:rPr>
        <w:t>.</w:t>
      </w:r>
    </w:p>
    <w:p w14:paraId="2CCA282E" w14:textId="77777777" w:rsidR="00BB3EA1" w:rsidRDefault="00BB3EA1" w:rsidP="0058698A">
      <w:pPr>
        <w:spacing w:line="276" w:lineRule="auto"/>
        <w:ind w:firstLine="720"/>
        <w:jc w:val="both"/>
        <w:rPr>
          <w:rFonts w:asciiTheme="majorBidi" w:hAnsiTheme="majorBidi" w:cstheme="majorBidi"/>
        </w:rPr>
      </w:pPr>
    </w:p>
    <w:p w14:paraId="6F68DB0D" w14:textId="6B54BC56" w:rsidR="00107481" w:rsidRDefault="00107481" w:rsidP="0058698A">
      <w:pPr>
        <w:spacing w:line="276" w:lineRule="auto"/>
        <w:ind w:firstLine="720"/>
        <w:jc w:val="both"/>
        <w:rPr>
          <w:rFonts w:asciiTheme="majorBidi" w:hAnsiTheme="majorBidi" w:cstheme="majorBidi"/>
        </w:rPr>
      </w:pPr>
      <w:r w:rsidRPr="00CB056B">
        <w:rPr>
          <w:rFonts w:asciiTheme="majorBidi" w:hAnsiTheme="majorBidi" w:cstheme="majorBidi"/>
        </w:rPr>
        <w:t>Lēmums nav pārsūdzams.</w:t>
      </w:r>
    </w:p>
    <w:p w14:paraId="782C830C" w14:textId="77777777" w:rsidR="00F90281" w:rsidRDefault="00F90281" w:rsidP="0058698A">
      <w:pPr>
        <w:shd w:val="clear" w:color="auto" w:fill="FFFFFF"/>
        <w:spacing w:line="276" w:lineRule="auto"/>
        <w:ind w:firstLine="720"/>
        <w:jc w:val="both"/>
        <w:rPr>
          <w:bCs/>
        </w:rPr>
      </w:pPr>
    </w:p>
    <w:p w14:paraId="049D1CB4" w14:textId="77777777" w:rsidR="00447EE6" w:rsidRDefault="00447EE6" w:rsidP="0058698A">
      <w:pPr>
        <w:tabs>
          <w:tab w:val="left" w:pos="2880"/>
        </w:tabs>
        <w:spacing w:line="276" w:lineRule="auto"/>
        <w:jc w:val="both"/>
      </w:pPr>
    </w:p>
    <w:sectPr w:rsidR="00447EE6" w:rsidSect="0058698A">
      <w:footerReference w:type="default" r:id="rId13"/>
      <w:pgSz w:w="12240" w:h="15840"/>
      <w:pgMar w:top="1134" w:right="1701" w:bottom="1134" w:left="1701" w:header="720" w:footer="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0E5B" w14:textId="77777777" w:rsidR="00DA0202" w:rsidRDefault="00DA0202" w:rsidP="006D5C62">
      <w:r>
        <w:separator/>
      </w:r>
    </w:p>
  </w:endnote>
  <w:endnote w:type="continuationSeparator" w:id="0">
    <w:p w14:paraId="31992D06" w14:textId="77777777" w:rsidR="00DA0202" w:rsidRDefault="00DA0202" w:rsidP="006D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907515"/>
      <w:docPartObj>
        <w:docPartGallery w:val="Page Numbers (Bottom of Page)"/>
        <w:docPartUnique/>
      </w:docPartObj>
    </w:sdtPr>
    <w:sdtEndPr/>
    <w:sdtContent>
      <w:sdt>
        <w:sdtPr>
          <w:id w:val="1728636285"/>
          <w:docPartObj>
            <w:docPartGallery w:val="Page Numbers (Top of Page)"/>
            <w:docPartUnique/>
          </w:docPartObj>
        </w:sdtPr>
        <w:sdtEndPr/>
        <w:sdtContent>
          <w:p w14:paraId="0D868154" w14:textId="3E13AF89" w:rsidR="006D5C62" w:rsidRDefault="006D5C62" w:rsidP="006D5C62">
            <w:pPr>
              <w:pStyle w:val="Footer"/>
              <w:jc w:val="center"/>
            </w:pPr>
            <w:r w:rsidRPr="006D5C62">
              <w:rPr>
                <w:sz w:val="20"/>
                <w:szCs w:val="20"/>
              </w:rPr>
              <w:fldChar w:fldCharType="begin"/>
            </w:r>
            <w:r w:rsidRPr="006D5C62">
              <w:rPr>
                <w:sz w:val="20"/>
                <w:szCs w:val="20"/>
              </w:rPr>
              <w:instrText xml:space="preserve"> PAGE </w:instrText>
            </w:r>
            <w:r w:rsidRPr="006D5C62">
              <w:rPr>
                <w:sz w:val="20"/>
                <w:szCs w:val="20"/>
              </w:rPr>
              <w:fldChar w:fldCharType="separate"/>
            </w:r>
            <w:r w:rsidRPr="006D5C62">
              <w:rPr>
                <w:noProof/>
                <w:sz w:val="20"/>
                <w:szCs w:val="20"/>
              </w:rPr>
              <w:t>2</w:t>
            </w:r>
            <w:r w:rsidRPr="006D5C62">
              <w:rPr>
                <w:sz w:val="20"/>
                <w:szCs w:val="20"/>
              </w:rPr>
              <w:fldChar w:fldCharType="end"/>
            </w:r>
            <w:r w:rsidRPr="006D5C62">
              <w:rPr>
                <w:sz w:val="20"/>
                <w:szCs w:val="20"/>
              </w:rPr>
              <w:t xml:space="preserve"> no </w:t>
            </w:r>
            <w:r w:rsidR="007E42A2">
              <w:rPr>
                <w:sz w:val="20"/>
                <w:szCs w:val="20"/>
              </w:rPr>
              <w:t>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8658" w14:textId="77777777" w:rsidR="00DA0202" w:rsidRDefault="00DA0202" w:rsidP="006D5C62">
      <w:r>
        <w:separator/>
      </w:r>
    </w:p>
  </w:footnote>
  <w:footnote w:type="continuationSeparator" w:id="0">
    <w:p w14:paraId="644CCE6F" w14:textId="77777777" w:rsidR="00DA0202" w:rsidRDefault="00DA0202" w:rsidP="006D5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C73"/>
    <w:multiLevelType w:val="hybridMultilevel"/>
    <w:tmpl w:val="C6E847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65F07F90"/>
    <w:multiLevelType w:val="hybridMultilevel"/>
    <w:tmpl w:val="B92EB2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00880893">
    <w:abstractNumId w:val="1"/>
  </w:num>
  <w:num w:numId="2" w16cid:durableId="495338432">
    <w:abstractNumId w:val="0"/>
  </w:num>
  <w:num w:numId="3" w16cid:durableId="495456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A9"/>
    <w:rsid w:val="00006655"/>
    <w:rsid w:val="00006F08"/>
    <w:rsid w:val="000160B7"/>
    <w:rsid w:val="000161EC"/>
    <w:rsid w:val="00021010"/>
    <w:rsid w:val="0002495A"/>
    <w:rsid w:val="00026555"/>
    <w:rsid w:val="00026722"/>
    <w:rsid w:val="00026E2B"/>
    <w:rsid w:val="0003538B"/>
    <w:rsid w:val="00036A57"/>
    <w:rsid w:val="00037439"/>
    <w:rsid w:val="000466F2"/>
    <w:rsid w:val="000567D2"/>
    <w:rsid w:val="000610C1"/>
    <w:rsid w:val="00061406"/>
    <w:rsid w:val="00066544"/>
    <w:rsid w:val="0006670D"/>
    <w:rsid w:val="000727D1"/>
    <w:rsid w:val="00073722"/>
    <w:rsid w:val="00074526"/>
    <w:rsid w:val="00076924"/>
    <w:rsid w:val="000775B2"/>
    <w:rsid w:val="00077777"/>
    <w:rsid w:val="00077D6F"/>
    <w:rsid w:val="00082CA8"/>
    <w:rsid w:val="000872F2"/>
    <w:rsid w:val="00087E1E"/>
    <w:rsid w:val="00092516"/>
    <w:rsid w:val="00096A7E"/>
    <w:rsid w:val="000971D2"/>
    <w:rsid w:val="000A13AA"/>
    <w:rsid w:val="000A5327"/>
    <w:rsid w:val="000A5CE9"/>
    <w:rsid w:val="000A74CB"/>
    <w:rsid w:val="000B0962"/>
    <w:rsid w:val="000B1310"/>
    <w:rsid w:val="000B171E"/>
    <w:rsid w:val="000B2BB3"/>
    <w:rsid w:val="000B3156"/>
    <w:rsid w:val="000B326F"/>
    <w:rsid w:val="000B51CB"/>
    <w:rsid w:val="000C1423"/>
    <w:rsid w:val="000C341B"/>
    <w:rsid w:val="000C52CD"/>
    <w:rsid w:val="000C6E0F"/>
    <w:rsid w:val="000D4EF4"/>
    <w:rsid w:val="000D6A3A"/>
    <w:rsid w:val="000D775B"/>
    <w:rsid w:val="000D77F5"/>
    <w:rsid w:val="000E22DA"/>
    <w:rsid w:val="000E252D"/>
    <w:rsid w:val="000E2F39"/>
    <w:rsid w:val="000E3635"/>
    <w:rsid w:val="000F24FE"/>
    <w:rsid w:val="000F49CF"/>
    <w:rsid w:val="001040D8"/>
    <w:rsid w:val="00104173"/>
    <w:rsid w:val="001045C6"/>
    <w:rsid w:val="0010633D"/>
    <w:rsid w:val="00107481"/>
    <w:rsid w:val="00113584"/>
    <w:rsid w:val="001164CC"/>
    <w:rsid w:val="001176F3"/>
    <w:rsid w:val="0012484D"/>
    <w:rsid w:val="00127784"/>
    <w:rsid w:val="00132365"/>
    <w:rsid w:val="00136BED"/>
    <w:rsid w:val="001421FE"/>
    <w:rsid w:val="00142A91"/>
    <w:rsid w:val="001442CD"/>
    <w:rsid w:val="00150A0B"/>
    <w:rsid w:val="00150AC8"/>
    <w:rsid w:val="001513E6"/>
    <w:rsid w:val="001535E9"/>
    <w:rsid w:val="00155092"/>
    <w:rsid w:val="0015680F"/>
    <w:rsid w:val="00160C9E"/>
    <w:rsid w:val="0016235E"/>
    <w:rsid w:val="00165778"/>
    <w:rsid w:val="0016655D"/>
    <w:rsid w:val="00172D48"/>
    <w:rsid w:val="001761B2"/>
    <w:rsid w:val="00177A7F"/>
    <w:rsid w:val="00181C5B"/>
    <w:rsid w:val="0018508B"/>
    <w:rsid w:val="00185F2A"/>
    <w:rsid w:val="00190F78"/>
    <w:rsid w:val="00192038"/>
    <w:rsid w:val="00196D95"/>
    <w:rsid w:val="001A0B98"/>
    <w:rsid w:val="001A1028"/>
    <w:rsid w:val="001A339F"/>
    <w:rsid w:val="001A5C82"/>
    <w:rsid w:val="001A5EB8"/>
    <w:rsid w:val="001B32CB"/>
    <w:rsid w:val="001B3E68"/>
    <w:rsid w:val="001B70C2"/>
    <w:rsid w:val="001C120B"/>
    <w:rsid w:val="001C1443"/>
    <w:rsid w:val="001C2FD8"/>
    <w:rsid w:val="001C34DD"/>
    <w:rsid w:val="001C3AD1"/>
    <w:rsid w:val="001C58FA"/>
    <w:rsid w:val="001C6796"/>
    <w:rsid w:val="001C77C7"/>
    <w:rsid w:val="001D033B"/>
    <w:rsid w:val="001D237C"/>
    <w:rsid w:val="001D3CD2"/>
    <w:rsid w:val="001D4531"/>
    <w:rsid w:val="001D4D14"/>
    <w:rsid w:val="001D5E4E"/>
    <w:rsid w:val="001D7EDA"/>
    <w:rsid w:val="001D7F7F"/>
    <w:rsid w:val="001E044D"/>
    <w:rsid w:val="001E07FF"/>
    <w:rsid w:val="001E36D4"/>
    <w:rsid w:val="001F4CE2"/>
    <w:rsid w:val="0020116C"/>
    <w:rsid w:val="00201EDC"/>
    <w:rsid w:val="00204413"/>
    <w:rsid w:val="00213509"/>
    <w:rsid w:val="002218D4"/>
    <w:rsid w:val="00227134"/>
    <w:rsid w:val="00227503"/>
    <w:rsid w:val="00230E94"/>
    <w:rsid w:val="00235EBE"/>
    <w:rsid w:val="00236DF1"/>
    <w:rsid w:val="00240F17"/>
    <w:rsid w:val="00242715"/>
    <w:rsid w:val="00244E28"/>
    <w:rsid w:val="00247B8F"/>
    <w:rsid w:val="00251373"/>
    <w:rsid w:val="0025559E"/>
    <w:rsid w:val="00256ECF"/>
    <w:rsid w:val="00256F5B"/>
    <w:rsid w:val="00257556"/>
    <w:rsid w:val="0026052D"/>
    <w:rsid w:val="002624BB"/>
    <w:rsid w:val="002636A6"/>
    <w:rsid w:val="00267CD5"/>
    <w:rsid w:val="00267DAD"/>
    <w:rsid w:val="00271E74"/>
    <w:rsid w:val="00271FCD"/>
    <w:rsid w:val="00272EC6"/>
    <w:rsid w:val="002748F8"/>
    <w:rsid w:val="002763BD"/>
    <w:rsid w:val="002769ED"/>
    <w:rsid w:val="00285AAE"/>
    <w:rsid w:val="002905B2"/>
    <w:rsid w:val="00290C31"/>
    <w:rsid w:val="00291ED3"/>
    <w:rsid w:val="002A0543"/>
    <w:rsid w:val="002A0A39"/>
    <w:rsid w:val="002A15F6"/>
    <w:rsid w:val="002A4E29"/>
    <w:rsid w:val="002A5710"/>
    <w:rsid w:val="002B61EE"/>
    <w:rsid w:val="002B653B"/>
    <w:rsid w:val="002B6BEF"/>
    <w:rsid w:val="002C162D"/>
    <w:rsid w:val="002D3F77"/>
    <w:rsid w:val="002E1AC7"/>
    <w:rsid w:val="002E4465"/>
    <w:rsid w:val="002E555B"/>
    <w:rsid w:val="002F3311"/>
    <w:rsid w:val="002F3B15"/>
    <w:rsid w:val="00301162"/>
    <w:rsid w:val="00301313"/>
    <w:rsid w:val="00301DF4"/>
    <w:rsid w:val="00304115"/>
    <w:rsid w:val="00304492"/>
    <w:rsid w:val="00310F20"/>
    <w:rsid w:val="00313FD3"/>
    <w:rsid w:val="00314357"/>
    <w:rsid w:val="00314851"/>
    <w:rsid w:val="003149E8"/>
    <w:rsid w:val="00314B6A"/>
    <w:rsid w:val="00322A38"/>
    <w:rsid w:val="0032418F"/>
    <w:rsid w:val="00325477"/>
    <w:rsid w:val="00333D44"/>
    <w:rsid w:val="00334B8C"/>
    <w:rsid w:val="003369C0"/>
    <w:rsid w:val="00342B3B"/>
    <w:rsid w:val="00351071"/>
    <w:rsid w:val="0036073E"/>
    <w:rsid w:val="00362A9B"/>
    <w:rsid w:val="00363E02"/>
    <w:rsid w:val="00367D4F"/>
    <w:rsid w:val="003718E9"/>
    <w:rsid w:val="003728DA"/>
    <w:rsid w:val="003735A3"/>
    <w:rsid w:val="00373845"/>
    <w:rsid w:val="003756CE"/>
    <w:rsid w:val="003777B7"/>
    <w:rsid w:val="00380D19"/>
    <w:rsid w:val="00387020"/>
    <w:rsid w:val="00387240"/>
    <w:rsid w:val="00394309"/>
    <w:rsid w:val="00394A5B"/>
    <w:rsid w:val="003A2F37"/>
    <w:rsid w:val="003A3297"/>
    <w:rsid w:val="003A4B4E"/>
    <w:rsid w:val="003A4F91"/>
    <w:rsid w:val="003A4FD8"/>
    <w:rsid w:val="003B0EA4"/>
    <w:rsid w:val="003B4789"/>
    <w:rsid w:val="003B5871"/>
    <w:rsid w:val="003C4082"/>
    <w:rsid w:val="003C6501"/>
    <w:rsid w:val="003C6F06"/>
    <w:rsid w:val="003D31DE"/>
    <w:rsid w:val="003D49D6"/>
    <w:rsid w:val="003E22FD"/>
    <w:rsid w:val="003E6BC6"/>
    <w:rsid w:val="003E718C"/>
    <w:rsid w:val="003E7B3A"/>
    <w:rsid w:val="003E7DCE"/>
    <w:rsid w:val="003F1439"/>
    <w:rsid w:val="003F2E93"/>
    <w:rsid w:val="00400890"/>
    <w:rsid w:val="004012AE"/>
    <w:rsid w:val="00402828"/>
    <w:rsid w:val="00402B96"/>
    <w:rsid w:val="00405510"/>
    <w:rsid w:val="00407345"/>
    <w:rsid w:val="0041197C"/>
    <w:rsid w:val="00412429"/>
    <w:rsid w:val="004135C4"/>
    <w:rsid w:val="00417651"/>
    <w:rsid w:val="00423EC8"/>
    <w:rsid w:val="004247DC"/>
    <w:rsid w:val="0043055E"/>
    <w:rsid w:val="0043167E"/>
    <w:rsid w:val="00433744"/>
    <w:rsid w:val="004415CF"/>
    <w:rsid w:val="00443993"/>
    <w:rsid w:val="00445488"/>
    <w:rsid w:val="00447977"/>
    <w:rsid w:val="00447EE6"/>
    <w:rsid w:val="00450039"/>
    <w:rsid w:val="004504D3"/>
    <w:rsid w:val="004538FF"/>
    <w:rsid w:val="00460814"/>
    <w:rsid w:val="004618CE"/>
    <w:rsid w:val="00461CDB"/>
    <w:rsid w:val="00466347"/>
    <w:rsid w:val="00467DF7"/>
    <w:rsid w:val="004802E1"/>
    <w:rsid w:val="00490B86"/>
    <w:rsid w:val="00491AED"/>
    <w:rsid w:val="00497420"/>
    <w:rsid w:val="004A5836"/>
    <w:rsid w:val="004A66CE"/>
    <w:rsid w:val="004A6F86"/>
    <w:rsid w:val="004A7756"/>
    <w:rsid w:val="004B2A94"/>
    <w:rsid w:val="004B69AC"/>
    <w:rsid w:val="004B74C1"/>
    <w:rsid w:val="004B7CB2"/>
    <w:rsid w:val="004C2347"/>
    <w:rsid w:val="004C3076"/>
    <w:rsid w:val="004C47F9"/>
    <w:rsid w:val="004C54F4"/>
    <w:rsid w:val="004C59C3"/>
    <w:rsid w:val="004C5FAC"/>
    <w:rsid w:val="004D2C33"/>
    <w:rsid w:val="004D760F"/>
    <w:rsid w:val="004D780A"/>
    <w:rsid w:val="004E0070"/>
    <w:rsid w:val="004E0E93"/>
    <w:rsid w:val="004E547C"/>
    <w:rsid w:val="004F06D3"/>
    <w:rsid w:val="004F4923"/>
    <w:rsid w:val="004F56D8"/>
    <w:rsid w:val="004F71A0"/>
    <w:rsid w:val="0050005E"/>
    <w:rsid w:val="00501B80"/>
    <w:rsid w:val="00503AC7"/>
    <w:rsid w:val="0050549B"/>
    <w:rsid w:val="00514B47"/>
    <w:rsid w:val="00520D6F"/>
    <w:rsid w:val="00526E9D"/>
    <w:rsid w:val="00530B9B"/>
    <w:rsid w:val="00531423"/>
    <w:rsid w:val="0053187B"/>
    <w:rsid w:val="0053426B"/>
    <w:rsid w:val="005355AA"/>
    <w:rsid w:val="00536C57"/>
    <w:rsid w:val="00540625"/>
    <w:rsid w:val="00542725"/>
    <w:rsid w:val="00542FD7"/>
    <w:rsid w:val="00546144"/>
    <w:rsid w:val="00547C02"/>
    <w:rsid w:val="00555C22"/>
    <w:rsid w:val="00561757"/>
    <w:rsid w:val="00564079"/>
    <w:rsid w:val="005650B9"/>
    <w:rsid w:val="0056578D"/>
    <w:rsid w:val="00567624"/>
    <w:rsid w:val="00571491"/>
    <w:rsid w:val="00574F39"/>
    <w:rsid w:val="0057709C"/>
    <w:rsid w:val="005778B8"/>
    <w:rsid w:val="00577CFF"/>
    <w:rsid w:val="00580F5D"/>
    <w:rsid w:val="005844CC"/>
    <w:rsid w:val="0058698A"/>
    <w:rsid w:val="00591588"/>
    <w:rsid w:val="00593FD1"/>
    <w:rsid w:val="00595C4E"/>
    <w:rsid w:val="005A1B5C"/>
    <w:rsid w:val="005A1F74"/>
    <w:rsid w:val="005A6004"/>
    <w:rsid w:val="005A62CF"/>
    <w:rsid w:val="005B027F"/>
    <w:rsid w:val="005B0DDC"/>
    <w:rsid w:val="005B1C62"/>
    <w:rsid w:val="005B2B02"/>
    <w:rsid w:val="005B5AF4"/>
    <w:rsid w:val="005C2AEE"/>
    <w:rsid w:val="005C3804"/>
    <w:rsid w:val="005E2FEA"/>
    <w:rsid w:val="005E31BC"/>
    <w:rsid w:val="005E3F47"/>
    <w:rsid w:val="005E54CD"/>
    <w:rsid w:val="005E551D"/>
    <w:rsid w:val="005F0FC4"/>
    <w:rsid w:val="005F2D68"/>
    <w:rsid w:val="005F4A6B"/>
    <w:rsid w:val="005F509F"/>
    <w:rsid w:val="005F7ACC"/>
    <w:rsid w:val="00603DF6"/>
    <w:rsid w:val="00607375"/>
    <w:rsid w:val="0060749F"/>
    <w:rsid w:val="006160CC"/>
    <w:rsid w:val="0061721D"/>
    <w:rsid w:val="00620234"/>
    <w:rsid w:val="00625DFB"/>
    <w:rsid w:val="006266C1"/>
    <w:rsid w:val="0063065F"/>
    <w:rsid w:val="0063705C"/>
    <w:rsid w:val="00640502"/>
    <w:rsid w:val="006442F6"/>
    <w:rsid w:val="006457B1"/>
    <w:rsid w:val="006513C5"/>
    <w:rsid w:val="0065591E"/>
    <w:rsid w:val="00655E7D"/>
    <w:rsid w:val="00661DAC"/>
    <w:rsid w:val="0066267D"/>
    <w:rsid w:val="00662714"/>
    <w:rsid w:val="006727AA"/>
    <w:rsid w:val="00675228"/>
    <w:rsid w:val="00680F91"/>
    <w:rsid w:val="00682558"/>
    <w:rsid w:val="00684D16"/>
    <w:rsid w:val="00685938"/>
    <w:rsid w:val="00686D65"/>
    <w:rsid w:val="006911A0"/>
    <w:rsid w:val="00693115"/>
    <w:rsid w:val="0069687E"/>
    <w:rsid w:val="006B267B"/>
    <w:rsid w:val="006B287B"/>
    <w:rsid w:val="006B2A29"/>
    <w:rsid w:val="006B3BD6"/>
    <w:rsid w:val="006B5909"/>
    <w:rsid w:val="006B5FA2"/>
    <w:rsid w:val="006C4001"/>
    <w:rsid w:val="006C4B5D"/>
    <w:rsid w:val="006C56CF"/>
    <w:rsid w:val="006C7760"/>
    <w:rsid w:val="006D1B59"/>
    <w:rsid w:val="006D35E2"/>
    <w:rsid w:val="006D47A1"/>
    <w:rsid w:val="006D5C62"/>
    <w:rsid w:val="006E002F"/>
    <w:rsid w:val="006E02DF"/>
    <w:rsid w:val="006E21ED"/>
    <w:rsid w:val="006E4977"/>
    <w:rsid w:val="006E5B90"/>
    <w:rsid w:val="006E6905"/>
    <w:rsid w:val="006E78BC"/>
    <w:rsid w:val="006F4C75"/>
    <w:rsid w:val="006F5337"/>
    <w:rsid w:val="006F5DF3"/>
    <w:rsid w:val="00700D18"/>
    <w:rsid w:val="007044DD"/>
    <w:rsid w:val="00717E0C"/>
    <w:rsid w:val="007223BE"/>
    <w:rsid w:val="007244DE"/>
    <w:rsid w:val="00731886"/>
    <w:rsid w:val="00741496"/>
    <w:rsid w:val="00741B94"/>
    <w:rsid w:val="0074233D"/>
    <w:rsid w:val="007443F7"/>
    <w:rsid w:val="00745811"/>
    <w:rsid w:val="007470B2"/>
    <w:rsid w:val="00751A6F"/>
    <w:rsid w:val="00755B74"/>
    <w:rsid w:val="00760162"/>
    <w:rsid w:val="0076110E"/>
    <w:rsid w:val="00762A8A"/>
    <w:rsid w:val="00771C33"/>
    <w:rsid w:val="00794836"/>
    <w:rsid w:val="00795196"/>
    <w:rsid w:val="00797724"/>
    <w:rsid w:val="007A00DA"/>
    <w:rsid w:val="007A031A"/>
    <w:rsid w:val="007A2857"/>
    <w:rsid w:val="007A5CF1"/>
    <w:rsid w:val="007A7D4D"/>
    <w:rsid w:val="007B17BD"/>
    <w:rsid w:val="007B1868"/>
    <w:rsid w:val="007B2EC7"/>
    <w:rsid w:val="007B2F4F"/>
    <w:rsid w:val="007B61E9"/>
    <w:rsid w:val="007C30FD"/>
    <w:rsid w:val="007C3E16"/>
    <w:rsid w:val="007C4103"/>
    <w:rsid w:val="007C4309"/>
    <w:rsid w:val="007C7CA4"/>
    <w:rsid w:val="007D0C0D"/>
    <w:rsid w:val="007D2533"/>
    <w:rsid w:val="007D5BB2"/>
    <w:rsid w:val="007E171E"/>
    <w:rsid w:val="007E42A2"/>
    <w:rsid w:val="007E6FB0"/>
    <w:rsid w:val="007E7154"/>
    <w:rsid w:val="007E719B"/>
    <w:rsid w:val="007F569E"/>
    <w:rsid w:val="007F6D42"/>
    <w:rsid w:val="00800C49"/>
    <w:rsid w:val="00801F47"/>
    <w:rsid w:val="00802573"/>
    <w:rsid w:val="008029AE"/>
    <w:rsid w:val="00803039"/>
    <w:rsid w:val="00807BA7"/>
    <w:rsid w:val="0081226F"/>
    <w:rsid w:val="00814AFF"/>
    <w:rsid w:val="00815D6E"/>
    <w:rsid w:val="00825D05"/>
    <w:rsid w:val="0082619F"/>
    <w:rsid w:val="00827474"/>
    <w:rsid w:val="008306E3"/>
    <w:rsid w:val="00832964"/>
    <w:rsid w:val="00835C9E"/>
    <w:rsid w:val="00837192"/>
    <w:rsid w:val="00841EB0"/>
    <w:rsid w:val="0084386A"/>
    <w:rsid w:val="00854F12"/>
    <w:rsid w:val="00860261"/>
    <w:rsid w:val="00861161"/>
    <w:rsid w:val="0086541C"/>
    <w:rsid w:val="00865A79"/>
    <w:rsid w:val="00866E99"/>
    <w:rsid w:val="008671C3"/>
    <w:rsid w:val="008713C5"/>
    <w:rsid w:val="00871EBC"/>
    <w:rsid w:val="00874495"/>
    <w:rsid w:val="00881231"/>
    <w:rsid w:val="00881BCF"/>
    <w:rsid w:val="008837BA"/>
    <w:rsid w:val="008839E3"/>
    <w:rsid w:val="00885FD7"/>
    <w:rsid w:val="00890483"/>
    <w:rsid w:val="00891D66"/>
    <w:rsid w:val="008937E7"/>
    <w:rsid w:val="008943FD"/>
    <w:rsid w:val="00894440"/>
    <w:rsid w:val="0089528C"/>
    <w:rsid w:val="008A1D8E"/>
    <w:rsid w:val="008B0962"/>
    <w:rsid w:val="008B0E68"/>
    <w:rsid w:val="008B143B"/>
    <w:rsid w:val="008B49ED"/>
    <w:rsid w:val="008B4DAE"/>
    <w:rsid w:val="008B53A1"/>
    <w:rsid w:val="008C6913"/>
    <w:rsid w:val="008D1FFC"/>
    <w:rsid w:val="008D2D7B"/>
    <w:rsid w:val="008D345A"/>
    <w:rsid w:val="008D4CAB"/>
    <w:rsid w:val="008D5F7E"/>
    <w:rsid w:val="008D652D"/>
    <w:rsid w:val="008D706E"/>
    <w:rsid w:val="008E0297"/>
    <w:rsid w:val="008F0317"/>
    <w:rsid w:val="008F1CFD"/>
    <w:rsid w:val="008F52A4"/>
    <w:rsid w:val="008F5A0D"/>
    <w:rsid w:val="008F63F2"/>
    <w:rsid w:val="008F75D8"/>
    <w:rsid w:val="00905BF5"/>
    <w:rsid w:val="00906391"/>
    <w:rsid w:val="00906E62"/>
    <w:rsid w:val="00911EB4"/>
    <w:rsid w:val="00921A85"/>
    <w:rsid w:val="00925A25"/>
    <w:rsid w:val="0092788F"/>
    <w:rsid w:val="00931962"/>
    <w:rsid w:val="00932057"/>
    <w:rsid w:val="00933796"/>
    <w:rsid w:val="00933914"/>
    <w:rsid w:val="00934D4A"/>
    <w:rsid w:val="00940520"/>
    <w:rsid w:val="009427FF"/>
    <w:rsid w:val="00944229"/>
    <w:rsid w:val="009508A8"/>
    <w:rsid w:val="00951EC5"/>
    <w:rsid w:val="00954050"/>
    <w:rsid w:val="00955D23"/>
    <w:rsid w:val="009565A2"/>
    <w:rsid w:val="0096089E"/>
    <w:rsid w:val="00964620"/>
    <w:rsid w:val="0097134F"/>
    <w:rsid w:val="009741B4"/>
    <w:rsid w:val="00974256"/>
    <w:rsid w:val="00974959"/>
    <w:rsid w:val="00976DA5"/>
    <w:rsid w:val="00981709"/>
    <w:rsid w:val="00982735"/>
    <w:rsid w:val="00986BD6"/>
    <w:rsid w:val="009A01C7"/>
    <w:rsid w:val="009A2D92"/>
    <w:rsid w:val="009A4AD5"/>
    <w:rsid w:val="009B79DC"/>
    <w:rsid w:val="009C3CC3"/>
    <w:rsid w:val="009C47AF"/>
    <w:rsid w:val="009C6AF4"/>
    <w:rsid w:val="009D0C04"/>
    <w:rsid w:val="009E1B17"/>
    <w:rsid w:val="009E2FE4"/>
    <w:rsid w:val="009E3553"/>
    <w:rsid w:val="009F16D0"/>
    <w:rsid w:val="009F1F91"/>
    <w:rsid w:val="009F5DA5"/>
    <w:rsid w:val="009F6CE4"/>
    <w:rsid w:val="00A014E1"/>
    <w:rsid w:val="00A02B9E"/>
    <w:rsid w:val="00A10AA2"/>
    <w:rsid w:val="00A122CA"/>
    <w:rsid w:val="00A133B7"/>
    <w:rsid w:val="00A14F22"/>
    <w:rsid w:val="00A150A2"/>
    <w:rsid w:val="00A24D33"/>
    <w:rsid w:val="00A25EFF"/>
    <w:rsid w:val="00A25F26"/>
    <w:rsid w:val="00A274DF"/>
    <w:rsid w:val="00A303AF"/>
    <w:rsid w:val="00A315C8"/>
    <w:rsid w:val="00A318B5"/>
    <w:rsid w:val="00A37206"/>
    <w:rsid w:val="00A40030"/>
    <w:rsid w:val="00A511EA"/>
    <w:rsid w:val="00A524E0"/>
    <w:rsid w:val="00A52A45"/>
    <w:rsid w:val="00A53953"/>
    <w:rsid w:val="00A56DC1"/>
    <w:rsid w:val="00A651C5"/>
    <w:rsid w:val="00A71140"/>
    <w:rsid w:val="00A742EC"/>
    <w:rsid w:val="00A80E32"/>
    <w:rsid w:val="00A8320C"/>
    <w:rsid w:val="00A832B5"/>
    <w:rsid w:val="00A92273"/>
    <w:rsid w:val="00A95013"/>
    <w:rsid w:val="00A96922"/>
    <w:rsid w:val="00AA2FDC"/>
    <w:rsid w:val="00AA5CC4"/>
    <w:rsid w:val="00AB50BD"/>
    <w:rsid w:val="00AC43A6"/>
    <w:rsid w:val="00AD0516"/>
    <w:rsid w:val="00AD297F"/>
    <w:rsid w:val="00AD2ACD"/>
    <w:rsid w:val="00AD59A3"/>
    <w:rsid w:val="00AD5FF3"/>
    <w:rsid w:val="00AD740C"/>
    <w:rsid w:val="00AE097C"/>
    <w:rsid w:val="00AE18CF"/>
    <w:rsid w:val="00AE2665"/>
    <w:rsid w:val="00AE4BDE"/>
    <w:rsid w:val="00AE4DC1"/>
    <w:rsid w:val="00AF537E"/>
    <w:rsid w:val="00B0350D"/>
    <w:rsid w:val="00B12B3E"/>
    <w:rsid w:val="00B1484B"/>
    <w:rsid w:val="00B14D4D"/>
    <w:rsid w:val="00B15CC8"/>
    <w:rsid w:val="00B2005B"/>
    <w:rsid w:val="00B2080D"/>
    <w:rsid w:val="00B2207F"/>
    <w:rsid w:val="00B23727"/>
    <w:rsid w:val="00B2607A"/>
    <w:rsid w:val="00B30FDF"/>
    <w:rsid w:val="00B3635A"/>
    <w:rsid w:val="00B376D4"/>
    <w:rsid w:val="00B40EAF"/>
    <w:rsid w:val="00B42436"/>
    <w:rsid w:val="00B44B63"/>
    <w:rsid w:val="00B44C36"/>
    <w:rsid w:val="00B46333"/>
    <w:rsid w:val="00B47BC7"/>
    <w:rsid w:val="00B501C4"/>
    <w:rsid w:val="00B51419"/>
    <w:rsid w:val="00B52080"/>
    <w:rsid w:val="00B529B8"/>
    <w:rsid w:val="00B53566"/>
    <w:rsid w:val="00B54F4B"/>
    <w:rsid w:val="00B6741F"/>
    <w:rsid w:val="00B67976"/>
    <w:rsid w:val="00B7021D"/>
    <w:rsid w:val="00B71DA4"/>
    <w:rsid w:val="00B748E9"/>
    <w:rsid w:val="00B76837"/>
    <w:rsid w:val="00B77B1B"/>
    <w:rsid w:val="00B82370"/>
    <w:rsid w:val="00B82C56"/>
    <w:rsid w:val="00B84A11"/>
    <w:rsid w:val="00B86A9C"/>
    <w:rsid w:val="00B925D6"/>
    <w:rsid w:val="00B9548E"/>
    <w:rsid w:val="00BA1D10"/>
    <w:rsid w:val="00BB0340"/>
    <w:rsid w:val="00BB2BED"/>
    <w:rsid w:val="00BB3EA1"/>
    <w:rsid w:val="00BB3F87"/>
    <w:rsid w:val="00BB49AE"/>
    <w:rsid w:val="00BB7BB8"/>
    <w:rsid w:val="00BC0BCE"/>
    <w:rsid w:val="00BC0CB5"/>
    <w:rsid w:val="00BC13E5"/>
    <w:rsid w:val="00BC2DD7"/>
    <w:rsid w:val="00BC6D0C"/>
    <w:rsid w:val="00BD04EB"/>
    <w:rsid w:val="00BD1ACB"/>
    <w:rsid w:val="00BD2B64"/>
    <w:rsid w:val="00BD31E8"/>
    <w:rsid w:val="00BD5AA6"/>
    <w:rsid w:val="00BE07C9"/>
    <w:rsid w:val="00BE0F7B"/>
    <w:rsid w:val="00BE2705"/>
    <w:rsid w:val="00BE4F0F"/>
    <w:rsid w:val="00BF3478"/>
    <w:rsid w:val="00BF41A0"/>
    <w:rsid w:val="00BF452C"/>
    <w:rsid w:val="00C03941"/>
    <w:rsid w:val="00C0529C"/>
    <w:rsid w:val="00C07329"/>
    <w:rsid w:val="00C10988"/>
    <w:rsid w:val="00C12257"/>
    <w:rsid w:val="00C15A4E"/>
    <w:rsid w:val="00C15FA2"/>
    <w:rsid w:val="00C2078C"/>
    <w:rsid w:val="00C22356"/>
    <w:rsid w:val="00C23A3F"/>
    <w:rsid w:val="00C26235"/>
    <w:rsid w:val="00C336AD"/>
    <w:rsid w:val="00C345D4"/>
    <w:rsid w:val="00C36548"/>
    <w:rsid w:val="00C36B67"/>
    <w:rsid w:val="00C40C8E"/>
    <w:rsid w:val="00C43696"/>
    <w:rsid w:val="00C5023B"/>
    <w:rsid w:val="00C50E21"/>
    <w:rsid w:val="00C5185C"/>
    <w:rsid w:val="00C5197A"/>
    <w:rsid w:val="00C52083"/>
    <w:rsid w:val="00C55622"/>
    <w:rsid w:val="00C57187"/>
    <w:rsid w:val="00C60316"/>
    <w:rsid w:val="00C6366B"/>
    <w:rsid w:val="00C665A5"/>
    <w:rsid w:val="00C67497"/>
    <w:rsid w:val="00C71C8D"/>
    <w:rsid w:val="00C71ED7"/>
    <w:rsid w:val="00C74D15"/>
    <w:rsid w:val="00C80816"/>
    <w:rsid w:val="00C82A0A"/>
    <w:rsid w:val="00C8325E"/>
    <w:rsid w:val="00C8372B"/>
    <w:rsid w:val="00C843CA"/>
    <w:rsid w:val="00C91571"/>
    <w:rsid w:val="00C91B81"/>
    <w:rsid w:val="00C91FE1"/>
    <w:rsid w:val="00CA1624"/>
    <w:rsid w:val="00CA2FEE"/>
    <w:rsid w:val="00CA3DD4"/>
    <w:rsid w:val="00CB5C32"/>
    <w:rsid w:val="00CB5F12"/>
    <w:rsid w:val="00CC1474"/>
    <w:rsid w:val="00CC44D5"/>
    <w:rsid w:val="00CC6FBC"/>
    <w:rsid w:val="00CD0AD6"/>
    <w:rsid w:val="00CD1581"/>
    <w:rsid w:val="00CD603E"/>
    <w:rsid w:val="00CE0A9A"/>
    <w:rsid w:val="00CF27C1"/>
    <w:rsid w:val="00CF29A3"/>
    <w:rsid w:val="00D04555"/>
    <w:rsid w:val="00D1140B"/>
    <w:rsid w:val="00D116EF"/>
    <w:rsid w:val="00D15877"/>
    <w:rsid w:val="00D21C72"/>
    <w:rsid w:val="00D236EF"/>
    <w:rsid w:val="00D23FE6"/>
    <w:rsid w:val="00D249DB"/>
    <w:rsid w:val="00D270ED"/>
    <w:rsid w:val="00D27444"/>
    <w:rsid w:val="00D355C9"/>
    <w:rsid w:val="00D40FC2"/>
    <w:rsid w:val="00D45963"/>
    <w:rsid w:val="00D502FB"/>
    <w:rsid w:val="00D50A52"/>
    <w:rsid w:val="00D52874"/>
    <w:rsid w:val="00D6056F"/>
    <w:rsid w:val="00D63B44"/>
    <w:rsid w:val="00D67831"/>
    <w:rsid w:val="00D734F1"/>
    <w:rsid w:val="00D75A49"/>
    <w:rsid w:val="00D77CC1"/>
    <w:rsid w:val="00D81320"/>
    <w:rsid w:val="00D82D16"/>
    <w:rsid w:val="00D90BA4"/>
    <w:rsid w:val="00D90D05"/>
    <w:rsid w:val="00D9140E"/>
    <w:rsid w:val="00D93D38"/>
    <w:rsid w:val="00D97A4F"/>
    <w:rsid w:val="00DA0202"/>
    <w:rsid w:val="00DA1E87"/>
    <w:rsid w:val="00DA607F"/>
    <w:rsid w:val="00DB20A9"/>
    <w:rsid w:val="00DB34A5"/>
    <w:rsid w:val="00DB57D0"/>
    <w:rsid w:val="00DD442C"/>
    <w:rsid w:val="00DE18C8"/>
    <w:rsid w:val="00DE4435"/>
    <w:rsid w:val="00DE4EB3"/>
    <w:rsid w:val="00DE4EFF"/>
    <w:rsid w:val="00DE5CE8"/>
    <w:rsid w:val="00DE7CF2"/>
    <w:rsid w:val="00DF04C8"/>
    <w:rsid w:val="00DF6969"/>
    <w:rsid w:val="00E00EFE"/>
    <w:rsid w:val="00E044C5"/>
    <w:rsid w:val="00E11CC7"/>
    <w:rsid w:val="00E1224B"/>
    <w:rsid w:val="00E13FE7"/>
    <w:rsid w:val="00E15128"/>
    <w:rsid w:val="00E17CD1"/>
    <w:rsid w:val="00E225F0"/>
    <w:rsid w:val="00E31B89"/>
    <w:rsid w:val="00E32A7E"/>
    <w:rsid w:val="00E40371"/>
    <w:rsid w:val="00E443EC"/>
    <w:rsid w:val="00E4714F"/>
    <w:rsid w:val="00E62BC0"/>
    <w:rsid w:val="00E6337F"/>
    <w:rsid w:val="00E6449D"/>
    <w:rsid w:val="00E7163F"/>
    <w:rsid w:val="00E73BE7"/>
    <w:rsid w:val="00E73C8A"/>
    <w:rsid w:val="00E77151"/>
    <w:rsid w:val="00E772BA"/>
    <w:rsid w:val="00E80C11"/>
    <w:rsid w:val="00E81199"/>
    <w:rsid w:val="00E84501"/>
    <w:rsid w:val="00E86E0E"/>
    <w:rsid w:val="00E95587"/>
    <w:rsid w:val="00EA0F07"/>
    <w:rsid w:val="00EA21E5"/>
    <w:rsid w:val="00EA2B0C"/>
    <w:rsid w:val="00EA3EE3"/>
    <w:rsid w:val="00EA6035"/>
    <w:rsid w:val="00EA648A"/>
    <w:rsid w:val="00EB018B"/>
    <w:rsid w:val="00EB2BC2"/>
    <w:rsid w:val="00EB4789"/>
    <w:rsid w:val="00EB4CF7"/>
    <w:rsid w:val="00EB4F18"/>
    <w:rsid w:val="00EC4F6F"/>
    <w:rsid w:val="00EC5D02"/>
    <w:rsid w:val="00ED282D"/>
    <w:rsid w:val="00ED2A9A"/>
    <w:rsid w:val="00ED4456"/>
    <w:rsid w:val="00ED6C6C"/>
    <w:rsid w:val="00ED7A27"/>
    <w:rsid w:val="00EF0C90"/>
    <w:rsid w:val="00EF249C"/>
    <w:rsid w:val="00EF4A64"/>
    <w:rsid w:val="00EF4CB1"/>
    <w:rsid w:val="00EF6750"/>
    <w:rsid w:val="00F07B26"/>
    <w:rsid w:val="00F13CB1"/>
    <w:rsid w:val="00F13CB8"/>
    <w:rsid w:val="00F16119"/>
    <w:rsid w:val="00F17C9C"/>
    <w:rsid w:val="00F246BD"/>
    <w:rsid w:val="00F24914"/>
    <w:rsid w:val="00F26173"/>
    <w:rsid w:val="00F26562"/>
    <w:rsid w:val="00F315BC"/>
    <w:rsid w:val="00F40ABF"/>
    <w:rsid w:val="00F40E6F"/>
    <w:rsid w:val="00F5198D"/>
    <w:rsid w:val="00F56F54"/>
    <w:rsid w:val="00F57B79"/>
    <w:rsid w:val="00F64D67"/>
    <w:rsid w:val="00F654FB"/>
    <w:rsid w:val="00F714F9"/>
    <w:rsid w:val="00F721A3"/>
    <w:rsid w:val="00F73F43"/>
    <w:rsid w:val="00F740EB"/>
    <w:rsid w:val="00F74A55"/>
    <w:rsid w:val="00F753A1"/>
    <w:rsid w:val="00F77416"/>
    <w:rsid w:val="00F77864"/>
    <w:rsid w:val="00F810B1"/>
    <w:rsid w:val="00F828E7"/>
    <w:rsid w:val="00F8543B"/>
    <w:rsid w:val="00F85D3A"/>
    <w:rsid w:val="00F87702"/>
    <w:rsid w:val="00F90281"/>
    <w:rsid w:val="00F975C8"/>
    <w:rsid w:val="00FA084F"/>
    <w:rsid w:val="00FA087F"/>
    <w:rsid w:val="00FA13BC"/>
    <w:rsid w:val="00FB095B"/>
    <w:rsid w:val="00FB1FEF"/>
    <w:rsid w:val="00FB34CF"/>
    <w:rsid w:val="00FB4609"/>
    <w:rsid w:val="00FB4A2E"/>
    <w:rsid w:val="00FB5D56"/>
    <w:rsid w:val="00FB5E23"/>
    <w:rsid w:val="00FC30A8"/>
    <w:rsid w:val="00FC58E3"/>
    <w:rsid w:val="00FC748D"/>
    <w:rsid w:val="00FD49BC"/>
    <w:rsid w:val="00FD4A9E"/>
    <w:rsid w:val="00FD506A"/>
    <w:rsid w:val="00FD5AEA"/>
    <w:rsid w:val="00FD5FF4"/>
    <w:rsid w:val="00FD66FB"/>
    <w:rsid w:val="00FD78E0"/>
    <w:rsid w:val="00FE0F1C"/>
    <w:rsid w:val="00FE1C38"/>
    <w:rsid w:val="00FE300C"/>
    <w:rsid w:val="00FF3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6D5C62"/>
    <w:pPr>
      <w:tabs>
        <w:tab w:val="center" w:pos="4153"/>
        <w:tab w:val="right" w:pos="8306"/>
      </w:tabs>
    </w:pPr>
  </w:style>
  <w:style w:type="character" w:customStyle="1" w:styleId="HeaderChar">
    <w:name w:val="Header Char"/>
    <w:basedOn w:val="DefaultParagraphFont"/>
    <w:link w:val="Header"/>
    <w:uiPriority w:val="99"/>
    <w:rsid w:val="006D5C62"/>
    <w:rPr>
      <w:rFonts w:eastAsia="Times New Roman" w:cs="Times New Roman"/>
      <w:szCs w:val="24"/>
      <w:lang w:val="lv-LV" w:eastAsia="ru-RU"/>
    </w:rPr>
  </w:style>
  <w:style w:type="paragraph" w:styleId="Footer">
    <w:name w:val="footer"/>
    <w:basedOn w:val="Normal"/>
    <w:link w:val="FooterChar"/>
    <w:uiPriority w:val="99"/>
    <w:unhideWhenUsed/>
    <w:rsid w:val="006D5C62"/>
    <w:pPr>
      <w:tabs>
        <w:tab w:val="center" w:pos="4153"/>
        <w:tab w:val="right" w:pos="8306"/>
      </w:tabs>
    </w:pPr>
  </w:style>
  <w:style w:type="character" w:customStyle="1" w:styleId="FooterChar">
    <w:name w:val="Footer Char"/>
    <w:basedOn w:val="DefaultParagraphFont"/>
    <w:link w:val="Footer"/>
    <w:uiPriority w:val="99"/>
    <w:rsid w:val="006D5C62"/>
    <w:rPr>
      <w:rFonts w:eastAsia="Times New Roman" w:cs="Times New Roman"/>
      <w:szCs w:val="24"/>
      <w:lang w:val="lv-LV" w:eastAsia="ru-RU"/>
    </w:rPr>
  </w:style>
  <w:style w:type="character" w:styleId="Hyperlink">
    <w:name w:val="Hyperlink"/>
    <w:basedOn w:val="DefaultParagraphFont"/>
    <w:uiPriority w:val="99"/>
    <w:unhideWhenUsed/>
    <w:rsid w:val="00EA3EE3"/>
    <w:rPr>
      <w:color w:val="0563C1" w:themeColor="hyperlink"/>
      <w:u w:val="single"/>
    </w:rPr>
  </w:style>
  <w:style w:type="paragraph" w:styleId="ListParagraph">
    <w:name w:val="List Paragraph"/>
    <w:basedOn w:val="Normal"/>
    <w:uiPriority w:val="34"/>
    <w:qFormat/>
    <w:rsid w:val="00142A91"/>
    <w:pPr>
      <w:ind w:left="720"/>
      <w:contextualSpacing/>
    </w:pPr>
  </w:style>
  <w:style w:type="paragraph" w:customStyle="1" w:styleId="tv213">
    <w:name w:val="tv213"/>
    <w:basedOn w:val="Normal"/>
    <w:rsid w:val="006E002F"/>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802573"/>
    <w:rPr>
      <w:color w:val="605E5C"/>
      <w:shd w:val="clear" w:color="auto" w:fill="E1DFDD"/>
    </w:rPr>
  </w:style>
  <w:style w:type="paragraph" w:styleId="Revision">
    <w:name w:val="Revision"/>
    <w:hidden/>
    <w:uiPriority w:val="99"/>
    <w:semiHidden/>
    <w:rsid w:val="00BC13E5"/>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C10988"/>
    <w:rPr>
      <w:sz w:val="16"/>
      <w:szCs w:val="16"/>
    </w:rPr>
  </w:style>
  <w:style w:type="paragraph" w:styleId="CommentText">
    <w:name w:val="annotation text"/>
    <w:basedOn w:val="Normal"/>
    <w:link w:val="CommentTextChar"/>
    <w:uiPriority w:val="99"/>
    <w:unhideWhenUsed/>
    <w:rsid w:val="00C10988"/>
    <w:rPr>
      <w:sz w:val="20"/>
      <w:szCs w:val="20"/>
    </w:rPr>
  </w:style>
  <w:style w:type="character" w:customStyle="1" w:styleId="CommentTextChar">
    <w:name w:val="Comment Text Char"/>
    <w:basedOn w:val="DefaultParagraphFont"/>
    <w:link w:val="CommentText"/>
    <w:uiPriority w:val="99"/>
    <w:rsid w:val="00C10988"/>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C10988"/>
    <w:rPr>
      <w:b/>
      <w:bCs/>
    </w:rPr>
  </w:style>
  <w:style w:type="character" w:customStyle="1" w:styleId="CommentSubjectChar">
    <w:name w:val="Comment Subject Char"/>
    <w:basedOn w:val="CommentTextChar"/>
    <w:link w:val="CommentSubject"/>
    <w:uiPriority w:val="99"/>
    <w:semiHidden/>
    <w:rsid w:val="00C10988"/>
    <w:rPr>
      <w:rFonts w:eastAsia="Times New Roman" w:cs="Times New Roman"/>
      <w:b/>
      <w:bCs/>
      <w:sz w:val="20"/>
      <w:szCs w:val="20"/>
      <w:lang w:val="lv-LV" w:eastAsia="ru-RU"/>
    </w:rPr>
  </w:style>
  <w:style w:type="character" w:styleId="FollowedHyperlink">
    <w:name w:val="FollowedHyperlink"/>
    <w:basedOn w:val="DefaultParagraphFont"/>
    <w:uiPriority w:val="99"/>
    <w:semiHidden/>
    <w:unhideWhenUsed/>
    <w:rsid w:val="004A5836"/>
    <w:rPr>
      <w:color w:val="954F72" w:themeColor="followedHyperlink"/>
      <w:u w:val="single"/>
    </w:rPr>
  </w:style>
  <w:style w:type="paragraph" w:styleId="NoSpacing">
    <w:name w:val="No Spacing"/>
    <w:uiPriority w:val="1"/>
    <w:qFormat/>
    <w:rsid w:val="00290C31"/>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825">
      <w:bodyDiv w:val="1"/>
      <w:marLeft w:val="0"/>
      <w:marRight w:val="0"/>
      <w:marTop w:val="0"/>
      <w:marBottom w:val="0"/>
      <w:divBdr>
        <w:top w:val="none" w:sz="0" w:space="0" w:color="auto"/>
        <w:left w:val="none" w:sz="0" w:space="0" w:color="auto"/>
        <w:bottom w:val="none" w:sz="0" w:space="0" w:color="auto"/>
        <w:right w:val="none" w:sz="0" w:space="0" w:color="auto"/>
      </w:divBdr>
    </w:div>
    <w:div w:id="58989023">
      <w:bodyDiv w:val="1"/>
      <w:marLeft w:val="0"/>
      <w:marRight w:val="0"/>
      <w:marTop w:val="0"/>
      <w:marBottom w:val="0"/>
      <w:divBdr>
        <w:top w:val="none" w:sz="0" w:space="0" w:color="auto"/>
        <w:left w:val="none" w:sz="0" w:space="0" w:color="auto"/>
        <w:bottom w:val="none" w:sz="0" w:space="0" w:color="auto"/>
        <w:right w:val="none" w:sz="0" w:space="0" w:color="auto"/>
      </w:divBdr>
    </w:div>
    <w:div w:id="135337511">
      <w:bodyDiv w:val="1"/>
      <w:marLeft w:val="0"/>
      <w:marRight w:val="0"/>
      <w:marTop w:val="0"/>
      <w:marBottom w:val="0"/>
      <w:divBdr>
        <w:top w:val="none" w:sz="0" w:space="0" w:color="auto"/>
        <w:left w:val="none" w:sz="0" w:space="0" w:color="auto"/>
        <w:bottom w:val="none" w:sz="0" w:space="0" w:color="auto"/>
        <w:right w:val="none" w:sz="0" w:space="0" w:color="auto"/>
      </w:divBdr>
    </w:div>
    <w:div w:id="723673519">
      <w:bodyDiv w:val="1"/>
      <w:marLeft w:val="0"/>
      <w:marRight w:val="0"/>
      <w:marTop w:val="0"/>
      <w:marBottom w:val="0"/>
      <w:divBdr>
        <w:top w:val="none" w:sz="0" w:space="0" w:color="auto"/>
        <w:left w:val="none" w:sz="0" w:space="0" w:color="auto"/>
        <w:bottom w:val="none" w:sz="0" w:space="0" w:color="auto"/>
        <w:right w:val="none" w:sz="0" w:space="0" w:color="auto"/>
      </w:divBdr>
    </w:div>
    <w:div w:id="12522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0857d71-9b9f-412b-b0a8-bbcd477ea5b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77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40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t.gov.lv/downloadlawfile/8555" TargetMode="External"/><Relationship Id="rId4" Type="http://schemas.openxmlformats.org/officeDocument/2006/relationships/settings" Target="settings.xml"/><Relationship Id="rId9" Type="http://schemas.openxmlformats.org/officeDocument/2006/relationships/hyperlink" Target="https://www.satv.tiesa.gov.lv/web/viewer.html?file=/wp-content/uploads/2017/05/2017-16-01_Spriedum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9311-F7C7-49CD-9B48-2DAC3F81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12240</Words>
  <Characters>6978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2025-09-16T10:08:00Z</dcterms:created>
  <dcterms:modified xsi:type="dcterms:W3CDTF">2025-09-16T10:25:00Z</dcterms:modified>
</cp:coreProperties>
</file>